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4502" w:rsidRDefault="00FD45A3">
      <w:pPr>
        <w:pStyle w:val="12"/>
        <w:numPr>
          <w:ilvl w:val="0"/>
          <w:numId w:val="30"/>
        </w:numPr>
        <w:spacing w:before="0" w:after="0" w:line="360" w:lineRule="auto"/>
        <w:ind w:left="0" w:firstLine="0"/>
        <w:rPr>
          <w:b w:val="0"/>
          <w:szCs w:val="30"/>
        </w:rPr>
      </w:pPr>
      <w:bookmarkStart w:id="0" w:name="_Toc21715"/>
      <w:r>
        <w:rPr>
          <w:b w:val="0"/>
          <w:szCs w:val="30"/>
        </w:rPr>
        <w:t>概述</w:t>
      </w:r>
      <w:bookmarkEnd w:id="0"/>
    </w:p>
    <w:p w:rsidR="00EE4502" w:rsidRDefault="00FD45A3">
      <w:pPr>
        <w:pStyle w:val="22"/>
        <w:numPr>
          <w:ilvl w:val="1"/>
          <w:numId w:val="30"/>
        </w:numPr>
        <w:rPr>
          <w:spacing w:val="0"/>
          <w:w w:val="100"/>
        </w:rPr>
      </w:pPr>
      <w:bookmarkStart w:id="1" w:name="_Toc26605"/>
      <w:r>
        <w:rPr>
          <w:rFonts w:hint="eastAsia"/>
          <w:spacing w:val="0"/>
          <w:w w:val="100"/>
        </w:rPr>
        <w:t>建设项目特点</w:t>
      </w:r>
      <w:bookmarkEnd w:id="1"/>
    </w:p>
    <w:p w:rsidR="00EE4502" w:rsidRDefault="00FD45A3">
      <w:pPr>
        <w:spacing w:line="360" w:lineRule="auto"/>
        <w:ind w:firstLineChars="200" w:firstLine="480"/>
        <w:rPr>
          <w:sz w:val="24"/>
        </w:rPr>
      </w:pPr>
      <w:r>
        <w:rPr>
          <w:rFonts w:hint="eastAsia"/>
          <w:sz w:val="24"/>
        </w:rPr>
        <w:t>“十四五”和未来一段时期，世界面临百年未有之大变局，总体形势稳中有变，全球能源转型升级提速。自治区党委</w:t>
      </w:r>
      <w:r>
        <w:rPr>
          <w:rFonts w:hint="eastAsia"/>
          <w:sz w:val="24"/>
        </w:rPr>
        <w:t>领导</w:t>
      </w:r>
      <w:r>
        <w:rPr>
          <w:rFonts w:hint="eastAsia"/>
          <w:sz w:val="24"/>
        </w:rPr>
        <w:t>专程调研油气勘探开采，考察油气增储上产、产业发展等工作</w:t>
      </w:r>
      <w:r>
        <w:rPr>
          <w:rFonts w:hint="eastAsia"/>
          <w:sz w:val="24"/>
        </w:rPr>
        <w:t>，</w:t>
      </w:r>
      <w:r>
        <w:rPr>
          <w:rFonts w:hint="eastAsia"/>
          <w:sz w:val="24"/>
        </w:rPr>
        <w:t>强调要深入贯彻习近平总书记提出的“四个革命、一个合作”能源安全新战略，坚决落实新时代推动西部大开发座谈会精神，深刻把握油气产业在新疆保障国家能源安全、推进区域高质量发展中的重要作用，积极主动担当，敢于善于作为，持续推动油气勘探开发和增储上产取得新突破，让新疆优势能源资源更好</w:t>
      </w:r>
      <w:r>
        <w:rPr>
          <w:rFonts w:hint="eastAsia"/>
          <w:sz w:val="24"/>
        </w:rPr>
        <w:t>地</w:t>
      </w:r>
      <w:r>
        <w:rPr>
          <w:rFonts w:hint="eastAsia"/>
          <w:sz w:val="24"/>
        </w:rPr>
        <w:t>服务国家、惠及当地。中石化新疆新春石油开发有限责任公司根据《新疆维吾尔自治区矿产资源总体规划（</w:t>
      </w:r>
      <w:r>
        <w:rPr>
          <w:rFonts w:hint="eastAsia"/>
          <w:sz w:val="24"/>
        </w:rPr>
        <w:t>2021-2025</w:t>
      </w:r>
      <w:r>
        <w:rPr>
          <w:rFonts w:hint="eastAsia"/>
          <w:sz w:val="24"/>
        </w:rPr>
        <w:t>年）》《新疆维吾尔自治区石油天然气发展“十四五”规划》及《中石化新疆新春石油开发有限责任公司“十四五”规划》，积极响应自治区党委领导号召，在新疆投入逐年增加，油气勘探突破及油气产量逐年提升，近五年，在西部共投资</w:t>
      </w:r>
      <w:r>
        <w:rPr>
          <w:rFonts w:hint="eastAsia"/>
          <w:sz w:val="24"/>
        </w:rPr>
        <w:t>142.62</w:t>
      </w:r>
      <w:r>
        <w:rPr>
          <w:rFonts w:hint="eastAsia"/>
          <w:sz w:val="24"/>
        </w:rPr>
        <w:t>亿元，</w:t>
      </w:r>
      <w:r>
        <w:rPr>
          <w:rFonts w:hint="eastAsia"/>
          <w:sz w:val="24"/>
        </w:rPr>
        <w:t>以“持续拓展春风油田储量规模，确保稠油百万吨基础硬稳定；强化勘探准中低渗透油藏，实现产能阵地良性接替”为指导思想，针对准西春风油田、准中永进、准北阿拉德、春晖油田</w:t>
      </w:r>
      <w:r>
        <w:rPr>
          <w:rFonts w:hint="eastAsia"/>
          <w:sz w:val="24"/>
        </w:rPr>
        <w:t>等</w:t>
      </w:r>
      <w:r>
        <w:rPr>
          <w:rFonts w:hint="eastAsia"/>
          <w:sz w:val="24"/>
        </w:rPr>
        <w:t>开展滚动</w:t>
      </w:r>
      <w:r>
        <w:rPr>
          <w:rFonts w:hint="eastAsia"/>
          <w:sz w:val="24"/>
        </w:rPr>
        <w:t>及评价部署</w:t>
      </w:r>
      <w:r>
        <w:rPr>
          <w:rFonts w:hint="eastAsia"/>
          <w:sz w:val="24"/>
        </w:rPr>
        <w:t>。到</w:t>
      </w:r>
      <w:r>
        <w:rPr>
          <w:rFonts w:hint="eastAsia"/>
          <w:sz w:val="24"/>
        </w:rPr>
        <w:t>2025</w:t>
      </w:r>
      <w:r>
        <w:rPr>
          <w:rFonts w:hint="eastAsia"/>
          <w:sz w:val="24"/>
        </w:rPr>
        <w:t>年</w:t>
      </w:r>
      <w:r>
        <w:rPr>
          <w:rFonts w:hint="eastAsia"/>
          <w:sz w:val="24"/>
        </w:rPr>
        <w:t>底</w:t>
      </w:r>
      <w:r>
        <w:rPr>
          <w:rFonts w:hint="eastAsia"/>
          <w:sz w:val="24"/>
        </w:rPr>
        <w:t>原油产量计划达到</w:t>
      </w:r>
      <w:r>
        <w:rPr>
          <w:rFonts w:hint="eastAsia"/>
          <w:sz w:val="24"/>
        </w:rPr>
        <w:t>140</w:t>
      </w:r>
      <w:r>
        <w:rPr>
          <w:rFonts w:hint="eastAsia"/>
          <w:sz w:val="24"/>
        </w:rPr>
        <w:t>万吨</w:t>
      </w:r>
      <w:r>
        <w:rPr>
          <w:rFonts w:hint="eastAsia"/>
          <w:sz w:val="24"/>
        </w:rPr>
        <w:t>。</w:t>
      </w:r>
    </w:p>
    <w:p w:rsidR="00EE4502" w:rsidRDefault="00FD45A3">
      <w:pPr>
        <w:spacing w:line="360" w:lineRule="auto"/>
        <w:ind w:firstLineChars="200" w:firstLine="480"/>
        <w:rPr>
          <w:b/>
          <w:sz w:val="24"/>
        </w:rPr>
      </w:pPr>
      <w:r>
        <w:rPr>
          <w:rFonts w:hint="eastAsia"/>
          <w:sz w:val="24"/>
        </w:rPr>
        <w:t>春风油田位于新疆维吾尔自治区克拉玛依市境内的前山涝坝镇，距克拉玛依市约</w:t>
      </w:r>
      <w:r>
        <w:rPr>
          <w:rFonts w:hint="eastAsia"/>
          <w:sz w:val="24"/>
        </w:rPr>
        <w:t>65</w:t>
      </w:r>
      <w:r>
        <w:rPr>
          <w:rFonts w:hint="eastAsia"/>
          <w:sz w:val="24"/>
        </w:rPr>
        <w:t>km</w:t>
      </w:r>
      <w:r>
        <w:rPr>
          <w:rFonts w:hint="eastAsia"/>
          <w:sz w:val="24"/>
        </w:rPr>
        <w:t>，</w:t>
      </w:r>
      <w:r>
        <w:rPr>
          <w:rFonts w:hint="eastAsia"/>
          <w:sz w:val="24"/>
        </w:rPr>
        <w:t>构造位置位于准噶尔盆地西部隆起车排子凸起的东部，区域上属于准噶尔盆地西部隆起的次一级构造单元。排</w:t>
      </w:r>
      <w:r>
        <w:rPr>
          <w:rFonts w:hint="eastAsia"/>
          <w:sz w:val="24"/>
        </w:rPr>
        <w:t>61</w:t>
      </w:r>
      <w:r>
        <w:rPr>
          <w:rFonts w:hint="eastAsia"/>
          <w:sz w:val="24"/>
        </w:rPr>
        <w:t>块位于春风油田</w:t>
      </w:r>
      <w:r>
        <w:rPr>
          <w:rFonts w:hint="eastAsia"/>
          <w:sz w:val="24"/>
        </w:rPr>
        <w:t>内</w:t>
      </w:r>
      <w:r>
        <w:rPr>
          <w:rFonts w:hint="eastAsia"/>
          <w:sz w:val="24"/>
        </w:rPr>
        <w:t>，南邻排</w:t>
      </w:r>
      <w:r>
        <w:rPr>
          <w:rFonts w:hint="eastAsia"/>
          <w:sz w:val="24"/>
        </w:rPr>
        <w:t>612</w:t>
      </w:r>
      <w:r>
        <w:rPr>
          <w:rFonts w:hint="eastAsia"/>
          <w:sz w:val="24"/>
        </w:rPr>
        <w:t>区，主力含油层系为新近系沙湾组一段一砂组（</w:t>
      </w:r>
      <w:r>
        <w:rPr>
          <w:rFonts w:hint="eastAsia"/>
          <w:sz w:val="24"/>
        </w:rPr>
        <w:t>N</w:t>
      </w:r>
      <w:r>
        <w:rPr>
          <w:rFonts w:hint="eastAsia"/>
          <w:sz w:val="24"/>
          <w:vertAlign w:val="subscript"/>
        </w:rPr>
        <w:t>1</w:t>
      </w:r>
      <w:r>
        <w:rPr>
          <w:rFonts w:hint="eastAsia"/>
          <w:sz w:val="24"/>
        </w:rPr>
        <w:t>s</w:t>
      </w:r>
      <w:r>
        <w:rPr>
          <w:rFonts w:hint="eastAsia"/>
          <w:sz w:val="24"/>
          <w:vertAlign w:val="subscript"/>
        </w:rPr>
        <w:t>1</w:t>
      </w:r>
      <w:r>
        <w:rPr>
          <w:rFonts w:hint="eastAsia"/>
          <w:sz w:val="24"/>
          <w:vertAlign w:val="superscript"/>
        </w:rPr>
        <w:t>1</w:t>
      </w:r>
      <w:r>
        <w:rPr>
          <w:rFonts w:hint="eastAsia"/>
          <w:sz w:val="24"/>
        </w:rPr>
        <w:t>）</w:t>
      </w:r>
      <w:r>
        <w:rPr>
          <w:rFonts w:hint="eastAsia"/>
          <w:sz w:val="24"/>
        </w:rPr>
        <w:t>。</w:t>
      </w:r>
      <w:r>
        <w:rPr>
          <w:rFonts w:hint="eastAsia"/>
          <w:sz w:val="24"/>
        </w:rPr>
        <w:t>按照</w:t>
      </w:r>
      <w:r>
        <w:rPr>
          <w:rFonts w:hint="eastAsia"/>
          <w:sz w:val="24"/>
        </w:rPr>
        <w:t>开发规划，中石化新疆新春石油开发有限责任公司</w:t>
      </w:r>
      <w:r>
        <w:rPr>
          <w:rFonts w:hint="eastAsia"/>
          <w:sz w:val="24"/>
        </w:rPr>
        <w:t>（</w:t>
      </w:r>
      <w:r>
        <w:rPr>
          <w:rFonts w:hint="eastAsia"/>
          <w:sz w:val="24"/>
        </w:rPr>
        <w:t>以下简称“建设单位”</w:t>
      </w:r>
      <w:r>
        <w:rPr>
          <w:rFonts w:hint="eastAsia"/>
          <w:sz w:val="24"/>
        </w:rPr>
        <w:t>）</w:t>
      </w:r>
      <w:r>
        <w:rPr>
          <w:rFonts w:hint="eastAsia"/>
          <w:sz w:val="24"/>
        </w:rPr>
        <w:t>计划在准西春风油田采矿权（</w:t>
      </w:r>
      <w:r>
        <w:rPr>
          <w:rFonts w:hint="eastAsia"/>
          <w:sz w:val="24"/>
        </w:rPr>
        <w:t>0200001410004</w:t>
      </w:r>
      <w:r>
        <w:rPr>
          <w:rFonts w:hint="eastAsia"/>
          <w:sz w:val="24"/>
        </w:rPr>
        <w:t>）内实施</w:t>
      </w:r>
      <w:r>
        <w:rPr>
          <w:rFonts w:hint="eastAsia"/>
          <w:sz w:val="24"/>
        </w:rPr>
        <w:t>春风油田石炭系排</w:t>
      </w:r>
      <w:r>
        <w:rPr>
          <w:rFonts w:hint="eastAsia"/>
          <w:sz w:val="24"/>
        </w:rPr>
        <w:t>61</w:t>
      </w:r>
      <w:r>
        <w:rPr>
          <w:rFonts w:hint="eastAsia"/>
          <w:sz w:val="24"/>
        </w:rPr>
        <w:t>块产能建设工程</w:t>
      </w:r>
      <w:r>
        <w:rPr>
          <w:rFonts w:hint="eastAsia"/>
          <w:sz w:val="24"/>
        </w:rPr>
        <w:t>（</w:t>
      </w:r>
      <w:r>
        <w:rPr>
          <w:rFonts w:hint="eastAsia"/>
          <w:sz w:val="24"/>
        </w:rPr>
        <w:t>以下简称“本工程”</w:t>
      </w:r>
      <w:r>
        <w:rPr>
          <w:rFonts w:hint="eastAsia"/>
          <w:sz w:val="24"/>
        </w:rPr>
        <w:t>）。</w:t>
      </w:r>
      <w:r>
        <w:rPr>
          <w:rFonts w:hint="eastAsia"/>
          <w:sz w:val="24"/>
        </w:rPr>
        <w:t>工程主要建设内容为：（</w:t>
      </w:r>
      <w:r>
        <w:rPr>
          <w:rFonts w:hint="eastAsia"/>
          <w:sz w:val="24"/>
        </w:rPr>
        <w:t>1</w:t>
      </w:r>
      <w:r>
        <w:rPr>
          <w:rFonts w:hint="eastAsia"/>
          <w:sz w:val="24"/>
        </w:rPr>
        <w:t>）</w:t>
      </w:r>
      <w:r>
        <w:rPr>
          <w:rFonts w:hint="eastAsia"/>
          <w:sz w:val="24"/>
        </w:rPr>
        <w:t>部署</w:t>
      </w:r>
      <w:r>
        <w:rPr>
          <w:rFonts w:hint="eastAsia"/>
          <w:sz w:val="24"/>
        </w:rPr>
        <w:t>22</w:t>
      </w:r>
      <w:r>
        <w:rPr>
          <w:rFonts w:hint="eastAsia"/>
          <w:sz w:val="24"/>
        </w:rPr>
        <w:t>口</w:t>
      </w:r>
      <w:r>
        <w:rPr>
          <w:rFonts w:hint="eastAsia"/>
          <w:sz w:val="24"/>
        </w:rPr>
        <w:t>井</w:t>
      </w:r>
      <w:r>
        <w:rPr>
          <w:rFonts w:hint="eastAsia"/>
          <w:sz w:val="24"/>
        </w:rPr>
        <w:t>，其中</w:t>
      </w:r>
      <w:r>
        <w:rPr>
          <w:rFonts w:hint="eastAsia"/>
          <w:sz w:val="24"/>
        </w:rPr>
        <w:t>新钻</w:t>
      </w:r>
      <w:r>
        <w:rPr>
          <w:rFonts w:hint="eastAsia"/>
          <w:sz w:val="24"/>
        </w:rPr>
        <w:t>井</w:t>
      </w:r>
      <w:r>
        <w:rPr>
          <w:rFonts w:hint="eastAsia"/>
          <w:sz w:val="24"/>
        </w:rPr>
        <w:t>18</w:t>
      </w:r>
      <w:r>
        <w:rPr>
          <w:rFonts w:hint="eastAsia"/>
          <w:sz w:val="24"/>
        </w:rPr>
        <w:t>口</w:t>
      </w:r>
      <w:r>
        <w:rPr>
          <w:rFonts w:hint="eastAsia"/>
          <w:sz w:val="24"/>
        </w:rPr>
        <w:t>（</w:t>
      </w:r>
      <w:r>
        <w:rPr>
          <w:rFonts w:hint="eastAsia"/>
          <w:sz w:val="24"/>
        </w:rPr>
        <w:t>含采油井</w:t>
      </w:r>
      <w:r>
        <w:rPr>
          <w:rFonts w:hint="eastAsia"/>
          <w:sz w:val="24"/>
        </w:rPr>
        <w:t>15</w:t>
      </w:r>
      <w:r>
        <w:rPr>
          <w:rFonts w:hint="eastAsia"/>
          <w:sz w:val="24"/>
        </w:rPr>
        <w:t>口、回注井</w:t>
      </w:r>
      <w:r>
        <w:rPr>
          <w:rFonts w:hint="eastAsia"/>
          <w:sz w:val="24"/>
        </w:rPr>
        <w:t>3</w:t>
      </w:r>
      <w:r>
        <w:rPr>
          <w:rFonts w:hint="eastAsia"/>
          <w:sz w:val="24"/>
        </w:rPr>
        <w:t>口</w:t>
      </w:r>
      <w:r>
        <w:rPr>
          <w:rFonts w:hint="eastAsia"/>
          <w:sz w:val="24"/>
        </w:rPr>
        <w:t>）、</w:t>
      </w:r>
      <w:r>
        <w:rPr>
          <w:rFonts w:hint="eastAsia"/>
          <w:sz w:val="24"/>
        </w:rPr>
        <w:t>老井利用</w:t>
      </w:r>
      <w:r>
        <w:rPr>
          <w:rFonts w:hint="eastAsia"/>
          <w:sz w:val="24"/>
        </w:rPr>
        <w:t>4</w:t>
      </w:r>
      <w:r>
        <w:rPr>
          <w:rFonts w:hint="eastAsia"/>
          <w:sz w:val="24"/>
        </w:rPr>
        <w:t>口（含采油井</w:t>
      </w:r>
      <w:r>
        <w:rPr>
          <w:rFonts w:hint="eastAsia"/>
          <w:sz w:val="24"/>
        </w:rPr>
        <w:t>3</w:t>
      </w:r>
      <w:r>
        <w:rPr>
          <w:rFonts w:hint="eastAsia"/>
          <w:sz w:val="24"/>
        </w:rPr>
        <w:t>口、回注井</w:t>
      </w:r>
      <w:r>
        <w:rPr>
          <w:rFonts w:hint="eastAsia"/>
          <w:sz w:val="24"/>
        </w:rPr>
        <w:t>1</w:t>
      </w:r>
      <w:r>
        <w:rPr>
          <w:rFonts w:hint="eastAsia"/>
          <w:sz w:val="24"/>
        </w:rPr>
        <w:t>口）</w:t>
      </w:r>
      <w:r>
        <w:rPr>
          <w:rFonts w:hint="eastAsia"/>
          <w:sz w:val="24"/>
        </w:rPr>
        <w:t>；</w:t>
      </w:r>
      <w:r>
        <w:rPr>
          <w:rFonts w:hint="eastAsia"/>
          <w:sz w:val="24"/>
        </w:rPr>
        <w:t>动用石油地质储量</w:t>
      </w:r>
      <w:r>
        <w:rPr>
          <w:rFonts w:hint="eastAsia"/>
          <w:sz w:val="24"/>
        </w:rPr>
        <w:t>325.8</w:t>
      </w:r>
      <w:r>
        <w:rPr>
          <w:rFonts w:hint="eastAsia"/>
          <w:sz w:val="24"/>
        </w:rPr>
        <w:t>×</w:t>
      </w:r>
      <w:r>
        <w:rPr>
          <w:rFonts w:hint="eastAsia"/>
          <w:sz w:val="24"/>
        </w:rPr>
        <w:t>10</w:t>
      </w:r>
      <w:r>
        <w:rPr>
          <w:rFonts w:hint="eastAsia"/>
          <w:sz w:val="24"/>
          <w:vertAlign w:val="superscript"/>
        </w:rPr>
        <w:t>4</w:t>
      </w:r>
      <w:r>
        <w:rPr>
          <w:rFonts w:hint="eastAsia"/>
          <w:sz w:val="24"/>
        </w:rPr>
        <w:t>t</w:t>
      </w:r>
      <w:r>
        <w:rPr>
          <w:rFonts w:hint="eastAsia"/>
          <w:sz w:val="24"/>
        </w:rPr>
        <w:t>、含油面积</w:t>
      </w:r>
      <w:r>
        <w:rPr>
          <w:rFonts w:hint="eastAsia"/>
          <w:sz w:val="24"/>
        </w:rPr>
        <w:t>6.81km</w:t>
      </w:r>
      <w:r>
        <w:rPr>
          <w:rFonts w:hint="eastAsia"/>
          <w:sz w:val="24"/>
          <w:vertAlign w:val="superscript"/>
        </w:rPr>
        <w:t>2</w:t>
      </w:r>
      <w:r>
        <w:rPr>
          <w:rFonts w:hint="eastAsia"/>
          <w:sz w:val="24"/>
        </w:rPr>
        <w:t>，</w:t>
      </w:r>
      <w:r>
        <w:rPr>
          <w:rFonts w:hint="eastAsia"/>
          <w:sz w:val="24"/>
        </w:rPr>
        <w:t>均</w:t>
      </w:r>
      <w:r>
        <w:rPr>
          <w:rFonts w:hint="eastAsia"/>
          <w:sz w:val="24"/>
        </w:rPr>
        <w:t>采用管输方式生产</w:t>
      </w:r>
      <w:r>
        <w:rPr>
          <w:rFonts w:hint="eastAsia"/>
          <w:sz w:val="24"/>
        </w:rPr>
        <w:t>；</w:t>
      </w:r>
      <w:r>
        <w:rPr>
          <w:rFonts w:hint="eastAsia"/>
          <w:sz w:val="24"/>
        </w:rPr>
        <w:t>新增产能</w:t>
      </w:r>
      <w:r>
        <w:rPr>
          <w:rFonts w:hint="eastAsia"/>
          <w:sz w:val="24"/>
        </w:rPr>
        <w:t>3</w:t>
      </w:r>
      <w:r>
        <w:rPr>
          <w:rFonts w:hint="eastAsia"/>
          <w:sz w:val="24"/>
        </w:rPr>
        <w:t>×</w:t>
      </w:r>
      <w:r>
        <w:rPr>
          <w:rFonts w:hint="eastAsia"/>
          <w:sz w:val="24"/>
        </w:rPr>
        <w:t>10</w:t>
      </w:r>
      <w:r>
        <w:rPr>
          <w:rFonts w:hint="eastAsia"/>
          <w:sz w:val="24"/>
          <w:vertAlign w:val="superscript"/>
        </w:rPr>
        <w:t>4</w:t>
      </w:r>
      <w:r>
        <w:rPr>
          <w:rFonts w:hint="eastAsia"/>
          <w:sz w:val="24"/>
        </w:rPr>
        <w:t>t/a</w:t>
      </w:r>
      <w:r>
        <w:rPr>
          <w:rFonts w:hint="eastAsia"/>
          <w:sz w:val="24"/>
        </w:rPr>
        <w:t>，开采方式为</w:t>
      </w:r>
      <w:r>
        <w:rPr>
          <w:rFonts w:hint="eastAsia"/>
          <w:sz w:val="24"/>
        </w:rPr>
        <w:t>冷采</w:t>
      </w:r>
      <w:r>
        <w:rPr>
          <w:rFonts w:hint="eastAsia"/>
          <w:sz w:val="24"/>
        </w:rPr>
        <w:t>9</w:t>
      </w:r>
      <w:r>
        <w:rPr>
          <w:rFonts w:hint="eastAsia"/>
          <w:sz w:val="24"/>
        </w:rPr>
        <w:t>口、热采</w:t>
      </w:r>
      <w:r>
        <w:rPr>
          <w:rFonts w:hint="eastAsia"/>
          <w:sz w:val="24"/>
        </w:rPr>
        <w:t>9</w:t>
      </w:r>
      <w:r>
        <w:rPr>
          <w:rFonts w:hint="eastAsia"/>
          <w:sz w:val="24"/>
        </w:rPr>
        <w:t>口；（</w:t>
      </w:r>
      <w:r>
        <w:rPr>
          <w:rFonts w:hint="eastAsia"/>
          <w:sz w:val="24"/>
        </w:rPr>
        <w:t>2</w:t>
      </w:r>
      <w:r>
        <w:rPr>
          <w:rFonts w:hint="eastAsia"/>
          <w:sz w:val="24"/>
        </w:rPr>
        <w:t>）</w:t>
      </w:r>
      <w:r>
        <w:rPr>
          <w:rFonts w:hint="eastAsia"/>
          <w:sz w:val="24"/>
        </w:rPr>
        <w:t>新建集油管线</w:t>
      </w:r>
      <w:r>
        <w:rPr>
          <w:rFonts w:hint="eastAsia"/>
          <w:sz w:val="24"/>
        </w:rPr>
        <w:t>13.9</w:t>
      </w:r>
      <w:r>
        <w:rPr>
          <w:rFonts w:hint="eastAsia"/>
          <w:sz w:val="24"/>
        </w:rPr>
        <w:t>km</w:t>
      </w:r>
      <w:r>
        <w:rPr>
          <w:rFonts w:hint="eastAsia"/>
          <w:sz w:val="24"/>
        </w:rPr>
        <w:t>、</w:t>
      </w:r>
      <w:r>
        <w:rPr>
          <w:rFonts w:hint="eastAsia"/>
          <w:sz w:val="24"/>
        </w:rPr>
        <w:t>掺水管线</w:t>
      </w:r>
      <w:r>
        <w:rPr>
          <w:rFonts w:hint="eastAsia"/>
          <w:sz w:val="24"/>
        </w:rPr>
        <w:t>10.3km</w:t>
      </w:r>
      <w:r>
        <w:rPr>
          <w:rFonts w:hint="eastAsia"/>
          <w:sz w:val="24"/>
        </w:rPr>
        <w:t>、</w:t>
      </w:r>
      <w:r>
        <w:rPr>
          <w:rFonts w:hint="eastAsia"/>
          <w:sz w:val="24"/>
        </w:rPr>
        <w:t>注汽管线</w:t>
      </w:r>
      <w:r>
        <w:rPr>
          <w:rFonts w:hint="eastAsia"/>
          <w:sz w:val="24"/>
        </w:rPr>
        <w:t>0.3km</w:t>
      </w:r>
      <w:r>
        <w:rPr>
          <w:rFonts w:hint="eastAsia"/>
          <w:sz w:val="24"/>
        </w:rPr>
        <w:t>、注水管线</w:t>
      </w:r>
      <w:r>
        <w:rPr>
          <w:rFonts w:hint="eastAsia"/>
          <w:sz w:val="24"/>
        </w:rPr>
        <w:t>2.05</w:t>
      </w:r>
      <w:r>
        <w:rPr>
          <w:rFonts w:hint="eastAsia"/>
          <w:sz w:val="24"/>
        </w:rPr>
        <w:t>km</w:t>
      </w:r>
      <w:r>
        <w:rPr>
          <w:rFonts w:hint="eastAsia"/>
          <w:sz w:val="24"/>
        </w:rPr>
        <w:t>、</w:t>
      </w:r>
      <w:r>
        <w:rPr>
          <w:rFonts w:hint="eastAsia"/>
          <w:sz w:val="24"/>
        </w:rPr>
        <w:t>伴生气掺烧管线</w:t>
      </w:r>
      <w:r>
        <w:rPr>
          <w:rFonts w:hint="eastAsia"/>
          <w:sz w:val="24"/>
        </w:rPr>
        <w:t>1.2km</w:t>
      </w:r>
      <w:r>
        <w:rPr>
          <w:rFonts w:hint="eastAsia"/>
          <w:sz w:val="24"/>
        </w:rPr>
        <w:t>；（</w:t>
      </w:r>
      <w:r>
        <w:rPr>
          <w:rFonts w:hint="eastAsia"/>
          <w:sz w:val="24"/>
        </w:rPr>
        <w:t>3</w:t>
      </w:r>
      <w:r>
        <w:rPr>
          <w:rFonts w:hint="eastAsia"/>
          <w:sz w:val="24"/>
        </w:rPr>
        <w:t>）在排</w:t>
      </w:r>
      <w:r>
        <w:rPr>
          <w:rFonts w:hint="eastAsia"/>
          <w:sz w:val="24"/>
        </w:rPr>
        <w:t>61</w:t>
      </w:r>
      <w:r>
        <w:rPr>
          <w:rFonts w:hint="eastAsia"/>
          <w:sz w:val="24"/>
        </w:rPr>
        <w:t>块中部的排</w:t>
      </w:r>
      <w:r>
        <w:rPr>
          <w:rFonts w:hint="eastAsia"/>
          <w:sz w:val="24"/>
        </w:rPr>
        <w:t>61-</w:t>
      </w:r>
      <w:r>
        <w:rPr>
          <w:rFonts w:hint="eastAsia"/>
          <w:sz w:val="24"/>
        </w:rPr>
        <w:t>平</w:t>
      </w:r>
      <w:r>
        <w:rPr>
          <w:rFonts w:hint="eastAsia"/>
          <w:sz w:val="24"/>
        </w:rPr>
        <w:t>14</w:t>
      </w:r>
      <w:r>
        <w:rPr>
          <w:rFonts w:hint="eastAsia"/>
          <w:sz w:val="24"/>
        </w:rPr>
        <w:t>新建增压点</w:t>
      </w:r>
      <w:r>
        <w:rPr>
          <w:rFonts w:hint="eastAsia"/>
          <w:sz w:val="24"/>
        </w:rPr>
        <w:t>1</w:t>
      </w:r>
      <w:r>
        <w:rPr>
          <w:rFonts w:hint="eastAsia"/>
          <w:sz w:val="24"/>
        </w:rPr>
        <w:t>处；对</w:t>
      </w:r>
      <w:r>
        <w:rPr>
          <w:rFonts w:hint="eastAsia"/>
          <w:sz w:val="24"/>
        </w:rPr>
        <w:t>1#</w:t>
      </w:r>
      <w:r>
        <w:rPr>
          <w:rFonts w:hint="eastAsia"/>
          <w:sz w:val="24"/>
        </w:rPr>
        <w:t>增压站</w:t>
      </w:r>
      <w:r>
        <w:rPr>
          <w:rFonts w:hint="eastAsia"/>
          <w:sz w:val="24"/>
        </w:rPr>
        <w:t>进行就地分水</w:t>
      </w:r>
      <w:r>
        <w:rPr>
          <w:rFonts w:hint="eastAsia"/>
          <w:sz w:val="24"/>
        </w:rPr>
        <w:lastRenderedPageBreak/>
        <w:t>改造</w:t>
      </w:r>
      <w:r>
        <w:rPr>
          <w:rFonts w:hint="eastAsia"/>
          <w:sz w:val="24"/>
        </w:rPr>
        <w:t>，</w:t>
      </w:r>
      <w:r>
        <w:rPr>
          <w:rFonts w:hint="eastAsia"/>
          <w:sz w:val="24"/>
        </w:rPr>
        <w:t>集输末端新建</w:t>
      </w:r>
      <w:r>
        <w:rPr>
          <w:rFonts w:hint="eastAsia"/>
          <w:sz w:val="24"/>
        </w:rPr>
        <w:t>掺水点</w:t>
      </w:r>
      <w:r>
        <w:rPr>
          <w:rFonts w:hint="eastAsia"/>
          <w:sz w:val="24"/>
        </w:rPr>
        <w:t>4</w:t>
      </w:r>
      <w:r>
        <w:rPr>
          <w:rFonts w:hint="eastAsia"/>
          <w:sz w:val="24"/>
        </w:rPr>
        <w:t>处，井口产液增压输至</w:t>
      </w:r>
      <w:r>
        <w:rPr>
          <w:rFonts w:hint="eastAsia"/>
          <w:sz w:val="24"/>
        </w:rPr>
        <w:t>1#</w:t>
      </w:r>
      <w:r>
        <w:rPr>
          <w:rFonts w:hint="eastAsia"/>
          <w:sz w:val="24"/>
        </w:rPr>
        <w:t>增压站增压后输至春风二号联合站处理</w:t>
      </w:r>
      <w:r>
        <w:rPr>
          <w:rFonts w:hint="eastAsia"/>
          <w:sz w:val="24"/>
        </w:rPr>
        <w:t>；</w:t>
      </w:r>
      <w:r>
        <w:rPr>
          <w:rFonts w:hint="eastAsia"/>
          <w:sz w:val="24"/>
        </w:rPr>
        <w:t>对排</w:t>
      </w:r>
      <w:r>
        <w:rPr>
          <w:rFonts w:hint="eastAsia"/>
          <w:sz w:val="24"/>
        </w:rPr>
        <w:t>7</w:t>
      </w:r>
      <w:r>
        <w:rPr>
          <w:rFonts w:hint="eastAsia"/>
          <w:sz w:val="24"/>
        </w:rPr>
        <w:t>注水站进行改扩建，站内新增</w:t>
      </w:r>
      <w:r>
        <w:rPr>
          <w:rFonts w:hint="eastAsia"/>
          <w:sz w:val="24"/>
        </w:rPr>
        <w:t>1</w:t>
      </w:r>
      <w:r>
        <w:rPr>
          <w:rFonts w:hint="eastAsia"/>
          <w:sz w:val="24"/>
        </w:rPr>
        <w:t>座缓冲罐、</w:t>
      </w:r>
      <w:r>
        <w:rPr>
          <w:rFonts w:hint="eastAsia"/>
          <w:sz w:val="24"/>
        </w:rPr>
        <w:t>3</w:t>
      </w:r>
      <w:r>
        <w:rPr>
          <w:rFonts w:hint="eastAsia"/>
          <w:sz w:val="24"/>
        </w:rPr>
        <w:t>台喂水泵，更换</w:t>
      </w:r>
      <w:r>
        <w:rPr>
          <w:rFonts w:hint="eastAsia"/>
          <w:sz w:val="24"/>
        </w:rPr>
        <w:t>2</w:t>
      </w:r>
      <w:r>
        <w:rPr>
          <w:rFonts w:hint="eastAsia"/>
          <w:sz w:val="24"/>
        </w:rPr>
        <w:t>台注水泵等</w:t>
      </w:r>
      <w:r>
        <w:rPr>
          <w:rFonts w:hint="eastAsia"/>
          <w:sz w:val="24"/>
        </w:rPr>
        <w:t>。</w:t>
      </w:r>
      <w:r>
        <w:rPr>
          <w:rFonts w:hint="eastAsia"/>
          <w:sz w:val="24"/>
        </w:rPr>
        <w:t>配套自动控制、通信</w:t>
      </w:r>
      <w:r>
        <w:rPr>
          <w:rFonts w:hint="eastAsia"/>
          <w:sz w:val="24"/>
        </w:rPr>
        <w:t>、供配电、道路、防腐、消防等辅助及公用工程。</w:t>
      </w:r>
      <w:r>
        <w:rPr>
          <w:rFonts w:hint="eastAsia"/>
          <w:sz w:val="24"/>
        </w:rPr>
        <w:t>所有工程均呈点线状分布在春风油田采矿权范围内；不涉及中央环保督察整改任务；各项工程均不占生态保护红线，距离约</w:t>
      </w:r>
      <w:r>
        <w:rPr>
          <w:rFonts w:hint="eastAsia"/>
          <w:sz w:val="24"/>
        </w:rPr>
        <w:t>16km</w:t>
      </w:r>
      <w:r>
        <w:rPr>
          <w:sz w:val="24"/>
        </w:rPr>
        <w:t>。</w:t>
      </w:r>
      <w:r>
        <w:rPr>
          <w:rFonts w:hint="eastAsia"/>
          <w:sz w:val="24"/>
        </w:rPr>
        <w:t>工程总投资</w:t>
      </w:r>
      <w:r>
        <w:rPr>
          <w:rFonts w:hint="eastAsia"/>
          <w:sz w:val="24"/>
        </w:rPr>
        <w:t>11398.55</w:t>
      </w:r>
      <w:r>
        <w:rPr>
          <w:rFonts w:hint="eastAsia"/>
          <w:sz w:val="24"/>
        </w:rPr>
        <w:t>万元。</w:t>
      </w:r>
    </w:p>
    <w:p w:rsidR="00EE4502" w:rsidRDefault="00FD45A3">
      <w:pPr>
        <w:spacing w:line="360" w:lineRule="auto"/>
        <w:ind w:firstLineChars="200" w:firstLine="480"/>
        <w:rPr>
          <w:sz w:val="24"/>
        </w:rPr>
      </w:pPr>
      <w:r>
        <w:rPr>
          <w:rFonts w:hint="eastAsia"/>
          <w:bCs/>
          <w:sz w:val="24"/>
        </w:rPr>
        <w:t>本工程</w:t>
      </w:r>
      <w:r>
        <w:rPr>
          <w:sz w:val="24"/>
        </w:rPr>
        <w:t>属于《产业结构调整指导目录（</w:t>
      </w:r>
      <w:r>
        <w:rPr>
          <w:sz w:val="24"/>
        </w:rPr>
        <w:t>20</w:t>
      </w:r>
      <w:r>
        <w:rPr>
          <w:rFonts w:hint="eastAsia"/>
          <w:sz w:val="24"/>
        </w:rPr>
        <w:t>24</w:t>
      </w:r>
      <w:r>
        <w:rPr>
          <w:sz w:val="24"/>
        </w:rPr>
        <w:t>年本）》中</w:t>
      </w:r>
      <w:r>
        <w:rPr>
          <w:rFonts w:hint="eastAsia"/>
          <w:sz w:val="24"/>
        </w:rPr>
        <w:t>“</w:t>
      </w:r>
      <w:r>
        <w:rPr>
          <w:sz w:val="24"/>
        </w:rPr>
        <w:t>第一类</w:t>
      </w:r>
      <w:r>
        <w:rPr>
          <w:sz w:val="24"/>
        </w:rPr>
        <w:t xml:space="preserve"> </w:t>
      </w:r>
      <w:r>
        <w:rPr>
          <w:sz w:val="24"/>
        </w:rPr>
        <w:t>鼓励类，第七、石油天然气</w:t>
      </w:r>
      <w:r>
        <w:rPr>
          <w:sz w:val="24"/>
        </w:rPr>
        <w:t>——1.</w:t>
      </w:r>
      <w:r>
        <w:rPr>
          <w:sz w:val="24"/>
        </w:rPr>
        <w:t>常规石油、天然气勘探与开采</w:t>
      </w:r>
      <w:r>
        <w:rPr>
          <w:rFonts w:hint="eastAsia"/>
          <w:sz w:val="24"/>
        </w:rPr>
        <w:t>”</w:t>
      </w:r>
      <w:r>
        <w:rPr>
          <w:sz w:val="24"/>
        </w:rPr>
        <w:t>，属于国家</w:t>
      </w:r>
      <w:r>
        <w:rPr>
          <w:rFonts w:hint="eastAsia"/>
          <w:sz w:val="24"/>
        </w:rPr>
        <w:t>“鼓励类”</w:t>
      </w:r>
      <w:r>
        <w:rPr>
          <w:sz w:val="24"/>
        </w:rPr>
        <w:t>项目。</w:t>
      </w:r>
      <w:r>
        <w:rPr>
          <w:rFonts w:hint="eastAsia"/>
          <w:sz w:val="24"/>
        </w:rPr>
        <w:t>本工程</w:t>
      </w:r>
      <w:r>
        <w:rPr>
          <w:sz w:val="24"/>
        </w:rPr>
        <w:t>建</w:t>
      </w:r>
      <w:r>
        <w:rPr>
          <w:sz w:val="24"/>
        </w:rPr>
        <w:t>设为国家争取了宝贵的油气资源，同时为国家赢得了可观的税收，对改善国家能源结构，缓解能源紧张，促进经济社会可持续发展具有重要意义。</w:t>
      </w:r>
    </w:p>
    <w:p w:rsidR="00EE4502" w:rsidRDefault="00FD45A3">
      <w:pPr>
        <w:pStyle w:val="22"/>
        <w:numPr>
          <w:ilvl w:val="1"/>
          <w:numId w:val="30"/>
        </w:numPr>
        <w:rPr>
          <w:spacing w:val="0"/>
          <w:w w:val="100"/>
        </w:rPr>
      </w:pPr>
      <w:bookmarkStart w:id="2" w:name="_Toc11329"/>
      <w:r>
        <w:rPr>
          <w:spacing w:val="0"/>
          <w:w w:val="100"/>
        </w:rPr>
        <w:t>环境影响评价工作过程</w:t>
      </w:r>
      <w:bookmarkEnd w:id="2"/>
    </w:p>
    <w:p w:rsidR="00EE4502" w:rsidRDefault="00FD45A3">
      <w:pPr>
        <w:spacing w:line="360" w:lineRule="auto"/>
        <w:ind w:firstLine="480"/>
        <w:rPr>
          <w:sz w:val="24"/>
        </w:rPr>
      </w:pPr>
      <w:r>
        <w:rPr>
          <w:sz w:val="24"/>
        </w:rPr>
        <w:t>根据《中华人民共和国环境保护法</w:t>
      </w:r>
      <w:r>
        <w:rPr>
          <w:rFonts w:hint="eastAsia"/>
          <w:sz w:val="24"/>
        </w:rPr>
        <w:t>》《</w:t>
      </w:r>
      <w:r>
        <w:rPr>
          <w:sz w:val="24"/>
        </w:rPr>
        <w:t>中华人民共和国环境影响评价法》、国务院令第</w:t>
      </w:r>
      <w:r>
        <w:rPr>
          <w:sz w:val="24"/>
        </w:rPr>
        <w:t>682</w:t>
      </w:r>
      <w:r>
        <w:rPr>
          <w:sz w:val="24"/>
        </w:rPr>
        <w:t>号《国务院关于修改〈建设项目环境保护管理条例〉的决定》和《建设项目环境影响评价分类管理名录》及修改单的有关规定，中石化新疆新春石油开发有限责任公司于</w:t>
      </w:r>
      <w:r>
        <w:rPr>
          <w:sz w:val="24"/>
        </w:rPr>
        <w:t>202</w:t>
      </w:r>
      <w:r>
        <w:rPr>
          <w:rFonts w:hint="eastAsia"/>
          <w:sz w:val="24"/>
        </w:rPr>
        <w:t>4</w:t>
      </w:r>
      <w:r>
        <w:rPr>
          <w:sz w:val="24"/>
        </w:rPr>
        <w:t>年</w:t>
      </w:r>
      <w:r>
        <w:rPr>
          <w:rFonts w:hint="eastAsia"/>
          <w:sz w:val="24"/>
        </w:rPr>
        <w:t>1</w:t>
      </w:r>
      <w:r>
        <w:rPr>
          <w:rFonts w:hint="eastAsia"/>
          <w:sz w:val="24"/>
        </w:rPr>
        <w:t>1</w:t>
      </w:r>
      <w:r>
        <w:rPr>
          <w:sz w:val="24"/>
        </w:rPr>
        <w:t>月委托我公司承担</w:t>
      </w:r>
      <w:r>
        <w:rPr>
          <w:rFonts w:hint="eastAsia"/>
          <w:sz w:val="24"/>
        </w:rPr>
        <w:t>“</w:t>
      </w:r>
      <w:r>
        <w:rPr>
          <w:rFonts w:hint="eastAsia"/>
          <w:sz w:val="24"/>
        </w:rPr>
        <w:t>春风油田石炭系排</w:t>
      </w:r>
      <w:r>
        <w:rPr>
          <w:rFonts w:hint="eastAsia"/>
          <w:sz w:val="24"/>
        </w:rPr>
        <w:t>61</w:t>
      </w:r>
      <w:r>
        <w:rPr>
          <w:rFonts w:hint="eastAsia"/>
          <w:sz w:val="24"/>
        </w:rPr>
        <w:t>块产能建设工程</w:t>
      </w:r>
      <w:r>
        <w:rPr>
          <w:rFonts w:hint="eastAsia"/>
          <w:sz w:val="24"/>
        </w:rPr>
        <w:t>”</w:t>
      </w:r>
      <w:r>
        <w:rPr>
          <w:sz w:val="24"/>
        </w:rPr>
        <w:t>的环境影响评价工作。我公司承担评价任务后，按照环境影响评价的有关工作程序，组织专业人员，对</w:t>
      </w:r>
      <w:r>
        <w:rPr>
          <w:rFonts w:hint="eastAsia"/>
          <w:sz w:val="24"/>
        </w:rPr>
        <w:t>工程区</w:t>
      </w:r>
      <w:r>
        <w:rPr>
          <w:sz w:val="24"/>
        </w:rPr>
        <w:t>现场实地踏勘、开展现状监测、收集资料，对建设项目进行工程分析，根据环境各要素的评价等级及其相应评价等级的要求对各要素环境影响进行预测和评价，提出环境保护措施并进行经济技术论证，提出环境可行的评价结论，并在上级环境保护主管部门和建设单位的积极配合和大力支持下，顺利编制完成了《</w:t>
      </w:r>
      <w:r>
        <w:rPr>
          <w:rFonts w:hint="eastAsia"/>
          <w:sz w:val="24"/>
        </w:rPr>
        <w:t>春风油田石炭系排</w:t>
      </w:r>
      <w:r>
        <w:rPr>
          <w:rFonts w:hint="eastAsia"/>
          <w:sz w:val="24"/>
        </w:rPr>
        <w:t>61</w:t>
      </w:r>
      <w:r>
        <w:rPr>
          <w:rFonts w:hint="eastAsia"/>
          <w:sz w:val="24"/>
        </w:rPr>
        <w:t>块产能建设工程</w:t>
      </w:r>
      <w:r>
        <w:rPr>
          <w:sz w:val="24"/>
        </w:rPr>
        <w:t>环境影响报告书》，现提交</w:t>
      </w:r>
      <w:r>
        <w:rPr>
          <w:rFonts w:hint="eastAsia"/>
          <w:sz w:val="24"/>
        </w:rPr>
        <w:t>生态环境</w:t>
      </w:r>
      <w:r>
        <w:rPr>
          <w:sz w:val="24"/>
        </w:rPr>
        <w:t>主管部门审查。</w:t>
      </w:r>
    </w:p>
    <w:p w:rsidR="00EE4502" w:rsidRDefault="00FD45A3">
      <w:pPr>
        <w:spacing w:line="360" w:lineRule="auto"/>
        <w:ind w:firstLine="480"/>
        <w:rPr>
          <w:sz w:val="24"/>
        </w:rPr>
      </w:pPr>
      <w:r>
        <w:rPr>
          <w:rFonts w:hint="eastAsia"/>
          <w:bCs/>
          <w:sz w:val="24"/>
        </w:rPr>
        <w:t>本工程</w:t>
      </w:r>
      <w:r>
        <w:rPr>
          <w:bCs/>
          <w:sz w:val="24"/>
        </w:rPr>
        <w:t>环境影响评价工作程序见图</w:t>
      </w:r>
      <w:r>
        <w:rPr>
          <w:rFonts w:hint="eastAsia"/>
          <w:bCs/>
          <w:sz w:val="24"/>
        </w:rPr>
        <w:t>1</w:t>
      </w:r>
      <w:r>
        <w:rPr>
          <w:bCs/>
          <w:sz w:val="24"/>
        </w:rPr>
        <w:t>-2-1</w:t>
      </w:r>
      <w:r>
        <w:rPr>
          <w:bCs/>
          <w:sz w:val="24"/>
        </w:rPr>
        <w:t>。</w:t>
      </w:r>
    </w:p>
    <w:p w:rsidR="00EE4502" w:rsidRDefault="00EE4502">
      <w:pPr>
        <w:spacing w:line="360" w:lineRule="auto"/>
        <w:jc w:val="center"/>
        <w:sectPr w:rsidR="00EE4502">
          <w:headerReference w:type="default" r:id="rId10"/>
          <w:footerReference w:type="default" r:id="rId11"/>
          <w:pgSz w:w="11906" w:h="16838"/>
          <w:pgMar w:top="1440" w:right="1800" w:bottom="1440" w:left="1800" w:header="850" w:footer="850" w:gutter="0"/>
          <w:pgNumType w:fmt="numberInDash" w:start="1"/>
          <w:cols w:space="720"/>
          <w:docGrid w:linePitch="326"/>
        </w:sectPr>
      </w:pPr>
    </w:p>
    <w:p w:rsidR="00EE4502" w:rsidRDefault="00FD45A3">
      <w:pPr>
        <w:ind w:firstLine="480"/>
        <w:rPr>
          <w:szCs w:val="20"/>
        </w:rPr>
      </w:pPr>
      <w:r>
        <w:rPr>
          <w:noProof/>
          <w:szCs w:val="20"/>
        </w:rPr>
        <w:lastRenderedPageBreak/>
        <mc:AlternateContent>
          <mc:Choice Requires="wps">
            <w:drawing>
              <wp:anchor distT="0" distB="0" distL="114300" distR="114300" simplePos="0" relativeHeight="251665408" behindDoc="0" locked="0" layoutInCell="1" allowOverlap="1">
                <wp:simplePos x="0" y="0"/>
                <wp:positionH relativeFrom="column">
                  <wp:posOffset>100330</wp:posOffset>
                </wp:positionH>
                <wp:positionV relativeFrom="paragraph">
                  <wp:posOffset>99060</wp:posOffset>
                </wp:positionV>
                <wp:extent cx="5172075" cy="6936105"/>
                <wp:effectExtent l="4445" t="4445" r="5080" b="12700"/>
                <wp:wrapNone/>
                <wp:docPr id="117" name="矩形 117"/>
                <wp:cNvGraphicFramePr/>
                <a:graphic xmlns:a="http://schemas.openxmlformats.org/drawingml/2006/main">
                  <a:graphicData uri="http://schemas.microsoft.com/office/word/2010/wordprocessingShape">
                    <wps:wsp>
                      <wps:cNvSpPr/>
                      <wps:spPr>
                        <a:xfrm>
                          <a:off x="0" y="0"/>
                          <a:ext cx="5172075" cy="6936105"/>
                        </a:xfrm>
                        <a:prstGeom prst="rect">
                          <a:avLst/>
                        </a:prstGeom>
                        <a:noFill/>
                        <a:ln w="9525" cap="flat" cmpd="sng">
                          <a:solidFill>
                            <a:srgbClr val="000000"/>
                          </a:solidFill>
                          <a:prstDash val="dash"/>
                          <a:miter/>
                          <a:headEnd type="none" w="med" len="med"/>
                          <a:tailEnd type="none" w="med" len="med"/>
                        </a:ln>
                      </wps:spPr>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7.9pt;margin-top:7.8pt;height:546.15pt;width:407.25pt;z-index:251680768;mso-width-relative:page;mso-height-relative:page;" filled="f" stroked="t" coordsize="21600,21600" o:gfxdata="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9N+zY1gAAAAoBAAAPAAAAAAAAAAEAIAAAACIAAABkcnMvZG93bnJldi54bWxQ&#10;SwECFAAUAAAACACHTuJA6tZix/kBAAD5AwAADgAAAAAAAAABACAAAAAlAQAAZHJzL2Uyb0RvYy54&#10;bWxQSwUGAAAAAAYABgBZAQAAkAUAAAAA&#10;">
                <v:fill on="f" focussize="0,0"/>
                <v:stroke color="#000000" joinstyle="miter" dashstyle="dash"/>
                <v:imagedata o:title=""/>
                <o:lock v:ext="edit" aspectratio="f"/>
              </v:rect>
            </w:pict>
          </mc:Fallback>
        </mc:AlternateContent>
      </w:r>
    </w:p>
    <w:p w:rsidR="00EE4502" w:rsidRDefault="00FD45A3">
      <w:pPr>
        <w:spacing w:line="400" w:lineRule="atLeast"/>
        <w:ind w:firstLine="480"/>
        <w:rPr>
          <w:szCs w:val="20"/>
        </w:rPr>
      </w:pPr>
      <w:r>
        <w:rPr>
          <w:noProof/>
          <w:szCs w:val="20"/>
        </w:rPr>
        <mc:AlternateContent>
          <mc:Choice Requires="wps">
            <w:drawing>
              <wp:anchor distT="0" distB="0" distL="114300" distR="114300" simplePos="0" relativeHeight="251648000" behindDoc="0" locked="0" layoutInCell="1" allowOverlap="1">
                <wp:simplePos x="0" y="0"/>
                <wp:positionH relativeFrom="column">
                  <wp:posOffset>1110615</wp:posOffset>
                </wp:positionH>
                <wp:positionV relativeFrom="paragraph">
                  <wp:posOffset>81280</wp:posOffset>
                </wp:positionV>
                <wp:extent cx="2936875" cy="285750"/>
                <wp:effectExtent l="4445" t="4445" r="11430" b="14605"/>
                <wp:wrapNone/>
                <wp:docPr id="118" name="矩形 118"/>
                <wp:cNvGraphicFramePr/>
                <a:graphic xmlns:a="http://schemas.openxmlformats.org/drawingml/2006/main">
                  <a:graphicData uri="http://schemas.microsoft.com/office/word/2010/wordprocessingShape">
                    <wps:wsp>
                      <wps:cNvSpPr/>
                      <wps:spPr>
                        <a:xfrm>
                          <a:off x="0" y="0"/>
                          <a:ext cx="2936875" cy="2857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EE4502" w:rsidRDefault="00FD45A3">
                            <w:pPr>
                              <w:widowControl/>
                              <w:ind w:firstLineChars="150" w:firstLine="315"/>
                              <w:rPr>
                                <w:rFonts w:ascii="宋体" w:hAnsi="宋体" w:cs="宋体"/>
                                <w:kern w:val="0"/>
                                <w:szCs w:val="21"/>
                              </w:rPr>
                            </w:pPr>
                            <w:r>
                              <w:rPr>
                                <w:rFonts w:ascii="宋体" w:hAnsi="宋体" w:cs="宋体" w:hint="eastAsia"/>
                                <w:kern w:val="0"/>
                                <w:szCs w:val="21"/>
                              </w:rPr>
                              <w:t>收集分析工程技术文件以及相关基础资料</w:t>
                            </w:r>
                          </w:p>
                        </w:txbxContent>
                      </wps:txbx>
                      <wps:bodyPr upright="1"/>
                    </wps:wsp>
                  </a:graphicData>
                </a:graphic>
              </wp:anchor>
            </w:drawing>
          </mc:Choice>
          <mc:Fallback>
            <w:pict>
              <v:rect id="矩形 118" o:spid="_x0000_s1026" style="position:absolute;left:0;text-align:left;margin-left:87.45pt;margin-top:6.4pt;width:231.25pt;height:22.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">
                <v:textbox>
                  <w:txbxContent>
                    <w:p w:rsidR="00EE4502" w:rsidRDefault="00FD45A3">
                      <w:pPr>
                        <w:widowControl/>
                        <w:ind w:firstLineChars="150" w:firstLine="315"/>
                        <w:rPr>
                          <w:rFonts w:ascii="宋体" w:hAnsi="宋体" w:cs="宋体"/>
                          <w:kern w:val="0"/>
                          <w:szCs w:val="21"/>
                        </w:rPr>
                      </w:pPr>
                      <w:r>
                        <w:rPr>
                          <w:rFonts w:ascii="宋体" w:hAnsi="宋体" w:cs="宋体" w:hint="eastAsia"/>
                          <w:kern w:val="0"/>
                          <w:szCs w:val="21"/>
                        </w:rPr>
                        <w:t>收集分析工程技术文件以及相关基础资料</w:t>
                      </w:r>
                    </w:p>
                  </w:txbxContent>
                </v:textbox>
              </v:rect>
            </w:pict>
          </mc:Fallback>
        </mc:AlternateContent>
      </w:r>
    </w:p>
    <w:p w:rsidR="00EE4502" w:rsidRDefault="00FD45A3">
      <w:pPr>
        <w:spacing w:line="400" w:lineRule="atLeast"/>
        <w:ind w:firstLine="480"/>
        <w:rPr>
          <w:szCs w:val="20"/>
        </w:rPr>
      </w:pPr>
      <w:r>
        <w:rPr>
          <w:noProof/>
          <w:szCs w:val="20"/>
        </w:rPr>
        <mc:AlternateContent>
          <mc:Choice Requires="wps">
            <w:drawing>
              <wp:anchor distT="0" distB="0" distL="114300" distR="114300" simplePos="0" relativeHeight="251649024" behindDoc="0" locked="0" layoutInCell="1" allowOverlap="1">
                <wp:simplePos x="0" y="0"/>
                <wp:positionH relativeFrom="column">
                  <wp:posOffset>2578100</wp:posOffset>
                </wp:positionH>
                <wp:positionV relativeFrom="paragraph">
                  <wp:posOffset>113030</wp:posOffset>
                </wp:positionV>
                <wp:extent cx="1270" cy="261620"/>
                <wp:effectExtent l="37465" t="0" r="37465" b="5080"/>
                <wp:wrapNone/>
                <wp:docPr id="120" name="直接箭头连接符 120"/>
                <wp:cNvGraphicFramePr/>
                <a:graphic xmlns:a="http://schemas.openxmlformats.org/drawingml/2006/main">
                  <a:graphicData uri="http://schemas.microsoft.com/office/word/2010/wordprocessingShape">
                    <wps:wsp>
                      <wps:cNvCnPr/>
                      <wps:spPr>
                        <a:xfrm flipH="1">
                          <a:off x="0" y="0"/>
                          <a:ext cx="1270" cy="26162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flip:x;margin-left:203pt;margin-top:8.9pt;height:20.6pt;width:0.1pt;z-index:251664384;mso-width-relative:page;mso-height-relative:page;" filled="f" stroked="t" coordsize="21600,21600" o:gfxdata="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uJKSE2AAAAAkBAAAPAAAAAAAAAAEAIAAAACIAAABkcnMvZG93bnJldi54bWxQ&#10;SwECFAAUAAAACACHTuJALzR87zACAABSBAAADgAAAAAAAAABACAAAAAnAQAAZHJzL2Uyb0RvYy54&#10;bWxQSwUGAAAAAAYABgBZAQAAyQUAAAAA&#10;">
                <v:fill on="f" focussize="0,0"/>
                <v:stroke color="#000000" joinstyle="round" endarrow="block"/>
                <v:imagedata o:title=""/>
                <o:lock v:ext="edit" aspectratio="f"/>
              </v:shape>
            </w:pict>
          </mc:Fallback>
        </mc:AlternateContent>
      </w:r>
    </w:p>
    <w:p w:rsidR="00EE4502" w:rsidRDefault="00FD45A3">
      <w:pPr>
        <w:spacing w:line="400" w:lineRule="atLeast"/>
        <w:ind w:firstLine="480"/>
        <w:rPr>
          <w:szCs w:val="20"/>
        </w:rPr>
      </w:pPr>
      <w:r>
        <w:rPr>
          <w:noProof/>
          <w:szCs w:val="20"/>
        </w:rPr>
        <mc:AlternateContent>
          <mc:Choice Requires="wps">
            <w:drawing>
              <wp:anchor distT="0" distB="0" distL="114300" distR="114300" simplePos="0" relativeHeight="251662336" behindDoc="0" locked="0" layoutInCell="1" allowOverlap="1">
                <wp:simplePos x="0" y="0"/>
                <wp:positionH relativeFrom="column">
                  <wp:posOffset>100330</wp:posOffset>
                </wp:positionH>
                <wp:positionV relativeFrom="paragraph">
                  <wp:posOffset>156845</wp:posOffset>
                </wp:positionV>
                <wp:extent cx="266700" cy="1123950"/>
                <wp:effectExtent l="0" t="0" r="0" b="0"/>
                <wp:wrapNone/>
                <wp:docPr id="160" name="矩形 160"/>
                <wp:cNvGraphicFramePr/>
                <a:graphic xmlns:a="http://schemas.openxmlformats.org/drawingml/2006/main">
                  <a:graphicData uri="http://schemas.microsoft.com/office/word/2010/wordprocessingShape">
                    <wps:wsp>
                      <wps:cNvSpPr/>
                      <wps:spPr>
                        <a:xfrm>
                          <a:off x="0" y="0"/>
                          <a:ext cx="266700" cy="1123950"/>
                        </a:xfrm>
                        <a:prstGeom prst="rect">
                          <a:avLst/>
                        </a:prstGeom>
                        <a:noFill/>
                        <a:ln w="9525">
                          <a:noFill/>
                        </a:ln>
                        <a:effectLst/>
                      </wps:spPr>
                      <wps:txbx>
                        <w:txbxContent>
                          <w:p w:rsidR="00EE4502" w:rsidRDefault="00FD45A3">
                            <w:pPr>
                              <w:widowControl/>
                              <w:ind w:firstLine="480"/>
                              <w:jc w:val="center"/>
                              <w:rPr>
                                <w:rFonts w:ascii="宋体" w:hAnsi="宋体" w:cs="宋体"/>
                                <w:kern w:val="0"/>
                              </w:rPr>
                            </w:pPr>
                            <w:r>
                              <w:rPr>
                                <w:rFonts w:ascii="宋体" w:hAnsi="宋体" w:cs="宋体" w:hint="eastAsia"/>
                                <w:kern w:val="0"/>
                              </w:rPr>
                              <w:t>第第一阶段</w:t>
                            </w:r>
                          </w:p>
                        </w:txbxContent>
                      </wps:txbx>
                      <wps:bodyPr upright="1"/>
                    </wps:wsp>
                  </a:graphicData>
                </a:graphic>
              </wp:anchor>
            </w:drawing>
          </mc:Choice>
          <mc:Fallback>
            <w:pict>
              <v:rect id="矩形 160" o:spid="_x0000_s1027" style="position:absolute;left:0;text-align:left;margin-left:7.9pt;margin-top:12.35pt;width:21pt;height:88.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" filled="f" stroked="f">
                <v:textbox>
                  <w:txbxContent>
                    <w:p w:rsidR="00EE4502" w:rsidRDefault="00FD45A3">
                      <w:pPr>
                        <w:widowControl/>
                        <w:ind w:firstLine="480"/>
                        <w:jc w:val="center"/>
                        <w:rPr>
                          <w:rFonts w:ascii="宋体" w:hAnsi="宋体" w:cs="宋体"/>
                          <w:kern w:val="0"/>
                        </w:rPr>
                      </w:pPr>
                      <w:r>
                        <w:rPr>
                          <w:rFonts w:ascii="宋体" w:hAnsi="宋体" w:cs="宋体" w:hint="eastAsia"/>
                          <w:kern w:val="0"/>
                        </w:rPr>
                        <w:t>第第一阶段</w:t>
                      </w:r>
                    </w:p>
                  </w:txbxContent>
                </v:textbox>
              </v:rect>
            </w:pict>
          </mc:Fallback>
        </mc:AlternateContent>
      </w:r>
      <w:r>
        <w:rPr>
          <w:noProof/>
          <w:szCs w:val="20"/>
        </w:rPr>
        <mc:AlternateContent>
          <mc:Choice Requires="wps">
            <w:drawing>
              <wp:anchor distT="0" distB="0" distL="114300" distR="114300" simplePos="0" relativeHeight="251646976" behindDoc="0" locked="0" layoutInCell="1" allowOverlap="1">
                <wp:simplePos x="0" y="0"/>
                <wp:positionH relativeFrom="column">
                  <wp:posOffset>1158875</wp:posOffset>
                </wp:positionH>
                <wp:positionV relativeFrom="paragraph">
                  <wp:posOffset>120650</wp:posOffset>
                </wp:positionV>
                <wp:extent cx="2838450" cy="735330"/>
                <wp:effectExtent l="4445" t="4445" r="14605" b="22225"/>
                <wp:wrapNone/>
                <wp:docPr id="161" name="矩形 161"/>
                <wp:cNvGraphicFramePr/>
                <a:graphic xmlns:a="http://schemas.openxmlformats.org/drawingml/2006/main">
                  <a:graphicData uri="http://schemas.microsoft.com/office/word/2010/wordprocessingShape">
                    <wps:wsp>
                      <wps:cNvSpPr/>
                      <wps:spPr>
                        <a:xfrm>
                          <a:off x="0" y="0"/>
                          <a:ext cx="2838450" cy="7353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EE4502" w:rsidRDefault="00FD45A3">
                            <w:pPr>
                              <w:jc w:val="center"/>
                              <w:rPr>
                                <w:szCs w:val="21"/>
                              </w:rPr>
                            </w:pPr>
                            <w:r>
                              <w:rPr>
                                <w:rFonts w:hint="eastAsia"/>
                                <w:szCs w:val="21"/>
                              </w:rPr>
                              <w:t>进行工程分析，识别环境影响</w:t>
                            </w:r>
                          </w:p>
                          <w:p w:rsidR="00EE4502" w:rsidRDefault="00FD45A3">
                            <w:pPr>
                              <w:jc w:val="center"/>
                              <w:rPr>
                                <w:szCs w:val="21"/>
                              </w:rPr>
                            </w:pPr>
                            <w:r>
                              <w:rPr>
                                <w:rFonts w:hint="eastAsia"/>
                                <w:szCs w:val="21"/>
                              </w:rPr>
                              <w:t>并筛选评价因子，明确环境影响</w:t>
                            </w:r>
                          </w:p>
                          <w:p w:rsidR="00EE4502" w:rsidRDefault="00FD45A3">
                            <w:pPr>
                              <w:jc w:val="center"/>
                              <w:rPr>
                                <w:szCs w:val="21"/>
                              </w:rPr>
                            </w:pPr>
                            <w:r>
                              <w:rPr>
                                <w:rFonts w:hint="eastAsia"/>
                                <w:szCs w:val="21"/>
                              </w:rPr>
                              <w:t>评价工作重点和环境保护目标</w:t>
                            </w:r>
                          </w:p>
                        </w:txbxContent>
                      </wps:txbx>
                      <wps:bodyPr upright="1"/>
                    </wps:wsp>
                  </a:graphicData>
                </a:graphic>
              </wp:anchor>
            </w:drawing>
          </mc:Choice>
          <mc:Fallback>
            <w:pict>
              <v:rect id="矩形 161" o:spid="_x0000_s1028" style="position:absolute;left:0;text-align:left;margin-left:91.25pt;margin-top:9.5pt;width:223.5pt;height:57.9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">
                <v:textbox>
                  <w:txbxContent>
                    <w:p w:rsidR="00EE4502" w:rsidRDefault="00FD45A3">
                      <w:pPr>
                        <w:jc w:val="center"/>
                        <w:rPr>
                          <w:szCs w:val="21"/>
                        </w:rPr>
                      </w:pPr>
                      <w:r>
                        <w:rPr>
                          <w:rFonts w:hint="eastAsia"/>
                          <w:szCs w:val="21"/>
                        </w:rPr>
                        <w:t>进行工程分析，识别环境影响</w:t>
                      </w:r>
                    </w:p>
                    <w:p w:rsidR="00EE4502" w:rsidRDefault="00FD45A3">
                      <w:pPr>
                        <w:jc w:val="center"/>
                        <w:rPr>
                          <w:szCs w:val="21"/>
                        </w:rPr>
                      </w:pPr>
                      <w:r>
                        <w:rPr>
                          <w:rFonts w:hint="eastAsia"/>
                          <w:szCs w:val="21"/>
                        </w:rPr>
                        <w:t>并筛选评价因子，明确环境影响</w:t>
                      </w:r>
                    </w:p>
                    <w:p w:rsidR="00EE4502" w:rsidRDefault="00FD45A3">
                      <w:pPr>
                        <w:jc w:val="center"/>
                        <w:rPr>
                          <w:szCs w:val="21"/>
                        </w:rPr>
                      </w:pPr>
                      <w:r>
                        <w:rPr>
                          <w:rFonts w:hint="eastAsia"/>
                          <w:szCs w:val="21"/>
                        </w:rPr>
                        <w:t>评价工作重点和环境保护目标</w:t>
                      </w:r>
                    </w:p>
                  </w:txbxContent>
                </v:textbox>
              </v:rect>
            </w:pict>
          </mc:Fallback>
        </mc:AlternateContent>
      </w:r>
    </w:p>
    <w:p w:rsidR="00EE4502" w:rsidRDefault="00EE4502">
      <w:pPr>
        <w:spacing w:line="400" w:lineRule="atLeast"/>
        <w:ind w:firstLine="480"/>
        <w:rPr>
          <w:szCs w:val="20"/>
        </w:rPr>
      </w:pPr>
    </w:p>
    <w:p w:rsidR="00EE4502" w:rsidRDefault="00EE4502">
      <w:pPr>
        <w:spacing w:line="400" w:lineRule="atLeast"/>
        <w:ind w:firstLine="480"/>
        <w:rPr>
          <w:szCs w:val="20"/>
        </w:rPr>
      </w:pPr>
    </w:p>
    <w:p w:rsidR="00EE4502" w:rsidRDefault="00FD45A3">
      <w:pPr>
        <w:spacing w:line="400" w:lineRule="atLeast"/>
        <w:ind w:firstLine="480"/>
        <w:rPr>
          <w:szCs w:val="20"/>
        </w:rPr>
      </w:pPr>
      <w:r>
        <w:rPr>
          <w:noProof/>
          <w:szCs w:val="20"/>
        </w:rPr>
        <mc:AlternateContent>
          <mc:Choice Requires="wps">
            <w:drawing>
              <wp:anchor distT="0" distB="0" distL="114300" distR="114300" simplePos="0" relativeHeight="251650048" behindDoc="0" locked="0" layoutInCell="1" allowOverlap="1">
                <wp:simplePos x="0" y="0"/>
                <wp:positionH relativeFrom="column">
                  <wp:posOffset>2578100</wp:posOffset>
                </wp:positionH>
                <wp:positionV relativeFrom="paragraph">
                  <wp:posOffset>93980</wp:posOffset>
                </wp:positionV>
                <wp:extent cx="7620" cy="394335"/>
                <wp:effectExtent l="31750" t="0" r="36830" b="5715"/>
                <wp:wrapNone/>
                <wp:docPr id="162" name="直接箭头连接符 162"/>
                <wp:cNvGraphicFramePr/>
                <a:graphic xmlns:a="http://schemas.openxmlformats.org/drawingml/2006/main">
                  <a:graphicData uri="http://schemas.microsoft.com/office/word/2010/wordprocessingShape">
                    <wps:wsp>
                      <wps:cNvCnPr/>
                      <wps:spPr>
                        <a:xfrm>
                          <a:off x="0" y="0"/>
                          <a:ext cx="7620" cy="39433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margin-left:203pt;margin-top:7.4pt;height:31.05pt;width:0.6pt;z-index:251665408;mso-width-relative:page;mso-height-relative:page;" filled="f" stroked="t" coordsize="21600,21600" o:gfxdata="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ZBqnfZAAAACQEAAA8AAAAAAAAAAQAgAAAAIgAAAGRycy9kb3ducmV2LnhtbFBLAQIUABQA&#10;AAAIAIdO4kDekCmMKAIAAEgEAAAOAAAAAAAAAAEAIAAAACgBAABkcnMvZTJvRG9jLnhtbFBLBQYA&#10;AAAABgAGAFkBAADCBQAAAAA=&#10;">
                <v:fill on="f" focussize="0,0"/>
                <v:stroke color="#000000" joinstyle="round" endarrow="block"/>
                <v:imagedata o:title=""/>
                <o:lock v:ext="edit" aspectratio="f"/>
              </v:shape>
            </w:pict>
          </mc:Fallback>
        </mc:AlternateContent>
      </w:r>
    </w:p>
    <w:p w:rsidR="00EE4502" w:rsidRDefault="00FD45A3">
      <w:pPr>
        <w:spacing w:line="400" w:lineRule="atLeast"/>
        <w:ind w:firstLine="480"/>
        <w:rPr>
          <w:szCs w:val="20"/>
        </w:rPr>
      </w:pPr>
      <w:r>
        <w:rPr>
          <w:noProof/>
          <w:szCs w:val="20"/>
        </w:rPr>
        <mc:AlternateContent>
          <mc:Choice Requires="wps">
            <w:drawing>
              <wp:anchor distT="0" distB="0" distL="114300" distR="114300" simplePos="0" relativeHeight="251651072" behindDoc="0" locked="0" layoutInCell="1" allowOverlap="1">
                <wp:simplePos x="0" y="0"/>
                <wp:positionH relativeFrom="column">
                  <wp:posOffset>1491615</wp:posOffset>
                </wp:positionH>
                <wp:positionV relativeFrom="paragraph">
                  <wp:posOffset>234315</wp:posOffset>
                </wp:positionV>
                <wp:extent cx="2187575" cy="561340"/>
                <wp:effectExtent l="4445" t="4445" r="17780" b="5715"/>
                <wp:wrapNone/>
                <wp:docPr id="163" name="矩形 163"/>
                <wp:cNvGraphicFramePr/>
                <a:graphic xmlns:a="http://schemas.openxmlformats.org/drawingml/2006/main">
                  <a:graphicData uri="http://schemas.microsoft.com/office/word/2010/wordprocessingShape">
                    <wps:wsp>
                      <wps:cNvSpPr/>
                      <wps:spPr>
                        <a:xfrm>
                          <a:off x="0" y="0"/>
                          <a:ext cx="2187575" cy="5613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EE4502" w:rsidRDefault="00FD45A3">
                            <w:pPr>
                              <w:widowControl/>
                              <w:jc w:val="center"/>
                              <w:rPr>
                                <w:kern w:val="0"/>
                                <w:szCs w:val="21"/>
                              </w:rPr>
                            </w:pPr>
                            <w:r>
                              <w:rPr>
                                <w:rFonts w:hint="eastAsia"/>
                                <w:kern w:val="0"/>
                                <w:szCs w:val="21"/>
                              </w:rPr>
                              <w:t>确定评价工作等级</w:t>
                            </w:r>
                          </w:p>
                          <w:p w:rsidR="00EE4502" w:rsidRDefault="00FD45A3">
                            <w:pPr>
                              <w:widowControl/>
                              <w:jc w:val="center"/>
                              <w:rPr>
                                <w:rFonts w:ascii="宋体" w:hAnsi="宋体" w:cs="宋体"/>
                                <w:kern w:val="0"/>
                                <w:szCs w:val="21"/>
                              </w:rPr>
                            </w:pPr>
                            <w:r>
                              <w:rPr>
                                <w:rFonts w:hint="eastAsia"/>
                                <w:kern w:val="0"/>
                                <w:szCs w:val="21"/>
                              </w:rPr>
                              <w:t>评价范围和评价标准</w:t>
                            </w:r>
                          </w:p>
                        </w:txbxContent>
                      </wps:txbx>
                      <wps:bodyPr upright="1"/>
                    </wps:wsp>
                  </a:graphicData>
                </a:graphic>
              </wp:anchor>
            </w:drawing>
          </mc:Choice>
          <mc:Fallback>
            <w:pict>
              <v:rect id="矩形 163" o:spid="_x0000_s1029" style="position:absolute;left:0;text-align:left;margin-left:117.45pt;margin-top:18.45pt;width:172.25pt;height:44.2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">
                <v:textbox>
                  <w:txbxContent>
                    <w:p w:rsidR="00EE4502" w:rsidRDefault="00FD45A3">
                      <w:pPr>
                        <w:widowControl/>
                        <w:jc w:val="center"/>
                        <w:rPr>
                          <w:kern w:val="0"/>
                          <w:szCs w:val="21"/>
                        </w:rPr>
                      </w:pPr>
                      <w:r>
                        <w:rPr>
                          <w:rFonts w:hint="eastAsia"/>
                          <w:kern w:val="0"/>
                          <w:szCs w:val="21"/>
                        </w:rPr>
                        <w:t>确定评价工作等级</w:t>
                      </w:r>
                    </w:p>
                    <w:p w:rsidR="00EE4502" w:rsidRDefault="00FD45A3">
                      <w:pPr>
                        <w:widowControl/>
                        <w:jc w:val="center"/>
                        <w:rPr>
                          <w:rFonts w:ascii="宋体" w:hAnsi="宋体" w:cs="宋体"/>
                          <w:kern w:val="0"/>
                          <w:szCs w:val="21"/>
                        </w:rPr>
                      </w:pPr>
                      <w:r>
                        <w:rPr>
                          <w:rFonts w:hint="eastAsia"/>
                          <w:kern w:val="0"/>
                          <w:szCs w:val="21"/>
                        </w:rPr>
                        <w:t>评价范围和评价标准</w:t>
                      </w:r>
                    </w:p>
                  </w:txbxContent>
                </v:textbox>
              </v:rect>
            </w:pict>
          </mc:Fallback>
        </mc:AlternateContent>
      </w:r>
    </w:p>
    <w:p w:rsidR="00EE4502" w:rsidRDefault="00EE4502">
      <w:pPr>
        <w:spacing w:line="400" w:lineRule="atLeast"/>
        <w:ind w:firstLine="480"/>
        <w:rPr>
          <w:szCs w:val="20"/>
        </w:rPr>
      </w:pPr>
    </w:p>
    <w:p w:rsidR="00EE4502" w:rsidRDefault="00FD45A3">
      <w:pPr>
        <w:spacing w:line="400" w:lineRule="atLeast"/>
        <w:ind w:firstLine="480"/>
        <w:rPr>
          <w:szCs w:val="20"/>
        </w:rPr>
      </w:pPr>
      <w:r>
        <w:rPr>
          <w:noProof/>
          <w:szCs w:val="20"/>
        </w:rPr>
        <mc:AlternateContent>
          <mc:Choice Requires="wps">
            <w:drawing>
              <wp:anchor distT="0" distB="0" distL="114300" distR="114300" simplePos="0" relativeHeight="251652096" behindDoc="0" locked="0" layoutInCell="1" allowOverlap="1">
                <wp:simplePos x="0" y="0"/>
                <wp:positionH relativeFrom="column">
                  <wp:posOffset>2583180</wp:posOffset>
                </wp:positionH>
                <wp:positionV relativeFrom="paragraph">
                  <wp:posOffset>287655</wp:posOffset>
                </wp:positionV>
                <wp:extent cx="2540" cy="835025"/>
                <wp:effectExtent l="38100" t="0" r="35560" b="3175"/>
                <wp:wrapNone/>
                <wp:docPr id="164" name="直接箭头连接符 164"/>
                <wp:cNvGraphicFramePr/>
                <a:graphic xmlns:a="http://schemas.openxmlformats.org/drawingml/2006/main">
                  <a:graphicData uri="http://schemas.microsoft.com/office/word/2010/wordprocessingShape">
                    <wps:wsp>
                      <wps:cNvCnPr/>
                      <wps:spPr>
                        <a:xfrm flipH="1">
                          <a:off x="0" y="0"/>
                          <a:ext cx="2540" cy="83502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flip:x;margin-left:203.4pt;margin-top:22.65pt;height:65.75pt;width:0.2pt;z-index:251667456;mso-width-relative:page;mso-height-relative:page;" filled="f" stroked="t" coordsize="21600,21600" o:gfxdata="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TcGnJtgAAAAKAQAADwAAAAAAAAABACAAAAAiAAAAZHJzL2Rvd25yZXYueG1sUEsB&#10;AhQAFAAAAAgAh07iQH2P4AsuAgAAUgQAAA4AAAAAAAAAAQAgAAAAJwEAAGRycy9lMm9Eb2MueG1s&#10;UEsFBgAAAAAGAAYAWQEAAMcFAAAAAA==&#10;">
                <v:fill on="f" focussize="0,0"/>
                <v:stroke color="#000000" joinstyle="round" endarrow="block"/>
                <v:imagedata o:title=""/>
                <o:lock v:ext="edit" aspectratio="f"/>
              </v:shape>
            </w:pict>
          </mc:Fallback>
        </mc:AlternateContent>
      </w:r>
    </w:p>
    <w:p w:rsidR="00EE4502" w:rsidRDefault="00EE4502">
      <w:pPr>
        <w:spacing w:line="400" w:lineRule="atLeast"/>
        <w:ind w:firstLine="480"/>
        <w:rPr>
          <w:szCs w:val="20"/>
        </w:rPr>
      </w:pPr>
    </w:p>
    <w:p w:rsidR="00EE4502" w:rsidRDefault="00FD45A3">
      <w:pPr>
        <w:spacing w:line="400" w:lineRule="atLeast"/>
        <w:ind w:firstLine="480"/>
        <w:rPr>
          <w:szCs w:val="20"/>
        </w:rPr>
      </w:pPr>
      <w:r>
        <w:rPr>
          <w:noProof/>
          <w:szCs w:val="20"/>
        </w:rPr>
        <mc:AlternateContent>
          <mc:Choice Requires="wps">
            <w:drawing>
              <wp:anchor distT="0" distB="0" distL="114300" distR="114300" simplePos="0" relativeHeight="251660288" behindDoc="0" locked="0" layoutInCell="1" allowOverlap="1">
                <wp:simplePos x="0" y="0"/>
                <wp:positionH relativeFrom="column">
                  <wp:posOffset>251460</wp:posOffset>
                </wp:positionH>
                <wp:positionV relativeFrom="paragraph">
                  <wp:posOffset>257175</wp:posOffset>
                </wp:positionV>
                <wp:extent cx="5000625" cy="21590"/>
                <wp:effectExtent l="0" t="4445" r="9525" b="12065"/>
                <wp:wrapNone/>
                <wp:docPr id="165" name="直接箭头连接符 165"/>
                <wp:cNvGraphicFramePr/>
                <a:graphic xmlns:a="http://schemas.openxmlformats.org/drawingml/2006/main">
                  <a:graphicData uri="http://schemas.microsoft.com/office/word/2010/wordprocessingShape">
                    <wps:wsp>
                      <wps:cNvCnPr/>
                      <wps:spPr>
                        <a:xfrm flipV="1">
                          <a:off x="0" y="0"/>
                          <a:ext cx="5000625" cy="21590"/>
                        </a:xfrm>
                        <a:prstGeom prst="straightConnector1">
                          <a:avLst/>
                        </a:prstGeom>
                        <a:ln w="9525" cap="flat" cmpd="sng">
                          <a:solidFill>
                            <a:srgbClr val="000000"/>
                          </a:solidFill>
                          <a:prstDash val="dash"/>
                          <a:headEnd type="none" w="med" len="med"/>
                          <a:tailEnd type="none" w="med" len="med"/>
                        </a:ln>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flip:y;margin-left:19.8pt;margin-top:20.25pt;height:1.7pt;width:393.75pt;z-index:251675648;mso-width-relative:page;mso-height-relative:page;" filled="f" stroked="t" coordsize="21600,21600" o:gfxdata="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qtvjTXAAAACAEAAA8AAAAAAAAAAQAgAAAAIgAA&#10;AGRycy9kb3ducmV2LnhtbFBLAQIUABQAAAAIAIdO4kB9DBHiCQIAAP0DAAAOAAAAAAAAAAEAIAAA&#10;ACYBAABkcnMvZTJvRG9jLnhtbFBLBQYAAAAABgAGAFkBAAChBQAAAAA=&#10;">
                <v:fill on="f" focussize="0,0"/>
                <v:stroke color="#000000" joinstyle="round" dashstyle="dash"/>
                <v:imagedata o:title=""/>
                <o:lock v:ext="edit" aspectratio="f"/>
              </v:shape>
            </w:pict>
          </mc:Fallback>
        </mc:AlternateContent>
      </w:r>
    </w:p>
    <w:p w:rsidR="00EE4502" w:rsidRDefault="00EE4502">
      <w:pPr>
        <w:spacing w:line="400" w:lineRule="atLeast"/>
        <w:ind w:firstLine="480"/>
        <w:rPr>
          <w:szCs w:val="20"/>
        </w:rPr>
      </w:pPr>
    </w:p>
    <w:p w:rsidR="00EE4502" w:rsidRDefault="00FD45A3">
      <w:pPr>
        <w:spacing w:line="400" w:lineRule="atLeast"/>
        <w:ind w:firstLine="480"/>
        <w:rPr>
          <w:szCs w:val="20"/>
        </w:rPr>
      </w:pPr>
      <w:r>
        <w:rPr>
          <w:noProof/>
          <w:szCs w:val="20"/>
        </w:rPr>
        <mc:AlternateContent>
          <mc:Choice Requires="wps">
            <w:drawing>
              <wp:anchor distT="0" distB="0" distL="114300" distR="114300" simplePos="0" relativeHeight="251653120" behindDoc="0" locked="0" layoutInCell="1" allowOverlap="1">
                <wp:simplePos x="0" y="0"/>
                <wp:positionH relativeFrom="column">
                  <wp:posOffset>1968500</wp:posOffset>
                </wp:positionH>
                <wp:positionV relativeFrom="paragraph">
                  <wp:posOffset>106680</wp:posOffset>
                </wp:positionV>
                <wp:extent cx="1228725" cy="518160"/>
                <wp:effectExtent l="4445" t="5080" r="5080" b="10160"/>
                <wp:wrapNone/>
                <wp:docPr id="166" name="矩形 166"/>
                <wp:cNvGraphicFramePr/>
                <a:graphic xmlns:a="http://schemas.openxmlformats.org/drawingml/2006/main">
                  <a:graphicData uri="http://schemas.microsoft.com/office/word/2010/wordprocessingShape">
                    <wps:wsp>
                      <wps:cNvSpPr/>
                      <wps:spPr>
                        <a:xfrm>
                          <a:off x="0" y="0"/>
                          <a:ext cx="1228725" cy="5181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EE4502" w:rsidRDefault="00FD45A3">
                            <w:pPr>
                              <w:widowControl/>
                              <w:jc w:val="center"/>
                              <w:rPr>
                                <w:rFonts w:ascii="宋体" w:hAnsi="宋体" w:cs="宋体"/>
                                <w:kern w:val="0"/>
                                <w:szCs w:val="21"/>
                              </w:rPr>
                            </w:pPr>
                            <w:r>
                              <w:rPr>
                                <w:rFonts w:ascii="宋体" w:hAnsi="宋体" w:cs="宋体" w:hint="eastAsia"/>
                                <w:kern w:val="0"/>
                                <w:szCs w:val="21"/>
                              </w:rPr>
                              <w:t>现状监测并进行调查与评价</w:t>
                            </w:r>
                          </w:p>
                        </w:txbxContent>
                      </wps:txbx>
                      <wps:bodyPr upright="1"/>
                    </wps:wsp>
                  </a:graphicData>
                </a:graphic>
              </wp:anchor>
            </w:drawing>
          </mc:Choice>
          <mc:Fallback>
            <w:pict>
              <v:rect id="矩形 166" o:spid="_x0000_s1030" style="position:absolute;left:0;text-align:left;margin-left:155pt;margin-top:8.4pt;width:96.75pt;height:40.8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">
                <v:textbox>
                  <w:txbxContent>
                    <w:p w:rsidR="00EE4502" w:rsidRDefault="00FD45A3">
                      <w:pPr>
                        <w:widowControl/>
                        <w:jc w:val="center"/>
                        <w:rPr>
                          <w:rFonts w:ascii="宋体" w:hAnsi="宋体" w:cs="宋体"/>
                          <w:kern w:val="0"/>
                          <w:szCs w:val="21"/>
                        </w:rPr>
                      </w:pPr>
                      <w:r>
                        <w:rPr>
                          <w:rFonts w:ascii="宋体" w:hAnsi="宋体" w:cs="宋体" w:hint="eastAsia"/>
                          <w:kern w:val="0"/>
                          <w:szCs w:val="21"/>
                        </w:rPr>
                        <w:t>现状监测并进行调查与评价</w:t>
                      </w:r>
                    </w:p>
                  </w:txbxContent>
                </v:textbox>
              </v:rect>
            </w:pict>
          </mc:Fallback>
        </mc:AlternateContent>
      </w:r>
      <w:r>
        <w:rPr>
          <w:noProof/>
          <w:szCs w:val="20"/>
        </w:rPr>
        <mc:AlternateContent>
          <mc:Choice Requires="wps">
            <w:drawing>
              <wp:anchor distT="0" distB="0" distL="114300" distR="114300" simplePos="0" relativeHeight="251663360" behindDoc="0" locked="0" layoutInCell="1" allowOverlap="1">
                <wp:simplePos x="0" y="0"/>
                <wp:positionH relativeFrom="column">
                  <wp:posOffset>78105</wp:posOffset>
                </wp:positionH>
                <wp:positionV relativeFrom="paragraph">
                  <wp:posOffset>154940</wp:posOffset>
                </wp:positionV>
                <wp:extent cx="266700" cy="1320165"/>
                <wp:effectExtent l="0" t="0" r="0" b="0"/>
                <wp:wrapNone/>
                <wp:docPr id="167" name="矩形 167"/>
                <wp:cNvGraphicFramePr/>
                <a:graphic xmlns:a="http://schemas.openxmlformats.org/drawingml/2006/main">
                  <a:graphicData uri="http://schemas.microsoft.com/office/word/2010/wordprocessingShape">
                    <wps:wsp>
                      <wps:cNvSpPr/>
                      <wps:spPr>
                        <a:xfrm>
                          <a:off x="0" y="0"/>
                          <a:ext cx="266700" cy="1320165"/>
                        </a:xfrm>
                        <a:prstGeom prst="rect">
                          <a:avLst/>
                        </a:prstGeom>
                        <a:noFill/>
                        <a:ln w="9525">
                          <a:noFill/>
                        </a:ln>
                        <a:effectLst/>
                      </wps:spPr>
                      <wps:txbx>
                        <w:txbxContent>
                          <w:p w:rsidR="00EE4502" w:rsidRDefault="00FD45A3">
                            <w:pPr>
                              <w:widowControl/>
                              <w:ind w:firstLine="480"/>
                              <w:jc w:val="center"/>
                              <w:rPr>
                                <w:rFonts w:ascii="宋体" w:hAnsi="宋体" w:cs="宋体"/>
                                <w:kern w:val="0"/>
                              </w:rPr>
                            </w:pPr>
                            <w:r>
                              <w:rPr>
                                <w:rFonts w:ascii="宋体" w:hAnsi="宋体" w:cs="宋体" w:hint="eastAsia"/>
                                <w:kern w:val="0"/>
                              </w:rPr>
                              <w:t>第第二阶段</w:t>
                            </w:r>
                          </w:p>
                        </w:txbxContent>
                      </wps:txbx>
                      <wps:bodyPr upright="1"/>
                    </wps:wsp>
                  </a:graphicData>
                </a:graphic>
              </wp:anchor>
            </w:drawing>
          </mc:Choice>
          <mc:Fallback>
            <w:pict>
              <v:rect id="矩形 167" o:spid="_x0000_s1031" style="position:absolute;left:0;text-align:left;margin-left:6.15pt;margin-top:12.2pt;width:21pt;height:103.9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" filled="f" stroked="f">
                <v:textbox>
                  <w:txbxContent>
                    <w:p w:rsidR="00EE4502" w:rsidRDefault="00FD45A3">
                      <w:pPr>
                        <w:widowControl/>
                        <w:ind w:firstLine="480"/>
                        <w:jc w:val="center"/>
                        <w:rPr>
                          <w:rFonts w:ascii="宋体" w:hAnsi="宋体" w:cs="宋体"/>
                          <w:kern w:val="0"/>
                        </w:rPr>
                      </w:pPr>
                      <w:r>
                        <w:rPr>
                          <w:rFonts w:ascii="宋体" w:hAnsi="宋体" w:cs="宋体" w:hint="eastAsia"/>
                          <w:kern w:val="0"/>
                        </w:rPr>
                        <w:t>第第二阶段</w:t>
                      </w:r>
                    </w:p>
                  </w:txbxContent>
                </v:textbox>
              </v:rect>
            </w:pict>
          </mc:Fallback>
        </mc:AlternateContent>
      </w:r>
    </w:p>
    <w:p w:rsidR="00EE4502" w:rsidRDefault="00EE4502">
      <w:pPr>
        <w:spacing w:line="400" w:lineRule="atLeast"/>
        <w:ind w:firstLine="480"/>
        <w:rPr>
          <w:szCs w:val="20"/>
        </w:rPr>
      </w:pPr>
    </w:p>
    <w:p w:rsidR="00EE4502" w:rsidRDefault="00EE4502">
      <w:pPr>
        <w:spacing w:line="400" w:lineRule="atLeast"/>
        <w:ind w:firstLine="480"/>
        <w:rPr>
          <w:szCs w:val="20"/>
        </w:rPr>
      </w:pPr>
    </w:p>
    <w:p w:rsidR="00EE4502" w:rsidRDefault="00FD45A3">
      <w:pPr>
        <w:spacing w:line="400" w:lineRule="atLeast"/>
        <w:ind w:firstLine="480"/>
        <w:rPr>
          <w:szCs w:val="20"/>
        </w:rPr>
      </w:pPr>
      <w:r>
        <w:rPr>
          <w:noProof/>
          <w:szCs w:val="20"/>
        </w:rPr>
        <mc:AlternateContent>
          <mc:Choice Requires="wps">
            <w:drawing>
              <wp:anchor distT="0" distB="0" distL="114300" distR="114300" simplePos="0" relativeHeight="251654144" behindDoc="0" locked="0" layoutInCell="1" allowOverlap="1">
                <wp:simplePos x="0" y="0"/>
                <wp:positionH relativeFrom="column">
                  <wp:posOffset>2579370</wp:posOffset>
                </wp:positionH>
                <wp:positionV relativeFrom="paragraph">
                  <wp:posOffset>-137160</wp:posOffset>
                </wp:positionV>
                <wp:extent cx="3810" cy="590550"/>
                <wp:effectExtent l="37465" t="0" r="34925" b="0"/>
                <wp:wrapNone/>
                <wp:docPr id="168" name="直接箭头连接符 168"/>
                <wp:cNvGraphicFramePr/>
                <a:graphic xmlns:a="http://schemas.openxmlformats.org/drawingml/2006/main">
                  <a:graphicData uri="http://schemas.microsoft.com/office/word/2010/wordprocessingShape">
                    <wps:wsp>
                      <wps:cNvCnPr/>
                      <wps:spPr>
                        <a:xfrm flipH="1">
                          <a:off x="0" y="0"/>
                          <a:ext cx="3810" cy="5905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flip:x;margin-left:203.1pt;margin-top:-10.8pt;height:46.5pt;width:0.3pt;z-index:251669504;mso-width-relative:page;mso-height-relative:page;" filled="f" stroked="t" coordsize="21600,21600" o:gfxdata="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lqYI/NgAAAAKAQAADwAAAAAAAAABACAAAAAiAAAAZHJzL2Rvd25yZXYueG1sUEsB&#10;AhQAFAAAAAgAh07iQJVp1MguAgAAUgQAAA4AAAAAAAAAAQAgAAAAJwEAAGRycy9lMm9Eb2MueG1s&#10;UEsFBgAAAAAGAAYAWQEAAMcFAAAAAA==&#10;">
                <v:fill on="f" focussize="0,0"/>
                <v:stroke color="#000000" joinstyle="round" endarrow="block"/>
                <v:imagedata o:title=""/>
                <o:lock v:ext="edit" aspectratio="f"/>
              </v:shape>
            </w:pict>
          </mc:Fallback>
        </mc:AlternateContent>
      </w:r>
    </w:p>
    <w:p w:rsidR="00EE4502" w:rsidRDefault="00FD45A3">
      <w:pPr>
        <w:spacing w:line="400" w:lineRule="atLeast"/>
        <w:ind w:firstLine="480"/>
        <w:rPr>
          <w:szCs w:val="20"/>
        </w:rPr>
      </w:pPr>
      <w:r>
        <w:rPr>
          <w:noProof/>
          <w:szCs w:val="20"/>
        </w:rPr>
        <mc:AlternateContent>
          <mc:Choice Requires="wps">
            <w:drawing>
              <wp:anchor distT="0" distB="0" distL="114300" distR="114300" simplePos="0" relativeHeight="251655168" behindDoc="0" locked="0" layoutInCell="1" allowOverlap="1">
                <wp:simplePos x="0" y="0"/>
                <wp:positionH relativeFrom="column">
                  <wp:posOffset>1345565</wp:posOffset>
                </wp:positionH>
                <wp:positionV relativeFrom="paragraph">
                  <wp:posOffset>199390</wp:posOffset>
                </wp:positionV>
                <wp:extent cx="2466975" cy="299085"/>
                <wp:effectExtent l="5080" t="5080" r="4445" b="19685"/>
                <wp:wrapNone/>
                <wp:docPr id="169" name="矩形 169"/>
                <wp:cNvGraphicFramePr/>
                <a:graphic xmlns:a="http://schemas.openxmlformats.org/drawingml/2006/main">
                  <a:graphicData uri="http://schemas.microsoft.com/office/word/2010/wordprocessingShape">
                    <wps:wsp>
                      <wps:cNvSpPr/>
                      <wps:spPr>
                        <a:xfrm>
                          <a:off x="0" y="0"/>
                          <a:ext cx="2466975" cy="2990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EE4502" w:rsidRDefault="00FD45A3">
                            <w:pPr>
                              <w:rPr>
                                <w:szCs w:val="21"/>
                              </w:rPr>
                            </w:pPr>
                            <w:r>
                              <w:rPr>
                                <w:rFonts w:hint="eastAsia"/>
                                <w:szCs w:val="21"/>
                              </w:rPr>
                              <w:t>各环境要素和专题环境影响预测与评价</w:t>
                            </w:r>
                          </w:p>
                        </w:txbxContent>
                      </wps:txbx>
                      <wps:bodyPr upright="1"/>
                    </wps:wsp>
                  </a:graphicData>
                </a:graphic>
              </wp:anchor>
            </w:drawing>
          </mc:Choice>
          <mc:Fallback>
            <w:pict>
              <v:rect id="矩形 169" o:spid="_x0000_s1032" style="position:absolute;left:0;text-align:left;margin-left:105.95pt;margin-top:15.7pt;width:194.25pt;height:23.5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">
                <v:textbox>
                  <w:txbxContent>
                    <w:p w:rsidR="00EE4502" w:rsidRDefault="00FD45A3">
                      <w:pPr>
                        <w:rPr>
                          <w:szCs w:val="21"/>
                        </w:rPr>
                      </w:pPr>
                      <w:r>
                        <w:rPr>
                          <w:rFonts w:hint="eastAsia"/>
                          <w:szCs w:val="21"/>
                        </w:rPr>
                        <w:t>各环境要素和专题环境影响预测与评价</w:t>
                      </w:r>
                    </w:p>
                  </w:txbxContent>
                </v:textbox>
              </v:rect>
            </w:pict>
          </mc:Fallback>
        </mc:AlternateContent>
      </w:r>
    </w:p>
    <w:p w:rsidR="00EE4502" w:rsidRDefault="00EE4502">
      <w:pPr>
        <w:spacing w:line="400" w:lineRule="atLeast"/>
        <w:ind w:firstLine="480"/>
        <w:rPr>
          <w:szCs w:val="20"/>
        </w:rPr>
      </w:pPr>
    </w:p>
    <w:p w:rsidR="00EE4502" w:rsidRDefault="00FD45A3">
      <w:pPr>
        <w:spacing w:line="400" w:lineRule="atLeast"/>
        <w:ind w:firstLine="480"/>
        <w:rPr>
          <w:szCs w:val="20"/>
        </w:rPr>
      </w:pPr>
      <w:r>
        <w:rPr>
          <w:noProof/>
          <w:szCs w:val="20"/>
        </w:rPr>
        <mc:AlternateContent>
          <mc:Choice Requires="wps">
            <w:drawing>
              <wp:anchor distT="0" distB="0" distL="114300" distR="114300" simplePos="0" relativeHeight="251656192" behindDoc="0" locked="0" layoutInCell="1" allowOverlap="1">
                <wp:simplePos x="0" y="0"/>
                <wp:positionH relativeFrom="column">
                  <wp:posOffset>2579370</wp:posOffset>
                </wp:positionH>
                <wp:positionV relativeFrom="paragraph">
                  <wp:posOffset>-9525</wp:posOffset>
                </wp:positionV>
                <wp:extent cx="6350" cy="498475"/>
                <wp:effectExtent l="33020" t="0" r="36830" b="15875"/>
                <wp:wrapNone/>
                <wp:docPr id="171" name="直接箭头连接符 171"/>
                <wp:cNvGraphicFramePr/>
                <a:graphic xmlns:a="http://schemas.openxmlformats.org/drawingml/2006/main">
                  <a:graphicData uri="http://schemas.microsoft.com/office/word/2010/wordprocessingShape">
                    <wps:wsp>
                      <wps:cNvCnPr/>
                      <wps:spPr>
                        <a:xfrm>
                          <a:off x="0" y="0"/>
                          <a:ext cx="6350" cy="49847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margin-left:203.1pt;margin-top:-0.75pt;height:39.25pt;width:0.5pt;z-index:251671552;mso-width-relative:page;mso-height-relative:page;" filled="f" stroked="t" coordsize="21600,21600" o:gfxdata="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UfnvLaAAAACQEAAA8AAAAAAAAAAQAgAAAAIgAAAGRycy9kb3ducmV2LnhtbFBLAQIU&#10;ABQAAAAIAIdO4kDZ0AP9KgIAAEgEAAAOAAAAAAAAAAEAIAAAACkBAABkcnMvZTJvRG9jLnhtbFBL&#10;BQYAAAAABgAGAFkBAADFBQAAAAA=&#10;">
                <v:fill on="f" focussize="0,0"/>
                <v:stroke color="#000000" joinstyle="round" endarrow="block"/>
                <v:imagedata o:title=""/>
                <o:lock v:ext="edit" aspectratio="f"/>
              </v:shape>
            </w:pict>
          </mc:Fallback>
        </mc:AlternateContent>
      </w:r>
    </w:p>
    <w:p w:rsidR="00EE4502" w:rsidRDefault="00FD45A3">
      <w:pPr>
        <w:spacing w:line="400" w:lineRule="atLeast"/>
        <w:ind w:firstLine="480"/>
        <w:rPr>
          <w:sz w:val="15"/>
          <w:szCs w:val="15"/>
        </w:rPr>
      </w:pPr>
      <w:r>
        <w:rPr>
          <w:noProof/>
          <w:szCs w:val="20"/>
        </w:rPr>
        <mc:AlternateContent>
          <mc:Choice Requires="wps">
            <w:drawing>
              <wp:anchor distT="0" distB="0" distL="114300" distR="114300" simplePos="0" relativeHeight="251657216" behindDoc="0" locked="0" layoutInCell="1" allowOverlap="1">
                <wp:simplePos x="0" y="0"/>
                <wp:positionH relativeFrom="column">
                  <wp:posOffset>1261745</wp:posOffset>
                </wp:positionH>
                <wp:positionV relativeFrom="paragraph">
                  <wp:posOffset>234950</wp:posOffset>
                </wp:positionV>
                <wp:extent cx="2647950" cy="821690"/>
                <wp:effectExtent l="4445" t="4445" r="14605" b="12065"/>
                <wp:wrapNone/>
                <wp:docPr id="175" name="矩形 175"/>
                <wp:cNvGraphicFramePr/>
                <a:graphic xmlns:a="http://schemas.openxmlformats.org/drawingml/2006/main">
                  <a:graphicData uri="http://schemas.microsoft.com/office/word/2010/wordprocessingShape">
                    <wps:wsp>
                      <wps:cNvSpPr/>
                      <wps:spPr>
                        <a:xfrm>
                          <a:off x="0" y="0"/>
                          <a:ext cx="2647950" cy="8216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EE4502" w:rsidRDefault="00FD45A3">
                            <w:pPr>
                              <w:jc w:val="center"/>
                              <w:rPr>
                                <w:szCs w:val="21"/>
                              </w:rPr>
                            </w:pPr>
                            <w:r>
                              <w:rPr>
                                <w:rFonts w:hint="eastAsia"/>
                                <w:szCs w:val="21"/>
                              </w:rPr>
                              <w:t>确定科学合理、可行的工程方案，提出顾防或减缓不利影响的对策或措施，制定相应的环境管理或环境监测计划</w:t>
                            </w:r>
                          </w:p>
                        </w:txbxContent>
                      </wps:txbx>
                      <wps:bodyPr upright="1"/>
                    </wps:wsp>
                  </a:graphicData>
                </a:graphic>
              </wp:anchor>
            </w:drawing>
          </mc:Choice>
          <mc:Fallback>
            <w:pict>
              <v:rect id="矩形 175" o:spid="_x0000_s1033" style="position:absolute;left:0;text-align:left;margin-left:99.35pt;margin-top:18.5pt;width:208.5pt;height:64.7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">
                <v:textbox>
                  <w:txbxContent>
                    <w:p w:rsidR="00EE4502" w:rsidRDefault="00FD45A3">
                      <w:pPr>
                        <w:jc w:val="center"/>
                        <w:rPr>
                          <w:szCs w:val="21"/>
                        </w:rPr>
                      </w:pPr>
                      <w:r>
                        <w:rPr>
                          <w:rFonts w:hint="eastAsia"/>
                          <w:szCs w:val="21"/>
                        </w:rPr>
                        <w:t>确定科学合理、可行的工程方案，提出顾防或减缓不利影响的对策或措施，制定相应的环境管理或环境监测计划</w:t>
                      </w:r>
                    </w:p>
                  </w:txbxContent>
                </v:textbox>
              </v:rect>
            </w:pict>
          </mc:Fallback>
        </mc:AlternateContent>
      </w:r>
      <w:r>
        <w:rPr>
          <w:noProof/>
          <w:szCs w:val="20"/>
        </w:rPr>
        <mc:AlternateContent>
          <mc:Choice Requires="wps">
            <w:drawing>
              <wp:anchor distT="0" distB="0" distL="114300" distR="114300" simplePos="0" relativeHeight="251664384" behindDoc="0" locked="0" layoutInCell="1" allowOverlap="1">
                <wp:simplePos x="0" y="0"/>
                <wp:positionH relativeFrom="column">
                  <wp:posOffset>49530</wp:posOffset>
                </wp:positionH>
                <wp:positionV relativeFrom="paragraph">
                  <wp:posOffset>171450</wp:posOffset>
                </wp:positionV>
                <wp:extent cx="266700" cy="1426210"/>
                <wp:effectExtent l="0" t="0" r="0" b="0"/>
                <wp:wrapNone/>
                <wp:docPr id="176" name="矩形 176"/>
                <wp:cNvGraphicFramePr/>
                <a:graphic xmlns:a="http://schemas.openxmlformats.org/drawingml/2006/main">
                  <a:graphicData uri="http://schemas.microsoft.com/office/word/2010/wordprocessingShape">
                    <wps:wsp>
                      <wps:cNvSpPr/>
                      <wps:spPr>
                        <a:xfrm>
                          <a:off x="0" y="0"/>
                          <a:ext cx="266700" cy="1426210"/>
                        </a:xfrm>
                        <a:prstGeom prst="rect">
                          <a:avLst/>
                        </a:prstGeom>
                        <a:noFill/>
                        <a:ln w="9525">
                          <a:noFill/>
                        </a:ln>
                        <a:effectLst/>
                      </wps:spPr>
                      <wps:txbx>
                        <w:txbxContent>
                          <w:p w:rsidR="00EE4502" w:rsidRDefault="00FD45A3">
                            <w:pPr>
                              <w:widowControl/>
                              <w:ind w:firstLine="480"/>
                              <w:jc w:val="center"/>
                              <w:rPr>
                                <w:rFonts w:ascii="宋体" w:hAnsi="宋体" w:cs="宋体"/>
                                <w:kern w:val="0"/>
                              </w:rPr>
                            </w:pPr>
                            <w:r>
                              <w:rPr>
                                <w:rFonts w:ascii="宋体" w:hAnsi="宋体" w:cs="宋体" w:hint="eastAsia"/>
                                <w:kern w:val="0"/>
                              </w:rPr>
                              <w:t>第第三阶段</w:t>
                            </w:r>
                          </w:p>
                        </w:txbxContent>
                      </wps:txbx>
                      <wps:bodyPr upright="1"/>
                    </wps:wsp>
                  </a:graphicData>
                </a:graphic>
              </wp:anchor>
            </w:drawing>
          </mc:Choice>
          <mc:Fallback>
            <w:pict>
              <v:rect id="矩形 176" o:spid="_x0000_s1034" style="position:absolute;left:0;text-align:left;margin-left:3.9pt;margin-top:13.5pt;width:21pt;height:112.3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" filled="f" stroked="f">
                <v:textbox>
                  <w:txbxContent>
                    <w:p w:rsidR="00EE4502" w:rsidRDefault="00FD45A3">
                      <w:pPr>
                        <w:widowControl/>
                        <w:ind w:firstLine="480"/>
                        <w:jc w:val="center"/>
                        <w:rPr>
                          <w:rFonts w:ascii="宋体" w:hAnsi="宋体" w:cs="宋体"/>
                          <w:kern w:val="0"/>
                        </w:rPr>
                      </w:pPr>
                      <w:r>
                        <w:rPr>
                          <w:rFonts w:ascii="宋体" w:hAnsi="宋体" w:cs="宋体" w:hint="eastAsia"/>
                          <w:kern w:val="0"/>
                        </w:rPr>
                        <w:t>第第三阶段</w:t>
                      </w:r>
                    </w:p>
                  </w:txbxContent>
                </v:textbox>
              </v:rect>
            </w:pict>
          </mc:Fallback>
        </mc:AlternateContent>
      </w:r>
      <w:r>
        <w:rPr>
          <w:noProof/>
          <w:szCs w:val="20"/>
        </w:rPr>
        <mc:AlternateContent>
          <mc:Choice Requires="wps">
            <w:drawing>
              <wp:anchor distT="0" distB="0" distL="114300" distR="114300" simplePos="0" relativeHeight="251661312" behindDoc="0" locked="0" layoutInCell="1" allowOverlap="1">
                <wp:simplePos x="0" y="0"/>
                <wp:positionH relativeFrom="column">
                  <wp:posOffset>251460</wp:posOffset>
                </wp:positionH>
                <wp:positionV relativeFrom="paragraph">
                  <wp:posOffset>96520</wp:posOffset>
                </wp:positionV>
                <wp:extent cx="5020945" cy="13335"/>
                <wp:effectExtent l="0" t="4445" r="8255" b="10795"/>
                <wp:wrapNone/>
                <wp:docPr id="184" name="直接箭头连接符 184"/>
                <wp:cNvGraphicFramePr/>
                <a:graphic xmlns:a="http://schemas.openxmlformats.org/drawingml/2006/main">
                  <a:graphicData uri="http://schemas.microsoft.com/office/word/2010/wordprocessingShape">
                    <wps:wsp>
                      <wps:cNvCnPr/>
                      <wps:spPr>
                        <a:xfrm>
                          <a:off x="0" y="0"/>
                          <a:ext cx="5343525" cy="635"/>
                        </a:xfrm>
                        <a:prstGeom prst="straightConnector1">
                          <a:avLst/>
                        </a:prstGeom>
                        <a:ln w="9525" cap="flat" cmpd="sng">
                          <a:solidFill>
                            <a:srgbClr val="000000"/>
                          </a:solidFill>
                          <a:prstDash val="dash"/>
                          <a:headEnd type="none" w="med" len="med"/>
                          <a:tailEnd type="none" w="med" len="med"/>
                        </a:ln>
                        <a:effectLst/>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margin-left:19.8pt;margin-top:7.6pt;height:1.05pt;width:395.35pt;z-index:251676672;mso-width-relative:page;mso-height-relative:page;" filled="f" stroked="t" coordsize="21600,21600" o:gfxdata="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oCocNgAAAAIAQAADwAAAAAAAAABACAAAAAiAAAAZHJz&#10;L2Rvd25yZXYueG1sUEsBAhQAFAAAAAgAh07iQA0b0zQEAgAA/wMAAA4AAAAAAAAAAQAgAAAAJwEA&#10;AGRycy9lMm9Eb2MueG1sUEsFBgAAAAAGAAYAWQEAAJ0FAAAAAA==&#10;">
                <v:fill on="f" focussize="0,0"/>
                <v:stroke color="#000000" joinstyle="round" dashstyle="dash"/>
                <v:imagedata o:title=""/>
                <o:lock v:ext="edit" aspectratio="f"/>
              </v:shape>
            </w:pict>
          </mc:Fallback>
        </mc:AlternateContent>
      </w:r>
    </w:p>
    <w:p w:rsidR="00EE4502" w:rsidRDefault="00EE4502">
      <w:pPr>
        <w:spacing w:line="400" w:lineRule="atLeast"/>
        <w:ind w:firstLine="480"/>
        <w:rPr>
          <w:szCs w:val="20"/>
        </w:rPr>
      </w:pPr>
    </w:p>
    <w:p w:rsidR="00EE4502" w:rsidRDefault="00EE4502">
      <w:pPr>
        <w:spacing w:line="400" w:lineRule="atLeast"/>
        <w:ind w:firstLine="480"/>
        <w:rPr>
          <w:szCs w:val="20"/>
        </w:rPr>
      </w:pPr>
    </w:p>
    <w:p w:rsidR="00EE4502" w:rsidRDefault="00EE4502">
      <w:pPr>
        <w:spacing w:line="400" w:lineRule="atLeast"/>
        <w:ind w:firstLine="480"/>
        <w:rPr>
          <w:szCs w:val="20"/>
        </w:rPr>
      </w:pPr>
    </w:p>
    <w:p w:rsidR="00EE4502" w:rsidRDefault="00FD45A3">
      <w:pPr>
        <w:spacing w:line="400" w:lineRule="atLeast"/>
        <w:ind w:firstLine="480"/>
        <w:rPr>
          <w:szCs w:val="20"/>
        </w:rPr>
      </w:pPr>
      <w:r>
        <w:rPr>
          <w:noProof/>
          <w:szCs w:val="20"/>
        </w:rPr>
        <mc:AlternateContent>
          <mc:Choice Requires="wps">
            <w:drawing>
              <wp:anchor distT="0" distB="0" distL="114300" distR="114300" simplePos="0" relativeHeight="251658240" behindDoc="0" locked="0" layoutInCell="1" allowOverlap="1">
                <wp:simplePos x="0" y="0"/>
                <wp:positionH relativeFrom="column">
                  <wp:posOffset>2581275</wp:posOffset>
                </wp:positionH>
                <wp:positionV relativeFrom="paragraph">
                  <wp:posOffset>40640</wp:posOffset>
                </wp:positionV>
                <wp:extent cx="4445" cy="237490"/>
                <wp:effectExtent l="36830" t="0" r="34925" b="10160"/>
                <wp:wrapNone/>
                <wp:docPr id="191" name="直接箭头连接符 191"/>
                <wp:cNvGraphicFramePr/>
                <a:graphic xmlns:a="http://schemas.openxmlformats.org/drawingml/2006/main">
                  <a:graphicData uri="http://schemas.microsoft.com/office/word/2010/wordprocessingShape">
                    <wps:wsp>
                      <wps:cNvCnPr/>
                      <wps:spPr>
                        <a:xfrm flipH="1">
                          <a:off x="0" y="0"/>
                          <a:ext cx="4445" cy="23749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flip:x;margin-left:203.25pt;margin-top:3.2pt;height:18.7pt;width:0.35pt;z-index:251673600;mso-width-relative:page;mso-height-relative:page;" filled="f" stroked="t" coordsize="21600,21600" o:gfxdata="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wlvbfYAAAACAEAAA8AAAAAAAAAAQAgAAAAIgAAAGRycy9kb3ducmV2Lnht&#10;bFBLAQIUABQAAAAIAIdO4kA2JrLUMgIAAFIEAAAOAAAAAAAAAAEAIAAAACcBAABkcnMvZTJvRG9j&#10;LnhtbFBLBQYAAAAABgAGAFkBAADLBQAAAAA=&#10;">
                <v:fill on="f" focussize="0,0"/>
                <v:stroke color="#000000" joinstyle="round" endarrow="block"/>
                <v:imagedata o:title=""/>
                <o:lock v:ext="edit" aspectratio="f"/>
              </v:shape>
            </w:pict>
          </mc:Fallback>
        </mc:AlternateContent>
      </w:r>
    </w:p>
    <w:p w:rsidR="00EE4502" w:rsidRDefault="00FD45A3">
      <w:pPr>
        <w:spacing w:line="400" w:lineRule="atLeast"/>
        <w:ind w:firstLine="480"/>
        <w:rPr>
          <w:szCs w:val="20"/>
        </w:rPr>
      </w:pPr>
      <w:r>
        <w:rPr>
          <w:noProof/>
          <w:szCs w:val="20"/>
        </w:rPr>
        <mc:AlternateContent>
          <mc:Choice Requires="wps">
            <w:drawing>
              <wp:anchor distT="0" distB="0" distL="114300" distR="114300" simplePos="0" relativeHeight="251659264" behindDoc="0" locked="0" layoutInCell="1" allowOverlap="1">
                <wp:simplePos x="0" y="0"/>
                <wp:positionH relativeFrom="column">
                  <wp:posOffset>1360170</wp:posOffset>
                </wp:positionH>
                <wp:positionV relativeFrom="paragraph">
                  <wp:posOffset>24130</wp:posOffset>
                </wp:positionV>
                <wp:extent cx="2441575" cy="491490"/>
                <wp:effectExtent l="4445" t="4445" r="11430" b="18415"/>
                <wp:wrapNone/>
                <wp:docPr id="206" name="矩形 206"/>
                <wp:cNvGraphicFramePr/>
                <a:graphic xmlns:a="http://schemas.openxmlformats.org/drawingml/2006/main">
                  <a:graphicData uri="http://schemas.microsoft.com/office/word/2010/wordprocessingShape">
                    <wps:wsp>
                      <wps:cNvSpPr/>
                      <wps:spPr>
                        <a:xfrm>
                          <a:off x="0" y="0"/>
                          <a:ext cx="2441575" cy="4914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EE4502" w:rsidRDefault="00FD45A3">
                            <w:pPr>
                              <w:widowControl/>
                              <w:jc w:val="center"/>
                              <w:rPr>
                                <w:rFonts w:ascii="宋体" w:hAnsi="宋体" w:cs="宋体"/>
                                <w:kern w:val="0"/>
                                <w:szCs w:val="21"/>
                              </w:rPr>
                            </w:pPr>
                            <w:r>
                              <w:rPr>
                                <w:rFonts w:ascii="宋体" w:hAnsi="宋体" w:cs="宋体" w:hint="eastAsia"/>
                                <w:kern w:val="0"/>
                                <w:szCs w:val="21"/>
                              </w:rPr>
                              <w:t>从生态环境影响的角度给出工程建设项目是否可行的结论</w:t>
                            </w:r>
                          </w:p>
                        </w:txbxContent>
                      </wps:txbx>
                      <wps:bodyPr upright="1"/>
                    </wps:wsp>
                  </a:graphicData>
                </a:graphic>
              </wp:anchor>
            </w:drawing>
          </mc:Choice>
          <mc:Fallback>
            <w:pict>
              <v:rect id="矩形 206" o:spid="_x0000_s1035" style="position:absolute;left:0;text-align:left;margin-left:107.1pt;margin-top:1.9pt;width:192.25pt;height:38.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">
                <v:textbox>
                  <w:txbxContent>
                    <w:p w:rsidR="00EE4502" w:rsidRDefault="00FD45A3">
                      <w:pPr>
                        <w:widowControl/>
                        <w:jc w:val="center"/>
                        <w:rPr>
                          <w:rFonts w:ascii="宋体" w:hAnsi="宋体" w:cs="宋体"/>
                          <w:kern w:val="0"/>
                          <w:szCs w:val="21"/>
                        </w:rPr>
                      </w:pPr>
                      <w:r>
                        <w:rPr>
                          <w:rFonts w:ascii="宋体" w:hAnsi="宋体" w:cs="宋体" w:hint="eastAsia"/>
                          <w:kern w:val="0"/>
                          <w:szCs w:val="21"/>
                        </w:rPr>
                        <w:t>从生态环境影响的角度给出工程建设项目是否可行的结论</w:t>
                      </w:r>
                    </w:p>
                  </w:txbxContent>
                </v:textbox>
              </v:rect>
            </w:pict>
          </mc:Fallback>
        </mc:AlternateContent>
      </w:r>
    </w:p>
    <w:p w:rsidR="00EE4502" w:rsidRDefault="00EE4502">
      <w:pPr>
        <w:spacing w:line="400" w:lineRule="atLeast"/>
        <w:ind w:firstLine="480"/>
        <w:rPr>
          <w:szCs w:val="20"/>
        </w:rPr>
      </w:pPr>
    </w:p>
    <w:p w:rsidR="00EE4502" w:rsidRDefault="00EE4502">
      <w:pPr>
        <w:ind w:firstLine="480"/>
        <w:rPr>
          <w:szCs w:val="20"/>
        </w:rPr>
      </w:pPr>
    </w:p>
    <w:p w:rsidR="00EE4502" w:rsidRDefault="00EE4502">
      <w:pPr>
        <w:ind w:firstLine="480"/>
        <w:rPr>
          <w:szCs w:val="20"/>
        </w:rPr>
      </w:pPr>
    </w:p>
    <w:p w:rsidR="00EE4502" w:rsidRDefault="00FD45A3">
      <w:pPr>
        <w:spacing w:line="360" w:lineRule="auto"/>
        <w:jc w:val="center"/>
      </w:pPr>
      <w:r>
        <w:rPr>
          <w:rFonts w:eastAsia="黑体"/>
          <w:bCs/>
        </w:rPr>
        <w:t>图</w:t>
      </w:r>
      <w:r>
        <w:rPr>
          <w:rFonts w:eastAsia="黑体"/>
          <w:bCs/>
        </w:rPr>
        <w:t xml:space="preserve">1.2-1      </w:t>
      </w:r>
      <w:r>
        <w:rPr>
          <w:rFonts w:eastAsia="黑体"/>
          <w:bCs/>
        </w:rPr>
        <w:t>评价工作程序图</w:t>
      </w:r>
      <w:r>
        <w:rPr>
          <w:rFonts w:eastAsia="黑体" w:hint="eastAsia"/>
          <w:bCs/>
        </w:rPr>
        <w:t>（</w:t>
      </w:r>
      <w:r>
        <w:rPr>
          <w:rFonts w:eastAsia="黑体" w:hint="eastAsia"/>
          <w:bCs/>
        </w:rPr>
        <w:t>HJ349-2023</w:t>
      </w:r>
      <w:r>
        <w:rPr>
          <w:rFonts w:eastAsia="黑体" w:hint="eastAsia"/>
          <w:bCs/>
        </w:rPr>
        <w:t>）</w:t>
      </w:r>
    </w:p>
    <w:p w:rsidR="00EE4502" w:rsidRDefault="00FD45A3">
      <w:pPr>
        <w:pStyle w:val="22"/>
        <w:numPr>
          <w:ilvl w:val="1"/>
          <w:numId w:val="30"/>
        </w:numPr>
        <w:rPr>
          <w:spacing w:val="0"/>
          <w:w w:val="100"/>
        </w:rPr>
      </w:pPr>
      <w:bookmarkStart w:id="3" w:name="_Toc12234"/>
      <w:r>
        <w:rPr>
          <w:spacing w:val="0"/>
          <w:w w:val="100"/>
        </w:rPr>
        <w:t>分析判定相关情况</w:t>
      </w:r>
      <w:bookmarkEnd w:id="3"/>
    </w:p>
    <w:p w:rsidR="00EE4502" w:rsidRDefault="00FD45A3">
      <w:pPr>
        <w:pStyle w:val="33"/>
        <w:numPr>
          <w:ilvl w:val="2"/>
          <w:numId w:val="30"/>
        </w:numPr>
        <w:spacing w:line="360" w:lineRule="auto"/>
        <w:ind w:left="0" w:firstLine="0"/>
        <w:rPr>
          <w:spacing w:val="0"/>
          <w:sz w:val="24"/>
          <w:szCs w:val="24"/>
        </w:rPr>
      </w:pPr>
      <w:r>
        <w:rPr>
          <w:spacing w:val="0"/>
          <w:sz w:val="24"/>
          <w:szCs w:val="24"/>
        </w:rPr>
        <w:t>项目类别判定</w:t>
      </w:r>
    </w:p>
    <w:p w:rsidR="00EE4502" w:rsidRDefault="00FD45A3">
      <w:pPr>
        <w:spacing w:line="360" w:lineRule="auto"/>
        <w:ind w:firstLine="480"/>
        <w:rPr>
          <w:sz w:val="24"/>
        </w:rPr>
      </w:pPr>
      <w:r>
        <w:rPr>
          <w:sz w:val="24"/>
        </w:rPr>
        <w:t>根据《建设项目环境影响评价分类管理名录》（</w:t>
      </w:r>
      <w:r>
        <w:rPr>
          <w:sz w:val="24"/>
        </w:rPr>
        <w:t>2021</w:t>
      </w:r>
      <w:r>
        <w:rPr>
          <w:sz w:val="24"/>
        </w:rPr>
        <w:t>年版），</w:t>
      </w:r>
      <w:r>
        <w:rPr>
          <w:rFonts w:hint="eastAsia"/>
          <w:sz w:val="24"/>
        </w:rPr>
        <w:t>本工程</w:t>
      </w:r>
      <w:r>
        <w:rPr>
          <w:sz w:val="24"/>
        </w:rPr>
        <w:t>属于</w:t>
      </w:r>
      <w:r>
        <w:rPr>
          <w:rFonts w:hint="eastAsia"/>
          <w:sz w:val="24"/>
        </w:rPr>
        <w:t>“</w:t>
      </w:r>
      <w:r>
        <w:rPr>
          <w:sz w:val="24"/>
        </w:rPr>
        <w:t>五、石油和天然气开采业</w:t>
      </w:r>
      <w:r>
        <w:rPr>
          <w:sz w:val="24"/>
        </w:rPr>
        <w:t>07</w:t>
      </w:r>
      <w:r>
        <w:rPr>
          <w:sz w:val="24"/>
        </w:rPr>
        <w:t>，</w:t>
      </w:r>
      <w:r>
        <w:rPr>
          <w:sz w:val="24"/>
        </w:rPr>
        <w:t xml:space="preserve">7 </w:t>
      </w:r>
      <w:r>
        <w:rPr>
          <w:sz w:val="24"/>
        </w:rPr>
        <w:t>陆地石油开采</w:t>
      </w:r>
      <w:r>
        <w:rPr>
          <w:sz w:val="24"/>
        </w:rPr>
        <w:t>0711—</w:t>
      </w:r>
      <w:r>
        <w:rPr>
          <w:rFonts w:hint="eastAsia"/>
          <w:sz w:val="24"/>
        </w:rPr>
        <w:t>石油开采新区块开发；</w:t>
      </w:r>
      <w:r>
        <w:rPr>
          <w:sz w:val="24"/>
        </w:rPr>
        <w:t>涉及环境敏感区的（含内部集输管线建设）</w:t>
      </w:r>
      <w:r>
        <w:rPr>
          <w:rFonts w:hint="eastAsia"/>
          <w:sz w:val="24"/>
        </w:rPr>
        <w:t>”</w:t>
      </w:r>
      <w:r>
        <w:rPr>
          <w:sz w:val="24"/>
        </w:rPr>
        <w:t>建设项目，应编制环境影响报告书。</w:t>
      </w:r>
    </w:p>
    <w:p w:rsidR="00EE4502" w:rsidRDefault="00FD45A3">
      <w:pPr>
        <w:pStyle w:val="33"/>
        <w:numPr>
          <w:ilvl w:val="2"/>
          <w:numId w:val="30"/>
        </w:numPr>
        <w:spacing w:line="360" w:lineRule="auto"/>
        <w:ind w:left="0" w:firstLine="0"/>
        <w:rPr>
          <w:spacing w:val="0"/>
          <w:sz w:val="24"/>
          <w:szCs w:val="24"/>
        </w:rPr>
      </w:pPr>
      <w:r>
        <w:rPr>
          <w:spacing w:val="0"/>
          <w:sz w:val="24"/>
          <w:szCs w:val="24"/>
        </w:rPr>
        <w:lastRenderedPageBreak/>
        <w:t>产业政策符合性判定结论</w:t>
      </w:r>
    </w:p>
    <w:p w:rsidR="00EE4502" w:rsidRDefault="00FD45A3">
      <w:pPr>
        <w:spacing w:line="360" w:lineRule="auto"/>
        <w:ind w:firstLine="480"/>
        <w:rPr>
          <w:sz w:val="24"/>
        </w:rPr>
      </w:pPr>
      <w:r>
        <w:rPr>
          <w:sz w:val="24"/>
        </w:rPr>
        <w:t>根据《产业结构调整指导目录（</w:t>
      </w:r>
      <w:r>
        <w:rPr>
          <w:sz w:val="24"/>
        </w:rPr>
        <w:t>20</w:t>
      </w:r>
      <w:r>
        <w:rPr>
          <w:rFonts w:hint="eastAsia"/>
          <w:sz w:val="24"/>
        </w:rPr>
        <w:t>24</w:t>
      </w:r>
      <w:r>
        <w:rPr>
          <w:sz w:val="24"/>
        </w:rPr>
        <w:t>年本）》，</w:t>
      </w:r>
      <w:r>
        <w:rPr>
          <w:rFonts w:hint="eastAsia"/>
          <w:bCs/>
          <w:sz w:val="24"/>
        </w:rPr>
        <w:t>本工程</w:t>
      </w:r>
      <w:r>
        <w:rPr>
          <w:sz w:val="24"/>
        </w:rPr>
        <w:t>属于</w:t>
      </w:r>
      <w:r>
        <w:rPr>
          <w:rFonts w:hint="eastAsia"/>
          <w:sz w:val="24"/>
        </w:rPr>
        <w:t>“</w:t>
      </w:r>
      <w:r>
        <w:rPr>
          <w:sz w:val="24"/>
        </w:rPr>
        <w:t>第一类</w:t>
      </w:r>
      <w:r>
        <w:rPr>
          <w:sz w:val="24"/>
        </w:rPr>
        <w:t xml:space="preserve"> </w:t>
      </w:r>
      <w:r>
        <w:rPr>
          <w:sz w:val="24"/>
        </w:rPr>
        <w:t>鼓励类，七、石油天然气</w:t>
      </w:r>
      <w:r>
        <w:rPr>
          <w:rFonts w:hint="eastAsia"/>
          <w:sz w:val="24"/>
        </w:rPr>
        <w:t>-</w:t>
      </w:r>
      <w:r>
        <w:rPr>
          <w:sz w:val="24"/>
        </w:rPr>
        <w:t>1.</w:t>
      </w:r>
      <w:r>
        <w:rPr>
          <w:rFonts w:hint="eastAsia"/>
          <w:sz w:val="24"/>
        </w:rPr>
        <w:t>石油天然气开采：</w:t>
      </w:r>
      <w:r>
        <w:rPr>
          <w:sz w:val="24"/>
        </w:rPr>
        <w:t>常规石油、天然气勘探与开采</w:t>
      </w:r>
      <w:r>
        <w:rPr>
          <w:rFonts w:hint="eastAsia"/>
          <w:sz w:val="24"/>
        </w:rPr>
        <w:t>”</w:t>
      </w:r>
      <w:r>
        <w:rPr>
          <w:sz w:val="24"/>
        </w:rPr>
        <w:t>，属于国家鼓励类项目。石油天然气开发属于国家重点鼓励发展的产业，</w:t>
      </w:r>
      <w:r>
        <w:rPr>
          <w:rFonts w:hint="eastAsia"/>
          <w:sz w:val="24"/>
        </w:rPr>
        <w:t>本工程</w:t>
      </w:r>
      <w:r>
        <w:rPr>
          <w:sz w:val="24"/>
        </w:rPr>
        <w:t>的建设符合国家产业政策</w:t>
      </w:r>
      <w:r>
        <w:rPr>
          <w:rFonts w:hint="eastAsia"/>
          <w:sz w:val="24"/>
        </w:rPr>
        <w:t>。</w:t>
      </w:r>
    </w:p>
    <w:p w:rsidR="00EE4502" w:rsidRDefault="00FD45A3">
      <w:pPr>
        <w:keepNext/>
        <w:keepLines/>
        <w:numPr>
          <w:ilvl w:val="2"/>
          <w:numId w:val="30"/>
        </w:numPr>
        <w:spacing w:line="360" w:lineRule="auto"/>
        <w:outlineLvl w:val="2"/>
        <w:rPr>
          <w:rFonts w:eastAsia="黑体"/>
          <w:sz w:val="24"/>
        </w:rPr>
      </w:pPr>
      <w:r>
        <w:rPr>
          <w:rFonts w:eastAsia="黑体" w:hint="eastAsia"/>
          <w:sz w:val="24"/>
        </w:rPr>
        <w:t>规划符合性分析结论</w:t>
      </w:r>
    </w:p>
    <w:p w:rsidR="00EE4502" w:rsidRDefault="00FD45A3">
      <w:pPr>
        <w:spacing w:line="360" w:lineRule="auto"/>
        <w:ind w:firstLine="480"/>
        <w:rPr>
          <w:sz w:val="24"/>
        </w:rPr>
      </w:pPr>
      <w:r>
        <w:rPr>
          <w:rFonts w:hint="eastAsia"/>
          <w:sz w:val="24"/>
        </w:rPr>
        <w:t>本工程</w:t>
      </w:r>
      <w:r>
        <w:rPr>
          <w:rFonts w:hint="eastAsia"/>
          <w:sz w:val="24"/>
        </w:rPr>
        <w:t>位于新疆维吾尔自治区克拉玛依市及新疆生产建设兵团第七师胡杨河市</w:t>
      </w:r>
      <w:r>
        <w:rPr>
          <w:rFonts w:hint="eastAsia"/>
          <w:sz w:val="24"/>
        </w:rPr>
        <w:t>，属于中石化新疆新春石油开发有限责任公司</w:t>
      </w:r>
      <w:r>
        <w:rPr>
          <w:rFonts w:hint="eastAsia"/>
          <w:sz w:val="24"/>
        </w:rPr>
        <w:t>滚动</w:t>
      </w:r>
      <w:r>
        <w:rPr>
          <w:rFonts w:hint="eastAsia"/>
          <w:sz w:val="24"/>
        </w:rPr>
        <w:t>开发项目</w:t>
      </w:r>
      <w:r>
        <w:rPr>
          <w:rFonts w:hint="eastAsia"/>
          <w:sz w:val="24"/>
        </w:rPr>
        <w:t>。</w:t>
      </w:r>
      <w:r>
        <w:rPr>
          <w:rFonts w:hint="eastAsia"/>
          <w:sz w:val="24"/>
        </w:rPr>
        <w:t>工程</w:t>
      </w:r>
      <w:r>
        <w:rPr>
          <w:rFonts w:hint="eastAsia"/>
          <w:sz w:val="24"/>
        </w:rPr>
        <w:t>建设</w:t>
      </w:r>
      <w:r>
        <w:rPr>
          <w:rFonts w:hint="eastAsia"/>
          <w:sz w:val="24"/>
        </w:rPr>
        <w:t>符合《新疆维吾尔自治区国民经济和社会发展第十四个五年规划和</w:t>
      </w:r>
      <w:r>
        <w:rPr>
          <w:rFonts w:hint="eastAsia"/>
          <w:sz w:val="24"/>
        </w:rPr>
        <w:t>2035</w:t>
      </w:r>
      <w:r>
        <w:rPr>
          <w:rFonts w:hint="eastAsia"/>
          <w:sz w:val="24"/>
        </w:rPr>
        <w:t>年远景目标纲要》《新疆生产建设兵团国民经济和社会发展第十四个五年规划和</w:t>
      </w:r>
      <w:r>
        <w:rPr>
          <w:rFonts w:hint="eastAsia"/>
          <w:sz w:val="24"/>
        </w:rPr>
        <w:t>2035</w:t>
      </w:r>
      <w:r>
        <w:rPr>
          <w:rFonts w:hint="eastAsia"/>
          <w:sz w:val="24"/>
        </w:rPr>
        <w:t>年远景目标纲要》《克拉玛依市国民经济和社会发展第十四个五年规划和</w:t>
      </w:r>
      <w:r>
        <w:rPr>
          <w:rFonts w:hint="eastAsia"/>
          <w:sz w:val="24"/>
        </w:rPr>
        <w:t>2035</w:t>
      </w:r>
      <w:r>
        <w:rPr>
          <w:rFonts w:hint="eastAsia"/>
          <w:sz w:val="24"/>
        </w:rPr>
        <w:t>年远景目标纲要》《新疆生产建设兵团第七师胡杨河市国民经济和社会发展第十四个五年规划和</w:t>
      </w:r>
      <w:r>
        <w:rPr>
          <w:rFonts w:hint="eastAsia"/>
          <w:sz w:val="24"/>
        </w:rPr>
        <w:t>2035</w:t>
      </w:r>
      <w:r>
        <w:rPr>
          <w:rFonts w:hint="eastAsia"/>
          <w:sz w:val="24"/>
        </w:rPr>
        <w:t>年远景目标纲要》《新疆生态环境保护“十四五”规划》《新疆生产建设兵团“十四五”生</w:t>
      </w:r>
      <w:r>
        <w:rPr>
          <w:rFonts w:hint="eastAsia"/>
          <w:sz w:val="24"/>
        </w:rPr>
        <w:t>态环境保护规划》《新疆维吾尔自治区主体功能区规划》《新疆生产建设兵团主体功能区划》</w:t>
      </w:r>
      <w:r>
        <w:rPr>
          <w:rFonts w:hint="eastAsia"/>
          <w:sz w:val="24"/>
        </w:rPr>
        <w:t>《克拉玛依市国土空间总体规划（</w:t>
      </w:r>
      <w:r>
        <w:rPr>
          <w:rFonts w:hint="eastAsia"/>
          <w:sz w:val="24"/>
        </w:rPr>
        <w:t>2021-2035</w:t>
      </w:r>
      <w:r>
        <w:rPr>
          <w:rFonts w:hint="eastAsia"/>
          <w:sz w:val="24"/>
        </w:rPr>
        <w:t>年）》</w:t>
      </w:r>
      <w:r>
        <w:rPr>
          <w:rFonts w:hint="eastAsia"/>
          <w:sz w:val="24"/>
        </w:rPr>
        <w:t>《中石化新疆新春石油开发有限责任公司“十四五”规划》</w:t>
      </w:r>
      <w:r>
        <w:rPr>
          <w:rFonts w:hint="eastAsia"/>
          <w:sz w:val="24"/>
        </w:rPr>
        <w:t>等</w:t>
      </w:r>
      <w:r>
        <w:rPr>
          <w:rFonts w:hint="eastAsia"/>
          <w:sz w:val="24"/>
        </w:rPr>
        <w:t>相关要求</w:t>
      </w:r>
      <w:r>
        <w:rPr>
          <w:sz w:val="24"/>
        </w:rPr>
        <w:t>。</w:t>
      </w:r>
    </w:p>
    <w:p w:rsidR="00EE4502" w:rsidRDefault="00FD45A3">
      <w:pPr>
        <w:keepNext/>
        <w:keepLines/>
        <w:numPr>
          <w:ilvl w:val="2"/>
          <w:numId w:val="30"/>
        </w:numPr>
        <w:spacing w:line="360" w:lineRule="auto"/>
        <w:outlineLvl w:val="2"/>
        <w:rPr>
          <w:rFonts w:eastAsia="黑体"/>
          <w:sz w:val="24"/>
        </w:rPr>
      </w:pPr>
      <w:r>
        <w:rPr>
          <w:rFonts w:eastAsia="黑体" w:hint="eastAsia"/>
          <w:sz w:val="24"/>
        </w:rPr>
        <w:t>选址合理性分析判定结论</w:t>
      </w:r>
    </w:p>
    <w:p w:rsidR="00EE4502" w:rsidRDefault="00FD45A3">
      <w:pPr>
        <w:spacing w:line="360" w:lineRule="auto"/>
        <w:ind w:firstLine="480"/>
        <w:rPr>
          <w:sz w:val="24"/>
        </w:rPr>
      </w:pPr>
      <w:r>
        <w:rPr>
          <w:rFonts w:hint="eastAsia"/>
          <w:sz w:val="24"/>
        </w:rPr>
        <w:t>项目选址符合生态环境分区管控要求，不涉及法律法规明令禁止建设的区域，避开了生态保护红线，远离居民集中区、医院、学校等环境敏感区。项目建成后所在区域的环境功能不会降低，对环境的影响属可接受的范围，选址、选线基本合理。</w:t>
      </w:r>
    </w:p>
    <w:p w:rsidR="00EE4502" w:rsidRDefault="00FD45A3">
      <w:pPr>
        <w:keepNext/>
        <w:keepLines/>
        <w:numPr>
          <w:ilvl w:val="2"/>
          <w:numId w:val="30"/>
        </w:numPr>
        <w:spacing w:line="360" w:lineRule="auto"/>
        <w:outlineLvl w:val="2"/>
        <w:rPr>
          <w:rFonts w:eastAsia="黑体"/>
          <w:sz w:val="24"/>
        </w:rPr>
      </w:pPr>
      <w:r>
        <w:rPr>
          <w:rFonts w:eastAsia="黑体" w:hint="eastAsia"/>
          <w:sz w:val="24"/>
        </w:rPr>
        <w:t>生态环境分区管控方案符合性判定结论</w:t>
      </w:r>
    </w:p>
    <w:p w:rsidR="00EE4502" w:rsidRDefault="00FD45A3">
      <w:pPr>
        <w:spacing w:line="360" w:lineRule="auto"/>
        <w:ind w:firstLine="480"/>
        <w:rPr>
          <w:sz w:val="24"/>
        </w:rPr>
      </w:pPr>
      <w:r>
        <w:rPr>
          <w:rFonts w:hint="eastAsia"/>
          <w:sz w:val="24"/>
        </w:rPr>
        <w:t>本工程</w:t>
      </w:r>
      <w:r>
        <w:rPr>
          <w:rFonts w:hint="eastAsia"/>
          <w:sz w:val="24"/>
        </w:rPr>
        <w:t>所在区域行政区划涉及新疆维吾</w:t>
      </w:r>
      <w:r>
        <w:rPr>
          <w:rFonts w:hint="eastAsia"/>
          <w:sz w:val="24"/>
        </w:rPr>
        <w:t>尔自治区克拉玛依市克拉玛依区、新疆生产建设兵团第七师胡杨河市。</w:t>
      </w:r>
      <w:r>
        <w:rPr>
          <w:rFonts w:hint="eastAsia"/>
          <w:sz w:val="24"/>
        </w:rPr>
        <w:t>各项工程的建设均不在生态保护红线范围内；油藏采出水在</w:t>
      </w:r>
      <w:r>
        <w:rPr>
          <w:rFonts w:hint="eastAsia"/>
          <w:sz w:val="24"/>
        </w:rPr>
        <w:t>1#</w:t>
      </w:r>
      <w:r>
        <w:rPr>
          <w:rFonts w:hint="eastAsia"/>
          <w:sz w:val="24"/>
        </w:rPr>
        <w:t>增压站</w:t>
      </w:r>
      <w:r>
        <w:rPr>
          <w:rFonts w:hint="eastAsia"/>
          <w:sz w:val="24"/>
        </w:rPr>
        <w:t>就地分水后通过集输末端掺水点回注地层，井下作业废水采用专用废水回收罐收集，依托春风油田二号联合站进行处理，废水均不向外环境排放；工程所在区域属于大气环境质量达标区域，运营期采取密闭集输工艺；同时本报告已提出防风固沙、水土保持、生态修复等要求，工程实施后建设单位应不断强化大气污染防治措施，保持区域环境空气质量继续向好。本工程在正常</w:t>
      </w:r>
      <w:r>
        <w:rPr>
          <w:rFonts w:hint="eastAsia"/>
          <w:sz w:val="24"/>
        </w:rPr>
        <w:lastRenderedPageBreak/>
        <w:t>状况下不会造成土壤环境质量超标，不会增加土壤环境风险；水资</w:t>
      </w:r>
      <w:r>
        <w:rPr>
          <w:rFonts w:hint="eastAsia"/>
          <w:sz w:val="24"/>
        </w:rPr>
        <w:t>源消耗、土地资源、能源消耗等均能够达到自治区下达的总量和强度控制目标；满足生态环境准入清单中空间布局约束、污染物排放管控、环境风险管控及资源利用效率的相关要求，符合克拉玛依市及第七师胡杨河市生态环境分区管控</w:t>
      </w:r>
      <w:r>
        <w:rPr>
          <w:rFonts w:hint="eastAsia"/>
          <w:sz w:val="24"/>
        </w:rPr>
        <w:t>方案</w:t>
      </w:r>
      <w:r>
        <w:rPr>
          <w:rFonts w:hint="eastAsia"/>
          <w:sz w:val="24"/>
        </w:rPr>
        <w:t>要求。</w:t>
      </w:r>
    </w:p>
    <w:p w:rsidR="00EE4502" w:rsidRDefault="00FD45A3">
      <w:pPr>
        <w:pStyle w:val="22"/>
        <w:numPr>
          <w:ilvl w:val="1"/>
          <w:numId w:val="30"/>
        </w:numPr>
        <w:rPr>
          <w:spacing w:val="0"/>
          <w:w w:val="100"/>
        </w:rPr>
      </w:pPr>
      <w:bookmarkStart w:id="4" w:name="_Toc5968"/>
      <w:r>
        <w:rPr>
          <w:rFonts w:hint="eastAsia"/>
          <w:spacing w:val="0"/>
          <w:w w:val="100"/>
        </w:rPr>
        <w:t>关注的主要环境问题及环境影响</w:t>
      </w:r>
      <w:bookmarkEnd w:id="4"/>
    </w:p>
    <w:p w:rsidR="00EE4502" w:rsidRDefault="00FD45A3">
      <w:pPr>
        <w:spacing w:line="360" w:lineRule="auto"/>
        <w:ind w:firstLineChars="200" w:firstLine="480"/>
        <w:rPr>
          <w:sz w:val="24"/>
        </w:rPr>
      </w:pPr>
      <w:r>
        <w:rPr>
          <w:rFonts w:hint="eastAsia"/>
          <w:sz w:val="24"/>
        </w:rPr>
        <w:t>本工程</w:t>
      </w:r>
      <w:r>
        <w:rPr>
          <w:rFonts w:hint="eastAsia"/>
          <w:sz w:val="24"/>
        </w:rPr>
        <w:t>属于</w:t>
      </w:r>
      <w:r>
        <w:rPr>
          <w:sz w:val="24"/>
        </w:rPr>
        <w:t>稠油开采项目，无伴生气产生，</w:t>
      </w:r>
      <w:r>
        <w:rPr>
          <w:rFonts w:hint="eastAsia"/>
          <w:sz w:val="24"/>
        </w:rPr>
        <w:t>亦不产生硫化氢气体</w:t>
      </w:r>
      <w:r>
        <w:rPr>
          <w:sz w:val="24"/>
        </w:rPr>
        <w:t>。环境影响因素主要来源于钻井、采油、井下作业、集油、输油、注汽等各工艺过程。影响因素包括生态影响，以及排放的污染物质导致的环境污染。据现场调查，评价范围内没有自然保护区、风景名胜区、水源保护区等敏感区，没有固定集中的人群活动区。重点保护目标是：评价范围内的</w:t>
      </w:r>
      <w:r>
        <w:rPr>
          <w:rFonts w:hint="eastAsia"/>
          <w:sz w:val="24"/>
        </w:rPr>
        <w:t>公益林</w:t>
      </w:r>
      <w:r>
        <w:rPr>
          <w:sz w:val="24"/>
        </w:rPr>
        <w:t>及动植物。</w:t>
      </w:r>
    </w:p>
    <w:p w:rsidR="00EE4502" w:rsidRDefault="00FD45A3">
      <w:pPr>
        <w:spacing w:line="360" w:lineRule="auto"/>
        <w:ind w:firstLineChars="200" w:firstLine="480"/>
        <w:rPr>
          <w:sz w:val="24"/>
        </w:rPr>
      </w:pPr>
      <w:r>
        <w:rPr>
          <w:sz w:val="24"/>
        </w:rPr>
        <w:t>本次评价关注的主要环境问题为油田开发施工期废气、钻井泥浆、岩屑、钻井废水、施工临时占地及生态破坏对周围环境的影响；运营期烃类无组织挥发、油田采出水、井下作业废水、落地油、井场永久占地等对周围环境的影响，并论证拟采取的生态保护和污染防治措施</w:t>
      </w:r>
      <w:r>
        <w:rPr>
          <w:sz w:val="24"/>
        </w:rPr>
        <w:t>的可行性。</w:t>
      </w:r>
    </w:p>
    <w:p w:rsidR="00EE4502" w:rsidRDefault="00FD45A3">
      <w:pPr>
        <w:pStyle w:val="22"/>
        <w:numPr>
          <w:ilvl w:val="1"/>
          <w:numId w:val="30"/>
        </w:numPr>
        <w:rPr>
          <w:spacing w:val="0"/>
          <w:w w:val="100"/>
        </w:rPr>
      </w:pPr>
      <w:bookmarkStart w:id="5" w:name="_Toc8012"/>
      <w:r>
        <w:rPr>
          <w:rFonts w:hint="eastAsia"/>
          <w:spacing w:val="0"/>
          <w:w w:val="100"/>
        </w:rPr>
        <w:t>环境影响评价的主要结论</w:t>
      </w:r>
      <w:bookmarkEnd w:id="5"/>
    </w:p>
    <w:p w:rsidR="00EE4502" w:rsidRDefault="00FD45A3">
      <w:pPr>
        <w:spacing w:line="360" w:lineRule="auto"/>
        <w:ind w:firstLine="480"/>
        <w:rPr>
          <w:sz w:val="24"/>
        </w:rPr>
      </w:pPr>
      <w:r>
        <w:rPr>
          <w:rFonts w:hint="eastAsia"/>
          <w:sz w:val="24"/>
        </w:rPr>
        <w:t>本</w:t>
      </w:r>
      <w:r>
        <w:rPr>
          <w:rFonts w:hint="eastAsia"/>
          <w:sz w:val="24"/>
        </w:rPr>
        <w:t>工程</w:t>
      </w:r>
      <w:r>
        <w:rPr>
          <w:rFonts w:hint="eastAsia"/>
          <w:sz w:val="24"/>
        </w:rPr>
        <w:t>属于《产业结构调整指导目录（</w:t>
      </w:r>
      <w:r>
        <w:rPr>
          <w:rFonts w:hint="eastAsia"/>
          <w:sz w:val="24"/>
        </w:rPr>
        <w:t>2024</w:t>
      </w:r>
      <w:r>
        <w:rPr>
          <w:rFonts w:hint="eastAsia"/>
          <w:sz w:val="24"/>
        </w:rPr>
        <w:t>年本）》中“鼓励类”项目，符合国家产业政策；符合《新疆维吾尔自治区重点行业生态环境准入条件（</w:t>
      </w:r>
      <w:r>
        <w:rPr>
          <w:rFonts w:hint="eastAsia"/>
          <w:sz w:val="24"/>
        </w:rPr>
        <w:t>2024</w:t>
      </w:r>
      <w:r>
        <w:rPr>
          <w:rFonts w:hint="eastAsia"/>
          <w:sz w:val="24"/>
        </w:rPr>
        <w:t>年）》（新环发〔</w:t>
      </w:r>
      <w:r>
        <w:rPr>
          <w:rFonts w:hint="eastAsia"/>
          <w:sz w:val="24"/>
        </w:rPr>
        <w:t>2024</w:t>
      </w:r>
      <w:r>
        <w:rPr>
          <w:rFonts w:hint="eastAsia"/>
          <w:sz w:val="24"/>
        </w:rPr>
        <w:t>〕</w:t>
      </w:r>
      <w:r>
        <w:rPr>
          <w:rFonts w:hint="eastAsia"/>
          <w:sz w:val="24"/>
        </w:rPr>
        <w:t>93</w:t>
      </w:r>
      <w:r>
        <w:rPr>
          <w:rFonts w:hint="eastAsia"/>
          <w:sz w:val="24"/>
        </w:rPr>
        <w:t>号）</w:t>
      </w:r>
      <w:r>
        <w:rPr>
          <w:rFonts w:hint="eastAsia"/>
          <w:sz w:val="24"/>
        </w:rPr>
        <w:t>、</w:t>
      </w:r>
      <w:r>
        <w:rPr>
          <w:rFonts w:hint="eastAsia"/>
          <w:sz w:val="24"/>
        </w:rPr>
        <w:t>《石油天然气开采业污染防治技术政策》等法规和政策要求；符合《克拉玛依市国民经济和社会发展第十四个五年规划和</w:t>
      </w:r>
      <w:r>
        <w:rPr>
          <w:rFonts w:hint="eastAsia"/>
          <w:sz w:val="24"/>
        </w:rPr>
        <w:t>2035</w:t>
      </w:r>
      <w:r>
        <w:rPr>
          <w:rFonts w:hint="eastAsia"/>
          <w:sz w:val="24"/>
        </w:rPr>
        <w:t>年远景目标纲要》《新疆生产建设兵团第七师胡杨河市国民经济和社会发展第十四个五年规划和</w:t>
      </w:r>
      <w:r>
        <w:rPr>
          <w:rFonts w:hint="eastAsia"/>
          <w:sz w:val="24"/>
        </w:rPr>
        <w:t>2035</w:t>
      </w:r>
      <w:r>
        <w:rPr>
          <w:rFonts w:hint="eastAsia"/>
          <w:sz w:val="24"/>
        </w:rPr>
        <w:t>年远景目标纲要》《中石化新疆新春石油开发有限责任公司“十四五”规划》等要求；项目不涉及依法划</w:t>
      </w:r>
      <w:r>
        <w:rPr>
          <w:rFonts w:hint="eastAsia"/>
          <w:sz w:val="24"/>
        </w:rPr>
        <w:t>定的自然保护区、饮用水源保护区、风景名胜区、森林公园等环境敏感区；项目区分布有公益林，需要办理相关用地手续后方可开工建设；项目符合克拉玛依市及第七师胡杨河市生态环境分区管控要求；</w:t>
      </w:r>
      <w:r>
        <w:rPr>
          <w:rFonts w:hint="eastAsia"/>
          <w:sz w:val="24"/>
        </w:rPr>
        <w:t>建设单位</w:t>
      </w:r>
      <w:r>
        <w:rPr>
          <w:rFonts w:hint="eastAsia"/>
          <w:sz w:val="24"/>
        </w:rPr>
        <w:t>按照《环境影响评价公众参与办法》，在本</w:t>
      </w:r>
      <w:r>
        <w:rPr>
          <w:rFonts w:hint="eastAsia"/>
          <w:sz w:val="24"/>
        </w:rPr>
        <w:t>工程</w:t>
      </w:r>
      <w:r>
        <w:rPr>
          <w:rFonts w:hint="eastAsia"/>
          <w:sz w:val="24"/>
        </w:rPr>
        <w:t>环评过程中开展了公众参与调查，至信息公告的截止日期没有收到相关反馈信息。</w:t>
      </w:r>
    </w:p>
    <w:p w:rsidR="00EE4502" w:rsidRDefault="00FD45A3">
      <w:pPr>
        <w:spacing w:line="360" w:lineRule="auto"/>
        <w:ind w:firstLine="480"/>
        <w:rPr>
          <w:sz w:val="24"/>
        </w:rPr>
      </w:pPr>
      <w:r>
        <w:rPr>
          <w:rFonts w:hint="eastAsia"/>
          <w:sz w:val="24"/>
        </w:rPr>
        <w:t>评价认为：本</w:t>
      </w:r>
      <w:r>
        <w:rPr>
          <w:rFonts w:hint="eastAsia"/>
          <w:sz w:val="24"/>
        </w:rPr>
        <w:t>工程</w:t>
      </w:r>
      <w:r>
        <w:rPr>
          <w:rFonts w:hint="eastAsia"/>
          <w:sz w:val="24"/>
        </w:rPr>
        <w:t>在施工期、运营期和退役期认真落实报告中的各项污染防治措施、生态保护措施及风险防范措施，各项污染物做到达标排放及无害化处置，其生态影响可有效降低，环境风险及生态安全影响可以接受，从生态环境保护角</w:t>
      </w:r>
      <w:r>
        <w:rPr>
          <w:rFonts w:hint="eastAsia"/>
          <w:sz w:val="24"/>
        </w:rPr>
        <w:lastRenderedPageBreak/>
        <w:t>度</w:t>
      </w:r>
      <w:r>
        <w:rPr>
          <w:rFonts w:hint="eastAsia"/>
          <w:sz w:val="24"/>
        </w:rPr>
        <w:t>看，本项目建设是可行的</w:t>
      </w:r>
      <w:r>
        <w:rPr>
          <w:sz w:val="24"/>
        </w:rPr>
        <w:t>。</w:t>
      </w:r>
      <w:bookmarkStart w:id="6" w:name="_Toc336265304"/>
    </w:p>
    <w:p w:rsidR="00EE4502" w:rsidRDefault="00EE4502">
      <w:pPr>
        <w:spacing w:line="360" w:lineRule="auto"/>
        <w:rPr>
          <w:sz w:val="24"/>
        </w:rPr>
        <w:sectPr w:rsidR="00EE4502">
          <w:headerReference w:type="default" r:id="rId12"/>
          <w:footerReference w:type="default" r:id="rId13"/>
          <w:pgSz w:w="11906" w:h="16838"/>
          <w:pgMar w:top="1440" w:right="1800" w:bottom="1440" w:left="1800" w:header="850" w:footer="850" w:gutter="0"/>
          <w:pgNumType w:fmt="numberInDash"/>
          <w:cols w:space="720"/>
          <w:docGrid w:linePitch="326"/>
        </w:sectPr>
      </w:pPr>
    </w:p>
    <w:p w:rsidR="00EE4502" w:rsidRDefault="00FD45A3">
      <w:pPr>
        <w:pStyle w:val="12"/>
        <w:numPr>
          <w:ilvl w:val="0"/>
          <w:numId w:val="30"/>
        </w:numPr>
        <w:spacing w:before="0" w:after="0" w:line="360" w:lineRule="auto"/>
        <w:ind w:left="0" w:firstLine="0"/>
        <w:rPr>
          <w:b w:val="0"/>
          <w:szCs w:val="30"/>
        </w:rPr>
      </w:pPr>
      <w:bookmarkStart w:id="7" w:name="_Toc19678"/>
      <w:bookmarkEnd w:id="6"/>
      <w:r>
        <w:rPr>
          <w:rFonts w:hint="eastAsia"/>
          <w:b w:val="0"/>
          <w:szCs w:val="30"/>
        </w:rPr>
        <w:lastRenderedPageBreak/>
        <w:t>总则</w:t>
      </w:r>
      <w:bookmarkEnd w:id="7"/>
    </w:p>
    <w:p w:rsidR="00EE4502" w:rsidRDefault="00FD45A3">
      <w:pPr>
        <w:pStyle w:val="22"/>
        <w:numPr>
          <w:ilvl w:val="1"/>
          <w:numId w:val="30"/>
        </w:numPr>
        <w:rPr>
          <w:spacing w:val="0"/>
          <w:w w:val="100"/>
        </w:rPr>
      </w:pPr>
      <w:bookmarkStart w:id="8" w:name="_Toc113674968"/>
      <w:bookmarkStart w:id="9" w:name="_Toc36342947"/>
      <w:bookmarkStart w:id="10" w:name="_Toc98209747"/>
      <w:bookmarkStart w:id="11" w:name="_Toc113162290"/>
      <w:bookmarkStart w:id="12" w:name="_Toc71006456"/>
      <w:bookmarkStart w:id="13" w:name="_Toc113162111"/>
      <w:bookmarkStart w:id="14" w:name="_Toc89678560"/>
      <w:bookmarkStart w:id="15" w:name="_Toc89678677"/>
      <w:bookmarkStart w:id="16" w:name="_Toc35607605"/>
      <w:bookmarkStart w:id="17" w:name="_Toc71785152"/>
      <w:bookmarkStart w:id="18" w:name="_Toc12299"/>
      <w:bookmarkStart w:id="19" w:name="_Toc71784775"/>
      <w:bookmarkStart w:id="20" w:name="_Toc35605719"/>
      <w:bookmarkStart w:id="21" w:name="_Toc71000320"/>
      <w:bookmarkStart w:id="22" w:name="_Toc23836618"/>
      <w:bookmarkStart w:id="23" w:name="_Toc113674885"/>
      <w:bookmarkStart w:id="24" w:name="_Toc97475425"/>
      <w:bookmarkStart w:id="25" w:name="_Toc89678767"/>
      <w:bookmarkStart w:id="26" w:name="_Toc35606483"/>
      <w:bookmarkStart w:id="27" w:name="_Toc34445940"/>
      <w:bookmarkStart w:id="28" w:name="_Toc35606082"/>
      <w:bookmarkStart w:id="29" w:name="_Toc34446246"/>
      <w:bookmarkStart w:id="30" w:name="_Toc97967429"/>
      <w:bookmarkStart w:id="31" w:name="_Toc36256961"/>
      <w:bookmarkStart w:id="32" w:name="_Toc33954301"/>
      <w:bookmarkStart w:id="33" w:name="_Toc119827473"/>
      <w:bookmarkStart w:id="34" w:name="_Toc35607558"/>
      <w:bookmarkStart w:id="35" w:name="_Toc33945316"/>
      <w:bookmarkStart w:id="36" w:name="_Toc33339904"/>
      <w:bookmarkStart w:id="37" w:name="_Toc64451709"/>
      <w:bookmarkStart w:id="38" w:name="_Toc64269271"/>
      <w:r>
        <w:rPr>
          <w:spacing w:val="0"/>
          <w:w w:val="100"/>
        </w:rPr>
        <w:t>编制依据</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rsidR="00EE4502" w:rsidRDefault="00FD45A3">
      <w:pPr>
        <w:pStyle w:val="33"/>
        <w:numPr>
          <w:ilvl w:val="2"/>
          <w:numId w:val="30"/>
        </w:numPr>
        <w:spacing w:line="360" w:lineRule="auto"/>
        <w:ind w:left="0" w:firstLine="0"/>
        <w:rPr>
          <w:spacing w:val="0"/>
          <w:sz w:val="24"/>
          <w:szCs w:val="24"/>
        </w:rPr>
      </w:pPr>
      <w:r>
        <w:rPr>
          <w:rFonts w:hint="eastAsia"/>
          <w:spacing w:val="0"/>
          <w:sz w:val="24"/>
          <w:szCs w:val="24"/>
        </w:rPr>
        <w:t>环境保护法律</w:t>
      </w:r>
    </w:p>
    <w:p w:rsidR="00EE4502" w:rsidRDefault="00FD45A3">
      <w:pPr>
        <w:numPr>
          <w:ilvl w:val="0"/>
          <w:numId w:val="31"/>
        </w:numPr>
        <w:spacing w:line="360" w:lineRule="auto"/>
        <w:ind w:left="0" w:firstLineChars="200" w:firstLine="480"/>
        <w:rPr>
          <w:sz w:val="24"/>
        </w:rPr>
      </w:pPr>
      <w:r>
        <w:rPr>
          <w:sz w:val="24"/>
        </w:rPr>
        <w:t>《中华人民共和国环境保护法》（</w:t>
      </w:r>
      <w:r>
        <w:rPr>
          <w:sz w:val="24"/>
        </w:rPr>
        <w:t>2015</w:t>
      </w:r>
      <w:r>
        <w:rPr>
          <w:sz w:val="24"/>
        </w:rPr>
        <w:t>年</w:t>
      </w:r>
      <w:r>
        <w:rPr>
          <w:sz w:val="24"/>
        </w:rPr>
        <w:t>1</w:t>
      </w:r>
      <w:r>
        <w:rPr>
          <w:sz w:val="24"/>
        </w:rPr>
        <w:t>月</w:t>
      </w:r>
      <w:r>
        <w:rPr>
          <w:sz w:val="24"/>
        </w:rPr>
        <w:t>1</w:t>
      </w:r>
      <w:r>
        <w:rPr>
          <w:sz w:val="24"/>
        </w:rPr>
        <w:t>日）；</w:t>
      </w:r>
    </w:p>
    <w:p w:rsidR="00EE4502" w:rsidRDefault="00FD45A3">
      <w:pPr>
        <w:numPr>
          <w:ilvl w:val="0"/>
          <w:numId w:val="31"/>
        </w:numPr>
        <w:spacing w:line="360" w:lineRule="auto"/>
        <w:ind w:left="0" w:firstLineChars="200" w:firstLine="480"/>
        <w:rPr>
          <w:sz w:val="24"/>
        </w:rPr>
      </w:pPr>
      <w:r>
        <w:rPr>
          <w:kern w:val="13"/>
          <w:sz w:val="24"/>
          <w:szCs w:val="28"/>
        </w:rPr>
        <w:t>《中华人民共和国环境影响评价法》（</w:t>
      </w:r>
      <w:r>
        <w:rPr>
          <w:kern w:val="13"/>
          <w:sz w:val="24"/>
          <w:szCs w:val="28"/>
        </w:rPr>
        <w:t>2018</w:t>
      </w:r>
      <w:r>
        <w:rPr>
          <w:kern w:val="13"/>
          <w:sz w:val="24"/>
          <w:szCs w:val="28"/>
        </w:rPr>
        <w:t>年</w:t>
      </w:r>
      <w:r>
        <w:rPr>
          <w:kern w:val="13"/>
          <w:sz w:val="24"/>
          <w:szCs w:val="28"/>
        </w:rPr>
        <w:t>12</w:t>
      </w:r>
      <w:r>
        <w:rPr>
          <w:kern w:val="13"/>
          <w:sz w:val="24"/>
          <w:szCs w:val="28"/>
        </w:rPr>
        <w:t>月</w:t>
      </w:r>
      <w:r>
        <w:rPr>
          <w:kern w:val="13"/>
          <w:sz w:val="24"/>
          <w:szCs w:val="28"/>
        </w:rPr>
        <w:t>29</w:t>
      </w:r>
      <w:r>
        <w:rPr>
          <w:kern w:val="13"/>
          <w:sz w:val="24"/>
          <w:szCs w:val="28"/>
        </w:rPr>
        <w:t>日，</w:t>
      </w:r>
      <w:r>
        <w:rPr>
          <w:sz w:val="24"/>
        </w:rPr>
        <w:t>修订）</w:t>
      </w:r>
      <w:r>
        <w:rPr>
          <w:kern w:val="13"/>
          <w:sz w:val="24"/>
          <w:szCs w:val="28"/>
        </w:rPr>
        <w:t>；</w:t>
      </w:r>
    </w:p>
    <w:p w:rsidR="00EE4502" w:rsidRDefault="00FD45A3">
      <w:pPr>
        <w:numPr>
          <w:ilvl w:val="0"/>
          <w:numId w:val="31"/>
        </w:numPr>
        <w:spacing w:line="360" w:lineRule="auto"/>
        <w:ind w:left="0" w:firstLineChars="200" w:firstLine="480"/>
        <w:rPr>
          <w:sz w:val="24"/>
        </w:rPr>
      </w:pPr>
      <w:r>
        <w:rPr>
          <w:sz w:val="24"/>
        </w:rPr>
        <w:t>《</w:t>
      </w:r>
      <w:r>
        <w:rPr>
          <w:rFonts w:hint="eastAsia"/>
          <w:sz w:val="24"/>
        </w:rPr>
        <w:t>中华人民共和国大气污染防治法</w:t>
      </w:r>
      <w:r>
        <w:rPr>
          <w:sz w:val="24"/>
        </w:rPr>
        <w:t>》（</w:t>
      </w:r>
      <w:r>
        <w:rPr>
          <w:sz w:val="24"/>
        </w:rPr>
        <w:t>2018</w:t>
      </w:r>
      <w:r>
        <w:rPr>
          <w:sz w:val="24"/>
        </w:rPr>
        <w:t>年</w:t>
      </w:r>
      <w:r>
        <w:rPr>
          <w:sz w:val="24"/>
        </w:rPr>
        <w:t>10</w:t>
      </w:r>
      <w:r>
        <w:rPr>
          <w:sz w:val="24"/>
        </w:rPr>
        <w:t>月</w:t>
      </w:r>
      <w:r>
        <w:rPr>
          <w:sz w:val="24"/>
        </w:rPr>
        <w:t>26</w:t>
      </w:r>
      <w:r>
        <w:rPr>
          <w:sz w:val="24"/>
        </w:rPr>
        <w:t>日，修订）；</w:t>
      </w:r>
    </w:p>
    <w:p w:rsidR="00EE4502" w:rsidRDefault="00FD45A3">
      <w:pPr>
        <w:numPr>
          <w:ilvl w:val="0"/>
          <w:numId w:val="31"/>
        </w:numPr>
        <w:spacing w:line="360" w:lineRule="auto"/>
        <w:ind w:left="0" w:firstLineChars="200" w:firstLine="480"/>
        <w:rPr>
          <w:sz w:val="24"/>
        </w:rPr>
      </w:pPr>
      <w:r>
        <w:rPr>
          <w:sz w:val="24"/>
        </w:rPr>
        <w:t>《中华人民共和国水污染防治法》（</w:t>
      </w:r>
      <w:r>
        <w:rPr>
          <w:sz w:val="24"/>
        </w:rPr>
        <w:t>2018</w:t>
      </w:r>
      <w:r>
        <w:rPr>
          <w:sz w:val="24"/>
        </w:rPr>
        <w:t>年</w:t>
      </w:r>
      <w:r>
        <w:rPr>
          <w:sz w:val="24"/>
        </w:rPr>
        <w:t>1</w:t>
      </w:r>
      <w:r>
        <w:rPr>
          <w:sz w:val="24"/>
        </w:rPr>
        <w:t>月</w:t>
      </w:r>
      <w:r>
        <w:rPr>
          <w:sz w:val="24"/>
        </w:rPr>
        <w:t>1</w:t>
      </w:r>
      <w:r>
        <w:rPr>
          <w:sz w:val="24"/>
        </w:rPr>
        <w:t>日）；</w:t>
      </w:r>
    </w:p>
    <w:p w:rsidR="00EE4502" w:rsidRDefault="00FD45A3">
      <w:pPr>
        <w:numPr>
          <w:ilvl w:val="0"/>
          <w:numId w:val="31"/>
        </w:numPr>
        <w:spacing w:line="360" w:lineRule="auto"/>
        <w:ind w:left="0" w:firstLineChars="200" w:firstLine="480"/>
        <w:rPr>
          <w:sz w:val="24"/>
        </w:rPr>
      </w:pPr>
      <w:r>
        <w:rPr>
          <w:sz w:val="24"/>
        </w:rPr>
        <w:t>《中华人民共和国噪声污染防治法（</w:t>
      </w:r>
      <w:r>
        <w:rPr>
          <w:sz w:val="24"/>
        </w:rPr>
        <w:t>2021</w:t>
      </w:r>
      <w:r>
        <w:rPr>
          <w:sz w:val="24"/>
        </w:rPr>
        <w:t>年修正）》（</w:t>
      </w:r>
      <w:r>
        <w:rPr>
          <w:sz w:val="24"/>
        </w:rPr>
        <w:t>2022</w:t>
      </w:r>
      <w:r>
        <w:rPr>
          <w:sz w:val="24"/>
        </w:rPr>
        <w:t>年</w:t>
      </w:r>
      <w:r>
        <w:rPr>
          <w:sz w:val="24"/>
        </w:rPr>
        <w:t>6</w:t>
      </w:r>
      <w:r>
        <w:rPr>
          <w:sz w:val="24"/>
        </w:rPr>
        <w:t>月</w:t>
      </w:r>
      <w:r>
        <w:rPr>
          <w:sz w:val="24"/>
        </w:rPr>
        <w:t>5</w:t>
      </w:r>
      <w:r>
        <w:rPr>
          <w:sz w:val="24"/>
        </w:rPr>
        <w:t>日）；</w:t>
      </w:r>
    </w:p>
    <w:p w:rsidR="00EE4502" w:rsidRDefault="00FD45A3">
      <w:pPr>
        <w:numPr>
          <w:ilvl w:val="0"/>
          <w:numId w:val="31"/>
        </w:numPr>
        <w:tabs>
          <w:tab w:val="left" w:leader="dot" w:pos="8770"/>
        </w:tabs>
        <w:spacing w:line="360" w:lineRule="auto"/>
        <w:ind w:left="0" w:firstLineChars="200" w:firstLine="480"/>
        <w:rPr>
          <w:sz w:val="24"/>
        </w:rPr>
      </w:pPr>
      <w:r>
        <w:rPr>
          <w:sz w:val="24"/>
        </w:rPr>
        <w:t>《中华人民共和国水法》（</w:t>
      </w:r>
      <w:r>
        <w:rPr>
          <w:sz w:val="24"/>
        </w:rPr>
        <w:t>2016</w:t>
      </w:r>
      <w:r>
        <w:rPr>
          <w:sz w:val="24"/>
        </w:rPr>
        <w:t>年</w:t>
      </w:r>
      <w:r>
        <w:rPr>
          <w:sz w:val="24"/>
        </w:rPr>
        <w:t>7</w:t>
      </w:r>
      <w:r>
        <w:rPr>
          <w:sz w:val="24"/>
        </w:rPr>
        <w:t>月</w:t>
      </w:r>
      <w:r>
        <w:rPr>
          <w:sz w:val="24"/>
        </w:rPr>
        <w:t>2</w:t>
      </w:r>
      <w:r>
        <w:rPr>
          <w:sz w:val="24"/>
        </w:rPr>
        <w:t>日修订）；</w:t>
      </w:r>
    </w:p>
    <w:p w:rsidR="00EE4502" w:rsidRDefault="00FD45A3">
      <w:pPr>
        <w:numPr>
          <w:ilvl w:val="0"/>
          <w:numId w:val="31"/>
        </w:numPr>
        <w:tabs>
          <w:tab w:val="left" w:leader="dot" w:pos="8770"/>
        </w:tabs>
        <w:spacing w:line="360" w:lineRule="auto"/>
        <w:ind w:left="0" w:firstLineChars="200" w:firstLine="480"/>
        <w:rPr>
          <w:sz w:val="24"/>
        </w:rPr>
      </w:pPr>
      <w:r>
        <w:rPr>
          <w:sz w:val="24"/>
        </w:rPr>
        <w:t>《中华人民共和国水土保持法》（</w:t>
      </w:r>
      <w:r>
        <w:rPr>
          <w:sz w:val="24"/>
        </w:rPr>
        <w:t>2011</w:t>
      </w:r>
      <w:r>
        <w:rPr>
          <w:sz w:val="24"/>
        </w:rPr>
        <w:t>年</w:t>
      </w:r>
      <w:r>
        <w:rPr>
          <w:sz w:val="24"/>
        </w:rPr>
        <w:t>3</w:t>
      </w:r>
      <w:r>
        <w:rPr>
          <w:sz w:val="24"/>
        </w:rPr>
        <w:t>月</w:t>
      </w:r>
      <w:r>
        <w:rPr>
          <w:sz w:val="24"/>
        </w:rPr>
        <w:t>1</w:t>
      </w:r>
      <w:r>
        <w:rPr>
          <w:sz w:val="24"/>
        </w:rPr>
        <w:t>日）；</w:t>
      </w:r>
    </w:p>
    <w:p w:rsidR="00EE4502" w:rsidRDefault="00FD45A3">
      <w:pPr>
        <w:numPr>
          <w:ilvl w:val="0"/>
          <w:numId w:val="31"/>
        </w:numPr>
        <w:spacing w:line="360" w:lineRule="auto"/>
        <w:ind w:left="0" w:firstLineChars="200" w:firstLine="480"/>
        <w:rPr>
          <w:sz w:val="24"/>
        </w:rPr>
      </w:pPr>
      <w:r>
        <w:rPr>
          <w:sz w:val="24"/>
        </w:rPr>
        <w:t>《中华人民共和国固体废物污染环境防治法（</w:t>
      </w:r>
      <w:r>
        <w:rPr>
          <w:sz w:val="24"/>
        </w:rPr>
        <w:t>2020</w:t>
      </w:r>
      <w:r>
        <w:rPr>
          <w:sz w:val="24"/>
        </w:rPr>
        <w:t>年修正）》（</w:t>
      </w:r>
      <w:r>
        <w:rPr>
          <w:sz w:val="24"/>
        </w:rPr>
        <w:t>2020</w:t>
      </w:r>
      <w:r>
        <w:rPr>
          <w:sz w:val="24"/>
        </w:rPr>
        <w:t>年</w:t>
      </w:r>
      <w:r>
        <w:rPr>
          <w:sz w:val="24"/>
        </w:rPr>
        <w:t>9</w:t>
      </w:r>
      <w:r>
        <w:rPr>
          <w:sz w:val="24"/>
        </w:rPr>
        <w:t>月</w:t>
      </w:r>
      <w:r>
        <w:rPr>
          <w:sz w:val="24"/>
        </w:rPr>
        <w:t>1</w:t>
      </w:r>
      <w:r>
        <w:rPr>
          <w:sz w:val="24"/>
        </w:rPr>
        <w:t>日实施）；</w:t>
      </w:r>
    </w:p>
    <w:p w:rsidR="00EE4502" w:rsidRDefault="00FD45A3">
      <w:pPr>
        <w:numPr>
          <w:ilvl w:val="0"/>
          <w:numId w:val="31"/>
        </w:numPr>
        <w:spacing w:line="360" w:lineRule="auto"/>
        <w:ind w:left="0" w:firstLineChars="200" w:firstLine="480"/>
        <w:rPr>
          <w:sz w:val="24"/>
        </w:rPr>
      </w:pPr>
      <w:r>
        <w:rPr>
          <w:sz w:val="24"/>
        </w:rPr>
        <w:t>《中华人民共和国清洁生产促进法》（</w:t>
      </w:r>
      <w:r>
        <w:rPr>
          <w:sz w:val="24"/>
        </w:rPr>
        <w:t>2012</w:t>
      </w:r>
      <w:r>
        <w:rPr>
          <w:sz w:val="24"/>
        </w:rPr>
        <w:t>年</w:t>
      </w:r>
      <w:r>
        <w:rPr>
          <w:sz w:val="24"/>
        </w:rPr>
        <w:t>7</w:t>
      </w:r>
      <w:r>
        <w:rPr>
          <w:sz w:val="24"/>
        </w:rPr>
        <w:t>月</w:t>
      </w:r>
      <w:r>
        <w:rPr>
          <w:sz w:val="24"/>
        </w:rPr>
        <w:t>1</w:t>
      </w:r>
      <w:r>
        <w:rPr>
          <w:sz w:val="24"/>
        </w:rPr>
        <w:t>日）；</w:t>
      </w:r>
    </w:p>
    <w:p w:rsidR="00EE4502" w:rsidRDefault="00FD45A3">
      <w:pPr>
        <w:numPr>
          <w:ilvl w:val="0"/>
          <w:numId w:val="31"/>
        </w:numPr>
        <w:tabs>
          <w:tab w:val="left" w:leader="dot" w:pos="8770"/>
        </w:tabs>
        <w:spacing w:line="360" w:lineRule="auto"/>
        <w:ind w:left="0" w:firstLineChars="200" w:firstLine="480"/>
        <w:rPr>
          <w:sz w:val="24"/>
        </w:rPr>
      </w:pPr>
      <w:r>
        <w:rPr>
          <w:sz w:val="24"/>
        </w:rPr>
        <w:t>《中华人民共和国循环经济促进法》（</w:t>
      </w:r>
      <w:r>
        <w:rPr>
          <w:sz w:val="24"/>
        </w:rPr>
        <w:t>2018</w:t>
      </w:r>
      <w:r>
        <w:rPr>
          <w:sz w:val="24"/>
        </w:rPr>
        <w:t>年</w:t>
      </w:r>
      <w:r>
        <w:rPr>
          <w:sz w:val="24"/>
        </w:rPr>
        <w:t>10</w:t>
      </w:r>
      <w:r>
        <w:rPr>
          <w:sz w:val="24"/>
        </w:rPr>
        <w:t>月，修订）；</w:t>
      </w:r>
    </w:p>
    <w:p w:rsidR="00EE4502" w:rsidRDefault="00FD45A3">
      <w:pPr>
        <w:numPr>
          <w:ilvl w:val="0"/>
          <w:numId w:val="31"/>
        </w:numPr>
        <w:tabs>
          <w:tab w:val="left" w:leader="dot" w:pos="8770"/>
        </w:tabs>
        <w:spacing w:line="360" w:lineRule="auto"/>
        <w:ind w:left="0" w:firstLineChars="200" w:firstLine="480"/>
        <w:rPr>
          <w:sz w:val="24"/>
        </w:rPr>
      </w:pPr>
      <w:r>
        <w:rPr>
          <w:sz w:val="24"/>
        </w:rPr>
        <w:t>《中华人民共和国节约能源法》（</w:t>
      </w:r>
      <w:r>
        <w:rPr>
          <w:sz w:val="24"/>
        </w:rPr>
        <w:t>2018</w:t>
      </w:r>
      <w:r>
        <w:rPr>
          <w:sz w:val="24"/>
        </w:rPr>
        <w:t>年</w:t>
      </w:r>
      <w:r>
        <w:rPr>
          <w:sz w:val="24"/>
        </w:rPr>
        <w:t>10</w:t>
      </w:r>
      <w:r>
        <w:rPr>
          <w:sz w:val="24"/>
        </w:rPr>
        <w:t>月</w:t>
      </w:r>
      <w:r>
        <w:rPr>
          <w:sz w:val="24"/>
        </w:rPr>
        <w:t>26</w:t>
      </w:r>
      <w:r>
        <w:rPr>
          <w:sz w:val="24"/>
        </w:rPr>
        <w:t>日修订）；</w:t>
      </w:r>
    </w:p>
    <w:p w:rsidR="00EE4502" w:rsidRDefault="00FD45A3">
      <w:pPr>
        <w:numPr>
          <w:ilvl w:val="0"/>
          <w:numId w:val="31"/>
        </w:numPr>
        <w:tabs>
          <w:tab w:val="left" w:leader="dot" w:pos="8770"/>
        </w:tabs>
        <w:spacing w:line="360" w:lineRule="auto"/>
        <w:ind w:left="0" w:firstLineChars="200" w:firstLine="480"/>
        <w:rPr>
          <w:sz w:val="24"/>
        </w:rPr>
      </w:pPr>
      <w:r>
        <w:rPr>
          <w:sz w:val="24"/>
        </w:rPr>
        <w:t>《中华人民共和国防洪法》（</w:t>
      </w:r>
      <w:r>
        <w:rPr>
          <w:sz w:val="24"/>
        </w:rPr>
        <w:t>2016</w:t>
      </w:r>
      <w:r>
        <w:rPr>
          <w:sz w:val="24"/>
        </w:rPr>
        <w:t>年</w:t>
      </w:r>
      <w:r>
        <w:rPr>
          <w:sz w:val="24"/>
        </w:rPr>
        <w:t>7</w:t>
      </w:r>
      <w:r>
        <w:rPr>
          <w:sz w:val="24"/>
        </w:rPr>
        <w:t>月</w:t>
      </w:r>
      <w:r>
        <w:rPr>
          <w:sz w:val="24"/>
        </w:rPr>
        <w:t>2</w:t>
      </w:r>
      <w:r>
        <w:rPr>
          <w:sz w:val="24"/>
        </w:rPr>
        <w:t>日修订）；</w:t>
      </w:r>
    </w:p>
    <w:p w:rsidR="00EE4502" w:rsidRDefault="00FD45A3">
      <w:pPr>
        <w:numPr>
          <w:ilvl w:val="0"/>
          <w:numId w:val="31"/>
        </w:numPr>
        <w:tabs>
          <w:tab w:val="left" w:leader="dot" w:pos="8770"/>
        </w:tabs>
        <w:spacing w:line="360" w:lineRule="auto"/>
        <w:ind w:left="0" w:firstLineChars="200" w:firstLine="480"/>
        <w:rPr>
          <w:sz w:val="24"/>
        </w:rPr>
      </w:pPr>
      <w:r>
        <w:rPr>
          <w:sz w:val="24"/>
        </w:rPr>
        <w:t>《中华</w:t>
      </w:r>
      <w:r>
        <w:rPr>
          <w:sz w:val="24"/>
        </w:rPr>
        <w:t>人民共和国野生动物保护法</w:t>
      </w:r>
      <w:r>
        <w:rPr>
          <w:rFonts w:hint="eastAsia"/>
          <w:sz w:val="24"/>
        </w:rPr>
        <w:t>（</w:t>
      </w:r>
      <w:r>
        <w:rPr>
          <w:rFonts w:hint="eastAsia"/>
          <w:sz w:val="24"/>
        </w:rPr>
        <w:t>2023</w:t>
      </w:r>
      <w:r>
        <w:rPr>
          <w:rFonts w:hint="eastAsia"/>
          <w:sz w:val="24"/>
        </w:rPr>
        <w:t>年修正）</w:t>
      </w:r>
      <w:r>
        <w:rPr>
          <w:sz w:val="24"/>
        </w:rPr>
        <w:t>》（</w:t>
      </w:r>
      <w:r>
        <w:rPr>
          <w:sz w:val="24"/>
        </w:rPr>
        <w:t>20</w:t>
      </w:r>
      <w:r>
        <w:rPr>
          <w:rFonts w:hint="eastAsia"/>
          <w:sz w:val="24"/>
        </w:rPr>
        <w:t>23</w:t>
      </w:r>
      <w:r>
        <w:rPr>
          <w:sz w:val="24"/>
        </w:rPr>
        <w:t>年</w:t>
      </w:r>
      <w:r>
        <w:rPr>
          <w:rFonts w:hint="eastAsia"/>
          <w:sz w:val="24"/>
        </w:rPr>
        <w:t>5</w:t>
      </w:r>
      <w:r>
        <w:rPr>
          <w:sz w:val="24"/>
        </w:rPr>
        <w:t>月</w:t>
      </w:r>
      <w:r>
        <w:rPr>
          <w:rFonts w:hint="eastAsia"/>
          <w:sz w:val="24"/>
        </w:rPr>
        <w:t>1</w:t>
      </w:r>
      <w:r>
        <w:rPr>
          <w:sz w:val="24"/>
        </w:rPr>
        <w:t>日）；</w:t>
      </w:r>
    </w:p>
    <w:p w:rsidR="00EE4502" w:rsidRDefault="00FD45A3">
      <w:pPr>
        <w:numPr>
          <w:ilvl w:val="0"/>
          <w:numId w:val="31"/>
        </w:numPr>
        <w:tabs>
          <w:tab w:val="left" w:leader="dot" w:pos="8770"/>
        </w:tabs>
        <w:spacing w:line="360" w:lineRule="auto"/>
        <w:ind w:left="0" w:firstLineChars="200" w:firstLine="480"/>
        <w:rPr>
          <w:sz w:val="24"/>
        </w:rPr>
      </w:pPr>
      <w:r>
        <w:rPr>
          <w:sz w:val="24"/>
        </w:rPr>
        <w:t>《中华人民共和国土地管理法（</w:t>
      </w:r>
      <w:r>
        <w:rPr>
          <w:sz w:val="24"/>
        </w:rPr>
        <w:t>2019</w:t>
      </w:r>
      <w:r>
        <w:rPr>
          <w:sz w:val="24"/>
        </w:rPr>
        <w:t>年修订）》（</w:t>
      </w:r>
      <w:r>
        <w:rPr>
          <w:sz w:val="24"/>
        </w:rPr>
        <w:t>2020</w:t>
      </w:r>
      <w:r>
        <w:rPr>
          <w:sz w:val="24"/>
        </w:rPr>
        <w:t>年</w:t>
      </w:r>
      <w:r>
        <w:rPr>
          <w:sz w:val="24"/>
        </w:rPr>
        <w:t>1</w:t>
      </w:r>
      <w:r>
        <w:rPr>
          <w:sz w:val="24"/>
        </w:rPr>
        <w:t>月</w:t>
      </w:r>
      <w:r>
        <w:rPr>
          <w:sz w:val="24"/>
        </w:rPr>
        <w:t>1</w:t>
      </w:r>
      <w:r>
        <w:rPr>
          <w:sz w:val="24"/>
        </w:rPr>
        <w:t>日）；</w:t>
      </w:r>
    </w:p>
    <w:p w:rsidR="00EE4502" w:rsidRDefault="00FD45A3">
      <w:pPr>
        <w:numPr>
          <w:ilvl w:val="0"/>
          <w:numId w:val="31"/>
        </w:numPr>
        <w:tabs>
          <w:tab w:val="left" w:leader="dot" w:pos="8770"/>
        </w:tabs>
        <w:spacing w:line="360" w:lineRule="auto"/>
        <w:ind w:left="0" w:firstLineChars="200" w:firstLine="480"/>
        <w:rPr>
          <w:sz w:val="24"/>
        </w:rPr>
      </w:pPr>
      <w:r>
        <w:rPr>
          <w:sz w:val="24"/>
        </w:rPr>
        <w:t>《中华人民共和国城乡规划法（</w:t>
      </w:r>
      <w:r>
        <w:rPr>
          <w:sz w:val="24"/>
        </w:rPr>
        <w:t>2019</w:t>
      </w:r>
      <w:r>
        <w:rPr>
          <w:sz w:val="24"/>
        </w:rPr>
        <w:t>年修正）》（</w:t>
      </w:r>
      <w:r>
        <w:rPr>
          <w:sz w:val="24"/>
        </w:rPr>
        <w:t>2019</w:t>
      </w:r>
      <w:r>
        <w:rPr>
          <w:sz w:val="24"/>
        </w:rPr>
        <w:t>年</w:t>
      </w:r>
      <w:r>
        <w:rPr>
          <w:sz w:val="24"/>
        </w:rPr>
        <w:t>4</w:t>
      </w:r>
      <w:r>
        <w:rPr>
          <w:sz w:val="24"/>
        </w:rPr>
        <w:t>月</w:t>
      </w:r>
      <w:r>
        <w:rPr>
          <w:sz w:val="24"/>
        </w:rPr>
        <w:t>23</w:t>
      </w:r>
      <w:r>
        <w:rPr>
          <w:sz w:val="24"/>
        </w:rPr>
        <w:t>日）；</w:t>
      </w:r>
    </w:p>
    <w:p w:rsidR="00EE4502" w:rsidRDefault="00FD45A3">
      <w:pPr>
        <w:numPr>
          <w:ilvl w:val="0"/>
          <w:numId w:val="31"/>
        </w:numPr>
        <w:tabs>
          <w:tab w:val="left" w:leader="dot" w:pos="8770"/>
        </w:tabs>
        <w:spacing w:line="360" w:lineRule="auto"/>
        <w:ind w:left="0" w:firstLineChars="200" w:firstLine="480"/>
        <w:rPr>
          <w:sz w:val="24"/>
        </w:rPr>
      </w:pPr>
      <w:r>
        <w:rPr>
          <w:sz w:val="24"/>
        </w:rPr>
        <w:t>《中华人民共和国草原法（</w:t>
      </w:r>
      <w:r>
        <w:rPr>
          <w:sz w:val="24"/>
        </w:rPr>
        <w:t>2021</w:t>
      </w:r>
      <w:r>
        <w:rPr>
          <w:sz w:val="24"/>
        </w:rPr>
        <w:t>年修正）》（</w:t>
      </w:r>
      <w:r>
        <w:rPr>
          <w:sz w:val="24"/>
        </w:rPr>
        <w:t>20</w:t>
      </w:r>
      <w:r>
        <w:rPr>
          <w:rFonts w:hint="eastAsia"/>
          <w:sz w:val="24"/>
        </w:rPr>
        <w:t>21</w:t>
      </w:r>
      <w:r>
        <w:rPr>
          <w:sz w:val="24"/>
        </w:rPr>
        <w:t>年</w:t>
      </w:r>
      <w:r>
        <w:rPr>
          <w:rFonts w:hint="eastAsia"/>
          <w:sz w:val="24"/>
        </w:rPr>
        <w:t>4</w:t>
      </w:r>
      <w:r>
        <w:rPr>
          <w:sz w:val="24"/>
        </w:rPr>
        <w:t>月</w:t>
      </w:r>
      <w:r>
        <w:rPr>
          <w:sz w:val="24"/>
        </w:rPr>
        <w:t>29</w:t>
      </w:r>
      <w:r>
        <w:rPr>
          <w:sz w:val="24"/>
        </w:rPr>
        <w:t>日）；</w:t>
      </w:r>
    </w:p>
    <w:p w:rsidR="00EE4502" w:rsidRDefault="00FD45A3">
      <w:pPr>
        <w:numPr>
          <w:ilvl w:val="0"/>
          <w:numId w:val="31"/>
        </w:numPr>
        <w:tabs>
          <w:tab w:val="left" w:leader="dot" w:pos="8770"/>
        </w:tabs>
        <w:spacing w:line="360" w:lineRule="auto"/>
        <w:ind w:left="0" w:firstLineChars="200" w:firstLine="480"/>
        <w:rPr>
          <w:sz w:val="24"/>
        </w:rPr>
      </w:pPr>
      <w:r>
        <w:rPr>
          <w:rFonts w:hint="eastAsia"/>
          <w:sz w:val="24"/>
        </w:rPr>
        <w:t>《</w:t>
      </w:r>
      <w:r>
        <w:rPr>
          <w:sz w:val="24"/>
        </w:rPr>
        <w:t>中华人民共和国森林法</w:t>
      </w:r>
      <w:r>
        <w:rPr>
          <w:rFonts w:hint="eastAsia"/>
          <w:sz w:val="24"/>
        </w:rPr>
        <w:t>》（</w:t>
      </w:r>
      <w:r>
        <w:rPr>
          <w:rFonts w:hint="eastAsia"/>
          <w:sz w:val="24"/>
        </w:rPr>
        <w:t>2019</w:t>
      </w:r>
      <w:r>
        <w:rPr>
          <w:rFonts w:hint="eastAsia"/>
          <w:sz w:val="24"/>
        </w:rPr>
        <w:t>年</w:t>
      </w:r>
      <w:r>
        <w:rPr>
          <w:rFonts w:hint="eastAsia"/>
          <w:sz w:val="24"/>
        </w:rPr>
        <w:t>12</w:t>
      </w:r>
      <w:r>
        <w:rPr>
          <w:rFonts w:hint="eastAsia"/>
          <w:sz w:val="24"/>
        </w:rPr>
        <w:t>月</w:t>
      </w:r>
      <w:r>
        <w:rPr>
          <w:rFonts w:hint="eastAsia"/>
          <w:sz w:val="24"/>
        </w:rPr>
        <w:t>28</w:t>
      </w:r>
      <w:r>
        <w:rPr>
          <w:rFonts w:hint="eastAsia"/>
          <w:sz w:val="24"/>
        </w:rPr>
        <w:t>日）；</w:t>
      </w:r>
    </w:p>
    <w:p w:rsidR="00EE4502" w:rsidRDefault="00FD45A3">
      <w:pPr>
        <w:numPr>
          <w:ilvl w:val="0"/>
          <w:numId w:val="31"/>
        </w:numPr>
        <w:tabs>
          <w:tab w:val="left" w:leader="dot" w:pos="8770"/>
        </w:tabs>
        <w:spacing w:line="360" w:lineRule="auto"/>
        <w:ind w:left="0" w:firstLineChars="200" w:firstLine="480"/>
        <w:rPr>
          <w:sz w:val="24"/>
        </w:rPr>
      </w:pPr>
      <w:r>
        <w:rPr>
          <w:sz w:val="24"/>
        </w:rPr>
        <w:t>《中华人民共和国石油天然气管道保护法》（</w:t>
      </w:r>
      <w:r>
        <w:rPr>
          <w:sz w:val="24"/>
        </w:rPr>
        <w:t>2010</w:t>
      </w:r>
      <w:r>
        <w:rPr>
          <w:sz w:val="24"/>
        </w:rPr>
        <w:t>年</w:t>
      </w:r>
      <w:r>
        <w:rPr>
          <w:sz w:val="24"/>
        </w:rPr>
        <w:t>10</w:t>
      </w:r>
      <w:r>
        <w:rPr>
          <w:sz w:val="24"/>
        </w:rPr>
        <w:t>月</w:t>
      </w:r>
      <w:r>
        <w:rPr>
          <w:sz w:val="24"/>
        </w:rPr>
        <w:t>1</w:t>
      </w:r>
      <w:r>
        <w:rPr>
          <w:sz w:val="24"/>
        </w:rPr>
        <w:t>日）；</w:t>
      </w:r>
    </w:p>
    <w:p w:rsidR="00EE4502" w:rsidRDefault="00FD45A3">
      <w:pPr>
        <w:numPr>
          <w:ilvl w:val="0"/>
          <w:numId w:val="31"/>
        </w:numPr>
        <w:tabs>
          <w:tab w:val="left" w:leader="dot" w:pos="8770"/>
        </w:tabs>
        <w:spacing w:line="360" w:lineRule="auto"/>
        <w:ind w:left="0" w:firstLineChars="200" w:firstLine="480"/>
        <w:rPr>
          <w:sz w:val="24"/>
        </w:rPr>
      </w:pPr>
      <w:r>
        <w:rPr>
          <w:sz w:val="24"/>
        </w:rPr>
        <w:t>《中华人民共和国防沙治沙法（</w:t>
      </w:r>
      <w:r>
        <w:rPr>
          <w:sz w:val="24"/>
        </w:rPr>
        <w:t>2018</w:t>
      </w:r>
      <w:r>
        <w:rPr>
          <w:sz w:val="24"/>
        </w:rPr>
        <w:t>年修正）》（</w:t>
      </w:r>
      <w:r>
        <w:rPr>
          <w:sz w:val="24"/>
        </w:rPr>
        <w:t>2018</w:t>
      </w:r>
      <w:r>
        <w:rPr>
          <w:sz w:val="24"/>
        </w:rPr>
        <w:t>年</w:t>
      </w:r>
      <w:r>
        <w:rPr>
          <w:sz w:val="24"/>
        </w:rPr>
        <w:t>10</w:t>
      </w:r>
      <w:r>
        <w:rPr>
          <w:sz w:val="24"/>
        </w:rPr>
        <w:t>月</w:t>
      </w:r>
      <w:r>
        <w:rPr>
          <w:sz w:val="24"/>
        </w:rPr>
        <w:t>26</w:t>
      </w:r>
      <w:r>
        <w:rPr>
          <w:sz w:val="24"/>
        </w:rPr>
        <w:t>日）；</w:t>
      </w:r>
    </w:p>
    <w:p w:rsidR="00EE4502" w:rsidRDefault="00FD45A3">
      <w:pPr>
        <w:numPr>
          <w:ilvl w:val="0"/>
          <w:numId w:val="31"/>
        </w:numPr>
        <w:tabs>
          <w:tab w:val="left" w:leader="dot" w:pos="8770"/>
        </w:tabs>
        <w:spacing w:line="360" w:lineRule="auto"/>
        <w:ind w:left="0" w:firstLineChars="200" w:firstLine="480"/>
        <w:rPr>
          <w:sz w:val="24"/>
        </w:rPr>
      </w:pPr>
      <w:r>
        <w:rPr>
          <w:sz w:val="24"/>
        </w:rPr>
        <w:t>《中华人民共和国土壤污染防治法</w:t>
      </w:r>
      <w:r>
        <w:rPr>
          <w:sz w:val="24"/>
        </w:rPr>
        <w:t>》（</w:t>
      </w:r>
      <w:r>
        <w:rPr>
          <w:sz w:val="24"/>
        </w:rPr>
        <w:t>2019</w:t>
      </w:r>
      <w:r>
        <w:rPr>
          <w:sz w:val="24"/>
        </w:rPr>
        <w:t>年</w:t>
      </w:r>
      <w:r>
        <w:rPr>
          <w:sz w:val="24"/>
        </w:rPr>
        <w:t>1</w:t>
      </w:r>
      <w:r>
        <w:rPr>
          <w:sz w:val="24"/>
        </w:rPr>
        <w:t>月</w:t>
      </w:r>
      <w:r>
        <w:rPr>
          <w:sz w:val="24"/>
        </w:rPr>
        <w:t>1</w:t>
      </w:r>
      <w:r>
        <w:rPr>
          <w:sz w:val="24"/>
        </w:rPr>
        <w:t>日）</w:t>
      </w:r>
      <w:r>
        <w:rPr>
          <w:rFonts w:hint="eastAsia"/>
          <w:sz w:val="24"/>
        </w:rPr>
        <w:t>；</w:t>
      </w:r>
    </w:p>
    <w:p w:rsidR="00EE4502" w:rsidRDefault="00FD45A3">
      <w:pPr>
        <w:numPr>
          <w:ilvl w:val="0"/>
          <w:numId w:val="31"/>
        </w:numPr>
        <w:tabs>
          <w:tab w:val="left" w:leader="dot" w:pos="8770"/>
        </w:tabs>
        <w:spacing w:line="360" w:lineRule="auto"/>
        <w:ind w:left="0" w:firstLineChars="200" w:firstLine="480"/>
        <w:rPr>
          <w:sz w:val="24"/>
        </w:rPr>
      </w:pPr>
      <w:r>
        <w:rPr>
          <w:rFonts w:hint="eastAsia"/>
          <w:sz w:val="24"/>
        </w:rPr>
        <w:t>《中华人民共和国矿产资源法（</w:t>
      </w:r>
      <w:r>
        <w:rPr>
          <w:rFonts w:hint="eastAsia"/>
          <w:sz w:val="24"/>
        </w:rPr>
        <w:t>2024</w:t>
      </w:r>
      <w:r>
        <w:rPr>
          <w:rFonts w:hint="eastAsia"/>
          <w:sz w:val="24"/>
        </w:rPr>
        <w:t>年修订）》</w:t>
      </w:r>
      <w:r>
        <w:rPr>
          <w:sz w:val="24"/>
        </w:rPr>
        <w:t>（</w:t>
      </w:r>
      <w:r>
        <w:rPr>
          <w:rFonts w:hint="eastAsia"/>
          <w:sz w:val="24"/>
        </w:rPr>
        <w:t>2024</w:t>
      </w:r>
      <w:r>
        <w:rPr>
          <w:rFonts w:hint="eastAsia"/>
          <w:sz w:val="24"/>
        </w:rPr>
        <w:t>年</w:t>
      </w:r>
      <w:r>
        <w:rPr>
          <w:rFonts w:hint="eastAsia"/>
          <w:sz w:val="24"/>
        </w:rPr>
        <w:t>11</w:t>
      </w:r>
      <w:r>
        <w:rPr>
          <w:rFonts w:hint="eastAsia"/>
          <w:sz w:val="24"/>
        </w:rPr>
        <w:t>月</w:t>
      </w:r>
      <w:r>
        <w:rPr>
          <w:rFonts w:hint="eastAsia"/>
          <w:sz w:val="24"/>
        </w:rPr>
        <w:t>8</w:t>
      </w:r>
      <w:r>
        <w:rPr>
          <w:rFonts w:hint="eastAsia"/>
          <w:sz w:val="24"/>
        </w:rPr>
        <w:t>日</w:t>
      </w:r>
      <w:r>
        <w:rPr>
          <w:sz w:val="24"/>
        </w:rPr>
        <w:t>）</w:t>
      </w:r>
      <w:r>
        <w:rPr>
          <w:rFonts w:hint="eastAsia"/>
          <w:sz w:val="24"/>
        </w:rPr>
        <w:t>。</w:t>
      </w:r>
    </w:p>
    <w:p w:rsidR="00EE4502" w:rsidRDefault="00FD45A3">
      <w:pPr>
        <w:pStyle w:val="33"/>
        <w:numPr>
          <w:ilvl w:val="2"/>
          <w:numId w:val="30"/>
        </w:numPr>
        <w:spacing w:line="360" w:lineRule="auto"/>
        <w:ind w:left="0" w:firstLine="0"/>
        <w:rPr>
          <w:spacing w:val="0"/>
          <w:sz w:val="24"/>
          <w:szCs w:val="24"/>
        </w:rPr>
      </w:pPr>
      <w:r>
        <w:rPr>
          <w:rFonts w:hint="eastAsia"/>
          <w:spacing w:val="0"/>
          <w:sz w:val="24"/>
          <w:szCs w:val="24"/>
        </w:rPr>
        <w:lastRenderedPageBreak/>
        <w:t>环境保护法规、规章</w:t>
      </w:r>
    </w:p>
    <w:p w:rsidR="00EE4502" w:rsidRDefault="00FD45A3">
      <w:pPr>
        <w:numPr>
          <w:ilvl w:val="0"/>
          <w:numId w:val="32"/>
        </w:numPr>
        <w:spacing w:line="360" w:lineRule="auto"/>
        <w:ind w:left="0" w:firstLineChars="200" w:firstLine="480"/>
        <w:rPr>
          <w:sz w:val="24"/>
        </w:rPr>
      </w:pPr>
      <w:r>
        <w:rPr>
          <w:sz w:val="24"/>
        </w:rPr>
        <w:t>《建设项目环境保护管理条例》（国务院令第</w:t>
      </w:r>
      <w:r>
        <w:rPr>
          <w:sz w:val="24"/>
        </w:rPr>
        <w:t>682</w:t>
      </w:r>
      <w:r>
        <w:rPr>
          <w:sz w:val="24"/>
        </w:rPr>
        <w:t>号，</w:t>
      </w:r>
      <w:r>
        <w:rPr>
          <w:sz w:val="24"/>
        </w:rPr>
        <w:t>2017</w:t>
      </w:r>
      <w:r>
        <w:rPr>
          <w:sz w:val="24"/>
        </w:rPr>
        <w:t>年</w:t>
      </w:r>
      <w:r>
        <w:rPr>
          <w:sz w:val="24"/>
        </w:rPr>
        <w:t>10</w:t>
      </w:r>
      <w:r>
        <w:rPr>
          <w:sz w:val="24"/>
        </w:rPr>
        <w:t>月</w:t>
      </w:r>
      <w:r>
        <w:rPr>
          <w:sz w:val="24"/>
        </w:rPr>
        <w:t>1</w:t>
      </w:r>
      <w:r>
        <w:rPr>
          <w:sz w:val="24"/>
        </w:rPr>
        <w:t>日）；</w:t>
      </w:r>
    </w:p>
    <w:p w:rsidR="00EE4502" w:rsidRDefault="00FD45A3">
      <w:pPr>
        <w:numPr>
          <w:ilvl w:val="0"/>
          <w:numId w:val="32"/>
        </w:numPr>
        <w:spacing w:line="360" w:lineRule="auto"/>
        <w:ind w:left="0" w:firstLineChars="200" w:firstLine="480"/>
        <w:rPr>
          <w:sz w:val="24"/>
        </w:rPr>
      </w:pPr>
      <w:r>
        <w:rPr>
          <w:sz w:val="24"/>
        </w:rPr>
        <w:t>《中华人民共和国野生植物保护条例》（</w:t>
      </w:r>
      <w:r>
        <w:rPr>
          <w:sz w:val="24"/>
        </w:rPr>
        <w:t>2017</w:t>
      </w:r>
      <w:r>
        <w:rPr>
          <w:sz w:val="24"/>
        </w:rPr>
        <w:t>年</w:t>
      </w:r>
      <w:r>
        <w:rPr>
          <w:sz w:val="24"/>
        </w:rPr>
        <w:t>10</w:t>
      </w:r>
      <w:r>
        <w:rPr>
          <w:sz w:val="24"/>
        </w:rPr>
        <w:t>月</w:t>
      </w:r>
      <w:r>
        <w:rPr>
          <w:sz w:val="24"/>
        </w:rPr>
        <w:t>7</w:t>
      </w:r>
      <w:r>
        <w:rPr>
          <w:sz w:val="24"/>
        </w:rPr>
        <w:t>日）；</w:t>
      </w:r>
    </w:p>
    <w:p w:rsidR="00EE4502" w:rsidRDefault="00FD45A3">
      <w:pPr>
        <w:numPr>
          <w:ilvl w:val="0"/>
          <w:numId w:val="32"/>
        </w:numPr>
        <w:tabs>
          <w:tab w:val="left" w:leader="dot" w:pos="8770"/>
        </w:tabs>
        <w:spacing w:line="360" w:lineRule="auto"/>
        <w:ind w:left="0" w:firstLineChars="200" w:firstLine="480"/>
        <w:rPr>
          <w:sz w:val="24"/>
        </w:rPr>
      </w:pPr>
      <w:r>
        <w:rPr>
          <w:sz w:val="24"/>
        </w:rPr>
        <w:t>《危险化学品安全管理条例（</w:t>
      </w:r>
      <w:r>
        <w:rPr>
          <w:sz w:val="24"/>
        </w:rPr>
        <w:t>2013</w:t>
      </w:r>
      <w:r>
        <w:rPr>
          <w:sz w:val="24"/>
        </w:rPr>
        <w:t>年修正）》（</w:t>
      </w:r>
      <w:r>
        <w:rPr>
          <w:sz w:val="24"/>
        </w:rPr>
        <w:t>2013</w:t>
      </w:r>
      <w:r>
        <w:rPr>
          <w:sz w:val="24"/>
        </w:rPr>
        <w:t>年</w:t>
      </w:r>
      <w:r>
        <w:rPr>
          <w:sz w:val="24"/>
        </w:rPr>
        <w:t>12</w:t>
      </w:r>
      <w:r>
        <w:rPr>
          <w:sz w:val="24"/>
        </w:rPr>
        <w:t>月</w:t>
      </w:r>
      <w:r>
        <w:rPr>
          <w:sz w:val="24"/>
        </w:rPr>
        <w:t>7</w:t>
      </w:r>
      <w:r>
        <w:rPr>
          <w:sz w:val="24"/>
        </w:rPr>
        <w:t>日）；</w:t>
      </w:r>
    </w:p>
    <w:p w:rsidR="00EE4502" w:rsidRDefault="00FD45A3">
      <w:pPr>
        <w:numPr>
          <w:ilvl w:val="0"/>
          <w:numId w:val="32"/>
        </w:numPr>
        <w:tabs>
          <w:tab w:val="left" w:leader="dot" w:pos="8770"/>
        </w:tabs>
        <w:spacing w:line="360" w:lineRule="auto"/>
        <w:ind w:left="0" w:firstLineChars="200" w:firstLine="480"/>
        <w:rPr>
          <w:sz w:val="24"/>
        </w:rPr>
      </w:pPr>
      <w:r>
        <w:rPr>
          <w:sz w:val="24"/>
        </w:rPr>
        <w:t>《中华人民共和国土地管理法实施条例（</w:t>
      </w:r>
      <w:r>
        <w:rPr>
          <w:sz w:val="24"/>
        </w:rPr>
        <w:t>2021</w:t>
      </w:r>
      <w:r>
        <w:rPr>
          <w:sz w:val="24"/>
        </w:rPr>
        <w:t>年修订）》（</w:t>
      </w:r>
      <w:r>
        <w:rPr>
          <w:sz w:val="24"/>
        </w:rPr>
        <w:t>2021</w:t>
      </w:r>
      <w:r>
        <w:rPr>
          <w:sz w:val="24"/>
        </w:rPr>
        <w:t>年</w:t>
      </w:r>
      <w:r>
        <w:rPr>
          <w:sz w:val="24"/>
        </w:rPr>
        <w:t>9</w:t>
      </w:r>
      <w:r>
        <w:rPr>
          <w:sz w:val="24"/>
        </w:rPr>
        <w:t>月</w:t>
      </w:r>
      <w:r>
        <w:rPr>
          <w:sz w:val="24"/>
        </w:rPr>
        <w:t>1</w:t>
      </w:r>
      <w:r>
        <w:rPr>
          <w:sz w:val="24"/>
        </w:rPr>
        <w:t>日）；</w:t>
      </w:r>
    </w:p>
    <w:p w:rsidR="00EE4502" w:rsidRDefault="00FD45A3">
      <w:pPr>
        <w:numPr>
          <w:ilvl w:val="0"/>
          <w:numId w:val="32"/>
        </w:numPr>
        <w:tabs>
          <w:tab w:val="left" w:leader="dot" w:pos="8770"/>
        </w:tabs>
        <w:spacing w:line="360" w:lineRule="auto"/>
        <w:ind w:left="0" w:firstLineChars="200" w:firstLine="480"/>
        <w:rPr>
          <w:sz w:val="24"/>
        </w:rPr>
      </w:pPr>
      <w:r>
        <w:rPr>
          <w:sz w:val="24"/>
        </w:rPr>
        <w:t>《国务院关于加强环境保护重点工作的意见》（</w:t>
      </w:r>
      <w:r>
        <w:rPr>
          <w:sz w:val="24"/>
        </w:rPr>
        <w:t>2011</w:t>
      </w:r>
      <w:r>
        <w:rPr>
          <w:sz w:val="24"/>
        </w:rPr>
        <w:t>年</w:t>
      </w:r>
      <w:r>
        <w:rPr>
          <w:sz w:val="24"/>
        </w:rPr>
        <w:t>10</w:t>
      </w:r>
      <w:r>
        <w:rPr>
          <w:sz w:val="24"/>
        </w:rPr>
        <w:t>月</w:t>
      </w:r>
      <w:r>
        <w:rPr>
          <w:sz w:val="24"/>
        </w:rPr>
        <w:t>17</w:t>
      </w:r>
      <w:r>
        <w:rPr>
          <w:sz w:val="24"/>
        </w:rPr>
        <w:t>日），国发〔</w:t>
      </w:r>
      <w:r>
        <w:rPr>
          <w:sz w:val="24"/>
        </w:rPr>
        <w:t>2012</w:t>
      </w:r>
      <w:r>
        <w:rPr>
          <w:sz w:val="24"/>
        </w:rPr>
        <w:t>〕</w:t>
      </w:r>
      <w:r>
        <w:rPr>
          <w:sz w:val="24"/>
        </w:rPr>
        <w:t>35</w:t>
      </w:r>
      <w:r>
        <w:rPr>
          <w:sz w:val="24"/>
        </w:rPr>
        <w:t>号；</w:t>
      </w:r>
    </w:p>
    <w:p w:rsidR="00EE4502" w:rsidRDefault="00FD45A3">
      <w:pPr>
        <w:numPr>
          <w:ilvl w:val="0"/>
          <w:numId w:val="32"/>
        </w:numPr>
        <w:tabs>
          <w:tab w:val="left" w:leader="dot" w:pos="8770"/>
        </w:tabs>
        <w:spacing w:line="360" w:lineRule="auto"/>
        <w:ind w:left="0" w:firstLineChars="200" w:firstLine="480"/>
        <w:rPr>
          <w:sz w:val="24"/>
        </w:rPr>
      </w:pPr>
      <w:r>
        <w:rPr>
          <w:sz w:val="24"/>
        </w:rPr>
        <w:t>《地下水管理条例》，国务院令</w:t>
      </w:r>
      <w:r>
        <w:rPr>
          <w:sz w:val="24"/>
        </w:rPr>
        <w:t>748</w:t>
      </w:r>
      <w:r>
        <w:rPr>
          <w:sz w:val="24"/>
        </w:rPr>
        <w:t>号，</w:t>
      </w:r>
      <w:r>
        <w:rPr>
          <w:sz w:val="24"/>
        </w:rPr>
        <w:t>2121</w:t>
      </w:r>
      <w:r>
        <w:rPr>
          <w:sz w:val="24"/>
        </w:rPr>
        <w:t>年</w:t>
      </w:r>
      <w:r>
        <w:rPr>
          <w:sz w:val="24"/>
        </w:rPr>
        <w:t>12</w:t>
      </w:r>
      <w:r>
        <w:rPr>
          <w:sz w:val="24"/>
        </w:rPr>
        <w:t>月</w:t>
      </w:r>
      <w:r>
        <w:rPr>
          <w:sz w:val="24"/>
        </w:rPr>
        <w:t>1</w:t>
      </w:r>
      <w:r>
        <w:rPr>
          <w:sz w:val="24"/>
        </w:rPr>
        <w:t>日；</w:t>
      </w:r>
    </w:p>
    <w:p w:rsidR="00EE4502" w:rsidRDefault="00FD45A3">
      <w:pPr>
        <w:numPr>
          <w:ilvl w:val="0"/>
          <w:numId w:val="32"/>
        </w:numPr>
        <w:tabs>
          <w:tab w:val="left" w:leader="dot" w:pos="8770"/>
        </w:tabs>
        <w:spacing w:line="360" w:lineRule="auto"/>
        <w:ind w:left="0" w:firstLineChars="200" w:firstLine="480"/>
        <w:rPr>
          <w:sz w:val="24"/>
        </w:rPr>
      </w:pPr>
      <w:r>
        <w:rPr>
          <w:rFonts w:hint="eastAsia"/>
          <w:sz w:val="24"/>
        </w:rPr>
        <w:t>《基本农田保护条例（</w:t>
      </w:r>
      <w:r>
        <w:rPr>
          <w:rFonts w:hint="eastAsia"/>
          <w:sz w:val="24"/>
        </w:rPr>
        <w:t>2011</w:t>
      </w:r>
      <w:r>
        <w:rPr>
          <w:rFonts w:hint="eastAsia"/>
          <w:sz w:val="24"/>
        </w:rPr>
        <w:t>年修订）》，</w:t>
      </w:r>
      <w:r>
        <w:rPr>
          <w:rFonts w:hint="eastAsia"/>
          <w:sz w:val="24"/>
        </w:rPr>
        <w:t>2011</w:t>
      </w:r>
      <w:r>
        <w:rPr>
          <w:rFonts w:hint="eastAsia"/>
          <w:sz w:val="24"/>
        </w:rPr>
        <w:t>年</w:t>
      </w:r>
      <w:r>
        <w:rPr>
          <w:rFonts w:hint="eastAsia"/>
          <w:sz w:val="24"/>
        </w:rPr>
        <w:t>1</w:t>
      </w:r>
      <w:r>
        <w:rPr>
          <w:rFonts w:hint="eastAsia"/>
          <w:sz w:val="24"/>
        </w:rPr>
        <w:t>月</w:t>
      </w:r>
      <w:r>
        <w:rPr>
          <w:rFonts w:hint="eastAsia"/>
          <w:sz w:val="24"/>
        </w:rPr>
        <w:t>8</w:t>
      </w:r>
      <w:r>
        <w:rPr>
          <w:rFonts w:hint="eastAsia"/>
          <w:sz w:val="24"/>
        </w:rPr>
        <w:t>日；</w:t>
      </w:r>
    </w:p>
    <w:p w:rsidR="00EE4502" w:rsidRDefault="00FD45A3">
      <w:pPr>
        <w:numPr>
          <w:ilvl w:val="0"/>
          <w:numId w:val="32"/>
        </w:numPr>
        <w:tabs>
          <w:tab w:val="left" w:leader="dot" w:pos="8770"/>
        </w:tabs>
        <w:spacing w:line="360" w:lineRule="auto"/>
        <w:ind w:left="0" w:firstLineChars="200" w:firstLine="480"/>
        <w:rPr>
          <w:sz w:val="24"/>
        </w:rPr>
      </w:pPr>
      <w:r>
        <w:rPr>
          <w:rFonts w:hint="eastAsia"/>
          <w:sz w:val="24"/>
        </w:rPr>
        <w:t>《国家级公益林管理办法》，</w:t>
      </w:r>
      <w:r>
        <w:rPr>
          <w:rFonts w:hint="eastAsia"/>
          <w:sz w:val="24"/>
        </w:rPr>
        <w:t>2017</w:t>
      </w:r>
      <w:r>
        <w:rPr>
          <w:rFonts w:hint="eastAsia"/>
          <w:sz w:val="24"/>
        </w:rPr>
        <w:t>年</w:t>
      </w:r>
      <w:r>
        <w:rPr>
          <w:rFonts w:hint="eastAsia"/>
          <w:sz w:val="24"/>
        </w:rPr>
        <w:t>5</w:t>
      </w:r>
      <w:r>
        <w:rPr>
          <w:rFonts w:hint="eastAsia"/>
          <w:sz w:val="24"/>
        </w:rPr>
        <w:t>月</w:t>
      </w:r>
      <w:r>
        <w:rPr>
          <w:rFonts w:hint="eastAsia"/>
          <w:sz w:val="24"/>
        </w:rPr>
        <w:t>8</w:t>
      </w:r>
      <w:r>
        <w:rPr>
          <w:rFonts w:hint="eastAsia"/>
          <w:sz w:val="24"/>
        </w:rPr>
        <w:t>日</w:t>
      </w:r>
      <w:r>
        <w:rPr>
          <w:rFonts w:hint="eastAsia"/>
          <w:sz w:val="24"/>
        </w:rPr>
        <w:t>；</w:t>
      </w:r>
    </w:p>
    <w:p w:rsidR="00EE4502" w:rsidRDefault="00FD45A3">
      <w:pPr>
        <w:numPr>
          <w:ilvl w:val="0"/>
          <w:numId w:val="32"/>
        </w:numPr>
        <w:tabs>
          <w:tab w:val="left" w:leader="dot" w:pos="8770"/>
        </w:tabs>
        <w:spacing w:line="360" w:lineRule="auto"/>
        <w:ind w:left="0" w:firstLineChars="200" w:firstLine="480"/>
        <w:rPr>
          <w:sz w:val="24"/>
        </w:rPr>
      </w:pPr>
      <w:r>
        <w:rPr>
          <w:rFonts w:hint="eastAsia"/>
          <w:sz w:val="24"/>
        </w:rPr>
        <w:t>《建设项目环境影响评价分类管理名录（</w:t>
      </w:r>
      <w:r>
        <w:rPr>
          <w:rFonts w:hint="eastAsia"/>
          <w:sz w:val="24"/>
        </w:rPr>
        <w:t>2021</w:t>
      </w:r>
      <w:r>
        <w:rPr>
          <w:rFonts w:hint="eastAsia"/>
          <w:sz w:val="24"/>
        </w:rPr>
        <w:t>年版）》（部令第</w:t>
      </w:r>
      <w:r>
        <w:rPr>
          <w:rFonts w:hint="eastAsia"/>
          <w:sz w:val="24"/>
        </w:rPr>
        <w:t>16</w:t>
      </w:r>
      <w:r>
        <w:rPr>
          <w:rFonts w:hint="eastAsia"/>
          <w:sz w:val="24"/>
        </w:rPr>
        <w:t>号）；</w:t>
      </w:r>
    </w:p>
    <w:p w:rsidR="00EE4502" w:rsidRDefault="00FD45A3">
      <w:pPr>
        <w:numPr>
          <w:ilvl w:val="0"/>
          <w:numId w:val="32"/>
        </w:numPr>
        <w:tabs>
          <w:tab w:val="left" w:leader="dot" w:pos="8770"/>
        </w:tabs>
        <w:spacing w:line="360" w:lineRule="auto"/>
        <w:ind w:left="0" w:firstLineChars="200" w:firstLine="480"/>
        <w:rPr>
          <w:sz w:val="24"/>
        </w:rPr>
      </w:pPr>
      <w:r>
        <w:rPr>
          <w:rFonts w:hint="eastAsia"/>
          <w:sz w:val="24"/>
        </w:rPr>
        <w:t>《环境影响评价公众参与办法》（生态环境部令</w:t>
      </w:r>
      <w:r>
        <w:rPr>
          <w:rFonts w:hint="eastAsia"/>
          <w:sz w:val="24"/>
        </w:rPr>
        <w:t xml:space="preserve"> </w:t>
      </w:r>
      <w:r>
        <w:rPr>
          <w:rFonts w:hint="eastAsia"/>
          <w:sz w:val="24"/>
        </w:rPr>
        <w:t>第</w:t>
      </w:r>
      <w:r>
        <w:rPr>
          <w:rFonts w:hint="eastAsia"/>
          <w:sz w:val="24"/>
        </w:rPr>
        <w:t>4</w:t>
      </w:r>
      <w:r>
        <w:rPr>
          <w:rFonts w:hint="eastAsia"/>
          <w:sz w:val="24"/>
        </w:rPr>
        <w:t>号，</w:t>
      </w:r>
      <w:r>
        <w:rPr>
          <w:rFonts w:hint="eastAsia"/>
          <w:sz w:val="24"/>
        </w:rPr>
        <w:t>2019</w:t>
      </w:r>
      <w:r>
        <w:rPr>
          <w:rFonts w:hint="eastAsia"/>
          <w:sz w:val="24"/>
        </w:rPr>
        <w:t>年</w:t>
      </w:r>
      <w:r>
        <w:rPr>
          <w:rFonts w:hint="eastAsia"/>
          <w:sz w:val="24"/>
        </w:rPr>
        <w:t>1</w:t>
      </w:r>
      <w:r>
        <w:rPr>
          <w:rFonts w:hint="eastAsia"/>
          <w:sz w:val="24"/>
        </w:rPr>
        <w:t>月</w:t>
      </w:r>
      <w:r>
        <w:rPr>
          <w:rFonts w:hint="eastAsia"/>
          <w:sz w:val="24"/>
        </w:rPr>
        <w:t>1</w:t>
      </w:r>
      <w:r>
        <w:rPr>
          <w:rFonts w:hint="eastAsia"/>
          <w:sz w:val="24"/>
        </w:rPr>
        <w:t>日）；</w:t>
      </w:r>
    </w:p>
    <w:p w:rsidR="00EE4502" w:rsidRDefault="00FD45A3">
      <w:pPr>
        <w:numPr>
          <w:ilvl w:val="0"/>
          <w:numId w:val="32"/>
        </w:numPr>
        <w:tabs>
          <w:tab w:val="left" w:leader="dot" w:pos="8770"/>
        </w:tabs>
        <w:spacing w:line="360" w:lineRule="auto"/>
        <w:ind w:left="0" w:firstLineChars="200" w:firstLine="480"/>
        <w:rPr>
          <w:sz w:val="24"/>
        </w:rPr>
      </w:pPr>
      <w:r>
        <w:rPr>
          <w:rFonts w:hint="eastAsia"/>
          <w:sz w:val="24"/>
        </w:rPr>
        <w:t>《产业结构调整指导目录》（</w:t>
      </w:r>
      <w:r>
        <w:rPr>
          <w:rFonts w:hint="eastAsia"/>
          <w:sz w:val="24"/>
        </w:rPr>
        <w:t>2024</w:t>
      </w:r>
      <w:r>
        <w:rPr>
          <w:rFonts w:hint="eastAsia"/>
          <w:sz w:val="24"/>
        </w:rPr>
        <w:t>年本），</w:t>
      </w:r>
      <w:r>
        <w:rPr>
          <w:rFonts w:hint="eastAsia"/>
          <w:sz w:val="24"/>
        </w:rPr>
        <w:t>2024</w:t>
      </w:r>
      <w:r>
        <w:rPr>
          <w:rFonts w:hint="eastAsia"/>
          <w:sz w:val="24"/>
        </w:rPr>
        <w:t>年</w:t>
      </w:r>
      <w:r>
        <w:rPr>
          <w:rFonts w:hint="eastAsia"/>
          <w:sz w:val="24"/>
        </w:rPr>
        <w:t>2</w:t>
      </w:r>
      <w:r>
        <w:rPr>
          <w:rFonts w:hint="eastAsia"/>
          <w:sz w:val="24"/>
        </w:rPr>
        <w:t>月</w:t>
      </w:r>
      <w:r>
        <w:rPr>
          <w:rFonts w:hint="eastAsia"/>
          <w:sz w:val="24"/>
        </w:rPr>
        <w:t>1</w:t>
      </w:r>
      <w:r>
        <w:rPr>
          <w:rFonts w:hint="eastAsia"/>
          <w:sz w:val="24"/>
        </w:rPr>
        <w:t>日实施，国家发展和改革委员会令第</w:t>
      </w:r>
      <w:r>
        <w:rPr>
          <w:rFonts w:hint="eastAsia"/>
          <w:sz w:val="24"/>
        </w:rPr>
        <w:t>7</w:t>
      </w:r>
      <w:r>
        <w:rPr>
          <w:rFonts w:hint="eastAsia"/>
          <w:sz w:val="24"/>
        </w:rPr>
        <w:t>号，</w:t>
      </w:r>
      <w:r>
        <w:rPr>
          <w:rFonts w:hint="eastAsia"/>
          <w:sz w:val="24"/>
        </w:rPr>
        <w:t>2023</w:t>
      </w:r>
      <w:r>
        <w:rPr>
          <w:rFonts w:hint="eastAsia"/>
          <w:sz w:val="24"/>
        </w:rPr>
        <w:t>年</w:t>
      </w:r>
      <w:r>
        <w:rPr>
          <w:rFonts w:hint="eastAsia"/>
          <w:sz w:val="24"/>
        </w:rPr>
        <w:t>12</w:t>
      </w:r>
      <w:r>
        <w:rPr>
          <w:rFonts w:hint="eastAsia"/>
          <w:sz w:val="24"/>
        </w:rPr>
        <w:t>月</w:t>
      </w:r>
      <w:r>
        <w:rPr>
          <w:rFonts w:hint="eastAsia"/>
          <w:sz w:val="24"/>
        </w:rPr>
        <w:t>27</w:t>
      </w:r>
      <w:r>
        <w:rPr>
          <w:rFonts w:hint="eastAsia"/>
          <w:sz w:val="24"/>
        </w:rPr>
        <w:t>日；</w:t>
      </w:r>
    </w:p>
    <w:p w:rsidR="00EE4502" w:rsidRDefault="00FD45A3">
      <w:pPr>
        <w:numPr>
          <w:ilvl w:val="0"/>
          <w:numId w:val="32"/>
        </w:numPr>
        <w:tabs>
          <w:tab w:val="left" w:leader="dot" w:pos="8770"/>
        </w:tabs>
        <w:spacing w:line="360" w:lineRule="auto"/>
        <w:ind w:left="0" w:firstLineChars="200" w:firstLine="480"/>
        <w:rPr>
          <w:sz w:val="24"/>
        </w:rPr>
      </w:pPr>
      <w:r>
        <w:rPr>
          <w:rFonts w:hint="eastAsia"/>
          <w:sz w:val="24"/>
        </w:rPr>
        <w:t>《突发环境事件应急管理办法》（部令第</w:t>
      </w:r>
      <w:r>
        <w:rPr>
          <w:rFonts w:hint="eastAsia"/>
          <w:sz w:val="24"/>
        </w:rPr>
        <w:t>34</w:t>
      </w:r>
      <w:r>
        <w:rPr>
          <w:rFonts w:hint="eastAsia"/>
          <w:sz w:val="24"/>
        </w:rPr>
        <w:t>号，</w:t>
      </w:r>
      <w:r>
        <w:rPr>
          <w:rFonts w:hint="eastAsia"/>
          <w:sz w:val="24"/>
        </w:rPr>
        <w:t>2015</w:t>
      </w:r>
      <w:r>
        <w:rPr>
          <w:rFonts w:hint="eastAsia"/>
          <w:sz w:val="24"/>
        </w:rPr>
        <w:t>年</w:t>
      </w:r>
      <w:r>
        <w:rPr>
          <w:rFonts w:hint="eastAsia"/>
          <w:sz w:val="24"/>
        </w:rPr>
        <w:t>6</w:t>
      </w:r>
      <w:r>
        <w:rPr>
          <w:rFonts w:hint="eastAsia"/>
          <w:sz w:val="24"/>
        </w:rPr>
        <w:t>月</w:t>
      </w:r>
      <w:r>
        <w:rPr>
          <w:rFonts w:hint="eastAsia"/>
          <w:sz w:val="24"/>
        </w:rPr>
        <w:t>5</w:t>
      </w:r>
      <w:r>
        <w:rPr>
          <w:rFonts w:hint="eastAsia"/>
          <w:sz w:val="24"/>
        </w:rPr>
        <w:t>日）；</w:t>
      </w:r>
    </w:p>
    <w:p w:rsidR="00EE4502" w:rsidRDefault="00FD45A3">
      <w:pPr>
        <w:numPr>
          <w:ilvl w:val="0"/>
          <w:numId w:val="32"/>
        </w:numPr>
        <w:tabs>
          <w:tab w:val="left" w:leader="dot" w:pos="8770"/>
        </w:tabs>
        <w:spacing w:line="360" w:lineRule="auto"/>
        <w:ind w:left="0" w:firstLineChars="200" w:firstLine="480"/>
        <w:rPr>
          <w:sz w:val="24"/>
        </w:rPr>
      </w:pPr>
      <w:r>
        <w:rPr>
          <w:rFonts w:hint="eastAsia"/>
          <w:sz w:val="24"/>
        </w:rPr>
        <w:t>《</w:t>
      </w:r>
      <w:r>
        <w:rPr>
          <w:rFonts w:hint="eastAsia"/>
          <w:sz w:val="24"/>
        </w:rPr>
        <w:t>国家危险废物名录（</w:t>
      </w:r>
      <w:r>
        <w:rPr>
          <w:rFonts w:hint="eastAsia"/>
          <w:sz w:val="24"/>
        </w:rPr>
        <w:t>2025</w:t>
      </w:r>
      <w:r>
        <w:rPr>
          <w:rFonts w:hint="eastAsia"/>
          <w:sz w:val="24"/>
        </w:rPr>
        <w:t>年版）》（生态环境部令第</w:t>
      </w:r>
      <w:r>
        <w:rPr>
          <w:rFonts w:hint="eastAsia"/>
          <w:sz w:val="24"/>
        </w:rPr>
        <w:t>36</w:t>
      </w:r>
      <w:r>
        <w:rPr>
          <w:rFonts w:hint="eastAsia"/>
          <w:sz w:val="24"/>
        </w:rPr>
        <w:t>号）；</w:t>
      </w:r>
    </w:p>
    <w:p w:rsidR="00EE4502" w:rsidRDefault="00FD45A3">
      <w:pPr>
        <w:numPr>
          <w:ilvl w:val="0"/>
          <w:numId w:val="32"/>
        </w:numPr>
        <w:tabs>
          <w:tab w:val="left" w:leader="dot" w:pos="8770"/>
        </w:tabs>
        <w:spacing w:line="360" w:lineRule="auto"/>
        <w:ind w:left="0" w:firstLineChars="200" w:firstLine="480"/>
        <w:rPr>
          <w:sz w:val="24"/>
        </w:rPr>
      </w:pPr>
      <w:r>
        <w:rPr>
          <w:rFonts w:hint="eastAsia"/>
          <w:sz w:val="24"/>
        </w:rPr>
        <w:t>《关于进一步加强环境影响评价管理防范环境风险的通知》（环发〔</w:t>
      </w:r>
      <w:r>
        <w:rPr>
          <w:rFonts w:hint="eastAsia"/>
          <w:sz w:val="24"/>
        </w:rPr>
        <w:t>2012</w:t>
      </w:r>
      <w:r>
        <w:rPr>
          <w:rFonts w:hint="eastAsia"/>
          <w:sz w:val="24"/>
        </w:rPr>
        <w:t>〕</w:t>
      </w:r>
      <w:r>
        <w:rPr>
          <w:rFonts w:hint="eastAsia"/>
          <w:sz w:val="24"/>
        </w:rPr>
        <w:t>77</w:t>
      </w:r>
      <w:r>
        <w:rPr>
          <w:rFonts w:hint="eastAsia"/>
          <w:sz w:val="24"/>
        </w:rPr>
        <w:t>号，</w:t>
      </w:r>
      <w:r>
        <w:rPr>
          <w:rFonts w:hint="eastAsia"/>
          <w:sz w:val="24"/>
        </w:rPr>
        <w:t>2012</w:t>
      </w:r>
      <w:r>
        <w:rPr>
          <w:rFonts w:hint="eastAsia"/>
          <w:sz w:val="24"/>
        </w:rPr>
        <w:t>年</w:t>
      </w:r>
      <w:r>
        <w:rPr>
          <w:rFonts w:hint="eastAsia"/>
          <w:sz w:val="24"/>
        </w:rPr>
        <w:t>7</w:t>
      </w:r>
      <w:r>
        <w:rPr>
          <w:rFonts w:hint="eastAsia"/>
          <w:sz w:val="24"/>
        </w:rPr>
        <w:t>月</w:t>
      </w:r>
      <w:r>
        <w:rPr>
          <w:rFonts w:hint="eastAsia"/>
          <w:sz w:val="24"/>
        </w:rPr>
        <w:t>3</w:t>
      </w:r>
      <w:r>
        <w:rPr>
          <w:rFonts w:hint="eastAsia"/>
          <w:sz w:val="24"/>
        </w:rPr>
        <w:t>日）；</w:t>
      </w:r>
    </w:p>
    <w:p w:rsidR="00EE4502" w:rsidRDefault="00FD45A3">
      <w:pPr>
        <w:numPr>
          <w:ilvl w:val="0"/>
          <w:numId w:val="32"/>
        </w:numPr>
        <w:tabs>
          <w:tab w:val="left" w:leader="dot" w:pos="8770"/>
        </w:tabs>
        <w:spacing w:line="360" w:lineRule="auto"/>
        <w:ind w:left="0" w:firstLineChars="200" w:firstLine="480"/>
        <w:rPr>
          <w:sz w:val="24"/>
        </w:rPr>
      </w:pPr>
      <w:r>
        <w:rPr>
          <w:rFonts w:hint="eastAsia"/>
          <w:sz w:val="24"/>
        </w:rPr>
        <w:t>《关于加强西部地区环境影响评价工作的通知》（环发〔</w:t>
      </w:r>
      <w:r>
        <w:rPr>
          <w:rFonts w:hint="eastAsia"/>
          <w:sz w:val="24"/>
        </w:rPr>
        <w:t>2011</w:t>
      </w:r>
      <w:r>
        <w:rPr>
          <w:rFonts w:hint="eastAsia"/>
          <w:sz w:val="24"/>
        </w:rPr>
        <w:t>〕</w:t>
      </w:r>
      <w:r>
        <w:rPr>
          <w:rFonts w:hint="eastAsia"/>
          <w:sz w:val="24"/>
        </w:rPr>
        <w:t>150</w:t>
      </w:r>
      <w:r>
        <w:rPr>
          <w:rFonts w:hint="eastAsia"/>
          <w:sz w:val="24"/>
        </w:rPr>
        <w:t>号）；</w:t>
      </w:r>
    </w:p>
    <w:p w:rsidR="00EE4502" w:rsidRDefault="00FD45A3">
      <w:pPr>
        <w:numPr>
          <w:ilvl w:val="0"/>
          <w:numId w:val="32"/>
        </w:numPr>
        <w:tabs>
          <w:tab w:val="left" w:leader="dot" w:pos="8770"/>
        </w:tabs>
        <w:spacing w:line="360" w:lineRule="auto"/>
        <w:ind w:left="0" w:firstLineChars="200" w:firstLine="480"/>
        <w:rPr>
          <w:sz w:val="24"/>
        </w:rPr>
      </w:pPr>
      <w:r>
        <w:rPr>
          <w:rFonts w:hint="eastAsia"/>
          <w:sz w:val="24"/>
        </w:rPr>
        <w:t>《关于切实加强风险防范严格环境影响评价管理的通知》（环发〔</w:t>
      </w:r>
      <w:r>
        <w:rPr>
          <w:rFonts w:hint="eastAsia"/>
          <w:sz w:val="24"/>
        </w:rPr>
        <w:t>2012</w:t>
      </w:r>
      <w:r>
        <w:rPr>
          <w:rFonts w:hint="eastAsia"/>
          <w:sz w:val="24"/>
        </w:rPr>
        <w:t>〕</w:t>
      </w:r>
      <w:r>
        <w:rPr>
          <w:rFonts w:hint="eastAsia"/>
          <w:sz w:val="24"/>
        </w:rPr>
        <w:t>98</w:t>
      </w:r>
      <w:r>
        <w:rPr>
          <w:rFonts w:hint="eastAsia"/>
          <w:sz w:val="24"/>
        </w:rPr>
        <w:t>号）；</w:t>
      </w:r>
    </w:p>
    <w:p w:rsidR="00EE4502" w:rsidRDefault="00FD45A3">
      <w:pPr>
        <w:numPr>
          <w:ilvl w:val="0"/>
          <w:numId w:val="32"/>
        </w:numPr>
        <w:tabs>
          <w:tab w:val="left" w:leader="dot" w:pos="8770"/>
        </w:tabs>
        <w:spacing w:line="360" w:lineRule="auto"/>
        <w:ind w:left="0" w:firstLineChars="200" w:firstLine="480"/>
        <w:rPr>
          <w:sz w:val="24"/>
        </w:rPr>
      </w:pPr>
      <w:r>
        <w:rPr>
          <w:rFonts w:hint="eastAsia"/>
          <w:sz w:val="24"/>
        </w:rPr>
        <w:t>《关于加强国家重点生态功能区环境保护和管理的意见》（环发〔</w:t>
      </w:r>
      <w:r>
        <w:rPr>
          <w:rFonts w:hint="eastAsia"/>
          <w:sz w:val="24"/>
        </w:rPr>
        <w:t>2013</w:t>
      </w:r>
      <w:r>
        <w:rPr>
          <w:rFonts w:hint="eastAsia"/>
          <w:sz w:val="24"/>
        </w:rPr>
        <w:t>〕</w:t>
      </w:r>
      <w:r>
        <w:rPr>
          <w:rFonts w:hint="eastAsia"/>
          <w:sz w:val="24"/>
        </w:rPr>
        <w:t>16</w:t>
      </w:r>
      <w:r>
        <w:rPr>
          <w:rFonts w:hint="eastAsia"/>
          <w:sz w:val="24"/>
        </w:rPr>
        <w:t>号）；</w:t>
      </w:r>
    </w:p>
    <w:p w:rsidR="00EE4502" w:rsidRDefault="00FD45A3">
      <w:pPr>
        <w:numPr>
          <w:ilvl w:val="0"/>
          <w:numId w:val="32"/>
        </w:numPr>
        <w:tabs>
          <w:tab w:val="left" w:leader="dot" w:pos="8770"/>
        </w:tabs>
        <w:spacing w:line="360" w:lineRule="auto"/>
        <w:ind w:left="0" w:firstLineChars="200" w:firstLine="480"/>
        <w:rPr>
          <w:sz w:val="24"/>
        </w:rPr>
      </w:pPr>
      <w:r>
        <w:rPr>
          <w:rFonts w:hint="eastAsia"/>
          <w:sz w:val="24"/>
        </w:rPr>
        <w:t>《关于强化建设项目环境影响评价事中事后监管的实施意见》（环环评〔</w:t>
      </w:r>
      <w:r>
        <w:rPr>
          <w:rFonts w:hint="eastAsia"/>
          <w:sz w:val="24"/>
        </w:rPr>
        <w:t>2018</w:t>
      </w:r>
      <w:r>
        <w:rPr>
          <w:rFonts w:hint="eastAsia"/>
          <w:sz w:val="24"/>
        </w:rPr>
        <w:t>〕</w:t>
      </w:r>
      <w:r>
        <w:rPr>
          <w:rFonts w:hint="eastAsia"/>
          <w:sz w:val="24"/>
        </w:rPr>
        <w:t>11</w:t>
      </w:r>
      <w:r>
        <w:rPr>
          <w:rFonts w:hint="eastAsia"/>
          <w:sz w:val="24"/>
        </w:rPr>
        <w:t>号）；</w:t>
      </w:r>
    </w:p>
    <w:p w:rsidR="00EE4502" w:rsidRDefault="00FD45A3">
      <w:pPr>
        <w:numPr>
          <w:ilvl w:val="0"/>
          <w:numId w:val="32"/>
        </w:numPr>
        <w:tabs>
          <w:tab w:val="left" w:leader="dot" w:pos="8770"/>
        </w:tabs>
        <w:spacing w:line="360" w:lineRule="auto"/>
        <w:ind w:left="0" w:firstLineChars="200" w:firstLine="480"/>
        <w:rPr>
          <w:sz w:val="24"/>
        </w:rPr>
      </w:pPr>
      <w:r>
        <w:rPr>
          <w:rFonts w:hint="eastAsia"/>
          <w:sz w:val="24"/>
        </w:rPr>
        <w:lastRenderedPageBreak/>
        <w:t>《关于印发地下水污染防治实施</w:t>
      </w:r>
      <w:r>
        <w:rPr>
          <w:rFonts w:hint="eastAsia"/>
          <w:sz w:val="24"/>
        </w:rPr>
        <w:t>方案的通知》（环土壤〔</w:t>
      </w:r>
      <w:r>
        <w:rPr>
          <w:rFonts w:hint="eastAsia"/>
          <w:sz w:val="24"/>
        </w:rPr>
        <w:t>2019</w:t>
      </w:r>
      <w:r>
        <w:rPr>
          <w:rFonts w:hint="eastAsia"/>
          <w:sz w:val="24"/>
        </w:rPr>
        <w:t>〕</w:t>
      </w:r>
      <w:r>
        <w:rPr>
          <w:rFonts w:hint="eastAsia"/>
          <w:sz w:val="24"/>
        </w:rPr>
        <w:t>25</w:t>
      </w:r>
      <w:r>
        <w:rPr>
          <w:rFonts w:hint="eastAsia"/>
          <w:sz w:val="24"/>
        </w:rPr>
        <w:t>号）；</w:t>
      </w:r>
    </w:p>
    <w:p w:rsidR="00EE4502" w:rsidRDefault="00FD45A3">
      <w:pPr>
        <w:numPr>
          <w:ilvl w:val="0"/>
          <w:numId w:val="32"/>
        </w:numPr>
        <w:tabs>
          <w:tab w:val="left" w:leader="dot" w:pos="8770"/>
        </w:tabs>
        <w:spacing w:line="360" w:lineRule="auto"/>
        <w:ind w:left="0" w:firstLineChars="200" w:firstLine="480"/>
        <w:rPr>
          <w:sz w:val="24"/>
        </w:rPr>
      </w:pPr>
      <w:r>
        <w:rPr>
          <w:rFonts w:hint="eastAsia"/>
          <w:sz w:val="24"/>
        </w:rPr>
        <w:t>《关于进一步加强石油天然气行业环境影响评价的通知》（环办环评函〔</w:t>
      </w:r>
      <w:r>
        <w:rPr>
          <w:rFonts w:hint="eastAsia"/>
          <w:sz w:val="24"/>
        </w:rPr>
        <w:t>2019</w:t>
      </w:r>
      <w:r>
        <w:rPr>
          <w:rFonts w:hint="eastAsia"/>
          <w:sz w:val="24"/>
        </w:rPr>
        <w:t>〕</w:t>
      </w:r>
      <w:r>
        <w:rPr>
          <w:rFonts w:hint="eastAsia"/>
          <w:sz w:val="24"/>
        </w:rPr>
        <w:t>910</w:t>
      </w:r>
      <w:r>
        <w:rPr>
          <w:rFonts w:hint="eastAsia"/>
          <w:sz w:val="24"/>
        </w:rPr>
        <w:t>号）；</w:t>
      </w:r>
    </w:p>
    <w:p w:rsidR="00EE4502" w:rsidRDefault="00FD45A3">
      <w:pPr>
        <w:numPr>
          <w:ilvl w:val="0"/>
          <w:numId w:val="32"/>
        </w:numPr>
        <w:tabs>
          <w:tab w:val="left" w:leader="dot" w:pos="8770"/>
        </w:tabs>
        <w:spacing w:line="360" w:lineRule="auto"/>
        <w:ind w:left="0" w:firstLineChars="200" w:firstLine="480"/>
        <w:rPr>
          <w:sz w:val="24"/>
        </w:rPr>
      </w:pPr>
      <w:r>
        <w:rPr>
          <w:rFonts w:hint="eastAsia"/>
          <w:sz w:val="24"/>
        </w:rPr>
        <w:t>《关于印发〈生态保护红线划定指南〉的通知》（环办生态〔</w:t>
      </w:r>
      <w:r>
        <w:rPr>
          <w:rFonts w:hint="eastAsia"/>
          <w:sz w:val="24"/>
        </w:rPr>
        <w:t>2017</w:t>
      </w:r>
      <w:r>
        <w:rPr>
          <w:rFonts w:hint="eastAsia"/>
          <w:sz w:val="24"/>
        </w:rPr>
        <w:t>〕</w:t>
      </w:r>
      <w:r>
        <w:rPr>
          <w:rFonts w:hint="eastAsia"/>
          <w:sz w:val="24"/>
        </w:rPr>
        <w:t>48</w:t>
      </w:r>
      <w:r>
        <w:rPr>
          <w:rFonts w:hint="eastAsia"/>
          <w:sz w:val="24"/>
        </w:rPr>
        <w:t>号）；</w:t>
      </w:r>
    </w:p>
    <w:p w:rsidR="00EE4502" w:rsidRDefault="00FD45A3">
      <w:pPr>
        <w:numPr>
          <w:ilvl w:val="0"/>
          <w:numId w:val="32"/>
        </w:numPr>
        <w:tabs>
          <w:tab w:val="left" w:leader="dot" w:pos="8770"/>
        </w:tabs>
        <w:spacing w:line="360" w:lineRule="auto"/>
        <w:ind w:left="0" w:firstLineChars="200" w:firstLine="480"/>
        <w:rPr>
          <w:sz w:val="24"/>
        </w:rPr>
      </w:pPr>
      <w:r>
        <w:rPr>
          <w:rFonts w:hint="eastAsia"/>
          <w:sz w:val="24"/>
        </w:rPr>
        <w:t>《危险废物环境管理指南</w:t>
      </w:r>
      <w:r>
        <w:rPr>
          <w:rFonts w:hint="eastAsia"/>
          <w:sz w:val="24"/>
        </w:rPr>
        <w:t xml:space="preserve"> </w:t>
      </w:r>
      <w:r>
        <w:rPr>
          <w:rFonts w:hint="eastAsia"/>
          <w:sz w:val="24"/>
        </w:rPr>
        <w:t>陆上石油天然气开采》（生态环境部公告</w:t>
      </w:r>
      <w:r>
        <w:rPr>
          <w:rFonts w:hint="eastAsia"/>
          <w:sz w:val="24"/>
        </w:rPr>
        <w:t>2021</w:t>
      </w:r>
      <w:r>
        <w:rPr>
          <w:rFonts w:hint="eastAsia"/>
          <w:sz w:val="24"/>
        </w:rPr>
        <w:t>年第</w:t>
      </w:r>
      <w:r>
        <w:rPr>
          <w:rFonts w:hint="eastAsia"/>
          <w:sz w:val="24"/>
        </w:rPr>
        <w:t>74</w:t>
      </w:r>
      <w:r>
        <w:rPr>
          <w:rFonts w:hint="eastAsia"/>
          <w:sz w:val="24"/>
        </w:rPr>
        <w:t>号）；</w:t>
      </w:r>
    </w:p>
    <w:p w:rsidR="00EE4502" w:rsidRDefault="00FD45A3">
      <w:pPr>
        <w:numPr>
          <w:ilvl w:val="0"/>
          <w:numId w:val="32"/>
        </w:numPr>
        <w:tabs>
          <w:tab w:val="left" w:leader="dot" w:pos="8770"/>
        </w:tabs>
        <w:spacing w:line="360" w:lineRule="auto"/>
        <w:ind w:left="0" w:firstLineChars="200" w:firstLine="480"/>
        <w:rPr>
          <w:sz w:val="24"/>
        </w:rPr>
      </w:pPr>
      <w:r>
        <w:rPr>
          <w:rFonts w:hint="eastAsia"/>
          <w:sz w:val="24"/>
        </w:rPr>
        <w:t>《挥发性有机物（</w:t>
      </w:r>
      <w:r>
        <w:rPr>
          <w:rFonts w:hint="eastAsia"/>
          <w:sz w:val="24"/>
        </w:rPr>
        <w:t>VOCs</w:t>
      </w:r>
      <w:r>
        <w:rPr>
          <w:rFonts w:hint="eastAsia"/>
          <w:sz w:val="24"/>
        </w:rPr>
        <w:t>）污染防治技术政策》（部公告</w:t>
      </w:r>
      <w:r>
        <w:rPr>
          <w:rFonts w:hint="eastAsia"/>
          <w:sz w:val="24"/>
        </w:rPr>
        <w:t xml:space="preserve"> 2013</w:t>
      </w:r>
      <w:r>
        <w:rPr>
          <w:rFonts w:hint="eastAsia"/>
          <w:sz w:val="24"/>
        </w:rPr>
        <w:t>年第</w:t>
      </w:r>
      <w:r>
        <w:rPr>
          <w:rFonts w:hint="eastAsia"/>
          <w:sz w:val="24"/>
        </w:rPr>
        <w:t>31</w:t>
      </w:r>
      <w:r>
        <w:rPr>
          <w:rFonts w:hint="eastAsia"/>
          <w:sz w:val="24"/>
        </w:rPr>
        <w:t>号）；</w:t>
      </w:r>
    </w:p>
    <w:p w:rsidR="00EE4502" w:rsidRDefault="00FD45A3">
      <w:pPr>
        <w:numPr>
          <w:ilvl w:val="0"/>
          <w:numId w:val="32"/>
        </w:numPr>
        <w:tabs>
          <w:tab w:val="left" w:leader="dot" w:pos="8770"/>
        </w:tabs>
        <w:spacing w:line="360" w:lineRule="auto"/>
        <w:ind w:left="0" w:firstLineChars="200" w:firstLine="480"/>
        <w:rPr>
          <w:sz w:val="24"/>
        </w:rPr>
      </w:pPr>
      <w:r>
        <w:rPr>
          <w:rFonts w:hint="eastAsia"/>
          <w:sz w:val="24"/>
        </w:rPr>
        <w:t>《危险废物转移管理办法》（生态环境部</w:t>
      </w:r>
      <w:r>
        <w:rPr>
          <w:rFonts w:hint="eastAsia"/>
          <w:sz w:val="24"/>
        </w:rPr>
        <w:t xml:space="preserve"> </w:t>
      </w:r>
      <w:r>
        <w:rPr>
          <w:rFonts w:hint="eastAsia"/>
          <w:sz w:val="24"/>
        </w:rPr>
        <w:t>公安部</w:t>
      </w:r>
      <w:r>
        <w:rPr>
          <w:rFonts w:hint="eastAsia"/>
          <w:sz w:val="24"/>
        </w:rPr>
        <w:t xml:space="preserve"> </w:t>
      </w:r>
      <w:r>
        <w:rPr>
          <w:rFonts w:hint="eastAsia"/>
          <w:sz w:val="24"/>
        </w:rPr>
        <w:t>交通运输部令</w:t>
      </w:r>
      <w:r>
        <w:rPr>
          <w:rFonts w:hint="eastAsia"/>
          <w:sz w:val="24"/>
        </w:rPr>
        <w:t xml:space="preserve"> </w:t>
      </w:r>
      <w:r>
        <w:rPr>
          <w:rFonts w:hint="eastAsia"/>
          <w:sz w:val="24"/>
        </w:rPr>
        <w:t>部令</w:t>
      </w:r>
      <w:r>
        <w:rPr>
          <w:rFonts w:hint="eastAsia"/>
          <w:sz w:val="24"/>
        </w:rPr>
        <w:t xml:space="preserve"> </w:t>
      </w:r>
      <w:r>
        <w:rPr>
          <w:rFonts w:hint="eastAsia"/>
          <w:sz w:val="24"/>
        </w:rPr>
        <w:t>第</w:t>
      </w:r>
      <w:r>
        <w:rPr>
          <w:rFonts w:hint="eastAsia"/>
          <w:sz w:val="24"/>
        </w:rPr>
        <w:t>23</w:t>
      </w:r>
      <w:r>
        <w:rPr>
          <w:rFonts w:hint="eastAsia"/>
          <w:sz w:val="24"/>
        </w:rPr>
        <w:t>号）；</w:t>
      </w:r>
    </w:p>
    <w:p w:rsidR="00EE4502" w:rsidRDefault="00FD45A3">
      <w:pPr>
        <w:numPr>
          <w:ilvl w:val="0"/>
          <w:numId w:val="32"/>
        </w:numPr>
        <w:tabs>
          <w:tab w:val="left" w:leader="dot" w:pos="8770"/>
        </w:tabs>
        <w:spacing w:line="360" w:lineRule="auto"/>
        <w:ind w:left="0" w:firstLineChars="200" w:firstLine="480"/>
        <w:rPr>
          <w:sz w:val="24"/>
        </w:rPr>
      </w:pPr>
      <w:r>
        <w:rPr>
          <w:rFonts w:hint="eastAsia"/>
          <w:sz w:val="24"/>
        </w:rPr>
        <w:t>《危险废物产生单位管理计划制定指南》（部公告〔</w:t>
      </w:r>
      <w:r>
        <w:rPr>
          <w:rFonts w:hint="eastAsia"/>
          <w:sz w:val="24"/>
        </w:rPr>
        <w:t>2016</w:t>
      </w:r>
      <w:r>
        <w:rPr>
          <w:rFonts w:hint="eastAsia"/>
          <w:sz w:val="24"/>
        </w:rPr>
        <w:t>〕第</w:t>
      </w:r>
      <w:r>
        <w:rPr>
          <w:rFonts w:hint="eastAsia"/>
          <w:sz w:val="24"/>
        </w:rPr>
        <w:t>7</w:t>
      </w:r>
      <w:r>
        <w:rPr>
          <w:rFonts w:hint="eastAsia"/>
          <w:sz w:val="24"/>
        </w:rPr>
        <w:t>号</w:t>
      </w:r>
      <w:r>
        <w:rPr>
          <w:rFonts w:hint="eastAsia"/>
          <w:sz w:val="24"/>
        </w:rPr>
        <w:t>）；</w:t>
      </w:r>
    </w:p>
    <w:p w:rsidR="00EE4502" w:rsidRDefault="00FD45A3">
      <w:pPr>
        <w:numPr>
          <w:ilvl w:val="0"/>
          <w:numId w:val="32"/>
        </w:numPr>
        <w:tabs>
          <w:tab w:val="left" w:leader="dot" w:pos="8770"/>
        </w:tabs>
        <w:spacing w:line="360" w:lineRule="auto"/>
        <w:ind w:left="0" w:firstLineChars="200" w:firstLine="480"/>
        <w:rPr>
          <w:sz w:val="24"/>
        </w:rPr>
      </w:pPr>
      <w:r>
        <w:rPr>
          <w:rFonts w:hint="eastAsia"/>
          <w:sz w:val="24"/>
        </w:rPr>
        <w:t>《危险废物排放管理清单（</w:t>
      </w:r>
      <w:r>
        <w:rPr>
          <w:rFonts w:hint="eastAsia"/>
          <w:sz w:val="24"/>
        </w:rPr>
        <w:t>2021</w:t>
      </w:r>
      <w:r>
        <w:rPr>
          <w:rFonts w:hint="eastAsia"/>
          <w:sz w:val="24"/>
        </w:rPr>
        <w:t>年版）》（生态环境部公告〔</w:t>
      </w:r>
      <w:r>
        <w:rPr>
          <w:rFonts w:hint="eastAsia"/>
          <w:sz w:val="24"/>
        </w:rPr>
        <w:t>2021</w:t>
      </w:r>
      <w:r>
        <w:rPr>
          <w:rFonts w:hint="eastAsia"/>
          <w:sz w:val="24"/>
        </w:rPr>
        <w:t>〕第</w:t>
      </w:r>
      <w:r>
        <w:rPr>
          <w:rFonts w:hint="eastAsia"/>
          <w:sz w:val="24"/>
        </w:rPr>
        <w:t>66</w:t>
      </w:r>
      <w:r>
        <w:rPr>
          <w:rFonts w:hint="eastAsia"/>
          <w:sz w:val="24"/>
        </w:rPr>
        <w:t>号）；</w:t>
      </w:r>
    </w:p>
    <w:p w:rsidR="00EE4502" w:rsidRDefault="00FD45A3">
      <w:pPr>
        <w:numPr>
          <w:ilvl w:val="0"/>
          <w:numId w:val="32"/>
        </w:numPr>
        <w:tabs>
          <w:tab w:val="left" w:leader="dot" w:pos="8770"/>
        </w:tabs>
        <w:spacing w:line="360" w:lineRule="auto"/>
        <w:ind w:left="0" w:firstLineChars="200" w:firstLine="480"/>
        <w:rPr>
          <w:sz w:val="24"/>
        </w:rPr>
      </w:pPr>
      <w:r>
        <w:rPr>
          <w:rFonts w:hint="eastAsia"/>
          <w:sz w:val="24"/>
        </w:rPr>
        <w:t>《一般固体废物分类与代码（</w:t>
      </w:r>
      <w:r>
        <w:rPr>
          <w:rFonts w:hint="eastAsia"/>
          <w:sz w:val="24"/>
        </w:rPr>
        <w:t>GB/T39198-2020</w:t>
      </w:r>
      <w:r>
        <w:rPr>
          <w:rFonts w:hint="eastAsia"/>
          <w:sz w:val="24"/>
        </w:rPr>
        <w:t>）》（国家市场监督管理总局、国家标准委，</w:t>
      </w:r>
      <w:r>
        <w:rPr>
          <w:rFonts w:hint="eastAsia"/>
          <w:sz w:val="24"/>
        </w:rPr>
        <w:t>2021</w:t>
      </w:r>
      <w:r>
        <w:rPr>
          <w:rFonts w:hint="eastAsia"/>
          <w:sz w:val="24"/>
        </w:rPr>
        <w:t>年</w:t>
      </w:r>
      <w:r>
        <w:rPr>
          <w:rFonts w:hint="eastAsia"/>
          <w:sz w:val="24"/>
        </w:rPr>
        <w:t>5</w:t>
      </w:r>
      <w:r>
        <w:rPr>
          <w:rFonts w:hint="eastAsia"/>
          <w:sz w:val="24"/>
        </w:rPr>
        <w:t>月</w:t>
      </w:r>
      <w:r>
        <w:rPr>
          <w:rFonts w:hint="eastAsia"/>
          <w:sz w:val="24"/>
        </w:rPr>
        <w:t>1</w:t>
      </w:r>
      <w:r>
        <w:rPr>
          <w:rFonts w:hint="eastAsia"/>
          <w:sz w:val="24"/>
        </w:rPr>
        <w:t>日）；</w:t>
      </w:r>
    </w:p>
    <w:p w:rsidR="00EE4502" w:rsidRDefault="00FD45A3">
      <w:pPr>
        <w:numPr>
          <w:ilvl w:val="0"/>
          <w:numId w:val="32"/>
        </w:numPr>
        <w:tabs>
          <w:tab w:val="left" w:leader="dot" w:pos="8770"/>
        </w:tabs>
        <w:spacing w:line="360" w:lineRule="auto"/>
        <w:ind w:left="0" w:firstLineChars="200" w:firstLine="480"/>
        <w:rPr>
          <w:sz w:val="24"/>
        </w:rPr>
      </w:pPr>
      <w:r>
        <w:rPr>
          <w:rFonts w:hint="eastAsia"/>
          <w:sz w:val="24"/>
        </w:rPr>
        <w:t>《自然资源部关于规范临时用地管理的通知》（一般固体废物分类与代码）；</w:t>
      </w:r>
    </w:p>
    <w:p w:rsidR="00EE4502" w:rsidRDefault="00FD45A3">
      <w:pPr>
        <w:numPr>
          <w:ilvl w:val="0"/>
          <w:numId w:val="32"/>
        </w:numPr>
        <w:tabs>
          <w:tab w:val="left" w:leader="dot" w:pos="8770"/>
        </w:tabs>
        <w:spacing w:line="360" w:lineRule="auto"/>
        <w:ind w:left="0" w:firstLineChars="200" w:firstLine="480"/>
        <w:rPr>
          <w:sz w:val="24"/>
        </w:rPr>
      </w:pPr>
      <w:r>
        <w:rPr>
          <w:rFonts w:hint="eastAsia"/>
          <w:sz w:val="24"/>
        </w:rPr>
        <w:t>《国家重点保护野生植物名录》（国家林业和草原局</w:t>
      </w:r>
      <w:r>
        <w:rPr>
          <w:rFonts w:hint="eastAsia"/>
          <w:sz w:val="24"/>
        </w:rPr>
        <w:t xml:space="preserve"> </w:t>
      </w:r>
      <w:r>
        <w:rPr>
          <w:rFonts w:hint="eastAsia"/>
          <w:sz w:val="24"/>
        </w:rPr>
        <w:t>农业农村部公告，</w:t>
      </w:r>
      <w:r>
        <w:rPr>
          <w:rFonts w:hint="eastAsia"/>
          <w:sz w:val="24"/>
        </w:rPr>
        <w:t>2021</w:t>
      </w:r>
      <w:r>
        <w:rPr>
          <w:rFonts w:hint="eastAsia"/>
          <w:sz w:val="24"/>
        </w:rPr>
        <w:t>年第</w:t>
      </w:r>
      <w:r>
        <w:rPr>
          <w:rFonts w:hint="eastAsia"/>
          <w:sz w:val="24"/>
        </w:rPr>
        <w:t>15</w:t>
      </w:r>
      <w:r>
        <w:rPr>
          <w:rFonts w:hint="eastAsia"/>
          <w:sz w:val="24"/>
        </w:rPr>
        <w:t>号）；</w:t>
      </w:r>
    </w:p>
    <w:p w:rsidR="00EE4502" w:rsidRDefault="00FD45A3">
      <w:pPr>
        <w:numPr>
          <w:ilvl w:val="0"/>
          <w:numId w:val="32"/>
        </w:numPr>
        <w:tabs>
          <w:tab w:val="left" w:leader="dot" w:pos="8770"/>
        </w:tabs>
        <w:spacing w:line="360" w:lineRule="auto"/>
        <w:ind w:left="0" w:firstLineChars="200" w:firstLine="480"/>
        <w:rPr>
          <w:sz w:val="24"/>
        </w:rPr>
      </w:pPr>
      <w:r>
        <w:rPr>
          <w:rFonts w:hint="eastAsia"/>
          <w:sz w:val="24"/>
        </w:rPr>
        <w:t>《国家重点保护野生动物名录》（国家林业和草原局</w:t>
      </w:r>
      <w:r>
        <w:rPr>
          <w:rFonts w:hint="eastAsia"/>
          <w:sz w:val="24"/>
        </w:rPr>
        <w:t xml:space="preserve"> </w:t>
      </w:r>
      <w:r>
        <w:rPr>
          <w:rFonts w:hint="eastAsia"/>
          <w:sz w:val="24"/>
        </w:rPr>
        <w:t>农业农村部公告，</w:t>
      </w:r>
      <w:r>
        <w:rPr>
          <w:rFonts w:hint="eastAsia"/>
          <w:sz w:val="24"/>
        </w:rPr>
        <w:t>2021</w:t>
      </w:r>
      <w:r>
        <w:rPr>
          <w:rFonts w:hint="eastAsia"/>
          <w:sz w:val="24"/>
        </w:rPr>
        <w:t>年第</w:t>
      </w:r>
      <w:r>
        <w:rPr>
          <w:rFonts w:hint="eastAsia"/>
          <w:sz w:val="24"/>
        </w:rPr>
        <w:t>3</w:t>
      </w:r>
      <w:r>
        <w:rPr>
          <w:rFonts w:hint="eastAsia"/>
          <w:sz w:val="24"/>
        </w:rPr>
        <w:t>号）；</w:t>
      </w:r>
    </w:p>
    <w:p w:rsidR="00EE4502" w:rsidRDefault="00FD45A3">
      <w:pPr>
        <w:numPr>
          <w:ilvl w:val="0"/>
          <w:numId w:val="32"/>
        </w:numPr>
        <w:tabs>
          <w:tab w:val="left" w:leader="dot" w:pos="8770"/>
        </w:tabs>
        <w:spacing w:line="360" w:lineRule="auto"/>
        <w:ind w:left="0" w:firstLineChars="200" w:firstLine="480"/>
        <w:rPr>
          <w:sz w:val="24"/>
        </w:rPr>
      </w:pPr>
      <w:r>
        <w:rPr>
          <w:rFonts w:hint="eastAsia"/>
          <w:sz w:val="24"/>
        </w:rPr>
        <w:t>《关于发布〈排放源统计调查产排污核算方法和系数手册〉的公告》（生态环境部公告</w:t>
      </w:r>
      <w:r>
        <w:rPr>
          <w:rFonts w:hint="eastAsia"/>
          <w:sz w:val="24"/>
        </w:rPr>
        <w:t>2021</w:t>
      </w:r>
      <w:r>
        <w:rPr>
          <w:rFonts w:hint="eastAsia"/>
          <w:sz w:val="24"/>
        </w:rPr>
        <w:t>年第</w:t>
      </w:r>
      <w:r>
        <w:rPr>
          <w:rFonts w:hint="eastAsia"/>
          <w:sz w:val="24"/>
        </w:rPr>
        <w:t>24</w:t>
      </w:r>
      <w:r>
        <w:rPr>
          <w:rFonts w:hint="eastAsia"/>
          <w:sz w:val="24"/>
        </w:rPr>
        <w:t>号）；</w:t>
      </w:r>
    </w:p>
    <w:p w:rsidR="00EE4502" w:rsidRDefault="00FD45A3">
      <w:pPr>
        <w:numPr>
          <w:ilvl w:val="0"/>
          <w:numId w:val="32"/>
        </w:numPr>
        <w:tabs>
          <w:tab w:val="left" w:leader="dot" w:pos="8770"/>
        </w:tabs>
        <w:spacing w:line="360" w:lineRule="auto"/>
        <w:ind w:left="0" w:firstLineChars="200" w:firstLine="480"/>
        <w:rPr>
          <w:sz w:val="24"/>
        </w:rPr>
      </w:pPr>
      <w:r>
        <w:rPr>
          <w:rFonts w:hint="eastAsia"/>
          <w:sz w:val="24"/>
        </w:rPr>
        <w:t>《石油天然气开采业污染防治技术政策》（部公告</w:t>
      </w:r>
      <w:r>
        <w:rPr>
          <w:rFonts w:hint="eastAsia"/>
          <w:sz w:val="24"/>
        </w:rPr>
        <w:t>2015</w:t>
      </w:r>
      <w:r>
        <w:rPr>
          <w:rFonts w:hint="eastAsia"/>
          <w:sz w:val="24"/>
        </w:rPr>
        <w:t>第</w:t>
      </w:r>
      <w:r>
        <w:rPr>
          <w:rFonts w:hint="eastAsia"/>
          <w:sz w:val="24"/>
        </w:rPr>
        <w:t>24</w:t>
      </w:r>
      <w:r>
        <w:rPr>
          <w:rFonts w:hint="eastAsia"/>
          <w:sz w:val="24"/>
        </w:rPr>
        <w:t>号）；</w:t>
      </w:r>
    </w:p>
    <w:p w:rsidR="00EE4502" w:rsidRDefault="00FD45A3">
      <w:pPr>
        <w:numPr>
          <w:ilvl w:val="0"/>
          <w:numId w:val="32"/>
        </w:numPr>
        <w:tabs>
          <w:tab w:val="left" w:leader="dot" w:pos="8770"/>
        </w:tabs>
        <w:spacing w:line="360" w:lineRule="auto"/>
        <w:ind w:left="0" w:firstLineChars="200" w:firstLine="480"/>
        <w:rPr>
          <w:sz w:val="24"/>
        </w:rPr>
      </w:pPr>
      <w:r>
        <w:rPr>
          <w:rFonts w:hint="eastAsia"/>
          <w:sz w:val="24"/>
        </w:rPr>
        <w:t>《重点监管单位土壤污染隐患排查指南（试行）》（公告</w:t>
      </w:r>
      <w:r>
        <w:rPr>
          <w:rFonts w:hint="eastAsia"/>
          <w:sz w:val="24"/>
        </w:rPr>
        <w:t>2021</w:t>
      </w:r>
      <w:r>
        <w:rPr>
          <w:rFonts w:hint="eastAsia"/>
          <w:sz w:val="24"/>
        </w:rPr>
        <w:t>第</w:t>
      </w:r>
      <w:r>
        <w:rPr>
          <w:rFonts w:hint="eastAsia"/>
          <w:sz w:val="24"/>
        </w:rPr>
        <w:t>1</w:t>
      </w:r>
      <w:r>
        <w:rPr>
          <w:rFonts w:hint="eastAsia"/>
          <w:sz w:val="24"/>
        </w:rPr>
        <w:t>号）；</w:t>
      </w:r>
    </w:p>
    <w:p w:rsidR="00EE4502" w:rsidRDefault="00FD45A3">
      <w:pPr>
        <w:numPr>
          <w:ilvl w:val="0"/>
          <w:numId w:val="32"/>
        </w:numPr>
        <w:tabs>
          <w:tab w:val="left" w:leader="dot" w:pos="8770"/>
        </w:tabs>
        <w:spacing w:line="360" w:lineRule="auto"/>
        <w:ind w:left="0" w:firstLineChars="200" w:firstLine="480"/>
        <w:rPr>
          <w:sz w:val="24"/>
        </w:rPr>
      </w:pPr>
      <w:r>
        <w:rPr>
          <w:rFonts w:hint="eastAsia"/>
          <w:sz w:val="24"/>
        </w:rPr>
        <w:t>《污染地块土壤环境管理办法》（生态环境部令</w:t>
      </w:r>
      <w:r>
        <w:rPr>
          <w:rFonts w:hint="eastAsia"/>
          <w:sz w:val="24"/>
        </w:rPr>
        <w:t>2017</w:t>
      </w:r>
      <w:r>
        <w:rPr>
          <w:rFonts w:hint="eastAsia"/>
          <w:sz w:val="24"/>
        </w:rPr>
        <w:t>第</w:t>
      </w:r>
      <w:r>
        <w:rPr>
          <w:rFonts w:hint="eastAsia"/>
          <w:sz w:val="24"/>
        </w:rPr>
        <w:t>42</w:t>
      </w:r>
      <w:r>
        <w:rPr>
          <w:rFonts w:hint="eastAsia"/>
          <w:sz w:val="24"/>
        </w:rPr>
        <w:t>号）；</w:t>
      </w:r>
    </w:p>
    <w:p w:rsidR="00EE4502" w:rsidRDefault="00FD45A3">
      <w:pPr>
        <w:numPr>
          <w:ilvl w:val="0"/>
          <w:numId w:val="32"/>
        </w:numPr>
        <w:tabs>
          <w:tab w:val="left" w:leader="dot" w:pos="8770"/>
        </w:tabs>
        <w:spacing w:line="360" w:lineRule="auto"/>
        <w:ind w:left="0" w:firstLineChars="200" w:firstLine="480"/>
        <w:rPr>
          <w:sz w:val="24"/>
        </w:rPr>
      </w:pPr>
      <w:r>
        <w:rPr>
          <w:rFonts w:hint="eastAsia"/>
          <w:sz w:val="24"/>
        </w:rPr>
        <w:t>《危险化学品环境管理登记办法（试行）》（部令第</w:t>
      </w:r>
      <w:r>
        <w:rPr>
          <w:rFonts w:hint="eastAsia"/>
          <w:sz w:val="24"/>
        </w:rPr>
        <w:t>22</w:t>
      </w:r>
      <w:r>
        <w:rPr>
          <w:rFonts w:hint="eastAsia"/>
          <w:sz w:val="24"/>
        </w:rPr>
        <w:t>号，</w:t>
      </w:r>
      <w:r>
        <w:rPr>
          <w:rFonts w:hint="eastAsia"/>
          <w:sz w:val="24"/>
        </w:rPr>
        <w:t>2013</w:t>
      </w:r>
      <w:r>
        <w:rPr>
          <w:rFonts w:hint="eastAsia"/>
          <w:sz w:val="24"/>
        </w:rPr>
        <w:t>年</w:t>
      </w:r>
      <w:r>
        <w:rPr>
          <w:rFonts w:hint="eastAsia"/>
          <w:sz w:val="24"/>
        </w:rPr>
        <w:lastRenderedPageBreak/>
        <w:t>3</w:t>
      </w:r>
      <w:r>
        <w:rPr>
          <w:rFonts w:hint="eastAsia"/>
          <w:sz w:val="24"/>
        </w:rPr>
        <w:t>月</w:t>
      </w:r>
      <w:r>
        <w:rPr>
          <w:rFonts w:hint="eastAsia"/>
          <w:sz w:val="24"/>
        </w:rPr>
        <w:t>1</w:t>
      </w:r>
      <w:r>
        <w:rPr>
          <w:rFonts w:hint="eastAsia"/>
          <w:sz w:val="24"/>
        </w:rPr>
        <w:t>日）；</w:t>
      </w:r>
    </w:p>
    <w:p w:rsidR="00EE4502" w:rsidRDefault="00FD45A3">
      <w:pPr>
        <w:numPr>
          <w:ilvl w:val="0"/>
          <w:numId w:val="32"/>
        </w:numPr>
        <w:tabs>
          <w:tab w:val="left" w:leader="dot" w:pos="8770"/>
        </w:tabs>
        <w:spacing w:line="360" w:lineRule="auto"/>
        <w:ind w:left="0" w:firstLineChars="200" w:firstLine="480"/>
        <w:rPr>
          <w:sz w:val="24"/>
        </w:rPr>
      </w:pPr>
      <w:r>
        <w:rPr>
          <w:rFonts w:hint="eastAsia"/>
          <w:sz w:val="24"/>
        </w:rPr>
        <w:t>《关于“十四五”大宗固体废弃物综合利用的指导意见》（发改环资〔</w:t>
      </w:r>
      <w:r>
        <w:rPr>
          <w:rFonts w:hint="eastAsia"/>
          <w:sz w:val="24"/>
        </w:rPr>
        <w:t>2021</w:t>
      </w:r>
      <w:r>
        <w:rPr>
          <w:rFonts w:hint="eastAsia"/>
          <w:sz w:val="24"/>
        </w:rPr>
        <w:t>〕</w:t>
      </w:r>
      <w:r>
        <w:rPr>
          <w:rFonts w:hint="eastAsia"/>
          <w:sz w:val="24"/>
        </w:rPr>
        <w:t>381</w:t>
      </w:r>
      <w:r>
        <w:rPr>
          <w:rFonts w:hint="eastAsia"/>
          <w:sz w:val="24"/>
        </w:rPr>
        <w:t>号）；</w:t>
      </w:r>
    </w:p>
    <w:p w:rsidR="00EE4502" w:rsidRDefault="00FD45A3">
      <w:pPr>
        <w:numPr>
          <w:ilvl w:val="0"/>
          <w:numId w:val="32"/>
        </w:numPr>
        <w:tabs>
          <w:tab w:val="left" w:leader="dot" w:pos="8770"/>
        </w:tabs>
        <w:spacing w:line="360" w:lineRule="auto"/>
        <w:ind w:left="0" w:firstLineChars="200" w:firstLine="480"/>
        <w:rPr>
          <w:sz w:val="24"/>
        </w:rPr>
      </w:pPr>
      <w:r>
        <w:rPr>
          <w:rFonts w:hint="eastAsia"/>
          <w:sz w:val="24"/>
        </w:rPr>
        <w:t>《“十四五”循环经济发展规划》（发改环资﹝</w:t>
      </w:r>
      <w:r>
        <w:rPr>
          <w:rFonts w:hint="eastAsia"/>
          <w:sz w:val="24"/>
        </w:rPr>
        <w:t>2021</w:t>
      </w:r>
      <w:r>
        <w:rPr>
          <w:rFonts w:hint="eastAsia"/>
          <w:sz w:val="24"/>
        </w:rPr>
        <w:t>﹞</w:t>
      </w:r>
      <w:r>
        <w:rPr>
          <w:rFonts w:hint="eastAsia"/>
          <w:sz w:val="24"/>
        </w:rPr>
        <w:t>969</w:t>
      </w:r>
      <w:r>
        <w:rPr>
          <w:rFonts w:hint="eastAsia"/>
          <w:sz w:val="24"/>
        </w:rPr>
        <w:t>号）；</w:t>
      </w:r>
    </w:p>
    <w:p w:rsidR="00EE4502" w:rsidRDefault="00FD45A3">
      <w:pPr>
        <w:numPr>
          <w:ilvl w:val="0"/>
          <w:numId w:val="32"/>
        </w:numPr>
        <w:tabs>
          <w:tab w:val="left" w:leader="dot" w:pos="8770"/>
        </w:tabs>
        <w:spacing w:line="360" w:lineRule="auto"/>
        <w:ind w:left="0" w:firstLineChars="200" w:firstLine="480"/>
        <w:rPr>
          <w:sz w:val="24"/>
        </w:rPr>
      </w:pPr>
      <w:r>
        <w:rPr>
          <w:rFonts w:hint="eastAsia"/>
          <w:sz w:val="24"/>
        </w:rPr>
        <w:t>《空气质量持续改善行动计划》（国发〔</w:t>
      </w:r>
      <w:r>
        <w:rPr>
          <w:rFonts w:hint="eastAsia"/>
          <w:sz w:val="24"/>
        </w:rPr>
        <w:t>2023</w:t>
      </w:r>
      <w:r>
        <w:rPr>
          <w:rFonts w:hint="eastAsia"/>
          <w:sz w:val="24"/>
        </w:rPr>
        <w:t>〕</w:t>
      </w:r>
      <w:r>
        <w:rPr>
          <w:rFonts w:hint="eastAsia"/>
          <w:sz w:val="24"/>
        </w:rPr>
        <w:t>24</w:t>
      </w:r>
      <w:r>
        <w:rPr>
          <w:rFonts w:hint="eastAsia"/>
          <w:sz w:val="24"/>
        </w:rPr>
        <w:t>号）</w:t>
      </w:r>
      <w:r>
        <w:rPr>
          <w:rFonts w:hint="eastAsia"/>
          <w:sz w:val="24"/>
        </w:rPr>
        <w:t>；</w:t>
      </w:r>
    </w:p>
    <w:p w:rsidR="00EE4502" w:rsidRDefault="00FD45A3">
      <w:pPr>
        <w:numPr>
          <w:ilvl w:val="0"/>
          <w:numId w:val="32"/>
        </w:numPr>
        <w:tabs>
          <w:tab w:val="left" w:leader="dot" w:pos="8770"/>
        </w:tabs>
        <w:spacing w:line="360" w:lineRule="auto"/>
        <w:ind w:left="0" w:firstLineChars="200" w:firstLine="480"/>
        <w:rPr>
          <w:sz w:val="24"/>
        </w:rPr>
      </w:pPr>
      <w:r>
        <w:rPr>
          <w:rFonts w:hint="eastAsia"/>
          <w:sz w:val="24"/>
        </w:rPr>
        <w:t>《新疆维吾尔自治区环境保护条例》（</w:t>
      </w:r>
      <w:r>
        <w:rPr>
          <w:rFonts w:hint="eastAsia"/>
          <w:sz w:val="24"/>
        </w:rPr>
        <w:t>2018</w:t>
      </w:r>
      <w:r>
        <w:rPr>
          <w:rFonts w:hint="eastAsia"/>
          <w:sz w:val="24"/>
        </w:rPr>
        <w:t>年修订）；</w:t>
      </w:r>
    </w:p>
    <w:p w:rsidR="00EE4502" w:rsidRDefault="00FD45A3">
      <w:pPr>
        <w:numPr>
          <w:ilvl w:val="0"/>
          <w:numId w:val="32"/>
        </w:numPr>
        <w:tabs>
          <w:tab w:val="left" w:leader="dot" w:pos="8770"/>
        </w:tabs>
        <w:spacing w:line="360" w:lineRule="auto"/>
        <w:ind w:left="0" w:firstLineChars="200" w:firstLine="480"/>
        <w:rPr>
          <w:sz w:val="24"/>
        </w:rPr>
      </w:pPr>
      <w:r>
        <w:rPr>
          <w:rFonts w:hint="eastAsia"/>
          <w:sz w:val="24"/>
        </w:rPr>
        <w:t>《关于印发新疆维吾尔自治区级水土流失重点预防区和重点治理区复核划分成果的通知》（新水水保〔</w:t>
      </w:r>
      <w:r>
        <w:rPr>
          <w:rFonts w:hint="eastAsia"/>
          <w:sz w:val="24"/>
        </w:rPr>
        <w:t>2019</w:t>
      </w:r>
      <w:r>
        <w:rPr>
          <w:rFonts w:hint="eastAsia"/>
          <w:sz w:val="24"/>
        </w:rPr>
        <w:t>〕</w:t>
      </w:r>
      <w:r>
        <w:rPr>
          <w:rFonts w:hint="eastAsia"/>
          <w:sz w:val="24"/>
        </w:rPr>
        <w:t>4</w:t>
      </w:r>
      <w:r>
        <w:rPr>
          <w:rFonts w:hint="eastAsia"/>
          <w:sz w:val="24"/>
        </w:rPr>
        <w:t>号，</w:t>
      </w:r>
      <w:r>
        <w:rPr>
          <w:rFonts w:hint="eastAsia"/>
          <w:sz w:val="24"/>
        </w:rPr>
        <w:t>2019</w:t>
      </w:r>
      <w:r>
        <w:rPr>
          <w:rFonts w:hint="eastAsia"/>
          <w:sz w:val="24"/>
        </w:rPr>
        <w:t>年</w:t>
      </w:r>
      <w:r>
        <w:rPr>
          <w:rFonts w:hint="eastAsia"/>
          <w:sz w:val="24"/>
        </w:rPr>
        <w:t>1</w:t>
      </w:r>
      <w:r>
        <w:rPr>
          <w:rFonts w:hint="eastAsia"/>
          <w:sz w:val="24"/>
        </w:rPr>
        <w:t>月</w:t>
      </w:r>
      <w:r>
        <w:rPr>
          <w:rFonts w:hint="eastAsia"/>
          <w:sz w:val="24"/>
        </w:rPr>
        <w:t>21</w:t>
      </w:r>
      <w:r>
        <w:rPr>
          <w:rFonts w:hint="eastAsia"/>
          <w:sz w:val="24"/>
        </w:rPr>
        <w:t>日）；</w:t>
      </w:r>
    </w:p>
    <w:p w:rsidR="00EE4502" w:rsidRDefault="00FD45A3">
      <w:pPr>
        <w:numPr>
          <w:ilvl w:val="0"/>
          <w:numId w:val="32"/>
        </w:numPr>
        <w:tabs>
          <w:tab w:val="left" w:leader="dot" w:pos="8770"/>
        </w:tabs>
        <w:spacing w:line="360" w:lineRule="auto"/>
        <w:ind w:left="0" w:firstLineChars="200" w:firstLine="480"/>
        <w:rPr>
          <w:sz w:val="24"/>
        </w:rPr>
      </w:pPr>
      <w:r>
        <w:rPr>
          <w:rFonts w:hint="eastAsia"/>
          <w:sz w:val="24"/>
        </w:rPr>
        <w:t>《新疆维吾尔自治区野生植物保护条例（</w:t>
      </w:r>
      <w:r>
        <w:rPr>
          <w:rFonts w:hint="eastAsia"/>
          <w:sz w:val="24"/>
        </w:rPr>
        <w:t>2018</w:t>
      </w:r>
      <w:r>
        <w:rPr>
          <w:rFonts w:hint="eastAsia"/>
          <w:sz w:val="24"/>
        </w:rPr>
        <w:t>年修订）》（</w:t>
      </w:r>
      <w:r>
        <w:rPr>
          <w:rFonts w:hint="eastAsia"/>
          <w:sz w:val="24"/>
        </w:rPr>
        <w:t>13</w:t>
      </w:r>
      <w:r>
        <w:rPr>
          <w:rFonts w:hint="eastAsia"/>
          <w:sz w:val="24"/>
        </w:rPr>
        <w:t>届人大第</w:t>
      </w:r>
      <w:r>
        <w:rPr>
          <w:rFonts w:hint="eastAsia"/>
          <w:sz w:val="24"/>
        </w:rPr>
        <w:t>6</w:t>
      </w:r>
      <w:r>
        <w:rPr>
          <w:rFonts w:hint="eastAsia"/>
          <w:sz w:val="24"/>
        </w:rPr>
        <w:t>次会议，</w:t>
      </w:r>
      <w:r>
        <w:rPr>
          <w:rFonts w:hint="eastAsia"/>
          <w:sz w:val="24"/>
        </w:rPr>
        <w:t>2018</w:t>
      </w:r>
      <w:r>
        <w:rPr>
          <w:rFonts w:hint="eastAsia"/>
          <w:sz w:val="24"/>
        </w:rPr>
        <w:t>年</w:t>
      </w:r>
      <w:r>
        <w:rPr>
          <w:rFonts w:hint="eastAsia"/>
          <w:sz w:val="24"/>
        </w:rPr>
        <w:t>9</w:t>
      </w:r>
      <w:r>
        <w:rPr>
          <w:rFonts w:hint="eastAsia"/>
          <w:sz w:val="24"/>
        </w:rPr>
        <w:t>月</w:t>
      </w:r>
      <w:r>
        <w:rPr>
          <w:rFonts w:hint="eastAsia"/>
          <w:sz w:val="24"/>
        </w:rPr>
        <w:t>21</w:t>
      </w:r>
      <w:r>
        <w:rPr>
          <w:rFonts w:hint="eastAsia"/>
          <w:sz w:val="24"/>
        </w:rPr>
        <w:t>日）；</w:t>
      </w:r>
    </w:p>
    <w:p w:rsidR="00EE4502" w:rsidRDefault="00FD45A3">
      <w:pPr>
        <w:numPr>
          <w:ilvl w:val="0"/>
          <w:numId w:val="32"/>
        </w:numPr>
        <w:tabs>
          <w:tab w:val="left" w:leader="dot" w:pos="8770"/>
        </w:tabs>
        <w:spacing w:line="360" w:lineRule="auto"/>
        <w:ind w:left="0" w:firstLineChars="200" w:firstLine="480"/>
        <w:rPr>
          <w:sz w:val="24"/>
        </w:rPr>
      </w:pPr>
      <w:r>
        <w:rPr>
          <w:rFonts w:hint="eastAsia"/>
          <w:sz w:val="24"/>
        </w:rPr>
        <w:t>《新疆维吾尔自治区自然保护区管理条例（</w:t>
      </w:r>
      <w:r>
        <w:rPr>
          <w:rFonts w:hint="eastAsia"/>
          <w:sz w:val="24"/>
        </w:rPr>
        <w:t>2018</w:t>
      </w:r>
      <w:r>
        <w:rPr>
          <w:rFonts w:hint="eastAsia"/>
          <w:sz w:val="24"/>
        </w:rPr>
        <w:t>年修订）》（</w:t>
      </w:r>
      <w:r>
        <w:rPr>
          <w:rFonts w:hint="eastAsia"/>
          <w:sz w:val="24"/>
        </w:rPr>
        <w:t>13</w:t>
      </w:r>
      <w:r>
        <w:rPr>
          <w:rFonts w:hint="eastAsia"/>
          <w:sz w:val="24"/>
        </w:rPr>
        <w:t>届人大第</w:t>
      </w:r>
      <w:r>
        <w:rPr>
          <w:rFonts w:hint="eastAsia"/>
          <w:sz w:val="24"/>
        </w:rPr>
        <w:t>6</w:t>
      </w:r>
      <w:r>
        <w:rPr>
          <w:rFonts w:hint="eastAsia"/>
          <w:sz w:val="24"/>
        </w:rPr>
        <w:t>次会议，</w:t>
      </w:r>
      <w:r>
        <w:rPr>
          <w:rFonts w:hint="eastAsia"/>
          <w:sz w:val="24"/>
        </w:rPr>
        <w:t>2018</w:t>
      </w:r>
      <w:r>
        <w:rPr>
          <w:rFonts w:hint="eastAsia"/>
          <w:sz w:val="24"/>
        </w:rPr>
        <w:t>年</w:t>
      </w:r>
      <w:r>
        <w:rPr>
          <w:rFonts w:hint="eastAsia"/>
          <w:sz w:val="24"/>
        </w:rPr>
        <w:t>9</w:t>
      </w:r>
      <w:r>
        <w:rPr>
          <w:rFonts w:hint="eastAsia"/>
          <w:sz w:val="24"/>
        </w:rPr>
        <w:t>月</w:t>
      </w:r>
      <w:r>
        <w:rPr>
          <w:rFonts w:hint="eastAsia"/>
          <w:sz w:val="24"/>
        </w:rPr>
        <w:t>21</w:t>
      </w:r>
      <w:r>
        <w:rPr>
          <w:rFonts w:hint="eastAsia"/>
          <w:sz w:val="24"/>
        </w:rPr>
        <w:t>日）；</w:t>
      </w:r>
    </w:p>
    <w:p w:rsidR="00EE4502" w:rsidRDefault="00FD45A3">
      <w:pPr>
        <w:numPr>
          <w:ilvl w:val="0"/>
          <w:numId w:val="32"/>
        </w:numPr>
        <w:tabs>
          <w:tab w:val="left" w:leader="dot" w:pos="8770"/>
        </w:tabs>
        <w:spacing w:line="360" w:lineRule="auto"/>
        <w:ind w:left="0" w:firstLineChars="200" w:firstLine="480"/>
        <w:rPr>
          <w:sz w:val="24"/>
        </w:rPr>
      </w:pPr>
      <w:r>
        <w:rPr>
          <w:rFonts w:hint="eastAsia"/>
          <w:sz w:val="24"/>
        </w:rPr>
        <w:t>《新疆国家重点保护野生动物名录》（</w:t>
      </w:r>
      <w:r>
        <w:rPr>
          <w:rFonts w:hint="eastAsia"/>
          <w:sz w:val="24"/>
        </w:rPr>
        <w:t>2021</w:t>
      </w:r>
      <w:r>
        <w:rPr>
          <w:rFonts w:hint="eastAsia"/>
          <w:sz w:val="24"/>
        </w:rPr>
        <w:t>年</w:t>
      </w:r>
      <w:r>
        <w:rPr>
          <w:rFonts w:hint="eastAsia"/>
          <w:sz w:val="24"/>
        </w:rPr>
        <w:t>7</w:t>
      </w:r>
      <w:r>
        <w:rPr>
          <w:rFonts w:hint="eastAsia"/>
          <w:sz w:val="24"/>
        </w:rPr>
        <w:t>月</w:t>
      </w:r>
      <w:r>
        <w:rPr>
          <w:rFonts w:hint="eastAsia"/>
          <w:sz w:val="24"/>
        </w:rPr>
        <w:t>28</w:t>
      </w:r>
      <w:r>
        <w:rPr>
          <w:rFonts w:hint="eastAsia"/>
          <w:sz w:val="24"/>
        </w:rPr>
        <w:t>日）；</w:t>
      </w:r>
    </w:p>
    <w:p w:rsidR="00EE4502" w:rsidRDefault="00FD45A3">
      <w:pPr>
        <w:numPr>
          <w:ilvl w:val="0"/>
          <w:numId w:val="32"/>
        </w:numPr>
        <w:tabs>
          <w:tab w:val="left" w:leader="dot" w:pos="8770"/>
        </w:tabs>
        <w:spacing w:line="360" w:lineRule="auto"/>
        <w:ind w:left="0" w:firstLineChars="200" w:firstLine="480"/>
        <w:rPr>
          <w:sz w:val="24"/>
        </w:rPr>
      </w:pPr>
      <w:r>
        <w:rPr>
          <w:rFonts w:hint="eastAsia"/>
          <w:sz w:val="24"/>
        </w:rPr>
        <w:t>《新疆维吾尔自治区水环境功能区划》（新政函〔</w:t>
      </w:r>
      <w:r>
        <w:rPr>
          <w:rFonts w:hint="eastAsia"/>
          <w:sz w:val="24"/>
        </w:rPr>
        <w:t>2002</w:t>
      </w:r>
      <w:r>
        <w:rPr>
          <w:rFonts w:hint="eastAsia"/>
          <w:sz w:val="24"/>
        </w:rPr>
        <w:t>〕</w:t>
      </w:r>
      <w:r>
        <w:rPr>
          <w:rFonts w:hint="eastAsia"/>
          <w:sz w:val="24"/>
        </w:rPr>
        <w:t>194</w:t>
      </w:r>
      <w:r>
        <w:rPr>
          <w:rFonts w:hint="eastAsia"/>
          <w:sz w:val="24"/>
        </w:rPr>
        <w:t>号）；</w:t>
      </w:r>
    </w:p>
    <w:p w:rsidR="00EE4502" w:rsidRDefault="00FD45A3">
      <w:pPr>
        <w:numPr>
          <w:ilvl w:val="0"/>
          <w:numId w:val="32"/>
        </w:numPr>
        <w:tabs>
          <w:tab w:val="left" w:leader="dot" w:pos="8770"/>
        </w:tabs>
        <w:spacing w:line="360" w:lineRule="auto"/>
        <w:ind w:left="0" w:firstLineChars="200" w:firstLine="480"/>
        <w:rPr>
          <w:sz w:val="24"/>
        </w:rPr>
      </w:pPr>
      <w:r>
        <w:rPr>
          <w:rFonts w:hint="eastAsia"/>
          <w:sz w:val="24"/>
        </w:rPr>
        <w:t>《关于做好危险废物安全处置工作的通知》（新环防发〔</w:t>
      </w:r>
      <w:r>
        <w:rPr>
          <w:rFonts w:hint="eastAsia"/>
          <w:sz w:val="24"/>
        </w:rPr>
        <w:t>2011</w:t>
      </w:r>
      <w:r>
        <w:rPr>
          <w:rFonts w:hint="eastAsia"/>
          <w:sz w:val="24"/>
        </w:rPr>
        <w:t>〕</w:t>
      </w:r>
      <w:r>
        <w:rPr>
          <w:rFonts w:hint="eastAsia"/>
          <w:sz w:val="24"/>
        </w:rPr>
        <w:t>389</w:t>
      </w:r>
      <w:r>
        <w:rPr>
          <w:rFonts w:hint="eastAsia"/>
          <w:sz w:val="24"/>
        </w:rPr>
        <w:t>号）；</w:t>
      </w:r>
    </w:p>
    <w:p w:rsidR="00EE4502" w:rsidRDefault="00FD45A3">
      <w:pPr>
        <w:numPr>
          <w:ilvl w:val="0"/>
          <w:numId w:val="32"/>
        </w:numPr>
        <w:tabs>
          <w:tab w:val="left" w:leader="dot" w:pos="8770"/>
        </w:tabs>
        <w:spacing w:line="360" w:lineRule="auto"/>
        <w:ind w:left="0" w:firstLineChars="200" w:firstLine="480"/>
        <w:rPr>
          <w:sz w:val="24"/>
        </w:rPr>
      </w:pPr>
      <w:r>
        <w:rPr>
          <w:rFonts w:hint="eastAsia"/>
          <w:sz w:val="24"/>
        </w:rPr>
        <w:t>《新疆维吾尔自治区重点行业环境准入条件（</w:t>
      </w:r>
      <w:r>
        <w:rPr>
          <w:rFonts w:hint="eastAsia"/>
          <w:sz w:val="24"/>
        </w:rPr>
        <w:t>2024</w:t>
      </w:r>
      <w:r>
        <w:rPr>
          <w:rFonts w:hint="eastAsia"/>
          <w:sz w:val="24"/>
        </w:rPr>
        <w:t>年）》（</w:t>
      </w:r>
      <w:r>
        <w:rPr>
          <w:rFonts w:hint="eastAsia"/>
          <w:sz w:val="24"/>
        </w:rPr>
        <w:t>2024</w:t>
      </w:r>
      <w:r>
        <w:rPr>
          <w:rFonts w:hint="eastAsia"/>
          <w:sz w:val="24"/>
        </w:rPr>
        <w:t>年</w:t>
      </w:r>
      <w:r>
        <w:rPr>
          <w:rFonts w:hint="eastAsia"/>
          <w:sz w:val="24"/>
        </w:rPr>
        <w:t>6</w:t>
      </w:r>
      <w:r>
        <w:rPr>
          <w:rFonts w:hint="eastAsia"/>
          <w:sz w:val="24"/>
        </w:rPr>
        <w:t>月</w:t>
      </w:r>
      <w:r>
        <w:rPr>
          <w:rFonts w:hint="eastAsia"/>
          <w:sz w:val="24"/>
        </w:rPr>
        <w:t>9</w:t>
      </w:r>
      <w:r>
        <w:rPr>
          <w:rFonts w:hint="eastAsia"/>
          <w:sz w:val="24"/>
        </w:rPr>
        <w:t>日）；</w:t>
      </w:r>
    </w:p>
    <w:p w:rsidR="00EE4502" w:rsidRDefault="00FD45A3">
      <w:pPr>
        <w:numPr>
          <w:ilvl w:val="0"/>
          <w:numId w:val="32"/>
        </w:numPr>
        <w:tabs>
          <w:tab w:val="left" w:leader="dot" w:pos="8770"/>
        </w:tabs>
        <w:spacing w:line="360" w:lineRule="auto"/>
        <w:ind w:left="0" w:firstLineChars="200" w:firstLine="480"/>
        <w:rPr>
          <w:sz w:val="24"/>
        </w:rPr>
      </w:pPr>
      <w:r>
        <w:rPr>
          <w:rFonts w:hint="eastAsia"/>
          <w:sz w:val="24"/>
        </w:rPr>
        <w:t>《油气田钻井固体废物综合利用污染控制要求》（</w:t>
      </w:r>
      <w:r>
        <w:rPr>
          <w:rFonts w:hint="eastAsia"/>
          <w:sz w:val="24"/>
        </w:rPr>
        <w:t>DB65/T 3997-2017</w:t>
      </w:r>
      <w:r>
        <w:rPr>
          <w:rFonts w:hint="eastAsia"/>
          <w:sz w:val="24"/>
        </w:rPr>
        <w:t>）；</w:t>
      </w:r>
    </w:p>
    <w:p w:rsidR="00EE4502" w:rsidRDefault="00FD45A3">
      <w:pPr>
        <w:numPr>
          <w:ilvl w:val="0"/>
          <w:numId w:val="32"/>
        </w:numPr>
        <w:tabs>
          <w:tab w:val="left" w:leader="dot" w:pos="8770"/>
        </w:tabs>
        <w:spacing w:line="360" w:lineRule="auto"/>
        <w:ind w:left="0" w:firstLineChars="200" w:firstLine="480"/>
        <w:rPr>
          <w:sz w:val="24"/>
        </w:rPr>
      </w:pPr>
      <w:r>
        <w:rPr>
          <w:rFonts w:hint="eastAsia"/>
          <w:sz w:val="24"/>
        </w:rPr>
        <w:t>《油气田含油污泥及钻井固体废物处理处置技术规范》（</w:t>
      </w:r>
      <w:r>
        <w:rPr>
          <w:rFonts w:hint="eastAsia"/>
          <w:sz w:val="24"/>
        </w:rPr>
        <w:t>DB65/T 3999-2017</w:t>
      </w:r>
      <w:r>
        <w:rPr>
          <w:rFonts w:hint="eastAsia"/>
          <w:sz w:val="24"/>
        </w:rPr>
        <w:t>）；</w:t>
      </w:r>
    </w:p>
    <w:p w:rsidR="00EE4502" w:rsidRDefault="00FD45A3">
      <w:pPr>
        <w:numPr>
          <w:ilvl w:val="0"/>
          <w:numId w:val="32"/>
        </w:numPr>
        <w:tabs>
          <w:tab w:val="left" w:leader="dot" w:pos="8770"/>
        </w:tabs>
        <w:spacing w:line="360" w:lineRule="auto"/>
        <w:ind w:left="0" w:firstLineChars="200" w:firstLine="480"/>
        <w:rPr>
          <w:sz w:val="24"/>
        </w:rPr>
      </w:pPr>
      <w:r>
        <w:rPr>
          <w:rFonts w:hint="eastAsia"/>
          <w:sz w:val="24"/>
        </w:rPr>
        <w:t>《关于进一步加强和规范油气田开发项目环境保护管理工作</w:t>
      </w:r>
      <w:r>
        <w:rPr>
          <w:rFonts w:hint="eastAsia"/>
          <w:sz w:val="24"/>
        </w:rPr>
        <w:t>的通知》（新环发〔</w:t>
      </w:r>
      <w:r>
        <w:rPr>
          <w:rFonts w:hint="eastAsia"/>
          <w:sz w:val="24"/>
        </w:rPr>
        <w:t>2018</w:t>
      </w:r>
      <w:r>
        <w:rPr>
          <w:rFonts w:hint="eastAsia"/>
          <w:sz w:val="24"/>
        </w:rPr>
        <w:t>〕</w:t>
      </w:r>
      <w:r>
        <w:rPr>
          <w:rFonts w:hint="eastAsia"/>
          <w:sz w:val="24"/>
        </w:rPr>
        <w:t>133</w:t>
      </w:r>
      <w:r>
        <w:rPr>
          <w:rFonts w:hint="eastAsia"/>
          <w:sz w:val="24"/>
        </w:rPr>
        <w:t>号）；</w:t>
      </w:r>
    </w:p>
    <w:p w:rsidR="00EE4502" w:rsidRDefault="00FD45A3">
      <w:pPr>
        <w:numPr>
          <w:ilvl w:val="0"/>
          <w:numId w:val="32"/>
        </w:numPr>
        <w:tabs>
          <w:tab w:val="left" w:leader="dot" w:pos="8770"/>
        </w:tabs>
        <w:spacing w:line="360" w:lineRule="auto"/>
        <w:ind w:left="0" w:firstLineChars="200" w:firstLine="480"/>
        <w:rPr>
          <w:sz w:val="24"/>
        </w:rPr>
      </w:pPr>
      <w:r>
        <w:rPr>
          <w:rFonts w:hint="eastAsia"/>
          <w:sz w:val="24"/>
        </w:rPr>
        <w:t>《关于含油污泥处置有关事宜的通知》（新环发〔</w:t>
      </w:r>
      <w:r>
        <w:rPr>
          <w:rFonts w:hint="eastAsia"/>
          <w:sz w:val="24"/>
        </w:rPr>
        <w:t>2018</w:t>
      </w:r>
      <w:r>
        <w:rPr>
          <w:rFonts w:hint="eastAsia"/>
          <w:sz w:val="24"/>
        </w:rPr>
        <w:t>〕</w:t>
      </w:r>
      <w:r>
        <w:rPr>
          <w:rFonts w:hint="eastAsia"/>
          <w:sz w:val="24"/>
        </w:rPr>
        <w:t>20</w:t>
      </w:r>
      <w:r>
        <w:rPr>
          <w:rFonts w:hint="eastAsia"/>
          <w:sz w:val="24"/>
        </w:rPr>
        <w:t>号）；</w:t>
      </w:r>
    </w:p>
    <w:p w:rsidR="00EE4502" w:rsidRDefault="00FD45A3">
      <w:pPr>
        <w:numPr>
          <w:ilvl w:val="0"/>
          <w:numId w:val="32"/>
        </w:numPr>
        <w:tabs>
          <w:tab w:val="left" w:leader="dot" w:pos="8770"/>
        </w:tabs>
        <w:spacing w:line="360" w:lineRule="auto"/>
        <w:ind w:left="0" w:firstLineChars="200" w:firstLine="480"/>
        <w:rPr>
          <w:sz w:val="24"/>
        </w:rPr>
      </w:pPr>
      <w:r>
        <w:rPr>
          <w:rFonts w:hint="eastAsia"/>
          <w:sz w:val="24"/>
        </w:rPr>
        <w:t>《关于加强建设项目环境影响后评价管理的通知》（新环环评发〔</w:t>
      </w:r>
      <w:r>
        <w:rPr>
          <w:rFonts w:hint="eastAsia"/>
          <w:sz w:val="24"/>
        </w:rPr>
        <w:t>2020</w:t>
      </w:r>
      <w:r>
        <w:rPr>
          <w:rFonts w:hint="eastAsia"/>
          <w:sz w:val="24"/>
        </w:rPr>
        <w:t>〕</w:t>
      </w:r>
      <w:r>
        <w:rPr>
          <w:rFonts w:hint="eastAsia"/>
          <w:sz w:val="24"/>
        </w:rPr>
        <w:t>162</w:t>
      </w:r>
      <w:r>
        <w:rPr>
          <w:rFonts w:hint="eastAsia"/>
          <w:sz w:val="24"/>
        </w:rPr>
        <w:t>号）；</w:t>
      </w:r>
    </w:p>
    <w:p w:rsidR="00EE4502" w:rsidRDefault="00FD45A3">
      <w:pPr>
        <w:numPr>
          <w:ilvl w:val="0"/>
          <w:numId w:val="32"/>
        </w:numPr>
        <w:tabs>
          <w:tab w:val="left" w:leader="dot" w:pos="8770"/>
        </w:tabs>
        <w:spacing w:line="360" w:lineRule="auto"/>
        <w:ind w:left="0" w:firstLineChars="200" w:firstLine="480"/>
        <w:rPr>
          <w:sz w:val="24"/>
        </w:rPr>
      </w:pPr>
      <w:r>
        <w:rPr>
          <w:rFonts w:hint="eastAsia"/>
          <w:sz w:val="24"/>
        </w:rPr>
        <w:t>《转发〈关于进一步加强石油天然气行业环境影响评价的通知〉的通知》（新环环评发〔</w:t>
      </w:r>
      <w:r>
        <w:rPr>
          <w:rFonts w:hint="eastAsia"/>
          <w:sz w:val="24"/>
        </w:rPr>
        <w:t>2020</w:t>
      </w:r>
      <w:r>
        <w:rPr>
          <w:rFonts w:hint="eastAsia"/>
          <w:sz w:val="24"/>
        </w:rPr>
        <w:t>〕</w:t>
      </w:r>
      <w:r>
        <w:rPr>
          <w:rFonts w:hint="eastAsia"/>
          <w:sz w:val="24"/>
        </w:rPr>
        <w:t>142</w:t>
      </w:r>
      <w:r>
        <w:rPr>
          <w:rFonts w:hint="eastAsia"/>
          <w:sz w:val="24"/>
        </w:rPr>
        <w:t>号）；</w:t>
      </w:r>
    </w:p>
    <w:p w:rsidR="00EE4502" w:rsidRDefault="00FD45A3">
      <w:pPr>
        <w:numPr>
          <w:ilvl w:val="0"/>
          <w:numId w:val="32"/>
        </w:numPr>
        <w:tabs>
          <w:tab w:val="left" w:leader="dot" w:pos="8770"/>
        </w:tabs>
        <w:spacing w:line="360" w:lineRule="auto"/>
        <w:ind w:left="0" w:firstLineChars="200" w:firstLine="480"/>
        <w:rPr>
          <w:sz w:val="24"/>
        </w:rPr>
      </w:pPr>
      <w:r>
        <w:rPr>
          <w:rFonts w:hint="eastAsia"/>
          <w:sz w:val="24"/>
        </w:rPr>
        <w:t>《关于加强沙区建设项目环境影响评价工作的通知》（新环环评发〔</w:t>
      </w:r>
      <w:r>
        <w:rPr>
          <w:rFonts w:hint="eastAsia"/>
          <w:sz w:val="24"/>
        </w:rPr>
        <w:t>2020</w:t>
      </w:r>
      <w:r>
        <w:rPr>
          <w:rFonts w:hint="eastAsia"/>
          <w:sz w:val="24"/>
        </w:rPr>
        <w:t>〕</w:t>
      </w:r>
      <w:r>
        <w:rPr>
          <w:rFonts w:hint="eastAsia"/>
          <w:sz w:val="24"/>
        </w:rPr>
        <w:t>138</w:t>
      </w:r>
      <w:r>
        <w:rPr>
          <w:rFonts w:hint="eastAsia"/>
          <w:sz w:val="24"/>
        </w:rPr>
        <w:t>号）；</w:t>
      </w:r>
    </w:p>
    <w:p w:rsidR="00EE4502" w:rsidRDefault="00FD45A3">
      <w:pPr>
        <w:numPr>
          <w:ilvl w:val="0"/>
          <w:numId w:val="32"/>
        </w:numPr>
        <w:tabs>
          <w:tab w:val="left" w:leader="dot" w:pos="8770"/>
        </w:tabs>
        <w:spacing w:line="360" w:lineRule="auto"/>
        <w:ind w:left="0" w:firstLineChars="200" w:firstLine="480"/>
        <w:rPr>
          <w:sz w:val="24"/>
        </w:rPr>
      </w:pPr>
      <w:r>
        <w:rPr>
          <w:rFonts w:hint="eastAsia"/>
          <w:sz w:val="24"/>
        </w:rPr>
        <w:lastRenderedPageBreak/>
        <w:t>《新疆维吾尔自治区大气污染防治条例》（</w:t>
      </w:r>
      <w:r>
        <w:rPr>
          <w:rFonts w:hint="eastAsia"/>
          <w:sz w:val="24"/>
        </w:rPr>
        <w:t>2018</w:t>
      </w:r>
      <w:r>
        <w:rPr>
          <w:rFonts w:hint="eastAsia"/>
          <w:sz w:val="24"/>
        </w:rPr>
        <w:t>年</w:t>
      </w:r>
      <w:r>
        <w:rPr>
          <w:rFonts w:hint="eastAsia"/>
          <w:sz w:val="24"/>
        </w:rPr>
        <w:t>11</w:t>
      </w:r>
      <w:r>
        <w:rPr>
          <w:rFonts w:hint="eastAsia"/>
          <w:sz w:val="24"/>
        </w:rPr>
        <w:t>月</w:t>
      </w:r>
      <w:r>
        <w:rPr>
          <w:rFonts w:hint="eastAsia"/>
          <w:sz w:val="24"/>
        </w:rPr>
        <w:t>30</w:t>
      </w:r>
      <w:r>
        <w:rPr>
          <w:rFonts w:hint="eastAsia"/>
          <w:sz w:val="24"/>
        </w:rPr>
        <w:t>日）；</w:t>
      </w:r>
    </w:p>
    <w:p w:rsidR="00EE4502" w:rsidRDefault="00FD45A3">
      <w:pPr>
        <w:numPr>
          <w:ilvl w:val="0"/>
          <w:numId w:val="32"/>
        </w:numPr>
        <w:tabs>
          <w:tab w:val="left" w:leader="dot" w:pos="8770"/>
        </w:tabs>
        <w:spacing w:line="360" w:lineRule="auto"/>
        <w:ind w:left="0" w:firstLineChars="200" w:firstLine="480"/>
        <w:rPr>
          <w:sz w:val="24"/>
        </w:rPr>
      </w:pPr>
      <w:r>
        <w:rPr>
          <w:rFonts w:hint="eastAsia"/>
          <w:sz w:val="24"/>
        </w:rPr>
        <w:t>《新疆生产建设兵团关于进一步加强大气污染防治工作的实施意见》（新兵发〔</w:t>
      </w:r>
      <w:r>
        <w:rPr>
          <w:rFonts w:hint="eastAsia"/>
          <w:sz w:val="24"/>
        </w:rPr>
        <w:t>2017</w:t>
      </w:r>
      <w:r>
        <w:rPr>
          <w:rFonts w:hint="eastAsia"/>
          <w:sz w:val="24"/>
        </w:rPr>
        <w:t>〕</w:t>
      </w:r>
      <w:r>
        <w:rPr>
          <w:rFonts w:hint="eastAsia"/>
          <w:sz w:val="24"/>
        </w:rPr>
        <w:t>8</w:t>
      </w:r>
      <w:r>
        <w:rPr>
          <w:rFonts w:hint="eastAsia"/>
          <w:sz w:val="24"/>
        </w:rPr>
        <w:t>号，</w:t>
      </w:r>
      <w:r>
        <w:rPr>
          <w:rFonts w:hint="eastAsia"/>
          <w:sz w:val="24"/>
        </w:rPr>
        <w:t>2017</w:t>
      </w:r>
      <w:r>
        <w:rPr>
          <w:rFonts w:hint="eastAsia"/>
          <w:sz w:val="24"/>
        </w:rPr>
        <w:t>年</w:t>
      </w:r>
      <w:r>
        <w:rPr>
          <w:rFonts w:hint="eastAsia"/>
          <w:sz w:val="24"/>
        </w:rPr>
        <w:t>2</w:t>
      </w:r>
      <w:r>
        <w:rPr>
          <w:rFonts w:hint="eastAsia"/>
          <w:sz w:val="24"/>
        </w:rPr>
        <w:t>月</w:t>
      </w:r>
      <w:r>
        <w:rPr>
          <w:rFonts w:hint="eastAsia"/>
          <w:sz w:val="24"/>
        </w:rPr>
        <w:t>27</w:t>
      </w:r>
      <w:r>
        <w:rPr>
          <w:rFonts w:hint="eastAsia"/>
          <w:sz w:val="24"/>
        </w:rPr>
        <w:t>日）；</w:t>
      </w:r>
    </w:p>
    <w:p w:rsidR="00EE4502" w:rsidRDefault="00FD45A3">
      <w:pPr>
        <w:numPr>
          <w:ilvl w:val="0"/>
          <w:numId w:val="32"/>
        </w:numPr>
        <w:tabs>
          <w:tab w:val="left" w:leader="dot" w:pos="8770"/>
        </w:tabs>
        <w:spacing w:line="360" w:lineRule="auto"/>
        <w:ind w:left="0" w:firstLineChars="200" w:firstLine="480"/>
        <w:rPr>
          <w:sz w:val="24"/>
        </w:rPr>
      </w:pPr>
      <w:r>
        <w:rPr>
          <w:rFonts w:hint="eastAsia"/>
          <w:sz w:val="24"/>
        </w:rPr>
        <w:t>《新疆生产建设兵团水污染防治工作方案》（</w:t>
      </w:r>
      <w:r>
        <w:rPr>
          <w:rFonts w:hint="eastAsia"/>
          <w:sz w:val="24"/>
        </w:rPr>
        <w:t>2016</w:t>
      </w:r>
      <w:r>
        <w:rPr>
          <w:rFonts w:hint="eastAsia"/>
          <w:sz w:val="24"/>
        </w:rPr>
        <w:t>年</w:t>
      </w:r>
      <w:r>
        <w:rPr>
          <w:rFonts w:hint="eastAsia"/>
          <w:sz w:val="24"/>
        </w:rPr>
        <w:t>8</w:t>
      </w:r>
      <w:r>
        <w:rPr>
          <w:rFonts w:hint="eastAsia"/>
          <w:sz w:val="24"/>
        </w:rPr>
        <w:t>月</w:t>
      </w:r>
      <w:r>
        <w:rPr>
          <w:rFonts w:hint="eastAsia"/>
          <w:sz w:val="24"/>
        </w:rPr>
        <w:t>3</w:t>
      </w:r>
      <w:r>
        <w:rPr>
          <w:rFonts w:hint="eastAsia"/>
          <w:sz w:val="24"/>
        </w:rPr>
        <w:t>日）；</w:t>
      </w:r>
    </w:p>
    <w:p w:rsidR="00EE4502" w:rsidRDefault="00FD45A3">
      <w:pPr>
        <w:numPr>
          <w:ilvl w:val="0"/>
          <w:numId w:val="32"/>
        </w:numPr>
        <w:tabs>
          <w:tab w:val="left" w:leader="dot" w:pos="8770"/>
        </w:tabs>
        <w:spacing w:line="360" w:lineRule="auto"/>
        <w:ind w:left="0" w:firstLineChars="200" w:firstLine="480"/>
        <w:rPr>
          <w:sz w:val="24"/>
        </w:rPr>
      </w:pPr>
      <w:r>
        <w:rPr>
          <w:rFonts w:hint="eastAsia"/>
          <w:sz w:val="24"/>
        </w:rPr>
        <w:t>《新疆生产建设兵团地下水污染防治实施方案》；</w:t>
      </w:r>
    </w:p>
    <w:p w:rsidR="00EE4502" w:rsidRDefault="00FD45A3">
      <w:pPr>
        <w:numPr>
          <w:ilvl w:val="0"/>
          <w:numId w:val="32"/>
        </w:numPr>
        <w:tabs>
          <w:tab w:val="left" w:leader="dot" w:pos="8770"/>
        </w:tabs>
        <w:spacing w:line="360" w:lineRule="auto"/>
        <w:ind w:left="0" w:firstLineChars="200" w:firstLine="480"/>
        <w:rPr>
          <w:sz w:val="24"/>
        </w:rPr>
      </w:pPr>
      <w:r>
        <w:rPr>
          <w:rFonts w:hint="eastAsia"/>
          <w:sz w:val="24"/>
        </w:rPr>
        <w:t>《新疆生产建设兵团土壤污染防治工作方案》（新兵发〔</w:t>
      </w:r>
      <w:r>
        <w:rPr>
          <w:rFonts w:hint="eastAsia"/>
          <w:sz w:val="24"/>
        </w:rPr>
        <w:t>2017</w:t>
      </w:r>
      <w:r>
        <w:rPr>
          <w:rFonts w:hint="eastAsia"/>
          <w:sz w:val="24"/>
        </w:rPr>
        <w:t>〕</w:t>
      </w:r>
      <w:r>
        <w:rPr>
          <w:rFonts w:hint="eastAsia"/>
          <w:sz w:val="24"/>
        </w:rPr>
        <w:t>9</w:t>
      </w:r>
      <w:r>
        <w:rPr>
          <w:rFonts w:hint="eastAsia"/>
          <w:sz w:val="24"/>
        </w:rPr>
        <w:t>号，</w:t>
      </w:r>
      <w:r>
        <w:rPr>
          <w:rFonts w:hint="eastAsia"/>
          <w:sz w:val="24"/>
        </w:rPr>
        <w:t>2017</w:t>
      </w:r>
      <w:r>
        <w:rPr>
          <w:rFonts w:hint="eastAsia"/>
          <w:sz w:val="24"/>
        </w:rPr>
        <w:t>年</w:t>
      </w:r>
      <w:r>
        <w:rPr>
          <w:rFonts w:hint="eastAsia"/>
          <w:sz w:val="24"/>
        </w:rPr>
        <w:t>3</w:t>
      </w:r>
      <w:r>
        <w:rPr>
          <w:rFonts w:hint="eastAsia"/>
          <w:sz w:val="24"/>
        </w:rPr>
        <w:t>月</w:t>
      </w:r>
      <w:r>
        <w:rPr>
          <w:rFonts w:hint="eastAsia"/>
          <w:sz w:val="24"/>
        </w:rPr>
        <w:t>1</w:t>
      </w:r>
      <w:r>
        <w:rPr>
          <w:rFonts w:hint="eastAsia"/>
          <w:sz w:val="24"/>
        </w:rPr>
        <w:t>日）；</w:t>
      </w:r>
    </w:p>
    <w:p w:rsidR="00EE4502" w:rsidRDefault="00FD45A3">
      <w:pPr>
        <w:numPr>
          <w:ilvl w:val="0"/>
          <w:numId w:val="32"/>
        </w:numPr>
        <w:tabs>
          <w:tab w:val="left" w:leader="dot" w:pos="8770"/>
        </w:tabs>
        <w:spacing w:line="360" w:lineRule="auto"/>
        <w:ind w:left="0" w:firstLineChars="200" w:firstLine="480"/>
        <w:rPr>
          <w:sz w:val="24"/>
        </w:rPr>
      </w:pPr>
      <w:r>
        <w:rPr>
          <w:rFonts w:hint="eastAsia"/>
          <w:sz w:val="24"/>
        </w:rPr>
        <w:t>《新疆生态功能区划》</w:t>
      </w:r>
      <w:r>
        <w:rPr>
          <w:rFonts w:hint="eastAsia"/>
          <w:sz w:val="24"/>
        </w:rPr>
        <w:t>（</w:t>
      </w:r>
      <w:r>
        <w:rPr>
          <w:rFonts w:hint="eastAsia"/>
          <w:sz w:val="24"/>
        </w:rPr>
        <w:t>2005</w:t>
      </w:r>
      <w:r>
        <w:rPr>
          <w:rFonts w:hint="eastAsia"/>
          <w:sz w:val="24"/>
        </w:rPr>
        <w:t>年</w:t>
      </w:r>
      <w:r>
        <w:rPr>
          <w:rFonts w:hint="eastAsia"/>
          <w:sz w:val="24"/>
        </w:rPr>
        <w:t>）</w:t>
      </w:r>
    </w:p>
    <w:p w:rsidR="00EE4502" w:rsidRDefault="00FD45A3">
      <w:pPr>
        <w:numPr>
          <w:ilvl w:val="0"/>
          <w:numId w:val="32"/>
        </w:numPr>
        <w:tabs>
          <w:tab w:val="left" w:leader="dot" w:pos="8770"/>
        </w:tabs>
        <w:spacing w:line="360" w:lineRule="auto"/>
        <w:ind w:left="0" w:firstLineChars="200" w:firstLine="480"/>
        <w:rPr>
          <w:sz w:val="24"/>
        </w:rPr>
      </w:pPr>
      <w:r>
        <w:rPr>
          <w:rFonts w:hint="eastAsia"/>
          <w:sz w:val="24"/>
        </w:rPr>
        <w:t>《新疆生产建设兵团生态功能区划》（</w:t>
      </w:r>
      <w:r>
        <w:rPr>
          <w:rFonts w:hint="eastAsia"/>
          <w:sz w:val="24"/>
        </w:rPr>
        <w:t>2003</w:t>
      </w:r>
      <w:r>
        <w:rPr>
          <w:rFonts w:hint="eastAsia"/>
          <w:sz w:val="24"/>
        </w:rPr>
        <w:t>年</w:t>
      </w:r>
      <w:r>
        <w:rPr>
          <w:rFonts w:hint="eastAsia"/>
          <w:sz w:val="24"/>
        </w:rPr>
        <w:t>12</w:t>
      </w:r>
      <w:r>
        <w:rPr>
          <w:rFonts w:hint="eastAsia"/>
          <w:sz w:val="24"/>
        </w:rPr>
        <w:t>月）；</w:t>
      </w:r>
    </w:p>
    <w:p w:rsidR="00EE4502" w:rsidRDefault="00FD45A3">
      <w:pPr>
        <w:numPr>
          <w:ilvl w:val="0"/>
          <w:numId w:val="32"/>
        </w:numPr>
        <w:tabs>
          <w:tab w:val="left" w:leader="dot" w:pos="8770"/>
        </w:tabs>
        <w:spacing w:line="360" w:lineRule="auto"/>
        <w:ind w:left="0" w:firstLineChars="200" w:firstLine="480"/>
        <w:rPr>
          <w:sz w:val="24"/>
        </w:rPr>
      </w:pPr>
      <w:r>
        <w:rPr>
          <w:rFonts w:hint="eastAsia"/>
          <w:sz w:val="24"/>
        </w:rPr>
        <w:t>《新疆生产建设兵团主体功能区规划》（</w:t>
      </w:r>
      <w:r>
        <w:rPr>
          <w:rFonts w:hint="eastAsia"/>
          <w:sz w:val="24"/>
        </w:rPr>
        <w:t>2013</w:t>
      </w:r>
      <w:r>
        <w:rPr>
          <w:rFonts w:hint="eastAsia"/>
          <w:sz w:val="24"/>
        </w:rPr>
        <w:t>年</w:t>
      </w:r>
      <w:r>
        <w:rPr>
          <w:rFonts w:hint="eastAsia"/>
          <w:sz w:val="24"/>
        </w:rPr>
        <w:t>2</w:t>
      </w:r>
      <w:r>
        <w:rPr>
          <w:rFonts w:hint="eastAsia"/>
          <w:sz w:val="24"/>
        </w:rPr>
        <w:t>月）；</w:t>
      </w:r>
    </w:p>
    <w:p w:rsidR="00EE4502" w:rsidRDefault="00FD45A3">
      <w:pPr>
        <w:numPr>
          <w:ilvl w:val="0"/>
          <w:numId w:val="32"/>
        </w:numPr>
        <w:tabs>
          <w:tab w:val="left" w:leader="dot" w:pos="8770"/>
        </w:tabs>
        <w:spacing w:line="360" w:lineRule="auto"/>
        <w:ind w:left="0" w:firstLineChars="200" w:firstLine="480"/>
        <w:rPr>
          <w:sz w:val="24"/>
        </w:rPr>
      </w:pPr>
      <w:r>
        <w:rPr>
          <w:rFonts w:hint="eastAsia"/>
          <w:sz w:val="24"/>
        </w:rPr>
        <w:t>《新疆生产建设兵团“十四五”生态环境保护规划》；</w:t>
      </w:r>
    </w:p>
    <w:p w:rsidR="00EE4502" w:rsidRDefault="00FD45A3">
      <w:pPr>
        <w:numPr>
          <w:ilvl w:val="0"/>
          <w:numId w:val="32"/>
        </w:numPr>
        <w:tabs>
          <w:tab w:val="left" w:leader="dot" w:pos="8770"/>
        </w:tabs>
        <w:spacing w:line="360" w:lineRule="auto"/>
        <w:ind w:left="0" w:firstLineChars="200" w:firstLine="480"/>
        <w:rPr>
          <w:sz w:val="24"/>
        </w:rPr>
      </w:pPr>
      <w:r>
        <w:rPr>
          <w:rFonts w:hint="eastAsia"/>
          <w:sz w:val="24"/>
        </w:rPr>
        <w:t>《</w:t>
      </w:r>
      <w:r>
        <w:rPr>
          <w:rFonts w:hint="eastAsia"/>
          <w:sz w:val="24"/>
        </w:rPr>
        <w:t>新疆维吾尔自治区重点保护野生植物名录》（</w:t>
      </w:r>
      <w:r>
        <w:rPr>
          <w:rFonts w:hint="eastAsia"/>
          <w:sz w:val="24"/>
        </w:rPr>
        <w:t>2024</w:t>
      </w:r>
      <w:r>
        <w:rPr>
          <w:rFonts w:hint="eastAsia"/>
          <w:sz w:val="24"/>
        </w:rPr>
        <w:t>年</w:t>
      </w:r>
      <w:r>
        <w:rPr>
          <w:rFonts w:hint="eastAsia"/>
          <w:sz w:val="24"/>
        </w:rPr>
        <w:t>1</w:t>
      </w:r>
      <w:r>
        <w:rPr>
          <w:rFonts w:hint="eastAsia"/>
          <w:sz w:val="24"/>
        </w:rPr>
        <w:t>月</w:t>
      </w:r>
      <w:r>
        <w:rPr>
          <w:rFonts w:hint="eastAsia"/>
          <w:sz w:val="24"/>
        </w:rPr>
        <w:t>18</w:t>
      </w:r>
      <w:r>
        <w:rPr>
          <w:rFonts w:hint="eastAsia"/>
          <w:sz w:val="24"/>
        </w:rPr>
        <w:t>日）</w:t>
      </w:r>
      <w:r>
        <w:rPr>
          <w:rFonts w:hint="eastAsia"/>
          <w:sz w:val="24"/>
        </w:rPr>
        <w:t>；</w:t>
      </w:r>
    </w:p>
    <w:p w:rsidR="00EE4502" w:rsidRDefault="00FD45A3">
      <w:pPr>
        <w:numPr>
          <w:ilvl w:val="0"/>
          <w:numId w:val="32"/>
        </w:numPr>
        <w:tabs>
          <w:tab w:val="left" w:leader="dot" w:pos="8770"/>
        </w:tabs>
        <w:spacing w:line="360" w:lineRule="auto"/>
        <w:ind w:left="0" w:firstLineChars="200" w:firstLine="480"/>
        <w:rPr>
          <w:sz w:val="24"/>
        </w:rPr>
      </w:pPr>
      <w:r>
        <w:rPr>
          <w:rFonts w:hint="eastAsia"/>
          <w:sz w:val="24"/>
        </w:rPr>
        <w:t>《克拉玛依市国土空间总体规划</w:t>
      </w:r>
      <w:r>
        <w:rPr>
          <w:rFonts w:hint="eastAsia"/>
          <w:sz w:val="24"/>
        </w:rPr>
        <w:t>（</w:t>
      </w:r>
      <w:r>
        <w:rPr>
          <w:rFonts w:hint="eastAsia"/>
          <w:sz w:val="24"/>
        </w:rPr>
        <w:t>2021-2035</w:t>
      </w:r>
      <w:r>
        <w:rPr>
          <w:rFonts w:hint="eastAsia"/>
          <w:sz w:val="24"/>
        </w:rPr>
        <w:t>年</w:t>
      </w:r>
      <w:r>
        <w:rPr>
          <w:rFonts w:hint="eastAsia"/>
          <w:sz w:val="24"/>
        </w:rPr>
        <w:t>）</w:t>
      </w:r>
      <w:r>
        <w:rPr>
          <w:rFonts w:hint="eastAsia"/>
          <w:sz w:val="24"/>
        </w:rPr>
        <w:t>》。</w:t>
      </w:r>
    </w:p>
    <w:p w:rsidR="00EE4502" w:rsidRDefault="00FD45A3">
      <w:pPr>
        <w:pStyle w:val="33"/>
        <w:numPr>
          <w:ilvl w:val="2"/>
          <w:numId w:val="30"/>
        </w:numPr>
        <w:spacing w:line="360" w:lineRule="auto"/>
        <w:ind w:left="0" w:firstLine="0"/>
        <w:rPr>
          <w:spacing w:val="0"/>
          <w:sz w:val="24"/>
          <w:szCs w:val="24"/>
        </w:rPr>
      </w:pPr>
      <w:r>
        <w:rPr>
          <w:rFonts w:hint="eastAsia"/>
          <w:spacing w:val="0"/>
          <w:sz w:val="24"/>
          <w:szCs w:val="24"/>
        </w:rPr>
        <w:t>环境保护技术规范</w:t>
      </w:r>
    </w:p>
    <w:p w:rsidR="00EE4502" w:rsidRDefault="00FD45A3">
      <w:pPr>
        <w:numPr>
          <w:ilvl w:val="0"/>
          <w:numId w:val="33"/>
        </w:numPr>
        <w:spacing w:line="360" w:lineRule="auto"/>
        <w:ind w:left="0" w:firstLineChars="200" w:firstLine="480"/>
        <w:rPr>
          <w:sz w:val="24"/>
        </w:rPr>
      </w:pPr>
      <w:r>
        <w:rPr>
          <w:sz w:val="24"/>
        </w:rPr>
        <w:t>《建设项目环境影响评价技术导则</w:t>
      </w:r>
      <w:r>
        <w:rPr>
          <w:sz w:val="24"/>
        </w:rPr>
        <w:t xml:space="preserve"> </w:t>
      </w:r>
      <w:r>
        <w:rPr>
          <w:sz w:val="24"/>
        </w:rPr>
        <w:t>总纲》（</w:t>
      </w:r>
      <w:r>
        <w:rPr>
          <w:sz w:val="24"/>
        </w:rPr>
        <w:t>HJ 2.1-2016</w:t>
      </w:r>
      <w:r>
        <w:rPr>
          <w:sz w:val="24"/>
        </w:rPr>
        <w:t>）；</w:t>
      </w:r>
    </w:p>
    <w:p w:rsidR="00EE4502" w:rsidRDefault="00FD45A3">
      <w:pPr>
        <w:numPr>
          <w:ilvl w:val="0"/>
          <w:numId w:val="33"/>
        </w:numPr>
        <w:spacing w:line="360" w:lineRule="auto"/>
        <w:ind w:left="0" w:firstLineChars="200" w:firstLine="480"/>
        <w:rPr>
          <w:sz w:val="24"/>
        </w:rPr>
      </w:pPr>
      <w:r>
        <w:rPr>
          <w:sz w:val="24"/>
        </w:rPr>
        <w:t>《环境影响评价技术导则</w:t>
      </w:r>
      <w:r>
        <w:rPr>
          <w:sz w:val="24"/>
        </w:rPr>
        <w:t xml:space="preserve"> </w:t>
      </w:r>
      <w:r>
        <w:rPr>
          <w:sz w:val="24"/>
        </w:rPr>
        <w:t>大气环境》（</w:t>
      </w:r>
      <w:r>
        <w:rPr>
          <w:sz w:val="24"/>
        </w:rPr>
        <w:t>HJ2.2-2018</w:t>
      </w:r>
      <w:r>
        <w:rPr>
          <w:sz w:val="24"/>
        </w:rPr>
        <w:t>）；</w:t>
      </w:r>
    </w:p>
    <w:p w:rsidR="00EE4502" w:rsidRDefault="00FD45A3">
      <w:pPr>
        <w:numPr>
          <w:ilvl w:val="0"/>
          <w:numId w:val="33"/>
        </w:numPr>
        <w:spacing w:line="360" w:lineRule="auto"/>
        <w:ind w:left="0" w:firstLineChars="200" w:firstLine="480"/>
        <w:rPr>
          <w:sz w:val="24"/>
        </w:rPr>
      </w:pPr>
      <w:r>
        <w:rPr>
          <w:sz w:val="24"/>
        </w:rPr>
        <w:t>《环境影响评价技术导则</w:t>
      </w:r>
      <w:r>
        <w:rPr>
          <w:sz w:val="24"/>
        </w:rPr>
        <w:t xml:space="preserve"> </w:t>
      </w:r>
      <w:r>
        <w:rPr>
          <w:sz w:val="24"/>
        </w:rPr>
        <w:t>地表水环境》（</w:t>
      </w:r>
      <w:r>
        <w:rPr>
          <w:sz w:val="24"/>
        </w:rPr>
        <w:t>HJ2.3-2018</w:t>
      </w:r>
      <w:r>
        <w:rPr>
          <w:sz w:val="24"/>
        </w:rPr>
        <w:t>）；</w:t>
      </w:r>
    </w:p>
    <w:p w:rsidR="00EE4502" w:rsidRDefault="00FD45A3">
      <w:pPr>
        <w:numPr>
          <w:ilvl w:val="0"/>
          <w:numId w:val="33"/>
        </w:numPr>
        <w:spacing w:line="360" w:lineRule="auto"/>
        <w:ind w:left="0" w:firstLineChars="200" w:firstLine="480"/>
        <w:rPr>
          <w:sz w:val="24"/>
        </w:rPr>
      </w:pPr>
      <w:r>
        <w:rPr>
          <w:sz w:val="24"/>
        </w:rPr>
        <w:t>《环境影响评价技术导则</w:t>
      </w:r>
      <w:r>
        <w:rPr>
          <w:sz w:val="24"/>
        </w:rPr>
        <w:t xml:space="preserve"> </w:t>
      </w:r>
      <w:r>
        <w:rPr>
          <w:sz w:val="24"/>
        </w:rPr>
        <w:t>地下水环境》（</w:t>
      </w:r>
      <w:r>
        <w:rPr>
          <w:sz w:val="24"/>
        </w:rPr>
        <w:t>HJ 610-2016</w:t>
      </w:r>
      <w:r>
        <w:rPr>
          <w:sz w:val="24"/>
        </w:rPr>
        <w:t>）；</w:t>
      </w:r>
    </w:p>
    <w:p w:rsidR="00EE4502" w:rsidRDefault="00FD45A3">
      <w:pPr>
        <w:numPr>
          <w:ilvl w:val="0"/>
          <w:numId w:val="33"/>
        </w:numPr>
        <w:spacing w:line="360" w:lineRule="auto"/>
        <w:ind w:left="0" w:firstLineChars="200" w:firstLine="480"/>
        <w:rPr>
          <w:sz w:val="24"/>
        </w:rPr>
      </w:pPr>
      <w:r>
        <w:rPr>
          <w:sz w:val="24"/>
        </w:rPr>
        <w:t>《环境影响评价技术导则</w:t>
      </w:r>
      <w:r>
        <w:rPr>
          <w:sz w:val="24"/>
        </w:rPr>
        <w:t xml:space="preserve"> </w:t>
      </w:r>
      <w:r>
        <w:rPr>
          <w:sz w:val="24"/>
        </w:rPr>
        <w:t>声环境》（</w:t>
      </w:r>
      <w:r>
        <w:rPr>
          <w:sz w:val="24"/>
        </w:rPr>
        <w:t>HJ 2.4-2021</w:t>
      </w:r>
      <w:r>
        <w:rPr>
          <w:sz w:val="24"/>
        </w:rPr>
        <w:t>）；</w:t>
      </w:r>
    </w:p>
    <w:p w:rsidR="00EE4502" w:rsidRDefault="00FD45A3">
      <w:pPr>
        <w:numPr>
          <w:ilvl w:val="0"/>
          <w:numId w:val="33"/>
        </w:numPr>
        <w:spacing w:line="360" w:lineRule="auto"/>
        <w:ind w:left="0" w:firstLineChars="200" w:firstLine="480"/>
        <w:rPr>
          <w:sz w:val="24"/>
        </w:rPr>
      </w:pPr>
      <w:r>
        <w:rPr>
          <w:sz w:val="24"/>
        </w:rPr>
        <w:t>《环境影响评价技术导则</w:t>
      </w:r>
      <w:r>
        <w:rPr>
          <w:sz w:val="24"/>
        </w:rPr>
        <w:t xml:space="preserve"> </w:t>
      </w:r>
      <w:r>
        <w:rPr>
          <w:sz w:val="24"/>
        </w:rPr>
        <w:t>生态影响》（</w:t>
      </w:r>
      <w:r>
        <w:rPr>
          <w:sz w:val="24"/>
        </w:rPr>
        <w:t xml:space="preserve">HJ </w:t>
      </w:r>
      <w:r>
        <w:rPr>
          <w:sz w:val="24"/>
        </w:rPr>
        <w:t>19-2022</w:t>
      </w:r>
      <w:r>
        <w:rPr>
          <w:sz w:val="24"/>
        </w:rPr>
        <w:t>）；</w:t>
      </w:r>
    </w:p>
    <w:p w:rsidR="00EE4502" w:rsidRDefault="00FD45A3">
      <w:pPr>
        <w:numPr>
          <w:ilvl w:val="0"/>
          <w:numId w:val="33"/>
        </w:numPr>
        <w:spacing w:line="360" w:lineRule="auto"/>
        <w:ind w:left="0" w:firstLineChars="200" w:firstLine="480"/>
        <w:rPr>
          <w:sz w:val="24"/>
        </w:rPr>
      </w:pPr>
      <w:r>
        <w:rPr>
          <w:sz w:val="24"/>
        </w:rPr>
        <w:t>《环境影响评价技术导则</w:t>
      </w:r>
      <w:r>
        <w:rPr>
          <w:sz w:val="24"/>
        </w:rPr>
        <w:t xml:space="preserve"> </w:t>
      </w:r>
      <w:r>
        <w:rPr>
          <w:sz w:val="24"/>
        </w:rPr>
        <w:t>土壤环境（试行）》（</w:t>
      </w:r>
      <w:r>
        <w:rPr>
          <w:sz w:val="24"/>
        </w:rPr>
        <w:t>HJ964-2018</w:t>
      </w:r>
      <w:r>
        <w:rPr>
          <w:sz w:val="24"/>
        </w:rPr>
        <w:t>）；</w:t>
      </w:r>
    </w:p>
    <w:p w:rsidR="00EE4502" w:rsidRDefault="00FD45A3">
      <w:pPr>
        <w:numPr>
          <w:ilvl w:val="0"/>
          <w:numId w:val="33"/>
        </w:numPr>
        <w:spacing w:line="360" w:lineRule="auto"/>
        <w:ind w:left="0" w:firstLineChars="200" w:firstLine="480"/>
        <w:rPr>
          <w:sz w:val="24"/>
        </w:rPr>
      </w:pPr>
      <w:r>
        <w:rPr>
          <w:sz w:val="24"/>
        </w:rPr>
        <w:t>《环境影响评价技术导则</w:t>
      </w:r>
      <w:r>
        <w:rPr>
          <w:sz w:val="24"/>
        </w:rPr>
        <w:t xml:space="preserve"> </w:t>
      </w:r>
      <w:r>
        <w:rPr>
          <w:sz w:val="24"/>
        </w:rPr>
        <w:t>陆地石油天然气开发建设项目》（</w:t>
      </w:r>
      <w:r>
        <w:rPr>
          <w:sz w:val="24"/>
        </w:rPr>
        <w:t>HJ/T349-20</w:t>
      </w:r>
      <w:r>
        <w:rPr>
          <w:rFonts w:hint="eastAsia"/>
          <w:sz w:val="24"/>
        </w:rPr>
        <w:t>23</w:t>
      </w:r>
      <w:r>
        <w:rPr>
          <w:sz w:val="24"/>
        </w:rPr>
        <w:t>）；</w:t>
      </w:r>
    </w:p>
    <w:p w:rsidR="00EE4502" w:rsidRDefault="00FD45A3">
      <w:pPr>
        <w:numPr>
          <w:ilvl w:val="0"/>
          <w:numId w:val="33"/>
        </w:numPr>
        <w:spacing w:line="360" w:lineRule="auto"/>
        <w:ind w:left="0" w:firstLineChars="200" w:firstLine="480"/>
        <w:rPr>
          <w:sz w:val="24"/>
        </w:rPr>
      </w:pPr>
      <w:r>
        <w:rPr>
          <w:sz w:val="24"/>
        </w:rPr>
        <w:t>《建设项目环境风险评价技术导则》（</w:t>
      </w:r>
      <w:r>
        <w:rPr>
          <w:sz w:val="24"/>
        </w:rPr>
        <w:t>HJ169-2018</w:t>
      </w:r>
      <w:r>
        <w:rPr>
          <w:sz w:val="24"/>
        </w:rPr>
        <w:t>）；</w:t>
      </w:r>
    </w:p>
    <w:p w:rsidR="00EE4502" w:rsidRDefault="00FD45A3">
      <w:pPr>
        <w:numPr>
          <w:ilvl w:val="0"/>
          <w:numId w:val="33"/>
        </w:numPr>
        <w:spacing w:line="360" w:lineRule="auto"/>
        <w:ind w:left="0" w:firstLineChars="200" w:firstLine="480"/>
        <w:rPr>
          <w:sz w:val="24"/>
        </w:rPr>
      </w:pPr>
      <w:r>
        <w:rPr>
          <w:sz w:val="24"/>
        </w:rPr>
        <w:t>《开发建设项目水土保持技术规范》（</w:t>
      </w:r>
      <w:r>
        <w:rPr>
          <w:sz w:val="24"/>
        </w:rPr>
        <w:t>GB50433-2018</w:t>
      </w:r>
      <w:r>
        <w:rPr>
          <w:sz w:val="24"/>
        </w:rPr>
        <w:t>）；</w:t>
      </w:r>
    </w:p>
    <w:p w:rsidR="00EE4502" w:rsidRDefault="00FD45A3">
      <w:pPr>
        <w:numPr>
          <w:ilvl w:val="0"/>
          <w:numId w:val="33"/>
        </w:numPr>
        <w:spacing w:line="360" w:lineRule="auto"/>
        <w:ind w:left="0" w:firstLineChars="200" w:firstLine="480"/>
        <w:rPr>
          <w:sz w:val="24"/>
        </w:rPr>
      </w:pPr>
      <w:r>
        <w:rPr>
          <w:sz w:val="24"/>
        </w:rPr>
        <w:t>《危险化学品重大危险源辨识》（</w:t>
      </w:r>
      <w:r>
        <w:rPr>
          <w:sz w:val="24"/>
        </w:rPr>
        <w:t>GB18218-2018</w:t>
      </w:r>
      <w:r>
        <w:rPr>
          <w:sz w:val="24"/>
        </w:rPr>
        <w:t>）；</w:t>
      </w:r>
    </w:p>
    <w:p w:rsidR="00EE4502" w:rsidRDefault="00FD45A3">
      <w:pPr>
        <w:numPr>
          <w:ilvl w:val="0"/>
          <w:numId w:val="33"/>
        </w:numPr>
        <w:spacing w:line="360" w:lineRule="auto"/>
        <w:ind w:left="0" w:firstLineChars="200" w:firstLine="480"/>
        <w:rPr>
          <w:sz w:val="24"/>
        </w:rPr>
      </w:pPr>
      <w:r>
        <w:rPr>
          <w:sz w:val="24"/>
        </w:rPr>
        <w:t>《石油天然气工业健康、安全与环境管理体系》（</w:t>
      </w:r>
      <w:r>
        <w:rPr>
          <w:sz w:val="24"/>
        </w:rPr>
        <w:t>SY/T6276-2014</w:t>
      </w:r>
      <w:r>
        <w:rPr>
          <w:sz w:val="24"/>
        </w:rPr>
        <w:t>）；</w:t>
      </w:r>
    </w:p>
    <w:p w:rsidR="00EE4502" w:rsidRDefault="00FD45A3">
      <w:pPr>
        <w:numPr>
          <w:ilvl w:val="0"/>
          <w:numId w:val="33"/>
        </w:numPr>
        <w:spacing w:line="360" w:lineRule="auto"/>
        <w:ind w:left="0" w:firstLineChars="200" w:firstLine="480"/>
        <w:rPr>
          <w:sz w:val="24"/>
        </w:rPr>
      </w:pPr>
      <w:r>
        <w:rPr>
          <w:sz w:val="24"/>
        </w:rPr>
        <w:t>《石油化工企业环境保护设计规范》（</w:t>
      </w:r>
      <w:r>
        <w:rPr>
          <w:sz w:val="24"/>
        </w:rPr>
        <w:t>SH/T3024-2017</w:t>
      </w:r>
      <w:r>
        <w:rPr>
          <w:sz w:val="24"/>
        </w:rPr>
        <w:t>）</w:t>
      </w:r>
      <w:r>
        <w:rPr>
          <w:rFonts w:hint="eastAsia"/>
          <w:sz w:val="24"/>
        </w:rPr>
        <w:t>；</w:t>
      </w:r>
    </w:p>
    <w:p w:rsidR="00EE4502" w:rsidRDefault="00FD45A3">
      <w:pPr>
        <w:numPr>
          <w:ilvl w:val="0"/>
          <w:numId w:val="33"/>
        </w:numPr>
        <w:spacing w:line="360" w:lineRule="auto"/>
        <w:ind w:left="0" w:firstLineChars="200" w:firstLine="480"/>
        <w:rPr>
          <w:sz w:val="24"/>
        </w:rPr>
      </w:pPr>
      <w:r>
        <w:rPr>
          <w:sz w:val="24"/>
        </w:rPr>
        <w:t>《石油天然气开采业污染防治技术政策》（部公告</w:t>
      </w:r>
      <w:r>
        <w:rPr>
          <w:sz w:val="24"/>
        </w:rPr>
        <w:t>2012</w:t>
      </w:r>
      <w:r>
        <w:rPr>
          <w:sz w:val="24"/>
        </w:rPr>
        <w:t>年第</w:t>
      </w:r>
      <w:r>
        <w:rPr>
          <w:sz w:val="24"/>
        </w:rPr>
        <w:t>18</w:t>
      </w:r>
      <w:r>
        <w:rPr>
          <w:sz w:val="24"/>
        </w:rPr>
        <w:t>号</w:t>
      </w:r>
      <w:r>
        <w:rPr>
          <w:sz w:val="24"/>
        </w:rPr>
        <w:t xml:space="preserve"> 2012</w:t>
      </w:r>
      <w:r>
        <w:rPr>
          <w:rFonts w:hint="eastAsia"/>
          <w:sz w:val="24"/>
        </w:rPr>
        <w:t>年</w:t>
      </w:r>
      <w:r>
        <w:rPr>
          <w:sz w:val="24"/>
        </w:rPr>
        <w:t>3</w:t>
      </w:r>
      <w:r>
        <w:rPr>
          <w:rFonts w:hint="eastAsia"/>
          <w:sz w:val="24"/>
        </w:rPr>
        <w:t>月</w:t>
      </w:r>
      <w:r>
        <w:rPr>
          <w:sz w:val="24"/>
        </w:rPr>
        <w:t>7</w:t>
      </w:r>
      <w:r>
        <w:rPr>
          <w:rFonts w:hint="eastAsia"/>
          <w:sz w:val="24"/>
        </w:rPr>
        <w:t>日</w:t>
      </w:r>
      <w:r>
        <w:rPr>
          <w:sz w:val="24"/>
        </w:rPr>
        <w:t>实施）；</w:t>
      </w:r>
    </w:p>
    <w:p w:rsidR="00EE4502" w:rsidRDefault="00FD45A3">
      <w:pPr>
        <w:numPr>
          <w:ilvl w:val="0"/>
          <w:numId w:val="33"/>
        </w:numPr>
        <w:spacing w:line="360" w:lineRule="auto"/>
        <w:ind w:left="0" w:firstLineChars="200" w:firstLine="480"/>
        <w:rPr>
          <w:sz w:val="24"/>
        </w:rPr>
      </w:pPr>
      <w:r>
        <w:rPr>
          <w:sz w:val="24"/>
        </w:rPr>
        <w:lastRenderedPageBreak/>
        <w:t>《陆上石油天然气开采含油污泥资源化综合利用及污染控制技术要求》（</w:t>
      </w:r>
      <w:r>
        <w:rPr>
          <w:sz w:val="24"/>
        </w:rPr>
        <w:t>SY/T301-2016</w:t>
      </w:r>
      <w:r>
        <w:rPr>
          <w:sz w:val="24"/>
        </w:rPr>
        <w:t>，</w:t>
      </w:r>
      <w:r>
        <w:rPr>
          <w:sz w:val="24"/>
        </w:rPr>
        <w:t>2017</w:t>
      </w:r>
      <w:r>
        <w:rPr>
          <w:sz w:val="24"/>
        </w:rPr>
        <w:t>年</w:t>
      </w:r>
      <w:r>
        <w:rPr>
          <w:sz w:val="24"/>
        </w:rPr>
        <w:t>5</w:t>
      </w:r>
      <w:r>
        <w:rPr>
          <w:sz w:val="24"/>
        </w:rPr>
        <w:t>月</w:t>
      </w:r>
      <w:r>
        <w:rPr>
          <w:sz w:val="24"/>
        </w:rPr>
        <w:t>1</w:t>
      </w:r>
      <w:r>
        <w:rPr>
          <w:sz w:val="24"/>
        </w:rPr>
        <w:t>日）；</w:t>
      </w:r>
    </w:p>
    <w:p w:rsidR="00EE4502" w:rsidRDefault="00FD45A3">
      <w:pPr>
        <w:numPr>
          <w:ilvl w:val="0"/>
          <w:numId w:val="33"/>
        </w:numPr>
        <w:spacing w:line="360" w:lineRule="auto"/>
        <w:ind w:left="0" w:firstLineChars="200" w:firstLine="480"/>
        <w:rPr>
          <w:sz w:val="24"/>
        </w:rPr>
      </w:pPr>
      <w:r>
        <w:rPr>
          <w:sz w:val="24"/>
        </w:rPr>
        <w:t>《建设项目危险废物环境影响评价技术指南》</w:t>
      </w:r>
      <w:r>
        <w:rPr>
          <w:rFonts w:hint="eastAsia"/>
          <w:sz w:val="24"/>
        </w:rPr>
        <w:t>（</w:t>
      </w:r>
      <w:r>
        <w:rPr>
          <w:rFonts w:hint="eastAsia"/>
          <w:sz w:val="24"/>
        </w:rPr>
        <w:t>2017</w:t>
      </w:r>
      <w:r>
        <w:rPr>
          <w:rFonts w:hint="eastAsia"/>
          <w:sz w:val="24"/>
        </w:rPr>
        <w:t>年第</w:t>
      </w:r>
      <w:r>
        <w:rPr>
          <w:rFonts w:hint="eastAsia"/>
          <w:sz w:val="24"/>
        </w:rPr>
        <w:t>43</w:t>
      </w:r>
      <w:r>
        <w:rPr>
          <w:rFonts w:hint="eastAsia"/>
          <w:sz w:val="24"/>
        </w:rPr>
        <w:t>号）</w:t>
      </w:r>
      <w:r>
        <w:rPr>
          <w:sz w:val="24"/>
        </w:rPr>
        <w:t>；</w:t>
      </w:r>
    </w:p>
    <w:p w:rsidR="00EE4502" w:rsidRDefault="00FD45A3">
      <w:pPr>
        <w:numPr>
          <w:ilvl w:val="0"/>
          <w:numId w:val="33"/>
        </w:numPr>
        <w:spacing w:line="360" w:lineRule="auto"/>
        <w:ind w:left="0" w:firstLineChars="200" w:firstLine="480"/>
        <w:rPr>
          <w:sz w:val="24"/>
        </w:rPr>
      </w:pPr>
      <w:r>
        <w:rPr>
          <w:sz w:val="24"/>
        </w:rPr>
        <w:t>《陆上石油天然气开采业绿色矿山建设规范》（</w:t>
      </w:r>
      <w:r>
        <w:rPr>
          <w:sz w:val="24"/>
        </w:rPr>
        <w:t>DZT0317-2018</w:t>
      </w:r>
      <w:r>
        <w:rPr>
          <w:sz w:val="24"/>
        </w:rPr>
        <w:t>）；</w:t>
      </w:r>
    </w:p>
    <w:p w:rsidR="00EE4502" w:rsidRDefault="00FD45A3">
      <w:pPr>
        <w:numPr>
          <w:ilvl w:val="0"/>
          <w:numId w:val="33"/>
        </w:numPr>
        <w:spacing w:line="360" w:lineRule="auto"/>
        <w:ind w:left="0" w:firstLineChars="200" w:firstLine="480"/>
        <w:rPr>
          <w:sz w:val="24"/>
        </w:rPr>
      </w:pPr>
      <w:r>
        <w:rPr>
          <w:sz w:val="24"/>
        </w:rPr>
        <w:t>《矿山生态环境保护与恢复治理技术规范</w:t>
      </w:r>
      <w:r>
        <w:rPr>
          <w:rFonts w:hint="eastAsia"/>
          <w:sz w:val="24"/>
        </w:rPr>
        <w:t>（</w:t>
      </w:r>
      <w:r>
        <w:rPr>
          <w:sz w:val="24"/>
        </w:rPr>
        <w:t>试行</w:t>
      </w:r>
      <w:r>
        <w:rPr>
          <w:rFonts w:hint="eastAsia"/>
          <w:sz w:val="24"/>
        </w:rPr>
        <w:t>）</w:t>
      </w:r>
      <w:r>
        <w:rPr>
          <w:sz w:val="24"/>
        </w:rPr>
        <w:t>》（</w:t>
      </w:r>
      <w:r>
        <w:rPr>
          <w:sz w:val="24"/>
        </w:rPr>
        <w:t>HJ 651-2013</w:t>
      </w:r>
      <w:r>
        <w:rPr>
          <w:sz w:val="24"/>
        </w:rPr>
        <w:t>）；</w:t>
      </w:r>
    </w:p>
    <w:p w:rsidR="00EE4502" w:rsidRDefault="00FD45A3">
      <w:pPr>
        <w:numPr>
          <w:ilvl w:val="0"/>
          <w:numId w:val="33"/>
        </w:numPr>
        <w:spacing w:line="360" w:lineRule="auto"/>
        <w:ind w:left="0" w:firstLineChars="200" w:firstLine="480"/>
        <w:rPr>
          <w:sz w:val="24"/>
        </w:rPr>
      </w:pPr>
      <w:r>
        <w:rPr>
          <w:sz w:val="24"/>
        </w:rPr>
        <w:t>《废弃井及长停井处置指南》（</w:t>
      </w:r>
      <w:r>
        <w:rPr>
          <w:sz w:val="24"/>
        </w:rPr>
        <w:t>SY/T6646-2017</w:t>
      </w:r>
      <w:r>
        <w:rPr>
          <w:sz w:val="24"/>
        </w:rPr>
        <w:t>）；</w:t>
      </w:r>
    </w:p>
    <w:p w:rsidR="00EE4502" w:rsidRDefault="00FD45A3">
      <w:pPr>
        <w:numPr>
          <w:ilvl w:val="0"/>
          <w:numId w:val="33"/>
        </w:numPr>
        <w:spacing w:line="360" w:lineRule="auto"/>
        <w:ind w:left="0" w:firstLineChars="200" w:firstLine="480"/>
        <w:rPr>
          <w:sz w:val="24"/>
        </w:rPr>
      </w:pPr>
      <w:r>
        <w:rPr>
          <w:sz w:val="24"/>
        </w:rPr>
        <w:t>《废弃井封井回填技术指南（试行）</w:t>
      </w:r>
      <w:r>
        <w:rPr>
          <w:sz w:val="24"/>
        </w:rPr>
        <w:t>》（环办土壤函〔</w:t>
      </w:r>
      <w:r>
        <w:rPr>
          <w:sz w:val="24"/>
        </w:rPr>
        <w:t>2020</w:t>
      </w:r>
      <w:r>
        <w:rPr>
          <w:sz w:val="24"/>
        </w:rPr>
        <w:t>〕</w:t>
      </w:r>
      <w:r>
        <w:rPr>
          <w:sz w:val="24"/>
        </w:rPr>
        <w:t>72</w:t>
      </w:r>
      <w:r>
        <w:rPr>
          <w:sz w:val="24"/>
        </w:rPr>
        <w:t>号）；</w:t>
      </w:r>
    </w:p>
    <w:p w:rsidR="00EE4502" w:rsidRDefault="00FD45A3">
      <w:pPr>
        <w:numPr>
          <w:ilvl w:val="0"/>
          <w:numId w:val="33"/>
        </w:numPr>
        <w:spacing w:line="360" w:lineRule="auto"/>
        <w:ind w:left="0" w:firstLineChars="200" w:firstLine="480"/>
        <w:rPr>
          <w:sz w:val="24"/>
        </w:rPr>
      </w:pPr>
      <w:r>
        <w:rPr>
          <w:sz w:val="24"/>
        </w:rPr>
        <w:t>《一般工业固体废物贮存和填埋污染控制标准》（</w:t>
      </w:r>
      <w:r>
        <w:rPr>
          <w:sz w:val="24"/>
        </w:rPr>
        <w:t>GB 18599-2020</w:t>
      </w:r>
      <w:r>
        <w:rPr>
          <w:sz w:val="24"/>
        </w:rPr>
        <w:t>）；</w:t>
      </w:r>
    </w:p>
    <w:p w:rsidR="00EE4502" w:rsidRDefault="00FD45A3">
      <w:pPr>
        <w:numPr>
          <w:ilvl w:val="0"/>
          <w:numId w:val="33"/>
        </w:numPr>
        <w:spacing w:line="360" w:lineRule="auto"/>
        <w:ind w:left="0" w:firstLineChars="200" w:firstLine="480"/>
        <w:rPr>
          <w:sz w:val="24"/>
        </w:rPr>
      </w:pPr>
      <w:r>
        <w:rPr>
          <w:sz w:val="24"/>
        </w:rPr>
        <w:t>《危险废物鉴别标准通则》（</w:t>
      </w:r>
      <w:r>
        <w:rPr>
          <w:sz w:val="24"/>
        </w:rPr>
        <w:t>GB 5085.7-2019</w:t>
      </w:r>
      <w:r>
        <w:rPr>
          <w:sz w:val="24"/>
        </w:rPr>
        <w:t>）；</w:t>
      </w:r>
    </w:p>
    <w:p w:rsidR="00EE4502" w:rsidRDefault="00FD45A3">
      <w:pPr>
        <w:numPr>
          <w:ilvl w:val="0"/>
          <w:numId w:val="33"/>
        </w:numPr>
        <w:spacing w:line="360" w:lineRule="auto"/>
        <w:ind w:left="0" w:firstLineChars="200" w:firstLine="480"/>
        <w:rPr>
          <w:sz w:val="24"/>
        </w:rPr>
      </w:pPr>
      <w:r>
        <w:rPr>
          <w:sz w:val="24"/>
        </w:rPr>
        <w:t>《挥发性有机物无组织排放控制标准》（</w:t>
      </w:r>
      <w:r>
        <w:rPr>
          <w:sz w:val="24"/>
        </w:rPr>
        <w:t>GB37822-2019</w:t>
      </w:r>
      <w:r>
        <w:rPr>
          <w:sz w:val="24"/>
        </w:rPr>
        <w:t>）。</w:t>
      </w:r>
    </w:p>
    <w:p w:rsidR="00EE4502" w:rsidRDefault="00FD45A3">
      <w:pPr>
        <w:pStyle w:val="33"/>
        <w:numPr>
          <w:ilvl w:val="2"/>
          <w:numId w:val="30"/>
        </w:numPr>
        <w:spacing w:line="360" w:lineRule="auto"/>
        <w:ind w:left="0" w:firstLine="0"/>
        <w:rPr>
          <w:spacing w:val="0"/>
          <w:sz w:val="24"/>
          <w:szCs w:val="24"/>
        </w:rPr>
      </w:pPr>
      <w:r>
        <w:rPr>
          <w:rFonts w:hint="eastAsia"/>
          <w:spacing w:val="0"/>
          <w:sz w:val="24"/>
          <w:szCs w:val="24"/>
        </w:rPr>
        <w:t>相关文件及技术资料</w:t>
      </w:r>
    </w:p>
    <w:p w:rsidR="00EE4502" w:rsidRDefault="00FD45A3">
      <w:pPr>
        <w:numPr>
          <w:ilvl w:val="0"/>
          <w:numId w:val="34"/>
        </w:numPr>
        <w:spacing w:line="360" w:lineRule="auto"/>
        <w:ind w:firstLineChars="200" w:firstLine="480"/>
        <w:rPr>
          <w:sz w:val="24"/>
        </w:rPr>
      </w:pPr>
      <w:bookmarkStart w:id="39" w:name="_Toc183416932"/>
      <w:bookmarkStart w:id="40" w:name="_Toc183416910"/>
      <w:bookmarkStart w:id="41" w:name="_Toc184552111"/>
      <w:bookmarkStart w:id="42" w:name="_Toc183492905"/>
      <w:bookmarkStart w:id="43" w:name="_Toc183416882"/>
      <w:bookmarkStart w:id="44" w:name="_Toc184047692"/>
      <w:bookmarkStart w:id="45" w:name="_Toc184552177"/>
      <w:bookmarkStart w:id="46" w:name="_Toc184403943"/>
      <w:bookmarkStart w:id="47" w:name="_Toc184403807"/>
      <w:r>
        <w:rPr>
          <w:rFonts w:hint="eastAsia"/>
          <w:sz w:val="24"/>
        </w:rPr>
        <w:t>环评</w:t>
      </w:r>
      <w:r>
        <w:rPr>
          <w:rFonts w:hint="eastAsia"/>
          <w:sz w:val="24"/>
        </w:rPr>
        <w:t>任务</w:t>
      </w:r>
      <w:r>
        <w:rPr>
          <w:sz w:val="24"/>
        </w:rPr>
        <w:t>委托书；</w:t>
      </w:r>
      <w:bookmarkEnd w:id="39"/>
      <w:bookmarkEnd w:id="40"/>
      <w:bookmarkEnd w:id="41"/>
      <w:bookmarkEnd w:id="42"/>
      <w:bookmarkEnd w:id="43"/>
      <w:bookmarkEnd w:id="44"/>
      <w:bookmarkEnd w:id="45"/>
      <w:bookmarkEnd w:id="46"/>
      <w:bookmarkEnd w:id="47"/>
    </w:p>
    <w:p w:rsidR="00EE4502" w:rsidRDefault="00FD45A3">
      <w:pPr>
        <w:numPr>
          <w:ilvl w:val="0"/>
          <w:numId w:val="34"/>
        </w:numPr>
        <w:spacing w:line="360" w:lineRule="auto"/>
        <w:ind w:firstLineChars="200" w:firstLine="480"/>
        <w:rPr>
          <w:sz w:val="24"/>
        </w:rPr>
      </w:pPr>
      <w:r>
        <w:rPr>
          <w:sz w:val="24"/>
        </w:rPr>
        <w:t>《</w:t>
      </w:r>
      <w:r>
        <w:rPr>
          <w:rFonts w:hint="eastAsia"/>
          <w:sz w:val="24"/>
        </w:rPr>
        <w:t>春风油田石炭系排</w:t>
      </w:r>
      <w:r>
        <w:rPr>
          <w:rFonts w:hint="eastAsia"/>
          <w:sz w:val="24"/>
        </w:rPr>
        <w:t>61</w:t>
      </w:r>
      <w:r>
        <w:rPr>
          <w:rFonts w:hint="eastAsia"/>
          <w:sz w:val="24"/>
        </w:rPr>
        <w:t>块产能建设工程</w:t>
      </w:r>
      <w:r>
        <w:rPr>
          <w:sz w:val="24"/>
        </w:rPr>
        <w:t>可行性研究</w:t>
      </w:r>
      <w:r>
        <w:rPr>
          <w:rFonts w:hint="eastAsia"/>
          <w:sz w:val="24"/>
        </w:rPr>
        <w:t>报告</w:t>
      </w:r>
      <w:r>
        <w:rPr>
          <w:sz w:val="24"/>
        </w:rPr>
        <w:t>》</w:t>
      </w:r>
      <w:r>
        <w:rPr>
          <w:rFonts w:hint="eastAsia"/>
          <w:sz w:val="24"/>
        </w:rPr>
        <w:t>（</w:t>
      </w:r>
      <w:r>
        <w:rPr>
          <w:sz w:val="24"/>
        </w:rPr>
        <w:t>2024</w:t>
      </w:r>
      <w:r>
        <w:rPr>
          <w:sz w:val="24"/>
        </w:rPr>
        <w:t>年</w:t>
      </w:r>
      <w:r>
        <w:rPr>
          <w:sz w:val="24"/>
        </w:rPr>
        <w:t>1</w:t>
      </w:r>
      <w:r>
        <w:rPr>
          <w:rFonts w:hint="eastAsia"/>
          <w:sz w:val="24"/>
        </w:rPr>
        <w:t>2</w:t>
      </w:r>
      <w:r>
        <w:rPr>
          <w:sz w:val="24"/>
        </w:rPr>
        <w:t>月</w:t>
      </w:r>
      <w:r>
        <w:rPr>
          <w:rFonts w:hint="eastAsia"/>
          <w:sz w:val="24"/>
        </w:rPr>
        <w:t>）</w:t>
      </w:r>
      <w:r>
        <w:rPr>
          <w:sz w:val="24"/>
        </w:rPr>
        <w:t>；</w:t>
      </w:r>
    </w:p>
    <w:p w:rsidR="00EE4502" w:rsidRDefault="00FD45A3">
      <w:pPr>
        <w:numPr>
          <w:ilvl w:val="0"/>
          <w:numId w:val="34"/>
        </w:numPr>
        <w:spacing w:line="360" w:lineRule="auto"/>
        <w:ind w:firstLineChars="200" w:firstLine="480"/>
        <w:rPr>
          <w:sz w:val="24"/>
        </w:rPr>
      </w:pPr>
      <w:r>
        <w:rPr>
          <w:rFonts w:hint="eastAsia"/>
          <w:sz w:val="24"/>
        </w:rPr>
        <w:t>中石化新疆新春石油开发有限责任公司提供的其他文件资料。</w:t>
      </w:r>
    </w:p>
    <w:p w:rsidR="00EE4502" w:rsidRDefault="00FD45A3">
      <w:pPr>
        <w:pStyle w:val="22"/>
        <w:numPr>
          <w:ilvl w:val="1"/>
          <w:numId w:val="30"/>
        </w:numPr>
        <w:rPr>
          <w:spacing w:val="0"/>
          <w:w w:val="100"/>
        </w:rPr>
      </w:pPr>
      <w:bookmarkStart w:id="48" w:name="_Toc19850"/>
      <w:r>
        <w:rPr>
          <w:rFonts w:hint="eastAsia"/>
          <w:spacing w:val="0"/>
          <w:w w:val="100"/>
        </w:rPr>
        <w:t>评价目的和评价原则</w:t>
      </w:r>
      <w:bookmarkEnd w:id="48"/>
    </w:p>
    <w:p w:rsidR="00EE4502" w:rsidRDefault="00FD45A3">
      <w:pPr>
        <w:pStyle w:val="33"/>
        <w:numPr>
          <w:ilvl w:val="2"/>
          <w:numId w:val="30"/>
        </w:numPr>
        <w:spacing w:line="360" w:lineRule="auto"/>
        <w:rPr>
          <w:spacing w:val="0"/>
          <w:sz w:val="24"/>
          <w:szCs w:val="24"/>
        </w:rPr>
      </w:pPr>
      <w:bookmarkStart w:id="49" w:name="_Toc64451715"/>
      <w:bookmarkStart w:id="50" w:name="_Toc64269277"/>
      <w:bookmarkEnd w:id="37"/>
      <w:bookmarkEnd w:id="38"/>
      <w:r>
        <w:rPr>
          <w:rFonts w:hint="eastAsia"/>
          <w:spacing w:val="0"/>
          <w:sz w:val="24"/>
          <w:szCs w:val="24"/>
        </w:rPr>
        <w:t>评价目的</w:t>
      </w:r>
    </w:p>
    <w:p w:rsidR="00EE4502" w:rsidRDefault="00FD45A3">
      <w:pPr>
        <w:spacing w:line="360" w:lineRule="auto"/>
        <w:ind w:firstLineChars="200" w:firstLine="480"/>
        <w:rPr>
          <w:sz w:val="24"/>
        </w:rPr>
      </w:pPr>
      <w:r>
        <w:rPr>
          <w:sz w:val="24"/>
        </w:rPr>
        <w:t>根据《中华人民共和国环境影响评价法》《建设项目环境保护管理条例》（国务院令第</w:t>
      </w:r>
      <w:r>
        <w:rPr>
          <w:sz w:val="24"/>
        </w:rPr>
        <w:t>682</w:t>
      </w:r>
      <w:r>
        <w:rPr>
          <w:sz w:val="24"/>
        </w:rPr>
        <w:t>号，</w:t>
      </w:r>
      <w:r>
        <w:rPr>
          <w:sz w:val="24"/>
        </w:rPr>
        <w:t>2017</w:t>
      </w:r>
      <w:r>
        <w:rPr>
          <w:sz w:val="24"/>
        </w:rPr>
        <w:t>年</w:t>
      </w:r>
      <w:r>
        <w:rPr>
          <w:sz w:val="24"/>
        </w:rPr>
        <w:t>10</w:t>
      </w:r>
      <w:r>
        <w:rPr>
          <w:sz w:val="24"/>
        </w:rPr>
        <w:t>月</w:t>
      </w:r>
      <w:r>
        <w:rPr>
          <w:sz w:val="24"/>
        </w:rPr>
        <w:t>1</w:t>
      </w:r>
      <w:r>
        <w:rPr>
          <w:sz w:val="24"/>
        </w:rPr>
        <w:t>日）的有关规定，环境影响评价是项目建设环境管理的重要环节之一，是项目前期可行性研究的重要组成部分。本次评价工作的主要目的是：</w:t>
      </w:r>
    </w:p>
    <w:p w:rsidR="00EE4502" w:rsidRDefault="00FD45A3">
      <w:pPr>
        <w:spacing w:line="360" w:lineRule="auto"/>
        <w:ind w:firstLineChars="200" w:firstLine="480"/>
        <w:rPr>
          <w:sz w:val="24"/>
        </w:rPr>
      </w:pPr>
      <w:r>
        <w:rPr>
          <w:sz w:val="24"/>
        </w:rPr>
        <w:t>通过对</w:t>
      </w:r>
      <w:r>
        <w:rPr>
          <w:rFonts w:hint="eastAsia"/>
          <w:sz w:val="24"/>
        </w:rPr>
        <w:t>春风油田石炭系排</w:t>
      </w:r>
      <w:r>
        <w:rPr>
          <w:rFonts w:hint="eastAsia"/>
          <w:sz w:val="24"/>
        </w:rPr>
        <w:t>61</w:t>
      </w:r>
      <w:r>
        <w:rPr>
          <w:rFonts w:hint="eastAsia"/>
          <w:sz w:val="24"/>
        </w:rPr>
        <w:t>块产能建设工程</w:t>
      </w:r>
      <w:r>
        <w:rPr>
          <w:sz w:val="24"/>
        </w:rPr>
        <w:t>区</w:t>
      </w:r>
      <w:r>
        <w:rPr>
          <w:rFonts w:hint="eastAsia"/>
          <w:sz w:val="24"/>
        </w:rPr>
        <w:t>现场勘查</w:t>
      </w:r>
      <w:r>
        <w:rPr>
          <w:sz w:val="24"/>
        </w:rPr>
        <w:t>、调研，以及当地环境资料的收集、分析，</w:t>
      </w:r>
      <w:r>
        <w:rPr>
          <w:rFonts w:hint="eastAsia"/>
          <w:sz w:val="24"/>
        </w:rPr>
        <w:t>了解</w:t>
      </w:r>
      <w:r>
        <w:rPr>
          <w:sz w:val="24"/>
        </w:rPr>
        <w:t>评价区域的大气环境、水环境、生态环境、社会环境和声</w:t>
      </w:r>
      <w:r>
        <w:rPr>
          <w:rFonts w:hint="eastAsia"/>
          <w:sz w:val="24"/>
        </w:rPr>
        <w:t>环境</w:t>
      </w:r>
      <w:r>
        <w:rPr>
          <w:sz w:val="24"/>
        </w:rPr>
        <w:t>等环境质量现状，为评价建设项目的环境影响程度和范围，以及项目投产后的竣工环境保护验收提供依据；</w:t>
      </w:r>
    </w:p>
    <w:p w:rsidR="00EE4502" w:rsidRDefault="00FD45A3">
      <w:pPr>
        <w:spacing w:line="360" w:lineRule="auto"/>
        <w:ind w:firstLineChars="200" w:firstLine="480"/>
        <w:rPr>
          <w:sz w:val="24"/>
        </w:rPr>
      </w:pPr>
      <w:r>
        <w:rPr>
          <w:sz w:val="24"/>
        </w:rPr>
        <w:t>掌握</w:t>
      </w:r>
      <w:r>
        <w:rPr>
          <w:rFonts w:hint="eastAsia"/>
          <w:sz w:val="24"/>
        </w:rPr>
        <w:t>本工程</w:t>
      </w:r>
      <w:r>
        <w:rPr>
          <w:sz w:val="24"/>
        </w:rPr>
        <w:t>排污状况，查清评价区环境现状，预测和评价</w:t>
      </w:r>
      <w:r>
        <w:rPr>
          <w:rFonts w:hint="eastAsia"/>
          <w:sz w:val="24"/>
        </w:rPr>
        <w:t>本工程</w:t>
      </w:r>
      <w:r>
        <w:rPr>
          <w:sz w:val="24"/>
        </w:rPr>
        <w:t>实施对评价区环境影响的范围和程度；</w:t>
      </w:r>
    </w:p>
    <w:p w:rsidR="00EE4502" w:rsidRDefault="00FD45A3">
      <w:pPr>
        <w:spacing w:line="360" w:lineRule="auto"/>
        <w:ind w:firstLineChars="200" w:firstLine="480"/>
        <w:rPr>
          <w:sz w:val="24"/>
        </w:rPr>
      </w:pPr>
      <w:r>
        <w:rPr>
          <w:sz w:val="24"/>
        </w:rPr>
        <w:t>依据国家有关法律法规以及技术规范的要求，结合本地自然、社会环境特征，提出为减轻不利环境影响应采取的措施，并制定环境保护行动计划；</w:t>
      </w:r>
    </w:p>
    <w:p w:rsidR="00EE4502" w:rsidRDefault="00FD45A3">
      <w:pPr>
        <w:spacing w:line="360" w:lineRule="auto"/>
        <w:ind w:firstLineChars="200" w:firstLine="480"/>
        <w:rPr>
          <w:sz w:val="24"/>
        </w:rPr>
      </w:pPr>
      <w:r>
        <w:rPr>
          <w:sz w:val="24"/>
        </w:rPr>
        <w:t>通过对油田开发和生产运行过程中可能发生的风险事故进行分析、预测、并</w:t>
      </w:r>
      <w:r>
        <w:rPr>
          <w:sz w:val="24"/>
        </w:rPr>
        <w:lastRenderedPageBreak/>
        <w:t>提出切实可行的事故应急预案和事故防范、减缓措施，确保项目环境安全；</w:t>
      </w:r>
    </w:p>
    <w:p w:rsidR="00EE4502" w:rsidRDefault="00FD45A3">
      <w:pPr>
        <w:spacing w:line="360" w:lineRule="auto"/>
        <w:ind w:firstLineChars="200" w:firstLine="480"/>
        <w:rPr>
          <w:sz w:val="24"/>
        </w:rPr>
      </w:pPr>
      <w:r>
        <w:rPr>
          <w:sz w:val="24"/>
        </w:rPr>
        <w:t>通过本次评价工作，为</w:t>
      </w:r>
      <w:r>
        <w:rPr>
          <w:rFonts w:hint="eastAsia"/>
          <w:sz w:val="24"/>
        </w:rPr>
        <w:t>春风油田石炭系排</w:t>
      </w:r>
      <w:r>
        <w:rPr>
          <w:rFonts w:hint="eastAsia"/>
          <w:sz w:val="24"/>
        </w:rPr>
        <w:t>61</w:t>
      </w:r>
      <w:r>
        <w:rPr>
          <w:rFonts w:hint="eastAsia"/>
          <w:sz w:val="24"/>
        </w:rPr>
        <w:t>块产能建设工程</w:t>
      </w:r>
      <w:r>
        <w:rPr>
          <w:sz w:val="24"/>
        </w:rPr>
        <w:t>开发建设、生产、环境管理和环境污染防治提供科学依据，最大限度地降低油田在开发建设过程中对周围环境产生的不利影响，</w:t>
      </w:r>
      <w:r>
        <w:rPr>
          <w:sz w:val="24"/>
        </w:rPr>
        <w:t>促进</w:t>
      </w:r>
      <w:r>
        <w:rPr>
          <w:rFonts w:hint="eastAsia"/>
          <w:sz w:val="24"/>
        </w:rPr>
        <w:t>本工程</w:t>
      </w:r>
      <w:r>
        <w:rPr>
          <w:sz w:val="24"/>
        </w:rPr>
        <w:t>实现经济效益、社会效益和环境效益相统一。</w:t>
      </w:r>
    </w:p>
    <w:p w:rsidR="00EE4502" w:rsidRDefault="00FD45A3">
      <w:pPr>
        <w:pStyle w:val="33"/>
        <w:numPr>
          <w:ilvl w:val="2"/>
          <w:numId w:val="30"/>
        </w:numPr>
        <w:spacing w:line="360" w:lineRule="auto"/>
        <w:rPr>
          <w:spacing w:val="0"/>
          <w:sz w:val="24"/>
          <w:szCs w:val="24"/>
        </w:rPr>
      </w:pPr>
      <w:r>
        <w:rPr>
          <w:rFonts w:hint="eastAsia"/>
          <w:spacing w:val="0"/>
          <w:sz w:val="24"/>
          <w:szCs w:val="24"/>
        </w:rPr>
        <w:t>评价原则</w:t>
      </w:r>
    </w:p>
    <w:p w:rsidR="00EE4502" w:rsidRDefault="00FD45A3">
      <w:pPr>
        <w:pStyle w:val="afc"/>
        <w:spacing w:line="360" w:lineRule="auto"/>
        <w:ind w:firstLine="480"/>
        <w:rPr>
          <w:rFonts w:ascii="Times New Roman" w:eastAsia="宋体" w:hAnsi="Times New Roman"/>
          <w:color w:val="auto"/>
          <w:spacing w:val="0"/>
          <w:sz w:val="24"/>
          <w:szCs w:val="24"/>
        </w:rPr>
      </w:pPr>
      <w:r>
        <w:rPr>
          <w:rFonts w:ascii="Times New Roman" w:eastAsia="宋体" w:hAnsi="Times New Roman" w:hint="eastAsia"/>
          <w:color w:val="auto"/>
          <w:spacing w:val="0"/>
          <w:sz w:val="24"/>
          <w:szCs w:val="24"/>
        </w:rPr>
        <w:t>（</w:t>
      </w:r>
      <w:r>
        <w:rPr>
          <w:rFonts w:ascii="Times New Roman" w:eastAsia="宋体" w:hAnsi="Times New Roman" w:hint="eastAsia"/>
          <w:color w:val="auto"/>
          <w:spacing w:val="0"/>
          <w:sz w:val="24"/>
          <w:szCs w:val="24"/>
        </w:rPr>
        <w:t>1</w:t>
      </w:r>
      <w:r>
        <w:rPr>
          <w:rFonts w:ascii="Times New Roman" w:eastAsia="宋体" w:hAnsi="Times New Roman" w:hint="eastAsia"/>
          <w:color w:val="auto"/>
          <w:spacing w:val="0"/>
          <w:sz w:val="24"/>
          <w:szCs w:val="24"/>
        </w:rPr>
        <w:t>）依法评价</w:t>
      </w:r>
    </w:p>
    <w:p w:rsidR="00EE4502" w:rsidRDefault="00FD45A3">
      <w:pPr>
        <w:pStyle w:val="afc"/>
        <w:spacing w:line="360" w:lineRule="auto"/>
        <w:ind w:firstLine="480"/>
        <w:rPr>
          <w:rFonts w:ascii="Times New Roman" w:eastAsia="宋体" w:hAnsi="Times New Roman"/>
          <w:color w:val="auto"/>
          <w:spacing w:val="0"/>
          <w:sz w:val="24"/>
          <w:szCs w:val="24"/>
        </w:rPr>
      </w:pPr>
      <w:r>
        <w:rPr>
          <w:rFonts w:ascii="Times New Roman" w:eastAsia="宋体" w:hAnsi="Times New Roman" w:hint="eastAsia"/>
          <w:color w:val="auto"/>
          <w:spacing w:val="0"/>
          <w:sz w:val="24"/>
          <w:szCs w:val="24"/>
        </w:rPr>
        <w:t>贯彻执行我国环境保护相关法律法规、标准、政策和规划等，优化本项目建设，服务环境管理。</w:t>
      </w:r>
    </w:p>
    <w:p w:rsidR="00EE4502" w:rsidRDefault="00FD45A3">
      <w:pPr>
        <w:pStyle w:val="afc"/>
        <w:spacing w:line="360" w:lineRule="auto"/>
        <w:ind w:firstLine="480"/>
        <w:rPr>
          <w:rFonts w:ascii="Times New Roman" w:eastAsia="宋体" w:hAnsi="Times New Roman"/>
          <w:color w:val="auto"/>
          <w:spacing w:val="0"/>
          <w:sz w:val="24"/>
          <w:szCs w:val="24"/>
        </w:rPr>
      </w:pPr>
      <w:r>
        <w:rPr>
          <w:rFonts w:ascii="Times New Roman" w:eastAsia="宋体" w:hAnsi="Times New Roman" w:hint="eastAsia"/>
          <w:color w:val="auto"/>
          <w:spacing w:val="0"/>
          <w:sz w:val="24"/>
          <w:szCs w:val="24"/>
        </w:rPr>
        <w:t>（</w:t>
      </w:r>
      <w:r>
        <w:rPr>
          <w:rFonts w:ascii="Times New Roman" w:eastAsia="宋体" w:hAnsi="Times New Roman" w:hint="eastAsia"/>
          <w:color w:val="auto"/>
          <w:spacing w:val="0"/>
          <w:sz w:val="24"/>
          <w:szCs w:val="24"/>
        </w:rPr>
        <w:t>2</w:t>
      </w:r>
      <w:r>
        <w:rPr>
          <w:rFonts w:ascii="Times New Roman" w:eastAsia="宋体" w:hAnsi="Times New Roman" w:hint="eastAsia"/>
          <w:color w:val="auto"/>
          <w:spacing w:val="0"/>
          <w:sz w:val="24"/>
          <w:szCs w:val="24"/>
        </w:rPr>
        <w:t>）科学评价</w:t>
      </w:r>
    </w:p>
    <w:p w:rsidR="00EE4502" w:rsidRDefault="00FD45A3">
      <w:pPr>
        <w:pStyle w:val="afc"/>
        <w:spacing w:line="360" w:lineRule="auto"/>
        <w:ind w:firstLine="480"/>
        <w:rPr>
          <w:rFonts w:ascii="Times New Roman" w:eastAsia="宋体" w:hAnsi="Times New Roman"/>
          <w:color w:val="auto"/>
          <w:spacing w:val="0"/>
          <w:sz w:val="24"/>
          <w:szCs w:val="24"/>
        </w:rPr>
      </w:pPr>
      <w:r>
        <w:rPr>
          <w:rFonts w:ascii="Times New Roman" w:eastAsia="宋体" w:hAnsi="Times New Roman" w:hint="eastAsia"/>
          <w:color w:val="auto"/>
          <w:spacing w:val="0"/>
          <w:sz w:val="24"/>
          <w:szCs w:val="24"/>
        </w:rPr>
        <w:t>规范环境影响评价方法，科学分析本项目建设对环境质量的影响。</w:t>
      </w:r>
    </w:p>
    <w:p w:rsidR="00EE4502" w:rsidRDefault="00FD45A3">
      <w:pPr>
        <w:pStyle w:val="afc"/>
        <w:spacing w:line="360" w:lineRule="auto"/>
        <w:ind w:firstLine="480"/>
        <w:rPr>
          <w:rFonts w:ascii="Times New Roman" w:eastAsia="宋体" w:hAnsi="Times New Roman"/>
          <w:color w:val="auto"/>
          <w:spacing w:val="0"/>
          <w:sz w:val="24"/>
          <w:szCs w:val="24"/>
        </w:rPr>
      </w:pPr>
      <w:r>
        <w:rPr>
          <w:rFonts w:ascii="Times New Roman" w:eastAsia="宋体" w:hAnsi="Times New Roman" w:hint="eastAsia"/>
          <w:color w:val="auto"/>
          <w:spacing w:val="0"/>
          <w:sz w:val="24"/>
          <w:szCs w:val="24"/>
        </w:rPr>
        <w:t>（</w:t>
      </w:r>
      <w:r>
        <w:rPr>
          <w:rFonts w:ascii="Times New Roman" w:eastAsia="宋体" w:hAnsi="Times New Roman" w:hint="eastAsia"/>
          <w:color w:val="auto"/>
          <w:spacing w:val="0"/>
          <w:sz w:val="24"/>
          <w:szCs w:val="24"/>
        </w:rPr>
        <w:t>3</w:t>
      </w:r>
      <w:r>
        <w:rPr>
          <w:rFonts w:ascii="Times New Roman" w:eastAsia="宋体" w:hAnsi="Times New Roman" w:hint="eastAsia"/>
          <w:color w:val="auto"/>
          <w:spacing w:val="0"/>
          <w:sz w:val="24"/>
          <w:szCs w:val="24"/>
        </w:rPr>
        <w:t>）突出重点</w:t>
      </w:r>
    </w:p>
    <w:p w:rsidR="00EE4502" w:rsidRDefault="00FD45A3">
      <w:pPr>
        <w:pStyle w:val="afc"/>
        <w:spacing w:line="360" w:lineRule="auto"/>
        <w:ind w:firstLine="480"/>
        <w:rPr>
          <w:rFonts w:ascii="Times New Roman" w:eastAsia="宋体" w:hAnsi="Times New Roman"/>
          <w:color w:val="auto"/>
          <w:spacing w:val="0"/>
          <w:sz w:val="24"/>
          <w:szCs w:val="24"/>
        </w:rPr>
      </w:pPr>
      <w:r>
        <w:rPr>
          <w:rFonts w:ascii="Times New Roman" w:eastAsia="宋体" w:hAnsi="Times New Roman" w:hint="eastAsia"/>
          <w:color w:val="auto"/>
          <w:spacing w:val="0"/>
          <w:sz w:val="24"/>
          <w:szCs w:val="24"/>
        </w:rPr>
        <w:t>根据建设项目的工程内容及其特点，明确与环境要素间的作用效应关系，根据规划环境影响评价结论和审查意见，充分利用符合时效的数据资料及成果，对建设项目主要环境影响予以重点分析和评价。</w:t>
      </w:r>
    </w:p>
    <w:p w:rsidR="00EE4502" w:rsidRDefault="00FD45A3">
      <w:pPr>
        <w:pStyle w:val="22"/>
        <w:numPr>
          <w:ilvl w:val="1"/>
          <w:numId w:val="30"/>
        </w:numPr>
        <w:rPr>
          <w:spacing w:val="0"/>
          <w:w w:val="100"/>
        </w:rPr>
      </w:pPr>
      <w:bookmarkStart w:id="51" w:name="_Toc16358"/>
      <w:r>
        <w:rPr>
          <w:rFonts w:hint="eastAsia"/>
          <w:spacing w:val="0"/>
          <w:w w:val="100"/>
        </w:rPr>
        <w:t>环境影响因素和评价因子</w:t>
      </w:r>
      <w:bookmarkEnd w:id="51"/>
    </w:p>
    <w:p w:rsidR="00EE4502" w:rsidRDefault="00FD45A3">
      <w:pPr>
        <w:pStyle w:val="33"/>
        <w:numPr>
          <w:ilvl w:val="2"/>
          <w:numId w:val="30"/>
        </w:numPr>
        <w:spacing w:line="360" w:lineRule="auto"/>
        <w:ind w:left="0" w:firstLine="0"/>
        <w:rPr>
          <w:spacing w:val="0"/>
          <w:sz w:val="24"/>
          <w:szCs w:val="24"/>
        </w:rPr>
      </w:pPr>
      <w:r>
        <w:rPr>
          <w:spacing w:val="0"/>
          <w:sz w:val="24"/>
          <w:szCs w:val="24"/>
        </w:rPr>
        <w:t>环境影响因素识别</w:t>
      </w:r>
    </w:p>
    <w:p w:rsidR="00EE4502" w:rsidRDefault="00FD45A3">
      <w:pPr>
        <w:pStyle w:val="afc"/>
        <w:spacing w:line="360" w:lineRule="auto"/>
        <w:ind w:firstLine="480"/>
        <w:rPr>
          <w:rFonts w:ascii="Times New Roman" w:eastAsia="宋体" w:hAnsi="Times New Roman"/>
          <w:color w:val="auto"/>
          <w:spacing w:val="0"/>
          <w:sz w:val="24"/>
          <w:szCs w:val="24"/>
        </w:rPr>
      </w:pPr>
      <w:r>
        <w:rPr>
          <w:rFonts w:ascii="Times New Roman" w:eastAsia="宋体" w:hAnsi="Times New Roman" w:hint="eastAsia"/>
          <w:color w:val="auto"/>
          <w:spacing w:val="0"/>
          <w:sz w:val="24"/>
          <w:szCs w:val="24"/>
        </w:rPr>
        <w:t>春风油田石炭系排</w:t>
      </w:r>
      <w:r>
        <w:rPr>
          <w:rFonts w:ascii="Times New Roman" w:eastAsia="宋体" w:hAnsi="Times New Roman" w:hint="eastAsia"/>
          <w:color w:val="auto"/>
          <w:spacing w:val="0"/>
          <w:sz w:val="24"/>
          <w:szCs w:val="24"/>
        </w:rPr>
        <w:t>61</w:t>
      </w:r>
      <w:r>
        <w:rPr>
          <w:rFonts w:ascii="Times New Roman" w:eastAsia="宋体" w:hAnsi="Times New Roman" w:hint="eastAsia"/>
          <w:color w:val="auto"/>
          <w:spacing w:val="0"/>
          <w:sz w:val="24"/>
          <w:szCs w:val="24"/>
        </w:rPr>
        <w:t>块产能建设工程</w:t>
      </w:r>
      <w:r>
        <w:rPr>
          <w:rFonts w:ascii="Times New Roman" w:eastAsia="宋体" w:hAnsi="Times New Roman"/>
          <w:color w:val="auto"/>
          <w:spacing w:val="0"/>
          <w:sz w:val="24"/>
          <w:szCs w:val="24"/>
        </w:rPr>
        <w:t>对环境的影响可分为施工期、运营期和退役</w:t>
      </w:r>
      <w:r>
        <w:rPr>
          <w:rFonts w:ascii="Times New Roman" w:eastAsia="宋体" w:hAnsi="Times New Roman" w:hint="eastAsia"/>
          <w:color w:val="auto"/>
          <w:spacing w:val="0"/>
          <w:sz w:val="24"/>
          <w:szCs w:val="24"/>
        </w:rPr>
        <w:t>期</w:t>
      </w:r>
      <w:r>
        <w:rPr>
          <w:rFonts w:ascii="Times New Roman" w:eastAsia="宋体" w:hAnsi="Times New Roman"/>
          <w:color w:val="auto"/>
          <w:spacing w:val="0"/>
          <w:sz w:val="24"/>
          <w:szCs w:val="24"/>
        </w:rPr>
        <w:t>。施工期和退役后对环境的污染影响是暂时的，影响时间短，运营期对环境的影响周期长，随着产能的增加而加大，并贯穿于整个运营期。</w:t>
      </w:r>
      <w:r>
        <w:rPr>
          <w:rFonts w:ascii="Times New Roman" w:eastAsia="宋体" w:hAnsi="Times New Roman" w:hint="eastAsia"/>
          <w:color w:val="auto"/>
          <w:spacing w:val="0"/>
          <w:sz w:val="24"/>
          <w:szCs w:val="24"/>
        </w:rPr>
        <w:t>本工程</w:t>
      </w:r>
      <w:r>
        <w:rPr>
          <w:rFonts w:ascii="Times New Roman" w:eastAsia="宋体" w:hAnsi="Times New Roman"/>
          <w:color w:val="auto"/>
          <w:spacing w:val="0"/>
          <w:sz w:val="24"/>
          <w:szCs w:val="24"/>
        </w:rPr>
        <w:t>开发过程中</w:t>
      </w:r>
      <w:r>
        <w:rPr>
          <w:rFonts w:ascii="Times New Roman" w:eastAsia="宋体" w:hAnsi="Times New Roman" w:hint="eastAsia"/>
          <w:color w:val="auto"/>
          <w:spacing w:val="0"/>
          <w:sz w:val="24"/>
          <w:szCs w:val="24"/>
        </w:rPr>
        <w:t>的主要环境影响要素识别结果</w:t>
      </w:r>
      <w:r>
        <w:rPr>
          <w:rFonts w:ascii="Times New Roman" w:eastAsia="宋体" w:hAnsi="Times New Roman"/>
          <w:color w:val="auto"/>
          <w:spacing w:val="0"/>
          <w:sz w:val="24"/>
          <w:szCs w:val="24"/>
        </w:rPr>
        <w:t>见表</w:t>
      </w:r>
      <w:r>
        <w:rPr>
          <w:rFonts w:ascii="Times New Roman" w:eastAsia="宋体" w:hAnsi="Times New Roman"/>
          <w:color w:val="auto"/>
          <w:spacing w:val="0"/>
          <w:sz w:val="24"/>
          <w:szCs w:val="24"/>
        </w:rPr>
        <w:t>2-</w:t>
      </w:r>
      <w:r>
        <w:rPr>
          <w:rFonts w:ascii="Times New Roman" w:eastAsia="宋体" w:hAnsi="Times New Roman" w:hint="eastAsia"/>
          <w:color w:val="auto"/>
          <w:spacing w:val="0"/>
          <w:sz w:val="24"/>
          <w:szCs w:val="24"/>
        </w:rPr>
        <w:t>3</w:t>
      </w:r>
      <w:r>
        <w:rPr>
          <w:rFonts w:ascii="Times New Roman" w:eastAsia="宋体" w:hAnsi="Times New Roman"/>
          <w:color w:val="auto"/>
          <w:spacing w:val="0"/>
          <w:sz w:val="24"/>
          <w:szCs w:val="24"/>
        </w:rPr>
        <w:t>-1</w:t>
      </w:r>
      <w:r>
        <w:rPr>
          <w:rFonts w:ascii="Times New Roman" w:eastAsia="宋体" w:hAnsi="Times New Roman"/>
          <w:color w:val="auto"/>
          <w:spacing w:val="0"/>
          <w:sz w:val="24"/>
          <w:szCs w:val="24"/>
        </w:rPr>
        <w:t>。</w:t>
      </w:r>
    </w:p>
    <w:p w:rsidR="00EE4502" w:rsidRDefault="00FD45A3">
      <w:pPr>
        <w:spacing w:line="360" w:lineRule="auto"/>
        <w:jc w:val="center"/>
        <w:rPr>
          <w:rFonts w:eastAsia="黑体"/>
          <w:bCs/>
        </w:rPr>
      </w:pPr>
      <w:r>
        <w:rPr>
          <w:rFonts w:eastAsia="黑体"/>
          <w:bCs/>
          <w:lang w:val="zh-CN"/>
        </w:rPr>
        <w:t>表</w:t>
      </w:r>
      <w:r>
        <w:rPr>
          <w:rFonts w:eastAsia="黑体"/>
          <w:bCs/>
          <w:lang w:val="zh-CN"/>
        </w:rPr>
        <w:t>2</w:t>
      </w:r>
      <w:r>
        <w:rPr>
          <w:rFonts w:eastAsia="黑体"/>
          <w:bCs/>
        </w:rPr>
        <w:t>-</w:t>
      </w:r>
      <w:r>
        <w:rPr>
          <w:rFonts w:eastAsia="黑体" w:hint="eastAsia"/>
          <w:bCs/>
        </w:rPr>
        <w:t>3</w:t>
      </w:r>
      <w:r>
        <w:rPr>
          <w:rFonts w:eastAsia="黑体"/>
          <w:bCs/>
          <w:lang w:val="zh-CN"/>
        </w:rPr>
        <w:t xml:space="preserve">-1  </w:t>
      </w:r>
      <w:r>
        <w:rPr>
          <w:rFonts w:eastAsia="黑体"/>
          <w:bCs/>
          <w:lang w:val="zh-CN"/>
        </w:rPr>
        <w:t>环境影响</w:t>
      </w:r>
      <w:r>
        <w:rPr>
          <w:rFonts w:eastAsia="黑体" w:hint="eastAsia"/>
          <w:bCs/>
        </w:rPr>
        <w:t>要素识别结果一览表</w:t>
      </w:r>
    </w:p>
    <w:tbl>
      <w:tblPr>
        <w:tblW w:w="4994" w:type="pct"/>
        <w:jc w:val="center"/>
        <w:tblBorders>
          <w:top w:val="single" w:sz="8" w:space="0" w:color="auto"/>
          <w:bottom w:val="single" w:sz="8" w:space="0" w:color="auto"/>
          <w:insideH w:val="single" w:sz="8" w:space="0" w:color="auto"/>
          <w:insideV w:val="single" w:sz="8" w:space="0" w:color="auto"/>
        </w:tblBorders>
        <w:tblLook w:val="04A0" w:firstRow="1" w:lastRow="0" w:firstColumn="1" w:lastColumn="0" w:noHBand="0" w:noVBand="1"/>
      </w:tblPr>
      <w:tblGrid>
        <w:gridCol w:w="498"/>
        <w:gridCol w:w="1345"/>
        <w:gridCol w:w="1233"/>
        <w:gridCol w:w="1401"/>
        <w:gridCol w:w="1459"/>
        <w:gridCol w:w="1175"/>
        <w:gridCol w:w="695"/>
        <w:gridCol w:w="706"/>
      </w:tblGrid>
      <w:tr w:rsidR="00EE4502">
        <w:trPr>
          <w:trHeight w:val="340"/>
          <w:jc w:val="center"/>
        </w:trPr>
        <w:tc>
          <w:tcPr>
            <w:tcW w:w="1083" w:type="pct"/>
            <w:gridSpan w:val="2"/>
            <w:vMerge w:val="restart"/>
            <w:vAlign w:val="center"/>
          </w:tcPr>
          <w:p w:rsidR="00EE4502" w:rsidRDefault="00FD45A3">
            <w:pPr>
              <w:widowControl/>
              <w:jc w:val="center"/>
              <w:rPr>
                <w:kern w:val="0"/>
                <w:sz w:val="18"/>
                <w:szCs w:val="18"/>
              </w:rPr>
            </w:pPr>
            <w:r>
              <w:rPr>
                <w:rFonts w:hint="eastAsia"/>
                <w:kern w:val="0"/>
                <w:sz w:val="18"/>
                <w:szCs w:val="18"/>
              </w:rPr>
              <w:t>环境因素</w:t>
            </w:r>
          </w:p>
        </w:tc>
        <w:tc>
          <w:tcPr>
            <w:tcW w:w="2404" w:type="pct"/>
            <w:gridSpan w:val="3"/>
            <w:vAlign w:val="center"/>
          </w:tcPr>
          <w:p w:rsidR="00EE4502" w:rsidRDefault="00FD45A3">
            <w:pPr>
              <w:widowControl/>
              <w:jc w:val="center"/>
              <w:rPr>
                <w:rFonts w:hAnsi="宋体"/>
                <w:kern w:val="0"/>
                <w:sz w:val="18"/>
                <w:szCs w:val="18"/>
              </w:rPr>
            </w:pPr>
            <w:r>
              <w:rPr>
                <w:rFonts w:hint="eastAsia"/>
                <w:kern w:val="0"/>
                <w:sz w:val="18"/>
                <w:szCs w:val="18"/>
              </w:rPr>
              <w:t>施工期</w:t>
            </w:r>
          </w:p>
        </w:tc>
        <w:tc>
          <w:tcPr>
            <w:tcW w:w="690" w:type="pct"/>
            <w:vAlign w:val="center"/>
          </w:tcPr>
          <w:p w:rsidR="00EE4502" w:rsidRDefault="00FD45A3">
            <w:pPr>
              <w:widowControl/>
              <w:jc w:val="center"/>
              <w:rPr>
                <w:rFonts w:hAnsi="宋体"/>
                <w:kern w:val="0"/>
                <w:sz w:val="18"/>
                <w:szCs w:val="18"/>
              </w:rPr>
            </w:pPr>
            <w:r>
              <w:rPr>
                <w:rFonts w:hAnsi="宋体" w:hint="eastAsia"/>
                <w:kern w:val="0"/>
                <w:sz w:val="18"/>
                <w:szCs w:val="18"/>
              </w:rPr>
              <w:t>运营期</w:t>
            </w:r>
          </w:p>
        </w:tc>
        <w:tc>
          <w:tcPr>
            <w:tcW w:w="822" w:type="pct"/>
            <w:gridSpan w:val="2"/>
            <w:vAlign w:val="center"/>
          </w:tcPr>
          <w:p w:rsidR="00EE4502" w:rsidRDefault="00FD45A3">
            <w:pPr>
              <w:widowControl/>
              <w:jc w:val="center"/>
              <w:rPr>
                <w:rFonts w:hAnsi="宋体"/>
                <w:kern w:val="0"/>
                <w:sz w:val="18"/>
                <w:szCs w:val="18"/>
              </w:rPr>
            </w:pPr>
            <w:r>
              <w:rPr>
                <w:rFonts w:hAnsi="宋体" w:hint="eastAsia"/>
                <w:kern w:val="0"/>
                <w:sz w:val="18"/>
                <w:szCs w:val="18"/>
              </w:rPr>
              <w:t>退役期</w:t>
            </w:r>
          </w:p>
        </w:tc>
      </w:tr>
      <w:tr w:rsidR="00EE4502">
        <w:trPr>
          <w:trHeight w:val="340"/>
          <w:jc w:val="center"/>
        </w:trPr>
        <w:tc>
          <w:tcPr>
            <w:tcW w:w="1083" w:type="pct"/>
            <w:gridSpan w:val="2"/>
            <w:vMerge/>
            <w:vAlign w:val="center"/>
          </w:tcPr>
          <w:p w:rsidR="00EE4502" w:rsidRDefault="00EE4502">
            <w:pPr>
              <w:widowControl/>
              <w:jc w:val="center"/>
              <w:rPr>
                <w:kern w:val="0"/>
                <w:sz w:val="18"/>
                <w:szCs w:val="18"/>
              </w:rPr>
            </w:pPr>
          </w:p>
        </w:tc>
        <w:tc>
          <w:tcPr>
            <w:tcW w:w="724" w:type="pct"/>
            <w:vAlign w:val="center"/>
          </w:tcPr>
          <w:p w:rsidR="00EE4502" w:rsidRDefault="00FD45A3">
            <w:pPr>
              <w:widowControl/>
              <w:jc w:val="center"/>
              <w:rPr>
                <w:kern w:val="0"/>
                <w:sz w:val="18"/>
                <w:szCs w:val="18"/>
              </w:rPr>
            </w:pPr>
            <w:r>
              <w:rPr>
                <w:rFonts w:hint="eastAsia"/>
                <w:kern w:val="0"/>
                <w:sz w:val="18"/>
                <w:szCs w:val="18"/>
              </w:rPr>
              <w:t>钻前工程</w:t>
            </w:r>
          </w:p>
        </w:tc>
        <w:tc>
          <w:tcPr>
            <w:tcW w:w="823" w:type="pct"/>
            <w:vAlign w:val="center"/>
          </w:tcPr>
          <w:p w:rsidR="00EE4502" w:rsidRDefault="00FD45A3">
            <w:pPr>
              <w:widowControl/>
              <w:jc w:val="center"/>
              <w:rPr>
                <w:rFonts w:hAnsi="宋体"/>
                <w:kern w:val="0"/>
                <w:sz w:val="18"/>
                <w:szCs w:val="18"/>
              </w:rPr>
            </w:pPr>
            <w:r>
              <w:rPr>
                <w:rFonts w:hint="eastAsia"/>
                <w:kern w:val="0"/>
                <w:sz w:val="18"/>
                <w:szCs w:val="18"/>
              </w:rPr>
              <w:t>钻井工程</w:t>
            </w:r>
          </w:p>
        </w:tc>
        <w:tc>
          <w:tcPr>
            <w:tcW w:w="856" w:type="pct"/>
            <w:vAlign w:val="center"/>
          </w:tcPr>
          <w:p w:rsidR="00EE4502" w:rsidRDefault="00FD45A3">
            <w:pPr>
              <w:widowControl/>
              <w:jc w:val="center"/>
              <w:rPr>
                <w:rFonts w:hAnsi="宋体"/>
                <w:kern w:val="0"/>
                <w:sz w:val="18"/>
                <w:szCs w:val="18"/>
              </w:rPr>
            </w:pPr>
            <w:r>
              <w:rPr>
                <w:rFonts w:hAnsi="宋体" w:hint="eastAsia"/>
                <w:kern w:val="0"/>
                <w:sz w:val="18"/>
                <w:szCs w:val="18"/>
              </w:rPr>
              <w:t>油气集输工程</w:t>
            </w:r>
          </w:p>
        </w:tc>
        <w:tc>
          <w:tcPr>
            <w:tcW w:w="690" w:type="pct"/>
            <w:vAlign w:val="center"/>
          </w:tcPr>
          <w:p w:rsidR="00EE4502" w:rsidRDefault="00FD45A3">
            <w:pPr>
              <w:widowControl/>
              <w:jc w:val="center"/>
              <w:rPr>
                <w:rFonts w:hAnsi="宋体"/>
                <w:kern w:val="0"/>
                <w:sz w:val="18"/>
                <w:szCs w:val="18"/>
              </w:rPr>
            </w:pPr>
            <w:r>
              <w:rPr>
                <w:rFonts w:hAnsi="宋体" w:hint="eastAsia"/>
                <w:kern w:val="0"/>
                <w:sz w:val="18"/>
                <w:szCs w:val="18"/>
              </w:rPr>
              <w:t>采油、油气集输工程</w:t>
            </w:r>
          </w:p>
        </w:tc>
        <w:tc>
          <w:tcPr>
            <w:tcW w:w="408" w:type="pct"/>
            <w:vAlign w:val="center"/>
          </w:tcPr>
          <w:p w:rsidR="00EE4502" w:rsidRDefault="00FD45A3">
            <w:pPr>
              <w:widowControl/>
              <w:jc w:val="center"/>
              <w:rPr>
                <w:rFonts w:hAnsi="宋体"/>
                <w:kern w:val="0"/>
                <w:sz w:val="18"/>
                <w:szCs w:val="18"/>
              </w:rPr>
            </w:pPr>
            <w:r>
              <w:rPr>
                <w:rFonts w:hAnsi="宋体" w:hint="eastAsia"/>
                <w:kern w:val="0"/>
                <w:sz w:val="18"/>
                <w:szCs w:val="18"/>
              </w:rPr>
              <w:t>封井</w:t>
            </w:r>
          </w:p>
        </w:tc>
        <w:tc>
          <w:tcPr>
            <w:tcW w:w="414" w:type="pct"/>
            <w:vAlign w:val="center"/>
          </w:tcPr>
          <w:p w:rsidR="00EE4502" w:rsidRDefault="00FD45A3">
            <w:pPr>
              <w:widowControl/>
              <w:jc w:val="center"/>
              <w:rPr>
                <w:rFonts w:hAnsi="宋体"/>
                <w:kern w:val="0"/>
                <w:sz w:val="18"/>
                <w:szCs w:val="18"/>
              </w:rPr>
            </w:pPr>
            <w:r>
              <w:rPr>
                <w:rFonts w:hAnsi="宋体" w:hint="eastAsia"/>
                <w:kern w:val="0"/>
                <w:sz w:val="18"/>
                <w:szCs w:val="18"/>
              </w:rPr>
              <w:t>井场清理</w:t>
            </w:r>
          </w:p>
        </w:tc>
      </w:tr>
      <w:tr w:rsidR="00EE4502">
        <w:trPr>
          <w:trHeight w:val="340"/>
          <w:jc w:val="center"/>
        </w:trPr>
        <w:tc>
          <w:tcPr>
            <w:tcW w:w="293" w:type="pct"/>
            <w:vMerge w:val="restart"/>
            <w:vAlign w:val="center"/>
          </w:tcPr>
          <w:p w:rsidR="00EE4502" w:rsidRDefault="00FD45A3">
            <w:pPr>
              <w:widowControl/>
              <w:jc w:val="center"/>
              <w:rPr>
                <w:kern w:val="0"/>
                <w:sz w:val="18"/>
                <w:szCs w:val="18"/>
              </w:rPr>
            </w:pPr>
            <w:r>
              <w:rPr>
                <w:rFonts w:hint="eastAsia"/>
                <w:kern w:val="0"/>
                <w:sz w:val="18"/>
                <w:szCs w:val="18"/>
              </w:rPr>
              <w:t>自然</w:t>
            </w:r>
          </w:p>
          <w:p w:rsidR="00EE4502" w:rsidRDefault="00FD45A3">
            <w:pPr>
              <w:widowControl/>
              <w:jc w:val="center"/>
              <w:rPr>
                <w:kern w:val="0"/>
                <w:sz w:val="18"/>
                <w:szCs w:val="18"/>
              </w:rPr>
            </w:pPr>
            <w:r>
              <w:rPr>
                <w:rFonts w:hint="eastAsia"/>
                <w:kern w:val="0"/>
                <w:sz w:val="18"/>
                <w:szCs w:val="18"/>
              </w:rPr>
              <w:t>环境</w:t>
            </w:r>
          </w:p>
        </w:tc>
        <w:tc>
          <w:tcPr>
            <w:tcW w:w="789" w:type="pct"/>
            <w:vAlign w:val="center"/>
          </w:tcPr>
          <w:p w:rsidR="00EE4502" w:rsidRDefault="00FD45A3">
            <w:pPr>
              <w:widowControl/>
              <w:jc w:val="center"/>
              <w:rPr>
                <w:kern w:val="0"/>
                <w:sz w:val="18"/>
                <w:szCs w:val="18"/>
              </w:rPr>
            </w:pPr>
            <w:r>
              <w:rPr>
                <w:rFonts w:hint="eastAsia"/>
                <w:kern w:val="0"/>
                <w:sz w:val="18"/>
                <w:szCs w:val="18"/>
              </w:rPr>
              <w:t>环境空气</w:t>
            </w:r>
          </w:p>
        </w:tc>
        <w:tc>
          <w:tcPr>
            <w:tcW w:w="724" w:type="pct"/>
            <w:vAlign w:val="center"/>
          </w:tcPr>
          <w:p w:rsidR="00EE4502" w:rsidRDefault="00FD45A3">
            <w:pPr>
              <w:widowControl/>
              <w:jc w:val="center"/>
              <w:rPr>
                <w:kern w:val="0"/>
                <w:sz w:val="18"/>
                <w:szCs w:val="18"/>
              </w:rPr>
            </w:pPr>
            <w:r>
              <w:rPr>
                <w:rFonts w:hint="eastAsia"/>
                <w:kern w:val="0"/>
                <w:sz w:val="18"/>
                <w:szCs w:val="18"/>
              </w:rPr>
              <w:t>-2D</w:t>
            </w:r>
          </w:p>
        </w:tc>
        <w:tc>
          <w:tcPr>
            <w:tcW w:w="823" w:type="pct"/>
            <w:vAlign w:val="center"/>
          </w:tcPr>
          <w:p w:rsidR="00EE4502" w:rsidRDefault="00FD45A3">
            <w:pPr>
              <w:widowControl/>
              <w:jc w:val="center"/>
              <w:rPr>
                <w:rFonts w:hAnsi="宋体"/>
                <w:kern w:val="0"/>
                <w:sz w:val="18"/>
                <w:szCs w:val="18"/>
              </w:rPr>
            </w:pPr>
            <w:r>
              <w:rPr>
                <w:rFonts w:hint="eastAsia"/>
                <w:kern w:val="0"/>
                <w:sz w:val="18"/>
                <w:szCs w:val="18"/>
              </w:rPr>
              <w:t>-2D</w:t>
            </w:r>
          </w:p>
        </w:tc>
        <w:tc>
          <w:tcPr>
            <w:tcW w:w="856" w:type="pct"/>
            <w:vAlign w:val="center"/>
          </w:tcPr>
          <w:p w:rsidR="00EE4502" w:rsidRDefault="00FD45A3">
            <w:pPr>
              <w:widowControl/>
              <w:jc w:val="center"/>
              <w:rPr>
                <w:rFonts w:hAnsi="宋体"/>
                <w:kern w:val="0"/>
                <w:sz w:val="18"/>
                <w:szCs w:val="18"/>
              </w:rPr>
            </w:pPr>
            <w:r>
              <w:rPr>
                <w:rFonts w:hint="eastAsia"/>
                <w:kern w:val="0"/>
                <w:sz w:val="18"/>
                <w:szCs w:val="18"/>
              </w:rPr>
              <w:t>-1D</w:t>
            </w:r>
          </w:p>
        </w:tc>
        <w:tc>
          <w:tcPr>
            <w:tcW w:w="690" w:type="pct"/>
            <w:vAlign w:val="center"/>
          </w:tcPr>
          <w:p w:rsidR="00EE4502" w:rsidRDefault="00FD45A3">
            <w:pPr>
              <w:widowControl/>
              <w:jc w:val="center"/>
              <w:rPr>
                <w:rFonts w:hAnsi="宋体"/>
                <w:kern w:val="0"/>
                <w:sz w:val="18"/>
                <w:szCs w:val="18"/>
              </w:rPr>
            </w:pPr>
            <w:r>
              <w:rPr>
                <w:rFonts w:hint="eastAsia"/>
                <w:kern w:val="0"/>
                <w:sz w:val="18"/>
                <w:szCs w:val="18"/>
              </w:rPr>
              <w:t>-1C</w:t>
            </w:r>
          </w:p>
        </w:tc>
        <w:tc>
          <w:tcPr>
            <w:tcW w:w="408" w:type="pct"/>
            <w:vAlign w:val="center"/>
          </w:tcPr>
          <w:p w:rsidR="00EE4502" w:rsidRDefault="00FD45A3">
            <w:pPr>
              <w:widowControl/>
              <w:jc w:val="center"/>
              <w:rPr>
                <w:rFonts w:hAnsi="宋体"/>
                <w:kern w:val="0"/>
                <w:sz w:val="18"/>
                <w:szCs w:val="18"/>
              </w:rPr>
            </w:pPr>
            <w:r>
              <w:rPr>
                <w:rFonts w:hint="eastAsia"/>
                <w:kern w:val="0"/>
                <w:sz w:val="18"/>
                <w:szCs w:val="18"/>
              </w:rPr>
              <w:t>-1D</w:t>
            </w:r>
          </w:p>
        </w:tc>
        <w:tc>
          <w:tcPr>
            <w:tcW w:w="414" w:type="pct"/>
            <w:vAlign w:val="center"/>
          </w:tcPr>
          <w:p w:rsidR="00EE4502" w:rsidRDefault="00FD45A3">
            <w:pPr>
              <w:widowControl/>
              <w:jc w:val="center"/>
              <w:rPr>
                <w:kern w:val="0"/>
                <w:sz w:val="18"/>
                <w:szCs w:val="18"/>
              </w:rPr>
            </w:pPr>
            <w:r>
              <w:rPr>
                <w:rFonts w:hint="eastAsia"/>
                <w:kern w:val="0"/>
                <w:sz w:val="18"/>
                <w:szCs w:val="18"/>
              </w:rPr>
              <w:t>-1D</w:t>
            </w:r>
          </w:p>
        </w:tc>
      </w:tr>
      <w:tr w:rsidR="00EE4502">
        <w:trPr>
          <w:trHeight w:val="340"/>
          <w:jc w:val="center"/>
        </w:trPr>
        <w:tc>
          <w:tcPr>
            <w:tcW w:w="293" w:type="pct"/>
            <w:vMerge/>
            <w:vAlign w:val="center"/>
          </w:tcPr>
          <w:p w:rsidR="00EE4502" w:rsidRDefault="00EE4502">
            <w:pPr>
              <w:widowControl/>
              <w:jc w:val="center"/>
              <w:rPr>
                <w:kern w:val="0"/>
                <w:sz w:val="18"/>
                <w:szCs w:val="18"/>
              </w:rPr>
            </w:pPr>
          </w:p>
        </w:tc>
        <w:tc>
          <w:tcPr>
            <w:tcW w:w="789" w:type="pct"/>
            <w:vAlign w:val="center"/>
          </w:tcPr>
          <w:p w:rsidR="00EE4502" w:rsidRDefault="00FD45A3">
            <w:pPr>
              <w:widowControl/>
              <w:jc w:val="center"/>
              <w:rPr>
                <w:kern w:val="0"/>
                <w:sz w:val="18"/>
                <w:szCs w:val="18"/>
              </w:rPr>
            </w:pPr>
            <w:r>
              <w:rPr>
                <w:rFonts w:hint="eastAsia"/>
                <w:kern w:val="0"/>
                <w:sz w:val="18"/>
                <w:szCs w:val="18"/>
              </w:rPr>
              <w:t>地表水</w:t>
            </w:r>
          </w:p>
        </w:tc>
        <w:tc>
          <w:tcPr>
            <w:tcW w:w="724" w:type="pct"/>
            <w:vAlign w:val="center"/>
          </w:tcPr>
          <w:p w:rsidR="00EE4502" w:rsidRDefault="00FD45A3">
            <w:pPr>
              <w:widowControl/>
              <w:jc w:val="center"/>
              <w:rPr>
                <w:kern w:val="0"/>
                <w:sz w:val="18"/>
                <w:szCs w:val="18"/>
              </w:rPr>
            </w:pPr>
            <w:r>
              <w:rPr>
                <w:rFonts w:hint="eastAsia"/>
                <w:kern w:val="0"/>
                <w:sz w:val="18"/>
                <w:szCs w:val="18"/>
              </w:rPr>
              <w:t>--</w:t>
            </w:r>
          </w:p>
        </w:tc>
        <w:tc>
          <w:tcPr>
            <w:tcW w:w="823" w:type="pct"/>
            <w:vAlign w:val="center"/>
          </w:tcPr>
          <w:p w:rsidR="00EE4502" w:rsidRDefault="00FD45A3">
            <w:pPr>
              <w:widowControl/>
              <w:jc w:val="center"/>
              <w:rPr>
                <w:rFonts w:hAnsi="宋体"/>
                <w:kern w:val="0"/>
                <w:sz w:val="18"/>
                <w:szCs w:val="18"/>
              </w:rPr>
            </w:pPr>
            <w:r>
              <w:rPr>
                <w:rFonts w:hint="eastAsia"/>
                <w:kern w:val="0"/>
                <w:sz w:val="18"/>
                <w:szCs w:val="18"/>
              </w:rPr>
              <w:t>--</w:t>
            </w:r>
          </w:p>
        </w:tc>
        <w:tc>
          <w:tcPr>
            <w:tcW w:w="856" w:type="pct"/>
            <w:vAlign w:val="center"/>
          </w:tcPr>
          <w:p w:rsidR="00EE4502" w:rsidRDefault="00FD45A3">
            <w:pPr>
              <w:widowControl/>
              <w:jc w:val="center"/>
              <w:rPr>
                <w:rFonts w:hAnsi="宋体"/>
                <w:kern w:val="0"/>
                <w:sz w:val="18"/>
                <w:szCs w:val="18"/>
              </w:rPr>
            </w:pPr>
            <w:r>
              <w:rPr>
                <w:rFonts w:hint="eastAsia"/>
                <w:kern w:val="0"/>
                <w:sz w:val="18"/>
                <w:szCs w:val="18"/>
              </w:rPr>
              <w:t>--</w:t>
            </w:r>
          </w:p>
        </w:tc>
        <w:tc>
          <w:tcPr>
            <w:tcW w:w="690" w:type="pct"/>
            <w:vAlign w:val="center"/>
          </w:tcPr>
          <w:p w:rsidR="00EE4502" w:rsidRDefault="00FD45A3">
            <w:pPr>
              <w:widowControl/>
              <w:jc w:val="center"/>
              <w:rPr>
                <w:rFonts w:hAnsi="宋体"/>
                <w:kern w:val="0"/>
                <w:sz w:val="18"/>
                <w:szCs w:val="18"/>
              </w:rPr>
            </w:pPr>
            <w:r>
              <w:rPr>
                <w:rFonts w:hint="eastAsia"/>
                <w:kern w:val="0"/>
                <w:sz w:val="18"/>
                <w:szCs w:val="18"/>
              </w:rPr>
              <w:t>--</w:t>
            </w:r>
          </w:p>
        </w:tc>
        <w:tc>
          <w:tcPr>
            <w:tcW w:w="408" w:type="pct"/>
            <w:vAlign w:val="center"/>
          </w:tcPr>
          <w:p w:rsidR="00EE4502" w:rsidRDefault="00FD45A3">
            <w:pPr>
              <w:widowControl/>
              <w:jc w:val="center"/>
              <w:rPr>
                <w:rFonts w:hAnsi="宋体"/>
                <w:kern w:val="0"/>
                <w:sz w:val="18"/>
                <w:szCs w:val="18"/>
              </w:rPr>
            </w:pPr>
            <w:r>
              <w:rPr>
                <w:rFonts w:hint="eastAsia"/>
                <w:kern w:val="0"/>
                <w:sz w:val="18"/>
                <w:szCs w:val="18"/>
              </w:rPr>
              <w:t>--</w:t>
            </w:r>
          </w:p>
        </w:tc>
        <w:tc>
          <w:tcPr>
            <w:tcW w:w="414" w:type="pct"/>
            <w:vAlign w:val="center"/>
          </w:tcPr>
          <w:p w:rsidR="00EE4502" w:rsidRDefault="00FD45A3">
            <w:pPr>
              <w:widowControl/>
              <w:jc w:val="center"/>
              <w:rPr>
                <w:kern w:val="0"/>
                <w:sz w:val="18"/>
                <w:szCs w:val="18"/>
              </w:rPr>
            </w:pPr>
            <w:r>
              <w:rPr>
                <w:rFonts w:hint="eastAsia"/>
                <w:kern w:val="0"/>
                <w:sz w:val="18"/>
                <w:szCs w:val="18"/>
              </w:rPr>
              <w:t>--</w:t>
            </w:r>
          </w:p>
        </w:tc>
      </w:tr>
      <w:tr w:rsidR="00EE4502">
        <w:trPr>
          <w:trHeight w:val="340"/>
          <w:jc w:val="center"/>
        </w:trPr>
        <w:tc>
          <w:tcPr>
            <w:tcW w:w="293" w:type="pct"/>
            <w:vMerge/>
            <w:vAlign w:val="center"/>
          </w:tcPr>
          <w:p w:rsidR="00EE4502" w:rsidRDefault="00EE4502">
            <w:pPr>
              <w:widowControl/>
              <w:jc w:val="center"/>
              <w:rPr>
                <w:kern w:val="0"/>
                <w:sz w:val="18"/>
                <w:szCs w:val="18"/>
              </w:rPr>
            </w:pPr>
          </w:p>
        </w:tc>
        <w:tc>
          <w:tcPr>
            <w:tcW w:w="789" w:type="pct"/>
            <w:vAlign w:val="center"/>
          </w:tcPr>
          <w:p w:rsidR="00EE4502" w:rsidRDefault="00FD45A3">
            <w:pPr>
              <w:widowControl/>
              <w:jc w:val="center"/>
              <w:rPr>
                <w:kern w:val="0"/>
                <w:sz w:val="18"/>
                <w:szCs w:val="18"/>
              </w:rPr>
            </w:pPr>
            <w:r>
              <w:rPr>
                <w:rFonts w:hint="eastAsia"/>
                <w:kern w:val="0"/>
                <w:sz w:val="18"/>
                <w:szCs w:val="18"/>
              </w:rPr>
              <w:t>地下水</w:t>
            </w:r>
          </w:p>
        </w:tc>
        <w:tc>
          <w:tcPr>
            <w:tcW w:w="724" w:type="pct"/>
            <w:vAlign w:val="center"/>
          </w:tcPr>
          <w:p w:rsidR="00EE4502" w:rsidRDefault="00FD45A3">
            <w:pPr>
              <w:widowControl/>
              <w:jc w:val="center"/>
              <w:rPr>
                <w:kern w:val="0"/>
                <w:sz w:val="18"/>
                <w:szCs w:val="18"/>
              </w:rPr>
            </w:pPr>
            <w:r>
              <w:rPr>
                <w:rFonts w:hint="eastAsia"/>
                <w:kern w:val="0"/>
                <w:sz w:val="18"/>
                <w:szCs w:val="18"/>
              </w:rPr>
              <w:t>--</w:t>
            </w:r>
          </w:p>
        </w:tc>
        <w:tc>
          <w:tcPr>
            <w:tcW w:w="823" w:type="pct"/>
            <w:vAlign w:val="center"/>
          </w:tcPr>
          <w:p w:rsidR="00EE4502" w:rsidRDefault="00FD45A3">
            <w:pPr>
              <w:widowControl/>
              <w:jc w:val="center"/>
              <w:rPr>
                <w:rFonts w:hAnsi="宋体"/>
                <w:kern w:val="0"/>
                <w:sz w:val="18"/>
                <w:szCs w:val="18"/>
              </w:rPr>
            </w:pPr>
            <w:r>
              <w:rPr>
                <w:rFonts w:hint="eastAsia"/>
                <w:kern w:val="0"/>
                <w:sz w:val="18"/>
                <w:szCs w:val="18"/>
              </w:rPr>
              <w:t>-1D</w:t>
            </w:r>
          </w:p>
        </w:tc>
        <w:tc>
          <w:tcPr>
            <w:tcW w:w="856" w:type="pct"/>
            <w:vAlign w:val="center"/>
          </w:tcPr>
          <w:p w:rsidR="00EE4502" w:rsidRDefault="00FD45A3">
            <w:pPr>
              <w:widowControl/>
              <w:jc w:val="center"/>
              <w:rPr>
                <w:rFonts w:hAnsi="宋体"/>
                <w:kern w:val="0"/>
                <w:sz w:val="18"/>
                <w:szCs w:val="18"/>
              </w:rPr>
            </w:pPr>
            <w:r>
              <w:rPr>
                <w:rFonts w:hint="eastAsia"/>
                <w:kern w:val="0"/>
                <w:sz w:val="18"/>
                <w:szCs w:val="18"/>
              </w:rPr>
              <w:t>-1D</w:t>
            </w:r>
          </w:p>
        </w:tc>
        <w:tc>
          <w:tcPr>
            <w:tcW w:w="690" w:type="pct"/>
            <w:vAlign w:val="center"/>
          </w:tcPr>
          <w:p w:rsidR="00EE4502" w:rsidRDefault="00FD45A3">
            <w:pPr>
              <w:widowControl/>
              <w:jc w:val="center"/>
              <w:rPr>
                <w:rFonts w:hAnsi="宋体"/>
                <w:kern w:val="0"/>
                <w:sz w:val="18"/>
                <w:szCs w:val="18"/>
              </w:rPr>
            </w:pPr>
            <w:r>
              <w:rPr>
                <w:rFonts w:hint="eastAsia"/>
                <w:kern w:val="0"/>
                <w:sz w:val="18"/>
                <w:szCs w:val="18"/>
              </w:rPr>
              <w:t>-1C</w:t>
            </w:r>
          </w:p>
        </w:tc>
        <w:tc>
          <w:tcPr>
            <w:tcW w:w="408" w:type="pct"/>
            <w:vAlign w:val="center"/>
          </w:tcPr>
          <w:p w:rsidR="00EE4502" w:rsidRDefault="00FD45A3">
            <w:pPr>
              <w:widowControl/>
              <w:jc w:val="center"/>
              <w:rPr>
                <w:rFonts w:hAnsi="宋体"/>
                <w:kern w:val="0"/>
                <w:sz w:val="18"/>
                <w:szCs w:val="18"/>
              </w:rPr>
            </w:pPr>
            <w:r>
              <w:rPr>
                <w:rFonts w:hint="eastAsia"/>
                <w:kern w:val="0"/>
                <w:sz w:val="18"/>
                <w:szCs w:val="18"/>
              </w:rPr>
              <w:t>--</w:t>
            </w:r>
          </w:p>
        </w:tc>
        <w:tc>
          <w:tcPr>
            <w:tcW w:w="414" w:type="pct"/>
            <w:vAlign w:val="center"/>
          </w:tcPr>
          <w:p w:rsidR="00EE4502" w:rsidRDefault="00FD45A3">
            <w:pPr>
              <w:widowControl/>
              <w:jc w:val="center"/>
              <w:rPr>
                <w:kern w:val="0"/>
                <w:sz w:val="18"/>
                <w:szCs w:val="18"/>
              </w:rPr>
            </w:pPr>
            <w:r>
              <w:rPr>
                <w:rFonts w:hint="eastAsia"/>
                <w:kern w:val="0"/>
                <w:sz w:val="18"/>
                <w:szCs w:val="18"/>
              </w:rPr>
              <w:t>--</w:t>
            </w:r>
          </w:p>
        </w:tc>
      </w:tr>
      <w:tr w:rsidR="00EE4502">
        <w:trPr>
          <w:trHeight w:val="340"/>
          <w:jc w:val="center"/>
        </w:trPr>
        <w:tc>
          <w:tcPr>
            <w:tcW w:w="293" w:type="pct"/>
            <w:vMerge/>
            <w:vAlign w:val="center"/>
          </w:tcPr>
          <w:p w:rsidR="00EE4502" w:rsidRDefault="00EE4502">
            <w:pPr>
              <w:widowControl/>
              <w:jc w:val="center"/>
              <w:rPr>
                <w:kern w:val="0"/>
                <w:sz w:val="18"/>
                <w:szCs w:val="18"/>
              </w:rPr>
            </w:pPr>
          </w:p>
        </w:tc>
        <w:tc>
          <w:tcPr>
            <w:tcW w:w="789" w:type="pct"/>
            <w:vAlign w:val="center"/>
          </w:tcPr>
          <w:p w:rsidR="00EE4502" w:rsidRDefault="00FD45A3">
            <w:pPr>
              <w:widowControl/>
              <w:jc w:val="center"/>
              <w:rPr>
                <w:kern w:val="0"/>
                <w:sz w:val="18"/>
                <w:szCs w:val="18"/>
              </w:rPr>
            </w:pPr>
            <w:r>
              <w:rPr>
                <w:rFonts w:hint="eastAsia"/>
                <w:kern w:val="0"/>
                <w:sz w:val="18"/>
                <w:szCs w:val="18"/>
              </w:rPr>
              <w:t>声环境</w:t>
            </w:r>
          </w:p>
        </w:tc>
        <w:tc>
          <w:tcPr>
            <w:tcW w:w="724" w:type="pct"/>
            <w:vAlign w:val="center"/>
          </w:tcPr>
          <w:p w:rsidR="00EE4502" w:rsidRDefault="00FD45A3">
            <w:pPr>
              <w:widowControl/>
              <w:jc w:val="center"/>
              <w:rPr>
                <w:kern w:val="0"/>
                <w:sz w:val="18"/>
                <w:szCs w:val="18"/>
              </w:rPr>
            </w:pPr>
            <w:r>
              <w:rPr>
                <w:rFonts w:hint="eastAsia"/>
                <w:kern w:val="0"/>
                <w:sz w:val="18"/>
                <w:szCs w:val="18"/>
              </w:rPr>
              <w:t>-1D</w:t>
            </w:r>
          </w:p>
        </w:tc>
        <w:tc>
          <w:tcPr>
            <w:tcW w:w="823" w:type="pct"/>
            <w:vAlign w:val="center"/>
          </w:tcPr>
          <w:p w:rsidR="00EE4502" w:rsidRDefault="00FD45A3">
            <w:pPr>
              <w:widowControl/>
              <w:jc w:val="center"/>
              <w:rPr>
                <w:rFonts w:hAnsi="宋体"/>
                <w:kern w:val="0"/>
                <w:sz w:val="18"/>
                <w:szCs w:val="18"/>
              </w:rPr>
            </w:pPr>
            <w:r>
              <w:rPr>
                <w:rFonts w:hint="eastAsia"/>
                <w:kern w:val="0"/>
                <w:sz w:val="18"/>
                <w:szCs w:val="18"/>
              </w:rPr>
              <w:t>-1D</w:t>
            </w:r>
          </w:p>
        </w:tc>
        <w:tc>
          <w:tcPr>
            <w:tcW w:w="856" w:type="pct"/>
            <w:vAlign w:val="center"/>
          </w:tcPr>
          <w:p w:rsidR="00EE4502" w:rsidRDefault="00FD45A3">
            <w:pPr>
              <w:widowControl/>
              <w:jc w:val="center"/>
              <w:rPr>
                <w:rFonts w:hAnsi="宋体"/>
                <w:kern w:val="0"/>
                <w:sz w:val="18"/>
                <w:szCs w:val="18"/>
              </w:rPr>
            </w:pPr>
            <w:r>
              <w:rPr>
                <w:rFonts w:hint="eastAsia"/>
                <w:kern w:val="0"/>
                <w:sz w:val="18"/>
                <w:szCs w:val="18"/>
              </w:rPr>
              <w:t>-1D</w:t>
            </w:r>
          </w:p>
        </w:tc>
        <w:tc>
          <w:tcPr>
            <w:tcW w:w="690" w:type="pct"/>
            <w:vAlign w:val="center"/>
          </w:tcPr>
          <w:p w:rsidR="00EE4502" w:rsidRDefault="00FD45A3">
            <w:pPr>
              <w:widowControl/>
              <w:jc w:val="center"/>
              <w:rPr>
                <w:rFonts w:hAnsi="宋体"/>
                <w:kern w:val="0"/>
                <w:sz w:val="18"/>
                <w:szCs w:val="18"/>
              </w:rPr>
            </w:pPr>
            <w:r>
              <w:rPr>
                <w:rFonts w:hint="eastAsia"/>
                <w:kern w:val="0"/>
                <w:sz w:val="18"/>
                <w:szCs w:val="18"/>
              </w:rPr>
              <w:t>-1C</w:t>
            </w:r>
          </w:p>
        </w:tc>
        <w:tc>
          <w:tcPr>
            <w:tcW w:w="408" w:type="pct"/>
            <w:vAlign w:val="center"/>
          </w:tcPr>
          <w:p w:rsidR="00EE4502" w:rsidRDefault="00FD45A3">
            <w:pPr>
              <w:widowControl/>
              <w:jc w:val="center"/>
              <w:rPr>
                <w:rFonts w:hAnsi="宋体"/>
                <w:kern w:val="0"/>
                <w:sz w:val="18"/>
                <w:szCs w:val="18"/>
              </w:rPr>
            </w:pPr>
            <w:r>
              <w:rPr>
                <w:rFonts w:hint="eastAsia"/>
                <w:kern w:val="0"/>
                <w:sz w:val="18"/>
                <w:szCs w:val="18"/>
              </w:rPr>
              <w:t>-1D</w:t>
            </w:r>
          </w:p>
        </w:tc>
        <w:tc>
          <w:tcPr>
            <w:tcW w:w="414" w:type="pct"/>
            <w:vAlign w:val="center"/>
          </w:tcPr>
          <w:p w:rsidR="00EE4502" w:rsidRDefault="00FD45A3">
            <w:pPr>
              <w:widowControl/>
              <w:jc w:val="center"/>
              <w:rPr>
                <w:kern w:val="0"/>
                <w:sz w:val="18"/>
                <w:szCs w:val="18"/>
              </w:rPr>
            </w:pPr>
            <w:r>
              <w:rPr>
                <w:rFonts w:hint="eastAsia"/>
                <w:kern w:val="0"/>
                <w:sz w:val="18"/>
                <w:szCs w:val="18"/>
              </w:rPr>
              <w:t>-1D</w:t>
            </w:r>
          </w:p>
        </w:tc>
      </w:tr>
      <w:tr w:rsidR="00EE4502">
        <w:trPr>
          <w:trHeight w:val="340"/>
          <w:jc w:val="center"/>
        </w:trPr>
        <w:tc>
          <w:tcPr>
            <w:tcW w:w="293" w:type="pct"/>
            <w:vMerge/>
            <w:vAlign w:val="center"/>
          </w:tcPr>
          <w:p w:rsidR="00EE4502" w:rsidRDefault="00EE4502">
            <w:pPr>
              <w:widowControl/>
              <w:jc w:val="center"/>
              <w:rPr>
                <w:kern w:val="0"/>
                <w:sz w:val="18"/>
                <w:szCs w:val="18"/>
              </w:rPr>
            </w:pPr>
          </w:p>
        </w:tc>
        <w:tc>
          <w:tcPr>
            <w:tcW w:w="789" w:type="pct"/>
            <w:vAlign w:val="center"/>
          </w:tcPr>
          <w:p w:rsidR="00EE4502" w:rsidRDefault="00FD45A3">
            <w:pPr>
              <w:widowControl/>
              <w:jc w:val="center"/>
              <w:rPr>
                <w:kern w:val="0"/>
                <w:sz w:val="18"/>
                <w:szCs w:val="18"/>
              </w:rPr>
            </w:pPr>
            <w:r>
              <w:rPr>
                <w:rFonts w:hint="eastAsia"/>
                <w:kern w:val="0"/>
                <w:sz w:val="18"/>
                <w:szCs w:val="18"/>
              </w:rPr>
              <w:t>土壤环境</w:t>
            </w:r>
          </w:p>
        </w:tc>
        <w:tc>
          <w:tcPr>
            <w:tcW w:w="724" w:type="pct"/>
            <w:vAlign w:val="center"/>
          </w:tcPr>
          <w:p w:rsidR="00EE4502" w:rsidRDefault="00FD45A3">
            <w:pPr>
              <w:widowControl/>
              <w:jc w:val="center"/>
              <w:rPr>
                <w:kern w:val="0"/>
                <w:sz w:val="18"/>
                <w:szCs w:val="18"/>
              </w:rPr>
            </w:pPr>
            <w:r>
              <w:rPr>
                <w:rFonts w:hint="eastAsia"/>
                <w:kern w:val="0"/>
                <w:sz w:val="18"/>
                <w:szCs w:val="18"/>
              </w:rPr>
              <w:t>--</w:t>
            </w:r>
          </w:p>
        </w:tc>
        <w:tc>
          <w:tcPr>
            <w:tcW w:w="823" w:type="pct"/>
            <w:vAlign w:val="center"/>
          </w:tcPr>
          <w:p w:rsidR="00EE4502" w:rsidRDefault="00FD45A3">
            <w:pPr>
              <w:widowControl/>
              <w:jc w:val="center"/>
              <w:rPr>
                <w:rFonts w:hAnsi="宋体"/>
                <w:kern w:val="0"/>
                <w:sz w:val="18"/>
                <w:szCs w:val="18"/>
              </w:rPr>
            </w:pPr>
            <w:r>
              <w:rPr>
                <w:rFonts w:hint="eastAsia"/>
                <w:kern w:val="0"/>
                <w:sz w:val="18"/>
                <w:szCs w:val="18"/>
              </w:rPr>
              <w:t>-1D</w:t>
            </w:r>
          </w:p>
        </w:tc>
        <w:tc>
          <w:tcPr>
            <w:tcW w:w="856" w:type="pct"/>
            <w:vAlign w:val="center"/>
          </w:tcPr>
          <w:p w:rsidR="00EE4502" w:rsidRDefault="00FD45A3">
            <w:pPr>
              <w:widowControl/>
              <w:jc w:val="center"/>
              <w:rPr>
                <w:rFonts w:hAnsi="宋体"/>
                <w:kern w:val="0"/>
                <w:sz w:val="18"/>
                <w:szCs w:val="18"/>
              </w:rPr>
            </w:pPr>
            <w:r>
              <w:rPr>
                <w:rFonts w:hint="eastAsia"/>
                <w:kern w:val="0"/>
                <w:sz w:val="18"/>
                <w:szCs w:val="18"/>
              </w:rPr>
              <w:t>-1D</w:t>
            </w:r>
          </w:p>
        </w:tc>
        <w:tc>
          <w:tcPr>
            <w:tcW w:w="690" w:type="pct"/>
            <w:vAlign w:val="center"/>
          </w:tcPr>
          <w:p w:rsidR="00EE4502" w:rsidRDefault="00FD45A3">
            <w:pPr>
              <w:widowControl/>
              <w:jc w:val="center"/>
              <w:rPr>
                <w:rFonts w:hAnsi="宋体"/>
                <w:kern w:val="0"/>
                <w:sz w:val="18"/>
                <w:szCs w:val="18"/>
              </w:rPr>
            </w:pPr>
            <w:r>
              <w:rPr>
                <w:rFonts w:hint="eastAsia"/>
                <w:kern w:val="0"/>
                <w:sz w:val="18"/>
                <w:szCs w:val="18"/>
              </w:rPr>
              <w:t>-1C</w:t>
            </w:r>
          </w:p>
        </w:tc>
        <w:tc>
          <w:tcPr>
            <w:tcW w:w="408" w:type="pct"/>
            <w:vAlign w:val="center"/>
          </w:tcPr>
          <w:p w:rsidR="00EE4502" w:rsidRDefault="00FD45A3">
            <w:pPr>
              <w:widowControl/>
              <w:jc w:val="center"/>
              <w:rPr>
                <w:rFonts w:hAnsi="宋体"/>
                <w:kern w:val="0"/>
                <w:sz w:val="18"/>
                <w:szCs w:val="18"/>
              </w:rPr>
            </w:pPr>
            <w:r>
              <w:rPr>
                <w:rFonts w:hint="eastAsia"/>
                <w:kern w:val="0"/>
                <w:sz w:val="18"/>
                <w:szCs w:val="18"/>
              </w:rPr>
              <w:t>--</w:t>
            </w:r>
          </w:p>
        </w:tc>
        <w:tc>
          <w:tcPr>
            <w:tcW w:w="414" w:type="pct"/>
            <w:vAlign w:val="center"/>
          </w:tcPr>
          <w:p w:rsidR="00EE4502" w:rsidRDefault="00FD45A3">
            <w:pPr>
              <w:widowControl/>
              <w:jc w:val="center"/>
              <w:rPr>
                <w:kern w:val="0"/>
                <w:sz w:val="18"/>
                <w:szCs w:val="18"/>
              </w:rPr>
            </w:pPr>
            <w:r>
              <w:rPr>
                <w:rFonts w:hint="eastAsia"/>
                <w:kern w:val="0"/>
                <w:sz w:val="18"/>
                <w:szCs w:val="18"/>
              </w:rPr>
              <w:t>--</w:t>
            </w:r>
          </w:p>
        </w:tc>
      </w:tr>
      <w:tr w:rsidR="00EE4502">
        <w:trPr>
          <w:trHeight w:val="340"/>
          <w:jc w:val="center"/>
        </w:trPr>
        <w:tc>
          <w:tcPr>
            <w:tcW w:w="293" w:type="pct"/>
            <w:vMerge w:val="restart"/>
            <w:vAlign w:val="center"/>
          </w:tcPr>
          <w:p w:rsidR="00EE4502" w:rsidRDefault="00FD45A3">
            <w:pPr>
              <w:widowControl/>
              <w:jc w:val="center"/>
              <w:rPr>
                <w:kern w:val="0"/>
                <w:sz w:val="18"/>
                <w:szCs w:val="18"/>
              </w:rPr>
            </w:pPr>
            <w:r>
              <w:rPr>
                <w:rFonts w:hint="eastAsia"/>
                <w:kern w:val="0"/>
                <w:sz w:val="18"/>
                <w:szCs w:val="18"/>
              </w:rPr>
              <w:t>生态</w:t>
            </w:r>
          </w:p>
          <w:p w:rsidR="00EE4502" w:rsidRDefault="00FD45A3">
            <w:pPr>
              <w:widowControl/>
              <w:jc w:val="center"/>
              <w:rPr>
                <w:kern w:val="0"/>
                <w:sz w:val="18"/>
                <w:szCs w:val="18"/>
              </w:rPr>
            </w:pPr>
            <w:r>
              <w:rPr>
                <w:rFonts w:hint="eastAsia"/>
                <w:kern w:val="0"/>
                <w:sz w:val="18"/>
                <w:szCs w:val="18"/>
              </w:rPr>
              <w:lastRenderedPageBreak/>
              <w:t>环境</w:t>
            </w:r>
          </w:p>
        </w:tc>
        <w:tc>
          <w:tcPr>
            <w:tcW w:w="789" w:type="pct"/>
            <w:vAlign w:val="center"/>
          </w:tcPr>
          <w:p w:rsidR="00EE4502" w:rsidRDefault="00FD45A3">
            <w:pPr>
              <w:widowControl/>
              <w:jc w:val="center"/>
              <w:rPr>
                <w:kern w:val="0"/>
                <w:sz w:val="18"/>
                <w:szCs w:val="18"/>
              </w:rPr>
            </w:pPr>
            <w:r>
              <w:rPr>
                <w:rFonts w:hint="eastAsia"/>
                <w:kern w:val="0"/>
                <w:sz w:val="18"/>
                <w:szCs w:val="18"/>
              </w:rPr>
              <w:lastRenderedPageBreak/>
              <w:t>地表扰动</w:t>
            </w:r>
          </w:p>
        </w:tc>
        <w:tc>
          <w:tcPr>
            <w:tcW w:w="724" w:type="pct"/>
            <w:vAlign w:val="center"/>
          </w:tcPr>
          <w:p w:rsidR="00EE4502" w:rsidRDefault="00FD45A3">
            <w:pPr>
              <w:widowControl/>
              <w:jc w:val="center"/>
              <w:rPr>
                <w:kern w:val="0"/>
                <w:sz w:val="18"/>
                <w:szCs w:val="18"/>
              </w:rPr>
            </w:pPr>
            <w:r>
              <w:rPr>
                <w:rFonts w:hint="eastAsia"/>
                <w:kern w:val="0"/>
                <w:sz w:val="18"/>
                <w:szCs w:val="18"/>
              </w:rPr>
              <w:t>-1C</w:t>
            </w:r>
          </w:p>
        </w:tc>
        <w:tc>
          <w:tcPr>
            <w:tcW w:w="823" w:type="pct"/>
            <w:vAlign w:val="center"/>
          </w:tcPr>
          <w:p w:rsidR="00EE4502" w:rsidRDefault="00FD45A3">
            <w:pPr>
              <w:widowControl/>
              <w:jc w:val="center"/>
              <w:rPr>
                <w:rFonts w:hAnsi="宋体"/>
                <w:kern w:val="0"/>
                <w:sz w:val="18"/>
                <w:szCs w:val="18"/>
              </w:rPr>
            </w:pPr>
            <w:r>
              <w:rPr>
                <w:rFonts w:hint="eastAsia"/>
                <w:kern w:val="0"/>
                <w:sz w:val="18"/>
                <w:szCs w:val="18"/>
              </w:rPr>
              <w:t>--</w:t>
            </w:r>
          </w:p>
        </w:tc>
        <w:tc>
          <w:tcPr>
            <w:tcW w:w="856" w:type="pct"/>
            <w:vAlign w:val="center"/>
          </w:tcPr>
          <w:p w:rsidR="00EE4502" w:rsidRDefault="00FD45A3">
            <w:pPr>
              <w:widowControl/>
              <w:jc w:val="center"/>
              <w:rPr>
                <w:rFonts w:hAnsi="宋体"/>
                <w:kern w:val="0"/>
                <w:sz w:val="18"/>
                <w:szCs w:val="18"/>
              </w:rPr>
            </w:pPr>
            <w:r>
              <w:rPr>
                <w:rFonts w:hint="eastAsia"/>
                <w:kern w:val="0"/>
                <w:sz w:val="18"/>
                <w:szCs w:val="18"/>
              </w:rPr>
              <w:t>-1C</w:t>
            </w:r>
          </w:p>
        </w:tc>
        <w:tc>
          <w:tcPr>
            <w:tcW w:w="690" w:type="pct"/>
            <w:vAlign w:val="center"/>
          </w:tcPr>
          <w:p w:rsidR="00EE4502" w:rsidRDefault="00FD45A3">
            <w:pPr>
              <w:widowControl/>
              <w:jc w:val="center"/>
              <w:rPr>
                <w:rFonts w:hAnsi="宋体"/>
                <w:kern w:val="0"/>
                <w:sz w:val="18"/>
                <w:szCs w:val="18"/>
              </w:rPr>
            </w:pPr>
            <w:r>
              <w:rPr>
                <w:rFonts w:hint="eastAsia"/>
                <w:kern w:val="0"/>
                <w:sz w:val="18"/>
                <w:szCs w:val="18"/>
              </w:rPr>
              <w:t>--</w:t>
            </w:r>
          </w:p>
        </w:tc>
        <w:tc>
          <w:tcPr>
            <w:tcW w:w="408" w:type="pct"/>
            <w:vAlign w:val="center"/>
          </w:tcPr>
          <w:p w:rsidR="00EE4502" w:rsidRDefault="00FD45A3">
            <w:pPr>
              <w:widowControl/>
              <w:jc w:val="center"/>
              <w:rPr>
                <w:rFonts w:hAnsi="宋体"/>
                <w:kern w:val="0"/>
                <w:sz w:val="18"/>
                <w:szCs w:val="18"/>
              </w:rPr>
            </w:pPr>
            <w:r>
              <w:rPr>
                <w:rFonts w:hint="eastAsia"/>
                <w:kern w:val="0"/>
                <w:sz w:val="18"/>
                <w:szCs w:val="18"/>
              </w:rPr>
              <w:t>-1D</w:t>
            </w:r>
          </w:p>
        </w:tc>
        <w:tc>
          <w:tcPr>
            <w:tcW w:w="414" w:type="pct"/>
            <w:vAlign w:val="center"/>
          </w:tcPr>
          <w:p w:rsidR="00EE4502" w:rsidRDefault="00FD45A3">
            <w:pPr>
              <w:widowControl/>
              <w:jc w:val="center"/>
              <w:rPr>
                <w:kern w:val="0"/>
                <w:sz w:val="18"/>
                <w:szCs w:val="18"/>
              </w:rPr>
            </w:pPr>
            <w:r>
              <w:rPr>
                <w:rFonts w:hint="eastAsia"/>
                <w:kern w:val="0"/>
                <w:sz w:val="18"/>
                <w:szCs w:val="18"/>
              </w:rPr>
              <w:t>-1D</w:t>
            </w:r>
          </w:p>
        </w:tc>
      </w:tr>
      <w:tr w:rsidR="00EE4502">
        <w:trPr>
          <w:trHeight w:val="340"/>
          <w:jc w:val="center"/>
        </w:trPr>
        <w:tc>
          <w:tcPr>
            <w:tcW w:w="293" w:type="pct"/>
            <w:vMerge/>
            <w:vAlign w:val="center"/>
          </w:tcPr>
          <w:p w:rsidR="00EE4502" w:rsidRDefault="00EE4502">
            <w:pPr>
              <w:widowControl/>
              <w:jc w:val="center"/>
              <w:rPr>
                <w:kern w:val="0"/>
                <w:sz w:val="18"/>
                <w:szCs w:val="18"/>
              </w:rPr>
            </w:pPr>
          </w:p>
        </w:tc>
        <w:tc>
          <w:tcPr>
            <w:tcW w:w="789" w:type="pct"/>
            <w:vAlign w:val="center"/>
          </w:tcPr>
          <w:p w:rsidR="00EE4502" w:rsidRDefault="00FD45A3">
            <w:pPr>
              <w:widowControl/>
              <w:jc w:val="center"/>
              <w:rPr>
                <w:kern w:val="0"/>
                <w:sz w:val="18"/>
                <w:szCs w:val="18"/>
              </w:rPr>
            </w:pPr>
            <w:r>
              <w:rPr>
                <w:rFonts w:hint="eastAsia"/>
                <w:kern w:val="0"/>
                <w:sz w:val="18"/>
                <w:szCs w:val="18"/>
              </w:rPr>
              <w:t>土壤肥力</w:t>
            </w:r>
          </w:p>
        </w:tc>
        <w:tc>
          <w:tcPr>
            <w:tcW w:w="724" w:type="pct"/>
            <w:vAlign w:val="center"/>
          </w:tcPr>
          <w:p w:rsidR="00EE4502" w:rsidRDefault="00FD45A3">
            <w:pPr>
              <w:widowControl/>
              <w:jc w:val="center"/>
              <w:rPr>
                <w:kern w:val="0"/>
                <w:sz w:val="18"/>
                <w:szCs w:val="18"/>
              </w:rPr>
            </w:pPr>
            <w:r>
              <w:rPr>
                <w:rFonts w:hint="eastAsia"/>
                <w:kern w:val="0"/>
                <w:sz w:val="18"/>
                <w:szCs w:val="18"/>
              </w:rPr>
              <w:t>--</w:t>
            </w:r>
          </w:p>
        </w:tc>
        <w:tc>
          <w:tcPr>
            <w:tcW w:w="823" w:type="pct"/>
            <w:vAlign w:val="center"/>
          </w:tcPr>
          <w:p w:rsidR="00EE4502" w:rsidRDefault="00FD45A3">
            <w:pPr>
              <w:widowControl/>
              <w:jc w:val="center"/>
              <w:rPr>
                <w:rFonts w:hAnsi="宋体"/>
                <w:kern w:val="0"/>
                <w:sz w:val="18"/>
                <w:szCs w:val="18"/>
              </w:rPr>
            </w:pPr>
            <w:r>
              <w:rPr>
                <w:rFonts w:hint="eastAsia"/>
                <w:kern w:val="0"/>
                <w:sz w:val="18"/>
                <w:szCs w:val="18"/>
              </w:rPr>
              <w:t>--</w:t>
            </w:r>
          </w:p>
        </w:tc>
        <w:tc>
          <w:tcPr>
            <w:tcW w:w="856" w:type="pct"/>
            <w:vAlign w:val="center"/>
          </w:tcPr>
          <w:p w:rsidR="00EE4502" w:rsidRDefault="00FD45A3">
            <w:pPr>
              <w:widowControl/>
              <w:jc w:val="center"/>
              <w:rPr>
                <w:rFonts w:hAnsi="宋体"/>
                <w:kern w:val="0"/>
                <w:sz w:val="18"/>
                <w:szCs w:val="18"/>
              </w:rPr>
            </w:pPr>
            <w:r>
              <w:rPr>
                <w:rFonts w:hint="eastAsia"/>
                <w:kern w:val="0"/>
                <w:sz w:val="18"/>
                <w:szCs w:val="18"/>
              </w:rPr>
              <w:t>-1C</w:t>
            </w:r>
          </w:p>
        </w:tc>
        <w:tc>
          <w:tcPr>
            <w:tcW w:w="690" w:type="pct"/>
            <w:vAlign w:val="center"/>
          </w:tcPr>
          <w:p w:rsidR="00EE4502" w:rsidRDefault="00FD45A3">
            <w:pPr>
              <w:widowControl/>
              <w:jc w:val="center"/>
              <w:rPr>
                <w:rFonts w:hAnsi="宋体"/>
                <w:kern w:val="0"/>
                <w:sz w:val="18"/>
                <w:szCs w:val="18"/>
              </w:rPr>
            </w:pPr>
            <w:r>
              <w:rPr>
                <w:rFonts w:hint="eastAsia"/>
                <w:kern w:val="0"/>
                <w:sz w:val="18"/>
                <w:szCs w:val="18"/>
              </w:rPr>
              <w:t>--</w:t>
            </w:r>
          </w:p>
        </w:tc>
        <w:tc>
          <w:tcPr>
            <w:tcW w:w="408" w:type="pct"/>
            <w:vAlign w:val="center"/>
          </w:tcPr>
          <w:p w:rsidR="00EE4502" w:rsidRDefault="00FD45A3">
            <w:pPr>
              <w:widowControl/>
              <w:jc w:val="center"/>
              <w:rPr>
                <w:rFonts w:hAnsi="宋体"/>
                <w:kern w:val="0"/>
                <w:sz w:val="18"/>
                <w:szCs w:val="18"/>
              </w:rPr>
            </w:pPr>
            <w:r>
              <w:rPr>
                <w:rFonts w:hint="eastAsia"/>
                <w:kern w:val="0"/>
                <w:sz w:val="18"/>
                <w:szCs w:val="18"/>
              </w:rPr>
              <w:t>-1D</w:t>
            </w:r>
          </w:p>
        </w:tc>
        <w:tc>
          <w:tcPr>
            <w:tcW w:w="414" w:type="pct"/>
            <w:vAlign w:val="center"/>
          </w:tcPr>
          <w:p w:rsidR="00EE4502" w:rsidRDefault="00FD45A3">
            <w:pPr>
              <w:widowControl/>
              <w:jc w:val="center"/>
              <w:rPr>
                <w:kern w:val="0"/>
                <w:sz w:val="18"/>
                <w:szCs w:val="18"/>
              </w:rPr>
            </w:pPr>
            <w:r>
              <w:rPr>
                <w:rFonts w:hint="eastAsia"/>
                <w:kern w:val="0"/>
                <w:sz w:val="18"/>
                <w:szCs w:val="18"/>
              </w:rPr>
              <w:t>-1D</w:t>
            </w:r>
          </w:p>
        </w:tc>
      </w:tr>
      <w:tr w:rsidR="00EE4502">
        <w:trPr>
          <w:trHeight w:val="340"/>
          <w:jc w:val="center"/>
        </w:trPr>
        <w:tc>
          <w:tcPr>
            <w:tcW w:w="293" w:type="pct"/>
            <w:vMerge/>
            <w:vAlign w:val="center"/>
          </w:tcPr>
          <w:p w:rsidR="00EE4502" w:rsidRDefault="00EE4502">
            <w:pPr>
              <w:widowControl/>
              <w:jc w:val="center"/>
              <w:rPr>
                <w:kern w:val="0"/>
                <w:sz w:val="18"/>
                <w:szCs w:val="18"/>
              </w:rPr>
            </w:pPr>
          </w:p>
        </w:tc>
        <w:tc>
          <w:tcPr>
            <w:tcW w:w="789" w:type="pct"/>
            <w:vAlign w:val="center"/>
          </w:tcPr>
          <w:p w:rsidR="00EE4502" w:rsidRDefault="00FD45A3">
            <w:pPr>
              <w:widowControl/>
              <w:jc w:val="center"/>
              <w:rPr>
                <w:kern w:val="0"/>
                <w:sz w:val="18"/>
                <w:szCs w:val="18"/>
              </w:rPr>
            </w:pPr>
            <w:r>
              <w:rPr>
                <w:rFonts w:hint="eastAsia"/>
                <w:kern w:val="0"/>
                <w:sz w:val="18"/>
                <w:szCs w:val="18"/>
              </w:rPr>
              <w:t>植被覆盖度</w:t>
            </w:r>
          </w:p>
        </w:tc>
        <w:tc>
          <w:tcPr>
            <w:tcW w:w="724" w:type="pct"/>
            <w:vAlign w:val="center"/>
          </w:tcPr>
          <w:p w:rsidR="00EE4502" w:rsidRDefault="00FD45A3">
            <w:pPr>
              <w:widowControl/>
              <w:jc w:val="center"/>
              <w:rPr>
                <w:kern w:val="0"/>
                <w:sz w:val="18"/>
                <w:szCs w:val="18"/>
              </w:rPr>
            </w:pPr>
            <w:r>
              <w:rPr>
                <w:rFonts w:hint="eastAsia"/>
                <w:kern w:val="0"/>
                <w:sz w:val="18"/>
                <w:szCs w:val="18"/>
              </w:rPr>
              <w:t>--</w:t>
            </w:r>
          </w:p>
        </w:tc>
        <w:tc>
          <w:tcPr>
            <w:tcW w:w="823" w:type="pct"/>
            <w:vAlign w:val="center"/>
          </w:tcPr>
          <w:p w:rsidR="00EE4502" w:rsidRDefault="00FD45A3">
            <w:pPr>
              <w:widowControl/>
              <w:jc w:val="center"/>
              <w:rPr>
                <w:rFonts w:hAnsi="宋体"/>
                <w:kern w:val="0"/>
                <w:sz w:val="18"/>
                <w:szCs w:val="18"/>
              </w:rPr>
            </w:pPr>
            <w:r>
              <w:rPr>
                <w:rFonts w:hint="eastAsia"/>
                <w:kern w:val="0"/>
                <w:sz w:val="18"/>
                <w:szCs w:val="18"/>
              </w:rPr>
              <w:t>--</w:t>
            </w:r>
          </w:p>
        </w:tc>
        <w:tc>
          <w:tcPr>
            <w:tcW w:w="856" w:type="pct"/>
            <w:vAlign w:val="center"/>
          </w:tcPr>
          <w:p w:rsidR="00EE4502" w:rsidRDefault="00FD45A3">
            <w:pPr>
              <w:widowControl/>
              <w:jc w:val="center"/>
              <w:rPr>
                <w:rFonts w:hAnsi="宋体"/>
                <w:kern w:val="0"/>
                <w:sz w:val="18"/>
                <w:szCs w:val="18"/>
              </w:rPr>
            </w:pPr>
            <w:r>
              <w:rPr>
                <w:rFonts w:hint="eastAsia"/>
                <w:kern w:val="0"/>
                <w:sz w:val="18"/>
                <w:szCs w:val="18"/>
              </w:rPr>
              <w:t>-1C</w:t>
            </w:r>
          </w:p>
        </w:tc>
        <w:tc>
          <w:tcPr>
            <w:tcW w:w="690" w:type="pct"/>
            <w:vAlign w:val="center"/>
          </w:tcPr>
          <w:p w:rsidR="00EE4502" w:rsidRDefault="00FD45A3">
            <w:pPr>
              <w:widowControl/>
              <w:jc w:val="center"/>
              <w:rPr>
                <w:rFonts w:hAnsi="宋体"/>
                <w:kern w:val="0"/>
                <w:sz w:val="18"/>
                <w:szCs w:val="18"/>
              </w:rPr>
            </w:pPr>
            <w:r>
              <w:rPr>
                <w:rFonts w:hint="eastAsia"/>
                <w:kern w:val="0"/>
                <w:sz w:val="18"/>
                <w:szCs w:val="18"/>
              </w:rPr>
              <w:t>--</w:t>
            </w:r>
          </w:p>
        </w:tc>
        <w:tc>
          <w:tcPr>
            <w:tcW w:w="408" w:type="pct"/>
            <w:vAlign w:val="center"/>
          </w:tcPr>
          <w:p w:rsidR="00EE4502" w:rsidRDefault="00FD45A3">
            <w:pPr>
              <w:widowControl/>
              <w:jc w:val="center"/>
              <w:rPr>
                <w:rFonts w:hAnsi="宋体"/>
                <w:kern w:val="0"/>
                <w:sz w:val="18"/>
                <w:szCs w:val="18"/>
              </w:rPr>
            </w:pPr>
            <w:r>
              <w:rPr>
                <w:rFonts w:hint="eastAsia"/>
                <w:kern w:val="0"/>
                <w:sz w:val="18"/>
                <w:szCs w:val="18"/>
              </w:rPr>
              <w:t>--</w:t>
            </w:r>
          </w:p>
        </w:tc>
        <w:tc>
          <w:tcPr>
            <w:tcW w:w="414" w:type="pct"/>
            <w:vAlign w:val="center"/>
          </w:tcPr>
          <w:p w:rsidR="00EE4502" w:rsidRDefault="00FD45A3">
            <w:pPr>
              <w:widowControl/>
              <w:jc w:val="center"/>
              <w:rPr>
                <w:kern w:val="0"/>
                <w:sz w:val="18"/>
                <w:szCs w:val="18"/>
              </w:rPr>
            </w:pPr>
            <w:r>
              <w:rPr>
                <w:rFonts w:hint="eastAsia"/>
                <w:kern w:val="0"/>
                <w:sz w:val="18"/>
                <w:szCs w:val="18"/>
              </w:rPr>
              <w:t>+1D</w:t>
            </w:r>
          </w:p>
        </w:tc>
      </w:tr>
      <w:tr w:rsidR="00EE4502">
        <w:trPr>
          <w:trHeight w:val="340"/>
          <w:jc w:val="center"/>
        </w:trPr>
        <w:tc>
          <w:tcPr>
            <w:tcW w:w="293" w:type="pct"/>
            <w:vMerge/>
            <w:vAlign w:val="center"/>
          </w:tcPr>
          <w:p w:rsidR="00EE4502" w:rsidRDefault="00EE4502">
            <w:pPr>
              <w:widowControl/>
              <w:jc w:val="center"/>
              <w:rPr>
                <w:kern w:val="0"/>
                <w:sz w:val="18"/>
                <w:szCs w:val="18"/>
              </w:rPr>
            </w:pPr>
          </w:p>
        </w:tc>
        <w:tc>
          <w:tcPr>
            <w:tcW w:w="789" w:type="pct"/>
            <w:vAlign w:val="center"/>
          </w:tcPr>
          <w:p w:rsidR="00EE4502" w:rsidRDefault="00FD45A3">
            <w:pPr>
              <w:widowControl/>
              <w:jc w:val="center"/>
              <w:rPr>
                <w:kern w:val="0"/>
                <w:sz w:val="18"/>
                <w:szCs w:val="18"/>
              </w:rPr>
            </w:pPr>
            <w:r>
              <w:rPr>
                <w:rFonts w:hint="eastAsia"/>
                <w:kern w:val="0"/>
                <w:sz w:val="18"/>
                <w:szCs w:val="18"/>
              </w:rPr>
              <w:t>生物量损失</w:t>
            </w:r>
          </w:p>
        </w:tc>
        <w:tc>
          <w:tcPr>
            <w:tcW w:w="724" w:type="pct"/>
            <w:vAlign w:val="center"/>
          </w:tcPr>
          <w:p w:rsidR="00EE4502" w:rsidRDefault="00FD45A3">
            <w:pPr>
              <w:widowControl/>
              <w:jc w:val="center"/>
              <w:rPr>
                <w:kern w:val="0"/>
                <w:sz w:val="18"/>
                <w:szCs w:val="18"/>
              </w:rPr>
            </w:pPr>
            <w:r>
              <w:rPr>
                <w:rFonts w:hint="eastAsia"/>
                <w:kern w:val="0"/>
                <w:sz w:val="18"/>
                <w:szCs w:val="18"/>
              </w:rPr>
              <w:t>--</w:t>
            </w:r>
          </w:p>
        </w:tc>
        <w:tc>
          <w:tcPr>
            <w:tcW w:w="823" w:type="pct"/>
            <w:vAlign w:val="center"/>
          </w:tcPr>
          <w:p w:rsidR="00EE4502" w:rsidRDefault="00FD45A3">
            <w:pPr>
              <w:widowControl/>
              <w:jc w:val="center"/>
              <w:rPr>
                <w:rFonts w:hAnsi="宋体"/>
                <w:kern w:val="0"/>
                <w:sz w:val="18"/>
                <w:szCs w:val="18"/>
              </w:rPr>
            </w:pPr>
            <w:r>
              <w:rPr>
                <w:rFonts w:hint="eastAsia"/>
                <w:kern w:val="0"/>
                <w:sz w:val="18"/>
                <w:szCs w:val="18"/>
              </w:rPr>
              <w:t>--</w:t>
            </w:r>
          </w:p>
        </w:tc>
        <w:tc>
          <w:tcPr>
            <w:tcW w:w="856" w:type="pct"/>
            <w:vAlign w:val="center"/>
          </w:tcPr>
          <w:p w:rsidR="00EE4502" w:rsidRDefault="00FD45A3">
            <w:pPr>
              <w:widowControl/>
              <w:jc w:val="center"/>
              <w:rPr>
                <w:rFonts w:hAnsi="宋体"/>
                <w:kern w:val="0"/>
                <w:sz w:val="18"/>
                <w:szCs w:val="18"/>
              </w:rPr>
            </w:pPr>
            <w:r>
              <w:rPr>
                <w:rFonts w:hint="eastAsia"/>
                <w:kern w:val="0"/>
                <w:sz w:val="18"/>
                <w:szCs w:val="18"/>
              </w:rPr>
              <w:t>-1C</w:t>
            </w:r>
          </w:p>
        </w:tc>
        <w:tc>
          <w:tcPr>
            <w:tcW w:w="690" w:type="pct"/>
            <w:vAlign w:val="center"/>
          </w:tcPr>
          <w:p w:rsidR="00EE4502" w:rsidRDefault="00FD45A3">
            <w:pPr>
              <w:widowControl/>
              <w:jc w:val="center"/>
              <w:rPr>
                <w:rFonts w:hAnsi="宋体"/>
                <w:kern w:val="0"/>
                <w:sz w:val="18"/>
                <w:szCs w:val="18"/>
              </w:rPr>
            </w:pPr>
            <w:r>
              <w:rPr>
                <w:rFonts w:hint="eastAsia"/>
                <w:kern w:val="0"/>
                <w:sz w:val="18"/>
                <w:szCs w:val="18"/>
              </w:rPr>
              <w:t>--</w:t>
            </w:r>
          </w:p>
        </w:tc>
        <w:tc>
          <w:tcPr>
            <w:tcW w:w="408" w:type="pct"/>
            <w:vAlign w:val="center"/>
          </w:tcPr>
          <w:p w:rsidR="00EE4502" w:rsidRDefault="00FD45A3">
            <w:pPr>
              <w:widowControl/>
              <w:jc w:val="center"/>
              <w:rPr>
                <w:rFonts w:hAnsi="宋体"/>
                <w:kern w:val="0"/>
                <w:sz w:val="18"/>
                <w:szCs w:val="18"/>
              </w:rPr>
            </w:pPr>
            <w:r>
              <w:rPr>
                <w:rFonts w:hint="eastAsia"/>
                <w:kern w:val="0"/>
                <w:sz w:val="18"/>
                <w:szCs w:val="18"/>
              </w:rPr>
              <w:t>--</w:t>
            </w:r>
          </w:p>
        </w:tc>
        <w:tc>
          <w:tcPr>
            <w:tcW w:w="414" w:type="pct"/>
            <w:vAlign w:val="center"/>
          </w:tcPr>
          <w:p w:rsidR="00EE4502" w:rsidRDefault="00FD45A3">
            <w:pPr>
              <w:widowControl/>
              <w:jc w:val="center"/>
              <w:rPr>
                <w:kern w:val="0"/>
                <w:sz w:val="18"/>
                <w:szCs w:val="18"/>
              </w:rPr>
            </w:pPr>
            <w:r>
              <w:rPr>
                <w:rFonts w:hint="eastAsia"/>
                <w:kern w:val="0"/>
                <w:sz w:val="18"/>
                <w:szCs w:val="18"/>
              </w:rPr>
              <w:t>+1D</w:t>
            </w:r>
          </w:p>
        </w:tc>
      </w:tr>
      <w:tr w:rsidR="00EE4502">
        <w:trPr>
          <w:trHeight w:val="340"/>
          <w:jc w:val="center"/>
        </w:trPr>
        <w:tc>
          <w:tcPr>
            <w:tcW w:w="293" w:type="pct"/>
            <w:vMerge/>
            <w:vAlign w:val="center"/>
          </w:tcPr>
          <w:p w:rsidR="00EE4502" w:rsidRDefault="00EE4502">
            <w:pPr>
              <w:widowControl/>
              <w:jc w:val="center"/>
              <w:rPr>
                <w:kern w:val="0"/>
                <w:sz w:val="18"/>
                <w:szCs w:val="18"/>
              </w:rPr>
            </w:pPr>
          </w:p>
        </w:tc>
        <w:tc>
          <w:tcPr>
            <w:tcW w:w="789" w:type="pct"/>
            <w:vAlign w:val="center"/>
          </w:tcPr>
          <w:p w:rsidR="00EE4502" w:rsidRDefault="00FD45A3">
            <w:pPr>
              <w:widowControl/>
              <w:jc w:val="center"/>
              <w:rPr>
                <w:kern w:val="0"/>
                <w:sz w:val="18"/>
                <w:szCs w:val="18"/>
              </w:rPr>
            </w:pPr>
            <w:r>
              <w:rPr>
                <w:rFonts w:hint="eastAsia"/>
                <w:kern w:val="0"/>
                <w:sz w:val="18"/>
                <w:szCs w:val="18"/>
              </w:rPr>
              <w:t>生态系统完整性</w:t>
            </w:r>
          </w:p>
        </w:tc>
        <w:tc>
          <w:tcPr>
            <w:tcW w:w="724" w:type="pct"/>
            <w:vAlign w:val="center"/>
          </w:tcPr>
          <w:p w:rsidR="00EE4502" w:rsidRDefault="00FD45A3">
            <w:pPr>
              <w:widowControl/>
              <w:jc w:val="center"/>
              <w:rPr>
                <w:rFonts w:hAnsi="宋体"/>
                <w:kern w:val="0"/>
                <w:sz w:val="18"/>
                <w:szCs w:val="18"/>
              </w:rPr>
            </w:pPr>
            <w:r>
              <w:rPr>
                <w:rFonts w:hint="eastAsia"/>
                <w:kern w:val="0"/>
                <w:sz w:val="18"/>
                <w:szCs w:val="18"/>
              </w:rPr>
              <w:t>-1C</w:t>
            </w:r>
          </w:p>
        </w:tc>
        <w:tc>
          <w:tcPr>
            <w:tcW w:w="823" w:type="pct"/>
            <w:vAlign w:val="center"/>
          </w:tcPr>
          <w:p w:rsidR="00EE4502" w:rsidRDefault="00FD45A3">
            <w:pPr>
              <w:widowControl/>
              <w:jc w:val="center"/>
              <w:rPr>
                <w:rFonts w:hAnsi="宋体"/>
                <w:kern w:val="0"/>
                <w:sz w:val="18"/>
                <w:szCs w:val="18"/>
              </w:rPr>
            </w:pPr>
            <w:r>
              <w:rPr>
                <w:rFonts w:hint="eastAsia"/>
                <w:kern w:val="0"/>
                <w:sz w:val="18"/>
                <w:szCs w:val="18"/>
              </w:rPr>
              <w:t>--</w:t>
            </w:r>
          </w:p>
        </w:tc>
        <w:tc>
          <w:tcPr>
            <w:tcW w:w="856" w:type="pct"/>
            <w:vAlign w:val="center"/>
          </w:tcPr>
          <w:p w:rsidR="00EE4502" w:rsidRDefault="00FD45A3">
            <w:pPr>
              <w:widowControl/>
              <w:jc w:val="center"/>
              <w:rPr>
                <w:rFonts w:hAnsi="宋体"/>
                <w:kern w:val="0"/>
                <w:sz w:val="18"/>
                <w:szCs w:val="18"/>
              </w:rPr>
            </w:pPr>
            <w:r>
              <w:rPr>
                <w:rFonts w:hint="eastAsia"/>
                <w:kern w:val="0"/>
                <w:sz w:val="18"/>
                <w:szCs w:val="18"/>
              </w:rPr>
              <w:t>-1C</w:t>
            </w:r>
          </w:p>
        </w:tc>
        <w:tc>
          <w:tcPr>
            <w:tcW w:w="690" w:type="pct"/>
            <w:vAlign w:val="center"/>
          </w:tcPr>
          <w:p w:rsidR="00EE4502" w:rsidRDefault="00FD45A3">
            <w:pPr>
              <w:widowControl/>
              <w:jc w:val="center"/>
              <w:rPr>
                <w:rFonts w:hAnsi="宋体"/>
                <w:kern w:val="0"/>
                <w:sz w:val="18"/>
                <w:szCs w:val="18"/>
              </w:rPr>
            </w:pPr>
            <w:r>
              <w:rPr>
                <w:rFonts w:hint="eastAsia"/>
                <w:kern w:val="0"/>
                <w:sz w:val="18"/>
                <w:szCs w:val="18"/>
              </w:rPr>
              <w:t>--</w:t>
            </w:r>
          </w:p>
        </w:tc>
        <w:tc>
          <w:tcPr>
            <w:tcW w:w="408" w:type="pct"/>
            <w:vAlign w:val="center"/>
          </w:tcPr>
          <w:p w:rsidR="00EE4502" w:rsidRDefault="00FD45A3">
            <w:pPr>
              <w:widowControl/>
              <w:jc w:val="center"/>
              <w:rPr>
                <w:rFonts w:hAnsi="宋体"/>
                <w:kern w:val="0"/>
                <w:sz w:val="18"/>
                <w:szCs w:val="18"/>
              </w:rPr>
            </w:pPr>
            <w:r>
              <w:rPr>
                <w:rFonts w:hint="eastAsia"/>
                <w:kern w:val="0"/>
                <w:sz w:val="18"/>
                <w:szCs w:val="18"/>
              </w:rPr>
              <w:t>+1D</w:t>
            </w:r>
          </w:p>
        </w:tc>
        <w:tc>
          <w:tcPr>
            <w:tcW w:w="414" w:type="pct"/>
            <w:vAlign w:val="center"/>
          </w:tcPr>
          <w:p w:rsidR="00EE4502" w:rsidRDefault="00FD45A3">
            <w:pPr>
              <w:widowControl/>
              <w:jc w:val="center"/>
              <w:rPr>
                <w:kern w:val="0"/>
                <w:sz w:val="18"/>
                <w:szCs w:val="18"/>
              </w:rPr>
            </w:pPr>
            <w:r>
              <w:rPr>
                <w:rFonts w:hint="eastAsia"/>
                <w:kern w:val="0"/>
                <w:sz w:val="18"/>
                <w:szCs w:val="18"/>
              </w:rPr>
              <w:t>+1D</w:t>
            </w:r>
          </w:p>
        </w:tc>
      </w:tr>
      <w:tr w:rsidR="00EE4502">
        <w:trPr>
          <w:trHeight w:val="340"/>
          <w:jc w:val="center"/>
        </w:trPr>
        <w:tc>
          <w:tcPr>
            <w:tcW w:w="5000" w:type="pct"/>
            <w:gridSpan w:val="8"/>
            <w:vAlign w:val="center"/>
          </w:tcPr>
          <w:p w:rsidR="00EE4502" w:rsidRDefault="00FD45A3">
            <w:pPr>
              <w:widowControl/>
              <w:rPr>
                <w:kern w:val="0"/>
                <w:sz w:val="18"/>
                <w:szCs w:val="18"/>
              </w:rPr>
            </w:pPr>
            <w:r>
              <w:rPr>
                <w:rFonts w:hint="eastAsia"/>
                <w:kern w:val="0"/>
                <w:sz w:val="18"/>
                <w:szCs w:val="18"/>
              </w:rPr>
              <w:t>注：</w:t>
            </w:r>
            <w:r>
              <w:rPr>
                <w:rFonts w:hint="eastAsia"/>
                <w:kern w:val="0"/>
                <w:sz w:val="18"/>
                <w:szCs w:val="18"/>
              </w:rPr>
              <w:t>1.</w:t>
            </w:r>
            <w:r>
              <w:rPr>
                <w:rFonts w:hint="eastAsia"/>
                <w:kern w:val="0"/>
                <w:sz w:val="18"/>
                <w:szCs w:val="18"/>
              </w:rPr>
              <w:t>表中“</w:t>
            </w:r>
            <w:r>
              <w:rPr>
                <w:rFonts w:hint="eastAsia"/>
                <w:kern w:val="0"/>
                <w:sz w:val="18"/>
                <w:szCs w:val="18"/>
              </w:rPr>
              <w:t>+</w:t>
            </w:r>
            <w:r>
              <w:rPr>
                <w:rFonts w:hint="eastAsia"/>
                <w:kern w:val="0"/>
                <w:sz w:val="18"/>
                <w:szCs w:val="18"/>
              </w:rPr>
              <w:t>”表示正效益，“</w:t>
            </w:r>
            <w:r>
              <w:rPr>
                <w:rFonts w:hint="eastAsia"/>
                <w:kern w:val="0"/>
                <w:sz w:val="18"/>
                <w:szCs w:val="18"/>
              </w:rPr>
              <w:t>-</w:t>
            </w:r>
            <w:r>
              <w:rPr>
                <w:rFonts w:hint="eastAsia"/>
                <w:kern w:val="0"/>
                <w:sz w:val="18"/>
                <w:szCs w:val="18"/>
              </w:rPr>
              <w:t>”表示负效益；</w:t>
            </w:r>
          </w:p>
          <w:p w:rsidR="00EE4502" w:rsidRDefault="00FD45A3">
            <w:pPr>
              <w:widowControl/>
              <w:ind w:firstLineChars="200" w:firstLine="360"/>
              <w:rPr>
                <w:kern w:val="0"/>
                <w:sz w:val="18"/>
                <w:szCs w:val="18"/>
              </w:rPr>
            </w:pPr>
            <w:r>
              <w:rPr>
                <w:rFonts w:hint="eastAsia"/>
                <w:kern w:val="0"/>
                <w:sz w:val="18"/>
                <w:szCs w:val="18"/>
              </w:rPr>
              <w:t>2.</w:t>
            </w:r>
            <w:r>
              <w:rPr>
                <w:rFonts w:hint="eastAsia"/>
                <w:kern w:val="0"/>
                <w:sz w:val="18"/>
                <w:szCs w:val="18"/>
              </w:rPr>
              <w:t>表中数字表示影响的相对程度，“</w:t>
            </w:r>
            <w:r>
              <w:rPr>
                <w:rFonts w:hint="eastAsia"/>
                <w:kern w:val="0"/>
                <w:sz w:val="18"/>
                <w:szCs w:val="18"/>
              </w:rPr>
              <w:t>1</w:t>
            </w:r>
            <w:r>
              <w:rPr>
                <w:rFonts w:hint="eastAsia"/>
                <w:kern w:val="0"/>
                <w:sz w:val="18"/>
                <w:szCs w:val="18"/>
              </w:rPr>
              <w:t>”表示影响较小，“</w:t>
            </w:r>
            <w:r>
              <w:rPr>
                <w:rFonts w:hint="eastAsia"/>
                <w:kern w:val="0"/>
                <w:sz w:val="18"/>
                <w:szCs w:val="18"/>
              </w:rPr>
              <w:t>2</w:t>
            </w:r>
            <w:r>
              <w:rPr>
                <w:rFonts w:hint="eastAsia"/>
                <w:kern w:val="0"/>
                <w:sz w:val="18"/>
                <w:szCs w:val="18"/>
              </w:rPr>
              <w:t>”表示影响中等，“</w:t>
            </w:r>
            <w:r>
              <w:rPr>
                <w:rFonts w:hint="eastAsia"/>
                <w:kern w:val="0"/>
                <w:sz w:val="18"/>
                <w:szCs w:val="18"/>
              </w:rPr>
              <w:t>3</w:t>
            </w:r>
            <w:r>
              <w:rPr>
                <w:rFonts w:hint="eastAsia"/>
                <w:kern w:val="0"/>
                <w:sz w:val="18"/>
                <w:szCs w:val="18"/>
              </w:rPr>
              <w:t>”表示影响较大；</w:t>
            </w:r>
          </w:p>
          <w:p w:rsidR="00EE4502" w:rsidRDefault="00FD45A3">
            <w:pPr>
              <w:widowControl/>
              <w:ind w:firstLineChars="200" w:firstLine="360"/>
              <w:rPr>
                <w:kern w:val="0"/>
                <w:sz w:val="18"/>
                <w:szCs w:val="18"/>
              </w:rPr>
            </w:pPr>
            <w:r>
              <w:rPr>
                <w:rFonts w:hint="eastAsia"/>
                <w:kern w:val="0"/>
                <w:sz w:val="18"/>
                <w:szCs w:val="18"/>
              </w:rPr>
              <w:t>3.</w:t>
            </w:r>
            <w:r>
              <w:rPr>
                <w:rFonts w:hint="eastAsia"/>
                <w:kern w:val="0"/>
                <w:sz w:val="18"/>
                <w:szCs w:val="18"/>
              </w:rPr>
              <w:t>表中“</w:t>
            </w:r>
            <w:r>
              <w:rPr>
                <w:rFonts w:hint="eastAsia"/>
                <w:kern w:val="0"/>
                <w:sz w:val="18"/>
                <w:szCs w:val="18"/>
              </w:rPr>
              <w:t>D</w:t>
            </w:r>
            <w:r>
              <w:rPr>
                <w:rFonts w:hint="eastAsia"/>
                <w:kern w:val="0"/>
                <w:sz w:val="18"/>
                <w:szCs w:val="18"/>
              </w:rPr>
              <w:t>”表示短期影响，“</w:t>
            </w:r>
            <w:r>
              <w:rPr>
                <w:rFonts w:hint="eastAsia"/>
                <w:kern w:val="0"/>
                <w:sz w:val="18"/>
                <w:szCs w:val="18"/>
              </w:rPr>
              <w:t>C</w:t>
            </w:r>
            <w:r>
              <w:rPr>
                <w:rFonts w:hint="eastAsia"/>
                <w:kern w:val="0"/>
                <w:sz w:val="18"/>
                <w:szCs w:val="18"/>
              </w:rPr>
              <w:t>”表示长期影响。</w:t>
            </w:r>
          </w:p>
        </w:tc>
      </w:tr>
    </w:tbl>
    <w:p w:rsidR="00EE4502" w:rsidRDefault="00EE4502">
      <w:pPr>
        <w:jc w:val="center"/>
        <w:rPr>
          <w:sz w:val="18"/>
          <w:szCs w:val="18"/>
        </w:rPr>
      </w:pPr>
    </w:p>
    <w:p w:rsidR="00EE4502" w:rsidRDefault="00FD45A3">
      <w:pPr>
        <w:pStyle w:val="afc"/>
        <w:spacing w:line="360" w:lineRule="auto"/>
        <w:ind w:firstLine="480"/>
        <w:rPr>
          <w:rFonts w:ascii="Times New Roman" w:eastAsia="宋体" w:hAnsi="Times New Roman"/>
          <w:color w:val="auto"/>
          <w:spacing w:val="0"/>
          <w:sz w:val="24"/>
          <w:szCs w:val="24"/>
        </w:rPr>
      </w:pPr>
      <w:r>
        <w:rPr>
          <w:rFonts w:ascii="Times New Roman" w:eastAsia="宋体" w:hAnsi="Times New Roman" w:hint="eastAsia"/>
          <w:color w:val="auto"/>
          <w:spacing w:val="0"/>
          <w:sz w:val="24"/>
          <w:szCs w:val="24"/>
        </w:rPr>
        <w:t>由表</w:t>
      </w:r>
      <w:r>
        <w:rPr>
          <w:rFonts w:ascii="Times New Roman" w:eastAsia="宋体" w:hAnsi="Times New Roman" w:hint="eastAsia"/>
          <w:color w:val="auto"/>
          <w:spacing w:val="0"/>
          <w:sz w:val="24"/>
          <w:szCs w:val="24"/>
        </w:rPr>
        <w:t>2</w:t>
      </w:r>
      <w:r>
        <w:rPr>
          <w:rFonts w:ascii="Times New Roman" w:eastAsia="宋体" w:hAnsi="Times New Roman"/>
          <w:color w:val="auto"/>
          <w:spacing w:val="0"/>
          <w:sz w:val="24"/>
          <w:szCs w:val="24"/>
        </w:rPr>
        <w:t>-</w:t>
      </w:r>
      <w:r>
        <w:rPr>
          <w:rFonts w:ascii="Times New Roman" w:eastAsia="宋体" w:hAnsi="Times New Roman" w:hint="eastAsia"/>
          <w:color w:val="auto"/>
          <w:spacing w:val="0"/>
          <w:sz w:val="24"/>
          <w:szCs w:val="24"/>
        </w:rPr>
        <w:t>3-1</w:t>
      </w:r>
      <w:r>
        <w:rPr>
          <w:rFonts w:ascii="Times New Roman" w:eastAsia="宋体" w:hAnsi="Times New Roman" w:hint="eastAsia"/>
          <w:color w:val="auto"/>
          <w:spacing w:val="0"/>
          <w:sz w:val="24"/>
          <w:szCs w:val="24"/>
        </w:rPr>
        <w:t>可知，拟建工程的建设对环境的影响是多方面的，存在短期或长期的负面影响。施工期主要表现在对自然环境要素中的环境空气、地下水环境、声环境、土壤环境、生态环境要素中的地表扰动、土壤肥力、植被覆盖度、生物量损失、生态系统完整性等产生一定程度的负面影响；运营期对环境的影响是长期的，最主要的是对自然环境中的环境空气、声环境、地下水环境、土壤环境、生态系统完整性等产生不同程度的直接的负面影响；退役期对环境的影响体现在对环境空气和声环境的短期负面影响。</w:t>
      </w:r>
    </w:p>
    <w:p w:rsidR="00EE4502" w:rsidRDefault="00FD45A3">
      <w:pPr>
        <w:pStyle w:val="33"/>
        <w:numPr>
          <w:ilvl w:val="2"/>
          <w:numId w:val="30"/>
        </w:numPr>
        <w:spacing w:line="360" w:lineRule="auto"/>
        <w:ind w:left="0" w:firstLine="0"/>
        <w:rPr>
          <w:spacing w:val="0"/>
          <w:sz w:val="24"/>
          <w:szCs w:val="24"/>
        </w:rPr>
      </w:pPr>
      <w:r>
        <w:rPr>
          <w:spacing w:val="0"/>
          <w:sz w:val="24"/>
          <w:szCs w:val="24"/>
        </w:rPr>
        <w:t>评价因子</w:t>
      </w:r>
    </w:p>
    <w:p w:rsidR="00EE4502" w:rsidRDefault="00FD45A3">
      <w:pPr>
        <w:spacing w:line="360" w:lineRule="auto"/>
        <w:ind w:firstLineChars="200" w:firstLine="480"/>
        <w:rPr>
          <w:sz w:val="24"/>
        </w:rPr>
      </w:pPr>
      <w:r>
        <w:rPr>
          <w:rFonts w:hint="eastAsia"/>
          <w:sz w:val="24"/>
        </w:rPr>
        <w:t>根据《环境影响评价技术导则</w:t>
      </w:r>
      <w:r>
        <w:rPr>
          <w:rFonts w:hint="eastAsia"/>
          <w:sz w:val="24"/>
        </w:rPr>
        <w:t xml:space="preserve"> </w:t>
      </w:r>
      <w:r>
        <w:rPr>
          <w:rFonts w:hint="eastAsia"/>
          <w:sz w:val="24"/>
        </w:rPr>
        <w:t>陆地石油天然气开发建设项目</w:t>
      </w:r>
      <w:r>
        <w:rPr>
          <w:rFonts w:hint="eastAsia"/>
          <w:sz w:val="24"/>
        </w:rPr>
        <w:t>》（</w:t>
      </w:r>
      <w:r>
        <w:rPr>
          <w:rFonts w:hint="eastAsia"/>
          <w:sz w:val="24"/>
        </w:rPr>
        <w:t>HJ349-2023</w:t>
      </w:r>
      <w:r>
        <w:rPr>
          <w:rFonts w:hint="eastAsia"/>
          <w:sz w:val="24"/>
        </w:rPr>
        <w:t>）中附录</w:t>
      </w:r>
      <w:r>
        <w:rPr>
          <w:rFonts w:hint="eastAsia"/>
          <w:sz w:val="24"/>
        </w:rPr>
        <w:t>B</w:t>
      </w:r>
      <w:r>
        <w:rPr>
          <w:rFonts w:hint="eastAsia"/>
          <w:sz w:val="24"/>
        </w:rPr>
        <w:t>，评价因子见表</w:t>
      </w:r>
      <w:r>
        <w:rPr>
          <w:rFonts w:hint="eastAsia"/>
          <w:sz w:val="24"/>
        </w:rPr>
        <w:t>2</w:t>
      </w:r>
      <w:r>
        <w:rPr>
          <w:rFonts w:hint="eastAsia"/>
          <w:sz w:val="24"/>
        </w:rPr>
        <w:t>-</w:t>
      </w:r>
      <w:r>
        <w:rPr>
          <w:rFonts w:hint="eastAsia"/>
          <w:sz w:val="24"/>
        </w:rPr>
        <w:t>3-2</w:t>
      </w:r>
      <w:r>
        <w:rPr>
          <w:sz w:val="24"/>
        </w:rPr>
        <w:t>。</w:t>
      </w:r>
    </w:p>
    <w:p w:rsidR="00EE4502" w:rsidRDefault="00FD45A3">
      <w:pPr>
        <w:spacing w:line="360" w:lineRule="auto"/>
        <w:jc w:val="center"/>
        <w:rPr>
          <w:rFonts w:eastAsia="黑体"/>
          <w:bCs/>
          <w:lang w:val="zh-CN"/>
        </w:rPr>
      </w:pPr>
      <w:r>
        <w:rPr>
          <w:rFonts w:eastAsia="黑体"/>
          <w:bCs/>
          <w:lang w:val="zh-CN"/>
        </w:rPr>
        <w:t>表</w:t>
      </w:r>
      <w:r>
        <w:rPr>
          <w:rFonts w:eastAsia="黑体"/>
          <w:bCs/>
          <w:lang w:val="zh-CN"/>
        </w:rPr>
        <w:t>2</w:t>
      </w:r>
      <w:r>
        <w:rPr>
          <w:rFonts w:eastAsia="黑体"/>
          <w:bCs/>
        </w:rPr>
        <w:t>-</w:t>
      </w:r>
      <w:r>
        <w:rPr>
          <w:rFonts w:eastAsia="黑体" w:hint="eastAsia"/>
          <w:bCs/>
        </w:rPr>
        <w:t>3</w:t>
      </w:r>
      <w:r>
        <w:rPr>
          <w:rFonts w:eastAsia="黑体"/>
          <w:bCs/>
          <w:lang w:val="zh-CN"/>
        </w:rPr>
        <w:t>-</w:t>
      </w:r>
      <w:r>
        <w:rPr>
          <w:rFonts w:eastAsia="黑体" w:hint="eastAsia"/>
          <w:bCs/>
        </w:rPr>
        <w:t>2</w:t>
      </w:r>
      <w:r>
        <w:rPr>
          <w:rFonts w:eastAsia="黑体"/>
          <w:bCs/>
          <w:lang w:val="zh-CN"/>
        </w:rPr>
        <w:t xml:space="preserve">  </w:t>
      </w:r>
      <w:r>
        <w:rPr>
          <w:rFonts w:eastAsia="黑体" w:hint="eastAsia"/>
          <w:bCs/>
          <w:lang w:val="zh-CN"/>
        </w:rPr>
        <w:t>本工程</w:t>
      </w:r>
      <w:r>
        <w:rPr>
          <w:rFonts w:eastAsia="黑体"/>
          <w:bCs/>
          <w:lang w:val="zh-CN"/>
        </w:rPr>
        <w:t>评价因子筛选一览表</w:t>
      </w:r>
    </w:p>
    <w:tbl>
      <w:tblPr>
        <w:tblStyle w:val="affd"/>
        <w:tblW w:w="0" w:type="auto"/>
        <w:tblLook w:val="04A0" w:firstRow="1" w:lastRow="0" w:firstColumn="1" w:lastColumn="0" w:noHBand="0" w:noVBand="1"/>
      </w:tblPr>
      <w:tblGrid>
        <w:gridCol w:w="1008"/>
        <w:gridCol w:w="804"/>
        <w:gridCol w:w="1263"/>
        <w:gridCol w:w="687"/>
        <w:gridCol w:w="1350"/>
        <w:gridCol w:w="1334"/>
        <w:gridCol w:w="1339"/>
        <w:gridCol w:w="737"/>
      </w:tblGrid>
      <w:tr w:rsidR="00EE4502">
        <w:trPr>
          <w:tblHeader/>
        </w:trPr>
        <w:tc>
          <w:tcPr>
            <w:tcW w:w="1011" w:type="dxa"/>
            <w:tcBorders>
              <w:tl2br w:val="single" w:sz="4" w:space="0" w:color="auto"/>
            </w:tcBorders>
            <w:vAlign w:val="center"/>
          </w:tcPr>
          <w:p w:rsidR="00EE4502" w:rsidRDefault="00FD45A3">
            <w:pPr>
              <w:widowControl/>
              <w:ind w:rightChars="-50" w:right="-105"/>
              <w:jc w:val="right"/>
              <w:rPr>
                <w:bCs/>
                <w:kern w:val="0"/>
                <w:sz w:val="18"/>
                <w:szCs w:val="18"/>
              </w:rPr>
            </w:pPr>
            <w:r>
              <w:rPr>
                <w:rFonts w:hint="eastAsia"/>
                <w:bCs/>
                <w:kern w:val="0"/>
                <w:sz w:val="16"/>
                <w:szCs w:val="16"/>
              </w:rPr>
              <w:t>环境要素</w:t>
            </w:r>
          </w:p>
          <w:p w:rsidR="00EE4502" w:rsidRDefault="00FD45A3">
            <w:pPr>
              <w:widowControl/>
              <w:ind w:leftChars="-50" w:left="-105"/>
              <w:jc w:val="left"/>
              <w:rPr>
                <w:bCs/>
                <w:kern w:val="0"/>
                <w:sz w:val="18"/>
                <w:szCs w:val="18"/>
              </w:rPr>
            </w:pPr>
            <w:r>
              <w:rPr>
                <w:rFonts w:hint="eastAsia"/>
                <w:bCs/>
                <w:kern w:val="0"/>
                <w:sz w:val="16"/>
                <w:szCs w:val="16"/>
              </w:rPr>
              <w:t>单项工程</w:t>
            </w:r>
          </w:p>
        </w:tc>
        <w:tc>
          <w:tcPr>
            <w:tcW w:w="805" w:type="dxa"/>
            <w:vAlign w:val="center"/>
          </w:tcPr>
          <w:p w:rsidR="00EE4502" w:rsidRDefault="00FD45A3">
            <w:pPr>
              <w:widowControl/>
              <w:jc w:val="center"/>
              <w:rPr>
                <w:bCs/>
                <w:kern w:val="0"/>
                <w:sz w:val="18"/>
                <w:szCs w:val="18"/>
              </w:rPr>
            </w:pPr>
            <w:r>
              <w:rPr>
                <w:rFonts w:hint="eastAsia"/>
                <w:bCs/>
                <w:kern w:val="0"/>
                <w:sz w:val="18"/>
                <w:szCs w:val="18"/>
              </w:rPr>
              <w:t>时期</w:t>
            </w:r>
          </w:p>
        </w:tc>
        <w:tc>
          <w:tcPr>
            <w:tcW w:w="1264" w:type="dxa"/>
            <w:vAlign w:val="center"/>
          </w:tcPr>
          <w:p w:rsidR="00EE4502" w:rsidRDefault="00FD45A3">
            <w:pPr>
              <w:widowControl/>
              <w:jc w:val="center"/>
              <w:rPr>
                <w:bCs/>
                <w:kern w:val="0"/>
                <w:sz w:val="18"/>
                <w:szCs w:val="18"/>
              </w:rPr>
            </w:pPr>
            <w:r>
              <w:rPr>
                <w:rFonts w:hint="eastAsia"/>
                <w:bCs/>
                <w:kern w:val="0"/>
                <w:sz w:val="18"/>
                <w:szCs w:val="18"/>
              </w:rPr>
              <w:t>大气</w:t>
            </w:r>
          </w:p>
        </w:tc>
        <w:tc>
          <w:tcPr>
            <w:tcW w:w="688" w:type="dxa"/>
            <w:vAlign w:val="center"/>
          </w:tcPr>
          <w:p w:rsidR="00EE4502" w:rsidRDefault="00FD45A3">
            <w:pPr>
              <w:widowControl/>
              <w:jc w:val="center"/>
              <w:rPr>
                <w:bCs/>
                <w:kern w:val="0"/>
                <w:sz w:val="18"/>
                <w:szCs w:val="18"/>
              </w:rPr>
            </w:pPr>
            <w:r>
              <w:rPr>
                <w:rFonts w:hint="eastAsia"/>
                <w:bCs/>
                <w:kern w:val="0"/>
                <w:sz w:val="18"/>
                <w:szCs w:val="18"/>
              </w:rPr>
              <w:t>地表水</w:t>
            </w:r>
          </w:p>
        </w:tc>
        <w:tc>
          <w:tcPr>
            <w:tcW w:w="1352" w:type="dxa"/>
            <w:vAlign w:val="center"/>
          </w:tcPr>
          <w:p w:rsidR="00EE4502" w:rsidRDefault="00FD45A3">
            <w:pPr>
              <w:widowControl/>
              <w:jc w:val="center"/>
              <w:rPr>
                <w:bCs/>
                <w:kern w:val="0"/>
                <w:sz w:val="18"/>
                <w:szCs w:val="18"/>
              </w:rPr>
            </w:pPr>
            <w:r>
              <w:rPr>
                <w:rFonts w:hint="eastAsia"/>
                <w:bCs/>
                <w:kern w:val="0"/>
                <w:sz w:val="18"/>
                <w:szCs w:val="18"/>
              </w:rPr>
              <w:t>地下水</w:t>
            </w:r>
          </w:p>
        </w:tc>
        <w:tc>
          <w:tcPr>
            <w:tcW w:w="1326" w:type="dxa"/>
            <w:vAlign w:val="center"/>
          </w:tcPr>
          <w:p w:rsidR="00EE4502" w:rsidRDefault="00FD45A3">
            <w:pPr>
              <w:widowControl/>
              <w:jc w:val="center"/>
              <w:rPr>
                <w:bCs/>
                <w:kern w:val="0"/>
                <w:sz w:val="18"/>
                <w:szCs w:val="18"/>
              </w:rPr>
            </w:pPr>
            <w:r>
              <w:rPr>
                <w:rFonts w:hint="eastAsia"/>
                <w:bCs/>
                <w:kern w:val="0"/>
                <w:sz w:val="18"/>
                <w:szCs w:val="18"/>
              </w:rPr>
              <w:t>土壤</w:t>
            </w:r>
          </w:p>
        </w:tc>
        <w:tc>
          <w:tcPr>
            <w:tcW w:w="1341" w:type="dxa"/>
            <w:vAlign w:val="center"/>
          </w:tcPr>
          <w:p w:rsidR="00EE4502" w:rsidRDefault="00FD45A3">
            <w:pPr>
              <w:widowControl/>
              <w:jc w:val="center"/>
              <w:rPr>
                <w:bCs/>
                <w:kern w:val="0"/>
                <w:sz w:val="18"/>
                <w:szCs w:val="18"/>
              </w:rPr>
            </w:pPr>
            <w:r>
              <w:rPr>
                <w:rFonts w:hint="eastAsia"/>
                <w:bCs/>
                <w:kern w:val="0"/>
                <w:sz w:val="18"/>
                <w:szCs w:val="18"/>
              </w:rPr>
              <w:t>生态</w:t>
            </w:r>
          </w:p>
        </w:tc>
        <w:tc>
          <w:tcPr>
            <w:tcW w:w="735" w:type="dxa"/>
            <w:vAlign w:val="center"/>
          </w:tcPr>
          <w:p w:rsidR="00EE4502" w:rsidRDefault="00FD45A3">
            <w:pPr>
              <w:widowControl/>
              <w:jc w:val="center"/>
              <w:rPr>
                <w:bCs/>
                <w:kern w:val="0"/>
                <w:sz w:val="18"/>
                <w:szCs w:val="18"/>
              </w:rPr>
            </w:pPr>
            <w:r>
              <w:rPr>
                <w:rFonts w:hint="eastAsia"/>
                <w:bCs/>
                <w:kern w:val="0"/>
                <w:sz w:val="18"/>
                <w:szCs w:val="18"/>
              </w:rPr>
              <w:t>噪声</w:t>
            </w:r>
          </w:p>
        </w:tc>
      </w:tr>
      <w:tr w:rsidR="00EE4502">
        <w:tc>
          <w:tcPr>
            <w:tcW w:w="1011" w:type="dxa"/>
            <w:vAlign w:val="center"/>
          </w:tcPr>
          <w:p w:rsidR="00EE4502" w:rsidRDefault="00FD45A3">
            <w:pPr>
              <w:widowControl/>
              <w:jc w:val="center"/>
              <w:rPr>
                <w:bCs/>
                <w:kern w:val="0"/>
                <w:sz w:val="18"/>
                <w:szCs w:val="18"/>
              </w:rPr>
            </w:pPr>
            <w:r>
              <w:rPr>
                <w:rFonts w:hint="eastAsia"/>
                <w:bCs/>
                <w:kern w:val="0"/>
                <w:sz w:val="18"/>
                <w:szCs w:val="18"/>
              </w:rPr>
              <w:t>钻前工程</w:t>
            </w:r>
          </w:p>
        </w:tc>
        <w:tc>
          <w:tcPr>
            <w:tcW w:w="805" w:type="dxa"/>
            <w:vAlign w:val="center"/>
          </w:tcPr>
          <w:p w:rsidR="00EE4502" w:rsidRDefault="00FD45A3">
            <w:pPr>
              <w:widowControl/>
              <w:jc w:val="center"/>
              <w:rPr>
                <w:bCs/>
                <w:kern w:val="0"/>
                <w:sz w:val="18"/>
                <w:szCs w:val="18"/>
              </w:rPr>
            </w:pPr>
            <w:r>
              <w:rPr>
                <w:rFonts w:hint="eastAsia"/>
                <w:bCs/>
                <w:kern w:val="0"/>
                <w:sz w:val="18"/>
                <w:szCs w:val="18"/>
              </w:rPr>
              <w:t>施工期</w:t>
            </w:r>
          </w:p>
        </w:tc>
        <w:tc>
          <w:tcPr>
            <w:tcW w:w="1264" w:type="dxa"/>
            <w:vAlign w:val="center"/>
          </w:tcPr>
          <w:p w:rsidR="00EE4502" w:rsidRDefault="00FD45A3">
            <w:pPr>
              <w:widowControl/>
              <w:jc w:val="center"/>
              <w:rPr>
                <w:bCs/>
                <w:kern w:val="0"/>
                <w:sz w:val="18"/>
                <w:szCs w:val="18"/>
              </w:rPr>
            </w:pPr>
            <w:r>
              <w:rPr>
                <w:rFonts w:hint="eastAsia"/>
                <w:bCs/>
                <w:kern w:val="0"/>
                <w:sz w:val="18"/>
                <w:szCs w:val="18"/>
              </w:rPr>
              <w:t>颗粒物</w:t>
            </w:r>
          </w:p>
        </w:tc>
        <w:tc>
          <w:tcPr>
            <w:tcW w:w="688" w:type="dxa"/>
            <w:vAlign w:val="center"/>
          </w:tcPr>
          <w:p w:rsidR="00EE4502" w:rsidRDefault="00FD45A3">
            <w:pPr>
              <w:widowControl/>
              <w:jc w:val="center"/>
              <w:rPr>
                <w:bCs/>
                <w:kern w:val="0"/>
                <w:sz w:val="18"/>
                <w:szCs w:val="18"/>
              </w:rPr>
            </w:pPr>
            <w:r>
              <w:rPr>
                <w:rFonts w:hint="eastAsia"/>
                <w:bCs/>
                <w:kern w:val="0"/>
                <w:sz w:val="18"/>
                <w:szCs w:val="18"/>
              </w:rPr>
              <w:t>/</w:t>
            </w:r>
          </w:p>
        </w:tc>
        <w:tc>
          <w:tcPr>
            <w:tcW w:w="1352" w:type="dxa"/>
            <w:vAlign w:val="center"/>
          </w:tcPr>
          <w:p w:rsidR="00EE4502" w:rsidRDefault="00FD45A3">
            <w:pPr>
              <w:widowControl/>
              <w:jc w:val="center"/>
              <w:rPr>
                <w:bCs/>
                <w:kern w:val="0"/>
                <w:sz w:val="18"/>
                <w:szCs w:val="18"/>
              </w:rPr>
            </w:pPr>
            <w:r>
              <w:rPr>
                <w:bCs/>
                <w:kern w:val="0"/>
                <w:sz w:val="18"/>
                <w:szCs w:val="18"/>
              </w:rPr>
              <w:t>耗氧量、氨氮、石油类等</w:t>
            </w:r>
          </w:p>
        </w:tc>
        <w:tc>
          <w:tcPr>
            <w:tcW w:w="1326" w:type="dxa"/>
            <w:vAlign w:val="center"/>
          </w:tcPr>
          <w:p w:rsidR="00EE4502" w:rsidRDefault="00FD45A3">
            <w:pPr>
              <w:widowControl/>
              <w:jc w:val="center"/>
              <w:rPr>
                <w:bCs/>
                <w:kern w:val="0"/>
                <w:sz w:val="18"/>
                <w:szCs w:val="18"/>
              </w:rPr>
            </w:pPr>
            <w:r>
              <w:rPr>
                <w:rFonts w:hint="eastAsia"/>
                <w:bCs/>
                <w:kern w:val="0"/>
                <w:sz w:val="18"/>
                <w:szCs w:val="18"/>
              </w:rPr>
              <w:t>/</w:t>
            </w:r>
          </w:p>
        </w:tc>
        <w:tc>
          <w:tcPr>
            <w:tcW w:w="1341" w:type="dxa"/>
            <w:vAlign w:val="center"/>
          </w:tcPr>
          <w:p w:rsidR="00EE4502" w:rsidRDefault="00FD45A3">
            <w:pPr>
              <w:widowControl/>
              <w:jc w:val="center"/>
              <w:rPr>
                <w:bCs/>
                <w:kern w:val="0"/>
                <w:sz w:val="18"/>
                <w:szCs w:val="18"/>
              </w:rPr>
            </w:pPr>
            <w:r>
              <w:rPr>
                <w:bCs/>
                <w:kern w:val="0"/>
                <w:sz w:val="18"/>
                <w:szCs w:val="18"/>
              </w:rPr>
              <w:t>地表扰动面积及类型、生态系统完整性</w:t>
            </w:r>
          </w:p>
        </w:tc>
        <w:tc>
          <w:tcPr>
            <w:tcW w:w="735" w:type="dxa"/>
            <w:vAlign w:val="center"/>
          </w:tcPr>
          <w:p w:rsidR="00EE4502" w:rsidRDefault="00FD45A3">
            <w:pPr>
              <w:widowControl/>
              <w:jc w:val="center"/>
              <w:rPr>
                <w:bCs/>
                <w:kern w:val="0"/>
                <w:sz w:val="18"/>
                <w:szCs w:val="18"/>
              </w:rPr>
            </w:pPr>
            <w:r>
              <w:rPr>
                <w:rFonts w:hint="eastAsia"/>
                <w:bCs/>
                <w:kern w:val="0"/>
                <w:sz w:val="18"/>
                <w:szCs w:val="18"/>
              </w:rPr>
              <w:t>/</w:t>
            </w:r>
          </w:p>
        </w:tc>
      </w:tr>
      <w:tr w:rsidR="00EE4502">
        <w:trPr>
          <w:trHeight w:val="960"/>
        </w:trPr>
        <w:tc>
          <w:tcPr>
            <w:tcW w:w="1011" w:type="dxa"/>
            <w:vAlign w:val="center"/>
          </w:tcPr>
          <w:p w:rsidR="00EE4502" w:rsidRDefault="00FD45A3">
            <w:pPr>
              <w:widowControl/>
              <w:jc w:val="center"/>
              <w:rPr>
                <w:bCs/>
                <w:kern w:val="0"/>
                <w:sz w:val="18"/>
                <w:szCs w:val="18"/>
              </w:rPr>
            </w:pPr>
            <w:r>
              <w:rPr>
                <w:rFonts w:hint="eastAsia"/>
                <w:bCs/>
                <w:kern w:val="0"/>
                <w:sz w:val="18"/>
                <w:szCs w:val="18"/>
              </w:rPr>
              <w:t>钻井工程</w:t>
            </w:r>
          </w:p>
        </w:tc>
        <w:tc>
          <w:tcPr>
            <w:tcW w:w="805" w:type="dxa"/>
            <w:vAlign w:val="center"/>
          </w:tcPr>
          <w:p w:rsidR="00EE4502" w:rsidRDefault="00FD45A3">
            <w:pPr>
              <w:widowControl/>
              <w:jc w:val="center"/>
              <w:rPr>
                <w:bCs/>
                <w:kern w:val="0"/>
                <w:sz w:val="18"/>
                <w:szCs w:val="18"/>
              </w:rPr>
            </w:pPr>
            <w:r>
              <w:rPr>
                <w:rFonts w:hint="eastAsia"/>
                <w:bCs/>
                <w:kern w:val="0"/>
                <w:sz w:val="18"/>
                <w:szCs w:val="18"/>
              </w:rPr>
              <w:t>施工期</w:t>
            </w:r>
          </w:p>
        </w:tc>
        <w:tc>
          <w:tcPr>
            <w:tcW w:w="1264" w:type="dxa"/>
            <w:vAlign w:val="center"/>
          </w:tcPr>
          <w:p w:rsidR="00EE4502" w:rsidRDefault="00FD45A3">
            <w:pPr>
              <w:widowControl/>
              <w:jc w:val="center"/>
              <w:rPr>
                <w:bCs/>
                <w:kern w:val="0"/>
                <w:sz w:val="18"/>
                <w:szCs w:val="18"/>
              </w:rPr>
            </w:pPr>
            <w:r>
              <w:rPr>
                <w:rFonts w:hint="eastAsia"/>
                <w:bCs/>
                <w:kern w:val="0"/>
                <w:sz w:val="18"/>
                <w:szCs w:val="18"/>
              </w:rPr>
              <w:t>SO</w:t>
            </w:r>
            <w:r>
              <w:rPr>
                <w:rFonts w:hint="eastAsia"/>
                <w:bCs/>
                <w:kern w:val="0"/>
                <w:sz w:val="18"/>
                <w:szCs w:val="18"/>
                <w:vertAlign w:val="subscript"/>
              </w:rPr>
              <w:t>2</w:t>
            </w:r>
            <w:r>
              <w:rPr>
                <w:rFonts w:hint="eastAsia"/>
                <w:bCs/>
                <w:kern w:val="0"/>
                <w:sz w:val="18"/>
                <w:szCs w:val="18"/>
              </w:rPr>
              <w:t>、</w:t>
            </w:r>
            <w:r>
              <w:rPr>
                <w:rFonts w:hint="eastAsia"/>
                <w:bCs/>
                <w:kern w:val="0"/>
                <w:sz w:val="18"/>
                <w:szCs w:val="18"/>
              </w:rPr>
              <w:t>NOx</w:t>
            </w:r>
            <w:r>
              <w:rPr>
                <w:rFonts w:hint="eastAsia"/>
                <w:bCs/>
                <w:kern w:val="0"/>
                <w:sz w:val="18"/>
                <w:szCs w:val="18"/>
              </w:rPr>
              <w:t>、</w:t>
            </w:r>
            <w:r>
              <w:rPr>
                <w:rFonts w:hint="eastAsia"/>
                <w:bCs/>
                <w:kern w:val="0"/>
                <w:sz w:val="18"/>
                <w:szCs w:val="18"/>
              </w:rPr>
              <w:t>NMHC</w:t>
            </w:r>
          </w:p>
        </w:tc>
        <w:tc>
          <w:tcPr>
            <w:tcW w:w="688" w:type="dxa"/>
            <w:vAlign w:val="center"/>
          </w:tcPr>
          <w:p w:rsidR="00EE4502" w:rsidRDefault="00FD45A3">
            <w:pPr>
              <w:widowControl/>
              <w:jc w:val="center"/>
              <w:rPr>
                <w:bCs/>
                <w:kern w:val="0"/>
                <w:sz w:val="18"/>
                <w:szCs w:val="18"/>
              </w:rPr>
            </w:pPr>
            <w:r>
              <w:rPr>
                <w:rFonts w:hint="eastAsia"/>
                <w:bCs/>
                <w:kern w:val="0"/>
                <w:sz w:val="18"/>
                <w:szCs w:val="18"/>
              </w:rPr>
              <w:t>/</w:t>
            </w:r>
          </w:p>
        </w:tc>
        <w:tc>
          <w:tcPr>
            <w:tcW w:w="1352" w:type="dxa"/>
            <w:vMerge w:val="restart"/>
            <w:vAlign w:val="center"/>
          </w:tcPr>
          <w:p w:rsidR="00EE4502" w:rsidRDefault="00FD45A3">
            <w:pPr>
              <w:widowControl/>
              <w:jc w:val="center"/>
              <w:rPr>
                <w:bCs/>
                <w:kern w:val="0"/>
                <w:sz w:val="18"/>
                <w:szCs w:val="18"/>
              </w:rPr>
            </w:pPr>
            <w:r>
              <w:rPr>
                <w:bCs/>
                <w:kern w:val="0"/>
                <w:sz w:val="18"/>
                <w:szCs w:val="18"/>
              </w:rPr>
              <w:t>pH</w:t>
            </w:r>
            <w:r>
              <w:rPr>
                <w:bCs/>
                <w:kern w:val="0"/>
                <w:sz w:val="18"/>
                <w:szCs w:val="18"/>
              </w:rPr>
              <w:t>值、挥发酚、耗氧量、氨氮、硫化物、氯化物、石油类、总硬度、溶解性总固体、钡、汞、砷、六价铬等</w:t>
            </w:r>
          </w:p>
        </w:tc>
        <w:tc>
          <w:tcPr>
            <w:tcW w:w="1326" w:type="dxa"/>
            <w:vMerge w:val="restart"/>
            <w:vAlign w:val="center"/>
          </w:tcPr>
          <w:p w:rsidR="00EE4502" w:rsidRDefault="00FD45A3">
            <w:pPr>
              <w:widowControl/>
              <w:jc w:val="center"/>
              <w:rPr>
                <w:bCs/>
                <w:kern w:val="0"/>
                <w:sz w:val="18"/>
                <w:szCs w:val="18"/>
              </w:rPr>
            </w:pPr>
            <w:r>
              <w:rPr>
                <w:bCs/>
                <w:kern w:val="0"/>
                <w:sz w:val="18"/>
                <w:szCs w:val="18"/>
              </w:rPr>
              <w:t>pH</w:t>
            </w:r>
            <w:r>
              <w:rPr>
                <w:bCs/>
                <w:kern w:val="0"/>
                <w:sz w:val="18"/>
                <w:szCs w:val="18"/>
              </w:rPr>
              <w:t>值、石油类、石油烃</w:t>
            </w:r>
            <w:r>
              <w:rPr>
                <w:rFonts w:hint="eastAsia"/>
                <w:bCs/>
                <w:kern w:val="0"/>
                <w:sz w:val="18"/>
                <w:szCs w:val="18"/>
              </w:rPr>
              <w:t>（</w:t>
            </w:r>
            <w:r>
              <w:rPr>
                <w:rFonts w:hint="eastAsia"/>
                <w:bCs/>
                <w:kern w:val="0"/>
                <w:sz w:val="18"/>
                <w:szCs w:val="18"/>
              </w:rPr>
              <w:t>C</w:t>
            </w:r>
            <w:r>
              <w:rPr>
                <w:rFonts w:hint="eastAsia"/>
                <w:bCs/>
                <w:kern w:val="0"/>
                <w:sz w:val="18"/>
                <w:szCs w:val="18"/>
                <w:vertAlign w:val="subscript"/>
              </w:rPr>
              <w:t>6</w:t>
            </w:r>
            <w:r>
              <w:rPr>
                <w:rFonts w:hint="eastAsia"/>
                <w:bCs/>
                <w:kern w:val="0"/>
                <w:sz w:val="18"/>
                <w:szCs w:val="18"/>
              </w:rPr>
              <w:t>~C</w:t>
            </w:r>
            <w:r>
              <w:rPr>
                <w:rFonts w:hint="eastAsia"/>
                <w:bCs/>
                <w:kern w:val="0"/>
                <w:sz w:val="18"/>
                <w:szCs w:val="18"/>
                <w:vertAlign w:val="subscript"/>
              </w:rPr>
              <w:t>9</w:t>
            </w:r>
            <w:r>
              <w:rPr>
                <w:rFonts w:hint="eastAsia"/>
                <w:bCs/>
                <w:kern w:val="0"/>
                <w:sz w:val="18"/>
                <w:szCs w:val="18"/>
              </w:rPr>
              <w:t>）、</w:t>
            </w:r>
            <w:r>
              <w:rPr>
                <w:bCs/>
                <w:kern w:val="0"/>
                <w:sz w:val="18"/>
                <w:szCs w:val="18"/>
              </w:rPr>
              <w:t>石油烃（</w:t>
            </w:r>
            <w:r>
              <w:rPr>
                <w:bCs/>
                <w:kern w:val="0"/>
                <w:sz w:val="18"/>
                <w:szCs w:val="18"/>
              </w:rPr>
              <w:t>C</w:t>
            </w:r>
            <w:r>
              <w:rPr>
                <w:rFonts w:hint="eastAsia"/>
                <w:bCs/>
                <w:kern w:val="0"/>
                <w:sz w:val="18"/>
                <w:szCs w:val="18"/>
                <w:vertAlign w:val="subscript"/>
              </w:rPr>
              <w:t>10</w:t>
            </w:r>
            <w:r>
              <w:rPr>
                <w:bCs/>
                <w:kern w:val="0"/>
                <w:sz w:val="18"/>
                <w:szCs w:val="18"/>
              </w:rPr>
              <w:t>~C</w:t>
            </w:r>
            <w:r>
              <w:rPr>
                <w:rFonts w:hint="eastAsia"/>
                <w:bCs/>
                <w:kern w:val="0"/>
                <w:sz w:val="18"/>
                <w:szCs w:val="18"/>
                <w:vertAlign w:val="subscript"/>
              </w:rPr>
              <w:t>40</w:t>
            </w:r>
            <w:r>
              <w:rPr>
                <w:bCs/>
                <w:kern w:val="0"/>
                <w:sz w:val="18"/>
                <w:szCs w:val="18"/>
              </w:rPr>
              <w:t>）</w:t>
            </w:r>
            <w:r>
              <w:rPr>
                <w:rFonts w:hint="eastAsia"/>
                <w:bCs/>
                <w:kern w:val="0"/>
                <w:sz w:val="18"/>
                <w:szCs w:val="18"/>
              </w:rPr>
              <w:t>、</w:t>
            </w:r>
            <w:r>
              <w:rPr>
                <w:bCs/>
                <w:kern w:val="0"/>
                <w:sz w:val="18"/>
                <w:szCs w:val="18"/>
              </w:rPr>
              <w:t>汞、砷、六价铬、土壤盐分含量等</w:t>
            </w:r>
          </w:p>
        </w:tc>
        <w:tc>
          <w:tcPr>
            <w:tcW w:w="1341" w:type="dxa"/>
            <w:vAlign w:val="center"/>
          </w:tcPr>
          <w:p w:rsidR="00EE4502" w:rsidRDefault="00FD45A3">
            <w:pPr>
              <w:widowControl/>
              <w:jc w:val="center"/>
              <w:rPr>
                <w:bCs/>
                <w:kern w:val="0"/>
                <w:sz w:val="18"/>
                <w:szCs w:val="18"/>
              </w:rPr>
            </w:pPr>
            <w:r>
              <w:rPr>
                <w:rFonts w:hint="eastAsia"/>
                <w:bCs/>
                <w:kern w:val="0"/>
                <w:sz w:val="18"/>
                <w:szCs w:val="18"/>
              </w:rPr>
              <w:t>/</w:t>
            </w:r>
          </w:p>
        </w:tc>
        <w:tc>
          <w:tcPr>
            <w:tcW w:w="735" w:type="dxa"/>
            <w:vMerge w:val="restart"/>
            <w:vAlign w:val="center"/>
          </w:tcPr>
          <w:p w:rsidR="00EE4502" w:rsidRDefault="00FD45A3">
            <w:pPr>
              <w:widowControl/>
              <w:jc w:val="center"/>
              <w:rPr>
                <w:bCs/>
                <w:i/>
                <w:iCs/>
                <w:kern w:val="0"/>
                <w:sz w:val="18"/>
                <w:szCs w:val="18"/>
              </w:rPr>
            </w:pPr>
            <w:r>
              <w:rPr>
                <w:bCs/>
                <w:kern w:val="0"/>
                <w:sz w:val="18"/>
                <w:szCs w:val="18"/>
              </w:rPr>
              <w:t>昼</w:t>
            </w:r>
            <w:r>
              <w:rPr>
                <w:rFonts w:hint="eastAsia"/>
                <w:bCs/>
                <w:kern w:val="0"/>
                <w:sz w:val="18"/>
                <w:szCs w:val="18"/>
              </w:rPr>
              <w:t>、夜间</w:t>
            </w:r>
            <w:r>
              <w:rPr>
                <w:bCs/>
                <w:kern w:val="0"/>
                <w:sz w:val="18"/>
                <w:szCs w:val="18"/>
              </w:rPr>
              <w:t>等效声级</w:t>
            </w:r>
            <w:r>
              <w:rPr>
                <w:rFonts w:hint="eastAsia"/>
                <w:bCs/>
                <w:kern w:val="0"/>
                <w:sz w:val="18"/>
                <w:szCs w:val="18"/>
              </w:rPr>
              <w:t>（</w:t>
            </w:r>
            <w:r>
              <w:rPr>
                <w:bCs/>
                <w:i/>
                <w:iCs/>
                <w:kern w:val="0"/>
                <w:sz w:val="18"/>
                <w:szCs w:val="18"/>
              </w:rPr>
              <w:t>L</w:t>
            </w:r>
            <w:r>
              <w:rPr>
                <w:rFonts w:hint="eastAsia"/>
                <w:bCs/>
                <w:i/>
                <w:iCs/>
                <w:kern w:val="0"/>
                <w:sz w:val="18"/>
                <w:szCs w:val="18"/>
                <w:vertAlign w:val="subscript"/>
              </w:rPr>
              <w:t>d</w:t>
            </w:r>
            <w:r>
              <w:rPr>
                <w:rFonts w:hint="eastAsia"/>
                <w:bCs/>
                <w:kern w:val="0"/>
                <w:sz w:val="18"/>
                <w:szCs w:val="18"/>
              </w:rPr>
              <w:t>、</w:t>
            </w:r>
          </w:p>
          <w:p w:rsidR="00EE4502" w:rsidRDefault="00FD45A3">
            <w:pPr>
              <w:widowControl/>
              <w:jc w:val="center"/>
              <w:rPr>
                <w:bCs/>
                <w:kern w:val="0"/>
                <w:sz w:val="18"/>
                <w:szCs w:val="18"/>
              </w:rPr>
            </w:pPr>
            <w:r>
              <w:rPr>
                <w:bCs/>
                <w:i/>
                <w:iCs/>
                <w:kern w:val="0"/>
                <w:sz w:val="18"/>
                <w:szCs w:val="18"/>
              </w:rPr>
              <w:t>L</w:t>
            </w:r>
            <w:r>
              <w:rPr>
                <w:rFonts w:hint="eastAsia"/>
                <w:bCs/>
                <w:i/>
                <w:iCs/>
                <w:kern w:val="0"/>
                <w:sz w:val="18"/>
                <w:szCs w:val="18"/>
                <w:vertAlign w:val="subscript"/>
              </w:rPr>
              <w:t>n</w:t>
            </w:r>
            <w:r>
              <w:rPr>
                <w:rFonts w:hint="eastAsia"/>
                <w:bCs/>
                <w:i/>
                <w:iCs/>
                <w:kern w:val="0"/>
                <w:sz w:val="18"/>
                <w:szCs w:val="18"/>
              </w:rPr>
              <w:t>）</w:t>
            </w:r>
          </w:p>
        </w:tc>
      </w:tr>
      <w:tr w:rsidR="00EE4502">
        <w:trPr>
          <w:trHeight w:val="780"/>
        </w:trPr>
        <w:tc>
          <w:tcPr>
            <w:tcW w:w="1011" w:type="dxa"/>
            <w:vAlign w:val="center"/>
          </w:tcPr>
          <w:p w:rsidR="00EE4502" w:rsidRDefault="00FD45A3">
            <w:pPr>
              <w:widowControl/>
              <w:jc w:val="center"/>
              <w:rPr>
                <w:bCs/>
                <w:kern w:val="0"/>
                <w:sz w:val="18"/>
                <w:szCs w:val="18"/>
              </w:rPr>
            </w:pPr>
            <w:r>
              <w:rPr>
                <w:rFonts w:hint="eastAsia"/>
                <w:bCs/>
                <w:kern w:val="0"/>
                <w:sz w:val="18"/>
                <w:szCs w:val="18"/>
              </w:rPr>
              <w:t>井下作业</w:t>
            </w:r>
          </w:p>
        </w:tc>
        <w:tc>
          <w:tcPr>
            <w:tcW w:w="805" w:type="dxa"/>
            <w:vAlign w:val="center"/>
          </w:tcPr>
          <w:p w:rsidR="00EE4502" w:rsidRDefault="00FD45A3">
            <w:pPr>
              <w:widowControl/>
              <w:jc w:val="center"/>
              <w:rPr>
                <w:bCs/>
                <w:kern w:val="0"/>
                <w:sz w:val="18"/>
                <w:szCs w:val="18"/>
              </w:rPr>
            </w:pPr>
            <w:r>
              <w:rPr>
                <w:rFonts w:hint="eastAsia"/>
                <w:bCs/>
                <w:kern w:val="0"/>
                <w:sz w:val="18"/>
                <w:szCs w:val="18"/>
              </w:rPr>
              <w:t>施工期</w:t>
            </w:r>
          </w:p>
        </w:tc>
        <w:tc>
          <w:tcPr>
            <w:tcW w:w="1264" w:type="dxa"/>
            <w:vAlign w:val="center"/>
          </w:tcPr>
          <w:p w:rsidR="00EE4502" w:rsidRDefault="00FD45A3">
            <w:pPr>
              <w:widowControl/>
              <w:jc w:val="center"/>
              <w:rPr>
                <w:bCs/>
                <w:kern w:val="0"/>
                <w:sz w:val="18"/>
                <w:szCs w:val="18"/>
              </w:rPr>
            </w:pPr>
            <w:r>
              <w:rPr>
                <w:rFonts w:hint="eastAsia"/>
                <w:bCs/>
                <w:kern w:val="0"/>
                <w:sz w:val="18"/>
                <w:szCs w:val="18"/>
              </w:rPr>
              <w:t>SO</w:t>
            </w:r>
            <w:r>
              <w:rPr>
                <w:rFonts w:hint="eastAsia"/>
                <w:bCs/>
                <w:kern w:val="0"/>
                <w:sz w:val="18"/>
                <w:szCs w:val="18"/>
                <w:vertAlign w:val="subscript"/>
              </w:rPr>
              <w:t>2</w:t>
            </w:r>
            <w:r>
              <w:rPr>
                <w:rFonts w:hint="eastAsia"/>
                <w:bCs/>
                <w:kern w:val="0"/>
                <w:sz w:val="18"/>
                <w:szCs w:val="18"/>
              </w:rPr>
              <w:t>、</w:t>
            </w:r>
            <w:r>
              <w:rPr>
                <w:rFonts w:hint="eastAsia"/>
                <w:bCs/>
                <w:kern w:val="0"/>
                <w:sz w:val="18"/>
                <w:szCs w:val="18"/>
              </w:rPr>
              <w:t>NOx</w:t>
            </w:r>
            <w:r>
              <w:rPr>
                <w:rFonts w:hint="eastAsia"/>
                <w:bCs/>
                <w:kern w:val="0"/>
                <w:sz w:val="18"/>
                <w:szCs w:val="18"/>
              </w:rPr>
              <w:t>、</w:t>
            </w:r>
            <w:r>
              <w:rPr>
                <w:rFonts w:hint="eastAsia"/>
                <w:bCs/>
                <w:kern w:val="0"/>
                <w:sz w:val="18"/>
                <w:szCs w:val="18"/>
              </w:rPr>
              <w:t>NMHC</w:t>
            </w:r>
          </w:p>
        </w:tc>
        <w:tc>
          <w:tcPr>
            <w:tcW w:w="688" w:type="dxa"/>
            <w:vAlign w:val="center"/>
          </w:tcPr>
          <w:p w:rsidR="00EE4502" w:rsidRDefault="00FD45A3">
            <w:pPr>
              <w:widowControl/>
              <w:jc w:val="center"/>
              <w:rPr>
                <w:bCs/>
                <w:kern w:val="0"/>
                <w:sz w:val="18"/>
                <w:szCs w:val="18"/>
              </w:rPr>
            </w:pPr>
            <w:r>
              <w:rPr>
                <w:rFonts w:hint="eastAsia"/>
                <w:bCs/>
                <w:kern w:val="0"/>
                <w:sz w:val="18"/>
                <w:szCs w:val="18"/>
              </w:rPr>
              <w:t>/</w:t>
            </w:r>
          </w:p>
        </w:tc>
        <w:tc>
          <w:tcPr>
            <w:tcW w:w="1352" w:type="dxa"/>
            <w:vMerge/>
            <w:vAlign w:val="center"/>
          </w:tcPr>
          <w:p w:rsidR="00EE4502" w:rsidRDefault="00EE4502">
            <w:pPr>
              <w:widowControl/>
              <w:jc w:val="center"/>
              <w:rPr>
                <w:bCs/>
                <w:kern w:val="0"/>
                <w:sz w:val="18"/>
                <w:szCs w:val="18"/>
              </w:rPr>
            </w:pPr>
          </w:p>
        </w:tc>
        <w:tc>
          <w:tcPr>
            <w:tcW w:w="1326" w:type="dxa"/>
            <w:vMerge/>
            <w:vAlign w:val="center"/>
          </w:tcPr>
          <w:p w:rsidR="00EE4502" w:rsidRDefault="00EE4502">
            <w:pPr>
              <w:widowControl/>
              <w:jc w:val="center"/>
              <w:rPr>
                <w:bCs/>
                <w:kern w:val="0"/>
                <w:sz w:val="18"/>
                <w:szCs w:val="18"/>
              </w:rPr>
            </w:pPr>
          </w:p>
        </w:tc>
        <w:tc>
          <w:tcPr>
            <w:tcW w:w="1341" w:type="dxa"/>
            <w:vAlign w:val="center"/>
          </w:tcPr>
          <w:p w:rsidR="00EE4502" w:rsidRDefault="00FD45A3">
            <w:pPr>
              <w:widowControl/>
              <w:jc w:val="center"/>
              <w:rPr>
                <w:bCs/>
                <w:kern w:val="0"/>
                <w:sz w:val="18"/>
                <w:szCs w:val="18"/>
              </w:rPr>
            </w:pPr>
            <w:r>
              <w:rPr>
                <w:rFonts w:hint="eastAsia"/>
                <w:bCs/>
                <w:kern w:val="0"/>
                <w:sz w:val="18"/>
                <w:szCs w:val="18"/>
              </w:rPr>
              <w:t>/</w:t>
            </w:r>
          </w:p>
        </w:tc>
        <w:tc>
          <w:tcPr>
            <w:tcW w:w="735" w:type="dxa"/>
            <w:vMerge/>
            <w:vAlign w:val="center"/>
          </w:tcPr>
          <w:p w:rsidR="00EE4502" w:rsidRDefault="00EE4502">
            <w:pPr>
              <w:widowControl/>
              <w:jc w:val="center"/>
              <w:rPr>
                <w:bCs/>
                <w:kern w:val="0"/>
                <w:sz w:val="18"/>
                <w:szCs w:val="18"/>
              </w:rPr>
            </w:pPr>
          </w:p>
        </w:tc>
      </w:tr>
      <w:tr w:rsidR="00EE4502">
        <w:tc>
          <w:tcPr>
            <w:tcW w:w="1011" w:type="dxa"/>
            <w:vMerge w:val="restart"/>
            <w:vAlign w:val="center"/>
          </w:tcPr>
          <w:p w:rsidR="00EE4502" w:rsidRDefault="00FD45A3">
            <w:pPr>
              <w:widowControl/>
              <w:jc w:val="center"/>
              <w:rPr>
                <w:bCs/>
                <w:kern w:val="0"/>
                <w:sz w:val="18"/>
                <w:szCs w:val="18"/>
              </w:rPr>
            </w:pPr>
            <w:r>
              <w:rPr>
                <w:rFonts w:hint="eastAsia"/>
                <w:bCs/>
                <w:kern w:val="0"/>
                <w:sz w:val="18"/>
                <w:szCs w:val="18"/>
              </w:rPr>
              <w:t>油气集输工程</w:t>
            </w:r>
          </w:p>
        </w:tc>
        <w:tc>
          <w:tcPr>
            <w:tcW w:w="805" w:type="dxa"/>
            <w:vAlign w:val="center"/>
          </w:tcPr>
          <w:p w:rsidR="00EE4502" w:rsidRDefault="00FD45A3">
            <w:pPr>
              <w:widowControl/>
              <w:jc w:val="center"/>
              <w:rPr>
                <w:bCs/>
                <w:kern w:val="0"/>
                <w:sz w:val="18"/>
                <w:szCs w:val="18"/>
              </w:rPr>
            </w:pPr>
            <w:r>
              <w:rPr>
                <w:rFonts w:hint="eastAsia"/>
                <w:bCs/>
                <w:kern w:val="0"/>
                <w:sz w:val="18"/>
                <w:szCs w:val="18"/>
              </w:rPr>
              <w:t>施工期</w:t>
            </w:r>
          </w:p>
        </w:tc>
        <w:tc>
          <w:tcPr>
            <w:tcW w:w="1264" w:type="dxa"/>
            <w:vAlign w:val="center"/>
          </w:tcPr>
          <w:p w:rsidR="00EE4502" w:rsidRDefault="00FD45A3">
            <w:pPr>
              <w:widowControl/>
              <w:jc w:val="center"/>
              <w:rPr>
                <w:bCs/>
                <w:kern w:val="0"/>
                <w:sz w:val="18"/>
                <w:szCs w:val="18"/>
              </w:rPr>
            </w:pPr>
            <w:r>
              <w:rPr>
                <w:rFonts w:hint="eastAsia"/>
                <w:bCs/>
                <w:kern w:val="0"/>
                <w:sz w:val="18"/>
                <w:szCs w:val="18"/>
              </w:rPr>
              <w:t>颗粒物</w:t>
            </w:r>
          </w:p>
        </w:tc>
        <w:tc>
          <w:tcPr>
            <w:tcW w:w="688" w:type="dxa"/>
            <w:vAlign w:val="center"/>
          </w:tcPr>
          <w:p w:rsidR="00EE4502" w:rsidRDefault="00FD45A3">
            <w:pPr>
              <w:widowControl/>
              <w:jc w:val="center"/>
              <w:rPr>
                <w:bCs/>
                <w:kern w:val="0"/>
                <w:sz w:val="18"/>
                <w:szCs w:val="18"/>
              </w:rPr>
            </w:pPr>
            <w:r>
              <w:rPr>
                <w:rFonts w:hint="eastAsia"/>
                <w:bCs/>
                <w:kern w:val="0"/>
                <w:sz w:val="18"/>
                <w:szCs w:val="18"/>
              </w:rPr>
              <w:t>/</w:t>
            </w:r>
          </w:p>
        </w:tc>
        <w:tc>
          <w:tcPr>
            <w:tcW w:w="1352" w:type="dxa"/>
            <w:vMerge w:val="restart"/>
            <w:vAlign w:val="center"/>
          </w:tcPr>
          <w:p w:rsidR="00EE4502" w:rsidRDefault="00FD45A3">
            <w:pPr>
              <w:widowControl/>
              <w:jc w:val="center"/>
              <w:rPr>
                <w:bCs/>
                <w:kern w:val="0"/>
                <w:sz w:val="18"/>
                <w:szCs w:val="18"/>
              </w:rPr>
            </w:pPr>
            <w:r>
              <w:rPr>
                <w:bCs/>
                <w:kern w:val="0"/>
                <w:sz w:val="18"/>
                <w:szCs w:val="18"/>
              </w:rPr>
              <w:t>耗氧量、氨氮、石油类等</w:t>
            </w:r>
          </w:p>
        </w:tc>
        <w:tc>
          <w:tcPr>
            <w:tcW w:w="1326" w:type="dxa"/>
            <w:vAlign w:val="center"/>
          </w:tcPr>
          <w:p w:rsidR="00EE4502" w:rsidRDefault="00FD45A3">
            <w:pPr>
              <w:widowControl/>
              <w:jc w:val="center"/>
              <w:rPr>
                <w:bCs/>
                <w:kern w:val="0"/>
                <w:sz w:val="18"/>
                <w:szCs w:val="18"/>
              </w:rPr>
            </w:pPr>
            <w:r>
              <w:rPr>
                <w:rFonts w:hint="eastAsia"/>
                <w:bCs/>
                <w:kern w:val="0"/>
                <w:sz w:val="18"/>
                <w:szCs w:val="18"/>
              </w:rPr>
              <w:t>/</w:t>
            </w:r>
          </w:p>
        </w:tc>
        <w:tc>
          <w:tcPr>
            <w:tcW w:w="1341" w:type="dxa"/>
            <w:vAlign w:val="center"/>
          </w:tcPr>
          <w:p w:rsidR="00EE4502" w:rsidRDefault="00FD45A3">
            <w:pPr>
              <w:widowControl/>
              <w:jc w:val="center"/>
              <w:rPr>
                <w:bCs/>
                <w:kern w:val="0"/>
                <w:sz w:val="18"/>
                <w:szCs w:val="18"/>
              </w:rPr>
            </w:pPr>
            <w:r>
              <w:rPr>
                <w:bCs/>
                <w:kern w:val="0"/>
                <w:sz w:val="18"/>
                <w:szCs w:val="18"/>
              </w:rPr>
              <w:t>地表扰动面积及类型</w:t>
            </w:r>
            <w:r>
              <w:rPr>
                <w:rFonts w:hint="eastAsia"/>
                <w:bCs/>
                <w:kern w:val="0"/>
                <w:sz w:val="18"/>
                <w:szCs w:val="18"/>
              </w:rPr>
              <w:t>、</w:t>
            </w:r>
            <w:r>
              <w:rPr>
                <w:bCs/>
                <w:kern w:val="0"/>
                <w:sz w:val="18"/>
                <w:szCs w:val="18"/>
              </w:rPr>
              <w:t>植被覆盖度、生物量损失、物种多样性、生态系统完整性等</w:t>
            </w:r>
          </w:p>
        </w:tc>
        <w:tc>
          <w:tcPr>
            <w:tcW w:w="735" w:type="dxa"/>
            <w:vAlign w:val="center"/>
          </w:tcPr>
          <w:p w:rsidR="00EE4502" w:rsidRDefault="00FD45A3">
            <w:pPr>
              <w:widowControl/>
              <w:jc w:val="center"/>
              <w:rPr>
                <w:bCs/>
                <w:kern w:val="0"/>
                <w:sz w:val="18"/>
                <w:szCs w:val="18"/>
              </w:rPr>
            </w:pPr>
            <w:r>
              <w:rPr>
                <w:rFonts w:hint="eastAsia"/>
                <w:bCs/>
                <w:kern w:val="0"/>
                <w:sz w:val="18"/>
                <w:szCs w:val="18"/>
              </w:rPr>
              <w:t>/</w:t>
            </w:r>
          </w:p>
        </w:tc>
      </w:tr>
      <w:tr w:rsidR="00EE4502">
        <w:tc>
          <w:tcPr>
            <w:tcW w:w="1011" w:type="dxa"/>
            <w:vMerge/>
            <w:vAlign w:val="center"/>
          </w:tcPr>
          <w:p w:rsidR="00EE4502" w:rsidRDefault="00EE4502">
            <w:pPr>
              <w:widowControl/>
              <w:jc w:val="center"/>
              <w:rPr>
                <w:bCs/>
                <w:kern w:val="0"/>
                <w:sz w:val="18"/>
                <w:szCs w:val="18"/>
              </w:rPr>
            </w:pPr>
          </w:p>
        </w:tc>
        <w:tc>
          <w:tcPr>
            <w:tcW w:w="805" w:type="dxa"/>
            <w:vAlign w:val="center"/>
          </w:tcPr>
          <w:p w:rsidR="00EE4502" w:rsidRDefault="00FD45A3">
            <w:pPr>
              <w:widowControl/>
              <w:jc w:val="center"/>
              <w:rPr>
                <w:bCs/>
                <w:kern w:val="0"/>
                <w:sz w:val="18"/>
                <w:szCs w:val="18"/>
              </w:rPr>
            </w:pPr>
            <w:r>
              <w:rPr>
                <w:rFonts w:hint="eastAsia"/>
                <w:bCs/>
                <w:kern w:val="0"/>
                <w:sz w:val="18"/>
                <w:szCs w:val="18"/>
              </w:rPr>
              <w:t>运营期</w:t>
            </w:r>
          </w:p>
        </w:tc>
        <w:tc>
          <w:tcPr>
            <w:tcW w:w="1264" w:type="dxa"/>
            <w:vAlign w:val="center"/>
          </w:tcPr>
          <w:p w:rsidR="00EE4502" w:rsidRDefault="00FD45A3">
            <w:pPr>
              <w:widowControl/>
              <w:jc w:val="center"/>
              <w:rPr>
                <w:bCs/>
                <w:kern w:val="0"/>
                <w:sz w:val="18"/>
                <w:szCs w:val="18"/>
              </w:rPr>
            </w:pPr>
            <w:r>
              <w:rPr>
                <w:rFonts w:hint="eastAsia"/>
                <w:bCs/>
                <w:kern w:val="0"/>
                <w:sz w:val="18"/>
                <w:szCs w:val="18"/>
              </w:rPr>
              <w:t>SO</w:t>
            </w:r>
            <w:r>
              <w:rPr>
                <w:rFonts w:hint="eastAsia"/>
                <w:bCs/>
                <w:kern w:val="0"/>
                <w:sz w:val="18"/>
                <w:szCs w:val="18"/>
                <w:vertAlign w:val="subscript"/>
              </w:rPr>
              <w:t>2</w:t>
            </w:r>
            <w:r>
              <w:rPr>
                <w:rFonts w:hint="eastAsia"/>
                <w:bCs/>
                <w:kern w:val="0"/>
                <w:sz w:val="18"/>
                <w:szCs w:val="18"/>
              </w:rPr>
              <w:t>、</w:t>
            </w:r>
            <w:r>
              <w:rPr>
                <w:rFonts w:hint="eastAsia"/>
                <w:bCs/>
                <w:kern w:val="0"/>
                <w:sz w:val="18"/>
                <w:szCs w:val="18"/>
              </w:rPr>
              <w:t>NOx</w:t>
            </w:r>
            <w:r>
              <w:rPr>
                <w:rFonts w:hint="eastAsia"/>
                <w:bCs/>
                <w:kern w:val="0"/>
                <w:sz w:val="18"/>
                <w:szCs w:val="18"/>
              </w:rPr>
              <w:t>、</w:t>
            </w:r>
            <w:r>
              <w:rPr>
                <w:rFonts w:hint="eastAsia"/>
                <w:bCs/>
                <w:kern w:val="0"/>
                <w:sz w:val="18"/>
                <w:szCs w:val="18"/>
              </w:rPr>
              <w:t>NMHC</w:t>
            </w:r>
            <w:r>
              <w:rPr>
                <w:rFonts w:hint="eastAsia"/>
                <w:bCs/>
                <w:kern w:val="0"/>
                <w:sz w:val="18"/>
                <w:szCs w:val="18"/>
              </w:rPr>
              <w:t>、</w:t>
            </w:r>
            <w:r>
              <w:rPr>
                <w:rFonts w:hint="eastAsia"/>
                <w:bCs/>
                <w:kern w:val="0"/>
                <w:sz w:val="18"/>
                <w:szCs w:val="18"/>
              </w:rPr>
              <w:t>H</w:t>
            </w:r>
            <w:r>
              <w:rPr>
                <w:rFonts w:hint="eastAsia"/>
                <w:bCs/>
                <w:kern w:val="0"/>
                <w:sz w:val="18"/>
                <w:szCs w:val="18"/>
                <w:vertAlign w:val="subscript"/>
              </w:rPr>
              <w:t>2</w:t>
            </w:r>
            <w:r>
              <w:rPr>
                <w:rFonts w:hint="eastAsia"/>
                <w:bCs/>
                <w:kern w:val="0"/>
                <w:sz w:val="18"/>
                <w:szCs w:val="18"/>
              </w:rPr>
              <w:t>S</w:t>
            </w:r>
          </w:p>
        </w:tc>
        <w:tc>
          <w:tcPr>
            <w:tcW w:w="688" w:type="dxa"/>
            <w:vAlign w:val="center"/>
          </w:tcPr>
          <w:p w:rsidR="00EE4502" w:rsidRDefault="00FD45A3">
            <w:pPr>
              <w:widowControl/>
              <w:jc w:val="center"/>
              <w:rPr>
                <w:bCs/>
                <w:kern w:val="0"/>
                <w:sz w:val="18"/>
                <w:szCs w:val="18"/>
              </w:rPr>
            </w:pPr>
            <w:r>
              <w:rPr>
                <w:rFonts w:hint="eastAsia"/>
                <w:bCs/>
                <w:kern w:val="0"/>
                <w:sz w:val="18"/>
                <w:szCs w:val="18"/>
              </w:rPr>
              <w:t>/</w:t>
            </w:r>
          </w:p>
        </w:tc>
        <w:tc>
          <w:tcPr>
            <w:tcW w:w="1352" w:type="dxa"/>
            <w:vMerge/>
            <w:vAlign w:val="center"/>
          </w:tcPr>
          <w:p w:rsidR="00EE4502" w:rsidRDefault="00EE4502">
            <w:pPr>
              <w:widowControl/>
              <w:jc w:val="center"/>
              <w:rPr>
                <w:bCs/>
                <w:kern w:val="0"/>
                <w:sz w:val="18"/>
                <w:szCs w:val="18"/>
              </w:rPr>
            </w:pPr>
          </w:p>
        </w:tc>
        <w:tc>
          <w:tcPr>
            <w:tcW w:w="1326" w:type="dxa"/>
            <w:vAlign w:val="center"/>
          </w:tcPr>
          <w:p w:rsidR="00EE4502" w:rsidRDefault="00FD45A3">
            <w:pPr>
              <w:widowControl/>
              <w:jc w:val="center"/>
              <w:rPr>
                <w:bCs/>
                <w:kern w:val="0"/>
                <w:sz w:val="18"/>
                <w:szCs w:val="18"/>
              </w:rPr>
            </w:pPr>
            <w:r>
              <w:rPr>
                <w:rFonts w:hint="eastAsia"/>
                <w:bCs/>
                <w:kern w:val="0"/>
                <w:sz w:val="18"/>
                <w:szCs w:val="18"/>
              </w:rPr>
              <w:t>/</w:t>
            </w:r>
          </w:p>
        </w:tc>
        <w:tc>
          <w:tcPr>
            <w:tcW w:w="1341" w:type="dxa"/>
            <w:vAlign w:val="center"/>
          </w:tcPr>
          <w:p w:rsidR="00EE4502" w:rsidRDefault="00FD45A3">
            <w:pPr>
              <w:widowControl/>
              <w:jc w:val="center"/>
              <w:rPr>
                <w:bCs/>
                <w:kern w:val="0"/>
                <w:sz w:val="18"/>
                <w:szCs w:val="18"/>
              </w:rPr>
            </w:pPr>
            <w:r>
              <w:rPr>
                <w:bCs/>
                <w:kern w:val="0"/>
                <w:sz w:val="18"/>
                <w:szCs w:val="18"/>
              </w:rPr>
              <w:t>土壤肥力或林地立地条件、生物多样性、生态系统完整性等</w:t>
            </w:r>
          </w:p>
        </w:tc>
        <w:tc>
          <w:tcPr>
            <w:tcW w:w="735" w:type="dxa"/>
            <w:vAlign w:val="center"/>
          </w:tcPr>
          <w:p w:rsidR="00EE4502" w:rsidRDefault="00FD45A3">
            <w:pPr>
              <w:widowControl/>
              <w:jc w:val="center"/>
              <w:rPr>
                <w:bCs/>
                <w:i/>
                <w:iCs/>
                <w:kern w:val="0"/>
                <w:sz w:val="18"/>
                <w:szCs w:val="18"/>
              </w:rPr>
            </w:pPr>
            <w:r>
              <w:rPr>
                <w:bCs/>
                <w:kern w:val="0"/>
                <w:sz w:val="18"/>
                <w:szCs w:val="18"/>
              </w:rPr>
              <w:t>昼、夜间等效声级（</w:t>
            </w:r>
            <w:r>
              <w:rPr>
                <w:bCs/>
                <w:i/>
                <w:iCs/>
                <w:kern w:val="0"/>
                <w:sz w:val="18"/>
                <w:szCs w:val="18"/>
              </w:rPr>
              <w:t>L</w:t>
            </w:r>
            <w:r>
              <w:rPr>
                <w:bCs/>
                <w:i/>
                <w:iCs/>
                <w:kern w:val="0"/>
                <w:sz w:val="18"/>
                <w:szCs w:val="18"/>
                <w:vertAlign w:val="subscript"/>
              </w:rPr>
              <w:t>d</w:t>
            </w:r>
            <w:r>
              <w:rPr>
                <w:bCs/>
                <w:kern w:val="0"/>
                <w:sz w:val="18"/>
                <w:szCs w:val="18"/>
              </w:rPr>
              <w:t>、</w:t>
            </w:r>
          </w:p>
          <w:p w:rsidR="00EE4502" w:rsidRDefault="00FD45A3">
            <w:pPr>
              <w:widowControl/>
              <w:jc w:val="center"/>
              <w:rPr>
                <w:bCs/>
                <w:kern w:val="0"/>
                <w:sz w:val="18"/>
                <w:szCs w:val="18"/>
              </w:rPr>
            </w:pPr>
            <w:r>
              <w:rPr>
                <w:bCs/>
                <w:i/>
                <w:iCs/>
                <w:kern w:val="0"/>
                <w:sz w:val="18"/>
                <w:szCs w:val="18"/>
              </w:rPr>
              <w:t>L</w:t>
            </w:r>
            <w:r>
              <w:rPr>
                <w:bCs/>
                <w:i/>
                <w:iCs/>
                <w:kern w:val="0"/>
                <w:sz w:val="18"/>
                <w:szCs w:val="18"/>
                <w:vertAlign w:val="subscript"/>
              </w:rPr>
              <w:t>n</w:t>
            </w:r>
            <w:r>
              <w:rPr>
                <w:rFonts w:hint="eastAsia"/>
                <w:bCs/>
                <w:i/>
                <w:iCs/>
                <w:kern w:val="0"/>
                <w:sz w:val="18"/>
                <w:szCs w:val="18"/>
                <w:vertAlign w:val="subscript"/>
              </w:rPr>
              <w:t>)</w:t>
            </w:r>
          </w:p>
        </w:tc>
      </w:tr>
      <w:tr w:rsidR="00EE4502">
        <w:tc>
          <w:tcPr>
            <w:tcW w:w="1011" w:type="dxa"/>
            <w:vMerge w:val="restart"/>
            <w:vAlign w:val="center"/>
          </w:tcPr>
          <w:p w:rsidR="00EE4502" w:rsidRDefault="00FD45A3">
            <w:pPr>
              <w:widowControl/>
              <w:jc w:val="center"/>
              <w:rPr>
                <w:bCs/>
                <w:kern w:val="0"/>
                <w:sz w:val="18"/>
                <w:szCs w:val="18"/>
              </w:rPr>
            </w:pPr>
            <w:r>
              <w:rPr>
                <w:rFonts w:hint="eastAsia"/>
                <w:bCs/>
                <w:kern w:val="0"/>
                <w:sz w:val="18"/>
                <w:szCs w:val="18"/>
              </w:rPr>
              <w:t>油气处理工程</w:t>
            </w:r>
          </w:p>
        </w:tc>
        <w:tc>
          <w:tcPr>
            <w:tcW w:w="805" w:type="dxa"/>
            <w:vAlign w:val="center"/>
          </w:tcPr>
          <w:p w:rsidR="00EE4502" w:rsidRDefault="00FD45A3">
            <w:pPr>
              <w:widowControl/>
              <w:jc w:val="center"/>
              <w:rPr>
                <w:bCs/>
                <w:kern w:val="0"/>
                <w:sz w:val="18"/>
                <w:szCs w:val="18"/>
              </w:rPr>
            </w:pPr>
            <w:r>
              <w:rPr>
                <w:rFonts w:hint="eastAsia"/>
                <w:bCs/>
                <w:kern w:val="0"/>
                <w:sz w:val="18"/>
                <w:szCs w:val="18"/>
              </w:rPr>
              <w:t>施工期</w:t>
            </w:r>
          </w:p>
        </w:tc>
        <w:tc>
          <w:tcPr>
            <w:tcW w:w="1264" w:type="dxa"/>
            <w:vAlign w:val="center"/>
          </w:tcPr>
          <w:p w:rsidR="00EE4502" w:rsidRDefault="00FD45A3">
            <w:pPr>
              <w:widowControl/>
              <w:jc w:val="center"/>
              <w:rPr>
                <w:bCs/>
                <w:kern w:val="0"/>
                <w:sz w:val="18"/>
                <w:szCs w:val="18"/>
              </w:rPr>
            </w:pPr>
            <w:r>
              <w:rPr>
                <w:rFonts w:hint="eastAsia"/>
                <w:bCs/>
                <w:kern w:val="0"/>
                <w:sz w:val="18"/>
                <w:szCs w:val="18"/>
              </w:rPr>
              <w:t>/</w:t>
            </w:r>
          </w:p>
        </w:tc>
        <w:tc>
          <w:tcPr>
            <w:tcW w:w="688" w:type="dxa"/>
            <w:vAlign w:val="center"/>
          </w:tcPr>
          <w:p w:rsidR="00EE4502" w:rsidRDefault="00FD45A3">
            <w:pPr>
              <w:widowControl/>
              <w:jc w:val="center"/>
              <w:rPr>
                <w:bCs/>
                <w:kern w:val="0"/>
                <w:sz w:val="18"/>
                <w:szCs w:val="18"/>
              </w:rPr>
            </w:pPr>
            <w:r>
              <w:rPr>
                <w:rFonts w:hint="eastAsia"/>
                <w:bCs/>
                <w:kern w:val="0"/>
                <w:sz w:val="18"/>
                <w:szCs w:val="18"/>
              </w:rPr>
              <w:t>/</w:t>
            </w:r>
          </w:p>
        </w:tc>
        <w:tc>
          <w:tcPr>
            <w:tcW w:w="1352" w:type="dxa"/>
            <w:vAlign w:val="center"/>
          </w:tcPr>
          <w:p w:rsidR="00EE4502" w:rsidRDefault="00FD45A3">
            <w:pPr>
              <w:widowControl/>
              <w:jc w:val="center"/>
              <w:rPr>
                <w:bCs/>
                <w:kern w:val="0"/>
                <w:sz w:val="18"/>
                <w:szCs w:val="18"/>
              </w:rPr>
            </w:pPr>
            <w:r>
              <w:rPr>
                <w:rFonts w:hint="eastAsia"/>
                <w:bCs/>
                <w:kern w:val="0"/>
                <w:sz w:val="18"/>
                <w:szCs w:val="18"/>
              </w:rPr>
              <w:t>/</w:t>
            </w:r>
          </w:p>
        </w:tc>
        <w:tc>
          <w:tcPr>
            <w:tcW w:w="1326" w:type="dxa"/>
            <w:vAlign w:val="center"/>
          </w:tcPr>
          <w:p w:rsidR="00EE4502" w:rsidRDefault="00FD45A3">
            <w:pPr>
              <w:widowControl/>
              <w:jc w:val="center"/>
              <w:rPr>
                <w:bCs/>
                <w:kern w:val="0"/>
                <w:sz w:val="18"/>
                <w:szCs w:val="18"/>
              </w:rPr>
            </w:pPr>
            <w:r>
              <w:rPr>
                <w:rFonts w:hint="eastAsia"/>
                <w:bCs/>
                <w:kern w:val="0"/>
                <w:sz w:val="18"/>
                <w:szCs w:val="18"/>
              </w:rPr>
              <w:t>/</w:t>
            </w:r>
          </w:p>
        </w:tc>
        <w:tc>
          <w:tcPr>
            <w:tcW w:w="1341" w:type="dxa"/>
            <w:vAlign w:val="center"/>
          </w:tcPr>
          <w:p w:rsidR="00EE4502" w:rsidRDefault="00FD45A3">
            <w:pPr>
              <w:widowControl/>
              <w:jc w:val="center"/>
              <w:rPr>
                <w:bCs/>
                <w:kern w:val="0"/>
                <w:sz w:val="18"/>
                <w:szCs w:val="18"/>
              </w:rPr>
            </w:pPr>
            <w:r>
              <w:rPr>
                <w:rFonts w:hint="eastAsia"/>
                <w:bCs/>
                <w:kern w:val="0"/>
                <w:sz w:val="18"/>
                <w:szCs w:val="18"/>
              </w:rPr>
              <w:t>/</w:t>
            </w:r>
          </w:p>
        </w:tc>
        <w:tc>
          <w:tcPr>
            <w:tcW w:w="735" w:type="dxa"/>
            <w:vAlign w:val="center"/>
          </w:tcPr>
          <w:p w:rsidR="00EE4502" w:rsidRDefault="00FD45A3">
            <w:pPr>
              <w:widowControl/>
              <w:jc w:val="center"/>
              <w:rPr>
                <w:bCs/>
                <w:kern w:val="0"/>
                <w:sz w:val="18"/>
                <w:szCs w:val="18"/>
              </w:rPr>
            </w:pPr>
            <w:r>
              <w:rPr>
                <w:rFonts w:hint="eastAsia"/>
                <w:bCs/>
                <w:kern w:val="0"/>
                <w:sz w:val="18"/>
                <w:szCs w:val="18"/>
              </w:rPr>
              <w:t>/</w:t>
            </w:r>
          </w:p>
        </w:tc>
      </w:tr>
      <w:tr w:rsidR="00EE4502">
        <w:tc>
          <w:tcPr>
            <w:tcW w:w="1011" w:type="dxa"/>
            <w:vMerge/>
            <w:vAlign w:val="center"/>
          </w:tcPr>
          <w:p w:rsidR="00EE4502" w:rsidRDefault="00EE4502">
            <w:pPr>
              <w:widowControl/>
              <w:jc w:val="center"/>
              <w:rPr>
                <w:bCs/>
                <w:kern w:val="0"/>
                <w:sz w:val="18"/>
                <w:szCs w:val="18"/>
              </w:rPr>
            </w:pPr>
          </w:p>
        </w:tc>
        <w:tc>
          <w:tcPr>
            <w:tcW w:w="805" w:type="dxa"/>
            <w:vAlign w:val="center"/>
          </w:tcPr>
          <w:p w:rsidR="00EE4502" w:rsidRDefault="00FD45A3">
            <w:pPr>
              <w:widowControl/>
              <w:jc w:val="center"/>
              <w:rPr>
                <w:bCs/>
                <w:kern w:val="0"/>
                <w:sz w:val="18"/>
                <w:szCs w:val="18"/>
              </w:rPr>
            </w:pPr>
            <w:r>
              <w:rPr>
                <w:rFonts w:hint="eastAsia"/>
                <w:bCs/>
                <w:kern w:val="0"/>
                <w:sz w:val="18"/>
                <w:szCs w:val="18"/>
              </w:rPr>
              <w:t>运营期</w:t>
            </w:r>
          </w:p>
        </w:tc>
        <w:tc>
          <w:tcPr>
            <w:tcW w:w="1264" w:type="dxa"/>
            <w:vAlign w:val="center"/>
          </w:tcPr>
          <w:p w:rsidR="00EE4502" w:rsidRDefault="00FD45A3">
            <w:pPr>
              <w:widowControl/>
              <w:jc w:val="center"/>
              <w:rPr>
                <w:bCs/>
                <w:kern w:val="0"/>
                <w:sz w:val="18"/>
                <w:szCs w:val="18"/>
              </w:rPr>
            </w:pPr>
            <w:r>
              <w:rPr>
                <w:rFonts w:hint="eastAsia"/>
                <w:bCs/>
                <w:kern w:val="0"/>
                <w:sz w:val="18"/>
                <w:szCs w:val="18"/>
              </w:rPr>
              <w:t>/</w:t>
            </w:r>
          </w:p>
        </w:tc>
        <w:tc>
          <w:tcPr>
            <w:tcW w:w="688" w:type="dxa"/>
            <w:vAlign w:val="center"/>
          </w:tcPr>
          <w:p w:rsidR="00EE4502" w:rsidRDefault="00FD45A3">
            <w:pPr>
              <w:widowControl/>
              <w:jc w:val="center"/>
              <w:rPr>
                <w:bCs/>
                <w:kern w:val="0"/>
                <w:sz w:val="18"/>
                <w:szCs w:val="18"/>
              </w:rPr>
            </w:pPr>
            <w:r>
              <w:rPr>
                <w:rFonts w:hint="eastAsia"/>
                <w:bCs/>
                <w:kern w:val="0"/>
                <w:sz w:val="18"/>
                <w:szCs w:val="18"/>
              </w:rPr>
              <w:t>/</w:t>
            </w:r>
          </w:p>
        </w:tc>
        <w:tc>
          <w:tcPr>
            <w:tcW w:w="1352" w:type="dxa"/>
            <w:vAlign w:val="center"/>
          </w:tcPr>
          <w:p w:rsidR="00EE4502" w:rsidRDefault="00FD45A3">
            <w:pPr>
              <w:widowControl/>
              <w:jc w:val="center"/>
              <w:rPr>
                <w:bCs/>
                <w:kern w:val="0"/>
                <w:sz w:val="18"/>
                <w:szCs w:val="18"/>
              </w:rPr>
            </w:pPr>
            <w:r>
              <w:rPr>
                <w:rFonts w:hint="eastAsia"/>
                <w:bCs/>
                <w:kern w:val="0"/>
                <w:sz w:val="18"/>
                <w:szCs w:val="18"/>
              </w:rPr>
              <w:t>/</w:t>
            </w:r>
          </w:p>
        </w:tc>
        <w:tc>
          <w:tcPr>
            <w:tcW w:w="1326" w:type="dxa"/>
            <w:vAlign w:val="center"/>
          </w:tcPr>
          <w:p w:rsidR="00EE4502" w:rsidRDefault="00FD45A3">
            <w:pPr>
              <w:widowControl/>
              <w:jc w:val="center"/>
              <w:rPr>
                <w:bCs/>
                <w:kern w:val="0"/>
                <w:sz w:val="18"/>
                <w:szCs w:val="18"/>
              </w:rPr>
            </w:pPr>
            <w:r>
              <w:rPr>
                <w:rFonts w:hint="eastAsia"/>
                <w:bCs/>
                <w:kern w:val="0"/>
                <w:sz w:val="18"/>
                <w:szCs w:val="18"/>
              </w:rPr>
              <w:t>/</w:t>
            </w:r>
          </w:p>
        </w:tc>
        <w:tc>
          <w:tcPr>
            <w:tcW w:w="1341" w:type="dxa"/>
            <w:vAlign w:val="center"/>
          </w:tcPr>
          <w:p w:rsidR="00EE4502" w:rsidRDefault="00FD45A3">
            <w:pPr>
              <w:widowControl/>
              <w:jc w:val="center"/>
              <w:rPr>
                <w:bCs/>
                <w:kern w:val="0"/>
                <w:sz w:val="18"/>
                <w:szCs w:val="18"/>
              </w:rPr>
            </w:pPr>
            <w:r>
              <w:rPr>
                <w:rFonts w:hint="eastAsia"/>
                <w:bCs/>
                <w:kern w:val="0"/>
                <w:sz w:val="18"/>
                <w:szCs w:val="18"/>
              </w:rPr>
              <w:t>/</w:t>
            </w:r>
          </w:p>
        </w:tc>
        <w:tc>
          <w:tcPr>
            <w:tcW w:w="735" w:type="dxa"/>
            <w:vAlign w:val="center"/>
          </w:tcPr>
          <w:p w:rsidR="00EE4502" w:rsidRDefault="00FD45A3">
            <w:pPr>
              <w:widowControl/>
              <w:jc w:val="center"/>
              <w:rPr>
                <w:bCs/>
                <w:kern w:val="0"/>
                <w:sz w:val="18"/>
                <w:szCs w:val="18"/>
              </w:rPr>
            </w:pPr>
            <w:r>
              <w:rPr>
                <w:rFonts w:hint="eastAsia"/>
                <w:bCs/>
                <w:kern w:val="0"/>
                <w:sz w:val="18"/>
                <w:szCs w:val="18"/>
              </w:rPr>
              <w:t>/</w:t>
            </w:r>
          </w:p>
        </w:tc>
      </w:tr>
    </w:tbl>
    <w:p w:rsidR="00EE4502" w:rsidRDefault="00EE4502">
      <w:pPr>
        <w:pStyle w:val="affff4"/>
        <w:spacing w:line="240" w:lineRule="auto"/>
        <w:ind w:firstLineChars="0" w:firstLine="0"/>
        <w:jc w:val="center"/>
        <w:rPr>
          <w:rFonts w:ascii="Times New Roman" w:eastAsia="宋体" w:hAnsi="Times New Roman"/>
          <w:color w:val="auto"/>
          <w:w w:val="100"/>
          <w:sz w:val="18"/>
          <w:szCs w:val="18"/>
        </w:rPr>
      </w:pPr>
    </w:p>
    <w:p w:rsidR="00EE4502" w:rsidRDefault="00FD45A3">
      <w:pPr>
        <w:pStyle w:val="22"/>
        <w:numPr>
          <w:ilvl w:val="1"/>
          <w:numId w:val="30"/>
        </w:numPr>
        <w:rPr>
          <w:spacing w:val="0"/>
          <w:w w:val="100"/>
        </w:rPr>
      </w:pPr>
      <w:bookmarkStart w:id="52" w:name="_Toc26740"/>
      <w:r>
        <w:rPr>
          <w:spacing w:val="0"/>
          <w:w w:val="100"/>
        </w:rPr>
        <w:lastRenderedPageBreak/>
        <w:t>环境功能</w:t>
      </w:r>
      <w:bookmarkEnd w:id="49"/>
      <w:bookmarkEnd w:id="50"/>
      <w:r>
        <w:rPr>
          <w:spacing w:val="0"/>
          <w:w w:val="100"/>
        </w:rPr>
        <w:t>区划及评价标准</w:t>
      </w:r>
      <w:bookmarkEnd w:id="52"/>
    </w:p>
    <w:p w:rsidR="00EE4502" w:rsidRDefault="00FD45A3">
      <w:pPr>
        <w:pStyle w:val="33"/>
        <w:numPr>
          <w:ilvl w:val="2"/>
          <w:numId w:val="30"/>
        </w:numPr>
        <w:spacing w:line="360" w:lineRule="auto"/>
        <w:ind w:left="0" w:firstLine="0"/>
        <w:rPr>
          <w:spacing w:val="0"/>
          <w:sz w:val="24"/>
          <w:szCs w:val="24"/>
        </w:rPr>
      </w:pPr>
      <w:r>
        <w:rPr>
          <w:spacing w:val="0"/>
          <w:sz w:val="24"/>
          <w:szCs w:val="24"/>
        </w:rPr>
        <w:t>环境功能区划</w:t>
      </w:r>
    </w:p>
    <w:p w:rsidR="00EE4502" w:rsidRDefault="00FD45A3">
      <w:pPr>
        <w:spacing w:line="360" w:lineRule="auto"/>
        <w:ind w:firstLineChars="200" w:firstLine="480"/>
        <w:rPr>
          <w:sz w:val="24"/>
        </w:rPr>
      </w:pPr>
      <w:r>
        <w:rPr>
          <w:rFonts w:hint="eastAsia"/>
          <w:sz w:val="24"/>
        </w:rPr>
        <w:t>（</w:t>
      </w:r>
      <w:r>
        <w:rPr>
          <w:rFonts w:hint="eastAsia"/>
          <w:sz w:val="24"/>
        </w:rPr>
        <w:t>1</w:t>
      </w:r>
      <w:r>
        <w:rPr>
          <w:rFonts w:hint="eastAsia"/>
          <w:sz w:val="24"/>
        </w:rPr>
        <w:t>）</w:t>
      </w:r>
      <w:r>
        <w:rPr>
          <w:sz w:val="24"/>
        </w:rPr>
        <w:t>环境空气功能区划</w:t>
      </w:r>
    </w:p>
    <w:p w:rsidR="00EE4502" w:rsidRDefault="00FD45A3">
      <w:pPr>
        <w:spacing w:line="360" w:lineRule="auto"/>
        <w:ind w:firstLineChars="200" w:firstLine="480"/>
        <w:rPr>
          <w:sz w:val="24"/>
        </w:rPr>
      </w:pPr>
      <w:r>
        <w:rPr>
          <w:sz w:val="24"/>
        </w:rPr>
        <w:t>根据《环境空气质量标准》（</w:t>
      </w:r>
      <w:r>
        <w:rPr>
          <w:sz w:val="24"/>
        </w:rPr>
        <w:t>GB3095-2012</w:t>
      </w:r>
      <w:r>
        <w:rPr>
          <w:sz w:val="24"/>
        </w:rPr>
        <w:t>），工程区地处油田开发区域，环境空气质量功能区划属二类功能区。</w:t>
      </w:r>
    </w:p>
    <w:p w:rsidR="00EE4502" w:rsidRDefault="00FD45A3">
      <w:pPr>
        <w:spacing w:line="360" w:lineRule="auto"/>
        <w:ind w:firstLineChars="200" w:firstLine="480"/>
        <w:rPr>
          <w:sz w:val="24"/>
        </w:rPr>
      </w:pPr>
      <w:r>
        <w:rPr>
          <w:sz w:val="24"/>
        </w:rPr>
        <w:t>（</w:t>
      </w:r>
      <w:r>
        <w:rPr>
          <w:sz w:val="24"/>
        </w:rPr>
        <w:t>2</w:t>
      </w:r>
      <w:r>
        <w:rPr>
          <w:sz w:val="24"/>
        </w:rPr>
        <w:t>）水环境功能区划</w:t>
      </w:r>
    </w:p>
    <w:p w:rsidR="00EE4502" w:rsidRDefault="00FD45A3">
      <w:pPr>
        <w:pStyle w:val="af9"/>
        <w:spacing w:line="360" w:lineRule="auto"/>
        <w:ind w:firstLineChars="200" w:firstLine="480"/>
        <w:rPr>
          <w:rFonts w:ascii="Times New Roman" w:hAnsi="Times New Roman"/>
        </w:rPr>
      </w:pPr>
      <w:r>
        <w:rPr>
          <w:rFonts w:ascii="Times New Roman" w:hAnsi="Times New Roman" w:hint="eastAsia"/>
        </w:rPr>
        <w:t>本工程</w:t>
      </w:r>
      <w:r>
        <w:rPr>
          <w:rFonts w:ascii="Times New Roman" w:hAnsi="Times New Roman"/>
        </w:rPr>
        <w:t>所在区域评价范围内无地表水体分布。</w:t>
      </w:r>
    </w:p>
    <w:p w:rsidR="00EE4502" w:rsidRDefault="00FD45A3">
      <w:pPr>
        <w:pStyle w:val="af9"/>
        <w:spacing w:line="360" w:lineRule="auto"/>
        <w:ind w:firstLineChars="200" w:firstLine="480"/>
        <w:rPr>
          <w:rFonts w:ascii="Times New Roman" w:hAnsi="Times New Roman"/>
        </w:rPr>
      </w:pPr>
      <w:r>
        <w:rPr>
          <w:rFonts w:ascii="Times New Roman" w:hAnsi="Times New Roman"/>
        </w:rPr>
        <w:t>按照《地下水质量标准》（</w:t>
      </w:r>
      <w:r>
        <w:rPr>
          <w:rFonts w:ascii="Times New Roman" w:hAnsi="Times New Roman"/>
        </w:rPr>
        <w:t>GB/T14843-2017</w:t>
      </w:r>
      <w:r>
        <w:rPr>
          <w:rFonts w:ascii="Times New Roman" w:hAnsi="Times New Roman"/>
        </w:rPr>
        <w:t>）中的规定，项目所在区域地下水质量功能区划属</w:t>
      </w:r>
      <w:r>
        <w:rPr>
          <w:rFonts w:ascii="Times New Roman" w:hAnsi="Times New Roman"/>
        </w:rPr>
        <w:t>Ⅲ</w:t>
      </w:r>
      <w:r>
        <w:rPr>
          <w:rFonts w:ascii="Times New Roman" w:hAnsi="Times New Roman"/>
        </w:rPr>
        <w:t>类地下水，其中石油类参照执行《地表水环境质量标准》（</w:t>
      </w:r>
      <w:r>
        <w:rPr>
          <w:rFonts w:ascii="Times New Roman" w:hAnsi="Times New Roman"/>
        </w:rPr>
        <w:t>GB3838-2002</w:t>
      </w:r>
      <w:r>
        <w:rPr>
          <w:rFonts w:ascii="Times New Roman" w:hAnsi="Times New Roman"/>
        </w:rPr>
        <w:t>）</w:t>
      </w:r>
      <w:r>
        <w:rPr>
          <w:rFonts w:ascii="Times New Roman" w:hAnsi="Times New Roman" w:hint="eastAsia"/>
        </w:rPr>
        <w:t>Ⅲ</w:t>
      </w:r>
      <w:r>
        <w:rPr>
          <w:rFonts w:ascii="Times New Roman" w:hAnsi="Times New Roman"/>
        </w:rPr>
        <w:t>类标准限值。</w:t>
      </w:r>
    </w:p>
    <w:p w:rsidR="00EE4502" w:rsidRDefault="00FD45A3">
      <w:pPr>
        <w:spacing w:line="360" w:lineRule="auto"/>
        <w:ind w:firstLineChars="200" w:firstLine="480"/>
        <w:rPr>
          <w:sz w:val="24"/>
        </w:rPr>
      </w:pPr>
      <w:r>
        <w:rPr>
          <w:sz w:val="24"/>
        </w:rPr>
        <w:t>（</w:t>
      </w:r>
      <w:r>
        <w:rPr>
          <w:sz w:val="24"/>
        </w:rPr>
        <w:t>3</w:t>
      </w:r>
      <w:r>
        <w:rPr>
          <w:sz w:val="24"/>
        </w:rPr>
        <w:t>）声环境功能区划</w:t>
      </w:r>
    </w:p>
    <w:p w:rsidR="00EE4502" w:rsidRDefault="00FD45A3">
      <w:pPr>
        <w:spacing w:line="360" w:lineRule="auto"/>
        <w:ind w:firstLineChars="200" w:firstLine="480"/>
        <w:rPr>
          <w:sz w:val="24"/>
        </w:rPr>
      </w:pPr>
      <w:r>
        <w:rPr>
          <w:sz w:val="24"/>
        </w:rPr>
        <w:t>本工程开发建设的噪声影响仅在施工期较大，进入运营期后，整个开发建设期噪声源数量相对较少，主要集中在井</w:t>
      </w:r>
      <w:r>
        <w:rPr>
          <w:sz w:val="24"/>
        </w:rPr>
        <w:t>场。</w:t>
      </w:r>
      <w:r>
        <w:rPr>
          <w:rFonts w:hint="eastAsia"/>
          <w:sz w:val="24"/>
        </w:rPr>
        <w:t>工程区</w:t>
      </w:r>
      <w:r>
        <w:rPr>
          <w:sz w:val="24"/>
        </w:rPr>
        <w:t>为油田开发区，目前暂未进行声环境功能区划，根据《声环境质量标准》（</w:t>
      </w:r>
      <w:r>
        <w:rPr>
          <w:sz w:val="24"/>
        </w:rPr>
        <w:t>GB3096-2008</w:t>
      </w:r>
      <w:r>
        <w:rPr>
          <w:sz w:val="24"/>
        </w:rPr>
        <w:t>）要求，划定为</w:t>
      </w:r>
      <w:r>
        <w:rPr>
          <w:sz w:val="24"/>
        </w:rPr>
        <w:t>2</w:t>
      </w:r>
      <w:r>
        <w:rPr>
          <w:sz w:val="24"/>
        </w:rPr>
        <w:t>类声环境功能区。</w:t>
      </w:r>
    </w:p>
    <w:p w:rsidR="00EE4502" w:rsidRDefault="00FD45A3">
      <w:pPr>
        <w:spacing w:line="360" w:lineRule="auto"/>
        <w:ind w:firstLineChars="200" w:firstLine="480"/>
        <w:rPr>
          <w:sz w:val="24"/>
        </w:rPr>
      </w:pPr>
      <w:r>
        <w:rPr>
          <w:sz w:val="24"/>
        </w:rPr>
        <w:t>（</w:t>
      </w:r>
      <w:r>
        <w:rPr>
          <w:sz w:val="24"/>
        </w:rPr>
        <w:t>4</w:t>
      </w:r>
      <w:r>
        <w:rPr>
          <w:sz w:val="24"/>
        </w:rPr>
        <w:t>）生态环境</w:t>
      </w:r>
    </w:p>
    <w:p w:rsidR="00EE4502" w:rsidRDefault="00FD45A3">
      <w:pPr>
        <w:spacing w:line="360" w:lineRule="auto"/>
        <w:ind w:firstLineChars="200" w:firstLine="480"/>
        <w:rPr>
          <w:sz w:val="24"/>
        </w:rPr>
      </w:pPr>
      <w:r>
        <w:rPr>
          <w:rFonts w:hint="eastAsia"/>
          <w:sz w:val="24"/>
        </w:rPr>
        <w:t>本工程</w:t>
      </w:r>
      <w:r>
        <w:rPr>
          <w:sz w:val="24"/>
        </w:rPr>
        <w:t>位于准噶尔盆地</w:t>
      </w:r>
      <w:r>
        <w:rPr>
          <w:rFonts w:hint="eastAsia"/>
          <w:sz w:val="24"/>
        </w:rPr>
        <w:t>边缘</w:t>
      </w:r>
      <w:r>
        <w:rPr>
          <w:sz w:val="24"/>
        </w:rPr>
        <w:t>，行政区划隶属</w:t>
      </w:r>
      <w:r>
        <w:rPr>
          <w:rFonts w:hint="eastAsia"/>
          <w:sz w:val="24"/>
        </w:rPr>
        <w:t>克拉玛依市及</w:t>
      </w:r>
      <w:r>
        <w:rPr>
          <w:sz w:val="24"/>
        </w:rPr>
        <w:t>第七师</w:t>
      </w:r>
      <w:r>
        <w:rPr>
          <w:rFonts w:hint="eastAsia"/>
          <w:sz w:val="24"/>
        </w:rPr>
        <w:t>胡杨河市</w:t>
      </w:r>
      <w:r>
        <w:rPr>
          <w:rFonts w:hint="eastAsia"/>
          <w:sz w:val="24"/>
        </w:rPr>
        <w:t>。根据《新疆生态功能区划》，工程</w:t>
      </w:r>
      <w:r>
        <w:rPr>
          <w:rFonts w:hint="eastAsia"/>
          <w:sz w:val="24"/>
        </w:rPr>
        <w:t>区北部采油部分</w:t>
      </w:r>
      <w:r>
        <w:rPr>
          <w:rFonts w:hint="eastAsia"/>
          <w:sz w:val="24"/>
        </w:rPr>
        <w:t>所在区域属于“克拉玛依石油工业基地环境保护生态功能区”；</w:t>
      </w:r>
      <w:r>
        <w:rPr>
          <w:sz w:val="24"/>
        </w:rPr>
        <w:t>根据《新疆生产建设兵团生态功能区划》，</w:t>
      </w:r>
      <w:r>
        <w:rPr>
          <w:rFonts w:hint="eastAsia"/>
          <w:sz w:val="24"/>
        </w:rPr>
        <w:t>本工程</w:t>
      </w:r>
      <w:r>
        <w:rPr>
          <w:rFonts w:hint="eastAsia"/>
          <w:sz w:val="24"/>
        </w:rPr>
        <w:t>南部注水部分</w:t>
      </w:r>
      <w:r>
        <w:rPr>
          <w:sz w:val="24"/>
        </w:rPr>
        <w:t>所在区域</w:t>
      </w:r>
      <w:r>
        <w:rPr>
          <w:rFonts w:hint="eastAsia"/>
          <w:sz w:val="24"/>
        </w:rPr>
        <w:t>属于“六、七、八师奎屯</w:t>
      </w:r>
      <w:r>
        <w:rPr>
          <w:rFonts w:hint="eastAsia"/>
          <w:sz w:val="24"/>
        </w:rPr>
        <w:t>-</w:t>
      </w:r>
      <w:r>
        <w:rPr>
          <w:rFonts w:hint="eastAsia"/>
          <w:sz w:val="24"/>
        </w:rPr>
        <w:t>石河子</w:t>
      </w:r>
      <w:r>
        <w:rPr>
          <w:rFonts w:hint="eastAsia"/>
          <w:sz w:val="24"/>
        </w:rPr>
        <w:t>-</w:t>
      </w:r>
      <w:r>
        <w:rPr>
          <w:rFonts w:hint="eastAsia"/>
          <w:sz w:val="24"/>
        </w:rPr>
        <w:t>五家渠城镇与绿洲生态功能区”</w:t>
      </w:r>
      <w:r>
        <w:rPr>
          <w:sz w:val="24"/>
        </w:rPr>
        <w:t>。</w:t>
      </w:r>
    </w:p>
    <w:p w:rsidR="00EE4502" w:rsidRDefault="00FD45A3">
      <w:pPr>
        <w:pStyle w:val="33"/>
        <w:numPr>
          <w:ilvl w:val="2"/>
          <w:numId w:val="30"/>
        </w:numPr>
        <w:spacing w:line="360" w:lineRule="auto"/>
        <w:ind w:left="0" w:firstLine="0"/>
        <w:rPr>
          <w:spacing w:val="0"/>
          <w:sz w:val="24"/>
          <w:szCs w:val="24"/>
        </w:rPr>
      </w:pPr>
      <w:r>
        <w:rPr>
          <w:rFonts w:hint="eastAsia"/>
          <w:spacing w:val="0"/>
          <w:sz w:val="24"/>
          <w:szCs w:val="24"/>
        </w:rPr>
        <w:t>环境质量标准</w:t>
      </w:r>
    </w:p>
    <w:p w:rsidR="00EE4502" w:rsidRDefault="00FD45A3">
      <w:pPr>
        <w:spacing w:line="360" w:lineRule="auto"/>
        <w:ind w:firstLineChars="200" w:firstLine="480"/>
        <w:rPr>
          <w:sz w:val="24"/>
        </w:rPr>
      </w:pPr>
      <w:bookmarkStart w:id="53" w:name="_Toc64269278"/>
      <w:bookmarkStart w:id="54" w:name="_Toc64451716"/>
      <w:r>
        <w:rPr>
          <w:sz w:val="24"/>
        </w:rPr>
        <w:t>（</w:t>
      </w:r>
      <w:r>
        <w:rPr>
          <w:sz w:val="24"/>
        </w:rPr>
        <w:t>1</w:t>
      </w:r>
      <w:r>
        <w:rPr>
          <w:sz w:val="24"/>
        </w:rPr>
        <w:t>）</w:t>
      </w:r>
      <w:r>
        <w:rPr>
          <w:rFonts w:hint="eastAsia"/>
          <w:sz w:val="24"/>
        </w:rPr>
        <w:t>大气</w:t>
      </w:r>
      <w:r>
        <w:rPr>
          <w:sz w:val="24"/>
        </w:rPr>
        <w:t>环境</w:t>
      </w:r>
    </w:p>
    <w:p w:rsidR="00EE4502" w:rsidRDefault="00FD45A3">
      <w:pPr>
        <w:spacing w:line="360" w:lineRule="auto"/>
        <w:ind w:firstLineChars="200" w:firstLine="480"/>
        <w:rPr>
          <w:sz w:val="24"/>
        </w:rPr>
      </w:pPr>
      <w:r>
        <w:rPr>
          <w:sz w:val="24"/>
        </w:rPr>
        <w:t>环境空气质量评价中</w:t>
      </w:r>
      <w:r>
        <w:rPr>
          <w:sz w:val="24"/>
        </w:rPr>
        <w:t>SO</w:t>
      </w:r>
      <w:r>
        <w:rPr>
          <w:sz w:val="24"/>
          <w:vertAlign w:val="subscript"/>
        </w:rPr>
        <w:t>2</w:t>
      </w:r>
      <w:r>
        <w:rPr>
          <w:sz w:val="24"/>
        </w:rPr>
        <w:t>、</w:t>
      </w:r>
      <w:r>
        <w:rPr>
          <w:sz w:val="24"/>
        </w:rPr>
        <w:t>NO</w:t>
      </w:r>
      <w:r>
        <w:rPr>
          <w:sz w:val="24"/>
          <w:vertAlign w:val="subscript"/>
        </w:rPr>
        <w:t>2</w:t>
      </w:r>
      <w:r>
        <w:rPr>
          <w:sz w:val="24"/>
        </w:rPr>
        <w:t>、</w:t>
      </w:r>
      <w:r>
        <w:rPr>
          <w:sz w:val="24"/>
        </w:rPr>
        <w:t>PM</w:t>
      </w:r>
      <w:r>
        <w:rPr>
          <w:sz w:val="24"/>
          <w:vertAlign w:val="subscript"/>
        </w:rPr>
        <w:t>10</w:t>
      </w:r>
      <w:r>
        <w:rPr>
          <w:sz w:val="24"/>
          <w:vertAlign w:val="subscript"/>
        </w:rPr>
        <w:t>、</w:t>
      </w:r>
      <w:r>
        <w:rPr>
          <w:sz w:val="24"/>
        </w:rPr>
        <w:t>PM</w:t>
      </w:r>
      <w:r>
        <w:rPr>
          <w:sz w:val="24"/>
          <w:vertAlign w:val="subscript"/>
        </w:rPr>
        <w:t>2.5</w:t>
      </w:r>
      <w:r>
        <w:rPr>
          <w:sz w:val="24"/>
        </w:rPr>
        <w:t>、</w:t>
      </w:r>
      <w:r>
        <w:rPr>
          <w:sz w:val="24"/>
        </w:rPr>
        <w:t>CO</w:t>
      </w:r>
      <w:r>
        <w:rPr>
          <w:sz w:val="24"/>
        </w:rPr>
        <w:t>、</w:t>
      </w:r>
      <w:r>
        <w:rPr>
          <w:sz w:val="24"/>
        </w:rPr>
        <w:t>O</w:t>
      </w:r>
      <w:r>
        <w:rPr>
          <w:sz w:val="24"/>
          <w:vertAlign w:val="subscript"/>
        </w:rPr>
        <w:t>3</w:t>
      </w:r>
      <w:r>
        <w:rPr>
          <w:sz w:val="24"/>
        </w:rPr>
        <w:t>指标执行《环境空气质量标准》（</w:t>
      </w:r>
      <w:r>
        <w:rPr>
          <w:sz w:val="24"/>
        </w:rPr>
        <w:t>GB3095-2012</w:t>
      </w:r>
      <w:r>
        <w:rPr>
          <w:sz w:val="24"/>
        </w:rPr>
        <w:t>）</w:t>
      </w:r>
      <w:r>
        <w:rPr>
          <w:rFonts w:hint="eastAsia"/>
          <w:sz w:val="24"/>
        </w:rPr>
        <w:t>及修改单中</w:t>
      </w:r>
      <w:r>
        <w:rPr>
          <w:sz w:val="24"/>
        </w:rPr>
        <w:t>二级标准；</w:t>
      </w:r>
      <w:r>
        <w:rPr>
          <w:rFonts w:hint="eastAsia"/>
          <w:sz w:val="24"/>
        </w:rPr>
        <w:t>硫化氢执行《环境影响评价技术导则</w:t>
      </w:r>
      <w:r>
        <w:rPr>
          <w:rFonts w:hint="eastAsia"/>
          <w:sz w:val="24"/>
        </w:rPr>
        <w:t xml:space="preserve"> </w:t>
      </w:r>
      <w:r>
        <w:rPr>
          <w:rFonts w:hint="eastAsia"/>
          <w:sz w:val="24"/>
        </w:rPr>
        <w:t>大气环境》（</w:t>
      </w:r>
      <w:r>
        <w:rPr>
          <w:rFonts w:hint="eastAsia"/>
          <w:sz w:val="24"/>
        </w:rPr>
        <w:t>HJ2.2-2018</w:t>
      </w:r>
      <w:r>
        <w:rPr>
          <w:rFonts w:hint="eastAsia"/>
          <w:sz w:val="24"/>
        </w:rPr>
        <w:t>）附录</w:t>
      </w:r>
      <w:r>
        <w:rPr>
          <w:rFonts w:hint="eastAsia"/>
          <w:sz w:val="24"/>
        </w:rPr>
        <w:t>D</w:t>
      </w:r>
      <w:r>
        <w:rPr>
          <w:rFonts w:hint="eastAsia"/>
          <w:sz w:val="24"/>
        </w:rPr>
        <w:t>中的要求；</w:t>
      </w:r>
      <w:r>
        <w:rPr>
          <w:sz w:val="24"/>
        </w:rPr>
        <w:t>非甲烷总烃采用《大气污染物综合排放标准详解》中的</w:t>
      </w:r>
      <w:r>
        <w:rPr>
          <w:sz w:val="24"/>
        </w:rPr>
        <w:t>2mg/</w:t>
      </w:r>
      <w:r>
        <w:rPr>
          <w:rFonts w:hint="eastAsia"/>
          <w:sz w:val="24"/>
        </w:rPr>
        <w:t>m</w:t>
      </w:r>
      <w:r>
        <w:rPr>
          <w:rFonts w:hint="eastAsia"/>
          <w:sz w:val="24"/>
        </w:rPr>
        <w:t>³</w:t>
      </w:r>
      <w:r>
        <w:rPr>
          <w:sz w:val="24"/>
        </w:rPr>
        <w:t>作为标准。其主要评价指标见表</w:t>
      </w:r>
      <w:r>
        <w:rPr>
          <w:sz w:val="24"/>
        </w:rPr>
        <w:t>2-</w:t>
      </w:r>
      <w:r>
        <w:rPr>
          <w:rFonts w:hint="eastAsia"/>
          <w:sz w:val="24"/>
        </w:rPr>
        <w:t>4</w:t>
      </w:r>
      <w:r>
        <w:rPr>
          <w:sz w:val="24"/>
        </w:rPr>
        <w:t>-</w:t>
      </w:r>
      <w:r>
        <w:rPr>
          <w:rFonts w:hint="eastAsia"/>
          <w:sz w:val="24"/>
        </w:rPr>
        <w:t>1</w:t>
      </w:r>
      <w:r>
        <w:rPr>
          <w:sz w:val="24"/>
        </w:rPr>
        <w:t>。</w:t>
      </w:r>
    </w:p>
    <w:p w:rsidR="00EE4502" w:rsidRDefault="00FD45A3">
      <w:pPr>
        <w:spacing w:line="360" w:lineRule="auto"/>
        <w:jc w:val="center"/>
        <w:rPr>
          <w:rFonts w:eastAsia="黑体"/>
          <w:bCs/>
          <w:lang w:val="zh-CN"/>
        </w:rPr>
      </w:pPr>
      <w:r>
        <w:rPr>
          <w:rFonts w:eastAsia="黑体"/>
          <w:bCs/>
          <w:lang w:val="zh-CN"/>
        </w:rPr>
        <w:t>表</w:t>
      </w:r>
      <w:r>
        <w:rPr>
          <w:rFonts w:eastAsia="黑体"/>
          <w:bCs/>
          <w:lang w:val="zh-CN"/>
        </w:rPr>
        <w:t>2</w:t>
      </w:r>
      <w:r>
        <w:rPr>
          <w:rFonts w:eastAsia="黑体"/>
          <w:bCs/>
        </w:rPr>
        <w:t>-</w:t>
      </w:r>
      <w:r>
        <w:rPr>
          <w:rFonts w:eastAsia="黑体" w:hint="eastAsia"/>
          <w:bCs/>
        </w:rPr>
        <w:t>4</w:t>
      </w:r>
      <w:r>
        <w:rPr>
          <w:rFonts w:eastAsia="黑体"/>
          <w:bCs/>
          <w:lang w:val="zh-CN"/>
        </w:rPr>
        <w:t>-</w:t>
      </w:r>
      <w:r>
        <w:rPr>
          <w:rFonts w:eastAsia="黑体" w:hint="eastAsia"/>
          <w:bCs/>
        </w:rPr>
        <w:t>1</w:t>
      </w:r>
      <w:r>
        <w:rPr>
          <w:rFonts w:eastAsia="黑体"/>
          <w:bCs/>
          <w:lang w:val="zh-CN"/>
        </w:rPr>
        <w:t xml:space="preserve">  </w:t>
      </w:r>
      <w:r>
        <w:rPr>
          <w:rFonts w:eastAsia="黑体"/>
          <w:bCs/>
          <w:lang w:val="zh-CN"/>
        </w:rPr>
        <w:t>环境空气质量标准限值</w:t>
      </w:r>
      <w:r>
        <w:rPr>
          <w:rFonts w:eastAsia="黑体"/>
          <w:bCs/>
          <w:lang w:val="zh-CN"/>
        </w:rPr>
        <w:t xml:space="preserve">  </w:t>
      </w:r>
      <w:r>
        <w:rPr>
          <w:rFonts w:eastAsia="黑体"/>
          <w:bCs/>
          <w:lang w:val="zh-CN"/>
        </w:rPr>
        <w:t>单位：</w:t>
      </w:r>
      <w:r>
        <w:rPr>
          <w:rFonts w:eastAsia="黑体"/>
          <w:bCs/>
          <w:lang w:val="zh-CN"/>
        </w:rPr>
        <w:t>mg/</w:t>
      </w:r>
      <w:r>
        <w:rPr>
          <w:rFonts w:eastAsia="黑体" w:hint="eastAsia"/>
          <w:bCs/>
        </w:rPr>
        <w:t>m</w:t>
      </w:r>
      <w:r>
        <w:rPr>
          <w:rFonts w:eastAsia="黑体" w:hint="eastAsia"/>
          <w:bCs/>
        </w:rPr>
        <w:t>³</w:t>
      </w:r>
    </w:p>
    <w:tbl>
      <w:tblPr>
        <w:tblW w:w="5000" w:type="pct"/>
        <w:jc w:val="center"/>
        <w:tblBorders>
          <w:top w:val="single" w:sz="8" w:space="0" w:color="auto"/>
          <w:bottom w:val="single" w:sz="8" w:space="0" w:color="auto"/>
          <w:insideH w:val="single" w:sz="8" w:space="0" w:color="auto"/>
          <w:insideV w:val="single" w:sz="8" w:space="0" w:color="auto"/>
        </w:tblBorders>
        <w:tblLook w:val="04A0" w:firstRow="1" w:lastRow="0" w:firstColumn="1" w:lastColumn="0" w:noHBand="0" w:noVBand="1"/>
      </w:tblPr>
      <w:tblGrid>
        <w:gridCol w:w="654"/>
        <w:gridCol w:w="847"/>
        <w:gridCol w:w="1851"/>
        <w:gridCol w:w="1587"/>
        <w:gridCol w:w="3583"/>
      </w:tblGrid>
      <w:tr w:rsidR="00EE4502">
        <w:trPr>
          <w:trHeight w:val="340"/>
          <w:jc w:val="center"/>
        </w:trPr>
        <w:tc>
          <w:tcPr>
            <w:tcW w:w="391" w:type="pct"/>
            <w:vAlign w:val="center"/>
          </w:tcPr>
          <w:p w:rsidR="00EE4502" w:rsidRDefault="00FD45A3">
            <w:pPr>
              <w:jc w:val="center"/>
              <w:rPr>
                <w:szCs w:val="21"/>
              </w:rPr>
            </w:pPr>
            <w:r>
              <w:rPr>
                <w:rFonts w:hAnsi="宋体"/>
                <w:szCs w:val="21"/>
              </w:rPr>
              <w:t>序号</w:t>
            </w:r>
          </w:p>
        </w:tc>
        <w:tc>
          <w:tcPr>
            <w:tcW w:w="469" w:type="pct"/>
            <w:vAlign w:val="center"/>
          </w:tcPr>
          <w:p w:rsidR="00EE4502" w:rsidRDefault="00FD45A3">
            <w:pPr>
              <w:jc w:val="center"/>
              <w:rPr>
                <w:szCs w:val="21"/>
              </w:rPr>
            </w:pPr>
            <w:r>
              <w:rPr>
                <w:rFonts w:hAnsi="宋体"/>
                <w:szCs w:val="21"/>
              </w:rPr>
              <w:t>污染物</w:t>
            </w:r>
          </w:p>
        </w:tc>
        <w:tc>
          <w:tcPr>
            <w:tcW w:w="2030" w:type="pct"/>
            <w:gridSpan w:val="2"/>
            <w:vAlign w:val="center"/>
          </w:tcPr>
          <w:p w:rsidR="00EE4502" w:rsidRDefault="00FD45A3">
            <w:pPr>
              <w:jc w:val="center"/>
              <w:rPr>
                <w:szCs w:val="21"/>
              </w:rPr>
            </w:pPr>
            <w:r>
              <w:rPr>
                <w:rFonts w:hAnsi="宋体"/>
                <w:szCs w:val="21"/>
              </w:rPr>
              <w:t>浓度限值（</w:t>
            </w:r>
            <w:r>
              <w:rPr>
                <w:szCs w:val="21"/>
              </w:rPr>
              <w:t>μg/</w:t>
            </w:r>
            <w:r>
              <w:rPr>
                <w:rFonts w:hint="eastAsia"/>
                <w:szCs w:val="21"/>
              </w:rPr>
              <w:t>m</w:t>
            </w:r>
            <w:r>
              <w:rPr>
                <w:rFonts w:hint="eastAsia"/>
                <w:szCs w:val="21"/>
                <w:vertAlign w:val="superscript"/>
              </w:rPr>
              <w:t>3</w:t>
            </w:r>
            <w:r>
              <w:rPr>
                <w:rFonts w:hAnsi="宋体"/>
                <w:szCs w:val="21"/>
              </w:rPr>
              <w:t>）</w:t>
            </w:r>
          </w:p>
        </w:tc>
        <w:tc>
          <w:tcPr>
            <w:tcW w:w="2109" w:type="pct"/>
            <w:vAlign w:val="center"/>
          </w:tcPr>
          <w:p w:rsidR="00EE4502" w:rsidRDefault="00FD45A3">
            <w:pPr>
              <w:jc w:val="center"/>
              <w:rPr>
                <w:szCs w:val="21"/>
              </w:rPr>
            </w:pPr>
            <w:r>
              <w:rPr>
                <w:rFonts w:hAnsi="宋体"/>
                <w:szCs w:val="21"/>
              </w:rPr>
              <w:t>标准来源</w:t>
            </w:r>
          </w:p>
        </w:tc>
      </w:tr>
      <w:tr w:rsidR="00EE4502">
        <w:trPr>
          <w:trHeight w:val="340"/>
          <w:jc w:val="center"/>
        </w:trPr>
        <w:tc>
          <w:tcPr>
            <w:tcW w:w="391" w:type="pct"/>
            <w:vMerge w:val="restart"/>
            <w:vAlign w:val="center"/>
          </w:tcPr>
          <w:p w:rsidR="00EE4502" w:rsidRDefault="00FD45A3">
            <w:pPr>
              <w:jc w:val="center"/>
              <w:rPr>
                <w:szCs w:val="21"/>
              </w:rPr>
            </w:pPr>
            <w:r>
              <w:rPr>
                <w:szCs w:val="21"/>
              </w:rPr>
              <w:t>1</w:t>
            </w:r>
          </w:p>
        </w:tc>
        <w:tc>
          <w:tcPr>
            <w:tcW w:w="469" w:type="pct"/>
            <w:vMerge w:val="restart"/>
            <w:vAlign w:val="center"/>
          </w:tcPr>
          <w:p w:rsidR="00EE4502" w:rsidRDefault="00FD45A3">
            <w:pPr>
              <w:jc w:val="center"/>
              <w:rPr>
                <w:szCs w:val="21"/>
              </w:rPr>
            </w:pPr>
            <w:r>
              <w:rPr>
                <w:szCs w:val="21"/>
              </w:rPr>
              <w:t>SO</w:t>
            </w:r>
            <w:r>
              <w:rPr>
                <w:szCs w:val="21"/>
                <w:vertAlign w:val="subscript"/>
              </w:rPr>
              <w:t>2</w:t>
            </w:r>
          </w:p>
        </w:tc>
        <w:tc>
          <w:tcPr>
            <w:tcW w:w="1093" w:type="pct"/>
            <w:vAlign w:val="center"/>
          </w:tcPr>
          <w:p w:rsidR="00EE4502" w:rsidRDefault="00FD45A3">
            <w:pPr>
              <w:jc w:val="center"/>
              <w:rPr>
                <w:szCs w:val="21"/>
              </w:rPr>
            </w:pPr>
            <w:r>
              <w:rPr>
                <w:rFonts w:hAnsi="宋体"/>
                <w:szCs w:val="21"/>
              </w:rPr>
              <w:t>年平均</w:t>
            </w:r>
          </w:p>
        </w:tc>
        <w:tc>
          <w:tcPr>
            <w:tcW w:w="938" w:type="pct"/>
            <w:vAlign w:val="center"/>
          </w:tcPr>
          <w:p w:rsidR="00EE4502" w:rsidRDefault="00FD45A3">
            <w:pPr>
              <w:jc w:val="center"/>
              <w:rPr>
                <w:szCs w:val="21"/>
              </w:rPr>
            </w:pPr>
            <w:r>
              <w:rPr>
                <w:szCs w:val="21"/>
              </w:rPr>
              <w:t>60</w:t>
            </w:r>
          </w:p>
        </w:tc>
        <w:tc>
          <w:tcPr>
            <w:tcW w:w="2109" w:type="pct"/>
            <w:vMerge w:val="restart"/>
            <w:vAlign w:val="center"/>
          </w:tcPr>
          <w:p w:rsidR="00EE4502" w:rsidRDefault="00FD45A3">
            <w:pPr>
              <w:jc w:val="center"/>
              <w:rPr>
                <w:rFonts w:hAnsi="宋体"/>
                <w:szCs w:val="21"/>
              </w:rPr>
            </w:pPr>
            <w:r>
              <w:rPr>
                <w:rFonts w:hAnsi="宋体"/>
                <w:szCs w:val="21"/>
              </w:rPr>
              <w:t>《环境空气质量标准》</w:t>
            </w:r>
          </w:p>
          <w:p w:rsidR="00EE4502" w:rsidRDefault="00FD45A3">
            <w:pPr>
              <w:jc w:val="center"/>
              <w:rPr>
                <w:rFonts w:hAnsi="宋体"/>
                <w:szCs w:val="21"/>
              </w:rPr>
            </w:pPr>
            <w:r>
              <w:rPr>
                <w:rFonts w:hAnsi="宋体"/>
                <w:szCs w:val="21"/>
              </w:rPr>
              <w:lastRenderedPageBreak/>
              <w:t>（</w:t>
            </w:r>
            <w:r>
              <w:rPr>
                <w:szCs w:val="21"/>
              </w:rPr>
              <w:t>GB3095-2012</w:t>
            </w:r>
            <w:r>
              <w:rPr>
                <w:rFonts w:hAnsi="宋体"/>
                <w:szCs w:val="21"/>
              </w:rPr>
              <w:t>）</w:t>
            </w:r>
            <w:r>
              <w:rPr>
                <w:rFonts w:hAnsi="宋体" w:hint="eastAsia"/>
                <w:szCs w:val="21"/>
              </w:rPr>
              <w:t>及修改单</w:t>
            </w:r>
          </w:p>
          <w:p w:rsidR="00EE4502" w:rsidRDefault="00FD45A3">
            <w:pPr>
              <w:jc w:val="center"/>
              <w:rPr>
                <w:szCs w:val="21"/>
              </w:rPr>
            </w:pPr>
            <w:r>
              <w:rPr>
                <w:rFonts w:hAnsi="宋体"/>
                <w:szCs w:val="21"/>
              </w:rPr>
              <w:t>（二级）</w:t>
            </w:r>
          </w:p>
        </w:tc>
      </w:tr>
      <w:tr w:rsidR="00EE4502">
        <w:trPr>
          <w:trHeight w:val="340"/>
          <w:jc w:val="center"/>
        </w:trPr>
        <w:tc>
          <w:tcPr>
            <w:tcW w:w="391" w:type="pct"/>
            <w:vMerge/>
            <w:vAlign w:val="center"/>
          </w:tcPr>
          <w:p w:rsidR="00EE4502" w:rsidRDefault="00EE4502">
            <w:pPr>
              <w:jc w:val="center"/>
              <w:rPr>
                <w:szCs w:val="21"/>
              </w:rPr>
            </w:pPr>
          </w:p>
        </w:tc>
        <w:tc>
          <w:tcPr>
            <w:tcW w:w="469" w:type="pct"/>
            <w:vMerge/>
            <w:vAlign w:val="center"/>
          </w:tcPr>
          <w:p w:rsidR="00EE4502" w:rsidRDefault="00EE4502">
            <w:pPr>
              <w:jc w:val="center"/>
              <w:rPr>
                <w:szCs w:val="21"/>
              </w:rPr>
            </w:pPr>
          </w:p>
        </w:tc>
        <w:tc>
          <w:tcPr>
            <w:tcW w:w="1093" w:type="pct"/>
            <w:vAlign w:val="center"/>
          </w:tcPr>
          <w:p w:rsidR="00EE4502" w:rsidRDefault="00FD45A3">
            <w:pPr>
              <w:jc w:val="center"/>
              <w:rPr>
                <w:szCs w:val="21"/>
              </w:rPr>
            </w:pPr>
            <w:r>
              <w:rPr>
                <w:szCs w:val="21"/>
              </w:rPr>
              <w:t>24</w:t>
            </w:r>
            <w:r>
              <w:rPr>
                <w:rFonts w:hAnsi="宋体"/>
                <w:szCs w:val="21"/>
              </w:rPr>
              <w:t>小时平均</w:t>
            </w:r>
          </w:p>
        </w:tc>
        <w:tc>
          <w:tcPr>
            <w:tcW w:w="938" w:type="pct"/>
            <w:vAlign w:val="center"/>
          </w:tcPr>
          <w:p w:rsidR="00EE4502" w:rsidRDefault="00FD45A3">
            <w:pPr>
              <w:jc w:val="center"/>
              <w:rPr>
                <w:szCs w:val="21"/>
              </w:rPr>
            </w:pPr>
            <w:r>
              <w:rPr>
                <w:szCs w:val="21"/>
              </w:rPr>
              <w:t>150</w:t>
            </w:r>
          </w:p>
        </w:tc>
        <w:tc>
          <w:tcPr>
            <w:tcW w:w="2109" w:type="pct"/>
            <w:vMerge/>
            <w:vAlign w:val="center"/>
          </w:tcPr>
          <w:p w:rsidR="00EE4502" w:rsidRDefault="00EE4502">
            <w:pPr>
              <w:jc w:val="center"/>
              <w:rPr>
                <w:szCs w:val="21"/>
              </w:rPr>
            </w:pPr>
          </w:p>
        </w:tc>
      </w:tr>
      <w:tr w:rsidR="00EE4502">
        <w:trPr>
          <w:trHeight w:val="340"/>
          <w:jc w:val="center"/>
        </w:trPr>
        <w:tc>
          <w:tcPr>
            <w:tcW w:w="391" w:type="pct"/>
            <w:vMerge/>
            <w:vAlign w:val="center"/>
          </w:tcPr>
          <w:p w:rsidR="00EE4502" w:rsidRDefault="00EE4502">
            <w:pPr>
              <w:jc w:val="center"/>
              <w:rPr>
                <w:szCs w:val="21"/>
              </w:rPr>
            </w:pPr>
          </w:p>
        </w:tc>
        <w:tc>
          <w:tcPr>
            <w:tcW w:w="469" w:type="pct"/>
            <w:vMerge/>
            <w:vAlign w:val="center"/>
          </w:tcPr>
          <w:p w:rsidR="00EE4502" w:rsidRDefault="00EE4502">
            <w:pPr>
              <w:jc w:val="center"/>
              <w:rPr>
                <w:szCs w:val="21"/>
              </w:rPr>
            </w:pPr>
          </w:p>
        </w:tc>
        <w:tc>
          <w:tcPr>
            <w:tcW w:w="1093" w:type="pct"/>
            <w:vAlign w:val="center"/>
          </w:tcPr>
          <w:p w:rsidR="00EE4502" w:rsidRDefault="00FD45A3">
            <w:pPr>
              <w:jc w:val="center"/>
              <w:rPr>
                <w:szCs w:val="21"/>
              </w:rPr>
            </w:pPr>
            <w:r>
              <w:rPr>
                <w:szCs w:val="21"/>
              </w:rPr>
              <w:t>1</w:t>
            </w:r>
            <w:r>
              <w:rPr>
                <w:rFonts w:hAnsi="宋体"/>
                <w:szCs w:val="21"/>
              </w:rPr>
              <w:t>小时平均</w:t>
            </w:r>
          </w:p>
        </w:tc>
        <w:tc>
          <w:tcPr>
            <w:tcW w:w="938" w:type="pct"/>
            <w:vAlign w:val="center"/>
          </w:tcPr>
          <w:p w:rsidR="00EE4502" w:rsidRDefault="00FD45A3">
            <w:pPr>
              <w:jc w:val="center"/>
              <w:rPr>
                <w:szCs w:val="21"/>
              </w:rPr>
            </w:pPr>
            <w:r>
              <w:rPr>
                <w:szCs w:val="21"/>
              </w:rPr>
              <w:t>500</w:t>
            </w:r>
          </w:p>
        </w:tc>
        <w:tc>
          <w:tcPr>
            <w:tcW w:w="2109" w:type="pct"/>
            <w:vMerge/>
            <w:vAlign w:val="center"/>
          </w:tcPr>
          <w:p w:rsidR="00EE4502" w:rsidRDefault="00EE4502">
            <w:pPr>
              <w:jc w:val="center"/>
              <w:rPr>
                <w:szCs w:val="21"/>
              </w:rPr>
            </w:pPr>
          </w:p>
        </w:tc>
      </w:tr>
      <w:tr w:rsidR="00EE4502">
        <w:trPr>
          <w:trHeight w:val="340"/>
          <w:jc w:val="center"/>
        </w:trPr>
        <w:tc>
          <w:tcPr>
            <w:tcW w:w="391" w:type="pct"/>
            <w:vMerge w:val="restart"/>
            <w:vAlign w:val="center"/>
          </w:tcPr>
          <w:p w:rsidR="00EE4502" w:rsidRDefault="00FD45A3">
            <w:pPr>
              <w:jc w:val="center"/>
              <w:rPr>
                <w:szCs w:val="21"/>
              </w:rPr>
            </w:pPr>
            <w:r>
              <w:rPr>
                <w:szCs w:val="21"/>
              </w:rPr>
              <w:t>2</w:t>
            </w:r>
          </w:p>
        </w:tc>
        <w:tc>
          <w:tcPr>
            <w:tcW w:w="469" w:type="pct"/>
            <w:vMerge w:val="restart"/>
            <w:vAlign w:val="center"/>
          </w:tcPr>
          <w:p w:rsidR="00EE4502" w:rsidRDefault="00FD45A3">
            <w:pPr>
              <w:jc w:val="center"/>
              <w:rPr>
                <w:szCs w:val="21"/>
              </w:rPr>
            </w:pPr>
            <w:r>
              <w:rPr>
                <w:szCs w:val="21"/>
              </w:rPr>
              <w:t>NO</w:t>
            </w:r>
            <w:r>
              <w:rPr>
                <w:szCs w:val="21"/>
                <w:vertAlign w:val="subscript"/>
              </w:rPr>
              <w:t>2</w:t>
            </w:r>
          </w:p>
        </w:tc>
        <w:tc>
          <w:tcPr>
            <w:tcW w:w="1093" w:type="pct"/>
            <w:vAlign w:val="center"/>
          </w:tcPr>
          <w:p w:rsidR="00EE4502" w:rsidRDefault="00FD45A3">
            <w:pPr>
              <w:jc w:val="center"/>
              <w:rPr>
                <w:szCs w:val="21"/>
              </w:rPr>
            </w:pPr>
            <w:r>
              <w:rPr>
                <w:rFonts w:hAnsi="宋体"/>
                <w:szCs w:val="21"/>
              </w:rPr>
              <w:t>年平均</w:t>
            </w:r>
          </w:p>
        </w:tc>
        <w:tc>
          <w:tcPr>
            <w:tcW w:w="938" w:type="pct"/>
            <w:vAlign w:val="center"/>
          </w:tcPr>
          <w:p w:rsidR="00EE4502" w:rsidRDefault="00FD45A3">
            <w:pPr>
              <w:jc w:val="center"/>
              <w:rPr>
                <w:szCs w:val="21"/>
              </w:rPr>
            </w:pPr>
            <w:r>
              <w:rPr>
                <w:szCs w:val="21"/>
              </w:rPr>
              <w:t>40</w:t>
            </w:r>
          </w:p>
        </w:tc>
        <w:tc>
          <w:tcPr>
            <w:tcW w:w="2109" w:type="pct"/>
            <w:vMerge/>
            <w:vAlign w:val="center"/>
          </w:tcPr>
          <w:p w:rsidR="00EE4502" w:rsidRDefault="00EE4502">
            <w:pPr>
              <w:jc w:val="center"/>
              <w:rPr>
                <w:szCs w:val="21"/>
              </w:rPr>
            </w:pPr>
          </w:p>
        </w:tc>
      </w:tr>
      <w:tr w:rsidR="00EE4502">
        <w:trPr>
          <w:trHeight w:val="340"/>
          <w:jc w:val="center"/>
        </w:trPr>
        <w:tc>
          <w:tcPr>
            <w:tcW w:w="391" w:type="pct"/>
            <w:vMerge/>
            <w:vAlign w:val="center"/>
          </w:tcPr>
          <w:p w:rsidR="00EE4502" w:rsidRDefault="00EE4502">
            <w:pPr>
              <w:jc w:val="center"/>
              <w:rPr>
                <w:szCs w:val="21"/>
              </w:rPr>
            </w:pPr>
          </w:p>
        </w:tc>
        <w:tc>
          <w:tcPr>
            <w:tcW w:w="469" w:type="pct"/>
            <w:vMerge/>
            <w:vAlign w:val="center"/>
          </w:tcPr>
          <w:p w:rsidR="00EE4502" w:rsidRDefault="00EE4502">
            <w:pPr>
              <w:jc w:val="center"/>
              <w:rPr>
                <w:szCs w:val="21"/>
              </w:rPr>
            </w:pPr>
          </w:p>
        </w:tc>
        <w:tc>
          <w:tcPr>
            <w:tcW w:w="1093" w:type="pct"/>
            <w:vAlign w:val="center"/>
          </w:tcPr>
          <w:p w:rsidR="00EE4502" w:rsidRDefault="00FD45A3">
            <w:pPr>
              <w:jc w:val="center"/>
              <w:rPr>
                <w:szCs w:val="21"/>
              </w:rPr>
            </w:pPr>
            <w:r>
              <w:rPr>
                <w:szCs w:val="21"/>
              </w:rPr>
              <w:t>24</w:t>
            </w:r>
            <w:r>
              <w:rPr>
                <w:rFonts w:hAnsi="宋体"/>
                <w:szCs w:val="21"/>
              </w:rPr>
              <w:t>小时平均</w:t>
            </w:r>
          </w:p>
        </w:tc>
        <w:tc>
          <w:tcPr>
            <w:tcW w:w="938" w:type="pct"/>
            <w:vAlign w:val="center"/>
          </w:tcPr>
          <w:p w:rsidR="00EE4502" w:rsidRDefault="00FD45A3">
            <w:pPr>
              <w:jc w:val="center"/>
              <w:rPr>
                <w:szCs w:val="21"/>
              </w:rPr>
            </w:pPr>
            <w:r>
              <w:rPr>
                <w:szCs w:val="21"/>
              </w:rPr>
              <w:t>80</w:t>
            </w:r>
          </w:p>
        </w:tc>
        <w:tc>
          <w:tcPr>
            <w:tcW w:w="2109" w:type="pct"/>
            <w:vMerge/>
            <w:vAlign w:val="center"/>
          </w:tcPr>
          <w:p w:rsidR="00EE4502" w:rsidRDefault="00EE4502">
            <w:pPr>
              <w:jc w:val="center"/>
              <w:rPr>
                <w:szCs w:val="21"/>
              </w:rPr>
            </w:pPr>
          </w:p>
        </w:tc>
      </w:tr>
      <w:tr w:rsidR="00EE4502">
        <w:trPr>
          <w:trHeight w:val="340"/>
          <w:jc w:val="center"/>
        </w:trPr>
        <w:tc>
          <w:tcPr>
            <w:tcW w:w="391" w:type="pct"/>
            <w:vMerge/>
            <w:vAlign w:val="center"/>
          </w:tcPr>
          <w:p w:rsidR="00EE4502" w:rsidRDefault="00EE4502">
            <w:pPr>
              <w:jc w:val="center"/>
              <w:rPr>
                <w:szCs w:val="21"/>
              </w:rPr>
            </w:pPr>
          </w:p>
        </w:tc>
        <w:tc>
          <w:tcPr>
            <w:tcW w:w="469" w:type="pct"/>
            <w:vMerge/>
            <w:vAlign w:val="center"/>
          </w:tcPr>
          <w:p w:rsidR="00EE4502" w:rsidRDefault="00EE4502">
            <w:pPr>
              <w:jc w:val="center"/>
              <w:rPr>
                <w:szCs w:val="21"/>
              </w:rPr>
            </w:pPr>
          </w:p>
        </w:tc>
        <w:tc>
          <w:tcPr>
            <w:tcW w:w="1093" w:type="pct"/>
            <w:vAlign w:val="center"/>
          </w:tcPr>
          <w:p w:rsidR="00EE4502" w:rsidRDefault="00FD45A3">
            <w:pPr>
              <w:jc w:val="center"/>
              <w:rPr>
                <w:szCs w:val="21"/>
              </w:rPr>
            </w:pPr>
            <w:r>
              <w:rPr>
                <w:szCs w:val="21"/>
              </w:rPr>
              <w:t>1</w:t>
            </w:r>
            <w:r>
              <w:rPr>
                <w:rFonts w:hAnsi="宋体"/>
                <w:szCs w:val="21"/>
              </w:rPr>
              <w:t>小时平均</w:t>
            </w:r>
          </w:p>
        </w:tc>
        <w:tc>
          <w:tcPr>
            <w:tcW w:w="938" w:type="pct"/>
            <w:vAlign w:val="center"/>
          </w:tcPr>
          <w:p w:rsidR="00EE4502" w:rsidRDefault="00FD45A3">
            <w:pPr>
              <w:jc w:val="center"/>
              <w:rPr>
                <w:szCs w:val="21"/>
              </w:rPr>
            </w:pPr>
            <w:r>
              <w:rPr>
                <w:szCs w:val="21"/>
              </w:rPr>
              <w:t>200</w:t>
            </w:r>
          </w:p>
        </w:tc>
        <w:tc>
          <w:tcPr>
            <w:tcW w:w="2109" w:type="pct"/>
            <w:vMerge/>
            <w:vAlign w:val="center"/>
          </w:tcPr>
          <w:p w:rsidR="00EE4502" w:rsidRDefault="00EE4502">
            <w:pPr>
              <w:jc w:val="center"/>
              <w:rPr>
                <w:szCs w:val="21"/>
              </w:rPr>
            </w:pPr>
          </w:p>
        </w:tc>
      </w:tr>
      <w:tr w:rsidR="00EE4502">
        <w:trPr>
          <w:trHeight w:val="340"/>
          <w:jc w:val="center"/>
        </w:trPr>
        <w:tc>
          <w:tcPr>
            <w:tcW w:w="391" w:type="pct"/>
            <w:vMerge w:val="restart"/>
            <w:vAlign w:val="center"/>
          </w:tcPr>
          <w:p w:rsidR="00EE4502" w:rsidRDefault="00FD45A3">
            <w:pPr>
              <w:jc w:val="center"/>
              <w:rPr>
                <w:szCs w:val="21"/>
              </w:rPr>
            </w:pPr>
            <w:r>
              <w:rPr>
                <w:szCs w:val="21"/>
              </w:rPr>
              <w:t>3</w:t>
            </w:r>
          </w:p>
        </w:tc>
        <w:tc>
          <w:tcPr>
            <w:tcW w:w="469" w:type="pct"/>
            <w:vMerge w:val="restart"/>
            <w:vAlign w:val="center"/>
          </w:tcPr>
          <w:p w:rsidR="00EE4502" w:rsidRDefault="00FD45A3">
            <w:pPr>
              <w:jc w:val="center"/>
              <w:rPr>
                <w:szCs w:val="21"/>
              </w:rPr>
            </w:pPr>
            <w:r>
              <w:rPr>
                <w:szCs w:val="21"/>
              </w:rPr>
              <w:t>PM</w:t>
            </w:r>
            <w:r>
              <w:rPr>
                <w:szCs w:val="21"/>
                <w:vertAlign w:val="subscript"/>
              </w:rPr>
              <w:t>10</w:t>
            </w:r>
          </w:p>
        </w:tc>
        <w:tc>
          <w:tcPr>
            <w:tcW w:w="1093" w:type="pct"/>
            <w:vAlign w:val="center"/>
          </w:tcPr>
          <w:p w:rsidR="00EE4502" w:rsidRDefault="00FD45A3">
            <w:pPr>
              <w:jc w:val="center"/>
              <w:rPr>
                <w:szCs w:val="21"/>
              </w:rPr>
            </w:pPr>
            <w:r>
              <w:rPr>
                <w:rFonts w:hAnsi="宋体"/>
                <w:szCs w:val="21"/>
              </w:rPr>
              <w:t>年平均</w:t>
            </w:r>
          </w:p>
        </w:tc>
        <w:tc>
          <w:tcPr>
            <w:tcW w:w="938" w:type="pct"/>
            <w:vAlign w:val="center"/>
          </w:tcPr>
          <w:p w:rsidR="00EE4502" w:rsidRDefault="00FD45A3">
            <w:pPr>
              <w:jc w:val="center"/>
              <w:rPr>
                <w:szCs w:val="21"/>
              </w:rPr>
            </w:pPr>
            <w:r>
              <w:rPr>
                <w:szCs w:val="21"/>
              </w:rPr>
              <w:t>70</w:t>
            </w:r>
          </w:p>
        </w:tc>
        <w:tc>
          <w:tcPr>
            <w:tcW w:w="2109" w:type="pct"/>
            <w:vMerge/>
            <w:vAlign w:val="center"/>
          </w:tcPr>
          <w:p w:rsidR="00EE4502" w:rsidRDefault="00EE4502">
            <w:pPr>
              <w:jc w:val="center"/>
              <w:rPr>
                <w:szCs w:val="21"/>
              </w:rPr>
            </w:pPr>
          </w:p>
        </w:tc>
      </w:tr>
      <w:tr w:rsidR="00EE4502">
        <w:trPr>
          <w:trHeight w:val="340"/>
          <w:jc w:val="center"/>
        </w:trPr>
        <w:tc>
          <w:tcPr>
            <w:tcW w:w="391" w:type="pct"/>
            <w:vMerge/>
            <w:vAlign w:val="center"/>
          </w:tcPr>
          <w:p w:rsidR="00EE4502" w:rsidRDefault="00EE4502">
            <w:pPr>
              <w:jc w:val="center"/>
              <w:rPr>
                <w:szCs w:val="21"/>
              </w:rPr>
            </w:pPr>
          </w:p>
        </w:tc>
        <w:tc>
          <w:tcPr>
            <w:tcW w:w="469" w:type="pct"/>
            <w:vMerge/>
            <w:vAlign w:val="center"/>
          </w:tcPr>
          <w:p w:rsidR="00EE4502" w:rsidRDefault="00EE4502">
            <w:pPr>
              <w:jc w:val="center"/>
              <w:rPr>
                <w:szCs w:val="21"/>
              </w:rPr>
            </w:pPr>
          </w:p>
        </w:tc>
        <w:tc>
          <w:tcPr>
            <w:tcW w:w="1093" w:type="pct"/>
            <w:vAlign w:val="center"/>
          </w:tcPr>
          <w:p w:rsidR="00EE4502" w:rsidRDefault="00FD45A3">
            <w:pPr>
              <w:jc w:val="center"/>
              <w:rPr>
                <w:szCs w:val="21"/>
              </w:rPr>
            </w:pPr>
            <w:r>
              <w:rPr>
                <w:szCs w:val="21"/>
              </w:rPr>
              <w:t>24</w:t>
            </w:r>
            <w:r>
              <w:rPr>
                <w:rFonts w:hAnsi="宋体"/>
                <w:szCs w:val="21"/>
              </w:rPr>
              <w:t>小时平均</w:t>
            </w:r>
          </w:p>
        </w:tc>
        <w:tc>
          <w:tcPr>
            <w:tcW w:w="938" w:type="pct"/>
            <w:vAlign w:val="center"/>
          </w:tcPr>
          <w:p w:rsidR="00EE4502" w:rsidRDefault="00FD45A3">
            <w:pPr>
              <w:jc w:val="center"/>
              <w:rPr>
                <w:szCs w:val="21"/>
              </w:rPr>
            </w:pPr>
            <w:r>
              <w:rPr>
                <w:szCs w:val="21"/>
              </w:rPr>
              <w:t>150</w:t>
            </w:r>
          </w:p>
        </w:tc>
        <w:tc>
          <w:tcPr>
            <w:tcW w:w="2109" w:type="pct"/>
            <w:vMerge/>
            <w:vAlign w:val="center"/>
          </w:tcPr>
          <w:p w:rsidR="00EE4502" w:rsidRDefault="00EE4502">
            <w:pPr>
              <w:jc w:val="center"/>
              <w:rPr>
                <w:szCs w:val="21"/>
              </w:rPr>
            </w:pPr>
          </w:p>
        </w:tc>
      </w:tr>
      <w:tr w:rsidR="00EE4502">
        <w:trPr>
          <w:trHeight w:val="340"/>
          <w:jc w:val="center"/>
        </w:trPr>
        <w:tc>
          <w:tcPr>
            <w:tcW w:w="391" w:type="pct"/>
            <w:vMerge w:val="restart"/>
            <w:vAlign w:val="center"/>
          </w:tcPr>
          <w:p w:rsidR="00EE4502" w:rsidRDefault="00FD45A3">
            <w:pPr>
              <w:jc w:val="center"/>
              <w:rPr>
                <w:szCs w:val="21"/>
              </w:rPr>
            </w:pPr>
            <w:r>
              <w:rPr>
                <w:szCs w:val="21"/>
              </w:rPr>
              <w:t>4</w:t>
            </w:r>
          </w:p>
        </w:tc>
        <w:tc>
          <w:tcPr>
            <w:tcW w:w="469" w:type="pct"/>
            <w:vMerge w:val="restart"/>
            <w:vAlign w:val="center"/>
          </w:tcPr>
          <w:p w:rsidR="00EE4502" w:rsidRDefault="00FD45A3">
            <w:pPr>
              <w:jc w:val="center"/>
              <w:rPr>
                <w:szCs w:val="21"/>
              </w:rPr>
            </w:pPr>
            <w:r>
              <w:rPr>
                <w:szCs w:val="21"/>
              </w:rPr>
              <w:t>PM</w:t>
            </w:r>
            <w:r>
              <w:rPr>
                <w:szCs w:val="21"/>
                <w:vertAlign w:val="subscript"/>
              </w:rPr>
              <w:t>2.5</w:t>
            </w:r>
          </w:p>
        </w:tc>
        <w:tc>
          <w:tcPr>
            <w:tcW w:w="1093" w:type="pct"/>
            <w:vAlign w:val="center"/>
          </w:tcPr>
          <w:p w:rsidR="00EE4502" w:rsidRDefault="00FD45A3">
            <w:pPr>
              <w:jc w:val="center"/>
              <w:rPr>
                <w:szCs w:val="21"/>
              </w:rPr>
            </w:pPr>
            <w:r>
              <w:rPr>
                <w:rFonts w:hAnsi="宋体"/>
                <w:szCs w:val="21"/>
              </w:rPr>
              <w:t>年平均</w:t>
            </w:r>
          </w:p>
        </w:tc>
        <w:tc>
          <w:tcPr>
            <w:tcW w:w="938" w:type="pct"/>
            <w:vAlign w:val="center"/>
          </w:tcPr>
          <w:p w:rsidR="00EE4502" w:rsidRDefault="00FD45A3">
            <w:pPr>
              <w:jc w:val="center"/>
              <w:rPr>
                <w:szCs w:val="21"/>
              </w:rPr>
            </w:pPr>
            <w:r>
              <w:rPr>
                <w:szCs w:val="21"/>
              </w:rPr>
              <w:t>35</w:t>
            </w:r>
          </w:p>
        </w:tc>
        <w:tc>
          <w:tcPr>
            <w:tcW w:w="2109" w:type="pct"/>
            <w:vMerge/>
            <w:vAlign w:val="center"/>
          </w:tcPr>
          <w:p w:rsidR="00EE4502" w:rsidRDefault="00EE4502">
            <w:pPr>
              <w:jc w:val="center"/>
              <w:rPr>
                <w:szCs w:val="21"/>
              </w:rPr>
            </w:pPr>
          </w:p>
        </w:tc>
      </w:tr>
      <w:tr w:rsidR="00EE4502">
        <w:trPr>
          <w:trHeight w:val="340"/>
          <w:jc w:val="center"/>
        </w:trPr>
        <w:tc>
          <w:tcPr>
            <w:tcW w:w="391" w:type="pct"/>
            <w:vMerge/>
            <w:vAlign w:val="center"/>
          </w:tcPr>
          <w:p w:rsidR="00EE4502" w:rsidRDefault="00EE4502">
            <w:pPr>
              <w:jc w:val="center"/>
              <w:rPr>
                <w:szCs w:val="21"/>
              </w:rPr>
            </w:pPr>
          </w:p>
        </w:tc>
        <w:tc>
          <w:tcPr>
            <w:tcW w:w="469" w:type="pct"/>
            <w:vMerge/>
            <w:vAlign w:val="center"/>
          </w:tcPr>
          <w:p w:rsidR="00EE4502" w:rsidRDefault="00EE4502">
            <w:pPr>
              <w:jc w:val="center"/>
              <w:rPr>
                <w:szCs w:val="21"/>
              </w:rPr>
            </w:pPr>
          </w:p>
        </w:tc>
        <w:tc>
          <w:tcPr>
            <w:tcW w:w="1093" w:type="pct"/>
            <w:vAlign w:val="center"/>
          </w:tcPr>
          <w:p w:rsidR="00EE4502" w:rsidRDefault="00FD45A3">
            <w:pPr>
              <w:jc w:val="center"/>
              <w:rPr>
                <w:szCs w:val="21"/>
              </w:rPr>
            </w:pPr>
            <w:r>
              <w:rPr>
                <w:szCs w:val="21"/>
              </w:rPr>
              <w:t>24</w:t>
            </w:r>
            <w:r>
              <w:rPr>
                <w:rFonts w:hAnsi="宋体"/>
                <w:szCs w:val="21"/>
              </w:rPr>
              <w:t>小时平均</w:t>
            </w:r>
          </w:p>
        </w:tc>
        <w:tc>
          <w:tcPr>
            <w:tcW w:w="938" w:type="pct"/>
            <w:vAlign w:val="center"/>
          </w:tcPr>
          <w:p w:rsidR="00EE4502" w:rsidRDefault="00FD45A3">
            <w:pPr>
              <w:jc w:val="center"/>
              <w:rPr>
                <w:szCs w:val="21"/>
              </w:rPr>
            </w:pPr>
            <w:r>
              <w:rPr>
                <w:szCs w:val="21"/>
              </w:rPr>
              <w:t>75</w:t>
            </w:r>
          </w:p>
        </w:tc>
        <w:tc>
          <w:tcPr>
            <w:tcW w:w="2109" w:type="pct"/>
            <w:vMerge/>
            <w:vAlign w:val="center"/>
          </w:tcPr>
          <w:p w:rsidR="00EE4502" w:rsidRDefault="00EE4502">
            <w:pPr>
              <w:jc w:val="center"/>
              <w:rPr>
                <w:szCs w:val="21"/>
              </w:rPr>
            </w:pPr>
          </w:p>
        </w:tc>
      </w:tr>
      <w:tr w:rsidR="00EE4502">
        <w:trPr>
          <w:trHeight w:val="340"/>
          <w:jc w:val="center"/>
        </w:trPr>
        <w:tc>
          <w:tcPr>
            <w:tcW w:w="391" w:type="pct"/>
            <w:vMerge w:val="restart"/>
            <w:vAlign w:val="center"/>
          </w:tcPr>
          <w:p w:rsidR="00EE4502" w:rsidRDefault="00FD45A3">
            <w:pPr>
              <w:jc w:val="center"/>
              <w:rPr>
                <w:szCs w:val="21"/>
              </w:rPr>
            </w:pPr>
            <w:r>
              <w:rPr>
                <w:szCs w:val="21"/>
              </w:rPr>
              <w:t>5</w:t>
            </w:r>
          </w:p>
        </w:tc>
        <w:tc>
          <w:tcPr>
            <w:tcW w:w="469" w:type="pct"/>
            <w:vMerge w:val="restart"/>
            <w:vAlign w:val="center"/>
          </w:tcPr>
          <w:p w:rsidR="00EE4502" w:rsidRDefault="00FD45A3">
            <w:pPr>
              <w:jc w:val="center"/>
              <w:rPr>
                <w:szCs w:val="21"/>
              </w:rPr>
            </w:pPr>
            <w:r>
              <w:rPr>
                <w:szCs w:val="21"/>
              </w:rPr>
              <w:t>CO</w:t>
            </w:r>
          </w:p>
        </w:tc>
        <w:tc>
          <w:tcPr>
            <w:tcW w:w="1093" w:type="pct"/>
            <w:vAlign w:val="center"/>
          </w:tcPr>
          <w:p w:rsidR="00EE4502" w:rsidRDefault="00FD45A3">
            <w:pPr>
              <w:jc w:val="center"/>
              <w:rPr>
                <w:szCs w:val="21"/>
              </w:rPr>
            </w:pPr>
            <w:r>
              <w:rPr>
                <w:szCs w:val="21"/>
              </w:rPr>
              <w:t>24</w:t>
            </w:r>
            <w:r>
              <w:rPr>
                <w:rFonts w:hAnsi="宋体"/>
                <w:szCs w:val="21"/>
              </w:rPr>
              <w:t>小时平均</w:t>
            </w:r>
          </w:p>
        </w:tc>
        <w:tc>
          <w:tcPr>
            <w:tcW w:w="938" w:type="pct"/>
            <w:vAlign w:val="center"/>
          </w:tcPr>
          <w:p w:rsidR="00EE4502" w:rsidRDefault="00FD45A3">
            <w:pPr>
              <w:jc w:val="center"/>
              <w:rPr>
                <w:szCs w:val="21"/>
              </w:rPr>
            </w:pPr>
            <w:r>
              <w:rPr>
                <w:szCs w:val="21"/>
              </w:rPr>
              <w:t>4</w:t>
            </w:r>
            <w:r>
              <w:rPr>
                <w:rFonts w:hint="eastAsia"/>
                <w:szCs w:val="21"/>
              </w:rPr>
              <w:t>000</w:t>
            </w:r>
          </w:p>
        </w:tc>
        <w:tc>
          <w:tcPr>
            <w:tcW w:w="2109" w:type="pct"/>
            <w:vMerge/>
            <w:vAlign w:val="center"/>
          </w:tcPr>
          <w:p w:rsidR="00EE4502" w:rsidRDefault="00EE4502">
            <w:pPr>
              <w:jc w:val="center"/>
              <w:rPr>
                <w:szCs w:val="21"/>
              </w:rPr>
            </w:pPr>
          </w:p>
        </w:tc>
      </w:tr>
      <w:tr w:rsidR="00EE4502">
        <w:trPr>
          <w:trHeight w:val="340"/>
          <w:jc w:val="center"/>
        </w:trPr>
        <w:tc>
          <w:tcPr>
            <w:tcW w:w="391" w:type="pct"/>
            <w:vMerge/>
            <w:vAlign w:val="center"/>
          </w:tcPr>
          <w:p w:rsidR="00EE4502" w:rsidRDefault="00EE4502">
            <w:pPr>
              <w:jc w:val="center"/>
              <w:rPr>
                <w:szCs w:val="21"/>
              </w:rPr>
            </w:pPr>
          </w:p>
        </w:tc>
        <w:tc>
          <w:tcPr>
            <w:tcW w:w="469" w:type="pct"/>
            <w:vMerge/>
            <w:vAlign w:val="center"/>
          </w:tcPr>
          <w:p w:rsidR="00EE4502" w:rsidRDefault="00EE4502">
            <w:pPr>
              <w:jc w:val="center"/>
              <w:rPr>
                <w:szCs w:val="21"/>
              </w:rPr>
            </w:pPr>
          </w:p>
        </w:tc>
        <w:tc>
          <w:tcPr>
            <w:tcW w:w="1093" w:type="pct"/>
            <w:vAlign w:val="center"/>
          </w:tcPr>
          <w:p w:rsidR="00EE4502" w:rsidRDefault="00FD45A3">
            <w:pPr>
              <w:jc w:val="center"/>
              <w:rPr>
                <w:szCs w:val="21"/>
              </w:rPr>
            </w:pPr>
            <w:r>
              <w:rPr>
                <w:szCs w:val="21"/>
              </w:rPr>
              <w:t>1</w:t>
            </w:r>
            <w:r>
              <w:rPr>
                <w:rFonts w:hAnsi="宋体"/>
                <w:szCs w:val="21"/>
              </w:rPr>
              <w:t>小时平均</w:t>
            </w:r>
          </w:p>
        </w:tc>
        <w:tc>
          <w:tcPr>
            <w:tcW w:w="938" w:type="pct"/>
            <w:vAlign w:val="center"/>
          </w:tcPr>
          <w:p w:rsidR="00EE4502" w:rsidRDefault="00FD45A3">
            <w:pPr>
              <w:jc w:val="center"/>
              <w:rPr>
                <w:szCs w:val="21"/>
              </w:rPr>
            </w:pPr>
            <w:r>
              <w:rPr>
                <w:szCs w:val="21"/>
              </w:rPr>
              <w:t>10</w:t>
            </w:r>
            <w:r>
              <w:rPr>
                <w:rFonts w:hint="eastAsia"/>
                <w:szCs w:val="21"/>
              </w:rPr>
              <w:t>000</w:t>
            </w:r>
          </w:p>
        </w:tc>
        <w:tc>
          <w:tcPr>
            <w:tcW w:w="2109" w:type="pct"/>
            <w:vMerge/>
            <w:vAlign w:val="center"/>
          </w:tcPr>
          <w:p w:rsidR="00EE4502" w:rsidRDefault="00EE4502">
            <w:pPr>
              <w:jc w:val="center"/>
              <w:rPr>
                <w:szCs w:val="21"/>
              </w:rPr>
            </w:pPr>
          </w:p>
        </w:tc>
      </w:tr>
      <w:tr w:rsidR="00EE4502">
        <w:trPr>
          <w:trHeight w:val="340"/>
          <w:jc w:val="center"/>
        </w:trPr>
        <w:tc>
          <w:tcPr>
            <w:tcW w:w="391" w:type="pct"/>
            <w:vMerge w:val="restart"/>
            <w:vAlign w:val="center"/>
          </w:tcPr>
          <w:p w:rsidR="00EE4502" w:rsidRDefault="00FD45A3">
            <w:pPr>
              <w:jc w:val="center"/>
              <w:rPr>
                <w:szCs w:val="21"/>
              </w:rPr>
            </w:pPr>
            <w:r>
              <w:rPr>
                <w:szCs w:val="21"/>
              </w:rPr>
              <w:t>6</w:t>
            </w:r>
          </w:p>
        </w:tc>
        <w:tc>
          <w:tcPr>
            <w:tcW w:w="469" w:type="pct"/>
            <w:vMerge w:val="restart"/>
            <w:vAlign w:val="center"/>
          </w:tcPr>
          <w:p w:rsidR="00EE4502" w:rsidRDefault="00FD45A3">
            <w:pPr>
              <w:jc w:val="center"/>
              <w:rPr>
                <w:szCs w:val="21"/>
              </w:rPr>
            </w:pPr>
            <w:r>
              <w:rPr>
                <w:szCs w:val="21"/>
              </w:rPr>
              <w:t>O</w:t>
            </w:r>
            <w:r>
              <w:rPr>
                <w:szCs w:val="21"/>
                <w:vertAlign w:val="subscript"/>
              </w:rPr>
              <w:t>3</w:t>
            </w:r>
          </w:p>
        </w:tc>
        <w:tc>
          <w:tcPr>
            <w:tcW w:w="1093" w:type="pct"/>
            <w:vAlign w:val="center"/>
          </w:tcPr>
          <w:p w:rsidR="00EE4502" w:rsidRDefault="00FD45A3">
            <w:pPr>
              <w:jc w:val="center"/>
              <w:rPr>
                <w:szCs w:val="21"/>
              </w:rPr>
            </w:pPr>
            <w:r>
              <w:rPr>
                <w:rFonts w:hAnsi="宋体"/>
                <w:szCs w:val="21"/>
              </w:rPr>
              <w:t>日最大</w:t>
            </w:r>
            <w:r>
              <w:rPr>
                <w:szCs w:val="21"/>
              </w:rPr>
              <w:t>8</w:t>
            </w:r>
            <w:r>
              <w:rPr>
                <w:rFonts w:hAnsi="宋体"/>
                <w:szCs w:val="21"/>
              </w:rPr>
              <w:t>小时平均</w:t>
            </w:r>
          </w:p>
        </w:tc>
        <w:tc>
          <w:tcPr>
            <w:tcW w:w="938" w:type="pct"/>
            <w:vAlign w:val="center"/>
          </w:tcPr>
          <w:p w:rsidR="00EE4502" w:rsidRDefault="00FD45A3">
            <w:pPr>
              <w:jc w:val="center"/>
              <w:rPr>
                <w:szCs w:val="21"/>
              </w:rPr>
            </w:pPr>
            <w:r>
              <w:rPr>
                <w:szCs w:val="21"/>
              </w:rPr>
              <w:t>160</w:t>
            </w:r>
          </w:p>
        </w:tc>
        <w:tc>
          <w:tcPr>
            <w:tcW w:w="2109" w:type="pct"/>
            <w:vMerge/>
            <w:vAlign w:val="center"/>
          </w:tcPr>
          <w:p w:rsidR="00EE4502" w:rsidRDefault="00EE4502">
            <w:pPr>
              <w:jc w:val="center"/>
              <w:rPr>
                <w:szCs w:val="21"/>
              </w:rPr>
            </w:pPr>
          </w:p>
        </w:tc>
      </w:tr>
      <w:tr w:rsidR="00EE4502">
        <w:trPr>
          <w:trHeight w:val="340"/>
          <w:jc w:val="center"/>
        </w:trPr>
        <w:tc>
          <w:tcPr>
            <w:tcW w:w="391" w:type="pct"/>
            <w:vMerge/>
            <w:vAlign w:val="center"/>
          </w:tcPr>
          <w:p w:rsidR="00EE4502" w:rsidRDefault="00EE4502">
            <w:pPr>
              <w:jc w:val="center"/>
              <w:rPr>
                <w:szCs w:val="21"/>
              </w:rPr>
            </w:pPr>
          </w:p>
        </w:tc>
        <w:tc>
          <w:tcPr>
            <w:tcW w:w="469" w:type="pct"/>
            <w:vMerge/>
            <w:vAlign w:val="center"/>
          </w:tcPr>
          <w:p w:rsidR="00EE4502" w:rsidRDefault="00EE4502">
            <w:pPr>
              <w:jc w:val="center"/>
              <w:rPr>
                <w:szCs w:val="21"/>
              </w:rPr>
            </w:pPr>
          </w:p>
        </w:tc>
        <w:tc>
          <w:tcPr>
            <w:tcW w:w="1093" w:type="pct"/>
            <w:vAlign w:val="center"/>
          </w:tcPr>
          <w:p w:rsidR="00EE4502" w:rsidRDefault="00FD45A3">
            <w:pPr>
              <w:jc w:val="center"/>
              <w:rPr>
                <w:szCs w:val="21"/>
              </w:rPr>
            </w:pPr>
            <w:r>
              <w:rPr>
                <w:szCs w:val="21"/>
              </w:rPr>
              <w:t>1</w:t>
            </w:r>
            <w:r>
              <w:rPr>
                <w:rFonts w:hAnsi="宋体"/>
                <w:szCs w:val="21"/>
              </w:rPr>
              <w:t>小时平均</w:t>
            </w:r>
          </w:p>
        </w:tc>
        <w:tc>
          <w:tcPr>
            <w:tcW w:w="938" w:type="pct"/>
            <w:vAlign w:val="center"/>
          </w:tcPr>
          <w:p w:rsidR="00EE4502" w:rsidRDefault="00FD45A3">
            <w:pPr>
              <w:jc w:val="center"/>
              <w:rPr>
                <w:szCs w:val="21"/>
              </w:rPr>
            </w:pPr>
            <w:r>
              <w:rPr>
                <w:szCs w:val="21"/>
              </w:rPr>
              <w:t>200</w:t>
            </w:r>
          </w:p>
        </w:tc>
        <w:tc>
          <w:tcPr>
            <w:tcW w:w="2109" w:type="pct"/>
            <w:vMerge/>
            <w:vAlign w:val="center"/>
          </w:tcPr>
          <w:p w:rsidR="00EE4502" w:rsidRDefault="00EE4502">
            <w:pPr>
              <w:jc w:val="center"/>
              <w:rPr>
                <w:szCs w:val="21"/>
              </w:rPr>
            </w:pPr>
          </w:p>
        </w:tc>
      </w:tr>
      <w:tr w:rsidR="00EE4502">
        <w:trPr>
          <w:trHeight w:val="310"/>
          <w:jc w:val="center"/>
        </w:trPr>
        <w:tc>
          <w:tcPr>
            <w:tcW w:w="391" w:type="pct"/>
            <w:tcBorders>
              <w:bottom w:val="single" w:sz="4" w:space="0" w:color="auto"/>
            </w:tcBorders>
            <w:vAlign w:val="center"/>
          </w:tcPr>
          <w:p w:rsidR="00EE4502" w:rsidRDefault="00FD45A3">
            <w:pPr>
              <w:jc w:val="center"/>
              <w:rPr>
                <w:szCs w:val="21"/>
              </w:rPr>
            </w:pPr>
            <w:r>
              <w:rPr>
                <w:rFonts w:hint="eastAsia"/>
                <w:szCs w:val="21"/>
              </w:rPr>
              <w:t>7</w:t>
            </w:r>
          </w:p>
        </w:tc>
        <w:tc>
          <w:tcPr>
            <w:tcW w:w="469" w:type="pct"/>
            <w:tcBorders>
              <w:bottom w:val="single" w:sz="4" w:space="0" w:color="auto"/>
            </w:tcBorders>
            <w:vAlign w:val="center"/>
          </w:tcPr>
          <w:p w:rsidR="00EE4502" w:rsidRDefault="00FD45A3">
            <w:pPr>
              <w:jc w:val="center"/>
              <w:rPr>
                <w:szCs w:val="21"/>
              </w:rPr>
            </w:pPr>
            <w:r>
              <w:rPr>
                <w:rFonts w:hAnsi="宋体" w:hint="eastAsia"/>
                <w:szCs w:val="21"/>
              </w:rPr>
              <w:t>NMHC</w:t>
            </w:r>
          </w:p>
        </w:tc>
        <w:tc>
          <w:tcPr>
            <w:tcW w:w="1093" w:type="pct"/>
            <w:tcBorders>
              <w:bottom w:val="single" w:sz="4" w:space="0" w:color="auto"/>
            </w:tcBorders>
            <w:vAlign w:val="center"/>
          </w:tcPr>
          <w:p w:rsidR="00EE4502" w:rsidRDefault="00FD45A3">
            <w:pPr>
              <w:jc w:val="center"/>
              <w:rPr>
                <w:szCs w:val="21"/>
              </w:rPr>
            </w:pPr>
            <w:r>
              <w:rPr>
                <w:szCs w:val="21"/>
              </w:rPr>
              <w:t>1</w:t>
            </w:r>
            <w:r>
              <w:rPr>
                <w:rFonts w:hAnsi="宋体"/>
                <w:szCs w:val="21"/>
              </w:rPr>
              <w:t>小时平均</w:t>
            </w:r>
          </w:p>
        </w:tc>
        <w:tc>
          <w:tcPr>
            <w:tcW w:w="938" w:type="pct"/>
            <w:tcBorders>
              <w:bottom w:val="single" w:sz="4" w:space="0" w:color="auto"/>
            </w:tcBorders>
            <w:vAlign w:val="center"/>
          </w:tcPr>
          <w:p w:rsidR="00EE4502" w:rsidRDefault="00FD45A3">
            <w:pPr>
              <w:jc w:val="center"/>
              <w:rPr>
                <w:szCs w:val="21"/>
              </w:rPr>
            </w:pPr>
            <w:r>
              <w:rPr>
                <w:szCs w:val="21"/>
              </w:rPr>
              <w:t>2000</w:t>
            </w:r>
          </w:p>
        </w:tc>
        <w:tc>
          <w:tcPr>
            <w:tcW w:w="2109" w:type="pct"/>
            <w:tcBorders>
              <w:bottom w:val="single" w:sz="4" w:space="0" w:color="auto"/>
            </w:tcBorders>
            <w:vAlign w:val="center"/>
          </w:tcPr>
          <w:p w:rsidR="00EE4502" w:rsidRDefault="00FD45A3">
            <w:pPr>
              <w:jc w:val="center"/>
              <w:rPr>
                <w:szCs w:val="21"/>
              </w:rPr>
            </w:pPr>
            <w:r>
              <w:rPr>
                <w:rFonts w:hAnsi="宋体"/>
                <w:szCs w:val="21"/>
              </w:rPr>
              <w:t>参考《大气污染物综合排放标准详解》</w:t>
            </w:r>
          </w:p>
        </w:tc>
      </w:tr>
      <w:tr w:rsidR="00EE4502">
        <w:trPr>
          <w:trHeight w:val="150"/>
          <w:jc w:val="center"/>
        </w:trPr>
        <w:tc>
          <w:tcPr>
            <w:tcW w:w="391" w:type="pct"/>
            <w:tcBorders>
              <w:top w:val="single" w:sz="4" w:space="0" w:color="auto"/>
            </w:tcBorders>
            <w:vAlign w:val="center"/>
          </w:tcPr>
          <w:p w:rsidR="00EE4502" w:rsidRDefault="00FD45A3">
            <w:pPr>
              <w:jc w:val="center"/>
              <w:rPr>
                <w:szCs w:val="21"/>
              </w:rPr>
            </w:pPr>
            <w:r>
              <w:rPr>
                <w:rFonts w:hint="eastAsia"/>
                <w:szCs w:val="21"/>
              </w:rPr>
              <w:t>8</w:t>
            </w:r>
          </w:p>
        </w:tc>
        <w:tc>
          <w:tcPr>
            <w:tcW w:w="469" w:type="pct"/>
            <w:tcBorders>
              <w:top w:val="single" w:sz="4" w:space="0" w:color="auto"/>
            </w:tcBorders>
            <w:vAlign w:val="center"/>
          </w:tcPr>
          <w:p w:rsidR="00EE4502" w:rsidRDefault="00FD45A3">
            <w:pPr>
              <w:jc w:val="center"/>
              <w:rPr>
                <w:rFonts w:hAnsi="宋体"/>
                <w:szCs w:val="21"/>
              </w:rPr>
            </w:pPr>
            <w:r>
              <w:rPr>
                <w:rFonts w:hAnsi="宋体" w:hint="eastAsia"/>
                <w:szCs w:val="21"/>
              </w:rPr>
              <w:t>H</w:t>
            </w:r>
            <w:r>
              <w:rPr>
                <w:rFonts w:hAnsi="宋体"/>
                <w:szCs w:val="21"/>
                <w:vertAlign w:val="subscript"/>
              </w:rPr>
              <w:t>2</w:t>
            </w:r>
            <w:r>
              <w:rPr>
                <w:rFonts w:hAnsi="宋体"/>
                <w:szCs w:val="21"/>
              </w:rPr>
              <w:t>S</w:t>
            </w:r>
          </w:p>
        </w:tc>
        <w:tc>
          <w:tcPr>
            <w:tcW w:w="1093" w:type="pct"/>
            <w:tcBorders>
              <w:top w:val="single" w:sz="4" w:space="0" w:color="auto"/>
            </w:tcBorders>
            <w:vAlign w:val="center"/>
          </w:tcPr>
          <w:p w:rsidR="00EE4502" w:rsidRDefault="00FD45A3">
            <w:pPr>
              <w:jc w:val="center"/>
              <w:rPr>
                <w:szCs w:val="21"/>
              </w:rPr>
            </w:pPr>
            <w:r>
              <w:rPr>
                <w:szCs w:val="21"/>
              </w:rPr>
              <w:t>1</w:t>
            </w:r>
            <w:r>
              <w:rPr>
                <w:rFonts w:hAnsi="宋体"/>
                <w:szCs w:val="21"/>
              </w:rPr>
              <w:t>小时平均</w:t>
            </w:r>
          </w:p>
        </w:tc>
        <w:tc>
          <w:tcPr>
            <w:tcW w:w="938" w:type="pct"/>
            <w:tcBorders>
              <w:top w:val="single" w:sz="4" w:space="0" w:color="auto"/>
            </w:tcBorders>
            <w:vAlign w:val="center"/>
          </w:tcPr>
          <w:p w:rsidR="00EE4502" w:rsidRDefault="00FD45A3">
            <w:pPr>
              <w:jc w:val="center"/>
              <w:rPr>
                <w:szCs w:val="21"/>
              </w:rPr>
            </w:pPr>
            <w:r>
              <w:rPr>
                <w:rFonts w:hint="eastAsia"/>
                <w:szCs w:val="21"/>
              </w:rPr>
              <w:t>1</w:t>
            </w:r>
            <w:r>
              <w:rPr>
                <w:szCs w:val="21"/>
              </w:rPr>
              <w:t>0</w:t>
            </w:r>
          </w:p>
        </w:tc>
        <w:tc>
          <w:tcPr>
            <w:tcW w:w="2109" w:type="pct"/>
            <w:tcBorders>
              <w:top w:val="single" w:sz="4" w:space="0" w:color="auto"/>
            </w:tcBorders>
            <w:vAlign w:val="center"/>
          </w:tcPr>
          <w:p w:rsidR="00EE4502" w:rsidRDefault="00FD45A3">
            <w:pPr>
              <w:jc w:val="center"/>
              <w:rPr>
                <w:rFonts w:hAnsi="宋体"/>
                <w:szCs w:val="21"/>
              </w:rPr>
            </w:pPr>
            <w:r>
              <w:rPr>
                <w:rFonts w:hAnsi="宋体" w:hint="eastAsia"/>
                <w:szCs w:val="21"/>
              </w:rPr>
              <w:t>《环境影响评价技术导则</w:t>
            </w:r>
            <w:r>
              <w:rPr>
                <w:rFonts w:hAnsi="宋体" w:hint="eastAsia"/>
                <w:szCs w:val="21"/>
              </w:rPr>
              <w:t xml:space="preserve"> </w:t>
            </w:r>
            <w:r>
              <w:rPr>
                <w:rFonts w:hAnsi="宋体" w:hint="eastAsia"/>
                <w:szCs w:val="21"/>
              </w:rPr>
              <w:t>大气环境》（</w:t>
            </w:r>
            <w:r>
              <w:rPr>
                <w:rFonts w:hAnsi="宋体" w:hint="eastAsia"/>
                <w:szCs w:val="21"/>
              </w:rPr>
              <w:t>H</w:t>
            </w:r>
            <w:r>
              <w:rPr>
                <w:rFonts w:hAnsi="宋体"/>
                <w:szCs w:val="21"/>
              </w:rPr>
              <w:t>J2.2-2018</w:t>
            </w:r>
            <w:r>
              <w:rPr>
                <w:rFonts w:hAnsi="宋体" w:hint="eastAsia"/>
                <w:szCs w:val="21"/>
              </w:rPr>
              <w:t>）附录</w:t>
            </w:r>
            <w:r>
              <w:rPr>
                <w:rFonts w:hAnsi="宋体" w:hint="eastAsia"/>
                <w:szCs w:val="21"/>
              </w:rPr>
              <w:t>D</w:t>
            </w:r>
          </w:p>
        </w:tc>
      </w:tr>
    </w:tbl>
    <w:p w:rsidR="00EE4502" w:rsidRDefault="00EE4502">
      <w:pPr>
        <w:jc w:val="center"/>
        <w:rPr>
          <w:sz w:val="18"/>
          <w:szCs w:val="18"/>
        </w:rPr>
      </w:pPr>
    </w:p>
    <w:p w:rsidR="00EE4502" w:rsidRDefault="00FD45A3">
      <w:pPr>
        <w:pStyle w:val="affc"/>
        <w:spacing w:line="360" w:lineRule="auto"/>
        <w:ind w:firstLine="480"/>
        <w:rPr>
          <w:rFonts w:ascii="Times New Roman" w:hAnsi="Times New Roman"/>
          <w:spacing w:val="0"/>
          <w:sz w:val="24"/>
          <w:szCs w:val="24"/>
        </w:rPr>
      </w:pPr>
      <w:r>
        <w:rPr>
          <w:rFonts w:ascii="Times New Roman" w:hAnsi="Times New Roman"/>
          <w:spacing w:val="0"/>
          <w:sz w:val="24"/>
        </w:rPr>
        <w:t>（</w:t>
      </w:r>
      <w:r>
        <w:rPr>
          <w:rFonts w:ascii="Times New Roman" w:hAnsi="Times New Roman"/>
          <w:spacing w:val="0"/>
          <w:sz w:val="24"/>
        </w:rPr>
        <w:t>2</w:t>
      </w:r>
      <w:r>
        <w:rPr>
          <w:rFonts w:ascii="Times New Roman" w:hAnsi="Times New Roman"/>
          <w:spacing w:val="0"/>
          <w:sz w:val="24"/>
        </w:rPr>
        <w:t>）</w:t>
      </w:r>
      <w:r>
        <w:rPr>
          <w:rFonts w:ascii="Times New Roman" w:hAnsi="Times New Roman" w:hint="eastAsia"/>
          <w:spacing w:val="0"/>
          <w:sz w:val="24"/>
          <w:szCs w:val="24"/>
        </w:rPr>
        <w:t>水环境</w:t>
      </w:r>
    </w:p>
    <w:p w:rsidR="00EE4502" w:rsidRDefault="00FD45A3">
      <w:pPr>
        <w:spacing w:line="360" w:lineRule="auto"/>
        <w:ind w:firstLineChars="200" w:firstLine="480"/>
        <w:rPr>
          <w:sz w:val="24"/>
        </w:rPr>
      </w:pPr>
      <w:r>
        <w:rPr>
          <w:sz w:val="24"/>
        </w:rPr>
        <w:t>评价区内无地表水；区域地下水执行《地下水质量标准》（</w:t>
      </w:r>
      <w:r>
        <w:rPr>
          <w:sz w:val="24"/>
        </w:rPr>
        <w:t>GB/T14848-2017</w:t>
      </w:r>
      <w:r>
        <w:rPr>
          <w:sz w:val="24"/>
        </w:rPr>
        <w:t>）的</w:t>
      </w:r>
      <w:r>
        <w:rPr>
          <w:sz w:val="24"/>
        </w:rPr>
        <w:t>Ⅲ</w:t>
      </w:r>
      <w:r>
        <w:rPr>
          <w:sz w:val="24"/>
        </w:rPr>
        <w:t>类标准，其中石油类参照执行《地表水环境质量标准》（</w:t>
      </w:r>
      <w:r>
        <w:rPr>
          <w:sz w:val="24"/>
        </w:rPr>
        <w:t>GB3838-2002</w:t>
      </w:r>
      <w:r>
        <w:rPr>
          <w:sz w:val="24"/>
        </w:rPr>
        <w:t>）中</w:t>
      </w:r>
      <w:r>
        <w:rPr>
          <w:sz w:val="24"/>
        </w:rPr>
        <w:t>Ⅲ</w:t>
      </w:r>
      <w:r>
        <w:rPr>
          <w:sz w:val="24"/>
        </w:rPr>
        <w:t>类标准限值，具体标准限值见表</w:t>
      </w:r>
      <w:r>
        <w:rPr>
          <w:sz w:val="24"/>
        </w:rPr>
        <w:t>2-</w:t>
      </w:r>
      <w:r>
        <w:rPr>
          <w:rFonts w:hint="eastAsia"/>
          <w:sz w:val="24"/>
        </w:rPr>
        <w:t>4</w:t>
      </w:r>
      <w:r>
        <w:rPr>
          <w:sz w:val="24"/>
        </w:rPr>
        <w:t>-</w:t>
      </w:r>
      <w:r>
        <w:rPr>
          <w:rFonts w:hint="eastAsia"/>
          <w:sz w:val="24"/>
        </w:rPr>
        <w:t>2</w:t>
      </w:r>
      <w:r>
        <w:rPr>
          <w:sz w:val="24"/>
        </w:rPr>
        <w:t>。</w:t>
      </w:r>
    </w:p>
    <w:p w:rsidR="00EE4502" w:rsidRDefault="00FD45A3">
      <w:pPr>
        <w:spacing w:line="360" w:lineRule="auto"/>
        <w:jc w:val="center"/>
        <w:rPr>
          <w:rFonts w:eastAsia="黑体"/>
          <w:bCs/>
          <w:lang w:val="zh-CN"/>
        </w:rPr>
      </w:pPr>
      <w:r>
        <w:rPr>
          <w:rFonts w:eastAsia="黑体"/>
          <w:bCs/>
          <w:lang w:val="zh-CN"/>
        </w:rPr>
        <w:t>表</w:t>
      </w:r>
      <w:r>
        <w:rPr>
          <w:rFonts w:eastAsia="黑体"/>
          <w:bCs/>
          <w:lang w:val="zh-CN"/>
        </w:rPr>
        <w:t>2</w:t>
      </w:r>
      <w:r>
        <w:rPr>
          <w:rFonts w:eastAsia="黑体"/>
          <w:bCs/>
        </w:rPr>
        <w:t>-</w:t>
      </w:r>
      <w:r>
        <w:rPr>
          <w:rFonts w:eastAsia="黑体" w:hint="eastAsia"/>
          <w:bCs/>
        </w:rPr>
        <w:t>4</w:t>
      </w:r>
      <w:r>
        <w:rPr>
          <w:rFonts w:eastAsia="黑体"/>
          <w:bCs/>
          <w:lang w:val="zh-CN"/>
        </w:rPr>
        <w:t>-</w:t>
      </w:r>
      <w:r>
        <w:rPr>
          <w:rFonts w:eastAsia="黑体" w:hint="eastAsia"/>
          <w:bCs/>
        </w:rPr>
        <w:t>2</w:t>
      </w:r>
      <w:r>
        <w:rPr>
          <w:rFonts w:eastAsia="黑体"/>
          <w:bCs/>
          <w:lang w:val="zh-CN"/>
        </w:rPr>
        <w:t xml:space="preserve">    </w:t>
      </w:r>
      <w:r>
        <w:rPr>
          <w:rFonts w:eastAsia="黑体"/>
          <w:bCs/>
          <w:lang w:val="zh-CN"/>
        </w:rPr>
        <w:t>地下水质量标准</w:t>
      </w:r>
    </w:p>
    <w:tbl>
      <w:tblPr>
        <w:tblW w:w="4996" w:type="pct"/>
        <w:jc w:val="center"/>
        <w:tblBorders>
          <w:top w:val="single" w:sz="8" w:space="0" w:color="auto"/>
          <w:bottom w:val="single" w:sz="8" w:space="0" w:color="auto"/>
          <w:insideH w:val="single" w:sz="8" w:space="0" w:color="auto"/>
          <w:insideV w:val="single" w:sz="8" w:space="0" w:color="auto"/>
        </w:tblBorders>
        <w:tblCellMar>
          <w:left w:w="11" w:type="dxa"/>
          <w:right w:w="11" w:type="dxa"/>
        </w:tblCellMar>
        <w:tblLook w:val="04A0" w:firstRow="1" w:lastRow="0" w:firstColumn="1" w:lastColumn="0" w:noHBand="0" w:noVBand="1"/>
      </w:tblPr>
      <w:tblGrid>
        <w:gridCol w:w="713"/>
        <w:gridCol w:w="2511"/>
        <w:gridCol w:w="1045"/>
        <w:gridCol w:w="712"/>
        <w:gridCol w:w="2405"/>
        <w:gridCol w:w="935"/>
      </w:tblGrid>
      <w:tr w:rsidR="00EE4502">
        <w:trPr>
          <w:trHeight w:val="340"/>
          <w:tblHeader/>
          <w:jc w:val="center"/>
        </w:trPr>
        <w:tc>
          <w:tcPr>
            <w:tcW w:w="428" w:type="pct"/>
            <w:vAlign w:val="center"/>
          </w:tcPr>
          <w:p w:rsidR="00EE4502" w:rsidRDefault="00FD45A3">
            <w:pPr>
              <w:jc w:val="center"/>
              <w:rPr>
                <w:bCs/>
                <w:szCs w:val="21"/>
              </w:rPr>
            </w:pPr>
            <w:r>
              <w:rPr>
                <w:rFonts w:hAnsi="宋体"/>
                <w:bCs/>
                <w:szCs w:val="21"/>
              </w:rPr>
              <w:t>序号</w:t>
            </w:r>
          </w:p>
        </w:tc>
        <w:tc>
          <w:tcPr>
            <w:tcW w:w="1509" w:type="pct"/>
            <w:vAlign w:val="center"/>
          </w:tcPr>
          <w:p w:rsidR="00EE4502" w:rsidRDefault="00FD45A3">
            <w:pPr>
              <w:jc w:val="center"/>
              <w:rPr>
                <w:bCs/>
                <w:szCs w:val="21"/>
              </w:rPr>
            </w:pPr>
            <w:r>
              <w:rPr>
                <w:rFonts w:hAnsi="宋体"/>
                <w:bCs/>
                <w:szCs w:val="21"/>
              </w:rPr>
              <w:t>监测项目</w:t>
            </w:r>
          </w:p>
        </w:tc>
        <w:tc>
          <w:tcPr>
            <w:tcW w:w="628" w:type="pct"/>
            <w:vAlign w:val="center"/>
          </w:tcPr>
          <w:p w:rsidR="00EE4502" w:rsidRDefault="00FD45A3">
            <w:pPr>
              <w:jc w:val="center"/>
              <w:rPr>
                <w:bCs/>
                <w:szCs w:val="21"/>
              </w:rPr>
            </w:pPr>
            <w:r>
              <w:rPr>
                <w:rFonts w:hAnsi="宋体"/>
                <w:bCs/>
                <w:szCs w:val="21"/>
              </w:rPr>
              <w:t>标准值</w:t>
            </w:r>
          </w:p>
        </w:tc>
        <w:tc>
          <w:tcPr>
            <w:tcW w:w="428" w:type="pct"/>
            <w:vAlign w:val="center"/>
          </w:tcPr>
          <w:p w:rsidR="00EE4502" w:rsidRDefault="00FD45A3">
            <w:pPr>
              <w:jc w:val="center"/>
              <w:rPr>
                <w:bCs/>
                <w:szCs w:val="21"/>
              </w:rPr>
            </w:pPr>
            <w:r>
              <w:rPr>
                <w:rFonts w:hAnsi="宋体"/>
                <w:bCs/>
                <w:szCs w:val="21"/>
              </w:rPr>
              <w:t>序号</w:t>
            </w:r>
          </w:p>
        </w:tc>
        <w:tc>
          <w:tcPr>
            <w:tcW w:w="1445" w:type="pct"/>
            <w:vAlign w:val="center"/>
          </w:tcPr>
          <w:p w:rsidR="00EE4502" w:rsidRDefault="00FD45A3">
            <w:pPr>
              <w:jc w:val="center"/>
              <w:rPr>
                <w:bCs/>
                <w:szCs w:val="21"/>
              </w:rPr>
            </w:pPr>
            <w:r>
              <w:rPr>
                <w:rFonts w:hAnsi="宋体"/>
                <w:bCs/>
                <w:szCs w:val="21"/>
              </w:rPr>
              <w:t>监测项目</w:t>
            </w:r>
          </w:p>
        </w:tc>
        <w:tc>
          <w:tcPr>
            <w:tcW w:w="563" w:type="pct"/>
            <w:vAlign w:val="center"/>
          </w:tcPr>
          <w:p w:rsidR="00EE4502" w:rsidRDefault="00FD45A3">
            <w:pPr>
              <w:jc w:val="center"/>
              <w:rPr>
                <w:bCs/>
                <w:szCs w:val="21"/>
              </w:rPr>
            </w:pPr>
            <w:r>
              <w:rPr>
                <w:rFonts w:hAnsi="宋体"/>
                <w:bCs/>
                <w:szCs w:val="21"/>
              </w:rPr>
              <w:t>标准值</w:t>
            </w:r>
          </w:p>
        </w:tc>
      </w:tr>
      <w:tr w:rsidR="00EE4502">
        <w:trPr>
          <w:trHeight w:val="340"/>
          <w:jc w:val="center"/>
        </w:trPr>
        <w:tc>
          <w:tcPr>
            <w:tcW w:w="428" w:type="pct"/>
            <w:vAlign w:val="center"/>
          </w:tcPr>
          <w:p w:rsidR="00EE4502" w:rsidRDefault="00FD45A3">
            <w:pPr>
              <w:jc w:val="center"/>
              <w:rPr>
                <w:bCs/>
                <w:szCs w:val="21"/>
              </w:rPr>
            </w:pPr>
            <w:r>
              <w:rPr>
                <w:bCs/>
                <w:szCs w:val="21"/>
              </w:rPr>
              <w:t>1</w:t>
            </w:r>
          </w:p>
        </w:tc>
        <w:tc>
          <w:tcPr>
            <w:tcW w:w="1509" w:type="pct"/>
            <w:vAlign w:val="center"/>
          </w:tcPr>
          <w:p w:rsidR="00EE4502" w:rsidRDefault="00FD45A3">
            <w:pPr>
              <w:jc w:val="center"/>
              <w:rPr>
                <w:bCs/>
                <w:szCs w:val="21"/>
              </w:rPr>
            </w:pPr>
            <w:r>
              <w:rPr>
                <w:szCs w:val="21"/>
              </w:rPr>
              <w:t xml:space="preserve">pH </w:t>
            </w:r>
            <w:r>
              <w:rPr>
                <w:szCs w:val="21"/>
              </w:rPr>
              <w:t>值</w:t>
            </w:r>
            <w:r>
              <w:rPr>
                <w:rFonts w:hint="eastAsia"/>
                <w:szCs w:val="21"/>
              </w:rPr>
              <w:t>（无量纲）</w:t>
            </w:r>
          </w:p>
        </w:tc>
        <w:tc>
          <w:tcPr>
            <w:tcW w:w="628" w:type="pct"/>
            <w:vAlign w:val="center"/>
          </w:tcPr>
          <w:p w:rsidR="00EE4502" w:rsidRDefault="00FD45A3">
            <w:pPr>
              <w:jc w:val="center"/>
              <w:rPr>
                <w:bCs/>
                <w:szCs w:val="21"/>
              </w:rPr>
            </w:pPr>
            <w:r>
              <w:rPr>
                <w:szCs w:val="21"/>
              </w:rPr>
              <w:t>6.5</w:t>
            </w:r>
            <w:r>
              <w:rPr>
                <w:rFonts w:hint="eastAsia"/>
                <w:szCs w:val="21"/>
              </w:rPr>
              <w:t>~</w:t>
            </w:r>
            <w:r>
              <w:rPr>
                <w:szCs w:val="21"/>
              </w:rPr>
              <w:t>8.5</w:t>
            </w:r>
          </w:p>
        </w:tc>
        <w:tc>
          <w:tcPr>
            <w:tcW w:w="428" w:type="pct"/>
            <w:vAlign w:val="center"/>
          </w:tcPr>
          <w:p w:rsidR="00EE4502" w:rsidRDefault="00FD45A3">
            <w:pPr>
              <w:jc w:val="center"/>
              <w:rPr>
                <w:bCs/>
                <w:szCs w:val="21"/>
              </w:rPr>
            </w:pPr>
            <w:r>
              <w:rPr>
                <w:rFonts w:hint="eastAsia"/>
                <w:bCs/>
                <w:szCs w:val="21"/>
              </w:rPr>
              <w:t>2</w:t>
            </w:r>
            <w:r>
              <w:rPr>
                <w:bCs/>
                <w:szCs w:val="21"/>
              </w:rPr>
              <w:t>1</w:t>
            </w:r>
          </w:p>
        </w:tc>
        <w:tc>
          <w:tcPr>
            <w:tcW w:w="1445" w:type="pct"/>
            <w:vAlign w:val="center"/>
          </w:tcPr>
          <w:p w:rsidR="00EE4502" w:rsidRDefault="00FD45A3">
            <w:pPr>
              <w:jc w:val="center"/>
              <w:rPr>
                <w:bCs/>
                <w:szCs w:val="21"/>
              </w:rPr>
            </w:pPr>
            <w:r>
              <w:rPr>
                <w:rFonts w:hint="eastAsia"/>
                <w:szCs w:val="21"/>
              </w:rPr>
              <w:t>铅（</w:t>
            </w:r>
            <w:r>
              <w:rPr>
                <w:szCs w:val="21"/>
              </w:rPr>
              <w:t>mg/L</w:t>
            </w:r>
            <w:r>
              <w:rPr>
                <w:rFonts w:hint="eastAsia"/>
                <w:szCs w:val="21"/>
              </w:rPr>
              <w:t>）</w:t>
            </w:r>
          </w:p>
        </w:tc>
        <w:tc>
          <w:tcPr>
            <w:tcW w:w="563" w:type="pct"/>
            <w:vAlign w:val="center"/>
          </w:tcPr>
          <w:p w:rsidR="00EE4502" w:rsidRDefault="00FD45A3">
            <w:pPr>
              <w:jc w:val="center"/>
              <w:rPr>
                <w:bCs/>
                <w:szCs w:val="21"/>
              </w:rPr>
            </w:pPr>
            <w:r>
              <w:rPr>
                <w:szCs w:val="21"/>
              </w:rPr>
              <w:t>≤0.01</w:t>
            </w:r>
          </w:p>
        </w:tc>
      </w:tr>
      <w:tr w:rsidR="00EE4502">
        <w:trPr>
          <w:trHeight w:val="340"/>
          <w:jc w:val="center"/>
        </w:trPr>
        <w:tc>
          <w:tcPr>
            <w:tcW w:w="428" w:type="pct"/>
            <w:vAlign w:val="center"/>
          </w:tcPr>
          <w:p w:rsidR="00EE4502" w:rsidRDefault="00FD45A3">
            <w:pPr>
              <w:jc w:val="center"/>
              <w:rPr>
                <w:bCs/>
                <w:szCs w:val="21"/>
              </w:rPr>
            </w:pPr>
            <w:r>
              <w:rPr>
                <w:bCs/>
                <w:szCs w:val="21"/>
              </w:rPr>
              <w:t>2</w:t>
            </w:r>
          </w:p>
        </w:tc>
        <w:tc>
          <w:tcPr>
            <w:tcW w:w="1509" w:type="pct"/>
            <w:vAlign w:val="center"/>
          </w:tcPr>
          <w:p w:rsidR="00EE4502" w:rsidRDefault="00FD45A3">
            <w:pPr>
              <w:jc w:val="center"/>
              <w:rPr>
                <w:bCs/>
                <w:szCs w:val="21"/>
              </w:rPr>
            </w:pPr>
            <w:r>
              <w:rPr>
                <w:rFonts w:hint="eastAsia"/>
                <w:szCs w:val="21"/>
              </w:rPr>
              <w:t>总硬度（</w:t>
            </w:r>
            <w:r>
              <w:rPr>
                <w:szCs w:val="21"/>
              </w:rPr>
              <w:t>mg/L</w:t>
            </w:r>
            <w:r>
              <w:rPr>
                <w:rFonts w:hint="eastAsia"/>
                <w:szCs w:val="21"/>
              </w:rPr>
              <w:t>）</w:t>
            </w:r>
          </w:p>
        </w:tc>
        <w:tc>
          <w:tcPr>
            <w:tcW w:w="628" w:type="pct"/>
            <w:vAlign w:val="center"/>
          </w:tcPr>
          <w:p w:rsidR="00EE4502" w:rsidRDefault="00FD45A3">
            <w:pPr>
              <w:jc w:val="center"/>
              <w:rPr>
                <w:bCs/>
                <w:szCs w:val="21"/>
              </w:rPr>
            </w:pPr>
            <w:r>
              <w:rPr>
                <w:szCs w:val="21"/>
              </w:rPr>
              <w:t>≤450</w:t>
            </w:r>
          </w:p>
        </w:tc>
        <w:tc>
          <w:tcPr>
            <w:tcW w:w="428" w:type="pct"/>
            <w:vAlign w:val="center"/>
          </w:tcPr>
          <w:p w:rsidR="00EE4502" w:rsidRDefault="00FD45A3">
            <w:pPr>
              <w:jc w:val="center"/>
              <w:rPr>
                <w:bCs/>
                <w:szCs w:val="21"/>
              </w:rPr>
            </w:pPr>
            <w:r>
              <w:rPr>
                <w:rFonts w:hint="eastAsia"/>
                <w:bCs/>
                <w:szCs w:val="21"/>
              </w:rPr>
              <w:t>2</w:t>
            </w:r>
            <w:r>
              <w:rPr>
                <w:bCs/>
                <w:szCs w:val="21"/>
              </w:rPr>
              <w:t>2</w:t>
            </w:r>
          </w:p>
        </w:tc>
        <w:tc>
          <w:tcPr>
            <w:tcW w:w="1445" w:type="pct"/>
            <w:vAlign w:val="center"/>
          </w:tcPr>
          <w:p w:rsidR="00EE4502" w:rsidRDefault="00FD45A3">
            <w:pPr>
              <w:jc w:val="center"/>
              <w:rPr>
                <w:bCs/>
                <w:szCs w:val="21"/>
              </w:rPr>
            </w:pPr>
            <w:r>
              <w:rPr>
                <w:rFonts w:hint="eastAsia"/>
                <w:szCs w:val="21"/>
              </w:rPr>
              <w:t>汞（</w:t>
            </w:r>
            <w:r>
              <w:rPr>
                <w:szCs w:val="21"/>
              </w:rPr>
              <w:t>mg/L</w:t>
            </w:r>
            <w:r>
              <w:rPr>
                <w:rFonts w:hint="eastAsia"/>
                <w:szCs w:val="21"/>
              </w:rPr>
              <w:t>）</w:t>
            </w:r>
          </w:p>
        </w:tc>
        <w:tc>
          <w:tcPr>
            <w:tcW w:w="563" w:type="pct"/>
            <w:vAlign w:val="center"/>
          </w:tcPr>
          <w:p w:rsidR="00EE4502" w:rsidRDefault="00FD45A3">
            <w:pPr>
              <w:jc w:val="center"/>
              <w:rPr>
                <w:bCs/>
                <w:szCs w:val="21"/>
              </w:rPr>
            </w:pPr>
            <w:r>
              <w:rPr>
                <w:szCs w:val="21"/>
              </w:rPr>
              <w:t>≤0.001</w:t>
            </w:r>
          </w:p>
        </w:tc>
      </w:tr>
      <w:tr w:rsidR="00EE4502">
        <w:trPr>
          <w:trHeight w:val="340"/>
          <w:jc w:val="center"/>
        </w:trPr>
        <w:tc>
          <w:tcPr>
            <w:tcW w:w="428" w:type="pct"/>
            <w:vAlign w:val="center"/>
          </w:tcPr>
          <w:p w:rsidR="00EE4502" w:rsidRDefault="00FD45A3">
            <w:pPr>
              <w:jc w:val="center"/>
              <w:rPr>
                <w:bCs/>
                <w:szCs w:val="21"/>
              </w:rPr>
            </w:pPr>
            <w:r>
              <w:rPr>
                <w:bCs/>
                <w:szCs w:val="21"/>
              </w:rPr>
              <w:t>3</w:t>
            </w:r>
          </w:p>
        </w:tc>
        <w:tc>
          <w:tcPr>
            <w:tcW w:w="1509" w:type="pct"/>
            <w:vAlign w:val="center"/>
          </w:tcPr>
          <w:p w:rsidR="00EE4502" w:rsidRDefault="00FD45A3">
            <w:pPr>
              <w:jc w:val="center"/>
              <w:rPr>
                <w:bCs/>
                <w:szCs w:val="21"/>
              </w:rPr>
            </w:pPr>
            <w:r>
              <w:rPr>
                <w:rFonts w:hint="eastAsia"/>
                <w:szCs w:val="21"/>
              </w:rPr>
              <w:t>氯化物（</w:t>
            </w:r>
            <w:r>
              <w:rPr>
                <w:szCs w:val="21"/>
              </w:rPr>
              <w:t>mg/L</w:t>
            </w:r>
            <w:r>
              <w:rPr>
                <w:rFonts w:hint="eastAsia"/>
                <w:szCs w:val="21"/>
              </w:rPr>
              <w:t>）</w:t>
            </w:r>
          </w:p>
        </w:tc>
        <w:tc>
          <w:tcPr>
            <w:tcW w:w="628" w:type="pct"/>
            <w:vAlign w:val="center"/>
          </w:tcPr>
          <w:p w:rsidR="00EE4502" w:rsidRDefault="00FD45A3">
            <w:pPr>
              <w:jc w:val="center"/>
              <w:rPr>
                <w:bCs/>
                <w:szCs w:val="21"/>
              </w:rPr>
            </w:pPr>
            <w:r>
              <w:rPr>
                <w:szCs w:val="21"/>
              </w:rPr>
              <w:t>≤250</w:t>
            </w:r>
          </w:p>
        </w:tc>
        <w:tc>
          <w:tcPr>
            <w:tcW w:w="428" w:type="pct"/>
            <w:vAlign w:val="center"/>
          </w:tcPr>
          <w:p w:rsidR="00EE4502" w:rsidRDefault="00FD45A3">
            <w:pPr>
              <w:jc w:val="center"/>
              <w:rPr>
                <w:bCs/>
                <w:szCs w:val="21"/>
              </w:rPr>
            </w:pPr>
            <w:r>
              <w:rPr>
                <w:rFonts w:hint="eastAsia"/>
                <w:bCs/>
                <w:szCs w:val="21"/>
              </w:rPr>
              <w:t>2</w:t>
            </w:r>
            <w:r>
              <w:rPr>
                <w:bCs/>
                <w:szCs w:val="21"/>
              </w:rPr>
              <w:t>3</w:t>
            </w:r>
          </w:p>
        </w:tc>
        <w:tc>
          <w:tcPr>
            <w:tcW w:w="1445" w:type="pct"/>
            <w:vAlign w:val="center"/>
          </w:tcPr>
          <w:p w:rsidR="00EE4502" w:rsidRDefault="00FD45A3">
            <w:pPr>
              <w:jc w:val="center"/>
              <w:rPr>
                <w:bCs/>
                <w:szCs w:val="21"/>
              </w:rPr>
            </w:pPr>
            <w:r>
              <w:rPr>
                <w:rFonts w:hint="eastAsia"/>
                <w:szCs w:val="21"/>
              </w:rPr>
              <w:t>碘化物（</w:t>
            </w:r>
            <w:r>
              <w:rPr>
                <w:szCs w:val="21"/>
              </w:rPr>
              <w:t>mg/L</w:t>
            </w:r>
            <w:r>
              <w:rPr>
                <w:rFonts w:hint="eastAsia"/>
                <w:szCs w:val="21"/>
              </w:rPr>
              <w:t>）</w:t>
            </w:r>
          </w:p>
        </w:tc>
        <w:tc>
          <w:tcPr>
            <w:tcW w:w="563" w:type="pct"/>
            <w:vAlign w:val="center"/>
          </w:tcPr>
          <w:p w:rsidR="00EE4502" w:rsidRDefault="00FD45A3">
            <w:pPr>
              <w:jc w:val="center"/>
              <w:rPr>
                <w:bCs/>
                <w:szCs w:val="21"/>
              </w:rPr>
            </w:pPr>
            <w:r>
              <w:rPr>
                <w:szCs w:val="21"/>
              </w:rPr>
              <w:t>≤0.08</w:t>
            </w:r>
          </w:p>
        </w:tc>
      </w:tr>
      <w:tr w:rsidR="00EE4502">
        <w:trPr>
          <w:trHeight w:val="340"/>
          <w:jc w:val="center"/>
        </w:trPr>
        <w:tc>
          <w:tcPr>
            <w:tcW w:w="428" w:type="pct"/>
            <w:vAlign w:val="center"/>
          </w:tcPr>
          <w:p w:rsidR="00EE4502" w:rsidRDefault="00FD45A3">
            <w:pPr>
              <w:jc w:val="center"/>
              <w:rPr>
                <w:bCs/>
                <w:szCs w:val="21"/>
              </w:rPr>
            </w:pPr>
            <w:r>
              <w:rPr>
                <w:bCs/>
                <w:szCs w:val="21"/>
              </w:rPr>
              <w:t>4</w:t>
            </w:r>
          </w:p>
        </w:tc>
        <w:tc>
          <w:tcPr>
            <w:tcW w:w="1509" w:type="pct"/>
            <w:vAlign w:val="center"/>
          </w:tcPr>
          <w:p w:rsidR="00EE4502" w:rsidRDefault="00FD45A3">
            <w:pPr>
              <w:jc w:val="center"/>
              <w:rPr>
                <w:bCs/>
                <w:szCs w:val="21"/>
              </w:rPr>
            </w:pPr>
            <w:r>
              <w:rPr>
                <w:rFonts w:hint="eastAsia"/>
                <w:szCs w:val="21"/>
              </w:rPr>
              <w:t>挥发酚（</w:t>
            </w:r>
            <w:r>
              <w:rPr>
                <w:szCs w:val="21"/>
              </w:rPr>
              <w:t>mg/L</w:t>
            </w:r>
            <w:r>
              <w:rPr>
                <w:rFonts w:hint="eastAsia"/>
                <w:szCs w:val="21"/>
              </w:rPr>
              <w:t>）</w:t>
            </w:r>
          </w:p>
        </w:tc>
        <w:tc>
          <w:tcPr>
            <w:tcW w:w="628" w:type="pct"/>
            <w:vAlign w:val="center"/>
          </w:tcPr>
          <w:p w:rsidR="00EE4502" w:rsidRDefault="00FD45A3">
            <w:pPr>
              <w:jc w:val="center"/>
              <w:rPr>
                <w:bCs/>
                <w:szCs w:val="21"/>
              </w:rPr>
            </w:pPr>
            <w:r>
              <w:rPr>
                <w:szCs w:val="21"/>
              </w:rPr>
              <w:t>≤0.002</w:t>
            </w:r>
          </w:p>
        </w:tc>
        <w:tc>
          <w:tcPr>
            <w:tcW w:w="428" w:type="pct"/>
            <w:vAlign w:val="center"/>
          </w:tcPr>
          <w:p w:rsidR="00EE4502" w:rsidRDefault="00FD45A3">
            <w:pPr>
              <w:jc w:val="center"/>
              <w:rPr>
                <w:bCs/>
                <w:szCs w:val="21"/>
              </w:rPr>
            </w:pPr>
            <w:r>
              <w:rPr>
                <w:rFonts w:hint="eastAsia"/>
                <w:bCs/>
                <w:szCs w:val="21"/>
              </w:rPr>
              <w:t>2</w:t>
            </w:r>
            <w:r>
              <w:rPr>
                <w:bCs/>
                <w:szCs w:val="21"/>
              </w:rPr>
              <w:t>4</w:t>
            </w:r>
          </w:p>
        </w:tc>
        <w:tc>
          <w:tcPr>
            <w:tcW w:w="1445" w:type="pct"/>
            <w:vAlign w:val="center"/>
          </w:tcPr>
          <w:p w:rsidR="00EE4502" w:rsidRDefault="00FD45A3">
            <w:pPr>
              <w:jc w:val="center"/>
              <w:rPr>
                <w:bCs/>
                <w:szCs w:val="21"/>
              </w:rPr>
            </w:pPr>
            <w:r>
              <w:rPr>
                <w:rFonts w:hint="eastAsia"/>
                <w:szCs w:val="21"/>
              </w:rPr>
              <w:t>钠（</w:t>
            </w:r>
            <w:r>
              <w:rPr>
                <w:szCs w:val="21"/>
              </w:rPr>
              <w:t>mg/L</w:t>
            </w:r>
            <w:r>
              <w:rPr>
                <w:rFonts w:hint="eastAsia"/>
                <w:szCs w:val="21"/>
              </w:rPr>
              <w:t>）</w:t>
            </w:r>
          </w:p>
        </w:tc>
        <w:tc>
          <w:tcPr>
            <w:tcW w:w="563" w:type="pct"/>
            <w:vAlign w:val="center"/>
          </w:tcPr>
          <w:p w:rsidR="00EE4502" w:rsidRDefault="00FD45A3">
            <w:pPr>
              <w:jc w:val="center"/>
              <w:rPr>
                <w:bCs/>
                <w:szCs w:val="21"/>
              </w:rPr>
            </w:pPr>
            <w:r>
              <w:rPr>
                <w:szCs w:val="21"/>
              </w:rPr>
              <w:t>≤200</w:t>
            </w:r>
          </w:p>
        </w:tc>
      </w:tr>
      <w:tr w:rsidR="00EE4502">
        <w:trPr>
          <w:trHeight w:val="340"/>
          <w:jc w:val="center"/>
        </w:trPr>
        <w:tc>
          <w:tcPr>
            <w:tcW w:w="428" w:type="pct"/>
            <w:vAlign w:val="center"/>
          </w:tcPr>
          <w:p w:rsidR="00EE4502" w:rsidRDefault="00FD45A3">
            <w:pPr>
              <w:jc w:val="center"/>
              <w:rPr>
                <w:bCs/>
                <w:szCs w:val="21"/>
              </w:rPr>
            </w:pPr>
            <w:r>
              <w:rPr>
                <w:bCs/>
                <w:szCs w:val="21"/>
              </w:rPr>
              <w:t>5</w:t>
            </w:r>
          </w:p>
        </w:tc>
        <w:tc>
          <w:tcPr>
            <w:tcW w:w="1509" w:type="pct"/>
            <w:vAlign w:val="center"/>
          </w:tcPr>
          <w:p w:rsidR="00EE4502" w:rsidRDefault="00FD45A3">
            <w:pPr>
              <w:jc w:val="center"/>
              <w:rPr>
                <w:bCs/>
                <w:szCs w:val="21"/>
              </w:rPr>
            </w:pPr>
            <w:r>
              <w:rPr>
                <w:rFonts w:hint="eastAsia"/>
                <w:szCs w:val="21"/>
              </w:rPr>
              <w:t>氨氮（</w:t>
            </w:r>
            <w:r>
              <w:rPr>
                <w:szCs w:val="21"/>
              </w:rPr>
              <w:t>mg/L</w:t>
            </w:r>
            <w:r>
              <w:rPr>
                <w:rFonts w:hint="eastAsia"/>
                <w:szCs w:val="21"/>
              </w:rPr>
              <w:t>）</w:t>
            </w:r>
          </w:p>
        </w:tc>
        <w:tc>
          <w:tcPr>
            <w:tcW w:w="628" w:type="pct"/>
            <w:vAlign w:val="center"/>
          </w:tcPr>
          <w:p w:rsidR="00EE4502" w:rsidRDefault="00FD45A3">
            <w:pPr>
              <w:jc w:val="center"/>
              <w:rPr>
                <w:bCs/>
                <w:szCs w:val="21"/>
              </w:rPr>
            </w:pPr>
            <w:r>
              <w:rPr>
                <w:szCs w:val="21"/>
              </w:rPr>
              <w:t>≤0.50</w:t>
            </w:r>
          </w:p>
        </w:tc>
        <w:tc>
          <w:tcPr>
            <w:tcW w:w="428" w:type="pct"/>
            <w:vAlign w:val="center"/>
          </w:tcPr>
          <w:p w:rsidR="00EE4502" w:rsidRDefault="00FD45A3">
            <w:pPr>
              <w:jc w:val="center"/>
              <w:rPr>
                <w:bCs/>
                <w:szCs w:val="21"/>
              </w:rPr>
            </w:pPr>
            <w:r>
              <w:rPr>
                <w:rFonts w:hint="eastAsia"/>
                <w:bCs/>
                <w:szCs w:val="21"/>
              </w:rPr>
              <w:t>2</w:t>
            </w:r>
            <w:r>
              <w:rPr>
                <w:bCs/>
                <w:szCs w:val="21"/>
              </w:rPr>
              <w:t>5</w:t>
            </w:r>
          </w:p>
        </w:tc>
        <w:tc>
          <w:tcPr>
            <w:tcW w:w="1445" w:type="pct"/>
            <w:vAlign w:val="center"/>
          </w:tcPr>
          <w:p w:rsidR="00EE4502" w:rsidRDefault="00FD45A3">
            <w:pPr>
              <w:jc w:val="center"/>
              <w:rPr>
                <w:bCs/>
                <w:szCs w:val="21"/>
              </w:rPr>
            </w:pPr>
            <w:r>
              <w:rPr>
                <w:rFonts w:hint="eastAsia"/>
                <w:szCs w:val="21"/>
              </w:rPr>
              <w:t>阴离子表面活性剂（</w:t>
            </w:r>
            <w:r>
              <w:rPr>
                <w:szCs w:val="21"/>
              </w:rPr>
              <w:t>mg/L</w:t>
            </w:r>
            <w:r>
              <w:rPr>
                <w:rFonts w:hint="eastAsia"/>
                <w:szCs w:val="21"/>
              </w:rPr>
              <w:t>）</w:t>
            </w:r>
          </w:p>
        </w:tc>
        <w:tc>
          <w:tcPr>
            <w:tcW w:w="563" w:type="pct"/>
            <w:vAlign w:val="center"/>
          </w:tcPr>
          <w:p w:rsidR="00EE4502" w:rsidRDefault="00FD45A3">
            <w:pPr>
              <w:jc w:val="center"/>
              <w:rPr>
                <w:bCs/>
                <w:szCs w:val="21"/>
              </w:rPr>
            </w:pPr>
            <w:r>
              <w:rPr>
                <w:szCs w:val="21"/>
              </w:rPr>
              <w:t>≤0.3</w:t>
            </w:r>
          </w:p>
        </w:tc>
      </w:tr>
      <w:tr w:rsidR="00EE4502">
        <w:trPr>
          <w:trHeight w:val="340"/>
          <w:jc w:val="center"/>
        </w:trPr>
        <w:tc>
          <w:tcPr>
            <w:tcW w:w="428" w:type="pct"/>
            <w:vAlign w:val="center"/>
          </w:tcPr>
          <w:p w:rsidR="00EE4502" w:rsidRDefault="00FD45A3">
            <w:pPr>
              <w:jc w:val="center"/>
              <w:rPr>
                <w:bCs/>
                <w:szCs w:val="21"/>
              </w:rPr>
            </w:pPr>
            <w:r>
              <w:rPr>
                <w:bCs/>
                <w:szCs w:val="21"/>
              </w:rPr>
              <w:t>6</w:t>
            </w:r>
          </w:p>
        </w:tc>
        <w:tc>
          <w:tcPr>
            <w:tcW w:w="1509" w:type="pct"/>
            <w:vAlign w:val="center"/>
          </w:tcPr>
          <w:p w:rsidR="00EE4502" w:rsidRDefault="00FD45A3">
            <w:pPr>
              <w:jc w:val="center"/>
              <w:rPr>
                <w:bCs/>
                <w:szCs w:val="21"/>
              </w:rPr>
            </w:pPr>
            <w:r>
              <w:rPr>
                <w:rFonts w:hint="eastAsia"/>
                <w:szCs w:val="21"/>
              </w:rPr>
              <w:t>氰化物（</w:t>
            </w:r>
            <w:r>
              <w:rPr>
                <w:szCs w:val="21"/>
              </w:rPr>
              <w:t>mg/L</w:t>
            </w:r>
            <w:r>
              <w:rPr>
                <w:rFonts w:hint="eastAsia"/>
                <w:szCs w:val="21"/>
              </w:rPr>
              <w:t>）</w:t>
            </w:r>
          </w:p>
        </w:tc>
        <w:tc>
          <w:tcPr>
            <w:tcW w:w="628" w:type="pct"/>
            <w:vAlign w:val="center"/>
          </w:tcPr>
          <w:p w:rsidR="00EE4502" w:rsidRDefault="00FD45A3">
            <w:pPr>
              <w:jc w:val="center"/>
              <w:rPr>
                <w:bCs/>
                <w:szCs w:val="21"/>
              </w:rPr>
            </w:pPr>
            <w:r>
              <w:rPr>
                <w:szCs w:val="21"/>
              </w:rPr>
              <w:t>≤0.05</w:t>
            </w:r>
          </w:p>
        </w:tc>
        <w:tc>
          <w:tcPr>
            <w:tcW w:w="428" w:type="pct"/>
            <w:vAlign w:val="center"/>
          </w:tcPr>
          <w:p w:rsidR="00EE4502" w:rsidRDefault="00FD45A3">
            <w:pPr>
              <w:jc w:val="center"/>
              <w:rPr>
                <w:bCs/>
                <w:szCs w:val="21"/>
              </w:rPr>
            </w:pPr>
            <w:r>
              <w:rPr>
                <w:rFonts w:hint="eastAsia"/>
                <w:bCs/>
                <w:szCs w:val="21"/>
              </w:rPr>
              <w:t>2</w:t>
            </w:r>
            <w:r>
              <w:rPr>
                <w:bCs/>
                <w:szCs w:val="21"/>
              </w:rPr>
              <w:t>6</w:t>
            </w:r>
          </w:p>
        </w:tc>
        <w:tc>
          <w:tcPr>
            <w:tcW w:w="1445" w:type="pct"/>
            <w:vAlign w:val="center"/>
          </w:tcPr>
          <w:p w:rsidR="00EE4502" w:rsidRDefault="00FD45A3">
            <w:pPr>
              <w:jc w:val="center"/>
              <w:rPr>
                <w:bCs/>
                <w:szCs w:val="21"/>
              </w:rPr>
            </w:pPr>
            <w:r>
              <w:rPr>
                <w:rFonts w:hint="eastAsia"/>
                <w:szCs w:val="21"/>
              </w:rPr>
              <w:t>铝（</w:t>
            </w:r>
            <w:r>
              <w:rPr>
                <w:szCs w:val="21"/>
              </w:rPr>
              <w:t>mg/L</w:t>
            </w:r>
            <w:r>
              <w:rPr>
                <w:rFonts w:hint="eastAsia"/>
                <w:szCs w:val="21"/>
              </w:rPr>
              <w:t>）</w:t>
            </w:r>
          </w:p>
        </w:tc>
        <w:tc>
          <w:tcPr>
            <w:tcW w:w="563" w:type="pct"/>
            <w:vAlign w:val="center"/>
          </w:tcPr>
          <w:p w:rsidR="00EE4502" w:rsidRDefault="00FD45A3">
            <w:pPr>
              <w:jc w:val="center"/>
              <w:rPr>
                <w:bCs/>
                <w:szCs w:val="21"/>
              </w:rPr>
            </w:pPr>
            <w:r>
              <w:rPr>
                <w:szCs w:val="21"/>
              </w:rPr>
              <w:t>≤0.2</w:t>
            </w:r>
          </w:p>
        </w:tc>
      </w:tr>
      <w:tr w:rsidR="00EE4502">
        <w:trPr>
          <w:trHeight w:val="340"/>
          <w:jc w:val="center"/>
        </w:trPr>
        <w:tc>
          <w:tcPr>
            <w:tcW w:w="428" w:type="pct"/>
            <w:vAlign w:val="center"/>
          </w:tcPr>
          <w:p w:rsidR="00EE4502" w:rsidRDefault="00FD45A3">
            <w:pPr>
              <w:jc w:val="center"/>
              <w:rPr>
                <w:bCs/>
                <w:szCs w:val="21"/>
              </w:rPr>
            </w:pPr>
            <w:r>
              <w:rPr>
                <w:bCs/>
                <w:szCs w:val="21"/>
              </w:rPr>
              <w:t>7</w:t>
            </w:r>
          </w:p>
        </w:tc>
        <w:tc>
          <w:tcPr>
            <w:tcW w:w="1509" w:type="pct"/>
            <w:vAlign w:val="center"/>
          </w:tcPr>
          <w:p w:rsidR="00EE4502" w:rsidRDefault="00FD45A3">
            <w:pPr>
              <w:jc w:val="center"/>
              <w:rPr>
                <w:bCs/>
                <w:szCs w:val="21"/>
              </w:rPr>
            </w:pPr>
            <w:r>
              <w:rPr>
                <w:rFonts w:hint="eastAsia"/>
                <w:szCs w:val="21"/>
              </w:rPr>
              <w:t>硝酸盐氮（</w:t>
            </w:r>
            <w:r>
              <w:rPr>
                <w:szCs w:val="21"/>
              </w:rPr>
              <w:t>mg/L</w:t>
            </w:r>
            <w:r>
              <w:rPr>
                <w:rFonts w:hint="eastAsia"/>
                <w:szCs w:val="21"/>
              </w:rPr>
              <w:t>）</w:t>
            </w:r>
          </w:p>
        </w:tc>
        <w:tc>
          <w:tcPr>
            <w:tcW w:w="628" w:type="pct"/>
            <w:vAlign w:val="center"/>
          </w:tcPr>
          <w:p w:rsidR="00EE4502" w:rsidRDefault="00FD45A3">
            <w:pPr>
              <w:jc w:val="center"/>
              <w:rPr>
                <w:bCs/>
                <w:szCs w:val="21"/>
              </w:rPr>
            </w:pPr>
            <w:r>
              <w:rPr>
                <w:szCs w:val="21"/>
              </w:rPr>
              <w:t>≤20</w:t>
            </w:r>
          </w:p>
        </w:tc>
        <w:tc>
          <w:tcPr>
            <w:tcW w:w="428" w:type="pct"/>
            <w:vAlign w:val="center"/>
          </w:tcPr>
          <w:p w:rsidR="00EE4502" w:rsidRDefault="00FD45A3">
            <w:pPr>
              <w:jc w:val="center"/>
              <w:rPr>
                <w:bCs/>
                <w:szCs w:val="21"/>
              </w:rPr>
            </w:pPr>
            <w:r>
              <w:rPr>
                <w:rFonts w:hint="eastAsia"/>
                <w:bCs/>
                <w:szCs w:val="21"/>
              </w:rPr>
              <w:t>2</w:t>
            </w:r>
            <w:r>
              <w:rPr>
                <w:bCs/>
                <w:szCs w:val="21"/>
              </w:rPr>
              <w:t>7</w:t>
            </w:r>
          </w:p>
        </w:tc>
        <w:tc>
          <w:tcPr>
            <w:tcW w:w="1445" w:type="pct"/>
            <w:vAlign w:val="center"/>
          </w:tcPr>
          <w:p w:rsidR="00EE4502" w:rsidRDefault="00FD45A3">
            <w:pPr>
              <w:jc w:val="center"/>
              <w:rPr>
                <w:bCs/>
                <w:szCs w:val="21"/>
              </w:rPr>
            </w:pPr>
            <w:r>
              <w:rPr>
                <w:rFonts w:hint="eastAsia"/>
                <w:szCs w:val="21"/>
              </w:rPr>
              <w:t>锌（</w:t>
            </w:r>
            <w:r>
              <w:rPr>
                <w:szCs w:val="21"/>
              </w:rPr>
              <w:t>mg/L</w:t>
            </w:r>
            <w:r>
              <w:rPr>
                <w:rFonts w:hint="eastAsia"/>
                <w:szCs w:val="21"/>
              </w:rPr>
              <w:t>）</w:t>
            </w:r>
          </w:p>
        </w:tc>
        <w:tc>
          <w:tcPr>
            <w:tcW w:w="563" w:type="pct"/>
            <w:vAlign w:val="center"/>
          </w:tcPr>
          <w:p w:rsidR="00EE4502" w:rsidRDefault="00FD45A3">
            <w:pPr>
              <w:jc w:val="center"/>
              <w:rPr>
                <w:bCs/>
                <w:szCs w:val="21"/>
              </w:rPr>
            </w:pPr>
            <w:r>
              <w:rPr>
                <w:szCs w:val="21"/>
              </w:rPr>
              <w:t>≤1.0</w:t>
            </w:r>
          </w:p>
        </w:tc>
      </w:tr>
      <w:tr w:rsidR="00EE4502">
        <w:trPr>
          <w:trHeight w:val="340"/>
          <w:jc w:val="center"/>
        </w:trPr>
        <w:tc>
          <w:tcPr>
            <w:tcW w:w="428" w:type="pct"/>
            <w:vAlign w:val="center"/>
          </w:tcPr>
          <w:p w:rsidR="00EE4502" w:rsidRDefault="00FD45A3">
            <w:pPr>
              <w:jc w:val="center"/>
              <w:rPr>
                <w:bCs/>
                <w:szCs w:val="21"/>
              </w:rPr>
            </w:pPr>
            <w:r>
              <w:rPr>
                <w:bCs/>
                <w:szCs w:val="21"/>
              </w:rPr>
              <w:t>8</w:t>
            </w:r>
          </w:p>
        </w:tc>
        <w:tc>
          <w:tcPr>
            <w:tcW w:w="1509" w:type="pct"/>
            <w:vAlign w:val="center"/>
          </w:tcPr>
          <w:p w:rsidR="00EE4502" w:rsidRDefault="00FD45A3">
            <w:pPr>
              <w:jc w:val="center"/>
              <w:rPr>
                <w:bCs/>
                <w:szCs w:val="21"/>
              </w:rPr>
            </w:pPr>
            <w:r>
              <w:rPr>
                <w:rFonts w:hint="eastAsia"/>
                <w:szCs w:val="21"/>
              </w:rPr>
              <w:t>亚硝酸盐氮（</w:t>
            </w:r>
            <w:r>
              <w:rPr>
                <w:szCs w:val="21"/>
              </w:rPr>
              <w:t>mg/L</w:t>
            </w:r>
            <w:r>
              <w:rPr>
                <w:rFonts w:hint="eastAsia"/>
                <w:szCs w:val="21"/>
              </w:rPr>
              <w:t>）</w:t>
            </w:r>
          </w:p>
        </w:tc>
        <w:tc>
          <w:tcPr>
            <w:tcW w:w="628" w:type="pct"/>
            <w:vAlign w:val="center"/>
          </w:tcPr>
          <w:p w:rsidR="00EE4502" w:rsidRDefault="00FD45A3">
            <w:pPr>
              <w:jc w:val="center"/>
              <w:rPr>
                <w:bCs/>
                <w:szCs w:val="21"/>
              </w:rPr>
            </w:pPr>
            <w:r>
              <w:rPr>
                <w:szCs w:val="21"/>
              </w:rPr>
              <w:t>≤1.0</w:t>
            </w:r>
          </w:p>
        </w:tc>
        <w:tc>
          <w:tcPr>
            <w:tcW w:w="428" w:type="pct"/>
            <w:vAlign w:val="center"/>
          </w:tcPr>
          <w:p w:rsidR="00EE4502" w:rsidRDefault="00FD45A3">
            <w:pPr>
              <w:jc w:val="center"/>
              <w:rPr>
                <w:bCs/>
                <w:szCs w:val="21"/>
              </w:rPr>
            </w:pPr>
            <w:r>
              <w:rPr>
                <w:rFonts w:hint="eastAsia"/>
                <w:bCs/>
                <w:szCs w:val="21"/>
              </w:rPr>
              <w:t>2</w:t>
            </w:r>
            <w:r>
              <w:rPr>
                <w:bCs/>
                <w:szCs w:val="21"/>
              </w:rPr>
              <w:t>8</w:t>
            </w:r>
          </w:p>
        </w:tc>
        <w:tc>
          <w:tcPr>
            <w:tcW w:w="1445" w:type="pct"/>
            <w:tcBorders>
              <w:bottom w:val="single" w:sz="4" w:space="0" w:color="auto"/>
            </w:tcBorders>
            <w:vAlign w:val="center"/>
          </w:tcPr>
          <w:p w:rsidR="00EE4502" w:rsidRDefault="00FD45A3">
            <w:pPr>
              <w:jc w:val="center"/>
              <w:rPr>
                <w:bCs/>
                <w:szCs w:val="21"/>
              </w:rPr>
            </w:pPr>
            <w:r>
              <w:rPr>
                <w:rFonts w:hint="eastAsia"/>
                <w:szCs w:val="21"/>
              </w:rPr>
              <w:t>锰（</w:t>
            </w:r>
            <w:r>
              <w:rPr>
                <w:szCs w:val="21"/>
              </w:rPr>
              <w:t>mg/L</w:t>
            </w:r>
            <w:r>
              <w:rPr>
                <w:rFonts w:hint="eastAsia"/>
                <w:szCs w:val="21"/>
              </w:rPr>
              <w:t>）</w:t>
            </w:r>
          </w:p>
        </w:tc>
        <w:tc>
          <w:tcPr>
            <w:tcW w:w="563" w:type="pct"/>
            <w:tcBorders>
              <w:bottom w:val="single" w:sz="4" w:space="0" w:color="auto"/>
            </w:tcBorders>
            <w:vAlign w:val="center"/>
          </w:tcPr>
          <w:p w:rsidR="00EE4502" w:rsidRDefault="00FD45A3">
            <w:pPr>
              <w:jc w:val="center"/>
              <w:rPr>
                <w:bCs/>
                <w:szCs w:val="21"/>
              </w:rPr>
            </w:pPr>
            <w:r>
              <w:rPr>
                <w:szCs w:val="21"/>
              </w:rPr>
              <w:t>≤0.10</w:t>
            </w:r>
          </w:p>
        </w:tc>
      </w:tr>
      <w:tr w:rsidR="00EE4502">
        <w:trPr>
          <w:trHeight w:val="340"/>
          <w:jc w:val="center"/>
        </w:trPr>
        <w:tc>
          <w:tcPr>
            <w:tcW w:w="428" w:type="pct"/>
            <w:vAlign w:val="center"/>
          </w:tcPr>
          <w:p w:rsidR="00EE4502" w:rsidRDefault="00FD45A3">
            <w:pPr>
              <w:jc w:val="center"/>
              <w:rPr>
                <w:bCs/>
                <w:szCs w:val="21"/>
              </w:rPr>
            </w:pPr>
            <w:r>
              <w:rPr>
                <w:bCs/>
                <w:szCs w:val="21"/>
              </w:rPr>
              <w:t>9</w:t>
            </w:r>
          </w:p>
        </w:tc>
        <w:tc>
          <w:tcPr>
            <w:tcW w:w="1509" w:type="pct"/>
            <w:vAlign w:val="center"/>
          </w:tcPr>
          <w:p w:rsidR="00EE4502" w:rsidRDefault="00FD45A3">
            <w:pPr>
              <w:jc w:val="center"/>
              <w:rPr>
                <w:bCs/>
                <w:szCs w:val="21"/>
              </w:rPr>
            </w:pPr>
            <w:r>
              <w:rPr>
                <w:rFonts w:hint="eastAsia"/>
                <w:szCs w:val="21"/>
              </w:rPr>
              <w:t>氟化物（</w:t>
            </w:r>
            <w:r>
              <w:rPr>
                <w:szCs w:val="21"/>
              </w:rPr>
              <w:t>mg/L</w:t>
            </w:r>
            <w:r>
              <w:rPr>
                <w:rFonts w:hint="eastAsia"/>
                <w:szCs w:val="21"/>
              </w:rPr>
              <w:t>）</w:t>
            </w:r>
          </w:p>
        </w:tc>
        <w:tc>
          <w:tcPr>
            <w:tcW w:w="628" w:type="pct"/>
            <w:vAlign w:val="center"/>
          </w:tcPr>
          <w:p w:rsidR="00EE4502" w:rsidRDefault="00FD45A3">
            <w:pPr>
              <w:jc w:val="center"/>
              <w:rPr>
                <w:bCs/>
                <w:szCs w:val="21"/>
              </w:rPr>
            </w:pPr>
            <w:r>
              <w:rPr>
                <w:szCs w:val="21"/>
              </w:rPr>
              <w:t>≤1.0</w:t>
            </w:r>
          </w:p>
        </w:tc>
        <w:tc>
          <w:tcPr>
            <w:tcW w:w="428" w:type="pct"/>
            <w:vAlign w:val="center"/>
          </w:tcPr>
          <w:p w:rsidR="00EE4502" w:rsidRDefault="00FD45A3">
            <w:pPr>
              <w:jc w:val="center"/>
              <w:rPr>
                <w:bCs/>
                <w:szCs w:val="21"/>
              </w:rPr>
            </w:pPr>
            <w:r>
              <w:rPr>
                <w:rFonts w:hint="eastAsia"/>
                <w:bCs/>
                <w:szCs w:val="21"/>
              </w:rPr>
              <w:t>2</w:t>
            </w:r>
            <w:r>
              <w:rPr>
                <w:bCs/>
                <w:szCs w:val="21"/>
              </w:rPr>
              <w:t>9</w:t>
            </w:r>
          </w:p>
        </w:tc>
        <w:tc>
          <w:tcPr>
            <w:tcW w:w="1445" w:type="pct"/>
            <w:tcBorders>
              <w:top w:val="single" w:sz="4" w:space="0" w:color="auto"/>
            </w:tcBorders>
            <w:vAlign w:val="center"/>
          </w:tcPr>
          <w:p w:rsidR="00EE4502" w:rsidRDefault="00FD45A3">
            <w:pPr>
              <w:jc w:val="center"/>
              <w:rPr>
                <w:bCs/>
                <w:szCs w:val="21"/>
              </w:rPr>
            </w:pPr>
            <w:r>
              <w:rPr>
                <w:rFonts w:hint="eastAsia"/>
                <w:szCs w:val="21"/>
              </w:rPr>
              <w:t>铁（</w:t>
            </w:r>
            <w:r>
              <w:rPr>
                <w:szCs w:val="21"/>
              </w:rPr>
              <w:t>mg/L</w:t>
            </w:r>
            <w:r>
              <w:rPr>
                <w:rFonts w:hint="eastAsia"/>
                <w:szCs w:val="21"/>
              </w:rPr>
              <w:t>）</w:t>
            </w:r>
          </w:p>
        </w:tc>
        <w:tc>
          <w:tcPr>
            <w:tcW w:w="563" w:type="pct"/>
            <w:tcBorders>
              <w:top w:val="single" w:sz="4" w:space="0" w:color="auto"/>
            </w:tcBorders>
            <w:vAlign w:val="center"/>
          </w:tcPr>
          <w:p w:rsidR="00EE4502" w:rsidRDefault="00FD45A3">
            <w:pPr>
              <w:jc w:val="center"/>
              <w:rPr>
                <w:bCs/>
                <w:szCs w:val="21"/>
              </w:rPr>
            </w:pPr>
            <w:r>
              <w:rPr>
                <w:szCs w:val="21"/>
              </w:rPr>
              <w:t>≤0.3</w:t>
            </w:r>
          </w:p>
        </w:tc>
      </w:tr>
      <w:tr w:rsidR="00EE4502">
        <w:trPr>
          <w:trHeight w:val="340"/>
          <w:jc w:val="center"/>
        </w:trPr>
        <w:tc>
          <w:tcPr>
            <w:tcW w:w="428" w:type="pct"/>
            <w:vAlign w:val="center"/>
          </w:tcPr>
          <w:p w:rsidR="00EE4502" w:rsidRDefault="00FD45A3">
            <w:pPr>
              <w:jc w:val="center"/>
              <w:rPr>
                <w:bCs/>
                <w:szCs w:val="21"/>
              </w:rPr>
            </w:pPr>
            <w:r>
              <w:rPr>
                <w:bCs/>
                <w:szCs w:val="21"/>
              </w:rPr>
              <w:t>10</w:t>
            </w:r>
          </w:p>
        </w:tc>
        <w:tc>
          <w:tcPr>
            <w:tcW w:w="1509" w:type="pct"/>
            <w:vAlign w:val="center"/>
          </w:tcPr>
          <w:p w:rsidR="00EE4502" w:rsidRDefault="00FD45A3">
            <w:pPr>
              <w:jc w:val="center"/>
              <w:rPr>
                <w:bCs/>
                <w:szCs w:val="21"/>
              </w:rPr>
            </w:pPr>
            <w:r>
              <w:rPr>
                <w:rFonts w:hint="eastAsia"/>
                <w:szCs w:val="21"/>
              </w:rPr>
              <w:t>硫酸盐（</w:t>
            </w:r>
            <w:r>
              <w:rPr>
                <w:szCs w:val="21"/>
              </w:rPr>
              <w:t>mg/L</w:t>
            </w:r>
            <w:r>
              <w:rPr>
                <w:rFonts w:hint="eastAsia"/>
                <w:szCs w:val="21"/>
              </w:rPr>
              <w:t>）</w:t>
            </w:r>
          </w:p>
        </w:tc>
        <w:tc>
          <w:tcPr>
            <w:tcW w:w="628" w:type="pct"/>
            <w:vAlign w:val="center"/>
          </w:tcPr>
          <w:p w:rsidR="00EE4502" w:rsidRDefault="00FD45A3">
            <w:pPr>
              <w:jc w:val="center"/>
              <w:rPr>
                <w:bCs/>
                <w:szCs w:val="21"/>
              </w:rPr>
            </w:pPr>
            <w:r>
              <w:rPr>
                <w:szCs w:val="21"/>
              </w:rPr>
              <w:t>≤250</w:t>
            </w:r>
          </w:p>
        </w:tc>
        <w:tc>
          <w:tcPr>
            <w:tcW w:w="428" w:type="pct"/>
            <w:vAlign w:val="center"/>
          </w:tcPr>
          <w:p w:rsidR="00EE4502" w:rsidRDefault="00FD45A3">
            <w:pPr>
              <w:jc w:val="center"/>
              <w:rPr>
                <w:bCs/>
                <w:szCs w:val="21"/>
              </w:rPr>
            </w:pPr>
            <w:r>
              <w:rPr>
                <w:rFonts w:hint="eastAsia"/>
                <w:bCs/>
                <w:szCs w:val="21"/>
              </w:rPr>
              <w:t>3</w:t>
            </w:r>
            <w:r>
              <w:rPr>
                <w:bCs/>
                <w:szCs w:val="21"/>
              </w:rPr>
              <w:t>0</w:t>
            </w:r>
          </w:p>
        </w:tc>
        <w:tc>
          <w:tcPr>
            <w:tcW w:w="1445" w:type="pct"/>
            <w:tcBorders>
              <w:bottom w:val="single" w:sz="4" w:space="0" w:color="auto"/>
            </w:tcBorders>
            <w:vAlign w:val="center"/>
          </w:tcPr>
          <w:p w:rsidR="00EE4502" w:rsidRDefault="00FD45A3">
            <w:pPr>
              <w:jc w:val="center"/>
              <w:rPr>
                <w:bCs/>
                <w:szCs w:val="21"/>
              </w:rPr>
            </w:pPr>
            <w:r>
              <w:rPr>
                <w:rFonts w:hint="eastAsia"/>
                <w:szCs w:val="21"/>
              </w:rPr>
              <w:t>溶解性总固体（</w:t>
            </w:r>
            <w:r>
              <w:rPr>
                <w:szCs w:val="21"/>
              </w:rPr>
              <w:t>mg/L</w:t>
            </w:r>
            <w:r>
              <w:rPr>
                <w:rFonts w:hint="eastAsia"/>
                <w:szCs w:val="21"/>
              </w:rPr>
              <w:t>）</w:t>
            </w:r>
          </w:p>
        </w:tc>
        <w:tc>
          <w:tcPr>
            <w:tcW w:w="563" w:type="pct"/>
            <w:tcBorders>
              <w:bottom w:val="single" w:sz="4" w:space="0" w:color="auto"/>
            </w:tcBorders>
            <w:vAlign w:val="center"/>
          </w:tcPr>
          <w:p w:rsidR="00EE4502" w:rsidRDefault="00FD45A3">
            <w:pPr>
              <w:jc w:val="center"/>
              <w:rPr>
                <w:bCs/>
                <w:szCs w:val="21"/>
              </w:rPr>
            </w:pPr>
            <w:r>
              <w:rPr>
                <w:szCs w:val="21"/>
              </w:rPr>
              <w:t>≤1000</w:t>
            </w:r>
          </w:p>
        </w:tc>
      </w:tr>
      <w:tr w:rsidR="00EE4502">
        <w:trPr>
          <w:trHeight w:val="340"/>
          <w:jc w:val="center"/>
        </w:trPr>
        <w:tc>
          <w:tcPr>
            <w:tcW w:w="428" w:type="pct"/>
            <w:vAlign w:val="center"/>
          </w:tcPr>
          <w:p w:rsidR="00EE4502" w:rsidRDefault="00FD45A3">
            <w:pPr>
              <w:jc w:val="center"/>
              <w:rPr>
                <w:bCs/>
                <w:szCs w:val="21"/>
              </w:rPr>
            </w:pPr>
            <w:r>
              <w:rPr>
                <w:bCs/>
                <w:szCs w:val="21"/>
              </w:rPr>
              <w:t>11</w:t>
            </w:r>
          </w:p>
        </w:tc>
        <w:tc>
          <w:tcPr>
            <w:tcW w:w="1509" w:type="pct"/>
            <w:vAlign w:val="center"/>
          </w:tcPr>
          <w:p w:rsidR="00EE4502" w:rsidRDefault="00FD45A3">
            <w:pPr>
              <w:jc w:val="center"/>
              <w:rPr>
                <w:bCs/>
                <w:szCs w:val="21"/>
              </w:rPr>
            </w:pPr>
            <w:r>
              <w:rPr>
                <w:rFonts w:hint="eastAsia"/>
                <w:szCs w:val="21"/>
              </w:rPr>
              <w:t>石油类（</w:t>
            </w:r>
            <w:r>
              <w:rPr>
                <w:szCs w:val="21"/>
              </w:rPr>
              <w:t>mg/L</w:t>
            </w:r>
            <w:r>
              <w:rPr>
                <w:rFonts w:hint="eastAsia"/>
                <w:szCs w:val="21"/>
              </w:rPr>
              <w:t>）</w:t>
            </w:r>
          </w:p>
        </w:tc>
        <w:tc>
          <w:tcPr>
            <w:tcW w:w="628" w:type="pct"/>
            <w:vAlign w:val="center"/>
          </w:tcPr>
          <w:p w:rsidR="00EE4502" w:rsidRDefault="00FD45A3">
            <w:pPr>
              <w:jc w:val="center"/>
              <w:rPr>
                <w:bCs/>
                <w:szCs w:val="21"/>
              </w:rPr>
            </w:pPr>
            <w:r>
              <w:rPr>
                <w:szCs w:val="21"/>
              </w:rPr>
              <w:t>≤0.05</w:t>
            </w:r>
          </w:p>
        </w:tc>
        <w:tc>
          <w:tcPr>
            <w:tcW w:w="428" w:type="pct"/>
            <w:vAlign w:val="center"/>
          </w:tcPr>
          <w:p w:rsidR="00EE4502" w:rsidRDefault="00FD45A3">
            <w:pPr>
              <w:jc w:val="center"/>
              <w:rPr>
                <w:bCs/>
                <w:szCs w:val="21"/>
              </w:rPr>
            </w:pPr>
            <w:r>
              <w:rPr>
                <w:rFonts w:hint="eastAsia"/>
                <w:bCs/>
                <w:szCs w:val="21"/>
              </w:rPr>
              <w:t>3</w:t>
            </w:r>
            <w:r>
              <w:rPr>
                <w:bCs/>
                <w:szCs w:val="21"/>
              </w:rPr>
              <w:t>1</w:t>
            </w:r>
          </w:p>
        </w:tc>
        <w:tc>
          <w:tcPr>
            <w:tcW w:w="1445" w:type="pct"/>
            <w:tcBorders>
              <w:top w:val="single" w:sz="4" w:space="0" w:color="auto"/>
              <w:bottom w:val="single" w:sz="4" w:space="0" w:color="auto"/>
            </w:tcBorders>
            <w:vAlign w:val="center"/>
          </w:tcPr>
          <w:p w:rsidR="00EE4502" w:rsidRDefault="00FD45A3">
            <w:pPr>
              <w:jc w:val="center"/>
              <w:rPr>
                <w:bCs/>
                <w:szCs w:val="21"/>
              </w:rPr>
            </w:pPr>
            <w:r>
              <w:rPr>
                <w:rFonts w:hint="eastAsia"/>
                <w:szCs w:val="21"/>
              </w:rPr>
              <w:t>三氯甲烷（</w:t>
            </w:r>
            <w:r>
              <w:rPr>
                <w:rFonts w:hint="eastAsia"/>
                <w:szCs w:val="21"/>
              </w:rPr>
              <w:t>u</w:t>
            </w:r>
            <w:r>
              <w:rPr>
                <w:szCs w:val="21"/>
              </w:rPr>
              <w:t>g/L</w:t>
            </w:r>
            <w:r>
              <w:rPr>
                <w:rFonts w:hint="eastAsia"/>
                <w:szCs w:val="21"/>
              </w:rPr>
              <w:t>）</w:t>
            </w:r>
          </w:p>
        </w:tc>
        <w:tc>
          <w:tcPr>
            <w:tcW w:w="563" w:type="pct"/>
            <w:tcBorders>
              <w:top w:val="single" w:sz="4" w:space="0" w:color="auto"/>
              <w:bottom w:val="single" w:sz="4" w:space="0" w:color="auto"/>
            </w:tcBorders>
            <w:vAlign w:val="center"/>
          </w:tcPr>
          <w:p w:rsidR="00EE4502" w:rsidRDefault="00FD45A3">
            <w:pPr>
              <w:jc w:val="center"/>
              <w:rPr>
                <w:bCs/>
                <w:szCs w:val="21"/>
              </w:rPr>
            </w:pPr>
            <w:r>
              <w:rPr>
                <w:szCs w:val="21"/>
              </w:rPr>
              <w:t>≤60</w:t>
            </w:r>
          </w:p>
        </w:tc>
      </w:tr>
      <w:tr w:rsidR="00EE4502">
        <w:trPr>
          <w:trHeight w:val="340"/>
          <w:jc w:val="center"/>
        </w:trPr>
        <w:tc>
          <w:tcPr>
            <w:tcW w:w="428" w:type="pct"/>
            <w:vAlign w:val="center"/>
          </w:tcPr>
          <w:p w:rsidR="00EE4502" w:rsidRDefault="00FD45A3">
            <w:pPr>
              <w:jc w:val="center"/>
              <w:rPr>
                <w:bCs/>
                <w:szCs w:val="21"/>
              </w:rPr>
            </w:pPr>
            <w:r>
              <w:rPr>
                <w:bCs/>
                <w:szCs w:val="21"/>
              </w:rPr>
              <w:t>12</w:t>
            </w:r>
          </w:p>
        </w:tc>
        <w:tc>
          <w:tcPr>
            <w:tcW w:w="1509" w:type="pct"/>
            <w:vAlign w:val="center"/>
          </w:tcPr>
          <w:p w:rsidR="00EE4502" w:rsidRDefault="00FD45A3">
            <w:pPr>
              <w:jc w:val="center"/>
              <w:rPr>
                <w:bCs/>
                <w:szCs w:val="21"/>
              </w:rPr>
            </w:pPr>
            <w:r>
              <w:rPr>
                <w:rFonts w:hint="eastAsia"/>
                <w:szCs w:val="21"/>
              </w:rPr>
              <w:t>总大肠杆菌（</w:t>
            </w:r>
            <w:r>
              <w:rPr>
                <w:szCs w:val="21"/>
              </w:rPr>
              <w:t>MPN/100mL</w:t>
            </w:r>
            <w:r>
              <w:rPr>
                <w:rFonts w:hint="eastAsia"/>
                <w:szCs w:val="21"/>
              </w:rPr>
              <w:t>）</w:t>
            </w:r>
          </w:p>
        </w:tc>
        <w:tc>
          <w:tcPr>
            <w:tcW w:w="628" w:type="pct"/>
            <w:vAlign w:val="center"/>
          </w:tcPr>
          <w:p w:rsidR="00EE4502" w:rsidRDefault="00FD45A3">
            <w:pPr>
              <w:jc w:val="center"/>
              <w:rPr>
                <w:bCs/>
                <w:szCs w:val="21"/>
              </w:rPr>
            </w:pPr>
            <w:r>
              <w:rPr>
                <w:szCs w:val="21"/>
              </w:rPr>
              <w:t>≤3.0</w:t>
            </w:r>
          </w:p>
        </w:tc>
        <w:tc>
          <w:tcPr>
            <w:tcW w:w="428" w:type="pct"/>
            <w:vAlign w:val="center"/>
          </w:tcPr>
          <w:p w:rsidR="00EE4502" w:rsidRDefault="00FD45A3">
            <w:pPr>
              <w:jc w:val="center"/>
              <w:rPr>
                <w:bCs/>
                <w:szCs w:val="21"/>
              </w:rPr>
            </w:pPr>
            <w:r>
              <w:rPr>
                <w:rFonts w:hint="eastAsia"/>
                <w:bCs/>
                <w:szCs w:val="21"/>
              </w:rPr>
              <w:t>3</w:t>
            </w:r>
            <w:r>
              <w:rPr>
                <w:bCs/>
                <w:szCs w:val="21"/>
              </w:rPr>
              <w:t>2</w:t>
            </w:r>
          </w:p>
        </w:tc>
        <w:tc>
          <w:tcPr>
            <w:tcW w:w="1445" w:type="pct"/>
            <w:tcBorders>
              <w:top w:val="single" w:sz="4" w:space="0" w:color="auto"/>
            </w:tcBorders>
            <w:vAlign w:val="center"/>
          </w:tcPr>
          <w:p w:rsidR="00EE4502" w:rsidRDefault="00FD45A3">
            <w:pPr>
              <w:jc w:val="center"/>
              <w:rPr>
                <w:bCs/>
                <w:szCs w:val="21"/>
              </w:rPr>
            </w:pPr>
            <w:r>
              <w:rPr>
                <w:rFonts w:hint="eastAsia"/>
                <w:szCs w:val="21"/>
              </w:rPr>
              <w:t>四氯化碳（</w:t>
            </w:r>
            <w:r>
              <w:rPr>
                <w:szCs w:val="21"/>
              </w:rPr>
              <w:t>ug/L</w:t>
            </w:r>
            <w:r>
              <w:rPr>
                <w:rFonts w:hint="eastAsia"/>
                <w:szCs w:val="21"/>
              </w:rPr>
              <w:t>）</w:t>
            </w:r>
          </w:p>
        </w:tc>
        <w:tc>
          <w:tcPr>
            <w:tcW w:w="563" w:type="pct"/>
            <w:tcBorders>
              <w:top w:val="single" w:sz="4" w:space="0" w:color="auto"/>
            </w:tcBorders>
            <w:vAlign w:val="center"/>
          </w:tcPr>
          <w:p w:rsidR="00EE4502" w:rsidRDefault="00FD45A3">
            <w:pPr>
              <w:jc w:val="center"/>
              <w:rPr>
                <w:bCs/>
                <w:szCs w:val="21"/>
              </w:rPr>
            </w:pPr>
            <w:r>
              <w:rPr>
                <w:szCs w:val="21"/>
              </w:rPr>
              <w:t>≤2.0</w:t>
            </w:r>
          </w:p>
        </w:tc>
      </w:tr>
      <w:tr w:rsidR="00EE4502">
        <w:trPr>
          <w:trHeight w:val="340"/>
          <w:jc w:val="center"/>
        </w:trPr>
        <w:tc>
          <w:tcPr>
            <w:tcW w:w="428" w:type="pct"/>
            <w:vAlign w:val="center"/>
          </w:tcPr>
          <w:p w:rsidR="00EE4502" w:rsidRDefault="00FD45A3">
            <w:pPr>
              <w:jc w:val="center"/>
              <w:rPr>
                <w:bCs/>
                <w:szCs w:val="21"/>
              </w:rPr>
            </w:pPr>
            <w:r>
              <w:rPr>
                <w:bCs/>
                <w:szCs w:val="21"/>
              </w:rPr>
              <w:t>13</w:t>
            </w:r>
          </w:p>
        </w:tc>
        <w:tc>
          <w:tcPr>
            <w:tcW w:w="1509" w:type="pct"/>
            <w:vAlign w:val="center"/>
          </w:tcPr>
          <w:p w:rsidR="00EE4502" w:rsidRDefault="00FD45A3">
            <w:pPr>
              <w:jc w:val="center"/>
              <w:rPr>
                <w:bCs/>
                <w:szCs w:val="21"/>
              </w:rPr>
            </w:pPr>
            <w:r>
              <w:rPr>
                <w:rFonts w:hint="eastAsia"/>
                <w:szCs w:val="21"/>
              </w:rPr>
              <w:t>细菌总数（</w:t>
            </w:r>
            <w:r>
              <w:rPr>
                <w:szCs w:val="21"/>
              </w:rPr>
              <w:t>CFU/mL</w:t>
            </w:r>
            <w:r>
              <w:rPr>
                <w:rFonts w:hint="eastAsia"/>
                <w:szCs w:val="21"/>
              </w:rPr>
              <w:t>）</w:t>
            </w:r>
          </w:p>
        </w:tc>
        <w:tc>
          <w:tcPr>
            <w:tcW w:w="628" w:type="pct"/>
            <w:vAlign w:val="center"/>
          </w:tcPr>
          <w:p w:rsidR="00EE4502" w:rsidRDefault="00FD45A3">
            <w:pPr>
              <w:jc w:val="center"/>
              <w:rPr>
                <w:bCs/>
                <w:szCs w:val="21"/>
              </w:rPr>
            </w:pPr>
            <w:r>
              <w:rPr>
                <w:szCs w:val="21"/>
              </w:rPr>
              <w:t>≤100</w:t>
            </w:r>
          </w:p>
        </w:tc>
        <w:tc>
          <w:tcPr>
            <w:tcW w:w="428" w:type="pct"/>
            <w:vAlign w:val="center"/>
          </w:tcPr>
          <w:p w:rsidR="00EE4502" w:rsidRDefault="00FD45A3">
            <w:pPr>
              <w:jc w:val="center"/>
              <w:rPr>
                <w:bCs/>
                <w:szCs w:val="21"/>
              </w:rPr>
            </w:pPr>
            <w:r>
              <w:rPr>
                <w:rFonts w:hint="eastAsia"/>
                <w:bCs/>
                <w:szCs w:val="21"/>
              </w:rPr>
              <w:t>3</w:t>
            </w:r>
            <w:r>
              <w:rPr>
                <w:bCs/>
                <w:szCs w:val="21"/>
              </w:rPr>
              <w:t>3</w:t>
            </w:r>
          </w:p>
        </w:tc>
        <w:tc>
          <w:tcPr>
            <w:tcW w:w="1445" w:type="pct"/>
            <w:tcBorders>
              <w:top w:val="single" w:sz="4" w:space="0" w:color="auto"/>
            </w:tcBorders>
            <w:vAlign w:val="center"/>
          </w:tcPr>
          <w:p w:rsidR="00EE4502" w:rsidRDefault="00FD45A3">
            <w:pPr>
              <w:jc w:val="center"/>
              <w:rPr>
                <w:bCs/>
                <w:szCs w:val="21"/>
              </w:rPr>
            </w:pPr>
            <w:r>
              <w:rPr>
                <w:rFonts w:hint="eastAsia"/>
                <w:szCs w:val="21"/>
              </w:rPr>
              <w:t>苯（</w:t>
            </w:r>
            <w:r>
              <w:rPr>
                <w:szCs w:val="21"/>
              </w:rPr>
              <w:t>ug/L</w:t>
            </w:r>
            <w:r>
              <w:rPr>
                <w:rFonts w:hint="eastAsia"/>
                <w:szCs w:val="21"/>
              </w:rPr>
              <w:t>）</w:t>
            </w:r>
          </w:p>
        </w:tc>
        <w:tc>
          <w:tcPr>
            <w:tcW w:w="563" w:type="pct"/>
            <w:vAlign w:val="center"/>
          </w:tcPr>
          <w:p w:rsidR="00EE4502" w:rsidRDefault="00FD45A3">
            <w:pPr>
              <w:jc w:val="center"/>
              <w:rPr>
                <w:bCs/>
                <w:szCs w:val="21"/>
              </w:rPr>
            </w:pPr>
            <w:r>
              <w:rPr>
                <w:szCs w:val="21"/>
              </w:rPr>
              <w:t>≤10</w:t>
            </w:r>
          </w:p>
        </w:tc>
      </w:tr>
      <w:tr w:rsidR="00EE4502">
        <w:trPr>
          <w:trHeight w:val="340"/>
          <w:jc w:val="center"/>
        </w:trPr>
        <w:tc>
          <w:tcPr>
            <w:tcW w:w="428" w:type="pct"/>
            <w:vAlign w:val="center"/>
          </w:tcPr>
          <w:p w:rsidR="00EE4502" w:rsidRDefault="00FD45A3">
            <w:pPr>
              <w:jc w:val="center"/>
              <w:rPr>
                <w:bCs/>
                <w:szCs w:val="21"/>
              </w:rPr>
            </w:pPr>
            <w:r>
              <w:rPr>
                <w:bCs/>
                <w:szCs w:val="21"/>
              </w:rPr>
              <w:t>14</w:t>
            </w:r>
          </w:p>
        </w:tc>
        <w:tc>
          <w:tcPr>
            <w:tcW w:w="1509" w:type="pct"/>
            <w:vAlign w:val="center"/>
          </w:tcPr>
          <w:p w:rsidR="00EE4502" w:rsidRDefault="00FD45A3">
            <w:pPr>
              <w:jc w:val="center"/>
              <w:rPr>
                <w:bCs/>
                <w:szCs w:val="21"/>
              </w:rPr>
            </w:pPr>
            <w:r>
              <w:rPr>
                <w:rFonts w:hint="eastAsia"/>
                <w:szCs w:val="21"/>
              </w:rPr>
              <w:t>耗氧量（</w:t>
            </w:r>
            <w:r>
              <w:rPr>
                <w:szCs w:val="21"/>
              </w:rPr>
              <w:t>mg/L</w:t>
            </w:r>
            <w:r>
              <w:rPr>
                <w:rFonts w:hint="eastAsia"/>
                <w:szCs w:val="21"/>
              </w:rPr>
              <w:t>）</w:t>
            </w:r>
          </w:p>
        </w:tc>
        <w:tc>
          <w:tcPr>
            <w:tcW w:w="628" w:type="pct"/>
            <w:vAlign w:val="center"/>
          </w:tcPr>
          <w:p w:rsidR="00EE4502" w:rsidRDefault="00FD45A3">
            <w:pPr>
              <w:jc w:val="center"/>
              <w:rPr>
                <w:bCs/>
                <w:szCs w:val="21"/>
              </w:rPr>
            </w:pPr>
            <w:r>
              <w:rPr>
                <w:szCs w:val="21"/>
              </w:rPr>
              <w:t>≤3.0</w:t>
            </w:r>
          </w:p>
        </w:tc>
        <w:tc>
          <w:tcPr>
            <w:tcW w:w="428" w:type="pct"/>
            <w:vAlign w:val="center"/>
          </w:tcPr>
          <w:p w:rsidR="00EE4502" w:rsidRDefault="00FD45A3">
            <w:pPr>
              <w:jc w:val="center"/>
              <w:rPr>
                <w:bCs/>
                <w:szCs w:val="21"/>
              </w:rPr>
            </w:pPr>
            <w:r>
              <w:rPr>
                <w:rFonts w:hint="eastAsia"/>
                <w:bCs/>
                <w:szCs w:val="21"/>
              </w:rPr>
              <w:t>3</w:t>
            </w:r>
            <w:r>
              <w:rPr>
                <w:bCs/>
                <w:szCs w:val="21"/>
              </w:rPr>
              <w:t>4</w:t>
            </w:r>
          </w:p>
        </w:tc>
        <w:tc>
          <w:tcPr>
            <w:tcW w:w="1445" w:type="pct"/>
            <w:tcBorders>
              <w:top w:val="single" w:sz="4" w:space="0" w:color="auto"/>
            </w:tcBorders>
            <w:vAlign w:val="center"/>
          </w:tcPr>
          <w:p w:rsidR="00EE4502" w:rsidRDefault="00FD45A3">
            <w:pPr>
              <w:jc w:val="center"/>
              <w:rPr>
                <w:bCs/>
                <w:szCs w:val="21"/>
              </w:rPr>
            </w:pPr>
            <w:r>
              <w:rPr>
                <w:rFonts w:hint="eastAsia"/>
                <w:szCs w:val="21"/>
              </w:rPr>
              <w:t>甲苯（</w:t>
            </w:r>
            <w:r>
              <w:rPr>
                <w:szCs w:val="21"/>
              </w:rPr>
              <w:t>ug/L</w:t>
            </w:r>
            <w:r>
              <w:rPr>
                <w:rFonts w:hint="eastAsia"/>
                <w:szCs w:val="21"/>
              </w:rPr>
              <w:t>）</w:t>
            </w:r>
          </w:p>
        </w:tc>
        <w:tc>
          <w:tcPr>
            <w:tcW w:w="563" w:type="pct"/>
            <w:vAlign w:val="center"/>
          </w:tcPr>
          <w:p w:rsidR="00EE4502" w:rsidRDefault="00FD45A3">
            <w:pPr>
              <w:jc w:val="center"/>
              <w:rPr>
                <w:bCs/>
                <w:szCs w:val="21"/>
              </w:rPr>
            </w:pPr>
            <w:r>
              <w:rPr>
                <w:szCs w:val="21"/>
              </w:rPr>
              <w:t>≤700</w:t>
            </w:r>
          </w:p>
        </w:tc>
      </w:tr>
      <w:tr w:rsidR="00EE4502">
        <w:trPr>
          <w:trHeight w:val="340"/>
          <w:jc w:val="center"/>
        </w:trPr>
        <w:tc>
          <w:tcPr>
            <w:tcW w:w="428" w:type="pct"/>
            <w:vAlign w:val="center"/>
          </w:tcPr>
          <w:p w:rsidR="00EE4502" w:rsidRDefault="00FD45A3">
            <w:pPr>
              <w:jc w:val="center"/>
              <w:rPr>
                <w:bCs/>
                <w:szCs w:val="21"/>
              </w:rPr>
            </w:pPr>
            <w:r>
              <w:rPr>
                <w:bCs/>
                <w:szCs w:val="21"/>
              </w:rPr>
              <w:t>15</w:t>
            </w:r>
          </w:p>
        </w:tc>
        <w:tc>
          <w:tcPr>
            <w:tcW w:w="1509" w:type="pct"/>
            <w:vAlign w:val="center"/>
          </w:tcPr>
          <w:p w:rsidR="00EE4502" w:rsidRDefault="00FD45A3">
            <w:pPr>
              <w:jc w:val="center"/>
              <w:rPr>
                <w:bCs/>
                <w:szCs w:val="21"/>
              </w:rPr>
            </w:pPr>
            <w:r>
              <w:rPr>
                <w:rFonts w:hint="eastAsia"/>
                <w:szCs w:val="21"/>
              </w:rPr>
              <w:t>六价铬（</w:t>
            </w:r>
            <w:r>
              <w:rPr>
                <w:szCs w:val="21"/>
              </w:rPr>
              <w:t>mg/L</w:t>
            </w:r>
            <w:r>
              <w:rPr>
                <w:rFonts w:hint="eastAsia"/>
                <w:szCs w:val="21"/>
              </w:rPr>
              <w:t>）</w:t>
            </w:r>
          </w:p>
        </w:tc>
        <w:tc>
          <w:tcPr>
            <w:tcW w:w="628" w:type="pct"/>
            <w:vAlign w:val="center"/>
          </w:tcPr>
          <w:p w:rsidR="00EE4502" w:rsidRDefault="00FD45A3">
            <w:pPr>
              <w:jc w:val="center"/>
              <w:rPr>
                <w:bCs/>
                <w:szCs w:val="21"/>
              </w:rPr>
            </w:pPr>
            <w:r>
              <w:rPr>
                <w:szCs w:val="21"/>
              </w:rPr>
              <w:t>≤0.05</w:t>
            </w:r>
          </w:p>
        </w:tc>
        <w:tc>
          <w:tcPr>
            <w:tcW w:w="428" w:type="pct"/>
            <w:vAlign w:val="center"/>
          </w:tcPr>
          <w:p w:rsidR="00EE4502" w:rsidRDefault="00FD45A3">
            <w:pPr>
              <w:jc w:val="center"/>
              <w:rPr>
                <w:bCs/>
                <w:szCs w:val="21"/>
              </w:rPr>
            </w:pPr>
            <w:r>
              <w:rPr>
                <w:rFonts w:hint="eastAsia"/>
                <w:bCs/>
                <w:szCs w:val="21"/>
              </w:rPr>
              <w:t>3</w:t>
            </w:r>
            <w:r>
              <w:rPr>
                <w:bCs/>
                <w:szCs w:val="21"/>
              </w:rPr>
              <w:t>5</w:t>
            </w:r>
          </w:p>
        </w:tc>
        <w:tc>
          <w:tcPr>
            <w:tcW w:w="1445" w:type="pct"/>
            <w:tcBorders>
              <w:top w:val="single" w:sz="4" w:space="0" w:color="auto"/>
            </w:tcBorders>
            <w:vAlign w:val="center"/>
          </w:tcPr>
          <w:p w:rsidR="00EE4502" w:rsidRDefault="00FD45A3">
            <w:pPr>
              <w:jc w:val="center"/>
              <w:rPr>
                <w:bCs/>
                <w:szCs w:val="21"/>
              </w:rPr>
            </w:pPr>
            <w:r>
              <w:rPr>
                <w:rFonts w:hint="eastAsia"/>
                <w:szCs w:val="21"/>
              </w:rPr>
              <w:t>肉眼可见物（</w:t>
            </w:r>
            <w:r>
              <w:rPr>
                <w:szCs w:val="21"/>
              </w:rPr>
              <w:t>/</w:t>
            </w:r>
            <w:r>
              <w:rPr>
                <w:rFonts w:hint="eastAsia"/>
                <w:szCs w:val="21"/>
              </w:rPr>
              <w:t>）</w:t>
            </w:r>
          </w:p>
        </w:tc>
        <w:tc>
          <w:tcPr>
            <w:tcW w:w="563" w:type="pct"/>
            <w:vAlign w:val="center"/>
          </w:tcPr>
          <w:p w:rsidR="00EE4502" w:rsidRDefault="00FD45A3">
            <w:pPr>
              <w:jc w:val="center"/>
              <w:rPr>
                <w:bCs/>
                <w:szCs w:val="21"/>
              </w:rPr>
            </w:pPr>
            <w:r>
              <w:rPr>
                <w:rFonts w:hint="eastAsia"/>
                <w:szCs w:val="21"/>
              </w:rPr>
              <w:t>无</w:t>
            </w:r>
          </w:p>
        </w:tc>
      </w:tr>
      <w:tr w:rsidR="00EE4502">
        <w:trPr>
          <w:trHeight w:val="340"/>
          <w:jc w:val="center"/>
        </w:trPr>
        <w:tc>
          <w:tcPr>
            <w:tcW w:w="428" w:type="pct"/>
            <w:vAlign w:val="center"/>
          </w:tcPr>
          <w:p w:rsidR="00EE4502" w:rsidRDefault="00FD45A3">
            <w:pPr>
              <w:jc w:val="center"/>
              <w:rPr>
                <w:bCs/>
                <w:szCs w:val="21"/>
              </w:rPr>
            </w:pPr>
            <w:r>
              <w:rPr>
                <w:rFonts w:hint="eastAsia"/>
                <w:bCs/>
                <w:szCs w:val="21"/>
              </w:rPr>
              <w:lastRenderedPageBreak/>
              <w:t>1</w:t>
            </w:r>
            <w:r>
              <w:rPr>
                <w:bCs/>
                <w:szCs w:val="21"/>
              </w:rPr>
              <w:t>6</w:t>
            </w:r>
          </w:p>
        </w:tc>
        <w:tc>
          <w:tcPr>
            <w:tcW w:w="1509" w:type="pct"/>
            <w:vAlign w:val="center"/>
          </w:tcPr>
          <w:p w:rsidR="00EE4502" w:rsidRDefault="00FD45A3">
            <w:pPr>
              <w:jc w:val="center"/>
              <w:rPr>
                <w:rFonts w:hAnsi="宋体"/>
                <w:bCs/>
                <w:szCs w:val="21"/>
              </w:rPr>
            </w:pPr>
            <w:r>
              <w:rPr>
                <w:rFonts w:hint="eastAsia"/>
                <w:szCs w:val="21"/>
              </w:rPr>
              <w:t>铜（</w:t>
            </w:r>
            <w:r>
              <w:rPr>
                <w:szCs w:val="21"/>
              </w:rPr>
              <w:t>mg/L</w:t>
            </w:r>
            <w:r>
              <w:rPr>
                <w:rFonts w:hint="eastAsia"/>
                <w:szCs w:val="21"/>
              </w:rPr>
              <w:t>）</w:t>
            </w:r>
          </w:p>
        </w:tc>
        <w:tc>
          <w:tcPr>
            <w:tcW w:w="628" w:type="pct"/>
            <w:vAlign w:val="center"/>
          </w:tcPr>
          <w:p w:rsidR="00EE4502" w:rsidRDefault="00FD45A3">
            <w:pPr>
              <w:jc w:val="center"/>
              <w:rPr>
                <w:bCs/>
                <w:szCs w:val="21"/>
              </w:rPr>
            </w:pPr>
            <w:r>
              <w:rPr>
                <w:szCs w:val="21"/>
              </w:rPr>
              <w:t>≤1.0</w:t>
            </w:r>
          </w:p>
        </w:tc>
        <w:tc>
          <w:tcPr>
            <w:tcW w:w="428" w:type="pct"/>
            <w:vAlign w:val="center"/>
          </w:tcPr>
          <w:p w:rsidR="00EE4502" w:rsidRDefault="00FD45A3">
            <w:pPr>
              <w:jc w:val="center"/>
              <w:rPr>
                <w:bCs/>
                <w:szCs w:val="21"/>
              </w:rPr>
            </w:pPr>
            <w:r>
              <w:rPr>
                <w:rFonts w:hint="eastAsia"/>
                <w:bCs/>
                <w:szCs w:val="21"/>
              </w:rPr>
              <w:t>3</w:t>
            </w:r>
            <w:r>
              <w:rPr>
                <w:bCs/>
                <w:szCs w:val="21"/>
              </w:rPr>
              <w:t>6</w:t>
            </w:r>
          </w:p>
        </w:tc>
        <w:tc>
          <w:tcPr>
            <w:tcW w:w="1445" w:type="pct"/>
            <w:tcBorders>
              <w:top w:val="single" w:sz="4" w:space="0" w:color="auto"/>
            </w:tcBorders>
            <w:vAlign w:val="center"/>
          </w:tcPr>
          <w:p w:rsidR="00EE4502" w:rsidRDefault="00FD45A3">
            <w:pPr>
              <w:jc w:val="center"/>
              <w:rPr>
                <w:bCs/>
                <w:szCs w:val="21"/>
              </w:rPr>
            </w:pPr>
            <w:r>
              <w:rPr>
                <w:rFonts w:hint="eastAsia"/>
                <w:szCs w:val="21"/>
              </w:rPr>
              <w:t>浑浊度（</w:t>
            </w:r>
            <w:r>
              <w:rPr>
                <w:rFonts w:hint="eastAsia"/>
                <w:szCs w:val="21"/>
              </w:rPr>
              <w:t>N</w:t>
            </w:r>
            <w:r>
              <w:rPr>
                <w:szCs w:val="21"/>
              </w:rPr>
              <w:t>TU</w:t>
            </w:r>
            <w:r>
              <w:rPr>
                <w:rFonts w:hint="eastAsia"/>
                <w:szCs w:val="21"/>
              </w:rPr>
              <w:t>）</w:t>
            </w:r>
          </w:p>
        </w:tc>
        <w:tc>
          <w:tcPr>
            <w:tcW w:w="563" w:type="pct"/>
            <w:vAlign w:val="center"/>
          </w:tcPr>
          <w:p w:rsidR="00EE4502" w:rsidRDefault="00FD45A3">
            <w:pPr>
              <w:jc w:val="center"/>
              <w:rPr>
                <w:bCs/>
                <w:szCs w:val="21"/>
              </w:rPr>
            </w:pPr>
            <w:r>
              <w:rPr>
                <w:szCs w:val="21"/>
              </w:rPr>
              <w:t>≤3</w:t>
            </w:r>
          </w:p>
        </w:tc>
      </w:tr>
      <w:tr w:rsidR="00EE4502">
        <w:trPr>
          <w:trHeight w:val="340"/>
          <w:jc w:val="center"/>
        </w:trPr>
        <w:tc>
          <w:tcPr>
            <w:tcW w:w="428" w:type="pct"/>
            <w:vAlign w:val="center"/>
          </w:tcPr>
          <w:p w:rsidR="00EE4502" w:rsidRDefault="00FD45A3">
            <w:pPr>
              <w:jc w:val="center"/>
              <w:rPr>
                <w:bCs/>
                <w:szCs w:val="21"/>
              </w:rPr>
            </w:pPr>
            <w:r>
              <w:rPr>
                <w:rFonts w:hint="eastAsia"/>
                <w:bCs/>
                <w:szCs w:val="21"/>
              </w:rPr>
              <w:t>1</w:t>
            </w:r>
            <w:r>
              <w:rPr>
                <w:bCs/>
                <w:szCs w:val="21"/>
              </w:rPr>
              <w:t>7</w:t>
            </w:r>
          </w:p>
        </w:tc>
        <w:tc>
          <w:tcPr>
            <w:tcW w:w="1509" w:type="pct"/>
            <w:vAlign w:val="center"/>
          </w:tcPr>
          <w:p w:rsidR="00EE4502" w:rsidRDefault="00FD45A3">
            <w:pPr>
              <w:jc w:val="center"/>
              <w:rPr>
                <w:rFonts w:hAnsi="宋体"/>
                <w:bCs/>
                <w:szCs w:val="21"/>
              </w:rPr>
            </w:pPr>
            <w:r>
              <w:rPr>
                <w:rFonts w:hint="eastAsia"/>
                <w:szCs w:val="21"/>
              </w:rPr>
              <w:t>砷（</w:t>
            </w:r>
            <w:r>
              <w:rPr>
                <w:szCs w:val="21"/>
              </w:rPr>
              <w:t>mg/L</w:t>
            </w:r>
            <w:r>
              <w:rPr>
                <w:rFonts w:hint="eastAsia"/>
                <w:szCs w:val="21"/>
              </w:rPr>
              <w:t>）</w:t>
            </w:r>
          </w:p>
        </w:tc>
        <w:tc>
          <w:tcPr>
            <w:tcW w:w="628" w:type="pct"/>
            <w:vAlign w:val="center"/>
          </w:tcPr>
          <w:p w:rsidR="00EE4502" w:rsidRDefault="00FD45A3">
            <w:pPr>
              <w:jc w:val="center"/>
              <w:rPr>
                <w:bCs/>
                <w:szCs w:val="21"/>
              </w:rPr>
            </w:pPr>
            <w:r>
              <w:rPr>
                <w:szCs w:val="21"/>
              </w:rPr>
              <w:t>≤0.01</w:t>
            </w:r>
          </w:p>
        </w:tc>
        <w:tc>
          <w:tcPr>
            <w:tcW w:w="428" w:type="pct"/>
            <w:vAlign w:val="center"/>
          </w:tcPr>
          <w:p w:rsidR="00EE4502" w:rsidRDefault="00FD45A3">
            <w:pPr>
              <w:jc w:val="center"/>
              <w:rPr>
                <w:bCs/>
                <w:szCs w:val="21"/>
              </w:rPr>
            </w:pPr>
            <w:r>
              <w:rPr>
                <w:rFonts w:hint="eastAsia"/>
                <w:bCs/>
                <w:szCs w:val="21"/>
              </w:rPr>
              <w:t>3</w:t>
            </w:r>
            <w:r>
              <w:rPr>
                <w:bCs/>
                <w:szCs w:val="21"/>
              </w:rPr>
              <w:t>7</w:t>
            </w:r>
          </w:p>
        </w:tc>
        <w:tc>
          <w:tcPr>
            <w:tcW w:w="1445" w:type="pct"/>
            <w:tcBorders>
              <w:top w:val="single" w:sz="4" w:space="0" w:color="auto"/>
            </w:tcBorders>
            <w:vAlign w:val="center"/>
          </w:tcPr>
          <w:p w:rsidR="00EE4502" w:rsidRDefault="00FD45A3">
            <w:pPr>
              <w:jc w:val="center"/>
              <w:rPr>
                <w:bCs/>
                <w:szCs w:val="21"/>
              </w:rPr>
            </w:pPr>
            <w:r>
              <w:rPr>
                <w:rFonts w:hint="eastAsia"/>
                <w:szCs w:val="21"/>
              </w:rPr>
              <w:t>嗅和味（</w:t>
            </w:r>
            <w:r>
              <w:rPr>
                <w:rFonts w:hint="eastAsia"/>
                <w:szCs w:val="21"/>
              </w:rPr>
              <w:t>/</w:t>
            </w:r>
            <w:r>
              <w:rPr>
                <w:rFonts w:hint="eastAsia"/>
                <w:szCs w:val="21"/>
              </w:rPr>
              <w:t>）</w:t>
            </w:r>
          </w:p>
        </w:tc>
        <w:tc>
          <w:tcPr>
            <w:tcW w:w="563" w:type="pct"/>
            <w:vAlign w:val="center"/>
          </w:tcPr>
          <w:p w:rsidR="00EE4502" w:rsidRDefault="00FD45A3">
            <w:pPr>
              <w:jc w:val="center"/>
              <w:rPr>
                <w:bCs/>
                <w:szCs w:val="21"/>
              </w:rPr>
            </w:pPr>
            <w:r>
              <w:rPr>
                <w:rFonts w:hint="eastAsia"/>
                <w:szCs w:val="21"/>
              </w:rPr>
              <w:t>无</w:t>
            </w:r>
          </w:p>
        </w:tc>
      </w:tr>
      <w:tr w:rsidR="00EE4502">
        <w:trPr>
          <w:trHeight w:val="340"/>
          <w:jc w:val="center"/>
        </w:trPr>
        <w:tc>
          <w:tcPr>
            <w:tcW w:w="428" w:type="pct"/>
            <w:vAlign w:val="center"/>
          </w:tcPr>
          <w:p w:rsidR="00EE4502" w:rsidRDefault="00FD45A3">
            <w:pPr>
              <w:jc w:val="center"/>
              <w:rPr>
                <w:bCs/>
                <w:szCs w:val="21"/>
              </w:rPr>
            </w:pPr>
            <w:r>
              <w:rPr>
                <w:rFonts w:hint="eastAsia"/>
                <w:bCs/>
                <w:szCs w:val="21"/>
              </w:rPr>
              <w:t>1</w:t>
            </w:r>
            <w:r>
              <w:rPr>
                <w:bCs/>
                <w:szCs w:val="21"/>
              </w:rPr>
              <w:t>8</w:t>
            </w:r>
          </w:p>
        </w:tc>
        <w:tc>
          <w:tcPr>
            <w:tcW w:w="1509" w:type="pct"/>
            <w:vAlign w:val="center"/>
          </w:tcPr>
          <w:p w:rsidR="00EE4502" w:rsidRDefault="00FD45A3">
            <w:pPr>
              <w:jc w:val="center"/>
              <w:rPr>
                <w:rFonts w:hAnsi="宋体"/>
                <w:bCs/>
                <w:szCs w:val="21"/>
              </w:rPr>
            </w:pPr>
            <w:r>
              <w:rPr>
                <w:rFonts w:hint="eastAsia"/>
                <w:szCs w:val="21"/>
              </w:rPr>
              <w:t>镉（</w:t>
            </w:r>
            <w:r>
              <w:rPr>
                <w:szCs w:val="21"/>
              </w:rPr>
              <w:t>mg/L</w:t>
            </w:r>
            <w:r>
              <w:rPr>
                <w:rFonts w:hint="eastAsia"/>
                <w:szCs w:val="21"/>
              </w:rPr>
              <w:t>）</w:t>
            </w:r>
          </w:p>
        </w:tc>
        <w:tc>
          <w:tcPr>
            <w:tcW w:w="628" w:type="pct"/>
            <w:vAlign w:val="center"/>
          </w:tcPr>
          <w:p w:rsidR="00EE4502" w:rsidRDefault="00FD45A3">
            <w:pPr>
              <w:jc w:val="center"/>
              <w:rPr>
                <w:bCs/>
                <w:szCs w:val="21"/>
              </w:rPr>
            </w:pPr>
            <w:r>
              <w:rPr>
                <w:szCs w:val="21"/>
              </w:rPr>
              <w:t>≤0.005</w:t>
            </w:r>
          </w:p>
        </w:tc>
        <w:tc>
          <w:tcPr>
            <w:tcW w:w="428" w:type="pct"/>
            <w:vAlign w:val="center"/>
          </w:tcPr>
          <w:p w:rsidR="00EE4502" w:rsidRDefault="00FD45A3">
            <w:pPr>
              <w:jc w:val="center"/>
              <w:rPr>
                <w:bCs/>
                <w:szCs w:val="21"/>
              </w:rPr>
            </w:pPr>
            <w:r>
              <w:rPr>
                <w:rFonts w:hint="eastAsia"/>
                <w:bCs/>
                <w:szCs w:val="21"/>
              </w:rPr>
              <w:t>3</w:t>
            </w:r>
            <w:r>
              <w:rPr>
                <w:bCs/>
                <w:szCs w:val="21"/>
              </w:rPr>
              <w:t>8</w:t>
            </w:r>
          </w:p>
        </w:tc>
        <w:tc>
          <w:tcPr>
            <w:tcW w:w="1445" w:type="pct"/>
            <w:vAlign w:val="center"/>
          </w:tcPr>
          <w:p w:rsidR="00EE4502" w:rsidRDefault="00FD45A3">
            <w:pPr>
              <w:jc w:val="center"/>
              <w:rPr>
                <w:bCs/>
                <w:szCs w:val="21"/>
              </w:rPr>
            </w:pPr>
            <w:r>
              <w:rPr>
                <w:rFonts w:hint="eastAsia"/>
                <w:szCs w:val="21"/>
              </w:rPr>
              <w:t>色（铂钴色度单位）</w:t>
            </w:r>
          </w:p>
        </w:tc>
        <w:tc>
          <w:tcPr>
            <w:tcW w:w="563" w:type="pct"/>
            <w:vAlign w:val="center"/>
          </w:tcPr>
          <w:p w:rsidR="00EE4502" w:rsidRDefault="00FD45A3">
            <w:pPr>
              <w:jc w:val="center"/>
              <w:rPr>
                <w:bCs/>
                <w:szCs w:val="21"/>
              </w:rPr>
            </w:pPr>
            <w:r>
              <w:rPr>
                <w:szCs w:val="21"/>
              </w:rPr>
              <w:t>≤5</w:t>
            </w:r>
          </w:p>
        </w:tc>
      </w:tr>
      <w:tr w:rsidR="00EE4502">
        <w:trPr>
          <w:trHeight w:val="340"/>
          <w:jc w:val="center"/>
        </w:trPr>
        <w:tc>
          <w:tcPr>
            <w:tcW w:w="428" w:type="pct"/>
            <w:vAlign w:val="center"/>
          </w:tcPr>
          <w:p w:rsidR="00EE4502" w:rsidRDefault="00FD45A3">
            <w:pPr>
              <w:jc w:val="center"/>
              <w:rPr>
                <w:bCs/>
                <w:szCs w:val="21"/>
              </w:rPr>
            </w:pPr>
            <w:r>
              <w:rPr>
                <w:rFonts w:hint="eastAsia"/>
                <w:bCs/>
                <w:szCs w:val="21"/>
              </w:rPr>
              <w:t>1</w:t>
            </w:r>
            <w:r>
              <w:rPr>
                <w:bCs/>
                <w:szCs w:val="21"/>
              </w:rPr>
              <w:t>9</w:t>
            </w:r>
          </w:p>
        </w:tc>
        <w:tc>
          <w:tcPr>
            <w:tcW w:w="1509" w:type="pct"/>
            <w:vAlign w:val="center"/>
          </w:tcPr>
          <w:p w:rsidR="00EE4502" w:rsidRDefault="00FD45A3">
            <w:pPr>
              <w:jc w:val="center"/>
              <w:rPr>
                <w:rFonts w:hAnsi="宋体"/>
                <w:bCs/>
                <w:szCs w:val="21"/>
              </w:rPr>
            </w:pPr>
            <w:r>
              <w:rPr>
                <w:rFonts w:hint="eastAsia"/>
                <w:szCs w:val="21"/>
              </w:rPr>
              <w:t>硒（</w:t>
            </w:r>
            <w:r>
              <w:rPr>
                <w:szCs w:val="21"/>
              </w:rPr>
              <w:t>mg/L</w:t>
            </w:r>
            <w:r>
              <w:rPr>
                <w:rFonts w:hint="eastAsia"/>
                <w:szCs w:val="21"/>
              </w:rPr>
              <w:t>）</w:t>
            </w:r>
          </w:p>
        </w:tc>
        <w:tc>
          <w:tcPr>
            <w:tcW w:w="628" w:type="pct"/>
            <w:vAlign w:val="center"/>
          </w:tcPr>
          <w:p w:rsidR="00EE4502" w:rsidRDefault="00FD45A3">
            <w:pPr>
              <w:jc w:val="center"/>
              <w:rPr>
                <w:bCs/>
                <w:szCs w:val="21"/>
              </w:rPr>
            </w:pPr>
            <w:r>
              <w:rPr>
                <w:szCs w:val="21"/>
              </w:rPr>
              <w:t>≤0.01</w:t>
            </w:r>
          </w:p>
        </w:tc>
        <w:tc>
          <w:tcPr>
            <w:tcW w:w="428" w:type="pct"/>
            <w:vAlign w:val="center"/>
          </w:tcPr>
          <w:p w:rsidR="00EE4502" w:rsidRDefault="00FD45A3">
            <w:pPr>
              <w:jc w:val="center"/>
              <w:rPr>
                <w:bCs/>
                <w:szCs w:val="21"/>
              </w:rPr>
            </w:pPr>
            <w:r>
              <w:rPr>
                <w:rFonts w:hint="eastAsia"/>
                <w:bCs/>
                <w:szCs w:val="21"/>
              </w:rPr>
              <w:t>3</w:t>
            </w:r>
            <w:r>
              <w:rPr>
                <w:bCs/>
                <w:szCs w:val="21"/>
              </w:rPr>
              <w:t>9</w:t>
            </w:r>
          </w:p>
        </w:tc>
        <w:tc>
          <w:tcPr>
            <w:tcW w:w="1445" w:type="pct"/>
            <w:vAlign w:val="center"/>
          </w:tcPr>
          <w:p w:rsidR="00EE4502" w:rsidRDefault="00FD45A3">
            <w:pPr>
              <w:jc w:val="center"/>
              <w:rPr>
                <w:bCs/>
                <w:szCs w:val="21"/>
              </w:rPr>
            </w:pPr>
            <w:r>
              <w:rPr>
                <w:bCs/>
                <w:szCs w:val="21"/>
                <w:lang w:bidi="ar"/>
              </w:rPr>
              <w:t>Na</w:t>
            </w:r>
            <w:r>
              <w:rPr>
                <w:bCs/>
                <w:szCs w:val="21"/>
                <w:vertAlign w:val="superscript"/>
                <w:lang w:bidi="ar"/>
              </w:rPr>
              <w:t>+</w:t>
            </w:r>
            <w:r>
              <w:rPr>
                <w:rFonts w:hint="eastAsia"/>
                <w:szCs w:val="21"/>
              </w:rPr>
              <w:t>（</w:t>
            </w:r>
            <w:r>
              <w:rPr>
                <w:szCs w:val="21"/>
              </w:rPr>
              <w:t>mg/L</w:t>
            </w:r>
            <w:r>
              <w:rPr>
                <w:rFonts w:hint="eastAsia"/>
                <w:szCs w:val="21"/>
              </w:rPr>
              <w:t>)</w:t>
            </w:r>
          </w:p>
        </w:tc>
        <w:tc>
          <w:tcPr>
            <w:tcW w:w="563" w:type="pct"/>
            <w:vAlign w:val="center"/>
          </w:tcPr>
          <w:p w:rsidR="00EE4502" w:rsidRDefault="00FD45A3">
            <w:pPr>
              <w:jc w:val="center"/>
              <w:rPr>
                <w:bCs/>
                <w:szCs w:val="21"/>
              </w:rPr>
            </w:pPr>
            <w:r>
              <w:rPr>
                <w:szCs w:val="21"/>
              </w:rPr>
              <w:t>≤200</w:t>
            </w:r>
          </w:p>
        </w:tc>
      </w:tr>
      <w:tr w:rsidR="00EE4502">
        <w:trPr>
          <w:trHeight w:val="340"/>
          <w:jc w:val="center"/>
        </w:trPr>
        <w:tc>
          <w:tcPr>
            <w:tcW w:w="428" w:type="pct"/>
            <w:vAlign w:val="center"/>
          </w:tcPr>
          <w:p w:rsidR="00EE4502" w:rsidRDefault="00FD45A3">
            <w:pPr>
              <w:jc w:val="center"/>
              <w:rPr>
                <w:bCs/>
                <w:szCs w:val="21"/>
              </w:rPr>
            </w:pPr>
            <w:r>
              <w:rPr>
                <w:rFonts w:hint="eastAsia"/>
                <w:bCs/>
                <w:szCs w:val="21"/>
              </w:rPr>
              <w:t>2</w:t>
            </w:r>
            <w:r>
              <w:rPr>
                <w:bCs/>
                <w:szCs w:val="21"/>
              </w:rPr>
              <w:t>0</w:t>
            </w:r>
          </w:p>
        </w:tc>
        <w:tc>
          <w:tcPr>
            <w:tcW w:w="1509" w:type="pct"/>
            <w:vAlign w:val="center"/>
          </w:tcPr>
          <w:p w:rsidR="00EE4502" w:rsidRDefault="00FD45A3">
            <w:pPr>
              <w:jc w:val="center"/>
              <w:rPr>
                <w:rFonts w:hAnsi="宋体"/>
                <w:bCs/>
                <w:szCs w:val="21"/>
              </w:rPr>
            </w:pPr>
            <w:r>
              <w:rPr>
                <w:bCs/>
                <w:szCs w:val="21"/>
                <w:lang w:bidi="ar"/>
              </w:rPr>
              <w:t>SO</w:t>
            </w:r>
            <w:r>
              <w:rPr>
                <w:bCs/>
                <w:szCs w:val="21"/>
                <w:vertAlign w:val="subscript"/>
                <w:lang w:bidi="ar"/>
              </w:rPr>
              <w:t>4</w:t>
            </w:r>
            <w:r>
              <w:rPr>
                <w:bCs/>
                <w:szCs w:val="21"/>
                <w:vertAlign w:val="superscript"/>
                <w:lang w:bidi="ar"/>
              </w:rPr>
              <w:t>2-</w:t>
            </w:r>
            <w:r>
              <w:rPr>
                <w:rFonts w:hint="eastAsia"/>
                <w:szCs w:val="21"/>
              </w:rPr>
              <w:t>（</w:t>
            </w:r>
            <w:r>
              <w:rPr>
                <w:szCs w:val="21"/>
              </w:rPr>
              <w:t>mg/L</w:t>
            </w:r>
            <w:r>
              <w:rPr>
                <w:rFonts w:hint="eastAsia"/>
                <w:szCs w:val="21"/>
              </w:rPr>
              <w:t>)</w:t>
            </w:r>
          </w:p>
        </w:tc>
        <w:tc>
          <w:tcPr>
            <w:tcW w:w="628" w:type="pct"/>
            <w:vAlign w:val="center"/>
          </w:tcPr>
          <w:p w:rsidR="00EE4502" w:rsidRDefault="00FD45A3">
            <w:pPr>
              <w:jc w:val="center"/>
              <w:rPr>
                <w:bCs/>
                <w:szCs w:val="21"/>
              </w:rPr>
            </w:pPr>
            <w:r>
              <w:rPr>
                <w:szCs w:val="21"/>
              </w:rPr>
              <w:t>≤250</w:t>
            </w:r>
          </w:p>
        </w:tc>
        <w:tc>
          <w:tcPr>
            <w:tcW w:w="428" w:type="pct"/>
            <w:vAlign w:val="center"/>
          </w:tcPr>
          <w:p w:rsidR="00EE4502" w:rsidRDefault="00FD45A3">
            <w:pPr>
              <w:jc w:val="center"/>
              <w:rPr>
                <w:bCs/>
                <w:szCs w:val="21"/>
              </w:rPr>
            </w:pPr>
            <w:r>
              <w:rPr>
                <w:rFonts w:hint="eastAsia"/>
                <w:bCs/>
                <w:szCs w:val="21"/>
              </w:rPr>
              <w:t>4</w:t>
            </w:r>
            <w:r>
              <w:rPr>
                <w:bCs/>
                <w:szCs w:val="21"/>
              </w:rPr>
              <w:t>0</w:t>
            </w:r>
          </w:p>
        </w:tc>
        <w:tc>
          <w:tcPr>
            <w:tcW w:w="1445" w:type="pct"/>
            <w:vAlign w:val="center"/>
          </w:tcPr>
          <w:p w:rsidR="00EE4502" w:rsidRDefault="00FD45A3">
            <w:pPr>
              <w:jc w:val="center"/>
              <w:rPr>
                <w:bCs/>
                <w:szCs w:val="21"/>
              </w:rPr>
            </w:pPr>
            <w:r>
              <w:rPr>
                <w:szCs w:val="21"/>
              </w:rPr>
              <w:t>Cl</w:t>
            </w:r>
            <w:r>
              <w:rPr>
                <w:szCs w:val="21"/>
                <w:vertAlign w:val="superscript"/>
              </w:rPr>
              <w:t>-</w:t>
            </w:r>
            <w:r>
              <w:rPr>
                <w:rFonts w:hint="eastAsia"/>
                <w:szCs w:val="21"/>
              </w:rPr>
              <w:t>（</w:t>
            </w:r>
            <w:r>
              <w:rPr>
                <w:szCs w:val="21"/>
              </w:rPr>
              <w:t>mg/L</w:t>
            </w:r>
            <w:r>
              <w:rPr>
                <w:rFonts w:hint="eastAsia"/>
                <w:szCs w:val="21"/>
              </w:rPr>
              <w:t>)</w:t>
            </w:r>
          </w:p>
        </w:tc>
        <w:tc>
          <w:tcPr>
            <w:tcW w:w="563" w:type="pct"/>
            <w:vAlign w:val="center"/>
          </w:tcPr>
          <w:p w:rsidR="00EE4502" w:rsidRDefault="00FD45A3">
            <w:pPr>
              <w:jc w:val="center"/>
              <w:rPr>
                <w:bCs/>
                <w:szCs w:val="21"/>
              </w:rPr>
            </w:pPr>
            <w:r>
              <w:rPr>
                <w:szCs w:val="21"/>
              </w:rPr>
              <w:t>≤250</w:t>
            </w:r>
          </w:p>
        </w:tc>
      </w:tr>
    </w:tbl>
    <w:p w:rsidR="00EE4502" w:rsidRDefault="00FD45A3">
      <w:pPr>
        <w:spacing w:line="360" w:lineRule="auto"/>
        <w:ind w:firstLineChars="200" w:firstLine="480"/>
        <w:rPr>
          <w:sz w:val="24"/>
        </w:rPr>
      </w:pPr>
      <w:r>
        <w:rPr>
          <w:sz w:val="24"/>
        </w:rPr>
        <w:t>（</w:t>
      </w:r>
      <w:r>
        <w:rPr>
          <w:sz w:val="24"/>
        </w:rPr>
        <w:t>3</w:t>
      </w:r>
      <w:r>
        <w:rPr>
          <w:sz w:val="24"/>
        </w:rPr>
        <w:t>）声环境</w:t>
      </w:r>
    </w:p>
    <w:p w:rsidR="00EE4502" w:rsidRDefault="00FD45A3">
      <w:pPr>
        <w:pStyle w:val="affc"/>
        <w:spacing w:line="360" w:lineRule="auto"/>
        <w:ind w:firstLine="480"/>
        <w:rPr>
          <w:rFonts w:ascii="Times New Roman" w:hAnsi="Times New Roman"/>
          <w:spacing w:val="0"/>
          <w:kern w:val="28"/>
          <w:sz w:val="24"/>
          <w:szCs w:val="24"/>
        </w:rPr>
      </w:pPr>
      <w:r>
        <w:rPr>
          <w:rFonts w:ascii="Times New Roman" w:hAnsi="Times New Roman"/>
          <w:spacing w:val="0"/>
          <w:sz w:val="24"/>
          <w:szCs w:val="24"/>
        </w:rPr>
        <w:t>项目所在区声环境执行《声环境质量标准》（</w:t>
      </w:r>
      <w:r>
        <w:rPr>
          <w:rFonts w:ascii="Times New Roman" w:hAnsi="Times New Roman"/>
          <w:spacing w:val="0"/>
          <w:sz w:val="24"/>
          <w:szCs w:val="24"/>
        </w:rPr>
        <w:t>GB3096-2008</w:t>
      </w:r>
      <w:r>
        <w:rPr>
          <w:rFonts w:ascii="Times New Roman" w:hAnsi="Times New Roman"/>
          <w:spacing w:val="0"/>
          <w:sz w:val="24"/>
          <w:szCs w:val="24"/>
        </w:rPr>
        <w:t>）中的</w:t>
      </w:r>
      <w:r>
        <w:rPr>
          <w:rFonts w:ascii="Times New Roman" w:hAnsi="Times New Roman"/>
          <w:spacing w:val="0"/>
          <w:sz w:val="24"/>
          <w:szCs w:val="24"/>
        </w:rPr>
        <w:t>2</w:t>
      </w:r>
      <w:r>
        <w:rPr>
          <w:rFonts w:ascii="Times New Roman" w:hAnsi="Times New Roman"/>
          <w:spacing w:val="0"/>
          <w:sz w:val="24"/>
          <w:szCs w:val="24"/>
        </w:rPr>
        <w:t>类标准，见</w:t>
      </w:r>
      <w:r>
        <w:rPr>
          <w:rFonts w:ascii="Times New Roman" w:hAnsi="Times New Roman"/>
          <w:spacing w:val="0"/>
          <w:kern w:val="28"/>
          <w:sz w:val="24"/>
          <w:szCs w:val="24"/>
        </w:rPr>
        <w:t>表</w:t>
      </w:r>
      <w:r>
        <w:rPr>
          <w:rFonts w:ascii="Times New Roman" w:hAnsi="Times New Roman"/>
          <w:spacing w:val="0"/>
          <w:kern w:val="28"/>
          <w:sz w:val="24"/>
          <w:szCs w:val="24"/>
        </w:rPr>
        <w:t>2-</w:t>
      </w:r>
      <w:r>
        <w:rPr>
          <w:rFonts w:ascii="Times New Roman" w:hAnsi="Times New Roman" w:hint="eastAsia"/>
          <w:spacing w:val="0"/>
          <w:kern w:val="28"/>
          <w:sz w:val="24"/>
          <w:szCs w:val="24"/>
        </w:rPr>
        <w:t>4</w:t>
      </w:r>
      <w:r>
        <w:rPr>
          <w:rFonts w:ascii="Times New Roman" w:hAnsi="Times New Roman"/>
          <w:spacing w:val="0"/>
          <w:kern w:val="28"/>
          <w:sz w:val="24"/>
          <w:szCs w:val="24"/>
        </w:rPr>
        <w:t>-</w:t>
      </w:r>
      <w:r>
        <w:rPr>
          <w:rFonts w:ascii="Times New Roman" w:hAnsi="Times New Roman" w:hint="eastAsia"/>
          <w:spacing w:val="0"/>
          <w:kern w:val="28"/>
          <w:sz w:val="24"/>
          <w:szCs w:val="24"/>
        </w:rPr>
        <w:t>3</w:t>
      </w:r>
      <w:r>
        <w:rPr>
          <w:rFonts w:ascii="Times New Roman" w:hAnsi="Times New Roman"/>
          <w:spacing w:val="0"/>
          <w:kern w:val="28"/>
          <w:sz w:val="24"/>
          <w:szCs w:val="24"/>
        </w:rPr>
        <w:t>。</w:t>
      </w:r>
    </w:p>
    <w:p w:rsidR="00EE4502" w:rsidRDefault="00FD45A3">
      <w:pPr>
        <w:spacing w:line="360" w:lineRule="auto"/>
        <w:jc w:val="center"/>
        <w:rPr>
          <w:rFonts w:eastAsia="黑体"/>
          <w:bCs/>
          <w:lang w:val="zh-CN"/>
        </w:rPr>
      </w:pPr>
      <w:r>
        <w:rPr>
          <w:rFonts w:eastAsia="黑体"/>
          <w:bCs/>
          <w:lang w:val="zh-CN"/>
        </w:rPr>
        <w:t>表</w:t>
      </w:r>
      <w:r>
        <w:rPr>
          <w:rFonts w:eastAsia="黑体"/>
          <w:bCs/>
          <w:lang w:val="zh-CN"/>
        </w:rPr>
        <w:t>2</w:t>
      </w:r>
      <w:r>
        <w:rPr>
          <w:rFonts w:eastAsia="黑体"/>
          <w:bCs/>
        </w:rPr>
        <w:t>-</w:t>
      </w:r>
      <w:r>
        <w:rPr>
          <w:rFonts w:eastAsia="黑体" w:hint="eastAsia"/>
          <w:bCs/>
        </w:rPr>
        <w:t>4</w:t>
      </w:r>
      <w:r>
        <w:rPr>
          <w:rFonts w:eastAsia="黑体"/>
          <w:bCs/>
          <w:lang w:val="zh-CN"/>
        </w:rPr>
        <w:t>-</w:t>
      </w:r>
      <w:r>
        <w:rPr>
          <w:rFonts w:eastAsia="黑体" w:hint="eastAsia"/>
          <w:bCs/>
        </w:rPr>
        <w:t>3</w:t>
      </w:r>
      <w:r>
        <w:rPr>
          <w:rFonts w:eastAsia="黑体"/>
          <w:bCs/>
          <w:lang w:val="zh-CN"/>
        </w:rPr>
        <w:t xml:space="preserve">    </w:t>
      </w:r>
      <w:r>
        <w:rPr>
          <w:rFonts w:eastAsia="黑体"/>
          <w:bCs/>
          <w:lang w:val="zh-CN"/>
        </w:rPr>
        <w:t>声环境评价执行标准</w:t>
      </w:r>
      <w:r>
        <w:rPr>
          <w:rFonts w:eastAsia="黑体"/>
          <w:bCs/>
          <w:lang w:val="zh-CN"/>
        </w:rPr>
        <w:t xml:space="preserve">    </w:t>
      </w:r>
      <w:r>
        <w:rPr>
          <w:rFonts w:eastAsia="黑体"/>
          <w:bCs/>
          <w:lang w:val="zh-CN"/>
        </w:rPr>
        <w:t>单位：</w:t>
      </w:r>
      <w:r>
        <w:rPr>
          <w:rFonts w:eastAsia="黑体"/>
          <w:bCs/>
          <w:lang w:val="zh-CN"/>
        </w:rPr>
        <w:t>dB</w:t>
      </w:r>
      <w:r>
        <w:rPr>
          <w:rFonts w:eastAsia="黑体"/>
          <w:bCs/>
          <w:lang w:val="zh-CN"/>
        </w:rPr>
        <w:t>（</w:t>
      </w:r>
      <w:r>
        <w:rPr>
          <w:rFonts w:eastAsia="黑体"/>
          <w:bCs/>
          <w:lang w:val="zh-CN"/>
        </w:rPr>
        <w:t>A</w:t>
      </w:r>
      <w:r>
        <w:rPr>
          <w:rFonts w:eastAsia="黑体"/>
          <w:bCs/>
          <w:lang w:val="zh-CN"/>
        </w:rPr>
        <w:t>）</w:t>
      </w:r>
    </w:p>
    <w:tbl>
      <w:tblPr>
        <w:tblW w:w="5000" w:type="pct"/>
        <w:jc w:val="center"/>
        <w:tblBorders>
          <w:top w:val="single" w:sz="8" w:space="0" w:color="auto"/>
          <w:bottom w:val="single" w:sz="8" w:space="0" w:color="auto"/>
          <w:insideH w:val="single" w:sz="8" w:space="0" w:color="auto"/>
          <w:insideV w:val="single" w:sz="8" w:space="0" w:color="auto"/>
        </w:tblBorders>
        <w:tblLook w:val="04A0" w:firstRow="1" w:lastRow="0" w:firstColumn="1" w:lastColumn="0" w:noHBand="0" w:noVBand="1"/>
      </w:tblPr>
      <w:tblGrid>
        <w:gridCol w:w="2129"/>
        <w:gridCol w:w="2129"/>
        <w:gridCol w:w="2132"/>
        <w:gridCol w:w="2132"/>
      </w:tblGrid>
      <w:tr w:rsidR="00EE4502">
        <w:trPr>
          <w:trHeight w:val="340"/>
          <w:jc w:val="center"/>
        </w:trPr>
        <w:tc>
          <w:tcPr>
            <w:tcW w:w="1249" w:type="pct"/>
            <w:vAlign w:val="center"/>
          </w:tcPr>
          <w:p w:rsidR="00EE4502" w:rsidRDefault="00FD45A3">
            <w:pPr>
              <w:jc w:val="center"/>
              <w:rPr>
                <w:szCs w:val="21"/>
              </w:rPr>
            </w:pPr>
            <w:r>
              <w:rPr>
                <w:rFonts w:hAnsi="宋体"/>
                <w:szCs w:val="21"/>
              </w:rPr>
              <w:t>类别</w:t>
            </w:r>
          </w:p>
        </w:tc>
        <w:tc>
          <w:tcPr>
            <w:tcW w:w="1249" w:type="pct"/>
            <w:vAlign w:val="center"/>
          </w:tcPr>
          <w:p w:rsidR="00EE4502" w:rsidRDefault="00FD45A3">
            <w:pPr>
              <w:pStyle w:val="afffffffffffffffffffa"/>
              <w:widowControl w:val="0"/>
              <w:spacing w:line="240" w:lineRule="auto"/>
              <w:rPr>
                <w:kern w:val="2"/>
                <w:sz w:val="21"/>
                <w:szCs w:val="21"/>
              </w:rPr>
            </w:pPr>
            <w:r>
              <w:rPr>
                <w:rFonts w:hAnsi="宋体"/>
                <w:kern w:val="2"/>
                <w:sz w:val="21"/>
                <w:szCs w:val="21"/>
              </w:rPr>
              <w:t>昼间</w:t>
            </w:r>
          </w:p>
        </w:tc>
        <w:tc>
          <w:tcPr>
            <w:tcW w:w="1250" w:type="pct"/>
            <w:vAlign w:val="center"/>
          </w:tcPr>
          <w:p w:rsidR="00EE4502" w:rsidRDefault="00FD45A3">
            <w:pPr>
              <w:jc w:val="center"/>
              <w:rPr>
                <w:szCs w:val="21"/>
              </w:rPr>
            </w:pPr>
            <w:r>
              <w:rPr>
                <w:rFonts w:hAnsi="宋体"/>
                <w:szCs w:val="21"/>
              </w:rPr>
              <w:t>夜间</w:t>
            </w:r>
          </w:p>
        </w:tc>
        <w:tc>
          <w:tcPr>
            <w:tcW w:w="1250" w:type="pct"/>
            <w:vAlign w:val="center"/>
          </w:tcPr>
          <w:p w:rsidR="00EE4502" w:rsidRDefault="00FD45A3">
            <w:pPr>
              <w:jc w:val="center"/>
              <w:rPr>
                <w:szCs w:val="21"/>
              </w:rPr>
            </w:pPr>
            <w:r>
              <w:rPr>
                <w:rFonts w:hAnsi="宋体"/>
                <w:szCs w:val="21"/>
              </w:rPr>
              <w:t>备注</w:t>
            </w:r>
          </w:p>
        </w:tc>
      </w:tr>
      <w:tr w:rsidR="00EE4502">
        <w:trPr>
          <w:trHeight w:val="340"/>
          <w:jc w:val="center"/>
        </w:trPr>
        <w:tc>
          <w:tcPr>
            <w:tcW w:w="1249" w:type="pct"/>
            <w:vAlign w:val="center"/>
          </w:tcPr>
          <w:p w:rsidR="00EE4502" w:rsidRDefault="00FD45A3">
            <w:pPr>
              <w:jc w:val="center"/>
              <w:rPr>
                <w:szCs w:val="21"/>
              </w:rPr>
            </w:pPr>
            <w:r>
              <w:rPr>
                <w:szCs w:val="21"/>
              </w:rPr>
              <w:t>2</w:t>
            </w:r>
            <w:r>
              <w:rPr>
                <w:rFonts w:hAnsi="宋体"/>
                <w:szCs w:val="21"/>
              </w:rPr>
              <w:t>类</w:t>
            </w:r>
          </w:p>
        </w:tc>
        <w:tc>
          <w:tcPr>
            <w:tcW w:w="1249" w:type="pct"/>
            <w:vAlign w:val="center"/>
          </w:tcPr>
          <w:p w:rsidR="00EE4502" w:rsidRDefault="00FD45A3">
            <w:pPr>
              <w:pStyle w:val="93"/>
              <w:tabs>
                <w:tab w:val="clear" w:pos="1290"/>
              </w:tabs>
              <w:adjustRightInd/>
              <w:snapToGrid/>
              <w:spacing w:line="240" w:lineRule="auto"/>
              <w:ind w:left="0" w:firstLine="0"/>
              <w:rPr>
                <w:rFonts w:ascii="Times New Roman"/>
                <w:sz w:val="21"/>
                <w:szCs w:val="21"/>
              </w:rPr>
            </w:pPr>
            <w:r>
              <w:rPr>
                <w:rFonts w:ascii="Times New Roman"/>
                <w:sz w:val="21"/>
                <w:szCs w:val="21"/>
              </w:rPr>
              <w:t>60</w:t>
            </w:r>
          </w:p>
        </w:tc>
        <w:tc>
          <w:tcPr>
            <w:tcW w:w="1250" w:type="pct"/>
            <w:vAlign w:val="center"/>
          </w:tcPr>
          <w:p w:rsidR="00EE4502" w:rsidRDefault="00FD45A3">
            <w:pPr>
              <w:jc w:val="center"/>
              <w:rPr>
                <w:szCs w:val="21"/>
              </w:rPr>
            </w:pPr>
            <w:r>
              <w:rPr>
                <w:szCs w:val="21"/>
              </w:rPr>
              <w:t>50</w:t>
            </w:r>
          </w:p>
        </w:tc>
        <w:tc>
          <w:tcPr>
            <w:tcW w:w="1250" w:type="pct"/>
            <w:vAlign w:val="center"/>
          </w:tcPr>
          <w:p w:rsidR="00EE4502" w:rsidRDefault="00FD45A3">
            <w:pPr>
              <w:jc w:val="center"/>
              <w:rPr>
                <w:szCs w:val="21"/>
              </w:rPr>
            </w:pPr>
            <w:r>
              <w:rPr>
                <w:szCs w:val="21"/>
              </w:rPr>
              <w:t>GB3096-2008</w:t>
            </w:r>
          </w:p>
        </w:tc>
      </w:tr>
    </w:tbl>
    <w:p w:rsidR="00EE4502" w:rsidRDefault="00EE4502">
      <w:pPr>
        <w:jc w:val="center"/>
        <w:rPr>
          <w:sz w:val="18"/>
          <w:szCs w:val="18"/>
        </w:rPr>
      </w:pPr>
    </w:p>
    <w:p w:rsidR="00EE4502" w:rsidRDefault="00FD45A3">
      <w:pPr>
        <w:spacing w:line="360" w:lineRule="auto"/>
        <w:ind w:firstLineChars="200" w:firstLine="480"/>
        <w:rPr>
          <w:sz w:val="24"/>
        </w:rPr>
      </w:pPr>
      <w:r>
        <w:rPr>
          <w:sz w:val="24"/>
        </w:rPr>
        <w:t>（</w:t>
      </w:r>
      <w:r>
        <w:rPr>
          <w:sz w:val="24"/>
        </w:rPr>
        <w:t>4</w:t>
      </w:r>
      <w:r>
        <w:rPr>
          <w:sz w:val="24"/>
        </w:rPr>
        <w:t>）土壤环境</w:t>
      </w:r>
    </w:p>
    <w:p w:rsidR="00EE4502" w:rsidRDefault="00FD45A3">
      <w:pPr>
        <w:pStyle w:val="affc"/>
        <w:spacing w:line="360" w:lineRule="auto"/>
        <w:ind w:firstLine="480"/>
        <w:rPr>
          <w:rFonts w:ascii="Times New Roman" w:hAnsi="Times New Roman"/>
          <w:spacing w:val="0"/>
          <w:sz w:val="24"/>
          <w:szCs w:val="24"/>
        </w:rPr>
      </w:pPr>
      <w:r>
        <w:rPr>
          <w:rFonts w:ascii="Times New Roman" w:hAnsi="Times New Roman" w:hint="eastAsia"/>
          <w:spacing w:val="0"/>
          <w:sz w:val="24"/>
          <w:szCs w:val="24"/>
        </w:rPr>
        <w:t>工程周边</w:t>
      </w:r>
      <w:r>
        <w:rPr>
          <w:rFonts w:ascii="Times New Roman" w:hAnsi="Times New Roman" w:hint="eastAsia"/>
          <w:spacing w:val="0"/>
          <w:sz w:val="24"/>
          <w:szCs w:val="24"/>
        </w:rPr>
        <w:t>1</w:t>
      </w:r>
      <w:r>
        <w:rPr>
          <w:rFonts w:ascii="Times New Roman" w:hAnsi="Times New Roman"/>
          <w:spacing w:val="0"/>
          <w:sz w:val="24"/>
          <w:szCs w:val="24"/>
        </w:rPr>
        <w:t>km</w:t>
      </w:r>
      <w:r>
        <w:rPr>
          <w:rFonts w:ascii="Times New Roman" w:hAnsi="Times New Roman" w:hint="eastAsia"/>
          <w:spacing w:val="0"/>
          <w:sz w:val="24"/>
          <w:szCs w:val="24"/>
        </w:rPr>
        <w:t>范围内</w:t>
      </w:r>
      <w:r>
        <w:rPr>
          <w:rFonts w:ascii="Times New Roman" w:hAnsi="Times New Roman" w:hint="eastAsia"/>
          <w:spacing w:val="0"/>
          <w:sz w:val="24"/>
          <w:szCs w:val="24"/>
        </w:rPr>
        <w:t>存在耕地</w:t>
      </w:r>
      <w:r>
        <w:rPr>
          <w:rFonts w:ascii="Times New Roman" w:hAnsi="Times New Roman"/>
          <w:spacing w:val="0"/>
          <w:sz w:val="24"/>
          <w:szCs w:val="24"/>
        </w:rPr>
        <w:t>，土壤环境评价执行《土壤环境质量</w:t>
      </w:r>
      <w:r>
        <w:rPr>
          <w:rFonts w:ascii="Times New Roman" w:hAnsi="Times New Roman"/>
          <w:spacing w:val="0"/>
          <w:sz w:val="24"/>
          <w:szCs w:val="24"/>
        </w:rPr>
        <w:t xml:space="preserve"> </w:t>
      </w:r>
      <w:r>
        <w:rPr>
          <w:rFonts w:ascii="Times New Roman" w:hAnsi="Times New Roman"/>
          <w:spacing w:val="0"/>
          <w:sz w:val="24"/>
          <w:szCs w:val="24"/>
        </w:rPr>
        <w:t>农用地土壤污染风险管控标准》（</w:t>
      </w:r>
      <w:r>
        <w:rPr>
          <w:rFonts w:ascii="Times New Roman" w:hAnsi="Times New Roman"/>
          <w:spacing w:val="0"/>
          <w:sz w:val="24"/>
          <w:szCs w:val="24"/>
        </w:rPr>
        <w:t>GB 15618-2018</w:t>
      </w:r>
      <w:r>
        <w:rPr>
          <w:rFonts w:ascii="Times New Roman" w:hAnsi="Times New Roman"/>
          <w:spacing w:val="0"/>
          <w:sz w:val="24"/>
          <w:szCs w:val="24"/>
        </w:rPr>
        <w:t>）</w:t>
      </w:r>
      <w:r>
        <w:rPr>
          <w:rFonts w:ascii="Times New Roman" w:hAnsi="Times New Roman" w:hint="eastAsia"/>
          <w:spacing w:val="0"/>
          <w:sz w:val="24"/>
          <w:szCs w:val="24"/>
        </w:rPr>
        <w:t>；</w:t>
      </w:r>
      <w:r>
        <w:rPr>
          <w:rFonts w:ascii="Times New Roman" w:hAnsi="Times New Roman" w:hint="eastAsia"/>
          <w:spacing w:val="0"/>
          <w:sz w:val="24"/>
          <w:szCs w:val="24"/>
        </w:rPr>
        <w:t>其他</w:t>
      </w:r>
      <w:r>
        <w:rPr>
          <w:rFonts w:ascii="Times New Roman" w:hAnsi="Times New Roman" w:hint="eastAsia"/>
          <w:spacing w:val="0"/>
          <w:sz w:val="24"/>
          <w:szCs w:val="24"/>
        </w:rPr>
        <w:t>井场</w:t>
      </w:r>
      <w:r>
        <w:rPr>
          <w:rFonts w:ascii="Times New Roman" w:hAnsi="Times New Roman"/>
          <w:spacing w:val="0"/>
          <w:sz w:val="24"/>
          <w:szCs w:val="24"/>
        </w:rPr>
        <w:t>区域</w:t>
      </w:r>
      <w:r>
        <w:rPr>
          <w:rFonts w:ascii="Times New Roman" w:hAnsi="Times New Roman" w:hint="eastAsia"/>
          <w:spacing w:val="0"/>
          <w:sz w:val="24"/>
          <w:szCs w:val="24"/>
        </w:rPr>
        <w:t>及周边区域</w:t>
      </w:r>
      <w:r>
        <w:rPr>
          <w:rFonts w:ascii="Times New Roman" w:hAnsi="Times New Roman"/>
          <w:spacing w:val="0"/>
          <w:sz w:val="24"/>
          <w:szCs w:val="24"/>
        </w:rPr>
        <w:t>土壤环境评价执行《土壤环境质量</w:t>
      </w:r>
      <w:r>
        <w:rPr>
          <w:rFonts w:ascii="Times New Roman" w:hAnsi="Times New Roman"/>
          <w:spacing w:val="0"/>
          <w:sz w:val="24"/>
          <w:szCs w:val="24"/>
        </w:rPr>
        <w:t xml:space="preserve"> </w:t>
      </w:r>
      <w:r>
        <w:rPr>
          <w:rFonts w:ascii="Times New Roman" w:hAnsi="Times New Roman"/>
          <w:spacing w:val="0"/>
          <w:sz w:val="24"/>
          <w:szCs w:val="24"/>
        </w:rPr>
        <w:t>建设用地土壤污染风险管控标准（试行）》（</w:t>
      </w:r>
      <w:r>
        <w:rPr>
          <w:rFonts w:ascii="Times New Roman" w:hAnsi="Times New Roman"/>
          <w:spacing w:val="0"/>
          <w:sz w:val="24"/>
          <w:szCs w:val="24"/>
        </w:rPr>
        <w:t>GB36600-2018</w:t>
      </w:r>
      <w:r>
        <w:rPr>
          <w:rFonts w:ascii="Times New Roman" w:hAnsi="Times New Roman"/>
          <w:spacing w:val="0"/>
          <w:sz w:val="24"/>
          <w:szCs w:val="24"/>
        </w:rPr>
        <w:t>）第二类用地风险筛选值。具体见表</w:t>
      </w:r>
      <w:r>
        <w:rPr>
          <w:rFonts w:ascii="Times New Roman" w:hAnsi="Times New Roman"/>
          <w:spacing w:val="0"/>
          <w:sz w:val="24"/>
          <w:szCs w:val="24"/>
        </w:rPr>
        <w:t>2-</w:t>
      </w:r>
      <w:r>
        <w:rPr>
          <w:rFonts w:ascii="Times New Roman" w:hAnsi="Times New Roman" w:hint="eastAsia"/>
          <w:spacing w:val="0"/>
          <w:sz w:val="24"/>
          <w:szCs w:val="24"/>
        </w:rPr>
        <w:t>4</w:t>
      </w:r>
      <w:r>
        <w:rPr>
          <w:rFonts w:ascii="Times New Roman" w:hAnsi="Times New Roman"/>
          <w:spacing w:val="0"/>
          <w:sz w:val="24"/>
          <w:szCs w:val="24"/>
        </w:rPr>
        <w:t>-</w:t>
      </w:r>
      <w:r>
        <w:rPr>
          <w:rFonts w:ascii="Times New Roman" w:hAnsi="Times New Roman" w:hint="eastAsia"/>
          <w:spacing w:val="0"/>
          <w:sz w:val="24"/>
          <w:szCs w:val="24"/>
        </w:rPr>
        <w:t>4</w:t>
      </w:r>
      <w:r>
        <w:rPr>
          <w:rFonts w:ascii="Times New Roman" w:hAnsi="Times New Roman"/>
          <w:spacing w:val="0"/>
          <w:sz w:val="24"/>
          <w:szCs w:val="24"/>
        </w:rPr>
        <w:t>及</w:t>
      </w:r>
      <w:r>
        <w:rPr>
          <w:rFonts w:ascii="Times New Roman" w:hAnsi="Times New Roman"/>
          <w:spacing w:val="0"/>
          <w:sz w:val="24"/>
          <w:szCs w:val="24"/>
        </w:rPr>
        <w:t>2-</w:t>
      </w:r>
      <w:r>
        <w:rPr>
          <w:rFonts w:ascii="Times New Roman" w:hAnsi="Times New Roman" w:hint="eastAsia"/>
          <w:spacing w:val="0"/>
          <w:sz w:val="24"/>
          <w:szCs w:val="24"/>
        </w:rPr>
        <w:t>4</w:t>
      </w:r>
      <w:r>
        <w:rPr>
          <w:rFonts w:ascii="Times New Roman" w:hAnsi="Times New Roman"/>
          <w:spacing w:val="0"/>
          <w:sz w:val="24"/>
          <w:szCs w:val="24"/>
        </w:rPr>
        <w:t>-</w:t>
      </w:r>
      <w:r>
        <w:rPr>
          <w:rFonts w:ascii="Times New Roman" w:hAnsi="Times New Roman" w:hint="eastAsia"/>
          <w:spacing w:val="0"/>
          <w:sz w:val="24"/>
          <w:szCs w:val="24"/>
        </w:rPr>
        <w:t>5</w:t>
      </w:r>
      <w:r>
        <w:rPr>
          <w:rFonts w:ascii="Times New Roman" w:hAnsi="Times New Roman"/>
          <w:spacing w:val="0"/>
          <w:sz w:val="24"/>
          <w:szCs w:val="24"/>
        </w:rPr>
        <w:t>。</w:t>
      </w:r>
    </w:p>
    <w:p w:rsidR="00EE4502" w:rsidRDefault="00FD45A3">
      <w:pPr>
        <w:spacing w:line="360" w:lineRule="auto"/>
        <w:jc w:val="center"/>
        <w:rPr>
          <w:rFonts w:eastAsia="黑体"/>
          <w:bCs/>
          <w:lang w:val="zh-CN"/>
        </w:rPr>
      </w:pPr>
      <w:r>
        <w:rPr>
          <w:rFonts w:eastAsia="黑体"/>
          <w:bCs/>
          <w:lang w:val="zh-CN"/>
        </w:rPr>
        <w:t>表</w:t>
      </w:r>
      <w:r>
        <w:rPr>
          <w:rFonts w:eastAsia="黑体"/>
          <w:bCs/>
          <w:lang w:val="zh-CN"/>
        </w:rPr>
        <w:t>2</w:t>
      </w:r>
      <w:r>
        <w:rPr>
          <w:rFonts w:eastAsia="黑体"/>
          <w:bCs/>
        </w:rPr>
        <w:t>-</w:t>
      </w:r>
      <w:r>
        <w:rPr>
          <w:rFonts w:eastAsia="黑体" w:hint="eastAsia"/>
          <w:bCs/>
        </w:rPr>
        <w:t>4</w:t>
      </w:r>
      <w:r>
        <w:rPr>
          <w:rFonts w:eastAsia="黑体"/>
          <w:bCs/>
          <w:lang w:val="zh-CN"/>
        </w:rPr>
        <w:t>-</w:t>
      </w:r>
      <w:r>
        <w:rPr>
          <w:rFonts w:eastAsia="黑体" w:hint="eastAsia"/>
          <w:bCs/>
        </w:rPr>
        <w:t>4</w:t>
      </w:r>
      <w:r>
        <w:rPr>
          <w:rFonts w:eastAsia="黑体"/>
          <w:bCs/>
          <w:lang w:val="zh-CN"/>
        </w:rPr>
        <w:t xml:space="preserve">  </w:t>
      </w:r>
      <w:r>
        <w:rPr>
          <w:rFonts w:eastAsia="黑体"/>
          <w:bCs/>
          <w:lang w:val="zh-CN"/>
        </w:rPr>
        <w:t>土壤环境质量标准值（农用地）</w:t>
      </w:r>
      <w:r>
        <w:rPr>
          <w:rFonts w:eastAsia="黑体"/>
          <w:bCs/>
          <w:lang w:val="zh-CN"/>
        </w:rPr>
        <w:t xml:space="preserve">    </w:t>
      </w:r>
      <w:r>
        <w:rPr>
          <w:rFonts w:eastAsia="黑体"/>
          <w:bCs/>
          <w:lang w:val="zh-CN"/>
        </w:rPr>
        <w:t>单位：</w:t>
      </w:r>
      <w:r>
        <w:rPr>
          <w:rFonts w:eastAsia="黑体"/>
          <w:bCs/>
          <w:lang w:val="zh-CN"/>
        </w:rPr>
        <w:t>mg/kg</w:t>
      </w:r>
    </w:p>
    <w:tbl>
      <w:tblPr>
        <w:tblW w:w="4998" w:type="pct"/>
        <w:jc w:val="center"/>
        <w:tblBorders>
          <w:top w:val="single" w:sz="8" w:space="0" w:color="auto"/>
          <w:bottom w:val="single" w:sz="8" w:space="0" w:color="auto"/>
          <w:insideH w:val="single" w:sz="8" w:space="0" w:color="auto"/>
          <w:insideV w:val="single" w:sz="8" w:space="0" w:color="auto"/>
        </w:tblBorders>
        <w:tblLook w:val="04A0" w:firstRow="1" w:lastRow="0" w:firstColumn="1" w:lastColumn="0" w:noHBand="0" w:noVBand="1"/>
      </w:tblPr>
      <w:tblGrid>
        <w:gridCol w:w="3228"/>
        <w:gridCol w:w="1017"/>
        <w:gridCol w:w="1573"/>
        <w:gridCol w:w="1573"/>
        <w:gridCol w:w="1128"/>
      </w:tblGrid>
      <w:tr w:rsidR="00EE4502">
        <w:trPr>
          <w:trHeight w:val="340"/>
          <w:jc w:val="center"/>
        </w:trPr>
        <w:tc>
          <w:tcPr>
            <w:tcW w:w="1893" w:type="pct"/>
            <w:vAlign w:val="center"/>
          </w:tcPr>
          <w:p w:rsidR="00EE4502" w:rsidRDefault="00FD45A3">
            <w:pPr>
              <w:widowControl/>
              <w:jc w:val="center"/>
              <w:rPr>
                <w:kern w:val="0"/>
                <w:szCs w:val="21"/>
              </w:rPr>
            </w:pPr>
            <w:r>
              <w:rPr>
                <w:rFonts w:hAnsi="宋体"/>
                <w:kern w:val="0"/>
                <w:szCs w:val="21"/>
              </w:rPr>
              <w:t>项目（标准选取其他类型）</w:t>
            </w:r>
          </w:p>
        </w:tc>
        <w:tc>
          <w:tcPr>
            <w:tcW w:w="597" w:type="pct"/>
            <w:vAlign w:val="center"/>
          </w:tcPr>
          <w:p w:rsidR="00EE4502" w:rsidRDefault="00FD45A3">
            <w:pPr>
              <w:widowControl/>
              <w:jc w:val="center"/>
              <w:rPr>
                <w:kern w:val="0"/>
                <w:szCs w:val="21"/>
              </w:rPr>
            </w:pPr>
            <w:r>
              <w:rPr>
                <w:rFonts w:hint="eastAsia"/>
                <w:kern w:val="0"/>
                <w:szCs w:val="21"/>
              </w:rPr>
              <w:t>p</w:t>
            </w:r>
            <w:r>
              <w:rPr>
                <w:kern w:val="0"/>
                <w:szCs w:val="21"/>
              </w:rPr>
              <w:t>H≤5.5</w:t>
            </w:r>
          </w:p>
        </w:tc>
        <w:tc>
          <w:tcPr>
            <w:tcW w:w="923" w:type="pct"/>
            <w:vAlign w:val="center"/>
          </w:tcPr>
          <w:p w:rsidR="00EE4502" w:rsidRDefault="00FD45A3">
            <w:pPr>
              <w:widowControl/>
              <w:jc w:val="center"/>
              <w:rPr>
                <w:kern w:val="0"/>
                <w:szCs w:val="21"/>
              </w:rPr>
            </w:pPr>
            <w:r>
              <w:rPr>
                <w:kern w:val="0"/>
                <w:szCs w:val="21"/>
              </w:rPr>
              <w:t>5.5</w:t>
            </w:r>
            <w:r>
              <w:rPr>
                <w:rFonts w:hint="eastAsia"/>
                <w:kern w:val="0"/>
                <w:szCs w:val="21"/>
              </w:rPr>
              <w:t>&lt;</w:t>
            </w:r>
            <w:r>
              <w:rPr>
                <w:rFonts w:hint="eastAsia"/>
                <w:kern w:val="0"/>
                <w:szCs w:val="21"/>
              </w:rPr>
              <w:t>p</w:t>
            </w:r>
            <w:r>
              <w:rPr>
                <w:kern w:val="0"/>
                <w:szCs w:val="21"/>
              </w:rPr>
              <w:t>H≤6.5</w:t>
            </w:r>
          </w:p>
        </w:tc>
        <w:tc>
          <w:tcPr>
            <w:tcW w:w="923" w:type="pct"/>
            <w:vAlign w:val="center"/>
          </w:tcPr>
          <w:p w:rsidR="00EE4502" w:rsidRDefault="00FD45A3">
            <w:pPr>
              <w:widowControl/>
              <w:jc w:val="center"/>
              <w:rPr>
                <w:kern w:val="0"/>
                <w:szCs w:val="21"/>
              </w:rPr>
            </w:pPr>
            <w:r>
              <w:rPr>
                <w:kern w:val="0"/>
                <w:szCs w:val="21"/>
              </w:rPr>
              <w:t>6.5</w:t>
            </w:r>
            <w:r>
              <w:rPr>
                <w:rFonts w:hint="eastAsia"/>
                <w:kern w:val="0"/>
                <w:szCs w:val="21"/>
              </w:rPr>
              <w:t>&lt;</w:t>
            </w:r>
            <w:r>
              <w:rPr>
                <w:rFonts w:hint="eastAsia"/>
                <w:kern w:val="0"/>
                <w:szCs w:val="21"/>
              </w:rPr>
              <w:t>p</w:t>
            </w:r>
            <w:r>
              <w:rPr>
                <w:kern w:val="0"/>
                <w:szCs w:val="21"/>
              </w:rPr>
              <w:t>H≤7.5</w:t>
            </w:r>
          </w:p>
        </w:tc>
        <w:tc>
          <w:tcPr>
            <w:tcW w:w="662" w:type="pct"/>
            <w:vAlign w:val="center"/>
          </w:tcPr>
          <w:p w:rsidR="00EE4502" w:rsidRDefault="00FD45A3">
            <w:pPr>
              <w:widowControl/>
              <w:jc w:val="center"/>
              <w:rPr>
                <w:kern w:val="0"/>
                <w:szCs w:val="21"/>
              </w:rPr>
            </w:pPr>
            <w:r>
              <w:rPr>
                <w:rFonts w:hint="eastAsia"/>
                <w:kern w:val="0"/>
                <w:szCs w:val="21"/>
              </w:rPr>
              <w:t>p</w:t>
            </w:r>
            <w:r>
              <w:rPr>
                <w:kern w:val="0"/>
                <w:szCs w:val="21"/>
              </w:rPr>
              <w:t>H</w:t>
            </w:r>
            <w:r>
              <w:rPr>
                <w:rFonts w:hint="eastAsia"/>
                <w:kern w:val="0"/>
                <w:szCs w:val="21"/>
              </w:rPr>
              <w:t>&gt;</w:t>
            </w:r>
            <w:r>
              <w:rPr>
                <w:kern w:val="0"/>
                <w:szCs w:val="21"/>
              </w:rPr>
              <w:t>7.5</w:t>
            </w:r>
          </w:p>
        </w:tc>
      </w:tr>
      <w:tr w:rsidR="00EE4502">
        <w:trPr>
          <w:trHeight w:val="340"/>
          <w:jc w:val="center"/>
        </w:trPr>
        <w:tc>
          <w:tcPr>
            <w:tcW w:w="1893" w:type="pct"/>
            <w:vAlign w:val="center"/>
          </w:tcPr>
          <w:p w:rsidR="00EE4502" w:rsidRDefault="00FD45A3">
            <w:pPr>
              <w:widowControl/>
              <w:jc w:val="center"/>
              <w:rPr>
                <w:kern w:val="0"/>
                <w:szCs w:val="21"/>
              </w:rPr>
            </w:pPr>
            <w:r>
              <w:rPr>
                <w:rFonts w:hAnsi="宋体"/>
                <w:kern w:val="0"/>
                <w:szCs w:val="21"/>
              </w:rPr>
              <w:t>镉</w:t>
            </w:r>
          </w:p>
        </w:tc>
        <w:tc>
          <w:tcPr>
            <w:tcW w:w="597" w:type="pct"/>
            <w:vAlign w:val="center"/>
          </w:tcPr>
          <w:p w:rsidR="00EE4502" w:rsidRDefault="00FD45A3">
            <w:pPr>
              <w:widowControl/>
              <w:jc w:val="center"/>
              <w:rPr>
                <w:kern w:val="0"/>
                <w:szCs w:val="21"/>
              </w:rPr>
            </w:pPr>
            <w:r>
              <w:rPr>
                <w:kern w:val="0"/>
                <w:szCs w:val="21"/>
              </w:rPr>
              <w:t>0.3</w:t>
            </w:r>
          </w:p>
        </w:tc>
        <w:tc>
          <w:tcPr>
            <w:tcW w:w="923" w:type="pct"/>
            <w:vAlign w:val="center"/>
          </w:tcPr>
          <w:p w:rsidR="00EE4502" w:rsidRDefault="00FD45A3">
            <w:pPr>
              <w:widowControl/>
              <w:jc w:val="center"/>
              <w:rPr>
                <w:kern w:val="0"/>
                <w:szCs w:val="21"/>
              </w:rPr>
            </w:pPr>
            <w:r>
              <w:rPr>
                <w:kern w:val="0"/>
                <w:szCs w:val="21"/>
              </w:rPr>
              <w:t>0.4</w:t>
            </w:r>
          </w:p>
        </w:tc>
        <w:tc>
          <w:tcPr>
            <w:tcW w:w="923" w:type="pct"/>
            <w:vAlign w:val="center"/>
          </w:tcPr>
          <w:p w:rsidR="00EE4502" w:rsidRDefault="00FD45A3">
            <w:pPr>
              <w:widowControl/>
              <w:jc w:val="center"/>
              <w:rPr>
                <w:kern w:val="0"/>
                <w:szCs w:val="21"/>
              </w:rPr>
            </w:pPr>
            <w:r>
              <w:rPr>
                <w:kern w:val="0"/>
                <w:szCs w:val="21"/>
              </w:rPr>
              <w:t>0.6</w:t>
            </w:r>
          </w:p>
        </w:tc>
        <w:tc>
          <w:tcPr>
            <w:tcW w:w="662" w:type="pct"/>
            <w:vAlign w:val="center"/>
          </w:tcPr>
          <w:p w:rsidR="00EE4502" w:rsidRDefault="00FD45A3">
            <w:pPr>
              <w:widowControl/>
              <w:jc w:val="center"/>
              <w:rPr>
                <w:kern w:val="0"/>
                <w:szCs w:val="21"/>
              </w:rPr>
            </w:pPr>
            <w:r>
              <w:rPr>
                <w:kern w:val="0"/>
                <w:szCs w:val="21"/>
              </w:rPr>
              <w:t>0.6</w:t>
            </w:r>
          </w:p>
        </w:tc>
      </w:tr>
      <w:tr w:rsidR="00EE4502">
        <w:trPr>
          <w:trHeight w:val="340"/>
          <w:jc w:val="center"/>
        </w:trPr>
        <w:tc>
          <w:tcPr>
            <w:tcW w:w="1893" w:type="pct"/>
            <w:vAlign w:val="center"/>
          </w:tcPr>
          <w:p w:rsidR="00EE4502" w:rsidRDefault="00FD45A3">
            <w:pPr>
              <w:widowControl/>
              <w:jc w:val="center"/>
              <w:rPr>
                <w:kern w:val="0"/>
                <w:szCs w:val="21"/>
              </w:rPr>
            </w:pPr>
            <w:r>
              <w:rPr>
                <w:rFonts w:hAnsi="宋体"/>
                <w:kern w:val="0"/>
                <w:szCs w:val="21"/>
              </w:rPr>
              <w:t>汞</w:t>
            </w:r>
          </w:p>
        </w:tc>
        <w:tc>
          <w:tcPr>
            <w:tcW w:w="597" w:type="pct"/>
            <w:vAlign w:val="center"/>
          </w:tcPr>
          <w:p w:rsidR="00EE4502" w:rsidRDefault="00FD45A3">
            <w:pPr>
              <w:widowControl/>
              <w:jc w:val="center"/>
              <w:rPr>
                <w:kern w:val="0"/>
                <w:szCs w:val="21"/>
              </w:rPr>
            </w:pPr>
            <w:r>
              <w:rPr>
                <w:kern w:val="0"/>
                <w:szCs w:val="21"/>
              </w:rPr>
              <w:t>1.3</w:t>
            </w:r>
          </w:p>
        </w:tc>
        <w:tc>
          <w:tcPr>
            <w:tcW w:w="923" w:type="pct"/>
            <w:vAlign w:val="center"/>
          </w:tcPr>
          <w:p w:rsidR="00EE4502" w:rsidRDefault="00FD45A3">
            <w:pPr>
              <w:widowControl/>
              <w:jc w:val="center"/>
              <w:rPr>
                <w:kern w:val="0"/>
                <w:szCs w:val="21"/>
              </w:rPr>
            </w:pPr>
            <w:r>
              <w:rPr>
                <w:kern w:val="0"/>
                <w:szCs w:val="21"/>
              </w:rPr>
              <w:t>1.8</w:t>
            </w:r>
          </w:p>
        </w:tc>
        <w:tc>
          <w:tcPr>
            <w:tcW w:w="923" w:type="pct"/>
            <w:vAlign w:val="center"/>
          </w:tcPr>
          <w:p w:rsidR="00EE4502" w:rsidRDefault="00FD45A3">
            <w:pPr>
              <w:widowControl/>
              <w:jc w:val="center"/>
              <w:rPr>
                <w:kern w:val="0"/>
                <w:szCs w:val="21"/>
              </w:rPr>
            </w:pPr>
            <w:r>
              <w:rPr>
                <w:kern w:val="0"/>
                <w:szCs w:val="21"/>
              </w:rPr>
              <w:t>2.4</w:t>
            </w:r>
          </w:p>
        </w:tc>
        <w:tc>
          <w:tcPr>
            <w:tcW w:w="662" w:type="pct"/>
            <w:vAlign w:val="center"/>
          </w:tcPr>
          <w:p w:rsidR="00EE4502" w:rsidRDefault="00FD45A3">
            <w:pPr>
              <w:widowControl/>
              <w:jc w:val="center"/>
              <w:rPr>
                <w:kern w:val="0"/>
                <w:szCs w:val="21"/>
              </w:rPr>
            </w:pPr>
            <w:r>
              <w:rPr>
                <w:kern w:val="0"/>
                <w:szCs w:val="21"/>
              </w:rPr>
              <w:t>3.4</w:t>
            </w:r>
          </w:p>
        </w:tc>
      </w:tr>
      <w:tr w:rsidR="00EE4502">
        <w:trPr>
          <w:trHeight w:val="340"/>
          <w:jc w:val="center"/>
        </w:trPr>
        <w:tc>
          <w:tcPr>
            <w:tcW w:w="1893" w:type="pct"/>
            <w:vAlign w:val="center"/>
          </w:tcPr>
          <w:p w:rsidR="00EE4502" w:rsidRDefault="00FD45A3">
            <w:pPr>
              <w:widowControl/>
              <w:jc w:val="center"/>
              <w:rPr>
                <w:kern w:val="0"/>
                <w:szCs w:val="21"/>
              </w:rPr>
            </w:pPr>
            <w:r>
              <w:rPr>
                <w:rFonts w:hAnsi="宋体"/>
                <w:kern w:val="0"/>
                <w:szCs w:val="21"/>
              </w:rPr>
              <w:t>砷</w:t>
            </w:r>
          </w:p>
        </w:tc>
        <w:tc>
          <w:tcPr>
            <w:tcW w:w="597" w:type="pct"/>
            <w:vAlign w:val="center"/>
          </w:tcPr>
          <w:p w:rsidR="00EE4502" w:rsidRDefault="00FD45A3">
            <w:pPr>
              <w:widowControl/>
              <w:jc w:val="center"/>
              <w:rPr>
                <w:kern w:val="0"/>
                <w:szCs w:val="21"/>
              </w:rPr>
            </w:pPr>
            <w:r>
              <w:rPr>
                <w:kern w:val="0"/>
                <w:szCs w:val="21"/>
              </w:rPr>
              <w:t>40</w:t>
            </w:r>
          </w:p>
        </w:tc>
        <w:tc>
          <w:tcPr>
            <w:tcW w:w="923" w:type="pct"/>
            <w:vAlign w:val="center"/>
          </w:tcPr>
          <w:p w:rsidR="00EE4502" w:rsidRDefault="00FD45A3">
            <w:pPr>
              <w:widowControl/>
              <w:jc w:val="center"/>
              <w:rPr>
                <w:kern w:val="0"/>
                <w:szCs w:val="21"/>
              </w:rPr>
            </w:pPr>
            <w:r>
              <w:rPr>
                <w:kern w:val="0"/>
                <w:szCs w:val="21"/>
              </w:rPr>
              <w:t>40</w:t>
            </w:r>
          </w:p>
        </w:tc>
        <w:tc>
          <w:tcPr>
            <w:tcW w:w="923" w:type="pct"/>
            <w:vAlign w:val="center"/>
          </w:tcPr>
          <w:p w:rsidR="00EE4502" w:rsidRDefault="00FD45A3">
            <w:pPr>
              <w:widowControl/>
              <w:jc w:val="center"/>
              <w:rPr>
                <w:kern w:val="0"/>
                <w:szCs w:val="21"/>
              </w:rPr>
            </w:pPr>
            <w:r>
              <w:rPr>
                <w:kern w:val="0"/>
                <w:szCs w:val="21"/>
              </w:rPr>
              <w:t>30</w:t>
            </w:r>
          </w:p>
        </w:tc>
        <w:tc>
          <w:tcPr>
            <w:tcW w:w="662" w:type="pct"/>
            <w:vAlign w:val="center"/>
          </w:tcPr>
          <w:p w:rsidR="00EE4502" w:rsidRDefault="00FD45A3">
            <w:pPr>
              <w:widowControl/>
              <w:jc w:val="center"/>
              <w:rPr>
                <w:kern w:val="0"/>
                <w:szCs w:val="21"/>
              </w:rPr>
            </w:pPr>
            <w:r>
              <w:rPr>
                <w:kern w:val="0"/>
                <w:szCs w:val="21"/>
              </w:rPr>
              <w:t>25</w:t>
            </w:r>
          </w:p>
        </w:tc>
      </w:tr>
      <w:tr w:rsidR="00EE4502">
        <w:trPr>
          <w:trHeight w:val="340"/>
          <w:jc w:val="center"/>
        </w:trPr>
        <w:tc>
          <w:tcPr>
            <w:tcW w:w="1893" w:type="pct"/>
            <w:vAlign w:val="center"/>
          </w:tcPr>
          <w:p w:rsidR="00EE4502" w:rsidRDefault="00FD45A3">
            <w:pPr>
              <w:widowControl/>
              <w:jc w:val="center"/>
              <w:rPr>
                <w:kern w:val="0"/>
                <w:szCs w:val="21"/>
              </w:rPr>
            </w:pPr>
            <w:r>
              <w:rPr>
                <w:rFonts w:hAnsi="宋体"/>
                <w:kern w:val="0"/>
                <w:szCs w:val="21"/>
              </w:rPr>
              <w:t>铜</w:t>
            </w:r>
          </w:p>
        </w:tc>
        <w:tc>
          <w:tcPr>
            <w:tcW w:w="597" w:type="pct"/>
            <w:vAlign w:val="center"/>
          </w:tcPr>
          <w:p w:rsidR="00EE4502" w:rsidRDefault="00FD45A3">
            <w:pPr>
              <w:widowControl/>
              <w:jc w:val="center"/>
              <w:rPr>
                <w:kern w:val="0"/>
                <w:szCs w:val="21"/>
              </w:rPr>
            </w:pPr>
            <w:r>
              <w:rPr>
                <w:kern w:val="0"/>
                <w:szCs w:val="21"/>
              </w:rPr>
              <w:t>50</w:t>
            </w:r>
          </w:p>
        </w:tc>
        <w:tc>
          <w:tcPr>
            <w:tcW w:w="923" w:type="pct"/>
            <w:vAlign w:val="center"/>
          </w:tcPr>
          <w:p w:rsidR="00EE4502" w:rsidRDefault="00FD45A3">
            <w:pPr>
              <w:widowControl/>
              <w:jc w:val="center"/>
              <w:rPr>
                <w:kern w:val="0"/>
                <w:szCs w:val="21"/>
              </w:rPr>
            </w:pPr>
            <w:r>
              <w:rPr>
                <w:kern w:val="0"/>
                <w:szCs w:val="21"/>
              </w:rPr>
              <w:t>50</w:t>
            </w:r>
          </w:p>
        </w:tc>
        <w:tc>
          <w:tcPr>
            <w:tcW w:w="923" w:type="pct"/>
            <w:vAlign w:val="center"/>
          </w:tcPr>
          <w:p w:rsidR="00EE4502" w:rsidRDefault="00FD45A3">
            <w:pPr>
              <w:widowControl/>
              <w:jc w:val="center"/>
              <w:rPr>
                <w:kern w:val="0"/>
                <w:szCs w:val="21"/>
              </w:rPr>
            </w:pPr>
            <w:r>
              <w:rPr>
                <w:kern w:val="0"/>
                <w:szCs w:val="21"/>
              </w:rPr>
              <w:t>100</w:t>
            </w:r>
          </w:p>
        </w:tc>
        <w:tc>
          <w:tcPr>
            <w:tcW w:w="662" w:type="pct"/>
            <w:vAlign w:val="center"/>
          </w:tcPr>
          <w:p w:rsidR="00EE4502" w:rsidRDefault="00FD45A3">
            <w:pPr>
              <w:widowControl/>
              <w:jc w:val="center"/>
              <w:rPr>
                <w:kern w:val="0"/>
                <w:szCs w:val="21"/>
              </w:rPr>
            </w:pPr>
            <w:r>
              <w:rPr>
                <w:kern w:val="0"/>
                <w:szCs w:val="21"/>
              </w:rPr>
              <w:t>100</w:t>
            </w:r>
          </w:p>
        </w:tc>
      </w:tr>
      <w:tr w:rsidR="00EE4502">
        <w:trPr>
          <w:trHeight w:val="340"/>
          <w:jc w:val="center"/>
        </w:trPr>
        <w:tc>
          <w:tcPr>
            <w:tcW w:w="1893" w:type="pct"/>
            <w:vAlign w:val="center"/>
          </w:tcPr>
          <w:p w:rsidR="00EE4502" w:rsidRDefault="00FD45A3">
            <w:pPr>
              <w:widowControl/>
              <w:jc w:val="center"/>
              <w:rPr>
                <w:kern w:val="0"/>
                <w:szCs w:val="21"/>
              </w:rPr>
            </w:pPr>
            <w:r>
              <w:rPr>
                <w:rFonts w:hAnsi="宋体"/>
                <w:kern w:val="0"/>
                <w:szCs w:val="21"/>
              </w:rPr>
              <w:t>铅</w:t>
            </w:r>
          </w:p>
        </w:tc>
        <w:tc>
          <w:tcPr>
            <w:tcW w:w="597" w:type="pct"/>
            <w:vAlign w:val="center"/>
          </w:tcPr>
          <w:p w:rsidR="00EE4502" w:rsidRDefault="00FD45A3">
            <w:pPr>
              <w:widowControl/>
              <w:jc w:val="center"/>
              <w:rPr>
                <w:kern w:val="0"/>
                <w:szCs w:val="21"/>
              </w:rPr>
            </w:pPr>
            <w:r>
              <w:rPr>
                <w:kern w:val="0"/>
                <w:szCs w:val="21"/>
              </w:rPr>
              <w:t>70</w:t>
            </w:r>
          </w:p>
        </w:tc>
        <w:tc>
          <w:tcPr>
            <w:tcW w:w="923" w:type="pct"/>
            <w:vAlign w:val="center"/>
          </w:tcPr>
          <w:p w:rsidR="00EE4502" w:rsidRDefault="00FD45A3">
            <w:pPr>
              <w:widowControl/>
              <w:jc w:val="center"/>
              <w:rPr>
                <w:kern w:val="0"/>
                <w:szCs w:val="21"/>
              </w:rPr>
            </w:pPr>
            <w:r>
              <w:rPr>
                <w:kern w:val="0"/>
                <w:szCs w:val="21"/>
              </w:rPr>
              <w:t>90</w:t>
            </w:r>
          </w:p>
        </w:tc>
        <w:tc>
          <w:tcPr>
            <w:tcW w:w="923" w:type="pct"/>
            <w:vAlign w:val="center"/>
          </w:tcPr>
          <w:p w:rsidR="00EE4502" w:rsidRDefault="00FD45A3">
            <w:pPr>
              <w:widowControl/>
              <w:jc w:val="center"/>
              <w:rPr>
                <w:kern w:val="0"/>
                <w:szCs w:val="21"/>
              </w:rPr>
            </w:pPr>
            <w:r>
              <w:rPr>
                <w:kern w:val="0"/>
                <w:szCs w:val="21"/>
              </w:rPr>
              <w:t>120</w:t>
            </w:r>
          </w:p>
        </w:tc>
        <w:tc>
          <w:tcPr>
            <w:tcW w:w="662" w:type="pct"/>
            <w:vAlign w:val="center"/>
          </w:tcPr>
          <w:p w:rsidR="00EE4502" w:rsidRDefault="00FD45A3">
            <w:pPr>
              <w:widowControl/>
              <w:jc w:val="center"/>
              <w:rPr>
                <w:kern w:val="0"/>
                <w:szCs w:val="21"/>
              </w:rPr>
            </w:pPr>
            <w:r>
              <w:rPr>
                <w:kern w:val="0"/>
                <w:szCs w:val="21"/>
              </w:rPr>
              <w:t>170</w:t>
            </w:r>
          </w:p>
        </w:tc>
      </w:tr>
      <w:tr w:rsidR="00EE4502">
        <w:trPr>
          <w:trHeight w:val="340"/>
          <w:jc w:val="center"/>
        </w:trPr>
        <w:tc>
          <w:tcPr>
            <w:tcW w:w="1893" w:type="pct"/>
            <w:vAlign w:val="center"/>
          </w:tcPr>
          <w:p w:rsidR="00EE4502" w:rsidRDefault="00FD45A3">
            <w:pPr>
              <w:widowControl/>
              <w:jc w:val="center"/>
              <w:rPr>
                <w:kern w:val="0"/>
                <w:szCs w:val="21"/>
              </w:rPr>
            </w:pPr>
            <w:r>
              <w:rPr>
                <w:rFonts w:hAnsi="宋体"/>
                <w:kern w:val="0"/>
                <w:szCs w:val="21"/>
              </w:rPr>
              <w:t>铬</w:t>
            </w:r>
          </w:p>
        </w:tc>
        <w:tc>
          <w:tcPr>
            <w:tcW w:w="597" w:type="pct"/>
            <w:vAlign w:val="center"/>
          </w:tcPr>
          <w:p w:rsidR="00EE4502" w:rsidRDefault="00FD45A3">
            <w:pPr>
              <w:widowControl/>
              <w:jc w:val="center"/>
              <w:rPr>
                <w:kern w:val="0"/>
                <w:szCs w:val="21"/>
              </w:rPr>
            </w:pPr>
            <w:r>
              <w:rPr>
                <w:kern w:val="0"/>
                <w:szCs w:val="21"/>
              </w:rPr>
              <w:t>150</w:t>
            </w:r>
          </w:p>
        </w:tc>
        <w:tc>
          <w:tcPr>
            <w:tcW w:w="923" w:type="pct"/>
            <w:vAlign w:val="center"/>
          </w:tcPr>
          <w:p w:rsidR="00EE4502" w:rsidRDefault="00FD45A3">
            <w:pPr>
              <w:widowControl/>
              <w:jc w:val="center"/>
              <w:rPr>
                <w:kern w:val="0"/>
                <w:szCs w:val="21"/>
              </w:rPr>
            </w:pPr>
            <w:r>
              <w:rPr>
                <w:kern w:val="0"/>
                <w:szCs w:val="21"/>
              </w:rPr>
              <w:t>150</w:t>
            </w:r>
          </w:p>
        </w:tc>
        <w:tc>
          <w:tcPr>
            <w:tcW w:w="923" w:type="pct"/>
            <w:vAlign w:val="center"/>
          </w:tcPr>
          <w:p w:rsidR="00EE4502" w:rsidRDefault="00FD45A3">
            <w:pPr>
              <w:widowControl/>
              <w:jc w:val="center"/>
              <w:rPr>
                <w:kern w:val="0"/>
                <w:szCs w:val="21"/>
              </w:rPr>
            </w:pPr>
            <w:r>
              <w:rPr>
                <w:kern w:val="0"/>
                <w:szCs w:val="21"/>
              </w:rPr>
              <w:t>200</w:t>
            </w:r>
          </w:p>
        </w:tc>
        <w:tc>
          <w:tcPr>
            <w:tcW w:w="662" w:type="pct"/>
            <w:vAlign w:val="center"/>
          </w:tcPr>
          <w:p w:rsidR="00EE4502" w:rsidRDefault="00FD45A3">
            <w:pPr>
              <w:widowControl/>
              <w:jc w:val="center"/>
              <w:rPr>
                <w:kern w:val="0"/>
                <w:szCs w:val="21"/>
              </w:rPr>
            </w:pPr>
            <w:r>
              <w:rPr>
                <w:kern w:val="0"/>
                <w:szCs w:val="21"/>
              </w:rPr>
              <w:t>250</w:t>
            </w:r>
          </w:p>
        </w:tc>
      </w:tr>
      <w:tr w:rsidR="00EE4502">
        <w:trPr>
          <w:trHeight w:val="340"/>
          <w:jc w:val="center"/>
        </w:trPr>
        <w:tc>
          <w:tcPr>
            <w:tcW w:w="1893" w:type="pct"/>
            <w:vAlign w:val="center"/>
          </w:tcPr>
          <w:p w:rsidR="00EE4502" w:rsidRDefault="00FD45A3">
            <w:pPr>
              <w:widowControl/>
              <w:jc w:val="center"/>
              <w:rPr>
                <w:kern w:val="0"/>
                <w:szCs w:val="21"/>
              </w:rPr>
            </w:pPr>
            <w:r>
              <w:rPr>
                <w:rFonts w:hAnsi="宋体"/>
                <w:kern w:val="0"/>
                <w:szCs w:val="21"/>
              </w:rPr>
              <w:t>锌</w:t>
            </w:r>
          </w:p>
        </w:tc>
        <w:tc>
          <w:tcPr>
            <w:tcW w:w="597" w:type="pct"/>
            <w:vAlign w:val="center"/>
          </w:tcPr>
          <w:p w:rsidR="00EE4502" w:rsidRDefault="00FD45A3">
            <w:pPr>
              <w:widowControl/>
              <w:jc w:val="center"/>
              <w:rPr>
                <w:kern w:val="0"/>
                <w:szCs w:val="21"/>
              </w:rPr>
            </w:pPr>
            <w:r>
              <w:rPr>
                <w:kern w:val="0"/>
                <w:szCs w:val="21"/>
              </w:rPr>
              <w:t>200</w:t>
            </w:r>
          </w:p>
        </w:tc>
        <w:tc>
          <w:tcPr>
            <w:tcW w:w="923" w:type="pct"/>
            <w:vAlign w:val="center"/>
          </w:tcPr>
          <w:p w:rsidR="00EE4502" w:rsidRDefault="00FD45A3">
            <w:pPr>
              <w:widowControl/>
              <w:jc w:val="center"/>
              <w:rPr>
                <w:kern w:val="0"/>
                <w:szCs w:val="21"/>
              </w:rPr>
            </w:pPr>
            <w:r>
              <w:rPr>
                <w:kern w:val="0"/>
                <w:szCs w:val="21"/>
              </w:rPr>
              <w:t>200</w:t>
            </w:r>
          </w:p>
        </w:tc>
        <w:tc>
          <w:tcPr>
            <w:tcW w:w="923" w:type="pct"/>
            <w:vAlign w:val="center"/>
          </w:tcPr>
          <w:p w:rsidR="00EE4502" w:rsidRDefault="00FD45A3">
            <w:pPr>
              <w:widowControl/>
              <w:jc w:val="center"/>
              <w:rPr>
                <w:kern w:val="0"/>
                <w:szCs w:val="21"/>
              </w:rPr>
            </w:pPr>
            <w:r>
              <w:rPr>
                <w:kern w:val="0"/>
                <w:szCs w:val="21"/>
              </w:rPr>
              <w:t>250</w:t>
            </w:r>
          </w:p>
        </w:tc>
        <w:tc>
          <w:tcPr>
            <w:tcW w:w="662" w:type="pct"/>
            <w:vAlign w:val="center"/>
          </w:tcPr>
          <w:p w:rsidR="00EE4502" w:rsidRDefault="00FD45A3">
            <w:pPr>
              <w:widowControl/>
              <w:jc w:val="center"/>
              <w:rPr>
                <w:kern w:val="0"/>
                <w:szCs w:val="21"/>
              </w:rPr>
            </w:pPr>
            <w:r>
              <w:rPr>
                <w:kern w:val="0"/>
                <w:szCs w:val="21"/>
              </w:rPr>
              <w:t>300</w:t>
            </w:r>
          </w:p>
        </w:tc>
      </w:tr>
      <w:tr w:rsidR="00EE4502">
        <w:trPr>
          <w:trHeight w:val="340"/>
          <w:jc w:val="center"/>
        </w:trPr>
        <w:tc>
          <w:tcPr>
            <w:tcW w:w="1893" w:type="pct"/>
            <w:vAlign w:val="center"/>
          </w:tcPr>
          <w:p w:rsidR="00EE4502" w:rsidRDefault="00FD45A3">
            <w:pPr>
              <w:widowControl/>
              <w:jc w:val="center"/>
              <w:rPr>
                <w:kern w:val="0"/>
                <w:szCs w:val="21"/>
              </w:rPr>
            </w:pPr>
            <w:r>
              <w:rPr>
                <w:rFonts w:hAnsi="宋体"/>
                <w:kern w:val="0"/>
                <w:szCs w:val="21"/>
              </w:rPr>
              <w:t>镍</w:t>
            </w:r>
          </w:p>
        </w:tc>
        <w:tc>
          <w:tcPr>
            <w:tcW w:w="597" w:type="pct"/>
            <w:vAlign w:val="center"/>
          </w:tcPr>
          <w:p w:rsidR="00EE4502" w:rsidRDefault="00FD45A3">
            <w:pPr>
              <w:widowControl/>
              <w:jc w:val="center"/>
              <w:rPr>
                <w:kern w:val="0"/>
                <w:szCs w:val="21"/>
              </w:rPr>
            </w:pPr>
            <w:r>
              <w:rPr>
                <w:kern w:val="0"/>
                <w:szCs w:val="21"/>
              </w:rPr>
              <w:t>60</w:t>
            </w:r>
          </w:p>
        </w:tc>
        <w:tc>
          <w:tcPr>
            <w:tcW w:w="923" w:type="pct"/>
            <w:vAlign w:val="center"/>
          </w:tcPr>
          <w:p w:rsidR="00EE4502" w:rsidRDefault="00FD45A3">
            <w:pPr>
              <w:widowControl/>
              <w:jc w:val="center"/>
              <w:rPr>
                <w:kern w:val="0"/>
                <w:szCs w:val="21"/>
              </w:rPr>
            </w:pPr>
            <w:r>
              <w:rPr>
                <w:kern w:val="0"/>
                <w:szCs w:val="21"/>
              </w:rPr>
              <w:t>70</w:t>
            </w:r>
          </w:p>
        </w:tc>
        <w:tc>
          <w:tcPr>
            <w:tcW w:w="923" w:type="pct"/>
            <w:vAlign w:val="center"/>
          </w:tcPr>
          <w:p w:rsidR="00EE4502" w:rsidRDefault="00FD45A3">
            <w:pPr>
              <w:widowControl/>
              <w:jc w:val="center"/>
              <w:rPr>
                <w:kern w:val="0"/>
                <w:szCs w:val="21"/>
              </w:rPr>
            </w:pPr>
            <w:r>
              <w:rPr>
                <w:kern w:val="0"/>
                <w:szCs w:val="21"/>
              </w:rPr>
              <w:t>100</w:t>
            </w:r>
          </w:p>
        </w:tc>
        <w:tc>
          <w:tcPr>
            <w:tcW w:w="662" w:type="pct"/>
            <w:vAlign w:val="center"/>
          </w:tcPr>
          <w:p w:rsidR="00EE4502" w:rsidRDefault="00FD45A3">
            <w:pPr>
              <w:widowControl/>
              <w:jc w:val="center"/>
              <w:rPr>
                <w:kern w:val="0"/>
                <w:szCs w:val="21"/>
              </w:rPr>
            </w:pPr>
            <w:r>
              <w:rPr>
                <w:kern w:val="0"/>
                <w:szCs w:val="21"/>
              </w:rPr>
              <w:t>190</w:t>
            </w:r>
          </w:p>
        </w:tc>
      </w:tr>
    </w:tbl>
    <w:p w:rsidR="00EE4502" w:rsidRDefault="00EE4502">
      <w:pPr>
        <w:jc w:val="center"/>
        <w:rPr>
          <w:sz w:val="18"/>
          <w:szCs w:val="18"/>
        </w:rPr>
      </w:pPr>
    </w:p>
    <w:p w:rsidR="00EE4502" w:rsidRDefault="00FD45A3">
      <w:pPr>
        <w:spacing w:line="360" w:lineRule="auto"/>
        <w:jc w:val="center"/>
        <w:rPr>
          <w:sz w:val="18"/>
          <w:szCs w:val="18"/>
        </w:rPr>
      </w:pPr>
      <w:r>
        <w:rPr>
          <w:rFonts w:eastAsia="黑体"/>
          <w:bCs/>
          <w:lang w:val="zh-CN"/>
        </w:rPr>
        <w:t>表</w:t>
      </w:r>
      <w:r>
        <w:rPr>
          <w:rFonts w:eastAsia="黑体"/>
          <w:bCs/>
          <w:lang w:val="zh-CN"/>
        </w:rPr>
        <w:t>2</w:t>
      </w:r>
      <w:r>
        <w:rPr>
          <w:rFonts w:eastAsia="黑体"/>
          <w:bCs/>
        </w:rPr>
        <w:t>-</w:t>
      </w:r>
      <w:r>
        <w:rPr>
          <w:rFonts w:eastAsia="黑体" w:hint="eastAsia"/>
          <w:bCs/>
        </w:rPr>
        <w:t>4</w:t>
      </w:r>
      <w:r>
        <w:rPr>
          <w:rFonts w:eastAsia="黑体"/>
          <w:bCs/>
          <w:lang w:val="zh-CN"/>
        </w:rPr>
        <w:t>-</w:t>
      </w:r>
      <w:r>
        <w:rPr>
          <w:rFonts w:eastAsia="黑体" w:hint="eastAsia"/>
          <w:bCs/>
        </w:rPr>
        <w:t>5</w:t>
      </w:r>
      <w:r>
        <w:rPr>
          <w:rFonts w:eastAsia="黑体"/>
          <w:bCs/>
          <w:lang w:val="zh-CN"/>
        </w:rPr>
        <w:t xml:space="preserve">  </w:t>
      </w:r>
      <w:r>
        <w:rPr>
          <w:rFonts w:eastAsia="黑体"/>
          <w:bCs/>
          <w:lang w:val="zh-CN"/>
        </w:rPr>
        <w:t>土壤环境质量标准值（建设用地）</w:t>
      </w:r>
      <w:r>
        <w:rPr>
          <w:rFonts w:eastAsia="黑体"/>
          <w:bCs/>
          <w:lang w:val="zh-CN"/>
        </w:rPr>
        <w:t xml:space="preserve">    </w:t>
      </w:r>
      <w:r>
        <w:rPr>
          <w:rFonts w:eastAsia="黑体"/>
          <w:bCs/>
          <w:lang w:val="zh-CN"/>
        </w:rPr>
        <w:t>单位：</w:t>
      </w:r>
      <w:r>
        <w:rPr>
          <w:rFonts w:eastAsia="黑体"/>
          <w:bCs/>
          <w:lang w:val="zh-CN"/>
        </w:rPr>
        <w:t>mg/kg</w:t>
      </w:r>
    </w:p>
    <w:tbl>
      <w:tblPr>
        <w:tblW w:w="4998" w:type="pct"/>
        <w:jc w:val="center"/>
        <w:tblBorders>
          <w:top w:val="single" w:sz="8" w:space="0" w:color="auto"/>
          <w:bottom w:val="single" w:sz="8" w:space="0" w:color="auto"/>
          <w:insideH w:val="single" w:sz="8" w:space="0" w:color="auto"/>
          <w:insideV w:val="single" w:sz="8" w:space="0" w:color="auto"/>
        </w:tblBorders>
        <w:tblLook w:val="04A0" w:firstRow="1" w:lastRow="0" w:firstColumn="1" w:lastColumn="0" w:noHBand="0" w:noVBand="1"/>
      </w:tblPr>
      <w:tblGrid>
        <w:gridCol w:w="816"/>
        <w:gridCol w:w="1982"/>
        <w:gridCol w:w="1414"/>
        <w:gridCol w:w="1440"/>
        <w:gridCol w:w="1431"/>
        <w:gridCol w:w="1436"/>
      </w:tblGrid>
      <w:tr w:rsidR="00EE4502">
        <w:trPr>
          <w:trHeight w:val="340"/>
          <w:tblHeader/>
          <w:jc w:val="center"/>
        </w:trPr>
        <w:tc>
          <w:tcPr>
            <w:tcW w:w="479" w:type="pct"/>
            <w:vMerge w:val="restart"/>
            <w:vAlign w:val="center"/>
          </w:tcPr>
          <w:p w:rsidR="00EE4502" w:rsidRDefault="00FD45A3">
            <w:pPr>
              <w:jc w:val="center"/>
              <w:rPr>
                <w:szCs w:val="21"/>
                <w:lang w:bidi="en-US"/>
              </w:rPr>
            </w:pPr>
            <w:r>
              <w:rPr>
                <w:rFonts w:hAnsi="宋体"/>
                <w:szCs w:val="21"/>
                <w:lang w:bidi="en-US"/>
              </w:rPr>
              <w:t>序号</w:t>
            </w:r>
          </w:p>
        </w:tc>
        <w:tc>
          <w:tcPr>
            <w:tcW w:w="1163" w:type="pct"/>
            <w:vMerge w:val="restart"/>
            <w:vAlign w:val="center"/>
          </w:tcPr>
          <w:p w:rsidR="00EE4502" w:rsidRDefault="00FD45A3">
            <w:pPr>
              <w:jc w:val="center"/>
              <w:rPr>
                <w:szCs w:val="21"/>
                <w:lang w:bidi="en-US"/>
              </w:rPr>
            </w:pPr>
            <w:r>
              <w:rPr>
                <w:rFonts w:hAnsi="宋体"/>
                <w:szCs w:val="21"/>
                <w:lang w:bidi="en-US"/>
              </w:rPr>
              <w:t>污染物项目</w:t>
            </w:r>
          </w:p>
        </w:tc>
        <w:tc>
          <w:tcPr>
            <w:tcW w:w="1675" w:type="pct"/>
            <w:gridSpan w:val="2"/>
            <w:vAlign w:val="center"/>
          </w:tcPr>
          <w:p w:rsidR="00EE4502" w:rsidRDefault="00FD45A3">
            <w:pPr>
              <w:jc w:val="center"/>
              <w:rPr>
                <w:szCs w:val="21"/>
                <w:lang w:bidi="en-US"/>
              </w:rPr>
            </w:pPr>
            <w:r>
              <w:rPr>
                <w:rFonts w:hAnsi="宋体"/>
                <w:szCs w:val="21"/>
                <w:lang w:bidi="en-US"/>
              </w:rPr>
              <w:t>筛选值</w:t>
            </w:r>
          </w:p>
        </w:tc>
        <w:tc>
          <w:tcPr>
            <w:tcW w:w="1681" w:type="pct"/>
            <w:gridSpan w:val="2"/>
            <w:vAlign w:val="center"/>
          </w:tcPr>
          <w:p w:rsidR="00EE4502" w:rsidRDefault="00FD45A3">
            <w:pPr>
              <w:jc w:val="center"/>
              <w:rPr>
                <w:szCs w:val="21"/>
                <w:lang w:bidi="en-US"/>
              </w:rPr>
            </w:pPr>
            <w:r>
              <w:rPr>
                <w:rFonts w:hAnsi="宋体"/>
                <w:szCs w:val="21"/>
                <w:lang w:bidi="en-US"/>
              </w:rPr>
              <w:t>管制值</w:t>
            </w:r>
          </w:p>
        </w:tc>
      </w:tr>
      <w:tr w:rsidR="00EE4502">
        <w:trPr>
          <w:trHeight w:val="340"/>
          <w:tblHeader/>
          <w:jc w:val="center"/>
        </w:trPr>
        <w:tc>
          <w:tcPr>
            <w:tcW w:w="479" w:type="pct"/>
            <w:vMerge/>
            <w:vAlign w:val="center"/>
          </w:tcPr>
          <w:p w:rsidR="00EE4502" w:rsidRDefault="00EE4502">
            <w:pPr>
              <w:jc w:val="center"/>
              <w:rPr>
                <w:szCs w:val="21"/>
                <w:lang w:bidi="en-US"/>
              </w:rPr>
            </w:pPr>
          </w:p>
        </w:tc>
        <w:tc>
          <w:tcPr>
            <w:tcW w:w="1163" w:type="pct"/>
            <w:vMerge/>
            <w:vAlign w:val="center"/>
          </w:tcPr>
          <w:p w:rsidR="00EE4502" w:rsidRDefault="00EE4502">
            <w:pPr>
              <w:jc w:val="center"/>
              <w:rPr>
                <w:szCs w:val="21"/>
                <w:lang w:bidi="en-US"/>
              </w:rPr>
            </w:pPr>
          </w:p>
        </w:tc>
        <w:tc>
          <w:tcPr>
            <w:tcW w:w="830" w:type="pct"/>
            <w:vAlign w:val="center"/>
          </w:tcPr>
          <w:p w:rsidR="00EE4502" w:rsidRDefault="00FD45A3">
            <w:pPr>
              <w:jc w:val="center"/>
              <w:rPr>
                <w:szCs w:val="21"/>
                <w:lang w:bidi="en-US"/>
              </w:rPr>
            </w:pPr>
            <w:r>
              <w:rPr>
                <w:rFonts w:hAnsi="宋体"/>
                <w:szCs w:val="21"/>
                <w:lang w:bidi="en-US"/>
              </w:rPr>
              <w:t>第一类用地</w:t>
            </w:r>
          </w:p>
        </w:tc>
        <w:tc>
          <w:tcPr>
            <w:tcW w:w="844" w:type="pct"/>
            <w:vAlign w:val="center"/>
          </w:tcPr>
          <w:p w:rsidR="00EE4502" w:rsidRDefault="00FD45A3">
            <w:pPr>
              <w:jc w:val="center"/>
              <w:rPr>
                <w:szCs w:val="21"/>
                <w:lang w:bidi="en-US"/>
              </w:rPr>
            </w:pPr>
            <w:r>
              <w:rPr>
                <w:rFonts w:hAnsi="宋体"/>
                <w:szCs w:val="21"/>
                <w:lang w:bidi="en-US"/>
              </w:rPr>
              <w:t>第二类用地</w:t>
            </w:r>
          </w:p>
        </w:tc>
        <w:tc>
          <w:tcPr>
            <w:tcW w:w="840" w:type="pct"/>
            <w:vAlign w:val="center"/>
          </w:tcPr>
          <w:p w:rsidR="00EE4502" w:rsidRDefault="00FD45A3">
            <w:pPr>
              <w:jc w:val="center"/>
              <w:rPr>
                <w:szCs w:val="21"/>
                <w:lang w:bidi="en-US"/>
              </w:rPr>
            </w:pPr>
            <w:r>
              <w:rPr>
                <w:rFonts w:hAnsi="宋体"/>
                <w:szCs w:val="21"/>
                <w:lang w:bidi="en-US"/>
              </w:rPr>
              <w:t>第一类用地</w:t>
            </w:r>
          </w:p>
        </w:tc>
        <w:tc>
          <w:tcPr>
            <w:tcW w:w="840" w:type="pct"/>
            <w:vAlign w:val="center"/>
          </w:tcPr>
          <w:p w:rsidR="00EE4502" w:rsidRDefault="00FD45A3">
            <w:pPr>
              <w:jc w:val="center"/>
              <w:rPr>
                <w:szCs w:val="21"/>
                <w:lang w:bidi="en-US"/>
              </w:rPr>
            </w:pPr>
            <w:r>
              <w:rPr>
                <w:rFonts w:hAnsi="宋体"/>
                <w:szCs w:val="21"/>
                <w:lang w:bidi="en-US"/>
              </w:rPr>
              <w:t>第二类用地</w:t>
            </w:r>
          </w:p>
        </w:tc>
      </w:tr>
      <w:tr w:rsidR="00EE4502">
        <w:trPr>
          <w:trHeight w:val="340"/>
          <w:jc w:val="center"/>
        </w:trPr>
        <w:tc>
          <w:tcPr>
            <w:tcW w:w="5000" w:type="pct"/>
            <w:gridSpan w:val="6"/>
            <w:vAlign w:val="center"/>
          </w:tcPr>
          <w:p w:rsidR="00EE4502" w:rsidRDefault="00FD45A3">
            <w:pPr>
              <w:jc w:val="center"/>
              <w:rPr>
                <w:szCs w:val="21"/>
                <w:lang w:bidi="en-US"/>
              </w:rPr>
            </w:pPr>
            <w:r>
              <w:rPr>
                <w:rFonts w:hAnsi="宋体"/>
                <w:szCs w:val="21"/>
                <w:lang w:bidi="en-US"/>
              </w:rPr>
              <w:t>重金属和无机物</w:t>
            </w:r>
          </w:p>
        </w:tc>
      </w:tr>
      <w:tr w:rsidR="00EE4502">
        <w:trPr>
          <w:trHeight w:val="340"/>
          <w:jc w:val="center"/>
        </w:trPr>
        <w:tc>
          <w:tcPr>
            <w:tcW w:w="479" w:type="pct"/>
            <w:vAlign w:val="center"/>
          </w:tcPr>
          <w:p w:rsidR="00EE4502" w:rsidRDefault="00FD45A3">
            <w:pPr>
              <w:jc w:val="center"/>
              <w:rPr>
                <w:szCs w:val="21"/>
                <w:lang w:bidi="en-US"/>
              </w:rPr>
            </w:pPr>
            <w:r>
              <w:rPr>
                <w:szCs w:val="21"/>
                <w:lang w:bidi="en-US"/>
              </w:rPr>
              <w:t>1</w:t>
            </w:r>
          </w:p>
        </w:tc>
        <w:tc>
          <w:tcPr>
            <w:tcW w:w="1163" w:type="pct"/>
            <w:vAlign w:val="center"/>
          </w:tcPr>
          <w:p w:rsidR="00EE4502" w:rsidRDefault="00FD45A3">
            <w:pPr>
              <w:jc w:val="center"/>
              <w:rPr>
                <w:szCs w:val="21"/>
                <w:lang w:bidi="en-US"/>
              </w:rPr>
            </w:pPr>
            <w:r>
              <w:rPr>
                <w:rFonts w:hAnsi="宋体"/>
                <w:szCs w:val="21"/>
                <w:lang w:bidi="en-US"/>
              </w:rPr>
              <w:t>砷</w:t>
            </w:r>
          </w:p>
        </w:tc>
        <w:tc>
          <w:tcPr>
            <w:tcW w:w="830" w:type="pct"/>
            <w:vAlign w:val="center"/>
          </w:tcPr>
          <w:p w:rsidR="00EE4502" w:rsidRDefault="00FD45A3">
            <w:pPr>
              <w:jc w:val="center"/>
              <w:rPr>
                <w:szCs w:val="21"/>
                <w:lang w:bidi="en-US"/>
              </w:rPr>
            </w:pPr>
            <w:r>
              <w:rPr>
                <w:szCs w:val="21"/>
                <w:lang w:bidi="en-US"/>
              </w:rPr>
              <w:t>20</w:t>
            </w:r>
          </w:p>
        </w:tc>
        <w:tc>
          <w:tcPr>
            <w:tcW w:w="844" w:type="pct"/>
            <w:vAlign w:val="center"/>
          </w:tcPr>
          <w:p w:rsidR="00EE4502" w:rsidRDefault="00FD45A3">
            <w:pPr>
              <w:jc w:val="center"/>
              <w:rPr>
                <w:szCs w:val="21"/>
                <w:lang w:bidi="en-US"/>
              </w:rPr>
            </w:pPr>
            <w:r>
              <w:rPr>
                <w:szCs w:val="21"/>
                <w:lang w:bidi="en-US"/>
              </w:rPr>
              <w:t>60</w:t>
            </w:r>
          </w:p>
        </w:tc>
        <w:tc>
          <w:tcPr>
            <w:tcW w:w="840" w:type="pct"/>
            <w:vAlign w:val="center"/>
          </w:tcPr>
          <w:p w:rsidR="00EE4502" w:rsidRDefault="00FD45A3">
            <w:pPr>
              <w:jc w:val="center"/>
              <w:rPr>
                <w:szCs w:val="21"/>
                <w:lang w:bidi="en-US"/>
              </w:rPr>
            </w:pPr>
            <w:r>
              <w:rPr>
                <w:szCs w:val="21"/>
                <w:lang w:bidi="en-US"/>
              </w:rPr>
              <w:t>120</w:t>
            </w:r>
          </w:p>
        </w:tc>
        <w:tc>
          <w:tcPr>
            <w:tcW w:w="840" w:type="pct"/>
            <w:vAlign w:val="center"/>
          </w:tcPr>
          <w:p w:rsidR="00EE4502" w:rsidRDefault="00FD45A3">
            <w:pPr>
              <w:jc w:val="center"/>
              <w:rPr>
                <w:szCs w:val="21"/>
                <w:lang w:bidi="en-US"/>
              </w:rPr>
            </w:pPr>
            <w:r>
              <w:rPr>
                <w:szCs w:val="21"/>
                <w:lang w:bidi="en-US"/>
              </w:rPr>
              <w:t>140</w:t>
            </w:r>
          </w:p>
        </w:tc>
      </w:tr>
      <w:tr w:rsidR="00EE4502">
        <w:trPr>
          <w:trHeight w:val="340"/>
          <w:jc w:val="center"/>
        </w:trPr>
        <w:tc>
          <w:tcPr>
            <w:tcW w:w="479" w:type="pct"/>
            <w:vAlign w:val="center"/>
          </w:tcPr>
          <w:p w:rsidR="00EE4502" w:rsidRDefault="00FD45A3">
            <w:pPr>
              <w:jc w:val="center"/>
              <w:rPr>
                <w:szCs w:val="21"/>
                <w:lang w:bidi="en-US"/>
              </w:rPr>
            </w:pPr>
            <w:r>
              <w:rPr>
                <w:szCs w:val="21"/>
                <w:lang w:bidi="en-US"/>
              </w:rPr>
              <w:t>2</w:t>
            </w:r>
          </w:p>
        </w:tc>
        <w:tc>
          <w:tcPr>
            <w:tcW w:w="1163" w:type="pct"/>
            <w:vAlign w:val="center"/>
          </w:tcPr>
          <w:p w:rsidR="00EE4502" w:rsidRDefault="00FD45A3">
            <w:pPr>
              <w:jc w:val="center"/>
              <w:rPr>
                <w:szCs w:val="21"/>
                <w:lang w:bidi="en-US"/>
              </w:rPr>
            </w:pPr>
            <w:r>
              <w:rPr>
                <w:rFonts w:hAnsi="宋体"/>
                <w:szCs w:val="21"/>
                <w:lang w:bidi="en-US"/>
              </w:rPr>
              <w:t>镉</w:t>
            </w:r>
          </w:p>
        </w:tc>
        <w:tc>
          <w:tcPr>
            <w:tcW w:w="830" w:type="pct"/>
            <w:vAlign w:val="center"/>
          </w:tcPr>
          <w:p w:rsidR="00EE4502" w:rsidRDefault="00FD45A3">
            <w:pPr>
              <w:jc w:val="center"/>
              <w:rPr>
                <w:szCs w:val="21"/>
                <w:lang w:bidi="en-US"/>
              </w:rPr>
            </w:pPr>
            <w:r>
              <w:rPr>
                <w:szCs w:val="21"/>
                <w:lang w:bidi="en-US"/>
              </w:rPr>
              <w:t>20</w:t>
            </w:r>
          </w:p>
        </w:tc>
        <w:tc>
          <w:tcPr>
            <w:tcW w:w="844" w:type="pct"/>
            <w:vAlign w:val="center"/>
          </w:tcPr>
          <w:p w:rsidR="00EE4502" w:rsidRDefault="00FD45A3">
            <w:pPr>
              <w:jc w:val="center"/>
              <w:rPr>
                <w:szCs w:val="21"/>
                <w:lang w:bidi="en-US"/>
              </w:rPr>
            </w:pPr>
            <w:r>
              <w:rPr>
                <w:szCs w:val="21"/>
                <w:lang w:bidi="en-US"/>
              </w:rPr>
              <w:t>65</w:t>
            </w:r>
          </w:p>
        </w:tc>
        <w:tc>
          <w:tcPr>
            <w:tcW w:w="840" w:type="pct"/>
            <w:vAlign w:val="center"/>
          </w:tcPr>
          <w:p w:rsidR="00EE4502" w:rsidRDefault="00FD45A3">
            <w:pPr>
              <w:jc w:val="center"/>
              <w:rPr>
                <w:szCs w:val="21"/>
                <w:lang w:bidi="en-US"/>
              </w:rPr>
            </w:pPr>
            <w:r>
              <w:rPr>
                <w:szCs w:val="21"/>
                <w:lang w:bidi="en-US"/>
              </w:rPr>
              <w:t>47</w:t>
            </w:r>
          </w:p>
        </w:tc>
        <w:tc>
          <w:tcPr>
            <w:tcW w:w="840" w:type="pct"/>
            <w:vAlign w:val="center"/>
          </w:tcPr>
          <w:p w:rsidR="00EE4502" w:rsidRDefault="00FD45A3">
            <w:pPr>
              <w:jc w:val="center"/>
              <w:rPr>
                <w:szCs w:val="21"/>
                <w:lang w:bidi="en-US"/>
              </w:rPr>
            </w:pPr>
            <w:r>
              <w:rPr>
                <w:szCs w:val="21"/>
                <w:lang w:bidi="en-US"/>
              </w:rPr>
              <w:t>172</w:t>
            </w:r>
          </w:p>
        </w:tc>
      </w:tr>
      <w:tr w:rsidR="00EE4502">
        <w:trPr>
          <w:trHeight w:val="340"/>
          <w:jc w:val="center"/>
        </w:trPr>
        <w:tc>
          <w:tcPr>
            <w:tcW w:w="479" w:type="pct"/>
            <w:vAlign w:val="center"/>
          </w:tcPr>
          <w:p w:rsidR="00EE4502" w:rsidRDefault="00FD45A3">
            <w:pPr>
              <w:jc w:val="center"/>
              <w:rPr>
                <w:szCs w:val="21"/>
                <w:lang w:bidi="en-US"/>
              </w:rPr>
            </w:pPr>
            <w:r>
              <w:rPr>
                <w:szCs w:val="21"/>
                <w:lang w:bidi="en-US"/>
              </w:rPr>
              <w:t>3</w:t>
            </w:r>
          </w:p>
        </w:tc>
        <w:tc>
          <w:tcPr>
            <w:tcW w:w="1163" w:type="pct"/>
            <w:vAlign w:val="center"/>
          </w:tcPr>
          <w:p w:rsidR="00EE4502" w:rsidRDefault="00FD45A3">
            <w:pPr>
              <w:jc w:val="center"/>
              <w:rPr>
                <w:szCs w:val="21"/>
                <w:lang w:bidi="en-US"/>
              </w:rPr>
            </w:pPr>
            <w:r>
              <w:rPr>
                <w:rFonts w:hAnsi="宋体"/>
                <w:szCs w:val="21"/>
                <w:lang w:bidi="en-US"/>
              </w:rPr>
              <w:t>铬（六价）</w:t>
            </w:r>
          </w:p>
        </w:tc>
        <w:tc>
          <w:tcPr>
            <w:tcW w:w="830" w:type="pct"/>
            <w:vAlign w:val="center"/>
          </w:tcPr>
          <w:p w:rsidR="00EE4502" w:rsidRDefault="00FD45A3">
            <w:pPr>
              <w:jc w:val="center"/>
              <w:rPr>
                <w:szCs w:val="21"/>
                <w:lang w:bidi="en-US"/>
              </w:rPr>
            </w:pPr>
            <w:r>
              <w:rPr>
                <w:szCs w:val="21"/>
                <w:lang w:bidi="en-US"/>
              </w:rPr>
              <w:t>3.0</w:t>
            </w:r>
          </w:p>
        </w:tc>
        <w:tc>
          <w:tcPr>
            <w:tcW w:w="844" w:type="pct"/>
            <w:vAlign w:val="center"/>
          </w:tcPr>
          <w:p w:rsidR="00EE4502" w:rsidRDefault="00FD45A3">
            <w:pPr>
              <w:jc w:val="center"/>
              <w:rPr>
                <w:szCs w:val="21"/>
                <w:lang w:bidi="en-US"/>
              </w:rPr>
            </w:pPr>
            <w:r>
              <w:rPr>
                <w:szCs w:val="21"/>
                <w:lang w:bidi="en-US"/>
              </w:rPr>
              <w:t>5.7</w:t>
            </w:r>
          </w:p>
        </w:tc>
        <w:tc>
          <w:tcPr>
            <w:tcW w:w="840" w:type="pct"/>
            <w:vAlign w:val="center"/>
          </w:tcPr>
          <w:p w:rsidR="00EE4502" w:rsidRDefault="00FD45A3">
            <w:pPr>
              <w:jc w:val="center"/>
              <w:rPr>
                <w:szCs w:val="21"/>
                <w:lang w:bidi="en-US"/>
              </w:rPr>
            </w:pPr>
            <w:r>
              <w:rPr>
                <w:szCs w:val="21"/>
                <w:lang w:bidi="en-US"/>
              </w:rPr>
              <w:t>30</w:t>
            </w:r>
          </w:p>
        </w:tc>
        <w:tc>
          <w:tcPr>
            <w:tcW w:w="840" w:type="pct"/>
            <w:vAlign w:val="center"/>
          </w:tcPr>
          <w:p w:rsidR="00EE4502" w:rsidRDefault="00FD45A3">
            <w:pPr>
              <w:jc w:val="center"/>
              <w:rPr>
                <w:szCs w:val="21"/>
                <w:lang w:bidi="en-US"/>
              </w:rPr>
            </w:pPr>
            <w:r>
              <w:rPr>
                <w:szCs w:val="21"/>
                <w:lang w:bidi="en-US"/>
              </w:rPr>
              <w:t>78</w:t>
            </w:r>
          </w:p>
        </w:tc>
      </w:tr>
      <w:tr w:rsidR="00EE4502">
        <w:trPr>
          <w:trHeight w:val="340"/>
          <w:jc w:val="center"/>
        </w:trPr>
        <w:tc>
          <w:tcPr>
            <w:tcW w:w="479" w:type="pct"/>
            <w:vAlign w:val="center"/>
          </w:tcPr>
          <w:p w:rsidR="00EE4502" w:rsidRDefault="00FD45A3">
            <w:pPr>
              <w:jc w:val="center"/>
              <w:rPr>
                <w:szCs w:val="21"/>
                <w:lang w:bidi="en-US"/>
              </w:rPr>
            </w:pPr>
            <w:r>
              <w:rPr>
                <w:szCs w:val="21"/>
                <w:lang w:bidi="en-US"/>
              </w:rPr>
              <w:lastRenderedPageBreak/>
              <w:t>4</w:t>
            </w:r>
          </w:p>
        </w:tc>
        <w:tc>
          <w:tcPr>
            <w:tcW w:w="1163" w:type="pct"/>
            <w:vAlign w:val="center"/>
          </w:tcPr>
          <w:p w:rsidR="00EE4502" w:rsidRDefault="00FD45A3">
            <w:pPr>
              <w:jc w:val="center"/>
              <w:rPr>
                <w:szCs w:val="21"/>
                <w:lang w:bidi="en-US"/>
              </w:rPr>
            </w:pPr>
            <w:r>
              <w:rPr>
                <w:rFonts w:hAnsi="宋体"/>
                <w:szCs w:val="21"/>
                <w:lang w:bidi="en-US"/>
              </w:rPr>
              <w:t>铜</w:t>
            </w:r>
          </w:p>
        </w:tc>
        <w:tc>
          <w:tcPr>
            <w:tcW w:w="830" w:type="pct"/>
            <w:vAlign w:val="center"/>
          </w:tcPr>
          <w:p w:rsidR="00EE4502" w:rsidRDefault="00FD45A3">
            <w:pPr>
              <w:jc w:val="center"/>
              <w:rPr>
                <w:szCs w:val="21"/>
                <w:lang w:bidi="en-US"/>
              </w:rPr>
            </w:pPr>
            <w:r>
              <w:rPr>
                <w:szCs w:val="21"/>
                <w:lang w:bidi="en-US"/>
              </w:rPr>
              <w:t>2000</w:t>
            </w:r>
          </w:p>
        </w:tc>
        <w:tc>
          <w:tcPr>
            <w:tcW w:w="844" w:type="pct"/>
            <w:vAlign w:val="center"/>
          </w:tcPr>
          <w:p w:rsidR="00EE4502" w:rsidRDefault="00FD45A3">
            <w:pPr>
              <w:jc w:val="center"/>
              <w:rPr>
                <w:szCs w:val="21"/>
                <w:lang w:bidi="en-US"/>
              </w:rPr>
            </w:pPr>
            <w:r>
              <w:rPr>
                <w:szCs w:val="21"/>
                <w:lang w:bidi="en-US"/>
              </w:rPr>
              <w:t>18000</w:t>
            </w:r>
          </w:p>
        </w:tc>
        <w:tc>
          <w:tcPr>
            <w:tcW w:w="840" w:type="pct"/>
            <w:vAlign w:val="center"/>
          </w:tcPr>
          <w:p w:rsidR="00EE4502" w:rsidRDefault="00FD45A3">
            <w:pPr>
              <w:jc w:val="center"/>
              <w:rPr>
                <w:szCs w:val="21"/>
                <w:lang w:bidi="en-US"/>
              </w:rPr>
            </w:pPr>
            <w:r>
              <w:rPr>
                <w:szCs w:val="21"/>
                <w:lang w:bidi="en-US"/>
              </w:rPr>
              <w:t>8000</w:t>
            </w:r>
          </w:p>
        </w:tc>
        <w:tc>
          <w:tcPr>
            <w:tcW w:w="840" w:type="pct"/>
            <w:vAlign w:val="center"/>
          </w:tcPr>
          <w:p w:rsidR="00EE4502" w:rsidRDefault="00FD45A3">
            <w:pPr>
              <w:jc w:val="center"/>
              <w:rPr>
                <w:szCs w:val="21"/>
                <w:lang w:bidi="en-US"/>
              </w:rPr>
            </w:pPr>
            <w:r>
              <w:rPr>
                <w:szCs w:val="21"/>
                <w:lang w:bidi="en-US"/>
              </w:rPr>
              <w:t>36000</w:t>
            </w:r>
          </w:p>
        </w:tc>
      </w:tr>
      <w:tr w:rsidR="00EE4502">
        <w:trPr>
          <w:trHeight w:val="340"/>
          <w:jc w:val="center"/>
        </w:trPr>
        <w:tc>
          <w:tcPr>
            <w:tcW w:w="479" w:type="pct"/>
            <w:vAlign w:val="center"/>
          </w:tcPr>
          <w:p w:rsidR="00EE4502" w:rsidRDefault="00FD45A3">
            <w:pPr>
              <w:jc w:val="center"/>
              <w:rPr>
                <w:szCs w:val="21"/>
                <w:lang w:bidi="en-US"/>
              </w:rPr>
            </w:pPr>
            <w:r>
              <w:rPr>
                <w:szCs w:val="21"/>
                <w:lang w:bidi="en-US"/>
              </w:rPr>
              <w:t>5</w:t>
            </w:r>
          </w:p>
        </w:tc>
        <w:tc>
          <w:tcPr>
            <w:tcW w:w="1163" w:type="pct"/>
            <w:vAlign w:val="center"/>
          </w:tcPr>
          <w:p w:rsidR="00EE4502" w:rsidRDefault="00FD45A3">
            <w:pPr>
              <w:jc w:val="center"/>
              <w:rPr>
                <w:szCs w:val="21"/>
                <w:lang w:bidi="en-US"/>
              </w:rPr>
            </w:pPr>
            <w:r>
              <w:rPr>
                <w:rFonts w:hAnsi="宋体"/>
                <w:szCs w:val="21"/>
                <w:lang w:bidi="en-US"/>
              </w:rPr>
              <w:t>铝</w:t>
            </w:r>
          </w:p>
        </w:tc>
        <w:tc>
          <w:tcPr>
            <w:tcW w:w="830" w:type="pct"/>
            <w:vAlign w:val="center"/>
          </w:tcPr>
          <w:p w:rsidR="00EE4502" w:rsidRDefault="00FD45A3">
            <w:pPr>
              <w:jc w:val="center"/>
              <w:rPr>
                <w:szCs w:val="21"/>
                <w:lang w:bidi="en-US"/>
              </w:rPr>
            </w:pPr>
            <w:r>
              <w:rPr>
                <w:szCs w:val="21"/>
                <w:lang w:bidi="en-US"/>
              </w:rPr>
              <w:t>400</w:t>
            </w:r>
          </w:p>
        </w:tc>
        <w:tc>
          <w:tcPr>
            <w:tcW w:w="844" w:type="pct"/>
            <w:vAlign w:val="center"/>
          </w:tcPr>
          <w:p w:rsidR="00EE4502" w:rsidRDefault="00FD45A3">
            <w:pPr>
              <w:jc w:val="center"/>
              <w:rPr>
                <w:szCs w:val="21"/>
                <w:lang w:bidi="en-US"/>
              </w:rPr>
            </w:pPr>
            <w:r>
              <w:rPr>
                <w:szCs w:val="21"/>
                <w:lang w:bidi="en-US"/>
              </w:rPr>
              <w:t>800</w:t>
            </w:r>
          </w:p>
        </w:tc>
        <w:tc>
          <w:tcPr>
            <w:tcW w:w="840" w:type="pct"/>
            <w:vAlign w:val="center"/>
          </w:tcPr>
          <w:p w:rsidR="00EE4502" w:rsidRDefault="00FD45A3">
            <w:pPr>
              <w:jc w:val="center"/>
              <w:rPr>
                <w:szCs w:val="21"/>
                <w:lang w:bidi="en-US"/>
              </w:rPr>
            </w:pPr>
            <w:r>
              <w:rPr>
                <w:szCs w:val="21"/>
                <w:lang w:bidi="en-US"/>
              </w:rPr>
              <w:t>800</w:t>
            </w:r>
          </w:p>
        </w:tc>
        <w:tc>
          <w:tcPr>
            <w:tcW w:w="840" w:type="pct"/>
            <w:vAlign w:val="center"/>
          </w:tcPr>
          <w:p w:rsidR="00EE4502" w:rsidRDefault="00FD45A3">
            <w:pPr>
              <w:jc w:val="center"/>
              <w:rPr>
                <w:szCs w:val="21"/>
                <w:lang w:bidi="en-US"/>
              </w:rPr>
            </w:pPr>
            <w:r>
              <w:rPr>
                <w:szCs w:val="21"/>
                <w:lang w:bidi="en-US"/>
              </w:rPr>
              <w:t>2500</w:t>
            </w:r>
          </w:p>
        </w:tc>
      </w:tr>
      <w:tr w:rsidR="00EE4502">
        <w:trPr>
          <w:trHeight w:val="340"/>
          <w:jc w:val="center"/>
        </w:trPr>
        <w:tc>
          <w:tcPr>
            <w:tcW w:w="479" w:type="pct"/>
            <w:vAlign w:val="center"/>
          </w:tcPr>
          <w:p w:rsidR="00EE4502" w:rsidRDefault="00FD45A3">
            <w:pPr>
              <w:jc w:val="center"/>
              <w:rPr>
                <w:szCs w:val="21"/>
                <w:lang w:bidi="en-US"/>
              </w:rPr>
            </w:pPr>
            <w:r>
              <w:rPr>
                <w:szCs w:val="21"/>
                <w:lang w:bidi="en-US"/>
              </w:rPr>
              <w:t>6</w:t>
            </w:r>
          </w:p>
        </w:tc>
        <w:tc>
          <w:tcPr>
            <w:tcW w:w="1163" w:type="pct"/>
            <w:vAlign w:val="center"/>
          </w:tcPr>
          <w:p w:rsidR="00EE4502" w:rsidRDefault="00FD45A3">
            <w:pPr>
              <w:jc w:val="center"/>
              <w:rPr>
                <w:szCs w:val="21"/>
                <w:lang w:bidi="en-US"/>
              </w:rPr>
            </w:pPr>
            <w:r>
              <w:rPr>
                <w:rFonts w:hAnsi="宋体"/>
                <w:szCs w:val="21"/>
                <w:lang w:bidi="en-US"/>
              </w:rPr>
              <w:t>汞</w:t>
            </w:r>
          </w:p>
        </w:tc>
        <w:tc>
          <w:tcPr>
            <w:tcW w:w="830" w:type="pct"/>
            <w:vAlign w:val="center"/>
          </w:tcPr>
          <w:p w:rsidR="00EE4502" w:rsidRDefault="00FD45A3">
            <w:pPr>
              <w:jc w:val="center"/>
              <w:rPr>
                <w:szCs w:val="21"/>
                <w:lang w:bidi="en-US"/>
              </w:rPr>
            </w:pPr>
            <w:r>
              <w:rPr>
                <w:szCs w:val="21"/>
                <w:lang w:bidi="en-US"/>
              </w:rPr>
              <w:t>8</w:t>
            </w:r>
          </w:p>
        </w:tc>
        <w:tc>
          <w:tcPr>
            <w:tcW w:w="844" w:type="pct"/>
            <w:vAlign w:val="center"/>
          </w:tcPr>
          <w:p w:rsidR="00EE4502" w:rsidRDefault="00FD45A3">
            <w:pPr>
              <w:jc w:val="center"/>
              <w:rPr>
                <w:szCs w:val="21"/>
                <w:lang w:bidi="en-US"/>
              </w:rPr>
            </w:pPr>
            <w:r>
              <w:rPr>
                <w:szCs w:val="21"/>
                <w:lang w:bidi="en-US"/>
              </w:rPr>
              <w:t>38</w:t>
            </w:r>
          </w:p>
        </w:tc>
        <w:tc>
          <w:tcPr>
            <w:tcW w:w="840" w:type="pct"/>
            <w:vAlign w:val="center"/>
          </w:tcPr>
          <w:p w:rsidR="00EE4502" w:rsidRDefault="00FD45A3">
            <w:pPr>
              <w:jc w:val="center"/>
              <w:rPr>
                <w:szCs w:val="21"/>
                <w:lang w:bidi="en-US"/>
              </w:rPr>
            </w:pPr>
            <w:r>
              <w:rPr>
                <w:szCs w:val="21"/>
                <w:lang w:bidi="en-US"/>
              </w:rPr>
              <w:t>33</w:t>
            </w:r>
          </w:p>
        </w:tc>
        <w:tc>
          <w:tcPr>
            <w:tcW w:w="840" w:type="pct"/>
            <w:vAlign w:val="center"/>
          </w:tcPr>
          <w:p w:rsidR="00EE4502" w:rsidRDefault="00FD45A3">
            <w:pPr>
              <w:jc w:val="center"/>
              <w:rPr>
                <w:szCs w:val="21"/>
                <w:lang w:bidi="en-US"/>
              </w:rPr>
            </w:pPr>
            <w:r>
              <w:rPr>
                <w:szCs w:val="21"/>
                <w:lang w:bidi="en-US"/>
              </w:rPr>
              <w:t>82</w:t>
            </w:r>
          </w:p>
        </w:tc>
      </w:tr>
      <w:tr w:rsidR="00EE4502">
        <w:trPr>
          <w:trHeight w:val="340"/>
          <w:jc w:val="center"/>
        </w:trPr>
        <w:tc>
          <w:tcPr>
            <w:tcW w:w="479" w:type="pct"/>
            <w:vAlign w:val="center"/>
          </w:tcPr>
          <w:p w:rsidR="00EE4502" w:rsidRDefault="00FD45A3">
            <w:pPr>
              <w:jc w:val="center"/>
              <w:rPr>
                <w:szCs w:val="21"/>
                <w:lang w:bidi="en-US"/>
              </w:rPr>
            </w:pPr>
            <w:r>
              <w:rPr>
                <w:szCs w:val="21"/>
                <w:lang w:bidi="en-US"/>
              </w:rPr>
              <w:t>7</w:t>
            </w:r>
          </w:p>
        </w:tc>
        <w:tc>
          <w:tcPr>
            <w:tcW w:w="1163" w:type="pct"/>
            <w:vAlign w:val="center"/>
          </w:tcPr>
          <w:p w:rsidR="00EE4502" w:rsidRDefault="00FD45A3">
            <w:pPr>
              <w:jc w:val="center"/>
              <w:rPr>
                <w:szCs w:val="21"/>
                <w:lang w:bidi="en-US"/>
              </w:rPr>
            </w:pPr>
            <w:r>
              <w:rPr>
                <w:rFonts w:hAnsi="宋体"/>
                <w:szCs w:val="21"/>
                <w:lang w:bidi="en-US"/>
              </w:rPr>
              <w:t>镍</w:t>
            </w:r>
          </w:p>
        </w:tc>
        <w:tc>
          <w:tcPr>
            <w:tcW w:w="830" w:type="pct"/>
            <w:vAlign w:val="center"/>
          </w:tcPr>
          <w:p w:rsidR="00EE4502" w:rsidRDefault="00FD45A3">
            <w:pPr>
              <w:jc w:val="center"/>
              <w:rPr>
                <w:szCs w:val="21"/>
                <w:lang w:bidi="en-US"/>
              </w:rPr>
            </w:pPr>
            <w:r>
              <w:rPr>
                <w:szCs w:val="21"/>
                <w:lang w:bidi="en-US"/>
              </w:rPr>
              <w:t>150</w:t>
            </w:r>
          </w:p>
        </w:tc>
        <w:tc>
          <w:tcPr>
            <w:tcW w:w="844" w:type="pct"/>
            <w:vAlign w:val="center"/>
          </w:tcPr>
          <w:p w:rsidR="00EE4502" w:rsidRDefault="00FD45A3">
            <w:pPr>
              <w:jc w:val="center"/>
              <w:rPr>
                <w:szCs w:val="21"/>
                <w:lang w:bidi="en-US"/>
              </w:rPr>
            </w:pPr>
            <w:r>
              <w:rPr>
                <w:szCs w:val="21"/>
                <w:lang w:bidi="en-US"/>
              </w:rPr>
              <w:t>900</w:t>
            </w:r>
          </w:p>
        </w:tc>
        <w:tc>
          <w:tcPr>
            <w:tcW w:w="840" w:type="pct"/>
            <w:vAlign w:val="center"/>
          </w:tcPr>
          <w:p w:rsidR="00EE4502" w:rsidRDefault="00FD45A3">
            <w:pPr>
              <w:jc w:val="center"/>
              <w:rPr>
                <w:szCs w:val="21"/>
                <w:lang w:bidi="en-US"/>
              </w:rPr>
            </w:pPr>
            <w:r>
              <w:rPr>
                <w:szCs w:val="21"/>
                <w:lang w:bidi="en-US"/>
              </w:rPr>
              <w:t>600</w:t>
            </w:r>
          </w:p>
        </w:tc>
        <w:tc>
          <w:tcPr>
            <w:tcW w:w="840" w:type="pct"/>
            <w:vAlign w:val="center"/>
          </w:tcPr>
          <w:p w:rsidR="00EE4502" w:rsidRDefault="00FD45A3">
            <w:pPr>
              <w:jc w:val="center"/>
              <w:rPr>
                <w:szCs w:val="21"/>
                <w:lang w:bidi="en-US"/>
              </w:rPr>
            </w:pPr>
            <w:r>
              <w:rPr>
                <w:szCs w:val="21"/>
                <w:lang w:bidi="en-US"/>
              </w:rPr>
              <w:t>2000</w:t>
            </w:r>
          </w:p>
        </w:tc>
      </w:tr>
      <w:tr w:rsidR="00EE4502">
        <w:trPr>
          <w:trHeight w:val="340"/>
          <w:jc w:val="center"/>
        </w:trPr>
        <w:tc>
          <w:tcPr>
            <w:tcW w:w="5000" w:type="pct"/>
            <w:gridSpan w:val="6"/>
            <w:vAlign w:val="center"/>
          </w:tcPr>
          <w:p w:rsidR="00EE4502" w:rsidRDefault="00FD45A3">
            <w:pPr>
              <w:jc w:val="center"/>
              <w:rPr>
                <w:szCs w:val="21"/>
                <w:lang w:bidi="en-US"/>
              </w:rPr>
            </w:pPr>
            <w:r>
              <w:rPr>
                <w:rFonts w:hAnsi="宋体"/>
                <w:szCs w:val="21"/>
                <w:lang w:bidi="en-US"/>
              </w:rPr>
              <w:t>挥发性有机物</w:t>
            </w:r>
          </w:p>
        </w:tc>
      </w:tr>
      <w:tr w:rsidR="00EE4502">
        <w:trPr>
          <w:trHeight w:val="340"/>
          <w:jc w:val="center"/>
        </w:trPr>
        <w:tc>
          <w:tcPr>
            <w:tcW w:w="479" w:type="pct"/>
            <w:vAlign w:val="center"/>
          </w:tcPr>
          <w:p w:rsidR="00EE4502" w:rsidRDefault="00FD45A3">
            <w:pPr>
              <w:jc w:val="center"/>
              <w:rPr>
                <w:szCs w:val="21"/>
                <w:lang w:bidi="en-US"/>
              </w:rPr>
            </w:pPr>
            <w:r>
              <w:rPr>
                <w:szCs w:val="21"/>
                <w:lang w:bidi="en-US"/>
              </w:rPr>
              <w:t>8</w:t>
            </w:r>
          </w:p>
        </w:tc>
        <w:tc>
          <w:tcPr>
            <w:tcW w:w="1163" w:type="pct"/>
            <w:vAlign w:val="center"/>
          </w:tcPr>
          <w:p w:rsidR="00EE4502" w:rsidRDefault="00FD45A3">
            <w:pPr>
              <w:jc w:val="center"/>
              <w:rPr>
                <w:szCs w:val="21"/>
                <w:lang w:bidi="en-US"/>
              </w:rPr>
            </w:pPr>
            <w:r>
              <w:rPr>
                <w:rFonts w:hAnsi="宋体"/>
                <w:szCs w:val="21"/>
                <w:lang w:bidi="en-US"/>
              </w:rPr>
              <w:t>四氯化碳</w:t>
            </w:r>
          </w:p>
        </w:tc>
        <w:tc>
          <w:tcPr>
            <w:tcW w:w="830" w:type="pct"/>
            <w:vAlign w:val="center"/>
          </w:tcPr>
          <w:p w:rsidR="00EE4502" w:rsidRDefault="00FD45A3">
            <w:pPr>
              <w:jc w:val="center"/>
              <w:rPr>
                <w:szCs w:val="21"/>
                <w:lang w:bidi="en-US"/>
              </w:rPr>
            </w:pPr>
            <w:r>
              <w:rPr>
                <w:szCs w:val="21"/>
                <w:lang w:bidi="en-US"/>
              </w:rPr>
              <w:t>0.9</w:t>
            </w:r>
          </w:p>
        </w:tc>
        <w:tc>
          <w:tcPr>
            <w:tcW w:w="844" w:type="pct"/>
            <w:vAlign w:val="center"/>
          </w:tcPr>
          <w:p w:rsidR="00EE4502" w:rsidRDefault="00FD45A3">
            <w:pPr>
              <w:jc w:val="center"/>
              <w:rPr>
                <w:szCs w:val="21"/>
                <w:lang w:bidi="en-US"/>
              </w:rPr>
            </w:pPr>
            <w:r>
              <w:rPr>
                <w:szCs w:val="21"/>
                <w:lang w:bidi="en-US"/>
              </w:rPr>
              <w:t>2.8</w:t>
            </w:r>
          </w:p>
        </w:tc>
        <w:tc>
          <w:tcPr>
            <w:tcW w:w="840" w:type="pct"/>
            <w:vAlign w:val="center"/>
          </w:tcPr>
          <w:p w:rsidR="00EE4502" w:rsidRDefault="00FD45A3">
            <w:pPr>
              <w:jc w:val="center"/>
              <w:rPr>
                <w:szCs w:val="21"/>
                <w:lang w:bidi="en-US"/>
              </w:rPr>
            </w:pPr>
            <w:r>
              <w:rPr>
                <w:szCs w:val="21"/>
                <w:lang w:bidi="en-US"/>
              </w:rPr>
              <w:t>9</w:t>
            </w:r>
          </w:p>
        </w:tc>
        <w:tc>
          <w:tcPr>
            <w:tcW w:w="840" w:type="pct"/>
            <w:vAlign w:val="center"/>
          </w:tcPr>
          <w:p w:rsidR="00EE4502" w:rsidRDefault="00FD45A3">
            <w:pPr>
              <w:jc w:val="center"/>
              <w:rPr>
                <w:szCs w:val="21"/>
                <w:lang w:bidi="en-US"/>
              </w:rPr>
            </w:pPr>
            <w:r>
              <w:rPr>
                <w:szCs w:val="21"/>
                <w:lang w:bidi="en-US"/>
              </w:rPr>
              <w:t>36</w:t>
            </w:r>
          </w:p>
        </w:tc>
      </w:tr>
      <w:tr w:rsidR="00EE4502">
        <w:trPr>
          <w:trHeight w:val="340"/>
          <w:jc w:val="center"/>
        </w:trPr>
        <w:tc>
          <w:tcPr>
            <w:tcW w:w="479" w:type="pct"/>
            <w:vAlign w:val="center"/>
          </w:tcPr>
          <w:p w:rsidR="00EE4502" w:rsidRDefault="00FD45A3">
            <w:pPr>
              <w:jc w:val="center"/>
              <w:rPr>
                <w:szCs w:val="21"/>
                <w:lang w:bidi="en-US"/>
              </w:rPr>
            </w:pPr>
            <w:r>
              <w:rPr>
                <w:szCs w:val="21"/>
                <w:lang w:bidi="en-US"/>
              </w:rPr>
              <w:t>9</w:t>
            </w:r>
          </w:p>
        </w:tc>
        <w:tc>
          <w:tcPr>
            <w:tcW w:w="1163" w:type="pct"/>
            <w:vAlign w:val="center"/>
          </w:tcPr>
          <w:p w:rsidR="00EE4502" w:rsidRDefault="00FD45A3">
            <w:pPr>
              <w:jc w:val="center"/>
              <w:rPr>
                <w:szCs w:val="21"/>
                <w:lang w:bidi="en-US"/>
              </w:rPr>
            </w:pPr>
            <w:r>
              <w:rPr>
                <w:rFonts w:hAnsi="宋体"/>
                <w:szCs w:val="21"/>
                <w:lang w:bidi="en-US"/>
              </w:rPr>
              <w:t>氯仿</w:t>
            </w:r>
          </w:p>
        </w:tc>
        <w:tc>
          <w:tcPr>
            <w:tcW w:w="830" w:type="pct"/>
            <w:vAlign w:val="center"/>
          </w:tcPr>
          <w:p w:rsidR="00EE4502" w:rsidRDefault="00FD45A3">
            <w:pPr>
              <w:jc w:val="center"/>
              <w:rPr>
                <w:szCs w:val="21"/>
                <w:lang w:bidi="en-US"/>
              </w:rPr>
            </w:pPr>
            <w:r>
              <w:rPr>
                <w:szCs w:val="21"/>
                <w:lang w:bidi="en-US"/>
              </w:rPr>
              <w:t>0.3</w:t>
            </w:r>
          </w:p>
        </w:tc>
        <w:tc>
          <w:tcPr>
            <w:tcW w:w="844" w:type="pct"/>
            <w:vAlign w:val="center"/>
          </w:tcPr>
          <w:p w:rsidR="00EE4502" w:rsidRDefault="00FD45A3">
            <w:pPr>
              <w:jc w:val="center"/>
              <w:rPr>
                <w:szCs w:val="21"/>
                <w:lang w:bidi="en-US"/>
              </w:rPr>
            </w:pPr>
            <w:r>
              <w:rPr>
                <w:szCs w:val="21"/>
                <w:lang w:bidi="en-US"/>
              </w:rPr>
              <w:t>0.9</w:t>
            </w:r>
          </w:p>
        </w:tc>
        <w:tc>
          <w:tcPr>
            <w:tcW w:w="840" w:type="pct"/>
            <w:vAlign w:val="center"/>
          </w:tcPr>
          <w:p w:rsidR="00EE4502" w:rsidRDefault="00FD45A3">
            <w:pPr>
              <w:jc w:val="center"/>
              <w:rPr>
                <w:szCs w:val="21"/>
                <w:lang w:bidi="en-US"/>
              </w:rPr>
            </w:pPr>
            <w:r>
              <w:rPr>
                <w:szCs w:val="21"/>
                <w:lang w:bidi="en-US"/>
              </w:rPr>
              <w:t>5</w:t>
            </w:r>
          </w:p>
        </w:tc>
        <w:tc>
          <w:tcPr>
            <w:tcW w:w="840" w:type="pct"/>
            <w:vAlign w:val="center"/>
          </w:tcPr>
          <w:p w:rsidR="00EE4502" w:rsidRDefault="00FD45A3">
            <w:pPr>
              <w:jc w:val="center"/>
              <w:rPr>
                <w:szCs w:val="21"/>
                <w:lang w:bidi="en-US"/>
              </w:rPr>
            </w:pPr>
            <w:r>
              <w:rPr>
                <w:szCs w:val="21"/>
                <w:lang w:bidi="en-US"/>
              </w:rPr>
              <w:t>10</w:t>
            </w:r>
          </w:p>
        </w:tc>
      </w:tr>
      <w:tr w:rsidR="00EE4502">
        <w:trPr>
          <w:trHeight w:val="340"/>
          <w:jc w:val="center"/>
        </w:trPr>
        <w:tc>
          <w:tcPr>
            <w:tcW w:w="479" w:type="pct"/>
            <w:vAlign w:val="center"/>
          </w:tcPr>
          <w:p w:rsidR="00EE4502" w:rsidRDefault="00FD45A3">
            <w:pPr>
              <w:jc w:val="center"/>
              <w:rPr>
                <w:szCs w:val="21"/>
                <w:lang w:bidi="en-US"/>
              </w:rPr>
            </w:pPr>
            <w:r>
              <w:rPr>
                <w:szCs w:val="21"/>
                <w:lang w:bidi="en-US"/>
              </w:rPr>
              <w:t>10</w:t>
            </w:r>
          </w:p>
        </w:tc>
        <w:tc>
          <w:tcPr>
            <w:tcW w:w="1163" w:type="pct"/>
            <w:vAlign w:val="center"/>
          </w:tcPr>
          <w:p w:rsidR="00EE4502" w:rsidRDefault="00FD45A3">
            <w:pPr>
              <w:jc w:val="center"/>
              <w:rPr>
                <w:szCs w:val="21"/>
                <w:lang w:bidi="en-US"/>
              </w:rPr>
            </w:pPr>
            <w:r>
              <w:rPr>
                <w:rFonts w:hAnsi="宋体"/>
                <w:szCs w:val="21"/>
                <w:lang w:bidi="en-US"/>
              </w:rPr>
              <w:t>氯甲烷</w:t>
            </w:r>
          </w:p>
        </w:tc>
        <w:tc>
          <w:tcPr>
            <w:tcW w:w="830" w:type="pct"/>
            <w:vAlign w:val="center"/>
          </w:tcPr>
          <w:p w:rsidR="00EE4502" w:rsidRDefault="00FD45A3">
            <w:pPr>
              <w:jc w:val="center"/>
              <w:rPr>
                <w:szCs w:val="21"/>
                <w:lang w:bidi="en-US"/>
              </w:rPr>
            </w:pPr>
            <w:r>
              <w:rPr>
                <w:szCs w:val="21"/>
                <w:lang w:bidi="en-US"/>
              </w:rPr>
              <w:t>12</w:t>
            </w:r>
          </w:p>
        </w:tc>
        <w:tc>
          <w:tcPr>
            <w:tcW w:w="844" w:type="pct"/>
            <w:vAlign w:val="center"/>
          </w:tcPr>
          <w:p w:rsidR="00EE4502" w:rsidRDefault="00FD45A3">
            <w:pPr>
              <w:jc w:val="center"/>
              <w:rPr>
                <w:szCs w:val="21"/>
                <w:lang w:bidi="en-US"/>
              </w:rPr>
            </w:pPr>
            <w:r>
              <w:rPr>
                <w:szCs w:val="21"/>
                <w:lang w:bidi="en-US"/>
              </w:rPr>
              <w:t>37</w:t>
            </w:r>
          </w:p>
        </w:tc>
        <w:tc>
          <w:tcPr>
            <w:tcW w:w="840" w:type="pct"/>
            <w:vAlign w:val="center"/>
          </w:tcPr>
          <w:p w:rsidR="00EE4502" w:rsidRDefault="00FD45A3">
            <w:pPr>
              <w:jc w:val="center"/>
              <w:rPr>
                <w:szCs w:val="21"/>
                <w:lang w:bidi="en-US"/>
              </w:rPr>
            </w:pPr>
            <w:r>
              <w:rPr>
                <w:szCs w:val="21"/>
                <w:lang w:bidi="en-US"/>
              </w:rPr>
              <w:t>21</w:t>
            </w:r>
          </w:p>
        </w:tc>
        <w:tc>
          <w:tcPr>
            <w:tcW w:w="840" w:type="pct"/>
            <w:vAlign w:val="center"/>
          </w:tcPr>
          <w:p w:rsidR="00EE4502" w:rsidRDefault="00FD45A3">
            <w:pPr>
              <w:jc w:val="center"/>
              <w:rPr>
                <w:szCs w:val="21"/>
                <w:lang w:bidi="en-US"/>
              </w:rPr>
            </w:pPr>
            <w:r>
              <w:rPr>
                <w:szCs w:val="21"/>
                <w:lang w:bidi="en-US"/>
              </w:rPr>
              <w:t>120</w:t>
            </w:r>
          </w:p>
        </w:tc>
      </w:tr>
      <w:tr w:rsidR="00EE4502">
        <w:trPr>
          <w:trHeight w:val="340"/>
          <w:jc w:val="center"/>
        </w:trPr>
        <w:tc>
          <w:tcPr>
            <w:tcW w:w="479" w:type="pct"/>
            <w:vAlign w:val="center"/>
          </w:tcPr>
          <w:p w:rsidR="00EE4502" w:rsidRDefault="00FD45A3">
            <w:pPr>
              <w:jc w:val="center"/>
              <w:rPr>
                <w:szCs w:val="21"/>
                <w:lang w:bidi="en-US"/>
              </w:rPr>
            </w:pPr>
            <w:r>
              <w:rPr>
                <w:szCs w:val="21"/>
                <w:lang w:bidi="en-US"/>
              </w:rPr>
              <w:t>11</w:t>
            </w:r>
          </w:p>
        </w:tc>
        <w:tc>
          <w:tcPr>
            <w:tcW w:w="1163" w:type="pct"/>
            <w:vAlign w:val="center"/>
          </w:tcPr>
          <w:p w:rsidR="00EE4502" w:rsidRDefault="00FD45A3">
            <w:pPr>
              <w:jc w:val="center"/>
              <w:rPr>
                <w:szCs w:val="21"/>
                <w:lang w:bidi="en-US"/>
              </w:rPr>
            </w:pPr>
            <w:r>
              <w:rPr>
                <w:szCs w:val="21"/>
                <w:lang w:bidi="en-US"/>
              </w:rPr>
              <w:t>1,1-</w:t>
            </w:r>
            <w:r>
              <w:rPr>
                <w:rFonts w:hAnsi="宋体"/>
                <w:szCs w:val="21"/>
                <w:lang w:bidi="en-US"/>
              </w:rPr>
              <w:t>二氯乙烷</w:t>
            </w:r>
          </w:p>
        </w:tc>
        <w:tc>
          <w:tcPr>
            <w:tcW w:w="830" w:type="pct"/>
            <w:vAlign w:val="center"/>
          </w:tcPr>
          <w:p w:rsidR="00EE4502" w:rsidRDefault="00FD45A3">
            <w:pPr>
              <w:jc w:val="center"/>
              <w:rPr>
                <w:szCs w:val="21"/>
                <w:lang w:bidi="en-US"/>
              </w:rPr>
            </w:pPr>
            <w:r>
              <w:rPr>
                <w:szCs w:val="21"/>
                <w:lang w:bidi="en-US"/>
              </w:rPr>
              <w:t>3</w:t>
            </w:r>
          </w:p>
        </w:tc>
        <w:tc>
          <w:tcPr>
            <w:tcW w:w="844" w:type="pct"/>
            <w:vAlign w:val="center"/>
          </w:tcPr>
          <w:p w:rsidR="00EE4502" w:rsidRDefault="00FD45A3">
            <w:pPr>
              <w:jc w:val="center"/>
              <w:rPr>
                <w:szCs w:val="21"/>
                <w:lang w:bidi="en-US"/>
              </w:rPr>
            </w:pPr>
            <w:r>
              <w:rPr>
                <w:szCs w:val="21"/>
                <w:lang w:bidi="en-US"/>
              </w:rPr>
              <w:t>9</w:t>
            </w:r>
          </w:p>
        </w:tc>
        <w:tc>
          <w:tcPr>
            <w:tcW w:w="840" w:type="pct"/>
            <w:vAlign w:val="center"/>
          </w:tcPr>
          <w:p w:rsidR="00EE4502" w:rsidRDefault="00FD45A3">
            <w:pPr>
              <w:jc w:val="center"/>
              <w:rPr>
                <w:szCs w:val="21"/>
                <w:lang w:bidi="en-US"/>
              </w:rPr>
            </w:pPr>
            <w:r>
              <w:rPr>
                <w:szCs w:val="21"/>
                <w:lang w:bidi="en-US"/>
              </w:rPr>
              <w:t>20</w:t>
            </w:r>
          </w:p>
        </w:tc>
        <w:tc>
          <w:tcPr>
            <w:tcW w:w="840" w:type="pct"/>
            <w:vAlign w:val="center"/>
          </w:tcPr>
          <w:p w:rsidR="00EE4502" w:rsidRDefault="00FD45A3">
            <w:pPr>
              <w:jc w:val="center"/>
              <w:rPr>
                <w:szCs w:val="21"/>
                <w:lang w:bidi="en-US"/>
              </w:rPr>
            </w:pPr>
            <w:r>
              <w:rPr>
                <w:szCs w:val="21"/>
                <w:lang w:bidi="en-US"/>
              </w:rPr>
              <w:t>100</w:t>
            </w:r>
          </w:p>
        </w:tc>
      </w:tr>
      <w:tr w:rsidR="00EE4502">
        <w:trPr>
          <w:trHeight w:val="340"/>
          <w:jc w:val="center"/>
        </w:trPr>
        <w:tc>
          <w:tcPr>
            <w:tcW w:w="479" w:type="pct"/>
            <w:vAlign w:val="center"/>
          </w:tcPr>
          <w:p w:rsidR="00EE4502" w:rsidRDefault="00FD45A3">
            <w:pPr>
              <w:jc w:val="center"/>
              <w:rPr>
                <w:szCs w:val="21"/>
                <w:lang w:bidi="en-US"/>
              </w:rPr>
            </w:pPr>
            <w:r>
              <w:rPr>
                <w:szCs w:val="21"/>
                <w:lang w:bidi="en-US"/>
              </w:rPr>
              <w:t>12</w:t>
            </w:r>
          </w:p>
        </w:tc>
        <w:tc>
          <w:tcPr>
            <w:tcW w:w="1163" w:type="pct"/>
            <w:vAlign w:val="center"/>
          </w:tcPr>
          <w:p w:rsidR="00EE4502" w:rsidRDefault="00FD45A3">
            <w:pPr>
              <w:jc w:val="center"/>
              <w:rPr>
                <w:szCs w:val="21"/>
                <w:lang w:bidi="en-US"/>
              </w:rPr>
            </w:pPr>
            <w:r>
              <w:rPr>
                <w:szCs w:val="21"/>
                <w:lang w:bidi="en-US"/>
              </w:rPr>
              <w:t>1,2</w:t>
            </w:r>
            <w:r>
              <w:rPr>
                <w:rFonts w:hAnsi="宋体"/>
                <w:szCs w:val="21"/>
                <w:lang w:bidi="en-US"/>
              </w:rPr>
              <w:t>二氯乙烷</w:t>
            </w:r>
          </w:p>
        </w:tc>
        <w:tc>
          <w:tcPr>
            <w:tcW w:w="830" w:type="pct"/>
            <w:vAlign w:val="center"/>
          </w:tcPr>
          <w:p w:rsidR="00EE4502" w:rsidRDefault="00FD45A3">
            <w:pPr>
              <w:jc w:val="center"/>
              <w:rPr>
                <w:szCs w:val="21"/>
                <w:lang w:bidi="en-US"/>
              </w:rPr>
            </w:pPr>
            <w:r>
              <w:rPr>
                <w:szCs w:val="21"/>
                <w:lang w:bidi="en-US"/>
              </w:rPr>
              <w:t>0.52</w:t>
            </w:r>
          </w:p>
        </w:tc>
        <w:tc>
          <w:tcPr>
            <w:tcW w:w="844" w:type="pct"/>
            <w:vAlign w:val="center"/>
          </w:tcPr>
          <w:p w:rsidR="00EE4502" w:rsidRDefault="00FD45A3">
            <w:pPr>
              <w:jc w:val="center"/>
              <w:rPr>
                <w:szCs w:val="21"/>
                <w:lang w:bidi="en-US"/>
              </w:rPr>
            </w:pPr>
            <w:r>
              <w:rPr>
                <w:szCs w:val="21"/>
                <w:lang w:bidi="en-US"/>
              </w:rPr>
              <w:t>5</w:t>
            </w:r>
          </w:p>
        </w:tc>
        <w:tc>
          <w:tcPr>
            <w:tcW w:w="840" w:type="pct"/>
            <w:vAlign w:val="center"/>
          </w:tcPr>
          <w:p w:rsidR="00EE4502" w:rsidRDefault="00FD45A3">
            <w:pPr>
              <w:jc w:val="center"/>
              <w:rPr>
                <w:szCs w:val="21"/>
                <w:lang w:bidi="en-US"/>
              </w:rPr>
            </w:pPr>
            <w:r>
              <w:rPr>
                <w:szCs w:val="21"/>
                <w:lang w:bidi="en-US"/>
              </w:rPr>
              <w:t>6</w:t>
            </w:r>
          </w:p>
        </w:tc>
        <w:tc>
          <w:tcPr>
            <w:tcW w:w="840" w:type="pct"/>
            <w:vAlign w:val="center"/>
          </w:tcPr>
          <w:p w:rsidR="00EE4502" w:rsidRDefault="00FD45A3">
            <w:pPr>
              <w:jc w:val="center"/>
              <w:rPr>
                <w:szCs w:val="21"/>
                <w:lang w:bidi="en-US"/>
              </w:rPr>
            </w:pPr>
            <w:r>
              <w:rPr>
                <w:szCs w:val="21"/>
                <w:lang w:bidi="en-US"/>
              </w:rPr>
              <w:t>21</w:t>
            </w:r>
          </w:p>
        </w:tc>
      </w:tr>
      <w:tr w:rsidR="00EE4502">
        <w:trPr>
          <w:trHeight w:val="340"/>
          <w:jc w:val="center"/>
        </w:trPr>
        <w:tc>
          <w:tcPr>
            <w:tcW w:w="479" w:type="pct"/>
            <w:vAlign w:val="center"/>
          </w:tcPr>
          <w:p w:rsidR="00EE4502" w:rsidRDefault="00FD45A3">
            <w:pPr>
              <w:jc w:val="center"/>
              <w:rPr>
                <w:szCs w:val="21"/>
                <w:lang w:bidi="en-US"/>
              </w:rPr>
            </w:pPr>
            <w:r>
              <w:rPr>
                <w:szCs w:val="21"/>
                <w:lang w:bidi="en-US"/>
              </w:rPr>
              <w:t>13</w:t>
            </w:r>
          </w:p>
        </w:tc>
        <w:tc>
          <w:tcPr>
            <w:tcW w:w="1163" w:type="pct"/>
            <w:vAlign w:val="center"/>
          </w:tcPr>
          <w:p w:rsidR="00EE4502" w:rsidRDefault="00FD45A3">
            <w:pPr>
              <w:jc w:val="center"/>
              <w:rPr>
                <w:szCs w:val="21"/>
                <w:lang w:bidi="en-US"/>
              </w:rPr>
            </w:pPr>
            <w:r>
              <w:rPr>
                <w:szCs w:val="21"/>
                <w:lang w:bidi="en-US"/>
              </w:rPr>
              <w:t>1,1-</w:t>
            </w:r>
            <w:r>
              <w:rPr>
                <w:rFonts w:hAnsi="宋体"/>
                <w:szCs w:val="21"/>
                <w:lang w:bidi="en-US"/>
              </w:rPr>
              <w:t>二氯乙烯</w:t>
            </w:r>
          </w:p>
        </w:tc>
        <w:tc>
          <w:tcPr>
            <w:tcW w:w="830" w:type="pct"/>
            <w:vAlign w:val="center"/>
          </w:tcPr>
          <w:p w:rsidR="00EE4502" w:rsidRDefault="00FD45A3">
            <w:pPr>
              <w:jc w:val="center"/>
              <w:rPr>
                <w:szCs w:val="21"/>
                <w:lang w:bidi="en-US"/>
              </w:rPr>
            </w:pPr>
            <w:r>
              <w:rPr>
                <w:szCs w:val="21"/>
                <w:lang w:bidi="en-US"/>
              </w:rPr>
              <w:t>12</w:t>
            </w:r>
          </w:p>
        </w:tc>
        <w:tc>
          <w:tcPr>
            <w:tcW w:w="844" w:type="pct"/>
            <w:vAlign w:val="center"/>
          </w:tcPr>
          <w:p w:rsidR="00EE4502" w:rsidRDefault="00FD45A3">
            <w:pPr>
              <w:jc w:val="center"/>
              <w:rPr>
                <w:szCs w:val="21"/>
                <w:lang w:bidi="en-US"/>
              </w:rPr>
            </w:pPr>
            <w:r>
              <w:rPr>
                <w:szCs w:val="21"/>
                <w:lang w:bidi="en-US"/>
              </w:rPr>
              <w:t>66</w:t>
            </w:r>
          </w:p>
        </w:tc>
        <w:tc>
          <w:tcPr>
            <w:tcW w:w="840" w:type="pct"/>
            <w:vAlign w:val="center"/>
          </w:tcPr>
          <w:p w:rsidR="00EE4502" w:rsidRDefault="00FD45A3">
            <w:pPr>
              <w:jc w:val="center"/>
              <w:rPr>
                <w:szCs w:val="21"/>
                <w:lang w:bidi="en-US"/>
              </w:rPr>
            </w:pPr>
            <w:r>
              <w:rPr>
                <w:szCs w:val="21"/>
                <w:lang w:bidi="en-US"/>
              </w:rPr>
              <w:t>40</w:t>
            </w:r>
          </w:p>
        </w:tc>
        <w:tc>
          <w:tcPr>
            <w:tcW w:w="840" w:type="pct"/>
            <w:vAlign w:val="center"/>
          </w:tcPr>
          <w:p w:rsidR="00EE4502" w:rsidRDefault="00FD45A3">
            <w:pPr>
              <w:jc w:val="center"/>
              <w:rPr>
                <w:szCs w:val="21"/>
                <w:lang w:bidi="en-US"/>
              </w:rPr>
            </w:pPr>
            <w:r>
              <w:rPr>
                <w:szCs w:val="21"/>
                <w:lang w:bidi="en-US"/>
              </w:rPr>
              <w:t>200</w:t>
            </w:r>
          </w:p>
        </w:tc>
      </w:tr>
      <w:tr w:rsidR="00EE4502">
        <w:trPr>
          <w:trHeight w:val="340"/>
          <w:jc w:val="center"/>
        </w:trPr>
        <w:tc>
          <w:tcPr>
            <w:tcW w:w="479" w:type="pct"/>
            <w:vAlign w:val="center"/>
          </w:tcPr>
          <w:p w:rsidR="00EE4502" w:rsidRDefault="00FD45A3">
            <w:pPr>
              <w:jc w:val="center"/>
              <w:rPr>
                <w:szCs w:val="21"/>
                <w:lang w:bidi="en-US"/>
              </w:rPr>
            </w:pPr>
            <w:r>
              <w:rPr>
                <w:szCs w:val="21"/>
                <w:lang w:bidi="en-US"/>
              </w:rPr>
              <w:t>14</w:t>
            </w:r>
          </w:p>
        </w:tc>
        <w:tc>
          <w:tcPr>
            <w:tcW w:w="1163" w:type="pct"/>
            <w:vAlign w:val="center"/>
          </w:tcPr>
          <w:p w:rsidR="00EE4502" w:rsidRDefault="00FD45A3">
            <w:pPr>
              <w:jc w:val="center"/>
              <w:rPr>
                <w:szCs w:val="21"/>
                <w:lang w:bidi="en-US"/>
              </w:rPr>
            </w:pPr>
            <w:r>
              <w:rPr>
                <w:rFonts w:hAnsi="宋体"/>
                <w:szCs w:val="21"/>
                <w:lang w:bidi="en-US"/>
              </w:rPr>
              <w:t>顺</w:t>
            </w:r>
            <w:r>
              <w:rPr>
                <w:szCs w:val="21"/>
                <w:lang w:bidi="en-US"/>
              </w:rPr>
              <w:t>-1,2-</w:t>
            </w:r>
            <w:r>
              <w:rPr>
                <w:rFonts w:hAnsi="宋体"/>
                <w:szCs w:val="21"/>
                <w:lang w:bidi="en-US"/>
              </w:rPr>
              <w:t>二氯乙烯</w:t>
            </w:r>
          </w:p>
        </w:tc>
        <w:tc>
          <w:tcPr>
            <w:tcW w:w="830" w:type="pct"/>
            <w:vAlign w:val="center"/>
          </w:tcPr>
          <w:p w:rsidR="00EE4502" w:rsidRDefault="00FD45A3">
            <w:pPr>
              <w:jc w:val="center"/>
              <w:rPr>
                <w:szCs w:val="21"/>
                <w:lang w:bidi="en-US"/>
              </w:rPr>
            </w:pPr>
            <w:r>
              <w:rPr>
                <w:szCs w:val="21"/>
                <w:lang w:bidi="en-US"/>
              </w:rPr>
              <w:t>66</w:t>
            </w:r>
          </w:p>
        </w:tc>
        <w:tc>
          <w:tcPr>
            <w:tcW w:w="844" w:type="pct"/>
            <w:vAlign w:val="center"/>
          </w:tcPr>
          <w:p w:rsidR="00EE4502" w:rsidRDefault="00FD45A3">
            <w:pPr>
              <w:jc w:val="center"/>
              <w:rPr>
                <w:szCs w:val="21"/>
                <w:lang w:bidi="en-US"/>
              </w:rPr>
            </w:pPr>
            <w:r>
              <w:rPr>
                <w:szCs w:val="21"/>
                <w:lang w:bidi="en-US"/>
              </w:rPr>
              <w:t>596</w:t>
            </w:r>
          </w:p>
        </w:tc>
        <w:tc>
          <w:tcPr>
            <w:tcW w:w="840" w:type="pct"/>
            <w:vAlign w:val="center"/>
          </w:tcPr>
          <w:p w:rsidR="00EE4502" w:rsidRDefault="00FD45A3">
            <w:pPr>
              <w:jc w:val="center"/>
              <w:rPr>
                <w:szCs w:val="21"/>
                <w:lang w:bidi="en-US"/>
              </w:rPr>
            </w:pPr>
            <w:r>
              <w:rPr>
                <w:szCs w:val="21"/>
                <w:lang w:bidi="en-US"/>
              </w:rPr>
              <w:t>200</w:t>
            </w:r>
          </w:p>
        </w:tc>
        <w:tc>
          <w:tcPr>
            <w:tcW w:w="840" w:type="pct"/>
            <w:vAlign w:val="center"/>
          </w:tcPr>
          <w:p w:rsidR="00EE4502" w:rsidRDefault="00FD45A3">
            <w:pPr>
              <w:jc w:val="center"/>
              <w:rPr>
                <w:szCs w:val="21"/>
                <w:lang w:bidi="en-US"/>
              </w:rPr>
            </w:pPr>
            <w:r>
              <w:rPr>
                <w:szCs w:val="21"/>
                <w:lang w:bidi="en-US"/>
              </w:rPr>
              <w:t>2000</w:t>
            </w:r>
          </w:p>
        </w:tc>
      </w:tr>
      <w:tr w:rsidR="00EE4502">
        <w:trPr>
          <w:trHeight w:val="340"/>
          <w:jc w:val="center"/>
        </w:trPr>
        <w:tc>
          <w:tcPr>
            <w:tcW w:w="479" w:type="pct"/>
            <w:vAlign w:val="center"/>
          </w:tcPr>
          <w:p w:rsidR="00EE4502" w:rsidRDefault="00FD45A3">
            <w:pPr>
              <w:jc w:val="center"/>
              <w:rPr>
                <w:szCs w:val="21"/>
                <w:lang w:bidi="en-US"/>
              </w:rPr>
            </w:pPr>
            <w:r>
              <w:rPr>
                <w:szCs w:val="21"/>
                <w:lang w:bidi="en-US"/>
              </w:rPr>
              <w:t>15</w:t>
            </w:r>
          </w:p>
        </w:tc>
        <w:tc>
          <w:tcPr>
            <w:tcW w:w="1163" w:type="pct"/>
            <w:vAlign w:val="center"/>
          </w:tcPr>
          <w:p w:rsidR="00EE4502" w:rsidRDefault="00FD45A3">
            <w:pPr>
              <w:jc w:val="center"/>
              <w:rPr>
                <w:szCs w:val="21"/>
                <w:lang w:bidi="en-US"/>
              </w:rPr>
            </w:pPr>
            <w:r>
              <w:rPr>
                <w:rFonts w:hAnsi="宋体"/>
                <w:szCs w:val="21"/>
                <w:lang w:bidi="en-US"/>
              </w:rPr>
              <w:t>反</w:t>
            </w:r>
            <w:r>
              <w:rPr>
                <w:szCs w:val="21"/>
                <w:lang w:bidi="en-US"/>
              </w:rPr>
              <w:t>-1,2-</w:t>
            </w:r>
            <w:r>
              <w:rPr>
                <w:rFonts w:hAnsi="宋体"/>
                <w:szCs w:val="21"/>
                <w:lang w:bidi="en-US"/>
              </w:rPr>
              <w:t>二氯乙烯</w:t>
            </w:r>
          </w:p>
        </w:tc>
        <w:tc>
          <w:tcPr>
            <w:tcW w:w="830" w:type="pct"/>
            <w:vAlign w:val="center"/>
          </w:tcPr>
          <w:p w:rsidR="00EE4502" w:rsidRDefault="00FD45A3">
            <w:pPr>
              <w:jc w:val="center"/>
              <w:rPr>
                <w:szCs w:val="21"/>
                <w:lang w:bidi="en-US"/>
              </w:rPr>
            </w:pPr>
            <w:r>
              <w:rPr>
                <w:szCs w:val="21"/>
                <w:lang w:bidi="en-US"/>
              </w:rPr>
              <w:t>10</w:t>
            </w:r>
          </w:p>
        </w:tc>
        <w:tc>
          <w:tcPr>
            <w:tcW w:w="844" w:type="pct"/>
            <w:vAlign w:val="center"/>
          </w:tcPr>
          <w:p w:rsidR="00EE4502" w:rsidRDefault="00FD45A3">
            <w:pPr>
              <w:jc w:val="center"/>
              <w:rPr>
                <w:szCs w:val="21"/>
                <w:lang w:bidi="en-US"/>
              </w:rPr>
            </w:pPr>
            <w:r>
              <w:rPr>
                <w:szCs w:val="21"/>
                <w:lang w:bidi="en-US"/>
              </w:rPr>
              <w:t>54</w:t>
            </w:r>
          </w:p>
        </w:tc>
        <w:tc>
          <w:tcPr>
            <w:tcW w:w="840" w:type="pct"/>
            <w:vAlign w:val="center"/>
          </w:tcPr>
          <w:p w:rsidR="00EE4502" w:rsidRDefault="00FD45A3">
            <w:pPr>
              <w:jc w:val="center"/>
              <w:rPr>
                <w:szCs w:val="21"/>
                <w:lang w:bidi="en-US"/>
              </w:rPr>
            </w:pPr>
            <w:r>
              <w:rPr>
                <w:szCs w:val="21"/>
                <w:lang w:bidi="en-US"/>
              </w:rPr>
              <w:t>31</w:t>
            </w:r>
          </w:p>
        </w:tc>
        <w:tc>
          <w:tcPr>
            <w:tcW w:w="840" w:type="pct"/>
            <w:vAlign w:val="center"/>
          </w:tcPr>
          <w:p w:rsidR="00EE4502" w:rsidRDefault="00FD45A3">
            <w:pPr>
              <w:jc w:val="center"/>
              <w:rPr>
                <w:szCs w:val="21"/>
                <w:lang w:bidi="en-US"/>
              </w:rPr>
            </w:pPr>
            <w:r>
              <w:rPr>
                <w:szCs w:val="21"/>
                <w:lang w:bidi="en-US"/>
              </w:rPr>
              <w:t>163</w:t>
            </w:r>
          </w:p>
        </w:tc>
      </w:tr>
      <w:tr w:rsidR="00EE4502">
        <w:trPr>
          <w:trHeight w:val="340"/>
          <w:jc w:val="center"/>
        </w:trPr>
        <w:tc>
          <w:tcPr>
            <w:tcW w:w="479" w:type="pct"/>
            <w:vAlign w:val="center"/>
          </w:tcPr>
          <w:p w:rsidR="00EE4502" w:rsidRDefault="00FD45A3">
            <w:pPr>
              <w:jc w:val="center"/>
              <w:rPr>
                <w:szCs w:val="21"/>
                <w:lang w:bidi="en-US"/>
              </w:rPr>
            </w:pPr>
            <w:r>
              <w:rPr>
                <w:szCs w:val="21"/>
                <w:lang w:bidi="en-US"/>
              </w:rPr>
              <w:t>16</w:t>
            </w:r>
          </w:p>
        </w:tc>
        <w:tc>
          <w:tcPr>
            <w:tcW w:w="1163" w:type="pct"/>
            <w:vAlign w:val="center"/>
          </w:tcPr>
          <w:p w:rsidR="00EE4502" w:rsidRDefault="00FD45A3">
            <w:pPr>
              <w:jc w:val="center"/>
              <w:rPr>
                <w:szCs w:val="21"/>
                <w:lang w:bidi="en-US"/>
              </w:rPr>
            </w:pPr>
            <w:r>
              <w:rPr>
                <w:rFonts w:hAnsi="宋体"/>
                <w:szCs w:val="21"/>
                <w:lang w:bidi="en-US"/>
              </w:rPr>
              <w:t>二氯甲烷</w:t>
            </w:r>
          </w:p>
        </w:tc>
        <w:tc>
          <w:tcPr>
            <w:tcW w:w="830" w:type="pct"/>
            <w:vAlign w:val="center"/>
          </w:tcPr>
          <w:p w:rsidR="00EE4502" w:rsidRDefault="00FD45A3">
            <w:pPr>
              <w:jc w:val="center"/>
              <w:rPr>
                <w:szCs w:val="21"/>
                <w:lang w:bidi="en-US"/>
              </w:rPr>
            </w:pPr>
            <w:r>
              <w:rPr>
                <w:szCs w:val="21"/>
                <w:lang w:bidi="en-US"/>
              </w:rPr>
              <w:t>94</w:t>
            </w:r>
          </w:p>
        </w:tc>
        <w:tc>
          <w:tcPr>
            <w:tcW w:w="844" w:type="pct"/>
            <w:vAlign w:val="center"/>
          </w:tcPr>
          <w:p w:rsidR="00EE4502" w:rsidRDefault="00FD45A3">
            <w:pPr>
              <w:jc w:val="center"/>
              <w:rPr>
                <w:szCs w:val="21"/>
                <w:lang w:bidi="en-US"/>
              </w:rPr>
            </w:pPr>
            <w:r>
              <w:rPr>
                <w:szCs w:val="21"/>
                <w:lang w:bidi="en-US"/>
              </w:rPr>
              <w:t>616</w:t>
            </w:r>
          </w:p>
        </w:tc>
        <w:tc>
          <w:tcPr>
            <w:tcW w:w="840" w:type="pct"/>
            <w:vAlign w:val="center"/>
          </w:tcPr>
          <w:p w:rsidR="00EE4502" w:rsidRDefault="00FD45A3">
            <w:pPr>
              <w:jc w:val="center"/>
              <w:rPr>
                <w:szCs w:val="21"/>
                <w:lang w:bidi="en-US"/>
              </w:rPr>
            </w:pPr>
            <w:r>
              <w:rPr>
                <w:szCs w:val="21"/>
                <w:lang w:bidi="en-US"/>
              </w:rPr>
              <w:t>300</w:t>
            </w:r>
          </w:p>
        </w:tc>
        <w:tc>
          <w:tcPr>
            <w:tcW w:w="840" w:type="pct"/>
            <w:vAlign w:val="center"/>
          </w:tcPr>
          <w:p w:rsidR="00EE4502" w:rsidRDefault="00FD45A3">
            <w:pPr>
              <w:jc w:val="center"/>
              <w:rPr>
                <w:szCs w:val="21"/>
                <w:lang w:bidi="en-US"/>
              </w:rPr>
            </w:pPr>
            <w:r>
              <w:rPr>
                <w:szCs w:val="21"/>
                <w:lang w:bidi="en-US"/>
              </w:rPr>
              <w:t>2000</w:t>
            </w:r>
          </w:p>
        </w:tc>
      </w:tr>
      <w:tr w:rsidR="00EE4502">
        <w:trPr>
          <w:trHeight w:val="340"/>
          <w:jc w:val="center"/>
        </w:trPr>
        <w:tc>
          <w:tcPr>
            <w:tcW w:w="479" w:type="pct"/>
            <w:vAlign w:val="center"/>
          </w:tcPr>
          <w:p w:rsidR="00EE4502" w:rsidRDefault="00FD45A3">
            <w:pPr>
              <w:jc w:val="center"/>
              <w:rPr>
                <w:szCs w:val="21"/>
                <w:lang w:bidi="en-US"/>
              </w:rPr>
            </w:pPr>
            <w:r>
              <w:rPr>
                <w:szCs w:val="21"/>
                <w:lang w:bidi="en-US"/>
              </w:rPr>
              <w:t>17</w:t>
            </w:r>
          </w:p>
        </w:tc>
        <w:tc>
          <w:tcPr>
            <w:tcW w:w="1163" w:type="pct"/>
            <w:vAlign w:val="center"/>
          </w:tcPr>
          <w:p w:rsidR="00EE4502" w:rsidRDefault="00FD45A3">
            <w:pPr>
              <w:jc w:val="center"/>
              <w:rPr>
                <w:szCs w:val="21"/>
                <w:lang w:bidi="en-US"/>
              </w:rPr>
            </w:pPr>
            <w:r>
              <w:rPr>
                <w:szCs w:val="21"/>
                <w:lang w:bidi="en-US"/>
              </w:rPr>
              <w:t>1,2-</w:t>
            </w:r>
            <w:r>
              <w:rPr>
                <w:rFonts w:hAnsi="宋体"/>
                <w:szCs w:val="21"/>
                <w:lang w:bidi="en-US"/>
              </w:rPr>
              <w:t>二氯丙烷</w:t>
            </w:r>
          </w:p>
        </w:tc>
        <w:tc>
          <w:tcPr>
            <w:tcW w:w="830" w:type="pct"/>
            <w:vAlign w:val="center"/>
          </w:tcPr>
          <w:p w:rsidR="00EE4502" w:rsidRDefault="00FD45A3">
            <w:pPr>
              <w:jc w:val="center"/>
              <w:rPr>
                <w:szCs w:val="21"/>
                <w:lang w:bidi="en-US"/>
              </w:rPr>
            </w:pPr>
            <w:r>
              <w:rPr>
                <w:szCs w:val="21"/>
                <w:lang w:bidi="en-US"/>
              </w:rPr>
              <w:t>1</w:t>
            </w:r>
          </w:p>
        </w:tc>
        <w:tc>
          <w:tcPr>
            <w:tcW w:w="844" w:type="pct"/>
            <w:vAlign w:val="center"/>
          </w:tcPr>
          <w:p w:rsidR="00EE4502" w:rsidRDefault="00FD45A3">
            <w:pPr>
              <w:jc w:val="center"/>
              <w:rPr>
                <w:szCs w:val="21"/>
                <w:lang w:bidi="en-US"/>
              </w:rPr>
            </w:pPr>
            <w:r>
              <w:rPr>
                <w:szCs w:val="21"/>
                <w:lang w:bidi="en-US"/>
              </w:rPr>
              <w:t>5</w:t>
            </w:r>
          </w:p>
        </w:tc>
        <w:tc>
          <w:tcPr>
            <w:tcW w:w="840" w:type="pct"/>
            <w:vAlign w:val="center"/>
          </w:tcPr>
          <w:p w:rsidR="00EE4502" w:rsidRDefault="00FD45A3">
            <w:pPr>
              <w:jc w:val="center"/>
              <w:rPr>
                <w:szCs w:val="21"/>
                <w:lang w:bidi="en-US"/>
              </w:rPr>
            </w:pPr>
            <w:r>
              <w:rPr>
                <w:szCs w:val="21"/>
                <w:lang w:bidi="en-US"/>
              </w:rPr>
              <w:t>5</w:t>
            </w:r>
          </w:p>
        </w:tc>
        <w:tc>
          <w:tcPr>
            <w:tcW w:w="840" w:type="pct"/>
            <w:vAlign w:val="center"/>
          </w:tcPr>
          <w:p w:rsidR="00EE4502" w:rsidRDefault="00FD45A3">
            <w:pPr>
              <w:jc w:val="center"/>
              <w:rPr>
                <w:szCs w:val="21"/>
                <w:lang w:bidi="en-US"/>
              </w:rPr>
            </w:pPr>
            <w:r>
              <w:rPr>
                <w:szCs w:val="21"/>
                <w:lang w:bidi="en-US"/>
              </w:rPr>
              <w:t>47</w:t>
            </w:r>
          </w:p>
        </w:tc>
      </w:tr>
      <w:tr w:rsidR="00EE4502">
        <w:trPr>
          <w:trHeight w:val="340"/>
          <w:jc w:val="center"/>
        </w:trPr>
        <w:tc>
          <w:tcPr>
            <w:tcW w:w="479" w:type="pct"/>
            <w:vAlign w:val="center"/>
          </w:tcPr>
          <w:p w:rsidR="00EE4502" w:rsidRDefault="00FD45A3">
            <w:pPr>
              <w:jc w:val="center"/>
              <w:rPr>
                <w:szCs w:val="21"/>
                <w:lang w:bidi="en-US"/>
              </w:rPr>
            </w:pPr>
            <w:r>
              <w:rPr>
                <w:szCs w:val="21"/>
                <w:lang w:bidi="en-US"/>
              </w:rPr>
              <w:t>18</w:t>
            </w:r>
          </w:p>
        </w:tc>
        <w:tc>
          <w:tcPr>
            <w:tcW w:w="1163" w:type="pct"/>
            <w:vAlign w:val="center"/>
          </w:tcPr>
          <w:p w:rsidR="00EE4502" w:rsidRDefault="00FD45A3">
            <w:pPr>
              <w:jc w:val="center"/>
              <w:rPr>
                <w:szCs w:val="21"/>
                <w:lang w:bidi="en-US"/>
              </w:rPr>
            </w:pPr>
            <w:r>
              <w:rPr>
                <w:szCs w:val="21"/>
                <w:lang w:bidi="en-US"/>
              </w:rPr>
              <w:t>1,1,1,2-</w:t>
            </w:r>
            <w:r>
              <w:rPr>
                <w:rFonts w:hAnsi="宋体"/>
                <w:szCs w:val="21"/>
                <w:lang w:bidi="en-US"/>
              </w:rPr>
              <w:t>四氯乙烷</w:t>
            </w:r>
          </w:p>
        </w:tc>
        <w:tc>
          <w:tcPr>
            <w:tcW w:w="830" w:type="pct"/>
            <w:vAlign w:val="center"/>
          </w:tcPr>
          <w:p w:rsidR="00EE4502" w:rsidRDefault="00FD45A3">
            <w:pPr>
              <w:jc w:val="center"/>
              <w:rPr>
                <w:szCs w:val="21"/>
                <w:lang w:bidi="en-US"/>
              </w:rPr>
            </w:pPr>
            <w:r>
              <w:rPr>
                <w:szCs w:val="21"/>
                <w:lang w:bidi="en-US"/>
              </w:rPr>
              <w:t>2.6</w:t>
            </w:r>
          </w:p>
        </w:tc>
        <w:tc>
          <w:tcPr>
            <w:tcW w:w="844" w:type="pct"/>
            <w:vAlign w:val="center"/>
          </w:tcPr>
          <w:p w:rsidR="00EE4502" w:rsidRDefault="00FD45A3">
            <w:pPr>
              <w:jc w:val="center"/>
              <w:rPr>
                <w:szCs w:val="21"/>
                <w:lang w:bidi="en-US"/>
              </w:rPr>
            </w:pPr>
            <w:r>
              <w:rPr>
                <w:szCs w:val="21"/>
                <w:lang w:bidi="en-US"/>
              </w:rPr>
              <w:t>10</w:t>
            </w:r>
          </w:p>
        </w:tc>
        <w:tc>
          <w:tcPr>
            <w:tcW w:w="840" w:type="pct"/>
            <w:vAlign w:val="center"/>
          </w:tcPr>
          <w:p w:rsidR="00EE4502" w:rsidRDefault="00FD45A3">
            <w:pPr>
              <w:jc w:val="center"/>
              <w:rPr>
                <w:szCs w:val="21"/>
                <w:lang w:bidi="en-US"/>
              </w:rPr>
            </w:pPr>
            <w:r>
              <w:rPr>
                <w:szCs w:val="21"/>
                <w:lang w:bidi="en-US"/>
              </w:rPr>
              <w:t>26</w:t>
            </w:r>
          </w:p>
        </w:tc>
        <w:tc>
          <w:tcPr>
            <w:tcW w:w="840" w:type="pct"/>
            <w:vAlign w:val="center"/>
          </w:tcPr>
          <w:p w:rsidR="00EE4502" w:rsidRDefault="00FD45A3">
            <w:pPr>
              <w:jc w:val="center"/>
              <w:rPr>
                <w:szCs w:val="21"/>
                <w:lang w:bidi="en-US"/>
              </w:rPr>
            </w:pPr>
            <w:r>
              <w:rPr>
                <w:szCs w:val="21"/>
                <w:lang w:bidi="en-US"/>
              </w:rPr>
              <w:t>100</w:t>
            </w:r>
          </w:p>
        </w:tc>
      </w:tr>
      <w:tr w:rsidR="00EE4502">
        <w:trPr>
          <w:trHeight w:val="340"/>
          <w:jc w:val="center"/>
        </w:trPr>
        <w:tc>
          <w:tcPr>
            <w:tcW w:w="479" w:type="pct"/>
            <w:vAlign w:val="center"/>
          </w:tcPr>
          <w:p w:rsidR="00EE4502" w:rsidRDefault="00FD45A3">
            <w:pPr>
              <w:jc w:val="center"/>
              <w:rPr>
                <w:szCs w:val="21"/>
                <w:lang w:bidi="en-US"/>
              </w:rPr>
            </w:pPr>
            <w:r>
              <w:rPr>
                <w:szCs w:val="21"/>
                <w:lang w:bidi="en-US"/>
              </w:rPr>
              <w:t>19</w:t>
            </w:r>
          </w:p>
        </w:tc>
        <w:tc>
          <w:tcPr>
            <w:tcW w:w="1163" w:type="pct"/>
            <w:vAlign w:val="center"/>
          </w:tcPr>
          <w:p w:rsidR="00EE4502" w:rsidRDefault="00FD45A3">
            <w:pPr>
              <w:jc w:val="center"/>
              <w:rPr>
                <w:szCs w:val="21"/>
                <w:lang w:bidi="en-US"/>
              </w:rPr>
            </w:pPr>
            <w:r>
              <w:rPr>
                <w:szCs w:val="21"/>
                <w:lang w:bidi="en-US"/>
              </w:rPr>
              <w:t>1,1,2,2-</w:t>
            </w:r>
            <w:r>
              <w:rPr>
                <w:rFonts w:hAnsi="宋体"/>
                <w:szCs w:val="21"/>
                <w:lang w:bidi="en-US"/>
              </w:rPr>
              <w:t>四氯乙烷</w:t>
            </w:r>
          </w:p>
        </w:tc>
        <w:tc>
          <w:tcPr>
            <w:tcW w:w="830" w:type="pct"/>
            <w:vAlign w:val="center"/>
          </w:tcPr>
          <w:p w:rsidR="00EE4502" w:rsidRDefault="00FD45A3">
            <w:pPr>
              <w:jc w:val="center"/>
              <w:rPr>
                <w:szCs w:val="21"/>
                <w:lang w:bidi="en-US"/>
              </w:rPr>
            </w:pPr>
            <w:r>
              <w:rPr>
                <w:szCs w:val="21"/>
                <w:lang w:bidi="en-US"/>
              </w:rPr>
              <w:t>1.6</w:t>
            </w:r>
          </w:p>
        </w:tc>
        <w:tc>
          <w:tcPr>
            <w:tcW w:w="844" w:type="pct"/>
            <w:vAlign w:val="center"/>
          </w:tcPr>
          <w:p w:rsidR="00EE4502" w:rsidRDefault="00FD45A3">
            <w:pPr>
              <w:jc w:val="center"/>
              <w:rPr>
                <w:szCs w:val="21"/>
                <w:lang w:bidi="en-US"/>
              </w:rPr>
            </w:pPr>
            <w:r>
              <w:rPr>
                <w:szCs w:val="21"/>
                <w:lang w:bidi="en-US"/>
              </w:rPr>
              <w:t>10</w:t>
            </w:r>
          </w:p>
        </w:tc>
        <w:tc>
          <w:tcPr>
            <w:tcW w:w="840" w:type="pct"/>
            <w:vAlign w:val="center"/>
          </w:tcPr>
          <w:p w:rsidR="00EE4502" w:rsidRDefault="00FD45A3">
            <w:pPr>
              <w:jc w:val="center"/>
              <w:rPr>
                <w:szCs w:val="21"/>
                <w:lang w:bidi="en-US"/>
              </w:rPr>
            </w:pPr>
            <w:r>
              <w:rPr>
                <w:szCs w:val="21"/>
                <w:lang w:bidi="en-US"/>
              </w:rPr>
              <w:t>26</w:t>
            </w:r>
          </w:p>
        </w:tc>
        <w:tc>
          <w:tcPr>
            <w:tcW w:w="840" w:type="pct"/>
            <w:vAlign w:val="center"/>
          </w:tcPr>
          <w:p w:rsidR="00EE4502" w:rsidRDefault="00FD45A3">
            <w:pPr>
              <w:jc w:val="center"/>
              <w:rPr>
                <w:szCs w:val="21"/>
                <w:lang w:bidi="en-US"/>
              </w:rPr>
            </w:pPr>
            <w:r>
              <w:rPr>
                <w:szCs w:val="21"/>
                <w:lang w:bidi="en-US"/>
              </w:rPr>
              <w:t>100</w:t>
            </w:r>
          </w:p>
        </w:tc>
      </w:tr>
      <w:tr w:rsidR="00EE4502">
        <w:trPr>
          <w:trHeight w:val="340"/>
          <w:jc w:val="center"/>
        </w:trPr>
        <w:tc>
          <w:tcPr>
            <w:tcW w:w="479" w:type="pct"/>
            <w:vAlign w:val="center"/>
          </w:tcPr>
          <w:p w:rsidR="00EE4502" w:rsidRDefault="00FD45A3">
            <w:pPr>
              <w:jc w:val="center"/>
              <w:rPr>
                <w:szCs w:val="21"/>
                <w:lang w:bidi="en-US"/>
              </w:rPr>
            </w:pPr>
            <w:r>
              <w:rPr>
                <w:szCs w:val="21"/>
                <w:lang w:bidi="en-US"/>
              </w:rPr>
              <w:t>20</w:t>
            </w:r>
          </w:p>
        </w:tc>
        <w:tc>
          <w:tcPr>
            <w:tcW w:w="1163" w:type="pct"/>
            <w:vAlign w:val="center"/>
          </w:tcPr>
          <w:p w:rsidR="00EE4502" w:rsidRDefault="00FD45A3">
            <w:pPr>
              <w:jc w:val="center"/>
              <w:rPr>
                <w:szCs w:val="21"/>
                <w:lang w:bidi="en-US"/>
              </w:rPr>
            </w:pPr>
            <w:r>
              <w:rPr>
                <w:rFonts w:hAnsi="宋体"/>
                <w:szCs w:val="21"/>
                <w:lang w:bidi="en-US"/>
              </w:rPr>
              <w:t>四氯乙烯</w:t>
            </w:r>
          </w:p>
        </w:tc>
        <w:tc>
          <w:tcPr>
            <w:tcW w:w="830" w:type="pct"/>
            <w:vAlign w:val="center"/>
          </w:tcPr>
          <w:p w:rsidR="00EE4502" w:rsidRDefault="00FD45A3">
            <w:pPr>
              <w:jc w:val="center"/>
              <w:rPr>
                <w:szCs w:val="21"/>
                <w:lang w:bidi="en-US"/>
              </w:rPr>
            </w:pPr>
            <w:r>
              <w:rPr>
                <w:szCs w:val="21"/>
                <w:lang w:bidi="en-US"/>
              </w:rPr>
              <w:t>11</w:t>
            </w:r>
          </w:p>
        </w:tc>
        <w:tc>
          <w:tcPr>
            <w:tcW w:w="844" w:type="pct"/>
            <w:vAlign w:val="center"/>
          </w:tcPr>
          <w:p w:rsidR="00EE4502" w:rsidRDefault="00FD45A3">
            <w:pPr>
              <w:jc w:val="center"/>
              <w:rPr>
                <w:szCs w:val="21"/>
                <w:lang w:bidi="en-US"/>
              </w:rPr>
            </w:pPr>
            <w:r>
              <w:rPr>
                <w:szCs w:val="21"/>
                <w:lang w:bidi="en-US"/>
              </w:rPr>
              <w:t>53</w:t>
            </w:r>
          </w:p>
        </w:tc>
        <w:tc>
          <w:tcPr>
            <w:tcW w:w="840" w:type="pct"/>
            <w:vAlign w:val="center"/>
          </w:tcPr>
          <w:p w:rsidR="00EE4502" w:rsidRDefault="00FD45A3">
            <w:pPr>
              <w:jc w:val="center"/>
              <w:rPr>
                <w:szCs w:val="21"/>
                <w:lang w:bidi="en-US"/>
              </w:rPr>
            </w:pPr>
            <w:r>
              <w:rPr>
                <w:szCs w:val="21"/>
                <w:lang w:bidi="en-US"/>
              </w:rPr>
              <w:t>34</w:t>
            </w:r>
          </w:p>
        </w:tc>
        <w:tc>
          <w:tcPr>
            <w:tcW w:w="840" w:type="pct"/>
            <w:vAlign w:val="center"/>
          </w:tcPr>
          <w:p w:rsidR="00EE4502" w:rsidRDefault="00FD45A3">
            <w:pPr>
              <w:jc w:val="center"/>
              <w:rPr>
                <w:szCs w:val="21"/>
                <w:lang w:bidi="en-US"/>
              </w:rPr>
            </w:pPr>
            <w:r>
              <w:rPr>
                <w:szCs w:val="21"/>
                <w:lang w:bidi="en-US"/>
              </w:rPr>
              <w:t>183</w:t>
            </w:r>
          </w:p>
        </w:tc>
      </w:tr>
      <w:tr w:rsidR="00EE4502">
        <w:trPr>
          <w:trHeight w:val="340"/>
          <w:jc w:val="center"/>
        </w:trPr>
        <w:tc>
          <w:tcPr>
            <w:tcW w:w="479" w:type="pct"/>
            <w:vAlign w:val="center"/>
          </w:tcPr>
          <w:p w:rsidR="00EE4502" w:rsidRDefault="00FD45A3">
            <w:pPr>
              <w:jc w:val="center"/>
              <w:rPr>
                <w:szCs w:val="21"/>
                <w:lang w:bidi="en-US"/>
              </w:rPr>
            </w:pPr>
            <w:r>
              <w:rPr>
                <w:szCs w:val="21"/>
                <w:lang w:bidi="en-US"/>
              </w:rPr>
              <w:t>21</w:t>
            </w:r>
          </w:p>
        </w:tc>
        <w:tc>
          <w:tcPr>
            <w:tcW w:w="1163" w:type="pct"/>
            <w:vAlign w:val="center"/>
          </w:tcPr>
          <w:p w:rsidR="00EE4502" w:rsidRDefault="00FD45A3">
            <w:pPr>
              <w:jc w:val="center"/>
              <w:rPr>
                <w:szCs w:val="21"/>
                <w:lang w:bidi="en-US"/>
              </w:rPr>
            </w:pPr>
            <w:r>
              <w:rPr>
                <w:szCs w:val="21"/>
                <w:lang w:bidi="en-US"/>
              </w:rPr>
              <w:t>1,1,1-</w:t>
            </w:r>
            <w:r>
              <w:rPr>
                <w:rFonts w:hAnsi="宋体"/>
                <w:szCs w:val="21"/>
                <w:lang w:bidi="en-US"/>
              </w:rPr>
              <w:t>三氯乙烷</w:t>
            </w:r>
          </w:p>
        </w:tc>
        <w:tc>
          <w:tcPr>
            <w:tcW w:w="830" w:type="pct"/>
            <w:vAlign w:val="center"/>
          </w:tcPr>
          <w:p w:rsidR="00EE4502" w:rsidRDefault="00FD45A3">
            <w:pPr>
              <w:jc w:val="center"/>
              <w:rPr>
                <w:szCs w:val="21"/>
                <w:lang w:bidi="en-US"/>
              </w:rPr>
            </w:pPr>
            <w:r>
              <w:rPr>
                <w:szCs w:val="21"/>
                <w:lang w:bidi="en-US"/>
              </w:rPr>
              <w:t>701</w:t>
            </w:r>
          </w:p>
        </w:tc>
        <w:tc>
          <w:tcPr>
            <w:tcW w:w="844" w:type="pct"/>
            <w:vAlign w:val="center"/>
          </w:tcPr>
          <w:p w:rsidR="00EE4502" w:rsidRDefault="00FD45A3">
            <w:pPr>
              <w:jc w:val="center"/>
              <w:rPr>
                <w:szCs w:val="21"/>
                <w:lang w:bidi="en-US"/>
              </w:rPr>
            </w:pPr>
            <w:r>
              <w:rPr>
                <w:szCs w:val="21"/>
                <w:lang w:bidi="en-US"/>
              </w:rPr>
              <w:t>840</w:t>
            </w:r>
          </w:p>
        </w:tc>
        <w:tc>
          <w:tcPr>
            <w:tcW w:w="840" w:type="pct"/>
            <w:vAlign w:val="center"/>
          </w:tcPr>
          <w:p w:rsidR="00EE4502" w:rsidRDefault="00FD45A3">
            <w:pPr>
              <w:jc w:val="center"/>
              <w:rPr>
                <w:szCs w:val="21"/>
                <w:lang w:bidi="en-US"/>
              </w:rPr>
            </w:pPr>
            <w:r>
              <w:rPr>
                <w:szCs w:val="21"/>
                <w:lang w:bidi="en-US"/>
              </w:rPr>
              <w:t>840</w:t>
            </w:r>
          </w:p>
        </w:tc>
        <w:tc>
          <w:tcPr>
            <w:tcW w:w="840" w:type="pct"/>
            <w:vAlign w:val="center"/>
          </w:tcPr>
          <w:p w:rsidR="00EE4502" w:rsidRDefault="00FD45A3">
            <w:pPr>
              <w:jc w:val="center"/>
              <w:rPr>
                <w:szCs w:val="21"/>
                <w:lang w:bidi="en-US"/>
              </w:rPr>
            </w:pPr>
            <w:r>
              <w:rPr>
                <w:szCs w:val="21"/>
                <w:lang w:bidi="en-US"/>
              </w:rPr>
              <w:t>840</w:t>
            </w:r>
          </w:p>
        </w:tc>
      </w:tr>
      <w:tr w:rsidR="00EE4502">
        <w:trPr>
          <w:trHeight w:val="340"/>
          <w:jc w:val="center"/>
        </w:trPr>
        <w:tc>
          <w:tcPr>
            <w:tcW w:w="479" w:type="pct"/>
            <w:vAlign w:val="center"/>
          </w:tcPr>
          <w:p w:rsidR="00EE4502" w:rsidRDefault="00FD45A3">
            <w:pPr>
              <w:jc w:val="center"/>
              <w:rPr>
                <w:szCs w:val="21"/>
                <w:lang w:bidi="en-US"/>
              </w:rPr>
            </w:pPr>
            <w:r>
              <w:rPr>
                <w:szCs w:val="21"/>
                <w:lang w:bidi="en-US"/>
              </w:rPr>
              <w:t>22</w:t>
            </w:r>
          </w:p>
        </w:tc>
        <w:tc>
          <w:tcPr>
            <w:tcW w:w="1163" w:type="pct"/>
            <w:vAlign w:val="center"/>
          </w:tcPr>
          <w:p w:rsidR="00EE4502" w:rsidRDefault="00FD45A3">
            <w:pPr>
              <w:jc w:val="center"/>
              <w:rPr>
                <w:szCs w:val="21"/>
                <w:lang w:bidi="en-US"/>
              </w:rPr>
            </w:pPr>
            <w:r>
              <w:rPr>
                <w:szCs w:val="21"/>
                <w:lang w:bidi="en-US"/>
              </w:rPr>
              <w:t>1,1,2-</w:t>
            </w:r>
            <w:r>
              <w:rPr>
                <w:rFonts w:hAnsi="宋体"/>
                <w:szCs w:val="21"/>
                <w:lang w:bidi="en-US"/>
              </w:rPr>
              <w:t>三氯乙烷</w:t>
            </w:r>
          </w:p>
        </w:tc>
        <w:tc>
          <w:tcPr>
            <w:tcW w:w="830" w:type="pct"/>
            <w:vAlign w:val="center"/>
          </w:tcPr>
          <w:p w:rsidR="00EE4502" w:rsidRDefault="00FD45A3">
            <w:pPr>
              <w:jc w:val="center"/>
              <w:rPr>
                <w:szCs w:val="21"/>
                <w:lang w:bidi="en-US"/>
              </w:rPr>
            </w:pPr>
            <w:r>
              <w:rPr>
                <w:szCs w:val="21"/>
                <w:lang w:bidi="en-US"/>
              </w:rPr>
              <w:t>0.6</w:t>
            </w:r>
          </w:p>
        </w:tc>
        <w:tc>
          <w:tcPr>
            <w:tcW w:w="844" w:type="pct"/>
            <w:vAlign w:val="center"/>
          </w:tcPr>
          <w:p w:rsidR="00EE4502" w:rsidRDefault="00FD45A3">
            <w:pPr>
              <w:jc w:val="center"/>
              <w:rPr>
                <w:szCs w:val="21"/>
                <w:lang w:bidi="en-US"/>
              </w:rPr>
            </w:pPr>
            <w:r>
              <w:rPr>
                <w:szCs w:val="21"/>
                <w:lang w:bidi="en-US"/>
              </w:rPr>
              <w:t>2.8</w:t>
            </w:r>
          </w:p>
        </w:tc>
        <w:tc>
          <w:tcPr>
            <w:tcW w:w="840" w:type="pct"/>
            <w:vAlign w:val="center"/>
          </w:tcPr>
          <w:p w:rsidR="00EE4502" w:rsidRDefault="00FD45A3">
            <w:pPr>
              <w:jc w:val="center"/>
              <w:rPr>
                <w:szCs w:val="21"/>
                <w:lang w:bidi="en-US"/>
              </w:rPr>
            </w:pPr>
            <w:r>
              <w:rPr>
                <w:szCs w:val="21"/>
                <w:lang w:bidi="en-US"/>
              </w:rPr>
              <w:t>5</w:t>
            </w:r>
          </w:p>
        </w:tc>
        <w:tc>
          <w:tcPr>
            <w:tcW w:w="840" w:type="pct"/>
            <w:vAlign w:val="center"/>
          </w:tcPr>
          <w:p w:rsidR="00EE4502" w:rsidRDefault="00FD45A3">
            <w:pPr>
              <w:jc w:val="center"/>
              <w:rPr>
                <w:szCs w:val="21"/>
                <w:lang w:bidi="en-US"/>
              </w:rPr>
            </w:pPr>
            <w:r>
              <w:rPr>
                <w:szCs w:val="21"/>
                <w:lang w:bidi="en-US"/>
              </w:rPr>
              <w:t>15</w:t>
            </w:r>
          </w:p>
        </w:tc>
      </w:tr>
      <w:tr w:rsidR="00EE4502">
        <w:trPr>
          <w:trHeight w:val="340"/>
          <w:jc w:val="center"/>
        </w:trPr>
        <w:tc>
          <w:tcPr>
            <w:tcW w:w="479" w:type="pct"/>
            <w:vAlign w:val="center"/>
          </w:tcPr>
          <w:p w:rsidR="00EE4502" w:rsidRDefault="00FD45A3">
            <w:pPr>
              <w:jc w:val="center"/>
              <w:rPr>
                <w:szCs w:val="21"/>
                <w:lang w:bidi="en-US"/>
              </w:rPr>
            </w:pPr>
            <w:r>
              <w:rPr>
                <w:szCs w:val="21"/>
                <w:lang w:bidi="en-US"/>
              </w:rPr>
              <w:t>23</w:t>
            </w:r>
          </w:p>
        </w:tc>
        <w:tc>
          <w:tcPr>
            <w:tcW w:w="1163" w:type="pct"/>
            <w:vAlign w:val="center"/>
          </w:tcPr>
          <w:p w:rsidR="00EE4502" w:rsidRDefault="00FD45A3">
            <w:pPr>
              <w:jc w:val="center"/>
              <w:rPr>
                <w:szCs w:val="21"/>
                <w:lang w:bidi="en-US"/>
              </w:rPr>
            </w:pPr>
            <w:r>
              <w:rPr>
                <w:rFonts w:hAnsi="宋体"/>
                <w:szCs w:val="21"/>
                <w:lang w:bidi="en-US"/>
              </w:rPr>
              <w:t>三氯乙烯</w:t>
            </w:r>
          </w:p>
        </w:tc>
        <w:tc>
          <w:tcPr>
            <w:tcW w:w="830" w:type="pct"/>
            <w:vAlign w:val="center"/>
          </w:tcPr>
          <w:p w:rsidR="00EE4502" w:rsidRDefault="00FD45A3">
            <w:pPr>
              <w:jc w:val="center"/>
              <w:rPr>
                <w:szCs w:val="21"/>
                <w:lang w:bidi="en-US"/>
              </w:rPr>
            </w:pPr>
            <w:r>
              <w:rPr>
                <w:szCs w:val="21"/>
                <w:lang w:bidi="en-US"/>
              </w:rPr>
              <w:t>0.7</w:t>
            </w:r>
          </w:p>
        </w:tc>
        <w:tc>
          <w:tcPr>
            <w:tcW w:w="844" w:type="pct"/>
            <w:vAlign w:val="center"/>
          </w:tcPr>
          <w:p w:rsidR="00EE4502" w:rsidRDefault="00FD45A3">
            <w:pPr>
              <w:jc w:val="center"/>
              <w:rPr>
                <w:szCs w:val="21"/>
                <w:lang w:bidi="en-US"/>
              </w:rPr>
            </w:pPr>
            <w:r>
              <w:rPr>
                <w:szCs w:val="21"/>
                <w:lang w:bidi="en-US"/>
              </w:rPr>
              <w:t>2.8</w:t>
            </w:r>
          </w:p>
        </w:tc>
        <w:tc>
          <w:tcPr>
            <w:tcW w:w="840" w:type="pct"/>
            <w:vAlign w:val="center"/>
          </w:tcPr>
          <w:p w:rsidR="00EE4502" w:rsidRDefault="00FD45A3">
            <w:pPr>
              <w:jc w:val="center"/>
              <w:rPr>
                <w:szCs w:val="21"/>
                <w:lang w:bidi="en-US"/>
              </w:rPr>
            </w:pPr>
            <w:r>
              <w:rPr>
                <w:szCs w:val="21"/>
                <w:lang w:bidi="en-US"/>
              </w:rPr>
              <w:t>7</w:t>
            </w:r>
          </w:p>
        </w:tc>
        <w:tc>
          <w:tcPr>
            <w:tcW w:w="840" w:type="pct"/>
            <w:vAlign w:val="center"/>
          </w:tcPr>
          <w:p w:rsidR="00EE4502" w:rsidRDefault="00FD45A3">
            <w:pPr>
              <w:jc w:val="center"/>
              <w:rPr>
                <w:szCs w:val="21"/>
                <w:lang w:bidi="en-US"/>
              </w:rPr>
            </w:pPr>
            <w:r>
              <w:rPr>
                <w:szCs w:val="21"/>
                <w:lang w:bidi="en-US"/>
              </w:rPr>
              <w:t>20</w:t>
            </w:r>
          </w:p>
        </w:tc>
      </w:tr>
      <w:tr w:rsidR="00EE4502">
        <w:trPr>
          <w:trHeight w:val="340"/>
          <w:jc w:val="center"/>
        </w:trPr>
        <w:tc>
          <w:tcPr>
            <w:tcW w:w="479" w:type="pct"/>
            <w:vAlign w:val="center"/>
          </w:tcPr>
          <w:p w:rsidR="00EE4502" w:rsidRDefault="00FD45A3">
            <w:pPr>
              <w:jc w:val="center"/>
              <w:rPr>
                <w:szCs w:val="21"/>
                <w:lang w:bidi="en-US"/>
              </w:rPr>
            </w:pPr>
            <w:r>
              <w:rPr>
                <w:szCs w:val="21"/>
                <w:lang w:bidi="en-US"/>
              </w:rPr>
              <w:t>24</w:t>
            </w:r>
          </w:p>
        </w:tc>
        <w:tc>
          <w:tcPr>
            <w:tcW w:w="1163" w:type="pct"/>
            <w:vAlign w:val="center"/>
          </w:tcPr>
          <w:p w:rsidR="00EE4502" w:rsidRDefault="00FD45A3">
            <w:pPr>
              <w:jc w:val="center"/>
              <w:rPr>
                <w:szCs w:val="21"/>
                <w:lang w:bidi="en-US"/>
              </w:rPr>
            </w:pPr>
            <w:r>
              <w:rPr>
                <w:szCs w:val="21"/>
                <w:lang w:bidi="en-US"/>
              </w:rPr>
              <w:t>1,2,3-</w:t>
            </w:r>
            <w:r>
              <w:rPr>
                <w:rFonts w:hAnsi="宋体"/>
                <w:szCs w:val="21"/>
                <w:lang w:bidi="en-US"/>
              </w:rPr>
              <w:t>三氯丙烷</w:t>
            </w:r>
          </w:p>
        </w:tc>
        <w:tc>
          <w:tcPr>
            <w:tcW w:w="830" w:type="pct"/>
            <w:vAlign w:val="center"/>
          </w:tcPr>
          <w:p w:rsidR="00EE4502" w:rsidRDefault="00FD45A3">
            <w:pPr>
              <w:jc w:val="center"/>
              <w:rPr>
                <w:szCs w:val="21"/>
                <w:lang w:bidi="en-US"/>
              </w:rPr>
            </w:pPr>
            <w:r>
              <w:rPr>
                <w:szCs w:val="21"/>
                <w:lang w:bidi="en-US"/>
              </w:rPr>
              <w:t>0.05</w:t>
            </w:r>
          </w:p>
        </w:tc>
        <w:tc>
          <w:tcPr>
            <w:tcW w:w="844" w:type="pct"/>
            <w:vAlign w:val="center"/>
          </w:tcPr>
          <w:p w:rsidR="00EE4502" w:rsidRDefault="00FD45A3">
            <w:pPr>
              <w:jc w:val="center"/>
              <w:rPr>
                <w:szCs w:val="21"/>
                <w:lang w:bidi="en-US"/>
              </w:rPr>
            </w:pPr>
            <w:r>
              <w:rPr>
                <w:szCs w:val="21"/>
                <w:lang w:bidi="en-US"/>
              </w:rPr>
              <w:t>0.5</w:t>
            </w:r>
          </w:p>
        </w:tc>
        <w:tc>
          <w:tcPr>
            <w:tcW w:w="840" w:type="pct"/>
            <w:vAlign w:val="center"/>
          </w:tcPr>
          <w:p w:rsidR="00EE4502" w:rsidRDefault="00FD45A3">
            <w:pPr>
              <w:jc w:val="center"/>
              <w:rPr>
                <w:szCs w:val="21"/>
                <w:lang w:bidi="en-US"/>
              </w:rPr>
            </w:pPr>
            <w:r>
              <w:rPr>
                <w:szCs w:val="21"/>
                <w:lang w:bidi="en-US"/>
              </w:rPr>
              <w:t>0.5</w:t>
            </w:r>
          </w:p>
        </w:tc>
        <w:tc>
          <w:tcPr>
            <w:tcW w:w="840" w:type="pct"/>
            <w:vAlign w:val="center"/>
          </w:tcPr>
          <w:p w:rsidR="00EE4502" w:rsidRDefault="00FD45A3">
            <w:pPr>
              <w:jc w:val="center"/>
              <w:rPr>
                <w:szCs w:val="21"/>
                <w:lang w:bidi="en-US"/>
              </w:rPr>
            </w:pPr>
            <w:r>
              <w:rPr>
                <w:szCs w:val="21"/>
                <w:lang w:bidi="en-US"/>
              </w:rPr>
              <w:t>5</w:t>
            </w:r>
          </w:p>
        </w:tc>
      </w:tr>
      <w:tr w:rsidR="00EE4502">
        <w:trPr>
          <w:trHeight w:val="340"/>
          <w:jc w:val="center"/>
        </w:trPr>
        <w:tc>
          <w:tcPr>
            <w:tcW w:w="479" w:type="pct"/>
            <w:vAlign w:val="center"/>
          </w:tcPr>
          <w:p w:rsidR="00EE4502" w:rsidRDefault="00FD45A3">
            <w:pPr>
              <w:jc w:val="center"/>
              <w:rPr>
                <w:szCs w:val="21"/>
                <w:lang w:bidi="en-US"/>
              </w:rPr>
            </w:pPr>
            <w:r>
              <w:rPr>
                <w:szCs w:val="21"/>
                <w:lang w:bidi="en-US"/>
              </w:rPr>
              <w:t>25</w:t>
            </w:r>
          </w:p>
        </w:tc>
        <w:tc>
          <w:tcPr>
            <w:tcW w:w="1163" w:type="pct"/>
            <w:vAlign w:val="center"/>
          </w:tcPr>
          <w:p w:rsidR="00EE4502" w:rsidRDefault="00FD45A3">
            <w:pPr>
              <w:jc w:val="center"/>
              <w:rPr>
                <w:szCs w:val="21"/>
                <w:lang w:bidi="en-US"/>
              </w:rPr>
            </w:pPr>
            <w:r>
              <w:rPr>
                <w:rFonts w:hAnsi="宋体"/>
                <w:szCs w:val="21"/>
                <w:lang w:bidi="en-US"/>
              </w:rPr>
              <w:t>氯乙烯</w:t>
            </w:r>
          </w:p>
        </w:tc>
        <w:tc>
          <w:tcPr>
            <w:tcW w:w="830" w:type="pct"/>
            <w:vAlign w:val="center"/>
          </w:tcPr>
          <w:p w:rsidR="00EE4502" w:rsidRDefault="00FD45A3">
            <w:pPr>
              <w:jc w:val="center"/>
              <w:rPr>
                <w:szCs w:val="21"/>
                <w:lang w:bidi="en-US"/>
              </w:rPr>
            </w:pPr>
            <w:r>
              <w:rPr>
                <w:szCs w:val="21"/>
                <w:lang w:bidi="en-US"/>
              </w:rPr>
              <w:t>0.12</w:t>
            </w:r>
          </w:p>
        </w:tc>
        <w:tc>
          <w:tcPr>
            <w:tcW w:w="844" w:type="pct"/>
            <w:vAlign w:val="center"/>
          </w:tcPr>
          <w:p w:rsidR="00EE4502" w:rsidRDefault="00FD45A3">
            <w:pPr>
              <w:jc w:val="center"/>
              <w:rPr>
                <w:szCs w:val="21"/>
                <w:lang w:bidi="en-US"/>
              </w:rPr>
            </w:pPr>
            <w:r>
              <w:rPr>
                <w:szCs w:val="21"/>
                <w:lang w:bidi="en-US"/>
              </w:rPr>
              <w:t>0.43</w:t>
            </w:r>
          </w:p>
        </w:tc>
        <w:tc>
          <w:tcPr>
            <w:tcW w:w="840" w:type="pct"/>
            <w:vAlign w:val="center"/>
          </w:tcPr>
          <w:p w:rsidR="00EE4502" w:rsidRDefault="00FD45A3">
            <w:pPr>
              <w:jc w:val="center"/>
              <w:rPr>
                <w:szCs w:val="21"/>
                <w:lang w:bidi="en-US"/>
              </w:rPr>
            </w:pPr>
            <w:r>
              <w:rPr>
                <w:szCs w:val="21"/>
                <w:lang w:bidi="en-US"/>
              </w:rPr>
              <w:t>1.2</w:t>
            </w:r>
          </w:p>
        </w:tc>
        <w:tc>
          <w:tcPr>
            <w:tcW w:w="840" w:type="pct"/>
            <w:vAlign w:val="center"/>
          </w:tcPr>
          <w:p w:rsidR="00EE4502" w:rsidRDefault="00FD45A3">
            <w:pPr>
              <w:jc w:val="center"/>
              <w:rPr>
                <w:szCs w:val="21"/>
                <w:lang w:bidi="en-US"/>
              </w:rPr>
            </w:pPr>
            <w:r>
              <w:rPr>
                <w:szCs w:val="21"/>
                <w:lang w:bidi="en-US"/>
              </w:rPr>
              <w:t>4.3</w:t>
            </w:r>
          </w:p>
        </w:tc>
      </w:tr>
      <w:tr w:rsidR="00EE4502">
        <w:trPr>
          <w:trHeight w:val="340"/>
          <w:jc w:val="center"/>
        </w:trPr>
        <w:tc>
          <w:tcPr>
            <w:tcW w:w="479" w:type="pct"/>
            <w:vAlign w:val="center"/>
          </w:tcPr>
          <w:p w:rsidR="00EE4502" w:rsidRDefault="00FD45A3">
            <w:pPr>
              <w:jc w:val="center"/>
              <w:rPr>
                <w:szCs w:val="21"/>
                <w:lang w:bidi="en-US"/>
              </w:rPr>
            </w:pPr>
            <w:r>
              <w:rPr>
                <w:szCs w:val="21"/>
                <w:lang w:bidi="en-US"/>
              </w:rPr>
              <w:t>26</w:t>
            </w:r>
          </w:p>
        </w:tc>
        <w:tc>
          <w:tcPr>
            <w:tcW w:w="1163" w:type="pct"/>
            <w:vAlign w:val="center"/>
          </w:tcPr>
          <w:p w:rsidR="00EE4502" w:rsidRDefault="00FD45A3">
            <w:pPr>
              <w:jc w:val="center"/>
              <w:rPr>
                <w:szCs w:val="21"/>
                <w:lang w:bidi="en-US"/>
              </w:rPr>
            </w:pPr>
            <w:r>
              <w:rPr>
                <w:rFonts w:hAnsi="宋体"/>
                <w:szCs w:val="21"/>
                <w:lang w:bidi="en-US"/>
              </w:rPr>
              <w:t>苯</w:t>
            </w:r>
          </w:p>
        </w:tc>
        <w:tc>
          <w:tcPr>
            <w:tcW w:w="830" w:type="pct"/>
            <w:vAlign w:val="center"/>
          </w:tcPr>
          <w:p w:rsidR="00EE4502" w:rsidRDefault="00FD45A3">
            <w:pPr>
              <w:jc w:val="center"/>
              <w:rPr>
                <w:szCs w:val="21"/>
                <w:lang w:bidi="en-US"/>
              </w:rPr>
            </w:pPr>
            <w:r>
              <w:rPr>
                <w:szCs w:val="21"/>
                <w:lang w:bidi="en-US"/>
              </w:rPr>
              <w:t>1</w:t>
            </w:r>
          </w:p>
        </w:tc>
        <w:tc>
          <w:tcPr>
            <w:tcW w:w="844" w:type="pct"/>
            <w:vAlign w:val="center"/>
          </w:tcPr>
          <w:p w:rsidR="00EE4502" w:rsidRDefault="00FD45A3">
            <w:pPr>
              <w:jc w:val="center"/>
              <w:rPr>
                <w:szCs w:val="21"/>
                <w:lang w:bidi="en-US"/>
              </w:rPr>
            </w:pPr>
            <w:r>
              <w:rPr>
                <w:szCs w:val="21"/>
                <w:lang w:bidi="en-US"/>
              </w:rPr>
              <w:t>4</w:t>
            </w:r>
          </w:p>
        </w:tc>
        <w:tc>
          <w:tcPr>
            <w:tcW w:w="840" w:type="pct"/>
            <w:vAlign w:val="center"/>
          </w:tcPr>
          <w:p w:rsidR="00EE4502" w:rsidRDefault="00FD45A3">
            <w:pPr>
              <w:jc w:val="center"/>
              <w:rPr>
                <w:szCs w:val="21"/>
                <w:lang w:bidi="en-US"/>
              </w:rPr>
            </w:pPr>
            <w:r>
              <w:rPr>
                <w:szCs w:val="21"/>
                <w:lang w:bidi="en-US"/>
              </w:rPr>
              <w:t>10</w:t>
            </w:r>
          </w:p>
        </w:tc>
        <w:tc>
          <w:tcPr>
            <w:tcW w:w="840" w:type="pct"/>
            <w:vAlign w:val="center"/>
          </w:tcPr>
          <w:p w:rsidR="00EE4502" w:rsidRDefault="00FD45A3">
            <w:pPr>
              <w:jc w:val="center"/>
              <w:rPr>
                <w:szCs w:val="21"/>
                <w:lang w:bidi="en-US"/>
              </w:rPr>
            </w:pPr>
            <w:r>
              <w:rPr>
                <w:szCs w:val="21"/>
                <w:lang w:bidi="en-US"/>
              </w:rPr>
              <w:t>40</w:t>
            </w:r>
          </w:p>
        </w:tc>
      </w:tr>
      <w:tr w:rsidR="00EE4502">
        <w:trPr>
          <w:trHeight w:val="340"/>
          <w:jc w:val="center"/>
        </w:trPr>
        <w:tc>
          <w:tcPr>
            <w:tcW w:w="479" w:type="pct"/>
            <w:vAlign w:val="center"/>
          </w:tcPr>
          <w:p w:rsidR="00EE4502" w:rsidRDefault="00FD45A3">
            <w:pPr>
              <w:jc w:val="center"/>
              <w:rPr>
                <w:szCs w:val="21"/>
                <w:lang w:bidi="en-US"/>
              </w:rPr>
            </w:pPr>
            <w:r>
              <w:rPr>
                <w:szCs w:val="21"/>
                <w:lang w:bidi="en-US"/>
              </w:rPr>
              <w:t>27</w:t>
            </w:r>
          </w:p>
        </w:tc>
        <w:tc>
          <w:tcPr>
            <w:tcW w:w="1163" w:type="pct"/>
            <w:vAlign w:val="center"/>
          </w:tcPr>
          <w:p w:rsidR="00EE4502" w:rsidRDefault="00FD45A3">
            <w:pPr>
              <w:jc w:val="center"/>
              <w:rPr>
                <w:szCs w:val="21"/>
                <w:lang w:bidi="en-US"/>
              </w:rPr>
            </w:pPr>
            <w:r>
              <w:rPr>
                <w:rFonts w:hAnsi="宋体"/>
                <w:szCs w:val="21"/>
                <w:lang w:bidi="en-US"/>
              </w:rPr>
              <w:t>氯苯</w:t>
            </w:r>
          </w:p>
        </w:tc>
        <w:tc>
          <w:tcPr>
            <w:tcW w:w="830" w:type="pct"/>
            <w:vAlign w:val="center"/>
          </w:tcPr>
          <w:p w:rsidR="00EE4502" w:rsidRDefault="00FD45A3">
            <w:pPr>
              <w:jc w:val="center"/>
              <w:rPr>
                <w:szCs w:val="21"/>
                <w:lang w:bidi="en-US"/>
              </w:rPr>
            </w:pPr>
            <w:r>
              <w:rPr>
                <w:szCs w:val="21"/>
                <w:lang w:bidi="en-US"/>
              </w:rPr>
              <w:t>68</w:t>
            </w:r>
          </w:p>
        </w:tc>
        <w:tc>
          <w:tcPr>
            <w:tcW w:w="844" w:type="pct"/>
            <w:vAlign w:val="center"/>
          </w:tcPr>
          <w:p w:rsidR="00EE4502" w:rsidRDefault="00FD45A3">
            <w:pPr>
              <w:jc w:val="center"/>
              <w:rPr>
                <w:szCs w:val="21"/>
                <w:lang w:bidi="en-US"/>
              </w:rPr>
            </w:pPr>
            <w:r>
              <w:rPr>
                <w:szCs w:val="21"/>
                <w:lang w:bidi="en-US"/>
              </w:rPr>
              <w:t>270</w:t>
            </w:r>
          </w:p>
        </w:tc>
        <w:tc>
          <w:tcPr>
            <w:tcW w:w="840" w:type="pct"/>
            <w:vAlign w:val="center"/>
          </w:tcPr>
          <w:p w:rsidR="00EE4502" w:rsidRDefault="00FD45A3">
            <w:pPr>
              <w:jc w:val="center"/>
              <w:rPr>
                <w:szCs w:val="21"/>
                <w:lang w:bidi="en-US"/>
              </w:rPr>
            </w:pPr>
            <w:r>
              <w:rPr>
                <w:szCs w:val="21"/>
                <w:lang w:bidi="en-US"/>
              </w:rPr>
              <w:t>200</w:t>
            </w:r>
          </w:p>
        </w:tc>
        <w:tc>
          <w:tcPr>
            <w:tcW w:w="840" w:type="pct"/>
            <w:vAlign w:val="center"/>
          </w:tcPr>
          <w:p w:rsidR="00EE4502" w:rsidRDefault="00FD45A3">
            <w:pPr>
              <w:jc w:val="center"/>
              <w:rPr>
                <w:szCs w:val="21"/>
                <w:lang w:bidi="en-US"/>
              </w:rPr>
            </w:pPr>
            <w:r>
              <w:rPr>
                <w:szCs w:val="21"/>
                <w:lang w:bidi="en-US"/>
              </w:rPr>
              <w:t>1000</w:t>
            </w:r>
          </w:p>
        </w:tc>
      </w:tr>
      <w:tr w:rsidR="00EE4502">
        <w:trPr>
          <w:trHeight w:val="340"/>
          <w:jc w:val="center"/>
        </w:trPr>
        <w:tc>
          <w:tcPr>
            <w:tcW w:w="479" w:type="pct"/>
            <w:vAlign w:val="center"/>
          </w:tcPr>
          <w:p w:rsidR="00EE4502" w:rsidRDefault="00FD45A3">
            <w:pPr>
              <w:jc w:val="center"/>
              <w:rPr>
                <w:szCs w:val="21"/>
                <w:lang w:bidi="en-US"/>
              </w:rPr>
            </w:pPr>
            <w:r>
              <w:rPr>
                <w:szCs w:val="21"/>
                <w:lang w:bidi="en-US"/>
              </w:rPr>
              <w:t>28</w:t>
            </w:r>
          </w:p>
        </w:tc>
        <w:tc>
          <w:tcPr>
            <w:tcW w:w="1163" w:type="pct"/>
            <w:vAlign w:val="center"/>
          </w:tcPr>
          <w:p w:rsidR="00EE4502" w:rsidRDefault="00FD45A3">
            <w:pPr>
              <w:jc w:val="center"/>
              <w:rPr>
                <w:szCs w:val="21"/>
                <w:lang w:bidi="en-US"/>
              </w:rPr>
            </w:pPr>
            <w:r>
              <w:rPr>
                <w:szCs w:val="21"/>
                <w:lang w:bidi="en-US"/>
              </w:rPr>
              <w:t>1,2-</w:t>
            </w:r>
            <w:r>
              <w:rPr>
                <w:rFonts w:hAnsi="宋体"/>
                <w:szCs w:val="21"/>
                <w:lang w:bidi="en-US"/>
              </w:rPr>
              <w:t>二氯苯</w:t>
            </w:r>
          </w:p>
        </w:tc>
        <w:tc>
          <w:tcPr>
            <w:tcW w:w="830" w:type="pct"/>
            <w:vAlign w:val="center"/>
          </w:tcPr>
          <w:p w:rsidR="00EE4502" w:rsidRDefault="00FD45A3">
            <w:pPr>
              <w:jc w:val="center"/>
              <w:rPr>
                <w:szCs w:val="21"/>
                <w:lang w:bidi="en-US"/>
              </w:rPr>
            </w:pPr>
            <w:r>
              <w:rPr>
                <w:szCs w:val="21"/>
                <w:lang w:bidi="en-US"/>
              </w:rPr>
              <w:t>560</w:t>
            </w:r>
          </w:p>
        </w:tc>
        <w:tc>
          <w:tcPr>
            <w:tcW w:w="844" w:type="pct"/>
            <w:vAlign w:val="center"/>
          </w:tcPr>
          <w:p w:rsidR="00EE4502" w:rsidRDefault="00FD45A3">
            <w:pPr>
              <w:jc w:val="center"/>
              <w:rPr>
                <w:szCs w:val="21"/>
                <w:lang w:bidi="en-US"/>
              </w:rPr>
            </w:pPr>
            <w:r>
              <w:rPr>
                <w:szCs w:val="21"/>
                <w:lang w:bidi="en-US"/>
              </w:rPr>
              <w:t>560</w:t>
            </w:r>
          </w:p>
        </w:tc>
        <w:tc>
          <w:tcPr>
            <w:tcW w:w="840" w:type="pct"/>
            <w:vAlign w:val="center"/>
          </w:tcPr>
          <w:p w:rsidR="00EE4502" w:rsidRDefault="00FD45A3">
            <w:pPr>
              <w:jc w:val="center"/>
              <w:rPr>
                <w:szCs w:val="21"/>
                <w:lang w:bidi="en-US"/>
              </w:rPr>
            </w:pPr>
            <w:r>
              <w:rPr>
                <w:szCs w:val="21"/>
                <w:lang w:bidi="en-US"/>
              </w:rPr>
              <w:t>560</w:t>
            </w:r>
          </w:p>
        </w:tc>
        <w:tc>
          <w:tcPr>
            <w:tcW w:w="840" w:type="pct"/>
            <w:vAlign w:val="center"/>
          </w:tcPr>
          <w:p w:rsidR="00EE4502" w:rsidRDefault="00FD45A3">
            <w:pPr>
              <w:jc w:val="center"/>
              <w:rPr>
                <w:szCs w:val="21"/>
                <w:lang w:bidi="en-US"/>
              </w:rPr>
            </w:pPr>
            <w:r>
              <w:rPr>
                <w:szCs w:val="21"/>
                <w:lang w:bidi="en-US"/>
              </w:rPr>
              <w:t>560</w:t>
            </w:r>
          </w:p>
        </w:tc>
      </w:tr>
      <w:tr w:rsidR="00EE4502">
        <w:trPr>
          <w:trHeight w:val="340"/>
          <w:jc w:val="center"/>
        </w:trPr>
        <w:tc>
          <w:tcPr>
            <w:tcW w:w="479" w:type="pct"/>
            <w:vAlign w:val="center"/>
          </w:tcPr>
          <w:p w:rsidR="00EE4502" w:rsidRDefault="00FD45A3">
            <w:pPr>
              <w:jc w:val="center"/>
              <w:rPr>
                <w:szCs w:val="21"/>
                <w:lang w:bidi="en-US"/>
              </w:rPr>
            </w:pPr>
            <w:r>
              <w:rPr>
                <w:szCs w:val="21"/>
                <w:lang w:bidi="en-US"/>
              </w:rPr>
              <w:t>29</w:t>
            </w:r>
          </w:p>
        </w:tc>
        <w:tc>
          <w:tcPr>
            <w:tcW w:w="1163" w:type="pct"/>
            <w:vAlign w:val="center"/>
          </w:tcPr>
          <w:p w:rsidR="00EE4502" w:rsidRDefault="00FD45A3">
            <w:pPr>
              <w:jc w:val="center"/>
              <w:rPr>
                <w:szCs w:val="21"/>
                <w:lang w:bidi="en-US"/>
              </w:rPr>
            </w:pPr>
            <w:r>
              <w:rPr>
                <w:szCs w:val="21"/>
                <w:lang w:bidi="en-US"/>
              </w:rPr>
              <w:t>1,4-</w:t>
            </w:r>
            <w:r>
              <w:rPr>
                <w:rFonts w:hAnsi="宋体"/>
                <w:szCs w:val="21"/>
                <w:lang w:bidi="en-US"/>
              </w:rPr>
              <w:t>二氯苯</w:t>
            </w:r>
          </w:p>
        </w:tc>
        <w:tc>
          <w:tcPr>
            <w:tcW w:w="830" w:type="pct"/>
            <w:vAlign w:val="center"/>
          </w:tcPr>
          <w:p w:rsidR="00EE4502" w:rsidRDefault="00FD45A3">
            <w:pPr>
              <w:jc w:val="center"/>
              <w:rPr>
                <w:szCs w:val="21"/>
                <w:lang w:bidi="en-US"/>
              </w:rPr>
            </w:pPr>
            <w:r>
              <w:rPr>
                <w:szCs w:val="21"/>
                <w:lang w:bidi="en-US"/>
              </w:rPr>
              <w:t>5.6</w:t>
            </w:r>
          </w:p>
        </w:tc>
        <w:tc>
          <w:tcPr>
            <w:tcW w:w="844" w:type="pct"/>
            <w:vAlign w:val="center"/>
          </w:tcPr>
          <w:p w:rsidR="00EE4502" w:rsidRDefault="00FD45A3">
            <w:pPr>
              <w:jc w:val="center"/>
              <w:rPr>
                <w:szCs w:val="21"/>
                <w:lang w:bidi="en-US"/>
              </w:rPr>
            </w:pPr>
            <w:r>
              <w:rPr>
                <w:szCs w:val="21"/>
                <w:lang w:bidi="en-US"/>
              </w:rPr>
              <w:t>20</w:t>
            </w:r>
          </w:p>
        </w:tc>
        <w:tc>
          <w:tcPr>
            <w:tcW w:w="840" w:type="pct"/>
            <w:vAlign w:val="center"/>
          </w:tcPr>
          <w:p w:rsidR="00EE4502" w:rsidRDefault="00FD45A3">
            <w:pPr>
              <w:jc w:val="center"/>
              <w:rPr>
                <w:szCs w:val="21"/>
                <w:lang w:bidi="en-US"/>
              </w:rPr>
            </w:pPr>
            <w:r>
              <w:rPr>
                <w:szCs w:val="21"/>
                <w:lang w:bidi="en-US"/>
              </w:rPr>
              <w:t>56</w:t>
            </w:r>
          </w:p>
        </w:tc>
        <w:tc>
          <w:tcPr>
            <w:tcW w:w="840" w:type="pct"/>
            <w:vAlign w:val="center"/>
          </w:tcPr>
          <w:p w:rsidR="00EE4502" w:rsidRDefault="00FD45A3">
            <w:pPr>
              <w:jc w:val="center"/>
              <w:rPr>
                <w:szCs w:val="21"/>
                <w:lang w:bidi="en-US"/>
              </w:rPr>
            </w:pPr>
            <w:r>
              <w:rPr>
                <w:szCs w:val="21"/>
                <w:lang w:bidi="en-US"/>
              </w:rPr>
              <w:t>200</w:t>
            </w:r>
          </w:p>
        </w:tc>
      </w:tr>
      <w:tr w:rsidR="00EE4502">
        <w:trPr>
          <w:trHeight w:val="340"/>
          <w:jc w:val="center"/>
        </w:trPr>
        <w:tc>
          <w:tcPr>
            <w:tcW w:w="479" w:type="pct"/>
            <w:vAlign w:val="center"/>
          </w:tcPr>
          <w:p w:rsidR="00EE4502" w:rsidRDefault="00FD45A3">
            <w:pPr>
              <w:jc w:val="center"/>
              <w:rPr>
                <w:szCs w:val="21"/>
                <w:lang w:bidi="en-US"/>
              </w:rPr>
            </w:pPr>
            <w:r>
              <w:rPr>
                <w:szCs w:val="21"/>
                <w:lang w:bidi="en-US"/>
              </w:rPr>
              <w:t>30</w:t>
            </w:r>
          </w:p>
        </w:tc>
        <w:tc>
          <w:tcPr>
            <w:tcW w:w="1163" w:type="pct"/>
            <w:vAlign w:val="center"/>
          </w:tcPr>
          <w:p w:rsidR="00EE4502" w:rsidRDefault="00FD45A3">
            <w:pPr>
              <w:jc w:val="center"/>
              <w:rPr>
                <w:szCs w:val="21"/>
                <w:lang w:bidi="en-US"/>
              </w:rPr>
            </w:pPr>
            <w:r>
              <w:rPr>
                <w:rFonts w:hAnsi="宋体"/>
                <w:szCs w:val="21"/>
                <w:lang w:bidi="en-US"/>
              </w:rPr>
              <w:t>乙苯</w:t>
            </w:r>
          </w:p>
        </w:tc>
        <w:tc>
          <w:tcPr>
            <w:tcW w:w="830" w:type="pct"/>
            <w:vAlign w:val="center"/>
          </w:tcPr>
          <w:p w:rsidR="00EE4502" w:rsidRDefault="00FD45A3">
            <w:pPr>
              <w:jc w:val="center"/>
              <w:rPr>
                <w:szCs w:val="21"/>
                <w:lang w:bidi="en-US"/>
              </w:rPr>
            </w:pPr>
            <w:r>
              <w:rPr>
                <w:szCs w:val="21"/>
                <w:lang w:bidi="en-US"/>
              </w:rPr>
              <w:t>7.2</w:t>
            </w:r>
          </w:p>
        </w:tc>
        <w:tc>
          <w:tcPr>
            <w:tcW w:w="844" w:type="pct"/>
            <w:vAlign w:val="center"/>
          </w:tcPr>
          <w:p w:rsidR="00EE4502" w:rsidRDefault="00FD45A3">
            <w:pPr>
              <w:jc w:val="center"/>
              <w:rPr>
                <w:szCs w:val="21"/>
                <w:lang w:bidi="en-US"/>
              </w:rPr>
            </w:pPr>
            <w:r>
              <w:rPr>
                <w:szCs w:val="21"/>
                <w:lang w:bidi="en-US"/>
              </w:rPr>
              <w:t>28</w:t>
            </w:r>
          </w:p>
        </w:tc>
        <w:tc>
          <w:tcPr>
            <w:tcW w:w="840" w:type="pct"/>
            <w:vAlign w:val="center"/>
          </w:tcPr>
          <w:p w:rsidR="00EE4502" w:rsidRDefault="00FD45A3">
            <w:pPr>
              <w:jc w:val="center"/>
              <w:rPr>
                <w:szCs w:val="21"/>
                <w:lang w:bidi="en-US"/>
              </w:rPr>
            </w:pPr>
            <w:r>
              <w:rPr>
                <w:szCs w:val="21"/>
                <w:lang w:bidi="en-US"/>
              </w:rPr>
              <w:t>72</w:t>
            </w:r>
          </w:p>
        </w:tc>
        <w:tc>
          <w:tcPr>
            <w:tcW w:w="840" w:type="pct"/>
            <w:vAlign w:val="center"/>
          </w:tcPr>
          <w:p w:rsidR="00EE4502" w:rsidRDefault="00FD45A3">
            <w:pPr>
              <w:jc w:val="center"/>
              <w:rPr>
                <w:szCs w:val="21"/>
                <w:lang w:bidi="en-US"/>
              </w:rPr>
            </w:pPr>
            <w:r>
              <w:rPr>
                <w:szCs w:val="21"/>
                <w:lang w:bidi="en-US"/>
              </w:rPr>
              <w:t>280</w:t>
            </w:r>
          </w:p>
        </w:tc>
      </w:tr>
      <w:tr w:rsidR="00EE4502">
        <w:trPr>
          <w:trHeight w:val="340"/>
          <w:jc w:val="center"/>
        </w:trPr>
        <w:tc>
          <w:tcPr>
            <w:tcW w:w="479" w:type="pct"/>
            <w:vAlign w:val="center"/>
          </w:tcPr>
          <w:p w:rsidR="00EE4502" w:rsidRDefault="00FD45A3">
            <w:pPr>
              <w:jc w:val="center"/>
              <w:rPr>
                <w:szCs w:val="21"/>
                <w:lang w:bidi="en-US"/>
              </w:rPr>
            </w:pPr>
            <w:r>
              <w:rPr>
                <w:szCs w:val="21"/>
                <w:lang w:bidi="en-US"/>
              </w:rPr>
              <w:t>31</w:t>
            </w:r>
          </w:p>
        </w:tc>
        <w:tc>
          <w:tcPr>
            <w:tcW w:w="1163" w:type="pct"/>
            <w:vAlign w:val="center"/>
          </w:tcPr>
          <w:p w:rsidR="00EE4502" w:rsidRDefault="00FD45A3">
            <w:pPr>
              <w:jc w:val="center"/>
              <w:rPr>
                <w:szCs w:val="21"/>
                <w:lang w:bidi="en-US"/>
              </w:rPr>
            </w:pPr>
            <w:r>
              <w:rPr>
                <w:rFonts w:hAnsi="宋体"/>
                <w:szCs w:val="21"/>
                <w:lang w:bidi="en-US"/>
              </w:rPr>
              <w:t>苯乙烯</w:t>
            </w:r>
          </w:p>
        </w:tc>
        <w:tc>
          <w:tcPr>
            <w:tcW w:w="830" w:type="pct"/>
            <w:vAlign w:val="center"/>
          </w:tcPr>
          <w:p w:rsidR="00EE4502" w:rsidRDefault="00FD45A3">
            <w:pPr>
              <w:jc w:val="center"/>
              <w:rPr>
                <w:szCs w:val="21"/>
                <w:lang w:bidi="en-US"/>
              </w:rPr>
            </w:pPr>
            <w:r>
              <w:rPr>
                <w:szCs w:val="21"/>
                <w:lang w:bidi="en-US"/>
              </w:rPr>
              <w:t>1290</w:t>
            </w:r>
          </w:p>
        </w:tc>
        <w:tc>
          <w:tcPr>
            <w:tcW w:w="844" w:type="pct"/>
            <w:vAlign w:val="center"/>
          </w:tcPr>
          <w:p w:rsidR="00EE4502" w:rsidRDefault="00FD45A3">
            <w:pPr>
              <w:jc w:val="center"/>
              <w:rPr>
                <w:szCs w:val="21"/>
              </w:rPr>
            </w:pPr>
            <w:r>
              <w:rPr>
                <w:szCs w:val="21"/>
                <w:lang w:bidi="en-US"/>
              </w:rPr>
              <w:t>1290</w:t>
            </w:r>
          </w:p>
        </w:tc>
        <w:tc>
          <w:tcPr>
            <w:tcW w:w="840" w:type="pct"/>
            <w:vAlign w:val="center"/>
          </w:tcPr>
          <w:p w:rsidR="00EE4502" w:rsidRDefault="00FD45A3">
            <w:pPr>
              <w:jc w:val="center"/>
              <w:rPr>
                <w:szCs w:val="21"/>
              </w:rPr>
            </w:pPr>
            <w:r>
              <w:rPr>
                <w:szCs w:val="21"/>
                <w:lang w:bidi="en-US"/>
              </w:rPr>
              <w:t>1290</w:t>
            </w:r>
          </w:p>
        </w:tc>
        <w:tc>
          <w:tcPr>
            <w:tcW w:w="840" w:type="pct"/>
            <w:vAlign w:val="center"/>
          </w:tcPr>
          <w:p w:rsidR="00EE4502" w:rsidRDefault="00FD45A3">
            <w:pPr>
              <w:jc w:val="center"/>
              <w:rPr>
                <w:szCs w:val="21"/>
              </w:rPr>
            </w:pPr>
            <w:r>
              <w:rPr>
                <w:szCs w:val="21"/>
                <w:lang w:bidi="en-US"/>
              </w:rPr>
              <w:t>1290</w:t>
            </w:r>
          </w:p>
        </w:tc>
      </w:tr>
      <w:tr w:rsidR="00EE4502">
        <w:trPr>
          <w:trHeight w:val="340"/>
          <w:jc w:val="center"/>
        </w:trPr>
        <w:tc>
          <w:tcPr>
            <w:tcW w:w="479" w:type="pct"/>
            <w:vAlign w:val="center"/>
          </w:tcPr>
          <w:p w:rsidR="00EE4502" w:rsidRDefault="00FD45A3">
            <w:pPr>
              <w:jc w:val="center"/>
              <w:rPr>
                <w:szCs w:val="21"/>
                <w:lang w:bidi="en-US"/>
              </w:rPr>
            </w:pPr>
            <w:r>
              <w:rPr>
                <w:szCs w:val="21"/>
                <w:lang w:bidi="en-US"/>
              </w:rPr>
              <w:t>32</w:t>
            </w:r>
          </w:p>
        </w:tc>
        <w:tc>
          <w:tcPr>
            <w:tcW w:w="1163" w:type="pct"/>
            <w:vAlign w:val="center"/>
          </w:tcPr>
          <w:p w:rsidR="00EE4502" w:rsidRDefault="00FD45A3">
            <w:pPr>
              <w:jc w:val="center"/>
              <w:rPr>
                <w:szCs w:val="21"/>
                <w:lang w:bidi="en-US"/>
              </w:rPr>
            </w:pPr>
            <w:r>
              <w:rPr>
                <w:rFonts w:hAnsi="宋体"/>
                <w:szCs w:val="21"/>
                <w:lang w:bidi="en-US"/>
              </w:rPr>
              <w:t>甲苯</w:t>
            </w:r>
          </w:p>
        </w:tc>
        <w:tc>
          <w:tcPr>
            <w:tcW w:w="830" w:type="pct"/>
            <w:vAlign w:val="center"/>
          </w:tcPr>
          <w:p w:rsidR="00EE4502" w:rsidRDefault="00FD45A3">
            <w:pPr>
              <w:jc w:val="center"/>
              <w:rPr>
                <w:szCs w:val="21"/>
                <w:lang w:bidi="en-US"/>
              </w:rPr>
            </w:pPr>
            <w:r>
              <w:rPr>
                <w:szCs w:val="21"/>
                <w:lang w:bidi="en-US"/>
              </w:rPr>
              <w:t>1200</w:t>
            </w:r>
          </w:p>
        </w:tc>
        <w:tc>
          <w:tcPr>
            <w:tcW w:w="844" w:type="pct"/>
            <w:vAlign w:val="center"/>
          </w:tcPr>
          <w:p w:rsidR="00EE4502" w:rsidRDefault="00FD45A3">
            <w:pPr>
              <w:jc w:val="center"/>
              <w:rPr>
                <w:szCs w:val="21"/>
                <w:lang w:bidi="en-US"/>
              </w:rPr>
            </w:pPr>
            <w:r>
              <w:rPr>
                <w:szCs w:val="21"/>
                <w:lang w:bidi="en-US"/>
              </w:rPr>
              <w:t>1200</w:t>
            </w:r>
          </w:p>
        </w:tc>
        <w:tc>
          <w:tcPr>
            <w:tcW w:w="840" w:type="pct"/>
            <w:vAlign w:val="center"/>
          </w:tcPr>
          <w:p w:rsidR="00EE4502" w:rsidRDefault="00FD45A3">
            <w:pPr>
              <w:jc w:val="center"/>
              <w:rPr>
                <w:szCs w:val="21"/>
                <w:lang w:bidi="en-US"/>
              </w:rPr>
            </w:pPr>
            <w:r>
              <w:rPr>
                <w:szCs w:val="21"/>
                <w:lang w:bidi="en-US"/>
              </w:rPr>
              <w:t>1200</w:t>
            </w:r>
          </w:p>
        </w:tc>
        <w:tc>
          <w:tcPr>
            <w:tcW w:w="840" w:type="pct"/>
            <w:vAlign w:val="center"/>
          </w:tcPr>
          <w:p w:rsidR="00EE4502" w:rsidRDefault="00FD45A3">
            <w:pPr>
              <w:jc w:val="center"/>
              <w:rPr>
                <w:szCs w:val="21"/>
                <w:lang w:bidi="en-US"/>
              </w:rPr>
            </w:pPr>
            <w:r>
              <w:rPr>
                <w:szCs w:val="21"/>
                <w:lang w:bidi="en-US"/>
              </w:rPr>
              <w:t>1200</w:t>
            </w:r>
          </w:p>
        </w:tc>
      </w:tr>
      <w:tr w:rsidR="00EE4502">
        <w:trPr>
          <w:trHeight w:val="340"/>
          <w:jc w:val="center"/>
        </w:trPr>
        <w:tc>
          <w:tcPr>
            <w:tcW w:w="479" w:type="pct"/>
            <w:vAlign w:val="center"/>
          </w:tcPr>
          <w:p w:rsidR="00EE4502" w:rsidRDefault="00FD45A3">
            <w:pPr>
              <w:jc w:val="center"/>
              <w:rPr>
                <w:szCs w:val="21"/>
                <w:lang w:bidi="en-US"/>
              </w:rPr>
            </w:pPr>
            <w:r>
              <w:rPr>
                <w:szCs w:val="21"/>
                <w:lang w:bidi="en-US"/>
              </w:rPr>
              <w:t>33</w:t>
            </w:r>
          </w:p>
        </w:tc>
        <w:tc>
          <w:tcPr>
            <w:tcW w:w="1163" w:type="pct"/>
            <w:vAlign w:val="center"/>
          </w:tcPr>
          <w:p w:rsidR="00EE4502" w:rsidRDefault="00FD45A3">
            <w:pPr>
              <w:jc w:val="center"/>
              <w:rPr>
                <w:szCs w:val="21"/>
                <w:lang w:bidi="en-US"/>
              </w:rPr>
            </w:pPr>
            <w:r>
              <w:rPr>
                <w:rFonts w:hAnsi="宋体"/>
                <w:szCs w:val="21"/>
                <w:lang w:bidi="en-US"/>
              </w:rPr>
              <w:t>间二甲苯</w:t>
            </w:r>
            <w:r>
              <w:rPr>
                <w:szCs w:val="21"/>
                <w:lang w:bidi="en-US"/>
              </w:rPr>
              <w:t>+</w:t>
            </w:r>
            <w:r>
              <w:rPr>
                <w:rFonts w:hAnsi="宋体"/>
                <w:szCs w:val="21"/>
                <w:lang w:bidi="en-US"/>
              </w:rPr>
              <w:t>对二甲苯</w:t>
            </w:r>
          </w:p>
        </w:tc>
        <w:tc>
          <w:tcPr>
            <w:tcW w:w="830" w:type="pct"/>
            <w:vAlign w:val="center"/>
          </w:tcPr>
          <w:p w:rsidR="00EE4502" w:rsidRDefault="00FD45A3">
            <w:pPr>
              <w:jc w:val="center"/>
              <w:rPr>
                <w:szCs w:val="21"/>
                <w:lang w:bidi="en-US"/>
              </w:rPr>
            </w:pPr>
            <w:r>
              <w:rPr>
                <w:szCs w:val="21"/>
                <w:lang w:bidi="en-US"/>
              </w:rPr>
              <w:t>163</w:t>
            </w:r>
          </w:p>
        </w:tc>
        <w:tc>
          <w:tcPr>
            <w:tcW w:w="844" w:type="pct"/>
            <w:vAlign w:val="center"/>
          </w:tcPr>
          <w:p w:rsidR="00EE4502" w:rsidRDefault="00FD45A3">
            <w:pPr>
              <w:jc w:val="center"/>
              <w:rPr>
                <w:szCs w:val="21"/>
                <w:lang w:bidi="en-US"/>
              </w:rPr>
            </w:pPr>
            <w:r>
              <w:rPr>
                <w:szCs w:val="21"/>
                <w:lang w:bidi="en-US"/>
              </w:rPr>
              <w:t>570</w:t>
            </w:r>
          </w:p>
        </w:tc>
        <w:tc>
          <w:tcPr>
            <w:tcW w:w="840" w:type="pct"/>
            <w:vAlign w:val="center"/>
          </w:tcPr>
          <w:p w:rsidR="00EE4502" w:rsidRDefault="00FD45A3">
            <w:pPr>
              <w:jc w:val="center"/>
              <w:rPr>
                <w:szCs w:val="21"/>
                <w:lang w:bidi="en-US"/>
              </w:rPr>
            </w:pPr>
            <w:r>
              <w:rPr>
                <w:szCs w:val="21"/>
                <w:lang w:bidi="en-US"/>
              </w:rPr>
              <w:t>500</w:t>
            </w:r>
          </w:p>
        </w:tc>
        <w:tc>
          <w:tcPr>
            <w:tcW w:w="840" w:type="pct"/>
            <w:vAlign w:val="center"/>
          </w:tcPr>
          <w:p w:rsidR="00EE4502" w:rsidRDefault="00FD45A3">
            <w:pPr>
              <w:jc w:val="center"/>
              <w:rPr>
                <w:szCs w:val="21"/>
                <w:lang w:bidi="en-US"/>
              </w:rPr>
            </w:pPr>
            <w:r>
              <w:rPr>
                <w:szCs w:val="21"/>
                <w:lang w:bidi="en-US"/>
              </w:rPr>
              <w:t>570</w:t>
            </w:r>
          </w:p>
        </w:tc>
      </w:tr>
      <w:tr w:rsidR="00EE4502">
        <w:trPr>
          <w:trHeight w:val="340"/>
          <w:jc w:val="center"/>
        </w:trPr>
        <w:tc>
          <w:tcPr>
            <w:tcW w:w="479" w:type="pct"/>
            <w:vAlign w:val="center"/>
          </w:tcPr>
          <w:p w:rsidR="00EE4502" w:rsidRDefault="00FD45A3">
            <w:pPr>
              <w:jc w:val="center"/>
              <w:rPr>
                <w:szCs w:val="21"/>
                <w:lang w:bidi="en-US"/>
              </w:rPr>
            </w:pPr>
            <w:r>
              <w:rPr>
                <w:szCs w:val="21"/>
                <w:lang w:bidi="en-US"/>
              </w:rPr>
              <w:t>34</w:t>
            </w:r>
          </w:p>
        </w:tc>
        <w:tc>
          <w:tcPr>
            <w:tcW w:w="1163" w:type="pct"/>
            <w:vAlign w:val="center"/>
          </w:tcPr>
          <w:p w:rsidR="00EE4502" w:rsidRDefault="00FD45A3">
            <w:pPr>
              <w:jc w:val="center"/>
              <w:rPr>
                <w:szCs w:val="21"/>
                <w:lang w:bidi="en-US"/>
              </w:rPr>
            </w:pPr>
            <w:r>
              <w:rPr>
                <w:rFonts w:hAnsi="宋体"/>
                <w:szCs w:val="21"/>
                <w:lang w:bidi="en-US"/>
              </w:rPr>
              <w:t>邻二甲苯</w:t>
            </w:r>
          </w:p>
        </w:tc>
        <w:tc>
          <w:tcPr>
            <w:tcW w:w="830" w:type="pct"/>
            <w:vAlign w:val="center"/>
          </w:tcPr>
          <w:p w:rsidR="00EE4502" w:rsidRDefault="00FD45A3">
            <w:pPr>
              <w:jc w:val="center"/>
              <w:rPr>
                <w:szCs w:val="21"/>
                <w:lang w:bidi="en-US"/>
              </w:rPr>
            </w:pPr>
            <w:r>
              <w:rPr>
                <w:szCs w:val="21"/>
                <w:lang w:bidi="en-US"/>
              </w:rPr>
              <w:t>222</w:t>
            </w:r>
          </w:p>
        </w:tc>
        <w:tc>
          <w:tcPr>
            <w:tcW w:w="844" w:type="pct"/>
            <w:vAlign w:val="center"/>
          </w:tcPr>
          <w:p w:rsidR="00EE4502" w:rsidRDefault="00FD45A3">
            <w:pPr>
              <w:jc w:val="center"/>
              <w:rPr>
                <w:szCs w:val="21"/>
              </w:rPr>
            </w:pPr>
            <w:r>
              <w:rPr>
                <w:szCs w:val="21"/>
              </w:rPr>
              <w:t>640</w:t>
            </w:r>
          </w:p>
        </w:tc>
        <w:tc>
          <w:tcPr>
            <w:tcW w:w="840" w:type="pct"/>
            <w:vAlign w:val="center"/>
          </w:tcPr>
          <w:p w:rsidR="00EE4502" w:rsidRDefault="00FD45A3">
            <w:pPr>
              <w:jc w:val="center"/>
              <w:rPr>
                <w:szCs w:val="21"/>
              </w:rPr>
            </w:pPr>
            <w:r>
              <w:rPr>
                <w:szCs w:val="21"/>
              </w:rPr>
              <w:t>640</w:t>
            </w:r>
          </w:p>
        </w:tc>
        <w:tc>
          <w:tcPr>
            <w:tcW w:w="840" w:type="pct"/>
            <w:vAlign w:val="center"/>
          </w:tcPr>
          <w:p w:rsidR="00EE4502" w:rsidRDefault="00FD45A3">
            <w:pPr>
              <w:jc w:val="center"/>
              <w:rPr>
                <w:szCs w:val="21"/>
              </w:rPr>
            </w:pPr>
            <w:r>
              <w:rPr>
                <w:szCs w:val="21"/>
              </w:rPr>
              <w:t>640</w:t>
            </w:r>
          </w:p>
        </w:tc>
      </w:tr>
      <w:tr w:rsidR="00EE4502">
        <w:trPr>
          <w:trHeight w:val="340"/>
          <w:jc w:val="center"/>
        </w:trPr>
        <w:tc>
          <w:tcPr>
            <w:tcW w:w="5000" w:type="pct"/>
            <w:gridSpan w:val="6"/>
            <w:vAlign w:val="center"/>
          </w:tcPr>
          <w:p w:rsidR="00EE4502" w:rsidRDefault="00FD45A3">
            <w:pPr>
              <w:jc w:val="center"/>
              <w:rPr>
                <w:szCs w:val="21"/>
                <w:lang w:bidi="en-US"/>
              </w:rPr>
            </w:pPr>
            <w:r>
              <w:rPr>
                <w:rFonts w:hAnsi="宋体"/>
                <w:szCs w:val="21"/>
                <w:lang w:bidi="en-US"/>
              </w:rPr>
              <w:t>半挥发性有机物</w:t>
            </w:r>
          </w:p>
        </w:tc>
      </w:tr>
      <w:tr w:rsidR="00EE4502">
        <w:trPr>
          <w:trHeight w:val="340"/>
          <w:jc w:val="center"/>
        </w:trPr>
        <w:tc>
          <w:tcPr>
            <w:tcW w:w="479" w:type="pct"/>
            <w:vAlign w:val="center"/>
          </w:tcPr>
          <w:p w:rsidR="00EE4502" w:rsidRDefault="00FD45A3">
            <w:pPr>
              <w:jc w:val="center"/>
              <w:rPr>
                <w:szCs w:val="21"/>
                <w:lang w:bidi="en-US"/>
              </w:rPr>
            </w:pPr>
            <w:r>
              <w:rPr>
                <w:szCs w:val="21"/>
                <w:lang w:bidi="en-US"/>
              </w:rPr>
              <w:t>35</w:t>
            </w:r>
          </w:p>
        </w:tc>
        <w:tc>
          <w:tcPr>
            <w:tcW w:w="1163" w:type="pct"/>
            <w:vAlign w:val="center"/>
          </w:tcPr>
          <w:p w:rsidR="00EE4502" w:rsidRDefault="00FD45A3">
            <w:pPr>
              <w:jc w:val="center"/>
              <w:rPr>
                <w:szCs w:val="21"/>
                <w:lang w:bidi="en-US"/>
              </w:rPr>
            </w:pPr>
            <w:r>
              <w:rPr>
                <w:rFonts w:hAnsi="宋体"/>
                <w:szCs w:val="21"/>
                <w:lang w:bidi="en-US"/>
              </w:rPr>
              <w:t>硝基苯</w:t>
            </w:r>
          </w:p>
        </w:tc>
        <w:tc>
          <w:tcPr>
            <w:tcW w:w="830" w:type="pct"/>
            <w:vAlign w:val="center"/>
          </w:tcPr>
          <w:p w:rsidR="00EE4502" w:rsidRDefault="00FD45A3">
            <w:pPr>
              <w:jc w:val="center"/>
              <w:rPr>
                <w:szCs w:val="21"/>
                <w:lang w:bidi="en-US"/>
              </w:rPr>
            </w:pPr>
            <w:r>
              <w:rPr>
                <w:szCs w:val="21"/>
                <w:lang w:bidi="en-US"/>
              </w:rPr>
              <w:t>34</w:t>
            </w:r>
          </w:p>
        </w:tc>
        <w:tc>
          <w:tcPr>
            <w:tcW w:w="844" w:type="pct"/>
            <w:vAlign w:val="center"/>
          </w:tcPr>
          <w:p w:rsidR="00EE4502" w:rsidRDefault="00FD45A3">
            <w:pPr>
              <w:jc w:val="center"/>
              <w:rPr>
                <w:szCs w:val="21"/>
                <w:lang w:bidi="en-US"/>
              </w:rPr>
            </w:pPr>
            <w:r>
              <w:rPr>
                <w:szCs w:val="21"/>
                <w:lang w:bidi="en-US"/>
              </w:rPr>
              <w:t>76</w:t>
            </w:r>
          </w:p>
        </w:tc>
        <w:tc>
          <w:tcPr>
            <w:tcW w:w="840" w:type="pct"/>
            <w:vAlign w:val="center"/>
          </w:tcPr>
          <w:p w:rsidR="00EE4502" w:rsidRDefault="00FD45A3">
            <w:pPr>
              <w:jc w:val="center"/>
              <w:rPr>
                <w:szCs w:val="21"/>
                <w:lang w:bidi="en-US"/>
              </w:rPr>
            </w:pPr>
            <w:r>
              <w:rPr>
                <w:szCs w:val="21"/>
                <w:lang w:bidi="en-US"/>
              </w:rPr>
              <w:t>190</w:t>
            </w:r>
          </w:p>
        </w:tc>
        <w:tc>
          <w:tcPr>
            <w:tcW w:w="840" w:type="pct"/>
            <w:vAlign w:val="center"/>
          </w:tcPr>
          <w:p w:rsidR="00EE4502" w:rsidRDefault="00FD45A3">
            <w:pPr>
              <w:jc w:val="center"/>
              <w:rPr>
                <w:szCs w:val="21"/>
                <w:lang w:bidi="en-US"/>
              </w:rPr>
            </w:pPr>
            <w:r>
              <w:rPr>
                <w:szCs w:val="21"/>
                <w:lang w:bidi="en-US"/>
              </w:rPr>
              <w:t>760</w:t>
            </w:r>
          </w:p>
        </w:tc>
      </w:tr>
      <w:tr w:rsidR="00EE4502">
        <w:trPr>
          <w:trHeight w:val="340"/>
          <w:jc w:val="center"/>
        </w:trPr>
        <w:tc>
          <w:tcPr>
            <w:tcW w:w="479" w:type="pct"/>
            <w:vAlign w:val="center"/>
          </w:tcPr>
          <w:p w:rsidR="00EE4502" w:rsidRDefault="00FD45A3">
            <w:pPr>
              <w:jc w:val="center"/>
              <w:rPr>
                <w:szCs w:val="21"/>
                <w:lang w:bidi="en-US"/>
              </w:rPr>
            </w:pPr>
            <w:r>
              <w:rPr>
                <w:szCs w:val="21"/>
                <w:lang w:bidi="en-US"/>
              </w:rPr>
              <w:t>36</w:t>
            </w:r>
          </w:p>
        </w:tc>
        <w:tc>
          <w:tcPr>
            <w:tcW w:w="1163" w:type="pct"/>
            <w:vAlign w:val="center"/>
          </w:tcPr>
          <w:p w:rsidR="00EE4502" w:rsidRDefault="00FD45A3">
            <w:pPr>
              <w:jc w:val="center"/>
              <w:rPr>
                <w:szCs w:val="21"/>
                <w:lang w:bidi="en-US"/>
              </w:rPr>
            </w:pPr>
            <w:r>
              <w:rPr>
                <w:rFonts w:hAnsi="宋体"/>
                <w:szCs w:val="21"/>
                <w:lang w:bidi="en-US"/>
              </w:rPr>
              <w:t>苯胺</w:t>
            </w:r>
          </w:p>
        </w:tc>
        <w:tc>
          <w:tcPr>
            <w:tcW w:w="830" w:type="pct"/>
            <w:vAlign w:val="center"/>
          </w:tcPr>
          <w:p w:rsidR="00EE4502" w:rsidRDefault="00FD45A3">
            <w:pPr>
              <w:jc w:val="center"/>
              <w:rPr>
                <w:szCs w:val="21"/>
                <w:lang w:bidi="en-US"/>
              </w:rPr>
            </w:pPr>
            <w:r>
              <w:rPr>
                <w:szCs w:val="21"/>
                <w:lang w:bidi="en-US"/>
              </w:rPr>
              <w:t>92</w:t>
            </w:r>
          </w:p>
        </w:tc>
        <w:tc>
          <w:tcPr>
            <w:tcW w:w="844" w:type="pct"/>
            <w:vAlign w:val="center"/>
          </w:tcPr>
          <w:p w:rsidR="00EE4502" w:rsidRDefault="00FD45A3">
            <w:pPr>
              <w:jc w:val="center"/>
              <w:rPr>
                <w:szCs w:val="21"/>
                <w:lang w:bidi="en-US"/>
              </w:rPr>
            </w:pPr>
            <w:r>
              <w:rPr>
                <w:szCs w:val="21"/>
                <w:lang w:bidi="en-US"/>
              </w:rPr>
              <w:t>260</w:t>
            </w:r>
          </w:p>
        </w:tc>
        <w:tc>
          <w:tcPr>
            <w:tcW w:w="840" w:type="pct"/>
            <w:vAlign w:val="center"/>
          </w:tcPr>
          <w:p w:rsidR="00EE4502" w:rsidRDefault="00FD45A3">
            <w:pPr>
              <w:jc w:val="center"/>
              <w:rPr>
                <w:szCs w:val="21"/>
                <w:lang w:bidi="en-US"/>
              </w:rPr>
            </w:pPr>
            <w:r>
              <w:rPr>
                <w:szCs w:val="21"/>
                <w:lang w:bidi="en-US"/>
              </w:rPr>
              <w:t>211</w:t>
            </w:r>
          </w:p>
        </w:tc>
        <w:tc>
          <w:tcPr>
            <w:tcW w:w="840" w:type="pct"/>
            <w:vAlign w:val="center"/>
          </w:tcPr>
          <w:p w:rsidR="00EE4502" w:rsidRDefault="00FD45A3">
            <w:pPr>
              <w:jc w:val="center"/>
              <w:rPr>
                <w:szCs w:val="21"/>
                <w:lang w:bidi="en-US"/>
              </w:rPr>
            </w:pPr>
            <w:r>
              <w:rPr>
                <w:szCs w:val="21"/>
                <w:lang w:bidi="en-US"/>
              </w:rPr>
              <w:t>663</w:t>
            </w:r>
          </w:p>
        </w:tc>
      </w:tr>
      <w:tr w:rsidR="00EE4502">
        <w:trPr>
          <w:trHeight w:val="340"/>
          <w:jc w:val="center"/>
        </w:trPr>
        <w:tc>
          <w:tcPr>
            <w:tcW w:w="479" w:type="pct"/>
            <w:vAlign w:val="center"/>
          </w:tcPr>
          <w:p w:rsidR="00EE4502" w:rsidRDefault="00FD45A3">
            <w:pPr>
              <w:jc w:val="center"/>
              <w:rPr>
                <w:szCs w:val="21"/>
                <w:lang w:bidi="en-US"/>
              </w:rPr>
            </w:pPr>
            <w:r>
              <w:rPr>
                <w:szCs w:val="21"/>
                <w:lang w:bidi="en-US"/>
              </w:rPr>
              <w:t>37</w:t>
            </w:r>
          </w:p>
        </w:tc>
        <w:tc>
          <w:tcPr>
            <w:tcW w:w="1163" w:type="pct"/>
            <w:vAlign w:val="center"/>
          </w:tcPr>
          <w:p w:rsidR="00EE4502" w:rsidRDefault="00FD45A3">
            <w:pPr>
              <w:jc w:val="center"/>
              <w:rPr>
                <w:szCs w:val="21"/>
                <w:lang w:bidi="en-US"/>
              </w:rPr>
            </w:pPr>
            <w:r>
              <w:rPr>
                <w:szCs w:val="21"/>
                <w:lang w:bidi="en-US"/>
              </w:rPr>
              <w:t>2-</w:t>
            </w:r>
            <w:r>
              <w:rPr>
                <w:rFonts w:hAnsi="宋体"/>
                <w:szCs w:val="21"/>
                <w:lang w:bidi="en-US"/>
              </w:rPr>
              <w:t>氯酚</w:t>
            </w:r>
          </w:p>
        </w:tc>
        <w:tc>
          <w:tcPr>
            <w:tcW w:w="830" w:type="pct"/>
            <w:vAlign w:val="center"/>
          </w:tcPr>
          <w:p w:rsidR="00EE4502" w:rsidRDefault="00FD45A3">
            <w:pPr>
              <w:jc w:val="center"/>
              <w:rPr>
                <w:szCs w:val="21"/>
                <w:lang w:bidi="en-US"/>
              </w:rPr>
            </w:pPr>
            <w:r>
              <w:rPr>
                <w:szCs w:val="21"/>
                <w:lang w:bidi="en-US"/>
              </w:rPr>
              <w:t>250</w:t>
            </w:r>
          </w:p>
        </w:tc>
        <w:tc>
          <w:tcPr>
            <w:tcW w:w="844" w:type="pct"/>
            <w:vAlign w:val="center"/>
          </w:tcPr>
          <w:p w:rsidR="00EE4502" w:rsidRDefault="00FD45A3">
            <w:pPr>
              <w:jc w:val="center"/>
              <w:rPr>
                <w:szCs w:val="21"/>
                <w:lang w:bidi="en-US"/>
              </w:rPr>
            </w:pPr>
            <w:r>
              <w:rPr>
                <w:szCs w:val="21"/>
                <w:lang w:bidi="en-US"/>
              </w:rPr>
              <w:t>2256</w:t>
            </w:r>
          </w:p>
        </w:tc>
        <w:tc>
          <w:tcPr>
            <w:tcW w:w="840" w:type="pct"/>
            <w:vAlign w:val="center"/>
          </w:tcPr>
          <w:p w:rsidR="00EE4502" w:rsidRDefault="00FD45A3">
            <w:pPr>
              <w:jc w:val="center"/>
              <w:rPr>
                <w:szCs w:val="21"/>
                <w:lang w:bidi="en-US"/>
              </w:rPr>
            </w:pPr>
            <w:r>
              <w:rPr>
                <w:szCs w:val="21"/>
                <w:lang w:bidi="en-US"/>
              </w:rPr>
              <w:t>500</w:t>
            </w:r>
          </w:p>
        </w:tc>
        <w:tc>
          <w:tcPr>
            <w:tcW w:w="840" w:type="pct"/>
            <w:vAlign w:val="center"/>
          </w:tcPr>
          <w:p w:rsidR="00EE4502" w:rsidRDefault="00FD45A3">
            <w:pPr>
              <w:jc w:val="center"/>
              <w:rPr>
                <w:szCs w:val="21"/>
                <w:lang w:bidi="en-US"/>
              </w:rPr>
            </w:pPr>
            <w:r>
              <w:rPr>
                <w:szCs w:val="21"/>
                <w:lang w:bidi="en-US"/>
              </w:rPr>
              <w:t>4500</w:t>
            </w:r>
          </w:p>
        </w:tc>
      </w:tr>
      <w:tr w:rsidR="00EE4502">
        <w:trPr>
          <w:trHeight w:val="340"/>
          <w:jc w:val="center"/>
        </w:trPr>
        <w:tc>
          <w:tcPr>
            <w:tcW w:w="479" w:type="pct"/>
            <w:vAlign w:val="center"/>
          </w:tcPr>
          <w:p w:rsidR="00EE4502" w:rsidRDefault="00FD45A3">
            <w:pPr>
              <w:jc w:val="center"/>
              <w:rPr>
                <w:szCs w:val="21"/>
                <w:lang w:bidi="en-US"/>
              </w:rPr>
            </w:pPr>
            <w:r>
              <w:rPr>
                <w:szCs w:val="21"/>
                <w:lang w:bidi="en-US"/>
              </w:rPr>
              <w:lastRenderedPageBreak/>
              <w:t>38</w:t>
            </w:r>
          </w:p>
        </w:tc>
        <w:tc>
          <w:tcPr>
            <w:tcW w:w="1163" w:type="pct"/>
            <w:vAlign w:val="center"/>
          </w:tcPr>
          <w:p w:rsidR="00EE4502" w:rsidRDefault="00FD45A3">
            <w:pPr>
              <w:jc w:val="center"/>
              <w:rPr>
                <w:szCs w:val="21"/>
                <w:lang w:bidi="en-US"/>
              </w:rPr>
            </w:pPr>
            <w:r>
              <w:rPr>
                <w:rFonts w:hAnsi="宋体"/>
                <w:szCs w:val="21"/>
                <w:lang w:bidi="en-US"/>
              </w:rPr>
              <w:t>苯并〔</w:t>
            </w:r>
            <w:r>
              <w:rPr>
                <w:szCs w:val="21"/>
                <w:lang w:bidi="en-US"/>
              </w:rPr>
              <w:t>a</w:t>
            </w:r>
            <w:r>
              <w:rPr>
                <w:rFonts w:hAnsi="宋体"/>
                <w:szCs w:val="21"/>
                <w:lang w:bidi="en-US"/>
              </w:rPr>
              <w:t>〕蒽</w:t>
            </w:r>
          </w:p>
        </w:tc>
        <w:tc>
          <w:tcPr>
            <w:tcW w:w="830" w:type="pct"/>
            <w:vAlign w:val="center"/>
          </w:tcPr>
          <w:p w:rsidR="00EE4502" w:rsidRDefault="00FD45A3">
            <w:pPr>
              <w:jc w:val="center"/>
              <w:rPr>
                <w:szCs w:val="21"/>
                <w:lang w:bidi="en-US"/>
              </w:rPr>
            </w:pPr>
            <w:r>
              <w:rPr>
                <w:szCs w:val="21"/>
                <w:lang w:bidi="en-US"/>
              </w:rPr>
              <w:t>5.5</w:t>
            </w:r>
          </w:p>
        </w:tc>
        <w:tc>
          <w:tcPr>
            <w:tcW w:w="844" w:type="pct"/>
            <w:vAlign w:val="center"/>
          </w:tcPr>
          <w:p w:rsidR="00EE4502" w:rsidRDefault="00FD45A3">
            <w:pPr>
              <w:jc w:val="center"/>
              <w:rPr>
                <w:szCs w:val="21"/>
                <w:lang w:bidi="en-US"/>
              </w:rPr>
            </w:pPr>
            <w:r>
              <w:rPr>
                <w:szCs w:val="21"/>
                <w:lang w:bidi="en-US"/>
              </w:rPr>
              <w:t>15</w:t>
            </w:r>
          </w:p>
        </w:tc>
        <w:tc>
          <w:tcPr>
            <w:tcW w:w="840" w:type="pct"/>
            <w:vAlign w:val="center"/>
          </w:tcPr>
          <w:p w:rsidR="00EE4502" w:rsidRDefault="00FD45A3">
            <w:pPr>
              <w:jc w:val="center"/>
              <w:rPr>
                <w:szCs w:val="21"/>
                <w:lang w:bidi="en-US"/>
              </w:rPr>
            </w:pPr>
            <w:r>
              <w:rPr>
                <w:szCs w:val="21"/>
                <w:lang w:bidi="en-US"/>
              </w:rPr>
              <w:t>55</w:t>
            </w:r>
          </w:p>
        </w:tc>
        <w:tc>
          <w:tcPr>
            <w:tcW w:w="840" w:type="pct"/>
            <w:vAlign w:val="center"/>
          </w:tcPr>
          <w:p w:rsidR="00EE4502" w:rsidRDefault="00FD45A3">
            <w:pPr>
              <w:jc w:val="center"/>
              <w:rPr>
                <w:szCs w:val="21"/>
                <w:lang w:bidi="en-US"/>
              </w:rPr>
            </w:pPr>
            <w:r>
              <w:rPr>
                <w:szCs w:val="21"/>
                <w:lang w:bidi="en-US"/>
              </w:rPr>
              <w:t>151</w:t>
            </w:r>
          </w:p>
        </w:tc>
      </w:tr>
      <w:tr w:rsidR="00EE4502">
        <w:trPr>
          <w:trHeight w:val="340"/>
          <w:jc w:val="center"/>
        </w:trPr>
        <w:tc>
          <w:tcPr>
            <w:tcW w:w="479" w:type="pct"/>
            <w:vAlign w:val="center"/>
          </w:tcPr>
          <w:p w:rsidR="00EE4502" w:rsidRDefault="00FD45A3">
            <w:pPr>
              <w:jc w:val="center"/>
              <w:rPr>
                <w:szCs w:val="21"/>
                <w:lang w:bidi="en-US"/>
              </w:rPr>
            </w:pPr>
            <w:r>
              <w:rPr>
                <w:szCs w:val="21"/>
                <w:lang w:bidi="en-US"/>
              </w:rPr>
              <w:t>39</w:t>
            </w:r>
          </w:p>
        </w:tc>
        <w:tc>
          <w:tcPr>
            <w:tcW w:w="1163" w:type="pct"/>
            <w:vAlign w:val="center"/>
          </w:tcPr>
          <w:p w:rsidR="00EE4502" w:rsidRDefault="00FD45A3">
            <w:pPr>
              <w:jc w:val="center"/>
              <w:rPr>
                <w:szCs w:val="21"/>
                <w:lang w:bidi="en-US"/>
              </w:rPr>
            </w:pPr>
            <w:r>
              <w:rPr>
                <w:rFonts w:hAnsi="宋体"/>
                <w:szCs w:val="21"/>
                <w:lang w:bidi="en-US"/>
              </w:rPr>
              <w:t>苯并〔</w:t>
            </w:r>
            <w:r>
              <w:rPr>
                <w:szCs w:val="21"/>
                <w:lang w:bidi="en-US"/>
              </w:rPr>
              <w:t>a</w:t>
            </w:r>
            <w:r>
              <w:rPr>
                <w:rFonts w:hAnsi="宋体"/>
                <w:szCs w:val="21"/>
                <w:lang w:bidi="en-US"/>
              </w:rPr>
              <w:t>〕芘</w:t>
            </w:r>
          </w:p>
        </w:tc>
        <w:tc>
          <w:tcPr>
            <w:tcW w:w="830" w:type="pct"/>
            <w:vAlign w:val="center"/>
          </w:tcPr>
          <w:p w:rsidR="00EE4502" w:rsidRDefault="00FD45A3">
            <w:pPr>
              <w:jc w:val="center"/>
              <w:rPr>
                <w:szCs w:val="21"/>
                <w:lang w:bidi="en-US"/>
              </w:rPr>
            </w:pPr>
            <w:r>
              <w:rPr>
                <w:szCs w:val="21"/>
                <w:lang w:bidi="en-US"/>
              </w:rPr>
              <w:t>0.55</w:t>
            </w:r>
          </w:p>
        </w:tc>
        <w:tc>
          <w:tcPr>
            <w:tcW w:w="844" w:type="pct"/>
            <w:vAlign w:val="center"/>
          </w:tcPr>
          <w:p w:rsidR="00EE4502" w:rsidRDefault="00FD45A3">
            <w:pPr>
              <w:jc w:val="center"/>
              <w:rPr>
                <w:szCs w:val="21"/>
                <w:lang w:bidi="en-US"/>
              </w:rPr>
            </w:pPr>
            <w:r>
              <w:rPr>
                <w:szCs w:val="21"/>
                <w:lang w:bidi="en-US"/>
              </w:rPr>
              <w:t>1.5</w:t>
            </w:r>
          </w:p>
        </w:tc>
        <w:tc>
          <w:tcPr>
            <w:tcW w:w="840" w:type="pct"/>
            <w:vAlign w:val="center"/>
          </w:tcPr>
          <w:p w:rsidR="00EE4502" w:rsidRDefault="00FD45A3">
            <w:pPr>
              <w:jc w:val="center"/>
              <w:rPr>
                <w:szCs w:val="21"/>
                <w:lang w:bidi="en-US"/>
              </w:rPr>
            </w:pPr>
            <w:r>
              <w:rPr>
                <w:szCs w:val="21"/>
                <w:lang w:bidi="en-US"/>
              </w:rPr>
              <w:t>5.5</w:t>
            </w:r>
          </w:p>
        </w:tc>
        <w:tc>
          <w:tcPr>
            <w:tcW w:w="840" w:type="pct"/>
            <w:vAlign w:val="center"/>
          </w:tcPr>
          <w:p w:rsidR="00EE4502" w:rsidRDefault="00FD45A3">
            <w:pPr>
              <w:jc w:val="center"/>
              <w:rPr>
                <w:szCs w:val="21"/>
                <w:lang w:bidi="en-US"/>
              </w:rPr>
            </w:pPr>
            <w:r>
              <w:rPr>
                <w:szCs w:val="21"/>
                <w:lang w:bidi="en-US"/>
              </w:rPr>
              <w:t>15</w:t>
            </w:r>
          </w:p>
        </w:tc>
      </w:tr>
      <w:tr w:rsidR="00EE4502">
        <w:trPr>
          <w:trHeight w:val="340"/>
          <w:jc w:val="center"/>
        </w:trPr>
        <w:tc>
          <w:tcPr>
            <w:tcW w:w="479" w:type="pct"/>
            <w:vAlign w:val="center"/>
          </w:tcPr>
          <w:p w:rsidR="00EE4502" w:rsidRDefault="00FD45A3">
            <w:pPr>
              <w:jc w:val="center"/>
              <w:rPr>
                <w:szCs w:val="21"/>
                <w:lang w:bidi="en-US"/>
              </w:rPr>
            </w:pPr>
            <w:r>
              <w:rPr>
                <w:szCs w:val="21"/>
                <w:lang w:bidi="en-US"/>
              </w:rPr>
              <w:t>40</w:t>
            </w:r>
          </w:p>
        </w:tc>
        <w:tc>
          <w:tcPr>
            <w:tcW w:w="1163" w:type="pct"/>
            <w:vAlign w:val="center"/>
          </w:tcPr>
          <w:p w:rsidR="00EE4502" w:rsidRDefault="00FD45A3">
            <w:pPr>
              <w:jc w:val="center"/>
              <w:rPr>
                <w:szCs w:val="21"/>
                <w:lang w:bidi="en-US"/>
              </w:rPr>
            </w:pPr>
            <w:r>
              <w:rPr>
                <w:rFonts w:hAnsi="宋体"/>
                <w:szCs w:val="21"/>
                <w:lang w:bidi="en-US"/>
              </w:rPr>
              <w:t>苯并〔</w:t>
            </w:r>
            <w:r>
              <w:rPr>
                <w:szCs w:val="21"/>
                <w:lang w:bidi="en-US"/>
              </w:rPr>
              <w:t>a</w:t>
            </w:r>
            <w:r>
              <w:rPr>
                <w:rFonts w:hAnsi="宋体"/>
                <w:szCs w:val="21"/>
                <w:lang w:bidi="en-US"/>
              </w:rPr>
              <w:t>〕荧蒽</w:t>
            </w:r>
          </w:p>
        </w:tc>
        <w:tc>
          <w:tcPr>
            <w:tcW w:w="830" w:type="pct"/>
            <w:vAlign w:val="center"/>
          </w:tcPr>
          <w:p w:rsidR="00EE4502" w:rsidRDefault="00FD45A3">
            <w:pPr>
              <w:jc w:val="center"/>
              <w:rPr>
                <w:szCs w:val="21"/>
                <w:lang w:bidi="en-US"/>
              </w:rPr>
            </w:pPr>
            <w:r>
              <w:rPr>
                <w:szCs w:val="21"/>
                <w:lang w:bidi="en-US"/>
              </w:rPr>
              <w:t>5.5</w:t>
            </w:r>
          </w:p>
        </w:tc>
        <w:tc>
          <w:tcPr>
            <w:tcW w:w="844" w:type="pct"/>
            <w:vAlign w:val="center"/>
          </w:tcPr>
          <w:p w:rsidR="00EE4502" w:rsidRDefault="00FD45A3">
            <w:pPr>
              <w:jc w:val="center"/>
              <w:rPr>
                <w:szCs w:val="21"/>
                <w:lang w:bidi="en-US"/>
              </w:rPr>
            </w:pPr>
            <w:r>
              <w:rPr>
                <w:szCs w:val="21"/>
                <w:lang w:bidi="en-US"/>
              </w:rPr>
              <w:t>15</w:t>
            </w:r>
          </w:p>
        </w:tc>
        <w:tc>
          <w:tcPr>
            <w:tcW w:w="840" w:type="pct"/>
            <w:vAlign w:val="center"/>
          </w:tcPr>
          <w:p w:rsidR="00EE4502" w:rsidRDefault="00FD45A3">
            <w:pPr>
              <w:jc w:val="center"/>
              <w:rPr>
                <w:szCs w:val="21"/>
                <w:lang w:bidi="en-US"/>
              </w:rPr>
            </w:pPr>
            <w:r>
              <w:rPr>
                <w:szCs w:val="21"/>
                <w:lang w:bidi="en-US"/>
              </w:rPr>
              <w:t>55</w:t>
            </w:r>
          </w:p>
        </w:tc>
        <w:tc>
          <w:tcPr>
            <w:tcW w:w="840" w:type="pct"/>
            <w:vAlign w:val="center"/>
          </w:tcPr>
          <w:p w:rsidR="00EE4502" w:rsidRDefault="00FD45A3">
            <w:pPr>
              <w:jc w:val="center"/>
              <w:rPr>
                <w:szCs w:val="21"/>
                <w:lang w:bidi="en-US"/>
              </w:rPr>
            </w:pPr>
            <w:r>
              <w:rPr>
                <w:szCs w:val="21"/>
                <w:lang w:bidi="en-US"/>
              </w:rPr>
              <w:t>151</w:t>
            </w:r>
          </w:p>
        </w:tc>
      </w:tr>
      <w:tr w:rsidR="00EE4502">
        <w:trPr>
          <w:trHeight w:val="340"/>
          <w:jc w:val="center"/>
        </w:trPr>
        <w:tc>
          <w:tcPr>
            <w:tcW w:w="479" w:type="pct"/>
            <w:vAlign w:val="center"/>
          </w:tcPr>
          <w:p w:rsidR="00EE4502" w:rsidRDefault="00FD45A3">
            <w:pPr>
              <w:jc w:val="center"/>
              <w:rPr>
                <w:szCs w:val="21"/>
                <w:lang w:bidi="en-US"/>
              </w:rPr>
            </w:pPr>
            <w:r>
              <w:rPr>
                <w:szCs w:val="21"/>
                <w:lang w:bidi="en-US"/>
              </w:rPr>
              <w:t>41</w:t>
            </w:r>
          </w:p>
        </w:tc>
        <w:tc>
          <w:tcPr>
            <w:tcW w:w="1163" w:type="pct"/>
            <w:vAlign w:val="center"/>
          </w:tcPr>
          <w:p w:rsidR="00EE4502" w:rsidRDefault="00FD45A3">
            <w:pPr>
              <w:jc w:val="center"/>
              <w:rPr>
                <w:szCs w:val="21"/>
                <w:lang w:bidi="en-US"/>
              </w:rPr>
            </w:pPr>
            <w:r>
              <w:rPr>
                <w:rFonts w:hAnsi="宋体"/>
                <w:szCs w:val="21"/>
                <w:lang w:bidi="en-US"/>
              </w:rPr>
              <w:t>苯并〔</w:t>
            </w:r>
            <w:r>
              <w:rPr>
                <w:szCs w:val="21"/>
                <w:lang w:bidi="en-US"/>
              </w:rPr>
              <w:t>a</w:t>
            </w:r>
            <w:r>
              <w:rPr>
                <w:rFonts w:hAnsi="宋体"/>
                <w:szCs w:val="21"/>
                <w:lang w:bidi="en-US"/>
              </w:rPr>
              <w:t>〕荧蒽</w:t>
            </w:r>
          </w:p>
        </w:tc>
        <w:tc>
          <w:tcPr>
            <w:tcW w:w="830" w:type="pct"/>
            <w:vAlign w:val="center"/>
          </w:tcPr>
          <w:p w:rsidR="00EE4502" w:rsidRDefault="00FD45A3">
            <w:pPr>
              <w:jc w:val="center"/>
              <w:rPr>
                <w:szCs w:val="21"/>
                <w:lang w:bidi="en-US"/>
              </w:rPr>
            </w:pPr>
            <w:r>
              <w:rPr>
                <w:szCs w:val="21"/>
                <w:lang w:bidi="en-US"/>
              </w:rPr>
              <w:t>55</w:t>
            </w:r>
          </w:p>
        </w:tc>
        <w:tc>
          <w:tcPr>
            <w:tcW w:w="844" w:type="pct"/>
            <w:vAlign w:val="center"/>
          </w:tcPr>
          <w:p w:rsidR="00EE4502" w:rsidRDefault="00FD45A3">
            <w:pPr>
              <w:jc w:val="center"/>
              <w:rPr>
                <w:szCs w:val="21"/>
                <w:lang w:bidi="en-US"/>
              </w:rPr>
            </w:pPr>
            <w:r>
              <w:rPr>
                <w:szCs w:val="21"/>
                <w:lang w:bidi="en-US"/>
              </w:rPr>
              <w:t>151</w:t>
            </w:r>
          </w:p>
        </w:tc>
        <w:tc>
          <w:tcPr>
            <w:tcW w:w="840" w:type="pct"/>
            <w:vAlign w:val="center"/>
          </w:tcPr>
          <w:p w:rsidR="00EE4502" w:rsidRDefault="00FD45A3">
            <w:pPr>
              <w:jc w:val="center"/>
              <w:rPr>
                <w:szCs w:val="21"/>
                <w:lang w:bidi="en-US"/>
              </w:rPr>
            </w:pPr>
            <w:r>
              <w:rPr>
                <w:szCs w:val="21"/>
                <w:lang w:bidi="en-US"/>
              </w:rPr>
              <w:t>550</w:t>
            </w:r>
          </w:p>
        </w:tc>
        <w:tc>
          <w:tcPr>
            <w:tcW w:w="840" w:type="pct"/>
            <w:vAlign w:val="center"/>
          </w:tcPr>
          <w:p w:rsidR="00EE4502" w:rsidRDefault="00FD45A3">
            <w:pPr>
              <w:jc w:val="center"/>
              <w:rPr>
                <w:szCs w:val="21"/>
                <w:lang w:bidi="en-US"/>
              </w:rPr>
            </w:pPr>
            <w:r>
              <w:rPr>
                <w:szCs w:val="21"/>
                <w:lang w:bidi="en-US"/>
              </w:rPr>
              <w:t>1500</w:t>
            </w:r>
          </w:p>
        </w:tc>
      </w:tr>
      <w:tr w:rsidR="00EE4502">
        <w:trPr>
          <w:trHeight w:val="340"/>
          <w:jc w:val="center"/>
        </w:trPr>
        <w:tc>
          <w:tcPr>
            <w:tcW w:w="479" w:type="pct"/>
            <w:vAlign w:val="center"/>
          </w:tcPr>
          <w:p w:rsidR="00EE4502" w:rsidRDefault="00FD45A3">
            <w:pPr>
              <w:jc w:val="center"/>
              <w:rPr>
                <w:szCs w:val="21"/>
                <w:lang w:bidi="en-US"/>
              </w:rPr>
            </w:pPr>
            <w:r>
              <w:rPr>
                <w:szCs w:val="21"/>
                <w:lang w:bidi="en-US"/>
              </w:rPr>
              <w:t>42</w:t>
            </w:r>
          </w:p>
        </w:tc>
        <w:tc>
          <w:tcPr>
            <w:tcW w:w="1163" w:type="pct"/>
            <w:vAlign w:val="center"/>
          </w:tcPr>
          <w:p w:rsidR="00EE4502" w:rsidRDefault="00FD45A3">
            <w:pPr>
              <w:jc w:val="center"/>
              <w:rPr>
                <w:szCs w:val="21"/>
                <w:lang w:bidi="en-US"/>
              </w:rPr>
            </w:pPr>
            <w:r>
              <w:rPr>
                <w:rFonts w:hint="eastAsia"/>
                <w:szCs w:val="21"/>
                <w:lang w:bidi="en-US"/>
              </w:rPr>
              <w:t>䓛</w:t>
            </w:r>
          </w:p>
        </w:tc>
        <w:tc>
          <w:tcPr>
            <w:tcW w:w="830" w:type="pct"/>
            <w:vAlign w:val="center"/>
          </w:tcPr>
          <w:p w:rsidR="00EE4502" w:rsidRDefault="00FD45A3">
            <w:pPr>
              <w:jc w:val="center"/>
              <w:rPr>
                <w:szCs w:val="21"/>
                <w:lang w:bidi="en-US"/>
              </w:rPr>
            </w:pPr>
            <w:r>
              <w:rPr>
                <w:szCs w:val="21"/>
                <w:lang w:bidi="en-US"/>
              </w:rPr>
              <w:t>490</w:t>
            </w:r>
          </w:p>
        </w:tc>
        <w:tc>
          <w:tcPr>
            <w:tcW w:w="844" w:type="pct"/>
            <w:vAlign w:val="center"/>
          </w:tcPr>
          <w:p w:rsidR="00EE4502" w:rsidRDefault="00FD45A3">
            <w:pPr>
              <w:jc w:val="center"/>
              <w:rPr>
                <w:szCs w:val="21"/>
                <w:lang w:bidi="en-US"/>
              </w:rPr>
            </w:pPr>
            <w:r>
              <w:rPr>
                <w:szCs w:val="21"/>
                <w:lang w:bidi="en-US"/>
              </w:rPr>
              <w:t>1293</w:t>
            </w:r>
          </w:p>
        </w:tc>
        <w:tc>
          <w:tcPr>
            <w:tcW w:w="840" w:type="pct"/>
            <w:vAlign w:val="center"/>
          </w:tcPr>
          <w:p w:rsidR="00EE4502" w:rsidRDefault="00FD45A3">
            <w:pPr>
              <w:jc w:val="center"/>
              <w:rPr>
                <w:szCs w:val="21"/>
                <w:lang w:bidi="en-US"/>
              </w:rPr>
            </w:pPr>
            <w:r>
              <w:rPr>
                <w:szCs w:val="21"/>
                <w:lang w:bidi="en-US"/>
              </w:rPr>
              <w:t>4900</w:t>
            </w:r>
          </w:p>
        </w:tc>
        <w:tc>
          <w:tcPr>
            <w:tcW w:w="840" w:type="pct"/>
            <w:vAlign w:val="center"/>
          </w:tcPr>
          <w:p w:rsidR="00EE4502" w:rsidRDefault="00FD45A3">
            <w:pPr>
              <w:jc w:val="center"/>
              <w:rPr>
                <w:szCs w:val="21"/>
                <w:lang w:bidi="en-US"/>
              </w:rPr>
            </w:pPr>
            <w:r>
              <w:rPr>
                <w:szCs w:val="21"/>
                <w:lang w:bidi="en-US"/>
              </w:rPr>
              <w:t>12900</w:t>
            </w:r>
          </w:p>
        </w:tc>
      </w:tr>
      <w:tr w:rsidR="00EE4502">
        <w:trPr>
          <w:trHeight w:val="340"/>
          <w:jc w:val="center"/>
        </w:trPr>
        <w:tc>
          <w:tcPr>
            <w:tcW w:w="479" w:type="pct"/>
            <w:vAlign w:val="center"/>
          </w:tcPr>
          <w:p w:rsidR="00EE4502" w:rsidRDefault="00FD45A3">
            <w:pPr>
              <w:jc w:val="center"/>
              <w:rPr>
                <w:szCs w:val="21"/>
                <w:lang w:bidi="en-US"/>
              </w:rPr>
            </w:pPr>
            <w:r>
              <w:rPr>
                <w:szCs w:val="21"/>
                <w:lang w:bidi="en-US"/>
              </w:rPr>
              <w:t>43</w:t>
            </w:r>
          </w:p>
        </w:tc>
        <w:tc>
          <w:tcPr>
            <w:tcW w:w="1163" w:type="pct"/>
            <w:vAlign w:val="center"/>
          </w:tcPr>
          <w:p w:rsidR="00EE4502" w:rsidRDefault="00FD45A3">
            <w:pPr>
              <w:jc w:val="center"/>
              <w:rPr>
                <w:szCs w:val="21"/>
                <w:lang w:bidi="en-US"/>
              </w:rPr>
            </w:pPr>
            <w:r>
              <w:rPr>
                <w:rFonts w:hAnsi="宋体"/>
                <w:szCs w:val="21"/>
                <w:lang w:bidi="en-US"/>
              </w:rPr>
              <w:t>二苯并〔</w:t>
            </w:r>
            <w:r>
              <w:rPr>
                <w:szCs w:val="21"/>
                <w:lang w:bidi="en-US"/>
              </w:rPr>
              <w:t>a,h</w:t>
            </w:r>
            <w:r>
              <w:rPr>
                <w:rFonts w:hAnsi="宋体"/>
                <w:szCs w:val="21"/>
                <w:lang w:bidi="en-US"/>
              </w:rPr>
              <w:t>〕蒽</w:t>
            </w:r>
          </w:p>
        </w:tc>
        <w:tc>
          <w:tcPr>
            <w:tcW w:w="830" w:type="pct"/>
            <w:vAlign w:val="center"/>
          </w:tcPr>
          <w:p w:rsidR="00EE4502" w:rsidRDefault="00FD45A3">
            <w:pPr>
              <w:jc w:val="center"/>
              <w:rPr>
                <w:szCs w:val="21"/>
                <w:lang w:bidi="en-US"/>
              </w:rPr>
            </w:pPr>
            <w:r>
              <w:rPr>
                <w:szCs w:val="21"/>
                <w:lang w:bidi="en-US"/>
              </w:rPr>
              <w:t>0.55</w:t>
            </w:r>
          </w:p>
        </w:tc>
        <w:tc>
          <w:tcPr>
            <w:tcW w:w="844" w:type="pct"/>
            <w:vAlign w:val="center"/>
          </w:tcPr>
          <w:p w:rsidR="00EE4502" w:rsidRDefault="00FD45A3">
            <w:pPr>
              <w:jc w:val="center"/>
              <w:rPr>
                <w:szCs w:val="21"/>
                <w:lang w:bidi="en-US"/>
              </w:rPr>
            </w:pPr>
            <w:r>
              <w:rPr>
                <w:szCs w:val="21"/>
                <w:lang w:bidi="en-US"/>
              </w:rPr>
              <w:t>1.5</w:t>
            </w:r>
          </w:p>
        </w:tc>
        <w:tc>
          <w:tcPr>
            <w:tcW w:w="840" w:type="pct"/>
            <w:vAlign w:val="center"/>
          </w:tcPr>
          <w:p w:rsidR="00EE4502" w:rsidRDefault="00FD45A3">
            <w:pPr>
              <w:jc w:val="center"/>
              <w:rPr>
                <w:szCs w:val="21"/>
                <w:lang w:bidi="en-US"/>
              </w:rPr>
            </w:pPr>
            <w:r>
              <w:rPr>
                <w:szCs w:val="21"/>
                <w:lang w:bidi="en-US"/>
              </w:rPr>
              <w:t>5.5</w:t>
            </w:r>
          </w:p>
        </w:tc>
        <w:tc>
          <w:tcPr>
            <w:tcW w:w="840" w:type="pct"/>
            <w:vAlign w:val="center"/>
          </w:tcPr>
          <w:p w:rsidR="00EE4502" w:rsidRDefault="00FD45A3">
            <w:pPr>
              <w:jc w:val="center"/>
              <w:rPr>
                <w:szCs w:val="21"/>
                <w:lang w:bidi="en-US"/>
              </w:rPr>
            </w:pPr>
            <w:r>
              <w:rPr>
                <w:szCs w:val="21"/>
                <w:lang w:bidi="en-US"/>
              </w:rPr>
              <w:t>15</w:t>
            </w:r>
          </w:p>
        </w:tc>
      </w:tr>
      <w:tr w:rsidR="00EE4502">
        <w:trPr>
          <w:trHeight w:val="340"/>
          <w:jc w:val="center"/>
        </w:trPr>
        <w:tc>
          <w:tcPr>
            <w:tcW w:w="479" w:type="pct"/>
            <w:vAlign w:val="center"/>
          </w:tcPr>
          <w:p w:rsidR="00EE4502" w:rsidRDefault="00FD45A3">
            <w:pPr>
              <w:jc w:val="center"/>
              <w:rPr>
                <w:szCs w:val="21"/>
                <w:lang w:bidi="en-US"/>
              </w:rPr>
            </w:pPr>
            <w:r>
              <w:rPr>
                <w:szCs w:val="21"/>
                <w:lang w:bidi="en-US"/>
              </w:rPr>
              <w:t>44</w:t>
            </w:r>
          </w:p>
        </w:tc>
        <w:tc>
          <w:tcPr>
            <w:tcW w:w="1163" w:type="pct"/>
            <w:vAlign w:val="center"/>
          </w:tcPr>
          <w:p w:rsidR="00EE4502" w:rsidRDefault="00FD45A3">
            <w:pPr>
              <w:jc w:val="center"/>
              <w:rPr>
                <w:szCs w:val="21"/>
                <w:lang w:bidi="en-US"/>
              </w:rPr>
            </w:pPr>
            <w:r>
              <w:rPr>
                <w:rFonts w:hAnsi="宋体"/>
                <w:szCs w:val="21"/>
                <w:lang w:bidi="en-US"/>
              </w:rPr>
              <w:t>茚并〔</w:t>
            </w:r>
            <w:r>
              <w:rPr>
                <w:szCs w:val="21"/>
                <w:lang w:bidi="en-US"/>
              </w:rPr>
              <w:t>1,2,3-cd</w:t>
            </w:r>
            <w:r>
              <w:rPr>
                <w:rFonts w:hAnsi="宋体"/>
                <w:szCs w:val="21"/>
                <w:lang w:bidi="en-US"/>
              </w:rPr>
              <w:t>〕芘</w:t>
            </w:r>
          </w:p>
        </w:tc>
        <w:tc>
          <w:tcPr>
            <w:tcW w:w="830" w:type="pct"/>
            <w:vAlign w:val="center"/>
          </w:tcPr>
          <w:p w:rsidR="00EE4502" w:rsidRDefault="00FD45A3">
            <w:pPr>
              <w:jc w:val="center"/>
              <w:rPr>
                <w:szCs w:val="21"/>
                <w:lang w:bidi="en-US"/>
              </w:rPr>
            </w:pPr>
            <w:r>
              <w:rPr>
                <w:szCs w:val="21"/>
                <w:lang w:bidi="en-US"/>
              </w:rPr>
              <w:t>5.5</w:t>
            </w:r>
          </w:p>
        </w:tc>
        <w:tc>
          <w:tcPr>
            <w:tcW w:w="844" w:type="pct"/>
            <w:vAlign w:val="center"/>
          </w:tcPr>
          <w:p w:rsidR="00EE4502" w:rsidRDefault="00FD45A3">
            <w:pPr>
              <w:jc w:val="center"/>
              <w:rPr>
                <w:szCs w:val="21"/>
                <w:lang w:bidi="en-US"/>
              </w:rPr>
            </w:pPr>
            <w:r>
              <w:rPr>
                <w:szCs w:val="21"/>
                <w:lang w:bidi="en-US"/>
              </w:rPr>
              <w:t>15</w:t>
            </w:r>
          </w:p>
        </w:tc>
        <w:tc>
          <w:tcPr>
            <w:tcW w:w="840" w:type="pct"/>
            <w:vAlign w:val="center"/>
          </w:tcPr>
          <w:p w:rsidR="00EE4502" w:rsidRDefault="00FD45A3">
            <w:pPr>
              <w:jc w:val="center"/>
              <w:rPr>
                <w:szCs w:val="21"/>
                <w:lang w:bidi="en-US"/>
              </w:rPr>
            </w:pPr>
            <w:r>
              <w:rPr>
                <w:szCs w:val="21"/>
                <w:lang w:bidi="en-US"/>
              </w:rPr>
              <w:t>55</w:t>
            </w:r>
          </w:p>
        </w:tc>
        <w:tc>
          <w:tcPr>
            <w:tcW w:w="840" w:type="pct"/>
            <w:vAlign w:val="center"/>
          </w:tcPr>
          <w:p w:rsidR="00EE4502" w:rsidRDefault="00FD45A3">
            <w:pPr>
              <w:jc w:val="center"/>
              <w:rPr>
                <w:szCs w:val="21"/>
                <w:lang w:bidi="en-US"/>
              </w:rPr>
            </w:pPr>
            <w:r>
              <w:rPr>
                <w:szCs w:val="21"/>
                <w:lang w:bidi="en-US"/>
              </w:rPr>
              <w:t>151</w:t>
            </w:r>
          </w:p>
        </w:tc>
      </w:tr>
      <w:tr w:rsidR="00EE4502">
        <w:trPr>
          <w:trHeight w:val="340"/>
          <w:jc w:val="center"/>
        </w:trPr>
        <w:tc>
          <w:tcPr>
            <w:tcW w:w="479" w:type="pct"/>
            <w:vAlign w:val="center"/>
          </w:tcPr>
          <w:p w:rsidR="00EE4502" w:rsidRDefault="00FD45A3">
            <w:pPr>
              <w:jc w:val="center"/>
              <w:rPr>
                <w:szCs w:val="21"/>
                <w:lang w:bidi="en-US"/>
              </w:rPr>
            </w:pPr>
            <w:r>
              <w:rPr>
                <w:szCs w:val="21"/>
                <w:lang w:bidi="en-US"/>
              </w:rPr>
              <w:t>45</w:t>
            </w:r>
          </w:p>
        </w:tc>
        <w:tc>
          <w:tcPr>
            <w:tcW w:w="1163" w:type="pct"/>
            <w:vAlign w:val="center"/>
          </w:tcPr>
          <w:p w:rsidR="00EE4502" w:rsidRDefault="00FD45A3">
            <w:pPr>
              <w:jc w:val="center"/>
              <w:rPr>
                <w:szCs w:val="21"/>
                <w:lang w:bidi="en-US"/>
              </w:rPr>
            </w:pPr>
            <w:r>
              <w:rPr>
                <w:rFonts w:hAnsi="宋体"/>
                <w:szCs w:val="21"/>
                <w:lang w:bidi="en-US"/>
              </w:rPr>
              <w:t>萘</w:t>
            </w:r>
          </w:p>
        </w:tc>
        <w:tc>
          <w:tcPr>
            <w:tcW w:w="830" w:type="pct"/>
            <w:vAlign w:val="center"/>
          </w:tcPr>
          <w:p w:rsidR="00EE4502" w:rsidRDefault="00FD45A3">
            <w:pPr>
              <w:jc w:val="center"/>
              <w:rPr>
                <w:szCs w:val="21"/>
                <w:lang w:bidi="en-US"/>
              </w:rPr>
            </w:pPr>
            <w:r>
              <w:rPr>
                <w:szCs w:val="21"/>
                <w:lang w:bidi="en-US"/>
              </w:rPr>
              <w:t>25</w:t>
            </w:r>
          </w:p>
        </w:tc>
        <w:tc>
          <w:tcPr>
            <w:tcW w:w="844" w:type="pct"/>
            <w:vAlign w:val="center"/>
          </w:tcPr>
          <w:p w:rsidR="00EE4502" w:rsidRDefault="00FD45A3">
            <w:pPr>
              <w:jc w:val="center"/>
              <w:rPr>
                <w:szCs w:val="21"/>
                <w:lang w:bidi="en-US"/>
              </w:rPr>
            </w:pPr>
            <w:r>
              <w:rPr>
                <w:szCs w:val="21"/>
                <w:lang w:bidi="en-US"/>
              </w:rPr>
              <w:t>70</w:t>
            </w:r>
          </w:p>
        </w:tc>
        <w:tc>
          <w:tcPr>
            <w:tcW w:w="840" w:type="pct"/>
            <w:vAlign w:val="center"/>
          </w:tcPr>
          <w:p w:rsidR="00EE4502" w:rsidRDefault="00FD45A3">
            <w:pPr>
              <w:jc w:val="center"/>
              <w:rPr>
                <w:szCs w:val="21"/>
                <w:lang w:bidi="en-US"/>
              </w:rPr>
            </w:pPr>
            <w:r>
              <w:rPr>
                <w:szCs w:val="21"/>
                <w:lang w:bidi="en-US"/>
              </w:rPr>
              <w:t>255</w:t>
            </w:r>
          </w:p>
        </w:tc>
        <w:tc>
          <w:tcPr>
            <w:tcW w:w="840" w:type="pct"/>
            <w:vAlign w:val="center"/>
          </w:tcPr>
          <w:p w:rsidR="00EE4502" w:rsidRDefault="00FD45A3">
            <w:pPr>
              <w:jc w:val="center"/>
              <w:rPr>
                <w:szCs w:val="21"/>
                <w:lang w:bidi="en-US"/>
              </w:rPr>
            </w:pPr>
            <w:r>
              <w:rPr>
                <w:szCs w:val="21"/>
                <w:lang w:bidi="en-US"/>
              </w:rPr>
              <w:t>700</w:t>
            </w:r>
          </w:p>
        </w:tc>
      </w:tr>
      <w:tr w:rsidR="00EE4502">
        <w:trPr>
          <w:trHeight w:val="340"/>
          <w:jc w:val="center"/>
        </w:trPr>
        <w:tc>
          <w:tcPr>
            <w:tcW w:w="5000" w:type="pct"/>
            <w:gridSpan w:val="6"/>
            <w:vAlign w:val="center"/>
          </w:tcPr>
          <w:p w:rsidR="00EE4502" w:rsidRDefault="00FD45A3">
            <w:pPr>
              <w:jc w:val="center"/>
              <w:rPr>
                <w:szCs w:val="21"/>
                <w:lang w:bidi="en-US"/>
              </w:rPr>
            </w:pPr>
            <w:r>
              <w:rPr>
                <w:rFonts w:hAnsi="宋体"/>
                <w:szCs w:val="21"/>
                <w:lang w:bidi="en-US"/>
              </w:rPr>
              <w:t>石油烃类</w:t>
            </w:r>
          </w:p>
        </w:tc>
      </w:tr>
      <w:tr w:rsidR="00EE4502">
        <w:trPr>
          <w:trHeight w:val="340"/>
          <w:jc w:val="center"/>
        </w:trPr>
        <w:tc>
          <w:tcPr>
            <w:tcW w:w="479" w:type="pct"/>
            <w:vAlign w:val="center"/>
          </w:tcPr>
          <w:p w:rsidR="00EE4502" w:rsidRDefault="00FD45A3">
            <w:pPr>
              <w:jc w:val="center"/>
              <w:rPr>
                <w:szCs w:val="21"/>
                <w:lang w:bidi="en-US"/>
              </w:rPr>
            </w:pPr>
            <w:r>
              <w:rPr>
                <w:szCs w:val="21"/>
                <w:lang w:bidi="en-US"/>
              </w:rPr>
              <w:t>46</w:t>
            </w:r>
          </w:p>
        </w:tc>
        <w:tc>
          <w:tcPr>
            <w:tcW w:w="1163" w:type="pct"/>
            <w:vAlign w:val="center"/>
          </w:tcPr>
          <w:p w:rsidR="00EE4502" w:rsidRDefault="00FD45A3">
            <w:pPr>
              <w:jc w:val="center"/>
              <w:rPr>
                <w:szCs w:val="21"/>
                <w:lang w:bidi="en-US"/>
              </w:rPr>
            </w:pPr>
            <w:r>
              <w:rPr>
                <w:rFonts w:hAnsi="宋体"/>
                <w:szCs w:val="21"/>
                <w:lang w:bidi="en-US"/>
              </w:rPr>
              <w:t>石油烃</w:t>
            </w:r>
            <w:r>
              <w:rPr>
                <w:rFonts w:hAnsi="宋体" w:hint="eastAsia"/>
                <w:szCs w:val="21"/>
                <w:lang w:bidi="en-US"/>
              </w:rPr>
              <w:t>（</w:t>
            </w:r>
            <w:r>
              <w:rPr>
                <w:rFonts w:hAnsi="宋体" w:hint="eastAsia"/>
                <w:szCs w:val="21"/>
                <w:lang w:bidi="en-US"/>
              </w:rPr>
              <w:t>C</w:t>
            </w:r>
            <w:r>
              <w:rPr>
                <w:rFonts w:hAnsi="宋体" w:hint="eastAsia"/>
                <w:szCs w:val="21"/>
                <w:vertAlign w:val="subscript"/>
                <w:lang w:bidi="en-US"/>
              </w:rPr>
              <w:t>10</w:t>
            </w:r>
            <w:r>
              <w:rPr>
                <w:rFonts w:hAnsi="宋体" w:hint="eastAsia"/>
                <w:szCs w:val="21"/>
                <w:lang w:bidi="en-US"/>
              </w:rPr>
              <w:t>-C</w:t>
            </w:r>
            <w:r>
              <w:rPr>
                <w:rFonts w:hAnsi="宋体" w:hint="eastAsia"/>
                <w:szCs w:val="21"/>
                <w:vertAlign w:val="subscript"/>
                <w:lang w:bidi="en-US"/>
              </w:rPr>
              <w:t>40</w:t>
            </w:r>
            <w:r>
              <w:rPr>
                <w:rFonts w:hAnsi="宋体" w:hint="eastAsia"/>
                <w:szCs w:val="21"/>
                <w:lang w:bidi="en-US"/>
              </w:rPr>
              <w:t>）</w:t>
            </w:r>
          </w:p>
        </w:tc>
        <w:tc>
          <w:tcPr>
            <w:tcW w:w="830" w:type="pct"/>
            <w:vAlign w:val="center"/>
          </w:tcPr>
          <w:p w:rsidR="00EE4502" w:rsidRDefault="00FD45A3">
            <w:pPr>
              <w:jc w:val="center"/>
              <w:rPr>
                <w:szCs w:val="21"/>
                <w:lang w:bidi="en-US"/>
              </w:rPr>
            </w:pPr>
            <w:r>
              <w:rPr>
                <w:szCs w:val="21"/>
                <w:lang w:bidi="en-US"/>
              </w:rPr>
              <w:t>826</w:t>
            </w:r>
          </w:p>
        </w:tc>
        <w:tc>
          <w:tcPr>
            <w:tcW w:w="844" w:type="pct"/>
            <w:vAlign w:val="center"/>
          </w:tcPr>
          <w:p w:rsidR="00EE4502" w:rsidRDefault="00FD45A3">
            <w:pPr>
              <w:jc w:val="center"/>
              <w:rPr>
                <w:szCs w:val="21"/>
                <w:lang w:bidi="en-US"/>
              </w:rPr>
            </w:pPr>
            <w:r>
              <w:rPr>
                <w:szCs w:val="21"/>
                <w:lang w:bidi="en-US"/>
              </w:rPr>
              <w:t>1500</w:t>
            </w:r>
          </w:p>
        </w:tc>
        <w:tc>
          <w:tcPr>
            <w:tcW w:w="840" w:type="pct"/>
            <w:vAlign w:val="center"/>
          </w:tcPr>
          <w:p w:rsidR="00EE4502" w:rsidRDefault="00FD45A3">
            <w:pPr>
              <w:jc w:val="center"/>
              <w:rPr>
                <w:szCs w:val="21"/>
                <w:lang w:bidi="en-US"/>
              </w:rPr>
            </w:pPr>
            <w:r>
              <w:rPr>
                <w:szCs w:val="21"/>
                <w:lang w:bidi="en-US"/>
              </w:rPr>
              <w:t>5000</w:t>
            </w:r>
          </w:p>
        </w:tc>
        <w:tc>
          <w:tcPr>
            <w:tcW w:w="840" w:type="pct"/>
            <w:vAlign w:val="center"/>
          </w:tcPr>
          <w:p w:rsidR="00EE4502" w:rsidRDefault="00FD45A3">
            <w:pPr>
              <w:jc w:val="center"/>
              <w:rPr>
                <w:szCs w:val="21"/>
                <w:lang w:bidi="en-US"/>
              </w:rPr>
            </w:pPr>
            <w:r>
              <w:rPr>
                <w:szCs w:val="21"/>
                <w:lang w:bidi="en-US"/>
              </w:rPr>
              <w:t>9000</w:t>
            </w:r>
          </w:p>
        </w:tc>
      </w:tr>
    </w:tbl>
    <w:p w:rsidR="00EE4502" w:rsidRDefault="00EE4502">
      <w:pPr>
        <w:jc w:val="center"/>
        <w:rPr>
          <w:sz w:val="18"/>
          <w:szCs w:val="18"/>
        </w:rPr>
      </w:pPr>
    </w:p>
    <w:p w:rsidR="00EE4502" w:rsidRDefault="00FD45A3">
      <w:pPr>
        <w:pStyle w:val="33"/>
        <w:numPr>
          <w:ilvl w:val="2"/>
          <w:numId w:val="30"/>
        </w:numPr>
        <w:spacing w:line="360" w:lineRule="auto"/>
        <w:ind w:left="0" w:firstLine="0"/>
        <w:rPr>
          <w:spacing w:val="0"/>
          <w:sz w:val="24"/>
          <w:szCs w:val="24"/>
        </w:rPr>
      </w:pPr>
      <w:r>
        <w:rPr>
          <w:rFonts w:hint="eastAsia"/>
          <w:spacing w:val="0"/>
          <w:sz w:val="24"/>
          <w:szCs w:val="24"/>
        </w:rPr>
        <w:t>污染物排放标准</w:t>
      </w:r>
    </w:p>
    <w:p w:rsidR="00EE4502" w:rsidRDefault="00FD45A3">
      <w:pPr>
        <w:spacing w:line="360" w:lineRule="auto"/>
        <w:ind w:firstLineChars="200" w:firstLine="480"/>
        <w:contextualSpacing/>
        <w:rPr>
          <w:sz w:val="24"/>
        </w:rPr>
      </w:pPr>
      <w:r>
        <w:rPr>
          <w:sz w:val="24"/>
        </w:rPr>
        <w:t>（</w:t>
      </w:r>
      <w:r>
        <w:rPr>
          <w:sz w:val="24"/>
        </w:rPr>
        <w:t>1</w:t>
      </w:r>
      <w:r>
        <w:rPr>
          <w:sz w:val="24"/>
        </w:rPr>
        <w:t>）废气</w:t>
      </w:r>
    </w:p>
    <w:p w:rsidR="00EE4502" w:rsidRDefault="00FD45A3">
      <w:pPr>
        <w:spacing w:line="360" w:lineRule="auto"/>
        <w:ind w:firstLineChars="200" w:firstLine="480"/>
        <w:contextualSpacing/>
        <w:rPr>
          <w:sz w:val="24"/>
        </w:rPr>
      </w:pPr>
      <w:r>
        <w:rPr>
          <w:rFonts w:hint="eastAsia"/>
          <w:snapToGrid w:val="0"/>
          <w:kern w:val="0"/>
          <w:sz w:val="24"/>
        </w:rPr>
        <w:t>本工程</w:t>
      </w:r>
      <w:r>
        <w:rPr>
          <w:rFonts w:hint="eastAsia"/>
          <w:sz w:val="24"/>
        </w:rPr>
        <w:t>采油</w:t>
      </w:r>
      <w:r>
        <w:rPr>
          <w:snapToGrid w:val="0"/>
          <w:kern w:val="0"/>
          <w:sz w:val="24"/>
        </w:rPr>
        <w:t>过程中</w:t>
      </w:r>
      <w:r>
        <w:rPr>
          <w:sz w:val="24"/>
        </w:rPr>
        <w:t>无组织挥发产生的非甲烷总烃排放执行《陆上石油天然气开采工业大气污染物排放标准》（</w:t>
      </w:r>
      <w:r>
        <w:rPr>
          <w:sz w:val="24"/>
        </w:rPr>
        <w:t>GB39728-2020</w:t>
      </w:r>
      <w:r>
        <w:rPr>
          <w:sz w:val="24"/>
        </w:rPr>
        <w:t>）中企业边界污染物控制要求</w:t>
      </w:r>
      <w:r>
        <w:rPr>
          <w:rFonts w:hint="eastAsia"/>
          <w:sz w:val="24"/>
        </w:rPr>
        <w:t>；</w:t>
      </w:r>
      <w:r>
        <w:rPr>
          <w:sz w:val="24"/>
        </w:rPr>
        <w:t>标准值见表</w:t>
      </w:r>
      <w:r>
        <w:rPr>
          <w:sz w:val="24"/>
        </w:rPr>
        <w:t>2-</w:t>
      </w:r>
      <w:r>
        <w:rPr>
          <w:rFonts w:hint="eastAsia"/>
          <w:sz w:val="24"/>
        </w:rPr>
        <w:t>4</w:t>
      </w:r>
      <w:r>
        <w:rPr>
          <w:sz w:val="24"/>
        </w:rPr>
        <w:t>-</w:t>
      </w:r>
      <w:r>
        <w:rPr>
          <w:rFonts w:hint="eastAsia"/>
          <w:sz w:val="24"/>
        </w:rPr>
        <w:t>6</w:t>
      </w:r>
      <w:r>
        <w:rPr>
          <w:sz w:val="24"/>
        </w:rPr>
        <w:t>。</w:t>
      </w:r>
    </w:p>
    <w:p w:rsidR="00EE4502" w:rsidRDefault="00FD45A3">
      <w:pPr>
        <w:spacing w:line="360" w:lineRule="auto"/>
        <w:jc w:val="center"/>
        <w:rPr>
          <w:rFonts w:eastAsia="黑体"/>
          <w:bCs/>
          <w:lang w:val="zh-CN"/>
        </w:rPr>
      </w:pPr>
      <w:r>
        <w:rPr>
          <w:rFonts w:eastAsia="黑体"/>
          <w:bCs/>
          <w:lang w:val="zh-CN"/>
        </w:rPr>
        <w:t>表</w:t>
      </w:r>
      <w:r>
        <w:rPr>
          <w:rFonts w:eastAsia="黑体"/>
          <w:bCs/>
          <w:lang w:val="zh-CN"/>
        </w:rPr>
        <w:t>2</w:t>
      </w:r>
      <w:r>
        <w:rPr>
          <w:rFonts w:eastAsia="黑体"/>
          <w:bCs/>
        </w:rPr>
        <w:t>-</w:t>
      </w:r>
      <w:r>
        <w:rPr>
          <w:rFonts w:eastAsia="黑体" w:hint="eastAsia"/>
          <w:bCs/>
        </w:rPr>
        <w:t>4</w:t>
      </w:r>
      <w:r>
        <w:rPr>
          <w:rFonts w:eastAsia="黑体"/>
          <w:bCs/>
          <w:lang w:val="zh-CN"/>
        </w:rPr>
        <w:t>-</w:t>
      </w:r>
      <w:r>
        <w:rPr>
          <w:rFonts w:eastAsia="黑体" w:hint="eastAsia"/>
          <w:bCs/>
        </w:rPr>
        <w:t>6</w:t>
      </w:r>
      <w:r>
        <w:rPr>
          <w:rFonts w:eastAsia="黑体"/>
          <w:bCs/>
          <w:lang w:val="zh-CN"/>
        </w:rPr>
        <w:t xml:space="preserve">  </w:t>
      </w:r>
      <w:r>
        <w:rPr>
          <w:rFonts w:eastAsia="黑体"/>
          <w:bCs/>
          <w:lang w:val="zh-CN"/>
        </w:rPr>
        <w:t>大气污染物排放标准</w:t>
      </w:r>
      <w:r>
        <w:rPr>
          <w:rFonts w:eastAsia="黑体" w:hint="eastAsia"/>
          <w:bCs/>
        </w:rPr>
        <w:t>限</w:t>
      </w:r>
      <w:r>
        <w:rPr>
          <w:rFonts w:eastAsia="黑体"/>
          <w:bCs/>
          <w:lang w:val="zh-CN"/>
        </w:rPr>
        <w:t>值</w:t>
      </w:r>
      <w:r>
        <w:rPr>
          <w:rFonts w:eastAsia="黑体"/>
          <w:bCs/>
          <w:lang w:val="zh-CN"/>
        </w:rPr>
        <w:t xml:space="preserve">  </w:t>
      </w:r>
      <w:r>
        <w:rPr>
          <w:rFonts w:eastAsia="黑体"/>
          <w:bCs/>
          <w:lang w:val="zh-CN"/>
        </w:rPr>
        <w:t>单位：</w:t>
      </w:r>
      <w:r>
        <w:rPr>
          <w:rFonts w:eastAsia="黑体"/>
          <w:bCs/>
          <w:lang w:val="zh-CN"/>
        </w:rPr>
        <w:t>mg/</w:t>
      </w:r>
      <w:r>
        <w:rPr>
          <w:rFonts w:eastAsia="黑体" w:hint="eastAsia"/>
          <w:bCs/>
          <w:lang w:val="zh-CN"/>
        </w:rPr>
        <w:t>m</w:t>
      </w:r>
      <w:r>
        <w:rPr>
          <w:rFonts w:eastAsia="黑体" w:hint="eastAsia"/>
          <w:bCs/>
          <w:lang w:val="zh-CN"/>
        </w:rPr>
        <w:t>³</w:t>
      </w:r>
    </w:p>
    <w:tbl>
      <w:tblPr>
        <w:tblW w:w="4996" w:type="pct"/>
        <w:jc w:val="center"/>
        <w:tblBorders>
          <w:top w:val="single" w:sz="8" w:space="0" w:color="auto"/>
          <w:bottom w:val="single" w:sz="8" w:space="0" w:color="auto"/>
          <w:insideH w:val="single" w:sz="8" w:space="0" w:color="auto"/>
          <w:insideV w:val="single" w:sz="8" w:space="0" w:color="auto"/>
        </w:tblBorders>
        <w:tblLook w:val="04A0" w:firstRow="1" w:lastRow="0" w:firstColumn="1" w:lastColumn="0" w:noHBand="0" w:noVBand="1"/>
      </w:tblPr>
      <w:tblGrid>
        <w:gridCol w:w="1319"/>
        <w:gridCol w:w="1307"/>
        <w:gridCol w:w="2423"/>
        <w:gridCol w:w="3466"/>
      </w:tblGrid>
      <w:tr w:rsidR="00EE4502">
        <w:trPr>
          <w:trHeight w:val="340"/>
          <w:jc w:val="center"/>
        </w:trPr>
        <w:tc>
          <w:tcPr>
            <w:tcW w:w="774" w:type="pct"/>
            <w:vAlign w:val="center"/>
          </w:tcPr>
          <w:p w:rsidR="00EE4502" w:rsidRDefault="00FD45A3">
            <w:pPr>
              <w:jc w:val="center"/>
              <w:textAlignment w:val="baseline"/>
              <w:rPr>
                <w:sz w:val="18"/>
                <w:szCs w:val="18"/>
              </w:rPr>
            </w:pPr>
            <w:r>
              <w:rPr>
                <w:rFonts w:hAnsi="宋体"/>
                <w:sz w:val="18"/>
                <w:szCs w:val="18"/>
              </w:rPr>
              <w:t>污染源</w:t>
            </w:r>
          </w:p>
        </w:tc>
        <w:tc>
          <w:tcPr>
            <w:tcW w:w="767" w:type="pct"/>
            <w:vAlign w:val="center"/>
          </w:tcPr>
          <w:p w:rsidR="00EE4502" w:rsidRDefault="00FD45A3">
            <w:pPr>
              <w:jc w:val="center"/>
              <w:textAlignment w:val="baseline"/>
              <w:rPr>
                <w:sz w:val="18"/>
                <w:szCs w:val="18"/>
              </w:rPr>
            </w:pPr>
            <w:r>
              <w:rPr>
                <w:rFonts w:hAnsi="宋体"/>
                <w:sz w:val="18"/>
                <w:szCs w:val="18"/>
              </w:rPr>
              <w:t>污染物</w:t>
            </w:r>
          </w:p>
        </w:tc>
        <w:tc>
          <w:tcPr>
            <w:tcW w:w="1423" w:type="pct"/>
            <w:vAlign w:val="center"/>
          </w:tcPr>
          <w:p w:rsidR="00EE4502" w:rsidRDefault="00FD45A3">
            <w:pPr>
              <w:jc w:val="center"/>
              <w:textAlignment w:val="baseline"/>
              <w:rPr>
                <w:sz w:val="18"/>
                <w:szCs w:val="18"/>
              </w:rPr>
            </w:pPr>
            <w:r>
              <w:rPr>
                <w:rFonts w:hAnsi="宋体"/>
                <w:sz w:val="18"/>
                <w:szCs w:val="18"/>
              </w:rPr>
              <w:t>排放浓度</w:t>
            </w:r>
            <w:r>
              <w:rPr>
                <w:rFonts w:hAnsi="宋体" w:hint="eastAsia"/>
                <w:sz w:val="18"/>
                <w:szCs w:val="18"/>
              </w:rPr>
              <w:t>限值</w:t>
            </w:r>
            <w:r>
              <w:rPr>
                <w:rFonts w:hAnsi="宋体"/>
                <w:sz w:val="18"/>
                <w:szCs w:val="18"/>
              </w:rPr>
              <w:t>（</w:t>
            </w:r>
            <w:r>
              <w:rPr>
                <w:sz w:val="18"/>
                <w:szCs w:val="18"/>
              </w:rPr>
              <w:t>mg/</w:t>
            </w:r>
            <w:r>
              <w:rPr>
                <w:rFonts w:hint="eastAsia"/>
                <w:sz w:val="18"/>
                <w:szCs w:val="18"/>
              </w:rPr>
              <w:t>m</w:t>
            </w:r>
            <w:r>
              <w:rPr>
                <w:rFonts w:hint="eastAsia"/>
                <w:sz w:val="18"/>
                <w:szCs w:val="18"/>
              </w:rPr>
              <w:t>³</w:t>
            </w:r>
            <w:r>
              <w:rPr>
                <w:rFonts w:hAnsi="宋体"/>
                <w:sz w:val="18"/>
                <w:szCs w:val="18"/>
              </w:rPr>
              <w:t>）</w:t>
            </w:r>
          </w:p>
        </w:tc>
        <w:tc>
          <w:tcPr>
            <w:tcW w:w="2035" w:type="pct"/>
            <w:vAlign w:val="center"/>
          </w:tcPr>
          <w:p w:rsidR="00EE4502" w:rsidRDefault="00FD45A3">
            <w:pPr>
              <w:jc w:val="center"/>
              <w:textAlignment w:val="baseline"/>
              <w:rPr>
                <w:sz w:val="18"/>
                <w:szCs w:val="18"/>
              </w:rPr>
            </w:pPr>
            <w:r>
              <w:rPr>
                <w:rFonts w:hAnsi="宋体"/>
                <w:sz w:val="18"/>
                <w:szCs w:val="18"/>
              </w:rPr>
              <w:t>标准来源</w:t>
            </w:r>
          </w:p>
        </w:tc>
      </w:tr>
      <w:tr w:rsidR="00EE4502">
        <w:trPr>
          <w:trHeight w:val="340"/>
          <w:jc w:val="center"/>
        </w:trPr>
        <w:tc>
          <w:tcPr>
            <w:tcW w:w="774" w:type="pct"/>
            <w:vAlign w:val="center"/>
          </w:tcPr>
          <w:p w:rsidR="00EE4502" w:rsidRDefault="00FD45A3">
            <w:pPr>
              <w:jc w:val="center"/>
              <w:textAlignment w:val="baseline"/>
              <w:rPr>
                <w:sz w:val="18"/>
                <w:szCs w:val="18"/>
              </w:rPr>
            </w:pPr>
            <w:bookmarkStart w:id="55" w:name="OLE_LINK3" w:colFirst="2" w:colLast="3"/>
            <w:bookmarkStart w:id="56" w:name="_Hlk103363550"/>
            <w:r>
              <w:rPr>
                <w:rFonts w:hAnsi="宋体"/>
                <w:sz w:val="18"/>
                <w:szCs w:val="18"/>
              </w:rPr>
              <w:t>无组织排放</w:t>
            </w:r>
          </w:p>
        </w:tc>
        <w:tc>
          <w:tcPr>
            <w:tcW w:w="767" w:type="pct"/>
            <w:vAlign w:val="center"/>
          </w:tcPr>
          <w:p w:rsidR="00EE4502" w:rsidRDefault="00FD45A3">
            <w:pPr>
              <w:jc w:val="center"/>
              <w:textAlignment w:val="baseline"/>
              <w:rPr>
                <w:sz w:val="18"/>
                <w:szCs w:val="18"/>
              </w:rPr>
            </w:pPr>
            <w:r>
              <w:rPr>
                <w:sz w:val="18"/>
                <w:szCs w:val="18"/>
              </w:rPr>
              <w:t>NMHC</w:t>
            </w:r>
          </w:p>
        </w:tc>
        <w:tc>
          <w:tcPr>
            <w:tcW w:w="1423" w:type="pct"/>
            <w:vAlign w:val="center"/>
          </w:tcPr>
          <w:p w:rsidR="00EE4502" w:rsidRDefault="00FD45A3">
            <w:pPr>
              <w:jc w:val="center"/>
              <w:textAlignment w:val="baseline"/>
              <w:rPr>
                <w:sz w:val="18"/>
                <w:szCs w:val="18"/>
              </w:rPr>
            </w:pPr>
            <w:r>
              <w:rPr>
                <w:sz w:val="18"/>
                <w:szCs w:val="18"/>
              </w:rPr>
              <w:t>4.0</w:t>
            </w:r>
          </w:p>
        </w:tc>
        <w:tc>
          <w:tcPr>
            <w:tcW w:w="2035" w:type="pct"/>
            <w:vAlign w:val="center"/>
          </w:tcPr>
          <w:p w:rsidR="00EE4502" w:rsidRDefault="00FD45A3">
            <w:pPr>
              <w:jc w:val="center"/>
              <w:textAlignment w:val="baseline"/>
              <w:rPr>
                <w:sz w:val="18"/>
                <w:szCs w:val="18"/>
              </w:rPr>
            </w:pPr>
            <w:r>
              <w:rPr>
                <w:rFonts w:hAnsi="宋体"/>
                <w:sz w:val="18"/>
                <w:szCs w:val="18"/>
              </w:rPr>
              <w:t>《陆上石油天然气开采工业大气污染物排放标准》（</w:t>
            </w:r>
            <w:r>
              <w:rPr>
                <w:sz w:val="18"/>
                <w:szCs w:val="18"/>
              </w:rPr>
              <w:t>GB39728-2020</w:t>
            </w:r>
            <w:r>
              <w:rPr>
                <w:rFonts w:hAnsi="宋体"/>
                <w:sz w:val="18"/>
                <w:szCs w:val="18"/>
              </w:rPr>
              <w:t>）</w:t>
            </w:r>
          </w:p>
        </w:tc>
      </w:tr>
      <w:bookmarkEnd w:id="55"/>
      <w:bookmarkEnd w:id="56"/>
    </w:tbl>
    <w:p w:rsidR="00EE4502" w:rsidRDefault="00EE4502">
      <w:pPr>
        <w:jc w:val="center"/>
        <w:rPr>
          <w:sz w:val="18"/>
          <w:szCs w:val="18"/>
        </w:rPr>
      </w:pPr>
    </w:p>
    <w:p w:rsidR="00EE4502" w:rsidRDefault="00FD45A3">
      <w:pPr>
        <w:spacing w:line="360" w:lineRule="auto"/>
        <w:ind w:firstLineChars="200" w:firstLine="480"/>
        <w:rPr>
          <w:sz w:val="24"/>
        </w:rPr>
      </w:pPr>
      <w:r>
        <w:rPr>
          <w:sz w:val="24"/>
        </w:rPr>
        <w:t>（</w:t>
      </w:r>
      <w:r>
        <w:rPr>
          <w:sz w:val="24"/>
        </w:rPr>
        <w:t>2</w:t>
      </w:r>
      <w:r>
        <w:rPr>
          <w:sz w:val="24"/>
        </w:rPr>
        <w:t>）废水</w:t>
      </w:r>
    </w:p>
    <w:p w:rsidR="00EE4502" w:rsidRDefault="00FD45A3">
      <w:pPr>
        <w:spacing w:line="360" w:lineRule="auto"/>
        <w:ind w:firstLineChars="200" w:firstLine="480"/>
        <w:rPr>
          <w:sz w:val="24"/>
        </w:rPr>
      </w:pPr>
      <w:r>
        <w:rPr>
          <w:rFonts w:hint="eastAsia"/>
          <w:sz w:val="24"/>
        </w:rPr>
        <w:t>本工程</w:t>
      </w:r>
      <w:r>
        <w:rPr>
          <w:sz w:val="24"/>
        </w:rPr>
        <w:t>工作人员由油田内部调剂，不新增工作人员，不新增生活污水；运营期废水主要为采出水</w:t>
      </w:r>
      <w:r>
        <w:rPr>
          <w:rFonts w:hint="eastAsia"/>
          <w:sz w:val="24"/>
        </w:rPr>
        <w:t>、</w:t>
      </w:r>
      <w:r>
        <w:rPr>
          <w:rFonts w:hint="eastAsia"/>
          <w:sz w:val="24"/>
        </w:rPr>
        <w:t>井下作业废水</w:t>
      </w:r>
      <w:r>
        <w:rPr>
          <w:sz w:val="24"/>
        </w:rPr>
        <w:t>。运营期产生的采出水依托春风联合站</w:t>
      </w:r>
      <w:r>
        <w:rPr>
          <w:rFonts w:hint="eastAsia"/>
          <w:sz w:val="24"/>
        </w:rPr>
        <w:t>处理</w:t>
      </w:r>
      <w:r>
        <w:rPr>
          <w:sz w:val="24"/>
        </w:rPr>
        <w:t>达标后的回注水执行</w:t>
      </w:r>
      <w:r>
        <w:rPr>
          <w:rFonts w:hint="eastAsia"/>
          <w:sz w:val="24"/>
        </w:rPr>
        <w:t>《碎屑岩油藏注水水质指标技术要求及分析方法》（</w:t>
      </w:r>
      <w:r>
        <w:rPr>
          <w:rFonts w:hint="eastAsia"/>
          <w:sz w:val="24"/>
        </w:rPr>
        <w:t>SY/T 5329-2022</w:t>
      </w:r>
      <w:r>
        <w:rPr>
          <w:rFonts w:hint="eastAsia"/>
          <w:sz w:val="24"/>
        </w:rPr>
        <w:t>）</w:t>
      </w:r>
      <w:r>
        <w:rPr>
          <w:sz w:val="24"/>
        </w:rPr>
        <w:t>中的</w:t>
      </w:r>
      <w:r>
        <w:rPr>
          <w:rFonts w:hint="eastAsia"/>
          <w:sz w:val="24"/>
        </w:rPr>
        <w:t>V</w:t>
      </w:r>
      <w:r>
        <w:rPr>
          <w:rFonts w:hint="eastAsia"/>
          <w:sz w:val="24"/>
        </w:rPr>
        <w:t>级</w:t>
      </w:r>
      <w:r>
        <w:rPr>
          <w:sz w:val="24"/>
        </w:rPr>
        <w:t>标准后，由联合站统一调配回注含油层，不向外环境排放。标准值见表</w:t>
      </w:r>
      <w:r>
        <w:rPr>
          <w:sz w:val="24"/>
        </w:rPr>
        <w:t>2-</w:t>
      </w:r>
      <w:r>
        <w:rPr>
          <w:rFonts w:hint="eastAsia"/>
          <w:sz w:val="24"/>
        </w:rPr>
        <w:t>4</w:t>
      </w:r>
      <w:r>
        <w:rPr>
          <w:sz w:val="24"/>
        </w:rPr>
        <w:t>-</w:t>
      </w:r>
      <w:r>
        <w:rPr>
          <w:rFonts w:hint="eastAsia"/>
          <w:sz w:val="24"/>
        </w:rPr>
        <w:t>7</w:t>
      </w:r>
      <w:r>
        <w:rPr>
          <w:sz w:val="24"/>
        </w:rPr>
        <w:t>。</w:t>
      </w:r>
    </w:p>
    <w:p w:rsidR="00EE4502" w:rsidRDefault="00FD45A3">
      <w:pPr>
        <w:spacing w:line="360" w:lineRule="auto"/>
        <w:jc w:val="center"/>
        <w:rPr>
          <w:rFonts w:eastAsia="黑体"/>
          <w:bCs/>
          <w:lang w:val="zh-CN"/>
        </w:rPr>
      </w:pPr>
      <w:r>
        <w:rPr>
          <w:rFonts w:eastAsia="黑体"/>
          <w:bCs/>
          <w:lang w:val="zh-CN"/>
        </w:rPr>
        <w:t>表</w:t>
      </w:r>
      <w:r>
        <w:rPr>
          <w:rFonts w:eastAsia="黑体"/>
          <w:bCs/>
          <w:lang w:val="zh-CN"/>
        </w:rPr>
        <w:t>2</w:t>
      </w:r>
      <w:r>
        <w:rPr>
          <w:rFonts w:eastAsia="黑体"/>
          <w:bCs/>
        </w:rPr>
        <w:t>-</w:t>
      </w:r>
      <w:r>
        <w:rPr>
          <w:rFonts w:eastAsia="黑体" w:hint="eastAsia"/>
          <w:bCs/>
        </w:rPr>
        <w:t>4</w:t>
      </w:r>
      <w:r>
        <w:rPr>
          <w:rFonts w:eastAsia="黑体"/>
          <w:bCs/>
          <w:lang w:val="zh-CN"/>
        </w:rPr>
        <w:t>-</w:t>
      </w:r>
      <w:r>
        <w:rPr>
          <w:rFonts w:eastAsia="黑体" w:hint="eastAsia"/>
          <w:bCs/>
        </w:rPr>
        <w:t>7</w:t>
      </w:r>
      <w:r>
        <w:rPr>
          <w:rFonts w:eastAsia="黑体"/>
          <w:bCs/>
          <w:lang w:val="zh-CN"/>
        </w:rPr>
        <w:t xml:space="preserve">  </w:t>
      </w:r>
      <w:r>
        <w:rPr>
          <w:rFonts w:eastAsia="黑体" w:hint="eastAsia"/>
          <w:bCs/>
          <w:lang w:val="zh-CN"/>
        </w:rPr>
        <w:t>《碎屑岩油藏注水水质指标技术要求及分析方法》（</w:t>
      </w:r>
      <w:r>
        <w:rPr>
          <w:rFonts w:eastAsia="黑体" w:hint="eastAsia"/>
          <w:bCs/>
          <w:lang w:val="zh-CN"/>
        </w:rPr>
        <w:t>SY/T 5329-2022</w:t>
      </w:r>
      <w:r>
        <w:rPr>
          <w:rFonts w:eastAsia="黑体" w:hint="eastAsia"/>
          <w:bCs/>
          <w:lang w:val="zh-CN"/>
        </w:rPr>
        <w:t>）</w:t>
      </w:r>
    </w:p>
    <w:tbl>
      <w:tblPr>
        <w:tblW w:w="4996" w:type="pct"/>
        <w:jc w:val="center"/>
        <w:tblBorders>
          <w:top w:val="single" w:sz="8" w:space="0" w:color="auto"/>
          <w:bottom w:val="single" w:sz="8" w:space="0" w:color="auto"/>
          <w:insideH w:val="single" w:sz="8" w:space="0" w:color="auto"/>
          <w:insideV w:val="single" w:sz="8" w:space="0" w:color="auto"/>
        </w:tblBorders>
        <w:tblLook w:val="04A0" w:firstRow="1" w:lastRow="0" w:firstColumn="1" w:lastColumn="0" w:noHBand="0" w:noVBand="1"/>
      </w:tblPr>
      <w:tblGrid>
        <w:gridCol w:w="680"/>
        <w:gridCol w:w="3007"/>
        <w:gridCol w:w="766"/>
        <w:gridCol w:w="1182"/>
        <w:gridCol w:w="1095"/>
        <w:gridCol w:w="1003"/>
        <w:gridCol w:w="782"/>
      </w:tblGrid>
      <w:tr w:rsidR="00EE4502">
        <w:trPr>
          <w:trHeight w:val="340"/>
          <w:jc w:val="center"/>
        </w:trPr>
        <w:tc>
          <w:tcPr>
            <w:tcW w:w="2164" w:type="pct"/>
            <w:gridSpan w:val="2"/>
            <w:vAlign w:val="center"/>
          </w:tcPr>
          <w:p w:rsidR="00EE4502" w:rsidRDefault="00FD45A3">
            <w:pPr>
              <w:jc w:val="center"/>
              <w:textAlignment w:val="baseline"/>
              <w:rPr>
                <w:sz w:val="18"/>
                <w:szCs w:val="18"/>
              </w:rPr>
            </w:pPr>
            <w:r>
              <w:rPr>
                <w:rFonts w:hAnsi="宋体" w:hint="eastAsia"/>
                <w:sz w:val="18"/>
                <w:szCs w:val="18"/>
              </w:rPr>
              <w:t>储层</w:t>
            </w:r>
            <w:r>
              <w:rPr>
                <w:rFonts w:hAnsi="宋体"/>
                <w:sz w:val="18"/>
                <w:szCs w:val="18"/>
              </w:rPr>
              <w:t>空气渗透率（</w:t>
            </w:r>
            <w:r>
              <w:rPr>
                <w:sz w:val="18"/>
                <w:szCs w:val="18"/>
              </w:rPr>
              <w:t>μm²</w:t>
            </w:r>
            <w:r>
              <w:rPr>
                <w:rFonts w:hAnsi="宋体"/>
                <w:sz w:val="18"/>
                <w:szCs w:val="18"/>
              </w:rPr>
              <w:t>）</w:t>
            </w:r>
          </w:p>
        </w:tc>
        <w:tc>
          <w:tcPr>
            <w:tcW w:w="450" w:type="pct"/>
            <w:vAlign w:val="center"/>
          </w:tcPr>
          <w:p w:rsidR="00EE4502" w:rsidRDefault="00FD45A3">
            <w:pPr>
              <w:jc w:val="center"/>
              <w:textAlignment w:val="baseline"/>
              <w:rPr>
                <w:sz w:val="18"/>
                <w:szCs w:val="18"/>
              </w:rPr>
            </w:pPr>
            <w:r>
              <w:rPr>
                <w:rFonts w:hint="eastAsia"/>
                <w:sz w:val="18"/>
                <w:szCs w:val="18"/>
              </w:rPr>
              <w:t>&lt;</w:t>
            </w:r>
            <w:r>
              <w:rPr>
                <w:sz w:val="18"/>
                <w:szCs w:val="18"/>
              </w:rPr>
              <w:t>0.01</w:t>
            </w:r>
          </w:p>
        </w:tc>
        <w:tc>
          <w:tcPr>
            <w:tcW w:w="694" w:type="pct"/>
            <w:vAlign w:val="center"/>
          </w:tcPr>
          <w:p w:rsidR="00EE4502" w:rsidRDefault="00FD45A3">
            <w:pPr>
              <w:jc w:val="center"/>
              <w:textAlignment w:val="baseline"/>
              <w:rPr>
                <w:sz w:val="18"/>
                <w:szCs w:val="18"/>
              </w:rPr>
            </w:pPr>
            <w:r>
              <w:rPr>
                <w:rFonts w:hint="eastAsia"/>
                <w:sz w:val="18"/>
                <w:szCs w:val="18"/>
              </w:rPr>
              <w:t>[</w:t>
            </w:r>
            <w:r>
              <w:rPr>
                <w:sz w:val="18"/>
                <w:szCs w:val="18"/>
              </w:rPr>
              <w:t>0.01</w:t>
            </w:r>
            <w:r>
              <w:rPr>
                <w:rFonts w:hint="eastAsia"/>
                <w:sz w:val="18"/>
                <w:szCs w:val="18"/>
              </w:rPr>
              <w:t>,</w:t>
            </w:r>
            <w:r>
              <w:rPr>
                <w:sz w:val="18"/>
                <w:szCs w:val="18"/>
              </w:rPr>
              <w:t>0.05</w:t>
            </w:r>
            <w:r>
              <w:rPr>
                <w:rFonts w:hint="eastAsia"/>
                <w:sz w:val="18"/>
                <w:szCs w:val="18"/>
              </w:rPr>
              <w:t>]</w:t>
            </w:r>
          </w:p>
        </w:tc>
        <w:tc>
          <w:tcPr>
            <w:tcW w:w="643" w:type="pct"/>
            <w:vAlign w:val="center"/>
          </w:tcPr>
          <w:p w:rsidR="00EE4502" w:rsidRDefault="00FD45A3">
            <w:pPr>
              <w:jc w:val="center"/>
              <w:textAlignment w:val="baseline"/>
              <w:rPr>
                <w:sz w:val="18"/>
                <w:szCs w:val="18"/>
              </w:rPr>
            </w:pPr>
            <w:r>
              <w:rPr>
                <w:rFonts w:hAnsi="宋体" w:hint="eastAsia"/>
                <w:sz w:val="18"/>
                <w:szCs w:val="18"/>
              </w:rPr>
              <w:t>[</w:t>
            </w:r>
            <w:r>
              <w:rPr>
                <w:sz w:val="18"/>
                <w:szCs w:val="18"/>
              </w:rPr>
              <w:t>0.05</w:t>
            </w:r>
            <w:r>
              <w:rPr>
                <w:rFonts w:hint="eastAsia"/>
                <w:sz w:val="18"/>
                <w:szCs w:val="18"/>
              </w:rPr>
              <w:t>,</w:t>
            </w:r>
            <w:r>
              <w:rPr>
                <w:sz w:val="18"/>
                <w:szCs w:val="18"/>
              </w:rPr>
              <w:t>0.5</w:t>
            </w:r>
            <w:r>
              <w:rPr>
                <w:rFonts w:hint="eastAsia"/>
                <w:sz w:val="18"/>
                <w:szCs w:val="18"/>
              </w:rPr>
              <w:t>]</w:t>
            </w:r>
          </w:p>
        </w:tc>
        <w:tc>
          <w:tcPr>
            <w:tcW w:w="589" w:type="pct"/>
            <w:vAlign w:val="center"/>
          </w:tcPr>
          <w:p w:rsidR="00EE4502" w:rsidRDefault="00FD45A3">
            <w:pPr>
              <w:jc w:val="center"/>
              <w:textAlignment w:val="baseline"/>
              <w:rPr>
                <w:sz w:val="18"/>
                <w:szCs w:val="18"/>
              </w:rPr>
            </w:pPr>
            <w:r>
              <w:rPr>
                <w:rFonts w:hAnsi="宋体" w:hint="eastAsia"/>
                <w:sz w:val="18"/>
                <w:szCs w:val="18"/>
              </w:rPr>
              <w:t>[</w:t>
            </w:r>
            <w:r>
              <w:rPr>
                <w:sz w:val="18"/>
                <w:szCs w:val="18"/>
              </w:rPr>
              <w:t>0.5</w:t>
            </w:r>
            <w:r>
              <w:rPr>
                <w:rFonts w:hint="eastAsia"/>
                <w:sz w:val="18"/>
                <w:szCs w:val="18"/>
              </w:rPr>
              <w:t>,</w:t>
            </w:r>
            <w:r>
              <w:rPr>
                <w:rFonts w:hint="eastAsia"/>
                <w:sz w:val="18"/>
                <w:szCs w:val="18"/>
              </w:rPr>
              <w:t>2.0]</w:t>
            </w:r>
          </w:p>
        </w:tc>
        <w:tc>
          <w:tcPr>
            <w:tcW w:w="456" w:type="pct"/>
            <w:vAlign w:val="center"/>
          </w:tcPr>
          <w:p w:rsidR="00EE4502" w:rsidRDefault="00FD45A3">
            <w:pPr>
              <w:jc w:val="center"/>
              <w:textAlignment w:val="baseline"/>
              <w:rPr>
                <w:sz w:val="18"/>
                <w:szCs w:val="18"/>
              </w:rPr>
            </w:pPr>
            <w:r>
              <w:rPr>
                <w:rFonts w:hint="eastAsia"/>
                <w:sz w:val="18"/>
                <w:szCs w:val="18"/>
              </w:rPr>
              <w:t>≥</w:t>
            </w:r>
            <w:r>
              <w:rPr>
                <w:rFonts w:hint="eastAsia"/>
                <w:sz w:val="18"/>
                <w:szCs w:val="18"/>
              </w:rPr>
              <w:t>2.0</w:t>
            </w:r>
          </w:p>
        </w:tc>
      </w:tr>
      <w:tr w:rsidR="00EE4502">
        <w:trPr>
          <w:trHeight w:val="340"/>
          <w:jc w:val="center"/>
        </w:trPr>
        <w:tc>
          <w:tcPr>
            <w:tcW w:w="399" w:type="pct"/>
            <w:vMerge w:val="restart"/>
            <w:vAlign w:val="center"/>
          </w:tcPr>
          <w:p w:rsidR="00EE4502" w:rsidRDefault="00FD45A3">
            <w:pPr>
              <w:jc w:val="center"/>
              <w:textAlignment w:val="baseline"/>
              <w:rPr>
                <w:sz w:val="18"/>
                <w:szCs w:val="18"/>
              </w:rPr>
            </w:pPr>
            <w:r>
              <w:rPr>
                <w:rFonts w:hAnsi="宋体"/>
                <w:sz w:val="18"/>
                <w:szCs w:val="18"/>
              </w:rPr>
              <w:t>控制</w:t>
            </w:r>
          </w:p>
          <w:p w:rsidR="00EE4502" w:rsidRDefault="00FD45A3">
            <w:pPr>
              <w:jc w:val="center"/>
              <w:textAlignment w:val="baseline"/>
              <w:rPr>
                <w:sz w:val="18"/>
                <w:szCs w:val="18"/>
              </w:rPr>
            </w:pPr>
            <w:r>
              <w:rPr>
                <w:rFonts w:hAnsi="宋体"/>
                <w:sz w:val="18"/>
                <w:szCs w:val="18"/>
              </w:rPr>
              <w:t>指标</w:t>
            </w:r>
          </w:p>
        </w:tc>
        <w:tc>
          <w:tcPr>
            <w:tcW w:w="1765" w:type="pct"/>
            <w:vAlign w:val="center"/>
          </w:tcPr>
          <w:p w:rsidR="00EE4502" w:rsidRDefault="00FD45A3">
            <w:pPr>
              <w:jc w:val="center"/>
              <w:textAlignment w:val="baseline"/>
              <w:rPr>
                <w:sz w:val="18"/>
                <w:szCs w:val="18"/>
              </w:rPr>
            </w:pPr>
            <w:r>
              <w:rPr>
                <w:rFonts w:hint="eastAsia"/>
                <w:sz w:val="18"/>
                <w:szCs w:val="18"/>
              </w:rPr>
              <w:t>水质标准分级</w:t>
            </w:r>
          </w:p>
        </w:tc>
        <w:tc>
          <w:tcPr>
            <w:tcW w:w="835" w:type="dxa"/>
            <w:vAlign w:val="center"/>
          </w:tcPr>
          <w:p w:rsidR="00EE4502" w:rsidRDefault="00FD45A3">
            <w:pPr>
              <w:jc w:val="center"/>
              <w:rPr>
                <w:sz w:val="18"/>
                <w:szCs w:val="18"/>
              </w:rPr>
            </w:pPr>
            <w:r>
              <w:rPr>
                <w:snapToGrid w:val="0"/>
                <w:sz w:val="18"/>
                <w:szCs w:val="18"/>
              </w:rPr>
              <w:t>I</w:t>
            </w:r>
          </w:p>
        </w:tc>
        <w:tc>
          <w:tcPr>
            <w:tcW w:w="1288" w:type="dxa"/>
            <w:vAlign w:val="center"/>
          </w:tcPr>
          <w:p w:rsidR="00EE4502" w:rsidRDefault="00FD45A3">
            <w:pPr>
              <w:jc w:val="center"/>
              <w:rPr>
                <w:sz w:val="18"/>
                <w:szCs w:val="18"/>
              </w:rPr>
            </w:pPr>
            <w:r>
              <w:rPr>
                <w:snapToGrid w:val="0"/>
                <w:sz w:val="18"/>
                <w:szCs w:val="18"/>
              </w:rPr>
              <w:t>II</w:t>
            </w:r>
          </w:p>
        </w:tc>
        <w:tc>
          <w:tcPr>
            <w:tcW w:w="1194" w:type="dxa"/>
            <w:vAlign w:val="center"/>
          </w:tcPr>
          <w:p w:rsidR="00EE4502" w:rsidRDefault="00FD45A3">
            <w:pPr>
              <w:jc w:val="center"/>
              <w:rPr>
                <w:sz w:val="18"/>
                <w:szCs w:val="18"/>
              </w:rPr>
            </w:pPr>
            <w:r>
              <w:rPr>
                <w:sz w:val="18"/>
                <w:szCs w:val="18"/>
              </w:rPr>
              <w:t>Ⅲ</w:t>
            </w:r>
          </w:p>
        </w:tc>
        <w:tc>
          <w:tcPr>
            <w:tcW w:w="1094" w:type="dxa"/>
            <w:vAlign w:val="center"/>
          </w:tcPr>
          <w:p w:rsidR="00EE4502" w:rsidRDefault="00FD45A3">
            <w:pPr>
              <w:jc w:val="center"/>
              <w:rPr>
                <w:sz w:val="18"/>
                <w:szCs w:val="18"/>
              </w:rPr>
            </w:pPr>
            <w:r>
              <w:rPr>
                <w:snapToGrid w:val="0"/>
                <w:sz w:val="18"/>
                <w:szCs w:val="18"/>
              </w:rPr>
              <w:t>IV</w:t>
            </w:r>
          </w:p>
        </w:tc>
        <w:tc>
          <w:tcPr>
            <w:tcW w:w="852" w:type="dxa"/>
            <w:vAlign w:val="center"/>
          </w:tcPr>
          <w:p w:rsidR="00EE4502" w:rsidRDefault="00FD45A3">
            <w:pPr>
              <w:jc w:val="center"/>
              <w:rPr>
                <w:sz w:val="18"/>
                <w:szCs w:val="18"/>
              </w:rPr>
            </w:pPr>
            <w:r>
              <w:rPr>
                <w:snapToGrid w:val="0"/>
                <w:sz w:val="18"/>
                <w:szCs w:val="18"/>
              </w:rPr>
              <w:t>V</w:t>
            </w:r>
          </w:p>
        </w:tc>
      </w:tr>
      <w:tr w:rsidR="00EE4502">
        <w:trPr>
          <w:trHeight w:val="340"/>
          <w:jc w:val="center"/>
        </w:trPr>
        <w:tc>
          <w:tcPr>
            <w:tcW w:w="399" w:type="pct"/>
            <w:vMerge/>
            <w:vAlign w:val="center"/>
          </w:tcPr>
          <w:p w:rsidR="00EE4502" w:rsidRDefault="00EE4502">
            <w:pPr>
              <w:jc w:val="center"/>
              <w:textAlignment w:val="baseline"/>
              <w:rPr>
                <w:rFonts w:hAnsi="宋体"/>
                <w:sz w:val="18"/>
                <w:szCs w:val="18"/>
              </w:rPr>
            </w:pPr>
          </w:p>
        </w:tc>
        <w:tc>
          <w:tcPr>
            <w:tcW w:w="1765" w:type="pct"/>
            <w:vAlign w:val="center"/>
          </w:tcPr>
          <w:p w:rsidR="00EE4502" w:rsidRDefault="00FD45A3">
            <w:pPr>
              <w:jc w:val="center"/>
              <w:textAlignment w:val="baseline"/>
              <w:rPr>
                <w:sz w:val="18"/>
                <w:szCs w:val="18"/>
              </w:rPr>
            </w:pPr>
            <w:r>
              <w:rPr>
                <w:rFonts w:hAnsi="宋体"/>
                <w:sz w:val="18"/>
                <w:szCs w:val="18"/>
              </w:rPr>
              <w:t>悬浮固体含量（</w:t>
            </w:r>
            <w:r>
              <w:rPr>
                <w:sz w:val="18"/>
                <w:szCs w:val="18"/>
              </w:rPr>
              <w:t>mg/L</w:t>
            </w:r>
            <w:r>
              <w:rPr>
                <w:rFonts w:hAnsi="宋体"/>
                <w:sz w:val="18"/>
                <w:szCs w:val="18"/>
              </w:rPr>
              <w:t>）</w:t>
            </w:r>
          </w:p>
        </w:tc>
        <w:tc>
          <w:tcPr>
            <w:tcW w:w="450" w:type="pct"/>
            <w:vAlign w:val="center"/>
          </w:tcPr>
          <w:p w:rsidR="00EE4502" w:rsidRDefault="00FD45A3">
            <w:pPr>
              <w:jc w:val="center"/>
              <w:textAlignment w:val="baseline"/>
              <w:rPr>
                <w:sz w:val="18"/>
                <w:szCs w:val="18"/>
              </w:rPr>
            </w:pPr>
            <w:r>
              <w:rPr>
                <w:sz w:val="18"/>
                <w:szCs w:val="18"/>
              </w:rPr>
              <w:t>≤</w:t>
            </w:r>
            <w:r>
              <w:rPr>
                <w:rFonts w:hint="eastAsia"/>
                <w:sz w:val="18"/>
                <w:szCs w:val="18"/>
              </w:rPr>
              <w:t>8</w:t>
            </w:r>
            <w:r>
              <w:rPr>
                <w:sz w:val="18"/>
                <w:szCs w:val="18"/>
              </w:rPr>
              <w:t>.0</w:t>
            </w:r>
          </w:p>
        </w:tc>
        <w:tc>
          <w:tcPr>
            <w:tcW w:w="694" w:type="pct"/>
            <w:vAlign w:val="center"/>
          </w:tcPr>
          <w:p w:rsidR="00EE4502" w:rsidRDefault="00FD45A3">
            <w:pPr>
              <w:jc w:val="center"/>
              <w:textAlignment w:val="baseline"/>
              <w:rPr>
                <w:sz w:val="18"/>
                <w:szCs w:val="18"/>
              </w:rPr>
            </w:pPr>
            <w:r>
              <w:rPr>
                <w:sz w:val="18"/>
                <w:szCs w:val="18"/>
              </w:rPr>
              <w:t>≤</w:t>
            </w:r>
            <w:r>
              <w:rPr>
                <w:rFonts w:hint="eastAsia"/>
                <w:sz w:val="18"/>
                <w:szCs w:val="18"/>
              </w:rPr>
              <w:t>15</w:t>
            </w:r>
            <w:r>
              <w:rPr>
                <w:sz w:val="18"/>
                <w:szCs w:val="18"/>
              </w:rPr>
              <w:t>.0</w:t>
            </w:r>
          </w:p>
        </w:tc>
        <w:tc>
          <w:tcPr>
            <w:tcW w:w="643" w:type="pct"/>
            <w:vAlign w:val="center"/>
          </w:tcPr>
          <w:p w:rsidR="00EE4502" w:rsidRDefault="00FD45A3">
            <w:pPr>
              <w:jc w:val="center"/>
              <w:textAlignment w:val="baseline"/>
              <w:rPr>
                <w:sz w:val="18"/>
                <w:szCs w:val="18"/>
              </w:rPr>
            </w:pPr>
            <w:r>
              <w:rPr>
                <w:sz w:val="18"/>
                <w:szCs w:val="18"/>
              </w:rPr>
              <w:t>≤</w:t>
            </w:r>
            <w:r>
              <w:rPr>
                <w:rFonts w:hint="eastAsia"/>
                <w:sz w:val="18"/>
                <w:szCs w:val="18"/>
              </w:rPr>
              <w:t>20</w:t>
            </w:r>
            <w:r>
              <w:rPr>
                <w:sz w:val="18"/>
                <w:szCs w:val="18"/>
              </w:rPr>
              <w:t>.0</w:t>
            </w:r>
          </w:p>
        </w:tc>
        <w:tc>
          <w:tcPr>
            <w:tcW w:w="589" w:type="pct"/>
            <w:vAlign w:val="center"/>
          </w:tcPr>
          <w:p w:rsidR="00EE4502" w:rsidRDefault="00FD45A3">
            <w:pPr>
              <w:jc w:val="center"/>
              <w:textAlignment w:val="baseline"/>
              <w:rPr>
                <w:sz w:val="18"/>
                <w:szCs w:val="18"/>
              </w:rPr>
            </w:pPr>
            <w:r>
              <w:rPr>
                <w:sz w:val="18"/>
                <w:szCs w:val="18"/>
              </w:rPr>
              <w:t>≤</w:t>
            </w:r>
            <w:r>
              <w:rPr>
                <w:rFonts w:hint="eastAsia"/>
                <w:sz w:val="18"/>
                <w:szCs w:val="18"/>
              </w:rPr>
              <w:t>25</w:t>
            </w:r>
            <w:r>
              <w:rPr>
                <w:sz w:val="18"/>
                <w:szCs w:val="18"/>
              </w:rPr>
              <w:t>.0</w:t>
            </w:r>
          </w:p>
        </w:tc>
        <w:tc>
          <w:tcPr>
            <w:tcW w:w="456" w:type="pct"/>
            <w:vAlign w:val="center"/>
          </w:tcPr>
          <w:p w:rsidR="00EE4502" w:rsidRDefault="00FD45A3">
            <w:pPr>
              <w:jc w:val="center"/>
              <w:textAlignment w:val="baseline"/>
              <w:rPr>
                <w:sz w:val="18"/>
                <w:szCs w:val="18"/>
              </w:rPr>
            </w:pPr>
            <w:r>
              <w:rPr>
                <w:sz w:val="18"/>
                <w:szCs w:val="18"/>
              </w:rPr>
              <w:t>≤3</w:t>
            </w:r>
            <w:r>
              <w:rPr>
                <w:rFonts w:hint="eastAsia"/>
                <w:sz w:val="18"/>
                <w:szCs w:val="18"/>
              </w:rPr>
              <w:t>5</w:t>
            </w:r>
            <w:r>
              <w:rPr>
                <w:sz w:val="18"/>
                <w:szCs w:val="18"/>
              </w:rPr>
              <w:t>.0</w:t>
            </w:r>
          </w:p>
        </w:tc>
      </w:tr>
      <w:tr w:rsidR="00EE4502">
        <w:trPr>
          <w:trHeight w:val="340"/>
          <w:jc w:val="center"/>
        </w:trPr>
        <w:tc>
          <w:tcPr>
            <w:tcW w:w="399" w:type="pct"/>
            <w:vMerge/>
            <w:vAlign w:val="center"/>
          </w:tcPr>
          <w:p w:rsidR="00EE4502" w:rsidRDefault="00EE4502">
            <w:pPr>
              <w:jc w:val="center"/>
              <w:textAlignment w:val="baseline"/>
              <w:rPr>
                <w:sz w:val="18"/>
                <w:szCs w:val="18"/>
              </w:rPr>
            </w:pPr>
          </w:p>
        </w:tc>
        <w:tc>
          <w:tcPr>
            <w:tcW w:w="1765" w:type="pct"/>
            <w:vAlign w:val="center"/>
          </w:tcPr>
          <w:p w:rsidR="00EE4502" w:rsidRDefault="00FD45A3">
            <w:pPr>
              <w:jc w:val="center"/>
              <w:textAlignment w:val="baseline"/>
              <w:rPr>
                <w:sz w:val="18"/>
                <w:szCs w:val="18"/>
              </w:rPr>
            </w:pPr>
            <w:r>
              <w:rPr>
                <w:rFonts w:hAnsi="宋体"/>
                <w:sz w:val="18"/>
                <w:szCs w:val="18"/>
              </w:rPr>
              <w:t>悬浮物颗粒直径中值（</w:t>
            </w:r>
            <w:r>
              <w:rPr>
                <w:sz w:val="18"/>
                <w:szCs w:val="18"/>
              </w:rPr>
              <w:t>μm</w:t>
            </w:r>
            <w:r>
              <w:rPr>
                <w:rFonts w:hAnsi="宋体"/>
                <w:sz w:val="18"/>
                <w:szCs w:val="18"/>
              </w:rPr>
              <w:t>）</w:t>
            </w:r>
          </w:p>
        </w:tc>
        <w:tc>
          <w:tcPr>
            <w:tcW w:w="450" w:type="pct"/>
            <w:vAlign w:val="center"/>
          </w:tcPr>
          <w:p w:rsidR="00EE4502" w:rsidRDefault="00FD45A3">
            <w:pPr>
              <w:jc w:val="center"/>
              <w:textAlignment w:val="baseline"/>
              <w:rPr>
                <w:sz w:val="18"/>
                <w:szCs w:val="18"/>
              </w:rPr>
            </w:pPr>
            <w:r>
              <w:rPr>
                <w:sz w:val="18"/>
                <w:szCs w:val="18"/>
              </w:rPr>
              <w:t>≤</w:t>
            </w:r>
            <w:r>
              <w:rPr>
                <w:rFonts w:hint="eastAsia"/>
                <w:sz w:val="18"/>
                <w:szCs w:val="18"/>
              </w:rPr>
              <w:t>3</w:t>
            </w:r>
            <w:r>
              <w:rPr>
                <w:sz w:val="18"/>
                <w:szCs w:val="18"/>
              </w:rPr>
              <w:t>.0</w:t>
            </w:r>
          </w:p>
        </w:tc>
        <w:tc>
          <w:tcPr>
            <w:tcW w:w="694" w:type="pct"/>
            <w:vAlign w:val="center"/>
          </w:tcPr>
          <w:p w:rsidR="00EE4502" w:rsidRDefault="00FD45A3">
            <w:pPr>
              <w:jc w:val="center"/>
              <w:textAlignment w:val="baseline"/>
              <w:rPr>
                <w:sz w:val="18"/>
                <w:szCs w:val="18"/>
              </w:rPr>
            </w:pPr>
            <w:r>
              <w:rPr>
                <w:sz w:val="18"/>
                <w:szCs w:val="18"/>
              </w:rPr>
              <w:t>≤</w:t>
            </w:r>
            <w:r>
              <w:rPr>
                <w:rFonts w:hint="eastAsia"/>
                <w:sz w:val="18"/>
                <w:szCs w:val="18"/>
              </w:rPr>
              <w:t>5.0</w:t>
            </w:r>
          </w:p>
        </w:tc>
        <w:tc>
          <w:tcPr>
            <w:tcW w:w="643" w:type="pct"/>
            <w:vAlign w:val="center"/>
          </w:tcPr>
          <w:p w:rsidR="00EE4502" w:rsidRDefault="00FD45A3">
            <w:pPr>
              <w:jc w:val="center"/>
              <w:textAlignment w:val="baseline"/>
              <w:rPr>
                <w:sz w:val="18"/>
                <w:szCs w:val="18"/>
              </w:rPr>
            </w:pPr>
            <w:r>
              <w:rPr>
                <w:sz w:val="18"/>
                <w:szCs w:val="18"/>
              </w:rPr>
              <w:t>≤</w:t>
            </w:r>
            <w:r>
              <w:rPr>
                <w:rFonts w:hint="eastAsia"/>
                <w:sz w:val="18"/>
                <w:szCs w:val="18"/>
              </w:rPr>
              <w:t>5</w:t>
            </w:r>
            <w:r>
              <w:rPr>
                <w:sz w:val="18"/>
                <w:szCs w:val="18"/>
              </w:rPr>
              <w:t>.0</w:t>
            </w:r>
          </w:p>
        </w:tc>
        <w:tc>
          <w:tcPr>
            <w:tcW w:w="589" w:type="pct"/>
            <w:vAlign w:val="center"/>
          </w:tcPr>
          <w:p w:rsidR="00EE4502" w:rsidRDefault="00FD45A3">
            <w:pPr>
              <w:jc w:val="center"/>
              <w:textAlignment w:val="baseline"/>
              <w:rPr>
                <w:sz w:val="18"/>
                <w:szCs w:val="18"/>
              </w:rPr>
            </w:pPr>
            <w:r>
              <w:rPr>
                <w:sz w:val="18"/>
                <w:szCs w:val="18"/>
              </w:rPr>
              <w:t>≤</w:t>
            </w:r>
            <w:r>
              <w:rPr>
                <w:rFonts w:hint="eastAsia"/>
                <w:sz w:val="18"/>
                <w:szCs w:val="18"/>
              </w:rPr>
              <w:t>5</w:t>
            </w:r>
            <w:r>
              <w:rPr>
                <w:sz w:val="18"/>
                <w:szCs w:val="18"/>
              </w:rPr>
              <w:t>.0</w:t>
            </w:r>
          </w:p>
        </w:tc>
        <w:tc>
          <w:tcPr>
            <w:tcW w:w="456" w:type="pct"/>
            <w:vAlign w:val="center"/>
          </w:tcPr>
          <w:p w:rsidR="00EE4502" w:rsidRDefault="00FD45A3">
            <w:pPr>
              <w:jc w:val="center"/>
              <w:textAlignment w:val="baseline"/>
              <w:rPr>
                <w:sz w:val="18"/>
                <w:szCs w:val="18"/>
              </w:rPr>
            </w:pPr>
            <w:r>
              <w:rPr>
                <w:sz w:val="18"/>
                <w:szCs w:val="18"/>
              </w:rPr>
              <w:t>≤5.</w:t>
            </w:r>
            <w:r>
              <w:rPr>
                <w:rFonts w:hint="eastAsia"/>
                <w:sz w:val="18"/>
                <w:szCs w:val="18"/>
              </w:rPr>
              <w:t>5</w:t>
            </w:r>
          </w:p>
        </w:tc>
      </w:tr>
      <w:tr w:rsidR="00EE4502">
        <w:trPr>
          <w:trHeight w:val="340"/>
          <w:jc w:val="center"/>
        </w:trPr>
        <w:tc>
          <w:tcPr>
            <w:tcW w:w="399" w:type="pct"/>
            <w:vMerge/>
            <w:vAlign w:val="center"/>
          </w:tcPr>
          <w:p w:rsidR="00EE4502" w:rsidRDefault="00EE4502">
            <w:pPr>
              <w:jc w:val="center"/>
              <w:textAlignment w:val="baseline"/>
              <w:rPr>
                <w:sz w:val="18"/>
                <w:szCs w:val="18"/>
              </w:rPr>
            </w:pPr>
          </w:p>
        </w:tc>
        <w:tc>
          <w:tcPr>
            <w:tcW w:w="1765" w:type="pct"/>
            <w:vAlign w:val="center"/>
          </w:tcPr>
          <w:p w:rsidR="00EE4502" w:rsidRDefault="00FD45A3">
            <w:pPr>
              <w:jc w:val="center"/>
              <w:textAlignment w:val="baseline"/>
              <w:rPr>
                <w:sz w:val="18"/>
                <w:szCs w:val="18"/>
              </w:rPr>
            </w:pPr>
            <w:r>
              <w:rPr>
                <w:rFonts w:hAnsi="宋体"/>
                <w:sz w:val="18"/>
                <w:szCs w:val="18"/>
              </w:rPr>
              <w:t>含油量（</w:t>
            </w:r>
            <w:r>
              <w:rPr>
                <w:sz w:val="18"/>
                <w:szCs w:val="18"/>
              </w:rPr>
              <w:t>mg/L</w:t>
            </w:r>
            <w:r>
              <w:rPr>
                <w:rFonts w:hAnsi="宋体"/>
                <w:sz w:val="18"/>
                <w:szCs w:val="18"/>
              </w:rPr>
              <w:t>）</w:t>
            </w:r>
          </w:p>
        </w:tc>
        <w:tc>
          <w:tcPr>
            <w:tcW w:w="450" w:type="pct"/>
            <w:vAlign w:val="center"/>
          </w:tcPr>
          <w:p w:rsidR="00EE4502" w:rsidRDefault="00FD45A3">
            <w:pPr>
              <w:jc w:val="center"/>
              <w:textAlignment w:val="baseline"/>
              <w:rPr>
                <w:sz w:val="18"/>
                <w:szCs w:val="18"/>
              </w:rPr>
            </w:pPr>
            <w:r>
              <w:rPr>
                <w:sz w:val="18"/>
                <w:szCs w:val="18"/>
              </w:rPr>
              <w:t>≤5.0</w:t>
            </w:r>
          </w:p>
        </w:tc>
        <w:tc>
          <w:tcPr>
            <w:tcW w:w="694" w:type="pct"/>
            <w:vAlign w:val="center"/>
          </w:tcPr>
          <w:p w:rsidR="00EE4502" w:rsidRDefault="00FD45A3">
            <w:pPr>
              <w:jc w:val="center"/>
              <w:textAlignment w:val="baseline"/>
              <w:rPr>
                <w:sz w:val="18"/>
                <w:szCs w:val="18"/>
              </w:rPr>
            </w:pPr>
            <w:r>
              <w:rPr>
                <w:sz w:val="18"/>
                <w:szCs w:val="18"/>
              </w:rPr>
              <w:t>≤</w:t>
            </w:r>
            <w:r>
              <w:rPr>
                <w:rFonts w:hint="eastAsia"/>
                <w:sz w:val="18"/>
                <w:szCs w:val="18"/>
              </w:rPr>
              <w:t>10.0</w:t>
            </w:r>
          </w:p>
        </w:tc>
        <w:tc>
          <w:tcPr>
            <w:tcW w:w="643" w:type="pct"/>
            <w:vAlign w:val="center"/>
          </w:tcPr>
          <w:p w:rsidR="00EE4502" w:rsidRDefault="00FD45A3">
            <w:pPr>
              <w:jc w:val="center"/>
              <w:textAlignment w:val="baseline"/>
              <w:rPr>
                <w:sz w:val="18"/>
                <w:szCs w:val="18"/>
              </w:rPr>
            </w:pPr>
            <w:r>
              <w:rPr>
                <w:sz w:val="18"/>
                <w:szCs w:val="18"/>
              </w:rPr>
              <w:t>≤15.0</w:t>
            </w:r>
          </w:p>
        </w:tc>
        <w:tc>
          <w:tcPr>
            <w:tcW w:w="589" w:type="pct"/>
            <w:vAlign w:val="center"/>
          </w:tcPr>
          <w:p w:rsidR="00EE4502" w:rsidRDefault="00FD45A3">
            <w:pPr>
              <w:jc w:val="center"/>
              <w:textAlignment w:val="baseline"/>
              <w:rPr>
                <w:sz w:val="18"/>
                <w:szCs w:val="18"/>
              </w:rPr>
            </w:pPr>
            <w:r>
              <w:rPr>
                <w:sz w:val="18"/>
                <w:szCs w:val="18"/>
              </w:rPr>
              <w:t>≤30.0</w:t>
            </w:r>
          </w:p>
        </w:tc>
        <w:tc>
          <w:tcPr>
            <w:tcW w:w="456" w:type="pct"/>
            <w:vAlign w:val="center"/>
          </w:tcPr>
          <w:p w:rsidR="00EE4502" w:rsidRDefault="00FD45A3">
            <w:pPr>
              <w:jc w:val="center"/>
              <w:textAlignment w:val="baseline"/>
              <w:rPr>
                <w:sz w:val="18"/>
                <w:szCs w:val="18"/>
              </w:rPr>
            </w:pPr>
            <w:r>
              <w:rPr>
                <w:sz w:val="18"/>
                <w:szCs w:val="18"/>
              </w:rPr>
              <w:t>≤</w:t>
            </w:r>
            <w:r>
              <w:rPr>
                <w:rFonts w:hint="eastAsia"/>
                <w:sz w:val="18"/>
                <w:szCs w:val="18"/>
              </w:rPr>
              <w:t>10</w:t>
            </w:r>
            <w:r>
              <w:rPr>
                <w:sz w:val="18"/>
                <w:szCs w:val="18"/>
              </w:rPr>
              <w:t>0.0</w:t>
            </w:r>
          </w:p>
        </w:tc>
      </w:tr>
      <w:tr w:rsidR="00EE4502">
        <w:trPr>
          <w:trHeight w:val="340"/>
          <w:jc w:val="center"/>
        </w:trPr>
        <w:tc>
          <w:tcPr>
            <w:tcW w:w="399" w:type="pct"/>
            <w:vMerge/>
            <w:vAlign w:val="center"/>
          </w:tcPr>
          <w:p w:rsidR="00EE4502" w:rsidRDefault="00EE4502">
            <w:pPr>
              <w:jc w:val="center"/>
              <w:textAlignment w:val="baseline"/>
              <w:rPr>
                <w:sz w:val="18"/>
                <w:szCs w:val="18"/>
              </w:rPr>
            </w:pPr>
          </w:p>
        </w:tc>
        <w:tc>
          <w:tcPr>
            <w:tcW w:w="1765" w:type="pct"/>
            <w:vAlign w:val="center"/>
          </w:tcPr>
          <w:p w:rsidR="00EE4502" w:rsidRDefault="00FD45A3">
            <w:pPr>
              <w:jc w:val="center"/>
              <w:textAlignment w:val="baseline"/>
              <w:rPr>
                <w:sz w:val="18"/>
                <w:szCs w:val="18"/>
              </w:rPr>
            </w:pPr>
            <w:r>
              <w:rPr>
                <w:rFonts w:hAnsi="宋体"/>
                <w:sz w:val="18"/>
                <w:szCs w:val="18"/>
              </w:rPr>
              <w:t>平均腐蚀率（</w:t>
            </w:r>
            <w:r>
              <w:rPr>
                <w:sz w:val="18"/>
                <w:szCs w:val="18"/>
              </w:rPr>
              <w:t>mm/a</w:t>
            </w:r>
            <w:r>
              <w:rPr>
                <w:rFonts w:hAnsi="宋体"/>
                <w:sz w:val="18"/>
                <w:szCs w:val="18"/>
              </w:rPr>
              <w:t>）</w:t>
            </w:r>
          </w:p>
        </w:tc>
        <w:tc>
          <w:tcPr>
            <w:tcW w:w="2835" w:type="pct"/>
            <w:gridSpan w:val="5"/>
            <w:vAlign w:val="center"/>
          </w:tcPr>
          <w:p w:rsidR="00EE4502" w:rsidRDefault="00FD45A3">
            <w:pPr>
              <w:jc w:val="center"/>
              <w:textAlignment w:val="baseline"/>
              <w:rPr>
                <w:sz w:val="18"/>
                <w:szCs w:val="18"/>
              </w:rPr>
            </w:pPr>
            <w:r>
              <w:rPr>
                <w:sz w:val="18"/>
                <w:szCs w:val="18"/>
              </w:rPr>
              <w:t>≤0.076</w:t>
            </w:r>
          </w:p>
        </w:tc>
      </w:tr>
    </w:tbl>
    <w:p w:rsidR="00EE4502" w:rsidRDefault="00EE4502">
      <w:pPr>
        <w:jc w:val="center"/>
        <w:rPr>
          <w:sz w:val="18"/>
          <w:szCs w:val="18"/>
        </w:rPr>
      </w:pPr>
    </w:p>
    <w:p w:rsidR="00EE4502" w:rsidRDefault="00FD45A3">
      <w:pPr>
        <w:spacing w:line="360" w:lineRule="auto"/>
        <w:ind w:firstLineChars="200" w:firstLine="480"/>
        <w:rPr>
          <w:sz w:val="24"/>
        </w:rPr>
      </w:pPr>
      <w:r>
        <w:rPr>
          <w:sz w:val="24"/>
        </w:rPr>
        <w:t>（</w:t>
      </w:r>
      <w:r>
        <w:rPr>
          <w:sz w:val="24"/>
        </w:rPr>
        <w:t>3</w:t>
      </w:r>
      <w:r>
        <w:rPr>
          <w:sz w:val="24"/>
        </w:rPr>
        <w:t>）噪声</w:t>
      </w:r>
    </w:p>
    <w:p w:rsidR="00EE4502" w:rsidRDefault="00FD45A3">
      <w:pPr>
        <w:pStyle w:val="affc"/>
        <w:spacing w:line="360" w:lineRule="auto"/>
        <w:ind w:firstLine="480"/>
        <w:rPr>
          <w:rFonts w:ascii="Times New Roman" w:hAnsi="Times New Roman"/>
          <w:spacing w:val="0"/>
          <w:sz w:val="24"/>
          <w:szCs w:val="24"/>
        </w:rPr>
      </w:pPr>
      <w:r>
        <w:rPr>
          <w:rFonts w:ascii="Times New Roman" w:hAnsi="Times New Roman"/>
          <w:spacing w:val="0"/>
          <w:sz w:val="24"/>
          <w:szCs w:val="24"/>
        </w:rPr>
        <w:t>施工期执行《建筑施工场界环境噪声排放标准》（</w:t>
      </w:r>
      <w:r>
        <w:rPr>
          <w:rFonts w:ascii="Times New Roman" w:hAnsi="Times New Roman"/>
          <w:spacing w:val="0"/>
          <w:sz w:val="24"/>
          <w:szCs w:val="24"/>
        </w:rPr>
        <w:t>GB12523-2011</w:t>
      </w:r>
      <w:r>
        <w:rPr>
          <w:rFonts w:ascii="Times New Roman" w:hAnsi="Times New Roman"/>
          <w:spacing w:val="0"/>
          <w:sz w:val="24"/>
          <w:szCs w:val="24"/>
        </w:rPr>
        <w:t>）标准，运营期执行</w:t>
      </w:r>
      <w:r>
        <w:rPr>
          <w:rFonts w:ascii="Times New Roman" w:hAnsi="Times New Roman"/>
          <w:spacing w:val="0"/>
          <w:kern w:val="10"/>
          <w:sz w:val="24"/>
          <w:szCs w:val="24"/>
        </w:rPr>
        <w:t>《工业企业厂界环境噪声排放标准》（</w:t>
      </w:r>
      <w:r>
        <w:rPr>
          <w:rFonts w:ascii="Times New Roman" w:hAnsi="Times New Roman"/>
          <w:spacing w:val="0"/>
          <w:kern w:val="10"/>
          <w:sz w:val="24"/>
          <w:szCs w:val="24"/>
        </w:rPr>
        <w:t>GB12348-2008</w:t>
      </w:r>
      <w:r>
        <w:rPr>
          <w:rFonts w:ascii="Times New Roman" w:hAnsi="Times New Roman"/>
          <w:spacing w:val="0"/>
          <w:kern w:val="10"/>
          <w:sz w:val="24"/>
          <w:szCs w:val="24"/>
        </w:rPr>
        <w:t>）</w:t>
      </w:r>
      <w:r>
        <w:rPr>
          <w:rFonts w:ascii="Times New Roman" w:hAnsi="Times New Roman"/>
          <w:spacing w:val="0"/>
          <w:sz w:val="24"/>
          <w:szCs w:val="24"/>
        </w:rPr>
        <w:t>中</w:t>
      </w:r>
      <w:r>
        <w:rPr>
          <w:rFonts w:ascii="Times New Roman" w:hAnsi="Times New Roman"/>
          <w:spacing w:val="0"/>
          <w:sz w:val="24"/>
          <w:szCs w:val="24"/>
        </w:rPr>
        <w:t>2</w:t>
      </w:r>
      <w:r>
        <w:rPr>
          <w:rFonts w:ascii="Times New Roman" w:hAnsi="Times New Roman"/>
          <w:spacing w:val="0"/>
          <w:sz w:val="24"/>
          <w:szCs w:val="24"/>
        </w:rPr>
        <w:t>类标准，见表</w:t>
      </w:r>
      <w:r>
        <w:rPr>
          <w:rFonts w:ascii="Times New Roman" w:hAnsi="Times New Roman"/>
          <w:spacing w:val="0"/>
          <w:sz w:val="24"/>
          <w:szCs w:val="24"/>
        </w:rPr>
        <w:t>2-</w:t>
      </w:r>
      <w:r>
        <w:rPr>
          <w:rFonts w:ascii="Times New Roman" w:hAnsi="Times New Roman" w:hint="eastAsia"/>
          <w:spacing w:val="0"/>
          <w:sz w:val="24"/>
          <w:szCs w:val="24"/>
        </w:rPr>
        <w:t>4</w:t>
      </w:r>
      <w:r>
        <w:rPr>
          <w:rFonts w:ascii="Times New Roman" w:hAnsi="Times New Roman"/>
          <w:spacing w:val="0"/>
          <w:sz w:val="24"/>
          <w:szCs w:val="24"/>
        </w:rPr>
        <w:t>-</w:t>
      </w:r>
      <w:r>
        <w:rPr>
          <w:rFonts w:ascii="Times New Roman" w:hAnsi="Times New Roman" w:hint="eastAsia"/>
          <w:spacing w:val="0"/>
          <w:sz w:val="24"/>
          <w:szCs w:val="24"/>
        </w:rPr>
        <w:t>8</w:t>
      </w:r>
      <w:r>
        <w:rPr>
          <w:rFonts w:ascii="Times New Roman" w:hAnsi="Times New Roman"/>
          <w:spacing w:val="0"/>
          <w:sz w:val="24"/>
          <w:szCs w:val="24"/>
        </w:rPr>
        <w:t>。见表</w:t>
      </w:r>
      <w:r>
        <w:rPr>
          <w:rFonts w:ascii="Times New Roman" w:hAnsi="Times New Roman"/>
          <w:spacing w:val="0"/>
          <w:sz w:val="24"/>
          <w:szCs w:val="24"/>
        </w:rPr>
        <w:t>2-</w:t>
      </w:r>
      <w:r>
        <w:rPr>
          <w:rFonts w:ascii="Times New Roman" w:hAnsi="Times New Roman" w:hint="eastAsia"/>
          <w:spacing w:val="0"/>
          <w:sz w:val="24"/>
          <w:szCs w:val="24"/>
        </w:rPr>
        <w:t>4</w:t>
      </w:r>
      <w:r>
        <w:rPr>
          <w:rFonts w:ascii="Times New Roman" w:hAnsi="Times New Roman"/>
          <w:spacing w:val="0"/>
          <w:sz w:val="24"/>
          <w:szCs w:val="24"/>
        </w:rPr>
        <w:t>-</w:t>
      </w:r>
      <w:r>
        <w:rPr>
          <w:rFonts w:ascii="Times New Roman" w:hAnsi="Times New Roman" w:hint="eastAsia"/>
          <w:spacing w:val="0"/>
          <w:sz w:val="24"/>
          <w:szCs w:val="24"/>
        </w:rPr>
        <w:t>9</w:t>
      </w:r>
      <w:r>
        <w:rPr>
          <w:rFonts w:ascii="Times New Roman" w:hAnsi="Times New Roman"/>
          <w:spacing w:val="0"/>
          <w:sz w:val="24"/>
          <w:szCs w:val="24"/>
        </w:rPr>
        <w:t>。</w:t>
      </w:r>
    </w:p>
    <w:p w:rsidR="00EE4502" w:rsidRDefault="00FD45A3">
      <w:pPr>
        <w:spacing w:line="360" w:lineRule="auto"/>
        <w:jc w:val="center"/>
        <w:rPr>
          <w:rFonts w:eastAsia="黑体"/>
          <w:bCs/>
          <w:lang w:val="zh-CN"/>
        </w:rPr>
      </w:pPr>
      <w:r>
        <w:rPr>
          <w:rFonts w:eastAsia="黑体"/>
          <w:bCs/>
          <w:lang w:val="zh-CN"/>
        </w:rPr>
        <w:t>表</w:t>
      </w:r>
      <w:r>
        <w:rPr>
          <w:rFonts w:eastAsia="黑体"/>
          <w:bCs/>
          <w:lang w:val="zh-CN"/>
        </w:rPr>
        <w:t>2-</w:t>
      </w:r>
      <w:r>
        <w:rPr>
          <w:rFonts w:eastAsia="黑体" w:hint="eastAsia"/>
          <w:bCs/>
        </w:rPr>
        <w:t>4</w:t>
      </w:r>
      <w:r>
        <w:rPr>
          <w:rFonts w:eastAsia="黑体"/>
          <w:bCs/>
          <w:lang w:val="zh-CN"/>
        </w:rPr>
        <w:t>-</w:t>
      </w:r>
      <w:r>
        <w:rPr>
          <w:rFonts w:eastAsia="黑体" w:hint="eastAsia"/>
          <w:bCs/>
        </w:rPr>
        <w:t>8</w:t>
      </w:r>
      <w:r>
        <w:rPr>
          <w:rFonts w:eastAsia="黑体"/>
          <w:bCs/>
          <w:lang w:val="zh-CN"/>
        </w:rPr>
        <w:t xml:space="preserve">  </w:t>
      </w:r>
      <w:r>
        <w:rPr>
          <w:rFonts w:eastAsia="黑体"/>
          <w:bCs/>
          <w:lang w:val="zh-CN"/>
        </w:rPr>
        <w:t>建筑施工场界环境噪声排放限值</w:t>
      </w:r>
      <w:r>
        <w:rPr>
          <w:rFonts w:eastAsia="黑体"/>
          <w:bCs/>
          <w:lang w:val="zh-CN"/>
        </w:rPr>
        <w:t xml:space="preserve">  </w:t>
      </w:r>
      <w:r>
        <w:rPr>
          <w:rFonts w:eastAsia="黑体"/>
          <w:bCs/>
          <w:lang w:val="zh-CN"/>
        </w:rPr>
        <w:t>单位：</w:t>
      </w:r>
      <w:r>
        <w:rPr>
          <w:rFonts w:eastAsia="黑体"/>
          <w:bCs/>
          <w:lang w:val="zh-CN"/>
        </w:rPr>
        <w:t>dB</w:t>
      </w:r>
      <w:r>
        <w:rPr>
          <w:rFonts w:eastAsia="黑体"/>
          <w:bCs/>
          <w:lang w:val="zh-CN"/>
        </w:rPr>
        <w:t>（</w:t>
      </w:r>
      <w:r>
        <w:rPr>
          <w:rFonts w:eastAsia="黑体"/>
          <w:bCs/>
          <w:lang w:val="zh-CN"/>
        </w:rPr>
        <w:t>A</w:t>
      </w:r>
      <w:r>
        <w:rPr>
          <w:rFonts w:eastAsia="黑体"/>
          <w:bCs/>
          <w:lang w:val="zh-CN"/>
        </w:rPr>
        <w:t>）</w:t>
      </w:r>
    </w:p>
    <w:tbl>
      <w:tblPr>
        <w:tblW w:w="4999" w:type="pct"/>
        <w:jc w:val="center"/>
        <w:tblBorders>
          <w:top w:val="single" w:sz="8" w:space="0" w:color="auto"/>
          <w:bottom w:val="single" w:sz="8" w:space="0" w:color="auto"/>
          <w:insideH w:val="single" w:sz="8" w:space="0" w:color="auto"/>
          <w:insideV w:val="single" w:sz="8" w:space="0" w:color="auto"/>
        </w:tblBorders>
        <w:tblLook w:val="04A0" w:firstRow="1" w:lastRow="0" w:firstColumn="1" w:lastColumn="0" w:noHBand="0" w:noVBand="1"/>
      </w:tblPr>
      <w:tblGrid>
        <w:gridCol w:w="4638"/>
        <w:gridCol w:w="3882"/>
      </w:tblGrid>
      <w:tr w:rsidR="00EE4502">
        <w:trPr>
          <w:trHeight w:val="340"/>
          <w:jc w:val="center"/>
        </w:trPr>
        <w:tc>
          <w:tcPr>
            <w:tcW w:w="2721" w:type="pct"/>
            <w:vAlign w:val="center"/>
          </w:tcPr>
          <w:p w:rsidR="00EE4502" w:rsidRDefault="00FD45A3">
            <w:pPr>
              <w:pStyle w:val="132"/>
              <w:adjustRightInd/>
              <w:snapToGrid/>
              <w:ind w:leftChars="0" w:left="0" w:rightChars="0" w:right="0"/>
              <w:rPr>
                <w:rFonts w:ascii="Times New Roman" w:hAnsi="Times New Roman"/>
                <w:sz w:val="18"/>
                <w:szCs w:val="18"/>
              </w:rPr>
            </w:pPr>
            <w:r>
              <w:rPr>
                <w:rFonts w:ascii="Times New Roman"/>
                <w:sz w:val="18"/>
                <w:szCs w:val="18"/>
              </w:rPr>
              <w:t>昼间</w:t>
            </w:r>
          </w:p>
        </w:tc>
        <w:tc>
          <w:tcPr>
            <w:tcW w:w="2278" w:type="pct"/>
            <w:vAlign w:val="center"/>
          </w:tcPr>
          <w:p w:rsidR="00EE4502" w:rsidRDefault="00FD45A3">
            <w:pPr>
              <w:jc w:val="center"/>
              <w:rPr>
                <w:sz w:val="18"/>
                <w:szCs w:val="18"/>
              </w:rPr>
            </w:pPr>
            <w:r>
              <w:rPr>
                <w:rFonts w:hAnsi="宋体"/>
                <w:sz w:val="18"/>
                <w:szCs w:val="18"/>
              </w:rPr>
              <w:t>夜间</w:t>
            </w:r>
          </w:p>
        </w:tc>
      </w:tr>
      <w:tr w:rsidR="00EE4502">
        <w:trPr>
          <w:trHeight w:val="340"/>
          <w:jc w:val="center"/>
        </w:trPr>
        <w:tc>
          <w:tcPr>
            <w:tcW w:w="2721" w:type="pct"/>
            <w:vAlign w:val="center"/>
          </w:tcPr>
          <w:p w:rsidR="00EE4502" w:rsidRDefault="00FD45A3">
            <w:pPr>
              <w:pStyle w:val="132"/>
              <w:adjustRightInd/>
              <w:snapToGrid/>
              <w:ind w:leftChars="0" w:left="0" w:rightChars="0" w:right="0"/>
              <w:rPr>
                <w:rFonts w:ascii="Times New Roman" w:hAnsi="Times New Roman"/>
                <w:sz w:val="18"/>
                <w:szCs w:val="18"/>
              </w:rPr>
            </w:pPr>
            <w:r>
              <w:rPr>
                <w:rFonts w:ascii="Times New Roman" w:hAnsi="Times New Roman"/>
                <w:sz w:val="18"/>
                <w:szCs w:val="18"/>
              </w:rPr>
              <w:t>70</w:t>
            </w:r>
          </w:p>
        </w:tc>
        <w:tc>
          <w:tcPr>
            <w:tcW w:w="2278" w:type="pct"/>
            <w:vAlign w:val="center"/>
          </w:tcPr>
          <w:p w:rsidR="00EE4502" w:rsidRDefault="00FD45A3">
            <w:pPr>
              <w:jc w:val="center"/>
              <w:rPr>
                <w:sz w:val="18"/>
                <w:szCs w:val="18"/>
              </w:rPr>
            </w:pPr>
            <w:r>
              <w:rPr>
                <w:sz w:val="18"/>
                <w:szCs w:val="18"/>
              </w:rPr>
              <w:t>55</w:t>
            </w:r>
          </w:p>
        </w:tc>
      </w:tr>
    </w:tbl>
    <w:p w:rsidR="00EE4502" w:rsidRDefault="00FD45A3" w:rsidP="003F4A18">
      <w:pPr>
        <w:spacing w:beforeLines="50" w:before="120" w:line="360" w:lineRule="auto"/>
        <w:jc w:val="center"/>
        <w:rPr>
          <w:rFonts w:eastAsia="黑体"/>
          <w:bCs/>
          <w:lang w:val="zh-CN"/>
        </w:rPr>
      </w:pPr>
      <w:r>
        <w:rPr>
          <w:rFonts w:eastAsia="黑体"/>
          <w:bCs/>
          <w:lang w:val="zh-CN"/>
        </w:rPr>
        <w:t>表</w:t>
      </w:r>
      <w:r>
        <w:rPr>
          <w:rFonts w:eastAsia="黑体" w:hint="eastAsia"/>
          <w:bCs/>
        </w:rPr>
        <w:t>2</w:t>
      </w:r>
      <w:r>
        <w:rPr>
          <w:rFonts w:eastAsia="黑体"/>
          <w:bCs/>
        </w:rPr>
        <w:t>-</w:t>
      </w:r>
      <w:r>
        <w:rPr>
          <w:rFonts w:eastAsia="黑体" w:hint="eastAsia"/>
          <w:bCs/>
        </w:rPr>
        <w:t>4</w:t>
      </w:r>
      <w:r>
        <w:rPr>
          <w:rFonts w:eastAsia="黑体"/>
          <w:bCs/>
          <w:lang w:val="zh-CN"/>
        </w:rPr>
        <w:t>-</w:t>
      </w:r>
      <w:r>
        <w:rPr>
          <w:rFonts w:eastAsia="黑体" w:hint="eastAsia"/>
          <w:bCs/>
        </w:rPr>
        <w:t>9</w:t>
      </w:r>
      <w:r>
        <w:rPr>
          <w:rFonts w:eastAsia="黑体"/>
          <w:bCs/>
        </w:rPr>
        <w:t xml:space="preserve">  </w:t>
      </w:r>
      <w:r>
        <w:rPr>
          <w:rFonts w:eastAsia="黑体"/>
          <w:bCs/>
          <w:lang w:val="zh-CN"/>
        </w:rPr>
        <w:t>厂界噪声评价执行标准</w:t>
      </w:r>
      <w:r>
        <w:rPr>
          <w:rFonts w:eastAsia="黑体"/>
          <w:bCs/>
          <w:lang w:val="zh-CN"/>
        </w:rPr>
        <w:t xml:space="preserve">  </w:t>
      </w:r>
      <w:r>
        <w:rPr>
          <w:rFonts w:eastAsia="黑体"/>
          <w:bCs/>
          <w:lang w:val="zh-CN"/>
        </w:rPr>
        <w:t>单位：</w:t>
      </w:r>
      <w:r>
        <w:rPr>
          <w:rFonts w:eastAsia="黑体"/>
          <w:bCs/>
          <w:lang w:val="zh-CN"/>
        </w:rPr>
        <w:t>dB</w:t>
      </w:r>
      <w:r>
        <w:rPr>
          <w:rFonts w:eastAsia="黑体"/>
          <w:bCs/>
          <w:lang w:val="zh-CN"/>
        </w:rPr>
        <w:t>（</w:t>
      </w:r>
      <w:r>
        <w:rPr>
          <w:rFonts w:eastAsia="黑体"/>
          <w:bCs/>
          <w:lang w:val="zh-CN"/>
        </w:rPr>
        <w:t>A</w:t>
      </w:r>
      <w:r>
        <w:rPr>
          <w:rFonts w:eastAsia="黑体"/>
          <w:bCs/>
          <w:lang w:val="zh-CN"/>
        </w:rPr>
        <w:t>）</w:t>
      </w:r>
    </w:p>
    <w:tbl>
      <w:tblPr>
        <w:tblW w:w="4998" w:type="pct"/>
        <w:jc w:val="center"/>
        <w:tblBorders>
          <w:top w:val="single" w:sz="8" w:space="0" w:color="auto"/>
          <w:bottom w:val="single" w:sz="8" w:space="0" w:color="auto"/>
          <w:insideH w:val="single" w:sz="8" w:space="0" w:color="auto"/>
          <w:insideV w:val="single" w:sz="8" w:space="0" w:color="auto"/>
        </w:tblBorders>
        <w:tblLook w:val="04A0" w:firstRow="1" w:lastRow="0" w:firstColumn="1" w:lastColumn="0" w:noHBand="0" w:noVBand="1"/>
      </w:tblPr>
      <w:tblGrid>
        <w:gridCol w:w="2274"/>
        <w:gridCol w:w="2366"/>
        <w:gridCol w:w="1673"/>
        <w:gridCol w:w="2206"/>
      </w:tblGrid>
      <w:tr w:rsidR="00EE4502">
        <w:trPr>
          <w:trHeight w:val="340"/>
          <w:jc w:val="center"/>
        </w:trPr>
        <w:tc>
          <w:tcPr>
            <w:tcW w:w="1334" w:type="pct"/>
            <w:vAlign w:val="center"/>
          </w:tcPr>
          <w:p w:rsidR="00EE4502" w:rsidRDefault="00FD45A3">
            <w:pPr>
              <w:jc w:val="center"/>
              <w:rPr>
                <w:sz w:val="18"/>
                <w:szCs w:val="18"/>
              </w:rPr>
            </w:pPr>
            <w:r>
              <w:rPr>
                <w:rFonts w:hAnsi="宋体"/>
                <w:sz w:val="18"/>
                <w:szCs w:val="18"/>
              </w:rPr>
              <w:t>类别（</w:t>
            </w:r>
            <w:r>
              <w:rPr>
                <w:sz w:val="18"/>
                <w:szCs w:val="18"/>
              </w:rPr>
              <w:t>GB12348-2008</w:t>
            </w:r>
            <w:r>
              <w:rPr>
                <w:rFonts w:hAnsi="宋体"/>
                <w:sz w:val="18"/>
                <w:szCs w:val="18"/>
              </w:rPr>
              <w:t>）</w:t>
            </w:r>
          </w:p>
        </w:tc>
        <w:tc>
          <w:tcPr>
            <w:tcW w:w="1388" w:type="pct"/>
            <w:vAlign w:val="center"/>
          </w:tcPr>
          <w:p w:rsidR="00EE4502" w:rsidRDefault="00FD45A3">
            <w:pPr>
              <w:pStyle w:val="afffffffffffffffffffa"/>
              <w:widowControl w:val="0"/>
              <w:spacing w:line="240" w:lineRule="auto"/>
              <w:rPr>
                <w:kern w:val="2"/>
                <w:sz w:val="18"/>
                <w:szCs w:val="18"/>
              </w:rPr>
            </w:pPr>
            <w:r>
              <w:rPr>
                <w:rFonts w:hAnsi="宋体"/>
                <w:kern w:val="2"/>
                <w:sz w:val="18"/>
                <w:szCs w:val="18"/>
              </w:rPr>
              <w:t>昼间</w:t>
            </w:r>
          </w:p>
        </w:tc>
        <w:tc>
          <w:tcPr>
            <w:tcW w:w="981" w:type="pct"/>
            <w:vAlign w:val="center"/>
          </w:tcPr>
          <w:p w:rsidR="00EE4502" w:rsidRDefault="00FD45A3">
            <w:pPr>
              <w:jc w:val="center"/>
              <w:rPr>
                <w:sz w:val="18"/>
                <w:szCs w:val="18"/>
              </w:rPr>
            </w:pPr>
            <w:r>
              <w:rPr>
                <w:rFonts w:hAnsi="宋体"/>
                <w:sz w:val="18"/>
                <w:szCs w:val="18"/>
              </w:rPr>
              <w:t>夜间</w:t>
            </w:r>
          </w:p>
        </w:tc>
        <w:tc>
          <w:tcPr>
            <w:tcW w:w="1294" w:type="pct"/>
            <w:vAlign w:val="center"/>
          </w:tcPr>
          <w:p w:rsidR="00EE4502" w:rsidRDefault="00FD45A3">
            <w:pPr>
              <w:jc w:val="center"/>
              <w:rPr>
                <w:sz w:val="18"/>
                <w:szCs w:val="18"/>
              </w:rPr>
            </w:pPr>
            <w:r>
              <w:rPr>
                <w:rFonts w:hAnsi="宋体"/>
                <w:sz w:val="18"/>
                <w:szCs w:val="18"/>
              </w:rPr>
              <w:t>备注</w:t>
            </w:r>
          </w:p>
        </w:tc>
      </w:tr>
      <w:tr w:rsidR="00EE4502">
        <w:trPr>
          <w:trHeight w:val="340"/>
          <w:jc w:val="center"/>
        </w:trPr>
        <w:tc>
          <w:tcPr>
            <w:tcW w:w="1334" w:type="pct"/>
            <w:vAlign w:val="center"/>
          </w:tcPr>
          <w:p w:rsidR="00EE4502" w:rsidRDefault="00FD45A3">
            <w:pPr>
              <w:jc w:val="center"/>
              <w:rPr>
                <w:sz w:val="18"/>
                <w:szCs w:val="18"/>
              </w:rPr>
            </w:pPr>
            <w:r>
              <w:rPr>
                <w:sz w:val="18"/>
                <w:szCs w:val="18"/>
              </w:rPr>
              <w:t>2</w:t>
            </w:r>
            <w:r>
              <w:rPr>
                <w:rFonts w:hAnsi="宋体"/>
                <w:sz w:val="18"/>
                <w:szCs w:val="18"/>
              </w:rPr>
              <w:t>类</w:t>
            </w:r>
          </w:p>
        </w:tc>
        <w:tc>
          <w:tcPr>
            <w:tcW w:w="1388" w:type="pct"/>
            <w:vAlign w:val="center"/>
          </w:tcPr>
          <w:p w:rsidR="00EE4502" w:rsidRDefault="00FD45A3">
            <w:pPr>
              <w:jc w:val="center"/>
              <w:rPr>
                <w:sz w:val="18"/>
                <w:szCs w:val="18"/>
              </w:rPr>
            </w:pPr>
            <w:r>
              <w:rPr>
                <w:sz w:val="18"/>
                <w:szCs w:val="18"/>
              </w:rPr>
              <w:t>60</w:t>
            </w:r>
          </w:p>
        </w:tc>
        <w:tc>
          <w:tcPr>
            <w:tcW w:w="981" w:type="pct"/>
            <w:vAlign w:val="center"/>
          </w:tcPr>
          <w:p w:rsidR="00EE4502" w:rsidRDefault="00FD45A3">
            <w:pPr>
              <w:jc w:val="center"/>
              <w:rPr>
                <w:sz w:val="18"/>
                <w:szCs w:val="18"/>
              </w:rPr>
            </w:pPr>
            <w:r>
              <w:rPr>
                <w:sz w:val="18"/>
                <w:szCs w:val="18"/>
              </w:rPr>
              <w:t>50</w:t>
            </w:r>
          </w:p>
        </w:tc>
        <w:tc>
          <w:tcPr>
            <w:tcW w:w="1294" w:type="pct"/>
            <w:vAlign w:val="center"/>
          </w:tcPr>
          <w:p w:rsidR="00EE4502" w:rsidRDefault="00FD45A3">
            <w:pPr>
              <w:pStyle w:val="132"/>
              <w:adjustRightInd/>
              <w:snapToGrid/>
              <w:ind w:leftChars="0" w:left="0" w:rightChars="0" w:right="0"/>
              <w:rPr>
                <w:rFonts w:ascii="Times New Roman" w:hAnsi="Times New Roman"/>
                <w:sz w:val="18"/>
                <w:szCs w:val="18"/>
              </w:rPr>
            </w:pPr>
            <w:r>
              <w:rPr>
                <w:rFonts w:ascii="Times New Roman"/>
                <w:sz w:val="18"/>
                <w:szCs w:val="18"/>
              </w:rPr>
              <w:t>井场边界</w:t>
            </w:r>
          </w:p>
        </w:tc>
      </w:tr>
    </w:tbl>
    <w:p w:rsidR="00EE4502" w:rsidRDefault="00EE4502">
      <w:pPr>
        <w:jc w:val="center"/>
        <w:rPr>
          <w:sz w:val="18"/>
          <w:szCs w:val="18"/>
        </w:rPr>
      </w:pPr>
    </w:p>
    <w:p w:rsidR="00EE4502" w:rsidRDefault="00FD45A3">
      <w:pPr>
        <w:spacing w:line="360" w:lineRule="auto"/>
        <w:ind w:firstLineChars="200" w:firstLine="480"/>
        <w:rPr>
          <w:sz w:val="24"/>
        </w:rPr>
      </w:pPr>
      <w:r>
        <w:rPr>
          <w:sz w:val="24"/>
        </w:rPr>
        <w:t>（</w:t>
      </w:r>
      <w:r>
        <w:rPr>
          <w:sz w:val="24"/>
        </w:rPr>
        <w:t>4</w:t>
      </w:r>
      <w:r>
        <w:rPr>
          <w:sz w:val="24"/>
        </w:rPr>
        <w:t>）固体废物</w:t>
      </w:r>
    </w:p>
    <w:p w:rsidR="00EE4502" w:rsidRDefault="00FD45A3">
      <w:pPr>
        <w:spacing w:line="360" w:lineRule="auto"/>
        <w:ind w:firstLineChars="200" w:firstLine="480"/>
        <w:rPr>
          <w:sz w:val="24"/>
        </w:rPr>
      </w:pPr>
      <w:r>
        <w:rPr>
          <w:sz w:val="24"/>
        </w:rPr>
        <w:t>根据项目产生的各种固体废物的性质和去向，含油污泥满足《陆上石油天然气开采含油污泥资源化综合利用及污染控制技术要求》（</w:t>
      </w:r>
      <w:r>
        <w:rPr>
          <w:sz w:val="24"/>
        </w:rPr>
        <w:t>SY/T7301-2016</w:t>
      </w:r>
      <w:r>
        <w:rPr>
          <w:sz w:val="24"/>
        </w:rPr>
        <w:t>）相关要求及《关于含油污泥处置有关事宜的通知》（新环办发〔</w:t>
      </w:r>
      <w:r>
        <w:rPr>
          <w:sz w:val="24"/>
        </w:rPr>
        <w:t>2018</w:t>
      </w:r>
      <w:r>
        <w:rPr>
          <w:sz w:val="24"/>
        </w:rPr>
        <w:t>〕</w:t>
      </w:r>
      <w:r>
        <w:rPr>
          <w:sz w:val="24"/>
        </w:rPr>
        <w:t>20</w:t>
      </w:r>
      <w:r>
        <w:rPr>
          <w:sz w:val="24"/>
        </w:rPr>
        <w:t>号）、《危险废物环境管理指南</w:t>
      </w:r>
      <w:r>
        <w:rPr>
          <w:sz w:val="24"/>
        </w:rPr>
        <w:t xml:space="preserve"> </w:t>
      </w:r>
      <w:r>
        <w:rPr>
          <w:sz w:val="24"/>
        </w:rPr>
        <w:t>陆上石油天然气开采》（生态环境部公告</w:t>
      </w:r>
      <w:r>
        <w:rPr>
          <w:sz w:val="24"/>
        </w:rPr>
        <w:t>2021</w:t>
      </w:r>
      <w:r>
        <w:rPr>
          <w:sz w:val="24"/>
        </w:rPr>
        <w:t>年第</w:t>
      </w:r>
      <w:r>
        <w:rPr>
          <w:sz w:val="24"/>
        </w:rPr>
        <w:t>74</w:t>
      </w:r>
      <w:r>
        <w:rPr>
          <w:sz w:val="24"/>
        </w:rPr>
        <w:t>号）要求；钻井固体废物执行《油气田钻井固体废物综合利用污染控制要求》（</w:t>
      </w:r>
      <w:r>
        <w:rPr>
          <w:sz w:val="24"/>
        </w:rPr>
        <w:t>DB65/T 3997-2017</w:t>
      </w:r>
      <w:r>
        <w:rPr>
          <w:sz w:val="24"/>
        </w:rPr>
        <w:t>）要求；</w:t>
      </w:r>
    </w:p>
    <w:p w:rsidR="00EE4502" w:rsidRDefault="00FD45A3">
      <w:pPr>
        <w:spacing w:line="360" w:lineRule="auto"/>
        <w:ind w:firstLineChars="200" w:firstLine="480"/>
        <w:rPr>
          <w:sz w:val="24"/>
        </w:rPr>
      </w:pPr>
      <w:r>
        <w:rPr>
          <w:sz w:val="24"/>
        </w:rPr>
        <w:t>一般工业固体废物贮存执行《一般工业固体废物贮存和填埋污染控制标准》（</w:t>
      </w:r>
      <w:r>
        <w:rPr>
          <w:sz w:val="24"/>
        </w:rPr>
        <w:t>GB 18599-2020</w:t>
      </w:r>
      <w:r>
        <w:rPr>
          <w:sz w:val="24"/>
        </w:rPr>
        <w:t>）。</w:t>
      </w:r>
    </w:p>
    <w:p w:rsidR="00EE4502" w:rsidRDefault="00FD45A3">
      <w:pPr>
        <w:spacing w:line="360" w:lineRule="auto"/>
        <w:ind w:firstLineChars="200" w:firstLine="480"/>
        <w:rPr>
          <w:sz w:val="24"/>
        </w:rPr>
      </w:pPr>
      <w:r>
        <w:rPr>
          <w:sz w:val="24"/>
        </w:rPr>
        <w:t>危险废物鉴别执行《危险废物鉴别标准》</w:t>
      </w:r>
      <w:r>
        <w:rPr>
          <w:sz w:val="24"/>
        </w:rPr>
        <w:t>(GB5085.1</w:t>
      </w:r>
      <w:r>
        <w:rPr>
          <w:sz w:val="24"/>
        </w:rPr>
        <w:t>～</w:t>
      </w:r>
      <w:r>
        <w:rPr>
          <w:sz w:val="24"/>
        </w:rPr>
        <w:t>7)</w:t>
      </w:r>
      <w:r>
        <w:rPr>
          <w:sz w:val="24"/>
        </w:rPr>
        <w:t>，危险废物的贮存执行《危险废物贮存污染控制标准》（</w:t>
      </w:r>
      <w:r>
        <w:rPr>
          <w:sz w:val="24"/>
        </w:rPr>
        <w:t>GB18597-20</w:t>
      </w:r>
      <w:r>
        <w:rPr>
          <w:rFonts w:hint="eastAsia"/>
          <w:sz w:val="24"/>
        </w:rPr>
        <w:t>23</w:t>
      </w:r>
      <w:r>
        <w:rPr>
          <w:sz w:val="24"/>
        </w:rPr>
        <w:t>）、危险废物的转移依照《危险废物转移管理办法》（生态环境部令第</w:t>
      </w:r>
      <w:r>
        <w:rPr>
          <w:sz w:val="24"/>
        </w:rPr>
        <w:t>23</w:t>
      </w:r>
      <w:r>
        <w:rPr>
          <w:sz w:val="24"/>
        </w:rPr>
        <w:t>号）及《危险废物收集</w:t>
      </w:r>
      <w:r>
        <w:rPr>
          <w:rFonts w:hint="eastAsia"/>
          <w:sz w:val="24"/>
        </w:rPr>
        <w:t xml:space="preserve"> </w:t>
      </w:r>
      <w:r>
        <w:rPr>
          <w:sz w:val="24"/>
        </w:rPr>
        <w:t>贮存</w:t>
      </w:r>
      <w:r>
        <w:rPr>
          <w:rFonts w:hint="eastAsia"/>
          <w:sz w:val="24"/>
        </w:rPr>
        <w:t xml:space="preserve"> </w:t>
      </w:r>
      <w:r>
        <w:rPr>
          <w:sz w:val="24"/>
        </w:rPr>
        <w:t>运输技术规范》（</w:t>
      </w:r>
      <w:r>
        <w:rPr>
          <w:sz w:val="24"/>
        </w:rPr>
        <w:t>HJ2025-2012</w:t>
      </w:r>
      <w:r>
        <w:rPr>
          <w:sz w:val="24"/>
        </w:rPr>
        <w:t>）进行监督和管理。</w:t>
      </w:r>
    </w:p>
    <w:p w:rsidR="00EE4502" w:rsidRDefault="00FD45A3">
      <w:pPr>
        <w:pStyle w:val="33"/>
        <w:numPr>
          <w:ilvl w:val="2"/>
          <w:numId w:val="30"/>
        </w:numPr>
        <w:spacing w:line="360" w:lineRule="auto"/>
        <w:ind w:left="0" w:firstLine="0"/>
        <w:rPr>
          <w:spacing w:val="0"/>
          <w:sz w:val="24"/>
          <w:szCs w:val="24"/>
        </w:rPr>
      </w:pPr>
      <w:r>
        <w:rPr>
          <w:spacing w:val="0"/>
          <w:sz w:val="24"/>
          <w:szCs w:val="24"/>
        </w:rPr>
        <w:t>重大危险源识别标准</w:t>
      </w:r>
    </w:p>
    <w:p w:rsidR="00EE4502" w:rsidRDefault="00FD45A3">
      <w:pPr>
        <w:spacing w:line="360" w:lineRule="auto"/>
        <w:ind w:firstLineChars="170" w:firstLine="408"/>
        <w:rPr>
          <w:sz w:val="24"/>
        </w:rPr>
      </w:pPr>
      <w:r>
        <w:rPr>
          <w:sz w:val="24"/>
        </w:rPr>
        <w:t>本工程涉及危险物质主要是原油，根据《建设项目环境风险评价技术导则》（</w:t>
      </w:r>
      <w:r>
        <w:rPr>
          <w:sz w:val="24"/>
        </w:rPr>
        <w:t>HJ169-2018</w:t>
      </w:r>
      <w:r>
        <w:rPr>
          <w:sz w:val="24"/>
        </w:rPr>
        <w:t>）中附录</w:t>
      </w:r>
      <w:r>
        <w:rPr>
          <w:sz w:val="24"/>
        </w:rPr>
        <w:t>B</w:t>
      </w:r>
      <w:r>
        <w:rPr>
          <w:sz w:val="24"/>
        </w:rPr>
        <w:t>重点关注的危险物质及临界量中</w:t>
      </w:r>
      <w:r>
        <w:rPr>
          <w:sz w:val="24"/>
        </w:rPr>
        <w:t>381</w:t>
      </w:r>
      <w:r>
        <w:rPr>
          <w:sz w:val="24"/>
        </w:rPr>
        <w:t>条判定是否为重大危险源（临界量</w:t>
      </w:r>
      <w:r>
        <w:rPr>
          <w:sz w:val="24"/>
        </w:rPr>
        <w:t>2500t</w:t>
      </w:r>
      <w:r>
        <w:rPr>
          <w:sz w:val="24"/>
        </w:rPr>
        <w:t>）。</w:t>
      </w:r>
    </w:p>
    <w:p w:rsidR="00EE4502" w:rsidRDefault="00FD45A3">
      <w:pPr>
        <w:pStyle w:val="22"/>
        <w:numPr>
          <w:ilvl w:val="1"/>
          <w:numId w:val="30"/>
        </w:numPr>
        <w:rPr>
          <w:spacing w:val="0"/>
          <w:w w:val="100"/>
        </w:rPr>
      </w:pPr>
      <w:bookmarkStart w:id="57" w:name="_Toc3928"/>
      <w:bookmarkStart w:id="58" w:name="_Toc64451714"/>
      <w:bookmarkStart w:id="59" w:name="_Toc64269276"/>
      <w:bookmarkStart w:id="60" w:name="_Toc64269275"/>
      <w:bookmarkStart w:id="61" w:name="_Toc64451713"/>
      <w:r>
        <w:rPr>
          <w:rFonts w:hint="eastAsia"/>
          <w:spacing w:val="0"/>
          <w:w w:val="100"/>
        </w:rPr>
        <w:lastRenderedPageBreak/>
        <w:t>评价工作等级和评价范围</w:t>
      </w:r>
      <w:bookmarkEnd w:id="57"/>
    </w:p>
    <w:p w:rsidR="00EE4502" w:rsidRDefault="00FD45A3">
      <w:pPr>
        <w:pStyle w:val="33"/>
        <w:numPr>
          <w:ilvl w:val="2"/>
          <w:numId w:val="30"/>
        </w:numPr>
        <w:spacing w:line="360" w:lineRule="auto"/>
        <w:ind w:left="0" w:firstLine="0"/>
        <w:rPr>
          <w:spacing w:val="0"/>
          <w:sz w:val="24"/>
          <w:szCs w:val="24"/>
        </w:rPr>
      </w:pPr>
      <w:r>
        <w:rPr>
          <w:rFonts w:hint="eastAsia"/>
          <w:spacing w:val="0"/>
          <w:sz w:val="24"/>
          <w:szCs w:val="24"/>
        </w:rPr>
        <w:t>生态影响评价等级和评价范围</w:t>
      </w:r>
    </w:p>
    <w:p w:rsidR="00EE4502" w:rsidRDefault="00FD45A3">
      <w:pPr>
        <w:spacing w:line="360" w:lineRule="auto"/>
        <w:ind w:firstLineChars="200" w:firstLine="480"/>
        <w:rPr>
          <w:sz w:val="24"/>
        </w:rPr>
      </w:pPr>
      <w:r>
        <w:rPr>
          <w:rFonts w:hint="eastAsia"/>
          <w:sz w:val="24"/>
        </w:rPr>
        <w:t>（</w:t>
      </w:r>
      <w:r>
        <w:rPr>
          <w:rFonts w:hint="eastAsia"/>
          <w:sz w:val="24"/>
        </w:rPr>
        <w:t>1</w:t>
      </w:r>
      <w:r>
        <w:rPr>
          <w:rFonts w:hint="eastAsia"/>
          <w:sz w:val="24"/>
        </w:rPr>
        <w:t>）评价等级</w:t>
      </w:r>
    </w:p>
    <w:p w:rsidR="00EE4502" w:rsidRDefault="00FD45A3">
      <w:pPr>
        <w:spacing w:line="360" w:lineRule="auto"/>
        <w:ind w:firstLineChars="200" w:firstLine="480"/>
        <w:rPr>
          <w:sz w:val="24"/>
        </w:rPr>
      </w:pPr>
      <w:r>
        <w:rPr>
          <w:sz w:val="24"/>
        </w:rPr>
        <w:t>根据《环境影响评价技术导则</w:t>
      </w:r>
      <w:r>
        <w:rPr>
          <w:sz w:val="24"/>
        </w:rPr>
        <w:t xml:space="preserve"> </w:t>
      </w:r>
      <w:r>
        <w:rPr>
          <w:sz w:val="24"/>
        </w:rPr>
        <w:t>生态影响》（</w:t>
      </w:r>
      <w:r>
        <w:rPr>
          <w:sz w:val="24"/>
        </w:rPr>
        <w:t>HJ19-2022</w:t>
      </w:r>
      <w:r>
        <w:rPr>
          <w:sz w:val="24"/>
        </w:rPr>
        <w:t>），</w:t>
      </w:r>
      <w:r>
        <w:rPr>
          <w:rFonts w:hint="eastAsia"/>
          <w:sz w:val="24"/>
        </w:rPr>
        <w:t>本工程</w:t>
      </w:r>
      <w:r>
        <w:rPr>
          <w:rFonts w:hint="eastAsia"/>
          <w:sz w:val="24"/>
        </w:rPr>
        <w:t>生态环境影响评价</w:t>
      </w:r>
      <w:r>
        <w:rPr>
          <w:sz w:val="24"/>
        </w:rPr>
        <w:t>工作等级为二级</w:t>
      </w:r>
      <w:r>
        <w:rPr>
          <w:rFonts w:hint="eastAsia"/>
          <w:sz w:val="24"/>
        </w:rPr>
        <w:t>，判定过程见表</w:t>
      </w:r>
      <w:r>
        <w:rPr>
          <w:rFonts w:hint="eastAsia"/>
          <w:sz w:val="24"/>
        </w:rPr>
        <w:t>2</w:t>
      </w:r>
      <w:r>
        <w:rPr>
          <w:sz w:val="24"/>
        </w:rPr>
        <w:t>-</w:t>
      </w:r>
      <w:r>
        <w:rPr>
          <w:rFonts w:hint="eastAsia"/>
          <w:sz w:val="24"/>
        </w:rPr>
        <w:t>5-1</w:t>
      </w:r>
      <w:r>
        <w:rPr>
          <w:sz w:val="24"/>
        </w:rPr>
        <w:t>。</w:t>
      </w:r>
    </w:p>
    <w:p w:rsidR="00EE4502" w:rsidRDefault="00FD45A3">
      <w:pPr>
        <w:spacing w:line="360" w:lineRule="auto"/>
        <w:jc w:val="center"/>
        <w:rPr>
          <w:rFonts w:eastAsia="黑体"/>
        </w:rPr>
      </w:pPr>
      <w:r>
        <w:rPr>
          <w:rFonts w:eastAsia="黑体"/>
          <w:szCs w:val="21"/>
        </w:rPr>
        <w:t>表</w:t>
      </w:r>
      <w:r>
        <w:rPr>
          <w:rFonts w:eastAsia="黑体"/>
          <w:szCs w:val="21"/>
        </w:rPr>
        <w:t>2-</w:t>
      </w:r>
      <w:r>
        <w:rPr>
          <w:rFonts w:eastAsia="黑体" w:hint="eastAsia"/>
          <w:szCs w:val="21"/>
        </w:rPr>
        <w:t>5-1</w:t>
      </w:r>
      <w:r>
        <w:rPr>
          <w:rFonts w:eastAsia="黑体"/>
          <w:szCs w:val="21"/>
        </w:rPr>
        <w:t xml:space="preserve">   </w:t>
      </w:r>
      <w:r>
        <w:rPr>
          <w:rFonts w:eastAsia="黑体" w:hint="eastAsia"/>
          <w:szCs w:val="21"/>
        </w:rPr>
        <w:t>生态评价等级判定</w:t>
      </w:r>
      <w:r>
        <w:rPr>
          <w:rFonts w:eastAsia="黑体"/>
          <w:szCs w:val="21"/>
        </w:rPr>
        <w:t>表</w:t>
      </w:r>
    </w:p>
    <w:tbl>
      <w:tblPr>
        <w:tblW w:w="5000" w:type="pct"/>
        <w:jc w:val="center"/>
        <w:tblBorders>
          <w:top w:val="single" w:sz="8" w:space="0" w:color="auto"/>
          <w:bottom w:val="single" w:sz="8" w:space="0" w:color="auto"/>
          <w:insideH w:val="single" w:sz="8" w:space="0" w:color="auto"/>
          <w:insideV w:val="single" w:sz="8" w:space="0" w:color="auto"/>
        </w:tblBorders>
        <w:tblLook w:val="04A0" w:firstRow="1" w:lastRow="0" w:firstColumn="1" w:lastColumn="0" w:noHBand="0" w:noVBand="1"/>
      </w:tblPr>
      <w:tblGrid>
        <w:gridCol w:w="640"/>
        <w:gridCol w:w="5343"/>
        <w:gridCol w:w="1365"/>
        <w:gridCol w:w="1174"/>
      </w:tblGrid>
      <w:tr w:rsidR="00EE4502">
        <w:trPr>
          <w:trHeight w:val="340"/>
          <w:jc w:val="center"/>
        </w:trPr>
        <w:tc>
          <w:tcPr>
            <w:tcW w:w="375" w:type="pct"/>
            <w:vAlign w:val="center"/>
          </w:tcPr>
          <w:p w:rsidR="00EE4502" w:rsidRDefault="00FD45A3">
            <w:pPr>
              <w:jc w:val="center"/>
              <w:rPr>
                <w:bCs/>
                <w:sz w:val="18"/>
                <w:szCs w:val="18"/>
              </w:rPr>
            </w:pPr>
            <w:r>
              <w:rPr>
                <w:bCs/>
                <w:sz w:val="18"/>
                <w:szCs w:val="18"/>
              </w:rPr>
              <w:t>序号</w:t>
            </w:r>
          </w:p>
        </w:tc>
        <w:tc>
          <w:tcPr>
            <w:tcW w:w="3134" w:type="pct"/>
            <w:vAlign w:val="center"/>
          </w:tcPr>
          <w:p w:rsidR="00EE4502" w:rsidRDefault="00FD45A3">
            <w:pPr>
              <w:jc w:val="center"/>
              <w:rPr>
                <w:bCs/>
                <w:sz w:val="18"/>
                <w:szCs w:val="18"/>
              </w:rPr>
            </w:pPr>
            <w:r>
              <w:rPr>
                <w:bCs/>
                <w:sz w:val="18"/>
                <w:szCs w:val="18"/>
              </w:rPr>
              <w:t>生态评价等级判定要求</w:t>
            </w:r>
          </w:p>
        </w:tc>
        <w:tc>
          <w:tcPr>
            <w:tcW w:w="801" w:type="pct"/>
            <w:vAlign w:val="center"/>
          </w:tcPr>
          <w:p w:rsidR="00EE4502" w:rsidRDefault="00FD45A3">
            <w:pPr>
              <w:jc w:val="center"/>
              <w:rPr>
                <w:bCs/>
                <w:sz w:val="18"/>
                <w:szCs w:val="18"/>
              </w:rPr>
            </w:pPr>
            <w:r>
              <w:rPr>
                <w:bCs/>
                <w:sz w:val="18"/>
                <w:szCs w:val="18"/>
              </w:rPr>
              <w:t>本工程情况</w:t>
            </w:r>
          </w:p>
        </w:tc>
        <w:tc>
          <w:tcPr>
            <w:tcW w:w="689" w:type="pct"/>
            <w:vAlign w:val="center"/>
          </w:tcPr>
          <w:p w:rsidR="00EE4502" w:rsidRDefault="00FD45A3">
            <w:pPr>
              <w:jc w:val="center"/>
              <w:rPr>
                <w:bCs/>
                <w:sz w:val="18"/>
                <w:szCs w:val="18"/>
              </w:rPr>
            </w:pPr>
            <w:r>
              <w:rPr>
                <w:bCs/>
                <w:sz w:val="18"/>
                <w:szCs w:val="18"/>
              </w:rPr>
              <w:t>生态影响评价等级</w:t>
            </w:r>
          </w:p>
        </w:tc>
      </w:tr>
      <w:tr w:rsidR="00EE4502">
        <w:trPr>
          <w:trHeight w:val="340"/>
          <w:jc w:val="center"/>
        </w:trPr>
        <w:tc>
          <w:tcPr>
            <w:tcW w:w="375" w:type="pct"/>
            <w:vAlign w:val="center"/>
          </w:tcPr>
          <w:p w:rsidR="00EE4502" w:rsidRDefault="00FD45A3">
            <w:pPr>
              <w:jc w:val="center"/>
              <w:rPr>
                <w:bCs/>
                <w:sz w:val="18"/>
                <w:szCs w:val="18"/>
              </w:rPr>
            </w:pPr>
            <w:r>
              <w:rPr>
                <w:bCs/>
                <w:sz w:val="18"/>
                <w:szCs w:val="18"/>
              </w:rPr>
              <w:t>a</w:t>
            </w:r>
          </w:p>
        </w:tc>
        <w:tc>
          <w:tcPr>
            <w:tcW w:w="3134" w:type="pct"/>
            <w:vAlign w:val="center"/>
          </w:tcPr>
          <w:p w:rsidR="00EE4502" w:rsidRDefault="00FD45A3">
            <w:pPr>
              <w:rPr>
                <w:bCs/>
                <w:sz w:val="18"/>
                <w:szCs w:val="18"/>
              </w:rPr>
            </w:pPr>
            <w:r>
              <w:rPr>
                <w:bCs/>
                <w:sz w:val="18"/>
                <w:szCs w:val="18"/>
              </w:rPr>
              <w:t>涉及国家公园、自然保护区、世界自然遗产、重要生境时，评价等级为一级；</w:t>
            </w:r>
          </w:p>
        </w:tc>
        <w:tc>
          <w:tcPr>
            <w:tcW w:w="801" w:type="pct"/>
            <w:vAlign w:val="center"/>
          </w:tcPr>
          <w:p w:rsidR="00EE4502" w:rsidRDefault="00FD45A3">
            <w:pPr>
              <w:jc w:val="center"/>
              <w:rPr>
                <w:bCs/>
                <w:sz w:val="18"/>
                <w:szCs w:val="18"/>
              </w:rPr>
            </w:pPr>
            <w:r>
              <w:rPr>
                <w:bCs/>
                <w:sz w:val="18"/>
                <w:szCs w:val="18"/>
              </w:rPr>
              <w:t>不涉及</w:t>
            </w:r>
          </w:p>
        </w:tc>
        <w:tc>
          <w:tcPr>
            <w:tcW w:w="689" w:type="pct"/>
            <w:vAlign w:val="center"/>
          </w:tcPr>
          <w:p w:rsidR="00EE4502" w:rsidRDefault="00FD45A3">
            <w:pPr>
              <w:jc w:val="center"/>
              <w:rPr>
                <w:bCs/>
                <w:sz w:val="18"/>
                <w:szCs w:val="18"/>
              </w:rPr>
            </w:pPr>
            <w:r>
              <w:rPr>
                <w:bCs/>
                <w:sz w:val="18"/>
                <w:szCs w:val="18"/>
              </w:rPr>
              <w:t>/</w:t>
            </w:r>
          </w:p>
        </w:tc>
      </w:tr>
      <w:tr w:rsidR="00EE4502">
        <w:trPr>
          <w:trHeight w:val="340"/>
          <w:jc w:val="center"/>
        </w:trPr>
        <w:tc>
          <w:tcPr>
            <w:tcW w:w="375" w:type="pct"/>
            <w:vAlign w:val="center"/>
          </w:tcPr>
          <w:p w:rsidR="00EE4502" w:rsidRDefault="00FD45A3">
            <w:pPr>
              <w:jc w:val="center"/>
              <w:rPr>
                <w:bCs/>
                <w:sz w:val="18"/>
                <w:szCs w:val="18"/>
              </w:rPr>
            </w:pPr>
            <w:r>
              <w:rPr>
                <w:bCs/>
                <w:sz w:val="18"/>
                <w:szCs w:val="18"/>
              </w:rPr>
              <w:t>b</w:t>
            </w:r>
          </w:p>
        </w:tc>
        <w:tc>
          <w:tcPr>
            <w:tcW w:w="3134" w:type="pct"/>
            <w:vAlign w:val="center"/>
          </w:tcPr>
          <w:p w:rsidR="00EE4502" w:rsidRDefault="00FD45A3">
            <w:pPr>
              <w:rPr>
                <w:b/>
                <w:bCs/>
                <w:sz w:val="18"/>
                <w:szCs w:val="18"/>
              </w:rPr>
            </w:pPr>
            <w:r>
              <w:rPr>
                <w:sz w:val="18"/>
                <w:szCs w:val="18"/>
              </w:rPr>
              <w:t>涉及自然公园时，评价等级为二级；</w:t>
            </w:r>
          </w:p>
        </w:tc>
        <w:tc>
          <w:tcPr>
            <w:tcW w:w="801" w:type="pct"/>
            <w:vAlign w:val="center"/>
          </w:tcPr>
          <w:p w:rsidR="00EE4502" w:rsidRDefault="00FD45A3">
            <w:pPr>
              <w:jc w:val="center"/>
              <w:rPr>
                <w:bCs/>
                <w:sz w:val="18"/>
                <w:szCs w:val="18"/>
              </w:rPr>
            </w:pPr>
            <w:r>
              <w:rPr>
                <w:bCs/>
                <w:sz w:val="18"/>
                <w:szCs w:val="18"/>
              </w:rPr>
              <w:t>不涉及</w:t>
            </w:r>
          </w:p>
        </w:tc>
        <w:tc>
          <w:tcPr>
            <w:tcW w:w="689" w:type="pct"/>
            <w:vAlign w:val="center"/>
          </w:tcPr>
          <w:p w:rsidR="00EE4502" w:rsidRDefault="00FD45A3">
            <w:pPr>
              <w:jc w:val="center"/>
              <w:rPr>
                <w:bCs/>
                <w:sz w:val="18"/>
                <w:szCs w:val="18"/>
              </w:rPr>
            </w:pPr>
            <w:r>
              <w:rPr>
                <w:bCs/>
                <w:sz w:val="18"/>
                <w:szCs w:val="18"/>
              </w:rPr>
              <w:t>/</w:t>
            </w:r>
          </w:p>
        </w:tc>
      </w:tr>
      <w:tr w:rsidR="00EE4502">
        <w:trPr>
          <w:trHeight w:val="340"/>
          <w:jc w:val="center"/>
        </w:trPr>
        <w:tc>
          <w:tcPr>
            <w:tcW w:w="375" w:type="pct"/>
            <w:vAlign w:val="center"/>
          </w:tcPr>
          <w:p w:rsidR="00EE4502" w:rsidRDefault="00FD45A3">
            <w:pPr>
              <w:jc w:val="center"/>
              <w:rPr>
                <w:bCs/>
                <w:sz w:val="18"/>
                <w:szCs w:val="18"/>
              </w:rPr>
            </w:pPr>
            <w:r>
              <w:rPr>
                <w:bCs/>
                <w:sz w:val="18"/>
                <w:szCs w:val="18"/>
              </w:rPr>
              <w:t>c</w:t>
            </w:r>
          </w:p>
        </w:tc>
        <w:tc>
          <w:tcPr>
            <w:tcW w:w="3134" w:type="pct"/>
            <w:vAlign w:val="center"/>
          </w:tcPr>
          <w:p w:rsidR="00EE4502" w:rsidRDefault="00FD45A3">
            <w:pPr>
              <w:rPr>
                <w:b/>
                <w:bCs/>
                <w:sz w:val="18"/>
                <w:szCs w:val="18"/>
              </w:rPr>
            </w:pPr>
            <w:r>
              <w:rPr>
                <w:sz w:val="18"/>
                <w:szCs w:val="18"/>
              </w:rPr>
              <w:t>涉及生态保护红线时，评价等级不低于二级；</w:t>
            </w:r>
          </w:p>
        </w:tc>
        <w:tc>
          <w:tcPr>
            <w:tcW w:w="801" w:type="pct"/>
            <w:vAlign w:val="center"/>
          </w:tcPr>
          <w:p w:rsidR="00EE4502" w:rsidRDefault="00FD45A3">
            <w:pPr>
              <w:jc w:val="center"/>
              <w:rPr>
                <w:bCs/>
                <w:sz w:val="18"/>
                <w:szCs w:val="18"/>
              </w:rPr>
            </w:pPr>
            <w:r>
              <w:rPr>
                <w:bCs/>
                <w:sz w:val="18"/>
                <w:szCs w:val="18"/>
              </w:rPr>
              <w:t>不涉及</w:t>
            </w:r>
          </w:p>
        </w:tc>
        <w:tc>
          <w:tcPr>
            <w:tcW w:w="689" w:type="pct"/>
            <w:vAlign w:val="center"/>
          </w:tcPr>
          <w:p w:rsidR="00EE4502" w:rsidRDefault="00FD45A3">
            <w:pPr>
              <w:jc w:val="center"/>
              <w:rPr>
                <w:bCs/>
                <w:sz w:val="18"/>
                <w:szCs w:val="18"/>
              </w:rPr>
            </w:pPr>
            <w:r>
              <w:rPr>
                <w:bCs/>
                <w:sz w:val="18"/>
                <w:szCs w:val="18"/>
              </w:rPr>
              <w:t>/</w:t>
            </w:r>
          </w:p>
        </w:tc>
      </w:tr>
      <w:tr w:rsidR="00EE4502">
        <w:trPr>
          <w:trHeight w:val="340"/>
          <w:jc w:val="center"/>
        </w:trPr>
        <w:tc>
          <w:tcPr>
            <w:tcW w:w="375" w:type="pct"/>
            <w:vAlign w:val="center"/>
          </w:tcPr>
          <w:p w:rsidR="00EE4502" w:rsidRDefault="00FD45A3">
            <w:pPr>
              <w:jc w:val="center"/>
              <w:rPr>
                <w:bCs/>
                <w:sz w:val="18"/>
                <w:szCs w:val="18"/>
              </w:rPr>
            </w:pPr>
            <w:r>
              <w:rPr>
                <w:bCs/>
                <w:sz w:val="18"/>
                <w:szCs w:val="18"/>
              </w:rPr>
              <w:t>d</w:t>
            </w:r>
          </w:p>
        </w:tc>
        <w:tc>
          <w:tcPr>
            <w:tcW w:w="3134" w:type="pct"/>
            <w:vAlign w:val="center"/>
          </w:tcPr>
          <w:p w:rsidR="00EE4502" w:rsidRDefault="00FD45A3">
            <w:pPr>
              <w:jc w:val="left"/>
              <w:rPr>
                <w:b/>
                <w:bCs/>
                <w:sz w:val="18"/>
                <w:szCs w:val="18"/>
              </w:rPr>
            </w:pPr>
            <w:r>
              <w:rPr>
                <w:sz w:val="18"/>
                <w:szCs w:val="18"/>
              </w:rPr>
              <w:t>根据</w:t>
            </w:r>
            <w:r>
              <w:rPr>
                <w:sz w:val="18"/>
                <w:szCs w:val="18"/>
              </w:rPr>
              <w:t xml:space="preserve">HJ2.3 </w:t>
            </w:r>
            <w:r>
              <w:rPr>
                <w:sz w:val="18"/>
                <w:szCs w:val="18"/>
              </w:rPr>
              <w:t>判断属于水文要素影响型且地表水评价等级不低于二级的建设项目，生态影响评价等级不低于二级；</w:t>
            </w:r>
          </w:p>
        </w:tc>
        <w:tc>
          <w:tcPr>
            <w:tcW w:w="801" w:type="pct"/>
            <w:vAlign w:val="center"/>
          </w:tcPr>
          <w:p w:rsidR="00EE4502" w:rsidRDefault="00FD45A3">
            <w:pPr>
              <w:jc w:val="center"/>
              <w:rPr>
                <w:bCs/>
                <w:sz w:val="18"/>
                <w:szCs w:val="18"/>
              </w:rPr>
            </w:pPr>
            <w:r>
              <w:rPr>
                <w:bCs/>
                <w:sz w:val="18"/>
                <w:szCs w:val="18"/>
              </w:rPr>
              <w:t>不涉及</w:t>
            </w:r>
          </w:p>
        </w:tc>
        <w:tc>
          <w:tcPr>
            <w:tcW w:w="689" w:type="pct"/>
            <w:vAlign w:val="center"/>
          </w:tcPr>
          <w:p w:rsidR="00EE4502" w:rsidRDefault="00FD45A3">
            <w:pPr>
              <w:jc w:val="center"/>
              <w:rPr>
                <w:bCs/>
                <w:sz w:val="18"/>
                <w:szCs w:val="18"/>
              </w:rPr>
            </w:pPr>
            <w:r>
              <w:rPr>
                <w:bCs/>
                <w:sz w:val="18"/>
                <w:szCs w:val="18"/>
              </w:rPr>
              <w:t>/</w:t>
            </w:r>
          </w:p>
        </w:tc>
      </w:tr>
      <w:tr w:rsidR="00EE4502">
        <w:trPr>
          <w:trHeight w:val="340"/>
          <w:jc w:val="center"/>
        </w:trPr>
        <w:tc>
          <w:tcPr>
            <w:tcW w:w="375" w:type="pct"/>
            <w:vAlign w:val="center"/>
          </w:tcPr>
          <w:p w:rsidR="00EE4502" w:rsidRDefault="00FD45A3">
            <w:pPr>
              <w:jc w:val="center"/>
              <w:rPr>
                <w:bCs/>
                <w:sz w:val="18"/>
                <w:szCs w:val="18"/>
              </w:rPr>
            </w:pPr>
            <w:r>
              <w:rPr>
                <w:bCs/>
                <w:sz w:val="18"/>
                <w:szCs w:val="18"/>
              </w:rPr>
              <w:t>e</w:t>
            </w:r>
          </w:p>
        </w:tc>
        <w:tc>
          <w:tcPr>
            <w:tcW w:w="3134" w:type="pct"/>
            <w:vAlign w:val="center"/>
          </w:tcPr>
          <w:p w:rsidR="00EE4502" w:rsidRDefault="00FD45A3">
            <w:pPr>
              <w:jc w:val="left"/>
              <w:rPr>
                <w:b/>
                <w:bCs/>
                <w:sz w:val="18"/>
                <w:szCs w:val="18"/>
              </w:rPr>
            </w:pPr>
            <w:r>
              <w:rPr>
                <w:sz w:val="18"/>
                <w:szCs w:val="18"/>
              </w:rPr>
              <w:t>根据</w:t>
            </w:r>
            <w:r>
              <w:rPr>
                <w:sz w:val="18"/>
                <w:szCs w:val="18"/>
              </w:rPr>
              <w:t>HJ610</w:t>
            </w:r>
            <w:r>
              <w:rPr>
                <w:sz w:val="18"/>
                <w:szCs w:val="18"/>
              </w:rPr>
              <w:t>、</w:t>
            </w:r>
            <w:r>
              <w:rPr>
                <w:sz w:val="18"/>
                <w:szCs w:val="18"/>
              </w:rPr>
              <w:t>HJ964</w:t>
            </w:r>
            <w:r>
              <w:rPr>
                <w:sz w:val="18"/>
                <w:szCs w:val="18"/>
              </w:rPr>
              <w:t>判断地下水水位或土壤影响范围内分布有天然林、公益林、湿地等生态保护目标的建设项目，生态影响评价等级不低于二级；</w:t>
            </w:r>
          </w:p>
        </w:tc>
        <w:tc>
          <w:tcPr>
            <w:tcW w:w="801" w:type="pct"/>
            <w:vAlign w:val="center"/>
          </w:tcPr>
          <w:p w:rsidR="00EE4502" w:rsidRDefault="00FD45A3">
            <w:pPr>
              <w:jc w:val="center"/>
              <w:rPr>
                <w:bCs/>
                <w:sz w:val="18"/>
                <w:szCs w:val="18"/>
              </w:rPr>
            </w:pPr>
            <w:r>
              <w:rPr>
                <w:rFonts w:hint="eastAsia"/>
                <w:bCs/>
                <w:sz w:val="18"/>
                <w:szCs w:val="18"/>
              </w:rPr>
              <w:t>项目占用公益林</w:t>
            </w:r>
          </w:p>
        </w:tc>
        <w:tc>
          <w:tcPr>
            <w:tcW w:w="689" w:type="pct"/>
            <w:vAlign w:val="center"/>
          </w:tcPr>
          <w:p w:rsidR="00EE4502" w:rsidRDefault="00FD45A3">
            <w:pPr>
              <w:jc w:val="center"/>
              <w:rPr>
                <w:bCs/>
                <w:sz w:val="18"/>
                <w:szCs w:val="18"/>
              </w:rPr>
            </w:pPr>
            <w:r>
              <w:rPr>
                <w:rFonts w:hint="eastAsia"/>
                <w:bCs/>
                <w:sz w:val="18"/>
                <w:szCs w:val="18"/>
              </w:rPr>
              <w:t>不低于二级</w:t>
            </w:r>
          </w:p>
        </w:tc>
      </w:tr>
      <w:tr w:rsidR="00EE4502">
        <w:trPr>
          <w:trHeight w:val="340"/>
          <w:jc w:val="center"/>
        </w:trPr>
        <w:tc>
          <w:tcPr>
            <w:tcW w:w="375" w:type="pct"/>
            <w:vAlign w:val="center"/>
          </w:tcPr>
          <w:p w:rsidR="00EE4502" w:rsidRDefault="00FD45A3">
            <w:pPr>
              <w:jc w:val="center"/>
              <w:rPr>
                <w:bCs/>
                <w:sz w:val="18"/>
                <w:szCs w:val="18"/>
              </w:rPr>
            </w:pPr>
            <w:r>
              <w:rPr>
                <w:bCs/>
                <w:sz w:val="18"/>
                <w:szCs w:val="18"/>
              </w:rPr>
              <w:t>f</w:t>
            </w:r>
          </w:p>
        </w:tc>
        <w:tc>
          <w:tcPr>
            <w:tcW w:w="3134" w:type="pct"/>
            <w:vAlign w:val="center"/>
          </w:tcPr>
          <w:p w:rsidR="00EE4502" w:rsidRDefault="00FD45A3">
            <w:pPr>
              <w:jc w:val="left"/>
              <w:rPr>
                <w:b/>
                <w:bCs/>
                <w:sz w:val="18"/>
                <w:szCs w:val="18"/>
              </w:rPr>
            </w:pPr>
            <w:r>
              <w:rPr>
                <w:sz w:val="18"/>
                <w:szCs w:val="18"/>
              </w:rPr>
              <w:t>当工程占地规模大于</w:t>
            </w:r>
            <w:r>
              <w:rPr>
                <w:sz w:val="18"/>
                <w:szCs w:val="18"/>
              </w:rPr>
              <w:t>20km</w:t>
            </w:r>
            <w:r>
              <w:rPr>
                <w:sz w:val="18"/>
                <w:szCs w:val="18"/>
                <w:vertAlign w:val="superscript"/>
              </w:rPr>
              <w:t>2</w:t>
            </w:r>
            <w:r>
              <w:rPr>
                <w:sz w:val="18"/>
                <w:szCs w:val="18"/>
              </w:rPr>
              <w:t>时（包括永久和临时占用陆域和水域），评价等级不低于二级；改扩建项目的占地范围以新增占地（包括陆域和水域）确定；</w:t>
            </w:r>
          </w:p>
        </w:tc>
        <w:tc>
          <w:tcPr>
            <w:tcW w:w="801" w:type="pct"/>
            <w:vAlign w:val="center"/>
          </w:tcPr>
          <w:p w:rsidR="00EE4502" w:rsidRDefault="00FD45A3">
            <w:pPr>
              <w:jc w:val="center"/>
              <w:rPr>
                <w:bCs/>
                <w:sz w:val="18"/>
                <w:szCs w:val="18"/>
              </w:rPr>
            </w:pPr>
            <w:r>
              <w:rPr>
                <w:bCs/>
                <w:sz w:val="18"/>
                <w:szCs w:val="18"/>
              </w:rPr>
              <w:t>不涉及</w:t>
            </w:r>
          </w:p>
        </w:tc>
        <w:tc>
          <w:tcPr>
            <w:tcW w:w="689" w:type="pct"/>
            <w:vAlign w:val="center"/>
          </w:tcPr>
          <w:p w:rsidR="00EE4502" w:rsidRDefault="00FD45A3">
            <w:pPr>
              <w:jc w:val="center"/>
              <w:rPr>
                <w:bCs/>
                <w:sz w:val="18"/>
                <w:szCs w:val="18"/>
              </w:rPr>
            </w:pPr>
            <w:r>
              <w:rPr>
                <w:bCs/>
                <w:sz w:val="18"/>
                <w:szCs w:val="18"/>
              </w:rPr>
              <w:t>/</w:t>
            </w:r>
          </w:p>
        </w:tc>
      </w:tr>
      <w:tr w:rsidR="00EE4502">
        <w:trPr>
          <w:trHeight w:val="340"/>
          <w:jc w:val="center"/>
        </w:trPr>
        <w:tc>
          <w:tcPr>
            <w:tcW w:w="375" w:type="pct"/>
            <w:vAlign w:val="center"/>
          </w:tcPr>
          <w:p w:rsidR="00EE4502" w:rsidRDefault="00FD45A3">
            <w:pPr>
              <w:jc w:val="center"/>
              <w:rPr>
                <w:bCs/>
                <w:sz w:val="18"/>
                <w:szCs w:val="18"/>
              </w:rPr>
            </w:pPr>
            <w:r>
              <w:rPr>
                <w:bCs/>
                <w:sz w:val="18"/>
                <w:szCs w:val="18"/>
              </w:rPr>
              <w:t>g</w:t>
            </w:r>
          </w:p>
        </w:tc>
        <w:tc>
          <w:tcPr>
            <w:tcW w:w="3134" w:type="pct"/>
            <w:vAlign w:val="center"/>
          </w:tcPr>
          <w:p w:rsidR="00EE4502" w:rsidRDefault="00FD45A3">
            <w:pPr>
              <w:jc w:val="left"/>
              <w:rPr>
                <w:sz w:val="18"/>
                <w:szCs w:val="18"/>
              </w:rPr>
            </w:pPr>
            <w:r>
              <w:rPr>
                <w:sz w:val="18"/>
                <w:szCs w:val="18"/>
              </w:rPr>
              <w:t>除本条</w:t>
            </w:r>
            <w:r>
              <w:rPr>
                <w:sz w:val="18"/>
                <w:szCs w:val="18"/>
              </w:rPr>
              <w:t>a~f</w:t>
            </w:r>
            <w:r>
              <w:rPr>
                <w:sz w:val="18"/>
                <w:szCs w:val="18"/>
              </w:rPr>
              <w:t>以外的情况，评价等级为三级；</w:t>
            </w:r>
          </w:p>
        </w:tc>
        <w:tc>
          <w:tcPr>
            <w:tcW w:w="801" w:type="pct"/>
            <w:vAlign w:val="center"/>
          </w:tcPr>
          <w:p w:rsidR="00EE4502" w:rsidRDefault="00FD45A3">
            <w:pPr>
              <w:jc w:val="center"/>
              <w:rPr>
                <w:bCs/>
                <w:sz w:val="18"/>
                <w:szCs w:val="18"/>
              </w:rPr>
            </w:pPr>
            <w:r>
              <w:rPr>
                <w:bCs/>
                <w:sz w:val="18"/>
                <w:szCs w:val="18"/>
              </w:rPr>
              <w:t>不涉及</w:t>
            </w:r>
          </w:p>
        </w:tc>
        <w:tc>
          <w:tcPr>
            <w:tcW w:w="689" w:type="pct"/>
            <w:vAlign w:val="center"/>
          </w:tcPr>
          <w:p w:rsidR="00EE4502" w:rsidRDefault="00FD45A3">
            <w:pPr>
              <w:jc w:val="center"/>
              <w:rPr>
                <w:bCs/>
                <w:sz w:val="18"/>
                <w:szCs w:val="18"/>
              </w:rPr>
            </w:pPr>
            <w:r>
              <w:rPr>
                <w:bCs/>
                <w:sz w:val="18"/>
                <w:szCs w:val="18"/>
              </w:rPr>
              <w:t>/</w:t>
            </w:r>
          </w:p>
        </w:tc>
      </w:tr>
      <w:tr w:rsidR="00EE4502">
        <w:trPr>
          <w:trHeight w:val="340"/>
          <w:jc w:val="center"/>
        </w:trPr>
        <w:tc>
          <w:tcPr>
            <w:tcW w:w="375" w:type="pct"/>
            <w:vAlign w:val="center"/>
          </w:tcPr>
          <w:p w:rsidR="00EE4502" w:rsidRDefault="00FD45A3">
            <w:pPr>
              <w:jc w:val="center"/>
              <w:rPr>
                <w:bCs/>
                <w:sz w:val="18"/>
                <w:szCs w:val="18"/>
              </w:rPr>
            </w:pPr>
            <w:r>
              <w:rPr>
                <w:bCs/>
                <w:sz w:val="18"/>
                <w:szCs w:val="18"/>
              </w:rPr>
              <w:t>h</w:t>
            </w:r>
          </w:p>
        </w:tc>
        <w:tc>
          <w:tcPr>
            <w:tcW w:w="3134" w:type="pct"/>
            <w:vAlign w:val="center"/>
          </w:tcPr>
          <w:p w:rsidR="00EE4502" w:rsidRDefault="00FD45A3">
            <w:pPr>
              <w:jc w:val="left"/>
              <w:rPr>
                <w:sz w:val="18"/>
                <w:szCs w:val="18"/>
              </w:rPr>
            </w:pPr>
            <w:r>
              <w:rPr>
                <w:sz w:val="18"/>
                <w:szCs w:val="18"/>
              </w:rPr>
              <w:t>当评价等级判定同时符合上述多种情况时，应采用其中最高的评价等级</w:t>
            </w:r>
          </w:p>
        </w:tc>
        <w:tc>
          <w:tcPr>
            <w:tcW w:w="801" w:type="pct"/>
            <w:vAlign w:val="center"/>
          </w:tcPr>
          <w:p w:rsidR="00EE4502" w:rsidRDefault="00FD45A3">
            <w:pPr>
              <w:jc w:val="center"/>
              <w:rPr>
                <w:bCs/>
                <w:sz w:val="18"/>
                <w:szCs w:val="18"/>
              </w:rPr>
            </w:pPr>
            <w:r>
              <w:rPr>
                <w:bCs/>
                <w:sz w:val="18"/>
                <w:szCs w:val="18"/>
              </w:rPr>
              <w:t>不涉及</w:t>
            </w:r>
          </w:p>
        </w:tc>
        <w:tc>
          <w:tcPr>
            <w:tcW w:w="689" w:type="pct"/>
            <w:vAlign w:val="center"/>
          </w:tcPr>
          <w:p w:rsidR="00EE4502" w:rsidRDefault="00FD45A3">
            <w:pPr>
              <w:jc w:val="center"/>
              <w:rPr>
                <w:bCs/>
                <w:sz w:val="18"/>
                <w:szCs w:val="18"/>
              </w:rPr>
            </w:pPr>
            <w:r>
              <w:rPr>
                <w:bCs/>
                <w:sz w:val="18"/>
                <w:szCs w:val="18"/>
              </w:rPr>
              <w:t>/</w:t>
            </w:r>
          </w:p>
        </w:tc>
      </w:tr>
    </w:tbl>
    <w:p w:rsidR="00EE4502" w:rsidRDefault="00FD45A3">
      <w:pPr>
        <w:spacing w:line="360" w:lineRule="auto"/>
        <w:ind w:firstLineChars="200" w:firstLine="480"/>
        <w:rPr>
          <w:sz w:val="24"/>
        </w:rPr>
      </w:pPr>
      <w:r>
        <w:rPr>
          <w:rFonts w:hint="eastAsia"/>
          <w:sz w:val="24"/>
        </w:rPr>
        <w:t>（</w:t>
      </w:r>
      <w:r>
        <w:rPr>
          <w:rFonts w:hint="eastAsia"/>
          <w:sz w:val="24"/>
        </w:rPr>
        <w:t>2</w:t>
      </w:r>
      <w:r>
        <w:rPr>
          <w:rFonts w:hint="eastAsia"/>
          <w:sz w:val="24"/>
        </w:rPr>
        <w:t>）评价范围</w:t>
      </w:r>
    </w:p>
    <w:p w:rsidR="00EE4502" w:rsidRDefault="00FD45A3">
      <w:pPr>
        <w:spacing w:line="360" w:lineRule="auto"/>
        <w:ind w:firstLineChars="200" w:firstLine="480"/>
        <w:rPr>
          <w:bCs/>
          <w:sz w:val="24"/>
        </w:rPr>
      </w:pPr>
      <w:r>
        <w:rPr>
          <w:rFonts w:hint="eastAsia"/>
          <w:sz w:val="24"/>
        </w:rPr>
        <w:t>根据《环境影响评价技术导则</w:t>
      </w:r>
      <w:r>
        <w:rPr>
          <w:rFonts w:hint="eastAsia"/>
          <w:sz w:val="24"/>
        </w:rPr>
        <w:t xml:space="preserve"> </w:t>
      </w:r>
      <w:r>
        <w:rPr>
          <w:rFonts w:hint="eastAsia"/>
          <w:sz w:val="24"/>
        </w:rPr>
        <w:t>生态影响》（</w:t>
      </w:r>
      <w:r>
        <w:rPr>
          <w:rFonts w:hint="eastAsia"/>
          <w:sz w:val="24"/>
        </w:rPr>
        <w:t>HJ19-2022</w:t>
      </w:r>
      <w:r>
        <w:rPr>
          <w:rFonts w:hint="eastAsia"/>
          <w:sz w:val="24"/>
        </w:rPr>
        <w:t>）及《环境影响评价技术导则</w:t>
      </w:r>
      <w:r>
        <w:rPr>
          <w:rFonts w:hint="eastAsia"/>
          <w:sz w:val="24"/>
        </w:rPr>
        <w:t xml:space="preserve"> </w:t>
      </w:r>
      <w:r>
        <w:rPr>
          <w:rFonts w:hint="eastAsia"/>
          <w:sz w:val="24"/>
        </w:rPr>
        <w:t>陆地石油天然气开发建设项目》（</w:t>
      </w:r>
      <w:r>
        <w:rPr>
          <w:rFonts w:hint="eastAsia"/>
          <w:sz w:val="24"/>
        </w:rPr>
        <w:t>HJ349-2023</w:t>
      </w:r>
      <w:r>
        <w:rPr>
          <w:rFonts w:hint="eastAsia"/>
          <w:sz w:val="24"/>
        </w:rPr>
        <w:t>），本工程以井场</w:t>
      </w:r>
      <w:r>
        <w:rPr>
          <w:rFonts w:hint="eastAsia"/>
          <w:sz w:val="24"/>
        </w:rPr>
        <w:t>及站场</w:t>
      </w:r>
      <w:r>
        <w:rPr>
          <w:rFonts w:hint="eastAsia"/>
          <w:sz w:val="24"/>
        </w:rPr>
        <w:t>场界周围</w:t>
      </w:r>
      <w:r>
        <w:rPr>
          <w:rFonts w:hint="eastAsia"/>
          <w:sz w:val="24"/>
        </w:rPr>
        <w:t>50m</w:t>
      </w:r>
      <w:r>
        <w:rPr>
          <w:rFonts w:hint="eastAsia"/>
          <w:sz w:val="24"/>
        </w:rPr>
        <w:t>范围、</w:t>
      </w:r>
      <w:r>
        <w:rPr>
          <w:rFonts w:hint="eastAsia"/>
          <w:sz w:val="24"/>
        </w:rPr>
        <w:t>管沟</w:t>
      </w:r>
      <w:r>
        <w:rPr>
          <w:rFonts w:hint="eastAsia"/>
          <w:sz w:val="24"/>
        </w:rPr>
        <w:t>等线性工程两侧外延</w:t>
      </w:r>
      <w:r>
        <w:rPr>
          <w:rFonts w:hint="eastAsia"/>
          <w:sz w:val="24"/>
        </w:rPr>
        <w:t>300m</w:t>
      </w:r>
      <w:r>
        <w:rPr>
          <w:rFonts w:hint="eastAsia"/>
          <w:sz w:val="24"/>
        </w:rPr>
        <w:t>为评价范围；同时线性工程穿越公益林时，以线路穿越段向两端外延</w:t>
      </w:r>
      <w:r>
        <w:rPr>
          <w:rFonts w:hint="eastAsia"/>
          <w:sz w:val="24"/>
        </w:rPr>
        <w:t>1km</w:t>
      </w:r>
      <w:r>
        <w:rPr>
          <w:rFonts w:hint="eastAsia"/>
          <w:sz w:val="24"/>
        </w:rPr>
        <w:t>、线路中心线向两侧外延</w:t>
      </w:r>
      <w:r>
        <w:rPr>
          <w:rFonts w:hint="eastAsia"/>
          <w:sz w:val="24"/>
        </w:rPr>
        <w:t>1km</w:t>
      </w:r>
      <w:r>
        <w:rPr>
          <w:rFonts w:hint="eastAsia"/>
          <w:sz w:val="24"/>
        </w:rPr>
        <w:t>为评价范围</w:t>
      </w:r>
      <w:r>
        <w:rPr>
          <w:rFonts w:hint="eastAsia"/>
          <w:bCs/>
          <w:sz w:val="24"/>
        </w:rPr>
        <w:t>。</w:t>
      </w:r>
    </w:p>
    <w:p w:rsidR="00EE4502" w:rsidRDefault="00FD45A3">
      <w:pPr>
        <w:pStyle w:val="33"/>
        <w:numPr>
          <w:ilvl w:val="2"/>
          <w:numId w:val="30"/>
        </w:numPr>
        <w:spacing w:line="360" w:lineRule="auto"/>
        <w:ind w:left="0" w:firstLine="0"/>
        <w:rPr>
          <w:spacing w:val="0"/>
          <w:sz w:val="24"/>
          <w:szCs w:val="24"/>
        </w:rPr>
      </w:pPr>
      <w:r>
        <w:rPr>
          <w:rFonts w:hint="eastAsia"/>
          <w:spacing w:val="0"/>
          <w:sz w:val="24"/>
          <w:szCs w:val="24"/>
        </w:rPr>
        <w:t>地下水环境影响评价等级和评价范围</w:t>
      </w:r>
    </w:p>
    <w:p w:rsidR="00EE4502" w:rsidRDefault="00FD45A3">
      <w:pPr>
        <w:autoSpaceDE w:val="0"/>
        <w:autoSpaceDN w:val="0"/>
        <w:spacing w:line="360" w:lineRule="auto"/>
        <w:ind w:firstLineChars="200" w:firstLine="480"/>
        <w:rPr>
          <w:sz w:val="24"/>
        </w:rPr>
      </w:pPr>
      <w:r>
        <w:rPr>
          <w:rFonts w:hint="eastAsia"/>
          <w:sz w:val="24"/>
        </w:rPr>
        <w:t>（</w:t>
      </w:r>
      <w:r>
        <w:rPr>
          <w:rFonts w:hint="eastAsia"/>
          <w:sz w:val="24"/>
        </w:rPr>
        <w:t>1</w:t>
      </w:r>
      <w:r>
        <w:rPr>
          <w:rFonts w:hint="eastAsia"/>
          <w:sz w:val="24"/>
        </w:rPr>
        <w:t>）评价等级</w:t>
      </w:r>
    </w:p>
    <w:p w:rsidR="00EE4502" w:rsidRDefault="00FD45A3">
      <w:pPr>
        <w:autoSpaceDE w:val="0"/>
        <w:autoSpaceDN w:val="0"/>
        <w:spacing w:line="360" w:lineRule="auto"/>
        <w:ind w:firstLineChars="200" w:firstLine="480"/>
        <w:rPr>
          <w:sz w:val="24"/>
        </w:rPr>
      </w:pPr>
      <w:r>
        <w:rPr>
          <w:sz w:val="24"/>
        </w:rPr>
        <w:t>根据《环境影响评价技术导则</w:t>
      </w:r>
      <w:r>
        <w:rPr>
          <w:sz w:val="24"/>
        </w:rPr>
        <w:t xml:space="preserve"> </w:t>
      </w:r>
      <w:r>
        <w:rPr>
          <w:sz w:val="24"/>
        </w:rPr>
        <w:t>地下水环境》（</w:t>
      </w:r>
      <w:r>
        <w:rPr>
          <w:sz w:val="24"/>
        </w:rPr>
        <w:t>HJ 610-2016</w:t>
      </w:r>
      <w:r>
        <w:rPr>
          <w:sz w:val="24"/>
        </w:rPr>
        <w:t>）</w:t>
      </w:r>
      <w:r>
        <w:rPr>
          <w:rFonts w:hint="eastAsia"/>
          <w:sz w:val="24"/>
        </w:rPr>
        <w:t>附录</w:t>
      </w:r>
      <w:r>
        <w:rPr>
          <w:rFonts w:hint="eastAsia"/>
          <w:sz w:val="24"/>
        </w:rPr>
        <w:t>A</w:t>
      </w:r>
      <w:r>
        <w:rPr>
          <w:rFonts w:hint="eastAsia"/>
          <w:sz w:val="24"/>
        </w:rPr>
        <w:t>及《环境影响评价技术导则</w:t>
      </w:r>
      <w:r>
        <w:rPr>
          <w:rFonts w:hint="eastAsia"/>
          <w:sz w:val="24"/>
        </w:rPr>
        <w:t xml:space="preserve"> </w:t>
      </w:r>
      <w:r>
        <w:rPr>
          <w:rFonts w:hint="eastAsia"/>
          <w:sz w:val="24"/>
        </w:rPr>
        <w:t>陆地石油天然气开发建设项目》（</w:t>
      </w:r>
      <w:r>
        <w:rPr>
          <w:rFonts w:hint="eastAsia"/>
          <w:sz w:val="24"/>
        </w:rPr>
        <w:t>HJ 349-2023</w:t>
      </w:r>
      <w:r>
        <w:rPr>
          <w:rFonts w:hint="eastAsia"/>
          <w:sz w:val="24"/>
        </w:rPr>
        <w:t>），拟建工程井场建设内容属于“</w:t>
      </w:r>
      <w:r>
        <w:rPr>
          <w:rFonts w:hint="eastAsia"/>
          <w:sz w:val="24"/>
        </w:rPr>
        <w:t>F</w:t>
      </w:r>
      <w:r>
        <w:rPr>
          <w:rFonts w:hint="eastAsia"/>
          <w:sz w:val="24"/>
        </w:rPr>
        <w:t>石油、天然气”中的“</w:t>
      </w:r>
      <w:r>
        <w:rPr>
          <w:rFonts w:hint="eastAsia"/>
          <w:sz w:val="24"/>
        </w:rPr>
        <w:t>37</w:t>
      </w:r>
      <w:r>
        <w:rPr>
          <w:rFonts w:hint="eastAsia"/>
          <w:sz w:val="24"/>
        </w:rPr>
        <w:t>、石油开采”，</w:t>
      </w:r>
      <w:r>
        <w:rPr>
          <w:sz w:val="24"/>
        </w:rPr>
        <w:t>地下水环境影响评价行业分类表的规定，</w:t>
      </w:r>
      <w:r>
        <w:rPr>
          <w:rFonts w:hint="eastAsia"/>
          <w:sz w:val="24"/>
        </w:rPr>
        <w:t>本工程</w:t>
      </w:r>
      <w:r>
        <w:rPr>
          <w:sz w:val="24"/>
        </w:rPr>
        <w:t>属于石油开采，属于</w:t>
      </w:r>
      <w:r>
        <w:rPr>
          <w:sz w:val="24"/>
        </w:rPr>
        <w:t>Ⅰ</w:t>
      </w:r>
      <w:r>
        <w:rPr>
          <w:sz w:val="24"/>
        </w:rPr>
        <w:t>类建设项目。地下水环境影响评价项目类别见表</w:t>
      </w:r>
      <w:r>
        <w:rPr>
          <w:sz w:val="24"/>
        </w:rPr>
        <w:t>2-</w:t>
      </w:r>
      <w:r>
        <w:rPr>
          <w:rFonts w:hint="eastAsia"/>
          <w:sz w:val="24"/>
        </w:rPr>
        <w:t>5-2</w:t>
      </w:r>
      <w:r>
        <w:rPr>
          <w:sz w:val="24"/>
        </w:rPr>
        <w:t>。</w:t>
      </w:r>
    </w:p>
    <w:p w:rsidR="00EE4502" w:rsidRDefault="00FD45A3">
      <w:pPr>
        <w:spacing w:line="360" w:lineRule="auto"/>
        <w:jc w:val="center"/>
        <w:rPr>
          <w:rFonts w:eastAsia="黑体"/>
          <w:sz w:val="20"/>
          <w:szCs w:val="21"/>
        </w:rPr>
      </w:pPr>
      <w:r>
        <w:rPr>
          <w:rFonts w:eastAsia="黑体"/>
          <w:szCs w:val="21"/>
        </w:rPr>
        <w:t>表</w:t>
      </w:r>
      <w:r>
        <w:rPr>
          <w:rFonts w:eastAsia="黑体"/>
          <w:szCs w:val="21"/>
        </w:rPr>
        <w:t>2-</w:t>
      </w:r>
      <w:r>
        <w:rPr>
          <w:rFonts w:eastAsia="黑体" w:hint="eastAsia"/>
          <w:szCs w:val="21"/>
        </w:rPr>
        <w:t>5-2</w:t>
      </w:r>
      <w:r>
        <w:rPr>
          <w:rFonts w:eastAsia="黑体"/>
          <w:szCs w:val="21"/>
        </w:rPr>
        <w:t xml:space="preserve">  </w:t>
      </w:r>
      <w:r>
        <w:rPr>
          <w:rFonts w:eastAsia="黑体"/>
          <w:szCs w:val="21"/>
        </w:rPr>
        <w:t>地下水环境影响评价行业类别</w:t>
      </w:r>
    </w:p>
    <w:tbl>
      <w:tblPr>
        <w:tblW w:w="4998" w:type="pct"/>
        <w:jc w:val="center"/>
        <w:tblBorders>
          <w:top w:val="single" w:sz="8" w:space="0" w:color="auto"/>
          <w:bottom w:val="single" w:sz="8" w:space="0" w:color="auto"/>
          <w:insideH w:val="single" w:sz="8" w:space="0" w:color="auto"/>
          <w:insideV w:val="single" w:sz="8" w:space="0" w:color="auto"/>
        </w:tblBorders>
        <w:tblLook w:val="04A0" w:firstRow="1" w:lastRow="0" w:firstColumn="1" w:lastColumn="0" w:noHBand="0" w:noVBand="1"/>
      </w:tblPr>
      <w:tblGrid>
        <w:gridCol w:w="2090"/>
        <w:gridCol w:w="1198"/>
        <w:gridCol w:w="1198"/>
        <w:gridCol w:w="2012"/>
        <w:gridCol w:w="2021"/>
      </w:tblGrid>
      <w:tr w:rsidR="00EE4502">
        <w:trPr>
          <w:trHeight w:val="340"/>
          <w:jc w:val="center"/>
        </w:trPr>
        <w:tc>
          <w:tcPr>
            <w:tcW w:w="1227" w:type="pct"/>
            <w:vMerge w:val="restart"/>
            <w:tcBorders>
              <w:tl2br w:val="single" w:sz="8" w:space="0" w:color="auto"/>
            </w:tcBorders>
            <w:vAlign w:val="center"/>
          </w:tcPr>
          <w:p w:rsidR="00EE4502" w:rsidRDefault="00FD45A3">
            <w:pPr>
              <w:jc w:val="right"/>
              <w:rPr>
                <w:bCs/>
                <w:sz w:val="18"/>
                <w:szCs w:val="18"/>
              </w:rPr>
            </w:pPr>
            <w:r>
              <w:rPr>
                <w:rFonts w:hAnsi="宋体"/>
                <w:bCs/>
                <w:sz w:val="18"/>
                <w:szCs w:val="18"/>
              </w:rPr>
              <w:lastRenderedPageBreak/>
              <w:t>环评类别</w:t>
            </w:r>
          </w:p>
          <w:p w:rsidR="00EE4502" w:rsidRDefault="00FD45A3">
            <w:pPr>
              <w:rPr>
                <w:bCs/>
                <w:sz w:val="18"/>
                <w:szCs w:val="18"/>
              </w:rPr>
            </w:pPr>
            <w:r>
              <w:rPr>
                <w:rFonts w:hAnsi="宋体"/>
                <w:bCs/>
                <w:sz w:val="18"/>
                <w:szCs w:val="18"/>
              </w:rPr>
              <w:t>行业类别</w:t>
            </w:r>
          </w:p>
        </w:tc>
        <w:tc>
          <w:tcPr>
            <w:tcW w:w="703" w:type="pct"/>
            <w:vMerge w:val="restart"/>
            <w:vAlign w:val="center"/>
          </w:tcPr>
          <w:p w:rsidR="00EE4502" w:rsidRDefault="00FD45A3">
            <w:pPr>
              <w:jc w:val="center"/>
              <w:rPr>
                <w:bCs/>
                <w:sz w:val="18"/>
                <w:szCs w:val="18"/>
              </w:rPr>
            </w:pPr>
            <w:r>
              <w:rPr>
                <w:rFonts w:hAnsi="宋体"/>
                <w:bCs/>
                <w:sz w:val="18"/>
                <w:szCs w:val="18"/>
              </w:rPr>
              <w:t>报告书</w:t>
            </w:r>
          </w:p>
        </w:tc>
        <w:tc>
          <w:tcPr>
            <w:tcW w:w="703" w:type="pct"/>
            <w:vMerge w:val="restart"/>
            <w:vAlign w:val="center"/>
          </w:tcPr>
          <w:p w:rsidR="00EE4502" w:rsidRDefault="00FD45A3">
            <w:pPr>
              <w:jc w:val="center"/>
              <w:rPr>
                <w:bCs/>
                <w:sz w:val="18"/>
                <w:szCs w:val="18"/>
              </w:rPr>
            </w:pPr>
            <w:r>
              <w:rPr>
                <w:rFonts w:hAnsi="宋体"/>
                <w:bCs/>
                <w:sz w:val="18"/>
                <w:szCs w:val="18"/>
              </w:rPr>
              <w:t>报告表</w:t>
            </w:r>
          </w:p>
        </w:tc>
        <w:tc>
          <w:tcPr>
            <w:tcW w:w="2365" w:type="pct"/>
            <w:gridSpan w:val="2"/>
            <w:vAlign w:val="center"/>
          </w:tcPr>
          <w:p w:rsidR="00EE4502" w:rsidRDefault="00FD45A3">
            <w:pPr>
              <w:jc w:val="center"/>
              <w:rPr>
                <w:bCs/>
                <w:sz w:val="18"/>
                <w:szCs w:val="18"/>
              </w:rPr>
            </w:pPr>
            <w:r>
              <w:rPr>
                <w:rFonts w:hAnsi="宋体"/>
                <w:bCs/>
                <w:sz w:val="18"/>
                <w:szCs w:val="18"/>
              </w:rPr>
              <w:t>地下水环境影响评价项目类别</w:t>
            </w:r>
          </w:p>
        </w:tc>
      </w:tr>
      <w:tr w:rsidR="00EE4502">
        <w:trPr>
          <w:trHeight w:val="340"/>
          <w:jc w:val="center"/>
        </w:trPr>
        <w:tc>
          <w:tcPr>
            <w:tcW w:w="1227" w:type="pct"/>
            <w:vMerge/>
            <w:vAlign w:val="center"/>
          </w:tcPr>
          <w:p w:rsidR="00EE4502" w:rsidRDefault="00EE4502">
            <w:pPr>
              <w:jc w:val="center"/>
              <w:rPr>
                <w:bCs/>
                <w:sz w:val="18"/>
                <w:szCs w:val="18"/>
              </w:rPr>
            </w:pPr>
          </w:p>
        </w:tc>
        <w:tc>
          <w:tcPr>
            <w:tcW w:w="703" w:type="pct"/>
            <w:vMerge/>
            <w:vAlign w:val="center"/>
          </w:tcPr>
          <w:p w:rsidR="00EE4502" w:rsidRDefault="00EE4502">
            <w:pPr>
              <w:jc w:val="center"/>
              <w:rPr>
                <w:bCs/>
                <w:sz w:val="18"/>
                <w:szCs w:val="18"/>
              </w:rPr>
            </w:pPr>
          </w:p>
        </w:tc>
        <w:tc>
          <w:tcPr>
            <w:tcW w:w="703" w:type="pct"/>
            <w:vMerge/>
            <w:vAlign w:val="center"/>
          </w:tcPr>
          <w:p w:rsidR="00EE4502" w:rsidRDefault="00EE4502">
            <w:pPr>
              <w:jc w:val="center"/>
              <w:rPr>
                <w:bCs/>
                <w:sz w:val="18"/>
                <w:szCs w:val="18"/>
              </w:rPr>
            </w:pPr>
          </w:p>
        </w:tc>
        <w:tc>
          <w:tcPr>
            <w:tcW w:w="1181" w:type="pct"/>
            <w:vAlign w:val="center"/>
          </w:tcPr>
          <w:p w:rsidR="00EE4502" w:rsidRDefault="00FD45A3">
            <w:pPr>
              <w:jc w:val="center"/>
              <w:rPr>
                <w:bCs/>
                <w:sz w:val="18"/>
                <w:szCs w:val="18"/>
              </w:rPr>
            </w:pPr>
            <w:r>
              <w:rPr>
                <w:rFonts w:hAnsi="宋体"/>
                <w:bCs/>
                <w:sz w:val="18"/>
                <w:szCs w:val="18"/>
              </w:rPr>
              <w:t>报告书</w:t>
            </w:r>
          </w:p>
        </w:tc>
        <w:tc>
          <w:tcPr>
            <w:tcW w:w="1184" w:type="pct"/>
            <w:vAlign w:val="center"/>
          </w:tcPr>
          <w:p w:rsidR="00EE4502" w:rsidRDefault="00FD45A3">
            <w:pPr>
              <w:jc w:val="center"/>
              <w:rPr>
                <w:bCs/>
                <w:sz w:val="18"/>
                <w:szCs w:val="18"/>
              </w:rPr>
            </w:pPr>
            <w:r>
              <w:rPr>
                <w:rFonts w:hAnsi="宋体"/>
                <w:bCs/>
                <w:sz w:val="18"/>
                <w:szCs w:val="18"/>
              </w:rPr>
              <w:t>报告表</w:t>
            </w:r>
          </w:p>
        </w:tc>
      </w:tr>
      <w:tr w:rsidR="00EE4502">
        <w:trPr>
          <w:trHeight w:val="340"/>
          <w:jc w:val="center"/>
        </w:trPr>
        <w:tc>
          <w:tcPr>
            <w:tcW w:w="5000" w:type="pct"/>
            <w:gridSpan w:val="5"/>
            <w:vAlign w:val="center"/>
          </w:tcPr>
          <w:p w:rsidR="00EE4502" w:rsidRDefault="00FD45A3">
            <w:pPr>
              <w:jc w:val="center"/>
              <w:rPr>
                <w:bCs/>
                <w:sz w:val="18"/>
                <w:szCs w:val="18"/>
              </w:rPr>
            </w:pPr>
            <w:r>
              <w:rPr>
                <w:bCs/>
                <w:sz w:val="18"/>
                <w:szCs w:val="18"/>
              </w:rPr>
              <w:t xml:space="preserve">F </w:t>
            </w:r>
            <w:r>
              <w:rPr>
                <w:rFonts w:hAnsi="宋体"/>
                <w:bCs/>
                <w:sz w:val="18"/>
                <w:szCs w:val="18"/>
              </w:rPr>
              <w:t>石油、天然气</w:t>
            </w:r>
          </w:p>
        </w:tc>
      </w:tr>
      <w:tr w:rsidR="00EE4502">
        <w:trPr>
          <w:trHeight w:val="340"/>
          <w:jc w:val="center"/>
        </w:trPr>
        <w:tc>
          <w:tcPr>
            <w:tcW w:w="1227" w:type="pct"/>
            <w:vAlign w:val="center"/>
          </w:tcPr>
          <w:p w:rsidR="00EE4502" w:rsidRDefault="00FD45A3">
            <w:pPr>
              <w:jc w:val="center"/>
              <w:rPr>
                <w:bCs/>
                <w:sz w:val="18"/>
                <w:szCs w:val="18"/>
              </w:rPr>
            </w:pPr>
            <w:r>
              <w:rPr>
                <w:bCs/>
                <w:sz w:val="18"/>
                <w:szCs w:val="18"/>
              </w:rPr>
              <w:t>37</w:t>
            </w:r>
            <w:r>
              <w:rPr>
                <w:rFonts w:hAnsi="宋体"/>
                <w:bCs/>
                <w:sz w:val="18"/>
                <w:szCs w:val="18"/>
              </w:rPr>
              <w:t>、石油开采</w:t>
            </w:r>
          </w:p>
        </w:tc>
        <w:tc>
          <w:tcPr>
            <w:tcW w:w="703" w:type="pct"/>
            <w:vAlign w:val="center"/>
          </w:tcPr>
          <w:p w:rsidR="00EE4502" w:rsidRDefault="00FD45A3">
            <w:pPr>
              <w:jc w:val="center"/>
              <w:rPr>
                <w:bCs/>
                <w:sz w:val="18"/>
                <w:szCs w:val="18"/>
              </w:rPr>
            </w:pPr>
            <w:r>
              <w:rPr>
                <w:rFonts w:hAnsi="宋体"/>
                <w:bCs/>
                <w:sz w:val="18"/>
                <w:szCs w:val="18"/>
              </w:rPr>
              <w:t>全部</w:t>
            </w:r>
          </w:p>
        </w:tc>
        <w:tc>
          <w:tcPr>
            <w:tcW w:w="703" w:type="pct"/>
            <w:vAlign w:val="center"/>
          </w:tcPr>
          <w:p w:rsidR="00EE4502" w:rsidRDefault="00FD45A3">
            <w:pPr>
              <w:jc w:val="center"/>
              <w:rPr>
                <w:bCs/>
                <w:sz w:val="18"/>
                <w:szCs w:val="18"/>
              </w:rPr>
            </w:pPr>
            <w:r>
              <w:rPr>
                <w:bCs/>
                <w:sz w:val="18"/>
                <w:szCs w:val="18"/>
              </w:rPr>
              <w:t>/</w:t>
            </w:r>
          </w:p>
        </w:tc>
        <w:tc>
          <w:tcPr>
            <w:tcW w:w="1181" w:type="pct"/>
            <w:vAlign w:val="center"/>
          </w:tcPr>
          <w:p w:rsidR="00EE4502" w:rsidRDefault="00FD45A3">
            <w:pPr>
              <w:jc w:val="center"/>
              <w:rPr>
                <w:bCs/>
                <w:sz w:val="18"/>
                <w:szCs w:val="18"/>
              </w:rPr>
            </w:pPr>
            <w:r>
              <w:rPr>
                <w:bCs/>
                <w:sz w:val="18"/>
                <w:szCs w:val="18"/>
              </w:rPr>
              <w:t>I</w:t>
            </w:r>
            <w:r>
              <w:rPr>
                <w:rFonts w:hAnsi="宋体"/>
                <w:bCs/>
                <w:sz w:val="18"/>
                <w:szCs w:val="18"/>
              </w:rPr>
              <w:t>类</w:t>
            </w:r>
          </w:p>
        </w:tc>
        <w:tc>
          <w:tcPr>
            <w:tcW w:w="1184" w:type="pct"/>
            <w:vAlign w:val="center"/>
          </w:tcPr>
          <w:p w:rsidR="00EE4502" w:rsidRDefault="00FD45A3">
            <w:pPr>
              <w:jc w:val="center"/>
              <w:rPr>
                <w:bCs/>
                <w:sz w:val="18"/>
                <w:szCs w:val="18"/>
              </w:rPr>
            </w:pPr>
            <w:r>
              <w:rPr>
                <w:bCs/>
                <w:sz w:val="18"/>
                <w:szCs w:val="18"/>
              </w:rPr>
              <w:t>/</w:t>
            </w:r>
          </w:p>
        </w:tc>
      </w:tr>
      <w:tr w:rsidR="00EE4502">
        <w:trPr>
          <w:trHeight w:val="340"/>
          <w:jc w:val="center"/>
        </w:trPr>
        <w:tc>
          <w:tcPr>
            <w:tcW w:w="1227" w:type="pct"/>
            <w:vAlign w:val="center"/>
          </w:tcPr>
          <w:p w:rsidR="00EE4502" w:rsidRDefault="00FD45A3">
            <w:pPr>
              <w:jc w:val="center"/>
              <w:rPr>
                <w:bCs/>
                <w:sz w:val="18"/>
                <w:szCs w:val="18"/>
              </w:rPr>
            </w:pPr>
            <w:r>
              <w:rPr>
                <w:bCs/>
                <w:sz w:val="18"/>
                <w:szCs w:val="18"/>
              </w:rPr>
              <w:t>41</w:t>
            </w:r>
            <w:r>
              <w:rPr>
                <w:bCs/>
                <w:sz w:val="18"/>
                <w:szCs w:val="18"/>
              </w:rPr>
              <w:t>、石油、天然气、成品油管线（不含城市天然气管线）</w:t>
            </w:r>
          </w:p>
        </w:tc>
        <w:tc>
          <w:tcPr>
            <w:tcW w:w="703" w:type="pct"/>
            <w:vAlign w:val="center"/>
          </w:tcPr>
          <w:p w:rsidR="00EE4502" w:rsidRDefault="00FD45A3">
            <w:pPr>
              <w:jc w:val="center"/>
              <w:rPr>
                <w:bCs/>
                <w:sz w:val="18"/>
                <w:szCs w:val="18"/>
              </w:rPr>
            </w:pPr>
            <w:r>
              <w:rPr>
                <w:bCs/>
                <w:sz w:val="18"/>
                <w:szCs w:val="18"/>
              </w:rPr>
              <w:t>200km</w:t>
            </w:r>
            <w:r>
              <w:rPr>
                <w:bCs/>
                <w:sz w:val="18"/>
                <w:szCs w:val="18"/>
              </w:rPr>
              <w:t>及以上；涉及环境敏感区的</w:t>
            </w:r>
          </w:p>
        </w:tc>
        <w:tc>
          <w:tcPr>
            <w:tcW w:w="703" w:type="pct"/>
            <w:vAlign w:val="center"/>
          </w:tcPr>
          <w:p w:rsidR="00EE4502" w:rsidRDefault="00FD45A3">
            <w:pPr>
              <w:jc w:val="center"/>
              <w:rPr>
                <w:bCs/>
                <w:sz w:val="18"/>
                <w:szCs w:val="18"/>
              </w:rPr>
            </w:pPr>
            <w:r>
              <w:rPr>
                <w:bCs/>
                <w:sz w:val="18"/>
                <w:szCs w:val="18"/>
              </w:rPr>
              <w:t>其他</w:t>
            </w:r>
          </w:p>
        </w:tc>
        <w:tc>
          <w:tcPr>
            <w:tcW w:w="1181" w:type="pct"/>
            <w:vAlign w:val="center"/>
          </w:tcPr>
          <w:p w:rsidR="00EE4502" w:rsidRDefault="00FD45A3">
            <w:pPr>
              <w:jc w:val="center"/>
              <w:rPr>
                <w:bCs/>
                <w:sz w:val="18"/>
                <w:szCs w:val="18"/>
              </w:rPr>
            </w:pPr>
            <w:r>
              <w:rPr>
                <w:bCs/>
                <w:sz w:val="18"/>
                <w:szCs w:val="18"/>
              </w:rPr>
              <w:t>油</w:t>
            </w:r>
            <w:r>
              <w:rPr>
                <w:bCs/>
                <w:sz w:val="18"/>
                <w:szCs w:val="18"/>
              </w:rPr>
              <w:fldChar w:fldCharType="begin"/>
            </w:r>
            <w:r>
              <w:rPr>
                <w:bCs/>
                <w:sz w:val="18"/>
                <w:szCs w:val="18"/>
              </w:rPr>
              <w:instrText xml:space="preserve"> = 2 \* ROMAN \* MERGEFORMAT </w:instrText>
            </w:r>
            <w:r>
              <w:rPr>
                <w:bCs/>
                <w:sz w:val="18"/>
                <w:szCs w:val="18"/>
              </w:rPr>
              <w:fldChar w:fldCharType="separate"/>
            </w:r>
            <w:r>
              <w:rPr>
                <w:bCs/>
                <w:sz w:val="18"/>
                <w:szCs w:val="18"/>
              </w:rPr>
              <w:t>II</w:t>
            </w:r>
            <w:r>
              <w:rPr>
                <w:bCs/>
                <w:sz w:val="18"/>
                <w:szCs w:val="18"/>
              </w:rPr>
              <w:fldChar w:fldCharType="end"/>
            </w:r>
            <w:r>
              <w:rPr>
                <w:bCs/>
                <w:sz w:val="18"/>
                <w:szCs w:val="18"/>
              </w:rPr>
              <w:t>类，气</w:t>
            </w:r>
            <w:r>
              <w:rPr>
                <w:bCs/>
                <w:sz w:val="18"/>
                <w:szCs w:val="18"/>
              </w:rPr>
              <w:fldChar w:fldCharType="begin"/>
            </w:r>
            <w:r>
              <w:rPr>
                <w:bCs/>
                <w:sz w:val="18"/>
                <w:szCs w:val="18"/>
              </w:rPr>
              <w:instrText xml:space="preserve"> = 3 \* ROMAN \* MERGEFORMAT </w:instrText>
            </w:r>
            <w:r>
              <w:rPr>
                <w:bCs/>
                <w:sz w:val="18"/>
                <w:szCs w:val="18"/>
              </w:rPr>
              <w:fldChar w:fldCharType="separate"/>
            </w:r>
            <w:r>
              <w:rPr>
                <w:rFonts w:hint="eastAsia"/>
                <w:bCs/>
                <w:sz w:val="18"/>
                <w:szCs w:val="18"/>
              </w:rPr>
              <w:t>Ⅲ</w:t>
            </w:r>
            <w:r>
              <w:rPr>
                <w:bCs/>
                <w:sz w:val="18"/>
                <w:szCs w:val="18"/>
              </w:rPr>
              <w:fldChar w:fldCharType="end"/>
            </w:r>
            <w:r>
              <w:rPr>
                <w:bCs/>
                <w:sz w:val="18"/>
                <w:szCs w:val="18"/>
              </w:rPr>
              <w:t>类</w:t>
            </w:r>
          </w:p>
        </w:tc>
        <w:tc>
          <w:tcPr>
            <w:tcW w:w="1184" w:type="pct"/>
            <w:vAlign w:val="center"/>
          </w:tcPr>
          <w:p w:rsidR="00EE4502" w:rsidRDefault="00FD45A3">
            <w:pPr>
              <w:jc w:val="center"/>
              <w:rPr>
                <w:bCs/>
                <w:sz w:val="18"/>
                <w:szCs w:val="18"/>
              </w:rPr>
            </w:pPr>
            <w:r>
              <w:rPr>
                <w:bCs/>
                <w:sz w:val="18"/>
                <w:szCs w:val="18"/>
              </w:rPr>
              <w:t>油</w:t>
            </w:r>
            <w:r>
              <w:rPr>
                <w:bCs/>
                <w:sz w:val="18"/>
                <w:szCs w:val="18"/>
              </w:rPr>
              <w:fldChar w:fldCharType="begin"/>
            </w:r>
            <w:r>
              <w:rPr>
                <w:bCs/>
                <w:sz w:val="18"/>
                <w:szCs w:val="18"/>
              </w:rPr>
              <w:instrText xml:space="preserve"> = 2 \* ROMAN \* MERGEFORMAT </w:instrText>
            </w:r>
            <w:r>
              <w:rPr>
                <w:bCs/>
                <w:sz w:val="18"/>
                <w:szCs w:val="18"/>
              </w:rPr>
              <w:fldChar w:fldCharType="separate"/>
            </w:r>
            <w:r>
              <w:rPr>
                <w:bCs/>
                <w:sz w:val="18"/>
                <w:szCs w:val="18"/>
              </w:rPr>
              <w:t>II</w:t>
            </w:r>
            <w:r>
              <w:rPr>
                <w:bCs/>
                <w:sz w:val="18"/>
                <w:szCs w:val="18"/>
              </w:rPr>
              <w:fldChar w:fldCharType="end"/>
            </w:r>
            <w:r>
              <w:rPr>
                <w:bCs/>
                <w:sz w:val="18"/>
                <w:szCs w:val="18"/>
              </w:rPr>
              <w:t>类，气</w:t>
            </w:r>
            <w:r>
              <w:rPr>
                <w:bCs/>
                <w:sz w:val="18"/>
                <w:szCs w:val="18"/>
              </w:rPr>
              <w:fldChar w:fldCharType="begin"/>
            </w:r>
            <w:r>
              <w:rPr>
                <w:bCs/>
                <w:sz w:val="18"/>
                <w:szCs w:val="18"/>
              </w:rPr>
              <w:instrText xml:space="preserve"> = 4 \* ROMAN \* MERGEFORMAT </w:instrText>
            </w:r>
            <w:r>
              <w:rPr>
                <w:bCs/>
                <w:sz w:val="18"/>
                <w:szCs w:val="18"/>
              </w:rPr>
              <w:fldChar w:fldCharType="separate"/>
            </w:r>
            <w:r>
              <w:rPr>
                <w:bCs/>
                <w:sz w:val="18"/>
                <w:szCs w:val="18"/>
              </w:rPr>
              <w:t>IV</w:t>
            </w:r>
            <w:r>
              <w:rPr>
                <w:bCs/>
                <w:sz w:val="18"/>
                <w:szCs w:val="18"/>
              </w:rPr>
              <w:fldChar w:fldCharType="end"/>
            </w:r>
            <w:r>
              <w:rPr>
                <w:bCs/>
                <w:sz w:val="18"/>
                <w:szCs w:val="18"/>
              </w:rPr>
              <w:t>类</w:t>
            </w:r>
          </w:p>
        </w:tc>
      </w:tr>
    </w:tbl>
    <w:p w:rsidR="00EE4502" w:rsidRDefault="00EE4502">
      <w:pPr>
        <w:jc w:val="center"/>
        <w:rPr>
          <w:sz w:val="18"/>
          <w:szCs w:val="18"/>
        </w:rPr>
      </w:pPr>
    </w:p>
    <w:p w:rsidR="00EE4502" w:rsidRDefault="00FD45A3">
      <w:pPr>
        <w:spacing w:line="360" w:lineRule="auto"/>
        <w:ind w:firstLine="482"/>
        <w:rPr>
          <w:sz w:val="24"/>
        </w:rPr>
      </w:pPr>
      <w:r>
        <w:rPr>
          <w:sz w:val="24"/>
        </w:rPr>
        <w:t>同时，建设项目的地下水环境敏感程度可分为敏感、较敏感、不敏感三级，分级原则见表</w:t>
      </w:r>
      <w:r>
        <w:rPr>
          <w:sz w:val="24"/>
        </w:rPr>
        <w:t>2-</w:t>
      </w:r>
      <w:r>
        <w:rPr>
          <w:rFonts w:hint="eastAsia"/>
          <w:sz w:val="24"/>
        </w:rPr>
        <w:t>5-3</w:t>
      </w:r>
      <w:r>
        <w:rPr>
          <w:sz w:val="24"/>
        </w:rPr>
        <w:t>。</w:t>
      </w:r>
    </w:p>
    <w:p w:rsidR="00EE4502" w:rsidRDefault="00FD45A3">
      <w:pPr>
        <w:spacing w:line="360" w:lineRule="auto"/>
        <w:jc w:val="center"/>
        <w:rPr>
          <w:rFonts w:eastAsia="黑体"/>
        </w:rPr>
      </w:pPr>
      <w:r>
        <w:rPr>
          <w:rFonts w:eastAsia="黑体"/>
          <w:szCs w:val="21"/>
        </w:rPr>
        <w:t>表</w:t>
      </w:r>
      <w:r>
        <w:rPr>
          <w:rFonts w:eastAsia="黑体"/>
          <w:szCs w:val="21"/>
        </w:rPr>
        <w:t>2-</w:t>
      </w:r>
      <w:r>
        <w:rPr>
          <w:rFonts w:eastAsia="黑体" w:hint="eastAsia"/>
          <w:szCs w:val="21"/>
        </w:rPr>
        <w:t>5-3</w:t>
      </w:r>
      <w:r>
        <w:rPr>
          <w:rFonts w:eastAsia="黑体"/>
          <w:szCs w:val="21"/>
        </w:rPr>
        <w:t xml:space="preserve">  </w:t>
      </w:r>
      <w:r>
        <w:rPr>
          <w:rFonts w:eastAsia="黑体"/>
          <w:szCs w:val="21"/>
        </w:rPr>
        <w:t>地下水环境敏感程度分级表</w:t>
      </w:r>
    </w:p>
    <w:tbl>
      <w:tblPr>
        <w:tblW w:w="4999" w:type="pct"/>
        <w:jc w:val="center"/>
        <w:tblBorders>
          <w:top w:val="single" w:sz="8" w:space="0" w:color="auto"/>
          <w:bottom w:val="single" w:sz="8" w:space="0" w:color="auto"/>
          <w:insideH w:val="single" w:sz="8" w:space="0" w:color="auto"/>
          <w:insideV w:val="single" w:sz="8" w:space="0" w:color="auto"/>
        </w:tblBorders>
        <w:tblCellMar>
          <w:top w:w="11" w:type="dxa"/>
          <w:bottom w:w="11" w:type="dxa"/>
        </w:tblCellMar>
        <w:tblLook w:val="04A0" w:firstRow="1" w:lastRow="0" w:firstColumn="1" w:lastColumn="0" w:noHBand="0" w:noVBand="1"/>
      </w:tblPr>
      <w:tblGrid>
        <w:gridCol w:w="1128"/>
        <w:gridCol w:w="7392"/>
      </w:tblGrid>
      <w:tr w:rsidR="00EE4502">
        <w:trPr>
          <w:trHeight w:val="340"/>
          <w:jc w:val="center"/>
        </w:trPr>
        <w:tc>
          <w:tcPr>
            <w:tcW w:w="662" w:type="pct"/>
            <w:vAlign w:val="center"/>
          </w:tcPr>
          <w:p w:rsidR="00EE4502" w:rsidRDefault="00FD45A3">
            <w:pPr>
              <w:jc w:val="center"/>
              <w:rPr>
                <w:bCs/>
                <w:sz w:val="18"/>
                <w:szCs w:val="18"/>
              </w:rPr>
            </w:pPr>
            <w:r>
              <w:rPr>
                <w:rFonts w:hAnsi="宋体"/>
                <w:bCs/>
                <w:sz w:val="18"/>
                <w:szCs w:val="18"/>
              </w:rPr>
              <w:t>敏感程度</w:t>
            </w:r>
          </w:p>
        </w:tc>
        <w:tc>
          <w:tcPr>
            <w:tcW w:w="4337" w:type="pct"/>
            <w:vAlign w:val="center"/>
          </w:tcPr>
          <w:p w:rsidR="00EE4502" w:rsidRDefault="00FD45A3">
            <w:pPr>
              <w:jc w:val="center"/>
              <w:rPr>
                <w:bCs/>
                <w:sz w:val="18"/>
                <w:szCs w:val="18"/>
              </w:rPr>
            </w:pPr>
            <w:r>
              <w:rPr>
                <w:rFonts w:hAnsi="宋体"/>
                <w:bCs/>
                <w:sz w:val="18"/>
                <w:szCs w:val="18"/>
              </w:rPr>
              <w:t>地下水环境敏感特征</w:t>
            </w:r>
          </w:p>
        </w:tc>
      </w:tr>
      <w:tr w:rsidR="00EE4502">
        <w:trPr>
          <w:trHeight w:val="340"/>
          <w:jc w:val="center"/>
        </w:trPr>
        <w:tc>
          <w:tcPr>
            <w:tcW w:w="662" w:type="pct"/>
            <w:vAlign w:val="center"/>
          </w:tcPr>
          <w:p w:rsidR="00EE4502" w:rsidRDefault="00FD45A3">
            <w:pPr>
              <w:jc w:val="center"/>
              <w:rPr>
                <w:bCs/>
                <w:sz w:val="18"/>
                <w:szCs w:val="18"/>
              </w:rPr>
            </w:pPr>
            <w:r>
              <w:rPr>
                <w:rFonts w:hAnsi="宋体"/>
                <w:bCs/>
                <w:sz w:val="18"/>
                <w:szCs w:val="18"/>
              </w:rPr>
              <w:t>敏感</w:t>
            </w:r>
          </w:p>
        </w:tc>
        <w:tc>
          <w:tcPr>
            <w:tcW w:w="4337" w:type="pct"/>
            <w:vAlign w:val="center"/>
          </w:tcPr>
          <w:p w:rsidR="00EE4502" w:rsidRDefault="00FD45A3">
            <w:pPr>
              <w:rPr>
                <w:bCs/>
                <w:sz w:val="18"/>
                <w:szCs w:val="18"/>
              </w:rPr>
            </w:pPr>
            <w:r>
              <w:rPr>
                <w:rFonts w:hAnsi="宋体"/>
                <w:bCs/>
                <w:sz w:val="18"/>
                <w:szCs w:val="18"/>
              </w:rPr>
              <w:t>集中式饮用水水源（包括已建成的在用、备用、应急水源，在建和规划的饮用水水源）准保护区；除集中式饮用水水源以外的国家或地方政府设定的与地下水环境相关的其他保护区，如热水、矿泉水、温泉等特殊地下水资源保护区。</w:t>
            </w:r>
          </w:p>
        </w:tc>
      </w:tr>
      <w:tr w:rsidR="00EE4502">
        <w:trPr>
          <w:trHeight w:val="340"/>
          <w:jc w:val="center"/>
        </w:trPr>
        <w:tc>
          <w:tcPr>
            <w:tcW w:w="662" w:type="pct"/>
            <w:vAlign w:val="center"/>
          </w:tcPr>
          <w:p w:rsidR="00EE4502" w:rsidRDefault="00FD45A3">
            <w:pPr>
              <w:jc w:val="center"/>
              <w:rPr>
                <w:bCs/>
                <w:sz w:val="18"/>
                <w:szCs w:val="18"/>
              </w:rPr>
            </w:pPr>
            <w:r>
              <w:rPr>
                <w:rFonts w:hAnsi="宋体"/>
                <w:bCs/>
                <w:sz w:val="18"/>
                <w:szCs w:val="18"/>
              </w:rPr>
              <w:t>较敏感</w:t>
            </w:r>
          </w:p>
        </w:tc>
        <w:tc>
          <w:tcPr>
            <w:tcW w:w="4337" w:type="pct"/>
            <w:vAlign w:val="center"/>
          </w:tcPr>
          <w:p w:rsidR="00EE4502" w:rsidRDefault="00FD45A3">
            <w:pPr>
              <w:rPr>
                <w:bCs/>
                <w:sz w:val="18"/>
                <w:szCs w:val="18"/>
              </w:rPr>
            </w:pPr>
            <w:r>
              <w:rPr>
                <w:rFonts w:hAnsi="宋体"/>
                <w:bCs/>
                <w:sz w:val="18"/>
                <w:szCs w:val="18"/>
              </w:rPr>
              <w:t>集中式饮用水水源（包括已建成的在用、备用、应急水源，在建和规划的饮用水水源）准保护区以外的补给径流区；未划定准保护区的集中式饮用水水源，其保护区以外的补给径流区；分散式饮用水水源地；特殊地下水资源（如矿泉水、温泉等）保护区以外的分布区等其他未列入上述敏感分级的环境敏感区</w:t>
            </w:r>
            <w:r>
              <w:rPr>
                <w:bCs/>
                <w:sz w:val="18"/>
                <w:szCs w:val="18"/>
                <w:vertAlign w:val="superscript"/>
              </w:rPr>
              <w:t>a</w:t>
            </w:r>
            <w:r>
              <w:rPr>
                <w:rFonts w:hAnsi="宋体"/>
                <w:bCs/>
                <w:sz w:val="18"/>
                <w:szCs w:val="18"/>
              </w:rPr>
              <w:t>。</w:t>
            </w:r>
          </w:p>
        </w:tc>
      </w:tr>
      <w:tr w:rsidR="00EE4502">
        <w:trPr>
          <w:trHeight w:val="340"/>
          <w:jc w:val="center"/>
        </w:trPr>
        <w:tc>
          <w:tcPr>
            <w:tcW w:w="662" w:type="pct"/>
            <w:vAlign w:val="center"/>
          </w:tcPr>
          <w:p w:rsidR="00EE4502" w:rsidRDefault="00FD45A3">
            <w:pPr>
              <w:jc w:val="center"/>
              <w:rPr>
                <w:b/>
                <w:sz w:val="18"/>
                <w:szCs w:val="18"/>
              </w:rPr>
            </w:pPr>
            <w:r>
              <w:rPr>
                <w:rFonts w:hAnsi="宋体"/>
                <w:b/>
                <w:sz w:val="18"/>
                <w:szCs w:val="18"/>
              </w:rPr>
              <w:t>不敏感</w:t>
            </w:r>
          </w:p>
        </w:tc>
        <w:tc>
          <w:tcPr>
            <w:tcW w:w="4337" w:type="pct"/>
            <w:vAlign w:val="center"/>
          </w:tcPr>
          <w:p w:rsidR="00EE4502" w:rsidRDefault="00FD45A3">
            <w:pPr>
              <w:rPr>
                <w:b/>
                <w:sz w:val="18"/>
                <w:szCs w:val="18"/>
              </w:rPr>
            </w:pPr>
            <w:r>
              <w:rPr>
                <w:rFonts w:hAnsi="宋体"/>
                <w:b/>
                <w:sz w:val="18"/>
                <w:szCs w:val="18"/>
              </w:rPr>
              <w:t>上述地区之外的其它地区。</w:t>
            </w:r>
          </w:p>
        </w:tc>
      </w:tr>
      <w:tr w:rsidR="00EE4502">
        <w:trPr>
          <w:trHeight w:val="340"/>
          <w:jc w:val="center"/>
        </w:trPr>
        <w:tc>
          <w:tcPr>
            <w:tcW w:w="5000" w:type="pct"/>
            <w:gridSpan w:val="2"/>
            <w:vAlign w:val="center"/>
          </w:tcPr>
          <w:p w:rsidR="00EE4502" w:rsidRDefault="00FD45A3">
            <w:pPr>
              <w:rPr>
                <w:sz w:val="18"/>
                <w:szCs w:val="18"/>
              </w:rPr>
            </w:pPr>
            <w:r>
              <w:rPr>
                <w:rFonts w:hAnsi="宋体"/>
                <w:sz w:val="18"/>
                <w:szCs w:val="18"/>
              </w:rPr>
              <w:t>注：</w:t>
            </w:r>
            <w:r>
              <w:rPr>
                <w:sz w:val="18"/>
                <w:szCs w:val="18"/>
              </w:rPr>
              <w:t>a“</w:t>
            </w:r>
            <w:r>
              <w:rPr>
                <w:rFonts w:hAnsi="宋体"/>
                <w:sz w:val="18"/>
                <w:szCs w:val="18"/>
              </w:rPr>
              <w:t>环境敏感区</w:t>
            </w:r>
            <w:r>
              <w:rPr>
                <w:sz w:val="18"/>
                <w:szCs w:val="18"/>
              </w:rPr>
              <w:t>”</w:t>
            </w:r>
            <w:r>
              <w:rPr>
                <w:rFonts w:hAnsi="宋体"/>
                <w:sz w:val="18"/>
                <w:szCs w:val="18"/>
              </w:rPr>
              <w:t>是指《建设项目环境影响评价分类管理名录》中所界定的涉及地下水的环境敏感区。</w:t>
            </w:r>
          </w:p>
        </w:tc>
      </w:tr>
    </w:tbl>
    <w:p w:rsidR="00EE4502" w:rsidRDefault="00EE4502">
      <w:pPr>
        <w:jc w:val="center"/>
        <w:rPr>
          <w:sz w:val="18"/>
          <w:szCs w:val="18"/>
        </w:rPr>
      </w:pPr>
    </w:p>
    <w:p w:rsidR="00EE4502" w:rsidRDefault="00FD45A3">
      <w:pPr>
        <w:spacing w:line="360" w:lineRule="auto"/>
        <w:ind w:firstLine="482"/>
        <w:rPr>
          <w:sz w:val="24"/>
        </w:rPr>
      </w:pPr>
      <w:r>
        <w:rPr>
          <w:rFonts w:hint="eastAsia"/>
          <w:sz w:val="24"/>
        </w:rPr>
        <w:t>本工程</w:t>
      </w:r>
      <w:r>
        <w:rPr>
          <w:sz w:val="24"/>
        </w:rPr>
        <w:t>评价区域不涉及集中式饮用水水源地</w:t>
      </w:r>
      <w:r>
        <w:rPr>
          <w:kern w:val="0"/>
          <w:sz w:val="24"/>
        </w:rPr>
        <w:t>（包括已建成的在用、备用、应急水源地，在建和规划的水源地）</w:t>
      </w:r>
      <w:r>
        <w:rPr>
          <w:sz w:val="24"/>
        </w:rPr>
        <w:t>准保护区及其补给径流区，不涉及热水、矿泉水、温泉等特殊地下水资源保护区及其以外的分布区。因此，地下水环境敏感程度为不敏感。</w:t>
      </w:r>
    </w:p>
    <w:p w:rsidR="00EE4502" w:rsidRDefault="00FD45A3">
      <w:pPr>
        <w:spacing w:line="360" w:lineRule="auto"/>
        <w:ind w:firstLine="482"/>
        <w:rPr>
          <w:sz w:val="24"/>
        </w:rPr>
      </w:pPr>
      <w:r>
        <w:rPr>
          <w:sz w:val="24"/>
        </w:rPr>
        <w:t>根据导则可知，</w:t>
      </w:r>
      <w:r>
        <w:rPr>
          <w:rFonts w:hint="eastAsia"/>
          <w:sz w:val="24"/>
        </w:rPr>
        <w:t>本工程</w:t>
      </w:r>
      <w:r>
        <w:rPr>
          <w:sz w:val="24"/>
        </w:rPr>
        <w:t>地下水环境影响评价工作等级具体情况见表</w:t>
      </w:r>
      <w:r>
        <w:rPr>
          <w:sz w:val="24"/>
        </w:rPr>
        <w:t>2-</w:t>
      </w:r>
      <w:r>
        <w:rPr>
          <w:rFonts w:hint="eastAsia"/>
          <w:sz w:val="24"/>
        </w:rPr>
        <w:t>5-4</w:t>
      </w:r>
      <w:r>
        <w:rPr>
          <w:sz w:val="24"/>
        </w:rPr>
        <w:t>。</w:t>
      </w:r>
    </w:p>
    <w:p w:rsidR="00EE4502" w:rsidRDefault="00FD45A3">
      <w:pPr>
        <w:spacing w:line="360" w:lineRule="auto"/>
        <w:jc w:val="center"/>
        <w:rPr>
          <w:rFonts w:eastAsia="黑体"/>
        </w:rPr>
      </w:pPr>
      <w:r>
        <w:rPr>
          <w:rFonts w:eastAsia="黑体"/>
          <w:szCs w:val="21"/>
        </w:rPr>
        <w:t>表</w:t>
      </w:r>
      <w:r>
        <w:rPr>
          <w:rFonts w:eastAsia="黑体"/>
          <w:szCs w:val="21"/>
        </w:rPr>
        <w:t>2-</w:t>
      </w:r>
      <w:r>
        <w:rPr>
          <w:rFonts w:eastAsia="黑体" w:hint="eastAsia"/>
          <w:szCs w:val="21"/>
        </w:rPr>
        <w:t>5-4</w:t>
      </w:r>
      <w:r>
        <w:rPr>
          <w:rFonts w:eastAsia="黑体"/>
          <w:szCs w:val="21"/>
        </w:rPr>
        <w:t xml:space="preserve">  </w:t>
      </w:r>
      <w:r>
        <w:rPr>
          <w:rFonts w:eastAsia="黑体"/>
          <w:szCs w:val="21"/>
        </w:rPr>
        <w:t>地下水环境影响评价工作等级分级表</w:t>
      </w:r>
    </w:p>
    <w:tbl>
      <w:tblPr>
        <w:tblW w:w="4998" w:type="pct"/>
        <w:jc w:val="center"/>
        <w:tblBorders>
          <w:top w:val="single" w:sz="8" w:space="0" w:color="auto"/>
          <w:bottom w:val="single" w:sz="8" w:space="0" w:color="auto"/>
          <w:insideH w:val="single" w:sz="8" w:space="0" w:color="auto"/>
          <w:insideV w:val="single" w:sz="8" w:space="0" w:color="auto"/>
        </w:tblBorders>
        <w:tblLook w:val="04A0" w:firstRow="1" w:lastRow="0" w:firstColumn="1" w:lastColumn="0" w:noHBand="0" w:noVBand="1"/>
      </w:tblPr>
      <w:tblGrid>
        <w:gridCol w:w="2323"/>
        <w:gridCol w:w="2356"/>
        <w:gridCol w:w="1937"/>
        <w:gridCol w:w="1903"/>
      </w:tblGrid>
      <w:tr w:rsidR="00EE4502">
        <w:trPr>
          <w:trHeight w:val="340"/>
          <w:jc w:val="center"/>
        </w:trPr>
        <w:tc>
          <w:tcPr>
            <w:tcW w:w="1362" w:type="pct"/>
            <w:tcBorders>
              <w:tl2br w:val="single" w:sz="8" w:space="0" w:color="auto"/>
            </w:tcBorders>
            <w:vAlign w:val="center"/>
          </w:tcPr>
          <w:p w:rsidR="00EE4502" w:rsidRDefault="00FD45A3">
            <w:pPr>
              <w:jc w:val="right"/>
              <w:rPr>
                <w:bCs/>
                <w:sz w:val="18"/>
                <w:szCs w:val="18"/>
              </w:rPr>
            </w:pPr>
            <w:r>
              <w:rPr>
                <w:rFonts w:hAnsi="宋体"/>
                <w:bCs/>
                <w:sz w:val="18"/>
                <w:szCs w:val="18"/>
              </w:rPr>
              <w:t>项目类别</w:t>
            </w:r>
          </w:p>
          <w:p w:rsidR="00EE4502" w:rsidRDefault="00FD45A3">
            <w:pPr>
              <w:jc w:val="left"/>
              <w:rPr>
                <w:bCs/>
                <w:sz w:val="18"/>
                <w:szCs w:val="18"/>
              </w:rPr>
            </w:pPr>
            <w:r>
              <w:rPr>
                <w:rFonts w:hAnsi="宋体"/>
                <w:bCs/>
                <w:sz w:val="18"/>
                <w:szCs w:val="18"/>
              </w:rPr>
              <w:t>环境敏感程度</w:t>
            </w:r>
          </w:p>
        </w:tc>
        <w:tc>
          <w:tcPr>
            <w:tcW w:w="1382" w:type="pct"/>
            <w:vAlign w:val="center"/>
          </w:tcPr>
          <w:p w:rsidR="00EE4502" w:rsidRDefault="00FD45A3">
            <w:pPr>
              <w:jc w:val="center"/>
              <w:rPr>
                <w:bCs/>
                <w:sz w:val="18"/>
                <w:szCs w:val="18"/>
              </w:rPr>
            </w:pPr>
            <w:r>
              <w:rPr>
                <w:bCs/>
                <w:sz w:val="18"/>
                <w:szCs w:val="18"/>
              </w:rPr>
              <w:fldChar w:fldCharType="begin"/>
            </w:r>
            <w:r>
              <w:rPr>
                <w:bCs/>
                <w:sz w:val="18"/>
                <w:szCs w:val="18"/>
              </w:rPr>
              <w:instrText xml:space="preserve"> = 1 \* ROMAN </w:instrText>
            </w:r>
            <w:r>
              <w:rPr>
                <w:bCs/>
                <w:sz w:val="18"/>
                <w:szCs w:val="18"/>
              </w:rPr>
              <w:fldChar w:fldCharType="separate"/>
            </w:r>
            <w:r>
              <w:rPr>
                <w:bCs/>
                <w:sz w:val="18"/>
                <w:szCs w:val="18"/>
              </w:rPr>
              <w:t>I</w:t>
            </w:r>
            <w:r>
              <w:rPr>
                <w:bCs/>
                <w:sz w:val="18"/>
                <w:szCs w:val="18"/>
              </w:rPr>
              <w:fldChar w:fldCharType="end"/>
            </w:r>
            <w:r>
              <w:rPr>
                <w:rFonts w:hAnsi="宋体"/>
                <w:bCs/>
                <w:sz w:val="18"/>
                <w:szCs w:val="18"/>
              </w:rPr>
              <w:t>类项目</w:t>
            </w:r>
          </w:p>
        </w:tc>
        <w:tc>
          <w:tcPr>
            <w:tcW w:w="1137" w:type="pct"/>
            <w:vAlign w:val="center"/>
          </w:tcPr>
          <w:p w:rsidR="00EE4502" w:rsidRDefault="00FD45A3">
            <w:pPr>
              <w:jc w:val="center"/>
              <w:rPr>
                <w:bCs/>
                <w:sz w:val="18"/>
                <w:szCs w:val="18"/>
              </w:rPr>
            </w:pPr>
            <w:r>
              <w:rPr>
                <w:bCs/>
                <w:sz w:val="18"/>
                <w:szCs w:val="18"/>
              </w:rPr>
              <w:fldChar w:fldCharType="begin"/>
            </w:r>
            <w:r>
              <w:rPr>
                <w:bCs/>
                <w:sz w:val="18"/>
                <w:szCs w:val="18"/>
              </w:rPr>
              <w:instrText xml:space="preserve"> = 2 \* ROMAN </w:instrText>
            </w:r>
            <w:r>
              <w:rPr>
                <w:bCs/>
                <w:sz w:val="18"/>
                <w:szCs w:val="18"/>
              </w:rPr>
              <w:fldChar w:fldCharType="separate"/>
            </w:r>
            <w:r>
              <w:rPr>
                <w:bCs/>
                <w:sz w:val="18"/>
                <w:szCs w:val="18"/>
              </w:rPr>
              <w:t>II</w:t>
            </w:r>
            <w:r>
              <w:rPr>
                <w:bCs/>
                <w:sz w:val="18"/>
                <w:szCs w:val="18"/>
              </w:rPr>
              <w:fldChar w:fldCharType="end"/>
            </w:r>
            <w:r>
              <w:rPr>
                <w:rFonts w:hAnsi="宋体"/>
                <w:bCs/>
                <w:sz w:val="18"/>
                <w:szCs w:val="18"/>
              </w:rPr>
              <w:t>类项目</w:t>
            </w:r>
          </w:p>
        </w:tc>
        <w:tc>
          <w:tcPr>
            <w:tcW w:w="1117" w:type="pct"/>
            <w:vAlign w:val="center"/>
          </w:tcPr>
          <w:p w:rsidR="00EE4502" w:rsidRDefault="00FD45A3">
            <w:pPr>
              <w:jc w:val="center"/>
              <w:rPr>
                <w:bCs/>
                <w:sz w:val="18"/>
                <w:szCs w:val="18"/>
              </w:rPr>
            </w:pPr>
            <w:r>
              <w:rPr>
                <w:bCs/>
                <w:sz w:val="18"/>
                <w:szCs w:val="18"/>
              </w:rPr>
              <w:fldChar w:fldCharType="begin"/>
            </w:r>
            <w:r>
              <w:rPr>
                <w:bCs/>
                <w:sz w:val="18"/>
                <w:szCs w:val="18"/>
              </w:rPr>
              <w:instrText xml:space="preserve"> = 3 \* ROMAN </w:instrText>
            </w:r>
            <w:r>
              <w:rPr>
                <w:bCs/>
                <w:sz w:val="18"/>
                <w:szCs w:val="18"/>
              </w:rPr>
              <w:fldChar w:fldCharType="separate"/>
            </w:r>
            <w:r>
              <w:rPr>
                <w:rFonts w:hint="eastAsia"/>
                <w:bCs/>
                <w:sz w:val="18"/>
                <w:szCs w:val="18"/>
              </w:rPr>
              <w:t>Ⅲ</w:t>
            </w:r>
            <w:r>
              <w:rPr>
                <w:bCs/>
                <w:sz w:val="18"/>
                <w:szCs w:val="18"/>
              </w:rPr>
              <w:fldChar w:fldCharType="end"/>
            </w:r>
            <w:r>
              <w:rPr>
                <w:rFonts w:hAnsi="宋体"/>
                <w:bCs/>
                <w:sz w:val="18"/>
                <w:szCs w:val="18"/>
              </w:rPr>
              <w:t>类项目</w:t>
            </w:r>
          </w:p>
        </w:tc>
      </w:tr>
      <w:tr w:rsidR="00EE4502">
        <w:trPr>
          <w:trHeight w:val="340"/>
          <w:jc w:val="center"/>
        </w:trPr>
        <w:tc>
          <w:tcPr>
            <w:tcW w:w="1362" w:type="pct"/>
            <w:vAlign w:val="center"/>
          </w:tcPr>
          <w:p w:rsidR="00EE4502" w:rsidRDefault="00FD45A3">
            <w:pPr>
              <w:jc w:val="center"/>
              <w:rPr>
                <w:bCs/>
                <w:sz w:val="18"/>
                <w:szCs w:val="18"/>
              </w:rPr>
            </w:pPr>
            <w:r>
              <w:rPr>
                <w:rFonts w:hAnsi="宋体"/>
                <w:bCs/>
                <w:sz w:val="18"/>
                <w:szCs w:val="18"/>
              </w:rPr>
              <w:t>敏感</w:t>
            </w:r>
          </w:p>
        </w:tc>
        <w:tc>
          <w:tcPr>
            <w:tcW w:w="1382" w:type="pct"/>
            <w:vAlign w:val="center"/>
          </w:tcPr>
          <w:p w:rsidR="00EE4502" w:rsidRDefault="00FD45A3">
            <w:pPr>
              <w:jc w:val="center"/>
              <w:rPr>
                <w:bCs/>
                <w:sz w:val="18"/>
                <w:szCs w:val="18"/>
              </w:rPr>
            </w:pPr>
            <w:r>
              <w:rPr>
                <w:rFonts w:hAnsi="宋体"/>
                <w:bCs/>
                <w:sz w:val="18"/>
                <w:szCs w:val="18"/>
              </w:rPr>
              <w:t>一</w:t>
            </w:r>
          </w:p>
        </w:tc>
        <w:tc>
          <w:tcPr>
            <w:tcW w:w="1137" w:type="pct"/>
            <w:vAlign w:val="center"/>
          </w:tcPr>
          <w:p w:rsidR="00EE4502" w:rsidRDefault="00FD45A3">
            <w:pPr>
              <w:jc w:val="center"/>
              <w:rPr>
                <w:bCs/>
                <w:sz w:val="18"/>
                <w:szCs w:val="18"/>
              </w:rPr>
            </w:pPr>
            <w:r>
              <w:rPr>
                <w:rFonts w:hAnsi="宋体"/>
                <w:bCs/>
                <w:sz w:val="18"/>
                <w:szCs w:val="18"/>
              </w:rPr>
              <w:t>一</w:t>
            </w:r>
          </w:p>
        </w:tc>
        <w:tc>
          <w:tcPr>
            <w:tcW w:w="1117" w:type="pct"/>
            <w:vAlign w:val="center"/>
          </w:tcPr>
          <w:p w:rsidR="00EE4502" w:rsidRDefault="00FD45A3">
            <w:pPr>
              <w:jc w:val="center"/>
              <w:rPr>
                <w:bCs/>
                <w:sz w:val="18"/>
                <w:szCs w:val="18"/>
              </w:rPr>
            </w:pPr>
            <w:r>
              <w:rPr>
                <w:rFonts w:hAnsi="宋体"/>
                <w:bCs/>
                <w:sz w:val="18"/>
                <w:szCs w:val="18"/>
              </w:rPr>
              <w:t>二</w:t>
            </w:r>
          </w:p>
        </w:tc>
      </w:tr>
      <w:tr w:rsidR="00EE4502">
        <w:trPr>
          <w:trHeight w:val="340"/>
          <w:jc w:val="center"/>
        </w:trPr>
        <w:tc>
          <w:tcPr>
            <w:tcW w:w="1362" w:type="pct"/>
            <w:vAlign w:val="center"/>
          </w:tcPr>
          <w:p w:rsidR="00EE4502" w:rsidRDefault="00FD45A3">
            <w:pPr>
              <w:jc w:val="center"/>
              <w:rPr>
                <w:bCs/>
                <w:sz w:val="18"/>
                <w:szCs w:val="18"/>
              </w:rPr>
            </w:pPr>
            <w:r>
              <w:rPr>
                <w:rFonts w:hAnsi="宋体"/>
                <w:bCs/>
                <w:sz w:val="18"/>
                <w:szCs w:val="18"/>
              </w:rPr>
              <w:t>较敏感</w:t>
            </w:r>
          </w:p>
        </w:tc>
        <w:tc>
          <w:tcPr>
            <w:tcW w:w="1382" w:type="pct"/>
            <w:vAlign w:val="center"/>
          </w:tcPr>
          <w:p w:rsidR="00EE4502" w:rsidRDefault="00FD45A3">
            <w:pPr>
              <w:jc w:val="center"/>
              <w:rPr>
                <w:bCs/>
                <w:sz w:val="18"/>
                <w:szCs w:val="18"/>
              </w:rPr>
            </w:pPr>
            <w:r>
              <w:rPr>
                <w:rFonts w:hAnsi="宋体"/>
                <w:bCs/>
                <w:sz w:val="18"/>
                <w:szCs w:val="18"/>
              </w:rPr>
              <w:t>一</w:t>
            </w:r>
          </w:p>
        </w:tc>
        <w:tc>
          <w:tcPr>
            <w:tcW w:w="1137" w:type="pct"/>
            <w:vAlign w:val="center"/>
          </w:tcPr>
          <w:p w:rsidR="00EE4502" w:rsidRDefault="00FD45A3">
            <w:pPr>
              <w:jc w:val="center"/>
              <w:rPr>
                <w:bCs/>
                <w:sz w:val="18"/>
                <w:szCs w:val="18"/>
              </w:rPr>
            </w:pPr>
            <w:r>
              <w:rPr>
                <w:rFonts w:hAnsi="宋体"/>
                <w:bCs/>
                <w:sz w:val="18"/>
                <w:szCs w:val="18"/>
              </w:rPr>
              <w:t>二</w:t>
            </w:r>
          </w:p>
        </w:tc>
        <w:tc>
          <w:tcPr>
            <w:tcW w:w="1117" w:type="pct"/>
            <w:vAlign w:val="center"/>
          </w:tcPr>
          <w:p w:rsidR="00EE4502" w:rsidRDefault="00FD45A3">
            <w:pPr>
              <w:jc w:val="center"/>
              <w:rPr>
                <w:bCs/>
                <w:sz w:val="18"/>
                <w:szCs w:val="18"/>
              </w:rPr>
            </w:pPr>
            <w:r>
              <w:rPr>
                <w:rFonts w:hAnsi="宋体"/>
                <w:bCs/>
                <w:sz w:val="18"/>
                <w:szCs w:val="18"/>
              </w:rPr>
              <w:t>三</w:t>
            </w:r>
          </w:p>
        </w:tc>
      </w:tr>
      <w:tr w:rsidR="00EE4502">
        <w:trPr>
          <w:trHeight w:val="340"/>
          <w:jc w:val="center"/>
        </w:trPr>
        <w:tc>
          <w:tcPr>
            <w:tcW w:w="1362" w:type="pct"/>
            <w:vAlign w:val="center"/>
          </w:tcPr>
          <w:p w:rsidR="00EE4502" w:rsidRDefault="00FD45A3">
            <w:pPr>
              <w:jc w:val="center"/>
              <w:rPr>
                <w:bCs/>
                <w:sz w:val="18"/>
                <w:szCs w:val="18"/>
              </w:rPr>
            </w:pPr>
            <w:r>
              <w:rPr>
                <w:rFonts w:hAnsi="宋体"/>
                <w:bCs/>
                <w:sz w:val="18"/>
                <w:szCs w:val="18"/>
              </w:rPr>
              <w:t>不敏感</w:t>
            </w:r>
          </w:p>
        </w:tc>
        <w:tc>
          <w:tcPr>
            <w:tcW w:w="1382" w:type="pct"/>
            <w:vAlign w:val="center"/>
          </w:tcPr>
          <w:p w:rsidR="00EE4502" w:rsidRDefault="00FD45A3">
            <w:pPr>
              <w:jc w:val="center"/>
              <w:rPr>
                <w:b/>
                <w:bCs/>
                <w:sz w:val="18"/>
                <w:szCs w:val="18"/>
              </w:rPr>
            </w:pPr>
            <w:r>
              <w:rPr>
                <w:rFonts w:hAnsi="宋体"/>
                <w:b/>
                <w:bCs/>
                <w:sz w:val="18"/>
                <w:szCs w:val="18"/>
              </w:rPr>
              <w:t>二</w:t>
            </w:r>
          </w:p>
        </w:tc>
        <w:tc>
          <w:tcPr>
            <w:tcW w:w="1137" w:type="pct"/>
            <w:vAlign w:val="center"/>
          </w:tcPr>
          <w:p w:rsidR="00EE4502" w:rsidRDefault="00FD45A3">
            <w:pPr>
              <w:jc w:val="center"/>
              <w:rPr>
                <w:b/>
                <w:bCs/>
                <w:sz w:val="18"/>
                <w:szCs w:val="18"/>
              </w:rPr>
            </w:pPr>
            <w:r>
              <w:rPr>
                <w:rFonts w:hAnsi="宋体"/>
                <w:b/>
                <w:bCs/>
                <w:sz w:val="18"/>
                <w:szCs w:val="18"/>
              </w:rPr>
              <w:t>三</w:t>
            </w:r>
          </w:p>
        </w:tc>
        <w:tc>
          <w:tcPr>
            <w:tcW w:w="1117" w:type="pct"/>
            <w:vAlign w:val="center"/>
          </w:tcPr>
          <w:p w:rsidR="00EE4502" w:rsidRDefault="00FD45A3">
            <w:pPr>
              <w:jc w:val="center"/>
              <w:rPr>
                <w:bCs/>
                <w:sz w:val="18"/>
                <w:szCs w:val="18"/>
              </w:rPr>
            </w:pPr>
            <w:r>
              <w:rPr>
                <w:rFonts w:hAnsi="宋体"/>
                <w:bCs/>
                <w:sz w:val="18"/>
                <w:szCs w:val="18"/>
              </w:rPr>
              <w:t>三</w:t>
            </w:r>
          </w:p>
        </w:tc>
      </w:tr>
    </w:tbl>
    <w:p w:rsidR="00EE4502" w:rsidRDefault="00EE4502">
      <w:pPr>
        <w:jc w:val="center"/>
        <w:rPr>
          <w:sz w:val="18"/>
          <w:szCs w:val="18"/>
        </w:rPr>
      </w:pPr>
    </w:p>
    <w:p w:rsidR="00EE4502" w:rsidRDefault="00FD45A3">
      <w:pPr>
        <w:spacing w:line="360" w:lineRule="auto"/>
        <w:ind w:firstLine="482"/>
        <w:rPr>
          <w:sz w:val="24"/>
        </w:rPr>
      </w:pPr>
      <w:r>
        <w:rPr>
          <w:sz w:val="24"/>
        </w:rPr>
        <w:t>综上所述，</w:t>
      </w:r>
      <w:r>
        <w:rPr>
          <w:rFonts w:hint="eastAsia"/>
          <w:sz w:val="24"/>
        </w:rPr>
        <w:t>拟建工程井场建设内容类别为</w:t>
      </w:r>
      <w:r>
        <w:rPr>
          <w:rFonts w:hint="eastAsia"/>
          <w:sz w:val="24"/>
        </w:rPr>
        <w:t>I</w:t>
      </w:r>
      <w:r>
        <w:rPr>
          <w:rFonts w:hint="eastAsia"/>
          <w:sz w:val="24"/>
        </w:rPr>
        <w:t>类项目、环境敏感程度为不敏感，地下水环境影响</w:t>
      </w:r>
      <w:r>
        <w:rPr>
          <w:sz w:val="24"/>
        </w:rPr>
        <w:t>评价工作等级</w:t>
      </w:r>
      <w:r>
        <w:rPr>
          <w:rFonts w:hint="eastAsia"/>
          <w:sz w:val="24"/>
        </w:rPr>
        <w:t>为</w:t>
      </w:r>
      <w:r>
        <w:rPr>
          <w:sz w:val="24"/>
        </w:rPr>
        <w:t>二级</w:t>
      </w:r>
      <w:r>
        <w:rPr>
          <w:rFonts w:hint="eastAsia"/>
          <w:sz w:val="24"/>
        </w:rPr>
        <w:t>；集油管线建设内容类别为</w:t>
      </w:r>
      <w:r>
        <w:rPr>
          <w:rFonts w:hint="eastAsia"/>
          <w:sz w:val="24"/>
        </w:rPr>
        <w:t>Ⅱ类</w:t>
      </w:r>
      <w:r>
        <w:rPr>
          <w:rFonts w:hint="eastAsia"/>
          <w:sz w:val="24"/>
        </w:rPr>
        <w:t>项目、环境敏感程度为不敏感，地下水环境影响评价工作等级为三级；综合确定</w:t>
      </w:r>
      <w:r>
        <w:rPr>
          <w:rFonts w:hint="eastAsia"/>
          <w:sz w:val="24"/>
        </w:rPr>
        <w:t>本工程</w:t>
      </w:r>
      <w:r>
        <w:rPr>
          <w:sz w:val="24"/>
        </w:rPr>
        <w:t>地下水评价工作等级</w:t>
      </w:r>
      <w:r>
        <w:rPr>
          <w:rFonts w:hint="eastAsia"/>
          <w:sz w:val="24"/>
        </w:rPr>
        <w:t>为</w:t>
      </w:r>
      <w:r>
        <w:rPr>
          <w:sz w:val="24"/>
        </w:rPr>
        <w:t>二级。</w:t>
      </w:r>
    </w:p>
    <w:p w:rsidR="00EE4502" w:rsidRDefault="00FD45A3">
      <w:pPr>
        <w:spacing w:line="360" w:lineRule="auto"/>
        <w:ind w:firstLine="482"/>
        <w:rPr>
          <w:sz w:val="24"/>
        </w:rPr>
      </w:pPr>
      <w:r>
        <w:rPr>
          <w:rFonts w:hint="eastAsia"/>
          <w:sz w:val="24"/>
        </w:rPr>
        <w:t>（</w:t>
      </w:r>
      <w:r>
        <w:rPr>
          <w:rFonts w:hint="eastAsia"/>
          <w:sz w:val="24"/>
        </w:rPr>
        <w:t>2</w:t>
      </w:r>
      <w:r>
        <w:rPr>
          <w:rFonts w:hint="eastAsia"/>
          <w:sz w:val="24"/>
        </w:rPr>
        <w:t>）</w:t>
      </w:r>
      <w:r>
        <w:rPr>
          <w:rFonts w:hint="eastAsia"/>
          <w:sz w:val="24"/>
        </w:rPr>
        <w:t>评价范围</w:t>
      </w:r>
    </w:p>
    <w:p w:rsidR="00EE4502" w:rsidRDefault="00FD45A3">
      <w:pPr>
        <w:spacing w:line="360" w:lineRule="auto"/>
        <w:ind w:firstLineChars="200" w:firstLine="480"/>
        <w:rPr>
          <w:sz w:val="24"/>
        </w:rPr>
      </w:pPr>
      <w:r>
        <w:rPr>
          <w:sz w:val="24"/>
        </w:rPr>
        <w:lastRenderedPageBreak/>
        <w:t>本</w:t>
      </w:r>
      <w:r>
        <w:rPr>
          <w:rFonts w:hint="eastAsia"/>
          <w:sz w:val="24"/>
        </w:rPr>
        <w:t>工程共部署</w:t>
      </w:r>
      <w:r>
        <w:rPr>
          <w:rFonts w:hint="eastAsia"/>
          <w:sz w:val="24"/>
        </w:rPr>
        <w:t>22</w:t>
      </w:r>
      <w:r>
        <w:rPr>
          <w:rFonts w:hint="eastAsia"/>
          <w:sz w:val="24"/>
        </w:rPr>
        <w:t>口井，其中新钻井</w:t>
      </w:r>
      <w:r>
        <w:rPr>
          <w:rFonts w:hint="eastAsia"/>
          <w:sz w:val="24"/>
        </w:rPr>
        <w:t>18</w:t>
      </w:r>
      <w:r>
        <w:rPr>
          <w:rFonts w:hint="eastAsia"/>
          <w:sz w:val="24"/>
        </w:rPr>
        <w:t>口（含采油井</w:t>
      </w:r>
      <w:r>
        <w:rPr>
          <w:rFonts w:hint="eastAsia"/>
          <w:sz w:val="24"/>
        </w:rPr>
        <w:t>15</w:t>
      </w:r>
      <w:r>
        <w:rPr>
          <w:rFonts w:hint="eastAsia"/>
          <w:sz w:val="24"/>
        </w:rPr>
        <w:t>口、回注井</w:t>
      </w:r>
      <w:r>
        <w:rPr>
          <w:rFonts w:hint="eastAsia"/>
          <w:sz w:val="24"/>
        </w:rPr>
        <w:t>3</w:t>
      </w:r>
      <w:r>
        <w:rPr>
          <w:rFonts w:hint="eastAsia"/>
          <w:sz w:val="24"/>
        </w:rPr>
        <w:t>口），老井利用</w:t>
      </w:r>
      <w:r>
        <w:rPr>
          <w:rFonts w:hint="eastAsia"/>
          <w:sz w:val="24"/>
        </w:rPr>
        <w:t>4</w:t>
      </w:r>
      <w:r>
        <w:rPr>
          <w:rFonts w:hint="eastAsia"/>
          <w:sz w:val="24"/>
        </w:rPr>
        <w:t>口（含采油井</w:t>
      </w:r>
      <w:r>
        <w:rPr>
          <w:rFonts w:hint="eastAsia"/>
          <w:sz w:val="24"/>
        </w:rPr>
        <w:t>3</w:t>
      </w:r>
      <w:r>
        <w:rPr>
          <w:rFonts w:hint="eastAsia"/>
          <w:sz w:val="24"/>
        </w:rPr>
        <w:t>口、回注井</w:t>
      </w:r>
      <w:r>
        <w:rPr>
          <w:rFonts w:hint="eastAsia"/>
          <w:sz w:val="24"/>
        </w:rPr>
        <w:t>1</w:t>
      </w:r>
      <w:r>
        <w:rPr>
          <w:rFonts w:hint="eastAsia"/>
          <w:sz w:val="24"/>
        </w:rPr>
        <w:t>口）</w:t>
      </w:r>
      <w:r>
        <w:rPr>
          <w:sz w:val="24"/>
        </w:rPr>
        <w:t>。根据《环境影响评价技术导则</w:t>
      </w:r>
      <w:r>
        <w:rPr>
          <w:sz w:val="24"/>
        </w:rPr>
        <w:t xml:space="preserve"> </w:t>
      </w:r>
      <w:r>
        <w:rPr>
          <w:sz w:val="24"/>
        </w:rPr>
        <w:t>地下水环境》（</w:t>
      </w:r>
      <w:r>
        <w:rPr>
          <w:sz w:val="24"/>
        </w:rPr>
        <w:t>HJ610-2016</w:t>
      </w:r>
      <w:r>
        <w:rPr>
          <w:sz w:val="24"/>
        </w:rPr>
        <w:t>）中公式：</w:t>
      </w:r>
    </w:p>
    <w:p w:rsidR="00EE4502" w:rsidRDefault="00FD45A3">
      <w:pPr>
        <w:spacing w:line="360" w:lineRule="auto"/>
        <w:ind w:firstLineChars="1100" w:firstLine="2640"/>
        <w:rPr>
          <w:sz w:val="24"/>
        </w:rPr>
      </w:pPr>
      <w:r>
        <w:rPr>
          <w:sz w:val="24"/>
        </w:rPr>
        <w:t>L=a×K×I×T/n</w:t>
      </w:r>
    </w:p>
    <w:p w:rsidR="00EE4502" w:rsidRDefault="00FD45A3">
      <w:pPr>
        <w:spacing w:line="360" w:lineRule="auto"/>
        <w:ind w:firstLineChars="200" w:firstLine="480"/>
        <w:rPr>
          <w:sz w:val="24"/>
        </w:rPr>
      </w:pPr>
      <w:r>
        <w:rPr>
          <w:sz w:val="24"/>
        </w:rPr>
        <w:t>式中：</w:t>
      </w:r>
      <w:r>
        <w:rPr>
          <w:sz w:val="24"/>
        </w:rPr>
        <w:t>L—</w:t>
      </w:r>
      <w:r>
        <w:rPr>
          <w:sz w:val="24"/>
        </w:rPr>
        <w:t>下游迁移距离，</w:t>
      </w:r>
      <w:r>
        <w:rPr>
          <w:sz w:val="24"/>
        </w:rPr>
        <w:t>m</w:t>
      </w:r>
      <w:r>
        <w:rPr>
          <w:sz w:val="24"/>
        </w:rPr>
        <w:t>；</w:t>
      </w:r>
    </w:p>
    <w:p w:rsidR="00EE4502" w:rsidRDefault="00FD45A3">
      <w:pPr>
        <w:spacing w:line="360" w:lineRule="auto"/>
        <w:ind w:firstLineChars="500" w:firstLine="1200"/>
        <w:rPr>
          <w:sz w:val="24"/>
        </w:rPr>
      </w:pPr>
      <w:r>
        <w:rPr>
          <w:sz w:val="24"/>
        </w:rPr>
        <w:t>α—</w:t>
      </w:r>
      <w:r>
        <w:rPr>
          <w:sz w:val="24"/>
        </w:rPr>
        <w:t>变化系数，</w:t>
      </w:r>
      <w:r>
        <w:rPr>
          <w:sz w:val="24"/>
        </w:rPr>
        <w:t>α≥1</w:t>
      </w:r>
      <w:r>
        <w:rPr>
          <w:sz w:val="24"/>
        </w:rPr>
        <w:t>，一般取</w:t>
      </w:r>
      <w:r>
        <w:rPr>
          <w:sz w:val="24"/>
        </w:rPr>
        <w:t>2</w:t>
      </w:r>
      <w:r>
        <w:rPr>
          <w:sz w:val="24"/>
        </w:rPr>
        <w:t>；</w:t>
      </w:r>
    </w:p>
    <w:p w:rsidR="00EE4502" w:rsidRDefault="00FD45A3">
      <w:pPr>
        <w:spacing w:line="360" w:lineRule="auto"/>
        <w:ind w:firstLineChars="500" w:firstLine="1200"/>
        <w:rPr>
          <w:sz w:val="24"/>
        </w:rPr>
      </w:pPr>
      <w:r>
        <w:rPr>
          <w:sz w:val="24"/>
        </w:rPr>
        <w:t>K—</w:t>
      </w:r>
      <w:r>
        <w:rPr>
          <w:sz w:val="24"/>
        </w:rPr>
        <w:t>渗透系数，</w:t>
      </w:r>
      <w:r>
        <w:rPr>
          <w:sz w:val="24"/>
        </w:rPr>
        <w:t>m/d</w:t>
      </w:r>
      <w:r>
        <w:rPr>
          <w:sz w:val="24"/>
        </w:rPr>
        <w:t>；根据开发方案，区块内渗透系数平均约</w:t>
      </w:r>
      <w:r>
        <w:rPr>
          <w:sz w:val="24"/>
        </w:rPr>
        <w:t>1</w:t>
      </w:r>
      <w:r>
        <w:rPr>
          <w:rFonts w:hint="eastAsia"/>
          <w:sz w:val="24"/>
        </w:rPr>
        <w:t>0</w:t>
      </w:r>
      <w:r>
        <w:rPr>
          <w:sz w:val="24"/>
        </w:rPr>
        <w:t>m/d</w:t>
      </w:r>
      <w:r>
        <w:rPr>
          <w:rFonts w:hint="eastAsia"/>
          <w:sz w:val="24"/>
        </w:rPr>
        <w:t>；</w:t>
      </w:r>
    </w:p>
    <w:p w:rsidR="00EE4502" w:rsidRDefault="00FD45A3">
      <w:pPr>
        <w:spacing w:line="360" w:lineRule="auto"/>
        <w:ind w:firstLineChars="500" w:firstLine="1200"/>
        <w:rPr>
          <w:sz w:val="24"/>
        </w:rPr>
      </w:pPr>
      <w:r>
        <w:rPr>
          <w:sz w:val="24"/>
        </w:rPr>
        <w:t>I—</w:t>
      </w:r>
      <w:r>
        <w:rPr>
          <w:sz w:val="24"/>
        </w:rPr>
        <w:t>水力坡度，无量纲，</w:t>
      </w:r>
      <w:r>
        <w:rPr>
          <w:sz w:val="24"/>
        </w:rPr>
        <w:t>2‰</w:t>
      </w:r>
      <w:r>
        <w:rPr>
          <w:sz w:val="24"/>
        </w:rPr>
        <w:t>；</w:t>
      </w:r>
    </w:p>
    <w:p w:rsidR="00EE4502" w:rsidRDefault="00FD45A3">
      <w:pPr>
        <w:spacing w:line="360" w:lineRule="auto"/>
        <w:ind w:firstLineChars="500" w:firstLine="1200"/>
        <w:rPr>
          <w:sz w:val="24"/>
        </w:rPr>
      </w:pPr>
      <w:r>
        <w:rPr>
          <w:sz w:val="24"/>
        </w:rPr>
        <w:t>T—</w:t>
      </w:r>
      <w:r>
        <w:rPr>
          <w:sz w:val="24"/>
        </w:rPr>
        <w:t>质点迁移天数，取值不小于</w:t>
      </w:r>
      <w:r>
        <w:rPr>
          <w:sz w:val="24"/>
        </w:rPr>
        <w:t>5000d</w:t>
      </w:r>
      <w:r>
        <w:rPr>
          <w:sz w:val="24"/>
        </w:rPr>
        <w:t>；</w:t>
      </w:r>
    </w:p>
    <w:p w:rsidR="00EE4502" w:rsidRDefault="00FD45A3">
      <w:pPr>
        <w:spacing w:line="360" w:lineRule="auto"/>
        <w:ind w:firstLineChars="500" w:firstLine="1200"/>
        <w:rPr>
          <w:sz w:val="24"/>
        </w:rPr>
      </w:pPr>
      <w:r>
        <w:rPr>
          <w:sz w:val="24"/>
        </w:rPr>
        <w:t>ne—</w:t>
      </w:r>
      <w:r>
        <w:rPr>
          <w:sz w:val="24"/>
        </w:rPr>
        <w:t>有效孔隙度，无量纲，取</w:t>
      </w:r>
      <w:r>
        <w:rPr>
          <w:sz w:val="24"/>
        </w:rPr>
        <w:t>25</w:t>
      </w:r>
      <w:r>
        <w:rPr>
          <w:sz w:val="24"/>
        </w:rPr>
        <w:t>％。</w:t>
      </w:r>
    </w:p>
    <w:p w:rsidR="00EE4502" w:rsidRDefault="00FD45A3">
      <w:pPr>
        <w:spacing w:line="360" w:lineRule="auto"/>
        <w:ind w:firstLineChars="200" w:firstLine="480"/>
        <w:rPr>
          <w:sz w:val="24"/>
        </w:rPr>
      </w:pPr>
      <w:r>
        <w:rPr>
          <w:sz w:val="24"/>
        </w:rPr>
        <w:t>由上述公式计算可得，</w:t>
      </w:r>
      <w:r>
        <w:rPr>
          <w:sz w:val="24"/>
        </w:rPr>
        <w:t>L</w:t>
      </w:r>
      <w:r>
        <w:rPr>
          <w:sz w:val="24"/>
        </w:rPr>
        <w:t>为</w:t>
      </w:r>
      <w:r>
        <w:rPr>
          <w:sz w:val="24"/>
        </w:rPr>
        <w:t>8</w:t>
      </w:r>
      <w:r>
        <w:rPr>
          <w:rFonts w:hint="eastAsia"/>
          <w:sz w:val="24"/>
        </w:rPr>
        <w:t>00</w:t>
      </w:r>
      <w:r>
        <w:rPr>
          <w:sz w:val="24"/>
        </w:rPr>
        <w:t>m</w:t>
      </w:r>
      <w:r>
        <w:rPr>
          <w:sz w:val="24"/>
        </w:rPr>
        <w:t>。根据《环境影响评价技术导则</w:t>
      </w:r>
      <w:r>
        <w:rPr>
          <w:rFonts w:hint="eastAsia"/>
          <w:sz w:val="24"/>
        </w:rPr>
        <w:t xml:space="preserve"> </w:t>
      </w:r>
      <w:r>
        <w:rPr>
          <w:sz w:val="24"/>
        </w:rPr>
        <w:t>地下水环境》（</w:t>
      </w:r>
      <w:r>
        <w:rPr>
          <w:sz w:val="24"/>
        </w:rPr>
        <w:t>HJ610-2016</w:t>
      </w:r>
      <w:r>
        <w:rPr>
          <w:sz w:val="24"/>
        </w:rPr>
        <w:t>）中规定，污染物下游迁移距离确定后，场地两侧的调查评价距离</w:t>
      </w:r>
      <w:r>
        <w:rPr>
          <w:sz w:val="24"/>
        </w:rPr>
        <w:t>≮</w:t>
      </w:r>
      <w:r>
        <w:rPr>
          <w:rFonts w:hint="eastAsia"/>
          <w:sz w:val="24"/>
        </w:rPr>
        <w:t>400</w:t>
      </w:r>
      <w:r>
        <w:rPr>
          <w:sz w:val="24"/>
        </w:rPr>
        <w:t>m</w:t>
      </w:r>
      <w:r>
        <w:rPr>
          <w:sz w:val="24"/>
        </w:rPr>
        <w:t>。</w:t>
      </w:r>
    </w:p>
    <w:p w:rsidR="00EE4502" w:rsidRDefault="00FD45A3">
      <w:pPr>
        <w:spacing w:line="360" w:lineRule="auto"/>
        <w:ind w:firstLine="482"/>
        <w:rPr>
          <w:snapToGrid w:val="0"/>
          <w:kern w:val="0"/>
          <w:sz w:val="24"/>
        </w:rPr>
      </w:pPr>
      <w:r>
        <w:rPr>
          <w:rFonts w:hint="eastAsia"/>
          <w:bCs/>
          <w:sz w:val="24"/>
        </w:rPr>
        <w:t>工程</w:t>
      </w:r>
      <w:r>
        <w:rPr>
          <w:bCs/>
          <w:sz w:val="24"/>
        </w:rPr>
        <w:t>所在区域地下水总体由</w:t>
      </w:r>
      <w:r>
        <w:rPr>
          <w:rFonts w:hint="eastAsia"/>
          <w:bCs/>
          <w:sz w:val="24"/>
        </w:rPr>
        <w:t>西北</w:t>
      </w:r>
      <w:r>
        <w:rPr>
          <w:rFonts w:hint="eastAsia"/>
          <w:bCs/>
          <w:sz w:val="24"/>
        </w:rPr>
        <w:t>向</w:t>
      </w:r>
      <w:r>
        <w:rPr>
          <w:rFonts w:hint="eastAsia"/>
          <w:bCs/>
          <w:sz w:val="24"/>
        </w:rPr>
        <w:t>东南</w:t>
      </w:r>
      <w:r>
        <w:rPr>
          <w:bCs/>
          <w:sz w:val="24"/>
        </w:rPr>
        <w:t>径流，本次评价范围确定为：</w:t>
      </w:r>
      <w:r>
        <w:rPr>
          <w:rFonts w:hint="eastAsia"/>
          <w:bCs/>
          <w:sz w:val="24"/>
        </w:rPr>
        <w:t>工程区</w:t>
      </w:r>
      <w:r>
        <w:rPr>
          <w:bCs/>
          <w:sz w:val="24"/>
        </w:rPr>
        <w:t>向下游外扩</w:t>
      </w:r>
      <w:r>
        <w:rPr>
          <w:bCs/>
          <w:sz w:val="24"/>
        </w:rPr>
        <w:t>0.</w:t>
      </w:r>
      <w:r>
        <w:rPr>
          <w:rFonts w:hint="eastAsia"/>
          <w:bCs/>
          <w:sz w:val="24"/>
        </w:rPr>
        <w:t>8</w:t>
      </w:r>
      <w:r>
        <w:rPr>
          <w:bCs/>
          <w:sz w:val="24"/>
        </w:rPr>
        <w:t>km</w:t>
      </w:r>
      <w:r>
        <w:rPr>
          <w:bCs/>
          <w:sz w:val="24"/>
        </w:rPr>
        <w:t>，向两侧及上游各外扩</w:t>
      </w:r>
      <w:r>
        <w:rPr>
          <w:bCs/>
          <w:sz w:val="24"/>
        </w:rPr>
        <w:t>0.</w:t>
      </w:r>
      <w:r>
        <w:rPr>
          <w:rFonts w:hint="eastAsia"/>
          <w:bCs/>
          <w:sz w:val="24"/>
        </w:rPr>
        <w:t>4</w:t>
      </w:r>
      <w:r>
        <w:rPr>
          <w:bCs/>
          <w:sz w:val="24"/>
        </w:rPr>
        <w:t>km</w:t>
      </w:r>
      <w:r>
        <w:rPr>
          <w:bCs/>
          <w:sz w:val="24"/>
        </w:rPr>
        <w:t>的范围。</w:t>
      </w:r>
      <w:r>
        <w:rPr>
          <w:rFonts w:hint="eastAsia"/>
          <w:bCs/>
          <w:sz w:val="24"/>
        </w:rPr>
        <w:t>根据《环境影响评价技术导则</w:t>
      </w:r>
      <w:r>
        <w:rPr>
          <w:rFonts w:hint="eastAsia"/>
          <w:bCs/>
          <w:sz w:val="24"/>
        </w:rPr>
        <w:t xml:space="preserve"> </w:t>
      </w:r>
      <w:r>
        <w:rPr>
          <w:rFonts w:hint="eastAsia"/>
          <w:bCs/>
          <w:sz w:val="24"/>
        </w:rPr>
        <w:t>陆地石油天然</w:t>
      </w:r>
      <w:r>
        <w:rPr>
          <w:rFonts w:hint="eastAsia"/>
          <w:bCs/>
          <w:sz w:val="24"/>
        </w:rPr>
        <w:t>气开发建设项目》（</w:t>
      </w:r>
      <w:r>
        <w:rPr>
          <w:rFonts w:hint="eastAsia"/>
          <w:bCs/>
          <w:sz w:val="24"/>
        </w:rPr>
        <w:t>HJ 349-2023</w:t>
      </w:r>
      <w:r>
        <w:rPr>
          <w:rFonts w:hint="eastAsia"/>
          <w:bCs/>
          <w:sz w:val="24"/>
        </w:rPr>
        <w:t>），管线以工程边界两侧各向外延伸</w:t>
      </w:r>
      <w:r>
        <w:rPr>
          <w:rFonts w:hint="eastAsia"/>
          <w:bCs/>
          <w:sz w:val="24"/>
        </w:rPr>
        <w:t>200m</w:t>
      </w:r>
      <w:r>
        <w:rPr>
          <w:rFonts w:hint="eastAsia"/>
          <w:bCs/>
          <w:sz w:val="24"/>
        </w:rPr>
        <w:t>作为调查评价范围</w:t>
      </w:r>
      <w:r>
        <w:rPr>
          <w:rFonts w:hint="eastAsia"/>
          <w:sz w:val="24"/>
        </w:rPr>
        <w:t>。</w:t>
      </w:r>
    </w:p>
    <w:p w:rsidR="00EE4502" w:rsidRDefault="00FD45A3">
      <w:pPr>
        <w:pStyle w:val="33"/>
        <w:numPr>
          <w:ilvl w:val="2"/>
          <w:numId w:val="30"/>
        </w:numPr>
        <w:spacing w:line="360" w:lineRule="auto"/>
        <w:ind w:left="0" w:firstLine="0"/>
        <w:rPr>
          <w:spacing w:val="0"/>
          <w:sz w:val="24"/>
          <w:szCs w:val="24"/>
        </w:rPr>
      </w:pPr>
      <w:r>
        <w:rPr>
          <w:rFonts w:hint="eastAsia"/>
          <w:spacing w:val="0"/>
          <w:sz w:val="24"/>
          <w:szCs w:val="24"/>
        </w:rPr>
        <w:t>地表水环境影响评价等级和评价范围</w:t>
      </w:r>
    </w:p>
    <w:p w:rsidR="00EE4502" w:rsidRDefault="00FD45A3">
      <w:pPr>
        <w:spacing w:line="360" w:lineRule="auto"/>
        <w:ind w:firstLineChars="225" w:firstLine="540"/>
        <w:rPr>
          <w:kern w:val="0"/>
          <w:sz w:val="24"/>
        </w:rPr>
      </w:pPr>
      <w:r>
        <w:rPr>
          <w:rFonts w:hint="eastAsia"/>
          <w:kern w:val="0"/>
          <w:sz w:val="24"/>
        </w:rPr>
        <w:t>工程位于准噶尔盆地西缘，井区内无地表水体，集油管线及注汽管线沿线无穿越任何地表水体。在油田正常开采及油气集输过程中，本工程产生的含油污水不直接向外环境排放，不与周边地表水体发生水力联系。</w:t>
      </w:r>
    </w:p>
    <w:p w:rsidR="00EE4502" w:rsidRDefault="00FD45A3">
      <w:pPr>
        <w:spacing w:line="360" w:lineRule="auto"/>
        <w:ind w:firstLineChars="225" w:firstLine="540"/>
        <w:rPr>
          <w:kern w:val="0"/>
          <w:sz w:val="24"/>
        </w:rPr>
      </w:pPr>
      <w:r>
        <w:rPr>
          <w:rFonts w:hint="eastAsia"/>
          <w:kern w:val="0"/>
          <w:sz w:val="24"/>
        </w:rPr>
        <w:t>因此，根据《环境影响评价技术导则</w:t>
      </w:r>
      <w:r>
        <w:rPr>
          <w:rFonts w:hint="eastAsia"/>
          <w:kern w:val="0"/>
          <w:sz w:val="24"/>
        </w:rPr>
        <w:t xml:space="preserve"> </w:t>
      </w:r>
      <w:r>
        <w:rPr>
          <w:rFonts w:hint="eastAsia"/>
          <w:kern w:val="0"/>
          <w:sz w:val="24"/>
        </w:rPr>
        <w:t>地表水环境》（</w:t>
      </w:r>
      <w:r>
        <w:rPr>
          <w:rFonts w:hint="eastAsia"/>
          <w:kern w:val="0"/>
          <w:sz w:val="24"/>
        </w:rPr>
        <w:t>HJ2.3-2018</w:t>
      </w:r>
      <w:r>
        <w:rPr>
          <w:rFonts w:hint="eastAsia"/>
          <w:kern w:val="0"/>
          <w:sz w:val="24"/>
        </w:rPr>
        <w:t>）中的地表水环境影响评价工作等级分级判据，确定本工程地表水环境影响评价工作等级为三级</w:t>
      </w:r>
      <w:r>
        <w:rPr>
          <w:rFonts w:hint="eastAsia"/>
          <w:kern w:val="0"/>
          <w:sz w:val="24"/>
        </w:rPr>
        <w:t>B</w:t>
      </w:r>
      <w:r>
        <w:rPr>
          <w:rFonts w:hint="eastAsia"/>
          <w:kern w:val="0"/>
          <w:sz w:val="24"/>
        </w:rPr>
        <w:t>。</w:t>
      </w:r>
    </w:p>
    <w:p w:rsidR="00EE4502" w:rsidRDefault="00FD45A3">
      <w:pPr>
        <w:spacing w:line="360" w:lineRule="auto"/>
        <w:ind w:firstLineChars="225" w:firstLine="540"/>
        <w:rPr>
          <w:kern w:val="0"/>
          <w:sz w:val="24"/>
        </w:rPr>
      </w:pPr>
      <w:r>
        <w:rPr>
          <w:sz w:val="24"/>
        </w:rPr>
        <w:t>项目运营阶段正常情况下无废水排放，本次地表水环境影响评价重点论证项目废水综合利用不外排的可行性和可靠性</w:t>
      </w:r>
    </w:p>
    <w:p w:rsidR="00EE4502" w:rsidRDefault="00FD45A3">
      <w:pPr>
        <w:pStyle w:val="33"/>
        <w:numPr>
          <w:ilvl w:val="2"/>
          <w:numId w:val="30"/>
        </w:numPr>
        <w:spacing w:line="360" w:lineRule="auto"/>
        <w:ind w:left="0" w:firstLine="0"/>
        <w:rPr>
          <w:spacing w:val="0"/>
          <w:sz w:val="24"/>
          <w:szCs w:val="24"/>
        </w:rPr>
      </w:pPr>
      <w:r>
        <w:rPr>
          <w:rFonts w:hint="eastAsia"/>
          <w:spacing w:val="0"/>
          <w:sz w:val="24"/>
          <w:szCs w:val="24"/>
        </w:rPr>
        <w:t>土壤环境影响评价等级和评价范围</w:t>
      </w:r>
    </w:p>
    <w:p w:rsidR="00EE4502" w:rsidRDefault="00FD45A3">
      <w:pPr>
        <w:spacing w:line="360" w:lineRule="auto"/>
        <w:ind w:firstLineChars="225" w:firstLine="540"/>
        <w:rPr>
          <w:kern w:val="0"/>
          <w:sz w:val="24"/>
        </w:rPr>
      </w:pPr>
      <w:r>
        <w:rPr>
          <w:rFonts w:hint="eastAsia"/>
          <w:kern w:val="0"/>
          <w:sz w:val="24"/>
        </w:rPr>
        <w:t>（</w:t>
      </w:r>
      <w:r>
        <w:rPr>
          <w:rFonts w:hint="eastAsia"/>
          <w:kern w:val="0"/>
          <w:sz w:val="24"/>
        </w:rPr>
        <w:t>1</w:t>
      </w:r>
      <w:r>
        <w:rPr>
          <w:rFonts w:hint="eastAsia"/>
          <w:kern w:val="0"/>
          <w:sz w:val="24"/>
        </w:rPr>
        <w:t>）评价等级</w:t>
      </w:r>
    </w:p>
    <w:p w:rsidR="00EE4502" w:rsidRDefault="00FD45A3">
      <w:pPr>
        <w:spacing w:line="360" w:lineRule="auto"/>
        <w:ind w:firstLineChars="225" w:firstLine="540"/>
        <w:rPr>
          <w:kern w:val="0"/>
          <w:sz w:val="24"/>
        </w:rPr>
      </w:pPr>
      <w:r>
        <w:rPr>
          <w:rFonts w:hint="eastAsia"/>
          <w:kern w:val="0"/>
          <w:sz w:val="24"/>
        </w:rPr>
        <w:t>根据</w:t>
      </w:r>
      <w:r>
        <w:rPr>
          <w:kern w:val="0"/>
          <w:sz w:val="24"/>
        </w:rPr>
        <w:t>《环境影响评价技术导则</w:t>
      </w:r>
      <w:r>
        <w:rPr>
          <w:kern w:val="0"/>
          <w:sz w:val="24"/>
        </w:rPr>
        <w:t xml:space="preserve"> </w:t>
      </w:r>
      <w:r>
        <w:rPr>
          <w:kern w:val="0"/>
          <w:sz w:val="24"/>
        </w:rPr>
        <w:t>土壤环境（试行）》（</w:t>
      </w:r>
      <w:r>
        <w:rPr>
          <w:kern w:val="0"/>
          <w:sz w:val="24"/>
        </w:rPr>
        <w:t>HJ 964-2018</w:t>
      </w:r>
      <w:r>
        <w:rPr>
          <w:kern w:val="0"/>
          <w:sz w:val="24"/>
        </w:rPr>
        <w:t>）</w:t>
      </w:r>
      <w:r>
        <w:rPr>
          <w:rFonts w:hint="eastAsia"/>
          <w:kern w:val="0"/>
          <w:sz w:val="24"/>
        </w:rPr>
        <w:t>和《环境影响评价技术导则</w:t>
      </w:r>
      <w:r>
        <w:rPr>
          <w:rFonts w:hint="eastAsia"/>
          <w:kern w:val="0"/>
          <w:sz w:val="24"/>
        </w:rPr>
        <w:t xml:space="preserve"> </w:t>
      </w:r>
      <w:r>
        <w:rPr>
          <w:rFonts w:hint="eastAsia"/>
          <w:kern w:val="0"/>
          <w:sz w:val="24"/>
        </w:rPr>
        <w:t>陆地石油天然气开发建设项目》（</w:t>
      </w:r>
      <w:r>
        <w:rPr>
          <w:rFonts w:hint="eastAsia"/>
          <w:kern w:val="0"/>
          <w:sz w:val="24"/>
        </w:rPr>
        <w:t>HJ349-2023</w:t>
      </w:r>
      <w:r>
        <w:rPr>
          <w:rFonts w:hint="eastAsia"/>
          <w:kern w:val="0"/>
          <w:sz w:val="24"/>
        </w:rPr>
        <w:t>）以及区域</w:t>
      </w:r>
      <w:r>
        <w:rPr>
          <w:rFonts w:hint="eastAsia"/>
          <w:kern w:val="0"/>
          <w:sz w:val="24"/>
        </w:rPr>
        <w:lastRenderedPageBreak/>
        <w:t>监测数据，工程所在区域土壤含盐量大于</w:t>
      </w:r>
      <w:r>
        <w:rPr>
          <w:rFonts w:hint="eastAsia"/>
          <w:kern w:val="0"/>
          <w:sz w:val="24"/>
        </w:rPr>
        <w:t>4g/k</w:t>
      </w:r>
      <w:r>
        <w:rPr>
          <w:rFonts w:hint="eastAsia"/>
          <w:kern w:val="0"/>
          <w:sz w:val="24"/>
        </w:rPr>
        <w:t>g</w:t>
      </w:r>
      <w:r>
        <w:rPr>
          <w:rFonts w:hint="eastAsia"/>
          <w:kern w:val="0"/>
          <w:sz w:val="24"/>
        </w:rPr>
        <w:t>，土壤</w:t>
      </w:r>
      <w:r>
        <w:rPr>
          <w:rFonts w:hint="eastAsia"/>
          <w:kern w:val="0"/>
          <w:sz w:val="24"/>
        </w:rPr>
        <w:t>p</w:t>
      </w:r>
      <w:r>
        <w:rPr>
          <w:kern w:val="0"/>
          <w:sz w:val="24"/>
        </w:rPr>
        <w:t>H</w:t>
      </w:r>
      <w:r>
        <w:rPr>
          <w:rFonts w:hint="eastAsia"/>
          <w:kern w:val="0"/>
          <w:sz w:val="24"/>
        </w:rPr>
        <w:t>值</w:t>
      </w:r>
      <w:r>
        <w:rPr>
          <w:rFonts w:hint="eastAsia"/>
          <w:kern w:val="0"/>
          <w:sz w:val="24"/>
        </w:rPr>
        <w:t>大于</w:t>
      </w:r>
      <w:r>
        <w:rPr>
          <w:rFonts w:hint="eastAsia"/>
          <w:kern w:val="0"/>
          <w:sz w:val="24"/>
        </w:rPr>
        <w:t>7</w:t>
      </w:r>
      <w:r>
        <w:rPr>
          <w:rFonts w:hint="eastAsia"/>
          <w:kern w:val="0"/>
          <w:sz w:val="24"/>
        </w:rPr>
        <w:t>，根据</w:t>
      </w:r>
      <w:r>
        <w:rPr>
          <w:kern w:val="0"/>
          <w:sz w:val="24"/>
        </w:rPr>
        <w:t>HJ 964-2018</w:t>
      </w:r>
      <w:r>
        <w:rPr>
          <w:rFonts w:hint="eastAsia"/>
          <w:kern w:val="0"/>
          <w:sz w:val="24"/>
        </w:rPr>
        <w:t>附录</w:t>
      </w:r>
      <w:r>
        <w:rPr>
          <w:rFonts w:hint="eastAsia"/>
          <w:kern w:val="0"/>
          <w:sz w:val="24"/>
        </w:rPr>
        <w:t>D</w:t>
      </w:r>
      <w:r>
        <w:rPr>
          <w:rFonts w:hint="eastAsia"/>
          <w:kern w:val="0"/>
          <w:sz w:val="24"/>
        </w:rPr>
        <w:t>中的分级标准，工程所在区域属于土壤中度盐化地区和轻度碱化地区，故</w:t>
      </w:r>
      <w:r>
        <w:rPr>
          <w:rFonts w:hint="eastAsia"/>
          <w:kern w:val="0"/>
          <w:sz w:val="24"/>
        </w:rPr>
        <w:t>本工程</w:t>
      </w:r>
      <w:r>
        <w:rPr>
          <w:rFonts w:hint="eastAsia"/>
          <w:kern w:val="0"/>
          <w:sz w:val="24"/>
        </w:rPr>
        <w:t>类别同时按照生态影响型项目和污染影</w:t>
      </w:r>
      <w:r>
        <w:rPr>
          <w:rFonts w:hint="eastAsia"/>
          <w:kern w:val="0"/>
          <w:sz w:val="24"/>
        </w:rPr>
        <w:t>响型项目考虑，并根据不同类型分别判定评价等级。</w:t>
      </w:r>
    </w:p>
    <w:p w:rsidR="00EE4502" w:rsidRDefault="00FD45A3">
      <w:pPr>
        <w:spacing w:line="360" w:lineRule="auto"/>
        <w:ind w:firstLineChars="225" w:firstLine="540"/>
        <w:rPr>
          <w:kern w:val="0"/>
          <w:sz w:val="24"/>
        </w:rPr>
      </w:pPr>
      <w:r>
        <w:rPr>
          <w:rFonts w:hint="eastAsia"/>
          <w:kern w:val="0"/>
          <w:sz w:val="24"/>
        </w:rPr>
        <w:t>1</w:t>
      </w:r>
      <w:r>
        <w:rPr>
          <w:rFonts w:hint="eastAsia"/>
          <w:kern w:val="0"/>
          <w:sz w:val="24"/>
        </w:rPr>
        <w:t>）建设项目类别</w:t>
      </w:r>
    </w:p>
    <w:p w:rsidR="00EE4502" w:rsidRDefault="00FD45A3">
      <w:pPr>
        <w:spacing w:line="360" w:lineRule="auto"/>
        <w:ind w:firstLineChars="225" w:firstLine="540"/>
        <w:rPr>
          <w:kern w:val="0"/>
          <w:sz w:val="24"/>
        </w:rPr>
      </w:pPr>
      <w:r>
        <w:rPr>
          <w:rFonts w:hint="eastAsia"/>
          <w:kern w:val="0"/>
          <w:sz w:val="24"/>
        </w:rPr>
        <w:t>本项目属于陆地石油开采项目，项目内容包含井场及油气集输管线建设。根据《环境影响评价技术导则</w:t>
      </w:r>
      <w:r>
        <w:rPr>
          <w:rFonts w:hint="eastAsia"/>
          <w:kern w:val="0"/>
          <w:sz w:val="24"/>
        </w:rPr>
        <w:t xml:space="preserve"> </w:t>
      </w:r>
      <w:r>
        <w:rPr>
          <w:rFonts w:hint="eastAsia"/>
          <w:kern w:val="0"/>
          <w:sz w:val="24"/>
        </w:rPr>
        <w:t>土壤环境（试行）》（</w:t>
      </w:r>
      <w:r>
        <w:rPr>
          <w:rFonts w:hint="eastAsia"/>
          <w:kern w:val="0"/>
          <w:sz w:val="24"/>
        </w:rPr>
        <w:t>HJ964-2018</w:t>
      </w:r>
      <w:r>
        <w:rPr>
          <w:rFonts w:hint="eastAsia"/>
          <w:kern w:val="0"/>
          <w:sz w:val="24"/>
        </w:rPr>
        <w:t>）和《环境影响评价技术导则</w:t>
      </w:r>
      <w:r>
        <w:rPr>
          <w:rFonts w:hint="eastAsia"/>
          <w:kern w:val="0"/>
          <w:sz w:val="24"/>
        </w:rPr>
        <w:t xml:space="preserve"> </w:t>
      </w:r>
      <w:r>
        <w:rPr>
          <w:rFonts w:hint="eastAsia"/>
          <w:kern w:val="0"/>
          <w:sz w:val="24"/>
        </w:rPr>
        <w:t>陆地石油天然气开发建设项目》（</w:t>
      </w:r>
      <w:r>
        <w:rPr>
          <w:rFonts w:hint="eastAsia"/>
          <w:kern w:val="0"/>
          <w:sz w:val="24"/>
        </w:rPr>
        <w:t>HJ349-2023</w:t>
      </w:r>
      <w:r>
        <w:rPr>
          <w:rFonts w:hint="eastAsia"/>
          <w:kern w:val="0"/>
          <w:sz w:val="24"/>
        </w:rPr>
        <w:t>）：“建设项目按照站场和内部集输管道分别判断行业分类。常规石油和页岩油、致密油等非常规石油开采井场、站场等工程，按照</w:t>
      </w:r>
      <w:r>
        <w:rPr>
          <w:rFonts w:hint="eastAsia"/>
          <w:kern w:val="0"/>
          <w:sz w:val="24"/>
        </w:rPr>
        <w:t>I</w:t>
      </w:r>
      <w:r>
        <w:rPr>
          <w:rFonts w:hint="eastAsia"/>
          <w:kern w:val="0"/>
          <w:sz w:val="24"/>
        </w:rPr>
        <w:t>类建设项目开展土壤环境影响评价；常规天然气和页岩气、致密气等非常规天然气开采（含天然气净化厂）站场等工程，油类和废水等</w:t>
      </w:r>
      <w:r>
        <w:rPr>
          <w:rFonts w:hint="eastAsia"/>
          <w:kern w:val="0"/>
          <w:sz w:val="24"/>
        </w:rPr>
        <w:t>输送管道，按照Ⅱ类建设项目开展土壤环境影响评价……”。因此，本</w:t>
      </w:r>
      <w:r>
        <w:rPr>
          <w:rFonts w:hint="eastAsia"/>
          <w:kern w:val="0"/>
          <w:sz w:val="24"/>
        </w:rPr>
        <w:t>工程采油井、</w:t>
      </w:r>
      <w:r>
        <w:rPr>
          <w:rFonts w:hint="eastAsia"/>
          <w:kern w:val="0"/>
          <w:sz w:val="24"/>
        </w:rPr>
        <w:t>1#</w:t>
      </w:r>
      <w:r>
        <w:rPr>
          <w:rFonts w:hint="eastAsia"/>
          <w:kern w:val="0"/>
          <w:sz w:val="24"/>
        </w:rPr>
        <w:t>增压站改扩建等部分属</w:t>
      </w:r>
      <w:r>
        <w:rPr>
          <w:rFonts w:hint="eastAsia"/>
          <w:kern w:val="0"/>
          <w:sz w:val="24"/>
        </w:rPr>
        <w:t>“</w:t>
      </w:r>
      <w:r>
        <w:rPr>
          <w:rFonts w:hint="eastAsia"/>
          <w:kern w:val="0"/>
          <w:sz w:val="24"/>
        </w:rPr>
        <w:t>I</w:t>
      </w:r>
      <w:r>
        <w:rPr>
          <w:rFonts w:hint="eastAsia"/>
          <w:kern w:val="0"/>
          <w:sz w:val="24"/>
        </w:rPr>
        <w:t>类建设项目”；</w:t>
      </w:r>
      <w:r>
        <w:rPr>
          <w:rFonts w:hint="eastAsia"/>
          <w:kern w:val="0"/>
          <w:sz w:val="24"/>
        </w:rPr>
        <w:t>注水井、排</w:t>
      </w:r>
      <w:r>
        <w:rPr>
          <w:rFonts w:hint="eastAsia"/>
          <w:kern w:val="0"/>
          <w:sz w:val="24"/>
        </w:rPr>
        <w:t>7</w:t>
      </w:r>
      <w:r>
        <w:rPr>
          <w:rFonts w:hint="eastAsia"/>
          <w:kern w:val="0"/>
          <w:sz w:val="24"/>
        </w:rPr>
        <w:t>注水站扩建</w:t>
      </w:r>
      <w:r>
        <w:rPr>
          <w:rFonts w:hint="eastAsia"/>
          <w:kern w:val="0"/>
          <w:sz w:val="24"/>
        </w:rPr>
        <w:t>及</w:t>
      </w:r>
      <w:r>
        <w:rPr>
          <w:rFonts w:hint="eastAsia"/>
          <w:kern w:val="0"/>
          <w:sz w:val="24"/>
        </w:rPr>
        <w:t>各类</w:t>
      </w:r>
      <w:r>
        <w:rPr>
          <w:rFonts w:hint="eastAsia"/>
          <w:kern w:val="0"/>
          <w:sz w:val="24"/>
        </w:rPr>
        <w:t>配套管线为“Ⅱ类建设项目”。</w:t>
      </w:r>
    </w:p>
    <w:p w:rsidR="00EE4502" w:rsidRDefault="00FD45A3">
      <w:pPr>
        <w:spacing w:line="360" w:lineRule="auto"/>
        <w:ind w:firstLineChars="225" w:firstLine="540"/>
        <w:rPr>
          <w:kern w:val="0"/>
          <w:sz w:val="24"/>
        </w:rPr>
      </w:pPr>
      <w:r>
        <w:rPr>
          <w:kern w:val="0"/>
          <w:sz w:val="24"/>
        </w:rPr>
        <w:t>2</w:t>
      </w:r>
      <w:r>
        <w:rPr>
          <w:rFonts w:hint="eastAsia"/>
          <w:kern w:val="0"/>
          <w:sz w:val="24"/>
        </w:rPr>
        <w:t>）占地规模</w:t>
      </w:r>
    </w:p>
    <w:p w:rsidR="00EE4502" w:rsidRDefault="00FD45A3">
      <w:pPr>
        <w:spacing w:line="360" w:lineRule="auto"/>
        <w:ind w:firstLineChars="225" w:firstLine="540"/>
        <w:rPr>
          <w:kern w:val="0"/>
          <w:sz w:val="24"/>
        </w:rPr>
      </w:pPr>
      <w:r>
        <w:rPr>
          <w:kern w:val="0"/>
          <w:sz w:val="24"/>
        </w:rPr>
        <w:t>根据《环境影响评价技术导则</w:t>
      </w:r>
      <w:r>
        <w:rPr>
          <w:kern w:val="0"/>
          <w:sz w:val="24"/>
        </w:rPr>
        <w:t xml:space="preserve"> </w:t>
      </w:r>
      <w:r>
        <w:rPr>
          <w:kern w:val="0"/>
          <w:sz w:val="24"/>
        </w:rPr>
        <w:t>土壤环境（试行）》（</w:t>
      </w:r>
      <w:r>
        <w:rPr>
          <w:kern w:val="0"/>
          <w:sz w:val="24"/>
        </w:rPr>
        <w:t>HJ964-2018</w:t>
      </w:r>
      <w:r>
        <w:rPr>
          <w:kern w:val="0"/>
          <w:sz w:val="24"/>
        </w:rPr>
        <w:t>）中</w:t>
      </w:r>
      <w:r>
        <w:rPr>
          <w:kern w:val="0"/>
          <w:sz w:val="24"/>
        </w:rPr>
        <w:t>“</w:t>
      </w:r>
      <w:r>
        <w:rPr>
          <w:kern w:val="0"/>
          <w:sz w:val="24"/>
        </w:rPr>
        <w:t>建设项目占地规模分为大型（</w:t>
      </w:r>
      <w:r>
        <w:rPr>
          <w:kern w:val="0"/>
          <w:sz w:val="24"/>
        </w:rPr>
        <w:t>≥50hm</w:t>
      </w:r>
      <w:r>
        <w:rPr>
          <w:kern w:val="0"/>
          <w:sz w:val="24"/>
          <w:vertAlign w:val="superscript"/>
        </w:rPr>
        <w:t>2</w:t>
      </w:r>
      <w:r>
        <w:rPr>
          <w:kern w:val="0"/>
          <w:sz w:val="24"/>
        </w:rPr>
        <w:t>）、中型（</w:t>
      </w:r>
      <w:r>
        <w:rPr>
          <w:kern w:val="0"/>
          <w:sz w:val="24"/>
        </w:rPr>
        <w:t>5</w:t>
      </w:r>
      <w:r>
        <w:rPr>
          <w:kern w:val="0"/>
          <w:sz w:val="24"/>
        </w:rPr>
        <w:t>～</w:t>
      </w:r>
      <w:r>
        <w:rPr>
          <w:kern w:val="0"/>
          <w:sz w:val="24"/>
        </w:rPr>
        <w:t>50hm</w:t>
      </w:r>
      <w:r>
        <w:rPr>
          <w:kern w:val="0"/>
          <w:sz w:val="24"/>
          <w:vertAlign w:val="superscript"/>
        </w:rPr>
        <w:t>2</w:t>
      </w:r>
      <w:r>
        <w:rPr>
          <w:kern w:val="0"/>
          <w:sz w:val="24"/>
        </w:rPr>
        <w:t>）和小型（</w:t>
      </w:r>
      <w:r>
        <w:rPr>
          <w:kern w:val="0"/>
          <w:sz w:val="24"/>
        </w:rPr>
        <w:t>≤5hm</w:t>
      </w:r>
      <w:r>
        <w:rPr>
          <w:kern w:val="0"/>
          <w:sz w:val="24"/>
          <w:vertAlign w:val="superscript"/>
        </w:rPr>
        <w:t>2</w:t>
      </w:r>
      <w:r>
        <w:rPr>
          <w:kern w:val="0"/>
          <w:sz w:val="24"/>
        </w:rPr>
        <w:t>）</w:t>
      </w:r>
      <w:r>
        <w:rPr>
          <w:kern w:val="0"/>
          <w:sz w:val="24"/>
        </w:rPr>
        <w:t>”</w:t>
      </w:r>
      <w:r>
        <w:rPr>
          <w:kern w:val="0"/>
          <w:sz w:val="24"/>
        </w:rPr>
        <w:t>，本工程永久占地</w:t>
      </w:r>
      <w:r>
        <w:rPr>
          <w:kern w:val="0"/>
          <w:sz w:val="24"/>
        </w:rPr>
        <w:t>≤5hm</w:t>
      </w:r>
      <w:r>
        <w:rPr>
          <w:kern w:val="0"/>
          <w:sz w:val="24"/>
          <w:vertAlign w:val="superscript"/>
        </w:rPr>
        <w:t>2</w:t>
      </w:r>
      <w:r>
        <w:rPr>
          <w:kern w:val="0"/>
          <w:sz w:val="24"/>
        </w:rPr>
        <w:t>，占地规模为</w:t>
      </w:r>
      <w:r>
        <w:rPr>
          <w:kern w:val="0"/>
          <w:sz w:val="24"/>
        </w:rPr>
        <w:t>“</w:t>
      </w:r>
      <w:r>
        <w:rPr>
          <w:kern w:val="0"/>
          <w:sz w:val="24"/>
        </w:rPr>
        <w:t>小型</w:t>
      </w:r>
      <w:r>
        <w:rPr>
          <w:kern w:val="0"/>
          <w:sz w:val="24"/>
        </w:rPr>
        <w:t>”</w:t>
      </w:r>
      <w:r>
        <w:rPr>
          <w:kern w:val="0"/>
          <w:sz w:val="24"/>
        </w:rPr>
        <w:t>。</w:t>
      </w:r>
    </w:p>
    <w:p w:rsidR="00EE4502" w:rsidRDefault="00FD45A3">
      <w:pPr>
        <w:spacing w:line="360" w:lineRule="auto"/>
        <w:ind w:firstLineChars="225" w:firstLine="540"/>
        <w:rPr>
          <w:kern w:val="0"/>
          <w:sz w:val="24"/>
        </w:rPr>
      </w:pPr>
      <w:r>
        <w:rPr>
          <w:kern w:val="0"/>
          <w:sz w:val="24"/>
        </w:rPr>
        <w:t>3</w:t>
      </w:r>
      <w:r>
        <w:rPr>
          <w:rFonts w:hint="eastAsia"/>
          <w:kern w:val="0"/>
          <w:sz w:val="24"/>
        </w:rPr>
        <w:t>）建设项目敏感程度</w:t>
      </w:r>
    </w:p>
    <w:p w:rsidR="00EE4502" w:rsidRDefault="00FD45A3">
      <w:pPr>
        <w:spacing w:line="360" w:lineRule="auto"/>
        <w:ind w:firstLineChars="225" w:firstLine="540"/>
        <w:rPr>
          <w:kern w:val="0"/>
          <w:sz w:val="24"/>
        </w:rPr>
      </w:pPr>
      <w:r>
        <w:rPr>
          <w:rFonts w:ascii="宋体" w:hAnsi="宋体" w:hint="eastAsia"/>
          <w:sz w:val="24"/>
        </w:rPr>
        <w:t>①</w:t>
      </w:r>
      <w:r>
        <w:rPr>
          <w:rFonts w:hint="eastAsia"/>
          <w:sz w:val="24"/>
        </w:rPr>
        <w:t>污染影响型：</w:t>
      </w:r>
      <w:r>
        <w:rPr>
          <w:rFonts w:hint="eastAsia"/>
          <w:sz w:val="24"/>
        </w:rPr>
        <w:t>工程区</w:t>
      </w:r>
      <w:r>
        <w:rPr>
          <w:rFonts w:hint="eastAsia"/>
          <w:sz w:val="24"/>
        </w:rPr>
        <w:t>周边存在耕地</w:t>
      </w:r>
      <w:r>
        <w:rPr>
          <w:sz w:val="24"/>
        </w:rPr>
        <w:t>，</w:t>
      </w:r>
      <w:r>
        <w:rPr>
          <w:kern w:val="0"/>
          <w:sz w:val="24"/>
        </w:rPr>
        <w:t>因此</w:t>
      </w:r>
      <w:r>
        <w:rPr>
          <w:rFonts w:hint="eastAsia"/>
          <w:kern w:val="0"/>
          <w:sz w:val="24"/>
        </w:rPr>
        <w:t>，判定土壤环境影响敏感程度为“敏感”。</w:t>
      </w:r>
    </w:p>
    <w:p w:rsidR="00EE4502" w:rsidRDefault="00FD45A3">
      <w:pPr>
        <w:spacing w:line="360" w:lineRule="auto"/>
        <w:ind w:firstLineChars="225" w:firstLine="540"/>
        <w:rPr>
          <w:kern w:val="0"/>
          <w:sz w:val="24"/>
        </w:rPr>
      </w:pPr>
      <w:r>
        <w:rPr>
          <w:rFonts w:ascii="宋体" w:hAnsi="宋体" w:cs="宋体" w:hint="eastAsia"/>
          <w:kern w:val="0"/>
          <w:sz w:val="24"/>
        </w:rPr>
        <w:t>②</w:t>
      </w:r>
      <w:r>
        <w:rPr>
          <w:kern w:val="0"/>
          <w:sz w:val="24"/>
        </w:rPr>
        <w:t>生态影响型：</w:t>
      </w:r>
      <w:r>
        <w:rPr>
          <w:rFonts w:hint="eastAsia"/>
          <w:kern w:val="0"/>
          <w:sz w:val="24"/>
        </w:rPr>
        <w:t>根据区域历史监测数据，项目区域土壤含盐量大于</w:t>
      </w:r>
      <w:r>
        <w:rPr>
          <w:rFonts w:hint="eastAsia"/>
          <w:kern w:val="0"/>
          <w:sz w:val="24"/>
        </w:rPr>
        <w:t>4g/kg</w:t>
      </w:r>
      <w:r>
        <w:rPr>
          <w:rFonts w:hint="eastAsia"/>
          <w:kern w:val="0"/>
          <w:sz w:val="24"/>
        </w:rPr>
        <w:t>，生态影响型土壤敏感程度为“敏感”</w:t>
      </w:r>
      <w:r>
        <w:rPr>
          <w:kern w:val="0"/>
          <w:sz w:val="24"/>
        </w:rPr>
        <w:t>。</w:t>
      </w:r>
    </w:p>
    <w:p w:rsidR="00EE4502" w:rsidRDefault="00FD45A3">
      <w:pPr>
        <w:spacing w:line="360" w:lineRule="auto"/>
        <w:ind w:firstLineChars="225" w:firstLine="540"/>
        <w:rPr>
          <w:kern w:val="0"/>
          <w:sz w:val="24"/>
        </w:rPr>
      </w:pPr>
      <w:r>
        <w:rPr>
          <w:kern w:val="0"/>
          <w:sz w:val="24"/>
        </w:rPr>
        <w:t>4</w:t>
      </w:r>
      <w:r>
        <w:rPr>
          <w:rFonts w:hint="eastAsia"/>
          <w:kern w:val="0"/>
          <w:sz w:val="24"/>
        </w:rPr>
        <w:t>）评价工作等级判定</w:t>
      </w:r>
    </w:p>
    <w:p w:rsidR="00EE4502" w:rsidRDefault="00FD45A3">
      <w:pPr>
        <w:spacing w:line="360" w:lineRule="auto"/>
        <w:ind w:firstLineChars="225" w:firstLine="540"/>
        <w:rPr>
          <w:kern w:val="0"/>
          <w:sz w:val="24"/>
        </w:rPr>
      </w:pPr>
      <w:r>
        <w:rPr>
          <w:rFonts w:hint="eastAsia"/>
          <w:kern w:val="0"/>
          <w:sz w:val="24"/>
        </w:rPr>
        <w:t>根据《环境影响评价技术导则</w:t>
      </w:r>
      <w:r>
        <w:rPr>
          <w:rFonts w:hint="eastAsia"/>
          <w:kern w:val="0"/>
          <w:sz w:val="24"/>
        </w:rPr>
        <w:t xml:space="preserve"> </w:t>
      </w:r>
      <w:r>
        <w:rPr>
          <w:rFonts w:hint="eastAsia"/>
          <w:kern w:val="0"/>
          <w:sz w:val="24"/>
        </w:rPr>
        <w:t>土壤环境</w:t>
      </w:r>
      <w:r>
        <w:rPr>
          <w:kern w:val="0"/>
          <w:sz w:val="24"/>
        </w:rPr>
        <w:t>（试行）</w:t>
      </w:r>
      <w:r>
        <w:rPr>
          <w:rFonts w:hint="eastAsia"/>
          <w:kern w:val="0"/>
          <w:sz w:val="24"/>
        </w:rPr>
        <w:t>》（</w:t>
      </w:r>
      <w:r>
        <w:rPr>
          <w:rFonts w:hint="eastAsia"/>
          <w:kern w:val="0"/>
          <w:sz w:val="24"/>
        </w:rPr>
        <w:t>HJ964-2018</w:t>
      </w:r>
      <w:r>
        <w:rPr>
          <w:rFonts w:hint="eastAsia"/>
          <w:kern w:val="0"/>
          <w:sz w:val="24"/>
        </w:rPr>
        <w:t>），土壤环境影响评价工作等级划分见表</w:t>
      </w:r>
      <w:r>
        <w:rPr>
          <w:rFonts w:hint="eastAsia"/>
          <w:kern w:val="0"/>
          <w:sz w:val="24"/>
        </w:rPr>
        <w:t>2</w:t>
      </w:r>
      <w:r>
        <w:rPr>
          <w:kern w:val="0"/>
          <w:sz w:val="24"/>
        </w:rPr>
        <w:t>-</w:t>
      </w:r>
      <w:r>
        <w:rPr>
          <w:rFonts w:hint="eastAsia"/>
          <w:kern w:val="0"/>
          <w:sz w:val="24"/>
        </w:rPr>
        <w:t>5-5</w:t>
      </w:r>
      <w:r>
        <w:rPr>
          <w:rFonts w:hint="eastAsia"/>
          <w:kern w:val="0"/>
          <w:sz w:val="24"/>
        </w:rPr>
        <w:t>、表</w:t>
      </w:r>
      <w:r>
        <w:rPr>
          <w:kern w:val="0"/>
          <w:sz w:val="24"/>
        </w:rPr>
        <w:t>2-</w:t>
      </w:r>
      <w:r>
        <w:rPr>
          <w:rFonts w:hint="eastAsia"/>
          <w:kern w:val="0"/>
          <w:sz w:val="24"/>
        </w:rPr>
        <w:t>5-6</w:t>
      </w:r>
      <w:r>
        <w:rPr>
          <w:kern w:val="0"/>
          <w:sz w:val="24"/>
        </w:rPr>
        <w:t>。</w:t>
      </w:r>
    </w:p>
    <w:p w:rsidR="00EE4502" w:rsidRDefault="00FD45A3">
      <w:pPr>
        <w:spacing w:line="360" w:lineRule="auto"/>
        <w:ind w:firstLineChars="200" w:firstLine="420"/>
        <w:jc w:val="center"/>
        <w:rPr>
          <w:rFonts w:eastAsia="黑体"/>
          <w:szCs w:val="21"/>
        </w:rPr>
      </w:pPr>
      <w:r>
        <w:rPr>
          <w:rFonts w:eastAsia="黑体"/>
          <w:szCs w:val="21"/>
        </w:rPr>
        <w:t>表</w:t>
      </w:r>
      <w:r>
        <w:rPr>
          <w:rFonts w:eastAsia="黑体"/>
          <w:szCs w:val="21"/>
        </w:rPr>
        <w:t>2-</w:t>
      </w:r>
      <w:r>
        <w:rPr>
          <w:rFonts w:eastAsia="黑体" w:hint="eastAsia"/>
          <w:szCs w:val="21"/>
        </w:rPr>
        <w:t>5-5</w:t>
      </w:r>
      <w:r>
        <w:rPr>
          <w:rFonts w:eastAsia="黑体"/>
          <w:szCs w:val="21"/>
        </w:rPr>
        <w:t xml:space="preserve">   </w:t>
      </w:r>
      <w:r>
        <w:rPr>
          <w:rFonts w:eastAsia="黑体"/>
          <w:szCs w:val="21"/>
        </w:rPr>
        <w:t>污染影响型评价工作等级划分表</w:t>
      </w:r>
    </w:p>
    <w:tbl>
      <w:tblPr>
        <w:tblW w:w="4998" w:type="pct"/>
        <w:jc w:val="center"/>
        <w:tblBorders>
          <w:top w:val="single" w:sz="8" w:space="0" w:color="auto"/>
          <w:bottom w:val="single" w:sz="8" w:space="0" w:color="auto"/>
          <w:insideH w:val="single" w:sz="8" w:space="0" w:color="auto"/>
          <w:insideV w:val="single" w:sz="8" w:space="0" w:color="auto"/>
        </w:tblBorders>
        <w:tblLook w:val="04A0" w:firstRow="1" w:lastRow="0" w:firstColumn="1" w:lastColumn="0" w:noHBand="0" w:noVBand="1"/>
      </w:tblPr>
      <w:tblGrid>
        <w:gridCol w:w="2033"/>
        <w:gridCol w:w="726"/>
        <w:gridCol w:w="726"/>
        <w:gridCol w:w="731"/>
        <w:gridCol w:w="726"/>
        <w:gridCol w:w="726"/>
        <w:gridCol w:w="729"/>
        <w:gridCol w:w="726"/>
        <w:gridCol w:w="726"/>
        <w:gridCol w:w="670"/>
      </w:tblGrid>
      <w:tr w:rsidR="00EE4502">
        <w:trPr>
          <w:trHeight w:val="340"/>
          <w:jc w:val="center"/>
        </w:trPr>
        <w:tc>
          <w:tcPr>
            <w:tcW w:w="1194" w:type="pct"/>
            <w:vMerge w:val="restart"/>
            <w:vAlign w:val="center"/>
          </w:tcPr>
          <w:p w:rsidR="00EE4502" w:rsidRDefault="00FD45A3">
            <w:pPr>
              <w:jc w:val="center"/>
              <w:rPr>
                <w:sz w:val="18"/>
                <w:szCs w:val="18"/>
              </w:rPr>
            </w:pPr>
            <w:r>
              <w:rPr>
                <w:noProof/>
                <w:sz w:val="18"/>
                <w:szCs w:val="18"/>
              </w:rPr>
              <mc:AlternateContent>
                <mc:Choice Requires="wps">
                  <w:drawing>
                    <wp:anchor distT="0" distB="0" distL="114300" distR="114300" simplePos="0" relativeHeight="251667456" behindDoc="0" locked="0" layoutInCell="1" allowOverlap="1">
                      <wp:simplePos x="0" y="0"/>
                      <wp:positionH relativeFrom="column">
                        <wp:posOffset>321310</wp:posOffset>
                      </wp:positionH>
                      <wp:positionV relativeFrom="paragraph">
                        <wp:posOffset>635</wp:posOffset>
                      </wp:positionV>
                      <wp:extent cx="876300" cy="466090"/>
                      <wp:effectExtent l="2540" t="4445" r="16510" b="5715"/>
                      <wp:wrapNone/>
                      <wp:docPr id="1109" name="直线 1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76300" cy="466090"/>
                              </a:xfrm>
                              <a:prstGeom prst="line">
                                <a:avLst/>
                              </a:prstGeom>
                              <a:noFill/>
                              <a:ln w="9525" cmpd="sng">
                                <a:solidFill>
                                  <a:srgbClr val="000000"/>
                                </a:solidFill>
                                <a:round/>
                              </a:ln>
                            </wps:spPr>
                            <wps:bodyPr/>
                          </wps:wsp>
                        </a:graphicData>
                      </a:graphic>
                    </wp:anchor>
                  </w:drawing>
                </mc:Choice>
                <mc:Fallback xmlns:wpsCustomData="http://www.wps.cn/officeDocument/2013/wpsCustomData" xmlns:w15="http://schemas.microsoft.com/office/word/2012/wordml">
                  <w:pict>
                    <v:line id="直线 1142" o:spid="_x0000_s1026" o:spt="20" style="position:absolute;left:0pt;flip:x y;margin-left:25.3pt;margin-top:0.05pt;height:36.7pt;width:69pt;z-index:251682816;mso-width-relative:page;mso-height-relative:page;" filled="f" stroked="t" coordsize="21600,21600" o:gfxdata="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TK&#10;GJXPAAAABgEAAA8AAAAAAAAAAQAgAAAAIgAAAGRycy9kb3ducmV2LnhtbFBLAQIUABQAAAAIAIdO&#10;4kBRGUGx8wEAAMoDAAAOAAAAAAAAAAEAIAAAAB4BAABkcnMvZTJvRG9jLnhtbFBLBQYAAAAABgAG&#10;AFkBAACDBQAAAAA=&#10;">
                      <v:fill on="f" focussize="0,0"/>
                      <v:stroke color="#000000" joinstyle="round"/>
                      <v:imagedata o:title=""/>
                      <o:lock v:ext="edit" aspectratio="f"/>
                    </v:line>
                  </w:pict>
                </mc:Fallback>
              </mc:AlternateContent>
            </w:r>
            <w:r>
              <w:rPr>
                <w:sz w:val="18"/>
                <w:szCs w:val="18"/>
              </w:rPr>
              <w:t xml:space="preserve">        </w:t>
            </w:r>
            <w:r>
              <w:rPr>
                <w:rFonts w:hAnsi="宋体"/>
                <w:sz w:val="18"/>
                <w:szCs w:val="18"/>
              </w:rPr>
              <w:t>项目类别</w:t>
            </w:r>
          </w:p>
          <w:p w:rsidR="00EE4502" w:rsidRDefault="00FD45A3">
            <w:pPr>
              <w:rPr>
                <w:sz w:val="18"/>
                <w:szCs w:val="18"/>
              </w:rPr>
            </w:pPr>
            <w:r>
              <w:rPr>
                <w:noProof/>
                <w:sz w:val="18"/>
                <w:szCs w:val="18"/>
              </w:rPr>
              <mc:AlternateContent>
                <mc:Choice Requires="wps">
                  <w:drawing>
                    <wp:anchor distT="0" distB="0" distL="114300" distR="114300" simplePos="0" relativeHeight="251666432" behindDoc="0" locked="0" layoutInCell="1" allowOverlap="1">
                      <wp:simplePos x="0" y="0"/>
                      <wp:positionH relativeFrom="column">
                        <wp:posOffset>-69850</wp:posOffset>
                      </wp:positionH>
                      <wp:positionV relativeFrom="paragraph">
                        <wp:posOffset>127635</wp:posOffset>
                      </wp:positionV>
                      <wp:extent cx="1266825" cy="189865"/>
                      <wp:effectExtent l="635" t="4445" r="8890" b="15240"/>
                      <wp:wrapNone/>
                      <wp:docPr id="1107"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66825" cy="189865"/>
                              </a:xfrm>
                              <a:prstGeom prst="line">
                                <a:avLst/>
                              </a:prstGeom>
                              <a:noFill/>
                              <a:ln w="6350" cmpd="sng">
                                <a:solidFill>
                                  <a:srgbClr val="000000"/>
                                </a:solidFill>
                                <a:miter lim="800000"/>
                              </a:ln>
                            </wps:spPr>
                            <wps:bodyPr/>
                          </wps:wsp>
                        </a:graphicData>
                      </a:graphic>
                    </wp:anchor>
                  </w:drawing>
                </mc:Choice>
                <mc:Fallback xmlns:wpsCustomData="http://www.wps.cn/officeDocument/2013/wpsCustomData" xmlns:w15="http://schemas.microsoft.com/office/word/2012/wordml">
                  <w:pict>
                    <v:line id="直接连接符 5" o:spid="_x0000_s1026" o:spt="20" style="position:absolute;left:0pt;flip:x y;margin-left:-5.5pt;margin-top:10.05pt;height:14.95pt;width:99.75pt;z-index:251681792;mso-width-relative:page;mso-height-relative:page;" filled="f" stroked="t" coordsize="21600,21600" o:gfxdata="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qM5B7XAAAACQEAAA8AAAAAAAAAAQAgAAAAIgAAAGRycy9k&#10;b3ducmV2LnhtbFBLAQIUABQAAAAIAIdO4kDWOvf4AwIAAN4DAAAOAAAAAAAAAAEAIAAAACYBAABk&#10;cnMvZTJvRG9jLnhtbFBLBQYAAAAABgAGAFkBAACbBQAAAAA=&#10;">
                      <v:fill on="f" focussize="0,0"/>
                      <v:stroke weight="0.5pt" color="#000000" miterlimit="8" joinstyle="miter"/>
                      <v:imagedata o:title=""/>
                      <o:lock v:ext="edit" aspectratio="f"/>
                    </v:line>
                  </w:pict>
                </mc:Fallback>
              </mc:AlternateContent>
            </w:r>
            <w:r>
              <w:rPr>
                <w:rFonts w:hAnsi="宋体"/>
                <w:sz w:val="18"/>
                <w:szCs w:val="18"/>
              </w:rPr>
              <w:t>评价工作等级</w:t>
            </w:r>
          </w:p>
          <w:p w:rsidR="00EE4502" w:rsidRDefault="00FD45A3">
            <w:pPr>
              <w:rPr>
                <w:sz w:val="18"/>
                <w:szCs w:val="18"/>
              </w:rPr>
            </w:pPr>
            <w:r>
              <w:rPr>
                <w:rFonts w:hAnsi="宋体"/>
                <w:sz w:val="18"/>
                <w:szCs w:val="18"/>
              </w:rPr>
              <w:t>敏感程度</w:t>
            </w:r>
          </w:p>
        </w:tc>
        <w:tc>
          <w:tcPr>
            <w:tcW w:w="1281" w:type="pct"/>
            <w:gridSpan w:val="3"/>
            <w:vAlign w:val="center"/>
          </w:tcPr>
          <w:p w:rsidR="00EE4502" w:rsidRDefault="00FD45A3">
            <w:pPr>
              <w:jc w:val="center"/>
              <w:rPr>
                <w:sz w:val="18"/>
                <w:szCs w:val="18"/>
              </w:rPr>
            </w:pPr>
            <w:r>
              <w:rPr>
                <w:rFonts w:ascii="宋体" w:hAnsi="宋体"/>
                <w:b/>
                <w:bCs/>
                <w:sz w:val="18"/>
                <w:szCs w:val="18"/>
              </w:rPr>
              <w:t>Ⅰ</w:t>
            </w:r>
            <w:r>
              <w:rPr>
                <w:rFonts w:hAnsi="宋体"/>
                <w:b/>
                <w:bCs/>
                <w:sz w:val="18"/>
                <w:szCs w:val="18"/>
              </w:rPr>
              <w:t>类</w:t>
            </w:r>
          </w:p>
        </w:tc>
        <w:tc>
          <w:tcPr>
            <w:tcW w:w="1280" w:type="pct"/>
            <w:gridSpan w:val="3"/>
            <w:vAlign w:val="center"/>
          </w:tcPr>
          <w:p w:rsidR="00EE4502" w:rsidRDefault="00FD45A3">
            <w:pPr>
              <w:jc w:val="center"/>
              <w:rPr>
                <w:sz w:val="18"/>
                <w:szCs w:val="18"/>
              </w:rPr>
            </w:pPr>
            <w:r>
              <w:rPr>
                <w:rFonts w:ascii="宋体" w:hAnsi="宋体"/>
                <w:sz w:val="18"/>
                <w:szCs w:val="18"/>
              </w:rPr>
              <w:t>Ⅱ</w:t>
            </w:r>
            <w:r>
              <w:rPr>
                <w:rFonts w:hAnsi="宋体"/>
                <w:sz w:val="18"/>
                <w:szCs w:val="18"/>
              </w:rPr>
              <w:t>类</w:t>
            </w:r>
          </w:p>
        </w:tc>
        <w:tc>
          <w:tcPr>
            <w:tcW w:w="1243" w:type="pct"/>
            <w:gridSpan w:val="3"/>
            <w:vAlign w:val="center"/>
          </w:tcPr>
          <w:p w:rsidR="00EE4502" w:rsidRDefault="00FD45A3">
            <w:pPr>
              <w:jc w:val="center"/>
              <w:rPr>
                <w:sz w:val="18"/>
                <w:szCs w:val="18"/>
              </w:rPr>
            </w:pPr>
            <w:r>
              <w:rPr>
                <w:rFonts w:ascii="宋体" w:hAnsi="宋体"/>
                <w:sz w:val="18"/>
                <w:szCs w:val="18"/>
              </w:rPr>
              <w:t>Ⅲ</w:t>
            </w:r>
            <w:r>
              <w:rPr>
                <w:rFonts w:hAnsi="宋体"/>
                <w:sz w:val="18"/>
                <w:szCs w:val="18"/>
              </w:rPr>
              <w:t>类</w:t>
            </w:r>
          </w:p>
        </w:tc>
      </w:tr>
      <w:tr w:rsidR="00EE4502">
        <w:trPr>
          <w:trHeight w:val="340"/>
          <w:jc w:val="center"/>
        </w:trPr>
        <w:tc>
          <w:tcPr>
            <w:tcW w:w="1194" w:type="pct"/>
            <w:vMerge/>
            <w:vAlign w:val="center"/>
          </w:tcPr>
          <w:p w:rsidR="00EE4502" w:rsidRDefault="00EE4502">
            <w:pPr>
              <w:widowControl/>
              <w:jc w:val="left"/>
              <w:rPr>
                <w:sz w:val="18"/>
                <w:szCs w:val="18"/>
              </w:rPr>
            </w:pPr>
          </w:p>
        </w:tc>
        <w:tc>
          <w:tcPr>
            <w:tcW w:w="426" w:type="pct"/>
            <w:vAlign w:val="center"/>
          </w:tcPr>
          <w:p w:rsidR="00EE4502" w:rsidRDefault="00FD45A3">
            <w:pPr>
              <w:jc w:val="center"/>
              <w:rPr>
                <w:sz w:val="18"/>
                <w:szCs w:val="18"/>
              </w:rPr>
            </w:pPr>
            <w:r>
              <w:rPr>
                <w:rFonts w:hAnsi="宋体"/>
                <w:sz w:val="18"/>
                <w:szCs w:val="18"/>
              </w:rPr>
              <w:t>大</w:t>
            </w:r>
          </w:p>
        </w:tc>
        <w:tc>
          <w:tcPr>
            <w:tcW w:w="426" w:type="pct"/>
            <w:vAlign w:val="center"/>
          </w:tcPr>
          <w:p w:rsidR="00EE4502" w:rsidRDefault="00FD45A3">
            <w:pPr>
              <w:jc w:val="center"/>
              <w:rPr>
                <w:sz w:val="18"/>
                <w:szCs w:val="18"/>
              </w:rPr>
            </w:pPr>
            <w:r>
              <w:rPr>
                <w:rFonts w:hAnsi="宋体"/>
                <w:sz w:val="18"/>
                <w:szCs w:val="18"/>
              </w:rPr>
              <w:t>中</w:t>
            </w:r>
          </w:p>
        </w:tc>
        <w:tc>
          <w:tcPr>
            <w:tcW w:w="427" w:type="pct"/>
            <w:vAlign w:val="center"/>
          </w:tcPr>
          <w:p w:rsidR="00EE4502" w:rsidRDefault="00FD45A3">
            <w:pPr>
              <w:jc w:val="center"/>
              <w:rPr>
                <w:b/>
                <w:bCs/>
                <w:sz w:val="18"/>
                <w:szCs w:val="18"/>
              </w:rPr>
            </w:pPr>
            <w:r>
              <w:rPr>
                <w:rFonts w:hAnsi="宋体"/>
                <w:b/>
                <w:bCs/>
                <w:sz w:val="18"/>
                <w:szCs w:val="18"/>
              </w:rPr>
              <w:t>小</w:t>
            </w:r>
          </w:p>
        </w:tc>
        <w:tc>
          <w:tcPr>
            <w:tcW w:w="426" w:type="pct"/>
            <w:vAlign w:val="center"/>
          </w:tcPr>
          <w:p w:rsidR="00EE4502" w:rsidRDefault="00FD45A3">
            <w:pPr>
              <w:jc w:val="center"/>
              <w:rPr>
                <w:sz w:val="18"/>
                <w:szCs w:val="18"/>
              </w:rPr>
            </w:pPr>
            <w:r>
              <w:rPr>
                <w:rFonts w:hAnsi="宋体"/>
                <w:sz w:val="18"/>
                <w:szCs w:val="18"/>
              </w:rPr>
              <w:t>大</w:t>
            </w:r>
          </w:p>
        </w:tc>
        <w:tc>
          <w:tcPr>
            <w:tcW w:w="426" w:type="pct"/>
            <w:vAlign w:val="center"/>
          </w:tcPr>
          <w:p w:rsidR="00EE4502" w:rsidRDefault="00FD45A3">
            <w:pPr>
              <w:jc w:val="center"/>
              <w:rPr>
                <w:sz w:val="18"/>
                <w:szCs w:val="18"/>
              </w:rPr>
            </w:pPr>
            <w:r>
              <w:rPr>
                <w:rFonts w:hAnsi="宋体"/>
                <w:sz w:val="18"/>
                <w:szCs w:val="18"/>
              </w:rPr>
              <w:t>中</w:t>
            </w:r>
          </w:p>
        </w:tc>
        <w:tc>
          <w:tcPr>
            <w:tcW w:w="427" w:type="pct"/>
            <w:vAlign w:val="center"/>
          </w:tcPr>
          <w:p w:rsidR="00EE4502" w:rsidRDefault="00FD45A3">
            <w:pPr>
              <w:jc w:val="center"/>
              <w:rPr>
                <w:sz w:val="18"/>
                <w:szCs w:val="18"/>
              </w:rPr>
            </w:pPr>
            <w:r>
              <w:rPr>
                <w:rFonts w:hAnsi="宋体"/>
                <w:sz w:val="18"/>
                <w:szCs w:val="18"/>
              </w:rPr>
              <w:t>小</w:t>
            </w:r>
          </w:p>
        </w:tc>
        <w:tc>
          <w:tcPr>
            <w:tcW w:w="426" w:type="pct"/>
            <w:vAlign w:val="center"/>
          </w:tcPr>
          <w:p w:rsidR="00EE4502" w:rsidRDefault="00FD45A3">
            <w:pPr>
              <w:jc w:val="center"/>
              <w:rPr>
                <w:sz w:val="18"/>
                <w:szCs w:val="18"/>
              </w:rPr>
            </w:pPr>
            <w:r>
              <w:rPr>
                <w:rFonts w:hAnsi="宋体"/>
                <w:sz w:val="18"/>
                <w:szCs w:val="18"/>
              </w:rPr>
              <w:t>大</w:t>
            </w:r>
          </w:p>
        </w:tc>
        <w:tc>
          <w:tcPr>
            <w:tcW w:w="426" w:type="pct"/>
            <w:vAlign w:val="center"/>
          </w:tcPr>
          <w:p w:rsidR="00EE4502" w:rsidRDefault="00FD45A3">
            <w:pPr>
              <w:jc w:val="center"/>
              <w:rPr>
                <w:sz w:val="18"/>
                <w:szCs w:val="18"/>
              </w:rPr>
            </w:pPr>
            <w:r>
              <w:rPr>
                <w:rFonts w:hAnsi="宋体"/>
                <w:sz w:val="18"/>
                <w:szCs w:val="18"/>
              </w:rPr>
              <w:t>中</w:t>
            </w:r>
          </w:p>
        </w:tc>
        <w:tc>
          <w:tcPr>
            <w:tcW w:w="390" w:type="pct"/>
            <w:vAlign w:val="center"/>
          </w:tcPr>
          <w:p w:rsidR="00EE4502" w:rsidRDefault="00FD45A3">
            <w:pPr>
              <w:jc w:val="center"/>
              <w:rPr>
                <w:sz w:val="18"/>
                <w:szCs w:val="18"/>
              </w:rPr>
            </w:pPr>
            <w:r>
              <w:rPr>
                <w:rFonts w:hAnsi="宋体"/>
                <w:sz w:val="18"/>
                <w:szCs w:val="18"/>
              </w:rPr>
              <w:t>小</w:t>
            </w:r>
          </w:p>
        </w:tc>
      </w:tr>
      <w:tr w:rsidR="00EE4502">
        <w:trPr>
          <w:trHeight w:val="340"/>
          <w:jc w:val="center"/>
        </w:trPr>
        <w:tc>
          <w:tcPr>
            <w:tcW w:w="1194" w:type="pct"/>
            <w:vAlign w:val="center"/>
          </w:tcPr>
          <w:p w:rsidR="00EE4502" w:rsidRDefault="00FD45A3">
            <w:pPr>
              <w:jc w:val="center"/>
              <w:rPr>
                <w:sz w:val="18"/>
                <w:szCs w:val="18"/>
              </w:rPr>
            </w:pPr>
            <w:r>
              <w:rPr>
                <w:rFonts w:hAnsi="宋体"/>
                <w:sz w:val="18"/>
                <w:szCs w:val="18"/>
              </w:rPr>
              <w:t>敏感</w:t>
            </w:r>
          </w:p>
        </w:tc>
        <w:tc>
          <w:tcPr>
            <w:tcW w:w="426" w:type="pct"/>
            <w:vAlign w:val="center"/>
          </w:tcPr>
          <w:p w:rsidR="00EE4502" w:rsidRDefault="00FD45A3">
            <w:pPr>
              <w:jc w:val="center"/>
              <w:rPr>
                <w:sz w:val="18"/>
                <w:szCs w:val="18"/>
              </w:rPr>
            </w:pPr>
            <w:r>
              <w:rPr>
                <w:rFonts w:hAnsi="宋体"/>
                <w:sz w:val="18"/>
                <w:szCs w:val="18"/>
              </w:rPr>
              <w:t>一级</w:t>
            </w:r>
          </w:p>
        </w:tc>
        <w:tc>
          <w:tcPr>
            <w:tcW w:w="426" w:type="pct"/>
            <w:vAlign w:val="center"/>
          </w:tcPr>
          <w:p w:rsidR="00EE4502" w:rsidRDefault="00FD45A3">
            <w:pPr>
              <w:jc w:val="center"/>
              <w:rPr>
                <w:sz w:val="18"/>
                <w:szCs w:val="18"/>
              </w:rPr>
            </w:pPr>
            <w:r>
              <w:rPr>
                <w:rFonts w:hAnsi="宋体"/>
                <w:sz w:val="18"/>
                <w:szCs w:val="18"/>
              </w:rPr>
              <w:t>一级</w:t>
            </w:r>
          </w:p>
        </w:tc>
        <w:tc>
          <w:tcPr>
            <w:tcW w:w="427" w:type="pct"/>
            <w:vAlign w:val="center"/>
          </w:tcPr>
          <w:p w:rsidR="00EE4502" w:rsidRDefault="00FD45A3">
            <w:pPr>
              <w:jc w:val="center"/>
              <w:rPr>
                <w:b/>
                <w:bCs/>
                <w:sz w:val="18"/>
                <w:szCs w:val="18"/>
              </w:rPr>
            </w:pPr>
            <w:r>
              <w:rPr>
                <w:rFonts w:hAnsi="宋体"/>
                <w:b/>
                <w:bCs/>
                <w:sz w:val="18"/>
                <w:szCs w:val="18"/>
              </w:rPr>
              <w:t>一级</w:t>
            </w:r>
          </w:p>
        </w:tc>
        <w:tc>
          <w:tcPr>
            <w:tcW w:w="426" w:type="pct"/>
            <w:vAlign w:val="center"/>
          </w:tcPr>
          <w:p w:rsidR="00EE4502" w:rsidRDefault="00FD45A3">
            <w:pPr>
              <w:jc w:val="center"/>
              <w:rPr>
                <w:sz w:val="18"/>
                <w:szCs w:val="18"/>
              </w:rPr>
            </w:pPr>
            <w:r>
              <w:rPr>
                <w:rFonts w:hAnsi="宋体"/>
                <w:sz w:val="18"/>
                <w:szCs w:val="18"/>
              </w:rPr>
              <w:t>二级</w:t>
            </w:r>
          </w:p>
        </w:tc>
        <w:tc>
          <w:tcPr>
            <w:tcW w:w="426" w:type="pct"/>
            <w:vAlign w:val="center"/>
          </w:tcPr>
          <w:p w:rsidR="00EE4502" w:rsidRDefault="00FD45A3">
            <w:pPr>
              <w:jc w:val="center"/>
              <w:rPr>
                <w:sz w:val="18"/>
                <w:szCs w:val="18"/>
              </w:rPr>
            </w:pPr>
            <w:r>
              <w:rPr>
                <w:rFonts w:hAnsi="宋体"/>
                <w:sz w:val="18"/>
                <w:szCs w:val="18"/>
              </w:rPr>
              <w:t>二级</w:t>
            </w:r>
          </w:p>
        </w:tc>
        <w:tc>
          <w:tcPr>
            <w:tcW w:w="427" w:type="pct"/>
            <w:vAlign w:val="center"/>
          </w:tcPr>
          <w:p w:rsidR="00EE4502" w:rsidRDefault="00FD45A3">
            <w:pPr>
              <w:jc w:val="center"/>
              <w:rPr>
                <w:sz w:val="18"/>
                <w:szCs w:val="18"/>
              </w:rPr>
            </w:pPr>
            <w:r>
              <w:rPr>
                <w:rFonts w:hAnsi="宋体"/>
                <w:b/>
                <w:bCs/>
                <w:sz w:val="18"/>
                <w:szCs w:val="18"/>
              </w:rPr>
              <w:t>二级</w:t>
            </w:r>
          </w:p>
        </w:tc>
        <w:tc>
          <w:tcPr>
            <w:tcW w:w="426" w:type="pct"/>
            <w:vAlign w:val="center"/>
          </w:tcPr>
          <w:p w:rsidR="00EE4502" w:rsidRDefault="00FD45A3">
            <w:pPr>
              <w:jc w:val="center"/>
              <w:rPr>
                <w:sz w:val="18"/>
                <w:szCs w:val="18"/>
              </w:rPr>
            </w:pPr>
            <w:r>
              <w:rPr>
                <w:rFonts w:hAnsi="宋体"/>
                <w:sz w:val="18"/>
                <w:szCs w:val="18"/>
              </w:rPr>
              <w:t>三级</w:t>
            </w:r>
          </w:p>
        </w:tc>
        <w:tc>
          <w:tcPr>
            <w:tcW w:w="426" w:type="pct"/>
            <w:vAlign w:val="center"/>
          </w:tcPr>
          <w:p w:rsidR="00EE4502" w:rsidRDefault="00FD45A3">
            <w:pPr>
              <w:jc w:val="center"/>
              <w:rPr>
                <w:sz w:val="18"/>
                <w:szCs w:val="18"/>
              </w:rPr>
            </w:pPr>
            <w:r>
              <w:rPr>
                <w:rFonts w:hAnsi="宋体"/>
                <w:sz w:val="18"/>
                <w:szCs w:val="18"/>
              </w:rPr>
              <w:t>三级</w:t>
            </w:r>
          </w:p>
        </w:tc>
        <w:tc>
          <w:tcPr>
            <w:tcW w:w="390" w:type="pct"/>
            <w:vAlign w:val="center"/>
          </w:tcPr>
          <w:p w:rsidR="00EE4502" w:rsidRDefault="00FD45A3">
            <w:pPr>
              <w:jc w:val="center"/>
              <w:rPr>
                <w:sz w:val="18"/>
                <w:szCs w:val="18"/>
              </w:rPr>
            </w:pPr>
            <w:r>
              <w:rPr>
                <w:rFonts w:hAnsi="宋体"/>
                <w:sz w:val="18"/>
                <w:szCs w:val="18"/>
              </w:rPr>
              <w:t>三级</w:t>
            </w:r>
          </w:p>
        </w:tc>
      </w:tr>
      <w:tr w:rsidR="00EE4502">
        <w:trPr>
          <w:trHeight w:val="340"/>
          <w:jc w:val="center"/>
        </w:trPr>
        <w:tc>
          <w:tcPr>
            <w:tcW w:w="1194" w:type="pct"/>
            <w:vAlign w:val="center"/>
          </w:tcPr>
          <w:p w:rsidR="00EE4502" w:rsidRDefault="00FD45A3">
            <w:pPr>
              <w:jc w:val="center"/>
              <w:rPr>
                <w:sz w:val="18"/>
                <w:szCs w:val="18"/>
              </w:rPr>
            </w:pPr>
            <w:r>
              <w:rPr>
                <w:rFonts w:hAnsi="宋体"/>
                <w:sz w:val="18"/>
                <w:szCs w:val="18"/>
              </w:rPr>
              <w:lastRenderedPageBreak/>
              <w:t>较敏感</w:t>
            </w:r>
          </w:p>
        </w:tc>
        <w:tc>
          <w:tcPr>
            <w:tcW w:w="426" w:type="pct"/>
            <w:vAlign w:val="center"/>
          </w:tcPr>
          <w:p w:rsidR="00EE4502" w:rsidRDefault="00FD45A3">
            <w:pPr>
              <w:jc w:val="center"/>
              <w:rPr>
                <w:sz w:val="18"/>
                <w:szCs w:val="18"/>
              </w:rPr>
            </w:pPr>
            <w:r>
              <w:rPr>
                <w:rFonts w:hAnsi="宋体"/>
                <w:sz w:val="18"/>
                <w:szCs w:val="18"/>
              </w:rPr>
              <w:t>一级</w:t>
            </w:r>
          </w:p>
        </w:tc>
        <w:tc>
          <w:tcPr>
            <w:tcW w:w="426" w:type="pct"/>
            <w:vAlign w:val="center"/>
          </w:tcPr>
          <w:p w:rsidR="00EE4502" w:rsidRDefault="00FD45A3">
            <w:pPr>
              <w:jc w:val="center"/>
              <w:rPr>
                <w:sz w:val="18"/>
                <w:szCs w:val="18"/>
              </w:rPr>
            </w:pPr>
            <w:r>
              <w:rPr>
                <w:rFonts w:hAnsi="宋体"/>
                <w:sz w:val="18"/>
                <w:szCs w:val="18"/>
              </w:rPr>
              <w:t>一级</w:t>
            </w:r>
          </w:p>
        </w:tc>
        <w:tc>
          <w:tcPr>
            <w:tcW w:w="427" w:type="pct"/>
            <w:vAlign w:val="center"/>
          </w:tcPr>
          <w:p w:rsidR="00EE4502" w:rsidRDefault="00FD45A3">
            <w:pPr>
              <w:jc w:val="center"/>
              <w:rPr>
                <w:sz w:val="18"/>
                <w:szCs w:val="18"/>
              </w:rPr>
            </w:pPr>
            <w:r>
              <w:rPr>
                <w:rFonts w:hAnsi="宋体"/>
                <w:sz w:val="18"/>
                <w:szCs w:val="18"/>
              </w:rPr>
              <w:t>二级</w:t>
            </w:r>
          </w:p>
        </w:tc>
        <w:tc>
          <w:tcPr>
            <w:tcW w:w="426" w:type="pct"/>
            <w:vAlign w:val="center"/>
          </w:tcPr>
          <w:p w:rsidR="00EE4502" w:rsidRDefault="00FD45A3">
            <w:pPr>
              <w:jc w:val="center"/>
              <w:rPr>
                <w:sz w:val="18"/>
                <w:szCs w:val="18"/>
              </w:rPr>
            </w:pPr>
            <w:r>
              <w:rPr>
                <w:rFonts w:hAnsi="宋体"/>
                <w:sz w:val="18"/>
                <w:szCs w:val="18"/>
              </w:rPr>
              <w:t>二级</w:t>
            </w:r>
          </w:p>
        </w:tc>
        <w:tc>
          <w:tcPr>
            <w:tcW w:w="426" w:type="pct"/>
            <w:vAlign w:val="center"/>
          </w:tcPr>
          <w:p w:rsidR="00EE4502" w:rsidRDefault="00FD45A3">
            <w:pPr>
              <w:jc w:val="center"/>
              <w:rPr>
                <w:sz w:val="18"/>
                <w:szCs w:val="18"/>
              </w:rPr>
            </w:pPr>
            <w:r>
              <w:rPr>
                <w:rFonts w:hAnsi="宋体"/>
                <w:sz w:val="18"/>
                <w:szCs w:val="18"/>
              </w:rPr>
              <w:t>二级</w:t>
            </w:r>
          </w:p>
        </w:tc>
        <w:tc>
          <w:tcPr>
            <w:tcW w:w="427" w:type="pct"/>
            <w:vAlign w:val="center"/>
          </w:tcPr>
          <w:p w:rsidR="00EE4502" w:rsidRDefault="00FD45A3">
            <w:pPr>
              <w:jc w:val="center"/>
              <w:rPr>
                <w:sz w:val="18"/>
                <w:szCs w:val="18"/>
              </w:rPr>
            </w:pPr>
            <w:r>
              <w:rPr>
                <w:rFonts w:hAnsi="宋体"/>
                <w:sz w:val="18"/>
                <w:szCs w:val="18"/>
              </w:rPr>
              <w:t>三级</w:t>
            </w:r>
          </w:p>
        </w:tc>
        <w:tc>
          <w:tcPr>
            <w:tcW w:w="426" w:type="pct"/>
            <w:vAlign w:val="center"/>
          </w:tcPr>
          <w:p w:rsidR="00EE4502" w:rsidRDefault="00FD45A3">
            <w:pPr>
              <w:jc w:val="center"/>
              <w:rPr>
                <w:sz w:val="18"/>
                <w:szCs w:val="18"/>
              </w:rPr>
            </w:pPr>
            <w:r>
              <w:rPr>
                <w:rFonts w:hAnsi="宋体"/>
                <w:sz w:val="18"/>
                <w:szCs w:val="18"/>
              </w:rPr>
              <w:t>三级</w:t>
            </w:r>
          </w:p>
        </w:tc>
        <w:tc>
          <w:tcPr>
            <w:tcW w:w="426" w:type="pct"/>
            <w:vAlign w:val="center"/>
          </w:tcPr>
          <w:p w:rsidR="00EE4502" w:rsidRDefault="00FD45A3">
            <w:pPr>
              <w:jc w:val="center"/>
              <w:rPr>
                <w:sz w:val="18"/>
                <w:szCs w:val="18"/>
              </w:rPr>
            </w:pPr>
            <w:r>
              <w:rPr>
                <w:rFonts w:hAnsi="宋体"/>
                <w:sz w:val="18"/>
                <w:szCs w:val="18"/>
              </w:rPr>
              <w:t>三级</w:t>
            </w:r>
          </w:p>
        </w:tc>
        <w:tc>
          <w:tcPr>
            <w:tcW w:w="390" w:type="pct"/>
            <w:vAlign w:val="center"/>
          </w:tcPr>
          <w:p w:rsidR="00EE4502" w:rsidRDefault="00FD45A3">
            <w:pPr>
              <w:jc w:val="center"/>
              <w:rPr>
                <w:sz w:val="18"/>
                <w:szCs w:val="18"/>
              </w:rPr>
            </w:pPr>
            <w:r>
              <w:rPr>
                <w:sz w:val="18"/>
                <w:szCs w:val="18"/>
              </w:rPr>
              <w:t>-</w:t>
            </w:r>
          </w:p>
        </w:tc>
      </w:tr>
      <w:tr w:rsidR="00EE4502">
        <w:trPr>
          <w:trHeight w:val="340"/>
          <w:jc w:val="center"/>
        </w:trPr>
        <w:tc>
          <w:tcPr>
            <w:tcW w:w="1194" w:type="pct"/>
            <w:vAlign w:val="center"/>
          </w:tcPr>
          <w:p w:rsidR="00EE4502" w:rsidRDefault="00FD45A3">
            <w:pPr>
              <w:jc w:val="center"/>
              <w:rPr>
                <w:sz w:val="18"/>
                <w:szCs w:val="18"/>
              </w:rPr>
            </w:pPr>
            <w:r>
              <w:rPr>
                <w:rFonts w:hAnsi="宋体"/>
                <w:sz w:val="18"/>
                <w:szCs w:val="18"/>
              </w:rPr>
              <w:t>不敏感</w:t>
            </w:r>
          </w:p>
        </w:tc>
        <w:tc>
          <w:tcPr>
            <w:tcW w:w="426" w:type="pct"/>
            <w:vAlign w:val="center"/>
          </w:tcPr>
          <w:p w:rsidR="00EE4502" w:rsidRDefault="00FD45A3">
            <w:pPr>
              <w:jc w:val="center"/>
              <w:rPr>
                <w:sz w:val="18"/>
                <w:szCs w:val="18"/>
              </w:rPr>
            </w:pPr>
            <w:r>
              <w:rPr>
                <w:rFonts w:hAnsi="宋体"/>
                <w:sz w:val="18"/>
                <w:szCs w:val="18"/>
              </w:rPr>
              <w:t>一级</w:t>
            </w:r>
          </w:p>
        </w:tc>
        <w:tc>
          <w:tcPr>
            <w:tcW w:w="426" w:type="pct"/>
            <w:vAlign w:val="center"/>
          </w:tcPr>
          <w:p w:rsidR="00EE4502" w:rsidRDefault="00FD45A3">
            <w:pPr>
              <w:jc w:val="center"/>
              <w:rPr>
                <w:sz w:val="18"/>
                <w:szCs w:val="18"/>
              </w:rPr>
            </w:pPr>
            <w:r>
              <w:rPr>
                <w:rFonts w:hAnsi="宋体"/>
                <w:sz w:val="18"/>
                <w:szCs w:val="18"/>
              </w:rPr>
              <w:t>二级</w:t>
            </w:r>
          </w:p>
        </w:tc>
        <w:tc>
          <w:tcPr>
            <w:tcW w:w="427" w:type="pct"/>
            <w:vAlign w:val="center"/>
          </w:tcPr>
          <w:p w:rsidR="00EE4502" w:rsidRDefault="00FD45A3">
            <w:pPr>
              <w:jc w:val="center"/>
              <w:rPr>
                <w:sz w:val="18"/>
                <w:szCs w:val="18"/>
              </w:rPr>
            </w:pPr>
            <w:r>
              <w:rPr>
                <w:rFonts w:hAnsi="宋体"/>
                <w:sz w:val="18"/>
                <w:szCs w:val="18"/>
              </w:rPr>
              <w:t>二级</w:t>
            </w:r>
          </w:p>
        </w:tc>
        <w:tc>
          <w:tcPr>
            <w:tcW w:w="426" w:type="pct"/>
            <w:vAlign w:val="center"/>
          </w:tcPr>
          <w:p w:rsidR="00EE4502" w:rsidRDefault="00FD45A3">
            <w:pPr>
              <w:jc w:val="center"/>
              <w:rPr>
                <w:sz w:val="18"/>
                <w:szCs w:val="18"/>
              </w:rPr>
            </w:pPr>
            <w:r>
              <w:rPr>
                <w:rFonts w:hAnsi="宋体"/>
                <w:sz w:val="18"/>
                <w:szCs w:val="18"/>
              </w:rPr>
              <w:t>二级</w:t>
            </w:r>
          </w:p>
        </w:tc>
        <w:tc>
          <w:tcPr>
            <w:tcW w:w="426" w:type="pct"/>
            <w:vAlign w:val="center"/>
          </w:tcPr>
          <w:p w:rsidR="00EE4502" w:rsidRDefault="00FD45A3">
            <w:pPr>
              <w:jc w:val="center"/>
              <w:rPr>
                <w:sz w:val="18"/>
                <w:szCs w:val="18"/>
              </w:rPr>
            </w:pPr>
            <w:r>
              <w:rPr>
                <w:rFonts w:hAnsi="宋体"/>
                <w:sz w:val="18"/>
                <w:szCs w:val="18"/>
              </w:rPr>
              <w:t>三级</w:t>
            </w:r>
          </w:p>
        </w:tc>
        <w:tc>
          <w:tcPr>
            <w:tcW w:w="427" w:type="pct"/>
            <w:vAlign w:val="center"/>
          </w:tcPr>
          <w:p w:rsidR="00EE4502" w:rsidRDefault="00FD45A3">
            <w:pPr>
              <w:jc w:val="center"/>
              <w:rPr>
                <w:sz w:val="18"/>
                <w:szCs w:val="18"/>
              </w:rPr>
            </w:pPr>
            <w:r>
              <w:rPr>
                <w:rFonts w:hAnsi="宋体"/>
                <w:sz w:val="18"/>
                <w:szCs w:val="18"/>
              </w:rPr>
              <w:t>三级</w:t>
            </w:r>
          </w:p>
        </w:tc>
        <w:tc>
          <w:tcPr>
            <w:tcW w:w="426" w:type="pct"/>
            <w:vAlign w:val="center"/>
          </w:tcPr>
          <w:p w:rsidR="00EE4502" w:rsidRDefault="00FD45A3">
            <w:pPr>
              <w:jc w:val="center"/>
              <w:rPr>
                <w:sz w:val="18"/>
                <w:szCs w:val="18"/>
              </w:rPr>
            </w:pPr>
            <w:r>
              <w:rPr>
                <w:rFonts w:hAnsi="宋体"/>
                <w:sz w:val="18"/>
                <w:szCs w:val="18"/>
              </w:rPr>
              <w:t>三级</w:t>
            </w:r>
          </w:p>
        </w:tc>
        <w:tc>
          <w:tcPr>
            <w:tcW w:w="426" w:type="pct"/>
            <w:vAlign w:val="center"/>
          </w:tcPr>
          <w:p w:rsidR="00EE4502" w:rsidRDefault="00FD45A3">
            <w:pPr>
              <w:jc w:val="center"/>
              <w:rPr>
                <w:sz w:val="18"/>
                <w:szCs w:val="18"/>
              </w:rPr>
            </w:pPr>
            <w:r>
              <w:rPr>
                <w:sz w:val="18"/>
                <w:szCs w:val="18"/>
              </w:rPr>
              <w:t>-</w:t>
            </w:r>
          </w:p>
        </w:tc>
        <w:tc>
          <w:tcPr>
            <w:tcW w:w="390" w:type="pct"/>
            <w:vAlign w:val="center"/>
          </w:tcPr>
          <w:p w:rsidR="00EE4502" w:rsidRDefault="00FD45A3">
            <w:pPr>
              <w:jc w:val="center"/>
              <w:rPr>
                <w:sz w:val="18"/>
                <w:szCs w:val="18"/>
              </w:rPr>
            </w:pPr>
            <w:r>
              <w:rPr>
                <w:sz w:val="18"/>
                <w:szCs w:val="18"/>
              </w:rPr>
              <w:t>-</w:t>
            </w:r>
          </w:p>
        </w:tc>
      </w:tr>
      <w:tr w:rsidR="00EE4502">
        <w:trPr>
          <w:trHeight w:val="340"/>
          <w:jc w:val="center"/>
        </w:trPr>
        <w:tc>
          <w:tcPr>
            <w:tcW w:w="5000" w:type="pct"/>
            <w:gridSpan w:val="10"/>
            <w:vAlign w:val="center"/>
          </w:tcPr>
          <w:p w:rsidR="00EE4502" w:rsidRDefault="00FD45A3">
            <w:pPr>
              <w:rPr>
                <w:sz w:val="18"/>
                <w:szCs w:val="18"/>
              </w:rPr>
            </w:pPr>
            <w:r>
              <w:rPr>
                <w:rFonts w:hAnsi="宋体"/>
                <w:sz w:val="18"/>
                <w:szCs w:val="18"/>
              </w:rPr>
              <w:t>注：</w:t>
            </w:r>
            <w:r>
              <w:rPr>
                <w:sz w:val="18"/>
                <w:szCs w:val="18"/>
              </w:rPr>
              <w:t>“—”</w:t>
            </w:r>
            <w:r>
              <w:rPr>
                <w:rFonts w:hAnsi="宋体"/>
                <w:sz w:val="18"/>
                <w:szCs w:val="18"/>
              </w:rPr>
              <w:t>表示可不开展土壤环境影响评价工作。</w:t>
            </w:r>
          </w:p>
        </w:tc>
      </w:tr>
    </w:tbl>
    <w:p w:rsidR="00EE4502" w:rsidRDefault="00EE4502">
      <w:pPr>
        <w:jc w:val="center"/>
        <w:rPr>
          <w:sz w:val="18"/>
          <w:szCs w:val="18"/>
        </w:rPr>
      </w:pPr>
    </w:p>
    <w:p w:rsidR="00EE4502" w:rsidRDefault="00EE4502">
      <w:pPr>
        <w:spacing w:line="360" w:lineRule="auto"/>
        <w:jc w:val="center"/>
        <w:rPr>
          <w:rFonts w:eastAsia="黑体"/>
          <w:szCs w:val="21"/>
        </w:rPr>
      </w:pPr>
    </w:p>
    <w:p w:rsidR="00EE4502" w:rsidRDefault="00EE4502">
      <w:pPr>
        <w:spacing w:line="360" w:lineRule="auto"/>
        <w:jc w:val="center"/>
        <w:rPr>
          <w:rFonts w:eastAsia="黑体"/>
          <w:szCs w:val="21"/>
        </w:rPr>
      </w:pPr>
    </w:p>
    <w:p w:rsidR="00EE4502" w:rsidRDefault="00FD45A3">
      <w:pPr>
        <w:spacing w:line="360" w:lineRule="auto"/>
        <w:jc w:val="center"/>
        <w:rPr>
          <w:rFonts w:eastAsia="黑体"/>
          <w:szCs w:val="21"/>
        </w:rPr>
      </w:pPr>
      <w:r>
        <w:rPr>
          <w:rFonts w:eastAsia="黑体"/>
          <w:szCs w:val="21"/>
        </w:rPr>
        <w:t>表</w:t>
      </w:r>
      <w:r>
        <w:rPr>
          <w:rFonts w:eastAsia="黑体"/>
          <w:szCs w:val="21"/>
        </w:rPr>
        <w:t>2-</w:t>
      </w:r>
      <w:r>
        <w:rPr>
          <w:rFonts w:eastAsia="黑体" w:hint="eastAsia"/>
          <w:szCs w:val="21"/>
        </w:rPr>
        <w:t>5-6</w:t>
      </w:r>
      <w:r>
        <w:rPr>
          <w:rFonts w:eastAsia="黑体"/>
          <w:szCs w:val="21"/>
        </w:rPr>
        <w:t xml:space="preserve">  </w:t>
      </w:r>
      <w:r>
        <w:rPr>
          <w:rFonts w:eastAsia="黑体" w:hint="eastAsia"/>
          <w:szCs w:val="21"/>
        </w:rPr>
        <w:t>生态</w:t>
      </w:r>
      <w:r>
        <w:rPr>
          <w:rFonts w:eastAsia="黑体"/>
          <w:szCs w:val="21"/>
        </w:rPr>
        <w:t>影响型评价工作等级划分表</w:t>
      </w:r>
    </w:p>
    <w:tbl>
      <w:tblPr>
        <w:tblW w:w="4998" w:type="pct"/>
        <w:jc w:val="center"/>
        <w:tblBorders>
          <w:top w:val="single" w:sz="8" w:space="0" w:color="auto"/>
          <w:bottom w:val="single" w:sz="8" w:space="0" w:color="auto"/>
          <w:insideH w:val="single" w:sz="8" w:space="0" w:color="auto"/>
          <w:insideV w:val="single" w:sz="8" w:space="0" w:color="auto"/>
        </w:tblBorders>
        <w:tblLook w:val="04A0" w:firstRow="1" w:lastRow="0" w:firstColumn="1" w:lastColumn="0" w:noHBand="0" w:noVBand="1"/>
      </w:tblPr>
      <w:tblGrid>
        <w:gridCol w:w="3719"/>
        <w:gridCol w:w="1600"/>
        <w:gridCol w:w="1600"/>
        <w:gridCol w:w="1600"/>
      </w:tblGrid>
      <w:tr w:rsidR="00EE4502">
        <w:trPr>
          <w:trHeight w:val="340"/>
          <w:jc w:val="center"/>
        </w:trPr>
        <w:tc>
          <w:tcPr>
            <w:tcW w:w="2181" w:type="pct"/>
            <w:tcBorders>
              <w:tl2br w:val="single" w:sz="4" w:space="0" w:color="auto"/>
            </w:tcBorders>
            <w:vAlign w:val="center"/>
          </w:tcPr>
          <w:p w:rsidR="00EE4502" w:rsidRDefault="00FD45A3">
            <w:pPr>
              <w:jc w:val="right"/>
              <w:rPr>
                <w:rFonts w:hAnsi="宋体"/>
                <w:bCs/>
                <w:snapToGrid w:val="0"/>
                <w:kern w:val="0"/>
                <w:sz w:val="18"/>
                <w:szCs w:val="18"/>
              </w:rPr>
            </w:pPr>
            <w:r>
              <w:rPr>
                <w:rFonts w:hAnsi="宋体" w:hint="eastAsia"/>
                <w:bCs/>
                <w:snapToGrid w:val="0"/>
                <w:kern w:val="0"/>
                <w:sz w:val="18"/>
                <w:szCs w:val="18"/>
              </w:rPr>
              <w:t>项目类别</w:t>
            </w:r>
          </w:p>
          <w:p w:rsidR="00EE4502" w:rsidRDefault="00FD45A3">
            <w:pPr>
              <w:jc w:val="left"/>
              <w:rPr>
                <w:rFonts w:hAnsi="宋体"/>
                <w:bCs/>
                <w:snapToGrid w:val="0"/>
                <w:kern w:val="0"/>
                <w:sz w:val="18"/>
                <w:szCs w:val="18"/>
              </w:rPr>
            </w:pPr>
            <w:r>
              <w:rPr>
                <w:rFonts w:hAnsi="宋体" w:hint="eastAsia"/>
                <w:bCs/>
                <w:snapToGrid w:val="0"/>
                <w:kern w:val="0"/>
                <w:sz w:val="18"/>
                <w:szCs w:val="18"/>
              </w:rPr>
              <w:t>环境敏感程度</w:t>
            </w:r>
          </w:p>
        </w:tc>
        <w:tc>
          <w:tcPr>
            <w:tcW w:w="939" w:type="pct"/>
            <w:vAlign w:val="center"/>
          </w:tcPr>
          <w:p w:rsidR="00EE4502" w:rsidRDefault="00FD45A3">
            <w:pPr>
              <w:jc w:val="center"/>
              <w:rPr>
                <w:rFonts w:hAnsi="宋体"/>
                <w:bCs/>
                <w:snapToGrid w:val="0"/>
                <w:kern w:val="0"/>
                <w:sz w:val="18"/>
                <w:szCs w:val="18"/>
              </w:rPr>
            </w:pPr>
            <w:r>
              <w:rPr>
                <w:rFonts w:hAnsi="宋体"/>
                <w:bCs/>
                <w:snapToGrid w:val="0"/>
                <w:kern w:val="0"/>
                <w:sz w:val="18"/>
                <w:szCs w:val="18"/>
              </w:rPr>
              <w:t>Ⅰ</w:t>
            </w:r>
            <w:r>
              <w:rPr>
                <w:rFonts w:hAnsi="宋体"/>
                <w:bCs/>
                <w:snapToGrid w:val="0"/>
                <w:kern w:val="0"/>
                <w:sz w:val="18"/>
                <w:szCs w:val="18"/>
              </w:rPr>
              <w:t>类</w:t>
            </w:r>
          </w:p>
        </w:tc>
        <w:tc>
          <w:tcPr>
            <w:tcW w:w="939" w:type="pct"/>
            <w:vAlign w:val="center"/>
          </w:tcPr>
          <w:p w:rsidR="00EE4502" w:rsidRDefault="00FD45A3">
            <w:pPr>
              <w:jc w:val="center"/>
              <w:rPr>
                <w:rFonts w:hAnsi="宋体"/>
                <w:bCs/>
                <w:snapToGrid w:val="0"/>
                <w:kern w:val="0"/>
                <w:sz w:val="18"/>
                <w:szCs w:val="18"/>
              </w:rPr>
            </w:pPr>
            <w:r>
              <w:rPr>
                <w:rFonts w:hAnsi="宋体"/>
                <w:bCs/>
                <w:snapToGrid w:val="0"/>
                <w:kern w:val="0"/>
                <w:sz w:val="18"/>
                <w:szCs w:val="18"/>
              </w:rPr>
              <w:t>Ⅱ</w:t>
            </w:r>
            <w:r>
              <w:rPr>
                <w:rFonts w:hAnsi="宋体"/>
                <w:bCs/>
                <w:snapToGrid w:val="0"/>
                <w:kern w:val="0"/>
                <w:sz w:val="18"/>
                <w:szCs w:val="18"/>
              </w:rPr>
              <w:t>类</w:t>
            </w:r>
          </w:p>
        </w:tc>
        <w:tc>
          <w:tcPr>
            <w:tcW w:w="939" w:type="pct"/>
            <w:vAlign w:val="center"/>
          </w:tcPr>
          <w:p w:rsidR="00EE4502" w:rsidRDefault="00FD45A3">
            <w:pPr>
              <w:jc w:val="center"/>
              <w:rPr>
                <w:rFonts w:hAnsi="宋体"/>
                <w:bCs/>
                <w:snapToGrid w:val="0"/>
                <w:kern w:val="0"/>
                <w:sz w:val="18"/>
                <w:szCs w:val="18"/>
              </w:rPr>
            </w:pPr>
            <w:r>
              <w:rPr>
                <w:rFonts w:hAnsi="宋体"/>
                <w:bCs/>
                <w:snapToGrid w:val="0"/>
                <w:kern w:val="0"/>
                <w:sz w:val="18"/>
                <w:szCs w:val="18"/>
              </w:rPr>
              <w:t>Ⅲ</w:t>
            </w:r>
            <w:r>
              <w:rPr>
                <w:rFonts w:hAnsi="宋体"/>
                <w:bCs/>
                <w:snapToGrid w:val="0"/>
                <w:kern w:val="0"/>
                <w:sz w:val="18"/>
                <w:szCs w:val="18"/>
              </w:rPr>
              <w:t>类</w:t>
            </w:r>
          </w:p>
        </w:tc>
      </w:tr>
      <w:tr w:rsidR="00EE4502">
        <w:trPr>
          <w:trHeight w:val="340"/>
          <w:jc w:val="center"/>
        </w:trPr>
        <w:tc>
          <w:tcPr>
            <w:tcW w:w="2181" w:type="pct"/>
            <w:vAlign w:val="center"/>
          </w:tcPr>
          <w:p w:rsidR="00EE4502" w:rsidRDefault="00FD45A3">
            <w:pPr>
              <w:jc w:val="center"/>
              <w:rPr>
                <w:bCs/>
                <w:snapToGrid w:val="0"/>
                <w:kern w:val="0"/>
                <w:sz w:val="18"/>
                <w:szCs w:val="18"/>
              </w:rPr>
            </w:pPr>
            <w:r>
              <w:rPr>
                <w:rFonts w:hAnsi="宋体"/>
                <w:bCs/>
                <w:snapToGrid w:val="0"/>
                <w:kern w:val="0"/>
                <w:sz w:val="18"/>
                <w:szCs w:val="18"/>
              </w:rPr>
              <w:t>敏感</w:t>
            </w:r>
          </w:p>
        </w:tc>
        <w:tc>
          <w:tcPr>
            <w:tcW w:w="939" w:type="pct"/>
            <w:vAlign w:val="center"/>
          </w:tcPr>
          <w:p w:rsidR="00EE4502" w:rsidRDefault="00FD45A3">
            <w:pPr>
              <w:jc w:val="center"/>
              <w:rPr>
                <w:rFonts w:hAnsi="宋体"/>
                <w:b/>
                <w:snapToGrid w:val="0"/>
                <w:kern w:val="0"/>
                <w:sz w:val="18"/>
                <w:szCs w:val="18"/>
              </w:rPr>
            </w:pPr>
            <w:r>
              <w:rPr>
                <w:rFonts w:hAnsi="宋体" w:hint="eastAsia"/>
                <w:b/>
                <w:snapToGrid w:val="0"/>
                <w:kern w:val="0"/>
                <w:sz w:val="18"/>
                <w:szCs w:val="18"/>
              </w:rPr>
              <w:t>一</w:t>
            </w:r>
          </w:p>
        </w:tc>
        <w:tc>
          <w:tcPr>
            <w:tcW w:w="939" w:type="pct"/>
            <w:vAlign w:val="center"/>
          </w:tcPr>
          <w:p w:rsidR="00EE4502" w:rsidRDefault="00FD45A3">
            <w:pPr>
              <w:jc w:val="center"/>
              <w:rPr>
                <w:rFonts w:hAnsi="宋体"/>
                <w:b/>
                <w:snapToGrid w:val="0"/>
                <w:kern w:val="0"/>
                <w:sz w:val="18"/>
                <w:szCs w:val="18"/>
              </w:rPr>
            </w:pPr>
            <w:r>
              <w:rPr>
                <w:rFonts w:hAnsi="宋体" w:hint="eastAsia"/>
                <w:b/>
                <w:snapToGrid w:val="0"/>
                <w:kern w:val="0"/>
                <w:sz w:val="18"/>
                <w:szCs w:val="18"/>
              </w:rPr>
              <w:t>二</w:t>
            </w:r>
          </w:p>
        </w:tc>
        <w:tc>
          <w:tcPr>
            <w:tcW w:w="939" w:type="pct"/>
            <w:vAlign w:val="center"/>
          </w:tcPr>
          <w:p w:rsidR="00EE4502" w:rsidRDefault="00FD45A3">
            <w:pPr>
              <w:jc w:val="center"/>
              <w:rPr>
                <w:rFonts w:hAnsi="宋体"/>
                <w:bCs/>
                <w:snapToGrid w:val="0"/>
                <w:kern w:val="0"/>
                <w:sz w:val="18"/>
                <w:szCs w:val="18"/>
              </w:rPr>
            </w:pPr>
            <w:r>
              <w:rPr>
                <w:rFonts w:hAnsi="宋体" w:hint="eastAsia"/>
                <w:bCs/>
                <w:snapToGrid w:val="0"/>
                <w:kern w:val="0"/>
                <w:sz w:val="18"/>
                <w:szCs w:val="18"/>
              </w:rPr>
              <w:t>三</w:t>
            </w:r>
          </w:p>
        </w:tc>
      </w:tr>
      <w:tr w:rsidR="00EE4502">
        <w:trPr>
          <w:trHeight w:val="340"/>
          <w:jc w:val="center"/>
        </w:trPr>
        <w:tc>
          <w:tcPr>
            <w:tcW w:w="2181" w:type="pct"/>
            <w:vAlign w:val="center"/>
          </w:tcPr>
          <w:p w:rsidR="00EE4502" w:rsidRDefault="00FD45A3">
            <w:pPr>
              <w:jc w:val="center"/>
              <w:rPr>
                <w:bCs/>
                <w:snapToGrid w:val="0"/>
                <w:kern w:val="0"/>
                <w:sz w:val="18"/>
                <w:szCs w:val="18"/>
              </w:rPr>
            </w:pPr>
            <w:r>
              <w:rPr>
                <w:rFonts w:hAnsi="宋体"/>
                <w:bCs/>
                <w:snapToGrid w:val="0"/>
                <w:kern w:val="0"/>
                <w:sz w:val="18"/>
                <w:szCs w:val="18"/>
              </w:rPr>
              <w:t>较敏感</w:t>
            </w:r>
          </w:p>
        </w:tc>
        <w:tc>
          <w:tcPr>
            <w:tcW w:w="939" w:type="pct"/>
            <w:vAlign w:val="center"/>
          </w:tcPr>
          <w:p w:rsidR="00EE4502" w:rsidRDefault="00FD45A3">
            <w:pPr>
              <w:jc w:val="center"/>
              <w:rPr>
                <w:rFonts w:hAnsi="宋体"/>
                <w:b/>
                <w:bCs/>
                <w:snapToGrid w:val="0"/>
                <w:kern w:val="0"/>
                <w:sz w:val="18"/>
                <w:szCs w:val="18"/>
              </w:rPr>
            </w:pPr>
            <w:r>
              <w:rPr>
                <w:rFonts w:hAnsi="宋体" w:hint="eastAsia"/>
                <w:b/>
                <w:snapToGrid w:val="0"/>
                <w:kern w:val="0"/>
                <w:sz w:val="18"/>
                <w:szCs w:val="18"/>
              </w:rPr>
              <w:t>二</w:t>
            </w:r>
          </w:p>
        </w:tc>
        <w:tc>
          <w:tcPr>
            <w:tcW w:w="939" w:type="pct"/>
            <w:vAlign w:val="center"/>
          </w:tcPr>
          <w:p w:rsidR="00EE4502" w:rsidRDefault="00FD45A3">
            <w:pPr>
              <w:jc w:val="center"/>
              <w:rPr>
                <w:rFonts w:hAnsi="宋体"/>
                <w:bCs/>
                <w:snapToGrid w:val="0"/>
                <w:kern w:val="0"/>
                <w:sz w:val="18"/>
                <w:szCs w:val="18"/>
              </w:rPr>
            </w:pPr>
            <w:r>
              <w:rPr>
                <w:rFonts w:hAnsi="宋体" w:hint="eastAsia"/>
                <w:bCs/>
                <w:snapToGrid w:val="0"/>
                <w:kern w:val="0"/>
                <w:sz w:val="18"/>
                <w:szCs w:val="18"/>
              </w:rPr>
              <w:t>二</w:t>
            </w:r>
          </w:p>
        </w:tc>
        <w:tc>
          <w:tcPr>
            <w:tcW w:w="939" w:type="pct"/>
            <w:vAlign w:val="center"/>
          </w:tcPr>
          <w:p w:rsidR="00EE4502" w:rsidRDefault="00FD45A3">
            <w:pPr>
              <w:jc w:val="center"/>
              <w:rPr>
                <w:rFonts w:hAnsi="宋体"/>
                <w:bCs/>
                <w:snapToGrid w:val="0"/>
                <w:kern w:val="0"/>
                <w:sz w:val="18"/>
                <w:szCs w:val="18"/>
              </w:rPr>
            </w:pPr>
            <w:r>
              <w:rPr>
                <w:rFonts w:hAnsi="宋体" w:hint="eastAsia"/>
                <w:bCs/>
                <w:snapToGrid w:val="0"/>
                <w:kern w:val="0"/>
                <w:sz w:val="18"/>
                <w:szCs w:val="18"/>
              </w:rPr>
              <w:t>三</w:t>
            </w:r>
          </w:p>
        </w:tc>
      </w:tr>
      <w:tr w:rsidR="00EE4502">
        <w:trPr>
          <w:trHeight w:val="340"/>
          <w:jc w:val="center"/>
        </w:trPr>
        <w:tc>
          <w:tcPr>
            <w:tcW w:w="2181" w:type="pct"/>
            <w:vAlign w:val="center"/>
          </w:tcPr>
          <w:p w:rsidR="00EE4502" w:rsidRDefault="00FD45A3">
            <w:pPr>
              <w:jc w:val="center"/>
              <w:rPr>
                <w:bCs/>
                <w:snapToGrid w:val="0"/>
                <w:kern w:val="0"/>
                <w:sz w:val="18"/>
                <w:szCs w:val="18"/>
              </w:rPr>
            </w:pPr>
            <w:r>
              <w:rPr>
                <w:rFonts w:hAnsi="宋体"/>
                <w:bCs/>
                <w:snapToGrid w:val="0"/>
                <w:kern w:val="0"/>
                <w:sz w:val="18"/>
                <w:szCs w:val="18"/>
              </w:rPr>
              <w:t>不敏感</w:t>
            </w:r>
          </w:p>
        </w:tc>
        <w:tc>
          <w:tcPr>
            <w:tcW w:w="939" w:type="pct"/>
            <w:vAlign w:val="center"/>
          </w:tcPr>
          <w:p w:rsidR="00EE4502" w:rsidRDefault="00FD45A3">
            <w:pPr>
              <w:jc w:val="center"/>
              <w:rPr>
                <w:rFonts w:hAnsi="宋体"/>
                <w:bCs/>
                <w:snapToGrid w:val="0"/>
                <w:kern w:val="0"/>
                <w:sz w:val="18"/>
                <w:szCs w:val="18"/>
              </w:rPr>
            </w:pPr>
            <w:r>
              <w:rPr>
                <w:rFonts w:hAnsi="宋体" w:hint="eastAsia"/>
                <w:bCs/>
                <w:snapToGrid w:val="0"/>
                <w:kern w:val="0"/>
                <w:sz w:val="18"/>
                <w:szCs w:val="18"/>
              </w:rPr>
              <w:t>二</w:t>
            </w:r>
          </w:p>
        </w:tc>
        <w:tc>
          <w:tcPr>
            <w:tcW w:w="939" w:type="pct"/>
            <w:vAlign w:val="center"/>
          </w:tcPr>
          <w:p w:rsidR="00EE4502" w:rsidRDefault="00FD45A3">
            <w:pPr>
              <w:jc w:val="center"/>
              <w:rPr>
                <w:rFonts w:hAnsi="宋体"/>
                <w:bCs/>
                <w:snapToGrid w:val="0"/>
                <w:kern w:val="0"/>
                <w:sz w:val="18"/>
                <w:szCs w:val="18"/>
              </w:rPr>
            </w:pPr>
            <w:r>
              <w:rPr>
                <w:rFonts w:hAnsi="宋体" w:hint="eastAsia"/>
                <w:bCs/>
                <w:snapToGrid w:val="0"/>
                <w:kern w:val="0"/>
                <w:sz w:val="18"/>
                <w:szCs w:val="18"/>
              </w:rPr>
              <w:t>三</w:t>
            </w:r>
          </w:p>
        </w:tc>
        <w:tc>
          <w:tcPr>
            <w:tcW w:w="939" w:type="pct"/>
            <w:vAlign w:val="center"/>
          </w:tcPr>
          <w:p w:rsidR="00EE4502" w:rsidRDefault="00FD45A3">
            <w:pPr>
              <w:jc w:val="center"/>
              <w:rPr>
                <w:rFonts w:hAnsi="宋体"/>
                <w:bCs/>
                <w:snapToGrid w:val="0"/>
                <w:kern w:val="0"/>
                <w:sz w:val="18"/>
                <w:szCs w:val="18"/>
              </w:rPr>
            </w:pPr>
            <w:r>
              <w:rPr>
                <w:rFonts w:hAnsi="宋体" w:hint="eastAsia"/>
                <w:bCs/>
                <w:snapToGrid w:val="0"/>
                <w:kern w:val="0"/>
                <w:sz w:val="18"/>
                <w:szCs w:val="18"/>
              </w:rPr>
              <w:t>/</w:t>
            </w:r>
          </w:p>
        </w:tc>
      </w:tr>
    </w:tbl>
    <w:p w:rsidR="00EE4502" w:rsidRDefault="00FD45A3">
      <w:pPr>
        <w:spacing w:line="360" w:lineRule="auto"/>
        <w:ind w:firstLineChars="200" w:firstLine="480"/>
        <w:rPr>
          <w:kern w:val="0"/>
          <w:sz w:val="24"/>
        </w:rPr>
      </w:pPr>
      <w:r>
        <w:rPr>
          <w:kern w:val="0"/>
          <w:sz w:val="24"/>
        </w:rPr>
        <w:t>综上所述，</w:t>
      </w:r>
      <w:r>
        <w:rPr>
          <w:rFonts w:hint="eastAsia"/>
          <w:kern w:val="0"/>
          <w:sz w:val="24"/>
        </w:rPr>
        <w:t>本工程</w:t>
      </w:r>
      <w:r>
        <w:rPr>
          <w:rFonts w:hint="eastAsia"/>
          <w:kern w:val="0"/>
          <w:sz w:val="24"/>
        </w:rPr>
        <w:t>采油井</w:t>
      </w:r>
      <w:r>
        <w:rPr>
          <w:rFonts w:hint="eastAsia"/>
          <w:kern w:val="0"/>
          <w:sz w:val="24"/>
        </w:rPr>
        <w:t>、</w:t>
      </w:r>
      <w:r>
        <w:rPr>
          <w:rFonts w:hint="eastAsia"/>
          <w:kern w:val="0"/>
          <w:sz w:val="24"/>
        </w:rPr>
        <w:t>1#</w:t>
      </w:r>
      <w:r>
        <w:rPr>
          <w:rFonts w:hint="eastAsia"/>
          <w:kern w:val="0"/>
          <w:sz w:val="24"/>
        </w:rPr>
        <w:t>增压站</w:t>
      </w:r>
      <w:r>
        <w:rPr>
          <w:rFonts w:hint="eastAsia"/>
          <w:kern w:val="0"/>
          <w:sz w:val="24"/>
        </w:rPr>
        <w:t>改扩建污染影响型</w:t>
      </w:r>
      <w:r>
        <w:rPr>
          <w:rFonts w:hint="eastAsia"/>
          <w:kern w:val="0"/>
          <w:sz w:val="24"/>
        </w:rPr>
        <w:t>、</w:t>
      </w:r>
      <w:r>
        <w:rPr>
          <w:rFonts w:hint="eastAsia"/>
          <w:kern w:val="0"/>
          <w:sz w:val="24"/>
        </w:rPr>
        <w:t>生态影响型土壤环境影响评价工作等级</w:t>
      </w:r>
      <w:r>
        <w:rPr>
          <w:rFonts w:hint="eastAsia"/>
          <w:kern w:val="0"/>
          <w:sz w:val="24"/>
        </w:rPr>
        <w:t>均</w:t>
      </w:r>
      <w:r>
        <w:rPr>
          <w:rFonts w:hint="eastAsia"/>
          <w:kern w:val="0"/>
          <w:sz w:val="24"/>
        </w:rPr>
        <w:t>为一级；</w:t>
      </w:r>
      <w:r>
        <w:rPr>
          <w:rFonts w:hint="eastAsia"/>
          <w:kern w:val="0"/>
          <w:sz w:val="24"/>
        </w:rPr>
        <w:t>注水井</w:t>
      </w:r>
      <w:r>
        <w:rPr>
          <w:rFonts w:hint="eastAsia"/>
          <w:kern w:val="0"/>
          <w:sz w:val="24"/>
        </w:rPr>
        <w:t>、排</w:t>
      </w:r>
      <w:r>
        <w:rPr>
          <w:rFonts w:hint="eastAsia"/>
          <w:kern w:val="0"/>
          <w:sz w:val="24"/>
        </w:rPr>
        <w:t>7</w:t>
      </w:r>
      <w:r>
        <w:rPr>
          <w:rFonts w:hint="eastAsia"/>
          <w:kern w:val="0"/>
          <w:sz w:val="24"/>
        </w:rPr>
        <w:t>注水站扩建及各类配套管线污染影响型、生态影响型土壤环境影响评价工作等级</w:t>
      </w:r>
      <w:r>
        <w:rPr>
          <w:rFonts w:hint="eastAsia"/>
          <w:kern w:val="0"/>
          <w:sz w:val="24"/>
        </w:rPr>
        <w:t>均</w:t>
      </w:r>
      <w:r>
        <w:rPr>
          <w:rFonts w:hint="eastAsia"/>
          <w:kern w:val="0"/>
          <w:sz w:val="24"/>
        </w:rPr>
        <w:t>为二级。</w:t>
      </w:r>
    </w:p>
    <w:p w:rsidR="00EE4502" w:rsidRDefault="00FD45A3">
      <w:pPr>
        <w:spacing w:line="360" w:lineRule="auto"/>
        <w:ind w:firstLineChars="200" w:firstLine="480"/>
        <w:rPr>
          <w:kern w:val="0"/>
          <w:sz w:val="24"/>
        </w:rPr>
      </w:pPr>
      <w:r>
        <w:rPr>
          <w:rFonts w:hint="eastAsia"/>
          <w:kern w:val="0"/>
          <w:sz w:val="24"/>
        </w:rPr>
        <w:t>（</w:t>
      </w:r>
      <w:r>
        <w:rPr>
          <w:rFonts w:hint="eastAsia"/>
          <w:kern w:val="0"/>
          <w:sz w:val="24"/>
        </w:rPr>
        <w:t>2</w:t>
      </w:r>
      <w:r>
        <w:rPr>
          <w:rFonts w:hint="eastAsia"/>
          <w:kern w:val="0"/>
          <w:sz w:val="24"/>
        </w:rPr>
        <w:t>）</w:t>
      </w:r>
      <w:r>
        <w:rPr>
          <w:rFonts w:hint="eastAsia"/>
          <w:kern w:val="0"/>
          <w:sz w:val="24"/>
        </w:rPr>
        <w:t>评价范围</w:t>
      </w:r>
    </w:p>
    <w:p w:rsidR="00EE4502" w:rsidRDefault="00FD45A3">
      <w:pPr>
        <w:spacing w:line="360" w:lineRule="auto"/>
        <w:ind w:firstLineChars="200" w:firstLine="480"/>
        <w:rPr>
          <w:sz w:val="24"/>
        </w:rPr>
      </w:pPr>
      <w:r>
        <w:rPr>
          <w:rFonts w:hint="eastAsia"/>
          <w:sz w:val="24"/>
        </w:rPr>
        <w:t>根据导则要求，</w:t>
      </w:r>
      <w:r>
        <w:rPr>
          <w:rFonts w:hint="eastAsia"/>
          <w:sz w:val="24"/>
        </w:rPr>
        <w:t>本工程</w:t>
      </w:r>
      <w:r>
        <w:rPr>
          <w:rFonts w:hint="eastAsia"/>
          <w:sz w:val="24"/>
        </w:rPr>
        <w:t>采油井场</w:t>
      </w:r>
      <w:r>
        <w:rPr>
          <w:rFonts w:hint="eastAsia"/>
          <w:sz w:val="24"/>
        </w:rPr>
        <w:t>及</w:t>
      </w:r>
      <w:r>
        <w:rPr>
          <w:rFonts w:hint="eastAsia"/>
          <w:sz w:val="24"/>
        </w:rPr>
        <w:t>1#</w:t>
      </w:r>
      <w:r>
        <w:rPr>
          <w:rFonts w:hint="eastAsia"/>
          <w:sz w:val="24"/>
        </w:rPr>
        <w:t>增压站</w:t>
      </w:r>
      <w:r>
        <w:rPr>
          <w:rFonts w:hint="eastAsia"/>
          <w:sz w:val="24"/>
        </w:rPr>
        <w:t>土壤环境生态影响型评价范围为占地范围内全部以及占地范围外</w:t>
      </w:r>
      <w:r>
        <w:rPr>
          <w:rFonts w:hint="eastAsia"/>
          <w:sz w:val="24"/>
        </w:rPr>
        <w:t>5km</w:t>
      </w:r>
      <w:r>
        <w:rPr>
          <w:rFonts w:hint="eastAsia"/>
          <w:sz w:val="24"/>
        </w:rPr>
        <w:t>、土壤环境污染影响型评价范围为占地范围内全部以及占地范围外</w:t>
      </w:r>
      <w:r>
        <w:rPr>
          <w:rFonts w:hint="eastAsia"/>
          <w:sz w:val="24"/>
        </w:rPr>
        <w:t>1km</w:t>
      </w:r>
      <w:r>
        <w:rPr>
          <w:rFonts w:hint="eastAsia"/>
          <w:sz w:val="24"/>
        </w:rPr>
        <w:t>；注水井、排</w:t>
      </w:r>
      <w:r>
        <w:rPr>
          <w:rFonts w:hint="eastAsia"/>
          <w:sz w:val="24"/>
        </w:rPr>
        <w:t>7</w:t>
      </w:r>
      <w:r>
        <w:rPr>
          <w:rFonts w:hint="eastAsia"/>
          <w:sz w:val="24"/>
        </w:rPr>
        <w:t>注水站及各类管线土壤环境生态影响型评价范围为占地范围内全部以及占地范围外</w:t>
      </w:r>
      <w:r>
        <w:rPr>
          <w:rFonts w:hint="eastAsia"/>
          <w:sz w:val="24"/>
        </w:rPr>
        <w:t>2km</w:t>
      </w:r>
      <w:r>
        <w:rPr>
          <w:rFonts w:hint="eastAsia"/>
          <w:sz w:val="24"/>
        </w:rPr>
        <w:t>、土壤环境污染影响型评价范围为占地范围内全部以及占地范围外</w:t>
      </w:r>
      <w:r>
        <w:rPr>
          <w:rFonts w:hint="eastAsia"/>
          <w:sz w:val="24"/>
        </w:rPr>
        <w:t>0.2km</w:t>
      </w:r>
      <w:r>
        <w:rPr>
          <w:rFonts w:hint="eastAsia"/>
          <w:sz w:val="24"/>
        </w:rPr>
        <w:t>。</w:t>
      </w:r>
    </w:p>
    <w:p w:rsidR="00EE4502" w:rsidRDefault="00FD45A3">
      <w:pPr>
        <w:pStyle w:val="33"/>
        <w:numPr>
          <w:ilvl w:val="2"/>
          <w:numId w:val="30"/>
        </w:numPr>
        <w:spacing w:line="360" w:lineRule="auto"/>
        <w:ind w:left="0" w:firstLine="0"/>
        <w:rPr>
          <w:spacing w:val="0"/>
          <w:sz w:val="24"/>
          <w:szCs w:val="24"/>
        </w:rPr>
      </w:pPr>
      <w:r>
        <w:rPr>
          <w:rFonts w:hint="eastAsia"/>
          <w:spacing w:val="0"/>
          <w:sz w:val="24"/>
          <w:szCs w:val="24"/>
        </w:rPr>
        <w:t>大气环境影响评价等级和评价范围</w:t>
      </w:r>
    </w:p>
    <w:p w:rsidR="00EE4502" w:rsidRDefault="00FD45A3">
      <w:pPr>
        <w:spacing w:line="360" w:lineRule="auto"/>
        <w:ind w:firstLineChars="200" w:firstLine="480"/>
        <w:rPr>
          <w:kern w:val="0"/>
          <w:sz w:val="24"/>
        </w:rPr>
      </w:pPr>
      <w:r>
        <w:rPr>
          <w:rFonts w:hint="eastAsia"/>
          <w:kern w:val="0"/>
          <w:sz w:val="24"/>
        </w:rPr>
        <w:t>（</w:t>
      </w:r>
      <w:r>
        <w:rPr>
          <w:rFonts w:hint="eastAsia"/>
          <w:kern w:val="0"/>
          <w:sz w:val="24"/>
        </w:rPr>
        <w:t>1</w:t>
      </w:r>
      <w:r>
        <w:rPr>
          <w:rFonts w:hint="eastAsia"/>
          <w:kern w:val="0"/>
          <w:sz w:val="24"/>
        </w:rPr>
        <w:t>）</w:t>
      </w:r>
      <w:r>
        <w:rPr>
          <w:rFonts w:hint="eastAsia"/>
          <w:kern w:val="0"/>
          <w:sz w:val="24"/>
        </w:rPr>
        <w:t>评价等级</w:t>
      </w:r>
    </w:p>
    <w:p w:rsidR="00EE4502" w:rsidRDefault="00FD45A3">
      <w:pPr>
        <w:spacing w:line="360" w:lineRule="auto"/>
        <w:ind w:firstLineChars="200" w:firstLine="480"/>
        <w:rPr>
          <w:kern w:val="0"/>
          <w:sz w:val="24"/>
        </w:rPr>
      </w:pPr>
      <w:r>
        <w:rPr>
          <w:kern w:val="0"/>
          <w:sz w:val="24"/>
        </w:rPr>
        <w:t>按《环境影响评价技术导则</w:t>
      </w:r>
      <w:r>
        <w:rPr>
          <w:rFonts w:hint="eastAsia"/>
          <w:kern w:val="0"/>
          <w:sz w:val="24"/>
        </w:rPr>
        <w:t xml:space="preserve"> </w:t>
      </w:r>
      <w:r>
        <w:rPr>
          <w:kern w:val="0"/>
          <w:sz w:val="24"/>
        </w:rPr>
        <w:t>大气环境》（</w:t>
      </w:r>
      <w:r>
        <w:rPr>
          <w:kern w:val="0"/>
          <w:sz w:val="24"/>
        </w:rPr>
        <w:t>HJ2.2-2018</w:t>
      </w:r>
      <w:r>
        <w:rPr>
          <w:kern w:val="0"/>
          <w:sz w:val="24"/>
        </w:rPr>
        <w:t>）要求，环境空气影响评价等级由每一种污染物的最大地面浓度占标率</w:t>
      </w:r>
      <w:r>
        <w:rPr>
          <w:i/>
          <w:iCs/>
          <w:kern w:val="0"/>
          <w:sz w:val="24"/>
        </w:rPr>
        <w:t>P</w:t>
      </w:r>
      <w:r>
        <w:rPr>
          <w:i/>
          <w:iCs/>
          <w:kern w:val="0"/>
          <w:sz w:val="24"/>
          <w:vertAlign w:val="subscript"/>
        </w:rPr>
        <w:t>i</w:t>
      </w:r>
      <w:r>
        <w:rPr>
          <w:kern w:val="0"/>
          <w:sz w:val="24"/>
        </w:rPr>
        <w:t>的大小，及第</w:t>
      </w:r>
      <w:r>
        <w:rPr>
          <w:i/>
          <w:iCs/>
          <w:kern w:val="0"/>
          <w:sz w:val="24"/>
        </w:rPr>
        <w:t>i</w:t>
      </w:r>
      <w:r>
        <w:rPr>
          <w:kern w:val="0"/>
          <w:sz w:val="24"/>
        </w:rPr>
        <w:t>个污染物的地面浓度达标准限值</w:t>
      </w:r>
      <w:r>
        <w:rPr>
          <w:kern w:val="0"/>
          <w:sz w:val="24"/>
        </w:rPr>
        <w:t>10%</w:t>
      </w:r>
      <w:r>
        <w:rPr>
          <w:kern w:val="0"/>
          <w:sz w:val="24"/>
        </w:rPr>
        <w:t>时所对应的最远距离</w:t>
      </w:r>
      <w:r>
        <w:rPr>
          <w:i/>
          <w:iCs/>
          <w:kern w:val="0"/>
          <w:sz w:val="24"/>
        </w:rPr>
        <w:t>D</w:t>
      </w:r>
      <w:r>
        <w:rPr>
          <w:i/>
          <w:iCs/>
          <w:kern w:val="0"/>
          <w:sz w:val="24"/>
          <w:vertAlign w:val="subscript"/>
        </w:rPr>
        <w:t>10%</w:t>
      </w:r>
      <w:r>
        <w:rPr>
          <w:kern w:val="0"/>
          <w:sz w:val="24"/>
        </w:rPr>
        <w:t>来确定。其中</w:t>
      </w:r>
      <w:r>
        <w:rPr>
          <w:i/>
          <w:iCs/>
          <w:kern w:val="0"/>
          <w:sz w:val="24"/>
        </w:rPr>
        <w:t>P</w:t>
      </w:r>
      <w:r>
        <w:rPr>
          <w:i/>
          <w:iCs/>
          <w:kern w:val="0"/>
          <w:sz w:val="24"/>
          <w:vertAlign w:val="subscript"/>
        </w:rPr>
        <w:t>i</w:t>
      </w:r>
      <w:r>
        <w:rPr>
          <w:kern w:val="0"/>
          <w:sz w:val="24"/>
        </w:rPr>
        <w:t>定义为：</w:t>
      </w:r>
    </w:p>
    <w:p w:rsidR="00EE4502" w:rsidRDefault="00FD45A3">
      <w:pPr>
        <w:spacing w:line="360" w:lineRule="auto"/>
        <w:ind w:firstLine="480"/>
        <w:jc w:val="center"/>
        <w:rPr>
          <w:kern w:val="0"/>
          <w:sz w:val="24"/>
        </w:rPr>
      </w:pPr>
      <w:r>
        <w:fldChar w:fldCharType="begin"/>
      </w:r>
      <w:r>
        <w:instrText xml:space="preserve"> INCLUDEPICTURE  "D:\\ADMINI~1.DES\\AppData\\Local\\Temp\\ksohtml\\wps226.tmp.jpg" \* MERGEFORMATINET </w:instrText>
      </w:r>
      <w:r>
        <w:fldChar w:fldCharType="separate"/>
      </w:r>
      <w:r>
        <w:rPr>
          <w:noProof/>
        </w:rPr>
        <w:drawing>
          <wp:inline distT="0" distB="0" distL="114300" distR="114300">
            <wp:extent cx="1095375" cy="361315"/>
            <wp:effectExtent l="0" t="0" r="9525" b="635"/>
            <wp:docPr id="17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34"/>
                    <pic:cNvPicPr>
                      <a:picLocks noChangeAspect="1"/>
                    </pic:cNvPicPr>
                  </pic:nvPicPr>
                  <pic:blipFill>
                    <a:blip r:embed="rId14" r:link="rId15"/>
                    <a:stretch>
                      <a:fillRect/>
                    </a:stretch>
                  </pic:blipFill>
                  <pic:spPr>
                    <a:xfrm>
                      <a:off x="0" y="0"/>
                      <a:ext cx="1095375" cy="361315"/>
                    </a:xfrm>
                    <a:prstGeom prst="rect">
                      <a:avLst/>
                    </a:prstGeom>
                    <a:noFill/>
                    <a:ln>
                      <a:noFill/>
                    </a:ln>
                  </pic:spPr>
                </pic:pic>
              </a:graphicData>
            </a:graphic>
          </wp:inline>
        </w:drawing>
      </w:r>
      <w:r>
        <w:fldChar w:fldCharType="end"/>
      </w:r>
    </w:p>
    <w:p w:rsidR="00EE4502" w:rsidRDefault="00FD45A3">
      <w:pPr>
        <w:widowControl/>
        <w:spacing w:line="360" w:lineRule="auto"/>
        <w:ind w:firstLineChars="200" w:firstLine="436"/>
        <w:jc w:val="left"/>
        <w:rPr>
          <w:spacing w:val="4"/>
          <w:kern w:val="24"/>
          <w:szCs w:val="16"/>
        </w:rPr>
      </w:pPr>
      <w:r>
        <w:rPr>
          <w:spacing w:val="4"/>
          <w:kern w:val="24"/>
          <w:szCs w:val="16"/>
        </w:rPr>
        <w:t>式中：</w:t>
      </w:r>
      <w:r>
        <w:rPr>
          <w:i/>
          <w:spacing w:val="4"/>
          <w:kern w:val="24"/>
          <w:szCs w:val="16"/>
        </w:rPr>
        <w:t>P</w:t>
      </w:r>
      <w:r>
        <w:rPr>
          <w:spacing w:val="4"/>
          <w:kern w:val="24"/>
          <w:szCs w:val="16"/>
          <w:vertAlign w:val="subscript"/>
        </w:rPr>
        <w:t>i</w:t>
      </w:r>
      <w:r>
        <w:rPr>
          <w:spacing w:val="4"/>
          <w:kern w:val="24"/>
          <w:szCs w:val="16"/>
        </w:rPr>
        <w:t>—</w:t>
      </w:r>
      <w:r>
        <w:rPr>
          <w:spacing w:val="4"/>
          <w:kern w:val="24"/>
          <w:szCs w:val="16"/>
        </w:rPr>
        <w:t>第</w:t>
      </w:r>
      <w:r>
        <w:rPr>
          <w:i/>
          <w:spacing w:val="4"/>
          <w:kern w:val="24"/>
          <w:szCs w:val="16"/>
        </w:rPr>
        <w:t>i</w:t>
      </w:r>
      <w:r>
        <w:rPr>
          <w:spacing w:val="4"/>
          <w:kern w:val="24"/>
          <w:szCs w:val="16"/>
        </w:rPr>
        <w:t>个污染物的最大地面空气质量浓度占标率，</w:t>
      </w:r>
      <w:r>
        <w:rPr>
          <w:spacing w:val="4"/>
          <w:kern w:val="24"/>
          <w:szCs w:val="16"/>
        </w:rPr>
        <w:t>%</w:t>
      </w:r>
      <w:r>
        <w:rPr>
          <w:spacing w:val="4"/>
          <w:kern w:val="24"/>
          <w:szCs w:val="16"/>
        </w:rPr>
        <w:t>；</w:t>
      </w:r>
    </w:p>
    <w:p w:rsidR="00EE4502" w:rsidRDefault="00FD45A3">
      <w:pPr>
        <w:widowControl/>
        <w:spacing w:line="360" w:lineRule="auto"/>
        <w:ind w:firstLineChars="486" w:firstLine="1059"/>
        <w:jc w:val="left"/>
        <w:rPr>
          <w:spacing w:val="4"/>
          <w:kern w:val="24"/>
          <w:szCs w:val="16"/>
        </w:rPr>
      </w:pPr>
      <w:r>
        <w:rPr>
          <w:i/>
          <w:iCs/>
          <w:spacing w:val="4"/>
          <w:kern w:val="24"/>
          <w:szCs w:val="16"/>
        </w:rPr>
        <w:t>ρ</w:t>
      </w:r>
      <w:r>
        <w:rPr>
          <w:i/>
          <w:iCs/>
          <w:spacing w:val="4"/>
          <w:kern w:val="24"/>
          <w:szCs w:val="16"/>
          <w:vertAlign w:val="subscript"/>
        </w:rPr>
        <w:t>i</w:t>
      </w:r>
      <w:r>
        <w:rPr>
          <w:spacing w:val="4"/>
          <w:kern w:val="24"/>
          <w:szCs w:val="16"/>
        </w:rPr>
        <w:t>—</w:t>
      </w:r>
      <w:r>
        <w:rPr>
          <w:spacing w:val="4"/>
          <w:kern w:val="24"/>
          <w:szCs w:val="16"/>
        </w:rPr>
        <w:t>采用估算模式计算出的第</w:t>
      </w:r>
      <w:r>
        <w:rPr>
          <w:i/>
          <w:iCs/>
          <w:spacing w:val="4"/>
          <w:kern w:val="24"/>
          <w:szCs w:val="16"/>
        </w:rPr>
        <w:t>i</w:t>
      </w:r>
      <w:r>
        <w:rPr>
          <w:spacing w:val="4"/>
          <w:kern w:val="24"/>
          <w:szCs w:val="16"/>
        </w:rPr>
        <w:t>个污染物的最大</w:t>
      </w:r>
      <w:r>
        <w:rPr>
          <w:spacing w:val="4"/>
          <w:kern w:val="24"/>
          <w:szCs w:val="16"/>
        </w:rPr>
        <w:t>1h</w:t>
      </w:r>
      <w:r>
        <w:rPr>
          <w:spacing w:val="4"/>
          <w:kern w:val="24"/>
          <w:szCs w:val="16"/>
        </w:rPr>
        <w:t>地面空气质量浓度，</w:t>
      </w:r>
      <w:r>
        <w:rPr>
          <w:spacing w:val="4"/>
          <w:kern w:val="24"/>
          <w:szCs w:val="16"/>
        </w:rPr>
        <w:t>µg/m</w:t>
      </w:r>
      <w:r>
        <w:rPr>
          <w:spacing w:val="4"/>
          <w:kern w:val="24"/>
          <w:szCs w:val="16"/>
          <w:vertAlign w:val="superscript"/>
        </w:rPr>
        <w:t>3</w:t>
      </w:r>
      <w:r>
        <w:rPr>
          <w:spacing w:val="4"/>
          <w:kern w:val="24"/>
          <w:szCs w:val="16"/>
        </w:rPr>
        <w:t>；</w:t>
      </w:r>
    </w:p>
    <w:p w:rsidR="00EE4502" w:rsidRDefault="00FD45A3">
      <w:pPr>
        <w:spacing w:line="360" w:lineRule="auto"/>
        <w:ind w:firstLineChars="486" w:firstLine="1059"/>
        <w:rPr>
          <w:sz w:val="24"/>
        </w:rPr>
      </w:pPr>
      <w:r>
        <w:rPr>
          <w:i/>
          <w:iCs/>
          <w:spacing w:val="4"/>
          <w:kern w:val="24"/>
          <w:szCs w:val="16"/>
        </w:rPr>
        <w:t>ρ</w:t>
      </w:r>
      <w:r>
        <w:rPr>
          <w:i/>
          <w:iCs/>
          <w:spacing w:val="4"/>
          <w:kern w:val="24"/>
          <w:szCs w:val="16"/>
          <w:vertAlign w:val="subscript"/>
        </w:rPr>
        <w:t>0i</w:t>
      </w:r>
      <w:r>
        <w:rPr>
          <w:spacing w:val="4"/>
          <w:kern w:val="24"/>
          <w:szCs w:val="16"/>
        </w:rPr>
        <w:t>——</w:t>
      </w:r>
      <w:r>
        <w:rPr>
          <w:spacing w:val="4"/>
          <w:kern w:val="24"/>
          <w:szCs w:val="16"/>
        </w:rPr>
        <w:t>第</w:t>
      </w:r>
      <w:r>
        <w:rPr>
          <w:i/>
          <w:iCs/>
          <w:spacing w:val="4"/>
          <w:kern w:val="24"/>
          <w:szCs w:val="16"/>
        </w:rPr>
        <w:t>i</w:t>
      </w:r>
      <w:r>
        <w:rPr>
          <w:spacing w:val="4"/>
          <w:kern w:val="24"/>
          <w:szCs w:val="16"/>
        </w:rPr>
        <w:t>个污染物的环境空气质量标准，</w:t>
      </w:r>
      <w:r>
        <w:rPr>
          <w:spacing w:val="4"/>
          <w:kern w:val="24"/>
          <w:szCs w:val="16"/>
        </w:rPr>
        <w:t>µg/m</w:t>
      </w:r>
      <w:r>
        <w:rPr>
          <w:spacing w:val="4"/>
          <w:kern w:val="24"/>
          <w:szCs w:val="16"/>
          <w:vertAlign w:val="superscript"/>
        </w:rPr>
        <w:t>3</w:t>
      </w:r>
      <w:r>
        <w:rPr>
          <w:spacing w:val="4"/>
          <w:kern w:val="24"/>
          <w:szCs w:val="16"/>
        </w:rPr>
        <w:t>。一般选用</w:t>
      </w:r>
      <w:r>
        <w:rPr>
          <w:spacing w:val="4"/>
          <w:kern w:val="24"/>
          <w:szCs w:val="16"/>
        </w:rPr>
        <w:t>GB3095</w:t>
      </w:r>
      <w:r>
        <w:rPr>
          <w:spacing w:val="4"/>
          <w:kern w:val="24"/>
          <w:szCs w:val="16"/>
        </w:rPr>
        <w:t>中</w:t>
      </w:r>
      <w:r>
        <w:rPr>
          <w:spacing w:val="4"/>
          <w:kern w:val="24"/>
          <w:szCs w:val="16"/>
        </w:rPr>
        <w:t>1h</w:t>
      </w:r>
      <w:r>
        <w:rPr>
          <w:spacing w:val="4"/>
          <w:kern w:val="24"/>
          <w:szCs w:val="16"/>
        </w:rPr>
        <w:t>平均质量浓度的二级浓度限值，如项目位于一类环境空气功能区，应选择相应的一级浓度限值；对该标准中未包含的污染物，使用</w:t>
      </w:r>
      <w:r>
        <w:rPr>
          <w:spacing w:val="4"/>
          <w:kern w:val="24"/>
          <w:szCs w:val="16"/>
        </w:rPr>
        <w:t>5.2</w:t>
      </w:r>
      <w:r>
        <w:rPr>
          <w:spacing w:val="4"/>
          <w:kern w:val="24"/>
          <w:szCs w:val="16"/>
        </w:rPr>
        <w:t>确定的各评价因子</w:t>
      </w:r>
      <w:r>
        <w:rPr>
          <w:spacing w:val="4"/>
          <w:kern w:val="24"/>
          <w:szCs w:val="16"/>
        </w:rPr>
        <w:t>1h</w:t>
      </w:r>
      <w:r>
        <w:rPr>
          <w:spacing w:val="4"/>
          <w:kern w:val="24"/>
          <w:szCs w:val="16"/>
        </w:rPr>
        <w:t>平均质量浓度限值。对仅有</w:t>
      </w:r>
      <w:r>
        <w:rPr>
          <w:spacing w:val="4"/>
          <w:kern w:val="24"/>
          <w:szCs w:val="16"/>
        </w:rPr>
        <w:t>8h</w:t>
      </w:r>
      <w:r>
        <w:rPr>
          <w:spacing w:val="4"/>
          <w:kern w:val="24"/>
          <w:szCs w:val="16"/>
        </w:rPr>
        <w:t>平均质量浓度限值、日平均质量浓度限值或年平均质量浓度限值的，可分别按</w:t>
      </w:r>
      <w:r>
        <w:rPr>
          <w:spacing w:val="4"/>
          <w:kern w:val="24"/>
          <w:szCs w:val="16"/>
        </w:rPr>
        <w:lastRenderedPageBreak/>
        <w:t>2</w:t>
      </w:r>
      <w:r>
        <w:rPr>
          <w:spacing w:val="4"/>
          <w:kern w:val="24"/>
          <w:szCs w:val="16"/>
        </w:rPr>
        <w:t>倍、</w:t>
      </w:r>
      <w:r>
        <w:rPr>
          <w:spacing w:val="4"/>
          <w:kern w:val="24"/>
          <w:szCs w:val="16"/>
        </w:rPr>
        <w:t>3</w:t>
      </w:r>
      <w:r>
        <w:rPr>
          <w:spacing w:val="4"/>
          <w:kern w:val="24"/>
          <w:szCs w:val="16"/>
        </w:rPr>
        <w:t>倍、</w:t>
      </w:r>
      <w:r>
        <w:rPr>
          <w:spacing w:val="4"/>
          <w:kern w:val="24"/>
          <w:szCs w:val="16"/>
        </w:rPr>
        <w:t>6</w:t>
      </w:r>
      <w:r>
        <w:rPr>
          <w:spacing w:val="4"/>
          <w:kern w:val="24"/>
          <w:szCs w:val="16"/>
        </w:rPr>
        <w:t>倍折算为</w:t>
      </w:r>
      <w:r>
        <w:rPr>
          <w:spacing w:val="4"/>
          <w:kern w:val="24"/>
          <w:szCs w:val="16"/>
        </w:rPr>
        <w:t>1h</w:t>
      </w:r>
      <w:r>
        <w:rPr>
          <w:spacing w:val="4"/>
          <w:kern w:val="24"/>
          <w:szCs w:val="16"/>
        </w:rPr>
        <w:t>平均质量浓度限值</w:t>
      </w:r>
      <w:r>
        <w:rPr>
          <w:sz w:val="24"/>
        </w:rPr>
        <w:t>。</w:t>
      </w:r>
    </w:p>
    <w:p w:rsidR="00EE4502" w:rsidRDefault="00FD45A3">
      <w:pPr>
        <w:spacing w:line="360" w:lineRule="auto"/>
        <w:ind w:firstLineChars="200" w:firstLine="480"/>
        <w:rPr>
          <w:sz w:val="24"/>
        </w:rPr>
      </w:pPr>
      <w:r>
        <w:rPr>
          <w:rFonts w:hint="eastAsia"/>
          <w:sz w:val="24"/>
        </w:rPr>
        <w:t>根据</w:t>
      </w:r>
      <w:r>
        <w:rPr>
          <w:kern w:val="0"/>
          <w:sz w:val="24"/>
        </w:rPr>
        <w:t>《环境影响评价技术导则</w:t>
      </w:r>
      <w:r>
        <w:rPr>
          <w:rFonts w:hint="eastAsia"/>
          <w:kern w:val="0"/>
          <w:sz w:val="24"/>
        </w:rPr>
        <w:t xml:space="preserve"> </w:t>
      </w:r>
      <w:r>
        <w:rPr>
          <w:kern w:val="0"/>
          <w:sz w:val="24"/>
        </w:rPr>
        <w:t>大气环境》（</w:t>
      </w:r>
      <w:r>
        <w:rPr>
          <w:kern w:val="0"/>
          <w:sz w:val="24"/>
        </w:rPr>
        <w:t>HJ2.2-2018</w:t>
      </w:r>
      <w:r>
        <w:rPr>
          <w:kern w:val="0"/>
          <w:sz w:val="24"/>
        </w:rPr>
        <w:t>）</w:t>
      </w:r>
      <w:r>
        <w:rPr>
          <w:sz w:val="24"/>
        </w:rPr>
        <w:t>中规定，见表</w:t>
      </w:r>
      <w:r>
        <w:rPr>
          <w:sz w:val="24"/>
        </w:rPr>
        <w:t>2-</w:t>
      </w:r>
      <w:r>
        <w:rPr>
          <w:rFonts w:hint="eastAsia"/>
          <w:sz w:val="24"/>
        </w:rPr>
        <w:t>5-7</w:t>
      </w:r>
      <w:r>
        <w:rPr>
          <w:sz w:val="24"/>
        </w:rPr>
        <w:t>。如污染物数</w:t>
      </w:r>
      <w:r>
        <w:rPr>
          <w:sz w:val="24"/>
        </w:rPr>
        <w:t>i</w:t>
      </w:r>
      <w:r>
        <w:rPr>
          <w:sz w:val="24"/>
        </w:rPr>
        <w:t>大于</w:t>
      </w:r>
      <w:r>
        <w:rPr>
          <w:sz w:val="24"/>
        </w:rPr>
        <w:t>1</w:t>
      </w:r>
      <w:r>
        <w:rPr>
          <w:sz w:val="24"/>
        </w:rPr>
        <w:t>，取</w:t>
      </w:r>
      <w:r>
        <w:rPr>
          <w:sz w:val="24"/>
        </w:rPr>
        <w:t>P</w:t>
      </w:r>
      <w:r>
        <w:rPr>
          <w:sz w:val="24"/>
        </w:rPr>
        <w:t>值中最大值（</w:t>
      </w:r>
      <w:r>
        <w:rPr>
          <w:sz w:val="24"/>
        </w:rPr>
        <w:t>Pmax</w:t>
      </w:r>
      <w:r>
        <w:rPr>
          <w:sz w:val="24"/>
        </w:rPr>
        <w:t>）</w:t>
      </w:r>
      <w:r>
        <w:rPr>
          <w:kern w:val="0"/>
          <w:szCs w:val="21"/>
        </w:rPr>
        <w:t>。</w:t>
      </w:r>
    </w:p>
    <w:p w:rsidR="00EE4502" w:rsidRDefault="00FD45A3">
      <w:pPr>
        <w:spacing w:line="360" w:lineRule="auto"/>
        <w:jc w:val="center"/>
        <w:rPr>
          <w:rFonts w:eastAsia="黑体"/>
          <w:bCs/>
          <w:lang w:val="zh-CN"/>
        </w:rPr>
      </w:pPr>
      <w:r>
        <w:rPr>
          <w:rFonts w:eastAsia="黑体"/>
          <w:bCs/>
          <w:lang w:val="zh-CN"/>
        </w:rPr>
        <w:t>表</w:t>
      </w:r>
      <w:r>
        <w:rPr>
          <w:rFonts w:eastAsia="黑体" w:hint="eastAsia"/>
          <w:bCs/>
        </w:rPr>
        <w:t>2</w:t>
      </w:r>
      <w:r>
        <w:rPr>
          <w:rFonts w:eastAsia="黑体"/>
          <w:bCs/>
        </w:rPr>
        <w:t>-</w:t>
      </w:r>
      <w:r>
        <w:rPr>
          <w:rFonts w:eastAsia="黑体" w:hint="eastAsia"/>
          <w:bCs/>
        </w:rPr>
        <w:t>5-7</w:t>
      </w:r>
      <w:r>
        <w:rPr>
          <w:rFonts w:eastAsia="黑体"/>
          <w:bCs/>
          <w:lang w:val="zh-CN"/>
        </w:rPr>
        <w:t xml:space="preserve">  </w:t>
      </w:r>
      <w:r>
        <w:rPr>
          <w:rFonts w:eastAsia="黑体"/>
          <w:bCs/>
          <w:lang w:val="zh-CN"/>
        </w:rPr>
        <w:t>评价工作等级</w:t>
      </w:r>
    </w:p>
    <w:tbl>
      <w:tblPr>
        <w:tblW w:w="4999" w:type="pct"/>
        <w:jc w:val="center"/>
        <w:tblBorders>
          <w:top w:val="single" w:sz="8" w:space="0" w:color="auto"/>
          <w:bottom w:val="single" w:sz="8" w:space="0" w:color="auto"/>
          <w:insideH w:val="single" w:sz="8" w:space="0" w:color="auto"/>
          <w:insideV w:val="single" w:sz="8" w:space="0" w:color="auto"/>
        </w:tblBorders>
        <w:tblLook w:val="04A0" w:firstRow="1" w:lastRow="0" w:firstColumn="1" w:lastColumn="0" w:noHBand="0" w:noVBand="1"/>
      </w:tblPr>
      <w:tblGrid>
        <w:gridCol w:w="3730"/>
        <w:gridCol w:w="4790"/>
      </w:tblGrid>
      <w:tr w:rsidR="00EE4502">
        <w:trPr>
          <w:trHeight w:val="340"/>
          <w:jc w:val="center"/>
        </w:trPr>
        <w:tc>
          <w:tcPr>
            <w:tcW w:w="2189" w:type="pct"/>
            <w:vAlign w:val="center"/>
          </w:tcPr>
          <w:p w:rsidR="00EE4502" w:rsidRDefault="00FD45A3">
            <w:pPr>
              <w:jc w:val="center"/>
              <w:rPr>
                <w:szCs w:val="21"/>
              </w:rPr>
            </w:pPr>
            <w:r>
              <w:rPr>
                <w:rFonts w:hAnsi="宋体"/>
                <w:szCs w:val="21"/>
              </w:rPr>
              <w:t>评价工作等级</w:t>
            </w:r>
          </w:p>
        </w:tc>
        <w:tc>
          <w:tcPr>
            <w:tcW w:w="2810" w:type="pct"/>
            <w:vAlign w:val="center"/>
          </w:tcPr>
          <w:p w:rsidR="00EE4502" w:rsidRDefault="00FD45A3">
            <w:pPr>
              <w:jc w:val="center"/>
              <w:rPr>
                <w:szCs w:val="21"/>
              </w:rPr>
            </w:pPr>
            <w:r>
              <w:rPr>
                <w:rFonts w:hAnsi="宋体"/>
                <w:szCs w:val="21"/>
              </w:rPr>
              <w:t>评价工作分级判据</w:t>
            </w:r>
          </w:p>
        </w:tc>
      </w:tr>
      <w:tr w:rsidR="00EE4502">
        <w:trPr>
          <w:trHeight w:val="340"/>
          <w:jc w:val="center"/>
        </w:trPr>
        <w:tc>
          <w:tcPr>
            <w:tcW w:w="2189" w:type="pct"/>
            <w:vAlign w:val="center"/>
          </w:tcPr>
          <w:p w:rsidR="00EE4502" w:rsidRDefault="00FD45A3">
            <w:pPr>
              <w:jc w:val="center"/>
              <w:rPr>
                <w:szCs w:val="21"/>
              </w:rPr>
            </w:pPr>
            <w:r>
              <w:rPr>
                <w:rFonts w:hAnsi="宋体"/>
                <w:szCs w:val="21"/>
              </w:rPr>
              <w:t>一级</w:t>
            </w:r>
          </w:p>
        </w:tc>
        <w:tc>
          <w:tcPr>
            <w:tcW w:w="2810" w:type="pct"/>
            <w:vAlign w:val="center"/>
          </w:tcPr>
          <w:p w:rsidR="00EE4502" w:rsidRDefault="00FD45A3">
            <w:pPr>
              <w:jc w:val="center"/>
              <w:rPr>
                <w:szCs w:val="21"/>
              </w:rPr>
            </w:pPr>
            <w:r>
              <w:rPr>
                <w:szCs w:val="21"/>
              </w:rPr>
              <w:t>Pmax≥10%</w:t>
            </w:r>
          </w:p>
        </w:tc>
      </w:tr>
      <w:tr w:rsidR="00EE4502">
        <w:trPr>
          <w:trHeight w:val="340"/>
          <w:jc w:val="center"/>
        </w:trPr>
        <w:tc>
          <w:tcPr>
            <w:tcW w:w="2189" w:type="pct"/>
            <w:vAlign w:val="center"/>
          </w:tcPr>
          <w:p w:rsidR="00EE4502" w:rsidRDefault="00FD45A3">
            <w:pPr>
              <w:jc w:val="center"/>
              <w:rPr>
                <w:szCs w:val="21"/>
              </w:rPr>
            </w:pPr>
            <w:r>
              <w:rPr>
                <w:rFonts w:hAnsi="宋体"/>
                <w:szCs w:val="21"/>
              </w:rPr>
              <w:t>二级</w:t>
            </w:r>
          </w:p>
        </w:tc>
        <w:tc>
          <w:tcPr>
            <w:tcW w:w="2810" w:type="pct"/>
            <w:vAlign w:val="center"/>
          </w:tcPr>
          <w:p w:rsidR="00EE4502" w:rsidRDefault="00FD45A3">
            <w:pPr>
              <w:jc w:val="center"/>
              <w:rPr>
                <w:szCs w:val="21"/>
              </w:rPr>
            </w:pPr>
            <w:r>
              <w:rPr>
                <w:szCs w:val="21"/>
              </w:rPr>
              <w:t>1%</w:t>
            </w:r>
            <w:r>
              <w:rPr>
                <w:rFonts w:hint="eastAsia"/>
                <w:szCs w:val="21"/>
              </w:rPr>
              <w:t>&lt;</w:t>
            </w:r>
            <w:r>
              <w:rPr>
                <w:szCs w:val="21"/>
              </w:rPr>
              <w:t>Pmax</w:t>
            </w:r>
            <w:r>
              <w:rPr>
                <w:rFonts w:hint="eastAsia"/>
                <w:szCs w:val="21"/>
              </w:rPr>
              <w:t>&lt;</w:t>
            </w:r>
            <w:r>
              <w:rPr>
                <w:szCs w:val="21"/>
              </w:rPr>
              <w:t>10%</w:t>
            </w:r>
          </w:p>
        </w:tc>
      </w:tr>
      <w:tr w:rsidR="00EE4502">
        <w:trPr>
          <w:trHeight w:val="340"/>
          <w:jc w:val="center"/>
        </w:trPr>
        <w:tc>
          <w:tcPr>
            <w:tcW w:w="2189" w:type="pct"/>
            <w:vAlign w:val="center"/>
          </w:tcPr>
          <w:p w:rsidR="00EE4502" w:rsidRDefault="00FD45A3">
            <w:pPr>
              <w:jc w:val="center"/>
              <w:rPr>
                <w:szCs w:val="21"/>
              </w:rPr>
            </w:pPr>
            <w:r>
              <w:rPr>
                <w:rFonts w:hAnsi="宋体"/>
                <w:szCs w:val="21"/>
              </w:rPr>
              <w:t>三级</w:t>
            </w:r>
          </w:p>
        </w:tc>
        <w:tc>
          <w:tcPr>
            <w:tcW w:w="2810" w:type="pct"/>
            <w:vAlign w:val="center"/>
          </w:tcPr>
          <w:p w:rsidR="00EE4502" w:rsidRDefault="00FD45A3">
            <w:pPr>
              <w:jc w:val="center"/>
              <w:rPr>
                <w:szCs w:val="21"/>
              </w:rPr>
            </w:pPr>
            <w:r>
              <w:rPr>
                <w:szCs w:val="21"/>
              </w:rPr>
              <w:t>Pmax</w:t>
            </w:r>
            <w:r>
              <w:rPr>
                <w:rFonts w:hint="eastAsia"/>
                <w:szCs w:val="21"/>
              </w:rPr>
              <w:t>&lt;</w:t>
            </w:r>
            <w:r>
              <w:rPr>
                <w:szCs w:val="21"/>
              </w:rPr>
              <w:t>1%</w:t>
            </w:r>
          </w:p>
        </w:tc>
      </w:tr>
    </w:tbl>
    <w:p w:rsidR="00EE4502" w:rsidRDefault="00FD45A3">
      <w:pPr>
        <w:spacing w:line="360" w:lineRule="auto"/>
        <w:ind w:firstLineChars="200" w:firstLine="480"/>
        <w:rPr>
          <w:rFonts w:eastAsia="黑体"/>
          <w:szCs w:val="21"/>
        </w:rPr>
      </w:pPr>
      <w:r>
        <w:rPr>
          <w:sz w:val="24"/>
        </w:rPr>
        <w:t>本次大气预测计算参数见表</w:t>
      </w:r>
      <w:r>
        <w:rPr>
          <w:rFonts w:hint="eastAsia"/>
          <w:sz w:val="24"/>
        </w:rPr>
        <w:t>2-5-</w:t>
      </w:r>
      <w:r>
        <w:rPr>
          <w:rFonts w:hint="eastAsia"/>
          <w:sz w:val="24"/>
        </w:rPr>
        <w:t>8</w:t>
      </w:r>
      <w:r>
        <w:rPr>
          <w:sz w:val="24"/>
        </w:rPr>
        <w:t>。</w:t>
      </w:r>
    </w:p>
    <w:p w:rsidR="00EE4502" w:rsidRDefault="00FD45A3">
      <w:pPr>
        <w:spacing w:line="360" w:lineRule="auto"/>
        <w:jc w:val="center"/>
        <w:rPr>
          <w:rFonts w:eastAsia="黑体"/>
          <w:szCs w:val="21"/>
        </w:rPr>
      </w:pPr>
      <w:r>
        <w:rPr>
          <w:rFonts w:eastAsia="黑体" w:hint="eastAsia"/>
          <w:szCs w:val="21"/>
        </w:rPr>
        <w:t>表</w:t>
      </w:r>
      <w:r>
        <w:rPr>
          <w:rFonts w:eastAsia="黑体" w:hint="eastAsia"/>
          <w:szCs w:val="21"/>
        </w:rPr>
        <w:t>2-5-8</w:t>
      </w:r>
      <w:r>
        <w:rPr>
          <w:rFonts w:eastAsia="黑体"/>
          <w:szCs w:val="21"/>
        </w:rPr>
        <w:t xml:space="preserve">  </w:t>
      </w:r>
      <w:r>
        <w:rPr>
          <w:rFonts w:eastAsia="黑体"/>
          <w:szCs w:val="21"/>
        </w:rPr>
        <w:t>估算模型参数一览表</w:t>
      </w:r>
    </w:p>
    <w:tbl>
      <w:tblPr>
        <w:tblW w:w="4999" w:type="pct"/>
        <w:tblInd w:w="-108" w:type="dxa"/>
        <w:tblBorders>
          <w:top w:val="single" w:sz="8" w:space="0" w:color="auto"/>
          <w:bottom w:val="single" w:sz="8" w:space="0" w:color="auto"/>
          <w:insideH w:val="single" w:sz="8" w:space="0" w:color="auto"/>
          <w:insideV w:val="single" w:sz="8" w:space="0" w:color="auto"/>
        </w:tblBorders>
        <w:tblLook w:val="04A0" w:firstRow="1" w:lastRow="0" w:firstColumn="1" w:lastColumn="0" w:noHBand="0" w:noVBand="1"/>
      </w:tblPr>
      <w:tblGrid>
        <w:gridCol w:w="2840"/>
        <w:gridCol w:w="3460"/>
        <w:gridCol w:w="2220"/>
      </w:tblGrid>
      <w:tr w:rsidR="00EE4502">
        <w:trPr>
          <w:trHeight w:val="340"/>
          <w:tblHeader/>
        </w:trPr>
        <w:tc>
          <w:tcPr>
            <w:tcW w:w="3696" w:type="pct"/>
            <w:gridSpan w:val="2"/>
            <w:noWrap/>
            <w:vAlign w:val="center"/>
          </w:tcPr>
          <w:p w:rsidR="00EE4502" w:rsidRDefault="00FD45A3">
            <w:pPr>
              <w:widowControl/>
              <w:jc w:val="center"/>
              <w:rPr>
                <w:kern w:val="0"/>
                <w:szCs w:val="21"/>
              </w:rPr>
            </w:pPr>
            <w:r>
              <w:rPr>
                <w:rFonts w:hAnsi="宋体"/>
                <w:kern w:val="0"/>
                <w:szCs w:val="21"/>
              </w:rPr>
              <w:t>参数</w:t>
            </w:r>
          </w:p>
        </w:tc>
        <w:tc>
          <w:tcPr>
            <w:tcW w:w="1303" w:type="pct"/>
            <w:vAlign w:val="center"/>
          </w:tcPr>
          <w:p w:rsidR="00EE4502" w:rsidRDefault="00FD45A3">
            <w:pPr>
              <w:widowControl/>
              <w:jc w:val="center"/>
              <w:rPr>
                <w:kern w:val="0"/>
                <w:szCs w:val="21"/>
              </w:rPr>
            </w:pPr>
            <w:r>
              <w:rPr>
                <w:rFonts w:hAnsi="宋体"/>
                <w:kern w:val="0"/>
                <w:szCs w:val="21"/>
              </w:rPr>
              <w:t>取值</w:t>
            </w:r>
          </w:p>
        </w:tc>
      </w:tr>
      <w:tr w:rsidR="00EE4502">
        <w:trPr>
          <w:trHeight w:val="340"/>
          <w:tblHeader/>
        </w:trPr>
        <w:tc>
          <w:tcPr>
            <w:tcW w:w="1666" w:type="pct"/>
            <w:vMerge w:val="restart"/>
            <w:noWrap/>
            <w:vAlign w:val="center"/>
          </w:tcPr>
          <w:p w:rsidR="00EE4502" w:rsidRDefault="00FD45A3">
            <w:pPr>
              <w:widowControl/>
              <w:jc w:val="center"/>
              <w:rPr>
                <w:kern w:val="0"/>
                <w:szCs w:val="21"/>
              </w:rPr>
            </w:pPr>
            <w:r>
              <w:rPr>
                <w:rFonts w:hAnsi="宋体"/>
                <w:kern w:val="0"/>
                <w:szCs w:val="21"/>
              </w:rPr>
              <w:t>城市</w:t>
            </w:r>
            <w:r>
              <w:rPr>
                <w:kern w:val="0"/>
                <w:szCs w:val="21"/>
              </w:rPr>
              <w:t>/</w:t>
            </w:r>
            <w:r>
              <w:rPr>
                <w:rFonts w:hAnsi="宋体"/>
                <w:kern w:val="0"/>
                <w:szCs w:val="21"/>
              </w:rPr>
              <w:t>农村选项</w:t>
            </w:r>
          </w:p>
        </w:tc>
        <w:tc>
          <w:tcPr>
            <w:tcW w:w="2029" w:type="pct"/>
            <w:noWrap/>
            <w:vAlign w:val="center"/>
          </w:tcPr>
          <w:p w:rsidR="00EE4502" w:rsidRDefault="00FD45A3">
            <w:pPr>
              <w:widowControl/>
              <w:jc w:val="center"/>
              <w:rPr>
                <w:kern w:val="0"/>
                <w:szCs w:val="21"/>
              </w:rPr>
            </w:pPr>
            <w:r>
              <w:rPr>
                <w:rFonts w:hAnsi="宋体"/>
                <w:kern w:val="0"/>
                <w:szCs w:val="21"/>
              </w:rPr>
              <w:t>城市</w:t>
            </w:r>
            <w:r>
              <w:rPr>
                <w:kern w:val="0"/>
                <w:szCs w:val="21"/>
              </w:rPr>
              <w:t>/</w:t>
            </w:r>
            <w:r>
              <w:rPr>
                <w:rFonts w:hAnsi="宋体"/>
                <w:kern w:val="0"/>
                <w:szCs w:val="21"/>
              </w:rPr>
              <w:t>农村</w:t>
            </w:r>
          </w:p>
        </w:tc>
        <w:tc>
          <w:tcPr>
            <w:tcW w:w="1303" w:type="pct"/>
            <w:vAlign w:val="center"/>
          </w:tcPr>
          <w:p w:rsidR="00EE4502" w:rsidRDefault="00FD45A3">
            <w:pPr>
              <w:widowControl/>
              <w:jc w:val="center"/>
              <w:rPr>
                <w:kern w:val="0"/>
                <w:szCs w:val="21"/>
              </w:rPr>
            </w:pPr>
            <w:r>
              <w:rPr>
                <w:rFonts w:hAnsi="宋体"/>
                <w:kern w:val="0"/>
                <w:szCs w:val="21"/>
              </w:rPr>
              <w:t>农村</w:t>
            </w:r>
          </w:p>
        </w:tc>
      </w:tr>
      <w:tr w:rsidR="00EE4502">
        <w:trPr>
          <w:trHeight w:val="340"/>
          <w:tblHeader/>
        </w:trPr>
        <w:tc>
          <w:tcPr>
            <w:tcW w:w="1666" w:type="pct"/>
            <w:vMerge/>
            <w:noWrap/>
            <w:vAlign w:val="center"/>
          </w:tcPr>
          <w:p w:rsidR="00EE4502" w:rsidRDefault="00EE4502">
            <w:pPr>
              <w:widowControl/>
              <w:jc w:val="center"/>
              <w:rPr>
                <w:kern w:val="0"/>
                <w:szCs w:val="21"/>
              </w:rPr>
            </w:pPr>
          </w:p>
        </w:tc>
        <w:tc>
          <w:tcPr>
            <w:tcW w:w="2029" w:type="pct"/>
            <w:noWrap/>
            <w:vAlign w:val="center"/>
          </w:tcPr>
          <w:p w:rsidR="00EE4502" w:rsidRDefault="00FD45A3">
            <w:pPr>
              <w:widowControl/>
              <w:jc w:val="center"/>
              <w:rPr>
                <w:kern w:val="0"/>
                <w:szCs w:val="21"/>
              </w:rPr>
            </w:pPr>
            <w:r>
              <w:rPr>
                <w:rFonts w:hAnsi="宋体"/>
                <w:kern w:val="0"/>
                <w:szCs w:val="21"/>
              </w:rPr>
              <w:t>人口数（城市选项时）</w:t>
            </w:r>
          </w:p>
        </w:tc>
        <w:tc>
          <w:tcPr>
            <w:tcW w:w="1303" w:type="pct"/>
            <w:vAlign w:val="center"/>
          </w:tcPr>
          <w:p w:rsidR="00EE4502" w:rsidRDefault="00FD45A3">
            <w:pPr>
              <w:widowControl/>
              <w:jc w:val="center"/>
              <w:rPr>
                <w:kern w:val="0"/>
                <w:szCs w:val="21"/>
              </w:rPr>
            </w:pPr>
            <w:r>
              <w:rPr>
                <w:kern w:val="0"/>
                <w:szCs w:val="21"/>
              </w:rPr>
              <w:t>/</w:t>
            </w:r>
          </w:p>
        </w:tc>
      </w:tr>
      <w:tr w:rsidR="00EE4502">
        <w:trPr>
          <w:trHeight w:val="340"/>
          <w:tblHeader/>
        </w:trPr>
        <w:tc>
          <w:tcPr>
            <w:tcW w:w="3696" w:type="pct"/>
            <w:gridSpan w:val="2"/>
            <w:noWrap/>
            <w:vAlign w:val="center"/>
          </w:tcPr>
          <w:p w:rsidR="00EE4502" w:rsidRDefault="00FD45A3">
            <w:pPr>
              <w:widowControl/>
              <w:jc w:val="center"/>
              <w:rPr>
                <w:kern w:val="0"/>
                <w:szCs w:val="21"/>
              </w:rPr>
            </w:pPr>
            <w:r>
              <w:rPr>
                <w:rFonts w:hAnsi="宋体"/>
                <w:kern w:val="0"/>
                <w:szCs w:val="21"/>
              </w:rPr>
              <w:t>最高环境温度</w:t>
            </w:r>
            <w:r>
              <w:rPr>
                <w:kern w:val="0"/>
                <w:szCs w:val="21"/>
              </w:rPr>
              <w:t xml:space="preserve">/ </w:t>
            </w:r>
            <w:r>
              <w:rPr>
                <w:rFonts w:ascii="宋体" w:hAnsi="宋体"/>
                <w:kern w:val="0"/>
                <w:szCs w:val="21"/>
              </w:rPr>
              <w:t>℃</w:t>
            </w:r>
          </w:p>
        </w:tc>
        <w:tc>
          <w:tcPr>
            <w:tcW w:w="1303" w:type="pct"/>
            <w:vAlign w:val="center"/>
          </w:tcPr>
          <w:p w:rsidR="00EE4502" w:rsidRDefault="00FD45A3">
            <w:pPr>
              <w:widowControl/>
              <w:jc w:val="center"/>
              <w:rPr>
                <w:szCs w:val="21"/>
              </w:rPr>
            </w:pPr>
            <w:r>
              <w:rPr>
                <w:szCs w:val="21"/>
              </w:rPr>
              <w:t>43.8</w:t>
            </w:r>
          </w:p>
        </w:tc>
      </w:tr>
      <w:tr w:rsidR="00EE4502">
        <w:trPr>
          <w:trHeight w:val="340"/>
          <w:tblHeader/>
        </w:trPr>
        <w:tc>
          <w:tcPr>
            <w:tcW w:w="3696" w:type="pct"/>
            <w:gridSpan w:val="2"/>
            <w:noWrap/>
            <w:vAlign w:val="center"/>
          </w:tcPr>
          <w:p w:rsidR="00EE4502" w:rsidRDefault="00FD45A3">
            <w:pPr>
              <w:widowControl/>
              <w:jc w:val="center"/>
              <w:rPr>
                <w:kern w:val="0"/>
                <w:szCs w:val="21"/>
              </w:rPr>
            </w:pPr>
            <w:r>
              <w:rPr>
                <w:rFonts w:hAnsi="宋体"/>
                <w:kern w:val="0"/>
                <w:szCs w:val="21"/>
              </w:rPr>
              <w:t>最低环境温度</w:t>
            </w:r>
            <w:r>
              <w:rPr>
                <w:kern w:val="0"/>
                <w:szCs w:val="21"/>
              </w:rPr>
              <w:t xml:space="preserve">/ </w:t>
            </w:r>
            <w:r>
              <w:rPr>
                <w:rFonts w:ascii="宋体" w:hAnsi="宋体"/>
                <w:kern w:val="0"/>
                <w:szCs w:val="21"/>
              </w:rPr>
              <w:t>℃</w:t>
            </w:r>
          </w:p>
        </w:tc>
        <w:tc>
          <w:tcPr>
            <w:tcW w:w="1303" w:type="pct"/>
            <w:vAlign w:val="center"/>
          </w:tcPr>
          <w:p w:rsidR="00EE4502" w:rsidRDefault="00FD45A3">
            <w:pPr>
              <w:widowControl/>
              <w:jc w:val="center"/>
              <w:rPr>
                <w:szCs w:val="21"/>
              </w:rPr>
            </w:pPr>
            <w:r>
              <w:rPr>
                <w:szCs w:val="21"/>
              </w:rPr>
              <w:t>-40.2</w:t>
            </w:r>
          </w:p>
        </w:tc>
      </w:tr>
      <w:tr w:rsidR="00EE4502">
        <w:trPr>
          <w:trHeight w:val="340"/>
          <w:tblHeader/>
        </w:trPr>
        <w:tc>
          <w:tcPr>
            <w:tcW w:w="3696" w:type="pct"/>
            <w:gridSpan w:val="2"/>
            <w:noWrap/>
            <w:vAlign w:val="center"/>
          </w:tcPr>
          <w:p w:rsidR="00EE4502" w:rsidRDefault="00FD45A3">
            <w:pPr>
              <w:widowControl/>
              <w:jc w:val="center"/>
              <w:rPr>
                <w:kern w:val="0"/>
                <w:szCs w:val="21"/>
              </w:rPr>
            </w:pPr>
            <w:r>
              <w:rPr>
                <w:rFonts w:hAnsi="宋体"/>
                <w:kern w:val="0"/>
                <w:szCs w:val="21"/>
              </w:rPr>
              <w:t>土地利用类型</w:t>
            </w:r>
          </w:p>
        </w:tc>
        <w:tc>
          <w:tcPr>
            <w:tcW w:w="1303" w:type="pct"/>
            <w:vAlign w:val="center"/>
          </w:tcPr>
          <w:p w:rsidR="00EE4502" w:rsidRDefault="00FD45A3">
            <w:pPr>
              <w:widowControl/>
              <w:jc w:val="center"/>
              <w:rPr>
                <w:kern w:val="0"/>
                <w:szCs w:val="21"/>
              </w:rPr>
            </w:pPr>
            <w:r>
              <w:rPr>
                <w:rFonts w:hint="eastAsia"/>
                <w:kern w:val="0"/>
                <w:szCs w:val="21"/>
              </w:rPr>
              <w:t>草地</w:t>
            </w:r>
            <w:r>
              <w:rPr>
                <w:rFonts w:hint="eastAsia"/>
                <w:kern w:val="0"/>
                <w:szCs w:val="21"/>
              </w:rPr>
              <w:t>/</w:t>
            </w:r>
            <w:r>
              <w:rPr>
                <w:rFonts w:hint="eastAsia"/>
                <w:kern w:val="0"/>
                <w:szCs w:val="21"/>
              </w:rPr>
              <w:t>林地</w:t>
            </w:r>
          </w:p>
        </w:tc>
      </w:tr>
      <w:tr w:rsidR="00EE4502">
        <w:trPr>
          <w:trHeight w:val="340"/>
          <w:tblHeader/>
        </w:trPr>
        <w:tc>
          <w:tcPr>
            <w:tcW w:w="3696" w:type="pct"/>
            <w:gridSpan w:val="2"/>
            <w:noWrap/>
            <w:vAlign w:val="center"/>
          </w:tcPr>
          <w:p w:rsidR="00EE4502" w:rsidRDefault="00FD45A3">
            <w:pPr>
              <w:widowControl/>
              <w:jc w:val="center"/>
              <w:rPr>
                <w:kern w:val="0"/>
                <w:szCs w:val="21"/>
              </w:rPr>
            </w:pPr>
            <w:r>
              <w:rPr>
                <w:rFonts w:hAnsi="宋体"/>
                <w:kern w:val="0"/>
                <w:szCs w:val="21"/>
              </w:rPr>
              <w:t>区域湿度条件</w:t>
            </w:r>
          </w:p>
        </w:tc>
        <w:tc>
          <w:tcPr>
            <w:tcW w:w="1303" w:type="pct"/>
            <w:vAlign w:val="center"/>
          </w:tcPr>
          <w:p w:rsidR="00EE4502" w:rsidRDefault="00FD45A3">
            <w:pPr>
              <w:widowControl/>
              <w:jc w:val="center"/>
              <w:rPr>
                <w:kern w:val="0"/>
                <w:szCs w:val="21"/>
              </w:rPr>
            </w:pPr>
            <w:r>
              <w:rPr>
                <w:rFonts w:hAnsi="宋体"/>
                <w:kern w:val="0"/>
                <w:szCs w:val="21"/>
              </w:rPr>
              <w:t>干燥气候</w:t>
            </w:r>
          </w:p>
        </w:tc>
      </w:tr>
      <w:tr w:rsidR="00EE4502">
        <w:trPr>
          <w:trHeight w:val="340"/>
          <w:tblHeader/>
        </w:trPr>
        <w:tc>
          <w:tcPr>
            <w:tcW w:w="1666" w:type="pct"/>
            <w:vMerge w:val="restart"/>
            <w:noWrap/>
            <w:vAlign w:val="center"/>
          </w:tcPr>
          <w:p w:rsidR="00EE4502" w:rsidRDefault="00FD45A3">
            <w:pPr>
              <w:widowControl/>
              <w:jc w:val="center"/>
              <w:rPr>
                <w:kern w:val="0"/>
                <w:szCs w:val="21"/>
              </w:rPr>
            </w:pPr>
            <w:r>
              <w:rPr>
                <w:rFonts w:hAnsi="宋体"/>
                <w:kern w:val="0"/>
                <w:szCs w:val="21"/>
              </w:rPr>
              <w:t>是否考虑地形</w:t>
            </w:r>
          </w:p>
        </w:tc>
        <w:tc>
          <w:tcPr>
            <w:tcW w:w="2029" w:type="pct"/>
            <w:noWrap/>
            <w:vAlign w:val="center"/>
          </w:tcPr>
          <w:p w:rsidR="00EE4502" w:rsidRDefault="00FD45A3">
            <w:pPr>
              <w:widowControl/>
              <w:jc w:val="center"/>
              <w:rPr>
                <w:kern w:val="0"/>
                <w:szCs w:val="21"/>
              </w:rPr>
            </w:pPr>
            <w:r>
              <w:rPr>
                <w:rFonts w:hAnsi="宋体"/>
                <w:kern w:val="0"/>
                <w:szCs w:val="21"/>
              </w:rPr>
              <w:t>考虑地形</w:t>
            </w:r>
          </w:p>
        </w:tc>
        <w:tc>
          <w:tcPr>
            <w:tcW w:w="1303" w:type="pct"/>
            <w:vAlign w:val="center"/>
          </w:tcPr>
          <w:p w:rsidR="00EE4502" w:rsidRDefault="00FD45A3">
            <w:pPr>
              <w:widowControl/>
              <w:jc w:val="center"/>
              <w:rPr>
                <w:kern w:val="0"/>
                <w:szCs w:val="21"/>
              </w:rPr>
            </w:pPr>
            <w:r>
              <w:rPr>
                <w:szCs w:val="21"/>
              </w:rPr>
              <w:sym w:font="Wingdings 2" w:char="F052"/>
            </w:r>
            <w:r>
              <w:rPr>
                <w:rFonts w:hAnsi="宋体"/>
                <w:kern w:val="0"/>
                <w:szCs w:val="21"/>
              </w:rPr>
              <w:t>是</w:t>
            </w:r>
            <w:r>
              <w:rPr>
                <w:kern w:val="0"/>
                <w:szCs w:val="21"/>
              </w:rPr>
              <w:t xml:space="preserve">     □</w:t>
            </w:r>
            <w:r>
              <w:rPr>
                <w:rFonts w:hAnsi="宋体"/>
                <w:kern w:val="0"/>
                <w:szCs w:val="21"/>
              </w:rPr>
              <w:t>否</w:t>
            </w:r>
          </w:p>
        </w:tc>
      </w:tr>
      <w:tr w:rsidR="00EE4502">
        <w:trPr>
          <w:trHeight w:val="340"/>
          <w:tblHeader/>
        </w:trPr>
        <w:tc>
          <w:tcPr>
            <w:tcW w:w="1666" w:type="pct"/>
            <w:vMerge/>
            <w:noWrap/>
            <w:vAlign w:val="center"/>
          </w:tcPr>
          <w:p w:rsidR="00EE4502" w:rsidRDefault="00EE4502">
            <w:pPr>
              <w:widowControl/>
              <w:jc w:val="center"/>
              <w:rPr>
                <w:kern w:val="0"/>
                <w:szCs w:val="21"/>
              </w:rPr>
            </w:pPr>
          </w:p>
        </w:tc>
        <w:tc>
          <w:tcPr>
            <w:tcW w:w="2029" w:type="pct"/>
            <w:noWrap/>
            <w:vAlign w:val="center"/>
          </w:tcPr>
          <w:p w:rsidR="00EE4502" w:rsidRDefault="00FD45A3">
            <w:pPr>
              <w:widowControl/>
              <w:jc w:val="center"/>
              <w:rPr>
                <w:kern w:val="0"/>
                <w:szCs w:val="21"/>
              </w:rPr>
            </w:pPr>
            <w:r>
              <w:rPr>
                <w:rFonts w:hAnsi="宋体"/>
                <w:kern w:val="0"/>
                <w:szCs w:val="21"/>
              </w:rPr>
              <w:t>地形数据分辨率</w:t>
            </w:r>
            <w:r>
              <w:rPr>
                <w:kern w:val="0"/>
                <w:szCs w:val="21"/>
              </w:rPr>
              <w:t>/ m</w:t>
            </w:r>
          </w:p>
        </w:tc>
        <w:tc>
          <w:tcPr>
            <w:tcW w:w="1303" w:type="pct"/>
            <w:vAlign w:val="center"/>
          </w:tcPr>
          <w:p w:rsidR="00EE4502" w:rsidRDefault="00FD45A3">
            <w:pPr>
              <w:widowControl/>
              <w:jc w:val="center"/>
              <w:rPr>
                <w:kern w:val="0"/>
                <w:szCs w:val="21"/>
              </w:rPr>
            </w:pPr>
            <w:r>
              <w:rPr>
                <w:kern w:val="0"/>
                <w:szCs w:val="21"/>
              </w:rPr>
              <w:t>90</w:t>
            </w:r>
          </w:p>
        </w:tc>
      </w:tr>
      <w:tr w:rsidR="00EE4502">
        <w:trPr>
          <w:trHeight w:val="340"/>
          <w:tblHeader/>
        </w:trPr>
        <w:tc>
          <w:tcPr>
            <w:tcW w:w="1666" w:type="pct"/>
            <w:vMerge w:val="restart"/>
            <w:noWrap/>
            <w:vAlign w:val="center"/>
          </w:tcPr>
          <w:p w:rsidR="00EE4502" w:rsidRDefault="00FD45A3">
            <w:pPr>
              <w:widowControl/>
              <w:jc w:val="center"/>
              <w:rPr>
                <w:kern w:val="0"/>
                <w:szCs w:val="21"/>
              </w:rPr>
            </w:pPr>
            <w:r>
              <w:rPr>
                <w:rFonts w:hAnsi="宋体"/>
                <w:kern w:val="0"/>
                <w:szCs w:val="21"/>
              </w:rPr>
              <w:t>是否考虑岸线熏烟</w:t>
            </w:r>
          </w:p>
        </w:tc>
        <w:tc>
          <w:tcPr>
            <w:tcW w:w="2029" w:type="pct"/>
            <w:noWrap/>
            <w:vAlign w:val="center"/>
          </w:tcPr>
          <w:p w:rsidR="00EE4502" w:rsidRDefault="00FD45A3">
            <w:pPr>
              <w:widowControl/>
              <w:jc w:val="center"/>
              <w:rPr>
                <w:kern w:val="0"/>
                <w:szCs w:val="21"/>
              </w:rPr>
            </w:pPr>
            <w:r>
              <w:rPr>
                <w:rFonts w:hAnsi="宋体"/>
                <w:kern w:val="0"/>
                <w:szCs w:val="21"/>
              </w:rPr>
              <w:t>考虑岸线熏烟</w:t>
            </w:r>
          </w:p>
        </w:tc>
        <w:tc>
          <w:tcPr>
            <w:tcW w:w="1303" w:type="pct"/>
            <w:vAlign w:val="center"/>
          </w:tcPr>
          <w:p w:rsidR="00EE4502" w:rsidRDefault="00FD45A3">
            <w:pPr>
              <w:widowControl/>
              <w:jc w:val="center"/>
              <w:rPr>
                <w:kern w:val="0"/>
                <w:szCs w:val="21"/>
              </w:rPr>
            </w:pPr>
            <w:r>
              <w:rPr>
                <w:kern w:val="0"/>
                <w:szCs w:val="21"/>
              </w:rPr>
              <w:t>□</w:t>
            </w:r>
            <w:r>
              <w:rPr>
                <w:rFonts w:hAnsi="宋体"/>
                <w:kern w:val="0"/>
                <w:szCs w:val="21"/>
              </w:rPr>
              <w:t>是</w:t>
            </w:r>
            <w:r>
              <w:rPr>
                <w:kern w:val="0"/>
                <w:szCs w:val="21"/>
              </w:rPr>
              <w:t xml:space="preserve">     </w:t>
            </w:r>
            <w:r>
              <w:rPr>
                <w:szCs w:val="21"/>
              </w:rPr>
              <w:sym w:font="Wingdings 2" w:char="F052"/>
            </w:r>
            <w:r>
              <w:rPr>
                <w:rFonts w:hAnsi="宋体"/>
                <w:kern w:val="0"/>
                <w:szCs w:val="21"/>
              </w:rPr>
              <w:t>否</w:t>
            </w:r>
          </w:p>
        </w:tc>
      </w:tr>
      <w:tr w:rsidR="00EE4502">
        <w:trPr>
          <w:trHeight w:val="340"/>
          <w:tblHeader/>
        </w:trPr>
        <w:tc>
          <w:tcPr>
            <w:tcW w:w="1666" w:type="pct"/>
            <w:vMerge/>
            <w:noWrap/>
            <w:vAlign w:val="center"/>
          </w:tcPr>
          <w:p w:rsidR="00EE4502" w:rsidRDefault="00EE4502">
            <w:pPr>
              <w:widowControl/>
              <w:jc w:val="center"/>
              <w:rPr>
                <w:kern w:val="0"/>
                <w:szCs w:val="21"/>
              </w:rPr>
            </w:pPr>
          </w:p>
        </w:tc>
        <w:tc>
          <w:tcPr>
            <w:tcW w:w="2029" w:type="pct"/>
            <w:noWrap/>
            <w:vAlign w:val="center"/>
          </w:tcPr>
          <w:p w:rsidR="00EE4502" w:rsidRDefault="00FD45A3">
            <w:pPr>
              <w:widowControl/>
              <w:jc w:val="center"/>
              <w:rPr>
                <w:kern w:val="0"/>
                <w:szCs w:val="21"/>
              </w:rPr>
            </w:pPr>
            <w:r>
              <w:rPr>
                <w:rFonts w:hAnsi="宋体"/>
                <w:kern w:val="0"/>
                <w:szCs w:val="21"/>
              </w:rPr>
              <w:t>岸线距离</w:t>
            </w:r>
            <w:r>
              <w:rPr>
                <w:kern w:val="0"/>
                <w:szCs w:val="21"/>
              </w:rPr>
              <w:t>/ km</w:t>
            </w:r>
          </w:p>
        </w:tc>
        <w:tc>
          <w:tcPr>
            <w:tcW w:w="1303" w:type="pct"/>
            <w:vAlign w:val="center"/>
          </w:tcPr>
          <w:p w:rsidR="00EE4502" w:rsidRDefault="00FD45A3">
            <w:pPr>
              <w:widowControl/>
              <w:jc w:val="center"/>
              <w:rPr>
                <w:kern w:val="0"/>
                <w:szCs w:val="21"/>
              </w:rPr>
            </w:pPr>
            <w:r>
              <w:rPr>
                <w:szCs w:val="21"/>
              </w:rPr>
              <w:t>/</w:t>
            </w:r>
          </w:p>
        </w:tc>
      </w:tr>
      <w:tr w:rsidR="00EE4502">
        <w:trPr>
          <w:trHeight w:val="340"/>
          <w:tblHeader/>
        </w:trPr>
        <w:tc>
          <w:tcPr>
            <w:tcW w:w="1666" w:type="pct"/>
            <w:vMerge/>
            <w:noWrap/>
            <w:vAlign w:val="center"/>
          </w:tcPr>
          <w:p w:rsidR="00EE4502" w:rsidRDefault="00EE4502">
            <w:pPr>
              <w:widowControl/>
              <w:jc w:val="center"/>
              <w:rPr>
                <w:kern w:val="0"/>
                <w:szCs w:val="21"/>
              </w:rPr>
            </w:pPr>
          </w:p>
        </w:tc>
        <w:tc>
          <w:tcPr>
            <w:tcW w:w="2029" w:type="pct"/>
            <w:noWrap/>
            <w:vAlign w:val="center"/>
          </w:tcPr>
          <w:p w:rsidR="00EE4502" w:rsidRDefault="00FD45A3">
            <w:pPr>
              <w:widowControl/>
              <w:jc w:val="center"/>
              <w:rPr>
                <w:kern w:val="0"/>
                <w:szCs w:val="21"/>
              </w:rPr>
            </w:pPr>
            <w:r>
              <w:rPr>
                <w:rFonts w:hAnsi="宋体"/>
                <w:kern w:val="0"/>
                <w:szCs w:val="21"/>
              </w:rPr>
              <w:t>岸线方向</w:t>
            </w:r>
            <w:r>
              <w:rPr>
                <w:kern w:val="0"/>
                <w:szCs w:val="21"/>
              </w:rPr>
              <w:t>/ °</w:t>
            </w:r>
          </w:p>
        </w:tc>
        <w:tc>
          <w:tcPr>
            <w:tcW w:w="1303" w:type="pct"/>
            <w:vAlign w:val="center"/>
          </w:tcPr>
          <w:p w:rsidR="00EE4502" w:rsidRDefault="00FD45A3">
            <w:pPr>
              <w:widowControl/>
              <w:jc w:val="center"/>
              <w:rPr>
                <w:kern w:val="0"/>
                <w:szCs w:val="21"/>
              </w:rPr>
            </w:pPr>
            <w:r>
              <w:rPr>
                <w:szCs w:val="21"/>
              </w:rPr>
              <w:t>/</w:t>
            </w:r>
          </w:p>
        </w:tc>
      </w:tr>
    </w:tbl>
    <w:p w:rsidR="00EE4502" w:rsidRDefault="00EE4502">
      <w:pPr>
        <w:jc w:val="center"/>
        <w:rPr>
          <w:sz w:val="18"/>
          <w:szCs w:val="18"/>
        </w:rPr>
      </w:pPr>
    </w:p>
    <w:p w:rsidR="00EE4502" w:rsidRDefault="00FD45A3">
      <w:pPr>
        <w:spacing w:line="360" w:lineRule="auto"/>
        <w:ind w:firstLineChars="200" w:firstLine="480"/>
        <w:rPr>
          <w:sz w:val="24"/>
        </w:rPr>
      </w:pPr>
      <w:r>
        <w:rPr>
          <w:sz w:val="24"/>
        </w:rPr>
        <w:t>污染物排放参数见</w:t>
      </w:r>
      <w:r>
        <w:rPr>
          <w:rFonts w:hint="eastAsia"/>
          <w:sz w:val="24"/>
        </w:rPr>
        <w:t>表</w:t>
      </w:r>
      <w:r>
        <w:rPr>
          <w:rFonts w:hint="eastAsia"/>
          <w:sz w:val="24"/>
        </w:rPr>
        <w:t>2-5-</w:t>
      </w:r>
      <w:r>
        <w:rPr>
          <w:rFonts w:hint="eastAsia"/>
          <w:sz w:val="24"/>
        </w:rPr>
        <w:t>9</w:t>
      </w:r>
      <w:r>
        <w:rPr>
          <w:sz w:val="24"/>
        </w:rPr>
        <w:t>。</w:t>
      </w:r>
    </w:p>
    <w:p w:rsidR="00EE4502" w:rsidRDefault="00FD45A3">
      <w:pPr>
        <w:spacing w:line="360" w:lineRule="auto"/>
        <w:jc w:val="center"/>
        <w:rPr>
          <w:rFonts w:eastAsia="黑体"/>
          <w:szCs w:val="21"/>
        </w:rPr>
      </w:pPr>
      <w:r>
        <w:rPr>
          <w:rFonts w:eastAsia="黑体" w:hint="eastAsia"/>
          <w:szCs w:val="21"/>
        </w:rPr>
        <w:t>表</w:t>
      </w:r>
      <w:r>
        <w:rPr>
          <w:rFonts w:eastAsia="黑体" w:hint="eastAsia"/>
          <w:szCs w:val="21"/>
        </w:rPr>
        <w:t>2-5-9</w:t>
      </w:r>
      <w:r>
        <w:rPr>
          <w:rFonts w:eastAsia="黑体"/>
          <w:szCs w:val="21"/>
        </w:rPr>
        <w:t xml:space="preserve">  </w:t>
      </w:r>
      <w:r>
        <w:rPr>
          <w:rFonts w:eastAsia="黑体" w:hint="eastAsia"/>
          <w:szCs w:val="21"/>
        </w:rPr>
        <w:t>估算模式计算结果表（无组织）</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944"/>
        <w:gridCol w:w="1543"/>
        <w:gridCol w:w="1004"/>
        <w:gridCol w:w="1004"/>
        <w:gridCol w:w="1003"/>
        <w:gridCol w:w="585"/>
        <w:gridCol w:w="1279"/>
      </w:tblGrid>
      <w:tr w:rsidR="00EE4502">
        <w:trPr>
          <w:trHeight w:val="397"/>
          <w:jc w:val="center"/>
        </w:trPr>
        <w:tc>
          <w:tcPr>
            <w:tcW w:w="1161" w:type="pct"/>
            <w:vAlign w:val="center"/>
          </w:tcPr>
          <w:p w:rsidR="00EE4502" w:rsidRDefault="00FD45A3">
            <w:pPr>
              <w:widowControl/>
              <w:autoSpaceDE w:val="0"/>
              <w:autoSpaceDN w:val="0"/>
              <w:spacing w:line="0" w:lineRule="atLeast"/>
              <w:jc w:val="center"/>
              <w:rPr>
                <w:kern w:val="21"/>
                <w:szCs w:val="21"/>
              </w:rPr>
            </w:pPr>
            <w:r>
              <w:rPr>
                <w:kern w:val="21"/>
                <w:szCs w:val="21"/>
              </w:rPr>
              <w:t>名</w:t>
            </w:r>
            <w:r>
              <w:rPr>
                <w:kern w:val="21"/>
                <w:szCs w:val="21"/>
              </w:rPr>
              <w:t xml:space="preserve">    </w:t>
            </w:r>
            <w:r>
              <w:rPr>
                <w:kern w:val="21"/>
                <w:szCs w:val="21"/>
              </w:rPr>
              <w:t>称</w:t>
            </w:r>
          </w:p>
        </w:tc>
        <w:tc>
          <w:tcPr>
            <w:tcW w:w="921" w:type="pct"/>
            <w:vAlign w:val="center"/>
          </w:tcPr>
          <w:p w:rsidR="00EE4502" w:rsidRDefault="00FD45A3">
            <w:pPr>
              <w:widowControl/>
              <w:autoSpaceDE w:val="0"/>
              <w:autoSpaceDN w:val="0"/>
              <w:spacing w:line="0" w:lineRule="atLeast"/>
              <w:jc w:val="center"/>
              <w:rPr>
                <w:kern w:val="21"/>
                <w:szCs w:val="21"/>
              </w:rPr>
            </w:pPr>
            <w:r>
              <w:rPr>
                <w:kern w:val="21"/>
                <w:szCs w:val="21"/>
              </w:rPr>
              <w:t>评价因子</w:t>
            </w:r>
          </w:p>
        </w:tc>
        <w:tc>
          <w:tcPr>
            <w:tcW w:w="600" w:type="pct"/>
            <w:vAlign w:val="center"/>
          </w:tcPr>
          <w:p w:rsidR="00EE4502" w:rsidRDefault="00FD45A3">
            <w:pPr>
              <w:widowControl/>
              <w:autoSpaceDE w:val="0"/>
              <w:autoSpaceDN w:val="0"/>
              <w:spacing w:line="0" w:lineRule="atLeast"/>
              <w:jc w:val="center"/>
              <w:rPr>
                <w:kern w:val="21"/>
                <w:szCs w:val="21"/>
              </w:rPr>
            </w:pPr>
            <w:r>
              <w:rPr>
                <w:kern w:val="21"/>
                <w:szCs w:val="21"/>
              </w:rPr>
              <w:t>C</w:t>
            </w:r>
            <w:r>
              <w:rPr>
                <w:kern w:val="21"/>
                <w:szCs w:val="21"/>
                <w:vertAlign w:val="subscript"/>
              </w:rPr>
              <w:t>i</w:t>
            </w:r>
          </w:p>
        </w:tc>
        <w:tc>
          <w:tcPr>
            <w:tcW w:w="600" w:type="pct"/>
            <w:vAlign w:val="center"/>
          </w:tcPr>
          <w:p w:rsidR="00EE4502" w:rsidRDefault="00FD45A3">
            <w:pPr>
              <w:widowControl/>
              <w:autoSpaceDE w:val="0"/>
              <w:autoSpaceDN w:val="0"/>
              <w:spacing w:line="0" w:lineRule="atLeast"/>
              <w:jc w:val="center"/>
              <w:rPr>
                <w:kern w:val="21"/>
                <w:szCs w:val="21"/>
              </w:rPr>
            </w:pPr>
            <w:r>
              <w:rPr>
                <w:kern w:val="21"/>
                <w:szCs w:val="21"/>
              </w:rPr>
              <w:t>评价标准</w:t>
            </w:r>
          </w:p>
        </w:tc>
        <w:tc>
          <w:tcPr>
            <w:tcW w:w="600" w:type="pct"/>
            <w:vAlign w:val="center"/>
          </w:tcPr>
          <w:p w:rsidR="00EE4502" w:rsidRDefault="00FD45A3">
            <w:pPr>
              <w:widowControl/>
              <w:autoSpaceDE w:val="0"/>
              <w:autoSpaceDN w:val="0"/>
              <w:spacing w:line="0" w:lineRule="atLeast"/>
              <w:jc w:val="center"/>
              <w:rPr>
                <w:kern w:val="21"/>
                <w:szCs w:val="21"/>
              </w:rPr>
            </w:pPr>
            <w:r>
              <w:rPr>
                <w:kern w:val="21"/>
                <w:szCs w:val="21"/>
              </w:rPr>
              <w:t>P</w:t>
            </w:r>
            <w:r>
              <w:rPr>
                <w:kern w:val="21"/>
                <w:szCs w:val="21"/>
                <w:vertAlign w:val="subscript"/>
              </w:rPr>
              <w:t>i</w:t>
            </w:r>
          </w:p>
        </w:tc>
        <w:tc>
          <w:tcPr>
            <w:tcW w:w="350" w:type="pct"/>
            <w:vAlign w:val="center"/>
          </w:tcPr>
          <w:p w:rsidR="00EE4502" w:rsidRDefault="00FD45A3">
            <w:pPr>
              <w:widowControl/>
              <w:autoSpaceDE w:val="0"/>
              <w:autoSpaceDN w:val="0"/>
              <w:spacing w:line="0" w:lineRule="atLeast"/>
              <w:jc w:val="center"/>
              <w:rPr>
                <w:kern w:val="21"/>
                <w:szCs w:val="21"/>
              </w:rPr>
            </w:pPr>
            <w:r>
              <w:rPr>
                <w:kern w:val="21"/>
                <w:szCs w:val="21"/>
              </w:rPr>
              <w:t>P</w:t>
            </w:r>
            <w:r>
              <w:rPr>
                <w:kern w:val="21"/>
                <w:szCs w:val="21"/>
                <w:vertAlign w:val="subscript"/>
              </w:rPr>
              <w:t>max</w:t>
            </w:r>
          </w:p>
        </w:tc>
        <w:tc>
          <w:tcPr>
            <w:tcW w:w="765" w:type="pct"/>
            <w:vAlign w:val="center"/>
          </w:tcPr>
          <w:p w:rsidR="00EE4502" w:rsidRDefault="00FD45A3">
            <w:pPr>
              <w:widowControl/>
              <w:autoSpaceDE w:val="0"/>
              <w:autoSpaceDN w:val="0"/>
              <w:spacing w:line="0" w:lineRule="atLeast"/>
              <w:jc w:val="center"/>
              <w:rPr>
                <w:kern w:val="21"/>
                <w:szCs w:val="21"/>
              </w:rPr>
            </w:pPr>
            <w:r>
              <w:rPr>
                <w:kern w:val="21"/>
                <w:szCs w:val="21"/>
              </w:rPr>
              <w:t>最大浓度出现距离</w:t>
            </w:r>
          </w:p>
        </w:tc>
      </w:tr>
      <w:tr w:rsidR="00EE4502">
        <w:trPr>
          <w:trHeight w:val="397"/>
          <w:jc w:val="center"/>
        </w:trPr>
        <w:tc>
          <w:tcPr>
            <w:tcW w:w="1161" w:type="pct"/>
            <w:vAlign w:val="center"/>
          </w:tcPr>
          <w:p w:rsidR="00EE4502" w:rsidRDefault="00FD45A3">
            <w:pPr>
              <w:widowControl/>
              <w:autoSpaceDE w:val="0"/>
              <w:autoSpaceDN w:val="0"/>
              <w:spacing w:line="0" w:lineRule="atLeast"/>
              <w:jc w:val="center"/>
              <w:rPr>
                <w:kern w:val="21"/>
                <w:szCs w:val="21"/>
              </w:rPr>
            </w:pPr>
            <w:r>
              <w:rPr>
                <w:kern w:val="21"/>
                <w:szCs w:val="21"/>
              </w:rPr>
              <w:t>单</w:t>
            </w:r>
            <w:r>
              <w:rPr>
                <w:kern w:val="21"/>
                <w:szCs w:val="21"/>
              </w:rPr>
              <w:t xml:space="preserve">    </w:t>
            </w:r>
            <w:r>
              <w:rPr>
                <w:kern w:val="21"/>
                <w:szCs w:val="21"/>
              </w:rPr>
              <w:t>位</w:t>
            </w:r>
          </w:p>
        </w:tc>
        <w:tc>
          <w:tcPr>
            <w:tcW w:w="921" w:type="pct"/>
            <w:vAlign w:val="center"/>
          </w:tcPr>
          <w:p w:rsidR="00EE4502" w:rsidRDefault="00FD45A3">
            <w:pPr>
              <w:widowControl/>
              <w:autoSpaceDE w:val="0"/>
              <w:autoSpaceDN w:val="0"/>
              <w:spacing w:line="0" w:lineRule="atLeast"/>
              <w:jc w:val="center"/>
              <w:rPr>
                <w:kern w:val="21"/>
                <w:szCs w:val="21"/>
              </w:rPr>
            </w:pPr>
            <w:r>
              <w:rPr>
                <w:kern w:val="21"/>
                <w:szCs w:val="21"/>
              </w:rPr>
              <w:t>--</w:t>
            </w:r>
          </w:p>
        </w:tc>
        <w:tc>
          <w:tcPr>
            <w:tcW w:w="600" w:type="pct"/>
            <w:vAlign w:val="center"/>
          </w:tcPr>
          <w:p w:rsidR="00EE4502" w:rsidRDefault="00FD45A3">
            <w:pPr>
              <w:widowControl/>
              <w:autoSpaceDE w:val="0"/>
              <w:autoSpaceDN w:val="0"/>
              <w:spacing w:line="0" w:lineRule="atLeast"/>
              <w:jc w:val="center"/>
              <w:rPr>
                <w:kern w:val="21"/>
                <w:szCs w:val="21"/>
              </w:rPr>
            </w:pPr>
            <w:r>
              <w:rPr>
                <w:kern w:val="21"/>
                <w:szCs w:val="21"/>
              </w:rPr>
              <w:t>μg/m</w:t>
            </w:r>
            <w:r>
              <w:rPr>
                <w:kern w:val="21"/>
                <w:szCs w:val="21"/>
                <w:vertAlign w:val="superscript"/>
              </w:rPr>
              <w:t>3</w:t>
            </w:r>
          </w:p>
        </w:tc>
        <w:tc>
          <w:tcPr>
            <w:tcW w:w="600" w:type="pct"/>
            <w:vAlign w:val="center"/>
          </w:tcPr>
          <w:p w:rsidR="00EE4502" w:rsidRDefault="00FD45A3">
            <w:pPr>
              <w:widowControl/>
              <w:autoSpaceDE w:val="0"/>
              <w:autoSpaceDN w:val="0"/>
              <w:spacing w:line="0" w:lineRule="atLeast"/>
              <w:jc w:val="center"/>
              <w:rPr>
                <w:kern w:val="21"/>
                <w:szCs w:val="21"/>
              </w:rPr>
            </w:pPr>
            <w:r>
              <w:rPr>
                <w:kern w:val="21"/>
                <w:szCs w:val="21"/>
              </w:rPr>
              <w:t>μg/m</w:t>
            </w:r>
            <w:r>
              <w:rPr>
                <w:kern w:val="21"/>
                <w:szCs w:val="21"/>
                <w:vertAlign w:val="superscript"/>
              </w:rPr>
              <w:t>3</w:t>
            </w:r>
          </w:p>
        </w:tc>
        <w:tc>
          <w:tcPr>
            <w:tcW w:w="600" w:type="pct"/>
            <w:vAlign w:val="center"/>
          </w:tcPr>
          <w:p w:rsidR="00EE4502" w:rsidRDefault="00FD45A3">
            <w:pPr>
              <w:widowControl/>
              <w:autoSpaceDE w:val="0"/>
              <w:autoSpaceDN w:val="0"/>
              <w:spacing w:line="0" w:lineRule="atLeast"/>
              <w:jc w:val="center"/>
              <w:rPr>
                <w:kern w:val="21"/>
                <w:szCs w:val="21"/>
              </w:rPr>
            </w:pPr>
            <w:r>
              <w:rPr>
                <w:kern w:val="21"/>
                <w:szCs w:val="21"/>
              </w:rPr>
              <w:t>%</w:t>
            </w:r>
          </w:p>
        </w:tc>
        <w:tc>
          <w:tcPr>
            <w:tcW w:w="350" w:type="pct"/>
            <w:vAlign w:val="center"/>
          </w:tcPr>
          <w:p w:rsidR="00EE4502" w:rsidRDefault="00FD45A3">
            <w:pPr>
              <w:widowControl/>
              <w:autoSpaceDE w:val="0"/>
              <w:autoSpaceDN w:val="0"/>
              <w:spacing w:line="0" w:lineRule="atLeast"/>
              <w:jc w:val="center"/>
              <w:rPr>
                <w:kern w:val="21"/>
                <w:szCs w:val="21"/>
              </w:rPr>
            </w:pPr>
            <w:r>
              <w:rPr>
                <w:kern w:val="21"/>
                <w:szCs w:val="21"/>
              </w:rPr>
              <w:t>%</w:t>
            </w:r>
          </w:p>
        </w:tc>
        <w:tc>
          <w:tcPr>
            <w:tcW w:w="765" w:type="pct"/>
            <w:vAlign w:val="center"/>
          </w:tcPr>
          <w:p w:rsidR="00EE4502" w:rsidRDefault="00FD45A3">
            <w:pPr>
              <w:widowControl/>
              <w:autoSpaceDE w:val="0"/>
              <w:autoSpaceDN w:val="0"/>
              <w:spacing w:line="0" w:lineRule="atLeast"/>
              <w:jc w:val="center"/>
              <w:rPr>
                <w:kern w:val="21"/>
                <w:szCs w:val="21"/>
              </w:rPr>
            </w:pPr>
            <w:r>
              <w:rPr>
                <w:kern w:val="21"/>
                <w:szCs w:val="21"/>
              </w:rPr>
              <w:t>m</w:t>
            </w:r>
          </w:p>
        </w:tc>
      </w:tr>
      <w:tr w:rsidR="00EE4502">
        <w:trPr>
          <w:trHeight w:val="397"/>
          <w:jc w:val="center"/>
        </w:trPr>
        <w:tc>
          <w:tcPr>
            <w:tcW w:w="1943" w:type="dxa"/>
            <w:vAlign w:val="center"/>
          </w:tcPr>
          <w:p w:rsidR="00EE4502" w:rsidRDefault="00FD45A3">
            <w:pPr>
              <w:widowControl/>
              <w:adjustRightInd w:val="0"/>
              <w:spacing w:line="0" w:lineRule="atLeast"/>
              <w:jc w:val="center"/>
              <w:rPr>
                <w:kern w:val="21"/>
                <w:szCs w:val="21"/>
              </w:rPr>
            </w:pPr>
            <w:r>
              <w:rPr>
                <w:rFonts w:ascii="宋体" w:hAnsi="宋体" w:cs="宋体" w:hint="eastAsia"/>
                <w:spacing w:val="-10"/>
                <w:kern w:val="0"/>
                <w:szCs w:val="21"/>
                <w:lang w:bidi="ar"/>
              </w:rPr>
              <w:t>排</w:t>
            </w:r>
            <w:r>
              <w:rPr>
                <w:spacing w:val="-10"/>
                <w:kern w:val="0"/>
                <w:szCs w:val="21"/>
                <w:lang w:bidi="ar"/>
              </w:rPr>
              <w:t>61-</w:t>
            </w:r>
            <w:r>
              <w:rPr>
                <w:rFonts w:ascii="宋体" w:hAnsi="宋体" w:cs="宋体" w:hint="eastAsia"/>
                <w:spacing w:val="-10"/>
                <w:kern w:val="0"/>
                <w:szCs w:val="21"/>
                <w:lang w:bidi="ar"/>
              </w:rPr>
              <w:t>平</w:t>
            </w:r>
            <w:r>
              <w:rPr>
                <w:spacing w:val="-10"/>
                <w:kern w:val="0"/>
                <w:szCs w:val="21"/>
                <w:lang w:bidi="ar"/>
              </w:rPr>
              <w:t>17</w:t>
            </w:r>
            <w:r>
              <w:rPr>
                <w:rFonts w:ascii="宋体" w:hAnsi="宋体" w:cs="宋体" w:hint="eastAsia"/>
                <w:spacing w:val="-10"/>
                <w:kern w:val="0"/>
                <w:szCs w:val="21"/>
                <w:lang w:bidi="ar"/>
              </w:rPr>
              <w:t>井场无组织废气</w:t>
            </w:r>
          </w:p>
        </w:tc>
        <w:tc>
          <w:tcPr>
            <w:tcW w:w="921" w:type="pct"/>
            <w:vAlign w:val="center"/>
          </w:tcPr>
          <w:p w:rsidR="00EE4502" w:rsidRDefault="00FD45A3">
            <w:pPr>
              <w:widowControl/>
              <w:autoSpaceDE w:val="0"/>
              <w:autoSpaceDN w:val="0"/>
              <w:spacing w:line="0" w:lineRule="atLeast"/>
              <w:jc w:val="center"/>
              <w:rPr>
                <w:kern w:val="21"/>
                <w:szCs w:val="21"/>
              </w:rPr>
            </w:pPr>
            <w:r>
              <w:rPr>
                <w:kern w:val="21"/>
                <w:szCs w:val="21"/>
              </w:rPr>
              <w:t>非甲烷总烃</w:t>
            </w:r>
          </w:p>
        </w:tc>
        <w:tc>
          <w:tcPr>
            <w:tcW w:w="1004" w:type="dxa"/>
            <w:vAlign w:val="center"/>
          </w:tcPr>
          <w:p w:rsidR="00EE4502" w:rsidRDefault="00FD45A3">
            <w:pPr>
              <w:widowControl/>
              <w:autoSpaceDE w:val="0"/>
              <w:autoSpaceDN w:val="0"/>
              <w:spacing w:line="0" w:lineRule="atLeast"/>
              <w:jc w:val="center"/>
              <w:rPr>
                <w:kern w:val="21"/>
                <w:szCs w:val="21"/>
              </w:rPr>
            </w:pPr>
            <w:r>
              <w:rPr>
                <w:kern w:val="21"/>
                <w:szCs w:val="21"/>
              </w:rPr>
              <w:t>20.993</w:t>
            </w:r>
          </w:p>
        </w:tc>
        <w:tc>
          <w:tcPr>
            <w:tcW w:w="600" w:type="pct"/>
            <w:vAlign w:val="center"/>
          </w:tcPr>
          <w:p w:rsidR="00EE4502" w:rsidRDefault="00FD45A3">
            <w:pPr>
              <w:widowControl/>
              <w:autoSpaceDE w:val="0"/>
              <w:autoSpaceDN w:val="0"/>
              <w:spacing w:line="0" w:lineRule="atLeast"/>
              <w:jc w:val="center"/>
              <w:rPr>
                <w:kern w:val="21"/>
                <w:szCs w:val="21"/>
              </w:rPr>
            </w:pPr>
            <w:r>
              <w:rPr>
                <w:kern w:val="21"/>
                <w:szCs w:val="21"/>
              </w:rPr>
              <w:t>2000</w:t>
            </w:r>
          </w:p>
        </w:tc>
        <w:tc>
          <w:tcPr>
            <w:tcW w:w="1004" w:type="dxa"/>
            <w:vAlign w:val="center"/>
          </w:tcPr>
          <w:p w:rsidR="00EE4502" w:rsidRDefault="00FD45A3">
            <w:pPr>
              <w:widowControl/>
              <w:autoSpaceDE w:val="0"/>
              <w:autoSpaceDN w:val="0"/>
              <w:spacing w:line="0" w:lineRule="atLeast"/>
              <w:jc w:val="center"/>
              <w:rPr>
                <w:kern w:val="21"/>
                <w:szCs w:val="21"/>
              </w:rPr>
            </w:pPr>
            <w:r>
              <w:rPr>
                <w:kern w:val="21"/>
                <w:szCs w:val="21"/>
              </w:rPr>
              <w:t>1.049</w:t>
            </w:r>
          </w:p>
        </w:tc>
        <w:tc>
          <w:tcPr>
            <w:tcW w:w="350" w:type="pct"/>
            <w:vMerge w:val="restart"/>
            <w:vAlign w:val="center"/>
          </w:tcPr>
          <w:p w:rsidR="00EE4502" w:rsidRDefault="00FD45A3">
            <w:pPr>
              <w:widowControl/>
              <w:autoSpaceDE w:val="0"/>
              <w:autoSpaceDN w:val="0"/>
              <w:spacing w:line="0" w:lineRule="atLeast"/>
              <w:jc w:val="center"/>
              <w:rPr>
                <w:kern w:val="21"/>
                <w:szCs w:val="21"/>
              </w:rPr>
            </w:pPr>
            <w:r>
              <w:rPr>
                <w:kern w:val="21"/>
                <w:szCs w:val="21"/>
              </w:rPr>
              <w:t>1.415</w:t>
            </w:r>
          </w:p>
        </w:tc>
        <w:tc>
          <w:tcPr>
            <w:tcW w:w="765" w:type="pct"/>
            <w:vAlign w:val="center"/>
          </w:tcPr>
          <w:p w:rsidR="00EE4502" w:rsidRDefault="00FD45A3">
            <w:pPr>
              <w:widowControl/>
              <w:autoSpaceDE w:val="0"/>
              <w:autoSpaceDN w:val="0"/>
              <w:spacing w:line="0" w:lineRule="atLeast"/>
              <w:jc w:val="center"/>
              <w:rPr>
                <w:kern w:val="21"/>
                <w:szCs w:val="21"/>
              </w:rPr>
            </w:pPr>
            <w:r>
              <w:rPr>
                <w:kern w:val="21"/>
                <w:szCs w:val="21"/>
              </w:rPr>
              <w:t>27</w:t>
            </w:r>
          </w:p>
        </w:tc>
      </w:tr>
      <w:tr w:rsidR="00EE4502">
        <w:trPr>
          <w:trHeight w:val="397"/>
          <w:jc w:val="center"/>
        </w:trPr>
        <w:tc>
          <w:tcPr>
            <w:tcW w:w="1943" w:type="dxa"/>
            <w:vAlign w:val="center"/>
          </w:tcPr>
          <w:p w:rsidR="00EE4502" w:rsidRDefault="00FD45A3">
            <w:pPr>
              <w:widowControl/>
              <w:adjustRightInd w:val="0"/>
              <w:spacing w:line="0" w:lineRule="atLeast"/>
              <w:jc w:val="center"/>
              <w:rPr>
                <w:kern w:val="21"/>
                <w:szCs w:val="21"/>
              </w:rPr>
            </w:pPr>
            <w:r>
              <w:rPr>
                <w:rFonts w:ascii="宋体" w:hAnsi="宋体" w:cs="宋体" w:hint="eastAsia"/>
                <w:spacing w:val="-10"/>
                <w:kern w:val="0"/>
                <w:szCs w:val="21"/>
                <w:lang w:bidi="ar"/>
              </w:rPr>
              <w:t>排</w:t>
            </w:r>
            <w:r>
              <w:rPr>
                <w:spacing w:val="-10"/>
                <w:kern w:val="0"/>
                <w:szCs w:val="21"/>
                <w:lang w:bidi="ar"/>
              </w:rPr>
              <w:t>61</w:t>
            </w:r>
            <w:r>
              <w:rPr>
                <w:rFonts w:ascii="宋体" w:hAnsi="宋体" w:cs="宋体" w:hint="eastAsia"/>
                <w:spacing w:val="-10"/>
                <w:kern w:val="0"/>
                <w:szCs w:val="21"/>
                <w:lang w:bidi="ar"/>
              </w:rPr>
              <w:t>平</w:t>
            </w:r>
            <w:r>
              <w:rPr>
                <w:spacing w:val="-10"/>
                <w:kern w:val="0"/>
                <w:szCs w:val="21"/>
                <w:lang w:bidi="ar"/>
              </w:rPr>
              <w:t>11</w:t>
            </w:r>
            <w:r>
              <w:rPr>
                <w:rFonts w:ascii="宋体" w:hAnsi="宋体" w:cs="宋体" w:hint="eastAsia"/>
                <w:spacing w:val="-10"/>
                <w:kern w:val="0"/>
                <w:szCs w:val="21"/>
                <w:lang w:bidi="ar"/>
              </w:rPr>
              <w:t>井场无组织废气</w:t>
            </w:r>
          </w:p>
        </w:tc>
        <w:tc>
          <w:tcPr>
            <w:tcW w:w="921" w:type="pct"/>
            <w:vAlign w:val="center"/>
          </w:tcPr>
          <w:p w:rsidR="00EE4502" w:rsidRDefault="00FD45A3">
            <w:pPr>
              <w:widowControl/>
              <w:autoSpaceDE w:val="0"/>
              <w:autoSpaceDN w:val="0"/>
              <w:spacing w:line="0" w:lineRule="atLeast"/>
              <w:jc w:val="center"/>
              <w:rPr>
                <w:kern w:val="21"/>
                <w:szCs w:val="21"/>
              </w:rPr>
            </w:pPr>
            <w:r>
              <w:rPr>
                <w:kern w:val="21"/>
                <w:szCs w:val="21"/>
              </w:rPr>
              <w:t>非甲烷总烃</w:t>
            </w:r>
          </w:p>
        </w:tc>
        <w:tc>
          <w:tcPr>
            <w:tcW w:w="1004" w:type="dxa"/>
            <w:vAlign w:val="center"/>
          </w:tcPr>
          <w:p w:rsidR="00EE4502" w:rsidRDefault="00FD45A3">
            <w:pPr>
              <w:widowControl/>
              <w:autoSpaceDE w:val="0"/>
              <w:autoSpaceDN w:val="0"/>
              <w:spacing w:line="0" w:lineRule="atLeast"/>
              <w:jc w:val="center"/>
              <w:rPr>
                <w:kern w:val="21"/>
                <w:szCs w:val="21"/>
              </w:rPr>
            </w:pPr>
            <w:r>
              <w:rPr>
                <w:kern w:val="21"/>
                <w:szCs w:val="21"/>
              </w:rPr>
              <w:t>20.363</w:t>
            </w:r>
          </w:p>
        </w:tc>
        <w:tc>
          <w:tcPr>
            <w:tcW w:w="600" w:type="pct"/>
            <w:vAlign w:val="center"/>
          </w:tcPr>
          <w:p w:rsidR="00EE4502" w:rsidRDefault="00FD45A3">
            <w:pPr>
              <w:widowControl/>
              <w:autoSpaceDE w:val="0"/>
              <w:autoSpaceDN w:val="0"/>
              <w:spacing w:line="0" w:lineRule="atLeast"/>
              <w:jc w:val="center"/>
              <w:rPr>
                <w:kern w:val="21"/>
                <w:szCs w:val="21"/>
              </w:rPr>
            </w:pPr>
            <w:r>
              <w:rPr>
                <w:kern w:val="21"/>
                <w:szCs w:val="21"/>
              </w:rPr>
              <w:t>2000</w:t>
            </w:r>
          </w:p>
        </w:tc>
        <w:tc>
          <w:tcPr>
            <w:tcW w:w="1004" w:type="dxa"/>
            <w:vAlign w:val="center"/>
          </w:tcPr>
          <w:p w:rsidR="00EE4502" w:rsidRDefault="00FD45A3">
            <w:pPr>
              <w:widowControl/>
              <w:autoSpaceDE w:val="0"/>
              <w:autoSpaceDN w:val="0"/>
              <w:spacing w:line="0" w:lineRule="atLeast"/>
              <w:jc w:val="center"/>
              <w:rPr>
                <w:kern w:val="21"/>
                <w:szCs w:val="21"/>
              </w:rPr>
            </w:pPr>
            <w:r>
              <w:rPr>
                <w:kern w:val="21"/>
                <w:szCs w:val="21"/>
              </w:rPr>
              <w:t>1.018</w:t>
            </w:r>
          </w:p>
        </w:tc>
        <w:tc>
          <w:tcPr>
            <w:tcW w:w="350" w:type="pct"/>
            <w:vMerge/>
            <w:vAlign w:val="center"/>
          </w:tcPr>
          <w:p w:rsidR="00EE4502" w:rsidRDefault="00EE4502">
            <w:pPr>
              <w:widowControl/>
              <w:autoSpaceDE w:val="0"/>
              <w:autoSpaceDN w:val="0"/>
              <w:spacing w:line="0" w:lineRule="atLeast"/>
              <w:jc w:val="center"/>
              <w:rPr>
                <w:kern w:val="21"/>
                <w:szCs w:val="21"/>
              </w:rPr>
            </w:pPr>
          </w:p>
        </w:tc>
        <w:tc>
          <w:tcPr>
            <w:tcW w:w="765" w:type="pct"/>
            <w:vAlign w:val="center"/>
          </w:tcPr>
          <w:p w:rsidR="00EE4502" w:rsidRDefault="00FD45A3">
            <w:pPr>
              <w:widowControl/>
              <w:autoSpaceDE w:val="0"/>
              <w:autoSpaceDN w:val="0"/>
              <w:spacing w:line="0" w:lineRule="atLeast"/>
              <w:jc w:val="center"/>
              <w:rPr>
                <w:kern w:val="21"/>
                <w:szCs w:val="21"/>
              </w:rPr>
            </w:pPr>
            <w:r>
              <w:rPr>
                <w:kern w:val="21"/>
                <w:szCs w:val="21"/>
              </w:rPr>
              <w:t>27</w:t>
            </w:r>
          </w:p>
        </w:tc>
      </w:tr>
      <w:tr w:rsidR="00EE4502">
        <w:trPr>
          <w:trHeight w:val="397"/>
          <w:jc w:val="center"/>
        </w:trPr>
        <w:tc>
          <w:tcPr>
            <w:tcW w:w="1943" w:type="dxa"/>
            <w:vAlign w:val="center"/>
          </w:tcPr>
          <w:p w:rsidR="00EE4502" w:rsidRDefault="00FD45A3">
            <w:pPr>
              <w:widowControl/>
              <w:adjustRightInd w:val="0"/>
              <w:spacing w:line="0" w:lineRule="atLeast"/>
              <w:jc w:val="center"/>
              <w:rPr>
                <w:kern w:val="21"/>
                <w:szCs w:val="21"/>
              </w:rPr>
            </w:pPr>
            <w:r>
              <w:rPr>
                <w:rFonts w:ascii="宋体" w:hAnsi="宋体" w:cs="宋体" w:hint="eastAsia"/>
                <w:spacing w:val="-10"/>
                <w:kern w:val="0"/>
                <w:szCs w:val="21"/>
                <w:lang w:bidi="ar"/>
              </w:rPr>
              <w:t>排</w:t>
            </w:r>
            <w:r>
              <w:rPr>
                <w:spacing w:val="-10"/>
                <w:kern w:val="0"/>
                <w:szCs w:val="21"/>
                <w:lang w:bidi="ar"/>
              </w:rPr>
              <w:t>612-1</w:t>
            </w:r>
            <w:r>
              <w:rPr>
                <w:rFonts w:ascii="宋体" w:hAnsi="宋体" w:cs="宋体" w:hint="eastAsia"/>
                <w:spacing w:val="-10"/>
                <w:kern w:val="0"/>
                <w:szCs w:val="21"/>
                <w:lang w:bidi="ar"/>
              </w:rPr>
              <w:t>增压站</w:t>
            </w:r>
          </w:p>
        </w:tc>
        <w:tc>
          <w:tcPr>
            <w:tcW w:w="921" w:type="pct"/>
            <w:vAlign w:val="center"/>
          </w:tcPr>
          <w:p w:rsidR="00EE4502" w:rsidRDefault="00FD45A3">
            <w:pPr>
              <w:widowControl/>
              <w:autoSpaceDE w:val="0"/>
              <w:autoSpaceDN w:val="0"/>
              <w:spacing w:line="0" w:lineRule="atLeast"/>
              <w:jc w:val="center"/>
              <w:rPr>
                <w:kern w:val="21"/>
                <w:szCs w:val="21"/>
              </w:rPr>
            </w:pPr>
            <w:r>
              <w:rPr>
                <w:kern w:val="21"/>
                <w:szCs w:val="21"/>
              </w:rPr>
              <w:t>非甲烷总烃</w:t>
            </w:r>
          </w:p>
        </w:tc>
        <w:tc>
          <w:tcPr>
            <w:tcW w:w="600" w:type="pct"/>
            <w:vAlign w:val="center"/>
          </w:tcPr>
          <w:p w:rsidR="00EE4502" w:rsidRDefault="00FD45A3">
            <w:pPr>
              <w:widowControl/>
              <w:autoSpaceDE w:val="0"/>
              <w:autoSpaceDN w:val="0"/>
              <w:spacing w:line="0" w:lineRule="atLeast"/>
              <w:jc w:val="center"/>
              <w:rPr>
                <w:kern w:val="21"/>
                <w:szCs w:val="21"/>
              </w:rPr>
            </w:pPr>
            <w:r>
              <w:rPr>
                <w:kern w:val="21"/>
                <w:szCs w:val="21"/>
              </w:rPr>
              <w:t>16.324</w:t>
            </w:r>
          </w:p>
        </w:tc>
        <w:tc>
          <w:tcPr>
            <w:tcW w:w="600" w:type="pct"/>
            <w:vAlign w:val="center"/>
          </w:tcPr>
          <w:p w:rsidR="00EE4502" w:rsidRDefault="00FD45A3">
            <w:pPr>
              <w:widowControl/>
              <w:autoSpaceDE w:val="0"/>
              <w:autoSpaceDN w:val="0"/>
              <w:spacing w:line="0" w:lineRule="atLeast"/>
              <w:jc w:val="center"/>
              <w:rPr>
                <w:kern w:val="21"/>
                <w:szCs w:val="21"/>
              </w:rPr>
            </w:pPr>
            <w:r>
              <w:rPr>
                <w:kern w:val="21"/>
                <w:szCs w:val="21"/>
              </w:rPr>
              <w:t>2000</w:t>
            </w:r>
          </w:p>
        </w:tc>
        <w:tc>
          <w:tcPr>
            <w:tcW w:w="600" w:type="pct"/>
            <w:vAlign w:val="center"/>
          </w:tcPr>
          <w:p w:rsidR="00EE4502" w:rsidRDefault="00FD45A3">
            <w:pPr>
              <w:widowControl/>
              <w:autoSpaceDE w:val="0"/>
              <w:autoSpaceDN w:val="0"/>
              <w:spacing w:line="0" w:lineRule="atLeast"/>
              <w:jc w:val="center"/>
              <w:rPr>
                <w:kern w:val="21"/>
                <w:szCs w:val="21"/>
              </w:rPr>
            </w:pPr>
            <w:r>
              <w:rPr>
                <w:kern w:val="21"/>
                <w:szCs w:val="21"/>
              </w:rPr>
              <w:t>0.816</w:t>
            </w:r>
          </w:p>
        </w:tc>
        <w:tc>
          <w:tcPr>
            <w:tcW w:w="350" w:type="pct"/>
            <w:vMerge/>
            <w:vAlign w:val="center"/>
          </w:tcPr>
          <w:p w:rsidR="00EE4502" w:rsidRDefault="00EE4502">
            <w:pPr>
              <w:widowControl/>
              <w:autoSpaceDE w:val="0"/>
              <w:autoSpaceDN w:val="0"/>
              <w:spacing w:line="0" w:lineRule="atLeast"/>
              <w:jc w:val="center"/>
              <w:rPr>
                <w:kern w:val="21"/>
                <w:szCs w:val="21"/>
              </w:rPr>
            </w:pPr>
          </w:p>
        </w:tc>
        <w:tc>
          <w:tcPr>
            <w:tcW w:w="765" w:type="pct"/>
            <w:vAlign w:val="center"/>
          </w:tcPr>
          <w:p w:rsidR="00EE4502" w:rsidRDefault="00FD45A3">
            <w:pPr>
              <w:widowControl/>
              <w:autoSpaceDE w:val="0"/>
              <w:autoSpaceDN w:val="0"/>
              <w:spacing w:line="0" w:lineRule="atLeast"/>
              <w:jc w:val="center"/>
              <w:rPr>
                <w:kern w:val="21"/>
                <w:szCs w:val="21"/>
              </w:rPr>
            </w:pPr>
            <w:r>
              <w:rPr>
                <w:kern w:val="21"/>
                <w:szCs w:val="21"/>
              </w:rPr>
              <w:t>26</w:t>
            </w:r>
          </w:p>
        </w:tc>
      </w:tr>
      <w:tr w:rsidR="00EE4502">
        <w:trPr>
          <w:trHeight w:val="397"/>
          <w:jc w:val="center"/>
        </w:trPr>
        <w:tc>
          <w:tcPr>
            <w:tcW w:w="1943" w:type="dxa"/>
            <w:vAlign w:val="center"/>
          </w:tcPr>
          <w:p w:rsidR="00EE4502" w:rsidRDefault="00FD45A3">
            <w:pPr>
              <w:widowControl/>
              <w:adjustRightInd w:val="0"/>
              <w:spacing w:line="0" w:lineRule="atLeast"/>
              <w:jc w:val="center"/>
              <w:rPr>
                <w:kern w:val="21"/>
                <w:szCs w:val="21"/>
              </w:rPr>
            </w:pPr>
            <w:r>
              <w:rPr>
                <w:rFonts w:ascii="宋体" w:hAnsi="宋体" w:cs="宋体" w:hint="eastAsia"/>
                <w:szCs w:val="21"/>
                <w:lang w:bidi="ar"/>
              </w:rPr>
              <w:t>新建增压点</w:t>
            </w:r>
          </w:p>
        </w:tc>
        <w:tc>
          <w:tcPr>
            <w:tcW w:w="921" w:type="pct"/>
            <w:vAlign w:val="center"/>
          </w:tcPr>
          <w:p w:rsidR="00EE4502" w:rsidRDefault="00FD45A3">
            <w:pPr>
              <w:widowControl/>
              <w:autoSpaceDE w:val="0"/>
              <w:autoSpaceDN w:val="0"/>
              <w:spacing w:line="0" w:lineRule="atLeast"/>
              <w:jc w:val="center"/>
              <w:rPr>
                <w:kern w:val="21"/>
                <w:szCs w:val="21"/>
              </w:rPr>
            </w:pPr>
            <w:r>
              <w:rPr>
                <w:kern w:val="21"/>
                <w:szCs w:val="21"/>
              </w:rPr>
              <w:t>非甲烷总烃</w:t>
            </w:r>
          </w:p>
        </w:tc>
        <w:tc>
          <w:tcPr>
            <w:tcW w:w="600" w:type="pct"/>
            <w:vAlign w:val="center"/>
          </w:tcPr>
          <w:p w:rsidR="00EE4502" w:rsidRDefault="00FD45A3">
            <w:pPr>
              <w:widowControl/>
              <w:autoSpaceDE w:val="0"/>
              <w:autoSpaceDN w:val="0"/>
              <w:spacing w:line="0" w:lineRule="atLeast"/>
              <w:jc w:val="center"/>
              <w:rPr>
                <w:kern w:val="21"/>
                <w:szCs w:val="21"/>
              </w:rPr>
            </w:pPr>
            <w:r>
              <w:rPr>
                <w:kern w:val="21"/>
                <w:szCs w:val="21"/>
              </w:rPr>
              <w:t>28.309</w:t>
            </w:r>
          </w:p>
        </w:tc>
        <w:tc>
          <w:tcPr>
            <w:tcW w:w="600" w:type="pct"/>
            <w:vAlign w:val="center"/>
          </w:tcPr>
          <w:p w:rsidR="00EE4502" w:rsidRDefault="00FD45A3">
            <w:pPr>
              <w:widowControl/>
              <w:autoSpaceDE w:val="0"/>
              <w:autoSpaceDN w:val="0"/>
              <w:spacing w:line="0" w:lineRule="atLeast"/>
              <w:jc w:val="center"/>
              <w:rPr>
                <w:kern w:val="21"/>
                <w:szCs w:val="21"/>
              </w:rPr>
            </w:pPr>
            <w:r>
              <w:rPr>
                <w:kern w:val="21"/>
                <w:szCs w:val="21"/>
              </w:rPr>
              <w:t>2000</w:t>
            </w:r>
          </w:p>
        </w:tc>
        <w:tc>
          <w:tcPr>
            <w:tcW w:w="600" w:type="pct"/>
            <w:vAlign w:val="center"/>
          </w:tcPr>
          <w:p w:rsidR="00EE4502" w:rsidRDefault="00FD45A3">
            <w:pPr>
              <w:widowControl/>
              <w:autoSpaceDE w:val="0"/>
              <w:autoSpaceDN w:val="0"/>
              <w:spacing w:line="0" w:lineRule="atLeast"/>
              <w:jc w:val="center"/>
              <w:rPr>
                <w:kern w:val="21"/>
                <w:szCs w:val="21"/>
              </w:rPr>
            </w:pPr>
            <w:r>
              <w:rPr>
                <w:kern w:val="21"/>
                <w:szCs w:val="21"/>
              </w:rPr>
              <w:t>1.415</w:t>
            </w:r>
          </w:p>
        </w:tc>
        <w:tc>
          <w:tcPr>
            <w:tcW w:w="350" w:type="pct"/>
            <w:vMerge/>
            <w:vAlign w:val="center"/>
          </w:tcPr>
          <w:p w:rsidR="00EE4502" w:rsidRDefault="00EE4502">
            <w:pPr>
              <w:widowControl/>
              <w:autoSpaceDE w:val="0"/>
              <w:autoSpaceDN w:val="0"/>
              <w:spacing w:line="0" w:lineRule="atLeast"/>
              <w:jc w:val="center"/>
              <w:rPr>
                <w:kern w:val="21"/>
                <w:szCs w:val="21"/>
              </w:rPr>
            </w:pPr>
          </w:p>
        </w:tc>
        <w:tc>
          <w:tcPr>
            <w:tcW w:w="765" w:type="pct"/>
            <w:vAlign w:val="center"/>
          </w:tcPr>
          <w:p w:rsidR="00EE4502" w:rsidRDefault="00FD45A3">
            <w:pPr>
              <w:widowControl/>
              <w:autoSpaceDE w:val="0"/>
              <w:autoSpaceDN w:val="0"/>
              <w:spacing w:line="0" w:lineRule="atLeast"/>
              <w:jc w:val="center"/>
              <w:rPr>
                <w:kern w:val="21"/>
                <w:szCs w:val="21"/>
              </w:rPr>
            </w:pPr>
            <w:r>
              <w:rPr>
                <w:kern w:val="21"/>
                <w:szCs w:val="21"/>
              </w:rPr>
              <w:t>26</w:t>
            </w:r>
          </w:p>
        </w:tc>
      </w:tr>
    </w:tbl>
    <w:p w:rsidR="00EE4502" w:rsidRDefault="00FD45A3">
      <w:pPr>
        <w:pStyle w:val="affc"/>
        <w:spacing w:line="360" w:lineRule="auto"/>
        <w:ind w:firstLine="480"/>
        <w:rPr>
          <w:rFonts w:ascii="Times New Roman" w:hAnsi="Times New Roman"/>
          <w:spacing w:val="0"/>
          <w:sz w:val="24"/>
        </w:rPr>
      </w:pPr>
      <w:r>
        <w:rPr>
          <w:rFonts w:ascii="Times New Roman" w:hAnsi="Times New Roman" w:hint="eastAsia"/>
          <w:spacing w:val="0"/>
          <w:sz w:val="24"/>
        </w:rPr>
        <w:t>经计算可知，本项目最大占标率为：</w:t>
      </w:r>
      <w:r>
        <w:rPr>
          <w:rFonts w:ascii="Times New Roman" w:hAnsi="Times New Roman" w:hint="eastAsia"/>
          <w:spacing w:val="0"/>
          <w:sz w:val="24"/>
        </w:rPr>
        <w:t>1.415%</w:t>
      </w:r>
      <w:r>
        <w:rPr>
          <w:rFonts w:ascii="Times New Roman" w:hAnsi="Times New Roman" w:hint="eastAsia"/>
          <w:spacing w:val="0"/>
          <w:sz w:val="24"/>
        </w:rPr>
        <w:t>，最大占标率</w:t>
      </w:r>
      <w:r>
        <w:rPr>
          <w:rFonts w:ascii="Times New Roman" w:hAnsi="Times New Roman" w:hint="eastAsia"/>
          <w:spacing w:val="0"/>
          <w:sz w:val="24"/>
        </w:rPr>
        <w:t>1%</w:t>
      </w:r>
      <w:r>
        <w:rPr>
          <w:rFonts w:ascii="Times New Roman" w:hAnsi="Times New Roman" w:hint="eastAsia"/>
          <w:spacing w:val="0"/>
          <w:sz w:val="24"/>
        </w:rPr>
        <w:t>≤</w:t>
      </w:r>
      <w:r>
        <w:rPr>
          <w:rFonts w:ascii="Times New Roman" w:hAnsi="Times New Roman" w:hint="eastAsia"/>
          <w:spacing w:val="0"/>
          <w:sz w:val="24"/>
        </w:rPr>
        <w:t>Pmax</w:t>
      </w:r>
      <w:r>
        <w:rPr>
          <w:rFonts w:ascii="Times New Roman" w:hAnsi="Times New Roman" w:hint="eastAsia"/>
          <w:spacing w:val="0"/>
          <w:sz w:val="24"/>
        </w:rPr>
        <w:t>＜</w:t>
      </w:r>
      <w:r>
        <w:rPr>
          <w:rFonts w:ascii="Times New Roman" w:hAnsi="Times New Roman" w:hint="eastAsia"/>
          <w:spacing w:val="0"/>
          <w:sz w:val="24"/>
        </w:rPr>
        <w:t>10%</w:t>
      </w:r>
      <w:r>
        <w:rPr>
          <w:rFonts w:ascii="Times New Roman" w:hAnsi="Times New Roman" w:hint="eastAsia"/>
          <w:spacing w:val="0"/>
          <w:sz w:val="24"/>
        </w:rPr>
        <w:t>，根据《环境影响评价技术导则</w:t>
      </w:r>
      <w:r>
        <w:rPr>
          <w:rFonts w:ascii="Times New Roman" w:hAnsi="Times New Roman" w:hint="eastAsia"/>
          <w:spacing w:val="0"/>
          <w:sz w:val="24"/>
        </w:rPr>
        <w:t xml:space="preserve"> </w:t>
      </w:r>
      <w:r>
        <w:rPr>
          <w:rFonts w:ascii="Times New Roman" w:hAnsi="Times New Roman" w:hint="eastAsia"/>
          <w:spacing w:val="0"/>
          <w:sz w:val="24"/>
        </w:rPr>
        <w:t>大气环境》（</w:t>
      </w:r>
      <w:r>
        <w:rPr>
          <w:rFonts w:ascii="Times New Roman" w:hAnsi="Times New Roman" w:hint="eastAsia"/>
          <w:spacing w:val="0"/>
          <w:sz w:val="24"/>
        </w:rPr>
        <w:t>HJ2.2-2018</w:t>
      </w:r>
      <w:r>
        <w:rPr>
          <w:rFonts w:ascii="Times New Roman" w:hAnsi="Times New Roman" w:hint="eastAsia"/>
          <w:spacing w:val="0"/>
          <w:sz w:val="24"/>
        </w:rPr>
        <w:t>）的要求，本次环评确定大气影响评价的工作等级为二级</w:t>
      </w:r>
      <w:r>
        <w:rPr>
          <w:rFonts w:ascii="Times New Roman" w:hAnsi="Times New Roman"/>
          <w:spacing w:val="0"/>
          <w:sz w:val="24"/>
        </w:rPr>
        <w:t>。</w:t>
      </w:r>
    </w:p>
    <w:p w:rsidR="00EE4502" w:rsidRDefault="00FD45A3">
      <w:pPr>
        <w:spacing w:line="360" w:lineRule="auto"/>
        <w:ind w:firstLineChars="200" w:firstLine="480"/>
        <w:rPr>
          <w:sz w:val="24"/>
        </w:rPr>
      </w:pPr>
      <w:r>
        <w:rPr>
          <w:rFonts w:hint="eastAsia"/>
          <w:sz w:val="24"/>
        </w:rPr>
        <w:lastRenderedPageBreak/>
        <w:t>（</w:t>
      </w:r>
      <w:r>
        <w:rPr>
          <w:rFonts w:hint="eastAsia"/>
          <w:sz w:val="24"/>
        </w:rPr>
        <w:t>2</w:t>
      </w:r>
      <w:r>
        <w:rPr>
          <w:rFonts w:hint="eastAsia"/>
          <w:sz w:val="24"/>
        </w:rPr>
        <w:t>）</w:t>
      </w:r>
      <w:r>
        <w:rPr>
          <w:rFonts w:hint="eastAsia"/>
          <w:sz w:val="24"/>
        </w:rPr>
        <w:t>评价范围</w:t>
      </w:r>
    </w:p>
    <w:p w:rsidR="00EE4502" w:rsidRDefault="00FD45A3">
      <w:pPr>
        <w:spacing w:line="360" w:lineRule="auto"/>
        <w:ind w:firstLineChars="200" w:firstLine="480"/>
        <w:rPr>
          <w:sz w:val="24"/>
        </w:rPr>
      </w:pPr>
      <w:r>
        <w:rPr>
          <w:rFonts w:hint="eastAsia"/>
          <w:sz w:val="24"/>
        </w:rPr>
        <w:t>本工程</w:t>
      </w:r>
      <w:r>
        <w:rPr>
          <w:sz w:val="24"/>
        </w:rPr>
        <w:t>大气评价为</w:t>
      </w:r>
      <w:r>
        <w:rPr>
          <w:rFonts w:hint="eastAsia"/>
          <w:sz w:val="24"/>
        </w:rPr>
        <w:t>二</w:t>
      </w:r>
      <w:r>
        <w:rPr>
          <w:sz w:val="24"/>
        </w:rPr>
        <w:t>级评价，</w:t>
      </w:r>
      <w:r>
        <w:rPr>
          <w:rFonts w:hint="eastAsia"/>
          <w:sz w:val="24"/>
        </w:rPr>
        <w:t>根据《环境影响评价技术导则</w:t>
      </w:r>
      <w:r>
        <w:rPr>
          <w:rFonts w:hint="eastAsia"/>
          <w:sz w:val="24"/>
        </w:rPr>
        <w:t xml:space="preserve"> </w:t>
      </w:r>
      <w:r>
        <w:rPr>
          <w:rFonts w:hint="eastAsia"/>
          <w:sz w:val="24"/>
        </w:rPr>
        <w:t>大气环境》（</w:t>
      </w:r>
      <w:r>
        <w:rPr>
          <w:rFonts w:hint="eastAsia"/>
          <w:sz w:val="24"/>
        </w:rPr>
        <w:t>HJ2.2-2018</w:t>
      </w:r>
      <w:r>
        <w:rPr>
          <w:rFonts w:hint="eastAsia"/>
          <w:sz w:val="24"/>
        </w:rPr>
        <w:t>），并结合本项目特点，最终确定将以各</w:t>
      </w:r>
      <w:r>
        <w:rPr>
          <w:rFonts w:hint="eastAsia"/>
          <w:sz w:val="24"/>
        </w:rPr>
        <w:t>采油</w:t>
      </w:r>
      <w:r>
        <w:rPr>
          <w:rFonts w:hint="eastAsia"/>
          <w:sz w:val="24"/>
        </w:rPr>
        <w:t>井场、站场为中心，边长</w:t>
      </w:r>
      <w:r>
        <w:rPr>
          <w:rFonts w:hint="eastAsia"/>
          <w:sz w:val="24"/>
        </w:rPr>
        <w:t>5km</w:t>
      </w:r>
      <w:r>
        <w:rPr>
          <w:rFonts w:hint="eastAsia"/>
          <w:sz w:val="24"/>
        </w:rPr>
        <w:t>的矩形区域作为大气环境评价范围</w:t>
      </w:r>
      <w:r>
        <w:rPr>
          <w:sz w:val="24"/>
        </w:rPr>
        <w:t>。</w:t>
      </w:r>
    </w:p>
    <w:p w:rsidR="00EE4502" w:rsidRDefault="00FD45A3">
      <w:pPr>
        <w:pStyle w:val="33"/>
        <w:numPr>
          <w:ilvl w:val="2"/>
          <w:numId w:val="30"/>
        </w:numPr>
        <w:spacing w:line="360" w:lineRule="auto"/>
        <w:ind w:left="0" w:firstLine="0"/>
        <w:rPr>
          <w:spacing w:val="0"/>
          <w:sz w:val="24"/>
          <w:szCs w:val="24"/>
        </w:rPr>
      </w:pPr>
      <w:r>
        <w:rPr>
          <w:rFonts w:hint="eastAsia"/>
          <w:spacing w:val="0"/>
          <w:sz w:val="24"/>
          <w:szCs w:val="24"/>
        </w:rPr>
        <w:t>声环境影响评价等级和评价范围</w:t>
      </w:r>
    </w:p>
    <w:p w:rsidR="00EE4502" w:rsidRDefault="00FD45A3">
      <w:pPr>
        <w:spacing w:line="360" w:lineRule="auto"/>
        <w:ind w:firstLineChars="200" w:firstLine="480"/>
        <w:rPr>
          <w:sz w:val="24"/>
        </w:rPr>
      </w:pPr>
      <w:r>
        <w:rPr>
          <w:rFonts w:hint="eastAsia"/>
          <w:sz w:val="24"/>
        </w:rPr>
        <w:t>（</w:t>
      </w:r>
      <w:r>
        <w:rPr>
          <w:rFonts w:hint="eastAsia"/>
          <w:sz w:val="24"/>
        </w:rPr>
        <w:t>1</w:t>
      </w:r>
      <w:r>
        <w:rPr>
          <w:rFonts w:hint="eastAsia"/>
          <w:sz w:val="24"/>
        </w:rPr>
        <w:t>）评价等级</w:t>
      </w:r>
    </w:p>
    <w:p w:rsidR="00EE4502" w:rsidRDefault="00FD45A3">
      <w:pPr>
        <w:spacing w:line="360" w:lineRule="auto"/>
        <w:ind w:firstLineChars="200" w:firstLine="480"/>
        <w:rPr>
          <w:sz w:val="24"/>
        </w:rPr>
      </w:pPr>
      <w:r>
        <w:rPr>
          <w:sz w:val="24"/>
        </w:rPr>
        <w:t>本工程涉及的噪声源可分为连续稳定噪声源和流动噪声源。噪声源主要包括施工期内机械噪声、生产</w:t>
      </w:r>
      <w:r>
        <w:rPr>
          <w:rFonts w:hint="eastAsia"/>
          <w:sz w:val="24"/>
        </w:rPr>
        <w:t>运营期</w:t>
      </w:r>
      <w:r>
        <w:rPr>
          <w:sz w:val="24"/>
        </w:rPr>
        <w:t>站场机泵噪声和井场井下作业噪声。</w:t>
      </w:r>
    </w:p>
    <w:p w:rsidR="00EE4502" w:rsidRDefault="00FD45A3">
      <w:pPr>
        <w:spacing w:line="360" w:lineRule="auto"/>
        <w:ind w:firstLineChars="200" w:firstLine="480"/>
        <w:rPr>
          <w:sz w:val="24"/>
        </w:rPr>
      </w:pPr>
      <w:r>
        <w:rPr>
          <w:sz w:val="24"/>
        </w:rPr>
        <w:t>本工程所在功能区适用于《声环境质量标准》（</w:t>
      </w:r>
      <w:r>
        <w:rPr>
          <w:sz w:val="24"/>
        </w:rPr>
        <w:t>GB3096-2008</w:t>
      </w:r>
      <w:r>
        <w:rPr>
          <w:sz w:val="24"/>
        </w:rPr>
        <w:t>）中规定的</w:t>
      </w:r>
      <w:r>
        <w:rPr>
          <w:sz w:val="24"/>
        </w:rPr>
        <w:t>2</w:t>
      </w:r>
      <w:r>
        <w:rPr>
          <w:sz w:val="24"/>
        </w:rPr>
        <w:t>类标准，且噪声源周围</w:t>
      </w:r>
      <w:r>
        <w:rPr>
          <w:sz w:val="24"/>
        </w:rPr>
        <w:t>200m</w:t>
      </w:r>
      <w:r>
        <w:rPr>
          <w:sz w:val="24"/>
        </w:rPr>
        <w:t>没有固定集中的人群活动。依据《环境影响评价技术导则</w:t>
      </w:r>
      <w:r>
        <w:rPr>
          <w:sz w:val="24"/>
        </w:rPr>
        <w:t>-</w:t>
      </w:r>
      <w:r>
        <w:rPr>
          <w:sz w:val="24"/>
        </w:rPr>
        <w:t>声环境》（</w:t>
      </w:r>
      <w:r>
        <w:rPr>
          <w:sz w:val="24"/>
        </w:rPr>
        <w:t>HJ2.4-2021</w:t>
      </w:r>
      <w:r>
        <w:rPr>
          <w:sz w:val="24"/>
        </w:rPr>
        <w:t>）中的规定，本工程声环境影响评价工作等级定为二级。</w:t>
      </w:r>
    </w:p>
    <w:p w:rsidR="00EE4502" w:rsidRDefault="00FD45A3">
      <w:pPr>
        <w:spacing w:line="360" w:lineRule="auto"/>
        <w:ind w:firstLineChars="200" w:firstLine="480"/>
        <w:rPr>
          <w:sz w:val="24"/>
        </w:rPr>
      </w:pPr>
      <w:r>
        <w:rPr>
          <w:rFonts w:hint="eastAsia"/>
          <w:sz w:val="24"/>
        </w:rPr>
        <w:t>（</w:t>
      </w:r>
      <w:r>
        <w:rPr>
          <w:rFonts w:hint="eastAsia"/>
          <w:sz w:val="24"/>
        </w:rPr>
        <w:t>2</w:t>
      </w:r>
      <w:r>
        <w:rPr>
          <w:rFonts w:hint="eastAsia"/>
          <w:sz w:val="24"/>
        </w:rPr>
        <w:t>）</w:t>
      </w:r>
      <w:r>
        <w:rPr>
          <w:rFonts w:hint="eastAsia"/>
          <w:sz w:val="24"/>
        </w:rPr>
        <w:t>评价范围</w:t>
      </w:r>
    </w:p>
    <w:p w:rsidR="00EE4502" w:rsidRDefault="00FD45A3">
      <w:pPr>
        <w:spacing w:line="360" w:lineRule="auto"/>
        <w:ind w:firstLineChars="200" w:firstLine="480"/>
        <w:rPr>
          <w:sz w:val="24"/>
        </w:rPr>
      </w:pPr>
      <w:r>
        <w:rPr>
          <w:sz w:val="24"/>
        </w:rPr>
        <w:t>根据项目特点，本次声环境影响评价范围为</w:t>
      </w:r>
      <w:r>
        <w:rPr>
          <w:rFonts w:hint="eastAsia"/>
          <w:sz w:val="24"/>
        </w:rPr>
        <w:t>工程</w:t>
      </w:r>
      <w:r>
        <w:rPr>
          <w:sz w:val="24"/>
        </w:rPr>
        <w:t>区</w:t>
      </w:r>
      <w:r>
        <w:rPr>
          <w:rFonts w:hint="eastAsia"/>
          <w:sz w:val="24"/>
        </w:rPr>
        <w:t>内及工程区</w:t>
      </w:r>
      <w:r>
        <w:rPr>
          <w:sz w:val="24"/>
        </w:rPr>
        <w:t>边界向外扩</w:t>
      </w:r>
      <w:r>
        <w:rPr>
          <w:sz w:val="24"/>
        </w:rPr>
        <w:t>200m</w:t>
      </w:r>
      <w:r>
        <w:rPr>
          <w:sz w:val="24"/>
        </w:rPr>
        <w:t>作为声环境影响评价范围。</w:t>
      </w:r>
    </w:p>
    <w:p w:rsidR="00EE4502" w:rsidRDefault="00FD45A3">
      <w:pPr>
        <w:pStyle w:val="33"/>
        <w:numPr>
          <w:ilvl w:val="2"/>
          <w:numId w:val="30"/>
        </w:numPr>
        <w:spacing w:line="360" w:lineRule="auto"/>
        <w:ind w:left="0" w:firstLine="0"/>
        <w:rPr>
          <w:spacing w:val="0"/>
          <w:sz w:val="24"/>
          <w:szCs w:val="24"/>
        </w:rPr>
      </w:pPr>
      <w:r>
        <w:rPr>
          <w:rFonts w:hint="eastAsia"/>
          <w:spacing w:val="0"/>
          <w:sz w:val="24"/>
          <w:szCs w:val="24"/>
        </w:rPr>
        <w:t>环境风险评价等级和评价范围</w:t>
      </w:r>
    </w:p>
    <w:p w:rsidR="00EE4502" w:rsidRDefault="00FD45A3">
      <w:pPr>
        <w:spacing w:line="360" w:lineRule="auto"/>
        <w:ind w:firstLineChars="200" w:firstLine="480"/>
        <w:rPr>
          <w:sz w:val="24"/>
        </w:rPr>
      </w:pPr>
      <w:r>
        <w:rPr>
          <w:rFonts w:hint="eastAsia"/>
          <w:sz w:val="24"/>
        </w:rPr>
        <w:t>（</w:t>
      </w:r>
      <w:r>
        <w:rPr>
          <w:rFonts w:hint="eastAsia"/>
          <w:sz w:val="24"/>
        </w:rPr>
        <w:t>1</w:t>
      </w:r>
      <w:r>
        <w:rPr>
          <w:rFonts w:hint="eastAsia"/>
          <w:sz w:val="24"/>
        </w:rPr>
        <w:t>）评价等级</w:t>
      </w:r>
    </w:p>
    <w:p w:rsidR="00EE4502" w:rsidRDefault="00FD45A3">
      <w:pPr>
        <w:spacing w:line="360" w:lineRule="auto"/>
        <w:ind w:firstLineChars="200" w:firstLine="480"/>
        <w:rPr>
          <w:sz w:val="24"/>
        </w:rPr>
      </w:pPr>
      <w:r>
        <w:rPr>
          <w:sz w:val="24"/>
        </w:rPr>
        <w:t>根据《建设项目环境风险评价技术导则》（</w:t>
      </w:r>
      <w:r>
        <w:rPr>
          <w:sz w:val="24"/>
        </w:rPr>
        <w:t>HJ169-2018</w:t>
      </w:r>
      <w:r>
        <w:rPr>
          <w:sz w:val="24"/>
        </w:rPr>
        <w:t>）风险评价等级划分原则，将环境风险评价工作划分为一、二、三级和简单分析。</w:t>
      </w:r>
    </w:p>
    <w:p w:rsidR="00EE4502" w:rsidRDefault="00FD45A3">
      <w:pPr>
        <w:spacing w:line="360" w:lineRule="auto"/>
        <w:ind w:firstLineChars="200" w:firstLine="480"/>
        <w:rPr>
          <w:sz w:val="24"/>
        </w:rPr>
      </w:pPr>
      <w:r>
        <w:rPr>
          <w:sz w:val="24"/>
        </w:rPr>
        <w:t>评价工作等级划分见表</w:t>
      </w:r>
      <w:r>
        <w:rPr>
          <w:snapToGrid w:val="0"/>
          <w:kern w:val="0"/>
          <w:sz w:val="24"/>
          <w:szCs w:val="28"/>
          <w:lang w:bidi="zh-CN"/>
        </w:rPr>
        <w:t>2-</w:t>
      </w:r>
      <w:r>
        <w:rPr>
          <w:rFonts w:hint="eastAsia"/>
          <w:snapToGrid w:val="0"/>
          <w:kern w:val="0"/>
          <w:sz w:val="24"/>
          <w:szCs w:val="28"/>
          <w:lang w:bidi="zh-CN"/>
        </w:rPr>
        <w:t>5-10</w:t>
      </w:r>
      <w:r>
        <w:rPr>
          <w:snapToGrid w:val="0"/>
          <w:kern w:val="0"/>
          <w:sz w:val="24"/>
          <w:szCs w:val="28"/>
          <w:lang w:bidi="zh-CN"/>
        </w:rPr>
        <w:t>。</w:t>
      </w:r>
    </w:p>
    <w:p w:rsidR="00EE4502" w:rsidRDefault="00FD45A3">
      <w:pPr>
        <w:spacing w:line="360" w:lineRule="auto"/>
        <w:ind w:firstLineChars="200" w:firstLine="420"/>
        <w:jc w:val="center"/>
        <w:rPr>
          <w:rFonts w:eastAsia="黑体"/>
          <w:szCs w:val="21"/>
        </w:rPr>
      </w:pPr>
      <w:r>
        <w:rPr>
          <w:rFonts w:eastAsia="黑体"/>
          <w:szCs w:val="21"/>
        </w:rPr>
        <w:t>表</w:t>
      </w:r>
      <w:r>
        <w:rPr>
          <w:rFonts w:eastAsia="黑体"/>
          <w:szCs w:val="21"/>
        </w:rPr>
        <w:t>2-</w:t>
      </w:r>
      <w:r>
        <w:rPr>
          <w:rFonts w:eastAsia="黑体" w:hint="eastAsia"/>
          <w:szCs w:val="21"/>
        </w:rPr>
        <w:t>5-10</w:t>
      </w:r>
      <w:r>
        <w:rPr>
          <w:rFonts w:eastAsia="黑体"/>
          <w:szCs w:val="21"/>
        </w:rPr>
        <w:t xml:space="preserve">    </w:t>
      </w:r>
      <w:r>
        <w:rPr>
          <w:rFonts w:eastAsia="黑体"/>
          <w:szCs w:val="21"/>
        </w:rPr>
        <w:t>环境风险评价工作等级划分表</w:t>
      </w:r>
    </w:p>
    <w:tbl>
      <w:tblPr>
        <w:tblW w:w="4998" w:type="pct"/>
        <w:jc w:val="center"/>
        <w:tblBorders>
          <w:top w:val="single" w:sz="8" w:space="0" w:color="auto"/>
          <w:bottom w:val="single" w:sz="8" w:space="0" w:color="auto"/>
          <w:insideH w:val="single" w:sz="8" w:space="0" w:color="auto"/>
          <w:insideV w:val="single" w:sz="8" w:space="0" w:color="auto"/>
        </w:tblBorders>
        <w:tblLook w:val="04A0" w:firstRow="1" w:lastRow="0" w:firstColumn="1" w:lastColumn="0" w:noHBand="0" w:noVBand="1"/>
      </w:tblPr>
      <w:tblGrid>
        <w:gridCol w:w="1701"/>
        <w:gridCol w:w="1706"/>
        <w:gridCol w:w="1702"/>
        <w:gridCol w:w="1704"/>
        <w:gridCol w:w="1706"/>
      </w:tblGrid>
      <w:tr w:rsidR="00EE4502">
        <w:trPr>
          <w:trHeight w:val="340"/>
          <w:jc w:val="center"/>
        </w:trPr>
        <w:tc>
          <w:tcPr>
            <w:tcW w:w="999" w:type="pct"/>
            <w:vAlign w:val="center"/>
          </w:tcPr>
          <w:p w:rsidR="00EE4502" w:rsidRDefault="00FD45A3">
            <w:pPr>
              <w:pStyle w:val="affffffffffffffffffff7"/>
              <w:adjustRightInd/>
              <w:spacing w:after="0" w:line="240" w:lineRule="auto"/>
              <w:rPr>
                <w:rFonts w:ascii="Times New Roman" w:cs="Times New Roman"/>
                <w:b w:val="0"/>
                <w:bCs/>
                <w:sz w:val="18"/>
                <w:szCs w:val="18"/>
                <w:lang w:val="en-US"/>
              </w:rPr>
            </w:pPr>
            <w:r>
              <w:rPr>
                <w:rFonts w:ascii="Times New Roman" w:hAnsi="宋体" w:cs="Times New Roman"/>
                <w:b w:val="0"/>
                <w:bCs/>
                <w:sz w:val="18"/>
                <w:szCs w:val="18"/>
                <w:lang w:val="en-US"/>
              </w:rPr>
              <w:t>环境风险潜势</w:t>
            </w:r>
          </w:p>
        </w:tc>
        <w:tc>
          <w:tcPr>
            <w:tcW w:w="1001" w:type="pct"/>
            <w:vAlign w:val="center"/>
          </w:tcPr>
          <w:p w:rsidR="00EE4502" w:rsidRDefault="00FD45A3">
            <w:pPr>
              <w:pStyle w:val="affffffffffffffffffff7"/>
              <w:adjustRightInd/>
              <w:spacing w:after="0" w:line="240" w:lineRule="auto"/>
              <w:rPr>
                <w:rFonts w:ascii="Times New Roman" w:cs="Times New Roman"/>
                <w:b w:val="0"/>
                <w:bCs/>
                <w:sz w:val="18"/>
                <w:szCs w:val="18"/>
                <w:lang w:val="en-US"/>
              </w:rPr>
            </w:pPr>
            <w:r>
              <w:rPr>
                <w:rFonts w:hAnsi="宋体" w:cs="Times New Roman"/>
                <w:b w:val="0"/>
                <w:bCs/>
                <w:sz w:val="18"/>
                <w:szCs w:val="18"/>
              </w:rPr>
              <w:t>Ⅳ</w:t>
            </w:r>
            <w:r>
              <w:rPr>
                <w:rFonts w:ascii="Times New Roman" w:hAnsi="宋体" w:cs="Times New Roman"/>
                <w:b w:val="0"/>
                <w:bCs/>
                <w:sz w:val="18"/>
                <w:szCs w:val="18"/>
              </w:rPr>
              <w:t>、</w:t>
            </w:r>
            <w:r>
              <w:rPr>
                <w:rFonts w:hAnsi="宋体" w:cs="Times New Roman"/>
                <w:b w:val="0"/>
                <w:bCs/>
                <w:sz w:val="18"/>
                <w:szCs w:val="18"/>
              </w:rPr>
              <w:t>Ⅳ</w:t>
            </w:r>
            <w:r>
              <w:rPr>
                <w:rFonts w:ascii="Times New Roman" w:cs="Times New Roman"/>
                <w:b w:val="0"/>
                <w:bCs/>
                <w:sz w:val="18"/>
                <w:szCs w:val="18"/>
                <w:vertAlign w:val="superscript"/>
                <w:lang w:val="en-US"/>
              </w:rPr>
              <w:t>+</w:t>
            </w:r>
          </w:p>
        </w:tc>
        <w:tc>
          <w:tcPr>
            <w:tcW w:w="999" w:type="pct"/>
            <w:vAlign w:val="center"/>
          </w:tcPr>
          <w:p w:rsidR="00EE4502" w:rsidRDefault="00FD45A3">
            <w:pPr>
              <w:pStyle w:val="affffffffffffffffffff7"/>
              <w:adjustRightInd/>
              <w:spacing w:after="0" w:line="240" w:lineRule="auto"/>
              <w:rPr>
                <w:rFonts w:ascii="Times New Roman" w:cs="Times New Roman"/>
                <w:b w:val="0"/>
                <w:bCs/>
                <w:sz w:val="18"/>
                <w:szCs w:val="18"/>
              </w:rPr>
            </w:pPr>
            <w:r>
              <w:rPr>
                <w:rFonts w:hAnsi="宋体" w:cs="Times New Roman"/>
                <w:b w:val="0"/>
                <w:bCs/>
                <w:sz w:val="18"/>
                <w:szCs w:val="18"/>
              </w:rPr>
              <w:t>Ⅲ</w:t>
            </w:r>
          </w:p>
        </w:tc>
        <w:tc>
          <w:tcPr>
            <w:tcW w:w="1000" w:type="pct"/>
            <w:vAlign w:val="center"/>
          </w:tcPr>
          <w:p w:rsidR="00EE4502" w:rsidRDefault="00FD45A3">
            <w:pPr>
              <w:pStyle w:val="affffffffffffffffffff7"/>
              <w:adjustRightInd/>
              <w:spacing w:after="0" w:line="240" w:lineRule="auto"/>
              <w:rPr>
                <w:rFonts w:ascii="Times New Roman" w:cs="Times New Roman"/>
                <w:b w:val="0"/>
                <w:bCs/>
                <w:sz w:val="18"/>
                <w:szCs w:val="18"/>
              </w:rPr>
            </w:pPr>
            <w:r>
              <w:rPr>
                <w:rFonts w:hAnsi="宋体" w:cs="Times New Roman"/>
                <w:b w:val="0"/>
                <w:bCs/>
                <w:sz w:val="18"/>
                <w:szCs w:val="18"/>
              </w:rPr>
              <w:t>Ⅱ</w:t>
            </w:r>
          </w:p>
        </w:tc>
        <w:tc>
          <w:tcPr>
            <w:tcW w:w="999" w:type="pct"/>
            <w:vAlign w:val="center"/>
          </w:tcPr>
          <w:p w:rsidR="00EE4502" w:rsidRDefault="00FD45A3">
            <w:pPr>
              <w:pStyle w:val="affffffffffffffffffff7"/>
              <w:adjustRightInd/>
              <w:spacing w:after="0" w:line="240" w:lineRule="auto"/>
              <w:rPr>
                <w:rFonts w:ascii="Times New Roman" w:cs="Times New Roman"/>
                <w:b w:val="0"/>
                <w:bCs/>
                <w:sz w:val="18"/>
                <w:szCs w:val="18"/>
              </w:rPr>
            </w:pPr>
            <w:r>
              <w:rPr>
                <w:rFonts w:hAnsi="宋体" w:cs="Times New Roman"/>
                <w:b w:val="0"/>
                <w:bCs/>
                <w:sz w:val="18"/>
                <w:szCs w:val="18"/>
              </w:rPr>
              <w:t>Ⅰ</w:t>
            </w:r>
          </w:p>
        </w:tc>
      </w:tr>
      <w:tr w:rsidR="00EE4502">
        <w:trPr>
          <w:trHeight w:val="340"/>
          <w:jc w:val="center"/>
        </w:trPr>
        <w:tc>
          <w:tcPr>
            <w:tcW w:w="999" w:type="pct"/>
            <w:vAlign w:val="center"/>
          </w:tcPr>
          <w:p w:rsidR="00EE4502" w:rsidRDefault="00FD45A3">
            <w:pPr>
              <w:pStyle w:val="affffffffffffffffffff7"/>
              <w:adjustRightInd/>
              <w:spacing w:after="0" w:line="240" w:lineRule="auto"/>
              <w:rPr>
                <w:rFonts w:ascii="Times New Roman" w:cs="Times New Roman"/>
                <w:b w:val="0"/>
                <w:bCs/>
                <w:sz w:val="18"/>
                <w:szCs w:val="18"/>
                <w:lang w:val="en-US"/>
              </w:rPr>
            </w:pPr>
            <w:r>
              <w:rPr>
                <w:rFonts w:ascii="Times New Roman" w:hAnsi="宋体" w:cs="Times New Roman"/>
                <w:b w:val="0"/>
                <w:bCs/>
                <w:sz w:val="18"/>
                <w:szCs w:val="18"/>
                <w:lang w:val="en-US"/>
              </w:rPr>
              <w:t>评价工作等级</w:t>
            </w:r>
          </w:p>
        </w:tc>
        <w:tc>
          <w:tcPr>
            <w:tcW w:w="1001" w:type="pct"/>
            <w:vAlign w:val="center"/>
          </w:tcPr>
          <w:p w:rsidR="00EE4502" w:rsidRDefault="00FD45A3">
            <w:pPr>
              <w:pStyle w:val="affffffffffffffffffff7"/>
              <w:adjustRightInd/>
              <w:spacing w:after="0" w:line="240" w:lineRule="auto"/>
              <w:rPr>
                <w:rFonts w:ascii="Times New Roman" w:cs="Times New Roman"/>
                <w:b w:val="0"/>
                <w:bCs/>
                <w:sz w:val="18"/>
                <w:szCs w:val="18"/>
                <w:lang w:val="en-US"/>
              </w:rPr>
            </w:pPr>
            <w:r>
              <w:rPr>
                <w:rFonts w:ascii="Times New Roman" w:hAnsi="宋体" w:cs="Times New Roman"/>
                <w:b w:val="0"/>
                <w:bCs/>
                <w:sz w:val="18"/>
                <w:szCs w:val="18"/>
                <w:lang w:val="en-US"/>
              </w:rPr>
              <w:t>一</w:t>
            </w:r>
          </w:p>
        </w:tc>
        <w:tc>
          <w:tcPr>
            <w:tcW w:w="999" w:type="pct"/>
            <w:vAlign w:val="center"/>
          </w:tcPr>
          <w:p w:rsidR="00EE4502" w:rsidRDefault="00FD45A3">
            <w:pPr>
              <w:pStyle w:val="affffffffffffffffffff7"/>
              <w:adjustRightInd/>
              <w:spacing w:after="0" w:line="240" w:lineRule="auto"/>
              <w:rPr>
                <w:rFonts w:ascii="Times New Roman" w:cs="Times New Roman"/>
                <w:b w:val="0"/>
                <w:bCs/>
                <w:sz w:val="18"/>
                <w:szCs w:val="18"/>
                <w:lang w:val="en-US"/>
              </w:rPr>
            </w:pPr>
            <w:r>
              <w:rPr>
                <w:rFonts w:ascii="Times New Roman" w:hAnsi="宋体" w:cs="Times New Roman"/>
                <w:b w:val="0"/>
                <w:bCs/>
                <w:sz w:val="18"/>
                <w:szCs w:val="18"/>
                <w:lang w:val="en-US"/>
              </w:rPr>
              <w:t>二</w:t>
            </w:r>
          </w:p>
        </w:tc>
        <w:tc>
          <w:tcPr>
            <w:tcW w:w="1000" w:type="pct"/>
            <w:vAlign w:val="center"/>
          </w:tcPr>
          <w:p w:rsidR="00EE4502" w:rsidRDefault="00FD45A3">
            <w:pPr>
              <w:pStyle w:val="affffffffffffffffffff7"/>
              <w:adjustRightInd/>
              <w:spacing w:after="0" w:line="240" w:lineRule="auto"/>
              <w:rPr>
                <w:rFonts w:ascii="Times New Roman" w:cs="Times New Roman"/>
                <w:b w:val="0"/>
                <w:bCs/>
                <w:sz w:val="18"/>
                <w:szCs w:val="18"/>
                <w:lang w:val="en-US"/>
              </w:rPr>
            </w:pPr>
            <w:r>
              <w:rPr>
                <w:rFonts w:ascii="Times New Roman" w:hAnsi="宋体" w:cs="Times New Roman"/>
                <w:b w:val="0"/>
                <w:bCs/>
                <w:sz w:val="18"/>
                <w:szCs w:val="18"/>
                <w:lang w:val="en-US"/>
              </w:rPr>
              <w:t>三</w:t>
            </w:r>
          </w:p>
        </w:tc>
        <w:tc>
          <w:tcPr>
            <w:tcW w:w="999" w:type="pct"/>
            <w:vAlign w:val="center"/>
          </w:tcPr>
          <w:p w:rsidR="00EE4502" w:rsidRDefault="00FD45A3">
            <w:pPr>
              <w:pStyle w:val="affffffffffffffffffff7"/>
              <w:adjustRightInd/>
              <w:spacing w:after="0" w:line="240" w:lineRule="auto"/>
              <w:rPr>
                <w:rFonts w:ascii="Times New Roman" w:cs="Times New Roman"/>
                <w:b w:val="0"/>
                <w:bCs/>
                <w:sz w:val="18"/>
                <w:szCs w:val="18"/>
                <w:lang w:val="en-US"/>
              </w:rPr>
            </w:pPr>
            <w:r>
              <w:rPr>
                <w:rFonts w:ascii="Times New Roman" w:hAnsi="宋体" w:cs="Times New Roman"/>
                <w:b w:val="0"/>
                <w:bCs/>
                <w:sz w:val="18"/>
                <w:szCs w:val="18"/>
                <w:lang w:val="en-US"/>
              </w:rPr>
              <w:t>简单分析</w:t>
            </w:r>
            <w:r>
              <w:rPr>
                <w:rFonts w:ascii="Times New Roman" w:cs="Times New Roman"/>
                <w:b w:val="0"/>
                <w:bCs/>
                <w:sz w:val="18"/>
                <w:szCs w:val="18"/>
                <w:vertAlign w:val="superscript"/>
                <w:lang w:val="en-US"/>
              </w:rPr>
              <w:t>a</w:t>
            </w:r>
          </w:p>
        </w:tc>
      </w:tr>
      <w:tr w:rsidR="00EE4502">
        <w:trPr>
          <w:trHeight w:val="340"/>
          <w:jc w:val="center"/>
        </w:trPr>
        <w:tc>
          <w:tcPr>
            <w:tcW w:w="5000" w:type="pct"/>
            <w:gridSpan w:val="5"/>
            <w:vAlign w:val="center"/>
          </w:tcPr>
          <w:p w:rsidR="00EE4502" w:rsidRDefault="00FD45A3">
            <w:pPr>
              <w:pStyle w:val="affffffffffffffffffff7"/>
              <w:adjustRightInd/>
              <w:spacing w:after="0" w:line="240" w:lineRule="auto"/>
              <w:jc w:val="both"/>
              <w:rPr>
                <w:rFonts w:ascii="Times New Roman" w:cs="Times New Roman"/>
                <w:b w:val="0"/>
                <w:bCs/>
                <w:sz w:val="18"/>
                <w:szCs w:val="18"/>
                <w:lang w:val="en-US"/>
              </w:rPr>
            </w:pPr>
            <w:r>
              <w:rPr>
                <w:rFonts w:ascii="Times New Roman" w:cs="Times New Roman"/>
                <w:b w:val="0"/>
                <w:bCs/>
                <w:sz w:val="18"/>
                <w:szCs w:val="18"/>
                <w:lang w:val="en-US"/>
              </w:rPr>
              <w:t>a</w:t>
            </w:r>
            <w:r>
              <w:rPr>
                <w:rFonts w:ascii="Times New Roman" w:hAnsi="宋体" w:cs="Times New Roman"/>
                <w:b w:val="0"/>
                <w:bCs/>
                <w:sz w:val="18"/>
                <w:szCs w:val="18"/>
                <w:lang w:val="en-US"/>
              </w:rPr>
              <w:t>是相对于详细评价工作内容而言，在描述危险物质、环境影响途径、环境危害后果、风险防范措施等方面给出定性的说明。见附录</w:t>
            </w:r>
            <w:r>
              <w:rPr>
                <w:rFonts w:ascii="Times New Roman" w:cs="Times New Roman"/>
                <w:b w:val="0"/>
                <w:bCs/>
                <w:sz w:val="18"/>
                <w:szCs w:val="18"/>
                <w:lang w:val="en-US"/>
              </w:rPr>
              <w:t>A</w:t>
            </w:r>
            <w:r>
              <w:rPr>
                <w:rFonts w:ascii="Times New Roman" w:hAnsi="宋体" w:cs="Times New Roman"/>
                <w:b w:val="0"/>
                <w:bCs/>
                <w:sz w:val="18"/>
                <w:szCs w:val="18"/>
                <w:lang w:val="en-US"/>
              </w:rPr>
              <w:t>。</w:t>
            </w:r>
          </w:p>
        </w:tc>
      </w:tr>
    </w:tbl>
    <w:p w:rsidR="00EE4502" w:rsidRDefault="00EE4502">
      <w:pPr>
        <w:jc w:val="center"/>
        <w:rPr>
          <w:sz w:val="18"/>
          <w:szCs w:val="18"/>
        </w:rPr>
      </w:pPr>
    </w:p>
    <w:p w:rsidR="00EE4502" w:rsidRDefault="00FD45A3">
      <w:pPr>
        <w:spacing w:line="360" w:lineRule="auto"/>
        <w:ind w:firstLineChars="200" w:firstLine="480"/>
        <w:rPr>
          <w:sz w:val="24"/>
        </w:rPr>
      </w:pPr>
      <w:r>
        <w:rPr>
          <w:rFonts w:hint="eastAsia"/>
          <w:sz w:val="24"/>
        </w:rPr>
        <w:t>1</w:t>
      </w:r>
      <w:r>
        <w:rPr>
          <w:rFonts w:hint="eastAsia"/>
          <w:sz w:val="24"/>
        </w:rPr>
        <w:t>）</w:t>
      </w:r>
      <w:r>
        <w:rPr>
          <w:rFonts w:hint="eastAsia"/>
          <w:sz w:val="24"/>
        </w:rPr>
        <w:t>建设项目风险源调查和环境敏感目标调查</w:t>
      </w:r>
    </w:p>
    <w:p w:rsidR="00EE4502" w:rsidRDefault="00FD45A3">
      <w:pPr>
        <w:spacing w:line="360" w:lineRule="auto"/>
        <w:ind w:firstLineChars="200" w:firstLine="480"/>
        <w:rPr>
          <w:sz w:val="24"/>
        </w:rPr>
      </w:pPr>
      <w:r>
        <w:rPr>
          <w:rFonts w:hint="eastAsia"/>
          <w:sz w:val="24"/>
        </w:rPr>
        <w:t>本工程</w:t>
      </w:r>
      <w:r>
        <w:rPr>
          <w:sz w:val="24"/>
        </w:rPr>
        <w:t>涉及的风险物质为原油</w:t>
      </w:r>
      <w:r>
        <w:rPr>
          <w:rFonts w:hint="eastAsia"/>
          <w:sz w:val="24"/>
        </w:rPr>
        <w:t>和天然气</w:t>
      </w:r>
      <w:r>
        <w:rPr>
          <w:sz w:val="24"/>
        </w:rPr>
        <w:t>。</w:t>
      </w:r>
      <w:r>
        <w:rPr>
          <w:rFonts w:hint="eastAsia"/>
          <w:sz w:val="24"/>
        </w:rPr>
        <w:t>工程区</w:t>
      </w:r>
      <w:r>
        <w:rPr>
          <w:sz w:val="24"/>
        </w:rPr>
        <w:t>评价范围没有自然保护区、水源保护区、文物保护单位</w:t>
      </w:r>
      <w:r>
        <w:rPr>
          <w:rFonts w:hint="eastAsia"/>
          <w:sz w:val="24"/>
        </w:rPr>
        <w:t>等其他</w:t>
      </w:r>
      <w:r>
        <w:rPr>
          <w:sz w:val="24"/>
        </w:rPr>
        <w:t>特殊敏感目标。</w:t>
      </w:r>
    </w:p>
    <w:p w:rsidR="00EE4502" w:rsidRDefault="00FD45A3">
      <w:pPr>
        <w:spacing w:line="360" w:lineRule="auto"/>
        <w:ind w:firstLineChars="200" w:firstLine="480"/>
        <w:rPr>
          <w:sz w:val="24"/>
        </w:rPr>
      </w:pPr>
      <w:r>
        <w:rPr>
          <w:rFonts w:hint="eastAsia"/>
          <w:sz w:val="24"/>
        </w:rPr>
        <w:t>2</w:t>
      </w:r>
      <w:r>
        <w:rPr>
          <w:rFonts w:hint="eastAsia"/>
          <w:sz w:val="24"/>
        </w:rPr>
        <w:t>）</w:t>
      </w:r>
      <w:r>
        <w:rPr>
          <w:rFonts w:hint="eastAsia"/>
          <w:sz w:val="24"/>
        </w:rPr>
        <w:t>环境风险潜势初判</w:t>
      </w:r>
    </w:p>
    <w:p w:rsidR="00EE4502" w:rsidRDefault="00FD45A3">
      <w:pPr>
        <w:spacing w:line="360" w:lineRule="auto"/>
        <w:ind w:firstLineChars="200" w:firstLine="480"/>
        <w:rPr>
          <w:sz w:val="24"/>
        </w:rPr>
      </w:pPr>
      <w:r>
        <w:rPr>
          <w:sz w:val="24"/>
        </w:rPr>
        <w:t>计算所涉及的每种危险物质在厂界内的最大存在总量与其在附录</w:t>
      </w:r>
      <w:r>
        <w:rPr>
          <w:sz w:val="24"/>
        </w:rPr>
        <w:t>B</w:t>
      </w:r>
      <w:r>
        <w:rPr>
          <w:sz w:val="24"/>
        </w:rPr>
        <w:t>中对应临界量的比值</w:t>
      </w:r>
      <w:r>
        <w:rPr>
          <w:sz w:val="24"/>
        </w:rPr>
        <w:t>Q</w:t>
      </w:r>
      <w:r>
        <w:rPr>
          <w:sz w:val="24"/>
        </w:rPr>
        <w:t>，计算公式如下：</w:t>
      </w:r>
    </w:p>
    <w:p w:rsidR="00EE4502" w:rsidRDefault="00FD45A3">
      <w:pPr>
        <w:spacing w:line="360" w:lineRule="auto"/>
        <w:ind w:firstLineChars="1050" w:firstLine="2520"/>
        <w:rPr>
          <w:sz w:val="24"/>
        </w:rPr>
      </w:pPr>
      <w:r>
        <w:rPr>
          <w:sz w:val="24"/>
        </w:rPr>
        <w:object w:dxaOrig="2055"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75pt;height:33pt" o:ole="">
            <v:imagedata r:id="rId16" o:title=""/>
          </v:shape>
          <o:OLEObject Type="Embed" ProgID="Equation.3" ShapeID="_x0000_i1025" DrawAspect="Content" ObjectID="_1810051725" r:id="rId17"/>
        </w:object>
      </w:r>
    </w:p>
    <w:p w:rsidR="00EE4502" w:rsidRDefault="00FD45A3">
      <w:pPr>
        <w:spacing w:line="360" w:lineRule="auto"/>
        <w:ind w:firstLineChars="200" w:firstLine="480"/>
        <w:rPr>
          <w:sz w:val="24"/>
        </w:rPr>
      </w:pPr>
      <w:r>
        <w:rPr>
          <w:sz w:val="24"/>
        </w:rPr>
        <w:t>式中：</w:t>
      </w:r>
      <w:r>
        <w:rPr>
          <w:i/>
          <w:iCs/>
          <w:sz w:val="24"/>
        </w:rPr>
        <w:t>q</w:t>
      </w:r>
      <w:r>
        <w:rPr>
          <w:i/>
          <w:iCs/>
          <w:sz w:val="24"/>
          <w:vertAlign w:val="subscript"/>
        </w:rPr>
        <w:t>1</w:t>
      </w:r>
      <w:r>
        <w:rPr>
          <w:i/>
          <w:iCs/>
          <w:sz w:val="24"/>
        </w:rPr>
        <w:t>、</w:t>
      </w:r>
      <w:r>
        <w:rPr>
          <w:i/>
          <w:iCs/>
          <w:sz w:val="24"/>
        </w:rPr>
        <w:t>q</w:t>
      </w:r>
      <w:r>
        <w:rPr>
          <w:i/>
          <w:iCs/>
          <w:sz w:val="24"/>
          <w:vertAlign w:val="subscript"/>
        </w:rPr>
        <w:t>2</w:t>
      </w:r>
      <w:r>
        <w:rPr>
          <w:i/>
          <w:iCs/>
          <w:sz w:val="24"/>
        </w:rPr>
        <w:t>、</w:t>
      </w:r>
      <w:r>
        <w:rPr>
          <w:i/>
          <w:iCs/>
          <w:sz w:val="24"/>
        </w:rPr>
        <w:t>…qn</w:t>
      </w:r>
      <w:r>
        <w:rPr>
          <w:sz w:val="24"/>
        </w:rPr>
        <w:t>----</w:t>
      </w:r>
      <w:r>
        <w:rPr>
          <w:sz w:val="24"/>
        </w:rPr>
        <w:t>每种危险物质的最大存在总量，</w:t>
      </w:r>
      <w:r>
        <w:rPr>
          <w:sz w:val="24"/>
        </w:rPr>
        <w:t>t</w:t>
      </w:r>
      <w:r>
        <w:rPr>
          <w:sz w:val="24"/>
        </w:rPr>
        <w:t>；</w:t>
      </w:r>
    </w:p>
    <w:p w:rsidR="00EE4502" w:rsidRDefault="00FD45A3">
      <w:pPr>
        <w:spacing w:line="360" w:lineRule="auto"/>
        <w:ind w:firstLineChars="500" w:firstLine="1200"/>
        <w:rPr>
          <w:sz w:val="24"/>
        </w:rPr>
      </w:pPr>
      <w:r>
        <w:rPr>
          <w:i/>
          <w:iCs/>
          <w:sz w:val="24"/>
        </w:rPr>
        <w:t>Q</w:t>
      </w:r>
      <w:r>
        <w:rPr>
          <w:i/>
          <w:iCs/>
          <w:sz w:val="24"/>
          <w:vertAlign w:val="subscript"/>
        </w:rPr>
        <w:t>1</w:t>
      </w:r>
      <w:r>
        <w:rPr>
          <w:i/>
          <w:iCs/>
          <w:sz w:val="24"/>
        </w:rPr>
        <w:t>、</w:t>
      </w:r>
      <w:r>
        <w:rPr>
          <w:i/>
          <w:iCs/>
          <w:sz w:val="24"/>
        </w:rPr>
        <w:t>Q</w:t>
      </w:r>
      <w:r>
        <w:rPr>
          <w:i/>
          <w:iCs/>
          <w:sz w:val="24"/>
          <w:vertAlign w:val="subscript"/>
        </w:rPr>
        <w:t>2</w:t>
      </w:r>
      <w:r>
        <w:rPr>
          <w:i/>
          <w:iCs/>
          <w:sz w:val="24"/>
        </w:rPr>
        <w:t>、</w:t>
      </w:r>
      <w:r>
        <w:rPr>
          <w:i/>
          <w:iCs/>
          <w:sz w:val="24"/>
        </w:rPr>
        <w:t>…Qn</w:t>
      </w:r>
      <w:r>
        <w:rPr>
          <w:sz w:val="24"/>
        </w:rPr>
        <w:t>----</w:t>
      </w:r>
      <w:r>
        <w:rPr>
          <w:sz w:val="24"/>
        </w:rPr>
        <w:t>每种危险物质相对应的临界量，</w:t>
      </w:r>
      <w:r>
        <w:rPr>
          <w:sz w:val="24"/>
        </w:rPr>
        <w:t>t</w:t>
      </w:r>
      <w:r>
        <w:rPr>
          <w:sz w:val="24"/>
        </w:rPr>
        <w:t>。</w:t>
      </w:r>
    </w:p>
    <w:p w:rsidR="00EE4502" w:rsidRDefault="00FD45A3">
      <w:pPr>
        <w:spacing w:line="360" w:lineRule="auto"/>
        <w:ind w:firstLineChars="200" w:firstLine="480"/>
        <w:rPr>
          <w:sz w:val="24"/>
        </w:rPr>
      </w:pPr>
      <w:r>
        <w:rPr>
          <w:sz w:val="24"/>
        </w:rPr>
        <w:t>计算出</w:t>
      </w:r>
      <w:r>
        <w:rPr>
          <w:i/>
          <w:iCs/>
          <w:sz w:val="24"/>
        </w:rPr>
        <w:t>Q</w:t>
      </w:r>
      <w:r>
        <w:rPr>
          <w:sz w:val="24"/>
        </w:rPr>
        <w:t>值后，当</w:t>
      </w:r>
      <w:r>
        <w:rPr>
          <w:i/>
          <w:iCs/>
          <w:sz w:val="24"/>
        </w:rPr>
        <w:t>Q</w:t>
      </w:r>
      <w:r>
        <w:rPr>
          <w:sz w:val="24"/>
        </w:rPr>
        <w:t>＜</w:t>
      </w:r>
      <w:r>
        <w:rPr>
          <w:sz w:val="24"/>
        </w:rPr>
        <w:t>1</w:t>
      </w:r>
      <w:r>
        <w:rPr>
          <w:sz w:val="24"/>
        </w:rPr>
        <w:t>时，该项目环境风险潜势为</w:t>
      </w:r>
      <w:r>
        <w:rPr>
          <w:sz w:val="24"/>
        </w:rPr>
        <w:t>Ⅰ</w:t>
      </w:r>
      <w:r>
        <w:rPr>
          <w:sz w:val="24"/>
        </w:rPr>
        <w:t>。</w:t>
      </w:r>
    </w:p>
    <w:p w:rsidR="00EE4502" w:rsidRDefault="00FD45A3">
      <w:pPr>
        <w:spacing w:line="360" w:lineRule="auto"/>
        <w:ind w:firstLineChars="200" w:firstLine="480"/>
        <w:rPr>
          <w:sz w:val="24"/>
        </w:rPr>
      </w:pPr>
      <w:r>
        <w:rPr>
          <w:sz w:val="24"/>
        </w:rPr>
        <w:t>当</w:t>
      </w:r>
      <w:r>
        <w:rPr>
          <w:i/>
          <w:iCs/>
          <w:sz w:val="24"/>
        </w:rPr>
        <w:t>Q</w:t>
      </w:r>
      <w:r>
        <w:rPr>
          <w:sz w:val="24"/>
        </w:rPr>
        <w:t>≥1</w:t>
      </w:r>
      <w:r>
        <w:rPr>
          <w:sz w:val="24"/>
        </w:rPr>
        <w:t>时，将</w:t>
      </w:r>
      <w:r>
        <w:rPr>
          <w:i/>
          <w:iCs/>
          <w:sz w:val="24"/>
        </w:rPr>
        <w:t>Q</w:t>
      </w:r>
      <w:r>
        <w:rPr>
          <w:sz w:val="24"/>
        </w:rPr>
        <w:t>值划分为：（</w:t>
      </w:r>
      <w:r>
        <w:rPr>
          <w:sz w:val="24"/>
        </w:rPr>
        <w:t>1</w:t>
      </w:r>
      <w:r>
        <w:rPr>
          <w:sz w:val="24"/>
        </w:rPr>
        <w:t>）</w:t>
      </w:r>
      <w:r>
        <w:rPr>
          <w:sz w:val="24"/>
        </w:rPr>
        <w:t>1≤</w:t>
      </w:r>
      <w:r>
        <w:rPr>
          <w:i/>
          <w:iCs/>
          <w:sz w:val="24"/>
        </w:rPr>
        <w:t>Q</w:t>
      </w:r>
      <w:r>
        <w:rPr>
          <w:sz w:val="24"/>
        </w:rPr>
        <w:t>＜</w:t>
      </w:r>
      <w:r>
        <w:rPr>
          <w:sz w:val="24"/>
        </w:rPr>
        <w:t>10</w:t>
      </w:r>
      <w:r>
        <w:rPr>
          <w:sz w:val="24"/>
        </w:rPr>
        <w:t>；（</w:t>
      </w:r>
      <w:r>
        <w:rPr>
          <w:sz w:val="24"/>
        </w:rPr>
        <w:t>2</w:t>
      </w:r>
      <w:r>
        <w:rPr>
          <w:sz w:val="24"/>
        </w:rPr>
        <w:t>）</w:t>
      </w:r>
      <w:r>
        <w:rPr>
          <w:sz w:val="24"/>
        </w:rPr>
        <w:t>10≤</w:t>
      </w:r>
      <w:r>
        <w:rPr>
          <w:i/>
          <w:iCs/>
          <w:sz w:val="24"/>
        </w:rPr>
        <w:t>Q</w:t>
      </w:r>
      <w:r>
        <w:rPr>
          <w:sz w:val="24"/>
        </w:rPr>
        <w:t>＜</w:t>
      </w:r>
      <w:r>
        <w:rPr>
          <w:sz w:val="24"/>
        </w:rPr>
        <w:t>100</w:t>
      </w:r>
      <w:r>
        <w:rPr>
          <w:sz w:val="24"/>
        </w:rPr>
        <w:t>；（</w:t>
      </w:r>
      <w:r>
        <w:rPr>
          <w:sz w:val="24"/>
        </w:rPr>
        <w:t>3</w:t>
      </w:r>
      <w:r>
        <w:rPr>
          <w:sz w:val="24"/>
        </w:rPr>
        <w:t>）</w:t>
      </w:r>
      <w:r>
        <w:rPr>
          <w:i/>
          <w:iCs/>
          <w:sz w:val="24"/>
        </w:rPr>
        <w:t>Q</w:t>
      </w:r>
      <w:r>
        <w:rPr>
          <w:sz w:val="24"/>
        </w:rPr>
        <w:t>≥100</w:t>
      </w:r>
      <w:r>
        <w:rPr>
          <w:sz w:val="24"/>
        </w:rPr>
        <w:t>。</w:t>
      </w:r>
    </w:p>
    <w:p w:rsidR="00EE4502" w:rsidRDefault="00FD45A3">
      <w:pPr>
        <w:spacing w:line="360" w:lineRule="auto"/>
        <w:ind w:firstLineChars="200" w:firstLine="480"/>
        <w:rPr>
          <w:sz w:val="24"/>
        </w:rPr>
      </w:pPr>
      <w:r>
        <w:rPr>
          <w:rFonts w:hint="eastAsia"/>
          <w:bCs/>
          <w:sz w:val="24"/>
        </w:rPr>
        <w:t>本工程</w:t>
      </w:r>
      <w:r>
        <w:rPr>
          <w:bCs/>
          <w:sz w:val="24"/>
        </w:rPr>
        <w:t>危险单元主要为运营期</w:t>
      </w:r>
      <w:r>
        <w:rPr>
          <w:rFonts w:hint="eastAsia"/>
          <w:bCs/>
          <w:sz w:val="24"/>
        </w:rPr>
        <w:t>集油</w:t>
      </w:r>
      <w:r>
        <w:rPr>
          <w:bCs/>
          <w:sz w:val="24"/>
        </w:rPr>
        <w:t>工程</w:t>
      </w:r>
      <w:r>
        <w:rPr>
          <w:sz w:val="24"/>
        </w:rPr>
        <w:t>单井管线。</w:t>
      </w:r>
    </w:p>
    <w:p w:rsidR="00EE4502" w:rsidRDefault="00FD45A3">
      <w:pPr>
        <w:spacing w:line="360" w:lineRule="auto"/>
        <w:ind w:rightChars="50" w:right="105" w:firstLineChars="200" w:firstLine="480"/>
        <w:rPr>
          <w:snapToGrid w:val="0"/>
          <w:sz w:val="24"/>
        </w:rPr>
      </w:pPr>
      <w:r>
        <w:rPr>
          <w:bCs/>
          <w:sz w:val="24"/>
        </w:rPr>
        <w:t>拟建工程管线分段敷设，集油管线总长</w:t>
      </w:r>
      <w:r>
        <w:rPr>
          <w:rFonts w:hint="eastAsia"/>
          <w:bCs/>
          <w:sz w:val="24"/>
        </w:rPr>
        <w:t>13.9</w:t>
      </w:r>
      <w:r>
        <w:rPr>
          <w:rFonts w:hint="eastAsia"/>
          <w:bCs/>
          <w:sz w:val="24"/>
        </w:rPr>
        <w:t>k</w:t>
      </w:r>
      <w:r>
        <w:rPr>
          <w:rFonts w:hint="eastAsia"/>
          <w:bCs/>
          <w:sz w:val="24"/>
        </w:rPr>
        <w:t>m</w:t>
      </w:r>
      <w:r>
        <w:rPr>
          <w:sz w:val="24"/>
        </w:rPr>
        <w:t>。原油密度按照</w:t>
      </w:r>
      <w:r>
        <w:rPr>
          <w:rFonts w:hint="eastAsia"/>
          <w:sz w:val="24"/>
        </w:rPr>
        <w:t>0.917</w:t>
      </w:r>
      <w:r>
        <w:rPr>
          <w:sz w:val="24"/>
        </w:rPr>
        <w:t>t/</w:t>
      </w:r>
      <w:r>
        <w:rPr>
          <w:rFonts w:hint="eastAsia"/>
          <w:sz w:val="24"/>
        </w:rPr>
        <w:t>m</w:t>
      </w:r>
      <w:r>
        <w:rPr>
          <w:rFonts w:hint="eastAsia"/>
          <w:sz w:val="24"/>
        </w:rPr>
        <w:t>³</w:t>
      </w:r>
      <w:r>
        <w:rPr>
          <w:sz w:val="24"/>
        </w:rPr>
        <w:t>计算管线中危险物质最大存在量，则管道最大储油量为</w:t>
      </w:r>
      <w:r>
        <w:rPr>
          <w:sz w:val="24"/>
        </w:rPr>
        <w:t>10.58t</w:t>
      </w:r>
      <w:r>
        <w:rPr>
          <w:sz w:val="24"/>
        </w:rPr>
        <w:t>。</w:t>
      </w:r>
    </w:p>
    <w:p w:rsidR="00EE4502" w:rsidRDefault="00FD45A3">
      <w:pPr>
        <w:spacing w:line="360" w:lineRule="auto"/>
        <w:ind w:firstLineChars="200" w:firstLine="480"/>
        <w:rPr>
          <w:sz w:val="24"/>
        </w:rPr>
      </w:pPr>
      <w:r>
        <w:rPr>
          <w:rFonts w:hint="eastAsia"/>
          <w:sz w:val="24"/>
        </w:rPr>
        <w:t>本工程</w:t>
      </w:r>
      <w:r>
        <w:rPr>
          <w:sz w:val="24"/>
        </w:rPr>
        <w:t>的</w:t>
      </w:r>
      <w:r>
        <w:rPr>
          <w:i/>
          <w:iCs/>
          <w:sz w:val="24"/>
        </w:rPr>
        <w:t>Q</w:t>
      </w:r>
      <w:r>
        <w:rPr>
          <w:sz w:val="24"/>
        </w:rPr>
        <w:t>值的确定见下表</w:t>
      </w:r>
      <w:r>
        <w:rPr>
          <w:sz w:val="24"/>
        </w:rPr>
        <w:t>2-</w:t>
      </w:r>
      <w:r>
        <w:rPr>
          <w:rFonts w:hint="eastAsia"/>
          <w:sz w:val="24"/>
        </w:rPr>
        <w:t>5-11</w:t>
      </w:r>
      <w:r>
        <w:rPr>
          <w:sz w:val="24"/>
        </w:rPr>
        <w:t>。</w:t>
      </w:r>
    </w:p>
    <w:p w:rsidR="00EE4502" w:rsidRDefault="00FD45A3">
      <w:pPr>
        <w:spacing w:line="360" w:lineRule="auto"/>
        <w:ind w:firstLineChars="200" w:firstLine="420"/>
        <w:jc w:val="center"/>
        <w:rPr>
          <w:rFonts w:eastAsia="黑体"/>
          <w:szCs w:val="21"/>
        </w:rPr>
      </w:pPr>
      <w:r>
        <w:rPr>
          <w:rFonts w:eastAsia="黑体"/>
          <w:szCs w:val="21"/>
        </w:rPr>
        <w:t>表</w:t>
      </w:r>
      <w:r>
        <w:rPr>
          <w:rFonts w:eastAsia="黑体" w:hint="eastAsia"/>
          <w:szCs w:val="21"/>
        </w:rPr>
        <w:t>2</w:t>
      </w:r>
      <w:r>
        <w:rPr>
          <w:rFonts w:eastAsia="黑体"/>
          <w:szCs w:val="21"/>
        </w:rPr>
        <w:t>-</w:t>
      </w:r>
      <w:r>
        <w:rPr>
          <w:rFonts w:eastAsia="黑体" w:hint="eastAsia"/>
          <w:szCs w:val="21"/>
        </w:rPr>
        <w:t>5-11</w:t>
      </w:r>
      <w:r>
        <w:rPr>
          <w:rFonts w:eastAsia="黑体"/>
          <w:szCs w:val="21"/>
        </w:rPr>
        <w:t xml:space="preserve">  </w:t>
      </w:r>
      <w:r>
        <w:rPr>
          <w:rFonts w:eastAsia="黑体" w:hint="eastAsia"/>
          <w:szCs w:val="21"/>
        </w:rPr>
        <w:t>本工程</w:t>
      </w:r>
      <w:r>
        <w:rPr>
          <w:rFonts w:eastAsia="黑体"/>
          <w:szCs w:val="21"/>
        </w:rPr>
        <w:t>危险物质临界量一览表</w:t>
      </w:r>
    </w:p>
    <w:tbl>
      <w:tblPr>
        <w:tblW w:w="4994" w:type="pct"/>
        <w:jc w:val="center"/>
        <w:tblBorders>
          <w:top w:val="single" w:sz="8" w:space="0" w:color="auto"/>
          <w:bottom w:val="single" w:sz="8" w:space="0" w:color="auto"/>
          <w:insideH w:val="single" w:sz="8" w:space="0" w:color="auto"/>
          <w:insideV w:val="single" w:sz="8" w:space="0" w:color="auto"/>
        </w:tblBorders>
        <w:tblLook w:val="04A0" w:firstRow="1" w:lastRow="0" w:firstColumn="1" w:lastColumn="0" w:noHBand="0" w:noVBand="1"/>
      </w:tblPr>
      <w:tblGrid>
        <w:gridCol w:w="951"/>
        <w:gridCol w:w="2016"/>
        <w:gridCol w:w="640"/>
        <w:gridCol w:w="1090"/>
        <w:gridCol w:w="1757"/>
        <w:gridCol w:w="1277"/>
        <w:gridCol w:w="781"/>
      </w:tblGrid>
      <w:tr w:rsidR="00EE4502">
        <w:trPr>
          <w:trHeight w:val="340"/>
          <w:jc w:val="center"/>
        </w:trPr>
        <w:tc>
          <w:tcPr>
            <w:tcW w:w="558" w:type="pct"/>
            <w:vMerge w:val="restart"/>
            <w:vAlign w:val="center"/>
          </w:tcPr>
          <w:p w:rsidR="00EE4502" w:rsidRDefault="00FD45A3">
            <w:pPr>
              <w:pStyle w:val="affffffff5"/>
              <w:adjustRightInd/>
              <w:snapToGrid/>
              <w:spacing w:line="240" w:lineRule="auto"/>
              <w:ind w:leftChars="0" w:left="0" w:rightChars="0" w:right="0"/>
              <w:rPr>
                <w:color w:val="auto"/>
              </w:rPr>
            </w:pPr>
            <w:r>
              <w:rPr>
                <w:color w:val="auto"/>
              </w:rPr>
              <w:t>风险单元</w:t>
            </w:r>
          </w:p>
        </w:tc>
        <w:tc>
          <w:tcPr>
            <w:tcW w:w="1184" w:type="pct"/>
            <w:vMerge w:val="restart"/>
            <w:vAlign w:val="center"/>
          </w:tcPr>
          <w:p w:rsidR="00EE4502" w:rsidRDefault="00FD45A3">
            <w:pPr>
              <w:pStyle w:val="affffffff5"/>
              <w:adjustRightInd/>
              <w:snapToGrid/>
              <w:spacing w:line="240" w:lineRule="auto"/>
              <w:ind w:leftChars="0" w:left="0" w:rightChars="0" w:right="0"/>
              <w:rPr>
                <w:color w:val="auto"/>
              </w:rPr>
            </w:pPr>
            <w:r>
              <w:rPr>
                <w:color w:val="auto"/>
              </w:rPr>
              <w:t>管道特性</w:t>
            </w:r>
          </w:p>
        </w:tc>
        <w:tc>
          <w:tcPr>
            <w:tcW w:w="376" w:type="pct"/>
            <w:vMerge w:val="restart"/>
            <w:vAlign w:val="center"/>
          </w:tcPr>
          <w:p w:rsidR="00EE4502" w:rsidRDefault="00FD45A3">
            <w:pPr>
              <w:pStyle w:val="affffffff5"/>
              <w:adjustRightInd/>
              <w:snapToGrid/>
              <w:spacing w:line="240" w:lineRule="auto"/>
              <w:ind w:leftChars="0" w:left="0" w:rightChars="0" w:right="0"/>
              <w:rPr>
                <w:color w:val="auto"/>
              </w:rPr>
            </w:pPr>
            <w:r>
              <w:rPr>
                <w:color w:val="auto"/>
              </w:rPr>
              <w:t>危险物质</w:t>
            </w:r>
          </w:p>
        </w:tc>
        <w:tc>
          <w:tcPr>
            <w:tcW w:w="1672" w:type="pct"/>
            <w:gridSpan w:val="2"/>
            <w:vAlign w:val="center"/>
          </w:tcPr>
          <w:p w:rsidR="00EE4502" w:rsidRDefault="00FD45A3">
            <w:pPr>
              <w:pStyle w:val="affffffff5"/>
              <w:adjustRightInd/>
              <w:snapToGrid/>
              <w:spacing w:line="240" w:lineRule="auto"/>
              <w:ind w:leftChars="0" w:left="0" w:rightChars="0" w:right="0"/>
              <w:rPr>
                <w:color w:val="auto"/>
              </w:rPr>
            </w:pPr>
            <w:r>
              <w:rPr>
                <w:color w:val="auto"/>
              </w:rPr>
              <w:t>危险物质</w:t>
            </w:r>
          </w:p>
        </w:tc>
        <w:tc>
          <w:tcPr>
            <w:tcW w:w="748" w:type="pct"/>
            <w:vMerge w:val="restart"/>
            <w:vAlign w:val="center"/>
          </w:tcPr>
          <w:p w:rsidR="00EE4502" w:rsidRDefault="00FD45A3">
            <w:pPr>
              <w:pStyle w:val="affffffff5"/>
              <w:adjustRightInd/>
              <w:snapToGrid/>
              <w:spacing w:line="240" w:lineRule="auto"/>
              <w:ind w:leftChars="0" w:left="0" w:rightChars="0" w:right="0"/>
              <w:rPr>
                <w:color w:val="auto"/>
              </w:rPr>
            </w:pPr>
            <w:r>
              <w:rPr>
                <w:color w:val="auto"/>
              </w:rPr>
              <w:t>危险物质临界量（</w:t>
            </w:r>
            <w:r>
              <w:rPr>
                <w:color w:val="auto"/>
              </w:rPr>
              <w:t>t</w:t>
            </w:r>
            <w:r>
              <w:rPr>
                <w:color w:val="auto"/>
              </w:rPr>
              <w:t>）</w:t>
            </w:r>
          </w:p>
        </w:tc>
        <w:tc>
          <w:tcPr>
            <w:tcW w:w="459" w:type="pct"/>
            <w:vMerge w:val="restart"/>
            <w:vAlign w:val="center"/>
          </w:tcPr>
          <w:p w:rsidR="00EE4502" w:rsidRDefault="00FD45A3">
            <w:pPr>
              <w:pStyle w:val="affffffff5"/>
              <w:adjustRightInd/>
              <w:snapToGrid/>
              <w:spacing w:line="240" w:lineRule="auto"/>
              <w:ind w:leftChars="0" w:left="0" w:rightChars="0" w:right="0"/>
              <w:rPr>
                <w:color w:val="auto"/>
              </w:rPr>
            </w:pPr>
            <w:r>
              <w:rPr>
                <w:color w:val="auto"/>
              </w:rPr>
              <w:t>Q</w:t>
            </w:r>
            <w:r>
              <w:rPr>
                <w:color w:val="auto"/>
              </w:rPr>
              <w:t>值</w:t>
            </w:r>
          </w:p>
        </w:tc>
      </w:tr>
      <w:tr w:rsidR="00EE4502">
        <w:trPr>
          <w:trHeight w:val="340"/>
          <w:jc w:val="center"/>
        </w:trPr>
        <w:tc>
          <w:tcPr>
            <w:tcW w:w="558" w:type="pct"/>
            <w:vMerge/>
            <w:vAlign w:val="center"/>
          </w:tcPr>
          <w:p w:rsidR="00EE4502" w:rsidRDefault="00EE4502">
            <w:pPr>
              <w:pStyle w:val="affffffff5"/>
              <w:adjustRightInd/>
              <w:snapToGrid/>
              <w:spacing w:line="240" w:lineRule="auto"/>
              <w:ind w:leftChars="0" w:left="0" w:rightChars="0" w:right="0"/>
              <w:rPr>
                <w:color w:val="auto"/>
              </w:rPr>
            </w:pPr>
          </w:p>
        </w:tc>
        <w:tc>
          <w:tcPr>
            <w:tcW w:w="1184" w:type="pct"/>
            <w:vMerge/>
            <w:vAlign w:val="center"/>
          </w:tcPr>
          <w:p w:rsidR="00EE4502" w:rsidRDefault="00EE4502">
            <w:pPr>
              <w:pStyle w:val="affffffff5"/>
              <w:adjustRightInd/>
              <w:snapToGrid/>
              <w:spacing w:line="240" w:lineRule="auto"/>
              <w:ind w:leftChars="0" w:left="0" w:rightChars="0" w:right="0"/>
              <w:rPr>
                <w:color w:val="auto"/>
              </w:rPr>
            </w:pPr>
          </w:p>
        </w:tc>
        <w:tc>
          <w:tcPr>
            <w:tcW w:w="376" w:type="pct"/>
            <w:vMerge/>
            <w:vAlign w:val="center"/>
          </w:tcPr>
          <w:p w:rsidR="00EE4502" w:rsidRDefault="00EE4502">
            <w:pPr>
              <w:pStyle w:val="affffffff5"/>
              <w:adjustRightInd/>
              <w:snapToGrid/>
              <w:spacing w:line="240" w:lineRule="auto"/>
              <w:ind w:leftChars="0" w:left="0" w:rightChars="0" w:right="0"/>
              <w:rPr>
                <w:color w:val="auto"/>
              </w:rPr>
            </w:pPr>
          </w:p>
        </w:tc>
        <w:tc>
          <w:tcPr>
            <w:tcW w:w="640" w:type="pct"/>
            <w:vAlign w:val="center"/>
          </w:tcPr>
          <w:p w:rsidR="00EE4502" w:rsidRDefault="00FD45A3">
            <w:pPr>
              <w:pStyle w:val="affffffff5"/>
              <w:adjustRightInd/>
              <w:snapToGrid/>
              <w:spacing w:line="240" w:lineRule="auto"/>
              <w:ind w:leftChars="0" w:left="0" w:rightChars="0" w:right="0"/>
              <w:rPr>
                <w:color w:val="auto"/>
              </w:rPr>
            </w:pPr>
            <w:r>
              <w:rPr>
                <w:color w:val="auto"/>
              </w:rPr>
              <w:t>密度</w:t>
            </w:r>
          </w:p>
        </w:tc>
        <w:tc>
          <w:tcPr>
            <w:tcW w:w="1031" w:type="pct"/>
            <w:vAlign w:val="center"/>
          </w:tcPr>
          <w:p w:rsidR="00EE4502" w:rsidRDefault="00FD45A3">
            <w:pPr>
              <w:pStyle w:val="affffffff5"/>
              <w:adjustRightInd/>
              <w:snapToGrid/>
              <w:spacing w:line="240" w:lineRule="auto"/>
              <w:ind w:leftChars="0" w:left="0" w:rightChars="0" w:right="0"/>
              <w:rPr>
                <w:color w:val="auto"/>
              </w:rPr>
            </w:pPr>
            <w:r>
              <w:rPr>
                <w:color w:val="auto"/>
              </w:rPr>
              <w:t>最大存在量（</w:t>
            </w:r>
            <w:r>
              <w:rPr>
                <w:color w:val="auto"/>
              </w:rPr>
              <w:t>t</w:t>
            </w:r>
            <w:r>
              <w:rPr>
                <w:color w:val="auto"/>
              </w:rPr>
              <w:t>）</w:t>
            </w:r>
          </w:p>
        </w:tc>
        <w:tc>
          <w:tcPr>
            <w:tcW w:w="748" w:type="pct"/>
            <w:vMerge/>
            <w:vAlign w:val="center"/>
          </w:tcPr>
          <w:p w:rsidR="00EE4502" w:rsidRDefault="00EE4502">
            <w:pPr>
              <w:pStyle w:val="affffffff5"/>
              <w:adjustRightInd/>
              <w:snapToGrid/>
              <w:spacing w:line="240" w:lineRule="auto"/>
              <w:ind w:leftChars="0" w:left="0" w:rightChars="0" w:right="0"/>
              <w:rPr>
                <w:color w:val="auto"/>
              </w:rPr>
            </w:pPr>
          </w:p>
        </w:tc>
        <w:tc>
          <w:tcPr>
            <w:tcW w:w="459" w:type="pct"/>
            <w:vMerge/>
            <w:vAlign w:val="center"/>
          </w:tcPr>
          <w:p w:rsidR="00EE4502" w:rsidRDefault="00EE4502">
            <w:pPr>
              <w:pStyle w:val="affffffff5"/>
              <w:adjustRightInd/>
              <w:snapToGrid/>
              <w:spacing w:line="240" w:lineRule="auto"/>
              <w:ind w:leftChars="0" w:left="0" w:rightChars="0" w:right="0"/>
              <w:rPr>
                <w:color w:val="auto"/>
              </w:rPr>
            </w:pPr>
          </w:p>
        </w:tc>
      </w:tr>
      <w:tr w:rsidR="00EE4502">
        <w:trPr>
          <w:trHeight w:val="340"/>
          <w:jc w:val="center"/>
        </w:trPr>
        <w:tc>
          <w:tcPr>
            <w:tcW w:w="558" w:type="pct"/>
            <w:vAlign w:val="center"/>
          </w:tcPr>
          <w:p w:rsidR="00EE4502" w:rsidRDefault="00FD45A3">
            <w:pPr>
              <w:pStyle w:val="affffffff5"/>
              <w:adjustRightInd/>
              <w:snapToGrid/>
              <w:spacing w:line="240" w:lineRule="auto"/>
              <w:ind w:leftChars="0" w:left="0" w:rightChars="0" w:right="0"/>
              <w:rPr>
                <w:color w:val="auto"/>
              </w:rPr>
            </w:pPr>
            <w:r>
              <w:rPr>
                <w:color w:val="auto"/>
              </w:rPr>
              <w:t>集油管线</w:t>
            </w:r>
          </w:p>
        </w:tc>
        <w:tc>
          <w:tcPr>
            <w:tcW w:w="1184" w:type="pct"/>
            <w:vAlign w:val="center"/>
          </w:tcPr>
          <w:p w:rsidR="00EE4502" w:rsidRDefault="00FD45A3">
            <w:pPr>
              <w:pStyle w:val="affffffff5"/>
              <w:adjustRightInd/>
              <w:snapToGrid/>
              <w:spacing w:line="240" w:lineRule="auto"/>
              <w:ind w:leftChars="0" w:left="0" w:rightChars="0" w:right="0"/>
              <w:rPr>
                <w:color w:val="auto"/>
              </w:rPr>
            </w:pPr>
            <w:r>
              <w:rPr>
                <w:rFonts w:hint="eastAsia"/>
                <w:color w:val="auto"/>
              </w:rPr>
              <w:t>Φ</w:t>
            </w:r>
            <w:r>
              <w:rPr>
                <w:rFonts w:hint="eastAsia"/>
                <w:color w:val="auto"/>
              </w:rPr>
              <w:t>168</w:t>
            </w:r>
            <w:r>
              <w:rPr>
                <w:rFonts w:hint="eastAsia"/>
                <w:color w:val="auto"/>
              </w:rPr>
              <w:t>×</w:t>
            </w:r>
            <w:r>
              <w:rPr>
                <w:rFonts w:hint="eastAsia"/>
                <w:color w:val="auto"/>
              </w:rPr>
              <w:t>7 20</w:t>
            </w:r>
            <w:r>
              <w:rPr>
                <w:rFonts w:hint="eastAsia"/>
                <w:color w:val="auto"/>
              </w:rPr>
              <w:t>集油管线</w:t>
            </w:r>
          </w:p>
          <w:p w:rsidR="00EE4502" w:rsidRDefault="00FD45A3">
            <w:pPr>
              <w:pStyle w:val="affffffff5"/>
              <w:adjustRightInd/>
              <w:snapToGrid/>
              <w:spacing w:line="240" w:lineRule="auto"/>
              <w:ind w:leftChars="0" w:left="0" w:rightChars="0" w:right="0"/>
              <w:rPr>
                <w:color w:val="auto"/>
              </w:rPr>
            </w:pPr>
            <w:r>
              <w:rPr>
                <w:color w:val="auto"/>
              </w:rPr>
              <w:t>长度</w:t>
            </w:r>
            <w:r>
              <w:rPr>
                <w:rFonts w:hint="eastAsia"/>
                <w:color w:val="auto"/>
              </w:rPr>
              <w:t>4500</w:t>
            </w:r>
            <w:r>
              <w:rPr>
                <w:color w:val="auto"/>
              </w:rPr>
              <w:t>m</w:t>
            </w:r>
          </w:p>
        </w:tc>
        <w:tc>
          <w:tcPr>
            <w:tcW w:w="376" w:type="pct"/>
            <w:vAlign w:val="center"/>
          </w:tcPr>
          <w:p w:rsidR="00EE4502" w:rsidRDefault="00FD45A3">
            <w:pPr>
              <w:pStyle w:val="affffffff5"/>
              <w:adjustRightInd/>
              <w:snapToGrid/>
              <w:spacing w:line="240" w:lineRule="auto"/>
              <w:ind w:leftChars="0" w:left="0" w:rightChars="0" w:right="0"/>
              <w:rPr>
                <w:color w:val="auto"/>
              </w:rPr>
            </w:pPr>
            <w:r>
              <w:rPr>
                <w:color w:val="auto"/>
              </w:rPr>
              <w:t>原油</w:t>
            </w:r>
          </w:p>
        </w:tc>
        <w:tc>
          <w:tcPr>
            <w:tcW w:w="640" w:type="pct"/>
            <w:vAlign w:val="center"/>
          </w:tcPr>
          <w:p w:rsidR="00EE4502" w:rsidRDefault="00FD45A3">
            <w:pPr>
              <w:pStyle w:val="affffffff5"/>
              <w:adjustRightInd/>
              <w:snapToGrid/>
              <w:spacing w:line="240" w:lineRule="auto"/>
              <w:ind w:leftChars="0" w:left="0" w:rightChars="0" w:right="0"/>
              <w:rPr>
                <w:color w:val="auto"/>
              </w:rPr>
            </w:pPr>
            <w:r>
              <w:rPr>
                <w:rFonts w:hint="eastAsia"/>
                <w:color w:val="auto"/>
              </w:rPr>
              <w:t>0.917</w:t>
            </w:r>
            <w:r>
              <w:rPr>
                <w:color w:val="auto"/>
              </w:rPr>
              <w:t>t/</w:t>
            </w:r>
            <w:r>
              <w:rPr>
                <w:rFonts w:hint="eastAsia"/>
                <w:color w:val="auto"/>
              </w:rPr>
              <w:t>m</w:t>
            </w:r>
            <w:r>
              <w:rPr>
                <w:rFonts w:hint="eastAsia"/>
                <w:color w:val="auto"/>
              </w:rPr>
              <w:t>³</w:t>
            </w:r>
          </w:p>
        </w:tc>
        <w:tc>
          <w:tcPr>
            <w:tcW w:w="1031" w:type="pct"/>
            <w:vAlign w:val="center"/>
          </w:tcPr>
          <w:p w:rsidR="00EE4502" w:rsidRDefault="00FD45A3">
            <w:pPr>
              <w:pStyle w:val="affffffff5"/>
              <w:adjustRightInd/>
              <w:snapToGrid/>
              <w:spacing w:line="240" w:lineRule="auto"/>
              <w:ind w:leftChars="0" w:left="0" w:rightChars="0" w:right="0"/>
              <w:rPr>
                <w:color w:val="auto"/>
              </w:rPr>
            </w:pPr>
            <w:r>
              <w:rPr>
                <w:rFonts w:hint="eastAsia"/>
                <w:color w:val="auto"/>
              </w:rPr>
              <w:t>77</w:t>
            </w:r>
          </w:p>
        </w:tc>
        <w:tc>
          <w:tcPr>
            <w:tcW w:w="748" w:type="pct"/>
            <w:vAlign w:val="center"/>
          </w:tcPr>
          <w:p w:rsidR="00EE4502" w:rsidRDefault="00FD45A3">
            <w:pPr>
              <w:pStyle w:val="affffffff5"/>
              <w:adjustRightInd/>
              <w:snapToGrid/>
              <w:spacing w:line="240" w:lineRule="auto"/>
              <w:ind w:leftChars="0" w:left="0" w:rightChars="0" w:right="0"/>
              <w:rPr>
                <w:color w:val="auto"/>
              </w:rPr>
            </w:pPr>
            <w:r>
              <w:rPr>
                <w:color w:val="auto"/>
              </w:rPr>
              <w:t>2500</w:t>
            </w:r>
          </w:p>
        </w:tc>
        <w:tc>
          <w:tcPr>
            <w:tcW w:w="459" w:type="pct"/>
            <w:vAlign w:val="center"/>
          </w:tcPr>
          <w:p w:rsidR="00EE4502" w:rsidRDefault="00FD45A3">
            <w:pPr>
              <w:pStyle w:val="affffffff5"/>
              <w:adjustRightInd/>
              <w:snapToGrid/>
              <w:spacing w:line="240" w:lineRule="auto"/>
              <w:ind w:leftChars="0" w:left="0" w:rightChars="0" w:right="0"/>
              <w:rPr>
                <w:color w:val="auto"/>
              </w:rPr>
            </w:pPr>
            <w:r>
              <w:rPr>
                <w:rFonts w:hint="eastAsia"/>
                <w:color w:val="auto"/>
              </w:rPr>
              <w:t>0.03</w:t>
            </w:r>
          </w:p>
        </w:tc>
      </w:tr>
      <w:tr w:rsidR="00EE4502">
        <w:trPr>
          <w:trHeight w:val="340"/>
          <w:jc w:val="center"/>
        </w:trPr>
        <w:tc>
          <w:tcPr>
            <w:tcW w:w="4540" w:type="pct"/>
            <w:gridSpan w:val="6"/>
            <w:vAlign w:val="center"/>
          </w:tcPr>
          <w:p w:rsidR="00EE4502" w:rsidRDefault="00FD45A3">
            <w:pPr>
              <w:pStyle w:val="affffffff5"/>
              <w:adjustRightInd/>
              <w:snapToGrid/>
              <w:spacing w:line="240" w:lineRule="auto"/>
              <w:ind w:leftChars="0" w:left="0" w:rightChars="0" w:right="0"/>
              <w:rPr>
                <w:color w:val="auto"/>
              </w:rPr>
            </w:pPr>
            <w:r>
              <w:rPr>
                <w:rFonts w:hint="eastAsia"/>
                <w:color w:val="auto"/>
              </w:rPr>
              <w:t>合计</w:t>
            </w:r>
          </w:p>
        </w:tc>
        <w:tc>
          <w:tcPr>
            <w:tcW w:w="459" w:type="pct"/>
            <w:vAlign w:val="center"/>
          </w:tcPr>
          <w:p w:rsidR="00EE4502" w:rsidRDefault="00FD45A3">
            <w:pPr>
              <w:pStyle w:val="affffffff5"/>
              <w:adjustRightInd/>
              <w:snapToGrid/>
              <w:spacing w:line="240" w:lineRule="auto"/>
              <w:ind w:leftChars="0" w:left="0" w:rightChars="0" w:right="0"/>
              <w:rPr>
                <w:color w:val="auto"/>
              </w:rPr>
            </w:pPr>
            <w:r>
              <w:rPr>
                <w:rFonts w:hint="eastAsia"/>
                <w:color w:val="auto"/>
              </w:rPr>
              <w:t>0.03</w:t>
            </w:r>
          </w:p>
        </w:tc>
      </w:tr>
    </w:tbl>
    <w:p w:rsidR="00EE4502" w:rsidRDefault="00FD45A3">
      <w:pPr>
        <w:spacing w:line="360" w:lineRule="auto"/>
        <w:ind w:firstLineChars="200" w:firstLine="480"/>
        <w:rPr>
          <w:sz w:val="24"/>
        </w:rPr>
      </w:pPr>
      <w:r>
        <w:rPr>
          <w:sz w:val="24"/>
        </w:rPr>
        <w:t>根据上述风险单元的计算结果比较，</w:t>
      </w:r>
      <w:r>
        <w:rPr>
          <w:rFonts w:hint="eastAsia"/>
          <w:sz w:val="24"/>
        </w:rPr>
        <w:t>本工程</w:t>
      </w:r>
      <w:r>
        <w:rPr>
          <w:sz w:val="24"/>
        </w:rPr>
        <w:t>Qmax=</w:t>
      </w:r>
      <w:r>
        <w:rPr>
          <w:rFonts w:hint="eastAsia"/>
          <w:sz w:val="24"/>
        </w:rPr>
        <w:t>0.03</w:t>
      </w:r>
      <w:r>
        <w:rPr>
          <w:sz w:val="24"/>
        </w:rPr>
        <w:t>，</w:t>
      </w:r>
      <w:r>
        <w:rPr>
          <w:sz w:val="24"/>
        </w:rPr>
        <w:t>Q</w:t>
      </w:r>
      <w:r>
        <w:rPr>
          <w:sz w:val="24"/>
        </w:rPr>
        <w:t>＜</w:t>
      </w:r>
      <w:r>
        <w:rPr>
          <w:sz w:val="24"/>
        </w:rPr>
        <w:t>1</w:t>
      </w:r>
      <w:r>
        <w:rPr>
          <w:sz w:val="24"/>
        </w:rPr>
        <w:t>。</w:t>
      </w:r>
    </w:p>
    <w:p w:rsidR="00EE4502" w:rsidRDefault="00FD45A3">
      <w:pPr>
        <w:spacing w:line="360" w:lineRule="auto"/>
        <w:ind w:firstLineChars="200" w:firstLine="480"/>
        <w:rPr>
          <w:sz w:val="24"/>
        </w:rPr>
      </w:pPr>
      <w:r>
        <w:rPr>
          <w:sz w:val="24"/>
        </w:rPr>
        <w:t>判断项目风险潜势为</w:t>
      </w:r>
      <w:r>
        <w:rPr>
          <w:sz w:val="24"/>
        </w:rPr>
        <w:t>Ⅰ</w:t>
      </w:r>
      <w:r>
        <w:rPr>
          <w:sz w:val="24"/>
        </w:rPr>
        <w:t>，根据《建设项目环境风险评价技术导则》（</w:t>
      </w:r>
      <w:r>
        <w:rPr>
          <w:sz w:val="24"/>
        </w:rPr>
        <w:t>HJ 169-2018</w:t>
      </w:r>
      <w:r>
        <w:rPr>
          <w:sz w:val="24"/>
        </w:rPr>
        <w:t>）相关要求，本次评价对项目可能存在的环境风险进行简单分析。</w:t>
      </w:r>
    </w:p>
    <w:bookmarkEnd w:id="58"/>
    <w:bookmarkEnd w:id="59"/>
    <w:p w:rsidR="00EE4502" w:rsidRDefault="00FD45A3">
      <w:pPr>
        <w:spacing w:line="360" w:lineRule="auto"/>
        <w:ind w:firstLineChars="200" w:firstLine="480"/>
        <w:rPr>
          <w:sz w:val="24"/>
        </w:rPr>
      </w:pPr>
      <w:r>
        <w:rPr>
          <w:rFonts w:hint="eastAsia"/>
          <w:sz w:val="24"/>
        </w:rPr>
        <w:t>（</w:t>
      </w:r>
      <w:r>
        <w:rPr>
          <w:rFonts w:hint="eastAsia"/>
          <w:sz w:val="24"/>
        </w:rPr>
        <w:t>2</w:t>
      </w:r>
      <w:r>
        <w:rPr>
          <w:rFonts w:hint="eastAsia"/>
          <w:sz w:val="24"/>
        </w:rPr>
        <w:t>）</w:t>
      </w:r>
      <w:r>
        <w:rPr>
          <w:rFonts w:hint="eastAsia"/>
          <w:sz w:val="24"/>
        </w:rPr>
        <w:t>评价范围</w:t>
      </w:r>
    </w:p>
    <w:p w:rsidR="00EE4502" w:rsidRDefault="00FD45A3">
      <w:pPr>
        <w:spacing w:line="360" w:lineRule="auto"/>
        <w:ind w:firstLineChars="200" w:firstLine="480"/>
        <w:rPr>
          <w:sz w:val="24"/>
        </w:rPr>
      </w:pPr>
      <w:r>
        <w:rPr>
          <w:rFonts w:hint="eastAsia"/>
          <w:sz w:val="24"/>
        </w:rPr>
        <w:t>本工程</w:t>
      </w:r>
      <w:r>
        <w:rPr>
          <w:sz w:val="24"/>
        </w:rPr>
        <w:t>环境风险潜势为</w:t>
      </w:r>
      <w:r>
        <w:rPr>
          <w:sz w:val="24"/>
        </w:rPr>
        <w:t>Ⅰ</w:t>
      </w:r>
      <w:r>
        <w:rPr>
          <w:sz w:val="24"/>
        </w:rPr>
        <w:t>，简单分析即可，不设环境风险影响评价范围。</w:t>
      </w:r>
    </w:p>
    <w:p w:rsidR="00EE4502" w:rsidRDefault="00FD45A3">
      <w:pPr>
        <w:pStyle w:val="33"/>
        <w:numPr>
          <w:ilvl w:val="2"/>
          <w:numId w:val="30"/>
        </w:numPr>
        <w:spacing w:line="360" w:lineRule="auto"/>
        <w:ind w:left="0" w:firstLine="0"/>
        <w:rPr>
          <w:spacing w:val="0"/>
          <w:sz w:val="24"/>
          <w:szCs w:val="24"/>
        </w:rPr>
      </w:pPr>
      <w:r>
        <w:rPr>
          <w:spacing w:val="0"/>
          <w:sz w:val="24"/>
          <w:szCs w:val="24"/>
        </w:rPr>
        <w:t>评价范围汇总</w:t>
      </w:r>
    </w:p>
    <w:p w:rsidR="00EE4502" w:rsidRDefault="00FD45A3">
      <w:pPr>
        <w:spacing w:line="360" w:lineRule="auto"/>
        <w:ind w:firstLineChars="225" w:firstLine="540"/>
        <w:rPr>
          <w:sz w:val="24"/>
        </w:rPr>
      </w:pPr>
      <w:r>
        <w:rPr>
          <w:rFonts w:hint="eastAsia"/>
          <w:sz w:val="24"/>
        </w:rPr>
        <w:t>本工程</w:t>
      </w:r>
      <w:r>
        <w:rPr>
          <w:sz w:val="24"/>
        </w:rPr>
        <w:t>环境影响评价范围见表</w:t>
      </w:r>
      <w:r>
        <w:rPr>
          <w:sz w:val="24"/>
        </w:rPr>
        <w:t>2-</w:t>
      </w:r>
      <w:r>
        <w:rPr>
          <w:rFonts w:hint="eastAsia"/>
          <w:sz w:val="24"/>
        </w:rPr>
        <w:t>5-12</w:t>
      </w:r>
      <w:r>
        <w:rPr>
          <w:sz w:val="24"/>
        </w:rPr>
        <w:t>及图</w:t>
      </w:r>
      <w:r>
        <w:rPr>
          <w:sz w:val="24"/>
        </w:rPr>
        <w:t>2-</w:t>
      </w:r>
      <w:r>
        <w:rPr>
          <w:rFonts w:hint="eastAsia"/>
          <w:sz w:val="24"/>
        </w:rPr>
        <w:t>5</w:t>
      </w:r>
      <w:r>
        <w:rPr>
          <w:sz w:val="24"/>
        </w:rPr>
        <w:t>-1</w:t>
      </w:r>
      <w:r>
        <w:rPr>
          <w:sz w:val="24"/>
        </w:rPr>
        <w:t>。</w:t>
      </w:r>
    </w:p>
    <w:p w:rsidR="00EE4502" w:rsidRDefault="00FD45A3">
      <w:pPr>
        <w:spacing w:line="360" w:lineRule="auto"/>
        <w:jc w:val="center"/>
        <w:rPr>
          <w:rFonts w:eastAsia="黑体"/>
          <w:bCs/>
          <w:lang w:val="zh-CN"/>
        </w:rPr>
      </w:pPr>
      <w:r>
        <w:rPr>
          <w:rFonts w:eastAsia="黑体"/>
          <w:bCs/>
          <w:lang w:val="zh-CN"/>
        </w:rPr>
        <w:t>表</w:t>
      </w:r>
      <w:r>
        <w:rPr>
          <w:rFonts w:eastAsia="黑体"/>
          <w:bCs/>
          <w:lang w:val="zh-CN"/>
        </w:rPr>
        <w:t>2-</w:t>
      </w:r>
      <w:r>
        <w:rPr>
          <w:rFonts w:eastAsia="黑体" w:hint="eastAsia"/>
          <w:bCs/>
        </w:rPr>
        <w:t>5-12</w:t>
      </w:r>
      <w:r>
        <w:rPr>
          <w:rFonts w:eastAsia="黑体"/>
          <w:bCs/>
          <w:lang w:val="zh-CN"/>
        </w:rPr>
        <w:t xml:space="preserve"> </w:t>
      </w:r>
      <w:r>
        <w:rPr>
          <w:rFonts w:eastAsia="黑体" w:hint="eastAsia"/>
          <w:bCs/>
          <w:lang w:val="zh-CN"/>
        </w:rPr>
        <w:t xml:space="preserve"> </w:t>
      </w:r>
      <w:r>
        <w:rPr>
          <w:rFonts w:eastAsia="黑体"/>
          <w:bCs/>
          <w:lang w:val="zh-CN"/>
        </w:rPr>
        <w:t xml:space="preserve">  </w:t>
      </w:r>
      <w:r>
        <w:rPr>
          <w:rFonts w:eastAsia="黑体" w:hint="eastAsia"/>
          <w:bCs/>
          <w:lang w:val="zh-CN"/>
        </w:rPr>
        <w:t>评价等级及评价范围</w:t>
      </w:r>
      <w:r>
        <w:rPr>
          <w:rFonts w:eastAsia="黑体"/>
          <w:bCs/>
          <w:lang w:val="zh-CN"/>
        </w:rPr>
        <w:t>表</w:t>
      </w:r>
    </w:p>
    <w:tbl>
      <w:tblPr>
        <w:tblStyle w:val="affd"/>
        <w:tblW w:w="5000" w:type="pct"/>
        <w:tblLayout w:type="fixed"/>
        <w:tblLook w:val="04A0" w:firstRow="1" w:lastRow="0" w:firstColumn="1" w:lastColumn="0" w:noHBand="0" w:noVBand="1"/>
      </w:tblPr>
      <w:tblGrid>
        <w:gridCol w:w="526"/>
        <w:gridCol w:w="647"/>
        <w:gridCol w:w="949"/>
        <w:gridCol w:w="2032"/>
        <w:gridCol w:w="4368"/>
      </w:tblGrid>
      <w:tr w:rsidR="00EE4502">
        <w:trPr>
          <w:trHeight w:val="340"/>
        </w:trPr>
        <w:tc>
          <w:tcPr>
            <w:tcW w:w="308" w:type="pct"/>
            <w:vAlign w:val="center"/>
          </w:tcPr>
          <w:p w:rsidR="00EE4502" w:rsidRDefault="00FD45A3">
            <w:pPr>
              <w:widowControl/>
              <w:jc w:val="center"/>
              <w:rPr>
                <w:kern w:val="0"/>
                <w:szCs w:val="21"/>
              </w:rPr>
            </w:pPr>
            <w:r>
              <w:rPr>
                <w:rFonts w:hint="eastAsia"/>
                <w:kern w:val="0"/>
                <w:szCs w:val="21"/>
              </w:rPr>
              <w:t>序号</w:t>
            </w:r>
          </w:p>
        </w:tc>
        <w:tc>
          <w:tcPr>
            <w:tcW w:w="936" w:type="pct"/>
            <w:gridSpan w:val="2"/>
            <w:vAlign w:val="center"/>
          </w:tcPr>
          <w:p w:rsidR="00EE4502" w:rsidRDefault="00FD45A3">
            <w:pPr>
              <w:widowControl/>
              <w:jc w:val="center"/>
              <w:rPr>
                <w:kern w:val="0"/>
                <w:szCs w:val="21"/>
              </w:rPr>
            </w:pPr>
            <w:r>
              <w:rPr>
                <w:rFonts w:hint="eastAsia"/>
                <w:kern w:val="0"/>
                <w:szCs w:val="21"/>
              </w:rPr>
              <w:t>环境要素</w:t>
            </w:r>
          </w:p>
        </w:tc>
        <w:tc>
          <w:tcPr>
            <w:tcW w:w="1192" w:type="pct"/>
            <w:vAlign w:val="center"/>
          </w:tcPr>
          <w:p w:rsidR="00EE4502" w:rsidRDefault="00FD45A3">
            <w:pPr>
              <w:widowControl/>
              <w:jc w:val="center"/>
              <w:rPr>
                <w:kern w:val="0"/>
                <w:szCs w:val="21"/>
              </w:rPr>
            </w:pPr>
            <w:r>
              <w:rPr>
                <w:rFonts w:hint="eastAsia"/>
                <w:kern w:val="0"/>
                <w:szCs w:val="21"/>
              </w:rPr>
              <w:t>评价等级</w:t>
            </w:r>
          </w:p>
        </w:tc>
        <w:tc>
          <w:tcPr>
            <w:tcW w:w="2562" w:type="pct"/>
            <w:vAlign w:val="center"/>
          </w:tcPr>
          <w:p w:rsidR="00EE4502" w:rsidRDefault="00FD45A3">
            <w:pPr>
              <w:widowControl/>
              <w:jc w:val="center"/>
              <w:rPr>
                <w:kern w:val="0"/>
                <w:szCs w:val="21"/>
              </w:rPr>
            </w:pPr>
            <w:r>
              <w:rPr>
                <w:rFonts w:hint="eastAsia"/>
                <w:kern w:val="0"/>
                <w:szCs w:val="21"/>
              </w:rPr>
              <w:t>评价范围</w:t>
            </w:r>
          </w:p>
        </w:tc>
      </w:tr>
      <w:tr w:rsidR="00EE4502">
        <w:trPr>
          <w:trHeight w:val="340"/>
        </w:trPr>
        <w:tc>
          <w:tcPr>
            <w:tcW w:w="308" w:type="pct"/>
            <w:vAlign w:val="center"/>
          </w:tcPr>
          <w:p w:rsidR="00EE4502" w:rsidRDefault="00FD45A3">
            <w:pPr>
              <w:widowControl/>
              <w:jc w:val="center"/>
              <w:rPr>
                <w:kern w:val="0"/>
                <w:szCs w:val="21"/>
              </w:rPr>
            </w:pPr>
            <w:r>
              <w:rPr>
                <w:rFonts w:hint="eastAsia"/>
                <w:kern w:val="0"/>
                <w:szCs w:val="21"/>
              </w:rPr>
              <w:t>1</w:t>
            </w:r>
          </w:p>
        </w:tc>
        <w:tc>
          <w:tcPr>
            <w:tcW w:w="936" w:type="pct"/>
            <w:gridSpan w:val="2"/>
            <w:shd w:val="clear" w:color="auto" w:fill="auto"/>
            <w:vAlign w:val="center"/>
          </w:tcPr>
          <w:p w:rsidR="00EE4502" w:rsidRDefault="00FD45A3">
            <w:pPr>
              <w:widowControl/>
              <w:jc w:val="center"/>
              <w:rPr>
                <w:kern w:val="0"/>
                <w:szCs w:val="21"/>
              </w:rPr>
            </w:pPr>
            <w:r>
              <w:rPr>
                <w:rFonts w:hint="eastAsia"/>
                <w:kern w:val="0"/>
                <w:szCs w:val="21"/>
              </w:rPr>
              <w:t>生态环境</w:t>
            </w:r>
          </w:p>
        </w:tc>
        <w:tc>
          <w:tcPr>
            <w:tcW w:w="1192" w:type="pct"/>
            <w:shd w:val="clear" w:color="auto" w:fill="auto"/>
            <w:vAlign w:val="center"/>
          </w:tcPr>
          <w:p w:rsidR="00EE4502" w:rsidRDefault="00FD45A3">
            <w:pPr>
              <w:widowControl/>
              <w:jc w:val="center"/>
              <w:rPr>
                <w:kern w:val="0"/>
                <w:szCs w:val="21"/>
              </w:rPr>
            </w:pPr>
            <w:r>
              <w:rPr>
                <w:rFonts w:hint="eastAsia"/>
                <w:kern w:val="0"/>
                <w:szCs w:val="21"/>
              </w:rPr>
              <w:t>二级</w:t>
            </w:r>
          </w:p>
        </w:tc>
        <w:tc>
          <w:tcPr>
            <w:tcW w:w="2562" w:type="pct"/>
            <w:shd w:val="clear" w:color="auto" w:fill="auto"/>
            <w:vAlign w:val="center"/>
          </w:tcPr>
          <w:p w:rsidR="00EE4502" w:rsidRDefault="00FD45A3">
            <w:pPr>
              <w:widowControl/>
              <w:rPr>
                <w:kern w:val="0"/>
                <w:szCs w:val="21"/>
              </w:rPr>
            </w:pPr>
            <w:r>
              <w:rPr>
                <w:rFonts w:hint="eastAsia"/>
                <w:kern w:val="0"/>
                <w:szCs w:val="21"/>
              </w:rPr>
              <w:t>场界周围</w:t>
            </w:r>
            <w:r>
              <w:rPr>
                <w:rFonts w:hint="eastAsia"/>
                <w:kern w:val="0"/>
                <w:szCs w:val="21"/>
              </w:rPr>
              <w:t>50m</w:t>
            </w:r>
            <w:r>
              <w:rPr>
                <w:rFonts w:hint="eastAsia"/>
                <w:kern w:val="0"/>
                <w:szCs w:val="21"/>
              </w:rPr>
              <w:t>范围、</w:t>
            </w:r>
            <w:r>
              <w:rPr>
                <w:rFonts w:hint="eastAsia"/>
                <w:kern w:val="0"/>
                <w:szCs w:val="21"/>
              </w:rPr>
              <w:t>管沟</w:t>
            </w:r>
            <w:r>
              <w:rPr>
                <w:rFonts w:hint="eastAsia"/>
                <w:kern w:val="0"/>
                <w:szCs w:val="21"/>
              </w:rPr>
              <w:t>等线性工程两侧外延</w:t>
            </w:r>
            <w:r>
              <w:rPr>
                <w:rFonts w:hint="eastAsia"/>
                <w:kern w:val="0"/>
                <w:szCs w:val="21"/>
              </w:rPr>
              <w:t>300m</w:t>
            </w:r>
            <w:r>
              <w:rPr>
                <w:rFonts w:hint="eastAsia"/>
                <w:kern w:val="0"/>
                <w:szCs w:val="21"/>
              </w:rPr>
              <w:t>为评价范围；同时线性工程穿越重点公益林时，以线路穿越段向两端外延</w:t>
            </w:r>
            <w:r>
              <w:rPr>
                <w:rFonts w:hint="eastAsia"/>
                <w:kern w:val="0"/>
                <w:szCs w:val="21"/>
              </w:rPr>
              <w:t>1km</w:t>
            </w:r>
            <w:r>
              <w:rPr>
                <w:rFonts w:hint="eastAsia"/>
                <w:kern w:val="0"/>
                <w:szCs w:val="21"/>
              </w:rPr>
              <w:t>、线路中心线向两侧外延</w:t>
            </w:r>
            <w:r>
              <w:rPr>
                <w:rFonts w:hint="eastAsia"/>
                <w:kern w:val="0"/>
                <w:szCs w:val="21"/>
              </w:rPr>
              <w:t>1km</w:t>
            </w:r>
          </w:p>
        </w:tc>
      </w:tr>
      <w:tr w:rsidR="00EE4502">
        <w:trPr>
          <w:trHeight w:val="340"/>
        </w:trPr>
        <w:tc>
          <w:tcPr>
            <w:tcW w:w="308" w:type="pct"/>
            <w:vMerge w:val="restart"/>
            <w:vAlign w:val="center"/>
          </w:tcPr>
          <w:p w:rsidR="00EE4502" w:rsidRDefault="00FD45A3">
            <w:pPr>
              <w:widowControl/>
              <w:jc w:val="center"/>
              <w:rPr>
                <w:kern w:val="0"/>
                <w:szCs w:val="21"/>
              </w:rPr>
            </w:pPr>
            <w:r>
              <w:rPr>
                <w:rFonts w:hint="eastAsia"/>
                <w:kern w:val="0"/>
                <w:szCs w:val="21"/>
              </w:rPr>
              <w:t>2</w:t>
            </w:r>
          </w:p>
        </w:tc>
        <w:tc>
          <w:tcPr>
            <w:tcW w:w="936" w:type="pct"/>
            <w:gridSpan w:val="2"/>
            <w:vMerge w:val="restart"/>
            <w:shd w:val="clear" w:color="auto" w:fill="auto"/>
            <w:vAlign w:val="center"/>
          </w:tcPr>
          <w:p w:rsidR="00EE4502" w:rsidRDefault="00FD45A3">
            <w:pPr>
              <w:widowControl/>
              <w:jc w:val="center"/>
              <w:rPr>
                <w:kern w:val="0"/>
                <w:szCs w:val="21"/>
              </w:rPr>
            </w:pPr>
            <w:r>
              <w:rPr>
                <w:rFonts w:hint="eastAsia"/>
                <w:kern w:val="0"/>
                <w:szCs w:val="21"/>
              </w:rPr>
              <w:t>地下水</w:t>
            </w:r>
          </w:p>
        </w:tc>
        <w:tc>
          <w:tcPr>
            <w:tcW w:w="1192" w:type="pct"/>
            <w:shd w:val="clear" w:color="auto" w:fill="auto"/>
            <w:vAlign w:val="center"/>
          </w:tcPr>
          <w:p w:rsidR="00EE4502" w:rsidRDefault="00FD45A3">
            <w:pPr>
              <w:widowControl/>
              <w:jc w:val="center"/>
              <w:rPr>
                <w:kern w:val="0"/>
                <w:szCs w:val="21"/>
              </w:rPr>
            </w:pPr>
            <w:r>
              <w:rPr>
                <w:rFonts w:hint="eastAsia"/>
                <w:kern w:val="0"/>
                <w:szCs w:val="21"/>
              </w:rPr>
              <w:t>井场：</w:t>
            </w:r>
            <w:r>
              <w:rPr>
                <w:rFonts w:hint="eastAsia"/>
                <w:kern w:val="0"/>
                <w:szCs w:val="21"/>
              </w:rPr>
              <w:t>二级</w:t>
            </w:r>
          </w:p>
        </w:tc>
        <w:tc>
          <w:tcPr>
            <w:tcW w:w="2562" w:type="pct"/>
            <w:vMerge w:val="restart"/>
            <w:shd w:val="clear" w:color="auto" w:fill="auto"/>
            <w:vAlign w:val="center"/>
          </w:tcPr>
          <w:p w:rsidR="00EE4502" w:rsidRDefault="00FD45A3">
            <w:pPr>
              <w:widowControl/>
              <w:rPr>
                <w:kern w:val="0"/>
                <w:szCs w:val="21"/>
              </w:rPr>
            </w:pPr>
            <w:r>
              <w:rPr>
                <w:rFonts w:hint="eastAsia"/>
                <w:kern w:val="0"/>
                <w:szCs w:val="21"/>
              </w:rPr>
              <w:t>工程区向下游外扩</w:t>
            </w:r>
            <w:r>
              <w:rPr>
                <w:rFonts w:hint="eastAsia"/>
                <w:kern w:val="0"/>
                <w:szCs w:val="21"/>
              </w:rPr>
              <w:t>0.8km</w:t>
            </w:r>
            <w:r>
              <w:rPr>
                <w:rFonts w:hint="eastAsia"/>
                <w:kern w:val="0"/>
                <w:szCs w:val="21"/>
              </w:rPr>
              <w:t>，向两侧及上游各外扩</w:t>
            </w:r>
            <w:r>
              <w:rPr>
                <w:rFonts w:hint="eastAsia"/>
                <w:kern w:val="0"/>
                <w:szCs w:val="21"/>
              </w:rPr>
              <w:t>0.4km</w:t>
            </w:r>
            <w:r>
              <w:rPr>
                <w:rFonts w:hint="eastAsia"/>
                <w:kern w:val="0"/>
                <w:szCs w:val="21"/>
              </w:rPr>
              <w:t>的范围。管线以工程边界两侧各向外延伸</w:t>
            </w:r>
            <w:r>
              <w:rPr>
                <w:rFonts w:hint="eastAsia"/>
                <w:kern w:val="0"/>
                <w:szCs w:val="21"/>
              </w:rPr>
              <w:t>200m</w:t>
            </w:r>
          </w:p>
        </w:tc>
      </w:tr>
      <w:tr w:rsidR="00EE4502">
        <w:trPr>
          <w:trHeight w:val="340"/>
        </w:trPr>
        <w:tc>
          <w:tcPr>
            <w:tcW w:w="308" w:type="pct"/>
            <w:vMerge/>
            <w:vAlign w:val="center"/>
          </w:tcPr>
          <w:p w:rsidR="00EE4502" w:rsidRDefault="00EE4502">
            <w:pPr>
              <w:widowControl/>
              <w:jc w:val="center"/>
              <w:rPr>
                <w:kern w:val="0"/>
                <w:szCs w:val="21"/>
              </w:rPr>
            </w:pPr>
          </w:p>
        </w:tc>
        <w:tc>
          <w:tcPr>
            <w:tcW w:w="936" w:type="pct"/>
            <w:gridSpan w:val="2"/>
            <w:vMerge/>
            <w:shd w:val="clear" w:color="auto" w:fill="auto"/>
            <w:vAlign w:val="center"/>
          </w:tcPr>
          <w:p w:rsidR="00EE4502" w:rsidRDefault="00EE4502">
            <w:pPr>
              <w:widowControl/>
              <w:jc w:val="center"/>
              <w:rPr>
                <w:kern w:val="0"/>
                <w:szCs w:val="21"/>
              </w:rPr>
            </w:pPr>
          </w:p>
        </w:tc>
        <w:tc>
          <w:tcPr>
            <w:tcW w:w="1192" w:type="pct"/>
            <w:shd w:val="clear" w:color="auto" w:fill="auto"/>
            <w:vAlign w:val="center"/>
          </w:tcPr>
          <w:p w:rsidR="00EE4502" w:rsidRDefault="00FD45A3">
            <w:pPr>
              <w:widowControl/>
              <w:jc w:val="center"/>
              <w:rPr>
                <w:kern w:val="0"/>
                <w:szCs w:val="21"/>
              </w:rPr>
            </w:pPr>
            <w:r>
              <w:rPr>
                <w:rFonts w:hint="eastAsia"/>
                <w:kern w:val="0"/>
                <w:szCs w:val="21"/>
              </w:rPr>
              <w:t>管线：三级</w:t>
            </w:r>
          </w:p>
        </w:tc>
        <w:tc>
          <w:tcPr>
            <w:tcW w:w="2562" w:type="pct"/>
            <w:vMerge/>
            <w:shd w:val="clear" w:color="auto" w:fill="auto"/>
            <w:vAlign w:val="center"/>
          </w:tcPr>
          <w:p w:rsidR="00EE4502" w:rsidRDefault="00EE4502">
            <w:pPr>
              <w:widowControl/>
              <w:rPr>
                <w:kern w:val="0"/>
                <w:szCs w:val="21"/>
              </w:rPr>
            </w:pPr>
          </w:p>
        </w:tc>
      </w:tr>
      <w:tr w:rsidR="00EE4502">
        <w:trPr>
          <w:trHeight w:val="340"/>
        </w:trPr>
        <w:tc>
          <w:tcPr>
            <w:tcW w:w="308" w:type="pct"/>
            <w:vAlign w:val="center"/>
          </w:tcPr>
          <w:p w:rsidR="00EE4502" w:rsidRDefault="00FD45A3">
            <w:pPr>
              <w:widowControl/>
              <w:jc w:val="center"/>
              <w:rPr>
                <w:kern w:val="0"/>
                <w:szCs w:val="21"/>
              </w:rPr>
            </w:pPr>
            <w:r>
              <w:rPr>
                <w:rFonts w:hint="eastAsia"/>
                <w:kern w:val="0"/>
                <w:szCs w:val="21"/>
              </w:rPr>
              <w:t>3</w:t>
            </w:r>
          </w:p>
        </w:tc>
        <w:tc>
          <w:tcPr>
            <w:tcW w:w="936" w:type="pct"/>
            <w:gridSpan w:val="2"/>
            <w:shd w:val="clear" w:color="auto" w:fill="auto"/>
            <w:vAlign w:val="center"/>
          </w:tcPr>
          <w:p w:rsidR="00EE4502" w:rsidRDefault="00FD45A3">
            <w:pPr>
              <w:widowControl/>
              <w:jc w:val="center"/>
              <w:rPr>
                <w:kern w:val="0"/>
                <w:szCs w:val="21"/>
              </w:rPr>
            </w:pPr>
            <w:r>
              <w:rPr>
                <w:rFonts w:hint="eastAsia"/>
                <w:kern w:val="0"/>
                <w:szCs w:val="21"/>
              </w:rPr>
              <w:t>地表水环境</w:t>
            </w:r>
          </w:p>
        </w:tc>
        <w:tc>
          <w:tcPr>
            <w:tcW w:w="1192" w:type="pct"/>
            <w:shd w:val="clear" w:color="auto" w:fill="auto"/>
            <w:vAlign w:val="center"/>
          </w:tcPr>
          <w:p w:rsidR="00EE4502" w:rsidRDefault="00FD45A3">
            <w:pPr>
              <w:widowControl/>
              <w:jc w:val="center"/>
              <w:rPr>
                <w:kern w:val="0"/>
                <w:szCs w:val="21"/>
              </w:rPr>
            </w:pPr>
            <w:r>
              <w:rPr>
                <w:rFonts w:hint="eastAsia"/>
                <w:kern w:val="0"/>
                <w:szCs w:val="21"/>
              </w:rPr>
              <w:t>三级</w:t>
            </w:r>
            <w:r>
              <w:rPr>
                <w:rFonts w:hint="eastAsia"/>
                <w:kern w:val="0"/>
                <w:szCs w:val="21"/>
              </w:rPr>
              <w:t>B</w:t>
            </w:r>
          </w:p>
        </w:tc>
        <w:tc>
          <w:tcPr>
            <w:tcW w:w="2562" w:type="pct"/>
            <w:shd w:val="clear" w:color="auto" w:fill="auto"/>
            <w:vAlign w:val="center"/>
          </w:tcPr>
          <w:p w:rsidR="00EE4502" w:rsidRDefault="00FD45A3">
            <w:pPr>
              <w:widowControl/>
              <w:jc w:val="center"/>
              <w:rPr>
                <w:kern w:val="0"/>
                <w:szCs w:val="21"/>
              </w:rPr>
            </w:pPr>
            <w:r>
              <w:rPr>
                <w:rFonts w:hint="eastAsia"/>
                <w:kern w:val="0"/>
                <w:szCs w:val="21"/>
              </w:rPr>
              <w:t>——</w:t>
            </w:r>
          </w:p>
        </w:tc>
      </w:tr>
      <w:tr w:rsidR="00EE4502">
        <w:trPr>
          <w:trHeight w:val="340"/>
        </w:trPr>
        <w:tc>
          <w:tcPr>
            <w:tcW w:w="308" w:type="pct"/>
            <w:vMerge w:val="restart"/>
            <w:vAlign w:val="center"/>
          </w:tcPr>
          <w:p w:rsidR="00EE4502" w:rsidRDefault="00FD45A3">
            <w:pPr>
              <w:widowControl/>
              <w:jc w:val="center"/>
              <w:rPr>
                <w:kern w:val="0"/>
                <w:szCs w:val="21"/>
              </w:rPr>
            </w:pPr>
            <w:r>
              <w:rPr>
                <w:rFonts w:hint="eastAsia"/>
                <w:kern w:val="0"/>
                <w:szCs w:val="21"/>
              </w:rPr>
              <w:t>4</w:t>
            </w:r>
          </w:p>
        </w:tc>
        <w:tc>
          <w:tcPr>
            <w:tcW w:w="379" w:type="pct"/>
            <w:vMerge w:val="restart"/>
            <w:vAlign w:val="center"/>
          </w:tcPr>
          <w:p w:rsidR="00EE4502" w:rsidRDefault="00FD45A3">
            <w:pPr>
              <w:widowControl/>
              <w:jc w:val="center"/>
              <w:rPr>
                <w:kern w:val="0"/>
                <w:szCs w:val="21"/>
              </w:rPr>
            </w:pPr>
            <w:r>
              <w:rPr>
                <w:rFonts w:hint="eastAsia"/>
                <w:kern w:val="0"/>
                <w:szCs w:val="21"/>
              </w:rPr>
              <w:t>土壤环境</w:t>
            </w:r>
          </w:p>
        </w:tc>
        <w:tc>
          <w:tcPr>
            <w:tcW w:w="557" w:type="pct"/>
            <w:vMerge w:val="restart"/>
            <w:vAlign w:val="center"/>
          </w:tcPr>
          <w:p w:rsidR="00EE4502" w:rsidRDefault="00FD45A3">
            <w:pPr>
              <w:widowControl/>
              <w:jc w:val="center"/>
              <w:rPr>
                <w:kern w:val="0"/>
                <w:szCs w:val="21"/>
              </w:rPr>
            </w:pPr>
            <w:r>
              <w:rPr>
                <w:rFonts w:hint="eastAsia"/>
                <w:kern w:val="0"/>
                <w:szCs w:val="21"/>
              </w:rPr>
              <w:t>生态影响型</w:t>
            </w:r>
          </w:p>
        </w:tc>
        <w:tc>
          <w:tcPr>
            <w:tcW w:w="1192" w:type="pct"/>
            <w:vAlign w:val="center"/>
          </w:tcPr>
          <w:p w:rsidR="00EE4502" w:rsidRDefault="00FD45A3">
            <w:pPr>
              <w:widowControl/>
              <w:jc w:val="center"/>
              <w:rPr>
                <w:kern w:val="0"/>
                <w:szCs w:val="21"/>
              </w:rPr>
            </w:pPr>
            <w:r>
              <w:rPr>
                <w:rFonts w:hint="eastAsia"/>
                <w:kern w:val="0"/>
                <w:szCs w:val="21"/>
              </w:rPr>
              <w:t>采油井场</w:t>
            </w:r>
            <w:r>
              <w:rPr>
                <w:rFonts w:hint="eastAsia"/>
                <w:kern w:val="0"/>
                <w:szCs w:val="21"/>
              </w:rPr>
              <w:t>/</w:t>
            </w:r>
            <w:r>
              <w:rPr>
                <w:rFonts w:hint="eastAsia"/>
                <w:kern w:val="0"/>
                <w:szCs w:val="21"/>
              </w:rPr>
              <w:t>增压站：</w:t>
            </w:r>
            <w:r>
              <w:rPr>
                <w:rFonts w:hint="eastAsia"/>
                <w:kern w:val="0"/>
                <w:szCs w:val="21"/>
              </w:rPr>
              <w:t>一级</w:t>
            </w:r>
          </w:p>
        </w:tc>
        <w:tc>
          <w:tcPr>
            <w:tcW w:w="2562" w:type="pct"/>
            <w:vAlign w:val="center"/>
          </w:tcPr>
          <w:p w:rsidR="00EE4502" w:rsidRDefault="00FD45A3">
            <w:pPr>
              <w:widowControl/>
              <w:rPr>
                <w:kern w:val="0"/>
                <w:szCs w:val="21"/>
              </w:rPr>
            </w:pPr>
            <w:r>
              <w:rPr>
                <w:rFonts w:hint="eastAsia"/>
                <w:kern w:val="0"/>
                <w:szCs w:val="21"/>
              </w:rPr>
              <w:t>占地范围内全部以及占地范围外</w:t>
            </w:r>
            <w:r>
              <w:rPr>
                <w:rFonts w:hint="eastAsia"/>
                <w:kern w:val="0"/>
                <w:szCs w:val="21"/>
              </w:rPr>
              <w:t>5km</w:t>
            </w:r>
          </w:p>
        </w:tc>
      </w:tr>
      <w:tr w:rsidR="00EE4502">
        <w:trPr>
          <w:trHeight w:val="340"/>
        </w:trPr>
        <w:tc>
          <w:tcPr>
            <w:tcW w:w="308" w:type="pct"/>
            <w:vMerge/>
            <w:vAlign w:val="center"/>
          </w:tcPr>
          <w:p w:rsidR="00EE4502" w:rsidRDefault="00EE4502">
            <w:pPr>
              <w:widowControl/>
              <w:jc w:val="center"/>
              <w:rPr>
                <w:kern w:val="0"/>
                <w:sz w:val="24"/>
                <w:szCs w:val="20"/>
              </w:rPr>
            </w:pPr>
          </w:p>
        </w:tc>
        <w:tc>
          <w:tcPr>
            <w:tcW w:w="379" w:type="pct"/>
            <w:vMerge/>
            <w:vAlign w:val="center"/>
          </w:tcPr>
          <w:p w:rsidR="00EE4502" w:rsidRDefault="00EE4502">
            <w:pPr>
              <w:widowControl/>
              <w:jc w:val="center"/>
              <w:rPr>
                <w:kern w:val="0"/>
                <w:sz w:val="24"/>
                <w:szCs w:val="20"/>
              </w:rPr>
            </w:pPr>
          </w:p>
        </w:tc>
        <w:tc>
          <w:tcPr>
            <w:tcW w:w="557" w:type="pct"/>
            <w:vMerge/>
            <w:vAlign w:val="center"/>
          </w:tcPr>
          <w:p w:rsidR="00EE4502" w:rsidRDefault="00EE4502">
            <w:pPr>
              <w:widowControl/>
              <w:jc w:val="center"/>
              <w:rPr>
                <w:kern w:val="0"/>
                <w:sz w:val="24"/>
                <w:szCs w:val="20"/>
              </w:rPr>
            </w:pPr>
          </w:p>
        </w:tc>
        <w:tc>
          <w:tcPr>
            <w:tcW w:w="1192" w:type="pct"/>
            <w:vAlign w:val="center"/>
          </w:tcPr>
          <w:p w:rsidR="00EE4502" w:rsidRDefault="00FD45A3">
            <w:pPr>
              <w:widowControl/>
              <w:jc w:val="center"/>
              <w:rPr>
                <w:kern w:val="0"/>
                <w:szCs w:val="21"/>
              </w:rPr>
            </w:pPr>
            <w:r>
              <w:rPr>
                <w:rFonts w:hint="eastAsia"/>
                <w:kern w:val="0"/>
                <w:szCs w:val="21"/>
              </w:rPr>
              <w:t>注水井场、注水站及</w:t>
            </w:r>
            <w:r>
              <w:rPr>
                <w:rFonts w:hint="eastAsia"/>
                <w:kern w:val="0"/>
                <w:szCs w:val="21"/>
              </w:rPr>
              <w:lastRenderedPageBreak/>
              <w:t>各类管线：二级</w:t>
            </w:r>
          </w:p>
        </w:tc>
        <w:tc>
          <w:tcPr>
            <w:tcW w:w="2562" w:type="pct"/>
            <w:vAlign w:val="center"/>
          </w:tcPr>
          <w:p w:rsidR="00EE4502" w:rsidRDefault="00FD45A3">
            <w:pPr>
              <w:widowControl/>
              <w:rPr>
                <w:kern w:val="0"/>
                <w:szCs w:val="21"/>
              </w:rPr>
            </w:pPr>
            <w:r>
              <w:rPr>
                <w:rFonts w:hint="eastAsia"/>
                <w:kern w:val="0"/>
                <w:szCs w:val="21"/>
              </w:rPr>
              <w:lastRenderedPageBreak/>
              <w:t>占地范围内全部以及占地范围外</w:t>
            </w:r>
            <w:r>
              <w:rPr>
                <w:rFonts w:hint="eastAsia"/>
                <w:kern w:val="0"/>
                <w:szCs w:val="21"/>
              </w:rPr>
              <w:t>2km</w:t>
            </w:r>
            <w:r>
              <w:rPr>
                <w:rFonts w:hint="eastAsia"/>
                <w:kern w:val="0"/>
                <w:szCs w:val="21"/>
              </w:rPr>
              <w:t>，</w:t>
            </w:r>
            <w:r>
              <w:rPr>
                <w:rFonts w:hint="eastAsia"/>
                <w:kern w:val="0"/>
                <w:szCs w:val="21"/>
              </w:rPr>
              <w:t>管线两</w:t>
            </w:r>
            <w:r>
              <w:rPr>
                <w:rFonts w:hint="eastAsia"/>
                <w:kern w:val="0"/>
                <w:szCs w:val="21"/>
              </w:rPr>
              <w:lastRenderedPageBreak/>
              <w:t>侧</w:t>
            </w:r>
            <w:r>
              <w:rPr>
                <w:rFonts w:hint="eastAsia"/>
                <w:kern w:val="0"/>
                <w:szCs w:val="21"/>
              </w:rPr>
              <w:t>0.2km</w:t>
            </w:r>
          </w:p>
        </w:tc>
      </w:tr>
      <w:tr w:rsidR="00EE4502">
        <w:trPr>
          <w:trHeight w:val="340"/>
        </w:trPr>
        <w:tc>
          <w:tcPr>
            <w:tcW w:w="308" w:type="pct"/>
            <w:vMerge/>
            <w:vAlign w:val="center"/>
          </w:tcPr>
          <w:p w:rsidR="00EE4502" w:rsidRDefault="00EE4502">
            <w:pPr>
              <w:widowControl/>
              <w:jc w:val="center"/>
              <w:rPr>
                <w:kern w:val="0"/>
                <w:szCs w:val="21"/>
              </w:rPr>
            </w:pPr>
          </w:p>
        </w:tc>
        <w:tc>
          <w:tcPr>
            <w:tcW w:w="379" w:type="pct"/>
            <w:vMerge/>
            <w:vAlign w:val="center"/>
          </w:tcPr>
          <w:p w:rsidR="00EE4502" w:rsidRDefault="00EE4502">
            <w:pPr>
              <w:widowControl/>
              <w:jc w:val="center"/>
              <w:rPr>
                <w:kern w:val="0"/>
                <w:szCs w:val="21"/>
              </w:rPr>
            </w:pPr>
          </w:p>
        </w:tc>
        <w:tc>
          <w:tcPr>
            <w:tcW w:w="557" w:type="pct"/>
            <w:vMerge w:val="restart"/>
            <w:vAlign w:val="center"/>
          </w:tcPr>
          <w:p w:rsidR="00EE4502" w:rsidRDefault="00FD45A3">
            <w:pPr>
              <w:widowControl/>
              <w:jc w:val="center"/>
              <w:rPr>
                <w:kern w:val="0"/>
                <w:szCs w:val="21"/>
              </w:rPr>
            </w:pPr>
            <w:r>
              <w:rPr>
                <w:rFonts w:hint="eastAsia"/>
                <w:kern w:val="0"/>
                <w:szCs w:val="21"/>
              </w:rPr>
              <w:t>污染影响型</w:t>
            </w:r>
          </w:p>
        </w:tc>
        <w:tc>
          <w:tcPr>
            <w:tcW w:w="1192" w:type="pct"/>
            <w:vAlign w:val="center"/>
          </w:tcPr>
          <w:p w:rsidR="00EE4502" w:rsidRDefault="00FD45A3">
            <w:pPr>
              <w:widowControl/>
              <w:jc w:val="center"/>
              <w:rPr>
                <w:kern w:val="0"/>
                <w:szCs w:val="21"/>
              </w:rPr>
            </w:pPr>
            <w:r>
              <w:rPr>
                <w:rFonts w:hint="eastAsia"/>
                <w:kern w:val="0"/>
                <w:szCs w:val="21"/>
              </w:rPr>
              <w:t>采油井场</w:t>
            </w:r>
            <w:r>
              <w:rPr>
                <w:rFonts w:hint="eastAsia"/>
                <w:kern w:val="0"/>
                <w:szCs w:val="21"/>
              </w:rPr>
              <w:t>/</w:t>
            </w:r>
            <w:r>
              <w:rPr>
                <w:rFonts w:hint="eastAsia"/>
                <w:kern w:val="0"/>
                <w:szCs w:val="21"/>
              </w:rPr>
              <w:t>增压站：</w:t>
            </w:r>
            <w:r>
              <w:rPr>
                <w:rFonts w:hint="eastAsia"/>
                <w:kern w:val="0"/>
                <w:szCs w:val="21"/>
              </w:rPr>
              <w:t>一级</w:t>
            </w:r>
          </w:p>
        </w:tc>
        <w:tc>
          <w:tcPr>
            <w:tcW w:w="2562" w:type="pct"/>
            <w:vAlign w:val="center"/>
          </w:tcPr>
          <w:p w:rsidR="00EE4502" w:rsidRDefault="00FD45A3">
            <w:pPr>
              <w:widowControl/>
              <w:rPr>
                <w:kern w:val="0"/>
                <w:szCs w:val="21"/>
              </w:rPr>
            </w:pPr>
            <w:r>
              <w:rPr>
                <w:rFonts w:hint="eastAsia"/>
                <w:kern w:val="0"/>
                <w:szCs w:val="21"/>
              </w:rPr>
              <w:t>占地范围内全部以及占地范围外</w:t>
            </w:r>
            <w:r>
              <w:rPr>
                <w:rFonts w:hint="eastAsia"/>
                <w:kern w:val="0"/>
                <w:szCs w:val="21"/>
              </w:rPr>
              <w:t>1km</w:t>
            </w:r>
          </w:p>
        </w:tc>
      </w:tr>
      <w:tr w:rsidR="00EE4502">
        <w:trPr>
          <w:trHeight w:val="340"/>
        </w:trPr>
        <w:tc>
          <w:tcPr>
            <w:tcW w:w="308" w:type="pct"/>
            <w:vMerge/>
            <w:vAlign w:val="center"/>
          </w:tcPr>
          <w:p w:rsidR="00EE4502" w:rsidRDefault="00EE4502">
            <w:pPr>
              <w:widowControl/>
              <w:jc w:val="center"/>
              <w:rPr>
                <w:kern w:val="0"/>
                <w:sz w:val="24"/>
                <w:szCs w:val="20"/>
              </w:rPr>
            </w:pPr>
          </w:p>
        </w:tc>
        <w:tc>
          <w:tcPr>
            <w:tcW w:w="379" w:type="pct"/>
            <w:vMerge/>
            <w:vAlign w:val="center"/>
          </w:tcPr>
          <w:p w:rsidR="00EE4502" w:rsidRDefault="00EE4502">
            <w:pPr>
              <w:widowControl/>
              <w:jc w:val="center"/>
              <w:rPr>
                <w:kern w:val="0"/>
                <w:sz w:val="24"/>
                <w:szCs w:val="20"/>
              </w:rPr>
            </w:pPr>
          </w:p>
        </w:tc>
        <w:tc>
          <w:tcPr>
            <w:tcW w:w="557" w:type="pct"/>
            <w:vMerge/>
            <w:vAlign w:val="center"/>
          </w:tcPr>
          <w:p w:rsidR="00EE4502" w:rsidRDefault="00EE4502">
            <w:pPr>
              <w:widowControl/>
              <w:jc w:val="center"/>
              <w:rPr>
                <w:kern w:val="0"/>
                <w:sz w:val="24"/>
                <w:szCs w:val="20"/>
              </w:rPr>
            </w:pPr>
          </w:p>
        </w:tc>
        <w:tc>
          <w:tcPr>
            <w:tcW w:w="1192" w:type="pct"/>
            <w:vAlign w:val="center"/>
          </w:tcPr>
          <w:p w:rsidR="00EE4502" w:rsidRDefault="00FD45A3">
            <w:pPr>
              <w:widowControl/>
              <w:jc w:val="center"/>
              <w:rPr>
                <w:kern w:val="0"/>
                <w:szCs w:val="21"/>
              </w:rPr>
            </w:pPr>
            <w:r>
              <w:rPr>
                <w:rFonts w:hint="eastAsia"/>
                <w:kern w:val="0"/>
                <w:szCs w:val="21"/>
              </w:rPr>
              <w:t>注水井场、注水站及各类管线：二级</w:t>
            </w:r>
          </w:p>
        </w:tc>
        <w:tc>
          <w:tcPr>
            <w:tcW w:w="2562" w:type="pct"/>
            <w:vAlign w:val="center"/>
          </w:tcPr>
          <w:p w:rsidR="00EE4502" w:rsidRDefault="00FD45A3">
            <w:pPr>
              <w:widowControl/>
              <w:rPr>
                <w:kern w:val="0"/>
                <w:szCs w:val="21"/>
              </w:rPr>
            </w:pPr>
            <w:r>
              <w:rPr>
                <w:rFonts w:hint="eastAsia"/>
                <w:kern w:val="0"/>
                <w:szCs w:val="21"/>
              </w:rPr>
              <w:t>占地范围内全部以及占地范围外</w:t>
            </w:r>
            <w:r>
              <w:rPr>
                <w:rFonts w:hint="eastAsia"/>
                <w:kern w:val="0"/>
                <w:szCs w:val="21"/>
              </w:rPr>
              <w:t>0.2</w:t>
            </w:r>
            <w:r>
              <w:rPr>
                <w:rFonts w:hint="eastAsia"/>
                <w:kern w:val="0"/>
                <w:szCs w:val="21"/>
              </w:rPr>
              <w:t>km</w:t>
            </w:r>
            <w:r>
              <w:rPr>
                <w:rFonts w:hint="eastAsia"/>
                <w:kern w:val="0"/>
                <w:szCs w:val="21"/>
              </w:rPr>
              <w:t>，管线两侧</w:t>
            </w:r>
            <w:r>
              <w:rPr>
                <w:rFonts w:hint="eastAsia"/>
                <w:kern w:val="0"/>
                <w:szCs w:val="21"/>
              </w:rPr>
              <w:t>0.2km</w:t>
            </w:r>
          </w:p>
        </w:tc>
      </w:tr>
      <w:tr w:rsidR="00EE4502">
        <w:trPr>
          <w:trHeight w:val="340"/>
        </w:trPr>
        <w:tc>
          <w:tcPr>
            <w:tcW w:w="308" w:type="pct"/>
            <w:vAlign w:val="center"/>
          </w:tcPr>
          <w:p w:rsidR="00EE4502" w:rsidRDefault="00FD45A3">
            <w:pPr>
              <w:widowControl/>
              <w:jc w:val="center"/>
              <w:rPr>
                <w:kern w:val="0"/>
                <w:szCs w:val="21"/>
              </w:rPr>
            </w:pPr>
            <w:r>
              <w:rPr>
                <w:rFonts w:hint="eastAsia"/>
                <w:kern w:val="0"/>
                <w:szCs w:val="21"/>
              </w:rPr>
              <w:t>5</w:t>
            </w:r>
          </w:p>
        </w:tc>
        <w:tc>
          <w:tcPr>
            <w:tcW w:w="936" w:type="pct"/>
            <w:gridSpan w:val="2"/>
            <w:shd w:val="clear" w:color="auto" w:fill="auto"/>
            <w:vAlign w:val="center"/>
          </w:tcPr>
          <w:p w:rsidR="00EE4502" w:rsidRDefault="00FD45A3">
            <w:pPr>
              <w:widowControl/>
              <w:jc w:val="center"/>
              <w:rPr>
                <w:kern w:val="0"/>
                <w:szCs w:val="21"/>
              </w:rPr>
            </w:pPr>
            <w:r>
              <w:rPr>
                <w:rFonts w:hint="eastAsia"/>
                <w:kern w:val="0"/>
                <w:szCs w:val="21"/>
              </w:rPr>
              <w:t>环境空气</w:t>
            </w:r>
          </w:p>
        </w:tc>
        <w:tc>
          <w:tcPr>
            <w:tcW w:w="1192" w:type="pct"/>
            <w:shd w:val="clear" w:color="auto" w:fill="auto"/>
            <w:vAlign w:val="center"/>
          </w:tcPr>
          <w:p w:rsidR="00EE4502" w:rsidRDefault="00FD45A3">
            <w:pPr>
              <w:widowControl/>
              <w:jc w:val="center"/>
              <w:rPr>
                <w:kern w:val="0"/>
                <w:szCs w:val="21"/>
              </w:rPr>
            </w:pPr>
            <w:r>
              <w:rPr>
                <w:rFonts w:hint="eastAsia"/>
                <w:kern w:val="0"/>
                <w:szCs w:val="21"/>
              </w:rPr>
              <w:t>二级</w:t>
            </w:r>
          </w:p>
        </w:tc>
        <w:tc>
          <w:tcPr>
            <w:tcW w:w="2562" w:type="pct"/>
            <w:shd w:val="clear" w:color="auto" w:fill="auto"/>
            <w:vAlign w:val="center"/>
          </w:tcPr>
          <w:p w:rsidR="00EE4502" w:rsidRDefault="00FD45A3">
            <w:pPr>
              <w:widowControl/>
              <w:rPr>
                <w:kern w:val="0"/>
                <w:szCs w:val="21"/>
              </w:rPr>
            </w:pPr>
            <w:r>
              <w:rPr>
                <w:rFonts w:hint="eastAsia"/>
                <w:kern w:val="0"/>
                <w:szCs w:val="21"/>
              </w:rPr>
              <w:t>以各</w:t>
            </w:r>
            <w:r>
              <w:rPr>
                <w:rFonts w:hint="eastAsia"/>
                <w:kern w:val="0"/>
                <w:szCs w:val="21"/>
              </w:rPr>
              <w:t>采油</w:t>
            </w:r>
            <w:r>
              <w:rPr>
                <w:rFonts w:hint="eastAsia"/>
                <w:kern w:val="0"/>
                <w:szCs w:val="21"/>
              </w:rPr>
              <w:t>井场、站场为中心，边长</w:t>
            </w:r>
            <w:r>
              <w:rPr>
                <w:rFonts w:hint="eastAsia"/>
                <w:kern w:val="0"/>
                <w:szCs w:val="21"/>
              </w:rPr>
              <w:t>5km</w:t>
            </w:r>
            <w:r>
              <w:rPr>
                <w:rFonts w:hint="eastAsia"/>
                <w:kern w:val="0"/>
                <w:szCs w:val="21"/>
              </w:rPr>
              <w:t>的矩形区域</w:t>
            </w:r>
          </w:p>
        </w:tc>
      </w:tr>
      <w:tr w:rsidR="00EE4502">
        <w:trPr>
          <w:trHeight w:val="340"/>
        </w:trPr>
        <w:tc>
          <w:tcPr>
            <w:tcW w:w="308" w:type="pct"/>
            <w:vAlign w:val="center"/>
          </w:tcPr>
          <w:p w:rsidR="00EE4502" w:rsidRDefault="00FD45A3">
            <w:pPr>
              <w:widowControl/>
              <w:jc w:val="center"/>
              <w:rPr>
                <w:kern w:val="0"/>
                <w:szCs w:val="21"/>
              </w:rPr>
            </w:pPr>
            <w:r>
              <w:rPr>
                <w:rFonts w:hint="eastAsia"/>
                <w:kern w:val="0"/>
                <w:szCs w:val="21"/>
              </w:rPr>
              <w:t>6</w:t>
            </w:r>
          </w:p>
        </w:tc>
        <w:tc>
          <w:tcPr>
            <w:tcW w:w="936" w:type="pct"/>
            <w:gridSpan w:val="2"/>
            <w:shd w:val="clear" w:color="auto" w:fill="auto"/>
            <w:vAlign w:val="center"/>
          </w:tcPr>
          <w:p w:rsidR="00EE4502" w:rsidRDefault="00FD45A3">
            <w:pPr>
              <w:widowControl/>
              <w:jc w:val="center"/>
              <w:rPr>
                <w:kern w:val="0"/>
                <w:szCs w:val="21"/>
              </w:rPr>
            </w:pPr>
            <w:r>
              <w:rPr>
                <w:rFonts w:hint="eastAsia"/>
                <w:kern w:val="0"/>
                <w:szCs w:val="21"/>
              </w:rPr>
              <w:t>声环境</w:t>
            </w:r>
          </w:p>
        </w:tc>
        <w:tc>
          <w:tcPr>
            <w:tcW w:w="1192" w:type="pct"/>
            <w:shd w:val="clear" w:color="auto" w:fill="auto"/>
            <w:vAlign w:val="center"/>
          </w:tcPr>
          <w:p w:rsidR="00EE4502" w:rsidRDefault="00FD45A3">
            <w:pPr>
              <w:widowControl/>
              <w:jc w:val="center"/>
              <w:rPr>
                <w:kern w:val="0"/>
                <w:szCs w:val="21"/>
              </w:rPr>
            </w:pPr>
            <w:r>
              <w:rPr>
                <w:rFonts w:hint="eastAsia"/>
                <w:kern w:val="0"/>
                <w:szCs w:val="21"/>
              </w:rPr>
              <w:t>二级</w:t>
            </w:r>
          </w:p>
        </w:tc>
        <w:tc>
          <w:tcPr>
            <w:tcW w:w="2562" w:type="pct"/>
            <w:shd w:val="clear" w:color="auto" w:fill="auto"/>
            <w:vAlign w:val="center"/>
          </w:tcPr>
          <w:p w:rsidR="00EE4502" w:rsidRDefault="00FD45A3">
            <w:pPr>
              <w:widowControl/>
              <w:rPr>
                <w:kern w:val="0"/>
                <w:szCs w:val="21"/>
              </w:rPr>
            </w:pPr>
            <w:r>
              <w:rPr>
                <w:rFonts w:hint="eastAsia"/>
                <w:kern w:val="0"/>
                <w:szCs w:val="21"/>
              </w:rPr>
              <w:t>工程区内及工程区边界向外扩</w:t>
            </w:r>
            <w:r>
              <w:rPr>
                <w:rFonts w:hint="eastAsia"/>
                <w:kern w:val="0"/>
                <w:szCs w:val="21"/>
              </w:rPr>
              <w:t>200m</w:t>
            </w:r>
            <w:r>
              <w:rPr>
                <w:rFonts w:hint="eastAsia"/>
                <w:kern w:val="0"/>
                <w:szCs w:val="21"/>
              </w:rPr>
              <w:t>的区域</w:t>
            </w:r>
          </w:p>
        </w:tc>
      </w:tr>
      <w:tr w:rsidR="00EE4502">
        <w:trPr>
          <w:trHeight w:val="340"/>
        </w:trPr>
        <w:tc>
          <w:tcPr>
            <w:tcW w:w="308" w:type="pct"/>
            <w:vAlign w:val="center"/>
          </w:tcPr>
          <w:p w:rsidR="00EE4502" w:rsidRDefault="00FD45A3">
            <w:pPr>
              <w:widowControl/>
              <w:jc w:val="center"/>
              <w:rPr>
                <w:kern w:val="0"/>
                <w:szCs w:val="21"/>
              </w:rPr>
            </w:pPr>
            <w:r>
              <w:rPr>
                <w:rFonts w:hint="eastAsia"/>
                <w:kern w:val="0"/>
                <w:szCs w:val="21"/>
              </w:rPr>
              <w:t>7</w:t>
            </w:r>
          </w:p>
        </w:tc>
        <w:tc>
          <w:tcPr>
            <w:tcW w:w="936" w:type="pct"/>
            <w:gridSpan w:val="2"/>
            <w:shd w:val="clear" w:color="auto" w:fill="auto"/>
            <w:vAlign w:val="center"/>
          </w:tcPr>
          <w:p w:rsidR="00EE4502" w:rsidRDefault="00FD45A3">
            <w:pPr>
              <w:widowControl/>
              <w:jc w:val="center"/>
              <w:rPr>
                <w:kern w:val="0"/>
                <w:szCs w:val="21"/>
              </w:rPr>
            </w:pPr>
            <w:r>
              <w:rPr>
                <w:rFonts w:hint="eastAsia"/>
                <w:kern w:val="0"/>
                <w:szCs w:val="21"/>
              </w:rPr>
              <w:t>环境风险</w:t>
            </w:r>
          </w:p>
        </w:tc>
        <w:tc>
          <w:tcPr>
            <w:tcW w:w="1192" w:type="pct"/>
            <w:shd w:val="clear" w:color="auto" w:fill="auto"/>
            <w:vAlign w:val="center"/>
          </w:tcPr>
          <w:p w:rsidR="00EE4502" w:rsidRDefault="00FD45A3">
            <w:pPr>
              <w:widowControl/>
              <w:jc w:val="center"/>
              <w:rPr>
                <w:kern w:val="0"/>
                <w:szCs w:val="21"/>
              </w:rPr>
            </w:pPr>
            <w:r>
              <w:rPr>
                <w:rFonts w:hint="eastAsia"/>
                <w:kern w:val="0"/>
                <w:szCs w:val="21"/>
              </w:rPr>
              <w:t>简单分析</w:t>
            </w:r>
          </w:p>
        </w:tc>
        <w:tc>
          <w:tcPr>
            <w:tcW w:w="2562" w:type="pct"/>
            <w:shd w:val="clear" w:color="auto" w:fill="auto"/>
            <w:vAlign w:val="center"/>
          </w:tcPr>
          <w:p w:rsidR="00EE4502" w:rsidRDefault="00FD45A3">
            <w:pPr>
              <w:widowControl/>
              <w:jc w:val="center"/>
              <w:rPr>
                <w:kern w:val="0"/>
                <w:szCs w:val="21"/>
              </w:rPr>
            </w:pPr>
            <w:r>
              <w:rPr>
                <w:rFonts w:hint="eastAsia"/>
                <w:kern w:val="0"/>
                <w:szCs w:val="21"/>
              </w:rPr>
              <w:t>——</w:t>
            </w:r>
          </w:p>
        </w:tc>
      </w:tr>
      <w:bookmarkEnd w:id="60"/>
      <w:bookmarkEnd w:id="61"/>
    </w:tbl>
    <w:p w:rsidR="00EE4502" w:rsidRDefault="00EE4502">
      <w:pPr>
        <w:spacing w:line="360" w:lineRule="auto"/>
        <w:jc w:val="center"/>
        <w:rPr>
          <w:sz w:val="24"/>
        </w:rPr>
      </w:pPr>
    </w:p>
    <w:p w:rsidR="00EE4502" w:rsidRDefault="00FD45A3">
      <w:pPr>
        <w:pStyle w:val="22"/>
        <w:numPr>
          <w:ilvl w:val="1"/>
          <w:numId w:val="30"/>
        </w:numPr>
        <w:rPr>
          <w:spacing w:val="0"/>
          <w:w w:val="100"/>
        </w:rPr>
      </w:pPr>
      <w:bookmarkStart w:id="62" w:name="_Toc6838"/>
      <w:r>
        <w:rPr>
          <w:spacing w:val="0"/>
          <w:w w:val="100"/>
        </w:rPr>
        <w:t>污染控制目标与环境保护目标</w:t>
      </w:r>
      <w:bookmarkEnd w:id="62"/>
    </w:p>
    <w:p w:rsidR="00EE4502" w:rsidRDefault="00FD45A3">
      <w:pPr>
        <w:pStyle w:val="33"/>
        <w:numPr>
          <w:ilvl w:val="2"/>
          <w:numId w:val="30"/>
        </w:numPr>
        <w:spacing w:line="360" w:lineRule="auto"/>
        <w:ind w:left="0" w:firstLine="0"/>
        <w:rPr>
          <w:spacing w:val="0"/>
          <w:sz w:val="24"/>
          <w:szCs w:val="24"/>
        </w:rPr>
      </w:pPr>
      <w:r>
        <w:rPr>
          <w:spacing w:val="0"/>
          <w:sz w:val="24"/>
          <w:szCs w:val="24"/>
        </w:rPr>
        <w:t>污染控制目标</w:t>
      </w:r>
    </w:p>
    <w:p w:rsidR="00EE4502" w:rsidRDefault="00FD45A3">
      <w:pPr>
        <w:pStyle w:val="affc"/>
        <w:spacing w:line="360" w:lineRule="auto"/>
        <w:ind w:firstLine="480"/>
        <w:rPr>
          <w:rFonts w:ascii="Times New Roman" w:hAnsi="Times New Roman"/>
          <w:spacing w:val="0"/>
          <w:sz w:val="24"/>
        </w:rPr>
      </w:pPr>
      <w:r>
        <w:rPr>
          <w:rFonts w:ascii="Times New Roman" w:hAnsi="Times New Roman"/>
          <w:spacing w:val="0"/>
          <w:sz w:val="24"/>
        </w:rPr>
        <w:t>根据施工期和运营中对环境可能造成的污染与生态破坏，确定污染控制目标如下：</w:t>
      </w:r>
    </w:p>
    <w:p w:rsidR="00EE4502" w:rsidRDefault="00FD45A3">
      <w:pPr>
        <w:pStyle w:val="affc"/>
        <w:spacing w:line="360" w:lineRule="auto"/>
        <w:ind w:firstLine="480"/>
        <w:rPr>
          <w:rFonts w:ascii="Times New Roman" w:hAnsi="Times New Roman"/>
          <w:spacing w:val="0"/>
          <w:sz w:val="24"/>
        </w:rPr>
      </w:pPr>
      <w:r>
        <w:rPr>
          <w:rFonts w:ascii="Times New Roman" w:hAnsi="Times New Roman"/>
          <w:spacing w:val="0"/>
          <w:sz w:val="24"/>
        </w:rPr>
        <w:t>（</w:t>
      </w:r>
      <w:r>
        <w:rPr>
          <w:rFonts w:ascii="Times New Roman" w:hAnsi="Times New Roman"/>
          <w:spacing w:val="0"/>
          <w:sz w:val="24"/>
        </w:rPr>
        <w:t>1</w:t>
      </w:r>
      <w:r>
        <w:rPr>
          <w:rFonts w:ascii="Times New Roman" w:hAnsi="Times New Roman"/>
          <w:spacing w:val="0"/>
          <w:sz w:val="24"/>
        </w:rPr>
        <w:t>）控制建设项目在开发建设过程中的各种施工活动，尽量减少对地表的扰动，做好植被恢复与水土保持工作，防止土壤沙化。</w:t>
      </w:r>
    </w:p>
    <w:p w:rsidR="00EE4502" w:rsidRDefault="00FD45A3">
      <w:pPr>
        <w:pStyle w:val="affc"/>
        <w:spacing w:line="360" w:lineRule="auto"/>
        <w:ind w:firstLine="480"/>
        <w:rPr>
          <w:rFonts w:ascii="Times New Roman" w:hAnsi="Times New Roman"/>
          <w:spacing w:val="0"/>
          <w:sz w:val="24"/>
        </w:rPr>
      </w:pPr>
      <w:r>
        <w:rPr>
          <w:rFonts w:ascii="Times New Roman" w:hAnsi="Times New Roman"/>
          <w:spacing w:val="0"/>
          <w:sz w:val="24"/>
        </w:rPr>
        <w:t>（</w:t>
      </w:r>
      <w:r>
        <w:rPr>
          <w:rFonts w:ascii="Times New Roman" w:hAnsi="Times New Roman"/>
          <w:spacing w:val="0"/>
          <w:sz w:val="24"/>
        </w:rPr>
        <w:t>2</w:t>
      </w:r>
      <w:r>
        <w:rPr>
          <w:rFonts w:ascii="Times New Roman" w:hAnsi="Times New Roman"/>
          <w:spacing w:val="0"/>
          <w:sz w:val="24"/>
        </w:rPr>
        <w:t>）</w:t>
      </w:r>
      <w:r>
        <w:rPr>
          <w:rFonts w:ascii="Times New Roman" w:hAnsi="Times New Roman" w:hint="eastAsia"/>
          <w:spacing w:val="0"/>
          <w:sz w:val="24"/>
        </w:rPr>
        <w:t>工程建设应符合清洁生产的原则，采取成熟可靠的工艺技术，保证拟建项目污染物实现达标排放（符合相应标准要求，并使固体废物得到合理利用或无害化处置），使工程主要污染物排放总量符合国家和地方总量控制的要求。工程建成后，当地环境质量不发生较大改变，仍保持相应环境功能区划要求</w:t>
      </w:r>
      <w:r>
        <w:rPr>
          <w:rFonts w:ascii="Times New Roman" w:hAnsi="Times New Roman"/>
          <w:spacing w:val="0"/>
          <w:sz w:val="24"/>
        </w:rPr>
        <w:t>。</w:t>
      </w:r>
    </w:p>
    <w:p w:rsidR="00EE4502" w:rsidRDefault="00FD45A3">
      <w:pPr>
        <w:pStyle w:val="affc"/>
        <w:spacing w:line="360" w:lineRule="auto"/>
        <w:ind w:firstLine="480"/>
        <w:rPr>
          <w:rFonts w:ascii="Times New Roman" w:hAnsi="Times New Roman"/>
          <w:spacing w:val="0"/>
          <w:sz w:val="24"/>
        </w:rPr>
      </w:pPr>
      <w:r>
        <w:rPr>
          <w:rFonts w:ascii="Times New Roman" w:hAnsi="Times New Roman"/>
          <w:spacing w:val="0"/>
          <w:sz w:val="24"/>
        </w:rPr>
        <w:t>（</w:t>
      </w:r>
      <w:r>
        <w:rPr>
          <w:rFonts w:ascii="Times New Roman" w:hAnsi="Times New Roman"/>
          <w:spacing w:val="0"/>
          <w:sz w:val="24"/>
        </w:rPr>
        <w:t>3</w:t>
      </w:r>
      <w:r>
        <w:rPr>
          <w:rFonts w:ascii="Times New Roman" w:hAnsi="Times New Roman"/>
          <w:spacing w:val="0"/>
          <w:sz w:val="24"/>
        </w:rPr>
        <w:t>）保证评价区域空气质量、地下水质量基本维持现有水平；将工程对生态环境的不利影响降低</w:t>
      </w:r>
      <w:r>
        <w:rPr>
          <w:rFonts w:ascii="Times New Roman" w:hAnsi="Times New Roman" w:hint="eastAsia"/>
          <w:spacing w:val="0"/>
          <w:sz w:val="24"/>
        </w:rPr>
        <w:t>到最低程度</w:t>
      </w:r>
      <w:r>
        <w:rPr>
          <w:rFonts w:ascii="Times New Roman" w:hAnsi="Times New Roman"/>
          <w:spacing w:val="0"/>
          <w:sz w:val="24"/>
        </w:rPr>
        <w:t>，使受影响区域的整体生态环</w:t>
      </w:r>
      <w:r>
        <w:rPr>
          <w:rFonts w:ascii="Times New Roman" w:hAnsi="Times New Roman"/>
          <w:spacing w:val="0"/>
          <w:sz w:val="24"/>
        </w:rPr>
        <w:t>境无明显破坏。</w:t>
      </w:r>
    </w:p>
    <w:p w:rsidR="00EE4502" w:rsidRDefault="00FD45A3">
      <w:pPr>
        <w:pStyle w:val="affc"/>
        <w:spacing w:line="360" w:lineRule="auto"/>
        <w:ind w:firstLine="480"/>
        <w:rPr>
          <w:rFonts w:ascii="Times New Roman" w:hAnsi="Times New Roman"/>
          <w:spacing w:val="0"/>
          <w:sz w:val="24"/>
        </w:rPr>
      </w:pPr>
      <w:r>
        <w:rPr>
          <w:rFonts w:ascii="Times New Roman" w:hAnsi="Times New Roman"/>
          <w:spacing w:val="0"/>
          <w:sz w:val="24"/>
        </w:rPr>
        <w:t>污染物控制内容与控制目标见表</w:t>
      </w:r>
      <w:r>
        <w:rPr>
          <w:rFonts w:ascii="Times New Roman" w:hAnsi="Times New Roman"/>
          <w:spacing w:val="0"/>
          <w:sz w:val="24"/>
        </w:rPr>
        <w:t>2-</w:t>
      </w:r>
      <w:r>
        <w:rPr>
          <w:rFonts w:ascii="Times New Roman" w:hAnsi="Times New Roman" w:hint="eastAsia"/>
          <w:spacing w:val="0"/>
          <w:sz w:val="24"/>
        </w:rPr>
        <w:t>6</w:t>
      </w:r>
      <w:r>
        <w:rPr>
          <w:rFonts w:ascii="Times New Roman" w:hAnsi="Times New Roman"/>
          <w:spacing w:val="0"/>
          <w:sz w:val="24"/>
        </w:rPr>
        <w:t>-1</w:t>
      </w:r>
      <w:r>
        <w:rPr>
          <w:rFonts w:ascii="Times New Roman" w:hAnsi="Times New Roman"/>
          <w:spacing w:val="0"/>
          <w:sz w:val="24"/>
        </w:rPr>
        <w:t>。</w:t>
      </w:r>
    </w:p>
    <w:p w:rsidR="00EE4502" w:rsidRDefault="00FD45A3">
      <w:pPr>
        <w:spacing w:line="360" w:lineRule="auto"/>
        <w:jc w:val="center"/>
        <w:rPr>
          <w:rFonts w:eastAsia="黑体"/>
          <w:bCs/>
          <w:lang w:val="zh-CN"/>
        </w:rPr>
      </w:pPr>
      <w:r>
        <w:rPr>
          <w:rFonts w:eastAsia="黑体"/>
          <w:bCs/>
          <w:lang w:val="zh-CN"/>
        </w:rPr>
        <w:t>表</w:t>
      </w:r>
      <w:r>
        <w:rPr>
          <w:rFonts w:eastAsia="黑体"/>
          <w:bCs/>
          <w:lang w:val="zh-CN"/>
        </w:rPr>
        <w:t>2</w:t>
      </w:r>
      <w:r>
        <w:rPr>
          <w:rFonts w:eastAsia="黑体"/>
          <w:bCs/>
        </w:rPr>
        <w:t>-</w:t>
      </w:r>
      <w:r>
        <w:rPr>
          <w:rFonts w:eastAsia="黑体" w:hint="eastAsia"/>
          <w:bCs/>
        </w:rPr>
        <w:t>6</w:t>
      </w:r>
      <w:r>
        <w:rPr>
          <w:rFonts w:eastAsia="黑体"/>
          <w:bCs/>
          <w:lang w:val="zh-CN"/>
        </w:rPr>
        <w:t xml:space="preserve">-1  </w:t>
      </w:r>
      <w:r>
        <w:rPr>
          <w:rFonts w:eastAsia="黑体"/>
          <w:bCs/>
          <w:lang w:val="zh-CN"/>
        </w:rPr>
        <w:t>污染物控制内容与控制目标</w:t>
      </w:r>
    </w:p>
    <w:tbl>
      <w:tblPr>
        <w:tblW w:w="5000" w:type="pct"/>
        <w:tblInd w:w="-108" w:type="dxa"/>
        <w:tblBorders>
          <w:top w:val="single" w:sz="8" w:space="0" w:color="auto"/>
          <w:bottom w:val="single" w:sz="8" w:space="0" w:color="auto"/>
          <w:insideH w:val="single" w:sz="8" w:space="0" w:color="auto"/>
          <w:insideV w:val="single" w:sz="8" w:space="0" w:color="auto"/>
        </w:tblBorders>
        <w:tblLook w:val="04A0" w:firstRow="1" w:lastRow="0" w:firstColumn="1" w:lastColumn="0" w:noHBand="0" w:noVBand="1"/>
      </w:tblPr>
      <w:tblGrid>
        <w:gridCol w:w="612"/>
        <w:gridCol w:w="1473"/>
        <w:gridCol w:w="1771"/>
        <w:gridCol w:w="2200"/>
        <w:gridCol w:w="2466"/>
      </w:tblGrid>
      <w:tr w:rsidR="00EE4502">
        <w:trPr>
          <w:trHeight w:val="340"/>
          <w:tblHeader/>
        </w:trPr>
        <w:tc>
          <w:tcPr>
            <w:tcW w:w="359" w:type="pct"/>
            <w:vAlign w:val="center"/>
          </w:tcPr>
          <w:p w:rsidR="00EE4502" w:rsidRDefault="00FD45A3">
            <w:pPr>
              <w:pStyle w:val="affffffffff"/>
              <w:kinsoku/>
              <w:wordWrap/>
              <w:overflowPunct/>
              <w:adjustRightInd/>
              <w:spacing w:after="0" w:line="240" w:lineRule="auto"/>
              <w:ind w:left="0" w:firstLineChars="0" w:firstLine="0"/>
              <w:rPr>
                <w:sz w:val="18"/>
                <w:szCs w:val="18"/>
              </w:rPr>
            </w:pPr>
            <w:r>
              <w:rPr>
                <w:rFonts w:hAnsi="宋体"/>
                <w:sz w:val="18"/>
                <w:szCs w:val="18"/>
              </w:rPr>
              <w:t>控制</w:t>
            </w:r>
          </w:p>
          <w:p w:rsidR="00EE4502" w:rsidRDefault="00FD45A3">
            <w:pPr>
              <w:pStyle w:val="affffffffff"/>
              <w:kinsoku/>
              <w:wordWrap/>
              <w:overflowPunct/>
              <w:adjustRightInd/>
              <w:spacing w:after="0" w:line="240" w:lineRule="auto"/>
              <w:ind w:left="0" w:firstLineChars="0" w:firstLine="0"/>
              <w:rPr>
                <w:sz w:val="18"/>
                <w:szCs w:val="18"/>
              </w:rPr>
            </w:pPr>
            <w:r>
              <w:rPr>
                <w:rFonts w:hAnsi="宋体"/>
                <w:sz w:val="18"/>
                <w:szCs w:val="18"/>
              </w:rPr>
              <w:t>对象</w:t>
            </w:r>
          </w:p>
        </w:tc>
        <w:tc>
          <w:tcPr>
            <w:tcW w:w="864" w:type="pct"/>
            <w:vAlign w:val="center"/>
          </w:tcPr>
          <w:p w:rsidR="00EE4502" w:rsidRDefault="00FD45A3">
            <w:pPr>
              <w:pStyle w:val="affffffffff"/>
              <w:kinsoku/>
              <w:wordWrap/>
              <w:overflowPunct/>
              <w:adjustRightInd/>
              <w:spacing w:after="0" w:line="240" w:lineRule="auto"/>
              <w:ind w:left="0" w:firstLineChars="0" w:firstLine="0"/>
              <w:rPr>
                <w:sz w:val="18"/>
                <w:szCs w:val="18"/>
              </w:rPr>
            </w:pPr>
            <w:r>
              <w:rPr>
                <w:rFonts w:hAnsi="宋体"/>
                <w:sz w:val="18"/>
                <w:szCs w:val="18"/>
              </w:rPr>
              <w:t>污染源工序</w:t>
            </w:r>
          </w:p>
        </w:tc>
        <w:tc>
          <w:tcPr>
            <w:tcW w:w="1039" w:type="pct"/>
            <w:vAlign w:val="center"/>
          </w:tcPr>
          <w:p w:rsidR="00EE4502" w:rsidRDefault="00FD45A3">
            <w:pPr>
              <w:pStyle w:val="affffffffff"/>
              <w:kinsoku/>
              <w:wordWrap/>
              <w:overflowPunct/>
              <w:adjustRightInd/>
              <w:spacing w:after="0" w:line="240" w:lineRule="auto"/>
              <w:ind w:left="0" w:firstLineChars="0" w:firstLine="0"/>
              <w:rPr>
                <w:sz w:val="18"/>
                <w:szCs w:val="18"/>
              </w:rPr>
            </w:pPr>
            <w:r>
              <w:rPr>
                <w:rFonts w:hAnsi="宋体"/>
                <w:sz w:val="18"/>
                <w:szCs w:val="18"/>
              </w:rPr>
              <w:t>控制污染因子</w:t>
            </w:r>
          </w:p>
        </w:tc>
        <w:tc>
          <w:tcPr>
            <w:tcW w:w="1290" w:type="pct"/>
            <w:vAlign w:val="center"/>
          </w:tcPr>
          <w:p w:rsidR="00EE4502" w:rsidRDefault="00FD45A3">
            <w:pPr>
              <w:pStyle w:val="affffffffff"/>
              <w:kinsoku/>
              <w:wordWrap/>
              <w:overflowPunct/>
              <w:adjustRightInd/>
              <w:spacing w:after="0" w:line="240" w:lineRule="auto"/>
              <w:ind w:left="0" w:firstLineChars="0" w:firstLine="0"/>
              <w:rPr>
                <w:sz w:val="18"/>
                <w:szCs w:val="18"/>
              </w:rPr>
            </w:pPr>
            <w:r>
              <w:rPr>
                <w:rFonts w:hAnsi="宋体"/>
                <w:sz w:val="18"/>
                <w:szCs w:val="18"/>
              </w:rPr>
              <w:t>拟采取控制措施</w:t>
            </w:r>
          </w:p>
        </w:tc>
        <w:tc>
          <w:tcPr>
            <w:tcW w:w="1446" w:type="pct"/>
            <w:vAlign w:val="center"/>
          </w:tcPr>
          <w:p w:rsidR="00EE4502" w:rsidRDefault="00FD45A3">
            <w:pPr>
              <w:pStyle w:val="affffffffff"/>
              <w:kinsoku/>
              <w:wordWrap/>
              <w:overflowPunct/>
              <w:adjustRightInd/>
              <w:spacing w:after="0" w:line="240" w:lineRule="auto"/>
              <w:ind w:left="0" w:firstLineChars="0" w:firstLine="0"/>
              <w:rPr>
                <w:sz w:val="18"/>
                <w:szCs w:val="18"/>
              </w:rPr>
            </w:pPr>
            <w:r>
              <w:rPr>
                <w:rFonts w:hAnsi="宋体"/>
                <w:sz w:val="18"/>
                <w:szCs w:val="18"/>
              </w:rPr>
              <w:t>控制目标</w:t>
            </w:r>
          </w:p>
        </w:tc>
      </w:tr>
      <w:tr w:rsidR="00EE4502">
        <w:trPr>
          <w:trHeight w:val="340"/>
        </w:trPr>
        <w:tc>
          <w:tcPr>
            <w:tcW w:w="359" w:type="pct"/>
            <w:vMerge w:val="restart"/>
            <w:vAlign w:val="center"/>
          </w:tcPr>
          <w:p w:rsidR="00EE4502" w:rsidRDefault="00FD45A3">
            <w:pPr>
              <w:pStyle w:val="affffffffff"/>
              <w:kinsoku/>
              <w:wordWrap/>
              <w:overflowPunct/>
              <w:adjustRightInd/>
              <w:spacing w:after="0" w:line="240" w:lineRule="auto"/>
              <w:ind w:left="0" w:firstLineChars="0" w:firstLine="0"/>
              <w:rPr>
                <w:sz w:val="18"/>
                <w:szCs w:val="18"/>
              </w:rPr>
            </w:pPr>
            <w:r>
              <w:rPr>
                <w:rFonts w:hAnsi="宋体"/>
                <w:sz w:val="18"/>
                <w:szCs w:val="18"/>
              </w:rPr>
              <w:t>施工期</w:t>
            </w:r>
          </w:p>
        </w:tc>
        <w:tc>
          <w:tcPr>
            <w:tcW w:w="864" w:type="pct"/>
            <w:vMerge w:val="restart"/>
            <w:vAlign w:val="center"/>
          </w:tcPr>
          <w:p w:rsidR="00EE4502" w:rsidRDefault="00FD45A3">
            <w:pPr>
              <w:pStyle w:val="affffffffff"/>
              <w:kinsoku/>
              <w:wordWrap/>
              <w:overflowPunct/>
              <w:adjustRightInd/>
              <w:spacing w:after="0" w:line="240" w:lineRule="auto"/>
              <w:ind w:left="0" w:firstLineChars="0" w:firstLine="0"/>
              <w:rPr>
                <w:sz w:val="18"/>
                <w:szCs w:val="18"/>
              </w:rPr>
            </w:pPr>
            <w:r>
              <w:rPr>
                <w:rFonts w:hAnsi="宋体"/>
                <w:sz w:val="18"/>
                <w:szCs w:val="18"/>
              </w:rPr>
              <w:t>钻井施工</w:t>
            </w:r>
            <w:r>
              <w:rPr>
                <w:rFonts w:hAnsi="宋体" w:hint="eastAsia"/>
                <w:sz w:val="18"/>
                <w:szCs w:val="18"/>
              </w:rPr>
              <w:t>、</w:t>
            </w:r>
            <w:r>
              <w:rPr>
                <w:rFonts w:hAnsi="宋体"/>
                <w:sz w:val="18"/>
                <w:szCs w:val="18"/>
              </w:rPr>
              <w:t>管线施工</w:t>
            </w:r>
            <w:r>
              <w:rPr>
                <w:rFonts w:hAnsi="宋体" w:hint="eastAsia"/>
                <w:sz w:val="18"/>
                <w:szCs w:val="18"/>
              </w:rPr>
              <w:t>、</w:t>
            </w:r>
            <w:r>
              <w:rPr>
                <w:rFonts w:hAnsi="宋体"/>
                <w:sz w:val="18"/>
                <w:szCs w:val="18"/>
              </w:rPr>
              <w:t>构筑物施工</w:t>
            </w:r>
          </w:p>
        </w:tc>
        <w:tc>
          <w:tcPr>
            <w:tcW w:w="1039" w:type="pct"/>
            <w:vAlign w:val="center"/>
          </w:tcPr>
          <w:p w:rsidR="00EE4502" w:rsidRDefault="00FD45A3">
            <w:pPr>
              <w:pStyle w:val="affffffffff"/>
              <w:kinsoku/>
              <w:wordWrap/>
              <w:overflowPunct/>
              <w:adjustRightInd/>
              <w:spacing w:after="0" w:line="240" w:lineRule="auto"/>
              <w:ind w:left="0" w:firstLineChars="0" w:firstLine="0"/>
              <w:rPr>
                <w:sz w:val="18"/>
                <w:szCs w:val="18"/>
              </w:rPr>
            </w:pPr>
            <w:r>
              <w:rPr>
                <w:rFonts w:hAnsi="宋体"/>
                <w:sz w:val="18"/>
                <w:szCs w:val="18"/>
              </w:rPr>
              <w:t>生态破坏</w:t>
            </w:r>
          </w:p>
        </w:tc>
        <w:tc>
          <w:tcPr>
            <w:tcW w:w="1290" w:type="pct"/>
            <w:vAlign w:val="center"/>
          </w:tcPr>
          <w:p w:rsidR="00EE4502" w:rsidRDefault="00FD45A3">
            <w:pPr>
              <w:pStyle w:val="affffffffff"/>
              <w:kinsoku/>
              <w:wordWrap/>
              <w:overflowPunct/>
              <w:adjustRightInd/>
              <w:spacing w:after="0" w:line="240" w:lineRule="auto"/>
              <w:ind w:left="0" w:firstLineChars="0" w:firstLine="0"/>
              <w:rPr>
                <w:sz w:val="18"/>
                <w:szCs w:val="18"/>
              </w:rPr>
            </w:pPr>
            <w:r>
              <w:rPr>
                <w:rFonts w:hAnsi="宋体"/>
                <w:sz w:val="18"/>
                <w:szCs w:val="18"/>
              </w:rPr>
              <w:t>控制占地面积</w:t>
            </w:r>
            <w:r>
              <w:rPr>
                <w:rFonts w:hAnsi="宋体" w:hint="eastAsia"/>
                <w:sz w:val="18"/>
                <w:szCs w:val="18"/>
              </w:rPr>
              <w:t>，减少耕地占用，</w:t>
            </w:r>
            <w:r>
              <w:rPr>
                <w:rFonts w:hAnsi="宋体"/>
                <w:sz w:val="18"/>
                <w:szCs w:val="18"/>
              </w:rPr>
              <w:t>减少植被破坏</w:t>
            </w:r>
          </w:p>
        </w:tc>
        <w:tc>
          <w:tcPr>
            <w:tcW w:w="1446" w:type="pct"/>
            <w:vAlign w:val="center"/>
          </w:tcPr>
          <w:p w:rsidR="00EE4502" w:rsidRDefault="00FD45A3">
            <w:pPr>
              <w:pStyle w:val="affffffffff"/>
              <w:kinsoku/>
              <w:wordWrap/>
              <w:overflowPunct/>
              <w:adjustRightInd/>
              <w:spacing w:after="0" w:line="240" w:lineRule="auto"/>
              <w:ind w:left="0" w:firstLineChars="0" w:firstLine="0"/>
              <w:rPr>
                <w:sz w:val="18"/>
                <w:szCs w:val="18"/>
              </w:rPr>
            </w:pPr>
            <w:r>
              <w:rPr>
                <w:rFonts w:hAnsi="宋体"/>
                <w:sz w:val="18"/>
                <w:szCs w:val="18"/>
              </w:rPr>
              <w:t>控制植被减少</w:t>
            </w:r>
            <w:r>
              <w:rPr>
                <w:rFonts w:hAnsi="宋体" w:hint="eastAsia"/>
                <w:sz w:val="18"/>
                <w:szCs w:val="18"/>
              </w:rPr>
              <w:t>，施工结束后恢复迹地</w:t>
            </w:r>
          </w:p>
        </w:tc>
      </w:tr>
      <w:tr w:rsidR="00EE4502">
        <w:trPr>
          <w:trHeight w:val="340"/>
        </w:trPr>
        <w:tc>
          <w:tcPr>
            <w:tcW w:w="359" w:type="pct"/>
            <w:vMerge/>
            <w:vAlign w:val="center"/>
          </w:tcPr>
          <w:p w:rsidR="00EE4502" w:rsidRDefault="00EE4502">
            <w:pPr>
              <w:pStyle w:val="affffffffff"/>
              <w:kinsoku/>
              <w:wordWrap/>
              <w:overflowPunct/>
              <w:adjustRightInd/>
              <w:spacing w:after="0" w:line="240" w:lineRule="auto"/>
              <w:ind w:left="0" w:firstLineChars="0" w:firstLine="0"/>
              <w:rPr>
                <w:sz w:val="18"/>
                <w:szCs w:val="18"/>
              </w:rPr>
            </w:pPr>
          </w:p>
        </w:tc>
        <w:tc>
          <w:tcPr>
            <w:tcW w:w="864" w:type="pct"/>
            <w:vMerge/>
            <w:vAlign w:val="center"/>
          </w:tcPr>
          <w:p w:rsidR="00EE4502" w:rsidRDefault="00EE4502">
            <w:pPr>
              <w:pStyle w:val="affffffffff"/>
              <w:kinsoku/>
              <w:wordWrap/>
              <w:overflowPunct/>
              <w:adjustRightInd/>
              <w:spacing w:after="0" w:line="240" w:lineRule="auto"/>
              <w:ind w:left="0" w:firstLineChars="0" w:firstLine="0"/>
              <w:rPr>
                <w:sz w:val="18"/>
                <w:szCs w:val="18"/>
              </w:rPr>
            </w:pPr>
          </w:p>
        </w:tc>
        <w:tc>
          <w:tcPr>
            <w:tcW w:w="1039" w:type="pct"/>
            <w:vAlign w:val="center"/>
          </w:tcPr>
          <w:p w:rsidR="00EE4502" w:rsidRDefault="00FD45A3">
            <w:pPr>
              <w:pStyle w:val="affffffffff"/>
              <w:kinsoku/>
              <w:wordWrap/>
              <w:overflowPunct/>
              <w:adjustRightInd/>
              <w:spacing w:after="0" w:line="240" w:lineRule="auto"/>
              <w:ind w:left="0" w:firstLineChars="0" w:firstLine="0"/>
              <w:rPr>
                <w:sz w:val="18"/>
                <w:szCs w:val="18"/>
              </w:rPr>
            </w:pPr>
            <w:r>
              <w:rPr>
                <w:rFonts w:hAnsi="宋体"/>
                <w:sz w:val="18"/>
                <w:szCs w:val="18"/>
              </w:rPr>
              <w:t>施工扬尘</w:t>
            </w:r>
          </w:p>
        </w:tc>
        <w:tc>
          <w:tcPr>
            <w:tcW w:w="1290" w:type="pct"/>
            <w:vAlign w:val="center"/>
          </w:tcPr>
          <w:p w:rsidR="00EE4502" w:rsidRDefault="00FD45A3">
            <w:pPr>
              <w:pStyle w:val="affffffffff"/>
              <w:kinsoku/>
              <w:wordWrap/>
              <w:overflowPunct/>
              <w:adjustRightInd/>
              <w:spacing w:after="0" w:line="240" w:lineRule="auto"/>
              <w:ind w:left="0" w:firstLineChars="0" w:firstLine="0"/>
              <w:rPr>
                <w:sz w:val="18"/>
                <w:szCs w:val="18"/>
              </w:rPr>
            </w:pPr>
            <w:r>
              <w:rPr>
                <w:rFonts w:hAnsi="宋体"/>
                <w:sz w:val="18"/>
                <w:szCs w:val="18"/>
              </w:rPr>
              <w:t>采取洒水、防风固沙等措施</w:t>
            </w:r>
          </w:p>
        </w:tc>
        <w:tc>
          <w:tcPr>
            <w:tcW w:w="1446" w:type="pct"/>
            <w:vAlign w:val="center"/>
          </w:tcPr>
          <w:p w:rsidR="00EE4502" w:rsidRDefault="00FD45A3">
            <w:pPr>
              <w:pStyle w:val="affffffffff"/>
              <w:kinsoku/>
              <w:wordWrap/>
              <w:overflowPunct/>
              <w:adjustRightInd/>
              <w:spacing w:after="0" w:line="240" w:lineRule="auto"/>
              <w:ind w:left="0" w:firstLineChars="0" w:firstLine="0"/>
              <w:rPr>
                <w:sz w:val="18"/>
                <w:szCs w:val="18"/>
              </w:rPr>
            </w:pPr>
            <w:r>
              <w:rPr>
                <w:rFonts w:hAnsi="宋体"/>
                <w:bCs/>
                <w:sz w:val="18"/>
                <w:szCs w:val="18"/>
              </w:rPr>
              <w:t>《大气污染物综合排放标准》相关要求</w:t>
            </w:r>
          </w:p>
        </w:tc>
      </w:tr>
      <w:tr w:rsidR="00EE4502">
        <w:trPr>
          <w:trHeight w:val="340"/>
        </w:trPr>
        <w:tc>
          <w:tcPr>
            <w:tcW w:w="359" w:type="pct"/>
            <w:vMerge/>
            <w:vAlign w:val="center"/>
          </w:tcPr>
          <w:p w:rsidR="00EE4502" w:rsidRDefault="00EE4502">
            <w:pPr>
              <w:pStyle w:val="affffffffff"/>
              <w:kinsoku/>
              <w:wordWrap/>
              <w:overflowPunct/>
              <w:adjustRightInd/>
              <w:spacing w:after="0" w:line="240" w:lineRule="auto"/>
              <w:ind w:left="0" w:firstLineChars="0" w:firstLine="0"/>
              <w:rPr>
                <w:sz w:val="18"/>
                <w:szCs w:val="18"/>
              </w:rPr>
            </w:pPr>
          </w:p>
        </w:tc>
        <w:tc>
          <w:tcPr>
            <w:tcW w:w="864" w:type="pct"/>
            <w:vMerge/>
            <w:vAlign w:val="center"/>
          </w:tcPr>
          <w:p w:rsidR="00EE4502" w:rsidRDefault="00EE4502">
            <w:pPr>
              <w:pStyle w:val="affffffffff"/>
              <w:kinsoku/>
              <w:wordWrap/>
              <w:overflowPunct/>
              <w:adjustRightInd/>
              <w:spacing w:after="0" w:line="240" w:lineRule="auto"/>
              <w:ind w:left="0" w:firstLineChars="0" w:firstLine="0"/>
              <w:rPr>
                <w:sz w:val="18"/>
                <w:szCs w:val="18"/>
              </w:rPr>
            </w:pPr>
          </w:p>
        </w:tc>
        <w:tc>
          <w:tcPr>
            <w:tcW w:w="1039" w:type="pct"/>
            <w:vAlign w:val="center"/>
          </w:tcPr>
          <w:p w:rsidR="00EE4502" w:rsidRDefault="00FD45A3">
            <w:pPr>
              <w:pStyle w:val="affffffffff"/>
              <w:kinsoku/>
              <w:wordWrap/>
              <w:overflowPunct/>
              <w:adjustRightInd/>
              <w:spacing w:after="0" w:line="240" w:lineRule="auto"/>
              <w:ind w:left="0" w:firstLineChars="0" w:firstLine="0"/>
              <w:rPr>
                <w:sz w:val="18"/>
                <w:szCs w:val="18"/>
              </w:rPr>
            </w:pPr>
            <w:r>
              <w:rPr>
                <w:rFonts w:hAnsi="宋体"/>
                <w:sz w:val="18"/>
                <w:szCs w:val="18"/>
              </w:rPr>
              <w:t>燃油废气</w:t>
            </w:r>
          </w:p>
        </w:tc>
        <w:tc>
          <w:tcPr>
            <w:tcW w:w="1290" w:type="pct"/>
            <w:vAlign w:val="center"/>
          </w:tcPr>
          <w:p w:rsidR="00EE4502" w:rsidRDefault="00FD45A3">
            <w:pPr>
              <w:pStyle w:val="affffffffff"/>
              <w:kinsoku/>
              <w:wordWrap/>
              <w:overflowPunct/>
              <w:adjustRightInd/>
              <w:spacing w:after="0" w:line="240" w:lineRule="auto"/>
              <w:ind w:left="0" w:firstLineChars="0" w:firstLine="0"/>
              <w:rPr>
                <w:sz w:val="18"/>
                <w:szCs w:val="18"/>
              </w:rPr>
            </w:pPr>
            <w:r>
              <w:rPr>
                <w:rFonts w:hAnsi="宋体"/>
                <w:sz w:val="18"/>
                <w:szCs w:val="18"/>
              </w:rPr>
              <w:t>采用高质量的油品</w:t>
            </w:r>
          </w:p>
        </w:tc>
        <w:tc>
          <w:tcPr>
            <w:tcW w:w="1446" w:type="pct"/>
            <w:vAlign w:val="center"/>
          </w:tcPr>
          <w:p w:rsidR="00EE4502" w:rsidRDefault="00FD45A3">
            <w:pPr>
              <w:pStyle w:val="affffffffff"/>
              <w:kinsoku/>
              <w:wordWrap/>
              <w:overflowPunct/>
              <w:adjustRightInd/>
              <w:spacing w:after="0" w:line="240" w:lineRule="auto"/>
              <w:ind w:left="0" w:firstLineChars="0" w:firstLine="0"/>
              <w:rPr>
                <w:sz w:val="18"/>
                <w:szCs w:val="18"/>
              </w:rPr>
            </w:pPr>
            <w:r>
              <w:rPr>
                <w:rFonts w:hAnsi="宋体"/>
                <w:sz w:val="18"/>
                <w:szCs w:val="18"/>
              </w:rPr>
              <w:t>达标排放</w:t>
            </w:r>
          </w:p>
        </w:tc>
      </w:tr>
      <w:tr w:rsidR="00EE4502">
        <w:trPr>
          <w:trHeight w:val="340"/>
        </w:trPr>
        <w:tc>
          <w:tcPr>
            <w:tcW w:w="359" w:type="pct"/>
            <w:vMerge/>
            <w:vAlign w:val="center"/>
          </w:tcPr>
          <w:p w:rsidR="00EE4502" w:rsidRDefault="00EE4502">
            <w:pPr>
              <w:pStyle w:val="affffffffff"/>
              <w:kinsoku/>
              <w:wordWrap/>
              <w:overflowPunct/>
              <w:adjustRightInd/>
              <w:spacing w:after="0" w:line="240" w:lineRule="auto"/>
              <w:ind w:left="0" w:firstLineChars="0" w:firstLine="0"/>
              <w:rPr>
                <w:sz w:val="18"/>
                <w:szCs w:val="18"/>
              </w:rPr>
            </w:pPr>
          </w:p>
        </w:tc>
        <w:tc>
          <w:tcPr>
            <w:tcW w:w="864" w:type="pct"/>
            <w:vMerge/>
            <w:vAlign w:val="center"/>
          </w:tcPr>
          <w:p w:rsidR="00EE4502" w:rsidRDefault="00EE4502">
            <w:pPr>
              <w:pStyle w:val="affffffffff"/>
              <w:kinsoku/>
              <w:wordWrap/>
              <w:overflowPunct/>
              <w:adjustRightInd/>
              <w:spacing w:after="0" w:line="240" w:lineRule="auto"/>
              <w:ind w:left="0" w:firstLineChars="0" w:firstLine="0"/>
              <w:rPr>
                <w:sz w:val="18"/>
                <w:szCs w:val="18"/>
              </w:rPr>
            </w:pPr>
          </w:p>
        </w:tc>
        <w:tc>
          <w:tcPr>
            <w:tcW w:w="1039" w:type="pct"/>
            <w:vAlign w:val="center"/>
          </w:tcPr>
          <w:p w:rsidR="00EE4502" w:rsidRDefault="00FD45A3">
            <w:pPr>
              <w:pStyle w:val="affffffffff"/>
              <w:kinsoku/>
              <w:wordWrap/>
              <w:overflowPunct/>
              <w:adjustRightInd/>
              <w:spacing w:after="0" w:line="240" w:lineRule="auto"/>
              <w:ind w:left="0" w:firstLineChars="0" w:firstLine="0"/>
              <w:rPr>
                <w:sz w:val="18"/>
                <w:szCs w:val="18"/>
              </w:rPr>
            </w:pPr>
            <w:r>
              <w:rPr>
                <w:rFonts w:hAnsi="宋体"/>
                <w:sz w:val="18"/>
                <w:szCs w:val="18"/>
              </w:rPr>
              <w:t>钻井废水</w:t>
            </w:r>
          </w:p>
        </w:tc>
        <w:tc>
          <w:tcPr>
            <w:tcW w:w="1290" w:type="pct"/>
            <w:vAlign w:val="center"/>
          </w:tcPr>
          <w:p w:rsidR="00EE4502" w:rsidRDefault="00FD45A3">
            <w:pPr>
              <w:pStyle w:val="affffffffff"/>
              <w:kinsoku/>
              <w:wordWrap/>
              <w:overflowPunct/>
              <w:adjustRightInd/>
              <w:spacing w:after="0" w:line="240" w:lineRule="auto"/>
              <w:ind w:left="0" w:firstLineChars="0" w:firstLine="0"/>
              <w:rPr>
                <w:sz w:val="18"/>
                <w:szCs w:val="18"/>
              </w:rPr>
            </w:pPr>
            <w:r>
              <w:rPr>
                <w:rFonts w:hAnsi="宋体"/>
                <w:sz w:val="18"/>
                <w:szCs w:val="18"/>
              </w:rPr>
              <w:t>钻井废弃物不落地工艺，循环利用</w:t>
            </w:r>
          </w:p>
        </w:tc>
        <w:tc>
          <w:tcPr>
            <w:tcW w:w="1446" w:type="pct"/>
            <w:vAlign w:val="center"/>
          </w:tcPr>
          <w:p w:rsidR="00EE4502" w:rsidRDefault="00FD45A3">
            <w:pPr>
              <w:pStyle w:val="affffffffff"/>
              <w:kinsoku/>
              <w:wordWrap/>
              <w:overflowPunct/>
              <w:adjustRightInd/>
              <w:spacing w:after="0" w:line="240" w:lineRule="auto"/>
              <w:ind w:left="0" w:firstLineChars="0" w:firstLine="0"/>
              <w:rPr>
                <w:sz w:val="18"/>
                <w:szCs w:val="18"/>
              </w:rPr>
            </w:pPr>
            <w:r>
              <w:rPr>
                <w:rFonts w:hAnsi="宋体"/>
                <w:sz w:val="18"/>
                <w:szCs w:val="18"/>
              </w:rPr>
              <w:t>严禁外排</w:t>
            </w:r>
          </w:p>
        </w:tc>
      </w:tr>
      <w:tr w:rsidR="00EE4502">
        <w:trPr>
          <w:trHeight w:val="340"/>
        </w:trPr>
        <w:tc>
          <w:tcPr>
            <w:tcW w:w="359" w:type="pct"/>
            <w:vMerge/>
            <w:vAlign w:val="center"/>
          </w:tcPr>
          <w:p w:rsidR="00EE4502" w:rsidRDefault="00EE4502">
            <w:pPr>
              <w:pStyle w:val="affffffffff"/>
              <w:kinsoku/>
              <w:wordWrap/>
              <w:overflowPunct/>
              <w:adjustRightInd/>
              <w:spacing w:after="0" w:line="240" w:lineRule="auto"/>
              <w:ind w:left="0" w:firstLineChars="0" w:firstLine="0"/>
              <w:rPr>
                <w:sz w:val="18"/>
                <w:szCs w:val="18"/>
              </w:rPr>
            </w:pPr>
          </w:p>
        </w:tc>
        <w:tc>
          <w:tcPr>
            <w:tcW w:w="864" w:type="pct"/>
            <w:vMerge/>
            <w:vAlign w:val="center"/>
          </w:tcPr>
          <w:p w:rsidR="00EE4502" w:rsidRDefault="00EE4502">
            <w:pPr>
              <w:pStyle w:val="affffffffff"/>
              <w:kinsoku/>
              <w:wordWrap/>
              <w:overflowPunct/>
              <w:adjustRightInd/>
              <w:spacing w:after="0" w:line="240" w:lineRule="auto"/>
              <w:ind w:left="0" w:firstLineChars="0" w:firstLine="0"/>
              <w:rPr>
                <w:sz w:val="18"/>
                <w:szCs w:val="18"/>
              </w:rPr>
            </w:pPr>
          </w:p>
        </w:tc>
        <w:tc>
          <w:tcPr>
            <w:tcW w:w="1039" w:type="pct"/>
            <w:vAlign w:val="center"/>
          </w:tcPr>
          <w:p w:rsidR="00EE4502" w:rsidRDefault="00FD45A3">
            <w:pPr>
              <w:pStyle w:val="affffffffff"/>
              <w:kinsoku/>
              <w:wordWrap/>
              <w:overflowPunct/>
              <w:adjustRightInd/>
              <w:spacing w:after="0" w:line="240" w:lineRule="auto"/>
              <w:ind w:left="0" w:firstLineChars="0" w:firstLine="0"/>
              <w:rPr>
                <w:rFonts w:hAnsi="宋体"/>
                <w:sz w:val="18"/>
                <w:szCs w:val="18"/>
              </w:rPr>
            </w:pPr>
            <w:r>
              <w:rPr>
                <w:rFonts w:hAnsi="宋体" w:hint="eastAsia"/>
                <w:sz w:val="18"/>
                <w:szCs w:val="18"/>
              </w:rPr>
              <w:t>管道试压废水</w:t>
            </w:r>
          </w:p>
        </w:tc>
        <w:tc>
          <w:tcPr>
            <w:tcW w:w="1290" w:type="pct"/>
            <w:vAlign w:val="center"/>
          </w:tcPr>
          <w:p w:rsidR="00EE4502" w:rsidRDefault="00FD45A3">
            <w:pPr>
              <w:pStyle w:val="affffffffff"/>
              <w:kinsoku/>
              <w:wordWrap/>
              <w:overflowPunct/>
              <w:adjustRightInd/>
              <w:spacing w:after="0" w:line="240" w:lineRule="auto"/>
              <w:ind w:left="0" w:firstLineChars="0" w:firstLine="0"/>
              <w:rPr>
                <w:rFonts w:hAnsi="宋体"/>
                <w:sz w:val="18"/>
                <w:szCs w:val="18"/>
              </w:rPr>
            </w:pPr>
            <w:r>
              <w:rPr>
                <w:rFonts w:hAnsi="宋体" w:hint="eastAsia"/>
                <w:sz w:val="18"/>
                <w:szCs w:val="18"/>
              </w:rPr>
              <w:t>分段试压、循环使用</w:t>
            </w:r>
          </w:p>
        </w:tc>
        <w:tc>
          <w:tcPr>
            <w:tcW w:w="1446" w:type="pct"/>
            <w:vAlign w:val="center"/>
          </w:tcPr>
          <w:p w:rsidR="00EE4502" w:rsidRDefault="00FD45A3">
            <w:pPr>
              <w:pStyle w:val="affffffffff"/>
              <w:kinsoku/>
              <w:wordWrap/>
              <w:overflowPunct/>
              <w:adjustRightInd/>
              <w:spacing w:after="0" w:line="240" w:lineRule="auto"/>
              <w:ind w:left="0" w:firstLineChars="0" w:firstLine="0"/>
              <w:rPr>
                <w:rFonts w:hAnsi="宋体"/>
                <w:sz w:val="18"/>
                <w:szCs w:val="18"/>
              </w:rPr>
            </w:pPr>
            <w:r>
              <w:rPr>
                <w:rFonts w:hAnsi="宋体" w:hint="eastAsia"/>
                <w:sz w:val="18"/>
                <w:szCs w:val="18"/>
              </w:rPr>
              <w:t>试压结束后用于场地四周洒水抑尘</w:t>
            </w:r>
          </w:p>
        </w:tc>
      </w:tr>
      <w:tr w:rsidR="00EE4502">
        <w:trPr>
          <w:trHeight w:val="340"/>
        </w:trPr>
        <w:tc>
          <w:tcPr>
            <w:tcW w:w="359" w:type="pct"/>
            <w:vMerge/>
            <w:vAlign w:val="center"/>
          </w:tcPr>
          <w:p w:rsidR="00EE4502" w:rsidRDefault="00EE4502">
            <w:pPr>
              <w:pStyle w:val="affffffffff"/>
              <w:kinsoku/>
              <w:wordWrap/>
              <w:overflowPunct/>
              <w:adjustRightInd/>
              <w:spacing w:after="0" w:line="240" w:lineRule="auto"/>
              <w:ind w:left="0" w:firstLineChars="0" w:firstLine="0"/>
              <w:rPr>
                <w:sz w:val="18"/>
                <w:szCs w:val="18"/>
              </w:rPr>
            </w:pPr>
          </w:p>
        </w:tc>
        <w:tc>
          <w:tcPr>
            <w:tcW w:w="864" w:type="pct"/>
            <w:vMerge/>
            <w:vAlign w:val="center"/>
          </w:tcPr>
          <w:p w:rsidR="00EE4502" w:rsidRDefault="00EE4502">
            <w:pPr>
              <w:pStyle w:val="affffffffff"/>
              <w:kinsoku/>
              <w:wordWrap/>
              <w:overflowPunct/>
              <w:adjustRightInd/>
              <w:spacing w:after="0" w:line="240" w:lineRule="auto"/>
              <w:ind w:left="0" w:firstLineChars="0" w:firstLine="0"/>
              <w:rPr>
                <w:sz w:val="18"/>
                <w:szCs w:val="18"/>
              </w:rPr>
            </w:pPr>
          </w:p>
        </w:tc>
        <w:tc>
          <w:tcPr>
            <w:tcW w:w="1039" w:type="pct"/>
            <w:vAlign w:val="center"/>
          </w:tcPr>
          <w:p w:rsidR="00EE4502" w:rsidRDefault="00FD45A3">
            <w:pPr>
              <w:pStyle w:val="affffffffff"/>
              <w:kinsoku/>
              <w:wordWrap/>
              <w:overflowPunct/>
              <w:adjustRightInd/>
              <w:spacing w:after="0" w:line="240" w:lineRule="auto"/>
              <w:ind w:left="0" w:firstLineChars="0" w:firstLine="0"/>
              <w:rPr>
                <w:sz w:val="18"/>
                <w:szCs w:val="18"/>
              </w:rPr>
            </w:pPr>
            <w:r>
              <w:rPr>
                <w:rFonts w:hAnsi="宋体"/>
                <w:sz w:val="18"/>
                <w:szCs w:val="18"/>
              </w:rPr>
              <w:t>生活污水</w:t>
            </w:r>
          </w:p>
        </w:tc>
        <w:tc>
          <w:tcPr>
            <w:tcW w:w="1290" w:type="pct"/>
            <w:vAlign w:val="center"/>
          </w:tcPr>
          <w:p w:rsidR="00EE4502" w:rsidRDefault="00FD45A3">
            <w:pPr>
              <w:pStyle w:val="affffffffff"/>
              <w:kinsoku/>
              <w:wordWrap/>
              <w:overflowPunct/>
              <w:adjustRightInd/>
              <w:spacing w:after="0" w:line="240" w:lineRule="auto"/>
              <w:ind w:left="0" w:firstLineChars="0" w:firstLine="0"/>
              <w:rPr>
                <w:sz w:val="18"/>
                <w:szCs w:val="18"/>
              </w:rPr>
            </w:pPr>
            <w:r>
              <w:rPr>
                <w:rFonts w:hAnsi="宋体" w:hint="eastAsia"/>
                <w:sz w:val="18"/>
                <w:szCs w:val="18"/>
              </w:rPr>
              <w:t>排入可移动环保厕所，由克拉玛依前山石油工程服务有限公司进行清运、处理</w:t>
            </w:r>
          </w:p>
        </w:tc>
        <w:tc>
          <w:tcPr>
            <w:tcW w:w="1446" w:type="pct"/>
            <w:vAlign w:val="center"/>
          </w:tcPr>
          <w:p w:rsidR="00EE4502" w:rsidRDefault="00FD45A3">
            <w:pPr>
              <w:pStyle w:val="affffffffff"/>
              <w:kinsoku/>
              <w:wordWrap/>
              <w:overflowPunct/>
              <w:adjustRightInd/>
              <w:spacing w:after="0" w:line="240" w:lineRule="auto"/>
              <w:ind w:left="0" w:firstLineChars="0" w:firstLine="0"/>
              <w:rPr>
                <w:sz w:val="18"/>
                <w:szCs w:val="18"/>
              </w:rPr>
            </w:pPr>
            <w:r>
              <w:rPr>
                <w:rFonts w:hAnsi="宋体"/>
                <w:sz w:val="18"/>
                <w:szCs w:val="18"/>
              </w:rPr>
              <w:t>避免二次污染</w:t>
            </w:r>
          </w:p>
        </w:tc>
      </w:tr>
      <w:tr w:rsidR="00EE4502">
        <w:trPr>
          <w:trHeight w:val="340"/>
        </w:trPr>
        <w:tc>
          <w:tcPr>
            <w:tcW w:w="359" w:type="pct"/>
            <w:vMerge/>
            <w:vAlign w:val="center"/>
          </w:tcPr>
          <w:p w:rsidR="00EE4502" w:rsidRDefault="00EE4502">
            <w:pPr>
              <w:pStyle w:val="affffffffff"/>
              <w:kinsoku/>
              <w:wordWrap/>
              <w:overflowPunct/>
              <w:adjustRightInd/>
              <w:spacing w:after="0" w:line="240" w:lineRule="auto"/>
              <w:ind w:left="0" w:firstLineChars="0" w:firstLine="0"/>
              <w:rPr>
                <w:sz w:val="18"/>
                <w:szCs w:val="18"/>
              </w:rPr>
            </w:pPr>
          </w:p>
        </w:tc>
        <w:tc>
          <w:tcPr>
            <w:tcW w:w="864" w:type="pct"/>
            <w:vMerge/>
            <w:vAlign w:val="center"/>
          </w:tcPr>
          <w:p w:rsidR="00EE4502" w:rsidRDefault="00EE4502">
            <w:pPr>
              <w:pStyle w:val="affffffffff"/>
              <w:kinsoku/>
              <w:wordWrap/>
              <w:overflowPunct/>
              <w:adjustRightInd/>
              <w:spacing w:after="0" w:line="240" w:lineRule="auto"/>
              <w:ind w:left="0" w:firstLineChars="0" w:firstLine="0"/>
              <w:rPr>
                <w:sz w:val="18"/>
                <w:szCs w:val="18"/>
              </w:rPr>
            </w:pPr>
          </w:p>
        </w:tc>
        <w:tc>
          <w:tcPr>
            <w:tcW w:w="1039" w:type="pct"/>
            <w:vAlign w:val="center"/>
          </w:tcPr>
          <w:p w:rsidR="00EE4502" w:rsidRDefault="00FD45A3">
            <w:pPr>
              <w:pStyle w:val="affffffffff"/>
              <w:kinsoku/>
              <w:wordWrap/>
              <w:overflowPunct/>
              <w:adjustRightInd/>
              <w:spacing w:after="0" w:line="240" w:lineRule="auto"/>
              <w:ind w:left="0" w:firstLineChars="0" w:firstLine="0"/>
              <w:rPr>
                <w:sz w:val="18"/>
                <w:szCs w:val="18"/>
              </w:rPr>
            </w:pPr>
            <w:r>
              <w:rPr>
                <w:rFonts w:hAnsi="宋体"/>
                <w:sz w:val="18"/>
                <w:szCs w:val="18"/>
              </w:rPr>
              <w:t>钻井泥浆、岩屑</w:t>
            </w:r>
          </w:p>
        </w:tc>
        <w:tc>
          <w:tcPr>
            <w:tcW w:w="1290" w:type="pct"/>
            <w:vAlign w:val="center"/>
          </w:tcPr>
          <w:p w:rsidR="00EE4502" w:rsidRDefault="00FD45A3">
            <w:pPr>
              <w:pStyle w:val="affffffffff"/>
              <w:kinsoku/>
              <w:wordWrap/>
              <w:overflowPunct/>
              <w:adjustRightInd/>
              <w:spacing w:after="0" w:line="240" w:lineRule="auto"/>
              <w:ind w:left="0" w:firstLineChars="0" w:firstLine="0"/>
              <w:rPr>
                <w:sz w:val="18"/>
                <w:szCs w:val="18"/>
              </w:rPr>
            </w:pPr>
            <w:r>
              <w:rPr>
                <w:rFonts w:hAnsi="宋体"/>
                <w:sz w:val="18"/>
                <w:szCs w:val="18"/>
              </w:rPr>
              <w:t>钻井废弃物不落地工艺</w:t>
            </w:r>
          </w:p>
        </w:tc>
        <w:tc>
          <w:tcPr>
            <w:tcW w:w="1446" w:type="pct"/>
            <w:vAlign w:val="center"/>
          </w:tcPr>
          <w:p w:rsidR="00EE4502" w:rsidRDefault="00FD45A3">
            <w:pPr>
              <w:pStyle w:val="affffffffff"/>
              <w:kinsoku/>
              <w:wordWrap/>
              <w:overflowPunct/>
              <w:adjustRightInd/>
              <w:spacing w:after="0" w:line="240" w:lineRule="auto"/>
              <w:ind w:left="0" w:firstLineChars="0" w:firstLine="0"/>
              <w:rPr>
                <w:sz w:val="18"/>
                <w:szCs w:val="18"/>
              </w:rPr>
            </w:pPr>
            <w:r>
              <w:rPr>
                <w:rFonts w:hAnsi="宋体"/>
                <w:sz w:val="18"/>
                <w:szCs w:val="18"/>
              </w:rPr>
              <w:t>避免二次污染</w:t>
            </w:r>
          </w:p>
        </w:tc>
      </w:tr>
      <w:tr w:rsidR="00EE4502">
        <w:trPr>
          <w:trHeight w:val="340"/>
        </w:trPr>
        <w:tc>
          <w:tcPr>
            <w:tcW w:w="359" w:type="pct"/>
            <w:vMerge/>
            <w:vAlign w:val="center"/>
          </w:tcPr>
          <w:p w:rsidR="00EE4502" w:rsidRDefault="00EE4502">
            <w:pPr>
              <w:pStyle w:val="affffffffff"/>
              <w:kinsoku/>
              <w:wordWrap/>
              <w:overflowPunct/>
              <w:adjustRightInd/>
              <w:spacing w:after="0" w:line="240" w:lineRule="auto"/>
              <w:ind w:left="0" w:firstLineChars="0" w:firstLine="0"/>
              <w:rPr>
                <w:sz w:val="18"/>
                <w:szCs w:val="18"/>
              </w:rPr>
            </w:pPr>
          </w:p>
        </w:tc>
        <w:tc>
          <w:tcPr>
            <w:tcW w:w="864" w:type="pct"/>
            <w:vMerge/>
            <w:vAlign w:val="center"/>
          </w:tcPr>
          <w:p w:rsidR="00EE4502" w:rsidRDefault="00EE4502">
            <w:pPr>
              <w:pStyle w:val="affffffffff"/>
              <w:kinsoku/>
              <w:wordWrap/>
              <w:overflowPunct/>
              <w:adjustRightInd/>
              <w:spacing w:after="0" w:line="240" w:lineRule="auto"/>
              <w:ind w:left="0" w:firstLineChars="0" w:firstLine="0"/>
              <w:rPr>
                <w:sz w:val="18"/>
                <w:szCs w:val="18"/>
              </w:rPr>
            </w:pPr>
          </w:p>
        </w:tc>
        <w:tc>
          <w:tcPr>
            <w:tcW w:w="1039" w:type="pct"/>
            <w:vAlign w:val="center"/>
          </w:tcPr>
          <w:p w:rsidR="00EE4502" w:rsidRDefault="00FD45A3">
            <w:pPr>
              <w:pStyle w:val="affffffff5"/>
              <w:adjustRightInd/>
              <w:snapToGrid/>
              <w:spacing w:line="240" w:lineRule="auto"/>
              <w:ind w:leftChars="0" w:left="0" w:rightChars="0" w:right="0"/>
              <w:rPr>
                <w:b/>
                <w:color w:val="auto"/>
              </w:rPr>
            </w:pPr>
            <w:r>
              <w:rPr>
                <w:color w:val="auto"/>
              </w:rPr>
              <w:t>废机油</w:t>
            </w:r>
          </w:p>
        </w:tc>
        <w:tc>
          <w:tcPr>
            <w:tcW w:w="1290" w:type="pct"/>
            <w:vAlign w:val="center"/>
          </w:tcPr>
          <w:p w:rsidR="00EE4502" w:rsidRDefault="00FD45A3">
            <w:pPr>
              <w:pStyle w:val="affffffffff"/>
              <w:kinsoku/>
              <w:wordWrap/>
              <w:overflowPunct/>
              <w:adjustRightInd/>
              <w:spacing w:after="0" w:line="240" w:lineRule="auto"/>
              <w:ind w:left="0" w:firstLineChars="0" w:firstLine="0"/>
              <w:rPr>
                <w:rFonts w:hAnsi="宋体"/>
                <w:sz w:val="18"/>
                <w:szCs w:val="18"/>
              </w:rPr>
            </w:pPr>
            <w:r>
              <w:rPr>
                <w:rFonts w:hAnsi="宋体" w:hint="eastAsia"/>
                <w:sz w:val="18"/>
                <w:szCs w:val="18"/>
              </w:rPr>
              <w:t>委托有资质的单位回收处理</w:t>
            </w:r>
          </w:p>
        </w:tc>
        <w:tc>
          <w:tcPr>
            <w:tcW w:w="1446" w:type="pct"/>
            <w:vAlign w:val="center"/>
          </w:tcPr>
          <w:p w:rsidR="00EE4502" w:rsidRDefault="00FD45A3">
            <w:pPr>
              <w:pStyle w:val="affffffffff"/>
              <w:kinsoku/>
              <w:wordWrap/>
              <w:overflowPunct/>
              <w:adjustRightInd/>
              <w:spacing w:after="0" w:line="240" w:lineRule="auto"/>
              <w:ind w:left="0" w:firstLineChars="0" w:firstLine="0"/>
              <w:rPr>
                <w:rFonts w:hAnsi="宋体"/>
                <w:sz w:val="18"/>
                <w:szCs w:val="18"/>
              </w:rPr>
            </w:pPr>
            <w:r>
              <w:rPr>
                <w:rFonts w:hAnsi="宋体"/>
                <w:sz w:val="18"/>
                <w:szCs w:val="18"/>
              </w:rPr>
              <w:t>避免二次污染</w:t>
            </w:r>
          </w:p>
        </w:tc>
      </w:tr>
      <w:tr w:rsidR="00EE4502">
        <w:trPr>
          <w:trHeight w:val="340"/>
        </w:trPr>
        <w:tc>
          <w:tcPr>
            <w:tcW w:w="359" w:type="pct"/>
            <w:vMerge/>
            <w:vAlign w:val="center"/>
          </w:tcPr>
          <w:p w:rsidR="00EE4502" w:rsidRDefault="00EE4502">
            <w:pPr>
              <w:pStyle w:val="affffffffff"/>
              <w:kinsoku/>
              <w:wordWrap/>
              <w:overflowPunct/>
              <w:adjustRightInd/>
              <w:spacing w:after="0" w:line="240" w:lineRule="auto"/>
              <w:ind w:left="0" w:firstLineChars="0" w:firstLine="0"/>
              <w:rPr>
                <w:sz w:val="18"/>
                <w:szCs w:val="18"/>
              </w:rPr>
            </w:pPr>
          </w:p>
        </w:tc>
        <w:tc>
          <w:tcPr>
            <w:tcW w:w="864" w:type="pct"/>
            <w:vMerge/>
            <w:vAlign w:val="center"/>
          </w:tcPr>
          <w:p w:rsidR="00EE4502" w:rsidRDefault="00EE4502">
            <w:pPr>
              <w:pStyle w:val="affffffffff"/>
              <w:kinsoku/>
              <w:wordWrap/>
              <w:overflowPunct/>
              <w:adjustRightInd/>
              <w:spacing w:after="0" w:line="240" w:lineRule="auto"/>
              <w:ind w:left="0" w:firstLineChars="0" w:firstLine="0"/>
              <w:rPr>
                <w:sz w:val="18"/>
                <w:szCs w:val="18"/>
              </w:rPr>
            </w:pPr>
          </w:p>
        </w:tc>
        <w:tc>
          <w:tcPr>
            <w:tcW w:w="1039" w:type="pct"/>
            <w:vAlign w:val="center"/>
          </w:tcPr>
          <w:p w:rsidR="00EE4502" w:rsidRDefault="00FD45A3">
            <w:pPr>
              <w:pStyle w:val="affffffff5"/>
              <w:adjustRightInd/>
              <w:snapToGrid/>
              <w:spacing w:line="240" w:lineRule="auto"/>
              <w:ind w:leftChars="0" w:left="0" w:rightChars="0" w:right="0"/>
              <w:rPr>
                <w:color w:val="auto"/>
              </w:rPr>
            </w:pPr>
            <w:r>
              <w:rPr>
                <w:color w:val="auto"/>
              </w:rPr>
              <w:t>废烧碱包装袋</w:t>
            </w:r>
          </w:p>
        </w:tc>
        <w:tc>
          <w:tcPr>
            <w:tcW w:w="1290" w:type="pct"/>
            <w:vAlign w:val="center"/>
          </w:tcPr>
          <w:p w:rsidR="00EE4502" w:rsidRDefault="00FD45A3">
            <w:pPr>
              <w:pStyle w:val="affffffffff"/>
              <w:kinsoku/>
              <w:wordWrap/>
              <w:overflowPunct/>
              <w:adjustRightInd/>
              <w:spacing w:after="0" w:line="240" w:lineRule="auto"/>
              <w:ind w:left="0" w:firstLineChars="0" w:firstLine="0"/>
              <w:rPr>
                <w:rFonts w:hAnsi="宋体"/>
                <w:sz w:val="18"/>
                <w:szCs w:val="18"/>
              </w:rPr>
            </w:pPr>
            <w:r>
              <w:rPr>
                <w:rFonts w:hAnsi="宋体" w:hint="eastAsia"/>
                <w:sz w:val="18"/>
                <w:szCs w:val="18"/>
              </w:rPr>
              <w:t>委托有资质的单位回收处理</w:t>
            </w:r>
          </w:p>
        </w:tc>
        <w:tc>
          <w:tcPr>
            <w:tcW w:w="1446" w:type="pct"/>
            <w:vAlign w:val="center"/>
          </w:tcPr>
          <w:p w:rsidR="00EE4502" w:rsidRDefault="00FD45A3">
            <w:pPr>
              <w:pStyle w:val="affffffffff"/>
              <w:kinsoku/>
              <w:wordWrap/>
              <w:overflowPunct/>
              <w:adjustRightInd/>
              <w:spacing w:after="0" w:line="240" w:lineRule="auto"/>
              <w:ind w:left="0" w:firstLineChars="0" w:firstLine="0"/>
              <w:rPr>
                <w:rFonts w:hAnsi="宋体"/>
                <w:sz w:val="18"/>
                <w:szCs w:val="18"/>
              </w:rPr>
            </w:pPr>
            <w:r>
              <w:rPr>
                <w:rFonts w:hAnsi="宋体"/>
                <w:sz w:val="18"/>
                <w:szCs w:val="18"/>
              </w:rPr>
              <w:t>避免二次污染</w:t>
            </w:r>
          </w:p>
        </w:tc>
      </w:tr>
      <w:tr w:rsidR="00EE4502">
        <w:trPr>
          <w:trHeight w:val="340"/>
        </w:trPr>
        <w:tc>
          <w:tcPr>
            <w:tcW w:w="359" w:type="pct"/>
            <w:vMerge/>
            <w:vAlign w:val="center"/>
          </w:tcPr>
          <w:p w:rsidR="00EE4502" w:rsidRDefault="00EE4502">
            <w:pPr>
              <w:pStyle w:val="affffffffff"/>
              <w:kinsoku/>
              <w:wordWrap/>
              <w:overflowPunct/>
              <w:adjustRightInd/>
              <w:spacing w:after="0" w:line="240" w:lineRule="auto"/>
              <w:ind w:left="0" w:firstLineChars="0" w:firstLine="0"/>
              <w:rPr>
                <w:sz w:val="18"/>
                <w:szCs w:val="18"/>
              </w:rPr>
            </w:pPr>
          </w:p>
        </w:tc>
        <w:tc>
          <w:tcPr>
            <w:tcW w:w="864" w:type="pct"/>
            <w:vMerge/>
            <w:vAlign w:val="center"/>
          </w:tcPr>
          <w:p w:rsidR="00EE4502" w:rsidRDefault="00EE4502">
            <w:pPr>
              <w:pStyle w:val="affffffffff"/>
              <w:kinsoku/>
              <w:wordWrap/>
              <w:overflowPunct/>
              <w:adjustRightInd/>
              <w:spacing w:after="0" w:line="240" w:lineRule="auto"/>
              <w:ind w:left="0" w:firstLineChars="0" w:firstLine="0"/>
              <w:rPr>
                <w:sz w:val="18"/>
                <w:szCs w:val="18"/>
              </w:rPr>
            </w:pPr>
          </w:p>
        </w:tc>
        <w:tc>
          <w:tcPr>
            <w:tcW w:w="1039" w:type="pct"/>
            <w:vAlign w:val="center"/>
          </w:tcPr>
          <w:p w:rsidR="00EE4502" w:rsidRDefault="00FD45A3">
            <w:pPr>
              <w:pStyle w:val="affffffff5"/>
              <w:adjustRightInd/>
              <w:snapToGrid/>
              <w:spacing w:line="240" w:lineRule="auto"/>
              <w:ind w:leftChars="0" w:left="0" w:rightChars="0" w:right="0"/>
              <w:rPr>
                <w:color w:val="auto"/>
              </w:rPr>
            </w:pPr>
            <w:r>
              <w:rPr>
                <w:color w:val="auto"/>
              </w:rPr>
              <w:t>焊接及吹扫废渣</w:t>
            </w:r>
            <w:r>
              <w:rPr>
                <w:rFonts w:hint="eastAsia"/>
                <w:color w:val="auto"/>
              </w:rPr>
              <w:t>、</w:t>
            </w:r>
            <w:r>
              <w:rPr>
                <w:color w:val="auto"/>
              </w:rPr>
              <w:t>设备废弃包装</w:t>
            </w:r>
            <w:r>
              <w:rPr>
                <w:rFonts w:hint="eastAsia"/>
                <w:color w:val="auto"/>
              </w:rPr>
              <w:t>、</w:t>
            </w:r>
          </w:p>
        </w:tc>
        <w:tc>
          <w:tcPr>
            <w:tcW w:w="1290" w:type="pct"/>
            <w:vAlign w:val="center"/>
          </w:tcPr>
          <w:p w:rsidR="00EE4502" w:rsidRDefault="00FD45A3">
            <w:pPr>
              <w:pStyle w:val="affffffffff"/>
              <w:kinsoku/>
              <w:wordWrap/>
              <w:overflowPunct/>
              <w:adjustRightInd/>
              <w:spacing w:after="0" w:line="240" w:lineRule="auto"/>
              <w:ind w:left="0" w:firstLineChars="0" w:firstLine="0"/>
              <w:rPr>
                <w:rFonts w:hAnsi="宋体"/>
                <w:sz w:val="18"/>
                <w:szCs w:val="18"/>
              </w:rPr>
            </w:pPr>
            <w:r>
              <w:rPr>
                <w:rFonts w:hAnsi="宋体" w:hint="eastAsia"/>
                <w:sz w:val="18"/>
                <w:szCs w:val="18"/>
              </w:rPr>
              <w:t>送一般固体废物填埋场处置</w:t>
            </w:r>
          </w:p>
        </w:tc>
        <w:tc>
          <w:tcPr>
            <w:tcW w:w="1446" w:type="pct"/>
            <w:vAlign w:val="center"/>
          </w:tcPr>
          <w:p w:rsidR="00EE4502" w:rsidRDefault="00FD45A3">
            <w:pPr>
              <w:pStyle w:val="affffffffff"/>
              <w:kinsoku/>
              <w:wordWrap/>
              <w:overflowPunct/>
              <w:adjustRightInd/>
              <w:spacing w:after="0" w:line="240" w:lineRule="auto"/>
              <w:ind w:left="0" w:firstLineChars="0" w:firstLine="0"/>
              <w:rPr>
                <w:rFonts w:hAnsi="宋体"/>
                <w:sz w:val="18"/>
                <w:szCs w:val="18"/>
              </w:rPr>
            </w:pPr>
            <w:r>
              <w:rPr>
                <w:rFonts w:hAnsi="宋体"/>
                <w:sz w:val="18"/>
                <w:szCs w:val="18"/>
              </w:rPr>
              <w:t>避免二次污染</w:t>
            </w:r>
          </w:p>
        </w:tc>
      </w:tr>
      <w:tr w:rsidR="00EE4502">
        <w:trPr>
          <w:trHeight w:val="340"/>
        </w:trPr>
        <w:tc>
          <w:tcPr>
            <w:tcW w:w="359" w:type="pct"/>
            <w:vMerge/>
            <w:vAlign w:val="center"/>
          </w:tcPr>
          <w:p w:rsidR="00EE4502" w:rsidRDefault="00EE4502">
            <w:pPr>
              <w:pStyle w:val="affffffffff"/>
              <w:kinsoku/>
              <w:wordWrap/>
              <w:overflowPunct/>
              <w:adjustRightInd/>
              <w:spacing w:after="0" w:line="240" w:lineRule="auto"/>
              <w:ind w:left="0" w:firstLineChars="0" w:firstLine="0"/>
              <w:rPr>
                <w:sz w:val="18"/>
                <w:szCs w:val="18"/>
              </w:rPr>
            </w:pPr>
          </w:p>
        </w:tc>
        <w:tc>
          <w:tcPr>
            <w:tcW w:w="864" w:type="pct"/>
            <w:vMerge/>
            <w:vAlign w:val="center"/>
          </w:tcPr>
          <w:p w:rsidR="00EE4502" w:rsidRDefault="00EE4502">
            <w:pPr>
              <w:pStyle w:val="affffffffff"/>
              <w:kinsoku/>
              <w:wordWrap/>
              <w:overflowPunct/>
              <w:adjustRightInd/>
              <w:spacing w:after="0" w:line="240" w:lineRule="auto"/>
              <w:ind w:left="0" w:firstLineChars="0" w:firstLine="0"/>
              <w:rPr>
                <w:sz w:val="18"/>
                <w:szCs w:val="18"/>
              </w:rPr>
            </w:pPr>
          </w:p>
        </w:tc>
        <w:tc>
          <w:tcPr>
            <w:tcW w:w="1039" w:type="pct"/>
            <w:vAlign w:val="center"/>
          </w:tcPr>
          <w:p w:rsidR="00EE4502" w:rsidRDefault="00FD45A3">
            <w:pPr>
              <w:pStyle w:val="affffffffff"/>
              <w:kinsoku/>
              <w:wordWrap/>
              <w:overflowPunct/>
              <w:adjustRightInd/>
              <w:spacing w:after="0" w:line="240" w:lineRule="auto"/>
              <w:ind w:left="0" w:firstLineChars="0" w:firstLine="0"/>
              <w:rPr>
                <w:sz w:val="18"/>
                <w:szCs w:val="18"/>
              </w:rPr>
            </w:pPr>
            <w:r>
              <w:rPr>
                <w:rFonts w:hAnsi="宋体"/>
                <w:sz w:val="18"/>
                <w:szCs w:val="18"/>
              </w:rPr>
              <w:t>生活垃圾</w:t>
            </w:r>
          </w:p>
        </w:tc>
        <w:tc>
          <w:tcPr>
            <w:tcW w:w="1290" w:type="pct"/>
            <w:vAlign w:val="center"/>
          </w:tcPr>
          <w:p w:rsidR="00EE4502" w:rsidRDefault="00FD45A3">
            <w:pPr>
              <w:pStyle w:val="affffffffff"/>
              <w:kinsoku/>
              <w:wordWrap/>
              <w:overflowPunct/>
              <w:adjustRightInd/>
              <w:spacing w:after="0" w:line="240" w:lineRule="auto"/>
              <w:ind w:left="0" w:firstLineChars="0" w:firstLine="0"/>
              <w:rPr>
                <w:sz w:val="18"/>
                <w:szCs w:val="18"/>
              </w:rPr>
            </w:pPr>
            <w:r>
              <w:rPr>
                <w:rFonts w:hint="eastAsia"/>
                <w:sz w:val="18"/>
                <w:szCs w:val="18"/>
              </w:rPr>
              <w:t>生活垃圾在垃圾收集箱暂存，由克拉玛依前山石油工程服务有限公司进行清运、处理</w:t>
            </w:r>
          </w:p>
        </w:tc>
        <w:tc>
          <w:tcPr>
            <w:tcW w:w="1446" w:type="pct"/>
            <w:vAlign w:val="center"/>
          </w:tcPr>
          <w:p w:rsidR="00EE4502" w:rsidRDefault="00FD45A3">
            <w:pPr>
              <w:pStyle w:val="affffffffff"/>
              <w:kinsoku/>
              <w:wordWrap/>
              <w:overflowPunct/>
              <w:adjustRightInd/>
              <w:spacing w:after="0" w:line="240" w:lineRule="auto"/>
              <w:ind w:left="0" w:firstLineChars="0" w:firstLine="0"/>
              <w:rPr>
                <w:sz w:val="18"/>
                <w:szCs w:val="18"/>
              </w:rPr>
            </w:pPr>
            <w:r>
              <w:rPr>
                <w:rFonts w:hAnsi="宋体"/>
                <w:sz w:val="18"/>
                <w:szCs w:val="18"/>
              </w:rPr>
              <w:t>填埋处理</w:t>
            </w:r>
          </w:p>
        </w:tc>
      </w:tr>
      <w:tr w:rsidR="00EE4502">
        <w:trPr>
          <w:trHeight w:val="340"/>
        </w:trPr>
        <w:tc>
          <w:tcPr>
            <w:tcW w:w="359" w:type="pct"/>
            <w:vMerge/>
            <w:vAlign w:val="center"/>
          </w:tcPr>
          <w:p w:rsidR="00EE4502" w:rsidRDefault="00EE4502">
            <w:pPr>
              <w:pStyle w:val="affffffffff"/>
              <w:kinsoku/>
              <w:wordWrap/>
              <w:overflowPunct/>
              <w:adjustRightInd/>
              <w:spacing w:after="0" w:line="240" w:lineRule="auto"/>
              <w:ind w:left="0" w:firstLineChars="0" w:firstLine="0"/>
              <w:rPr>
                <w:sz w:val="18"/>
                <w:szCs w:val="18"/>
              </w:rPr>
            </w:pPr>
          </w:p>
        </w:tc>
        <w:tc>
          <w:tcPr>
            <w:tcW w:w="864" w:type="pct"/>
            <w:vMerge/>
            <w:vAlign w:val="center"/>
          </w:tcPr>
          <w:p w:rsidR="00EE4502" w:rsidRDefault="00EE4502">
            <w:pPr>
              <w:pStyle w:val="affffffffff"/>
              <w:kinsoku/>
              <w:wordWrap/>
              <w:overflowPunct/>
              <w:adjustRightInd/>
              <w:spacing w:after="0" w:line="240" w:lineRule="auto"/>
              <w:ind w:left="0" w:firstLineChars="0" w:firstLine="0"/>
              <w:rPr>
                <w:sz w:val="18"/>
                <w:szCs w:val="18"/>
              </w:rPr>
            </w:pPr>
          </w:p>
        </w:tc>
        <w:tc>
          <w:tcPr>
            <w:tcW w:w="1039" w:type="pct"/>
            <w:vAlign w:val="center"/>
          </w:tcPr>
          <w:p w:rsidR="00EE4502" w:rsidRDefault="00FD45A3">
            <w:pPr>
              <w:pStyle w:val="affffffffff"/>
              <w:kinsoku/>
              <w:wordWrap/>
              <w:overflowPunct/>
              <w:adjustRightInd/>
              <w:spacing w:after="0" w:line="240" w:lineRule="auto"/>
              <w:ind w:left="0" w:firstLineChars="0" w:firstLine="0"/>
              <w:rPr>
                <w:sz w:val="18"/>
                <w:szCs w:val="18"/>
              </w:rPr>
            </w:pPr>
            <w:r>
              <w:rPr>
                <w:rFonts w:hAnsi="宋体"/>
                <w:sz w:val="18"/>
                <w:szCs w:val="18"/>
              </w:rPr>
              <w:t>地下水</w:t>
            </w:r>
          </w:p>
        </w:tc>
        <w:tc>
          <w:tcPr>
            <w:tcW w:w="1290" w:type="pct"/>
            <w:vAlign w:val="center"/>
          </w:tcPr>
          <w:p w:rsidR="00EE4502" w:rsidRDefault="00FD45A3">
            <w:pPr>
              <w:pStyle w:val="affffffffff"/>
              <w:kinsoku/>
              <w:wordWrap/>
              <w:overflowPunct/>
              <w:adjustRightInd/>
              <w:spacing w:after="0" w:line="240" w:lineRule="auto"/>
              <w:ind w:left="0" w:firstLineChars="0" w:firstLine="0"/>
              <w:rPr>
                <w:sz w:val="18"/>
                <w:szCs w:val="18"/>
              </w:rPr>
            </w:pPr>
            <w:r>
              <w:rPr>
                <w:rFonts w:hAnsi="宋体"/>
                <w:sz w:val="18"/>
                <w:szCs w:val="18"/>
              </w:rPr>
              <w:t>防止污染地下水</w:t>
            </w:r>
          </w:p>
        </w:tc>
        <w:tc>
          <w:tcPr>
            <w:tcW w:w="1446" w:type="pct"/>
            <w:vAlign w:val="center"/>
          </w:tcPr>
          <w:p w:rsidR="00EE4502" w:rsidRDefault="00FD45A3">
            <w:pPr>
              <w:pStyle w:val="affffffffff"/>
              <w:kinsoku/>
              <w:wordWrap/>
              <w:overflowPunct/>
              <w:adjustRightInd/>
              <w:spacing w:after="0" w:line="240" w:lineRule="auto"/>
              <w:ind w:left="0" w:firstLineChars="0" w:firstLine="0"/>
              <w:rPr>
                <w:sz w:val="18"/>
                <w:szCs w:val="18"/>
              </w:rPr>
            </w:pPr>
            <w:r>
              <w:rPr>
                <w:rFonts w:hAnsi="宋体"/>
                <w:sz w:val="18"/>
                <w:szCs w:val="18"/>
              </w:rPr>
              <w:t>达到</w:t>
            </w:r>
            <w:r>
              <w:rPr>
                <w:sz w:val="18"/>
                <w:szCs w:val="18"/>
              </w:rPr>
              <w:t>GB/T14848-2017</w:t>
            </w:r>
            <w:r>
              <w:rPr>
                <w:rFonts w:ascii="宋体" w:hAnsi="宋体"/>
                <w:sz w:val="18"/>
                <w:szCs w:val="18"/>
              </w:rPr>
              <w:t>Ⅲ</w:t>
            </w:r>
            <w:r>
              <w:rPr>
                <w:rFonts w:hAnsi="宋体"/>
                <w:sz w:val="18"/>
                <w:szCs w:val="18"/>
              </w:rPr>
              <w:t>类标准</w:t>
            </w:r>
          </w:p>
        </w:tc>
      </w:tr>
      <w:tr w:rsidR="00EE4502">
        <w:trPr>
          <w:trHeight w:val="340"/>
        </w:trPr>
        <w:tc>
          <w:tcPr>
            <w:tcW w:w="359" w:type="pct"/>
            <w:vMerge/>
            <w:vAlign w:val="center"/>
          </w:tcPr>
          <w:p w:rsidR="00EE4502" w:rsidRDefault="00EE4502">
            <w:pPr>
              <w:pStyle w:val="affffffffff"/>
              <w:kinsoku/>
              <w:wordWrap/>
              <w:overflowPunct/>
              <w:adjustRightInd/>
              <w:spacing w:after="0" w:line="240" w:lineRule="auto"/>
              <w:ind w:left="0" w:firstLineChars="0" w:firstLine="0"/>
              <w:rPr>
                <w:sz w:val="18"/>
                <w:szCs w:val="18"/>
              </w:rPr>
            </w:pPr>
          </w:p>
        </w:tc>
        <w:tc>
          <w:tcPr>
            <w:tcW w:w="864" w:type="pct"/>
            <w:vMerge/>
            <w:vAlign w:val="center"/>
          </w:tcPr>
          <w:p w:rsidR="00EE4502" w:rsidRDefault="00EE4502">
            <w:pPr>
              <w:pStyle w:val="affffffffff"/>
              <w:kinsoku/>
              <w:wordWrap/>
              <w:overflowPunct/>
              <w:adjustRightInd/>
              <w:spacing w:after="0" w:line="240" w:lineRule="auto"/>
              <w:ind w:left="0" w:firstLineChars="0" w:firstLine="0"/>
              <w:rPr>
                <w:sz w:val="18"/>
                <w:szCs w:val="18"/>
              </w:rPr>
            </w:pPr>
          </w:p>
        </w:tc>
        <w:tc>
          <w:tcPr>
            <w:tcW w:w="1039" w:type="pct"/>
            <w:vAlign w:val="center"/>
          </w:tcPr>
          <w:p w:rsidR="00EE4502" w:rsidRDefault="00FD45A3">
            <w:pPr>
              <w:pStyle w:val="affffffffff"/>
              <w:kinsoku/>
              <w:wordWrap/>
              <w:overflowPunct/>
              <w:adjustRightInd/>
              <w:spacing w:after="0" w:line="240" w:lineRule="auto"/>
              <w:ind w:left="0" w:firstLineChars="0" w:firstLine="0"/>
              <w:rPr>
                <w:sz w:val="18"/>
                <w:szCs w:val="18"/>
              </w:rPr>
            </w:pPr>
            <w:r>
              <w:rPr>
                <w:rFonts w:hAnsi="宋体"/>
                <w:sz w:val="18"/>
                <w:szCs w:val="18"/>
              </w:rPr>
              <w:t>落地油等</w:t>
            </w:r>
          </w:p>
        </w:tc>
        <w:tc>
          <w:tcPr>
            <w:tcW w:w="1290" w:type="pct"/>
            <w:vAlign w:val="center"/>
          </w:tcPr>
          <w:p w:rsidR="00EE4502" w:rsidRDefault="00FD45A3">
            <w:pPr>
              <w:pStyle w:val="affffffffff"/>
              <w:kinsoku/>
              <w:wordWrap/>
              <w:overflowPunct/>
              <w:adjustRightInd/>
              <w:spacing w:after="0" w:line="240" w:lineRule="auto"/>
              <w:ind w:left="0" w:firstLineChars="0" w:firstLine="0"/>
              <w:rPr>
                <w:sz w:val="18"/>
                <w:szCs w:val="18"/>
              </w:rPr>
            </w:pPr>
            <w:r>
              <w:rPr>
                <w:rFonts w:hAnsi="宋体"/>
                <w:sz w:val="18"/>
                <w:szCs w:val="18"/>
              </w:rPr>
              <w:t>严格规范操作</w:t>
            </w:r>
          </w:p>
        </w:tc>
        <w:tc>
          <w:tcPr>
            <w:tcW w:w="1446" w:type="pct"/>
            <w:vAlign w:val="center"/>
          </w:tcPr>
          <w:p w:rsidR="00EE4502" w:rsidRDefault="00FD45A3">
            <w:pPr>
              <w:pStyle w:val="affffffffff"/>
              <w:kinsoku/>
              <w:wordWrap/>
              <w:overflowPunct/>
              <w:adjustRightInd/>
              <w:spacing w:after="0" w:line="240" w:lineRule="auto"/>
              <w:ind w:left="0" w:firstLineChars="0" w:firstLine="0"/>
              <w:rPr>
                <w:sz w:val="18"/>
                <w:szCs w:val="18"/>
              </w:rPr>
            </w:pPr>
            <w:r>
              <w:rPr>
                <w:rFonts w:hAnsi="宋体"/>
                <w:sz w:val="18"/>
                <w:szCs w:val="18"/>
              </w:rPr>
              <w:t>避免污染土壤</w:t>
            </w:r>
          </w:p>
        </w:tc>
      </w:tr>
      <w:tr w:rsidR="00EE4502">
        <w:trPr>
          <w:trHeight w:val="340"/>
        </w:trPr>
        <w:tc>
          <w:tcPr>
            <w:tcW w:w="359" w:type="pct"/>
            <w:vMerge w:val="restart"/>
            <w:vAlign w:val="center"/>
          </w:tcPr>
          <w:p w:rsidR="00EE4502" w:rsidRDefault="00FD45A3">
            <w:pPr>
              <w:pStyle w:val="affffffffff"/>
              <w:kinsoku/>
              <w:wordWrap/>
              <w:overflowPunct/>
              <w:adjustRightInd/>
              <w:spacing w:after="0" w:line="240" w:lineRule="auto"/>
              <w:ind w:left="0" w:firstLineChars="0" w:firstLine="0"/>
              <w:rPr>
                <w:sz w:val="18"/>
                <w:szCs w:val="18"/>
              </w:rPr>
            </w:pPr>
            <w:r>
              <w:rPr>
                <w:rFonts w:hAnsi="宋体"/>
                <w:sz w:val="18"/>
                <w:szCs w:val="18"/>
              </w:rPr>
              <w:t>运营期</w:t>
            </w:r>
          </w:p>
        </w:tc>
        <w:tc>
          <w:tcPr>
            <w:tcW w:w="864" w:type="pct"/>
            <w:vAlign w:val="center"/>
          </w:tcPr>
          <w:p w:rsidR="00EE4502" w:rsidRDefault="00FD45A3">
            <w:pPr>
              <w:pStyle w:val="affffffffff"/>
              <w:kinsoku/>
              <w:wordWrap/>
              <w:overflowPunct/>
              <w:adjustRightInd/>
              <w:spacing w:after="0" w:line="240" w:lineRule="auto"/>
              <w:ind w:left="0" w:firstLineChars="0" w:firstLine="0"/>
              <w:rPr>
                <w:sz w:val="18"/>
                <w:szCs w:val="18"/>
              </w:rPr>
            </w:pPr>
            <w:r>
              <w:rPr>
                <w:rFonts w:hAnsi="宋体"/>
                <w:sz w:val="18"/>
                <w:szCs w:val="18"/>
              </w:rPr>
              <w:t>油藏采出水</w:t>
            </w:r>
          </w:p>
        </w:tc>
        <w:tc>
          <w:tcPr>
            <w:tcW w:w="1039" w:type="pct"/>
            <w:vAlign w:val="center"/>
          </w:tcPr>
          <w:p w:rsidR="00EE4502" w:rsidRDefault="00FD45A3">
            <w:pPr>
              <w:pStyle w:val="affffffffff"/>
              <w:kinsoku/>
              <w:wordWrap/>
              <w:overflowPunct/>
              <w:adjustRightInd/>
              <w:spacing w:after="0" w:line="240" w:lineRule="auto"/>
              <w:ind w:left="0" w:firstLineChars="0" w:firstLine="0"/>
              <w:rPr>
                <w:sz w:val="18"/>
                <w:szCs w:val="18"/>
              </w:rPr>
            </w:pPr>
            <w:r>
              <w:rPr>
                <w:rFonts w:hAnsi="宋体"/>
                <w:sz w:val="18"/>
                <w:szCs w:val="18"/>
              </w:rPr>
              <w:t>石油类等</w:t>
            </w:r>
          </w:p>
        </w:tc>
        <w:tc>
          <w:tcPr>
            <w:tcW w:w="1290" w:type="pct"/>
            <w:vAlign w:val="center"/>
          </w:tcPr>
          <w:p w:rsidR="00EE4502" w:rsidRDefault="00FD45A3">
            <w:pPr>
              <w:pStyle w:val="affffffffff"/>
              <w:kinsoku/>
              <w:wordWrap/>
              <w:overflowPunct/>
              <w:adjustRightInd/>
              <w:spacing w:after="0" w:line="240" w:lineRule="auto"/>
              <w:ind w:left="0" w:firstLineChars="0" w:firstLine="0"/>
              <w:rPr>
                <w:sz w:val="18"/>
                <w:szCs w:val="18"/>
              </w:rPr>
            </w:pPr>
            <w:r>
              <w:rPr>
                <w:rFonts w:hAnsi="宋体" w:hint="eastAsia"/>
                <w:sz w:val="18"/>
                <w:szCs w:val="18"/>
              </w:rPr>
              <w:t>在</w:t>
            </w:r>
            <w:r>
              <w:rPr>
                <w:rFonts w:hAnsi="宋体" w:hint="eastAsia"/>
                <w:sz w:val="18"/>
                <w:szCs w:val="18"/>
              </w:rPr>
              <w:t>1#</w:t>
            </w:r>
            <w:r>
              <w:rPr>
                <w:rFonts w:hAnsi="宋体" w:hint="eastAsia"/>
                <w:sz w:val="18"/>
                <w:szCs w:val="18"/>
              </w:rPr>
              <w:t>增压站</w:t>
            </w:r>
            <w:r>
              <w:rPr>
                <w:rFonts w:hAnsi="宋体" w:hint="eastAsia"/>
                <w:sz w:val="18"/>
                <w:szCs w:val="18"/>
              </w:rPr>
              <w:t>就地分水后通过集输末端掺水点回注地层</w:t>
            </w:r>
          </w:p>
        </w:tc>
        <w:tc>
          <w:tcPr>
            <w:tcW w:w="1446" w:type="pct"/>
            <w:vMerge w:val="restart"/>
            <w:vAlign w:val="center"/>
          </w:tcPr>
          <w:p w:rsidR="00EE4502" w:rsidRDefault="00FD45A3">
            <w:pPr>
              <w:pStyle w:val="affffffffff"/>
              <w:kinsoku/>
              <w:wordWrap/>
              <w:overflowPunct/>
              <w:adjustRightInd/>
              <w:spacing w:after="0" w:line="240" w:lineRule="auto"/>
              <w:ind w:left="0" w:firstLineChars="0" w:firstLine="0"/>
              <w:rPr>
                <w:sz w:val="18"/>
                <w:szCs w:val="18"/>
              </w:rPr>
            </w:pPr>
            <w:r>
              <w:rPr>
                <w:rFonts w:hAnsi="宋体"/>
                <w:sz w:val="18"/>
                <w:szCs w:val="18"/>
              </w:rPr>
              <w:t>严禁外排、防止污染地下水和土壤</w:t>
            </w:r>
          </w:p>
        </w:tc>
      </w:tr>
      <w:tr w:rsidR="00EE4502">
        <w:trPr>
          <w:trHeight w:val="340"/>
        </w:trPr>
        <w:tc>
          <w:tcPr>
            <w:tcW w:w="359" w:type="pct"/>
            <w:vMerge/>
            <w:vAlign w:val="center"/>
          </w:tcPr>
          <w:p w:rsidR="00EE4502" w:rsidRDefault="00EE4502">
            <w:pPr>
              <w:pStyle w:val="affffffffff"/>
              <w:kinsoku/>
              <w:wordWrap/>
              <w:overflowPunct/>
              <w:adjustRightInd/>
              <w:spacing w:after="0" w:line="240" w:lineRule="auto"/>
              <w:ind w:left="0" w:firstLineChars="0" w:firstLine="0"/>
              <w:rPr>
                <w:sz w:val="18"/>
                <w:szCs w:val="18"/>
              </w:rPr>
            </w:pPr>
          </w:p>
        </w:tc>
        <w:tc>
          <w:tcPr>
            <w:tcW w:w="864" w:type="pct"/>
            <w:vAlign w:val="center"/>
          </w:tcPr>
          <w:p w:rsidR="00EE4502" w:rsidRDefault="00FD45A3">
            <w:pPr>
              <w:pStyle w:val="affffffffff"/>
              <w:kinsoku/>
              <w:wordWrap/>
              <w:overflowPunct/>
              <w:adjustRightInd/>
              <w:spacing w:after="0" w:line="240" w:lineRule="auto"/>
              <w:ind w:left="0" w:firstLineChars="0" w:firstLine="0"/>
              <w:rPr>
                <w:sz w:val="18"/>
                <w:szCs w:val="18"/>
              </w:rPr>
            </w:pPr>
            <w:r>
              <w:rPr>
                <w:rFonts w:hAnsi="宋体"/>
                <w:sz w:val="18"/>
                <w:szCs w:val="18"/>
              </w:rPr>
              <w:t>井下作业废水</w:t>
            </w:r>
          </w:p>
        </w:tc>
        <w:tc>
          <w:tcPr>
            <w:tcW w:w="1039" w:type="pct"/>
            <w:vAlign w:val="center"/>
          </w:tcPr>
          <w:p w:rsidR="00EE4502" w:rsidRDefault="00FD45A3">
            <w:pPr>
              <w:pStyle w:val="affffffffff"/>
              <w:kinsoku/>
              <w:wordWrap/>
              <w:overflowPunct/>
              <w:adjustRightInd/>
              <w:spacing w:after="0" w:line="240" w:lineRule="auto"/>
              <w:ind w:left="0" w:firstLineChars="0" w:firstLine="0"/>
              <w:rPr>
                <w:sz w:val="18"/>
                <w:szCs w:val="18"/>
              </w:rPr>
            </w:pPr>
            <w:r>
              <w:rPr>
                <w:rFonts w:hAnsi="宋体"/>
                <w:sz w:val="18"/>
                <w:szCs w:val="18"/>
              </w:rPr>
              <w:t>石油类等</w:t>
            </w:r>
          </w:p>
        </w:tc>
        <w:tc>
          <w:tcPr>
            <w:tcW w:w="1290" w:type="pct"/>
            <w:vAlign w:val="center"/>
          </w:tcPr>
          <w:p w:rsidR="00EE4502" w:rsidRDefault="00FD45A3">
            <w:pPr>
              <w:pStyle w:val="affffffffff"/>
              <w:kinsoku/>
              <w:wordWrap/>
              <w:overflowPunct/>
              <w:adjustRightInd/>
              <w:spacing w:after="0" w:line="240" w:lineRule="auto"/>
              <w:ind w:left="0" w:firstLineChars="0" w:firstLine="0"/>
              <w:rPr>
                <w:sz w:val="18"/>
                <w:szCs w:val="18"/>
              </w:rPr>
            </w:pPr>
            <w:r>
              <w:rPr>
                <w:rFonts w:hint="eastAsia"/>
                <w:sz w:val="18"/>
                <w:szCs w:val="18"/>
              </w:rPr>
              <w:t>采用专用废水回收罐收集，依托春风油田二号联合站进行处理</w:t>
            </w:r>
          </w:p>
        </w:tc>
        <w:tc>
          <w:tcPr>
            <w:tcW w:w="1446" w:type="pct"/>
            <w:vMerge/>
            <w:vAlign w:val="center"/>
          </w:tcPr>
          <w:p w:rsidR="00EE4502" w:rsidRDefault="00EE4502">
            <w:pPr>
              <w:pStyle w:val="affffffffff"/>
              <w:kinsoku/>
              <w:wordWrap/>
              <w:overflowPunct/>
              <w:adjustRightInd/>
              <w:spacing w:after="0" w:line="240" w:lineRule="auto"/>
              <w:ind w:left="0" w:firstLineChars="0" w:firstLine="0"/>
              <w:rPr>
                <w:sz w:val="18"/>
                <w:szCs w:val="18"/>
              </w:rPr>
            </w:pPr>
          </w:p>
        </w:tc>
      </w:tr>
      <w:tr w:rsidR="00EE4502">
        <w:trPr>
          <w:trHeight w:val="340"/>
        </w:trPr>
        <w:tc>
          <w:tcPr>
            <w:tcW w:w="359" w:type="pct"/>
            <w:vMerge/>
            <w:vAlign w:val="center"/>
          </w:tcPr>
          <w:p w:rsidR="00EE4502" w:rsidRDefault="00EE4502">
            <w:pPr>
              <w:pStyle w:val="affffffffff"/>
              <w:kinsoku/>
              <w:wordWrap/>
              <w:overflowPunct/>
              <w:adjustRightInd/>
              <w:spacing w:after="0" w:line="240" w:lineRule="auto"/>
              <w:ind w:left="0" w:firstLineChars="0" w:firstLine="0"/>
              <w:rPr>
                <w:sz w:val="18"/>
                <w:szCs w:val="18"/>
              </w:rPr>
            </w:pPr>
          </w:p>
        </w:tc>
        <w:tc>
          <w:tcPr>
            <w:tcW w:w="864" w:type="pct"/>
            <w:vAlign w:val="center"/>
          </w:tcPr>
          <w:p w:rsidR="00EE4502" w:rsidRDefault="00FD45A3">
            <w:pPr>
              <w:pStyle w:val="affffffffff"/>
              <w:kinsoku/>
              <w:wordWrap/>
              <w:overflowPunct/>
              <w:adjustRightInd/>
              <w:spacing w:after="0" w:line="240" w:lineRule="auto"/>
              <w:ind w:left="0" w:firstLineChars="0" w:firstLine="0"/>
              <w:rPr>
                <w:sz w:val="18"/>
                <w:szCs w:val="18"/>
              </w:rPr>
            </w:pPr>
            <w:r>
              <w:rPr>
                <w:rFonts w:hAnsi="宋体"/>
                <w:sz w:val="18"/>
                <w:szCs w:val="18"/>
              </w:rPr>
              <w:t>无组织挥发</w:t>
            </w:r>
          </w:p>
        </w:tc>
        <w:tc>
          <w:tcPr>
            <w:tcW w:w="1039" w:type="pct"/>
            <w:vAlign w:val="center"/>
          </w:tcPr>
          <w:p w:rsidR="00EE4502" w:rsidRDefault="00FD45A3">
            <w:pPr>
              <w:pStyle w:val="affffffffff"/>
              <w:kinsoku/>
              <w:wordWrap/>
              <w:overflowPunct/>
              <w:adjustRightInd/>
              <w:spacing w:after="0" w:line="240" w:lineRule="auto"/>
              <w:ind w:left="0" w:firstLineChars="0" w:firstLine="0"/>
              <w:rPr>
                <w:sz w:val="18"/>
                <w:szCs w:val="18"/>
              </w:rPr>
            </w:pPr>
            <w:r>
              <w:rPr>
                <w:rFonts w:hAnsi="宋体"/>
                <w:sz w:val="18"/>
                <w:szCs w:val="18"/>
              </w:rPr>
              <w:t>非甲烷总烃</w:t>
            </w:r>
          </w:p>
        </w:tc>
        <w:tc>
          <w:tcPr>
            <w:tcW w:w="1290" w:type="pct"/>
            <w:vAlign w:val="center"/>
          </w:tcPr>
          <w:p w:rsidR="00EE4502" w:rsidRDefault="00FD45A3">
            <w:pPr>
              <w:pStyle w:val="affffffffff"/>
              <w:kinsoku/>
              <w:wordWrap/>
              <w:overflowPunct/>
              <w:adjustRightInd/>
              <w:spacing w:after="0" w:line="240" w:lineRule="auto"/>
              <w:ind w:left="0" w:firstLineChars="0" w:firstLine="0"/>
              <w:rPr>
                <w:sz w:val="18"/>
                <w:szCs w:val="18"/>
              </w:rPr>
            </w:pPr>
            <w:r>
              <w:rPr>
                <w:rFonts w:hAnsi="宋体"/>
                <w:sz w:val="18"/>
                <w:szCs w:val="18"/>
              </w:rPr>
              <w:t>密闭管网防止</w:t>
            </w:r>
            <w:r>
              <w:rPr>
                <w:rFonts w:hAnsi="宋体" w:hint="eastAsia"/>
                <w:sz w:val="18"/>
                <w:szCs w:val="18"/>
              </w:rPr>
              <w:t>泄漏</w:t>
            </w:r>
          </w:p>
        </w:tc>
        <w:tc>
          <w:tcPr>
            <w:tcW w:w="1446" w:type="pct"/>
            <w:vAlign w:val="center"/>
          </w:tcPr>
          <w:p w:rsidR="00EE4502" w:rsidRDefault="00FD45A3">
            <w:pPr>
              <w:pStyle w:val="affffffffff"/>
              <w:kinsoku/>
              <w:wordWrap/>
              <w:overflowPunct/>
              <w:adjustRightInd/>
              <w:spacing w:after="0" w:line="240" w:lineRule="auto"/>
              <w:ind w:left="0" w:firstLineChars="0" w:firstLine="0"/>
              <w:rPr>
                <w:sz w:val="18"/>
                <w:szCs w:val="18"/>
              </w:rPr>
            </w:pPr>
            <w:r>
              <w:rPr>
                <w:rFonts w:hAnsi="宋体"/>
                <w:sz w:val="18"/>
                <w:szCs w:val="18"/>
              </w:rPr>
              <w:t>《陆上石油天然气开采工业大气污染物排放标准》（</w:t>
            </w:r>
            <w:r>
              <w:rPr>
                <w:sz w:val="18"/>
                <w:szCs w:val="18"/>
              </w:rPr>
              <w:t>GB39728-2020</w:t>
            </w:r>
            <w:r>
              <w:rPr>
                <w:rFonts w:hAnsi="宋体"/>
                <w:sz w:val="18"/>
                <w:szCs w:val="18"/>
              </w:rPr>
              <w:t>）</w:t>
            </w:r>
          </w:p>
        </w:tc>
      </w:tr>
      <w:tr w:rsidR="00EE4502">
        <w:trPr>
          <w:trHeight w:val="340"/>
        </w:trPr>
        <w:tc>
          <w:tcPr>
            <w:tcW w:w="359" w:type="pct"/>
            <w:vMerge/>
            <w:vAlign w:val="center"/>
          </w:tcPr>
          <w:p w:rsidR="00EE4502" w:rsidRDefault="00EE4502">
            <w:pPr>
              <w:pStyle w:val="affffffffff"/>
              <w:kinsoku/>
              <w:wordWrap/>
              <w:overflowPunct/>
              <w:adjustRightInd/>
              <w:spacing w:after="0" w:line="240" w:lineRule="auto"/>
              <w:ind w:left="0" w:firstLineChars="0" w:firstLine="0"/>
              <w:rPr>
                <w:sz w:val="18"/>
                <w:szCs w:val="18"/>
              </w:rPr>
            </w:pPr>
          </w:p>
        </w:tc>
        <w:tc>
          <w:tcPr>
            <w:tcW w:w="864" w:type="pct"/>
            <w:vAlign w:val="center"/>
          </w:tcPr>
          <w:p w:rsidR="00EE4502" w:rsidRDefault="00FD45A3">
            <w:pPr>
              <w:pStyle w:val="affffffffff"/>
              <w:kinsoku/>
              <w:wordWrap/>
              <w:overflowPunct/>
              <w:adjustRightInd/>
              <w:spacing w:after="0" w:line="240" w:lineRule="auto"/>
              <w:ind w:left="0" w:firstLineChars="0" w:firstLine="0"/>
              <w:rPr>
                <w:sz w:val="18"/>
                <w:szCs w:val="18"/>
              </w:rPr>
            </w:pPr>
            <w:r>
              <w:rPr>
                <w:rFonts w:hAnsi="宋体"/>
                <w:sz w:val="18"/>
                <w:szCs w:val="18"/>
              </w:rPr>
              <w:t>落地油</w:t>
            </w:r>
          </w:p>
        </w:tc>
        <w:tc>
          <w:tcPr>
            <w:tcW w:w="1039" w:type="pct"/>
            <w:vAlign w:val="center"/>
          </w:tcPr>
          <w:p w:rsidR="00EE4502" w:rsidRDefault="00FD45A3">
            <w:pPr>
              <w:pStyle w:val="affffffffff"/>
              <w:kinsoku/>
              <w:wordWrap/>
              <w:overflowPunct/>
              <w:adjustRightInd/>
              <w:spacing w:after="0" w:line="240" w:lineRule="auto"/>
              <w:ind w:left="0" w:firstLineChars="0" w:firstLine="0"/>
              <w:rPr>
                <w:sz w:val="18"/>
                <w:szCs w:val="18"/>
              </w:rPr>
            </w:pPr>
            <w:r>
              <w:rPr>
                <w:rFonts w:hAnsi="宋体"/>
                <w:sz w:val="18"/>
                <w:szCs w:val="18"/>
              </w:rPr>
              <w:t>石油类等</w:t>
            </w:r>
          </w:p>
        </w:tc>
        <w:tc>
          <w:tcPr>
            <w:tcW w:w="1290" w:type="pct"/>
            <w:vMerge w:val="restart"/>
            <w:vAlign w:val="center"/>
          </w:tcPr>
          <w:p w:rsidR="00EE4502" w:rsidRDefault="00FD45A3">
            <w:pPr>
              <w:pStyle w:val="affffffffff"/>
              <w:kinsoku/>
              <w:wordWrap/>
              <w:overflowPunct/>
              <w:adjustRightInd/>
              <w:spacing w:after="0" w:line="240" w:lineRule="auto"/>
              <w:ind w:left="0" w:firstLineChars="0" w:firstLine="0"/>
              <w:rPr>
                <w:sz w:val="18"/>
                <w:szCs w:val="18"/>
              </w:rPr>
            </w:pPr>
            <w:r>
              <w:rPr>
                <w:rFonts w:hAnsi="宋体"/>
                <w:sz w:val="18"/>
                <w:szCs w:val="18"/>
              </w:rPr>
              <w:t>委托</w:t>
            </w:r>
            <w:r>
              <w:rPr>
                <w:rFonts w:hAnsi="宋体" w:hint="eastAsia"/>
                <w:sz w:val="18"/>
                <w:szCs w:val="18"/>
              </w:rPr>
              <w:t>有资质单位</w:t>
            </w:r>
            <w:r>
              <w:rPr>
                <w:rFonts w:hAnsi="宋体"/>
                <w:sz w:val="18"/>
                <w:szCs w:val="18"/>
              </w:rPr>
              <w:t>处置</w:t>
            </w:r>
          </w:p>
        </w:tc>
        <w:tc>
          <w:tcPr>
            <w:tcW w:w="1446" w:type="pct"/>
            <w:vMerge w:val="restart"/>
            <w:vAlign w:val="center"/>
          </w:tcPr>
          <w:p w:rsidR="00EE4502" w:rsidRDefault="00FD45A3">
            <w:pPr>
              <w:pStyle w:val="affffffffff"/>
              <w:kinsoku/>
              <w:wordWrap/>
              <w:overflowPunct/>
              <w:adjustRightInd/>
              <w:spacing w:after="0" w:line="240" w:lineRule="auto"/>
              <w:ind w:left="0" w:firstLineChars="0" w:firstLine="0"/>
              <w:rPr>
                <w:sz w:val="18"/>
                <w:szCs w:val="18"/>
              </w:rPr>
            </w:pPr>
            <w:r>
              <w:rPr>
                <w:rFonts w:hAnsi="宋体"/>
                <w:sz w:val="18"/>
                <w:szCs w:val="18"/>
              </w:rPr>
              <w:t>防止污染土壤</w:t>
            </w:r>
          </w:p>
        </w:tc>
      </w:tr>
      <w:tr w:rsidR="00EE4502">
        <w:trPr>
          <w:trHeight w:val="340"/>
        </w:trPr>
        <w:tc>
          <w:tcPr>
            <w:tcW w:w="359" w:type="pct"/>
            <w:vMerge/>
            <w:vAlign w:val="center"/>
          </w:tcPr>
          <w:p w:rsidR="00EE4502" w:rsidRDefault="00EE4502">
            <w:pPr>
              <w:pStyle w:val="affffffffff"/>
              <w:kinsoku/>
              <w:wordWrap/>
              <w:overflowPunct/>
              <w:adjustRightInd/>
              <w:spacing w:after="0" w:line="240" w:lineRule="auto"/>
              <w:ind w:left="0" w:firstLineChars="0" w:firstLine="0"/>
              <w:rPr>
                <w:sz w:val="18"/>
                <w:szCs w:val="18"/>
              </w:rPr>
            </w:pPr>
          </w:p>
        </w:tc>
        <w:tc>
          <w:tcPr>
            <w:tcW w:w="864" w:type="pct"/>
            <w:vAlign w:val="center"/>
          </w:tcPr>
          <w:p w:rsidR="00EE4502" w:rsidRDefault="00FD45A3">
            <w:pPr>
              <w:pStyle w:val="affffffffff"/>
              <w:kinsoku/>
              <w:wordWrap/>
              <w:overflowPunct/>
              <w:adjustRightInd/>
              <w:spacing w:after="0" w:line="240" w:lineRule="auto"/>
              <w:ind w:left="0" w:firstLineChars="0" w:firstLine="0"/>
              <w:rPr>
                <w:rFonts w:hAnsi="宋体"/>
                <w:sz w:val="18"/>
                <w:szCs w:val="18"/>
              </w:rPr>
            </w:pPr>
            <w:r>
              <w:rPr>
                <w:rFonts w:hAnsi="宋体" w:hint="eastAsia"/>
                <w:sz w:val="18"/>
                <w:szCs w:val="18"/>
              </w:rPr>
              <w:t>清管废渣</w:t>
            </w:r>
          </w:p>
        </w:tc>
        <w:tc>
          <w:tcPr>
            <w:tcW w:w="1039" w:type="pct"/>
            <w:vAlign w:val="center"/>
          </w:tcPr>
          <w:p w:rsidR="00EE4502" w:rsidRDefault="00FD45A3">
            <w:pPr>
              <w:jc w:val="center"/>
              <w:rPr>
                <w:rFonts w:hAnsi="宋体"/>
                <w:sz w:val="18"/>
                <w:szCs w:val="18"/>
              </w:rPr>
            </w:pPr>
            <w:r>
              <w:rPr>
                <w:rFonts w:hAnsi="宋体"/>
                <w:sz w:val="18"/>
                <w:szCs w:val="18"/>
              </w:rPr>
              <w:t>石油类等</w:t>
            </w:r>
          </w:p>
        </w:tc>
        <w:tc>
          <w:tcPr>
            <w:tcW w:w="1290" w:type="pct"/>
            <w:vMerge/>
            <w:vAlign w:val="center"/>
          </w:tcPr>
          <w:p w:rsidR="00EE4502" w:rsidRDefault="00EE4502">
            <w:pPr>
              <w:pStyle w:val="affffffffff"/>
              <w:kinsoku/>
              <w:wordWrap/>
              <w:overflowPunct/>
              <w:adjustRightInd/>
              <w:spacing w:after="0" w:line="240" w:lineRule="auto"/>
              <w:ind w:left="0" w:firstLineChars="0" w:firstLine="0"/>
              <w:rPr>
                <w:rFonts w:hAnsi="宋体"/>
                <w:sz w:val="18"/>
                <w:szCs w:val="18"/>
              </w:rPr>
            </w:pPr>
          </w:p>
        </w:tc>
        <w:tc>
          <w:tcPr>
            <w:tcW w:w="1446" w:type="pct"/>
            <w:vMerge/>
            <w:vAlign w:val="center"/>
          </w:tcPr>
          <w:p w:rsidR="00EE4502" w:rsidRDefault="00EE4502">
            <w:pPr>
              <w:pStyle w:val="affffffffff"/>
              <w:kinsoku/>
              <w:wordWrap/>
              <w:overflowPunct/>
              <w:adjustRightInd/>
              <w:spacing w:after="0" w:line="240" w:lineRule="auto"/>
              <w:ind w:left="0" w:firstLineChars="0" w:firstLine="0"/>
              <w:rPr>
                <w:rFonts w:hAnsi="宋体"/>
                <w:sz w:val="18"/>
                <w:szCs w:val="18"/>
              </w:rPr>
            </w:pPr>
          </w:p>
        </w:tc>
      </w:tr>
      <w:tr w:rsidR="00EE4502">
        <w:trPr>
          <w:trHeight w:val="340"/>
        </w:trPr>
        <w:tc>
          <w:tcPr>
            <w:tcW w:w="359" w:type="pct"/>
            <w:vMerge/>
            <w:vAlign w:val="center"/>
          </w:tcPr>
          <w:p w:rsidR="00EE4502" w:rsidRDefault="00EE4502">
            <w:pPr>
              <w:pStyle w:val="affffffffff"/>
              <w:kinsoku/>
              <w:wordWrap/>
              <w:overflowPunct/>
              <w:adjustRightInd/>
              <w:spacing w:after="0" w:line="240" w:lineRule="auto"/>
              <w:ind w:left="0" w:firstLineChars="0" w:firstLine="0"/>
              <w:rPr>
                <w:sz w:val="18"/>
                <w:szCs w:val="18"/>
              </w:rPr>
            </w:pPr>
          </w:p>
        </w:tc>
        <w:tc>
          <w:tcPr>
            <w:tcW w:w="864" w:type="pct"/>
            <w:vAlign w:val="center"/>
          </w:tcPr>
          <w:p w:rsidR="00EE4502" w:rsidRDefault="00FD45A3">
            <w:pPr>
              <w:pStyle w:val="affffffffff"/>
              <w:kinsoku/>
              <w:wordWrap/>
              <w:overflowPunct/>
              <w:adjustRightInd/>
              <w:spacing w:after="0" w:line="240" w:lineRule="auto"/>
              <w:ind w:left="0" w:firstLineChars="0" w:firstLine="0"/>
              <w:rPr>
                <w:rFonts w:hAnsi="宋体"/>
                <w:sz w:val="18"/>
                <w:szCs w:val="18"/>
              </w:rPr>
            </w:pPr>
            <w:r>
              <w:rPr>
                <w:sz w:val="18"/>
                <w:szCs w:val="18"/>
              </w:rPr>
              <w:t>废防渗布</w:t>
            </w:r>
          </w:p>
        </w:tc>
        <w:tc>
          <w:tcPr>
            <w:tcW w:w="1039" w:type="pct"/>
            <w:vAlign w:val="center"/>
          </w:tcPr>
          <w:p w:rsidR="00EE4502" w:rsidRDefault="00FD45A3">
            <w:pPr>
              <w:jc w:val="center"/>
              <w:rPr>
                <w:rFonts w:hAnsi="宋体"/>
                <w:sz w:val="18"/>
                <w:szCs w:val="18"/>
              </w:rPr>
            </w:pPr>
            <w:r>
              <w:rPr>
                <w:rFonts w:hAnsi="宋体"/>
                <w:sz w:val="18"/>
                <w:szCs w:val="18"/>
              </w:rPr>
              <w:t>石油类等</w:t>
            </w:r>
          </w:p>
        </w:tc>
        <w:tc>
          <w:tcPr>
            <w:tcW w:w="1290" w:type="pct"/>
            <w:vMerge/>
            <w:vAlign w:val="center"/>
          </w:tcPr>
          <w:p w:rsidR="00EE4502" w:rsidRDefault="00EE4502">
            <w:pPr>
              <w:pStyle w:val="affffffffff"/>
              <w:kinsoku/>
              <w:wordWrap/>
              <w:overflowPunct/>
              <w:adjustRightInd/>
              <w:spacing w:after="0" w:line="240" w:lineRule="auto"/>
              <w:ind w:left="0" w:firstLineChars="0" w:firstLine="0"/>
              <w:rPr>
                <w:rFonts w:hAnsi="宋体"/>
                <w:sz w:val="18"/>
                <w:szCs w:val="18"/>
              </w:rPr>
            </w:pPr>
          </w:p>
        </w:tc>
        <w:tc>
          <w:tcPr>
            <w:tcW w:w="1446" w:type="pct"/>
            <w:vMerge/>
            <w:vAlign w:val="center"/>
          </w:tcPr>
          <w:p w:rsidR="00EE4502" w:rsidRDefault="00EE4502">
            <w:pPr>
              <w:pStyle w:val="affffffffff"/>
              <w:kinsoku/>
              <w:wordWrap/>
              <w:overflowPunct/>
              <w:adjustRightInd/>
              <w:spacing w:after="0" w:line="240" w:lineRule="auto"/>
              <w:ind w:left="0" w:firstLineChars="0" w:firstLine="0"/>
              <w:rPr>
                <w:rFonts w:hAnsi="宋体"/>
                <w:sz w:val="18"/>
                <w:szCs w:val="18"/>
              </w:rPr>
            </w:pPr>
          </w:p>
        </w:tc>
      </w:tr>
      <w:tr w:rsidR="00EE4502">
        <w:trPr>
          <w:trHeight w:val="340"/>
        </w:trPr>
        <w:tc>
          <w:tcPr>
            <w:tcW w:w="359" w:type="pct"/>
            <w:vMerge/>
            <w:vAlign w:val="center"/>
          </w:tcPr>
          <w:p w:rsidR="00EE4502" w:rsidRDefault="00EE4502">
            <w:pPr>
              <w:pStyle w:val="affffffffff"/>
              <w:kinsoku/>
              <w:wordWrap/>
              <w:overflowPunct/>
              <w:adjustRightInd/>
              <w:spacing w:after="0" w:line="240" w:lineRule="auto"/>
              <w:ind w:left="0" w:firstLineChars="0" w:firstLine="0"/>
              <w:rPr>
                <w:sz w:val="18"/>
                <w:szCs w:val="18"/>
              </w:rPr>
            </w:pPr>
          </w:p>
        </w:tc>
        <w:tc>
          <w:tcPr>
            <w:tcW w:w="864" w:type="pct"/>
            <w:vAlign w:val="center"/>
          </w:tcPr>
          <w:p w:rsidR="00EE4502" w:rsidRDefault="00FD45A3">
            <w:pPr>
              <w:pStyle w:val="affffffffff"/>
              <w:kinsoku/>
              <w:wordWrap/>
              <w:overflowPunct/>
              <w:adjustRightInd/>
              <w:spacing w:after="0" w:line="240" w:lineRule="auto"/>
              <w:ind w:left="0" w:firstLineChars="0" w:firstLine="0"/>
              <w:rPr>
                <w:sz w:val="18"/>
                <w:szCs w:val="18"/>
              </w:rPr>
            </w:pPr>
            <w:r>
              <w:rPr>
                <w:sz w:val="18"/>
                <w:szCs w:val="18"/>
              </w:rPr>
              <w:t>废润滑油</w:t>
            </w:r>
          </w:p>
        </w:tc>
        <w:tc>
          <w:tcPr>
            <w:tcW w:w="1039" w:type="pct"/>
            <w:vAlign w:val="center"/>
          </w:tcPr>
          <w:p w:rsidR="00EE4502" w:rsidRDefault="00FD45A3">
            <w:pPr>
              <w:jc w:val="center"/>
              <w:rPr>
                <w:sz w:val="18"/>
                <w:szCs w:val="18"/>
              </w:rPr>
            </w:pPr>
            <w:r>
              <w:rPr>
                <w:rFonts w:hAnsi="宋体"/>
                <w:sz w:val="18"/>
                <w:szCs w:val="18"/>
              </w:rPr>
              <w:t>石油类等</w:t>
            </w:r>
          </w:p>
        </w:tc>
        <w:tc>
          <w:tcPr>
            <w:tcW w:w="1290" w:type="pct"/>
            <w:vAlign w:val="center"/>
          </w:tcPr>
          <w:p w:rsidR="00EE4502" w:rsidRDefault="00FD45A3">
            <w:pPr>
              <w:pStyle w:val="affffffffff"/>
              <w:kinsoku/>
              <w:wordWrap/>
              <w:overflowPunct/>
              <w:adjustRightInd/>
              <w:spacing w:after="0" w:line="240" w:lineRule="auto"/>
              <w:ind w:left="0" w:firstLineChars="0" w:firstLine="0"/>
              <w:rPr>
                <w:sz w:val="18"/>
                <w:szCs w:val="18"/>
              </w:rPr>
            </w:pPr>
            <w:r>
              <w:rPr>
                <w:rFonts w:hint="eastAsia"/>
                <w:sz w:val="18"/>
                <w:szCs w:val="18"/>
              </w:rPr>
              <w:t>送至</w:t>
            </w:r>
            <w:r>
              <w:rPr>
                <w:rFonts w:hint="eastAsia"/>
                <w:sz w:val="18"/>
                <w:szCs w:val="18"/>
              </w:rPr>
              <w:t>联合站综合利用</w:t>
            </w:r>
          </w:p>
        </w:tc>
        <w:tc>
          <w:tcPr>
            <w:tcW w:w="1446" w:type="pct"/>
            <w:vAlign w:val="center"/>
          </w:tcPr>
          <w:p w:rsidR="00EE4502" w:rsidRDefault="00FD45A3">
            <w:pPr>
              <w:pStyle w:val="affffffffff"/>
              <w:kinsoku/>
              <w:wordWrap/>
              <w:overflowPunct/>
              <w:adjustRightInd/>
              <w:spacing w:after="0" w:line="240" w:lineRule="auto"/>
              <w:ind w:left="0" w:firstLineChars="0" w:firstLine="0"/>
              <w:rPr>
                <w:sz w:val="18"/>
                <w:szCs w:val="18"/>
              </w:rPr>
            </w:pPr>
            <w:r>
              <w:rPr>
                <w:rFonts w:hAnsi="宋体"/>
                <w:sz w:val="18"/>
                <w:szCs w:val="18"/>
              </w:rPr>
              <w:t>防止污染土壤</w:t>
            </w:r>
          </w:p>
        </w:tc>
      </w:tr>
      <w:tr w:rsidR="00EE4502">
        <w:trPr>
          <w:trHeight w:val="340"/>
        </w:trPr>
        <w:tc>
          <w:tcPr>
            <w:tcW w:w="359" w:type="pct"/>
            <w:vMerge/>
            <w:vAlign w:val="center"/>
          </w:tcPr>
          <w:p w:rsidR="00EE4502" w:rsidRDefault="00EE4502">
            <w:pPr>
              <w:pStyle w:val="affffffffff"/>
              <w:kinsoku/>
              <w:wordWrap/>
              <w:overflowPunct/>
              <w:adjustRightInd/>
              <w:spacing w:after="0" w:line="240" w:lineRule="auto"/>
              <w:ind w:left="0" w:firstLineChars="0" w:firstLine="0"/>
              <w:rPr>
                <w:sz w:val="18"/>
                <w:szCs w:val="18"/>
              </w:rPr>
            </w:pPr>
          </w:p>
        </w:tc>
        <w:tc>
          <w:tcPr>
            <w:tcW w:w="864" w:type="pct"/>
            <w:vAlign w:val="center"/>
          </w:tcPr>
          <w:p w:rsidR="00EE4502" w:rsidRDefault="00FD45A3">
            <w:pPr>
              <w:pStyle w:val="affffffffff"/>
              <w:kinsoku/>
              <w:wordWrap/>
              <w:overflowPunct/>
              <w:adjustRightInd/>
              <w:spacing w:after="0" w:line="240" w:lineRule="auto"/>
              <w:ind w:left="0" w:firstLineChars="0" w:firstLine="0"/>
              <w:rPr>
                <w:sz w:val="18"/>
                <w:szCs w:val="18"/>
              </w:rPr>
            </w:pPr>
            <w:r>
              <w:rPr>
                <w:rFonts w:hAnsi="宋体"/>
                <w:sz w:val="18"/>
                <w:szCs w:val="18"/>
              </w:rPr>
              <w:t>生态破坏</w:t>
            </w:r>
          </w:p>
        </w:tc>
        <w:tc>
          <w:tcPr>
            <w:tcW w:w="1039" w:type="pct"/>
            <w:vAlign w:val="center"/>
          </w:tcPr>
          <w:p w:rsidR="00EE4502" w:rsidRDefault="00FD45A3">
            <w:pPr>
              <w:pStyle w:val="affffffffff"/>
              <w:kinsoku/>
              <w:wordWrap/>
              <w:overflowPunct/>
              <w:adjustRightInd/>
              <w:spacing w:after="0" w:line="240" w:lineRule="auto"/>
              <w:ind w:left="0" w:firstLineChars="0" w:firstLine="0"/>
              <w:rPr>
                <w:sz w:val="18"/>
                <w:szCs w:val="18"/>
              </w:rPr>
            </w:pPr>
            <w:r>
              <w:rPr>
                <w:rFonts w:hint="eastAsia"/>
                <w:sz w:val="18"/>
                <w:szCs w:val="18"/>
              </w:rPr>
              <w:t>水土流失</w:t>
            </w:r>
          </w:p>
        </w:tc>
        <w:tc>
          <w:tcPr>
            <w:tcW w:w="1290" w:type="pct"/>
            <w:vAlign w:val="center"/>
          </w:tcPr>
          <w:p w:rsidR="00EE4502" w:rsidRDefault="00FD45A3">
            <w:pPr>
              <w:pStyle w:val="affffffffff"/>
              <w:kinsoku/>
              <w:wordWrap/>
              <w:overflowPunct/>
              <w:adjustRightInd/>
              <w:spacing w:after="0" w:line="240" w:lineRule="auto"/>
              <w:ind w:left="0" w:firstLineChars="0" w:firstLine="0"/>
              <w:rPr>
                <w:sz w:val="18"/>
                <w:szCs w:val="18"/>
              </w:rPr>
            </w:pPr>
            <w:r>
              <w:rPr>
                <w:rFonts w:hAnsi="宋体"/>
                <w:sz w:val="18"/>
                <w:szCs w:val="18"/>
              </w:rPr>
              <w:t>水土保持</w:t>
            </w:r>
          </w:p>
        </w:tc>
        <w:tc>
          <w:tcPr>
            <w:tcW w:w="1446" w:type="pct"/>
            <w:vAlign w:val="center"/>
          </w:tcPr>
          <w:p w:rsidR="00EE4502" w:rsidRDefault="00FD45A3">
            <w:pPr>
              <w:pStyle w:val="affffffffff"/>
              <w:kinsoku/>
              <w:wordWrap/>
              <w:overflowPunct/>
              <w:adjustRightInd/>
              <w:spacing w:after="0" w:line="240" w:lineRule="auto"/>
              <w:ind w:left="0" w:firstLineChars="0" w:firstLine="0"/>
              <w:rPr>
                <w:sz w:val="18"/>
                <w:szCs w:val="18"/>
              </w:rPr>
            </w:pPr>
            <w:r>
              <w:rPr>
                <w:rFonts w:hAnsi="宋体"/>
                <w:sz w:val="18"/>
                <w:szCs w:val="18"/>
              </w:rPr>
              <w:t>降低土壤风蚀</w:t>
            </w:r>
          </w:p>
        </w:tc>
      </w:tr>
      <w:tr w:rsidR="00EE4502">
        <w:trPr>
          <w:trHeight w:val="340"/>
        </w:trPr>
        <w:tc>
          <w:tcPr>
            <w:tcW w:w="359" w:type="pct"/>
            <w:vMerge w:val="restart"/>
            <w:vAlign w:val="center"/>
          </w:tcPr>
          <w:p w:rsidR="00EE4502" w:rsidRDefault="00FD45A3">
            <w:pPr>
              <w:pStyle w:val="affffffffff"/>
              <w:kinsoku/>
              <w:wordWrap/>
              <w:overflowPunct/>
              <w:adjustRightInd/>
              <w:spacing w:after="0" w:line="240" w:lineRule="auto"/>
              <w:ind w:left="0" w:firstLineChars="0" w:firstLine="0"/>
              <w:rPr>
                <w:sz w:val="18"/>
                <w:szCs w:val="18"/>
              </w:rPr>
            </w:pPr>
            <w:r>
              <w:rPr>
                <w:rFonts w:hAnsi="宋体" w:hint="eastAsia"/>
                <w:sz w:val="18"/>
                <w:szCs w:val="18"/>
              </w:rPr>
              <w:t>退役期</w:t>
            </w:r>
          </w:p>
        </w:tc>
        <w:tc>
          <w:tcPr>
            <w:tcW w:w="864" w:type="pct"/>
            <w:vMerge w:val="restart"/>
            <w:vAlign w:val="center"/>
          </w:tcPr>
          <w:p w:rsidR="00EE4502" w:rsidRDefault="00FD45A3">
            <w:pPr>
              <w:pStyle w:val="affffffffff"/>
              <w:kinsoku/>
              <w:wordWrap/>
              <w:overflowPunct/>
              <w:adjustRightInd/>
              <w:spacing w:after="0" w:line="240" w:lineRule="auto"/>
              <w:ind w:left="0" w:firstLineChars="0" w:firstLine="0"/>
              <w:rPr>
                <w:sz w:val="18"/>
                <w:szCs w:val="18"/>
              </w:rPr>
            </w:pPr>
            <w:r>
              <w:rPr>
                <w:rFonts w:hAnsi="宋体"/>
                <w:sz w:val="18"/>
                <w:szCs w:val="18"/>
              </w:rPr>
              <w:t>井架拆除</w:t>
            </w:r>
          </w:p>
        </w:tc>
        <w:tc>
          <w:tcPr>
            <w:tcW w:w="1039" w:type="pct"/>
            <w:vAlign w:val="center"/>
          </w:tcPr>
          <w:p w:rsidR="00EE4502" w:rsidRDefault="00FD45A3">
            <w:pPr>
              <w:pStyle w:val="affffffffff"/>
              <w:kinsoku/>
              <w:wordWrap/>
              <w:overflowPunct/>
              <w:adjustRightInd/>
              <w:spacing w:after="0" w:line="240" w:lineRule="auto"/>
              <w:ind w:left="0" w:firstLineChars="0" w:firstLine="0"/>
              <w:rPr>
                <w:sz w:val="18"/>
                <w:szCs w:val="18"/>
              </w:rPr>
            </w:pPr>
            <w:r>
              <w:rPr>
                <w:rFonts w:hAnsi="宋体"/>
                <w:sz w:val="18"/>
                <w:szCs w:val="18"/>
              </w:rPr>
              <w:t>施工扬尘</w:t>
            </w:r>
          </w:p>
        </w:tc>
        <w:tc>
          <w:tcPr>
            <w:tcW w:w="1290" w:type="pct"/>
            <w:vAlign w:val="center"/>
          </w:tcPr>
          <w:p w:rsidR="00EE4502" w:rsidRDefault="00FD45A3">
            <w:pPr>
              <w:pStyle w:val="affffffffff"/>
              <w:kinsoku/>
              <w:wordWrap/>
              <w:overflowPunct/>
              <w:adjustRightInd/>
              <w:spacing w:after="0" w:line="240" w:lineRule="auto"/>
              <w:ind w:left="0" w:firstLineChars="0" w:firstLine="0"/>
              <w:rPr>
                <w:sz w:val="18"/>
                <w:szCs w:val="18"/>
              </w:rPr>
            </w:pPr>
            <w:r>
              <w:rPr>
                <w:rFonts w:hAnsi="宋体"/>
                <w:sz w:val="18"/>
                <w:szCs w:val="18"/>
              </w:rPr>
              <w:t>洒水降尘</w:t>
            </w:r>
          </w:p>
        </w:tc>
        <w:tc>
          <w:tcPr>
            <w:tcW w:w="1446" w:type="pct"/>
            <w:vAlign w:val="center"/>
          </w:tcPr>
          <w:p w:rsidR="00EE4502" w:rsidRDefault="00FD45A3">
            <w:pPr>
              <w:pStyle w:val="affffffffff"/>
              <w:kinsoku/>
              <w:wordWrap/>
              <w:overflowPunct/>
              <w:adjustRightInd/>
              <w:spacing w:after="0" w:line="240" w:lineRule="auto"/>
              <w:ind w:left="0" w:firstLineChars="0" w:firstLine="0"/>
              <w:rPr>
                <w:sz w:val="18"/>
                <w:szCs w:val="18"/>
              </w:rPr>
            </w:pPr>
            <w:r>
              <w:rPr>
                <w:rFonts w:hAnsi="宋体"/>
                <w:bCs/>
                <w:sz w:val="18"/>
                <w:szCs w:val="18"/>
              </w:rPr>
              <w:t>《大气污染物综合排放标准》相关要求</w:t>
            </w:r>
          </w:p>
        </w:tc>
      </w:tr>
      <w:tr w:rsidR="00EE4502">
        <w:trPr>
          <w:trHeight w:val="340"/>
        </w:trPr>
        <w:tc>
          <w:tcPr>
            <w:tcW w:w="359" w:type="pct"/>
            <w:vMerge/>
            <w:vAlign w:val="center"/>
          </w:tcPr>
          <w:p w:rsidR="00EE4502" w:rsidRDefault="00EE4502">
            <w:pPr>
              <w:pStyle w:val="affffffffff"/>
              <w:kinsoku/>
              <w:wordWrap/>
              <w:overflowPunct/>
              <w:adjustRightInd/>
              <w:spacing w:after="0" w:line="240" w:lineRule="auto"/>
              <w:ind w:left="0" w:firstLineChars="0" w:firstLine="0"/>
              <w:rPr>
                <w:rFonts w:hAnsi="宋体"/>
                <w:sz w:val="18"/>
                <w:szCs w:val="18"/>
              </w:rPr>
            </w:pPr>
          </w:p>
        </w:tc>
        <w:tc>
          <w:tcPr>
            <w:tcW w:w="864" w:type="pct"/>
            <w:vMerge/>
            <w:vAlign w:val="center"/>
          </w:tcPr>
          <w:p w:rsidR="00EE4502" w:rsidRDefault="00EE4502">
            <w:pPr>
              <w:pStyle w:val="affffffffff"/>
              <w:kinsoku/>
              <w:wordWrap/>
              <w:overflowPunct/>
              <w:adjustRightInd/>
              <w:spacing w:after="0" w:line="240" w:lineRule="auto"/>
              <w:ind w:left="0" w:firstLineChars="0" w:firstLine="0"/>
              <w:rPr>
                <w:rFonts w:hAnsi="宋体"/>
                <w:sz w:val="18"/>
                <w:szCs w:val="18"/>
              </w:rPr>
            </w:pPr>
          </w:p>
        </w:tc>
        <w:tc>
          <w:tcPr>
            <w:tcW w:w="1039" w:type="pct"/>
            <w:vAlign w:val="center"/>
          </w:tcPr>
          <w:p w:rsidR="00EE4502" w:rsidRDefault="00FD45A3">
            <w:pPr>
              <w:pStyle w:val="affffffffff"/>
              <w:kinsoku/>
              <w:wordWrap/>
              <w:overflowPunct/>
              <w:adjustRightInd/>
              <w:spacing w:after="0" w:line="240" w:lineRule="auto"/>
              <w:ind w:left="0" w:firstLineChars="0" w:firstLine="0"/>
              <w:rPr>
                <w:sz w:val="18"/>
                <w:szCs w:val="18"/>
              </w:rPr>
            </w:pPr>
            <w:r>
              <w:rPr>
                <w:rFonts w:hAnsi="宋体"/>
                <w:sz w:val="18"/>
                <w:szCs w:val="18"/>
              </w:rPr>
              <w:t>固体废物</w:t>
            </w:r>
          </w:p>
        </w:tc>
        <w:tc>
          <w:tcPr>
            <w:tcW w:w="1290" w:type="pct"/>
            <w:vAlign w:val="center"/>
          </w:tcPr>
          <w:p w:rsidR="00EE4502" w:rsidRDefault="00FD45A3">
            <w:pPr>
              <w:pStyle w:val="affffffffff"/>
              <w:kinsoku/>
              <w:wordWrap/>
              <w:overflowPunct/>
              <w:adjustRightInd/>
              <w:spacing w:after="0" w:line="240" w:lineRule="auto"/>
              <w:ind w:left="0" w:firstLineChars="0" w:firstLine="0"/>
              <w:rPr>
                <w:sz w:val="18"/>
                <w:szCs w:val="18"/>
              </w:rPr>
            </w:pPr>
            <w:r>
              <w:rPr>
                <w:rFonts w:hAnsi="宋体"/>
                <w:sz w:val="18"/>
                <w:szCs w:val="18"/>
              </w:rPr>
              <w:t>重复利用</w:t>
            </w:r>
          </w:p>
        </w:tc>
        <w:tc>
          <w:tcPr>
            <w:tcW w:w="1446" w:type="pct"/>
            <w:vAlign w:val="center"/>
          </w:tcPr>
          <w:p w:rsidR="00EE4502" w:rsidRDefault="00FD45A3">
            <w:pPr>
              <w:pStyle w:val="affffffffff"/>
              <w:kinsoku/>
              <w:wordWrap/>
              <w:overflowPunct/>
              <w:adjustRightInd/>
              <w:spacing w:after="0" w:line="240" w:lineRule="auto"/>
              <w:ind w:left="0" w:firstLineChars="0" w:firstLine="0"/>
              <w:rPr>
                <w:sz w:val="18"/>
                <w:szCs w:val="18"/>
              </w:rPr>
            </w:pPr>
            <w:r>
              <w:rPr>
                <w:rFonts w:hAnsi="宋体"/>
                <w:sz w:val="18"/>
                <w:szCs w:val="18"/>
              </w:rPr>
              <w:t>避免二次污染</w:t>
            </w:r>
          </w:p>
        </w:tc>
      </w:tr>
      <w:tr w:rsidR="00EE4502">
        <w:trPr>
          <w:trHeight w:val="340"/>
        </w:trPr>
        <w:tc>
          <w:tcPr>
            <w:tcW w:w="359" w:type="pct"/>
            <w:vMerge/>
            <w:vAlign w:val="center"/>
          </w:tcPr>
          <w:p w:rsidR="00EE4502" w:rsidRDefault="00EE4502">
            <w:pPr>
              <w:pStyle w:val="affffffffff"/>
              <w:kinsoku/>
              <w:wordWrap/>
              <w:overflowPunct/>
              <w:adjustRightInd/>
              <w:spacing w:after="0" w:line="240" w:lineRule="auto"/>
              <w:ind w:left="0" w:firstLineChars="0" w:firstLine="0"/>
              <w:rPr>
                <w:sz w:val="18"/>
                <w:szCs w:val="18"/>
              </w:rPr>
            </w:pPr>
          </w:p>
        </w:tc>
        <w:tc>
          <w:tcPr>
            <w:tcW w:w="864" w:type="pct"/>
            <w:vMerge/>
            <w:vAlign w:val="center"/>
          </w:tcPr>
          <w:p w:rsidR="00EE4502" w:rsidRDefault="00EE4502">
            <w:pPr>
              <w:pStyle w:val="affffffffff"/>
              <w:kinsoku/>
              <w:wordWrap/>
              <w:overflowPunct/>
              <w:adjustRightInd/>
              <w:spacing w:after="0" w:line="240" w:lineRule="auto"/>
              <w:ind w:left="0" w:firstLineChars="0" w:firstLine="0"/>
              <w:rPr>
                <w:sz w:val="18"/>
                <w:szCs w:val="18"/>
              </w:rPr>
            </w:pPr>
          </w:p>
        </w:tc>
        <w:tc>
          <w:tcPr>
            <w:tcW w:w="1039" w:type="pct"/>
            <w:vAlign w:val="center"/>
          </w:tcPr>
          <w:p w:rsidR="00EE4502" w:rsidRDefault="00FD45A3">
            <w:pPr>
              <w:pStyle w:val="affffffffff"/>
              <w:kinsoku/>
              <w:wordWrap/>
              <w:overflowPunct/>
              <w:adjustRightInd/>
              <w:spacing w:after="0" w:line="240" w:lineRule="auto"/>
              <w:ind w:left="0" w:firstLineChars="0" w:firstLine="0"/>
              <w:rPr>
                <w:sz w:val="18"/>
                <w:szCs w:val="18"/>
              </w:rPr>
            </w:pPr>
            <w:r>
              <w:rPr>
                <w:rFonts w:hint="eastAsia"/>
                <w:sz w:val="18"/>
                <w:szCs w:val="18"/>
              </w:rPr>
              <w:t>生态环境</w:t>
            </w:r>
          </w:p>
        </w:tc>
        <w:tc>
          <w:tcPr>
            <w:tcW w:w="1290" w:type="pct"/>
            <w:vAlign w:val="center"/>
          </w:tcPr>
          <w:p w:rsidR="00EE4502" w:rsidRDefault="00FD45A3">
            <w:pPr>
              <w:pStyle w:val="affffffffff"/>
              <w:kinsoku/>
              <w:wordWrap/>
              <w:overflowPunct/>
              <w:adjustRightInd/>
              <w:spacing w:after="0" w:line="240" w:lineRule="auto"/>
              <w:ind w:left="0" w:firstLineChars="0" w:firstLine="0"/>
              <w:rPr>
                <w:sz w:val="18"/>
                <w:szCs w:val="18"/>
              </w:rPr>
            </w:pPr>
            <w:r>
              <w:rPr>
                <w:rFonts w:hint="eastAsia"/>
                <w:sz w:val="18"/>
                <w:szCs w:val="18"/>
              </w:rPr>
              <w:t>生态环境恢复原有地貌</w:t>
            </w:r>
          </w:p>
        </w:tc>
        <w:tc>
          <w:tcPr>
            <w:tcW w:w="1446" w:type="pct"/>
            <w:vAlign w:val="center"/>
          </w:tcPr>
          <w:p w:rsidR="00EE4502" w:rsidRDefault="00FD45A3">
            <w:pPr>
              <w:pStyle w:val="affffffffff"/>
              <w:kinsoku/>
              <w:wordWrap/>
              <w:overflowPunct/>
              <w:adjustRightInd/>
              <w:spacing w:after="0" w:line="240" w:lineRule="auto"/>
              <w:ind w:left="0" w:firstLineChars="0" w:firstLine="0"/>
              <w:rPr>
                <w:sz w:val="18"/>
                <w:szCs w:val="18"/>
              </w:rPr>
            </w:pPr>
            <w:r>
              <w:rPr>
                <w:rFonts w:hint="eastAsia"/>
                <w:sz w:val="18"/>
                <w:szCs w:val="18"/>
              </w:rPr>
              <w:t>生态环境恢复原有地貌</w:t>
            </w:r>
          </w:p>
        </w:tc>
      </w:tr>
    </w:tbl>
    <w:p w:rsidR="00EE4502" w:rsidRDefault="00FD45A3">
      <w:pPr>
        <w:pStyle w:val="33"/>
        <w:numPr>
          <w:ilvl w:val="2"/>
          <w:numId w:val="30"/>
        </w:numPr>
        <w:spacing w:line="360" w:lineRule="auto"/>
        <w:ind w:left="0" w:firstLine="0"/>
        <w:rPr>
          <w:spacing w:val="0"/>
          <w:sz w:val="24"/>
          <w:szCs w:val="24"/>
        </w:rPr>
      </w:pPr>
      <w:r>
        <w:rPr>
          <w:spacing w:val="0"/>
          <w:sz w:val="24"/>
          <w:szCs w:val="24"/>
        </w:rPr>
        <w:t>环境保护目标</w:t>
      </w:r>
    </w:p>
    <w:p w:rsidR="00EE4502" w:rsidRDefault="00FD45A3">
      <w:pPr>
        <w:pStyle w:val="affc"/>
        <w:spacing w:line="360" w:lineRule="auto"/>
        <w:ind w:firstLine="480"/>
        <w:rPr>
          <w:rFonts w:ascii="Times New Roman" w:hAnsi="Times New Roman"/>
          <w:spacing w:val="0"/>
          <w:sz w:val="24"/>
        </w:rPr>
      </w:pPr>
      <w:r>
        <w:rPr>
          <w:rFonts w:ascii="Times New Roman" w:hAnsi="Times New Roman" w:hint="eastAsia"/>
          <w:spacing w:val="0"/>
          <w:sz w:val="24"/>
        </w:rPr>
        <w:t>本工程</w:t>
      </w:r>
      <w:r>
        <w:rPr>
          <w:rFonts w:ascii="Times New Roman" w:hAnsi="Times New Roman"/>
          <w:spacing w:val="0"/>
          <w:sz w:val="24"/>
        </w:rPr>
        <w:t>评价范围内不涉及自然保护区、风景名胜区、文物保护区等环境敏感区域。现场踏勘可知，</w:t>
      </w:r>
      <w:r>
        <w:rPr>
          <w:rFonts w:ascii="Times New Roman" w:hAnsi="Times New Roman" w:hint="eastAsia"/>
          <w:spacing w:val="0"/>
          <w:sz w:val="24"/>
        </w:rPr>
        <w:t>本工程</w:t>
      </w:r>
      <w:r>
        <w:rPr>
          <w:rFonts w:ascii="Times New Roman" w:hAnsi="Times New Roman" w:hint="eastAsia"/>
          <w:spacing w:val="0"/>
          <w:sz w:val="24"/>
        </w:rPr>
        <w:t>评价范围内</w:t>
      </w:r>
      <w:r>
        <w:rPr>
          <w:rFonts w:ascii="Times New Roman" w:hAnsi="Times New Roman"/>
          <w:spacing w:val="0"/>
          <w:sz w:val="24"/>
        </w:rPr>
        <w:t>分布有</w:t>
      </w:r>
      <w:r>
        <w:rPr>
          <w:rFonts w:ascii="Times New Roman" w:hAnsi="Times New Roman" w:hint="eastAsia"/>
          <w:spacing w:val="0"/>
          <w:sz w:val="24"/>
        </w:rPr>
        <w:t>公益林</w:t>
      </w:r>
      <w:r>
        <w:rPr>
          <w:rFonts w:ascii="Times New Roman" w:hAnsi="Times New Roman"/>
          <w:spacing w:val="0"/>
          <w:sz w:val="24"/>
        </w:rPr>
        <w:t>。</w:t>
      </w:r>
    </w:p>
    <w:p w:rsidR="00EE4502" w:rsidRDefault="00FD45A3">
      <w:pPr>
        <w:pStyle w:val="affc"/>
        <w:spacing w:line="360" w:lineRule="auto"/>
        <w:ind w:firstLine="480"/>
        <w:rPr>
          <w:rFonts w:ascii="Times New Roman" w:hAnsi="Times New Roman"/>
          <w:spacing w:val="0"/>
          <w:sz w:val="24"/>
        </w:rPr>
      </w:pPr>
      <w:r>
        <w:rPr>
          <w:rFonts w:ascii="Times New Roman" w:hAnsi="Times New Roman"/>
          <w:spacing w:val="0"/>
          <w:sz w:val="24"/>
        </w:rPr>
        <w:t>在油田开发过程中，需特别注意对开发区块</w:t>
      </w:r>
      <w:r>
        <w:rPr>
          <w:rFonts w:ascii="Times New Roman" w:hAnsi="Times New Roman" w:hint="eastAsia"/>
          <w:spacing w:val="0"/>
          <w:sz w:val="24"/>
        </w:rPr>
        <w:t>周边</w:t>
      </w:r>
      <w:r>
        <w:rPr>
          <w:rFonts w:hint="eastAsia"/>
          <w:sz w:val="24"/>
        </w:rPr>
        <w:t>公益林</w:t>
      </w:r>
      <w:r>
        <w:rPr>
          <w:rFonts w:ascii="Times New Roman" w:hAnsi="Times New Roman"/>
          <w:spacing w:val="0"/>
          <w:sz w:val="24"/>
        </w:rPr>
        <w:t>的保护。</w:t>
      </w:r>
      <w:r>
        <w:rPr>
          <w:rFonts w:ascii="Times New Roman" w:hAnsi="Times New Roman" w:hint="eastAsia"/>
          <w:spacing w:val="0"/>
          <w:sz w:val="24"/>
        </w:rPr>
        <w:t>工程区</w:t>
      </w:r>
      <w:r>
        <w:rPr>
          <w:rFonts w:ascii="Times New Roman" w:hAnsi="Times New Roman"/>
          <w:spacing w:val="0"/>
          <w:sz w:val="24"/>
        </w:rPr>
        <w:t>环境敏感目标见表</w:t>
      </w:r>
      <w:r>
        <w:rPr>
          <w:rFonts w:ascii="Times New Roman" w:hAnsi="Times New Roman" w:hint="eastAsia"/>
          <w:spacing w:val="0"/>
          <w:sz w:val="24"/>
        </w:rPr>
        <w:t>2-</w:t>
      </w:r>
      <w:r>
        <w:rPr>
          <w:rFonts w:ascii="Times New Roman" w:hAnsi="Times New Roman" w:hint="eastAsia"/>
          <w:spacing w:val="0"/>
          <w:sz w:val="24"/>
        </w:rPr>
        <w:t>6</w:t>
      </w:r>
      <w:r>
        <w:rPr>
          <w:rFonts w:ascii="Times New Roman" w:hAnsi="Times New Roman"/>
          <w:spacing w:val="0"/>
          <w:sz w:val="24"/>
        </w:rPr>
        <w:t>-2</w:t>
      </w:r>
      <w:r>
        <w:rPr>
          <w:rFonts w:ascii="Times New Roman" w:hAnsi="Times New Roman"/>
          <w:spacing w:val="0"/>
          <w:sz w:val="24"/>
        </w:rPr>
        <w:t>。</w:t>
      </w:r>
      <w:r>
        <w:rPr>
          <w:rFonts w:ascii="Times New Roman" w:hAnsi="Times New Roman" w:hint="eastAsia"/>
          <w:spacing w:val="0"/>
          <w:sz w:val="24"/>
        </w:rPr>
        <w:t>工程区</w:t>
      </w:r>
      <w:r>
        <w:rPr>
          <w:rFonts w:ascii="Times New Roman" w:hAnsi="Times New Roman"/>
          <w:spacing w:val="0"/>
          <w:sz w:val="24"/>
        </w:rPr>
        <w:t>环境敏感点分布示意见图</w:t>
      </w:r>
      <w:r>
        <w:rPr>
          <w:rFonts w:ascii="Times New Roman" w:hAnsi="Times New Roman"/>
          <w:spacing w:val="0"/>
          <w:sz w:val="24"/>
        </w:rPr>
        <w:t>2</w:t>
      </w:r>
      <w:r>
        <w:rPr>
          <w:rFonts w:ascii="Times New Roman" w:hAnsi="Times New Roman" w:hint="eastAsia"/>
          <w:spacing w:val="0"/>
          <w:sz w:val="24"/>
        </w:rPr>
        <w:t>-</w:t>
      </w:r>
      <w:r>
        <w:rPr>
          <w:rFonts w:ascii="Times New Roman" w:hAnsi="Times New Roman" w:hint="eastAsia"/>
          <w:spacing w:val="0"/>
          <w:sz w:val="24"/>
        </w:rPr>
        <w:t>6</w:t>
      </w:r>
      <w:r>
        <w:rPr>
          <w:rFonts w:ascii="Times New Roman" w:hAnsi="Times New Roman"/>
          <w:spacing w:val="0"/>
          <w:sz w:val="24"/>
        </w:rPr>
        <w:t>-1</w:t>
      </w:r>
      <w:r>
        <w:rPr>
          <w:rFonts w:ascii="Times New Roman" w:hAnsi="Times New Roman"/>
          <w:spacing w:val="0"/>
          <w:sz w:val="24"/>
        </w:rPr>
        <w:t>。</w:t>
      </w:r>
    </w:p>
    <w:p w:rsidR="00EE4502" w:rsidRDefault="00FD45A3">
      <w:pPr>
        <w:spacing w:line="360" w:lineRule="auto"/>
        <w:jc w:val="center"/>
        <w:rPr>
          <w:rFonts w:eastAsia="黑体"/>
          <w:bCs/>
          <w:lang w:val="zh-CN"/>
        </w:rPr>
      </w:pPr>
      <w:r>
        <w:rPr>
          <w:rFonts w:eastAsia="黑体"/>
          <w:bCs/>
          <w:lang w:val="zh-CN"/>
        </w:rPr>
        <w:t>表</w:t>
      </w:r>
      <w:r>
        <w:rPr>
          <w:rFonts w:eastAsia="黑体"/>
          <w:bCs/>
          <w:lang w:val="zh-CN"/>
        </w:rPr>
        <w:t>2</w:t>
      </w:r>
      <w:r>
        <w:rPr>
          <w:rFonts w:eastAsia="黑体" w:hint="eastAsia"/>
          <w:bCs/>
        </w:rPr>
        <w:t>-</w:t>
      </w:r>
      <w:r>
        <w:rPr>
          <w:rFonts w:eastAsia="黑体" w:hint="eastAsia"/>
          <w:bCs/>
        </w:rPr>
        <w:t>6</w:t>
      </w:r>
      <w:r>
        <w:rPr>
          <w:rFonts w:eastAsia="黑体"/>
          <w:bCs/>
          <w:lang w:val="zh-CN"/>
        </w:rPr>
        <w:t>-2</w:t>
      </w:r>
      <w:r>
        <w:rPr>
          <w:rFonts w:eastAsia="黑体" w:hint="eastAsia"/>
          <w:bCs/>
          <w:lang w:val="zh-CN"/>
        </w:rPr>
        <w:t xml:space="preserve">  </w:t>
      </w:r>
      <w:r>
        <w:rPr>
          <w:rFonts w:eastAsia="黑体" w:hint="eastAsia"/>
          <w:bCs/>
          <w:lang w:val="zh-CN"/>
        </w:rPr>
        <w:t>春风油田石炭系排</w:t>
      </w:r>
      <w:r>
        <w:rPr>
          <w:rFonts w:eastAsia="黑体" w:hint="eastAsia"/>
          <w:bCs/>
          <w:lang w:val="zh-CN"/>
        </w:rPr>
        <w:t>61</w:t>
      </w:r>
      <w:r>
        <w:rPr>
          <w:rFonts w:eastAsia="黑体" w:hint="eastAsia"/>
          <w:bCs/>
          <w:lang w:val="zh-CN"/>
        </w:rPr>
        <w:t>块产能建设工程</w:t>
      </w:r>
      <w:r>
        <w:rPr>
          <w:rFonts w:eastAsia="黑体"/>
          <w:bCs/>
          <w:lang w:val="zh-CN"/>
        </w:rPr>
        <w:t>环境敏感目标</w:t>
      </w:r>
    </w:p>
    <w:tbl>
      <w:tblPr>
        <w:tblW w:w="4997" w:type="pct"/>
        <w:jc w:val="center"/>
        <w:tblBorders>
          <w:top w:val="single" w:sz="8" w:space="0" w:color="auto"/>
          <w:bottom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90"/>
        <w:gridCol w:w="832"/>
        <w:gridCol w:w="1086"/>
        <w:gridCol w:w="1795"/>
        <w:gridCol w:w="3998"/>
      </w:tblGrid>
      <w:tr w:rsidR="00EE4502">
        <w:trPr>
          <w:trHeight w:val="340"/>
          <w:jc w:val="center"/>
        </w:trPr>
        <w:tc>
          <w:tcPr>
            <w:tcW w:w="355" w:type="pct"/>
            <w:vAlign w:val="center"/>
          </w:tcPr>
          <w:p w:rsidR="00EE4502" w:rsidRDefault="00FD45A3">
            <w:pPr>
              <w:pStyle w:val="aff8"/>
              <w:rPr>
                <w:rFonts w:eastAsia="宋体"/>
                <w:color w:val="auto"/>
                <w:spacing w:val="0"/>
                <w:szCs w:val="21"/>
              </w:rPr>
            </w:pPr>
            <w:r>
              <w:rPr>
                <w:rFonts w:eastAsia="宋体" w:hAnsi="宋体"/>
                <w:color w:val="auto"/>
                <w:spacing w:val="0"/>
                <w:szCs w:val="21"/>
              </w:rPr>
              <w:t>序号</w:t>
            </w:r>
          </w:p>
        </w:tc>
        <w:tc>
          <w:tcPr>
            <w:tcW w:w="501" w:type="pct"/>
            <w:vAlign w:val="center"/>
          </w:tcPr>
          <w:p w:rsidR="00EE4502" w:rsidRDefault="00FD45A3">
            <w:pPr>
              <w:pStyle w:val="aff8"/>
              <w:rPr>
                <w:rFonts w:eastAsia="宋体"/>
                <w:color w:val="auto"/>
                <w:spacing w:val="0"/>
                <w:szCs w:val="21"/>
              </w:rPr>
            </w:pPr>
            <w:r>
              <w:rPr>
                <w:rFonts w:eastAsia="宋体" w:hAnsi="宋体"/>
                <w:color w:val="auto"/>
                <w:spacing w:val="0"/>
                <w:szCs w:val="21"/>
              </w:rPr>
              <w:t>环境要素</w:t>
            </w:r>
          </w:p>
        </w:tc>
        <w:tc>
          <w:tcPr>
            <w:tcW w:w="654" w:type="pct"/>
            <w:vAlign w:val="center"/>
          </w:tcPr>
          <w:p w:rsidR="00EE4502" w:rsidRDefault="00FD45A3">
            <w:pPr>
              <w:pStyle w:val="aff8"/>
              <w:rPr>
                <w:rFonts w:eastAsia="宋体"/>
                <w:color w:val="auto"/>
                <w:spacing w:val="0"/>
                <w:szCs w:val="21"/>
              </w:rPr>
            </w:pPr>
            <w:r>
              <w:rPr>
                <w:rFonts w:eastAsia="宋体" w:hAnsi="宋体"/>
                <w:color w:val="auto"/>
                <w:spacing w:val="0"/>
                <w:szCs w:val="21"/>
              </w:rPr>
              <w:t>环境保护</w:t>
            </w:r>
          </w:p>
          <w:p w:rsidR="00EE4502" w:rsidRDefault="00FD45A3">
            <w:pPr>
              <w:pStyle w:val="aff8"/>
              <w:rPr>
                <w:rFonts w:eastAsia="宋体"/>
                <w:color w:val="auto"/>
                <w:spacing w:val="0"/>
                <w:szCs w:val="21"/>
              </w:rPr>
            </w:pPr>
            <w:r>
              <w:rPr>
                <w:rFonts w:eastAsia="宋体" w:hAnsi="宋体"/>
                <w:color w:val="auto"/>
                <w:spacing w:val="0"/>
                <w:szCs w:val="21"/>
              </w:rPr>
              <w:t>目标名称</w:t>
            </w:r>
          </w:p>
        </w:tc>
        <w:tc>
          <w:tcPr>
            <w:tcW w:w="1081" w:type="pct"/>
            <w:vAlign w:val="center"/>
          </w:tcPr>
          <w:p w:rsidR="00EE4502" w:rsidRDefault="00FD45A3">
            <w:pPr>
              <w:pStyle w:val="aff8"/>
              <w:rPr>
                <w:rFonts w:eastAsia="宋体"/>
                <w:color w:val="auto"/>
                <w:spacing w:val="0"/>
                <w:szCs w:val="21"/>
              </w:rPr>
            </w:pPr>
            <w:r>
              <w:rPr>
                <w:rFonts w:eastAsia="宋体" w:hAnsi="宋体"/>
                <w:color w:val="auto"/>
                <w:spacing w:val="0"/>
                <w:szCs w:val="21"/>
              </w:rPr>
              <w:t>与本工程位置关系</w:t>
            </w:r>
          </w:p>
        </w:tc>
        <w:tc>
          <w:tcPr>
            <w:tcW w:w="2408" w:type="pct"/>
            <w:vAlign w:val="center"/>
          </w:tcPr>
          <w:p w:rsidR="00EE4502" w:rsidRDefault="00FD45A3">
            <w:pPr>
              <w:pStyle w:val="aff8"/>
              <w:rPr>
                <w:rFonts w:eastAsia="宋体"/>
                <w:color w:val="auto"/>
                <w:spacing w:val="0"/>
                <w:szCs w:val="21"/>
              </w:rPr>
            </w:pPr>
            <w:r>
              <w:rPr>
                <w:rFonts w:eastAsia="宋体" w:hAnsi="宋体"/>
                <w:color w:val="auto"/>
                <w:spacing w:val="0"/>
                <w:szCs w:val="21"/>
              </w:rPr>
              <w:t>环境保护要求</w:t>
            </w:r>
          </w:p>
        </w:tc>
      </w:tr>
      <w:tr w:rsidR="00EE4502">
        <w:trPr>
          <w:trHeight w:val="397"/>
          <w:jc w:val="center"/>
        </w:trPr>
        <w:tc>
          <w:tcPr>
            <w:tcW w:w="355" w:type="pct"/>
            <w:vAlign w:val="center"/>
          </w:tcPr>
          <w:p w:rsidR="00EE4502" w:rsidRDefault="00FD45A3">
            <w:pPr>
              <w:pStyle w:val="aff8"/>
              <w:rPr>
                <w:rFonts w:eastAsia="宋体"/>
                <w:color w:val="auto"/>
                <w:spacing w:val="0"/>
                <w:szCs w:val="21"/>
              </w:rPr>
            </w:pPr>
            <w:r>
              <w:rPr>
                <w:rFonts w:eastAsia="宋体"/>
                <w:color w:val="auto"/>
                <w:spacing w:val="0"/>
                <w:szCs w:val="21"/>
              </w:rPr>
              <w:t>1</w:t>
            </w:r>
          </w:p>
        </w:tc>
        <w:tc>
          <w:tcPr>
            <w:tcW w:w="501" w:type="pct"/>
            <w:vAlign w:val="center"/>
          </w:tcPr>
          <w:p w:rsidR="00EE4502" w:rsidRDefault="00FD45A3">
            <w:pPr>
              <w:pStyle w:val="aff8"/>
              <w:rPr>
                <w:rFonts w:eastAsia="宋体"/>
                <w:color w:val="auto"/>
                <w:spacing w:val="0"/>
                <w:szCs w:val="21"/>
              </w:rPr>
            </w:pPr>
            <w:r>
              <w:rPr>
                <w:rFonts w:eastAsia="宋体" w:hAnsi="宋体"/>
                <w:color w:val="auto"/>
                <w:spacing w:val="0"/>
                <w:szCs w:val="21"/>
              </w:rPr>
              <w:t>环境</w:t>
            </w:r>
          </w:p>
          <w:p w:rsidR="00EE4502" w:rsidRDefault="00FD45A3">
            <w:pPr>
              <w:pStyle w:val="aff8"/>
              <w:rPr>
                <w:rFonts w:eastAsia="宋体"/>
                <w:color w:val="auto"/>
                <w:spacing w:val="0"/>
                <w:szCs w:val="21"/>
              </w:rPr>
            </w:pPr>
            <w:r>
              <w:rPr>
                <w:rFonts w:eastAsia="宋体" w:hAnsi="宋体"/>
                <w:color w:val="auto"/>
                <w:spacing w:val="0"/>
                <w:szCs w:val="21"/>
              </w:rPr>
              <w:t>空气</w:t>
            </w:r>
          </w:p>
        </w:tc>
        <w:tc>
          <w:tcPr>
            <w:tcW w:w="654" w:type="pct"/>
            <w:vAlign w:val="center"/>
          </w:tcPr>
          <w:p w:rsidR="00EE4502" w:rsidRDefault="00FD45A3">
            <w:pPr>
              <w:pStyle w:val="aff8"/>
              <w:rPr>
                <w:rFonts w:eastAsia="宋体"/>
                <w:color w:val="auto"/>
                <w:spacing w:val="0"/>
                <w:szCs w:val="21"/>
              </w:rPr>
            </w:pPr>
            <w:r>
              <w:rPr>
                <w:rFonts w:eastAsia="宋体" w:hint="eastAsia"/>
                <w:color w:val="auto"/>
                <w:spacing w:val="0"/>
                <w:szCs w:val="21"/>
              </w:rPr>
              <w:t>评价范围内空气质量</w:t>
            </w:r>
          </w:p>
        </w:tc>
        <w:tc>
          <w:tcPr>
            <w:tcW w:w="1081" w:type="pct"/>
            <w:vAlign w:val="center"/>
          </w:tcPr>
          <w:p w:rsidR="00EE4502" w:rsidRDefault="00FD45A3">
            <w:pPr>
              <w:pStyle w:val="aff8"/>
              <w:rPr>
                <w:rFonts w:eastAsia="宋体"/>
                <w:color w:val="auto"/>
                <w:spacing w:val="0"/>
                <w:szCs w:val="21"/>
              </w:rPr>
            </w:pPr>
            <w:r>
              <w:rPr>
                <w:rFonts w:eastAsia="宋体" w:hint="eastAsia"/>
                <w:color w:val="auto"/>
                <w:spacing w:val="0"/>
                <w:szCs w:val="21"/>
              </w:rPr>
              <w:t>以井场、站场为中心，边长</w:t>
            </w:r>
            <w:r>
              <w:rPr>
                <w:rFonts w:eastAsia="宋体" w:hint="eastAsia"/>
                <w:color w:val="auto"/>
                <w:spacing w:val="0"/>
                <w:szCs w:val="21"/>
              </w:rPr>
              <w:t>5km</w:t>
            </w:r>
            <w:r>
              <w:rPr>
                <w:rFonts w:eastAsia="宋体" w:hint="eastAsia"/>
                <w:color w:val="auto"/>
                <w:spacing w:val="0"/>
                <w:szCs w:val="21"/>
              </w:rPr>
              <w:t>×</w:t>
            </w:r>
            <w:r>
              <w:rPr>
                <w:rFonts w:eastAsia="宋体" w:hint="eastAsia"/>
                <w:color w:val="auto"/>
                <w:spacing w:val="0"/>
                <w:szCs w:val="21"/>
              </w:rPr>
              <w:t>5km</w:t>
            </w:r>
            <w:r>
              <w:rPr>
                <w:rFonts w:eastAsia="宋体" w:hint="eastAsia"/>
                <w:color w:val="auto"/>
                <w:spacing w:val="0"/>
                <w:szCs w:val="21"/>
              </w:rPr>
              <w:t>的矩形范围</w:t>
            </w:r>
          </w:p>
        </w:tc>
        <w:tc>
          <w:tcPr>
            <w:tcW w:w="2408" w:type="pct"/>
            <w:vAlign w:val="center"/>
          </w:tcPr>
          <w:p w:rsidR="00EE4502" w:rsidRDefault="00FD45A3">
            <w:pPr>
              <w:pStyle w:val="aff8"/>
              <w:jc w:val="both"/>
              <w:rPr>
                <w:rFonts w:eastAsia="宋体"/>
                <w:color w:val="auto"/>
                <w:spacing w:val="0"/>
                <w:szCs w:val="21"/>
              </w:rPr>
            </w:pPr>
            <w:r>
              <w:rPr>
                <w:rFonts w:eastAsia="宋体" w:hAnsi="宋体"/>
                <w:color w:val="auto"/>
                <w:spacing w:val="0"/>
                <w:szCs w:val="21"/>
              </w:rPr>
              <w:t>《环境空气质量标准》（</w:t>
            </w:r>
            <w:r>
              <w:rPr>
                <w:rFonts w:eastAsia="宋体"/>
                <w:color w:val="auto"/>
                <w:spacing w:val="0"/>
                <w:szCs w:val="21"/>
              </w:rPr>
              <w:t>GB3095-2012</w:t>
            </w:r>
            <w:r>
              <w:rPr>
                <w:rFonts w:eastAsia="宋体" w:hAnsi="宋体"/>
                <w:color w:val="auto"/>
                <w:spacing w:val="0"/>
                <w:szCs w:val="21"/>
              </w:rPr>
              <w:t>）</w:t>
            </w:r>
            <w:r>
              <w:rPr>
                <w:rFonts w:eastAsia="宋体" w:hAnsi="宋体" w:hint="eastAsia"/>
                <w:color w:val="auto"/>
                <w:spacing w:val="0"/>
                <w:szCs w:val="21"/>
              </w:rPr>
              <w:t>及修改单</w:t>
            </w:r>
            <w:r>
              <w:rPr>
                <w:rFonts w:eastAsia="宋体" w:hAnsi="宋体"/>
                <w:color w:val="auto"/>
                <w:spacing w:val="0"/>
                <w:szCs w:val="21"/>
              </w:rPr>
              <w:t>中二级标准，不因本工程建设降低区域环境空气质量</w:t>
            </w:r>
          </w:p>
        </w:tc>
      </w:tr>
      <w:tr w:rsidR="00EE4502">
        <w:trPr>
          <w:trHeight w:val="397"/>
          <w:jc w:val="center"/>
        </w:trPr>
        <w:tc>
          <w:tcPr>
            <w:tcW w:w="355" w:type="pct"/>
            <w:vAlign w:val="center"/>
          </w:tcPr>
          <w:p w:rsidR="00EE4502" w:rsidRDefault="00FD45A3">
            <w:pPr>
              <w:pStyle w:val="aff8"/>
              <w:rPr>
                <w:rFonts w:eastAsia="宋体"/>
                <w:color w:val="auto"/>
                <w:spacing w:val="0"/>
                <w:szCs w:val="21"/>
              </w:rPr>
            </w:pPr>
            <w:r>
              <w:rPr>
                <w:rFonts w:eastAsia="宋体"/>
                <w:color w:val="auto"/>
                <w:spacing w:val="0"/>
                <w:szCs w:val="21"/>
              </w:rPr>
              <w:t>2</w:t>
            </w:r>
          </w:p>
        </w:tc>
        <w:tc>
          <w:tcPr>
            <w:tcW w:w="501" w:type="pct"/>
            <w:vAlign w:val="center"/>
          </w:tcPr>
          <w:p w:rsidR="00EE4502" w:rsidRDefault="00FD45A3">
            <w:pPr>
              <w:pStyle w:val="aff8"/>
              <w:rPr>
                <w:rFonts w:eastAsia="宋体"/>
                <w:color w:val="auto"/>
                <w:spacing w:val="0"/>
                <w:szCs w:val="21"/>
              </w:rPr>
            </w:pPr>
            <w:r>
              <w:rPr>
                <w:rFonts w:eastAsia="宋体" w:hAnsi="宋体"/>
                <w:color w:val="auto"/>
                <w:spacing w:val="0"/>
                <w:szCs w:val="21"/>
              </w:rPr>
              <w:t>声环境</w:t>
            </w:r>
          </w:p>
        </w:tc>
        <w:tc>
          <w:tcPr>
            <w:tcW w:w="654" w:type="pct"/>
            <w:vAlign w:val="center"/>
          </w:tcPr>
          <w:p w:rsidR="00EE4502" w:rsidRDefault="00FD45A3">
            <w:pPr>
              <w:pStyle w:val="aff8"/>
              <w:rPr>
                <w:rFonts w:eastAsia="宋体"/>
                <w:color w:val="auto"/>
                <w:spacing w:val="0"/>
                <w:szCs w:val="21"/>
              </w:rPr>
            </w:pPr>
            <w:r>
              <w:rPr>
                <w:rFonts w:eastAsia="宋体"/>
                <w:color w:val="auto"/>
                <w:spacing w:val="0"/>
                <w:szCs w:val="21"/>
              </w:rPr>
              <w:t>/</w:t>
            </w:r>
          </w:p>
        </w:tc>
        <w:tc>
          <w:tcPr>
            <w:tcW w:w="1081" w:type="pct"/>
            <w:vAlign w:val="center"/>
          </w:tcPr>
          <w:p w:rsidR="00EE4502" w:rsidRDefault="00FD45A3">
            <w:pPr>
              <w:pStyle w:val="aff8"/>
              <w:rPr>
                <w:rFonts w:eastAsia="宋体"/>
                <w:color w:val="auto"/>
                <w:spacing w:val="0"/>
                <w:szCs w:val="21"/>
              </w:rPr>
            </w:pPr>
            <w:r>
              <w:rPr>
                <w:rFonts w:eastAsia="宋体"/>
                <w:color w:val="auto"/>
                <w:spacing w:val="0"/>
                <w:szCs w:val="21"/>
              </w:rPr>
              <w:t>/</w:t>
            </w:r>
          </w:p>
        </w:tc>
        <w:tc>
          <w:tcPr>
            <w:tcW w:w="2408" w:type="pct"/>
            <w:vAlign w:val="center"/>
          </w:tcPr>
          <w:p w:rsidR="00EE4502" w:rsidRDefault="00FD45A3">
            <w:pPr>
              <w:pStyle w:val="aff8"/>
              <w:jc w:val="both"/>
              <w:rPr>
                <w:rFonts w:eastAsia="宋体"/>
                <w:color w:val="auto"/>
                <w:spacing w:val="0"/>
                <w:szCs w:val="21"/>
              </w:rPr>
            </w:pPr>
            <w:r>
              <w:rPr>
                <w:rFonts w:eastAsia="宋体" w:hAnsi="宋体"/>
                <w:color w:val="auto"/>
                <w:spacing w:val="0"/>
                <w:szCs w:val="21"/>
              </w:rPr>
              <w:t>《声环境质量标准》（</w:t>
            </w:r>
            <w:r>
              <w:rPr>
                <w:rFonts w:eastAsia="宋体"/>
                <w:color w:val="auto"/>
                <w:spacing w:val="0"/>
                <w:szCs w:val="21"/>
              </w:rPr>
              <w:t>GB3096-2008</w:t>
            </w:r>
            <w:r>
              <w:rPr>
                <w:rFonts w:eastAsia="宋体" w:hAnsi="宋体"/>
                <w:color w:val="auto"/>
                <w:spacing w:val="0"/>
                <w:szCs w:val="21"/>
              </w:rPr>
              <w:t>）中</w:t>
            </w:r>
            <w:r>
              <w:rPr>
                <w:rFonts w:eastAsia="宋体"/>
                <w:color w:val="auto"/>
                <w:spacing w:val="0"/>
                <w:szCs w:val="21"/>
              </w:rPr>
              <w:t>2</w:t>
            </w:r>
            <w:r>
              <w:rPr>
                <w:rFonts w:eastAsia="宋体" w:hAnsi="宋体"/>
                <w:color w:val="auto"/>
                <w:spacing w:val="0"/>
                <w:szCs w:val="21"/>
              </w:rPr>
              <w:t>类区标准，不因本工程建设降低区域声环境质量</w:t>
            </w:r>
          </w:p>
        </w:tc>
      </w:tr>
      <w:tr w:rsidR="00EE4502">
        <w:trPr>
          <w:trHeight w:val="397"/>
          <w:jc w:val="center"/>
        </w:trPr>
        <w:tc>
          <w:tcPr>
            <w:tcW w:w="355" w:type="pct"/>
            <w:vAlign w:val="center"/>
          </w:tcPr>
          <w:p w:rsidR="00EE4502" w:rsidRDefault="00FD45A3">
            <w:pPr>
              <w:pStyle w:val="aff8"/>
              <w:rPr>
                <w:rFonts w:eastAsia="宋体"/>
                <w:color w:val="auto"/>
                <w:spacing w:val="0"/>
                <w:szCs w:val="21"/>
              </w:rPr>
            </w:pPr>
            <w:r>
              <w:rPr>
                <w:rFonts w:eastAsia="宋体"/>
                <w:color w:val="auto"/>
                <w:spacing w:val="0"/>
                <w:szCs w:val="21"/>
              </w:rPr>
              <w:lastRenderedPageBreak/>
              <w:t>3</w:t>
            </w:r>
          </w:p>
        </w:tc>
        <w:tc>
          <w:tcPr>
            <w:tcW w:w="501" w:type="pct"/>
            <w:vAlign w:val="center"/>
          </w:tcPr>
          <w:p w:rsidR="00EE4502" w:rsidRDefault="00FD45A3">
            <w:pPr>
              <w:pStyle w:val="aff8"/>
              <w:rPr>
                <w:rFonts w:eastAsia="宋体"/>
                <w:color w:val="auto"/>
                <w:spacing w:val="0"/>
                <w:szCs w:val="21"/>
              </w:rPr>
            </w:pPr>
            <w:r>
              <w:rPr>
                <w:rFonts w:eastAsia="宋体" w:hAnsi="宋体"/>
                <w:color w:val="auto"/>
                <w:spacing w:val="0"/>
                <w:szCs w:val="21"/>
              </w:rPr>
              <w:t>水环境</w:t>
            </w:r>
          </w:p>
        </w:tc>
        <w:tc>
          <w:tcPr>
            <w:tcW w:w="654" w:type="pct"/>
            <w:vAlign w:val="center"/>
          </w:tcPr>
          <w:p w:rsidR="00EE4502" w:rsidRDefault="00FD45A3">
            <w:pPr>
              <w:pStyle w:val="aff8"/>
              <w:rPr>
                <w:rFonts w:eastAsia="宋体"/>
                <w:color w:val="auto"/>
                <w:spacing w:val="0"/>
                <w:szCs w:val="21"/>
              </w:rPr>
            </w:pPr>
            <w:r>
              <w:rPr>
                <w:rFonts w:eastAsia="宋体" w:hAnsi="宋体"/>
                <w:color w:val="auto"/>
                <w:spacing w:val="0"/>
                <w:szCs w:val="21"/>
              </w:rPr>
              <w:t>地下水</w:t>
            </w:r>
          </w:p>
        </w:tc>
        <w:tc>
          <w:tcPr>
            <w:tcW w:w="1081" w:type="pct"/>
            <w:vAlign w:val="center"/>
          </w:tcPr>
          <w:p w:rsidR="00EE4502" w:rsidRDefault="00FD45A3">
            <w:pPr>
              <w:pStyle w:val="aff8"/>
              <w:rPr>
                <w:rFonts w:eastAsia="宋体"/>
                <w:color w:val="auto"/>
                <w:spacing w:val="0"/>
                <w:szCs w:val="21"/>
              </w:rPr>
            </w:pPr>
            <w:r>
              <w:rPr>
                <w:rFonts w:eastAsia="宋体" w:hAnsi="宋体"/>
                <w:color w:val="auto"/>
                <w:spacing w:val="0"/>
                <w:szCs w:val="21"/>
              </w:rPr>
              <w:t>评价范围内的</w:t>
            </w:r>
            <w:r>
              <w:rPr>
                <w:rFonts w:eastAsia="宋体" w:hAnsi="宋体" w:hint="eastAsia"/>
                <w:color w:val="auto"/>
                <w:spacing w:val="0"/>
                <w:szCs w:val="21"/>
              </w:rPr>
              <w:t>灌溉水井</w:t>
            </w:r>
          </w:p>
        </w:tc>
        <w:tc>
          <w:tcPr>
            <w:tcW w:w="2408" w:type="pct"/>
            <w:vAlign w:val="center"/>
          </w:tcPr>
          <w:p w:rsidR="00EE4502" w:rsidRDefault="00FD45A3">
            <w:pPr>
              <w:pStyle w:val="aff8"/>
              <w:jc w:val="both"/>
              <w:rPr>
                <w:rFonts w:eastAsia="宋体"/>
                <w:color w:val="auto"/>
                <w:spacing w:val="0"/>
                <w:szCs w:val="21"/>
              </w:rPr>
            </w:pPr>
            <w:r>
              <w:rPr>
                <w:rFonts w:eastAsia="宋体" w:hAnsi="宋体"/>
                <w:color w:val="auto"/>
                <w:spacing w:val="0"/>
                <w:szCs w:val="21"/>
              </w:rPr>
              <w:t>《地下水质量标准》（</w:t>
            </w:r>
            <w:r>
              <w:rPr>
                <w:rFonts w:eastAsia="宋体"/>
                <w:color w:val="auto"/>
                <w:spacing w:val="0"/>
                <w:szCs w:val="21"/>
              </w:rPr>
              <w:t>GB/T14848-2017</w:t>
            </w:r>
            <w:r>
              <w:rPr>
                <w:rFonts w:eastAsia="宋体" w:hAnsi="宋体"/>
                <w:color w:val="auto"/>
                <w:spacing w:val="0"/>
                <w:szCs w:val="21"/>
              </w:rPr>
              <w:t>）中</w:t>
            </w:r>
            <w:r>
              <w:rPr>
                <w:rFonts w:ascii="宋体" w:eastAsia="宋体" w:hAnsi="宋体"/>
                <w:color w:val="auto"/>
                <w:spacing w:val="0"/>
                <w:szCs w:val="21"/>
              </w:rPr>
              <w:t>Ⅲ</w:t>
            </w:r>
            <w:r>
              <w:rPr>
                <w:rFonts w:eastAsia="宋体" w:hAnsi="宋体"/>
                <w:color w:val="auto"/>
                <w:spacing w:val="0"/>
                <w:szCs w:val="21"/>
              </w:rPr>
              <w:t>类标准，不因本工程建设降低区域地下水环境质量</w:t>
            </w:r>
          </w:p>
        </w:tc>
      </w:tr>
      <w:tr w:rsidR="00EE4502">
        <w:trPr>
          <w:trHeight w:val="397"/>
          <w:jc w:val="center"/>
        </w:trPr>
        <w:tc>
          <w:tcPr>
            <w:tcW w:w="355" w:type="pct"/>
            <w:vAlign w:val="center"/>
          </w:tcPr>
          <w:p w:rsidR="00EE4502" w:rsidRDefault="00FD45A3">
            <w:pPr>
              <w:pStyle w:val="aff8"/>
              <w:rPr>
                <w:rFonts w:eastAsia="宋体"/>
                <w:color w:val="auto"/>
                <w:spacing w:val="0"/>
                <w:szCs w:val="21"/>
              </w:rPr>
            </w:pPr>
            <w:r>
              <w:rPr>
                <w:rFonts w:eastAsia="宋体"/>
                <w:color w:val="auto"/>
                <w:spacing w:val="0"/>
                <w:szCs w:val="21"/>
              </w:rPr>
              <w:t>4</w:t>
            </w:r>
          </w:p>
        </w:tc>
        <w:tc>
          <w:tcPr>
            <w:tcW w:w="501" w:type="pct"/>
            <w:vAlign w:val="center"/>
          </w:tcPr>
          <w:p w:rsidR="00EE4502" w:rsidRDefault="00FD45A3">
            <w:pPr>
              <w:pStyle w:val="aff8"/>
              <w:rPr>
                <w:rFonts w:eastAsia="宋体"/>
                <w:color w:val="auto"/>
                <w:spacing w:val="0"/>
                <w:szCs w:val="21"/>
              </w:rPr>
            </w:pPr>
            <w:r>
              <w:rPr>
                <w:rFonts w:eastAsia="宋体" w:hAnsi="宋体"/>
                <w:color w:val="auto"/>
                <w:spacing w:val="0"/>
                <w:szCs w:val="21"/>
              </w:rPr>
              <w:t>土壤</w:t>
            </w:r>
          </w:p>
        </w:tc>
        <w:tc>
          <w:tcPr>
            <w:tcW w:w="654" w:type="pct"/>
            <w:vAlign w:val="center"/>
          </w:tcPr>
          <w:p w:rsidR="00EE4502" w:rsidRDefault="00FD45A3">
            <w:pPr>
              <w:pStyle w:val="aff8"/>
              <w:rPr>
                <w:rFonts w:eastAsia="宋体" w:hAnsi="宋体"/>
                <w:color w:val="auto"/>
                <w:spacing w:val="0"/>
                <w:szCs w:val="21"/>
              </w:rPr>
            </w:pPr>
            <w:r>
              <w:rPr>
                <w:rFonts w:eastAsia="宋体" w:hAnsi="宋体" w:hint="eastAsia"/>
                <w:color w:val="auto"/>
                <w:spacing w:val="0"/>
                <w:szCs w:val="21"/>
              </w:rPr>
              <w:t>耕地</w:t>
            </w:r>
          </w:p>
        </w:tc>
        <w:tc>
          <w:tcPr>
            <w:tcW w:w="1081" w:type="pct"/>
            <w:vAlign w:val="center"/>
          </w:tcPr>
          <w:p w:rsidR="00EE4502" w:rsidRDefault="00FD45A3">
            <w:pPr>
              <w:pStyle w:val="aff8"/>
              <w:rPr>
                <w:rFonts w:eastAsia="宋体" w:hAnsi="宋体"/>
                <w:color w:val="auto"/>
                <w:spacing w:val="0"/>
                <w:szCs w:val="21"/>
              </w:rPr>
            </w:pPr>
            <w:r>
              <w:rPr>
                <w:rFonts w:eastAsia="宋体" w:hAnsi="宋体" w:hint="eastAsia"/>
                <w:color w:val="auto"/>
                <w:spacing w:val="0"/>
                <w:szCs w:val="21"/>
              </w:rPr>
              <w:t>排</w:t>
            </w:r>
            <w:r>
              <w:rPr>
                <w:rFonts w:eastAsia="宋体" w:hAnsi="宋体" w:hint="eastAsia"/>
                <w:color w:val="auto"/>
                <w:spacing w:val="0"/>
                <w:szCs w:val="21"/>
              </w:rPr>
              <w:t>7-</w:t>
            </w:r>
            <w:r>
              <w:rPr>
                <w:rFonts w:eastAsia="宋体" w:hAnsi="宋体" w:hint="eastAsia"/>
                <w:color w:val="auto"/>
                <w:spacing w:val="0"/>
                <w:szCs w:val="21"/>
              </w:rPr>
              <w:t>斜</w:t>
            </w:r>
            <w:r>
              <w:rPr>
                <w:rFonts w:eastAsia="宋体" w:hAnsi="宋体" w:hint="eastAsia"/>
                <w:color w:val="auto"/>
                <w:spacing w:val="0"/>
                <w:szCs w:val="21"/>
              </w:rPr>
              <w:t>17</w:t>
            </w:r>
            <w:r>
              <w:rPr>
                <w:rFonts w:eastAsia="宋体" w:hAnsi="宋体" w:hint="eastAsia"/>
                <w:color w:val="auto"/>
                <w:spacing w:val="0"/>
                <w:szCs w:val="21"/>
              </w:rPr>
              <w:t>井周边</w:t>
            </w:r>
            <w:r>
              <w:rPr>
                <w:rFonts w:eastAsia="宋体" w:hAnsi="宋体" w:hint="eastAsia"/>
                <w:color w:val="auto"/>
                <w:spacing w:val="0"/>
                <w:szCs w:val="21"/>
              </w:rPr>
              <w:t>2km</w:t>
            </w:r>
            <w:r>
              <w:rPr>
                <w:rFonts w:eastAsia="宋体" w:hAnsi="宋体" w:hint="eastAsia"/>
                <w:color w:val="auto"/>
                <w:spacing w:val="0"/>
                <w:szCs w:val="21"/>
              </w:rPr>
              <w:t>范围内</w:t>
            </w:r>
          </w:p>
        </w:tc>
        <w:tc>
          <w:tcPr>
            <w:tcW w:w="2408" w:type="pct"/>
            <w:vAlign w:val="center"/>
          </w:tcPr>
          <w:p w:rsidR="00EE4502" w:rsidRDefault="00FD45A3">
            <w:pPr>
              <w:pStyle w:val="aff8"/>
              <w:jc w:val="both"/>
              <w:rPr>
                <w:rFonts w:eastAsia="宋体"/>
                <w:color w:val="auto"/>
                <w:spacing w:val="0"/>
                <w:szCs w:val="21"/>
              </w:rPr>
            </w:pPr>
            <w:r>
              <w:rPr>
                <w:rFonts w:eastAsia="宋体" w:hAnsi="宋体"/>
                <w:color w:val="auto"/>
                <w:spacing w:val="0"/>
                <w:szCs w:val="21"/>
              </w:rPr>
              <w:t>确保占地范围内土壤质量达到《土壤环境质量</w:t>
            </w:r>
            <w:r>
              <w:rPr>
                <w:rFonts w:eastAsia="宋体"/>
                <w:color w:val="auto"/>
                <w:spacing w:val="0"/>
                <w:szCs w:val="21"/>
              </w:rPr>
              <w:t xml:space="preserve"> </w:t>
            </w:r>
            <w:r>
              <w:rPr>
                <w:rFonts w:eastAsia="宋体" w:hAnsi="宋体"/>
                <w:color w:val="auto"/>
                <w:spacing w:val="0"/>
                <w:szCs w:val="21"/>
              </w:rPr>
              <w:t>建设用地土壤污染风险管控标准（试行）》（</w:t>
            </w:r>
            <w:r>
              <w:rPr>
                <w:rFonts w:eastAsia="宋体"/>
                <w:color w:val="auto"/>
                <w:spacing w:val="0"/>
                <w:szCs w:val="21"/>
              </w:rPr>
              <w:t>GB36600-2018</w:t>
            </w:r>
            <w:r>
              <w:rPr>
                <w:rFonts w:eastAsia="宋体" w:hAnsi="宋体"/>
                <w:color w:val="auto"/>
                <w:spacing w:val="0"/>
                <w:szCs w:val="21"/>
              </w:rPr>
              <w:t>）第二类用地土壤筛选值要求；确保占地范围外农用地土壤质量达到《土壤环境质量</w:t>
            </w:r>
            <w:r>
              <w:rPr>
                <w:rFonts w:eastAsia="宋体"/>
                <w:color w:val="auto"/>
                <w:spacing w:val="0"/>
                <w:szCs w:val="21"/>
              </w:rPr>
              <w:t xml:space="preserve"> </w:t>
            </w:r>
            <w:r>
              <w:rPr>
                <w:rFonts w:eastAsia="宋体" w:hAnsi="宋体"/>
                <w:color w:val="auto"/>
                <w:spacing w:val="0"/>
                <w:szCs w:val="21"/>
              </w:rPr>
              <w:t>农用地土壤污染风险管控标准（试行）》（</w:t>
            </w:r>
            <w:r>
              <w:rPr>
                <w:rFonts w:eastAsia="宋体"/>
                <w:color w:val="auto"/>
                <w:spacing w:val="0"/>
                <w:szCs w:val="21"/>
              </w:rPr>
              <w:t>GB15618-2018</w:t>
            </w:r>
            <w:r>
              <w:rPr>
                <w:rFonts w:eastAsia="宋体" w:hAnsi="宋体"/>
                <w:color w:val="auto"/>
                <w:spacing w:val="0"/>
                <w:szCs w:val="21"/>
              </w:rPr>
              <w:t>）的污染风险筛选值</w:t>
            </w:r>
          </w:p>
        </w:tc>
      </w:tr>
      <w:tr w:rsidR="00EE4502">
        <w:trPr>
          <w:trHeight w:val="397"/>
          <w:jc w:val="center"/>
        </w:trPr>
        <w:tc>
          <w:tcPr>
            <w:tcW w:w="355" w:type="pct"/>
            <w:vAlign w:val="center"/>
          </w:tcPr>
          <w:p w:rsidR="00EE4502" w:rsidRDefault="00FD45A3">
            <w:pPr>
              <w:pStyle w:val="aff8"/>
              <w:rPr>
                <w:rFonts w:eastAsia="宋体"/>
                <w:color w:val="auto"/>
                <w:spacing w:val="0"/>
                <w:szCs w:val="21"/>
              </w:rPr>
            </w:pPr>
            <w:r>
              <w:rPr>
                <w:rFonts w:eastAsia="宋体"/>
                <w:color w:val="auto"/>
                <w:spacing w:val="0"/>
                <w:szCs w:val="21"/>
              </w:rPr>
              <w:t>5</w:t>
            </w:r>
          </w:p>
        </w:tc>
        <w:tc>
          <w:tcPr>
            <w:tcW w:w="501" w:type="pct"/>
            <w:vAlign w:val="center"/>
          </w:tcPr>
          <w:p w:rsidR="00EE4502" w:rsidRDefault="00FD45A3">
            <w:pPr>
              <w:pStyle w:val="affffffffffffffffffffffffffffffffffffffffff1"/>
              <w:spacing w:line="240" w:lineRule="auto"/>
              <w:ind w:firstLineChars="0" w:firstLine="0"/>
              <w:jc w:val="center"/>
              <w:rPr>
                <w:sz w:val="21"/>
                <w:szCs w:val="21"/>
              </w:rPr>
            </w:pPr>
            <w:r>
              <w:rPr>
                <w:rFonts w:hAnsi="宋体"/>
                <w:sz w:val="21"/>
                <w:szCs w:val="21"/>
              </w:rPr>
              <w:t>生态</w:t>
            </w:r>
          </w:p>
          <w:p w:rsidR="00EE4502" w:rsidRDefault="00FD45A3">
            <w:pPr>
              <w:pStyle w:val="affffffffffffffffffffffffffffffffffffffffff1"/>
              <w:spacing w:line="240" w:lineRule="auto"/>
              <w:ind w:firstLineChars="0" w:firstLine="0"/>
              <w:jc w:val="center"/>
              <w:rPr>
                <w:sz w:val="21"/>
                <w:szCs w:val="21"/>
              </w:rPr>
            </w:pPr>
            <w:r>
              <w:rPr>
                <w:rFonts w:hAnsi="宋体"/>
                <w:sz w:val="21"/>
                <w:szCs w:val="21"/>
              </w:rPr>
              <w:t>环境</w:t>
            </w:r>
          </w:p>
        </w:tc>
        <w:tc>
          <w:tcPr>
            <w:tcW w:w="654" w:type="pct"/>
            <w:vAlign w:val="center"/>
          </w:tcPr>
          <w:p w:rsidR="00EE4502" w:rsidRDefault="00FD45A3">
            <w:pPr>
              <w:pStyle w:val="aff8"/>
              <w:rPr>
                <w:rFonts w:eastAsia="宋体" w:hAnsi="宋体"/>
                <w:color w:val="auto"/>
                <w:spacing w:val="0"/>
                <w:szCs w:val="21"/>
              </w:rPr>
            </w:pPr>
            <w:r>
              <w:rPr>
                <w:rFonts w:eastAsia="宋体" w:hAnsi="宋体" w:hint="eastAsia"/>
                <w:color w:val="auto"/>
                <w:spacing w:val="0"/>
                <w:szCs w:val="21"/>
              </w:rPr>
              <w:t>公益林</w:t>
            </w:r>
          </w:p>
        </w:tc>
        <w:tc>
          <w:tcPr>
            <w:tcW w:w="1081" w:type="pct"/>
            <w:vAlign w:val="center"/>
          </w:tcPr>
          <w:p w:rsidR="00EE4502" w:rsidRDefault="00FD45A3">
            <w:pPr>
              <w:pStyle w:val="aff8"/>
              <w:rPr>
                <w:rFonts w:eastAsia="宋体" w:hAnsi="宋体"/>
                <w:color w:val="auto"/>
                <w:spacing w:val="0"/>
                <w:szCs w:val="21"/>
              </w:rPr>
            </w:pPr>
            <w:r>
              <w:rPr>
                <w:rFonts w:eastAsia="宋体" w:hAnsi="宋体" w:hint="eastAsia"/>
                <w:color w:val="auto"/>
                <w:spacing w:val="0"/>
                <w:szCs w:val="21"/>
              </w:rPr>
              <w:t>工程区</w:t>
            </w:r>
            <w:r>
              <w:rPr>
                <w:rFonts w:eastAsia="宋体" w:hAnsi="宋体" w:hint="eastAsia"/>
                <w:color w:val="auto"/>
                <w:spacing w:val="0"/>
                <w:szCs w:val="21"/>
              </w:rPr>
              <w:t>及周边</w:t>
            </w:r>
            <w:r>
              <w:rPr>
                <w:rFonts w:eastAsia="宋体" w:hAnsi="宋体" w:hint="eastAsia"/>
                <w:color w:val="auto"/>
                <w:spacing w:val="0"/>
                <w:szCs w:val="21"/>
              </w:rPr>
              <w:t>1km</w:t>
            </w:r>
            <w:r>
              <w:rPr>
                <w:rFonts w:eastAsia="宋体" w:hAnsi="宋体" w:hint="eastAsia"/>
                <w:color w:val="auto"/>
                <w:spacing w:val="0"/>
                <w:szCs w:val="21"/>
              </w:rPr>
              <w:t>范围</w:t>
            </w:r>
            <w:r>
              <w:rPr>
                <w:rFonts w:eastAsia="宋体" w:hAnsi="宋体" w:hint="eastAsia"/>
                <w:color w:val="auto"/>
                <w:spacing w:val="0"/>
                <w:szCs w:val="21"/>
              </w:rPr>
              <w:t>分布</w:t>
            </w:r>
          </w:p>
        </w:tc>
        <w:tc>
          <w:tcPr>
            <w:tcW w:w="2408" w:type="pct"/>
            <w:vAlign w:val="center"/>
          </w:tcPr>
          <w:p w:rsidR="00EE4502" w:rsidRDefault="00FD45A3">
            <w:pPr>
              <w:pStyle w:val="aff8"/>
              <w:jc w:val="both"/>
              <w:rPr>
                <w:rFonts w:eastAsia="宋体" w:hAnsi="宋体"/>
                <w:color w:val="auto"/>
                <w:spacing w:val="0"/>
                <w:szCs w:val="21"/>
              </w:rPr>
            </w:pPr>
            <w:r>
              <w:rPr>
                <w:rFonts w:eastAsia="宋体" w:hAnsi="宋体" w:hint="eastAsia"/>
                <w:color w:val="auto"/>
                <w:spacing w:val="0"/>
                <w:szCs w:val="21"/>
              </w:rPr>
              <w:t>严格控制施工临时占地，临时占用林地在施工结束后恢复原有生态环境，永久占地林地采取补偿措施</w:t>
            </w:r>
          </w:p>
        </w:tc>
      </w:tr>
      <w:tr w:rsidR="00EE4502">
        <w:trPr>
          <w:trHeight w:val="397"/>
          <w:jc w:val="center"/>
        </w:trPr>
        <w:tc>
          <w:tcPr>
            <w:tcW w:w="355" w:type="pct"/>
            <w:vAlign w:val="center"/>
          </w:tcPr>
          <w:p w:rsidR="00EE4502" w:rsidRDefault="00FD45A3">
            <w:pPr>
              <w:pStyle w:val="aff8"/>
              <w:rPr>
                <w:rFonts w:eastAsia="宋体"/>
                <w:color w:val="auto"/>
                <w:spacing w:val="0"/>
                <w:szCs w:val="21"/>
              </w:rPr>
            </w:pPr>
            <w:r>
              <w:rPr>
                <w:rFonts w:eastAsia="宋体"/>
                <w:color w:val="auto"/>
                <w:spacing w:val="0"/>
                <w:szCs w:val="21"/>
              </w:rPr>
              <w:t>6</w:t>
            </w:r>
          </w:p>
        </w:tc>
        <w:tc>
          <w:tcPr>
            <w:tcW w:w="501" w:type="pct"/>
            <w:vAlign w:val="center"/>
          </w:tcPr>
          <w:p w:rsidR="00EE4502" w:rsidRDefault="00FD45A3">
            <w:pPr>
              <w:pStyle w:val="aff8"/>
              <w:rPr>
                <w:rFonts w:eastAsia="宋体"/>
                <w:color w:val="auto"/>
                <w:spacing w:val="0"/>
                <w:szCs w:val="21"/>
              </w:rPr>
            </w:pPr>
            <w:r>
              <w:rPr>
                <w:rFonts w:eastAsia="宋体" w:hAnsi="宋体"/>
                <w:color w:val="auto"/>
                <w:spacing w:val="0"/>
                <w:szCs w:val="21"/>
              </w:rPr>
              <w:t>环境</w:t>
            </w:r>
          </w:p>
          <w:p w:rsidR="00EE4502" w:rsidRDefault="00FD45A3">
            <w:pPr>
              <w:pStyle w:val="aff8"/>
              <w:rPr>
                <w:rFonts w:eastAsia="宋体"/>
                <w:color w:val="auto"/>
                <w:spacing w:val="0"/>
                <w:szCs w:val="21"/>
              </w:rPr>
            </w:pPr>
            <w:r>
              <w:rPr>
                <w:rFonts w:eastAsia="宋体" w:hAnsi="宋体"/>
                <w:color w:val="auto"/>
                <w:spacing w:val="0"/>
                <w:szCs w:val="21"/>
              </w:rPr>
              <w:t>风险</w:t>
            </w:r>
          </w:p>
        </w:tc>
        <w:tc>
          <w:tcPr>
            <w:tcW w:w="654" w:type="pct"/>
            <w:vAlign w:val="center"/>
          </w:tcPr>
          <w:p w:rsidR="00EE4502" w:rsidRDefault="00FD45A3">
            <w:pPr>
              <w:pStyle w:val="aff8"/>
              <w:rPr>
                <w:rFonts w:eastAsia="宋体"/>
                <w:color w:val="auto"/>
                <w:spacing w:val="0"/>
                <w:szCs w:val="21"/>
              </w:rPr>
            </w:pPr>
            <w:r>
              <w:rPr>
                <w:rFonts w:eastAsia="宋体" w:hAnsi="宋体" w:hint="eastAsia"/>
                <w:color w:val="auto"/>
                <w:spacing w:val="0"/>
                <w:szCs w:val="21"/>
              </w:rPr>
              <w:t>工程区</w:t>
            </w:r>
            <w:r>
              <w:rPr>
                <w:rFonts w:eastAsia="宋体" w:hAnsi="宋体"/>
                <w:color w:val="auto"/>
                <w:spacing w:val="0"/>
                <w:szCs w:val="21"/>
              </w:rPr>
              <w:t>土壤、地下水</w:t>
            </w:r>
          </w:p>
        </w:tc>
        <w:tc>
          <w:tcPr>
            <w:tcW w:w="1081" w:type="pct"/>
            <w:vAlign w:val="center"/>
          </w:tcPr>
          <w:p w:rsidR="00EE4502" w:rsidRDefault="00FD45A3">
            <w:pPr>
              <w:pStyle w:val="aff8"/>
              <w:rPr>
                <w:rFonts w:eastAsia="宋体"/>
                <w:color w:val="auto"/>
                <w:spacing w:val="0"/>
                <w:szCs w:val="21"/>
              </w:rPr>
            </w:pPr>
            <w:r>
              <w:rPr>
                <w:rFonts w:eastAsia="宋体" w:hAnsi="宋体"/>
                <w:color w:val="auto"/>
                <w:spacing w:val="0"/>
                <w:szCs w:val="21"/>
              </w:rPr>
              <w:t>油田区域内</w:t>
            </w:r>
          </w:p>
        </w:tc>
        <w:tc>
          <w:tcPr>
            <w:tcW w:w="2408" w:type="pct"/>
            <w:vAlign w:val="center"/>
          </w:tcPr>
          <w:p w:rsidR="00EE4502" w:rsidRDefault="00FD45A3">
            <w:pPr>
              <w:pStyle w:val="aff8"/>
              <w:jc w:val="both"/>
              <w:rPr>
                <w:rFonts w:eastAsia="宋体"/>
                <w:color w:val="auto"/>
                <w:spacing w:val="0"/>
                <w:szCs w:val="21"/>
              </w:rPr>
            </w:pPr>
            <w:r>
              <w:rPr>
                <w:rFonts w:eastAsia="宋体" w:hAnsi="宋体"/>
                <w:color w:val="auto"/>
                <w:spacing w:val="0"/>
                <w:szCs w:val="21"/>
              </w:rPr>
              <w:t>防止油田风险事故对环境空气、土壤和地下水环境产生影响</w:t>
            </w:r>
          </w:p>
        </w:tc>
      </w:tr>
    </w:tbl>
    <w:p w:rsidR="00EE4502" w:rsidRDefault="00EE4502">
      <w:pPr>
        <w:jc w:val="center"/>
        <w:rPr>
          <w:sz w:val="18"/>
          <w:szCs w:val="18"/>
        </w:rPr>
      </w:pPr>
    </w:p>
    <w:p w:rsidR="00EE4502" w:rsidRDefault="00FD45A3">
      <w:pPr>
        <w:pStyle w:val="af9"/>
        <w:spacing w:line="360" w:lineRule="auto"/>
        <w:ind w:firstLineChars="200" w:firstLine="480"/>
        <w:rPr>
          <w:rFonts w:ascii="Times New Roman" w:hAnsi="Times New Roman"/>
          <w:bCs/>
        </w:rPr>
      </w:pPr>
      <w:r>
        <w:rPr>
          <w:rFonts w:ascii="Times New Roman" w:hAnsi="Times New Roman"/>
          <w:bCs/>
        </w:rPr>
        <w:t>根据</w:t>
      </w:r>
      <w:r>
        <w:rPr>
          <w:rFonts w:ascii="Times New Roman" w:hAnsi="Times New Roman" w:hint="eastAsia"/>
          <w:bCs/>
        </w:rPr>
        <w:t>工程区</w:t>
      </w:r>
      <w:r>
        <w:rPr>
          <w:rFonts w:ascii="Times New Roman" w:hAnsi="Times New Roman"/>
          <w:bCs/>
        </w:rPr>
        <w:t>环境现状和油田开发的特点，</w:t>
      </w:r>
      <w:r>
        <w:rPr>
          <w:rFonts w:ascii="Times New Roman" w:hAnsi="Times New Roman" w:hint="eastAsia"/>
        </w:rPr>
        <w:t>春风油田石炭系排</w:t>
      </w:r>
      <w:r>
        <w:rPr>
          <w:rFonts w:ascii="Times New Roman" w:hAnsi="Times New Roman" w:hint="eastAsia"/>
        </w:rPr>
        <w:t>61</w:t>
      </w:r>
      <w:r>
        <w:rPr>
          <w:rFonts w:ascii="Times New Roman" w:hAnsi="Times New Roman" w:hint="eastAsia"/>
        </w:rPr>
        <w:t>块产能建设工程</w:t>
      </w:r>
      <w:r>
        <w:rPr>
          <w:rFonts w:ascii="Times New Roman" w:hAnsi="Times New Roman"/>
          <w:bCs/>
        </w:rPr>
        <w:t>的总体环境保护目标为：</w:t>
      </w:r>
    </w:p>
    <w:p w:rsidR="00EE4502" w:rsidRDefault="00FD45A3">
      <w:pPr>
        <w:spacing w:line="360" w:lineRule="auto"/>
        <w:ind w:firstLineChars="200" w:firstLine="480"/>
        <w:rPr>
          <w:sz w:val="24"/>
        </w:rPr>
      </w:pPr>
      <w:r>
        <w:rPr>
          <w:sz w:val="24"/>
        </w:rPr>
        <w:t>（</w:t>
      </w:r>
      <w:r>
        <w:rPr>
          <w:sz w:val="24"/>
        </w:rPr>
        <w:t>1</w:t>
      </w:r>
      <w:r>
        <w:rPr>
          <w:sz w:val="24"/>
        </w:rPr>
        <w:t>）空气环境</w:t>
      </w:r>
    </w:p>
    <w:p w:rsidR="00EE4502" w:rsidRDefault="00FD45A3">
      <w:pPr>
        <w:pStyle w:val="affc"/>
        <w:spacing w:line="360" w:lineRule="auto"/>
        <w:ind w:firstLine="480"/>
        <w:rPr>
          <w:rFonts w:ascii="Times New Roman" w:hAnsi="Times New Roman"/>
          <w:spacing w:val="0"/>
          <w:sz w:val="24"/>
        </w:rPr>
      </w:pPr>
      <w:r>
        <w:rPr>
          <w:rFonts w:ascii="Times New Roman" w:hAnsi="Times New Roman"/>
          <w:spacing w:val="0"/>
          <w:sz w:val="24"/>
        </w:rPr>
        <w:t>保护评价区环境空气质量符合《环境空气质量标准》（</w:t>
      </w:r>
      <w:r>
        <w:rPr>
          <w:rFonts w:ascii="Times New Roman" w:hAnsi="Times New Roman"/>
          <w:spacing w:val="0"/>
          <w:sz w:val="24"/>
        </w:rPr>
        <w:t>GB3095-2012</w:t>
      </w:r>
      <w:r>
        <w:rPr>
          <w:rFonts w:ascii="Times New Roman" w:hAnsi="Times New Roman"/>
          <w:spacing w:val="0"/>
          <w:sz w:val="24"/>
        </w:rPr>
        <w:t>）及修改单中的二级标准，不因本工程建设降低区域环境空气质量。</w:t>
      </w:r>
    </w:p>
    <w:p w:rsidR="00EE4502" w:rsidRDefault="00FD45A3">
      <w:pPr>
        <w:spacing w:line="360" w:lineRule="auto"/>
        <w:ind w:firstLineChars="200" w:firstLine="480"/>
        <w:rPr>
          <w:sz w:val="24"/>
        </w:rPr>
      </w:pPr>
      <w:r>
        <w:rPr>
          <w:sz w:val="24"/>
        </w:rPr>
        <w:t>（</w:t>
      </w:r>
      <w:r>
        <w:rPr>
          <w:sz w:val="24"/>
        </w:rPr>
        <w:t>2</w:t>
      </w:r>
      <w:r>
        <w:rPr>
          <w:sz w:val="24"/>
        </w:rPr>
        <w:t>）水环境</w:t>
      </w:r>
    </w:p>
    <w:p w:rsidR="00EE4502" w:rsidRDefault="00FD45A3">
      <w:pPr>
        <w:spacing w:line="360" w:lineRule="auto"/>
        <w:ind w:firstLineChars="200" w:firstLine="480"/>
        <w:rPr>
          <w:sz w:val="24"/>
        </w:rPr>
      </w:pPr>
      <w:r>
        <w:rPr>
          <w:sz w:val="24"/>
        </w:rPr>
        <w:t>保护评价区地下水，防止石油类污染物进入地下水；确保评价区域地下水环境质量符合《地下水质量标准》（</w:t>
      </w:r>
      <w:r>
        <w:rPr>
          <w:sz w:val="24"/>
        </w:rPr>
        <w:t>GB/T14848</w:t>
      </w:r>
      <w:r>
        <w:rPr>
          <w:sz w:val="24"/>
        </w:rPr>
        <w:t>－</w:t>
      </w:r>
      <w:r>
        <w:rPr>
          <w:sz w:val="24"/>
        </w:rPr>
        <w:t>2017</w:t>
      </w:r>
      <w:r>
        <w:rPr>
          <w:sz w:val="24"/>
        </w:rPr>
        <w:t>）</w:t>
      </w:r>
      <w:r>
        <w:rPr>
          <w:sz w:val="24"/>
        </w:rPr>
        <w:t>Ⅲ</w:t>
      </w:r>
      <w:r>
        <w:rPr>
          <w:sz w:val="24"/>
        </w:rPr>
        <w:t>类标准的限值要求，石油类执行《地表水环境质量标准》（</w:t>
      </w:r>
      <w:r>
        <w:rPr>
          <w:sz w:val="24"/>
        </w:rPr>
        <w:t>GB3838-2002</w:t>
      </w:r>
      <w:r>
        <w:rPr>
          <w:sz w:val="24"/>
        </w:rPr>
        <w:t>）</w:t>
      </w:r>
      <w:r>
        <w:rPr>
          <w:sz w:val="24"/>
        </w:rPr>
        <w:t>Ⅲ</w:t>
      </w:r>
      <w:r>
        <w:rPr>
          <w:sz w:val="24"/>
        </w:rPr>
        <w:t>类标准要求。</w:t>
      </w:r>
    </w:p>
    <w:p w:rsidR="00EE4502" w:rsidRDefault="00FD45A3">
      <w:pPr>
        <w:spacing w:line="360" w:lineRule="auto"/>
        <w:ind w:firstLineChars="200" w:firstLine="480"/>
        <w:rPr>
          <w:sz w:val="24"/>
        </w:rPr>
      </w:pPr>
      <w:r>
        <w:rPr>
          <w:sz w:val="24"/>
        </w:rPr>
        <w:t>（</w:t>
      </w:r>
      <w:r>
        <w:rPr>
          <w:sz w:val="24"/>
        </w:rPr>
        <w:t>3</w:t>
      </w:r>
      <w:r>
        <w:rPr>
          <w:sz w:val="24"/>
        </w:rPr>
        <w:t>）声环境</w:t>
      </w:r>
    </w:p>
    <w:p w:rsidR="00EE4502" w:rsidRDefault="00FD45A3">
      <w:pPr>
        <w:pStyle w:val="affc"/>
        <w:spacing w:line="360" w:lineRule="auto"/>
        <w:ind w:firstLine="480"/>
        <w:rPr>
          <w:rFonts w:ascii="Times New Roman" w:hAnsi="Times New Roman"/>
          <w:spacing w:val="0"/>
          <w:sz w:val="24"/>
        </w:rPr>
      </w:pPr>
      <w:r>
        <w:rPr>
          <w:rFonts w:ascii="Times New Roman" w:hAnsi="Times New Roman"/>
          <w:spacing w:val="0"/>
          <w:sz w:val="24"/>
        </w:rPr>
        <w:t>保护评价区声环境质量符合《声环境质量标准》（</w:t>
      </w:r>
      <w:r>
        <w:rPr>
          <w:rFonts w:ascii="Times New Roman" w:hAnsi="Times New Roman"/>
          <w:spacing w:val="0"/>
          <w:sz w:val="24"/>
        </w:rPr>
        <w:t>GB3096-2008</w:t>
      </w:r>
      <w:r>
        <w:rPr>
          <w:rFonts w:ascii="Times New Roman" w:hAnsi="Times New Roman"/>
          <w:spacing w:val="0"/>
          <w:sz w:val="24"/>
        </w:rPr>
        <w:t>）</w:t>
      </w:r>
      <w:r>
        <w:rPr>
          <w:rFonts w:ascii="Times New Roman" w:hAnsi="Times New Roman"/>
          <w:spacing w:val="0"/>
          <w:sz w:val="24"/>
        </w:rPr>
        <w:t>2</w:t>
      </w:r>
      <w:r>
        <w:rPr>
          <w:rFonts w:ascii="Times New Roman" w:hAnsi="Times New Roman"/>
          <w:spacing w:val="0"/>
          <w:sz w:val="24"/>
        </w:rPr>
        <w:t>类区标准要求，不因本工程建设降低区域声环境质量。</w:t>
      </w:r>
    </w:p>
    <w:p w:rsidR="00EE4502" w:rsidRDefault="00FD45A3">
      <w:pPr>
        <w:spacing w:line="360" w:lineRule="auto"/>
        <w:ind w:firstLineChars="200" w:firstLine="480"/>
        <w:rPr>
          <w:sz w:val="24"/>
        </w:rPr>
      </w:pPr>
      <w:r>
        <w:rPr>
          <w:sz w:val="24"/>
        </w:rPr>
        <w:t>（</w:t>
      </w:r>
      <w:r>
        <w:rPr>
          <w:sz w:val="24"/>
        </w:rPr>
        <w:t>4</w:t>
      </w:r>
      <w:r>
        <w:rPr>
          <w:sz w:val="24"/>
        </w:rPr>
        <w:t>）土壤环境</w:t>
      </w:r>
    </w:p>
    <w:p w:rsidR="00EE4502" w:rsidRDefault="00FD45A3">
      <w:pPr>
        <w:spacing w:line="360" w:lineRule="auto"/>
        <w:ind w:firstLineChars="200" w:firstLine="480"/>
        <w:rPr>
          <w:sz w:val="24"/>
        </w:rPr>
      </w:pPr>
      <w:r>
        <w:rPr>
          <w:sz w:val="24"/>
        </w:rPr>
        <w:t>确保</w:t>
      </w:r>
      <w:r>
        <w:rPr>
          <w:rFonts w:hint="eastAsia"/>
          <w:sz w:val="24"/>
        </w:rPr>
        <w:t>井场</w:t>
      </w:r>
      <w:r>
        <w:rPr>
          <w:sz w:val="24"/>
        </w:rPr>
        <w:t>占地范围内土壤质量达到《土壤环境质量</w:t>
      </w:r>
      <w:r>
        <w:rPr>
          <w:sz w:val="24"/>
        </w:rPr>
        <w:t xml:space="preserve"> </w:t>
      </w:r>
      <w:r>
        <w:rPr>
          <w:sz w:val="24"/>
        </w:rPr>
        <w:t>建设用地土壤污染风险管控标准（试行）》（</w:t>
      </w:r>
      <w:r>
        <w:rPr>
          <w:sz w:val="24"/>
        </w:rPr>
        <w:t>GB36600-2018</w:t>
      </w:r>
      <w:r>
        <w:rPr>
          <w:sz w:val="24"/>
        </w:rPr>
        <w:t>）第二类用地土壤筛选值要求；确保</w:t>
      </w:r>
      <w:r>
        <w:rPr>
          <w:rFonts w:hint="eastAsia"/>
          <w:sz w:val="24"/>
        </w:rPr>
        <w:t>井场</w:t>
      </w:r>
      <w:r>
        <w:rPr>
          <w:sz w:val="24"/>
        </w:rPr>
        <w:t>占地范围外农用地土壤质量达到《土壤环境质量</w:t>
      </w:r>
      <w:r>
        <w:rPr>
          <w:sz w:val="24"/>
        </w:rPr>
        <w:t xml:space="preserve"> </w:t>
      </w:r>
      <w:r>
        <w:rPr>
          <w:sz w:val="24"/>
        </w:rPr>
        <w:t>农用地土壤污染风险管控标准（试行）》（</w:t>
      </w:r>
      <w:r>
        <w:rPr>
          <w:sz w:val="24"/>
        </w:rPr>
        <w:t>GB15618-2018</w:t>
      </w:r>
      <w:r>
        <w:rPr>
          <w:sz w:val="24"/>
        </w:rPr>
        <w:t>）污染风险筛选值。</w:t>
      </w:r>
    </w:p>
    <w:p w:rsidR="00EE4502" w:rsidRDefault="00FD45A3">
      <w:pPr>
        <w:spacing w:line="360" w:lineRule="auto"/>
        <w:ind w:firstLineChars="200" w:firstLine="480"/>
        <w:rPr>
          <w:sz w:val="24"/>
        </w:rPr>
      </w:pPr>
      <w:r>
        <w:rPr>
          <w:sz w:val="24"/>
        </w:rPr>
        <w:t>（</w:t>
      </w:r>
      <w:r>
        <w:rPr>
          <w:sz w:val="24"/>
        </w:rPr>
        <w:t>5</w:t>
      </w:r>
      <w:r>
        <w:rPr>
          <w:sz w:val="24"/>
        </w:rPr>
        <w:t>）生态环境</w:t>
      </w:r>
    </w:p>
    <w:p w:rsidR="00EE4502" w:rsidRDefault="00FD45A3">
      <w:pPr>
        <w:pStyle w:val="affc"/>
        <w:spacing w:line="360" w:lineRule="auto"/>
        <w:ind w:firstLine="480"/>
        <w:rPr>
          <w:rFonts w:ascii="Times New Roman" w:hAnsi="Times New Roman"/>
          <w:spacing w:val="0"/>
          <w:sz w:val="24"/>
        </w:rPr>
      </w:pPr>
      <w:r>
        <w:rPr>
          <w:rFonts w:ascii="Times New Roman" w:hAnsi="Times New Roman"/>
          <w:spacing w:val="0"/>
          <w:sz w:val="24"/>
        </w:rPr>
        <w:t>保护评价</w:t>
      </w:r>
      <w:r>
        <w:rPr>
          <w:rFonts w:ascii="Times New Roman" w:hAnsi="Times New Roman" w:hint="eastAsia"/>
          <w:spacing w:val="0"/>
          <w:sz w:val="24"/>
        </w:rPr>
        <w:t>范围</w:t>
      </w:r>
      <w:r>
        <w:rPr>
          <w:rFonts w:ascii="Times New Roman" w:hAnsi="Times New Roman"/>
          <w:spacing w:val="0"/>
          <w:sz w:val="24"/>
        </w:rPr>
        <w:t>生态环境，防止生态破坏和土壤污染，保护油田区内的野生动、植物及其生境不受破坏，重点保护</w:t>
      </w:r>
      <w:r>
        <w:rPr>
          <w:rFonts w:ascii="Times New Roman" w:hAnsi="Times New Roman" w:hint="eastAsia"/>
          <w:spacing w:val="0"/>
          <w:sz w:val="24"/>
        </w:rPr>
        <w:t>评价范围</w:t>
      </w:r>
      <w:r>
        <w:rPr>
          <w:rFonts w:ascii="Times New Roman" w:hAnsi="Times New Roman"/>
          <w:spacing w:val="0"/>
          <w:sz w:val="24"/>
        </w:rPr>
        <w:t>内</w:t>
      </w:r>
      <w:r>
        <w:rPr>
          <w:rFonts w:ascii="Times New Roman" w:hAnsi="Times New Roman" w:hint="eastAsia"/>
          <w:spacing w:val="0"/>
          <w:sz w:val="24"/>
        </w:rPr>
        <w:t>的公益林</w:t>
      </w:r>
      <w:r>
        <w:rPr>
          <w:rFonts w:ascii="Times New Roman" w:hAnsi="Times New Roman"/>
          <w:spacing w:val="0"/>
          <w:sz w:val="24"/>
        </w:rPr>
        <w:t>。最大限度地减少地表土</w:t>
      </w:r>
      <w:r>
        <w:rPr>
          <w:rFonts w:ascii="Times New Roman" w:hAnsi="Times New Roman"/>
          <w:spacing w:val="0"/>
          <w:sz w:val="24"/>
        </w:rPr>
        <w:lastRenderedPageBreak/>
        <w:t>壤扰动和植被破坏。</w:t>
      </w:r>
    </w:p>
    <w:p w:rsidR="00EE4502" w:rsidRDefault="00FD45A3">
      <w:pPr>
        <w:spacing w:line="360" w:lineRule="auto"/>
        <w:ind w:firstLineChars="200" w:firstLine="480"/>
        <w:rPr>
          <w:sz w:val="24"/>
        </w:rPr>
      </w:pPr>
      <w:r>
        <w:rPr>
          <w:sz w:val="24"/>
        </w:rPr>
        <w:t>（</w:t>
      </w:r>
      <w:r>
        <w:rPr>
          <w:rFonts w:hint="eastAsia"/>
          <w:sz w:val="24"/>
        </w:rPr>
        <w:t>6</w:t>
      </w:r>
      <w:r>
        <w:rPr>
          <w:sz w:val="24"/>
        </w:rPr>
        <w:t>）环境风险</w:t>
      </w:r>
    </w:p>
    <w:p w:rsidR="00EE4502" w:rsidRDefault="00FD45A3">
      <w:pPr>
        <w:spacing w:line="360" w:lineRule="auto"/>
        <w:ind w:firstLineChars="200" w:firstLine="480"/>
        <w:rPr>
          <w:sz w:val="24"/>
        </w:rPr>
      </w:pPr>
      <w:r>
        <w:rPr>
          <w:sz w:val="24"/>
        </w:rPr>
        <w:t>发生风险事故时，可快速采取环境风险防范措施，确保风险事故对土壤、地下水等环境的影响程度可控</w:t>
      </w:r>
      <w:r>
        <w:rPr>
          <w:rFonts w:hint="eastAsia"/>
          <w:sz w:val="24"/>
        </w:rPr>
        <w:t>。</w:t>
      </w:r>
    </w:p>
    <w:p w:rsidR="00EE4502" w:rsidRDefault="00EE4502">
      <w:pPr>
        <w:spacing w:line="360" w:lineRule="auto"/>
        <w:jc w:val="center"/>
        <w:rPr>
          <w:rFonts w:ascii="黑体" w:eastAsia="黑体" w:hAnsi="黑体" w:cs="黑体"/>
          <w:szCs w:val="21"/>
        </w:rPr>
      </w:pPr>
    </w:p>
    <w:p w:rsidR="00EE4502" w:rsidRDefault="00FD45A3">
      <w:pPr>
        <w:pStyle w:val="22"/>
        <w:numPr>
          <w:ilvl w:val="1"/>
          <w:numId w:val="30"/>
        </w:numPr>
        <w:rPr>
          <w:spacing w:val="0"/>
          <w:w w:val="100"/>
        </w:rPr>
      </w:pPr>
      <w:bookmarkStart w:id="63" w:name="_Toc4975"/>
      <w:bookmarkStart w:id="64" w:name="_Toc64451711"/>
      <w:bookmarkStart w:id="65" w:name="_Toc64269273"/>
      <w:bookmarkStart w:id="66" w:name="_Toc70914920"/>
      <w:bookmarkStart w:id="67" w:name="_Toc70914617"/>
      <w:bookmarkStart w:id="68" w:name="_Toc73401764"/>
      <w:bookmarkStart w:id="69" w:name="_Toc69097395"/>
      <w:bookmarkStart w:id="70" w:name="_Toc64270099"/>
      <w:bookmarkStart w:id="71" w:name="_Toc71079765"/>
      <w:bookmarkStart w:id="72" w:name="_Toc69099941"/>
      <w:bookmarkStart w:id="73" w:name="_Toc63645918"/>
      <w:bookmarkEnd w:id="53"/>
      <w:bookmarkEnd w:id="54"/>
      <w:r>
        <w:rPr>
          <w:rFonts w:hint="eastAsia"/>
          <w:spacing w:val="0"/>
          <w:w w:val="100"/>
        </w:rPr>
        <w:t>评价内容和评价重点</w:t>
      </w:r>
      <w:bookmarkEnd w:id="63"/>
    </w:p>
    <w:bookmarkEnd w:id="64"/>
    <w:bookmarkEnd w:id="65"/>
    <w:p w:rsidR="00EE4502" w:rsidRDefault="00FD45A3">
      <w:pPr>
        <w:pStyle w:val="33"/>
        <w:numPr>
          <w:ilvl w:val="2"/>
          <w:numId w:val="30"/>
        </w:numPr>
        <w:spacing w:line="360" w:lineRule="auto"/>
        <w:ind w:left="0" w:firstLine="0"/>
        <w:rPr>
          <w:spacing w:val="0"/>
          <w:sz w:val="24"/>
          <w:szCs w:val="24"/>
        </w:rPr>
      </w:pPr>
      <w:r>
        <w:rPr>
          <w:rFonts w:hint="eastAsia"/>
          <w:spacing w:val="0"/>
          <w:sz w:val="24"/>
          <w:szCs w:val="24"/>
        </w:rPr>
        <w:t>评价内容</w:t>
      </w:r>
    </w:p>
    <w:p w:rsidR="00EE4502" w:rsidRDefault="00FD45A3">
      <w:pPr>
        <w:spacing w:line="360" w:lineRule="auto"/>
        <w:ind w:firstLineChars="200" w:firstLine="480"/>
        <w:rPr>
          <w:sz w:val="24"/>
        </w:rPr>
      </w:pPr>
      <w:r>
        <w:rPr>
          <w:rFonts w:hint="eastAsia"/>
          <w:sz w:val="24"/>
        </w:rPr>
        <w:t>根据本项目特点及周围环境特征，将本次评价工作内容列于表</w:t>
      </w:r>
      <w:r>
        <w:rPr>
          <w:rFonts w:hint="eastAsia"/>
          <w:sz w:val="24"/>
        </w:rPr>
        <w:t>2-7-1</w:t>
      </w:r>
      <w:r>
        <w:rPr>
          <w:rFonts w:hint="eastAsia"/>
          <w:sz w:val="24"/>
        </w:rPr>
        <w:t>。</w:t>
      </w:r>
    </w:p>
    <w:p w:rsidR="00EE4502" w:rsidRDefault="00FD45A3">
      <w:pPr>
        <w:spacing w:line="360" w:lineRule="auto"/>
        <w:jc w:val="center"/>
        <w:rPr>
          <w:rFonts w:ascii="黑体" w:eastAsia="黑体" w:hAnsi="黑体" w:cs="黑体"/>
          <w:szCs w:val="21"/>
        </w:rPr>
      </w:pPr>
      <w:r>
        <w:rPr>
          <w:rFonts w:ascii="黑体" w:eastAsia="黑体" w:hAnsi="黑体" w:cs="黑体" w:hint="eastAsia"/>
          <w:szCs w:val="21"/>
        </w:rPr>
        <w:t>表</w:t>
      </w:r>
      <w:r>
        <w:rPr>
          <w:rFonts w:ascii="黑体" w:eastAsia="黑体" w:hAnsi="黑体" w:cs="黑体" w:hint="eastAsia"/>
          <w:szCs w:val="21"/>
        </w:rPr>
        <w:t xml:space="preserve">2-7-1  </w:t>
      </w:r>
      <w:r>
        <w:rPr>
          <w:rFonts w:ascii="黑体" w:eastAsia="黑体" w:hAnsi="黑体" w:cs="黑体" w:hint="eastAsia"/>
          <w:szCs w:val="21"/>
        </w:rPr>
        <w:t>评价内容一览表</w:t>
      </w:r>
    </w:p>
    <w:tbl>
      <w:tblPr>
        <w:tblW w:w="4998"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04"/>
        <w:gridCol w:w="1098"/>
        <w:gridCol w:w="6757"/>
      </w:tblGrid>
      <w:tr w:rsidR="00EE4502">
        <w:trPr>
          <w:trHeight w:val="340"/>
          <w:jc w:val="center"/>
        </w:trPr>
        <w:tc>
          <w:tcPr>
            <w:tcW w:w="301" w:type="pct"/>
            <w:vAlign w:val="center"/>
          </w:tcPr>
          <w:p w:rsidR="00EE4502" w:rsidRDefault="00FD45A3">
            <w:pPr>
              <w:widowControl/>
              <w:jc w:val="center"/>
              <w:rPr>
                <w:kern w:val="0"/>
                <w:szCs w:val="20"/>
              </w:rPr>
            </w:pPr>
            <w:r>
              <w:rPr>
                <w:rFonts w:hint="eastAsia"/>
                <w:kern w:val="0"/>
                <w:szCs w:val="20"/>
              </w:rPr>
              <w:t>序号</w:t>
            </w:r>
          </w:p>
        </w:tc>
        <w:tc>
          <w:tcPr>
            <w:tcW w:w="657" w:type="pct"/>
            <w:vAlign w:val="center"/>
          </w:tcPr>
          <w:p w:rsidR="00EE4502" w:rsidRDefault="00FD45A3">
            <w:pPr>
              <w:widowControl/>
              <w:jc w:val="center"/>
              <w:rPr>
                <w:kern w:val="0"/>
                <w:szCs w:val="20"/>
              </w:rPr>
            </w:pPr>
            <w:r>
              <w:rPr>
                <w:rFonts w:hint="eastAsia"/>
                <w:kern w:val="0"/>
                <w:szCs w:val="20"/>
              </w:rPr>
              <w:t>项目</w:t>
            </w:r>
          </w:p>
        </w:tc>
        <w:tc>
          <w:tcPr>
            <w:tcW w:w="4041" w:type="pct"/>
            <w:vAlign w:val="center"/>
          </w:tcPr>
          <w:p w:rsidR="00EE4502" w:rsidRDefault="00FD45A3">
            <w:pPr>
              <w:widowControl/>
              <w:jc w:val="center"/>
              <w:rPr>
                <w:kern w:val="0"/>
                <w:szCs w:val="20"/>
              </w:rPr>
            </w:pPr>
            <w:r>
              <w:rPr>
                <w:rFonts w:hint="eastAsia"/>
                <w:kern w:val="0"/>
                <w:szCs w:val="20"/>
              </w:rPr>
              <w:t>内容</w:t>
            </w:r>
          </w:p>
        </w:tc>
      </w:tr>
      <w:tr w:rsidR="00EE4502">
        <w:trPr>
          <w:trHeight w:val="340"/>
          <w:jc w:val="center"/>
        </w:trPr>
        <w:tc>
          <w:tcPr>
            <w:tcW w:w="301" w:type="pct"/>
            <w:vAlign w:val="center"/>
          </w:tcPr>
          <w:p w:rsidR="00EE4502" w:rsidRDefault="00FD45A3">
            <w:pPr>
              <w:widowControl/>
              <w:jc w:val="center"/>
              <w:rPr>
                <w:kern w:val="0"/>
                <w:szCs w:val="20"/>
              </w:rPr>
            </w:pPr>
            <w:r>
              <w:rPr>
                <w:rFonts w:hint="eastAsia"/>
                <w:kern w:val="0"/>
                <w:szCs w:val="20"/>
              </w:rPr>
              <w:t>1</w:t>
            </w:r>
          </w:p>
        </w:tc>
        <w:tc>
          <w:tcPr>
            <w:tcW w:w="657" w:type="pct"/>
            <w:vAlign w:val="center"/>
          </w:tcPr>
          <w:p w:rsidR="00EE4502" w:rsidRDefault="00FD45A3">
            <w:pPr>
              <w:widowControl/>
              <w:jc w:val="center"/>
              <w:rPr>
                <w:kern w:val="0"/>
                <w:szCs w:val="20"/>
              </w:rPr>
            </w:pPr>
            <w:r>
              <w:rPr>
                <w:rFonts w:hint="eastAsia"/>
                <w:kern w:val="0"/>
                <w:szCs w:val="20"/>
              </w:rPr>
              <w:t>概述</w:t>
            </w:r>
          </w:p>
        </w:tc>
        <w:tc>
          <w:tcPr>
            <w:tcW w:w="4041" w:type="pct"/>
            <w:vAlign w:val="center"/>
          </w:tcPr>
          <w:p w:rsidR="00EE4502" w:rsidRDefault="00FD45A3">
            <w:pPr>
              <w:widowControl/>
              <w:rPr>
                <w:kern w:val="0"/>
                <w:szCs w:val="20"/>
              </w:rPr>
            </w:pPr>
            <w:r>
              <w:rPr>
                <w:rFonts w:hint="eastAsia"/>
                <w:kern w:val="0"/>
                <w:szCs w:val="20"/>
              </w:rPr>
              <w:t>建设项目特点、环境影响评价工作过程、分析判定相关情况、关注的主要环境问题及环境影响、环境影响评价的主要结论</w:t>
            </w:r>
          </w:p>
        </w:tc>
      </w:tr>
      <w:tr w:rsidR="00EE4502">
        <w:trPr>
          <w:trHeight w:val="340"/>
          <w:jc w:val="center"/>
        </w:trPr>
        <w:tc>
          <w:tcPr>
            <w:tcW w:w="301" w:type="pct"/>
            <w:vAlign w:val="center"/>
          </w:tcPr>
          <w:p w:rsidR="00EE4502" w:rsidRDefault="00FD45A3">
            <w:pPr>
              <w:widowControl/>
              <w:jc w:val="center"/>
              <w:rPr>
                <w:kern w:val="0"/>
                <w:szCs w:val="20"/>
              </w:rPr>
            </w:pPr>
            <w:r>
              <w:rPr>
                <w:rFonts w:hint="eastAsia"/>
                <w:kern w:val="0"/>
                <w:szCs w:val="20"/>
              </w:rPr>
              <w:t>2</w:t>
            </w:r>
          </w:p>
        </w:tc>
        <w:tc>
          <w:tcPr>
            <w:tcW w:w="657" w:type="pct"/>
            <w:vAlign w:val="center"/>
          </w:tcPr>
          <w:p w:rsidR="00EE4502" w:rsidRDefault="00FD45A3">
            <w:pPr>
              <w:widowControl/>
              <w:jc w:val="center"/>
              <w:rPr>
                <w:kern w:val="0"/>
                <w:szCs w:val="20"/>
              </w:rPr>
            </w:pPr>
            <w:r>
              <w:rPr>
                <w:rFonts w:hint="eastAsia"/>
                <w:kern w:val="0"/>
                <w:szCs w:val="20"/>
              </w:rPr>
              <w:t>总则</w:t>
            </w:r>
          </w:p>
        </w:tc>
        <w:tc>
          <w:tcPr>
            <w:tcW w:w="4041" w:type="pct"/>
            <w:vAlign w:val="center"/>
          </w:tcPr>
          <w:p w:rsidR="00EE4502" w:rsidRDefault="00FD45A3">
            <w:pPr>
              <w:widowControl/>
              <w:rPr>
                <w:kern w:val="0"/>
                <w:szCs w:val="20"/>
              </w:rPr>
            </w:pPr>
            <w:r>
              <w:rPr>
                <w:kern w:val="0"/>
                <w:szCs w:val="20"/>
              </w:rPr>
              <w:t>编制依据</w:t>
            </w:r>
            <w:r>
              <w:rPr>
                <w:rFonts w:hint="eastAsia"/>
                <w:kern w:val="0"/>
                <w:szCs w:val="20"/>
              </w:rPr>
              <w:t>、评价目的和评价原则、环境影响因素和评价因子、环境功能区划及评价标准、评价工作等级和评价范围、环境保护目标、评价内容和评价重点、评价时段和评价方法</w:t>
            </w:r>
          </w:p>
        </w:tc>
      </w:tr>
      <w:tr w:rsidR="00EE4502">
        <w:trPr>
          <w:trHeight w:val="340"/>
          <w:jc w:val="center"/>
        </w:trPr>
        <w:tc>
          <w:tcPr>
            <w:tcW w:w="301" w:type="pct"/>
            <w:vAlign w:val="center"/>
          </w:tcPr>
          <w:p w:rsidR="00EE4502" w:rsidRDefault="00FD45A3">
            <w:pPr>
              <w:widowControl/>
              <w:jc w:val="center"/>
              <w:rPr>
                <w:kern w:val="0"/>
                <w:szCs w:val="20"/>
              </w:rPr>
            </w:pPr>
            <w:r>
              <w:rPr>
                <w:rFonts w:hint="eastAsia"/>
                <w:kern w:val="0"/>
                <w:szCs w:val="20"/>
              </w:rPr>
              <w:t>3</w:t>
            </w:r>
          </w:p>
        </w:tc>
        <w:tc>
          <w:tcPr>
            <w:tcW w:w="657" w:type="pct"/>
            <w:vAlign w:val="center"/>
          </w:tcPr>
          <w:p w:rsidR="00EE4502" w:rsidRDefault="00FD45A3">
            <w:pPr>
              <w:widowControl/>
              <w:jc w:val="center"/>
              <w:rPr>
                <w:kern w:val="0"/>
                <w:szCs w:val="20"/>
              </w:rPr>
            </w:pPr>
            <w:r>
              <w:rPr>
                <w:rFonts w:hint="eastAsia"/>
                <w:kern w:val="0"/>
                <w:szCs w:val="20"/>
              </w:rPr>
              <w:t>建设项目工程概况和工程分析</w:t>
            </w:r>
          </w:p>
        </w:tc>
        <w:tc>
          <w:tcPr>
            <w:tcW w:w="4041" w:type="pct"/>
            <w:vAlign w:val="center"/>
          </w:tcPr>
          <w:p w:rsidR="00EE4502" w:rsidRDefault="00FD45A3">
            <w:pPr>
              <w:widowControl/>
              <w:rPr>
                <w:kern w:val="0"/>
                <w:szCs w:val="20"/>
              </w:rPr>
            </w:pPr>
            <w:r>
              <w:rPr>
                <w:rFonts w:hint="eastAsia"/>
                <w:kern w:val="0"/>
                <w:szCs w:val="20"/>
              </w:rPr>
              <w:t>（</w:t>
            </w:r>
            <w:r>
              <w:rPr>
                <w:rFonts w:hint="eastAsia"/>
                <w:kern w:val="0"/>
                <w:szCs w:val="20"/>
              </w:rPr>
              <w:t>1</w:t>
            </w:r>
            <w:r>
              <w:rPr>
                <w:rFonts w:hint="eastAsia"/>
                <w:kern w:val="0"/>
                <w:szCs w:val="20"/>
              </w:rPr>
              <w:t>）</w:t>
            </w:r>
            <w:r>
              <w:rPr>
                <w:rFonts w:hint="eastAsia"/>
                <w:kern w:val="0"/>
                <w:szCs w:val="20"/>
              </w:rPr>
              <w:t>区块开发现状及环境影响回顾：主要介绍</w:t>
            </w:r>
            <w:r>
              <w:rPr>
                <w:rFonts w:hint="eastAsia"/>
                <w:kern w:val="0"/>
                <w:szCs w:val="20"/>
              </w:rPr>
              <w:t>春风</w:t>
            </w:r>
            <w:r>
              <w:rPr>
                <w:rFonts w:hint="eastAsia"/>
                <w:kern w:val="0"/>
                <w:szCs w:val="20"/>
              </w:rPr>
              <w:t>油田区块开发现状、“三同时”执行情况、环境影响回顾性评价、区块污染物排放情况、环境问题及“以新带老”改进意见。</w:t>
            </w:r>
          </w:p>
          <w:p w:rsidR="00EE4502" w:rsidRDefault="00FD45A3">
            <w:pPr>
              <w:widowControl/>
              <w:rPr>
                <w:kern w:val="0"/>
                <w:szCs w:val="20"/>
              </w:rPr>
            </w:pPr>
            <w:r>
              <w:rPr>
                <w:rFonts w:hint="eastAsia"/>
                <w:kern w:val="0"/>
                <w:szCs w:val="20"/>
              </w:rPr>
              <w:t>（</w:t>
            </w:r>
            <w:r>
              <w:rPr>
                <w:rFonts w:hint="eastAsia"/>
                <w:kern w:val="0"/>
                <w:szCs w:val="20"/>
              </w:rPr>
              <w:t>2</w:t>
            </w:r>
            <w:r>
              <w:rPr>
                <w:rFonts w:hint="eastAsia"/>
                <w:kern w:val="0"/>
                <w:szCs w:val="20"/>
              </w:rPr>
              <w:t>）</w:t>
            </w:r>
            <w:r>
              <w:rPr>
                <w:rFonts w:hint="eastAsia"/>
                <w:kern w:val="0"/>
                <w:szCs w:val="20"/>
              </w:rPr>
              <w:t>现有工程：现有工程概况、现有工程“三同时”执行情况、现有工程污染物达标情况、现有</w:t>
            </w:r>
            <w:r>
              <w:rPr>
                <w:rFonts w:hint="eastAsia"/>
                <w:kern w:val="0"/>
                <w:szCs w:val="20"/>
                <w:lang w:val="zh-CN"/>
              </w:rPr>
              <w:t>工程污染物</w:t>
            </w:r>
            <w:r>
              <w:rPr>
                <w:rFonts w:hint="eastAsia"/>
                <w:kern w:val="0"/>
                <w:szCs w:val="20"/>
              </w:rPr>
              <w:t>年</w:t>
            </w:r>
            <w:r>
              <w:rPr>
                <w:rFonts w:hint="eastAsia"/>
                <w:kern w:val="0"/>
                <w:szCs w:val="20"/>
                <w:lang w:val="zh-CN"/>
              </w:rPr>
              <w:t>排放量、</w:t>
            </w:r>
            <w:r>
              <w:rPr>
                <w:rFonts w:hint="eastAsia"/>
                <w:kern w:val="0"/>
                <w:szCs w:val="20"/>
              </w:rPr>
              <w:t>现有工程环境问题及“以新带老”改进意见。</w:t>
            </w:r>
          </w:p>
          <w:p w:rsidR="00EE4502" w:rsidRDefault="00FD45A3">
            <w:pPr>
              <w:widowControl/>
              <w:rPr>
                <w:kern w:val="0"/>
                <w:szCs w:val="20"/>
              </w:rPr>
            </w:pPr>
            <w:r>
              <w:rPr>
                <w:rFonts w:hint="eastAsia"/>
                <w:kern w:val="0"/>
                <w:szCs w:val="20"/>
              </w:rPr>
              <w:t>（</w:t>
            </w:r>
            <w:r>
              <w:rPr>
                <w:rFonts w:hint="eastAsia"/>
                <w:kern w:val="0"/>
                <w:szCs w:val="20"/>
              </w:rPr>
              <w:t>3</w:t>
            </w:r>
            <w:r>
              <w:rPr>
                <w:rFonts w:hint="eastAsia"/>
                <w:kern w:val="0"/>
                <w:szCs w:val="20"/>
              </w:rPr>
              <w:t>）</w:t>
            </w:r>
            <w:r>
              <w:rPr>
                <w:rFonts w:hint="eastAsia"/>
                <w:kern w:val="0"/>
                <w:szCs w:val="20"/>
              </w:rPr>
              <w:t>拟建工程：项目概况、油气资源概况、主要技术经济指标、工程组成</w:t>
            </w:r>
            <w:r>
              <w:rPr>
                <w:rFonts w:hint="eastAsia"/>
                <w:kern w:val="0"/>
                <w:szCs w:val="20"/>
              </w:rPr>
              <w:t>。</w:t>
            </w:r>
          </w:p>
          <w:p w:rsidR="00EE4502" w:rsidRDefault="00FD45A3">
            <w:pPr>
              <w:widowControl/>
              <w:rPr>
                <w:kern w:val="0"/>
                <w:szCs w:val="20"/>
              </w:rPr>
            </w:pPr>
            <w:r>
              <w:rPr>
                <w:rFonts w:hint="eastAsia"/>
                <w:kern w:val="0"/>
                <w:szCs w:val="20"/>
              </w:rPr>
              <w:t>（</w:t>
            </w:r>
            <w:r>
              <w:rPr>
                <w:rFonts w:hint="eastAsia"/>
                <w:kern w:val="0"/>
                <w:szCs w:val="20"/>
              </w:rPr>
              <w:t>4</w:t>
            </w:r>
            <w:r>
              <w:rPr>
                <w:rFonts w:hint="eastAsia"/>
                <w:kern w:val="0"/>
                <w:szCs w:val="20"/>
              </w:rPr>
              <w:t>）</w:t>
            </w:r>
            <w:r>
              <w:rPr>
                <w:rFonts w:hint="eastAsia"/>
                <w:kern w:val="0"/>
                <w:szCs w:val="20"/>
              </w:rPr>
              <w:t>工程分析：</w:t>
            </w:r>
            <w:r>
              <w:rPr>
                <w:rFonts w:hint="eastAsia"/>
                <w:kern w:val="0"/>
                <w:szCs w:val="20"/>
              </w:rPr>
              <w:t>工艺流程及产排污节点、施工期污染源及其防治措施、运营期污染源及其防治措施、退役期污染源及其防治措施、非正常排放、清洁生产分析、</w:t>
            </w:r>
            <w:r>
              <w:rPr>
                <w:rFonts w:hint="eastAsia"/>
                <w:kern w:val="0"/>
                <w:szCs w:val="20"/>
              </w:rPr>
              <w:t>“三本账”</w:t>
            </w:r>
            <w:r>
              <w:rPr>
                <w:rFonts w:hint="eastAsia"/>
                <w:kern w:val="0"/>
                <w:szCs w:val="20"/>
              </w:rPr>
              <w:t>、污染物总量控制分析。</w:t>
            </w:r>
          </w:p>
          <w:p w:rsidR="00EE4502" w:rsidRDefault="00FD45A3">
            <w:pPr>
              <w:widowControl/>
              <w:rPr>
                <w:kern w:val="0"/>
                <w:szCs w:val="20"/>
              </w:rPr>
            </w:pPr>
            <w:r>
              <w:rPr>
                <w:rFonts w:hint="eastAsia"/>
                <w:kern w:val="0"/>
                <w:szCs w:val="20"/>
              </w:rPr>
              <w:t>（</w:t>
            </w:r>
            <w:r>
              <w:rPr>
                <w:rFonts w:hint="eastAsia"/>
                <w:kern w:val="0"/>
                <w:szCs w:val="20"/>
              </w:rPr>
              <w:t>5</w:t>
            </w:r>
            <w:r>
              <w:rPr>
                <w:rFonts w:hint="eastAsia"/>
                <w:kern w:val="0"/>
                <w:szCs w:val="20"/>
              </w:rPr>
              <w:t>）相关政策法规、规划符合性分析：产业政策符合性分析、相关法规、政策、规范、规划符合性分析，生态环境分区管控符合性分析。</w:t>
            </w:r>
          </w:p>
          <w:p w:rsidR="00EE4502" w:rsidRDefault="00FD45A3">
            <w:pPr>
              <w:widowControl/>
              <w:rPr>
                <w:kern w:val="0"/>
                <w:szCs w:val="20"/>
              </w:rPr>
            </w:pPr>
            <w:r>
              <w:rPr>
                <w:rFonts w:hint="eastAsia"/>
                <w:kern w:val="0"/>
                <w:szCs w:val="20"/>
              </w:rPr>
              <w:t>（</w:t>
            </w:r>
            <w:r>
              <w:rPr>
                <w:rFonts w:hint="eastAsia"/>
                <w:kern w:val="0"/>
                <w:szCs w:val="20"/>
              </w:rPr>
              <w:t>6</w:t>
            </w:r>
            <w:r>
              <w:rPr>
                <w:rFonts w:hint="eastAsia"/>
                <w:kern w:val="0"/>
                <w:szCs w:val="20"/>
              </w:rPr>
              <w:t>）选址选线合理性分析。</w:t>
            </w:r>
          </w:p>
        </w:tc>
      </w:tr>
      <w:tr w:rsidR="00EE4502">
        <w:trPr>
          <w:trHeight w:val="340"/>
          <w:jc w:val="center"/>
        </w:trPr>
        <w:tc>
          <w:tcPr>
            <w:tcW w:w="301" w:type="pct"/>
            <w:vAlign w:val="center"/>
          </w:tcPr>
          <w:p w:rsidR="00EE4502" w:rsidRDefault="00FD45A3">
            <w:pPr>
              <w:widowControl/>
              <w:jc w:val="center"/>
              <w:rPr>
                <w:kern w:val="0"/>
                <w:szCs w:val="20"/>
              </w:rPr>
            </w:pPr>
            <w:r>
              <w:rPr>
                <w:rFonts w:hint="eastAsia"/>
                <w:kern w:val="0"/>
                <w:szCs w:val="20"/>
              </w:rPr>
              <w:t>4</w:t>
            </w:r>
          </w:p>
        </w:tc>
        <w:tc>
          <w:tcPr>
            <w:tcW w:w="657" w:type="pct"/>
            <w:vAlign w:val="center"/>
          </w:tcPr>
          <w:p w:rsidR="00EE4502" w:rsidRDefault="00FD45A3">
            <w:pPr>
              <w:widowControl/>
              <w:jc w:val="center"/>
              <w:rPr>
                <w:kern w:val="0"/>
                <w:szCs w:val="20"/>
              </w:rPr>
            </w:pPr>
            <w:r>
              <w:rPr>
                <w:rFonts w:hint="eastAsia"/>
                <w:kern w:val="0"/>
                <w:szCs w:val="20"/>
              </w:rPr>
              <w:t>环境现状调查与评价</w:t>
            </w:r>
          </w:p>
        </w:tc>
        <w:tc>
          <w:tcPr>
            <w:tcW w:w="4041" w:type="pct"/>
            <w:vAlign w:val="center"/>
          </w:tcPr>
          <w:p w:rsidR="00EE4502" w:rsidRDefault="00FD45A3">
            <w:pPr>
              <w:widowControl/>
              <w:rPr>
                <w:kern w:val="0"/>
                <w:szCs w:val="20"/>
              </w:rPr>
            </w:pPr>
            <w:r>
              <w:rPr>
                <w:rFonts w:hint="eastAsia"/>
                <w:kern w:val="0"/>
                <w:szCs w:val="20"/>
              </w:rPr>
              <w:t>自然环境概况、生态现状调查与评价</w:t>
            </w:r>
            <w:r>
              <w:rPr>
                <w:rFonts w:hint="eastAsia"/>
                <w:kern w:val="0"/>
                <w:szCs w:val="20"/>
              </w:rPr>
              <w:t>、水环境现状调查与评价、土壤环境现状调查与评价、大气环境现状调查与评价、声环境现状调查与评价</w:t>
            </w:r>
          </w:p>
        </w:tc>
      </w:tr>
      <w:tr w:rsidR="00EE4502">
        <w:trPr>
          <w:trHeight w:val="1800"/>
          <w:jc w:val="center"/>
        </w:trPr>
        <w:tc>
          <w:tcPr>
            <w:tcW w:w="301" w:type="pct"/>
            <w:vAlign w:val="center"/>
          </w:tcPr>
          <w:p w:rsidR="00EE4502" w:rsidRDefault="00FD45A3">
            <w:pPr>
              <w:widowControl/>
              <w:jc w:val="center"/>
              <w:rPr>
                <w:kern w:val="0"/>
                <w:szCs w:val="20"/>
              </w:rPr>
            </w:pPr>
            <w:r>
              <w:rPr>
                <w:rFonts w:hint="eastAsia"/>
                <w:kern w:val="0"/>
                <w:szCs w:val="20"/>
              </w:rPr>
              <w:t>5</w:t>
            </w:r>
          </w:p>
        </w:tc>
        <w:tc>
          <w:tcPr>
            <w:tcW w:w="657" w:type="pct"/>
            <w:vAlign w:val="center"/>
          </w:tcPr>
          <w:p w:rsidR="00EE4502" w:rsidRDefault="00FD45A3">
            <w:pPr>
              <w:widowControl/>
              <w:jc w:val="center"/>
              <w:rPr>
                <w:kern w:val="0"/>
                <w:szCs w:val="20"/>
              </w:rPr>
            </w:pPr>
            <w:r>
              <w:rPr>
                <w:rFonts w:hint="eastAsia"/>
                <w:kern w:val="0"/>
                <w:szCs w:val="20"/>
              </w:rPr>
              <w:t>环境影响预测与评价</w:t>
            </w:r>
          </w:p>
        </w:tc>
        <w:tc>
          <w:tcPr>
            <w:tcW w:w="4041" w:type="pct"/>
            <w:vAlign w:val="center"/>
          </w:tcPr>
          <w:p w:rsidR="00EE4502" w:rsidRDefault="00FD45A3">
            <w:pPr>
              <w:widowControl/>
              <w:rPr>
                <w:kern w:val="0"/>
                <w:szCs w:val="20"/>
              </w:rPr>
            </w:pPr>
            <w:r>
              <w:rPr>
                <w:rFonts w:hint="eastAsia"/>
                <w:kern w:val="0"/>
                <w:szCs w:val="20"/>
              </w:rPr>
              <w:t>施工期环境影响分析</w:t>
            </w:r>
            <w:r>
              <w:rPr>
                <w:rFonts w:hint="eastAsia"/>
                <w:kern w:val="0"/>
                <w:szCs w:val="20"/>
              </w:rPr>
              <w:t>（施工废气影响分析、施工噪声影响分析、施工期固体废物影响分析、施工废水影响分析、施工期生态影响分析）；</w:t>
            </w:r>
          </w:p>
          <w:p w:rsidR="00EE4502" w:rsidRDefault="00FD45A3">
            <w:pPr>
              <w:widowControl/>
              <w:rPr>
                <w:kern w:val="0"/>
                <w:szCs w:val="20"/>
              </w:rPr>
            </w:pPr>
            <w:r>
              <w:rPr>
                <w:rFonts w:hint="eastAsia"/>
                <w:kern w:val="0"/>
                <w:szCs w:val="20"/>
              </w:rPr>
              <w:t>运营期环境影响预测与评价</w:t>
            </w:r>
            <w:r>
              <w:rPr>
                <w:rFonts w:hint="eastAsia"/>
                <w:kern w:val="0"/>
                <w:szCs w:val="20"/>
              </w:rPr>
              <w:t>（大气环境影响评价、地表水环境影响评价、地下水环境影响评价、声环境影响评价、土壤环境影响评价、固体废物影响分析、生态影响评价、环境风险分析）；</w:t>
            </w:r>
          </w:p>
          <w:p w:rsidR="00EE4502" w:rsidRDefault="00FD45A3">
            <w:pPr>
              <w:widowControl/>
              <w:rPr>
                <w:kern w:val="0"/>
                <w:szCs w:val="20"/>
              </w:rPr>
            </w:pPr>
            <w:r>
              <w:rPr>
                <w:rFonts w:hint="eastAsia"/>
                <w:kern w:val="0"/>
                <w:szCs w:val="20"/>
              </w:rPr>
              <w:t>退役期影响分析</w:t>
            </w:r>
            <w:r>
              <w:rPr>
                <w:rFonts w:hint="eastAsia"/>
                <w:kern w:val="0"/>
                <w:szCs w:val="20"/>
              </w:rPr>
              <w:t>（退役期污染物情况、退役期生态保护措施）；</w:t>
            </w:r>
          </w:p>
        </w:tc>
      </w:tr>
      <w:tr w:rsidR="00EE4502">
        <w:trPr>
          <w:trHeight w:val="340"/>
          <w:jc w:val="center"/>
        </w:trPr>
        <w:tc>
          <w:tcPr>
            <w:tcW w:w="301" w:type="pct"/>
            <w:vAlign w:val="center"/>
          </w:tcPr>
          <w:p w:rsidR="00EE4502" w:rsidRDefault="00FD45A3">
            <w:pPr>
              <w:widowControl/>
              <w:jc w:val="center"/>
              <w:rPr>
                <w:kern w:val="0"/>
                <w:szCs w:val="20"/>
              </w:rPr>
            </w:pPr>
            <w:r>
              <w:rPr>
                <w:rFonts w:hint="eastAsia"/>
                <w:kern w:val="0"/>
                <w:szCs w:val="20"/>
              </w:rPr>
              <w:t>6</w:t>
            </w:r>
          </w:p>
        </w:tc>
        <w:tc>
          <w:tcPr>
            <w:tcW w:w="657" w:type="pct"/>
            <w:vAlign w:val="center"/>
          </w:tcPr>
          <w:p w:rsidR="00EE4502" w:rsidRDefault="00FD45A3">
            <w:pPr>
              <w:widowControl/>
              <w:jc w:val="center"/>
              <w:rPr>
                <w:kern w:val="0"/>
                <w:szCs w:val="20"/>
              </w:rPr>
            </w:pPr>
            <w:r>
              <w:rPr>
                <w:rFonts w:hint="eastAsia"/>
                <w:kern w:val="0"/>
                <w:szCs w:val="20"/>
              </w:rPr>
              <w:t>环境保护措施可行性论证</w:t>
            </w:r>
          </w:p>
        </w:tc>
        <w:tc>
          <w:tcPr>
            <w:tcW w:w="4041" w:type="pct"/>
            <w:vAlign w:val="center"/>
          </w:tcPr>
          <w:p w:rsidR="00EE4502" w:rsidRDefault="00FD45A3">
            <w:pPr>
              <w:widowControl/>
              <w:rPr>
                <w:kern w:val="0"/>
                <w:szCs w:val="20"/>
              </w:rPr>
            </w:pPr>
            <w:r>
              <w:rPr>
                <w:rFonts w:hint="eastAsia"/>
                <w:kern w:val="0"/>
                <w:szCs w:val="20"/>
              </w:rPr>
              <w:t>针对本项目拟采取的污染防治、生态保护、环境风险防范等环境保护措施，分析论证其技术可行性、经济合理性、长期稳定运行和达标排放的可靠性、满足环境质量改善和排污许可要求的可行性、生态保护和恢复效果的可达性</w:t>
            </w:r>
          </w:p>
        </w:tc>
      </w:tr>
      <w:tr w:rsidR="00EE4502">
        <w:trPr>
          <w:trHeight w:val="340"/>
          <w:jc w:val="center"/>
        </w:trPr>
        <w:tc>
          <w:tcPr>
            <w:tcW w:w="301" w:type="pct"/>
            <w:vAlign w:val="center"/>
          </w:tcPr>
          <w:p w:rsidR="00EE4502" w:rsidRDefault="00FD45A3">
            <w:pPr>
              <w:widowControl/>
              <w:jc w:val="center"/>
              <w:rPr>
                <w:kern w:val="0"/>
                <w:szCs w:val="20"/>
              </w:rPr>
            </w:pPr>
            <w:r>
              <w:rPr>
                <w:rFonts w:hint="eastAsia"/>
                <w:kern w:val="0"/>
                <w:szCs w:val="20"/>
              </w:rPr>
              <w:t>7</w:t>
            </w:r>
          </w:p>
        </w:tc>
        <w:tc>
          <w:tcPr>
            <w:tcW w:w="657" w:type="pct"/>
            <w:vAlign w:val="center"/>
          </w:tcPr>
          <w:p w:rsidR="00EE4502" w:rsidRDefault="00FD45A3">
            <w:pPr>
              <w:widowControl/>
              <w:jc w:val="center"/>
              <w:rPr>
                <w:kern w:val="0"/>
                <w:szCs w:val="20"/>
              </w:rPr>
            </w:pPr>
            <w:r>
              <w:rPr>
                <w:rFonts w:hint="eastAsia"/>
                <w:kern w:val="0"/>
                <w:szCs w:val="20"/>
              </w:rPr>
              <w:t>温室气体</w:t>
            </w:r>
            <w:r>
              <w:rPr>
                <w:rFonts w:hint="eastAsia"/>
                <w:kern w:val="0"/>
                <w:szCs w:val="20"/>
              </w:rPr>
              <w:lastRenderedPageBreak/>
              <w:t>排放影响评价</w:t>
            </w:r>
          </w:p>
        </w:tc>
        <w:tc>
          <w:tcPr>
            <w:tcW w:w="4041" w:type="pct"/>
            <w:vAlign w:val="center"/>
          </w:tcPr>
          <w:p w:rsidR="00EE4502" w:rsidRDefault="00FD45A3">
            <w:pPr>
              <w:widowControl/>
              <w:rPr>
                <w:kern w:val="0"/>
                <w:szCs w:val="20"/>
              </w:rPr>
            </w:pPr>
            <w:r>
              <w:rPr>
                <w:rFonts w:hint="eastAsia"/>
                <w:kern w:val="0"/>
                <w:szCs w:val="20"/>
              </w:rPr>
              <w:lastRenderedPageBreak/>
              <w:t>温室气体排放分析</w:t>
            </w:r>
            <w:r>
              <w:rPr>
                <w:rFonts w:hint="eastAsia"/>
                <w:kern w:val="0"/>
                <w:szCs w:val="20"/>
              </w:rPr>
              <w:t>、减污降碳措施、温室气体排放评价结论</w:t>
            </w:r>
          </w:p>
        </w:tc>
      </w:tr>
      <w:tr w:rsidR="00EE4502">
        <w:trPr>
          <w:trHeight w:val="340"/>
          <w:jc w:val="center"/>
        </w:trPr>
        <w:tc>
          <w:tcPr>
            <w:tcW w:w="301" w:type="pct"/>
            <w:vAlign w:val="center"/>
          </w:tcPr>
          <w:p w:rsidR="00EE4502" w:rsidRDefault="00FD45A3">
            <w:pPr>
              <w:widowControl/>
              <w:jc w:val="center"/>
              <w:rPr>
                <w:kern w:val="0"/>
                <w:szCs w:val="20"/>
              </w:rPr>
            </w:pPr>
            <w:r>
              <w:rPr>
                <w:rFonts w:hint="eastAsia"/>
                <w:kern w:val="0"/>
                <w:szCs w:val="20"/>
              </w:rPr>
              <w:lastRenderedPageBreak/>
              <w:t>8</w:t>
            </w:r>
          </w:p>
        </w:tc>
        <w:tc>
          <w:tcPr>
            <w:tcW w:w="657" w:type="pct"/>
            <w:vAlign w:val="center"/>
          </w:tcPr>
          <w:p w:rsidR="00EE4502" w:rsidRDefault="00FD45A3">
            <w:pPr>
              <w:widowControl/>
              <w:jc w:val="center"/>
              <w:rPr>
                <w:kern w:val="0"/>
                <w:szCs w:val="20"/>
              </w:rPr>
            </w:pPr>
            <w:r>
              <w:rPr>
                <w:rFonts w:hint="eastAsia"/>
                <w:kern w:val="0"/>
                <w:szCs w:val="20"/>
              </w:rPr>
              <w:t>环境影响经济损益分析</w:t>
            </w:r>
          </w:p>
        </w:tc>
        <w:tc>
          <w:tcPr>
            <w:tcW w:w="4041" w:type="pct"/>
            <w:vAlign w:val="center"/>
          </w:tcPr>
          <w:p w:rsidR="00EE4502" w:rsidRDefault="00FD45A3">
            <w:pPr>
              <w:widowControl/>
              <w:rPr>
                <w:kern w:val="0"/>
                <w:szCs w:val="20"/>
              </w:rPr>
            </w:pPr>
            <w:r>
              <w:rPr>
                <w:rFonts w:hint="eastAsia"/>
                <w:kern w:val="0"/>
                <w:szCs w:val="20"/>
              </w:rPr>
              <w:t>从项目实施后的环境影响的正负两方面，以定性与定量相结合的方式，对工程的环境影响后果进行经济损益核算，估算建设项目环境影响的经济价值</w:t>
            </w:r>
          </w:p>
        </w:tc>
      </w:tr>
      <w:tr w:rsidR="00EE4502">
        <w:trPr>
          <w:trHeight w:val="340"/>
          <w:jc w:val="center"/>
        </w:trPr>
        <w:tc>
          <w:tcPr>
            <w:tcW w:w="301" w:type="pct"/>
            <w:vAlign w:val="center"/>
          </w:tcPr>
          <w:p w:rsidR="00EE4502" w:rsidRDefault="00FD45A3">
            <w:pPr>
              <w:widowControl/>
              <w:jc w:val="center"/>
              <w:rPr>
                <w:kern w:val="0"/>
                <w:szCs w:val="20"/>
              </w:rPr>
            </w:pPr>
            <w:r>
              <w:rPr>
                <w:rFonts w:hint="eastAsia"/>
                <w:kern w:val="0"/>
                <w:szCs w:val="20"/>
              </w:rPr>
              <w:t>9</w:t>
            </w:r>
          </w:p>
        </w:tc>
        <w:tc>
          <w:tcPr>
            <w:tcW w:w="657" w:type="pct"/>
            <w:vAlign w:val="center"/>
          </w:tcPr>
          <w:p w:rsidR="00EE4502" w:rsidRDefault="00FD45A3">
            <w:pPr>
              <w:widowControl/>
              <w:jc w:val="center"/>
              <w:rPr>
                <w:kern w:val="0"/>
                <w:szCs w:val="20"/>
              </w:rPr>
            </w:pPr>
            <w:r>
              <w:rPr>
                <w:rFonts w:hint="eastAsia"/>
                <w:kern w:val="0"/>
                <w:szCs w:val="20"/>
              </w:rPr>
              <w:t>环境管理与监测计划</w:t>
            </w:r>
          </w:p>
        </w:tc>
        <w:tc>
          <w:tcPr>
            <w:tcW w:w="4041" w:type="pct"/>
            <w:vAlign w:val="center"/>
          </w:tcPr>
          <w:p w:rsidR="00EE4502" w:rsidRDefault="00FD45A3">
            <w:pPr>
              <w:widowControl/>
              <w:rPr>
                <w:kern w:val="0"/>
                <w:szCs w:val="20"/>
              </w:rPr>
            </w:pPr>
            <w:r>
              <w:rPr>
                <w:rFonts w:hint="eastAsia"/>
                <w:kern w:val="0"/>
                <w:szCs w:val="20"/>
              </w:rPr>
              <w:t>按项目建设阶段、生产运行阶段，提出具体环境管理要求；给出污染物排放清单，明确污染物排放的管理要求；提出应向社会公开的信息内容；提出建立日常环境管理制度、组织机构和环境管理台账相关要求；提出环境监测计划</w:t>
            </w:r>
          </w:p>
        </w:tc>
      </w:tr>
      <w:tr w:rsidR="00EE4502">
        <w:trPr>
          <w:trHeight w:val="340"/>
          <w:jc w:val="center"/>
        </w:trPr>
        <w:tc>
          <w:tcPr>
            <w:tcW w:w="301" w:type="pct"/>
            <w:vAlign w:val="center"/>
          </w:tcPr>
          <w:p w:rsidR="00EE4502" w:rsidRDefault="00FD45A3">
            <w:pPr>
              <w:widowControl/>
              <w:jc w:val="center"/>
              <w:rPr>
                <w:kern w:val="0"/>
                <w:szCs w:val="20"/>
              </w:rPr>
            </w:pPr>
            <w:r>
              <w:rPr>
                <w:rFonts w:hint="eastAsia"/>
                <w:kern w:val="0"/>
                <w:szCs w:val="20"/>
              </w:rPr>
              <w:t>10</w:t>
            </w:r>
          </w:p>
        </w:tc>
        <w:tc>
          <w:tcPr>
            <w:tcW w:w="657" w:type="pct"/>
            <w:vAlign w:val="center"/>
          </w:tcPr>
          <w:p w:rsidR="00EE4502" w:rsidRDefault="00FD45A3">
            <w:pPr>
              <w:widowControl/>
              <w:jc w:val="center"/>
              <w:rPr>
                <w:kern w:val="0"/>
                <w:szCs w:val="20"/>
              </w:rPr>
            </w:pPr>
            <w:r>
              <w:rPr>
                <w:rFonts w:hint="eastAsia"/>
                <w:kern w:val="0"/>
                <w:szCs w:val="20"/>
              </w:rPr>
              <w:t>结论</w:t>
            </w:r>
          </w:p>
        </w:tc>
        <w:tc>
          <w:tcPr>
            <w:tcW w:w="4041" w:type="pct"/>
            <w:vAlign w:val="center"/>
          </w:tcPr>
          <w:p w:rsidR="00EE4502" w:rsidRDefault="00FD45A3">
            <w:pPr>
              <w:widowControl/>
              <w:rPr>
                <w:kern w:val="0"/>
                <w:szCs w:val="20"/>
              </w:rPr>
            </w:pPr>
            <w:r>
              <w:rPr>
                <w:rFonts w:hint="eastAsia"/>
                <w:kern w:val="0"/>
                <w:szCs w:val="20"/>
              </w:rPr>
              <w:t>对建设项目环境影响评价各章节结论进行概括总结和综合分析，结合环境质量目标要求，明确给出建设项目的环境影响可行</w:t>
            </w:r>
            <w:r>
              <w:rPr>
                <w:rFonts w:hint="eastAsia"/>
                <w:kern w:val="0"/>
                <w:szCs w:val="20"/>
              </w:rPr>
              <w:t>性结论</w:t>
            </w:r>
          </w:p>
        </w:tc>
      </w:tr>
    </w:tbl>
    <w:p w:rsidR="00EE4502" w:rsidRDefault="00FD45A3">
      <w:pPr>
        <w:pStyle w:val="33"/>
        <w:numPr>
          <w:ilvl w:val="2"/>
          <w:numId w:val="30"/>
        </w:numPr>
        <w:spacing w:line="360" w:lineRule="auto"/>
        <w:ind w:left="0" w:firstLine="0"/>
        <w:rPr>
          <w:spacing w:val="0"/>
          <w:sz w:val="24"/>
          <w:szCs w:val="24"/>
        </w:rPr>
      </w:pPr>
      <w:r>
        <w:rPr>
          <w:spacing w:val="0"/>
          <w:sz w:val="24"/>
          <w:szCs w:val="24"/>
        </w:rPr>
        <w:t>评价重点</w:t>
      </w:r>
    </w:p>
    <w:p w:rsidR="00EE4502" w:rsidRDefault="00FD45A3">
      <w:pPr>
        <w:spacing w:line="360" w:lineRule="auto"/>
        <w:ind w:firstLineChars="200" w:firstLine="480"/>
        <w:rPr>
          <w:sz w:val="24"/>
        </w:rPr>
      </w:pPr>
      <w:r>
        <w:rPr>
          <w:sz w:val="24"/>
        </w:rPr>
        <w:t>（</w:t>
      </w:r>
      <w:r>
        <w:rPr>
          <w:sz w:val="24"/>
        </w:rPr>
        <w:t>1</w:t>
      </w:r>
      <w:r>
        <w:rPr>
          <w:sz w:val="24"/>
        </w:rPr>
        <w:t>）油田勘探开发工程分析</w:t>
      </w:r>
    </w:p>
    <w:p w:rsidR="00EE4502" w:rsidRDefault="00FD45A3">
      <w:pPr>
        <w:spacing w:line="360" w:lineRule="auto"/>
        <w:ind w:firstLineChars="200" w:firstLine="480"/>
        <w:rPr>
          <w:sz w:val="24"/>
        </w:rPr>
      </w:pPr>
      <w:r>
        <w:rPr>
          <w:sz w:val="24"/>
        </w:rPr>
        <w:t>（</w:t>
      </w:r>
      <w:r>
        <w:rPr>
          <w:sz w:val="24"/>
        </w:rPr>
        <w:t>2</w:t>
      </w:r>
      <w:r>
        <w:rPr>
          <w:sz w:val="24"/>
        </w:rPr>
        <w:t>）施工期生态环境影响评价</w:t>
      </w:r>
    </w:p>
    <w:p w:rsidR="00EE4502" w:rsidRDefault="00FD45A3">
      <w:pPr>
        <w:spacing w:line="360" w:lineRule="auto"/>
        <w:ind w:firstLineChars="200" w:firstLine="480"/>
        <w:rPr>
          <w:sz w:val="24"/>
        </w:rPr>
      </w:pPr>
      <w:r>
        <w:rPr>
          <w:sz w:val="24"/>
        </w:rPr>
        <w:t>（</w:t>
      </w:r>
      <w:r>
        <w:rPr>
          <w:sz w:val="24"/>
        </w:rPr>
        <w:t>3</w:t>
      </w:r>
      <w:r>
        <w:rPr>
          <w:sz w:val="24"/>
        </w:rPr>
        <w:t>）</w:t>
      </w:r>
      <w:r>
        <w:rPr>
          <w:rFonts w:hint="eastAsia"/>
          <w:sz w:val="24"/>
        </w:rPr>
        <w:t>土壤及地下水环境影响评价</w:t>
      </w:r>
    </w:p>
    <w:p w:rsidR="00EE4502" w:rsidRDefault="00FD45A3">
      <w:pPr>
        <w:spacing w:line="360" w:lineRule="auto"/>
        <w:ind w:firstLineChars="200" w:firstLine="480"/>
        <w:rPr>
          <w:sz w:val="24"/>
        </w:rPr>
      </w:pPr>
      <w:r>
        <w:rPr>
          <w:sz w:val="24"/>
        </w:rPr>
        <w:t>（</w:t>
      </w:r>
      <w:r>
        <w:rPr>
          <w:sz w:val="24"/>
        </w:rPr>
        <w:t>4</w:t>
      </w:r>
      <w:r>
        <w:rPr>
          <w:sz w:val="24"/>
        </w:rPr>
        <w:t>）环境风险评价及风险管理</w:t>
      </w:r>
    </w:p>
    <w:p w:rsidR="00EE4502" w:rsidRDefault="00FD45A3">
      <w:pPr>
        <w:spacing w:line="360" w:lineRule="auto"/>
        <w:ind w:firstLineChars="200" w:firstLine="480"/>
        <w:rPr>
          <w:sz w:val="24"/>
        </w:rPr>
      </w:pPr>
      <w:r>
        <w:rPr>
          <w:rFonts w:hint="eastAsia"/>
          <w:sz w:val="24"/>
        </w:rPr>
        <w:t>（</w:t>
      </w:r>
      <w:r>
        <w:rPr>
          <w:rFonts w:hint="eastAsia"/>
          <w:sz w:val="24"/>
        </w:rPr>
        <w:t>5</w:t>
      </w:r>
      <w:r>
        <w:rPr>
          <w:rFonts w:hint="eastAsia"/>
          <w:sz w:val="24"/>
        </w:rPr>
        <w:t>）</w:t>
      </w:r>
      <w:r>
        <w:rPr>
          <w:sz w:val="24"/>
        </w:rPr>
        <w:t>环境保护措施及可行性论证</w:t>
      </w:r>
    </w:p>
    <w:p w:rsidR="00EE4502" w:rsidRDefault="00FD45A3">
      <w:pPr>
        <w:pStyle w:val="22"/>
        <w:numPr>
          <w:ilvl w:val="1"/>
          <w:numId w:val="30"/>
        </w:numPr>
        <w:rPr>
          <w:spacing w:val="0"/>
          <w:w w:val="100"/>
        </w:rPr>
      </w:pPr>
      <w:bookmarkStart w:id="74" w:name="_Toc18429"/>
      <w:r>
        <w:rPr>
          <w:rFonts w:hint="eastAsia"/>
          <w:spacing w:val="0"/>
          <w:w w:val="100"/>
        </w:rPr>
        <w:t>评价时段和评价方法</w:t>
      </w:r>
      <w:bookmarkEnd w:id="74"/>
    </w:p>
    <w:p w:rsidR="00EE4502" w:rsidRDefault="00FD45A3">
      <w:pPr>
        <w:pStyle w:val="33"/>
        <w:numPr>
          <w:ilvl w:val="2"/>
          <w:numId w:val="30"/>
        </w:numPr>
        <w:spacing w:line="360" w:lineRule="auto"/>
        <w:rPr>
          <w:spacing w:val="0"/>
          <w:sz w:val="24"/>
          <w:szCs w:val="24"/>
        </w:rPr>
      </w:pPr>
      <w:r>
        <w:rPr>
          <w:rFonts w:hint="eastAsia"/>
          <w:spacing w:val="0"/>
          <w:sz w:val="24"/>
          <w:szCs w:val="24"/>
        </w:rPr>
        <w:t>评价时段</w:t>
      </w:r>
    </w:p>
    <w:p w:rsidR="00EE4502" w:rsidRDefault="00FD45A3">
      <w:pPr>
        <w:spacing w:line="360" w:lineRule="auto"/>
        <w:ind w:firstLineChars="200" w:firstLine="480"/>
        <w:rPr>
          <w:sz w:val="24"/>
        </w:rPr>
      </w:pPr>
      <w:r>
        <w:rPr>
          <w:sz w:val="24"/>
        </w:rPr>
        <w:t>根据</w:t>
      </w:r>
      <w:r>
        <w:rPr>
          <w:rFonts w:hint="eastAsia"/>
          <w:sz w:val="24"/>
        </w:rPr>
        <w:t>本工程</w:t>
      </w:r>
      <w:r>
        <w:rPr>
          <w:sz w:val="24"/>
        </w:rPr>
        <w:t>实施的不同阶段和环境影响特点，评价时段包括施工期、运营期和退役期，以施工期和运营期两个时段为评价重点。</w:t>
      </w:r>
    </w:p>
    <w:p w:rsidR="00EE4502" w:rsidRDefault="00FD45A3">
      <w:pPr>
        <w:pStyle w:val="33"/>
        <w:numPr>
          <w:ilvl w:val="2"/>
          <w:numId w:val="30"/>
        </w:numPr>
        <w:spacing w:line="360" w:lineRule="auto"/>
        <w:rPr>
          <w:spacing w:val="0"/>
          <w:sz w:val="24"/>
          <w:szCs w:val="24"/>
        </w:rPr>
      </w:pPr>
      <w:r>
        <w:rPr>
          <w:rFonts w:hint="eastAsia"/>
          <w:spacing w:val="0"/>
          <w:sz w:val="24"/>
          <w:szCs w:val="24"/>
        </w:rPr>
        <w:t>评价方法</w:t>
      </w:r>
    </w:p>
    <w:p w:rsidR="00EE4502" w:rsidRDefault="00FD45A3">
      <w:pPr>
        <w:spacing w:line="360" w:lineRule="auto"/>
        <w:ind w:firstLineChars="200" w:firstLine="480"/>
        <w:rPr>
          <w:sz w:val="24"/>
          <w:lang w:val="zh-CN"/>
        </w:rPr>
      </w:pPr>
      <w:r>
        <w:rPr>
          <w:sz w:val="24"/>
          <w:lang w:val="zh-CN"/>
        </w:rPr>
        <w:t>本项目环境影响评价采用定量评价与定性评价相结合的方法，以量化评价为主。采用环境影响评价技术导则规定的评价方法予以分析。本次评价采用了物料衡算法、实测法、类比法、产污系数法、排污系数法等。本次环境评价使用的评价方法见表</w:t>
      </w:r>
      <w:r>
        <w:rPr>
          <w:sz w:val="24"/>
          <w:lang w:val="zh-CN"/>
        </w:rPr>
        <w:t>2</w:t>
      </w:r>
      <w:r>
        <w:rPr>
          <w:rFonts w:hint="eastAsia"/>
          <w:sz w:val="24"/>
        </w:rPr>
        <w:t>-8</w:t>
      </w:r>
      <w:r>
        <w:rPr>
          <w:sz w:val="24"/>
          <w:lang w:val="zh-CN"/>
        </w:rPr>
        <w:t>-1</w:t>
      </w:r>
      <w:r>
        <w:rPr>
          <w:sz w:val="24"/>
          <w:lang w:val="zh-CN"/>
        </w:rPr>
        <w:t>。</w:t>
      </w:r>
    </w:p>
    <w:p w:rsidR="00EE4502" w:rsidRDefault="00FD45A3">
      <w:pPr>
        <w:jc w:val="center"/>
        <w:rPr>
          <w:rFonts w:eastAsia="黑体"/>
          <w:kern w:val="0"/>
          <w:position w:val="-3"/>
          <w:sz w:val="24"/>
          <w:szCs w:val="21"/>
        </w:rPr>
      </w:pPr>
      <w:r>
        <w:rPr>
          <w:rFonts w:eastAsia="黑体"/>
          <w:kern w:val="0"/>
          <w:position w:val="-3"/>
          <w:sz w:val="24"/>
          <w:szCs w:val="21"/>
        </w:rPr>
        <w:t>表</w:t>
      </w:r>
      <w:r>
        <w:rPr>
          <w:rFonts w:eastAsia="黑体"/>
          <w:kern w:val="0"/>
          <w:position w:val="-3"/>
          <w:sz w:val="24"/>
          <w:szCs w:val="21"/>
        </w:rPr>
        <w:t>2</w:t>
      </w:r>
      <w:r>
        <w:rPr>
          <w:rFonts w:eastAsia="黑体" w:hint="eastAsia"/>
          <w:kern w:val="0"/>
          <w:position w:val="-3"/>
          <w:sz w:val="24"/>
          <w:szCs w:val="21"/>
        </w:rPr>
        <w:t>-8</w:t>
      </w:r>
      <w:r>
        <w:rPr>
          <w:rFonts w:eastAsia="黑体"/>
          <w:kern w:val="0"/>
          <w:position w:val="-3"/>
          <w:sz w:val="24"/>
          <w:szCs w:val="21"/>
        </w:rPr>
        <w:t xml:space="preserve">-1  </w:t>
      </w:r>
      <w:r>
        <w:rPr>
          <w:rFonts w:eastAsia="黑体"/>
          <w:kern w:val="0"/>
          <w:position w:val="-3"/>
          <w:sz w:val="24"/>
          <w:szCs w:val="21"/>
        </w:rPr>
        <w:t>评价内容一览表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
        <w:gridCol w:w="2560"/>
        <w:gridCol w:w="5120"/>
      </w:tblGrid>
      <w:tr w:rsidR="00EE4502">
        <w:trPr>
          <w:trHeight w:val="397"/>
        </w:trPr>
        <w:tc>
          <w:tcPr>
            <w:tcW w:w="494" w:type="pct"/>
            <w:vAlign w:val="center"/>
          </w:tcPr>
          <w:p w:rsidR="00EE4502" w:rsidRDefault="00FD45A3">
            <w:pPr>
              <w:widowControl/>
              <w:jc w:val="center"/>
              <w:rPr>
                <w:kern w:val="0"/>
                <w:szCs w:val="20"/>
              </w:rPr>
            </w:pPr>
            <w:r>
              <w:rPr>
                <w:kern w:val="0"/>
                <w:szCs w:val="20"/>
              </w:rPr>
              <w:t>序号</w:t>
            </w:r>
          </w:p>
        </w:tc>
        <w:tc>
          <w:tcPr>
            <w:tcW w:w="1502" w:type="pct"/>
            <w:vAlign w:val="center"/>
          </w:tcPr>
          <w:p w:rsidR="00EE4502" w:rsidRDefault="00FD45A3">
            <w:pPr>
              <w:widowControl/>
              <w:jc w:val="center"/>
              <w:rPr>
                <w:kern w:val="0"/>
                <w:szCs w:val="20"/>
              </w:rPr>
            </w:pPr>
            <w:r>
              <w:rPr>
                <w:kern w:val="0"/>
                <w:szCs w:val="20"/>
              </w:rPr>
              <w:t>项目</w:t>
            </w:r>
          </w:p>
        </w:tc>
        <w:tc>
          <w:tcPr>
            <w:tcW w:w="3004" w:type="pct"/>
            <w:vAlign w:val="center"/>
          </w:tcPr>
          <w:p w:rsidR="00EE4502" w:rsidRDefault="00FD45A3">
            <w:pPr>
              <w:widowControl/>
              <w:jc w:val="center"/>
              <w:rPr>
                <w:kern w:val="0"/>
                <w:szCs w:val="20"/>
              </w:rPr>
            </w:pPr>
            <w:r>
              <w:rPr>
                <w:kern w:val="0"/>
                <w:szCs w:val="20"/>
              </w:rPr>
              <w:t>采用方法</w:t>
            </w:r>
          </w:p>
        </w:tc>
      </w:tr>
      <w:tr w:rsidR="00EE4502">
        <w:trPr>
          <w:trHeight w:val="397"/>
        </w:trPr>
        <w:tc>
          <w:tcPr>
            <w:tcW w:w="494" w:type="pct"/>
            <w:vAlign w:val="center"/>
          </w:tcPr>
          <w:p w:rsidR="00EE4502" w:rsidRDefault="00FD45A3">
            <w:pPr>
              <w:widowControl/>
              <w:jc w:val="center"/>
              <w:rPr>
                <w:kern w:val="0"/>
                <w:szCs w:val="20"/>
              </w:rPr>
            </w:pPr>
            <w:r>
              <w:rPr>
                <w:kern w:val="0"/>
                <w:szCs w:val="20"/>
              </w:rPr>
              <w:t>1</w:t>
            </w:r>
          </w:p>
        </w:tc>
        <w:tc>
          <w:tcPr>
            <w:tcW w:w="1502" w:type="pct"/>
            <w:vAlign w:val="center"/>
          </w:tcPr>
          <w:p w:rsidR="00EE4502" w:rsidRDefault="00FD45A3">
            <w:pPr>
              <w:widowControl/>
              <w:jc w:val="center"/>
              <w:rPr>
                <w:kern w:val="0"/>
                <w:szCs w:val="20"/>
              </w:rPr>
            </w:pPr>
            <w:r>
              <w:rPr>
                <w:kern w:val="0"/>
                <w:szCs w:val="20"/>
              </w:rPr>
              <w:t>环境影响因素识别方法</w:t>
            </w:r>
          </w:p>
        </w:tc>
        <w:tc>
          <w:tcPr>
            <w:tcW w:w="3004" w:type="pct"/>
            <w:vAlign w:val="center"/>
          </w:tcPr>
          <w:p w:rsidR="00EE4502" w:rsidRDefault="00FD45A3">
            <w:pPr>
              <w:widowControl/>
              <w:jc w:val="center"/>
              <w:rPr>
                <w:kern w:val="0"/>
                <w:szCs w:val="20"/>
              </w:rPr>
            </w:pPr>
            <w:r>
              <w:rPr>
                <w:kern w:val="0"/>
                <w:szCs w:val="20"/>
              </w:rPr>
              <w:t>矩阵法</w:t>
            </w:r>
          </w:p>
        </w:tc>
      </w:tr>
      <w:tr w:rsidR="00EE4502">
        <w:trPr>
          <w:trHeight w:val="397"/>
        </w:trPr>
        <w:tc>
          <w:tcPr>
            <w:tcW w:w="494" w:type="pct"/>
            <w:vAlign w:val="center"/>
          </w:tcPr>
          <w:p w:rsidR="00EE4502" w:rsidRDefault="00FD45A3">
            <w:pPr>
              <w:widowControl/>
              <w:jc w:val="center"/>
              <w:rPr>
                <w:kern w:val="0"/>
                <w:szCs w:val="20"/>
              </w:rPr>
            </w:pPr>
            <w:r>
              <w:rPr>
                <w:kern w:val="0"/>
                <w:szCs w:val="20"/>
              </w:rPr>
              <w:t>2</w:t>
            </w:r>
          </w:p>
        </w:tc>
        <w:tc>
          <w:tcPr>
            <w:tcW w:w="1502" w:type="pct"/>
            <w:vAlign w:val="center"/>
          </w:tcPr>
          <w:p w:rsidR="00EE4502" w:rsidRDefault="00FD45A3">
            <w:pPr>
              <w:widowControl/>
              <w:jc w:val="center"/>
              <w:rPr>
                <w:kern w:val="0"/>
                <w:szCs w:val="20"/>
              </w:rPr>
            </w:pPr>
            <w:r>
              <w:rPr>
                <w:kern w:val="0"/>
                <w:szCs w:val="20"/>
              </w:rPr>
              <w:t>环境现状调查</w:t>
            </w:r>
          </w:p>
        </w:tc>
        <w:tc>
          <w:tcPr>
            <w:tcW w:w="3004" w:type="pct"/>
            <w:vAlign w:val="center"/>
          </w:tcPr>
          <w:p w:rsidR="00EE4502" w:rsidRDefault="00FD45A3">
            <w:pPr>
              <w:widowControl/>
              <w:jc w:val="center"/>
              <w:rPr>
                <w:kern w:val="0"/>
                <w:szCs w:val="20"/>
              </w:rPr>
            </w:pPr>
            <w:r>
              <w:rPr>
                <w:kern w:val="0"/>
                <w:szCs w:val="20"/>
              </w:rPr>
              <w:t>收集资料法、现场调查法</w:t>
            </w:r>
          </w:p>
        </w:tc>
      </w:tr>
      <w:tr w:rsidR="00EE4502">
        <w:trPr>
          <w:trHeight w:val="397"/>
        </w:trPr>
        <w:tc>
          <w:tcPr>
            <w:tcW w:w="494" w:type="pct"/>
            <w:vAlign w:val="center"/>
          </w:tcPr>
          <w:p w:rsidR="00EE4502" w:rsidRDefault="00FD45A3">
            <w:pPr>
              <w:widowControl/>
              <w:jc w:val="center"/>
              <w:rPr>
                <w:kern w:val="0"/>
                <w:szCs w:val="20"/>
              </w:rPr>
            </w:pPr>
            <w:r>
              <w:rPr>
                <w:kern w:val="0"/>
                <w:szCs w:val="20"/>
              </w:rPr>
              <w:t>3</w:t>
            </w:r>
          </w:p>
        </w:tc>
        <w:tc>
          <w:tcPr>
            <w:tcW w:w="1502" w:type="pct"/>
            <w:vAlign w:val="center"/>
          </w:tcPr>
          <w:p w:rsidR="00EE4502" w:rsidRDefault="00FD45A3">
            <w:pPr>
              <w:widowControl/>
              <w:jc w:val="center"/>
              <w:rPr>
                <w:kern w:val="0"/>
                <w:szCs w:val="20"/>
              </w:rPr>
            </w:pPr>
            <w:r>
              <w:rPr>
                <w:kern w:val="0"/>
                <w:szCs w:val="20"/>
              </w:rPr>
              <w:t>工程分析</w:t>
            </w:r>
          </w:p>
        </w:tc>
        <w:tc>
          <w:tcPr>
            <w:tcW w:w="3004" w:type="pct"/>
            <w:vAlign w:val="center"/>
          </w:tcPr>
          <w:p w:rsidR="00EE4502" w:rsidRDefault="00FD45A3">
            <w:pPr>
              <w:widowControl/>
              <w:jc w:val="center"/>
              <w:rPr>
                <w:kern w:val="0"/>
                <w:szCs w:val="20"/>
              </w:rPr>
            </w:pPr>
            <w:r>
              <w:rPr>
                <w:kern w:val="0"/>
                <w:szCs w:val="20"/>
              </w:rPr>
              <w:t>类比分析法、查阅参考资料法、产污系数法</w:t>
            </w:r>
          </w:p>
        </w:tc>
      </w:tr>
      <w:tr w:rsidR="00EE4502">
        <w:trPr>
          <w:trHeight w:val="397"/>
        </w:trPr>
        <w:tc>
          <w:tcPr>
            <w:tcW w:w="494" w:type="pct"/>
            <w:vAlign w:val="center"/>
          </w:tcPr>
          <w:p w:rsidR="00EE4502" w:rsidRDefault="00FD45A3">
            <w:pPr>
              <w:widowControl/>
              <w:jc w:val="center"/>
              <w:rPr>
                <w:kern w:val="0"/>
                <w:szCs w:val="20"/>
              </w:rPr>
            </w:pPr>
            <w:r>
              <w:rPr>
                <w:kern w:val="0"/>
                <w:szCs w:val="20"/>
              </w:rPr>
              <w:t>4</w:t>
            </w:r>
          </w:p>
        </w:tc>
        <w:tc>
          <w:tcPr>
            <w:tcW w:w="1502" w:type="pct"/>
            <w:vAlign w:val="center"/>
          </w:tcPr>
          <w:p w:rsidR="00EE4502" w:rsidRDefault="00FD45A3">
            <w:pPr>
              <w:widowControl/>
              <w:jc w:val="center"/>
              <w:rPr>
                <w:kern w:val="0"/>
                <w:szCs w:val="20"/>
              </w:rPr>
            </w:pPr>
            <w:r>
              <w:rPr>
                <w:kern w:val="0"/>
                <w:szCs w:val="20"/>
              </w:rPr>
              <w:t>影响评价</w:t>
            </w:r>
          </w:p>
        </w:tc>
        <w:tc>
          <w:tcPr>
            <w:tcW w:w="3004" w:type="pct"/>
            <w:vAlign w:val="center"/>
          </w:tcPr>
          <w:p w:rsidR="00EE4502" w:rsidRDefault="00FD45A3">
            <w:pPr>
              <w:widowControl/>
              <w:jc w:val="center"/>
              <w:rPr>
                <w:kern w:val="0"/>
                <w:szCs w:val="20"/>
              </w:rPr>
            </w:pPr>
            <w:r>
              <w:rPr>
                <w:kern w:val="0"/>
                <w:szCs w:val="20"/>
              </w:rPr>
              <w:t>类比分析法、数学模式法、物理模型法</w:t>
            </w:r>
          </w:p>
        </w:tc>
      </w:tr>
    </w:tbl>
    <w:p w:rsidR="00EE4502" w:rsidRDefault="00EE4502">
      <w:pPr>
        <w:spacing w:line="360" w:lineRule="auto"/>
        <w:ind w:firstLineChars="200" w:firstLine="480"/>
        <w:rPr>
          <w:sz w:val="24"/>
        </w:rPr>
        <w:sectPr w:rsidR="00EE4502">
          <w:footerReference w:type="default" r:id="rId18"/>
          <w:pgSz w:w="11906" w:h="16838"/>
          <w:pgMar w:top="1440" w:right="1800" w:bottom="1440" w:left="1800" w:header="850" w:footer="850" w:gutter="0"/>
          <w:pgNumType w:fmt="numberInDash"/>
          <w:cols w:space="720"/>
          <w:docGrid w:linePitch="326"/>
        </w:sectPr>
      </w:pPr>
    </w:p>
    <w:p w:rsidR="00EE4502" w:rsidRDefault="00FD45A3">
      <w:pPr>
        <w:pStyle w:val="12"/>
        <w:numPr>
          <w:ilvl w:val="0"/>
          <w:numId w:val="30"/>
        </w:numPr>
        <w:spacing w:before="0" w:after="0" w:line="360" w:lineRule="auto"/>
        <w:ind w:left="0" w:firstLine="0"/>
        <w:rPr>
          <w:b w:val="0"/>
          <w:bCs w:val="0"/>
          <w:szCs w:val="30"/>
        </w:rPr>
      </w:pPr>
      <w:bookmarkStart w:id="75" w:name="_Toc16533"/>
      <w:r>
        <w:rPr>
          <w:b w:val="0"/>
          <w:bCs w:val="0"/>
          <w:szCs w:val="30"/>
        </w:rPr>
        <w:lastRenderedPageBreak/>
        <w:t>建设项目工程分析</w:t>
      </w:r>
      <w:bookmarkEnd w:id="75"/>
    </w:p>
    <w:p w:rsidR="00EE4502" w:rsidRDefault="00FD45A3">
      <w:pPr>
        <w:pStyle w:val="22"/>
        <w:numPr>
          <w:ilvl w:val="1"/>
          <w:numId w:val="30"/>
        </w:numPr>
        <w:rPr>
          <w:spacing w:val="0"/>
          <w:w w:val="100"/>
        </w:rPr>
      </w:pPr>
      <w:bookmarkStart w:id="76" w:name="_Toc31924"/>
      <w:r>
        <w:rPr>
          <w:rFonts w:hint="eastAsia"/>
          <w:spacing w:val="0"/>
          <w:w w:val="100"/>
        </w:rPr>
        <w:t>区块开发现状及环境影响回顾</w:t>
      </w:r>
      <w:bookmarkEnd w:id="76"/>
    </w:p>
    <w:p w:rsidR="00EE4502" w:rsidRDefault="00FD45A3">
      <w:pPr>
        <w:pStyle w:val="33"/>
        <w:numPr>
          <w:ilvl w:val="2"/>
          <w:numId w:val="30"/>
        </w:numPr>
        <w:spacing w:line="360" w:lineRule="auto"/>
        <w:ind w:left="0" w:firstLine="0"/>
        <w:rPr>
          <w:spacing w:val="0"/>
          <w:sz w:val="24"/>
          <w:szCs w:val="24"/>
        </w:rPr>
      </w:pPr>
      <w:r>
        <w:rPr>
          <w:rFonts w:hint="eastAsia"/>
          <w:spacing w:val="0"/>
          <w:sz w:val="24"/>
          <w:szCs w:val="24"/>
        </w:rPr>
        <w:t>油田区块开发现状</w:t>
      </w:r>
    </w:p>
    <w:p w:rsidR="00EE4502" w:rsidRDefault="00FD45A3">
      <w:pPr>
        <w:spacing w:line="360" w:lineRule="auto"/>
        <w:ind w:firstLineChars="200" w:firstLine="480"/>
        <w:rPr>
          <w:sz w:val="24"/>
        </w:rPr>
      </w:pPr>
      <w:r>
        <w:rPr>
          <w:sz w:val="24"/>
        </w:rPr>
        <w:t>春风油田勘探始于</w:t>
      </w:r>
      <w:r>
        <w:rPr>
          <w:rFonts w:hint="eastAsia"/>
          <w:sz w:val="24"/>
        </w:rPr>
        <w:t>20</w:t>
      </w:r>
      <w:r>
        <w:rPr>
          <w:rFonts w:hint="eastAsia"/>
          <w:sz w:val="24"/>
        </w:rPr>
        <w:t>世纪</w:t>
      </w:r>
      <w:r>
        <w:rPr>
          <w:rFonts w:hint="eastAsia"/>
          <w:sz w:val="24"/>
        </w:rPr>
        <w:t>50</w:t>
      </w:r>
      <w:r>
        <w:rPr>
          <w:sz w:val="24"/>
        </w:rPr>
        <w:t>年代初，经过钻探，在红车断裂带的上盘白垩系底部发现了大片的稠油。</w:t>
      </w:r>
      <w:r>
        <w:rPr>
          <w:rFonts w:hint="eastAsia"/>
          <w:sz w:val="24"/>
        </w:rPr>
        <w:t>20</w:t>
      </w:r>
      <w:r>
        <w:rPr>
          <w:sz w:val="24"/>
        </w:rPr>
        <w:t>世纪</w:t>
      </w:r>
      <w:r>
        <w:rPr>
          <w:rFonts w:hint="eastAsia"/>
          <w:sz w:val="24"/>
        </w:rPr>
        <w:t>80</w:t>
      </w:r>
      <w:r>
        <w:rPr>
          <w:rFonts w:hint="eastAsia"/>
          <w:sz w:val="24"/>
        </w:rPr>
        <w:t>年代</w:t>
      </w:r>
      <w:r>
        <w:rPr>
          <w:sz w:val="24"/>
        </w:rPr>
        <w:t>中期以来，随着三维地震技术的发展，准噶尔盆地西缘红车断裂带的勘探取得了较大的进展，相继在</w:t>
      </w:r>
      <w:r>
        <w:rPr>
          <w:sz w:val="24"/>
        </w:rPr>
        <w:t>C</w:t>
      </w:r>
      <w:r>
        <w:rPr>
          <w:sz w:val="24"/>
        </w:rPr>
        <w:t>、</w:t>
      </w:r>
      <w:r>
        <w:rPr>
          <w:sz w:val="24"/>
        </w:rPr>
        <w:t>J</w:t>
      </w:r>
      <w:r>
        <w:rPr>
          <w:sz w:val="24"/>
        </w:rPr>
        <w:t>、</w:t>
      </w:r>
      <w:r>
        <w:rPr>
          <w:sz w:val="24"/>
        </w:rPr>
        <w:t>T</w:t>
      </w:r>
      <w:r>
        <w:rPr>
          <w:sz w:val="24"/>
        </w:rPr>
        <w:t>、</w:t>
      </w:r>
      <w:r>
        <w:rPr>
          <w:sz w:val="24"/>
        </w:rPr>
        <w:t>P</w:t>
      </w:r>
      <w:r>
        <w:rPr>
          <w:sz w:val="24"/>
        </w:rPr>
        <w:t>中发现油藏。</w:t>
      </w:r>
      <w:r>
        <w:rPr>
          <w:sz w:val="24"/>
        </w:rPr>
        <w:t>2001</w:t>
      </w:r>
      <w:r>
        <w:rPr>
          <w:sz w:val="24"/>
        </w:rPr>
        <w:t>年，中石化进入西部新区进行勘探。</w:t>
      </w:r>
      <w:r>
        <w:rPr>
          <w:sz w:val="24"/>
        </w:rPr>
        <w:t>2003</w:t>
      </w:r>
      <w:r>
        <w:rPr>
          <w:sz w:val="24"/>
        </w:rPr>
        <w:t>年，根据中石油前期钻探成果，西部新区指挥部将准噶尔西部的勘探重点转向车排子地区。</w:t>
      </w:r>
      <w:r>
        <w:rPr>
          <w:sz w:val="24"/>
        </w:rPr>
        <w:t>2004</w:t>
      </w:r>
      <w:r>
        <w:rPr>
          <w:sz w:val="24"/>
        </w:rPr>
        <w:t>年在车排子地区，根据新完成</w:t>
      </w:r>
      <w:r>
        <w:rPr>
          <w:sz w:val="24"/>
        </w:rPr>
        <w:t>4×4km</w:t>
      </w:r>
      <w:r>
        <w:rPr>
          <w:sz w:val="24"/>
        </w:rPr>
        <w:t>的二维地震勘探，实施钻探了排</w:t>
      </w:r>
      <w:r>
        <w:rPr>
          <w:sz w:val="24"/>
        </w:rPr>
        <w:t>1</w:t>
      </w:r>
      <w:r>
        <w:rPr>
          <w:sz w:val="24"/>
        </w:rPr>
        <w:t>、排</w:t>
      </w:r>
      <w:r>
        <w:rPr>
          <w:sz w:val="24"/>
        </w:rPr>
        <w:t>103</w:t>
      </w:r>
      <w:r>
        <w:rPr>
          <w:sz w:val="24"/>
        </w:rPr>
        <w:t>等</w:t>
      </w:r>
      <w:r>
        <w:rPr>
          <w:sz w:val="24"/>
        </w:rPr>
        <w:t>2</w:t>
      </w:r>
      <w:r>
        <w:rPr>
          <w:sz w:val="24"/>
        </w:rPr>
        <w:t>口探井，分别在白垩系、侏罗系、石炭系见到较好的原油显示。</w:t>
      </w:r>
      <w:r>
        <w:rPr>
          <w:sz w:val="24"/>
        </w:rPr>
        <w:t>2005</w:t>
      </w:r>
      <w:r>
        <w:rPr>
          <w:sz w:val="24"/>
        </w:rPr>
        <w:t>年，在车排子地区部署了两口预探井排</w:t>
      </w:r>
      <w:r>
        <w:rPr>
          <w:sz w:val="24"/>
        </w:rPr>
        <w:t>6</w:t>
      </w:r>
      <w:r>
        <w:rPr>
          <w:sz w:val="24"/>
        </w:rPr>
        <w:t>井和排</w:t>
      </w:r>
      <w:r>
        <w:rPr>
          <w:sz w:val="24"/>
        </w:rPr>
        <w:t>602</w:t>
      </w:r>
      <w:r>
        <w:rPr>
          <w:sz w:val="24"/>
        </w:rPr>
        <w:t>井，在白垩系下白垩统吐谷鲁群组见到很好的原油显示。</w:t>
      </w:r>
    </w:p>
    <w:p w:rsidR="00EE4502" w:rsidRDefault="00FD45A3">
      <w:pPr>
        <w:spacing w:line="360" w:lineRule="auto"/>
        <w:ind w:firstLineChars="200" w:firstLine="480"/>
        <w:rPr>
          <w:sz w:val="24"/>
        </w:rPr>
      </w:pPr>
      <w:r>
        <w:rPr>
          <w:rFonts w:hint="eastAsia"/>
          <w:sz w:val="24"/>
        </w:rPr>
        <w:t>2014</w:t>
      </w:r>
      <w:r>
        <w:rPr>
          <w:rFonts w:hint="eastAsia"/>
          <w:sz w:val="24"/>
        </w:rPr>
        <w:t>年</w:t>
      </w:r>
      <w:r>
        <w:rPr>
          <w:rFonts w:hint="eastAsia"/>
          <w:sz w:val="24"/>
        </w:rPr>
        <w:t>2</w:t>
      </w:r>
      <w:r>
        <w:rPr>
          <w:rFonts w:hint="eastAsia"/>
          <w:sz w:val="24"/>
        </w:rPr>
        <w:t>月</w:t>
      </w:r>
      <w:r>
        <w:rPr>
          <w:rFonts w:hint="eastAsia"/>
          <w:sz w:val="24"/>
        </w:rPr>
        <w:t>20</w:t>
      </w:r>
      <w:r>
        <w:rPr>
          <w:rFonts w:hint="eastAsia"/>
          <w:sz w:val="24"/>
        </w:rPr>
        <w:t>日，春风油田取得了原国土资源部颁发的采矿许可证（证号：</w:t>
      </w:r>
      <w:r>
        <w:rPr>
          <w:rFonts w:hint="eastAsia"/>
          <w:sz w:val="24"/>
        </w:rPr>
        <w:t>0200001410004</w:t>
      </w:r>
      <w:r>
        <w:rPr>
          <w:rFonts w:hint="eastAsia"/>
          <w:sz w:val="24"/>
        </w:rPr>
        <w:t>），采矿面积达</w:t>
      </w:r>
      <w:r>
        <w:rPr>
          <w:rFonts w:hint="eastAsia"/>
          <w:sz w:val="24"/>
        </w:rPr>
        <w:t>264.194km</w:t>
      </w:r>
      <w:r>
        <w:rPr>
          <w:rFonts w:hint="eastAsia"/>
          <w:sz w:val="24"/>
          <w:vertAlign w:val="superscript"/>
        </w:rPr>
        <w:t>2</w:t>
      </w:r>
      <w:r>
        <w:rPr>
          <w:rFonts w:hint="eastAsia"/>
          <w:sz w:val="24"/>
        </w:rPr>
        <w:t>；</w:t>
      </w:r>
      <w:r>
        <w:rPr>
          <w:rFonts w:hint="eastAsia"/>
          <w:sz w:val="24"/>
        </w:rPr>
        <w:t>2020</w:t>
      </w:r>
      <w:r>
        <w:rPr>
          <w:rFonts w:hint="eastAsia"/>
          <w:sz w:val="24"/>
        </w:rPr>
        <w:t>年</w:t>
      </w:r>
      <w:r>
        <w:rPr>
          <w:rFonts w:hint="eastAsia"/>
          <w:sz w:val="24"/>
        </w:rPr>
        <w:t>4</w:t>
      </w:r>
      <w:r>
        <w:rPr>
          <w:rFonts w:hint="eastAsia"/>
          <w:sz w:val="24"/>
        </w:rPr>
        <w:t>月</w:t>
      </w:r>
      <w:r>
        <w:rPr>
          <w:rFonts w:hint="eastAsia"/>
          <w:sz w:val="24"/>
        </w:rPr>
        <w:t>3</w:t>
      </w:r>
      <w:r>
        <w:rPr>
          <w:rFonts w:hint="eastAsia"/>
          <w:sz w:val="24"/>
        </w:rPr>
        <w:t>日取得了自然资源部颁发的探矿证（证号：</w:t>
      </w:r>
      <w:r>
        <w:rPr>
          <w:rFonts w:hint="eastAsia"/>
          <w:sz w:val="24"/>
        </w:rPr>
        <w:t>0200002030055</w:t>
      </w:r>
      <w:r>
        <w:rPr>
          <w:rFonts w:hint="eastAsia"/>
          <w:sz w:val="24"/>
        </w:rPr>
        <w:t>），勘查面积达</w:t>
      </w:r>
      <w:r>
        <w:rPr>
          <w:rFonts w:hint="eastAsia"/>
          <w:sz w:val="24"/>
        </w:rPr>
        <w:t>2519.094km</w:t>
      </w:r>
      <w:r>
        <w:rPr>
          <w:rFonts w:hint="eastAsia"/>
          <w:sz w:val="24"/>
          <w:vertAlign w:val="superscript"/>
        </w:rPr>
        <w:t>2</w:t>
      </w:r>
      <w:r>
        <w:rPr>
          <w:rFonts w:hint="eastAsia"/>
          <w:sz w:val="24"/>
        </w:rPr>
        <w:t>。</w:t>
      </w:r>
      <w:bookmarkStart w:id="77" w:name="_Hlk187781973"/>
      <w:r>
        <w:rPr>
          <w:sz w:val="24"/>
        </w:rPr>
        <w:t>春风油田在克拉玛依市境内的前山涝坝镇和第七师境内已先后实施了</w:t>
      </w:r>
      <w:r>
        <w:rPr>
          <w:sz w:val="24"/>
        </w:rPr>
        <w:t>601</w:t>
      </w:r>
      <w:r>
        <w:rPr>
          <w:sz w:val="24"/>
        </w:rPr>
        <w:t>新区、排</w:t>
      </w:r>
      <w:r>
        <w:rPr>
          <w:sz w:val="24"/>
        </w:rPr>
        <w:t>601</w:t>
      </w:r>
      <w:r>
        <w:rPr>
          <w:sz w:val="24"/>
        </w:rPr>
        <w:t>中区、排</w:t>
      </w:r>
      <w:r>
        <w:rPr>
          <w:sz w:val="24"/>
        </w:rPr>
        <w:t>6</w:t>
      </w:r>
      <w:r>
        <w:rPr>
          <w:sz w:val="24"/>
        </w:rPr>
        <w:t>南区、排</w:t>
      </w:r>
      <w:r>
        <w:rPr>
          <w:sz w:val="24"/>
        </w:rPr>
        <w:t>601</w:t>
      </w:r>
      <w:r>
        <w:rPr>
          <w:sz w:val="24"/>
        </w:rPr>
        <w:t>南区、排</w:t>
      </w:r>
      <w:r>
        <w:rPr>
          <w:sz w:val="24"/>
        </w:rPr>
        <w:t>601-20</w:t>
      </w:r>
      <w:r>
        <w:rPr>
          <w:sz w:val="24"/>
        </w:rPr>
        <w:t>区块、排</w:t>
      </w:r>
      <w:r>
        <w:rPr>
          <w:sz w:val="24"/>
        </w:rPr>
        <w:t>612</w:t>
      </w:r>
      <w:r>
        <w:rPr>
          <w:sz w:val="24"/>
        </w:rPr>
        <w:t>区块、排</w:t>
      </w:r>
      <w:r>
        <w:rPr>
          <w:sz w:val="24"/>
        </w:rPr>
        <w:t>6</w:t>
      </w:r>
      <w:r>
        <w:rPr>
          <w:sz w:val="24"/>
        </w:rPr>
        <w:t>北区块、排</w:t>
      </w:r>
      <w:r>
        <w:rPr>
          <w:sz w:val="24"/>
        </w:rPr>
        <w:t>66</w:t>
      </w:r>
      <w:r>
        <w:rPr>
          <w:sz w:val="24"/>
        </w:rPr>
        <w:t>区块、排</w:t>
      </w:r>
      <w:r>
        <w:rPr>
          <w:sz w:val="24"/>
        </w:rPr>
        <w:t>612</w:t>
      </w:r>
      <w:r>
        <w:rPr>
          <w:sz w:val="24"/>
        </w:rPr>
        <w:t>扩边、排</w:t>
      </w:r>
      <w:r>
        <w:rPr>
          <w:sz w:val="24"/>
        </w:rPr>
        <w:t>626</w:t>
      </w:r>
      <w:r>
        <w:rPr>
          <w:sz w:val="24"/>
        </w:rPr>
        <w:t>区块、排</w:t>
      </w:r>
      <w:r>
        <w:rPr>
          <w:sz w:val="24"/>
        </w:rPr>
        <w:t>691</w:t>
      </w:r>
      <w:r>
        <w:rPr>
          <w:sz w:val="24"/>
        </w:rPr>
        <w:t>块、排</w:t>
      </w:r>
      <w:r>
        <w:rPr>
          <w:sz w:val="24"/>
        </w:rPr>
        <w:t>691</w:t>
      </w:r>
      <w:r>
        <w:rPr>
          <w:sz w:val="24"/>
        </w:rPr>
        <w:t>西扩、排</w:t>
      </w:r>
      <w:r>
        <w:rPr>
          <w:sz w:val="24"/>
        </w:rPr>
        <w:t>604-1</w:t>
      </w:r>
      <w:r>
        <w:rPr>
          <w:sz w:val="24"/>
        </w:rPr>
        <w:t>块等</w:t>
      </w:r>
      <w:r>
        <w:rPr>
          <w:sz w:val="24"/>
        </w:rPr>
        <w:t>13</w:t>
      </w:r>
      <w:r>
        <w:rPr>
          <w:sz w:val="24"/>
        </w:rPr>
        <w:t>个区块</w:t>
      </w:r>
      <w:bookmarkEnd w:id="77"/>
      <w:r>
        <w:rPr>
          <w:sz w:val="24"/>
        </w:rPr>
        <w:t>，各项目之间位置关系见图</w:t>
      </w:r>
      <w:r>
        <w:rPr>
          <w:sz w:val="24"/>
        </w:rPr>
        <w:t>3-1</w:t>
      </w:r>
      <w:r>
        <w:rPr>
          <w:sz w:val="24"/>
        </w:rPr>
        <w:t>-1</w:t>
      </w:r>
      <w:r>
        <w:rPr>
          <w:sz w:val="24"/>
        </w:rPr>
        <w:t>。以上工程均进行了环境影响评价，并通过了当地生态环境主管的审批，部分通过了竣工环境保护验收。</w:t>
      </w:r>
    </w:p>
    <w:p w:rsidR="00EE4502" w:rsidRDefault="00FD45A3">
      <w:pPr>
        <w:spacing w:line="360" w:lineRule="auto"/>
        <w:ind w:firstLineChars="200" w:firstLine="480"/>
        <w:rPr>
          <w:bCs/>
          <w:sz w:val="24"/>
        </w:rPr>
      </w:pPr>
      <w:bookmarkStart w:id="78" w:name="_Hlk187782008"/>
      <w:r>
        <w:rPr>
          <w:bCs/>
          <w:sz w:val="24"/>
        </w:rPr>
        <w:t>截至</w:t>
      </w:r>
      <w:r>
        <w:rPr>
          <w:bCs/>
          <w:sz w:val="24"/>
        </w:rPr>
        <w:t>2024</w:t>
      </w:r>
      <w:r>
        <w:rPr>
          <w:bCs/>
          <w:sz w:val="24"/>
        </w:rPr>
        <w:t>年，春风油田已建成主要设施为春风联合站、春风二号联合站、</w:t>
      </w:r>
      <w:r>
        <w:rPr>
          <w:bCs/>
          <w:sz w:val="24"/>
        </w:rPr>
        <w:t>5</w:t>
      </w:r>
      <w:r>
        <w:rPr>
          <w:bCs/>
          <w:sz w:val="24"/>
        </w:rPr>
        <w:t>座增压泵站、</w:t>
      </w:r>
      <w:r>
        <w:rPr>
          <w:bCs/>
          <w:sz w:val="24"/>
        </w:rPr>
        <w:t>5</w:t>
      </w:r>
      <w:r>
        <w:rPr>
          <w:bCs/>
          <w:sz w:val="24"/>
        </w:rPr>
        <w:t>座接转站、</w:t>
      </w:r>
      <w:r>
        <w:rPr>
          <w:bCs/>
          <w:sz w:val="24"/>
        </w:rPr>
        <w:t>7</w:t>
      </w:r>
      <w:r>
        <w:rPr>
          <w:bCs/>
          <w:sz w:val="24"/>
        </w:rPr>
        <w:t>座注汽站、油田基地、井场</w:t>
      </w:r>
      <w:r>
        <w:rPr>
          <w:bCs/>
          <w:sz w:val="24"/>
        </w:rPr>
        <w:t>963</w:t>
      </w:r>
      <w:r>
        <w:rPr>
          <w:bCs/>
          <w:sz w:val="24"/>
        </w:rPr>
        <w:t>口（油井</w:t>
      </w:r>
      <w:r>
        <w:rPr>
          <w:bCs/>
          <w:sz w:val="24"/>
        </w:rPr>
        <w:t>892</w:t>
      </w:r>
      <w:r>
        <w:rPr>
          <w:bCs/>
          <w:sz w:val="24"/>
        </w:rPr>
        <w:t>口、清水井</w:t>
      </w:r>
      <w:r>
        <w:rPr>
          <w:bCs/>
          <w:sz w:val="24"/>
        </w:rPr>
        <w:t>44</w:t>
      </w:r>
      <w:r>
        <w:rPr>
          <w:bCs/>
          <w:sz w:val="24"/>
        </w:rPr>
        <w:t>口、注水井</w:t>
      </w:r>
      <w:r>
        <w:rPr>
          <w:bCs/>
          <w:sz w:val="24"/>
        </w:rPr>
        <w:t>20</w:t>
      </w:r>
      <w:r>
        <w:rPr>
          <w:bCs/>
          <w:sz w:val="24"/>
        </w:rPr>
        <w:t>余口）及附属设施，以及油田内部集输管网和道路等。</w:t>
      </w:r>
      <w:bookmarkEnd w:id="78"/>
    </w:p>
    <w:p w:rsidR="00EE4502" w:rsidRDefault="00FD45A3">
      <w:pPr>
        <w:spacing w:line="360" w:lineRule="auto"/>
        <w:ind w:firstLineChars="200" w:firstLine="480"/>
        <w:rPr>
          <w:sz w:val="24"/>
        </w:rPr>
      </w:pPr>
      <w:r>
        <w:rPr>
          <w:sz w:val="24"/>
        </w:rPr>
        <w:t>春风油田</w:t>
      </w:r>
      <w:r>
        <w:rPr>
          <w:rFonts w:hint="eastAsia"/>
          <w:sz w:val="24"/>
        </w:rPr>
        <w:t>已建</w:t>
      </w:r>
      <w:r>
        <w:rPr>
          <w:sz w:val="24"/>
        </w:rPr>
        <w:t>集输系统工艺主要包括从井场到接转站、联合站、注水站、注水井各阶段生产工艺。原油集输是把分布在油田各井口采出液用一定的方法收集起来，汇集到接转站或增压站，经计量后，通过初步分离，转输到联</w:t>
      </w:r>
      <w:r>
        <w:rPr>
          <w:sz w:val="24"/>
        </w:rPr>
        <w:t>合站。在联合站，经过加热分离、脱水、原油稳定等处理合格后外输；采出液由采油管理区经计量后进入接转站或联合站，联合站进行进一步原油处理和采出水处理，经处理合格后的原油外销。</w:t>
      </w:r>
    </w:p>
    <w:p w:rsidR="00EE4502" w:rsidRDefault="00FD45A3">
      <w:pPr>
        <w:pStyle w:val="33"/>
        <w:numPr>
          <w:ilvl w:val="2"/>
          <w:numId w:val="30"/>
        </w:numPr>
        <w:spacing w:line="360" w:lineRule="auto"/>
        <w:ind w:left="0" w:firstLine="0"/>
        <w:rPr>
          <w:spacing w:val="0"/>
          <w:sz w:val="24"/>
          <w:szCs w:val="24"/>
        </w:rPr>
      </w:pPr>
      <w:r>
        <w:rPr>
          <w:rFonts w:hint="eastAsia"/>
          <w:spacing w:val="0"/>
          <w:sz w:val="24"/>
        </w:rPr>
        <w:lastRenderedPageBreak/>
        <w:t>油田区块“三同时”执行情况</w:t>
      </w:r>
    </w:p>
    <w:p w:rsidR="00EE4502" w:rsidRDefault="00FD45A3">
      <w:pPr>
        <w:spacing w:line="360" w:lineRule="auto"/>
        <w:ind w:firstLineChars="200" w:firstLine="480"/>
        <w:rPr>
          <w:sz w:val="24"/>
        </w:rPr>
      </w:pPr>
      <w:r>
        <w:rPr>
          <w:sz w:val="24"/>
        </w:rPr>
        <w:t>春风油田</w:t>
      </w:r>
      <w:r>
        <w:rPr>
          <w:rFonts w:hint="eastAsia"/>
          <w:sz w:val="24"/>
        </w:rPr>
        <w:t>北部涉及克拉玛依市、南部涉及第七师。</w:t>
      </w:r>
    </w:p>
    <w:p w:rsidR="00EE4502" w:rsidRDefault="00FD45A3">
      <w:pPr>
        <w:spacing w:line="360" w:lineRule="auto"/>
        <w:ind w:firstLineChars="200" w:firstLine="480"/>
        <w:rPr>
          <w:sz w:val="24"/>
        </w:rPr>
      </w:pPr>
      <w:r>
        <w:rPr>
          <w:rFonts w:hint="eastAsia"/>
          <w:sz w:val="24"/>
        </w:rPr>
        <w:t>春风油田老区（克拉玛依市境内）各区块，自</w:t>
      </w:r>
      <w:r>
        <w:rPr>
          <w:rFonts w:hint="eastAsia"/>
          <w:sz w:val="24"/>
        </w:rPr>
        <w:t>2010</w:t>
      </w:r>
      <w:r>
        <w:rPr>
          <w:rFonts w:hint="eastAsia"/>
          <w:sz w:val="24"/>
        </w:rPr>
        <w:t>年进入规模开发至今，经历了勘探</w:t>
      </w:r>
      <w:r>
        <w:rPr>
          <w:rFonts w:hint="eastAsia"/>
          <w:sz w:val="24"/>
        </w:rPr>
        <w:t>-</w:t>
      </w:r>
      <w:r>
        <w:rPr>
          <w:rFonts w:hint="eastAsia"/>
          <w:sz w:val="24"/>
        </w:rPr>
        <w:t>油藏评价阶段和规模开发阶段，按照开发时序履行了环境影响评价和竣工环境保护验收工作。</w:t>
      </w:r>
      <w:r>
        <w:rPr>
          <w:rFonts w:hint="eastAsia"/>
          <w:sz w:val="24"/>
        </w:rPr>
        <w:t>2021</w:t>
      </w:r>
      <w:r>
        <w:rPr>
          <w:rFonts w:hint="eastAsia"/>
          <w:sz w:val="24"/>
        </w:rPr>
        <w:t>年</w:t>
      </w:r>
      <w:r>
        <w:rPr>
          <w:rFonts w:hint="eastAsia"/>
          <w:sz w:val="24"/>
        </w:rPr>
        <w:t>~2022</w:t>
      </w:r>
      <w:r>
        <w:rPr>
          <w:rFonts w:hint="eastAsia"/>
          <w:sz w:val="24"/>
        </w:rPr>
        <w:t>年，春风油田开展了环境影响后评价工作，完成了《中石化新疆新春石油开发有限责任公司春风</w:t>
      </w:r>
      <w:r>
        <w:rPr>
          <w:rFonts w:hint="eastAsia"/>
          <w:sz w:val="24"/>
        </w:rPr>
        <w:t>油田环境影响后评价报告书》。经备案后的后评价文件作为生态环境主管部门环境管理的依据，为油田日常环保监督管理提供技术支撑。春风油田各工程“三同时”执行情况见表</w:t>
      </w:r>
      <w:r>
        <w:rPr>
          <w:rFonts w:hint="eastAsia"/>
          <w:sz w:val="24"/>
        </w:rPr>
        <w:t>3-1-1</w:t>
      </w:r>
      <w:r>
        <w:rPr>
          <w:rFonts w:hint="eastAsia"/>
          <w:sz w:val="24"/>
        </w:rPr>
        <w:t>。</w:t>
      </w:r>
    </w:p>
    <w:p w:rsidR="00EE4502" w:rsidRDefault="00FD45A3">
      <w:pPr>
        <w:widowControl/>
        <w:spacing w:line="360" w:lineRule="auto"/>
        <w:jc w:val="center"/>
        <w:rPr>
          <w:rFonts w:eastAsia="黑体" w:hAnsi="黑体"/>
          <w:sz w:val="22"/>
        </w:rPr>
      </w:pPr>
      <w:r>
        <w:rPr>
          <w:rFonts w:eastAsia="黑体" w:hAnsi="黑体" w:hint="eastAsia"/>
          <w:sz w:val="22"/>
        </w:rPr>
        <w:t>表</w:t>
      </w:r>
      <w:r>
        <w:rPr>
          <w:rFonts w:eastAsia="黑体" w:hAnsi="黑体"/>
          <w:sz w:val="22"/>
        </w:rPr>
        <w:t>3</w:t>
      </w:r>
      <w:r>
        <w:rPr>
          <w:rFonts w:eastAsia="黑体" w:hAnsi="黑体" w:hint="eastAsia"/>
          <w:sz w:val="22"/>
        </w:rPr>
        <w:t>-</w:t>
      </w:r>
      <w:r>
        <w:rPr>
          <w:rFonts w:eastAsia="黑体" w:hAnsi="黑体"/>
          <w:sz w:val="22"/>
        </w:rPr>
        <w:t>1-</w:t>
      </w:r>
      <w:r>
        <w:rPr>
          <w:rFonts w:eastAsia="黑体" w:hAnsi="黑体" w:hint="eastAsia"/>
          <w:sz w:val="22"/>
        </w:rPr>
        <w:t>1</w:t>
      </w:r>
      <w:r>
        <w:rPr>
          <w:rFonts w:eastAsia="黑体" w:hAnsi="黑体"/>
          <w:sz w:val="22"/>
        </w:rPr>
        <w:t xml:space="preserve">  </w:t>
      </w:r>
      <w:r>
        <w:rPr>
          <w:rFonts w:eastAsia="黑体" w:hAnsi="黑体" w:hint="eastAsia"/>
          <w:sz w:val="22"/>
        </w:rPr>
        <w:t>春风油田（克拉玛依辖区）环保手续履行情况一览表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1278"/>
        <w:gridCol w:w="1056"/>
        <w:gridCol w:w="1016"/>
        <w:gridCol w:w="1061"/>
        <w:gridCol w:w="1486"/>
        <w:gridCol w:w="1061"/>
        <w:gridCol w:w="1128"/>
      </w:tblGrid>
      <w:tr w:rsidR="00EE4502">
        <w:trPr>
          <w:trHeight w:val="147"/>
          <w:tblHeader/>
          <w:jc w:val="center"/>
        </w:trPr>
        <w:tc>
          <w:tcPr>
            <w:tcW w:w="263" w:type="pct"/>
            <w:vAlign w:val="center"/>
          </w:tcPr>
          <w:p w:rsidR="00EE4502" w:rsidRDefault="00FD45A3">
            <w:pPr>
              <w:widowControl/>
              <w:jc w:val="center"/>
              <w:rPr>
                <w:kern w:val="0"/>
                <w:szCs w:val="21"/>
              </w:rPr>
            </w:pPr>
            <w:bookmarkStart w:id="79" w:name="OLE_LINK517"/>
            <w:r>
              <w:rPr>
                <w:rFonts w:hint="eastAsia"/>
                <w:kern w:val="0"/>
                <w:szCs w:val="21"/>
              </w:rPr>
              <w:t>序号</w:t>
            </w:r>
          </w:p>
        </w:tc>
        <w:tc>
          <w:tcPr>
            <w:tcW w:w="757" w:type="pct"/>
            <w:vAlign w:val="center"/>
          </w:tcPr>
          <w:p w:rsidR="00EE4502" w:rsidRDefault="00FD45A3">
            <w:pPr>
              <w:widowControl/>
              <w:jc w:val="center"/>
              <w:rPr>
                <w:kern w:val="0"/>
                <w:szCs w:val="21"/>
              </w:rPr>
            </w:pPr>
            <w:r>
              <w:rPr>
                <w:rFonts w:hint="eastAsia"/>
                <w:kern w:val="0"/>
                <w:szCs w:val="21"/>
              </w:rPr>
              <w:t>项目</w:t>
            </w:r>
          </w:p>
        </w:tc>
        <w:tc>
          <w:tcPr>
            <w:tcW w:w="591" w:type="pct"/>
            <w:vAlign w:val="center"/>
          </w:tcPr>
          <w:p w:rsidR="00EE4502" w:rsidRDefault="00FD45A3">
            <w:pPr>
              <w:widowControl/>
              <w:jc w:val="center"/>
              <w:rPr>
                <w:kern w:val="0"/>
                <w:szCs w:val="21"/>
              </w:rPr>
            </w:pPr>
            <w:r>
              <w:rPr>
                <w:rFonts w:hint="eastAsia"/>
                <w:kern w:val="0"/>
                <w:szCs w:val="21"/>
              </w:rPr>
              <w:t>审批文号</w:t>
            </w:r>
          </w:p>
        </w:tc>
        <w:tc>
          <w:tcPr>
            <w:tcW w:w="603" w:type="pct"/>
            <w:vAlign w:val="center"/>
          </w:tcPr>
          <w:p w:rsidR="00EE4502" w:rsidRDefault="00FD45A3">
            <w:pPr>
              <w:widowControl/>
              <w:jc w:val="center"/>
              <w:rPr>
                <w:kern w:val="0"/>
                <w:szCs w:val="21"/>
              </w:rPr>
            </w:pPr>
            <w:r>
              <w:rPr>
                <w:rFonts w:hint="eastAsia"/>
                <w:kern w:val="0"/>
                <w:szCs w:val="21"/>
              </w:rPr>
              <w:t>审批部门</w:t>
            </w:r>
          </w:p>
        </w:tc>
        <w:tc>
          <w:tcPr>
            <w:tcW w:w="618" w:type="pct"/>
            <w:vAlign w:val="center"/>
          </w:tcPr>
          <w:p w:rsidR="00EE4502" w:rsidRDefault="00FD45A3">
            <w:pPr>
              <w:widowControl/>
              <w:jc w:val="center"/>
              <w:rPr>
                <w:kern w:val="0"/>
                <w:szCs w:val="21"/>
              </w:rPr>
            </w:pPr>
            <w:r>
              <w:rPr>
                <w:rFonts w:hint="eastAsia"/>
                <w:kern w:val="0"/>
                <w:szCs w:val="21"/>
              </w:rPr>
              <w:t>审批时间</w:t>
            </w:r>
          </w:p>
        </w:tc>
        <w:tc>
          <w:tcPr>
            <w:tcW w:w="879" w:type="pct"/>
            <w:vAlign w:val="center"/>
          </w:tcPr>
          <w:p w:rsidR="00EE4502" w:rsidRDefault="00FD45A3">
            <w:pPr>
              <w:widowControl/>
              <w:jc w:val="center"/>
              <w:rPr>
                <w:kern w:val="0"/>
                <w:szCs w:val="21"/>
              </w:rPr>
            </w:pPr>
            <w:r>
              <w:rPr>
                <w:rFonts w:hint="eastAsia"/>
                <w:kern w:val="0"/>
                <w:szCs w:val="21"/>
              </w:rPr>
              <w:t>验收文号</w:t>
            </w:r>
          </w:p>
        </w:tc>
        <w:tc>
          <w:tcPr>
            <w:tcW w:w="618" w:type="pct"/>
            <w:vAlign w:val="center"/>
          </w:tcPr>
          <w:p w:rsidR="00EE4502" w:rsidRDefault="00FD45A3">
            <w:pPr>
              <w:widowControl/>
              <w:jc w:val="center"/>
              <w:rPr>
                <w:kern w:val="0"/>
                <w:szCs w:val="21"/>
              </w:rPr>
            </w:pPr>
            <w:r>
              <w:rPr>
                <w:rFonts w:hint="eastAsia"/>
                <w:kern w:val="0"/>
                <w:szCs w:val="21"/>
              </w:rPr>
              <w:t>验收时间</w:t>
            </w:r>
          </w:p>
        </w:tc>
        <w:tc>
          <w:tcPr>
            <w:tcW w:w="669" w:type="pct"/>
            <w:vAlign w:val="center"/>
          </w:tcPr>
          <w:p w:rsidR="00EE4502" w:rsidRDefault="00FD45A3">
            <w:pPr>
              <w:widowControl/>
              <w:jc w:val="center"/>
              <w:rPr>
                <w:kern w:val="0"/>
                <w:szCs w:val="21"/>
              </w:rPr>
            </w:pPr>
            <w:r>
              <w:rPr>
                <w:rFonts w:hint="eastAsia"/>
                <w:kern w:val="0"/>
                <w:szCs w:val="21"/>
              </w:rPr>
              <w:t>验收审批部门</w:t>
            </w:r>
          </w:p>
        </w:tc>
      </w:tr>
      <w:tr w:rsidR="00EE4502">
        <w:trPr>
          <w:trHeight w:val="459"/>
          <w:jc w:val="center"/>
        </w:trPr>
        <w:tc>
          <w:tcPr>
            <w:tcW w:w="263" w:type="pct"/>
            <w:vAlign w:val="center"/>
          </w:tcPr>
          <w:p w:rsidR="00EE4502" w:rsidRDefault="00FD45A3">
            <w:pPr>
              <w:jc w:val="center"/>
              <w:rPr>
                <w:spacing w:val="-10"/>
                <w:szCs w:val="21"/>
              </w:rPr>
            </w:pPr>
            <w:r>
              <w:rPr>
                <w:spacing w:val="-10"/>
                <w:szCs w:val="21"/>
              </w:rPr>
              <w:t>1</w:t>
            </w:r>
          </w:p>
        </w:tc>
        <w:tc>
          <w:tcPr>
            <w:tcW w:w="757" w:type="pct"/>
            <w:vAlign w:val="center"/>
          </w:tcPr>
          <w:p w:rsidR="00EE4502" w:rsidRDefault="00FD45A3">
            <w:pPr>
              <w:jc w:val="center"/>
              <w:rPr>
                <w:spacing w:val="-10"/>
                <w:szCs w:val="21"/>
              </w:rPr>
            </w:pPr>
            <w:r>
              <w:rPr>
                <w:rFonts w:hint="eastAsia"/>
                <w:spacing w:val="-10"/>
                <w:szCs w:val="21"/>
              </w:rPr>
              <w:t>新疆准噶尔盆地西缘排</w:t>
            </w:r>
            <w:r>
              <w:rPr>
                <w:spacing w:val="-10"/>
                <w:szCs w:val="21"/>
              </w:rPr>
              <w:t>601</w:t>
            </w:r>
            <w:r>
              <w:rPr>
                <w:rFonts w:hint="eastAsia"/>
                <w:spacing w:val="-10"/>
                <w:szCs w:val="21"/>
              </w:rPr>
              <w:t>新区产能建设工程</w:t>
            </w:r>
          </w:p>
        </w:tc>
        <w:tc>
          <w:tcPr>
            <w:tcW w:w="591" w:type="pct"/>
            <w:vAlign w:val="center"/>
          </w:tcPr>
          <w:p w:rsidR="00EE4502" w:rsidRDefault="00FD45A3">
            <w:pPr>
              <w:jc w:val="center"/>
              <w:rPr>
                <w:spacing w:val="-10"/>
                <w:szCs w:val="21"/>
              </w:rPr>
            </w:pPr>
            <w:r>
              <w:rPr>
                <w:rFonts w:hint="eastAsia"/>
                <w:spacing w:val="-10"/>
                <w:szCs w:val="21"/>
              </w:rPr>
              <w:t>新环评价函〔</w:t>
            </w:r>
            <w:r>
              <w:rPr>
                <w:spacing w:val="-10"/>
                <w:szCs w:val="21"/>
              </w:rPr>
              <w:t>2010</w:t>
            </w:r>
            <w:r>
              <w:rPr>
                <w:rFonts w:hint="eastAsia"/>
                <w:spacing w:val="-10"/>
                <w:szCs w:val="21"/>
              </w:rPr>
              <w:t>〕</w:t>
            </w:r>
            <w:r>
              <w:rPr>
                <w:spacing w:val="-10"/>
                <w:szCs w:val="21"/>
              </w:rPr>
              <w:t>863</w:t>
            </w:r>
            <w:r>
              <w:rPr>
                <w:rFonts w:hint="eastAsia"/>
                <w:spacing w:val="-10"/>
                <w:szCs w:val="21"/>
              </w:rPr>
              <w:t>号</w:t>
            </w:r>
          </w:p>
        </w:tc>
        <w:tc>
          <w:tcPr>
            <w:tcW w:w="603" w:type="pct"/>
            <w:vAlign w:val="center"/>
          </w:tcPr>
          <w:p w:rsidR="00EE4502" w:rsidRDefault="00FD45A3">
            <w:pPr>
              <w:jc w:val="center"/>
              <w:rPr>
                <w:spacing w:val="-10"/>
                <w:szCs w:val="21"/>
              </w:rPr>
            </w:pPr>
            <w:r>
              <w:rPr>
                <w:rFonts w:hint="eastAsia"/>
                <w:spacing w:val="-10"/>
                <w:szCs w:val="21"/>
              </w:rPr>
              <w:t>原</w:t>
            </w:r>
            <w:r>
              <w:rPr>
                <w:rFonts w:hint="eastAsia"/>
                <w:spacing w:val="-10"/>
                <w:szCs w:val="21"/>
              </w:rPr>
              <w:t>新疆维吾尔自治区环保厅</w:t>
            </w:r>
          </w:p>
        </w:tc>
        <w:tc>
          <w:tcPr>
            <w:tcW w:w="618" w:type="pct"/>
            <w:vAlign w:val="center"/>
          </w:tcPr>
          <w:p w:rsidR="00EE4502" w:rsidRDefault="00FD45A3">
            <w:pPr>
              <w:jc w:val="center"/>
              <w:rPr>
                <w:spacing w:val="-10"/>
                <w:szCs w:val="21"/>
              </w:rPr>
            </w:pPr>
            <w:r>
              <w:rPr>
                <w:spacing w:val="-10"/>
                <w:szCs w:val="21"/>
              </w:rPr>
              <w:t>2010.12.13</w:t>
            </w:r>
          </w:p>
        </w:tc>
        <w:tc>
          <w:tcPr>
            <w:tcW w:w="879" w:type="pct"/>
            <w:vAlign w:val="center"/>
          </w:tcPr>
          <w:p w:rsidR="00EE4502" w:rsidRDefault="00FD45A3">
            <w:pPr>
              <w:jc w:val="center"/>
              <w:rPr>
                <w:spacing w:val="-10"/>
                <w:szCs w:val="21"/>
              </w:rPr>
            </w:pPr>
            <w:r>
              <w:rPr>
                <w:rFonts w:hint="eastAsia"/>
                <w:spacing w:val="-10"/>
                <w:szCs w:val="21"/>
              </w:rPr>
              <w:t>新环函〔</w:t>
            </w:r>
            <w:r>
              <w:rPr>
                <w:spacing w:val="-10"/>
                <w:szCs w:val="21"/>
              </w:rPr>
              <w:t>2012</w:t>
            </w:r>
            <w:r>
              <w:rPr>
                <w:rFonts w:hint="eastAsia"/>
                <w:spacing w:val="-10"/>
                <w:szCs w:val="21"/>
              </w:rPr>
              <w:t>〕</w:t>
            </w:r>
            <w:r>
              <w:rPr>
                <w:spacing w:val="-10"/>
                <w:szCs w:val="21"/>
              </w:rPr>
              <w:t>939</w:t>
            </w:r>
            <w:r>
              <w:rPr>
                <w:rFonts w:hint="eastAsia"/>
                <w:spacing w:val="-10"/>
                <w:szCs w:val="21"/>
              </w:rPr>
              <w:t>号</w:t>
            </w:r>
          </w:p>
        </w:tc>
        <w:tc>
          <w:tcPr>
            <w:tcW w:w="618" w:type="pct"/>
            <w:vAlign w:val="center"/>
          </w:tcPr>
          <w:p w:rsidR="00EE4502" w:rsidRDefault="00FD45A3">
            <w:pPr>
              <w:jc w:val="center"/>
              <w:rPr>
                <w:spacing w:val="-10"/>
                <w:szCs w:val="21"/>
              </w:rPr>
            </w:pPr>
            <w:r>
              <w:rPr>
                <w:spacing w:val="-10"/>
                <w:szCs w:val="21"/>
              </w:rPr>
              <w:t>2012.9.21</w:t>
            </w:r>
          </w:p>
        </w:tc>
        <w:tc>
          <w:tcPr>
            <w:tcW w:w="669" w:type="pct"/>
            <w:vAlign w:val="center"/>
          </w:tcPr>
          <w:p w:rsidR="00EE4502" w:rsidRDefault="00FD45A3">
            <w:pPr>
              <w:jc w:val="center"/>
              <w:rPr>
                <w:spacing w:val="-10"/>
                <w:szCs w:val="21"/>
              </w:rPr>
            </w:pPr>
            <w:r>
              <w:rPr>
                <w:rFonts w:hint="eastAsia"/>
                <w:spacing w:val="-10"/>
                <w:szCs w:val="21"/>
              </w:rPr>
              <w:t>原新疆维吾尔自治区环保厅</w:t>
            </w:r>
          </w:p>
        </w:tc>
      </w:tr>
      <w:tr w:rsidR="00EE4502">
        <w:trPr>
          <w:trHeight w:val="79"/>
          <w:jc w:val="center"/>
        </w:trPr>
        <w:tc>
          <w:tcPr>
            <w:tcW w:w="263" w:type="pct"/>
            <w:vAlign w:val="center"/>
          </w:tcPr>
          <w:p w:rsidR="00EE4502" w:rsidRDefault="00FD45A3">
            <w:pPr>
              <w:jc w:val="center"/>
              <w:rPr>
                <w:spacing w:val="-10"/>
                <w:szCs w:val="21"/>
              </w:rPr>
            </w:pPr>
            <w:r>
              <w:rPr>
                <w:spacing w:val="-10"/>
                <w:szCs w:val="21"/>
              </w:rPr>
              <w:t>2</w:t>
            </w:r>
          </w:p>
        </w:tc>
        <w:tc>
          <w:tcPr>
            <w:tcW w:w="757" w:type="pct"/>
            <w:vAlign w:val="center"/>
          </w:tcPr>
          <w:p w:rsidR="00EE4502" w:rsidRDefault="00FD45A3">
            <w:pPr>
              <w:jc w:val="center"/>
              <w:rPr>
                <w:spacing w:val="-10"/>
                <w:szCs w:val="21"/>
              </w:rPr>
            </w:pPr>
            <w:r>
              <w:rPr>
                <w:rFonts w:hint="eastAsia"/>
                <w:spacing w:val="-10"/>
                <w:szCs w:val="21"/>
              </w:rPr>
              <w:t>春风油田排</w:t>
            </w:r>
            <w:r>
              <w:rPr>
                <w:spacing w:val="-10"/>
                <w:szCs w:val="21"/>
              </w:rPr>
              <w:t>601</w:t>
            </w:r>
            <w:r>
              <w:rPr>
                <w:rFonts w:hint="eastAsia"/>
                <w:spacing w:val="-10"/>
                <w:szCs w:val="21"/>
              </w:rPr>
              <w:t>北区固定注汽站建设项目</w:t>
            </w:r>
          </w:p>
        </w:tc>
        <w:tc>
          <w:tcPr>
            <w:tcW w:w="591" w:type="pct"/>
            <w:vAlign w:val="center"/>
          </w:tcPr>
          <w:p w:rsidR="00EE4502" w:rsidRDefault="00FD45A3">
            <w:pPr>
              <w:jc w:val="center"/>
              <w:rPr>
                <w:spacing w:val="-10"/>
                <w:szCs w:val="21"/>
              </w:rPr>
            </w:pPr>
            <w:r>
              <w:rPr>
                <w:rFonts w:hint="eastAsia"/>
                <w:spacing w:val="-10"/>
                <w:szCs w:val="21"/>
              </w:rPr>
              <w:t>新环评价函〔</w:t>
            </w:r>
            <w:r>
              <w:rPr>
                <w:spacing w:val="-10"/>
                <w:szCs w:val="21"/>
              </w:rPr>
              <w:t>2011</w:t>
            </w:r>
            <w:r>
              <w:rPr>
                <w:rFonts w:hint="eastAsia"/>
                <w:spacing w:val="-10"/>
                <w:szCs w:val="21"/>
              </w:rPr>
              <w:t>〕</w:t>
            </w:r>
            <w:r>
              <w:rPr>
                <w:spacing w:val="-10"/>
                <w:szCs w:val="21"/>
              </w:rPr>
              <w:t>716</w:t>
            </w:r>
            <w:r>
              <w:rPr>
                <w:rFonts w:hint="eastAsia"/>
                <w:spacing w:val="-10"/>
                <w:szCs w:val="21"/>
              </w:rPr>
              <w:t>号</w:t>
            </w:r>
          </w:p>
        </w:tc>
        <w:tc>
          <w:tcPr>
            <w:tcW w:w="603" w:type="pct"/>
            <w:vAlign w:val="center"/>
          </w:tcPr>
          <w:p w:rsidR="00EE4502" w:rsidRDefault="00FD45A3">
            <w:pPr>
              <w:jc w:val="center"/>
              <w:rPr>
                <w:spacing w:val="-10"/>
                <w:szCs w:val="21"/>
              </w:rPr>
            </w:pPr>
            <w:r>
              <w:rPr>
                <w:rFonts w:hint="eastAsia"/>
                <w:spacing w:val="-10"/>
                <w:szCs w:val="21"/>
              </w:rPr>
              <w:t>原新疆维吾尔自治区环保厅</w:t>
            </w:r>
          </w:p>
        </w:tc>
        <w:tc>
          <w:tcPr>
            <w:tcW w:w="618" w:type="pct"/>
            <w:vAlign w:val="center"/>
          </w:tcPr>
          <w:p w:rsidR="00EE4502" w:rsidRDefault="00FD45A3">
            <w:pPr>
              <w:jc w:val="center"/>
              <w:rPr>
                <w:spacing w:val="-10"/>
                <w:szCs w:val="21"/>
              </w:rPr>
            </w:pPr>
            <w:r>
              <w:rPr>
                <w:spacing w:val="-10"/>
                <w:szCs w:val="21"/>
              </w:rPr>
              <w:t>2011.8.9</w:t>
            </w:r>
          </w:p>
        </w:tc>
        <w:tc>
          <w:tcPr>
            <w:tcW w:w="879" w:type="pct"/>
            <w:vAlign w:val="center"/>
          </w:tcPr>
          <w:p w:rsidR="00EE4502" w:rsidRDefault="00FD45A3">
            <w:pPr>
              <w:jc w:val="center"/>
              <w:rPr>
                <w:spacing w:val="-10"/>
                <w:szCs w:val="21"/>
              </w:rPr>
            </w:pPr>
            <w:r>
              <w:rPr>
                <w:rFonts w:hint="eastAsia"/>
                <w:spacing w:val="-10"/>
                <w:szCs w:val="21"/>
              </w:rPr>
              <w:t>新环函〔</w:t>
            </w:r>
            <w:r>
              <w:rPr>
                <w:spacing w:val="-10"/>
                <w:szCs w:val="21"/>
              </w:rPr>
              <w:t>2014</w:t>
            </w:r>
            <w:r>
              <w:rPr>
                <w:rFonts w:hint="eastAsia"/>
                <w:spacing w:val="-10"/>
                <w:szCs w:val="21"/>
              </w:rPr>
              <w:t>〕</w:t>
            </w:r>
            <w:r>
              <w:rPr>
                <w:spacing w:val="-10"/>
                <w:szCs w:val="21"/>
              </w:rPr>
              <w:t>1384</w:t>
            </w:r>
            <w:r>
              <w:rPr>
                <w:rFonts w:hint="eastAsia"/>
                <w:spacing w:val="-10"/>
                <w:szCs w:val="21"/>
              </w:rPr>
              <w:t>号</w:t>
            </w:r>
          </w:p>
        </w:tc>
        <w:tc>
          <w:tcPr>
            <w:tcW w:w="618" w:type="pct"/>
            <w:vAlign w:val="center"/>
          </w:tcPr>
          <w:p w:rsidR="00EE4502" w:rsidRDefault="00FD45A3">
            <w:pPr>
              <w:jc w:val="center"/>
              <w:rPr>
                <w:spacing w:val="-10"/>
                <w:szCs w:val="21"/>
              </w:rPr>
            </w:pPr>
            <w:r>
              <w:rPr>
                <w:spacing w:val="-10"/>
                <w:szCs w:val="21"/>
              </w:rPr>
              <w:t>2014.11.28</w:t>
            </w:r>
          </w:p>
        </w:tc>
        <w:tc>
          <w:tcPr>
            <w:tcW w:w="669" w:type="pct"/>
            <w:vAlign w:val="center"/>
          </w:tcPr>
          <w:p w:rsidR="00EE4502" w:rsidRDefault="00FD45A3">
            <w:pPr>
              <w:jc w:val="center"/>
              <w:rPr>
                <w:spacing w:val="-10"/>
                <w:szCs w:val="21"/>
              </w:rPr>
            </w:pPr>
            <w:r>
              <w:rPr>
                <w:rFonts w:hint="eastAsia"/>
                <w:spacing w:val="-10"/>
                <w:szCs w:val="21"/>
              </w:rPr>
              <w:t>原新疆维吾尔自治区环保厅</w:t>
            </w:r>
          </w:p>
        </w:tc>
      </w:tr>
      <w:tr w:rsidR="00EE4502">
        <w:trPr>
          <w:trHeight w:val="79"/>
          <w:jc w:val="center"/>
        </w:trPr>
        <w:tc>
          <w:tcPr>
            <w:tcW w:w="263" w:type="pct"/>
            <w:vAlign w:val="center"/>
          </w:tcPr>
          <w:p w:rsidR="00EE4502" w:rsidRDefault="00FD45A3">
            <w:pPr>
              <w:jc w:val="center"/>
              <w:rPr>
                <w:spacing w:val="-10"/>
                <w:szCs w:val="21"/>
              </w:rPr>
            </w:pPr>
            <w:r>
              <w:rPr>
                <w:spacing w:val="-10"/>
                <w:szCs w:val="21"/>
              </w:rPr>
              <w:t>3</w:t>
            </w:r>
          </w:p>
        </w:tc>
        <w:tc>
          <w:tcPr>
            <w:tcW w:w="757" w:type="pct"/>
            <w:vAlign w:val="center"/>
          </w:tcPr>
          <w:p w:rsidR="00EE4502" w:rsidRDefault="00FD45A3">
            <w:pPr>
              <w:jc w:val="center"/>
              <w:rPr>
                <w:spacing w:val="-10"/>
                <w:szCs w:val="21"/>
              </w:rPr>
            </w:pPr>
            <w:r>
              <w:rPr>
                <w:rFonts w:hint="eastAsia"/>
                <w:spacing w:val="-10"/>
                <w:szCs w:val="21"/>
              </w:rPr>
              <w:t>春风油田排</w:t>
            </w:r>
            <w:r>
              <w:rPr>
                <w:spacing w:val="-10"/>
                <w:szCs w:val="21"/>
              </w:rPr>
              <w:t>601</w:t>
            </w:r>
            <w:r>
              <w:rPr>
                <w:rFonts w:hint="eastAsia"/>
                <w:spacing w:val="-10"/>
                <w:szCs w:val="21"/>
              </w:rPr>
              <w:t>块中区产能建设工程</w:t>
            </w:r>
          </w:p>
        </w:tc>
        <w:tc>
          <w:tcPr>
            <w:tcW w:w="591" w:type="pct"/>
            <w:vAlign w:val="center"/>
          </w:tcPr>
          <w:p w:rsidR="00EE4502" w:rsidRDefault="00FD45A3">
            <w:pPr>
              <w:jc w:val="center"/>
              <w:rPr>
                <w:spacing w:val="-10"/>
                <w:szCs w:val="21"/>
              </w:rPr>
            </w:pPr>
            <w:r>
              <w:rPr>
                <w:rFonts w:hint="eastAsia"/>
                <w:spacing w:val="-10"/>
                <w:szCs w:val="21"/>
              </w:rPr>
              <w:t>新环评价函</w:t>
            </w:r>
            <w:r>
              <w:rPr>
                <w:rFonts w:hint="eastAsia"/>
                <w:szCs w:val="22"/>
              </w:rPr>
              <w:t>〔</w:t>
            </w:r>
            <w:r>
              <w:rPr>
                <w:rFonts w:hint="eastAsia"/>
                <w:szCs w:val="22"/>
              </w:rPr>
              <w:t>20</w:t>
            </w:r>
            <w:r>
              <w:rPr>
                <w:szCs w:val="22"/>
              </w:rPr>
              <w:t>11</w:t>
            </w:r>
            <w:r>
              <w:rPr>
                <w:rFonts w:hint="eastAsia"/>
                <w:szCs w:val="22"/>
              </w:rPr>
              <w:t>〕</w:t>
            </w:r>
            <w:r>
              <w:rPr>
                <w:spacing w:val="-10"/>
                <w:szCs w:val="21"/>
              </w:rPr>
              <w:t>863</w:t>
            </w:r>
            <w:r>
              <w:rPr>
                <w:rFonts w:hint="eastAsia"/>
                <w:spacing w:val="-10"/>
                <w:szCs w:val="21"/>
              </w:rPr>
              <w:t>号</w:t>
            </w:r>
          </w:p>
        </w:tc>
        <w:tc>
          <w:tcPr>
            <w:tcW w:w="603" w:type="pct"/>
            <w:vAlign w:val="center"/>
          </w:tcPr>
          <w:p w:rsidR="00EE4502" w:rsidRDefault="00FD45A3">
            <w:pPr>
              <w:jc w:val="center"/>
              <w:rPr>
                <w:spacing w:val="-10"/>
                <w:szCs w:val="21"/>
              </w:rPr>
            </w:pPr>
            <w:r>
              <w:rPr>
                <w:rFonts w:hint="eastAsia"/>
                <w:spacing w:val="-10"/>
                <w:szCs w:val="21"/>
              </w:rPr>
              <w:t>原新疆维吾尔自治区环保厅</w:t>
            </w:r>
          </w:p>
        </w:tc>
        <w:tc>
          <w:tcPr>
            <w:tcW w:w="618" w:type="pct"/>
            <w:vAlign w:val="center"/>
          </w:tcPr>
          <w:p w:rsidR="00EE4502" w:rsidRDefault="00FD45A3">
            <w:pPr>
              <w:jc w:val="center"/>
              <w:rPr>
                <w:spacing w:val="-10"/>
                <w:szCs w:val="21"/>
              </w:rPr>
            </w:pPr>
            <w:r>
              <w:rPr>
                <w:spacing w:val="-10"/>
                <w:szCs w:val="21"/>
              </w:rPr>
              <w:t>2011.9.21</w:t>
            </w:r>
          </w:p>
        </w:tc>
        <w:tc>
          <w:tcPr>
            <w:tcW w:w="879" w:type="pct"/>
            <w:vAlign w:val="center"/>
          </w:tcPr>
          <w:p w:rsidR="00EE4502" w:rsidRDefault="00FD45A3">
            <w:pPr>
              <w:jc w:val="center"/>
              <w:rPr>
                <w:spacing w:val="-10"/>
                <w:szCs w:val="21"/>
              </w:rPr>
            </w:pPr>
            <w:r>
              <w:rPr>
                <w:rFonts w:hint="eastAsia"/>
                <w:spacing w:val="-10"/>
                <w:szCs w:val="21"/>
              </w:rPr>
              <w:t>新环函〔</w:t>
            </w:r>
            <w:r>
              <w:rPr>
                <w:spacing w:val="-10"/>
                <w:szCs w:val="21"/>
              </w:rPr>
              <w:t>2014</w:t>
            </w:r>
            <w:r>
              <w:rPr>
                <w:rFonts w:hint="eastAsia"/>
                <w:spacing w:val="-10"/>
                <w:szCs w:val="21"/>
              </w:rPr>
              <w:t>〕</w:t>
            </w:r>
            <w:r>
              <w:rPr>
                <w:spacing w:val="-10"/>
                <w:szCs w:val="21"/>
              </w:rPr>
              <w:t>458</w:t>
            </w:r>
            <w:r>
              <w:rPr>
                <w:rFonts w:hint="eastAsia"/>
                <w:spacing w:val="-10"/>
                <w:szCs w:val="21"/>
              </w:rPr>
              <w:t>号</w:t>
            </w:r>
          </w:p>
        </w:tc>
        <w:tc>
          <w:tcPr>
            <w:tcW w:w="618" w:type="pct"/>
            <w:vAlign w:val="center"/>
          </w:tcPr>
          <w:p w:rsidR="00EE4502" w:rsidRDefault="00FD45A3">
            <w:pPr>
              <w:jc w:val="center"/>
              <w:rPr>
                <w:spacing w:val="-10"/>
                <w:szCs w:val="21"/>
              </w:rPr>
            </w:pPr>
            <w:r>
              <w:rPr>
                <w:spacing w:val="-10"/>
                <w:szCs w:val="21"/>
              </w:rPr>
              <w:t>2014.4.21</w:t>
            </w:r>
          </w:p>
        </w:tc>
        <w:tc>
          <w:tcPr>
            <w:tcW w:w="669" w:type="pct"/>
            <w:vAlign w:val="center"/>
          </w:tcPr>
          <w:p w:rsidR="00EE4502" w:rsidRDefault="00FD45A3">
            <w:pPr>
              <w:jc w:val="center"/>
              <w:rPr>
                <w:spacing w:val="-10"/>
                <w:szCs w:val="21"/>
              </w:rPr>
            </w:pPr>
            <w:r>
              <w:rPr>
                <w:rFonts w:hint="eastAsia"/>
                <w:spacing w:val="-10"/>
                <w:szCs w:val="21"/>
              </w:rPr>
              <w:t>原新疆维吾尔自治区环保厅</w:t>
            </w:r>
          </w:p>
        </w:tc>
      </w:tr>
      <w:tr w:rsidR="00EE4502">
        <w:trPr>
          <w:trHeight w:val="317"/>
          <w:jc w:val="center"/>
        </w:trPr>
        <w:tc>
          <w:tcPr>
            <w:tcW w:w="263" w:type="pct"/>
            <w:vAlign w:val="center"/>
          </w:tcPr>
          <w:p w:rsidR="00EE4502" w:rsidRDefault="00FD45A3">
            <w:pPr>
              <w:widowControl/>
              <w:jc w:val="center"/>
              <w:rPr>
                <w:b/>
                <w:bCs/>
                <w:kern w:val="0"/>
                <w:szCs w:val="21"/>
              </w:rPr>
            </w:pPr>
            <w:r>
              <w:rPr>
                <w:b/>
                <w:bCs/>
                <w:spacing w:val="-10"/>
                <w:kern w:val="0"/>
                <w:szCs w:val="21"/>
              </w:rPr>
              <w:t>4</w:t>
            </w:r>
          </w:p>
        </w:tc>
        <w:tc>
          <w:tcPr>
            <w:tcW w:w="757" w:type="pct"/>
            <w:vAlign w:val="center"/>
          </w:tcPr>
          <w:p w:rsidR="00EE4502" w:rsidRDefault="00FD45A3">
            <w:pPr>
              <w:jc w:val="center"/>
              <w:rPr>
                <w:spacing w:val="-10"/>
                <w:szCs w:val="21"/>
              </w:rPr>
            </w:pPr>
            <w:r>
              <w:rPr>
                <w:rFonts w:hint="eastAsia"/>
                <w:spacing w:val="-10"/>
                <w:szCs w:val="21"/>
              </w:rPr>
              <w:t>春风油田排</w:t>
            </w:r>
            <w:r>
              <w:rPr>
                <w:spacing w:val="-10"/>
                <w:szCs w:val="21"/>
              </w:rPr>
              <w:t>601-20</w:t>
            </w:r>
            <w:r>
              <w:rPr>
                <w:rFonts w:hint="eastAsia"/>
                <w:spacing w:val="-10"/>
                <w:szCs w:val="21"/>
              </w:rPr>
              <w:t>块产能建设工程</w:t>
            </w:r>
          </w:p>
        </w:tc>
        <w:tc>
          <w:tcPr>
            <w:tcW w:w="591" w:type="pct"/>
            <w:vAlign w:val="center"/>
          </w:tcPr>
          <w:p w:rsidR="00EE4502" w:rsidRDefault="00FD45A3">
            <w:pPr>
              <w:jc w:val="center"/>
              <w:rPr>
                <w:spacing w:val="-10"/>
                <w:szCs w:val="21"/>
              </w:rPr>
            </w:pPr>
            <w:r>
              <w:rPr>
                <w:rFonts w:hint="eastAsia"/>
                <w:spacing w:val="-10"/>
                <w:szCs w:val="21"/>
              </w:rPr>
              <w:t>新环函</w:t>
            </w:r>
            <w:r>
              <w:rPr>
                <w:rFonts w:hint="eastAsia"/>
                <w:szCs w:val="22"/>
              </w:rPr>
              <w:t>〔</w:t>
            </w:r>
            <w:r>
              <w:rPr>
                <w:rFonts w:hint="eastAsia"/>
                <w:szCs w:val="22"/>
              </w:rPr>
              <w:t>20</w:t>
            </w:r>
            <w:r>
              <w:rPr>
                <w:szCs w:val="22"/>
              </w:rPr>
              <w:t>14</w:t>
            </w:r>
            <w:r>
              <w:rPr>
                <w:rFonts w:hint="eastAsia"/>
                <w:szCs w:val="22"/>
              </w:rPr>
              <w:t>〕</w:t>
            </w:r>
            <w:r>
              <w:rPr>
                <w:spacing w:val="-10"/>
                <w:szCs w:val="21"/>
              </w:rPr>
              <w:t>665</w:t>
            </w:r>
            <w:r>
              <w:rPr>
                <w:rFonts w:hint="eastAsia"/>
                <w:spacing w:val="-10"/>
                <w:szCs w:val="21"/>
              </w:rPr>
              <w:t>号</w:t>
            </w:r>
          </w:p>
        </w:tc>
        <w:tc>
          <w:tcPr>
            <w:tcW w:w="603" w:type="pct"/>
            <w:vAlign w:val="center"/>
          </w:tcPr>
          <w:p w:rsidR="00EE4502" w:rsidRDefault="00FD45A3">
            <w:pPr>
              <w:jc w:val="center"/>
              <w:rPr>
                <w:spacing w:val="-10"/>
                <w:szCs w:val="21"/>
              </w:rPr>
            </w:pPr>
            <w:r>
              <w:rPr>
                <w:rFonts w:hint="eastAsia"/>
                <w:spacing w:val="-10"/>
                <w:szCs w:val="21"/>
              </w:rPr>
              <w:t>原新疆维吾尔自治区环保厅</w:t>
            </w:r>
          </w:p>
        </w:tc>
        <w:tc>
          <w:tcPr>
            <w:tcW w:w="618" w:type="pct"/>
            <w:vAlign w:val="center"/>
          </w:tcPr>
          <w:p w:rsidR="00EE4502" w:rsidRDefault="00FD45A3">
            <w:pPr>
              <w:jc w:val="center"/>
              <w:rPr>
                <w:spacing w:val="-10"/>
                <w:szCs w:val="21"/>
              </w:rPr>
            </w:pPr>
            <w:r>
              <w:rPr>
                <w:spacing w:val="-10"/>
                <w:szCs w:val="21"/>
              </w:rPr>
              <w:t>2014.5.28</w:t>
            </w:r>
          </w:p>
        </w:tc>
        <w:tc>
          <w:tcPr>
            <w:tcW w:w="879" w:type="pct"/>
            <w:vAlign w:val="center"/>
          </w:tcPr>
          <w:p w:rsidR="00EE4502" w:rsidRDefault="00FD45A3">
            <w:pPr>
              <w:jc w:val="center"/>
              <w:rPr>
                <w:spacing w:val="-10"/>
                <w:szCs w:val="21"/>
              </w:rPr>
            </w:pPr>
            <w:r>
              <w:rPr>
                <w:rFonts w:hint="eastAsia"/>
                <w:spacing w:val="-10"/>
                <w:szCs w:val="21"/>
              </w:rPr>
              <w:t>新环环评函〔</w:t>
            </w:r>
            <w:r>
              <w:rPr>
                <w:spacing w:val="-10"/>
                <w:szCs w:val="21"/>
              </w:rPr>
              <w:t>2019</w:t>
            </w:r>
            <w:r>
              <w:rPr>
                <w:rFonts w:hint="eastAsia"/>
                <w:spacing w:val="-10"/>
                <w:szCs w:val="21"/>
              </w:rPr>
              <w:t>〕</w:t>
            </w:r>
            <w:r>
              <w:rPr>
                <w:spacing w:val="-10"/>
                <w:szCs w:val="21"/>
              </w:rPr>
              <w:t>435</w:t>
            </w:r>
            <w:r>
              <w:rPr>
                <w:rFonts w:hint="eastAsia"/>
                <w:spacing w:val="-10"/>
                <w:szCs w:val="21"/>
              </w:rPr>
              <w:t>号</w:t>
            </w:r>
          </w:p>
        </w:tc>
        <w:tc>
          <w:tcPr>
            <w:tcW w:w="618" w:type="pct"/>
            <w:vAlign w:val="center"/>
          </w:tcPr>
          <w:p w:rsidR="00EE4502" w:rsidRDefault="00FD45A3">
            <w:pPr>
              <w:jc w:val="center"/>
              <w:rPr>
                <w:spacing w:val="-10"/>
                <w:szCs w:val="21"/>
              </w:rPr>
            </w:pPr>
            <w:r>
              <w:rPr>
                <w:spacing w:val="-10"/>
                <w:szCs w:val="21"/>
              </w:rPr>
              <w:t>2019.4.11</w:t>
            </w:r>
          </w:p>
        </w:tc>
        <w:tc>
          <w:tcPr>
            <w:tcW w:w="669" w:type="pct"/>
            <w:vAlign w:val="center"/>
          </w:tcPr>
          <w:p w:rsidR="00EE4502" w:rsidRDefault="00FD45A3">
            <w:pPr>
              <w:jc w:val="center"/>
              <w:rPr>
                <w:spacing w:val="-10"/>
                <w:szCs w:val="21"/>
              </w:rPr>
            </w:pPr>
            <w:r>
              <w:rPr>
                <w:rFonts w:hint="eastAsia"/>
                <w:spacing w:val="-10"/>
                <w:szCs w:val="21"/>
              </w:rPr>
              <w:t>原新疆维吾尔自治区环保厅</w:t>
            </w:r>
          </w:p>
        </w:tc>
      </w:tr>
      <w:tr w:rsidR="00EE4502">
        <w:trPr>
          <w:trHeight w:val="79"/>
          <w:jc w:val="center"/>
        </w:trPr>
        <w:tc>
          <w:tcPr>
            <w:tcW w:w="263" w:type="pct"/>
            <w:vAlign w:val="center"/>
          </w:tcPr>
          <w:p w:rsidR="00EE4502" w:rsidRDefault="00FD45A3">
            <w:pPr>
              <w:jc w:val="center"/>
              <w:rPr>
                <w:spacing w:val="-10"/>
                <w:szCs w:val="21"/>
              </w:rPr>
            </w:pPr>
            <w:r>
              <w:rPr>
                <w:spacing w:val="-10"/>
                <w:szCs w:val="21"/>
              </w:rPr>
              <w:t>5</w:t>
            </w:r>
          </w:p>
        </w:tc>
        <w:tc>
          <w:tcPr>
            <w:tcW w:w="757" w:type="pct"/>
            <w:vAlign w:val="center"/>
          </w:tcPr>
          <w:p w:rsidR="00EE4502" w:rsidRDefault="00FD45A3">
            <w:pPr>
              <w:jc w:val="center"/>
              <w:rPr>
                <w:spacing w:val="-10"/>
                <w:szCs w:val="21"/>
              </w:rPr>
            </w:pPr>
            <w:r>
              <w:rPr>
                <w:rFonts w:hint="eastAsia"/>
                <w:spacing w:val="-10"/>
                <w:szCs w:val="21"/>
              </w:rPr>
              <w:t>春风油田排</w:t>
            </w:r>
            <w:r>
              <w:rPr>
                <w:spacing w:val="-10"/>
                <w:szCs w:val="21"/>
              </w:rPr>
              <w:t>612</w:t>
            </w:r>
            <w:r>
              <w:rPr>
                <w:rFonts w:hint="eastAsia"/>
                <w:spacing w:val="-10"/>
                <w:szCs w:val="21"/>
              </w:rPr>
              <w:t>块白垩系产能建设工程</w:t>
            </w:r>
          </w:p>
        </w:tc>
        <w:tc>
          <w:tcPr>
            <w:tcW w:w="591" w:type="pct"/>
            <w:vAlign w:val="center"/>
          </w:tcPr>
          <w:p w:rsidR="00EE4502" w:rsidRDefault="00FD45A3">
            <w:pPr>
              <w:jc w:val="center"/>
              <w:rPr>
                <w:spacing w:val="-10"/>
                <w:szCs w:val="21"/>
              </w:rPr>
            </w:pPr>
            <w:r>
              <w:rPr>
                <w:rFonts w:hint="eastAsia"/>
                <w:spacing w:val="-10"/>
                <w:szCs w:val="21"/>
              </w:rPr>
              <w:t>新环函</w:t>
            </w:r>
            <w:r>
              <w:rPr>
                <w:rFonts w:hint="eastAsia"/>
                <w:szCs w:val="22"/>
              </w:rPr>
              <w:t>〔</w:t>
            </w:r>
            <w:r>
              <w:rPr>
                <w:rFonts w:hint="eastAsia"/>
                <w:szCs w:val="22"/>
              </w:rPr>
              <w:t>20</w:t>
            </w:r>
            <w:r>
              <w:rPr>
                <w:szCs w:val="22"/>
              </w:rPr>
              <w:t>14</w:t>
            </w:r>
            <w:r>
              <w:rPr>
                <w:rFonts w:hint="eastAsia"/>
                <w:szCs w:val="22"/>
              </w:rPr>
              <w:t>〕</w:t>
            </w:r>
            <w:r>
              <w:rPr>
                <w:spacing w:val="-10"/>
                <w:szCs w:val="21"/>
              </w:rPr>
              <w:t>666</w:t>
            </w:r>
            <w:r>
              <w:rPr>
                <w:rFonts w:hint="eastAsia"/>
                <w:spacing w:val="-10"/>
                <w:szCs w:val="21"/>
              </w:rPr>
              <w:t>号</w:t>
            </w:r>
          </w:p>
        </w:tc>
        <w:tc>
          <w:tcPr>
            <w:tcW w:w="603" w:type="pct"/>
            <w:vAlign w:val="center"/>
          </w:tcPr>
          <w:p w:rsidR="00EE4502" w:rsidRDefault="00FD45A3">
            <w:pPr>
              <w:jc w:val="center"/>
              <w:rPr>
                <w:spacing w:val="-10"/>
                <w:szCs w:val="21"/>
              </w:rPr>
            </w:pPr>
            <w:r>
              <w:rPr>
                <w:rFonts w:hint="eastAsia"/>
                <w:spacing w:val="-10"/>
                <w:szCs w:val="21"/>
              </w:rPr>
              <w:t>原新疆维吾尔自治区环保厅</w:t>
            </w:r>
          </w:p>
        </w:tc>
        <w:tc>
          <w:tcPr>
            <w:tcW w:w="618" w:type="pct"/>
            <w:vAlign w:val="center"/>
          </w:tcPr>
          <w:p w:rsidR="00EE4502" w:rsidRDefault="00FD45A3">
            <w:pPr>
              <w:jc w:val="center"/>
              <w:rPr>
                <w:spacing w:val="-10"/>
                <w:szCs w:val="21"/>
              </w:rPr>
            </w:pPr>
            <w:r>
              <w:rPr>
                <w:spacing w:val="-10"/>
                <w:szCs w:val="21"/>
              </w:rPr>
              <w:t>2014.5.28</w:t>
            </w:r>
          </w:p>
        </w:tc>
        <w:tc>
          <w:tcPr>
            <w:tcW w:w="879" w:type="pct"/>
            <w:vAlign w:val="center"/>
          </w:tcPr>
          <w:p w:rsidR="00EE4502" w:rsidRDefault="00FD45A3">
            <w:pPr>
              <w:jc w:val="center"/>
              <w:rPr>
                <w:spacing w:val="-10"/>
                <w:szCs w:val="21"/>
              </w:rPr>
            </w:pPr>
            <w:r>
              <w:rPr>
                <w:rFonts w:hint="eastAsia"/>
                <w:spacing w:val="-10"/>
                <w:szCs w:val="21"/>
              </w:rPr>
              <w:t>新环环评函〔</w:t>
            </w:r>
            <w:r>
              <w:rPr>
                <w:spacing w:val="-10"/>
                <w:szCs w:val="21"/>
              </w:rPr>
              <w:t>2019</w:t>
            </w:r>
            <w:r>
              <w:rPr>
                <w:rFonts w:hint="eastAsia"/>
                <w:spacing w:val="-10"/>
                <w:szCs w:val="21"/>
              </w:rPr>
              <w:t>〕</w:t>
            </w:r>
            <w:r>
              <w:rPr>
                <w:spacing w:val="-10"/>
                <w:szCs w:val="21"/>
              </w:rPr>
              <w:t>433</w:t>
            </w:r>
            <w:r>
              <w:rPr>
                <w:rFonts w:hint="eastAsia"/>
                <w:spacing w:val="-10"/>
                <w:szCs w:val="21"/>
              </w:rPr>
              <w:t>号</w:t>
            </w:r>
          </w:p>
        </w:tc>
        <w:tc>
          <w:tcPr>
            <w:tcW w:w="618" w:type="pct"/>
            <w:vAlign w:val="center"/>
          </w:tcPr>
          <w:p w:rsidR="00EE4502" w:rsidRDefault="00FD45A3">
            <w:pPr>
              <w:jc w:val="center"/>
              <w:rPr>
                <w:spacing w:val="-10"/>
                <w:szCs w:val="21"/>
              </w:rPr>
            </w:pPr>
            <w:r>
              <w:rPr>
                <w:spacing w:val="-10"/>
                <w:szCs w:val="21"/>
              </w:rPr>
              <w:t>2019.4.11</w:t>
            </w:r>
          </w:p>
        </w:tc>
        <w:tc>
          <w:tcPr>
            <w:tcW w:w="669" w:type="pct"/>
            <w:vAlign w:val="center"/>
          </w:tcPr>
          <w:p w:rsidR="00EE4502" w:rsidRDefault="00FD45A3">
            <w:pPr>
              <w:jc w:val="center"/>
              <w:rPr>
                <w:spacing w:val="-10"/>
                <w:szCs w:val="21"/>
              </w:rPr>
            </w:pPr>
            <w:r>
              <w:rPr>
                <w:rFonts w:hint="eastAsia"/>
                <w:spacing w:val="-10"/>
                <w:szCs w:val="21"/>
              </w:rPr>
              <w:t>原新疆维吾尔自治区环保厅</w:t>
            </w:r>
          </w:p>
        </w:tc>
      </w:tr>
      <w:tr w:rsidR="00EE4502">
        <w:trPr>
          <w:trHeight w:val="79"/>
          <w:jc w:val="center"/>
        </w:trPr>
        <w:tc>
          <w:tcPr>
            <w:tcW w:w="263" w:type="pct"/>
            <w:vAlign w:val="center"/>
          </w:tcPr>
          <w:p w:rsidR="00EE4502" w:rsidRDefault="00FD45A3">
            <w:pPr>
              <w:jc w:val="center"/>
              <w:rPr>
                <w:spacing w:val="-10"/>
                <w:szCs w:val="21"/>
              </w:rPr>
            </w:pPr>
            <w:r>
              <w:rPr>
                <w:spacing w:val="-10"/>
                <w:szCs w:val="21"/>
              </w:rPr>
              <w:t>6</w:t>
            </w:r>
          </w:p>
        </w:tc>
        <w:tc>
          <w:tcPr>
            <w:tcW w:w="757" w:type="pct"/>
            <w:vAlign w:val="center"/>
          </w:tcPr>
          <w:p w:rsidR="00EE4502" w:rsidRDefault="00FD45A3">
            <w:pPr>
              <w:jc w:val="center"/>
              <w:rPr>
                <w:spacing w:val="-10"/>
                <w:szCs w:val="21"/>
              </w:rPr>
            </w:pPr>
            <w:r>
              <w:rPr>
                <w:rFonts w:hint="eastAsia"/>
                <w:spacing w:val="-10"/>
                <w:szCs w:val="21"/>
              </w:rPr>
              <w:t>春风油田排</w:t>
            </w:r>
            <w:r>
              <w:rPr>
                <w:spacing w:val="-10"/>
                <w:szCs w:val="21"/>
              </w:rPr>
              <w:t>6</w:t>
            </w:r>
            <w:r>
              <w:rPr>
                <w:rFonts w:hint="eastAsia"/>
                <w:spacing w:val="-10"/>
                <w:szCs w:val="21"/>
              </w:rPr>
              <w:t>北区产能建设工程</w:t>
            </w:r>
          </w:p>
        </w:tc>
        <w:tc>
          <w:tcPr>
            <w:tcW w:w="591" w:type="pct"/>
            <w:vAlign w:val="center"/>
          </w:tcPr>
          <w:p w:rsidR="00EE4502" w:rsidRDefault="00FD45A3">
            <w:pPr>
              <w:jc w:val="center"/>
              <w:rPr>
                <w:spacing w:val="-10"/>
                <w:szCs w:val="21"/>
              </w:rPr>
            </w:pPr>
            <w:r>
              <w:rPr>
                <w:rFonts w:hint="eastAsia"/>
                <w:spacing w:val="-10"/>
                <w:szCs w:val="21"/>
              </w:rPr>
              <w:t>新环函</w:t>
            </w:r>
            <w:r>
              <w:rPr>
                <w:rFonts w:hint="eastAsia"/>
                <w:szCs w:val="22"/>
              </w:rPr>
              <w:t>〔</w:t>
            </w:r>
            <w:r>
              <w:rPr>
                <w:rFonts w:hint="eastAsia"/>
                <w:szCs w:val="22"/>
              </w:rPr>
              <w:t>20</w:t>
            </w:r>
            <w:r>
              <w:rPr>
                <w:szCs w:val="22"/>
              </w:rPr>
              <w:t>16</w:t>
            </w:r>
            <w:r>
              <w:rPr>
                <w:rFonts w:hint="eastAsia"/>
                <w:szCs w:val="22"/>
              </w:rPr>
              <w:t>〕</w:t>
            </w:r>
            <w:r>
              <w:rPr>
                <w:spacing w:val="-10"/>
                <w:szCs w:val="21"/>
              </w:rPr>
              <w:t>49</w:t>
            </w:r>
            <w:r>
              <w:rPr>
                <w:rFonts w:hint="eastAsia"/>
                <w:spacing w:val="-10"/>
                <w:szCs w:val="21"/>
              </w:rPr>
              <w:t>号</w:t>
            </w:r>
          </w:p>
        </w:tc>
        <w:tc>
          <w:tcPr>
            <w:tcW w:w="603" w:type="pct"/>
            <w:vAlign w:val="center"/>
          </w:tcPr>
          <w:p w:rsidR="00EE4502" w:rsidRDefault="00FD45A3">
            <w:pPr>
              <w:jc w:val="center"/>
              <w:rPr>
                <w:spacing w:val="-10"/>
                <w:szCs w:val="21"/>
              </w:rPr>
            </w:pPr>
            <w:r>
              <w:rPr>
                <w:rFonts w:hint="eastAsia"/>
                <w:spacing w:val="-10"/>
                <w:szCs w:val="21"/>
              </w:rPr>
              <w:t>原新疆维吾尔自治区环保厅</w:t>
            </w:r>
          </w:p>
        </w:tc>
        <w:tc>
          <w:tcPr>
            <w:tcW w:w="618" w:type="pct"/>
            <w:vAlign w:val="center"/>
          </w:tcPr>
          <w:p w:rsidR="00EE4502" w:rsidRDefault="00FD45A3">
            <w:pPr>
              <w:jc w:val="center"/>
              <w:rPr>
                <w:spacing w:val="-10"/>
                <w:szCs w:val="21"/>
              </w:rPr>
            </w:pPr>
            <w:r>
              <w:rPr>
                <w:spacing w:val="-10"/>
                <w:szCs w:val="21"/>
              </w:rPr>
              <w:t>2016.1.13</w:t>
            </w:r>
          </w:p>
        </w:tc>
        <w:tc>
          <w:tcPr>
            <w:tcW w:w="879" w:type="pct"/>
            <w:vAlign w:val="center"/>
          </w:tcPr>
          <w:p w:rsidR="00EE4502" w:rsidRDefault="00FD45A3">
            <w:pPr>
              <w:jc w:val="center"/>
              <w:rPr>
                <w:spacing w:val="-10"/>
                <w:szCs w:val="21"/>
              </w:rPr>
            </w:pPr>
            <w:r>
              <w:rPr>
                <w:rFonts w:hint="eastAsia"/>
                <w:spacing w:val="-10"/>
                <w:szCs w:val="21"/>
              </w:rPr>
              <w:t>自主验收</w:t>
            </w:r>
          </w:p>
        </w:tc>
        <w:tc>
          <w:tcPr>
            <w:tcW w:w="618" w:type="pct"/>
            <w:vAlign w:val="center"/>
          </w:tcPr>
          <w:p w:rsidR="00EE4502" w:rsidRDefault="00FD45A3">
            <w:pPr>
              <w:jc w:val="center"/>
              <w:rPr>
                <w:spacing w:val="-10"/>
                <w:szCs w:val="21"/>
              </w:rPr>
            </w:pPr>
            <w:r>
              <w:rPr>
                <w:spacing w:val="-10"/>
                <w:szCs w:val="21"/>
              </w:rPr>
              <w:t>2020.6.13</w:t>
            </w:r>
          </w:p>
        </w:tc>
        <w:tc>
          <w:tcPr>
            <w:tcW w:w="669" w:type="pct"/>
            <w:vAlign w:val="center"/>
          </w:tcPr>
          <w:p w:rsidR="00EE4502" w:rsidRDefault="00FD45A3">
            <w:pPr>
              <w:jc w:val="center"/>
              <w:rPr>
                <w:spacing w:val="-10"/>
                <w:szCs w:val="21"/>
              </w:rPr>
            </w:pPr>
            <w:r>
              <w:rPr>
                <w:spacing w:val="-10"/>
                <w:szCs w:val="21"/>
              </w:rPr>
              <w:t>/</w:t>
            </w:r>
          </w:p>
        </w:tc>
      </w:tr>
      <w:tr w:rsidR="00EE4502">
        <w:trPr>
          <w:trHeight w:val="399"/>
          <w:jc w:val="center"/>
        </w:trPr>
        <w:tc>
          <w:tcPr>
            <w:tcW w:w="263" w:type="pct"/>
            <w:vAlign w:val="center"/>
          </w:tcPr>
          <w:p w:rsidR="00EE4502" w:rsidRDefault="00FD45A3">
            <w:pPr>
              <w:jc w:val="center"/>
              <w:rPr>
                <w:spacing w:val="-10"/>
                <w:szCs w:val="21"/>
              </w:rPr>
            </w:pPr>
            <w:r>
              <w:rPr>
                <w:spacing w:val="-10"/>
                <w:szCs w:val="21"/>
              </w:rPr>
              <w:t>7</w:t>
            </w:r>
          </w:p>
        </w:tc>
        <w:tc>
          <w:tcPr>
            <w:tcW w:w="757" w:type="pct"/>
            <w:vAlign w:val="center"/>
          </w:tcPr>
          <w:p w:rsidR="00EE4502" w:rsidRDefault="00FD45A3">
            <w:pPr>
              <w:jc w:val="center"/>
              <w:rPr>
                <w:spacing w:val="-10"/>
                <w:szCs w:val="21"/>
              </w:rPr>
            </w:pPr>
            <w:r>
              <w:rPr>
                <w:rFonts w:hint="eastAsia"/>
                <w:spacing w:val="-10"/>
                <w:szCs w:val="21"/>
              </w:rPr>
              <w:t>春风油田排</w:t>
            </w:r>
            <w:r>
              <w:rPr>
                <w:spacing w:val="-10"/>
                <w:szCs w:val="21"/>
              </w:rPr>
              <w:t>66</w:t>
            </w:r>
            <w:r>
              <w:rPr>
                <w:rFonts w:hint="eastAsia"/>
                <w:spacing w:val="-10"/>
                <w:szCs w:val="21"/>
              </w:rPr>
              <w:t>块火成岩油藏产能建设工程</w:t>
            </w:r>
          </w:p>
        </w:tc>
        <w:tc>
          <w:tcPr>
            <w:tcW w:w="591" w:type="pct"/>
            <w:vAlign w:val="center"/>
          </w:tcPr>
          <w:p w:rsidR="00EE4502" w:rsidRDefault="00FD45A3">
            <w:pPr>
              <w:jc w:val="center"/>
              <w:rPr>
                <w:spacing w:val="-10"/>
                <w:szCs w:val="21"/>
              </w:rPr>
            </w:pPr>
            <w:r>
              <w:rPr>
                <w:rFonts w:hint="eastAsia"/>
                <w:spacing w:val="-10"/>
                <w:szCs w:val="21"/>
              </w:rPr>
              <w:t>新环函</w:t>
            </w:r>
            <w:r>
              <w:rPr>
                <w:rFonts w:hint="eastAsia"/>
                <w:szCs w:val="22"/>
              </w:rPr>
              <w:t>〔</w:t>
            </w:r>
            <w:r>
              <w:rPr>
                <w:rFonts w:hint="eastAsia"/>
                <w:szCs w:val="22"/>
              </w:rPr>
              <w:t>20</w:t>
            </w:r>
            <w:r>
              <w:rPr>
                <w:szCs w:val="22"/>
              </w:rPr>
              <w:t>18</w:t>
            </w:r>
            <w:r>
              <w:rPr>
                <w:rFonts w:hint="eastAsia"/>
                <w:szCs w:val="22"/>
              </w:rPr>
              <w:t>〕</w:t>
            </w:r>
            <w:r>
              <w:rPr>
                <w:spacing w:val="-10"/>
                <w:szCs w:val="21"/>
              </w:rPr>
              <w:t>103</w:t>
            </w:r>
            <w:r>
              <w:rPr>
                <w:rFonts w:hint="eastAsia"/>
                <w:spacing w:val="-10"/>
                <w:szCs w:val="21"/>
              </w:rPr>
              <w:t>号</w:t>
            </w:r>
          </w:p>
        </w:tc>
        <w:tc>
          <w:tcPr>
            <w:tcW w:w="603" w:type="pct"/>
            <w:vAlign w:val="center"/>
          </w:tcPr>
          <w:p w:rsidR="00EE4502" w:rsidRDefault="00FD45A3">
            <w:pPr>
              <w:jc w:val="center"/>
              <w:rPr>
                <w:spacing w:val="-10"/>
                <w:szCs w:val="21"/>
              </w:rPr>
            </w:pPr>
            <w:r>
              <w:rPr>
                <w:rFonts w:hint="eastAsia"/>
                <w:spacing w:val="-10"/>
                <w:szCs w:val="21"/>
              </w:rPr>
              <w:t>原新疆维吾尔自治区环保厅</w:t>
            </w:r>
          </w:p>
        </w:tc>
        <w:tc>
          <w:tcPr>
            <w:tcW w:w="618" w:type="pct"/>
            <w:vAlign w:val="center"/>
          </w:tcPr>
          <w:p w:rsidR="00EE4502" w:rsidRDefault="00FD45A3">
            <w:pPr>
              <w:jc w:val="center"/>
              <w:rPr>
                <w:spacing w:val="-10"/>
                <w:szCs w:val="21"/>
              </w:rPr>
            </w:pPr>
            <w:r>
              <w:rPr>
                <w:spacing w:val="-10"/>
                <w:szCs w:val="21"/>
              </w:rPr>
              <w:t>2018.1.20</w:t>
            </w:r>
          </w:p>
        </w:tc>
        <w:tc>
          <w:tcPr>
            <w:tcW w:w="879" w:type="pct"/>
            <w:vAlign w:val="center"/>
          </w:tcPr>
          <w:p w:rsidR="00EE4502" w:rsidRDefault="00FD45A3">
            <w:pPr>
              <w:jc w:val="center"/>
              <w:rPr>
                <w:spacing w:val="-10"/>
                <w:szCs w:val="21"/>
              </w:rPr>
            </w:pPr>
            <w:r>
              <w:rPr>
                <w:rFonts w:hint="eastAsia"/>
                <w:spacing w:val="-10"/>
                <w:szCs w:val="21"/>
              </w:rPr>
              <w:t>自主验收</w:t>
            </w:r>
          </w:p>
        </w:tc>
        <w:tc>
          <w:tcPr>
            <w:tcW w:w="618" w:type="pct"/>
            <w:vAlign w:val="center"/>
          </w:tcPr>
          <w:p w:rsidR="00EE4502" w:rsidRDefault="00FD45A3">
            <w:pPr>
              <w:jc w:val="center"/>
              <w:rPr>
                <w:spacing w:val="-10"/>
                <w:szCs w:val="21"/>
              </w:rPr>
            </w:pPr>
            <w:r>
              <w:rPr>
                <w:spacing w:val="-10"/>
                <w:szCs w:val="21"/>
              </w:rPr>
              <w:t>2020.10.15</w:t>
            </w:r>
          </w:p>
        </w:tc>
        <w:tc>
          <w:tcPr>
            <w:tcW w:w="669" w:type="pct"/>
            <w:vAlign w:val="center"/>
          </w:tcPr>
          <w:p w:rsidR="00EE4502" w:rsidRDefault="00FD45A3">
            <w:pPr>
              <w:jc w:val="center"/>
              <w:rPr>
                <w:spacing w:val="-10"/>
                <w:szCs w:val="21"/>
              </w:rPr>
            </w:pPr>
            <w:r>
              <w:rPr>
                <w:spacing w:val="-10"/>
                <w:szCs w:val="21"/>
              </w:rPr>
              <w:t>/</w:t>
            </w:r>
          </w:p>
        </w:tc>
      </w:tr>
      <w:tr w:rsidR="00EE4502">
        <w:trPr>
          <w:trHeight w:val="79"/>
          <w:jc w:val="center"/>
        </w:trPr>
        <w:tc>
          <w:tcPr>
            <w:tcW w:w="263" w:type="pct"/>
            <w:vAlign w:val="center"/>
          </w:tcPr>
          <w:p w:rsidR="00EE4502" w:rsidRDefault="00FD45A3">
            <w:pPr>
              <w:jc w:val="center"/>
              <w:rPr>
                <w:spacing w:val="-10"/>
                <w:szCs w:val="21"/>
              </w:rPr>
            </w:pPr>
            <w:r>
              <w:rPr>
                <w:spacing w:val="-10"/>
                <w:szCs w:val="21"/>
              </w:rPr>
              <w:t>8</w:t>
            </w:r>
          </w:p>
        </w:tc>
        <w:tc>
          <w:tcPr>
            <w:tcW w:w="757" w:type="pct"/>
            <w:vAlign w:val="center"/>
          </w:tcPr>
          <w:p w:rsidR="00EE4502" w:rsidRDefault="00FD45A3">
            <w:pPr>
              <w:jc w:val="center"/>
              <w:rPr>
                <w:spacing w:val="-10"/>
                <w:szCs w:val="21"/>
              </w:rPr>
            </w:pPr>
            <w:r>
              <w:rPr>
                <w:rFonts w:hint="eastAsia"/>
                <w:spacing w:val="-10"/>
                <w:szCs w:val="21"/>
              </w:rPr>
              <w:t>春风油田排</w:t>
            </w:r>
            <w:r>
              <w:rPr>
                <w:spacing w:val="-10"/>
                <w:szCs w:val="21"/>
              </w:rPr>
              <w:t>612</w:t>
            </w:r>
            <w:r>
              <w:rPr>
                <w:rFonts w:hint="eastAsia"/>
                <w:spacing w:val="-10"/>
                <w:szCs w:val="21"/>
              </w:rPr>
              <w:t>扩边沙湾组产能建设工程</w:t>
            </w:r>
          </w:p>
        </w:tc>
        <w:tc>
          <w:tcPr>
            <w:tcW w:w="591" w:type="pct"/>
            <w:vAlign w:val="center"/>
          </w:tcPr>
          <w:p w:rsidR="00EE4502" w:rsidRDefault="00FD45A3">
            <w:pPr>
              <w:jc w:val="center"/>
              <w:rPr>
                <w:spacing w:val="-10"/>
                <w:szCs w:val="21"/>
              </w:rPr>
            </w:pPr>
            <w:bookmarkStart w:id="80" w:name="_Hlk149428265"/>
            <w:r>
              <w:rPr>
                <w:rFonts w:hint="eastAsia"/>
                <w:spacing w:val="-10"/>
                <w:szCs w:val="21"/>
              </w:rPr>
              <w:t>新环函</w:t>
            </w:r>
            <w:r>
              <w:rPr>
                <w:rFonts w:hint="eastAsia"/>
                <w:szCs w:val="22"/>
              </w:rPr>
              <w:t>〔</w:t>
            </w:r>
            <w:r>
              <w:rPr>
                <w:rFonts w:hint="eastAsia"/>
                <w:szCs w:val="22"/>
              </w:rPr>
              <w:t>20</w:t>
            </w:r>
            <w:r>
              <w:rPr>
                <w:szCs w:val="22"/>
              </w:rPr>
              <w:t>18</w:t>
            </w:r>
            <w:r>
              <w:rPr>
                <w:rFonts w:hint="eastAsia"/>
                <w:szCs w:val="22"/>
              </w:rPr>
              <w:t>〕</w:t>
            </w:r>
            <w:r>
              <w:rPr>
                <w:spacing w:val="-10"/>
                <w:szCs w:val="21"/>
              </w:rPr>
              <w:t>881</w:t>
            </w:r>
            <w:r>
              <w:rPr>
                <w:rFonts w:hint="eastAsia"/>
                <w:spacing w:val="-10"/>
                <w:szCs w:val="21"/>
              </w:rPr>
              <w:t>号</w:t>
            </w:r>
            <w:bookmarkEnd w:id="80"/>
          </w:p>
        </w:tc>
        <w:tc>
          <w:tcPr>
            <w:tcW w:w="603" w:type="pct"/>
            <w:vAlign w:val="center"/>
          </w:tcPr>
          <w:p w:rsidR="00EE4502" w:rsidRDefault="00FD45A3">
            <w:pPr>
              <w:jc w:val="center"/>
              <w:rPr>
                <w:spacing w:val="-10"/>
                <w:szCs w:val="21"/>
              </w:rPr>
            </w:pPr>
            <w:r>
              <w:rPr>
                <w:rFonts w:hint="eastAsia"/>
                <w:spacing w:val="-10"/>
                <w:szCs w:val="21"/>
              </w:rPr>
              <w:t>原新疆维吾尔自治区环保厅</w:t>
            </w:r>
          </w:p>
        </w:tc>
        <w:tc>
          <w:tcPr>
            <w:tcW w:w="618" w:type="pct"/>
            <w:vAlign w:val="center"/>
          </w:tcPr>
          <w:p w:rsidR="00EE4502" w:rsidRDefault="00FD45A3">
            <w:pPr>
              <w:jc w:val="center"/>
              <w:rPr>
                <w:spacing w:val="-10"/>
                <w:szCs w:val="21"/>
              </w:rPr>
            </w:pPr>
            <w:r>
              <w:rPr>
                <w:spacing w:val="-10"/>
                <w:szCs w:val="21"/>
              </w:rPr>
              <w:t>2018.7.3</w:t>
            </w:r>
          </w:p>
        </w:tc>
        <w:tc>
          <w:tcPr>
            <w:tcW w:w="879" w:type="pct"/>
            <w:vAlign w:val="center"/>
          </w:tcPr>
          <w:p w:rsidR="00EE4502" w:rsidRDefault="00FD45A3">
            <w:pPr>
              <w:jc w:val="center"/>
              <w:rPr>
                <w:spacing w:val="-10"/>
                <w:szCs w:val="21"/>
              </w:rPr>
            </w:pPr>
            <w:r>
              <w:rPr>
                <w:rFonts w:hint="eastAsia"/>
                <w:spacing w:val="-10"/>
                <w:szCs w:val="21"/>
              </w:rPr>
              <w:t>自主验收</w:t>
            </w:r>
          </w:p>
        </w:tc>
        <w:tc>
          <w:tcPr>
            <w:tcW w:w="618" w:type="pct"/>
            <w:vAlign w:val="center"/>
          </w:tcPr>
          <w:p w:rsidR="00EE4502" w:rsidRDefault="00FD45A3">
            <w:pPr>
              <w:jc w:val="center"/>
              <w:rPr>
                <w:spacing w:val="-10"/>
                <w:szCs w:val="21"/>
              </w:rPr>
            </w:pPr>
            <w:r>
              <w:rPr>
                <w:spacing w:val="-10"/>
                <w:szCs w:val="21"/>
              </w:rPr>
              <w:t>2020.6.13</w:t>
            </w:r>
          </w:p>
        </w:tc>
        <w:tc>
          <w:tcPr>
            <w:tcW w:w="669" w:type="pct"/>
            <w:vAlign w:val="center"/>
          </w:tcPr>
          <w:p w:rsidR="00EE4502" w:rsidRDefault="00FD45A3">
            <w:pPr>
              <w:jc w:val="center"/>
              <w:rPr>
                <w:spacing w:val="-10"/>
                <w:szCs w:val="21"/>
              </w:rPr>
            </w:pPr>
            <w:r>
              <w:rPr>
                <w:spacing w:val="-10"/>
                <w:szCs w:val="21"/>
              </w:rPr>
              <w:t>/</w:t>
            </w:r>
          </w:p>
        </w:tc>
      </w:tr>
      <w:tr w:rsidR="00EE4502">
        <w:trPr>
          <w:trHeight w:val="79"/>
          <w:jc w:val="center"/>
        </w:trPr>
        <w:tc>
          <w:tcPr>
            <w:tcW w:w="263" w:type="pct"/>
            <w:vAlign w:val="center"/>
          </w:tcPr>
          <w:p w:rsidR="00EE4502" w:rsidRDefault="00FD45A3">
            <w:pPr>
              <w:jc w:val="center"/>
              <w:rPr>
                <w:spacing w:val="-10"/>
                <w:szCs w:val="21"/>
              </w:rPr>
            </w:pPr>
            <w:r>
              <w:rPr>
                <w:spacing w:val="-10"/>
                <w:szCs w:val="21"/>
              </w:rPr>
              <w:t>9</w:t>
            </w:r>
          </w:p>
        </w:tc>
        <w:tc>
          <w:tcPr>
            <w:tcW w:w="757" w:type="pct"/>
            <w:vAlign w:val="center"/>
          </w:tcPr>
          <w:p w:rsidR="00EE4502" w:rsidRDefault="00FD45A3">
            <w:pPr>
              <w:jc w:val="center"/>
              <w:rPr>
                <w:spacing w:val="-10"/>
                <w:szCs w:val="21"/>
              </w:rPr>
            </w:pPr>
            <w:r>
              <w:rPr>
                <w:rFonts w:hint="eastAsia"/>
                <w:spacing w:val="-10"/>
                <w:szCs w:val="21"/>
              </w:rPr>
              <w:t>春风油田排</w:t>
            </w:r>
            <w:r>
              <w:rPr>
                <w:spacing w:val="-10"/>
                <w:szCs w:val="21"/>
              </w:rPr>
              <w:t>626</w:t>
            </w:r>
            <w:r>
              <w:rPr>
                <w:rFonts w:hint="eastAsia"/>
                <w:spacing w:val="-10"/>
                <w:szCs w:val="21"/>
              </w:rPr>
              <w:t>块产能建设工程</w:t>
            </w:r>
          </w:p>
        </w:tc>
        <w:tc>
          <w:tcPr>
            <w:tcW w:w="591" w:type="pct"/>
            <w:vAlign w:val="center"/>
          </w:tcPr>
          <w:p w:rsidR="00EE4502" w:rsidRDefault="00FD45A3">
            <w:pPr>
              <w:jc w:val="center"/>
              <w:rPr>
                <w:spacing w:val="-10"/>
                <w:szCs w:val="21"/>
              </w:rPr>
            </w:pPr>
            <w:r>
              <w:rPr>
                <w:rFonts w:hint="eastAsia"/>
                <w:spacing w:val="-10"/>
                <w:szCs w:val="21"/>
              </w:rPr>
              <w:t>克环函</w:t>
            </w:r>
            <w:r>
              <w:rPr>
                <w:rFonts w:hint="eastAsia"/>
                <w:szCs w:val="22"/>
              </w:rPr>
              <w:t>〔</w:t>
            </w:r>
            <w:r>
              <w:rPr>
                <w:rFonts w:hint="eastAsia"/>
                <w:szCs w:val="22"/>
              </w:rPr>
              <w:t>20</w:t>
            </w:r>
            <w:r>
              <w:rPr>
                <w:szCs w:val="22"/>
              </w:rPr>
              <w:t>19</w:t>
            </w:r>
            <w:r>
              <w:rPr>
                <w:rFonts w:hint="eastAsia"/>
                <w:szCs w:val="22"/>
              </w:rPr>
              <w:t>〕</w:t>
            </w:r>
            <w:r>
              <w:rPr>
                <w:spacing w:val="-10"/>
                <w:szCs w:val="21"/>
              </w:rPr>
              <w:t>89</w:t>
            </w:r>
            <w:r>
              <w:rPr>
                <w:rFonts w:hint="eastAsia"/>
                <w:spacing w:val="-10"/>
                <w:szCs w:val="21"/>
              </w:rPr>
              <w:t>号</w:t>
            </w:r>
          </w:p>
        </w:tc>
        <w:tc>
          <w:tcPr>
            <w:tcW w:w="603" w:type="pct"/>
            <w:vAlign w:val="center"/>
          </w:tcPr>
          <w:p w:rsidR="00EE4502" w:rsidRDefault="00FD45A3">
            <w:pPr>
              <w:jc w:val="center"/>
              <w:rPr>
                <w:spacing w:val="-10"/>
                <w:szCs w:val="21"/>
              </w:rPr>
            </w:pPr>
            <w:r>
              <w:rPr>
                <w:rFonts w:hint="eastAsia"/>
                <w:spacing w:val="-10"/>
                <w:szCs w:val="21"/>
              </w:rPr>
              <w:t>原克拉玛依市环保局</w:t>
            </w:r>
          </w:p>
        </w:tc>
        <w:tc>
          <w:tcPr>
            <w:tcW w:w="618" w:type="pct"/>
            <w:vAlign w:val="center"/>
          </w:tcPr>
          <w:p w:rsidR="00EE4502" w:rsidRDefault="00FD45A3">
            <w:pPr>
              <w:jc w:val="center"/>
              <w:rPr>
                <w:spacing w:val="-10"/>
                <w:szCs w:val="21"/>
              </w:rPr>
            </w:pPr>
            <w:r>
              <w:rPr>
                <w:spacing w:val="-10"/>
                <w:szCs w:val="21"/>
              </w:rPr>
              <w:t>2019.5.13</w:t>
            </w:r>
          </w:p>
        </w:tc>
        <w:tc>
          <w:tcPr>
            <w:tcW w:w="879" w:type="pct"/>
            <w:vAlign w:val="center"/>
          </w:tcPr>
          <w:p w:rsidR="00EE4502" w:rsidRDefault="00FD45A3">
            <w:pPr>
              <w:jc w:val="center"/>
              <w:rPr>
                <w:spacing w:val="-10"/>
                <w:szCs w:val="21"/>
              </w:rPr>
            </w:pPr>
            <w:r>
              <w:rPr>
                <w:rFonts w:hint="eastAsia"/>
                <w:spacing w:val="-10"/>
                <w:szCs w:val="21"/>
              </w:rPr>
              <w:t>自主验收</w:t>
            </w:r>
          </w:p>
        </w:tc>
        <w:tc>
          <w:tcPr>
            <w:tcW w:w="618" w:type="pct"/>
            <w:vAlign w:val="center"/>
          </w:tcPr>
          <w:p w:rsidR="00EE4502" w:rsidRDefault="00FD45A3">
            <w:pPr>
              <w:jc w:val="center"/>
              <w:rPr>
                <w:spacing w:val="-10"/>
                <w:szCs w:val="21"/>
              </w:rPr>
            </w:pPr>
            <w:r>
              <w:rPr>
                <w:spacing w:val="-10"/>
                <w:szCs w:val="21"/>
              </w:rPr>
              <w:t>2020.10.15</w:t>
            </w:r>
          </w:p>
        </w:tc>
        <w:tc>
          <w:tcPr>
            <w:tcW w:w="669" w:type="pct"/>
            <w:vAlign w:val="center"/>
          </w:tcPr>
          <w:p w:rsidR="00EE4502" w:rsidRDefault="00FD45A3">
            <w:pPr>
              <w:jc w:val="center"/>
              <w:rPr>
                <w:spacing w:val="-10"/>
                <w:szCs w:val="21"/>
              </w:rPr>
            </w:pPr>
            <w:r>
              <w:rPr>
                <w:spacing w:val="-10"/>
                <w:szCs w:val="21"/>
              </w:rPr>
              <w:t>/</w:t>
            </w:r>
          </w:p>
        </w:tc>
      </w:tr>
      <w:tr w:rsidR="00EE4502">
        <w:trPr>
          <w:trHeight w:val="79"/>
          <w:jc w:val="center"/>
        </w:trPr>
        <w:tc>
          <w:tcPr>
            <w:tcW w:w="263" w:type="pct"/>
            <w:vAlign w:val="center"/>
          </w:tcPr>
          <w:p w:rsidR="00EE4502" w:rsidRDefault="00FD45A3">
            <w:pPr>
              <w:jc w:val="center"/>
              <w:rPr>
                <w:spacing w:val="-10"/>
                <w:szCs w:val="21"/>
              </w:rPr>
            </w:pPr>
            <w:r>
              <w:rPr>
                <w:rFonts w:hint="eastAsia"/>
                <w:spacing w:val="-10"/>
                <w:szCs w:val="21"/>
              </w:rPr>
              <w:lastRenderedPageBreak/>
              <w:t>1</w:t>
            </w:r>
            <w:r>
              <w:rPr>
                <w:spacing w:val="-10"/>
                <w:szCs w:val="21"/>
              </w:rPr>
              <w:t>0</w:t>
            </w:r>
          </w:p>
        </w:tc>
        <w:tc>
          <w:tcPr>
            <w:tcW w:w="757" w:type="pct"/>
            <w:vAlign w:val="center"/>
          </w:tcPr>
          <w:p w:rsidR="00EE4502" w:rsidRDefault="00FD45A3">
            <w:pPr>
              <w:jc w:val="center"/>
              <w:rPr>
                <w:spacing w:val="-10"/>
                <w:szCs w:val="21"/>
              </w:rPr>
            </w:pPr>
            <w:bookmarkStart w:id="81" w:name="OLE_LINK516"/>
            <w:r>
              <w:rPr>
                <w:rFonts w:hint="eastAsia"/>
                <w:spacing w:val="-10"/>
                <w:szCs w:val="21"/>
              </w:rPr>
              <w:t>春风油田排</w:t>
            </w:r>
            <w:r>
              <w:rPr>
                <w:rFonts w:hint="eastAsia"/>
                <w:spacing w:val="-10"/>
                <w:szCs w:val="21"/>
              </w:rPr>
              <w:t>6</w:t>
            </w:r>
            <w:r>
              <w:rPr>
                <w:spacing w:val="-10"/>
                <w:szCs w:val="21"/>
              </w:rPr>
              <w:t>09</w:t>
            </w:r>
            <w:r>
              <w:rPr>
                <w:rFonts w:hint="eastAsia"/>
                <w:spacing w:val="-10"/>
                <w:szCs w:val="21"/>
              </w:rPr>
              <w:t>块产能建设工程</w:t>
            </w:r>
            <w:bookmarkEnd w:id="81"/>
          </w:p>
        </w:tc>
        <w:tc>
          <w:tcPr>
            <w:tcW w:w="591" w:type="pct"/>
            <w:vAlign w:val="center"/>
          </w:tcPr>
          <w:p w:rsidR="00EE4502" w:rsidRDefault="00FD45A3">
            <w:pPr>
              <w:jc w:val="center"/>
              <w:rPr>
                <w:spacing w:val="-10"/>
                <w:szCs w:val="21"/>
              </w:rPr>
            </w:pPr>
            <w:r>
              <w:rPr>
                <w:rFonts w:hint="eastAsia"/>
                <w:spacing w:val="-10"/>
                <w:szCs w:val="21"/>
              </w:rPr>
              <w:t>新环函</w:t>
            </w:r>
            <w:r>
              <w:rPr>
                <w:rFonts w:hint="eastAsia"/>
                <w:szCs w:val="22"/>
              </w:rPr>
              <w:t>〔</w:t>
            </w:r>
            <w:r>
              <w:rPr>
                <w:rFonts w:hint="eastAsia"/>
                <w:szCs w:val="22"/>
              </w:rPr>
              <w:t>20</w:t>
            </w:r>
            <w:r>
              <w:rPr>
                <w:szCs w:val="22"/>
              </w:rPr>
              <w:t>18</w:t>
            </w:r>
            <w:r>
              <w:rPr>
                <w:rFonts w:hint="eastAsia"/>
                <w:szCs w:val="22"/>
              </w:rPr>
              <w:t>〕</w:t>
            </w:r>
            <w:r>
              <w:rPr>
                <w:rFonts w:hint="eastAsia"/>
                <w:spacing w:val="-10"/>
                <w:szCs w:val="21"/>
              </w:rPr>
              <w:t>1</w:t>
            </w:r>
            <w:r>
              <w:rPr>
                <w:spacing w:val="-10"/>
                <w:szCs w:val="21"/>
              </w:rPr>
              <w:t>645</w:t>
            </w:r>
            <w:r>
              <w:rPr>
                <w:rFonts w:hint="eastAsia"/>
                <w:spacing w:val="-10"/>
                <w:szCs w:val="21"/>
              </w:rPr>
              <w:t>号</w:t>
            </w:r>
          </w:p>
        </w:tc>
        <w:tc>
          <w:tcPr>
            <w:tcW w:w="603" w:type="pct"/>
            <w:vAlign w:val="center"/>
          </w:tcPr>
          <w:p w:rsidR="00EE4502" w:rsidRDefault="00FD45A3">
            <w:pPr>
              <w:jc w:val="center"/>
              <w:rPr>
                <w:spacing w:val="-10"/>
                <w:szCs w:val="21"/>
              </w:rPr>
            </w:pPr>
            <w:r>
              <w:rPr>
                <w:rFonts w:hint="eastAsia"/>
                <w:spacing w:val="-10"/>
                <w:szCs w:val="21"/>
              </w:rPr>
              <w:t>原新疆维吾尔自治区</w:t>
            </w:r>
            <w:r>
              <w:rPr>
                <w:rFonts w:hint="eastAsia"/>
                <w:spacing w:val="-10"/>
                <w:szCs w:val="21"/>
              </w:rPr>
              <w:t>生态环境</w:t>
            </w:r>
            <w:r>
              <w:rPr>
                <w:rFonts w:hint="eastAsia"/>
                <w:spacing w:val="-10"/>
                <w:szCs w:val="21"/>
              </w:rPr>
              <w:t>厅</w:t>
            </w:r>
          </w:p>
        </w:tc>
        <w:tc>
          <w:tcPr>
            <w:tcW w:w="618" w:type="pct"/>
            <w:vAlign w:val="center"/>
          </w:tcPr>
          <w:p w:rsidR="00EE4502" w:rsidRDefault="00FD45A3">
            <w:pPr>
              <w:jc w:val="center"/>
              <w:rPr>
                <w:spacing w:val="-10"/>
                <w:szCs w:val="21"/>
              </w:rPr>
            </w:pPr>
            <w:r>
              <w:rPr>
                <w:rFonts w:hint="eastAsia"/>
                <w:spacing w:val="-10"/>
                <w:szCs w:val="21"/>
              </w:rPr>
              <w:t>2</w:t>
            </w:r>
            <w:r>
              <w:rPr>
                <w:spacing w:val="-10"/>
                <w:szCs w:val="21"/>
              </w:rPr>
              <w:t>018.11.8</w:t>
            </w:r>
          </w:p>
        </w:tc>
        <w:tc>
          <w:tcPr>
            <w:tcW w:w="879" w:type="pct"/>
            <w:vAlign w:val="center"/>
          </w:tcPr>
          <w:p w:rsidR="00EE4502" w:rsidRDefault="00FD45A3">
            <w:pPr>
              <w:jc w:val="center"/>
              <w:rPr>
                <w:spacing w:val="-10"/>
                <w:szCs w:val="21"/>
              </w:rPr>
            </w:pPr>
            <w:r>
              <w:rPr>
                <w:rFonts w:hint="eastAsia"/>
                <w:spacing w:val="-10"/>
                <w:szCs w:val="21"/>
              </w:rPr>
              <w:t>自主验收</w:t>
            </w:r>
          </w:p>
        </w:tc>
        <w:tc>
          <w:tcPr>
            <w:tcW w:w="618" w:type="pct"/>
            <w:vAlign w:val="center"/>
          </w:tcPr>
          <w:p w:rsidR="00EE4502" w:rsidRDefault="00FD45A3">
            <w:pPr>
              <w:jc w:val="center"/>
              <w:rPr>
                <w:spacing w:val="-10"/>
                <w:szCs w:val="21"/>
              </w:rPr>
            </w:pPr>
            <w:r>
              <w:rPr>
                <w:rFonts w:hint="eastAsia"/>
                <w:spacing w:val="-10"/>
                <w:szCs w:val="21"/>
              </w:rPr>
              <w:t>2</w:t>
            </w:r>
            <w:r>
              <w:rPr>
                <w:spacing w:val="-10"/>
                <w:szCs w:val="21"/>
              </w:rPr>
              <w:t>021.2.25</w:t>
            </w:r>
          </w:p>
        </w:tc>
        <w:tc>
          <w:tcPr>
            <w:tcW w:w="669" w:type="pct"/>
            <w:vAlign w:val="center"/>
          </w:tcPr>
          <w:p w:rsidR="00EE4502" w:rsidRDefault="00FD45A3">
            <w:pPr>
              <w:jc w:val="center"/>
              <w:rPr>
                <w:spacing w:val="-10"/>
                <w:szCs w:val="21"/>
              </w:rPr>
            </w:pPr>
            <w:r>
              <w:rPr>
                <w:rFonts w:hint="eastAsia"/>
                <w:spacing w:val="-10"/>
                <w:szCs w:val="21"/>
              </w:rPr>
              <w:t>/</w:t>
            </w:r>
          </w:p>
        </w:tc>
      </w:tr>
      <w:tr w:rsidR="00EE4502">
        <w:trPr>
          <w:trHeight w:val="79"/>
          <w:jc w:val="center"/>
        </w:trPr>
        <w:tc>
          <w:tcPr>
            <w:tcW w:w="263" w:type="pct"/>
            <w:vAlign w:val="center"/>
          </w:tcPr>
          <w:p w:rsidR="00EE4502" w:rsidRDefault="00FD45A3">
            <w:pPr>
              <w:jc w:val="center"/>
              <w:rPr>
                <w:spacing w:val="-10"/>
                <w:szCs w:val="21"/>
              </w:rPr>
            </w:pPr>
            <w:r>
              <w:rPr>
                <w:rFonts w:hint="eastAsia"/>
                <w:spacing w:val="-10"/>
                <w:szCs w:val="21"/>
              </w:rPr>
              <w:t>11</w:t>
            </w:r>
          </w:p>
        </w:tc>
        <w:tc>
          <w:tcPr>
            <w:tcW w:w="757" w:type="pct"/>
            <w:vAlign w:val="center"/>
          </w:tcPr>
          <w:p w:rsidR="00EE4502" w:rsidRDefault="00FD45A3">
            <w:pPr>
              <w:jc w:val="center"/>
              <w:rPr>
                <w:spacing w:val="-10"/>
                <w:szCs w:val="21"/>
              </w:rPr>
            </w:pPr>
            <w:r>
              <w:rPr>
                <w:rFonts w:hint="eastAsia"/>
                <w:spacing w:val="-10"/>
                <w:szCs w:val="21"/>
              </w:rPr>
              <w:t>春风油田排</w:t>
            </w:r>
            <w:r>
              <w:rPr>
                <w:rFonts w:hint="eastAsia"/>
                <w:spacing w:val="-10"/>
                <w:szCs w:val="21"/>
              </w:rPr>
              <w:t xml:space="preserve"> 609</w:t>
            </w:r>
            <w:r>
              <w:rPr>
                <w:rFonts w:hint="eastAsia"/>
                <w:spacing w:val="-10"/>
                <w:szCs w:val="21"/>
              </w:rPr>
              <w:t>扩产能建设工程环境影响报告书</w:t>
            </w:r>
          </w:p>
        </w:tc>
        <w:tc>
          <w:tcPr>
            <w:tcW w:w="591" w:type="pct"/>
            <w:vAlign w:val="center"/>
          </w:tcPr>
          <w:p w:rsidR="00EE4502" w:rsidRDefault="00FD45A3">
            <w:pPr>
              <w:jc w:val="center"/>
              <w:rPr>
                <w:spacing w:val="-10"/>
                <w:szCs w:val="21"/>
              </w:rPr>
            </w:pPr>
            <w:r>
              <w:rPr>
                <w:rFonts w:hint="eastAsia"/>
                <w:spacing w:val="-10"/>
                <w:szCs w:val="21"/>
              </w:rPr>
              <w:t>新环函</w:t>
            </w:r>
            <w:r>
              <w:rPr>
                <w:rFonts w:hint="eastAsia"/>
                <w:szCs w:val="22"/>
              </w:rPr>
              <w:t>〔</w:t>
            </w:r>
            <w:r>
              <w:rPr>
                <w:rFonts w:hint="eastAsia"/>
                <w:szCs w:val="22"/>
              </w:rPr>
              <w:t>20</w:t>
            </w:r>
            <w:r>
              <w:rPr>
                <w:rFonts w:hint="eastAsia"/>
                <w:szCs w:val="22"/>
              </w:rPr>
              <w:t>22</w:t>
            </w:r>
            <w:r>
              <w:rPr>
                <w:rFonts w:hint="eastAsia"/>
                <w:szCs w:val="22"/>
              </w:rPr>
              <w:t>〕</w:t>
            </w:r>
            <w:r>
              <w:rPr>
                <w:rFonts w:hint="eastAsia"/>
                <w:spacing w:val="-10"/>
                <w:szCs w:val="21"/>
              </w:rPr>
              <w:t>56</w:t>
            </w:r>
            <w:r>
              <w:rPr>
                <w:rFonts w:hint="eastAsia"/>
                <w:spacing w:val="-10"/>
                <w:szCs w:val="21"/>
              </w:rPr>
              <w:t>号</w:t>
            </w:r>
          </w:p>
        </w:tc>
        <w:tc>
          <w:tcPr>
            <w:tcW w:w="603" w:type="pct"/>
            <w:vAlign w:val="center"/>
          </w:tcPr>
          <w:p w:rsidR="00EE4502" w:rsidRDefault="00FD45A3">
            <w:pPr>
              <w:jc w:val="center"/>
              <w:rPr>
                <w:spacing w:val="-10"/>
                <w:szCs w:val="21"/>
              </w:rPr>
            </w:pPr>
            <w:r>
              <w:rPr>
                <w:rFonts w:hint="eastAsia"/>
                <w:spacing w:val="-10"/>
                <w:szCs w:val="21"/>
              </w:rPr>
              <w:t>原新疆维吾尔自治区</w:t>
            </w:r>
            <w:r>
              <w:rPr>
                <w:rFonts w:hint="eastAsia"/>
                <w:spacing w:val="-10"/>
                <w:szCs w:val="21"/>
              </w:rPr>
              <w:t>生态环境</w:t>
            </w:r>
            <w:r>
              <w:rPr>
                <w:rFonts w:hint="eastAsia"/>
                <w:spacing w:val="-10"/>
                <w:szCs w:val="21"/>
              </w:rPr>
              <w:t>厅</w:t>
            </w:r>
          </w:p>
        </w:tc>
        <w:tc>
          <w:tcPr>
            <w:tcW w:w="618" w:type="pct"/>
            <w:vAlign w:val="center"/>
          </w:tcPr>
          <w:p w:rsidR="00EE4502" w:rsidRDefault="00FD45A3">
            <w:pPr>
              <w:jc w:val="center"/>
              <w:rPr>
                <w:spacing w:val="-10"/>
                <w:szCs w:val="21"/>
              </w:rPr>
            </w:pPr>
            <w:r>
              <w:rPr>
                <w:rFonts w:hint="eastAsia"/>
                <w:spacing w:val="-10"/>
                <w:szCs w:val="21"/>
              </w:rPr>
              <w:t>2022.3.30</w:t>
            </w:r>
          </w:p>
        </w:tc>
        <w:tc>
          <w:tcPr>
            <w:tcW w:w="879" w:type="pct"/>
            <w:vAlign w:val="center"/>
          </w:tcPr>
          <w:p w:rsidR="00EE4502" w:rsidRDefault="00FD45A3">
            <w:pPr>
              <w:jc w:val="center"/>
              <w:rPr>
                <w:spacing w:val="-10"/>
                <w:szCs w:val="21"/>
              </w:rPr>
            </w:pPr>
            <w:r>
              <w:rPr>
                <w:rFonts w:hint="eastAsia"/>
                <w:spacing w:val="-10"/>
                <w:szCs w:val="21"/>
              </w:rPr>
              <w:t>正在实施，已开展两次分期验收</w:t>
            </w:r>
          </w:p>
        </w:tc>
        <w:tc>
          <w:tcPr>
            <w:tcW w:w="618" w:type="pct"/>
            <w:vAlign w:val="center"/>
          </w:tcPr>
          <w:p w:rsidR="00EE4502" w:rsidRDefault="00FD45A3">
            <w:pPr>
              <w:jc w:val="center"/>
              <w:rPr>
                <w:spacing w:val="-10"/>
                <w:szCs w:val="21"/>
              </w:rPr>
            </w:pPr>
            <w:r>
              <w:rPr>
                <w:rFonts w:hint="eastAsia"/>
                <w:spacing w:val="-10"/>
                <w:szCs w:val="21"/>
              </w:rPr>
              <w:t>2024.4.8</w:t>
            </w:r>
            <w:r>
              <w:rPr>
                <w:rFonts w:hint="eastAsia"/>
                <w:spacing w:val="-10"/>
                <w:szCs w:val="21"/>
              </w:rPr>
              <w:t>、</w:t>
            </w:r>
            <w:r>
              <w:rPr>
                <w:rFonts w:hint="eastAsia"/>
                <w:spacing w:val="-10"/>
                <w:szCs w:val="21"/>
              </w:rPr>
              <w:t>2024.4.24</w:t>
            </w:r>
          </w:p>
        </w:tc>
        <w:tc>
          <w:tcPr>
            <w:tcW w:w="669" w:type="pct"/>
            <w:vAlign w:val="center"/>
          </w:tcPr>
          <w:p w:rsidR="00EE4502" w:rsidRDefault="00FD45A3">
            <w:pPr>
              <w:jc w:val="center"/>
              <w:rPr>
                <w:spacing w:val="-10"/>
                <w:szCs w:val="21"/>
              </w:rPr>
            </w:pPr>
            <w:r>
              <w:rPr>
                <w:rFonts w:hint="eastAsia"/>
                <w:spacing w:val="-10"/>
                <w:szCs w:val="21"/>
              </w:rPr>
              <w:t>/</w:t>
            </w:r>
          </w:p>
        </w:tc>
      </w:tr>
    </w:tbl>
    <w:bookmarkEnd w:id="79"/>
    <w:p w:rsidR="00EE4502" w:rsidRDefault="00FD45A3">
      <w:pPr>
        <w:spacing w:line="360" w:lineRule="auto"/>
        <w:ind w:firstLineChars="200" w:firstLine="480"/>
        <w:rPr>
          <w:sz w:val="24"/>
        </w:rPr>
      </w:pPr>
      <w:r>
        <w:rPr>
          <w:rFonts w:hint="eastAsia"/>
          <w:sz w:val="24"/>
        </w:rPr>
        <w:t>春风油田</w:t>
      </w:r>
      <w:r>
        <w:rPr>
          <w:sz w:val="24"/>
        </w:rPr>
        <w:t>（第七师辖区）内各区块自开发至今，经历了勘探</w:t>
      </w:r>
      <w:r>
        <w:rPr>
          <w:sz w:val="24"/>
        </w:rPr>
        <w:t>-</w:t>
      </w:r>
      <w:r>
        <w:rPr>
          <w:sz w:val="24"/>
        </w:rPr>
        <w:t>油藏评价阶段和规模开发阶段，按照开发时序履行了环境影响评价和竣工环境保护验收工作。区内各工程</w:t>
      </w:r>
      <w:r>
        <w:rPr>
          <w:rFonts w:hint="eastAsia"/>
          <w:sz w:val="24"/>
        </w:rPr>
        <w:t>“</w:t>
      </w:r>
      <w:r>
        <w:rPr>
          <w:sz w:val="24"/>
        </w:rPr>
        <w:t>三同时</w:t>
      </w:r>
      <w:r>
        <w:rPr>
          <w:rFonts w:hint="eastAsia"/>
          <w:sz w:val="24"/>
        </w:rPr>
        <w:t>”</w:t>
      </w:r>
      <w:r>
        <w:rPr>
          <w:sz w:val="24"/>
        </w:rPr>
        <w:t>执行情况见表</w:t>
      </w:r>
      <w:r>
        <w:rPr>
          <w:sz w:val="24"/>
        </w:rPr>
        <w:t>3-1-</w:t>
      </w:r>
      <w:r>
        <w:rPr>
          <w:rFonts w:hint="eastAsia"/>
          <w:sz w:val="24"/>
        </w:rPr>
        <w:t>2</w:t>
      </w:r>
      <w:r>
        <w:rPr>
          <w:sz w:val="24"/>
        </w:rPr>
        <w:t>。</w:t>
      </w:r>
    </w:p>
    <w:p w:rsidR="00EE4502" w:rsidRDefault="00FD45A3">
      <w:pPr>
        <w:spacing w:line="360" w:lineRule="auto"/>
        <w:jc w:val="center"/>
        <w:rPr>
          <w:rFonts w:eastAsia="黑体"/>
          <w:bCs/>
          <w:lang w:val="zh-CN"/>
        </w:rPr>
      </w:pPr>
      <w:r>
        <w:rPr>
          <w:rFonts w:eastAsia="黑体"/>
          <w:bCs/>
          <w:lang w:val="zh-CN"/>
        </w:rPr>
        <w:t>表</w:t>
      </w:r>
      <w:r>
        <w:rPr>
          <w:rFonts w:eastAsia="黑体" w:hint="eastAsia"/>
          <w:bCs/>
        </w:rPr>
        <w:t>3</w:t>
      </w:r>
      <w:r>
        <w:rPr>
          <w:rFonts w:eastAsia="黑体"/>
          <w:bCs/>
        </w:rPr>
        <w:t>-</w:t>
      </w:r>
      <w:r>
        <w:rPr>
          <w:rFonts w:eastAsia="黑体"/>
          <w:bCs/>
          <w:lang w:val="zh-CN"/>
        </w:rPr>
        <w:t>1-</w:t>
      </w:r>
      <w:r>
        <w:rPr>
          <w:rFonts w:eastAsia="黑体" w:hint="eastAsia"/>
          <w:bCs/>
        </w:rPr>
        <w:t>2</w:t>
      </w:r>
      <w:r>
        <w:rPr>
          <w:rFonts w:eastAsia="黑体"/>
          <w:bCs/>
          <w:lang w:val="zh-CN"/>
        </w:rPr>
        <w:t xml:space="preserve">  </w:t>
      </w:r>
      <w:r>
        <w:rPr>
          <w:rFonts w:eastAsia="黑体"/>
          <w:bCs/>
          <w:lang w:val="zh-CN"/>
        </w:rPr>
        <w:t>春风油田（第七师辖区）环保手续履行情况一览表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
        <w:gridCol w:w="1633"/>
        <w:gridCol w:w="1335"/>
        <w:gridCol w:w="912"/>
        <w:gridCol w:w="1091"/>
        <w:gridCol w:w="1098"/>
        <w:gridCol w:w="1183"/>
        <w:gridCol w:w="791"/>
      </w:tblGrid>
      <w:tr w:rsidR="00EE4502">
        <w:trPr>
          <w:trHeight w:val="340"/>
          <w:tblHeader/>
          <w:jc w:val="center"/>
        </w:trPr>
        <w:tc>
          <w:tcPr>
            <w:tcW w:w="281" w:type="pct"/>
            <w:vAlign w:val="center"/>
          </w:tcPr>
          <w:p w:rsidR="00EE4502" w:rsidRDefault="00FD45A3">
            <w:pPr>
              <w:pStyle w:val="afc"/>
              <w:adjustRightInd w:val="0"/>
              <w:snapToGrid w:val="0"/>
              <w:spacing w:line="240" w:lineRule="auto"/>
              <w:ind w:firstLineChars="0" w:firstLine="0"/>
              <w:jc w:val="center"/>
              <w:rPr>
                <w:rFonts w:ascii="Times New Roman" w:eastAsia="宋体" w:hAnsi="Times New Roman"/>
                <w:color w:val="auto"/>
                <w:spacing w:val="0"/>
                <w:sz w:val="18"/>
                <w:szCs w:val="18"/>
              </w:rPr>
            </w:pPr>
            <w:r>
              <w:rPr>
                <w:rFonts w:ascii="Times New Roman" w:eastAsia="宋体" w:hAnsi="宋体"/>
                <w:color w:val="auto"/>
                <w:spacing w:val="0"/>
                <w:sz w:val="18"/>
                <w:szCs w:val="18"/>
              </w:rPr>
              <w:t>分类</w:t>
            </w:r>
          </w:p>
        </w:tc>
        <w:tc>
          <w:tcPr>
            <w:tcW w:w="958" w:type="pct"/>
            <w:vAlign w:val="center"/>
          </w:tcPr>
          <w:p w:rsidR="00EE4502" w:rsidRDefault="00FD45A3">
            <w:pPr>
              <w:pStyle w:val="afc"/>
              <w:adjustRightInd w:val="0"/>
              <w:snapToGrid w:val="0"/>
              <w:spacing w:line="240" w:lineRule="auto"/>
              <w:ind w:firstLineChars="0" w:firstLine="0"/>
              <w:jc w:val="center"/>
              <w:rPr>
                <w:rFonts w:ascii="Times New Roman" w:eastAsia="宋体" w:hAnsi="Times New Roman"/>
                <w:color w:val="auto"/>
                <w:spacing w:val="0"/>
                <w:sz w:val="18"/>
                <w:szCs w:val="18"/>
              </w:rPr>
            </w:pPr>
            <w:r>
              <w:rPr>
                <w:rFonts w:ascii="Times New Roman" w:eastAsia="宋体" w:hAnsi="宋体"/>
                <w:color w:val="auto"/>
                <w:spacing w:val="0"/>
                <w:sz w:val="18"/>
                <w:szCs w:val="18"/>
              </w:rPr>
              <w:t>项目</w:t>
            </w:r>
          </w:p>
        </w:tc>
        <w:tc>
          <w:tcPr>
            <w:tcW w:w="783" w:type="pct"/>
            <w:vAlign w:val="center"/>
          </w:tcPr>
          <w:p w:rsidR="00EE4502" w:rsidRDefault="00FD45A3">
            <w:pPr>
              <w:pStyle w:val="afc"/>
              <w:adjustRightInd w:val="0"/>
              <w:snapToGrid w:val="0"/>
              <w:spacing w:line="240" w:lineRule="auto"/>
              <w:ind w:firstLineChars="0" w:firstLine="0"/>
              <w:jc w:val="center"/>
              <w:rPr>
                <w:rFonts w:ascii="Times New Roman" w:eastAsia="宋体" w:hAnsi="Times New Roman"/>
                <w:color w:val="auto"/>
                <w:spacing w:val="0"/>
                <w:sz w:val="18"/>
                <w:szCs w:val="18"/>
              </w:rPr>
            </w:pPr>
            <w:r>
              <w:rPr>
                <w:rFonts w:ascii="Times New Roman" w:eastAsia="宋体" w:hAnsi="宋体"/>
                <w:color w:val="auto"/>
                <w:spacing w:val="0"/>
                <w:sz w:val="18"/>
                <w:szCs w:val="18"/>
              </w:rPr>
              <w:t>审批文号</w:t>
            </w:r>
          </w:p>
        </w:tc>
        <w:tc>
          <w:tcPr>
            <w:tcW w:w="535" w:type="pct"/>
            <w:vAlign w:val="center"/>
          </w:tcPr>
          <w:p w:rsidR="00EE4502" w:rsidRDefault="00FD45A3">
            <w:pPr>
              <w:pStyle w:val="afc"/>
              <w:adjustRightInd w:val="0"/>
              <w:snapToGrid w:val="0"/>
              <w:spacing w:line="240" w:lineRule="auto"/>
              <w:ind w:firstLineChars="0" w:firstLine="0"/>
              <w:jc w:val="center"/>
              <w:rPr>
                <w:rFonts w:ascii="Times New Roman" w:eastAsia="宋体" w:hAnsi="Times New Roman"/>
                <w:color w:val="auto"/>
                <w:spacing w:val="0"/>
                <w:sz w:val="18"/>
                <w:szCs w:val="18"/>
              </w:rPr>
            </w:pPr>
            <w:r>
              <w:rPr>
                <w:rFonts w:ascii="Times New Roman" w:eastAsia="宋体" w:hAnsi="宋体"/>
                <w:color w:val="auto"/>
                <w:spacing w:val="0"/>
                <w:sz w:val="18"/>
                <w:szCs w:val="18"/>
              </w:rPr>
              <w:t>审批部门</w:t>
            </w:r>
          </w:p>
        </w:tc>
        <w:tc>
          <w:tcPr>
            <w:tcW w:w="640" w:type="pct"/>
            <w:vAlign w:val="center"/>
          </w:tcPr>
          <w:p w:rsidR="00EE4502" w:rsidRDefault="00FD45A3">
            <w:pPr>
              <w:pStyle w:val="afc"/>
              <w:adjustRightInd w:val="0"/>
              <w:snapToGrid w:val="0"/>
              <w:spacing w:line="240" w:lineRule="auto"/>
              <w:ind w:firstLineChars="0" w:firstLine="0"/>
              <w:jc w:val="center"/>
              <w:rPr>
                <w:rFonts w:ascii="Times New Roman" w:eastAsia="宋体" w:hAnsi="Times New Roman"/>
                <w:color w:val="auto"/>
                <w:spacing w:val="0"/>
                <w:sz w:val="18"/>
                <w:szCs w:val="18"/>
              </w:rPr>
            </w:pPr>
            <w:r>
              <w:rPr>
                <w:rFonts w:ascii="Times New Roman" w:eastAsia="宋体" w:hAnsi="宋体"/>
                <w:color w:val="auto"/>
                <w:spacing w:val="0"/>
                <w:sz w:val="18"/>
                <w:szCs w:val="18"/>
              </w:rPr>
              <w:t>审批时间</w:t>
            </w:r>
          </w:p>
        </w:tc>
        <w:tc>
          <w:tcPr>
            <w:tcW w:w="644" w:type="pct"/>
            <w:vAlign w:val="center"/>
          </w:tcPr>
          <w:p w:rsidR="00EE4502" w:rsidRDefault="00FD45A3">
            <w:pPr>
              <w:pStyle w:val="afc"/>
              <w:adjustRightInd w:val="0"/>
              <w:snapToGrid w:val="0"/>
              <w:spacing w:line="240" w:lineRule="auto"/>
              <w:ind w:firstLineChars="0" w:firstLine="0"/>
              <w:jc w:val="center"/>
              <w:rPr>
                <w:rFonts w:ascii="Times New Roman" w:eastAsia="宋体" w:hAnsi="Times New Roman"/>
                <w:color w:val="auto"/>
                <w:spacing w:val="0"/>
                <w:sz w:val="18"/>
                <w:szCs w:val="18"/>
              </w:rPr>
            </w:pPr>
            <w:r>
              <w:rPr>
                <w:rFonts w:ascii="Times New Roman" w:eastAsia="宋体" w:hAnsi="宋体"/>
                <w:color w:val="auto"/>
                <w:spacing w:val="0"/>
                <w:sz w:val="18"/>
                <w:szCs w:val="18"/>
              </w:rPr>
              <w:t>验收文号</w:t>
            </w:r>
          </w:p>
        </w:tc>
        <w:tc>
          <w:tcPr>
            <w:tcW w:w="694" w:type="pct"/>
            <w:vAlign w:val="center"/>
          </w:tcPr>
          <w:p w:rsidR="00EE4502" w:rsidRDefault="00FD45A3">
            <w:pPr>
              <w:pStyle w:val="afc"/>
              <w:adjustRightInd w:val="0"/>
              <w:snapToGrid w:val="0"/>
              <w:spacing w:line="240" w:lineRule="auto"/>
              <w:ind w:firstLineChars="0" w:firstLine="0"/>
              <w:jc w:val="center"/>
              <w:rPr>
                <w:rFonts w:ascii="Times New Roman" w:eastAsia="宋体" w:hAnsi="Times New Roman"/>
                <w:color w:val="auto"/>
                <w:spacing w:val="0"/>
                <w:sz w:val="18"/>
                <w:szCs w:val="18"/>
              </w:rPr>
            </w:pPr>
            <w:r>
              <w:rPr>
                <w:rFonts w:ascii="Times New Roman" w:eastAsia="宋体" w:hAnsi="宋体"/>
                <w:color w:val="auto"/>
                <w:spacing w:val="0"/>
                <w:sz w:val="18"/>
                <w:szCs w:val="18"/>
              </w:rPr>
              <w:t>验收时间</w:t>
            </w:r>
          </w:p>
        </w:tc>
        <w:tc>
          <w:tcPr>
            <w:tcW w:w="464" w:type="pct"/>
            <w:vAlign w:val="center"/>
          </w:tcPr>
          <w:p w:rsidR="00EE4502" w:rsidRDefault="00FD45A3">
            <w:pPr>
              <w:pStyle w:val="afc"/>
              <w:adjustRightInd w:val="0"/>
              <w:snapToGrid w:val="0"/>
              <w:spacing w:line="240" w:lineRule="auto"/>
              <w:ind w:firstLineChars="0" w:firstLine="0"/>
              <w:jc w:val="center"/>
              <w:rPr>
                <w:rFonts w:ascii="Times New Roman" w:eastAsia="宋体" w:hAnsi="Times New Roman"/>
                <w:color w:val="auto"/>
                <w:spacing w:val="0"/>
                <w:sz w:val="18"/>
                <w:szCs w:val="18"/>
              </w:rPr>
            </w:pPr>
            <w:r>
              <w:rPr>
                <w:rFonts w:ascii="Times New Roman" w:eastAsia="宋体" w:hAnsi="宋体"/>
                <w:color w:val="auto"/>
                <w:spacing w:val="0"/>
                <w:sz w:val="18"/>
                <w:szCs w:val="18"/>
              </w:rPr>
              <w:t>验收审批部门</w:t>
            </w:r>
          </w:p>
        </w:tc>
      </w:tr>
      <w:tr w:rsidR="00EE4502">
        <w:trPr>
          <w:trHeight w:val="340"/>
          <w:jc w:val="center"/>
        </w:trPr>
        <w:tc>
          <w:tcPr>
            <w:tcW w:w="281" w:type="pct"/>
            <w:vMerge w:val="restart"/>
            <w:vAlign w:val="center"/>
          </w:tcPr>
          <w:p w:rsidR="00EE4502" w:rsidRDefault="00FD45A3">
            <w:pPr>
              <w:adjustRightInd w:val="0"/>
              <w:snapToGrid w:val="0"/>
              <w:jc w:val="center"/>
              <w:rPr>
                <w:sz w:val="18"/>
                <w:szCs w:val="18"/>
              </w:rPr>
            </w:pPr>
            <w:r>
              <w:rPr>
                <w:rFonts w:hAnsi="宋体"/>
                <w:sz w:val="18"/>
                <w:szCs w:val="18"/>
              </w:rPr>
              <w:t>开采区</w:t>
            </w:r>
          </w:p>
        </w:tc>
        <w:tc>
          <w:tcPr>
            <w:tcW w:w="958" w:type="pct"/>
            <w:vAlign w:val="center"/>
          </w:tcPr>
          <w:p w:rsidR="00EE4502" w:rsidRDefault="00FD45A3">
            <w:pPr>
              <w:adjustRightInd w:val="0"/>
              <w:snapToGrid w:val="0"/>
              <w:jc w:val="center"/>
              <w:rPr>
                <w:sz w:val="18"/>
                <w:szCs w:val="18"/>
              </w:rPr>
            </w:pPr>
            <w:r>
              <w:rPr>
                <w:rFonts w:hAnsi="宋体"/>
                <w:sz w:val="18"/>
                <w:szCs w:val="18"/>
              </w:rPr>
              <w:t>春风油田排</w:t>
            </w:r>
            <w:r>
              <w:rPr>
                <w:sz w:val="18"/>
                <w:szCs w:val="18"/>
              </w:rPr>
              <w:t>6</w:t>
            </w:r>
            <w:r>
              <w:rPr>
                <w:rFonts w:hAnsi="宋体"/>
                <w:sz w:val="18"/>
                <w:szCs w:val="18"/>
              </w:rPr>
              <w:t>南区产能建设工程</w:t>
            </w:r>
          </w:p>
        </w:tc>
        <w:tc>
          <w:tcPr>
            <w:tcW w:w="783" w:type="pct"/>
            <w:vAlign w:val="center"/>
          </w:tcPr>
          <w:p w:rsidR="00EE4502" w:rsidRDefault="00FD45A3">
            <w:pPr>
              <w:adjustRightInd w:val="0"/>
              <w:snapToGrid w:val="0"/>
              <w:jc w:val="center"/>
              <w:rPr>
                <w:sz w:val="18"/>
                <w:szCs w:val="18"/>
              </w:rPr>
            </w:pPr>
            <w:r>
              <w:rPr>
                <w:rFonts w:hAnsi="宋体"/>
                <w:sz w:val="18"/>
                <w:szCs w:val="18"/>
              </w:rPr>
              <w:t>兵环审</w:t>
            </w:r>
            <w:r>
              <w:rPr>
                <w:rFonts w:hAnsi="宋体" w:hint="eastAsia"/>
                <w:sz w:val="18"/>
                <w:szCs w:val="18"/>
              </w:rPr>
              <w:t>〔</w:t>
            </w:r>
            <w:r>
              <w:rPr>
                <w:rFonts w:hAnsi="宋体" w:hint="eastAsia"/>
                <w:sz w:val="18"/>
                <w:szCs w:val="18"/>
              </w:rPr>
              <w:t>2012</w:t>
            </w:r>
            <w:r>
              <w:rPr>
                <w:rFonts w:hAnsi="宋体" w:hint="eastAsia"/>
                <w:sz w:val="18"/>
                <w:szCs w:val="18"/>
              </w:rPr>
              <w:t>〕</w:t>
            </w:r>
            <w:r>
              <w:rPr>
                <w:sz w:val="18"/>
                <w:szCs w:val="18"/>
              </w:rPr>
              <w:t>295</w:t>
            </w:r>
            <w:r>
              <w:rPr>
                <w:rFonts w:hAnsi="宋体"/>
                <w:sz w:val="18"/>
                <w:szCs w:val="18"/>
              </w:rPr>
              <w:t>号</w:t>
            </w:r>
          </w:p>
        </w:tc>
        <w:tc>
          <w:tcPr>
            <w:tcW w:w="535" w:type="pct"/>
            <w:vAlign w:val="center"/>
          </w:tcPr>
          <w:p w:rsidR="00EE4502" w:rsidRDefault="00FD45A3">
            <w:pPr>
              <w:adjustRightInd w:val="0"/>
              <w:snapToGrid w:val="0"/>
              <w:jc w:val="center"/>
              <w:rPr>
                <w:sz w:val="18"/>
                <w:szCs w:val="18"/>
              </w:rPr>
            </w:pPr>
            <w:r>
              <w:rPr>
                <w:rFonts w:hAnsi="宋体"/>
                <w:sz w:val="18"/>
                <w:szCs w:val="18"/>
              </w:rPr>
              <w:t>原兵团环保局</w:t>
            </w:r>
          </w:p>
        </w:tc>
        <w:tc>
          <w:tcPr>
            <w:tcW w:w="640" w:type="pct"/>
            <w:vAlign w:val="center"/>
          </w:tcPr>
          <w:p w:rsidR="00EE4502" w:rsidRDefault="00FD45A3">
            <w:pPr>
              <w:adjustRightInd w:val="0"/>
              <w:snapToGrid w:val="0"/>
              <w:jc w:val="center"/>
              <w:rPr>
                <w:sz w:val="18"/>
                <w:szCs w:val="18"/>
              </w:rPr>
            </w:pPr>
            <w:r>
              <w:rPr>
                <w:sz w:val="18"/>
                <w:szCs w:val="18"/>
              </w:rPr>
              <w:t>2012.8.23</w:t>
            </w:r>
          </w:p>
        </w:tc>
        <w:tc>
          <w:tcPr>
            <w:tcW w:w="644" w:type="pct"/>
            <w:vAlign w:val="center"/>
          </w:tcPr>
          <w:p w:rsidR="00EE4502" w:rsidRDefault="00FD45A3">
            <w:pPr>
              <w:adjustRightInd w:val="0"/>
              <w:snapToGrid w:val="0"/>
              <w:jc w:val="center"/>
              <w:rPr>
                <w:sz w:val="18"/>
                <w:szCs w:val="18"/>
              </w:rPr>
            </w:pPr>
            <w:r>
              <w:rPr>
                <w:rFonts w:hAnsi="宋体"/>
                <w:sz w:val="18"/>
                <w:szCs w:val="18"/>
              </w:rPr>
              <w:t>兵环验</w:t>
            </w:r>
            <w:r>
              <w:rPr>
                <w:rFonts w:hAnsi="宋体" w:hint="eastAsia"/>
                <w:sz w:val="18"/>
                <w:szCs w:val="18"/>
              </w:rPr>
              <w:t>〔</w:t>
            </w:r>
            <w:r>
              <w:rPr>
                <w:sz w:val="18"/>
                <w:szCs w:val="18"/>
              </w:rPr>
              <w:t>2015</w:t>
            </w:r>
            <w:r>
              <w:rPr>
                <w:rFonts w:hint="eastAsia"/>
                <w:sz w:val="18"/>
                <w:szCs w:val="18"/>
              </w:rPr>
              <w:t>〕</w:t>
            </w:r>
            <w:r>
              <w:rPr>
                <w:sz w:val="18"/>
                <w:szCs w:val="18"/>
              </w:rPr>
              <w:t>270</w:t>
            </w:r>
            <w:r>
              <w:rPr>
                <w:rFonts w:hAnsi="宋体"/>
                <w:sz w:val="18"/>
                <w:szCs w:val="18"/>
              </w:rPr>
              <w:t>号</w:t>
            </w:r>
          </w:p>
        </w:tc>
        <w:tc>
          <w:tcPr>
            <w:tcW w:w="694" w:type="pct"/>
            <w:vAlign w:val="center"/>
          </w:tcPr>
          <w:p w:rsidR="00EE4502" w:rsidRDefault="00FD45A3">
            <w:pPr>
              <w:adjustRightInd w:val="0"/>
              <w:snapToGrid w:val="0"/>
              <w:jc w:val="center"/>
              <w:rPr>
                <w:sz w:val="18"/>
                <w:szCs w:val="18"/>
              </w:rPr>
            </w:pPr>
            <w:r>
              <w:rPr>
                <w:sz w:val="18"/>
                <w:szCs w:val="18"/>
              </w:rPr>
              <w:t>2015.12.22</w:t>
            </w:r>
          </w:p>
        </w:tc>
        <w:tc>
          <w:tcPr>
            <w:tcW w:w="464" w:type="pct"/>
            <w:vAlign w:val="center"/>
          </w:tcPr>
          <w:p w:rsidR="00EE4502" w:rsidRDefault="00FD45A3">
            <w:pPr>
              <w:adjustRightInd w:val="0"/>
              <w:snapToGrid w:val="0"/>
              <w:jc w:val="center"/>
              <w:rPr>
                <w:sz w:val="18"/>
                <w:szCs w:val="18"/>
              </w:rPr>
            </w:pPr>
            <w:r>
              <w:rPr>
                <w:rFonts w:hAnsi="宋体"/>
                <w:sz w:val="18"/>
                <w:szCs w:val="18"/>
              </w:rPr>
              <w:t>原兵团环保局</w:t>
            </w:r>
          </w:p>
        </w:tc>
      </w:tr>
      <w:tr w:rsidR="00EE4502">
        <w:trPr>
          <w:trHeight w:val="340"/>
          <w:jc w:val="center"/>
        </w:trPr>
        <w:tc>
          <w:tcPr>
            <w:tcW w:w="281" w:type="pct"/>
            <w:vMerge/>
            <w:vAlign w:val="center"/>
          </w:tcPr>
          <w:p w:rsidR="00EE4502" w:rsidRDefault="00EE4502">
            <w:pPr>
              <w:adjustRightInd w:val="0"/>
              <w:snapToGrid w:val="0"/>
              <w:jc w:val="center"/>
              <w:rPr>
                <w:sz w:val="18"/>
                <w:szCs w:val="18"/>
              </w:rPr>
            </w:pPr>
          </w:p>
        </w:tc>
        <w:tc>
          <w:tcPr>
            <w:tcW w:w="958" w:type="pct"/>
            <w:vAlign w:val="center"/>
          </w:tcPr>
          <w:p w:rsidR="00EE4502" w:rsidRDefault="00FD45A3">
            <w:pPr>
              <w:adjustRightInd w:val="0"/>
              <w:snapToGrid w:val="0"/>
              <w:jc w:val="center"/>
              <w:rPr>
                <w:sz w:val="18"/>
                <w:szCs w:val="18"/>
              </w:rPr>
            </w:pPr>
            <w:r>
              <w:rPr>
                <w:rFonts w:hAnsi="宋体"/>
                <w:sz w:val="18"/>
                <w:szCs w:val="18"/>
              </w:rPr>
              <w:t>春风油田排</w:t>
            </w:r>
            <w:r>
              <w:rPr>
                <w:sz w:val="18"/>
                <w:szCs w:val="18"/>
              </w:rPr>
              <w:t>601</w:t>
            </w:r>
            <w:r>
              <w:rPr>
                <w:rFonts w:hAnsi="宋体"/>
                <w:sz w:val="18"/>
                <w:szCs w:val="18"/>
              </w:rPr>
              <w:t>块南区产能建设工程</w:t>
            </w:r>
          </w:p>
        </w:tc>
        <w:tc>
          <w:tcPr>
            <w:tcW w:w="783" w:type="pct"/>
            <w:vAlign w:val="center"/>
          </w:tcPr>
          <w:p w:rsidR="00EE4502" w:rsidRDefault="00FD45A3">
            <w:pPr>
              <w:adjustRightInd w:val="0"/>
              <w:snapToGrid w:val="0"/>
              <w:jc w:val="center"/>
              <w:rPr>
                <w:sz w:val="18"/>
                <w:szCs w:val="18"/>
              </w:rPr>
            </w:pPr>
            <w:r>
              <w:rPr>
                <w:rFonts w:hAnsi="宋体"/>
                <w:sz w:val="18"/>
                <w:szCs w:val="18"/>
              </w:rPr>
              <w:t>兵环审</w:t>
            </w:r>
            <w:r>
              <w:rPr>
                <w:rFonts w:hAnsi="宋体" w:hint="eastAsia"/>
                <w:sz w:val="18"/>
                <w:szCs w:val="18"/>
              </w:rPr>
              <w:t>〔</w:t>
            </w:r>
            <w:r>
              <w:rPr>
                <w:rFonts w:hAnsi="宋体" w:hint="eastAsia"/>
                <w:sz w:val="18"/>
                <w:szCs w:val="18"/>
              </w:rPr>
              <w:t>2013</w:t>
            </w:r>
            <w:r>
              <w:rPr>
                <w:rFonts w:hAnsi="宋体" w:hint="eastAsia"/>
                <w:sz w:val="18"/>
                <w:szCs w:val="18"/>
              </w:rPr>
              <w:t>〕</w:t>
            </w:r>
            <w:r>
              <w:rPr>
                <w:sz w:val="18"/>
                <w:szCs w:val="18"/>
              </w:rPr>
              <w:t>58</w:t>
            </w:r>
            <w:r>
              <w:rPr>
                <w:rFonts w:hAnsi="宋体"/>
                <w:sz w:val="18"/>
                <w:szCs w:val="18"/>
              </w:rPr>
              <w:t>号</w:t>
            </w:r>
          </w:p>
        </w:tc>
        <w:tc>
          <w:tcPr>
            <w:tcW w:w="535" w:type="pct"/>
            <w:vAlign w:val="center"/>
          </w:tcPr>
          <w:p w:rsidR="00EE4502" w:rsidRDefault="00FD45A3">
            <w:pPr>
              <w:adjustRightInd w:val="0"/>
              <w:snapToGrid w:val="0"/>
              <w:jc w:val="center"/>
              <w:rPr>
                <w:sz w:val="18"/>
                <w:szCs w:val="18"/>
              </w:rPr>
            </w:pPr>
            <w:r>
              <w:rPr>
                <w:rFonts w:hAnsi="宋体"/>
                <w:sz w:val="18"/>
                <w:szCs w:val="18"/>
              </w:rPr>
              <w:t>原兵团环保局</w:t>
            </w:r>
          </w:p>
        </w:tc>
        <w:tc>
          <w:tcPr>
            <w:tcW w:w="640" w:type="pct"/>
            <w:vAlign w:val="center"/>
          </w:tcPr>
          <w:p w:rsidR="00EE4502" w:rsidRDefault="00FD45A3">
            <w:pPr>
              <w:adjustRightInd w:val="0"/>
              <w:snapToGrid w:val="0"/>
              <w:jc w:val="center"/>
              <w:rPr>
                <w:sz w:val="18"/>
                <w:szCs w:val="18"/>
              </w:rPr>
            </w:pPr>
            <w:r>
              <w:rPr>
                <w:sz w:val="18"/>
                <w:szCs w:val="18"/>
              </w:rPr>
              <w:t>2013.2.27</w:t>
            </w:r>
          </w:p>
        </w:tc>
        <w:tc>
          <w:tcPr>
            <w:tcW w:w="644" w:type="pct"/>
            <w:vAlign w:val="center"/>
          </w:tcPr>
          <w:p w:rsidR="00EE4502" w:rsidRDefault="00FD45A3">
            <w:pPr>
              <w:adjustRightInd w:val="0"/>
              <w:snapToGrid w:val="0"/>
              <w:jc w:val="center"/>
              <w:rPr>
                <w:sz w:val="18"/>
                <w:szCs w:val="18"/>
              </w:rPr>
            </w:pPr>
            <w:r>
              <w:rPr>
                <w:rFonts w:hAnsi="宋体"/>
                <w:sz w:val="18"/>
                <w:szCs w:val="18"/>
              </w:rPr>
              <w:t>兵环验</w:t>
            </w:r>
            <w:r>
              <w:rPr>
                <w:rFonts w:hAnsi="宋体" w:hint="eastAsia"/>
                <w:sz w:val="18"/>
                <w:szCs w:val="18"/>
              </w:rPr>
              <w:t>〔</w:t>
            </w:r>
            <w:r>
              <w:rPr>
                <w:sz w:val="18"/>
                <w:szCs w:val="18"/>
              </w:rPr>
              <w:t>2015</w:t>
            </w:r>
            <w:r>
              <w:rPr>
                <w:rFonts w:hint="eastAsia"/>
                <w:sz w:val="18"/>
                <w:szCs w:val="18"/>
              </w:rPr>
              <w:t>〕</w:t>
            </w:r>
            <w:r>
              <w:rPr>
                <w:sz w:val="18"/>
                <w:szCs w:val="18"/>
              </w:rPr>
              <w:t>272</w:t>
            </w:r>
            <w:r>
              <w:rPr>
                <w:rFonts w:hAnsi="宋体"/>
                <w:sz w:val="18"/>
                <w:szCs w:val="18"/>
              </w:rPr>
              <w:t>号</w:t>
            </w:r>
          </w:p>
        </w:tc>
        <w:tc>
          <w:tcPr>
            <w:tcW w:w="694" w:type="pct"/>
            <w:vAlign w:val="center"/>
          </w:tcPr>
          <w:p w:rsidR="00EE4502" w:rsidRDefault="00FD45A3">
            <w:pPr>
              <w:adjustRightInd w:val="0"/>
              <w:snapToGrid w:val="0"/>
              <w:jc w:val="center"/>
              <w:rPr>
                <w:sz w:val="18"/>
                <w:szCs w:val="18"/>
              </w:rPr>
            </w:pPr>
            <w:r>
              <w:rPr>
                <w:sz w:val="18"/>
                <w:szCs w:val="18"/>
              </w:rPr>
              <w:t>2015.12.23</w:t>
            </w:r>
          </w:p>
        </w:tc>
        <w:tc>
          <w:tcPr>
            <w:tcW w:w="464" w:type="pct"/>
            <w:vAlign w:val="center"/>
          </w:tcPr>
          <w:p w:rsidR="00EE4502" w:rsidRDefault="00FD45A3">
            <w:pPr>
              <w:adjustRightInd w:val="0"/>
              <w:snapToGrid w:val="0"/>
              <w:jc w:val="center"/>
              <w:rPr>
                <w:sz w:val="18"/>
                <w:szCs w:val="18"/>
              </w:rPr>
            </w:pPr>
            <w:r>
              <w:rPr>
                <w:rFonts w:hAnsi="宋体"/>
                <w:sz w:val="18"/>
                <w:szCs w:val="18"/>
              </w:rPr>
              <w:t>原兵团环保局</w:t>
            </w:r>
          </w:p>
        </w:tc>
      </w:tr>
      <w:tr w:rsidR="00EE4502">
        <w:trPr>
          <w:trHeight w:val="340"/>
          <w:jc w:val="center"/>
        </w:trPr>
        <w:tc>
          <w:tcPr>
            <w:tcW w:w="281" w:type="pct"/>
            <w:vMerge/>
            <w:vAlign w:val="center"/>
          </w:tcPr>
          <w:p w:rsidR="00EE4502" w:rsidRDefault="00EE4502">
            <w:pPr>
              <w:adjustRightInd w:val="0"/>
              <w:snapToGrid w:val="0"/>
              <w:jc w:val="center"/>
              <w:rPr>
                <w:sz w:val="18"/>
                <w:szCs w:val="18"/>
              </w:rPr>
            </w:pPr>
          </w:p>
        </w:tc>
        <w:tc>
          <w:tcPr>
            <w:tcW w:w="958" w:type="pct"/>
            <w:vAlign w:val="center"/>
          </w:tcPr>
          <w:p w:rsidR="00EE4502" w:rsidRDefault="00FD45A3">
            <w:pPr>
              <w:adjustRightInd w:val="0"/>
              <w:snapToGrid w:val="0"/>
              <w:jc w:val="center"/>
              <w:rPr>
                <w:sz w:val="18"/>
                <w:szCs w:val="18"/>
              </w:rPr>
            </w:pPr>
            <w:r>
              <w:rPr>
                <w:rFonts w:hAnsi="宋体"/>
                <w:sz w:val="18"/>
                <w:szCs w:val="18"/>
              </w:rPr>
              <w:t>春风油田排</w:t>
            </w:r>
            <w:r>
              <w:rPr>
                <w:sz w:val="18"/>
                <w:szCs w:val="18"/>
              </w:rPr>
              <w:t>691</w:t>
            </w:r>
            <w:r>
              <w:rPr>
                <w:rFonts w:hAnsi="宋体"/>
                <w:sz w:val="18"/>
                <w:szCs w:val="18"/>
              </w:rPr>
              <w:t>块产能建设工程</w:t>
            </w:r>
          </w:p>
        </w:tc>
        <w:tc>
          <w:tcPr>
            <w:tcW w:w="783" w:type="pct"/>
            <w:vAlign w:val="center"/>
          </w:tcPr>
          <w:p w:rsidR="00EE4502" w:rsidRDefault="00FD45A3">
            <w:pPr>
              <w:adjustRightInd w:val="0"/>
              <w:snapToGrid w:val="0"/>
              <w:jc w:val="center"/>
              <w:rPr>
                <w:sz w:val="18"/>
                <w:szCs w:val="18"/>
              </w:rPr>
            </w:pPr>
            <w:r>
              <w:rPr>
                <w:rFonts w:hAnsi="宋体"/>
                <w:sz w:val="18"/>
                <w:szCs w:val="18"/>
              </w:rPr>
              <w:t>兵环审</w:t>
            </w:r>
            <w:r>
              <w:rPr>
                <w:rFonts w:hint="eastAsia"/>
                <w:sz w:val="18"/>
                <w:szCs w:val="18"/>
              </w:rPr>
              <w:t>〔</w:t>
            </w:r>
            <w:r>
              <w:rPr>
                <w:sz w:val="18"/>
                <w:szCs w:val="18"/>
              </w:rPr>
              <w:t>2018</w:t>
            </w:r>
            <w:r>
              <w:rPr>
                <w:rFonts w:hint="eastAsia"/>
                <w:sz w:val="18"/>
                <w:szCs w:val="18"/>
              </w:rPr>
              <w:t>〕</w:t>
            </w:r>
            <w:r>
              <w:rPr>
                <w:sz w:val="18"/>
                <w:szCs w:val="18"/>
              </w:rPr>
              <w:t>174</w:t>
            </w:r>
            <w:r>
              <w:rPr>
                <w:rFonts w:hAnsi="宋体"/>
                <w:sz w:val="18"/>
                <w:szCs w:val="18"/>
              </w:rPr>
              <w:t>号</w:t>
            </w:r>
          </w:p>
        </w:tc>
        <w:tc>
          <w:tcPr>
            <w:tcW w:w="535" w:type="pct"/>
            <w:vAlign w:val="center"/>
          </w:tcPr>
          <w:p w:rsidR="00EE4502" w:rsidRDefault="00FD45A3">
            <w:pPr>
              <w:adjustRightInd w:val="0"/>
              <w:snapToGrid w:val="0"/>
              <w:jc w:val="center"/>
              <w:rPr>
                <w:sz w:val="18"/>
                <w:szCs w:val="18"/>
              </w:rPr>
            </w:pPr>
            <w:r>
              <w:rPr>
                <w:rFonts w:hAnsi="宋体"/>
                <w:sz w:val="18"/>
                <w:szCs w:val="18"/>
              </w:rPr>
              <w:t>原兵团环保局</w:t>
            </w:r>
          </w:p>
        </w:tc>
        <w:tc>
          <w:tcPr>
            <w:tcW w:w="640" w:type="pct"/>
            <w:vAlign w:val="center"/>
          </w:tcPr>
          <w:p w:rsidR="00EE4502" w:rsidRDefault="00FD45A3">
            <w:pPr>
              <w:adjustRightInd w:val="0"/>
              <w:snapToGrid w:val="0"/>
              <w:jc w:val="center"/>
              <w:rPr>
                <w:sz w:val="18"/>
                <w:szCs w:val="18"/>
              </w:rPr>
            </w:pPr>
            <w:r>
              <w:rPr>
                <w:sz w:val="18"/>
                <w:szCs w:val="18"/>
              </w:rPr>
              <w:t>2018.12.25</w:t>
            </w:r>
          </w:p>
        </w:tc>
        <w:tc>
          <w:tcPr>
            <w:tcW w:w="644" w:type="pct"/>
            <w:vAlign w:val="center"/>
          </w:tcPr>
          <w:p w:rsidR="00EE4502" w:rsidRDefault="00FD45A3">
            <w:pPr>
              <w:adjustRightInd w:val="0"/>
              <w:snapToGrid w:val="0"/>
              <w:jc w:val="center"/>
              <w:rPr>
                <w:sz w:val="18"/>
                <w:szCs w:val="18"/>
              </w:rPr>
            </w:pPr>
            <w:r>
              <w:rPr>
                <w:rFonts w:hAnsi="宋体"/>
                <w:sz w:val="18"/>
                <w:szCs w:val="18"/>
              </w:rPr>
              <w:t>自主验收</w:t>
            </w:r>
          </w:p>
        </w:tc>
        <w:tc>
          <w:tcPr>
            <w:tcW w:w="694" w:type="pct"/>
            <w:vAlign w:val="center"/>
          </w:tcPr>
          <w:p w:rsidR="00EE4502" w:rsidRDefault="00FD45A3">
            <w:pPr>
              <w:adjustRightInd w:val="0"/>
              <w:snapToGrid w:val="0"/>
              <w:jc w:val="center"/>
              <w:rPr>
                <w:sz w:val="18"/>
                <w:szCs w:val="18"/>
              </w:rPr>
            </w:pPr>
            <w:r>
              <w:rPr>
                <w:sz w:val="18"/>
                <w:szCs w:val="18"/>
              </w:rPr>
              <w:t>202</w:t>
            </w:r>
            <w:r>
              <w:rPr>
                <w:rFonts w:hint="eastAsia"/>
                <w:sz w:val="18"/>
                <w:szCs w:val="18"/>
              </w:rPr>
              <w:t>3</w:t>
            </w:r>
            <w:r>
              <w:rPr>
                <w:sz w:val="18"/>
                <w:szCs w:val="18"/>
              </w:rPr>
              <w:t>.</w:t>
            </w:r>
            <w:r>
              <w:rPr>
                <w:rFonts w:hint="eastAsia"/>
                <w:sz w:val="18"/>
                <w:szCs w:val="18"/>
              </w:rPr>
              <w:t>12.28</w:t>
            </w:r>
          </w:p>
        </w:tc>
        <w:tc>
          <w:tcPr>
            <w:tcW w:w="464" w:type="pct"/>
            <w:vAlign w:val="center"/>
          </w:tcPr>
          <w:p w:rsidR="00EE4502" w:rsidRDefault="00FD45A3">
            <w:pPr>
              <w:adjustRightInd w:val="0"/>
              <w:snapToGrid w:val="0"/>
              <w:jc w:val="center"/>
              <w:rPr>
                <w:sz w:val="18"/>
                <w:szCs w:val="18"/>
              </w:rPr>
            </w:pPr>
            <w:r>
              <w:rPr>
                <w:sz w:val="18"/>
                <w:szCs w:val="18"/>
              </w:rPr>
              <w:t>/</w:t>
            </w:r>
          </w:p>
        </w:tc>
      </w:tr>
      <w:tr w:rsidR="00EE4502">
        <w:trPr>
          <w:trHeight w:val="340"/>
          <w:jc w:val="center"/>
        </w:trPr>
        <w:tc>
          <w:tcPr>
            <w:tcW w:w="281" w:type="pct"/>
            <w:vMerge/>
            <w:vAlign w:val="center"/>
          </w:tcPr>
          <w:p w:rsidR="00EE4502" w:rsidRDefault="00EE4502">
            <w:pPr>
              <w:adjustRightInd w:val="0"/>
              <w:snapToGrid w:val="0"/>
              <w:jc w:val="center"/>
              <w:rPr>
                <w:sz w:val="18"/>
                <w:szCs w:val="18"/>
              </w:rPr>
            </w:pPr>
          </w:p>
        </w:tc>
        <w:tc>
          <w:tcPr>
            <w:tcW w:w="958" w:type="pct"/>
            <w:vAlign w:val="center"/>
          </w:tcPr>
          <w:p w:rsidR="00EE4502" w:rsidRDefault="00FD45A3">
            <w:pPr>
              <w:adjustRightInd w:val="0"/>
              <w:snapToGrid w:val="0"/>
              <w:jc w:val="center"/>
              <w:rPr>
                <w:sz w:val="18"/>
                <w:szCs w:val="18"/>
              </w:rPr>
            </w:pPr>
            <w:r>
              <w:rPr>
                <w:rFonts w:hAnsi="宋体"/>
                <w:sz w:val="18"/>
                <w:szCs w:val="18"/>
              </w:rPr>
              <w:t>春风油田排</w:t>
            </w:r>
            <w:r>
              <w:rPr>
                <w:sz w:val="18"/>
                <w:szCs w:val="18"/>
              </w:rPr>
              <w:t>691</w:t>
            </w:r>
            <w:r>
              <w:rPr>
                <w:rFonts w:hAnsi="宋体"/>
                <w:sz w:val="18"/>
                <w:szCs w:val="18"/>
              </w:rPr>
              <w:t>西扩产能建设工程</w:t>
            </w:r>
          </w:p>
        </w:tc>
        <w:tc>
          <w:tcPr>
            <w:tcW w:w="783" w:type="pct"/>
            <w:vAlign w:val="center"/>
          </w:tcPr>
          <w:p w:rsidR="00EE4502" w:rsidRDefault="00FD45A3">
            <w:pPr>
              <w:adjustRightInd w:val="0"/>
              <w:snapToGrid w:val="0"/>
              <w:jc w:val="center"/>
              <w:rPr>
                <w:sz w:val="18"/>
                <w:szCs w:val="18"/>
              </w:rPr>
            </w:pPr>
            <w:r>
              <w:rPr>
                <w:rFonts w:hAnsi="宋体"/>
                <w:sz w:val="18"/>
                <w:szCs w:val="18"/>
              </w:rPr>
              <w:t>兵环审</w:t>
            </w:r>
            <w:r>
              <w:rPr>
                <w:rFonts w:hint="eastAsia"/>
                <w:sz w:val="18"/>
                <w:szCs w:val="18"/>
              </w:rPr>
              <w:t>〔</w:t>
            </w:r>
            <w:r>
              <w:rPr>
                <w:sz w:val="18"/>
                <w:szCs w:val="18"/>
              </w:rPr>
              <w:t>2019</w:t>
            </w:r>
            <w:r>
              <w:rPr>
                <w:rFonts w:hint="eastAsia"/>
                <w:sz w:val="18"/>
                <w:szCs w:val="18"/>
              </w:rPr>
              <w:t>〕</w:t>
            </w:r>
            <w:r>
              <w:rPr>
                <w:sz w:val="18"/>
                <w:szCs w:val="18"/>
              </w:rPr>
              <w:t>20</w:t>
            </w:r>
            <w:r>
              <w:rPr>
                <w:rFonts w:hAnsi="宋体"/>
                <w:sz w:val="18"/>
                <w:szCs w:val="18"/>
              </w:rPr>
              <w:t>号</w:t>
            </w:r>
          </w:p>
        </w:tc>
        <w:tc>
          <w:tcPr>
            <w:tcW w:w="535" w:type="pct"/>
            <w:vAlign w:val="center"/>
          </w:tcPr>
          <w:p w:rsidR="00EE4502" w:rsidRDefault="00FD45A3">
            <w:pPr>
              <w:adjustRightInd w:val="0"/>
              <w:snapToGrid w:val="0"/>
              <w:jc w:val="center"/>
              <w:rPr>
                <w:sz w:val="18"/>
                <w:szCs w:val="18"/>
              </w:rPr>
            </w:pPr>
            <w:r>
              <w:rPr>
                <w:rFonts w:hAnsi="宋体"/>
                <w:sz w:val="18"/>
                <w:szCs w:val="18"/>
              </w:rPr>
              <w:t>兵团生态环境局</w:t>
            </w:r>
          </w:p>
        </w:tc>
        <w:tc>
          <w:tcPr>
            <w:tcW w:w="640" w:type="pct"/>
            <w:vAlign w:val="center"/>
          </w:tcPr>
          <w:p w:rsidR="00EE4502" w:rsidRDefault="00FD45A3">
            <w:pPr>
              <w:adjustRightInd w:val="0"/>
              <w:snapToGrid w:val="0"/>
              <w:jc w:val="center"/>
              <w:rPr>
                <w:sz w:val="18"/>
                <w:szCs w:val="18"/>
              </w:rPr>
            </w:pPr>
            <w:r>
              <w:rPr>
                <w:sz w:val="18"/>
                <w:szCs w:val="18"/>
              </w:rPr>
              <w:t>2019.12.5</w:t>
            </w:r>
          </w:p>
        </w:tc>
        <w:tc>
          <w:tcPr>
            <w:tcW w:w="1802" w:type="pct"/>
            <w:gridSpan w:val="3"/>
            <w:vAlign w:val="center"/>
          </w:tcPr>
          <w:p w:rsidR="00EE4502" w:rsidRDefault="00FD45A3">
            <w:pPr>
              <w:adjustRightInd w:val="0"/>
              <w:snapToGrid w:val="0"/>
              <w:jc w:val="center"/>
              <w:rPr>
                <w:sz w:val="18"/>
                <w:szCs w:val="18"/>
              </w:rPr>
            </w:pPr>
            <w:r>
              <w:rPr>
                <w:rFonts w:hAnsi="宋体"/>
                <w:sz w:val="18"/>
                <w:szCs w:val="18"/>
              </w:rPr>
              <w:t>自主验收</w:t>
            </w:r>
          </w:p>
        </w:tc>
      </w:tr>
      <w:tr w:rsidR="00EE4502">
        <w:trPr>
          <w:trHeight w:val="340"/>
          <w:jc w:val="center"/>
        </w:trPr>
        <w:tc>
          <w:tcPr>
            <w:tcW w:w="281" w:type="pct"/>
            <w:vMerge/>
            <w:vAlign w:val="center"/>
          </w:tcPr>
          <w:p w:rsidR="00EE4502" w:rsidRDefault="00EE4502">
            <w:pPr>
              <w:adjustRightInd w:val="0"/>
              <w:snapToGrid w:val="0"/>
              <w:jc w:val="center"/>
              <w:rPr>
                <w:sz w:val="18"/>
                <w:szCs w:val="18"/>
              </w:rPr>
            </w:pPr>
          </w:p>
        </w:tc>
        <w:tc>
          <w:tcPr>
            <w:tcW w:w="958" w:type="pct"/>
            <w:vAlign w:val="center"/>
          </w:tcPr>
          <w:p w:rsidR="00EE4502" w:rsidRDefault="00FD45A3">
            <w:pPr>
              <w:adjustRightInd w:val="0"/>
              <w:snapToGrid w:val="0"/>
              <w:jc w:val="center"/>
              <w:rPr>
                <w:sz w:val="18"/>
                <w:szCs w:val="18"/>
              </w:rPr>
            </w:pPr>
            <w:r>
              <w:rPr>
                <w:rFonts w:hAnsi="宋体"/>
                <w:sz w:val="18"/>
                <w:szCs w:val="18"/>
              </w:rPr>
              <w:t>春风油田排</w:t>
            </w:r>
            <w:r>
              <w:rPr>
                <w:sz w:val="18"/>
                <w:szCs w:val="18"/>
              </w:rPr>
              <w:t>604-1</w:t>
            </w:r>
            <w:r>
              <w:rPr>
                <w:rFonts w:hAnsi="宋体"/>
                <w:sz w:val="18"/>
                <w:szCs w:val="18"/>
              </w:rPr>
              <w:t>块产能建设工程</w:t>
            </w:r>
          </w:p>
        </w:tc>
        <w:tc>
          <w:tcPr>
            <w:tcW w:w="783" w:type="pct"/>
            <w:vAlign w:val="center"/>
          </w:tcPr>
          <w:p w:rsidR="00EE4502" w:rsidRDefault="00FD45A3">
            <w:pPr>
              <w:adjustRightInd w:val="0"/>
              <w:snapToGrid w:val="0"/>
              <w:jc w:val="center"/>
              <w:rPr>
                <w:sz w:val="18"/>
                <w:szCs w:val="18"/>
              </w:rPr>
            </w:pPr>
            <w:r>
              <w:rPr>
                <w:rFonts w:hAnsi="宋体"/>
                <w:sz w:val="18"/>
                <w:szCs w:val="18"/>
              </w:rPr>
              <w:t>兵环审</w:t>
            </w:r>
            <w:r>
              <w:rPr>
                <w:rFonts w:hint="eastAsia"/>
                <w:sz w:val="18"/>
                <w:szCs w:val="18"/>
              </w:rPr>
              <w:t>〔</w:t>
            </w:r>
            <w:r>
              <w:rPr>
                <w:sz w:val="18"/>
                <w:szCs w:val="18"/>
              </w:rPr>
              <w:t>2020</w:t>
            </w:r>
            <w:r>
              <w:rPr>
                <w:rFonts w:hint="eastAsia"/>
                <w:sz w:val="18"/>
                <w:szCs w:val="18"/>
              </w:rPr>
              <w:t>〕</w:t>
            </w:r>
            <w:r>
              <w:rPr>
                <w:sz w:val="18"/>
                <w:szCs w:val="18"/>
              </w:rPr>
              <w:t>5</w:t>
            </w:r>
            <w:r>
              <w:rPr>
                <w:rFonts w:hAnsi="宋体"/>
                <w:sz w:val="18"/>
                <w:szCs w:val="18"/>
              </w:rPr>
              <w:t>号</w:t>
            </w:r>
          </w:p>
        </w:tc>
        <w:tc>
          <w:tcPr>
            <w:tcW w:w="535" w:type="pct"/>
            <w:vAlign w:val="center"/>
          </w:tcPr>
          <w:p w:rsidR="00EE4502" w:rsidRDefault="00FD45A3">
            <w:pPr>
              <w:adjustRightInd w:val="0"/>
              <w:snapToGrid w:val="0"/>
              <w:jc w:val="center"/>
              <w:rPr>
                <w:sz w:val="18"/>
                <w:szCs w:val="18"/>
              </w:rPr>
            </w:pPr>
            <w:r>
              <w:rPr>
                <w:rFonts w:hAnsi="宋体"/>
                <w:sz w:val="18"/>
                <w:szCs w:val="18"/>
              </w:rPr>
              <w:t>兵团生态环境局</w:t>
            </w:r>
          </w:p>
        </w:tc>
        <w:tc>
          <w:tcPr>
            <w:tcW w:w="640" w:type="pct"/>
            <w:vAlign w:val="center"/>
          </w:tcPr>
          <w:p w:rsidR="00EE4502" w:rsidRDefault="00FD45A3">
            <w:pPr>
              <w:adjustRightInd w:val="0"/>
              <w:snapToGrid w:val="0"/>
              <w:jc w:val="center"/>
              <w:rPr>
                <w:sz w:val="18"/>
                <w:szCs w:val="18"/>
              </w:rPr>
            </w:pPr>
            <w:r>
              <w:rPr>
                <w:sz w:val="18"/>
                <w:szCs w:val="18"/>
              </w:rPr>
              <w:t>2020.4.22</w:t>
            </w:r>
          </w:p>
        </w:tc>
        <w:tc>
          <w:tcPr>
            <w:tcW w:w="1802" w:type="pct"/>
            <w:gridSpan w:val="3"/>
            <w:vAlign w:val="center"/>
          </w:tcPr>
          <w:p w:rsidR="00EE4502" w:rsidRDefault="00FD45A3">
            <w:pPr>
              <w:adjustRightInd w:val="0"/>
              <w:snapToGrid w:val="0"/>
              <w:jc w:val="center"/>
              <w:rPr>
                <w:sz w:val="18"/>
                <w:szCs w:val="18"/>
              </w:rPr>
            </w:pPr>
            <w:r>
              <w:rPr>
                <w:rFonts w:hAnsi="宋体"/>
                <w:sz w:val="18"/>
                <w:szCs w:val="18"/>
              </w:rPr>
              <w:t>自主验收</w:t>
            </w:r>
          </w:p>
        </w:tc>
      </w:tr>
      <w:tr w:rsidR="00EE4502">
        <w:trPr>
          <w:trHeight w:val="340"/>
          <w:jc w:val="center"/>
        </w:trPr>
        <w:tc>
          <w:tcPr>
            <w:tcW w:w="281" w:type="pct"/>
            <w:vMerge/>
            <w:vAlign w:val="center"/>
          </w:tcPr>
          <w:p w:rsidR="00EE4502" w:rsidRDefault="00EE4502">
            <w:pPr>
              <w:adjustRightInd w:val="0"/>
              <w:snapToGrid w:val="0"/>
              <w:jc w:val="center"/>
              <w:rPr>
                <w:sz w:val="18"/>
                <w:szCs w:val="18"/>
              </w:rPr>
            </w:pPr>
          </w:p>
        </w:tc>
        <w:tc>
          <w:tcPr>
            <w:tcW w:w="958" w:type="pct"/>
            <w:vAlign w:val="center"/>
          </w:tcPr>
          <w:p w:rsidR="00EE4502" w:rsidRDefault="00FD45A3">
            <w:pPr>
              <w:adjustRightInd w:val="0"/>
              <w:snapToGrid w:val="0"/>
              <w:jc w:val="center"/>
              <w:rPr>
                <w:sz w:val="18"/>
                <w:szCs w:val="18"/>
              </w:rPr>
            </w:pPr>
            <w:r>
              <w:rPr>
                <w:rFonts w:hAnsi="宋体"/>
                <w:sz w:val="18"/>
                <w:szCs w:val="18"/>
              </w:rPr>
              <w:t>春风油田排</w:t>
            </w:r>
            <w:r>
              <w:rPr>
                <w:sz w:val="18"/>
                <w:szCs w:val="18"/>
              </w:rPr>
              <w:t>601</w:t>
            </w:r>
            <w:r>
              <w:rPr>
                <w:rFonts w:hAnsi="宋体"/>
                <w:sz w:val="18"/>
                <w:szCs w:val="18"/>
              </w:rPr>
              <w:t>中区固定注汽站建设项目</w:t>
            </w:r>
          </w:p>
        </w:tc>
        <w:tc>
          <w:tcPr>
            <w:tcW w:w="783" w:type="pct"/>
            <w:vAlign w:val="center"/>
          </w:tcPr>
          <w:p w:rsidR="00EE4502" w:rsidRDefault="00FD45A3">
            <w:pPr>
              <w:adjustRightInd w:val="0"/>
              <w:snapToGrid w:val="0"/>
              <w:jc w:val="center"/>
              <w:rPr>
                <w:sz w:val="18"/>
                <w:szCs w:val="18"/>
              </w:rPr>
            </w:pPr>
            <w:r>
              <w:rPr>
                <w:rFonts w:hAnsi="宋体"/>
                <w:sz w:val="18"/>
                <w:szCs w:val="18"/>
              </w:rPr>
              <w:t>兵环审</w:t>
            </w:r>
            <w:r>
              <w:rPr>
                <w:rFonts w:hint="eastAsia"/>
                <w:sz w:val="18"/>
                <w:szCs w:val="18"/>
              </w:rPr>
              <w:t>〔</w:t>
            </w:r>
            <w:r>
              <w:rPr>
                <w:sz w:val="18"/>
                <w:szCs w:val="18"/>
              </w:rPr>
              <w:t>2012</w:t>
            </w:r>
            <w:r>
              <w:rPr>
                <w:rFonts w:hint="eastAsia"/>
                <w:sz w:val="18"/>
                <w:szCs w:val="18"/>
              </w:rPr>
              <w:t>〕</w:t>
            </w:r>
            <w:r>
              <w:rPr>
                <w:sz w:val="18"/>
                <w:szCs w:val="18"/>
              </w:rPr>
              <w:t>328</w:t>
            </w:r>
            <w:r>
              <w:rPr>
                <w:rFonts w:hAnsi="宋体"/>
                <w:sz w:val="18"/>
                <w:szCs w:val="18"/>
              </w:rPr>
              <w:t>号</w:t>
            </w:r>
          </w:p>
        </w:tc>
        <w:tc>
          <w:tcPr>
            <w:tcW w:w="535" w:type="pct"/>
            <w:vAlign w:val="center"/>
          </w:tcPr>
          <w:p w:rsidR="00EE4502" w:rsidRDefault="00FD45A3">
            <w:pPr>
              <w:adjustRightInd w:val="0"/>
              <w:snapToGrid w:val="0"/>
              <w:jc w:val="center"/>
              <w:rPr>
                <w:sz w:val="18"/>
                <w:szCs w:val="18"/>
              </w:rPr>
            </w:pPr>
            <w:r>
              <w:rPr>
                <w:rFonts w:hAnsi="宋体"/>
                <w:sz w:val="18"/>
                <w:szCs w:val="18"/>
              </w:rPr>
              <w:t>原兵团环保局</w:t>
            </w:r>
          </w:p>
        </w:tc>
        <w:tc>
          <w:tcPr>
            <w:tcW w:w="640" w:type="pct"/>
            <w:vAlign w:val="center"/>
          </w:tcPr>
          <w:p w:rsidR="00EE4502" w:rsidRDefault="00FD45A3">
            <w:pPr>
              <w:adjustRightInd w:val="0"/>
              <w:snapToGrid w:val="0"/>
              <w:jc w:val="center"/>
              <w:rPr>
                <w:sz w:val="18"/>
                <w:szCs w:val="18"/>
              </w:rPr>
            </w:pPr>
            <w:r>
              <w:rPr>
                <w:sz w:val="18"/>
                <w:szCs w:val="18"/>
              </w:rPr>
              <w:t>2012.9.25</w:t>
            </w:r>
          </w:p>
        </w:tc>
        <w:tc>
          <w:tcPr>
            <w:tcW w:w="644" w:type="pct"/>
            <w:vAlign w:val="center"/>
          </w:tcPr>
          <w:p w:rsidR="00EE4502" w:rsidRDefault="00FD45A3">
            <w:pPr>
              <w:adjustRightInd w:val="0"/>
              <w:snapToGrid w:val="0"/>
              <w:jc w:val="center"/>
              <w:rPr>
                <w:sz w:val="18"/>
                <w:szCs w:val="18"/>
              </w:rPr>
            </w:pPr>
            <w:r>
              <w:rPr>
                <w:rFonts w:hAnsi="宋体"/>
                <w:sz w:val="18"/>
                <w:szCs w:val="18"/>
              </w:rPr>
              <w:t>兵环验</w:t>
            </w:r>
            <w:r>
              <w:rPr>
                <w:rFonts w:hint="eastAsia"/>
                <w:sz w:val="18"/>
                <w:szCs w:val="18"/>
              </w:rPr>
              <w:t>〔</w:t>
            </w:r>
            <w:r>
              <w:rPr>
                <w:sz w:val="18"/>
                <w:szCs w:val="18"/>
              </w:rPr>
              <w:t>2015</w:t>
            </w:r>
            <w:r>
              <w:rPr>
                <w:rFonts w:hint="eastAsia"/>
                <w:sz w:val="18"/>
                <w:szCs w:val="18"/>
              </w:rPr>
              <w:t>〕</w:t>
            </w:r>
            <w:r>
              <w:rPr>
                <w:sz w:val="18"/>
                <w:szCs w:val="18"/>
              </w:rPr>
              <w:t>271</w:t>
            </w:r>
            <w:r>
              <w:rPr>
                <w:rFonts w:hAnsi="宋体"/>
                <w:sz w:val="18"/>
                <w:szCs w:val="18"/>
              </w:rPr>
              <w:t>号</w:t>
            </w:r>
          </w:p>
        </w:tc>
        <w:tc>
          <w:tcPr>
            <w:tcW w:w="694" w:type="pct"/>
            <w:vAlign w:val="center"/>
          </w:tcPr>
          <w:p w:rsidR="00EE4502" w:rsidRDefault="00FD45A3">
            <w:pPr>
              <w:adjustRightInd w:val="0"/>
              <w:snapToGrid w:val="0"/>
              <w:jc w:val="center"/>
              <w:rPr>
                <w:sz w:val="18"/>
                <w:szCs w:val="18"/>
              </w:rPr>
            </w:pPr>
            <w:r>
              <w:rPr>
                <w:sz w:val="18"/>
                <w:szCs w:val="18"/>
              </w:rPr>
              <w:t>2015.12.23</w:t>
            </w:r>
          </w:p>
        </w:tc>
        <w:tc>
          <w:tcPr>
            <w:tcW w:w="464" w:type="pct"/>
            <w:vAlign w:val="center"/>
          </w:tcPr>
          <w:p w:rsidR="00EE4502" w:rsidRDefault="00FD45A3">
            <w:pPr>
              <w:adjustRightInd w:val="0"/>
              <w:snapToGrid w:val="0"/>
              <w:jc w:val="center"/>
              <w:rPr>
                <w:sz w:val="18"/>
                <w:szCs w:val="18"/>
              </w:rPr>
            </w:pPr>
            <w:r>
              <w:rPr>
                <w:rFonts w:hAnsi="宋体"/>
                <w:sz w:val="18"/>
                <w:szCs w:val="18"/>
              </w:rPr>
              <w:t>原兵团环保局</w:t>
            </w:r>
          </w:p>
        </w:tc>
      </w:tr>
      <w:tr w:rsidR="00EE4502">
        <w:trPr>
          <w:trHeight w:val="340"/>
          <w:jc w:val="center"/>
        </w:trPr>
        <w:tc>
          <w:tcPr>
            <w:tcW w:w="281" w:type="pct"/>
            <w:vMerge/>
            <w:vAlign w:val="center"/>
          </w:tcPr>
          <w:p w:rsidR="00EE4502" w:rsidRDefault="00EE4502">
            <w:pPr>
              <w:adjustRightInd w:val="0"/>
              <w:snapToGrid w:val="0"/>
              <w:jc w:val="center"/>
              <w:rPr>
                <w:sz w:val="18"/>
                <w:szCs w:val="18"/>
              </w:rPr>
            </w:pPr>
          </w:p>
        </w:tc>
        <w:tc>
          <w:tcPr>
            <w:tcW w:w="958" w:type="pct"/>
            <w:vAlign w:val="center"/>
          </w:tcPr>
          <w:p w:rsidR="00EE4502" w:rsidRDefault="00FD45A3">
            <w:pPr>
              <w:adjustRightInd w:val="0"/>
              <w:snapToGrid w:val="0"/>
              <w:jc w:val="center"/>
              <w:rPr>
                <w:sz w:val="18"/>
                <w:szCs w:val="18"/>
              </w:rPr>
            </w:pPr>
            <w:r>
              <w:rPr>
                <w:rFonts w:hAnsi="宋体"/>
                <w:sz w:val="18"/>
                <w:szCs w:val="18"/>
              </w:rPr>
              <w:t>春风油田</w:t>
            </w:r>
            <w:r>
              <w:rPr>
                <w:sz w:val="18"/>
                <w:szCs w:val="18"/>
              </w:rPr>
              <w:t>2</w:t>
            </w:r>
            <w:r>
              <w:rPr>
                <w:rFonts w:hAnsi="宋体"/>
                <w:sz w:val="18"/>
                <w:szCs w:val="18"/>
              </w:rPr>
              <w:t>号注汽站烟气治理工程</w:t>
            </w:r>
          </w:p>
        </w:tc>
        <w:tc>
          <w:tcPr>
            <w:tcW w:w="783" w:type="pct"/>
            <w:vAlign w:val="center"/>
          </w:tcPr>
          <w:p w:rsidR="00EE4502" w:rsidRDefault="00FD45A3">
            <w:pPr>
              <w:adjustRightInd w:val="0"/>
              <w:snapToGrid w:val="0"/>
              <w:jc w:val="center"/>
              <w:rPr>
                <w:sz w:val="18"/>
                <w:szCs w:val="18"/>
              </w:rPr>
            </w:pPr>
            <w:r>
              <w:rPr>
                <w:rFonts w:hAnsi="宋体"/>
                <w:sz w:val="18"/>
                <w:szCs w:val="18"/>
              </w:rPr>
              <w:t>师环审</w:t>
            </w:r>
            <w:r>
              <w:rPr>
                <w:rFonts w:hint="eastAsia"/>
                <w:sz w:val="18"/>
                <w:szCs w:val="18"/>
              </w:rPr>
              <w:t>〔</w:t>
            </w:r>
            <w:r>
              <w:rPr>
                <w:sz w:val="18"/>
                <w:szCs w:val="18"/>
              </w:rPr>
              <w:t>2019</w:t>
            </w:r>
            <w:r>
              <w:rPr>
                <w:rFonts w:hint="eastAsia"/>
                <w:sz w:val="18"/>
                <w:szCs w:val="18"/>
              </w:rPr>
              <w:t>〕</w:t>
            </w:r>
            <w:r>
              <w:rPr>
                <w:sz w:val="18"/>
                <w:szCs w:val="18"/>
              </w:rPr>
              <w:t>5</w:t>
            </w:r>
            <w:r>
              <w:rPr>
                <w:rFonts w:hAnsi="宋体"/>
                <w:sz w:val="18"/>
                <w:szCs w:val="18"/>
              </w:rPr>
              <w:t>号</w:t>
            </w:r>
          </w:p>
        </w:tc>
        <w:tc>
          <w:tcPr>
            <w:tcW w:w="535" w:type="pct"/>
            <w:vAlign w:val="center"/>
          </w:tcPr>
          <w:p w:rsidR="00EE4502" w:rsidRDefault="00FD45A3">
            <w:pPr>
              <w:adjustRightInd w:val="0"/>
              <w:snapToGrid w:val="0"/>
              <w:jc w:val="center"/>
              <w:rPr>
                <w:sz w:val="18"/>
                <w:szCs w:val="18"/>
              </w:rPr>
            </w:pPr>
            <w:r>
              <w:rPr>
                <w:rFonts w:hAnsi="宋体"/>
                <w:sz w:val="18"/>
                <w:szCs w:val="18"/>
              </w:rPr>
              <w:t>原第七师环保局</w:t>
            </w:r>
          </w:p>
        </w:tc>
        <w:tc>
          <w:tcPr>
            <w:tcW w:w="640" w:type="pct"/>
            <w:vAlign w:val="center"/>
          </w:tcPr>
          <w:p w:rsidR="00EE4502" w:rsidRDefault="00FD45A3">
            <w:pPr>
              <w:adjustRightInd w:val="0"/>
              <w:snapToGrid w:val="0"/>
              <w:jc w:val="center"/>
              <w:rPr>
                <w:sz w:val="18"/>
                <w:szCs w:val="18"/>
              </w:rPr>
            </w:pPr>
            <w:r>
              <w:rPr>
                <w:sz w:val="18"/>
                <w:szCs w:val="18"/>
              </w:rPr>
              <w:t>2019.1.7</w:t>
            </w:r>
          </w:p>
        </w:tc>
        <w:tc>
          <w:tcPr>
            <w:tcW w:w="644" w:type="pct"/>
            <w:vAlign w:val="center"/>
          </w:tcPr>
          <w:p w:rsidR="00EE4502" w:rsidRDefault="00FD45A3">
            <w:pPr>
              <w:adjustRightInd w:val="0"/>
              <w:snapToGrid w:val="0"/>
              <w:jc w:val="center"/>
              <w:rPr>
                <w:sz w:val="18"/>
                <w:szCs w:val="18"/>
              </w:rPr>
            </w:pPr>
            <w:r>
              <w:rPr>
                <w:rFonts w:hAnsi="宋体"/>
                <w:sz w:val="18"/>
                <w:szCs w:val="18"/>
              </w:rPr>
              <w:t>自主验收</w:t>
            </w:r>
          </w:p>
        </w:tc>
        <w:tc>
          <w:tcPr>
            <w:tcW w:w="694" w:type="pct"/>
            <w:vAlign w:val="center"/>
          </w:tcPr>
          <w:p w:rsidR="00EE4502" w:rsidRDefault="00FD45A3">
            <w:pPr>
              <w:adjustRightInd w:val="0"/>
              <w:snapToGrid w:val="0"/>
              <w:jc w:val="center"/>
              <w:rPr>
                <w:sz w:val="18"/>
                <w:szCs w:val="18"/>
              </w:rPr>
            </w:pPr>
            <w:r>
              <w:rPr>
                <w:sz w:val="18"/>
                <w:szCs w:val="18"/>
              </w:rPr>
              <w:t>2021.7.25</w:t>
            </w:r>
          </w:p>
        </w:tc>
        <w:tc>
          <w:tcPr>
            <w:tcW w:w="464" w:type="pct"/>
            <w:vAlign w:val="center"/>
          </w:tcPr>
          <w:p w:rsidR="00EE4502" w:rsidRDefault="00FD45A3">
            <w:pPr>
              <w:adjustRightInd w:val="0"/>
              <w:snapToGrid w:val="0"/>
              <w:jc w:val="center"/>
              <w:rPr>
                <w:sz w:val="18"/>
                <w:szCs w:val="18"/>
              </w:rPr>
            </w:pPr>
            <w:r>
              <w:rPr>
                <w:sz w:val="18"/>
                <w:szCs w:val="18"/>
              </w:rPr>
              <w:t>/</w:t>
            </w:r>
          </w:p>
        </w:tc>
      </w:tr>
      <w:tr w:rsidR="00EE4502">
        <w:trPr>
          <w:trHeight w:val="340"/>
          <w:jc w:val="center"/>
        </w:trPr>
        <w:tc>
          <w:tcPr>
            <w:tcW w:w="281" w:type="pct"/>
            <w:vMerge/>
            <w:vAlign w:val="center"/>
          </w:tcPr>
          <w:p w:rsidR="00EE4502" w:rsidRDefault="00EE4502">
            <w:pPr>
              <w:adjustRightInd w:val="0"/>
              <w:snapToGrid w:val="0"/>
              <w:jc w:val="center"/>
              <w:rPr>
                <w:sz w:val="18"/>
                <w:szCs w:val="18"/>
              </w:rPr>
            </w:pPr>
          </w:p>
        </w:tc>
        <w:tc>
          <w:tcPr>
            <w:tcW w:w="958" w:type="pct"/>
            <w:vAlign w:val="center"/>
          </w:tcPr>
          <w:p w:rsidR="00EE4502" w:rsidRDefault="00FD45A3">
            <w:pPr>
              <w:adjustRightInd w:val="0"/>
              <w:snapToGrid w:val="0"/>
              <w:jc w:val="center"/>
              <w:rPr>
                <w:sz w:val="18"/>
                <w:szCs w:val="18"/>
              </w:rPr>
            </w:pPr>
            <w:r>
              <w:rPr>
                <w:rFonts w:hAnsi="宋体"/>
                <w:sz w:val="18"/>
                <w:szCs w:val="18"/>
              </w:rPr>
              <w:t>春风油田</w:t>
            </w:r>
            <w:r>
              <w:rPr>
                <w:sz w:val="18"/>
                <w:szCs w:val="18"/>
              </w:rPr>
              <w:t>3</w:t>
            </w:r>
            <w:r>
              <w:rPr>
                <w:rFonts w:hAnsi="宋体"/>
                <w:sz w:val="18"/>
                <w:szCs w:val="18"/>
              </w:rPr>
              <w:t>号注汽站烟气治理工程</w:t>
            </w:r>
          </w:p>
        </w:tc>
        <w:tc>
          <w:tcPr>
            <w:tcW w:w="783" w:type="pct"/>
            <w:vAlign w:val="center"/>
          </w:tcPr>
          <w:p w:rsidR="00EE4502" w:rsidRDefault="00FD45A3">
            <w:pPr>
              <w:adjustRightInd w:val="0"/>
              <w:snapToGrid w:val="0"/>
              <w:jc w:val="center"/>
              <w:rPr>
                <w:sz w:val="18"/>
                <w:szCs w:val="18"/>
              </w:rPr>
            </w:pPr>
            <w:r>
              <w:rPr>
                <w:rFonts w:hAnsi="宋体"/>
                <w:sz w:val="18"/>
                <w:szCs w:val="18"/>
              </w:rPr>
              <w:t>师环审</w:t>
            </w:r>
            <w:r>
              <w:rPr>
                <w:rFonts w:hint="eastAsia"/>
                <w:sz w:val="18"/>
                <w:szCs w:val="18"/>
              </w:rPr>
              <w:t>〔</w:t>
            </w:r>
            <w:r>
              <w:rPr>
                <w:sz w:val="18"/>
                <w:szCs w:val="18"/>
              </w:rPr>
              <w:t>2019</w:t>
            </w:r>
            <w:r>
              <w:rPr>
                <w:rFonts w:hint="eastAsia"/>
                <w:sz w:val="18"/>
                <w:szCs w:val="18"/>
              </w:rPr>
              <w:t>〕</w:t>
            </w:r>
            <w:r>
              <w:rPr>
                <w:sz w:val="18"/>
                <w:szCs w:val="18"/>
              </w:rPr>
              <w:t>118</w:t>
            </w:r>
            <w:r>
              <w:rPr>
                <w:rFonts w:hAnsi="宋体"/>
                <w:sz w:val="18"/>
                <w:szCs w:val="18"/>
              </w:rPr>
              <w:t>号</w:t>
            </w:r>
          </w:p>
        </w:tc>
        <w:tc>
          <w:tcPr>
            <w:tcW w:w="535" w:type="pct"/>
            <w:vAlign w:val="center"/>
          </w:tcPr>
          <w:p w:rsidR="00EE4502" w:rsidRDefault="00FD45A3">
            <w:pPr>
              <w:adjustRightInd w:val="0"/>
              <w:snapToGrid w:val="0"/>
              <w:jc w:val="center"/>
              <w:rPr>
                <w:sz w:val="18"/>
                <w:szCs w:val="18"/>
              </w:rPr>
            </w:pPr>
            <w:r>
              <w:rPr>
                <w:rFonts w:hAnsi="宋体" w:hint="eastAsia"/>
                <w:sz w:val="18"/>
                <w:szCs w:val="18"/>
              </w:rPr>
              <w:t>原</w:t>
            </w:r>
            <w:r>
              <w:rPr>
                <w:rFonts w:hAnsi="宋体"/>
                <w:sz w:val="18"/>
                <w:szCs w:val="18"/>
              </w:rPr>
              <w:t>第七师生态环境局</w:t>
            </w:r>
          </w:p>
        </w:tc>
        <w:tc>
          <w:tcPr>
            <w:tcW w:w="640" w:type="pct"/>
            <w:vAlign w:val="center"/>
          </w:tcPr>
          <w:p w:rsidR="00EE4502" w:rsidRDefault="00FD45A3">
            <w:pPr>
              <w:adjustRightInd w:val="0"/>
              <w:snapToGrid w:val="0"/>
              <w:jc w:val="center"/>
              <w:rPr>
                <w:sz w:val="18"/>
                <w:szCs w:val="18"/>
              </w:rPr>
            </w:pPr>
            <w:r>
              <w:rPr>
                <w:sz w:val="18"/>
                <w:szCs w:val="18"/>
              </w:rPr>
              <w:t>2019.9.25</w:t>
            </w:r>
          </w:p>
        </w:tc>
        <w:tc>
          <w:tcPr>
            <w:tcW w:w="644" w:type="pct"/>
            <w:vAlign w:val="center"/>
          </w:tcPr>
          <w:p w:rsidR="00EE4502" w:rsidRDefault="00FD45A3">
            <w:pPr>
              <w:adjustRightInd w:val="0"/>
              <w:snapToGrid w:val="0"/>
              <w:jc w:val="center"/>
              <w:rPr>
                <w:sz w:val="18"/>
                <w:szCs w:val="18"/>
              </w:rPr>
            </w:pPr>
            <w:r>
              <w:rPr>
                <w:rFonts w:hAnsi="宋体"/>
                <w:sz w:val="18"/>
                <w:szCs w:val="18"/>
              </w:rPr>
              <w:t>自主验收</w:t>
            </w:r>
          </w:p>
        </w:tc>
        <w:tc>
          <w:tcPr>
            <w:tcW w:w="694" w:type="pct"/>
            <w:vAlign w:val="center"/>
          </w:tcPr>
          <w:p w:rsidR="00EE4502" w:rsidRDefault="00FD45A3">
            <w:pPr>
              <w:adjustRightInd w:val="0"/>
              <w:snapToGrid w:val="0"/>
              <w:jc w:val="center"/>
              <w:rPr>
                <w:sz w:val="18"/>
                <w:szCs w:val="18"/>
              </w:rPr>
            </w:pPr>
            <w:r>
              <w:rPr>
                <w:sz w:val="18"/>
                <w:szCs w:val="18"/>
              </w:rPr>
              <w:t>2021.7.25</w:t>
            </w:r>
          </w:p>
        </w:tc>
        <w:tc>
          <w:tcPr>
            <w:tcW w:w="464" w:type="pct"/>
            <w:vAlign w:val="center"/>
          </w:tcPr>
          <w:p w:rsidR="00EE4502" w:rsidRDefault="00FD45A3">
            <w:pPr>
              <w:adjustRightInd w:val="0"/>
              <w:snapToGrid w:val="0"/>
              <w:jc w:val="center"/>
              <w:rPr>
                <w:sz w:val="18"/>
                <w:szCs w:val="18"/>
              </w:rPr>
            </w:pPr>
            <w:r>
              <w:rPr>
                <w:sz w:val="18"/>
                <w:szCs w:val="18"/>
              </w:rPr>
              <w:t>/</w:t>
            </w:r>
          </w:p>
        </w:tc>
      </w:tr>
      <w:tr w:rsidR="00EE4502">
        <w:trPr>
          <w:trHeight w:val="340"/>
          <w:jc w:val="center"/>
        </w:trPr>
        <w:tc>
          <w:tcPr>
            <w:tcW w:w="281" w:type="pct"/>
            <w:vMerge/>
            <w:vAlign w:val="center"/>
          </w:tcPr>
          <w:p w:rsidR="00EE4502" w:rsidRDefault="00EE4502">
            <w:pPr>
              <w:adjustRightInd w:val="0"/>
              <w:snapToGrid w:val="0"/>
              <w:jc w:val="center"/>
              <w:rPr>
                <w:sz w:val="18"/>
                <w:szCs w:val="18"/>
              </w:rPr>
            </w:pPr>
          </w:p>
        </w:tc>
        <w:tc>
          <w:tcPr>
            <w:tcW w:w="958" w:type="pct"/>
            <w:vAlign w:val="center"/>
          </w:tcPr>
          <w:p w:rsidR="00EE4502" w:rsidRDefault="00FD45A3">
            <w:pPr>
              <w:adjustRightInd w:val="0"/>
              <w:snapToGrid w:val="0"/>
              <w:jc w:val="center"/>
              <w:rPr>
                <w:sz w:val="18"/>
                <w:szCs w:val="18"/>
              </w:rPr>
            </w:pPr>
            <w:r>
              <w:rPr>
                <w:rFonts w:hAnsi="宋体"/>
                <w:sz w:val="18"/>
                <w:szCs w:val="18"/>
              </w:rPr>
              <w:t>春风油田</w:t>
            </w:r>
            <w:r>
              <w:rPr>
                <w:sz w:val="18"/>
                <w:szCs w:val="18"/>
              </w:rPr>
              <w:t>4</w:t>
            </w:r>
            <w:r>
              <w:rPr>
                <w:rFonts w:hAnsi="宋体"/>
                <w:sz w:val="18"/>
                <w:szCs w:val="18"/>
              </w:rPr>
              <w:t>号注汽站烟气治理工程</w:t>
            </w:r>
          </w:p>
        </w:tc>
        <w:tc>
          <w:tcPr>
            <w:tcW w:w="783" w:type="pct"/>
            <w:vAlign w:val="center"/>
          </w:tcPr>
          <w:p w:rsidR="00EE4502" w:rsidRDefault="00FD45A3">
            <w:pPr>
              <w:adjustRightInd w:val="0"/>
              <w:snapToGrid w:val="0"/>
              <w:jc w:val="center"/>
              <w:rPr>
                <w:sz w:val="18"/>
                <w:szCs w:val="18"/>
              </w:rPr>
            </w:pPr>
            <w:r>
              <w:rPr>
                <w:rFonts w:hAnsi="宋体"/>
                <w:sz w:val="18"/>
                <w:szCs w:val="18"/>
              </w:rPr>
              <w:t>师环审</w:t>
            </w:r>
            <w:r>
              <w:rPr>
                <w:rFonts w:hint="eastAsia"/>
                <w:sz w:val="18"/>
                <w:szCs w:val="18"/>
              </w:rPr>
              <w:t>〔</w:t>
            </w:r>
            <w:r>
              <w:rPr>
                <w:sz w:val="18"/>
                <w:szCs w:val="18"/>
              </w:rPr>
              <w:t>2019</w:t>
            </w:r>
            <w:r>
              <w:rPr>
                <w:rFonts w:hint="eastAsia"/>
                <w:sz w:val="18"/>
                <w:szCs w:val="18"/>
              </w:rPr>
              <w:t>〕</w:t>
            </w:r>
            <w:r>
              <w:rPr>
                <w:sz w:val="18"/>
                <w:szCs w:val="18"/>
              </w:rPr>
              <w:t>120</w:t>
            </w:r>
            <w:r>
              <w:rPr>
                <w:rFonts w:hAnsi="宋体"/>
                <w:sz w:val="18"/>
                <w:szCs w:val="18"/>
              </w:rPr>
              <w:t>号</w:t>
            </w:r>
          </w:p>
        </w:tc>
        <w:tc>
          <w:tcPr>
            <w:tcW w:w="535" w:type="pct"/>
            <w:vAlign w:val="center"/>
          </w:tcPr>
          <w:p w:rsidR="00EE4502" w:rsidRDefault="00FD45A3">
            <w:pPr>
              <w:adjustRightInd w:val="0"/>
              <w:snapToGrid w:val="0"/>
              <w:jc w:val="center"/>
              <w:rPr>
                <w:sz w:val="18"/>
                <w:szCs w:val="18"/>
              </w:rPr>
            </w:pPr>
            <w:r>
              <w:rPr>
                <w:rFonts w:hAnsi="宋体" w:hint="eastAsia"/>
                <w:sz w:val="18"/>
                <w:szCs w:val="18"/>
              </w:rPr>
              <w:t>原</w:t>
            </w:r>
            <w:r>
              <w:rPr>
                <w:rFonts w:hAnsi="宋体"/>
                <w:sz w:val="18"/>
                <w:szCs w:val="18"/>
              </w:rPr>
              <w:t>第七师生态环境局</w:t>
            </w:r>
          </w:p>
        </w:tc>
        <w:tc>
          <w:tcPr>
            <w:tcW w:w="640" w:type="pct"/>
            <w:vAlign w:val="center"/>
          </w:tcPr>
          <w:p w:rsidR="00EE4502" w:rsidRDefault="00FD45A3">
            <w:pPr>
              <w:adjustRightInd w:val="0"/>
              <w:snapToGrid w:val="0"/>
              <w:jc w:val="center"/>
              <w:rPr>
                <w:sz w:val="18"/>
                <w:szCs w:val="18"/>
              </w:rPr>
            </w:pPr>
            <w:r>
              <w:rPr>
                <w:sz w:val="18"/>
                <w:szCs w:val="18"/>
              </w:rPr>
              <w:t>2019.9.25</w:t>
            </w:r>
          </w:p>
        </w:tc>
        <w:tc>
          <w:tcPr>
            <w:tcW w:w="644" w:type="pct"/>
            <w:vAlign w:val="center"/>
          </w:tcPr>
          <w:p w:rsidR="00EE4502" w:rsidRDefault="00FD45A3">
            <w:pPr>
              <w:adjustRightInd w:val="0"/>
              <w:snapToGrid w:val="0"/>
              <w:jc w:val="center"/>
              <w:rPr>
                <w:sz w:val="18"/>
                <w:szCs w:val="18"/>
              </w:rPr>
            </w:pPr>
            <w:r>
              <w:rPr>
                <w:rFonts w:hAnsi="宋体"/>
                <w:sz w:val="18"/>
                <w:szCs w:val="18"/>
              </w:rPr>
              <w:t>自主验收</w:t>
            </w:r>
          </w:p>
        </w:tc>
        <w:tc>
          <w:tcPr>
            <w:tcW w:w="694" w:type="pct"/>
            <w:vAlign w:val="center"/>
          </w:tcPr>
          <w:p w:rsidR="00EE4502" w:rsidRDefault="00FD45A3">
            <w:pPr>
              <w:adjustRightInd w:val="0"/>
              <w:snapToGrid w:val="0"/>
              <w:jc w:val="center"/>
              <w:rPr>
                <w:sz w:val="18"/>
                <w:szCs w:val="18"/>
              </w:rPr>
            </w:pPr>
            <w:r>
              <w:rPr>
                <w:sz w:val="18"/>
                <w:szCs w:val="18"/>
              </w:rPr>
              <w:t>2021.7.25</w:t>
            </w:r>
          </w:p>
        </w:tc>
        <w:tc>
          <w:tcPr>
            <w:tcW w:w="464" w:type="pct"/>
            <w:vAlign w:val="center"/>
          </w:tcPr>
          <w:p w:rsidR="00EE4502" w:rsidRDefault="00FD45A3">
            <w:pPr>
              <w:adjustRightInd w:val="0"/>
              <w:snapToGrid w:val="0"/>
              <w:jc w:val="center"/>
              <w:rPr>
                <w:sz w:val="18"/>
                <w:szCs w:val="18"/>
              </w:rPr>
            </w:pPr>
            <w:r>
              <w:rPr>
                <w:sz w:val="18"/>
                <w:szCs w:val="18"/>
              </w:rPr>
              <w:t>/</w:t>
            </w:r>
          </w:p>
        </w:tc>
      </w:tr>
      <w:tr w:rsidR="00EE4502">
        <w:trPr>
          <w:trHeight w:val="340"/>
          <w:jc w:val="center"/>
        </w:trPr>
        <w:tc>
          <w:tcPr>
            <w:tcW w:w="281" w:type="pct"/>
            <w:vMerge/>
            <w:vAlign w:val="center"/>
          </w:tcPr>
          <w:p w:rsidR="00EE4502" w:rsidRDefault="00EE4502">
            <w:pPr>
              <w:adjustRightInd w:val="0"/>
              <w:snapToGrid w:val="0"/>
              <w:jc w:val="center"/>
              <w:rPr>
                <w:sz w:val="18"/>
                <w:szCs w:val="18"/>
              </w:rPr>
            </w:pPr>
          </w:p>
        </w:tc>
        <w:tc>
          <w:tcPr>
            <w:tcW w:w="958" w:type="pct"/>
            <w:vAlign w:val="center"/>
          </w:tcPr>
          <w:p w:rsidR="00EE4502" w:rsidRDefault="00FD45A3">
            <w:pPr>
              <w:adjustRightInd w:val="0"/>
              <w:snapToGrid w:val="0"/>
              <w:jc w:val="center"/>
              <w:rPr>
                <w:sz w:val="18"/>
                <w:szCs w:val="18"/>
              </w:rPr>
            </w:pPr>
            <w:r>
              <w:rPr>
                <w:rFonts w:hAnsi="宋体"/>
                <w:sz w:val="18"/>
                <w:szCs w:val="18"/>
              </w:rPr>
              <w:t>中石化新疆新春石油有限责任公司排</w:t>
            </w:r>
            <w:r>
              <w:rPr>
                <w:sz w:val="18"/>
                <w:szCs w:val="18"/>
              </w:rPr>
              <w:t>614-</w:t>
            </w:r>
            <w:r>
              <w:rPr>
                <w:rFonts w:hAnsi="宋体"/>
                <w:sz w:val="18"/>
                <w:szCs w:val="18"/>
              </w:rPr>
              <w:t>平</w:t>
            </w:r>
            <w:r>
              <w:rPr>
                <w:sz w:val="18"/>
                <w:szCs w:val="18"/>
              </w:rPr>
              <w:t>2</w:t>
            </w:r>
            <w:r>
              <w:rPr>
                <w:rFonts w:hAnsi="宋体"/>
                <w:sz w:val="18"/>
                <w:szCs w:val="18"/>
              </w:rPr>
              <w:t>井项目</w:t>
            </w:r>
          </w:p>
        </w:tc>
        <w:tc>
          <w:tcPr>
            <w:tcW w:w="783" w:type="pct"/>
            <w:vAlign w:val="center"/>
          </w:tcPr>
          <w:p w:rsidR="00EE4502" w:rsidRDefault="00FD45A3">
            <w:pPr>
              <w:adjustRightInd w:val="0"/>
              <w:snapToGrid w:val="0"/>
              <w:jc w:val="center"/>
              <w:rPr>
                <w:sz w:val="18"/>
                <w:szCs w:val="18"/>
              </w:rPr>
            </w:pPr>
            <w:r>
              <w:rPr>
                <w:rFonts w:hAnsi="宋体"/>
                <w:sz w:val="18"/>
                <w:szCs w:val="18"/>
              </w:rPr>
              <w:t>师市环审函〔</w:t>
            </w:r>
            <w:r>
              <w:rPr>
                <w:sz w:val="18"/>
                <w:szCs w:val="18"/>
              </w:rPr>
              <w:t>2021</w:t>
            </w:r>
            <w:r>
              <w:rPr>
                <w:rFonts w:hAnsi="宋体"/>
                <w:sz w:val="18"/>
                <w:szCs w:val="18"/>
              </w:rPr>
              <w:t>〕</w:t>
            </w:r>
            <w:r>
              <w:rPr>
                <w:sz w:val="18"/>
                <w:szCs w:val="18"/>
              </w:rPr>
              <w:t>32</w:t>
            </w:r>
            <w:r>
              <w:rPr>
                <w:rFonts w:hAnsi="宋体"/>
                <w:sz w:val="18"/>
                <w:szCs w:val="18"/>
              </w:rPr>
              <w:t>号</w:t>
            </w:r>
          </w:p>
        </w:tc>
        <w:tc>
          <w:tcPr>
            <w:tcW w:w="535" w:type="pct"/>
            <w:vAlign w:val="center"/>
          </w:tcPr>
          <w:p w:rsidR="00EE4502" w:rsidRDefault="00FD45A3">
            <w:pPr>
              <w:adjustRightInd w:val="0"/>
              <w:snapToGrid w:val="0"/>
              <w:jc w:val="center"/>
              <w:rPr>
                <w:sz w:val="18"/>
                <w:szCs w:val="18"/>
              </w:rPr>
            </w:pPr>
            <w:r>
              <w:rPr>
                <w:rFonts w:hAnsi="宋体"/>
                <w:sz w:val="18"/>
                <w:szCs w:val="18"/>
              </w:rPr>
              <w:t>第七师胡杨河市生态环境局</w:t>
            </w:r>
          </w:p>
        </w:tc>
        <w:tc>
          <w:tcPr>
            <w:tcW w:w="640" w:type="pct"/>
            <w:vAlign w:val="center"/>
          </w:tcPr>
          <w:p w:rsidR="00EE4502" w:rsidRDefault="00FD45A3">
            <w:pPr>
              <w:adjustRightInd w:val="0"/>
              <w:snapToGrid w:val="0"/>
              <w:jc w:val="center"/>
              <w:rPr>
                <w:sz w:val="18"/>
                <w:szCs w:val="18"/>
              </w:rPr>
            </w:pPr>
            <w:r>
              <w:rPr>
                <w:sz w:val="18"/>
                <w:szCs w:val="18"/>
              </w:rPr>
              <w:t>2021.5.7</w:t>
            </w:r>
          </w:p>
        </w:tc>
        <w:tc>
          <w:tcPr>
            <w:tcW w:w="644" w:type="pct"/>
            <w:vAlign w:val="center"/>
          </w:tcPr>
          <w:p w:rsidR="00EE4502" w:rsidRDefault="00FD45A3">
            <w:pPr>
              <w:adjustRightInd w:val="0"/>
              <w:snapToGrid w:val="0"/>
              <w:jc w:val="center"/>
              <w:rPr>
                <w:sz w:val="18"/>
                <w:szCs w:val="18"/>
              </w:rPr>
            </w:pPr>
            <w:r>
              <w:rPr>
                <w:rFonts w:hAnsi="宋体"/>
                <w:sz w:val="18"/>
                <w:szCs w:val="18"/>
              </w:rPr>
              <w:t>自主验收</w:t>
            </w:r>
          </w:p>
        </w:tc>
        <w:tc>
          <w:tcPr>
            <w:tcW w:w="694" w:type="pct"/>
            <w:vAlign w:val="center"/>
          </w:tcPr>
          <w:p w:rsidR="00EE4502" w:rsidRDefault="00FD45A3">
            <w:pPr>
              <w:adjustRightInd w:val="0"/>
              <w:snapToGrid w:val="0"/>
              <w:jc w:val="center"/>
              <w:rPr>
                <w:sz w:val="18"/>
                <w:szCs w:val="18"/>
              </w:rPr>
            </w:pPr>
            <w:r>
              <w:rPr>
                <w:sz w:val="18"/>
                <w:szCs w:val="18"/>
              </w:rPr>
              <w:t>2022.5.15</w:t>
            </w:r>
          </w:p>
        </w:tc>
        <w:tc>
          <w:tcPr>
            <w:tcW w:w="464" w:type="pct"/>
            <w:vAlign w:val="center"/>
          </w:tcPr>
          <w:p w:rsidR="00EE4502" w:rsidRDefault="00FD45A3">
            <w:pPr>
              <w:adjustRightInd w:val="0"/>
              <w:snapToGrid w:val="0"/>
              <w:jc w:val="center"/>
              <w:rPr>
                <w:sz w:val="18"/>
                <w:szCs w:val="18"/>
              </w:rPr>
            </w:pPr>
            <w:r>
              <w:rPr>
                <w:sz w:val="18"/>
                <w:szCs w:val="18"/>
              </w:rPr>
              <w:t>/</w:t>
            </w:r>
          </w:p>
        </w:tc>
      </w:tr>
      <w:tr w:rsidR="00EE4502">
        <w:trPr>
          <w:trHeight w:val="340"/>
          <w:jc w:val="center"/>
        </w:trPr>
        <w:tc>
          <w:tcPr>
            <w:tcW w:w="281" w:type="pct"/>
            <w:vMerge/>
            <w:vAlign w:val="center"/>
          </w:tcPr>
          <w:p w:rsidR="00EE4502" w:rsidRDefault="00EE4502">
            <w:pPr>
              <w:adjustRightInd w:val="0"/>
              <w:snapToGrid w:val="0"/>
              <w:jc w:val="center"/>
              <w:rPr>
                <w:sz w:val="18"/>
                <w:szCs w:val="18"/>
              </w:rPr>
            </w:pPr>
          </w:p>
        </w:tc>
        <w:tc>
          <w:tcPr>
            <w:tcW w:w="958" w:type="pct"/>
            <w:vAlign w:val="center"/>
          </w:tcPr>
          <w:p w:rsidR="00EE4502" w:rsidRDefault="00FD45A3">
            <w:pPr>
              <w:adjustRightInd w:val="0"/>
              <w:snapToGrid w:val="0"/>
              <w:jc w:val="center"/>
              <w:rPr>
                <w:rFonts w:hAnsi="宋体"/>
                <w:sz w:val="18"/>
                <w:szCs w:val="18"/>
              </w:rPr>
            </w:pPr>
            <w:bookmarkStart w:id="82" w:name="_Hlk187782484"/>
            <w:r>
              <w:rPr>
                <w:rFonts w:hAnsi="宋体" w:hint="eastAsia"/>
                <w:sz w:val="18"/>
                <w:szCs w:val="18"/>
              </w:rPr>
              <w:t>春风油田排</w:t>
            </w:r>
            <w:r>
              <w:rPr>
                <w:rFonts w:hAnsi="宋体" w:hint="eastAsia"/>
                <w:sz w:val="18"/>
                <w:szCs w:val="18"/>
              </w:rPr>
              <w:t>601-</w:t>
            </w:r>
            <w:r>
              <w:rPr>
                <w:rFonts w:hAnsi="宋体" w:hint="eastAsia"/>
                <w:sz w:val="18"/>
                <w:szCs w:val="18"/>
              </w:rPr>
              <w:t>平</w:t>
            </w:r>
            <w:r>
              <w:rPr>
                <w:rFonts w:hAnsi="宋体" w:hint="eastAsia"/>
                <w:sz w:val="18"/>
                <w:szCs w:val="18"/>
              </w:rPr>
              <w:t>395</w:t>
            </w:r>
            <w:r>
              <w:rPr>
                <w:rFonts w:hAnsi="宋体" w:hint="eastAsia"/>
                <w:sz w:val="18"/>
                <w:szCs w:val="18"/>
              </w:rPr>
              <w:t>井区产能建设工程</w:t>
            </w:r>
            <w:bookmarkEnd w:id="82"/>
          </w:p>
        </w:tc>
        <w:tc>
          <w:tcPr>
            <w:tcW w:w="783" w:type="pct"/>
            <w:vAlign w:val="center"/>
          </w:tcPr>
          <w:p w:rsidR="00EE4502" w:rsidRDefault="00FD45A3">
            <w:pPr>
              <w:adjustRightInd w:val="0"/>
              <w:snapToGrid w:val="0"/>
              <w:jc w:val="center"/>
              <w:rPr>
                <w:rFonts w:hAnsi="宋体"/>
                <w:sz w:val="18"/>
                <w:szCs w:val="18"/>
              </w:rPr>
            </w:pPr>
            <w:r>
              <w:rPr>
                <w:rFonts w:hAnsi="宋体" w:hint="eastAsia"/>
                <w:sz w:val="18"/>
                <w:szCs w:val="18"/>
              </w:rPr>
              <w:t>师市环审〔</w:t>
            </w:r>
            <w:r>
              <w:rPr>
                <w:rFonts w:hAnsi="宋体" w:hint="eastAsia"/>
                <w:sz w:val="18"/>
                <w:szCs w:val="18"/>
              </w:rPr>
              <w:t>2022</w:t>
            </w:r>
            <w:r>
              <w:rPr>
                <w:rFonts w:hAnsi="宋体" w:hint="eastAsia"/>
                <w:sz w:val="18"/>
                <w:szCs w:val="18"/>
              </w:rPr>
              <w:t>〕</w:t>
            </w:r>
            <w:r>
              <w:rPr>
                <w:rFonts w:hAnsi="宋体" w:hint="eastAsia"/>
                <w:sz w:val="18"/>
                <w:szCs w:val="18"/>
              </w:rPr>
              <w:t>19</w:t>
            </w:r>
            <w:r>
              <w:rPr>
                <w:rFonts w:hAnsi="宋体" w:hint="eastAsia"/>
                <w:sz w:val="18"/>
                <w:szCs w:val="18"/>
              </w:rPr>
              <w:t>号</w:t>
            </w:r>
          </w:p>
        </w:tc>
        <w:tc>
          <w:tcPr>
            <w:tcW w:w="535" w:type="pct"/>
            <w:vAlign w:val="center"/>
          </w:tcPr>
          <w:p w:rsidR="00EE4502" w:rsidRDefault="00FD45A3">
            <w:pPr>
              <w:adjustRightInd w:val="0"/>
              <w:snapToGrid w:val="0"/>
              <w:jc w:val="center"/>
              <w:rPr>
                <w:rFonts w:hAnsi="宋体"/>
                <w:sz w:val="18"/>
                <w:szCs w:val="18"/>
              </w:rPr>
            </w:pPr>
            <w:r>
              <w:rPr>
                <w:rFonts w:hAnsi="宋体"/>
                <w:sz w:val="18"/>
                <w:szCs w:val="18"/>
              </w:rPr>
              <w:t>第七师胡杨河市生态环境局</w:t>
            </w:r>
          </w:p>
        </w:tc>
        <w:tc>
          <w:tcPr>
            <w:tcW w:w="640" w:type="pct"/>
            <w:vAlign w:val="center"/>
          </w:tcPr>
          <w:p w:rsidR="00EE4502" w:rsidRDefault="00FD45A3">
            <w:pPr>
              <w:adjustRightInd w:val="0"/>
              <w:snapToGrid w:val="0"/>
              <w:jc w:val="center"/>
              <w:rPr>
                <w:sz w:val="18"/>
                <w:szCs w:val="18"/>
              </w:rPr>
            </w:pPr>
            <w:r>
              <w:rPr>
                <w:rFonts w:hint="eastAsia"/>
                <w:sz w:val="18"/>
                <w:szCs w:val="18"/>
              </w:rPr>
              <w:t>2022.6.17</w:t>
            </w:r>
          </w:p>
        </w:tc>
        <w:tc>
          <w:tcPr>
            <w:tcW w:w="1802" w:type="pct"/>
            <w:gridSpan w:val="3"/>
            <w:vAlign w:val="center"/>
          </w:tcPr>
          <w:p w:rsidR="00EE4502" w:rsidRDefault="00FD45A3">
            <w:pPr>
              <w:adjustRightInd w:val="0"/>
              <w:snapToGrid w:val="0"/>
              <w:jc w:val="center"/>
              <w:rPr>
                <w:sz w:val="18"/>
                <w:szCs w:val="18"/>
              </w:rPr>
            </w:pPr>
            <w:r>
              <w:rPr>
                <w:rFonts w:hAnsi="宋体" w:hint="eastAsia"/>
                <w:sz w:val="18"/>
                <w:szCs w:val="18"/>
              </w:rPr>
              <w:t>自主验收</w:t>
            </w:r>
          </w:p>
        </w:tc>
      </w:tr>
      <w:tr w:rsidR="00EE4502">
        <w:trPr>
          <w:trHeight w:val="340"/>
          <w:jc w:val="center"/>
        </w:trPr>
        <w:tc>
          <w:tcPr>
            <w:tcW w:w="281" w:type="pct"/>
            <w:vMerge/>
            <w:vAlign w:val="center"/>
          </w:tcPr>
          <w:p w:rsidR="00EE4502" w:rsidRDefault="00EE4502">
            <w:pPr>
              <w:adjustRightInd w:val="0"/>
              <w:snapToGrid w:val="0"/>
              <w:jc w:val="center"/>
              <w:rPr>
                <w:sz w:val="18"/>
                <w:szCs w:val="18"/>
              </w:rPr>
            </w:pPr>
          </w:p>
        </w:tc>
        <w:tc>
          <w:tcPr>
            <w:tcW w:w="958" w:type="pct"/>
            <w:vAlign w:val="center"/>
          </w:tcPr>
          <w:p w:rsidR="00EE4502" w:rsidRDefault="00FD45A3">
            <w:pPr>
              <w:adjustRightInd w:val="0"/>
              <w:snapToGrid w:val="0"/>
              <w:jc w:val="center"/>
              <w:rPr>
                <w:rFonts w:hAnsi="宋体"/>
                <w:sz w:val="18"/>
                <w:szCs w:val="18"/>
              </w:rPr>
            </w:pPr>
            <w:bookmarkStart w:id="83" w:name="_Hlk187782492"/>
            <w:r>
              <w:rPr>
                <w:rFonts w:hAnsi="宋体" w:hint="eastAsia"/>
                <w:sz w:val="18"/>
                <w:szCs w:val="18"/>
              </w:rPr>
              <w:t>春风油田排</w:t>
            </w:r>
            <w:r>
              <w:rPr>
                <w:rFonts w:hAnsi="宋体" w:hint="eastAsia"/>
                <w:sz w:val="18"/>
                <w:szCs w:val="18"/>
              </w:rPr>
              <w:t>614-4</w:t>
            </w:r>
            <w:r>
              <w:rPr>
                <w:rFonts w:hAnsi="宋体" w:hint="eastAsia"/>
                <w:sz w:val="18"/>
                <w:szCs w:val="18"/>
              </w:rPr>
              <w:t>块产能建设项目</w:t>
            </w:r>
            <w:bookmarkEnd w:id="83"/>
          </w:p>
        </w:tc>
        <w:tc>
          <w:tcPr>
            <w:tcW w:w="783" w:type="pct"/>
            <w:vAlign w:val="center"/>
          </w:tcPr>
          <w:p w:rsidR="00EE4502" w:rsidRDefault="00FD45A3">
            <w:pPr>
              <w:adjustRightInd w:val="0"/>
              <w:snapToGrid w:val="0"/>
              <w:jc w:val="center"/>
              <w:rPr>
                <w:rFonts w:hAnsi="宋体"/>
                <w:sz w:val="18"/>
                <w:szCs w:val="18"/>
              </w:rPr>
            </w:pPr>
            <w:r>
              <w:rPr>
                <w:rFonts w:hAnsi="宋体" w:hint="eastAsia"/>
                <w:sz w:val="18"/>
                <w:szCs w:val="18"/>
              </w:rPr>
              <w:t>兵环审〔</w:t>
            </w:r>
            <w:r>
              <w:rPr>
                <w:rFonts w:hAnsi="宋体" w:hint="eastAsia"/>
                <w:sz w:val="18"/>
                <w:szCs w:val="18"/>
              </w:rPr>
              <w:t>2022</w:t>
            </w:r>
            <w:r>
              <w:rPr>
                <w:rFonts w:hAnsi="宋体" w:hint="eastAsia"/>
                <w:sz w:val="18"/>
                <w:szCs w:val="18"/>
              </w:rPr>
              <w:t>〕</w:t>
            </w:r>
            <w:r>
              <w:rPr>
                <w:rFonts w:hAnsi="宋体" w:hint="eastAsia"/>
                <w:sz w:val="18"/>
                <w:szCs w:val="18"/>
              </w:rPr>
              <w:t>34</w:t>
            </w:r>
            <w:r>
              <w:rPr>
                <w:rFonts w:hAnsi="宋体" w:hint="eastAsia"/>
                <w:sz w:val="18"/>
                <w:szCs w:val="18"/>
              </w:rPr>
              <w:t>号</w:t>
            </w:r>
          </w:p>
        </w:tc>
        <w:tc>
          <w:tcPr>
            <w:tcW w:w="535" w:type="pct"/>
            <w:vAlign w:val="center"/>
          </w:tcPr>
          <w:p w:rsidR="00EE4502" w:rsidRDefault="00FD45A3">
            <w:pPr>
              <w:adjustRightInd w:val="0"/>
              <w:snapToGrid w:val="0"/>
              <w:jc w:val="center"/>
              <w:rPr>
                <w:rFonts w:hAnsi="宋体"/>
                <w:sz w:val="18"/>
                <w:szCs w:val="18"/>
              </w:rPr>
            </w:pPr>
            <w:r>
              <w:rPr>
                <w:rFonts w:hAnsi="宋体" w:hint="eastAsia"/>
                <w:sz w:val="18"/>
                <w:szCs w:val="18"/>
              </w:rPr>
              <w:t>兵团生态环境</w:t>
            </w:r>
            <w:r>
              <w:rPr>
                <w:rFonts w:hAnsi="宋体" w:hint="eastAsia"/>
                <w:sz w:val="18"/>
                <w:szCs w:val="18"/>
              </w:rPr>
              <w:lastRenderedPageBreak/>
              <w:t>局</w:t>
            </w:r>
          </w:p>
        </w:tc>
        <w:tc>
          <w:tcPr>
            <w:tcW w:w="640" w:type="pct"/>
            <w:vAlign w:val="center"/>
          </w:tcPr>
          <w:p w:rsidR="00EE4502" w:rsidRDefault="00FD45A3">
            <w:pPr>
              <w:adjustRightInd w:val="0"/>
              <w:snapToGrid w:val="0"/>
              <w:jc w:val="center"/>
              <w:rPr>
                <w:sz w:val="18"/>
                <w:szCs w:val="18"/>
              </w:rPr>
            </w:pPr>
            <w:r>
              <w:rPr>
                <w:rFonts w:hint="eastAsia"/>
                <w:sz w:val="18"/>
                <w:szCs w:val="18"/>
              </w:rPr>
              <w:lastRenderedPageBreak/>
              <w:t>2022.8.16</w:t>
            </w:r>
          </w:p>
        </w:tc>
        <w:tc>
          <w:tcPr>
            <w:tcW w:w="1802" w:type="pct"/>
            <w:gridSpan w:val="3"/>
            <w:vAlign w:val="center"/>
          </w:tcPr>
          <w:p w:rsidR="00EE4502" w:rsidRDefault="00FD45A3">
            <w:pPr>
              <w:adjustRightInd w:val="0"/>
              <w:snapToGrid w:val="0"/>
              <w:jc w:val="center"/>
              <w:rPr>
                <w:sz w:val="18"/>
                <w:szCs w:val="18"/>
              </w:rPr>
            </w:pPr>
            <w:r>
              <w:rPr>
                <w:sz w:val="18"/>
                <w:szCs w:val="18"/>
              </w:rPr>
              <w:t>自主验收</w:t>
            </w:r>
          </w:p>
        </w:tc>
      </w:tr>
      <w:tr w:rsidR="00EE4502">
        <w:trPr>
          <w:trHeight w:val="340"/>
          <w:jc w:val="center"/>
        </w:trPr>
        <w:tc>
          <w:tcPr>
            <w:tcW w:w="281" w:type="pct"/>
            <w:vMerge/>
            <w:vAlign w:val="center"/>
          </w:tcPr>
          <w:p w:rsidR="00EE4502" w:rsidRDefault="00EE4502">
            <w:pPr>
              <w:adjustRightInd w:val="0"/>
              <w:snapToGrid w:val="0"/>
              <w:jc w:val="center"/>
              <w:rPr>
                <w:sz w:val="18"/>
                <w:szCs w:val="18"/>
              </w:rPr>
            </w:pPr>
          </w:p>
        </w:tc>
        <w:tc>
          <w:tcPr>
            <w:tcW w:w="958" w:type="pct"/>
            <w:vAlign w:val="center"/>
          </w:tcPr>
          <w:p w:rsidR="00EE4502" w:rsidRDefault="00FD45A3">
            <w:pPr>
              <w:adjustRightInd w:val="0"/>
              <w:snapToGrid w:val="0"/>
              <w:jc w:val="center"/>
              <w:rPr>
                <w:sz w:val="18"/>
                <w:szCs w:val="18"/>
              </w:rPr>
            </w:pPr>
            <w:bookmarkStart w:id="84" w:name="_Hlk187782499"/>
            <w:r>
              <w:rPr>
                <w:rFonts w:hint="eastAsia"/>
                <w:sz w:val="18"/>
                <w:szCs w:val="18"/>
              </w:rPr>
              <w:t>春风油田老区（第七师辖区）滚动开发项目</w:t>
            </w:r>
            <w:bookmarkEnd w:id="84"/>
          </w:p>
        </w:tc>
        <w:tc>
          <w:tcPr>
            <w:tcW w:w="783" w:type="pct"/>
            <w:vAlign w:val="center"/>
          </w:tcPr>
          <w:p w:rsidR="00EE4502" w:rsidRDefault="00FD45A3">
            <w:pPr>
              <w:adjustRightInd w:val="0"/>
              <w:snapToGrid w:val="0"/>
              <w:jc w:val="center"/>
              <w:rPr>
                <w:sz w:val="18"/>
                <w:szCs w:val="18"/>
              </w:rPr>
            </w:pPr>
            <w:r>
              <w:rPr>
                <w:rFonts w:hint="eastAsia"/>
                <w:sz w:val="18"/>
                <w:szCs w:val="18"/>
              </w:rPr>
              <w:t>兵环审〔</w:t>
            </w:r>
            <w:r>
              <w:rPr>
                <w:rFonts w:hint="eastAsia"/>
                <w:sz w:val="18"/>
                <w:szCs w:val="18"/>
              </w:rPr>
              <w:t>2022</w:t>
            </w:r>
            <w:r>
              <w:rPr>
                <w:rFonts w:hint="eastAsia"/>
                <w:sz w:val="18"/>
                <w:szCs w:val="18"/>
              </w:rPr>
              <w:t>〕</w:t>
            </w:r>
            <w:r>
              <w:rPr>
                <w:rFonts w:hint="eastAsia"/>
                <w:sz w:val="18"/>
                <w:szCs w:val="18"/>
              </w:rPr>
              <w:t>35</w:t>
            </w:r>
            <w:r>
              <w:rPr>
                <w:rFonts w:hint="eastAsia"/>
                <w:sz w:val="18"/>
                <w:szCs w:val="18"/>
              </w:rPr>
              <w:t>号</w:t>
            </w:r>
          </w:p>
        </w:tc>
        <w:tc>
          <w:tcPr>
            <w:tcW w:w="535" w:type="pct"/>
            <w:vAlign w:val="center"/>
          </w:tcPr>
          <w:p w:rsidR="00EE4502" w:rsidRDefault="00FD45A3">
            <w:pPr>
              <w:adjustRightInd w:val="0"/>
              <w:snapToGrid w:val="0"/>
              <w:jc w:val="center"/>
              <w:rPr>
                <w:rFonts w:hAnsi="宋体"/>
                <w:sz w:val="18"/>
                <w:szCs w:val="18"/>
              </w:rPr>
            </w:pPr>
            <w:r>
              <w:rPr>
                <w:rFonts w:hAnsi="宋体" w:hint="eastAsia"/>
                <w:sz w:val="18"/>
                <w:szCs w:val="18"/>
              </w:rPr>
              <w:t>兵团生态环境局</w:t>
            </w:r>
          </w:p>
        </w:tc>
        <w:tc>
          <w:tcPr>
            <w:tcW w:w="640" w:type="pct"/>
            <w:vAlign w:val="center"/>
          </w:tcPr>
          <w:p w:rsidR="00EE4502" w:rsidRDefault="00FD45A3">
            <w:pPr>
              <w:adjustRightInd w:val="0"/>
              <w:snapToGrid w:val="0"/>
              <w:jc w:val="center"/>
              <w:rPr>
                <w:sz w:val="18"/>
                <w:szCs w:val="18"/>
              </w:rPr>
            </w:pPr>
            <w:r>
              <w:rPr>
                <w:rFonts w:hint="eastAsia"/>
                <w:sz w:val="18"/>
                <w:szCs w:val="18"/>
              </w:rPr>
              <w:t>2022.8.16</w:t>
            </w:r>
          </w:p>
        </w:tc>
        <w:tc>
          <w:tcPr>
            <w:tcW w:w="1802" w:type="pct"/>
            <w:gridSpan w:val="3"/>
            <w:vAlign w:val="center"/>
          </w:tcPr>
          <w:p w:rsidR="00EE4502" w:rsidRDefault="00FD45A3">
            <w:pPr>
              <w:adjustRightInd w:val="0"/>
              <w:snapToGrid w:val="0"/>
              <w:jc w:val="center"/>
              <w:rPr>
                <w:sz w:val="18"/>
                <w:szCs w:val="18"/>
              </w:rPr>
            </w:pPr>
            <w:r>
              <w:rPr>
                <w:rFonts w:hint="eastAsia"/>
                <w:sz w:val="18"/>
                <w:szCs w:val="18"/>
              </w:rPr>
              <w:t>分期验收，第四期已</w:t>
            </w:r>
            <w:r>
              <w:rPr>
                <w:sz w:val="18"/>
                <w:szCs w:val="18"/>
              </w:rPr>
              <w:t>自主验收</w:t>
            </w:r>
          </w:p>
        </w:tc>
      </w:tr>
      <w:tr w:rsidR="00EE4502">
        <w:trPr>
          <w:trHeight w:val="340"/>
          <w:jc w:val="center"/>
        </w:trPr>
        <w:tc>
          <w:tcPr>
            <w:tcW w:w="281" w:type="pct"/>
            <w:vMerge/>
            <w:vAlign w:val="center"/>
          </w:tcPr>
          <w:p w:rsidR="00EE4502" w:rsidRDefault="00EE4502">
            <w:pPr>
              <w:adjustRightInd w:val="0"/>
              <w:snapToGrid w:val="0"/>
              <w:jc w:val="center"/>
              <w:rPr>
                <w:rFonts w:hAnsi="宋体"/>
                <w:sz w:val="18"/>
                <w:szCs w:val="18"/>
              </w:rPr>
            </w:pPr>
          </w:p>
        </w:tc>
        <w:tc>
          <w:tcPr>
            <w:tcW w:w="958" w:type="pct"/>
            <w:vAlign w:val="center"/>
          </w:tcPr>
          <w:p w:rsidR="00EE4502" w:rsidRDefault="00FD45A3">
            <w:pPr>
              <w:adjustRightInd w:val="0"/>
              <w:snapToGrid w:val="0"/>
              <w:jc w:val="center"/>
              <w:rPr>
                <w:rFonts w:hAnsi="宋体"/>
                <w:sz w:val="18"/>
                <w:szCs w:val="18"/>
              </w:rPr>
            </w:pPr>
            <w:bookmarkStart w:id="85" w:name="_Hlk187782504"/>
            <w:bookmarkStart w:id="86" w:name="OLE_LINK8"/>
            <w:r>
              <w:rPr>
                <w:rFonts w:hAnsi="宋体" w:hint="eastAsia"/>
                <w:sz w:val="18"/>
                <w:szCs w:val="18"/>
              </w:rPr>
              <w:t>春风油田排</w:t>
            </w:r>
            <w:r>
              <w:rPr>
                <w:rFonts w:hAnsi="宋体" w:hint="eastAsia"/>
                <w:sz w:val="18"/>
                <w:szCs w:val="18"/>
              </w:rPr>
              <w:t>6</w:t>
            </w:r>
            <w:r>
              <w:rPr>
                <w:rFonts w:hAnsi="宋体"/>
                <w:sz w:val="18"/>
                <w:szCs w:val="18"/>
              </w:rPr>
              <w:t>41</w:t>
            </w:r>
            <w:r>
              <w:rPr>
                <w:rFonts w:hAnsi="宋体" w:hint="eastAsia"/>
                <w:sz w:val="18"/>
                <w:szCs w:val="18"/>
              </w:rPr>
              <w:t>块产能建设工程</w:t>
            </w:r>
            <w:bookmarkEnd w:id="85"/>
            <w:bookmarkEnd w:id="86"/>
          </w:p>
        </w:tc>
        <w:tc>
          <w:tcPr>
            <w:tcW w:w="783" w:type="pct"/>
            <w:vAlign w:val="center"/>
          </w:tcPr>
          <w:p w:rsidR="00EE4502" w:rsidRDefault="00FD45A3">
            <w:pPr>
              <w:adjustRightInd w:val="0"/>
              <w:snapToGrid w:val="0"/>
              <w:jc w:val="center"/>
              <w:rPr>
                <w:rFonts w:hAnsi="宋体"/>
                <w:sz w:val="18"/>
                <w:szCs w:val="18"/>
              </w:rPr>
            </w:pPr>
            <w:r>
              <w:rPr>
                <w:rFonts w:hint="eastAsia"/>
                <w:sz w:val="18"/>
                <w:szCs w:val="18"/>
              </w:rPr>
              <w:t>兵环审〔</w:t>
            </w:r>
            <w:r>
              <w:rPr>
                <w:rFonts w:hint="eastAsia"/>
                <w:sz w:val="18"/>
                <w:szCs w:val="18"/>
              </w:rPr>
              <w:t>202</w:t>
            </w:r>
            <w:r>
              <w:rPr>
                <w:sz w:val="18"/>
                <w:szCs w:val="18"/>
              </w:rPr>
              <w:t>4</w:t>
            </w:r>
            <w:r>
              <w:rPr>
                <w:rFonts w:hint="eastAsia"/>
                <w:sz w:val="18"/>
                <w:szCs w:val="18"/>
              </w:rPr>
              <w:t>〕</w:t>
            </w:r>
            <w:r>
              <w:rPr>
                <w:sz w:val="18"/>
                <w:szCs w:val="18"/>
              </w:rPr>
              <w:t>12</w:t>
            </w:r>
            <w:r>
              <w:rPr>
                <w:rFonts w:hint="eastAsia"/>
                <w:sz w:val="18"/>
                <w:szCs w:val="18"/>
              </w:rPr>
              <w:t>号</w:t>
            </w:r>
          </w:p>
        </w:tc>
        <w:tc>
          <w:tcPr>
            <w:tcW w:w="535" w:type="pct"/>
            <w:vAlign w:val="center"/>
          </w:tcPr>
          <w:p w:rsidR="00EE4502" w:rsidRDefault="00FD45A3">
            <w:pPr>
              <w:adjustRightInd w:val="0"/>
              <w:snapToGrid w:val="0"/>
              <w:jc w:val="center"/>
              <w:rPr>
                <w:rFonts w:hAnsi="宋体"/>
                <w:sz w:val="18"/>
                <w:szCs w:val="18"/>
              </w:rPr>
            </w:pPr>
            <w:r>
              <w:rPr>
                <w:rFonts w:hAnsi="宋体" w:hint="eastAsia"/>
                <w:sz w:val="18"/>
                <w:szCs w:val="18"/>
              </w:rPr>
              <w:t>兵团生态环境局</w:t>
            </w:r>
          </w:p>
        </w:tc>
        <w:tc>
          <w:tcPr>
            <w:tcW w:w="640" w:type="pct"/>
            <w:vAlign w:val="center"/>
          </w:tcPr>
          <w:p w:rsidR="00EE4502" w:rsidRDefault="00FD45A3">
            <w:pPr>
              <w:adjustRightInd w:val="0"/>
              <w:snapToGrid w:val="0"/>
              <w:jc w:val="center"/>
              <w:rPr>
                <w:sz w:val="18"/>
                <w:szCs w:val="18"/>
              </w:rPr>
            </w:pPr>
            <w:r>
              <w:rPr>
                <w:rFonts w:hint="eastAsia"/>
                <w:sz w:val="18"/>
                <w:szCs w:val="18"/>
              </w:rPr>
              <w:t>202</w:t>
            </w:r>
            <w:r>
              <w:rPr>
                <w:sz w:val="18"/>
                <w:szCs w:val="18"/>
              </w:rPr>
              <w:t>4</w:t>
            </w:r>
            <w:r>
              <w:rPr>
                <w:rFonts w:hint="eastAsia"/>
                <w:sz w:val="18"/>
                <w:szCs w:val="18"/>
              </w:rPr>
              <w:t>.</w:t>
            </w:r>
            <w:r>
              <w:rPr>
                <w:sz w:val="18"/>
                <w:szCs w:val="18"/>
              </w:rPr>
              <w:t>4</w:t>
            </w:r>
            <w:r>
              <w:rPr>
                <w:rFonts w:hint="eastAsia"/>
                <w:sz w:val="18"/>
                <w:szCs w:val="18"/>
              </w:rPr>
              <w:t>.</w:t>
            </w:r>
            <w:r>
              <w:rPr>
                <w:sz w:val="18"/>
                <w:szCs w:val="18"/>
              </w:rPr>
              <w:t>23</w:t>
            </w:r>
          </w:p>
        </w:tc>
        <w:tc>
          <w:tcPr>
            <w:tcW w:w="1802" w:type="pct"/>
            <w:gridSpan w:val="3"/>
            <w:vAlign w:val="center"/>
          </w:tcPr>
          <w:p w:rsidR="00EE4502" w:rsidRDefault="00FD45A3">
            <w:pPr>
              <w:adjustRightInd w:val="0"/>
              <w:snapToGrid w:val="0"/>
              <w:jc w:val="center"/>
              <w:rPr>
                <w:sz w:val="18"/>
                <w:szCs w:val="18"/>
              </w:rPr>
            </w:pPr>
            <w:r>
              <w:rPr>
                <w:rFonts w:hint="eastAsia"/>
                <w:sz w:val="18"/>
                <w:szCs w:val="18"/>
              </w:rPr>
              <w:t>建设中</w:t>
            </w:r>
          </w:p>
        </w:tc>
      </w:tr>
      <w:tr w:rsidR="00EE4502">
        <w:trPr>
          <w:trHeight w:val="340"/>
          <w:jc w:val="center"/>
        </w:trPr>
        <w:tc>
          <w:tcPr>
            <w:tcW w:w="281" w:type="pct"/>
            <w:vAlign w:val="center"/>
          </w:tcPr>
          <w:p w:rsidR="00EE4502" w:rsidRDefault="00FD45A3">
            <w:pPr>
              <w:adjustRightInd w:val="0"/>
              <w:snapToGrid w:val="0"/>
              <w:jc w:val="center"/>
              <w:rPr>
                <w:sz w:val="18"/>
                <w:szCs w:val="18"/>
              </w:rPr>
            </w:pPr>
            <w:r>
              <w:rPr>
                <w:rFonts w:hAnsi="宋体"/>
                <w:sz w:val="18"/>
                <w:szCs w:val="18"/>
              </w:rPr>
              <w:t>回注区</w:t>
            </w:r>
          </w:p>
        </w:tc>
        <w:tc>
          <w:tcPr>
            <w:tcW w:w="958" w:type="pct"/>
            <w:vAlign w:val="center"/>
          </w:tcPr>
          <w:p w:rsidR="00EE4502" w:rsidRDefault="00FD45A3">
            <w:pPr>
              <w:adjustRightInd w:val="0"/>
              <w:snapToGrid w:val="0"/>
              <w:jc w:val="center"/>
              <w:rPr>
                <w:sz w:val="18"/>
                <w:szCs w:val="18"/>
              </w:rPr>
            </w:pPr>
            <w:r>
              <w:rPr>
                <w:rFonts w:hAnsi="宋体"/>
                <w:sz w:val="18"/>
                <w:szCs w:val="18"/>
              </w:rPr>
              <w:t>春风油田回注工程区</w:t>
            </w:r>
          </w:p>
        </w:tc>
        <w:tc>
          <w:tcPr>
            <w:tcW w:w="783" w:type="pct"/>
            <w:vAlign w:val="center"/>
          </w:tcPr>
          <w:p w:rsidR="00EE4502" w:rsidRDefault="00FD45A3">
            <w:pPr>
              <w:adjustRightInd w:val="0"/>
              <w:snapToGrid w:val="0"/>
              <w:jc w:val="center"/>
              <w:rPr>
                <w:sz w:val="18"/>
                <w:szCs w:val="18"/>
              </w:rPr>
            </w:pPr>
            <w:r>
              <w:rPr>
                <w:rFonts w:hAnsi="宋体"/>
                <w:sz w:val="18"/>
                <w:szCs w:val="18"/>
              </w:rPr>
              <w:t>新环评价函</w:t>
            </w:r>
            <w:r>
              <w:rPr>
                <w:rFonts w:hint="eastAsia"/>
                <w:sz w:val="18"/>
                <w:szCs w:val="18"/>
              </w:rPr>
              <w:t>〔</w:t>
            </w:r>
            <w:r>
              <w:rPr>
                <w:sz w:val="18"/>
                <w:szCs w:val="18"/>
              </w:rPr>
              <w:t>2010</w:t>
            </w:r>
            <w:r>
              <w:rPr>
                <w:rFonts w:hint="eastAsia"/>
                <w:sz w:val="18"/>
                <w:szCs w:val="18"/>
              </w:rPr>
              <w:t>〕</w:t>
            </w:r>
            <w:r>
              <w:rPr>
                <w:sz w:val="18"/>
                <w:szCs w:val="18"/>
              </w:rPr>
              <w:t>863</w:t>
            </w:r>
            <w:r>
              <w:rPr>
                <w:rFonts w:hAnsi="宋体"/>
                <w:sz w:val="18"/>
                <w:szCs w:val="18"/>
              </w:rPr>
              <w:t>号</w:t>
            </w:r>
          </w:p>
        </w:tc>
        <w:tc>
          <w:tcPr>
            <w:tcW w:w="535" w:type="pct"/>
            <w:vAlign w:val="center"/>
          </w:tcPr>
          <w:p w:rsidR="00EE4502" w:rsidRDefault="00FD45A3">
            <w:pPr>
              <w:adjustRightInd w:val="0"/>
              <w:snapToGrid w:val="0"/>
              <w:jc w:val="center"/>
              <w:rPr>
                <w:sz w:val="18"/>
                <w:szCs w:val="18"/>
              </w:rPr>
            </w:pPr>
            <w:r>
              <w:rPr>
                <w:rFonts w:hAnsi="宋体"/>
                <w:sz w:val="18"/>
                <w:szCs w:val="18"/>
              </w:rPr>
              <w:t>原自治区环保厅</w:t>
            </w:r>
          </w:p>
        </w:tc>
        <w:tc>
          <w:tcPr>
            <w:tcW w:w="640" w:type="pct"/>
            <w:vAlign w:val="center"/>
          </w:tcPr>
          <w:p w:rsidR="00EE4502" w:rsidRDefault="00FD45A3">
            <w:pPr>
              <w:adjustRightInd w:val="0"/>
              <w:snapToGrid w:val="0"/>
              <w:jc w:val="center"/>
              <w:rPr>
                <w:sz w:val="18"/>
                <w:szCs w:val="18"/>
              </w:rPr>
            </w:pPr>
            <w:r>
              <w:rPr>
                <w:sz w:val="18"/>
                <w:szCs w:val="18"/>
              </w:rPr>
              <w:t>2010.12.13</w:t>
            </w:r>
          </w:p>
        </w:tc>
        <w:tc>
          <w:tcPr>
            <w:tcW w:w="644" w:type="pct"/>
            <w:vAlign w:val="center"/>
          </w:tcPr>
          <w:p w:rsidR="00EE4502" w:rsidRDefault="00FD45A3">
            <w:pPr>
              <w:adjustRightInd w:val="0"/>
              <w:snapToGrid w:val="0"/>
              <w:jc w:val="center"/>
              <w:rPr>
                <w:sz w:val="18"/>
                <w:szCs w:val="18"/>
              </w:rPr>
            </w:pPr>
            <w:r>
              <w:rPr>
                <w:rFonts w:hAnsi="宋体"/>
                <w:sz w:val="18"/>
                <w:szCs w:val="18"/>
              </w:rPr>
              <w:t>新环评价函</w:t>
            </w:r>
            <w:r>
              <w:rPr>
                <w:rFonts w:hint="eastAsia"/>
                <w:sz w:val="18"/>
                <w:szCs w:val="18"/>
              </w:rPr>
              <w:t>〔</w:t>
            </w:r>
            <w:r>
              <w:rPr>
                <w:sz w:val="18"/>
                <w:szCs w:val="18"/>
              </w:rPr>
              <w:t>2012</w:t>
            </w:r>
            <w:r>
              <w:rPr>
                <w:rFonts w:hint="eastAsia"/>
                <w:sz w:val="18"/>
                <w:szCs w:val="18"/>
              </w:rPr>
              <w:t>〕</w:t>
            </w:r>
            <w:r>
              <w:rPr>
                <w:sz w:val="18"/>
                <w:szCs w:val="18"/>
              </w:rPr>
              <w:t>939</w:t>
            </w:r>
            <w:r>
              <w:rPr>
                <w:rFonts w:hAnsi="宋体"/>
                <w:sz w:val="18"/>
                <w:szCs w:val="18"/>
              </w:rPr>
              <w:t>号</w:t>
            </w:r>
          </w:p>
        </w:tc>
        <w:tc>
          <w:tcPr>
            <w:tcW w:w="694" w:type="pct"/>
            <w:vAlign w:val="center"/>
          </w:tcPr>
          <w:p w:rsidR="00EE4502" w:rsidRDefault="00FD45A3">
            <w:pPr>
              <w:adjustRightInd w:val="0"/>
              <w:snapToGrid w:val="0"/>
              <w:jc w:val="center"/>
              <w:rPr>
                <w:sz w:val="18"/>
                <w:szCs w:val="18"/>
              </w:rPr>
            </w:pPr>
            <w:r>
              <w:rPr>
                <w:sz w:val="18"/>
                <w:szCs w:val="18"/>
              </w:rPr>
              <w:t>2012.9.21</w:t>
            </w:r>
          </w:p>
        </w:tc>
        <w:tc>
          <w:tcPr>
            <w:tcW w:w="464" w:type="pct"/>
            <w:vAlign w:val="center"/>
          </w:tcPr>
          <w:p w:rsidR="00EE4502" w:rsidRDefault="00FD45A3">
            <w:pPr>
              <w:adjustRightInd w:val="0"/>
              <w:snapToGrid w:val="0"/>
              <w:jc w:val="center"/>
              <w:rPr>
                <w:sz w:val="18"/>
                <w:szCs w:val="18"/>
              </w:rPr>
            </w:pPr>
            <w:r>
              <w:rPr>
                <w:rFonts w:hAnsi="宋体"/>
                <w:sz w:val="18"/>
                <w:szCs w:val="18"/>
              </w:rPr>
              <w:t>原自治区环保厅</w:t>
            </w:r>
          </w:p>
        </w:tc>
      </w:tr>
    </w:tbl>
    <w:p w:rsidR="00EE4502" w:rsidRDefault="00EE4502">
      <w:pPr>
        <w:jc w:val="center"/>
        <w:rPr>
          <w:sz w:val="18"/>
          <w:szCs w:val="18"/>
        </w:rPr>
      </w:pPr>
    </w:p>
    <w:p w:rsidR="00EE4502" w:rsidRDefault="00FD45A3">
      <w:pPr>
        <w:pStyle w:val="33"/>
        <w:numPr>
          <w:ilvl w:val="2"/>
          <w:numId w:val="30"/>
        </w:numPr>
        <w:spacing w:line="360" w:lineRule="auto"/>
        <w:ind w:left="0" w:firstLine="0"/>
        <w:rPr>
          <w:spacing w:val="0"/>
          <w:sz w:val="24"/>
          <w:szCs w:val="24"/>
        </w:rPr>
      </w:pPr>
      <w:r>
        <w:rPr>
          <w:rFonts w:hint="eastAsia"/>
          <w:spacing w:val="0"/>
          <w:sz w:val="24"/>
          <w:szCs w:val="24"/>
        </w:rPr>
        <w:t>油田区块环境影响回顾性评价</w:t>
      </w:r>
    </w:p>
    <w:p w:rsidR="00EE4502" w:rsidRDefault="00FD45A3">
      <w:pPr>
        <w:pStyle w:val="41"/>
        <w:numPr>
          <w:ilvl w:val="3"/>
          <w:numId w:val="30"/>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bCs w:val="0"/>
          <w:sz w:val="24"/>
          <w:szCs w:val="24"/>
        </w:rPr>
        <w:t>主要污染源及环境影响调查</w:t>
      </w:r>
    </w:p>
    <w:p w:rsidR="00EE4502" w:rsidRDefault="00FD45A3">
      <w:pPr>
        <w:spacing w:line="360" w:lineRule="auto"/>
        <w:ind w:firstLineChars="200" w:firstLine="480"/>
        <w:rPr>
          <w:sz w:val="24"/>
        </w:rPr>
      </w:pPr>
      <w:r>
        <w:rPr>
          <w:sz w:val="24"/>
        </w:rPr>
        <w:t>根据现场调查及相关资料收集，春风油田内</w:t>
      </w:r>
      <w:r>
        <w:rPr>
          <w:rFonts w:hint="eastAsia"/>
          <w:sz w:val="24"/>
        </w:rPr>
        <w:t>已建</w:t>
      </w:r>
      <w:r>
        <w:rPr>
          <w:sz w:val="24"/>
        </w:rPr>
        <w:t>工程开发过程中的污染源及主要影响因素情况见表</w:t>
      </w:r>
      <w:r>
        <w:rPr>
          <w:sz w:val="24"/>
        </w:rPr>
        <w:t>3-1-</w:t>
      </w:r>
      <w:r>
        <w:rPr>
          <w:rFonts w:hint="eastAsia"/>
          <w:sz w:val="24"/>
        </w:rPr>
        <w:t>3</w:t>
      </w:r>
      <w:r>
        <w:rPr>
          <w:sz w:val="24"/>
        </w:rPr>
        <w:t>。</w:t>
      </w:r>
    </w:p>
    <w:p w:rsidR="00EE4502" w:rsidRDefault="00FD45A3">
      <w:pPr>
        <w:spacing w:line="360" w:lineRule="auto"/>
        <w:jc w:val="center"/>
        <w:rPr>
          <w:rFonts w:eastAsia="黑体"/>
        </w:rPr>
      </w:pPr>
      <w:r>
        <w:rPr>
          <w:rFonts w:eastAsia="黑体"/>
        </w:rPr>
        <w:t>表</w:t>
      </w:r>
      <w:r>
        <w:rPr>
          <w:rFonts w:eastAsia="黑体"/>
        </w:rPr>
        <w:t>3-1-</w:t>
      </w:r>
      <w:r>
        <w:rPr>
          <w:rFonts w:eastAsia="黑体" w:hint="eastAsia"/>
        </w:rPr>
        <w:t>3</w:t>
      </w:r>
      <w:r>
        <w:rPr>
          <w:rFonts w:eastAsia="黑体"/>
        </w:rPr>
        <w:t xml:space="preserve">   </w:t>
      </w:r>
      <w:r>
        <w:rPr>
          <w:rFonts w:eastAsia="黑体"/>
        </w:rPr>
        <w:t>春风油田污染源及主要影响因素一览表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
        <w:gridCol w:w="835"/>
        <w:gridCol w:w="932"/>
        <w:gridCol w:w="1288"/>
        <w:gridCol w:w="3108"/>
        <w:gridCol w:w="1859"/>
      </w:tblGrid>
      <w:tr w:rsidR="00EE4502">
        <w:trPr>
          <w:trHeight w:val="340"/>
          <w:jc w:val="center"/>
        </w:trPr>
        <w:tc>
          <w:tcPr>
            <w:tcW w:w="292" w:type="pct"/>
            <w:vAlign w:val="center"/>
          </w:tcPr>
          <w:p w:rsidR="00EE4502" w:rsidRDefault="00FD45A3">
            <w:pPr>
              <w:jc w:val="center"/>
              <w:rPr>
                <w:sz w:val="18"/>
                <w:szCs w:val="18"/>
              </w:rPr>
            </w:pPr>
            <w:r>
              <w:rPr>
                <w:rFonts w:hAnsi="宋体"/>
                <w:sz w:val="18"/>
                <w:szCs w:val="18"/>
              </w:rPr>
              <w:t>序号</w:t>
            </w:r>
          </w:p>
        </w:tc>
        <w:tc>
          <w:tcPr>
            <w:tcW w:w="490" w:type="pct"/>
            <w:vAlign w:val="center"/>
          </w:tcPr>
          <w:p w:rsidR="00EE4502" w:rsidRDefault="00FD45A3">
            <w:pPr>
              <w:jc w:val="center"/>
              <w:rPr>
                <w:sz w:val="18"/>
                <w:szCs w:val="18"/>
              </w:rPr>
            </w:pPr>
            <w:r>
              <w:rPr>
                <w:rFonts w:hAnsi="宋体"/>
                <w:sz w:val="18"/>
                <w:szCs w:val="18"/>
              </w:rPr>
              <w:t>影响类别</w:t>
            </w:r>
          </w:p>
        </w:tc>
        <w:tc>
          <w:tcPr>
            <w:tcW w:w="1303" w:type="pct"/>
            <w:gridSpan w:val="2"/>
            <w:vAlign w:val="center"/>
          </w:tcPr>
          <w:p w:rsidR="00EE4502" w:rsidRDefault="00FD45A3">
            <w:pPr>
              <w:jc w:val="center"/>
              <w:rPr>
                <w:sz w:val="18"/>
                <w:szCs w:val="18"/>
              </w:rPr>
            </w:pPr>
            <w:r>
              <w:rPr>
                <w:rFonts w:hAnsi="宋体"/>
                <w:sz w:val="18"/>
                <w:szCs w:val="18"/>
              </w:rPr>
              <w:t>污染源</w:t>
            </w:r>
          </w:p>
        </w:tc>
        <w:tc>
          <w:tcPr>
            <w:tcW w:w="1824" w:type="pct"/>
            <w:vAlign w:val="center"/>
          </w:tcPr>
          <w:p w:rsidR="00EE4502" w:rsidRDefault="00FD45A3">
            <w:pPr>
              <w:jc w:val="center"/>
              <w:rPr>
                <w:sz w:val="18"/>
                <w:szCs w:val="18"/>
              </w:rPr>
            </w:pPr>
            <w:r>
              <w:rPr>
                <w:rFonts w:hAnsi="宋体"/>
                <w:sz w:val="18"/>
                <w:szCs w:val="18"/>
              </w:rPr>
              <w:t>污染物</w:t>
            </w:r>
            <w:r>
              <w:rPr>
                <w:sz w:val="18"/>
                <w:szCs w:val="18"/>
              </w:rPr>
              <w:t>/</w:t>
            </w:r>
            <w:r>
              <w:rPr>
                <w:rFonts w:hAnsi="宋体"/>
                <w:sz w:val="18"/>
                <w:szCs w:val="18"/>
              </w:rPr>
              <w:t>影响类别</w:t>
            </w:r>
          </w:p>
        </w:tc>
        <w:tc>
          <w:tcPr>
            <w:tcW w:w="1091" w:type="pct"/>
            <w:vAlign w:val="center"/>
          </w:tcPr>
          <w:p w:rsidR="00EE4502" w:rsidRDefault="00FD45A3">
            <w:pPr>
              <w:jc w:val="center"/>
              <w:rPr>
                <w:sz w:val="18"/>
                <w:szCs w:val="18"/>
              </w:rPr>
            </w:pPr>
            <w:r>
              <w:rPr>
                <w:rFonts w:hAnsi="宋体"/>
                <w:sz w:val="18"/>
                <w:szCs w:val="18"/>
              </w:rPr>
              <w:t>备注</w:t>
            </w:r>
          </w:p>
        </w:tc>
      </w:tr>
      <w:tr w:rsidR="00EE4502">
        <w:trPr>
          <w:trHeight w:val="340"/>
          <w:jc w:val="center"/>
        </w:trPr>
        <w:tc>
          <w:tcPr>
            <w:tcW w:w="292" w:type="pct"/>
            <w:vMerge w:val="restart"/>
            <w:vAlign w:val="center"/>
          </w:tcPr>
          <w:p w:rsidR="00EE4502" w:rsidRDefault="00FD45A3">
            <w:pPr>
              <w:jc w:val="center"/>
              <w:rPr>
                <w:sz w:val="18"/>
                <w:szCs w:val="18"/>
              </w:rPr>
            </w:pPr>
            <w:r>
              <w:rPr>
                <w:sz w:val="18"/>
                <w:szCs w:val="18"/>
              </w:rPr>
              <w:t>1</w:t>
            </w:r>
          </w:p>
        </w:tc>
        <w:tc>
          <w:tcPr>
            <w:tcW w:w="490" w:type="pct"/>
            <w:vMerge w:val="restart"/>
            <w:vAlign w:val="center"/>
          </w:tcPr>
          <w:p w:rsidR="00EE4502" w:rsidRDefault="00FD45A3">
            <w:pPr>
              <w:jc w:val="center"/>
              <w:rPr>
                <w:sz w:val="18"/>
                <w:szCs w:val="18"/>
              </w:rPr>
            </w:pPr>
            <w:r>
              <w:rPr>
                <w:rFonts w:hAnsi="宋体"/>
                <w:sz w:val="18"/>
                <w:szCs w:val="18"/>
              </w:rPr>
              <w:t>废气</w:t>
            </w:r>
          </w:p>
        </w:tc>
        <w:tc>
          <w:tcPr>
            <w:tcW w:w="1303" w:type="pct"/>
            <w:gridSpan w:val="2"/>
            <w:vAlign w:val="center"/>
          </w:tcPr>
          <w:p w:rsidR="00EE4502" w:rsidRDefault="00FD45A3">
            <w:pPr>
              <w:jc w:val="center"/>
              <w:rPr>
                <w:sz w:val="18"/>
                <w:szCs w:val="18"/>
              </w:rPr>
            </w:pPr>
            <w:r>
              <w:rPr>
                <w:rFonts w:hAnsi="宋体"/>
                <w:sz w:val="18"/>
                <w:szCs w:val="18"/>
              </w:rPr>
              <w:t>燃料燃烧烟气</w:t>
            </w:r>
          </w:p>
        </w:tc>
        <w:tc>
          <w:tcPr>
            <w:tcW w:w="1824" w:type="pct"/>
            <w:vAlign w:val="center"/>
          </w:tcPr>
          <w:p w:rsidR="00EE4502" w:rsidRDefault="00FD45A3">
            <w:pPr>
              <w:jc w:val="center"/>
              <w:rPr>
                <w:sz w:val="18"/>
                <w:szCs w:val="18"/>
              </w:rPr>
            </w:pPr>
            <w:r>
              <w:rPr>
                <w:sz w:val="18"/>
                <w:szCs w:val="18"/>
              </w:rPr>
              <w:t>SO</w:t>
            </w:r>
            <w:r>
              <w:rPr>
                <w:sz w:val="18"/>
                <w:szCs w:val="18"/>
                <w:vertAlign w:val="subscript"/>
              </w:rPr>
              <w:t>2</w:t>
            </w:r>
            <w:r>
              <w:rPr>
                <w:rFonts w:hAnsi="宋体"/>
                <w:sz w:val="18"/>
                <w:szCs w:val="18"/>
              </w:rPr>
              <w:t>、</w:t>
            </w:r>
            <w:r>
              <w:rPr>
                <w:sz w:val="18"/>
                <w:szCs w:val="18"/>
              </w:rPr>
              <w:t>NOx</w:t>
            </w:r>
            <w:r>
              <w:rPr>
                <w:rFonts w:hAnsi="宋体"/>
                <w:sz w:val="18"/>
                <w:szCs w:val="18"/>
              </w:rPr>
              <w:t>、颗粒物、林格曼黑度</w:t>
            </w:r>
          </w:p>
        </w:tc>
        <w:tc>
          <w:tcPr>
            <w:tcW w:w="1091" w:type="pct"/>
            <w:vAlign w:val="center"/>
          </w:tcPr>
          <w:p w:rsidR="00EE4502" w:rsidRDefault="00FD45A3">
            <w:pPr>
              <w:jc w:val="center"/>
              <w:rPr>
                <w:sz w:val="18"/>
                <w:szCs w:val="18"/>
              </w:rPr>
            </w:pPr>
            <w:r>
              <w:rPr>
                <w:rFonts w:hAnsi="宋体"/>
                <w:sz w:val="18"/>
                <w:szCs w:val="18"/>
              </w:rPr>
              <w:t>注汽站锅炉</w:t>
            </w:r>
          </w:p>
        </w:tc>
      </w:tr>
      <w:tr w:rsidR="00EE4502">
        <w:trPr>
          <w:trHeight w:val="340"/>
          <w:jc w:val="center"/>
        </w:trPr>
        <w:tc>
          <w:tcPr>
            <w:tcW w:w="292" w:type="pct"/>
            <w:vMerge/>
            <w:vAlign w:val="center"/>
          </w:tcPr>
          <w:p w:rsidR="00EE4502" w:rsidRDefault="00EE4502">
            <w:pPr>
              <w:jc w:val="center"/>
              <w:rPr>
                <w:sz w:val="18"/>
                <w:szCs w:val="18"/>
              </w:rPr>
            </w:pPr>
          </w:p>
        </w:tc>
        <w:tc>
          <w:tcPr>
            <w:tcW w:w="490" w:type="pct"/>
            <w:vMerge/>
            <w:vAlign w:val="center"/>
          </w:tcPr>
          <w:p w:rsidR="00EE4502" w:rsidRDefault="00EE4502">
            <w:pPr>
              <w:jc w:val="center"/>
              <w:rPr>
                <w:sz w:val="18"/>
                <w:szCs w:val="18"/>
              </w:rPr>
            </w:pPr>
          </w:p>
        </w:tc>
        <w:tc>
          <w:tcPr>
            <w:tcW w:w="1303" w:type="pct"/>
            <w:gridSpan w:val="2"/>
            <w:vAlign w:val="center"/>
          </w:tcPr>
          <w:p w:rsidR="00EE4502" w:rsidRDefault="00FD45A3">
            <w:pPr>
              <w:pStyle w:val="affffffffff"/>
              <w:kinsoku/>
              <w:wordWrap/>
              <w:overflowPunct/>
              <w:adjustRightInd/>
              <w:spacing w:after="0" w:line="240" w:lineRule="auto"/>
              <w:ind w:left="360" w:hanging="360"/>
              <w:rPr>
                <w:sz w:val="18"/>
                <w:szCs w:val="18"/>
              </w:rPr>
            </w:pPr>
            <w:r>
              <w:rPr>
                <w:rFonts w:hAnsi="宋体"/>
                <w:sz w:val="18"/>
                <w:szCs w:val="18"/>
              </w:rPr>
              <w:t>储罐大小呼吸废气</w:t>
            </w:r>
          </w:p>
        </w:tc>
        <w:tc>
          <w:tcPr>
            <w:tcW w:w="1824" w:type="pct"/>
            <w:vAlign w:val="center"/>
          </w:tcPr>
          <w:p w:rsidR="00EE4502" w:rsidRDefault="00FD45A3">
            <w:pPr>
              <w:pStyle w:val="affffffffff"/>
              <w:kinsoku/>
              <w:wordWrap/>
              <w:overflowPunct/>
              <w:adjustRightInd/>
              <w:spacing w:after="0" w:line="240" w:lineRule="auto"/>
              <w:ind w:left="360" w:hanging="360"/>
              <w:rPr>
                <w:sz w:val="18"/>
                <w:szCs w:val="18"/>
              </w:rPr>
            </w:pPr>
            <w:r>
              <w:rPr>
                <w:rFonts w:hAnsi="宋体"/>
                <w:sz w:val="18"/>
                <w:szCs w:val="18"/>
              </w:rPr>
              <w:t>非甲烷总烃</w:t>
            </w:r>
          </w:p>
        </w:tc>
        <w:tc>
          <w:tcPr>
            <w:tcW w:w="1091" w:type="pct"/>
            <w:vAlign w:val="center"/>
          </w:tcPr>
          <w:p w:rsidR="00EE4502" w:rsidRDefault="00FD45A3">
            <w:pPr>
              <w:pStyle w:val="affffffffff"/>
              <w:kinsoku/>
              <w:wordWrap/>
              <w:overflowPunct/>
              <w:adjustRightInd/>
              <w:spacing w:after="0" w:line="240" w:lineRule="auto"/>
              <w:ind w:left="360" w:hanging="360"/>
              <w:rPr>
                <w:sz w:val="18"/>
                <w:szCs w:val="18"/>
              </w:rPr>
            </w:pPr>
            <w:r>
              <w:rPr>
                <w:rFonts w:hAnsi="宋体"/>
                <w:sz w:val="18"/>
                <w:szCs w:val="18"/>
              </w:rPr>
              <w:t>站场储油罐</w:t>
            </w:r>
          </w:p>
        </w:tc>
      </w:tr>
      <w:tr w:rsidR="00EE4502">
        <w:trPr>
          <w:trHeight w:val="340"/>
          <w:jc w:val="center"/>
        </w:trPr>
        <w:tc>
          <w:tcPr>
            <w:tcW w:w="292" w:type="pct"/>
            <w:vMerge/>
            <w:vAlign w:val="center"/>
          </w:tcPr>
          <w:p w:rsidR="00EE4502" w:rsidRDefault="00EE4502">
            <w:pPr>
              <w:jc w:val="center"/>
              <w:rPr>
                <w:sz w:val="18"/>
                <w:szCs w:val="18"/>
              </w:rPr>
            </w:pPr>
          </w:p>
        </w:tc>
        <w:tc>
          <w:tcPr>
            <w:tcW w:w="490" w:type="pct"/>
            <w:vMerge/>
            <w:vAlign w:val="center"/>
          </w:tcPr>
          <w:p w:rsidR="00EE4502" w:rsidRDefault="00EE4502">
            <w:pPr>
              <w:jc w:val="center"/>
              <w:rPr>
                <w:sz w:val="18"/>
                <w:szCs w:val="18"/>
              </w:rPr>
            </w:pPr>
          </w:p>
        </w:tc>
        <w:tc>
          <w:tcPr>
            <w:tcW w:w="1303" w:type="pct"/>
            <w:gridSpan w:val="2"/>
            <w:vAlign w:val="center"/>
          </w:tcPr>
          <w:p w:rsidR="00EE4502" w:rsidRDefault="00FD45A3">
            <w:pPr>
              <w:pStyle w:val="affffffffff"/>
              <w:kinsoku/>
              <w:wordWrap/>
              <w:overflowPunct/>
              <w:adjustRightInd/>
              <w:spacing w:after="0" w:line="240" w:lineRule="auto"/>
              <w:ind w:left="360" w:hanging="360"/>
              <w:rPr>
                <w:sz w:val="18"/>
                <w:szCs w:val="18"/>
              </w:rPr>
            </w:pPr>
            <w:r>
              <w:rPr>
                <w:rFonts w:hAnsi="宋体"/>
                <w:sz w:val="18"/>
                <w:szCs w:val="18"/>
              </w:rPr>
              <w:t>集输过程无组织废气</w:t>
            </w:r>
          </w:p>
        </w:tc>
        <w:tc>
          <w:tcPr>
            <w:tcW w:w="1824" w:type="pct"/>
            <w:vAlign w:val="center"/>
          </w:tcPr>
          <w:p w:rsidR="00EE4502" w:rsidRDefault="00FD45A3">
            <w:pPr>
              <w:pStyle w:val="affffffffff"/>
              <w:kinsoku/>
              <w:wordWrap/>
              <w:overflowPunct/>
              <w:adjustRightInd/>
              <w:spacing w:after="0" w:line="240" w:lineRule="auto"/>
              <w:ind w:left="360" w:hanging="360"/>
              <w:rPr>
                <w:sz w:val="18"/>
                <w:szCs w:val="18"/>
              </w:rPr>
            </w:pPr>
            <w:r>
              <w:rPr>
                <w:rFonts w:hAnsi="宋体"/>
                <w:sz w:val="18"/>
                <w:szCs w:val="18"/>
              </w:rPr>
              <w:t>非甲烷总烃</w:t>
            </w:r>
          </w:p>
        </w:tc>
        <w:tc>
          <w:tcPr>
            <w:tcW w:w="1091" w:type="pct"/>
            <w:vAlign w:val="center"/>
          </w:tcPr>
          <w:p w:rsidR="00EE4502" w:rsidRDefault="00FD45A3">
            <w:pPr>
              <w:pStyle w:val="affffffffff"/>
              <w:kinsoku/>
              <w:wordWrap/>
              <w:overflowPunct/>
              <w:adjustRightInd/>
              <w:spacing w:after="0" w:line="240" w:lineRule="auto"/>
              <w:ind w:left="360" w:hanging="360"/>
              <w:rPr>
                <w:sz w:val="18"/>
                <w:szCs w:val="18"/>
              </w:rPr>
            </w:pPr>
            <w:r>
              <w:rPr>
                <w:sz w:val="18"/>
                <w:szCs w:val="18"/>
              </w:rPr>
              <w:t>/</w:t>
            </w:r>
          </w:p>
        </w:tc>
      </w:tr>
      <w:tr w:rsidR="00EE4502">
        <w:trPr>
          <w:trHeight w:val="340"/>
          <w:jc w:val="center"/>
        </w:trPr>
        <w:tc>
          <w:tcPr>
            <w:tcW w:w="292" w:type="pct"/>
            <w:vMerge w:val="restart"/>
            <w:vAlign w:val="center"/>
          </w:tcPr>
          <w:p w:rsidR="00EE4502" w:rsidRDefault="00FD45A3">
            <w:pPr>
              <w:jc w:val="center"/>
              <w:rPr>
                <w:sz w:val="18"/>
                <w:szCs w:val="18"/>
              </w:rPr>
            </w:pPr>
            <w:r>
              <w:rPr>
                <w:sz w:val="18"/>
                <w:szCs w:val="18"/>
              </w:rPr>
              <w:t>2</w:t>
            </w:r>
          </w:p>
        </w:tc>
        <w:tc>
          <w:tcPr>
            <w:tcW w:w="490" w:type="pct"/>
            <w:vMerge w:val="restart"/>
            <w:vAlign w:val="center"/>
          </w:tcPr>
          <w:p w:rsidR="00EE4502" w:rsidRDefault="00FD45A3">
            <w:pPr>
              <w:jc w:val="center"/>
              <w:rPr>
                <w:sz w:val="18"/>
                <w:szCs w:val="18"/>
              </w:rPr>
            </w:pPr>
            <w:r>
              <w:rPr>
                <w:rFonts w:hAnsi="宋体"/>
                <w:sz w:val="18"/>
                <w:szCs w:val="18"/>
              </w:rPr>
              <w:t>废水</w:t>
            </w:r>
          </w:p>
        </w:tc>
        <w:tc>
          <w:tcPr>
            <w:tcW w:w="547" w:type="pct"/>
            <w:vMerge w:val="restart"/>
            <w:vAlign w:val="center"/>
          </w:tcPr>
          <w:p w:rsidR="00EE4502" w:rsidRDefault="00FD45A3">
            <w:pPr>
              <w:jc w:val="center"/>
              <w:rPr>
                <w:sz w:val="18"/>
                <w:szCs w:val="18"/>
              </w:rPr>
            </w:pPr>
            <w:r>
              <w:rPr>
                <w:rFonts w:hAnsi="宋体"/>
                <w:sz w:val="18"/>
                <w:szCs w:val="18"/>
              </w:rPr>
              <w:t>生产废水</w:t>
            </w:r>
          </w:p>
        </w:tc>
        <w:tc>
          <w:tcPr>
            <w:tcW w:w="756" w:type="pct"/>
            <w:vAlign w:val="center"/>
          </w:tcPr>
          <w:p w:rsidR="00EE4502" w:rsidRDefault="00FD45A3">
            <w:pPr>
              <w:jc w:val="center"/>
              <w:rPr>
                <w:sz w:val="18"/>
                <w:szCs w:val="18"/>
              </w:rPr>
            </w:pPr>
            <w:r>
              <w:rPr>
                <w:rFonts w:hAnsi="宋体"/>
                <w:sz w:val="18"/>
                <w:szCs w:val="18"/>
              </w:rPr>
              <w:t>钻井废水</w:t>
            </w:r>
          </w:p>
        </w:tc>
        <w:tc>
          <w:tcPr>
            <w:tcW w:w="1824" w:type="pct"/>
            <w:vMerge w:val="restart"/>
            <w:vAlign w:val="center"/>
          </w:tcPr>
          <w:p w:rsidR="00EE4502" w:rsidRDefault="00FD45A3">
            <w:pPr>
              <w:jc w:val="center"/>
              <w:rPr>
                <w:sz w:val="18"/>
                <w:szCs w:val="18"/>
              </w:rPr>
            </w:pPr>
            <w:r>
              <w:rPr>
                <w:sz w:val="18"/>
                <w:szCs w:val="18"/>
              </w:rPr>
              <w:t>pH</w:t>
            </w:r>
            <w:r>
              <w:rPr>
                <w:rFonts w:hAnsi="宋体"/>
                <w:sz w:val="18"/>
                <w:szCs w:val="18"/>
              </w:rPr>
              <w:t>、</w:t>
            </w:r>
            <w:r>
              <w:rPr>
                <w:sz w:val="18"/>
                <w:szCs w:val="18"/>
              </w:rPr>
              <w:t>COD</w:t>
            </w:r>
            <w:r>
              <w:rPr>
                <w:rFonts w:hAnsi="宋体"/>
                <w:sz w:val="18"/>
                <w:szCs w:val="18"/>
              </w:rPr>
              <w:t>、石油类、悬浮物、总汞、总镉、总铬、总砷、六价铬、挥发酚、硫化物、氯化物</w:t>
            </w:r>
          </w:p>
        </w:tc>
        <w:tc>
          <w:tcPr>
            <w:tcW w:w="1091" w:type="pct"/>
            <w:vMerge w:val="restart"/>
            <w:vAlign w:val="center"/>
          </w:tcPr>
          <w:p w:rsidR="00EE4502" w:rsidRDefault="00FD45A3">
            <w:pPr>
              <w:jc w:val="center"/>
              <w:rPr>
                <w:sz w:val="18"/>
                <w:szCs w:val="18"/>
              </w:rPr>
            </w:pPr>
            <w:r>
              <w:rPr>
                <w:sz w:val="18"/>
                <w:szCs w:val="18"/>
              </w:rPr>
              <w:t>/</w:t>
            </w:r>
          </w:p>
        </w:tc>
      </w:tr>
      <w:tr w:rsidR="00EE4502">
        <w:trPr>
          <w:trHeight w:val="340"/>
          <w:jc w:val="center"/>
        </w:trPr>
        <w:tc>
          <w:tcPr>
            <w:tcW w:w="292" w:type="pct"/>
            <w:vMerge/>
            <w:vAlign w:val="center"/>
          </w:tcPr>
          <w:p w:rsidR="00EE4502" w:rsidRDefault="00EE4502">
            <w:pPr>
              <w:jc w:val="center"/>
              <w:rPr>
                <w:sz w:val="18"/>
                <w:szCs w:val="18"/>
              </w:rPr>
            </w:pPr>
          </w:p>
        </w:tc>
        <w:tc>
          <w:tcPr>
            <w:tcW w:w="490" w:type="pct"/>
            <w:vMerge/>
            <w:vAlign w:val="center"/>
          </w:tcPr>
          <w:p w:rsidR="00EE4502" w:rsidRDefault="00EE4502">
            <w:pPr>
              <w:jc w:val="center"/>
              <w:rPr>
                <w:sz w:val="18"/>
                <w:szCs w:val="18"/>
              </w:rPr>
            </w:pPr>
          </w:p>
        </w:tc>
        <w:tc>
          <w:tcPr>
            <w:tcW w:w="547" w:type="pct"/>
            <w:vMerge/>
            <w:vAlign w:val="center"/>
          </w:tcPr>
          <w:p w:rsidR="00EE4502" w:rsidRDefault="00EE4502">
            <w:pPr>
              <w:jc w:val="center"/>
              <w:rPr>
                <w:sz w:val="18"/>
                <w:szCs w:val="18"/>
              </w:rPr>
            </w:pPr>
          </w:p>
        </w:tc>
        <w:tc>
          <w:tcPr>
            <w:tcW w:w="756" w:type="pct"/>
            <w:vAlign w:val="center"/>
          </w:tcPr>
          <w:p w:rsidR="00EE4502" w:rsidRDefault="00FD45A3">
            <w:pPr>
              <w:pStyle w:val="affffffffff"/>
              <w:kinsoku/>
              <w:wordWrap/>
              <w:overflowPunct/>
              <w:adjustRightInd/>
              <w:spacing w:after="0" w:line="240" w:lineRule="auto"/>
              <w:ind w:left="360" w:hanging="360"/>
              <w:rPr>
                <w:sz w:val="18"/>
                <w:szCs w:val="18"/>
              </w:rPr>
            </w:pPr>
            <w:r>
              <w:rPr>
                <w:rFonts w:hAnsi="宋体"/>
                <w:sz w:val="18"/>
                <w:szCs w:val="18"/>
              </w:rPr>
              <w:t>采油废水</w:t>
            </w:r>
          </w:p>
        </w:tc>
        <w:tc>
          <w:tcPr>
            <w:tcW w:w="1824" w:type="pct"/>
            <w:vMerge/>
            <w:vAlign w:val="center"/>
          </w:tcPr>
          <w:p w:rsidR="00EE4502" w:rsidRDefault="00EE4502">
            <w:pPr>
              <w:jc w:val="center"/>
              <w:rPr>
                <w:sz w:val="18"/>
                <w:szCs w:val="18"/>
              </w:rPr>
            </w:pPr>
          </w:p>
        </w:tc>
        <w:tc>
          <w:tcPr>
            <w:tcW w:w="1091" w:type="pct"/>
            <w:vMerge/>
            <w:vAlign w:val="center"/>
          </w:tcPr>
          <w:p w:rsidR="00EE4502" w:rsidRDefault="00EE4502">
            <w:pPr>
              <w:jc w:val="center"/>
              <w:rPr>
                <w:sz w:val="18"/>
                <w:szCs w:val="18"/>
              </w:rPr>
            </w:pPr>
          </w:p>
        </w:tc>
      </w:tr>
      <w:tr w:rsidR="00EE4502">
        <w:trPr>
          <w:trHeight w:val="340"/>
          <w:jc w:val="center"/>
        </w:trPr>
        <w:tc>
          <w:tcPr>
            <w:tcW w:w="292" w:type="pct"/>
            <w:vMerge/>
            <w:vAlign w:val="center"/>
          </w:tcPr>
          <w:p w:rsidR="00EE4502" w:rsidRDefault="00EE4502">
            <w:pPr>
              <w:jc w:val="center"/>
              <w:rPr>
                <w:sz w:val="18"/>
                <w:szCs w:val="18"/>
              </w:rPr>
            </w:pPr>
          </w:p>
        </w:tc>
        <w:tc>
          <w:tcPr>
            <w:tcW w:w="490" w:type="pct"/>
            <w:vMerge/>
            <w:vAlign w:val="center"/>
          </w:tcPr>
          <w:p w:rsidR="00EE4502" w:rsidRDefault="00EE4502">
            <w:pPr>
              <w:jc w:val="center"/>
              <w:rPr>
                <w:sz w:val="18"/>
                <w:szCs w:val="18"/>
              </w:rPr>
            </w:pPr>
          </w:p>
        </w:tc>
        <w:tc>
          <w:tcPr>
            <w:tcW w:w="547" w:type="pct"/>
            <w:vMerge/>
            <w:vAlign w:val="center"/>
          </w:tcPr>
          <w:p w:rsidR="00EE4502" w:rsidRDefault="00EE4502">
            <w:pPr>
              <w:jc w:val="center"/>
              <w:rPr>
                <w:sz w:val="18"/>
                <w:szCs w:val="18"/>
              </w:rPr>
            </w:pPr>
          </w:p>
        </w:tc>
        <w:tc>
          <w:tcPr>
            <w:tcW w:w="756" w:type="pct"/>
            <w:vAlign w:val="center"/>
          </w:tcPr>
          <w:p w:rsidR="00EE4502" w:rsidRDefault="00FD45A3">
            <w:pPr>
              <w:pStyle w:val="affffffffff"/>
              <w:kinsoku/>
              <w:wordWrap/>
              <w:overflowPunct/>
              <w:adjustRightInd/>
              <w:spacing w:after="0" w:line="240" w:lineRule="auto"/>
              <w:ind w:left="360" w:hanging="360"/>
              <w:rPr>
                <w:sz w:val="18"/>
                <w:szCs w:val="18"/>
              </w:rPr>
            </w:pPr>
            <w:r>
              <w:rPr>
                <w:rFonts w:hAnsi="宋体"/>
                <w:sz w:val="18"/>
                <w:szCs w:val="18"/>
              </w:rPr>
              <w:t>锅炉废水</w:t>
            </w:r>
          </w:p>
        </w:tc>
        <w:tc>
          <w:tcPr>
            <w:tcW w:w="1824" w:type="pct"/>
            <w:vAlign w:val="center"/>
          </w:tcPr>
          <w:p w:rsidR="00EE4502" w:rsidRDefault="00FD45A3">
            <w:pPr>
              <w:pStyle w:val="affffffffff"/>
              <w:kinsoku/>
              <w:wordWrap/>
              <w:overflowPunct/>
              <w:adjustRightInd/>
              <w:spacing w:after="0" w:line="240" w:lineRule="auto"/>
              <w:ind w:left="360" w:hanging="360"/>
              <w:rPr>
                <w:sz w:val="18"/>
                <w:szCs w:val="18"/>
              </w:rPr>
            </w:pPr>
            <w:r>
              <w:rPr>
                <w:rFonts w:hint="eastAsia"/>
                <w:sz w:val="18"/>
                <w:szCs w:val="18"/>
              </w:rPr>
              <w:t>钠离子、镁离子</w:t>
            </w:r>
          </w:p>
        </w:tc>
        <w:tc>
          <w:tcPr>
            <w:tcW w:w="1091" w:type="pct"/>
            <w:vMerge/>
            <w:vAlign w:val="center"/>
          </w:tcPr>
          <w:p w:rsidR="00EE4502" w:rsidRDefault="00EE4502">
            <w:pPr>
              <w:jc w:val="center"/>
              <w:rPr>
                <w:sz w:val="18"/>
                <w:szCs w:val="18"/>
              </w:rPr>
            </w:pPr>
          </w:p>
        </w:tc>
      </w:tr>
      <w:tr w:rsidR="00EE4502">
        <w:trPr>
          <w:trHeight w:val="340"/>
          <w:jc w:val="center"/>
        </w:trPr>
        <w:tc>
          <w:tcPr>
            <w:tcW w:w="292" w:type="pct"/>
            <w:vMerge/>
            <w:vAlign w:val="center"/>
          </w:tcPr>
          <w:p w:rsidR="00EE4502" w:rsidRDefault="00EE4502">
            <w:pPr>
              <w:jc w:val="center"/>
              <w:rPr>
                <w:sz w:val="18"/>
                <w:szCs w:val="18"/>
              </w:rPr>
            </w:pPr>
          </w:p>
        </w:tc>
        <w:tc>
          <w:tcPr>
            <w:tcW w:w="490" w:type="pct"/>
            <w:vMerge/>
            <w:vAlign w:val="center"/>
          </w:tcPr>
          <w:p w:rsidR="00EE4502" w:rsidRDefault="00EE4502">
            <w:pPr>
              <w:jc w:val="center"/>
              <w:rPr>
                <w:sz w:val="18"/>
                <w:szCs w:val="18"/>
              </w:rPr>
            </w:pPr>
          </w:p>
        </w:tc>
        <w:tc>
          <w:tcPr>
            <w:tcW w:w="1303" w:type="pct"/>
            <w:gridSpan w:val="2"/>
            <w:vAlign w:val="center"/>
          </w:tcPr>
          <w:p w:rsidR="00EE4502" w:rsidRDefault="00FD45A3">
            <w:pPr>
              <w:pStyle w:val="affffffffff"/>
              <w:kinsoku/>
              <w:wordWrap/>
              <w:overflowPunct/>
              <w:adjustRightInd/>
              <w:spacing w:after="0" w:line="240" w:lineRule="auto"/>
              <w:ind w:left="360" w:hanging="360"/>
              <w:rPr>
                <w:sz w:val="18"/>
                <w:szCs w:val="18"/>
              </w:rPr>
            </w:pPr>
            <w:r>
              <w:rPr>
                <w:rFonts w:hAnsi="宋体"/>
                <w:sz w:val="18"/>
                <w:szCs w:val="18"/>
              </w:rPr>
              <w:t>生活废水</w:t>
            </w:r>
          </w:p>
        </w:tc>
        <w:tc>
          <w:tcPr>
            <w:tcW w:w="1824" w:type="pct"/>
            <w:vAlign w:val="center"/>
          </w:tcPr>
          <w:p w:rsidR="00EE4502" w:rsidRDefault="00FD45A3">
            <w:pPr>
              <w:pStyle w:val="affffffffff"/>
              <w:kinsoku/>
              <w:wordWrap/>
              <w:overflowPunct/>
              <w:adjustRightInd/>
              <w:spacing w:after="0" w:line="240" w:lineRule="auto"/>
              <w:ind w:left="360" w:hanging="360"/>
              <w:rPr>
                <w:sz w:val="18"/>
                <w:szCs w:val="18"/>
              </w:rPr>
            </w:pPr>
            <w:r>
              <w:rPr>
                <w:sz w:val="18"/>
                <w:szCs w:val="18"/>
              </w:rPr>
              <w:t>pH</w:t>
            </w:r>
            <w:r>
              <w:rPr>
                <w:rFonts w:hAnsi="宋体"/>
                <w:sz w:val="18"/>
                <w:szCs w:val="18"/>
              </w:rPr>
              <w:t>、</w:t>
            </w:r>
            <w:r>
              <w:rPr>
                <w:sz w:val="18"/>
                <w:szCs w:val="18"/>
              </w:rPr>
              <w:t>COD</w:t>
            </w:r>
            <w:r>
              <w:rPr>
                <w:rFonts w:hAnsi="宋体"/>
                <w:sz w:val="18"/>
                <w:szCs w:val="18"/>
              </w:rPr>
              <w:t>、氨氮、动植物油、总氮、总磷、</w:t>
            </w:r>
            <w:r>
              <w:rPr>
                <w:sz w:val="18"/>
                <w:szCs w:val="18"/>
              </w:rPr>
              <w:t>BOD</w:t>
            </w:r>
            <w:r>
              <w:rPr>
                <w:sz w:val="18"/>
                <w:szCs w:val="18"/>
                <w:vertAlign w:val="subscript"/>
              </w:rPr>
              <w:t>5</w:t>
            </w:r>
            <w:r>
              <w:rPr>
                <w:rFonts w:hAnsi="宋体"/>
                <w:sz w:val="18"/>
                <w:szCs w:val="18"/>
              </w:rPr>
              <w:t>、悬浮物、阴离子洗涤剂</w:t>
            </w:r>
          </w:p>
        </w:tc>
        <w:tc>
          <w:tcPr>
            <w:tcW w:w="1091" w:type="pct"/>
            <w:vAlign w:val="center"/>
          </w:tcPr>
          <w:p w:rsidR="00EE4502" w:rsidRDefault="00FD45A3">
            <w:pPr>
              <w:pStyle w:val="affffffffff"/>
              <w:kinsoku/>
              <w:wordWrap/>
              <w:overflowPunct/>
              <w:adjustRightInd/>
              <w:spacing w:after="0" w:line="240" w:lineRule="auto"/>
              <w:ind w:left="360" w:hanging="360"/>
              <w:rPr>
                <w:sz w:val="18"/>
                <w:szCs w:val="18"/>
              </w:rPr>
            </w:pPr>
            <w:r>
              <w:rPr>
                <w:sz w:val="18"/>
                <w:szCs w:val="18"/>
              </w:rPr>
              <w:t>/</w:t>
            </w:r>
          </w:p>
        </w:tc>
      </w:tr>
      <w:tr w:rsidR="00EE4502">
        <w:trPr>
          <w:trHeight w:val="340"/>
          <w:jc w:val="center"/>
        </w:trPr>
        <w:tc>
          <w:tcPr>
            <w:tcW w:w="292" w:type="pct"/>
            <w:vMerge w:val="restart"/>
            <w:vAlign w:val="center"/>
          </w:tcPr>
          <w:p w:rsidR="00EE4502" w:rsidRDefault="00FD45A3">
            <w:pPr>
              <w:jc w:val="center"/>
              <w:rPr>
                <w:sz w:val="18"/>
                <w:szCs w:val="18"/>
              </w:rPr>
            </w:pPr>
            <w:r>
              <w:rPr>
                <w:sz w:val="18"/>
                <w:szCs w:val="18"/>
              </w:rPr>
              <w:t>3</w:t>
            </w:r>
          </w:p>
        </w:tc>
        <w:tc>
          <w:tcPr>
            <w:tcW w:w="490" w:type="pct"/>
            <w:vMerge w:val="restart"/>
            <w:vAlign w:val="center"/>
          </w:tcPr>
          <w:p w:rsidR="00EE4502" w:rsidRDefault="00FD45A3">
            <w:pPr>
              <w:jc w:val="center"/>
              <w:rPr>
                <w:sz w:val="18"/>
                <w:szCs w:val="18"/>
              </w:rPr>
            </w:pPr>
            <w:r>
              <w:rPr>
                <w:rFonts w:hAnsi="宋体"/>
                <w:sz w:val="18"/>
                <w:szCs w:val="18"/>
              </w:rPr>
              <w:t>固体废物</w:t>
            </w:r>
          </w:p>
        </w:tc>
        <w:tc>
          <w:tcPr>
            <w:tcW w:w="1303" w:type="pct"/>
            <w:gridSpan w:val="2"/>
            <w:vAlign w:val="center"/>
          </w:tcPr>
          <w:p w:rsidR="00EE4502" w:rsidRDefault="00FD45A3">
            <w:pPr>
              <w:jc w:val="center"/>
              <w:rPr>
                <w:sz w:val="18"/>
                <w:szCs w:val="18"/>
              </w:rPr>
            </w:pPr>
            <w:r>
              <w:rPr>
                <w:rFonts w:hAnsi="宋体"/>
                <w:sz w:val="18"/>
                <w:szCs w:val="18"/>
              </w:rPr>
              <w:t>钻井、修井、井下作业</w:t>
            </w:r>
          </w:p>
        </w:tc>
        <w:tc>
          <w:tcPr>
            <w:tcW w:w="1824" w:type="pct"/>
            <w:vAlign w:val="center"/>
          </w:tcPr>
          <w:p w:rsidR="00EE4502" w:rsidRDefault="00FD45A3">
            <w:pPr>
              <w:jc w:val="center"/>
              <w:rPr>
                <w:sz w:val="18"/>
                <w:szCs w:val="18"/>
              </w:rPr>
            </w:pPr>
            <w:r>
              <w:rPr>
                <w:rFonts w:hAnsi="宋体"/>
                <w:sz w:val="18"/>
                <w:szCs w:val="18"/>
              </w:rPr>
              <w:t>废弃钻井泥浆</w:t>
            </w:r>
            <w:r>
              <w:rPr>
                <w:rFonts w:hAnsi="宋体" w:hint="eastAsia"/>
                <w:sz w:val="18"/>
                <w:szCs w:val="18"/>
              </w:rPr>
              <w:t>、岩屑</w:t>
            </w:r>
          </w:p>
        </w:tc>
        <w:tc>
          <w:tcPr>
            <w:tcW w:w="1091" w:type="pct"/>
            <w:vAlign w:val="center"/>
          </w:tcPr>
          <w:p w:rsidR="00EE4502" w:rsidRDefault="00FD45A3">
            <w:pPr>
              <w:jc w:val="center"/>
              <w:rPr>
                <w:sz w:val="18"/>
                <w:szCs w:val="18"/>
              </w:rPr>
            </w:pPr>
            <w:r>
              <w:rPr>
                <w:rFonts w:hAnsi="宋体"/>
                <w:sz w:val="18"/>
                <w:szCs w:val="18"/>
              </w:rPr>
              <w:t>一般工业固体废物</w:t>
            </w:r>
          </w:p>
        </w:tc>
      </w:tr>
      <w:tr w:rsidR="00EE4502">
        <w:trPr>
          <w:trHeight w:val="340"/>
          <w:jc w:val="center"/>
        </w:trPr>
        <w:tc>
          <w:tcPr>
            <w:tcW w:w="292" w:type="pct"/>
            <w:vMerge/>
            <w:vAlign w:val="center"/>
          </w:tcPr>
          <w:p w:rsidR="00EE4502" w:rsidRDefault="00EE4502">
            <w:pPr>
              <w:jc w:val="center"/>
              <w:rPr>
                <w:sz w:val="18"/>
                <w:szCs w:val="18"/>
              </w:rPr>
            </w:pPr>
          </w:p>
        </w:tc>
        <w:tc>
          <w:tcPr>
            <w:tcW w:w="490" w:type="pct"/>
            <w:vMerge/>
            <w:vAlign w:val="center"/>
          </w:tcPr>
          <w:p w:rsidR="00EE4502" w:rsidRDefault="00EE4502">
            <w:pPr>
              <w:jc w:val="center"/>
              <w:rPr>
                <w:sz w:val="18"/>
                <w:szCs w:val="18"/>
              </w:rPr>
            </w:pPr>
          </w:p>
        </w:tc>
        <w:tc>
          <w:tcPr>
            <w:tcW w:w="1303" w:type="pct"/>
            <w:gridSpan w:val="2"/>
            <w:vAlign w:val="center"/>
          </w:tcPr>
          <w:p w:rsidR="00EE4502" w:rsidRDefault="00FD45A3">
            <w:pPr>
              <w:pStyle w:val="affffffffff"/>
              <w:kinsoku/>
              <w:wordWrap/>
              <w:overflowPunct/>
              <w:adjustRightInd/>
              <w:spacing w:after="0" w:line="240" w:lineRule="auto"/>
              <w:ind w:left="360" w:hanging="360"/>
              <w:rPr>
                <w:sz w:val="18"/>
                <w:szCs w:val="18"/>
              </w:rPr>
            </w:pPr>
            <w:r>
              <w:rPr>
                <w:rFonts w:hAnsi="宋体"/>
                <w:sz w:val="18"/>
                <w:szCs w:val="18"/>
              </w:rPr>
              <w:t>设备维修、生产设备</w:t>
            </w:r>
          </w:p>
        </w:tc>
        <w:tc>
          <w:tcPr>
            <w:tcW w:w="1824" w:type="pct"/>
            <w:vAlign w:val="center"/>
          </w:tcPr>
          <w:p w:rsidR="00EE4502" w:rsidRDefault="00FD45A3">
            <w:pPr>
              <w:pStyle w:val="affffffffff"/>
              <w:kinsoku/>
              <w:wordWrap/>
              <w:overflowPunct/>
              <w:adjustRightInd/>
              <w:spacing w:after="0" w:line="240" w:lineRule="auto"/>
              <w:ind w:left="360" w:hanging="360"/>
              <w:rPr>
                <w:sz w:val="18"/>
                <w:szCs w:val="18"/>
              </w:rPr>
            </w:pPr>
            <w:r>
              <w:rPr>
                <w:rFonts w:hAnsi="宋体"/>
                <w:sz w:val="18"/>
                <w:szCs w:val="18"/>
              </w:rPr>
              <w:t>含油污泥、废润滑油</w:t>
            </w:r>
            <w:r>
              <w:rPr>
                <w:rFonts w:hAnsi="宋体" w:hint="eastAsia"/>
                <w:sz w:val="18"/>
                <w:szCs w:val="18"/>
              </w:rPr>
              <w:t>、落地油、废防渗布、脱硝废催化剂</w:t>
            </w:r>
          </w:p>
        </w:tc>
        <w:tc>
          <w:tcPr>
            <w:tcW w:w="1091" w:type="pct"/>
            <w:vAlign w:val="center"/>
          </w:tcPr>
          <w:p w:rsidR="00EE4502" w:rsidRDefault="00FD45A3">
            <w:pPr>
              <w:pStyle w:val="affffffffff"/>
              <w:kinsoku/>
              <w:wordWrap/>
              <w:overflowPunct/>
              <w:adjustRightInd/>
              <w:spacing w:after="0" w:line="240" w:lineRule="auto"/>
              <w:ind w:left="360" w:hanging="360"/>
              <w:rPr>
                <w:sz w:val="18"/>
                <w:szCs w:val="18"/>
              </w:rPr>
            </w:pPr>
            <w:r>
              <w:rPr>
                <w:rFonts w:hAnsi="宋体"/>
                <w:sz w:val="18"/>
                <w:szCs w:val="18"/>
              </w:rPr>
              <w:t>危险废物</w:t>
            </w:r>
          </w:p>
        </w:tc>
      </w:tr>
      <w:tr w:rsidR="00EE4502">
        <w:trPr>
          <w:trHeight w:val="340"/>
          <w:jc w:val="center"/>
        </w:trPr>
        <w:tc>
          <w:tcPr>
            <w:tcW w:w="292" w:type="pct"/>
            <w:vMerge/>
            <w:vAlign w:val="center"/>
          </w:tcPr>
          <w:p w:rsidR="00EE4502" w:rsidRDefault="00EE4502">
            <w:pPr>
              <w:jc w:val="center"/>
              <w:rPr>
                <w:sz w:val="18"/>
                <w:szCs w:val="18"/>
              </w:rPr>
            </w:pPr>
          </w:p>
        </w:tc>
        <w:tc>
          <w:tcPr>
            <w:tcW w:w="490" w:type="pct"/>
            <w:vMerge/>
            <w:vAlign w:val="center"/>
          </w:tcPr>
          <w:p w:rsidR="00EE4502" w:rsidRDefault="00EE4502">
            <w:pPr>
              <w:jc w:val="center"/>
              <w:rPr>
                <w:sz w:val="18"/>
                <w:szCs w:val="18"/>
              </w:rPr>
            </w:pPr>
          </w:p>
        </w:tc>
        <w:tc>
          <w:tcPr>
            <w:tcW w:w="1303" w:type="pct"/>
            <w:gridSpan w:val="2"/>
            <w:vAlign w:val="center"/>
          </w:tcPr>
          <w:p w:rsidR="00EE4502" w:rsidRDefault="00FD45A3">
            <w:pPr>
              <w:pStyle w:val="affffffffff"/>
              <w:kinsoku/>
              <w:wordWrap/>
              <w:overflowPunct/>
              <w:adjustRightInd/>
              <w:spacing w:after="0" w:line="240" w:lineRule="auto"/>
              <w:ind w:left="360" w:hanging="360"/>
              <w:rPr>
                <w:sz w:val="18"/>
                <w:szCs w:val="18"/>
              </w:rPr>
            </w:pPr>
            <w:r>
              <w:rPr>
                <w:rFonts w:hAnsi="宋体"/>
                <w:sz w:val="18"/>
                <w:szCs w:val="18"/>
              </w:rPr>
              <w:t>生活垃圾</w:t>
            </w:r>
          </w:p>
        </w:tc>
        <w:tc>
          <w:tcPr>
            <w:tcW w:w="1824" w:type="pct"/>
            <w:vAlign w:val="center"/>
          </w:tcPr>
          <w:p w:rsidR="00EE4502" w:rsidRDefault="00FD45A3">
            <w:pPr>
              <w:pStyle w:val="affffffffff"/>
              <w:kinsoku/>
              <w:wordWrap/>
              <w:overflowPunct/>
              <w:adjustRightInd/>
              <w:spacing w:after="0" w:line="240" w:lineRule="auto"/>
              <w:ind w:left="360" w:hanging="360"/>
              <w:rPr>
                <w:sz w:val="18"/>
                <w:szCs w:val="18"/>
              </w:rPr>
            </w:pPr>
            <w:r>
              <w:rPr>
                <w:rFonts w:hAnsi="宋体"/>
                <w:sz w:val="18"/>
                <w:szCs w:val="18"/>
              </w:rPr>
              <w:t>生活垃圾</w:t>
            </w:r>
          </w:p>
        </w:tc>
        <w:tc>
          <w:tcPr>
            <w:tcW w:w="1091" w:type="pct"/>
            <w:vAlign w:val="center"/>
          </w:tcPr>
          <w:p w:rsidR="00EE4502" w:rsidRDefault="00FD45A3">
            <w:pPr>
              <w:pStyle w:val="affffffffff"/>
              <w:kinsoku/>
              <w:wordWrap/>
              <w:overflowPunct/>
              <w:adjustRightInd/>
              <w:spacing w:after="0" w:line="240" w:lineRule="auto"/>
              <w:ind w:left="360" w:hanging="360"/>
              <w:rPr>
                <w:sz w:val="18"/>
                <w:szCs w:val="18"/>
              </w:rPr>
            </w:pPr>
            <w:r>
              <w:rPr>
                <w:rFonts w:hAnsi="宋体"/>
                <w:sz w:val="18"/>
                <w:szCs w:val="18"/>
              </w:rPr>
              <w:t>生活垃圾</w:t>
            </w:r>
          </w:p>
        </w:tc>
      </w:tr>
      <w:tr w:rsidR="00EE4502">
        <w:trPr>
          <w:trHeight w:val="340"/>
          <w:jc w:val="center"/>
        </w:trPr>
        <w:tc>
          <w:tcPr>
            <w:tcW w:w="292" w:type="pct"/>
            <w:vMerge/>
            <w:vAlign w:val="center"/>
          </w:tcPr>
          <w:p w:rsidR="00EE4502" w:rsidRDefault="00EE4502">
            <w:pPr>
              <w:jc w:val="center"/>
              <w:rPr>
                <w:sz w:val="18"/>
                <w:szCs w:val="18"/>
              </w:rPr>
            </w:pPr>
          </w:p>
        </w:tc>
        <w:tc>
          <w:tcPr>
            <w:tcW w:w="490" w:type="pct"/>
            <w:vMerge/>
            <w:vAlign w:val="center"/>
          </w:tcPr>
          <w:p w:rsidR="00EE4502" w:rsidRDefault="00EE4502">
            <w:pPr>
              <w:jc w:val="center"/>
              <w:rPr>
                <w:sz w:val="18"/>
                <w:szCs w:val="18"/>
              </w:rPr>
            </w:pPr>
          </w:p>
        </w:tc>
        <w:tc>
          <w:tcPr>
            <w:tcW w:w="1303" w:type="pct"/>
            <w:gridSpan w:val="2"/>
            <w:vAlign w:val="center"/>
          </w:tcPr>
          <w:p w:rsidR="00EE4502" w:rsidRDefault="00FD45A3">
            <w:pPr>
              <w:pStyle w:val="affffffffff"/>
              <w:kinsoku/>
              <w:wordWrap/>
              <w:overflowPunct/>
              <w:adjustRightInd/>
              <w:spacing w:after="0" w:line="240" w:lineRule="auto"/>
              <w:ind w:left="360" w:hanging="360"/>
              <w:rPr>
                <w:sz w:val="18"/>
                <w:szCs w:val="18"/>
              </w:rPr>
            </w:pPr>
            <w:r>
              <w:rPr>
                <w:rFonts w:hAnsi="宋体"/>
                <w:sz w:val="18"/>
                <w:szCs w:val="18"/>
              </w:rPr>
              <w:t>炉渣</w:t>
            </w:r>
          </w:p>
        </w:tc>
        <w:tc>
          <w:tcPr>
            <w:tcW w:w="1824" w:type="pct"/>
            <w:vAlign w:val="center"/>
          </w:tcPr>
          <w:p w:rsidR="00EE4502" w:rsidRDefault="00FD45A3">
            <w:pPr>
              <w:pStyle w:val="affffffffff"/>
              <w:kinsoku/>
              <w:wordWrap/>
              <w:overflowPunct/>
              <w:adjustRightInd/>
              <w:spacing w:after="0" w:line="240" w:lineRule="auto"/>
              <w:ind w:left="360" w:hanging="360"/>
              <w:rPr>
                <w:sz w:val="18"/>
                <w:szCs w:val="18"/>
              </w:rPr>
            </w:pPr>
            <w:r>
              <w:rPr>
                <w:rFonts w:hAnsi="宋体"/>
                <w:sz w:val="18"/>
                <w:szCs w:val="18"/>
              </w:rPr>
              <w:t>炉渣</w:t>
            </w:r>
          </w:p>
        </w:tc>
        <w:tc>
          <w:tcPr>
            <w:tcW w:w="1091" w:type="pct"/>
            <w:vAlign w:val="center"/>
          </w:tcPr>
          <w:p w:rsidR="00EE4502" w:rsidRDefault="00FD45A3">
            <w:pPr>
              <w:pStyle w:val="affffffffff"/>
              <w:kinsoku/>
              <w:wordWrap/>
              <w:overflowPunct/>
              <w:adjustRightInd/>
              <w:spacing w:after="0" w:line="240" w:lineRule="auto"/>
              <w:ind w:left="360" w:hanging="360"/>
              <w:rPr>
                <w:sz w:val="18"/>
                <w:szCs w:val="18"/>
              </w:rPr>
            </w:pPr>
            <w:r>
              <w:rPr>
                <w:rFonts w:hAnsi="宋体"/>
                <w:sz w:val="18"/>
                <w:szCs w:val="18"/>
              </w:rPr>
              <w:t>一般工业固体废物</w:t>
            </w:r>
          </w:p>
        </w:tc>
      </w:tr>
      <w:tr w:rsidR="00EE4502">
        <w:trPr>
          <w:trHeight w:val="340"/>
          <w:jc w:val="center"/>
        </w:trPr>
        <w:tc>
          <w:tcPr>
            <w:tcW w:w="292" w:type="pct"/>
            <w:vAlign w:val="center"/>
          </w:tcPr>
          <w:p w:rsidR="00EE4502" w:rsidRDefault="00FD45A3">
            <w:pPr>
              <w:jc w:val="center"/>
              <w:rPr>
                <w:sz w:val="18"/>
                <w:szCs w:val="18"/>
              </w:rPr>
            </w:pPr>
            <w:r>
              <w:rPr>
                <w:sz w:val="18"/>
                <w:szCs w:val="18"/>
              </w:rPr>
              <w:t>4</w:t>
            </w:r>
          </w:p>
        </w:tc>
        <w:tc>
          <w:tcPr>
            <w:tcW w:w="490" w:type="pct"/>
            <w:vAlign w:val="center"/>
          </w:tcPr>
          <w:p w:rsidR="00EE4502" w:rsidRDefault="00FD45A3">
            <w:pPr>
              <w:jc w:val="center"/>
              <w:rPr>
                <w:sz w:val="18"/>
                <w:szCs w:val="18"/>
              </w:rPr>
            </w:pPr>
            <w:r>
              <w:rPr>
                <w:rFonts w:hAnsi="宋体"/>
                <w:sz w:val="18"/>
                <w:szCs w:val="18"/>
              </w:rPr>
              <w:t>噪声</w:t>
            </w:r>
          </w:p>
        </w:tc>
        <w:tc>
          <w:tcPr>
            <w:tcW w:w="1303" w:type="pct"/>
            <w:gridSpan w:val="2"/>
            <w:vAlign w:val="center"/>
          </w:tcPr>
          <w:p w:rsidR="00EE4502" w:rsidRDefault="00FD45A3">
            <w:pPr>
              <w:jc w:val="center"/>
              <w:rPr>
                <w:sz w:val="18"/>
                <w:szCs w:val="18"/>
              </w:rPr>
            </w:pPr>
            <w:r>
              <w:rPr>
                <w:rFonts w:hAnsi="宋体"/>
                <w:sz w:val="18"/>
                <w:szCs w:val="18"/>
              </w:rPr>
              <w:t>压缩机、风机、泵类等</w:t>
            </w:r>
          </w:p>
        </w:tc>
        <w:tc>
          <w:tcPr>
            <w:tcW w:w="1824" w:type="pct"/>
            <w:vAlign w:val="center"/>
          </w:tcPr>
          <w:p w:rsidR="00EE4502" w:rsidRDefault="00FD45A3">
            <w:pPr>
              <w:jc w:val="center"/>
              <w:rPr>
                <w:sz w:val="18"/>
                <w:szCs w:val="18"/>
              </w:rPr>
            </w:pPr>
            <w:r>
              <w:rPr>
                <w:sz w:val="18"/>
                <w:szCs w:val="18"/>
              </w:rPr>
              <w:t>Leq</w:t>
            </w:r>
          </w:p>
        </w:tc>
        <w:tc>
          <w:tcPr>
            <w:tcW w:w="1091" w:type="pct"/>
            <w:vAlign w:val="center"/>
          </w:tcPr>
          <w:p w:rsidR="00EE4502" w:rsidRDefault="00FD45A3">
            <w:pPr>
              <w:jc w:val="center"/>
              <w:rPr>
                <w:sz w:val="18"/>
                <w:szCs w:val="18"/>
              </w:rPr>
            </w:pPr>
            <w:r>
              <w:rPr>
                <w:rFonts w:hAnsi="宋体"/>
                <w:sz w:val="18"/>
                <w:szCs w:val="18"/>
              </w:rPr>
              <w:t>分布于各站场</w:t>
            </w:r>
          </w:p>
        </w:tc>
      </w:tr>
      <w:tr w:rsidR="00EE4502">
        <w:trPr>
          <w:trHeight w:val="340"/>
          <w:jc w:val="center"/>
        </w:trPr>
        <w:tc>
          <w:tcPr>
            <w:tcW w:w="292" w:type="pct"/>
            <w:vAlign w:val="center"/>
          </w:tcPr>
          <w:p w:rsidR="00EE4502" w:rsidRDefault="00FD45A3">
            <w:pPr>
              <w:jc w:val="center"/>
              <w:rPr>
                <w:sz w:val="18"/>
                <w:szCs w:val="18"/>
              </w:rPr>
            </w:pPr>
            <w:r>
              <w:rPr>
                <w:sz w:val="18"/>
                <w:szCs w:val="18"/>
              </w:rPr>
              <w:t>5</w:t>
            </w:r>
          </w:p>
        </w:tc>
        <w:tc>
          <w:tcPr>
            <w:tcW w:w="490" w:type="pct"/>
            <w:vAlign w:val="center"/>
          </w:tcPr>
          <w:p w:rsidR="00EE4502" w:rsidRDefault="00FD45A3">
            <w:pPr>
              <w:jc w:val="center"/>
              <w:rPr>
                <w:sz w:val="18"/>
                <w:szCs w:val="18"/>
              </w:rPr>
            </w:pPr>
            <w:r>
              <w:rPr>
                <w:rFonts w:hAnsi="宋体"/>
                <w:sz w:val="18"/>
                <w:szCs w:val="18"/>
              </w:rPr>
              <w:t>生态</w:t>
            </w:r>
          </w:p>
        </w:tc>
        <w:tc>
          <w:tcPr>
            <w:tcW w:w="1303" w:type="pct"/>
            <w:gridSpan w:val="2"/>
            <w:vAlign w:val="center"/>
          </w:tcPr>
          <w:p w:rsidR="00EE4502" w:rsidRDefault="00FD45A3">
            <w:pPr>
              <w:jc w:val="center"/>
              <w:rPr>
                <w:sz w:val="18"/>
                <w:szCs w:val="18"/>
              </w:rPr>
            </w:pPr>
            <w:r>
              <w:rPr>
                <w:rFonts w:hAnsi="宋体"/>
                <w:sz w:val="18"/>
                <w:szCs w:val="18"/>
              </w:rPr>
              <w:t>工程占地</w:t>
            </w:r>
          </w:p>
        </w:tc>
        <w:tc>
          <w:tcPr>
            <w:tcW w:w="1824" w:type="pct"/>
            <w:vAlign w:val="center"/>
          </w:tcPr>
          <w:p w:rsidR="00EE4502" w:rsidRDefault="00FD45A3">
            <w:pPr>
              <w:jc w:val="center"/>
              <w:rPr>
                <w:sz w:val="18"/>
                <w:szCs w:val="18"/>
              </w:rPr>
            </w:pPr>
            <w:r>
              <w:rPr>
                <w:rFonts w:hAnsi="宋体"/>
                <w:sz w:val="18"/>
                <w:szCs w:val="18"/>
              </w:rPr>
              <w:t>联合站、接转站、注汽站、各井场等的设施占地以及管线临时占地全部为荒地，临时占地可自然恢复，永久占地区域天然植被将失去其生存空间</w:t>
            </w:r>
          </w:p>
        </w:tc>
        <w:tc>
          <w:tcPr>
            <w:tcW w:w="1091" w:type="pct"/>
            <w:vAlign w:val="center"/>
          </w:tcPr>
          <w:p w:rsidR="00EE4502" w:rsidRDefault="00FD45A3">
            <w:pPr>
              <w:jc w:val="center"/>
              <w:rPr>
                <w:sz w:val="18"/>
                <w:szCs w:val="18"/>
              </w:rPr>
            </w:pPr>
            <w:r>
              <w:rPr>
                <w:sz w:val="18"/>
                <w:szCs w:val="18"/>
              </w:rPr>
              <w:t>/</w:t>
            </w:r>
          </w:p>
        </w:tc>
      </w:tr>
    </w:tbl>
    <w:p w:rsidR="00EE4502" w:rsidRDefault="00EE4502">
      <w:pPr>
        <w:jc w:val="center"/>
        <w:rPr>
          <w:sz w:val="18"/>
          <w:szCs w:val="18"/>
        </w:rPr>
      </w:pPr>
    </w:p>
    <w:p w:rsidR="00EE4502" w:rsidRDefault="00FD45A3">
      <w:pPr>
        <w:pStyle w:val="41"/>
        <w:numPr>
          <w:ilvl w:val="3"/>
          <w:numId w:val="30"/>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bCs w:val="0"/>
          <w:sz w:val="24"/>
          <w:szCs w:val="24"/>
        </w:rPr>
        <w:t>环境影响回顾及措施有效性</w:t>
      </w:r>
    </w:p>
    <w:p w:rsidR="00EE4502" w:rsidRDefault="00FD45A3">
      <w:pPr>
        <w:spacing w:line="360" w:lineRule="auto"/>
        <w:ind w:firstLineChars="200" w:firstLine="480"/>
        <w:rPr>
          <w:sz w:val="24"/>
        </w:rPr>
      </w:pPr>
      <w:r>
        <w:rPr>
          <w:rFonts w:hint="eastAsia"/>
          <w:sz w:val="24"/>
        </w:rPr>
        <w:t>（</w:t>
      </w:r>
      <w:r>
        <w:rPr>
          <w:rFonts w:hint="eastAsia"/>
          <w:sz w:val="24"/>
        </w:rPr>
        <w:t>1</w:t>
      </w:r>
      <w:r>
        <w:rPr>
          <w:rFonts w:hint="eastAsia"/>
          <w:sz w:val="24"/>
        </w:rPr>
        <w:t>）生态环境影响回顾评价</w:t>
      </w:r>
    </w:p>
    <w:p w:rsidR="00EE4502" w:rsidRDefault="00FD45A3">
      <w:pPr>
        <w:spacing w:line="360" w:lineRule="auto"/>
        <w:ind w:firstLineChars="200" w:firstLine="480"/>
        <w:rPr>
          <w:sz w:val="24"/>
        </w:rPr>
      </w:pPr>
      <w:r>
        <w:rPr>
          <w:rFonts w:hint="eastAsia"/>
          <w:sz w:val="24"/>
        </w:rPr>
        <w:t>春风油田老区勘探开发时间长，依托设施完善，至各单井为独立的探临路，砂石路面，路面宽约</w:t>
      </w:r>
      <w:r>
        <w:rPr>
          <w:rFonts w:hint="eastAsia"/>
          <w:sz w:val="24"/>
        </w:rPr>
        <w:t>4.5m</w:t>
      </w:r>
      <w:r>
        <w:rPr>
          <w:rFonts w:hint="eastAsia"/>
          <w:sz w:val="24"/>
        </w:rPr>
        <w:t>。所有的施工车辆都是在已建道路上行驶，没有车辆</w:t>
      </w:r>
      <w:r>
        <w:rPr>
          <w:rFonts w:hint="eastAsia"/>
          <w:sz w:val="24"/>
        </w:rPr>
        <w:lastRenderedPageBreak/>
        <w:t>乱碾乱轧的情况发生，没有随意开设便道，尽量减少和避免了对工程区域地表的扰动和破坏。评价区域道路施工对路基两侧沿线的植被影响范围一般在</w:t>
      </w:r>
      <w:r>
        <w:rPr>
          <w:rFonts w:hint="eastAsia"/>
          <w:sz w:val="24"/>
        </w:rPr>
        <w:t>5m</w:t>
      </w:r>
      <w:r>
        <w:rPr>
          <w:rFonts w:hint="eastAsia"/>
          <w:sz w:val="24"/>
        </w:rPr>
        <w:t>～</w:t>
      </w:r>
      <w:r>
        <w:rPr>
          <w:rFonts w:hint="eastAsia"/>
          <w:sz w:val="24"/>
        </w:rPr>
        <w:t>10m</w:t>
      </w:r>
      <w:r>
        <w:rPr>
          <w:rFonts w:hint="eastAsia"/>
          <w:sz w:val="24"/>
        </w:rPr>
        <w:t>。在梭梭林分布的地段，为了</w:t>
      </w:r>
      <w:r>
        <w:rPr>
          <w:rFonts w:hint="eastAsia"/>
          <w:sz w:val="24"/>
        </w:rPr>
        <w:t>更好地</w:t>
      </w:r>
      <w:r>
        <w:rPr>
          <w:rFonts w:hint="eastAsia"/>
          <w:sz w:val="24"/>
        </w:rPr>
        <w:t>保护梭梭等灌木，采取修建成弯道进行绕避或控制道路的宽度和临时占地面积的方法，施工结束后平整恢复迹地，路面表层铺垫有砾石层。道路两侧植被正在恢复。在施工期和运营期对野生动物的负面影响不大，没有发生捕猎</w:t>
      </w:r>
      <w:r>
        <w:rPr>
          <w:rFonts w:hint="eastAsia"/>
          <w:sz w:val="24"/>
        </w:rPr>
        <w:t>野生保护动物的现象。春风油田的模地依旧是荒漠景观，人类干扰加强，多样性增加。油田开发区域基本保持原有的荒漠生态系统，部分地区受人类活动的影响。</w:t>
      </w:r>
    </w:p>
    <w:p w:rsidR="00EE4502" w:rsidRDefault="00FD45A3">
      <w:pPr>
        <w:spacing w:line="360" w:lineRule="auto"/>
        <w:ind w:firstLineChars="200" w:firstLine="480"/>
        <w:rPr>
          <w:sz w:val="24"/>
        </w:rPr>
      </w:pPr>
      <w:r>
        <w:rPr>
          <w:rFonts w:hint="eastAsia"/>
          <w:sz w:val="24"/>
        </w:rPr>
        <w:t>（</w:t>
      </w:r>
      <w:r>
        <w:rPr>
          <w:rFonts w:hint="eastAsia"/>
          <w:sz w:val="24"/>
        </w:rPr>
        <w:t>2</w:t>
      </w:r>
      <w:r>
        <w:rPr>
          <w:rFonts w:hint="eastAsia"/>
          <w:sz w:val="24"/>
        </w:rPr>
        <w:t>）水环境影响回顾评价</w:t>
      </w:r>
    </w:p>
    <w:p w:rsidR="00EE4502" w:rsidRDefault="00FD45A3">
      <w:pPr>
        <w:spacing w:line="360" w:lineRule="auto"/>
        <w:ind w:firstLineChars="200" w:firstLine="480"/>
        <w:rPr>
          <w:sz w:val="24"/>
        </w:rPr>
      </w:pPr>
      <w:r>
        <w:rPr>
          <w:rFonts w:hint="eastAsia"/>
          <w:sz w:val="24"/>
        </w:rPr>
        <w:t>春风油田采出水处理系统位于春风联合站和春风二号联合站内。采用“重力除油</w:t>
      </w:r>
      <w:r>
        <w:rPr>
          <w:rFonts w:hint="eastAsia"/>
          <w:sz w:val="24"/>
        </w:rPr>
        <w:t>+</w:t>
      </w:r>
      <w:r>
        <w:rPr>
          <w:rFonts w:hint="eastAsia"/>
          <w:sz w:val="24"/>
        </w:rPr>
        <w:t>沉降</w:t>
      </w:r>
      <w:r>
        <w:rPr>
          <w:rFonts w:hint="eastAsia"/>
          <w:sz w:val="24"/>
        </w:rPr>
        <w:t>+</w:t>
      </w:r>
      <w:r>
        <w:rPr>
          <w:rFonts w:hint="eastAsia"/>
          <w:sz w:val="24"/>
        </w:rPr>
        <w:t>过滤”工艺。春风油田的采出水可实现全部综合利用或回注。在井下作业过程中，作业单位自带回收罐回收作业废水。根据后评价期间搜集的资料和调查，春风油田的井下作业废水采用专用废液收集罐收集或通过临近管网流程管输至联合站处理。</w:t>
      </w:r>
    </w:p>
    <w:p w:rsidR="00EE4502" w:rsidRDefault="00FD45A3">
      <w:pPr>
        <w:spacing w:line="360" w:lineRule="auto"/>
        <w:ind w:firstLineChars="200" w:firstLine="480"/>
        <w:rPr>
          <w:sz w:val="24"/>
        </w:rPr>
      </w:pPr>
      <w:r>
        <w:rPr>
          <w:rFonts w:hint="eastAsia"/>
          <w:sz w:val="24"/>
        </w:rPr>
        <w:t>春风油田共设置了</w:t>
      </w:r>
      <w:r>
        <w:rPr>
          <w:rFonts w:hint="eastAsia"/>
          <w:sz w:val="24"/>
        </w:rPr>
        <w:t>6</w:t>
      </w:r>
      <w:r>
        <w:rPr>
          <w:rFonts w:hint="eastAsia"/>
          <w:sz w:val="24"/>
        </w:rPr>
        <w:t>个燃煤注汽站，各个注汽站锅炉</w:t>
      </w:r>
      <w:r>
        <w:rPr>
          <w:rFonts w:hint="eastAsia"/>
          <w:sz w:val="24"/>
        </w:rPr>
        <w:t>所产生的软化水、锅炉废水等用于生产，未外排。</w:t>
      </w:r>
    </w:p>
    <w:p w:rsidR="00EE4502" w:rsidRDefault="00FD45A3">
      <w:pPr>
        <w:spacing w:line="360" w:lineRule="auto"/>
        <w:ind w:firstLineChars="200" w:firstLine="480"/>
        <w:rPr>
          <w:sz w:val="24"/>
        </w:rPr>
      </w:pPr>
      <w:r>
        <w:rPr>
          <w:rFonts w:hint="eastAsia"/>
          <w:sz w:val="24"/>
        </w:rPr>
        <w:t>春风油田新春基地生活污水经新春基地内排水系统排到生活污水一体化处理装置处理，达到《污水综合排放标准》（</w:t>
      </w:r>
      <w:r>
        <w:rPr>
          <w:rFonts w:hint="eastAsia"/>
          <w:sz w:val="24"/>
        </w:rPr>
        <w:t>GB8978-1996</w:t>
      </w:r>
      <w:r>
        <w:rPr>
          <w:rFonts w:hint="eastAsia"/>
          <w:sz w:val="24"/>
        </w:rPr>
        <w:t>）二级标准后用于绿化。污水处理工艺为：预处理</w:t>
      </w:r>
      <w:r>
        <w:rPr>
          <w:rFonts w:hint="eastAsia"/>
          <w:sz w:val="24"/>
        </w:rPr>
        <w:t>+</w:t>
      </w:r>
      <w:r>
        <w:rPr>
          <w:rFonts w:hint="eastAsia"/>
          <w:sz w:val="24"/>
        </w:rPr>
        <w:t>厌氧池</w:t>
      </w:r>
      <w:r>
        <w:rPr>
          <w:rFonts w:hint="eastAsia"/>
          <w:sz w:val="24"/>
        </w:rPr>
        <w:t>+</w:t>
      </w:r>
      <w:r>
        <w:rPr>
          <w:rFonts w:hint="eastAsia"/>
          <w:sz w:val="24"/>
        </w:rPr>
        <w:t>三级氧化</w:t>
      </w:r>
      <w:r>
        <w:rPr>
          <w:rFonts w:hint="eastAsia"/>
          <w:sz w:val="24"/>
        </w:rPr>
        <w:t>+</w:t>
      </w:r>
      <w:r>
        <w:rPr>
          <w:rFonts w:hint="eastAsia"/>
          <w:sz w:val="24"/>
        </w:rPr>
        <w:t>消毒</w:t>
      </w:r>
      <w:r>
        <w:rPr>
          <w:rFonts w:hint="eastAsia"/>
          <w:sz w:val="24"/>
        </w:rPr>
        <w:t>+</w:t>
      </w:r>
      <w:r>
        <w:rPr>
          <w:rFonts w:hint="eastAsia"/>
          <w:sz w:val="24"/>
        </w:rPr>
        <w:t>过滤工艺。污水处理设施能力：</w:t>
      </w:r>
      <w:r>
        <w:rPr>
          <w:rFonts w:hint="eastAsia"/>
          <w:sz w:val="24"/>
        </w:rPr>
        <w:t>300m</w:t>
      </w:r>
      <w:r>
        <w:rPr>
          <w:rFonts w:hint="eastAsia"/>
          <w:sz w:val="24"/>
          <w:vertAlign w:val="superscript"/>
        </w:rPr>
        <w:t>3</w:t>
      </w:r>
      <w:r>
        <w:rPr>
          <w:rFonts w:hint="eastAsia"/>
          <w:sz w:val="24"/>
        </w:rPr>
        <w:t>/d</w:t>
      </w:r>
      <w:r>
        <w:rPr>
          <w:rFonts w:hint="eastAsia"/>
          <w:sz w:val="24"/>
        </w:rPr>
        <w:t>。根据现场调查，绿化效果显著，改善了区域小环境，采取的生活污水处理措施基本有效。</w:t>
      </w:r>
    </w:p>
    <w:p w:rsidR="00EE4502" w:rsidRDefault="00FD45A3">
      <w:pPr>
        <w:spacing w:line="360" w:lineRule="auto"/>
        <w:ind w:firstLineChars="200" w:firstLine="480"/>
        <w:rPr>
          <w:sz w:val="24"/>
        </w:rPr>
      </w:pPr>
      <w:r>
        <w:rPr>
          <w:rFonts w:hint="eastAsia"/>
          <w:sz w:val="24"/>
        </w:rPr>
        <w:t>（</w:t>
      </w:r>
      <w:r>
        <w:rPr>
          <w:rFonts w:hint="eastAsia"/>
          <w:sz w:val="24"/>
        </w:rPr>
        <w:t>3</w:t>
      </w:r>
      <w:r>
        <w:rPr>
          <w:rFonts w:hint="eastAsia"/>
          <w:sz w:val="24"/>
        </w:rPr>
        <w:t>）大气环境影响回顾评价</w:t>
      </w:r>
    </w:p>
    <w:p w:rsidR="00EE4502" w:rsidRDefault="00FD45A3">
      <w:pPr>
        <w:spacing w:line="360" w:lineRule="auto"/>
        <w:ind w:firstLineChars="200" w:firstLine="480"/>
        <w:rPr>
          <w:sz w:val="24"/>
        </w:rPr>
      </w:pPr>
      <w:r>
        <w:rPr>
          <w:rFonts w:hint="eastAsia"/>
          <w:sz w:val="24"/>
        </w:rPr>
        <w:t>根据现场调查，春风油田内</w:t>
      </w:r>
      <w:r>
        <w:rPr>
          <w:rFonts w:hint="eastAsia"/>
          <w:sz w:val="24"/>
        </w:rPr>
        <w:t>已建</w:t>
      </w:r>
      <w:r>
        <w:rPr>
          <w:rFonts w:hint="eastAsia"/>
          <w:sz w:val="24"/>
        </w:rPr>
        <w:t>的各井场采出原油集输基本实现了密闭集输工艺，选用先进的生产工艺及设备，在正常生产情况下尽可能</w:t>
      </w:r>
      <w:r>
        <w:rPr>
          <w:rFonts w:hint="eastAsia"/>
          <w:sz w:val="24"/>
        </w:rPr>
        <w:t>地减少非甲烷总烃逸散排放。运营期注汽站锅炉设备运行正常，排放废气中各项污染物浓度较低，根据近两年锅炉废气监测的结果显示，锅炉排放废气可以满足《锅炉大气污染物排放标准》</w:t>
      </w:r>
      <w:r>
        <w:rPr>
          <w:rFonts w:hint="eastAsia"/>
          <w:sz w:val="24"/>
        </w:rPr>
        <w:t>（</w:t>
      </w:r>
      <w:r>
        <w:rPr>
          <w:rFonts w:hint="eastAsia"/>
          <w:sz w:val="24"/>
        </w:rPr>
        <w:t>GB13271-2014</w:t>
      </w:r>
      <w:r>
        <w:rPr>
          <w:rFonts w:hint="eastAsia"/>
          <w:sz w:val="24"/>
        </w:rPr>
        <w:t>）</w:t>
      </w:r>
      <w:r>
        <w:rPr>
          <w:rFonts w:hint="eastAsia"/>
          <w:sz w:val="24"/>
        </w:rPr>
        <w:t>表</w:t>
      </w:r>
      <w:r>
        <w:rPr>
          <w:rFonts w:hint="eastAsia"/>
          <w:sz w:val="24"/>
        </w:rPr>
        <w:t>3</w:t>
      </w:r>
      <w:r>
        <w:rPr>
          <w:rFonts w:hint="eastAsia"/>
          <w:sz w:val="24"/>
        </w:rPr>
        <w:t>锅炉大气污染物特别排放限值和《火电厂大气污染物排放标准》（</w:t>
      </w:r>
      <w:r>
        <w:rPr>
          <w:rFonts w:hint="eastAsia"/>
          <w:sz w:val="24"/>
        </w:rPr>
        <w:t>GB13223-2011</w:t>
      </w:r>
      <w:r>
        <w:rPr>
          <w:rFonts w:hint="eastAsia"/>
          <w:sz w:val="24"/>
        </w:rPr>
        <w:t>）中表</w:t>
      </w:r>
      <w:r>
        <w:rPr>
          <w:rFonts w:hint="eastAsia"/>
          <w:sz w:val="24"/>
        </w:rPr>
        <w:t>2</w:t>
      </w:r>
      <w:r>
        <w:rPr>
          <w:rFonts w:hint="eastAsia"/>
          <w:sz w:val="24"/>
        </w:rPr>
        <w:t>大气污染物特别排放限值；各井场、场站无组织排放的硫化氢满足《恶臭污染物排放标准》</w:t>
      </w:r>
      <w:r>
        <w:rPr>
          <w:rFonts w:hint="eastAsia"/>
          <w:sz w:val="24"/>
        </w:rPr>
        <w:t>（</w:t>
      </w:r>
      <w:r>
        <w:rPr>
          <w:rFonts w:hint="eastAsia"/>
          <w:sz w:val="24"/>
        </w:rPr>
        <w:t>GB14554-93</w:t>
      </w:r>
      <w:r>
        <w:rPr>
          <w:rFonts w:hint="eastAsia"/>
          <w:sz w:val="24"/>
        </w:rPr>
        <w:t>）</w:t>
      </w:r>
      <w:r>
        <w:rPr>
          <w:rFonts w:hint="eastAsia"/>
          <w:sz w:val="24"/>
        </w:rPr>
        <w:t>表</w:t>
      </w:r>
      <w:r>
        <w:rPr>
          <w:rFonts w:hint="eastAsia"/>
          <w:sz w:val="24"/>
        </w:rPr>
        <w:t>1</w:t>
      </w:r>
      <w:r>
        <w:rPr>
          <w:rFonts w:hint="eastAsia"/>
          <w:sz w:val="24"/>
        </w:rPr>
        <w:t>恶臭污染物厂界标准值新建项目二级标准；无组织排放非甲烷总烃满足《陆上石</w:t>
      </w:r>
      <w:r>
        <w:rPr>
          <w:rFonts w:hint="eastAsia"/>
          <w:sz w:val="24"/>
        </w:rPr>
        <w:lastRenderedPageBreak/>
        <w:t>油天然气开采工业大气污染物排放标准（</w:t>
      </w:r>
      <w:r>
        <w:rPr>
          <w:rFonts w:hint="eastAsia"/>
          <w:sz w:val="24"/>
        </w:rPr>
        <w:t>GB397</w:t>
      </w:r>
      <w:r>
        <w:rPr>
          <w:rFonts w:hint="eastAsia"/>
          <w:sz w:val="24"/>
        </w:rPr>
        <w:t>28</w:t>
      </w:r>
      <w:r>
        <w:rPr>
          <w:rFonts w:hint="eastAsia"/>
          <w:sz w:val="24"/>
        </w:rPr>
        <w:t>—</w:t>
      </w:r>
      <w:r>
        <w:rPr>
          <w:rFonts w:hint="eastAsia"/>
          <w:sz w:val="24"/>
        </w:rPr>
        <w:t>2020</w:t>
      </w:r>
      <w:r>
        <w:rPr>
          <w:rFonts w:hint="eastAsia"/>
          <w:sz w:val="24"/>
        </w:rPr>
        <w:t>）》无组织排放浓度限值；注汽站厂界颗粒物均满足《大气污染物综合排放标准》（</w:t>
      </w:r>
      <w:r>
        <w:rPr>
          <w:rFonts w:hint="eastAsia"/>
          <w:sz w:val="24"/>
        </w:rPr>
        <w:t>GB16297-1996</w:t>
      </w:r>
      <w:r>
        <w:rPr>
          <w:rFonts w:hint="eastAsia"/>
          <w:sz w:val="24"/>
        </w:rPr>
        <w:t>）表</w:t>
      </w:r>
      <w:r>
        <w:rPr>
          <w:rFonts w:hint="eastAsia"/>
          <w:sz w:val="24"/>
        </w:rPr>
        <w:t>2</w:t>
      </w:r>
      <w:r>
        <w:rPr>
          <w:rFonts w:hint="eastAsia"/>
          <w:sz w:val="24"/>
        </w:rPr>
        <w:t>中新污染源大气污染物无组织排放标准限值要求。</w:t>
      </w:r>
    </w:p>
    <w:p w:rsidR="00EE4502" w:rsidRDefault="00FD45A3">
      <w:pPr>
        <w:spacing w:line="360" w:lineRule="auto"/>
        <w:ind w:firstLineChars="200" w:firstLine="480"/>
        <w:rPr>
          <w:sz w:val="24"/>
        </w:rPr>
      </w:pPr>
      <w:r>
        <w:rPr>
          <w:rFonts w:hint="eastAsia"/>
          <w:sz w:val="24"/>
        </w:rPr>
        <w:t>春风油田内采取的大气污染防治措施基本有效，大气污染物排放满足现行标准要求，春风油田内采取的大气污染防治措施在一定程度上取得了较好的效果。</w:t>
      </w:r>
    </w:p>
    <w:p w:rsidR="00EE4502" w:rsidRDefault="00FD45A3">
      <w:pPr>
        <w:spacing w:line="360" w:lineRule="auto"/>
        <w:ind w:firstLineChars="200" w:firstLine="480"/>
        <w:rPr>
          <w:sz w:val="24"/>
        </w:rPr>
      </w:pPr>
      <w:r>
        <w:rPr>
          <w:rFonts w:hint="eastAsia"/>
          <w:sz w:val="24"/>
        </w:rPr>
        <w:t>（</w:t>
      </w:r>
      <w:r>
        <w:rPr>
          <w:rFonts w:hint="eastAsia"/>
          <w:sz w:val="24"/>
        </w:rPr>
        <w:t>4</w:t>
      </w:r>
      <w:r>
        <w:rPr>
          <w:rFonts w:hint="eastAsia"/>
          <w:sz w:val="24"/>
        </w:rPr>
        <w:t>）声环境影响回顾评价</w:t>
      </w:r>
    </w:p>
    <w:p w:rsidR="00EE4502" w:rsidRDefault="00FD45A3">
      <w:pPr>
        <w:spacing w:line="360" w:lineRule="auto"/>
        <w:ind w:firstLineChars="200" w:firstLine="480"/>
        <w:rPr>
          <w:sz w:val="24"/>
        </w:rPr>
      </w:pPr>
      <w:r>
        <w:rPr>
          <w:rFonts w:hint="eastAsia"/>
          <w:sz w:val="24"/>
        </w:rPr>
        <w:t>春风油田井场噪声影响范围有限，噪声源多集中在联合站、接转站、注汽站、增压泵站、注水站等各类站场内，根据现场调查，春风油田（克拉玛依市境内）周围</w:t>
      </w:r>
      <w:r>
        <w:rPr>
          <w:rFonts w:hint="eastAsia"/>
          <w:sz w:val="24"/>
        </w:rPr>
        <w:t>200m</w:t>
      </w:r>
      <w:r>
        <w:rPr>
          <w:rFonts w:hint="eastAsia"/>
          <w:sz w:val="24"/>
        </w:rPr>
        <w:t>范围内无集中居民点。</w:t>
      </w:r>
    </w:p>
    <w:p w:rsidR="00EE4502" w:rsidRDefault="00FD45A3">
      <w:pPr>
        <w:spacing w:line="360" w:lineRule="auto"/>
        <w:ind w:firstLineChars="200" w:firstLine="480"/>
        <w:rPr>
          <w:sz w:val="24"/>
        </w:rPr>
      </w:pPr>
      <w:r>
        <w:rPr>
          <w:rFonts w:hint="eastAsia"/>
          <w:sz w:val="24"/>
        </w:rPr>
        <w:t>运营期主要噪</w:t>
      </w:r>
      <w:r>
        <w:rPr>
          <w:rFonts w:hint="eastAsia"/>
          <w:sz w:val="24"/>
        </w:rPr>
        <w:t>声源为站场的各类机泵，如各场站压缩机、污水提升泵、注水泵、空压机、外输泵、事故泵、喂液泵等。</w:t>
      </w:r>
    </w:p>
    <w:p w:rsidR="00EE4502" w:rsidRDefault="00FD45A3">
      <w:pPr>
        <w:spacing w:line="360" w:lineRule="auto"/>
        <w:ind w:firstLineChars="200" w:firstLine="480"/>
        <w:rPr>
          <w:sz w:val="24"/>
        </w:rPr>
      </w:pPr>
      <w:r>
        <w:rPr>
          <w:rFonts w:hint="eastAsia"/>
          <w:sz w:val="24"/>
        </w:rPr>
        <w:t>根据后评价报告、竣工环境保护验收报告和本次现场调查，区块各项目噪声污染防治措施与环评基本一致，春风油田内采取的噪声污染防治措施基本有效，春风油田内采取的噪声污染防治措施在一定程度上取得了较好的效果。</w:t>
      </w:r>
    </w:p>
    <w:p w:rsidR="00EE4502" w:rsidRDefault="00FD45A3">
      <w:pPr>
        <w:spacing w:line="360" w:lineRule="auto"/>
        <w:ind w:firstLineChars="200" w:firstLine="480"/>
        <w:rPr>
          <w:sz w:val="24"/>
        </w:rPr>
      </w:pPr>
      <w:r>
        <w:rPr>
          <w:rFonts w:hint="eastAsia"/>
          <w:sz w:val="24"/>
        </w:rPr>
        <w:t>（</w:t>
      </w:r>
      <w:r>
        <w:rPr>
          <w:rFonts w:hint="eastAsia"/>
          <w:sz w:val="24"/>
        </w:rPr>
        <w:t>5</w:t>
      </w:r>
      <w:r>
        <w:rPr>
          <w:rFonts w:hint="eastAsia"/>
          <w:sz w:val="24"/>
        </w:rPr>
        <w:t>）固体废物环境影响回顾评价</w:t>
      </w:r>
    </w:p>
    <w:p w:rsidR="00EE4502" w:rsidRDefault="00FD45A3">
      <w:pPr>
        <w:spacing w:line="360" w:lineRule="auto"/>
        <w:ind w:firstLineChars="200" w:firstLine="480"/>
        <w:rPr>
          <w:sz w:val="24"/>
        </w:rPr>
      </w:pPr>
      <w:r>
        <w:rPr>
          <w:rFonts w:hint="eastAsia"/>
          <w:sz w:val="24"/>
        </w:rPr>
        <w:t>2017</w:t>
      </w:r>
      <w:r>
        <w:rPr>
          <w:rFonts w:hint="eastAsia"/>
          <w:sz w:val="24"/>
        </w:rPr>
        <w:t>年之前，春风油田废弃钻井液和岩屑等排入具有防渗措施的泥浆池内，固化后覆土掩埋处理。</w:t>
      </w:r>
      <w:r>
        <w:rPr>
          <w:rFonts w:hint="eastAsia"/>
          <w:sz w:val="24"/>
        </w:rPr>
        <w:t>2017</w:t>
      </w:r>
      <w:r>
        <w:rPr>
          <w:rFonts w:hint="eastAsia"/>
          <w:sz w:val="24"/>
        </w:rPr>
        <w:t>年后，钻井井场岩屑及钻井液逐渐采用不落地设备收集后依托克拉玛依前山石油工程服务有限公司和</w:t>
      </w:r>
      <w:r>
        <w:rPr>
          <w:rFonts w:hint="eastAsia"/>
          <w:sz w:val="24"/>
        </w:rPr>
        <w:t>山东奥友环保工程有限责任公司乌苏分公司等有资质单位处置；春风油田含油污泥、沾油废物、废油桶等危险废物，委托新疆锦恒利废矿物油处置有限公司、克拉玛依沃森环保科技有限公司等具有资质的单位负责接收、转运和处置。废油一般来自机械设备维修、维护产生的润滑油，由联合站原油处理系统处理综合利用；注汽站锅炉产生的炉渣和炉灰外运综合利用；运营期间作业区工作人员食宿会产生生活垃圾，生活垃圾由克拉玛依前山石油工程服务有限公司进行清运、处理；总体来说，春风油田内生产活动和生活产生的固体废物基本得到妥善</w:t>
      </w:r>
      <w:r>
        <w:rPr>
          <w:rFonts w:hint="eastAsia"/>
          <w:sz w:val="24"/>
        </w:rPr>
        <w:t>地</w:t>
      </w:r>
      <w:r>
        <w:rPr>
          <w:rFonts w:hint="eastAsia"/>
          <w:sz w:val="24"/>
        </w:rPr>
        <w:t>处置，没有对周围环境产生重大</w:t>
      </w:r>
      <w:r>
        <w:rPr>
          <w:rFonts w:hint="eastAsia"/>
          <w:sz w:val="24"/>
        </w:rPr>
        <w:t>不利影响。</w:t>
      </w:r>
    </w:p>
    <w:p w:rsidR="00EE4502" w:rsidRDefault="00FD45A3">
      <w:pPr>
        <w:spacing w:line="360" w:lineRule="auto"/>
        <w:ind w:firstLineChars="200" w:firstLine="480"/>
        <w:rPr>
          <w:sz w:val="24"/>
        </w:rPr>
      </w:pPr>
      <w:r>
        <w:rPr>
          <w:rFonts w:hint="eastAsia"/>
          <w:sz w:val="24"/>
        </w:rPr>
        <w:t>（</w:t>
      </w:r>
      <w:r>
        <w:rPr>
          <w:rFonts w:hint="eastAsia"/>
          <w:sz w:val="24"/>
        </w:rPr>
        <w:t>5</w:t>
      </w:r>
      <w:r>
        <w:rPr>
          <w:rFonts w:hint="eastAsia"/>
          <w:sz w:val="24"/>
        </w:rPr>
        <w:t>）排污口规范化管理及排污许可手续</w:t>
      </w:r>
    </w:p>
    <w:p w:rsidR="00EE4502" w:rsidRDefault="00FD45A3">
      <w:pPr>
        <w:spacing w:line="360" w:lineRule="auto"/>
        <w:ind w:firstLineChars="200" w:firstLine="480"/>
        <w:rPr>
          <w:sz w:val="24"/>
        </w:rPr>
      </w:pPr>
      <w:r>
        <w:rPr>
          <w:rFonts w:hint="eastAsia"/>
          <w:sz w:val="24"/>
        </w:rPr>
        <w:t>中石化新疆新春石油开发有限责任公司按照《固定污染源排污许可分类管理名录（</w:t>
      </w:r>
      <w:r>
        <w:rPr>
          <w:rFonts w:hint="eastAsia"/>
          <w:sz w:val="24"/>
        </w:rPr>
        <w:t>2019</w:t>
      </w:r>
      <w:r>
        <w:rPr>
          <w:rFonts w:hint="eastAsia"/>
          <w:sz w:val="24"/>
        </w:rPr>
        <w:t>版）》规定的范围，已对春风油田范围内的注汽锅炉等固定污染源办理了排污许可证，并按要求在全国排污许可证管理信息平台上填报并提交执行</w:t>
      </w:r>
      <w:r>
        <w:rPr>
          <w:rFonts w:hint="eastAsia"/>
          <w:sz w:val="24"/>
        </w:rPr>
        <w:lastRenderedPageBreak/>
        <w:t>报告。春风油田按照《中华人民共和国环境保护税法实施条例》规定，及时、足额按季度缴纳了环境保护税</w:t>
      </w:r>
      <w:r>
        <w:rPr>
          <w:sz w:val="24"/>
        </w:rPr>
        <w:t>。</w:t>
      </w:r>
    </w:p>
    <w:p w:rsidR="00EE4502" w:rsidRDefault="00FD45A3">
      <w:pPr>
        <w:pStyle w:val="41"/>
        <w:numPr>
          <w:ilvl w:val="3"/>
          <w:numId w:val="30"/>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hint="eastAsia"/>
          <w:bCs w:val="0"/>
          <w:sz w:val="24"/>
          <w:szCs w:val="24"/>
        </w:rPr>
        <w:t>新春公司环境管理回顾</w:t>
      </w:r>
    </w:p>
    <w:p w:rsidR="00EE4502" w:rsidRDefault="00FD45A3">
      <w:pPr>
        <w:numPr>
          <w:ilvl w:val="0"/>
          <w:numId w:val="35"/>
        </w:numPr>
        <w:spacing w:line="360" w:lineRule="auto"/>
        <w:ind w:firstLineChars="200" w:firstLine="480"/>
        <w:rPr>
          <w:sz w:val="24"/>
        </w:rPr>
      </w:pPr>
      <w:r>
        <w:rPr>
          <w:rFonts w:hint="eastAsia"/>
          <w:sz w:val="24"/>
        </w:rPr>
        <w:t>生态环境影响回顾评价</w:t>
      </w:r>
    </w:p>
    <w:p w:rsidR="00EE4502" w:rsidRDefault="00FD45A3">
      <w:pPr>
        <w:spacing w:line="360" w:lineRule="auto"/>
        <w:ind w:firstLineChars="200" w:firstLine="480"/>
        <w:rPr>
          <w:sz w:val="24"/>
        </w:rPr>
      </w:pPr>
      <w:r>
        <w:rPr>
          <w:rFonts w:hint="eastAsia"/>
          <w:sz w:val="24"/>
        </w:rPr>
        <w:t>新春公司按照“精干高效、统筹运行”“突出关键，保障重点，运行高效”和有利于东西部倒班的原则，进一步淡化机关意识，设置综合管理、业务管理、经营管理三大系统，具体为</w:t>
      </w:r>
      <w:r>
        <w:rPr>
          <w:rFonts w:hint="eastAsia"/>
          <w:sz w:val="24"/>
        </w:rPr>
        <w:t>11</w:t>
      </w:r>
      <w:r>
        <w:rPr>
          <w:rFonts w:hint="eastAsia"/>
          <w:sz w:val="24"/>
        </w:rPr>
        <w:t>个部门，</w:t>
      </w:r>
      <w:r>
        <w:rPr>
          <w:rFonts w:hint="eastAsia"/>
          <w:sz w:val="24"/>
        </w:rPr>
        <w:t>3</w:t>
      </w:r>
      <w:r>
        <w:rPr>
          <w:rFonts w:hint="eastAsia"/>
          <w:sz w:val="24"/>
        </w:rPr>
        <w:t>个中心，</w:t>
      </w:r>
      <w:r>
        <w:rPr>
          <w:rFonts w:hint="eastAsia"/>
          <w:sz w:val="24"/>
        </w:rPr>
        <w:t>3</w:t>
      </w:r>
      <w:r>
        <w:rPr>
          <w:rFonts w:hint="eastAsia"/>
          <w:sz w:val="24"/>
        </w:rPr>
        <w:t>个管理区。公司设立安全（</w:t>
      </w:r>
      <w:r>
        <w:rPr>
          <w:rFonts w:hint="eastAsia"/>
          <w:sz w:val="24"/>
        </w:rPr>
        <w:t>QHSE</w:t>
      </w:r>
      <w:r>
        <w:rPr>
          <w:rFonts w:hint="eastAsia"/>
          <w:sz w:val="24"/>
        </w:rPr>
        <w:t>）管理督查部，负责环境保护管理。各基层单位均设置有环境保护管理岗位，采用</w:t>
      </w:r>
      <w:r>
        <w:rPr>
          <w:rFonts w:hint="eastAsia"/>
          <w:sz w:val="24"/>
        </w:rPr>
        <w:t>HSE</w:t>
      </w:r>
      <w:r>
        <w:rPr>
          <w:rFonts w:hint="eastAsia"/>
          <w:sz w:val="24"/>
        </w:rPr>
        <w:t>管理体系，实行逐级负责制，按照“管业务，必须管环保”要求，项目投产后环保管理由新春公司业务部门负责，安全（</w:t>
      </w:r>
      <w:r>
        <w:rPr>
          <w:rFonts w:hint="eastAsia"/>
          <w:sz w:val="24"/>
        </w:rPr>
        <w:t>QHSE</w:t>
      </w:r>
      <w:r>
        <w:rPr>
          <w:rFonts w:hint="eastAsia"/>
          <w:sz w:val="24"/>
        </w:rPr>
        <w:t>）管理督查部分别负责综合管理及监督。</w:t>
      </w:r>
    </w:p>
    <w:p w:rsidR="00EE4502" w:rsidRDefault="00FD45A3">
      <w:pPr>
        <w:spacing w:line="360" w:lineRule="auto"/>
        <w:ind w:firstLineChars="200" w:firstLine="480"/>
        <w:rPr>
          <w:sz w:val="24"/>
        </w:rPr>
      </w:pPr>
      <w:r>
        <w:rPr>
          <w:rFonts w:hint="eastAsia"/>
          <w:sz w:val="24"/>
        </w:rPr>
        <w:t>公司根据</w:t>
      </w:r>
      <w:r>
        <w:rPr>
          <w:rFonts w:hint="eastAsia"/>
          <w:sz w:val="24"/>
        </w:rPr>
        <w:t>相关文件</w:t>
      </w:r>
      <w:r>
        <w:rPr>
          <w:rFonts w:hint="eastAsia"/>
          <w:sz w:val="24"/>
        </w:rPr>
        <w:t>对春风油田</w:t>
      </w:r>
      <w:r>
        <w:rPr>
          <w:rFonts w:hint="eastAsia"/>
          <w:sz w:val="24"/>
        </w:rPr>
        <w:t>HSE</w:t>
      </w:r>
      <w:r>
        <w:rPr>
          <w:rFonts w:hint="eastAsia"/>
          <w:sz w:val="24"/>
        </w:rPr>
        <w:t>管理体系运行情况、</w:t>
      </w:r>
      <w:r>
        <w:rPr>
          <w:rFonts w:hint="eastAsia"/>
          <w:sz w:val="24"/>
        </w:rPr>
        <w:t>HSE</w:t>
      </w:r>
      <w:r>
        <w:rPr>
          <w:rFonts w:hint="eastAsia"/>
          <w:sz w:val="24"/>
        </w:rPr>
        <w:t>各项制度执</w:t>
      </w:r>
      <w:r>
        <w:rPr>
          <w:rFonts w:hint="eastAsia"/>
          <w:sz w:val="24"/>
        </w:rPr>
        <w:t>行有效性和现场</w:t>
      </w:r>
      <w:r>
        <w:rPr>
          <w:rFonts w:hint="eastAsia"/>
          <w:sz w:val="24"/>
        </w:rPr>
        <w:t>HSE</w:t>
      </w:r>
      <w:r>
        <w:rPr>
          <w:rFonts w:hint="eastAsia"/>
          <w:sz w:val="24"/>
        </w:rPr>
        <w:t>管理情况等进行检查。查找不符合项以及需要改进的要素，提升</w:t>
      </w:r>
      <w:r>
        <w:rPr>
          <w:rFonts w:hint="eastAsia"/>
          <w:sz w:val="24"/>
        </w:rPr>
        <w:t>HSSE</w:t>
      </w:r>
      <w:r>
        <w:rPr>
          <w:rFonts w:hint="eastAsia"/>
          <w:sz w:val="24"/>
        </w:rPr>
        <w:t>绩效。公司于</w:t>
      </w:r>
      <w:r>
        <w:rPr>
          <w:rFonts w:hint="eastAsia"/>
          <w:sz w:val="24"/>
        </w:rPr>
        <w:t>2018</w:t>
      </w:r>
      <w:r>
        <w:rPr>
          <w:rFonts w:hint="eastAsia"/>
          <w:sz w:val="24"/>
        </w:rPr>
        <w:t>年通过绿色矿山创建验收，于</w:t>
      </w:r>
      <w:r>
        <w:rPr>
          <w:rFonts w:hint="eastAsia"/>
          <w:sz w:val="24"/>
        </w:rPr>
        <w:t>2019</w:t>
      </w:r>
      <w:r>
        <w:rPr>
          <w:rFonts w:hint="eastAsia"/>
          <w:sz w:val="24"/>
        </w:rPr>
        <w:t>年通过中石化集团公司绿色企业创建验收。截至目前，尚未出现重大问题及环保事件。</w:t>
      </w:r>
    </w:p>
    <w:p w:rsidR="00EE4502" w:rsidRDefault="00FD45A3">
      <w:pPr>
        <w:spacing w:line="360" w:lineRule="auto"/>
        <w:ind w:firstLineChars="200" w:firstLine="480"/>
        <w:rPr>
          <w:sz w:val="24"/>
        </w:rPr>
      </w:pPr>
      <w:r>
        <w:rPr>
          <w:rFonts w:hint="eastAsia"/>
          <w:sz w:val="24"/>
        </w:rPr>
        <w:t>（</w:t>
      </w:r>
      <w:r>
        <w:rPr>
          <w:rFonts w:hint="eastAsia"/>
          <w:sz w:val="24"/>
        </w:rPr>
        <w:t>2</w:t>
      </w:r>
      <w:r>
        <w:rPr>
          <w:rFonts w:hint="eastAsia"/>
          <w:sz w:val="24"/>
        </w:rPr>
        <w:t>）环境管理机构</w:t>
      </w:r>
    </w:p>
    <w:p w:rsidR="00EE4502" w:rsidRDefault="00FD45A3">
      <w:pPr>
        <w:spacing w:line="360" w:lineRule="auto"/>
        <w:ind w:firstLineChars="200" w:firstLine="480"/>
        <w:rPr>
          <w:sz w:val="24"/>
        </w:rPr>
      </w:pPr>
      <w:r>
        <w:rPr>
          <w:rFonts w:hint="eastAsia"/>
          <w:sz w:val="24"/>
        </w:rPr>
        <w:t>新春公司成立有安全（</w:t>
      </w:r>
      <w:r>
        <w:rPr>
          <w:rFonts w:hint="eastAsia"/>
          <w:sz w:val="24"/>
        </w:rPr>
        <w:t>QHSE</w:t>
      </w:r>
      <w:r>
        <w:rPr>
          <w:rFonts w:hint="eastAsia"/>
          <w:sz w:val="24"/>
        </w:rPr>
        <w:t>）管理督查部，负责组织制定</w:t>
      </w:r>
      <w:r>
        <w:rPr>
          <w:rFonts w:hint="eastAsia"/>
          <w:sz w:val="24"/>
        </w:rPr>
        <w:t>QHSE</w:t>
      </w:r>
      <w:r>
        <w:rPr>
          <w:rFonts w:hint="eastAsia"/>
          <w:sz w:val="24"/>
        </w:rPr>
        <w:t>管理中、长期规划及公司年度</w:t>
      </w:r>
      <w:r>
        <w:rPr>
          <w:rFonts w:hint="eastAsia"/>
          <w:sz w:val="24"/>
        </w:rPr>
        <w:t>QHSE</w:t>
      </w:r>
      <w:r>
        <w:rPr>
          <w:rFonts w:hint="eastAsia"/>
          <w:sz w:val="24"/>
        </w:rPr>
        <w:t>工作计划，并监督实施；定期组织召开</w:t>
      </w:r>
      <w:r>
        <w:rPr>
          <w:rFonts w:hint="eastAsia"/>
          <w:sz w:val="24"/>
        </w:rPr>
        <w:t>QHSE</w:t>
      </w:r>
      <w:r>
        <w:rPr>
          <w:rFonts w:hint="eastAsia"/>
          <w:sz w:val="24"/>
        </w:rPr>
        <w:t>管理工作会议，研究解决安全、环保、职业健康、质量等管理工作中的重大问题，组织</w:t>
      </w:r>
      <w:r>
        <w:rPr>
          <w:rFonts w:hint="eastAsia"/>
          <w:sz w:val="24"/>
        </w:rPr>
        <w:t>QHSE</w:t>
      </w:r>
      <w:r>
        <w:rPr>
          <w:rFonts w:hint="eastAsia"/>
          <w:sz w:val="24"/>
        </w:rPr>
        <w:t>事故的调查与处理。</w:t>
      </w:r>
    </w:p>
    <w:p w:rsidR="00EE4502" w:rsidRDefault="00FD45A3">
      <w:pPr>
        <w:spacing w:line="360" w:lineRule="auto"/>
        <w:ind w:firstLineChars="200" w:firstLine="480"/>
        <w:rPr>
          <w:sz w:val="24"/>
        </w:rPr>
      </w:pPr>
      <w:r>
        <w:rPr>
          <w:rFonts w:hint="eastAsia"/>
          <w:sz w:val="24"/>
        </w:rPr>
        <w:t>（</w:t>
      </w:r>
      <w:r>
        <w:rPr>
          <w:rFonts w:hint="eastAsia"/>
          <w:sz w:val="24"/>
        </w:rPr>
        <w:t>3</w:t>
      </w:r>
      <w:r>
        <w:rPr>
          <w:rFonts w:hint="eastAsia"/>
          <w:sz w:val="24"/>
        </w:rPr>
        <w:t>）环境管理制度</w:t>
      </w:r>
    </w:p>
    <w:p w:rsidR="00EE4502" w:rsidRDefault="00FD45A3">
      <w:pPr>
        <w:spacing w:line="360" w:lineRule="auto"/>
        <w:ind w:firstLineChars="200" w:firstLine="480"/>
        <w:rPr>
          <w:sz w:val="24"/>
        </w:rPr>
      </w:pPr>
      <w:r>
        <w:rPr>
          <w:rFonts w:hint="eastAsia"/>
          <w:sz w:val="24"/>
        </w:rPr>
        <w:t>结合国家、地方</w:t>
      </w:r>
      <w:r>
        <w:rPr>
          <w:rFonts w:hint="eastAsia"/>
          <w:sz w:val="24"/>
        </w:rPr>
        <w:t>环境保护法律法规要求，新春公司制定了多项环保管理制度，主要有《新春公司环境保护管理规定》《新春公司环境污染防治管理规定》《新春公司</w:t>
      </w:r>
      <w:r>
        <w:rPr>
          <w:rFonts w:hint="eastAsia"/>
          <w:sz w:val="24"/>
        </w:rPr>
        <w:t>QHSE</w:t>
      </w:r>
      <w:r>
        <w:rPr>
          <w:rFonts w:hint="eastAsia"/>
          <w:sz w:val="24"/>
        </w:rPr>
        <w:t>监督管理办法》</w:t>
      </w:r>
      <w:r>
        <w:rPr>
          <w:rFonts w:hint="eastAsia"/>
          <w:sz w:val="24"/>
        </w:rPr>
        <w:t>等</w:t>
      </w:r>
      <w:r>
        <w:rPr>
          <w:rFonts w:hint="eastAsia"/>
          <w:sz w:val="24"/>
        </w:rPr>
        <w:t>；公司内部单位考核按照《</w:t>
      </w:r>
      <w:r>
        <w:rPr>
          <w:rFonts w:hint="eastAsia"/>
          <w:sz w:val="24"/>
        </w:rPr>
        <w:t>HSE</w:t>
      </w:r>
      <w:r>
        <w:rPr>
          <w:rFonts w:hint="eastAsia"/>
          <w:sz w:val="24"/>
        </w:rPr>
        <w:t>风险管控责任考核细则》《年度</w:t>
      </w:r>
      <w:r>
        <w:rPr>
          <w:rFonts w:hint="eastAsia"/>
          <w:sz w:val="24"/>
        </w:rPr>
        <w:t>QHSE</w:t>
      </w:r>
      <w:r>
        <w:rPr>
          <w:rFonts w:hint="eastAsia"/>
          <w:sz w:val="24"/>
        </w:rPr>
        <w:t>责任书》执行。</w:t>
      </w:r>
    </w:p>
    <w:p w:rsidR="00EE4502" w:rsidRDefault="00FD45A3">
      <w:pPr>
        <w:spacing w:line="360" w:lineRule="auto"/>
        <w:ind w:firstLineChars="200" w:firstLine="480"/>
        <w:rPr>
          <w:sz w:val="24"/>
        </w:rPr>
      </w:pPr>
      <w:r>
        <w:rPr>
          <w:rFonts w:hint="eastAsia"/>
          <w:sz w:val="24"/>
        </w:rPr>
        <w:t>新春公司建立了</w:t>
      </w:r>
      <w:r>
        <w:rPr>
          <w:rFonts w:hint="eastAsia"/>
          <w:sz w:val="24"/>
        </w:rPr>
        <w:t>HSE</w:t>
      </w:r>
      <w:r>
        <w:rPr>
          <w:rFonts w:hint="eastAsia"/>
          <w:sz w:val="24"/>
        </w:rPr>
        <w:t>管理体系，基本明确了机构与职责、污染防治、生态环境保护、清洁生产、风险防控、奖励处罚等内容。</w:t>
      </w:r>
    </w:p>
    <w:p w:rsidR="00EE4502" w:rsidRDefault="00FD45A3">
      <w:pPr>
        <w:spacing w:line="360" w:lineRule="auto"/>
        <w:ind w:firstLineChars="200" w:firstLine="480"/>
        <w:rPr>
          <w:sz w:val="24"/>
        </w:rPr>
      </w:pPr>
      <w:r>
        <w:rPr>
          <w:rFonts w:hint="eastAsia"/>
          <w:sz w:val="24"/>
        </w:rPr>
        <w:t>①自行监测开展情况</w:t>
      </w:r>
    </w:p>
    <w:p w:rsidR="00EE4502" w:rsidRDefault="00FD45A3">
      <w:pPr>
        <w:spacing w:line="360" w:lineRule="auto"/>
        <w:ind w:firstLineChars="200" w:firstLine="480"/>
        <w:rPr>
          <w:sz w:val="24"/>
        </w:rPr>
      </w:pPr>
      <w:r>
        <w:rPr>
          <w:rFonts w:hint="eastAsia"/>
          <w:sz w:val="24"/>
        </w:rPr>
        <w:t>中石化新疆新春石油开发有限责任公司编制了企业自行监测方案，公司根据《中石化新疆新春石油开发有限责任公司自行监测方案》定期开展废气、废水、</w:t>
      </w:r>
      <w:r>
        <w:rPr>
          <w:rFonts w:hint="eastAsia"/>
          <w:sz w:val="24"/>
        </w:rPr>
        <w:lastRenderedPageBreak/>
        <w:t>噪声、土壤、地下水等各类污染物监测。</w:t>
      </w:r>
    </w:p>
    <w:p w:rsidR="00EE4502" w:rsidRDefault="00FD45A3">
      <w:pPr>
        <w:spacing w:line="360" w:lineRule="auto"/>
        <w:ind w:firstLineChars="200" w:firstLine="480"/>
        <w:rPr>
          <w:sz w:val="24"/>
        </w:rPr>
      </w:pPr>
      <w:r>
        <w:rPr>
          <w:rFonts w:hint="eastAsia"/>
          <w:sz w:val="24"/>
        </w:rPr>
        <w:t>②环境管理台账及固体废物管理台账建立情况</w:t>
      </w:r>
    </w:p>
    <w:p w:rsidR="00EE4502" w:rsidRDefault="00FD45A3">
      <w:pPr>
        <w:spacing w:line="360" w:lineRule="auto"/>
        <w:ind w:firstLineChars="200" w:firstLine="480"/>
        <w:rPr>
          <w:sz w:val="24"/>
        </w:rPr>
      </w:pPr>
      <w:r>
        <w:rPr>
          <w:rFonts w:hint="eastAsia"/>
          <w:sz w:val="24"/>
        </w:rPr>
        <w:t>中石化新疆新春石油开发有限责任公司围绕</w:t>
      </w:r>
      <w:r>
        <w:rPr>
          <w:rFonts w:hint="eastAsia"/>
          <w:sz w:val="24"/>
        </w:rPr>
        <w:t>HSE</w:t>
      </w:r>
      <w:r>
        <w:rPr>
          <w:rFonts w:hint="eastAsia"/>
          <w:sz w:val="24"/>
        </w:rPr>
        <w:t>制度体系，逐步健全了环境保护法律法规汇编、建设项目环境管理、污染防治设施运行管理、固体废弃物处置利用管理、环境安全隐患治理与风险管控、环境管理依法合规情况检查与整改等环境管理档案。</w:t>
      </w:r>
    </w:p>
    <w:p w:rsidR="00EE4502" w:rsidRDefault="00FD45A3">
      <w:pPr>
        <w:spacing w:line="360" w:lineRule="auto"/>
        <w:ind w:firstLineChars="200" w:firstLine="480"/>
        <w:rPr>
          <w:sz w:val="24"/>
        </w:rPr>
      </w:pPr>
      <w:r>
        <w:rPr>
          <w:rFonts w:hint="eastAsia"/>
          <w:sz w:val="24"/>
        </w:rPr>
        <w:t>中石化新疆新春石油开发有限责任公司编制《新春公司环境污染防治管理规定》</w:t>
      </w:r>
      <w:r>
        <w:rPr>
          <w:rFonts w:hint="eastAsia"/>
          <w:sz w:val="24"/>
        </w:rPr>
        <w:t>，明确一般固废（含钻井废弃泥浆）、危险废物管理要求。各单位应严格执行国家和地方政府有关固体废物污染控制要求和工业固体废物申报登记制度，精准计量并准确记录固废，废物的产生量、流向、处置等有关内容，确保固体废物全生命周期管理符合相关法规和标准要求。</w:t>
      </w:r>
    </w:p>
    <w:p w:rsidR="00EE4502" w:rsidRDefault="00FD45A3">
      <w:pPr>
        <w:spacing w:line="360" w:lineRule="auto"/>
        <w:ind w:firstLineChars="200" w:firstLine="480"/>
        <w:rPr>
          <w:sz w:val="24"/>
        </w:rPr>
      </w:pPr>
      <w:r>
        <w:rPr>
          <w:rFonts w:hint="eastAsia"/>
          <w:sz w:val="24"/>
        </w:rPr>
        <w:t>单位产生的危险废物如需外委处置，须与有资质单位分别签订运输、处置合同，并通过《新疆维吾尔自治区固体废物动态信息管理平台》办理转移申请及联单填报。属地单位负责督导作业单位对施工过程产生的油泥砂合法运输及外委处置，负责按照自治区政府要求执行网上联单申报、线下盖章工作，如</w:t>
      </w:r>
      <w:r>
        <w:rPr>
          <w:rFonts w:hint="eastAsia"/>
          <w:sz w:val="24"/>
        </w:rPr>
        <w:t>实记录每批次产生原因。</w:t>
      </w:r>
    </w:p>
    <w:p w:rsidR="00EE4502" w:rsidRDefault="00FD45A3">
      <w:pPr>
        <w:spacing w:line="360" w:lineRule="auto"/>
        <w:ind w:firstLineChars="200" w:firstLine="480"/>
        <w:rPr>
          <w:sz w:val="24"/>
        </w:rPr>
      </w:pPr>
      <w:r>
        <w:rPr>
          <w:rFonts w:hint="eastAsia"/>
          <w:sz w:val="24"/>
        </w:rPr>
        <w:t>③排污口规范化管理及排污许可手续</w:t>
      </w:r>
    </w:p>
    <w:p w:rsidR="00EE4502" w:rsidRDefault="00FD45A3">
      <w:pPr>
        <w:spacing w:line="360" w:lineRule="auto"/>
        <w:ind w:firstLineChars="200" w:firstLine="480"/>
        <w:rPr>
          <w:sz w:val="24"/>
        </w:rPr>
      </w:pPr>
      <w:r>
        <w:rPr>
          <w:rFonts w:hint="eastAsia"/>
          <w:sz w:val="24"/>
        </w:rPr>
        <w:t>新春公司按照《固定污染源排污许可分类管理名录（</w:t>
      </w:r>
      <w:r>
        <w:rPr>
          <w:rFonts w:hint="eastAsia"/>
          <w:sz w:val="24"/>
        </w:rPr>
        <w:t>2019</w:t>
      </w:r>
      <w:r>
        <w:rPr>
          <w:rFonts w:hint="eastAsia"/>
          <w:sz w:val="24"/>
        </w:rPr>
        <w:t>版）》规定的范围，已对春风油田内的注汽站办理了排污许可证申领，并按要求在全国排污许可证管理信息平台上填报并提交执行报告。</w:t>
      </w:r>
    </w:p>
    <w:p w:rsidR="00EE4502" w:rsidRDefault="00FD45A3">
      <w:pPr>
        <w:spacing w:line="360" w:lineRule="auto"/>
        <w:ind w:firstLineChars="200" w:firstLine="480"/>
        <w:rPr>
          <w:sz w:val="24"/>
        </w:rPr>
      </w:pPr>
      <w:r>
        <w:rPr>
          <w:rFonts w:hint="eastAsia"/>
          <w:sz w:val="24"/>
        </w:rPr>
        <w:t>新春公司按照《中华人民共和国环境保护税法实施条例》规定，及时、足额按季度缴纳了环境保护税。</w:t>
      </w:r>
    </w:p>
    <w:p w:rsidR="00EE4502" w:rsidRDefault="00FD45A3">
      <w:pPr>
        <w:spacing w:line="360" w:lineRule="auto"/>
        <w:ind w:firstLineChars="200" w:firstLine="480"/>
        <w:rPr>
          <w:sz w:val="24"/>
        </w:rPr>
      </w:pPr>
      <w:r>
        <w:rPr>
          <w:rFonts w:hint="eastAsia"/>
          <w:sz w:val="24"/>
        </w:rPr>
        <w:t>④绿色矿山建设情况</w:t>
      </w:r>
    </w:p>
    <w:p w:rsidR="00EE4502" w:rsidRDefault="00FD45A3">
      <w:pPr>
        <w:spacing w:line="360" w:lineRule="auto"/>
        <w:ind w:firstLineChars="200" w:firstLine="480"/>
        <w:rPr>
          <w:sz w:val="24"/>
        </w:rPr>
      </w:pPr>
      <w:r>
        <w:rPr>
          <w:rFonts w:hint="eastAsia"/>
          <w:sz w:val="24"/>
        </w:rPr>
        <w:t>新春公司于</w:t>
      </w:r>
      <w:r>
        <w:rPr>
          <w:rFonts w:hint="eastAsia"/>
          <w:sz w:val="24"/>
        </w:rPr>
        <w:t>2018</w:t>
      </w:r>
      <w:r>
        <w:rPr>
          <w:rFonts w:hint="eastAsia"/>
          <w:sz w:val="24"/>
        </w:rPr>
        <w:t>年通过绿色矿山创建验收，于</w:t>
      </w:r>
      <w:r>
        <w:rPr>
          <w:rFonts w:hint="eastAsia"/>
          <w:sz w:val="24"/>
        </w:rPr>
        <w:t>2019</w:t>
      </w:r>
      <w:r>
        <w:rPr>
          <w:rFonts w:hint="eastAsia"/>
          <w:sz w:val="24"/>
        </w:rPr>
        <w:t>年通过中石化集团公司绿色企业创建验收。根据春风油田“十四五”规划，新春公司将大力推行绿色矿山建设，不断替换现有高能</w:t>
      </w:r>
      <w:r>
        <w:rPr>
          <w:rFonts w:hint="eastAsia"/>
          <w:sz w:val="24"/>
        </w:rPr>
        <w:t>耗设备，推广清洁能源。</w:t>
      </w:r>
    </w:p>
    <w:p w:rsidR="00EE4502" w:rsidRDefault="00FD45A3">
      <w:pPr>
        <w:spacing w:line="360" w:lineRule="auto"/>
        <w:ind w:firstLineChars="200" w:firstLine="480"/>
        <w:rPr>
          <w:sz w:val="24"/>
        </w:rPr>
      </w:pPr>
      <w:r>
        <w:rPr>
          <w:rFonts w:hint="eastAsia"/>
          <w:sz w:val="24"/>
        </w:rPr>
        <w:t>⑤土壤隐患排查</w:t>
      </w:r>
    </w:p>
    <w:p w:rsidR="00EE4502" w:rsidRDefault="00FD45A3">
      <w:pPr>
        <w:spacing w:line="360" w:lineRule="auto"/>
        <w:ind w:firstLineChars="200" w:firstLine="480"/>
        <w:rPr>
          <w:sz w:val="24"/>
        </w:rPr>
      </w:pPr>
      <w:r>
        <w:rPr>
          <w:rFonts w:hint="eastAsia"/>
          <w:sz w:val="24"/>
        </w:rPr>
        <w:t>新春公司于</w:t>
      </w:r>
      <w:r>
        <w:rPr>
          <w:rFonts w:hint="eastAsia"/>
          <w:sz w:val="24"/>
        </w:rPr>
        <w:t>2023</w:t>
      </w:r>
      <w:r>
        <w:rPr>
          <w:rFonts w:hint="eastAsia"/>
          <w:sz w:val="24"/>
        </w:rPr>
        <w:t>年</w:t>
      </w:r>
      <w:r>
        <w:rPr>
          <w:rFonts w:hint="eastAsia"/>
          <w:sz w:val="24"/>
        </w:rPr>
        <w:t>10</w:t>
      </w:r>
      <w:r>
        <w:rPr>
          <w:rFonts w:hint="eastAsia"/>
          <w:sz w:val="24"/>
        </w:rPr>
        <w:t>月</w:t>
      </w:r>
      <w:r>
        <w:rPr>
          <w:rFonts w:hint="eastAsia"/>
          <w:sz w:val="24"/>
        </w:rPr>
        <w:t>16</w:t>
      </w:r>
      <w:r>
        <w:rPr>
          <w:rFonts w:hint="eastAsia"/>
          <w:sz w:val="24"/>
        </w:rPr>
        <w:t>日—</w:t>
      </w:r>
      <w:r>
        <w:rPr>
          <w:rFonts w:hint="eastAsia"/>
          <w:sz w:val="24"/>
        </w:rPr>
        <w:t>11</w:t>
      </w:r>
      <w:r>
        <w:rPr>
          <w:rFonts w:hint="eastAsia"/>
          <w:sz w:val="24"/>
        </w:rPr>
        <w:t>月</w:t>
      </w:r>
      <w:r>
        <w:rPr>
          <w:rFonts w:hint="eastAsia"/>
          <w:sz w:val="24"/>
        </w:rPr>
        <w:t>6</w:t>
      </w:r>
      <w:r>
        <w:rPr>
          <w:rFonts w:hint="eastAsia"/>
          <w:sz w:val="24"/>
        </w:rPr>
        <w:t>日开展了土壤污染隐患排查，土壤污染隐患排查范围包括</w:t>
      </w:r>
      <w:r>
        <w:rPr>
          <w:rFonts w:hint="eastAsia"/>
          <w:sz w:val="24"/>
        </w:rPr>
        <w:t>2</w:t>
      </w:r>
      <w:r>
        <w:rPr>
          <w:rFonts w:hint="eastAsia"/>
          <w:sz w:val="24"/>
        </w:rPr>
        <w:t>座接转站、</w:t>
      </w:r>
      <w:r>
        <w:rPr>
          <w:rFonts w:hint="eastAsia"/>
          <w:sz w:val="24"/>
        </w:rPr>
        <w:t>2</w:t>
      </w:r>
      <w:r>
        <w:rPr>
          <w:rFonts w:hint="eastAsia"/>
          <w:sz w:val="24"/>
        </w:rPr>
        <w:t>座增压站、</w:t>
      </w:r>
      <w:r>
        <w:rPr>
          <w:rFonts w:hint="eastAsia"/>
          <w:sz w:val="24"/>
        </w:rPr>
        <w:t>1</w:t>
      </w:r>
      <w:r>
        <w:rPr>
          <w:rFonts w:hint="eastAsia"/>
          <w:sz w:val="24"/>
        </w:rPr>
        <w:t>座注水站、</w:t>
      </w:r>
      <w:r>
        <w:rPr>
          <w:rFonts w:hint="eastAsia"/>
          <w:sz w:val="24"/>
        </w:rPr>
        <w:t>4</w:t>
      </w:r>
      <w:r>
        <w:rPr>
          <w:rFonts w:hint="eastAsia"/>
          <w:sz w:val="24"/>
        </w:rPr>
        <w:t>座注汽站、</w:t>
      </w:r>
      <w:r>
        <w:rPr>
          <w:rFonts w:hint="eastAsia"/>
          <w:sz w:val="24"/>
        </w:rPr>
        <w:t>18</w:t>
      </w:r>
      <w:r>
        <w:rPr>
          <w:rFonts w:hint="eastAsia"/>
          <w:sz w:val="24"/>
        </w:rPr>
        <w:t>个重点井场和</w:t>
      </w:r>
      <w:r>
        <w:rPr>
          <w:rFonts w:hint="eastAsia"/>
          <w:sz w:val="24"/>
        </w:rPr>
        <w:t>8</w:t>
      </w:r>
      <w:r>
        <w:rPr>
          <w:rFonts w:hint="eastAsia"/>
          <w:sz w:val="24"/>
        </w:rPr>
        <w:t>条集输干线等。根据排查结果新春公司涉及工业活动主要为液体</w:t>
      </w:r>
      <w:r>
        <w:rPr>
          <w:rFonts w:hint="eastAsia"/>
          <w:sz w:val="24"/>
        </w:rPr>
        <w:lastRenderedPageBreak/>
        <w:t>储存、散装液体转运与厂内运输、生产区、货物的储存和运输区共</w:t>
      </w:r>
      <w:r>
        <w:rPr>
          <w:rFonts w:hint="eastAsia"/>
          <w:sz w:val="24"/>
        </w:rPr>
        <w:t>4</w:t>
      </w:r>
      <w:r>
        <w:rPr>
          <w:rFonts w:hint="eastAsia"/>
          <w:sz w:val="24"/>
        </w:rPr>
        <w:t>类工业活动。</w:t>
      </w:r>
    </w:p>
    <w:p w:rsidR="00EE4502" w:rsidRDefault="00FD45A3">
      <w:pPr>
        <w:spacing w:line="360" w:lineRule="auto"/>
        <w:ind w:firstLineChars="200" w:firstLine="480"/>
        <w:rPr>
          <w:sz w:val="24"/>
        </w:rPr>
      </w:pPr>
      <w:r>
        <w:rPr>
          <w:rFonts w:hint="eastAsia"/>
          <w:sz w:val="24"/>
        </w:rPr>
        <w:t>⑥环境影响后评价</w:t>
      </w:r>
    </w:p>
    <w:p w:rsidR="00EE4502" w:rsidRDefault="00FD45A3">
      <w:pPr>
        <w:spacing w:line="360" w:lineRule="auto"/>
        <w:ind w:firstLineChars="200" w:firstLine="480"/>
        <w:rPr>
          <w:sz w:val="24"/>
        </w:rPr>
      </w:pPr>
      <w:r>
        <w:rPr>
          <w:rFonts w:hint="eastAsia"/>
          <w:sz w:val="24"/>
        </w:rPr>
        <w:t>春风油田已按照《关于进一步加强和规范油气田开发项目环境保护管理工作的通知》（新环发﹝</w:t>
      </w:r>
      <w:r>
        <w:rPr>
          <w:rFonts w:hint="eastAsia"/>
          <w:sz w:val="24"/>
        </w:rPr>
        <w:t>2018</w:t>
      </w:r>
      <w:r>
        <w:rPr>
          <w:rFonts w:hint="eastAsia"/>
          <w:sz w:val="24"/>
        </w:rPr>
        <w:t>﹞</w:t>
      </w:r>
      <w:r>
        <w:rPr>
          <w:rFonts w:hint="eastAsia"/>
          <w:sz w:val="24"/>
        </w:rPr>
        <w:t>133</w:t>
      </w:r>
      <w:r>
        <w:rPr>
          <w:rFonts w:hint="eastAsia"/>
          <w:sz w:val="24"/>
        </w:rPr>
        <w:t>号）文件要求，编制了《春风油田环境影响后评价报告书》，并于</w:t>
      </w:r>
      <w:r>
        <w:rPr>
          <w:rFonts w:hint="eastAsia"/>
          <w:sz w:val="24"/>
        </w:rPr>
        <w:t>2022</w:t>
      </w:r>
      <w:r>
        <w:rPr>
          <w:rFonts w:hint="eastAsia"/>
          <w:sz w:val="24"/>
        </w:rPr>
        <w:t>年</w:t>
      </w:r>
      <w:r>
        <w:rPr>
          <w:rFonts w:hint="eastAsia"/>
          <w:sz w:val="24"/>
        </w:rPr>
        <w:t>3</w:t>
      </w:r>
      <w:r>
        <w:rPr>
          <w:rFonts w:hint="eastAsia"/>
          <w:sz w:val="24"/>
        </w:rPr>
        <w:t>月</w:t>
      </w:r>
      <w:r>
        <w:rPr>
          <w:rFonts w:hint="eastAsia"/>
          <w:sz w:val="24"/>
        </w:rPr>
        <w:t>24</w:t>
      </w:r>
      <w:r>
        <w:rPr>
          <w:rFonts w:hint="eastAsia"/>
          <w:sz w:val="24"/>
        </w:rPr>
        <w:t>日取得了自治区生态环境厅的备案“新环环评函﹝</w:t>
      </w:r>
      <w:r>
        <w:rPr>
          <w:rFonts w:hint="eastAsia"/>
          <w:sz w:val="24"/>
        </w:rPr>
        <w:t>2022</w:t>
      </w:r>
      <w:r>
        <w:rPr>
          <w:rFonts w:hint="eastAsia"/>
          <w:sz w:val="24"/>
        </w:rPr>
        <w:t>﹞</w:t>
      </w:r>
      <w:r>
        <w:rPr>
          <w:rFonts w:hint="eastAsia"/>
          <w:sz w:val="24"/>
        </w:rPr>
        <w:t>221</w:t>
      </w:r>
      <w:r>
        <w:rPr>
          <w:rFonts w:hint="eastAsia"/>
          <w:sz w:val="24"/>
        </w:rPr>
        <w:t>号”。</w:t>
      </w:r>
    </w:p>
    <w:p w:rsidR="00EE4502" w:rsidRDefault="00FD45A3">
      <w:pPr>
        <w:spacing w:line="360" w:lineRule="auto"/>
        <w:ind w:firstLineChars="200" w:firstLine="480"/>
        <w:rPr>
          <w:sz w:val="24"/>
        </w:rPr>
      </w:pPr>
      <w:r>
        <w:rPr>
          <w:rFonts w:hint="eastAsia"/>
          <w:sz w:val="24"/>
        </w:rPr>
        <w:t>⑦突发环境事件应急预案</w:t>
      </w:r>
    </w:p>
    <w:p w:rsidR="00EE4502" w:rsidRDefault="00FD45A3">
      <w:pPr>
        <w:spacing w:line="360" w:lineRule="auto"/>
        <w:ind w:firstLineChars="200" w:firstLine="480"/>
        <w:rPr>
          <w:sz w:val="24"/>
        </w:rPr>
      </w:pPr>
      <w:r>
        <w:rPr>
          <w:rFonts w:hint="eastAsia"/>
          <w:sz w:val="24"/>
        </w:rPr>
        <w:t>根据现场调查，中石化新疆新春石油开发有限责任公司对春风油田开展了风险评估，并根据环境风险评价报告编制相应层次的《突发环境事件应急预案》，并在新疆生产建设兵团第七师生态环境局、克拉玛依市克拉玛依区生态环境局进行备案。中石化新疆新春石油开发有限责任公司在春风油田油区内定期开展应急演练、培训，油区内储备了应急物资，并成立了应急指挥机构。</w:t>
      </w:r>
    </w:p>
    <w:p w:rsidR="00EE4502" w:rsidRDefault="00FD45A3">
      <w:pPr>
        <w:spacing w:line="360" w:lineRule="auto"/>
        <w:ind w:firstLineChars="200" w:firstLine="480"/>
        <w:rPr>
          <w:sz w:val="24"/>
        </w:rPr>
      </w:pPr>
      <w:r>
        <w:rPr>
          <w:rFonts w:hint="eastAsia"/>
          <w:sz w:val="24"/>
        </w:rPr>
        <w:t>⑧清洁生产</w:t>
      </w:r>
    </w:p>
    <w:p w:rsidR="00EE4502" w:rsidRDefault="00FD45A3">
      <w:pPr>
        <w:spacing w:line="360" w:lineRule="auto"/>
        <w:ind w:firstLineChars="200" w:firstLine="480"/>
        <w:rPr>
          <w:sz w:val="24"/>
        </w:rPr>
      </w:pPr>
      <w:r>
        <w:rPr>
          <w:rFonts w:hint="eastAsia"/>
          <w:sz w:val="24"/>
        </w:rPr>
        <w:t>按照《中华人民共和国清洁生产促进法》相关要求，春风油田已于</w:t>
      </w:r>
      <w:r>
        <w:rPr>
          <w:rFonts w:hint="eastAsia"/>
          <w:sz w:val="24"/>
        </w:rPr>
        <w:t>202</w:t>
      </w:r>
      <w:r>
        <w:rPr>
          <w:rFonts w:hint="eastAsia"/>
          <w:sz w:val="24"/>
        </w:rPr>
        <w:t>3</w:t>
      </w:r>
      <w:r>
        <w:rPr>
          <w:rFonts w:hint="eastAsia"/>
          <w:sz w:val="24"/>
        </w:rPr>
        <w:t>年完成新一轮的清洁生产审核，并由克拉玛依市生态环境局于</w:t>
      </w:r>
      <w:r>
        <w:rPr>
          <w:rFonts w:hint="eastAsia"/>
          <w:sz w:val="24"/>
        </w:rPr>
        <w:t>2023</w:t>
      </w:r>
      <w:r>
        <w:rPr>
          <w:rFonts w:hint="eastAsia"/>
          <w:sz w:val="24"/>
        </w:rPr>
        <w:t>年</w:t>
      </w:r>
      <w:r>
        <w:rPr>
          <w:rFonts w:hint="eastAsia"/>
          <w:sz w:val="24"/>
        </w:rPr>
        <w:t>10</w:t>
      </w:r>
      <w:r>
        <w:rPr>
          <w:rFonts w:hint="eastAsia"/>
          <w:sz w:val="24"/>
        </w:rPr>
        <w:t>月</w:t>
      </w:r>
      <w:r>
        <w:rPr>
          <w:rFonts w:hint="eastAsia"/>
          <w:sz w:val="24"/>
        </w:rPr>
        <w:t>11</w:t>
      </w:r>
      <w:r>
        <w:rPr>
          <w:rFonts w:hint="eastAsia"/>
          <w:sz w:val="24"/>
        </w:rPr>
        <w:t>日出具了《关于中石化新疆新春石油开发有限责任公司清洁生产审核验收报告的审查意见》。</w:t>
      </w:r>
    </w:p>
    <w:p w:rsidR="00EE4502" w:rsidRDefault="00FD45A3">
      <w:pPr>
        <w:spacing w:line="360" w:lineRule="auto"/>
        <w:ind w:firstLineChars="200" w:firstLine="480"/>
        <w:rPr>
          <w:sz w:val="24"/>
        </w:rPr>
      </w:pPr>
      <w:r>
        <w:rPr>
          <w:rFonts w:hint="eastAsia"/>
          <w:sz w:val="24"/>
        </w:rPr>
        <w:t>⑨环保设施运行管理</w:t>
      </w:r>
    </w:p>
    <w:p w:rsidR="00EE4502" w:rsidRDefault="00FD45A3">
      <w:pPr>
        <w:spacing w:line="360" w:lineRule="auto"/>
        <w:ind w:firstLineChars="200" w:firstLine="480"/>
        <w:rPr>
          <w:sz w:val="24"/>
        </w:rPr>
      </w:pPr>
      <w:r>
        <w:rPr>
          <w:rFonts w:hint="eastAsia"/>
          <w:sz w:val="24"/>
        </w:rPr>
        <w:t>新春公司制定了《新春公司环境保护管理规定》《新春公司环境污染防治管理规定》《新春公司</w:t>
      </w:r>
      <w:r>
        <w:rPr>
          <w:rFonts w:hint="eastAsia"/>
          <w:sz w:val="24"/>
        </w:rPr>
        <w:t>QHSE</w:t>
      </w:r>
      <w:r>
        <w:rPr>
          <w:rFonts w:hint="eastAsia"/>
          <w:sz w:val="24"/>
        </w:rPr>
        <w:t>监督管理办法》等，春风油田内的环保设施管理采取属地单位负责管理，并与生产设施等同管理，保证其正常运行。</w:t>
      </w:r>
    </w:p>
    <w:p w:rsidR="00EE4502" w:rsidRDefault="00FD45A3">
      <w:pPr>
        <w:spacing w:line="360" w:lineRule="auto"/>
        <w:ind w:firstLineChars="200" w:firstLine="480"/>
        <w:rPr>
          <w:sz w:val="24"/>
        </w:rPr>
      </w:pPr>
      <w:r>
        <w:rPr>
          <w:rFonts w:hint="eastAsia"/>
          <w:sz w:val="24"/>
        </w:rPr>
        <w:t>⑩信息公开</w:t>
      </w:r>
    </w:p>
    <w:p w:rsidR="00EE4502" w:rsidRDefault="00FD45A3">
      <w:pPr>
        <w:spacing w:line="360" w:lineRule="auto"/>
        <w:ind w:firstLineChars="200" w:firstLine="480"/>
        <w:rPr>
          <w:sz w:val="24"/>
        </w:rPr>
      </w:pPr>
      <w:r>
        <w:rPr>
          <w:rFonts w:hint="eastAsia"/>
          <w:sz w:val="24"/>
        </w:rPr>
        <w:t>春风油田在开发过程中由新春公司开展了信息公开相关工作，对建设项目环境影响评价、验收等内容采取网络、报纸、公示公告等形式进行了</w:t>
      </w:r>
      <w:r>
        <w:rPr>
          <w:rFonts w:hint="eastAsia"/>
          <w:sz w:val="24"/>
        </w:rPr>
        <w:t>信息公开。</w:t>
      </w:r>
    </w:p>
    <w:p w:rsidR="00EE4502" w:rsidRDefault="00FD45A3">
      <w:pPr>
        <w:pStyle w:val="33"/>
        <w:numPr>
          <w:ilvl w:val="2"/>
          <w:numId w:val="30"/>
        </w:numPr>
        <w:spacing w:line="360" w:lineRule="auto"/>
        <w:ind w:left="0" w:firstLine="0"/>
        <w:rPr>
          <w:spacing w:val="0"/>
          <w:sz w:val="24"/>
          <w:szCs w:val="24"/>
        </w:rPr>
      </w:pPr>
      <w:r>
        <w:rPr>
          <w:rFonts w:hint="eastAsia"/>
          <w:spacing w:val="0"/>
          <w:sz w:val="24"/>
          <w:szCs w:val="24"/>
        </w:rPr>
        <w:t>环境问题及“以新带老”改进意见</w:t>
      </w:r>
    </w:p>
    <w:p w:rsidR="00EE4502" w:rsidRDefault="00FD45A3">
      <w:pPr>
        <w:spacing w:line="360" w:lineRule="auto"/>
        <w:ind w:firstLineChars="200" w:firstLine="480"/>
        <w:rPr>
          <w:sz w:val="24"/>
        </w:rPr>
      </w:pPr>
      <w:r>
        <w:rPr>
          <w:sz w:val="24"/>
        </w:rPr>
        <w:t>根据现有工程环境影响回顾分析，中石化新疆新春石油开发有限责任公司应加强设备检修与维护、加强药剂使用的培训和管理，避免撒漏，每年开展至少</w:t>
      </w:r>
      <w:r>
        <w:rPr>
          <w:sz w:val="24"/>
        </w:rPr>
        <w:t>1</w:t>
      </w:r>
      <w:r>
        <w:rPr>
          <w:sz w:val="24"/>
        </w:rPr>
        <w:t>次土壤环境监测和</w:t>
      </w:r>
      <w:r>
        <w:rPr>
          <w:sz w:val="24"/>
        </w:rPr>
        <w:t>2</w:t>
      </w:r>
      <w:r>
        <w:rPr>
          <w:sz w:val="24"/>
        </w:rPr>
        <w:t>次地下水环境监测（丰水期和枯水期开展）。</w:t>
      </w:r>
    </w:p>
    <w:p w:rsidR="00EE4502" w:rsidRDefault="00EE4502">
      <w:pPr>
        <w:pStyle w:val="22"/>
        <w:numPr>
          <w:ilvl w:val="1"/>
          <w:numId w:val="30"/>
        </w:numPr>
        <w:rPr>
          <w:spacing w:val="0"/>
          <w:w w:val="100"/>
        </w:rPr>
        <w:sectPr w:rsidR="00EE4502">
          <w:pgSz w:w="11906" w:h="16838"/>
          <w:pgMar w:top="1440" w:right="1800" w:bottom="1440" w:left="1800" w:header="850" w:footer="850" w:gutter="0"/>
          <w:pgNumType w:fmt="numberInDash"/>
          <w:cols w:space="720"/>
          <w:docGrid w:linePitch="326"/>
        </w:sectPr>
      </w:pPr>
      <w:bookmarkStart w:id="87" w:name="_Toc327897339"/>
    </w:p>
    <w:p w:rsidR="00EE4502" w:rsidRDefault="00FD45A3">
      <w:pPr>
        <w:pStyle w:val="22"/>
        <w:numPr>
          <w:ilvl w:val="1"/>
          <w:numId w:val="30"/>
        </w:numPr>
        <w:rPr>
          <w:spacing w:val="0"/>
          <w:w w:val="100"/>
        </w:rPr>
      </w:pPr>
      <w:bookmarkStart w:id="88" w:name="_Toc11922"/>
      <w:r>
        <w:rPr>
          <w:rFonts w:hint="eastAsia"/>
          <w:spacing w:val="0"/>
          <w:w w:val="100"/>
        </w:rPr>
        <w:lastRenderedPageBreak/>
        <w:t>现有工程</w:t>
      </w:r>
      <w:bookmarkEnd w:id="88"/>
    </w:p>
    <w:p w:rsidR="00EE4502" w:rsidRDefault="00FD45A3">
      <w:pPr>
        <w:pStyle w:val="33"/>
        <w:numPr>
          <w:ilvl w:val="2"/>
          <w:numId w:val="30"/>
        </w:numPr>
        <w:spacing w:line="360" w:lineRule="auto"/>
        <w:ind w:left="0" w:firstLine="0"/>
        <w:rPr>
          <w:spacing w:val="0"/>
          <w:sz w:val="24"/>
          <w:szCs w:val="24"/>
        </w:rPr>
      </w:pPr>
      <w:r>
        <w:rPr>
          <w:rFonts w:hint="eastAsia"/>
          <w:spacing w:val="0"/>
          <w:sz w:val="24"/>
          <w:szCs w:val="24"/>
        </w:rPr>
        <w:t>现有工程概况</w:t>
      </w:r>
    </w:p>
    <w:p w:rsidR="00EE4502" w:rsidRDefault="00FD45A3">
      <w:pPr>
        <w:pStyle w:val="41"/>
        <w:numPr>
          <w:ilvl w:val="3"/>
          <w:numId w:val="30"/>
        </w:numPr>
        <w:adjustRightInd/>
        <w:snapToGrid/>
        <w:spacing w:beforeLines="0" w:before="0" w:line="360" w:lineRule="auto"/>
        <w:rPr>
          <w:sz w:val="24"/>
          <w:szCs w:val="24"/>
        </w:rPr>
      </w:pPr>
      <w:r>
        <w:rPr>
          <w:rFonts w:ascii="Times New Roman" w:eastAsia="宋体" w:hAnsi="Times New Roman" w:hint="eastAsia"/>
          <w:bCs w:val="0"/>
          <w:sz w:val="24"/>
          <w:szCs w:val="24"/>
        </w:rPr>
        <w:t>试油试采井概况</w:t>
      </w:r>
    </w:p>
    <w:p w:rsidR="00EE4502" w:rsidRDefault="00FD45A3">
      <w:pPr>
        <w:spacing w:line="360" w:lineRule="auto"/>
        <w:ind w:firstLineChars="200" w:firstLine="480"/>
        <w:rPr>
          <w:sz w:val="24"/>
        </w:rPr>
      </w:pPr>
      <w:r>
        <w:rPr>
          <w:rFonts w:hint="eastAsia"/>
          <w:sz w:val="24"/>
        </w:rPr>
        <w:t>排</w:t>
      </w:r>
      <w:r>
        <w:rPr>
          <w:rFonts w:hint="eastAsia"/>
          <w:sz w:val="24"/>
        </w:rPr>
        <w:t>61</w:t>
      </w:r>
      <w:r>
        <w:rPr>
          <w:rFonts w:hint="eastAsia"/>
          <w:sz w:val="24"/>
        </w:rPr>
        <w:t>块方案区共有试油试采直井</w:t>
      </w:r>
      <w:r>
        <w:rPr>
          <w:rFonts w:hint="eastAsia"/>
          <w:sz w:val="24"/>
        </w:rPr>
        <w:t>9</w:t>
      </w:r>
      <w:r>
        <w:rPr>
          <w:rFonts w:hint="eastAsia"/>
          <w:sz w:val="24"/>
        </w:rPr>
        <w:t>口（排</w:t>
      </w:r>
      <w:r>
        <w:rPr>
          <w:rFonts w:hint="eastAsia"/>
          <w:sz w:val="24"/>
        </w:rPr>
        <w:t>61</w:t>
      </w:r>
      <w:r>
        <w:rPr>
          <w:rFonts w:hint="eastAsia"/>
          <w:sz w:val="24"/>
        </w:rPr>
        <w:t>、排</w:t>
      </w:r>
      <w:r>
        <w:rPr>
          <w:rFonts w:hint="eastAsia"/>
          <w:sz w:val="24"/>
        </w:rPr>
        <w:t>655</w:t>
      </w:r>
      <w:r>
        <w:rPr>
          <w:rFonts w:hint="eastAsia"/>
          <w:sz w:val="24"/>
        </w:rPr>
        <w:t>、排</w:t>
      </w:r>
      <w:r>
        <w:rPr>
          <w:rFonts w:hint="eastAsia"/>
          <w:sz w:val="24"/>
        </w:rPr>
        <w:t>679</w:t>
      </w:r>
      <w:r>
        <w:rPr>
          <w:rFonts w:hint="eastAsia"/>
          <w:sz w:val="24"/>
        </w:rPr>
        <w:t>、排</w:t>
      </w:r>
      <w:r>
        <w:rPr>
          <w:rFonts w:hint="eastAsia"/>
          <w:sz w:val="24"/>
        </w:rPr>
        <w:t>668</w:t>
      </w:r>
      <w:r>
        <w:rPr>
          <w:rFonts w:hint="eastAsia"/>
          <w:sz w:val="24"/>
        </w:rPr>
        <w:t>、排</w:t>
      </w:r>
      <w:r>
        <w:rPr>
          <w:rFonts w:hint="eastAsia"/>
          <w:sz w:val="24"/>
        </w:rPr>
        <w:t>664</w:t>
      </w:r>
      <w:r>
        <w:rPr>
          <w:rFonts w:hint="eastAsia"/>
          <w:sz w:val="24"/>
        </w:rPr>
        <w:t>、排</w:t>
      </w:r>
      <w:r>
        <w:rPr>
          <w:rFonts w:hint="eastAsia"/>
          <w:sz w:val="24"/>
        </w:rPr>
        <w:t>664</w:t>
      </w:r>
      <w:r>
        <w:rPr>
          <w:rFonts w:hint="eastAsia"/>
          <w:sz w:val="24"/>
        </w:rPr>
        <w:t>侧、排</w:t>
      </w:r>
      <w:r>
        <w:rPr>
          <w:rFonts w:hint="eastAsia"/>
          <w:sz w:val="24"/>
        </w:rPr>
        <w:t>690</w:t>
      </w:r>
      <w:r>
        <w:rPr>
          <w:rFonts w:hint="eastAsia"/>
          <w:sz w:val="24"/>
        </w:rPr>
        <w:t>、排</w:t>
      </w:r>
      <w:r>
        <w:rPr>
          <w:rFonts w:hint="eastAsia"/>
          <w:sz w:val="24"/>
        </w:rPr>
        <w:t>665</w:t>
      </w:r>
      <w:r>
        <w:rPr>
          <w:rFonts w:hint="eastAsia"/>
          <w:sz w:val="24"/>
        </w:rPr>
        <w:t>、排</w:t>
      </w:r>
      <w:r>
        <w:rPr>
          <w:rFonts w:hint="eastAsia"/>
          <w:sz w:val="24"/>
        </w:rPr>
        <w:t>741</w:t>
      </w:r>
      <w:r>
        <w:rPr>
          <w:rFonts w:hint="eastAsia"/>
          <w:sz w:val="24"/>
        </w:rPr>
        <w:t>），水平井</w:t>
      </w:r>
      <w:r>
        <w:rPr>
          <w:rFonts w:hint="eastAsia"/>
          <w:sz w:val="24"/>
        </w:rPr>
        <w:t>9</w:t>
      </w:r>
      <w:r>
        <w:rPr>
          <w:rFonts w:hint="eastAsia"/>
          <w:sz w:val="24"/>
        </w:rPr>
        <w:t>口（排</w:t>
      </w:r>
      <w:r>
        <w:rPr>
          <w:rFonts w:hint="eastAsia"/>
          <w:sz w:val="24"/>
        </w:rPr>
        <w:t>61-</w:t>
      </w:r>
      <w:r>
        <w:rPr>
          <w:rFonts w:hint="eastAsia"/>
          <w:sz w:val="24"/>
        </w:rPr>
        <w:t>平</w:t>
      </w:r>
      <w:r>
        <w:rPr>
          <w:rFonts w:hint="eastAsia"/>
          <w:sz w:val="24"/>
        </w:rPr>
        <w:t>1</w:t>
      </w:r>
      <w:r>
        <w:rPr>
          <w:rFonts w:hint="eastAsia"/>
          <w:sz w:val="24"/>
        </w:rPr>
        <w:t>、排</w:t>
      </w:r>
      <w:r>
        <w:rPr>
          <w:rFonts w:hint="eastAsia"/>
          <w:sz w:val="24"/>
        </w:rPr>
        <w:t>61-</w:t>
      </w:r>
      <w:r>
        <w:rPr>
          <w:rFonts w:hint="eastAsia"/>
          <w:sz w:val="24"/>
        </w:rPr>
        <w:t>支平</w:t>
      </w:r>
      <w:r>
        <w:rPr>
          <w:rFonts w:hint="eastAsia"/>
          <w:sz w:val="24"/>
        </w:rPr>
        <w:t>2</w:t>
      </w:r>
      <w:r>
        <w:rPr>
          <w:rFonts w:hint="eastAsia"/>
          <w:sz w:val="24"/>
        </w:rPr>
        <w:t>、排</w:t>
      </w:r>
      <w:r>
        <w:rPr>
          <w:rFonts w:hint="eastAsia"/>
          <w:sz w:val="24"/>
        </w:rPr>
        <w:t>655-</w:t>
      </w:r>
      <w:r>
        <w:rPr>
          <w:rFonts w:hint="eastAsia"/>
          <w:sz w:val="24"/>
        </w:rPr>
        <w:t>平</w:t>
      </w:r>
      <w:r>
        <w:rPr>
          <w:rFonts w:hint="eastAsia"/>
          <w:sz w:val="24"/>
        </w:rPr>
        <w:t>1</w:t>
      </w:r>
      <w:r>
        <w:rPr>
          <w:rFonts w:hint="eastAsia"/>
          <w:sz w:val="24"/>
        </w:rPr>
        <w:t>、排</w:t>
      </w:r>
      <w:r>
        <w:rPr>
          <w:rFonts w:hint="eastAsia"/>
          <w:sz w:val="24"/>
        </w:rPr>
        <w:t>756H</w:t>
      </w:r>
      <w:r>
        <w:rPr>
          <w:rFonts w:hint="eastAsia"/>
          <w:sz w:val="24"/>
        </w:rPr>
        <w:t>、排</w:t>
      </w:r>
      <w:r>
        <w:rPr>
          <w:rFonts w:hint="eastAsia"/>
          <w:sz w:val="24"/>
        </w:rPr>
        <w:t>757H</w:t>
      </w:r>
      <w:r>
        <w:rPr>
          <w:rFonts w:hint="eastAsia"/>
          <w:sz w:val="24"/>
        </w:rPr>
        <w:t>、排</w:t>
      </w:r>
      <w:r>
        <w:rPr>
          <w:rFonts w:hint="eastAsia"/>
          <w:sz w:val="24"/>
        </w:rPr>
        <w:t>754H</w:t>
      </w:r>
      <w:r>
        <w:rPr>
          <w:rFonts w:hint="eastAsia"/>
          <w:sz w:val="24"/>
        </w:rPr>
        <w:t>、排平</w:t>
      </w:r>
      <w:r>
        <w:rPr>
          <w:rFonts w:hint="eastAsia"/>
          <w:sz w:val="24"/>
        </w:rPr>
        <w:t>752</w:t>
      </w:r>
      <w:r>
        <w:rPr>
          <w:rFonts w:hint="eastAsia"/>
          <w:sz w:val="24"/>
        </w:rPr>
        <w:t>、排</w:t>
      </w:r>
      <w:r>
        <w:rPr>
          <w:rFonts w:hint="eastAsia"/>
          <w:sz w:val="24"/>
        </w:rPr>
        <w:t>66-</w:t>
      </w:r>
      <w:r>
        <w:rPr>
          <w:rFonts w:hint="eastAsia"/>
          <w:sz w:val="24"/>
        </w:rPr>
        <w:t>平</w:t>
      </w:r>
      <w:r>
        <w:rPr>
          <w:rFonts w:hint="eastAsia"/>
          <w:sz w:val="24"/>
        </w:rPr>
        <w:t>9</w:t>
      </w:r>
      <w:r>
        <w:rPr>
          <w:rFonts w:hint="eastAsia"/>
          <w:sz w:val="24"/>
        </w:rPr>
        <w:t>、排</w:t>
      </w:r>
      <w:r>
        <w:rPr>
          <w:rFonts w:hint="eastAsia"/>
          <w:sz w:val="24"/>
        </w:rPr>
        <w:t>66-</w:t>
      </w:r>
      <w:r>
        <w:rPr>
          <w:rFonts w:hint="eastAsia"/>
          <w:sz w:val="24"/>
        </w:rPr>
        <w:t>平</w:t>
      </w:r>
      <w:r>
        <w:rPr>
          <w:rFonts w:hint="eastAsia"/>
          <w:sz w:val="24"/>
        </w:rPr>
        <w:t>10</w:t>
      </w:r>
      <w:r>
        <w:rPr>
          <w:rFonts w:hint="eastAsia"/>
          <w:sz w:val="24"/>
        </w:rPr>
        <w:t>）。</w:t>
      </w:r>
    </w:p>
    <w:p w:rsidR="00EE4502" w:rsidRDefault="00FD45A3">
      <w:pPr>
        <w:spacing w:line="360" w:lineRule="auto"/>
        <w:ind w:firstLineChars="200" w:firstLine="480"/>
        <w:rPr>
          <w:sz w:val="24"/>
        </w:rPr>
      </w:pPr>
      <w:r>
        <w:rPr>
          <w:rFonts w:hint="eastAsia"/>
          <w:sz w:val="24"/>
        </w:rPr>
        <w:t>直井具有一定产能，但普遍偏低。前期主要利用直井深化地质认识，落实油水界面，试油试采获得了一定的产能。试油直井</w:t>
      </w:r>
      <w:r>
        <w:rPr>
          <w:rFonts w:hint="eastAsia"/>
          <w:sz w:val="24"/>
        </w:rPr>
        <w:t>9</w:t>
      </w:r>
      <w:r>
        <w:rPr>
          <w:rFonts w:hint="eastAsia"/>
          <w:sz w:val="24"/>
        </w:rPr>
        <w:t>口，初期平均日产油</w:t>
      </w:r>
      <w:r>
        <w:rPr>
          <w:rFonts w:hint="eastAsia"/>
          <w:sz w:val="24"/>
        </w:rPr>
        <w:t>2.8t/d</w:t>
      </w:r>
      <w:r>
        <w:rPr>
          <w:rFonts w:hint="eastAsia"/>
          <w:sz w:val="24"/>
        </w:rPr>
        <w:t>，累产油</w:t>
      </w:r>
      <w:r>
        <w:rPr>
          <w:rFonts w:hint="eastAsia"/>
          <w:sz w:val="24"/>
        </w:rPr>
        <w:t>694t</w:t>
      </w:r>
      <w:r>
        <w:rPr>
          <w:rFonts w:hint="eastAsia"/>
          <w:sz w:val="24"/>
        </w:rPr>
        <w:t>、累产液</w:t>
      </w:r>
      <w:r>
        <w:rPr>
          <w:rFonts w:hint="eastAsia"/>
          <w:sz w:val="24"/>
        </w:rPr>
        <w:t>4086t</w:t>
      </w:r>
      <w:r>
        <w:rPr>
          <w:rFonts w:hint="eastAsia"/>
          <w:sz w:val="24"/>
        </w:rPr>
        <w:t>。其中，试采直井</w:t>
      </w:r>
      <w:r>
        <w:rPr>
          <w:rFonts w:hint="eastAsia"/>
          <w:sz w:val="24"/>
        </w:rPr>
        <w:t>4</w:t>
      </w:r>
      <w:r>
        <w:rPr>
          <w:rFonts w:hint="eastAsia"/>
          <w:sz w:val="24"/>
        </w:rPr>
        <w:t>口，目前开井</w:t>
      </w:r>
      <w:r>
        <w:rPr>
          <w:rFonts w:hint="eastAsia"/>
          <w:sz w:val="24"/>
        </w:rPr>
        <w:t>2</w:t>
      </w:r>
      <w:r>
        <w:rPr>
          <w:rFonts w:hint="eastAsia"/>
          <w:sz w:val="24"/>
        </w:rPr>
        <w:t>口（排</w:t>
      </w:r>
      <w:r>
        <w:rPr>
          <w:rFonts w:hint="eastAsia"/>
          <w:sz w:val="24"/>
        </w:rPr>
        <w:t>655</w:t>
      </w:r>
      <w:r>
        <w:rPr>
          <w:rFonts w:hint="eastAsia"/>
          <w:sz w:val="24"/>
        </w:rPr>
        <w:t>、排</w:t>
      </w:r>
      <w:r>
        <w:rPr>
          <w:rFonts w:hint="eastAsia"/>
          <w:sz w:val="24"/>
        </w:rPr>
        <w:t>668</w:t>
      </w:r>
      <w:r>
        <w:rPr>
          <w:rFonts w:hint="eastAsia"/>
          <w:sz w:val="24"/>
        </w:rPr>
        <w:t>），排</w:t>
      </w:r>
      <w:r>
        <w:rPr>
          <w:rFonts w:hint="eastAsia"/>
          <w:sz w:val="24"/>
        </w:rPr>
        <w:t>61</w:t>
      </w:r>
      <w:r>
        <w:rPr>
          <w:rFonts w:hint="eastAsia"/>
          <w:sz w:val="24"/>
        </w:rPr>
        <w:t>井因不</w:t>
      </w:r>
      <w:r>
        <w:rPr>
          <w:rFonts w:hint="eastAsia"/>
          <w:sz w:val="24"/>
        </w:rPr>
        <w:t>出液关井，排</w:t>
      </w:r>
      <w:r>
        <w:rPr>
          <w:rFonts w:hint="eastAsia"/>
          <w:sz w:val="24"/>
        </w:rPr>
        <w:t>679</w:t>
      </w:r>
      <w:r>
        <w:rPr>
          <w:rFonts w:hint="eastAsia"/>
          <w:sz w:val="24"/>
        </w:rPr>
        <w:t>井因高含水关井，试采直井累产油</w:t>
      </w:r>
      <w:r>
        <w:rPr>
          <w:rFonts w:hint="eastAsia"/>
          <w:sz w:val="24"/>
        </w:rPr>
        <w:t>8854t</w:t>
      </w:r>
      <w:r>
        <w:rPr>
          <w:rFonts w:hint="eastAsia"/>
          <w:sz w:val="24"/>
        </w:rPr>
        <w:t>、累产液</w:t>
      </w:r>
      <w:r>
        <w:rPr>
          <w:rFonts w:hint="eastAsia"/>
          <w:sz w:val="24"/>
        </w:rPr>
        <w:t>43614t</w:t>
      </w:r>
      <w:r>
        <w:rPr>
          <w:rFonts w:hint="eastAsia"/>
          <w:sz w:val="24"/>
        </w:rPr>
        <w:t>。</w:t>
      </w:r>
    </w:p>
    <w:p w:rsidR="00EE4502" w:rsidRDefault="00FD45A3">
      <w:pPr>
        <w:spacing w:line="360" w:lineRule="auto"/>
        <w:ind w:firstLineChars="200" w:firstLine="480"/>
        <w:rPr>
          <w:sz w:val="24"/>
        </w:rPr>
      </w:pPr>
      <w:r>
        <w:rPr>
          <w:rFonts w:hint="eastAsia"/>
          <w:sz w:val="24"/>
        </w:rPr>
        <w:t>方案区内水平井的试油试采效果明显好于直井。水平井试油试采获得了较高的初期产能，初期平均日产油</w:t>
      </w:r>
      <w:r>
        <w:rPr>
          <w:rFonts w:hint="eastAsia"/>
          <w:sz w:val="24"/>
        </w:rPr>
        <w:t>7~12t/d</w:t>
      </w:r>
      <w:r>
        <w:rPr>
          <w:rFonts w:hint="eastAsia"/>
          <w:sz w:val="24"/>
        </w:rPr>
        <w:t>。其中，</w:t>
      </w:r>
      <w:r>
        <w:rPr>
          <w:rFonts w:hint="eastAsia"/>
          <w:sz w:val="24"/>
        </w:rPr>
        <w:t>4</w:t>
      </w:r>
      <w:r>
        <w:rPr>
          <w:rFonts w:hint="eastAsia"/>
          <w:sz w:val="24"/>
        </w:rPr>
        <w:t>口试油水平井，初期平均日产油</w:t>
      </w:r>
      <w:r>
        <w:rPr>
          <w:rFonts w:hint="eastAsia"/>
          <w:sz w:val="24"/>
        </w:rPr>
        <w:t>12.6t/d</w:t>
      </w:r>
      <w:r>
        <w:rPr>
          <w:rFonts w:hint="eastAsia"/>
          <w:sz w:val="24"/>
        </w:rPr>
        <w:t>，累产油</w:t>
      </w:r>
      <w:r>
        <w:rPr>
          <w:rFonts w:hint="eastAsia"/>
          <w:sz w:val="24"/>
        </w:rPr>
        <w:t>891t</w:t>
      </w:r>
      <w:r>
        <w:rPr>
          <w:rFonts w:hint="eastAsia"/>
          <w:sz w:val="24"/>
        </w:rPr>
        <w:t>、累产液</w:t>
      </w:r>
      <w:r>
        <w:rPr>
          <w:rFonts w:hint="eastAsia"/>
          <w:sz w:val="24"/>
        </w:rPr>
        <w:t>3756t</w:t>
      </w:r>
      <w:r>
        <w:rPr>
          <w:rFonts w:hint="eastAsia"/>
          <w:sz w:val="24"/>
        </w:rPr>
        <w:t>。试采水平井</w:t>
      </w:r>
      <w:r>
        <w:rPr>
          <w:rFonts w:hint="eastAsia"/>
          <w:sz w:val="24"/>
        </w:rPr>
        <w:t>6</w:t>
      </w:r>
      <w:r>
        <w:rPr>
          <w:rFonts w:hint="eastAsia"/>
          <w:sz w:val="24"/>
        </w:rPr>
        <w:t>口，目前开井</w:t>
      </w:r>
      <w:r>
        <w:rPr>
          <w:rFonts w:hint="eastAsia"/>
          <w:sz w:val="24"/>
        </w:rPr>
        <w:t>6</w:t>
      </w:r>
      <w:r>
        <w:rPr>
          <w:rFonts w:hint="eastAsia"/>
          <w:sz w:val="24"/>
        </w:rPr>
        <w:t>口，初期平均日产油</w:t>
      </w:r>
      <w:r>
        <w:rPr>
          <w:rFonts w:hint="eastAsia"/>
          <w:sz w:val="24"/>
        </w:rPr>
        <w:t>7.4t/d</w:t>
      </w:r>
      <w:r>
        <w:rPr>
          <w:rFonts w:hint="eastAsia"/>
          <w:sz w:val="24"/>
        </w:rPr>
        <w:t>，累产油</w:t>
      </w:r>
      <w:r>
        <w:rPr>
          <w:rFonts w:hint="eastAsia"/>
          <w:sz w:val="24"/>
        </w:rPr>
        <w:t>20436t</w:t>
      </w:r>
      <w:r>
        <w:rPr>
          <w:rFonts w:hint="eastAsia"/>
          <w:sz w:val="24"/>
        </w:rPr>
        <w:t>、累产液</w:t>
      </w:r>
      <w:r>
        <w:rPr>
          <w:rFonts w:hint="eastAsia"/>
          <w:sz w:val="24"/>
        </w:rPr>
        <w:t>56948t</w:t>
      </w:r>
      <w:r>
        <w:rPr>
          <w:rFonts w:hint="eastAsia"/>
          <w:sz w:val="24"/>
        </w:rPr>
        <w:t>。</w:t>
      </w:r>
    </w:p>
    <w:p w:rsidR="00EE4502" w:rsidRDefault="00FD45A3">
      <w:pPr>
        <w:pStyle w:val="41"/>
        <w:numPr>
          <w:ilvl w:val="3"/>
          <w:numId w:val="30"/>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hint="eastAsia"/>
          <w:bCs w:val="0"/>
          <w:sz w:val="24"/>
          <w:szCs w:val="24"/>
        </w:rPr>
        <w:t>油气集输系统现状</w:t>
      </w:r>
    </w:p>
    <w:p w:rsidR="00EE4502" w:rsidRDefault="00FD45A3">
      <w:pPr>
        <w:spacing w:line="360" w:lineRule="auto"/>
        <w:ind w:firstLineChars="200" w:firstLine="480"/>
        <w:rPr>
          <w:sz w:val="24"/>
        </w:rPr>
      </w:pPr>
      <w:r>
        <w:rPr>
          <w:rFonts w:hint="eastAsia"/>
          <w:sz w:val="24"/>
        </w:rPr>
        <w:t>春风油田排</w:t>
      </w:r>
      <w:r>
        <w:rPr>
          <w:rFonts w:hint="eastAsia"/>
          <w:sz w:val="24"/>
        </w:rPr>
        <w:t>61</w:t>
      </w:r>
      <w:r>
        <w:rPr>
          <w:rFonts w:hint="eastAsia"/>
          <w:sz w:val="24"/>
        </w:rPr>
        <w:t>区块已建油井</w:t>
      </w:r>
      <w:r>
        <w:rPr>
          <w:rFonts w:hint="eastAsia"/>
          <w:sz w:val="24"/>
        </w:rPr>
        <w:t>7</w:t>
      </w:r>
      <w:r>
        <w:rPr>
          <w:rFonts w:hint="eastAsia"/>
          <w:sz w:val="24"/>
        </w:rPr>
        <w:t>口，隶属于新春公司采油管理三区管辖。排</w:t>
      </w:r>
      <w:r>
        <w:rPr>
          <w:rFonts w:hint="eastAsia"/>
          <w:sz w:val="24"/>
        </w:rPr>
        <w:t>61</w:t>
      </w:r>
      <w:r>
        <w:rPr>
          <w:rFonts w:hint="eastAsia"/>
          <w:sz w:val="24"/>
        </w:rPr>
        <w:t>区块南邻排</w:t>
      </w:r>
      <w:r>
        <w:rPr>
          <w:rFonts w:hint="eastAsia"/>
          <w:sz w:val="24"/>
        </w:rPr>
        <w:t>612</w:t>
      </w:r>
      <w:r>
        <w:rPr>
          <w:rFonts w:hint="eastAsia"/>
          <w:sz w:val="24"/>
        </w:rPr>
        <w:t>区块，东邻排</w:t>
      </w:r>
      <w:r>
        <w:rPr>
          <w:rFonts w:hint="eastAsia"/>
          <w:sz w:val="24"/>
        </w:rPr>
        <w:t>66</w:t>
      </w:r>
      <w:r>
        <w:rPr>
          <w:rFonts w:hint="eastAsia"/>
          <w:sz w:val="24"/>
        </w:rPr>
        <w:t>区块，排</w:t>
      </w:r>
      <w:r>
        <w:rPr>
          <w:rFonts w:hint="eastAsia"/>
          <w:sz w:val="24"/>
        </w:rPr>
        <w:t>61</w:t>
      </w:r>
      <w:r>
        <w:rPr>
          <w:rFonts w:hint="eastAsia"/>
          <w:sz w:val="24"/>
        </w:rPr>
        <w:t>、排</w:t>
      </w:r>
      <w:r>
        <w:rPr>
          <w:rFonts w:hint="eastAsia"/>
          <w:sz w:val="24"/>
        </w:rPr>
        <w:t>66</w:t>
      </w:r>
      <w:r>
        <w:rPr>
          <w:rFonts w:hint="eastAsia"/>
          <w:sz w:val="24"/>
        </w:rPr>
        <w:t>区块内油井采用天然能量开发、单井拉油工艺生产，无已建集输系统。排</w:t>
      </w:r>
      <w:r>
        <w:rPr>
          <w:rFonts w:hint="eastAsia"/>
          <w:sz w:val="24"/>
        </w:rPr>
        <w:t>612</w:t>
      </w:r>
      <w:r>
        <w:rPr>
          <w:rFonts w:hint="eastAsia"/>
          <w:sz w:val="24"/>
        </w:rPr>
        <w:t>区块油井采用注汽开发、管输工艺生产，内建有完善的集输管线，距离春风二号联合站直线距离约</w:t>
      </w:r>
      <w:r>
        <w:rPr>
          <w:rFonts w:hint="eastAsia"/>
          <w:sz w:val="24"/>
        </w:rPr>
        <w:t>7.8km</w:t>
      </w:r>
      <w:r>
        <w:rPr>
          <w:rFonts w:hint="eastAsia"/>
          <w:sz w:val="24"/>
        </w:rPr>
        <w:t>，距离</w:t>
      </w:r>
      <w:r>
        <w:rPr>
          <w:rFonts w:hint="eastAsia"/>
          <w:sz w:val="24"/>
        </w:rPr>
        <w:t>1#</w:t>
      </w:r>
      <w:r>
        <w:rPr>
          <w:rFonts w:hint="eastAsia"/>
          <w:sz w:val="24"/>
        </w:rPr>
        <w:t>增压站直线距离约</w:t>
      </w:r>
      <w:r>
        <w:rPr>
          <w:rFonts w:hint="eastAsia"/>
          <w:sz w:val="24"/>
        </w:rPr>
        <w:t>3.6km</w:t>
      </w:r>
      <w:r>
        <w:rPr>
          <w:rFonts w:hint="eastAsia"/>
          <w:sz w:val="24"/>
        </w:rPr>
        <w:t>，奎阿高速从其西部经过。区块内地势平坦，地面植被主要为低矮灌木。排</w:t>
      </w:r>
      <w:r>
        <w:rPr>
          <w:rFonts w:hint="eastAsia"/>
          <w:sz w:val="24"/>
        </w:rPr>
        <w:t>61</w:t>
      </w:r>
      <w:r>
        <w:rPr>
          <w:rFonts w:hint="eastAsia"/>
          <w:sz w:val="24"/>
        </w:rPr>
        <w:t>区块地理位置示意见图</w:t>
      </w:r>
      <w:r>
        <w:rPr>
          <w:rFonts w:hint="eastAsia"/>
          <w:sz w:val="24"/>
        </w:rPr>
        <w:t>3-3-1</w:t>
      </w:r>
      <w:r>
        <w:rPr>
          <w:rFonts w:hint="eastAsia"/>
          <w:sz w:val="24"/>
        </w:rPr>
        <w:t>，排</w:t>
      </w:r>
      <w:r>
        <w:rPr>
          <w:rFonts w:hint="eastAsia"/>
          <w:sz w:val="24"/>
        </w:rPr>
        <w:t>612</w:t>
      </w:r>
      <w:r>
        <w:rPr>
          <w:rFonts w:hint="eastAsia"/>
          <w:sz w:val="24"/>
        </w:rPr>
        <w:t>区块已建集输系统示意图</w:t>
      </w:r>
      <w:r>
        <w:rPr>
          <w:rFonts w:hint="eastAsia"/>
          <w:sz w:val="24"/>
        </w:rPr>
        <w:t>3-2-3</w:t>
      </w:r>
      <w:r>
        <w:rPr>
          <w:rFonts w:hint="eastAsia"/>
          <w:sz w:val="24"/>
        </w:rPr>
        <w:t>，排</w:t>
      </w:r>
      <w:r>
        <w:rPr>
          <w:rFonts w:hint="eastAsia"/>
          <w:sz w:val="24"/>
        </w:rPr>
        <w:t>612</w:t>
      </w:r>
      <w:r>
        <w:rPr>
          <w:rFonts w:hint="eastAsia"/>
          <w:sz w:val="24"/>
        </w:rPr>
        <w:t>区块已建主要集油干线统计见表</w:t>
      </w:r>
      <w:r>
        <w:rPr>
          <w:rFonts w:hint="eastAsia"/>
          <w:sz w:val="24"/>
        </w:rPr>
        <w:t>3-2-1</w:t>
      </w:r>
      <w:r>
        <w:rPr>
          <w:rFonts w:hint="eastAsia"/>
          <w:sz w:val="24"/>
        </w:rPr>
        <w:t>，排</w:t>
      </w:r>
      <w:r>
        <w:rPr>
          <w:rFonts w:hint="eastAsia"/>
          <w:sz w:val="24"/>
        </w:rPr>
        <w:t>61</w:t>
      </w:r>
      <w:r>
        <w:rPr>
          <w:rFonts w:hint="eastAsia"/>
          <w:sz w:val="24"/>
        </w:rPr>
        <w:t>区块已建油井生产现状统计见表</w:t>
      </w:r>
      <w:r>
        <w:rPr>
          <w:rFonts w:hint="eastAsia"/>
          <w:sz w:val="24"/>
        </w:rPr>
        <w:t>3-2-2</w:t>
      </w:r>
      <w:r>
        <w:rPr>
          <w:rFonts w:hint="eastAsia"/>
          <w:sz w:val="24"/>
        </w:rPr>
        <w:t>。</w:t>
      </w:r>
    </w:p>
    <w:p w:rsidR="00EE4502" w:rsidRDefault="00FD45A3">
      <w:pPr>
        <w:spacing w:line="360" w:lineRule="auto"/>
        <w:jc w:val="center"/>
        <w:rPr>
          <w:rFonts w:ascii="黑体" w:eastAsia="黑体" w:hAnsi="黑体" w:cs="黑体"/>
          <w:szCs w:val="21"/>
        </w:rPr>
      </w:pPr>
      <w:r>
        <w:rPr>
          <w:rFonts w:ascii="黑体" w:eastAsia="黑体" w:hAnsi="黑体" w:cs="黑体" w:hint="eastAsia"/>
          <w:szCs w:val="21"/>
        </w:rPr>
        <w:t>表</w:t>
      </w:r>
      <w:r>
        <w:rPr>
          <w:rFonts w:ascii="黑体" w:eastAsia="黑体" w:hAnsi="黑体" w:cs="黑体" w:hint="eastAsia"/>
          <w:szCs w:val="21"/>
        </w:rPr>
        <w:t xml:space="preserve">3-2-1   </w:t>
      </w:r>
      <w:r>
        <w:rPr>
          <w:rFonts w:ascii="黑体" w:eastAsia="黑体" w:hAnsi="黑体" w:cs="黑体" w:hint="eastAsia"/>
          <w:szCs w:val="21"/>
        </w:rPr>
        <w:t>区域周边已建主要集油干线统计表</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39"/>
        <w:gridCol w:w="638"/>
        <w:gridCol w:w="559"/>
        <w:gridCol w:w="1017"/>
        <w:gridCol w:w="914"/>
        <w:gridCol w:w="914"/>
        <w:gridCol w:w="914"/>
        <w:gridCol w:w="914"/>
        <w:gridCol w:w="914"/>
      </w:tblGrid>
      <w:tr w:rsidR="00EE4502">
        <w:trPr>
          <w:trHeight w:val="397"/>
        </w:trPr>
        <w:tc>
          <w:tcPr>
            <w:tcW w:w="924" w:type="pct"/>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管道名称</w:t>
            </w:r>
          </w:p>
        </w:tc>
        <w:tc>
          <w:tcPr>
            <w:tcW w:w="383" w:type="pct"/>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起点</w:t>
            </w:r>
          </w:p>
        </w:tc>
        <w:tc>
          <w:tcPr>
            <w:tcW w:w="336" w:type="pct"/>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终点</w:t>
            </w:r>
          </w:p>
        </w:tc>
        <w:tc>
          <w:tcPr>
            <w:tcW w:w="610" w:type="pct"/>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投产时间</w:t>
            </w:r>
          </w:p>
        </w:tc>
        <w:tc>
          <w:tcPr>
            <w:tcW w:w="548" w:type="pct"/>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设计外输液量</w:t>
            </w:r>
            <w:r>
              <w:rPr>
                <w:rFonts w:hAnsi="宋体" w:hint="eastAsia"/>
                <w:kern w:val="21"/>
                <w:szCs w:val="21"/>
              </w:rPr>
              <w:t>t/d</w:t>
            </w:r>
          </w:p>
        </w:tc>
        <w:tc>
          <w:tcPr>
            <w:tcW w:w="548" w:type="pct"/>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外输线长度</w:t>
            </w:r>
            <w:r>
              <w:rPr>
                <w:rFonts w:hAnsi="宋体" w:hint="eastAsia"/>
                <w:kern w:val="21"/>
                <w:szCs w:val="21"/>
              </w:rPr>
              <w:t>km</w:t>
            </w:r>
          </w:p>
        </w:tc>
        <w:tc>
          <w:tcPr>
            <w:tcW w:w="548" w:type="pct"/>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运行压力</w:t>
            </w:r>
            <w:r>
              <w:rPr>
                <w:rFonts w:hAnsi="宋体" w:hint="eastAsia"/>
                <w:kern w:val="21"/>
                <w:szCs w:val="21"/>
              </w:rPr>
              <w:t>MPa</w:t>
            </w:r>
          </w:p>
        </w:tc>
        <w:tc>
          <w:tcPr>
            <w:tcW w:w="548" w:type="pct"/>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目前外输液量</w:t>
            </w:r>
            <w:r>
              <w:rPr>
                <w:rFonts w:hAnsi="宋体" w:hint="eastAsia"/>
                <w:kern w:val="21"/>
                <w:szCs w:val="21"/>
              </w:rPr>
              <w:t>t/d</w:t>
            </w:r>
          </w:p>
        </w:tc>
        <w:tc>
          <w:tcPr>
            <w:tcW w:w="548" w:type="pct"/>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外输温度℃</w:t>
            </w:r>
          </w:p>
        </w:tc>
      </w:tr>
      <w:tr w:rsidR="00EE4502">
        <w:trPr>
          <w:trHeight w:val="397"/>
        </w:trPr>
        <w:tc>
          <w:tcPr>
            <w:tcW w:w="924" w:type="pct"/>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1#</w:t>
            </w:r>
            <w:r>
              <w:rPr>
                <w:rFonts w:hAnsi="宋体" w:hint="eastAsia"/>
                <w:kern w:val="21"/>
                <w:szCs w:val="21"/>
              </w:rPr>
              <w:t>增压站至</w:t>
            </w:r>
            <w:r>
              <w:rPr>
                <w:rFonts w:hAnsi="宋体" w:hint="eastAsia"/>
                <w:kern w:val="21"/>
                <w:szCs w:val="21"/>
              </w:rPr>
              <w:t>2#</w:t>
            </w:r>
            <w:r>
              <w:rPr>
                <w:rFonts w:hAnsi="宋体" w:hint="eastAsia"/>
                <w:kern w:val="21"/>
                <w:szCs w:val="21"/>
              </w:rPr>
              <w:t>增压站南侧阀组原油外输管线</w:t>
            </w:r>
          </w:p>
        </w:tc>
        <w:tc>
          <w:tcPr>
            <w:tcW w:w="383" w:type="pct"/>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1</w:t>
            </w:r>
            <w:r>
              <w:rPr>
                <w:rFonts w:hAnsi="宋体" w:hint="eastAsia"/>
                <w:kern w:val="21"/>
                <w:szCs w:val="21"/>
              </w:rPr>
              <w:t>号增压站</w:t>
            </w:r>
          </w:p>
        </w:tc>
        <w:tc>
          <w:tcPr>
            <w:tcW w:w="336" w:type="pct"/>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2</w:t>
            </w:r>
            <w:r>
              <w:rPr>
                <w:rFonts w:hAnsi="宋体" w:hint="eastAsia"/>
                <w:kern w:val="21"/>
                <w:szCs w:val="21"/>
              </w:rPr>
              <w:t>号增压站</w:t>
            </w:r>
          </w:p>
        </w:tc>
        <w:tc>
          <w:tcPr>
            <w:tcW w:w="610" w:type="pct"/>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2015/5/8</w:t>
            </w:r>
          </w:p>
        </w:tc>
        <w:tc>
          <w:tcPr>
            <w:tcW w:w="548" w:type="pct"/>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2400</w:t>
            </w:r>
          </w:p>
        </w:tc>
        <w:tc>
          <w:tcPr>
            <w:tcW w:w="548" w:type="pct"/>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2.5</w:t>
            </w:r>
          </w:p>
        </w:tc>
        <w:tc>
          <w:tcPr>
            <w:tcW w:w="548" w:type="pct"/>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0.52</w:t>
            </w:r>
          </w:p>
        </w:tc>
        <w:tc>
          <w:tcPr>
            <w:tcW w:w="548" w:type="pct"/>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1700</w:t>
            </w:r>
          </w:p>
        </w:tc>
        <w:tc>
          <w:tcPr>
            <w:tcW w:w="548" w:type="pct"/>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70.5</w:t>
            </w:r>
          </w:p>
        </w:tc>
      </w:tr>
      <w:tr w:rsidR="00EE4502">
        <w:trPr>
          <w:trHeight w:val="397"/>
        </w:trPr>
        <w:tc>
          <w:tcPr>
            <w:tcW w:w="924" w:type="pct"/>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lastRenderedPageBreak/>
              <w:t>2#</w:t>
            </w:r>
            <w:r>
              <w:rPr>
                <w:rFonts w:hAnsi="宋体" w:hint="eastAsia"/>
                <w:kern w:val="21"/>
                <w:szCs w:val="21"/>
              </w:rPr>
              <w:t>增压站至春风二号联合站原油外输管线</w:t>
            </w:r>
          </w:p>
        </w:tc>
        <w:tc>
          <w:tcPr>
            <w:tcW w:w="383" w:type="pct"/>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2</w:t>
            </w:r>
            <w:r>
              <w:rPr>
                <w:rFonts w:hAnsi="宋体" w:hint="eastAsia"/>
                <w:kern w:val="21"/>
                <w:szCs w:val="21"/>
              </w:rPr>
              <w:t>号增压站</w:t>
            </w:r>
          </w:p>
        </w:tc>
        <w:tc>
          <w:tcPr>
            <w:tcW w:w="336" w:type="pct"/>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二号联</w:t>
            </w:r>
          </w:p>
        </w:tc>
        <w:tc>
          <w:tcPr>
            <w:tcW w:w="610" w:type="pct"/>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2015/5/8</w:t>
            </w:r>
          </w:p>
        </w:tc>
        <w:tc>
          <w:tcPr>
            <w:tcW w:w="548" w:type="pct"/>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4000</w:t>
            </w:r>
          </w:p>
        </w:tc>
        <w:tc>
          <w:tcPr>
            <w:tcW w:w="548" w:type="pct"/>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3.5</w:t>
            </w:r>
          </w:p>
        </w:tc>
        <w:tc>
          <w:tcPr>
            <w:tcW w:w="548" w:type="pct"/>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0.44</w:t>
            </w:r>
          </w:p>
        </w:tc>
        <w:tc>
          <w:tcPr>
            <w:tcW w:w="548" w:type="pct"/>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3700</w:t>
            </w:r>
          </w:p>
        </w:tc>
        <w:tc>
          <w:tcPr>
            <w:tcW w:w="548" w:type="pct"/>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76.9</w:t>
            </w:r>
          </w:p>
        </w:tc>
      </w:tr>
    </w:tbl>
    <w:p w:rsidR="00EE4502" w:rsidRDefault="00EE4502">
      <w:pPr>
        <w:spacing w:line="360" w:lineRule="auto"/>
        <w:jc w:val="center"/>
        <w:rPr>
          <w:rFonts w:ascii="黑体" w:eastAsia="黑体" w:hAnsi="黑体" w:cs="黑体"/>
          <w:szCs w:val="21"/>
        </w:rPr>
      </w:pPr>
    </w:p>
    <w:p w:rsidR="00EE4502" w:rsidRDefault="00FD45A3">
      <w:pPr>
        <w:spacing w:line="360" w:lineRule="auto"/>
        <w:jc w:val="center"/>
        <w:rPr>
          <w:rFonts w:ascii="黑体" w:eastAsia="黑体" w:hAnsi="黑体" w:cs="黑体"/>
          <w:szCs w:val="21"/>
        </w:rPr>
      </w:pPr>
      <w:r>
        <w:rPr>
          <w:rFonts w:ascii="黑体" w:eastAsia="黑体" w:hAnsi="黑体" w:cs="黑体" w:hint="eastAsia"/>
          <w:szCs w:val="21"/>
        </w:rPr>
        <w:t>表</w:t>
      </w:r>
      <w:r>
        <w:rPr>
          <w:rFonts w:ascii="黑体" w:eastAsia="黑体" w:hAnsi="黑体" w:cs="黑体" w:hint="eastAsia"/>
          <w:szCs w:val="21"/>
        </w:rPr>
        <w:t xml:space="preserve">3-2-2  </w:t>
      </w:r>
      <w:r>
        <w:rPr>
          <w:rFonts w:ascii="黑体" w:eastAsia="黑体" w:hAnsi="黑体" w:cs="黑体" w:hint="eastAsia"/>
          <w:szCs w:val="21"/>
        </w:rPr>
        <w:t>排</w:t>
      </w:r>
      <w:r>
        <w:rPr>
          <w:rFonts w:ascii="黑体" w:eastAsia="黑体" w:hAnsi="黑体" w:cs="黑体" w:hint="eastAsia"/>
          <w:szCs w:val="21"/>
        </w:rPr>
        <w:t>61</w:t>
      </w:r>
      <w:r>
        <w:rPr>
          <w:rFonts w:ascii="黑体" w:eastAsia="黑体" w:hAnsi="黑体" w:cs="黑体" w:hint="eastAsia"/>
          <w:szCs w:val="21"/>
        </w:rPr>
        <w:t>区块已建油井生产现状统计表</w:t>
      </w:r>
    </w:p>
    <w:tbl>
      <w:tblPr>
        <w:tblW w:w="4998" w:type="pct"/>
        <w:tblCellMar>
          <w:left w:w="0" w:type="dxa"/>
          <w:right w:w="0" w:type="dxa"/>
        </w:tblCellMar>
        <w:tblLook w:val="04A0" w:firstRow="1" w:lastRow="0" w:firstColumn="1" w:lastColumn="0" w:noHBand="0" w:noVBand="1"/>
      </w:tblPr>
      <w:tblGrid>
        <w:gridCol w:w="580"/>
        <w:gridCol w:w="1361"/>
        <w:gridCol w:w="1777"/>
        <w:gridCol w:w="1164"/>
        <w:gridCol w:w="1486"/>
        <w:gridCol w:w="1959"/>
      </w:tblGrid>
      <w:tr w:rsidR="00EE4502">
        <w:trPr>
          <w:trHeight w:val="397"/>
          <w:tblHeader/>
        </w:trPr>
        <w:tc>
          <w:tcPr>
            <w:tcW w:w="349"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序号</w:t>
            </w:r>
          </w:p>
        </w:tc>
        <w:tc>
          <w:tcPr>
            <w:tcW w:w="817"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井号</w:t>
            </w:r>
          </w:p>
        </w:tc>
        <w:tc>
          <w:tcPr>
            <w:tcW w:w="1066"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生产液量</w:t>
            </w:r>
            <w:r>
              <w:rPr>
                <w:rFonts w:hAnsi="宋体" w:hint="eastAsia"/>
                <w:kern w:val="21"/>
                <w:szCs w:val="21"/>
              </w:rPr>
              <w:t>/m</w:t>
            </w:r>
            <w:r>
              <w:rPr>
                <w:rFonts w:hAnsi="宋体" w:hint="eastAsia"/>
                <w:kern w:val="21"/>
                <w:szCs w:val="21"/>
                <w:vertAlign w:val="superscript"/>
              </w:rPr>
              <w:t>3</w:t>
            </w:r>
            <w:r>
              <w:rPr>
                <w:rFonts w:hAnsi="宋体" w:hint="eastAsia"/>
                <w:kern w:val="21"/>
                <w:szCs w:val="21"/>
              </w:rPr>
              <w:t>/d</w:t>
            </w:r>
          </w:p>
        </w:tc>
        <w:tc>
          <w:tcPr>
            <w:tcW w:w="698"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含水率</w:t>
            </w:r>
            <w:r>
              <w:rPr>
                <w:rFonts w:hAnsi="宋体" w:hint="eastAsia"/>
                <w:kern w:val="21"/>
                <w:szCs w:val="21"/>
              </w:rPr>
              <w:t>/%</w:t>
            </w:r>
          </w:p>
        </w:tc>
        <w:tc>
          <w:tcPr>
            <w:tcW w:w="891"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井口温度</w:t>
            </w:r>
            <w:r>
              <w:rPr>
                <w:rFonts w:hAnsi="宋体" w:hint="eastAsia"/>
                <w:kern w:val="21"/>
                <w:szCs w:val="21"/>
              </w:rPr>
              <w:t>/</w:t>
            </w:r>
            <w:r>
              <w:rPr>
                <w:rFonts w:hAnsi="宋体" w:hint="eastAsia"/>
                <w:kern w:val="21"/>
                <w:szCs w:val="21"/>
              </w:rPr>
              <w:t>℃</w:t>
            </w:r>
          </w:p>
        </w:tc>
        <w:tc>
          <w:tcPr>
            <w:tcW w:w="1175"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已建单拉罐类型</w:t>
            </w:r>
          </w:p>
        </w:tc>
      </w:tr>
      <w:tr w:rsidR="00EE4502">
        <w:trPr>
          <w:trHeight w:val="397"/>
        </w:trPr>
        <w:tc>
          <w:tcPr>
            <w:tcW w:w="349"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1</w:t>
            </w:r>
          </w:p>
        </w:tc>
        <w:tc>
          <w:tcPr>
            <w:tcW w:w="817"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排</w:t>
            </w:r>
            <w:r>
              <w:rPr>
                <w:rFonts w:hAnsi="宋体" w:hint="eastAsia"/>
                <w:kern w:val="21"/>
                <w:szCs w:val="21"/>
              </w:rPr>
              <w:t>668</w:t>
            </w:r>
          </w:p>
        </w:tc>
        <w:tc>
          <w:tcPr>
            <w:tcW w:w="1066"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12.3</w:t>
            </w:r>
          </w:p>
        </w:tc>
        <w:tc>
          <w:tcPr>
            <w:tcW w:w="698"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87</w:t>
            </w:r>
          </w:p>
        </w:tc>
        <w:tc>
          <w:tcPr>
            <w:tcW w:w="891"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24.6</w:t>
            </w:r>
          </w:p>
        </w:tc>
        <w:tc>
          <w:tcPr>
            <w:tcW w:w="1175"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方型</w:t>
            </w:r>
          </w:p>
        </w:tc>
      </w:tr>
      <w:tr w:rsidR="00EE4502">
        <w:trPr>
          <w:trHeight w:val="397"/>
        </w:trPr>
        <w:tc>
          <w:tcPr>
            <w:tcW w:w="349"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2</w:t>
            </w:r>
          </w:p>
        </w:tc>
        <w:tc>
          <w:tcPr>
            <w:tcW w:w="817"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排</w:t>
            </w:r>
            <w:r>
              <w:rPr>
                <w:rFonts w:hAnsi="宋体" w:hint="eastAsia"/>
                <w:kern w:val="21"/>
                <w:szCs w:val="21"/>
              </w:rPr>
              <w:t>66-</w:t>
            </w:r>
            <w:r>
              <w:rPr>
                <w:rFonts w:hAnsi="宋体" w:hint="eastAsia"/>
                <w:kern w:val="21"/>
                <w:szCs w:val="21"/>
              </w:rPr>
              <w:t>平</w:t>
            </w:r>
            <w:r>
              <w:rPr>
                <w:rFonts w:hAnsi="宋体" w:hint="eastAsia"/>
                <w:kern w:val="21"/>
                <w:szCs w:val="21"/>
              </w:rPr>
              <w:t>10</w:t>
            </w:r>
          </w:p>
        </w:tc>
        <w:tc>
          <w:tcPr>
            <w:tcW w:w="1066"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15</w:t>
            </w:r>
          </w:p>
        </w:tc>
        <w:tc>
          <w:tcPr>
            <w:tcW w:w="698"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86</w:t>
            </w:r>
          </w:p>
        </w:tc>
        <w:tc>
          <w:tcPr>
            <w:tcW w:w="891"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24</w:t>
            </w:r>
          </w:p>
        </w:tc>
        <w:tc>
          <w:tcPr>
            <w:tcW w:w="1175"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方型</w:t>
            </w:r>
          </w:p>
        </w:tc>
      </w:tr>
      <w:tr w:rsidR="00EE4502">
        <w:trPr>
          <w:trHeight w:val="397"/>
        </w:trPr>
        <w:tc>
          <w:tcPr>
            <w:tcW w:w="349"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3</w:t>
            </w:r>
          </w:p>
        </w:tc>
        <w:tc>
          <w:tcPr>
            <w:tcW w:w="817"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排</w:t>
            </w:r>
            <w:r>
              <w:rPr>
                <w:rFonts w:hAnsi="宋体" w:hint="eastAsia"/>
                <w:kern w:val="21"/>
                <w:szCs w:val="21"/>
              </w:rPr>
              <w:t>655</w:t>
            </w:r>
          </w:p>
        </w:tc>
        <w:tc>
          <w:tcPr>
            <w:tcW w:w="1066"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8</w:t>
            </w:r>
          </w:p>
        </w:tc>
        <w:tc>
          <w:tcPr>
            <w:tcW w:w="698"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57.2</w:t>
            </w:r>
          </w:p>
        </w:tc>
        <w:tc>
          <w:tcPr>
            <w:tcW w:w="891"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20</w:t>
            </w:r>
          </w:p>
        </w:tc>
        <w:tc>
          <w:tcPr>
            <w:tcW w:w="1175"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方型</w:t>
            </w:r>
          </w:p>
        </w:tc>
      </w:tr>
      <w:tr w:rsidR="00EE4502">
        <w:trPr>
          <w:trHeight w:val="397"/>
        </w:trPr>
        <w:tc>
          <w:tcPr>
            <w:tcW w:w="349"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4</w:t>
            </w:r>
          </w:p>
        </w:tc>
        <w:tc>
          <w:tcPr>
            <w:tcW w:w="817"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排</w:t>
            </w:r>
            <w:r>
              <w:rPr>
                <w:rFonts w:hAnsi="宋体" w:hint="eastAsia"/>
                <w:kern w:val="21"/>
                <w:szCs w:val="21"/>
              </w:rPr>
              <w:t>655-</w:t>
            </w:r>
            <w:r>
              <w:rPr>
                <w:rFonts w:hAnsi="宋体" w:hint="eastAsia"/>
                <w:kern w:val="21"/>
                <w:szCs w:val="21"/>
              </w:rPr>
              <w:t>平</w:t>
            </w:r>
            <w:r>
              <w:rPr>
                <w:rFonts w:hAnsi="宋体" w:hint="eastAsia"/>
                <w:kern w:val="21"/>
                <w:szCs w:val="21"/>
              </w:rPr>
              <w:t>1</w:t>
            </w:r>
          </w:p>
        </w:tc>
        <w:tc>
          <w:tcPr>
            <w:tcW w:w="1066"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6.3</w:t>
            </w:r>
          </w:p>
        </w:tc>
        <w:tc>
          <w:tcPr>
            <w:tcW w:w="698"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7.8</w:t>
            </w:r>
          </w:p>
        </w:tc>
        <w:tc>
          <w:tcPr>
            <w:tcW w:w="891"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20</w:t>
            </w:r>
          </w:p>
        </w:tc>
        <w:tc>
          <w:tcPr>
            <w:tcW w:w="1175"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圆形</w:t>
            </w:r>
          </w:p>
        </w:tc>
      </w:tr>
      <w:tr w:rsidR="00EE4502">
        <w:trPr>
          <w:trHeight w:val="397"/>
        </w:trPr>
        <w:tc>
          <w:tcPr>
            <w:tcW w:w="349"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5</w:t>
            </w:r>
          </w:p>
        </w:tc>
        <w:tc>
          <w:tcPr>
            <w:tcW w:w="817"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排</w:t>
            </w:r>
            <w:r>
              <w:rPr>
                <w:rFonts w:hAnsi="宋体" w:hint="eastAsia"/>
                <w:kern w:val="21"/>
                <w:szCs w:val="21"/>
              </w:rPr>
              <w:t>756H</w:t>
            </w:r>
          </w:p>
        </w:tc>
        <w:tc>
          <w:tcPr>
            <w:tcW w:w="1066"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10.5</w:t>
            </w:r>
          </w:p>
        </w:tc>
        <w:tc>
          <w:tcPr>
            <w:tcW w:w="698"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21.6</w:t>
            </w:r>
          </w:p>
        </w:tc>
        <w:tc>
          <w:tcPr>
            <w:tcW w:w="891"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26</w:t>
            </w:r>
          </w:p>
        </w:tc>
        <w:tc>
          <w:tcPr>
            <w:tcW w:w="1175"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方型</w:t>
            </w:r>
          </w:p>
        </w:tc>
      </w:tr>
      <w:tr w:rsidR="00EE4502">
        <w:trPr>
          <w:trHeight w:val="397"/>
        </w:trPr>
        <w:tc>
          <w:tcPr>
            <w:tcW w:w="349"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6</w:t>
            </w:r>
          </w:p>
        </w:tc>
        <w:tc>
          <w:tcPr>
            <w:tcW w:w="817"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排平</w:t>
            </w:r>
            <w:r>
              <w:rPr>
                <w:rFonts w:hAnsi="宋体" w:hint="eastAsia"/>
                <w:kern w:val="21"/>
                <w:szCs w:val="21"/>
              </w:rPr>
              <w:t>752</w:t>
            </w:r>
          </w:p>
        </w:tc>
        <w:tc>
          <w:tcPr>
            <w:tcW w:w="1066"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16.2</w:t>
            </w:r>
          </w:p>
        </w:tc>
        <w:tc>
          <w:tcPr>
            <w:tcW w:w="698"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99</w:t>
            </w:r>
          </w:p>
        </w:tc>
        <w:tc>
          <w:tcPr>
            <w:tcW w:w="891"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23.6</w:t>
            </w:r>
          </w:p>
        </w:tc>
        <w:tc>
          <w:tcPr>
            <w:tcW w:w="1175"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圆形</w:t>
            </w:r>
          </w:p>
        </w:tc>
      </w:tr>
      <w:tr w:rsidR="00EE4502">
        <w:trPr>
          <w:trHeight w:val="397"/>
        </w:trPr>
        <w:tc>
          <w:tcPr>
            <w:tcW w:w="349"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7</w:t>
            </w:r>
          </w:p>
        </w:tc>
        <w:tc>
          <w:tcPr>
            <w:tcW w:w="817"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排</w:t>
            </w:r>
            <w:r>
              <w:rPr>
                <w:rFonts w:hAnsi="宋体" w:hint="eastAsia"/>
                <w:kern w:val="21"/>
                <w:szCs w:val="21"/>
              </w:rPr>
              <w:t>61-</w:t>
            </w:r>
            <w:r>
              <w:rPr>
                <w:rFonts w:hAnsi="宋体" w:hint="eastAsia"/>
                <w:kern w:val="21"/>
                <w:szCs w:val="21"/>
              </w:rPr>
              <w:t>平</w:t>
            </w:r>
            <w:r>
              <w:rPr>
                <w:rFonts w:hAnsi="宋体" w:hint="eastAsia"/>
                <w:kern w:val="21"/>
                <w:szCs w:val="21"/>
              </w:rPr>
              <w:t>1</w:t>
            </w:r>
          </w:p>
        </w:tc>
        <w:tc>
          <w:tcPr>
            <w:tcW w:w="1066"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6.8</w:t>
            </w:r>
          </w:p>
        </w:tc>
        <w:tc>
          <w:tcPr>
            <w:tcW w:w="698"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13.2</w:t>
            </w:r>
          </w:p>
        </w:tc>
        <w:tc>
          <w:tcPr>
            <w:tcW w:w="891"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17.4</w:t>
            </w:r>
          </w:p>
        </w:tc>
        <w:tc>
          <w:tcPr>
            <w:tcW w:w="1175"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圆形</w:t>
            </w:r>
          </w:p>
        </w:tc>
      </w:tr>
    </w:tbl>
    <w:p w:rsidR="00EE4502" w:rsidRDefault="00EE4502"/>
    <w:p w:rsidR="00EE4502" w:rsidRDefault="00FD45A3">
      <w:pPr>
        <w:pStyle w:val="41"/>
        <w:numPr>
          <w:ilvl w:val="3"/>
          <w:numId w:val="30"/>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hint="eastAsia"/>
          <w:bCs w:val="0"/>
          <w:sz w:val="24"/>
          <w:szCs w:val="24"/>
        </w:rPr>
        <w:t>站场现状</w:t>
      </w:r>
    </w:p>
    <w:p w:rsidR="00EE4502" w:rsidRDefault="00FD45A3">
      <w:pPr>
        <w:spacing w:line="360" w:lineRule="auto"/>
        <w:ind w:firstLineChars="200" w:firstLine="480"/>
        <w:rPr>
          <w:sz w:val="24"/>
        </w:rPr>
      </w:pPr>
      <w:r>
        <w:rPr>
          <w:rFonts w:hint="eastAsia"/>
          <w:sz w:val="24"/>
        </w:rPr>
        <w:t>（</w:t>
      </w:r>
      <w:r>
        <w:rPr>
          <w:rFonts w:hint="eastAsia"/>
          <w:sz w:val="24"/>
        </w:rPr>
        <w:t>1</w:t>
      </w:r>
      <w:r>
        <w:rPr>
          <w:rFonts w:hint="eastAsia"/>
          <w:sz w:val="24"/>
        </w:rPr>
        <w:t>）</w:t>
      </w:r>
      <w:r>
        <w:rPr>
          <w:rFonts w:hint="eastAsia"/>
          <w:sz w:val="24"/>
        </w:rPr>
        <w:t>1#</w:t>
      </w:r>
      <w:r>
        <w:rPr>
          <w:rFonts w:hint="eastAsia"/>
          <w:sz w:val="24"/>
        </w:rPr>
        <w:t>增压站</w:t>
      </w:r>
    </w:p>
    <w:p w:rsidR="00EE4502" w:rsidRDefault="00FD45A3">
      <w:pPr>
        <w:spacing w:line="360" w:lineRule="auto"/>
        <w:ind w:firstLineChars="200" w:firstLine="480"/>
        <w:rPr>
          <w:sz w:val="24"/>
        </w:rPr>
      </w:pPr>
      <w:r>
        <w:rPr>
          <w:rFonts w:hint="eastAsia"/>
          <w:sz w:val="24"/>
        </w:rPr>
        <w:t>1#</w:t>
      </w:r>
      <w:r>
        <w:rPr>
          <w:rFonts w:hint="eastAsia"/>
          <w:sz w:val="24"/>
        </w:rPr>
        <w:t>增压站位于已建排</w:t>
      </w:r>
      <w:r>
        <w:rPr>
          <w:rFonts w:hint="eastAsia"/>
          <w:sz w:val="24"/>
        </w:rPr>
        <w:t>612</w:t>
      </w:r>
      <w:r>
        <w:rPr>
          <w:rFonts w:hint="eastAsia"/>
          <w:sz w:val="24"/>
        </w:rPr>
        <w:t>块，本工程对其进行就地分水改造。目前</w:t>
      </w:r>
      <w:r>
        <w:rPr>
          <w:rFonts w:hint="eastAsia"/>
          <w:sz w:val="24"/>
        </w:rPr>
        <w:t>1#</w:t>
      </w:r>
      <w:r>
        <w:rPr>
          <w:rFonts w:hint="eastAsia"/>
          <w:sz w:val="24"/>
        </w:rPr>
        <w:t>增压站担负排</w:t>
      </w:r>
      <w:r>
        <w:rPr>
          <w:rFonts w:hint="eastAsia"/>
          <w:sz w:val="24"/>
        </w:rPr>
        <w:t>612</w:t>
      </w:r>
      <w:r>
        <w:rPr>
          <w:rFonts w:hint="eastAsia"/>
          <w:sz w:val="24"/>
        </w:rPr>
        <w:t>区块东侧油井产液增压，油井产液经过增压外输到</w:t>
      </w:r>
      <w:r>
        <w:rPr>
          <w:rFonts w:hint="eastAsia"/>
          <w:sz w:val="24"/>
        </w:rPr>
        <w:t>2</w:t>
      </w:r>
      <w:r>
        <w:rPr>
          <w:rFonts w:hint="eastAsia"/>
          <w:sz w:val="24"/>
        </w:rPr>
        <w:t>号联合站的中转站，设计规模</w:t>
      </w:r>
      <w:r>
        <w:rPr>
          <w:rFonts w:hint="eastAsia"/>
          <w:sz w:val="24"/>
        </w:rPr>
        <w:t>2400t/d</w:t>
      </w:r>
      <w:r>
        <w:rPr>
          <w:rFonts w:hint="eastAsia"/>
          <w:sz w:val="24"/>
        </w:rPr>
        <w:t>，实际规模约</w:t>
      </w:r>
      <w:r>
        <w:rPr>
          <w:rFonts w:hint="eastAsia"/>
          <w:sz w:val="24"/>
        </w:rPr>
        <w:t>1700t/d</w:t>
      </w:r>
      <w:r>
        <w:rPr>
          <w:rFonts w:hint="eastAsia"/>
          <w:sz w:val="24"/>
        </w:rPr>
        <w:t>，</w:t>
      </w:r>
      <w:r>
        <w:rPr>
          <w:rFonts w:hint="eastAsia"/>
          <w:sz w:val="24"/>
        </w:rPr>
        <w:t>2015</w:t>
      </w:r>
      <w:r>
        <w:rPr>
          <w:rFonts w:hint="eastAsia"/>
          <w:sz w:val="24"/>
        </w:rPr>
        <w:t>年</w:t>
      </w:r>
      <w:r>
        <w:rPr>
          <w:rFonts w:hint="eastAsia"/>
          <w:sz w:val="24"/>
        </w:rPr>
        <w:t>5</w:t>
      </w:r>
      <w:r>
        <w:rPr>
          <w:rFonts w:hint="eastAsia"/>
          <w:sz w:val="24"/>
        </w:rPr>
        <w:t>月</w:t>
      </w:r>
      <w:r>
        <w:rPr>
          <w:rFonts w:hint="eastAsia"/>
          <w:sz w:val="24"/>
        </w:rPr>
        <w:t>8</w:t>
      </w:r>
      <w:r>
        <w:rPr>
          <w:rFonts w:hint="eastAsia"/>
          <w:sz w:val="24"/>
        </w:rPr>
        <w:t>日投产，共覆盖井台数</w:t>
      </w:r>
      <w:r>
        <w:rPr>
          <w:rFonts w:hint="eastAsia"/>
          <w:sz w:val="24"/>
        </w:rPr>
        <w:t>70</w:t>
      </w:r>
      <w:r>
        <w:rPr>
          <w:rFonts w:hint="eastAsia"/>
          <w:sz w:val="24"/>
        </w:rPr>
        <w:t>个，覆盖井数</w:t>
      </w:r>
      <w:r>
        <w:rPr>
          <w:rFonts w:hint="eastAsia"/>
          <w:sz w:val="24"/>
        </w:rPr>
        <w:t>133</w:t>
      </w:r>
      <w:r>
        <w:rPr>
          <w:rFonts w:hint="eastAsia"/>
          <w:sz w:val="24"/>
        </w:rPr>
        <w:t>口。</w:t>
      </w:r>
    </w:p>
    <w:p w:rsidR="00EE4502" w:rsidRDefault="00FD45A3">
      <w:pPr>
        <w:spacing w:line="360" w:lineRule="auto"/>
        <w:ind w:firstLineChars="200" w:firstLine="480"/>
        <w:rPr>
          <w:sz w:val="24"/>
        </w:rPr>
      </w:pPr>
      <w:r>
        <w:rPr>
          <w:rFonts w:hint="eastAsia"/>
          <w:sz w:val="24"/>
        </w:rPr>
        <w:t>该站主要设备有</w:t>
      </w:r>
      <w:r>
        <w:rPr>
          <w:rFonts w:hint="eastAsia"/>
          <w:sz w:val="24"/>
        </w:rPr>
        <w:t>2</w:t>
      </w:r>
      <w:r>
        <w:rPr>
          <w:rFonts w:hint="eastAsia"/>
          <w:sz w:val="24"/>
        </w:rPr>
        <w:t>台排量为</w:t>
      </w:r>
      <w:r>
        <w:rPr>
          <w:rFonts w:hint="eastAsia"/>
          <w:sz w:val="24"/>
        </w:rPr>
        <w:t>100m</w:t>
      </w:r>
      <w:r>
        <w:rPr>
          <w:rFonts w:hint="eastAsia"/>
          <w:sz w:val="24"/>
          <w:vertAlign w:val="superscript"/>
        </w:rPr>
        <w:t>3</w:t>
      </w:r>
      <w:r>
        <w:rPr>
          <w:rFonts w:hint="eastAsia"/>
          <w:sz w:val="24"/>
        </w:rPr>
        <w:t>/h</w:t>
      </w:r>
      <w:r>
        <w:rPr>
          <w:rFonts w:hint="eastAsia"/>
          <w:sz w:val="24"/>
        </w:rPr>
        <w:t>的单螺杆泵（一备一用），</w:t>
      </w:r>
      <w:r>
        <w:rPr>
          <w:rFonts w:hint="eastAsia"/>
          <w:sz w:val="24"/>
        </w:rPr>
        <w:t>1</w:t>
      </w:r>
      <w:r>
        <w:rPr>
          <w:rFonts w:hint="eastAsia"/>
          <w:sz w:val="24"/>
        </w:rPr>
        <w:t>座</w:t>
      </w:r>
      <w:r>
        <w:rPr>
          <w:rFonts w:hint="eastAsia"/>
          <w:sz w:val="24"/>
        </w:rPr>
        <w:t>500m</w:t>
      </w:r>
      <w:r>
        <w:rPr>
          <w:rFonts w:hint="eastAsia"/>
          <w:sz w:val="24"/>
          <w:vertAlign w:val="superscript"/>
        </w:rPr>
        <w:t>3</w:t>
      </w:r>
      <w:r>
        <w:rPr>
          <w:rFonts w:hint="eastAsia"/>
          <w:sz w:val="24"/>
        </w:rPr>
        <w:t>的事故罐（罐内无加热装置），</w:t>
      </w:r>
      <w:r>
        <w:rPr>
          <w:rFonts w:hint="eastAsia"/>
          <w:sz w:val="24"/>
        </w:rPr>
        <w:t>1</w:t>
      </w:r>
      <w:r>
        <w:rPr>
          <w:rFonts w:hint="eastAsia"/>
          <w:sz w:val="24"/>
        </w:rPr>
        <w:t>套进站阀组撬块，</w:t>
      </w:r>
      <w:r>
        <w:rPr>
          <w:rFonts w:hint="eastAsia"/>
          <w:sz w:val="24"/>
        </w:rPr>
        <w:t>1</w:t>
      </w:r>
      <w:r>
        <w:rPr>
          <w:rFonts w:hint="eastAsia"/>
          <w:sz w:val="24"/>
        </w:rPr>
        <w:t>个增压泵房，</w:t>
      </w:r>
      <w:r>
        <w:rPr>
          <w:rFonts w:hint="eastAsia"/>
          <w:sz w:val="24"/>
        </w:rPr>
        <w:t>1</w:t>
      </w:r>
      <w:r>
        <w:rPr>
          <w:rFonts w:hint="eastAsia"/>
          <w:sz w:val="24"/>
        </w:rPr>
        <w:t>个配电室等。站内无人值守，油井来液进入事故缓冲罐后由增压泵外输至</w:t>
      </w:r>
      <w:r>
        <w:rPr>
          <w:rFonts w:hint="eastAsia"/>
          <w:sz w:val="24"/>
        </w:rPr>
        <w:t>2</w:t>
      </w:r>
      <w:r>
        <w:rPr>
          <w:rFonts w:hint="eastAsia"/>
          <w:sz w:val="24"/>
        </w:rPr>
        <w:t>增压站外联通阀后合输至春风二号联合站。</w:t>
      </w:r>
    </w:p>
    <w:p w:rsidR="00EE4502" w:rsidRDefault="00FD45A3">
      <w:pPr>
        <w:spacing w:line="360" w:lineRule="auto"/>
        <w:ind w:firstLineChars="200" w:firstLine="480"/>
        <w:rPr>
          <w:sz w:val="24"/>
        </w:rPr>
      </w:pPr>
      <w:r>
        <w:rPr>
          <w:rFonts w:hint="eastAsia"/>
          <w:sz w:val="24"/>
        </w:rPr>
        <w:t>自控系</w:t>
      </w:r>
      <w:r>
        <w:rPr>
          <w:rFonts w:hint="eastAsia"/>
          <w:sz w:val="24"/>
        </w:rPr>
        <w:t>统将全站各生产系统的主要参数（液位、温度、压力、流量、设备运行状态等）进行采集、调控，实现全站生产系统的监控报警功能。</w:t>
      </w:r>
      <w:r>
        <w:rPr>
          <w:rFonts w:hint="eastAsia"/>
          <w:sz w:val="24"/>
        </w:rPr>
        <w:t>1#</w:t>
      </w:r>
      <w:r>
        <w:rPr>
          <w:rFonts w:hint="eastAsia"/>
          <w:sz w:val="24"/>
        </w:rPr>
        <w:t>增压站主要工艺流程示意见图</w:t>
      </w:r>
      <w:r>
        <w:rPr>
          <w:rFonts w:hint="eastAsia"/>
          <w:sz w:val="24"/>
        </w:rPr>
        <w:t>3-2-4</w:t>
      </w:r>
      <w:r>
        <w:rPr>
          <w:rFonts w:hint="eastAsia"/>
          <w:sz w:val="24"/>
        </w:rPr>
        <w:t>。</w:t>
      </w:r>
      <w:r>
        <w:rPr>
          <w:rFonts w:hint="eastAsia"/>
          <w:sz w:val="24"/>
        </w:rPr>
        <w:t>1#</w:t>
      </w:r>
      <w:r>
        <w:rPr>
          <w:rFonts w:hint="eastAsia"/>
          <w:sz w:val="24"/>
        </w:rPr>
        <w:t>增压站生产现状见表</w:t>
      </w:r>
      <w:r>
        <w:rPr>
          <w:rFonts w:hint="eastAsia"/>
          <w:sz w:val="24"/>
        </w:rPr>
        <w:t>3-2-3</w:t>
      </w:r>
      <w:r>
        <w:rPr>
          <w:rFonts w:hint="eastAsia"/>
          <w:sz w:val="24"/>
        </w:rPr>
        <w:t>。</w:t>
      </w:r>
    </w:p>
    <w:p w:rsidR="00EE4502" w:rsidRDefault="00FD45A3">
      <w:pPr>
        <w:spacing w:line="360" w:lineRule="auto"/>
        <w:jc w:val="center"/>
        <w:rPr>
          <w:rFonts w:ascii="黑体" w:eastAsia="黑体" w:hAnsi="黑体" w:cs="黑体"/>
          <w:szCs w:val="21"/>
        </w:rPr>
      </w:pPr>
      <w:r>
        <w:rPr>
          <w:rFonts w:ascii="黑体" w:eastAsia="黑体" w:hAnsi="黑体" w:cs="黑体" w:hint="eastAsia"/>
          <w:szCs w:val="21"/>
        </w:rPr>
        <w:t>表</w:t>
      </w:r>
      <w:r>
        <w:rPr>
          <w:rFonts w:ascii="黑体" w:eastAsia="黑体" w:hAnsi="黑体" w:cs="黑体" w:hint="eastAsia"/>
          <w:szCs w:val="21"/>
        </w:rPr>
        <w:t>3-2-3  1#</w:t>
      </w:r>
      <w:r>
        <w:rPr>
          <w:rFonts w:ascii="黑体" w:eastAsia="黑体" w:hAnsi="黑体" w:cs="黑体" w:hint="eastAsia"/>
          <w:szCs w:val="21"/>
        </w:rPr>
        <w:t>增压站生产现状统计表</w:t>
      </w:r>
    </w:p>
    <w:tbl>
      <w:tblPr>
        <w:tblW w:w="4998" w:type="pct"/>
        <w:tblCellMar>
          <w:left w:w="0" w:type="dxa"/>
          <w:right w:w="0" w:type="dxa"/>
        </w:tblCellMar>
        <w:tblLook w:val="04A0" w:firstRow="1" w:lastRow="0" w:firstColumn="1" w:lastColumn="0" w:noHBand="0" w:noVBand="1"/>
      </w:tblPr>
      <w:tblGrid>
        <w:gridCol w:w="1302"/>
        <w:gridCol w:w="1300"/>
        <w:gridCol w:w="1547"/>
        <w:gridCol w:w="1545"/>
        <w:gridCol w:w="1332"/>
        <w:gridCol w:w="1301"/>
      </w:tblGrid>
      <w:tr w:rsidR="00EE4502">
        <w:trPr>
          <w:trHeight w:val="397"/>
          <w:tblHeader/>
        </w:trPr>
        <w:tc>
          <w:tcPr>
            <w:tcW w:w="781"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序号</w:t>
            </w:r>
          </w:p>
        </w:tc>
        <w:tc>
          <w:tcPr>
            <w:tcW w:w="780"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日期</w:t>
            </w:r>
          </w:p>
        </w:tc>
        <w:tc>
          <w:tcPr>
            <w:tcW w:w="928"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外输液量</w:t>
            </w:r>
            <w:r>
              <w:rPr>
                <w:rFonts w:hAnsi="宋体" w:hint="eastAsia"/>
                <w:kern w:val="21"/>
                <w:szCs w:val="21"/>
              </w:rPr>
              <w:t>t/d</w:t>
            </w:r>
          </w:p>
        </w:tc>
        <w:tc>
          <w:tcPr>
            <w:tcW w:w="927"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外输油量</w:t>
            </w:r>
            <w:r>
              <w:rPr>
                <w:rFonts w:hAnsi="宋体" w:hint="eastAsia"/>
                <w:kern w:val="21"/>
                <w:szCs w:val="21"/>
              </w:rPr>
              <w:t>t/d</w:t>
            </w:r>
          </w:p>
        </w:tc>
        <w:tc>
          <w:tcPr>
            <w:tcW w:w="800"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含水率</w:t>
            </w:r>
            <w:r>
              <w:rPr>
                <w:rFonts w:hAnsi="宋体" w:hint="eastAsia"/>
                <w:kern w:val="21"/>
                <w:szCs w:val="21"/>
              </w:rPr>
              <w:t>%</w:t>
            </w:r>
          </w:p>
        </w:tc>
        <w:tc>
          <w:tcPr>
            <w:tcW w:w="781"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外输温度℃</w:t>
            </w:r>
          </w:p>
        </w:tc>
      </w:tr>
      <w:tr w:rsidR="00EE4502">
        <w:trPr>
          <w:trHeight w:val="397"/>
        </w:trPr>
        <w:tc>
          <w:tcPr>
            <w:tcW w:w="781"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1</w:t>
            </w:r>
          </w:p>
        </w:tc>
        <w:tc>
          <w:tcPr>
            <w:tcW w:w="780"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2024.8.1</w:t>
            </w:r>
          </w:p>
        </w:tc>
        <w:tc>
          <w:tcPr>
            <w:tcW w:w="928"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1666.8</w:t>
            </w:r>
          </w:p>
        </w:tc>
        <w:tc>
          <w:tcPr>
            <w:tcW w:w="927"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187.85</w:t>
            </w:r>
          </w:p>
        </w:tc>
        <w:tc>
          <w:tcPr>
            <w:tcW w:w="800"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88.73</w:t>
            </w:r>
          </w:p>
        </w:tc>
        <w:tc>
          <w:tcPr>
            <w:tcW w:w="781"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72</w:t>
            </w:r>
          </w:p>
        </w:tc>
      </w:tr>
      <w:tr w:rsidR="00EE4502">
        <w:trPr>
          <w:trHeight w:val="397"/>
        </w:trPr>
        <w:tc>
          <w:tcPr>
            <w:tcW w:w="781"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2</w:t>
            </w:r>
          </w:p>
        </w:tc>
        <w:tc>
          <w:tcPr>
            <w:tcW w:w="780"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2024.8.2</w:t>
            </w:r>
          </w:p>
        </w:tc>
        <w:tc>
          <w:tcPr>
            <w:tcW w:w="928"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1623.6</w:t>
            </w:r>
          </w:p>
        </w:tc>
        <w:tc>
          <w:tcPr>
            <w:tcW w:w="927"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187.53</w:t>
            </w:r>
          </w:p>
        </w:tc>
        <w:tc>
          <w:tcPr>
            <w:tcW w:w="800"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88.45</w:t>
            </w:r>
          </w:p>
        </w:tc>
        <w:tc>
          <w:tcPr>
            <w:tcW w:w="781"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72.3</w:t>
            </w:r>
          </w:p>
        </w:tc>
      </w:tr>
      <w:tr w:rsidR="00EE4502">
        <w:trPr>
          <w:trHeight w:val="397"/>
        </w:trPr>
        <w:tc>
          <w:tcPr>
            <w:tcW w:w="781"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3</w:t>
            </w:r>
          </w:p>
        </w:tc>
        <w:tc>
          <w:tcPr>
            <w:tcW w:w="780"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2024.8.3</w:t>
            </w:r>
          </w:p>
        </w:tc>
        <w:tc>
          <w:tcPr>
            <w:tcW w:w="928"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1628.7</w:t>
            </w:r>
          </w:p>
        </w:tc>
        <w:tc>
          <w:tcPr>
            <w:tcW w:w="927"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195.93</w:t>
            </w:r>
          </w:p>
        </w:tc>
        <w:tc>
          <w:tcPr>
            <w:tcW w:w="800"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87.97</w:t>
            </w:r>
          </w:p>
        </w:tc>
        <w:tc>
          <w:tcPr>
            <w:tcW w:w="781"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72.1</w:t>
            </w:r>
          </w:p>
        </w:tc>
      </w:tr>
      <w:tr w:rsidR="00EE4502">
        <w:trPr>
          <w:trHeight w:val="397"/>
        </w:trPr>
        <w:tc>
          <w:tcPr>
            <w:tcW w:w="781"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4</w:t>
            </w:r>
          </w:p>
        </w:tc>
        <w:tc>
          <w:tcPr>
            <w:tcW w:w="780"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2024.8.4</w:t>
            </w:r>
          </w:p>
        </w:tc>
        <w:tc>
          <w:tcPr>
            <w:tcW w:w="928"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1695.8</w:t>
            </w:r>
          </w:p>
        </w:tc>
        <w:tc>
          <w:tcPr>
            <w:tcW w:w="927"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198.58</w:t>
            </w:r>
          </w:p>
        </w:tc>
        <w:tc>
          <w:tcPr>
            <w:tcW w:w="800"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88.29</w:t>
            </w:r>
          </w:p>
        </w:tc>
        <w:tc>
          <w:tcPr>
            <w:tcW w:w="781"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73</w:t>
            </w:r>
          </w:p>
        </w:tc>
      </w:tr>
      <w:tr w:rsidR="00EE4502">
        <w:trPr>
          <w:trHeight w:val="397"/>
        </w:trPr>
        <w:tc>
          <w:tcPr>
            <w:tcW w:w="781"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lastRenderedPageBreak/>
              <w:t>5</w:t>
            </w:r>
          </w:p>
        </w:tc>
        <w:tc>
          <w:tcPr>
            <w:tcW w:w="780"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2024.8.5</w:t>
            </w:r>
          </w:p>
        </w:tc>
        <w:tc>
          <w:tcPr>
            <w:tcW w:w="928"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1740.4</w:t>
            </w:r>
          </w:p>
        </w:tc>
        <w:tc>
          <w:tcPr>
            <w:tcW w:w="927"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207.63</w:t>
            </w:r>
          </w:p>
        </w:tc>
        <w:tc>
          <w:tcPr>
            <w:tcW w:w="800"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88.07</w:t>
            </w:r>
          </w:p>
        </w:tc>
        <w:tc>
          <w:tcPr>
            <w:tcW w:w="781"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71.8</w:t>
            </w:r>
          </w:p>
        </w:tc>
      </w:tr>
      <w:tr w:rsidR="00EE4502">
        <w:trPr>
          <w:trHeight w:val="397"/>
        </w:trPr>
        <w:tc>
          <w:tcPr>
            <w:tcW w:w="781"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6</w:t>
            </w:r>
          </w:p>
        </w:tc>
        <w:tc>
          <w:tcPr>
            <w:tcW w:w="780"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2024.8.6</w:t>
            </w:r>
          </w:p>
        </w:tc>
        <w:tc>
          <w:tcPr>
            <w:tcW w:w="928"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1715.7</w:t>
            </w:r>
          </w:p>
        </w:tc>
        <w:tc>
          <w:tcPr>
            <w:tcW w:w="927"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209.66</w:t>
            </w:r>
          </w:p>
        </w:tc>
        <w:tc>
          <w:tcPr>
            <w:tcW w:w="800"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87.78</w:t>
            </w:r>
          </w:p>
        </w:tc>
        <w:tc>
          <w:tcPr>
            <w:tcW w:w="781"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71.1</w:t>
            </w:r>
          </w:p>
        </w:tc>
      </w:tr>
      <w:tr w:rsidR="00EE4502">
        <w:trPr>
          <w:trHeight w:val="397"/>
        </w:trPr>
        <w:tc>
          <w:tcPr>
            <w:tcW w:w="781"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7</w:t>
            </w:r>
          </w:p>
        </w:tc>
        <w:tc>
          <w:tcPr>
            <w:tcW w:w="780"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2024.8.7</w:t>
            </w:r>
          </w:p>
        </w:tc>
        <w:tc>
          <w:tcPr>
            <w:tcW w:w="928"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1713.2</w:t>
            </w:r>
          </w:p>
        </w:tc>
        <w:tc>
          <w:tcPr>
            <w:tcW w:w="927"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215.18</w:t>
            </w:r>
          </w:p>
        </w:tc>
        <w:tc>
          <w:tcPr>
            <w:tcW w:w="800"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87.44</w:t>
            </w:r>
          </w:p>
        </w:tc>
        <w:tc>
          <w:tcPr>
            <w:tcW w:w="781"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69.8</w:t>
            </w:r>
          </w:p>
        </w:tc>
      </w:tr>
      <w:tr w:rsidR="00EE4502">
        <w:trPr>
          <w:trHeight w:val="397"/>
        </w:trPr>
        <w:tc>
          <w:tcPr>
            <w:tcW w:w="781"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8</w:t>
            </w:r>
          </w:p>
        </w:tc>
        <w:tc>
          <w:tcPr>
            <w:tcW w:w="780"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2024.8.8</w:t>
            </w:r>
          </w:p>
        </w:tc>
        <w:tc>
          <w:tcPr>
            <w:tcW w:w="928"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1646.7</w:t>
            </w:r>
          </w:p>
        </w:tc>
        <w:tc>
          <w:tcPr>
            <w:tcW w:w="927"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211.6</w:t>
            </w:r>
          </w:p>
        </w:tc>
        <w:tc>
          <w:tcPr>
            <w:tcW w:w="800"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87.15</w:t>
            </w:r>
          </w:p>
        </w:tc>
        <w:tc>
          <w:tcPr>
            <w:tcW w:w="781"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69.4</w:t>
            </w:r>
          </w:p>
        </w:tc>
      </w:tr>
      <w:tr w:rsidR="00EE4502">
        <w:trPr>
          <w:trHeight w:val="397"/>
        </w:trPr>
        <w:tc>
          <w:tcPr>
            <w:tcW w:w="781"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9</w:t>
            </w:r>
          </w:p>
        </w:tc>
        <w:tc>
          <w:tcPr>
            <w:tcW w:w="780"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2024.8.9</w:t>
            </w:r>
          </w:p>
        </w:tc>
        <w:tc>
          <w:tcPr>
            <w:tcW w:w="928"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1686</w:t>
            </w:r>
          </w:p>
        </w:tc>
        <w:tc>
          <w:tcPr>
            <w:tcW w:w="927"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221.37</w:t>
            </w:r>
          </w:p>
        </w:tc>
        <w:tc>
          <w:tcPr>
            <w:tcW w:w="800"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86.87</w:t>
            </w:r>
          </w:p>
        </w:tc>
        <w:tc>
          <w:tcPr>
            <w:tcW w:w="781"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69.9</w:t>
            </w:r>
          </w:p>
        </w:tc>
      </w:tr>
      <w:tr w:rsidR="00EE4502">
        <w:trPr>
          <w:trHeight w:val="397"/>
        </w:trPr>
        <w:tc>
          <w:tcPr>
            <w:tcW w:w="781"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10</w:t>
            </w:r>
          </w:p>
        </w:tc>
        <w:tc>
          <w:tcPr>
            <w:tcW w:w="780"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2024.8.10</w:t>
            </w:r>
          </w:p>
        </w:tc>
        <w:tc>
          <w:tcPr>
            <w:tcW w:w="928"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1706.7</w:t>
            </w:r>
          </w:p>
        </w:tc>
        <w:tc>
          <w:tcPr>
            <w:tcW w:w="927"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224.26</w:t>
            </w:r>
          </w:p>
        </w:tc>
        <w:tc>
          <w:tcPr>
            <w:tcW w:w="800"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86.86</w:t>
            </w:r>
          </w:p>
        </w:tc>
        <w:tc>
          <w:tcPr>
            <w:tcW w:w="781"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68.9</w:t>
            </w:r>
          </w:p>
        </w:tc>
      </w:tr>
      <w:tr w:rsidR="00EE4502">
        <w:trPr>
          <w:trHeight w:val="397"/>
        </w:trPr>
        <w:tc>
          <w:tcPr>
            <w:tcW w:w="781"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11</w:t>
            </w:r>
          </w:p>
        </w:tc>
        <w:tc>
          <w:tcPr>
            <w:tcW w:w="780"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2024.8.11</w:t>
            </w:r>
          </w:p>
        </w:tc>
        <w:tc>
          <w:tcPr>
            <w:tcW w:w="928"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1680.3</w:t>
            </w:r>
          </w:p>
        </w:tc>
        <w:tc>
          <w:tcPr>
            <w:tcW w:w="927"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219.62</w:t>
            </w:r>
          </w:p>
        </w:tc>
        <w:tc>
          <w:tcPr>
            <w:tcW w:w="800"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86.93</w:t>
            </w:r>
          </w:p>
        </w:tc>
        <w:tc>
          <w:tcPr>
            <w:tcW w:w="781"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69.8</w:t>
            </w:r>
          </w:p>
        </w:tc>
      </w:tr>
      <w:tr w:rsidR="00EE4502">
        <w:trPr>
          <w:trHeight w:val="397"/>
        </w:trPr>
        <w:tc>
          <w:tcPr>
            <w:tcW w:w="781"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12</w:t>
            </w:r>
          </w:p>
        </w:tc>
        <w:tc>
          <w:tcPr>
            <w:tcW w:w="780"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2024.8.12</w:t>
            </w:r>
          </w:p>
        </w:tc>
        <w:tc>
          <w:tcPr>
            <w:tcW w:w="928"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1718.4</w:t>
            </w:r>
          </w:p>
        </w:tc>
        <w:tc>
          <w:tcPr>
            <w:tcW w:w="927"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224.42</w:t>
            </w:r>
          </w:p>
        </w:tc>
        <w:tc>
          <w:tcPr>
            <w:tcW w:w="800"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86.94</w:t>
            </w:r>
          </w:p>
        </w:tc>
        <w:tc>
          <w:tcPr>
            <w:tcW w:w="781"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69.3</w:t>
            </w:r>
          </w:p>
        </w:tc>
      </w:tr>
      <w:tr w:rsidR="00EE4502">
        <w:trPr>
          <w:trHeight w:val="397"/>
        </w:trPr>
        <w:tc>
          <w:tcPr>
            <w:tcW w:w="781"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13</w:t>
            </w:r>
          </w:p>
        </w:tc>
        <w:tc>
          <w:tcPr>
            <w:tcW w:w="780"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2024.8.13</w:t>
            </w:r>
          </w:p>
        </w:tc>
        <w:tc>
          <w:tcPr>
            <w:tcW w:w="928"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1730.2</w:t>
            </w:r>
          </w:p>
        </w:tc>
        <w:tc>
          <w:tcPr>
            <w:tcW w:w="927"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228.21</w:t>
            </w:r>
          </w:p>
        </w:tc>
        <w:tc>
          <w:tcPr>
            <w:tcW w:w="800"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86.81</w:t>
            </w:r>
          </w:p>
        </w:tc>
        <w:tc>
          <w:tcPr>
            <w:tcW w:w="781"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68.7</w:t>
            </w:r>
          </w:p>
        </w:tc>
      </w:tr>
      <w:tr w:rsidR="00EE4502">
        <w:trPr>
          <w:trHeight w:val="397"/>
        </w:trPr>
        <w:tc>
          <w:tcPr>
            <w:tcW w:w="781"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14</w:t>
            </w:r>
          </w:p>
        </w:tc>
        <w:tc>
          <w:tcPr>
            <w:tcW w:w="780"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2024.8.14</w:t>
            </w:r>
          </w:p>
        </w:tc>
        <w:tc>
          <w:tcPr>
            <w:tcW w:w="928"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1721.9</w:t>
            </w:r>
          </w:p>
        </w:tc>
        <w:tc>
          <w:tcPr>
            <w:tcW w:w="927"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226.26</w:t>
            </w:r>
          </w:p>
        </w:tc>
        <w:tc>
          <w:tcPr>
            <w:tcW w:w="800"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86.86</w:t>
            </w:r>
          </w:p>
        </w:tc>
        <w:tc>
          <w:tcPr>
            <w:tcW w:w="781"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68.3</w:t>
            </w:r>
          </w:p>
        </w:tc>
      </w:tr>
      <w:tr w:rsidR="00EE4502">
        <w:trPr>
          <w:trHeight w:val="397"/>
        </w:trPr>
        <w:tc>
          <w:tcPr>
            <w:tcW w:w="781"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15</w:t>
            </w:r>
          </w:p>
        </w:tc>
        <w:tc>
          <w:tcPr>
            <w:tcW w:w="780"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2024.8.15</w:t>
            </w:r>
          </w:p>
        </w:tc>
        <w:tc>
          <w:tcPr>
            <w:tcW w:w="928"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1699.8</w:t>
            </w:r>
          </w:p>
        </w:tc>
        <w:tc>
          <w:tcPr>
            <w:tcW w:w="927"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216.89</w:t>
            </w:r>
          </w:p>
        </w:tc>
        <w:tc>
          <w:tcPr>
            <w:tcW w:w="800"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87.24</w:t>
            </w:r>
          </w:p>
        </w:tc>
        <w:tc>
          <w:tcPr>
            <w:tcW w:w="781"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69.1</w:t>
            </w:r>
          </w:p>
        </w:tc>
      </w:tr>
      <w:tr w:rsidR="00EE4502">
        <w:trPr>
          <w:trHeight w:val="397"/>
        </w:trPr>
        <w:tc>
          <w:tcPr>
            <w:tcW w:w="781"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16</w:t>
            </w:r>
          </w:p>
        </w:tc>
        <w:tc>
          <w:tcPr>
            <w:tcW w:w="780"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2024.8.16</w:t>
            </w:r>
          </w:p>
        </w:tc>
        <w:tc>
          <w:tcPr>
            <w:tcW w:w="928"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1680.4</w:t>
            </w:r>
          </w:p>
        </w:tc>
        <w:tc>
          <w:tcPr>
            <w:tcW w:w="927"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215.09</w:t>
            </w:r>
          </w:p>
        </w:tc>
        <w:tc>
          <w:tcPr>
            <w:tcW w:w="800"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87.2</w:t>
            </w:r>
          </w:p>
        </w:tc>
        <w:tc>
          <w:tcPr>
            <w:tcW w:w="781"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E4502" w:rsidRDefault="00FD45A3">
            <w:pPr>
              <w:jc w:val="center"/>
              <w:rPr>
                <w:rFonts w:hAnsi="宋体"/>
                <w:kern w:val="21"/>
                <w:szCs w:val="21"/>
              </w:rPr>
            </w:pPr>
            <w:r>
              <w:rPr>
                <w:rFonts w:hAnsi="宋体" w:hint="eastAsia"/>
                <w:kern w:val="21"/>
                <w:szCs w:val="21"/>
              </w:rPr>
              <w:t>70</w:t>
            </w:r>
          </w:p>
        </w:tc>
      </w:tr>
    </w:tbl>
    <w:p w:rsidR="00EE4502" w:rsidRDefault="00FD45A3">
      <w:pPr>
        <w:spacing w:line="360" w:lineRule="auto"/>
        <w:ind w:firstLineChars="200" w:firstLine="480"/>
        <w:rPr>
          <w:sz w:val="24"/>
        </w:rPr>
      </w:pPr>
      <w:r>
        <w:rPr>
          <w:rFonts w:hint="eastAsia"/>
          <w:sz w:val="24"/>
        </w:rPr>
        <w:t>（</w:t>
      </w:r>
      <w:r>
        <w:rPr>
          <w:rFonts w:hint="eastAsia"/>
          <w:sz w:val="24"/>
        </w:rPr>
        <w:t>2</w:t>
      </w:r>
      <w:r>
        <w:rPr>
          <w:rFonts w:hint="eastAsia"/>
          <w:sz w:val="24"/>
        </w:rPr>
        <w:t>）春风二号联合站</w:t>
      </w:r>
    </w:p>
    <w:p w:rsidR="00EE4502" w:rsidRDefault="00FD45A3">
      <w:pPr>
        <w:spacing w:line="360" w:lineRule="auto"/>
        <w:ind w:firstLineChars="200" w:firstLine="480"/>
        <w:rPr>
          <w:sz w:val="24"/>
        </w:rPr>
      </w:pPr>
      <w:r>
        <w:rPr>
          <w:rFonts w:hint="eastAsia"/>
          <w:sz w:val="24"/>
        </w:rPr>
        <w:t>本工程原油依托春风二号联合站进行处理。春风二号联合站</w:t>
      </w:r>
      <w:r>
        <w:rPr>
          <w:rFonts w:hint="eastAsia"/>
          <w:sz w:val="24"/>
        </w:rPr>
        <w:t>2013</w:t>
      </w:r>
      <w:r>
        <w:rPr>
          <w:rFonts w:hint="eastAsia"/>
          <w:sz w:val="24"/>
        </w:rPr>
        <w:t>年</w:t>
      </w:r>
      <w:r>
        <w:rPr>
          <w:rFonts w:hint="eastAsia"/>
          <w:sz w:val="24"/>
        </w:rPr>
        <w:t>11</w:t>
      </w:r>
      <w:r>
        <w:rPr>
          <w:rFonts w:hint="eastAsia"/>
          <w:sz w:val="24"/>
        </w:rPr>
        <w:t>月建成投产。原油处理规模为</w:t>
      </w:r>
      <w:r>
        <w:rPr>
          <w:rFonts w:hint="eastAsia"/>
          <w:sz w:val="24"/>
        </w:rPr>
        <w:t>60</w:t>
      </w:r>
      <w:r>
        <w:rPr>
          <w:rFonts w:hint="eastAsia"/>
          <w:sz w:val="24"/>
        </w:rPr>
        <w:t>×</w:t>
      </w:r>
      <w:r>
        <w:rPr>
          <w:rFonts w:hint="eastAsia"/>
          <w:sz w:val="24"/>
        </w:rPr>
        <w:t>10</w:t>
      </w:r>
      <w:r>
        <w:rPr>
          <w:rFonts w:hint="eastAsia"/>
          <w:sz w:val="24"/>
          <w:vertAlign w:val="superscript"/>
        </w:rPr>
        <w:t>4</w:t>
      </w:r>
      <w:r>
        <w:rPr>
          <w:rFonts w:hint="eastAsia"/>
          <w:sz w:val="24"/>
        </w:rPr>
        <w:t>t/a</w:t>
      </w:r>
      <w:r>
        <w:rPr>
          <w:rFonts w:hint="eastAsia"/>
          <w:sz w:val="24"/>
        </w:rPr>
        <w:t>，目前处理量约</w:t>
      </w:r>
      <w:r>
        <w:rPr>
          <w:rFonts w:hint="eastAsia"/>
          <w:sz w:val="24"/>
        </w:rPr>
        <w:t>46</w:t>
      </w:r>
      <w:r>
        <w:rPr>
          <w:rFonts w:hint="eastAsia"/>
          <w:sz w:val="24"/>
        </w:rPr>
        <w:t>×</w:t>
      </w:r>
      <w:r>
        <w:rPr>
          <w:rFonts w:hint="eastAsia"/>
          <w:sz w:val="24"/>
        </w:rPr>
        <w:t>10</w:t>
      </w:r>
      <w:r>
        <w:rPr>
          <w:rFonts w:hint="eastAsia"/>
          <w:sz w:val="24"/>
          <w:vertAlign w:val="superscript"/>
        </w:rPr>
        <w:t>4</w:t>
      </w:r>
      <w:r>
        <w:rPr>
          <w:rFonts w:hint="eastAsia"/>
          <w:sz w:val="24"/>
        </w:rPr>
        <w:t>t/a</w:t>
      </w:r>
      <w:r>
        <w:rPr>
          <w:rFonts w:hint="eastAsia"/>
          <w:sz w:val="24"/>
        </w:rPr>
        <w:t>，负荷率</w:t>
      </w:r>
      <w:r>
        <w:rPr>
          <w:rFonts w:hint="eastAsia"/>
          <w:sz w:val="24"/>
        </w:rPr>
        <w:t>76.67%</w:t>
      </w:r>
      <w:r>
        <w:rPr>
          <w:rFonts w:hint="eastAsia"/>
          <w:sz w:val="24"/>
        </w:rPr>
        <w:t>。设计采出水处理规模</w:t>
      </w:r>
      <w:r>
        <w:rPr>
          <w:rFonts w:hint="eastAsia"/>
          <w:sz w:val="24"/>
        </w:rPr>
        <w:t>10000m</w:t>
      </w:r>
      <w:r>
        <w:rPr>
          <w:rFonts w:hint="eastAsia"/>
          <w:sz w:val="24"/>
          <w:vertAlign w:val="superscript"/>
        </w:rPr>
        <w:t>3</w:t>
      </w:r>
      <w:r>
        <w:rPr>
          <w:rFonts w:hint="eastAsia"/>
          <w:sz w:val="24"/>
        </w:rPr>
        <w:t>/d</w:t>
      </w:r>
      <w:r>
        <w:rPr>
          <w:rFonts w:hint="eastAsia"/>
          <w:sz w:val="24"/>
        </w:rPr>
        <w:t>，目前处理量</w:t>
      </w:r>
      <w:r>
        <w:rPr>
          <w:rFonts w:hint="eastAsia"/>
          <w:sz w:val="24"/>
        </w:rPr>
        <w:t>7560m</w:t>
      </w:r>
      <w:r>
        <w:rPr>
          <w:rFonts w:hint="eastAsia"/>
          <w:sz w:val="24"/>
          <w:vertAlign w:val="superscript"/>
        </w:rPr>
        <w:t>3</w:t>
      </w:r>
      <w:r>
        <w:rPr>
          <w:rFonts w:hint="eastAsia"/>
          <w:sz w:val="24"/>
        </w:rPr>
        <w:t>/d</w:t>
      </w:r>
      <w:r>
        <w:rPr>
          <w:rFonts w:hint="eastAsia"/>
          <w:sz w:val="24"/>
        </w:rPr>
        <w:t>，负荷率</w:t>
      </w:r>
      <w:r>
        <w:rPr>
          <w:rFonts w:hint="eastAsia"/>
          <w:sz w:val="24"/>
        </w:rPr>
        <w:t>75.6%</w:t>
      </w:r>
      <w:r>
        <w:rPr>
          <w:rFonts w:hint="eastAsia"/>
          <w:sz w:val="24"/>
        </w:rPr>
        <w:t>。主要担负着排</w:t>
      </w:r>
      <w:r>
        <w:rPr>
          <w:rFonts w:hint="eastAsia"/>
          <w:sz w:val="24"/>
        </w:rPr>
        <w:t>612</w:t>
      </w:r>
      <w:r>
        <w:rPr>
          <w:rFonts w:hint="eastAsia"/>
          <w:sz w:val="24"/>
        </w:rPr>
        <w:t>、排</w:t>
      </w:r>
      <w:r>
        <w:rPr>
          <w:rFonts w:hint="eastAsia"/>
          <w:sz w:val="24"/>
        </w:rPr>
        <w:t>609</w:t>
      </w:r>
      <w:r>
        <w:rPr>
          <w:rFonts w:hint="eastAsia"/>
          <w:sz w:val="24"/>
        </w:rPr>
        <w:t>、排</w:t>
      </w:r>
      <w:r>
        <w:rPr>
          <w:rFonts w:hint="eastAsia"/>
          <w:sz w:val="24"/>
        </w:rPr>
        <w:t>601-20</w:t>
      </w:r>
      <w:r>
        <w:rPr>
          <w:rFonts w:hint="eastAsia"/>
          <w:sz w:val="24"/>
        </w:rPr>
        <w:t>、排</w:t>
      </w:r>
      <w:r>
        <w:rPr>
          <w:rFonts w:hint="eastAsia"/>
          <w:sz w:val="24"/>
        </w:rPr>
        <w:t>66</w:t>
      </w:r>
      <w:r>
        <w:rPr>
          <w:rFonts w:hint="eastAsia"/>
          <w:sz w:val="24"/>
        </w:rPr>
        <w:t>等区块的原油处理任务。原油输送至美叶首站或装车外销。</w:t>
      </w:r>
    </w:p>
    <w:p w:rsidR="00EE4502" w:rsidRDefault="00FD45A3">
      <w:pPr>
        <w:spacing w:line="360" w:lineRule="auto"/>
        <w:ind w:firstLineChars="200" w:firstLine="480"/>
        <w:rPr>
          <w:sz w:val="24"/>
        </w:rPr>
      </w:pPr>
      <w:r>
        <w:rPr>
          <w:rFonts w:hint="eastAsia"/>
          <w:sz w:val="24"/>
        </w:rPr>
        <w:t>春风二号联合站主要工艺流程示意见图</w:t>
      </w:r>
      <w:r>
        <w:rPr>
          <w:rFonts w:hint="eastAsia"/>
          <w:sz w:val="24"/>
        </w:rPr>
        <w:t>3-2-5</w:t>
      </w:r>
      <w:r>
        <w:rPr>
          <w:rFonts w:hint="eastAsia"/>
          <w:sz w:val="24"/>
        </w:rPr>
        <w:t>。春风二号联合站内主要工艺设备见表</w:t>
      </w:r>
      <w:r>
        <w:rPr>
          <w:rFonts w:hint="eastAsia"/>
          <w:sz w:val="24"/>
        </w:rPr>
        <w:t>3-2-4</w:t>
      </w:r>
      <w:r>
        <w:rPr>
          <w:rFonts w:hint="eastAsia"/>
          <w:sz w:val="24"/>
        </w:rPr>
        <w:t>。</w:t>
      </w:r>
    </w:p>
    <w:p w:rsidR="00EE4502" w:rsidRDefault="00FD45A3">
      <w:pPr>
        <w:spacing w:line="360" w:lineRule="auto"/>
        <w:jc w:val="center"/>
        <w:rPr>
          <w:rFonts w:ascii="黑体" w:eastAsia="黑体" w:hAnsi="黑体" w:cs="黑体"/>
          <w:szCs w:val="21"/>
        </w:rPr>
      </w:pPr>
      <w:r>
        <w:rPr>
          <w:rFonts w:ascii="黑体" w:eastAsia="黑体" w:hAnsi="黑体" w:cs="黑体" w:hint="eastAsia"/>
          <w:szCs w:val="21"/>
        </w:rPr>
        <w:t>表</w:t>
      </w:r>
      <w:r>
        <w:rPr>
          <w:rFonts w:ascii="黑体" w:eastAsia="黑体" w:hAnsi="黑体" w:cs="黑体" w:hint="eastAsia"/>
          <w:szCs w:val="21"/>
        </w:rPr>
        <w:t xml:space="preserve">3-2-4  </w:t>
      </w:r>
      <w:r>
        <w:rPr>
          <w:rFonts w:ascii="黑体" w:eastAsia="黑体" w:hAnsi="黑体" w:cs="黑体" w:hint="eastAsia"/>
          <w:szCs w:val="21"/>
        </w:rPr>
        <w:t>春风二号联合站内主要工艺设备表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3790"/>
        <w:gridCol w:w="905"/>
        <w:gridCol w:w="1038"/>
        <w:gridCol w:w="1838"/>
      </w:tblGrid>
      <w:tr w:rsidR="00EE4502">
        <w:trPr>
          <w:trHeight w:val="397"/>
          <w:tblHeader/>
          <w:jc w:val="center"/>
        </w:trPr>
        <w:tc>
          <w:tcPr>
            <w:tcW w:w="556" w:type="pct"/>
            <w:vAlign w:val="center"/>
          </w:tcPr>
          <w:p w:rsidR="00EE4502" w:rsidRDefault="00FD45A3">
            <w:pPr>
              <w:jc w:val="center"/>
              <w:rPr>
                <w:rFonts w:hAnsi="宋体"/>
                <w:kern w:val="21"/>
                <w:szCs w:val="21"/>
              </w:rPr>
            </w:pPr>
            <w:r>
              <w:rPr>
                <w:rFonts w:hAnsi="宋体" w:hint="eastAsia"/>
                <w:kern w:val="21"/>
                <w:szCs w:val="21"/>
              </w:rPr>
              <w:t>序号</w:t>
            </w:r>
          </w:p>
        </w:tc>
        <w:tc>
          <w:tcPr>
            <w:tcW w:w="2223" w:type="pct"/>
            <w:vAlign w:val="center"/>
          </w:tcPr>
          <w:p w:rsidR="00EE4502" w:rsidRDefault="00FD45A3">
            <w:pPr>
              <w:jc w:val="center"/>
              <w:rPr>
                <w:rFonts w:hAnsi="宋体"/>
                <w:kern w:val="21"/>
                <w:szCs w:val="21"/>
              </w:rPr>
            </w:pPr>
            <w:r>
              <w:rPr>
                <w:rFonts w:hAnsi="宋体" w:hint="eastAsia"/>
                <w:kern w:val="21"/>
                <w:szCs w:val="21"/>
              </w:rPr>
              <w:t>设备名称及规格</w:t>
            </w:r>
          </w:p>
        </w:tc>
        <w:tc>
          <w:tcPr>
            <w:tcW w:w="531" w:type="pct"/>
            <w:vAlign w:val="center"/>
          </w:tcPr>
          <w:p w:rsidR="00EE4502" w:rsidRDefault="00FD45A3">
            <w:pPr>
              <w:jc w:val="center"/>
              <w:rPr>
                <w:rFonts w:hAnsi="宋体"/>
                <w:kern w:val="21"/>
                <w:szCs w:val="21"/>
              </w:rPr>
            </w:pPr>
            <w:r>
              <w:rPr>
                <w:rFonts w:hAnsi="宋体" w:hint="eastAsia"/>
                <w:kern w:val="21"/>
                <w:szCs w:val="21"/>
              </w:rPr>
              <w:t>单位</w:t>
            </w:r>
          </w:p>
        </w:tc>
        <w:tc>
          <w:tcPr>
            <w:tcW w:w="609" w:type="pct"/>
            <w:vAlign w:val="center"/>
          </w:tcPr>
          <w:p w:rsidR="00EE4502" w:rsidRDefault="00FD45A3">
            <w:pPr>
              <w:jc w:val="center"/>
              <w:rPr>
                <w:rFonts w:hAnsi="宋体"/>
                <w:kern w:val="21"/>
                <w:szCs w:val="21"/>
              </w:rPr>
            </w:pPr>
            <w:r>
              <w:rPr>
                <w:rFonts w:hAnsi="宋体" w:hint="eastAsia"/>
                <w:kern w:val="21"/>
                <w:szCs w:val="21"/>
              </w:rPr>
              <w:t>数量</w:t>
            </w:r>
          </w:p>
        </w:tc>
        <w:tc>
          <w:tcPr>
            <w:tcW w:w="1078" w:type="pct"/>
            <w:vAlign w:val="center"/>
          </w:tcPr>
          <w:p w:rsidR="00EE4502" w:rsidRDefault="00FD45A3">
            <w:pPr>
              <w:jc w:val="center"/>
              <w:rPr>
                <w:rFonts w:hAnsi="宋体"/>
                <w:kern w:val="21"/>
                <w:szCs w:val="21"/>
              </w:rPr>
            </w:pPr>
            <w:r>
              <w:rPr>
                <w:rFonts w:hAnsi="宋体" w:hint="eastAsia"/>
                <w:kern w:val="21"/>
                <w:szCs w:val="21"/>
              </w:rPr>
              <w:t>备注</w:t>
            </w:r>
          </w:p>
        </w:tc>
      </w:tr>
      <w:tr w:rsidR="00EE4502">
        <w:trPr>
          <w:trHeight w:val="397"/>
          <w:jc w:val="center"/>
        </w:trPr>
        <w:tc>
          <w:tcPr>
            <w:tcW w:w="556" w:type="pct"/>
            <w:vAlign w:val="center"/>
          </w:tcPr>
          <w:p w:rsidR="00EE4502" w:rsidRDefault="00FD45A3">
            <w:pPr>
              <w:jc w:val="center"/>
              <w:rPr>
                <w:rFonts w:hAnsi="宋体"/>
                <w:kern w:val="21"/>
                <w:szCs w:val="21"/>
              </w:rPr>
            </w:pPr>
            <w:r>
              <w:rPr>
                <w:rFonts w:hAnsi="宋体" w:hint="eastAsia"/>
                <w:kern w:val="21"/>
                <w:szCs w:val="21"/>
              </w:rPr>
              <w:t>1</w:t>
            </w:r>
          </w:p>
        </w:tc>
        <w:tc>
          <w:tcPr>
            <w:tcW w:w="2223" w:type="pct"/>
            <w:vAlign w:val="center"/>
          </w:tcPr>
          <w:p w:rsidR="00EE4502" w:rsidRDefault="00FD45A3">
            <w:pPr>
              <w:jc w:val="center"/>
              <w:rPr>
                <w:rFonts w:hAnsi="宋体"/>
                <w:kern w:val="21"/>
                <w:szCs w:val="21"/>
              </w:rPr>
            </w:pPr>
            <w:r>
              <w:rPr>
                <w:rFonts w:hAnsi="宋体" w:hint="eastAsia"/>
                <w:kern w:val="21"/>
                <w:szCs w:val="21"/>
              </w:rPr>
              <w:t>5000m</w:t>
            </w:r>
            <w:r>
              <w:rPr>
                <w:rFonts w:hAnsi="宋体" w:hint="eastAsia"/>
                <w:kern w:val="21"/>
                <w:szCs w:val="21"/>
                <w:vertAlign w:val="superscript"/>
              </w:rPr>
              <w:t>3</w:t>
            </w:r>
            <w:r>
              <w:rPr>
                <w:rFonts w:hAnsi="宋体" w:hint="eastAsia"/>
                <w:kern w:val="21"/>
                <w:szCs w:val="21"/>
              </w:rPr>
              <w:t>一次沉降罐</w:t>
            </w:r>
          </w:p>
        </w:tc>
        <w:tc>
          <w:tcPr>
            <w:tcW w:w="531" w:type="pct"/>
            <w:vAlign w:val="center"/>
          </w:tcPr>
          <w:p w:rsidR="00EE4502" w:rsidRDefault="00FD45A3">
            <w:pPr>
              <w:jc w:val="center"/>
              <w:rPr>
                <w:rFonts w:hAnsi="宋体"/>
                <w:kern w:val="21"/>
                <w:szCs w:val="21"/>
              </w:rPr>
            </w:pPr>
            <w:r>
              <w:rPr>
                <w:rFonts w:hAnsi="宋体" w:hint="eastAsia"/>
                <w:kern w:val="21"/>
                <w:szCs w:val="21"/>
              </w:rPr>
              <w:t>座</w:t>
            </w:r>
          </w:p>
        </w:tc>
        <w:tc>
          <w:tcPr>
            <w:tcW w:w="609" w:type="pct"/>
            <w:vAlign w:val="center"/>
          </w:tcPr>
          <w:p w:rsidR="00EE4502" w:rsidRDefault="00FD45A3">
            <w:pPr>
              <w:jc w:val="center"/>
              <w:rPr>
                <w:rFonts w:hAnsi="宋体"/>
                <w:kern w:val="21"/>
                <w:szCs w:val="21"/>
              </w:rPr>
            </w:pPr>
            <w:r>
              <w:rPr>
                <w:rFonts w:hAnsi="宋体" w:hint="eastAsia"/>
                <w:kern w:val="21"/>
                <w:szCs w:val="21"/>
              </w:rPr>
              <w:t>2</w:t>
            </w:r>
          </w:p>
        </w:tc>
        <w:tc>
          <w:tcPr>
            <w:tcW w:w="1078" w:type="pct"/>
            <w:vAlign w:val="center"/>
          </w:tcPr>
          <w:p w:rsidR="00EE4502" w:rsidRDefault="00FD45A3">
            <w:pPr>
              <w:jc w:val="center"/>
              <w:rPr>
                <w:rFonts w:hAnsi="宋体"/>
                <w:kern w:val="21"/>
                <w:szCs w:val="21"/>
              </w:rPr>
            </w:pPr>
            <w:r>
              <w:rPr>
                <w:rFonts w:hAnsi="宋体" w:hint="eastAsia"/>
                <w:kern w:val="21"/>
                <w:szCs w:val="21"/>
              </w:rPr>
              <w:t>溢流结构</w:t>
            </w:r>
          </w:p>
        </w:tc>
      </w:tr>
      <w:tr w:rsidR="00EE4502">
        <w:trPr>
          <w:trHeight w:val="397"/>
          <w:jc w:val="center"/>
        </w:trPr>
        <w:tc>
          <w:tcPr>
            <w:tcW w:w="556" w:type="pct"/>
            <w:vAlign w:val="center"/>
          </w:tcPr>
          <w:p w:rsidR="00EE4502" w:rsidRDefault="00FD45A3">
            <w:pPr>
              <w:jc w:val="center"/>
              <w:rPr>
                <w:rFonts w:hAnsi="宋体"/>
                <w:kern w:val="21"/>
                <w:szCs w:val="21"/>
              </w:rPr>
            </w:pPr>
            <w:r>
              <w:rPr>
                <w:rFonts w:hAnsi="宋体" w:hint="eastAsia"/>
                <w:kern w:val="21"/>
                <w:szCs w:val="21"/>
              </w:rPr>
              <w:t>2</w:t>
            </w:r>
          </w:p>
        </w:tc>
        <w:tc>
          <w:tcPr>
            <w:tcW w:w="2223" w:type="pct"/>
            <w:vAlign w:val="center"/>
          </w:tcPr>
          <w:p w:rsidR="00EE4502" w:rsidRDefault="00FD45A3">
            <w:pPr>
              <w:jc w:val="center"/>
              <w:rPr>
                <w:rFonts w:hAnsi="宋体"/>
                <w:kern w:val="21"/>
                <w:szCs w:val="21"/>
              </w:rPr>
            </w:pPr>
            <w:r>
              <w:rPr>
                <w:rFonts w:hAnsi="宋体" w:hint="eastAsia"/>
                <w:kern w:val="21"/>
                <w:szCs w:val="21"/>
              </w:rPr>
              <w:t>5000m</w:t>
            </w:r>
            <w:r>
              <w:rPr>
                <w:rFonts w:hAnsi="宋体" w:hint="eastAsia"/>
                <w:kern w:val="21"/>
                <w:szCs w:val="21"/>
                <w:vertAlign w:val="superscript"/>
              </w:rPr>
              <w:t>3</w:t>
            </w:r>
            <w:r>
              <w:rPr>
                <w:rFonts w:hAnsi="宋体" w:hint="eastAsia"/>
                <w:kern w:val="21"/>
                <w:szCs w:val="21"/>
              </w:rPr>
              <w:t>二次沉降罐</w:t>
            </w:r>
          </w:p>
        </w:tc>
        <w:tc>
          <w:tcPr>
            <w:tcW w:w="531" w:type="pct"/>
            <w:vAlign w:val="center"/>
          </w:tcPr>
          <w:p w:rsidR="00EE4502" w:rsidRDefault="00FD45A3">
            <w:pPr>
              <w:jc w:val="center"/>
              <w:rPr>
                <w:rFonts w:hAnsi="宋体"/>
                <w:kern w:val="21"/>
                <w:szCs w:val="21"/>
              </w:rPr>
            </w:pPr>
            <w:r>
              <w:rPr>
                <w:rFonts w:hAnsi="宋体" w:hint="eastAsia"/>
                <w:kern w:val="21"/>
                <w:szCs w:val="21"/>
              </w:rPr>
              <w:t>座</w:t>
            </w:r>
          </w:p>
        </w:tc>
        <w:tc>
          <w:tcPr>
            <w:tcW w:w="609" w:type="pct"/>
            <w:vAlign w:val="center"/>
          </w:tcPr>
          <w:p w:rsidR="00EE4502" w:rsidRDefault="00FD45A3">
            <w:pPr>
              <w:jc w:val="center"/>
              <w:rPr>
                <w:rFonts w:hAnsi="宋体"/>
                <w:kern w:val="21"/>
                <w:szCs w:val="21"/>
              </w:rPr>
            </w:pPr>
            <w:r>
              <w:rPr>
                <w:rFonts w:hAnsi="宋体" w:hint="eastAsia"/>
                <w:kern w:val="21"/>
                <w:szCs w:val="21"/>
              </w:rPr>
              <w:t>2</w:t>
            </w:r>
          </w:p>
        </w:tc>
        <w:tc>
          <w:tcPr>
            <w:tcW w:w="1078" w:type="pct"/>
            <w:vAlign w:val="center"/>
          </w:tcPr>
          <w:p w:rsidR="00EE4502" w:rsidRDefault="00FD45A3">
            <w:pPr>
              <w:jc w:val="center"/>
              <w:rPr>
                <w:rFonts w:hAnsi="宋体"/>
                <w:kern w:val="21"/>
                <w:szCs w:val="21"/>
              </w:rPr>
            </w:pPr>
            <w:r>
              <w:rPr>
                <w:rFonts w:hAnsi="宋体" w:hint="eastAsia"/>
                <w:kern w:val="21"/>
                <w:szCs w:val="21"/>
              </w:rPr>
              <w:t>溢流、浮动出油</w:t>
            </w:r>
          </w:p>
        </w:tc>
      </w:tr>
      <w:tr w:rsidR="00EE4502">
        <w:trPr>
          <w:trHeight w:val="397"/>
          <w:jc w:val="center"/>
        </w:trPr>
        <w:tc>
          <w:tcPr>
            <w:tcW w:w="556" w:type="pct"/>
            <w:vAlign w:val="center"/>
          </w:tcPr>
          <w:p w:rsidR="00EE4502" w:rsidRDefault="00FD45A3">
            <w:pPr>
              <w:jc w:val="center"/>
              <w:rPr>
                <w:rFonts w:hAnsi="宋体"/>
                <w:kern w:val="21"/>
                <w:szCs w:val="21"/>
              </w:rPr>
            </w:pPr>
            <w:r>
              <w:rPr>
                <w:rFonts w:hAnsi="宋体" w:hint="eastAsia"/>
                <w:kern w:val="21"/>
                <w:szCs w:val="21"/>
              </w:rPr>
              <w:t>3</w:t>
            </w:r>
          </w:p>
        </w:tc>
        <w:tc>
          <w:tcPr>
            <w:tcW w:w="2223" w:type="pct"/>
            <w:vAlign w:val="center"/>
          </w:tcPr>
          <w:p w:rsidR="00EE4502" w:rsidRDefault="00FD45A3">
            <w:pPr>
              <w:jc w:val="center"/>
              <w:rPr>
                <w:rFonts w:hAnsi="宋体"/>
                <w:kern w:val="21"/>
                <w:szCs w:val="21"/>
              </w:rPr>
            </w:pPr>
            <w:r>
              <w:rPr>
                <w:rFonts w:hAnsi="宋体" w:hint="eastAsia"/>
                <w:kern w:val="21"/>
                <w:szCs w:val="21"/>
              </w:rPr>
              <w:t>5000m</w:t>
            </w:r>
            <w:r>
              <w:rPr>
                <w:rFonts w:hAnsi="宋体" w:hint="eastAsia"/>
                <w:kern w:val="21"/>
                <w:szCs w:val="21"/>
                <w:vertAlign w:val="superscript"/>
              </w:rPr>
              <w:t>3</w:t>
            </w:r>
            <w:r>
              <w:rPr>
                <w:rFonts w:hAnsi="宋体" w:hint="eastAsia"/>
                <w:kern w:val="21"/>
                <w:szCs w:val="21"/>
              </w:rPr>
              <w:t>净化油罐</w:t>
            </w:r>
          </w:p>
        </w:tc>
        <w:tc>
          <w:tcPr>
            <w:tcW w:w="531" w:type="pct"/>
            <w:vAlign w:val="center"/>
          </w:tcPr>
          <w:p w:rsidR="00EE4502" w:rsidRDefault="00FD45A3">
            <w:pPr>
              <w:jc w:val="center"/>
              <w:rPr>
                <w:rFonts w:hAnsi="宋体"/>
                <w:kern w:val="21"/>
                <w:szCs w:val="21"/>
              </w:rPr>
            </w:pPr>
            <w:r>
              <w:rPr>
                <w:rFonts w:hAnsi="宋体" w:hint="eastAsia"/>
                <w:kern w:val="21"/>
                <w:szCs w:val="21"/>
              </w:rPr>
              <w:t>座</w:t>
            </w:r>
          </w:p>
        </w:tc>
        <w:tc>
          <w:tcPr>
            <w:tcW w:w="609" w:type="pct"/>
            <w:vAlign w:val="center"/>
          </w:tcPr>
          <w:p w:rsidR="00EE4502" w:rsidRDefault="00FD45A3">
            <w:pPr>
              <w:jc w:val="center"/>
              <w:rPr>
                <w:rFonts w:hAnsi="宋体"/>
                <w:kern w:val="21"/>
                <w:szCs w:val="21"/>
              </w:rPr>
            </w:pPr>
            <w:r>
              <w:rPr>
                <w:rFonts w:hAnsi="宋体" w:hint="eastAsia"/>
                <w:kern w:val="21"/>
                <w:szCs w:val="21"/>
              </w:rPr>
              <w:t>8</w:t>
            </w:r>
          </w:p>
        </w:tc>
        <w:tc>
          <w:tcPr>
            <w:tcW w:w="1078" w:type="pct"/>
            <w:vAlign w:val="center"/>
          </w:tcPr>
          <w:p w:rsidR="00EE4502" w:rsidRDefault="00FD45A3">
            <w:pPr>
              <w:jc w:val="center"/>
              <w:rPr>
                <w:rFonts w:hAnsi="宋体"/>
                <w:kern w:val="21"/>
                <w:szCs w:val="21"/>
              </w:rPr>
            </w:pPr>
            <w:r>
              <w:rPr>
                <w:rFonts w:hAnsi="宋体" w:hint="eastAsia"/>
                <w:kern w:val="21"/>
                <w:szCs w:val="21"/>
              </w:rPr>
              <w:t>浮动出油</w:t>
            </w:r>
          </w:p>
        </w:tc>
      </w:tr>
      <w:tr w:rsidR="00EE4502">
        <w:trPr>
          <w:trHeight w:val="397"/>
          <w:jc w:val="center"/>
        </w:trPr>
        <w:tc>
          <w:tcPr>
            <w:tcW w:w="556" w:type="pct"/>
            <w:vAlign w:val="center"/>
          </w:tcPr>
          <w:p w:rsidR="00EE4502" w:rsidRDefault="00FD45A3">
            <w:pPr>
              <w:jc w:val="center"/>
              <w:rPr>
                <w:rFonts w:hAnsi="宋体"/>
                <w:kern w:val="21"/>
                <w:szCs w:val="21"/>
              </w:rPr>
            </w:pPr>
            <w:r>
              <w:rPr>
                <w:rFonts w:hAnsi="宋体" w:hint="eastAsia"/>
                <w:kern w:val="21"/>
                <w:szCs w:val="21"/>
              </w:rPr>
              <w:t>4</w:t>
            </w:r>
          </w:p>
        </w:tc>
        <w:tc>
          <w:tcPr>
            <w:tcW w:w="2223" w:type="pct"/>
            <w:vAlign w:val="center"/>
          </w:tcPr>
          <w:p w:rsidR="00EE4502" w:rsidRDefault="00FD45A3">
            <w:pPr>
              <w:jc w:val="center"/>
              <w:rPr>
                <w:rFonts w:hAnsi="宋体"/>
                <w:kern w:val="21"/>
                <w:szCs w:val="21"/>
              </w:rPr>
            </w:pPr>
            <w:r>
              <w:rPr>
                <w:rFonts w:hAnsi="宋体" w:hint="eastAsia"/>
                <w:kern w:val="21"/>
                <w:szCs w:val="21"/>
              </w:rPr>
              <w:t>20000m</w:t>
            </w:r>
            <w:r>
              <w:rPr>
                <w:rFonts w:hAnsi="宋体" w:hint="eastAsia"/>
                <w:kern w:val="21"/>
                <w:szCs w:val="21"/>
                <w:vertAlign w:val="superscript"/>
              </w:rPr>
              <w:t>3</w:t>
            </w:r>
            <w:r>
              <w:rPr>
                <w:rFonts w:hAnsi="宋体" w:hint="eastAsia"/>
                <w:kern w:val="21"/>
                <w:szCs w:val="21"/>
              </w:rPr>
              <w:t>净化油罐</w:t>
            </w:r>
          </w:p>
        </w:tc>
        <w:tc>
          <w:tcPr>
            <w:tcW w:w="531" w:type="pct"/>
            <w:vAlign w:val="center"/>
          </w:tcPr>
          <w:p w:rsidR="00EE4502" w:rsidRDefault="00FD45A3">
            <w:pPr>
              <w:jc w:val="center"/>
              <w:rPr>
                <w:rFonts w:hAnsi="宋体"/>
                <w:kern w:val="21"/>
                <w:szCs w:val="21"/>
              </w:rPr>
            </w:pPr>
            <w:r>
              <w:rPr>
                <w:rFonts w:hAnsi="宋体" w:hint="eastAsia"/>
                <w:kern w:val="21"/>
                <w:szCs w:val="21"/>
              </w:rPr>
              <w:t>座</w:t>
            </w:r>
          </w:p>
        </w:tc>
        <w:tc>
          <w:tcPr>
            <w:tcW w:w="609" w:type="pct"/>
            <w:vAlign w:val="center"/>
          </w:tcPr>
          <w:p w:rsidR="00EE4502" w:rsidRDefault="00FD45A3">
            <w:pPr>
              <w:jc w:val="center"/>
              <w:rPr>
                <w:rFonts w:hAnsi="宋体"/>
                <w:kern w:val="21"/>
                <w:szCs w:val="21"/>
              </w:rPr>
            </w:pPr>
            <w:r>
              <w:rPr>
                <w:rFonts w:hAnsi="宋体" w:hint="eastAsia"/>
                <w:kern w:val="21"/>
                <w:szCs w:val="21"/>
              </w:rPr>
              <w:t>2</w:t>
            </w:r>
          </w:p>
        </w:tc>
        <w:tc>
          <w:tcPr>
            <w:tcW w:w="1078" w:type="pct"/>
            <w:vAlign w:val="center"/>
          </w:tcPr>
          <w:p w:rsidR="00EE4502" w:rsidRDefault="00FD45A3">
            <w:pPr>
              <w:jc w:val="center"/>
              <w:rPr>
                <w:rFonts w:hAnsi="宋体"/>
                <w:kern w:val="21"/>
                <w:szCs w:val="21"/>
              </w:rPr>
            </w:pPr>
            <w:r>
              <w:rPr>
                <w:rFonts w:hAnsi="宋体" w:hint="eastAsia"/>
                <w:kern w:val="21"/>
                <w:szCs w:val="21"/>
              </w:rPr>
              <w:t>在建</w:t>
            </w:r>
            <w:r>
              <w:rPr>
                <w:rFonts w:hAnsi="宋体" w:hint="eastAsia"/>
                <w:kern w:val="21"/>
                <w:szCs w:val="21"/>
              </w:rPr>
              <w:t>1</w:t>
            </w:r>
            <w:r>
              <w:rPr>
                <w:rFonts w:hAnsi="宋体" w:hint="eastAsia"/>
                <w:kern w:val="21"/>
                <w:szCs w:val="21"/>
              </w:rPr>
              <w:t>座</w:t>
            </w:r>
          </w:p>
        </w:tc>
      </w:tr>
    </w:tbl>
    <w:p w:rsidR="00EE4502" w:rsidRDefault="00FD45A3">
      <w:pPr>
        <w:pStyle w:val="41"/>
        <w:numPr>
          <w:ilvl w:val="3"/>
          <w:numId w:val="30"/>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hint="eastAsia"/>
          <w:bCs w:val="0"/>
          <w:sz w:val="24"/>
          <w:szCs w:val="24"/>
        </w:rPr>
        <w:t>注汽系统现状</w:t>
      </w:r>
    </w:p>
    <w:p w:rsidR="00EE4502" w:rsidRDefault="00FD45A3">
      <w:pPr>
        <w:spacing w:line="360" w:lineRule="auto"/>
        <w:ind w:firstLineChars="200" w:firstLine="480"/>
        <w:rPr>
          <w:sz w:val="24"/>
        </w:rPr>
      </w:pPr>
      <w:r>
        <w:rPr>
          <w:rFonts w:hint="eastAsia"/>
          <w:sz w:val="24"/>
        </w:rPr>
        <w:t>距离</w:t>
      </w:r>
      <w:r>
        <w:rPr>
          <w:rFonts w:hint="eastAsia"/>
          <w:sz w:val="24"/>
        </w:rPr>
        <w:t>1#</w:t>
      </w:r>
      <w:r>
        <w:rPr>
          <w:rFonts w:hint="eastAsia"/>
          <w:sz w:val="24"/>
        </w:rPr>
        <w:t>增压站最近的注汽站为春风油田</w:t>
      </w:r>
      <w:r>
        <w:rPr>
          <w:rFonts w:hint="eastAsia"/>
          <w:sz w:val="24"/>
        </w:rPr>
        <w:t>6#</w:t>
      </w:r>
      <w:r>
        <w:rPr>
          <w:rFonts w:hint="eastAsia"/>
          <w:sz w:val="24"/>
        </w:rPr>
        <w:t>注汽站，站内安装</w:t>
      </w:r>
      <w:r>
        <w:rPr>
          <w:rFonts w:hint="eastAsia"/>
          <w:sz w:val="24"/>
        </w:rPr>
        <w:t>1</w:t>
      </w:r>
      <w:r>
        <w:rPr>
          <w:rFonts w:hint="eastAsia"/>
          <w:sz w:val="24"/>
        </w:rPr>
        <w:t>台</w:t>
      </w:r>
      <w:r>
        <w:rPr>
          <w:rFonts w:hint="eastAsia"/>
          <w:sz w:val="24"/>
        </w:rPr>
        <w:t>75t/h</w:t>
      </w:r>
      <w:r>
        <w:rPr>
          <w:rFonts w:hint="eastAsia"/>
          <w:sz w:val="24"/>
        </w:rPr>
        <w:t>燃煤注汽锅炉和</w:t>
      </w:r>
      <w:r>
        <w:rPr>
          <w:rFonts w:hint="eastAsia"/>
          <w:sz w:val="24"/>
        </w:rPr>
        <w:t>1</w:t>
      </w:r>
      <w:r>
        <w:rPr>
          <w:rFonts w:hint="eastAsia"/>
          <w:sz w:val="24"/>
        </w:rPr>
        <w:t>台</w:t>
      </w:r>
      <w:r>
        <w:rPr>
          <w:rFonts w:hint="eastAsia"/>
          <w:sz w:val="24"/>
        </w:rPr>
        <w:t>130t/h</w:t>
      </w:r>
      <w:r>
        <w:rPr>
          <w:rFonts w:hint="eastAsia"/>
          <w:sz w:val="24"/>
        </w:rPr>
        <w:t>燃煤注汽锅炉，锅炉出口蒸汽额定压力</w:t>
      </w:r>
      <w:r>
        <w:rPr>
          <w:rFonts w:hint="eastAsia"/>
          <w:sz w:val="24"/>
        </w:rPr>
        <w:t>14.0MPa</w:t>
      </w:r>
      <w:r>
        <w:rPr>
          <w:rFonts w:hint="eastAsia"/>
          <w:sz w:val="24"/>
        </w:rPr>
        <w:t>，额定温度</w:t>
      </w:r>
      <w:r>
        <w:rPr>
          <w:rFonts w:hint="eastAsia"/>
          <w:sz w:val="24"/>
        </w:rPr>
        <w:t>350</w:t>
      </w:r>
      <w:r>
        <w:rPr>
          <w:rFonts w:hint="eastAsia"/>
          <w:sz w:val="24"/>
        </w:rPr>
        <w:t>℃，额定干度</w:t>
      </w:r>
      <w:r>
        <w:rPr>
          <w:rFonts w:hint="eastAsia"/>
          <w:sz w:val="24"/>
        </w:rPr>
        <w:t>100%</w:t>
      </w:r>
      <w:r>
        <w:rPr>
          <w:rFonts w:hint="eastAsia"/>
          <w:sz w:val="24"/>
        </w:rPr>
        <w:t>。</w:t>
      </w:r>
      <w:r>
        <w:rPr>
          <w:rFonts w:hint="eastAsia"/>
          <w:sz w:val="24"/>
        </w:rPr>
        <w:t>6#</w:t>
      </w:r>
      <w:r>
        <w:rPr>
          <w:rFonts w:hint="eastAsia"/>
          <w:sz w:val="24"/>
        </w:rPr>
        <w:t>注汽站投产于</w:t>
      </w:r>
      <w:r>
        <w:rPr>
          <w:rFonts w:hint="eastAsia"/>
          <w:sz w:val="24"/>
        </w:rPr>
        <w:t>2017</w:t>
      </w:r>
      <w:r>
        <w:rPr>
          <w:rFonts w:hint="eastAsia"/>
          <w:sz w:val="24"/>
        </w:rPr>
        <w:t>年</w:t>
      </w:r>
      <w:r>
        <w:rPr>
          <w:rFonts w:hint="eastAsia"/>
          <w:sz w:val="24"/>
        </w:rPr>
        <w:t>11</w:t>
      </w:r>
      <w:r>
        <w:rPr>
          <w:rFonts w:hint="eastAsia"/>
          <w:sz w:val="24"/>
        </w:rPr>
        <w:t>月，负责排</w:t>
      </w:r>
      <w:r>
        <w:rPr>
          <w:rFonts w:hint="eastAsia"/>
          <w:sz w:val="24"/>
        </w:rPr>
        <w:t>612</w:t>
      </w:r>
      <w:r>
        <w:rPr>
          <w:rFonts w:hint="eastAsia"/>
          <w:sz w:val="24"/>
        </w:rPr>
        <w:t>区块热采井的注汽任务。</w:t>
      </w:r>
      <w:r>
        <w:rPr>
          <w:rFonts w:hint="eastAsia"/>
          <w:sz w:val="24"/>
        </w:rPr>
        <w:t>6#</w:t>
      </w:r>
      <w:r>
        <w:rPr>
          <w:rFonts w:hint="eastAsia"/>
          <w:sz w:val="24"/>
        </w:rPr>
        <w:t>注汽站及周边注汽管网分布见图</w:t>
      </w:r>
      <w:r>
        <w:rPr>
          <w:rFonts w:hint="eastAsia"/>
          <w:sz w:val="24"/>
        </w:rPr>
        <w:t>3.2-6</w:t>
      </w:r>
      <w:r>
        <w:rPr>
          <w:rFonts w:hint="eastAsia"/>
          <w:sz w:val="24"/>
        </w:rPr>
        <w:t>、图</w:t>
      </w:r>
      <w:r>
        <w:rPr>
          <w:rFonts w:hint="eastAsia"/>
          <w:sz w:val="24"/>
        </w:rPr>
        <w:t>3.2-7</w:t>
      </w:r>
      <w:r>
        <w:rPr>
          <w:rFonts w:hint="eastAsia"/>
          <w:sz w:val="24"/>
        </w:rPr>
        <w:t>。</w:t>
      </w:r>
    </w:p>
    <w:p w:rsidR="00EE4502" w:rsidRDefault="00FD45A3">
      <w:pPr>
        <w:spacing w:line="360" w:lineRule="auto"/>
        <w:ind w:firstLineChars="200" w:firstLine="480"/>
        <w:rPr>
          <w:sz w:val="24"/>
        </w:rPr>
      </w:pPr>
      <w:r>
        <w:rPr>
          <w:rFonts w:hint="eastAsia"/>
          <w:sz w:val="24"/>
        </w:rPr>
        <w:lastRenderedPageBreak/>
        <w:t>根据现场调研情况，春风油田</w:t>
      </w:r>
      <w:r>
        <w:rPr>
          <w:rFonts w:hint="eastAsia"/>
          <w:sz w:val="24"/>
        </w:rPr>
        <w:t>6#</w:t>
      </w:r>
      <w:r>
        <w:rPr>
          <w:rFonts w:hint="eastAsia"/>
          <w:sz w:val="24"/>
        </w:rPr>
        <w:t>注汽站设计能力约为</w:t>
      </w:r>
      <w:r>
        <w:rPr>
          <w:rFonts w:hint="eastAsia"/>
          <w:sz w:val="24"/>
        </w:rPr>
        <w:t>79.50</w:t>
      </w:r>
      <w:r>
        <w:rPr>
          <w:rFonts w:hint="eastAsia"/>
          <w:sz w:val="24"/>
        </w:rPr>
        <w:t>×</w:t>
      </w:r>
      <w:r>
        <w:rPr>
          <w:rFonts w:hint="eastAsia"/>
          <w:sz w:val="24"/>
        </w:rPr>
        <w:t>10</w:t>
      </w:r>
      <w:r>
        <w:rPr>
          <w:rFonts w:hint="eastAsia"/>
          <w:sz w:val="24"/>
          <w:vertAlign w:val="superscript"/>
        </w:rPr>
        <w:t>4</w:t>
      </w:r>
      <w:r>
        <w:rPr>
          <w:rFonts w:hint="eastAsia"/>
          <w:sz w:val="24"/>
        </w:rPr>
        <w:t>t/a</w:t>
      </w:r>
      <w:r>
        <w:rPr>
          <w:rFonts w:hint="eastAsia"/>
          <w:sz w:val="24"/>
        </w:rPr>
        <w:t>，</w:t>
      </w:r>
      <w:r>
        <w:rPr>
          <w:rFonts w:hint="eastAsia"/>
          <w:sz w:val="24"/>
        </w:rPr>
        <w:t>2023</w:t>
      </w:r>
      <w:r>
        <w:rPr>
          <w:rFonts w:hint="eastAsia"/>
          <w:sz w:val="24"/>
        </w:rPr>
        <w:t>年区域注汽量为</w:t>
      </w:r>
      <w:r>
        <w:rPr>
          <w:rFonts w:hint="eastAsia"/>
          <w:sz w:val="24"/>
        </w:rPr>
        <w:t>69.19</w:t>
      </w:r>
      <w:r>
        <w:rPr>
          <w:rFonts w:hint="eastAsia"/>
          <w:sz w:val="24"/>
        </w:rPr>
        <w:t>×</w:t>
      </w:r>
      <w:r>
        <w:rPr>
          <w:rFonts w:hint="eastAsia"/>
          <w:sz w:val="24"/>
        </w:rPr>
        <w:t>10</w:t>
      </w:r>
      <w:r>
        <w:rPr>
          <w:rFonts w:hint="eastAsia"/>
          <w:sz w:val="24"/>
          <w:vertAlign w:val="superscript"/>
        </w:rPr>
        <w:t>4</w:t>
      </w:r>
      <w:r>
        <w:rPr>
          <w:rFonts w:hint="eastAsia"/>
          <w:sz w:val="24"/>
        </w:rPr>
        <w:t>t/a</w:t>
      </w:r>
      <w:r>
        <w:rPr>
          <w:rFonts w:hint="eastAsia"/>
          <w:sz w:val="24"/>
        </w:rPr>
        <w:t>。根据目前的注汽需求计算，</w:t>
      </w:r>
      <w:r>
        <w:rPr>
          <w:rFonts w:hint="eastAsia"/>
          <w:sz w:val="24"/>
        </w:rPr>
        <w:t>6#</w:t>
      </w:r>
      <w:r>
        <w:rPr>
          <w:rFonts w:hint="eastAsia"/>
          <w:sz w:val="24"/>
        </w:rPr>
        <w:t>注汽站富裕注汽能力为</w:t>
      </w:r>
      <w:r>
        <w:rPr>
          <w:rFonts w:hint="eastAsia"/>
          <w:sz w:val="24"/>
        </w:rPr>
        <w:t>10.31</w:t>
      </w:r>
      <w:r>
        <w:rPr>
          <w:rFonts w:hint="eastAsia"/>
          <w:sz w:val="24"/>
        </w:rPr>
        <w:t>×</w:t>
      </w:r>
      <w:r>
        <w:rPr>
          <w:rFonts w:hint="eastAsia"/>
          <w:sz w:val="24"/>
        </w:rPr>
        <w:t>10</w:t>
      </w:r>
      <w:r>
        <w:rPr>
          <w:rFonts w:hint="eastAsia"/>
          <w:sz w:val="24"/>
          <w:vertAlign w:val="superscript"/>
        </w:rPr>
        <w:t>4</w:t>
      </w:r>
      <w:r>
        <w:rPr>
          <w:rFonts w:hint="eastAsia"/>
          <w:sz w:val="24"/>
        </w:rPr>
        <w:t>t/a</w:t>
      </w:r>
      <w:r>
        <w:rPr>
          <w:rFonts w:hint="eastAsia"/>
          <w:sz w:val="24"/>
        </w:rPr>
        <w:t>。</w:t>
      </w:r>
    </w:p>
    <w:p w:rsidR="00EE4502" w:rsidRDefault="00FD45A3">
      <w:pPr>
        <w:pStyle w:val="41"/>
        <w:numPr>
          <w:ilvl w:val="3"/>
          <w:numId w:val="30"/>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hint="eastAsia"/>
          <w:bCs w:val="0"/>
          <w:sz w:val="24"/>
          <w:szCs w:val="24"/>
        </w:rPr>
        <w:t>注水系统现状</w:t>
      </w:r>
    </w:p>
    <w:p w:rsidR="00EE4502" w:rsidRDefault="00FD45A3">
      <w:pPr>
        <w:spacing w:line="360" w:lineRule="auto"/>
        <w:ind w:firstLineChars="200" w:firstLine="480"/>
        <w:rPr>
          <w:sz w:val="24"/>
        </w:rPr>
      </w:pPr>
      <w:r>
        <w:rPr>
          <w:rFonts w:hint="eastAsia"/>
          <w:sz w:val="24"/>
        </w:rPr>
        <w:t>春风油田共建有</w:t>
      </w:r>
      <w:r>
        <w:rPr>
          <w:rFonts w:hint="eastAsia"/>
          <w:sz w:val="24"/>
        </w:rPr>
        <w:t>2</w:t>
      </w:r>
      <w:r>
        <w:rPr>
          <w:rFonts w:hint="eastAsia"/>
          <w:sz w:val="24"/>
        </w:rPr>
        <w:t>座注水站分别为车浅</w:t>
      </w:r>
      <w:r>
        <w:rPr>
          <w:rFonts w:hint="eastAsia"/>
          <w:sz w:val="24"/>
        </w:rPr>
        <w:t>1-7</w:t>
      </w:r>
      <w:r>
        <w:rPr>
          <w:rFonts w:hint="eastAsia"/>
          <w:sz w:val="24"/>
        </w:rPr>
        <w:t>注水站和排</w:t>
      </w:r>
      <w:r>
        <w:rPr>
          <w:rFonts w:hint="eastAsia"/>
          <w:sz w:val="24"/>
        </w:rPr>
        <w:t>7</w:t>
      </w:r>
      <w:r>
        <w:rPr>
          <w:rFonts w:hint="eastAsia"/>
          <w:sz w:val="24"/>
        </w:rPr>
        <w:t>注水站。</w:t>
      </w:r>
      <w:r>
        <w:rPr>
          <w:rFonts w:hint="eastAsia"/>
          <w:sz w:val="24"/>
        </w:rPr>
        <w:t>2</w:t>
      </w:r>
      <w:r>
        <w:rPr>
          <w:rFonts w:hint="eastAsia"/>
          <w:sz w:val="24"/>
        </w:rPr>
        <w:t>座注水站距春风联合站直线距离分别为</w:t>
      </w:r>
      <w:r>
        <w:rPr>
          <w:rFonts w:hint="eastAsia"/>
          <w:sz w:val="24"/>
        </w:rPr>
        <w:t>4.5km</w:t>
      </w:r>
      <w:r>
        <w:rPr>
          <w:rFonts w:hint="eastAsia"/>
          <w:sz w:val="24"/>
        </w:rPr>
        <w:t>和</w:t>
      </w:r>
      <w:r>
        <w:rPr>
          <w:rFonts w:hint="eastAsia"/>
          <w:sz w:val="24"/>
        </w:rPr>
        <w:t>8.9km</w:t>
      </w:r>
      <w:r>
        <w:rPr>
          <w:rFonts w:hint="eastAsia"/>
          <w:sz w:val="24"/>
        </w:rPr>
        <w:t>，位于奎阿高速东西两侧。</w:t>
      </w:r>
      <w:r>
        <w:rPr>
          <w:rFonts w:hint="eastAsia"/>
          <w:sz w:val="24"/>
        </w:rPr>
        <w:t>2</w:t>
      </w:r>
      <w:r>
        <w:rPr>
          <w:rFonts w:hint="eastAsia"/>
          <w:sz w:val="24"/>
        </w:rPr>
        <w:t>座注水站地理位置示意见图</w:t>
      </w:r>
      <w:r>
        <w:rPr>
          <w:rFonts w:hint="eastAsia"/>
          <w:sz w:val="24"/>
        </w:rPr>
        <w:t>3-2-8</w:t>
      </w:r>
      <w:r>
        <w:rPr>
          <w:rFonts w:hint="eastAsia"/>
          <w:sz w:val="24"/>
        </w:rPr>
        <w:t>。目前，春风油田</w:t>
      </w:r>
      <w:r>
        <w:rPr>
          <w:rFonts w:hint="eastAsia"/>
          <w:sz w:val="24"/>
        </w:rPr>
        <w:t>2025</w:t>
      </w:r>
      <w:r>
        <w:rPr>
          <w:rFonts w:hint="eastAsia"/>
          <w:sz w:val="24"/>
        </w:rPr>
        <w:t>年日产水量</w:t>
      </w:r>
      <w:r>
        <w:rPr>
          <w:rFonts w:hint="eastAsia"/>
          <w:sz w:val="24"/>
        </w:rPr>
        <w:t>1.50</w:t>
      </w:r>
      <w:r>
        <w:rPr>
          <w:rFonts w:hint="eastAsia"/>
          <w:sz w:val="24"/>
        </w:rPr>
        <w:t>万吨，注水井注水能力</w:t>
      </w:r>
      <w:r>
        <w:rPr>
          <w:rFonts w:hint="eastAsia"/>
          <w:sz w:val="24"/>
        </w:rPr>
        <w:t>1.40</w:t>
      </w:r>
      <w:r>
        <w:rPr>
          <w:rFonts w:hint="eastAsia"/>
          <w:sz w:val="24"/>
        </w:rPr>
        <w:t>万吨，注水井注水能力不足。</w:t>
      </w:r>
    </w:p>
    <w:p w:rsidR="00EE4502" w:rsidRDefault="00FD45A3">
      <w:pPr>
        <w:spacing w:line="360" w:lineRule="auto"/>
        <w:ind w:firstLineChars="200" w:firstLine="480"/>
        <w:rPr>
          <w:sz w:val="24"/>
        </w:rPr>
      </w:pPr>
      <w:r>
        <w:rPr>
          <w:rFonts w:hint="eastAsia"/>
          <w:sz w:val="24"/>
        </w:rPr>
        <w:t>与本工程相关的注水站为排</w:t>
      </w:r>
      <w:r>
        <w:rPr>
          <w:rFonts w:hint="eastAsia"/>
          <w:sz w:val="24"/>
        </w:rPr>
        <w:t>7</w:t>
      </w:r>
      <w:r>
        <w:rPr>
          <w:rFonts w:hint="eastAsia"/>
          <w:sz w:val="24"/>
        </w:rPr>
        <w:t>注水站，本工程对其进行改扩建。</w:t>
      </w:r>
    </w:p>
    <w:p w:rsidR="00EE4502" w:rsidRDefault="00FD45A3">
      <w:pPr>
        <w:spacing w:line="360" w:lineRule="auto"/>
        <w:ind w:firstLineChars="200" w:firstLine="480"/>
        <w:rPr>
          <w:sz w:val="24"/>
        </w:rPr>
      </w:pPr>
      <w:r>
        <w:rPr>
          <w:rFonts w:hint="eastAsia"/>
          <w:sz w:val="24"/>
        </w:rPr>
        <w:t>车浅</w:t>
      </w:r>
      <w:r>
        <w:rPr>
          <w:rFonts w:hint="eastAsia"/>
          <w:sz w:val="24"/>
        </w:rPr>
        <w:t>1-7</w:t>
      </w:r>
      <w:r>
        <w:rPr>
          <w:rFonts w:hint="eastAsia"/>
          <w:sz w:val="24"/>
        </w:rPr>
        <w:t>注水站投产</w:t>
      </w:r>
      <w:r>
        <w:rPr>
          <w:sz w:val="24"/>
        </w:rPr>
        <w:t>于</w:t>
      </w:r>
      <w:r>
        <w:rPr>
          <w:sz w:val="24"/>
        </w:rPr>
        <w:t>2024</w:t>
      </w:r>
      <w:r>
        <w:rPr>
          <w:sz w:val="24"/>
        </w:rPr>
        <w:t>年，设计注水规模为</w:t>
      </w:r>
      <w:r>
        <w:rPr>
          <w:sz w:val="24"/>
        </w:rPr>
        <w:t>7200m</w:t>
      </w:r>
      <w:r>
        <w:rPr>
          <w:sz w:val="24"/>
          <w:vertAlign w:val="superscript"/>
        </w:rPr>
        <w:t>3</w:t>
      </w:r>
      <w:r>
        <w:rPr>
          <w:sz w:val="24"/>
        </w:rPr>
        <w:t>/d</w:t>
      </w:r>
      <w:r>
        <w:rPr>
          <w:sz w:val="24"/>
        </w:rPr>
        <w:t>，实际注水水量为</w:t>
      </w:r>
      <w:r>
        <w:rPr>
          <w:sz w:val="24"/>
        </w:rPr>
        <w:t>5535m</w:t>
      </w:r>
      <w:r>
        <w:rPr>
          <w:sz w:val="24"/>
          <w:vertAlign w:val="superscript"/>
        </w:rPr>
        <w:t>3</w:t>
      </w:r>
      <w:r>
        <w:rPr>
          <w:sz w:val="24"/>
        </w:rPr>
        <w:t>/d</w:t>
      </w:r>
      <w:r>
        <w:rPr>
          <w:sz w:val="24"/>
        </w:rPr>
        <w:t>。设计压力为</w:t>
      </w:r>
      <w:r>
        <w:rPr>
          <w:sz w:val="24"/>
        </w:rPr>
        <w:t>16MPa</w:t>
      </w:r>
      <w:r>
        <w:rPr>
          <w:sz w:val="24"/>
        </w:rPr>
        <w:t>，实际注水压力为</w:t>
      </w:r>
      <w:r>
        <w:rPr>
          <w:sz w:val="24"/>
        </w:rPr>
        <w:t>7.3MPa</w:t>
      </w:r>
      <w:r>
        <w:rPr>
          <w:sz w:val="24"/>
        </w:rPr>
        <w:t>。设计注水水质为含</w:t>
      </w:r>
      <w:r>
        <w:rPr>
          <w:sz w:val="24"/>
        </w:rPr>
        <w:t>油量</w:t>
      </w:r>
      <w:r>
        <w:rPr>
          <w:sz w:val="24"/>
        </w:rPr>
        <w:t>≤30mg/L</w:t>
      </w:r>
      <w:r>
        <w:rPr>
          <w:sz w:val="24"/>
        </w:rPr>
        <w:t>，悬浮固体含量</w:t>
      </w:r>
      <w:r>
        <w:rPr>
          <w:sz w:val="24"/>
        </w:rPr>
        <w:t>≤10mg/L</w:t>
      </w:r>
      <w:r>
        <w:rPr>
          <w:sz w:val="24"/>
        </w:rPr>
        <w:t>，悬浮固体粒径中值</w:t>
      </w:r>
      <w:r>
        <w:rPr>
          <w:sz w:val="24"/>
        </w:rPr>
        <w:t>≤4μm</w:t>
      </w:r>
      <w:r>
        <w:rPr>
          <w:sz w:val="24"/>
        </w:rPr>
        <w:t>，实际出水水质达标。</w:t>
      </w:r>
    </w:p>
    <w:p w:rsidR="00EE4502" w:rsidRDefault="00FD45A3">
      <w:pPr>
        <w:spacing w:line="360" w:lineRule="auto"/>
        <w:ind w:firstLineChars="200" w:firstLine="480"/>
        <w:rPr>
          <w:sz w:val="24"/>
        </w:rPr>
      </w:pPr>
      <w:r>
        <w:rPr>
          <w:rFonts w:hint="eastAsia"/>
          <w:sz w:val="24"/>
        </w:rPr>
        <w:t>（</w:t>
      </w:r>
      <w:r>
        <w:rPr>
          <w:rFonts w:hint="eastAsia"/>
          <w:sz w:val="24"/>
        </w:rPr>
        <w:t>1</w:t>
      </w:r>
      <w:r>
        <w:rPr>
          <w:rFonts w:hint="eastAsia"/>
          <w:sz w:val="24"/>
        </w:rPr>
        <w:t>）主要工艺流程</w:t>
      </w:r>
    </w:p>
    <w:p w:rsidR="00EE4502" w:rsidRDefault="00FD45A3">
      <w:pPr>
        <w:spacing w:line="360" w:lineRule="auto"/>
        <w:ind w:firstLineChars="200" w:firstLine="480"/>
        <w:rPr>
          <w:sz w:val="24"/>
        </w:rPr>
      </w:pPr>
      <w:r>
        <w:rPr>
          <w:rFonts w:hint="eastAsia"/>
          <w:sz w:val="24"/>
        </w:rPr>
        <w:t>春风联合站来水→注水泵→配水阀组→高压注水管线→站外注水井</w:t>
      </w:r>
    </w:p>
    <w:p w:rsidR="00EE4502" w:rsidRDefault="00FD45A3">
      <w:pPr>
        <w:spacing w:line="360" w:lineRule="auto"/>
        <w:ind w:firstLineChars="200" w:firstLine="480"/>
        <w:rPr>
          <w:sz w:val="24"/>
        </w:rPr>
      </w:pPr>
      <w:r>
        <w:rPr>
          <w:rFonts w:hint="eastAsia"/>
          <w:sz w:val="24"/>
        </w:rPr>
        <w:t>（</w:t>
      </w:r>
      <w:r>
        <w:rPr>
          <w:rFonts w:hint="eastAsia"/>
          <w:sz w:val="24"/>
        </w:rPr>
        <w:t>2</w:t>
      </w:r>
      <w:r>
        <w:rPr>
          <w:rFonts w:hint="eastAsia"/>
          <w:sz w:val="24"/>
        </w:rPr>
        <w:t>）主要设备</w:t>
      </w:r>
    </w:p>
    <w:p w:rsidR="00EE4502" w:rsidRDefault="00FD45A3">
      <w:pPr>
        <w:spacing w:line="360" w:lineRule="auto"/>
        <w:ind w:firstLineChars="200" w:firstLine="480"/>
        <w:rPr>
          <w:sz w:val="24"/>
        </w:rPr>
      </w:pPr>
      <w:r>
        <w:rPr>
          <w:rFonts w:hint="eastAsia"/>
          <w:sz w:val="24"/>
        </w:rPr>
        <w:t>排</w:t>
      </w:r>
      <w:r>
        <w:rPr>
          <w:rFonts w:hint="eastAsia"/>
          <w:sz w:val="24"/>
        </w:rPr>
        <w:t>7</w:t>
      </w:r>
      <w:r>
        <w:rPr>
          <w:rFonts w:hint="eastAsia"/>
          <w:sz w:val="24"/>
        </w:rPr>
        <w:t>注水站主要设备见表</w:t>
      </w:r>
      <w:r>
        <w:rPr>
          <w:rFonts w:hint="eastAsia"/>
          <w:sz w:val="24"/>
        </w:rPr>
        <w:t>3-2-5</w:t>
      </w:r>
      <w:r>
        <w:rPr>
          <w:rFonts w:hint="eastAsia"/>
          <w:sz w:val="24"/>
        </w:rPr>
        <w:t>。</w:t>
      </w:r>
    </w:p>
    <w:p w:rsidR="00EE4502" w:rsidRDefault="00FD45A3">
      <w:pPr>
        <w:spacing w:line="360" w:lineRule="auto"/>
        <w:jc w:val="center"/>
        <w:rPr>
          <w:rFonts w:ascii="黑体" w:eastAsia="黑体" w:hAnsi="黑体" w:cs="黑体"/>
          <w:szCs w:val="21"/>
        </w:rPr>
      </w:pPr>
      <w:r>
        <w:rPr>
          <w:rFonts w:ascii="黑体" w:eastAsia="黑体" w:hAnsi="黑体" w:cs="黑体" w:hint="eastAsia"/>
          <w:szCs w:val="21"/>
        </w:rPr>
        <w:t>表</w:t>
      </w:r>
      <w:r>
        <w:rPr>
          <w:rFonts w:ascii="黑体" w:eastAsia="黑体" w:hAnsi="黑体" w:cs="黑体" w:hint="eastAsia"/>
          <w:szCs w:val="21"/>
        </w:rPr>
        <w:t xml:space="preserve">3-2-5  </w:t>
      </w:r>
      <w:r>
        <w:rPr>
          <w:rFonts w:ascii="黑体" w:eastAsia="黑体" w:hAnsi="黑体" w:cs="黑体" w:hint="eastAsia"/>
          <w:szCs w:val="21"/>
        </w:rPr>
        <w:t>排</w:t>
      </w:r>
      <w:r>
        <w:rPr>
          <w:rFonts w:ascii="黑体" w:eastAsia="黑体" w:hAnsi="黑体" w:cs="黑体" w:hint="eastAsia"/>
          <w:szCs w:val="21"/>
        </w:rPr>
        <w:t>7</w:t>
      </w:r>
      <w:r>
        <w:rPr>
          <w:rFonts w:ascii="黑体" w:eastAsia="黑体" w:hAnsi="黑体" w:cs="黑体" w:hint="eastAsia"/>
          <w:szCs w:val="21"/>
        </w:rPr>
        <w:t>注水站主要设备表</w:t>
      </w:r>
    </w:p>
    <w:tbl>
      <w:tblPr>
        <w:tblW w:w="4998" w:type="pct"/>
        <w:tblCellMar>
          <w:left w:w="0" w:type="dxa"/>
          <w:right w:w="0" w:type="dxa"/>
        </w:tblCellMar>
        <w:tblLook w:val="04A0" w:firstRow="1" w:lastRow="0" w:firstColumn="1" w:lastColumn="0" w:noHBand="0" w:noVBand="1"/>
      </w:tblPr>
      <w:tblGrid>
        <w:gridCol w:w="599"/>
        <w:gridCol w:w="4818"/>
        <w:gridCol w:w="602"/>
        <w:gridCol w:w="587"/>
        <w:gridCol w:w="1727"/>
      </w:tblGrid>
      <w:tr w:rsidR="00EE4502">
        <w:trPr>
          <w:trHeight w:val="397"/>
          <w:tblHeader/>
        </w:trPr>
        <w:tc>
          <w:tcPr>
            <w:tcW w:w="360"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4502" w:rsidRDefault="00FD45A3">
            <w:pPr>
              <w:jc w:val="center"/>
              <w:rPr>
                <w:rFonts w:hAnsi="宋体"/>
                <w:kern w:val="21"/>
                <w:szCs w:val="21"/>
              </w:rPr>
            </w:pPr>
            <w:r>
              <w:rPr>
                <w:rFonts w:hAnsi="宋体" w:hint="eastAsia"/>
                <w:kern w:val="21"/>
                <w:szCs w:val="21"/>
              </w:rPr>
              <w:t>序号</w:t>
            </w:r>
          </w:p>
        </w:tc>
        <w:tc>
          <w:tcPr>
            <w:tcW w:w="2889"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4502" w:rsidRDefault="00FD45A3">
            <w:pPr>
              <w:jc w:val="center"/>
              <w:rPr>
                <w:rFonts w:hAnsi="宋体"/>
                <w:kern w:val="21"/>
                <w:szCs w:val="21"/>
              </w:rPr>
            </w:pPr>
            <w:r>
              <w:rPr>
                <w:rFonts w:hAnsi="宋体" w:hint="eastAsia"/>
                <w:kern w:val="21"/>
                <w:szCs w:val="21"/>
              </w:rPr>
              <w:t>项目名称及型号</w:t>
            </w:r>
          </w:p>
        </w:tc>
        <w:tc>
          <w:tcPr>
            <w:tcW w:w="361"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4502" w:rsidRDefault="00FD45A3">
            <w:pPr>
              <w:jc w:val="center"/>
              <w:rPr>
                <w:rFonts w:hAnsi="宋体"/>
                <w:kern w:val="21"/>
                <w:szCs w:val="21"/>
              </w:rPr>
            </w:pPr>
            <w:r>
              <w:rPr>
                <w:rFonts w:hAnsi="宋体" w:hint="eastAsia"/>
                <w:kern w:val="21"/>
                <w:szCs w:val="21"/>
              </w:rPr>
              <w:t>单位</w:t>
            </w:r>
          </w:p>
        </w:tc>
        <w:tc>
          <w:tcPr>
            <w:tcW w:w="352" w:type="pct"/>
            <w:tcBorders>
              <w:top w:val="single" w:sz="4" w:space="0" w:color="auto"/>
              <w:left w:val="single" w:sz="4" w:space="0" w:color="auto"/>
              <w:bottom w:val="single" w:sz="4" w:space="0" w:color="auto"/>
              <w:right w:val="single" w:sz="4" w:space="0" w:color="auto"/>
            </w:tcBorders>
            <w:vAlign w:val="center"/>
          </w:tcPr>
          <w:p w:rsidR="00EE4502" w:rsidRDefault="00FD45A3">
            <w:pPr>
              <w:jc w:val="center"/>
              <w:rPr>
                <w:rFonts w:hAnsi="宋体"/>
                <w:kern w:val="21"/>
                <w:szCs w:val="21"/>
              </w:rPr>
            </w:pPr>
            <w:r>
              <w:rPr>
                <w:rFonts w:hAnsi="宋体" w:hint="eastAsia"/>
                <w:kern w:val="21"/>
                <w:szCs w:val="21"/>
              </w:rPr>
              <w:t>数量</w:t>
            </w:r>
          </w:p>
        </w:tc>
        <w:tc>
          <w:tcPr>
            <w:tcW w:w="103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4502" w:rsidRDefault="00FD45A3">
            <w:pPr>
              <w:jc w:val="center"/>
              <w:rPr>
                <w:rFonts w:hAnsi="宋体"/>
                <w:kern w:val="21"/>
                <w:szCs w:val="21"/>
              </w:rPr>
            </w:pPr>
            <w:r>
              <w:rPr>
                <w:rFonts w:hAnsi="宋体" w:hint="eastAsia"/>
                <w:kern w:val="21"/>
                <w:szCs w:val="21"/>
              </w:rPr>
              <w:t>投产时间</w:t>
            </w:r>
            <w:r>
              <w:rPr>
                <w:rFonts w:hAnsi="宋体" w:hint="eastAsia"/>
                <w:kern w:val="21"/>
                <w:szCs w:val="21"/>
              </w:rPr>
              <w:t>（</w:t>
            </w:r>
            <w:r>
              <w:rPr>
                <w:rFonts w:hAnsi="宋体" w:hint="eastAsia"/>
                <w:kern w:val="21"/>
                <w:szCs w:val="21"/>
              </w:rPr>
              <w:t>年</w:t>
            </w:r>
            <w:r>
              <w:rPr>
                <w:rFonts w:hAnsi="宋体" w:hint="eastAsia"/>
                <w:kern w:val="21"/>
                <w:szCs w:val="21"/>
              </w:rPr>
              <w:t>）</w:t>
            </w:r>
          </w:p>
        </w:tc>
      </w:tr>
      <w:tr w:rsidR="00EE4502">
        <w:trPr>
          <w:trHeight w:val="397"/>
        </w:trPr>
        <w:tc>
          <w:tcPr>
            <w:tcW w:w="360"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4502" w:rsidRDefault="00FD45A3">
            <w:pPr>
              <w:jc w:val="center"/>
              <w:rPr>
                <w:rFonts w:hAnsi="宋体"/>
                <w:kern w:val="21"/>
                <w:szCs w:val="21"/>
              </w:rPr>
            </w:pPr>
            <w:r>
              <w:rPr>
                <w:rFonts w:hAnsi="宋体" w:hint="eastAsia"/>
                <w:kern w:val="21"/>
                <w:szCs w:val="21"/>
              </w:rPr>
              <w:t>1</w:t>
            </w:r>
          </w:p>
        </w:tc>
        <w:tc>
          <w:tcPr>
            <w:tcW w:w="2889"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4502" w:rsidRDefault="00FD45A3">
            <w:pPr>
              <w:jc w:val="left"/>
              <w:rPr>
                <w:rFonts w:hAnsi="宋体"/>
                <w:kern w:val="21"/>
                <w:szCs w:val="21"/>
              </w:rPr>
            </w:pPr>
            <w:r>
              <w:rPr>
                <w:rFonts w:hAnsi="宋体" w:hint="eastAsia"/>
                <w:kern w:val="21"/>
                <w:szCs w:val="21"/>
              </w:rPr>
              <w:t>1#</w:t>
            </w:r>
            <w:r>
              <w:rPr>
                <w:rFonts w:hAnsi="宋体" w:hint="eastAsia"/>
                <w:kern w:val="21"/>
                <w:szCs w:val="21"/>
              </w:rPr>
              <w:t>注水泵</w:t>
            </w:r>
            <w:r>
              <w:rPr>
                <w:rFonts w:hAnsi="宋体" w:hint="eastAsia"/>
                <w:kern w:val="21"/>
                <w:szCs w:val="21"/>
              </w:rPr>
              <w:t>Q=60m</w:t>
            </w:r>
            <w:r>
              <w:rPr>
                <w:rFonts w:hAnsi="宋体" w:hint="eastAsia"/>
                <w:kern w:val="21"/>
                <w:szCs w:val="21"/>
                <w:vertAlign w:val="superscript"/>
              </w:rPr>
              <w:t>3</w:t>
            </w:r>
            <w:r>
              <w:rPr>
                <w:rFonts w:hAnsi="宋体" w:hint="eastAsia"/>
                <w:kern w:val="21"/>
                <w:szCs w:val="21"/>
              </w:rPr>
              <w:t>/h</w:t>
            </w:r>
            <w:r>
              <w:rPr>
                <w:rFonts w:hAnsi="宋体" w:hint="eastAsia"/>
                <w:kern w:val="21"/>
                <w:szCs w:val="21"/>
              </w:rPr>
              <w:t>、</w:t>
            </w:r>
            <w:r>
              <w:rPr>
                <w:rFonts w:hAnsi="宋体" w:hint="eastAsia"/>
                <w:kern w:val="21"/>
                <w:szCs w:val="21"/>
              </w:rPr>
              <w:t>P=16MPa</w:t>
            </w:r>
            <w:r>
              <w:rPr>
                <w:rFonts w:hAnsi="宋体" w:hint="eastAsia"/>
                <w:kern w:val="21"/>
                <w:szCs w:val="21"/>
              </w:rPr>
              <w:t>、</w:t>
            </w:r>
            <w:r>
              <w:rPr>
                <w:rFonts w:hAnsi="宋体" w:hint="eastAsia"/>
                <w:kern w:val="21"/>
                <w:szCs w:val="21"/>
              </w:rPr>
              <w:t>N=355kW</w:t>
            </w:r>
          </w:p>
        </w:tc>
        <w:tc>
          <w:tcPr>
            <w:tcW w:w="361"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4502" w:rsidRDefault="00FD45A3">
            <w:pPr>
              <w:jc w:val="center"/>
              <w:rPr>
                <w:rFonts w:hAnsi="宋体"/>
                <w:kern w:val="21"/>
                <w:szCs w:val="21"/>
              </w:rPr>
            </w:pPr>
            <w:r>
              <w:rPr>
                <w:rFonts w:hAnsi="宋体" w:hint="eastAsia"/>
                <w:kern w:val="21"/>
                <w:szCs w:val="21"/>
              </w:rPr>
              <w:t>座</w:t>
            </w:r>
          </w:p>
        </w:tc>
        <w:tc>
          <w:tcPr>
            <w:tcW w:w="352" w:type="pct"/>
            <w:tcBorders>
              <w:top w:val="single" w:sz="4" w:space="0" w:color="auto"/>
              <w:left w:val="single" w:sz="4" w:space="0" w:color="auto"/>
              <w:bottom w:val="single" w:sz="4" w:space="0" w:color="auto"/>
              <w:right w:val="single" w:sz="4" w:space="0" w:color="auto"/>
            </w:tcBorders>
            <w:vAlign w:val="center"/>
          </w:tcPr>
          <w:p w:rsidR="00EE4502" w:rsidRDefault="00FD45A3">
            <w:pPr>
              <w:jc w:val="center"/>
              <w:rPr>
                <w:rFonts w:hAnsi="宋体"/>
                <w:kern w:val="21"/>
                <w:szCs w:val="21"/>
              </w:rPr>
            </w:pPr>
            <w:r>
              <w:rPr>
                <w:rFonts w:hAnsi="宋体" w:hint="eastAsia"/>
                <w:kern w:val="21"/>
                <w:szCs w:val="21"/>
              </w:rPr>
              <w:t>1</w:t>
            </w:r>
          </w:p>
        </w:tc>
        <w:tc>
          <w:tcPr>
            <w:tcW w:w="103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4502" w:rsidRDefault="00FD45A3">
            <w:pPr>
              <w:jc w:val="center"/>
              <w:rPr>
                <w:rFonts w:hAnsi="宋体"/>
                <w:kern w:val="21"/>
                <w:szCs w:val="21"/>
              </w:rPr>
            </w:pPr>
            <w:r>
              <w:rPr>
                <w:rFonts w:hAnsi="宋体" w:hint="eastAsia"/>
                <w:kern w:val="21"/>
                <w:szCs w:val="21"/>
              </w:rPr>
              <w:t>2012</w:t>
            </w:r>
          </w:p>
        </w:tc>
      </w:tr>
      <w:tr w:rsidR="00EE4502">
        <w:trPr>
          <w:trHeight w:val="397"/>
        </w:trPr>
        <w:tc>
          <w:tcPr>
            <w:tcW w:w="360"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4502" w:rsidRDefault="00FD45A3">
            <w:pPr>
              <w:jc w:val="center"/>
              <w:rPr>
                <w:rFonts w:hAnsi="宋体"/>
                <w:kern w:val="21"/>
                <w:szCs w:val="21"/>
              </w:rPr>
            </w:pPr>
            <w:r>
              <w:rPr>
                <w:rFonts w:hAnsi="宋体" w:hint="eastAsia"/>
                <w:kern w:val="21"/>
                <w:szCs w:val="21"/>
              </w:rPr>
              <w:t>2</w:t>
            </w:r>
          </w:p>
        </w:tc>
        <w:tc>
          <w:tcPr>
            <w:tcW w:w="2889"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4502" w:rsidRDefault="00FD45A3">
            <w:pPr>
              <w:jc w:val="left"/>
              <w:rPr>
                <w:rFonts w:hAnsi="宋体"/>
                <w:kern w:val="21"/>
                <w:szCs w:val="21"/>
              </w:rPr>
            </w:pPr>
            <w:r>
              <w:rPr>
                <w:rFonts w:hAnsi="宋体" w:hint="eastAsia"/>
                <w:kern w:val="21"/>
                <w:szCs w:val="21"/>
              </w:rPr>
              <w:t>2#</w:t>
            </w:r>
            <w:r>
              <w:rPr>
                <w:rFonts w:hAnsi="宋体" w:hint="eastAsia"/>
                <w:kern w:val="21"/>
                <w:szCs w:val="21"/>
              </w:rPr>
              <w:t>注水泵</w:t>
            </w:r>
            <w:r>
              <w:rPr>
                <w:rFonts w:hAnsi="宋体" w:hint="eastAsia"/>
                <w:kern w:val="21"/>
                <w:szCs w:val="21"/>
              </w:rPr>
              <w:t>Q=60m</w:t>
            </w:r>
            <w:r>
              <w:rPr>
                <w:rFonts w:hAnsi="宋体" w:hint="eastAsia"/>
                <w:kern w:val="21"/>
                <w:szCs w:val="21"/>
                <w:vertAlign w:val="superscript"/>
              </w:rPr>
              <w:t>3</w:t>
            </w:r>
            <w:r>
              <w:rPr>
                <w:rFonts w:hAnsi="宋体" w:hint="eastAsia"/>
                <w:kern w:val="21"/>
                <w:szCs w:val="21"/>
              </w:rPr>
              <w:t>/h</w:t>
            </w:r>
            <w:r>
              <w:rPr>
                <w:rFonts w:hAnsi="宋体" w:hint="eastAsia"/>
                <w:kern w:val="21"/>
                <w:szCs w:val="21"/>
              </w:rPr>
              <w:t>、</w:t>
            </w:r>
            <w:r>
              <w:rPr>
                <w:rFonts w:hAnsi="宋体" w:hint="eastAsia"/>
                <w:kern w:val="21"/>
                <w:szCs w:val="21"/>
              </w:rPr>
              <w:t>P=16MPa</w:t>
            </w:r>
            <w:r>
              <w:rPr>
                <w:rFonts w:hAnsi="宋体" w:hint="eastAsia"/>
                <w:kern w:val="21"/>
                <w:szCs w:val="21"/>
              </w:rPr>
              <w:t>、</w:t>
            </w:r>
            <w:r>
              <w:rPr>
                <w:rFonts w:hAnsi="宋体" w:hint="eastAsia"/>
                <w:kern w:val="21"/>
                <w:szCs w:val="21"/>
              </w:rPr>
              <w:t>N=355kW</w:t>
            </w:r>
          </w:p>
        </w:tc>
        <w:tc>
          <w:tcPr>
            <w:tcW w:w="361"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4502" w:rsidRDefault="00FD45A3">
            <w:pPr>
              <w:jc w:val="center"/>
              <w:rPr>
                <w:rFonts w:hAnsi="宋体"/>
                <w:kern w:val="21"/>
                <w:szCs w:val="21"/>
              </w:rPr>
            </w:pPr>
            <w:r>
              <w:rPr>
                <w:rFonts w:hAnsi="宋体" w:hint="eastAsia"/>
                <w:kern w:val="21"/>
                <w:szCs w:val="21"/>
              </w:rPr>
              <w:t>座</w:t>
            </w:r>
          </w:p>
        </w:tc>
        <w:tc>
          <w:tcPr>
            <w:tcW w:w="352" w:type="pct"/>
            <w:tcBorders>
              <w:top w:val="single" w:sz="4" w:space="0" w:color="auto"/>
              <w:left w:val="single" w:sz="4" w:space="0" w:color="auto"/>
              <w:bottom w:val="single" w:sz="4" w:space="0" w:color="auto"/>
              <w:right w:val="single" w:sz="4" w:space="0" w:color="auto"/>
            </w:tcBorders>
            <w:vAlign w:val="center"/>
          </w:tcPr>
          <w:p w:rsidR="00EE4502" w:rsidRDefault="00FD45A3">
            <w:pPr>
              <w:jc w:val="center"/>
              <w:rPr>
                <w:rFonts w:hAnsi="宋体"/>
                <w:kern w:val="21"/>
                <w:szCs w:val="21"/>
              </w:rPr>
            </w:pPr>
            <w:r>
              <w:rPr>
                <w:rFonts w:hAnsi="宋体" w:hint="eastAsia"/>
                <w:kern w:val="21"/>
                <w:szCs w:val="21"/>
              </w:rPr>
              <w:t>1</w:t>
            </w:r>
          </w:p>
        </w:tc>
        <w:tc>
          <w:tcPr>
            <w:tcW w:w="103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4502" w:rsidRDefault="00FD45A3">
            <w:pPr>
              <w:jc w:val="center"/>
              <w:rPr>
                <w:rFonts w:hAnsi="宋体"/>
                <w:kern w:val="21"/>
                <w:szCs w:val="21"/>
              </w:rPr>
            </w:pPr>
            <w:r>
              <w:rPr>
                <w:rFonts w:hAnsi="宋体" w:hint="eastAsia"/>
                <w:kern w:val="21"/>
                <w:szCs w:val="21"/>
              </w:rPr>
              <w:t>2012</w:t>
            </w:r>
          </w:p>
        </w:tc>
      </w:tr>
      <w:tr w:rsidR="00EE4502">
        <w:trPr>
          <w:trHeight w:val="397"/>
        </w:trPr>
        <w:tc>
          <w:tcPr>
            <w:tcW w:w="360"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4502" w:rsidRDefault="00FD45A3">
            <w:pPr>
              <w:jc w:val="center"/>
              <w:rPr>
                <w:rFonts w:hAnsi="宋体"/>
                <w:kern w:val="21"/>
                <w:szCs w:val="21"/>
              </w:rPr>
            </w:pPr>
            <w:r>
              <w:rPr>
                <w:rFonts w:hAnsi="宋体" w:hint="eastAsia"/>
                <w:kern w:val="21"/>
                <w:szCs w:val="21"/>
              </w:rPr>
              <w:t>3</w:t>
            </w:r>
          </w:p>
        </w:tc>
        <w:tc>
          <w:tcPr>
            <w:tcW w:w="2889"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4502" w:rsidRDefault="00FD45A3">
            <w:pPr>
              <w:jc w:val="left"/>
              <w:rPr>
                <w:rFonts w:hAnsi="宋体"/>
                <w:kern w:val="21"/>
                <w:szCs w:val="21"/>
              </w:rPr>
            </w:pPr>
            <w:r>
              <w:rPr>
                <w:rFonts w:hAnsi="宋体" w:hint="eastAsia"/>
                <w:kern w:val="21"/>
                <w:szCs w:val="21"/>
              </w:rPr>
              <w:t>3#</w:t>
            </w:r>
            <w:r>
              <w:rPr>
                <w:rFonts w:hAnsi="宋体" w:hint="eastAsia"/>
                <w:kern w:val="21"/>
                <w:szCs w:val="21"/>
              </w:rPr>
              <w:t>注水泵</w:t>
            </w:r>
            <w:r>
              <w:rPr>
                <w:rFonts w:hAnsi="宋体" w:hint="eastAsia"/>
                <w:kern w:val="21"/>
                <w:szCs w:val="21"/>
              </w:rPr>
              <w:t>Q=60m</w:t>
            </w:r>
            <w:r>
              <w:rPr>
                <w:rFonts w:hAnsi="宋体" w:hint="eastAsia"/>
                <w:kern w:val="21"/>
                <w:szCs w:val="21"/>
                <w:vertAlign w:val="superscript"/>
              </w:rPr>
              <w:t>3</w:t>
            </w:r>
            <w:r>
              <w:rPr>
                <w:rFonts w:hAnsi="宋体" w:hint="eastAsia"/>
                <w:kern w:val="21"/>
                <w:szCs w:val="21"/>
              </w:rPr>
              <w:t>/h</w:t>
            </w:r>
            <w:r>
              <w:rPr>
                <w:rFonts w:hAnsi="宋体" w:hint="eastAsia"/>
                <w:kern w:val="21"/>
                <w:szCs w:val="21"/>
              </w:rPr>
              <w:t>、</w:t>
            </w:r>
            <w:r>
              <w:rPr>
                <w:rFonts w:hAnsi="宋体" w:hint="eastAsia"/>
                <w:kern w:val="21"/>
                <w:szCs w:val="21"/>
              </w:rPr>
              <w:t>P=16MPa</w:t>
            </w:r>
            <w:r>
              <w:rPr>
                <w:rFonts w:hAnsi="宋体" w:hint="eastAsia"/>
                <w:kern w:val="21"/>
                <w:szCs w:val="21"/>
              </w:rPr>
              <w:t>、</w:t>
            </w:r>
            <w:r>
              <w:rPr>
                <w:rFonts w:hAnsi="宋体" w:hint="eastAsia"/>
                <w:kern w:val="21"/>
                <w:szCs w:val="21"/>
              </w:rPr>
              <w:t>N=355kW</w:t>
            </w:r>
          </w:p>
        </w:tc>
        <w:tc>
          <w:tcPr>
            <w:tcW w:w="361"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4502" w:rsidRDefault="00FD45A3">
            <w:pPr>
              <w:jc w:val="center"/>
              <w:rPr>
                <w:rFonts w:hAnsi="宋体"/>
                <w:kern w:val="21"/>
                <w:szCs w:val="21"/>
              </w:rPr>
            </w:pPr>
            <w:r>
              <w:rPr>
                <w:rFonts w:hAnsi="宋体" w:hint="eastAsia"/>
                <w:kern w:val="21"/>
                <w:szCs w:val="21"/>
              </w:rPr>
              <w:t>座</w:t>
            </w:r>
          </w:p>
        </w:tc>
        <w:tc>
          <w:tcPr>
            <w:tcW w:w="352" w:type="pct"/>
            <w:tcBorders>
              <w:top w:val="single" w:sz="4" w:space="0" w:color="auto"/>
              <w:left w:val="single" w:sz="4" w:space="0" w:color="auto"/>
              <w:bottom w:val="single" w:sz="4" w:space="0" w:color="auto"/>
              <w:right w:val="single" w:sz="4" w:space="0" w:color="auto"/>
            </w:tcBorders>
            <w:vAlign w:val="center"/>
          </w:tcPr>
          <w:p w:rsidR="00EE4502" w:rsidRDefault="00FD45A3">
            <w:pPr>
              <w:jc w:val="center"/>
              <w:rPr>
                <w:rFonts w:hAnsi="宋体"/>
                <w:kern w:val="21"/>
                <w:szCs w:val="21"/>
              </w:rPr>
            </w:pPr>
            <w:r>
              <w:rPr>
                <w:rFonts w:hAnsi="宋体" w:hint="eastAsia"/>
                <w:kern w:val="21"/>
                <w:szCs w:val="21"/>
              </w:rPr>
              <w:t>1</w:t>
            </w:r>
          </w:p>
        </w:tc>
        <w:tc>
          <w:tcPr>
            <w:tcW w:w="103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4502" w:rsidRDefault="00FD45A3">
            <w:pPr>
              <w:jc w:val="center"/>
              <w:rPr>
                <w:rFonts w:hAnsi="宋体"/>
                <w:kern w:val="21"/>
                <w:szCs w:val="21"/>
              </w:rPr>
            </w:pPr>
            <w:r>
              <w:rPr>
                <w:rFonts w:hAnsi="宋体" w:hint="eastAsia"/>
                <w:kern w:val="21"/>
                <w:szCs w:val="21"/>
              </w:rPr>
              <w:t>2015</w:t>
            </w:r>
          </w:p>
        </w:tc>
      </w:tr>
      <w:tr w:rsidR="00EE4502">
        <w:trPr>
          <w:trHeight w:val="397"/>
        </w:trPr>
        <w:tc>
          <w:tcPr>
            <w:tcW w:w="360"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4502" w:rsidRDefault="00FD45A3">
            <w:pPr>
              <w:jc w:val="center"/>
              <w:rPr>
                <w:rFonts w:hAnsi="宋体"/>
                <w:kern w:val="21"/>
                <w:szCs w:val="21"/>
              </w:rPr>
            </w:pPr>
            <w:r>
              <w:rPr>
                <w:rFonts w:hAnsi="宋体" w:hint="eastAsia"/>
                <w:kern w:val="21"/>
                <w:szCs w:val="21"/>
              </w:rPr>
              <w:t>4</w:t>
            </w:r>
          </w:p>
        </w:tc>
        <w:tc>
          <w:tcPr>
            <w:tcW w:w="2889"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4502" w:rsidRDefault="00FD45A3">
            <w:pPr>
              <w:jc w:val="left"/>
              <w:rPr>
                <w:rFonts w:hAnsi="宋体"/>
                <w:kern w:val="21"/>
                <w:szCs w:val="21"/>
              </w:rPr>
            </w:pPr>
            <w:r>
              <w:rPr>
                <w:rFonts w:hAnsi="宋体" w:hint="eastAsia"/>
                <w:kern w:val="21"/>
                <w:szCs w:val="21"/>
              </w:rPr>
              <w:t>4#</w:t>
            </w:r>
            <w:r>
              <w:rPr>
                <w:rFonts w:hAnsi="宋体" w:hint="eastAsia"/>
                <w:kern w:val="21"/>
                <w:szCs w:val="21"/>
              </w:rPr>
              <w:t>注水泵</w:t>
            </w:r>
            <w:r>
              <w:rPr>
                <w:rFonts w:hAnsi="宋体" w:hint="eastAsia"/>
                <w:kern w:val="21"/>
                <w:szCs w:val="21"/>
              </w:rPr>
              <w:t>Q=60m</w:t>
            </w:r>
            <w:r>
              <w:rPr>
                <w:rFonts w:hAnsi="宋体" w:hint="eastAsia"/>
                <w:kern w:val="21"/>
                <w:szCs w:val="21"/>
                <w:vertAlign w:val="superscript"/>
              </w:rPr>
              <w:t>3</w:t>
            </w:r>
            <w:r>
              <w:rPr>
                <w:rFonts w:hAnsi="宋体" w:hint="eastAsia"/>
                <w:kern w:val="21"/>
                <w:szCs w:val="21"/>
              </w:rPr>
              <w:t>/h</w:t>
            </w:r>
            <w:r>
              <w:rPr>
                <w:rFonts w:hAnsi="宋体" w:hint="eastAsia"/>
                <w:kern w:val="21"/>
                <w:szCs w:val="21"/>
              </w:rPr>
              <w:t>、</w:t>
            </w:r>
            <w:r>
              <w:rPr>
                <w:rFonts w:hAnsi="宋体" w:hint="eastAsia"/>
                <w:kern w:val="21"/>
                <w:szCs w:val="21"/>
              </w:rPr>
              <w:t>P=16MPa</w:t>
            </w:r>
            <w:r>
              <w:rPr>
                <w:rFonts w:hAnsi="宋体" w:hint="eastAsia"/>
                <w:kern w:val="21"/>
                <w:szCs w:val="21"/>
              </w:rPr>
              <w:t>、</w:t>
            </w:r>
            <w:r>
              <w:rPr>
                <w:rFonts w:hAnsi="宋体" w:hint="eastAsia"/>
                <w:kern w:val="21"/>
                <w:szCs w:val="21"/>
              </w:rPr>
              <w:t>N=355kW</w:t>
            </w:r>
          </w:p>
        </w:tc>
        <w:tc>
          <w:tcPr>
            <w:tcW w:w="361"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4502" w:rsidRDefault="00FD45A3">
            <w:pPr>
              <w:jc w:val="center"/>
              <w:rPr>
                <w:rFonts w:hAnsi="宋体"/>
                <w:kern w:val="21"/>
                <w:szCs w:val="21"/>
              </w:rPr>
            </w:pPr>
            <w:r>
              <w:rPr>
                <w:rFonts w:hAnsi="宋体" w:hint="eastAsia"/>
                <w:kern w:val="21"/>
                <w:szCs w:val="21"/>
              </w:rPr>
              <w:t>座</w:t>
            </w:r>
          </w:p>
        </w:tc>
        <w:tc>
          <w:tcPr>
            <w:tcW w:w="352" w:type="pct"/>
            <w:tcBorders>
              <w:top w:val="single" w:sz="4" w:space="0" w:color="auto"/>
              <w:left w:val="single" w:sz="4" w:space="0" w:color="auto"/>
              <w:bottom w:val="single" w:sz="4" w:space="0" w:color="auto"/>
              <w:right w:val="single" w:sz="4" w:space="0" w:color="auto"/>
            </w:tcBorders>
            <w:vAlign w:val="center"/>
          </w:tcPr>
          <w:p w:rsidR="00EE4502" w:rsidRDefault="00FD45A3">
            <w:pPr>
              <w:jc w:val="center"/>
              <w:rPr>
                <w:rFonts w:hAnsi="宋体"/>
                <w:kern w:val="21"/>
                <w:szCs w:val="21"/>
              </w:rPr>
            </w:pPr>
            <w:r>
              <w:rPr>
                <w:rFonts w:hAnsi="宋体" w:hint="eastAsia"/>
                <w:kern w:val="21"/>
                <w:szCs w:val="21"/>
              </w:rPr>
              <w:t>1</w:t>
            </w:r>
          </w:p>
        </w:tc>
        <w:tc>
          <w:tcPr>
            <w:tcW w:w="103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4502" w:rsidRDefault="00FD45A3">
            <w:pPr>
              <w:jc w:val="center"/>
              <w:rPr>
                <w:rFonts w:hAnsi="宋体"/>
                <w:kern w:val="21"/>
                <w:szCs w:val="21"/>
              </w:rPr>
            </w:pPr>
            <w:r>
              <w:rPr>
                <w:rFonts w:hAnsi="宋体" w:hint="eastAsia"/>
                <w:kern w:val="21"/>
                <w:szCs w:val="21"/>
              </w:rPr>
              <w:t>2015</w:t>
            </w:r>
          </w:p>
        </w:tc>
      </w:tr>
      <w:tr w:rsidR="00EE4502">
        <w:trPr>
          <w:trHeight w:val="397"/>
        </w:trPr>
        <w:tc>
          <w:tcPr>
            <w:tcW w:w="360"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4502" w:rsidRDefault="00FD45A3">
            <w:pPr>
              <w:jc w:val="center"/>
              <w:rPr>
                <w:rFonts w:hAnsi="宋体"/>
                <w:kern w:val="21"/>
                <w:szCs w:val="21"/>
              </w:rPr>
            </w:pPr>
            <w:r>
              <w:rPr>
                <w:rFonts w:hAnsi="宋体" w:hint="eastAsia"/>
                <w:kern w:val="21"/>
                <w:szCs w:val="21"/>
              </w:rPr>
              <w:t>5</w:t>
            </w:r>
          </w:p>
        </w:tc>
        <w:tc>
          <w:tcPr>
            <w:tcW w:w="2889"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4502" w:rsidRDefault="00FD45A3">
            <w:pPr>
              <w:jc w:val="left"/>
              <w:rPr>
                <w:rFonts w:hAnsi="宋体"/>
                <w:kern w:val="21"/>
                <w:szCs w:val="21"/>
              </w:rPr>
            </w:pPr>
            <w:r>
              <w:rPr>
                <w:rFonts w:hAnsi="宋体" w:hint="eastAsia"/>
                <w:kern w:val="21"/>
                <w:szCs w:val="21"/>
              </w:rPr>
              <w:t>5#</w:t>
            </w:r>
            <w:r>
              <w:rPr>
                <w:rFonts w:hAnsi="宋体" w:hint="eastAsia"/>
                <w:kern w:val="21"/>
                <w:szCs w:val="21"/>
              </w:rPr>
              <w:t>注水泵</w:t>
            </w:r>
            <w:r>
              <w:rPr>
                <w:rFonts w:hAnsi="宋体" w:hint="eastAsia"/>
                <w:kern w:val="21"/>
                <w:szCs w:val="21"/>
              </w:rPr>
              <w:t>Q=60m</w:t>
            </w:r>
            <w:r>
              <w:rPr>
                <w:rFonts w:hAnsi="宋体" w:hint="eastAsia"/>
                <w:kern w:val="21"/>
                <w:szCs w:val="21"/>
                <w:vertAlign w:val="superscript"/>
              </w:rPr>
              <w:t>3</w:t>
            </w:r>
            <w:r>
              <w:rPr>
                <w:rFonts w:hAnsi="宋体" w:hint="eastAsia"/>
                <w:kern w:val="21"/>
                <w:szCs w:val="21"/>
              </w:rPr>
              <w:t>/h</w:t>
            </w:r>
            <w:r>
              <w:rPr>
                <w:rFonts w:hAnsi="宋体" w:hint="eastAsia"/>
                <w:kern w:val="21"/>
                <w:szCs w:val="21"/>
              </w:rPr>
              <w:t>、</w:t>
            </w:r>
            <w:r>
              <w:rPr>
                <w:rFonts w:hAnsi="宋体" w:hint="eastAsia"/>
                <w:kern w:val="21"/>
                <w:szCs w:val="21"/>
              </w:rPr>
              <w:t>P=16MPa</w:t>
            </w:r>
            <w:r>
              <w:rPr>
                <w:rFonts w:hAnsi="宋体" w:hint="eastAsia"/>
                <w:kern w:val="21"/>
                <w:szCs w:val="21"/>
              </w:rPr>
              <w:t>、</w:t>
            </w:r>
            <w:r>
              <w:rPr>
                <w:rFonts w:hAnsi="宋体" w:hint="eastAsia"/>
                <w:kern w:val="21"/>
                <w:szCs w:val="21"/>
              </w:rPr>
              <w:t>N=355kW</w:t>
            </w:r>
          </w:p>
        </w:tc>
        <w:tc>
          <w:tcPr>
            <w:tcW w:w="361"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4502" w:rsidRDefault="00FD45A3">
            <w:pPr>
              <w:jc w:val="center"/>
              <w:rPr>
                <w:rFonts w:hAnsi="宋体"/>
                <w:kern w:val="21"/>
                <w:szCs w:val="21"/>
              </w:rPr>
            </w:pPr>
            <w:r>
              <w:rPr>
                <w:rFonts w:hAnsi="宋体" w:hint="eastAsia"/>
                <w:kern w:val="21"/>
                <w:szCs w:val="21"/>
              </w:rPr>
              <w:t>座</w:t>
            </w:r>
          </w:p>
        </w:tc>
        <w:tc>
          <w:tcPr>
            <w:tcW w:w="352" w:type="pct"/>
            <w:tcBorders>
              <w:top w:val="single" w:sz="4" w:space="0" w:color="auto"/>
              <w:left w:val="single" w:sz="4" w:space="0" w:color="auto"/>
              <w:bottom w:val="single" w:sz="4" w:space="0" w:color="auto"/>
              <w:right w:val="single" w:sz="4" w:space="0" w:color="auto"/>
            </w:tcBorders>
            <w:vAlign w:val="center"/>
          </w:tcPr>
          <w:p w:rsidR="00EE4502" w:rsidRDefault="00FD45A3">
            <w:pPr>
              <w:jc w:val="center"/>
              <w:rPr>
                <w:rFonts w:hAnsi="宋体"/>
                <w:kern w:val="21"/>
                <w:szCs w:val="21"/>
              </w:rPr>
            </w:pPr>
            <w:r>
              <w:rPr>
                <w:rFonts w:hAnsi="宋体" w:hint="eastAsia"/>
                <w:kern w:val="21"/>
                <w:szCs w:val="21"/>
              </w:rPr>
              <w:t>1</w:t>
            </w:r>
          </w:p>
        </w:tc>
        <w:tc>
          <w:tcPr>
            <w:tcW w:w="103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4502" w:rsidRDefault="00FD45A3">
            <w:pPr>
              <w:jc w:val="center"/>
              <w:rPr>
                <w:rFonts w:hAnsi="宋体"/>
                <w:kern w:val="21"/>
                <w:szCs w:val="21"/>
              </w:rPr>
            </w:pPr>
            <w:r>
              <w:rPr>
                <w:rFonts w:hAnsi="宋体" w:hint="eastAsia"/>
                <w:kern w:val="21"/>
                <w:szCs w:val="21"/>
              </w:rPr>
              <w:t>2017</w:t>
            </w:r>
          </w:p>
        </w:tc>
      </w:tr>
      <w:tr w:rsidR="00EE4502">
        <w:trPr>
          <w:trHeight w:val="397"/>
        </w:trPr>
        <w:tc>
          <w:tcPr>
            <w:tcW w:w="360"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4502" w:rsidRDefault="00FD45A3">
            <w:pPr>
              <w:jc w:val="center"/>
              <w:rPr>
                <w:rFonts w:hAnsi="宋体"/>
                <w:kern w:val="21"/>
                <w:szCs w:val="21"/>
              </w:rPr>
            </w:pPr>
            <w:r>
              <w:rPr>
                <w:rFonts w:hAnsi="宋体" w:hint="eastAsia"/>
                <w:kern w:val="21"/>
                <w:szCs w:val="21"/>
              </w:rPr>
              <w:t>6</w:t>
            </w:r>
          </w:p>
        </w:tc>
        <w:tc>
          <w:tcPr>
            <w:tcW w:w="2889"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4502" w:rsidRDefault="00FD45A3">
            <w:pPr>
              <w:jc w:val="left"/>
              <w:rPr>
                <w:rFonts w:hAnsi="宋体"/>
                <w:kern w:val="21"/>
                <w:szCs w:val="21"/>
              </w:rPr>
            </w:pPr>
            <w:r>
              <w:rPr>
                <w:rFonts w:hAnsi="宋体" w:hint="eastAsia"/>
                <w:kern w:val="21"/>
                <w:szCs w:val="21"/>
              </w:rPr>
              <w:t>6#</w:t>
            </w:r>
            <w:r>
              <w:rPr>
                <w:rFonts w:hAnsi="宋体" w:hint="eastAsia"/>
                <w:kern w:val="21"/>
                <w:szCs w:val="21"/>
              </w:rPr>
              <w:t>注水泵</w:t>
            </w:r>
            <w:r>
              <w:rPr>
                <w:rFonts w:hAnsi="宋体" w:hint="eastAsia"/>
                <w:kern w:val="21"/>
                <w:szCs w:val="21"/>
              </w:rPr>
              <w:t>Q=60m</w:t>
            </w:r>
            <w:r>
              <w:rPr>
                <w:rFonts w:hAnsi="宋体" w:hint="eastAsia"/>
                <w:kern w:val="21"/>
                <w:szCs w:val="21"/>
                <w:vertAlign w:val="superscript"/>
              </w:rPr>
              <w:t>3</w:t>
            </w:r>
            <w:r>
              <w:rPr>
                <w:rFonts w:hAnsi="宋体" w:hint="eastAsia"/>
                <w:kern w:val="21"/>
                <w:szCs w:val="21"/>
              </w:rPr>
              <w:t>/h</w:t>
            </w:r>
            <w:r>
              <w:rPr>
                <w:rFonts w:hAnsi="宋体" w:hint="eastAsia"/>
                <w:kern w:val="21"/>
                <w:szCs w:val="21"/>
              </w:rPr>
              <w:t>、</w:t>
            </w:r>
            <w:r>
              <w:rPr>
                <w:rFonts w:hAnsi="宋体" w:hint="eastAsia"/>
                <w:kern w:val="21"/>
                <w:szCs w:val="21"/>
              </w:rPr>
              <w:t>P=16MPa</w:t>
            </w:r>
            <w:r>
              <w:rPr>
                <w:rFonts w:hAnsi="宋体" w:hint="eastAsia"/>
                <w:kern w:val="21"/>
                <w:szCs w:val="21"/>
              </w:rPr>
              <w:t>、</w:t>
            </w:r>
            <w:r>
              <w:rPr>
                <w:rFonts w:hAnsi="宋体" w:hint="eastAsia"/>
                <w:kern w:val="21"/>
                <w:szCs w:val="21"/>
              </w:rPr>
              <w:t>N=355kW</w:t>
            </w:r>
          </w:p>
        </w:tc>
        <w:tc>
          <w:tcPr>
            <w:tcW w:w="361"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4502" w:rsidRDefault="00FD45A3">
            <w:pPr>
              <w:jc w:val="center"/>
              <w:rPr>
                <w:rFonts w:hAnsi="宋体"/>
                <w:kern w:val="21"/>
                <w:szCs w:val="21"/>
              </w:rPr>
            </w:pPr>
            <w:r>
              <w:rPr>
                <w:rFonts w:hAnsi="宋体" w:hint="eastAsia"/>
                <w:kern w:val="21"/>
                <w:szCs w:val="21"/>
              </w:rPr>
              <w:t>座</w:t>
            </w:r>
          </w:p>
        </w:tc>
        <w:tc>
          <w:tcPr>
            <w:tcW w:w="352" w:type="pct"/>
            <w:tcBorders>
              <w:top w:val="single" w:sz="4" w:space="0" w:color="auto"/>
              <w:left w:val="single" w:sz="4" w:space="0" w:color="auto"/>
              <w:bottom w:val="single" w:sz="4" w:space="0" w:color="auto"/>
              <w:right w:val="single" w:sz="4" w:space="0" w:color="auto"/>
            </w:tcBorders>
            <w:vAlign w:val="center"/>
          </w:tcPr>
          <w:p w:rsidR="00EE4502" w:rsidRDefault="00FD45A3">
            <w:pPr>
              <w:jc w:val="center"/>
              <w:rPr>
                <w:rFonts w:hAnsi="宋体"/>
                <w:kern w:val="21"/>
                <w:szCs w:val="21"/>
              </w:rPr>
            </w:pPr>
            <w:r>
              <w:rPr>
                <w:rFonts w:hAnsi="宋体" w:hint="eastAsia"/>
                <w:kern w:val="21"/>
                <w:szCs w:val="21"/>
              </w:rPr>
              <w:t>1</w:t>
            </w:r>
          </w:p>
        </w:tc>
        <w:tc>
          <w:tcPr>
            <w:tcW w:w="103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4502" w:rsidRDefault="00FD45A3">
            <w:pPr>
              <w:jc w:val="center"/>
              <w:rPr>
                <w:rFonts w:hAnsi="宋体"/>
                <w:kern w:val="21"/>
                <w:szCs w:val="21"/>
              </w:rPr>
            </w:pPr>
            <w:r>
              <w:rPr>
                <w:rFonts w:hAnsi="宋体" w:hint="eastAsia"/>
                <w:kern w:val="21"/>
                <w:szCs w:val="21"/>
              </w:rPr>
              <w:t>2019</w:t>
            </w:r>
          </w:p>
        </w:tc>
      </w:tr>
      <w:tr w:rsidR="00EE4502">
        <w:trPr>
          <w:trHeight w:val="397"/>
        </w:trPr>
        <w:tc>
          <w:tcPr>
            <w:tcW w:w="360"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4502" w:rsidRDefault="00FD45A3">
            <w:pPr>
              <w:jc w:val="center"/>
              <w:rPr>
                <w:rFonts w:hAnsi="宋体"/>
                <w:kern w:val="21"/>
                <w:szCs w:val="21"/>
              </w:rPr>
            </w:pPr>
            <w:r>
              <w:rPr>
                <w:rFonts w:hAnsi="宋体" w:hint="eastAsia"/>
                <w:kern w:val="21"/>
                <w:szCs w:val="21"/>
              </w:rPr>
              <w:t>7</w:t>
            </w:r>
          </w:p>
        </w:tc>
        <w:tc>
          <w:tcPr>
            <w:tcW w:w="2889"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4502" w:rsidRDefault="00FD45A3">
            <w:pPr>
              <w:jc w:val="left"/>
              <w:rPr>
                <w:rFonts w:hAnsi="宋体"/>
                <w:kern w:val="21"/>
                <w:szCs w:val="21"/>
              </w:rPr>
            </w:pPr>
            <w:r>
              <w:rPr>
                <w:rFonts w:hAnsi="宋体" w:hint="eastAsia"/>
                <w:kern w:val="21"/>
                <w:szCs w:val="21"/>
              </w:rPr>
              <w:t>6</w:t>
            </w:r>
            <w:r>
              <w:rPr>
                <w:rFonts w:hAnsi="宋体" w:hint="eastAsia"/>
                <w:kern w:val="21"/>
                <w:szCs w:val="21"/>
              </w:rPr>
              <w:t>井式配水阀组</w:t>
            </w:r>
          </w:p>
        </w:tc>
        <w:tc>
          <w:tcPr>
            <w:tcW w:w="361"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4502" w:rsidRDefault="00FD45A3">
            <w:pPr>
              <w:jc w:val="center"/>
              <w:rPr>
                <w:rFonts w:hAnsi="宋体"/>
                <w:kern w:val="21"/>
                <w:szCs w:val="21"/>
              </w:rPr>
            </w:pPr>
            <w:r>
              <w:rPr>
                <w:rFonts w:hAnsi="宋体" w:hint="eastAsia"/>
                <w:kern w:val="21"/>
                <w:szCs w:val="21"/>
              </w:rPr>
              <w:t>座</w:t>
            </w:r>
          </w:p>
        </w:tc>
        <w:tc>
          <w:tcPr>
            <w:tcW w:w="352" w:type="pct"/>
            <w:tcBorders>
              <w:top w:val="single" w:sz="4" w:space="0" w:color="auto"/>
              <w:left w:val="single" w:sz="4" w:space="0" w:color="auto"/>
              <w:bottom w:val="single" w:sz="4" w:space="0" w:color="auto"/>
              <w:right w:val="single" w:sz="4" w:space="0" w:color="auto"/>
            </w:tcBorders>
            <w:vAlign w:val="center"/>
          </w:tcPr>
          <w:p w:rsidR="00EE4502" w:rsidRDefault="00FD45A3">
            <w:pPr>
              <w:jc w:val="center"/>
              <w:rPr>
                <w:rFonts w:hAnsi="宋体"/>
                <w:kern w:val="21"/>
                <w:szCs w:val="21"/>
              </w:rPr>
            </w:pPr>
            <w:r>
              <w:rPr>
                <w:rFonts w:hAnsi="宋体" w:hint="eastAsia"/>
                <w:kern w:val="21"/>
                <w:szCs w:val="21"/>
              </w:rPr>
              <w:t>1</w:t>
            </w:r>
          </w:p>
        </w:tc>
        <w:tc>
          <w:tcPr>
            <w:tcW w:w="103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4502" w:rsidRDefault="00FD45A3">
            <w:pPr>
              <w:jc w:val="center"/>
              <w:rPr>
                <w:rFonts w:hAnsi="宋体"/>
                <w:kern w:val="21"/>
                <w:szCs w:val="21"/>
              </w:rPr>
            </w:pPr>
            <w:r>
              <w:rPr>
                <w:rFonts w:hAnsi="宋体" w:hint="eastAsia"/>
                <w:kern w:val="21"/>
                <w:szCs w:val="21"/>
              </w:rPr>
              <w:t>2024</w:t>
            </w:r>
          </w:p>
        </w:tc>
      </w:tr>
    </w:tbl>
    <w:p w:rsidR="00EE4502" w:rsidRDefault="00FD45A3">
      <w:pPr>
        <w:pStyle w:val="41"/>
        <w:numPr>
          <w:ilvl w:val="3"/>
          <w:numId w:val="30"/>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hint="eastAsia"/>
          <w:bCs w:val="0"/>
          <w:sz w:val="24"/>
          <w:szCs w:val="24"/>
        </w:rPr>
        <w:t>配套工程现状</w:t>
      </w:r>
    </w:p>
    <w:p w:rsidR="00EE4502" w:rsidRDefault="00FD45A3">
      <w:pPr>
        <w:spacing w:line="360" w:lineRule="auto"/>
        <w:ind w:firstLineChars="200" w:firstLine="480"/>
        <w:rPr>
          <w:sz w:val="24"/>
        </w:rPr>
      </w:pPr>
      <w:r>
        <w:rPr>
          <w:rFonts w:hint="eastAsia"/>
          <w:sz w:val="24"/>
        </w:rPr>
        <w:t>（</w:t>
      </w:r>
      <w:r>
        <w:rPr>
          <w:rFonts w:hint="eastAsia"/>
          <w:sz w:val="24"/>
        </w:rPr>
        <w:t>1</w:t>
      </w:r>
      <w:r>
        <w:rPr>
          <w:rFonts w:hint="eastAsia"/>
          <w:sz w:val="24"/>
        </w:rPr>
        <w:t>）电力系统现状</w:t>
      </w:r>
    </w:p>
    <w:p w:rsidR="00EE4502" w:rsidRDefault="00FD45A3">
      <w:pPr>
        <w:spacing w:line="360" w:lineRule="auto"/>
        <w:ind w:firstLineChars="200" w:firstLine="480"/>
        <w:rPr>
          <w:sz w:val="24"/>
        </w:rPr>
      </w:pPr>
      <w:r>
        <w:rPr>
          <w:rFonts w:hint="eastAsia"/>
          <w:sz w:val="24"/>
        </w:rPr>
        <w:t>排</w:t>
      </w:r>
      <w:r>
        <w:rPr>
          <w:rFonts w:hint="eastAsia"/>
          <w:sz w:val="24"/>
        </w:rPr>
        <w:t>61</w:t>
      </w:r>
      <w:r>
        <w:rPr>
          <w:rFonts w:hint="eastAsia"/>
          <w:sz w:val="24"/>
        </w:rPr>
        <w:t>块周边供电系统完善，已建</w:t>
      </w:r>
      <w:r>
        <w:rPr>
          <w:rFonts w:hint="eastAsia"/>
          <w:sz w:val="24"/>
        </w:rPr>
        <w:t>10kV</w:t>
      </w:r>
      <w:r>
        <w:rPr>
          <w:rFonts w:hint="eastAsia"/>
          <w:sz w:val="24"/>
        </w:rPr>
        <w:t>线路为排南线，于区块中央穿过。已建井场线路均引自</w:t>
      </w:r>
      <w:r>
        <w:rPr>
          <w:rFonts w:hint="eastAsia"/>
          <w:sz w:val="24"/>
        </w:rPr>
        <w:t>10kV</w:t>
      </w:r>
      <w:r>
        <w:rPr>
          <w:rFonts w:hint="eastAsia"/>
          <w:sz w:val="24"/>
        </w:rPr>
        <w:t>排南线，导线型号</w:t>
      </w:r>
      <w:r>
        <w:rPr>
          <w:rFonts w:hint="eastAsia"/>
          <w:sz w:val="24"/>
        </w:rPr>
        <w:t>JL/G1A-120/20</w:t>
      </w:r>
      <w:r>
        <w:rPr>
          <w:rFonts w:hint="eastAsia"/>
          <w:sz w:val="24"/>
        </w:rPr>
        <w:t>，负载率</w:t>
      </w:r>
      <w:r>
        <w:rPr>
          <w:rFonts w:hint="eastAsia"/>
          <w:sz w:val="24"/>
        </w:rPr>
        <w:t>60%</w:t>
      </w:r>
      <w:r>
        <w:rPr>
          <w:rFonts w:hint="eastAsia"/>
          <w:sz w:val="24"/>
        </w:rPr>
        <w:t>。</w:t>
      </w:r>
    </w:p>
    <w:p w:rsidR="00EE4502" w:rsidRDefault="00FD45A3">
      <w:pPr>
        <w:spacing w:line="360" w:lineRule="auto"/>
        <w:ind w:firstLineChars="200" w:firstLine="480"/>
        <w:rPr>
          <w:sz w:val="24"/>
        </w:rPr>
      </w:pPr>
      <w:r>
        <w:rPr>
          <w:rFonts w:hint="eastAsia"/>
          <w:sz w:val="24"/>
        </w:rPr>
        <w:t>区块已建</w:t>
      </w:r>
      <w:r>
        <w:rPr>
          <w:rFonts w:hint="eastAsia"/>
          <w:sz w:val="24"/>
        </w:rPr>
        <w:t>10kV</w:t>
      </w:r>
      <w:r>
        <w:rPr>
          <w:rFonts w:hint="eastAsia"/>
          <w:sz w:val="24"/>
        </w:rPr>
        <w:t>排南线可以满足新井供电需求，采用就近</w:t>
      </w:r>
      <w:r>
        <w:rPr>
          <w:rFonts w:hint="eastAsia"/>
          <w:sz w:val="24"/>
        </w:rPr>
        <w:t>T</w:t>
      </w:r>
      <w:r>
        <w:rPr>
          <w:rFonts w:hint="eastAsia"/>
          <w:sz w:val="24"/>
        </w:rPr>
        <w:t>接方式完善新井</w:t>
      </w:r>
      <w:r>
        <w:rPr>
          <w:rFonts w:hint="eastAsia"/>
          <w:sz w:val="24"/>
        </w:rPr>
        <w:lastRenderedPageBreak/>
        <w:t>电网。供配电现状见图</w:t>
      </w:r>
      <w:r>
        <w:rPr>
          <w:rFonts w:hint="eastAsia"/>
          <w:sz w:val="24"/>
        </w:rPr>
        <w:t>3-2-9</w:t>
      </w:r>
      <w:r>
        <w:rPr>
          <w:rFonts w:hint="eastAsia"/>
          <w:sz w:val="24"/>
        </w:rPr>
        <w:t>。</w:t>
      </w:r>
    </w:p>
    <w:p w:rsidR="00EE4502" w:rsidRDefault="00FD45A3">
      <w:pPr>
        <w:spacing w:line="360" w:lineRule="auto"/>
        <w:ind w:firstLineChars="200" w:firstLine="480"/>
        <w:rPr>
          <w:sz w:val="24"/>
        </w:rPr>
      </w:pPr>
      <w:r>
        <w:rPr>
          <w:rFonts w:hint="eastAsia"/>
          <w:sz w:val="24"/>
        </w:rPr>
        <w:t>（</w:t>
      </w:r>
      <w:r>
        <w:rPr>
          <w:rFonts w:hint="eastAsia"/>
          <w:sz w:val="24"/>
        </w:rPr>
        <w:t>2</w:t>
      </w:r>
      <w:r>
        <w:rPr>
          <w:rFonts w:hint="eastAsia"/>
          <w:sz w:val="24"/>
        </w:rPr>
        <w:t>）自控、通信系统现状</w:t>
      </w:r>
    </w:p>
    <w:p w:rsidR="00EE4502" w:rsidRDefault="00FD45A3">
      <w:pPr>
        <w:spacing w:line="360" w:lineRule="auto"/>
        <w:ind w:firstLineChars="200" w:firstLine="480"/>
        <w:rPr>
          <w:sz w:val="24"/>
        </w:rPr>
      </w:pPr>
      <w:r>
        <w:rPr>
          <w:rFonts w:hint="eastAsia"/>
          <w:sz w:val="24"/>
        </w:rPr>
        <w:t>本工程附近区块油井信息化建设完善，油井信息化数据通过光缆传输至采油管理三区生产指挥中心。</w:t>
      </w:r>
    </w:p>
    <w:p w:rsidR="00EE4502" w:rsidRDefault="00FD45A3">
      <w:pPr>
        <w:pStyle w:val="41"/>
        <w:numPr>
          <w:ilvl w:val="3"/>
          <w:numId w:val="30"/>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hint="eastAsia"/>
          <w:bCs w:val="0"/>
          <w:sz w:val="24"/>
          <w:szCs w:val="24"/>
        </w:rPr>
        <w:t>公辅工程概况</w:t>
      </w:r>
    </w:p>
    <w:p w:rsidR="00EE4502" w:rsidRDefault="00FD45A3">
      <w:pPr>
        <w:spacing w:line="360" w:lineRule="auto"/>
        <w:ind w:firstLineChars="200" w:firstLine="480"/>
        <w:rPr>
          <w:sz w:val="24"/>
        </w:rPr>
      </w:pPr>
      <w:r>
        <w:rPr>
          <w:rFonts w:hint="eastAsia"/>
          <w:sz w:val="24"/>
        </w:rPr>
        <w:t>（</w:t>
      </w:r>
      <w:r>
        <w:rPr>
          <w:rFonts w:hint="eastAsia"/>
          <w:sz w:val="24"/>
        </w:rPr>
        <w:t>1</w:t>
      </w:r>
      <w:r>
        <w:rPr>
          <w:rFonts w:hint="eastAsia"/>
          <w:sz w:val="24"/>
        </w:rPr>
        <w:t>）给排水</w:t>
      </w:r>
    </w:p>
    <w:p w:rsidR="00EE4502" w:rsidRDefault="00FD45A3">
      <w:pPr>
        <w:spacing w:line="360" w:lineRule="auto"/>
        <w:ind w:firstLineChars="200" w:firstLine="480"/>
        <w:rPr>
          <w:sz w:val="24"/>
        </w:rPr>
      </w:pPr>
      <w:r>
        <w:rPr>
          <w:rFonts w:hint="eastAsia"/>
          <w:sz w:val="24"/>
        </w:rPr>
        <w:t>春风油田生活用水供水由第七师供水管网提供，生产用水由区块内清水井提供。</w:t>
      </w:r>
    </w:p>
    <w:p w:rsidR="00EE4502" w:rsidRDefault="00FD45A3">
      <w:pPr>
        <w:spacing w:line="360" w:lineRule="auto"/>
        <w:ind w:firstLineChars="200" w:firstLine="480"/>
        <w:rPr>
          <w:sz w:val="24"/>
        </w:rPr>
      </w:pPr>
      <w:r>
        <w:rPr>
          <w:rFonts w:hint="eastAsia"/>
          <w:sz w:val="24"/>
        </w:rPr>
        <w:t>生活污水经新春基地内排水系统排到生活污水处理装置处理达标后用于绿化。油田采出水进入联合站的油田采出水处理系统，处理达标后经资源化处理回用于注汽站锅炉用水，剩余部分回注油田。</w:t>
      </w:r>
    </w:p>
    <w:p w:rsidR="00EE4502" w:rsidRDefault="00FD45A3">
      <w:pPr>
        <w:spacing w:line="360" w:lineRule="auto"/>
        <w:ind w:firstLineChars="200" w:firstLine="480"/>
        <w:rPr>
          <w:sz w:val="24"/>
        </w:rPr>
      </w:pPr>
      <w:r>
        <w:rPr>
          <w:rFonts w:hint="eastAsia"/>
          <w:sz w:val="24"/>
        </w:rPr>
        <w:t>（</w:t>
      </w:r>
      <w:r>
        <w:rPr>
          <w:rFonts w:hint="eastAsia"/>
          <w:sz w:val="24"/>
        </w:rPr>
        <w:t>2</w:t>
      </w:r>
      <w:r>
        <w:rPr>
          <w:rFonts w:hint="eastAsia"/>
          <w:sz w:val="24"/>
        </w:rPr>
        <w:t>）供热</w:t>
      </w:r>
    </w:p>
    <w:p w:rsidR="00EE4502" w:rsidRDefault="00FD45A3">
      <w:pPr>
        <w:spacing w:line="360" w:lineRule="auto"/>
        <w:ind w:firstLineChars="200" w:firstLine="480"/>
        <w:rPr>
          <w:sz w:val="24"/>
        </w:rPr>
      </w:pPr>
      <w:r>
        <w:rPr>
          <w:rFonts w:hint="eastAsia"/>
          <w:sz w:val="24"/>
        </w:rPr>
        <w:t>春风油田大部分井场为注汽吞吐生产，蒸汽由油田自建注汽站提供，注汽站锅炉燃料为原煤，同时为生活区冬季供暖。</w:t>
      </w:r>
    </w:p>
    <w:p w:rsidR="00EE4502" w:rsidRDefault="00FD45A3">
      <w:pPr>
        <w:spacing w:line="360" w:lineRule="auto"/>
        <w:ind w:firstLineChars="200" w:firstLine="480"/>
        <w:rPr>
          <w:sz w:val="24"/>
        </w:rPr>
      </w:pPr>
      <w:r>
        <w:rPr>
          <w:rFonts w:hint="eastAsia"/>
          <w:sz w:val="24"/>
        </w:rPr>
        <w:t>（</w:t>
      </w:r>
      <w:r>
        <w:rPr>
          <w:rFonts w:hint="eastAsia"/>
          <w:sz w:val="24"/>
        </w:rPr>
        <w:t>3</w:t>
      </w:r>
      <w:r>
        <w:rPr>
          <w:rFonts w:hint="eastAsia"/>
          <w:sz w:val="24"/>
        </w:rPr>
        <w:t>）供电</w:t>
      </w:r>
    </w:p>
    <w:p w:rsidR="00EE4502" w:rsidRDefault="00FD45A3">
      <w:pPr>
        <w:spacing w:line="360" w:lineRule="auto"/>
        <w:ind w:firstLineChars="200" w:firstLine="480"/>
        <w:rPr>
          <w:sz w:val="24"/>
        </w:rPr>
      </w:pPr>
      <w:r>
        <w:rPr>
          <w:rFonts w:hint="eastAsia"/>
          <w:sz w:val="24"/>
        </w:rPr>
        <w:t>春风油田共建有变电站</w:t>
      </w:r>
      <w:r>
        <w:rPr>
          <w:rFonts w:hint="eastAsia"/>
          <w:sz w:val="24"/>
        </w:rPr>
        <w:t>2</w:t>
      </w:r>
      <w:r>
        <w:rPr>
          <w:rFonts w:hint="eastAsia"/>
          <w:sz w:val="24"/>
        </w:rPr>
        <w:t>座，分别为</w:t>
      </w:r>
      <w:r>
        <w:rPr>
          <w:rFonts w:hint="eastAsia"/>
          <w:sz w:val="24"/>
        </w:rPr>
        <w:t>110kV</w:t>
      </w:r>
      <w:r>
        <w:rPr>
          <w:rFonts w:hint="eastAsia"/>
          <w:sz w:val="24"/>
        </w:rPr>
        <w:t>春风变电站及</w:t>
      </w:r>
      <w:r>
        <w:rPr>
          <w:rFonts w:hint="eastAsia"/>
          <w:sz w:val="24"/>
        </w:rPr>
        <w:t>35kV</w:t>
      </w:r>
      <w:r>
        <w:rPr>
          <w:rFonts w:hint="eastAsia"/>
          <w:sz w:val="24"/>
        </w:rPr>
        <w:t>春风二号变，用于区域各站场及井场供电，区域电力线路网覆盖较全面。</w:t>
      </w:r>
    </w:p>
    <w:p w:rsidR="00EE4502" w:rsidRDefault="00FD45A3">
      <w:pPr>
        <w:spacing w:line="360" w:lineRule="auto"/>
        <w:ind w:firstLineChars="200" w:firstLine="480"/>
        <w:rPr>
          <w:sz w:val="24"/>
        </w:rPr>
      </w:pPr>
      <w:r>
        <w:rPr>
          <w:rFonts w:hint="eastAsia"/>
          <w:sz w:val="24"/>
        </w:rPr>
        <w:t>（</w:t>
      </w:r>
      <w:r>
        <w:rPr>
          <w:rFonts w:hint="eastAsia"/>
          <w:sz w:val="24"/>
        </w:rPr>
        <w:t>4</w:t>
      </w:r>
      <w:r>
        <w:rPr>
          <w:rFonts w:hint="eastAsia"/>
          <w:sz w:val="24"/>
        </w:rPr>
        <w:t>）集输管线及运输情况</w:t>
      </w:r>
    </w:p>
    <w:p w:rsidR="00EE4502" w:rsidRDefault="00FD45A3">
      <w:pPr>
        <w:spacing w:line="360" w:lineRule="auto"/>
        <w:ind w:firstLineChars="200" w:firstLine="480"/>
        <w:rPr>
          <w:sz w:val="24"/>
        </w:rPr>
      </w:pPr>
      <w:r>
        <w:rPr>
          <w:rFonts w:hint="eastAsia"/>
          <w:sz w:val="24"/>
        </w:rPr>
        <w:t>集输系统工艺主要包括从井场到接转站、联合站、注水站、注</w:t>
      </w:r>
      <w:r>
        <w:rPr>
          <w:rFonts w:hint="eastAsia"/>
          <w:sz w:val="24"/>
        </w:rPr>
        <w:t>水井各阶段生产工艺。采出液由采油管理区经计量后进入接转站或联合站，联合站进行进一步原油处理和采出水处理，经处理合格后的原油外销。</w:t>
      </w:r>
    </w:p>
    <w:p w:rsidR="00EE4502" w:rsidRDefault="00FD45A3">
      <w:pPr>
        <w:spacing w:line="360" w:lineRule="auto"/>
        <w:ind w:firstLineChars="200" w:firstLine="480"/>
        <w:rPr>
          <w:sz w:val="24"/>
        </w:rPr>
      </w:pPr>
      <w:r>
        <w:rPr>
          <w:rFonts w:hint="eastAsia"/>
          <w:sz w:val="24"/>
        </w:rPr>
        <w:t>（</w:t>
      </w:r>
      <w:r>
        <w:rPr>
          <w:rFonts w:hint="eastAsia"/>
          <w:sz w:val="24"/>
        </w:rPr>
        <w:t>5</w:t>
      </w:r>
      <w:r>
        <w:rPr>
          <w:rFonts w:hint="eastAsia"/>
          <w:sz w:val="24"/>
        </w:rPr>
        <w:t>）内部道路建设情况</w:t>
      </w:r>
    </w:p>
    <w:p w:rsidR="00EE4502" w:rsidRDefault="00FD45A3">
      <w:pPr>
        <w:spacing w:line="360" w:lineRule="auto"/>
        <w:ind w:firstLineChars="200" w:firstLine="480"/>
        <w:rPr>
          <w:sz w:val="24"/>
        </w:rPr>
      </w:pPr>
      <w:r>
        <w:rPr>
          <w:rFonts w:hint="eastAsia"/>
          <w:sz w:val="24"/>
        </w:rPr>
        <w:t>春风油田所在区域路网发达，目前油田已建成内部柏油路</w:t>
      </w:r>
      <w:r>
        <w:rPr>
          <w:rFonts w:hint="eastAsia"/>
          <w:sz w:val="24"/>
        </w:rPr>
        <w:t>44.86km</w:t>
      </w:r>
      <w:r>
        <w:rPr>
          <w:rFonts w:hint="eastAsia"/>
          <w:sz w:val="24"/>
        </w:rPr>
        <w:t>（沥青混凝土路面），砂石路</w:t>
      </w:r>
      <w:r>
        <w:rPr>
          <w:rFonts w:hint="eastAsia"/>
          <w:sz w:val="24"/>
        </w:rPr>
        <w:t>145km</w:t>
      </w:r>
      <w:r>
        <w:rPr>
          <w:rFonts w:hint="eastAsia"/>
          <w:sz w:val="24"/>
        </w:rPr>
        <w:t>。</w:t>
      </w:r>
    </w:p>
    <w:p w:rsidR="00EE4502" w:rsidRDefault="00FD45A3">
      <w:pPr>
        <w:spacing w:line="360" w:lineRule="auto"/>
        <w:ind w:firstLineChars="200" w:firstLine="480"/>
        <w:rPr>
          <w:sz w:val="24"/>
        </w:rPr>
      </w:pPr>
      <w:r>
        <w:rPr>
          <w:rFonts w:hint="eastAsia"/>
          <w:sz w:val="24"/>
        </w:rPr>
        <w:t>（</w:t>
      </w:r>
      <w:r>
        <w:rPr>
          <w:rFonts w:hint="eastAsia"/>
          <w:sz w:val="24"/>
        </w:rPr>
        <w:t>6</w:t>
      </w:r>
      <w:r>
        <w:rPr>
          <w:rFonts w:hint="eastAsia"/>
          <w:sz w:val="24"/>
        </w:rPr>
        <w:t>）储罐、运输及装载系统建设情况</w:t>
      </w:r>
    </w:p>
    <w:p w:rsidR="00EE4502" w:rsidRDefault="00FD45A3">
      <w:pPr>
        <w:spacing w:line="360" w:lineRule="auto"/>
        <w:ind w:firstLineChars="200" w:firstLine="480"/>
        <w:rPr>
          <w:sz w:val="24"/>
        </w:rPr>
      </w:pPr>
      <w:r>
        <w:rPr>
          <w:rFonts w:hint="eastAsia"/>
          <w:sz w:val="24"/>
        </w:rPr>
        <w:t>春风油田</w:t>
      </w:r>
      <w:r>
        <w:rPr>
          <w:rFonts w:hint="eastAsia"/>
          <w:sz w:val="24"/>
        </w:rPr>
        <w:t>已建</w:t>
      </w:r>
      <w:r>
        <w:rPr>
          <w:rFonts w:hint="eastAsia"/>
          <w:sz w:val="24"/>
        </w:rPr>
        <w:t>储罐主要存在于增压站、联合站，联合站内经过分离后的原油可进入联合站内缓冲罐暂存，也可直接外销。目前春风油田采出液采用管输，联合站分离后的采出水通过输水管线送至注水井回注地层，原油通过单独管道外输</w:t>
      </w:r>
      <w:r>
        <w:rPr>
          <w:sz w:val="24"/>
        </w:rPr>
        <w:t>。</w:t>
      </w:r>
    </w:p>
    <w:p w:rsidR="00EE4502" w:rsidRDefault="00FD45A3">
      <w:pPr>
        <w:pStyle w:val="41"/>
        <w:numPr>
          <w:ilvl w:val="3"/>
          <w:numId w:val="30"/>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hint="eastAsia"/>
          <w:bCs w:val="0"/>
          <w:sz w:val="24"/>
          <w:szCs w:val="24"/>
        </w:rPr>
        <w:t>环保设施</w:t>
      </w:r>
      <w:r>
        <w:rPr>
          <w:rFonts w:ascii="Times New Roman" w:eastAsia="宋体" w:hAnsi="Times New Roman" w:hint="eastAsia"/>
          <w:bCs w:val="0"/>
          <w:sz w:val="24"/>
          <w:szCs w:val="24"/>
        </w:rPr>
        <w:t>建设情况及运行情况</w:t>
      </w:r>
    </w:p>
    <w:p w:rsidR="00EE4502" w:rsidRDefault="00FD45A3">
      <w:pPr>
        <w:spacing w:line="360" w:lineRule="auto"/>
        <w:ind w:firstLineChars="200" w:firstLine="480"/>
        <w:rPr>
          <w:sz w:val="24"/>
        </w:rPr>
      </w:pPr>
      <w:r>
        <w:rPr>
          <w:rFonts w:hint="eastAsia"/>
          <w:sz w:val="24"/>
        </w:rPr>
        <w:t>（</w:t>
      </w:r>
      <w:r>
        <w:rPr>
          <w:rFonts w:hint="eastAsia"/>
          <w:sz w:val="24"/>
        </w:rPr>
        <w:t>1</w:t>
      </w:r>
      <w:r>
        <w:rPr>
          <w:rFonts w:hint="eastAsia"/>
          <w:sz w:val="24"/>
        </w:rPr>
        <w:t>）废气环保设施</w:t>
      </w:r>
    </w:p>
    <w:p w:rsidR="00EE4502" w:rsidRDefault="00FD45A3">
      <w:pPr>
        <w:spacing w:line="360" w:lineRule="auto"/>
        <w:ind w:firstLineChars="200" w:firstLine="480"/>
        <w:rPr>
          <w:sz w:val="24"/>
        </w:rPr>
      </w:pPr>
      <w:r>
        <w:rPr>
          <w:rFonts w:hint="eastAsia"/>
          <w:sz w:val="24"/>
        </w:rPr>
        <w:lastRenderedPageBreak/>
        <w:t>春风油田生产过程中存在的废气污染源主要包括燃煤锅炉产生的燃烧废气，以及井场、站场和地面工程等无组织排放废气。</w:t>
      </w:r>
    </w:p>
    <w:p w:rsidR="00EE4502" w:rsidRDefault="00FD45A3">
      <w:pPr>
        <w:spacing w:line="360" w:lineRule="auto"/>
        <w:ind w:firstLineChars="200" w:firstLine="480"/>
        <w:rPr>
          <w:sz w:val="24"/>
        </w:rPr>
      </w:pPr>
      <w:r>
        <w:rPr>
          <w:rFonts w:hint="eastAsia"/>
          <w:sz w:val="24"/>
        </w:rPr>
        <w:t>春风油田内已建的各井场采出原油集输基本实现了密闭集输工艺，选用先进的生产工艺及设备，在正常生产情况下尽可能地减少非甲烷总烃逸散排放。运营期注汽站锅炉设备运行正常，排放废气中各项污染物浓度较低，根据例行监测的结果显示，锅炉排放废气可以满足《锅炉大气污染物排放标准》（</w:t>
      </w:r>
      <w:r>
        <w:rPr>
          <w:rFonts w:hint="eastAsia"/>
          <w:sz w:val="24"/>
        </w:rPr>
        <w:t>GB13271-2014</w:t>
      </w:r>
      <w:r>
        <w:rPr>
          <w:rFonts w:hint="eastAsia"/>
          <w:sz w:val="24"/>
        </w:rPr>
        <w:t>）表</w:t>
      </w:r>
      <w:r>
        <w:rPr>
          <w:rFonts w:hint="eastAsia"/>
          <w:sz w:val="24"/>
        </w:rPr>
        <w:t>3</w:t>
      </w:r>
      <w:r>
        <w:rPr>
          <w:rFonts w:hint="eastAsia"/>
          <w:sz w:val="24"/>
        </w:rPr>
        <w:t>锅炉大气污染物特别排放限值和《火电厂大气污染物排放标准》（</w:t>
      </w:r>
      <w:r>
        <w:rPr>
          <w:rFonts w:hint="eastAsia"/>
          <w:sz w:val="24"/>
        </w:rPr>
        <w:t>GB132</w:t>
      </w:r>
      <w:r>
        <w:rPr>
          <w:rFonts w:hint="eastAsia"/>
          <w:sz w:val="24"/>
        </w:rPr>
        <w:t>23-2011</w:t>
      </w:r>
      <w:r>
        <w:rPr>
          <w:rFonts w:hint="eastAsia"/>
          <w:sz w:val="24"/>
        </w:rPr>
        <w:t>）中表</w:t>
      </w:r>
      <w:r>
        <w:rPr>
          <w:rFonts w:hint="eastAsia"/>
          <w:sz w:val="24"/>
        </w:rPr>
        <w:t>2</w:t>
      </w:r>
      <w:r>
        <w:rPr>
          <w:rFonts w:hint="eastAsia"/>
          <w:sz w:val="24"/>
        </w:rPr>
        <w:t>大气污染物特别排放限值；各井场、场站无组织排放的硫化氢满足《恶臭污染物排放标准》（</w:t>
      </w:r>
      <w:r>
        <w:rPr>
          <w:rFonts w:hint="eastAsia"/>
          <w:sz w:val="24"/>
        </w:rPr>
        <w:t>GB14554-93</w:t>
      </w:r>
      <w:r>
        <w:rPr>
          <w:rFonts w:hint="eastAsia"/>
          <w:sz w:val="24"/>
        </w:rPr>
        <w:t>）表</w:t>
      </w:r>
      <w:r>
        <w:rPr>
          <w:rFonts w:hint="eastAsia"/>
          <w:sz w:val="24"/>
        </w:rPr>
        <w:t>1</w:t>
      </w:r>
      <w:r>
        <w:rPr>
          <w:rFonts w:hint="eastAsia"/>
          <w:sz w:val="24"/>
        </w:rPr>
        <w:t>恶臭污染物厂界标准值新建项目二级标准；无组织排放非甲烷总烃满足《陆上石油天然气开采工业大气污染物排放标准（</w:t>
      </w:r>
      <w:r>
        <w:rPr>
          <w:rFonts w:hint="eastAsia"/>
          <w:sz w:val="24"/>
        </w:rPr>
        <w:t>GB39728</w:t>
      </w:r>
      <w:r>
        <w:rPr>
          <w:rFonts w:hint="eastAsia"/>
          <w:sz w:val="24"/>
        </w:rPr>
        <w:t>—</w:t>
      </w:r>
      <w:r>
        <w:rPr>
          <w:rFonts w:hint="eastAsia"/>
          <w:sz w:val="24"/>
        </w:rPr>
        <w:t>2020</w:t>
      </w:r>
      <w:r>
        <w:rPr>
          <w:rFonts w:hint="eastAsia"/>
          <w:sz w:val="24"/>
        </w:rPr>
        <w:t>）》无组织排放浓度限值；注汽站厂界颗粒物均满足《大气污染物综合排放标准》（</w:t>
      </w:r>
      <w:r>
        <w:rPr>
          <w:rFonts w:hint="eastAsia"/>
          <w:sz w:val="24"/>
        </w:rPr>
        <w:t>GB16297-1996</w:t>
      </w:r>
      <w:r>
        <w:rPr>
          <w:rFonts w:hint="eastAsia"/>
          <w:sz w:val="24"/>
        </w:rPr>
        <w:t>）表</w:t>
      </w:r>
      <w:r>
        <w:rPr>
          <w:rFonts w:hint="eastAsia"/>
          <w:sz w:val="24"/>
        </w:rPr>
        <w:t>2</w:t>
      </w:r>
      <w:r>
        <w:rPr>
          <w:rFonts w:hint="eastAsia"/>
          <w:sz w:val="24"/>
        </w:rPr>
        <w:t>中新污染源大气污染物无组织排放标准限值要求；注汽站厂界硫化氢无组织排放浓度均满足《恶臭污染物排放标准》（</w:t>
      </w:r>
      <w:r>
        <w:rPr>
          <w:rFonts w:hint="eastAsia"/>
          <w:sz w:val="24"/>
        </w:rPr>
        <w:t>GB14554-1993</w:t>
      </w:r>
      <w:r>
        <w:rPr>
          <w:rFonts w:hint="eastAsia"/>
          <w:sz w:val="24"/>
        </w:rPr>
        <w:t>）中规定的排放限值要</w:t>
      </w:r>
      <w:r>
        <w:rPr>
          <w:rFonts w:hint="eastAsia"/>
          <w:sz w:val="24"/>
        </w:rPr>
        <w:t>求。</w:t>
      </w:r>
    </w:p>
    <w:p w:rsidR="00EE4502" w:rsidRDefault="00FD45A3">
      <w:pPr>
        <w:spacing w:line="360" w:lineRule="auto"/>
        <w:ind w:firstLineChars="200" w:firstLine="480"/>
        <w:rPr>
          <w:sz w:val="24"/>
        </w:rPr>
      </w:pPr>
      <w:r>
        <w:rPr>
          <w:rFonts w:hint="eastAsia"/>
          <w:sz w:val="24"/>
        </w:rPr>
        <w:t>（</w:t>
      </w:r>
      <w:r>
        <w:rPr>
          <w:rFonts w:hint="eastAsia"/>
          <w:sz w:val="24"/>
        </w:rPr>
        <w:t>2</w:t>
      </w:r>
      <w:r>
        <w:rPr>
          <w:rFonts w:hint="eastAsia"/>
          <w:sz w:val="24"/>
        </w:rPr>
        <w:t>）污水处理系统</w:t>
      </w:r>
    </w:p>
    <w:p w:rsidR="00EE4502" w:rsidRDefault="00FD45A3">
      <w:pPr>
        <w:spacing w:line="360" w:lineRule="auto"/>
        <w:ind w:firstLineChars="200" w:firstLine="480"/>
        <w:rPr>
          <w:sz w:val="24"/>
        </w:rPr>
      </w:pPr>
      <w:r>
        <w:rPr>
          <w:rFonts w:hint="eastAsia"/>
          <w:sz w:val="24"/>
        </w:rPr>
        <w:t>春风油田存在的废水污染源主要包括联合站产生的油田采出水、锅炉废水和新春基地产生的生活污水。</w:t>
      </w:r>
    </w:p>
    <w:p w:rsidR="00EE4502" w:rsidRDefault="00FD45A3">
      <w:pPr>
        <w:spacing w:line="360" w:lineRule="auto"/>
        <w:ind w:firstLineChars="200" w:firstLine="480"/>
        <w:rPr>
          <w:sz w:val="24"/>
        </w:rPr>
      </w:pPr>
      <w:r>
        <w:rPr>
          <w:rFonts w:hint="eastAsia"/>
          <w:sz w:val="24"/>
        </w:rPr>
        <w:t>春风油田采出水处理系统位于春风联合站和春风二号联合站内，采用“重力除油</w:t>
      </w:r>
      <w:r>
        <w:rPr>
          <w:rFonts w:hint="eastAsia"/>
          <w:sz w:val="24"/>
        </w:rPr>
        <w:t>+</w:t>
      </w:r>
      <w:r>
        <w:rPr>
          <w:rFonts w:hint="eastAsia"/>
          <w:sz w:val="24"/>
        </w:rPr>
        <w:t>沉降</w:t>
      </w:r>
      <w:r>
        <w:rPr>
          <w:rFonts w:hint="eastAsia"/>
          <w:sz w:val="24"/>
        </w:rPr>
        <w:t>+</w:t>
      </w:r>
      <w:r>
        <w:rPr>
          <w:rFonts w:hint="eastAsia"/>
          <w:sz w:val="24"/>
        </w:rPr>
        <w:t>过滤”工艺，采出水由联合站处理达标后，经资源化处理回用于注汽站锅炉用水，剩余部分回注油田，均不外排。</w:t>
      </w:r>
    </w:p>
    <w:p w:rsidR="00EE4502" w:rsidRDefault="00FD45A3">
      <w:pPr>
        <w:spacing w:line="360" w:lineRule="auto"/>
        <w:ind w:firstLineChars="200" w:firstLine="480"/>
        <w:rPr>
          <w:sz w:val="24"/>
        </w:rPr>
      </w:pPr>
      <w:r>
        <w:rPr>
          <w:rFonts w:hint="eastAsia"/>
          <w:sz w:val="24"/>
        </w:rPr>
        <w:t>春风油田新春基地内生活污水经新春基地内排水系统排到生活污水处理装置处理，处理后污水达到《污水综合排放标准》（</w:t>
      </w:r>
      <w:r>
        <w:rPr>
          <w:rFonts w:hint="eastAsia"/>
          <w:sz w:val="24"/>
        </w:rPr>
        <w:t>GB8978-1996</w:t>
      </w:r>
      <w:r>
        <w:rPr>
          <w:rFonts w:hint="eastAsia"/>
          <w:sz w:val="24"/>
        </w:rPr>
        <w:t>）二级标准后用于绿化。</w:t>
      </w:r>
    </w:p>
    <w:p w:rsidR="00EE4502" w:rsidRDefault="00FD45A3">
      <w:pPr>
        <w:spacing w:line="360" w:lineRule="auto"/>
        <w:ind w:firstLineChars="200" w:firstLine="480"/>
        <w:rPr>
          <w:sz w:val="24"/>
        </w:rPr>
      </w:pPr>
      <w:r>
        <w:rPr>
          <w:rFonts w:hint="eastAsia"/>
          <w:sz w:val="24"/>
        </w:rPr>
        <w:t>锅炉废水主要来自锅炉软化水处理装置反冲洗过程产生的外排水和锅</w:t>
      </w:r>
      <w:r>
        <w:rPr>
          <w:rFonts w:hint="eastAsia"/>
          <w:sz w:val="24"/>
        </w:rPr>
        <w:t>炉定期排污水，排放的废水用于脱硫塔补水和煤渣场洒水降尘或进入联合站系统，综合利用不外排。</w:t>
      </w:r>
    </w:p>
    <w:p w:rsidR="00EE4502" w:rsidRDefault="00FD45A3">
      <w:pPr>
        <w:spacing w:line="360" w:lineRule="auto"/>
        <w:ind w:firstLineChars="200" w:firstLine="480"/>
        <w:rPr>
          <w:sz w:val="24"/>
        </w:rPr>
      </w:pPr>
      <w:r>
        <w:rPr>
          <w:rFonts w:hint="eastAsia"/>
          <w:sz w:val="24"/>
        </w:rPr>
        <w:t>（</w:t>
      </w:r>
      <w:r>
        <w:rPr>
          <w:rFonts w:hint="eastAsia"/>
          <w:sz w:val="24"/>
        </w:rPr>
        <w:t>3</w:t>
      </w:r>
      <w:r>
        <w:rPr>
          <w:rFonts w:hint="eastAsia"/>
          <w:sz w:val="24"/>
        </w:rPr>
        <w:t>）噪声防治措施及设施</w:t>
      </w:r>
    </w:p>
    <w:p w:rsidR="00EE4502" w:rsidRDefault="00FD45A3">
      <w:pPr>
        <w:spacing w:line="360" w:lineRule="auto"/>
        <w:ind w:firstLineChars="200" w:firstLine="480"/>
        <w:rPr>
          <w:sz w:val="24"/>
        </w:rPr>
      </w:pPr>
      <w:r>
        <w:rPr>
          <w:rFonts w:hint="eastAsia"/>
          <w:sz w:val="24"/>
        </w:rPr>
        <w:t>运营期主要以站场的各类机泵运行时产生的机械噪声，如各场站压缩机、污水提升泵、注水泵、空压机、外输泵、喂液泵，井场采油机、井下作业机械等设备、锅炉和风机等。根据现场勘查情况，项目产噪设备采取了厂房隔声、消声器、</w:t>
      </w:r>
      <w:r>
        <w:rPr>
          <w:rFonts w:hint="eastAsia"/>
          <w:sz w:val="24"/>
        </w:rPr>
        <w:lastRenderedPageBreak/>
        <w:t>固定基座等降噪方式。收集往年环评报告中的监测数据及评价时段内的环境噪声的监测数据，区域声环境质量较好。</w:t>
      </w:r>
    </w:p>
    <w:p w:rsidR="00EE4502" w:rsidRDefault="00FD45A3">
      <w:pPr>
        <w:spacing w:line="360" w:lineRule="auto"/>
        <w:ind w:firstLineChars="200" w:firstLine="480"/>
        <w:rPr>
          <w:sz w:val="24"/>
        </w:rPr>
      </w:pPr>
      <w:r>
        <w:rPr>
          <w:rFonts w:hint="eastAsia"/>
          <w:sz w:val="24"/>
        </w:rPr>
        <w:t>（</w:t>
      </w:r>
      <w:r>
        <w:rPr>
          <w:rFonts w:hint="eastAsia"/>
          <w:sz w:val="24"/>
        </w:rPr>
        <w:t>5</w:t>
      </w:r>
      <w:r>
        <w:rPr>
          <w:rFonts w:hint="eastAsia"/>
          <w:sz w:val="24"/>
        </w:rPr>
        <w:t>）固体废物防治措施及设施</w:t>
      </w:r>
    </w:p>
    <w:p w:rsidR="00EE4502" w:rsidRDefault="00FD45A3">
      <w:pPr>
        <w:spacing w:line="360" w:lineRule="auto"/>
        <w:ind w:firstLineChars="200" w:firstLine="480"/>
        <w:rPr>
          <w:sz w:val="24"/>
        </w:rPr>
      </w:pPr>
      <w:r>
        <w:rPr>
          <w:rFonts w:hint="eastAsia"/>
          <w:sz w:val="24"/>
        </w:rPr>
        <w:t>春风油田开发建设过程中，施工期主要固废为钻井岩屑。春风</w:t>
      </w:r>
      <w:r>
        <w:rPr>
          <w:rFonts w:hint="eastAsia"/>
          <w:sz w:val="24"/>
        </w:rPr>
        <w:t>油田井深约</w:t>
      </w:r>
      <w:r>
        <w:rPr>
          <w:rFonts w:hint="eastAsia"/>
          <w:sz w:val="24"/>
        </w:rPr>
        <w:t>500-1000m</w:t>
      </w:r>
      <w:r>
        <w:rPr>
          <w:rFonts w:hint="eastAsia"/>
          <w:sz w:val="24"/>
        </w:rPr>
        <w:t>左右，钻井过程中采用水基非磺化泥浆液体系。</w:t>
      </w:r>
      <w:r>
        <w:rPr>
          <w:rFonts w:hint="eastAsia"/>
          <w:sz w:val="24"/>
        </w:rPr>
        <w:t>2017</w:t>
      </w:r>
      <w:r>
        <w:rPr>
          <w:rFonts w:hint="eastAsia"/>
          <w:sz w:val="24"/>
        </w:rPr>
        <w:t>年之前，废弃钻井液和岩屑等排入具有防渗措施的泥浆池内，待固化后覆土掩埋处理；</w:t>
      </w:r>
      <w:r>
        <w:rPr>
          <w:rFonts w:hint="eastAsia"/>
          <w:sz w:val="24"/>
        </w:rPr>
        <w:t>2017</w:t>
      </w:r>
      <w:r>
        <w:rPr>
          <w:rFonts w:hint="eastAsia"/>
          <w:sz w:val="24"/>
        </w:rPr>
        <w:t>年以后，钻井井场岩屑及废弃钻井泥浆逐渐采用不落地设备收集后依托克拉玛依前山石油工程服务有限公司和山东奥友环保工程有限责任公司乌苏分公司等有资质单位处置。</w:t>
      </w:r>
    </w:p>
    <w:p w:rsidR="00EE4502" w:rsidRDefault="00FD45A3">
      <w:pPr>
        <w:spacing w:line="360" w:lineRule="auto"/>
        <w:ind w:firstLineChars="200" w:firstLine="480"/>
        <w:rPr>
          <w:sz w:val="24"/>
        </w:rPr>
      </w:pPr>
      <w:r>
        <w:rPr>
          <w:rFonts w:hint="eastAsia"/>
          <w:sz w:val="24"/>
        </w:rPr>
        <w:t>运营期中产生的固废主要包括一般工业固体废物、危险废物和生活垃圾。其中一般工业固体废物主要包括注汽站锅炉产生的炉渣、炉灰和离子交换树脂；危险废物主要包括清罐的含油污泥以及作业过程产生的沾油废物、废油桶等。代码分别是</w:t>
      </w:r>
      <w:r>
        <w:rPr>
          <w:rFonts w:hint="eastAsia"/>
          <w:sz w:val="24"/>
        </w:rPr>
        <w:t>071-001-08</w:t>
      </w:r>
      <w:r>
        <w:rPr>
          <w:rFonts w:hint="eastAsia"/>
          <w:sz w:val="24"/>
        </w:rPr>
        <w:t>、</w:t>
      </w:r>
      <w:r>
        <w:rPr>
          <w:rFonts w:hint="eastAsia"/>
          <w:sz w:val="24"/>
        </w:rPr>
        <w:t>900-249-08</w:t>
      </w:r>
      <w:r>
        <w:rPr>
          <w:rFonts w:hint="eastAsia"/>
          <w:sz w:val="24"/>
        </w:rPr>
        <w:t>、</w:t>
      </w:r>
      <w:r>
        <w:rPr>
          <w:rFonts w:hint="eastAsia"/>
          <w:sz w:val="24"/>
        </w:rPr>
        <w:t>900-041-49</w:t>
      </w:r>
      <w:r>
        <w:rPr>
          <w:rFonts w:hint="eastAsia"/>
          <w:sz w:val="24"/>
        </w:rPr>
        <w:t>；生活垃圾主要包括各生活点产生的生活垃圾。</w:t>
      </w:r>
    </w:p>
    <w:p w:rsidR="00EE4502" w:rsidRDefault="00FD45A3">
      <w:pPr>
        <w:spacing w:line="360" w:lineRule="auto"/>
        <w:ind w:firstLineChars="200" w:firstLine="480"/>
        <w:rPr>
          <w:sz w:val="24"/>
        </w:rPr>
      </w:pPr>
      <w:r>
        <w:rPr>
          <w:rFonts w:hint="eastAsia"/>
          <w:sz w:val="24"/>
        </w:rPr>
        <w:t>注汽站锅炉产生的炉渣、炉灰外售综合利用；锅炉房软化水处理系统更换的废离子交换树脂由厂家进行更换和回收；生活垃圾由车辆拉运至第七师</w:t>
      </w:r>
      <w:r>
        <w:rPr>
          <w:rFonts w:hint="eastAsia"/>
          <w:sz w:val="24"/>
        </w:rPr>
        <w:t>128</w:t>
      </w:r>
      <w:r>
        <w:rPr>
          <w:rFonts w:hint="eastAsia"/>
          <w:sz w:val="24"/>
        </w:rPr>
        <w:t>团生活垃圾填埋场填埋处理；含油污泥、沾油废物、废油桶等危险</w:t>
      </w:r>
      <w:r>
        <w:rPr>
          <w:rFonts w:hint="eastAsia"/>
          <w:sz w:val="24"/>
        </w:rPr>
        <w:t>废物，委托新疆锦恒利废矿物油处置有限公司、克拉玛依沃森环保科技有限公司等具有资质的单位负责接收、转运和处置。</w:t>
      </w:r>
    </w:p>
    <w:p w:rsidR="00EE4502" w:rsidRDefault="00FD45A3">
      <w:pPr>
        <w:pStyle w:val="33"/>
        <w:numPr>
          <w:ilvl w:val="2"/>
          <w:numId w:val="30"/>
        </w:numPr>
        <w:spacing w:line="360" w:lineRule="auto"/>
        <w:ind w:left="0" w:firstLine="0"/>
        <w:rPr>
          <w:spacing w:val="0"/>
          <w:sz w:val="24"/>
          <w:szCs w:val="24"/>
        </w:rPr>
      </w:pPr>
      <w:r>
        <w:rPr>
          <w:rFonts w:hint="eastAsia"/>
          <w:spacing w:val="0"/>
          <w:sz w:val="24"/>
          <w:szCs w:val="24"/>
        </w:rPr>
        <w:t>现有工程污染物达标情况</w:t>
      </w:r>
    </w:p>
    <w:p w:rsidR="00EE4502" w:rsidRDefault="00FD45A3">
      <w:pPr>
        <w:spacing w:line="360" w:lineRule="auto"/>
        <w:ind w:firstLineChars="200" w:firstLine="480"/>
        <w:rPr>
          <w:sz w:val="24"/>
        </w:rPr>
      </w:pPr>
      <w:r>
        <w:rPr>
          <w:rFonts w:hint="eastAsia"/>
          <w:sz w:val="24"/>
        </w:rPr>
        <w:t>现有工程污染物主要有采出水、井下作业废水、储罐无组织挥发非甲烷总烃、装卸油料废气、落地油、清罐底泥、废润滑油、废弃的含油抹布、劳保用品、废防渗材料、噪声等。</w:t>
      </w:r>
    </w:p>
    <w:p w:rsidR="00EE4502" w:rsidRDefault="00FD45A3">
      <w:pPr>
        <w:spacing w:line="360" w:lineRule="auto"/>
        <w:ind w:firstLineChars="200" w:firstLine="480"/>
        <w:rPr>
          <w:sz w:val="24"/>
        </w:rPr>
      </w:pPr>
      <w:r>
        <w:rPr>
          <w:rFonts w:hint="eastAsia"/>
          <w:sz w:val="24"/>
        </w:rPr>
        <w:t>根据现场调查，现有工程采出水、井下作业废水经春风二号联合站污水处理系统处理达到《碎屑岩油藏注水水质指标技术要求及分析方法》（</w:t>
      </w:r>
      <w:r>
        <w:rPr>
          <w:rFonts w:hint="eastAsia"/>
          <w:sz w:val="24"/>
        </w:rPr>
        <w:t>SY/T5329-2022</w:t>
      </w:r>
      <w:r>
        <w:rPr>
          <w:rFonts w:hint="eastAsia"/>
          <w:sz w:val="24"/>
        </w:rPr>
        <w:t>）后回注地层；现场无落地油、清罐底泥、废润滑油、废弃的含油抹布、劳保用品、废防渗材料等固废遗留，井场无历史遗留废弃物产生。含油废物、废防渗材料等均妥善处置，委托了有资质单位接收处置，未发生随意丢弃现象。</w:t>
      </w:r>
    </w:p>
    <w:p w:rsidR="00EE4502" w:rsidRDefault="00FD45A3">
      <w:pPr>
        <w:spacing w:line="360" w:lineRule="auto"/>
        <w:ind w:firstLineChars="200" w:firstLine="480"/>
        <w:rPr>
          <w:sz w:val="24"/>
        </w:rPr>
      </w:pPr>
      <w:r>
        <w:rPr>
          <w:rFonts w:hint="eastAsia"/>
          <w:sz w:val="24"/>
        </w:rPr>
        <w:t>现有井场、站场场界非甲烷总烃小时平均浓度未超过《大气污染物综合排放标准详解》中参考限值；硫化氢小时平均浓度未超过《环境影响评价技术导则</w:t>
      </w:r>
      <w:r>
        <w:rPr>
          <w:rFonts w:hint="eastAsia"/>
          <w:sz w:val="24"/>
        </w:rPr>
        <w:t xml:space="preserve"> </w:t>
      </w:r>
      <w:r>
        <w:rPr>
          <w:rFonts w:hint="eastAsia"/>
          <w:sz w:val="24"/>
        </w:rPr>
        <w:t>大</w:t>
      </w:r>
      <w:r>
        <w:rPr>
          <w:rFonts w:hint="eastAsia"/>
          <w:sz w:val="24"/>
        </w:rPr>
        <w:lastRenderedPageBreak/>
        <w:t>气环境》（</w:t>
      </w:r>
      <w:r>
        <w:rPr>
          <w:rFonts w:hint="eastAsia"/>
          <w:sz w:val="24"/>
        </w:rPr>
        <w:t>HJ2.2</w:t>
      </w:r>
      <w:r>
        <w:rPr>
          <w:rFonts w:hint="eastAsia"/>
          <w:sz w:val="24"/>
        </w:rPr>
        <w:t>-2018</w:t>
      </w:r>
      <w:r>
        <w:rPr>
          <w:rFonts w:hint="eastAsia"/>
          <w:sz w:val="24"/>
        </w:rPr>
        <w:t>）附录</w:t>
      </w:r>
      <w:r>
        <w:rPr>
          <w:rFonts w:hint="eastAsia"/>
          <w:sz w:val="24"/>
        </w:rPr>
        <w:t>D</w:t>
      </w:r>
      <w:r>
        <w:rPr>
          <w:rFonts w:hint="eastAsia"/>
          <w:sz w:val="24"/>
        </w:rPr>
        <w:t>中的浓度限值；井场、站场场界昼、夜连续等效声级均在《声环境质量标准》（</w:t>
      </w:r>
      <w:r>
        <w:rPr>
          <w:rFonts w:hint="eastAsia"/>
          <w:sz w:val="24"/>
        </w:rPr>
        <w:t>GB3096-2008</w:t>
      </w:r>
      <w:r>
        <w:rPr>
          <w:rFonts w:hint="eastAsia"/>
          <w:sz w:val="24"/>
        </w:rPr>
        <w:t>）中</w:t>
      </w:r>
      <w:r>
        <w:rPr>
          <w:rFonts w:hint="eastAsia"/>
          <w:sz w:val="24"/>
        </w:rPr>
        <w:t>2</w:t>
      </w:r>
      <w:r>
        <w:rPr>
          <w:rFonts w:hint="eastAsia"/>
          <w:sz w:val="24"/>
        </w:rPr>
        <w:t>类区标准限值内。</w:t>
      </w:r>
    </w:p>
    <w:p w:rsidR="00EE4502" w:rsidRDefault="00FD45A3">
      <w:pPr>
        <w:pStyle w:val="33"/>
        <w:numPr>
          <w:ilvl w:val="2"/>
          <w:numId w:val="30"/>
        </w:numPr>
        <w:spacing w:line="360" w:lineRule="auto"/>
        <w:ind w:left="0" w:firstLine="0"/>
        <w:rPr>
          <w:spacing w:val="0"/>
          <w:sz w:val="24"/>
          <w:szCs w:val="24"/>
        </w:rPr>
      </w:pPr>
      <w:r>
        <w:rPr>
          <w:rFonts w:hint="eastAsia"/>
          <w:spacing w:val="0"/>
          <w:sz w:val="24"/>
          <w:szCs w:val="24"/>
        </w:rPr>
        <w:t>现有工程污染物年排放量</w:t>
      </w:r>
    </w:p>
    <w:p w:rsidR="00EE4502" w:rsidRDefault="00FD45A3">
      <w:pPr>
        <w:spacing w:line="360" w:lineRule="auto"/>
        <w:ind w:firstLineChars="200" w:firstLine="480"/>
        <w:rPr>
          <w:sz w:val="24"/>
        </w:rPr>
      </w:pPr>
      <w:r>
        <w:rPr>
          <w:rFonts w:hint="eastAsia"/>
          <w:sz w:val="24"/>
        </w:rPr>
        <w:t>根据现场调查和资料搜集情况，排</w:t>
      </w:r>
      <w:r>
        <w:rPr>
          <w:rFonts w:hint="eastAsia"/>
          <w:sz w:val="24"/>
        </w:rPr>
        <w:t>61</w:t>
      </w:r>
      <w:r>
        <w:rPr>
          <w:rFonts w:hint="eastAsia"/>
          <w:sz w:val="24"/>
        </w:rPr>
        <w:t>块方案区共有试油试采直井</w:t>
      </w:r>
      <w:r>
        <w:rPr>
          <w:rFonts w:hint="eastAsia"/>
          <w:sz w:val="24"/>
        </w:rPr>
        <w:t>9</w:t>
      </w:r>
      <w:r>
        <w:rPr>
          <w:rFonts w:hint="eastAsia"/>
          <w:sz w:val="24"/>
        </w:rPr>
        <w:t>口、水平井</w:t>
      </w:r>
      <w:r>
        <w:rPr>
          <w:rFonts w:hint="eastAsia"/>
          <w:sz w:val="24"/>
        </w:rPr>
        <w:t>9</w:t>
      </w:r>
      <w:r>
        <w:rPr>
          <w:rFonts w:hint="eastAsia"/>
          <w:sz w:val="24"/>
        </w:rPr>
        <w:t>口，目前开井</w:t>
      </w:r>
      <w:r>
        <w:rPr>
          <w:rFonts w:hint="eastAsia"/>
          <w:sz w:val="24"/>
        </w:rPr>
        <w:t>8</w:t>
      </w:r>
      <w:r>
        <w:rPr>
          <w:rFonts w:hint="eastAsia"/>
          <w:sz w:val="24"/>
        </w:rPr>
        <w:t>口（直井</w:t>
      </w:r>
      <w:r>
        <w:rPr>
          <w:rFonts w:hint="eastAsia"/>
          <w:sz w:val="24"/>
        </w:rPr>
        <w:t>2</w:t>
      </w:r>
      <w:r>
        <w:rPr>
          <w:rFonts w:hint="eastAsia"/>
          <w:sz w:val="24"/>
        </w:rPr>
        <w:t>口、水平井</w:t>
      </w:r>
      <w:r>
        <w:rPr>
          <w:rFonts w:hint="eastAsia"/>
          <w:sz w:val="24"/>
        </w:rPr>
        <w:t>6</w:t>
      </w:r>
      <w:r>
        <w:rPr>
          <w:rFonts w:hint="eastAsia"/>
          <w:sz w:val="24"/>
        </w:rPr>
        <w:t>口）。根据前文，方案区累产油</w:t>
      </w:r>
      <w:r>
        <w:rPr>
          <w:rFonts w:hint="eastAsia"/>
          <w:sz w:val="24"/>
        </w:rPr>
        <w:t>30875t</w:t>
      </w:r>
      <w:r>
        <w:rPr>
          <w:rFonts w:hint="eastAsia"/>
          <w:sz w:val="24"/>
        </w:rPr>
        <w:t>、累产液</w:t>
      </w:r>
      <w:r>
        <w:rPr>
          <w:rFonts w:hint="eastAsia"/>
          <w:sz w:val="24"/>
        </w:rPr>
        <w:t>108404t</w:t>
      </w:r>
      <w:r>
        <w:rPr>
          <w:rFonts w:hint="eastAsia"/>
          <w:sz w:val="24"/>
        </w:rPr>
        <w:t>，产出的</w:t>
      </w:r>
      <w:r>
        <w:rPr>
          <w:rFonts w:hint="eastAsia"/>
          <w:sz w:val="24"/>
        </w:rPr>
        <w:t>77529t</w:t>
      </w:r>
      <w:r>
        <w:rPr>
          <w:rFonts w:hint="eastAsia"/>
          <w:sz w:val="24"/>
        </w:rPr>
        <w:t>采出水通过春风二号联合站污水处理系统处理达到《碎屑岩油藏注水水质指标技术要求及分析方法》（</w:t>
      </w:r>
      <w:r>
        <w:rPr>
          <w:rFonts w:hint="eastAsia"/>
          <w:sz w:val="24"/>
        </w:rPr>
        <w:t>SY/T5329-2022</w:t>
      </w:r>
      <w:r>
        <w:rPr>
          <w:rFonts w:hint="eastAsia"/>
          <w:sz w:val="24"/>
        </w:rPr>
        <w:t>）后回注地层，未外排。</w:t>
      </w:r>
    </w:p>
    <w:p w:rsidR="00EE4502" w:rsidRDefault="00FD45A3">
      <w:pPr>
        <w:spacing w:line="360" w:lineRule="auto"/>
        <w:ind w:firstLineChars="200" w:firstLine="480"/>
        <w:rPr>
          <w:sz w:val="24"/>
        </w:rPr>
      </w:pPr>
      <w:r>
        <w:rPr>
          <w:rFonts w:hint="eastAsia"/>
          <w:sz w:val="24"/>
        </w:rPr>
        <w:t>根据现场调查，目前排</w:t>
      </w:r>
      <w:r>
        <w:rPr>
          <w:rFonts w:hint="eastAsia"/>
          <w:sz w:val="24"/>
        </w:rPr>
        <w:t>61</w:t>
      </w:r>
      <w:r>
        <w:rPr>
          <w:rFonts w:hint="eastAsia"/>
          <w:sz w:val="24"/>
        </w:rPr>
        <w:t>块方案区均为拉油方式，储罐均采用卧式密闭储罐。根据《散装液态石油产品损耗》（</w:t>
      </w:r>
      <w:r>
        <w:rPr>
          <w:rFonts w:hint="eastAsia"/>
          <w:sz w:val="24"/>
        </w:rPr>
        <w:t>GB11085-89</w:t>
      </w:r>
      <w:r>
        <w:rPr>
          <w:rFonts w:hint="eastAsia"/>
          <w:sz w:val="24"/>
        </w:rPr>
        <w:t>）中表</w:t>
      </w:r>
      <w:r>
        <w:rPr>
          <w:rFonts w:hint="eastAsia"/>
          <w:sz w:val="24"/>
        </w:rPr>
        <w:t>1</w:t>
      </w:r>
      <w:r>
        <w:rPr>
          <w:rFonts w:hint="eastAsia"/>
          <w:sz w:val="24"/>
        </w:rPr>
        <w:t>“损耗标准”，卧式罐的贮存损耗率可以忽略不计，故排</w:t>
      </w:r>
      <w:r>
        <w:rPr>
          <w:rFonts w:hint="eastAsia"/>
          <w:sz w:val="24"/>
        </w:rPr>
        <w:t>61</w:t>
      </w:r>
      <w:r>
        <w:rPr>
          <w:rFonts w:hint="eastAsia"/>
          <w:sz w:val="24"/>
        </w:rPr>
        <w:t>块方案区现有储罐贮存损耗率可以忽略不计。油罐车装车时，由于油罐车与储罐的液位不断变化，气体的吸入与呼出会对油品造成一定扰动蒸发，另外随着油罐车油罐的液面下降，罐壁面积扩大，外部的高气温也会对其罐壁和空间造成一定的蒸发。根据《散装液态石油产品损耗》（</w:t>
      </w:r>
      <w:r>
        <w:rPr>
          <w:rFonts w:hint="eastAsia"/>
          <w:sz w:val="24"/>
        </w:rPr>
        <w:t>GB11085-89</w:t>
      </w:r>
      <w:r>
        <w:rPr>
          <w:rFonts w:hint="eastAsia"/>
          <w:sz w:val="24"/>
        </w:rPr>
        <w:t>）中“损耗标准”可知，本工程所在区域属于</w:t>
      </w:r>
      <w:r>
        <w:rPr>
          <w:rFonts w:hint="eastAsia"/>
          <w:sz w:val="24"/>
        </w:rPr>
        <w:t>C</w:t>
      </w:r>
      <w:r>
        <w:rPr>
          <w:rFonts w:hint="eastAsia"/>
          <w:sz w:val="24"/>
        </w:rPr>
        <w:t>类地区，装车过程中油料最大损耗率取</w:t>
      </w:r>
      <w:r>
        <w:rPr>
          <w:rFonts w:hint="eastAsia"/>
          <w:sz w:val="24"/>
        </w:rPr>
        <w:t>0.01%</w:t>
      </w:r>
      <w:r>
        <w:rPr>
          <w:rFonts w:hint="eastAsia"/>
          <w:sz w:val="24"/>
        </w:rPr>
        <w:t>。则排</w:t>
      </w:r>
      <w:r>
        <w:rPr>
          <w:rFonts w:hint="eastAsia"/>
          <w:sz w:val="24"/>
        </w:rPr>
        <w:t>61</w:t>
      </w:r>
      <w:r>
        <w:rPr>
          <w:rFonts w:hint="eastAsia"/>
          <w:sz w:val="24"/>
        </w:rPr>
        <w:t>块方案区累产油</w:t>
      </w:r>
      <w:r>
        <w:rPr>
          <w:rFonts w:hint="eastAsia"/>
          <w:sz w:val="24"/>
        </w:rPr>
        <w:t>30875t</w:t>
      </w:r>
      <w:r>
        <w:rPr>
          <w:rFonts w:hint="eastAsia"/>
          <w:sz w:val="24"/>
        </w:rPr>
        <w:t>产生的无组织排放非甲烷总烃共计</w:t>
      </w:r>
      <w:r>
        <w:rPr>
          <w:rFonts w:hint="eastAsia"/>
          <w:sz w:val="24"/>
        </w:rPr>
        <w:t>3.0875t</w:t>
      </w:r>
      <w:r>
        <w:rPr>
          <w:rFonts w:hint="eastAsia"/>
          <w:sz w:val="24"/>
        </w:rPr>
        <w:t>。</w:t>
      </w:r>
    </w:p>
    <w:p w:rsidR="00EE4502" w:rsidRDefault="00FD45A3">
      <w:pPr>
        <w:spacing w:line="360" w:lineRule="auto"/>
        <w:ind w:firstLineChars="200" w:firstLine="480"/>
        <w:rPr>
          <w:sz w:val="24"/>
        </w:rPr>
      </w:pPr>
      <w:r>
        <w:rPr>
          <w:rFonts w:hint="eastAsia"/>
          <w:sz w:val="24"/>
        </w:rPr>
        <w:t>根据建设单位资料，排</w:t>
      </w:r>
      <w:r>
        <w:rPr>
          <w:rFonts w:hint="eastAsia"/>
          <w:sz w:val="24"/>
        </w:rPr>
        <w:t>61</w:t>
      </w:r>
      <w:r>
        <w:rPr>
          <w:rFonts w:hint="eastAsia"/>
          <w:sz w:val="24"/>
        </w:rPr>
        <w:t>块方案区试油试采过程中产生的固废均已妥善处置，未外排。现场未发现随意丢弃现象。现有工程污染源排放见表</w:t>
      </w:r>
      <w:r>
        <w:rPr>
          <w:rFonts w:hint="eastAsia"/>
          <w:sz w:val="24"/>
        </w:rPr>
        <w:t>3-2-7</w:t>
      </w:r>
      <w:r>
        <w:rPr>
          <w:rFonts w:hint="eastAsia"/>
          <w:sz w:val="24"/>
        </w:rPr>
        <w:t>。</w:t>
      </w:r>
    </w:p>
    <w:p w:rsidR="00EE4502" w:rsidRDefault="00FD45A3">
      <w:pPr>
        <w:spacing w:line="360" w:lineRule="auto"/>
        <w:jc w:val="center"/>
        <w:rPr>
          <w:rFonts w:ascii="黑体" w:eastAsia="黑体" w:hAnsi="黑体" w:cs="黑体"/>
          <w:szCs w:val="21"/>
          <w:lang w:val="zh-CN"/>
        </w:rPr>
      </w:pPr>
      <w:r>
        <w:rPr>
          <w:rFonts w:ascii="黑体" w:eastAsia="黑体" w:hAnsi="黑体" w:cs="黑体" w:hint="eastAsia"/>
          <w:szCs w:val="21"/>
          <w:lang w:val="zh-CN"/>
        </w:rPr>
        <w:t>表</w:t>
      </w:r>
      <w:r>
        <w:rPr>
          <w:rFonts w:ascii="黑体" w:eastAsia="黑体" w:hAnsi="黑体" w:cs="黑体" w:hint="eastAsia"/>
          <w:szCs w:val="21"/>
        </w:rPr>
        <w:t>3-2-7</w:t>
      </w:r>
      <w:r>
        <w:rPr>
          <w:rFonts w:ascii="黑体" w:eastAsia="黑体" w:hAnsi="黑体" w:cs="黑体" w:hint="eastAsia"/>
          <w:szCs w:val="21"/>
          <w:lang w:val="zh-CN"/>
        </w:rPr>
        <w:t xml:space="preserve">  </w:t>
      </w:r>
      <w:r>
        <w:rPr>
          <w:rFonts w:ascii="黑体" w:eastAsia="黑体" w:hAnsi="黑体" w:cs="黑体" w:hint="eastAsia"/>
          <w:szCs w:val="21"/>
          <w:lang w:val="zh-CN"/>
        </w:rPr>
        <w:t>排</w:t>
      </w:r>
      <w:r>
        <w:rPr>
          <w:rFonts w:ascii="黑体" w:eastAsia="黑体" w:hAnsi="黑体" w:cs="黑体" w:hint="eastAsia"/>
          <w:szCs w:val="21"/>
          <w:lang w:val="zh-CN"/>
        </w:rPr>
        <w:t>61</w:t>
      </w:r>
      <w:r>
        <w:rPr>
          <w:rFonts w:ascii="黑体" w:eastAsia="黑体" w:hAnsi="黑体" w:cs="黑体" w:hint="eastAsia"/>
          <w:szCs w:val="21"/>
          <w:lang w:val="zh-CN"/>
        </w:rPr>
        <w:t>块方案区</w:t>
      </w:r>
      <w:r>
        <w:rPr>
          <w:rFonts w:ascii="黑体" w:eastAsia="黑体" w:hAnsi="黑体" w:cs="黑体" w:hint="eastAsia"/>
          <w:szCs w:val="21"/>
        </w:rPr>
        <w:t>现有工程污染物</w:t>
      </w:r>
      <w:r>
        <w:rPr>
          <w:rFonts w:ascii="黑体" w:eastAsia="黑体" w:hAnsi="黑体" w:cs="黑体" w:hint="eastAsia"/>
          <w:szCs w:val="21"/>
          <w:lang w:val="zh-CN"/>
        </w:rPr>
        <w:t>排放情况一览表</w:t>
      </w:r>
    </w:p>
    <w:tbl>
      <w:tblPr>
        <w:tblW w:w="4997"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37"/>
        <w:gridCol w:w="939"/>
        <w:gridCol w:w="984"/>
        <w:gridCol w:w="983"/>
        <w:gridCol w:w="1127"/>
        <w:gridCol w:w="891"/>
        <w:gridCol w:w="908"/>
        <w:gridCol w:w="988"/>
      </w:tblGrid>
      <w:tr w:rsidR="00EE4502">
        <w:trPr>
          <w:trHeight w:val="397"/>
          <w:jc w:val="center"/>
        </w:trPr>
        <w:tc>
          <w:tcPr>
            <w:tcW w:w="919" w:type="pct"/>
            <w:vMerge w:val="restart"/>
            <w:vAlign w:val="center"/>
          </w:tcPr>
          <w:p w:rsidR="00EE4502" w:rsidRDefault="00FD45A3">
            <w:pPr>
              <w:jc w:val="center"/>
              <w:rPr>
                <w:rFonts w:hAnsi="宋体"/>
                <w:kern w:val="21"/>
                <w:szCs w:val="21"/>
              </w:rPr>
            </w:pPr>
            <w:r>
              <w:rPr>
                <w:rFonts w:hAnsi="宋体" w:hint="eastAsia"/>
                <w:kern w:val="21"/>
                <w:szCs w:val="21"/>
              </w:rPr>
              <w:t>类别</w:t>
            </w:r>
          </w:p>
        </w:tc>
        <w:tc>
          <w:tcPr>
            <w:tcW w:w="2946" w:type="pct"/>
            <w:gridSpan w:val="5"/>
            <w:vAlign w:val="center"/>
          </w:tcPr>
          <w:p w:rsidR="00EE4502" w:rsidRDefault="00FD45A3">
            <w:pPr>
              <w:jc w:val="center"/>
              <w:rPr>
                <w:rFonts w:hAnsi="宋体"/>
                <w:kern w:val="21"/>
                <w:szCs w:val="21"/>
              </w:rPr>
            </w:pPr>
            <w:r>
              <w:rPr>
                <w:rFonts w:hAnsi="宋体" w:hint="eastAsia"/>
                <w:kern w:val="21"/>
                <w:szCs w:val="21"/>
              </w:rPr>
              <w:t>废气</w:t>
            </w:r>
          </w:p>
        </w:tc>
        <w:tc>
          <w:tcPr>
            <w:tcW w:w="543" w:type="pct"/>
            <w:vMerge w:val="restart"/>
            <w:vAlign w:val="center"/>
          </w:tcPr>
          <w:p w:rsidR="00EE4502" w:rsidRDefault="00FD45A3">
            <w:pPr>
              <w:jc w:val="center"/>
              <w:rPr>
                <w:rFonts w:hAnsi="宋体"/>
                <w:kern w:val="21"/>
                <w:szCs w:val="21"/>
              </w:rPr>
            </w:pPr>
            <w:r>
              <w:rPr>
                <w:rFonts w:hAnsi="宋体" w:hint="eastAsia"/>
                <w:kern w:val="21"/>
                <w:szCs w:val="21"/>
              </w:rPr>
              <w:t>废水</w:t>
            </w:r>
          </w:p>
        </w:tc>
        <w:tc>
          <w:tcPr>
            <w:tcW w:w="591" w:type="pct"/>
            <w:vMerge w:val="restart"/>
            <w:vAlign w:val="center"/>
          </w:tcPr>
          <w:p w:rsidR="00EE4502" w:rsidRDefault="00FD45A3">
            <w:pPr>
              <w:jc w:val="center"/>
              <w:rPr>
                <w:rFonts w:hAnsi="宋体"/>
                <w:kern w:val="21"/>
                <w:szCs w:val="21"/>
              </w:rPr>
            </w:pPr>
            <w:r>
              <w:rPr>
                <w:rFonts w:hAnsi="宋体" w:hint="eastAsia"/>
                <w:kern w:val="21"/>
                <w:szCs w:val="21"/>
              </w:rPr>
              <w:t>固废</w:t>
            </w:r>
          </w:p>
        </w:tc>
      </w:tr>
      <w:tr w:rsidR="00EE4502">
        <w:trPr>
          <w:trHeight w:val="397"/>
          <w:jc w:val="center"/>
        </w:trPr>
        <w:tc>
          <w:tcPr>
            <w:tcW w:w="919" w:type="pct"/>
            <w:vMerge/>
            <w:vAlign w:val="center"/>
          </w:tcPr>
          <w:p w:rsidR="00EE4502" w:rsidRDefault="00EE4502">
            <w:pPr>
              <w:jc w:val="center"/>
              <w:rPr>
                <w:rFonts w:hAnsi="宋体"/>
                <w:kern w:val="21"/>
                <w:szCs w:val="21"/>
              </w:rPr>
            </w:pPr>
          </w:p>
        </w:tc>
        <w:tc>
          <w:tcPr>
            <w:tcW w:w="562" w:type="pct"/>
            <w:vAlign w:val="center"/>
          </w:tcPr>
          <w:p w:rsidR="00EE4502" w:rsidRDefault="00FD45A3">
            <w:pPr>
              <w:jc w:val="center"/>
              <w:rPr>
                <w:rFonts w:hAnsi="宋体"/>
                <w:kern w:val="21"/>
                <w:szCs w:val="21"/>
              </w:rPr>
            </w:pPr>
            <w:r>
              <w:rPr>
                <w:rFonts w:hAnsi="宋体" w:hint="eastAsia"/>
                <w:kern w:val="21"/>
                <w:szCs w:val="21"/>
              </w:rPr>
              <w:t>颗粒物</w:t>
            </w:r>
          </w:p>
        </w:tc>
        <w:tc>
          <w:tcPr>
            <w:tcW w:w="589" w:type="pct"/>
            <w:vAlign w:val="center"/>
          </w:tcPr>
          <w:p w:rsidR="00EE4502" w:rsidRDefault="00FD45A3">
            <w:pPr>
              <w:jc w:val="center"/>
              <w:rPr>
                <w:rFonts w:hAnsi="宋体"/>
                <w:kern w:val="21"/>
                <w:szCs w:val="21"/>
              </w:rPr>
            </w:pPr>
            <w:r>
              <w:rPr>
                <w:rFonts w:hAnsi="宋体" w:hint="eastAsia"/>
                <w:kern w:val="21"/>
                <w:szCs w:val="21"/>
              </w:rPr>
              <w:t>SO</w:t>
            </w:r>
            <w:r>
              <w:rPr>
                <w:rFonts w:hAnsi="宋体" w:hint="eastAsia"/>
                <w:kern w:val="21"/>
                <w:szCs w:val="21"/>
                <w:vertAlign w:val="subscript"/>
              </w:rPr>
              <w:t>2</w:t>
            </w:r>
          </w:p>
        </w:tc>
        <w:tc>
          <w:tcPr>
            <w:tcW w:w="588" w:type="pct"/>
            <w:vAlign w:val="center"/>
          </w:tcPr>
          <w:p w:rsidR="00EE4502" w:rsidRDefault="00FD45A3">
            <w:pPr>
              <w:jc w:val="center"/>
              <w:rPr>
                <w:rFonts w:hAnsi="宋体"/>
                <w:kern w:val="21"/>
                <w:szCs w:val="21"/>
              </w:rPr>
            </w:pPr>
            <w:r>
              <w:rPr>
                <w:rFonts w:hAnsi="宋体" w:hint="eastAsia"/>
                <w:kern w:val="21"/>
                <w:szCs w:val="21"/>
              </w:rPr>
              <w:t>NOx</w:t>
            </w:r>
          </w:p>
        </w:tc>
        <w:tc>
          <w:tcPr>
            <w:tcW w:w="674" w:type="pct"/>
            <w:vAlign w:val="center"/>
          </w:tcPr>
          <w:p w:rsidR="00EE4502" w:rsidRDefault="00FD45A3">
            <w:pPr>
              <w:jc w:val="center"/>
              <w:rPr>
                <w:rFonts w:hAnsi="宋体"/>
                <w:kern w:val="21"/>
                <w:szCs w:val="21"/>
              </w:rPr>
            </w:pPr>
            <w:r>
              <w:rPr>
                <w:rFonts w:hAnsi="宋体" w:hint="eastAsia"/>
                <w:kern w:val="21"/>
                <w:szCs w:val="21"/>
              </w:rPr>
              <w:t>NMHC</w:t>
            </w:r>
          </w:p>
        </w:tc>
        <w:tc>
          <w:tcPr>
            <w:tcW w:w="532" w:type="pct"/>
            <w:vAlign w:val="center"/>
          </w:tcPr>
          <w:p w:rsidR="00EE4502" w:rsidRDefault="00FD45A3">
            <w:pPr>
              <w:jc w:val="center"/>
              <w:rPr>
                <w:rFonts w:hAnsi="宋体"/>
                <w:kern w:val="21"/>
                <w:szCs w:val="21"/>
              </w:rPr>
            </w:pPr>
            <w:r>
              <w:rPr>
                <w:rFonts w:hAnsi="宋体" w:hint="eastAsia"/>
                <w:kern w:val="21"/>
                <w:szCs w:val="21"/>
              </w:rPr>
              <w:t>H</w:t>
            </w:r>
            <w:r>
              <w:rPr>
                <w:rFonts w:hAnsi="宋体" w:hint="eastAsia"/>
                <w:kern w:val="21"/>
                <w:szCs w:val="21"/>
                <w:vertAlign w:val="subscript"/>
              </w:rPr>
              <w:t>2</w:t>
            </w:r>
            <w:r>
              <w:rPr>
                <w:rFonts w:hAnsi="宋体" w:hint="eastAsia"/>
                <w:kern w:val="21"/>
                <w:szCs w:val="21"/>
              </w:rPr>
              <w:t>S</w:t>
            </w:r>
          </w:p>
        </w:tc>
        <w:tc>
          <w:tcPr>
            <w:tcW w:w="543" w:type="pct"/>
            <w:vMerge/>
            <w:vAlign w:val="center"/>
          </w:tcPr>
          <w:p w:rsidR="00EE4502" w:rsidRDefault="00EE4502">
            <w:pPr>
              <w:jc w:val="center"/>
              <w:rPr>
                <w:rFonts w:hAnsi="宋体"/>
                <w:kern w:val="21"/>
                <w:szCs w:val="21"/>
              </w:rPr>
            </w:pPr>
          </w:p>
        </w:tc>
        <w:tc>
          <w:tcPr>
            <w:tcW w:w="591" w:type="pct"/>
            <w:vMerge/>
            <w:vAlign w:val="center"/>
          </w:tcPr>
          <w:p w:rsidR="00EE4502" w:rsidRDefault="00EE4502">
            <w:pPr>
              <w:jc w:val="center"/>
              <w:rPr>
                <w:rFonts w:hAnsi="宋体"/>
                <w:kern w:val="21"/>
                <w:szCs w:val="21"/>
              </w:rPr>
            </w:pPr>
          </w:p>
        </w:tc>
      </w:tr>
      <w:tr w:rsidR="00EE4502">
        <w:trPr>
          <w:trHeight w:val="397"/>
          <w:jc w:val="center"/>
        </w:trPr>
        <w:tc>
          <w:tcPr>
            <w:tcW w:w="919" w:type="pct"/>
            <w:vAlign w:val="center"/>
          </w:tcPr>
          <w:p w:rsidR="00EE4502" w:rsidRDefault="00FD45A3">
            <w:pPr>
              <w:jc w:val="center"/>
              <w:rPr>
                <w:rFonts w:hAnsi="宋体"/>
                <w:kern w:val="21"/>
                <w:szCs w:val="21"/>
              </w:rPr>
            </w:pPr>
            <w:r>
              <w:rPr>
                <w:rFonts w:hAnsi="宋体" w:hint="eastAsia"/>
                <w:kern w:val="21"/>
                <w:szCs w:val="21"/>
              </w:rPr>
              <w:t>排</w:t>
            </w:r>
            <w:r>
              <w:rPr>
                <w:rFonts w:hAnsi="宋体" w:hint="eastAsia"/>
                <w:kern w:val="21"/>
                <w:szCs w:val="21"/>
              </w:rPr>
              <w:t>61</w:t>
            </w:r>
            <w:r>
              <w:rPr>
                <w:rFonts w:hAnsi="宋体" w:hint="eastAsia"/>
                <w:kern w:val="21"/>
                <w:szCs w:val="21"/>
              </w:rPr>
              <w:t>块方案区现有工程排放量</w:t>
            </w:r>
          </w:p>
        </w:tc>
        <w:tc>
          <w:tcPr>
            <w:tcW w:w="562" w:type="pct"/>
            <w:vAlign w:val="center"/>
          </w:tcPr>
          <w:p w:rsidR="00EE4502" w:rsidRDefault="00FD45A3">
            <w:pPr>
              <w:jc w:val="center"/>
              <w:rPr>
                <w:rFonts w:hAnsi="宋体"/>
                <w:kern w:val="21"/>
                <w:szCs w:val="21"/>
              </w:rPr>
            </w:pPr>
            <w:r>
              <w:rPr>
                <w:rFonts w:hAnsi="宋体" w:hint="eastAsia"/>
                <w:kern w:val="21"/>
                <w:szCs w:val="21"/>
              </w:rPr>
              <w:t>0</w:t>
            </w:r>
          </w:p>
        </w:tc>
        <w:tc>
          <w:tcPr>
            <w:tcW w:w="589" w:type="pct"/>
            <w:vAlign w:val="center"/>
          </w:tcPr>
          <w:p w:rsidR="00EE4502" w:rsidRDefault="00FD45A3">
            <w:pPr>
              <w:jc w:val="center"/>
              <w:rPr>
                <w:rFonts w:hAnsi="宋体"/>
                <w:kern w:val="21"/>
                <w:szCs w:val="21"/>
              </w:rPr>
            </w:pPr>
            <w:r>
              <w:rPr>
                <w:rFonts w:hAnsi="宋体" w:hint="eastAsia"/>
                <w:kern w:val="21"/>
                <w:szCs w:val="21"/>
              </w:rPr>
              <w:t>0</w:t>
            </w:r>
          </w:p>
        </w:tc>
        <w:tc>
          <w:tcPr>
            <w:tcW w:w="588" w:type="pct"/>
            <w:vAlign w:val="center"/>
          </w:tcPr>
          <w:p w:rsidR="00EE4502" w:rsidRDefault="00FD45A3">
            <w:pPr>
              <w:jc w:val="center"/>
              <w:rPr>
                <w:rFonts w:hAnsi="宋体"/>
                <w:kern w:val="21"/>
                <w:szCs w:val="21"/>
              </w:rPr>
            </w:pPr>
            <w:r>
              <w:rPr>
                <w:rFonts w:hAnsi="宋体" w:hint="eastAsia"/>
                <w:kern w:val="21"/>
                <w:szCs w:val="21"/>
              </w:rPr>
              <w:t>0</w:t>
            </w:r>
          </w:p>
        </w:tc>
        <w:tc>
          <w:tcPr>
            <w:tcW w:w="674" w:type="pct"/>
            <w:vAlign w:val="center"/>
          </w:tcPr>
          <w:p w:rsidR="00EE4502" w:rsidRDefault="00FD45A3">
            <w:pPr>
              <w:jc w:val="center"/>
              <w:rPr>
                <w:rFonts w:hAnsi="宋体"/>
                <w:kern w:val="21"/>
                <w:szCs w:val="21"/>
              </w:rPr>
            </w:pPr>
            <w:r>
              <w:rPr>
                <w:rFonts w:hAnsi="宋体" w:hint="eastAsia"/>
                <w:kern w:val="21"/>
                <w:szCs w:val="21"/>
              </w:rPr>
              <w:t>3.0875t</w:t>
            </w:r>
          </w:p>
        </w:tc>
        <w:tc>
          <w:tcPr>
            <w:tcW w:w="532" w:type="pct"/>
            <w:vAlign w:val="center"/>
          </w:tcPr>
          <w:p w:rsidR="00EE4502" w:rsidRDefault="00FD45A3">
            <w:pPr>
              <w:jc w:val="center"/>
              <w:rPr>
                <w:rFonts w:hAnsi="宋体"/>
                <w:kern w:val="21"/>
                <w:szCs w:val="21"/>
              </w:rPr>
            </w:pPr>
            <w:r>
              <w:rPr>
                <w:rFonts w:hAnsi="宋体" w:hint="eastAsia"/>
                <w:kern w:val="21"/>
                <w:szCs w:val="21"/>
              </w:rPr>
              <w:t>0</w:t>
            </w:r>
          </w:p>
        </w:tc>
        <w:tc>
          <w:tcPr>
            <w:tcW w:w="543" w:type="pct"/>
            <w:vAlign w:val="center"/>
          </w:tcPr>
          <w:p w:rsidR="00EE4502" w:rsidRDefault="00FD45A3">
            <w:pPr>
              <w:jc w:val="center"/>
              <w:rPr>
                <w:rFonts w:hAnsi="宋体"/>
                <w:kern w:val="21"/>
                <w:szCs w:val="21"/>
              </w:rPr>
            </w:pPr>
            <w:r>
              <w:rPr>
                <w:rFonts w:hAnsi="宋体" w:hint="eastAsia"/>
                <w:kern w:val="21"/>
                <w:szCs w:val="21"/>
              </w:rPr>
              <w:t>0</w:t>
            </w:r>
          </w:p>
        </w:tc>
        <w:tc>
          <w:tcPr>
            <w:tcW w:w="591" w:type="pct"/>
            <w:vAlign w:val="center"/>
          </w:tcPr>
          <w:p w:rsidR="00EE4502" w:rsidRDefault="00FD45A3">
            <w:pPr>
              <w:jc w:val="center"/>
              <w:rPr>
                <w:rFonts w:hAnsi="宋体"/>
                <w:kern w:val="21"/>
                <w:szCs w:val="21"/>
              </w:rPr>
            </w:pPr>
            <w:r>
              <w:rPr>
                <w:rFonts w:hAnsi="宋体" w:hint="eastAsia"/>
                <w:kern w:val="21"/>
                <w:szCs w:val="21"/>
              </w:rPr>
              <w:t>0</w:t>
            </w:r>
          </w:p>
        </w:tc>
      </w:tr>
    </w:tbl>
    <w:p w:rsidR="00EE4502" w:rsidRDefault="00EE4502">
      <w:pPr>
        <w:pStyle w:val="22"/>
        <w:numPr>
          <w:ilvl w:val="1"/>
          <w:numId w:val="30"/>
        </w:numPr>
        <w:rPr>
          <w:spacing w:val="0"/>
          <w:w w:val="100"/>
        </w:rPr>
        <w:sectPr w:rsidR="00EE4502">
          <w:pgSz w:w="11906" w:h="16838"/>
          <w:pgMar w:top="1440" w:right="1800" w:bottom="1440" w:left="1800" w:header="850" w:footer="850" w:gutter="0"/>
          <w:pgNumType w:fmt="numberInDash"/>
          <w:cols w:space="720"/>
          <w:docGrid w:linePitch="326"/>
        </w:sectPr>
      </w:pPr>
      <w:bookmarkStart w:id="89" w:name="_Toc22156"/>
    </w:p>
    <w:p w:rsidR="00EE4502" w:rsidRDefault="00FD45A3">
      <w:pPr>
        <w:pStyle w:val="22"/>
        <w:numPr>
          <w:ilvl w:val="1"/>
          <w:numId w:val="30"/>
        </w:numPr>
        <w:rPr>
          <w:spacing w:val="0"/>
          <w:w w:val="100"/>
        </w:rPr>
      </w:pPr>
      <w:r>
        <w:rPr>
          <w:spacing w:val="0"/>
          <w:w w:val="100"/>
        </w:rPr>
        <w:lastRenderedPageBreak/>
        <w:t>拟建工程</w:t>
      </w:r>
      <w:bookmarkEnd w:id="87"/>
      <w:bookmarkEnd w:id="89"/>
    </w:p>
    <w:p w:rsidR="00EE4502" w:rsidRDefault="00FD45A3">
      <w:pPr>
        <w:pStyle w:val="33"/>
        <w:numPr>
          <w:ilvl w:val="2"/>
          <w:numId w:val="30"/>
        </w:numPr>
        <w:spacing w:line="360" w:lineRule="auto"/>
        <w:ind w:left="0" w:firstLine="0"/>
        <w:rPr>
          <w:spacing w:val="0"/>
          <w:sz w:val="24"/>
          <w:szCs w:val="24"/>
        </w:rPr>
      </w:pPr>
      <w:r>
        <w:rPr>
          <w:rFonts w:hint="eastAsia"/>
          <w:spacing w:val="0"/>
          <w:sz w:val="24"/>
          <w:szCs w:val="24"/>
        </w:rPr>
        <w:t>项目概况</w:t>
      </w:r>
    </w:p>
    <w:p w:rsidR="00EE4502" w:rsidRDefault="00FD45A3">
      <w:pPr>
        <w:pStyle w:val="41"/>
        <w:numPr>
          <w:ilvl w:val="3"/>
          <w:numId w:val="30"/>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bCs w:val="0"/>
          <w:sz w:val="24"/>
          <w:szCs w:val="24"/>
        </w:rPr>
        <w:t>项目名称和性质</w:t>
      </w:r>
    </w:p>
    <w:p w:rsidR="00EE4502" w:rsidRDefault="00FD45A3">
      <w:pPr>
        <w:spacing w:line="360" w:lineRule="auto"/>
        <w:ind w:firstLineChars="200" w:firstLine="480"/>
        <w:rPr>
          <w:sz w:val="24"/>
        </w:rPr>
      </w:pPr>
      <w:r>
        <w:rPr>
          <w:sz w:val="24"/>
        </w:rPr>
        <w:t>项目名称：</w:t>
      </w:r>
      <w:r>
        <w:rPr>
          <w:rFonts w:hint="eastAsia"/>
          <w:sz w:val="24"/>
        </w:rPr>
        <w:t>春风油田石炭系排</w:t>
      </w:r>
      <w:r>
        <w:rPr>
          <w:rFonts w:hint="eastAsia"/>
          <w:sz w:val="24"/>
        </w:rPr>
        <w:t>61</w:t>
      </w:r>
      <w:r>
        <w:rPr>
          <w:rFonts w:hint="eastAsia"/>
          <w:sz w:val="24"/>
        </w:rPr>
        <w:t>块产能建设工程</w:t>
      </w:r>
    </w:p>
    <w:p w:rsidR="00EE4502" w:rsidRDefault="00FD45A3">
      <w:pPr>
        <w:spacing w:line="360" w:lineRule="auto"/>
        <w:ind w:firstLineChars="200" w:firstLine="480"/>
        <w:rPr>
          <w:sz w:val="24"/>
        </w:rPr>
      </w:pPr>
      <w:r>
        <w:rPr>
          <w:sz w:val="24"/>
        </w:rPr>
        <w:t>建设单位：中石化新疆新春石油开发有限责任公司</w:t>
      </w:r>
    </w:p>
    <w:p w:rsidR="00EE4502" w:rsidRDefault="00FD45A3">
      <w:pPr>
        <w:spacing w:line="360" w:lineRule="auto"/>
        <w:ind w:firstLineChars="200" w:firstLine="480"/>
        <w:rPr>
          <w:sz w:val="24"/>
        </w:rPr>
      </w:pPr>
      <w:r>
        <w:rPr>
          <w:sz w:val="24"/>
        </w:rPr>
        <w:t>建设性质：新建</w:t>
      </w:r>
    </w:p>
    <w:p w:rsidR="00EE4502" w:rsidRDefault="00FD45A3">
      <w:pPr>
        <w:pStyle w:val="41"/>
        <w:numPr>
          <w:ilvl w:val="3"/>
          <w:numId w:val="30"/>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bCs w:val="0"/>
          <w:sz w:val="24"/>
          <w:szCs w:val="24"/>
        </w:rPr>
        <w:t>建设地点</w:t>
      </w:r>
    </w:p>
    <w:p w:rsidR="00EE4502" w:rsidRDefault="00FD45A3">
      <w:pPr>
        <w:spacing w:line="360" w:lineRule="auto"/>
        <w:ind w:firstLineChars="200" w:firstLine="480"/>
        <w:rPr>
          <w:sz w:val="24"/>
        </w:rPr>
      </w:pPr>
      <w:r>
        <w:rPr>
          <w:rFonts w:hint="eastAsia"/>
          <w:sz w:val="24"/>
        </w:rPr>
        <w:t>本工程所在区域地跨克拉玛依市及第七师胡杨河市。其中，</w:t>
      </w:r>
      <w:r>
        <w:rPr>
          <w:rFonts w:hint="eastAsia"/>
          <w:sz w:val="24"/>
        </w:rPr>
        <w:t>排</w:t>
      </w:r>
      <w:r>
        <w:rPr>
          <w:rFonts w:hint="eastAsia"/>
          <w:sz w:val="24"/>
        </w:rPr>
        <w:t>61</w:t>
      </w:r>
      <w:r>
        <w:rPr>
          <w:rFonts w:hint="eastAsia"/>
          <w:sz w:val="24"/>
        </w:rPr>
        <w:t>块、排</w:t>
      </w:r>
      <w:r>
        <w:rPr>
          <w:rFonts w:hint="eastAsia"/>
          <w:sz w:val="24"/>
        </w:rPr>
        <w:t>7-15</w:t>
      </w:r>
      <w:r>
        <w:rPr>
          <w:rFonts w:hint="eastAsia"/>
          <w:sz w:val="24"/>
        </w:rPr>
        <w:t>、排</w:t>
      </w:r>
      <w:r>
        <w:rPr>
          <w:rFonts w:hint="eastAsia"/>
          <w:sz w:val="24"/>
        </w:rPr>
        <w:t>7-16</w:t>
      </w:r>
      <w:r>
        <w:rPr>
          <w:rFonts w:hint="eastAsia"/>
          <w:sz w:val="24"/>
        </w:rPr>
        <w:t>、排</w:t>
      </w:r>
      <w:r>
        <w:rPr>
          <w:rFonts w:hint="eastAsia"/>
          <w:sz w:val="24"/>
        </w:rPr>
        <w:t>71</w:t>
      </w:r>
      <w:r>
        <w:rPr>
          <w:rFonts w:hint="eastAsia"/>
          <w:sz w:val="24"/>
        </w:rPr>
        <w:t>、车浅</w:t>
      </w:r>
      <w:r>
        <w:rPr>
          <w:rFonts w:hint="eastAsia"/>
          <w:sz w:val="24"/>
        </w:rPr>
        <w:t>1-7</w:t>
      </w:r>
      <w:r>
        <w:rPr>
          <w:rFonts w:hint="eastAsia"/>
          <w:sz w:val="24"/>
        </w:rPr>
        <w:t>注水站等所在区域行政区划隶属于</w:t>
      </w:r>
      <w:r>
        <w:rPr>
          <w:rFonts w:hint="eastAsia"/>
          <w:sz w:val="24"/>
        </w:rPr>
        <w:t>新疆</w:t>
      </w:r>
      <w:r>
        <w:rPr>
          <w:rFonts w:hint="eastAsia"/>
          <w:sz w:val="24"/>
        </w:rPr>
        <w:t>维吾尔</w:t>
      </w:r>
      <w:r>
        <w:rPr>
          <w:rFonts w:hint="eastAsia"/>
          <w:sz w:val="24"/>
        </w:rPr>
        <w:t>自治区克拉玛依市</w:t>
      </w:r>
      <w:r>
        <w:rPr>
          <w:rFonts w:hint="eastAsia"/>
          <w:sz w:val="24"/>
        </w:rPr>
        <w:t>克拉玛依区</w:t>
      </w:r>
      <w:r>
        <w:rPr>
          <w:rFonts w:hint="eastAsia"/>
          <w:sz w:val="24"/>
        </w:rPr>
        <w:t>，距离</w:t>
      </w:r>
      <w:r>
        <w:rPr>
          <w:rFonts w:hint="eastAsia"/>
          <w:sz w:val="24"/>
        </w:rPr>
        <w:t>市区约</w:t>
      </w:r>
      <w:r>
        <w:rPr>
          <w:rFonts w:hint="eastAsia"/>
          <w:sz w:val="24"/>
        </w:rPr>
        <w:t>65km</w:t>
      </w:r>
      <w:r>
        <w:rPr>
          <w:rFonts w:hint="eastAsia"/>
          <w:sz w:val="24"/>
        </w:rPr>
        <w:t>。</w:t>
      </w:r>
      <w:r>
        <w:rPr>
          <w:rFonts w:hint="eastAsia"/>
          <w:sz w:val="24"/>
        </w:rPr>
        <w:t>排</w:t>
      </w:r>
      <w:r>
        <w:rPr>
          <w:rFonts w:hint="eastAsia"/>
          <w:sz w:val="24"/>
        </w:rPr>
        <w:t>61</w:t>
      </w:r>
      <w:r>
        <w:rPr>
          <w:rFonts w:hint="eastAsia"/>
          <w:sz w:val="24"/>
        </w:rPr>
        <w:t>块主体工程</w:t>
      </w:r>
      <w:r>
        <w:rPr>
          <w:rFonts w:hint="eastAsia"/>
          <w:sz w:val="24"/>
        </w:rPr>
        <w:t>位于</w:t>
      </w:r>
      <w:r>
        <w:rPr>
          <w:rFonts w:hint="eastAsia"/>
          <w:sz w:val="24"/>
        </w:rPr>
        <w:t>217</w:t>
      </w:r>
      <w:r>
        <w:rPr>
          <w:rFonts w:hint="eastAsia"/>
          <w:sz w:val="24"/>
        </w:rPr>
        <w:t>国道东侧，南邻排</w:t>
      </w:r>
      <w:r>
        <w:rPr>
          <w:rFonts w:hint="eastAsia"/>
          <w:sz w:val="24"/>
        </w:rPr>
        <w:t>612</w:t>
      </w:r>
      <w:r>
        <w:rPr>
          <w:rFonts w:hint="eastAsia"/>
          <w:sz w:val="24"/>
        </w:rPr>
        <w:t>区块，东邻排</w:t>
      </w:r>
      <w:r>
        <w:rPr>
          <w:rFonts w:hint="eastAsia"/>
          <w:sz w:val="24"/>
        </w:rPr>
        <w:t>66</w:t>
      </w:r>
      <w:r>
        <w:rPr>
          <w:rFonts w:hint="eastAsia"/>
          <w:sz w:val="24"/>
        </w:rPr>
        <w:t>区块，隶属于采油管理三区管辖，区块距离春风二号联合站约</w:t>
      </w:r>
      <w:r>
        <w:rPr>
          <w:rFonts w:hint="eastAsia"/>
          <w:sz w:val="24"/>
        </w:rPr>
        <w:t>7.8km</w:t>
      </w:r>
      <w:r>
        <w:rPr>
          <w:rFonts w:hint="eastAsia"/>
          <w:sz w:val="24"/>
        </w:rPr>
        <w:t>；</w:t>
      </w:r>
      <w:r>
        <w:rPr>
          <w:rFonts w:hint="eastAsia"/>
          <w:sz w:val="24"/>
        </w:rPr>
        <w:t>排</w:t>
      </w:r>
      <w:r>
        <w:rPr>
          <w:rFonts w:hint="eastAsia"/>
          <w:sz w:val="24"/>
        </w:rPr>
        <w:t>7-</w:t>
      </w:r>
      <w:r>
        <w:rPr>
          <w:rFonts w:hint="eastAsia"/>
          <w:sz w:val="24"/>
        </w:rPr>
        <w:t>斜</w:t>
      </w:r>
      <w:r>
        <w:rPr>
          <w:rFonts w:hint="eastAsia"/>
          <w:sz w:val="24"/>
        </w:rPr>
        <w:t>17</w:t>
      </w:r>
      <w:r>
        <w:rPr>
          <w:rFonts w:hint="eastAsia"/>
          <w:sz w:val="24"/>
        </w:rPr>
        <w:t>及排</w:t>
      </w:r>
      <w:r>
        <w:rPr>
          <w:rFonts w:hint="eastAsia"/>
          <w:sz w:val="24"/>
        </w:rPr>
        <w:t>7</w:t>
      </w:r>
      <w:r>
        <w:rPr>
          <w:rFonts w:hint="eastAsia"/>
          <w:sz w:val="24"/>
        </w:rPr>
        <w:t>注水站所在区域行政区划隶属于新疆生产建设兵团第七师胡杨河市</w:t>
      </w:r>
      <w:r>
        <w:rPr>
          <w:rFonts w:hint="eastAsia"/>
          <w:sz w:val="24"/>
        </w:rPr>
        <w:t>，</w:t>
      </w:r>
      <w:r>
        <w:rPr>
          <w:sz w:val="24"/>
        </w:rPr>
        <w:t>隶属</w:t>
      </w:r>
      <w:r>
        <w:rPr>
          <w:sz w:val="24"/>
        </w:rPr>
        <w:t>于春风油田采油管理一区管辖。拟开采区块中心地理位置坐标</w:t>
      </w:r>
      <w:r>
        <w:rPr>
          <w:rFonts w:hint="eastAsia"/>
          <w:sz w:val="24"/>
        </w:rPr>
        <w:t>为：</w:t>
      </w:r>
      <w:r>
        <w:rPr>
          <w:rFonts w:hint="eastAsia"/>
          <w:sz w:val="24"/>
        </w:rPr>
        <w:t>。</w:t>
      </w:r>
      <w:r>
        <w:rPr>
          <w:rFonts w:hint="eastAsia"/>
          <w:sz w:val="24"/>
        </w:rPr>
        <w:t>工程区</w:t>
      </w:r>
      <w:r>
        <w:rPr>
          <w:sz w:val="24"/>
        </w:rPr>
        <w:t>地理位置见图</w:t>
      </w:r>
      <w:r>
        <w:rPr>
          <w:rFonts w:hint="eastAsia"/>
          <w:sz w:val="24"/>
        </w:rPr>
        <w:t>3-3</w:t>
      </w:r>
      <w:r>
        <w:rPr>
          <w:sz w:val="24"/>
        </w:rPr>
        <w:t>-1</w:t>
      </w:r>
      <w:r>
        <w:rPr>
          <w:sz w:val="24"/>
        </w:rPr>
        <w:t>。</w:t>
      </w:r>
    </w:p>
    <w:p w:rsidR="00EE4502" w:rsidRDefault="00FD45A3">
      <w:pPr>
        <w:pStyle w:val="41"/>
        <w:numPr>
          <w:ilvl w:val="3"/>
          <w:numId w:val="30"/>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bCs w:val="0"/>
          <w:sz w:val="24"/>
          <w:szCs w:val="24"/>
        </w:rPr>
        <w:t>建设内容</w:t>
      </w:r>
      <w:r>
        <w:rPr>
          <w:rFonts w:ascii="Times New Roman" w:eastAsia="宋体" w:hAnsi="Times New Roman" w:hint="eastAsia"/>
          <w:bCs w:val="0"/>
          <w:sz w:val="24"/>
          <w:szCs w:val="24"/>
        </w:rPr>
        <w:t>及规模</w:t>
      </w:r>
    </w:p>
    <w:p w:rsidR="00EE4502" w:rsidRDefault="00FD45A3">
      <w:pPr>
        <w:widowControl/>
        <w:spacing w:line="360" w:lineRule="auto"/>
        <w:ind w:firstLine="480"/>
        <w:rPr>
          <w:sz w:val="24"/>
        </w:rPr>
      </w:pPr>
      <w:r>
        <w:rPr>
          <w:rFonts w:hint="eastAsia"/>
          <w:sz w:val="24"/>
        </w:rPr>
        <w:t>工程</w:t>
      </w:r>
      <w:r>
        <w:rPr>
          <w:rFonts w:hint="eastAsia"/>
          <w:sz w:val="24"/>
        </w:rPr>
        <w:t>部署</w:t>
      </w:r>
      <w:r>
        <w:rPr>
          <w:rFonts w:hint="eastAsia"/>
          <w:sz w:val="24"/>
        </w:rPr>
        <w:t>22</w:t>
      </w:r>
      <w:r>
        <w:rPr>
          <w:rFonts w:hint="eastAsia"/>
          <w:sz w:val="24"/>
        </w:rPr>
        <w:t>口</w:t>
      </w:r>
      <w:r>
        <w:rPr>
          <w:rFonts w:hint="eastAsia"/>
          <w:sz w:val="24"/>
        </w:rPr>
        <w:t>井</w:t>
      </w:r>
      <w:r>
        <w:rPr>
          <w:rFonts w:hint="eastAsia"/>
          <w:sz w:val="24"/>
        </w:rPr>
        <w:t>，其中</w:t>
      </w:r>
      <w:r>
        <w:rPr>
          <w:rFonts w:hint="eastAsia"/>
          <w:sz w:val="24"/>
        </w:rPr>
        <w:t>新钻</w:t>
      </w:r>
      <w:r>
        <w:rPr>
          <w:rFonts w:hint="eastAsia"/>
          <w:sz w:val="24"/>
        </w:rPr>
        <w:t>井</w:t>
      </w:r>
      <w:r>
        <w:rPr>
          <w:rFonts w:hint="eastAsia"/>
          <w:sz w:val="24"/>
        </w:rPr>
        <w:t>18</w:t>
      </w:r>
      <w:r>
        <w:rPr>
          <w:rFonts w:hint="eastAsia"/>
          <w:sz w:val="24"/>
        </w:rPr>
        <w:t>口</w:t>
      </w:r>
      <w:r>
        <w:rPr>
          <w:rFonts w:hint="eastAsia"/>
          <w:sz w:val="24"/>
        </w:rPr>
        <w:t>（</w:t>
      </w:r>
      <w:r>
        <w:rPr>
          <w:rFonts w:hint="eastAsia"/>
          <w:sz w:val="24"/>
        </w:rPr>
        <w:t>含采油井</w:t>
      </w:r>
      <w:r>
        <w:rPr>
          <w:rFonts w:hint="eastAsia"/>
          <w:sz w:val="24"/>
        </w:rPr>
        <w:t>15</w:t>
      </w:r>
      <w:r>
        <w:rPr>
          <w:rFonts w:hint="eastAsia"/>
          <w:sz w:val="24"/>
        </w:rPr>
        <w:t>口、回注井</w:t>
      </w:r>
      <w:r>
        <w:rPr>
          <w:rFonts w:hint="eastAsia"/>
          <w:sz w:val="24"/>
        </w:rPr>
        <w:t>3</w:t>
      </w:r>
      <w:r>
        <w:rPr>
          <w:rFonts w:hint="eastAsia"/>
          <w:sz w:val="24"/>
        </w:rPr>
        <w:t>口</w:t>
      </w:r>
      <w:r>
        <w:rPr>
          <w:rFonts w:hint="eastAsia"/>
          <w:sz w:val="24"/>
        </w:rPr>
        <w:t>）、</w:t>
      </w:r>
      <w:r>
        <w:rPr>
          <w:rFonts w:hint="eastAsia"/>
          <w:sz w:val="24"/>
        </w:rPr>
        <w:t>老井利用</w:t>
      </w:r>
      <w:r>
        <w:rPr>
          <w:rFonts w:hint="eastAsia"/>
          <w:sz w:val="24"/>
        </w:rPr>
        <w:t>4</w:t>
      </w:r>
      <w:r>
        <w:rPr>
          <w:rFonts w:hint="eastAsia"/>
          <w:sz w:val="24"/>
        </w:rPr>
        <w:t>口（含采油井</w:t>
      </w:r>
      <w:r>
        <w:rPr>
          <w:rFonts w:hint="eastAsia"/>
          <w:sz w:val="24"/>
        </w:rPr>
        <w:t>3</w:t>
      </w:r>
      <w:r>
        <w:rPr>
          <w:rFonts w:hint="eastAsia"/>
          <w:sz w:val="24"/>
        </w:rPr>
        <w:t>口、回注井</w:t>
      </w:r>
      <w:r>
        <w:rPr>
          <w:rFonts w:hint="eastAsia"/>
          <w:sz w:val="24"/>
        </w:rPr>
        <w:t>1</w:t>
      </w:r>
      <w:r>
        <w:rPr>
          <w:rFonts w:hint="eastAsia"/>
          <w:sz w:val="24"/>
        </w:rPr>
        <w:t>口）</w:t>
      </w:r>
      <w:r>
        <w:rPr>
          <w:rFonts w:hint="eastAsia"/>
          <w:sz w:val="24"/>
        </w:rPr>
        <w:t>；</w:t>
      </w:r>
      <w:r>
        <w:rPr>
          <w:rFonts w:hint="eastAsia"/>
          <w:sz w:val="24"/>
        </w:rPr>
        <w:t>动用石油地质储量</w:t>
      </w:r>
      <w:r>
        <w:rPr>
          <w:rFonts w:hint="eastAsia"/>
          <w:sz w:val="24"/>
        </w:rPr>
        <w:t>325.8</w:t>
      </w:r>
      <w:r>
        <w:rPr>
          <w:rFonts w:hint="eastAsia"/>
          <w:sz w:val="24"/>
        </w:rPr>
        <w:t>×</w:t>
      </w:r>
      <w:r>
        <w:rPr>
          <w:rFonts w:hint="eastAsia"/>
          <w:sz w:val="24"/>
        </w:rPr>
        <w:t>10</w:t>
      </w:r>
      <w:r>
        <w:rPr>
          <w:rFonts w:hint="eastAsia"/>
          <w:sz w:val="24"/>
          <w:vertAlign w:val="superscript"/>
        </w:rPr>
        <w:t>4</w:t>
      </w:r>
      <w:r>
        <w:rPr>
          <w:rFonts w:hint="eastAsia"/>
          <w:sz w:val="24"/>
        </w:rPr>
        <w:t>t</w:t>
      </w:r>
      <w:r>
        <w:rPr>
          <w:rFonts w:hint="eastAsia"/>
          <w:sz w:val="24"/>
        </w:rPr>
        <w:t>、含油面积</w:t>
      </w:r>
      <w:r>
        <w:rPr>
          <w:rFonts w:hint="eastAsia"/>
          <w:sz w:val="24"/>
        </w:rPr>
        <w:t>6.81km</w:t>
      </w:r>
      <w:r>
        <w:rPr>
          <w:rFonts w:hint="eastAsia"/>
          <w:sz w:val="24"/>
          <w:vertAlign w:val="superscript"/>
        </w:rPr>
        <w:t>2</w:t>
      </w:r>
      <w:r>
        <w:rPr>
          <w:rFonts w:hint="eastAsia"/>
          <w:sz w:val="24"/>
        </w:rPr>
        <w:t>，</w:t>
      </w:r>
      <w:r>
        <w:rPr>
          <w:rFonts w:hint="eastAsia"/>
          <w:sz w:val="24"/>
        </w:rPr>
        <w:t>均</w:t>
      </w:r>
      <w:r>
        <w:rPr>
          <w:rFonts w:hint="eastAsia"/>
          <w:sz w:val="24"/>
        </w:rPr>
        <w:t>采用管输方式生产</w:t>
      </w:r>
      <w:r>
        <w:rPr>
          <w:rFonts w:hint="eastAsia"/>
          <w:sz w:val="24"/>
        </w:rPr>
        <w:t>；</w:t>
      </w:r>
      <w:r>
        <w:rPr>
          <w:rFonts w:hint="eastAsia"/>
          <w:sz w:val="24"/>
        </w:rPr>
        <w:t>新增产能</w:t>
      </w:r>
      <w:r>
        <w:rPr>
          <w:rFonts w:hint="eastAsia"/>
          <w:sz w:val="24"/>
        </w:rPr>
        <w:t>3</w:t>
      </w:r>
      <w:r>
        <w:rPr>
          <w:rFonts w:hint="eastAsia"/>
          <w:sz w:val="24"/>
        </w:rPr>
        <w:t>×</w:t>
      </w:r>
      <w:r>
        <w:rPr>
          <w:rFonts w:hint="eastAsia"/>
          <w:sz w:val="24"/>
        </w:rPr>
        <w:t>10</w:t>
      </w:r>
      <w:r>
        <w:rPr>
          <w:rFonts w:hint="eastAsia"/>
          <w:sz w:val="24"/>
          <w:vertAlign w:val="superscript"/>
        </w:rPr>
        <w:t>4</w:t>
      </w:r>
      <w:r>
        <w:rPr>
          <w:rFonts w:hint="eastAsia"/>
          <w:sz w:val="24"/>
        </w:rPr>
        <w:t>t/a</w:t>
      </w:r>
      <w:r>
        <w:rPr>
          <w:rFonts w:hint="eastAsia"/>
          <w:sz w:val="24"/>
        </w:rPr>
        <w:t>，开采方式为</w:t>
      </w:r>
      <w:r>
        <w:rPr>
          <w:rFonts w:hint="eastAsia"/>
          <w:sz w:val="24"/>
        </w:rPr>
        <w:t>冷采</w:t>
      </w:r>
      <w:r>
        <w:rPr>
          <w:rFonts w:hint="eastAsia"/>
          <w:sz w:val="24"/>
        </w:rPr>
        <w:t>9</w:t>
      </w:r>
      <w:r>
        <w:rPr>
          <w:rFonts w:hint="eastAsia"/>
          <w:sz w:val="24"/>
        </w:rPr>
        <w:t>口、热采</w:t>
      </w:r>
      <w:r>
        <w:rPr>
          <w:rFonts w:hint="eastAsia"/>
          <w:sz w:val="24"/>
        </w:rPr>
        <w:t>9</w:t>
      </w:r>
      <w:r>
        <w:rPr>
          <w:rFonts w:hint="eastAsia"/>
          <w:sz w:val="24"/>
        </w:rPr>
        <w:t>口；</w:t>
      </w:r>
      <w:r>
        <w:rPr>
          <w:rFonts w:hint="eastAsia"/>
          <w:sz w:val="24"/>
        </w:rPr>
        <w:t>新建集油管线</w:t>
      </w:r>
      <w:r>
        <w:rPr>
          <w:rFonts w:hint="eastAsia"/>
          <w:sz w:val="24"/>
        </w:rPr>
        <w:t>13.9</w:t>
      </w:r>
      <w:r>
        <w:rPr>
          <w:rFonts w:hint="eastAsia"/>
          <w:sz w:val="24"/>
        </w:rPr>
        <w:t>km</w:t>
      </w:r>
      <w:r>
        <w:rPr>
          <w:rFonts w:hint="eastAsia"/>
          <w:sz w:val="24"/>
        </w:rPr>
        <w:t>、</w:t>
      </w:r>
      <w:r>
        <w:rPr>
          <w:rFonts w:hint="eastAsia"/>
          <w:sz w:val="24"/>
        </w:rPr>
        <w:t>掺水管线</w:t>
      </w:r>
      <w:r>
        <w:rPr>
          <w:rFonts w:hint="eastAsia"/>
          <w:sz w:val="24"/>
        </w:rPr>
        <w:t>10.3km</w:t>
      </w:r>
      <w:r>
        <w:rPr>
          <w:rFonts w:hint="eastAsia"/>
          <w:sz w:val="24"/>
        </w:rPr>
        <w:t>、</w:t>
      </w:r>
      <w:r>
        <w:rPr>
          <w:rFonts w:hint="eastAsia"/>
          <w:sz w:val="24"/>
        </w:rPr>
        <w:t>注汽管线</w:t>
      </w:r>
      <w:r>
        <w:rPr>
          <w:rFonts w:hint="eastAsia"/>
          <w:sz w:val="24"/>
        </w:rPr>
        <w:t>0.3</w:t>
      </w:r>
      <w:r>
        <w:rPr>
          <w:rFonts w:hint="eastAsia"/>
          <w:sz w:val="24"/>
        </w:rPr>
        <w:t>km</w:t>
      </w:r>
      <w:r>
        <w:rPr>
          <w:rFonts w:hint="eastAsia"/>
          <w:sz w:val="24"/>
        </w:rPr>
        <w:t>、注水管线</w:t>
      </w:r>
      <w:r>
        <w:rPr>
          <w:rFonts w:hint="eastAsia"/>
          <w:sz w:val="24"/>
        </w:rPr>
        <w:t>2.05</w:t>
      </w:r>
      <w:r>
        <w:rPr>
          <w:rFonts w:hint="eastAsia"/>
          <w:sz w:val="24"/>
        </w:rPr>
        <w:t>km</w:t>
      </w:r>
      <w:r>
        <w:rPr>
          <w:rFonts w:hint="eastAsia"/>
          <w:sz w:val="24"/>
        </w:rPr>
        <w:t>、</w:t>
      </w:r>
      <w:r>
        <w:rPr>
          <w:rFonts w:hint="eastAsia"/>
          <w:sz w:val="24"/>
        </w:rPr>
        <w:t>伴生气掺烧管线</w:t>
      </w:r>
      <w:r>
        <w:rPr>
          <w:rFonts w:hint="eastAsia"/>
          <w:sz w:val="24"/>
        </w:rPr>
        <w:t>1.2km</w:t>
      </w:r>
      <w:r>
        <w:rPr>
          <w:rFonts w:hint="eastAsia"/>
          <w:sz w:val="24"/>
        </w:rPr>
        <w:t>；在排</w:t>
      </w:r>
      <w:r>
        <w:rPr>
          <w:rFonts w:hint="eastAsia"/>
          <w:sz w:val="24"/>
        </w:rPr>
        <w:t>61</w:t>
      </w:r>
      <w:r>
        <w:rPr>
          <w:rFonts w:hint="eastAsia"/>
          <w:sz w:val="24"/>
        </w:rPr>
        <w:t>块中部的排</w:t>
      </w:r>
      <w:r>
        <w:rPr>
          <w:rFonts w:hint="eastAsia"/>
          <w:sz w:val="24"/>
        </w:rPr>
        <w:t>61-</w:t>
      </w:r>
      <w:r>
        <w:rPr>
          <w:rFonts w:hint="eastAsia"/>
          <w:sz w:val="24"/>
        </w:rPr>
        <w:t>平</w:t>
      </w:r>
      <w:r>
        <w:rPr>
          <w:rFonts w:hint="eastAsia"/>
          <w:sz w:val="24"/>
        </w:rPr>
        <w:t>14</w:t>
      </w:r>
      <w:r>
        <w:rPr>
          <w:rFonts w:hint="eastAsia"/>
          <w:sz w:val="24"/>
        </w:rPr>
        <w:t>新建增压点</w:t>
      </w:r>
      <w:r>
        <w:rPr>
          <w:rFonts w:hint="eastAsia"/>
          <w:sz w:val="24"/>
        </w:rPr>
        <w:t>1</w:t>
      </w:r>
      <w:r>
        <w:rPr>
          <w:rFonts w:hint="eastAsia"/>
          <w:sz w:val="24"/>
        </w:rPr>
        <w:t>处；对</w:t>
      </w:r>
      <w:r>
        <w:rPr>
          <w:rFonts w:hint="eastAsia"/>
          <w:sz w:val="24"/>
        </w:rPr>
        <w:t>1#</w:t>
      </w:r>
      <w:r>
        <w:rPr>
          <w:rFonts w:hint="eastAsia"/>
          <w:sz w:val="24"/>
        </w:rPr>
        <w:t>增压站</w:t>
      </w:r>
      <w:r>
        <w:rPr>
          <w:rFonts w:hint="eastAsia"/>
          <w:sz w:val="24"/>
        </w:rPr>
        <w:t>进行就地分水改造</w:t>
      </w:r>
      <w:r>
        <w:rPr>
          <w:rFonts w:hint="eastAsia"/>
          <w:sz w:val="24"/>
        </w:rPr>
        <w:t>，</w:t>
      </w:r>
      <w:r>
        <w:rPr>
          <w:rFonts w:hint="eastAsia"/>
          <w:sz w:val="24"/>
        </w:rPr>
        <w:t>集输末端新建</w:t>
      </w:r>
      <w:r>
        <w:rPr>
          <w:rFonts w:hint="eastAsia"/>
          <w:sz w:val="24"/>
        </w:rPr>
        <w:t>掺水点</w:t>
      </w:r>
      <w:r>
        <w:rPr>
          <w:rFonts w:hint="eastAsia"/>
          <w:sz w:val="24"/>
        </w:rPr>
        <w:t>4</w:t>
      </w:r>
      <w:r>
        <w:rPr>
          <w:rFonts w:hint="eastAsia"/>
          <w:sz w:val="24"/>
        </w:rPr>
        <w:t>处，井口产液增压输至</w:t>
      </w:r>
      <w:r>
        <w:rPr>
          <w:rFonts w:hint="eastAsia"/>
          <w:sz w:val="24"/>
        </w:rPr>
        <w:t>1#</w:t>
      </w:r>
      <w:r>
        <w:rPr>
          <w:rFonts w:hint="eastAsia"/>
          <w:sz w:val="24"/>
        </w:rPr>
        <w:t>增压站增压后输至春风二号联合站处理</w:t>
      </w:r>
      <w:r>
        <w:rPr>
          <w:rFonts w:hint="eastAsia"/>
          <w:sz w:val="24"/>
        </w:rPr>
        <w:t>；</w:t>
      </w:r>
      <w:r>
        <w:rPr>
          <w:rFonts w:hint="eastAsia"/>
          <w:sz w:val="24"/>
        </w:rPr>
        <w:t>对排</w:t>
      </w:r>
      <w:r>
        <w:rPr>
          <w:rFonts w:hint="eastAsia"/>
          <w:sz w:val="24"/>
        </w:rPr>
        <w:t>7</w:t>
      </w:r>
      <w:r>
        <w:rPr>
          <w:rFonts w:hint="eastAsia"/>
          <w:sz w:val="24"/>
        </w:rPr>
        <w:t>注水站进行改扩建，站内新增</w:t>
      </w:r>
      <w:r>
        <w:rPr>
          <w:rFonts w:hint="eastAsia"/>
          <w:sz w:val="24"/>
        </w:rPr>
        <w:t>1</w:t>
      </w:r>
      <w:r>
        <w:rPr>
          <w:rFonts w:hint="eastAsia"/>
          <w:sz w:val="24"/>
        </w:rPr>
        <w:t>座缓冲罐、</w:t>
      </w:r>
      <w:r>
        <w:rPr>
          <w:rFonts w:hint="eastAsia"/>
          <w:sz w:val="24"/>
        </w:rPr>
        <w:t>3</w:t>
      </w:r>
      <w:r>
        <w:rPr>
          <w:rFonts w:hint="eastAsia"/>
          <w:sz w:val="24"/>
        </w:rPr>
        <w:t>台喂水泵，更换</w:t>
      </w:r>
      <w:r>
        <w:rPr>
          <w:rFonts w:hint="eastAsia"/>
          <w:sz w:val="24"/>
        </w:rPr>
        <w:t>2</w:t>
      </w:r>
      <w:r>
        <w:rPr>
          <w:rFonts w:hint="eastAsia"/>
          <w:sz w:val="24"/>
        </w:rPr>
        <w:t>台注水泵等</w:t>
      </w:r>
      <w:r>
        <w:rPr>
          <w:rFonts w:hint="eastAsia"/>
          <w:sz w:val="24"/>
        </w:rPr>
        <w:t>。</w:t>
      </w:r>
      <w:r>
        <w:rPr>
          <w:rFonts w:hint="eastAsia"/>
          <w:sz w:val="24"/>
        </w:rPr>
        <w:t>配套自动控制、通信</w:t>
      </w:r>
      <w:r>
        <w:rPr>
          <w:rFonts w:hint="eastAsia"/>
          <w:sz w:val="24"/>
        </w:rPr>
        <w:t>、供配电、道路、防腐、消防等辅助及公用工程。</w:t>
      </w:r>
      <w:r>
        <w:rPr>
          <w:rFonts w:hint="eastAsia"/>
          <w:sz w:val="24"/>
        </w:rPr>
        <w:t>所有工程均呈点线状分布在春风油田采矿权范围内；不涉及中央环保督察整改任务；各项工程均不占生态保护红线，距离约</w:t>
      </w:r>
      <w:r>
        <w:rPr>
          <w:rFonts w:hint="eastAsia"/>
          <w:sz w:val="24"/>
        </w:rPr>
        <w:t>16km</w:t>
      </w:r>
      <w:r>
        <w:rPr>
          <w:sz w:val="24"/>
        </w:rPr>
        <w:t>。</w:t>
      </w:r>
      <w:r>
        <w:rPr>
          <w:rFonts w:hint="eastAsia"/>
          <w:sz w:val="24"/>
        </w:rPr>
        <w:t>工程总投资</w:t>
      </w:r>
      <w:r>
        <w:rPr>
          <w:rFonts w:hint="eastAsia"/>
          <w:sz w:val="24"/>
        </w:rPr>
        <w:t>11398.55</w:t>
      </w:r>
      <w:r>
        <w:rPr>
          <w:rFonts w:hint="eastAsia"/>
          <w:sz w:val="24"/>
        </w:rPr>
        <w:t>万元。</w:t>
      </w:r>
    </w:p>
    <w:p w:rsidR="00EE4502" w:rsidRDefault="00EE4502">
      <w:pPr>
        <w:widowControl/>
        <w:spacing w:line="360" w:lineRule="auto"/>
        <w:ind w:firstLine="480"/>
        <w:rPr>
          <w:sz w:val="24"/>
        </w:rPr>
      </w:pPr>
    </w:p>
    <w:p w:rsidR="00EE4502" w:rsidRDefault="00EE4502">
      <w:pPr>
        <w:widowControl/>
        <w:spacing w:line="360" w:lineRule="auto"/>
        <w:ind w:firstLine="480"/>
        <w:rPr>
          <w:sz w:val="24"/>
        </w:rPr>
        <w:sectPr w:rsidR="00EE4502">
          <w:pgSz w:w="11906" w:h="16838"/>
          <w:pgMar w:top="1440" w:right="1800" w:bottom="1440" w:left="1800" w:header="850" w:footer="850" w:gutter="0"/>
          <w:pgNumType w:fmt="numberInDash"/>
          <w:cols w:space="720"/>
          <w:docGrid w:linePitch="326"/>
        </w:sectPr>
      </w:pPr>
    </w:p>
    <w:p w:rsidR="00EE4502" w:rsidRDefault="00FD45A3">
      <w:pPr>
        <w:pStyle w:val="41"/>
        <w:numPr>
          <w:ilvl w:val="3"/>
          <w:numId w:val="30"/>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hint="eastAsia"/>
          <w:bCs w:val="0"/>
          <w:sz w:val="24"/>
          <w:szCs w:val="24"/>
        </w:rPr>
        <w:lastRenderedPageBreak/>
        <w:t>工程组成</w:t>
      </w:r>
    </w:p>
    <w:p w:rsidR="00EE4502" w:rsidRDefault="00FD45A3">
      <w:pPr>
        <w:spacing w:line="360" w:lineRule="auto"/>
        <w:ind w:firstLine="482"/>
        <w:rPr>
          <w:sz w:val="24"/>
        </w:rPr>
      </w:pPr>
      <w:r>
        <w:rPr>
          <w:rFonts w:hint="eastAsia"/>
          <w:sz w:val="24"/>
        </w:rPr>
        <w:t>工程</w:t>
      </w:r>
      <w:r>
        <w:rPr>
          <w:sz w:val="24"/>
        </w:rPr>
        <w:t>项目组成见表</w:t>
      </w:r>
      <w:r>
        <w:rPr>
          <w:rFonts w:hint="eastAsia"/>
          <w:sz w:val="24"/>
        </w:rPr>
        <w:t>3-3</w:t>
      </w:r>
      <w:r>
        <w:rPr>
          <w:sz w:val="24"/>
        </w:rPr>
        <w:t>-1</w:t>
      </w:r>
      <w:r>
        <w:rPr>
          <w:sz w:val="24"/>
        </w:rPr>
        <w:t>。</w:t>
      </w:r>
    </w:p>
    <w:p w:rsidR="00EE4502" w:rsidRDefault="00FD45A3">
      <w:pPr>
        <w:spacing w:line="360" w:lineRule="auto"/>
        <w:jc w:val="center"/>
        <w:rPr>
          <w:rFonts w:eastAsia="黑体"/>
          <w:bCs/>
          <w:lang w:val="zh-CN"/>
        </w:rPr>
      </w:pPr>
      <w:r>
        <w:rPr>
          <w:rFonts w:eastAsia="黑体"/>
          <w:bCs/>
          <w:lang w:val="zh-CN"/>
        </w:rPr>
        <w:t>表</w:t>
      </w:r>
      <w:r>
        <w:rPr>
          <w:rFonts w:eastAsia="黑体" w:hint="eastAsia"/>
          <w:bCs/>
          <w:lang w:val="zh-CN"/>
        </w:rPr>
        <w:t>3-3</w:t>
      </w:r>
      <w:r>
        <w:rPr>
          <w:rFonts w:eastAsia="黑体"/>
          <w:bCs/>
          <w:lang w:val="zh-CN"/>
        </w:rPr>
        <w:t xml:space="preserve">-1  </w:t>
      </w:r>
      <w:r>
        <w:rPr>
          <w:rFonts w:eastAsia="黑体"/>
          <w:bCs/>
          <w:lang w:val="zh-CN"/>
        </w:rPr>
        <w:t>春风油田</w:t>
      </w:r>
      <w:r>
        <w:rPr>
          <w:rFonts w:eastAsia="黑体" w:hint="eastAsia"/>
          <w:bCs/>
          <w:lang w:val="zh-CN"/>
        </w:rPr>
        <w:t>排</w:t>
      </w:r>
      <w:r>
        <w:rPr>
          <w:rFonts w:eastAsia="黑体" w:hint="eastAsia"/>
          <w:bCs/>
          <w:lang w:val="zh-CN"/>
        </w:rPr>
        <w:t>61</w:t>
      </w:r>
      <w:r>
        <w:rPr>
          <w:rFonts w:eastAsia="黑体" w:hint="eastAsia"/>
          <w:bCs/>
          <w:lang w:val="zh-CN"/>
        </w:rPr>
        <w:t>块</w:t>
      </w:r>
      <w:r>
        <w:rPr>
          <w:rFonts w:eastAsia="黑体"/>
          <w:bCs/>
          <w:lang w:val="zh-CN"/>
        </w:rPr>
        <w:t>产能建设工程组成表</w:t>
      </w:r>
    </w:p>
    <w:tbl>
      <w:tblPr>
        <w:tblW w:w="5000" w:type="pct"/>
        <w:tblBorders>
          <w:top w:val="single" w:sz="4" w:space="0" w:color="auto"/>
          <w:bottom w:val="single" w:sz="4" w:space="0" w:color="auto"/>
          <w:insideH w:val="single" w:sz="4" w:space="0" w:color="auto"/>
          <w:insideV w:val="single" w:sz="4" w:space="0" w:color="auto"/>
        </w:tblBorders>
        <w:tblCellMar>
          <w:top w:w="11" w:type="dxa"/>
          <w:left w:w="11" w:type="dxa"/>
          <w:bottom w:w="11" w:type="dxa"/>
          <w:right w:w="11" w:type="dxa"/>
        </w:tblCellMar>
        <w:tblLook w:val="04A0" w:firstRow="1" w:lastRow="0" w:firstColumn="1" w:lastColumn="0" w:noHBand="0" w:noVBand="1"/>
      </w:tblPr>
      <w:tblGrid>
        <w:gridCol w:w="567"/>
        <w:gridCol w:w="685"/>
        <w:gridCol w:w="878"/>
        <w:gridCol w:w="996"/>
        <w:gridCol w:w="5202"/>
      </w:tblGrid>
      <w:tr w:rsidR="00EE4502">
        <w:trPr>
          <w:trHeight w:val="397"/>
          <w:tblHeader/>
        </w:trPr>
        <w:tc>
          <w:tcPr>
            <w:tcW w:w="341" w:type="pct"/>
            <w:vAlign w:val="center"/>
          </w:tcPr>
          <w:p w:rsidR="00EE4502" w:rsidRDefault="00FD45A3">
            <w:pPr>
              <w:jc w:val="center"/>
              <w:rPr>
                <w:bCs/>
                <w:szCs w:val="21"/>
                <w:lang w:val="zh-CN"/>
              </w:rPr>
            </w:pPr>
            <w:r>
              <w:rPr>
                <w:bCs/>
                <w:szCs w:val="21"/>
                <w:lang w:val="zh-CN"/>
              </w:rPr>
              <w:t>序号</w:t>
            </w:r>
          </w:p>
        </w:tc>
        <w:tc>
          <w:tcPr>
            <w:tcW w:w="1536" w:type="pct"/>
            <w:gridSpan w:val="3"/>
            <w:vAlign w:val="center"/>
          </w:tcPr>
          <w:p w:rsidR="00EE4502" w:rsidRDefault="00FD45A3">
            <w:pPr>
              <w:jc w:val="center"/>
              <w:rPr>
                <w:bCs/>
                <w:szCs w:val="21"/>
                <w:lang w:val="zh-CN"/>
              </w:rPr>
            </w:pPr>
            <w:r>
              <w:rPr>
                <w:bCs/>
                <w:szCs w:val="21"/>
                <w:lang w:val="zh-CN"/>
              </w:rPr>
              <w:t>项目名称</w:t>
            </w:r>
          </w:p>
        </w:tc>
        <w:tc>
          <w:tcPr>
            <w:tcW w:w="3122" w:type="pct"/>
            <w:vAlign w:val="center"/>
          </w:tcPr>
          <w:p w:rsidR="00EE4502" w:rsidRDefault="00FD45A3">
            <w:pPr>
              <w:jc w:val="center"/>
              <w:rPr>
                <w:bCs/>
                <w:szCs w:val="21"/>
                <w:lang w:val="zh-CN"/>
              </w:rPr>
            </w:pPr>
            <w:r>
              <w:rPr>
                <w:bCs/>
                <w:szCs w:val="21"/>
                <w:lang w:val="zh-CN"/>
              </w:rPr>
              <w:t>主要建设内容</w:t>
            </w:r>
          </w:p>
        </w:tc>
      </w:tr>
      <w:tr w:rsidR="00EE4502">
        <w:trPr>
          <w:trHeight w:val="397"/>
        </w:trPr>
        <w:tc>
          <w:tcPr>
            <w:tcW w:w="341" w:type="pct"/>
            <w:vMerge w:val="restart"/>
            <w:vAlign w:val="center"/>
          </w:tcPr>
          <w:p w:rsidR="00EE4502" w:rsidRDefault="00FD45A3">
            <w:pPr>
              <w:jc w:val="center"/>
              <w:rPr>
                <w:bCs/>
                <w:szCs w:val="21"/>
                <w:lang w:val="zh-CN"/>
              </w:rPr>
            </w:pPr>
            <w:r>
              <w:rPr>
                <w:rFonts w:hint="eastAsia"/>
                <w:bCs/>
                <w:szCs w:val="21"/>
                <w:lang w:val="zh-CN"/>
              </w:rPr>
              <w:t>1</w:t>
            </w:r>
          </w:p>
        </w:tc>
        <w:tc>
          <w:tcPr>
            <w:tcW w:w="411" w:type="pct"/>
            <w:vMerge w:val="restart"/>
            <w:vAlign w:val="center"/>
          </w:tcPr>
          <w:p w:rsidR="00EE4502" w:rsidRDefault="00FD45A3">
            <w:pPr>
              <w:jc w:val="center"/>
              <w:rPr>
                <w:bCs/>
                <w:szCs w:val="21"/>
                <w:lang w:val="zh-CN"/>
              </w:rPr>
            </w:pPr>
            <w:r>
              <w:rPr>
                <w:rFonts w:hint="eastAsia"/>
                <w:bCs/>
                <w:szCs w:val="21"/>
                <w:lang w:val="zh-CN"/>
              </w:rPr>
              <w:t>主体</w:t>
            </w:r>
          </w:p>
          <w:p w:rsidR="00EE4502" w:rsidRDefault="00FD45A3">
            <w:pPr>
              <w:jc w:val="center"/>
              <w:rPr>
                <w:bCs/>
                <w:szCs w:val="21"/>
                <w:lang w:val="zh-CN"/>
              </w:rPr>
            </w:pPr>
            <w:r>
              <w:rPr>
                <w:rFonts w:hint="eastAsia"/>
                <w:bCs/>
                <w:szCs w:val="21"/>
                <w:lang w:val="zh-CN"/>
              </w:rPr>
              <w:t>工程</w:t>
            </w:r>
          </w:p>
        </w:tc>
        <w:tc>
          <w:tcPr>
            <w:tcW w:w="1125" w:type="pct"/>
            <w:gridSpan w:val="2"/>
            <w:vAlign w:val="center"/>
          </w:tcPr>
          <w:p w:rsidR="00EE4502" w:rsidRDefault="00FD45A3">
            <w:pPr>
              <w:jc w:val="center"/>
              <w:rPr>
                <w:bCs/>
                <w:szCs w:val="21"/>
                <w:lang w:val="zh-CN"/>
              </w:rPr>
            </w:pPr>
            <w:r>
              <w:rPr>
                <w:bCs/>
                <w:szCs w:val="21"/>
              </w:rPr>
              <w:t>钻</w:t>
            </w:r>
            <w:r>
              <w:rPr>
                <w:rFonts w:hint="eastAsia"/>
                <w:bCs/>
                <w:szCs w:val="21"/>
                <w:lang w:val="zh-CN"/>
              </w:rPr>
              <w:t>前工程</w:t>
            </w:r>
          </w:p>
        </w:tc>
        <w:tc>
          <w:tcPr>
            <w:tcW w:w="3122" w:type="pct"/>
            <w:vAlign w:val="center"/>
          </w:tcPr>
          <w:p w:rsidR="00EE4502" w:rsidRDefault="00FD45A3">
            <w:pPr>
              <w:jc w:val="center"/>
              <w:rPr>
                <w:bCs/>
                <w:szCs w:val="21"/>
                <w:lang w:val="zh-CN"/>
              </w:rPr>
            </w:pPr>
            <w:r>
              <w:rPr>
                <w:rFonts w:hint="eastAsia"/>
                <w:bCs/>
                <w:szCs w:val="21"/>
                <w:lang w:val="zh-CN"/>
              </w:rPr>
              <w:t>井场场地平整和新井通井道路</w:t>
            </w:r>
          </w:p>
        </w:tc>
      </w:tr>
      <w:tr w:rsidR="00EE4502">
        <w:trPr>
          <w:trHeight w:val="397"/>
        </w:trPr>
        <w:tc>
          <w:tcPr>
            <w:tcW w:w="341" w:type="pct"/>
            <w:vMerge/>
            <w:vAlign w:val="center"/>
          </w:tcPr>
          <w:p w:rsidR="00EE4502" w:rsidRDefault="00EE4502">
            <w:pPr>
              <w:jc w:val="center"/>
              <w:rPr>
                <w:bCs/>
                <w:szCs w:val="21"/>
                <w:lang w:val="zh-CN"/>
              </w:rPr>
            </w:pPr>
          </w:p>
        </w:tc>
        <w:tc>
          <w:tcPr>
            <w:tcW w:w="411" w:type="pct"/>
            <w:vMerge/>
            <w:vAlign w:val="center"/>
          </w:tcPr>
          <w:p w:rsidR="00EE4502" w:rsidRDefault="00EE4502">
            <w:pPr>
              <w:jc w:val="center"/>
              <w:rPr>
                <w:bCs/>
                <w:szCs w:val="21"/>
                <w:lang w:val="zh-CN"/>
              </w:rPr>
            </w:pPr>
          </w:p>
        </w:tc>
        <w:tc>
          <w:tcPr>
            <w:tcW w:w="1125" w:type="pct"/>
            <w:gridSpan w:val="2"/>
            <w:vAlign w:val="center"/>
          </w:tcPr>
          <w:p w:rsidR="00EE4502" w:rsidRDefault="00FD45A3">
            <w:pPr>
              <w:jc w:val="center"/>
              <w:rPr>
                <w:bCs/>
                <w:szCs w:val="21"/>
                <w:lang w:val="zh-CN"/>
              </w:rPr>
            </w:pPr>
            <w:r>
              <w:rPr>
                <w:bCs/>
                <w:szCs w:val="21"/>
              </w:rPr>
              <w:t>钻井工程</w:t>
            </w:r>
          </w:p>
        </w:tc>
        <w:tc>
          <w:tcPr>
            <w:tcW w:w="3122" w:type="pct"/>
            <w:vAlign w:val="center"/>
          </w:tcPr>
          <w:p w:rsidR="00EE4502" w:rsidRDefault="00FD45A3">
            <w:pPr>
              <w:jc w:val="left"/>
              <w:rPr>
                <w:bCs/>
                <w:szCs w:val="21"/>
                <w:lang w:val="zh-CN"/>
              </w:rPr>
            </w:pPr>
            <w:r>
              <w:rPr>
                <w:rFonts w:hint="eastAsia"/>
                <w:bCs/>
                <w:szCs w:val="21"/>
              </w:rPr>
              <w:t>工程部署</w:t>
            </w:r>
            <w:r>
              <w:rPr>
                <w:rFonts w:hint="eastAsia"/>
                <w:bCs/>
                <w:szCs w:val="21"/>
              </w:rPr>
              <w:t>22</w:t>
            </w:r>
            <w:r>
              <w:rPr>
                <w:rFonts w:hint="eastAsia"/>
                <w:bCs/>
                <w:szCs w:val="21"/>
              </w:rPr>
              <w:t>口井，需</w:t>
            </w:r>
            <w:r>
              <w:rPr>
                <w:rFonts w:hint="eastAsia"/>
                <w:bCs/>
                <w:szCs w:val="21"/>
                <w:lang w:val="zh-CN"/>
              </w:rPr>
              <w:t>钻井总数</w:t>
            </w:r>
            <w:r>
              <w:rPr>
                <w:rFonts w:hint="eastAsia"/>
                <w:bCs/>
                <w:szCs w:val="21"/>
                <w:lang w:val="zh-CN"/>
              </w:rPr>
              <w:t>18</w:t>
            </w:r>
            <w:r>
              <w:rPr>
                <w:rFonts w:hint="eastAsia"/>
                <w:bCs/>
                <w:szCs w:val="21"/>
                <w:lang w:val="zh-CN"/>
              </w:rPr>
              <w:t>口。</w:t>
            </w:r>
          </w:p>
          <w:p w:rsidR="00EE4502" w:rsidRDefault="00FD45A3">
            <w:pPr>
              <w:jc w:val="left"/>
              <w:rPr>
                <w:bCs/>
                <w:szCs w:val="21"/>
                <w:lang w:val="zh-CN"/>
              </w:rPr>
            </w:pPr>
            <w:r>
              <w:rPr>
                <w:rFonts w:hint="eastAsia"/>
                <w:bCs/>
                <w:szCs w:val="21"/>
              </w:rPr>
              <w:t>其中</w:t>
            </w:r>
            <w:r>
              <w:rPr>
                <w:rFonts w:hint="eastAsia"/>
                <w:bCs/>
                <w:szCs w:val="21"/>
                <w:lang w:val="zh-CN"/>
              </w:rPr>
              <w:t>15</w:t>
            </w:r>
            <w:r>
              <w:rPr>
                <w:rFonts w:hint="eastAsia"/>
                <w:bCs/>
                <w:szCs w:val="21"/>
                <w:lang w:val="zh-CN"/>
              </w:rPr>
              <w:t>口</w:t>
            </w:r>
            <w:r>
              <w:rPr>
                <w:rFonts w:hint="eastAsia"/>
                <w:bCs/>
                <w:szCs w:val="21"/>
              </w:rPr>
              <w:t>采油井为</w:t>
            </w:r>
            <w:r>
              <w:rPr>
                <w:rFonts w:hint="eastAsia"/>
                <w:bCs/>
                <w:szCs w:val="21"/>
                <w:lang w:val="zh-CN"/>
              </w:rPr>
              <w:t>水平井、</w:t>
            </w:r>
            <w:r>
              <w:rPr>
                <w:rFonts w:hint="eastAsia"/>
                <w:bCs/>
                <w:szCs w:val="21"/>
              </w:rPr>
              <w:t>1</w:t>
            </w:r>
            <w:r>
              <w:rPr>
                <w:rFonts w:hint="eastAsia"/>
                <w:bCs/>
                <w:szCs w:val="21"/>
                <w:lang w:val="zh-CN"/>
              </w:rPr>
              <w:t>口</w:t>
            </w:r>
            <w:r>
              <w:rPr>
                <w:rFonts w:hint="eastAsia"/>
                <w:bCs/>
                <w:szCs w:val="21"/>
              </w:rPr>
              <w:t>注水井为</w:t>
            </w:r>
            <w:r>
              <w:rPr>
                <w:rFonts w:hint="eastAsia"/>
                <w:bCs/>
                <w:szCs w:val="21"/>
                <w:lang w:val="zh-CN"/>
              </w:rPr>
              <w:t>定向井、</w:t>
            </w:r>
            <w:r>
              <w:rPr>
                <w:rFonts w:hint="eastAsia"/>
                <w:bCs/>
                <w:szCs w:val="21"/>
              </w:rPr>
              <w:t>2</w:t>
            </w:r>
            <w:r>
              <w:rPr>
                <w:rFonts w:hint="eastAsia"/>
                <w:bCs/>
                <w:szCs w:val="21"/>
                <w:lang w:val="zh-CN"/>
              </w:rPr>
              <w:t>口</w:t>
            </w:r>
            <w:r>
              <w:rPr>
                <w:rFonts w:hint="eastAsia"/>
                <w:bCs/>
                <w:szCs w:val="21"/>
              </w:rPr>
              <w:t>注水井为</w:t>
            </w:r>
            <w:r>
              <w:rPr>
                <w:rFonts w:hint="eastAsia"/>
                <w:bCs/>
                <w:szCs w:val="21"/>
                <w:lang w:val="zh-CN"/>
              </w:rPr>
              <w:t>直井，采油井为</w:t>
            </w:r>
            <w:r>
              <w:rPr>
                <w:rFonts w:hint="eastAsia"/>
                <w:bCs/>
                <w:szCs w:val="21"/>
              </w:rPr>
              <w:t>三</w:t>
            </w:r>
            <w:r>
              <w:rPr>
                <w:rFonts w:hint="eastAsia"/>
                <w:bCs/>
                <w:szCs w:val="21"/>
                <w:lang w:val="zh-CN"/>
              </w:rPr>
              <w:t>开井身结构、</w:t>
            </w:r>
            <w:r>
              <w:rPr>
                <w:rFonts w:hint="eastAsia"/>
                <w:bCs/>
                <w:szCs w:val="21"/>
              </w:rPr>
              <w:t>注水井</w:t>
            </w:r>
            <w:r>
              <w:rPr>
                <w:rFonts w:hint="eastAsia"/>
                <w:bCs/>
                <w:szCs w:val="21"/>
                <w:lang w:val="zh-CN"/>
              </w:rPr>
              <w:t>为二开井身结构，总进尺</w:t>
            </w:r>
            <w:r>
              <w:rPr>
                <w:rFonts w:hint="eastAsia"/>
                <w:bCs/>
                <w:szCs w:val="21"/>
                <w:lang w:val="zh-CN"/>
              </w:rPr>
              <w:t>27787.23m</w:t>
            </w:r>
          </w:p>
        </w:tc>
      </w:tr>
      <w:tr w:rsidR="00EE4502">
        <w:trPr>
          <w:trHeight w:val="397"/>
        </w:trPr>
        <w:tc>
          <w:tcPr>
            <w:tcW w:w="341" w:type="pct"/>
            <w:vMerge/>
            <w:vAlign w:val="center"/>
          </w:tcPr>
          <w:p w:rsidR="00EE4502" w:rsidRDefault="00EE4502">
            <w:pPr>
              <w:jc w:val="center"/>
              <w:rPr>
                <w:bCs/>
                <w:szCs w:val="21"/>
                <w:lang w:val="zh-CN"/>
              </w:rPr>
            </w:pPr>
          </w:p>
        </w:tc>
        <w:tc>
          <w:tcPr>
            <w:tcW w:w="411" w:type="pct"/>
            <w:vMerge/>
            <w:vAlign w:val="center"/>
          </w:tcPr>
          <w:p w:rsidR="00EE4502" w:rsidRDefault="00EE4502">
            <w:pPr>
              <w:jc w:val="center"/>
              <w:rPr>
                <w:bCs/>
                <w:szCs w:val="21"/>
                <w:lang w:val="zh-CN"/>
              </w:rPr>
            </w:pPr>
          </w:p>
        </w:tc>
        <w:tc>
          <w:tcPr>
            <w:tcW w:w="1125" w:type="pct"/>
            <w:gridSpan w:val="2"/>
            <w:vAlign w:val="center"/>
          </w:tcPr>
          <w:p w:rsidR="00EE4502" w:rsidRDefault="00FD45A3">
            <w:pPr>
              <w:jc w:val="center"/>
              <w:rPr>
                <w:bCs/>
                <w:szCs w:val="21"/>
              </w:rPr>
            </w:pPr>
            <w:r>
              <w:rPr>
                <w:rFonts w:hint="eastAsia"/>
                <w:bCs/>
                <w:szCs w:val="21"/>
              </w:rPr>
              <w:t>老井利用</w:t>
            </w:r>
          </w:p>
        </w:tc>
        <w:tc>
          <w:tcPr>
            <w:tcW w:w="3122" w:type="pct"/>
            <w:vAlign w:val="center"/>
          </w:tcPr>
          <w:p w:rsidR="00EE4502" w:rsidRDefault="00FD45A3">
            <w:pPr>
              <w:jc w:val="left"/>
              <w:rPr>
                <w:bCs/>
                <w:szCs w:val="21"/>
              </w:rPr>
            </w:pPr>
            <w:r>
              <w:rPr>
                <w:rFonts w:hint="eastAsia"/>
                <w:bCs/>
                <w:szCs w:val="21"/>
              </w:rPr>
              <w:t>4</w:t>
            </w:r>
            <w:r>
              <w:rPr>
                <w:rFonts w:hint="eastAsia"/>
                <w:bCs/>
                <w:szCs w:val="21"/>
              </w:rPr>
              <w:t>口，其中</w:t>
            </w:r>
            <w:r>
              <w:rPr>
                <w:rFonts w:hint="eastAsia"/>
                <w:bCs/>
                <w:szCs w:val="21"/>
              </w:rPr>
              <w:t>P61-P1</w:t>
            </w:r>
            <w:r>
              <w:rPr>
                <w:rFonts w:hint="eastAsia"/>
                <w:bCs/>
                <w:szCs w:val="21"/>
              </w:rPr>
              <w:t>、</w:t>
            </w:r>
            <w:r>
              <w:rPr>
                <w:rFonts w:hint="eastAsia"/>
                <w:bCs/>
                <w:szCs w:val="21"/>
              </w:rPr>
              <w:t>P655-P1</w:t>
            </w:r>
            <w:r>
              <w:rPr>
                <w:rFonts w:hint="eastAsia"/>
                <w:bCs/>
                <w:szCs w:val="21"/>
              </w:rPr>
              <w:t>、</w:t>
            </w:r>
            <w:r>
              <w:rPr>
                <w:rFonts w:hint="eastAsia"/>
                <w:bCs/>
                <w:szCs w:val="21"/>
              </w:rPr>
              <w:t>P61-ZP2</w:t>
            </w:r>
            <w:r>
              <w:rPr>
                <w:rFonts w:hint="eastAsia"/>
                <w:bCs/>
                <w:szCs w:val="21"/>
              </w:rPr>
              <w:t>为已建试采井，排</w:t>
            </w:r>
            <w:r>
              <w:rPr>
                <w:rFonts w:hint="eastAsia"/>
                <w:bCs/>
                <w:szCs w:val="21"/>
              </w:rPr>
              <w:t>71</w:t>
            </w:r>
            <w:r>
              <w:rPr>
                <w:rFonts w:hint="eastAsia"/>
                <w:bCs/>
                <w:szCs w:val="21"/>
              </w:rPr>
              <w:t>为已建注水井</w:t>
            </w:r>
          </w:p>
        </w:tc>
      </w:tr>
      <w:tr w:rsidR="00EE4502">
        <w:trPr>
          <w:trHeight w:val="397"/>
        </w:trPr>
        <w:tc>
          <w:tcPr>
            <w:tcW w:w="341" w:type="pct"/>
            <w:vMerge/>
            <w:vAlign w:val="center"/>
          </w:tcPr>
          <w:p w:rsidR="00EE4502" w:rsidRDefault="00EE4502">
            <w:pPr>
              <w:jc w:val="center"/>
              <w:rPr>
                <w:bCs/>
                <w:szCs w:val="21"/>
                <w:lang w:val="zh-CN"/>
              </w:rPr>
            </w:pPr>
          </w:p>
        </w:tc>
        <w:tc>
          <w:tcPr>
            <w:tcW w:w="411" w:type="pct"/>
            <w:vMerge/>
            <w:vAlign w:val="center"/>
          </w:tcPr>
          <w:p w:rsidR="00EE4502" w:rsidRDefault="00EE4502">
            <w:pPr>
              <w:jc w:val="center"/>
              <w:rPr>
                <w:bCs/>
                <w:szCs w:val="21"/>
                <w:lang w:val="zh-CN"/>
              </w:rPr>
            </w:pPr>
          </w:p>
        </w:tc>
        <w:tc>
          <w:tcPr>
            <w:tcW w:w="1125" w:type="pct"/>
            <w:gridSpan w:val="2"/>
            <w:vAlign w:val="center"/>
          </w:tcPr>
          <w:p w:rsidR="00EE4502" w:rsidRDefault="00FD45A3">
            <w:pPr>
              <w:jc w:val="center"/>
              <w:rPr>
                <w:bCs/>
                <w:szCs w:val="21"/>
              </w:rPr>
            </w:pPr>
            <w:r>
              <w:rPr>
                <w:bCs/>
                <w:szCs w:val="21"/>
              </w:rPr>
              <w:t>储层改造工程</w:t>
            </w:r>
          </w:p>
        </w:tc>
        <w:tc>
          <w:tcPr>
            <w:tcW w:w="3122" w:type="pct"/>
            <w:vAlign w:val="center"/>
          </w:tcPr>
          <w:p w:rsidR="00EE4502" w:rsidRDefault="00FD45A3">
            <w:pPr>
              <w:jc w:val="left"/>
              <w:rPr>
                <w:bCs/>
                <w:szCs w:val="21"/>
              </w:rPr>
            </w:pPr>
            <w:r>
              <w:rPr>
                <w:rFonts w:hint="eastAsia"/>
                <w:bCs/>
                <w:szCs w:val="21"/>
              </w:rPr>
              <w:t>本工程现阶段不涉及储层改造</w:t>
            </w:r>
          </w:p>
        </w:tc>
      </w:tr>
      <w:tr w:rsidR="00EE4502">
        <w:trPr>
          <w:trHeight w:val="397"/>
        </w:trPr>
        <w:tc>
          <w:tcPr>
            <w:tcW w:w="341" w:type="pct"/>
            <w:vMerge/>
            <w:vAlign w:val="center"/>
          </w:tcPr>
          <w:p w:rsidR="00EE4502" w:rsidRDefault="00EE4502">
            <w:pPr>
              <w:jc w:val="center"/>
              <w:rPr>
                <w:bCs/>
                <w:szCs w:val="21"/>
                <w:lang w:val="zh-CN"/>
              </w:rPr>
            </w:pPr>
          </w:p>
        </w:tc>
        <w:tc>
          <w:tcPr>
            <w:tcW w:w="411" w:type="pct"/>
            <w:vMerge/>
            <w:vAlign w:val="center"/>
          </w:tcPr>
          <w:p w:rsidR="00EE4502" w:rsidRDefault="00EE4502">
            <w:pPr>
              <w:jc w:val="center"/>
              <w:rPr>
                <w:bCs/>
                <w:szCs w:val="21"/>
                <w:lang w:val="zh-CN"/>
              </w:rPr>
            </w:pPr>
          </w:p>
        </w:tc>
        <w:tc>
          <w:tcPr>
            <w:tcW w:w="1125" w:type="pct"/>
            <w:gridSpan w:val="2"/>
            <w:vAlign w:val="center"/>
          </w:tcPr>
          <w:p w:rsidR="00EE4502" w:rsidRDefault="00FD45A3">
            <w:pPr>
              <w:jc w:val="center"/>
              <w:rPr>
                <w:bCs/>
                <w:szCs w:val="21"/>
              </w:rPr>
            </w:pPr>
            <w:r>
              <w:rPr>
                <w:rFonts w:hint="eastAsia"/>
                <w:bCs/>
                <w:szCs w:val="21"/>
              </w:rPr>
              <w:t>采油工程</w:t>
            </w:r>
          </w:p>
        </w:tc>
        <w:tc>
          <w:tcPr>
            <w:tcW w:w="3122" w:type="pct"/>
            <w:vAlign w:val="center"/>
          </w:tcPr>
          <w:p w:rsidR="00EE4502" w:rsidRDefault="00FD45A3">
            <w:pPr>
              <w:jc w:val="left"/>
              <w:rPr>
                <w:bCs/>
                <w:szCs w:val="21"/>
              </w:rPr>
            </w:pPr>
            <w:r>
              <w:rPr>
                <w:rFonts w:hint="eastAsia"/>
                <w:bCs/>
                <w:szCs w:val="21"/>
              </w:rPr>
              <w:t>工程部署</w:t>
            </w:r>
            <w:r>
              <w:rPr>
                <w:rFonts w:hint="eastAsia"/>
                <w:bCs/>
                <w:szCs w:val="21"/>
              </w:rPr>
              <w:t>22</w:t>
            </w:r>
            <w:r>
              <w:rPr>
                <w:rFonts w:hint="eastAsia"/>
                <w:bCs/>
                <w:szCs w:val="21"/>
              </w:rPr>
              <w:t>口井，其中采油井</w:t>
            </w:r>
            <w:r>
              <w:rPr>
                <w:rFonts w:hint="eastAsia"/>
                <w:bCs/>
                <w:szCs w:val="21"/>
              </w:rPr>
              <w:t>18</w:t>
            </w:r>
            <w:r>
              <w:rPr>
                <w:rFonts w:hint="eastAsia"/>
                <w:bCs/>
                <w:szCs w:val="21"/>
              </w:rPr>
              <w:t>口。</w:t>
            </w:r>
          </w:p>
          <w:p w:rsidR="00EE4502" w:rsidRDefault="00FD45A3">
            <w:pPr>
              <w:jc w:val="left"/>
              <w:rPr>
                <w:bCs/>
                <w:szCs w:val="21"/>
                <w:lang w:val="zh-CN"/>
              </w:rPr>
            </w:pPr>
            <w:r>
              <w:rPr>
                <w:rFonts w:hint="eastAsia"/>
                <w:bCs/>
                <w:szCs w:val="21"/>
                <w:lang w:val="zh-CN"/>
              </w:rPr>
              <w:t>动用石油地质储量</w:t>
            </w:r>
            <w:r>
              <w:rPr>
                <w:rFonts w:hint="eastAsia"/>
                <w:bCs/>
                <w:szCs w:val="21"/>
                <w:lang w:val="zh-CN"/>
              </w:rPr>
              <w:t>325.8</w:t>
            </w:r>
            <w:r>
              <w:rPr>
                <w:rFonts w:hint="eastAsia"/>
                <w:bCs/>
                <w:szCs w:val="21"/>
                <w:lang w:val="zh-CN"/>
              </w:rPr>
              <w:t>×</w:t>
            </w:r>
            <w:r>
              <w:rPr>
                <w:rFonts w:hint="eastAsia"/>
                <w:bCs/>
                <w:szCs w:val="21"/>
                <w:lang w:val="zh-CN"/>
              </w:rPr>
              <w:t>10</w:t>
            </w:r>
            <w:r>
              <w:rPr>
                <w:rFonts w:hint="eastAsia"/>
                <w:bCs/>
                <w:szCs w:val="21"/>
                <w:vertAlign w:val="superscript"/>
                <w:lang w:val="zh-CN"/>
              </w:rPr>
              <w:t>4</w:t>
            </w:r>
            <w:r>
              <w:rPr>
                <w:rFonts w:hint="eastAsia"/>
                <w:bCs/>
                <w:szCs w:val="21"/>
                <w:lang w:val="zh-CN"/>
              </w:rPr>
              <w:t>t</w:t>
            </w:r>
            <w:r>
              <w:rPr>
                <w:rFonts w:hint="eastAsia"/>
                <w:bCs/>
                <w:szCs w:val="21"/>
                <w:lang w:val="zh-CN"/>
              </w:rPr>
              <w:t>、含油面积</w:t>
            </w:r>
            <w:r>
              <w:rPr>
                <w:rFonts w:hint="eastAsia"/>
                <w:bCs/>
                <w:szCs w:val="21"/>
                <w:lang w:val="zh-CN"/>
              </w:rPr>
              <w:t>6.81km</w:t>
            </w:r>
            <w:r>
              <w:rPr>
                <w:rFonts w:hint="eastAsia"/>
                <w:bCs/>
                <w:szCs w:val="21"/>
                <w:vertAlign w:val="superscript"/>
                <w:lang w:val="zh-CN"/>
              </w:rPr>
              <w:t>2</w:t>
            </w:r>
            <w:r>
              <w:rPr>
                <w:rFonts w:hint="eastAsia"/>
                <w:bCs/>
                <w:szCs w:val="21"/>
                <w:lang w:val="zh-CN"/>
              </w:rPr>
              <w:t>，采用</w:t>
            </w:r>
            <w:r>
              <w:rPr>
                <w:rFonts w:hint="eastAsia"/>
                <w:bCs/>
                <w:szCs w:val="21"/>
              </w:rPr>
              <w:t>密闭集输工艺</w:t>
            </w:r>
            <w:r>
              <w:rPr>
                <w:rFonts w:hint="eastAsia"/>
                <w:bCs/>
                <w:szCs w:val="21"/>
                <w:lang w:val="zh-CN"/>
              </w:rPr>
              <w:t>、举升工艺、</w:t>
            </w:r>
            <w:r>
              <w:rPr>
                <w:rFonts w:hint="eastAsia"/>
                <w:bCs/>
                <w:szCs w:val="21"/>
              </w:rPr>
              <w:t>掺水工艺、注汽工艺等，</w:t>
            </w:r>
            <w:r>
              <w:rPr>
                <w:rFonts w:hint="eastAsia"/>
                <w:bCs/>
                <w:szCs w:val="21"/>
                <w:lang w:val="zh-CN"/>
              </w:rPr>
              <w:t>新增产能</w:t>
            </w:r>
            <w:r>
              <w:rPr>
                <w:rFonts w:hint="eastAsia"/>
                <w:bCs/>
                <w:szCs w:val="21"/>
                <w:lang w:val="zh-CN"/>
              </w:rPr>
              <w:t>3</w:t>
            </w:r>
            <w:r>
              <w:rPr>
                <w:rFonts w:hint="eastAsia"/>
                <w:bCs/>
                <w:szCs w:val="21"/>
                <w:lang w:val="zh-CN"/>
              </w:rPr>
              <w:t>×</w:t>
            </w:r>
            <w:r>
              <w:rPr>
                <w:rFonts w:hint="eastAsia"/>
                <w:bCs/>
                <w:szCs w:val="21"/>
                <w:lang w:val="zh-CN"/>
              </w:rPr>
              <w:t>10</w:t>
            </w:r>
            <w:r>
              <w:rPr>
                <w:rFonts w:hint="eastAsia"/>
                <w:bCs/>
                <w:szCs w:val="21"/>
                <w:vertAlign w:val="superscript"/>
                <w:lang w:val="zh-CN"/>
              </w:rPr>
              <w:t>4</w:t>
            </w:r>
            <w:r>
              <w:rPr>
                <w:rFonts w:hint="eastAsia"/>
                <w:bCs/>
                <w:szCs w:val="21"/>
                <w:lang w:val="zh-CN"/>
              </w:rPr>
              <w:t>t/a</w:t>
            </w:r>
            <w:r>
              <w:rPr>
                <w:rFonts w:hint="eastAsia"/>
                <w:bCs/>
                <w:szCs w:val="21"/>
                <w:lang w:val="zh-CN"/>
              </w:rPr>
              <w:t>，开采方式为冷采</w:t>
            </w:r>
            <w:r>
              <w:rPr>
                <w:rFonts w:hint="eastAsia"/>
                <w:bCs/>
                <w:szCs w:val="21"/>
                <w:lang w:val="zh-CN"/>
              </w:rPr>
              <w:t>9</w:t>
            </w:r>
            <w:r>
              <w:rPr>
                <w:rFonts w:hint="eastAsia"/>
                <w:bCs/>
                <w:szCs w:val="21"/>
                <w:lang w:val="zh-CN"/>
              </w:rPr>
              <w:t>口、热采</w:t>
            </w:r>
            <w:r>
              <w:rPr>
                <w:rFonts w:hint="eastAsia"/>
                <w:bCs/>
                <w:szCs w:val="21"/>
                <w:lang w:val="zh-CN"/>
              </w:rPr>
              <w:t>9</w:t>
            </w:r>
            <w:r>
              <w:rPr>
                <w:rFonts w:hint="eastAsia"/>
                <w:bCs/>
                <w:szCs w:val="21"/>
                <w:lang w:val="zh-CN"/>
              </w:rPr>
              <w:t>口</w:t>
            </w:r>
          </w:p>
        </w:tc>
      </w:tr>
      <w:tr w:rsidR="00EE4502">
        <w:trPr>
          <w:trHeight w:val="397"/>
        </w:trPr>
        <w:tc>
          <w:tcPr>
            <w:tcW w:w="341" w:type="pct"/>
            <w:vMerge/>
            <w:vAlign w:val="center"/>
          </w:tcPr>
          <w:p w:rsidR="00EE4502" w:rsidRDefault="00EE4502">
            <w:pPr>
              <w:jc w:val="center"/>
              <w:rPr>
                <w:bCs/>
                <w:szCs w:val="21"/>
                <w:lang w:val="zh-CN"/>
              </w:rPr>
            </w:pPr>
          </w:p>
        </w:tc>
        <w:tc>
          <w:tcPr>
            <w:tcW w:w="411" w:type="pct"/>
            <w:vMerge/>
            <w:vAlign w:val="center"/>
          </w:tcPr>
          <w:p w:rsidR="00EE4502" w:rsidRDefault="00EE4502">
            <w:pPr>
              <w:jc w:val="center"/>
              <w:rPr>
                <w:bCs/>
                <w:szCs w:val="21"/>
                <w:lang w:val="zh-CN"/>
              </w:rPr>
            </w:pPr>
          </w:p>
        </w:tc>
        <w:tc>
          <w:tcPr>
            <w:tcW w:w="1125" w:type="pct"/>
            <w:gridSpan w:val="2"/>
            <w:vAlign w:val="center"/>
          </w:tcPr>
          <w:p w:rsidR="00EE4502" w:rsidRDefault="00FD45A3">
            <w:pPr>
              <w:jc w:val="center"/>
              <w:rPr>
                <w:bCs/>
                <w:szCs w:val="21"/>
              </w:rPr>
            </w:pPr>
            <w:r>
              <w:rPr>
                <w:rFonts w:hint="eastAsia"/>
                <w:bCs/>
                <w:szCs w:val="21"/>
              </w:rPr>
              <w:t>注水工程</w:t>
            </w:r>
          </w:p>
        </w:tc>
        <w:tc>
          <w:tcPr>
            <w:tcW w:w="3122" w:type="pct"/>
            <w:vAlign w:val="center"/>
          </w:tcPr>
          <w:p w:rsidR="00EE4502" w:rsidRDefault="00FD45A3">
            <w:pPr>
              <w:jc w:val="left"/>
              <w:rPr>
                <w:bCs/>
                <w:szCs w:val="21"/>
              </w:rPr>
            </w:pPr>
            <w:r>
              <w:rPr>
                <w:rFonts w:hint="eastAsia"/>
                <w:bCs/>
                <w:szCs w:val="21"/>
              </w:rPr>
              <w:t>工程部署</w:t>
            </w:r>
            <w:r>
              <w:rPr>
                <w:rFonts w:hint="eastAsia"/>
                <w:bCs/>
                <w:szCs w:val="21"/>
              </w:rPr>
              <w:t>22</w:t>
            </w:r>
            <w:r>
              <w:rPr>
                <w:rFonts w:hint="eastAsia"/>
                <w:bCs/>
                <w:szCs w:val="21"/>
              </w:rPr>
              <w:t>口井，其中注水井</w:t>
            </w:r>
            <w:r>
              <w:rPr>
                <w:rFonts w:hint="eastAsia"/>
                <w:bCs/>
                <w:szCs w:val="21"/>
              </w:rPr>
              <w:t>4</w:t>
            </w:r>
            <w:r>
              <w:rPr>
                <w:rFonts w:hint="eastAsia"/>
                <w:bCs/>
                <w:szCs w:val="21"/>
              </w:rPr>
              <w:t>口。</w:t>
            </w:r>
          </w:p>
          <w:p w:rsidR="00EE4502" w:rsidRDefault="00FD45A3">
            <w:pPr>
              <w:jc w:val="left"/>
              <w:rPr>
                <w:bCs/>
                <w:szCs w:val="21"/>
              </w:rPr>
            </w:pPr>
            <w:r>
              <w:rPr>
                <w:rFonts w:hint="eastAsia"/>
                <w:bCs/>
                <w:szCs w:val="21"/>
              </w:rPr>
              <w:t>单井注水水量为</w:t>
            </w:r>
            <w:r>
              <w:rPr>
                <w:rFonts w:hint="eastAsia"/>
                <w:bCs/>
                <w:szCs w:val="21"/>
              </w:rPr>
              <w:t>500m</w:t>
            </w:r>
            <w:r>
              <w:rPr>
                <w:rFonts w:hint="eastAsia"/>
                <w:bCs/>
                <w:szCs w:val="21"/>
                <w:vertAlign w:val="superscript"/>
              </w:rPr>
              <w:t>3</w:t>
            </w:r>
            <w:r>
              <w:rPr>
                <w:rFonts w:hint="eastAsia"/>
                <w:bCs/>
                <w:szCs w:val="21"/>
              </w:rPr>
              <w:t>/d</w:t>
            </w:r>
            <w:r>
              <w:rPr>
                <w:rFonts w:hint="eastAsia"/>
                <w:bCs/>
                <w:szCs w:val="21"/>
              </w:rPr>
              <w:t>，依托已建排</w:t>
            </w:r>
            <w:r>
              <w:rPr>
                <w:rFonts w:hint="eastAsia"/>
                <w:bCs/>
                <w:szCs w:val="21"/>
              </w:rPr>
              <w:t>7</w:t>
            </w:r>
            <w:r>
              <w:rPr>
                <w:rFonts w:hint="eastAsia"/>
                <w:bCs/>
                <w:szCs w:val="21"/>
              </w:rPr>
              <w:t>、车浅</w:t>
            </w:r>
            <w:r>
              <w:rPr>
                <w:rFonts w:hint="eastAsia"/>
                <w:bCs/>
                <w:szCs w:val="21"/>
              </w:rPr>
              <w:t>1-7</w:t>
            </w:r>
            <w:r>
              <w:rPr>
                <w:rFonts w:hint="eastAsia"/>
                <w:bCs/>
                <w:szCs w:val="21"/>
              </w:rPr>
              <w:t>注水站进行注水</w:t>
            </w:r>
          </w:p>
        </w:tc>
      </w:tr>
      <w:tr w:rsidR="00EE4502">
        <w:trPr>
          <w:trHeight w:val="397"/>
        </w:trPr>
        <w:tc>
          <w:tcPr>
            <w:tcW w:w="341" w:type="pct"/>
            <w:vMerge/>
            <w:vAlign w:val="center"/>
          </w:tcPr>
          <w:p w:rsidR="00EE4502" w:rsidRDefault="00EE4502">
            <w:pPr>
              <w:jc w:val="center"/>
              <w:rPr>
                <w:bCs/>
                <w:szCs w:val="21"/>
                <w:lang w:val="zh-CN"/>
              </w:rPr>
            </w:pPr>
          </w:p>
        </w:tc>
        <w:tc>
          <w:tcPr>
            <w:tcW w:w="411" w:type="pct"/>
            <w:vMerge/>
            <w:vAlign w:val="center"/>
          </w:tcPr>
          <w:p w:rsidR="00EE4502" w:rsidRDefault="00EE4502">
            <w:pPr>
              <w:jc w:val="center"/>
              <w:rPr>
                <w:bCs/>
                <w:szCs w:val="21"/>
                <w:lang w:val="zh-CN"/>
              </w:rPr>
            </w:pPr>
          </w:p>
        </w:tc>
        <w:tc>
          <w:tcPr>
            <w:tcW w:w="1125" w:type="pct"/>
            <w:gridSpan w:val="2"/>
            <w:vAlign w:val="center"/>
          </w:tcPr>
          <w:p w:rsidR="00EE4502" w:rsidRDefault="00FD45A3">
            <w:pPr>
              <w:jc w:val="center"/>
              <w:rPr>
                <w:bCs/>
                <w:szCs w:val="21"/>
              </w:rPr>
            </w:pPr>
            <w:r>
              <w:rPr>
                <w:rFonts w:hint="eastAsia"/>
                <w:bCs/>
                <w:szCs w:val="21"/>
              </w:rPr>
              <w:t>井下作业</w:t>
            </w:r>
          </w:p>
        </w:tc>
        <w:tc>
          <w:tcPr>
            <w:tcW w:w="3122" w:type="pct"/>
            <w:vAlign w:val="center"/>
          </w:tcPr>
          <w:p w:rsidR="00EE4502" w:rsidRDefault="00FD45A3">
            <w:pPr>
              <w:jc w:val="left"/>
              <w:rPr>
                <w:bCs/>
                <w:szCs w:val="21"/>
                <w:lang w:val="zh-CN"/>
              </w:rPr>
            </w:pPr>
            <w:r>
              <w:rPr>
                <w:rFonts w:hint="eastAsia"/>
                <w:bCs/>
                <w:szCs w:val="21"/>
                <w:lang w:val="zh-CN"/>
              </w:rPr>
              <w:t>本工程井下作业主要为洗井、修井等，一般不进行酸化、压裂</w:t>
            </w:r>
          </w:p>
        </w:tc>
      </w:tr>
      <w:tr w:rsidR="00EE4502">
        <w:trPr>
          <w:trHeight w:val="397"/>
        </w:trPr>
        <w:tc>
          <w:tcPr>
            <w:tcW w:w="341" w:type="pct"/>
            <w:vMerge/>
            <w:vAlign w:val="center"/>
          </w:tcPr>
          <w:p w:rsidR="00EE4502" w:rsidRDefault="00EE4502">
            <w:pPr>
              <w:jc w:val="center"/>
              <w:rPr>
                <w:bCs/>
                <w:szCs w:val="21"/>
                <w:lang w:val="zh-CN"/>
              </w:rPr>
            </w:pPr>
          </w:p>
        </w:tc>
        <w:tc>
          <w:tcPr>
            <w:tcW w:w="411" w:type="pct"/>
            <w:vMerge/>
            <w:vAlign w:val="center"/>
          </w:tcPr>
          <w:p w:rsidR="00EE4502" w:rsidRDefault="00EE4502">
            <w:pPr>
              <w:jc w:val="center"/>
              <w:rPr>
                <w:bCs/>
                <w:szCs w:val="21"/>
                <w:lang w:val="zh-CN"/>
              </w:rPr>
            </w:pPr>
          </w:p>
        </w:tc>
        <w:tc>
          <w:tcPr>
            <w:tcW w:w="1125" w:type="pct"/>
            <w:gridSpan w:val="2"/>
            <w:vAlign w:val="center"/>
          </w:tcPr>
          <w:p w:rsidR="00EE4502" w:rsidRDefault="00FD45A3">
            <w:pPr>
              <w:jc w:val="center"/>
              <w:rPr>
                <w:bCs/>
                <w:szCs w:val="21"/>
                <w:lang w:val="zh-CN"/>
              </w:rPr>
            </w:pPr>
            <w:r>
              <w:rPr>
                <w:rFonts w:hint="eastAsia"/>
                <w:bCs/>
                <w:szCs w:val="21"/>
                <w:lang w:val="zh-CN"/>
              </w:rPr>
              <w:t>井场地面工程</w:t>
            </w:r>
          </w:p>
        </w:tc>
        <w:tc>
          <w:tcPr>
            <w:tcW w:w="3122" w:type="pct"/>
            <w:vAlign w:val="center"/>
          </w:tcPr>
          <w:p w:rsidR="00EE4502" w:rsidRDefault="00FD45A3">
            <w:pPr>
              <w:rPr>
                <w:bCs/>
                <w:szCs w:val="21"/>
                <w:lang w:val="zh-CN"/>
              </w:rPr>
            </w:pPr>
            <w:r>
              <w:rPr>
                <w:rFonts w:hint="eastAsia"/>
                <w:bCs/>
                <w:szCs w:val="21"/>
              </w:rPr>
              <w:t>共部署</w:t>
            </w:r>
            <w:r>
              <w:rPr>
                <w:rFonts w:hint="eastAsia"/>
                <w:bCs/>
                <w:szCs w:val="21"/>
              </w:rPr>
              <w:t>22</w:t>
            </w:r>
            <w:r>
              <w:rPr>
                <w:rFonts w:hint="eastAsia"/>
                <w:bCs/>
                <w:szCs w:val="21"/>
              </w:rPr>
              <w:t>口井，其中新建采油井场</w:t>
            </w:r>
            <w:r>
              <w:rPr>
                <w:rFonts w:hint="eastAsia"/>
                <w:bCs/>
                <w:szCs w:val="21"/>
              </w:rPr>
              <w:t>9</w:t>
            </w:r>
            <w:r>
              <w:rPr>
                <w:rFonts w:hint="eastAsia"/>
                <w:bCs/>
                <w:szCs w:val="21"/>
              </w:rPr>
              <w:t>座（双井同台井场</w:t>
            </w:r>
            <w:r>
              <w:rPr>
                <w:rFonts w:hint="eastAsia"/>
                <w:bCs/>
                <w:szCs w:val="21"/>
              </w:rPr>
              <w:t>6</w:t>
            </w:r>
            <w:r>
              <w:rPr>
                <w:rFonts w:hint="eastAsia"/>
                <w:bCs/>
                <w:szCs w:val="21"/>
              </w:rPr>
              <w:t>座、单井井场</w:t>
            </w:r>
            <w:r>
              <w:rPr>
                <w:rFonts w:hint="eastAsia"/>
                <w:bCs/>
                <w:szCs w:val="21"/>
              </w:rPr>
              <w:t>1</w:t>
            </w:r>
            <w:r>
              <w:rPr>
                <w:rFonts w:hint="eastAsia"/>
                <w:bCs/>
                <w:szCs w:val="21"/>
              </w:rPr>
              <w:t>座、老井合建</w:t>
            </w:r>
            <w:r>
              <w:rPr>
                <w:rFonts w:hint="eastAsia"/>
                <w:bCs/>
                <w:szCs w:val="21"/>
              </w:rPr>
              <w:t>2</w:t>
            </w:r>
            <w:r>
              <w:rPr>
                <w:rFonts w:hint="eastAsia"/>
                <w:bCs/>
                <w:szCs w:val="21"/>
              </w:rPr>
              <w:t>座），新建注水单井井场</w:t>
            </w:r>
            <w:r>
              <w:rPr>
                <w:rFonts w:hint="eastAsia"/>
                <w:bCs/>
                <w:szCs w:val="21"/>
              </w:rPr>
              <w:t>3</w:t>
            </w:r>
            <w:r>
              <w:rPr>
                <w:rFonts w:hint="eastAsia"/>
                <w:bCs/>
                <w:szCs w:val="21"/>
              </w:rPr>
              <w:t>座，老井利用</w:t>
            </w:r>
            <w:r>
              <w:rPr>
                <w:rFonts w:hint="eastAsia"/>
                <w:bCs/>
                <w:szCs w:val="21"/>
              </w:rPr>
              <w:t>4</w:t>
            </w:r>
            <w:r>
              <w:rPr>
                <w:rFonts w:hint="eastAsia"/>
                <w:bCs/>
                <w:szCs w:val="21"/>
              </w:rPr>
              <w:t>口（试采井</w:t>
            </w:r>
            <w:r>
              <w:rPr>
                <w:rFonts w:hint="eastAsia"/>
                <w:bCs/>
                <w:szCs w:val="21"/>
              </w:rPr>
              <w:t>3</w:t>
            </w:r>
            <w:r>
              <w:rPr>
                <w:rFonts w:hint="eastAsia"/>
                <w:bCs/>
                <w:szCs w:val="21"/>
              </w:rPr>
              <w:t>口、回注井</w:t>
            </w:r>
            <w:r>
              <w:rPr>
                <w:rFonts w:hint="eastAsia"/>
                <w:bCs/>
                <w:szCs w:val="21"/>
              </w:rPr>
              <w:t>1</w:t>
            </w:r>
            <w:r>
              <w:rPr>
                <w:rFonts w:hint="eastAsia"/>
                <w:bCs/>
                <w:szCs w:val="21"/>
              </w:rPr>
              <w:t>口）</w:t>
            </w:r>
          </w:p>
        </w:tc>
      </w:tr>
      <w:tr w:rsidR="00EE4502">
        <w:trPr>
          <w:trHeight w:val="397"/>
        </w:trPr>
        <w:tc>
          <w:tcPr>
            <w:tcW w:w="341" w:type="pct"/>
            <w:vMerge/>
            <w:vAlign w:val="center"/>
          </w:tcPr>
          <w:p w:rsidR="00EE4502" w:rsidRDefault="00EE4502">
            <w:pPr>
              <w:jc w:val="center"/>
              <w:rPr>
                <w:bCs/>
                <w:szCs w:val="21"/>
                <w:lang w:val="zh-CN"/>
              </w:rPr>
            </w:pPr>
          </w:p>
        </w:tc>
        <w:tc>
          <w:tcPr>
            <w:tcW w:w="411" w:type="pct"/>
            <w:vMerge/>
            <w:vAlign w:val="center"/>
          </w:tcPr>
          <w:p w:rsidR="00EE4502" w:rsidRDefault="00EE4502">
            <w:pPr>
              <w:jc w:val="center"/>
              <w:rPr>
                <w:bCs/>
                <w:szCs w:val="21"/>
                <w:lang w:val="zh-CN"/>
              </w:rPr>
            </w:pPr>
          </w:p>
        </w:tc>
        <w:tc>
          <w:tcPr>
            <w:tcW w:w="1125" w:type="pct"/>
            <w:gridSpan w:val="2"/>
            <w:vAlign w:val="center"/>
          </w:tcPr>
          <w:p w:rsidR="00EE4502" w:rsidRDefault="00FD45A3">
            <w:pPr>
              <w:jc w:val="center"/>
              <w:rPr>
                <w:bCs/>
                <w:szCs w:val="21"/>
              </w:rPr>
            </w:pPr>
            <w:r>
              <w:rPr>
                <w:rFonts w:hint="eastAsia"/>
                <w:bCs/>
                <w:szCs w:val="21"/>
              </w:rPr>
              <w:t>新建增压点</w:t>
            </w:r>
          </w:p>
        </w:tc>
        <w:tc>
          <w:tcPr>
            <w:tcW w:w="3122" w:type="pct"/>
            <w:vAlign w:val="center"/>
          </w:tcPr>
          <w:p w:rsidR="00EE4502" w:rsidRDefault="00FD45A3">
            <w:pPr>
              <w:rPr>
                <w:bCs/>
                <w:szCs w:val="21"/>
              </w:rPr>
            </w:pPr>
            <w:r>
              <w:rPr>
                <w:rFonts w:hint="eastAsia"/>
                <w:bCs/>
                <w:szCs w:val="21"/>
              </w:rPr>
              <w:t>排</w:t>
            </w:r>
            <w:r>
              <w:rPr>
                <w:rFonts w:hint="eastAsia"/>
                <w:bCs/>
                <w:szCs w:val="21"/>
              </w:rPr>
              <w:t>61-</w:t>
            </w:r>
            <w:r>
              <w:rPr>
                <w:rFonts w:hint="eastAsia"/>
                <w:bCs/>
                <w:szCs w:val="21"/>
              </w:rPr>
              <w:t>平</w:t>
            </w:r>
            <w:r>
              <w:rPr>
                <w:rFonts w:hint="eastAsia"/>
                <w:bCs/>
                <w:szCs w:val="21"/>
              </w:rPr>
              <w:t>14/</w:t>
            </w:r>
            <w:r>
              <w:rPr>
                <w:rFonts w:hint="eastAsia"/>
                <w:bCs/>
                <w:szCs w:val="21"/>
              </w:rPr>
              <w:t>平</w:t>
            </w:r>
            <w:r>
              <w:rPr>
                <w:rFonts w:hint="eastAsia"/>
                <w:bCs/>
                <w:szCs w:val="21"/>
              </w:rPr>
              <w:t>15</w:t>
            </w:r>
            <w:r>
              <w:rPr>
                <w:rFonts w:hint="eastAsia"/>
                <w:bCs/>
                <w:szCs w:val="21"/>
              </w:rPr>
              <w:t>井靠近主要交通干线，且位于排</w:t>
            </w:r>
            <w:r>
              <w:rPr>
                <w:rFonts w:hint="eastAsia"/>
                <w:bCs/>
                <w:szCs w:val="21"/>
              </w:rPr>
              <w:t>61</w:t>
            </w:r>
            <w:r>
              <w:rPr>
                <w:rFonts w:hint="eastAsia"/>
                <w:bCs/>
                <w:szCs w:val="21"/>
              </w:rPr>
              <w:t>块油井负荷中心，设计于此井场新建增压点</w:t>
            </w:r>
            <w:r>
              <w:rPr>
                <w:rFonts w:hint="eastAsia"/>
                <w:bCs/>
                <w:szCs w:val="21"/>
              </w:rPr>
              <w:t>1</w:t>
            </w:r>
            <w:r>
              <w:rPr>
                <w:rFonts w:hint="eastAsia"/>
                <w:bCs/>
                <w:szCs w:val="21"/>
              </w:rPr>
              <w:t>处，井口产液增压输至</w:t>
            </w:r>
            <w:r>
              <w:rPr>
                <w:rFonts w:hint="eastAsia"/>
                <w:bCs/>
                <w:szCs w:val="21"/>
              </w:rPr>
              <w:t>1#</w:t>
            </w:r>
            <w:r>
              <w:rPr>
                <w:rFonts w:hint="eastAsia"/>
                <w:bCs/>
                <w:szCs w:val="21"/>
              </w:rPr>
              <w:t>增压站</w:t>
            </w:r>
          </w:p>
        </w:tc>
      </w:tr>
      <w:tr w:rsidR="00EE4502">
        <w:trPr>
          <w:trHeight w:val="397"/>
        </w:trPr>
        <w:tc>
          <w:tcPr>
            <w:tcW w:w="341" w:type="pct"/>
            <w:vMerge/>
            <w:vAlign w:val="center"/>
          </w:tcPr>
          <w:p w:rsidR="00EE4502" w:rsidRDefault="00EE4502">
            <w:pPr>
              <w:jc w:val="center"/>
              <w:rPr>
                <w:bCs/>
                <w:szCs w:val="21"/>
                <w:lang w:val="zh-CN"/>
              </w:rPr>
            </w:pPr>
          </w:p>
        </w:tc>
        <w:tc>
          <w:tcPr>
            <w:tcW w:w="411" w:type="pct"/>
            <w:vMerge/>
            <w:vAlign w:val="center"/>
          </w:tcPr>
          <w:p w:rsidR="00EE4502" w:rsidRDefault="00EE4502">
            <w:pPr>
              <w:jc w:val="center"/>
              <w:rPr>
                <w:bCs/>
                <w:szCs w:val="21"/>
                <w:lang w:val="zh-CN"/>
              </w:rPr>
            </w:pPr>
          </w:p>
        </w:tc>
        <w:tc>
          <w:tcPr>
            <w:tcW w:w="527" w:type="pct"/>
            <w:vMerge w:val="restart"/>
            <w:vAlign w:val="center"/>
          </w:tcPr>
          <w:p w:rsidR="00EE4502" w:rsidRDefault="00FD45A3">
            <w:pPr>
              <w:jc w:val="center"/>
              <w:rPr>
                <w:bCs/>
                <w:szCs w:val="21"/>
              </w:rPr>
            </w:pPr>
            <w:r>
              <w:rPr>
                <w:rFonts w:hint="eastAsia"/>
                <w:bCs/>
                <w:szCs w:val="21"/>
              </w:rPr>
              <w:t>站场改、扩建</w:t>
            </w:r>
          </w:p>
        </w:tc>
        <w:tc>
          <w:tcPr>
            <w:tcW w:w="597" w:type="pct"/>
            <w:vAlign w:val="center"/>
          </w:tcPr>
          <w:p w:rsidR="00EE4502" w:rsidRDefault="00FD45A3">
            <w:pPr>
              <w:jc w:val="center"/>
              <w:rPr>
                <w:bCs/>
                <w:szCs w:val="21"/>
                <w:lang w:val="zh-CN"/>
              </w:rPr>
            </w:pPr>
            <w:r>
              <w:rPr>
                <w:rFonts w:hint="eastAsia"/>
                <w:bCs/>
                <w:szCs w:val="21"/>
                <w:lang w:val="zh-CN"/>
              </w:rPr>
              <w:t>1#</w:t>
            </w:r>
            <w:r>
              <w:rPr>
                <w:rFonts w:hint="eastAsia"/>
                <w:bCs/>
                <w:szCs w:val="21"/>
                <w:lang w:val="zh-CN"/>
              </w:rPr>
              <w:t>增压站</w:t>
            </w:r>
          </w:p>
        </w:tc>
        <w:tc>
          <w:tcPr>
            <w:tcW w:w="3122" w:type="pct"/>
            <w:vAlign w:val="center"/>
          </w:tcPr>
          <w:p w:rsidR="00EE4502" w:rsidRDefault="00FD45A3">
            <w:pPr>
              <w:rPr>
                <w:bCs/>
                <w:szCs w:val="21"/>
              </w:rPr>
            </w:pPr>
            <w:r>
              <w:rPr>
                <w:rFonts w:hint="eastAsia"/>
                <w:bCs/>
                <w:szCs w:val="21"/>
              </w:rPr>
              <w:t>对</w:t>
            </w:r>
            <w:r>
              <w:rPr>
                <w:rFonts w:hint="eastAsia"/>
                <w:bCs/>
                <w:szCs w:val="21"/>
              </w:rPr>
              <w:t>1#</w:t>
            </w:r>
            <w:r>
              <w:rPr>
                <w:rFonts w:hint="eastAsia"/>
                <w:bCs/>
                <w:szCs w:val="21"/>
              </w:rPr>
              <w:t>增压站进行就地分水改造，在站北空地新增征地</w:t>
            </w:r>
            <w:r>
              <w:rPr>
                <w:rFonts w:hint="eastAsia"/>
                <w:bCs/>
                <w:szCs w:val="21"/>
              </w:rPr>
              <w:t>600m</w:t>
            </w:r>
            <w:r>
              <w:rPr>
                <w:rFonts w:hint="eastAsia"/>
                <w:bCs/>
                <w:szCs w:val="21"/>
                <w:vertAlign w:val="superscript"/>
              </w:rPr>
              <w:t>2</w:t>
            </w:r>
            <w:r>
              <w:rPr>
                <w:rFonts w:hint="eastAsia"/>
                <w:bCs/>
                <w:szCs w:val="21"/>
              </w:rPr>
              <w:t>，新建三相分离器、天然气分水器、采出水外输泵等，建成后增压站来液经过三相分离器分离，分出水去排</w:t>
            </w:r>
            <w:r>
              <w:rPr>
                <w:rFonts w:hint="eastAsia"/>
                <w:bCs/>
                <w:szCs w:val="21"/>
              </w:rPr>
              <w:t>61</w:t>
            </w:r>
            <w:r>
              <w:rPr>
                <w:rFonts w:hint="eastAsia"/>
                <w:bCs/>
                <w:szCs w:val="21"/>
              </w:rPr>
              <w:t>块末端掺水井、伴生气外输至</w:t>
            </w:r>
            <w:r>
              <w:rPr>
                <w:rFonts w:hint="eastAsia"/>
                <w:bCs/>
                <w:szCs w:val="21"/>
              </w:rPr>
              <w:t>6#</w:t>
            </w:r>
            <w:r>
              <w:rPr>
                <w:rFonts w:hint="eastAsia"/>
                <w:bCs/>
                <w:szCs w:val="21"/>
              </w:rPr>
              <w:t>注</w:t>
            </w:r>
            <w:r>
              <w:rPr>
                <w:rFonts w:hint="eastAsia"/>
                <w:bCs/>
                <w:szCs w:val="21"/>
              </w:rPr>
              <w:t>汽站掺烧，含水原油输至春风二号联合站处理</w:t>
            </w:r>
          </w:p>
        </w:tc>
      </w:tr>
      <w:tr w:rsidR="00EE4502">
        <w:trPr>
          <w:trHeight w:val="397"/>
        </w:trPr>
        <w:tc>
          <w:tcPr>
            <w:tcW w:w="341" w:type="pct"/>
            <w:vMerge/>
            <w:vAlign w:val="center"/>
          </w:tcPr>
          <w:p w:rsidR="00EE4502" w:rsidRDefault="00EE4502">
            <w:pPr>
              <w:jc w:val="center"/>
              <w:rPr>
                <w:bCs/>
                <w:szCs w:val="21"/>
                <w:lang w:val="zh-CN"/>
              </w:rPr>
            </w:pPr>
          </w:p>
        </w:tc>
        <w:tc>
          <w:tcPr>
            <w:tcW w:w="411" w:type="pct"/>
            <w:vMerge/>
            <w:vAlign w:val="center"/>
          </w:tcPr>
          <w:p w:rsidR="00EE4502" w:rsidRDefault="00EE4502">
            <w:pPr>
              <w:jc w:val="center"/>
              <w:rPr>
                <w:bCs/>
                <w:szCs w:val="21"/>
                <w:lang w:val="zh-CN"/>
              </w:rPr>
            </w:pPr>
          </w:p>
        </w:tc>
        <w:tc>
          <w:tcPr>
            <w:tcW w:w="527" w:type="pct"/>
            <w:vMerge/>
            <w:vAlign w:val="center"/>
          </w:tcPr>
          <w:p w:rsidR="00EE4502" w:rsidRDefault="00EE4502">
            <w:pPr>
              <w:jc w:val="center"/>
              <w:rPr>
                <w:bCs/>
                <w:szCs w:val="21"/>
              </w:rPr>
            </w:pPr>
          </w:p>
        </w:tc>
        <w:tc>
          <w:tcPr>
            <w:tcW w:w="597" w:type="pct"/>
            <w:shd w:val="clear" w:color="auto" w:fill="auto"/>
            <w:vAlign w:val="center"/>
          </w:tcPr>
          <w:p w:rsidR="00EE4502" w:rsidRDefault="00FD45A3">
            <w:pPr>
              <w:jc w:val="center"/>
              <w:rPr>
                <w:bCs/>
                <w:szCs w:val="21"/>
                <w:lang w:val="zh-CN"/>
              </w:rPr>
            </w:pPr>
            <w:r>
              <w:rPr>
                <w:rFonts w:hint="eastAsia"/>
                <w:bCs/>
                <w:szCs w:val="21"/>
                <w:lang w:val="zh-CN"/>
              </w:rPr>
              <w:t>排</w:t>
            </w:r>
            <w:r>
              <w:rPr>
                <w:rFonts w:hint="eastAsia"/>
                <w:bCs/>
                <w:szCs w:val="21"/>
                <w:lang w:val="zh-CN"/>
              </w:rPr>
              <w:t>7</w:t>
            </w:r>
            <w:r>
              <w:rPr>
                <w:rFonts w:hint="eastAsia"/>
                <w:bCs/>
                <w:szCs w:val="21"/>
                <w:lang w:val="zh-CN"/>
              </w:rPr>
              <w:t>注水站</w:t>
            </w:r>
          </w:p>
        </w:tc>
        <w:tc>
          <w:tcPr>
            <w:tcW w:w="3122" w:type="pct"/>
            <w:shd w:val="clear" w:color="auto" w:fill="auto"/>
            <w:vAlign w:val="center"/>
          </w:tcPr>
          <w:p w:rsidR="00EE4502" w:rsidRDefault="00FD45A3">
            <w:pPr>
              <w:rPr>
                <w:bCs/>
                <w:szCs w:val="21"/>
              </w:rPr>
            </w:pPr>
            <w:r>
              <w:rPr>
                <w:rFonts w:hint="eastAsia"/>
                <w:bCs/>
                <w:szCs w:val="21"/>
              </w:rPr>
              <w:t>在排</w:t>
            </w:r>
            <w:r>
              <w:rPr>
                <w:rFonts w:hint="eastAsia"/>
                <w:bCs/>
                <w:szCs w:val="21"/>
              </w:rPr>
              <w:t>7</w:t>
            </w:r>
            <w:r>
              <w:rPr>
                <w:rFonts w:hint="eastAsia"/>
                <w:bCs/>
                <w:szCs w:val="21"/>
              </w:rPr>
              <w:t>注水站内新建缓冲罐</w:t>
            </w:r>
            <w:r>
              <w:rPr>
                <w:rFonts w:hint="eastAsia"/>
                <w:bCs/>
                <w:szCs w:val="21"/>
              </w:rPr>
              <w:t>1</w:t>
            </w:r>
            <w:r>
              <w:rPr>
                <w:rFonts w:hint="eastAsia"/>
                <w:bCs/>
                <w:szCs w:val="21"/>
              </w:rPr>
              <w:t>座、喂水泵</w:t>
            </w:r>
            <w:r>
              <w:rPr>
                <w:rFonts w:hint="eastAsia"/>
                <w:bCs/>
                <w:szCs w:val="21"/>
              </w:rPr>
              <w:t>3</w:t>
            </w:r>
            <w:r>
              <w:rPr>
                <w:rFonts w:hint="eastAsia"/>
                <w:bCs/>
                <w:szCs w:val="21"/>
              </w:rPr>
              <w:t>台，新建提升泵房、配电室，新建房屋考虑预留注水泵位置。更换已建</w:t>
            </w:r>
            <w:r>
              <w:rPr>
                <w:rFonts w:hint="eastAsia"/>
                <w:bCs/>
                <w:szCs w:val="21"/>
              </w:rPr>
              <w:t>1#</w:t>
            </w:r>
            <w:r>
              <w:rPr>
                <w:rFonts w:hint="eastAsia"/>
                <w:bCs/>
                <w:szCs w:val="21"/>
              </w:rPr>
              <w:t>、</w:t>
            </w:r>
            <w:r>
              <w:rPr>
                <w:rFonts w:hint="eastAsia"/>
                <w:bCs/>
                <w:szCs w:val="21"/>
              </w:rPr>
              <w:t>2#</w:t>
            </w:r>
            <w:r>
              <w:rPr>
                <w:rFonts w:hint="eastAsia"/>
                <w:bCs/>
                <w:szCs w:val="21"/>
              </w:rPr>
              <w:t>注水泵，迁建已建埋地缓冲罐及配套提升泵，新建免水冲厕所</w:t>
            </w:r>
            <w:r>
              <w:rPr>
                <w:rFonts w:hint="eastAsia"/>
                <w:bCs/>
                <w:szCs w:val="21"/>
              </w:rPr>
              <w:t>1</w:t>
            </w:r>
            <w:r>
              <w:rPr>
                <w:rFonts w:hint="eastAsia"/>
                <w:bCs/>
                <w:szCs w:val="21"/>
              </w:rPr>
              <w:t>座</w:t>
            </w:r>
          </w:p>
        </w:tc>
      </w:tr>
      <w:tr w:rsidR="00EE4502">
        <w:trPr>
          <w:trHeight w:val="397"/>
        </w:trPr>
        <w:tc>
          <w:tcPr>
            <w:tcW w:w="341" w:type="pct"/>
            <w:vMerge/>
            <w:vAlign w:val="center"/>
          </w:tcPr>
          <w:p w:rsidR="00EE4502" w:rsidRDefault="00EE4502">
            <w:pPr>
              <w:jc w:val="center"/>
              <w:rPr>
                <w:bCs/>
                <w:szCs w:val="21"/>
                <w:lang w:val="zh-CN"/>
              </w:rPr>
            </w:pPr>
          </w:p>
        </w:tc>
        <w:tc>
          <w:tcPr>
            <w:tcW w:w="411" w:type="pct"/>
            <w:vMerge/>
            <w:vAlign w:val="center"/>
          </w:tcPr>
          <w:p w:rsidR="00EE4502" w:rsidRDefault="00EE4502">
            <w:pPr>
              <w:jc w:val="center"/>
              <w:rPr>
                <w:bCs/>
                <w:szCs w:val="21"/>
                <w:lang w:val="zh-CN"/>
              </w:rPr>
            </w:pPr>
          </w:p>
        </w:tc>
        <w:tc>
          <w:tcPr>
            <w:tcW w:w="527" w:type="pct"/>
            <w:vMerge/>
            <w:vAlign w:val="center"/>
          </w:tcPr>
          <w:p w:rsidR="00EE4502" w:rsidRDefault="00EE4502">
            <w:pPr>
              <w:jc w:val="center"/>
              <w:rPr>
                <w:bCs/>
                <w:szCs w:val="21"/>
                <w:lang w:val="zh-CN"/>
              </w:rPr>
            </w:pPr>
          </w:p>
        </w:tc>
        <w:tc>
          <w:tcPr>
            <w:tcW w:w="597" w:type="pct"/>
            <w:vAlign w:val="center"/>
          </w:tcPr>
          <w:p w:rsidR="00EE4502" w:rsidRDefault="00FD45A3">
            <w:pPr>
              <w:jc w:val="center"/>
              <w:rPr>
                <w:bCs/>
                <w:szCs w:val="21"/>
                <w:lang w:val="zh-CN"/>
              </w:rPr>
            </w:pPr>
            <w:r>
              <w:rPr>
                <w:rFonts w:hint="eastAsia"/>
                <w:bCs/>
                <w:szCs w:val="21"/>
                <w:lang w:val="zh-CN"/>
              </w:rPr>
              <w:t>6#</w:t>
            </w:r>
            <w:r>
              <w:rPr>
                <w:rFonts w:hint="eastAsia"/>
                <w:bCs/>
                <w:szCs w:val="21"/>
                <w:lang w:val="zh-CN"/>
              </w:rPr>
              <w:t>注汽站</w:t>
            </w:r>
          </w:p>
        </w:tc>
        <w:tc>
          <w:tcPr>
            <w:tcW w:w="3122" w:type="pct"/>
            <w:vAlign w:val="center"/>
          </w:tcPr>
          <w:p w:rsidR="00EE4502" w:rsidRDefault="00FD45A3">
            <w:pPr>
              <w:rPr>
                <w:bCs/>
                <w:szCs w:val="21"/>
              </w:rPr>
            </w:pPr>
            <w:r>
              <w:rPr>
                <w:rFonts w:hint="eastAsia"/>
                <w:bCs/>
                <w:szCs w:val="21"/>
              </w:rPr>
              <w:t>在</w:t>
            </w:r>
            <w:r>
              <w:rPr>
                <w:rFonts w:hint="eastAsia"/>
                <w:bCs/>
                <w:szCs w:val="21"/>
              </w:rPr>
              <w:t>6#</w:t>
            </w:r>
            <w:r>
              <w:rPr>
                <w:rFonts w:hint="eastAsia"/>
                <w:bCs/>
                <w:szCs w:val="21"/>
              </w:rPr>
              <w:t>注汽站增设</w:t>
            </w:r>
            <w:r>
              <w:rPr>
                <w:rFonts w:hint="eastAsia"/>
                <w:bCs/>
                <w:szCs w:val="21"/>
              </w:rPr>
              <w:t>1</w:t>
            </w:r>
            <w:r>
              <w:rPr>
                <w:rFonts w:hint="eastAsia"/>
                <w:bCs/>
                <w:szCs w:val="21"/>
              </w:rPr>
              <w:t>个火炬，注汽站停炉下，应急使用</w:t>
            </w:r>
          </w:p>
        </w:tc>
      </w:tr>
      <w:tr w:rsidR="00EE4502">
        <w:trPr>
          <w:trHeight w:val="397"/>
        </w:trPr>
        <w:tc>
          <w:tcPr>
            <w:tcW w:w="341" w:type="pct"/>
            <w:vMerge/>
            <w:vAlign w:val="center"/>
          </w:tcPr>
          <w:p w:rsidR="00EE4502" w:rsidRDefault="00EE4502">
            <w:pPr>
              <w:jc w:val="center"/>
              <w:rPr>
                <w:bCs/>
                <w:szCs w:val="21"/>
                <w:lang w:val="zh-CN"/>
              </w:rPr>
            </w:pPr>
          </w:p>
        </w:tc>
        <w:tc>
          <w:tcPr>
            <w:tcW w:w="411" w:type="pct"/>
            <w:vMerge/>
            <w:vAlign w:val="center"/>
          </w:tcPr>
          <w:p w:rsidR="00EE4502" w:rsidRDefault="00EE4502">
            <w:pPr>
              <w:jc w:val="center"/>
              <w:rPr>
                <w:bCs/>
                <w:szCs w:val="21"/>
                <w:lang w:val="zh-CN"/>
              </w:rPr>
            </w:pPr>
          </w:p>
        </w:tc>
        <w:tc>
          <w:tcPr>
            <w:tcW w:w="527" w:type="pct"/>
            <w:vMerge w:val="restart"/>
            <w:vAlign w:val="center"/>
          </w:tcPr>
          <w:p w:rsidR="00EE4502" w:rsidRDefault="00FD45A3">
            <w:pPr>
              <w:jc w:val="center"/>
              <w:rPr>
                <w:bCs/>
                <w:szCs w:val="21"/>
                <w:lang w:val="zh-CN"/>
              </w:rPr>
            </w:pPr>
            <w:r>
              <w:rPr>
                <w:rFonts w:hint="eastAsia"/>
                <w:bCs/>
                <w:szCs w:val="21"/>
                <w:lang w:val="zh-CN"/>
              </w:rPr>
              <w:t>管线工程</w:t>
            </w:r>
          </w:p>
        </w:tc>
        <w:tc>
          <w:tcPr>
            <w:tcW w:w="597" w:type="pct"/>
            <w:vAlign w:val="center"/>
          </w:tcPr>
          <w:p w:rsidR="00EE4502" w:rsidRDefault="00FD45A3">
            <w:pPr>
              <w:jc w:val="center"/>
              <w:rPr>
                <w:bCs/>
                <w:szCs w:val="21"/>
                <w:lang w:val="zh-CN"/>
              </w:rPr>
            </w:pPr>
            <w:r>
              <w:rPr>
                <w:rFonts w:hint="eastAsia"/>
                <w:bCs/>
                <w:szCs w:val="21"/>
                <w:lang w:val="zh-CN"/>
              </w:rPr>
              <w:t>集油管线</w:t>
            </w:r>
          </w:p>
        </w:tc>
        <w:tc>
          <w:tcPr>
            <w:tcW w:w="3122" w:type="pct"/>
            <w:vAlign w:val="center"/>
          </w:tcPr>
          <w:p w:rsidR="00EE4502" w:rsidRDefault="00FD45A3">
            <w:pPr>
              <w:rPr>
                <w:bCs/>
                <w:szCs w:val="21"/>
                <w:lang w:val="zh-CN"/>
              </w:rPr>
            </w:pPr>
            <w:r>
              <w:rPr>
                <w:rFonts w:hint="eastAsia"/>
                <w:bCs/>
                <w:szCs w:val="21"/>
                <w:lang w:val="zh-CN"/>
              </w:rPr>
              <w:t>设计采用枝状串接管网掺水管输，新建集油管线长度合计</w:t>
            </w:r>
            <w:r>
              <w:rPr>
                <w:rFonts w:hint="eastAsia"/>
                <w:bCs/>
                <w:szCs w:val="21"/>
                <w:lang w:val="zh-CN"/>
              </w:rPr>
              <w:t>13.9</w:t>
            </w:r>
            <w:r>
              <w:rPr>
                <w:rFonts w:hint="eastAsia"/>
                <w:bCs/>
                <w:szCs w:val="21"/>
              </w:rPr>
              <w:t>k</w:t>
            </w:r>
            <w:r>
              <w:rPr>
                <w:bCs/>
                <w:szCs w:val="21"/>
                <w:lang w:val="zh-CN"/>
              </w:rPr>
              <w:t>m</w:t>
            </w:r>
            <w:r>
              <w:rPr>
                <w:rFonts w:hint="eastAsia"/>
                <w:bCs/>
                <w:szCs w:val="21"/>
                <w:lang w:val="zh-CN"/>
              </w:rPr>
              <w:t>，其中无缝钢管Φ</w:t>
            </w:r>
            <w:r>
              <w:rPr>
                <w:rFonts w:hint="eastAsia"/>
                <w:bCs/>
                <w:szCs w:val="21"/>
                <w:lang w:val="zh-CN"/>
              </w:rPr>
              <w:t>89</w:t>
            </w:r>
            <w:r>
              <w:rPr>
                <w:rFonts w:hint="eastAsia"/>
                <w:bCs/>
                <w:szCs w:val="21"/>
                <w:lang w:val="zh-CN"/>
              </w:rPr>
              <w:t>×</w:t>
            </w:r>
            <w:r>
              <w:rPr>
                <w:rFonts w:hint="eastAsia"/>
                <w:bCs/>
                <w:szCs w:val="21"/>
                <w:lang w:val="zh-CN"/>
              </w:rPr>
              <w:t>6 20</w:t>
            </w:r>
            <w:r>
              <w:rPr>
                <w:rFonts w:hint="eastAsia"/>
                <w:bCs/>
                <w:szCs w:val="21"/>
              </w:rPr>
              <w:t>#</w:t>
            </w:r>
            <w:r>
              <w:rPr>
                <w:rFonts w:hint="eastAsia"/>
                <w:bCs/>
                <w:szCs w:val="21"/>
              </w:rPr>
              <w:t>长度</w:t>
            </w:r>
            <w:r>
              <w:rPr>
                <w:rFonts w:hint="eastAsia"/>
                <w:bCs/>
                <w:szCs w:val="21"/>
              </w:rPr>
              <w:t>5.4km</w:t>
            </w:r>
            <w:r>
              <w:rPr>
                <w:rFonts w:hint="eastAsia"/>
                <w:bCs/>
                <w:szCs w:val="21"/>
              </w:rPr>
              <w:t>、无缝钢管Φ</w:t>
            </w:r>
            <w:r>
              <w:rPr>
                <w:rFonts w:hint="eastAsia"/>
                <w:bCs/>
                <w:szCs w:val="21"/>
              </w:rPr>
              <w:t>114</w:t>
            </w:r>
            <w:r>
              <w:rPr>
                <w:rFonts w:hint="eastAsia"/>
                <w:bCs/>
                <w:szCs w:val="21"/>
              </w:rPr>
              <w:t>×</w:t>
            </w:r>
            <w:r>
              <w:rPr>
                <w:rFonts w:hint="eastAsia"/>
                <w:bCs/>
                <w:szCs w:val="21"/>
              </w:rPr>
              <w:t>6 20#</w:t>
            </w:r>
            <w:r>
              <w:rPr>
                <w:rFonts w:hint="eastAsia"/>
                <w:bCs/>
                <w:szCs w:val="21"/>
              </w:rPr>
              <w:t>长度</w:t>
            </w:r>
            <w:r>
              <w:rPr>
                <w:rFonts w:hint="eastAsia"/>
                <w:bCs/>
                <w:szCs w:val="21"/>
              </w:rPr>
              <w:t>4km</w:t>
            </w:r>
            <w:r>
              <w:rPr>
                <w:rFonts w:hint="eastAsia"/>
                <w:bCs/>
                <w:szCs w:val="21"/>
              </w:rPr>
              <w:t>、无缝钢管Φ</w:t>
            </w:r>
            <w:r>
              <w:rPr>
                <w:rFonts w:hint="eastAsia"/>
                <w:bCs/>
                <w:szCs w:val="21"/>
              </w:rPr>
              <w:t>168</w:t>
            </w:r>
            <w:r>
              <w:rPr>
                <w:rFonts w:hint="eastAsia"/>
                <w:bCs/>
                <w:szCs w:val="21"/>
              </w:rPr>
              <w:t>×</w:t>
            </w:r>
            <w:r>
              <w:rPr>
                <w:rFonts w:hint="eastAsia"/>
                <w:bCs/>
                <w:szCs w:val="21"/>
              </w:rPr>
              <w:t xml:space="preserve">7 </w:t>
            </w:r>
            <w:r>
              <w:rPr>
                <w:rFonts w:hint="eastAsia"/>
                <w:bCs/>
                <w:szCs w:val="21"/>
              </w:rPr>
              <w:t>20#</w:t>
            </w:r>
            <w:r>
              <w:rPr>
                <w:rFonts w:hint="eastAsia"/>
                <w:bCs/>
                <w:szCs w:val="21"/>
              </w:rPr>
              <w:t>长度</w:t>
            </w:r>
            <w:r>
              <w:rPr>
                <w:rFonts w:hint="eastAsia"/>
                <w:bCs/>
                <w:szCs w:val="21"/>
              </w:rPr>
              <w:t>4.5km</w:t>
            </w:r>
          </w:p>
        </w:tc>
      </w:tr>
      <w:tr w:rsidR="00EE4502">
        <w:trPr>
          <w:trHeight w:val="397"/>
        </w:trPr>
        <w:tc>
          <w:tcPr>
            <w:tcW w:w="341" w:type="pct"/>
            <w:vMerge/>
            <w:vAlign w:val="center"/>
          </w:tcPr>
          <w:p w:rsidR="00EE4502" w:rsidRDefault="00EE4502">
            <w:pPr>
              <w:jc w:val="center"/>
              <w:rPr>
                <w:bCs/>
                <w:szCs w:val="21"/>
                <w:lang w:val="zh-CN"/>
              </w:rPr>
            </w:pPr>
          </w:p>
        </w:tc>
        <w:tc>
          <w:tcPr>
            <w:tcW w:w="411" w:type="pct"/>
            <w:vMerge/>
            <w:vAlign w:val="center"/>
          </w:tcPr>
          <w:p w:rsidR="00EE4502" w:rsidRDefault="00EE4502">
            <w:pPr>
              <w:jc w:val="center"/>
              <w:rPr>
                <w:bCs/>
                <w:szCs w:val="21"/>
                <w:lang w:val="zh-CN"/>
              </w:rPr>
            </w:pPr>
          </w:p>
        </w:tc>
        <w:tc>
          <w:tcPr>
            <w:tcW w:w="527" w:type="pct"/>
            <w:vMerge/>
            <w:vAlign w:val="center"/>
          </w:tcPr>
          <w:p w:rsidR="00EE4502" w:rsidRDefault="00EE4502">
            <w:pPr>
              <w:jc w:val="center"/>
              <w:rPr>
                <w:bCs/>
                <w:szCs w:val="21"/>
                <w:lang w:val="zh-CN"/>
              </w:rPr>
            </w:pPr>
          </w:p>
        </w:tc>
        <w:tc>
          <w:tcPr>
            <w:tcW w:w="597" w:type="pct"/>
            <w:vAlign w:val="center"/>
          </w:tcPr>
          <w:p w:rsidR="00EE4502" w:rsidRDefault="00FD45A3">
            <w:pPr>
              <w:jc w:val="center"/>
              <w:rPr>
                <w:bCs/>
                <w:szCs w:val="21"/>
                <w:lang w:val="zh-CN"/>
              </w:rPr>
            </w:pPr>
            <w:r>
              <w:rPr>
                <w:rFonts w:hint="eastAsia"/>
                <w:bCs/>
                <w:szCs w:val="21"/>
                <w:lang w:val="zh-CN"/>
              </w:rPr>
              <w:t>掺水管线</w:t>
            </w:r>
          </w:p>
        </w:tc>
        <w:tc>
          <w:tcPr>
            <w:tcW w:w="3122" w:type="pct"/>
            <w:vAlign w:val="center"/>
          </w:tcPr>
          <w:p w:rsidR="00EE4502" w:rsidRDefault="00FD45A3">
            <w:pPr>
              <w:rPr>
                <w:bCs/>
                <w:szCs w:val="21"/>
              </w:rPr>
            </w:pPr>
            <w:r>
              <w:rPr>
                <w:rFonts w:hint="eastAsia"/>
                <w:bCs/>
                <w:szCs w:val="21"/>
                <w:lang w:val="zh-CN"/>
              </w:rPr>
              <w:t>新建掺水干线采用</w:t>
            </w:r>
            <w:r>
              <w:rPr>
                <w:rFonts w:hint="eastAsia"/>
                <w:bCs/>
                <w:szCs w:val="21"/>
                <w:lang w:val="zh-CN"/>
              </w:rPr>
              <w:t>DN100</w:t>
            </w:r>
            <w:r>
              <w:rPr>
                <w:rFonts w:hint="eastAsia"/>
                <w:bCs/>
                <w:szCs w:val="21"/>
                <w:lang w:val="zh-CN"/>
              </w:rPr>
              <w:t>玻璃钢管，新建掺水支线采用</w:t>
            </w:r>
            <w:r>
              <w:rPr>
                <w:rFonts w:hint="eastAsia"/>
                <w:bCs/>
                <w:szCs w:val="21"/>
                <w:lang w:val="zh-CN"/>
              </w:rPr>
              <w:t>DN80</w:t>
            </w:r>
            <w:r>
              <w:rPr>
                <w:rFonts w:hint="eastAsia"/>
                <w:bCs/>
                <w:szCs w:val="21"/>
                <w:lang w:val="zh-CN"/>
              </w:rPr>
              <w:t>、</w:t>
            </w:r>
            <w:r>
              <w:rPr>
                <w:rFonts w:hint="eastAsia"/>
                <w:bCs/>
                <w:szCs w:val="21"/>
                <w:lang w:val="zh-CN"/>
              </w:rPr>
              <w:t>DN65</w:t>
            </w:r>
            <w:r>
              <w:rPr>
                <w:rFonts w:hint="eastAsia"/>
                <w:bCs/>
                <w:szCs w:val="21"/>
                <w:lang w:val="zh-CN"/>
              </w:rPr>
              <w:t>玻璃钢管，长度共计</w:t>
            </w:r>
            <w:r>
              <w:rPr>
                <w:rFonts w:hint="eastAsia"/>
                <w:bCs/>
                <w:szCs w:val="21"/>
                <w:lang w:val="zh-CN"/>
              </w:rPr>
              <w:t>10.3km</w:t>
            </w:r>
            <w:r>
              <w:rPr>
                <w:rFonts w:hint="eastAsia"/>
                <w:bCs/>
                <w:szCs w:val="21"/>
                <w:lang w:val="zh-CN"/>
              </w:rPr>
              <w:t>，</w:t>
            </w:r>
            <w:r>
              <w:rPr>
                <w:rFonts w:hint="eastAsia"/>
                <w:bCs/>
                <w:szCs w:val="21"/>
              </w:rPr>
              <w:t>用于为集输系统增压</w:t>
            </w:r>
          </w:p>
        </w:tc>
      </w:tr>
      <w:tr w:rsidR="00EE4502">
        <w:trPr>
          <w:trHeight w:val="397"/>
        </w:trPr>
        <w:tc>
          <w:tcPr>
            <w:tcW w:w="341" w:type="pct"/>
            <w:vMerge/>
            <w:vAlign w:val="center"/>
          </w:tcPr>
          <w:p w:rsidR="00EE4502" w:rsidRDefault="00EE4502">
            <w:pPr>
              <w:jc w:val="center"/>
              <w:rPr>
                <w:bCs/>
                <w:szCs w:val="21"/>
                <w:lang w:val="zh-CN"/>
              </w:rPr>
            </w:pPr>
          </w:p>
        </w:tc>
        <w:tc>
          <w:tcPr>
            <w:tcW w:w="411" w:type="pct"/>
            <w:vMerge/>
            <w:vAlign w:val="center"/>
          </w:tcPr>
          <w:p w:rsidR="00EE4502" w:rsidRDefault="00EE4502">
            <w:pPr>
              <w:jc w:val="center"/>
              <w:rPr>
                <w:bCs/>
                <w:szCs w:val="21"/>
                <w:lang w:val="zh-CN"/>
              </w:rPr>
            </w:pPr>
          </w:p>
        </w:tc>
        <w:tc>
          <w:tcPr>
            <w:tcW w:w="527" w:type="pct"/>
            <w:vMerge/>
            <w:vAlign w:val="center"/>
          </w:tcPr>
          <w:p w:rsidR="00EE4502" w:rsidRDefault="00EE4502">
            <w:pPr>
              <w:jc w:val="center"/>
              <w:rPr>
                <w:bCs/>
                <w:szCs w:val="21"/>
                <w:lang w:val="zh-CN"/>
              </w:rPr>
            </w:pPr>
          </w:p>
        </w:tc>
        <w:tc>
          <w:tcPr>
            <w:tcW w:w="597" w:type="pct"/>
            <w:vAlign w:val="center"/>
          </w:tcPr>
          <w:p w:rsidR="00EE4502" w:rsidRDefault="00FD45A3">
            <w:pPr>
              <w:jc w:val="center"/>
              <w:rPr>
                <w:bCs/>
                <w:szCs w:val="21"/>
                <w:lang w:val="zh-CN"/>
              </w:rPr>
            </w:pPr>
            <w:r>
              <w:rPr>
                <w:rFonts w:hint="eastAsia"/>
                <w:bCs/>
                <w:szCs w:val="21"/>
                <w:lang w:val="zh-CN"/>
              </w:rPr>
              <w:t>注汽管线</w:t>
            </w:r>
          </w:p>
        </w:tc>
        <w:tc>
          <w:tcPr>
            <w:tcW w:w="3122" w:type="pct"/>
            <w:vAlign w:val="center"/>
          </w:tcPr>
          <w:p w:rsidR="00EE4502" w:rsidRDefault="00FD45A3">
            <w:pPr>
              <w:rPr>
                <w:bCs/>
                <w:szCs w:val="21"/>
                <w:lang w:val="zh-CN"/>
              </w:rPr>
            </w:pPr>
            <w:r>
              <w:rPr>
                <w:rFonts w:hint="eastAsia"/>
                <w:bCs/>
                <w:szCs w:val="21"/>
                <w:lang w:val="zh-CN"/>
              </w:rPr>
              <w:t>新增注汽管线长度</w:t>
            </w:r>
            <w:r>
              <w:rPr>
                <w:rFonts w:hint="eastAsia"/>
                <w:bCs/>
                <w:szCs w:val="21"/>
                <w:lang w:val="zh-CN"/>
              </w:rPr>
              <w:t>0.3km</w:t>
            </w:r>
            <w:r>
              <w:rPr>
                <w:rFonts w:hint="eastAsia"/>
                <w:bCs/>
                <w:szCs w:val="21"/>
                <w:lang w:val="zh-CN"/>
              </w:rPr>
              <w:t>，其中站外部分长度</w:t>
            </w:r>
            <w:r>
              <w:rPr>
                <w:rFonts w:hint="eastAsia"/>
                <w:bCs/>
                <w:szCs w:val="21"/>
                <w:lang w:val="zh-CN"/>
              </w:rPr>
              <w:t>50m</w:t>
            </w:r>
            <w:r>
              <w:rPr>
                <w:rFonts w:hint="eastAsia"/>
                <w:bCs/>
                <w:szCs w:val="21"/>
                <w:lang w:val="zh-CN"/>
              </w:rPr>
              <w:t>，管材采用</w:t>
            </w:r>
            <w:r>
              <w:rPr>
                <w:rFonts w:hint="eastAsia"/>
                <w:bCs/>
                <w:szCs w:val="21"/>
                <w:lang w:val="zh-CN"/>
              </w:rPr>
              <w:t>Q345E</w:t>
            </w:r>
            <w:r>
              <w:rPr>
                <w:rFonts w:hint="eastAsia"/>
                <w:bCs/>
                <w:szCs w:val="21"/>
                <w:lang w:val="zh-CN"/>
              </w:rPr>
              <w:t>，管径采用</w:t>
            </w:r>
            <w:r>
              <w:rPr>
                <w:rFonts w:hint="eastAsia"/>
                <w:bCs/>
                <w:szCs w:val="21"/>
                <w:lang w:val="zh-CN"/>
              </w:rPr>
              <w:t>DN80</w:t>
            </w:r>
            <w:r>
              <w:rPr>
                <w:rFonts w:hint="eastAsia"/>
                <w:bCs/>
                <w:szCs w:val="21"/>
                <w:lang w:val="zh-CN"/>
              </w:rPr>
              <w:t>注汽管线，壁厚</w:t>
            </w:r>
            <w:r>
              <w:rPr>
                <w:rFonts w:hint="eastAsia"/>
                <w:bCs/>
                <w:szCs w:val="21"/>
                <w:lang w:val="zh-CN"/>
              </w:rPr>
              <w:t>8mm</w:t>
            </w:r>
            <w:r>
              <w:rPr>
                <w:rFonts w:hint="eastAsia"/>
                <w:bCs/>
                <w:szCs w:val="21"/>
                <w:lang w:val="zh-CN"/>
              </w:rPr>
              <w:t>。采</w:t>
            </w:r>
            <w:r>
              <w:rPr>
                <w:rFonts w:hint="eastAsia"/>
                <w:bCs/>
                <w:szCs w:val="21"/>
                <w:lang w:val="zh-CN"/>
              </w:rPr>
              <w:lastRenderedPageBreak/>
              <w:t>用低支墩架空的敷设方式</w:t>
            </w:r>
          </w:p>
        </w:tc>
      </w:tr>
      <w:tr w:rsidR="00EE4502">
        <w:trPr>
          <w:trHeight w:val="397"/>
        </w:trPr>
        <w:tc>
          <w:tcPr>
            <w:tcW w:w="341" w:type="pct"/>
            <w:vMerge/>
            <w:vAlign w:val="center"/>
          </w:tcPr>
          <w:p w:rsidR="00EE4502" w:rsidRDefault="00EE4502">
            <w:pPr>
              <w:jc w:val="center"/>
              <w:rPr>
                <w:bCs/>
                <w:szCs w:val="21"/>
                <w:lang w:val="zh-CN"/>
              </w:rPr>
            </w:pPr>
          </w:p>
        </w:tc>
        <w:tc>
          <w:tcPr>
            <w:tcW w:w="411" w:type="pct"/>
            <w:vMerge/>
            <w:vAlign w:val="center"/>
          </w:tcPr>
          <w:p w:rsidR="00EE4502" w:rsidRDefault="00EE4502">
            <w:pPr>
              <w:jc w:val="center"/>
              <w:rPr>
                <w:bCs/>
                <w:szCs w:val="21"/>
                <w:lang w:val="zh-CN"/>
              </w:rPr>
            </w:pPr>
          </w:p>
        </w:tc>
        <w:tc>
          <w:tcPr>
            <w:tcW w:w="527" w:type="pct"/>
            <w:vMerge/>
            <w:vAlign w:val="center"/>
          </w:tcPr>
          <w:p w:rsidR="00EE4502" w:rsidRDefault="00EE4502">
            <w:pPr>
              <w:jc w:val="center"/>
              <w:rPr>
                <w:bCs/>
                <w:szCs w:val="21"/>
                <w:lang w:val="zh-CN"/>
              </w:rPr>
            </w:pPr>
          </w:p>
        </w:tc>
        <w:tc>
          <w:tcPr>
            <w:tcW w:w="597" w:type="pct"/>
            <w:vAlign w:val="center"/>
          </w:tcPr>
          <w:p w:rsidR="00EE4502" w:rsidRDefault="00FD45A3">
            <w:pPr>
              <w:jc w:val="center"/>
              <w:rPr>
                <w:bCs/>
                <w:szCs w:val="21"/>
                <w:lang w:val="zh-CN"/>
              </w:rPr>
            </w:pPr>
            <w:r>
              <w:rPr>
                <w:rFonts w:hint="eastAsia"/>
                <w:bCs/>
                <w:szCs w:val="21"/>
                <w:lang w:val="zh-CN"/>
              </w:rPr>
              <w:t>注水管线</w:t>
            </w:r>
          </w:p>
        </w:tc>
        <w:tc>
          <w:tcPr>
            <w:tcW w:w="3122" w:type="pct"/>
            <w:vAlign w:val="center"/>
          </w:tcPr>
          <w:p w:rsidR="00EE4502" w:rsidRDefault="00FD45A3">
            <w:pPr>
              <w:rPr>
                <w:bCs/>
                <w:szCs w:val="21"/>
                <w:lang w:val="zh-CN"/>
              </w:rPr>
            </w:pPr>
            <w:r>
              <w:rPr>
                <w:rFonts w:hint="eastAsia"/>
                <w:bCs/>
                <w:szCs w:val="21"/>
              </w:rPr>
              <w:t>排</w:t>
            </w:r>
            <w:r>
              <w:rPr>
                <w:rFonts w:hint="eastAsia"/>
                <w:bCs/>
                <w:szCs w:val="21"/>
              </w:rPr>
              <w:t>71</w:t>
            </w:r>
            <w:r>
              <w:rPr>
                <w:rFonts w:hint="eastAsia"/>
                <w:bCs/>
                <w:szCs w:val="21"/>
              </w:rPr>
              <w:t>井已建有配套注水管线，</w:t>
            </w:r>
            <w:r>
              <w:rPr>
                <w:rFonts w:hint="eastAsia"/>
                <w:bCs/>
                <w:szCs w:val="21"/>
                <w:lang w:val="zh-CN"/>
              </w:rPr>
              <w:t>本工程为排</w:t>
            </w:r>
            <w:r>
              <w:rPr>
                <w:rFonts w:hint="eastAsia"/>
                <w:bCs/>
                <w:szCs w:val="21"/>
                <w:lang w:val="zh-CN"/>
              </w:rPr>
              <w:t>7-15</w:t>
            </w:r>
            <w:r>
              <w:rPr>
                <w:rFonts w:hint="eastAsia"/>
                <w:bCs/>
                <w:szCs w:val="21"/>
                <w:lang w:val="zh-CN"/>
              </w:rPr>
              <w:t>、排</w:t>
            </w:r>
            <w:r>
              <w:rPr>
                <w:rFonts w:hint="eastAsia"/>
                <w:bCs/>
                <w:szCs w:val="21"/>
                <w:lang w:val="zh-CN"/>
              </w:rPr>
              <w:t>7-16</w:t>
            </w:r>
            <w:r>
              <w:rPr>
                <w:rFonts w:hint="eastAsia"/>
                <w:bCs/>
                <w:szCs w:val="21"/>
                <w:lang w:val="zh-CN"/>
              </w:rPr>
              <w:t>、排</w:t>
            </w:r>
            <w:r>
              <w:rPr>
                <w:rFonts w:hint="eastAsia"/>
                <w:bCs/>
                <w:szCs w:val="21"/>
                <w:lang w:val="zh-CN"/>
              </w:rPr>
              <w:t>7-</w:t>
            </w:r>
            <w:r>
              <w:rPr>
                <w:rFonts w:hint="eastAsia"/>
                <w:bCs/>
                <w:szCs w:val="21"/>
                <w:lang w:val="zh-CN"/>
              </w:rPr>
              <w:t>斜</w:t>
            </w:r>
            <w:r>
              <w:rPr>
                <w:rFonts w:hint="eastAsia"/>
                <w:bCs/>
                <w:szCs w:val="21"/>
                <w:lang w:val="zh-CN"/>
              </w:rPr>
              <w:t>17</w:t>
            </w:r>
            <w:r>
              <w:rPr>
                <w:rFonts w:hint="eastAsia"/>
                <w:bCs/>
                <w:szCs w:val="21"/>
                <w:lang w:val="zh-CN"/>
              </w:rPr>
              <w:t>等</w:t>
            </w:r>
            <w:r>
              <w:rPr>
                <w:rFonts w:hint="eastAsia"/>
                <w:bCs/>
                <w:szCs w:val="21"/>
                <w:lang w:val="zh-CN"/>
              </w:rPr>
              <w:t>3</w:t>
            </w:r>
            <w:r>
              <w:rPr>
                <w:rFonts w:hint="eastAsia"/>
                <w:bCs/>
                <w:szCs w:val="21"/>
                <w:lang w:val="zh-CN"/>
              </w:rPr>
              <w:t>口</w:t>
            </w:r>
            <w:r>
              <w:rPr>
                <w:rFonts w:hint="eastAsia"/>
                <w:bCs/>
                <w:szCs w:val="21"/>
              </w:rPr>
              <w:t>新钻</w:t>
            </w:r>
            <w:r>
              <w:rPr>
                <w:rFonts w:hint="eastAsia"/>
                <w:bCs/>
                <w:szCs w:val="21"/>
                <w:lang w:val="zh-CN"/>
              </w:rPr>
              <w:t>注水井配套新建注水管线</w:t>
            </w:r>
            <w:r>
              <w:rPr>
                <w:rFonts w:hint="eastAsia"/>
                <w:bCs/>
                <w:szCs w:val="21"/>
              </w:rPr>
              <w:t>2.05</w:t>
            </w:r>
            <w:r>
              <w:rPr>
                <w:rFonts w:hint="eastAsia"/>
                <w:bCs/>
                <w:szCs w:val="21"/>
                <w:lang w:val="zh-CN"/>
              </w:rPr>
              <w:t>km</w:t>
            </w:r>
            <w:r>
              <w:rPr>
                <w:rFonts w:hint="eastAsia"/>
                <w:bCs/>
                <w:szCs w:val="21"/>
                <w:lang w:val="zh-CN"/>
              </w:rPr>
              <w:t>，管线采用</w:t>
            </w:r>
            <w:r>
              <w:rPr>
                <w:rFonts w:hint="eastAsia"/>
                <w:bCs/>
                <w:szCs w:val="21"/>
                <w:lang w:val="zh-CN"/>
              </w:rPr>
              <w:t>DN100</w:t>
            </w:r>
            <w:r>
              <w:rPr>
                <w:rFonts w:hint="eastAsia"/>
                <w:bCs/>
                <w:szCs w:val="21"/>
                <w:lang w:val="zh-CN"/>
              </w:rPr>
              <w:t>玻璃钢管</w:t>
            </w:r>
          </w:p>
        </w:tc>
      </w:tr>
      <w:tr w:rsidR="00EE4502">
        <w:trPr>
          <w:trHeight w:val="397"/>
        </w:trPr>
        <w:tc>
          <w:tcPr>
            <w:tcW w:w="341" w:type="pct"/>
            <w:vMerge/>
            <w:vAlign w:val="center"/>
          </w:tcPr>
          <w:p w:rsidR="00EE4502" w:rsidRDefault="00EE4502">
            <w:pPr>
              <w:jc w:val="center"/>
              <w:rPr>
                <w:bCs/>
                <w:szCs w:val="21"/>
                <w:lang w:val="zh-CN"/>
              </w:rPr>
            </w:pPr>
          </w:p>
        </w:tc>
        <w:tc>
          <w:tcPr>
            <w:tcW w:w="411" w:type="pct"/>
            <w:vMerge/>
            <w:vAlign w:val="center"/>
          </w:tcPr>
          <w:p w:rsidR="00EE4502" w:rsidRDefault="00EE4502">
            <w:pPr>
              <w:jc w:val="center"/>
              <w:rPr>
                <w:bCs/>
                <w:szCs w:val="21"/>
                <w:lang w:val="zh-CN"/>
              </w:rPr>
            </w:pPr>
          </w:p>
        </w:tc>
        <w:tc>
          <w:tcPr>
            <w:tcW w:w="527" w:type="pct"/>
            <w:vMerge/>
            <w:vAlign w:val="center"/>
          </w:tcPr>
          <w:p w:rsidR="00EE4502" w:rsidRDefault="00EE4502">
            <w:pPr>
              <w:jc w:val="center"/>
              <w:rPr>
                <w:bCs/>
                <w:szCs w:val="21"/>
                <w:lang w:val="zh-CN"/>
              </w:rPr>
            </w:pPr>
          </w:p>
        </w:tc>
        <w:tc>
          <w:tcPr>
            <w:tcW w:w="597" w:type="pct"/>
            <w:vAlign w:val="center"/>
          </w:tcPr>
          <w:p w:rsidR="00EE4502" w:rsidRDefault="00FD45A3">
            <w:pPr>
              <w:jc w:val="center"/>
              <w:rPr>
                <w:bCs/>
                <w:szCs w:val="21"/>
                <w:lang w:val="zh-CN"/>
              </w:rPr>
            </w:pPr>
            <w:r>
              <w:rPr>
                <w:bCs/>
                <w:szCs w:val="21"/>
                <w:lang w:val="zh-CN"/>
              </w:rPr>
              <w:t>伴生气掺烧管线</w:t>
            </w:r>
          </w:p>
        </w:tc>
        <w:tc>
          <w:tcPr>
            <w:tcW w:w="3122" w:type="pct"/>
            <w:vAlign w:val="center"/>
          </w:tcPr>
          <w:p w:rsidR="00EE4502" w:rsidRDefault="00FD45A3">
            <w:pPr>
              <w:rPr>
                <w:bCs/>
                <w:szCs w:val="21"/>
              </w:rPr>
            </w:pPr>
            <w:r>
              <w:rPr>
                <w:rFonts w:hint="eastAsia"/>
                <w:bCs/>
                <w:szCs w:val="21"/>
              </w:rPr>
              <w:t>排</w:t>
            </w:r>
            <w:r>
              <w:rPr>
                <w:rFonts w:hint="eastAsia"/>
                <w:bCs/>
                <w:szCs w:val="21"/>
              </w:rPr>
              <w:t>61</w:t>
            </w:r>
            <w:r>
              <w:rPr>
                <w:rFonts w:hint="eastAsia"/>
                <w:bCs/>
                <w:szCs w:val="21"/>
              </w:rPr>
              <w:t>块井口采出物在</w:t>
            </w:r>
            <w:r>
              <w:rPr>
                <w:rFonts w:hint="eastAsia"/>
                <w:bCs/>
                <w:szCs w:val="21"/>
              </w:rPr>
              <w:t>1#</w:t>
            </w:r>
            <w:r>
              <w:rPr>
                <w:rFonts w:hint="eastAsia"/>
                <w:bCs/>
                <w:szCs w:val="21"/>
              </w:rPr>
              <w:t>增压站油气分离后，伴生气就近接入</w:t>
            </w:r>
            <w:r>
              <w:rPr>
                <w:rFonts w:hint="eastAsia"/>
                <w:bCs/>
                <w:szCs w:val="21"/>
              </w:rPr>
              <w:t>6#</w:t>
            </w:r>
            <w:r>
              <w:rPr>
                <w:rFonts w:hint="eastAsia"/>
                <w:bCs/>
                <w:szCs w:val="21"/>
              </w:rPr>
              <w:t>注汽站掺烧，节约燃煤；新建</w:t>
            </w:r>
            <w:r>
              <w:rPr>
                <w:rFonts w:hint="eastAsia"/>
                <w:bCs/>
                <w:szCs w:val="21"/>
              </w:rPr>
              <w:t>1#</w:t>
            </w:r>
            <w:r>
              <w:rPr>
                <w:rFonts w:hint="eastAsia"/>
                <w:bCs/>
                <w:szCs w:val="21"/>
              </w:rPr>
              <w:t>增压站至</w:t>
            </w:r>
            <w:r>
              <w:rPr>
                <w:rFonts w:hint="eastAsia"/>
                <w:bCs/>
                <w:szCs w:val="21"/>
              </w:rPr>
              <w:t>6#</w:t>
            </w:r>
            <w:r>
              <w:rPr>
                <w:rFonts w:hint="eastAsia"/>
                <w:bCs/>
                <w:szCs w:val="21"/>
              </w:rPr>
              <w:t>注汽站伴生气掺烧线</w:t>
            </w:r>
            <w:r>
              <w:rPr>
                <w:rFonts w:hint="eastAsia"/>
                <w:bCs/>
                <w:szCs w:val="21"/>
              </w:rPr>
              <w:t>1.2km</w:t>
            </w:r>
          </w:p>
        </w:tc>
      </w:tr>
      <w:tr w:rsidR="00EE4502">
        <w:trPr>
          <w:trHeight w:val="397"/>
        </w:trPr>
        <w:tc>
          <w:tcPr>
            <w:tcW w:w="341" w:type="pct"/>
            <w:vMerge w:val="restart"/>
            <w:vAlign w:val="center"/>
          </w:tcPr>
          <w:p w:rsidR="00EE4502" w:rsidRDefault="00FD45A3">
            <w:pPr>
              <w:jc w:val="center"/>
              <w:rPr>
                <w:bCs/>
                <w:szCs w:val="21"/>
                <w:lang w:val="zh-CN"/>
              </w:rPr>
            </w:pPr>
            <w:r>
              <w:rPr>
                <w:rFonts w:hint="eastAsia"/>
                <w:bCs/>
                <w:szCs w:val="21"/>
                <w:lang w:val="zh-CN"/>
              </w:rPr>
              <w:t>2</w:t>
            </w:r>
          </w:p>
        </w:tc>
        <w:tc>
          <w:tcPr>
            <w:tcW w:w="411" w:type="pct"/>
            <w:vMerge w:val="restart"/>
            <w:vAlign w:val="center"/>
          </w:tcPr>
          <w:p w:rsidR="00EE4502" w:rsidRDefault="00FD45A3">
            <w:pPr>
              <w:jc w:val="center"/>
              <w:rPr>
                <w:bCs/>
                <w:szCs w:val="21"/>
                <w:lang w:val="zh-CN"/>
              </w:rPr>
            </w:pPr>
            <w:r>
              <w:rPr>
                <w:rFonts w:hint="eastAsia"/>
                <w:bCs/>
                <w:szCs w:val="21"/>
                <w:lang w:val="zh-CN"/>
              </w:rPr>
              <w:t>公用及配套工程</w:t>
            </w:r>
          </w:p>
        </w:tc>
        <w:tc>
          <w:tcPr>
            <w:tcW w:w="1125" w:type="pct"/>
            <w:gridSpan w:val="2"/>
            <w:vAlign w:val="center"/>
          </w:tcPr>
          <w:p w:rsidR="00EE4502" w:rsidRDefault="00FD45A3">
            <w:pPr>
              <w:jc w:val="center"/>
              <w:rPr>
                <w:bCs/>
                <w:szCs w:val="21"/>
                <w:lang w:val="zh-CN"/>
              </w:rPr>
            </w:pPr>
            <w:r>
              <w:rPr>
                <w:rFonts w:hint="eastAsia"/>
                <w:bCs/>
                <w:szCs w:val="21"/>
                <w:lang w:val="zh-CN"/>
              </w:rPr>
              <w:t>供配电工程</w:t>
            </w:r>
          </w:p>
        </w:tc>
        <w:tc>
          <w:tcPr>
            <w:tcW w:w="3122" w:type="pct"/>
            <w:vAlign w:val="center"/>
          </w:tcPr>
          <w:p w:rsidR="00EE4502" w:rsidRDefault="00FD45A3">
            <w:pPr>
              <w:jc w:val="left"/>
              <w:rPr>
                <w:bCs/>
                <w:szCs w:val="21"/>
                <w:lang w:val="zh-CN"/>
              </w:rPr>
            </w:pPr>
            <w:r>
              <w:rPr>
                <w:rFonts w:hint="eastAsia"/>
                <w:bCs/>
                <w:szCs w:val="21"/>
              </w:rPr>
              <w:t>施工期钻机由柴油发电机供电，运营期工程依托周边</w:t>
            </w:r>
            <w:r>
              <w:rPr>
                <w:rFonts w:hint="eastAsia"/>
                <w:bCs/>
                <w:szCs w:val="21"/>
                <w:lang w:val="zh-CN"/>
              </w:rPr>
              <w:t>已建</w:t>
            </w:r>
            <w:r>
              <w:rPr>
                <w:rFonts w:hint="eastAsia"/>
                <w:bCs/>
                <w:szCs w:val="21"/>
                <w:lang w:val="zh-CN"/>
              </w:rPr>
              <w:t>10kV</w:t>
            </w:r>
            <w:r>
              <w:rPr>
                <w:rFonts w:hint="eastAsia"/>
                <w:bCs/>
                <w:szCs w:val="21"/>
                <w:lang w:val="zh-CN"/>
              </w:rPr>
              <w:t>电力</w:t>
            </w:r>
            <w:r>
              <w:rPr>
                <w:rFonts w:hint="eastAsia"/>
                <w:bCs/>
                <w:szCs w:val="21"/>
              </w:rPr>
              <w:t>网</w:t>
            </w:r>
            <w:r>
              <w:rPr>
                <w:rFonts w:hint="eastAsia"/>
                <w:bCs/>
                <w:szCs w:val="21"/>
                <w:lang w:val="zh-CN"/>
              </w:rPr>
              <w:t>，新建</w:t>
            </w:r>
            <w:r>
              <w:rPr>
                <w:rFonts w:hint="eastAsia"/>
                <w:bCs/>
                <w:szCs w:val="21"/>
                <w:lang w:val="zh-CN"/>
              </w:rPr>
              <w:t>11</w:t>
            </w:r>
            <w:r>
              <w:rPr>
                <w:rFonts w:hint="eastAsia"/>
                <w:bCs/>
                <w:szCs w:val="21"/>
                <w:lang w:val="zh-CN"/>
              </w:rPr>
              <w:t>台变压器，</w:t>
            </w:r>
            <w:r>
              <w:rPr>
                <w:rFonts w:hint="eastAsia"/>
                <w:bCs/>
                <w:szCs w:val="21"/>
              </w:rPr>
              <w:t>电力线</w:t>
            </w:r>
            <w:r>
              <w:rPr>
                <w:rFonts w:hint="eastAsia"/>
                <w:bCs/>
                <w:szCs w:val="21"/>
                <w:lang w:val="zh-CN"/>
              </w:rPr>
              <w:t>“</w:t>
            </w:r>
            <w:r>
              <w:rPr>
                <w:rFonts w:hint="eastAsia"/>
                <w:bCs/>
                <w:szCs w:val="21"/>
                <w:lang w:val="zh-CN"/>
              </w:rPr>
              <w:t>T</w:t>
            </w:r>
            <w:r>
              <w:rPr>
                <w:rFonts w:hint="eastAsia"/>
                <w:bCs/>
                <w:szCs w:val="21"/>
                <w:lang w:val="zh-CN"/>
              </w:rPr>
              <w:t>”接已建</w:t>
            </w:r>
            <w:r>
              <w:rPr>
                <w:rFonts w:hint="eastAsia"/>
                <w:bCs/>
                <w:szCs w:val="21"/>
                <w:lang w:val="zh-CN"/>
              </w:rPr>
              <w:t>10kV</w:t>
            </w:r>
            <w:r>
              <w:rPr>
                <w:rFonts w:hint="eastAsia"/>
                <w:bCs/>
                <w:szCs w:val="21"/>
                <w:lang w:val="zh-CN"/>
              </w:rPr>
              <w:t>电力线路直线杆（改造为直线分歧杆），并在高压侧设氧化锌避雷器、跌落式熔断器等</w:t>
            </w:r>
          </w:p>
        </w:tc>
      </w:tr>
      <w:tr w:rsidR="00EE4502">
        <w:trPr>
          <w:trHeight w:val="397"/>
        </w:trPr>
        <w:tc>
          <w:tcPr>
            <w:tcW w:w="341" w:type="pct"/>
            <w:vMerge/>
            <w:vAlign w:val="center"/>
          </w:tcPr>
          <w:p w:rsidR="00EE4502" w:rsidRDefault="00EE4502">
            <w:pPr>
              <w:jc w:val="center"/>
              <w:rPr>
                <w:bCs/>
                <w:szCs w:val="21"/>
                <w:lang w:val="zh-CN"/>
              </w:rPr>
            </w:pPr>
          </w:p>
        </w:tc>
        <w:tc>
          <w:tcPr>
            <w:tcW w:w="411" w:type="pct"/>
            <w:vMerge/>
            <w:vAlign w:val="center"/>
          </w:tcPr>
          <w:p w:rsidR="00EE4502" w:rsidRDefault="00EE4502">
            <w:pPr>
              <w:jc w:val="center"/>
              <w:rPr>
                <w:bCs/>
                <w:szCs w:val="21"/>
                <w:lang w:val="zh-CN"/>
              </w:rPr>
            </w:pPr>
          </w:p>
        </w:tc>
        <w:tc>
          <w:tcPr>
            <w:tcW w:w="1125" w:type="pct"/>
            <w:gridSpan w:val="2"/>
            <w:vAlign w:val="center"/>
          </w:tcPr>
          <w:p w:rsidR="00EE4502" w:rsidRDefault="00FD45A3">
            <w:pPr>
              <w:jc w:val="center"/>
              <w:rPr>
                <w:bCs/>
                <w:szCs w:val="21"/>
                <w:lang w:val="zh-CN"/>
              </w:rPr>
            </w:pPr>
            <w:r>
              <w:rPr>
                <w:rFonts w:hint="eastAsia"/>
                <w:bCs/>
                <w:szCs w:val="21"/>
                <w:lang w:val="zh-CN"/>
              </w:rPr>
              <w:t>供水工程</w:t>
            </w:r>
          </w:p>
        </w:tc>
        <w:tc>
          <w:tcPr>
            <w:tcW w:w="3122" w:type="pct"/>
            <w:vAlign w:val="center"/>
          </w:tcPr>
          <w:p w:rsidR="00EE4502" w:rsidRDefault="00FD45A3">
            <w:pPr>
              <w:jc w:val="left"/>
              <w:rPr>
                <w:bCs/>
                <w:szCs w:val="21"/>
                <w:lang w:val="zh-CN"/>
              </w:rPr>
            </w:pPr>
            <w:r>
              <w:rPr>
                <w:rFonts w:hint="eastAsia"/>
                <w:bCs/>
                <w:szCs w:val="21"/>
                <w:lang w:val="zh-CN"/>
              </w:rPr>
              <w:t>给水采用罐车就近从周边城镇拉水</w:t>
            </w:r>
          </w:p>
        </w:tc>
      </w:tr>
      <w:tr w:rsidR="00EE4502">
        <w:trPr>
          <w:trHeight w:val="397"/>
        </w:trPr>
        <w:tc>
          <w:tcPr>
            <w:tcW w:w="341" w:type="pct"/>
            <w:vMerge/>
            <w:vAlign w:val="center"/>
          </w:tcPr>
          <w:p w:rsidR="00EE4502" w:rsidRDefault="00EE4502">
            <w:pPr>
              <w:jc w:val="center"/>
              <w:rPr>
                <w:bCs/>
                <w:szCs w:val="21"/>
                <w:lang w:val="zh-CN"/>
              </w:rPr>
            </w:pPr>
          </w:p>
        </w:tc>
        <w:tc>
          <w:tcPr>
            <w:tcW w:w="411" w:type="pct"/>
            <w:vMerge/>
            <w:vAlign w:val="center"/>
          </w:tcPr>
          <w:p w:rsidR="00EE4502" w:rsidRDefault="00EE4502">
            <w:pPr>
              <w:jc w:val="center"/>
              <w:rPr>
                <w:bCs/>
                <w:szCs w:val="21"/>
                <w:lang w:val="zh-CN"/>
              </w:rPr>
            </w:pPr>
          </w:p>
        </w:tc>
        <w:tc>
          <w:tcPr>
            <w:tcW w:w="1125" w:type="pct"/>
            <w:gridSpan w:val="2"/>
            <w:vAlign w:val="center"/>
          </w:tcPr>
          <w:p w:rsidR="00EE4502" w:rsidRDefault="00FD45A3">
            <w:pPr>
              <w:jc w:val="center"/>
              <w:rPr>
                <w:bCs/>
                <w:szCs w:val="21"/>
                <w:lang w:val="zh-CN"/>
              </w:rPr>
            </w:pPr>
            <w:r>
              <w:rPr>
                <w:rFonts w:hint="eastAsia"/>
                <w:bCs/>
                <w:szCs w:val="21"/>
                <w:lang w:val="zh-CN"/>
              </w:rPr>
              <w:t>排水工程</w:t>
            </w:r>
          </w:p>
        </w:tc>
        <w:tc>
          <w:tcPr>
            <w:tcW w:w="3122" w:type="pct"/>
            <w:vAlign w:val="center"/>
          </w:tcPr>
          <w:p w:rsidR="00EE4502" w:rsidRDefault="00FD45A3">
            <w:pPr>
              <w:jc w:val="left"/>
              <w:rPr>
                <w:bCs/>
                <w:szCs w:val="21"/>
                <w:lang w:val="zh-CN"/>
              </w:rPr>
            </w:pPr>
            <w:r>
              <w:rPr>
                <w:rFonts w:hint="eastAsia"/>
                <w:bCs/>
                <w:szCs w:val="21"/>
                <w:lang w:val="zh-CN"/>
              </w:rPr>
              <w:t>采出水经</w:t>
            </w:r>
            <w:r>
              <w:rPr>
                <w:rFonts w:hint="eastAsia"/>
                <w:bCs/>
                <w:szCs w:val="21"/>
                <w:lang w:val="zh-CN"/>
              </w:rPr>
              <w:t>1#</w:t>
            </w:r>
            <w:r>
              <w:rPr>
                <w:rFonts w:hint="eastAsia"/>
                <w:bCs/>
                <w:szCs w:val="21"/>
                <w:lang w:val="zh-CN"/>
              </w:rPr>
              <w:t>增压站就地分水后进入排</w:t>
            </w:r>
            <w:r>
              <w:rPr>
                <w:rFonts w:hint="eastAsia"/>
                <w:bCs/>
                <w:szCs w:val="21"/>
                <w:lang w:val="zh-CN"/>
              </w:rPr>
              <w:t>61</w:t>
            </w:r>
            <w:r>
              <w:rPr>
                <w:rFonts w:hint="eastAsia"/>
                <w:bCs/>
                <w:szCs w:val="21"/>
                <w:lang w:val="zh-CN"/>
              </w:rPr>
              <w:t>块新建掺水工艺供管输使用，其余含水原油依托联合站处理，采出水均不外排</w:t>
            </w:r>
          </w:p>
        </w:tc>
      </w:tr>
      <w:tr w:rsidR="00EE4502">
        <w:trPr>
          <w:trHeight w:val="397"/>
        </w:trPr>
        <w:tc>
          <w:tcPr>
            <w:tcW w:w="341" w:type="pct"/>
            <w:vMerge/>
            <w:vAlign w:val="center"/>
          </w:tcPr>
          <w:p w:rsidR="00EE4502" w:rsidRDefault="00EE4502">
            <w:pPr>
              <w:jc w:val="center"/>
              <w:rPr>
                <w:bCs/>
                <w:szCs w:val="21"/>
                <w:lang w:val="zh-CN"/>
              </w:rPr>
            </w:pPr>
          </w:p>
        </w:tc>
        <w:tc>
          <w:tcPr>
            <w:tcW w:w="411" w:type="pct"/>
            <w:vMerge/>
            <w:vAlign w:val="center"/>
          </w:tcPr>
          <w:p w:rsidR="00EE4502" w:rsidRDefault="00EE4502">
            <w:pPr>
              <w:jc w:val="center"/>
              <w:rPr>
                <w:bCs/>
                <w:szCs w:val="21"/>
                <w:lang w:val="zh-CN"/>
              </w:rPr>
            </w:pPr>
          </w:p>
        </w:tc>
        <w:tc>
          <w:tcPr>
            <w:tcW w:w="1125" w:type="pct"/>
            <w:gridSpan w:val="2"/>
            <w:vAlign w:val="center"/>
          </w:tcPr>
          <w:p w:rsidR="00EE4502" w:rsidRDefault="00FD45A3">
            <w:pPr>
              <w:jc w:val="center"/>
              <w:rPr>
                <w:bCs/>
                <w:szCs w:val="21"/>
                <w:lang w:val="zh-CN"/>
              </w:rPr>
            </w:pPr>
            <w:r>
              <w:rPr>
                <w:rFonts w:hint="eastAsia"/>
                <w:bCs/>
                <w:szCs w:val="21"/>
                <w:lang w:val="zh-CN"/>
              </w:rPr>
              <w:t>通信工程</w:t>
            </w:r>
          </w:p>
        </w:tc>
        <w:tc>
          <w:tcPr>
            <w:tcW w:w="3122" w:type="pct"/>
            <w:vAlign w:val="center"/>
          </w:tcPr>
          <w:p w:rsidR="00EE4502" w:rsidRDefault="00FD45A3">
            <w:pPr>
              <w:jc w:val="left"/>
              <w:rPr>
                <w:bCs/>
                <w:szCs w:val="21"/>
                <w:lang w:val="zh-CN"/>
              </w:rPr>
            </w:pPr>
            <w:r>
              <w:rPr>
                <w:rFonts w:hint="eastAsia"/>
                <w:bCs/>
                <w:szCs w:val="21"/>
                <w:lang w:val="zh-CN"/>
              </w:rPr>
              <w:t>本工程新建井台附近区块油井信息化建设完善，井场都具备视频监控系统，每个井场的视频数据通过已建网桥上传至附近基站，从基站传输至管理区生产指挥中心。</w:t>
            </w:r>
          </w:p>
        </w:tc>
      </w:tr>
      <w:tr w:rsidR="00EE4502">
        <w:trPr>
          <w:trHeight w:val="397"/>
        </w:trPr>
        <w:tc>
          <w:tcPr>
            <w:tcW w:w="341" w:type="pct"/>
            <w:vMerge/>
            <w:vAlign w:val="center"/>
          </w:tcPr>
          <w:p w:rsidR="00EE4502" w:rsidRDefault="00EE4502">
            <w:pPr>
              <w:jc w:val="center"/>
              <w:rPr>
                <w:bCs/>
                <w:szCs w:val="21"/>
                <w:lang w:val="zh-CN"/>
              </w:rPr>
            </w:pPr>
          </w:p>
        </w:tc>
        <w:tc>
          <w:tcPr>
            <w:tcW w:w="411" w:type="pct"/>
            <w:vMerge/>
            <w:vAlign w:val="center"/>
          </w:tcPr>
          <w:p w:rsidR="00EE4502" w:rsidRDefault="00EE4502">
            <w:pPr>
              <w:jc w:val="center"/>
              <w:rPr>
                <w:bCs/>
                <w:szCs w:val="21"/>
                <w:lang w:val="zh-CN"/>
              </w:rPr>
            </w:pPr>
          </w:p>
        </w:tc>
        <w:tc>
          <w:tcPr>
            <w:tcW w:w="1125" w:type="pct"/>
            <w:gridSpan w:val="2"/>
            <w:vAlign w:val="center"/>
          </w:tcPr>
          <w:p w:rsidR="00EE4502" w:rsidRDefault="00FD45A3">
            <w:pPr>
              <w:jc w:val="center"/>
              <w:rPr>
                <w:bCs/>
                <w:szCs w:val="21"/>
                <w:lang w:val="zh-CN"/>
              </w:rPr>
            </w:pPr>
            <w:r>
              <w:rPr>
                <w:rFonts w:hint="eastAsia"/>
                <w:bCs/>
                <w:szCs w:val="21"/>
                <w:lang w:val="zh-CN"/>
              </w:rPr>
              <w:t>消防工程</w:t>
            </w:r>
          </w:p>
        </w:tc>
        <w:tc>
          <w:tcPr>
            <w:tcW w:w="3122" w:type="pct"/>
            <w:vAlign w:val="center"/>
          </w:tcPr>
          <w:p w:rsidR="00EE4502" w:rsidRDefault="00FD45A3">
            <w:pPr>
              <w:jc w:val="left"/>
              <w:rPr>
                <w:bCs/>
                <w:szCs w:val="21"/>
              </w:rPr>
            </w:pPr>
            <w:r>
              <w:rPr>
                <w:rFonts w:hint="eastAsia"/>
                <w:bCs/>
                <w:szCs w:val="21"/>
                <w:lang w:val="zh-CN"/>
              </w:rPr>
              <w:t>本工程实施后井场、站场均为五级站场，火灾危险性属于</w:t>
            </w:r>
            <w:r>
              <w:rPr>
                <w:rFonts w:hint="eastAsia"/>
                <w:bCs/>
                <w:szCs w:val="21"/>
                <w:lang w:val="zh-CN"/>
              </w:rPr>
              <w:t>B</w:t>
            </w:r>
            <w:r>
              <w:rPr>
                <w:rFonts w:hint="eastAsia"/>
                <w:bCs/>
                <w:szCs w:val="21"/>
                <w:lang w:val="zh-CN"/>
              </w:rPr>
              <w:t>、</w:t>
            </w:r>
            <w:r>
              <w:rPr>
                <w:rFonts w:hint="eastAsia"/>
                <w:bCs/>
                <w:szCs w:val="21"/>
                <w:lang w:val="zh-CN"/>
              </w:rPr>
              <w:t>C</w:t>
            </w:r>
            <w:r>
              <w:rPr>
                <w:rFonts w:hint="eastAsia"/>
                <w:bCs/>
                <w:szCs w:val="21"/>
                <w:lang w:val="zh-CN"/>
              </w:rPr>
              <w:t>类。新建推车式磷酸铵盐干粉灭火器</w:t>
            </w:r>
            <w:r>
              <w:rPr>
                <w:rFonts w:hint="eastAsia"/>
                <w:bCs/>
                <w:szCs w:val="21"/>
              </w:rPr>
              <w:t>7</w:t>
            </w:r>
            <w:r>
              <w:rPr>
                <w:rFonts w:hint="eastAsia"/>
                <w:bCs/>
                <w:szCs w:val="21"/>
              </w:rPr>
              <w:t>辆、手提式磷酸铵盐干粉灭火器</w:t>
            </w:r>
            <w:r>
              <w:rPr>
                <w:rFonts w:hint="eastAsia"/>
                <w:bCs/>
                <w:szCs w:val="21"/>
              </w:rPr>
              <w:t>32</w:t>
            </w:r>
            <w:r>
              <w:rPr>
                <w:rFonts w:hint="eastAsia"/>
                <w:bCs/>
                <w:szCs w:val="21"/>
              </w:rPr>
              <w:t>具、灭火器箱</w:t>
            </w:r>
            <w:r>
              <w:rPr>
                <w:rFonts w:hint="eastAsia"/>
                <w:bCs/>
                <w:szCs w:val="21"/>
              </w:rPr>
              <w:t>16</w:t>
            </w:r>
            <w:r>
              <w:rPr>
                <w:rFonts w:hint="eastAsia"/>
                <w:bCs/>
                <w:szCs w:val="21"/>
              </w:rPr>
              <w:t>个</w:t>
            </w:r>
          </w:p>
        </w:tc>
      </w:tr>
      <w:tr w:rsidR="00EE4502">
        <w:trPr>
          <w:trHeight w:val="397"/>
        </w:trPr>
        <w:tc>
          <w:tcPr>
            <w:tcW w:w="341" w:type="pct"/>
            <w:vMerge/>
            <w:vAlign w:val="center"/>
          </w:tcPr>
          <w:p w:rsidR="00EE4502" w:rsidRDefault="00EE4502">
            <w:pPr>
              <w:jc w:val="center"/>
              <w:rPr>
                <w:bCs/>
                <w:szCs w:val="21"/>
                <w:lang w:val="zh-CN"/>
              </w:rPr>
            </w:pPr>
          </w:p>
        </w:tc>
        <w:tc>
          <w:tcPr>
            <w:tcW w:w="411" w:type="pct"/>
            <w:vMerge/>
            <w:vAlign w:val="center"/>
          </w:tcPr>
          <w:p w:rsidR="00EE4502" w:rsidRDefault="00EE4502">
            <w:pPr>
              <w:jc w:val="center"/>
              <w:rPr>
                <w:bCs/>
                <w:szCs w:val="21"/>
                <w:lang w:val="zh-CN"/>
              </w:rPr>
            </w:pPr>
          </w:p>
        </w:tc>
        <w:tc>
          <w:tcPr>
            <w:tcW w:w="1125" w:type="pct"/>
            <w:gridSpan w:val="2"/>
            <w:vAlign w:val="center"/>
          </w:tcPr>
          <w:p w:rsidR="00EE4502" w:rsidRDefault="00FD45A3">
            <w:pPr>
              <w:jc w:val="center"/>
              <w:rPr>
                <w:bCs/>
                <w:szCs w:val="21"/>
                <w:lang w:val="zh-CN"/>
              </w:rPr>
            </w:pPr>
            <w:r>
              <w:rPr>
                <w:rFonts w:hint="eastAsia"/>
                <w:bCs/>
                <w:szCs w:val="21"/>
                <w:lang w:val="zh-CN"/>
              </w:rPr>
              <w:t>防腐工程</w:t>
            </w:r>
          </w:p>
        </w:tc>
        <w:tc>
          <w:tcPr>
            <w:tcW w:w="3122" w:type="pct"/>
            <w:vAlign w:val="center"/>
          </w:tcPr>
          <w:p w:rsidR="00EE4502" w:rsidRDefault="00FD45A3">
            <w:pPr>
              <w:jc w:val="left"/>
              <w:rPr>
                <w:bCs/>
                <w:szCs w:val="21"/>
                <w:lang w:val="zh-CN"/>
              </w:rPr>
            </w:pPr>
            <w:r>
              <w:rPr>
                <w:rFonts w:hint="eastAsia"/>
                <w:bCs/>
                <w:szCs w:val="21"/>
                <w:lang w:val="zh-CN"/>
              </w:rPr>
              <w:t>管线内防采用环氧陶瓷涂料内防腐层，外防采用耐高温环氧酚醛涂料（</w:t>
            </w:r>
            <w:r>
              <w:rPr>
                <w:rFonts w:hint="eastAsia"/>
                <w:bCs/>
                <w:szCs w:val="21"/>
                <w:lang w:val="zh-CN"/>
              </w:rPr>
              <w:t>4</w:t>
            </w:r>
            <w:r>
              <w:rPr>
                <w:rFonts w:hint="eastAsia"/>
                <w:bCs/>
                <w:szCs w:val="21"/>
                <w:lang w:val="zh-CN"/>
              </w:rPr>
              <w:t>道，</w:t>
            </w:r>
            <w:r>
              <w:rPr>
                <w:rFonts w:hint="eastAsia"/>
                <w:bCs/>
                <w:szCs w:val="21"/>
                <w:lang w:val="zh-CN"/>
              </w:rPr>
              <w:t>2</w:t>
            </w:r>
            <w:r>
              <w:rPr>
                <w:rFonts w:hint="eastAsia"/>
                <w:bCs/>
                <w:szCs w:val="21"/>
                <w:lang w:val="zh-CN"/>
              </w:rPr>
              <w:t>底</w:t>
            </w:r>
            <w:r>
              <w:rPr>
                <w:rFonts w:hint="eastAsia"/>
                <w:bCs/>
                <w:szCs w:val="21"/>
                <w:lang w:val="zh-CN"/>
              </w:rPr>
              <w:t>2</w:t>
            </w:r>
            <w:r>
              <w:rPr>
                <w:rFonts w:hint="eastAsia"/>
                <w:bCs/>
                <w:szCs w:val="21"/>
                <w:lang w:val="zh-CN"/>
              </w:rPr>
              <w:t>面，涂层最小厚度≥</w:t>
            </w:r>
            <w:r>
              <w:rPr>
                <w:rFonts w:hint="eastAsia"/>
                <w:bCs/>
                <w:szCs w:val="21"/>
                <w:lang w:val="zh-CN"/>
              </w:rPr>
              <w:t>300</w:t>
            </w:r>
            <w:r>
              <w:rPr>
                <w:rFonts w:hint="eastAsia"/>
                <w:bCs/>
                <w:szCs w:val="21"/>
                <w:lang w:val="zh-CN"/>
              </w:rPr>
              <w:t>μ</w:t>
            </w:r>
            <w:r>
              <w:rPr>
                <w:rFonts w:hint="eastAsia"/>
                <w:bCs/>
                <w:szCs w:val="21"/>
                <w:lang w:val="zh-CN"/>
              </w:rPr>
              <w:t>m</w:t>
            </w:r>
            <w:r>
              <w:rPr>
                <w:rFonts w:hint="eastAsia"/>
                <w:bCs/>
                <w:szCs w:val="21"/>
                <w:lang w:val="zh-CN"/>
              </w:rPr>
              <w:t>）</w:t>
            </w:r>
            <w:r>
              <w:rPr>
                <w:rFonts w:hint="eastAsia"/>
                <w:bCs/>
                <w:szCs w:val="21"/>
                <w:lang w:val="zh-CN"/>
              </w:rPr>
              <w:t>+</w:t>
            </w:r>
            <w:r>
              <w:rPr>
                <w:rFonts w:hint="eastAsia"/>
                <w:bCs/>
                <w:szCs w:val="21"/>
                <w:lang w:val="zh-CN"/>
              </w:rPr>
              <w:t>耐高温聚氨酯泡沫保温防护层预制</w:t>
            </w:r>
          </w:p>
        </w:tc>
      </w:tr>
      <w:tr w:rsidR="00EE4502">
        <w:trPr>
          <w:trHeight w:val="397"/>
        </w:trPr>
        <w:tc>
          <w:tcPr>
            <w:tcW w:w="341" w:type="pct"/>
            <w:vMerge/>
            <w:vAlign w:val="center"/>
          </w:tcPr>
          <w:p w:rsidR="00EE4502" w:rsidRDefault="00EE4502">
            <w:pPr>
              <w:jc w:val="center"/>
              <w:rPr>
                <w:bCs/>
                <w:szCs w:val="21"/>
                <w:lang w:val="zh-CN"/>
              </w:rPr>
            </w:pPr>
          </w:p>
        </w:tc>
        <w:tc>
          <w:tcPr>
            <w:tcW w:w="411" w:type="pct"/>
            <w:vMerge/>
            <w:vAlign w:val="center"/>
          </w:tcPr>
          <w:p w:rsidR="00EE4502" w:rsidRDefault="00EE4502">
            <w:pPr>
              <w:jc w:val="center"/>
              <w:rPr>
                <w:bCs/>
                <w:szCs w:val="21"/>
                <w:lang w:val="zh-CN"/>
              </w:rPr>
            </w:pPr>
          </w:p>
        </w:tc>
        <w:tc>
          <w:tcPr>
            <w:tcW w:w="1125" w:type="pct"/>
            <w:gridSpan w:val="2"/>
            <w:vAlign w:val="center"/>
          </w:tcPr>
          <w:p w:rsidR="00EE4502" w:rsidRDefault="00FD45A3">
            <w:pPr>
              <w:jc w:val="center"/>
              <w:rPr>
                <w:bCs/>
                <w:szCs w:val="21"/>
              </w:rPr>
            </w:pPr>
            <w:r>
              <w:rPr>
                <w:rFonts w:hint="eastAsia"/>
                <w:bCs/>
                <w:szCs w:val="21"/>
              </w:rPr>
              <w:t>道路工程</w:t>
            </w:r>
          </w:p>
        </w:tc>
        <w:tc>
          <w:tcPr>
            <w:tcW w:w="3122" w:type="pct"/>
            <w:vAlign w:val="center"/>
          </w:tcPr>
          <w:p w:rsidR="00EE4502" w:rsidRDefault="00FD45A3">
            <w:pPr>
              <w:jc w:val="left"/>
              <w:rPr>
                <w:bCs/>
                <w:szCs w:val="21"/>
                <w:lang w:val="zh-CN"/>
              </w:rPr>
            </w:pPr>
            <w:r>
              <w:rPr>
                <w:bCs/>
                <w:szCs w:val="21"/>
                <w:lang w:val="zh-CN"/>
              </w:rPr>
              <w:t>新建通井道路</w:t>
            </w:r>
            <w:r>
              <w:rPr>
                <w:bCs/>
                <w:szCs w:val="21"/>
                <w:lang w:val="zh-CN"/>
              </w:rPr>
              <w:t>3.5km</w:t>
            </w:r>
            <w:r>
              <w:rPr>
                <w:bCs/>
                <w:szCs w:val="21"/>
                <w:lang w:val="zh-CN"/>
              </w:rPr>
              <w:t>，采用单车道砂石路面，路面宽</w:t>
            </w:r>
            <w:r>
              <w:rPr>
                <w:bCs/>
                <w:szCs w:val="21"/>
                <w:lang w:val="zh-CN"/>
              </w:rPr>
              <w:t>4.5m</w:t>
            </w:r>
            <w:r>
              <w:rPr>
                <w:bCs/>
                <w:szCs w:val="21"/>
                <w:lang w:val="zh-CN"/>
              </w:rPr>
              <w:t>，路基宽</w:t>
            </w:r>
            <w:r>
              <w:rPr>
                <w:bCs/>
                <w:szCs w:val="21"/>
                <w:lang w:val="zh-CN"/>
              </w:rPr>
              <w:t>6m</w:t>
            </w:r>
          </w:p>
        </w:tc>
      </w:tr>
      <w:tr w:rsidR="00EE4502">
        <w:trPr>
          <w:trHeight w:val="397"/>
        </w:trPr>
        <w:tc>
          <w:tcPr>
            <w:tcW w:w="341" w:type="pct"/>
            <w:vMerge w:val="restart"/>
            <w:vAlign w:val="center"/>
          </w:tcPr>
          <w:p w:rsidR="00EE4502" w:rsidRDefault="00FD45A3">
            <w:pPr>
              <w:jc w:val="center"/>
              <w:rPr>
                <w:bCs/>
                <w:szCs w:val="21"/>
                <w:lang w:val="zh-CN"/>
              </w:rPr>
            </w:pPr>
            <w:r>
              <w:rPr>
                <w:rFonts w:hint="eastAsia"/>
                <w:bCs/>
                <w:szCs w:val="21"/>
                <w:lang w:val="zh-CN"/>
              </w:rPr>
              <w:t>3</w:t>
            </w:r>
          </w:p>
        </w:tc>
        <w:tc>
          <w:tcPr>
            <w:tcW w:w="411" w:type="pct"/>
            <w:vMerge w:val="restart"/>
            <w:vAlign w:val="center"/>
          </w:tcPr>
          <w:p w:rsidR="00EE4502" w:rsidRDefault="00FD45A3">
            <w:pPr>
              <w:jc w:val="center"/>
              <w:rPr>
                <w:bCs/>
                <w:szCs w:val="21"/>
                <w:lang w:val="zh-CN"/>
              </w:rPr>
            </w:pPr>
            <w:r>
              <w:rPr>
                <w:rFonts w:hint="eastAsia"/>
                <w:bCs/>
                <w:szCs w:val="21"/>
                <w:lang w:val="zh-CN"/>
              </w:rPr>
              <w:t>环保</w:t>
            </w:r>
          </w:p>
          <w:p w:rsidR="00EE4502" w:rsidRDefault="00FD45A3">
            <w:pPr>
              <w:jc w:val="center"/>
              <w:rPr>
                <w:bCs/>
                <w:szCs w:val="21"/>
                <w:lang w:val="zh-CN"/>
              </w:rPr>
            </w:pPr>
            <w:r>
              <w:rPr>
                <w:rFonts w:hint="eastAsia"/>
                <w:bCs/>
                <w:szCs w:val="21"/>
                <w:lang w:val="zh-CN"/>
              </w:rPr>
              <w:t>工程</w:t>
            </w:r>
          </w:p>
        </w:tc>
        <w:tc>
          <w:tcPr>
            <w:tcW w:w="1125" w:type="pct"/>
            <w:gridSpan w:val="2"/>
            <w:vAlign w:val="center"/>
          </w:tcPr>
          <w:p w:rsidR="00EE4502" w:rsidRDefault="00FD45A3">
            <w:pPr>
              <w:jc w:val="center"/>
              <w:rPr>
                <w:bCs/>
                <w:szCs w:val="21"/>
                <w:lang w:val="zh-CN"/>
              </w:rPr>
            </w:pPr>
            <w:r>
              <w:rPr>
                <w:rFonts w:hint="eastAsia"/>
                <w:bCs/>
                <w:szCs w:val="21"/>
                <w:lang w:val="zh-CN"/>
              </w:rPr>
              <w:t>废气</w:t>
            </w:r>
          </w:p>
        </w:tc>
        <w:tc>
          <w:tcPr>
            <w:tcW w:w="3122" w:type="pct"/>
            <w:vAlign w:val="center"/>
          </w:tcPr>
          <w:p w:rsidR="00EE4502" w:rsidRDefault="00FD45A3">
            <w:pPr>
              <w:rPr>
                <w:bCs/>
                <w:szCs w:val="21"/>
                <w:lang w:val="zh-CN"/>
              </w:rPr>
            </w:pPr>
            <w:r>
              <w:rPr>
                <w:rFonts w:hint="eastAsia"/>
                <w:bCs/>
                <w:szCs w:val="21"/>
                <w:lang w:val="zh-CN"/>
              </w:rPr>
              <w:t>施工期：废气包括施工扬尘、焊接烟气、施工机械及施工车辆尾气；施工扬尘采取进出车辆减速慢行、物料苫盖等措施；施工机械及施工车辆定期维护以减少废气产生。</w:t>
            </w:r>
          </w:p>
          <w:p w:rsidR="00EE4502" w:rsidRDefault="00FD45A3">
            <w:pPr>
              <w:rPr>
                <w:bCs/>
                <w:szCs w:val="21"/>
                <w:lang w:val="zh-CN"/>
              </w:rPr>
            </w:pPr>
            <w:r>
              <w:rPr>
                <w:rFonts w:hint="eastAsia"/>
                <w:bCs/>
                <w:szCs w:val="21"/>
                <w:lang w:val="zh-CN"/>
              </w:rPr>
              <w:t>运营期：井场无组织废气，采取管道密闭输送原油，运营期间加强阀门、设备的检修与维护，加强运营期环境管理。</w:t>
            </w:r>
          </w:p>
          <w:p w:rsidR="00EE4502" w:rsidRDefault="00FD45A3">
            <w:pPr>
              <w:rPr>
                <w:bCs/>
                <w:szCs w:val="21"/>
                <w:lang w:val="zh-CN"/>
              </w:rPr>
            </w:pPr>
            <w:r>
              <w:rPr>
                <w:rFonts w:hint="eastAsia"/>
                <w:bCs/>
                <w:szCs w:val="21"/>
                <w:lang w:val="zh-CN"/>
              </w:rPr>
              <w:t>退役期：废气主要为施工扬尘，采取洒水抑尘的措施。</w:t>
            </w:r>
          </w:p>
        </w:tc>
      </w:tr>
      <w:tr w:rsidR="00EE4502">
        <w:trPr>
          <w:trHeight w:val="397"/>
        </w:trPr>
        <w:tc>
          <w:tcPr>
            <w:tcW w:w="341" w:type="pct"/>
            <w:vMerge/>
            <w:vAlign w:val="center"/>
          </w:tcPr>
          <w:p w:rsidR="00EE4502" w:rsidRDefault="00EE4502">
            <w:pPr>
              <w:jc w:val="center"/>
              <w:rPr>
                <w:bCs/>
                <w:szCs w:val="21"/>
                <w:lang w:val="zh-CN"/>
              </w:rPr>
            </w:pPr>
          </w:p>
        </w:tc>
        <w:tc>
          <w:tcPr>
            <w:tcW w:w="411" w:type="pct"/>
            <w:vMerge/>
            <w:vAlign w:val="center"/>
          </w:tcPr>
          <w:p w:rsidR="00EE4502" w:rsidRDefault="00EE4502">
            <w:pPr>
              <w:jc w:val="center"/>
              <w:rPr>
                <w:bCs/>
                <w:szCs w:val="21"/>
                <w:lang w:val="zh-CN"/>
              </w:rPr>
            </w:pPr>
          </w:p>
        </w:tc>
        <w:tc>
          <w:tcPr>
            <w:tcW w:w="1125" w:type="pct"/>
            <w:gridSpan w:val="2"/>
            <w:vAlign w:val="center"/>
          </w:tcPr>
          <w:p w:rsidR="00EE4502" w:rsidRDefault="00FD45A3">
            <w:pPr>
              <w:jc w:val="center"/>
              <w:rPr>
                <w:bCs/>
                <w:szCs w:val="21"/>
                <w:lang w:val="zh-CN"/>
              </w:rPr>
            </w:pPr>
            <w:r>
              <w:rPr>
                <w:rFonts w:hint="eastAsia"/>
                <w:bCs/>
                <w:szCs w:val="21"/>
                <w:lang w:val="zh-CN"/>
              </w:rPr>
              <w:t>废水</w:t>
            </w:r>
          </w:p>
        </w:tc>
        <w:tc>
          <w:tcPr>
            <w:tcW w:w="3122" w:type="pct"/>
            <w:vAlign w:val="center"/>
          </w:tcPr>
          <w:p w:rsidR="00EE4502" w:rsidRDefault="00FD45A3">
            <w:pPr>
              <w:rPr>
                <w:bCs/>
                <w:szCs w:val="21"/>
                <w:lang w:val="zh-CN"/>
              </w:rPr>
            </w:pPr>
            <w:r>
              <w:rPr>
                <w:rFonts w:hint="eastAsia"/>
                <w:bCs/>
                <w:szCs w:val="21"/>
                <w:lang w:val="zh-CN"/>
              </w:rPr>
              <w:t>施工期：废水包括钻井废水、生活污水、管道试压废水；钻井废水、钻井泥浆和岩屑进入“泥浆不落地系统”处理并实现固液分离，分离后的液相循环使用，不外排；管线试压废水属于清净废水，管道试压分段进行，试压水由罐车收集后，进入下一段管线循环使用，试压完成后就地泼洒抑尘；生活污水排入移动环保厕所，由克拉玛依前山石油工程服务有限公司清运至春风油田生活基地生活污水处理系统处理；</w:t>
            </w:r>
          </w:p>
          <w:p w:rsidR="00EE4502" w:rsidRDefault="00FD45A3">
            <w:pPr>
              <w:rPr>
                <w:bCs/>
                <w:szCs w:val="21"/>
                <w:lang w:val="zh-CN"/>
              </w:rPr>
            </w:pPr>
            <w:r>
              <w:rPr>
                <w:rFonts w:hint="eastAsia"/>
                <w:bCs/>
                <w:szCs w:val="21"/>
                <w:lang w:val="zh-CN"/>
              </w:rPr>
              <w:t>运营期：废水包括采出水、井下作业废水，废水依托春风联合站的污水处理系统进行处理，达到《碎屑岩油藏注水水质指标技术要求及分析方法》（</w:t>
            </w:r>
            <w:r>
              <w:rPr>
                <w:rFonts w:hint="eastAsia"/>
                <w:bCs/>
                <w:szCs w:val="21"/>
                <w:lang w:val="zh-CN"/>
              </w:rPr>
              <w:t>SY/T 5329-2022</w:t>
            </w:r>
            <w:r>
              <w:rPr>
                <w:rFonts w:hint="eastAsia"/>
                <w:bCs/>
                <w:szCs w:val="21"/>
                <w:lang w:val="zh-CN"/>
              </w:rPr>
              <w:t>）标准后回注地层；</w:t>
            </w:r>
          </w:p>
          <w:p w:rsidR="00EE4502" w:rsidRDefault="00FD45A3">
            <w:pPr>
              <w:rPr>
                <w:bCs/>
                <w:szCs w:val="21"/>
                <w:lang w:val="zh-CN"/>
              </w:rPr>
            </w:pPr>
            <w:r>
              <w:rPr>
                <w:rFonts w:hint="eastAsia"/>
                <w:bCs/>
                <w:szCs w:val="21"/>
                <w:lang w:val="zh-CN"/>
              </w:rPr>
              <w:t>退役期：少量生活污水、清管废水；</w:t>
            </w:r>
          </w:p>
        </w:tc>
      </w:tr>
      <w:tr w:rsidR="00EE4502">
        <w:trPr>
          <w:trHeight w:val="397"/>
        </w:trPr>
        <w:tc>
          <w:tcPr>
            <w:tcW w:w="341" w:type="pct"/>
            <w:vMerge/>
            <w:vAlign w:val="center"/>
          </w:tcPr>
          <w:p w:rsidR="00EE4502" w:rsidRDefault="00EE4502">
            <w:pPr>
              <w:jc w:val="center"/>
              <w:rPr>
                <w:bCs/>
                <w:szCs w:val="21"/>
                <w:lang w:val="zh-CN"/>
              </w:rPr>
            </w:pPr>
          </w:p>
        </w:tc>
        <w:tc>
          <w:tcPr>
            <w:tcW w:w="411" w:type="pct"/>
            <w:vMerge/>
            <w:vAlign w:val="center"/>
          </w:tcPr>
          <w:p w:rsidR="00EE4502" w:rsidRDefault="00EE4502">
            <w:pPr>
              <w:jc w:val="center"/>
              <w:rPr>
                <w:bCs/>
                <w:szCs w:val="21"/>
                <w:lang w:val="zh-CN"/>
              </w:rPr>
            </w:pPr>
          </w:p>
        </w:tc>
        <w:tc>
          <w:tcPr>
            <w:tcW w:w="1125" w:type="pct"/>
            <w:gridSpan w:val="2"/>
            <w:vAlign w:val="center"/>
          </w:tcPr>
          <w:p w:rsidR="00EE4502" w:rsidRDefault="00FD45A3">
            <w:pPr>
              <w:jc w:val="center"/>
              <w:rPr>
                <w:bCs/>
                <w:szCs w:val="21"/>
                <w:lang w:val="zh-CN"/>
              </w:rPr>
            </w:pPr>
            <w:r>
              <w:rPr>
                <w:rFonts w:hint="eastAsia"/>
                <w:bCs/>
                <w:szCs w:val="21"/>
                <w:lang w:val="zh-CN"/>
              </w:rPr>
              <w:t>噪声</w:t>
            </w:r>
          </w:p>
        </w:tc>
        <w:tc>
          <w:tcPr>
            <w:tcW w:w="3122" w:type="pct"/>
            <w:vAlign w:val="center"/>
          </w:tcPr>
          <w:p w:rsidR="00EE4502" w:rsidRDefault="00FD45A3">
            <w:pPr>
              <w:rPr>
                <w:bCs/>
                <w:szCs w:val="21"/>
                <w:lang w:val="zh-CN"/>
              </w:rPr>
            </w:pPr>
            <w:r>
              <w:rPr>
                <w:rFonts w:hint="eastAsia"/>
                <w:bCs/>
                <w:szCs w:val="21"/>
                <w:lang w:val="zh-CN"/>
              </w:rPr>
              <w:t>施工期：选用低噪声施工设备，合理安排作业时间；</w:t>
            </w:r>
          </w:p>
          <w:p w:rsidR="00EE4502" w:rsidRDefault="00FD45A3">
            <w:pPr>
              <w:rPr>
                <w:bCs/>
                <w:szCs w:val="21"/>
                <w:lang w:val="zh-CN"/>
              </w:rPr>
            </w:pPr>
            <w:r>
              <w:rPr>
                <w:rFonts w:hint="eastAsia"/>
                <w:bCs/>
                <w:szCs w:val="21"/>
                <w:lang w:val="zh-CN"/>
              </w:rPr>
              <w:t>运营期：选用低噪声设备、基础减振；</w:t>
            </w:r>
          </w:p>
          <w:p w:rsidR="00EE4502" w:rsidRDefault="00FD45A3">
            <w:pPr>
              <w:rPr>
                <w:bCs/>
                <w:szCs w:val="21"/>
                <w:lang w:val="zh-CN"/>
              </w:rPr>
            </w:pPr>
            <w:r>
              <w:rPr>
                <w:rFonts w:hint="eastAsia"/>
                <w:bCs/>
                <w:szCs w:val="21"/>
                <w:lang w:val="zh-CN"/>
              </w:rPr>
              <w:lastRenderedPageBreak/>
              <w:t>退役期：合理安排作业时间；</w:t>
            </w:r>
          </w:p>
        </w:tc>
      </w:tr>
      <w:tr w:rsidR="00EE4502">
        <w:trPr>
          <w:trHeight w:val="397"/>
        </w:trPr>
        <w:tc>
          <w:tcPr>
            <w:tcW w:w="341" w:type="pct"/>
            <w:vMerge/>
            <w:vAlign w:val="center"/>
          </w:tcPr>
          <w:p w:rsidR="00EE4502" w:rsidRDefault="00EE4502">
            <w:pPr>
              <w:jc w:val="center"/>
              <w:rPr>
                <w:bCs/>
                <w:szCs w:val="21"/>
                <w:lang w:val="zh-CN"/>
              </w:rPr>
            </w:pPr>
          </w:p>
        </w:tc>
        <w:tc>
          <w:tcPr>
            <w:tcW w:w="411" w:type="pct"/>
            <w:vMerge/>
            <w:vAlign w:val="center"/>
          </w:tcPr>
          <w:p w:rsidR="00EE4502" w:rsidRDefault="00EE4502">
            <w:pPr>
              <w:jc w:val="center"/>
              <w:rPr>
                <w:bCs/>
                <w:szCs w:val="21"/>
                <w:lang w:val="zh-CN"/>
              </w:rPr>
            </w:pPr>
          </w:p>
        </w:tc>
        <w:tc>
          <w:tcPr>
            <w:tcW w:w="1125" w:type="pct"/>
            <w:gridSpan w:val="2"/>
            <w:vAlign w:val="center"/>
          </w:tcPr>
          <w:p w:rsidR="00EE4502" w:rsidRDefault="00FD45A3">
            <w:pPr>
              <w:jc w:val="center"/>
              <w:rPr>
                <w:bCs/>
                <w:szCs w:val="21"/>
                <w:lang w:val="zh-CN"/>
              </w:rPr>
            </w:pPr>
            <w:r>
              <w:rPr>
                <w:rFonts w:hint="eastAsia"/>
                <w:bCs/>
                <w:szCs w:val="21"/>
                <w:lang w:val="zh-CN"/>
              </w:rPr>
              <w:t>固体废物</w:t>
            </w:r>
          </w:p>
        </w:tc>
        <w:tc>
          <w:tcPr>
            <w:tcW w:w="3122" w:type="pct"/>
            <w:vAlign w:val="center"/>
          </w:tcPr>
          <w:p w:rsidR="00EE4502" w:rsidRDefault="00FD45A3">
            <w:pPr>
              <w:rPr>
                <w:bCs/>
                <w:szCs w:val="21"/>
                <w:lang w:val="zh-CN"/>
              </w:rPr>
            </w:pPr>
            <w:r>
              <w:rPr>
                <w:rFonts w:hint="eastAsia"/>
                <w:bCs/>
                <w:szCs w:val="21"/>
                <w:lang w:val="zh-CN"/>
              </w:rPr>
              <w:t>施工期：施工土方全部用于管沟和井场回填；钻井泥浆和岩屑进入“泥浆不落地系统”处理并实现固液分离，分离后的液相循环使用，固相由无害化处置单位定期转运至其场内进行无害化处理，处理后的少量液相用于其他井场的钻井液配制，处置后固相由泥浆不落地单位按其环评批复要求进行综合利用；焊接及吹扫废渣、废包装袋（盒）废保温材料等施工废料收集后送至克拉玛依建筑垃圾填埋场（排</w:t>
            </w:r>
            <w:r>
              <w:rPr>
                <w:rFonts w:hint="eastAsia"/>
                <w:bCs/>
                <w:szCs w:val="21"/>
                <w:lang w:val="zh-CN"/>
              </w:rPr>
              <w:t>61</w:t>
            </w:r>
            <w:r>
              <w:rPr>
                <w:rFonts w:hint="eastAsia"/>
                <w:bCs/>
                <w:szCs w:val="21"/>
                <w:lang w:val="zh-CN"/>
              </w:rPr>
              <w:t>块产能部分位于克拉玛依境内）或胡杨河经济技术开发区一般固体废物填埋场（注水部分位于第七师境内）处置；生活垃圾在垃圾收集箱暂存，由克拉玛依前山石油工程服务有</w:t>
            </w:r>
            <w:r>
              <w:rPr>
                <w:rFonts w:hint="eastAsia"/>
                <w:bCs/>
                <w:szCs w:val="21"/>
                <w:lang w:val="zh-CN"/>
              </w:rPr>
              <w:t>限公司清运至克拉玛依市生活垃圾填埋场（排</w:t>
            </w:r>
            <w:r>
              <w:rPr>
                <w:rFonts w:hint="eastAsia"/>
                <w:bCs/>
                <w:szCs w:val="21"/>
                <w:lang w:val="zh-CN"/>
              </w:rPr>
              <w:t>61</w:t>
            </w:r>
            <w:r>
              <w:rPr>
                <w:rFonts w:hint="eastAsia"/>
                <w:bCs/>
                <w:szCs w:val="21"/>
                <w:lang w:val="zh-CN"/>
              </w:rPr>
              <w:t>块产能部分位于克拉玛依境内）或第七师</w:t>
            </w:r>
            <w:r>
              <w:rPr>
                <w:rFonts w:hint="eastAsia"/>
                <w:bCs/>
                <w:szCs w:val="21"/>
                <w:lang w:val="zh-CN"/>
              </w:rPr>
              <w:t>128</w:t>
            </w:r>
            <w:r>
              <w:rPr>
                <w:rFonts w:hint="eastAsia"/>
                <w:bCs/>
                <w:szCs w:val="21"/>
                <w:lang w:val="zh-CN"/>
              </w:rPr>
              <w:t>团生活垃圾填埋场（注水部分位于第七师境内）处置；废</w:t>
            </w:r>
            <w:r>
              <w:rPr>
                <w:rFonts w:hint="eastAsia"/>
                <w:bCs/>
                <w:szCs w:val="21"/>
              </w:rPr>
              <w:t>机</w:t>
            </w:r>
            <w:r>
              <w:rPr>
                <w:rFonts w:hint="eastAsia"/>
                <w:bCs/>
                <w:szCs w:val="21"/>
                <w:lang w:val="zh-CN"/>
              </w:rPr>
              <w:t>油、废烧碱包装袋、沾油废防渗材料、落地油</w:t>
            </w:r>
            <w:r>
              <w:rPr>
                <w:rFonts w:hint="eastAsia"/>
                <w:bCs/>
                <w:szCs w:val="21"/>
              </w:rPr>
              <w:t>等，</w:t>
            </w:r>
            <w:r>
              <w:rPr>
                <w:rFonts w:hint="eastAsia"/>
                <w:bCs/>
                <w:szCs w:val="21"/>
                <w:lang w:val="zh-CN"/>
              </w:rPr>
              <w:t>收集后存放在</w:t>
            </w:r>
            <w:r>
              <w:rPr>
                <w:rFonts w:hint="eastAsia"/>
                <w:bCs/>
                <w:szCs w:val="21"/>
              </w:rPr>
              <w:t>春风油田已建危废暂存场</w:t>
            </w:r>
            <w:r>
              <w:rPr>
                <w:rFonts w:hint="eastAsia"/>
                <w:bCs/>
                <w:szCs w:val="21"/>
                <w:lang w:val="zh-CN"/>
              </w:rPr>
              <w:t>，</w:t>
            </w:r>
            <w:r>
              <w:rPr>
                <w:rFonts w:hint="eastAsia"/>
                <w:bCs/>
                <w:szCs w:val="21"/>
              </w:rPr>
              <w:t>完工</w:t>
            </w:r>
            <w:r>
              <w:rPr>
                <w:rFonts w:hint="eastAsia"/>
                <w:bCs/>
                <w:szCs w:val="21"/>
                <w:lang w:val="zh-CN"/>
              </w:rPr>
              <w:t>后</w:t>
            </w:r>
            <w:r>
              <w:rPr>
                <w:rFonts w:hint="eastAsia"/>
                <w:bCs/>
                <w:szCs w:val="21"/>
              </w:rPr>
              <w:t>由</w:t>
            </w:r>
            <w:r>
              <w:rPr>
                <w:rFonts w:hint="eastAsia"/>
                <w:bCs/>
                <w:szCs w:val="21"/>
                <w:lang w:val="zh-CN"/>
              </w:rPr>
              <w:t>有危险废物处置资质的单位回收处理；</w:t>
            </w:r>
          </w:p>
          <w:p w:rsidR="00EE4502" w:rsidRDefault="00FD45A3">
            <w:pPr>
              <w:rPr>
                <w:bCs/>
                <w:szCs w:val="21"/>
                <w:lang w:val="zh-CN"/>
              </w:rPr>
            </w:pPr>
            <w:r>
              <w:rPr>
                <w:rFonts w:hint="eastAsia"/>
                <w:bCs/>
                <w:szCs w:val="21"/>
                <w:lang w:val="zh-CN"/>
              </w:rPr>
              <w:t>运营期：落地油委托有资质单位拉运处理；废润滑油拉运至联合站自行综合利用；沾油废防渗材料折叠打包收集后委托有资质单位拉运处理；清管废渣委托具有危废处置资质的公司进行处置；</w:t>
            </w:r>
          </w:p>
          <w:p w:rsidR="00EE4502" w:rsidRDefault="00FD45A3">
            <w:pPr>
              <w:rPr>
                <w:bCs/>
                <w:szCs w:val="21"/>
                <w:lang w:val="zh-CN"/>
              </w:rPr>
            </w:pPr>
            <w:r>
              <w:rPr>
                <w:rFonts w:hint="eastAsia"/>
                <w:bCs/>
                <w:szCs w:val="21"/>
                <w:lang w:val="zh-CN"/>
              </w:rPr>
              <w:t>退役期：固废主要为废弃管线、废弃建筑残渣、废防渗材料及含油污泥（沾染原油的土壤）</w:t>
            </w:r>
            <w:r>
              <w:rPr>
                <w:rFonts w:hint="eastAsia"/>
                <w:bCs/>
                <w:szCs w:val="21"/>
                <w:lang w:val="zh-CN"/>
              </w:rPr>
              <w:t>，应集中清理收集。废弃管线、废弃建筑残渣等收集后送五五工业园一般固体废物填埋场妥善处理；沾油废防渗材料、落地油属于危废，收集后由有危废处置资质单位接收处置；</w:t>
            </w:r>
          </w:p>
        </w:tc>
      </w:tr>
      <w:tr w:rsidR="00EE4502">
        <w:trPr>
          <w:trHeight w:val="397"/>
        </w:trPr>
        <w:tc>
          <w:tcPr>
            <w:tcW w:w="341" w:type="pct"/>
            <w:vMerge/>
            <w:vAlign w:val="center"/>
          </w:tcPr>
          <w:p w:rsidR="00EE4502" w:rsidRDefault="00EE4502">
            <w:pPr>
              <w:jc w:val="center"/>
              <w:rPr>
                <w:bCs/>
                <w:szCs w:val="21"/>
                <w:lang w:val="zh-CN"/>
              </w:rPr>
            </w:pPr>
          </w:p>
        </w:tc>
        <w:tc>
          <w:tcPr>
            <w:tcW w:w="411" w:type="pct"/>
            <w:vMerge/>
            <w:vAlign w:val="center"/>
          </w:tcPr>
          <w:p w:rsidR="00EE4502" w:rsidRDefault="00EE4502">
            <w:pPr>
              <w:jc w:val="center"/>
              <w:rPr>
                <w:bCs/>
                <w:szCs w:val="21"/>
                <w:lang w:val="zh-CN"/>
              </w:rPr>
            </w:pPr>
          </w:p>
        </w:tc>
        <w:tc>
          <w:tcPr>
            <w:tcW w:w="1125" w:type="pct"/>
            <w:gridSpan w:val="2"/>
            <w:vAlign w:val="center"/>
          </w:tcPr>
          <w:p w:rsidR="00EE4502" w:rsidRDefault="00FD45A3">
            <w:pPr>
              <w:jc w:val="center"/>
              <w:rPr>
                <w:bCs/>
                <w:szCs w:val="21"/>
                <w:lang w:val="zh-CN"/>
              </w:rPr>
            </w:pPr>
            <w:r>
              <w:rPr>
                <w:rFonts w:hint="eastAsia"/>
                <w:bCs/>
                <w:szCs w:val="21"/>
                <w:lang w:val="zh-CN"/>
              </w:rPr>
              <w:t>生态</w:t>
            </w:r>
          </w:p>
        </w:tc>
        <w:tc>
          <w:tcPr>
            <w:tcW w:w="3122" w:type="pct"/>
            <w:vAlign w:val="center"/>
          </w:tcPr>
          <w:p w:rsidR="00EE4502" w:rsidRDefault="00FD45A3">
            <w:pPr>
              <w:rPr>
                <w:bCs/>
                <w:szCs w:val="21"/>
                <w:lang w:val="zh-CN"/>
              </w:rPr>
            </w:pPr>
            <w:r>
              <w:rPr>
                <w:rFonts w:hint="eastAsia"/>
                <w:bCs/>
                <w:szCs w:val="21"/>
                <w:lang w:val="zh-CN"/>
              </w:rPr>
              <w:t>施工期：严格控制施工作业带宽度；分层开挖，分层回填；填埋所需土方利用管沟挖方，做到土方平衡，减少弃土；临时堆土防尘网苫盖；设置限行彩条旗；洒水降尘；植被恢复等防沙措施；</w:t>
            </w:r>
          </w:p>
          <w:p w:rsidR="00EE4502" w:rsidRDefault="00FD45A3">
            <w:pPr>
              <w:rPr>
                <w:bCs/>
                <w:szCs w:val="21"/>
                <w:lang w:val="zh-CN"/>
              </w:rPr>
            </w:pPr>
            <w:r>
              <w:rPr>
                <w:rFonts w:hint="eastAsia"/>
                <w:bCs/>
                <w:szCs w:val="21"/>
                <w:lang w:val="zh-CN"/>
              </w:rPr>
              <w:t>运营期：管线上方设置标志，定时巡查井场、管线；</w:t>
            </w:r>
          </w:p>
          <w:p w:rsidR="00EE4502" w:rsidRDefault="00FD45A3">
            <w:pPr>
              <w:rPr>
                <w:bCs/>
                <w:szCs w:val="21"/>
                <w:lang w:val="zh-CN"/>
              </w:rPr>
            </w:pPr>
            <w:r>
              <w:rPr>
                <w:rFonts w:hint="eastAsia"/>
                <w:bCs/>
                <w:szCs w:val="21"/>
                <w:lang w:val="zh-CN"/>
              </w:rPr>
              <w:t>退役期：地面设施拆除、恢复原有自然状况；</w:t>
            </w:r>
          </w:p>
        </w:tc>
      </w:tr>
      <w:tr w:rsidR="00EE4502">
        <w:trPr>
          <w:trHeight w:val="397"/>
        </w:trPr>
        <w:tc>
          <w:tcPr>
            <w:tcW w:w="341" w:type="pct"/>
            <w:vMerge/>
            <w:vAlign w:val="center"/>
          </w:tcPr>
          <w:p w:rsidR="00EE4502" w:rsidRDefault="00EE4502">
            <w:pPr>
              <w:jc w:val="center"/>
              <w:rPr>
                <w:bCs/>
                <w:szCs w:val="21"/>
                <w:lang w:val="zh-CN"/>
              </w:rPr>
            </w:pPr>
          </w:p>
        </w:tc>
        <w:tc>
          <w:tcPr>
            <w:tcW w:w="411" w:type="pct"/>
            <w:vMerge/>
            <w:vAlign w:val="center"/>
          </w:tcPr>
          <w:p w:rsidR="00EE4502" w:rsidRDefault="00EE4502">
            <w:pPr>
              <w:jc w:val="center"/>
              <w:rPr>
                <w:bCs/>
                <w:szCs w:val="21"/>
                <w:lang w:val="zh-CN"/>
              </w:rPr>
            </w:pPr>
          </w:p>
        </w:tc>
        <w:tc>
          <w:tcPr>
            <w:tcW w:w="1125" w:type="pct"/>
            <w:gridSpan w:val="2"/>
            <w:vAlign w:val="center"/>
          </w:tcPr>
          <w:p w:rsidR="00EE4502" w:rsidRDefault="00FD45A3">
            <w:pPr>
              <w:jc w:val="center"/>
              <w:rPr>
                <w:bCs/>
                <w:szCs w:val="21"/>
                <w:lang w:val="zh-CN"/>
              </w:rPr>
            </w:pPr>
            <w:r>
              <w:rPr>
                <w:rFonts w:hint="eastAsia"/>
                <w:bCs/>
                <w:szCs w:val="21"/>
                <w:lang w:val="zh-CN"/>
              </w:rPr>
              <w:t>地下水、土壤</w:t>
            </w:r>
          </w:p>
        </w:tc>
        <w:tc>
          <w:tcPr>
            <w:tcW w:w="3122" w:type="pct"/>
            <w:vAlign w:val="center"/>
          </w:tcPr>
          <w:p w:rsidR="00EE4502" w:rsidRDefault="00FD45A3">
            <w:pPr>
              <w:rPr>
                <w:bCs/>
                <w:szCs w:val="21"/>
                <w:lang w:val="zh-CN"/>
              </w:rPr>
            </w:pPr>
            <w:r>
              <w:rPr>
                <w:rFonts w:hint="eastAsia"/>
                <w:bCs/>
                <w:szCs w:val="21"/>
                <w:lang w:val="zh-CN"/>
              </w:rPr>
              <w:t>源头控制、分区防渗、跟踪监测、应急响应等</w:t>
            </w:r>
          </w:p>
        </w:tc>
      </w:tr>
      <w:tr w:rsidR="00EE4502">
        <w:trPr>
          <w:trHeight w:val="397"/>
        </w:trPr>
        <w:tc>
          <w:tcPr>
            <w:tcW w:w="341" w:type="pct"/>
            <w:vMerge/>
            <w:vAlign w:val="center"/>
          </w:tcPr>
          <w:p w:rsidR="00EE4502" w:rsidRDefault="00EE4502">
            <w:pPr>
              <w:jc w:val="center"/>
              <w:rPr>
                <w:bCs/>
                <w:szCs w:val="21"/>
                <w:lang w:val="zh-CN"/>
              </w:rPr>
            </w:pPr>
          </w:p>
        </w:tc>
        <w:tc>
          <w:tcPr>
            <w:tcW w:w="411" w:type="pct"/>
            <w:vMerge/>
            <w:vAlign w:val="center"/>
          </w:tcPr>
          <w:p w:rsidR="00EE4502" w:rsidRDefault="00EE4502">
            <w:pPr>
              <w:jc w:val="center"/>
              <w:rPr>
                <w:bCs/>
                <w:szCs w:val="21"/>
                <w:lang w:val="zh-CN"/>
              </w:rPr>
            </w:pPr>
          </w:p>
        </w:tc>
        <w:tc>
          <w:tcPr>
            <w:tcW w:w="1125" w:type="pct"/>
            <w:gridSpan w:val="2"/>
            <w:vAlign w:val="center"/>
          </w:tcPr>
          <w:p w:rsidR="00EE4502" w:rsidRDefault="00FD45A3">
            <w:pPr>
              <w:jc w:val="center"/>
              <w:rPr>
                <w:bCs/>
                <w:szCs w:val="21"/>
                <w:lang w:val="zh-CN"/>
              </w:rPr>
            </w:pPr>
            <w:r>
              <w:rPr>
                <w:rFonts w:hint="eastAsia"/>
                <w:bCs/>
                <w:szCs w:val="21"/>
                <w:lang w:val="zh-CN"/>
              </w:rPr>
              <w:t>环境风险</w:t>
            </w:r>
          </w:p>
        </w:tc>
        <w:tc>
          <w:tcPr>
            <w:tcW w:w="3122" w:type="pct"/>
            <w:vAlign w:val="center"/>
          </w:tcPr>
          <w:p w:rsidR="00EE4502" w:rsidRDefault="00FD45A3">
            <w:pPr>
              <w:rPr>
                <w:bCs/>
                <w:szCs w:val="21"/>
                <w:lang w:val="zh-CN"/>
              </w:rPr>
            </w:pPr>
            <w:r>
              <w:rPr>
                <w:rFonts w:hint="eastAsia"/>
                <w:bCs/>
                <w:szCs w:val="21"/>
                <w:lang w:val="zh-CN"/>
              </w:rPr>
              <w:t>分区防控，管线上方设置标识，加强管线内的压力、流量传感器检修维护；加强日常巡检监管工作，加强法兰、阀门连接处腐蚀情况记录管理、定期对管线壁厚进行超声波检查，制定跟踪监测计划</w:t>
            </w:r>
          </w:p>
        </w:tc>
      </w:tr>
      <w:tr w:rsidR="00EE4502">
        <w:trPr>
          <w:trHeight w:val="397"/>
        </w:trPr>
        <w:tc>
          <w:tcPr>
            <w:tcW w:w="341" w:type="pct"/>
            <w:vMerge w:val="restart"/>
            <w:vAlign w:val="center"/>
          </w:tcPr>
          <w:p w:rsidR="00EE4502" w:rsidRDefault="00FD45A3">
            <w:pPr>
              <w:jc w:val="center"/>
              <w:rPr>
                <w:bCs/>
                <w:szCs w:val="21"/>
                <w:lang w:val="zh-CN"/>
              </w:rPr>
            </w:pPr>
            <w:r>
              <w:rPr>
                <w:rFonts w:hint="eastAsia"/>
                <w:bCs/>
                <w:szCs w:val="21"/>
                <w:lang w:val="zh-CN"/>
              </w:rPr>
              <w:t>4</w:t>
            </w:r>
          </w:p>
        </w:tc>
        <w:tc>
          <w:tcPr>
            <w:tcW w:w="411" w:type="pct"/>
            <w:vMerge w:val="restart"/>
            <w:vAlign w:val="center"/>
          </w:tcPr>
          <w:p w:rsidR="00EE4502" w:rsidRDefault="00FD45A3">
            <w:pPr>
              <w:jc w:val="center"/>
              <w:rPr>
                <w:bCs/>
                <w:szCs w:val="21"/>
                <w:lang w:val="zh-CN"/>
              </w:rPr>
            </w:pPr>
            <w:r>
              <w:rPr>
                <w:rFonts w:hint="eastAsia"/>
                <w:bCs/>
                <w:szCs w:val="21"/>
                <w:lang w:val="zh-CN"/>
              </w:rPr>
              <w:t>依托</w:t>
            </w:r>
          </w:p>
          <w:p w:rsidR="00EE4502" w:rsidRDefault="00FD45A3">
            <w:pPr>
              <w:jc w:val="center"/>
              <w:rPr>
                <w:bCs/>
                <w:szCs w:val="21"/>
                <w:lang w:val="zh-CN"/>
              </w:rPr>
            </w:pPr>
            <w:r>
              <w:rPr>
                <w:rFonts w:hint="eastAsia"/>
                <w:bCs/>
                <w:szCs w:val="21"/>
                <w:lang w:val="zh-CN"/>
              </w:rPr>
              <w:t>工程</w:t>
            </w:r>
          </w:p>
        </w:tc>
        <w:tc>
          <w:tcPr>
            <w:tcW w:w="1125" w:type="pct"/>
            <w:gridSpan w:val="2"/>
            <w:vAlign w:val="center"/>
          </w:tcPr>
          <w:p w:rsidR="00EE4502" w:rsidRDefault="00FD45A3">
            <w:pPr>
              <w:jc w:val="center"/>
              <w:rPr>
                <w:bCs/>
                <w:szCs w:val="21"/>
                <w:lang w:val="zh-CN"/>
              </w:rPr>
            </w:pPr>
            <w:r>
              <w:rPr>
                <w:bCs/>
                <w:szCs w:val="21"/>
                <w:lang w:val="zh-CN"/>
              </w:rPr>
              <w:t>春风二号联合站</w:t>
            </w:r>
          </w:p>
        </w:tc>
        <w:tc>
          <w:tcPr>
            <w:tcW w:w="3122" w:type="pct"/>
            <w:vAlign w:val="center"/>
          </w:tcPr>
          <w:p w:rsidR="00EE4502" w:rsidRDefault="00FD45A3">
            <w:pPr>
              <w:rPr>
                <w:bCs/>
                <w:szCs w:val="21"/>
                <w:lang w:val="zh-CN"/>
              </w:rPr>
            </w:pPr>
            <w:r>
              <w:rPr>
                <w:bCs/>
                <w:szCs w:val="21"/>
                <w:lang w:val="zh-CN"/>
              </w:rPr>
              <w:t>本工程采出水、井下作业废水依托春风二号联合站处理。春风二号联合站采用稠油掺蒸汽大罐热化学沉降脱水工艺。原油处理规模</w:t>
            </w:r>
            <w:r>
              <w:rPr>
                <w:bCs/>
                <w:szCs w:val="21"/>
                <w:lang w:val="zh-CN"/>
              </w:rPr>
              <w:t>60 ×10</w:t>
            </w:r>
            <w:r>
              <w:rPr>
                <w:bCs/>
                <w:szCs w:val="21"/>
                <w:vertAlign w:val="superscript"/>
                <w:lang w:val="zh-CN"/>
              </w:rPr>
              <w:t>4</w:t>
            </w:r>
            <w:r>
              <w:rPr>
                <w:bCs/>
                <w:szCs w:val="21"/>
                <w:lang w:val="zh-CN"/>
              </w:rPr>
              <w:t>/a</w:t>
            </w:r>
            <w:r>
              <w:rPr>
                <w:bCs/>
                <w:szCs w:val="21"/>
                <w:lang w:val="zh-CN"/>
              </w:rPr>
              <w:t>，采出水处理能力</w:t>
            </w:r>
            <w:r>
              <w:rPr>
                <w:bCs/>
                <w:szCs w:val="21"/>
                <w:lang w:val="zh-CN"/>
              </w:rPr>
              <w:t>10000m</w:t>
            </w:r>
            <w:r>
              <w:rPr>
                <w:rFonts w:hint="eastAsia"/>
                <w:bCs/>
                <w:szCs w:val="21"/>
                <w:vertAlign w:val="superscript"/>
              </w:rPr>
              <w:t>3</w:t>
            </w:r>
            <w:r>
              <w:rPr>
                <w:bCs/>
                <w:szCs w:val="21"/>
                <w:lang w:val="zh-CN"/>
              </w:rPr>
              <w:t>/d</w:t>
            </w:r>
            <w:r>
              <w:rPr>
                <w:bCs/>
                <w:szCs w:val="21"/>
                <w:lang w:val="zh-CN"/>
              </w:rPr>
              <w:t>，共计建有</w:t>
            </w:r>
            <w:r>
              <w:rPr>
                <w:bCs/>
                <w:szCs w:val="21"/>
                <w:lang w:val="zh-CN"/>
              </w:rPr>
              <w:t>12</w:t>
            </w:r>
            <w:r>
              <w:rPr>
                <w:bCs/>
                <w:szCs w:val="21"/>
                <w:lang w:val="zh-CN"/>
              </w:rPr>
              <w:t>座</w:t>
            </w:r>
            <w:r>
              <w:rPr>
                <w:bCs/>
                <w:szCs w:val="21"/>
                <w:lang w:val="zh-CN"/>
              </w:rPr>
              <w:t>5000 m</w:t>
            </w:r>
            <w:r>
              <w:rPr>
                <w:rFonts w:hint="eastAsia"/>
                <w:bCs/>
                <w:szCs w:val="21"/>
                <w:vertAlign w:val="superscript"/>
              </w:rPr>
              <w:t>3</w:t>
            </w:r>
            <w:r>
              <w:rPr>
                <w:bCs/>
                <w:szCs w:val="21"/>
                <w:lang w:val="zh-CN"/>
              </w:rPr>
              <w:t>原油储罐，</w:t>
            </w:r>
            <w:r>
              <w:rPr>
                <w:bCs/>
                <w:szCs w:val="21"/>
                <w:lang w:val="zh-CN"/>
              </w:rPr>
              <w:t>1</w:t>
            </w:r>
            <w:r>
              <w:rPr>
                <w:bCs/>
                <w:szCs w:val="21"/>
                <w:lang w:val="zh-CN"/>
              </w:rPr>
              <w:t>座</w:t>
            </w:r>
            <w:r>
              <w:rPr>
                <w:bCs/>
                <w:szCs w:val="21"/>
                <w:lang w:val="zh-CN"/>
              </w:rPr>
              <w:t>20000 m</w:t>
            </w:r>
            <w:r>
              <w:rPr>
                <w:rFonts w:hint="eastAsia"/>
                <w:bCs/>
                <w:szCs w:val="21"/>
                <w:vertAlign w:val="superscript"/>
              </w:rPr>
              <w:t>3</w:t>
            </w:r>
            <w:r>
              <w:rPr>
                <w:bCs/>
                <w:szCs w:val="21"/>
                <w:lang w:val="zh-CN"/>
              </w:rPr>
              <w:t>原油储罐，</w:t>
            </w:r>
            <w:r>
              <w:rPr>
                <w:bCs/>
                <w:szCs w:val="21"/>
                <w:lang w:val="zh-CN"/>
              </w:rPr>
              <w:t>8</w:t>
            </w:r>
            <w:r>
              <w:rPr>
                <w:bCs/>
                <w:szCs w:val="21"/>
                <w:lang w:val="zh-CN"/>
              </w:rPr>
              <w:t>座</w:t>
            </w:r>
            <w:r>
              <w:rPr>
                <w:bCs/>
                <w:szCs w:val="21"/>
                <w:lang w:val="zh-CN"/>
              </w:rPr>
              <w:t>1000 m</w:t>
            </w:r>
            <w:r>
              <w:rPr>
                <w:rFonts w:hint="eastAsia"/>
                <w:bCs/>
                <w:szCs w:val="21"/>
                <w:vertAlign w:val="superscript"/>
              </w:rPr>
              <w:t>3</w:t>
            </w:r>
            <w:r>
              <w:rPr>
                <w:bCs/>
                <w:szCs w:val="21"/>
                <w:lang w:val="zh-CN"/>
              </w:rPr>
              <w:t>采出水处理罐，</w:t>
            </w:r>
            <w:r>
              <w:rPr>
                <w:bCs/>
                <w:szCs w:val="21"/>
                <w:lang w:val="zh-CN"/>
              </w:rPr>
              <w:t>2</w:t>
            </w:r>
            <w:r>
              <w:rPr>
                <w:bCs/>
                <w:szCs w:val="21"/>
                <w:lang w:val="zh-CN"/>
              </w:rPr>
              <w:t>座</w:t>
            </w:r>
            <w:r>
              <w:rPr>
                <w:bCs/>
                <w:szCs w:val="21"/>
                <w:lang w:val="zh-CN"/>
              </w:rPr>
              <w:t>2000 m</w:t>
            </w:r>
            <w:r>
              <w:rPr>
                <w:rFonts w:hint="eastAsia"/>
                <w:bCs/>
                <w:szCs w:val="21"/>
                <w:vertAlign w:val="superscript"/>
              </w:rPr>
              <w:t>3</w:t>
            </w:r>
            <w:r>
              <w:rPr>
                <w:bCs/>
                <w:szCs w:val="21"/>
                <w:lang w:val="zh-CN"/>
              </w:rPr>
              <w:t>消防水罐，大型设备</w:t>
            </w:r>
            <w:r>
              <w:rPr>
                <w:bCs/>
                <w:szCs w:val="21"/>
                <w:lang w:val="zh-CN"/>
              </w:rPr>
              <w:t>50</w:t>
            </w:r>
            <w:r>
              <w:rPr>
                <w:bCs/>
                <w:szCs w:val="21"/>
                <w:lang w:val="zh-CN"/>
              </w:rPr>
              <w:t>余台</w:t>
            </w:r>
            <w:r>
              <w:rPr>
                <w:rFonts w:hint="eastAsia"/>
                <w:bCs/>
                <w:szCs w:val="21"/>
                <w:lang w:val="zh-CN"/>
              </w:rPr>
              <w:t>（</w:t>
            </w:r>
            <w:r>
              <w:rPr>
                <w:bCs/>
                <w:szCs w:val="21"/>
                <w:lang w:val="zh-CN"/>
              </w:rPr>
              <w:t>套</w:t>
            </w:r>
            <w:r>
              <w:rPr>
                <w:rFonts w:hint="eastAsia"/>
                <w:bCs/>
                <w:szCs w:val="21"/>
                <w:lang w:val="zh-CN"/>
              </w:rPr>
              <w:t>）</w:t>
            </w:r>
            <w:r>
              <w:rPr>
                <w:bCs/>
                <w:szCs w:val="21"/>
                <w:lang w:val="zh-CN"/>
              </w:rPr>
              <w:t>。联合站主要具备原油脱水、原油储存与外输、采出水处理、消防、供配电、自控、通讯等功能</w:t>
            </w:r>
          </w:p>
        </w:tc>
      </w:tr>
      <w:tr w:rsidR="00EE4502">
        <w:trPr>
          <w:trHeight w:val="397"/>
        </w:trPr>
        <w:tc>
          <w:tcPr>
            <w:tcW w:w="341" w:type="pct"/>
            <w:vMerge/>
            <w:vAlign w:val="center"/>
          </w:tcPr>
          <w:p w:rsidR="00EE4502" w:rsidRDefault="00EE4502">
            <w:pPr>
              <w:jc w:val="center"/>
              <w:rPr>
                <w:bCs/>
                <w:szCs w:val="21"/>
                <w:lang w:val="zh-CN"/>
              </w:rPr>
            </w:pPr>
          </w:p>
        </w:tc>
        <w:tc>
          <w:tcPr>
            <w:tcW w:w="411" w:type="pct"/>
            <w:vMerge/>
            <w:vAlign w:val="center"/>
          </w:tcPr>
          <w:p w:rsidR="00EE4502" w:rsidRDefault="00EE4502">
            <w:pPr>
              <w:jc w:val="center"/>
              <w:rPr>
                <w:bCs/>
                <w:szCs w:val="21"/>
                <w:lang w:val="zh-CN"/>
              </w:rPr>
            </w:pPr>
          </w:p>
        </w:tc>
        <w:tc>
          <w:tcPr>
            <w:tcW w:w="1125" w:type="pct"/>
            <w:gridSpan w:val="2"/>
            <w:vAlign w:val="center"/>
          </w:tcPr>
          <w:p w:rsidR="00EE4502" w:rsidRDefault="00FD45A3">
            <w:pPr>
              <w:jc w:val="center"/>
              <w:rPr>
                <w:bCs/>
                <w:szCs w:val="21"/>
                <w:lang w:val="zh-CN"/>
              </w:rPr>
            </w:pPr>
            <w:r>
              <w:rPr>
                <w:rFonts w:hint="eastAsia"/>
                <w:bCs/>
                <w:szCs w:val="21"/>
                <w:lang w:val="zh-CN"/>
              </w:rPr>
              <w:t>春风油田基地生活污水处理系统</w:t>
            </w:r>
          </w:p>
        </w:tc>
        <w:tc>
          <w:tcPr>
            <w:tcW w:w="3122" w:type="pct"/>
            <w:vAlign w:val="center"/>
          </w:tcPr>
          <w:p w:rsidR="00EE4502" w:rsidRDefault="00FD45A3">
            <w:pPr>
              <w:rPr>
                <w:bCs/>
                <w:szCs w:val="21"/>
                <w:lang w:val="zh-CN"/>
              </w:rPr>
            </w:pPr>
            <w:r>
              <w:rPr>
                <w:rFonts w:hint="eastAsia"/>
                <w:bCs/>
                <w:szCs w:val="21"/>
                <w:lang w:val="zh-CN"/>
              </w:rPr>
              <w:t>生活污水依托春风油田基地生活污水处理系统处理</w:t>
            </w:r>
          </w:p>
        </w:tc>
      </w:tr>
      <w:tr w:rsidR="00EE4502">
        <w:trPr>
          <w:trHeight w:val="397"/>
        </w:trPr>
        <w:tc>
          <w:tcPr>
            <w:tcW w:w="341" w:type="pct"/>
            <w:vMerge/>
            <w:vAlign w:val="center"/>
          </w:tcPr>
          <w:p w:rsidR="00EE4502" w:rsidRDefault="00EE4502">
            <w:pPr>
              <w:jc w:val="center"/>
              <w:rPr>
                <w:bCs/>
                <w:szCs w:val="21"/>
                <w:lang w:val="zh-CN"/>
              </w:rPr>
            </w:pPr>
          </w:p>
        </w:tc>
        <w:tc>
          <w:tcPr>
            <w:tcW w:w="411" w:type="pct"/>
            <w:vMerge/>
            <w:vAlign w:val="center"/>
          </w:tcPr>
          <w:p w:rsidR="00EE4502" w:rsidRDefault="00EE4502">
            <w:pPr>
              <w:jc w:val="center"/>
              <w:rPr>
                <w:bCs/>
                <w:szCs w:val="21"/>
                <w:lang w:val="zh-CN"/>
              </w:rPr>
            </w:pPr>
          </w:p>
        </w:tc>
        <w:tc>
          <w:tcPr>
            <w:tcW w:w="1125" w:type="pct"/>
            <w:gridSpan w:val="2"/>
            <w:vAlign w:val="center"/>
          </w:tcPr>
          <w:p w:rsidR="00EE4502" w:rsidRDefault="00FD45A3">
            <w:pPr>
              <w:jc w:val="center"/>
              <w:rPr>
                <w:bCs/>
                <w:szCs w:val="21"/>
                <w:lang w:val="zh-CN"/>
              </w:rPr>
            </w:pPr>
            <w:r>
              <w:rPr>
                <w:rFonts w:hint="eastAsia"/>
                <w:bCs/>
                <w:szCs w:val="21"/>
                <w:lang w:val="zh-CN"/>
              </w:rPr>
              <w:t>1#</w:t>
            </w:r>
            <w:r>
              <w:rPr>
                <w:rFonts w:hint="eastAsia"/>
                <w:bCs/>
                <w:szCs w:val="21"/>
                <w:lang w:val="zh-CN"/>
              </w:rPr>
              <w:t>增压站</w:t>
            </w:r>
          </w:p>
        </w:tc>
        <w:tc>
          <w:tcPr>
            <w:tcW w:w="3122" w:type="pct"/>
            <w:vAlign w:val="center"/>
          </w:tcPr>
          <w:p w:rsidR="00EE4502" w:rsidRDefault="00FD45A3">
            <w:pPr>
              <w:rPr>
                <w:bCs/>
                <w:szCs w:val="21"/>
                <w:lang w:val="zh-CN"/>
              </w:rPr>
            </w:pPr>
            <w:r>
              <w:rPr>
                <w:bCs/>
                <w:szCs w:val="21"/>
                <w:lang w:val="zh-CN"/>
              </w:rPr>
              <w:t>1#</w:t>
            </w:r>
            <w:r>
              <w:rPr>
                <w:bCs/>
                <w:szCs w:val="21"/>
                <w:lang w:val="zh-CN"/>
              </w:rPr>
              <w:t>增压站</w:t>
            </w:r>
            <w:r>
              <w:rPr>
                <w:rFonts w:hint="eastAsia"/>
                <w:bCs/>
                <w:szCs w:val="21"/>
              </w:rPr>
              <w:t>位于排</w:t>
            </w:r>
            <w:r>
              <w:rPr>
                <w:rFonts w:hint="eastAsia"/>
                <w:bCs/>
                <w:szCs w:val="21"/>
              </w:rPr>
              <w:t>612</w:t>
            </w:r>
            <w:r>
              <w:rPr>
                <w:rFonts w:hint="eastAsia"/>
                <w:bCs/>
                <w:szCs w:val="21"/>
              </w:rPr>
              <w:t>块内，</w:t>
            </w:r>
            <w:r>
              <w:rPr>
                <w:bCs/>
                <w:szCs w:val="21"/>
                <w:lang w:val="zh-CN"/>
              </w:rPr>
              <w:t>设计液量增压能力</w:t>
            </w:r>
            <w:r>
              <w:rPr>
                <w:bCs/>
                <w:szCs w:val="21"/>
                <w:lang w:val="zh-CN"/>
              </w:rPr>
              <w:t>2000t/d</w:t>
            </w:r>
            <w:r>
              <w:rPr>
                <w:bCs/>
                <w:szCs w:val="21"/>
                <w:lang w:val="zh-CN"/>
              </w:rPr>
              <w:t>，目前进站液量</w:t>
            </w:r>
            <w:r>
              <w:rPr>
                <w:bCs/>
                <w:szCs w:val="21"/>
                <w:lang w:val="zh-CN"/>
              </w:rPr>
              <w:t>1300t/d</w:t>
            </w:r>
            <w:r>
              <w:rPr>
                <w:bCs/>
                <w:szCs w:val="21"/>
                <w:lang w:val="zh-CN"/>
              </w:rPr>
              <w:t>，</w:t>
            </w:r>
            <w:r>
              <w:rPr>
                <w:rFonts w:hint="eastAsia"/>
                <w:bCs/>
                <w:szCs w:val="21"/>
                <w:lang w:val="zh-CN"/>
              </w:rPr>
              <w:t>1#</w:t>
            </w:r>
            <w:r>
              <w:rPr>
                <w:rFonts w:hint="eastAsia"/>
                <w:bCs/>
                <w:szCs w:val="21"/>
                <w:lang w:val="zh-CN"/>
              </w:rPr>
              <w:t>增压站</w:t>
            </w:r>
            <w:r>
              <w:rPr>
                <w:bCs/>
                <w:szCs w:val="21"/>
                <w:lang w:val="zh-CN"/>
              </w:rPr>
              <w:t>能够满足本工程新增液量的增压要求</w:t>
            </w:r>
          </w:p>
        </w:tc>
      </w:tr>
      <w:tr w:rsidR="00EE4502">
        <w:trPr>
          <w:trHeight w:val="397"/>
        </w:trPr>
        <w:tc>
          <w:tcPr>
            <w:tcW w:w="341" w:type="pct"/>
            <w:vMerge/>
            <w:vAlign w:val="center"/>
          </w:tcPr>
          <w:p w:rsidR="00EE4502" w:rsidRDefault="00EE4502">
            <w:pPr>
              <w:jc w:val="center"/>
              <w:rPr>
                <w:bCs/>
                <w:szCs w:val="21"/>
                <w:lang w:val="zh-CN"/>
              </w:rPr>
            </w:pPr>
          </w:p>
        </w:tc>
        <w:tc>
          <w:tcPr>
            <w:tcW w:w="411" w:type="pct"/>
            <w:vMerge/>
            <w:vAlign w:val="center"/>
          </w:tcPr>
          <w:p w:rsidR="00EE4502" w:rsidRDefault="00EE4502">
            <w:pPr>
              <w:jc w:val="center"/>
              <w:rPr>
                <w:bCs/>
                <w:szCs w:val="21"/>
                <w:lang w:val="zh-CN"/>
              </w:rPr>
            </w:pPr>
          </w:p>
        </w:tc>
        <w:tc>
          <w:tcPr>
            <w:tcW w:w="1125" w:type="pct"/>
            <w:gridSpan w:val="2"/>
            <w:vAlign w:val="center"/>
          </w:tcPr>
          <w:p w:rsidR="00EE4502" w:rsidRDefault="00FD45A3">
            <w:pPr>
              <w:jc w:val="center"/>
              <w:rPr>
                <w:bCs/>
                <w:szCs w:val="21"/>
                <w:lang w:val="zh-CN"/>
              </w:rPr>
            </w:pPr>
            <w:r>
              <w:rPr>
                <w:rFonts w:hint="eastAsia"/>
                <w:bCs/>
                <w:szCs w:val="21"/>
              </w:rPr>
              <w:t>6#</w:t>
            </w:r>
            <w:r>
              <w:rPr>
                <w:rFonts w:hint="eastAsia"/>
                <w:bCs/>
                <w:szCs w:val="21"/>
              </w:rPr>
              <w:t>注汽站</w:t>
            </w:r>
          </w:p>
        </w:tc>
        <w:tc>
          <w:tcPr>
            <w:tcW w:w="3122" w:type="pct"/>
            <w:vAlign w:val="center"/>
          </w:tcPr>
          <w:p w:rsidR="00EE4502" w:rsidRDefault="00FD45A3">
            <w:pPr>
              <w:rPr>
                <w:bCs/>
                <w:szCs w:val="21"/>
              </w:rPr>
            </w:pPr>
            <w:r>
              <w:rPr>
                <w:bCs/>
                <w:szCs w:val="21"/>
                <w:lang w:val="zh-CN"/>
              </w:rPr>
              <w:t>6#</w:t>
            </w:r>
            <w:r>
              <w:rPr>
                <w:bCs/>
                <w:szCs w:val="21"/>
                <w:lang w:val="zh-CN"/>
              </w:rPr>
              <w:t>注汽站投产于</w:t>
            </w:r>
            <w:r>
              <w:rPr>
                <w:bCs/>
                <w:szCs w:val="21"/>
                <w:lang w:val="zh-CN"/>
              </w:rPr>
              <w:t>2017</w:t>
            </w:r>
            <w:r>
              <w:rPr>
                <w:bCs/>
                <w:szCs w:val="21"/>
                <w:lang w:val="zh-CN"/>
              </w:rPr>
              <w:t>年</w:t>
            </w:r>
            <w:r>
              <w:rPr>
                <w:bCs/>
                <w:szCs w:val="21"/>
                <w:lang w:val="zh-CN"/>
              </w:rPr>
              <w:t>11</w:t>
            </w:r>
            <w:r>
              <w:rPr>
                <w:bCs/>
                <w:szCs w:val="21"/>
                <w:lang w:val="zh-CN"/>
              </w:rPr>
              <w:t>月，站内安装</w:t>
            </w:r>
            <w:r>
              <w:rPr>
                <w:bCs/>
                <w:szCs w:val="21"/>
                <w:lang w:val="zh-CN"/>
              </w:rPr>
              <w:t>1</w:t>
            </w:r>
            <w:r>
              <w:rPr>
                <w:bCs/>
                <w:szCs w:val="21"/>
                <w:lang w:val="zh-CN"/>
              </w:rPr>
              <w:t>台</w:t>
            </w:r>
            <w:r>
              <w:rPr>
                <w:bCs/>
                <w:szCs w:val="21"/>
                <w:lang w:val="zh-CN"/>
              </w:rPr>
              <w:t>75t/h</w:t>
            </w:r>
            <w:r>
              <w:rPr>
                <w:bCs/>
                <w:szCs w:val="21"/>
                <w:lang w:val="zh-CN"/>
              </w:rPr>
              <w:t>燃煤注汽锅炉和</w:t>
            </w:r>
            <w:r>
              <w:rPr>
                <w:bCs/>
                <w:szCs w:val="21"/>
                <w:lang w:val="zh-CN"/>
              </w:rPr>
              <w:t>1</w:t>
            </w:r>
            <w:r>
              <w:rPr>
                <w:bCs/>
                <w:szCs w:val="21"/>
                <w:lang w:val="zh-CN"/>
              </w:rPr>
              <w:t>台</w:t>
            </w:r>
            <w:r>
              <w:rPr>
                <w:bCs/>
                <w:szCs w:val="21"/>
                <w:lang w:val="zh-CN"/>
              </w:rPr>
              <w:t>130t/h</w:t>
            </w:r>
            <w:r>
              <w:rPr>
                <w:bCs/>
                <w:szCs w:val="21"/>
                <w:lang w:val="zh-CN"/>
              </w:rPr>
              <w:t>燃煤注汽锅炉，锅炉出口蒸汽额定压力</w:t>
            </w:r>
            <w:r>
              <w:rPr>
                <w:bCs/>
                <w:szCs w:val="21"/>
                <w:lang w:val="zh-CN"/>
              </w:rPr>
              <w:t>14.0MPa</w:t>
            </w:r>
            <w:r>
              <w:rPr>
                <w:bCs/>
                <w:szCs w:val="21"/>
                <w:lang w:val="zh-CN"/>
              </w:rPr>
              <w:t>，额定温度</w:t>
            </w:r>
            <w:r>
              <w:rPr>
                <w:bCs/>
                <w:szCs w:val="21"/>
                <w:lang w:val="zh-CN"/>
              </w:rPr>
              <w:t>350℃</w:t>
            </w:r>
            <w:r>
              <w:rPr>
                <w:bCs/>
                <w:szCs w:val="21"/>
                <w:lang w:val="zh-CN"/>
              </w:rPr>
              <w:t>，额定干度</w:t>
            </w:r>
            <w:r>
              <w:rPr>
                <w:bCs/>
                <w:szCs w:val="21"/>
                <w:lang w:val="zh-CN"/>
              </w:rPr>
              <w:t>100%</w:t>
            </w:r>
            <w:r>
              <w:rPr>
                <w:rFonts w:hint="eastAsia"/>
                <w:bCs/>
                <w:szCs w:val="21"/>
                <w:lang w:val="zh-CN"/>
              </w:rPr>
              <w:t>，满足本工程</w:t>
            </w:r>
            <w:r>
              <w:rPr>
                <w:rFonts w:hint="eastAsia"/>
                <w:bCs/>
                <w:szCs w:val="21"/>
              </w:rPr>
              <w:t>注汽系统需求</w:t>
            </w:r>
          </w:p>
        </w:tc>
      </w:tr>
      <w:tr w:rsidR="00EE4502">
        <w:trPr>
          <w:trHeight w:val="397"/>
        </w:trPr>
        <w:tc>
          <w:tcPr>
            <w:tcW w:w="341" w:type="pct"/>
            <w:vMerge/>
            <w:vAlign w:val="center"/>
          </w:tcPr>
          <w:p w:rsidR="00EE4502" w:rsidRDefault="00EE4502">
            <w:pPr>
              <w:jc w:val="center"/>
              <w:rPr>
                <w:bCs/>
                <w:szCs w:val="21"/>
                <w:lang w:val="zh-CN"/>
              </w:rPr>
            </w:pPr>
          </w:p>
        </w:tc>
        <w:tc>
          <w:tcPr>
            <w:tcW w:w="411" w:type="pct"/>
            <w:vMerge/>
            <w:vAlign w:val="center"/>
          </w:tcPr>
          <w:p w:rsidR="00EE4502" w:rsidRDefault="00EE4502">
            <w:pPr>
              <w:jc w:val="center"/>
              <w:rPr>
                <w:bCs/>
                <w:szCs w:val="21"/>
                <w:lang w:val="zh-CN"/>
              </w:rPr>
            </w:pPr>
          </w:p>
        </w:tc>
        <w:tc>
          <w:tcPr>
            <w:tcW w:w="1125" w:type="pct"/>
            <w:gridSpan w:val="2"/>
            <w:vAlign w:val="center"/>
          </w:tcPr>
          <w:p w:rsidR="00EE4502" w:rsidRDefault="00FD45A3">
            <w:pPr>
              <w:jc w:val="center"/>
              <w:rPr>
                <w:bCs/>
                <w:szCs w:val="21"/>
              </w:rPr>
            </w:pPr>
            <w:r>
              <w:rPr>
                <w:rFonts w:hint="eastAsia"/>
                <w:bCs/>
                <w:szCs w:val="21"/>
                <w:lang w:val="zh-CN"/>
              </w:rPr>
              <w:t>危废暂存</w:t>
            </w:r>
            <w:r>
              <w:rPr>
                <w:rFonts w:hint="eastAsia"/>
                <w:bCs/>
                <w:szCs w:val="21"/>
              </w:rPr>
              <w:t>场</w:t>
            </w:r>
          </w:p>
        </w:tc>
        <w:tc>
          <w:tcPr>
            <w:tcW w:w="3122" w:type="pct"/>
            <w:vAlign w:val="center"/>
          </w:tcPr>
          <w:p w:rsidR="00EE4502" w:rsidRDefault="00FD45A3">
            <w:pPr>
              <w:rPr>
                <w:bCs/>
                <w:szCs w:val="21"/>
              </w:rPr>
            </w:pPr>
            <w:r>
              <w:rPr>
                <w:rFonts w:hint="eastAsia"/>
                <w:bCs/>
                <w:szCs w:val="21"/>
                <w:lang w:val="zh-CN"/>
              </w:rPr>
              <w:t>春风油田危废暂存场位于二号联合站北侧约</w:t>
            </w:r>
            <w:r>
              <w:rPr>
                <w:rFonts w:hint="eastAsia"/>
                <w:bCs/>
                <w:szCs w:val="21"/>
                <w:lang w:val="zh-CN"/>
              </w:rPr>
              <w:t>500m</w:t>
            </w:r>
            <w:r>
              <w:rPr>
                <w:rFonts w:hint="eastAsia"/>
                <w:bCs/>
                <w:szCs w:val="21"/>
                <w:lang w:val="zh-CN"/>
              </w:rPr>
              <w:t>处。本工程施工和运营期间危险废物的暂存依托该危废暂存场暂存，</w:t>
            </w:r>
            <w:r>
              <w:rPr>
                <w:rFonts w:hint="eastAsia"/>
                <w:bCs/>
                <w:szCs w:val="21"/>
              </w:rPr>
              <w:t>距离本工程西南约</w:t>
            </w:r>
            <w:r>
              <w:rPr>
                <w:rFonts w:hint="eastAsia"/>
                <w:bCs/>
                <w:szCs w:val="21"/>
              </w:rPr>
              <w:t>6.5km</w:t>
            </w:r>
          </w:p>
        </w:tc>
      </w:tr>
      <w:tr w:rsidR="00EE4502">
        <w:trPr>
          <w:trHeight w:val="397"/>
        </w:trPr>
        <w:tc>
          <w:tcPr>
            <w:tcW w:w="341" w:type="pct"/>
            <w:vMerge/>
            <w:vAlign w:val="center"/>
          </w:tcPr>
          <w:p w:rsidR="00EE4502" w:rsidRDefault="00EE4502">
            <w:pPr>
              <w:jc w:val="center"/>
              <w:rPr>
                <w:bCs/>
                <w:szCs w:val="21"/>
                <w:lang w:val="zh-CN"/>
              </w:rPr>
            </w:pPr>
          </w:p>
        </w:tc>
        <w:tc>
          <w:tcPr>
            <w:tcW w:w="411" w:type="pct"/>
            <w:vMerge/>
            <w:vAlign w:val="center"/>
          </w:tcPr>
          <w:p w:rsidR="00EE4502" w:rsidRDefault="00EE4502">
            <w:pPr>
              <w:jc w:val="center"/>
              <w:rPr>
                <w:bCs/>
                <w:szCs w:val="21"/>
                <w:lang w:val="zh-CN"/>
              </w:rPr>
            </w:pPr>
          </w:p>
        </w:tc>
        <w:tc>
          <w:tcPr>
            <w:tcW w:w="1125" w:type="pct"/>
            <w:gridSpan w:val="2"/>
            <w:vAlign w:val="center"/>
          </w:tcPr>
          <w:p w:rsidR="00EE4502" w:rsidRDefault="00FD45A3">
            <w:pPr>
              <w:jc w:val="center"/>
              <w:rPr>
                <w:bCs/>
                <w:szCs w:val="21"/>
                <w:lang w:val="zh-CN"/>
              </w:rPr>
            </w:pPr>
            <w:r>
              <w:rPr>
                <w:rFonts w:hint="eastAsia"/>
                <w:bCs/>
                <w:szCs w:val="21"/>
                <w:lang w:val="zh-CN"/>
              </w:rPr>
              <w:t>克拉玛依建筑垃圾填埋场</w:t>
            </w:r>
          </w:p>
        </w:tc>
        <w:tc>
          <w:tcPr>
            <w:tcW w:w="3122" w:type="pct"/>
            <w:vAlign w:val="center"/>
          </w:tcPr>
          <w:p w:rsidR="00EE4502" w:rsidRDefault="00FD45A3">
            <w:pPr>
              <w:rPr>
                <w:bCs/>
                <w:szCs w:val="21"/>
              </w:rPr>
            </w:pPr>
            <w:r>
              <w:rPr>
                <w:rFonts w:hint="eastAsia"/>
                <w:bCs/>
                <w:szCs w:val="21"/>
              </w:rPr>
              <w:t>排</w:t>
            </w:r>
            <w:r>
              <w:rPr>
                <w:rFonts w:hint="eastAsia"/>
                <w:bCs/>
                <w:szCs w:val="21"/>
              </w:rPr>
              <w:t>61</w:t>
            </w:r>
            <w:r>
              <w:rPr>
                <w:rFonts w:hint="eastAsia"/>
                <w:bCs/>
                <w:szCs w:val="21"/>
              </w:rPr>
              <w:t>块一般工业固废依托克拉玛依建筑垃圾填埋场处置</w:t>
            </w:r>
          </w:p>
        </w:tc>
      </w:tr>
      <w:tr w:rsidR="00EE4502">
        <w:trPr>
          <w:trHeight w:val="397"/>
        </w:trPr>
        <w:tc>
          <w:tcPr>
            <w:tcW w:w="341" w:type="pct"/>
            <w:vMerge/>
            <w:vAlign w:val="center"/>
          </w:tcPr>
          <w:p w:rsidR="00EE4502" w:rsidRDefault="00EE4502">
            <w:pPr>
              <w:jc w:val="center"/>
              <w:rPr>
                <w:bCs/>
                <w:szCs w:val="21"/>
                <w:lang w:val="zh-CN"/>
              </w:rPr>
            </w:pPr>
          </w:p>
        </w:tc>
        <w:tc>
          <w:tcPr>
            <w:tcW w:w="411" w:type="pct"/>
            <w:vMerge/>
            <w:vAlign w:val="center"/>
          </w:tcPr>
          <w:p w:rsidR="00EE4502" w:rsidRDefault="00EE4502">
            <w:pPr>
              <w:jc w:val="center"/>
              <w:rPr>
                <w:bCs/>
                <w:szCs w:val="21"/>
                <w:lang w:val="zh-CN"/>
              </w:rPr>
            </w:pPr>
          </w:p>
        </w:tc>
        <w:tc>
          <w:tcPr>
            <w:tcW w:w="1125" w:type="pct"/>
            <w:gridSpan w:val="2"/>
            <w:vAlign w:val="center"/>
          </w:tcPr>
          <w:p w:rsidR="00EE4502" w:rsidRDefault="00FD45A3">
            <w:pPr>
              <w:jc w:val="center"/>
              <w:rPr>
                <w:bCs/>
                <w:szCs w:val="21"/>
                <w:lang w:val="zh-CN"/>
              </w:rPr>
            </w:pPr>
            <w:r>
              <w:rPr>
                <w:rFonts w:hint="eastAsia"/>
                <w:bCs/>
                <w:szCs w:val="21"/>
                <w:lang w:val="zh-CN"/>
              </w:rPr>
              <w:t>胡杨河经济技术开发区一般固体废物填埋场</w:t>
            </w:r>
          </w:p>
        </w:tc>
        <w:tc>
          <w:tcPr>
            <w:tcW w:w="3122" w:type="pct"/>
            <w:vAlign w:val="center"/>
          </w:tcPr>
          <w:p w:rsidR="00EE4502" w:rsidRDefault="00FD45A3">
            <w:pPr>
              <w:rPr>
                <w:bCs/>
                <w:szCs w:val="21"/>
                <w:lang w:val="zh-CN"/>
              </w:rPr>
            </w:pPr>
            <w:r>
              <w:rPr>
                <w:rFonts w:hint="eastAsia"/>
                <w:bCs/>
                <w:szCs w:val="21"/>
              </w:rPr>
              <w:t>本工程注水井部分的</w:t>
            </w:r>
            <w:r>
              <w:rPr>
                <w:rFonts w:hint="eastAsia"/>
                <w:bCs/>
                <w:szCs w:val="21"/>
                <w:lang w:val="zh-CN"/>
              </w:rPr>
              <w:t>一般工业固体废物依托胡杨河经济技术开发区一般固体废物填埋场处置</w:t>
            </w:r>
          </w:p>
        </w:tc>
      </w:tr>
      <w:tr w:rsidR="00EE4502">
        <w:trPr>
          <w:trHeight w:val="397"/>
        </w:trPr>
        <w:tc>
          <w:tcPr>
            <w:tcW w:w="341" w:type="pct"/>
            <w:vMerge/>
            <w:vAlign w:val="center"/>
          </w:tcPr>
          <w:p w:rsidR="00EE4502" w:rsidRDefault="00EE4502">
            <w:pPr>
              <w:jc w:val="center"/>
              <w:rPr>
                <w:bCs/>
                <w:szCs w:val="21"/>
                <w:lang w:val="zh-CN"/>
              </w:rPr>
            </w:pPr>
          </w:p>
        </w:tc>
        <w:tc>
          <w:tcPr>
            <w:tcW w:w="411" w:type="pct"/>
            <w:vMerge/>
            <w:vAlign w:val="center"/>
          </w:tcPr>
          <w:p w:rsidR="00EE4502" w:rsidRDefault="00EE4502">
            <w:pPr>
              <w:jc w:val="center"/>
              <w:rPr>
                <w:bCs/>
                <w:szCs w:val="21"/>
                <w:lang w:val="zh-CN"/>
              </w:rPr>
            </w:pPr>
          </w:p>
        </w:tc>
        <w:tc>
          <w:tcPr>
            <w:tcW w:w="1125" w:type="pct"/>
            <w:gridSpan w:val="2"/>
            <w:vAlign w:val="center"/>
          </w:tcPr>
          <w:p w:rsidR="00EE4502" w:rsidRDefault="00FD45A3">
            <w:pPr>
              <w:jc w:val="center"/>
              <w:rPr>
                <w:bCs/>
                <w:szCs w:val="21"/>
                <w:lang w:val="zh-CN"/>
              </w:rPr>
            </w:pPr>
            <w:r>
              <w:rPr>
                <w:rFonts w:hint="eastAsia"/>
                <w:bCs/>
                <w:szCs w:val="21"/>
                <w:lang w:val="zh-CN"/>
              </w:rPr>
              <w:t>克拉玛依市生活垃圾填埋场</w:t>
            </w:r>
          </w:p>
        </w:tc>
        <w:tc>
          <w:tcPr>
            <w:tcW w:w="3122" w:type="pct"/>
            <w:vAlign w:val="center"/>
          </w:tcPr>
          <w:p w:rsidR="00EE4502" w:rsidRDefault="00FD45A3">
            <w:pPr>
              <w:rPr>
                <w:bCs/>
                <w:szCs w:val="21"/>
              </w:rPr>
            </w:pPr>
            <w:r>
              <w:rPr>
                <w:rFonts w:hint="eastAsia"/>
                <w:bCs/>
                <w:szCs w:val="21"/>
              </w:rPr>
              <w:t>排</w:t>
            </w:r>
            <w:r>
              <w:rPr>
                <w:rFonts w:hint="eastAsia"/>
                <w:bCs/>
                <w:szCs w:val="21"/>
              </w:rPr>
              <w:t>61</w:t>
            </w:r>
            <w:r>
              <w:rPr>
                <w:rFonts w:hint="eastAsia"/>
                <w:bCs/>
                <w:szCs w:val="21"/>
              </w:rPr>
              <w:t>块</w:t>
            </w:r>
            <w:r>
              <w:rPr>
                <w:rFonts w:hint="eastAsia"/>
                <w:bCs/>
                <w:szCs w:val="21"/>
                <w:lang w:val="zh-CN"/>
              </w:rPr>
              <w:t>生活垃圾依托克拉玛依市生活垃圾填埋场填埋处置</w:t>
            </w:r>
          </w:p>
        </w:tc>
      </w:tr>
      <w:tr w:rsidR="00EE4502">
        <w:trPr>
          <w:trHeight w:val="397"/>
        </w:trPr>
        <w:tc>
          <w:tcPr>
            <w:tcW w:w="341" w:type="pct"/>
            <w:vMerge/>
            <w:vAlign w:val="center"/>
          </w:tcPr>
          <w:p w:rsidR="00EE4502" w:rsidRDefault="00EE4502">
            <w:pPr>
              <w:jc w:val="center"/>
              <w:rPr>
                <w:bCs/>
                <w:szCs w:val="21"/>
                <w:lang w:val="zh-CN"/>
              </w:rPr>
            </w:pPr>
          </w:p>
        </w:tc>
        <w:tc>
          <w:tcPr>
            <w:tcW w:w="411" w:type="pct"/>
            <w:vMerge/>
            <w:vAlign w:val="center"/>
          </w:tcPr>
          <w:p w:rsidR="00EE4502" w:rsidRDefault="00EE4502">
            <w:pPr>
              <w:jc w:val="center"/>
              <w:rPr>
                <w:bCs/>
                <w:szCs w:val="21"/>
                <w:lang w:val="zh-CN"/>
              </w:rPr>
            </w:pPr>
          </w:p>
        </w:tc>
        <w:tc>
          <w:tcPr>
            <w:tcW w:w="1125" w:type="pct"/>
            <w:gridSpan w:val="2"/>
            <w:vAlign w:val="center"/>
          </w:tcPr>
          <w:p w:rsidR="00EE4502" w:rsidRDefault="00FD45A3">
            <w:pPr>
              <w:jc w:val="center"/>
              <w:rPr>
                <w:bCs/>
                <w:szCs w:val="21"/>
                <w:lang w:val="zh-CN"/>
              </w:rPr>
            </w:pPr>
            <w:r>
              <w:rPr>
                <w:rFonts w:hint="eastAsia"/>
                <w:bCs/>
                <w:szCs w:val="21"/>
                <w:lang w:val="zh-CN"/>
              </w:rPr>
              <w:t>1</w:t>
            </w:r>
            <w:r>
              <w:rPr>
                <w:bCs/>
                <w:szCs w:val="21"/>
                <w:lang w:val="zh-CN"/>
              </w:rPr>
              <w:t>28</w:t>
            </w:r>
            <w:r>
              <w:rPr>
                <w:rFonts w:hint="eastAsia"/>
                <w:bCs/>
                <w:szCs w:val="21"/>
                <w:lang w:val="zh-CN"/>
              </w:rPr>
              <w:t>团生活垃圾填埋场</w:t>
            </w:r>
          </w:p>
        </w:tc>
        <w:tc>
          <w:tcPr>
            <w:tcW w:w="3122" w:type="pct"/>
            <w:vAlign w:val="center"/>
          </w:tcPr>
          <w:p w:rsidR="00EE4502" w:rsidRDefault="00FD45A3">
            <w:pPr>
              <w:rPr>
                <w:bCs/>
                <w:szCs w:val="21"/>
                <w:lang w:val="zh-CN"/>
              </w:rPr>
            </w:pPr>
            <w:r>
              <w:rPr>
                <w:rFonts w:hint="eastAsia"/>
                <w:bCs/>
                <w:szCs w:val="21"/>
                <w:lang w:val="zh-CN"/>
              </w:rPr>
              <w:t>本工程注水井部分的生活垃圾处理依托</w:t>
            </w:r>
            <w:r>
              <w:rPr>
                <w:rFonts w:hint="eastAsia"/>
                <w:bCs/>
                <w:szCs w:val="21"/>
                <w:lang w:val="zh-CN"/>
              </w:rPr>
              <w:t>128</w:t>
            </w:r>
            <w:r>
              <w:rPr>
                <w:rFonts w:hint="eastAsia"/>
                <w:bCs/>
                <w:szCs w:val="21"/>
                <w:lang w:val="zh-CN"/>
              </w:rPr>
              <w:t>团生活垃圾填埋场进行填埋处理</w:t>
            </w:r>
          </w:p>
        </w:tc>
      </w:tr>
      <w:tr w:rsidR="00EE4502">
        <w:trPr>
          <w:trHeight w:val="397"/>
        </w:trPr>
        <w:tc>
          <w:tcPr>
            <w:tcW w:w="341" w:type="pct"/>
            <w:vMerge/>
            <w:vAlign w:val="center"/>
          </w:tcPr>
          <w:p w:rsidR="00EE4502" w:rsidRDefault="00EE4502">
            <w:pPr>
              <w:jc w:val="center"/>
              <w:rPr>
                <w:bCs/>
                <w:szCs w:val="21"/>
                <w:lang w:val="zh-CN"/>
              </w:rPr>
            </w:pPr>
          </w:p>
        </w:tc>
        <w:tc>
          <w:tcPr>
            <w:tcW w:w="411" w:type="pct"/>
            <w:vMerge/>
            <w:vAlign w:val="center"/>
          </w:tcPr>
          <w:p w:rsidR="00EE4502" w:rsidRDefault="00EE4502">
            <w:pPr>
              <w:jc w:val="center"/>
              <w:rPr>
                <w:bCs/>
                <w:szCs w:val="21"/>
                <w:lang w:val="zh-CN"/>
              </w:rPr>
            </w:pPr>
          </w:p>
        </w:tc>
        <w:tc>
          <w:tcPr>
            <w:tcW w:w="1125" w:type="pct"/>
            <w:gridSpan w:val="2"/>
            <w:vAlign w:val="center"/>
          </w:tcPr>
          <w:p w:rsidR="00EE4502" w:rsidRDefault="00FD45A3">
            <w:pPr>
              <w:jc w:val="center"/>
              <w:rPr>
                <w:bCs/>
                <w:szCs w:val="21"/>
                <w:lang w:val="zh-CN"/>
              </w:rPr>
            </w:pPr>
            <w:r>
              <w:rPr>
                <w:rFonts w:hint="eastAsia"/>
                <w:bCs/>
                <w:szCs w:val="21"/>
                <w:lang w:val="zh-CN"/>
              </w:rPr>
              <w:t>危废处置资质单位</w:t>
            </w:r>
          </w:p>
        </w:tc>
        <w:tc>
          <w:tcPr>
            <w:tcW w:w="3122" w:type="pct"/>
            <w:vAlign w:val="center"/>
          </w:tcPr>
          <w:p w:rsidR="00EE4502" w:rsidRDefault="00FD45A3">
            <w:pPr>
              <w:rPr>
                <w:bCs/>
                <w:szCs w:val="21"/>
                <w:lang w:val="zh-CN"/>
              </w:rPr>
            </w:pPr>
            <w:r>
              <w:rPr>
                <w:rFonts w:hint="eastAsia"/>
                <w:bCs/>
                <w:szCs w:val="21"/>
                <w:lang w:val="zh-CN"/>
              </w:rPr>
              <w:t>落地油、沾油废防渗材料、清管废渣、废油桶、废烧碱包装袋</w:t>
            </w:r>
            <w:r>
              <w:rPr>
                <w:rFonts w:hint="eastAsia"/>
                <w:bCs/>
                <w:szCs w:val="21"/>
              </w:rPr>
              <w:t>等危废依托</w:t>
            </w:r>
            <w:r>
              <w:rPr>
                <w:rFonts w:hint="eastAsia"/>
                <w:bCs/>
                <w:szCs w:val="21"/>
                <w:lang w:val="zh-CN"/>
              </w:rPr>
              <w:t>新疆锦恒利废矿物油处置有限公司</w:t>
            </w:r>
            <w:r>
              <w:rPr>
                <w:rFonts w:hint="eastAsia"/>
                <w:bCs/>
                <w:szCs w:val="21"/>
              </w:rPr>
              <w:t>或克拉玛依沃森环保科技有限公司等有危废处置资质单位</w:t>
            </w:r>
            <w:r>
              <w:rPr>
                <w:rFonts w:hint="eastAsia"/>
                <w:bCs/>
                <w:szCs w:val="21"/>
                <w:lang w:val="zh-CN"/>
              </w:rPr>
              <w:t>进行</w:t>
            </w:r>
            <w:r>
              <w:rPr>
                <w:rFonts w:hint="eastAsia"/>
                <w:bCs/>
                <w:szCs w:val="21"/>
              </w:rPr>
              <w:t>合规</w:t>
            </w:r>
            <w:r>
              <w:rPr>
                <w:rFonts w:hint="eastAsia"/>
                <w:bCs/>
                <w:szCs w:val="21"/>
                <w:lang w:val="zh-CN"/>
              </w:rPr>
              <w:t>处置</w:t>
            </w:r>
          </w:p>
        </w:tc>
      </w:tr>
      <w:tr w:rsidR="00EE4502">
        <w:trPr>
          <w:trHeight w:val="397"/>
        </w:trPr>
        <w:tc>
          <w:tcPr>
            <w:tcW w:w="341" w:type="pct"/>
            <w:vMerge/>
            <w:vAlign w:val="center"/>
          </w:tcPr>
          <w:p w:rsidR="00EE4502" w:rsidRDefault="00EE4502">
            <w:pPr>
              <w:jc w:val="center"/>
              <w:rPr>
                <w:bCs/>
                <w:szCs w:val="21"/>
                <w:lang w:val="zh-CN"/>
              </w:rPr>
            </w:pPr>
          </w:p>
        </w:tc>
        <w:tc>
          <w:tcPr>
            <w:tcW w:w="411" w:type="pct"/>
            <w:vMerge/>
            <w:vAlign w:val="center"/>
          </w:tcPr>
          <w:p w:rsidR="00EE4502" w:rsidRDefault="00EE4502">
            <w:pPr>
              <w:jc w:val="center"/>
              <w:rPr>
                <w:bCs/>
                <w:szCs w:val="21"/>
                <w:lang w:val="zh-CN"/>
              </w:rPr>
            </w:pPr>
          </w:p>
        </w:tc>
        <w:tc>
          <w:tcPr>
            <w:tcW w:w="1125" w:type="pct"/>
            <w:gridSpan w:val="2"/>
            <w:vAlign w:val="center"/>
          </w:tcPr>
          <w:p w:rsidR="00EE4502" w:rsidRDefault="00FD45A3">
            <w:pPr>
              <w:jc w:val="center"/>
              <w:rPr>
                <w:bCs/>
                <w:szCs w:val="21"/>
                <w:lang w:val="zh-CN"/>
              </w:rPr>
            </w:pPr>
            <w:r>
              <w:rPr>
                <w:rFonts w:hint="eastAsia"/>
                <w:bCs/>
                <w:szCs w:val="21"/>
                <w:lang w:val="zh-CN"/>
              </w:rPr>
              <w:t>克拉玛依前山石油工程服务有限公司</w:t>
            </w:r>
          </w:p>
        </w:tc>
        <w:tc>
          <w:tcPr>
            <w:tcW w:w="3122" w:type="pct"/>
            <w:vAlign w:val="center"/>
          </w:tcPr>
          <w:p w:rsidR="00EE4502" w:rsidRDefault="00FD45A3">
            <w:pPr>
              <w:rPr>
                <w:bCs/>
                <w:szCs w:val="21"/>
              </w:rPr>
            </w:pPr>
            <w:r>
              <w:rPr>
                <w:rFonts w:hint="eastAsia"/>
                <w:bCs/>
                <w:szCs w:val="21"/>
                <w:lang w:val="zh-CN"/>
              </w:rPr>
              <w:t>废弃钻井泥浆、岩屑委托克拉玛依前山石油工程服务有限公司等有资质单位进行无害化处置；</w:t>
            </w:r>
            <w:r>
              <w:rPr>
                <w:rFonts w:hint="eastAsia"/>
                <w:bCs/>
                <w:szCs w:val="21"/>
              </w:rPr>
              <w:t>施工期生活污水、生活垃圾委托克拉玛依前山石油工程服务有限公司清运</w:t>
            </w:r>
          </w:p>
        </w:tc>
      </w:tr>
    </w:tbl>
    <w:p w:rsidR="00EE4502" w:rsidRDefault="00FD45A3">
      <w:pPr>
        <w:pStyle w:val="41"/>
        <w:numPr>
          <w:ilvl w:val="3"/>
          <w:numId w:val="30"/>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hint="eastAsia"/>
          <w:bCs w:val="0"/>
          <w:sz w:val="24"/>
          <w:szCs w:val="24"/>
        </w:rPr>
        <w:t>工程</w:t>
      </w:r>
      <w:r>
        <w:rPr>
          <w:rFonts w:ascii="Times New Roman" w:eastAsia="宋体" w:hAnsi="Times New Roman"/>
          <w:bCs w:val="0"/>
          <w:sz w:val="24"/>
          <w:szCs w:val="24"/>
        </w:rPr>
        <w:t>投资</w:t>
      </w:r>
    </w:p>
    <w:p w:rsidR="00EE4502" w:rsidRDefault="00FD45A3">
      <w:pPr>
        <w:spacing w:line="360" w:lineRule="auto"/>
        <w:ind w:firstLineChars="200" w:firstLine="480"/>
        <w:rPr>
          <w:sz w:val="24"/>
        </w:rPr>
      </w:pPr>
      <w:r>
        <w:rPr>
          <w:sz w:val="24"/>
        </w:rPr>
        <w:t>工程总投资</w:t>
      </w:r>
      <w:r>
        <w:rPr>
          <w:rFonts w:hint="eastAsia"/>
          <w:sz w:val="24"/>
        </w:rPr>
        <w:t>11398.55</w:t>
      </w:r>
      <w:r>
        <w:rPr>
          <w:sz w:val="24"/>
        </w:rPr>
        <w:t>万元。</w:t>
      </w:r>
    </w:p>
    <w:p w:rsidR="00EE4502" w:rsidRDefault="00FD45A3">
      <w:pPr>
        <w:pStyle w:val="41"/>
        <w:numPr>
          <w:ilvl w:val="3"/>
          <w:numId w:val="30"/>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hint="eastAsia"/>
          <w:bCs w:val="0"/>
          <w:sz w:val="24"/>
          <w:szCs w:val="24"/>
        </w:rPr>
        <w:t>劳动组织及定员</w:t>
      </w:r>
    </w:p>
    <w:p w:rsidR="00EE4502" w:rsidRDefault="00FD45A3">
      <w:pPr>
        <w:spacing w:line="360" w:lineRule="auto"/>
        <w:ind w:firstLineChars="200" w:firstLine="480"/>
        <w:rPr>
          <w:sz w:val="24"/>
        </w:rPr>
      </w:pPr>
      <w:r>
        <w:rPr>
          <w:sz w:val="24"/>
        </w:rPr>
        <w:t>春风油田</w:t>
      </w:r>
      <w:r>
        <w:rPr>
          <w:rFonts w:hint="eastAsia"/>
          <w:sz w:val="24"/>
        </w:rPr>
        <w:t>排</w:t>
      </w:r>
      <w:r>
        <w:rPr>
          <w:rFonts w:hint="eastAsia"/>
          <w:sz w:val="24"/>
        </w:rPr>
        <w:t>61</w:t>
      </w:r>
      <w:r>
        <w:rPr>
          <w:rFonts w:hint="eastAsia"/>
          <w:sz w:val="24"/>
        </w:rPr>
        <w:t>块</w:t>
      </w:r>
      <w:r>
        <w:rPr>
          <w:sz w:val="24"/>
        </w:rPr>
        <w:t>隶属于新疆新春石油开发有限责任公司采油管理</w:t>
      </w:r>
      <w:r>
        <w:rPr>
          <w:rFonts w:hint="eastAsia"/>
          <w:sz w:val="24"/>
        </w:rPr>
        <w:t>三区、注水部分隶属于新疆新春石油开发有限责任公司采油管理一区。</w:t>
      </w:r>
      <w:r>
        <w:rPr>
          <w:rFonts w:hint="eastAsia"/>
          <w:sz w:val="24"/>
        </w:rPr>
        <w:t>本工程</w:t>
      </w:r>
      <w:r>
        <w:rPr>
          <w:rFonts w:hint="eastAsia"/>
          <w:sz w:val="24"/>
        </w:rPr>
        <w:t>运营期</w:t>
      </w:r>
      <w:r>
        <w:rPr>
          <w:sz w:val="24"/>
        </w:rPr>
        <w:t>不新增劳动定员，日常运营全部由春风油田运营人员负责调剂。</w:t>
      </w:r>
    </w:p>
    <w:p w:rsidR="00EE4502" w:rsidRDefault="00FD45A3">
      <w:pPr>
        <w:pStyle w:val="33"/>
        <w:numPr>
          <w:ilvl w:val="2"/>
          <w:numId w:val="30"/>
        </w:numPr>
        <w:spacing w:line="360" w:lineRule="auto"/>
        <w:ind w:left="0" w:firstLine="0"/>
        <w:rPr>
          <w:spacing w:val="0"/>
          <w:sz w:val="24"/>
          <w:szCs w:val="24"/>
        </w:rPr>
      </w:pPr>
      <w:bookmarkStart w:id="90" w:name="_Toc327897340"/>
      <w:r>
        <w:rPr>
          <w:spacing w:val="0"/>
          <w:sz w:val="24"/>
          <w:szCs w:val="24"/>
        </w:rPr>
        <w:t>油气资源概况</w:t>
      </w:r>
      <w:bookmarkEnd w:id="90"/>
    </w:p>
    <w:p w:rsidR="00EE4502" w:rsidRDefault="00FD45A3">
      <w:pPr>
        <w:pStyle w:val="41"/>
        <w:numPr>
          <w:ilvl w:val="3"/>
          <w:numId w:val="30"/>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hint="eastAsia"/>
          <w:bCs w:val="0"/>
          <w:sz w:val="24"/>
          <w:szCs w:val="24"/>
        </w:rPr>
        <w:t>工程</w:t>
      </w:r>
      <w:r>
        <w:rPr>
          <w:rFonts w:ascii="Times New Roman" w:eastAsia="宋体" w:hAnsi="Times New Roman" w:hint="eastAsia"/>
          <w:bCs w:val="0"/>
          <w:sz w:val="24"/>
          <w:szCs w:val="24"/>
        </w:rPr>
        <w:t>区位置及勘探开发概况</w:t>
      </w:r>
    </w:p>
    <w:p w:rsidR="00EE4502" w:rsidRDefault="00FD45A3">
      <w:pPr>
        <w:spacing w:line="360" w:lineRule="auto"/>
        <w:ind w:firstLine="482"/>
        <w:rPr>
          <w:sz w:val="24"/>
        </w:rPr>
      </w:pPr>
      <w:r>
        <w:rPr>
          <w:rFonts w:hint="eastAsia"/>
          <w:sz w:val="24"/>
        </w:rPr>
        <w:t>排</w:t>
      </w:r>
      <w:r>
        <w:rPr>
          <w:rFonts w:hint="eastAsia"/>
          <w:sz w:val="24"/>
        </w:rPr>
        <w:t>61</w:t>
      </w:r>
      <w:r>
        <w:rPr>
          <w:rFonts w:hint="eastAsia"/>
          <w:sz w:val="24"/>
        </w:rPr>
        <w:t>块火成岩油藏位于春风油田东北部，行政区划上属于新疆维吾尔自治区克拉玛依市前山涝坝镇，区域构造上位于准噶尔盆地西部隆起车排子凸起的东北部。区块面积</w:t>
      </w:r>
      <w:r>
        <w:rPr>
          <w:rFonts w:hint="eastAsia"/>
          <w:sz w:val="24"/>
        </w:rPr>
        <w:t>7.4km</w:t>
      </w:r>
      <w:r>
        <w:rPr>
          <w:rFonts w:hint="eastAsia"/>
          <w:sz w:val="24"/>
          <w:vertAlign w:val="superscript"/>
        </w:rPr>
        <w:t>2</w:t>
      </w:r>
      <w:r>
        <w:rPr>
          <w:rFonts w:hint="eastAsia"/>
          <w:sz w:val="24"/>
        </w:rPr>
        <w:t>，上报控制储量</w:t>
      </w:r>
      <w:r>
        <w:rPr>
          <w:rFonts w:hint="eastAsia"/>
          <w:sz w:val="24"/>
        </w:rPr>
        <w:t>1245</w:t>
      </w:r>
      <w:r>
        <w:rPr>
          <w:rFonts w:hint="eastAsia"/>
          <w:sz w:val="24"/>
        </w:rPr>
        <w:t>×</w:t>
      </w:r>
      <w:r>
        <w:rPr>
          <w:rFonts w:hint="eastAsia"/>
          <w:sz w:val="24"/>
        </w:rPr>
        <w:t>10</w:t>
      </w:r>
      <w:r>
        <w:rPr>
          <w:rFonts w:hint="eastAsia"/>
          <w:sz w:val="24"/>
          <w:vertAlign w:val="superscript"/>
        </w:rPr>
        <w:t>4</w:t>
      </w:r>
      <w:r>
        <w:rPr>
          <w:rFonts w:hint="eastAsia"/>
          <w:sz w:val="24"/>
        </w:rPr>
        <w:t>t</w:t>
      </w:r>
      <w:r>
        <w:rPr>
          <w:rFonts w:hint="eastAsia"/>
          <w:sz w:val="24"/>
        </w:rPr>
        <w:t>。含油层系为石炭系，岩性以溢流亚相安山岩、沉积亚相凝灰岩为主，储层为裂缝、溶蚀孔洞型储层。顶面埋深</w:t>
      </w:r>
      <w:r>
        <w:rPr>
          <w:rFonts w:hint="eastAsia"/>
          <w:sz w:val="24"/>
        </w:rPr>
        <w:t>300~1200m</w:t>
      </w:r>
      <w:r>
        <w:rPr>
          <w:rFonts w:hint="eastAsia"/>
          <w:sz w:val="24"/>
        </w:rPr>
        <w:t>，为多期火山喷发形成的火山岩储层，油藏类型为稠油裂缝型油藏。</w:t>
      </w:r>
      <w:r>
        <w:rPr>
          <w:rFonts w:hint="eastAsia"/>
          <w:sz w:val="24"/>
        </w:rPr>
        <w:lastRenderedPageBreak/>
        <w:t>工程研究</w:t>
      </w:r>
      <w:r>
        <w:rPr>
          <w:rFonts w:hint="eastAsia"/>
          <w:sz w:val="24"/>
        </w:rPr>
        <w:t>区的断裂较为发育，断层数量多，级别低，断距小，倾角大且近于直立，多为近南北走向。主要目的层位是石炭系希贝库拉斯组的火山岩地层</w:t>
      </w:r>
      <w:r>
        <w:rPr>
          <w:rFonts w:hint="eastAsia"/>
          <w:sz w:val="24"/>
        </w:rPr>
        <w:t>。</w:t>
      </w:r>
    </w:p>
    <w:p w:rsidR="00EE4502" w:rsidRDefault="00FD45A3">
      <w:pPr>
        <w:spacing w:line="360" w:lineRule="auto"/>
        <w:ind w:firstLineChars="200" w:firstLine="480"/>
        <w:rPr>
          <w:sz w:val="24"/>
        </w:rPr>
      </w:pPr>
      <w:r>
        <w:rPr>
          <w:rFonts w:hint="eastAsia"/>
          <w:sz w:val="24"/>
        </w:rPr>
        <w:t>在评价</w:t>
      </w:r>
      <w:r>
        <w:rPr>
          <w:rFonts w:hint="eastAsia"/>
          <w:sz w:val="24"/>
        </w:rPr>
        <w:t>及建产的过程中，油藏认识也不断深入，由最初的“断块基质”控藏的认识逐渐深化为“断</w:t>
      </w:r>
      <w:r>
        <w:rPr>
          <w:rFonts w:hint="eastAsia"/>
          <w:sz w:val="24"/>
        </w:rPr>
        <w:t>-</w:t>
      </w:r>
      <w:r>
        <w:rPr>
          <w:rFonts w:hint="eastAsia"/>
          <w:sz w:val="24"/>
        </w:rPr>
        <w:t>缝”控藏为主的认识，评价方式也由评价断块向评价断层、裂缝转变。近期在勘探开发一体化评价认识的基础上，优选排</w:t>
      </w:r>
      <w:r>
        <w:rPr>
          <w:rFonts w:hint="eastAsia"/>
          <w:sz w:val="24"/>
        </w:rPr>
        <w:t>61</w:t>
      </w:r>
      <w:r>
        <w:rPr>
          <w:rFonts w:hint="eastAsia"/>
          <w:sz w:val="24"/>
        </w:rPr>
        <w:t>井区开展产能建设</w:t>
      </w:r>
      <w:r>
        <w:rPr>
          <w:rFonts w:hint="eastAsia"/>
          <w:sz w:val="24"/>
        </w:rPr>
        <w:t>。</w:t>
      </w:r>
    </w:p>
    <w:p w:rsidR="00EE4502" w:rsidRDefault="00FD45A3">
      <w:pPr>
        <w:pStyle w:val="41"/>
        <w:numPr>
          <w:ilvl w:val="3"/>
          <w:numId w:val="30"/>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hint="eastAsia"/>
          <w:bCs w:val="0"/>
          <w:sz w:val="24"/>
          <w:szCs w:val="24"/>
        </w:rPr>
        <w:t>石炭系油藏储量上报情况</w:t>
      </w:r>
    </w:p>
    <w:p w:rsidR="00EE4502" w:rsidRDefault="00FD45A3">
      <w:pPr>
        <w:spacing w:line="360" w:lineRule="auto"/>
        <w:ind w:firstLine="482"/>
        <w:rPr>
          <w:sz w:val="24"/>
        </w:rPr>
      </w:pPr>
      <w:r>
        <w:rPr>
          <w:rFonts w:hint="eastAsia"/>
          <w:sz w:val="24"/>
        </w:rPr>
        <w:t>春风油田石炭系储量上报工作始于</w:t>
      </w:r>
      <w:r>
        <w:rPr>
          <w:rFonts w:hint="eastAsia"/>
          <w:sz w:val="24"/>
        </w:rPr>
        <w:t>2013</w:t>
      </w:r>
      <w:r>
        <w:rPr>
          <w:rFonts w:hint="eastAsia"/>
          <w:sz w:val="24"/>
        </w:rPr>
        <w:t>年，首批在排</w:t>
      </w:r>
      <w:r>
        <w:rPr>
          <w:rFonts w:hint="eastAsia"/>
          <w:sz w:val="24"/>
        </w:rPr>
        <w:t>61</w:t>
      </w:r>
      <w:r>
        <w:rPr>
          <w:rFonts w:hint="eastAsia"/>
          <w:sz w:val="24"/>
        </w:rPr>
        <w:t>及排</w:t>
      </w:r>
      <w:r>
        <w:rPr>
          <w:rFonts w:hint="eastAsia"/>
          <w:sz w:val="24"/>
        </w:rPr>
        <w:t>66</w:t>
      </w:r>
      <w:r>
        <w:rPr>
          <w:rFonts w:hint="eastAsia"/>
          <w:sz w:val="24"/>
        </w:rPr>
        <w:t>块上报控制储量，</w:t>
      </w:r>
      <w:r>
        <w:rPr>
          <w:rFonts w:hint="eastAsia"/>
          <w:sz w:val="24"/>
        </w:rPr>
        <w:t>2019</w:t>
      </w:r>
      <w:r>
        <w:rPr>
          <w:rFonts w:hint="eastAsia"/>
          <w:sz w:val="24"/>
        </w:rPr>
        <w:t>年开始上报探明储量，截至目前，合计上报探明储量</w:t>
      </w:r>
      <w:r>
        <w:rPr>
          <w:rFonts w:hint="eastAsia"/>
          <w:sz w:val="24"/>
        </w:rPr>
        <w:t>4525</w:t>
      </w:r>
      <w:r>
        <w:rPr>
          <w:rFonts w:hint="eastAsia"/>
          <w:sz w:val="24"/>
        </w:rPr>
        <w:t>×</w:t>
      </w:r>
      <w:r>
        <w:rPr>
          <w:rFonts w:hint="eastAsia"/>
          <w:sz w:val="24"/>
        </w:rPr>
        <w:t>10</w:t>
      </w:r>
      <w:r>
        <w:rPr>
          <w:rFonts w:hint="eastAsia"/>
          <w:sz w:val="24"/>
          <w:vertAlign w:val="superscript"/>
        </w:rPr>
        <w:t>4</w:t>
      </w:r>
      <w:r>
        <w:rPr>
          <w:rFonts w:hint="eastAsia"/>
          <w:sz w:val="24"/>
        </w:rPr>
        <w:t>t</w:t>
      </w:r>
      <w:r>
        <w:rPr>
          <w:rFonts w:hint="eastAsia"/>
          <w:sz w:val="24"/>
        </w:rPr>
        <w:t>，上报控制储量</w:t>
      </w:r>
      <w:r>
        <w:rPr>
          <w:rFonts w:hint="eastAsia"/>
          <w:sz w:val="24"/>
        </w:rPr>
        <w:t>2135</w:t>
      </w:r>
      <w:r>
        <w:rPr>
          <w:rFonts w:hint="eastAsia"/>
          <w:sz w:val="24"/>
        </w:rPr>
        <w:t>×</w:t>
      </w:r>
      <w:r>
        <w:rPr>
          <w:rFonts w:hint="eastAsia"/>
          <w:sz w:val="24"/>
        </w:rPr>
        <w:t>10</w:t>
      </w:r>
      <w:r>
        <w:rPr>
          <w:rFonts w:hint="eastAsia"/>
          <w:sz w:val="24"/>
          <w:vertAlign w:val="superscript"/>
        </w:rPr>
        <w:t>4</w:t>
      </w:r>
      <w:r>
        <w:rPr>
          <w:rFonts w:hint="eastAsia"/>
          <w:sz w:val="24"/>
        </w:rPr>
        <w:t>t</w:t>
      </w:r>
      <w:r>
        <w:rPr>
          <w:rFonts w:hint="eastAsia"/>
          <w:sz w:val="24"/>
        </w:rPr>
        <w:t>，其中方案区所在的排</w:t>
      </w:r>
      <w:r>
        <w:rPr>
          <w:rFonts w:hint="eastAsia"/>
          <w:sz w:val="24"/>
        </w:rPr>
        <w:t>61</w:t>
      </w:r>
      <w:r>
        <w:rPr>
          <w:rFonts w:hint="eastAsia"/>
          <w:sz w:val="24"/>
        </w:rPr>
        <w:t>块上报控制储量</w:t>
      </w:r>
      <w:r>
        <w:rPr>
          <w:rFonts w:hint="eastAsia"/>
          <w:sz w:val="24"/>
        </w:rPr>
        <w:t>1245</w:t>
      </w:r>
      <w:r>
        <w:rPr>
          <w:rFonts w:hint="eastAsia"/>
          <w:sz w:val="24"/>
        </w:rPr>
        <w:t>×</w:t>
      </w:r>
      <w:r>
        <w:rPr>
          <w:rFonts w:hint="eastAsia"/>
          <w:sz w:val="24"/>
        </w:rPr>
        <w:t>10</w:t>
      </w:r>
      <w:r>
        <w:rPr>
          <w:rFonts w:hint="eastAsia"/>
          <w:sz w:val="24"/>
          <w:vertAlign w:val="superscript"/>
        </w:rPr>
        <w:t>4</w:t>
      </w:r>
      <w:r>
        <w:rPr>
          <w:rFonts w:hint="eastAsia"/>
          <w:sz w:val="24"/>
        </w:rPr>
        <w:t>t</w:t>
      </w:r>
      <w:r>
        <w:rPr>
          <w:rFonts w:hint="eastAsia"/>
          <w:sz w:val="24"/>
        </w:rPr>
        <w:t>。</w:t>
      </w:r>
    </w:p>
    <w:p w:rsidR="00EE4502" w:rsidRDefault="00FD45A3">
      <w:pPr>
        <w:pStyle w:val="41"/>
        <w:numPr>
          <w:ilvl w:val="3"/>
          <w:numId w:val="30"/>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hint="eastAsia"/>
          <w:bCs w:val="0"/>
          <w:sz w:val="24"/>
          <w:szCs w:val="24"/>
        </w:rPr>
        <w:t>油藏开发现状简况</w:t>
      </w:r>
    </w:p>
    <w:p w:rsidR="00EE4502" w:rsidRDefault="00FD45A3">
      <w:pPr>
        <w:spacing w:line="360" w:lineRule="auto"/>
        <w:ind w:firstLineChars="200" w:firstLine="480"/>
        <w:rPr>
          <w:sz w:val="24"/>
        </w:rPr>
      </w:pPr>
      <w:r>
        <w:rPr>
          <w:rFonts w:hint="eastAsia"/>
          <w:sz w:val="24"/>
        </w:rPr>
        <w:t>春风油田石炭系火成岩自开发以来经历了评价试采阶段和主体区、扩边区建产阶段。油藏评价从</w:t>
      </w:r>
      <w:r>
        <w:rPr>
          <w:rFonts w:hint="eastAsia"/>
          <w:sz w:val="24"/>
        </w:rPr>
        <w:t>2015</w:t>
      </w:r>
      <w:r>
        <w:rPr>
          <w:rFonts w:hint="eastAsia"/>
          <w:sz w:val="24"/>
        </w:rPr>
        <w:t>年开始，首批打了</w:t>
      </w:r>
      <w:r>
        <w:rPr>
          <w:rFonts w:hint="eastAsia"/>
          <w:sz w:val="24"/>
        </w:rPr>
        <w:t>8</w:t>
      </w:r>
      <w:r>
        <w:rPr>
          <w:rFonts w:hint="eastAsia"/>
          <w:sz w:val="24"/>
        </w:rPr>
        <w:t>口评价井（水平井），依托滚动评价认识，于</w:t>
      </w:r>
      <w:r>
        <w:rPr>
          <w:rFonts w:hint="eastAsia"/>
          <w:sz w:val="24"/>
        </w:rPr>
        <w:t>2018~2020</w:t>
      </w:r>
      <w:r>
        <w:rPr>
          <w:rFonts w:hint="eastAsia"/>
          <w:sz w:val="24"/>
        </w:rPr>
        <w:t>年先后完成了排</w:t>
      </w:r>
      <w:r>
        <w:rPr>
          <w:rFonts w:hint="eastAsia"/>
          <w:sz w:val="24"/>
        </w:rPr>
        <w:t>66</w:t>
      </w:r>
      <w:r>
        <w:rPr>
          <w:rFonts w:hint="eastAsia"/>
          <w:sz w:val="24"/>
        </w:rPr>
        <w:t>主体区、排</w:t>
      </w:r>
      <w:r>
        <w:rPr>
          <w:rFonts w:hint="eastAsia"/>
          <w:sz w:val="24"/>
        </w:rPr>
        <w:t>663</w:t>
      </w:r>
      <w:r>
        <w:rPr>
          <w:rFonts w:hint="eastAsia"/>
          <w:sz w:val="24"/>
        </w:rPr>
        <w:t>及排</w:t>
      </w:r>
      <w:r>
        <w:rPr>
          <w:rFonts w:hint="eastAsia"/>
          <w:sz w:val="24"/>
        </w:rPr>
        <w:t>673</w:t>
      </w:r>
      <w:r>
        <w:rPr>
          <w:rFonts w:hint="eastAsia"/>
          <w:sz w:val="24"/>
        </w:rPr>
        <w:t>扩边区三期建产，完钻水平井</w:t>
      </w:r>
      <w:r>
        <w:rPr>
          <w:rFonts w:hint="eastAsia"/>
          <w:sz w:val="24"/>
        </w:rPr>
        <w:t>36</w:t>
      </w:r>
      <w:r>
        <w:rPr>
          <w:rFonts w:hint="eastAsia"/>
          <w:sz w:val="24"/>
        </w:rPr>
        <w:t>口，累积建产</w:t>
      </w:r>
      <w:r>
        <w:rPr>
          <w:rFonts w:hint="eastAsia"/>
          <w:sz w:val="24"/>
        </w:rPr>
        <w:t>7.2</w:t>
      </w:r>
      <w:r>
        <w:rPr>
          <w:rFonts w:hint="eastAsia"/>
          <w:sz w:val="24"/>
        </w:rPr>
        <w:t>×</w:t>
      </w:r>
      <w:r>
        <w:rPr>
          <w:rFonts w:hint="eastAsia"/>
          <w:sz w:val="24"/>
        </w:rPr>
        <w:t>10</w:t>
      </w:r>
      <w:r>
        <w:rPr>
          <w:rFonts w:hint="eastAsia"/>
          <w:sz w:val="24"/>
          <w:vertAlign w:val="superscript"/>
        </w:rPr>
        <w:t>4</w:t>
      </w:r>
      <w:r>
        <w:rPr>
          <w:rFonts w:hint="eastAsia"/>
          <w:sz w:val="24"/>
        </w:rPr>
        <w:t>t</w:t>
      </w:r>
      <w:r>
        <w:rPr>
          <w:rFonts w:hint="eastAsia"/>
          <w:sz w:val="24"/>
        </w:rPr>
        <w:t>。在评价及建产的过程中，油藏认识由最初的“断块基质”控藏转变为“断</w:t>
      </w:r>
      <w:r>
        <w:rPr>
          <w:rFonts w:hint="eastAsia"/>
          <w:sz w:val="24"/>
        </w:rPr>
        <w:t>-</w:t>
      </w:r>
      <w:r>
        <w:rPr>
          <w:rFonts w:hint="eastAsia"/>
          <w:sz w:val="24"/>
        </w:rPr>
        <w:t>缝”控藏，评价方式由断块评价向断层、裂缝评价转变。</w:t>
      </w:r>
    </w:p>
    <w:p w:rsidR="00EE4502" w:rsidRDefault="00FD45A3">
      <w:pPr>
        <w:spacing w:line="360" w:lineRule="auto"/>
        <w:ind w:firstLineChars="200" w:firstLine="480"/>
        <w:rPr>
          <w:sz w:val="24"/>
        </w:rPr>
      </w:pPr>
      <w:r>
        <w:rPr>
          <w:rFonts w:hint="eastAsia"/>
          <w:sz w:val="24"/>
        </w:rPr>
        <w:t>截至</w:t>
      </w:r>
      <w:r>
        <w:rPr>
          <w:rFonts w:hint="eastAsia"/>
          <w:sz w:val="24"/>
        </w:rPr>
        <w:t>2024</w:t>
      </w:r>
      <w:r>
        <w:rPr>
          <w:rFonts w:hint="eastAsia"/>
          <w:sz w:val="24"/>
        </w:rPr>
        <w:t>年底，临近的排</w:t>
      </w:r>
      <w:r>
        <w:rPr>
          <w:rFonts w:hint="eastAsia"/>
          <w:sz w:val="24"/>
        </w:rPr>
        <w:t>66</w:t>
      </w:r>
      <w:r>
        <w:rPr>
          <w:rFonts w:hint="eastAsia"/>
          <w:sz w:val="24"/>
        </w:rPr>
        <w:t>老区及外围累计投产油井</w:t>
      </w:r>
      <w:r>
        <w:rPr>
          <w:rFonts w:hint="eastAsia"/>
          <w:sz w:val="24"/>
        </w:rPr>
        <w:t>72</w:t>
      </w:r>
      <w:r>
        <w:rPr>
          <w:rFonts w:hint="eastAsia"/>
          <w:sz w:val="24"/>
        </w:rPr>
        <w:t>口，开井</w:t>
      </w:r>
      <w:r>
        <w:rPr>
          <w:rFonts w:hint="eastAsia"/>
          <w:sz w:val="24"/>
        </w:rPr>
        <w:t>57</w:t>
      </w:r>
      <w:r>
        <w:rPr>
          <w:rFonts w:hint="eastAsia"/>
          <w:sz w:val="24"/>
        </w:rPr>
        <w:t>口，其中直井</w:t>
      </w:r>
      <w:r>
        <w:rPr>
          <w:rFonts w:hint="eastAsia"/>
          <w:sz w:val="24"/>
        </w:rPr>
        <w:t>16</w:t>
      </w:r>
      <w:r>
        <w:rPr>
          <w:rFonts w:hint="eastAsia"/>
          <w:sz w:val="24"/>
        </w:rPr>
        <w:t>口</w:t>
      </w:r>
      <w:r>
        <w:rPr>
          <w:rFonts w:hint="eastAsia"/>
          <w:sz w:val="24"/>
        </w:rPr>
        <w:t>/</w:t>
      </w:r>
      <w:r>
        <w:rPr>
          <w:rFonts w:hint="eastAsia"/>
          <w:sz w:val="24"/>
        </w:rPr>
        <w:t>开</w:t>
      </w:r>
      <w:r>
        <w:rPr>
          <w:rFonts w:hint="eastAsia"/>
          <w:sz w:val="24"/>
        </w:rPr>
        <w:t>12</w:t>
      </w:r>
      <w:r>
        <w:rPr>
          <w:rFonts w:hint="eastAsia"/>
          <w:sz w:val="24"/>
        </w:rPr>
        <w:t>口，水平井</w:t>
      </w:r>
      <w:r>
        <w:rPr>
          <w:rFonts w:hint="eastAsia"/>
          <w:sz w:val="24"/>
        </w:rPr>
        <w:t>56</w:t>
      </w:r>
      <w:r>
        <w:rPr>
          <w:rFonts w:hint="eastAsia"/>
          <w:sz w:val="24"/>
        </w:rPr>
        <w:t>口</w:t>
      </w:r>
      <w:r>
        <w:rPr>
          <w:rFonts w:hint="eastAsia"/>
          <w:sz w:val="24"/>
        </w:rPr>
        <w:t>/</w:t>
      </w:r>
      <w:r>
        <w:rPr>
          <w:rFonts w:hint="eastAsia"/>
          <w:sz w:val="24"/>
        </w:rPr>
        <w:t>开</w:t>
      </w:r>
      <w:r>
        <w:rPr>
          <w:rFonts w:hint="eastAsia"/>
          <w:sz w:val="24"/>
        </w:rPr>
        <w:t>43</w:t>
      </w:r>
      <w:r>
        <w:rPr>
          <w:rFonts w:hint="eastAsia"/>
          <w:sz w:val="24"/>
        </w:rPr>
        <w:t>口，</w:t>
      </w:r>
      <w:r>
        <w:rPr>
          <w:rFonts w:hint="eastAsia"/>
          <w:sz w:val="24"/>
        </w:rPr>
        <w:t>平均单井日液</w:t>
      </w:r>
      <w:r>
        <w:rPr>
          <w:rFonts w:hint="eastAsia"/>
          <w:sz w:val="24"/>
        </w:rPr>
        <w:t>7.3t/d</w:t>
      </w:r>
      <w:r>
        <w:rPr>
          <w:rFonts w:hint="eastAsia"/>
          <w:sz w:val="24"/>
        </w:rPr>
        <w:t>，平均单井日油</w:t>
      </w:r>
      <w:r>
        <w:rPr>
          <w:rFonts w:hint="eastAsia"/>
          <w:sz w:val="24"/>
        </w:rPr>
        <w:t>3.1t/d</w:t>
      </w:r>
      <w:r>
        <w:rPr>
          <w:rFonts w:hint="eastAsia"/>
          <w:sz w:val="24"/>
        </w:rPr>
        <w:t>，综合含水</w:t>
      </w:r>
      <w:r>
        <w:rPr>
          <w:rFonts w:hint="eastAsia"/>
          <w:sz w:val="24"/>
        </w:rPr>
        <w:t>57%</w:t>
      </w:r>
      <w:r>
        <w:rPr>
          <w:rFonts w:hint="eastAsia"/>
          <w:sz w:val="24"/>
        </w:rPr>
        <w:t>，累产油</w:t>
      </w:r>
      <w:r>
        <w:rPr>
          <w:rFonts w:hint="eastAsia"/>
          <w:sz w:val="24"/>
        </w:rPr>
        <w:t>48.9</w:t>
      </w:r>
      <w:r>
        <w:rPr>
          <w:rFonts w:hint="eastAsia"/>
          <w:sz w:val="24"/>
        </w:rPr>
        <w:t>×</w:t>
      </w:r>
      <w:r>
        <w:rPr>
          <w:rFonts w:hint="eastAsia"/>
          <w:sz w:val="24"/>
        </w:rPr>
        <w:t>10</w:t>
      </w:r>
      <w:r>
        <w:rPr>
          <w:rFonts w:hint="eastAsia"/>
          <w:sz w:val="24"/>
          <w:vertAlign w:val="superscript"/>
        </w:rPr>
        <w:t>4</w:t>
      </w:r>
      <w:r>
        <w:rPr>
          <w:rFonts w:hint="eastAsia"/>
          <w:sz w:val="24"/>
        </w:rPr>
        <w:t>t</w:t>
      </w:r>
      <w:r>
        <w:rPr>
          <w:rFonts w:hint="eastAsia"/>
          <w:sz w:val="24"/>
        </w:rPr>
        <w:t>，整体开发态势较平稳。</w:t>
      </w:r>
    </w:p>
    <w:p w:rsidR="00EE4502" w:rsidRDefault="00FD45A3">
      <w:pPr>
        <w:pStyle w:val="41"/>
        <w:numPr>
          <w:ilvl w:val="3"/>
          <w:numId w:val="30"/>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hint="eastAsia"/>
          <w:bCs w:val="0"/>
          <w:sz w:val="24"/>
          <w:szCs w:val="24"/>
        </w:rPr>
        <w:t>地层特征</w:t>
      </w:r>
    </w:p>
    <w:p w:rsidR="00EE4502" w:rsidRDefault="00FD45A3">
      <w:pPr>
        <w:spacing w:line="360" w:lineRule="auto"/>
        <w:ind w:firstLine="482"/>
        <w:rPr>
          <w:sz w:val="24"/>
        </w:rPr>
      </w:pPr>
      <w:r>
        <w:rPr>
          <w:rFonts w:hint="eastAsia"/>
          <w:sz w:val="24"/>
        </w:rPr>
        <w:t>本区自下而上发育了石炭系、侏罗系、白垩系、新近系及第四系西域组地层，石炭系为目标层系，与上覆地层呈不整合接触。石炭系自下而上可分为太勒古拉组（</w:t>
      </w:r>
      <w:r>
        <w:rPr>
          <w:rFonts w:hint="eastAsia"/>
          <w:sz w:val="24"/>
        </w:rPr>
        <w:t>C</w:t>
      </w:r>
      <w:r>
        <w:rPr>
          <w:rFonts w:hint="eastAsia"/>
          <w:sz w:val="24"/>
          <w:vertAlign w:val="subscript"/>
        </w:rPr>
        <w:t>1</w:t>
      </w:r>
      <w:r>
        <w:rPr>
          <w:rFonts w:hint="eastAsia"/>
          <w:sz w:val="24"/>
        </w:rPr>
        <w:t>t</w:t>
      </w:r>
      <w:r>
        <w:rPr>
          <w:rFonts w:hint="eastAsia"/>
          <w:sz w:val="24"/>
        </w:rPr>
        <w:t>）、包古图组（</w:t>
      </w:r>
      <w:r>
        <w:rPr>
          <w:rFonts w:hint="eastAsia"/>
          <w:sz w:val="24"/>
        </w:rPr>
        <w:t>C</w:t>
      </w:r>
      <w:r>
        <w:rPr>
          <w:rFonts w:hint="eastAsia"/>
          <w:sz w:val="24"/>
          <w:vertAlign w:val="subscript"/>
        </w:rPr>
        <w:t>1-2</w:t>
      </w:r>
      <w:r>
        <w:rPr>
          <w:rFonts w:hint="eastAsia"/>
          <w:sz w:val="24"/>
        </w:rPr>
        <w:t>b</w:t>
      </w:r>
      <w:r>
        <w:rPr>
          <w:rFonts w:hint="eastAsia"/>
          <w:sz w:val="24"/>
        </w:rPr>
        <w:t>）和希贝库拉斯组（</w:t>
      </w:r>
      <w:r>
        <w:rPr>
          <w:rFonts w:hint="eastAsia"/>
          <w:sz w:val="24"/>
        </w:rPr>
        <w:t>C</w:t>
      </w:r>
      <w:r>
        <w:rPr>
          <w:rFonts w:hint="eastAsia"/>
          <w:sz w:val="24"/>
          <w:vertAlign w:val="subscript"/>
        </w:rPr>
        <w:t>2</w:t>
      </w:r>
      <w:r>
        <w:rPr>
          <w:rFonts w:hint="eastAsia"/>
          <w:sz w:val="24"/>
        </w:rPr>
        <w:t>x</w:t>
      </w:r>
      <w:r>
        <w:rPr>
          <w:rFonts w:hint="eastAsia"/>
          <w:sz w:val="24"/>
        </w:rPr>
        <w:t>），其中</w:t>
      </w:r>
      <w:r>
        <w:rPr>
          <w:rFonts w:hint="eastAsia"/>
          <w:sz w:val="24"/>
        </w:rPr>
        <w:t>C</w:t>
      </w:r>
      <w:r>
        <w:rPr>
          <w:rFonts w:hint="eastAsia"/>
          <w:sz w:val="24"/>
          <w:vertAlign w:val="subscript"/>
        </w:rPr>
        <w:t>1</w:t>
      </w:r>
      <w:r>
        <w:rPr>
          <w:rFonts w:hint="eastAsia"/>
          <w:sz w:val="24"/>
        </w:rPr>
        <w:t>t</w:t>
      </w:r>
      <w:r>
        <w:rPr>
          <w:rFonts w:hint="eastAsia"/>
          <w:sz w:val="24"/>
        </w:rPr>
        <w:t>和</w:t>
      </w:r>
      <w:r>
        <w:rPr>
          <w:rFonts w:hint="eastAsia"/>
          <w:sz w:val="24"/>
        </w:rPr>
        <w:t>C</w:t>
      </w:r>
      <w:r>
        <w:rPr>
          <w:rFonts w:hint="eastAsia"/>
          <w:sz w:val="24"/>
          <w:vertAlign w:val="subscript"/>
        </w:rPr>
        <w:t>2</w:t>
      </w:r>
      <w:r>
        <w:rPr>
          <w:rFonts w:hint="eastAsia"/>
          <w:sz w:val="24"/>
        </w:rPr>
        <w:t>x</w:t>
      </w:r>
      <w:r>
        <w:rPr>
          <w:rFonts w:hint="eastAsia"/>
          <w:sz w:val="24"/>
        </w:rPr>
        <w:t>沉积时期为火山活动的活跃期，主要发育一套以火成岩为主的地层；而</w:t>
      </w:r>
      <w:r>
        <w:rPr>
          <w:rFonts w:hint="eastAsia"/>
          <w:sz w:val="24"/>
        </w:rPr>
        <w:t>C</w:t>
      </w:r>
      <w:r>
        <w:rPr>
          <w:rFonts w:hint="eastAsia"/>
          <w:sz w:val="24"/>
          <w:vertAlign w:val="subscript"/>
        </w:rPr>
        <w:t>1-2</w:t>
      </w:r>
      <w:r>
        <w:rPr>
          <w:rFonts w:hint="eastAsia"/>
          <w:sz w:val="24"/>
        </w:rPr>
        <w:t>b</w:t>
      </w:r>
      <w:r>
        <w:rPr>
          <w:rFonts w:hint="eastAsia"/>
          <w:sz w:val="24"/>
        </w:rPr>
        <w:t>时期为火山喷发间歇期，主要发育一套沉积岩和火山沉积岩为主的地层。整体上，石炭系纵向上呈现两套火成</w:t>
      </w:r>
      <w:r>
        <w:rPr>
          <w:rFonts w:hint="eastAsia"/>
          <w:sz w:val="24"/>
        </w:rPr>
        <w:t>岩夹一套沉积岩的岩石组合序列。</w:t>
      </w:r>
    </w:p>
    <w:p w:rsidR="00EE4502" w:rsidRDefault="00FD45A3">
      <w:pPr>
        <w:spacing w:line="360" w:lineRule="auto"/>
        <w:jc w:val="center"/>
        <w:rPr>
          <w:rFonts w:eastAsia="黑体"/>
          <w:szCs w:val="21"/>
        </w:rPr>
      </w:pPr>
      <w:r>
        <w:rPr>
          <w:rFonts w:eastAsia="黑体"/>
          <w:szCs w:val="21"/>
        </w:rPr>
        <w:t>表</w:t>
      </w:r>
      <w:r>
        <w:rPr>
          <w:rFonts w:eastAsia="黑体" w:hint="eastAsia"/>
          <w:szCs w:val="21"/>
        </w:rPr>
        <w:t>3-3</w:t>
      </w:r>
      <w:r>
        <w:rPr>
          <w:rFonts w:eastAsia="黑体"/>
          <w:szCs w:val="21"/>
        </w:rPr>
        <w:t xml:space="preserve">-2  </w:t>
      </w:r>
      <w:r>
        <w:rPr>
          <w:rFonts w:eastAsia="黑体"/>
          <w:szCs w:val="21"/>
        </w:rPr>
        <w:t>春风油田</w:t>
      </w:r>
      <w:r>
        <w:rPr>
          <w:rFonts w:eastAsia="黑体" w:hint="eastAsia"/>
          <w:szCs w:val="21"/>
        </w:rPr>
        <w:t>排</w:t>
      </w:r>
      <w:r>
        <w:rPr>
          <w:rFonts w:eastAsia="黑体" w:hint="eastAsia"/>
          <w:szCs w:val="21"/>
        </w:rPr>
        <w:t>61</w:t>
      </w:r>
      <w:r>
        <w:rPr>
          <w:rFonts w:eastAsia="黑体" w:hint="eastAsia"/>
          <w:szCs w:val="21"/>
        </w:rPr>
        <w:t>块</w:t>
      </w:r>
      <w:r>
        <w:rPr>
          <w:rFonts w:eastAsia="黑体"/>
          <w:szCs w:val="21"/>
        </w:rPr>
        <w:t>底层简表</w:t>
      </w:r>
    </w:p>
    <w:tbl>
      <w:tblPr>
        <w:tblW w:w="4998"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82"/>
        <w:gridCol w:w="661"/>
        <w:gridCol w:w="1462"/>
        <w:gridCol w:w="550"/>
        <w:gridCol w:w="685"/>
        <w:gridCol w:w="1205"/>
        <w:gridCol w:w="3074"/>
      </w:tblGrid>
      <w:tr w:rsidR="00EE4502">
        <w:trPr>
          <w:trHeight w:val="397"/>
          <w:jc w:val="center"/>
        </w:trPr>
        <w:tc>
          <w:tcPr>
            <w:tcW w:w="2086" w:type="pct"/>
            <w:gridSpan w:val="4"/>
            <w:tcBorders>
              <w:top w:val="single" w:sz="4" w:space="0" w:color="auto"/>
              <w:left w:val="single" w:sz="4" w:space="0" w:color="auto"/>
              <w:bottom w:val="single" w:sz="4" w:space="0" w:color="auto"/>
              <w:right w:val="single" w:sz="4" w:space="0" w:color="auto"/>
            </w:tcBorders>
            <w:vAlign w:val="center"/>
          </w:tcPr>
          <w:p w:rsidR="00EE4502" w:rsidRDefault="00FD45A3">
            <w:pPr>
              <w:jc w:val="center"/>
              <w:rPr>
                <w:rFonts w:hAnsi="宋体"/>
                <w:kern w:val="21"/>
                <w:szCs w:val="21"/>
              </w:rPr>
            </w:pPr>
            <w:r>
              <w:rPr>
                <w:rFonts w:hAnsi="宋体" w:hint="eastAsia"/>
                <w:kern w:val="21"/>
                <w:szCs w:val="21"/>
              </w:rPr>
              <w:t>层位</w:t>
            </w:r>
          </w:p>
        </w:tc>
        <w:tc>
          <w:tcPr>
            <w:tcW w:w="402" w:type="pct"/>
            <w:vMerge w:val="restart"/>
            <w:tcBorders>
              <w:top w:val="single" w:sz="4" w:space="0" w:color="auto"/>
              <w:left w:val="single" w:sz="4" w:space="0" w:color="auto"/>
              <w:bottom w:val="single" w:sz="4" w:space="0" w:color="auto"/>
              <w:right w:val="single" w:sz="4" w:space="0" w:color="auto"/>
            </w:tcBorders>
            <w:vAlign w:val="center"/>
          </w:tcPr>
          <w:p w:rsidR="00EE4502" w:rsidRDefault="00FD45A3">
            <w:pPr>
              <w:jc w:val="center"/>
              <w:rPr>
                <w:rFonts w:hAnsi="宋体"/>
                <w:kern w:val="21"/>
                <w:szCs w:val="21"/>
              </w:rPr>
            </w:pPr>
            <w:r>
              <w:rPr>
                <w:rFonts w:hAnsi="宋体" w:hint="eastAsia"/>
                <w:kern w:val="21"/>
                <w:szCs w:val="21"/>
              </w:rPr>
              <w:t>层位</w:t>
            </w:r>
          </w:p>
          <w:p w:rsidR="00EE4502" w:rsidRDefault="00FD45A3">
            <w:pPr>
              <w:jc w:val="center"/>
              <w:rPr>
                <w:rFonts w:hAnsi="宋体"/>
                <w:kern w:val="21"/>
                <w:szCs w:val="21"/>
              </w:rPr>
            </w:pPr>
            <w:r>
              <w:rPr>
                <w:rFonts w:hAnsi="宋体" w:hint="eastAsia"/>
                <w:kern w:val="21"/>
                <w:szCs w:val="21"/>
              </w:rPr>
              <w:t>代号</w:t>
            </w:r>
          </w:p>
        </w:tc>
        <w:tc>
          <w:tcPr>
            <w:tcW w:w="707" w:type="pct"/>
            <w:vMerge w:val="restart"/>
            <w:tcBorders>
              <w:top w:val="single" w:sz="4" w:space="0" w:color="auto"/>
              <w:left w:val="single" w:sz="4" w:space="0" w:color="auto"/>
              <w:bottom w:val="single" w:sz="4" w:space="0" w:color="auto"/>
              <w:right w:val="single" w:sz="4" w:space="0" w:color="auto"/>
            </w:tcBorders>
            <w:vAlign w:val="center"/>
          </w:tcPr>
          <w:p w:rsidR="00EE4502" w:rsidRDefault="00FD45A3">
            <w:pPr>
              <w:jc w:val="center"/>
              <w:rPr>
                <w:rFonts w:hAnsi="宋体"/>
                <w:kern w:val="21"/>
                <w:szCs w:val="21"/>
              </w:rPr>
            </w:pPr>
            <w:r>
              <w:rPr>
                <w:rFonts w:hAnsi="宋体" w:hint="eastAsia"/>
                <w:kern w:val="21"/>
                <w:szCs w:val="21"/>
              </w:rPr>
              <w:t>厚度</w:t>
            </w:r>
          </w:p>
          <w:p w:rsidR="00EE4502" w:rsidRDefault="00FD45A3">
            <w:pPr>
              <w:jc w:val="center"/>
              <w:rPr>
                <w:rFonts w:hAnsi="宋体"/>
                <w:kern w:val="21"/>
                <w:szCs w:val="21"/>
              </w:rPr>
            </w:pPr>
            <w:r>
              <w:rPr>
                <w:rFonts w:hAnsi="宋体" w:hint="eastAsia"/>
                <w:kern w:val="21"/>
                <w:szCs w:val="21"/>
              </w:rPr>
              <w:t>(m)</w:t>
            </w:r>
          </w:p>
        </w:tc>
        <w:tc>
          <w:tcPr>
            <w:tcW w:w="1803" w:type="pct"/>
            <w:vMerge w:val="restart"/>
            <w:tcBorders>
              <w:top w:val="single" w:sz="4" w:space="0" w:color="auto"/>
              <w:left w:val="single" w:sz="4" w:space="0" w:color="auto"/>
              <w:bottom w:val="single" w:sz="4" w:space="0" w:color="auto"/>
              <w:right w:val="single" w:sz="4" w:space="0" w:color="auto"/>
            </w:tcBorders>
            <w:vAlign w:val="center"/>
          </w:tcPr>
          <w:p w:rsidR="00EE4502" w:rsidRDefault="00FD45A3">
            <w:pPr>
              <w:jc w:val="center"/>
              <w:rPr>
                <w:rFonts w:hAnsi="宋体"/>
                <w:kern w:val="21"/>
                <w:szCs w:val="21"/>
              </w:rPr>
            </w:pPr>
            <w:r>
              <w:rPr>
                <w:rFonts w:hAnsi="宋体" w:hint="eastAsia"/>
                <w:kern w:val="21"/>
                <w:szCs w:val="21"/>
              </w:rPr>
              <w:t>岩性岩相</w:t>
            </w:r>
          </w:p>
        </w:tc>
      </w:tr>
      <w:tr w:rsidR="00EE4502">
        <w:trPr>
          <w:trHeight w:val="397"/>
          <w:jc w:val="center"/>
        </w:trPr>
        <w:tc>
          <w:tcPr>
            <w:tcW w:w="517" w:type="pct"/>
            <w:tcBorders>
              <w:top w:val="single" w:sz="4" w:space="0" w:color="auto"/>
              <w:left w:val="single" w:sz="4" w:space="0" w:color="auto"/>
              <w:bottom w:val="single" w:sz="4" w:space="0" w:color="auto"/>
              <w:right w:val="single" w:sz="4" w:space="0" w:color="auto"/>
            </w:tcBorders>
            <w:vAlign w:val="center"/>
          </w:tcPr>
          <w:p w:rsidR="00EE4502" w:rsidRDefault="00FD45A3">
            <w:pPr>
              <w:jc w:val="center"/>
              <w:rPr>
                <w:rFonts w:hAnsi="宋体"/>
                <w:kern w:val="21"/>
                <w:szCs w:val="21"/>
              </w:rPr>
            </w:pPr>
            <w:r>
              <w:rPr>
                <w:rFonts w:hAnsi="宋体" w:hint="eastAsia"/>
                <w:kern w:val="21"/>
                <w:szCs w:val="21"/>
              </w:rPr>
              <w:t>系</w:t>
            </w:r>
          </w:p>
        </w:tc>
        <w:tc>
          <w:tcPr>
            <w:tcW w:w="388" w:type="pct"/>
            <w:tcBorders>
              <w:top w:val="single" w:sz="4" w:space="0" w:color="auto"/>
              <w:left w:val="single" w:sz="4" w:space="0" w:color="auto"/>
              <w:bottom w:val="single" w:sz="4" w:space="0" w:color="auto"/>
              <w:right w:val="single" w:sz="4" w:space="0" w:color="auto"/>
            </w:tcBorders>
            <w:vAlign w:val="center"/>
          </w:tcPr>
          <w:p w:rsidR="00EE4502" w:rsidRDefault="00FD45A3">
            <w:pPr>
              <w:jc w:val="center"/>
              <w:rPr>
                <w:rFonts w:hAnsi="宋体"/>
                <w:kern w:val="21"/>
                <w:szCs w:val="21"/>
              </w:rPr>
            </w:pPr>
            <w:r>
              <w:rPr>
                <w:rFonts w:hAnsi="宋体" w:hint="eastAsia"/>
                <w:kern w:val="21"/>
                <w:szCs w:val="21"/>
              </w:rPr>
              <w:t>统</w:t>
            </w:r>
          </w:p>
        </w:tc>
        <w:tc>
          <w:tcPr>
            <w:tcW w:w="858" w:type="pct"/>
            <w:tcBorders>
              <w:top w:val="single" w:sz="4" w:space="0" w:color="auto"/>
              <w:left w:val="single" w:sz="4" w:space="0" w:color="auto"/>
              <w:bottom w:val="single" w:sz="4" w:space="0" w:color="auto"/>
              <w:right w:val="single" w:sz="4" w:space="0" w:color="auto"/>
            </w:tcBorders>
            <w:vAlign w:val="center"/>
          </w:tcPr>
          <w:p w:rsidR="00EE4502" w:rsidRDefault="00FD45A3">
            <w:pPr>
              <w:jc w:val="center"/>
              <w:rPr>
                <w:rFonts w:hAnsi="宋体"/>
                <w:kern w:val="21"/>
                <w:szCs w:val="21"/>
              </w:rPr>
            </w:pPr>
            <w:r>
              <w:rPr>
                <w:rFonts w:hAnsi="宋体" w:hint="eastAsia"/>
                <w:kern w:val="21"/>
                <w:szCs w:val="21"/>
              </w:rPr>
              <w:t>组</w:t>
            </w:r>
          </w:p>
        </w:tc>
        <w:tc>
          <w:tcPr>
            <w:tcW w:w="322" w:type="pct"/>
            <w:tcBorders>
              <w:top w:val="single" w:sz="4" w:space="0" w:color="auto"/>
              <w:left w:val="single" w:sz="4" w:space="0" w:color="auto"/>
              <w:bottom w:val="single" w:sz="4" w:space="0" w:color="auto"/>
              <w:right w:val="single" w:sz="4" w:space="0" w:color="auto"/>
            </w:tcBorders>
            <w:vAlign w:val="center"/>
          </w:tcPr>
          <w:p w:rsidR="00EE4502" w:rsidRDefault="00FD45A3">
            <w:pPr>
              <w:jc w:val="center"/>
              <w:rPr>
                <w:rFonts w:hAnsi="宋体"/>
                <w:kern w:val="21"/>
                <w:szCs w:val="21"/>
              </w:rPr>
            </w:pPr>
            <w:r>
              <w:rPr>
                <w:rFonts w:hAnsi="宋体" w:hint="eastAsia"/>
                <w:kern w:val="21"/>
                <w:szCs w:val="21"/>
              </w:rPr>
              <w:t>段</w:t>
            </w:r>
          </w:p>
        </w:tc>
        <w:tc>
          <w:tcPr>
            <w:tcW w:w="402" w:type="pct"/>
            <w:vMerge/>
            <w:tcBorders>
              <w:top w:val="single" w:sz="4" w:space="0" w:color="auto"/>
              <w:left w:val="single" w:sz="4" w:space="0" w:color="auto"/>
              <w:bottom w:val="single" w:sz="4" w:space="0" w:color="auto"/>
              <w:right w:val="single" w:sz="4" w:space="0" w:color="auto"/>
            </w:tcBorders>
            <w:vAlign w:val="center"/>
          </w:tcPr>
          <w:p w:rsidR="00EE4502" w:rsidRDefault="00EE4502">
            <w:pPr>
              <w:jc w:val="center"/>
              <w:rPr>
                <w:rFonts w:hAnsi="宋体"/>
                <w:kern w:val="21"/>
                <w:szCs w:val="21"/>
              </w:rPr>
            </w:pPr>
          </w:p>
        </w:tc>
        <w:tc>
          <w:tcPr>
            <w:tcW w:w="707" w:type="pct"/>
            <w:vMerge/>
            <w:tcBorders>
              <w:top w:val="single" w:sz="4" w:space="0" w:color="auto"/>
              <w:left w:val="single" w:sz="4" w:space="0" w:color="auto"/>
              <w:bottom w:val="single" w:sz="4" w:space="0" w:color="auto"/>
              <w:right w:val="single" w:sz="4" w:space="0" w:color="auto"/>
            </w:tcBorders>
            <w:vAlign w:val="center"/>
          </w:tcPr>
          <w:p w:rsidR="00EE4502" w:rsidRDefault="00EE4502">
            <w:pPr>
              <w:jc w:val="center"/>
              <w:rPr>
                <w:rFonts w:hAnsi="宋体"/>
                <w:kern w:val="21"/>
                <w:szCs w:val="21"/>
              </w:rPr>
            </w:pPr>
          </w:p>
        </w:tc>
        <w:tc>
          <w:tcPr>
            <w:tcW w:w="1803" w:type="pct"/>
            <w:vMerge/>
            <w:tcBorders>
              <w:top w:val="single" w:sz="4" w:space="0" w:color="auto"/>
              <w:left w:val="single" w:sz="4" w:space="0" w:color="auto"/>
              <w:bottom w:val="single" w:sz="4" w:space="0" w:color="auto"/>
              <w:right w:val="single" w:sz="4" w:space="0" w:color="auto"/>
            </w:tcBorders>
            <w:vAlign w:val="center"/>
          </w:tcPr>
          <w:p w:rsidR="00EE4502" w:rsidRDefault="00EE4502">
            <w:pPr>
              <w:jc w:val="center"/>
              <w:rPr>
                <w:rFonts w:hAnsi="宋体"/>
                <w:kern w:val="21"/>
                <w:szCs w:val="21"/>
              </w:rPr>
            </w:pPr>
          </w:p>
        </w:tc>
      </w:tr>
      <w:tr w:rsidR="00EE4502">
        <w:trPr>
          <w:trHeight w:val="397"/>
          <w:jc w:val="center"/>
        </w:trPr>
        <w:tc>
          <w:tcPr>
            <w:tcW w:w="517" w:type="pct"/>
            <w:vMerge w:val="restart"/>
            <w:tcBorders>
              <w:top w:val="single" w:sz="4" w:space="0" w:color="auto"/>
              <w:left w:val="single" w:sz="4" w:space="0" w:color="auto"/>
              <w:bottom w:val="single" w:sz="4" w:space="0" w:color="auto"/>
              <w:right w:val="single" w:sz="4" w:space="0" w:color="auto"/>
            </w:tcBorders>
            <w:vAlign w:val="center"/>
          </w:tcPr>
          <w:p w:rsidR="00EE4502" w:rsidRDefault="00FD45A3">
            <w:pPr>
              <w:jc w:val="center"/>
              <w:rPr>
                <w:rFonts w:hAnsi="宋体"/>
                <w:kern w:val="21"/>
                <w:szCs w:val="21"/>
              </w:rPr>
            </w:pPr>
            <w:r>
              <w:rPr>
                <w:rFonts w:hAnsi="宋体" w:hint="eastAsia"/>
                <w:kern w:val="21"/>
                <w:szCs w:val="21"/>
              </w:rPr>
              <w:lastRenderedPageBreak/>
              <w:t>新近系</w:t>
            </w:r>
          </w:p>
        </w:tc>
        <w:tc>
          <w:tcPr>
            <w:tcW w:w="388" w:type="pct"/>
            <w:tcBorders>
              <w:top w:val="single" w:sz="4" w:space="0" w:color="auto"/>
              <w:left w:val="single" w:sz="4" w:space="0" w:color="auto"/>
              <w:bottom w:val="single" w:sz="4" w:space="0" w:color="auto"/>
              <w:right w:val="single" w:sz="4" w:space="0" w:color="auto"/>
            </w:tcBorders>
            <w:vAlign w:val="center"/>
          </w:tcPr>
          <w:p w:rsidR="00EE4502" w:rsidRDefault="00FD45A3">
            <w:pPr>
              <w:jc w:val="center"/>
              <w:rPr>
                <w:rFonts w:hAnsi="宋体"/>
                <w:kern w:val="21"/>
                <w:szCs w:val="21"/>
              </w:rPr>
            </w:pPr>
            <w:r>
              <w:rPr>
                <w:rFonts w:hAnsi="宋体" w:hint="eastAsia"/>
                <w:kern w:val="21"/>
                <w:szCs w:val="21"/>
              </w:rPr>
              <w:t>上新统</w:t>
            </w:r>
          </w:p>
        </w:tc>
        <w:tc>
          <w:tcPr>
            <w:tcW w:w="858" w:type="pct"/>
            <w:tcBorders>
              <w:top w:val="single" w:sz="4" w:space="0" w:color="auto"/>
              <w:left w:val="single" w:sz="4" w:space="0" w:color="auto"/>
              <w:bottom w:val="single" w:sz="4" w:space="0" w:color="auto"/>
              <w:right w:val="single" w:sz="4" w:space="0" w:color="auto"/>
            </w:tcBorders>
            <w:vAlign w:val="center"/>
          </w:tcPr>
          <w:p w:rsidR="00EE4502" w:rsidRDefault="00FD45A3">
            <w:pPr>
              <w:jc w:val="center"/>
              <w:rPr>
                <w:rFonts w:hAnsi="宋体"/>
                <w:kern w:val="21"/>
                <w:szCs w:val="21"/>
              </w:rPr>
            </w:pPr>
            <w:r>
              <w:rPr>
                <w:rFonts w:hAnsi="宋体" w:hint="eastAsia"/>
                <w:kern w:val="21"/>
                <w:szCs w:val="21"/>
              </w:rPr>
              <w:t>独山子组</w:t>
            </w:r>
          </w:p>
        </w:tc>
        <w:tc>
          <w:tcPr>
            <w:tcW w:w="322" w:type="pct"/>
            <w:tcBorders>
              <w:top w:val="single" w:sz="4" w:space="0" w:color="auto"/>
              <w:left w:val="single" w:sz="4" w:space="0" w:color="auto"/>
              <w:bottom w:val="single" w:sz="4" w:space="0" w:color="auto"/>
              <w:right w:val="single" w:sz="4" w:space="0" w:color="auto"/>
            </w:tcBorders>
            <w:vAlign w:val="center"/>
          </w:tcPr>
          <w:p w:rsidR="00EE4502" w:rsidRDefault="00FD45A3">
            <w:pPr>
              <w:jc w:val="center"/>
              <w:rPr>
                <w:rFonts w:hAnsi="宋体"/>
                <w:kern w:val="21"/>
                <w:szCs w:val="21"/>
              </w:rPr>
            </w:pPr>
            <w:r>
              <w:rPr>
                <w:rFonts w:hAnsi="宋体" w:hint="eastAsia"/>
                <w:kern w:val="21"/>
                <w:szCs w:val="21"/>
              </w:rPr>
              <w:t>-</w:t>
            </w:r>
          </w:p>
        </w:tc>
        <w:tc>
          <w:tcPr>
            <w:tcW w:w="402" w:type="pct"/>
            <w:tcBorders>
              <w:top w:val="single" w:sz="4" w:space="0" w:color="auto"/>
              <w:left w:val="single" w:sz="4" w:space="0" w:color="auto"/>
              <w:bottom w:val="single" w:sz="4" w:space="0" w:color="auto"/>
              <w:right w:val="single" w:sz="4" w:space="0" w:color="auto"/>
            </w:tcBorders>
            <w:vAlign w:val="center"/>
          </w:tcPr>
          <w:p w:rsidR="00EE4502" w:rsidRDefault="00FD45A3">
            <w:pPr>
              <w:jc w:val="center"/>
              <w:rPr>
                <w:rFonts w:hAnsi="宋体"/>
                <w:kern w:val="21"/>
                <w:szCs w:val="21"/>
              </w:rPr>
            </w:pPr>
            <w:r>
              <w:rPr>
                <w:rFonts w:hAnsi="宋体" w:hint="eastAsia"/>
                <w:kern w:val="21"/>
                <w:szCs w:val="21"/>
              </w:rPr>
              <w:t>N</w:t>
            </w:r>
            <w:r>
              <w:rPr>
                <w:rFonts w:hAnsi="宋体" w:hint="eastAsia"/>
                <w:kern w:val="21"/>
                <w:szCs w:val="21"/>
                <w:vertAlign w:val="subscript"/>
              </w:rPr>
              <w:t>2</w:t>
            </w:r>
            <w:r>
              <w:rPr>
                <w:rFonts w:hAnsi="宋体" w:hint="eastAsia"/>
                <w:kern w:val="21"/>
                <w:szCs w:val="21"/>
              </w:rPr>
              <w:t>d</w:t>
            </w:r>
          </w:p>
        </w:tc>
        <w:tc>
          <w:tcPr>
            <w:tcW w:w="707" w:type="pct"/>
            <w:tcBorders>
              <w:top w:val="single" w:sz="4" w:space="0" w:color="auto"/>
              <w:left w:val="single" w:sz="4" w:space="0" w:color="auto"/>
              <w:bottom w:val="single" w:sz="4" w:space="0" w:color="auto"/>
              <w:right w:val="single" w:sz="4" w:space="0" w:color="auto"/>
            </w:tcBorders>
            <w:vAlign w:val="center"/>
          </w:tcPr>
          <w:p w:rsidR="00EE4502" w:rsidRDefault="00FD45A3">
            <w:pPr>
              <w:jc w:val="center"/>
              <w:rPr>
                <w:rFonts w:hAnsi="宋体"/>
                <w:kern w:val="21"/>
                <w:szCs w:val="21"/>
              </w:rPr>
            </w:pPr>
            <w:r>
              <w:rPr>
                <w:rFonts w:hAnsi="宋体" w:hint="eastAsia"/>
                <w:kern w:val="21"/>
                <w:szCs w:val="21"/>
              </w:rPr>
              <w:t>-</w:t>
            </w:r>
          </w:p>
        </w:tc>
        <w:tc>
          <w:tcPr>
            <w:tcW w:w="1803" w:type="pct"/>
            <w:tcBorders>
              <w:top w:val="single" w:sz="4" w:space="0" w:color="auto"/>
              <w:left w:val="single" w:sz="4" w:space="0" w:color="auto"/>
              <w:bottom w:val="single" w:sz="4" w:space="0" w:color="auto"/>
              <w:right w:val="single" w:sz="4" w:space="0" w:color="auto"/>
            </w:tcBorders>
            <w:vAlign w:val="center"/>
          </w:tcPr>
          <w:p w:rsidR="00EE4502" w:rsidRDefault="00FD45A3">
            <w:pPr>
              <w:jc w:val="center"/>
              <w:rPr>
                <w:rFonts w:hAnsi="宋体"/>
                <w:kern w:val="21"/>
                <w:szCs w:val="21"/>
              </w:rPr>
            </w:pPr>
            <w:r>
              <w:rPr>
                <w:rFonts w:hAnsi="宋体" w:hint="eastAsia"/>
                <w:kern w:val="21"/>
                <w:szCs w:val="21"/>
              </w:rPr>
              <w:t>灰色泥岩、棕红色泥岩夹浅灰色及棕红色泥质粉砂岩。与下伏地层呈角度不整合接触。</w:t>
            </w:r>
          </w:p>
        </w:tc>
      </w:tr>
      <w:tr w:rsidR="00EE4502">
        <w:trPr>
          <w:trHeight w:val="397"/>
          <w:jc w:val="center"/>
        </w:trPr>
        <w:tc>
          <w:tcPr>
            <w:tcW w:w="517" w:type="pct"/>
            <w:vMerge/>
            <w:tcBorders>
              <w:top w:val="single" w:sz="4" w:space="0" w:color="auto"/>
              <w:left w:val="single" w:sz="4" w:space="0" w:color="auto"/>
              <w:bottom w:val="single" w:sz="4" w:space="0" w:color="auto"/>
              <w:right w:val="single" w:sz="4" w:space="0" w:color="auto"/>
            </w:tcBorders>
            <w:vAlign w:val="center"/>
          </w:tcPr>
          <w:p w:rsidR="00EE4502" w:rsidRDefault="00EE4502">
            <w:pPr>
              <w:jc w:val="center"/>
              <w:rPr>
                <w:rFonts w:hAnsi="宋体"/>
                <w:kern w:val="21"/>
                <w:szCs w:val="21"/>
              </w:rPr>
            </w:pPr>
          </w:p>
        </w:tc>
        <w:tc>
          <w:tcPr>
            <w:tcW w:w="388" w:type="pct"/>
            <w:vMerge w:val="restart"/>
            <w:tcBorders>
              <w:top w:val="single" w:sz="4" w:space="0" w:color="auto"/>
              <w:left w:val="single" w:sz="4" w:space="0" w:color="auto"/>
              <w:bottom w:val="single" w:sz="4" w:space="0" w:color="auto"/>
              <w:right w:val="single" w:sz="4" w:space="0" w:color="auto"/>
            </w:tcBorders>
            <w:vAlign w:val="center"/>
          </w:tcPr>
          <w:p w:rsidR="00EE4502" w:rsidRDefault="00FD45A3">
            <w:pPr>
              <w:jc w:val="center"/>
              <w:rPr>
                <w:rFonts w:hAnsi="宋体"/>
                <w:kern w:val="21"/>
                <w:szCs w:val="21"/>
              </w:rPr>
            </w:pPr>
            <w:r>
              <w:rPr>
                <w:rFonts w:hAnsi="宋体" w:hint="eastAsia"/>
                <w:kern w:val="21"/>
                <w:szCs w:val="21"/>
              </w:rPr>
              <w:t>中新统</w:t>
            </w:r>
          </w:p>
        </w:tc>
        <w:tc>
          <w:tcPr>
            <w:tcW w:w="858" w:type="pct"/>
            <w:tcBorders>
              <w:top w:val="single" w:sz="4" w:space="0" w:color="auto"/>
              <w:left w:val="single" w:sz="4" w:space="0" w:color="auto"/>
              <w:bottom w:val="single" w:sz="4" w:space="0" w:color="auto"/>
              <w:right w:val="single" w:sz="4" w:space="0" w:color="auto"/>
            </w:tcBorders>
            <w:vAlign w:val="center"/>
          </w:tcPr>
          <w:p w:rsidR="00EE4502" w:rsidRDefault="00FD45A3">
            <w:pPr>
              <w:jc w:val="center"/>
              <w:rPr>
                <w:rFonts w:hAnsi="宋体"/>
                <w:kern w:val="21"/>
                <w:szCs w:val="21"/>
              </w:rPr>
            </w:pPr>
            <w:r>
              <w:rPr>
                <w:rFonts w:hAnsi="宋体" w:hint="eastAsia"/>
                <w:kern w:val="21"/>
                <w:szCs w:val="21"/>
              </w:rPr>
              <w:t>塔西河组</w:t>
            </w:r>
          </w:p>
        </w:tc>
        <w:tc>
          <w:tcPr>
            <w:tcW w:w="322" w:type="pct"/>
            <w:tcBorders>
              <w:top w:val="single" w:sz="4" w:space="0" w:color="auto"/>
              <w:left w:val="single" w:sz="4" w:space="0" w:color="auto"/>
              <w:bottom w:val="single" w:sz="4" w:space="0" w:color="auto"/>
              <w:right w:val="single" w:sz="4" w:space="0" w:color="auto"/>
            </w:tcBorders>
            <w:vAlign w:val="center"/>
          </w:tcPr>
          <w:p w:rsidR="00EE4502" w:rsidRDefault="00EE4502">
            <w:pPr>
              <w:jc w:val="center"/>
              <w:rPr>
                <w:rFonts w:hAnsi="宋体"/>
                <w:kern w:val="21"/>
                <w:szCs w:val="21"/>
              </w:rPr>
            </w:pPr>
          </w:p>
        </w:tc>
        <w:tc>
          <w:tcPr>
            <w:tcW w:w="402" w:type="pct"/>
            <w:tcBorders>
              <w:top w:val="single" w:sz="4" w:space="0" w:color="auto"/>
              <w:left w:val="single" w:sz="4" w:space="0" w:color="auto"/>
              <w:bottom w:val="single" w:sz="4" w:space="0" w:color="auto"/>
              <w:right w:val="single" w:sz="4" w:space="0" w:color="auto"/>
            </w:tcBorders>
            <w:vAlign w:val="center"/>
          </w:tcPr>
          <w:p w:rsidR="00EE4502" w:rsidRDefault="00FD45A3">
            <w:pPr>
              <w:jc w:val="center"/>
              <w:rPr>
                <w:rFonts w:hAnsi="宋体"/>
                <w:kern w:val="21"/>
                <w:szCs w:val="21"/>
              </w:rPr>
            </w:pPr>
            <w:r>
              <w:rPr>
                <w:rFonts w:hAnsi="宋体" w:hint="eastAsia"/>
                <w:kern w:val="21"/>
                <w:szCs w:val="21"/>
              </w:rPr>
              <w:t>N</w:t>
            </w:r>
            <w:r>
              <w:rPr>
                <w:rFonts w:hAnsi="宋体" w:hint="eastAsia"/>
                <w:kern w:val="21"/>
                <w:szCs w:val="21"/>
                <w:vertAlign w:val="subscript"/>
              </w:rPr>
              <w:t>1</w:t>
            </w:r>
            <w:r>
              <w:rPr>
                <w:rFonts w:hAnsi="宋体" w:hint="eastAsia"/>
                <w:kern w:val="21"/>
                <w:szCs w:val="21"/>
              </w:rPr>
              <w:t>t</w:t>
            </w:r>
          </w:p>
        </w:tc>
        <w:tc>
          <w:tcPr>
            <w:tcW w:w="707" w:type="pct"/>
            <w:tcBorders>
              <w:top w:val="single" w:sz="4" w:space="0" w:color="auto"/>
              <w:left w:val="single" w:sz="4" w:space="0" w:color="auto"/>
              <w:bottom w:val="single" w:sz="4" w:space="0" w:color="auto"/>
              <w:right w:val="single" w:sz="4" w:space="0" w:color="auto"/>
            </w:tcBorders>
            <w:vAlign w:val="center"/>
          </w:tcPr>
          <w:p w:rsidR="00EE4502" w:rsidRDefault="00FD45A3">
            <w:pPr>
              <w:jc w:val="center"/>
              <w:rPr>
                <w:rFonts w:hAnsi="宋体"/>
                <w:kern w:val="21"/>
                <w:szCs w:val="21"/>
              </w:rPr>
            </w:pPr>
            <w:r>
              <w:rPr>
                <w:rFonts w:hAnsi="宋体" w:hint="eastAsia"/>
                <w:kern w:val="21"/>
                <w:szCs w:val="21"/>
              </w:rPr>
              <w:t>50~380</w:t>
            </w:r>
          </w:p>
        </w:tc>
        <w:tc>
          <w:tcPr>
            <w:tcW w:w="1803" w:type="pct"/>
            <w:tcBorders>
              <w:top w:val="single" w:sz="4" w:space="0" w:color="auto"/>
              <w:left w:val="single" w:sz="4" w:space="0" w:color="auto"/>
              <w:bottom w:val="single" w:sz="4" w:space="0" w:color="auto"/>
              <w:right w:val="single" w:sz="4" w:space="0" w:color="auto"/>
            </w:tcBorders>
            <w:vAlign w:val="center"/>
          </w:tcPr>
          <w:p w:rsidR="00EE4502" w:rsidRDefault="00FD45A3">
            <w:pPr>
              <w:jc w:val="center"/>
              <w:rPr>
                <w:rFonts w:hAnsi="宋体"/>
                <w:kern w:val="21"/>
                <w:szCs w:val="21"/>
              </w:rPr>
            </w:pPr>
            <w:r>
              <w:rPr>
                <w:rFonts w:hAnsi="宋体" w:hint="eastAsia"/>
                <w:kern w:val="21"/>
                <w:szCs w:val="21"/>
              </w:rPr>
              <w:t>棕红色、灰色的泥岩、粉砂质泥岩夹薄层灰色泥质粉砂岩。与下伏地层呈角度不整合接触。</w:t>
            </w:r>
          </w:p>
        </w:tc>
      </w:tr>
      <w:tr w:rsidR="00EE4502">
        <w:trPr>
          <w:trHeight w:val="397"/>
          <w:jc w:val="center"/>
        </w:trPr>
        <w:tc>
          <w:tcPr>
            <w:tcW w:w="517" w:type="pct"/>
            <w:vMerge/>
            <w:tcBorders>
              <w:top w:val="single" w:sz="4" w:space="0" w:color="auto"/>
              <w:left w:val="single" w:sz="4" w:space="0" w:color="auto"/>
              <w:bottom w:val="single" w:sz="4" w:space="0" w:color="auto"/>
              <w:right w:val="single" w:sz="4" w:space="0" w:color="auto"/>
            </w:tcBorders>
            <w:vAlign w:val="center"/>
          </w:tcPr>
          <w:p w:rsidR="00EE4502" w:rsidRDefault="00EE4502">
            <w:pPr>
              <w:jc w:val="center"/>
              <w:rPr>
                <w:rFonts w:hAnsi="宋体"/>
                <w:kern w:val="21"/>
                <w:szCs w:val="21"/>
              </w:rPr>
            </w:pPr>
          </w:p>
        </w:tc>
        <w:tc>
          <w:tcPr>
            <w:tcW w:w="388" w:type="pct"/>
            <w:vMerge/>
            <w:tcBorders>
              <w:top w:val="single" w:sz="4" w:space="0" w:color="auto"/>
              <w:left w:val="single" w:sz="4" w:space="0" w:color="auto"/>
              <w:bottom w:val="single" w:sz="4" w:space="0" w:color="auto"/>
              <w:right w:val="single" w:sz="4" w:space="0" w:color="auto"/>
            </w:tcBorders>
            <w:vAlign w:val="center"/>
          </w:tcPr>
          <w:p w:rsidR="00EE4502" w:rsidRDefault="00EE4502">
            <w:pPr>
              <w:jc w:val="center"/>
              <w:rPr>
                <w:rFonts w:hAnsi="宋体"/>
                <w:kern w:val="21"/>
                <w:szCs w:val="21"/>
              </w:rPr>
            </w:pPr>
          </w:p>
        </w:tc>
        <w:tc>
          <w:tcPr>
            <w:tcW w:w="858" w:type="pct"/>
            <w:vMerge w:val="restart"/>
            <w:tcBorders>
              <w:top w:val="single" w:sz="4" w:space="0" w:color="auto"/>
              <w:left w:val="single" w:sz="4" w:space="0" w:color="auto"/>
              <w:bottom w:val="single" w:sz="4" w:space="0" w:color="auto"/>
              <w:right w:val="single" w:sz="4" w:space="0" w:color="auto"/>
            </w:tcBorders>
            <w:vAlign w:val="center"/>
          </w:tcPr>
          <w:p w:rsidR="00EE4502" w:rsidRDefault="00FD45A3">
            <w:pPr>
              <w:jc w:val="center"/>
              <w:rPr>
                <w:rFonts w:hAnsi="宋体"/>
                <w:kern w:val="21"/>
                <w:szCs w:val="21"/>
              </w:rPr>
            </w:pPr>
            <w:r>
              <w:rPr>
                <w:rFonts w:hAnsi="宋体" w:hint="eastAsia"/>
                <w:kern w:val="21"/>
                <w:szCs w:val="21"/>
              </w:rPr>
              <w:t>沙湾组</w:t>
            </w:r>
          </w:p>
        </w:tc>
        <w:tc>
          <w:tcPr>
            <w:tcW w:w="322" w:type="pct"/>
            <w:tcBorders>
              <w:top w:val="single" w:sz="4" w:space="0" w:color="auto"/>
              <w:left w:val="single" w:sz="4" w:space="0" w:color="auto"/>
              <w:bottom w:val="single" w:sz="4" w:space="0" w:color="auto"/>
              <w:right w:val="single" w:sz="4" w:space="0" w:color="auto"/>
            </w:tcBorders>
            <w:vAlign w:val="center"/>
          </w:tcPr>
          <w:p w:rsidR="00EE4502" w:rsidRDefault="00FD45A3">
            <w:pPr>
              <w:jc w:val="center"/>
              <w:rPr>
                <w:rFonts w:hAnsi="宋体"/>
                <w:kern w:val="21"/>
                <w:szCs w:val="21"/>
              </w:rPr>
            </w:pPr>
            <w:r>
              <w:rPr>
                <w:rFonts w:hAnsi="宋体" w:hint="eastAsia"/>
                <w:kern w:val="21"/>
                <w:szCs w:val="21"/>
              </w:rPr>
              <w:t>三</w:t>
            </w:r>
          </w:p>
        </w:tc>
        <w:tc>
          <w:tcPr>
            <w:tcW w:w="402" w:type="pct"/>
            <w:tcBorders>
              <w:top w:val="single" w:sz="4" w:space="0" w:color="auto"/>
              <w:left w:val="single" w:sz="4" w:space="0" w:color="auto"/>
              <w:bottom w:val="single" w:sz="4" w:space="0" w:color="auto"/>
              <w:right w:val="single" w:sz="4" w:space="0" w:color="auto"/>
            </w:tcBorders>
            <w:vAlign w:val="center"/>
          </w:tcPr>
          <w:p w:rsidR="00EE4502" w:rsidRDefault="00FD45A3">
            <w:pPr>
              <w:jc w:val="center"/>
              <w:rPr>
                <w:rFonts w:hAnsi="宋体"/>
                <w:kern w:val="21"/>
                <w:szCs w:val="21"/>
              </w:rPr>
            </w:pPr>
            <w:r>
              <w:rPr>
                <w:rFonts w:hAnsi="宋体" w:hint="eastAsia"/>
                <w:kern w:val="21"/>
                <w:szCs w:val="21"/>
              </w:rPr>
              <w:t>N</w:t>
            </w:r>
            <w:r>
              <w:rPr>
                <w:rFonts w:hAnsi="宋体" w:hint="eastAsia"/>
                <w:kern w:val="21"/>
                <w:szCs w:val="21"/>
                <w:vertAlign w:val="subscript"/>
              </w:rPr>
              <w:t>1</w:t>
            </w:r>
            <w:r>
              <w:rPr>
                <w:rFonts w:hAnsi="宋体" w:hint="eastAsia"/>
                <w:kern w:val="21"/>
                <w:szCs w:val="21"/>
              </w:rPr>
              <w:t>s</w:t>
            </w:r>
            <w:r>
              <w:rPr>
                <w:rFonts w:hAnsi="宋体" w:hint="eastAsia"/>
                <w:kern w:val="21"/>
                <w:szCs w:val="21"/>
                <w:vertAlign w:val="subscript"/>
              </w:rPr>
              <w:t>3</w:t>
            </w:r>
          </w:p>
        </w:tc>
        <w:tc>
          <w:tcPr>
            <w:tcW w:w="707" w:type="pct"/>
            <w:tcBorders>
              <w:top w:val="single" w:sz="4" w:space="0" w:color="auto"/>
              <w:left w:val="single" w:sz="4" w:space="0" w:color="auto"/>
              <w:bottom w:val="single" w:sz="4" w:space="0" w:color="auto"/>
              <w:right w:val="single" w:sz="4" w:space="0" w:color="auto"/>
            </w:tcBorders>
            <w:vAlign w:val="center"/>
          </w:tcPr>
          <w:p w:rsidR="00EE4502" w:rsidRDefault="00FD45A3">
            <w:pPr>
              <w:jc w:val="center"/>
              <w:rPr>
                <w:rFonts w:hAnsi="宋体"/>
                <w:kern w:val="21"/>
                <w:szCs w:val="21"/>
              </w:rPr>
            </w:pPr>
            <w:r>
              <w:rPr>
                <w:rFonts w:hAnsi="宋体" w:hint="eastAsia"/>
                <w:kern w:val="21"/>
                <w:szCs w:val="21"/>
              </w:rPr>
              <w:t>60~130</w:t>
            </w:r>
          </w:p>
        </w:tc>
        <w:tc>
          <w:tcPr>
            <w:tcW w:w="1803" w:type="pct"/>
            <w:tcBorders>
              <w:top w:val="single" w:sz="4" w:space="0" w:color="auto"/>
              <w:left w:val="single" w:sz="4" w:space="0" w:color="auto"/>
              <w:bottom w:val="single" w:sz="4" w:space="0" w:color="auto"/>
              <w:right w:val="single" w:sz="4" w:space="0" w:color="auto"/>
            </w:tcBorders>
            <w:vAlign w:val="center"/>
          </w:tcPr>
          <w:p w:rsidR="00EE4502" w:rsidRDefault="00FD45A3">
            <w:pPr>
              <w:jc w:val="center"/>
              <w:rPr>
                <w:rFonts w:hAnsi="宋体"/>
                <w:kern w:val="21"/>
                <w:szCs w:val="21"/>
              </w:rPr>
            </w:pPr>
            <w:r>
              <w:rPr>
                <w:rFonts w:hAnsi="宋体" w:hint="eastAsia"/>
                <w:kern w:val="21"/>
                <w:szCs w:val="21"/>
              </w:rPr>
              <w:t>砂砾岩，含砾砂岩、砂岩与泥岩的不等厚互层。</w:t>
            </w:r>
          </w:p>
        </w:tc>
      </w:tr>
      <w:tr w:rsidR="00EE4502">
        <w:trPr>
          <w:trHeight w:val="397"/>
          <w:jc w:val="center"/>
        </w:trPr>
        <w:tc>
          <w:tcPr>
            <w:tcW w:w="517" w:type="pct"/>
            <w:vMerge/>
            <w:tcBorders>
              <w:top w:val="single" w:sz="4" w:space="0" w:color="auto"/>
              <w:left w:val="single" w:sz="4" w:space="0" w:color="auto"/>
              <w:bottom w:val="single" w:sz="4" w:space="0" w:color="auto"/>
              <w:right w:val="single" w:sz="4" w:space="0" w:color="auto"/>
            </w:tcBorders>
            <w:vAlign w:val="center"/>
          </w:tcPr>
          <w:p w:rsidR="00EE4502" w:rsidRDefault="00EE4502">
            <w:pPr>
              <w:jc w:val="center"/>
              <w:rPr>
                <w:rFonts w:hAnsi="宋体"/>
                <w:kern w:val="21"/>
                <w:szCs w:val="21"/>
              </w:rPr>
            </w:pPr>
          </w:p>
        </w:tc>
        <w:tc>
          <w:tcPr>
            <w:tcW w:w="388" w:type="pct"/>
            <w:vMerge/>
            <w:tcBorders>
              <w:top w:val="single" w:sz="4" w:space="0" w:color="auto"/>
              <w:left w:val="single" w:sz="4" w:space="0" w:color="auto"/>
              <w:bottom w:val="single" w:sz="4" w:space="0" w:color="auto"/>
              <w:right w:val="single" w:sz="4" w:space="0" w:color="auto"/>
            </w:tcBorders>
            <w:vAlign w:val="center"/>
          </w:tcPr>
          <w:p w:rsidR="00EE4502" w:rsidRDefault="00EE4502">
            <w:pPr>
              <w:jc w:val="center"/>
              <w:rPr>
                <w:rFonts w:hAnsi="宋体"/>
                <w:kern w:val="21"/>
                <w:szCs w:val="21"/>
              </w:rPr>
            </w:pPr>
          </w:p>
        </w:tc>
        <w:tc>
          <w:tcPr>
            <w:tcW w:w="858" w:type="pct"/>
            <w:vMerge/>
            <w:tcBorders>
              <w:top w:val="single" w:sz="4" w:space="0" w:color="auto"/>
              <w:left w:val="single" w:sz="4" w:space="0" w:color="auto"/>
              <w:bottom w:val="single" w:sz="4" w:space="0" w:color="auto"/>
              <w:right w:val="single" w:sz="4" w:space="0" w:color="auto"/>
            </w:tcBorders>
            <w:vAlign w:val="center"/>
          </w:tcPr>
          <w:p w:rsidR="00EE4502" w:rsidRDefault="00EE4502">
            <w:pPr>
              <w:jc w:val="center"/>
              <w:rPr>
                <w:rFonts w:hAnsi="宋体"/>
                <w:kern w:val="21"/>
                <w:szCs w:val="21"/>
              </w:rPr>
            </w:pPr>
          </w:p>
        </w:tc>
        <w:tc>
          <w:tcPr>
            <w:tcW w:w="322" w:type="pct"/>
            <w:tcBorders>
              <w:top w:val="single" w:sz="4" w:space="0" w:color="auto"/>
              <w:left w:val="single" w:sz="4" w:space="0" w:color="auto"/>
              <w:bottom w:val="single" w:sz="4" w:space="0" w:color="auto"/>
              <w:right w:val="single" w:sz="4" w:space="0" w:color="auto"/>
            </w:tcBorders>
            <w:vAlign w:val="center"/>
          </w:tcPr>
          <w:p w:rsidR="00EE4502" w:rsidRDefault="00FD45A3">
            <w:pPr>
              <w:jc w:val="center"/>
              <w:rPr>
                <w:rFonts w:hAnsi="宋体"/>
                <w:kern w:val="21"/>
                <w:szCs w:val="21"/>
              </w:rPr>
            </w:pPr>
            <w:r>
              <w:rPr>
                <w:rFonts w:hAnsi="宋体" w:hint="eastAsia"/>
                <w:kern w:val="21"/>
                <w:szCs w:val="21"/>
              </w:rPr>
              <w:t>二</w:t>
            </w:r>
          </w:p>
        </w:tc>
        <w:tc>
          <w:tcPr>
            <w:tcW w:w="402" w:type="pct"/>
            <w:tcBorders>
              <w:top w:val="single" w:sz="4" w:space="0" w:color="auto"/>
              <w:left w:val="single" w:sz="4" w:space="0" w:color="auto"/>
              <w:bottom w:val="single" w:sz="4" w:space="0" w:color="auto"/>
              <w:right w:val="single" w:sz="4" w:space="0" w:color="auto"/>
            </w:tcBorders>
            <w:vAlign w:val="center"/>
          </w:tcPr>
          <w:p w:rsidR="00EE4502" w:rsidRDefault="00FD45A3">
            <w:pPr>
              <w:jc w:val="center"/>
              <w:rPr>
                <w:rFonts w:hAnsi="宋体"/>
                <w:kern w:val="21"/>
                <w:szCs w:val="21"/>
              </w:rPr>
            </w:pPr>
            <w:r>
              <w:rPr>
                <w:rFonts w:hAnsi="宋体" w:hint="eastAsia"/>
                <w:kern w:val="21"/>
                <w:szCs w:val="21"/>
              </w:rPr>
              <w:t>N</w:t>
            </w:r>
            <w:r>
              <w:rPr>
                <w:rFonts w:hAnsi="宋体" w:hint="eastAsia"/>
                <w:kern w:val="21"/>
                <w:szCs w:val="21"/>
                <w:vertAlign w:val="subscript"/>
              </w:rPr>
              <w:t>1</w:t>
            </w:r>
            <w:r>
              <w:rPr>
                <w:rFonts w:hAnsi="宋体" w:hint="eastAsia"/>
                <w:kern w:val="21"/>
                <w:szCs w:val="21"/>
              </w:rPr>
              <w:t>s</w:t>
            </w:r>
            <w:r>
              <w:rPr>
                <w:rFonts w:hAnsi="宋体" w:hint="eastAsia"/>
                <w:kern w:val="21"/>
                <w:szCs w:val="21"/>
                <w:vertAlign w:val="subscript"/>
              </w:rPr>
              <w:t>2</w:t>
            </w:r>
          </w:p>
        </w:tc>
        <w:tc>
          <w:tcPr>
            <w:tcW w:w="707" w:type="pct"/>
            <w:tcBorders>
              <w:top w:val="single" w:sz="4" w:space="0" w:color="auto"/>
              <w:left w:val="single" w:sz="4" w:space="0" w:color="auto"/>
              <w:bottom w:val="single" w:sz="4" w:space="0" w:color="auto"/>
              <w:right w:val="single" w:sz="4" w:space="0" w:color="auto"/>
            </w:tcBorders>
            <w:vAlign w:val="center"/>
          </w:tcPr>
          <w:p w:rsidR="00EE4502" w:rsidRDefault="00FD45A3">
            <w:pPr>
              <w:jc w:val="center"/>
              <w:rPr>
                <w:rFonts w:hAnsi="宋体"/>
                <w:kern w:val="21"/>
                <w:szCs w:val="21"/>
              </w:rPr>
            </w:pPr>
            <w:r>
              <w:rPr>
                <w:rFonts w:hAnsi="宋体" w:hint="eastAsia"/>
                <w:kern w:val="21"/>
                <w:szCs w:val="21"/>
              </w:rPr>
              <w:t>60~130</w:t>
            </w:r>
          </w:p>
        </w:tc>
        <w:tc>
          <w:tcPr>
            <w:tcW w:w="1803" w:type="pct"/>
            <w:tcBorders>
              <w:top w:val="single" w:sz="4" w:space="0" w:color="auto"/>
              <w:left w:val="single" w:sz="4" w:space="0" w:color="auto"/>
              <w:bottom w:val="single" w:sz="4" w:space="0" w:color="auto"/>
              <w:right w:val="single" w:sz="4" w:space="0" w:color="auto"/>
            </w:tcBorders>
            <w:vAlign w:val="center"/>
          </w:tcPr>
          <w:p w:rsidR="00EE4502" w:rsidRDefault="00FD45A3">
            <w:pPr>
              <w:jc w:val="center"/>
              <w:rPr>
                <w:rFonts w:hAnsi="宋体"/>
                <w:kern w:val="21"/>
                <w:szCs w:val="21"/>
              </w:rPr>
            </w:pPr>
            <w:r>
              <w:rPr>
                <w:rFonts w:hAnsi="宋体" w:hint="eastAsia"/>
                <w:kern w:val="21"/>
                <w:szCs w:val="21"/>
              </w:rPr>
              <w:t>泥岩为主，底部发育砂砾岩，含砾砂岩、砂岩。</w:t>
            </w:r>
          </w:p>
        </w:tc>
      </w:tr>
      <w:tr w:rsidR="00EE4502">
        <w:trPr>
          <w:trHeight w:val="397"/>
          <w:jc w:val="center"/>
        </w:trPr>
        <w:tc>
          <w:tcPr>
            <w:tcW w:w="517" w:type="pct"/>
            <w:vMerge/>
            <w:tcBorders>
              <w:top w:val="single" w:sz="4" w:space="0" w:color="auto"/>
              <w:left w:val="single" w:sz="4" w:space="0" w:color="auto"/>
              <w:bottom w:val="single" w:sz="4" w:space="0" w:color="auto"/>
              <w:right w:val="single" w:sz="4" w:space="0" w:color="auto"/>
            </w:tcBorders>
            <w:vAlign w:val="center"/>
          </w:tcPr>
          <w:p w:rsidR="00EE4502" w:rsidRDefault="00EE4502">
            <w:pPr>
              <w:jc w:val="center"/>
              <w:rPr>
                <w:rFonts w:hAnsi="宋体"/>
                <w:kern w:val="21"/>
                <w:szCs w:val="21"/>
              </w:rPr>
            </w:pPr>
          </w:p>
        </w:tc>
        <w:tc>
          <w:tcPr>
            <w:tcW w:w="388" w:type="pct"/>
            <w:vMerge/>
            <w:tcBorders>
              <w:top w:val="single" w:sz="4" w:space="0" w:color="auto"/>
              <w:left w:val="single" w:sz="4" w:space="0" w:color="auto"/>
              <w:bottom w:val="single" w:sz="4" w:space="0" w:color="auto"/>
              <w:right w:val="single" w:sz="4" w:space="0" w:color="auto"/>
            </w:tcBorders>
            <w:vAlign w:val="center"/>
          </w:tcPr>
          <w:p w:rsidR="00EE4502" w:rsidRDefault="00EE4502">
            <w:pPr>
              <w:jc w:val="center"/>
              <w:rPr>
                <w:rFonts w:hAnsi="宋体"/>
                <w:kern w:val="21"/>
                <w:szCs w:val="21"/>
              </w:rPr>
            </w:pPr>
          </w:p>
        </w:tc>
        <w:tc>
          <w:tcPr>
            <w:tcW w:w="858" w:type="pct"/>
            <w:vMerge/>
            <w:tcBorders>
              <w:top w:val="single" w:sz="4" w:space="0" w:color="auto"/>
              <w:left w:val="single" w:sz="4" w:space="0" w:color="auto"/>
              <w:bottom w:val="single" w:sz="4" w:space="0" w:color="auto"/>
              <w:right w:val="single" w:sz="4" w:space="0" w:color="auto"/>
            </w:tcBorders>
            <w:vAlign w:val="center"/>
          </w:tcPr>
          <w:p w:rsidR="00EE4502" w:rsidRDefault="00EE4502">
            <w:pPr>
              <w:jc w:val="center"/>
              <w:rPr>
                <w:rFonts w:hAnsi="宋体"/>
                <w:kern w:val="21"/>
                <w:szCs w:val="21"/>
              </w:rPr>
            </w:pPr>
          </w:p>
        </w:tc>
        <w:tc>
          <w:tcPr>
            <w:tcW w:w="322" w:type="pct"/>
            <w:tcBorders>
              <w:top w:val="single" w:sz="4" w:space="0" w:color="auto"/>
              <w:left w:val="single" w:sz="4" w:space="0" w:color="auto"/>
              <w:bottom w:val="single" w:sz="4" w:space="0" w:color="auto"/>
              <w:right w:val="single" w:sz="4" w:space="0" w:color="auto"/>
            </w:tcBorders>
            <w:vAlign w:val="center"/>
          </w:tcPr>
          <w:p w:rsidR="00EE4502" w:rsidRDefault="00FD45A3">
            <w:pPr>
              <w:jc w:val="center"/>
              <w:rPr>
                <w:rFonts w:hAnsi="宋体"/>
                <w:kern w:val="21"/>
                <w:szCs w:val="21"/>
              </w:rPr>
            </w:pPr>
            <w:r>
              <w:rPr>
                <w:rFonts w:hAnsi="宋体" w:hint="eastAsia"/>
                <w:kern w:val="21"/>
                <w:szCs w:val="21"/>
              </w:rPr>
              <w:t>一</w:t>
            </w:r>
          </w:p>
        </w:tc>
        <w:tc>
          <w:tcPr>
            <w:tcW w:w="402" w:type="pct"/>
            <w:tcBorders>
              <w:top w:val="single" w:sz="4" w:space="0" w:color="auto"/>
              <w:left w:val="single" w:sz="4" w:space="0" w:color="auto"/>
              <w:bottom w:val="single" w:sz="4" w:space="0" w:color="auto"/>
              <w:right w:val="single" w:sz="4" w:space="0" w:color="auto"/>
            </w:tcBorders>
            <w:vAlign w:val="center"/>
          </w:tcPr>
          <w:p w:rsidR="00EE4502" w:rsidRDefault="00FD45A3">
            <w:pPr>
              <w:jc w:val="center"/>
              <w:rPr>
                <w:rFonts w:hAnsi="宋体"/>
                <w:kern w:val="21"/>
                <w:szCs w:val="21"/>
              </w:rPr>
            </w:pPr>
            <w:r>
              <w:rPr>
                <w:rFonts w:hAnsi="宋体" w:hint="eastAsia"/>
                <w:kern w:val="21"/>
                <w:szCs w:val="21"/>
              </w:rPr>
              <w:t>N</w:t>
            </w:r>
            <w:r>
              <w:rPr>
                <w:rFonts w:hAnsi="宋体" w:hint="eastAsia"/>
                <w:kern w:val="21"/>
                <w:szCs w:val="21"/>
                <w:vertAlign w:val="subscript"/>
              </w:rPr>
              <w:t>1</w:t>
            </w:r>
            <w:r>
              <w:rPr>
                <w:rFonts w:hAnsi="宋体" w:hint="eastAsia"/>
                <w:kern w:val="21"/>
                <w:szCs w:val="21"/>
              </w:rPr>
              <w:t>s</w:t>
            </w:r>
            <w:r>
              <w:rPr>
                <w:rFonts w:hAnsi="宋体" w:hint="eastAsia"/>
                <w:kern w:val="21"/>
                <w:szCs w:val="21"/>
                <w:vertAlign w:val="subscript"/>
              </w:rPr>
              <w:t>1</w:t>
            </w:r>
          </w:p>
        </w:tc>
        <w:tc>
          <w:tcPr>
            <w:tcW w:w="707" w:type="pct"/>
            <w:tcBorders>
              <w:top w:val="single" w:sz="4" w:space="0" w:color="auto"/>
              <w:left w:val="single" w:sz="4" w:space="0" w:color="auto"/>
              <w:bottom w:val="single" w:sz="4" w:space="0" w:color="auto"/>
              <w:right w:val="single" w:sz="4" w:space="0" w:color="auto"/>
            </w:tcBorders>
            <w:vAlign w:val="center"/>
          </w:tcPr>
          <w:p w:rsidR="00EE4502" w:rsidRDefault="00FD45A3">
            <w:pPr>
              <w:jc w:val="center"/>
              <w:rPr>
                <w:rFonts w:hAnsi="宋体"/>
                <w:kern w:val="21"/>
                <w:szCs w:val="21"/>
              </w:rPr>
            </w:pPr>
            <w:r>
              <w:rPr>
                <w:rFonts w:hAnsi="宋体" w:hint="eastAsia"/>
                <w:kern w:val="21"/>
                <w:szCs w:val="21"/>
              </w:rPr>
              <w:t>60~140</w:t>
            </w:r>
          </w:p>
        </w:tc>
        <w:tc>
          <w:tcPr>
            <w:tcW w:w="1803" w:type="pct"/>
            <w:tcBorders>
              <w:top w:val="single" w:sz="4" w:space="0" w:color="auto"/>
              <w:left w:val="single" w:sz="4" w:space="0" w:color="auto"/>
              <w:bottom w:val="single" w:sz="4" w:space="0" w:color="auto"/>
              <w:right w:val="single" w:sz="4" w:space="0" w:color="auto"/>
            </w:tcBorders>
            <w:vAlign w:val="center"/>
          </w:tcPr>
          <w:p w:rsidR="00EE4502" w:rsidRDefault="00FD45A3">
            <w:pPr>
              <w:jc w:val="center"/>
              <w:rPr>
                <w:rFonts w:hAnsi="宋体"/>
                <w:kern w:val="21"/>
                <w:szCs w:val="21"/>
              </w:rPr>
            </w:pPr>
            <w:r>
              <w:rPr>
                <w:rFonts w:hAnsi="宋体" w:hint="eastAsia"/>
                <w:kern w:val="21"/>
                <w:szCs w:val="21"/>
              </w:rPr>
              <w:t>含砾砂岩、砂岩、灰质砂岩、泥质砂岩与泥岩的不等厚互层。</w:t>
            </w:r>
          </w:p>
        </w:tc>
      </w:tr>
      <w:tr w:rsidR="00EE4502">
        <w:trPr>
          <w:trHeight w:val="397"/>
          <w:jc w:val="center"/>
        </w:trPr>
        <w:tc>
          <w:tcPr>
            <w:tcW w:w="517" w:type="pct"/>
            <w:tcBorders>
              <w:top w:val="single" w:sz="4" w:space="0" w:color="auto"/>
              <w:left w:val="single" w:sz="4" w:space="0" w:color="auto"/>
              <w:bottom w:val="single" w:sz="4" w:space="0" w:color="auto"/>
              <w:right w:val="single" w:sz="4" w:space="0" w:color="auto"/>
            </w:tcBorders>
            <w:vAlign w:val="center"/>
          </w:tcPr>
          <w:p w:rsidR="00EE4502" w:rsidRDefault="00FD45A3">
            <w:pPr>
              <w:jc w:val="center"/>
              <w:rPr>
                <w:rFonts w:hAnsi="宋体"/>
                <w:kern w:val="21"/>
                <w:szCs w:val="21"/>
              </w:rPr>
            </w:pPr>
            <w:r>
              <w:rPr>
                <w:rFonts w:hAnsi="宋体" w:hint="eastAsia"/>
                <w:kern w:val="21"/>
                <w:szCs w:val="21"/>
              </w:rPr>
              <w:t>古近系</w:t>
            </w:r>
          </w:p>
        </w:tc>
        <w:tc>
          <w:tcPr>
            <w:tcW w:w="388" w:type="pct"/>
            <w:tcBorders>
              <w:top w:val="single" w:sz="4" w:space="0" w:color="auto"/>
              <w:left w:val="single" w:sz="4" w:space="0" w:color="auto"/>
              <w:bottom w:val="single" w:sz="4" w:space="0" w:color="auto"/>
              <w:right w:val="single" w:sz="4" w:space="0" w:color="auto"/>
            </w:tcBorders>
            <w:vAlign w:val="center"/>
          </w:tcPr>
          <w:p w:rsidR="00EE4502" w:rsidRDefault="00FD45A3">
            <w:pPr>
              <w:jc w:val="center"/>
              <w:rPr>
                <w:rFonts w:hAnsi="宋体"/>
                <w:kern w:val="21"/>
                <w:szCs w:val="21"/>
              </w:rPr>
            </w:pPr>
            <w:r>
              <w:rPr>
                <w:rFonts w:hAnsi="宋体" w:hint="eastAsia"/>
                <w:kern w:val="21"/>
                <w:szCs w:val="21"/>
              </w:rPr>
              <w:t>-</w:t>
            </w:r>
          </w:p>
        </w:tc>
        <w:tc>
          <w:tcPr>
            <w:tcW w:w="858" w:type="pct"/>
            <w:tcBorders>
              <w:top w:val="single" w:sz="4" w:space="0" w:color="auto"/>
              <w:left w:val="single" w:sz="4" w:space="0" w:color="auto"/>
              <w:bottom w:val="single" w:sz="4" w:space="0" w:color="auto"/>
              <w:right w:val="single" w:sz="4" w:space="0" w:color="auto"/>
            </w:tcBorders>
            <w:vAlign w:val="center"/>
          </w:tcPr>
          <w:p w:rsidR="00EE4502" w:rsidRDefault="00FD45A3">
            <w:pPr>
              <w:jc w:val="center"/>
              <w:rPr>
                <w:rFonts w:hAnsi="宋体"/>
                <w:kern w:val="21"/>
                <w:szCs w:val="21"/>
              </w:rPr>
            </w:pPr>
            <w:r>
              <w:rPr>
                <w:rFonts w:hAnsi="宋体" w:hint="eastAsia"/>
                <w:kern w:val="21"/>
                <w:szCs w:val="21"/>
              </w:rPr>
              <w:t>-</w:t>
            </w:r>
          </w:p>
        </w:tc>
        <w:tc>
          <w:tcPr>
            <w:tcW w:w="322" w:type="pct"/>
            <w:tcBorders>
              <w:top w:val="single" w:sz="4" w:space="0" w:color="auto"/>
              <w:left w:val="single" w:sz="4" w:space="0" w:color="auto"/>
              <w:bottom w:val="single" w:sz="4" w:space="0" w:color="auto"/>
              <w:right w:val="single" w:sz="4" w:space="0" w:color="auto"/>
            </w:tcBorders>
            <w:vAlign w:val="center"/>
          </w:tcPr>
          <w:p w:rsidR="00EE4502" w:rsidRDefault="00FD45A3">
            <w:pPr>
              <w:jc w:val="center"/>
              <w:rPr>
                <w:rFonts w:hAnsi="宋体"/>
                <w:kern w:val="21"/>
                <w:szCs w:val="21"/>
              </w:rPr>
            </w:pPr>
            <w:r>
              <w:rPr>
                <w:rFonts w:hAnsi="宋体" w:hint="eastAsia"/>
                <w:kern w:val="21"/>
                <w:szCs w:val="21"/>
              </w:rPr>
              <w:t>-</w:t>
            </w:r>
          </w:p>
        </w:tc>
        <w:tc>
          <w:tcPr>
            <w:tcW w:w="402" w:type="pct"/>
            <w:tcBorders>
              <w:top w:val="single" w:sz="4" w:space="0" w:color="auto"/>
              <w:left w:val="single" w:sz="4" w:space="0" w:color="auto"/>
              <w:bottom w:val="single" w:sz="4" w:space="0" w:color="auto"/>
              <w:right w:val="single" w:sz="4" w:space="0" w:color="auto"/>
            </w:tcBorders>
            <w:vAlign w:val="center"/>
          </w:tcPr>
          <w:p w:rsidR="00EE4502" w:rsidRDefault="00FD45A3">
            <w:pPr>
              <w:jc w:val="center"/>
              <w:rPr>
                <w:rFonts w:hAnsi="宋体"/>
                <w:kern w:val="21"/>
                <w:szCs w:val="21"/>
              </w:rPr>
            </w:pPr>
            <w:r>
              <w:rPr>
                <w:rFonts w:hAnsi="宋体" w:hint="eastAsia"/>
                <w:kern w:val="21"/>
                <w:szCs w:val="21"/>
              </w:rPr>
              <w:t>E</w:t>
            </w:r>
          </w:p>
        </w:tc>
        <w:tc>
          <w:tcPr>
            <w:tcW w:w="707" w:type="pct"/>
            <w:tcBorders>
              <w:top w:val="single" w:sz="4" w:space="0" w:color="auto"/>
              <w:left w:val="single" w:sz="4" w:space="0" w:color="auto"/>
              <w:bottom w:val="single" w:sz="4" w:space="0" w:color="auto"/>
              <w:right w:val="single" w:sz="4" w:space="0" w:color="auto"/>
            </w:tcBorders>
            <w:vAlign w:val="center"/>
          </w:tcPr>
          <w:p w:rsidR="00EE4502" w:rsidRDefault="00FD45A3">
            <w:pPr>
              <w:jc w:val="center"/>
              <w:rPr>
                <w:rFonts w:hAnsi="宋体"/>
                <w:kern w:val="21"/>
                <w:szCs w:val="21"/>
              </w:rPr>
            </w:pPr>
            <w:r>
              <w:rPr>
                <w:rFonts w:hAnsi="宋体" w:hint="eastAsia"/>
                <w:kern w:val="21"/>
                <w:szCs w:val="21"/>
              </w:rPr>
              <w:t>17~95</w:t>
            </w:r>
          </w:p>
        </w:tc>
        <w:tc>
          <w:tcPr>
            <w:tcW w:w="1803" w:type="pct"/>
            <w:tcBorders>
              <w:top w:val="single" w:sz="4" w:space="0" w:color="auto"/>
              <w:left w:val="single" w:sz="4" w:space="0" w:color="auto"/>
              <w:bottom w:val="single" w:sz="4" w:space="0" w:color="auto"/>
              <w:right w:val="single" w:sz="4" w:space="0" w:color="auto"/>
            </w:tcBorders>
            <w:vAlign w:val="center"/>
          </w:tcPr>
          <w:p w:rsidR="00EE4502" w:rsidRDefault="00FD45A3">
            <w:pPr>
              <w:jc w:val="center"/>
              <w:rPr>
                <w:rFonts w:hAnsi="宋体"/>
                <w:kern w:val="21"/>
                <w:szCs w:val="21"/>
              </w:rPr>
            </w:pPr>
            <w:r>
              <w:rPr>
                <w:rFonts w:hAnsi="宋体" w:hint="eastAsia"/>
                <w:kern w:val="21"/>
                <w:szCs w:val="21"/>
              </w:rPr>
              <w:t>紫红、灰绿色泥岩、砂砾岩、砾状砂岩、细砂岩的不等厚组合。与下伏地层呈角度不整合接触。</w:t>
            </w:r>
          </w:p>
        </w:tc>
      </w:tr>
      <w:tr w:rsidR="00EE4502">
        <w:trPr>
          <w:trHeight w:val="397"/>
          <w:jc w:val="center"/>
        </w:trPr>
        <w:tc>
          <w:tcPr>
            <w:tcW w:w="517" w:type="pct"/>
            <w:tcBorders>
              <w:top w:val="single" w:sz="4" w:space="0" w:color="auto"/>
              <w:left w:val="single" w:sz="4" w:space="0" w:color="auto"/>
              <w:bottom w:val="single" w:sz="4" w:space="0" w:color="auto"/>
              <w:right w:val="single" w:sz="4" w:space="0" w:color="auto"/>
            </w:tcBorders>
            <w:vAlign w:val="center"/>
          </w:tcPr>
          <w:p w:rsidR="00EE4502" w:rsidRDefault="00FD45A3">
            <w:pPr>
              <w:jc w:val="center"/>
              <w:rPr>
                <w:rFonts w:hAnsi="宋体"/>
                <w:kern w:val="21"/>
                <w:szCs w:val="21"/>
              </w:rPr>
            </w:pPr>
            <w:r>
              <w:rPr>
                <w:rFonts w:hAnsi="宋体" w:hint="eastAsia"/>
                <w:kern w:val="21"/>
                <w:szCs w:val="21"/>
              </w:rPr>
              <w:t>白垩系</w:t>
            </w:r>
          </w:p>
        </w:tc>
        <w:tc>
          <w:tcPr>
            <w:tcW w:w="388" w:type="pct"/>
            <w:tcBorders>
              <w:top w:val="single" w:sz="4" w:space="0" w:color="auto"/>
              <w:left w:val="single" w:sz="4" w:space="0" w:color="auto"/>
              <w:bottom w:val="single" w:sz="4" w:space="0" w:color="auto"/>
              <w:right w:val="single" w:sz="4" w:space="0" w:color="auto"/>
            </w:tcBorders>
            <w:vAlign w:val="center"/>
          </w:tcPr>
          <w:p w:rsidR="00EE4502" w:rsidRDefault="00FD45A3">
            <w:pPr>
              <w:jc w:val="center"/>
              <w:rPr>
                <w:rFonts w:hAnsi="宋体"/>
                <w:kern w:val="21"/>
                <w:szCs w:val="21"/>
              </w:rPr>
            </w:pPr>
            <w:r>
              <w:rPr>
                <w:rFonts w:hAnsi="宋体" w:hint="eastAsia"/>
                <w:kern w:val="21"/>
                <w:szCs w:val="21"/>
              </w:rPr>
              <w:t>下统</w:t>
            </w:r>
          </w:p>
        </w:tc>
        <w:tc>
          <w:tcPr>
            <w:tcW w:w="858" w:type="pct"/>
            <w:tcBorders>
              <w:top w:val="single" w:sz="4" w:space="0" w:color="auto"/>
              <w:left w:val="single" w:sz="4" w:space="0" w:color="auto"/>
              <w:bottom w:val="single" w:sz="4" w:space="0" w:color="auto"/>
              <w:right w:val="single" w:sz="4" w:space="0" w:color="auto"/>
            </w:tcBorders>
            <w:vAlign w:val="center"/>
          </w:tcPr>
          <w:p w:rsidR="00EE4502" w:rsidRDefault="00FD45A3">
            <w:pPr>
              <w:jc w:val="center"/>
              <w:rPr>
                <w:rFonts w:hAnsi="宋体"/>
                <w:kern w:val="21"/>
                <w:szCs w:val="21"/>
              </w:rPr>
            </w:pPr>
            <w:r>
              <w:rPr>
                <w:rFonts w:hAnsi="宋体" w:hint="eastAsia"/>
                <w:kern w:val="21"/>
                <w:szCs w:val="21"/>
              </w:rPr>
              <w:t>吐谷鲁群</w:t>
            </w:r>
          </w:p>
        </w:tc>
        <w:tc>
          <w:tcPr>
            <w:tcW w:w="322" w:type="pct"/>
            <w:tcBorders>
              <w:top w:val="single" w:sz="4" w:space="0" w:color="auto"/>
              <w:left w:val="single" w:sz="4" w:space="0" w:color="auto"/>
              <w:bottom w:val="single" w:sz="4" w:space="0" w:color="auto"/>
              <w:right w:val="single" w:sz="4" w:space="0" w:color="auto"/>
            </w:tcBorders>
            <w:vAlign w:val="center"/>
          </w:tcPr>
          <w:p w:rsidR="00EE4502" w:rsidRDefault="00FD45A3">
            <w:pPr>
              <w:jc w:val="center"/>
              <w:rPr>
                <w:rFonts w:hAnsi="宋体"/>
                <w:kern w:val="21"/>
                <w:szCs w:val="21"/>
              </w:rPr>
            </w:pPr>
            <w:r>
              <w:rPr>
                <w:rFonts w:hAnsi="宋体" w:hint="eastAsia"/>
                <w:kern w:val="21"/>
                <w:szCs w:val="21"/>
              </w:rPr>
              <w:t>-</w:t>
            </w:r>
          </w:p>
        </w:tc>
        <w:tc>
          <w:tcPr>
            <w:tcW w:w="402" w:type="pct"/>
            <w:tcBorders>
              <w:top w:val="single" w:sz="4" w:space="0" w:color="auto"/>
              <w:left w:val="single" w:sz="4" w:space="0" w:color="auto"/>
              <w:bottom w:val="single" w:sz="4" w:space="0" w:color="auto"/>
              <w:right w:val="single" w:sz="4" w:space="0" w:color="auto"/>
            </w:tcBorders>
            <w:vAlign w:val="center"/>
          </w:tcPr>
          <w:p w:rsidR="00EE4502" w:rsidRDefault="00FD45A3">
            <w:pPr>
              <w:jc w:val="center"/>
              <w:rPr>
                <w:rFonts w:hAnsi="宋体"/>
                <w:kern w:val="21"/>
                <w:szCs w:val="21"/>
              </w:rPr>
            </w:pPr>
            <w:r>
              <w:rPr>
                <w:rFonts w:hAnsi="宋体" w:hint="eastAsia"/>
                <w:kern w:val="21"/>
                <w:szCs w:val="21"/>
              </w:rPr>
              <w:t>K</w:t>
            </w:r>
            <w:r>
              <w:rPr>
                <w:rFonts w:hAnsi="宋体" w:hint="eastAsia"/>
                <w:kern w:val="21"/>
                <w:szCs w:val="21"/>
                <w:vertAlign w:val="subscript"/>
              </w:rPr>
              <w:t>1</w:t>
            </w:r>
            <w:r>
              <w:rPr>
                <w:rFonts w:hAnsi="宋体" w:hint="eastAsia"/>
                <w:kern w:val="21"/>
                <w:szCs w:val="21"/>
              </w:rPr>
              <w:t>tg</w:t>
            </w:r>
          </w:p>
        </w:tc>
        <w:tc>
          <w:tcPr>
            <w:tcW w:w="707" w:type="pct"/>
            <w:tcBorders>
              <w:top w:val="single" w:sz="4" w:space="0" w:color="auto"/>
              <w:left w:val="single" w:sz="4" w:space="0" w:color="auto"/>
              <w:bottom w:val="single" w:sz="4" w:space="0" w:color="auto"/>
              <w:right w:val="single" w:sz="4" w:space="0" w:color="auto"/>
            </w:tcBorders>
            <w:vAlign w:val="center"/>
          </w:tcPr>
          <w:p w:rsidR="00EE4502" w:rsidRDefault="00FD45A3">
            <w:pPr>
              <w:jc w:val="center"/>
              <w:rPr>
                <w:rFonts w:hAnsi="宋体"/>
                <w:kern w:val="21"/>
                <w:szCs w:val="21"/>
              </w:rPr>
            </w:pPr>
            <w:r>
              <w:rPr>
                <w:rFonts w:hAnsi="宋体" w:hint="eastAsia"/>
                <w:kern w:val="21"/>
                <w:szCs w:val="21"/>
              </w:rPr>
              <w:t>30~700</w:t>
            </w:r>
          </w:p>
        </w:tc>
        <w:tc>
          <w:tcPr>
            <w:tcW w:w="1803" w:type="pct"/>
            <w:tcBorders>
              <w:top w:val="single" w:sz="4" w:space="0" w:color="auto"/>
              <w:left w:val="single" w:sz="4" w:space="0" w:color="auto"/>
              <w:bottom w:val="single" w:sz="4" w:space="0" w:color="auto"/>
              <w:right w:val="single" w:sz="4" w:space="0" w:color="auto"/>
            </w:tcBorders>
            <w:vAlign w:val="center"/>
          </w:tcPr>
          <w:p w:rsidR="00EE4502" w:rsidRDefault="00FD45A3">
            <w:pPr>
              <w:jc w:val="center"/>
              <w:rPr>
                <w:rFonts w:hAnsi="宋体"/>
                <w:kern w:val="21"/>
                <w:szCs w:val="21"/>
              </w:rPr>
            </w:pPr>
            <w:r>
              <w:rPr>
                <w:rFonts w:hAnsi="宋体" w:hint="eastAsia"/>
                <w:kern w:val="21"/>
                <w:szCs w:val="21"/>
              </w:rPr>
              <w:t>灰色、灰绿色泥岩与灰色含砾细砂岩、细砂岩和粉砂岩互层。与下伏地层呈角度不整合接触。</w:t>
            </w:r>
          </w:p>
        </w:tc>
      </w:tr>
      <w:tr w:rsidR="00EE4502">
        <w:trPr>
          <w:trHeight w:val="397"/>
          <w:jc w:val="center"/>
        </w:trPr>
        <w:tc>
          <w:tcPr>
            <w:tcW w:w="517" w:type="pct"/>
            <w:tcBorders>
              <w:top w:val="single" w:sz="4" w:space="0" w:color="auto"/>
              <w:left w:val="single" w:sz="4" w:space="0" w:color="auto"/>
              <w:bottom w:val="single" w:sz="4" w:space="0" w:color="auto"/>
              <w:right w:val="single" w:sz="4" w:space="0" w:color="auto"/>
            </w:tcBorders>
            <w:vAlign w:val="center"/>
          </w:tcPr>
          <w:p w:rsidR="00EE4502" w:rsidRDefault="00FD45A3">
            <w:pPr>
              <w:jc w:val="center"/>
              <w:rPr>
                <w:rFonts w:hAnsi="宋体"/>
                <w:kern w:val="21"/>
                <w:szCs w:val="21"/>
              </w:rPr>
            </w:pPr>
            <w:r>
              <w:rPr>
                <w:rFonts w:hAnsi="宋体" w:hint="eastAsia"/>
                <w:kern w:val="21"/>
                <w:szCs w:val="21"/>
              </w:rPr>
              <w:t>侏罗系</w:t>
            </w:r>
          </w:p>
        </w:tc>
        <w:tc>
          <w:tcPr>
            <w:tcW w:w="388" w:type="pct"/>
            <w:tcBorders>
              <w:top w:val="single" w:sz="4" w:space="0" w:color="auto"/>
              <w:left w:val="single" w:sz="4" w:space="0" w:color="auto"/>
              <w:bottom w:val="single" w:sz="4" w:space="0" w:color="auto"/>
              <w:right w:val="single" w:sz="4" w:space="0" w:color="auto"/>
            </w:tcBorders>
            <w:vAlign w:val="center"/>
          </w:tcPr>
          <w:p w:rsidR="00EE4502" w:rsidRDefault="00FD45A3">
            <w:pPr>
              <w:jc w:val="center"/>
              <w:rPr>
                <w:rFonts w:hAnsi="宋体"/>
                <w:kern w:val="21"/>
                <w:szCs w:val="21"/>
              </w:rPr>
            </w:pPr>
            <w:r>
              <w:rPr>
                <w:rFonts w:hAnsi="宋体" w:hint="eastAsia"/>
                <w:kern w:val="21"/>
                <w:szCs w:val="21"/>
              </w:rPr>
              <w:t>-</w:t>
            </w:r>
          </w:p>
        </w:tc>
        <w:tc>
          <w:tcPr>
            <w:tcW w:w="858" w:type="pct"/>
            <w:tcBorders>
              <w:top w:val="single" w:sz="4" w:space="0" w:color="auto"/>
              <w:left w:val="single" w:sz="4" w:space="0" w:color="auto"/>
              <w:bottom w:val="single" w:sz="4" w:space="0" w:color="auto"/>
              <w:right w:val="single" w:sz="4" w:space="0" w:color="auto"/>
            </w:tcBorders>
            <w:vAlign w:val="center"/>
          </w:tcPr>
          <w:p w:rsidR="00EE4502" w:rsidRDefault="00FD45A3">
            <w:pPr>
              <w:jc w:val="center"/>
              <w:rPr>
                <w:rFonts w:hAnsi="宋体"/>
                <w:kern w:val="21"/>
                <w:szCs w:val="21"/>
              </w:rPr>
            </w:pPr>
            <w:r>
              <w:rPr>
                <w:rFonts w:hAnsi="宋体" w:hint="eastAsia"/>
                <w:kern w:val="21"/>
                <w:szCs w:val="21"/>
              </w:rPr>
              <w:t>-</w:t>
            </w:r>
          </w:p>
        </w:tc>
        <w:tc>
          <w:tcPr>
            <w:tcW w:w="322" w:type="pct"/>
            <w:tcBorders>
              <w:top w:val="single" w:sz="4" w:space="0" w:color="auto"/>
              <w:left w:val="single" w:sz="4" w:space="0" w:color="auto"/>
              <w:bottom w:val="single" w:sz="4" w:space="0" w:color="auto"/>
              <w:right w:val="single" w:sz="4" w:space="0" w:color="auto"/>
            </w:tcBorders>
            <w:vAlign w:val="center"/>
          </w:tcPr>
          <w:p w:rsidR="00EE4502" w:rsidRDefault="00FD45A3">
            <w:pPr>
              <w:jc w:val="center"/>
              <w:rPr>
                <w:rFonts w:hAnsi="宋体"/>
                <w:kern w:val="21"/>
                <w:szCs w:val="21"/>
              </w:rPr>
            </w:pPr>
            <w:r>
              <w:rPr>
                <w:rFonts w:hAnsi="宋体" w:hint="eastAsia"/>
                <w:kern w:val="21"/>
                <w:szCs w:val="21"/>
              </w:rPr>
              <w:t>-</w:t>
            </w:r>
          </w:p>
        </w:tc>
        <w:tc>
          <w:tcPr>
            <w:tcW w:w="402" w:type="pct"/>
            <w:tcBorders>
              <w:top w:val="single" w:sz="4" w:space="0" w:color="auto"/>
              <w:left w:val="single" w:sz="4" w:space="0" w:color="auto"/>
              <w:bottom w:val="single" w:sz="4" w:space="0" w:color="auto"/>
              <w:right w:val="single" w:sz="4" w:space="0" w:color="auto"/>
            </w:tcBorders>
            <w:vAlign w:val="center"/>
          </w:tcPr>
          <w:p w:rsidR="00EE4502" w:rsidRDefault="00FD45A3">
            <w:pPr>
              <w:jc w:val="center"/>
              <w:rPr>
                <w:rFonts w:hAnsi="宋体"/>
                <w:kern w:val="21"/>
                <w:szCs w:val="21"/>
              </w:rPr>
            </w:pPr>
            <w:r>
              <w:rPr>
                <w:rFonts w:hAnsi="宋体" w:hint="eastAsia"/>
                <w:kern w:val="21"/>
                <w:szCs w:val="21"/>
              </w:rPr>
              <w:t>J</w:t>
            </w:r>
          </w:p>
        </w:tc>
        <w:tc>
          <w:tcPr>
            <w:tcW w:w="707" w:type="pct"/>
            <w:tcBorders>
              <w:top w:val="single" w:sz="4" w:space="0" w:color="auto"/>
              <w:left w:val="single" w:sz="4" w:space="0" w:color="auto"/>
              <w:bottom w:val="single" w:sz="4" w:space="0" w:color="auto"/>
              <w:right w:val="single" w:sz="4" w:space="0" w:color="auto"/>
            </w:tcBorders>
            <w:vAlign w:val="center"/>
          </w:tcPr>
          <w:p w:rsidR="00EE4502" w:rsidRDefault="00FD45A3">
            <w:pPr>
              <w:jc w:val="center"/>
              <w:rPr>
                <w:rFonts w:hAnsi="宋体"/>
                <w:kern w:val="21"/>
                <w:szCs w:val="21"/>
              </w:rPr>
            </w:pPr>
            <w:r>
              <w:rPr>
                <w:rFonts w:hAnsi="宋体" w:hint="eastAsia"/>
                <w:kern w:val="21"/>
                <w:szCs w:val="21"/>
              </w:rPr>
              <w:t>60~300</w:t>
            </w:r>
          </w:p>
        </w:tc>
        <w:tc>
          <w:tcPr>
            <w:tcW w:w="1803" w:type="pct"/>
            <w:tcBorders>
              <w:top w:val="single" w:sz="4" w:space="0" w:color="auto"/>
              <w:left w:val="single" w:sz="4" w:space="0" w:color="auto"/>
              <w:bottom w:val="single" w:sz="4" w:space="0" w:color="auto"/>
              <w:right w:val="single" w:sz="4" w:space="0" w:color="auto"/>
            </w:tcBorders>
            <w:vAlign w:val="center"/>
          </w:tcPr>
          <w:p w:rsidR="00EE4502" w:rsidRDefault="00FD45A3">
            <w:pPr>
              <w:jc w:val="center"/>
              <w:rPr>
                <w:rFonts w:hAnsi="宋体"/>
                <w:kern w:val="21"/>
                <w:szCs w:val="21"/>
              </w:rPr>
            </w:pPr>
            <w:r>
              <w:rPr>
                <w:rFonts w:hAnsi="宋体" w:hint="eastAsia"/>
                <w:kern w:val="21"/>
                <w:szCs w:val="21"/>
              </w:rPr>
              <w:t>灰褐色角砾岩、砂质砾岩、灰色砾状砂岩为主。与下伏地层呈不整合接触。</w:t>
            </w:r>
          </w:p>
        </w:tc>
      </w:tr>
      <w:tr w:rsidR="00EE4502">
        <w:trPr>
          <w:trHeight w:val="397"/>
          <w:jc w:val="center"/>
        </w:trPr>
        <w:tc>
          <w:tcPr>
            <w:tcW w:w="517" w:type="pct"/>
            <w:vMerge w:val="restart"/>
            <w:tcBorders>
              <w:top w:val="single" w:sz="4" w:space="0" w:color="auto"/>
              <w:left w:val="single" w:sz="4" w:space="0" w:color="auto"/>
              <w:bottom w:val="single" w:sz="4" w:space="0" w:color="auto"/>
              <w:right w:val="single" w:sz="4" w:space="0" w:color="auto"/>
            </w:tcBorders>
            <w:vAlign w:val="center"/>
          </w:tcPr>
          <w:p w:rsidR="00EE4502" w:rsidRDefault="00FD45A3">
            <w:pPr>
              <w:jc w:val="center"/>
              <w:rPr>
                <w:rFonts w:hAnsi="宋体"/>
                <w:kern w:val="21"/>
                <w:szCs w:val="21"/>
              </w:rPr>
            </w:pPr>
            <w:r>
              <w:rPr>
                <w:rFonts w:hAnsi="宋体" w:hint="eastAsia"/>
                <w:kern w:val="21"/>
                <w:szCs w:val="21"/>
              </w:rPr>
              <w:t>石炭系</w:t>
            </w:r>
          </w:p>
        </w:tc>
        <w:tc>
          <w:tcPr>
            <w:tcW w:w="388" w:type="pct"/>
            <w:vMerge w:val="restart"/>
            <w:tcBorders>
              <w:top w:val="single" w:sz="4" w:space="0" w:color="auto"/>
              <w:left w:val="single" w:sz="4" w:space="0" w:color="auto"/>
              <w:bottom w:val="single" w:sz="4" w:space="0" w:color="auto"/>
              <w:right w:val="single" w:sz="4" w:space="0" w:color="auto"/>
            </w:tcBorders>
            <w:vAlign w:val="center"/>
          </w:tcPr>
          <w:p w:rsidR="00EE4502" w:rsidRDefault="00FD45A3">
            <w:pPr>
              <w:jc w:val="center"/>
              <w:rPr>
                <w:rFonts w:hAnsi="宋体"/>
                <w:kern w:val="21"/>
                <w:szCs w:val="21"/>
              </w:rPr>
            </w:pPr>
            <w:r>
              <w:rPr>
                <w:rFonts w:hAnsi="宋体" w:hint="eastAsia"/>
                <w:kern w:val="21"/>
                <w:szCs w:val="21"/>
              </w:rPr>
              <w:t>上统</w:t>
            </w:r>
          </w:p>
        </w:tc>
        <w:tc>
          <w:tcPr>
            <w:tcW w:w="858" w:type="pct"/>
            <w:tcBorders>
              <w:top w:val="single" w:sz="4" w:space="0" w:color="auto"/>
              <w:left w:val="single" w:sz="4" w:space="0" w:color="auto"/>
              <w:bottom w:val="single" w:sz="4" w:space="0" w:color="auto"/>
              <w:right w:val="single" w:sz="4" w:space="0" w:color="auto"/>
            </w:tcBorders>
            <w:vAlign w:val="center"/>
          </w:tcPr>
          <w:p w:rsidR="00EE4502" w:rsidRDefault="00FD45A3">
            <w:pPr>
              <w:jc w:val="center"/>
              <w:rPr>
                <w:rFonts w:hAnsi="宋体"/>
                <w:kern w:val="21"/>
                <w:szCs w:val="21"/>
              </w:rPr>
            </w:pPr>
            <w:r>
              <w:rPr>
                <w:rFonts w:hAnsi="宋体" w:hint="eastAsia"/>
                <w:kern w:val="21"/>
                <w:szCs w:val="21"/>
              </w:rPr>
              <w:t>希贝库拉斯组</w:t>
            </w:r>
          </w:p>
        </w:tc>
        <w:tc>
          <w:tcPr>
            <w:tcW w:w="322" w:type="pct"/>
            <w:tcBorders>
              <w:top w:val="single" w:sz="4" w:space="0" w:color="auto"/>
              <w:left w:val="single" w:sz="4" w:space="0" w:color="auto"/>
              <w:bottom w:val="single" w:sz="4" w:space="0" w:color="auto"/>
              <w:right w:val="single" w:sz="4" w:space="0" w:color="auto"/>
            </w:tcBorders>
            <w:vAlign w:val="center"/>
          </w:tcPr>
          <w:p w:rsidR="00EE4502" w:rsidRDefault="00FD45A3">
            <w:pPr>
              <w:jc w:val="center"/>
              <w:rPr>
                <w:rFonts w:hAnsi="宋体"/>
                <w:kern w:val="21"/>
                <w:szCs w:val="21"/>
              </w:rPr>
            </w:pPr>
            <w:r>
              <w:rPr>
                <w:rFonts w:hAnsi="宋体" w:hint="eastAsia"/>
                <w:kern w:val="21"/>
                <w:szCs w:val="21"/>
              </w:rPr>
              <w:t>-</w:t>
            </w:r>
          </w:p>
        </w:tc>
        <w:tc>
          <w:tcPr>
            <w:tcW w:w="402" w:type="pct"/>
            <w:tcBorders>
              <w:top w:val="single" w:sz="4" w:space="0" w:color="auto"/>
              <w:left w:val="single" w:sz="4" w:space="0" w:color="auto"/>
              <w:bottom w:val="single" w:sz="4" w:space="0" w:color="auto"/>
              <w:right w:val="single" w:sz="4" w:space="0" w:color="auto"/>
            </w:tcBorders>
            <w:vAlign w:val="center"/>
          </w:tcPr>
          <w:p w:rsidR="00EE4502" w:rsidRDefault="00FD45A3">
            <w:pPr>
              <w:jc w:val="center"/>
              <w:rPr>
                <w:rFonts w:hAnsi="宋体"/>
                <w:kern w:val="21"/>
                <w:szCs w:val="21"/>
              </w:rPr>
            </w:pPr>
            <w:r>
              <w:rPr>
                <w:rFonts w:hAnsi="宋体" w:hint="eastAsia"/>
                <w:kern w:val="21"/>
                <w:szCs w:val="21"/>
              </w:rPr>
              <w:t>C</w:t>
            </w:r>
            <w:r>
              <w:rPr>
                <w:rFonts w:hAnsi="宋体" w:hint="eastAsia"/>
                <w:kern w:val="21"/>
                <w:szCs w:val="21"/>
                <w:vertAlign w:val="subscript"/>
              </w:rPr>
              <w:t>2</w:t>
            </w:r>
            <w:r>
              <w:rPr>
                <w:rFonts w:hAnsi="宋体" w:hint="eastAsia"/>
                <w:kern w:val="21"/>
                <w:szCs w:val="21"/>
              </w:rPr>
              <w:t>x</w:t>
            </w:r>
          </w:p>
        </w:tc>
        <w:tc>
          <w:tcPr>
            <w:tcW w:w="707" w:type="pct"/>
            <w:tcBorders>
              <w:top w:val="single" w:sz="4" w:space="0" w:color="auto"/>
              <w:left w:val="single" w:sz="4" w:space="0" w:color="auto"/>
              <w:bottom w:val="single" w:sz="4" w:space="0" w:color="auto"/>
              <w:right w:val="single" w:sz="4" w:space="0" w:color="auto"/>
            </w:tcBorders>
            <w:vAlign w:val="center"/>
          </w:tcPr>
          <w:p w:rsidR="00EE4502" w:rsidRDefault="00FD45A3">
            <w:pPr>
              <w:jc w:val="center"/>
              <w:rPr>
                <w:rFonts w:hAnsi="宋体"/>
                <w:kern w:val="21"/>
                <w:szCs w:val="21"/>
              </w:rPr>
            </w:pPr>
            <w:r>
              <w:rPr>
                <w:rFonts w:hAnsi="宋体" w:hint="eastAsia"/>
                <w:kern w:val="21"/>
                <w:szCs w:val="21"/>
              </w:rPr>
              <w:t>250-1300</w:t>
            </w:r>
          </w:p>
        </w:tc>
        <w:tc>
          <w:tcPr>
            <w:tcW w:w="1803" w:type="pct"/>
            <w:tcBorders>
              <w:top w:val="single" w:sz="4" w:space="0" w:color="auto"/>
              <w:left w:val="single" w:sz="4" w:space="0" w:color="auto"/>
              <w:bottom w:val="single" w:sz="4" w:space="0" w:color="auto"/>
              <w:right w:val="single" w:sz="4" w:space="0" w:color="auto"/>
            </w:tcBorders>
            <w:vAlign w:val="center"/>
          </w:tcPr>
          <w:p w:rsidR="00EE4502" w:rsidRDefault="00FD45A3">
            <w:pPr>
              <w:jc w:val="center"/>
              <w:rPr>
                <w:rFonts w:hAnsi="宋体"/>
                <w:kern w:val="21"/>
                <w:szCs w:val="21"/>
              </w:rPr>
            </w:pPr>
            <w:r>
              <w:rPr>
                <w:rFonts w:hAnsi="宋体" w:hint="eastAsia"/>
                <w:kern w:val="21"/>
                <w:szCs w:val="21"/>
              </w:rPr>
              <w:t>安山岩、火山角砾岩、凝灰岩、玄武岩为主，夹凝灰质砂泥岩。</w:t>
            </w:r>
          </w:p>
        </w:tc>
      </w:tr>
      <w:tr w:rsidR="00EE4502">
        <w:trPr>
          <w:trHeight w:val="397"/>
          <w:jc w:val="center"/>
        </w:trPr>
        <w:tc>
          <w:tcPr>
            <w:tcW w:w="517" w:type="pct"/>
            <w:vMerge/>
            <w:tcBorders>
              <w:top w:val="single" w:sz="4" w:space="0" w:color="auto"/>
              <w:left w:val="single" w:sz="4" w:space="0" w:color="auto"/>
              <w:bottom w:val="single" w:sz="4" w:space="0" w:color="auto"/>
              <w:right w:val="single" w:sz="4" w:space="0" w:color="auto"/>
            </w:tcBorders>
            <w:vAlign w:val="center"/>
          </w:tcPr>
          <w:p w:rsidR="00EE4502" w:rsidRDefault="00EE4502">
            <w:pPr>
              <w:jc w:val="center"/>
              <w:rPr>
                <w:rFonts w:hAnsi="宋体"/>
                <w:kern w:val="21"/>
                <w:szCs w:val="21"/>
              </w:rPr>
            </w:pPr>
          </w:p>
        </w:tc>
        <w:tc>
          <w:tcPr>
            <w:tcW w:w="388" w:type="pct"/>
            <w:vMerge/>
            <w:tcBorders>
              <w:top w:val="single" w:sz="4" w:space="0" w:color="auto"/>
              <w:left w:val="single" w:sz="4" w:space="0" w:color="auto"/>
              <w:bottom w:val="single" w:sz="4" w:space="0" w:color="auto"/>
              <w:right w:val="single" w:sz="4" w:space="0" w:color="auto"/>
            </w:tcBorders>
            <w:vAlign w:val="center"/>
          </w:tcPr>
          <w:p w:rsidR="00EE4502" w:rsidRDefault="00EE4502">
            <w:pPr>
              <w:jc w:val="center"/>
              <w:rPr>
                <w:rFonts w:hAnsi="宋体"/>
                <w:kern w:val="21"/>
                <w:szCs w:val="21"/>
              </w:rPr>
            </w:pPr>
          </w:p>
        </w:tc>
        <w:tc>
          <w:tcPr>
            <w:tcW w:w="858" w:type="pct"/>
            <w:vMerge w:val="restart"/>
            <w:tcBorders>
              <w:top w:val="single" w:sz="4" w:space="0" w:color="auto"/>
              <w:left w:val="single" w:sz="4" w:space="0" w:color="auto"/>
              <w:bottom w:val="single" w:sz="4" w:space="0" w:color="auto"/>
              <w:right w:val="single" w:sz="4" w:space="0" w:color="auto"/>
            </w:tcBorders>
            <w:vAlign w:val="center"/>
          </w:tcPr>
          <w:p w:rsidR="00EE4502" w:rsidRDefault="00FD45A3">
            <w:pPr>
              <w:jc w:val="center"/>
              <w:rPr>
                <w:rFonts w:hAnsi="宋体"/>
                <w:kern w:val="21"/>
                <w:szCs w:val="21"/>
              </w:rPr>
            </w:pPr>
            <w:r>
              <w:rPr>
                <w:rFonts w:hAnsi="宋体" w:hint="eastAsia"/>
                <w:kern w:val="21"/>
                <w:szCs w:val="21"/>
              </w:rPr>
              <w:t>包古图组</w:t>
            </w:r>
          </w:p>
        </w:tc>
        <w:tc>
          <w:tcPr>
            <w:tcW w:w="322" w:type="pct"/>
            <w:vMerge w:val="restart"/>
            <w:tcBorders>
              <w:top w:val="single" w:sz="4" w:space="0" w:color="auto"/>
              <w:left w:val="single" w:sz="4" w:space="0" w:color="auto"/>
              <w:bottom w:val="single" w:sz="4" w:space="0" w:color="auto"/>
              <w:right w:val="single" w:sz="4" w:space="0" w:color="auto"/>
            </w:tcBorders>
            <w:vAlign w:val="center"/>
          </w:tcPr>
          <w:p w:rsidR="00EE4502" w:rsidRDefault="00FD45A3">
            <w:pPr>
              <w:jc w:val="center"/>
              <w:rPr>
                <w:rFonts w:hAnsi="宋体"/>
                <w:kern w:val="21"/>
                <w:szCs w:val="21"/>
              </w:rPr>
            </w:pPr>
            <w:r>
              <w:rPr>
                <w:rFonts w:hAnsi="宋体" w:hint="eastAsia"/>
                <w:kern w:val="21"/>
                <w:szCs w:val="21"/>
              </w:rPr>
              <w:t>-</w:t>
            </w:r>
          </w:p>
        </w:tc>
        <w:tc>
          <w:tcPr>
            <w:tcW w:w="402" w:type="pct"/>
            <w:vMerge w:val="restart"/>
            <w:tcBorders>
              <w:top w:val="single" w:sz="4" w:space="0" w:color="auto"/>
              <w:left w:val="single" w:sz="4" w:space="0" w:color="auto"/>
              <w:bottom w:val="single" w:sz="4" w:space="0" w:color="auto"/>
              <w:right w:val="single" w:sz="4" w:space="0" w:color="auto"/>
            </w:tcBorders>
            <w:vAlign w:val="center"/>
          </w:tcPr>
          <w:p w:rsidR="00EE4502" w:rsidRDefault="00FD45A3">
            <w:pPr>
              <w:jc w:val="center"/>
              <w:rPr>
                <w:rFonts w:hAnsi="宋体"/>
                <w:kern w:val="21"/>
                <w:szCs w:val="21"/>
              </w:rPr>
            </w:pPr>
            <w:r>
              <w:rPr>
                <w:rFonts w:hAnsi="宋体" w:hint="eastAsia"/>
                <w:kern w:val="21"/>
                <w:szCs w:val="21"/>
              </w:rPr>
              <w:t>C</w:t>
            </w:r>
            <w:r>
              <w:rPr>
                <w:rFonts w:hAnsi="宋体" w:hint="eastAsia"/>
                <w:kern w:val="21"/>
                <w:szCs w:val="21"/>
                <w:vertAlign w:val="subscript"/>
              </w:rPr>
              <w:t>1-2</w:t>
            </w:r>
            <w:r>
              <w:rPr>
                <w:rFonts w:hAnsi="宋体" w:hint="eastAsia"/>
                <w:kern w:val="21"/>
                <w:szCs w:val="21"/>
              </w:rPr>
              <w:t>b</w:t>
            </w:r>
          </w:p>
        </w:tc>
        <w:tc>
          <w:tcPr>
            <w:tcW w:w="707" w:type="pct"/>
            <w:vMerge w:val="restart"/>
            <w:tcBorders>
              <w:top w:val="single" w:sz="4" w:space="0" w:color="auto"/>
              <w:left w:val="single" w:sz="4" w:space="0" w:color="auto"/>
              <w:bottom w:val="single" w:sz="4" w:space="0" w:color="auto"/>
              <w:right w:val="single" w:sz="4" w:space="0" w:color="auto"/>
            </w:tcBorders>
            <w:vAlign w:val="center"/>
          </w:tcPr>
          <w:p w:rsidR="00EE4502" w:rsidRDefault="00FD45A3">
            <w:pPr>
              <w:jc w:val="center"/>
              <w:rPr>
                <w:rFonts w:hAnsi="宋体"/>
                <w:kern w:val="21"/>
                <w:szCs w:val="21"/>
              </w:rPr>
            </w:pPr>
            <w:r>
              <w:rPr>
                <w:rFonts w:hAnsi="宋体" w:hint="eastAsia"/>
                <w:kern w:val="21"/>
                <w:szCs w:val="21"/>
              </w:rPr>
              <w:t>400-1400</w:t>
            </w:r>
          </w:p>
        </w:tc>
        <w:tc>
          <w:tcPr>
            <w:tcW w:w="1803" w:type="pct"/>
            <w:vMerge w:val="restart"/>
            <w:tcBorders>
              <w:top w:val="single" w:sz="4" w:space="0" w:color="auto"/>
              <w:left w:val="single" w:sz="4" w:space="0" w:color="auto"/>
              <w:bottom w:val="single" w:sz="4" w:space="0" w:color="auto"/>
              <w:right w:val="single" w:sz="4" w:space="0" w:color="auto"/>
            </w:tcBorders>
            <w:vAlign w:val="center"/>
          </w:tcPr>
          <w:p w:rsidR="00EE4502" w:rsidRDefault="00FD45A3">
            <w:pPr>
              <w:jc w:val="center"/>
              <w:rPr>
                <w:rFonts w:hAnsi="宋体"/>
                <w:kern w:val="21"/>
                <w:szCs w:val="21"/>
              </w:rPr>
            </w:pPr>
            <w:r>
              <w:rPr>
                <w:rFonts w:hAnsi="宋体" w:hint="eastAsia"/>
                <w:kern w:val="21"/>
                <w:szCs w:val="21"/>
              </w:rPr>
              <w:t>凝灰质泥岩、凝灰质砂岩、泥岩、主为主，夹少量凝灰岩。</w:t>
            </w:r>
          </w:p>
        </w:tc>
      </w:tr>
      <w:tr w:rsidR="00EE4502">
        <w:trPr>
          <w:trHeight w:val="397"/>
          <w:jc w:val="center"/>
        </w:trPr>
        <w:tc>
          <w:tcPr>
            <w:tcW w:w="517" w:type="pct"/>
            <w:vMerge/>
            <w:tcBorders>
              <w:top w:val="single" w:sz="4" w:space="0" w:color="auto"/>
              <w:left w:val="single" w:sz="4" w:space="0" w:color="auto"/>
              <w:bottom w:val="single" w:sz="4" w:space="0" w:color="auto"/>
              <w:right w:val="single" w:sz="4" w:space="0" w:color="auto"/>
            </w:tcBorders>
            <w:vAlign w:val="center"/>
          </w:tcPr>
          <w:p w:rsidR="00EE4502" w:rsidRDefault="00EE4502">
            <w:pPr>
              <w:jc w:val="center"/>
              <w:rPr>
                <w:rFonts w:hAnsi="宋体"/>
                <w:kern w:val="21"/>
                <w:szCs w:val="21"/>
              </w:rPr>
            </w:pPr>
          </w:p>
        </w:tc>
        <w:tc>
          <w:tcPr>
            <w:tcW w:w="388" w:type="pct"/>
            <w:vMerge w:val="restart"/>
            <w:tcBorders>
              <w:top w:val="single" w:sz="4" w:space="0" w:color="auto"/>
              <w:left w:val="single" w:sz="4" w:space="0" w:color="auto"/>
              <w:bottom w:val="single" w:sz="4" w:space="0" w:color="auto"/>
              <w:right w:val="single" w:sz="4" w:space="0" w:color="auto"/>
            </w:tcBorders>
            <w:vAlign w:val="center"/>
          </w:tcPr>
          <w:p w:rsidR="00EE4502" w:rsidRDefault="00FD45A3">
            <w:pPr>
              <w:jc w:val="center"/>
              <w:rPr>
                <w:rFonts w:hAnsi="宋体"/>
                <w:kern w:val="21"/>
                <w:szCs w:val="21"/>
              </w:rPr>
            </w:pPr>
            <w:r>
              <w:rPr>
                <w:rFonts w:hAnsi="宋体" w:hint="eastAsia"/>
                <w:kern w:val="21"/>
                <w:szCs w:val="21"/>
              </w:rPr>
              <w:t>下统</w:t>
            </w:r>
          </w:p>
        </w:tc>
        <w:tc>
          <w:tcPr>
            <w:tcW w:w="858" w:type="pct"/>
            <w:vMerge/>
            <w:tcBorders>
              <w:top w:val="single" w:sz="4" w:space="0" w:color="auto"/>
              <w:left w:val="single" w:sz="4" w:space="0" w:color="auto"/>
              <w:bottom w:val="single" w:sz="4" w:space="0" w:color="auto"/>
              <w:right w:val="single" w:sz="4" w:space="0" w:color="auto"/>
            </w:tcBorders>
            <w:vAlign w:val="center"/>
          </w:tcPr>
          <w:p w:rsidR="00EE4502" w:rsidRDefault="00EE4502">
            <w:pPr>
              <w:jc w:val="center"/>
              <w:rPr>
                <w:rFonts w:hAnsi="宋体"/>
                <w:kern w:val="21"/>
                <w:szCs w:val="21"/>
              </w:rPr>
            </w:pPr>
          </w:p>
        </w:tc>
        <w:tc>
          <w:tcPr>
            <w:tcW w:w="322" w:type="pct"/>
            <w:vMerge/>
            <w:tcBorders>
              <w:top w:val="single" w:sz="4" w:space="0" w:color="auto"/>
              <w:left w:val="single" w:sz="4" w:space="0" w:color="auto"/>
              <w:bottom w:val="single" w:sz="4" w:space="0" w:color="auto"/>
              <w:right w:val="single" w:sz="4" w:space="0" w:color="auto"/>
            </w:tcBorders>
            <w:vAlign w:val="center"/>
          </w:tcPr>
          <w:p w:rsidR="00EE4502" w:rsidRDefault="00EE4502">
            <w:pPr>
              <w:jc w:val="center"/>
              <w:rPr>
                <w:rFonts w:hAnsi="宋体"/>
                <w:kern w:val="21"/>
                <w:szCs w:val="21"/>
              </w:rPr>
            </w:pPr>
          </w:p>
        </w:tc>
        <w:tc>
          <w:tcPr>
            <w:tcW w:w="402" w:type="pct"/>
            <w:vMerge/>
            <w:tcBorders>
              <w:top w:val="single" w:sz="4" w:space="0" w:color="auto"/>
              <w:left w:val="single" w:sz="4" w:space="0" w:color="auto"/>
              <w:bottom w:val="single" w:sz="4" w:space="0" w:color="auto"/>
              <w:right w:val="single" w:sz="4" w:space="0" w:color="auto"/>
            </w:tcBorders>
            <w:vAlign w:val="center"/>
          </w:tcPr>
          <w:p w:rsidR="00EE4502" w:rsidRDefault="00EE4502">
            <w:pPr>
              <w:jc w:val="center"/>
              <w:rPr>
                <w:rFonts w:hAnsi="宋体"/>
                <w:kern w:val="21"/>
                <w:szCs w:val="21"/>
              </w:rPr>
            </w:pPr>
          </w:p>
        </w:tc>
        <w:tc>
          <w:tcPr>
            <w:tcW w:w="707" w:type="pct"/>
            <w:vMerge/>
            <w:tcBorders>
              <w:top w:val="single" w:sz="4" w:space="0" w:color="auto"/>
              <w:left w:val="single" w:sz="4" w:space="0" w:color="auto"/>
              <w:bottom w:val="single" w:sz="4" w:space="0" w:color="auto"/>
              <w:right w:val="single" w:sz="4" w:space="0" w:color="auto"/>
            </w:tcBorders>
            <w:vAlign w:val="center"/>
          </w:tcPr>
          <w:p w:rsidR="00EE4502" w:rsidRDefault="00EE4502">
            <w:pPr>
              <w:jc w:val="center"/>
              <w:rPr>
                <w:rFonts w:hAnsi="宋体"/>
                <w:kern w:val="21"/>
                <w:szCs w:val="21"/>
              </w:rPr>
            </w:pPr>
          </w:p>
        </w:tc>
        <w:tc>
          <w:tcPr>
            <w:tcW w:w="1803" w:type="pct"/>
            <w:vMerge/>
            <w:tcBorders>
              <w:top w:val="single" w:sz="4" w:space="0" w:color="auto"/>
              <w:left w:val="single" w:sz="4" w:space="0" w:color="auto"/>
              <w:bottom w:val="single" w:sz="4" w:space="0" w:color="auto"/>
              <w:right w:val="single" w:sz="4" w:space="0" w:color="auto"/>
            </w:tcBorders>
            <w:vAlign w:val="center"/>
          </w:tcPr>
          <w:p w:rsidR="00EE4502" w:rsidRDefault="00EE4502">
            <w:pPr>
              <w:jc w:val="center"/>
              <w:rPr>
                <w:rFonts w:hAnsi="宋体"/>
                <w:kern w:val="21"/>
                <w:szCs w:val="21"/>
              </w:rPr>
            </w:pPr>
          </w:p>
        </w:tc>
      </w:tr>
      <w:tr w:rsidR="00EE4502">
        <w:trPr>
          <w:trHeight w:val="397"/>
          <w:jc w:val="center"/>
        </w:trPr>
        <w:tc>
          <w:tcPr>
            <w:tcW w:w="517" w:type="pct"/>
            <w:vMerge/>
            <w:tcBorders>
              <w:top w:val="single" w:sz="4" w:space="0" w:color="auto"/>
              <w:left w:val="single" w:sz="4" w:space="0" w:color="auto"/>
              <w:bottom w:val="single" w:sz="4" w:space="0" w:color="auto"/>
              <w:right w:val="single" w:sz="4" w:space="0" w:color="auto"/>
            </w:tcBorders>
            <w:vAlign w:val="center"/>
          </w:tcPr>
          <w:p w:rsidR="00EE4502" w:rsidRDefault="00EE4502">
            <w:pPr>
              <w:jc w:val="center"/>
              <w:rPr>
                <w:rFonts w:hAnsi="宋体"/>
                <w:kern w:val="21"/>
                <w:szCs w:val="21"/>
              </w:rPr>
            </w:pPr>
          </w:p>
        </w:tc>
        <w:tc>
          <w:tcPr>
            <w:tcW w:w="388" w:type="pct"/>
            <w:vMerge/>
            <w:tcBorders>
              <w:top w:val="single" w:sz="4" w:space="0" w:color="auto"/>
              <w:left w:val="single" w:sz="4" w:space="0" w:color="auto"/>
              <w:bottom w:val="single" w:sz="4" w:space="0" w:color="auto"/>
              <w:right w:val="single" w:sz="4" w:space="0" w:color="auto"/>
            </w:tcBorders>
            <w:vAlign w:val="center"/>
          </w:tcPr>
          <w:p w:rsidR="00EE4502" w:rsidRDefault="00EE4502">
            <w:pPr>
              <w:jc w:val="center"/>
              <w:rPr>
                <w:rFonts w:hAnsi="宋体"/>
                <w:kern w:val="21"/>
                <w:szCs w:val="21"/>
              </w:rPr>
            </w:pPr>
          </w:p>
        </w:tc>
        <w:tc>
          <w:tcPr>
            <w:tcW w:w="858" w:type="pct"/>
            <w:tcBorders>
              <w:top w:val="single" w:sz="4" w:space="0" w:color="auto"/>
              <w:left w:val="single" w:sz="4" w:space="0" w:color="auto"/>
              <w:bottom w:val="single" w:sz="4" w:space="0" w:color="auto"/>
              <w:right w:val="single" w:sz="4" w:space="0" w:color="auto"/>
            </w:tcBorders>
            <w:vAlign w:val="center"/>
          </w:tcPr>
          <w:p w:rsidR="00EE4502" w:rsidRDefault="00FD45A3">
            <w:pPr>
              <w:jc w:val="center"/>
              <w:rPr>
                <w:rFonts w:hAnsi="宋体"/>
                <w:kern w:val="21"/>
                <w:szCs w:val="21"/>
              </w:rPr>
            </w:pPr>
            <w:r>
              <w:rPr>
                <w:rFonts w:hAnsi="宋体" w:hint="eastAsia"/>
                <w:kern w:val="21"/>
                <w:szCs w:val="21"/>
              </w:rPr>
              <w:t>太勒古拉组</w:t>
            </w:r>
          </w:p>
        </w:tc>
        <w:tc>
          <w:tcPr>
            <w:tcW w:w="322" w:type="pct"/>
            <w:tcBorders>
              <w:top w:val="single" w:sz="4" w:space="0" w:color="auto"/>
              <w:left w:val="single" w:sz="4" w:space="0" w:color="auto"/>
              <w:bottom w:val="single" w:sz="4" w:space="0" w:color="auto"/>
              <w:right w:val="single" w:sz="4" w:space="0" w:color="auto"/>
            </w:tcBorders>
            <w:vAlign w:val="center"/>
          </w:tcPr>
          <w:p w:rsidR="00EE4502" w:rsidRDefault="00FD45A3">
            <w:pPr>
              <w:jc w:val="center"/>
              <w:rPr>
                <w:rFonts w:hAnsi="宋体"/>
                <w:kern w:val="21"/>
                <w:szCs w:val="21"/>
              </w:rPr>
            </w:pPr>
            <w:r>
              <w:rPr>
                <w:rFonts w:hAnsi="宋体" w:hint="eastAsia"/>
                <w:kern w:val="21"/>
                <w:szCs w:val="21"/>
              </w:rPr>
              <w:t>-</w:t>
            </w:r>
          </w:p>
        </w:tc>
        <w:tc>
          <w:tcPr>
            <w:tcW w:w="402" w:type="pct"/>
            <w:tcBorders>
              <w:top w:val="single" w:sz="4" w:space="0" w:color="auto"/>
              <w:left w:val="single" w:sz="4" w:space="0" w:color="auto"/>
              <w:bottom w:val="single" w:sz="4" w:space="0" w:color="auto"/>
              <w:right w:val="single" w:sz="4" w:space="0" w:color="auto"/>
            </w:tcBorders>
            <w:vAlign w:val="center"/>
          </w:tcPr>
          <w:p w:rsidR="00EE4502" w:rsidRDefault="00FD45A3">
            <w:pPr>
              <w:jc w:val="center"/>
              <w:rPr>
                <w:rFonts w:hAnsi="宋体"/>
                <w:kern w:val="21"/>
                <w:szCs w:val="21"/>
              </w:rPr>
            </w:pPr>
            <w:r>
              <w:rPr>
                <w:rFonts w:hAnsi="宋体" w:hint="eastAsia"/>
                <w:kern w:val="21"/>
                <w:szCs w:val="21"/>
              </w:rPr>
              <w:t>C</w:t>
            </w:r>
            <w:r>
              <w:rPr>
                <w:rFonts w:hAnsi="宋体" w:hint="eastAsia"/>
                <w:kern w:val="21"/>
                <w:szCs w:val="21"/>
                <w:vertAlign w:val="subscript"/>
              </w:rPr>
              <w:t>1</w:t>
            </w:r>
            <w:r>
              <w:rPr>
                <w:rFonts w:hAnsi="宋体" w:hint="eastAsia"/>
                <w:kern w:val="21"/>
                <w:szCs w:val="21"/>
              </w:rPr>
              <w:t>t</w:t>
            </w:r>
          </w:p>
        </w:tc>
        <w:tc>
          <w:tcPr>
            <w:tcW w:w="707" w:type="pct"/>
            <w:tcBorders>
              <w:top w:val="single" w:sz="4" w:space="0" w:color="auto"/>
              <w:left w:val="single" w:sz="4" w:space="0" w:color="auto"/>
              <w:bottom w:val="single" w:sz="4" w:space="0" w:color="auto"/>
              <w:right w:val="single" w:sz="4" w:space="0" w:color="auto"/>
            </w:tcBorders>
            <w:vAlign w:val="center"/>
          </w:tcPr>
          <w:p w:rsidR="00EE4502" w:rsidRDefault="00FD45A3">
            <w:pPr>
              <w:jc w:val="center"/>
              <w:rPr>
                <w:rFonts w:hAnsi="宋体"/>
                <w:kern w:val="21"/>
                <w:szCs w:val="21"/>
              </w:rPr>
            </w:pPr>
            <w:r>
              <w:rPr>
                <w:rFonts w:hAnsi="宋体" w:hint="eastAsia"/>
                <w:kern w:val="21"/>
                <w:szCs w:val="21"/>
              </w:rPr>
              <w:t>457</w:t>
            </w:r>
            <w:r>
              <w:rPr>
                <w:rFonts w:hAnsi="宋体" w:hint="eastAsia"/>
                <w:kern w:val="21"/>
                <w:szCs w:val="21"/>
              </w:rPr>
              <w:t>（未穿）</w:t>
            </w:r>
          </w:p>
        </w:tc>
        <w:tc>
          <w:tcPr>
            <w:tcW w:w="1803" w:type="pct"/>
            <w:tcBorders>
              <w:top w:val="single" w:sz="4" w:space="0" w:color="auto"/>
              <w:left w:val="single" w:sz="4" w:space="0" w:color="auto"/>
              <w:bottom w:val="single" w:sz="4" w:space="0" w:color="auto"/>
              <w:right w:val="single" w:sz="4" w:space="0" w:color="auto"/>
            </w:tcBorders>
            <w:vAlign w:val="center"/>
          </w:tcPr>
          <w:p w:rsidR="00EE4502" w:rsidRDefault="00FD45A3">
            <w:pPr>
              <w:jc w:val="center"/>
              <w:rPr>
                <w:rFonts w:hAnsi="宋体"/>
                <w:kern w:val="21"/>
                <w:szCs w:val="21"/>
              </w:rPr>
            </w:pPr>
            <w:r>
              <w:rPr>
                <w:rFonts w:hAnsi="宋体" w:hint="eastAsia"/>
                <w:kern w:val="21"/>
                <w:szCs w:val="21"/>
              </w:rPr>
              <w:t>玄武岩、硅质岩、凝灰岩为主，夹凝灰质砂岩、泥岩为主。</w:t>
            </w:r>
          </w:p>
        </w:tc>
      </w:tr>
    </w:tbl>
    <w:p w:rsidR="00EE4502" w:rsidRDefault="00FD45A3">
      <w:pPr>
        <w:spacing w:line="360" w:lineRule="auto"/>
        <w:ind w:firstLine="482"/>
        <w:rPr>
          <w:sz w:val="24"/>
        </w:rPr>
      </w:pPr>
      <w:r>
        <w:rPr>
          <w:rFonts w:hint="eastAsia"/>
          <w:sz w:val="24"/>
        </w:rPr>
        <w:t>石炭系钻井揭示最大厚度</w:t>
      </w:r>
      <w:r>
        <w:rPr>
          <w:rFonts w:hint="eastAsia"/>
          <w:sz w:val="24"/>
        </w:rPr>
        <w:t>2740m</w:t>
      </w:r>
      <w:r>
        <w:rPr>
          <w:rFonts w:hint="eastAsia"/>
          <w:sz w:val="24"/>
        </w:rPr>
        <w:t>（未钻穿），据地震资料推测厚度大于</w:t>
      </w:r>
      <w:r>
        <w:rPr>
          <w:rFonts w:hint="eastAsia"/>
          <w:sz w:val="24"/>
        </w:rPr>
        <w:t>5000m</w:t>
      </w:r>
      <w:r>
        <w:rPr>
          <w:rFonts w:hint="eastAsia"/>
          <w:sz w:val="24"/>
        </w:rPr>
        <w:t>。研究区内大部分井仅钻遇石炭系希贝库拉斯组地层，仅</w:t>
      </w:r>
      <w:r>
        <w:rPr>
          <w:rFonts w:hint="eastAsia"/>
          <w:sz w:val="24"/>
        </w:rPr>
        <w:t>2</w:t>
      </w:r>
      <w:r>
        <w:rPr>
          <w:rFonts w:hint="eastAsia"/>
          <w:sz w:val="24"/>
        </w:rPr>
        <w:t>口井（排</w:t>
      </w:r>
      <w:r>
        <w:rPr>
          <w:rFonts w:hint="eastAsia"/>
          <w:sz w:val="24"/>
        </w:rPr>
        <w:t>66</w:t>
      </w:r>
      <w:r>
        <w:rPr>
          <w:rFonts w:hint="eastAsia"/>
          <w:sz w:val="24"/>
        </w:rPr>
        <w:t>、排</w:t>
      </w:r>
      <w:r>
        <w:rPr>
          <w:rFonts w:hint="eastAsia"/>
          <w:sz w:val="24"/>
        </w:rPr>
        <w:t>667</w:t>
      </w:r>
      <w:r>
        <w:rPr>
          <w:rFonts w:hint="eastAsia"/>
          <w:sz w:val="24"/>
        </w:rPr>
        <w:t>）钻穿希贝库拉斯组地层，底部的包谷图组、太勒古拉组地层未钻遇油气显示，油气主要集中在顶部的希贝库拉斯组。</w:t>
      </w:r>
    </w:p>
    <w:p w:rsidR="00EE4502" w:rsidRDefault="00FD45A3">
      <w:pPr>
        <w:pStyle w:val="41"/>
        <w:numPr>
          <w:ilvl w:val="3"/>
          <w:numId w:val="30"/>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hint="eastAsia"/>
          <w:bCs w:val="0"/>
          <w:sz w:val="24"/>
          <w:szCs w:val="24"/>
        </w:rPr>
        <w:t>构造特征</w:t>
      </w:r>
    </w:p>
    <w:p w:rsidR="00EE4502" w:rsidRDefault="00FD45A3">
      <w:pPr>
        <w:spacing w:line="360" w:lineRule="auto"/>
        <w:ind w:firstLineChars="200" w:firstLine="480"/>
        <w:rPr>
          <w:sz w:val="24"/>
        </w:rPr>
      </w:pPr>
      <w:r>
        <w:rPr>
          <w:rFonts w:hint="eastAsia"/>
          <w:sz w:val="24"/>
        </w:rPr>
        <w:t>从不同地层深度的断层发育情况看，石炭系顶面因遭受强烈剥蚀夷平，断距较小、延伸距离短，随着深度增加，断距增大、延伸距离较长。和老构造比，大的构造格局一致，内部低序级断层信息更为丰富，更有利于开展裂缝型储层的描述。</w:t>
      </w:r>
    </w:p>
    <w:p w:rsidR="00EE4502" w:rsidRDefault="00FD45A3">
      <w:pPr>
        <w:spacing w:line="360" w:lineRule="auto"/>
        <w:ind w:firstLine="482"/>
        <w:rPr>
          <w:sz w:val="24"/>
        </w:rPr>
      </w:pPr>
      <w:r>
        <w:rPr>
          <w:rFonts w:hint="eastAsia"/>
          <w:sz w:val="24"/>
        </w:rPr>
        <w:t>从构造上看，石炭系顶面整体上呈北西高</w:t>
      </w:r>
      <w:r>
        <w:rPr>
          <w:rFonts w:hint="eastAsia"/>
          <w:sz w:val="24"/>
        </w:rPr>
        <w:t>-</w:t>
      </w:r>
      <w:r>
        <w:rPr>
          <w:rFonts w:hint="eastAsia"/>
          <w:sz w:val="24"/>
        </w:rPr>
        <w:t>南东低的单斜构造形态，受排</w:t>
      </w:r>
      <w:r>
        <w:rPr>
          <w:rFonts w:hint="eastAsia"/>
          <w:sz w:val="24"/>
        </w:rPr>
        <w:t>61</w:t>
      </w:r>
      <w:r>
        <w:rPr>
          <w:rFonts w:hint="eastAsia"/>
          <w:sz w:val="24"/>
        </w:rPr>
        <w:t>断层整体控制，东西断裂系统差异大。平面上根据断层发育特征，断裂系统可分为排</w:t>
      </w:r>
      <w:r>
        <w:rPr>
          <w:rFonts w:hint="eastAsia"/>
          <w:sz w:val="24"/>
        </w:rPr>
        <w:t>66</w:t>
      </w:r>
      <w:r>
        <w:rPr>
          <w:rFonts w:hint="eastAsia"/>
          <w:sz w:val="24"/>
        </w:rPr>
        <w:t>条带、排</w:t>
      </w:r>
      <w:r>
        <w:rPr>
          <w:rFonts w:hint="eastAsia"/>
          <w:sz w:val="24"/>
        </w:rPr>
        <w:t>61</w:t>
      </w:r>
      <w:r>
        <w:rPr>
          <w:rFonts w:hint="eastAsia"/>
          <w:sz w:val="24"/>
        </w:rPr>
        <w:t>条带、排</w:t>
      </w:r>
      <w:r>
        <w:rPr>
          <w:rFonts w:hint="eastAsia"/>
          <w:sz w:val="24"/>
        </w:rPr>
        <w:t>61</w:t>
      </w:r>
      <w:r>
        <w:rPr>
          <w:rFonts w:hint="eastAsia"/>
          <w:sz w:val="24"/>
        </w:rPr>
        <w:t>断层西条带三个区块。排</w:t>
      </w:r>
      <w:r>
        <w:rPr>
          <w:rFonts w:hint="eastAsia"/>
          <w:sz w:val="24"/>
        </w:rPr>
        <w:t>66</w:t>
      </w:r>
      <w:r>
        <w:rPr>
          <w:rFonts w:hint="eastAsia"/>
          <w:sz w:val="24"/>
        </w:rPr>
        <w:t>条带发育北西、北东走向两组断层，两组断层互相切割。排</w:t>
      </w:r>
      <w:r>
        <w:rPr>
          <w:rFonts w:hint="eastAsia"/>
          <w:sz w:val="24"/>
        </w:rPr>
        <w:t>61</w:t>
      </w:r>
      <w:r>
        <w:rPr>
          <w:rFonts w:hint="eastAsia"/>
          <w:sz w:val="24"/>
        </w:rPr>
        <w:t>条带以北东走向断层为主。排</w:t>
      </w:r>
      <w:r>
        <w:rPr>
          <w:rFonts w:hint="eastAsia"/>
          <w:sz w:val="24"/>
        </w:rPr>
        <w:t>61</w:t>
      </w:r>
      <w:r>
        <w:rPr>
          <w:rFonts w:hint="eastAsia"/>
          <w:sz w:val="24"/>
        </w:rPr>
        <w:lastRenderedPageBreak/>
        <w:t>断层西条带发育多组断层，走向及切割关系复杂，呈现“零碎散”的特征，整体规律性不强。</w:t>
      </w:r>
    </w:p>
    <w:p w:rsidR="00EE4502" w:rsidRDefault="00FD45A3">
      <w:pPr>
        <w:pStyle w:val="41"/>
        <w:numPr>
          <w:ilvl w:val="3"/>
          <w:numId w:val="30"/>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hint="eastAsia"/>
          <w:bCs w:val="0"/>
          <w:sz w:val="24"/>
          <w:szCs w:val="24"/>
        </w:rPr>
        <w:t>储层特征</w:t>
      </w:r>
    </w:p>
    <w:p w:rsidR="00EE4502" w:rsidRDefault="00FD45A3">
      <w:pPr>
        <w:spacing w:line="360" w:lineRule="auto"/>
        <w:ind w:firstLineChars="200" w:firstLine="480"/>
        <w:rPr>
          <w:sz w:val="24"/>
        </w:rPr>
      </w:pPr>
      <w:r>
        <w:rPr>
          <w:rFonts w:hint="eastAsia"/>
          <w:sz w:val="24"/>
        </w:rPr>
        <w:t>在春风油田排</w:t>
      </w:r>
      <w:r>
        <w:rPr>
          <w:rFonts w:hint="eastAsia"/>
          <w:sz w:val="24"/>
        </w:rPr>
        <w:t>61</w:t>
      </w:r>
      <w:r>
        <w:rPr>
          <w:rFonts w:hint="eastAsia"/>
          <w:sz w:val="24"/>
        </w:rPr>
        <w:t>区块及邻区石炭系火成岩鉴定四大类</w:t>
      </w:r>
      <w:r>
        <w:rPr>
          <w:rFonts w:hint="eastAsia"/>
          <w:sz w:val="24"/>
        </w:rPr>
        <w:t>13</w:t>
      </w:r>
      <w:r>
        <w:rPr>
          <w:rFonts w:hint="eastAsia"/>
          <w:sz w:val="24"/>
        </w:rPr>
        <w:t>种岩性，主要为凝灰岩、安山岩、火山角砾岩和玄武岩，存在多种过渡类岩性。整体上看，排</w:t>
      </w:r>
      <w:r>
        <w:rPr>
          <w:rFonts w:hint="eastAsia"/>
          <w:sz w:val="24"/>
        </w:rPr>
        <w:t>6</w:t>
      </w:r>
      <w:r>
        <w:rPr>
          <w:rFonts w:hint="eastAsia"/>
          <w:sz w:val="24"/>
        </w:rPr>
        <w:t>6</w:t>
      </w:r>
      <w:r>
        <w:rPr>
          <w:rFonts w:hint="eastAsia"/>
          <w:sz w:val="24"/>
        </w:rPr>
        <w:t>断层以东区域主要发育安山岩，局部发育火山角砾岩，排</w:t>
      </w:r>
      <w:r>
        <w:rPr>
          <w:rFonts w:hint="eastAsia"/>
          <w:sz w:val="24"/>
        </w:rPr>
        <w:t>66</w:t>
      </w:r>
      <w:r>
        <w:rPr>
          <w:rFonts w:hint="eastAsia"/>
          <w:sz w:val="24"/>
        </w:rPr>
        <w:t>断层以西以凝灰岩为主。</w:t>
      </w:r>
    </w:p>
    <w:p w:rsidR="00EE4502" w:rsidRDefault="00FD45A3">
      <w:pPr>
        <w:spacing w:line="360" w:lineRule="auto"/>
        <w:ind w:firstLineChars="200" w:firstLine="480"/>
        <w:rPr>
          <w:sz w:val="24"/>
        </w:rPr>
      </w:pPr>
      <w:r>
        <w:rPr>
          <w:rFonts w:hint="eastAsia"/>
          <w:sz w:val="24"/>
        </w:rPr>
        <w:t>排</w:t>
      </w:r>
      <w:r>
        <w:rPr>
          <w:rFonts w:hint="eastAsia"/>
          <w:sz w:val="24"/>
        </w:rPr>
        <w:t>61</w:t>
      </w:r>
      <w:r>
        <w:rPr>
          <w:rFonts w:hint="eastAsia"/>
          <w:sz w:val="24"/>
        </w:rPr>
        <w:t>区块及邻区石炭系火山岩为“裂隙式”多期喷发形成，火山口位于东部红车断裂带，本区主要发育爆发亚相、溢流亚相及喷发沉积亚相。爆发亚相岩石类型有火山角砾岩和角砾凝灰岩，溢流亚相岩石类型主要为安山岩和玄武岩，喷发沉积亚相主要为凝灰岩和沉凝灰岩。受红车断裂带控制，在平面上由东向西依次发育爆发相、溢流相和喷发沉积相，纵向上多期叠置，以排</w:t>
      </w:r>
      <w:r>
        <w:rPr>
          <w:rFonts w:hint="eastAsia"/>
          <w:sz w:val="24"/>
        </w:rPr>
        <w:t>66</w:t>
      </w:r>
      <w:r>
        <w:rPr>
          <w:rFonts w:hint="eastAsia"/>
          <w:sz w:val="24"/>
        </w:rPr>
        <w:t>井为标准井，可划分为</w:t>
      </w:r>
      <w:r>
        <w:rPr>
          <w:rFonts w:hint="eastAsia"/>
          <w:sz w:val="24"/>
        </w:rPr>
        <w:t>4</w:t>
      </w:r>
      <w:r>
        <w:rPr>
          <w:rFonts w:hint="eastAsia"/>
          <w:sz w:val="24"/>
        </w:rPr>
        <w:t>个一级火山沉积旋回、</w:t>
      </w:r>
      <w:r>
        <w:rPr>
          <w:rFonts w:hint="eastAsia"/>
          <w:sz w:val="24"/>
        </w:rPr>
        <w:t>13</w:t>
      </w:r>
      <w:r>
        <w:rPr>
          <w:rFonts w:hint="eastAsia"/>
          <w:sz w:val="24"/>
        </w:rPr>
        <w:t>个二级旋回。地震上，旋回</w:t>
      </w:r>
      <w:r>
        <w:rPr>
          <w:rFonts w:hint="eastAsia"/>
          <w:sz w:val="24"/>
        </w:rPr>
        <w:t>I</w:t>
      </w:r>
      <w:r>
        <w:rPr>
          <w:rFonts w:hint="eastAsia"/>
          <w:sz w:val="24"/>
        </w:rPr>
        <w:t>表现为反射连续、中强反射</w:t>
      </w:r>
      <w:r>
        <w:rPr>
          <w:rFonts w:hint="eastAsia"/>
          <w:sz w:val="24"/>
        </w:rPr>
        <w:t>；旋回</w:t>
      </w:r>
      <w:r>
        <w:rPr>
          <w:rFonts w:hint="eastAsia"/>
          <w:sz w:val="24"/>
        </w:rPr>
        <w:t>II</w:t>
      </w:r>
      <w:r>
        <w:rPr>
          <w:rFonts w:hint="eastAsia"/>
          <w:sz w:val="24"/>
        </w:rPr>
        <w:t>连续性差、弱反射，旋回Ⅲ表现为连续性强、强反射，旋回</w:t>
      </w:r>
      <w:r>
        <w:rPr>
          <w:rFonts w:hint="eastAsia"/>
          <w:sz w:val="24"/>
        </w:rPr>
        <w:t>IV</w:t>
      </w:r>
      <w:r>
        <w:rPr>
          <w:rFonts w:hint="eastAsia"/>
          <w:sz w:val="24"/>
        </w:rPr>
        <w:t>具中连续、弱反射的特征。</w:t>
      </w:r>
    </w:p>
    <w:p w:rsidR="00EE4502" w:rsidRDefault="00FD45A3">
      <w:pPr>
        <w:spacing w:line="360" w:lineRule="auto"/>
        <w:ind w:firstLineChars="200" w:firstLine="480"/>
        <w:rPr>
          <w:sz w:val="24"/>
        </w:rPr>
      </w:pPr>
      <w:r>
        <w:rPr>
          <w:rFonts w:hint="eastAsia"/>
          <w:sz w:val="24"/>
        </w:rPr>
        <w:t>不同类型的岩石其储集空间的类型差异很大，而其中火山岩的储集空间类型比碎屑岩更为多样，火山岩在冷却后会形成原生孔隙，后期受地质作用等影响又会形成各种次生孔隙，次生孔隙是岩石形成后在溶解作用、交代作用或构造运动等影响下形成的裂缝及溶蚀孔洞。排</w:t>
      </w:r>
      <w:r>
        <w:rPr>
          <w:rFonts w:hint="eastAsia"/>
          <w:sz w:val="24"/>
        </w:rPr>
        <w:t>61</w:t>
      </w:r>
      <w:r>
        <w:rPr>
          <w:rFonts w:hint="eastAsia"/>
          <w:sz w:val="24"/>
        </w:rPr>
        <w:t>区块及邻区石炭系火成岩有效储集空间类型以裂缝及少量小规模顺缝溶蚀孔为主，溶蚀孔主要发育在西部安山岩中，凝灰岩欠发育。方案区排</w:t>
      </w:r>
      <w:r>
        <w:rPr>
          <w:rFonts w:hint="eastAsia"/>
          <w:sz w:val="24"/>
        </w:rPr>
        <w:t>61</w:t>
      </w:r>
      <w:r>
        <w:rPr>
          <w:rFonts w:hint="eastAsia"/>
          <w:sz w:val="24"/>
        </w:rPr>
        <w:t>块有效储集空间以裂缝为主。</w:t>
      </w:r>
    </w:p>
    <w:p w:rsidR="00EE4502" w:rsidRDefault="00FD45A3">
      <w:pPr>
        <w:pStyle w:val="41"/>
        <w:numPr>
          <w:ilvl w:val="3"/>
          <w:numId w:val="30"/>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bCs w:val="0"/>
          <w:sz w:val="24"/>
          <w:szCs w:val="24"/>
        </w:rPr>
        <w:t>流体性质</w:t>
      </w:r>
    </w:p>
    <w:p w:rsidR="00EE4502" w:rsidRDefault="00FD45A3">
      <w:pPr>
        <w:spacing w:line="360" w:lineRule="auto"/>
        <w:ind w:firstLineChars="200" w:firstLine="480"/>
        <w:rPr>
          <w:kern w:val="0"/>
          <w:sz w:val="24"/>
        </w:rPr>
      </w:pPr>
      <w:r>
        <w:rPr>
          <w:rFonts w:hint="eastAsia"/>
          <w:kern w:val="0"/>
          <w:sz w:val="24"/>
        </w:rPr>
        <w:t>排</w:t>
      </w:r>
      <w:r>
        <w:rPr>
          <w:rFonts w:hint="eastAsia"/>
          <w:kern w:val="0"/>
          <w:sz w:val="24"/>
        </w:rPr>
        <w:t>61</w:t>
      </w:r>
      <w:r>
        <w:rPr>
          <w:rFonts w:hint="eastAsia"/>
          <w:kern w:val="0"/>
          <w:sz w:val="24"/>
        </w:rPr>
        <w:t>区块火</w:t>
      </w:r>
      <w:r>
        <w:rPr>
          <w:rFonts w:hint="eastAsia"/>
          <w:kern w:val="0"/>
          <w:sz w:val="24"/>
        </w:rPr>
        <w:t>山岩油藏地面原油密度为</w:t>
      </w:r>
      <w:r>
        <w:rPr>
          <w:rFonts w:hint="eastAsia"/>
          <w:kern w:val="0"/>
          <w:sz w:val="24"/>
        </w:rPr>
        <w:t>0.9413~0.9539g/cm</w:t>
      </w:r>
      <w:r>
        <w:rPr>
          <w:rFonts w:hint="eastAsia"/>
          <w:kern w:val="0"/>
          <w:sz w:val="24"/>
          <w:vertAlign w:val="superscript"/>
        </w:rPr>
        <w:t>3</w:t>
      </w:r>
      <w:r>
        <w:rPr>
          <w:rFonts w:hint="eastAsia"/>
          <w:kern w:val="0"/>
          <w:sz w:val="24"/>
        </w:rPr>
        <w:t>，</w:t>
      </w:r>
      <w:r>
        <w:rPr>
          <w:rFonts w:hint="eastAsia"/>
          <w:kern w:val="0"/>
          <w:sz w:val="24"/>
        </w:rPr>
        <w:t>50</w:t>
      </w:r>
      <w:r>
        <w:rPr>
          <w:rFonts w:hint="eastAsia"/>
          <w:kern w:val="0"/>
          <w:sz w:val="24"/>
        </w:rPr>
        <w:t>℃原油粘度为</w:t>
      </w:r>
      <w:r>
        <w:rPr>
          <w:rFonts w:hint="eastAsia"/>
          <w:kern w:val="0"/>
          <w:sz w:val="24"/>
        </w:rPr>
        <w:t>110~1885mPa.s</w:t>
      </w:r>
      <w:r>
        <w:rPr>
          <w:rFonts w:hint="eastAsia"/>
          <w:kern w:val="0"/>
          <w:sz w:val="24"/>
        </w:rPr>
        <w:t>，凝固点</w:t>
      </w:r>
      <w:r>
        <w:rPr>
          <w:rFonts w:hint="eastAsia"/>
          <w:kern w:val="0"/>
          <w:sz w:val="24"/>
        </w:rPr>
        <w:t>-6~11</w:t>
      </w:r>
      <w:r>
        <w:rPr>
          <w:rFonts w:hint="eastAsia"/>
          <w:kern w:val="0"/>
          <w:sz w:val="24"/>
        </w:rPr>
        <w:t>℃，含蜡</w:t>
      </w:r>
      <w:r>
        <w:rPr>
          <w:rFonts w:hint="eastAsia"/>
          <w:kern w:val="0"/>
          <w:sz w:val="24"/>
        </w:rPr>
        <w:t>5.18~17.32%</w:t>
      </w:r>
      <w:r>
        <w:rPr>
          <w:rFonts w:hint="eastAsia"/>
          <w:kern w:val="0"/>
          <w:sz w:val="24"/>
        </w:rPr>
        <w:t>，含硫</w:t>
      </w:r>
      <w:r>
        <w:rPr>
          <w:rFonts w:hint="eastAsia"/>
          <w:kern w:val="0"/>
          <w:sz w:val="24"/>
        </w:rPr>
        <w:t>0~0.12%</w:t>
      </w:r>
      <w:r>
        <w:rPr>
          <w:rFonts w:hint="eastAsia"/>
          <w:kern w:val="0"/>
          <w:sz w:val="24"/>
        </w:rPr>
        <w:t>，初馏点</w:t>
      </w:r>
      <w:r>
        <w:rPr>
          <w:rFonts w:hint="eastAsia"/>
          <w:kern w:val="0"/>
          <w:sz w:val="24"/>
        </w:rPr>
        <w:t>215~250</w:t>
      </w:r>
      <w:r>
        <w:rPr>
          <w:rFonts w:hint="eastAsia"/>
          <w:kern w:val="0"/>
          <w:sz w:val="24"/>
        </w:rPr>
        <w:t>℃，为常规稠油油藏。</w:t>
      </w:r>
    </w:p>
    <w:p w:rsidR="00EE4502" w:rsidRDefault="00FD45A3">
      <w:pPr>
        <w:spacing w:line="360" w:lineRule="auto"/>
        <w:ind w:firstLineChars="200" w:firstLine="480"/>
        <w:rPr>
          <w:kern w:val="0"/>
          <w:sz w:val="24"/>
        </w:rPr>
      </w:pPr>
      <w:r>
        <w:rPr>
          <w:rFonts w:hint="eastAsia"/>
          <w:kern w:val="0"/>
          <w:sz w:val="24"/>
        </w:rPr>
        <w:t>地层水氯离子含量为</w:t>
      </w:r>
      <w:r>
        <w:rPr>
          <w:rFonts w:hint="eastAsia"/>
          <w:kern w:val="0"/>
          <w:sz w:val="24"/>
        </w:rPr>
        <w:t>3942mg/L~10688mg/L</w:t>
      </w:r>
      <w:r>
        <w:rPr>
          <w:rFonts w:hint="eastAsia"/>
          <w:kern w:val="0"/>
          <w:sz w:val="24"/>
        </w:rPr>
        <w:t>，总矿化度为</w:t>
      </w:r>
      <w:r>
        <w:rPr>
          <w:rFonts w:hint="eastAsia"/>
          <w:kern w:val="0"/>
          <w:sz w:val="24"/>
        </w:rPr>
        <w:t>12198~55360mg/L</w:t>
      </w:r>
      <w:r>
        <w:rPr>
          <w:rFonts w:hint="eastAsia"/>
          <w:kern w:val="0"/>
          <w:sz w:val="24"/>
        </w:rPr>
        <w:t>，平均为</w:t>
      </w:r>
      <w:r>
        <w:rPr>
          <w:rFonts w:hint="eastAsia"/>
          <w:kern w:val="0"/>
          <w:sz w:val="24"/>
        </w:rPr>
        <w:t>36437mg/L</w:t>
      </w:r>
      <w:r>
        <w:rPr>
          <w:rFonts w:hint="eastAsia"/>
          <w:kern w:val="0"/>
          <w:sz w:val="24"/>
        </w:rPr>
        <w:t>，水型为</w:t>
      </w:r>
      <w:r>
        <w:rPr>
          <w:rFonts w:hint="eastAsia"/>
          <w:kern w:val="0"/>
          <w:sz w:val="24"/>
        </w:rPr>
        <w:t>CaCl</w:t>
      </w:r>
      <w:r>
        <w:rPr>
          <w:rFonts w:hint="eastAsia"/>
          <w:kern w:val="0"/>
          <w:sz w:val="24"/>
          <w:vertAlign w:val="subscript"/>
        </w:rPr>
        <w:t>2</w:t>
      </w:r>
      <w:r>
        <w:rPr>
          <w:rFonts w:hint="eastAsia"/>
          <w:kern w:val="0"/>
          <w:sz w:val="24"/>
        </w:rPr>
        <w:t>型。</w:t>
      </w:r>
    </w:p>
    <w:p w:rsidR="00EE4502" w:rsidRDefault="00FD45A3">
      <w:pPr>
        <w:spacing w:line="360" w:lineRule="auto"/>
        <w:ind w:firstLineChars="200" w:firstLine="480"/>
        <w:rPr>
          <w:kern w:val="0"/>
          <w:sz w:val="24"/>
        </w:rPr>
      </w:pPr>
      <w:r>
        <w:rPr>
          <w:rFonts w:hint="eastAsia"/>
          <w:kern w:val="0"/>
          <w:sz w:val="24"/>
        </w:rPr>
        <w:t>气体组分：</w:t>
      </w:r>
      <w:r>
        <w:rPr>
          <w:rFonts w:hint="eastAsia"/>
          <w:kern w:val="0"/>
          <w:sz w:val="24"/>
        </w:rPr>
        <w:t>无伴生气</w:t>
      </w:r>
      <w:r>
        <w:rPr>
          <w:rFonts w:hint="eastAsia"/>
          <w:kern w:val="0"/>
          <w:sz w:val="24"/>
        </w:rPr>
        <w:t>。</w:t>
      </w:r>
    </w:p>
    <w:p w:rsidR="00EE4502" w:rsidRDefault="00FD45A3">
      <w:pPr>
        <w:spacing w:line="360" w:lineRule="auto"/>
        <w:jc w:val="center"/>
        <w:rPr>
          <w:sz w:val="24"/>
        </w:rPr>
      </w:pPr>
      <w:r>
        <w:rPr>
          <w:rFonts w:ascii="黑体" w:eastAsia="黑体" w:hAnsi="黑体" w:cs="黑体" w:hint="eastAsia"/>
          <w:szCs w:val="21"/>
        </w:rPr>
        <w:t>表</w:t>
      </w:r>
      <w:r>
        <w:rPr>
          <w:rFonts w:ascii="黑体" w:eastAsia="黑体" w:hAnsi="黑体" w:cs="黑体" w:hint="eastAsia"/>
          <w:szCs w:val="21"/>
        </w:rPr>
        <w:t>3-3-</w:t>
      </w:r>
      <w:r>
        <w:rPr>
          <w:rFonts w:ascii="黑体" w:eastAsia="黑体" w:hAnsi="黑体" w:cs="黑体" w:hint="eastAsia"/>
          <w:szCs w:val="21"/>
        </w:rPr>
        <w:t>3</w:t>
      </w:r>
      <w:r>
        <w:rPr>
          <w:rFonts w:ascii="黑体" w:eastAsia="黑体" w:hAnsi="黑体" w:cs="黑体" w:hint="eastAsia"/>
          <w:szCs w:val="21"/>
        </w:rPr>
        <w:t xml:space="preserve">  </w:t>
      </w:r>
      <w:r>
        <w:rPr>
          <w:rFonts w:ascii="黑体" w:eastAsia="黑体" w:hAnsi="黑体" w:cs="黑体" w:hint="eastAsia"/>
          <w:szCs w:val="21"/>
        </w:rPr>
        <w:t>春风油田排</w:t>
      </w:r>
      <w:r>
        <w:rPr>
          <w:rFonts w:ascii="黑体" w:eastAsia="黑体" w:hAnsi="黑体" w:cs="黑体" w:hint="eastAsia"/>
          <w:szCs w:val="21"/>
        </w:rPr>
        <w:t>61</w:t>
      </w:r>
      <w:r>
        <w:rPr>
          <w:rFonts w:ascii="黑体" w:eastAsia="黑体" w:hAnsi="黑体" w:cs="黑体" w:hint="eastAsia"/>
          <w:szCs w:val="21"/>
        </w:rPr>
        <w:t>块地面原油分析数据</w:t>
      </w:r>
    </w:p>
    <w:tbl>
      <w:tblPr>
        <w:tblW w:w="0" w:type="auto"/>
        <w:tblLayout w:type="fixed"/>
        <w:tblLook w:val="04A0" w:firstRow="1" w:lastRow="0" w:firstColumn="1" w:lastColumn="0" w:noHBand="0" w:noVBand="1"/>
      </w:tblPr>
      <w:tblGrid>
        <w:gridCol w:w="580"/>
        <w:gridCol w:w="1112"/>
        <w:gridCol w:w="973"/>
        <w:gridCol w:w="589"/>
        <w:gridCol w:w="543"/>
        <w:gridCol w:w="712"/>
        <w:gridCol w:w="716"/>
        <w:gridCol w:w="712"/>
        <w:gridCol w:w="543"/>
        <w:gridCol w:w="662"/>
        <w:gridCol w:w="631"/>
        <w:gridCol w:w="631"/>
      </w:tblGrid>
      <w:tr w:rsidR="00EE4502">
        <w:trPr>
          <w:trHeight w:val="397"/>
          <w:tblHeader/>
        </w:trPr>
        <w:tc>
          <w:tcPr>
            <w:tcW w:w="580"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hint="eastAsia"/>
                <w:kern w:val="21"/>
                <w:sz w:val="16"/>
                <w:szCs w:val="16"/>
              </w:rPr>
              <w:lastRenderedPageBreak/>
              <w:t>井号</w:t>
            </w:r>
          </w:p>
        </w:tc>
        <w:tc>
          <w:tcPr>
            <w:tcW w:w="1112"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hint="eastAsia"/>
                <w:kern w:val="21"/>
                <w:sz w:val="16"/>
                <w:szCs w:val="16"/>
              </w:rPr>
              <w:t>深度</w:t>
            </w:r>
          </w:p>
        </w:tc>
        <w:tc>
          <w:tcPr>
            <w:tcW w:w="973"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hint="eastAsia"/>
                <w:kern w:val="21"/>
                <w:sz w:val="16"/>
                <w:szCs w:val="16"/>
              </w:rPr>
              <w:t>相对密度</w:t>
            </w:r>
            <w:r>
              <w:rPr>
                <w:rFonts w:hAnsi="宋体" w:hint="eastAsia"/>
                <w:kern w:val="21"/>
                <w:sz w:val="16"/>
                <w:szCs w:val="16"/>
              </w:rPr>
              <w:t>D204</w:t>
            </w:r>
          </w:p>
          <w:p w:rsidR="00EE4502" w:rsidRDefault="00FD45A3">
            <w:pPr>
              <w:jc w:val="center"/>
              <w:rPr>
                <w:rFonts w:hAnsi="宋体"/>
                <w:kern w:val="21"/>
                <w:sz w:val="16"/>
                <w:szCs w:val="16"/>
              </w:rPr>
            </w:pPr>
            <w:r>
              <w:rPr>
                <w:rFonts w:hAnsi="宋体" w:hint="eastAsia"/>
                <w:kern w:val="21"/>
                <w:sz w:val="16"/>
                <w:szCs w:val="16"/>
              </w:rPr>
              <w:t>(20</w:t>
            </w:r>
            <w:r>
              <w:rPr>
                <w:rFonts w:hAnsi="宋体" w:hint="eastAsia"/>
                <w:kern w:val="21"/>
                <w:sz w:val="16"/>
                <w:szCs w:val="16"/>
              </w:rPr>
              <w:t>℃</w:t>
            </w:r>
            <w:r>
              <w:rPr>
                <w:rFonts w:hAnsi="宋体" w:hint="eastAsia"/>
                <w:kern w:val="21"/>
                <w:sz w:val="16"/>
                <w:szCs w:val="16"/>
              </w:rPr>
              <w:t>)</w:t>
            </w:r>
          </w:p>
        </w:tc>
        <w:tc>
          <w:tcPr>
            <w:tcW w:w="589"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hint="eastAsia"/>
                <w:kern w:val="21"/>
                <w:sz w:val="16"/>
                <w:szCs w:val="16"/>
              </w:rPr>
              <w:t>动力粘度</w:t>
            </w:r>
            <w:r>
              <w:rPr>
                <w:rFonts w:hAnsi="宋体" w:hint="eastAsia"/>
                <w:kern w:val="21"/>
                <w:sz w:val="16"/>
                <w:szCs w:val="16"/>
              </w:rPr>
              <w:t>50</w:t>
            </w:r>
            <w:r>
              <w:rPr>
                <w:rFonts w:hAnsi="宋体" w:hint="eastAsia"/>
                <w:kern w:val="21"/>
                <w:sz w:val="16"/>
                <w:szCs w:val="16"/>
              </w:rPr>
              <w:t>℃</w:t>
            </w:r>
          </w:p>
        </w:tc>
        <w:tc>
          <w:tcPr>
            <w:tcW w:w="543"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hint="eastAsia"/>
                <w:kern w:val="21"/>
                <w:sz w:val="16"/>
                <w:szCs w:val="16"/>
              </w:rPr>
              <w:t>凝固点</w:t>
            </w:r>
            <w:r>
              <w:rPr>
                <w:rFonts w:hAnsi="宋体" w:hint="eastAsia"/>
                <w:kern w:val="21"/>
                <w:sz w:val="16"/>
                <w:szCs w:val="16"/>
              </w:rPr>
              <w:t>℃</w:t>
            </w:r>
          </w:p>
        </w:tc>
        <w:tc>
          <w:tcPr>
            <w:tcW w:w="712"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hint="eastAsia"/>
                <w:kern w:val="21"/>
                <w:sz w:val="16"/>
                <w:szCs w:val="16"/>
              </w:rPr>
              <w:t>含蜡量</w:t>
            </w:r>
            <w:r>
              <w:rPr>
                <w:rFonts w:hAnsi="宋体" w:hint="eastAsia"/>
                <w:kern w:val="21"/>
                <w:sz w:val="16"/>
                <w:szCs w:val="16"/>
              </w:rPr>
              <w:t>%</w:t>
            </w:r>
          </w:p>
        </w:tc>
        <w:tc>
          <w:tcPr>
            <w:tcW w:w="716"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hint="eastAsia"/>
                <w:kern w:val="21"/>
                <w:sz w:val="16"/>
                <w:szCs w:val="16"/>
              </w:rPr>
              <w:t>胶质含量</w:t>
            </w:r>
            <w:r>
              <w:rPr>
                <w:rFonts w:hAnsi="宋体" w:hint="eastAsia"/>
                <w:kern w:val="21"/>
                <w:sz w:val="16"/>
                <w:szCs w:val="16"/>
              </w:rPr>
              <w:t>%</w:t>
            </w:r>
          </w:p>
        </w:tc>
        <w:tc>
          <w:tcPr>
            <w:tcW w:w="712"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hint="eastAsia"/>
                <w:kern w:val="21"/>
                <w:sz w:val="16"/>
                <w:szCs w:val="16"/>
              </w:rPr>
              <w:t>沥青质</w:t>
            </w:r>
            <w:r>
              <w:rPr>
                <w:rFonts w:hAnsi="宋体" w:hint="eastAsia"/>
                <w:kern w:val="21"/>
                <w:sz w:val="16"/>
                <w:szCs w:val="16"/>
              </w:rPr>
              <w:t>%</w:t>
            </w:r>
          </w:p>
        </w:tc>
        <w:tc>
          <w:tcPr>
            <w:tcW w:w="543"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hint="eastAsia"/>
                <w:kern w:val="21"/>
                <w:sz w:val="16"/>
                <w:szCs w:val="16"/>
              </w:rPr>
              <w:t>初馆点℃</w:t>
            </w:r>
          </w:p>
        </w:tc>
        <w:tc>
          <w:tcPr>
            <w:tcW w:w="662"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hint="eastAsia"/>
                <w:kern w:val="21"/>
                <w:sz w:val="16"/>
                <w:szCs w:val="16"/>
              </w:rPr>
              <w:t>含盐</w:t>
            </w:r>
          </w:p>
          <w:p w:rsidR="00EE4502" w:rsidRDefault="00FD45A3">
            <w:pPr>
              <w:jc w:val="center"/>
              <w:rPr>
                <w:rFonts w:hAnsi="宋体"/>
                <w:kern w:val="21"/>
                <w:sz w:val="16"/>
                <w:szCs w:val="16"/>
              </w:rPr>
            </w:pPr>
            <w:r>
              <w:rPr>
                <w:rFonts w:hAnsi="宋体" w:hint="eastAsia"/>
                <w:kern w:val="21"/>
                <w:sz w:val="16"/>
                <w:szCs w:val="16"/>
              </w:rPr>
              <w:t>mg</w:t>
            </w:r>
            <w:r>
              <w:rPr>
                <w:rFonts w:hAnsi="宋体" w:hint="eastAsia"/>
                <w:kern w:val="21"/>
                <w:sz w:val="16"/>
                <w:szCs w:val="16"/>
              </w:rPr>
              <w:t>/</w:t>
            </w:r>
            <w:r>
              <w:rPr>
                <w:rFonts w:hAnsi="宋体" w:hint="eastAsia"/>
                <w:kern w:val="21"/>
                <w:sz w:val="16"/>
                <w:szCs w:val="16"/>
              </w:rPr>
              <w:t>L</w:t>
            </w:r>
          </w:p>
        </w:tc>
        <w:tc>
          <w:tcPr>
            <w:tcW w:w="631"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hint="eastAsia"/>
                <w:kern w:val="21"/>
                <w:sz w:val="16"/>
                <w:szCs w:val="16"/>
              </w:rPr>
              <w:t>含硫</w:t>
            </w:r>
          </w:p>
          <w:p w:rsidR="00EE4502" w:rsidRDefault="00FD45A3">
            <w:pPr>
              <w:jc w:val="center"/>
              <w:rPr>
                <w:rFonts w:hAnsi="宋体"/>
                <w:kern w:val="21"/>
                <w:sz w:val="16"/>
                <w:szCs w:val="16"/>
              </w:rPr>
            </w:pPr>
            <w:r>
              <w:rPr>
                <w:rFonts w:hAnsi="宋体" w:hint="eastAsia"/>
                <w:kern w:val="21"/>
                <w:sz w:val="16"/>
                <w:szCs w:val="16"/>
              </w:rPr>
              <w:t>%</w:t>
            </w:r>
          </w:p>
        </w:tc>
        <w:tc>
          <w:tcPr>
            <w:tcW w:w="631"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hint="eastAsia"/>
                <w:kern w:val="21"/>
                <w:sz w:val="16"/>
                <w:szCs w:val="16"/>
              </w:rPr>
              <w:t>含砂</w:t>
            </w:r>
          </w:p>
          <w:p w:rsidR="00EE4502" w:rsidRDefault="00FD45A3">
            <w:pPr>
              <w:jc w:val="center"/>
              <w:rPr>
                <w:rFonts w:hAnsi="宋体"/>
                <w:kern w:val="21"/>
                <w:sz w:val="16"/>
                <w:szCs w:val="16"/>
              </w:rPr>
            </w:pPr>
            <w:r>
              <w:rPr>
                <w:rFonts w:hAnsi="宋体" w:hint="eastAsia"/>
                <w:kern w:val="21"/>
                <w:sz w:val="16"/>
                <w:szCs w:val="16"/>
              </w:rPr>
              <w:t>%</w:t>
            </w:r>
          </w:p>
        </w:tc>
      </w:tr>
      <w:tr w:rsidR="00EE4502">
        <w:trPr>
          <w:trHeight w:val="397"/>
        </w:trPr>
        <w:tc>
          <w:tcPr>
            <w:tcW w:w="580"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hint="eastAsia"/>
                <w:kern w:val="21"/>
                <w:sz w:val="16"/>
                <w:szCs w:val="16"/>
              </w:rPr>
              <w:t>排</w:t>
            </w:r>
            <w:r>
              <w:rPr>
                <w:rFonts w:hAnsi="宋体" w:hint="eastAsia"/>
                <w:kern w:val="21"/>
                <w:sz w:val="16"/>
                <w:szCs w:val="16"/>
              </w:rPr>
              <w:t>66</w:t>
            </w:r>
            <w:r>
              <w:rPr>
                <w:rFonts w:hAnsi="宋体" w:hint="eastAsia"/>
                <w:kern w:val="21"/>
                <w:sz w:val="16"/>
                <w:szCs w:val="16"/>
              </w:rPr>
              <w:t>平</w:t>
            </w:r>
            <w:r>
              <w:rPr>
                <w:rFonts w:hAnsi="宋体" w:hint="eastAsia"/>
                <w:kern w:val="21"/>
                <w:sz w:val="16"/>
                <w:szCs w:val="16"/>
              </w:rPr>
              <w:t>5</w:t>
            </w:r>
          </w:p>
        </w:tc>
        <w:tc>
          <w:tcPr>
            <w:tcW w:w="1112"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hint="eastAsia"/>
                <w:kern w:val="21"/>
                <w:sz w:val="16"/>
                <w:szCs w:val="16"/>
              </w:rPr>
              <w:t>941.15-1544.41</w:t>
            </w:r>
          </w:p>
        </w:tc>
        <w:tc>
          <w:tcPr>
            <w:tcW w:w="973"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0.9496</w:t>
            </w:r>
          </w:p>
        </w:tc>
        <w:tc>
          <w:tcPr>
            <w:tcW w:w="589"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593.0</w:t>
            </w:r>
          </w:p>
        </w:tc>
        <w:tc>
          <w:tcPr>
            <w:tcW w:w="543"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-2</w:t>
            </w:r>
          </w:p>
        </w:tc>
        <w:tc>
          <w:tcPr>
            <w:tcW w:w="712"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1.11</w:t>
            </w:r>
          </w:p>
        </w:tc>
        <w:tc>
          <w:tcPr>
            <w:tcW w:w="716"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3.33</w:t>
            </w:r>
          </w:p>
        </w:tc>
        <w:tc>
          <w:tcPr>
            <w:tcW w:w="712"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int="eastAsia"/>
              </w:rPr>
              <w:t>-</w:t>
            </w:r>
          </w:p>
        </w:tc>
        <w:tc>
          <w:tcPr>
            <w:tcW w:w="543"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190</w:t>
            </w:r>
          </w:p>
        </w:tc>
        <w:tc>
          <w:tcPr>
            <w:tcW w:w="662"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1543.3</w:t>
            </w:r>
          </w:p>
        </w:tc>
        <w:tc>
          <w:tcPr>
            <w:tcW w:w="631"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int="eastAsia"/>
              </w:rPr>
              <w:t>-</w:t>
            </w:r>
          </w:p>
        </w:tc>
        <w:tc>
          <w:tcPr>
            <w:tcW w:w="631"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0.12</w:t>
            </w:r>
          </w:p>
        </w:tc>
      </w:tr>
      <w:tr w:rsidR="00EE4502">
        <w:trPr>
          <w:trHeight w:val="397"/>
        </w:trPr>
        <w:tc>
          <w:tcPr>
            <w:tcW w:w="580"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hint="eastAsia"/>
                <w:kern w:val="21"/>
                <w:sz w:val="16"/>
                <w:szCs w:val="16"/>
              </w:rPr>
              <w:t>排</w:t>
            </w:r>
            <w:r>
              <w:rPr>
                <w:rFonts w:hAnsi="宋体" w:hint="eastAsia"/>
                <w:kern w:val="21"/>
                <w:sz w:val="16"/>
                <w:szCs w:val="16"/>
              </w:rPr>
              <w:t>66</w:t>
            </w:r>
            <w:r>
              <w:rPr>
                <w:rFonts w:hAnsi="宋体" w:hint="eastAsia"/>
                <w:kern w:val="21"/>
                <w:sz w:val="16"/>
                <w:szCs w:val="16"/>
              </w:rPr>
              <w:t>平</w:t>
            </w:r>
            <w:r>
              <w:rPr>
                <w:rFonts w:hAnsi="宋体" w:hint="eastAsia"/>
                <w:kern w:val="21"/>
                <w:sz w:val="16"/>
                <w:szCs w:val="16"/>
              </w:rPr>
              <w:t>5</w:t>
            </w:r>
          </w:p>
        </w:tc>
        <w:tc>
          <w:tcPr>
            <w:tcW w:w="1112"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hint="eastAsia"/>
                <w:kern w:val="21"/>
                <w:sz w:val="16"/>
                <w:szCs w:val="16"/>
              </w:rPr>
              <w:t>941.15-1544.41</w:t>
            </w:r>
          </w:p>
        </w:tc>
        <w:tc>
          <w:tcPr>
            <w:tcW w:w="973"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0.9496</w:t>
            </w:r>
          </w:p>
        </w:tc>
        <w:tc>
          <w:tcPr>
            <w:tcW w:w="589"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593.0</w:t>
            </w:r>
          </w:p>
        </w:tc>
        <w:tc>
          <w:tcPr>
            <w:tcW w:w="543"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-2</w:t>
            </w:r>
          </w:p>
        </w:tc>
        <w:tc>
          <w:tcPr>
            <w:tcW w:w="712"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int="eastAsia"/>
              </w:rPr>
              <w:t>-</w:t>
            </w:r>
          </w:p>
        </w:tc>
        <w:tc>
          <w:tcPr>
            <w:tcW w:w="716"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int="eastAsia"/>
              </w:rPr>
              <w:t>-</w:t>
            </w:r>
          </w:p>
        </w:tc>
        <w:tc>
          <w:tcPr>
            <w:tcW w:w="712"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int="eastAsia"/>
              </w:rPr>
              <w:t>-</w:t>
            </w:r>
          </w:p>
        </w:tc>
        <w:tc>
          <w:tcPr>
            <w:tcW w:w="543"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190</w:t>
            </w:r>
          </w:p>
        </w:tc>
        <w:tc>
          <w:tcPr>
            <w:tcW w:w="662"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1543.3</w:t>
            </w:r>
          </w:p>
        </w:tc>
        <w:tc>
          <w:tcPr>
            <w:tcW w:w="631"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int="eastAsia"/>
              </w:rPr>
              <w:t>-</w:t>
            </w:r>
          </w:p>
        </w:tc>
        <w:tc>
          <w:tcPr>
            <w:tcW w:w="631"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0.12</w:t>
            </w:r>
          </w:p>
        </w:tc>
      </w:tr>
      <w:tr w:rsidR="00EE4502">
        <w:trPr>
          <w:trHeight w:val="397"/>
        </w:trPr>
        <w:tc>
          <w:tcPr>
            <w:tcW w:w="580"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hint="eastAsia"/>
                <w:kern w:val="21"/>
                <w:sz w:val="16"/>
                <w:szCs w:val="16"/>
              </w:rPr>
              <w:t>排</w:t>
            </w:r>
            <w:r>
              <w:rPr>
                <w:rFonts w:hAnsi="宋体" w:hint="eastAsia"/>
                <w:kern w:val="21"/>
                <w:sz w:val="16"/>
                <w:szCs w:val="16"/>
              </w:rPr>
              <w:t>66</w:t>
            </w:r>
            <w:r>
              <w:rPr>
                <w:rFonts w:hAnsi="宋体" w:hint="eastAsia"/>
                <w:kern w:val="21"/>
                <w:sz w:val="16"/>
                <w:szCs w:val="16"/>
              </w:rPr>
              <w:t>平</w:t>
            </w:r>
            <w:r>
              <w:rPr>
                <w:rFonts w:hAnsi="宋体" w:hint="eastAsia"/>
                <w:kern w:val="21"/>
                <w:sz w:val="16"/>
                <w:szCs w:val="16"/>
              </w:rPr>
              <w:t>5</w:t>
            </w:r>
          </w:p>
        </w:tc>
        <w:tc>
          <w:tcPr>
            <w:tcW w:w="1112"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hint="eastAsia"/>
                <w:kern w:val="21"/>
                <w:sz w:val="16"/>
                <w:szCs w:val="16"/>
              </w:rPr>
              <w:t>941.15-1544.41</w:t>
            </w:r>
          </w:p>
        </w:tc>
        <w:tc>
          <w:tcPr>
            <w:tcW w:w="973"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0.9373</w:t>
            </w:r>
          </w:p>
        </w:tc>
        <w:tc>
          <w:tcPr>
            <w:tcW w:w="589"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380.0</w:t>
            </w:r>
          </w:p>
        </w:tc>
        <w:tc>
          <w:tcPr>
            <w:tcW w:w="543"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w:t>
            </w:r>
          </w:p>
        </w:tc>
        <w:tc>
          <w:tcPr>
            <w:tcW w:w="712"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int="eastAsia"/>
              </w:rPr>
              <w:t>-</w:t>
            </w:r>
          </w:p>
        </w:tc>
        <w:tc>
          <w:tcPr>
            <w:tcW w:w="716"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int="eastAsia"/>
              </w:rPr>
              <w:t>-</w:t>
            </w:r>
          </w:p>
        </w:tc>
        <w:tc>
          <w:tcPr>
            <w:tcW w:w="712"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int="eastAsia"/>
              </w:rPr>
              <w:t>-</w:t>
            </w:r>
          </w:p>
        </w:tc>
        <w:tc>
          <w:tcPr>
            <w:tcW w:w="543"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int="eastAsia"/>
              </w:rPr>
              <w:t>-</w:t>
            </w:r>
          </w:p>
        </w:tc>
        <w:tc>
          <w:tcPr>
            <w:tcW w:w="662"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int="eastAsia"/>
              </w:rPr>
              <w:t>-</w:t>
            </w:r>
          </w:p>
        </w:tc>
        <w:tc>
          <w:tcPr>
            <w:tcW w:w="631"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int="eastAsia"/>
              </w:rPr>
              <w:t>-</w:t>
            </w:r>
          </w:p>
        </w:tc>
        <w:tc>
          <w:tcPr>
            <w:tcW w:w="631"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int="eastAsia"/>
              </w:rPr>
              <w:t>-</w:t>
            </w:r>
          </w:p>
        </w:tc>
      </w:tr>
      <w:tr w:rsidR="00EE4502">
        <w:trPr>
          <w:trHeight w:val="397"/>
        </w:trPr>
        <w:tc>
          <w:tcPr>
            <w:tcW w:w="580"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hint="eastAsia"/>
                <w:kern w:val="21"/>
                <w:sz w:val="16"/>
                <w:szCs w:val="16"/>
              </w:rPr>
              <w:t>排</w:t>
            </w:r>
            <w:r>
              <w:rPr>
                <w:rFonts w:hAnsi="宋体" w:hint="eastAsia"/>
                <w:kern w:val="21"/>
                <w:sz w:val="16"/>
                <w:szCs w:val="16"/>
              </w:rPr>
              <w:t>66</w:t>
            </w:r>
            <w:r>
              <w:rPr>
                <w:rFonts w:hAnsi="宋体" w:hint="eastAsia"/>
                <w:kern w:val="21"/>
                <w:sz w:val="16"/>
                <w:szCs w:val="16"/>
              </w:rPr>
              <w:t>平</w:t>
            </w:r>
            <w:r>
              <w:rPr>
                <w:rFonts w:hAnsi="宋体" w:hint="eastAsia"/>
                <w:kern w:val="21"/>
                <w:sz w:val="16"/>
                <w:szCs w:val="16"/>
              </w:rPr>
              <w:t>10</w:t>
            </w:r>
          </w:p>
        </w:tc>
        <w:tc>
          <w:tcPr>
            <w:tcW w:w="1112"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hint="eastAsia"/>
                <w:kern w:val="21"/>
                <w:sz w:val="16"/>
                <w:szCs w:val="16"/>
              </w:rPr>
              <w:t>900-1378.88</w:t>
            </w:r>
          </w:p>
        </w:tc>
        <w:tc>
          <w:tcPr>
            <w:tcW w:w="973"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0.9539</w:t>
            </w:r>
          </w:p>
        </w:tc>
        <w:tc>
          <w:tcPr>
            <w:tcW w:w="589"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1885</w:t>
            </w:r>
          </w:p>
        </w:tc>
        <w:tc>
          <w:tcPr>
            <w:tcW w:w="543"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11</w:t>
            </w:r>
          </w:p>
        </w:tc>
        <w:tc>
          <w:tcPr>
            <w:tcW w:w="712"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5.18%</w:t>
            </w:r>
          </w:p>
        </w:tc>
        <w:tc>
          <w:tcPr>
            <w:tcW w:w="716"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17.45%</w:t>
            </w:r>
          </w:p>
        </w:tc>
        <w:tc>
          <w:tcPr>
            <w:tcW w:w="712"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5.67%</w:t>
            </w:r>
          </w:p>
        </w:tc>
        <w:tc>
          <w:tcPr>
            <w:tcW w:w="543"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247</w:t>
            </w:r>
          </w:p>
        </w:tc>
        <w:tc>
          <w:tcPr>
            <w:tcW w:w="662"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EE4502">
            <w:pPr>
              <w:jc w:val="center"/>
              <w:rPr>
                <w:rFonts w:hAnsi="宋体"/>
                <w:kern w:val="21"/>
                <w:sz w:val="16"/>
                <w:szCs w:val="16"/>
              </w:rPr>
            </w:pPr>
          </w:p>
        </w:tc>
        <w:tc>
          <w:tcPr>
            <w:tcW w:w="631"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hint="eastAsia"/>
                <w:kern w:val="21"/>
                <w:sz w:val="16"/>
                <w:szCs w:val="16"/>
              </w:rPr>
              <w:t>0</w:t>
            </w:r>
          </w:p>
        </w:tc>
        <w:tc>
          <w:tcPr>
            <w:tcW w:w="631"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hint="eastAsia"/>
                <w:kern w:val="21"/>
                <w:sz w:val="16"/>
                <w:szCs w:val="16"/>
              </w:rPr>
              <w:t>0</w:t>
            </w:r>
          </w:p>
        </w:tc>
      </w:tr>
      <w:tr w:rsidR="00EE4502">
        <w:trPr>
          <w:trHeight w:val="397"/>
        </w:trPr>
        <w:tc>
          <w:tcPr>
            <w:tcW w:w="580"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hint="eastAsia"/>
                <w:kern w:val="21"/>
                <w:sz w:val="16"/>
                <w:szCs w:val="16"/>
              </w:rPr>
              <w:t>排</w:t>
            </w:r>
            <w:r>
              <w:rPr>
                <w:rFonts w:hAnsi="宋体" w:hint="eastAsia"/>
                <w:kern w:val="21"/>
                <w:sz w:val="16"/>
                <w:szCs w:val="16"/>
              </w:rPr>
              <w:t>66</w:t>
            </w:r>
            <w:r>
              <w:rPr>
                <w:rFonts w:hAnsi="宋体" w:hint="eastAsia"/>
                <w:kern w:val="21"/>
                <w:sz w:val="16"/>
                <w:szCs w:val="16"/>
              </w:rPr>
              <w:t>平</w:t>
            </w:r>
            <w:r>
              <w:rPr>
                <w:rFonts w:hAnsi="宋体" w:hint="eastAsia"/>
                <w:kern w:val="21"/>
                <w:sz w:val="16"/>
                <w:szCs w:val="16"/>
              </w:rPr>
              <w:t>10</w:t>
            </w:r>
          </w:p>
        </w:tc>
        <w:tc>
          <w:tcPr>
            <w:tcW w:w="1112"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hint="eastAsia"/>
                <w:kern w:val="21"/>
                <w:sz w:val="16"/>
                <w:szCs w:val="16"/>
              </w:rPr>
              <w:t>900-1378.88</w:t>
            </w:r>
          </w:p>
        </w:tc>
        <w:tc>
          <w:tcPr>
            <w:tcW w:w="973"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w:t>
            </w:r>
          </w:p>
        </w:tc>
        <w:tc>
          <w:tcPr>
            <w:tcW w:w="589"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1241</w:t>
            </w:r>
          </w:p>
        </w:tc>
        <w:tc>
          <w:tcPr>
            <w:tcW w:w="543"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int="eastAsia"/>
              </w:rPr>
              <w:t>-</w:t>
            </w:r>
          </w:p>
        </w:tc>
        <w:tc>
          <w:tcPr>
            <w:tcW w:w="712"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int="eastAsia"/>
              </w:rPr>
              <w:t>-</w:t>
            </w:r>
          </w:p>
        </w:tc>
        <w:tc>
          <w:tcPr>
            <w:tcW w:w="716"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int="eastAsia"/>
              </w:rPr>
              <w:t>-</w:t>
            </w:r>
          </w:p>
        </w:tc>
        <w:tc>
          <w:tcPr>
            <w:tcW w:w="712"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int="eastAsia"/>
              </w:rPr>
              <w:t>-</w:t>
            </w:r>
          </w:p>
        </w:tc>
        <w:tc>
          <w:tcPr>
            <w:tcW w:w="543"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int="eastAsia"/>
              </w:rPr>
              <w:t>-</w:t>
            </w:r>
          </w:p>
        </w:tc>
        <w:tc>
          <w:tcPr>
            <w:tcW w:w="662"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int="eastAsia"/>
              </w:rPr>
              <w:t>-</w:t>
            </w:r>
          </w:p>
        </w:tc>
        <w:tc>
          <w:tcPr>
            <w:tcW w:w="631"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int="eastAsia"/>
              </w:rPr>
              <w:t>-</w:t>
            </w:r>
          </w:p>
        </w:tc>
        <w:tc>
          <w:tcPr>
            <w:tcW w:w="631"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int="eastAsia"/>
              </w:rPr>
              <w:t>-</w:t>
            </w:r>
          </w:p>
        </w:tc>
      </w:tr>
      <w:tr w:rsidR="00EE4502">
        <w:trPr>
          <w:trHeight w:val="397"/>
        </w:trPr>
        <w:tc>
          <w:tcPr>
            <w:tcW w:w="580"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hint="eastAsia"/>
                <w:kern w:val="21"/>
                <w:sz w:val="16"/>
                <w:szCs w:val="16"/>
              </w:rPr>
              <w:t>排</w:t>
            </w:r>
            <w:r>
              <w:rPr>
                <w:rFonts w:hAnsi="宋体"/>
                <w:kern w:val="21"/>
                <w:sz w:val="16"/>
                <w:szCs w:val="16"/>
              </w:rPr>
              <w:t>655</w:t>
            </w:r>
          </w:p>
        </w:tc>
        <w:tc>
          <w:tcPr>
            <w:tcW w:w="1112"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hint="eastAsia"/>
                <w:kern w:val="21"/>
                <w:sz w:val="16"/>
                <w:szCs w:val="16"/>
              </w:rPr>
              <w:t>811.96-999</w:t>
            </w:r>
          </w:p>
        </w:tc>
        <w:tc>
          <w:tcPr>
            <w:tcW w:w="973"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0.9455</w:t>
            </w:r>
          </w:p>
        </w:tc>
        <w:tc>
          <w:tcPr>
            <w:tcW w:w="589"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672</w:t>
            </w:r>
          </w:p>
        </w:tc>
        <w:tc>
          <w:tcPr>
            <w:tcW w:w="543"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4</w:t>
            </w:r>
          </w:p>
        </w:tc>
        <w:tc>
          <w:tcPr>
            <w:tcW w:w="712"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6.93%</w:t>
            </w:r>
          </w:p>
        </w:tc>
        <w:tc>
          <w:tcPr>
            <w:tcW w:w="716"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13.42%</w:t>
            </w:r>
          </w:p>
        </w:tc>
        <w:tc>
          <w:tcPr>
            <w:tcW w:w="712"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2.67%</w:t>
            </w:r>
          </w:p>
        </w:tc>
        <w:tc>
          <w:tcPr>
            <w:tcW w:w="543"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235</w:t>
            </w:r>
          </w:p>
        </w:tc>
        <w:tc>
          <w:tcPr>
            <w:tcW w:w="662"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112.6</w:t>
            </w:r>
          </w:p>
        </w:tc>
        <w:tc>
          <w:tcPr>
            <w:tcW w:w="631"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0.06</w:t>
            </w:r>
          </w:p>
        </w:tc>
        <w:tc>
          <w:tcPr>
            <w:tcW w:w="631"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hint="eastAsia"/>
                <w:kern w:val="21"/>
                <w:sz w:val="16"/>
                <w:szCs w:val="16"/>
              </w:rPr>
              <w:t>0</w:t>
            </w:r>
          </w:p>
        </w:tc>
      </w:tr>
      <w:tr w:rsidR="00EE4502">
        <w:trPr>
          <w:trHeight w:val="397"/>
        </w:trPr>
        <w:tc>
          <w:tcPr>
            <w:tcW w:w="580"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hint="eastAsia"/>
                <w:kern w:val="21"/>
                <w:sz w:val="16"/>
                <w:szCs w:val="16"/>
              </w:rPr>
              <w:t>排</w:t>
            </w:r>
            <w:r>
              <w:rPr>
                <w:rFonts w:hAnsi="宋体"/>
                <w:kern w:val="21"/>
                <w:sz w:val="16"/>
                <w:szCs w:val="16"/>
              </w:rPr>
              <w:t>655</w:t>
            </w:r>
          </w:p>
        </w:tc>
        <w:tc>
          <w:tcPr>
            <w:tcW w:w="1112"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hint="eastAsia"/>
                <w:kern w:val="21"/>
                <w:sz w:val="16"/>
                <w:szCs w:val="16"/>
              </w:rPr>
              <w:t>811.96-999</w:t>
            </w:r>
          </w:p>
        </w:tc>
        <w:tc>
          <w:tcPr>
            <w:tcW w:w="973"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0.9413</w:t>
            </w:r>
          </w:p>
        </w:tc>
        <w:tc>
          <w:tcPr>
            <w:tcW w:w="589"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398</w:t>
            </w:r>
          </w:p>
        </w:tc>
        <w:tc>
          <w:tcPr>
            <w:tcW w:w="543"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-2</w:t>
            </w:r>
          </w:p>
        </w:tc>
        <w:tc>
          <w:tcPr>
            <w:tcW w:w="712"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6.91%</w:t>
            </w:r>
          </w:p>
        </w:tc>
        <w:tc>
          <w:tcPr>
            <w:tcW w:w="716"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13.27%</w:t>
            </w:r>
          </w:p>
        </w:tc>
        <w:tc>
          <w:tcPr>
            <w:tcW w:w="712"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3.85%</w:t>
            </w:r>
          </w:p>
        </w:tc>
        <w:tc>
          <w:tcPr>
            <w:tcW w:w="543"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245</w:t>
            </w:r>
          </w:p>
        </w:tc>
        <w:tc>
          <w:tcPr>
            <w:tcW w:w="662"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72.5</w:t>
            </w:r>
          </w:p>
        </w:tc>
        <w:tc>
          <w:tcPr>
            <w:tcW w:w="631"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0.08</w:t>
            </w:r>
          </w:p>
        </w:tc>
        <w:tc>
          <w:tcPr>
            <w:tcW w:w="631"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hint="eastAsia"/>
                <w:kern w:val="21"/>
                <w:sz w:val="16"/>
                <w:szCs w:val="16"/>
              </w:rPr>
              <w:t>0</w:t>
            </w:r>
          </w:p>
        </w:tc>
      </w:tr>
      <w:tr w:rsidR="00EE4502">
        <w:trPr>
          <w:trHeight w:val="397"/>
        </w:trPr>
        <w:tc>
          <w:tcPr>
            <w:tcW w:w="580"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hint="eastAsia"/>
                <w:kern w:val="21"/>
                <w:sz w:val="16"/>
                <w:szCs w:val="16"/>
              </w:rPr>
              <w:t>排</w:t>
            </w:r>
            <w:r>
              <w:rPr>
                <w:rFonts w:hAnsi="宋体" w:hint="eastAsia"/>
                <w:kern w:val="21"/>
                <w:sz w:val="16"/>
                <w:szCs w:val="16"/>
              </w:rPr>
              <w:t>752</w:t>
            </w:r>
          </w:p>
        </w:tc>
        <w:tc>
          <w:tcPr>
            <w:tcW w:w="1112"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hint="eastAsia"/>
                <w:kern w:val="21"/>
                <w:sz w:val="16"/>
                <w:szCs w:val="16"/>
              </w:rPr>
              <w:t>-</w:t>
            </w:r>
          </w:p>
        </w:tc>
        <w:tc>
          <w:tcPr>
            <w:tcW w:w="973"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0.9510</w:t>
            </w:r>
          </w:p>
        </w:tc>
        <w:tc>
          <w:tcPr>
            <w:tcW w:w="589"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1185</w:t>
            </w:r>
          </w:p>
        </w:tc>
        <w:tc>
          <w:tcPr>
            <w:tcW w:w="543"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9</w:t>
            </w:r>
          </w:p>
        </w:tc>
        <w:tc>
          <w:tcPr>
            <w:tcW w:w="712"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5.74%</w:t>
            </w:r>
          </w:p>
        </w:tc>
        <w:tc>
          <w:tcPr>
            <w:tcW w:w="716"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17.34%</w:t>
            </w:r>
          </w:p>
        </w:tc>
        <w:tc>
          <w:tcPr>
            <w:tcW w:w="712"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6.10%</w:t>
            </w:r>
          </w:p>
        </w:tc>
        <w:tc>
          <w:tcPr>
            <w:tcW w:w="543"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250</w:t>
            </w:r>
          </w:p>
        </w:tc>
        <w:tc>
          <w:tcPr>
            <w:tcW w:w="662"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45.3</w:t>
            </w:r>
          </w:p>
        </w:tc>
        <w:tc>
          <w:tcPr>
            <w:tcW w:w="631"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0.12</w:t>
            </w:r>
          </w:p>
        </w:tc>
        <w:tc>
          <w:tcPr>
            <w:tcW w:w="631"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hint="eastAsia"/>
                <w:kern w:val="21"/>
                <w:sz w:val="16"/>
                <w:szCs w:val="16"/>
              </w:rPr>
              <w:t>0</w:t>
            </w:r>
          </w:p>
        </w:tc>
      </w:tr>
      <w:tr w:rsidR="00EE4502">
        <w:trPr>
          <w:trHeight w:val="397"/>
        </w:trPr>
        <w:tc>
          <w:tcPr>
            <w:tcW w:w="580"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hint="eastAsia"/>
                <w:kern w:val="21"/>
                <w:sz w:val="16"/>
                <w:szCs w:val="16"/>
              </w:rPr>
              <w:t>排</w:t>
            </w:r>
            <w:r>
              <w:rPr>
                <w:rFonts w:hAnsi="宋体" w:hint="eastAsia"/>
                <w:kern w:val="21"/>
                <w:sz w:val="16"/>
                <w:szCs w:val="16"/>
              </w:rPr>
              <w:t>655</w:t>
            </w:r>
            <w:r>
              <w:rPr>
                <w:rFonts w:hAnsi="宋体" w:hint="eastAsia"/>
                <w:kern w:val="21"/>
                <w:sz w:val="16"/>
                <w:szCs w:val="16"/>
              </w:rPr>
              <w:t>平</w:t>
            </w:r>
            <w:r>
              <w:rPr>
                <w:rFonts w:hAnsi="宋体" w:hint="eastAsia"/>
                <w:kern w:val="21"/>
                <w:sz w:val="16"/>
                <w:szCs w:val="16"/>
              </w:rPr>
              <w:t>1</w:t>
            </w:r>
          </w:p>
        </w:tc>
        <w:tc>
          <w:tcPr>
            <w:tcW w:w="1112"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hint="eastAsia"/>
                <w:kern w:val="21"/>
                <w:sz w:val="16"/>
                <w:szCs w:val="16"/>
              </w:rPr>
              <w:t>912.45-1684.83</w:t>
            </w:r>
          </w:p>
        </w:tc>
        <w:tc>
          <w:tcPr>
            <w:tcW w:w="973"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0.947</w:t>
            </w:r>
          </w:p>
        </w:tc>
        <w:tc>
          <w:tcPr>
            <w:tcW w:w="589"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599</w:t>
            </w:r>
          </w:p>
        </w:tc>
        <w:tc>
          <w:tcPr>
            <w:tcW w:w="543"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-6</w:t>
            </w:r>
          </w:p>
        </w:tc>
        <w:tc>
          <w:tcPr>
            <w:tcW w:w="712"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6.62%</w:t>
            </w:r>
          </w:p>
        </w:tc>
        <w:tc>
          <w:tcPr>
            <w:tcW w:w="716"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14.87%</w:t>
            </w:r>
          </w:p>
        </w:tc>
        <w:tc>
          <w:tcPr>
            <w:tcW w:w="712"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3.53%</w:t>
            </w:r>
          </w:p>
        </w:tc>
        <w:tc>
          <w:tcPr>
            <w:tcW w:w="543"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239</w:t>
            </w:r>
          </w:p>
        </w:tc>
        <w:tc>
          <w:tcPr>
            <w:tcW w:w="662"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44.6</w:t>
            </w:r>
          </w:p>
        </w:tc>
        <w:tc>
          <w:tcPr>
            <w:tcW w:w="631"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0.09</w:t>
            </w:r>
          </w:p>
        </w:tc>
        <w:tc>
          <w:tcPr>
            <w:tcW w:w="631"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hint="eastAsia"/>
                <w:kern w:val="21"/>
                <w:sz w:val="16"/>
                <w:szCs w:val="16"/>
              </w:rPr>
              <w:t>0</w:t>
            </w:r>
          </w:p>
        </w:tc>
      </w:tr>
      <w:tr w:rsidR="00EE4502">
        <w:trPr>
          <w:trHeight w:val="397"/>
        </w:trPr>
        <w:tc>
          <w:tcPr>
            <w:tcW w:w="580"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hint="eastAsia"/>
                <w:kern w:val="21"/>
                <w:sz w:val="16"/>
                <w:szCs w:val="16"/>
              </w:rPr>
              <w:t>排</w:t>
            </w:r>
            <w:r>
              <w:rPr>
                <w:rFonts w:hAnsi="宋体"/>
                <w:kern w:val="21"/>
                <w:sz w:val="16"/>
                <w:szCs w:val="16"/>
              </w:rPr>
              <w:t>655</w:t>
            </w:r>
            <w:r>
              <w:rPr>
                <w:rFonts w:hAnsi="宋体" w:hint="eastAsia"/>
                <w:kern w:val="21"/>
                <w:sz w:val="16"/>
                <w:szCs w:val="16"/>
              </w:rPr>
              <w:t>平</w:t>
            </w:r>
            <w:r>
              <w:rPr>
                <w:rFonts w:hAnsi="宋体"/>
                <w:kern w:val="21"/>
                <w:sz w:val="16"/>
                <w:szCs w:val="16"/>
              </w:rPr>
              <w:t>1</w:t>
            </w:r>
          </w:p>
        </w:tc>
        <w:tc>
          <w:tcPr>
            <w:tcW w:w="1112"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912.45-1684.83</w:t>
            </w:r>
          </w:p>
        </w:tc>
        <w:tc>
          <w:tcPr>
            <w:tcW w:w="973"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0.9442</w:t>
            </w:r>
          </w:p>
        </w:tc>
        <w:tc>
          <w:tcPr>
            <w:tcW w:w="589"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596</w:t>
            </w:r>
          </w:p>
        </w:tc>
        <w:tc>
          <w:tcPr>
            <w:tcW w:w="543"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-5</w:t>
            </w:r>
          </w:p>
        </w:tc>
        <w:tc>
          <w:tcPr>
            <w:tcW w:w="712"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6.68%</w:t>
            </w:r>
          </w:p>
        </w:tc>
        <w:tc>
          <w:tcPr>
            <w:tcW w:w="716"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14.82%</w:t>
            </w:r>
          </w:p>
        </w:tc>
        <w:tc>
          <w:tcPr>
            <w:tcW w:w="712"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3.47%</w:t>
            </w:r>
          </w:p>
        </w:tc>
        <w:tc>
          <w:tcPr>
            <w:tcW w:w="543"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238</w:t>
            </w:r>
          </w:p>
        </w:tc>
        <w:tc>
          <w:tcPr>
            <w:tcW w:w="662"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37.1</w:t>
            </w:r>
          </w:p>
        </w:tc>
        <w:tc>
          <w:tcPr>
            <w:tcW w:w="631"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0.10</w:t>
            </w:r>
          </w:p>
        </w:tc>
        <w:tc>
          <w:tcPr>
            <w:tcW w:w="631"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hint="eastAsia"/>
                <w:kern w:val="21"/>
                <w:sz w:val="16"/>
                <w:szCs w:val="16"/>
              </w:rPr>
              <w:t>0</w:t>
            </w:r>
          </w:p>
        </w:tc>
      </w:tr>
      <w:tr w:rsidR="00EE4502">
        <w:trPr>
          <w:trHeight w:val="397"/>
        </w:trPr>
        <w:tc>
          <w:tcPr>
            <w:tcW w:w="580"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hint="eastAsia"/>
                <w:kern w:val="21"/>
                <w:sz w:val="16"/>
                <w:szCs w:val="16"/>
              </w:rPr>
              <w:t>排</w:t>
            </w:r>
            <w:r>
              <w:rPr>
                <w:rFonts w:hAnsi="宋体" w:hint="eastAsia"/>
                <w:kern w:val="21"/>
                <w:sz w:val="16"/>
                <w:szCs w:val="16"/>
              </w:rPr>
              <w:t>61</w:t>
            </w:r>
            <w:r>
              <w:rPr>
                <w:rFonts w:hAnsi="宋体" w:hint="eastAsia"/>
                <w:kern w:val="21"/>
                <w:sz w:val="16"/>
                <w:szCs w:val="16"/>
              </w:rPr>
              <w:t>平</w:t>
            </w:r>
            <w:r>
              <w:rPr>
                <w:rFonts w:hAnsi="宋体" w:hint="eastAsia"/>
                <w:kern w:val="21"/>
                <w:sz w:val="16"/>
                <w:szCs w:val="16"/>
              </w:rPr>
              <w:t>1</w:t>
            </w:r>
          </w:p>
        </w:tc>
        <w:tc>
          <w:tcPr>
            <w:tcW w:w="1112"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hint="eastAsia"/>
                <w:kern w:val="21"/>
                <w:sz w:val="16"/>
                <w:szCs w:val="16"/>
              </w:rPr>
              <w:t>902.08-1357.14</w:t>
            </w:r>
          </w:p>
        </w:tc>
        <w:tc>
          <w:tcPr>
            <w:tcW w:w="973"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0.9482</w:t>
            </w:r>
          </w:p>
        </w:tc>
        <w:tc>
          <w:tcPr>
            <w:tcW w:w="589"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947</w:t>
            </w:r>
          </w:p>
        </w:tc>
        <w:tc>
          <w:tcPr>
            <w:tcW w:w="543"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1</w:t>
            </w:r>
          </w:p>
        </w:tc>
        <w:tc>
          <w:tcPr>
            <w:tcW w:w="712"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6.28%</w:t>
            </w:r>
          </w:p>
        </w:tc>
        <w:tc>
          <w:tcPr>
            <w:tcW w:w="716"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16.03%</w:t>
            </w:r>
          </w:p>
        </w:tc>
        <w:tc>
          <w:tcPr>
            <w:tcW w:w="712"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5.56%</w:t>
            </w:r>
          </w:p>
        </w:tc>
        <w:tc>
          <w:tcPr>
            <w:tcW w:w="543"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242</w:t>
            </w:r>
          </w:p>
        </w:tc>
        <w:tc>
          <w:tcPr>
            <w:tcW w:w="662"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53.5</w:t>
            </w:r>
          </w:p>
        </w:tc>
        <w:tc>
          <w:tcPr>
            <w:tcW w:w="631"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0.11</w:t>
            </w:r>
          </w:p>
        </w:tc>
        <w:tc>
          <w:tcPr>
            <w:tcW w:w="631"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hint="eastAsia"/>
                <w:kern w:val="21"/>
                <w:sz w:val="16"/>
                <w:szCs w:val="16"/>
              </w:rPr>
              <w:t>0</w:t>
            </w:r>
          </w:p>
        </w:tc>
      </w:tr>
      <w:tr w:rsidR="00EE4502">
        <w:trPr>
          <w:trHeight w:val="397"/>
        </w:trPr>
        <w:tc>
          <w:tcPr>
            <w:tcW w:w="580"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hint="eastAsia"/>
                <w:kern w:val="21"/>
                <w:sz w:val="16"/>
                <w:szCs w:val="16"/>
              </w:rPr>
              <w:t>排</w:t>
            </w:r>
            <w:r>
              <w:rPr>
                <w:rFonts w:hAnsi="宋体"/>
                <w:kern w:val="21"/>
                <w:sz w:val="16"/>
                <w:szCs w:val="16"/>
              </w:rPr>
              <w:t>61</w:t>
            </w:r>
            <w:r>
              <w:rPr>
                <w:rFonts w:hAnsi="宋体" w:hint="eastAsia"/>
                <w:kern w:val="21"/>
                <w:sz w:val="16"/>
                <w:szCs w:val="16"/>
              </w:rPr>
              <w:t>平</w:t>
            </w:r>
            <w:r>
              <w:rPr>
                <w:rFonts w:hAnsi="宋体"/>
                <w:kern w:val="21"/>
                <w:sz w:val="16"/>
                <w:szCs w:val="16"/>
              </w:rPr>
              <w:t>1</w:t>
            </w:r>
          </w:p>
        </w:tc>
        <w:tc>
          <w:tcPr>
            <w:tcW w:w="1112"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902.08-1357.14</w:t>
            </w:r>
          </w:p>
        </w:tc>
        <w:tc>
          <w:tcPr>
            <w:tcW w:w="973"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0.9484</w:t>
            </w:r>
          </w:p>
        </w:tc>
        <w:tc>
          <w:tcPr>
            <w:tcW w:w="589"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884</w:t>
            </w:r>
          </w:p>
        </w:tc>
        <w:tc>
          <w:tcPr>
            <w:tcW w:w="543"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1</w:t>
            </w:r>
          </w:p>
        </w:tc>
        <w:tc>
          <w:tcPr>
            <w:tcW w:w="712"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5.79%</w:t>
            </w:r>
          </w:p>
        </w:tc>
        <w:tc>
          <w:tcPr>
            <w:tcW w:w="716"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12.41%</w:t>
            </w:r>
          </w:p>
        </w:tc>
        <w:tc>
          <w:tcPr>
            <w:tcW w:w="712"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5.98%</w:t>
            </w:r>
          </w:p>
        </w:tc>
        <w:tc>
          <w:tcPr>
            <w:tcW w:w="543"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237</w:t>
            </w:r>
          </w:p>
        </w:tc>
        <w:tc>
          <w:tcPr>
            <w:tcW w:w="662"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58.7</w:t>
            </w:r>
          </w:p>
        </w:tc>
        <w:tc>
          <w:tcPr>
            <w:tcW w:w="631"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0.11</w:t>
            </w:r>
          </w:p>
        </w:tc>
        <w:tc>
          <w:tcPr>
            <w:tcW w:w="631"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hint="eastAsia"/>
                <w:kern w:val="21"/>
                <w:sz w:val="16"/>
                <w:szCs w:val="16"/>
              </w:rPr>
              <w:t>0</w:t>
            </w:r>
          </w:p>
        </w:tc>
      </w:tr>
      <w:tr w:rsidR="00EE4502">
        <w:trPr>
          <w:trHeight w:val="397"/>
        </w:trPr>
        <w:tc>
          <w:tcPr>
            <w:tcW w:w="580"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hint="eastAsia"/>
                <w:kern w:val="21"/>
                <w:sz w:val="16"/>
                <w:szCs w:val="16"/>
              </w:rPr>
              <w:t>排</w:t>
            </w:r>
            <w:r>
              <w:rPr>
                <w:rFonts w:hAnsi="宋体"/>
                <w:kern w:val="21"/>
                <w:sz w:val="16"/>
                <w:szCs w:val="16"/>
              </w:rPr>
              <w:t>66</w:t>
            </w:r>
            <w:r>
              <w:rPr>
                <w:rFonts w:hAnsi="宋体" w:hint="eastAsia"/>
                <w:kern w:val="21"/>
                <w:sz w:val="16"/>
                <w:szCs w:val="16"/>
              </w:rPr>
              <w:t>平</w:t>
            </w:r>
            <w:r>
              <w:rPr>
                <w:rFonts w:hAnsi="宋体"/>
                <w:kern w:val="21"/>
                <w:sz w:val="16"/>
                <w:szCs w:val="16"/>
              </w:rPr>
              <w:t>10</w:t>
            </w:r>
          </w:p>
        </w:tc>
        <w:tc>
          <w:tcPr>
            <w:tcW w:w="1112"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hint="eastAsia"/>
                <w:kern w:val="21"/>
                <w:sz w:val="16"/>
                <w:szCs w:val="16"/>
              </w:rPr>
              <w:t>900-1378.88</w:t>
            </w:r>
          </w:p>
        </w:tc>
        <w:tc>
          <w:tcPr>
            <w:tcW w:w="973"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0.9445</w:t>
            </w:r>
          </w:p>
        </w:tc>
        <w:tc>
          <w:tcPr>
            <w:tcW w:w="589"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359</w:t>
            </w:r>
          </w:p>
        </w:tc>
        <w:tc>
          <w:tcPr>
            <w:tcW w:w="543"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4</w:t>
            </w:r>
          </w:p>
        </w:tc>
        <w:tc>
          <w:tcPr>
            <w:tcW w:w="712"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6.71%</w:t>
            </w:r>
          </w:p>
        </w:tc>
        <w:tc>
          <w:tcPr>
            <w:tcW w:w="716"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18.51%</w:t>
            </w:r>
          </w:p>
        </w:tc>
        <w:tc>
          <w:tcPr>
            <w:tcW w:w="712"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12.78%</w:t>
            </w:r>
          </w:p>
        </w:tc>
        <w:tc>
          <w:tcPr>
            <w:tcW w:w="543"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237</w:t>
            </w:r>
          </w:p>
        </w:tc>
        <w:tc>
          <w:tcPr>
            <w:tcW w:w="662"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38.5</w:t>
            </w:r>
          </w:p>
        </w:tc>
        <w:tc>
          <w:tcPr>
            <w:tcW w:w="631"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0.12</w:t>
            </w:r>
          </w:p>
        </w:tc>
        <w:tc>
          <w:tcPr>
            <w:tcW w:w="631"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hint="eastAsia"/>
                <w:kern w:val="21"/>
                <w:sz w:val="16"/>
                <w:szCs w:val="16"/>
              </w:rPr>
              <w:t>0</w:t>
            </w:r>
          </w:p>
        </w:tc>
      </w:tr>
      <w:tr w:rsidR="00EE4502">
        <w:trPr>
          <w:trHeight w:val="397"/>
        </w:trPr>
        <w:tc>
          <w:tcPr>
            <w:tcW w:w="580"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hint="eastAsia"/>
                <w:kern w:val="21"/>
                <w:sz w:val="16"/>
                <w:szCs w:val="16"/>
              </w:rPr>
              <w:t>排平</w:t>
            </w:r>
            <w:r>
              <w:rPr>
                <w:rFonts w:hAnsi="宋体" w:hint="eastAsia"/>
                <w:kern w:val="21"/>
                <w:sz w:val="16"/>
                <w:szCs w:val="16"/>
              </w:rPr>
              <w:t>752</w:t>
            </w:r>
          </w:p>
        </w:tc>
        <w:tc>
          <w:tcPr>
            <w:tcW w:w="1112"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hint="eastAsia"/>
                <w:kern w:val="21"/>
                <w:sz w:val="16"/>
                <w:szCs w:val="16"/>
              </w:rPr>
              <w:t>866.9-1097.0</w:t>
            </w:r>
          </w:p>
        </w:tc>
        <w:tc>
          <w:tcPr>
            <w:tcW w:w="973"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EE4502">
            <w:pPr>
              <w:jc w:val="center"/>
              <w:rPr>
                <w:rFonts w:hAnsi="宋体"/>
                <w:kern w:val="21"/>
                <w:sz w:val="16"/>
                <w:szCs w:val="16"/>
              </w:rPr>
            </w:pPr>
          </w:p>
        </w:tc>
        <w:tc>
          <w:tcPr>
            <w:tcW w:w="589"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110</w:t>
            </w:r>
          </w:p>
        </w:tc>
        <w:tc>
          <w:tcPr>
            <w:tcW w:w="543"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2</w:t>
            </w:r>
          </w:p>
        </w:tc>
        <w:tc>
          <w:tcPr>
            <w:tcW w:w="712"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8.89%</w:t>
            </w:r>
          </w:p>
        </w:tc>
        <w:tc>
          <w:tcPr>
            <w:tcW w:w="716"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22.94%</w:t>
            </w:r>
          </w:p>
        </w:tc>
        <w:tc>
          <w:tcPr>
            <w:tcW w:w="712"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9.78%</w:t>
            </w:r>
          </w:p>
        </w:tc>
        <w:tc>
          <w:tcPr>
            <w:tcW w:w="543"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215</w:t>
            </w:r>
          </w:p>
        </w:tc>
        <w:tc>
          <w:tcPr>
            <w:tcW w:w="662"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36.7</w:t>
            </w:r>
          </w:p>
        </w:tc>
        <w:tc>
          <w:tcPr>
            <w:tcW w:w="631"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0.05</w:t>
            </w:r>
          </w:p>
        </w:tc>
        <w:tc>
          <w:tcPr>
            <w:tcW w:w="631"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hint="eastAsia"/>
                <w:kern w:val="21"/>
                <w:sz w:val="16"/>
                <w:szCs w:val="16"/>
              </w:rPr>
              <w:t>0</w:t>
            </w:r>
          </w:p>
        </w:tc>
      </w:tr>
      <w:tr w:rsidR="00EE4502">
        <w:trPr>
          <w:trHeight w:val="397"/>
        </w:trPr>
        <w:tc>
          <w:tcPr>
            <w:tcW w:w="580"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hint="eastAsia"/>
                <w:kern w:val="21"/>
                <w:sz w:val="16"/>
                <w:szCs w:val="16"/>
              </w:rPr>
              <w:t>排</w:t>
            </w:r>
            <w:r>
              <w:rPr>
                <w:rFonts w:hAnsi="宋体" w:hint="eastAsia"/>
                <w:kern w:val="21"/>
                <w:sz w:val="16"/>
                <w:szCs w:val="16"/>
              </w:rPr>
              <w:t>754H</w:t>
            </w:r>
          </w:p>
        </w:tc>
        <w:tc>
          <w:tcPr>
            <w:tcW w:w="1112"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hint="eastAsia"/>
                <w:kern w:val="21"/>
                <w:sz w:val="16"/>
                <w:szCs w:val="16"/>
              </w:rPr>
              <w:t>887.35-1230.51</w:t>
            </w:r>
          </w:p>
        </w:tc>
        <w:tc>
          <w:tcPr>
            <w:tcW w:w="973"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0.9467</w:t>
            </w:r>
          </w:p>
        </w:tc>
        <w:tc>
          <w:tcPr>
            <w:tcW w:w="589"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610</w:t>
            </w:r>
          </w:p>
        </w:tc>
        <w:tc>
          <w:tcPr>
            <w:tcW w:w="543"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9</w:t>
            </w:r>
          </w:p>
        </w:tc>
        <w:tc>
          <w:tcPr>
            <w:tcW w:w="712"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17.32%</w:t>
            </w:r>
          </w:p>
        </w:tc>
        <w:tc>
          <w:tcPr>
            <w:tcW w:w="716"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14.03%</w:t>
            </w:r>
          </w:p>
        </w:tc>
        <w:tc>
          <w:tcPr>
            <w:tcW w:w="712"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8.80%</w:t>
            </w:r>
          </w:p>
        </w:tc>
        <w:tc>
          <w:tcPr>
            <w:tcW w:w="543"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234</w:t>
            </w:r>
          </w:p>
        </w:tc>
        <w:tc>
          <w:tcPr>
            <w:tcW w:w="662"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w:t>
            </w:r>
          </w:p>
        </w:tc>
        <w:tc>
          <w:tcPr>
            <w:tcW w:w="631"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kern w:val="21"/>
                <w:sz w:val="16"/>
                <w:szCs w:val="16"/>
              </w:rPr>
              <w:t>0.10</w:t>
            </w:r>
          </w:p>
        </w:tc>
        <w:tc>
          <w:tcPr>
            <w:tcW w:w="631" w:type="dxa"/>
            <w:tcBorders>
              <w:top w:val="single" w:sz="4" w:space="0" w:color="1F1F1F"/>
              <w:left w:val="single" w:sz="4" w:space="0" w:color="1F1F1F"/>
              <w:bottom w:val="single" w:sz="4" w:space="0" w:color="1F1F1F"/>
              <w:right w:val="single" w:sz="4" w:space="0" w:color="1F1F1F"/>
            </w:tcBorders>
            <w:shd w:val="clear" w:color="auto" w:fill="auto"/>
            <w:vAlign w:val="center"/>
          </w:tcPr>
          <w:p w:rsidR="00EE4502" w:rsidRDefault="00FD45A3">
            <w:pPr>
              <w:jc w:val="center"/>
              <w:rPr>
                <w:rFonts w:hAnsi="宋体"/>
                <w:kern w:val="21"/>
                <w:sz w:val="16"/>
                <w:szCs w:val="16"/>
              </w:rPr>
            </w:pPr>
            <w:r>
              <w:rPr>
                <w:rFonts w:hAnsi="宋体" w:hint="eastAsia"/>
                <w:kern w:val="21"/>
                <w:sz w:val="16"/>
                <w:szCs w:val="16"/>
              </w:rPr>
              <w:t>0</w:t>
            </w:r>
          </w:p>
        </w:tc>
      </w:tr>
    </w:tbl>
    <w:p w:rsidR="00EE4502" w:rsidRDefault="00EE4502">
      <w:pPr>
        <w:spacing w:line="360" w:lineRule="auto"/>
        <w:jc w:val="center"/>
        <w:rPr>
          <w:kern w:val="0"/>
          <w:sz w:val="24"/>
        </w:rPr>
      </w:pPr>
    </w:p>
    <w:p w:rsidR="00EE4502" w:rsidRDefault="00FD45A3">
      <w:pPr>
        <w:pStyle w:val="41"/>
        <w:numPr>
          <w:ilvl w:val="3"/>
          <w:numId w:val="30"/>
        </w:numPr>
        <w:adjustRightInd/>
        <w:snapToGrid/>
        <w:spacing w:beforeLines="0" w:before="0" w:line="360" w:lineRule="auto"/>
        <w:rPr>
          <w:rFonts w:ascii="Times New Roman" w:eastAsia="宋体" w:hAnsi="Times New Roman"/>
          <w:bCs w:val="0"/>
          <w:sz w:val="24"/>
          <w:szCs w:val="24"/>
        </w:rPr>
      </w:pPr>
      <w:bookmarkStart w:id="91" w:name="_Toc350435936"/>
      <w:bookmarkStart w:id="92" w:name="_Toc506110398"/>
      <w:bookmarkStart w:id="93" w:name="_Toc505874034"/>
      <w:bookmarkStart w:id="94" w:name="_Toc350432165"/>
      <w:r>
        <w:rPr>
          <w:rFonts w:ascii="Times New Roman" w:eastAsia="宋体" w:hAnsi="Times New Roman" w:hint="eastAsia"/>
          <w:bCs w:val="0"/>
          <w:sz w:val="24"/>
          <w:szCs w:val="24"/>
        </w:rPr>
        <w:t>温度及压力系统</w:t>
      </w:r>
    </w:p>
    <w:bookmarkEnd w:id="91"/>
    <w:bookmarkEnd w:id="92"/>
    <w:bookmarkEnd w:id="93"/>
    <w:bookmarkEnd w:id="94"/>
    <w:p w:rsidR="00EE4502" w:rsidRDefault="00FD45A3">
      <w:pPr>
        <w:spacing w:line="360" w:lineRule="auto"/>
        <w:ind w:firstLineChars="200" w:firstLine="480"/>
        <w:rPr>
          <w:sz w:val="24"/>
        </w:rPr>
      </w:pPr>
      <w:r>
        <w:rPr>
          <w:rFonts w:hint="eastAsia"/>
          <w:sz w:val="24"/>
        </w:rPr>
        <w:t>排</w:t>
      </w:r>
      <w:r>
        <w:rPr>
          <w:rFonts w:hint="eastAsia"/>
          <w:sz w:val="24"/>
        </w:rPr>
        <w:t>61</w:t>
      </w:r>
      <w:r>
        <w:rPr>
          <w:rFonts w:hint="eastAsia"/>
          <w:sz w:val="24"/>
        </w:rPr>
        <w:t>区块及邻区石炭系原始地层压力位</w:t>
      </w:r>
      <w:r>
        <w:rPr>
          <w:rFonts w:hint="eastAsia"/>
          <w:sz w:val="24"/>
        </w:rPr>
        <w:t>10~12MPa</w:t>
      </w:r>
      <w:r>
        <w:rPr>
          <w:rFonts w:hint="eastAsia"/>
          <w:sz w:val="24"/>
        </w:rPr>
        <w:t>，压力系数</w:t>
      </w:r>
      <w:r>
        <w:rPr>
          <w:rFonts w:hint="eastAsia"/>
          <w:sz w:val="24"/>
        </w:rPr>
        <w:t>1.07~1.1</w:t>
      </w:r>
      <w:r>
        <w:rPr>
          <w:rFonts w:hint="eastAsia"/>
          <w:sz w:val="24"/>
        </w:rPr>
        <w:t>，油层温度</w:t>
      </w:r>
      <w:r>
        <w:rPr>
          <w:rFonts w:hint="eastAsia"/>
          <w:sz w:val="24"/>
        </w:rPr>
        <w:t>33~41</w:t>
      </w:r>
      <w:r>
        <w:rPr>
          <w:rFonts w:hint="eastAsia"/>
          <w:sz w:val="24"/>
        </w:rPr>
        <w:t>℃，温度梯度</w:t>
      </w:r>
      <w:r>
        <w:rPr>
          <w:rFonts w:hint="eastAsia"/>
          <w:sz w:val="24"/>
        </w:rPr>
        <w:t>2.1~2.7</w:t>
      </w:r>
      <w:r>
        <w:rPr>
          <w:rFonts w:hint="eastAsia"/>
          <w:sz w:val="24"/>
        </w:rPr>
        <w:t>℃</w:t>
      </w:r>
      <w:r>
        <w:rPr>
          <w:rFonts w:hint="eastAsia"/>
          <w:sz w:val="24"/>
        </w:rPr>
        <w:t>/100m</w:t>
      </w:r>
      <w:r>
        <w:rPr>
          <w:rFonts w:hint="eastAsia"/>
          <w:sz w:val="24"/>
        </w:rPr>
        <w:t>，属于常温常压系统。</w:t>
      </w:r>
    </w:p>
    <w:p w:rsidR="00EE4502" w:rsidRDefault="00FD45A3">
      <w:pPr>
        <w:pStyle w:val="41"/>
        <w:numPr>
          <w:ilvl w:val="3"/>
          <w:numId w:val="30"/>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hint="eastAsia"/>
          <w:bCs w:val="0"/>
          <w:sz w:val="24"/>
          <w:szCs w:val="24"/>
        </w:rPr>
        <w:t>油藏储量</w:t>
      </w:r>
    </w:p>
    <w:p w:rsidR="00EE4502" w:rsidRDefault="00FD45A3">
      <w:pPr>
        <w:spacing w:line="360" w:lineRule="auto"/>
        <w:ind w:firstLineChars="200" w:firstLine="480"/>
        <w:rPr>
          <w:rFonts w:ascii="黑体" w:eastAsia="黑体" w:hAnsi="黑体" w:cs="黑体"/>
          <w:kern w:val="0"/>
          <w:szCs w:val="21"/>
        </w:rPr>
      </w:pPr>
      <w:r>
        <w:rPr>
          <w:rFonts w:hint="eastAsia"/>
          <w:kern w:val="0"/>
          <w:sz w:val="24"/>
        </w:rPr>
        <w:t>排</w:t>
      </w:r>
      <w:r>
        <w:rPr>
          <w:rFonts w:hint="eastAsia"/>
          <w:kern w:val="0"/>
          <w:sz w:val="24"/>
        </w:rPr>
        <w:t>61</w:t>
      </w:r>
      <w:r>
        <w:rPr>
          <w:rFonts w:hint="eastAsia"/>
          <w:kern w:val="0"/>
          <w:sz w:val="24"/>
        </w:rPr>
        <w:t>方案区石炭系总计含油面积</w:t>
      </w:r>
      <w:r>
        <w:rPr>
          <w:rFonts w:hint="eastAsia"/>
          <w:kern w:val="0"/>
          <w:sz w:val="24"/>
        </w:rPr>
        <w:t>6.81km</w:t>
      </w:r>
      <w:r>
        <w:rPr>
          <w:rFonts w:hint="eastAsia"/>
          <w:kern w:val="0"/>
          <w:sz w:val="24"/>
          <w:vertAlign w:val="superscript"/>
        </w:rPr>
        <w:t>2</w:t>
      </w:r>
      <w:r>
        <w:rPr>
          <w:rFonts w:hint="eastAsia"/>
          <w:kern w:val="0"/>
          <w:sz w:val="24"/>
        </w:rPr>
        <w:t>，</w:t>
      </w:r>
      <w:r>
        <w:rPr>
          <w:rFonts w:hint="eastAsia"/>
          <w:kern w:val="0"/>
          <w:sz w:val="24"/>
        </w:rPr>
        <w:t>有效孔隙度</w:t>
      </w:r>
      <w:r>
        <w:rPr>
          <w:rFonts w:hint="eastAsia"/>
          <w:kern w:val="0"/>
          <w:sz w:val="24"/>
        </w:rPr>
        <w:t>2.5%</w:t>
      </w:r>
      <w:r>
        <w:rPr>
          <w:rFonts w:hint="eastAsia"/>
          <w:kern w:val="0"/>
          <w:sz w:val="24"/>
        </w:rPr>
        <w:t>，</w:t>
      </w:r>
      <w:r>
        <w:rPr>
          <w:rFonts w:hint="eastAsia"/>
          <w:kern w:val="0"/>
          <w:sz w:val="24"/>
        </w:rPr>
        <w:t>含油饱和度</w:t>
      </w:r>
      <w:r>
        <w:rPr>
          <w:rFonts w:hint="eastAsia"/>
          <w:kern w:val="0"/>
          <w:sz w:val="24"/>
        </w:rPr>
        <w:t>68%</w:t>
      </w:r>
      <w:r>
        <w:rPr>
          <w:rFonts w:hint="eastAsia"/>
          <w:kern w:val="0"/>
          <w:sz w:val="24"/>
        </w:rPr>
        <w:t>，</w:t>
      </w:r>
      <w:r>
        <w:rPr>
          <w:rFonts w:hint="eastAsia"/>
          <w:kern w:val="0"/>
          <w:sz w:val="24"/>
        </w:rPr>
        <w:t>地面原油密度</w:t>
      </w:r>
      <w:r>
        <w:rPr>
          <w:rFonts w:hint="eastAsia"/>
          <w:kern w:val="0"/>
          <w:sz w:val="24"/>
        </w:rPr>
        <w:t>0.943t/m</w:t>
      </w:r>
      <w:r>
        <w:rPr>
          <w:rFonts w:hint="eastAsia"/>
          <w:kern w:val="0"/>
          <w:sz w:val="24"/>
          <w:vertAlign w:val="superscript"/>
        </w:rPr>
        <w:t>3</w:t>
      </w:r>
      <w:r>
        <w:rPr>
          <w:rFonts w:hint="eastAsia"/>
          <w:kern w:val="0"/>
          <w:sz w:val="24"/>
        </w:rPr>
        <w:t>，</w:t>
      </w:r>
      <w:r>
        <w:rPr>
          <w:rFonts w:hint="eastAsia"/>
          <w:kern w:val="0"/>
          <w:sz w:val="24"/>
        </w:rPr>
        <w:t>合计</w:t>
      </w:r>
      <w:r>
        <w:rPr>
          <w:rFonts w:hint="eastAsia"/>
          <w:kern w:val="0"/>
          <w:sz w:val="24"/>
        </w:rPr>
        <w:t>储量</w:t>
      </w:r>
      <w:r>
        <w:rPr>
          <w:rFonts w:hint="eastAsia"/>
          <w:kern w:val="0"/>
          <w:sz w:val="24"/>
        </w:rPr>
        <w:t>325.8</w:t>
      </w:r>
      <w:r>
        <w:rPr>
          <w:rFonts w:hint="eastAsia"/>
          <w:kern w:val="0"/>
          <w:sz w:val="24"/>
        </w:rPr>
        <w:t>×</w:t>
      </w:r>
      <w:r>
        <w:rPr>
          <w:rFonts w:hint="eastAsia"/>
          <w:kern w:val="0"/>
          <w:sz w:val="24"/>
        </w:rPr>
        <w:t>10</w:t>
      </w:r>
      <w:r>
        <w:rPr>
          <w:rFonts w:hint="eastAsia"/>
          <w:kern w:val="0"/>
          <w:sz w:val="24"/>
          <w:vertAlign w:val="superscript"/>
        </w:rPr>
        <w:t>4</w:t>
      </w:r>
      <w:r>
        <w:rPr>
          <w:rFonts w:hint="eastAsia"/>
          <w:kern w:val="0"/>
          <w:sz w:val="24"/>
        </w:rPr>
        <w:t>t</w:t>
      </w:r>
      <w:r>
        <w:rPr>
          <w:rFonts w:hint="eastAsia"/>
          <w:kern w:val="0"/>
          <w:sz w:val="24"/>
        </w:rPr>
        <w:t>。</w:t>
      </w:r>
      <w:bookmarkStart w:id="95" w:name="_Toc327897341"/>
    </w:p>
    <w:p w:rsidR="00EE4502" w:rsidRDefault="00FD45A3">
      <w:pPr>
        <w:pStyle w:val="33"/>
        <w:numPr>
          <w:ilvl w:val="2"/>
          <w:numId w:val="30"/>
        </w:numPr>
        <w:spacing w:line="360" w:lineRule="auto"/>
        <w:ind w:left="0" w:firstLine="0"/>
        <w:rPr>
          <w:spacing w:val="0"/>
          <w:sz w:val="24"/>
          <w:szCs w:val="24"/>
        </w:rPr>
      </w:pPr>
      <w:r>
        <w:rPr>
          <w:rFonts w:hint="eastAsia"/>
          <w:spacing w:val="0"/>
          <w:sz w:val="24"/>
          <w:szCs w:val="24"/>
        </w:rPr>
        <w:t>主要技术经济指标</w:t>
      </w:r>
    </w:p>
    <w:p w:rsidR="00EE4502" w:rsidRDefault="00FD45A3">
      <w:pPr>
        <w:spacing w:line="360" w:lineRule="auto"/>
        <w:ind w:firstLineChars="200" w:firstLine="480"/>
        <w:rPr>
          <w:sz w:val="24"/>
        </w:rPr>
      </w:pPr>
      <w:r>
        <w:rPr>
          <w:rFonts w:hint="eastAsia"/>
          <w:sz w:val="24"/>
        </w:rPr>
        <w:t>本项目主要技术经济指标见表</w:t>
      </w:r>
      <w:r>
        <w:rPr>
          <w:rFonts w:hint="eastAsia"/>
          <w:sz w:val="24"/>
        </w:rPr>
        <w:t>3-3-4</w:t>
      </w:r>
      <w:r>
        <w:rPr>
          <w:rFonts w:hint="eastAsia"/>
          <w:sz w:val="24"/>
        </w:rPr>
        <w:t>。</w:t>
      </w:r>
    </w:p>
    <w:p w:rsidR="00EE4502" w:rsidRDefault="00FD45A3">
      <w:pPr>
        <w:spacing w:line="360" w:lineRule="auto"/>
        <w:jc w:val="center"/>
        <w:rPr>
          <w:rFonts w:ascii="黑体" w:eastAsia="黑体" w:hAnsi="黑体" w:cs="黑体"/>
          <w:szCs w:val="21"/>
        </w:rPr>
      </w:pPr>
      <w:r>
        <w:rPr>
          <w:rFonts w:ascii="黑体" w:eastAsia="黑体" w:hAnsi="黑体" w:cs="黑体" w:hint="eastAsia"/>
          <w:szCs w:val="21"/>
        </w:rPr>
        <w:t>表</w:t>
      </w:r>
      <w:r>
        <w:rPr>
          <w:rFonts w:ascii="黑体" w:eastAsia="黑体" w:hAnsi="黑体" w:cs="黑体" w:hint="eastAsia"/>
          <w:szCs w:val="21"/>
        </w:rPr>
        <w:t xml:space="preserve">3-3-4   </w:t>
      </w:r>
      <w:r>
        <w:rPr>
          <w:rFonts w:ascii="黑体" w:eastAsia="黑体" w:hAnsi="黑体" w:cs="黑体" w:hint="eastAsia"/>
          <w:szCs w:val="21"/>
        </w:rPr>
        <w:t>本工程主要技术经济指标一览表</w:t>
      </w:r>
    </w:p>
    <w:tbl>
      <w:tblPr>
        <w:tblW w:w="4996"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58"/>
        <w:gridCol w:w="1151"/>
        <w:gridCol w:w="1160"/>
        <w:gridCol w:w="1161"/>
        <w:gridCol w:w="1328"/>
        <w:gridCol w:w="2697"/>
      </w:tblGrid>
      <w:tr w:rsidR="00EE4502">
        <w:trPr>
          <w:trHeight w:val="369"/>
          <w:jc w:val="center"/>
        </w:trPr>
        <w:tc>
          <w:tcPr>
            <w:tcW w:w="513" w:type="pct"/>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序号</w:t>
            </w:r>
          </w:p>
        </w:tc>
        <w:tc>
          <w:tcPr>
            <w:tcW w:w="2077" w:type="pct"/>
            <w:gridSpan w:val="3"/>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项目</w:t>
            </w:r>
          </w:p>
        </w:tc>
        <w:tc>
          <w:tcPr>
            <w:tcW w:w="795" w:type="pct"/>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单位</w:t>
            </w:r>
          </w:p>
        </w:tc>
        <w:tc>
          <w:tcPr>
            <w:tcW w:w="1613" w:type="pct"/>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数量</w:t>
            </w:r>
          </w:p>
        </w:tc>
      </w:tr>
      <w:tr w:rsidR="00EE4502">
        <w:trPr>
          <w:trHeight w:val="369"/>
          <w:jc w:val="center"/>
        </w:trPr>
        <w:tc>
          <w:tcPr>
            <w:tcW w:w="513" w:type="pct"/>
            <w:vMerge w:val="restart"/>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1</w:t>
            </w:r>
          </w:p>
        </w:tc>
        <w:tc>
          <w:tcPr>
            <w:tcW w:w="688" w:type="pct"/>
            <w:vMerge w:val="restart"/>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开发指标</w:t>
            </w:r>
          </w:p>
        </w:tc>
        <w:tc>
          <w:tcPr>
            <w:tcW w:w="694" w:type="pct"/>
            <w:vMerge w:val="restart"/>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新钻井数量</w:t>
            </w:r>
          </w:p>
        </w:tc>
        <w:tc>
          <w:tcPr>
            <w:tcW w:w="694" w:type="pct"/>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采油井</w:t>
            </w:r>
          </w:p>
        </w:tc>
        <w:tc>
          <w:tcPr>
            <w:tcW w:w="795" w:type="pct"/>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口</w:t>
            </w:r>
          </w:p>
        </w:tc>
        <w:tc>
          <w:tcPr>
            <w:tcW w:w="1613" w:type="pct"/>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15</w:t>
            </w:r>
          </w:p>
        </w:tc>
      </w:tr>
      <w:tr w:rsidR="00EE4502">
        <w:trPr>
          <w:trHeight w:val="369"/>
          <w:jc w:val="center"/>
        </w:trPr>
        <w:tc>
          <w:tcPr>
            <w:tcW w:w="513" w:type="pct"/>
            <w:vMerge/>
            <w:vAlign w:val="center"/>
          </w:tcPr>
          <w:p w:rsidR="00EE4502" w:rsidRDefault="00EE4502">
            <w:pPr>
              <w:pStyle w:val="affffffffff"/>
              <w:kinsoku/>
              <w:wordWrap/>
              <w:overflowPunct/>
              <w:adjustRightInd/>
              <w:spacing w:after="0" w:line="240" w:lineRule="auto"/>
              <w:ind w:left="0" w:firstLineChars="0" w:firstLine="0"/>
              <w:rPr>
                <w:szCs w:val="21"/>
              </w:rPr>
            </w:pPr>
          </w:p>
        </w:tc>
        <w:tc>
          <w:tcPr>
            <w:tcW w:w="688" w:type="pct"/>
            <w:vMerge/>
            <w:vAlign w:val="center"/>
          </w:tcPr>
          <w:p w:rsidR="00EE4502" w:rsidRDefault="00EE4502">
            <w:pPr>
              <w:pStyle w:val="affffffffff"/>
              <w:kinsoku/>
              <w:wordWrap/>
              <w:overflowPunct/>
              <w:adjustRightInd/>
              <w:spacing w:after="0" w:line="240" w:lineRule="auto"/>
              <w:ind w:left="0" w:firstLineChars="0" w:firstLine="0"/>
              <w:rPr>
                <w:szCs w:val="21"/>
              </w:rPr>
            </w:pPr>
          </w:p>
        </w:tc>
        <w:tc>
          <w:tcPr>
            <w:tcW w:w="694" w:type="pct"/>
            <w:vMerge/>
            <w:vAlign w:val="center"/>
          </w:tcPr>
          <w:p w:rsidR="00EE4502" w:rsidRDefault="00EE4502">
            <w:pPr>
              <w:pStyle w:val="affffffffff"/>
              <w:kinsoku/>
              <w:wordWrap/>
              <w:overflowPunct/>
              <w:adjustRightInd/>
              <w:spacing w:after="0" w:line="240" w:lineRule="auto"/>
              <w:ind w:left="0" w:firstLineChars="0" w:firstLine="0"/>
              <w:rPr>
                <w:szCs w:val="21"/>
              </w:rPr>
            </w:pPr>
          </w:p>
        </w:tc>
        <w:tc>
          <w:tcPr>
            <w:tcW w:w="694" w:type="pct"/>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回注井</w:t>
            </w:r>
          </w:p>
        </w:tc>
        <w:tc>
          <w:tcPr>
            <w:tcW w:w="795" w:type="pct"/>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口</w:t>
            </w:r>
          </w:p>
        </w:tc>
        <w:tc>
          <w:tcPr>
            <w:tcW w:w="1613" w:type="pct"/>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3</w:t>
            </w:r>
          </w:p>
        </w:tc>
      </w:tr>
      <w:tr w:rsidR="00EE4502">
        <w:trPr>
          <w:trHeight w:val="369"/>
          <w:jc w:val="center"/>
        </w:trPr>
        <w:tc>
          <w:tcPr>
            <w:tcW w:w="513" w:type="pct"/>
            <w:vMerge w:val="restart"/>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2</w:t>
            </w:r>
          </w:p>
        </w:tc>
        <w:tc>
          <w:tcPr>
            <w:tcW w:w="688" w:type="pct"/>
            <w:vMerge/>
            <w:vAlign w:val="center"/>
          </w:tcPr>
          <w:p w:rsidR="00EE4502" w:rsidRDefault="00EE4502">
            <w:pPr>
              <w:pStyle w:val="affffffffff"/>
              <w:kinsoku/>
              <w:wordWrap/>
              <w:overflowPunct/>
              <w:adjustRightInd/>
              <w:spacing w:after="0" w:line="240" w:lineRule="auto"/>
              <w:ind w:left="0" w:firstLineChars="0" w:firstLine="0"/>
              <w:rPr>
                <w:szCs w:val="21"/>
              </w:rPr>
            </w:pPr>
          </w:p>
        </w:tc>
        <w:tc>
          <w:tcPr>
            <w:tcW w:w="694" w:type="pct"/>
            <w:vMerge w:val="restart"/>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老井</w:t>
            </w:r>
            <w:r>
              <w:rPr>
                <w:rFonts w:hint="eastAsia"/>
                <w:szCs w:val="21"/>
              </w:rPr>
              <w:t>利用</w:t>
            </w:r>
          </w:p>
        </w:tc>
        <w:tc>
          <w:tcPr>
            <w:tcW w:w="694" w:type="pct"/>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采油井</w:t>
            </w:r>
          </w:p>
        </w:tc>
        <w:tc>
          <w:tcPr>
            <w:tcW w:w="795" w:type="pct"/>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口</w:t>
            </w:r>
          </w:p>
        </w:tc>
        <w:tc>
          <w:tcPr>
            <w:tcW w:w="1613" w:type="pct"/>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3</w:t>
            </w:r>
          </w:p>
        </w:tc>
      </w:tr>
      <w:tr w:rsidR="00EE4502">
        <w:trPr>
          <w:trHeight w:val="369"/>
          <w:jc w:val="center"/>
        </w:trPr>
        <w:tc>
          <w:tcPr>
            <w:tcW w:w="513" w:type="pct"/>
            <w:vMerge/>
            <w:vAlign w:val="center"/>
          </w:tcPr>
          <w:p w:rsidR="00EE4502" w:rsidRDefault="00EE4502">
            <w:pPr>
              <w:pStyle w:val="affffffffff"/>
              <w:kinsoku/>
              <w:wordWrap/>
              <w:overflowPunct/>
              <w:adjustRightInd/>
              <w:spacing w:after="0" w:line="240" w:lineRule="auto"/>
              <w:ind w:left="0" w:firstLineChars="0" w:firstLine="0"/>
              <w:rPr>
                <w:szCs w:val="21"/>
              </w:rPr>
            </w:pPr>
          </w:p>
        </w:tc>
        <w:tc>
          <w:tcPr>
            <w:tcW w:w="688" w:type="pct"/>
            <w:vMerge/>
            <w:vAlign w:val="center"/>
          </w:tcPr>
          <w:p w:rsidR="00EE4502" w:rsidRDefault="00EE4502">
            <w:pPr>
              <w:pStyle w:val="affffffffff"/>
              <w:kinsoku/>
              <w:wordWrap/>
              <w:overflowPunct/>
              <w:adjustRightInd/>
              <w:spacing w:after="0" w:line="240" w:lineRule="auto"/>
              <w:ind w:left="0" w:firstLineChars="0" w:firstLine="0"/>
              <w:rPr>
                <w:szCs w:val="21"/>
              </w:rPr>
            </w:pPr>
          </w:p>
        </w:tc>
        <w:tc>
          <w:tcPr>
            <w:tcW w:w="694" w:type="pct"/>
            <w:vMerge/>
            <w:vAlign w:val="center"/>
          </w:tcPr>
          <w:p w:rsidR="00EE4502" w:rsidRDefault="00EE4502">
            <w:pPr>
              <w:pStyle w:val="affffffffff"/>
              <w:kinsoku/>
              <w:wordWrap/>
              <w:overflowPunct/>
              <w:adjustRightInd/>
              <w:spacing w:after="0" w:line="240" w:lineRule="auto"/>
              <w:ind w:left="0" w:firstLineChars="0" w:firstLine="0"/>
              <w:rPr>
                <w:szCs w:val="21"/>
              </w:rPr>
            </w:pPr>
          </w:p>
        </w:tc>
        <w:tc>
          <w:tcPr>
            <w:tcW w:w="694" w:type="pct"/>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回注井</w:t>
            </w:r>
          </w:p>
        </w:tc>
        <w:tc>
          <w:tcPr>
            <w:tcW w:w="795" w:type="pct"/>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口</w:t>
            </w:r>
          </w:p>
        </w:tc>
        <w:tc>
          <w:tcPr>
            <w:tcW w:w="1613" w:type="pct"/>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1</w:t>
            </w:r>
          </w:p>
        </w:tc>
      </w:tr>
      <w:tr w:rsidR="00EE4502">
        <w:trPr>
          <w:trHeight w:val="369"/>
          <w:jc w:val="center"/>
        </w:trPr>
        <w:tc>
          <w:tcPr>
            <w:tcW w:w="513" w:type="pct"/>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lastRenderedPageBreak/>
              <w:t>3</w:t>
            </w:r>
          </w:p>
        </w:tc>
        <w:tc>
          <w:tcPr>
            <w:tcW w:w="688" w:type="pct"/>
            <w:vMerge/>
            <w:vAlign w:val="center"/>
          </w:tcPr>
          <w:p w:rsidR="00EE4502" w:rsidRDefault="00EE4502">
            <w:pPr>
              <w:pStyle w:val="affffffffff"/>
              <w:kinsoku/>
              <w:wordWrap/>
              <w:overflowPunct/>
              <w:adjustRightInd/>
              <w:spacing w:after="0" w:line="240" w:lineRule="auto"/>
              <w:ind w:left="0" w:firstLineChars="0" w:firstLine="0"/>
              <w:rPr>
                <w:szCs w:val="21"/>
              </w:rPr>
            </w:pPr>
          </w:p>
        </w:tc>
        <w:tc>
          <w:tcPr>
            <w:tcW w:w="1389" w:type="pct"/>
            <w:gridSpan w:val="2"/>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动用石油地质储量</w:t>
            </w:r>
          </w:p>
        </w:tc>
        <w:tc>
          <w:tcPr>
            <w:tcW w:w="795" w:type="pct"/>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10</w:t>
            </w:r>
            <w:r>
              <w:rPr>
                <w:rFonts w:hint="eastAsia"/>
                <w:szCs w:val="21"/>
                <w:vertAlign w:val="superscript"/>
              </w:rPr>
              <w:t>4</w:t>
            </w:r>
            <w:r>
              <w:rPr>
                <w:rFonts w:hint="eastAsia"/>
                <w:szCs w:val="21"/>
              </w:rPr>
              <w:t>t</w:t>
            </w:r>
          </w:p>
        </w:tc>
        <w:tc>
          <w:tcPr>
            <w:tcW w:w="1613" w:type="pct"/>
            <w:vAlign w:val="center"/>
          </w:tcPr>
          <w:p w:rsidR="00EE4502" w:rsidRDefault="00FD45A3">
            <w:pPr>
              <w:pStyle w:val="affffffffff"/>
              <w:kinsoku/>
              <w:wordWrap/>
              <w:overflowPunct/>
              <w:adjustRightInd/>
              <w:spacing w:after="0" w:line="240" w:lineRule="auto"/>
              <w:ind w:left="0" w:firstLineChars="0" w:firstLine="0"/>
              <w:rPr>
                <w:szCs w:val="21"/>
              </w:rPr>
            </w:pPr>
            <w:r>
              <w:rPr>
                <w:szCs w:val="21"/>
              </w:rPr>
              <w:t>325.8</w:t>
            </w:r>
          </w:p>
        </w:tc>
      </w:tr>
      <w:tr w:rsidR="00EE4502">
        <w:trPr>
          <w:trHeight w:val="369"/>
          <w:jc w:val="center"/>
        </w:trPr>
        <w:tc>
          <w:tcPr>
            <w:tcW w:w="513" w:type="pct"/>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4</w:t>
            </w:r>
          </w:p>
        </w:tc>
        <w:tc>
          <w:tcPr>
            <w:tcW w:w="688" w:type="pct"/>
            <w:vMerge/>
            <w:vAlign w:val="center"/>
          </w:tcPr>
          <w:p w:rsidR="00EE4502" w:rsidRDefault="00EE4502">
            <w:pPr>
              <w:pStyle w:val="affffffffff"/>
              <w:kinsoku/>
              <w:wordWrap/>
              <w:overflowPunct/>
              <w:adjustRightInd/>
              <w:spacing w:after="0" w:line="240" w:lineRule="auto"/>
              <w:ind w:left="0" w:firstLineChars="0" w:firstLine="0"/>
              <w:rPr>
                <w:szCs w:val="21"/>
              </w:rPr>
            </w:pPr>
          </w:p>
        </w:tc>
        <w:tc>
          <w:tcPr>
            <w:tcW w:w="1389" w:type="pct"/>
            <w:gridSpan w:val="2"/>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含油面积</w:t>
            </w:r>
          </w:p>
        </w:tc>
        <w:tc>
          <w:tcPr>
            <w:tcW w:w="795" w:type="pct"/>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km</w:t>
            </w:r>
            <w:r>
              <w:rPr>
                <w:rFonts w:hint="eastAsia"/>
                <w:szCs w:val="21"/>
                <w:vertAlign w:val="superscript"/>
              </w:rPr>
              <w:t>2</w:t>
            </w:r>
          </w:p>
        </w:tc>
        <w:tc>
          <w:tcPr>
            <w:tcW w:w="1613" w:type="pct"/>
            <w:vAlign w:val="center"/>
          </w:tcPr>
          <w:p w:rsidR="00EE4502" w:rsidRDefault="00FD45A3">
            <w:pPr>
              <w:pStyle w:val="affffffffff"/>
              <w:kinsoku/>
              <w:wordWrap/>
              <w:overflowPunct/>
              <w:adjustRightInd/>
              <w:spacing w:after="0" w:line="240" w:lineRule="auto"/>
              <w:ind w:left="0" w:firstLineChars="0" w:firstLine="0"/>
              <w:rPr>
                <w:szCs w:val="21"/>
              </w:rPr>
            </w:pPr>
            <w:r>
              <w:rPr>
                <w:szCs w:val="21"/>
              </w:rPr>
              <w:t>6.81</w:t>
            </w:r>
          </w:p>
        </w:tc>
      </w:tr>
      <w:tr w:rsidR="00EE4502">
        <w:trPr>
          <w:trHeight w:val="369"/>
          <w:jc w:val="center"/>
        </w:trPr>
        <w:tc>
          <w:tcPr>
            <w:tcW w:w="513" w:type="pct"/>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5</w:t>
            </w:r>
          </w:p>
        </w:tc>
        <w:tc>
          <w:tcPr>
            <w:tcW w:w="688" w:type="pct"/>
            <w:vMerge/>
            <w:vAlign w:val="center"/>
          </w:tcPr>
          <w:p w:rsidR="00EE4502" w:rsidRDefault="00EE4502">
            <w:pPr>
              <w:pStyle w:val="affffffffff"/>
              <w:kinsoku/>
              <w:wordWrap/>
              <w:overflowPunct/>
              <w:adjustRightInd/>
              <w:spacing w:after="0" w:line="240" w:lineRule="auto"/>
              <w:ind w:left="0" w:firstLineChars="0" w:firstLine="0"/>
              <w:rPr>
                <w:szCs w:val="21"/>
              </w:rPr>
            </w:pPr>
          </w:p>
        </w:tc>
        <w:tc>
          <w:tcPr>
            <w:tcW w:w="1389" w:type="pct"/>
            <w:gridSpan w:val="2"/>
            <w:shd w:val="clear" w:color="auto" w:fill="auto"/>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新增产能</w:t>
            </w:r>
          </w:p>
        </w:tc>
        <w:tc>
          <w:tcPr>
            <w:tcW w:w="795" w:type="pct"/>
            <w:shd w:val="clear" w:color="auto" w:fill="auto"/>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10</w:t>
            </w:r>
            <w:r>
              <w:rPr>
                <w:rFonts w:hint="eastAsia"/>
                <w:szCs w:val="21"/>
                <w:vertAlign w:val="superscript"/>
              </w:rPr>
              <w:t>4</w:t>
            </w:r>
            <w:r>
              <w:rPr>
                <w:rFonts w:hint="eastAsia"/>
                <w:szCs w:val="21"/>
              </w:rPr>
              <w:t>t/a</w:t>
            </w:r>
          </w:p>
        </w:tc>
        <w:tc>
          <w:tcPr>
            <w:tcW w:w="1613" w:type="pct"/>
            <w:shd w:val="clear" w:color="auto" w:fill="auto"/>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3</w:t>
            </w:r>
          </w:p>
        </w:tc>
      </w:tr>
      <w:tr w:rsidR="00EE4502">
        <w:trPr>
          <w:trHeight w:val="369"/>
          <w:jc w:val="center"/>
        </w:trPr>
        <w:tc>
          <w:tcPr>
            <w:tcW w:w="858" w:type="dxa"/>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6</w:t>
            </w:r>
          </w:p>
        </w:tc>
        <w:tc>
          <w:tcPr>
            <w:tcW w:w="688" w:type="pct"/>
            <w:vMerge/>
            <w:vAlign w:val="center"/>
          </w:tcPr>
          <w:p w:rsidR="00EE4502" w:rsidRDefault="00EE4502">
            <w:pPr>
              <w:pStyle w:val="affffffffff"/>
              <w:kinsoku/>
              <w:wordWrap/>
              <w:overflowPunct/>
              <w:adjustRightInd/>
              <w:spacing w:after="0" w:line="240" w:lineRule="auto"/>
              <w:ind w:left="0" w:firstLineChars="0" w:firstLine="0"/>
              <w:rPr>
                <w:szCs w:val="21"/>
              </w:rPr>
            </w:pPr>
          </w:p>
        </w:tc>
        <w:tc>
          <w:tcPr>
            <w:tcW w:w="1389" w:type="pct"/>
            <w:gridSpan w:val="2"/>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新建集油管线</w:t>
            </w:r>
          </w:p>
        </w:tc>
        <w:tc>
          <w:tcPr>
            <w:tcW w:w="795" w:type="pct"/>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km</w:t>
            </w:r>
          </w:p>
        </w:tc>
        <w:tc>
          <w:tcPr>
            <w:tcW w:w="1613" w:type="pct"/>
            <w:vAlign w:val="center"/>
          </w:tcPr>
          <w:p w:rsidR="00EE4502" w:rsidRDefault="00FD45A3">
            <w:pPr>
              <w:pStyle w:val="affffffffff"/>
              <w:kinsoku/>
              <w:wordWrap/>
              <w:overflowPunct/>
              <w:adjustRightInd/>
              <w:spacing w:after="0" w:line="240" w:lineRule="auto"/>
              <w:ind w:left="0" w:firstLineChars="0" w:firstLine="0"/>
              <w:rPr>
                <w:szCs w:val="21"/>
              </w:rPr>
            </w:pPr>
            <w:r>
              <w:rPr>
                <w:szCs w:val="21"/>
              </w:rPr>
              <w:t>13.9</w:t>
            </w:r>
          </w:p>
        </w:tc>
      </w:tr>
      <w:tr w:rsidR="00EE4502">
        <w:trPr>
          <w:trHeight w:val="369"/>
          <w:jc w:val="center"/>
        </w:trPr>
        <w:tc>
          <w:tcPr>
            <w:tcW w:w="858" w:type="dxa"/>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7</w:t>
            </w:r>
          </w:p>
        </w:tc>
        <w:tc>
          <w:tcPr>
            <w:tcW w:w="688" w:type="pct"/>
            <w:vMerge/>
            <w:vAlign w:val="center"/>
          </w:tcPr>
          <w:p w:rsidR="00EE4502" w:rsidRDefault="00EE4502">
            <w:pPr>
              <w:pStyle w:val="affffffffff"/>
              <w:kinsoku/>
              <w:wordWrap/>
              <w:overflowPunct/>
              <w:adjustRightInd/>
              <w:spacing w:after="0" w:line="240" w:lineRule="auto"/>
              <w:ind w:left="0" w:firstLineChars="0" w:firstLine="0"/>
              <w:rPr>
                <w:szCs w:val="21"/>
              </w:rPr>
            </w:pPr>
          </w:p>
        </w:tc>
        <w:tc>
          <w:tcPr>
            <w:tcW w:w="1389" w:type="pct"/>
            <w:gridSpan w:val="2"/>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新建掺水管线</w:t>
            </w:r>
          </w:p>
        </w:tc>
        <w:tc>
          <w:tcPr>
            <w:tcW w:w="795" w:type="pct"/>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km</w:t>
            </w:r>
          </w:p>
        </w:tc>
        <w:tc>
          <w:tcPr>
            <w:tcW w:w="1613" w:type="pct"/>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10.3</w:t>
            </w:r>
          </w:p>
        </w:tc>
      </w:tr>
      <w:tr w:rsidR="00EE4502">
        <w:trPr>
          <w:trHeight w:val="369"/>
          <w:jc w:val="center"/>
        </w:trPr>
        <w:tc>
          <w:tcPr>
            <w:tcW w:w="858" w:type="dxa"/>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8</w:t>
            </w:r>
          </w:p>
        </w:tc>
        <w:tc>
          <w:tcPr>
            <w:tcW w:w="688" w:type="pct"/>
            <w:vMerge/>
            <w:vAlign w:val="center"/>
          </w:tcPr>
          <w:p w:rsidR="00EE4502" w:rsidRDefault="00EE4502">
            <w:pPr>
              <w:pStyle w:val="affffffffff"/>
              <w:kinsoku/>
              <w:wordWrap/>
              <w:overflowPunct/>
              <w:adjustRightInd/>
              <w:spacing w:after="0" w:line="240" w:lineRule="auto"/>
              <w:ind w:left="0" w:firstLineChars="0" w:firstLine="0"/>
              <w:rPr>
                <w:szCs w:val="21"/>
              </w:rPr>
            </w:pPr>
          </w:p>
        </w:tc>
        <w:tc>
          <w:tcPr>
            <w:tcW w:w="1389" w:type="pct"/>
            <w:gridSpan w:val="2"/>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新建注汽管线</w:t>
            </w:r>
          </w:p>
        </w:tc>
        <w:tc>
          <w:tcPr>
            <w:tcW w:w="795" w:type="pct"/>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m</w:t>
            </w:r>
          </w:p>
        </w:tc>
        <w:tc>
          <w:tcPr>
            <w:tcW w:w="1613" w:type="pct"/>
            <w:vAlign w:val="center"/>
          </w:tcPr>
          <w:p w:rsidR="00EE4502" w:rsidRDefault="00FD45A3">
            <w:pPr>
              <w:pStyle w:val="affffffffff"/>
              <w:kinsoku/>
              <w:wordWrap/>
              <w:overflowPunct/>
              <w:adjustRightInd/>
              <w:spacing w:after="0" w:line="240" w:lineRule="auto"/>
              <w:ind w:left="0" w:firstLineChars="0" w:firstLine="0"/>
              <w:rPr>
                <w:szCs w:val="21"/>
              </w:rPr>
            </w:pPr>
            <w:r>
              <w:rPr>
                <w:szCs w:val="21"/>
              </w:rPr>
              <w:t>63</w:t>
            </w:r>
            <w:r>
              <w:rPr>
                <w:rFonts w:hint="eastAsia"/>
                <w:szCs w:val="21"/>
              </w:rPr>
              <w:t>（</w:t>
            </w:r>
            <w:r>
              <w:rPr>
                <w:rFonts w:hint="eastAsia"/>
                <w:szCs w:val="21"/>
              </w:rPr>
              <w:t>站外</w:t>
            </w:r>
            <w:r>
              <w:rPr>
                <w:rFonts w:hint="eastAsia"/>
                <w:szCs w:val="21"/>
              </w:rPr>
              <w:t>50m</w:t>
            </w:r>
            <w:r>
              <w:rPr>
                <w:rFonts w:hint="eastAsia"/>
                <w:szCs w:val="21"/>
              </w:rPr>
              <w:t>）</w:t>
            </w:r>
          </w:p>
        </w:tc>
      </w:tr>
      <w:tr w:rsidR="00EE4502">
        <w:trPr>
          <w:trHeight w:val="369"/>
          <w:jc w:val="center"/>
        </w:trPr>
        <w:tc>
          <w:tcPr>
            <w:tcW w:w="858" w:type="dxa"/>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9</w:t>
            </w:r>
          </w:p>
        </w:tc>
        <w:tc>
          <w:tcPr>
            <w:tcW w:w="688" w:type="pct"/>
            <w:vMerge/>
            <w:vAlign w:val="center"/>
          </w:tcPr>
          <w:p w:rsidR="00EE4502" w:rsidRDefault="00EE4502">
            <w:pPr>
              <w:pStyle w:val="affffffffff"/>
              <w:kinsoku/>
              <w:wordWrap/>
              <w:overflowPunct/>
              <w:adjustRightInd/>
              <w:spacing w:after="0" w:line="240" w:lineRule="auto"/>
              <w:ind w:left="0" w:firstLineChars="0" w:firstLine="0"/>
              <w:rPr>
                <w:szCs w:val="21"/>
              </w:rPr>
            </w:pPr>
          </w:p>
        </w:tc>
        <w:tc>
          <w:tcPr>
            <w:tcW w:w="1389" w:type="pct"/>
            <w:gridSpan w:val="2"/>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新建注水管线</w:t>
            </w:r>
          </w:p>
        </w:tc>
        <w:tc>
          <w:tcPr>
            <w:tcW w:w="795" w:type="pct"/>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km</w:t>
            </w:r>
          </w:p>
        </w:tc>
        <w:tc>
          <w:tcPr>
            <w:tcW w:w="1613" w:type="pct"/>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2.05</w:t>
            </w:r>
          </w:p>
        </w:tc>
      </w:tr>
      <w:tr w:rsidR="00EE4502">
        <w:trPr>
          <w:trHeight w:val="369"/>
          <w:jc w:val="center"/>
        </w:trPr>
        <w:tc>
          <w:tcPr>
            <w:tcW w:w="858" w:type="dxa"/>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10</w:t>
            </w:r>
          </w:p>
        </w:tc>
        <w:tc>
          <w:tcPr>
            <w:tcW w:w="688" w:type="pct"/>
            <w:vMerge/>
            <w:vAlign w:val="center"/>
          </w:tcPr>
          <w:p w:rsidR="00EE4502" w:rsidRDefault="00EE4502">
            <w:pPr>
              <w:pStyle w:val="affffffffff"/>
              <w:kinsoku/>
              <w:wordWrap/>
              <w:overflowPunct/>
              <w:adjustRightInd/>
              <w:spacing w:after="0" w:line="240" w:lineRule="auto"/>
              <w:ind w:left="0" w:firstLineChars="0" w:firstLine="0"/>
              <w:rPr>
                <w:szCs w:val="21"/>
              </w:rPr>
            </w:pPr>
          </w:p>
        </w:tc>
        <w:tc>
          <w:tcPr>
            <w:tcW w:w="1389" w:type="pct"/>
            <w:gridSpan w:val="2"/>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伴生气掺烧管线</w:t>
            </w:r>
          </w:p>
        </w:tc>
        <w:tc>
          <w:tcPr>
            <w:tcW w:w="795" w:type="pct"/>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km</w:t>
            </w:r>
          </w:p>
        </w:tc>
        <w:tc>
          <w:tcPr>
            <w:tcW w:w="1613" w:type="pct"/>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1.2</w:t>
            </w:r>
          </w:p>
        </w:tc>
      </w:tr>
      <w:tr w:rsidR="00EE4502">
        <w:trPr>
          <w:trHeight w:val="369"/>
          <w:jc w:val="center"/>
        </w:trPr>
        <w:tc>
          <w:tcPr>
            <w:tcW w:w="858" w:type="dxa"/>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11</w:t>
            </w:r>
          </w:p>
        </w:tc>
        <w:tc>
          <w:tcPr>
            <w:tcW w:w="688" w:type="pct"/>
            <w:vMerge/>
            <w:vAlign w:val="center"/>
          </w:tcPr>
          <w:p w:rsidR="00EE4502" w:rsidRDefault="00EE4502">
            <w:pPr>
              <w:pStyle w:val="affffffffff"/>
              <w:kinsoku/>
              <w:wordWrap/>
              <w:overflowPunct/>
              <w:adjustRightInd/>
              <w:spacing w:after="0" w:line="240" w:lineRule="auto"/>
              <w:ind w:left="0" w:firstLineChars="0" w:firstLine="0"/>
              <w:rPr>
                <w:szCs w:val="21"/>
              </w:rPr>
            </w:pPr>
          </w:p>
        </w:tc>
        <w:tc>
          <w:tcPr>
            <w:tcW w:w="1389" w:type="pct"/>
            <w:gridSpan w:val="2"/>
            <w:vAlign w:val="center"/>
          </w:tcPr>
          <w:p w:rsidR="00EE4502" w:rsidRDefault="00FD45A3">
            <w:pPr>
              <w:pStyle w:val="affffffffff"/>
              <w:kinsoku/>
              <w:wordWrap/>
              <w:overflowPunct/>
              <w:adjustRightInd/>
              <w:spacing w:after="0" w:line="240" w:lineRule="auto"/>
              <w:ind w:left="0" w:firstLineChars="0" w:firstLine="0"/>
              <w:rPr>
                <w:szCs w:val="21"/>
              </w:rPr>
            </w:pPr>
            <w:r>
              <w:rPr>
                <w:szCs w:val="21"/>
              </w:rPr>
              <w:t>单井注水水量</w:t>
            </w:r>
          </w:p>
        </w:tc>
        <w:tc>
          <w:tcPr>
            <w:tcW w:w="795" w:type="pct"/>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m</w:t>
            </w:r>
            <w:r>
              <w:rPr>
                <w:rFonts w:hint="eastAsia"/>
                <w:szCs w:val="21"/>
                <w:vertAlign w:val="superscript"/>
              </w:rPr>
              <w:t>3</w:t>
            </w:r>
            <w:r>
              <w:rPr>
                <w:rFonts w:hint="eastAsia"/>
                <w:szCs w:val="21"/>
              </w:rPr>
              <w:t>/d</w:t>
            </w:r>
          </w:p>
        </w:tc>
        <w:tc>
          <w:tcPr>
            <w:tcW w:w="1613" w:type="pct"/>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500</w:t>
            </w:r>
          </w:p>
        </w:tc>
      </w:tr>
      <w:tr w:rsidR="00EE4502">
        <w:trPr>
          <w:trHeight w:val="369"/>
          <w:jc w:val="center"/>
        </w:trPr>
        <w:tc>
          <w:tcPr>
            <w:tcW w:w="858" w:type="dxa"/>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12</w:t>
            </w:r>
          </w:p>
        </w:tc>
        <w:tc>
          <w:tcPr>
            <w:tcW w:w="688" w:type="pct"/>
            <w:vMerge/>
            <w:vAlign w:val="center"/>
          </w:tcPr>
          <w:p w:rsidR="00EE4502" w:rsidRDefault="00EE4502">
            <w:pPr>
              <w:pStyle w:val="affffffffff"/>
              <w:kinsoku/>
              <w:wordWrap/>
              <w:overflowPunct/>
              <w:adjustRightInd/>
              <w:spacing w:after="0" w:line="240" w:lineRule="auto"/>
              <w:ind w:left="0" w:firstLineChars="0" w:firstLine="0"/>
              <w:rPr>
                <w:szCs w:val="21"/>
              </w:rPr>
            </w:pPr>
          </w:p>
        </w:tc>
        <w:tc>
          <w:tcPr>
            <w:tcW w:w="1389" w:type="pct"/>
            <w:gridSpan w:val="2"/>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井场道路</w:t>
            </w:r>
          </w:p>
        </w:tc>
        <w:tc>
          <w:tcPr>
            <w:tcW w:w="795" w:type="pct"/>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km</w:t>
            </w:r>
          </w:p>
        </w:tc>
        <w:tc>
          <w:tcPr>
            <w:tcW w:w="1613" w:type="pct"/>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3.5</w:t>
            </w:r>
          </w:p>
        </w:tc>
      </w:tr>
      <w:tr w:rsidR="00EE4502">
        <w:trPr>
          <w:trHeight w:val="369"/>
          <w:jc w:val="center"/>
        </w:trPr>
        <w:tc>
          <w:tcPr>
            <w:tcW w:w="858" w:type="dxa"/>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13</w:t>
            </w:r>
          </w:p>
        </w:tc>
        <w:tc>
          <w:tcPr>
            <w:tcW w:w="688" w:type="pct"/>
            <w:vMerge/>
            <w:vAlign w:val="center"/>
          </w:tcPr>
          <w:p w:rsidR="00EE4502" w:rsidRDefault="00EE4502">
            <w:pPr>
              <w:pStyle w:val="affffffffff"/>
              <w:kinsoku/>
              <w:wordWrap/>
              <w:overflowPunct/>
              <w:adjustRightInd/>
              <w:spacing w:after="0" w:line="240" w:lineRule="auto"/>
              <w:ind w:left="0" w:firstLineChars="0" w:firstLine="0"/>
              <w:rPr>
                <w:szCs w:val="21"/>
              </w:rPr>
            </w:pPr>
          </w:p>
        </w:tc>
        <w:tc>
          <w:tcPr>
            <w:tcW w:w="1389" w:type="pct"/>
            <w:gridSpan w:val="2"/>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新井总钻尺深度</w:t>
            </w:r>
          </w:p>
        </w:tc>
        <w:tc>
          <w:tcPr>
            <w:tcW w:w="795" w:type="pct"/>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m</w:t>
            </w:r>
          </w:p>
        </w:tc>
        <w:tc>
          <w:tcPr>
            <w:tcW w:w="1613" w:type="pct"/>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27787.23</w:t>
            </w:r>
          </w:p>
        </w:tc>
      </w:tr>
      <w:tr w:rsidR="00EE4502">
        <w:trPr>
          <w:trHeight w:val="369"/>
          <w:jc w:val="center"/>
        </w:trPr>
        <w:tc>
          <w:tcPr>
            <w:tcW w:w="858" w:type="dxa"/>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14</w:t>
            </w:r>
          </w:p>
        </w:tc>
        <w:tc>
          <w:tcPr>
            <w:tcW w:w="688" w:type="pct"/>
            <w:vMerge w:val="restart"/>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能耗指标</w:t>
            </w:r>
          </w:p>
        </w:tc>
        <w:tc>
          <w:tcPr>
            <w:tcW w:w="1389" w:type="pct"/>
            <w:gridSpan w:val="2"/>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年电耗量</w:t>
            </w:r>
          </w:p>
        </w:tc>
        <w:tc>
          <w:tcPr>
            <w:tcW w:w="795" w:type="pct"/>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10</w:t>
            </w:r>
            <w:r>
              <w:rPr>
                <w:rFonts w:hint="eastAsia"/>
                <w:szCs w:val="21"/>
                <w:vertAlign w:val="superscript"/>
              </w:rPr>
              <w:t>4</w:t>
            </w:r>
            <w:r>
              <w:rPr>
                <w:rFonts w:hint="eastAsia"/>
                <w:szCs w:val="21"/>
              </w:rPr>
              <w:t>kWh/a</w:t>
            </w:r>
          </w:p>
        </w:tc>
        <w:tc>
          <w:tcPr>
            <w:tcW w:w="1613" w:type="pct"/>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5</w:t>
            </w:r>
            <w:r>
              <w:rPr>
                <w:rFonts w:hint="eastAsia"/>
                <w:szCs w:val="21"/>
              </w:rPr>
              <w:t>50</w:t>
            </w:r>
          </w:p>
        </w:tc>
      </w:tr>
      <w:tr w:rsidR="00EE4502">
        <w:trPr>
          <w:trHeight w:val="369"/>
          <w:jc w:val="center"/>
        </w:trPr>
        <w:tc>
          <w:tcPr>
            <w:tcW w:w="858" w:type="dxa"/>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15</w:t>
            </w:r>
          </w:p>
        </w:tc>
        <w:tc>
          <w:tcPr>
            <w:tcW w:w="688" w:type="pct"/>
            <w:vMerge/>
            <w:vAlign w:val="center"/>
          </w:tcPr>
          <w:p w:rsidR="00EE4502" w:rsidRDefault="00EE4502">
            <w:pPr>
              <w:pStyle w:val="affffffffff"/>
              <w:kinsoku/>
              <w:wordWrap/>
              <w:overflowPunct/>
              <w:adjustRightInd/>
              <w:spacing w:after="0" w:line="240" w:lineRule="auto"/>
              <w:ind w:left="0" w:firstLineChars="0" w:firstLine="0"/>
              <w:rPr>
                <w:szCs w:val="21"/>
              </w:rPr>
            </w:pPr>
          </w:p>
        </w:tc>
        <w:tc>
          <w:tcPr>
            <w:tcW w:w="1389" w:type="pct"/>
            <w:gridSpan w:val="2"/>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钻井耗水量</w:t>
            </w:r>
          </w:p>
        </w:tc>
        <w:tc>
          <w:tcPr>
            <w:tcW w:w="795" w:type="pct"/>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m</w:t>
            </w:r>
            <w:r>
              <w:rPr>
                <w:rFonts w:hint="eastAsia"/>
                <w:szCs w:val="21"/>
                <w:vertAlign w:val="superscript"/>
              </w:rPr>
              <w:t>3</w:t>
            </w:r>
            <w:r>
              <w:rPr>
                <w:rFonts w:hint="eastAsia"/>
                <w:szCs w:val="21"/>
              </w:rPr>
              <w:t>/100m</w:t>
            </w:r>
          </w:p>
        </w:tc>
        <w:tc>
          <w:tcPr>
            <w:tcW w:w="1613" w:type="pct"/>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18.81</w:t>
            </w:r>
          </w:p>
        </w:tc>
      </w:tr>
      <w:tr w:rsidR="00EE4502">
        <w:trPr>
          <w:trHeight w:val="369"/>
          <w:jc w:val="center"/>
        </w:trPr>
        <w:tc>
          <w:tcPr>
            <w:tcW w:w="858" w:type="dxa"/>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16</w:t>
            </w:r>
          </w:p>
        </w:tc>
        <w:tc>
          <w:tcPr>
            <w:tcW w:w="688" w:type="pct"/>
            <w:vMerge w:val="restart"/>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综合指标</w:t>
            </w:r>
          </w:p>
        </w:tc>
        <w:tc>
          <w:tcPr>
            <w:tcW w:w="1389" w:type="pct"/>
            <w:gridSpan w:val="2"/>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总投资</w:t>
            </w:r>
          </w:p>
        </w:tc>
        <w:tc>
          <w:tcPr>
            <w:tcW w:w="795" w:type="pct"/>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万元</w:t>
            </w:r>
          </w:p>
        </w:tc>
        <w:tc>
          <w:tcPr>
            <w:tcW w:w="1613" w:type="pct"/>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11398.55</w:t>
            </w:r>
          </w:p>
        </w:tc>
      </w:tr>
      <w:tr w:rsidR="00EE4502">
        <w:trPr>
          <w:trHeight w:val="369"/>
          <w:jc w:val="center"/>
        </w:trPr>
        <w:tc>
          <w:tcPr>
            <w:tcW w:w="858" w:type="dxa"/>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17</w:t>
            </w:r>
          </w:p>
        </w:tc>
        <w:tc>
          <w:tcPr>
            <w:tcW w:w="688" w:type="pct"/>
            <w:vMerge/>
            <w:vAlign w:val="center"/>
          </w:tcPr>
          <w:p w:rsidR="00EE4502" w:rsidRDefault="00EE4502">
            <w:pPr>
              <w:pStyle w:val="affffffffff"/>
              <w:kinsoku/>
              <w:wordWrap/>
              <w:overflowPunct/>
              <w:adjustRightInd/>
              <w:spacing w:after="0" w:line="240" w:lineRule="auto"/>
              <w:ind w:left="0" w:firstLineChars="0" w:firstLine="0"/>
              <w:rPr>
                <w:szCs w:val="21"/>
              </w:rPr>
            </w:pPr>
          </w:p>
        </w:tc>
        <w:tc>
          <w:tcPr>
            <w:tcW w:w="1389" w:type="pct"/>
            <w:gridSpan w:val="2"/>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环保投资</w:t>
            </w:r>
          </w:p>
        </w:tc>
        <w:tc>
          <w:tcPr>
            <w:tcW w:w="795" w:type="pct"/>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万元</w:t>
            </w:r>
          </w:p>
        </w:tc>
        <w:tc>
          <w:tcPr>
            <w:tcW w:w="1613" w:type="pct"/>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995</w:t>
            </w:r>
          </w:p>
        </w:tc>
      </w:tr>
      <w:tr w:rsidR="00EE4502">
        <w:trPr>
          <w:trHeight w:val="369"/>
          <w:jc w:val="center"/>
        </w:trPr>
        <w:tc>
          <w:tcPr>
            <w:tcW w:w="858" w:type="dxa"/>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18</w:t>
            </w:r>
          </w:p>
        </w:tc>
        <w:tc>
          <w:tcPr>
            <w:tcW w:w="688" w:type="pct"/>
            <w:vMerge/>
            <w:vAlign w:val="center"/>
          </w:tcPr>
          <w:p w:rsidR="00EE4502" w:rsidRDefault="00EE4502">
            <w:pPr>
              <w:pStyle w:val="affffffffff"/>
              <w:kinsoku/>
              <w:wordWrap/>
              <w:overflowPunct/>
              <w:adjustRightInd/>
              <w:spacing w:after="0" w:line="240" w:lineRule="auto"/>
              <w:ind w:left="0" w:firstLineChars="0" w:firstLine="0"/>
              <w:rPr>
                <w:szCs w:val="21"/>
              </w:rPr>
            </w:pPr>
          </w:p>
        </w:tc>
        <w:tc>
          <w:tcPr>
            <w:tcW w:w="1389" w:type="pct"/>
            <w:gridSpan w:val="2"/>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永久占地面积</w:t>
            </w:r>
          </w:p>
        </w:tc>
        <w:tc>
          <w:tcPr>
            <w:tcW w:w="795" w:type="pct"/>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hm</w:t>
            </w:r>
            <w:r>
              <w:rPr>
                <w:rFonts w:hint="eastAsia"/>
                <w:szCs w:val="21"/>
                <w:vertAlign w:val="superscript"/>
              </w:rPr>
              <w:t>2</w:t>
            </w:r>
          </w:p>
        </w:tc>
        <w:tc>
          <w:tcPr>
            <w:tcW w:w="1613" w:type="pct"/>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3.4060</w:t>
            </w:r>
          </w:p>
        </w:tc>
      </w:tr>
      <w:tr w:rsidR="00EE4502">
        <w:trPr>
          <w:trHeight w:val="369"/>
          <w:jc w:val="center"/>
        </w:trPr>
        <w:tc>
          <w:tcPr>
            <w:tcW w:w="858" w:type="dxa"/>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19</w:t>
            </w:r>
          </w:p>
        </w:tc>
        <w:tc>
          <w:tcPr>
            <w:tcW w:w="688" w:type="pct"/>
            <w:vMerge/>
            <w:vAlign w:val="center"/>
          </w:tcPr>
          <w:p w:rsidR="00EE4502" w:rsidRDefault="00EE4502">
            <w:pPr>
              <w:pStyle w:val="affffffffff"/>
              <w:kinsoku/>
              <w:wordWrap/>
              <w:overflowPunct/>
              <w:adjustRightInd/>
              <w:spacing w:after="0" w:line="240" w:lineRule="auto"/>
              <w:ind w:left="0" w:firstLineChars="0" w:firstLine="0"/>
              <w:rPr>
                <w:szCs w:val="21"/>
              </w:rPr>
            </w:pPr>
          </w:p>
        </w:tc>
        <w:tc>
          <w:tcPr>
            <w:tcW w:w="1389" w:type="pct"/>
            <w:gridSpan w:val="2"/>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临时占地面积</w:t>
            </w:r>
          </w:p>
        </w:tc>
        <w:tc>
          <w:tcPr>
            <w:tcW w:w="795" w:type="pct"/>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hm</w:t>
            </w:r>
            <w:r>
              <w:rPr>
                <w:rFonts w:hint="eastAsia"/>
                <w:szCs w:val="21"/>
                <w:vertAlign w:val="superscript"/>
              </w:rPr>
              <w:t>2</w:t>
            </w:r>
          </w:p>
        </w:tc>
        <w:tc>
          <w:tcPr>
            <w:tcW w:w="1613" w:type="pct"/>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18.0400</w:t>
            </w:r>
          </w:p>
        </w:tc>
      </w:tr>
      <w:tr w:rsidR="00EE4502">
        <w:trPr>
          <w:trHeight w:val="369"/>
          <w:jc w:val="center"/>
        </w:trPr>
        <w:tc>
          <w:tcPr>
            <w:tcW w:w="858" w:type="dxa"/>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20</w:t>
            </w:r>
          </w:p>
        </w:tc>
        <w:tc>
          <w:tcPr>
            <w:tcW w:w="688" w:type="pct"/>
            <w:vMerge/>
            <w:vAlign w:val="center"/>
          </w:tcPr>
          <w:p w:rsidR="00EE4502" w:rsidRDefault="00EE4502">
            <w:pPr>
              <w:pStyle w:val="affffffffff"/>
              <w:kinsoku/>
              <w:wordWrap/>
              <w:overflowPunct/>
              <w:adjustRightInd/>
              <w:spacing w:after="0" w:line="240" w:lineRule="auto"/>
              <w:ind w:left="0" w:firstLineChars="0" w:firstLine="0"/>
              <w:rPr>
                <w:szCs w:val="21"/>
              </w:rPr>
            </w:pPr>
          </w:p>
        </w:tc>
        <w:tc>
          <w:tcPr>
            <w:tcW w:w="1389" w:type="pct"/>
            <w:gridSpan w:val="2"/>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劳动定员</w:t>
            </w:r>
          </w:p>
        </w:tc>
        <w:tc>
          <w:tcPr>
            <w:tcW w:w="795" w:type="pct"/>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人</w:t>
            </w:r>
          </w:p>
        </w:tc>
        <w:tc>
          <w:tcPr>
            <w:tcW w:w="1613" w:type="pct"/>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无人值守</w:t>
            </w:r>
          </w:p>
        </w:tc>
      </w:tr>
      <w:tr w:rsidR="00EE4502">
        <w:trPr>
          <w:trHeight w:val="369"/>
          <w:jc w:val="center"/>
        </w:trPr>
        <w:tc>
          <w:tcPr>
            <w:tcW w:w="858" w:type="dxa"/>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21</w:t>
            </w:r>
          </w:p>
        </w:tc>
        <w:tc>
          <w:tcPr>
            <w:tcW w:w="688" w:type="pct"/>
            <w:vMerge/>
            <w:vAlign w:val="center"/>
          </w:tcPr>
          <w:p w:rsidR="00EE4502" w:rsidRDefault="00EE4502">
            <w:pPr>
              <w:pStyle w:val="affffffffff"/>
              <w:kinsoku/>
              <w:wordWrap/>
              <w:overflowPunct/>
              <w:adjustRightInd/>
              <w:spacing w:after="0" w:line="240" w:lineRule="auto"/>
              <w:ind w:left="0" w:firstLineChars="0" w:firstLine="0"/>
              <w:rPr>
                <w:szCs w:val="21"/>
              </w:rPr>
            </w:pPr>
          </w:p>
        </w:tc>
        <w:tc>
          <w:tcPr>
            <w:tcW w:w="1389" w:type="pct"/>
            <w:gridSpan w:val="2"/>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工作制度</w:t>
            </w:r>
          </w:p>
        </w:tc>
        <w:tc>
          <w:tcPr>
            <w:tcW w:w="795" w:type="pct"/>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h</w:t>
            </w:r>
          </w:p>
        </w:tc>
        <w:tc>
          <w:tcPr>
            <w:tcW w:w="1613" w:type="pct"/>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8760</w:t>
            </w:r>
          </w:p>
        </w:tc>
      </w:tr>
    </w:tbl>
    <w:p w:rsidR="00EE4502" w:rsidRDefault="00EE4502">
      <w:pPr>
        <w:spacing w:line="360" w:lineRule="auto"/>
        <w:ind w:firstLineChars="200" w:firstLine="480"/>
        <w:rPr>
          <w:sz w:val="24"/>
        </w:rPr>
      </w:pPr>
    </w:p>
    <w:p w:rsidR="00EE4502" w:rsidRDefault="00FD45A3">
      <w:pPr>
        <w:pStyle w:val="33"/>
        <w:numPr>
          <w:ilvl w:val="2"/>
          <w:numId w:val="30"/>
        </w:numPr>
        <w:spacing w:line="360" w:lineRule="auto"/>
        <w:ind w:left="0" w:firstLine="0"/>
        <w:rPr>
          <w:spacing w:val="0"/>
          <w:sz w:val="24"/>
          <w:szCs w:val="24"/>
        </w:rPr>
      </w:pPr>
      <w:r>
        <w:rPr>
          <w:spacing w:val="0"/>
          <w:sz w:val="24"/>
          <w:szCs w:val="24"/>
        </w:rPr>
        <w:t>总体</w:t>
      </w:r>
      <w:bookmarkEnd w:id="95"/>
      <w:r>
        <w:rPr>
          <w:rFonts w:hint="eastAsia"/>
          <w:spacing w:val="0"/>
          <w:sz w:val="24"/>
          <w:szCs w:val="24"/>
        </w:rPr>
        <w:t>开发方案</w:t>
      </w:r>
    </w:p>
    <w:p w:rsidR="00EE4502" w:rsidRDefault="00FD45A3">
      <w:pPr>
        <w:pStyle w:val="41"/>
        <w:numPr>
          <w:ilvl w:val="3"/>
          <w:numId w:val="30"/>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hint="eastAsia"/>
          <w:bCs w:val="0"/>
          <w:sz w:val="24"/>
          <w:szCs w:val="24"/>
        </w:rPr>
        <w:t>开发原则</w:t>
      </w:r>
    </w:p>
    <w:p w:rsidR="00EE4502" w:rsidRDefault="00FD45A3">
      <w:pPr>
        <w:spacing w:line="360" w:lineRule="auto"/>
        <w:ind w:firstLineChars="200" w:firstLine="480"/>
        <w:rPr>
          <w:sz w:val="24"/>
        </w:rPr>
      </w:pPr>
      <w:r>
        <w:rPr>
          <w:rFonts w:hint="eastAsia"/>
          <w:sz w:val="24"/>
        </w:rPr>
        <w:t>（</w:t>
      </w:r>
      <w:r>
        <w:rPr>
          <w:rFonts w:hint="eastAsia"/>
          <w:sz w:val="24"/>
        </w:rPr>
        <w:t>1</w:t>
      </w:r>
      <w:r>
        <w:rPr>
          <w:rFonts w:hint="eastAsia"/>
          <w:sz w:val="24"/>
        </w:rPr>
        <w:t>）整体部署，滚动实施；</w:t>
      </w:r>
    </w:p>
    <w:p w:rsidR="00EE4502" w:rsidRDefault="00FD45A3">
      <w:pPr>
        <w:spacing w:line="360" w:lineRule="auto"/>
        <w:ind w:firstLineChars="200" w:firstLine="480"/>
        <w:rPr>
          <w:sz w:val="24"/>
        </w:rPr>
      </w:pPr>
      <w:r>
        <w:rPr>
          <w:rFonts w:hint="eastAsia"/>
          <w:sz w:val="24"/>
        </w:rPr>
        <w:t>（</w:t>
      </w:r>
      <w:r>
        <w:rPr>
          <w:rFonts w:hint="eastAsia"/>
          <w:sz w:val="24"/>
        </w:rPr>
        <w:t>2</w:t>
      </w:r>
      <w:r>
        <w:rPr>
          <w:rFonts w:hint="eastAsia"/>
          <w:sz w:val="24"/>
        </w:rPr>
        <w:t>）</w:t>
      </w:r>
      <w:r>
        <w:rPr>
          <w:rFonts w:hint="eastAsia"/>
          <w:sz w:val="24"/>
        </w:rPr>
        <w:t>根据断层发育特征，以多穿北东向断层为单井设计目标，采用不规则井网布井；</w:t>
      </w:r>
    </w:p>
    <w:p w:rsidR="00EE4502" w:rsidRDefault="00FD45A3">
      <w:pPr>
        <w:spacing w:line="360" w:lineRule="auto"/>
        <w:ind w:firstLineChars="200" w:firstLine="480"/>
        <w:rPr>
          <w:sz w:val="24"/>
        </w:rPr>
      </w:pPr>
      <w:r>
        <w:rPr>
          <w:rFonts w:hint="eastAsia"/>
          <w:sz w:val="24"/>
        </w:rPr>
        <w:t>（</w:t>
      </w:r>
      <w:r>
        <w:rPr>
          <w:rFonts w:hint="eastAsia"/>
          <w:sz w:val="24"/>
        </w:rPr>
        <w:t>3</w:t>
      </w:r>
      <w:r>
        <w:rPr>
          <w:rFonts w:hint="eastAsia"/>
          <w:sz w:val="24"/>
        </w:rPr>
        <w:t>）</w:t>
      </w:r>
      <w:r>
        <w:rPr>
          <w:rFonts w:hint="eastAsia"/>
          <w:sz w:val="24"/>
        </w:rPr>
        <w:t>水平段位置和长度根据断层发育特征“一井一策”部署，纵向上位于含油段上部。</w:t>
      </w:r>
    </w:p>
    <w:p w:rsidR="00EE4502" w:rsidRDefault="00FD45A3">
      <w:pPr>
        <w:pStyle w:val="41"/>
        <w:numPr>
          <w:ilvl w:val="3"/>
          <w:numId w:val="30"/>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hint="eastAsia"/>
          <w:bCs w:val="0"/>
          <w:sz w:val="24"/>
          <w:szCs w:val="24"/>
        </w:rPr>
        <w:t>开发方式</w:t>
      </w:r>
    </w:p>
    <w:p w:rsidR="00EE4502" w:rsidRDefault="00FD45A3">
      <w:pPr>
        <w:spacing w:line="360" w:lineRule="auto"/>
        <w:ind w:firstLineChars="200" w:firstLine="480"/>
        <w:rPr>
          <w:sz w:val="24"/>
        </w:rPr>
      </w:pPr>
      <w:r>
        <w:rPr>
          <w:rFonts w:hint="eastAsia"/>
          <w:sz w:val="24"/>
        </w:rPr>
        <w:t>根据</w:t>
      </w:r>
      <w:r>
        <w:rPr>
          <w:rFonts w:hint="eastAsia"/>
          <w:sz w:val="24"/>
        </w:rPr>
        <w:t>可研资料</w:t>
      </w:r>
      <w:r>
        <w:rPr>
          <w:rFonts w:hint="eastAsia"/>
          <w:sz w:val="24"/>
        </w:rPr>
        <w:t>，</w:t>
      </w:r>
      <w:r>
        <w:rPr>
          <w:rFonts w:hint="eastAsia"/>
          <w:sz w:val="24"/>
        </w:rPr>
        <w:t>工程</w:t>
      </w:r>
      <w:r>
        <w:rPr>
          <w:rFonts w:hint="eastAsia"/>
          <w:sz w:val="24"/>
        </w:rPr>
        <w:t>采用天然能量开发方式</w:t>
      </w:r>
      <w:r>
        <w:rPr>
          <w:rFonts w:hint="eastAsia"/>
          <w:sz w:val="24"/>
        </w:rPr>
        <w:t>；</w:t>
      </w:r>
      <w:r>
        <w:rPr>
          <w:rFonts w:hint="eastAsia"/>
          <w:sz w:val="24"/>
        </w:rPr>
        <w:t>其中</w:t>
      </w:r>
      <w:r>
        <w:rPr>
          <w:rFonts w:hint="eastAsia"/>
          <w:sz w:val="24"/>
        </w:rPr>
        <w:t>冷采</w:t>
      </w:r>
      <w:r>
        <w:rPr>
          <w:rFonts w:hint="eastAsia"/>
          <w:sz w:val="24"/>
        </w:rPr>
        <w:t>9</w:t>
      </w:r>
      <w:r>
        <w:rPr>
          <w:rFonts w:hint="eastAsia"/>
          <w:sz w:val="24"/>
        </w:rPr>
        <w:t>口、热采</w:t>
      </w:r>
      <w:r>
        <w:rPr>
          <w:rFonts w:hint="eastAsia"/>
          <w:sz w:val="24"/>
        </w:rPr>
        <w:t>9</w:t>
      </w:r>
      <w:r>
        <w:rPr>
          <w:rFonts w:hint="eastAsia"/>
          <w:sz w:val="24"/>
        </w:rPr>
        <w:t>口</w:t>
      </w:r>
      <w:r>
        <w:rPr>
          <w:rFonts w:hint="eastAsia"/>
          <w:sz w:val="24"/>
        </w:rPr>
        <w:t>。</w:t>
      </w:r>
    </w:p>
    <w:p w:rsidR="00EE4502" w:rsidRDefault="00FD45A3">
      <w:pPr>
        <w:pStyle w:val="41"/>
        <w:numPr>
          <w:ilvl w:val="3"/>
          <w:numId w:val="30"/>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hint="eastAsia"/>
          <w:bCs w:val="0"/>
          <w:sz w:val="24"/>
          <w:szCs w:val="24"/>
        </w:rPr>
        <w:t>开发层系</w:t>
      </w:r>
    </w:p>
    <w:p w:rsidR="00EE4502" w:rsidRDefault="00FD45A3">
      <w:pPr>
        <w:spacing w:line="360" w:lineRule="auto"/>
        <w:ind w:firstLineChars="200" w:firstLine="480"/>
        <w:rPr>
          <w:sz w:val="24"/>
        </w:rPr>
      </w:pPr>
      <w:r>
        <w:rPr>
          <w:rFonts w:hint="eastAsia"/>
          <w:sz w:val="24"/>
        </w:rPr>
        <w:t>主力含油层系为新近系沙湾组一段一砂组（</w:t>
      </w:r>
      <w:r>
        <w:rPr>
          <w:rFonts w:hint="eastAsia"/>
          <w:sz w:val="24"/>
        </w:rPr>
        <w:t>N</w:t>
      </w:r>
      <w:r>
        <w:rPr>
          <w:rFonts w:hint="eastAsia"/>
          <w:sz w:val="24"/>
          <w:vertAlign w:val="subscript"/>
        </w:rPr>
        <w:t>1</w:t>
      </w:r>
      <w:r>
        <w:rPr>
          <w:rFonts w:hint="eastAsia"/>
          <w:sz w:val="24"/>
        </w:rPr>
        <w:t>s</w:t>
      </w:r>
      <w:r>
        <w:rPr>
          <w:rFonts w:hint="eastAsia"/>
          <w:sz w:val="24"/>
          <w:vertAlign w:val="subscript"/>
        </w:rPr>
        <w:t>1</w:t>
      </w:r>
      <w:r>
        <w:rPr>
          <w:rFonts w:hint="eastAsia"/>
          <w:sz w:val="24"/>
          <w:vertAlign w:val="superscript"/>
        </w:rPr>
        <w:t>1</w:t>
      </w:r>
      <w:r>
        <w:rPr>
          <w:rFonts w:hint="eastAsia"/>
          <w:sz w:val="24"/>
        </w:rPr>
        <w:t>）。</w:t>
      </w:r>
    </w:p>
    <w:p w:rsidR="00EE4502" w:rsidRDefault="00FD45A3">
      <w:pPr>
        <w:pStyle w:val="41"/>
        <w:numPr>
          <w:ilvl w:val="3"/>
          <w:numId w:val="30"/>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hint="eastAsia"/>
          <w:bCs w:val="0"/>
          <w:sz w:val="24"/>
          <w:szCs w:val="24"/>
        </w:rPr>
        <w:t>井位部署及指标预测</w:t>
      </w:r>
    </w:p>
    <w:p w:rsidR="00EE4502" w:rsidRDefault="00FD45A3">
      <w:pPr>
        <w:spacing w:line="360" w:lineRule="auto"/>
        <w:ind w:firstLineChars="200" w:firstLine="480"/>
        <w:rPr>
          <w:sz w:val="24"/>
        </w:rPr>
      </w:pPr>
      <w:r>
        <w:rPr>
          <w:rFonts w:hint="eastAsia"/>
          <w:sz w:val="24"/>
        </w:rPr>
        <w:t>（</w:t>
      </w:r>
      <w:r>
        <w:rPr>
          <w:rFonts w:hint="eastAsia"/>
          <w:sz w:val="24"/>
        </w:rPr>
        <w:t>1</w:t>
      </w:r>
      <w:r>
        <w:rPr>
          <w:rFonts w:hint="eastAsia"/>
          <w:sz w:val="24"/>
        </w:rPr>
        <w:t>）布井原则</w:t>
      </w:r>
    </w:p>
    <w:p w:rsidR="00EE4502" w:rsidRDefault="00FD45A3">
      <w:pPr>
        <w:spacing w:line="360" w:lineRule="auto"/>
        <w:ind w:firstLineChars="200" w:firstLine="480"/>
        <w:rPr>
          <w:sz w:val="24"/>
        </w:rPr>
      </w:pPr>
      <w:r>
        <w:rPr>
          <w:rFonts w:hint="eastAsia"/>
          <w:sz w:val="24"/>
        </w:rPr>
        <w:lastRenderedPageBreak/>
        <w:t>由于井网需要结合本块断层发育状况，故采用不规则井网，以单井设计为重点，“一井一策”。</w:t>
      </w:r>
    </w:p>
    <w:p w:rsidR="00EE4502" w:rsidRDefault="00FD45A3">
      <w:pPr>
        <w:spacing w:line="360" w:lineRule="auto"/>
        <w:ind w:firstLineChars="200" w:firstLine="480"/>
        <w:rPr>
          <w:sz w:val="24"/>
        </w:rPr>
      </w:pPr>
      <w:r>
        <w:rPr>
          <w:rFonts w:hint="eastAsia"/>
          <w:sz w:val="24"/>
        </w:rPr>
        <w:t>通过对</w:t>
      </w:r>
      <w:r>
        <w:rPr>
          <w:rFonts w:hint="eastAsia"/>
          <w:sz w:val="24"/>
        </w:rPr>
        <w:t>邻近</w:t>
      </w:r>
      <w:r>
        <w:rPr>
          <w:rFonts w:hint="eastAsia"/>
          <w:sz w:val="24"/>
        </w:rPr>
        <w:t>排</w:t>
      </w:r>
      <w:r>
        <w:rPr>
          <w:rFonts w:hint="eastAsia"/>
          <w:sz w:val="24"/>
        </w:rPr>
        <w:t>66</w:t>
      </w:r>
      <w:r>
        <w:rPr>
          <w:rFonts w:hint="eastAsia"/>
          <w:sz w:val="24"/>
        </w:rPr>
        <w:t>块老区动态分析，统计不同干扰程度下的井距。为保证天然能量开发下互不干扰，井距在</w:t>
      </w:r>
      <w:r>
        <w:rPr>
          <w:rFonts w:hint="eastAsia"/>
          <w:sz w:val="24"/>
        </w:rPr>
        <w:t>400m</w:t>
      </w:r>
      <w:r>
        <w:rPr>
          <w:rFonts w:hint="eastAsia"/>
          <w:sz w:val="24"/>
        </w:rPr>
        <w:t>左右。</w:t>
      </w:r>
    </w:p>
    <w:p w:rsidR="00EE4502" w:rsidRDefault="00FD45A3">
      <w:pPr>
        <w:spacing w:line="360" w:lineRule="auto"/>
        <w:ind w:firstLineChars="200" w:firstLine="480"/>
        <w:rPr>
          <w:sz w:val="24"/>
        </w:rPr>
      </w:pPr>
      <w:r>
        <w:rPr>
          <w:rFonts w:hint="eastAsia"/>
          <w:sz w:val="24"/>
        </w:rPr>
        <w:t>（</w:t>
      </w:r>
      <w:r>
        <w:rPr>
          <w:sz w:val="24"/>
        </w:rPr>
        <w:t>2</w:t>
      </w:r>
      <w:r>
        <w:rPr>
          <w:rFonts w:hint="eastAsia"/>
          <w:sz w:val="24"/>
        </w:rPr>
        <w:t>）井位部署</w:t>
      </w:r>
    </w:p>
    <w:p w:rsidR="00EE4502" w:rsidRDefault="00FD45A3">
      <w:pPr>
        <w:spacing w:line="360" w:lineRule="auto"/>
        <w:ind w:firstLineChars="200" w:firstLine="480"/>
        <w:rPr>
          <w:sz w:val="24"/>
        </w:rPr>
      </w:pPr>
      <w:r>
        <w:rPr>
          <w:rFonts w:hint="eastAsia"/>
          <w:sz w:val="24"/>
        </w:rPr>
        <w:t>本</w:t>
      </w:r>
      <w:r>
        <w:rPr>
          <w:rFonts w:hint="eastAsia"/>
          <w:sz w:val="24"/>
        </w:rPr>
        <w:t>工程部署</w:t>
      </w:r>
      <w:r>
        <w:rPr>
          <w:rFonts w:hint="eastAsia"/>
          <w:sz w:val="24"/>
        </w:rPr>
        <w:t>22</w:t>
      </w:r>
      <w:r>
        <w:rPr>
          <w:rFonts w:hint="eastAsia"/>
          <w:sz w:val="24"/>
        </w:rPr>
        <w:t>口井，其中新钻采油井</w:t>
      </w:r>
      <w:r>
        <w:rPr>
          <w:rFonts w:hint="eastAsia"/>
          <w:sz w:val="24"/>
        </w:rPr>
        <w:t>15</w:t>
      </w:r>
      <w:r>
        <w:rPr>
          <w:rFonts w:hint="eastAsia"/>
          <w:sz w:val="24"/>
        </w:rPr>
        <w:t>口、回注井</w:t>
      </w:r>
      <w:r>
        <w:rPr>
          <w:rFonts w:hint="eastAsia"/>
          <w:sz w:val="24"/>
        </w:rPr>
        <w:t>3</w:t>
      </w:r>
      <w:r>
        <w:rPr>
          <w:rFonts w:hint="eastAsia"/>
          <w:sz w:val="24"/>
        </w:rPr>
        <w:t>口，试采井老井利用</w:t>
      </w:r>
      <w:r>
        <w:rPr>
          <w:rFonts w:hint="eastAsia"/>
          <w:sz w:val="24"/>
        </w:rPr>
        <w:t>3</w:t>
      </w:r>
      <w:r>
        <w:rPr>
          <w:rFonts w:hint="eastAsia"/>
          <w:sz w:val="24"/>
        </w:rPr>
        <w:t>口、回注井老井利用</w:t>
      </w:r>
      <w:r>
        <w:rPr>
          <w:rFonts w:hint="eastAsia"/>
          <w:sz w:val="24"/>
        </w:rPr>
        <w:t>1</w:t>
      </w:r>
      <w:r>
        <w:rPr>
          <w:rFonts w:hint="eastAsia"/>
          <w:sz w:val="24"/>
        </w:rPr>
        <w:t>口。</w:t>
      </w:r>
    </w:p>
    <w:p w:rsidR="00EE4502" w:rsidRDefault="00FD45A3">
      <w:pPr>
        <w:spacing w:line="360" w:lineRule="auto"/>
        <w:ind w:firstLineChars="200" w:firstLine="480"/>
        <w:rPr>
          <w:sz w:val="24"/>
        </w:rPr>
      </w:pPr>
      <w:r>
        <w:rPr>
          <w:rFonts w:hint="eastAsia"/>
          <w:sz w:val="24"/>
        </w:rPr>
        <w:t>①采油部分：采油井共</w:t>
      </w:r>
      <w:r>
        <w:rPr>
          <w:rFonts w:hint="eastAsia"/>
          <w:sz w:val="24"/>
        </w:rPr>
        <w:t>18</w:t>
      </w:r>
      <w:r>
        <w:rPr>
          <w:rFonts w:hint="eastAsia"/>
          <w:sz w:val="24"/>
        </w:rPr>
        <w:t>口，其中新建采油井场</w:t>
      </w:r>
      <w:r>
        <w:rPr>
          <w:rFonts w:hint="eastAsia"/>
          <w:sz w:val="24"/>
        </w:rPr>
        <w:t>9</w:t>
      </w:r>
      <w:r>
        <w:rPr>
          <w:rFonts w:hint="eastAsia"/>
          <w:sz w:val="24"/>
        </w:rPr>
        <w:t>座（双井同台井场</w:t>
      </w:r>
      <w:r>
        <w:rPr>
          <w:rFonts w:hint="eastAsia"/>
          <w:sz w:val="24"/>
        </w:rPr>
        <w:t>6</w:t>
      </w:r>
      <w:r>
        <w:rPr>
          <w:rFonts w:hint="eastAsia"/>
          <w:sz w:val="24"/>
        </w:rPr>
        <w:t>座、单井井场</w:t>
      </w:r>
      <w:r>
        <w:rPr>
          <w:rFonts w:hint="eastAsia"/>
          <w:sz w:val="24"/>
        </w:rPr>
        <w:t>1</w:t>
      </w:r>
      <w:r>
        <w:rPr>
          <w:rFonts w:hint="eastAsia"/>
          <w:sz w:val="24"/>
        </w:rPr>
        <w:t>座、老井合建</w:t>
      </w:r>
      <w:r>
        <w:rPr>
          <w:rFonts w:hint="eastAsia"/>
          <w:sz w:val="24"/>
        </w:rPr>
        <w:t>2</w:t>
      </w:r>
      <w:r>
        <w:rPr>
          <w:rFonts w:hint="eastAsia"/>
          <w:sz w:val="24"/>
        </w:rPr>
        <w:t>座）；老井利用</w:t>
      </w:r>
      <w:r>
        <w:rPr>
          <w:rFonts w:hint="eastAsia"/>
          <w:sz w:val="24"/>
        </w:rPr>
        <w:t>3</w:t>
      </w:r>
      <w:r>
        <w:rPr>
          <w:rFonts w:hint="eastAsia"/>
          <w:sz w:val="24"/>
        </w:rPr>
        <w:t>座，分别为排</w:t>
      </w:r>
      <w:r>
        <w:rPr>
          <w:rFonts w:hint="eastAsia"/>
          <w:sz w:val="24"/>
        </w:rPr>
        <w:t>61-</w:t>
      </w:r>
      <w:r>
        <w:rPr>
          <w:rFonts w:hint="eastAsia"/>
          <w:sz w:val="24"/>
        </w:rPr>
        <w:t>平</w:t>
      </w:r>
      <w:r>
        <w:rPr>
          <w:rFonts w:hint="eastAsia"/>
          <w:sz w:val="24"/>
        </w:rPr>
        <w:t>1</w:t>
      </w:r>
      <w:r>
        <w:rPr>
          <w:rFonts w:hint="eastAsia"/>
          <w:sz w:val="24"/>
        </w:rPr>
        <w:t>、排</w:t>
      </w:r>
      <w:r>
        <w:rPr>
          <w:rFonts w:hint="eastAsia"/>
          <w:sz w:val="24"/>
        </w:rPr>
        <w:t>655-</w:t>
      </w:r>
      <w:r>
        <w:rPr>
          <w:rFonts w:hint="eastAsia"/>
          <w:sz w:val="24"/>
        </w:rPr>
        <w:t>平</w:t>
      </w:r>
      <w:r>
        <w:rPr>
          <w:rFonts w:hint="eastAsia"/>
          <w:sz w:val="24"/>
        </w:rPr>
        <w:t>1</w:t>
      </w:r>
      <w:r>
        <w:rPr>
          <w:rFonts w:hint="eastAsia"/>
          <w:sz w:val="24"/>
        </w:rPr>
        <w:t>、排</w:t>
      </w:r>
      <w:r>
        <w:rPr>
          <w:rFonts w:hint="eastAsia"/>
          <w:sz w:val="24"/>
        </w:rPr>
        <w:t>61-</w:t>
      </w:r>
      <w:r>
        <w:rPr>
          <w:rFonts w:hint="eastAsia"/>
          <w:sz w:val="24"/>
        </w:rPr>
        <w:t>支平</w:t>
      </w:r>
      <w:r>
        <w:rPr>
          <w:rFonts w:hint="eastAsia"/>
          <w:sz w:val="24"/>
        </w:rPr>
        <w:t>2</w:t>
      </w:r>
      <w:r>
        <w:rPr>
          <w:rFonts w:hint="eastAsia"/>
          <w:sz w:val="24"/>
        </w:rPr>
        <w:t>。</w:t>
      </w:r>
    </w:p>
    <w:p w:rsidR="00EE4502" w:rsidRDefault="00EE4502">
      <w:pPr>
        <w:spacing w:line="360" w:lineRule="auto"/>
        <w:jc w:val="center"/>
        <w:rPr>
          <w:sz w:val="24"/>
        </w:rPr>
      </w:pPr>
    </w:p>
    <w:p w:rsidR="00EE4502" w:rsidRDefault="00FD45A3">
      <w:pPr>
        <w:spacing w:line="360" w:lineRule="auto"/>
        <w:jc w:val="center"/>
        <w:rPr>
          <w:rFonts w:eastAsia="黑体" w:hAnsi="黑体"/>
          <w:bCs/>
          <w:sz w:val="24"/>
        </w:rPr>
      </w:pPr>
      <w:r>
        <w:rPr>
          <w:rFonts w:eastAsia="黑体" w:hAnsi="黑体"/>
          <w:bCs/>
          <w:sz w:val="24"/>
        </w:rPr>
        <w:t>图</w:t>
      </w:r>
      <w:r>
        <w:rPr>
          <w:rFonts w:eastAsia="黑体" w:hAnsi="黑体" w:hint="eastAsia"/>
          <w:bCs/>
          <w:sz w:val="24"/>
        </w:rPr>
        <w:t>3-3</w:t>
      </w:r>
      <w:r>
        <w:rPr>
          <w:rFonts w:eastAsia="黑体" w:hAnsi="黑体"/>
          <w:bCs/>
          <w:sz w:val="24"/>
        </w:rPr>
        <w:t>-</w:t>
      </w:r>
      <w:r>
        <w:rPr>
          <w:rFonts w:eastAsia="黑体" w:hAnsi="黑体" w:hint="eastAsia"/>
          <w:bCs/>
          <w:sz w:val="24"/>
        </w:rPr>
        <w:t>11</w:t>
      </w:r>
      <w:r>
        <w:rPr>
          <w:rFonts w:eastAsia="黑体" w:hAnsi="黑体"/>
          <w:bCs/>
          <w:sz w:val="24"/>
        </w:rPr>
        <w:t xml:space="preserve">  </w:t>
      </w:r>
      <w:r>
        <w:rPr>
          <w:rFonts w:eastAsia="黑体" w:hAnsi="黑体" w:hint="eastAsia"/>
          <w:bCs/>
          <w:sz w:val="24"/>
        </w:rPr>
        <w:t>排</w:t>
      </w:r>
      <w:r>
        <w:rPr>
          <w:rFonts w:eastAsia="黑体" w:hAnsi="黑体" w:hint="eastAsia"/>
          <w:bCs/>
          <w:sz w:val="24"/>
        </w:rPr>
        <w:t>61</w:t>
      </w:r>
      <w:r>
        <w:rPr>
          <w:rFonts w:eastAsia="黑体" w:hAnsi="黑体" w:hint="eastAsia"/>
          <w:bCs/>
          <w:sz w:val="24"/>
        </w:rPr>
        <w:t>块</w:t>
      </w:r>
      <w:r>
        <w:rPr>
          <w:rFonts w:eastAsia="黑体" w:hAnsi="黑体" w:hint="eastAsia"/>
          <w:bCs/>
          <w:sz w:val="24"/>
        </w:rPr>
        <w:t>井区井位部署图</w:t>
      </w:r>
    </w:p>
    <w:p w:rsidR="00EE4502" w:rsidRDefault="00FD45A3">
      <w:pPr>
        <w:spacing w:line="360" w:lineRule="auto"/>
        <w:ind w:firstLineChars="200" w:firstLine="480"/>
        <w:rPr>
          <w:rFonts w:eastAsia="黑体" w:hAnsi="黑体"/>
          <w:bCs/>
          <w:sz w:val="24"/>
        </w:rPr>
      </w:pPr>
      <w:r>
        <w:rPr>
          <w:rFonts w:hint="eastAsia"/>
          <w:sz w:val="24"/>
        </w:rPr>
        <w:t>②注水部分：回注井共</w:t>
      </w:r>
      <w:r>
        <w:rPr>
          <w:rFonts w:hint="eastAsia"/>
          <w:sz w:val="24"/>
        </w:rPr>
        <w:t>4</w:t>
      </w:r>
      <w:r>
        <w:rPr>
          <w:rFonts w:hint="eastAsia"/>
          <w:sz w:val="24"/>
        </w:rPr>
        <w:t>口，其中新钻</w:t>
      </w:r>
      <w:r>
        <w:rPr>
          <w:rFonts w:hint="eastAsia"/>
          <w:sz w:val="24"/>
        </w:rPr>
        <w:t>3</w:t>
      </w:r>
      <w:r>
        <w:rPr>
          <w:rFonts w:hint="eastAsia"/>
          <w:sz w:val="24"/>
        </w:rPr>
        <w:t>口注水井均为单井井场，新建</w:t>
      </w:r>
      <w:r>
        <w:rPr>
          <w:rFonts w:hint="eastAsia"/>
          <w:sz w:val="24"/>
        </w:rPr>
        <w:t>3</w:t>
      </w:r>
      <w:r>
        <w:rPr>
          <w:rFonts w:hint="eastAsia"/>
          <w:sz w:val="24"/>
        </w:rPr>
        <w:t>个注水井台；排</w:t>
      </w:r>
      <w:r>
        <w:rPr>
          <w:rFonts w:hint="eastAsia"/>
          <w:sz w:val="24"/>
        </w:rPr>
        <w:t>71</w:t>
      </w:r>
      <w:r>
        <w:rPr>
          <w:rFonts w:hint="eastAsia"/>
          <w:sz w:val="24"/>
        </w:rPr>
        <w:t>为已建回注单井。</w:t>
      </w:r>
    </w:p>
    <w:p w:rsidR="00EE4502" w:rsidRDefault="00FD45A3">
      <w:pPr>
        <w:spacing w:line="360" w:lineRule="auto"/>
        <w:jc w:val="center"/>
        <w:rPr>
          <w:rFonts w:eastAsia="黑体"/>
          <w:szCs w:val="21"/>
        </w:rPr>
      </w:pPr>
      <w:r>
        <w:rPr>
          <w:rFonts w:eastAsia="黑体" w:hint="eastAsia"/>
          <w:szCs w:val="21"/>
        </w:rPr>
        <w:t>表</w:t>
      </w:r>
      <w:r>
        <w:rPr>
          <w:rFonts w:eastAsia="黑体" w:hint="eastAsia"/>
          <w:szCs w:val="21"/>
        </w:rPr>
        <w:t xml:space="preserve">3-3-5  </w:t>
      </w:r>
      <w:r>
        <w:rPr>
          <w:rFonts w:eastAsia="黑体" w:hint="eastAsia"/>
          <w:szCs w:val="21"/>
        </w:rPr>
        <w:t>本工程井场统计表</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70"/>
        <w:gridCol w:w="1860"/>
        <w:gridCol w:w="1666"/>
        <w:gridCol w:w="1666"/>
        <w:gridCol w:w="1665"/>
      </w:tblGrid>
      <w:tr w:rsidR="00EE4502">
        <w:trPr>
          <w:trHeight w:val="397"/>
          <w:tblHeader/>
        </w:trPr>
        <w:tc>
          <w:tcPr>
            <w:tcW w:w="882" w:type="pct"/>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序号</w:t>
            </w:r>
          </w:p>
        </w:tc>
        <w:tc>
          <w:tcPr>
            <w:tcW w:w="1116" w:type="pct"/>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类别</w:t>
            </w:r>
          </w:p>
        </w:tc>
        <w:tc>
          <w:tcPr>
            <w:tcW w:w="1000" w:type="pct"/>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井号</w:t>
            </w:r>
          </w:p>
        </w:tc>
        <w:tc>
          <w:tcPr>
            <w:tcW w:w="1000" w:type="pct"/>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井台</w:t>
            </w:r>
          </w:p>
        </w:tc>
        <w:tc>
          <w:tcPr>
            <w:tcW w:w="1000" w:type="pct"/>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备注</w:t>
            </w:r>
          </w:p>
        </w:tc>
      </w:tr>
      <w:tr w:rsidR="00EE4502">
        <w:trPr>
          <w:trHeight w:val="397"/>
        </w:trPr>
        <w:tc>
          <w:tcPr>
            <w:tcW w:w="882" w:type="pct"/>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1</w:t>
            </w:r>
          </w:p>
        </w:tc>
        <w:tc>
          <w:tcPr>
            <w:tcW w:w="1116" w:type="pct"/>
            <w:vMerge w:val="restart"/>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老井利用</w:t>
            </w:r>
          </w:p>
        </w:tc>
        <w:tc>
          <w:tcPr>
            <w:tcW w:w="1000" w:type="pct"/>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排</w:t>
            </w:r>
            <w:r>
              <w:rPr>
                <w:rFonts w:hint="eastAsia"/>
                <w:szCs w:val="21"/>
              </w:rPr>
              <w:t>61-</w:t>
            </w:r>
            <w:r>
              <w:rPr>
                <w:rFonts w:hint="eastAsia"/>
                <w:szCs w:val="21"/>
              </w:rPr>
              <w:t>平</w:t>
            </w:r>
            <w:r>
              <w:rPr>
                <w:rFonts w:hint="eastAsia"/>
                <w:szCs w:val="21"/>
              </w:rPr>
              <w:t>1</w:t>
            </w:r>
          </w:p>
        </w:tc>
        <w:tc>
          <w:tcPr>
            <w:tcW w:w="1000" w:type="pct"/>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w:t>
            </w:r>
          </w:p>
        </w:tc>
        <w:tc>
          <w:tcPr>
            <w:tcW w:w="1000" w:type="pct"/>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完钻滚评井</w:t>
            </w:r>
          </w:p>
        </w:tc>
      </w:tr>
      <w:tr w:rsidR="00EE4502">
        <w:trPr>
          <w:trHeight w:val="397"/>
        </w:trPr>
        <w:tc>
          <w:tcPr>
            <w:tcW w:w="882" w:type="pct"/>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2</w:t>
            </w:r>
          </w:p>
        </w:tc>
        <w:tc>
          <w:tcPr>
            <w:tcW w:w="1116" w:type="pct"/>
            <w:vMerge/>
            <w:tcMar>
              <w:top w:w="12" w:type="dxa"/>
              <w:left w:w="12" w:type="dxa"/>
              <w:right w:w="12" w:type="dxa"/>
            </w:tcMar>
            <w:vAlign w:val="center"/>
          </w:tcPr>
          <w:p w:rsidR="00EE4502" w:rsidRDefault="00EE4502">
            <w:pPr>
              <w:widowControl/>
              <w:tabs>
                <w:tab w:val="left" w:pos="377"/>
              </w:tabs>
              <w:jc w:val="center"/>
              <w:rPr>
                <w:szCs w:val="21"/>
              </w:rPr>
            </w:pPr>
          </w:p>
        </w:tc>
        <w:tc>
          <w:tcPr>
            <w:tcW w:w="1000" w:type="pct"/>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排</w:t>
            </w:r>
            <w:r>
              <w:rPr>
                <w:rFonts w:hint="eastAsia"/>
                <w:szCs w:val="21"/>
              </w:rPr>
              <w:t>655-</w:t>
            </w:r>
            <w:r>
              <w:rPr>
                <w:rFonts w:hint="eastAsia"/>
                <w:szCs w:val="21"/>
              </w:rPr>
              <w:t>平</w:t>
            </w:r>
            <w:r>
              <w:rPr>
                <w:rFonts w:hint="eastAsia"/>
                <w:szCs w:val="21"/>
              </w:rPr>
              <w:t>1</w:t>
            </w:r>
          </w:p>
        </w:tc>
        <w:tc>
          <w:tcPr>
            <w:tcW w:w="1000" w:type="pct"/>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w:t>
            </w:r>
          </w:p>
        </w:tc>
        <w:tc>
          <w:tcPr>
            <w:tcW w:w="1000" w:type="pct"/>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完钻滚评井</w:t>
            </w:r>
          </w:p>
        </w:tc>
      </w:tr>
      <w:tr w:rsidR="00EE4502">
        <w:trPr>
          <w:trHeight w:val="397"/>
        </w:trPr>
        <w:tc>
          <w:tcPr>
            <w:tcW w:w="882" w:type="pct"/>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3</w:t>
            </w:r>
          </w:p>
        </w:tc>
        <w:tc>
          <w:tcPr>
            <w:tcW w:w="1116" w:type="pct"/>
            <w:vMerge/>
            <w:tcMar>
              <w:top w:w="12" w:type="dxa"/>
              <w:left w:w="12" w:type="dxa"/>
              <w:right w:w="12" w:type="dxa"/>
            </w:tcMar>
            <w:vAlign w:val="center"/>
          </w:tcPr>
          <w:p w:rsidR="00EE4502" w:rsidRDefault="00EE4502">
            <w:pPr>
              <w:widowControl/>
              <w:tabs>
                <w:tab w:val="left" w:pos="377"/>
              </w:tabs>
              <w:jc w:val="center"/>
              <w:rPr>
                <w:szCs w:val="21"/>
              </w:rPr>
            </w:pPr>
          </w:p>
        </w:tc>
        <w:tc>
          <w:tcPr>
            <w:tcW w:w="1000" w:type="pct"/>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排</w:t>
            </w:r>
            <w:r>
              <w:rPr>
                <w:rFonts w:hint="eastAsia"/>
                <w:szCs w:val="21"/>
              </w:rPr>
              <w:t>61-</w:t>
            </w:r>
            <w:r>
              <w:rPr>
                <w:rFonts w:hint="eastAsia"/>
                <w:szCs w:val="21"/>
              </w:rPr>
              <w:t>支平</w:t>
            </w:r>
            <w:r>
              <w:rPr>
                <w:rFonts w:hint="eastAsia"/>
                <w:szCs w:val="21"/>
              </w:rPr>
              <w:t>2</w:t>
            </w:r>
          </w:p>
        </w:tc>
        <w:tc>
          <w:tcPr>
            <w:tcW w:w="1000" w:type="pct"/>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w:t>
            </w:r>
          </w:p>
        </w:tc>
        <w:tc>
          <w:tcPr>
            <w:tcW w:w="1000" w:type="pct"/>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完钻滚评井</w:t>
            </w:r>
          </w:p>
        </w:tc>
      </w:tr>
      <w:tr w:rsidR="00EE4502">
        <w:trPr>
          <w:trHeight w:val="397"/>
        </w:trPr>
        <w:tc>
          <w:tcPr>
            <w:tcW w:w="882" w:type="pct"/>
            <w:shd w:val="clear" w:color="auto" w:fill="auto"/>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4</w:t>
            </w:r>
          </w:p>
        </w:tc>
        <w:tc>
          <w:tcPr>
            <w:tcW w:w="1116" w:type="pct"/>
            <w:vMerge/>
            <w:tcMar>
              <w:top w:w="12" w:type="dxa"/>
              <w:left w:w="12" w:type="dxa"/>
              <w:right w:w="12" w:type="dxa"/>
            </w:tcMar>
            <w:vAlign w:val="center"/>
          </w:tcPr>
          <w:p w:rsidR="00EE4502" w:rsidRDefault="00EE4502">
            <w:pPr>
              <w:widowControl/>
              <w:tabs>
                <w:tab w:val="left" w:pos="377"/>
              </w:tabs>
              <w:jc w:val="center"/>
              <w:rPr>
                <w:szCs w:val="21"/>
              </w:rPr>
            </w:pPr>
          </w:p>
        </w:tc>
        <w:tc>
          <w:tcPr>
            <w:tcW w:w="1000" w:type="pct"/>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排</w:t>
            </w:r>
            <w:r>
              <w:rPr>
                <w:rFonts w:hint="eastAsia"/>
                <w:szCs w:val="21"/>
              </w:rPr>
              <w:t>71</w:t>
            </w:r>
          </w:p>
        </w:tc>
        <w:tc>
          <w:tcPr>
            <w:tcW w:w="1000" w:type="pct"/>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w:t>
            </w:r>
          </w:p>
        </w:tc>
        <w:tc>
          <w:tcPr>
            <w:tcW w:w="1000" w:type="pct"/>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已建回注井</w:t>
            </w:r>
          </w:p>
        </w:tc>
      </w:tr>
      <w:tr w:rsidR="00EE4502">
        <w:trPr>
          <w:trHeight w:val="397"/>
        </w:trPr>
        <w:tc>
          <w:tcPr>
            <w:tcW w:w="882" w:type="pct"/>
            <w:shd w:val="clear" w:color="auto" w:fill="auto"/>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5</w:t>
            </w:r>
          </w:p>
        </w:tc>
        <w:tc>
          <w:tcPr>
            <w:tcW w:w="1116" w:type="pct"/>
            <w:vMerge w:val="restart"/>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新钻</w:t>
            </w:r>
            <w:r>
              <w:rPr>
                <w:rFonts w:hint="eastAsia"/>
                <w:szCs w:val="21"/>
              </w:rPr>
              <w:t>油</w:t>
            </w:r>
            <w:r>
              <w:rPr>
                <w:rFonts w:hint="eastAsia"/>
                <w:szCs w:val="21"/>
              </w:rPr>
              <w:t>井</w:t>
            </w:r>
          </w:p>
        </w:tc>
        <w:tc>
          <w:tcPr>
            <w:tcW w:w="1000" w:type="pct"/>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排</w:t>
            </w:r>
            <w:r>
              <w:rPr>
                <w:rFonts w:hint="eastAsia"/>
                <w:szCs w:val="21"/>
              </w:rPr>
              <w:t>61-</w:t>
            </w:r>
            <w:r>
              <w:rPr>
                <w:rFonts w:hint="eastAsia"/>
                <w:szCs w:val="21"/>
              </w:rPr>
              <w:t>平</w:t>
            </w:r>
            <w:r>
              <w:rPr>
                <w:rFonts w:hint="eastAsia"/>
                <w:szCs w:val="21"/>
              </w:rPr>
              <w:t>10</w:t>
            </w:r>
          </w:p>
        </w:tc>
        <w:tc>
          <w:tcPr>
            <w:tcW w:w="1000" w:type="pct"/>
            <w:vMerge w:val="restart"/>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1#</w:t>
            </w:r>
          </w:p>
        </w:tc>
        <w:tc>
          <w:tcPr>
            <w:tcW w:w="1000" w:type="pct"/>
            <w:vMerge w:val="restart"/>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新建产能井</w:t>
            </w:r>
          </w:p>
        </w:tc>
      </w:tr>
      <w:tr w:rsidR="00EE4502">
        <w:trPr>
          <w:trHeight w:val="397"/>
        </w:trPr>
        <w:tc>
          <w:tcPr>
            <w:tcW w:w="882" w:type="pct"/>
            <w:shd w:val="clear" w:color="auto" w:fill="auto"/>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6</w:t>
            </w:r>
          </w:p>
        </w:tc>
        <w:tc>
          <w:tcPr>
            <w:tcW w:w="1116" w:type="pct"/>
            <w:vMerge/>
            <w:tcMar>
              <w:top w:w="12" w:type="dxa"/>
              <w:left w:w="12" w:type="dxa"/>
              <w:right w:w="12" w:type="dxa"/>
            </w:tcMar>
            <w:vAlign w:val="center"/>
          </w:tcPr>
          <w:p w:rsidR="00EE4502" w:rsidRDefault="00EE4502">
            <w:pPr>
              <w:widowControl/>
              <w:tabs>
                <w:tab w:val="left" w:pos="377"/>
              </w:tabs>
              <w:jc w:val="center"/>
              <w:rPr>
                <w:szCs w:val="21"/>
              </w:rPr>
            </w:pPr>
          </w:p>
        </w:tc>
        <w:tc>
          <w:tcPr>
            <w:tcW w:w="1000" w:type="pct"/>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排</w:t>
            </w:r>
            <w:r>
              <w:rPr>
                <w:rFonts w:hint="eastAsia"/>
                <w:szCs w:val="21"/>
              </w:rPr>
              <w:t>61-</w:t>
            </w:r>
            <w:r>
              <w:rPr>
                <w:rFonts w:hint="eastAsia"/>
                <w:szCs w:val="21"/>
              </w:rPr>
              <w:t>平</w:t>
            </w:r>
            <w:r>
              <w:rPr>
                <w:rFonts w:hint="eastAsia"/>
                <w:szCs w:val="21"/>
              </w:rPr>
              <w:t>11</w:t>
            </w:r>
          </w:p>
        </w:tc>
        <w:tc>
          <w:tcPr>
            <w:tcW w:w="1000" w:type="pct"/>
            <w:vMerge/>
            <w:tcMar>
              <w:top w:w="12" w:type="dxa"/>
              <w:left w:w="12" w:type="dxa"/>
              <w:right w:w="12" w:type="dxa"/>
            </w:tcMar>
            <w:vAlign w:val="center"/>
          </w:tcPr>
          <w:p w:rsidR="00EE4502" w:rsidRDefault="00EE4502">
            <w:pPr>
              <w:widowControl/>
              <w:tabs>
                <w:tab w:val="left" w:pos="377"/>
              </w:tabs>
              <w:jc w:val="center"/>
              <w:rPr>
                <w:szCs w:val="21"/>
              </w:rPr>
            </w:pPr>
          </w:p>
        </w:tc>
        <w:tc>
          <w:tcPr>
            <w:tcW w:w="1000" w:type="pct"/>
            <w:vMerge/>
            <w:tcMar>
              <w:top w:w="12" w:type="dxa"/>
              <w:left w:w="12" w:type="dxa"/>
              <w:right w:w="12" w:type="dxa"/>
            </w:tcMar>
            <w:vAlign w:val="center"/>
          </w:tcPr>
          <w:p w:rsidR="00EE4502" w:rsidRDefault="00EE4502">
            <w:pPr>
              <w:widowControl/>
              <w:jc w:val="center"/>
              <w:rPr>
                <w:rFonts w:ascii="宋体" w:hAnsi="宋体" w:cs="宋体"/>
                <w:szCs w:val="21"/>
              </w:rPr>
            </w:pPr>
          </w:p>
        </w:tc>
      </w:tr>
      <w:tr w:rsidR="00EE4502">
        <w:trPr>
          <w:trHeight w:val="397"/>
        </w:trPr>
        <w:tc>
          <w:tcPr>
            <w:tcW w:w="882" w:type="pct"/>
            <w:shd w:val="clear" w:color="auto" w:fill="auto"/>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7</w:t>
            </w:r>
          </w:p>
        </w:tc>
        <w:tc>
          <w:tcPr>
            <w:tcW w:w="1116" w:type="pct"/>
            <w:vMerge/>
            <w:tcMar>
              <w:top w:w="12" w:type="dxa"/>
              <w:left w:w="12" w:type="dxa"/>
              <w:right w:w="12" w:type="dxa"/>
            </w:tcMar>
            <w:vAlign w:val="center"/>
          </w:tcPr>
          <w:p w:rsidR="00EE4502" w:rsidRDefault="00EE4502">
            <w:pPr>
              <w:widowControl/>
              <w:tabs>
                <w:tab w:val="left" w:pos="377"/>
              </w:tabs>
              <w:jc w:val="center"/>
              <w:rPr>
                <w:szCs w:val="21"/>
              </w:rPr>
            </w:pPr>
          </w:p>
        </w:tc>
        <w:tc>
          <w:tcPr>
            <w:tcW w:w="1000" w:type="pct"/>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排</w:t>
            </w:r>
            <w:r>
              <w:rPr>
                <w:rFonts w:hint="eastAsia"/>
                <w:szCs w:val="21"/>
              </w:rPr>
              <w:t>61-</w:t>
            </w:r>
            <w:r>
              <w:rPr>
                <w:rFonts w:hint="eastAsia"/>
                <w:szCs w:val="21"/>
              </w:rPr>
              <w:t>平</w:t>
            </w:r>
            <w:r>
              <w:rPr>
                <w:rFonts w:hint="eastAsia"/>
                <w:szCs w:val="21"/>
              </w:rPr>
              <w:t>12</w:t>
            </w:r>
          </w:p>
        </w:tc>
        <w:tc>
          <w:tcPr>
            <w:tcW w:w="1000" w:type="pct"/>
            <w:vMerge w:val="restart"/>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2#</w:t>
            </w:r>
          </w:p>
        </w:tc>
        <w:tc>
          <w:tcPr>
            <w:tcW w:w="1000" w:type="pct"/>
            <w:vMerge/>
            <w:tcMar>
              <w:top w:w="12" w:type="dxa"/>
              <w:left w:w="12" w:type="dxa"/>
              <w:right w:w="12" w:type="dxa"/>
            </w:tcMar>
            <w:vAlign w:val="center"/>
          </w:tcPr>
          <w:p w:rsidR="00EE4502" w:rsidRDefault="00EE4502">
            <w:pPr>
              <w:widowControl/>
              <w:jc w:val="center"/>
              <w:rPr>
                <w:rFonts w:ascii="宋体" w:hAnsi="宋体" w:cs="宋体"/>
                <w:szCs w:val="21"/>
              </w:rPr>
            </w:pPr>
          </w:p>
        </w:tc>
      </w:tr>
      <w:tr w:rsidR="00EE4502">
        <w:trPr>
          <w:trHeight w:val="397"/>
        </w:trPr>
        <w:tc>
          <w:tcPr>
            <w:tcW w:w="882" w:type="pct"/>
            <w:shd w:val="clear" w:color="auto" w:fill="auto"/>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8</w:t>
            </w:r>
          </w:p>
        </w:tc>
        <w:tc>
          <w:tcPr>
            <w:tcW w:w="1116" w:type="pct"/>
            <w:vMerge/>
            <w:tcMar>
              <w:top w:w="12" w:type="dxa"/>
              <w:left w:w="12" w:type="dxa"/>
              <w:right w:w="12" w:type="dxa"/>
            </w:tcMar>
            <w:vAlign w:val="center"/>
          </w:tcPr>
          <w:p w:rsidR="00EE4502" w:rsidRDefault="00EE4502">
            <w:pPr>
              <w:widowControl/>
              <w:tabs>
                <w:tab w:val="left" w:pos="377"/>
              </w:tabs>
              <w:jc w:val="center"/>
              <w:rPr>
                <w:szCs w:val="21"/>
              </w:rPr>
            </w:pPr>
          </w:p>
        </w:tc>
        <w:tc>
          <w:tcPr>
            <w:tcW w:w="1000" w:type="pct"/>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排</w:t>
            </w:r>
            <w:r>
              <w:rPr>
                <w:rFonts w:hint="eastAsia"/>
                <w:szCs w:val="21"/>
              </w:rPr>
              <w:t>61-</w:t>
            </w:r>
            <w:r>
              <w:rPr>
                <w:rFonts w:hint="eastAsia"/>
                <w:szCs w:val="21"/>
              </w:rPr>
              <w:t>平</w:t>
            </w:r>
            <w:r>
              <w:rPr>
                <w:rFonts w:hint="eastAsia"/>
                <w:szCs w:val="21"/>
              </w:rPr>
              <w:t>13</w:t>
            </w:r>
          </w:p>
        </w:tc>
        <w:tc>
          <w:tcPr>
            <w:tcW w:w="1000" w:type="pct"/>
            <w:vMerge/>
            <w:tcMar>
              <w:top w:w="12" w:type="dxa"/>
              <w:left w:w="12" w:type="dxa"/>
              <w:right w:w="12" w:type="dxa"/>
            </w:tcMar>
            <w:vAlign w:val="center"/>
          </w:tcPr>
          <w:p w:rsidR="00EE4502" w:rsidRDefault="00EE4502">
            <w:pPr>
              <w:widowControl/>
              <w:tabs>
                <w:tab w:val="left" w:pos="377"/>
              </w:tabs>
              <w:jc w:val="center"/>
              <w:rPr>
                <w:szCs w:val="21"/>
              </w:rPr>
            </w:pPr>
          </w:p>
        </w:tc>
        <w:tc>
          <w:tcPr>
            <w:tcW w:w="1000" w:type="pct"/>
            <w:vMerge/>
            <w:tcMar>
              <w:top w:w="12" w:type="dxa"/>
              <w:left w:w="12" w:type="dxa"/>
              <w:right w:w="12" w:type="dxa"/>
            </w:tcMar>
            <w:vAlign w:val="center"/>
          </w:tcPr>
          <w:p w:rsidR="00EE4502" w:rsidRDefault="00EE4502">
            <w:pPr>
              <w:widowControl/>
              <w:jc w:val="center"/>
              <w:rPr>
                <w:rFonts w:ascii="宋体" w:hAnsi="宋体" w:cs="宋体"/>
                <w:szCs w:val="21"/>
              </w:rPr>
            </w:pPr>
          </w:p>
        </w:tc>
      </w:tr>
      <w:tr w:rsidR="00EE4502">
        <w:trPr>
          <w:trHeight w:val="397"/>
        </w:trPr>
        <w:tc>
          <w:tcPr>
            <w:tcW w:w="882" w:type="pct"/>
            <w:shd w:val="clear" w:color="auto" w:fill="auto"/>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9</w:t>
            </w:r>
          </w:p>
        </w:tc>
        <w:tc>
          <w:tcPr>
            <w:tcW w:w="1116" w:type="pct"/>
            <w:vMerge/>
            <w:tcMar>
              <w:top w:w="12" w:type="dxa"/>
              <w:left w:w="12" w:type="dxa"/>
              <w:right w:w="12" w:type="dxa"/>
            </w:tcMar>
            <w:vAlign w:val="center"/>
          </w:tcPr>
          <w:p w:rsidR="00EE4502" w:rsidRDefault="00EE4502">
            <w:pPr>
              <w:widowControl/>
              <w:tabs>
                <w:tab w:val="left" w:pos="377"/>
              </w:tabs>
              <w:jc w:val="center"/>
              <w:rPr>
                <w:szCs w:val="21"/>
              </w:rPr>
            </w:pPr>
          </w:p>
        </w:tc>
        <w:tc>
          <w:tcPr>
            <w:tcW w:w="1000" w:type="pct"/>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排</w:t>
            </w:r>
            <w:r>
              <w:rPr>
                <w:rFonts w:hint="eastAsia"/>
                <w:szCs w:val="21"/>
              </w:rPr>
              <w:t>61-</w:t>
            </w:r>
            <w:r>
              <w:rPr>
                <w:rFonts w:hint="eastAsia"/>
                <w:szCs w:val="21"/>
              </w:rPr>
              <w:t>平</w:t>
            </w:r>
            <w:r>
              <w:rPr>
                <w:rFonts w:hint="eastAsia"/>
                <w:szCs w:val="21"/>
              </w:rPr>
              <w:t>14</w:t>
            </w:r>
          </w:p>
        </w:tc>
        <w:tc>
          <w:tcPr>
            <w:tcW w:w="1000" w:type="pct"/>
            <w:vMerge w:val="restart"/>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3#</w:t>
            </w:r>
          </w:p>
        </w:tc>
        <w:tc>
          <w:tcPr>
            <w:tcW w:w="1000" w:type="pct"/>
            <w:vMerge/>
            <w:tcMar>
              <w:top w:w="12" w:type="dxa"/>
              <w:left w:w="12" w:type="dxa"/>
              <w:right w:w="12" w:type="dxa"/>
            </w:tcMar>
            <w:vAlign w:val="center"/>
          </w:tcPr>
          <w:p w:rsidR="00EE4502" w:rsidRDefault="00EE4502">
            <w:pPr>
              <w:widowControl/>
              <w:jc w:val="center"/>
              <w:rPr>
                <w:rFonts w:ascii="宋体" w:hAnsi="宋体" w:cs="宋体"/>
                <w:szCs w:val="21"/>
              </w:rPr>
            </w:pPr>
          </w:p>
        </w:tc>
      </w:tr>
      <w:tr w:rsidR="00EE4502">
        <w:trPr>
          <w:trHeight w:val="397"/>
        </w:trPr>
        <w:tc>
          <w:tcPr>
            <w:tcW w:w="882" w:type="pct"/>
            <w:shd w:val="clear" w:color="auto" w:fill="auto"/>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10</w:t>
            </w:r>
          </w:p>
        </w:tc>
        <w:tc>
          <w:tcPr>
            <w:tcW w:w="1116" w:type="pct"/>
            <w:vMerge/>
            <w:tcMar>
              <w:top w:w="12" w:type="dxa"/>
              <w:left w:w="12" w:type="dxa"/>
              <w:right w:w="12" w:type="dxa"/>
            </w:tcMar>
            <w:vAlign w:val="center"/>
          </w:tcPr>
          <w:p w:rsidR="00EE4502" w:rsidRDefault="00EE4502">
            <w:pPr>
              <w:widowControl/>
              <w:tabs>
                <w:tab w:val="left" w:pos="377"/>
              </w:tabs>
              <w:jc w:val="center"/>
              <w:rPr>
                <w:szCs w:val="21"/>
              </w:rPr>
            </w:pPr>
          </w:p>
        </w:tc>
        <w:tc>
          <w:tcPr>
            <w:tcW w:w="1000" w:type="pct"/>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排</w:t>
            </w:r>
            <w:r>
              <w:rPr>
                <w:rFonts w:hint="eastAsia"/>
                <w:szCs w:val="21"/>
              </w:rPr>
              <w:t>61-</w:t>
            </w:r>
            <w:r>
              <w:rPr>
                <w:rFonts w:hint="eastAsia"/>
                <w:szCs w:val="21"/>
              </w:rPr>
              <w:t>平</w:t>
            </w:r>
            <w:r>
              <w:rPr>
                <w:rFonts w:hint="eastAsia"/>
                <w:szCs w:val="21"/>
              </w:rPr>
              <w:t>15</w:t>
            </w:r>
          </w:p>
        </w:tc>
        <w:tc>
          <w:tcPr>
            <w:tcW w:w="1000" w:type="pct"/>
            <w:vMerge/>
            <w:tcMar>
              <w:top w:w="12" w:type="dxa"/>
              <w:left w:w="12" w:type="dxa"/>
              <w:right w:w="12" w:type="dxa"/>
            </w:tcMar>
            <w:vAlign w:val="center"/>
          </w:tcPr>
          <w:p w:rsidR="00EE4502" w:rsidRDefault="00EE4502">
            <w:pPr>
              <w:widowControl/>
              <w:tabs>
                <w:tab w:val="left" w:pos="377"/>
              </w:tabs>
              <w:jc w:val="center"/>
              <w:rPr>
                <w:szCs w:val="21"/>
              </w:rPr>
            </w:pPr>
          </w:p>
        </w:tc>
        <w:tc>
          <w:tcPr>
            <w:tcW w:w="1000" w:type="pct"/>
            <w:vMerge/>
            <w:tcMar>
              <w:top w:w="12" w:type="dxa"/>
              <w:left w:w="12" w:type="dxa"/>
              <w:right w:w="12" w:type="dxa"/>
            </w:tcMar>
            <w:vAlign w:val="center"/>
          </w:tcPr>
          <w:p w:rsidR="00EE4502" w:rsidRDefault="00EE4502">
            <w:pPr>
              <w:widowControl/>
              <w:jc w:val="center"/>
              <w:rPr>
                <w:rFonts w:ascii="宋体" w:hAnsi="宋体" w:cs="宋体"/>
                <w:szCs w:val="21"/>
              </w:rPr>
            </w:pPr>
          </w:p>
        </w:tc>
      </w:tr>
      <w:tr w:rsidR="00EE4502">
        <w:trPr>
          <w:trHeight w:val="397"/>
        </w:trPr>
        <w:tc>
          <w:tcPr>
            <w:tcW w:w="882" w:type="pct"/>
            <w:shd w:val="clear" w:color="auto" w:fill="auto"/>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11</w:t>
            </w:r>
          </w:p>
        </w:tc>
        <w:tc>
          <w:tcPr>
            <w:tcW w:w="1116" w:type="pct"/>
            <w:vMerge/>
            <w:tcMar>
              <w:top w:w="12" w:type="dxa"/>
              <w:left w:w="12" w:type="dxa"/>
              <w:right w:w="12" w:type="dxa"/>
            </w:tcMar>
            <w:vAlign w:val="center"/>
          </w:tcPr>
          <w:p w:rsidR="00EE4502" w:rsidRDefault="00EE4502">
            <w:pPr>
              <w:widowControl/>
              <w:tabs>
                <w:tab w:val="left" w:pos="377"/>
              </w:tabs>
              <w:jc w:val="center"/>
              <w:rPr>
                <w:szCs w:val="21"/>
              </w:rPr>
            </w:pPr>
          </w:p>
        </w:tc>
        <w:tc>
          <w:tcPr>
            <w:tcW w:w="1000" w:type="pct"/>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排</w:t>
            </w:r>
            <w:r>
              <w:rPr>
                <w:rFonts w:hint="eastAsia"/>
                <w:szCs w:val="21"/>
              </w:rPr>
              <w:t>61-</w:t>
            </w:r>
            <w:r>
              <w:rPr>
                <w:rFonts w:hint="eastAsia"/>
                <w:szCs w:val="21"/>
              </w:rPr>
              <w:t>平</w:t>
            </w:r>
            <w:r>
              <w:rPr>
                <w:rFonts w:hint="eastAsia"/>
                <w:szCs w:val="21"/>
              </w:rPr>
              <w:t>16</w:t>
            </w:r>
          </w:p>
        </w:tc>
        <w:tc>
          <w:tcPr>
            <w:tcW w:w="1000" w:type="pct"/>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4#</w:t>
            </w:r>
          </w:p>
        </w:tc>
        <w:tc>
          <w:tcPr>
            <w:tcW w:w="1000" w:type="pct"/>
            <w:vMerge/>
            <w:tcMar>
              <w:top w:w="12" w:type="dxa"/>
              <w:left w:w="12" w:type="dxa"/>
              <w:right w:w="12" w:type="dxa"/>
            </w:tcMar>
            <w:vAlign w:val="center"/>
          </w:tcPr>
          <w:p w:rsidR="00EE4502" w:rsidRDefault="00EE4502">
            <w:pPr>
              <w:widowControl/>
              <w:jc w:val="center"/>
              <w:rPr>
                <w:rFonts w:ascii="宋体" w:hAnsi="宋体" w:cs="宋体"/>
                <w:szCs w:val="21"/>
              </w:rPr>
            </w:pPr>
          </w:p>
        </w:tc>
      </w:tr>
      <w:tr w:rsidR="00EE4502">
        <w:trPr>
          <w:trHeight w:val="397"/>
        </w:trPr>
        <w:tc>
          <w:tcPr>
            <w:tcW w:w="882" w:type="pct"/>
            <w:shd w:val="clear" w:color="auto" w:fill="auto"/>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12</w:t>
            </w:r>
          </w:p>
        </w:tc>
        <w:tc>
          <w:tcPr>
            <w:tcW w:w="1116" w:type="pct"/>
            <w:vMerge/>
            <w:tcMar>
              <w:top w:w="12" w:type="dxa"/>
              <w:left w:w="12" w:type="dxa"/>
              <w:right w:w="12" w:type="dxa"/>
            </w:tcMar>
            <w:vAlign w:val="center"/>
          </w:tcPr>
          <w:p w:rsidR="00EE4502" w:rsidRDefault="00EE4502">
            <w:pPr>
              <w:widowControl/>
              <w:tabs>
                <w:tab w:val="left" w:pos="377"/>
              </w:tabs>
              <w:jc w:val="center"/>
              <w:rPr>
                <w:szCs w:val="21"/>
              </w:rPr>
            </w:pPr>
          </w:p>
        </w:tc>
        <w:tc>
          <w:tcPr>
            <w:tcW w:w="1000" w:type="pct"/>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排</w:t>
            </w:r>
            <w:r>
              <w:rPr>
                <w:rFonts w:hint="eastAsia"/>
                <w:szCs w:val="21"/>
              </w:rPr>
              <w:t>61-</w:t>
            </w:r>
            <w:r>
              <w:rPr>
                <w:rFonts w:hint="eastAsia"/>
                <w:szCs w:val="21"/>
              </w:rPr>
              <w:t>平</w:t>
            </w:r>
            <w:r>
              <w:rPr>
                <w:rFonts w:hint="eastAsia"/>
                <w:szCs w:val="21"/>
              </w:rPr>
              <w:t>17</w:t>
            </w:r>
          </w:p>
        </w:tc>
        <w:tc>
          <w:tcPr>
            <w:tcW w:w="1000" w:type="pct"/>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5#</w:t>
            </w:r>
            <w:r>
              <w:rPr>
                <w:rFonts w:hint="eastAsia"/>
                <w:szCs w:val="21"/>
              </w:rPr>
              <w:t>（排</w:t>
            </w:r>
            <w:r>
              <w:rPr>
                <w:rFonts w:hint="eastAsia"/>
                <w:szCs w:val="21"/>
              </w:rPr>
              <w:t>61-</w:t>
            </w:r>
            <w:r>
              <w:rPr>
                <w:rFonts w:hint="eastAsia"/>
                <w:szCs w:val="21"/>
              </w:rPr>
              <w:t>支平</w:t>
            </w:r>
            <w:r>
              <w:rPr>
                <w:rFonts w:hint="eastAsia"/>
                <w:szCs w:val="21"/>
              </w:rPr>
              <w:t>2</w:t>
            </w:r>
            <w:r>
              <w:rPr>
                <w:rFonts w:hint="eastAsia"/>
                <w:szCs w:val="21"/>
              </w:rPr>
              <w:t>旁）</w:t>
            </w:r>
          </w:p>
        </w:tc>
        <w:tc>
          <w:tcPr>
            <w:tcW w:w="1000" w:type="pct"/>
            <w:vMerge/>
            <w:tcMar>
              <w:top w:w="12" w:type="dxa"/>
              <w:left w:w="12" w:type="dxa"/>
              <w:right w:w="12" w:type="dxa"/>
            </w:tcMar>
            <w:vAlign w:val="center"/>
          </w:tcPr>
          <w:p w:rsidR="00EE4502" w:rsidRDefault="00EE4502">
            <w:pPr>
              <w:widowControl/>
              <w:jc w:val="center"/>
              <w:rPr>
                <w:rFonts w:ascii="宋体" w:hAnsi="宋体" w:cs="宋体"/>
                <w:szCs w:val="21"/>
              </w:rPr>
            </w:pPr>
          </w:p>
        </w:tc>
      </w:tr>
      <w:tr w:rsidR="00EE4502">
        <w:trPr>
          <w:trHeight w:val="397"/>
        </w:trPr>
        <w:tc>
          <w:tcPr>
            <w:tcW w:w="882" w:type="pct"/>
            <w:shd w:val="clear" w:color="auto" w:fill="auto"/>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13</w:t>
            </w:r>
          </w:p>
        </w:tc>
        <w:tc>
          <w:tcPr>
            <w:tcW w:w="1116" w:type="pct"/>
            <w:vMerge/>
            <w:tcMar>
              <w:top w:w="12" w:type="dxa"/>
              <w:left w:w="12" w:type="dxa"/>
              <w:right w:w="12" w:type="dxa"/>
            </w:tcMar>
            <w:vAlign w:val="center"/>
          </w:tcPr>
          <w:p w:rsidR="00EE4502" w:rsidRDefault="00EE4502">
            <w:pPr>
              <w:widowControl/>
              <w:tabs>
                <w:tab w:val="left" w:pos="377"/>
              </w:tabs>
              <w:jc w:val="center"/>
              <w:rPr>
                <w:szCs w:val="21"/>
              </w:rPr>
            </w:pPr>
          </w:p>
        </w:tc>
        <w:tc>
          <w:tcPr>
            <w:tcW w:w="1000" w:type="pct"/>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排</w:t>
            </w:r>
            <w:r>
              <w:rPr>
                <w:rFonts w:hint="eastAsia"/>
                <w:szCs w:val="21"/>
              </w:rPr>
              <w:t>61-</w:t>
            </w:r>
            <w:r>
              <w:rPr>
                <w:rFonts w:hint="eastAsia"/>
                <w:szCs w:val="21"/>
              </w:rPr>
              <w:t>平</w:t>
            </w:r>
            <w:r>
              <w:rPr>
                <w:rFonts w:hint="eastAsia"/>
                <w:szCs w:val="21"/>
              </w:rPr>
              <w:t>18</w:t>
            </w:r>
          </w:p>
        </w:tc>
        <w:tc>
          <w:tcPr>
            <w:tcW w:w="1000" w:type="pct"/>
            <w:vMerge w:val="restart"/>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6</w:t>
            </w:r>
            <w:r>
              <w:rPr>
                <w:rFonts w:hint="eastAsia"/>
                <w:szCs w:val="21"/>
              </w:rPr>
              <w:t>#</w:t>
            </w:r>
          </w:p>
        </w:tc>
        <w:tc>
          <w:tcPr>
            <w:tcW w:w="1000" w:type="pct"/>
            <w:vMerge/>
            <w:tcMar>
              <w:top w:w="12" w:type="dxa"/>
              <w:left w:w="12" w:type="dxa"/>
              <w:right w:w="12" w:type="dxa"/>
            </w:tcMar>
            <w:vAlign w:val="center"/>
          </w:tcPr>
          <w:p w:rsidR="00EE4502" w:rsidRDefault="00EE4502">
            <w:pPr>
              <w:widowControl/>
              <w:jc w:val="center"/>
              <w:rPr>
                <w:rFonts w:ascii="宋体" w:hAnsi="宋体" w:cs="宋体"/>
                <w:szCs w:val="21"/>
              </w:rPr>
            </w:pPr>
          </w:p>
        </w:tc>
      </w:tr>
      <w:tr w:rsidR="00EE4502">
        <w:trPr>
          <w:trHeight w:val="397"/>
        </w:trPr>
        <w:tc>
          <w:tcPr>
            <w:tcW w:w="882" w:type="pct"/>
            <w:shd w:val="clear" w:color="auto" w:fill="auto"/>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14</w:t>
            </w:r>
          </w:p>
        </w:tc>
        <w:tc>
          <w:tcPr>
            <w:tcW w:w="1116" w:type="pct"/>
            <w:vMerge/>
            <w:tcMar>
              <w:top w:w="12" w:type="dxa"/>
              <w:left w:w="12" w:type="dxa"/>
              <w:right w:w="12" w:type="dxa"/>
            </w:tcMar>
            <w:vAlign w:val="center"/>
          </w:tcPr>
          <w:p w:rsidR="00EE4502" w:rsidRDefault="00EE4502">
            <w:pPr>
              <w:widowControl/>
              <w:tabs>
                <w:tab w:val="left" w:pos="377"/>
              </w:tabs>
              <w:jc w:val="center"/>
              <w:rPr>
                <w:szCs w:val="21"/>
              </w:rPr>
            </w:pPr>
          </w:p>
        </w:tc>
        <w:tc>
          <w:tcPr>
            <w:tcW w:w="1000" w:type="pct"/>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排</w:t>
            </w:r>
            <w:r>
              <w:rPr>
                <w:rFonts w:hint="eastAsia"/>
                <w:szCs w:val="21"/>
              </w:rPr>
              <w:t>61-</w:t>
            </w:r>
            <w:r>
              <w:rPr>
                <w:rFonts w:hint="eastAsia"/>
                <w:szCs w:val="21"/>
              </w:rPr>
              <w:t>平</w:t>
            </w:r>
            <w:r>
              <w:rPr>
                <w:rFonts w:hint="eastAsia"/>
                <w:szCs w:val="21"/>
              </w:rPr>
              <w:t>19</w:t>
            </w:r>
          </w:p>
        </w:tc>
        <w:tc>
          <w:tcPr>
            <w:tcW w:w="1000" w:type="pct"/>
            <w:vMerge/>
            <w:tcMar>
              <w:top w:w="12" w:type="dxa"/>
              <w:left w:w="12" w:type="dxa"/>
              <w:right w:w="12" w:type="dxa"/>
            </w:tcMar>
            <w:vAlign w:val="center"/>
          </w:tcPr>
          <w:p w:rsidR="00EE4502" w:rsidRDefault="00EE4502">
            <w:pPr>
              <w:widowControl/>
              <w:tabs>
                <w:tab w:val="left" w:pos="377"/>
              </w:tabs>
              <w:jc w:val="center"/>
              <w:rPr>
                <w:szCs w:val="21"/>
              </w:rPr>
            </w:pPr>
          </w:p>
        </w:tc>
        <w:tc>
          <w:tcPr>
            <w:tcW w:w="1000" w:type="pct"/>
            <w:vMerge/>
            <w:tcMar>
              <w:top w:w="12" w:type="dxa"/>
              <w:left w:w="12" w:type="dxa"/>
              <w:right w:w="12" w:type="dxa"/>
            </w:tcMar>
            <w:vAlign w:val="center"/>
          </w:tcPr>
          <w:p w:rsidR="00EE4502" w:rsidRDefault="00EE4502">
            <w:pPr>
              <w:widowControl/>
              <w:jc w:val="center"/>
              <w:rPr>
                <w:rFonts w:ascii="宋体" w:hAnsi="宋体" w:cs="宋体"/>
                <w:szCs w:val="21"/>
              </w:rPr>
            </w:pPr>
          </w:p>
        </w:tc>
      </w:tr>
      <w:tr w:rsidR="00EE4502">
        <w:trPr>
          <w:trHeight w:val="397"/>
        </w:trPr>
        <w:tc>
          <w:tcPr>
            <w:tcW w:w="882" w:type="pct"/>
            <w:shd w:val="clear" w:color="auto" w:fill="auto"/>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15</w:t>
            </w:r>
          </w:p>
        </w:tc>
        <w:tc>
          <w:tcPr>
            <w:tcW w:w="1116" w:type="pct"/>
            <w:vMerge/>
            <w:tcMar>
              <w:top w:w="12" w:type="dxa"/>
              <w:left w:w="12" w:type="dxa"/>
              <w:right w:w="12" w:type="dxa"/>
            </w:tcMar>
            <w:vAlign w:val="center"/>
          </w:tcPr>
          <w:p w:rsidR="00EE4502" w:rsidRDefault="00EE4502">
            <w:pPr>
              <w:widowControl/>
              <w:tabs>
                <w:tab w:val="left" w:pos="377"/>
              </w:tabs>
              <w:jc w:val="center"/>
              <w:rPr>
                <w:szCs w:val="21"/>
              </w:rPr>
            </w:pPr>
          </w:p>
        </w:tc>
        <w:tc>
          <w:tcPr>
            <w:tcW w:w="1000" w:type="pct"/>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排</w:t>
            </w:r>
            <w:r>
              <w:rPr>
                <w:rFonts w:hint="eastAsia"/>
                <w:szCs w:val="21"/>
              </w:rPr>
              <w:t>61-</w:t>
            </w:r>
            <w:r>
              <w:rPr>
                <w:rFonts w:hint="eastAsia"/>
                <w:szCs w:val="21"/>
              </w:rPr>
              <w:t>平</w:t>
            </w:r>
            <w:r>
              <w:rPr>
                <w:rFonts w:hint="eastAsia"/>
                <w:szCs w:val="21"/>
              </w:rPr>
              <w:t>20</w:t>
            </w:r>
          </w:p>
        </w:tc>
        <w:tc>
          <w:tcPr>
            <w:tcW w:w="1000" w:type="pct"/>
            <w:vMerge w:val="restart"/>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7</w:t>
            </w:r>
            <w:r>
              <w:rPr>
                <w:rFonts w:hint="eastAsia"/>
                <w:szCs w:val="21"/>
              </w:rPr>
              <w:t>#</w:t>
            </w:r>
          </w:p>
        </w:tc>
        <w:tc>
          <w:tcPr>
            <w:tcW w:w="1000" w:type="pct"/>
            <w:vMerge/>
            <w:tcMar>
              <w:top w:w="12" w:type="dxa"/>
              <w:left w:w="12" w:type="dxa"/>
              <w:right w:w="12" w:type="dxa"/>
            </w:tcMar>
            <w:vAlign w:val="center"/>
          </w:tcPr>
          <w:p w:rsidR="00EE4502" w:rsidRDefault="00EE4502">
            <w:pPr>
              <w:widowControl/>
              <w:jc w:val="center"/>
              <w:rPr>
                <w:rFonts w:ascii="宋体" w:hAnsi="宋体" w:cs="宋体"/>
                <w:szCs w:val="21"/>
              </w:rPr>
            </w:pPr>
          </w:p>
        </w:tc>
      </w:tr>
      <w:tr w:rsidR="00EE4502">
        <w:trPr>
          <w:trHeight w:val="397"/>
        </w:trPr>
        <w:tc>
          <w:tcPr>
            <w:tcW w:w="882" w:type="pct"/>
            <w:shd w:val="clear" w:color="auto" w:fill="auto"/>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lastRenderedPageBreak/>
              <w:t>16</w:t>
            </w:r>
          </w:p>
        </w:tc>
        <w:tc>
          <w:tcPr>
            <w:tcW w:w="1116" w:type="pct"/>
            <w:vMerge/>
            <w:tcMar>
              <w:top w:w="12" w:type="dxa"/>
              <w:left w:w="12" w:type="dxa"/>
              <w:right w:w="12" w:type="dxa"/>
            </w:tcMar>
            <w:vAlign w:val="center"/>
          </w:tcPr>
          <w:p w:rsidR="00EE4502" w:rsidRDefault="00EE4502">
            <w:pPr>
              <w:widowControl/>
              <w:tabs>
                <w:tab w:val="left" w:pos="377"/>
              </w:tabs>
              <w:jc w:val="center"/>
              <w:rPr>
                <w:szCs w:val="21"/>
              </w:rPr>
            </w:pPr>
          </w:p>
        </w:tc>
        <w:tc>
          <w:tcPr>
            <w:tcW w:w="1000" w:type="pct"/>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排</w:t>
            </w:r>
            <w:r>
              <w:rPr>
                <w:rFonts w:hint="eastAsia"/>
                <w:szCs w:val="21"/>
              </w:rPr>
              <w:t>61-</w:t>
            </w:r>
            <w:r>
              <w:rPr>
                <w:rFonts w:hint="eastAsia"/>
                <w:szCs w:val="21"/>
              </w:rPr>
              <w:t>平</w:t>
            </w:r>
            <w:r>
              <w:rPr>
                <w:rFonts w:hint="eastAsia"/>
                <w:szCs w:val="21"/>
              </w:rPr>
              <w:t>21</w:t>
            </w:r>
          </w:p>
        </w:tc>
        <w:tc>
          <w:tcPr>
            <w:tcW w:w="1000" w:type="pct"/>
            <w:vMerge/>
            <w:tcMar>
              <w:top w:w="12" w:type="dxa"/>
              <w:left w:w="12" w:type="dxa"/>
              <w:right w:w="12" w:type="dxa"/>
            </w:tcMar>
            <w:vAlign w:val="center"/>
          </w:tcPr>
          <w:p w:rsidR="00EE4502" w:rsidRDefault="00EE4502">
            <w:pPr>
              <w:widowControl/>
              <w:tabs>
                <w:tab w:val="left" w:pos="377"/>
              </w:tabs>
              <w:jc w:val="center"/>
              <w:rPr>
                <w:szCs w:val="21"/>
              </w:rPr>
            </w:pPr>
          </w:p>
        </w:tc>
        <w:tc>
          <w:tcPr>
            <w:tcW w:w="1000" w:type="pct"/>
            <w:vMerge/>
            <w:tcMar>
              <w:top w:w="12" w:type="dxa"/>
              <w:left w:w="12" w:type="dxa"/>
              <w:right w:w="12" w:type="dxa"/>
            </w:tcMar>
            <w:vAlign w:val="center"/>
          </w:tcPr>
          <w:p w:rsidR="00EE4502" w:rsidRDefault="00EE4502">
            <w:pPr>
              <w:widowControl/>
              <w:jc w:val="center"/>
              <w:rPr>
                <w:rFonts w:ascii="宋体" w:hAnsi="宋体" w:cs="宋体"/>
                <w:szCs w:val="21"/>
              </w:rPr>
            </w:pPr>
          </w:p>
        </w:tc>
      </w:tr>
      <w:tr w:rsidR="00EE4502">
        <w:trPr>
          <w:trHeight w:val="397"/>
        </w:trPr>
        <w:tc>
          <w:tcPr>
            <w:tcW w:w="882" w:type="pct"/>
            <w:shd w:val="clear" w:color="auto" w:fill="auto"/>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17</w:t>
            </w:r>
          </w:p>
        </w:tc>
        <w:tc>
          <w:tcPr>
            <w:tcW w:w="1116" w:type="pct"/>
            <w:vMerge/>
            <w:tcMar>
              <w:top w:w="12" w:type="dxa"/>
              <w:left w:w="12" w:type="dxa"/>
              <w:right w:w="12" w:type="dxa"/>
            </w:tcMar>
            <w:vAlign w:val="center"/>
          </w:tcPr>
          <w:p w:rsidR="00EE4502" w:rsidRDefault="00EE4502">
            <w:pPr>
              <w:widowControl/>
              <w:tabs>
                <w:tab w:val="left" w:pos="377"/>
              </w:tabs>
              <w:jc w:val="center"/>
              <w:rPr>
                <w:szCs w:val="21"/>
              </w:rPr>
            </w:pPr>
          </w:p>
        </w:tc>
        <w:tc>
          <w:tcPr>
            <w:tcW w:w="1000" w:type="pct"/>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排</w:t>
            </w:r>
            <w:r>
              <w:rPr>
                <w:rFonts w:hint="eastAsia"/>
                <w:szCs w:val="21"/>
              </w:rPr>
              <w:t>61-</w:t>
            </w:r>
            <w:r>
              <w:rPr>
                <w:rFonts w:hint="eastAsia"/>
                <w:szCs w:val="21"/>
              </w:rPr>
              <w:t>平</w:t>
            </w:r>
            <w:r>
              <w:rPr>
                <w:rFonts w:hint="eastAsia"/>
                <w:szCs w:val="21"/>
              </w:rPr>
              <w:t>22</w:t>
            </w:r>
          </w:p>
        </w:tc>
        <w:tc>
          <w:tcPr>
            <w:tcW w:w="1000" w:type="pct"/>
            <w:vMerge w:val="restart"/>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8</w:t>
            </w:r>
            <w:r>
              <w:rPr>
                <w:rFonts w:hint="eastAsia"/>
                <w:szCs w:val="21"/>
              </w:rPr>
              <w:t>#</w:t>
            </w:r>
          </w:p>
        </w:tc>
        <w:tc>
          <w:tcPr>
            <w:tcW w:w="1000" w:type="pct"/>
            <w:vMerge/>
            <w:tcMar>
              <w:top w:w="12" w:type="dxa"/>
              <w:left w:w="12" w:type="dxa"/>
              <w:right w:w="12" w:type="dxa"/>
            </w:tcMar>
            <w:vAlign w:val="center"/>
          </w:tcPr>
          <w:p w:rsidR="00EE4502" w:rsidRDefault="00EE4502">
            <w:pPr>
              <w:widowControl/>
              <w:jc w:val="center"/>
              <w:rPr>
                <w:rFonts w:ascii="宋体" w:hAnsi="宋体" w:cs="宋体"/>
                <w:szCs w:val="21"/>
              </w:rPr>
            </w:pPr>
          </w:p>
        </w:tc>
      </w:tr>
      <w:tr w:rsidR="00EE4502">
        <w:trPr>
          <w:trHeight w:val="397"/>
        </w:trPr>
        <w:tc>
          <w:tcPr>
            <w:tcW w:w="882" w:type="pct"/>
            <w:shd w:val="clear" w:color="auto" w:fill="auto"/>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18</w:t>
            </w:r>
          </w:p>
        </w:tc>
        <w:tc>
          <w:tcPr>
            <w:tcW w:w="1116" w:type="pct"/>
            <w:vMerge/>
            <w:tcMar>
              <w:top w:w="12" w:type="dxa"/>
              <w:left w:w="12" w:type="dxa"/>
              <w:right w:w="12" w:type="dxa"/>
            </w:tcMar>
            <w:vAlign w:val="center"/>
          </w:tcPr>
          <w:p w:rsidR="00EE4502" w:rsidRDefault="00EE4502">
            <w:pPr>
              <w:widowControl/>
              <w:tabs>
                <w:tab w:val="left" w:pos="377"/>
              </w:tabs>
              <w:jc w:val="center"/>
              <w:rPr>
                <w:szCs w:val="21"/>
              </w:rPr>
            </w:pPr>
          </w:p>
        </w:tc>
        <w:tc>
          <w:tcPr>
            <w:tcW w:w="1000" w:type="pct"/>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排</w:t>
            </w:r>
            <w:r>
              <w:rPr>
                <w:rFonts w:hint="eastAsia"/>
                <w:szCs w:val="21"/>
              </w:rPr>
              <w:t>61-</w:t>
            </w:r>
            <w:r>
              <w:rPr>
                <w:rFonts w:hint="eastAsia"/>
                <w:szCs w:val="21"/>
              </w:rPr>
              <w:t>平</w:t>
            </w:r>
            <w:r>
              <w:rPr>
                <w:rFonts w:hint="eastAsia"/>
                <w:szCs w:val="21"/>
              </w:rPr>
              <w:t>23</w:t>
            </w:r>
          </w:p>
        </w:tc>
        <w:tc>
          <w:tcPr>
            <w:tcW w:w="1000" w:type="pct"/>
            <w:vMerge/>
            <w:tcMar>
              <w:top w:w="12" w:type="dxa"/>
              <w:left w:w="12" w:type="dxa"/>
              <w:right w:w="12" w:type="dxa"/>
            </w:tcMar>
            <w:vAlign w:val="center"/>
          </w:tcPr>
          <w:p w:rsidR="00EE4502" w:rsidRDefault="00EE4502">
            <w:pPr>
              <w:widowControl/>
              <w:tabs>
                <w:tab w:val="left" w:pos="377"/>
              </w:tabs>
              <w:jc w:val="center"/>
              <w:rPr>
                <w:szCs w:val="21"/>
              </w:rPr>
            </w:pPr>
          </w:p>
        </w:tc>
        <w:tc>
          <w:tcPr>
            <w:tcW w:w="1000" w:type="pct"/>
            <w:vMerge/>
            <w:tcMar>
              <w:top w:w="12" w:type="dxa"/>
              <w:left w:w="12" w:type="dxa"/>
              <w:right w:w="12" w:type="dxa"/>
            </w:tcMar>
            <w:vAlign w:val="center"/>
          </w:tcPr>
          <w:p w:rsidR="00EE4502" w:rsidRDefault="00EE4502">
            <w:pPr>
              <w:widowControl/>
              <w:jc w:val="center"/>
              <w:rPr>
                <w:rFonts w:ascii="宋体" w:hAnsi="宋体" w:cs="宋体"/>
                <w:szCs w:val="21"/>
              </w:rPr>
            </w:pPr>
          </w:p>
        </w:tc>
      </w:tr>
      <w:tr w:rsidR="00EE4502">
        <w:trPr>
          <w:trHeight w:val="397"/>
        </w:trPr>
        <w:tc>
          <w:tcPr>
            <w:tcW w:w="882" w:type="pct"/>
            <w:shd w:val="clear" w:color="auto" w:fill="auto"/>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19</w:t>
            </w:r>
          </w:p>
        </w:tc>
        <w:tc>
          <w:tcPr>
            <w:tcW w:w="1116" w:type="pct"/>
            <w:vMerge/>
            <w:tcMar>
              <w:top w:w="12" w:type="dxa"/>
              <w:left w:w="12" w:type="dxa"/>
              <w:right w:w="12" w:type="dxa"/>
            </w:tcMar>
            <w:vAlign w:val="center"/>
          </w:tcPr>
          <w:p w:rsidR="00EE4502" w:rsidRDefault="00EE4502">
            <w:pPr>
              <w:widowControl/>
              <w:tabs>
                <w:tab w:val="left" w:pos="377"/>
              </w:tabs>
              <w:jc w:val="center"/>
              <w:rPr>
                <w:szCs w:val="21"/>
              </w:rPr>
            </w:pPr>
          </w:p>
        </w:tc>
        <w:tc>
          <w:tcPr>
            <w:tcW w:w="1000" w:type="pct"/>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排</w:t>
            </w:r>
            <w:r>
              <w:rPr>
                <w:rFonts w:hint="eastAsia"/>
                <w:szCs w:val="21"/>
              </w:rPr>
              <w:t>61-</w:t>
            </w:r>
            <w:r>
              <w:rPr>
                <w:rFonts w:hint="eastAsia"/>
                <w:szCs w:val="21"/>
              </w:rPr>
              <w:t>平</w:t>
            </w:r>
            <w:r>
              <w:rPr>
                <w:rFonts w:hint="eastAsia"/>
                <w:szCs w:val="21"/>
              </w:rPr>
              <w:t>24</w:t>
            </w:r>
          </w:p>
        </w:tc>
        <w:tc>
          <w:tcPr>
            <w:tcW w:w="1000" w:type="pct"/>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9</w:t>
            </w:r>
            <w:r>
              <w:rPr>
                <w:rFonts w:hint="eastAsia"/>
                <w:szCs w:val="21"/>
              </w:rPr>
              <w:t>#</w:t>
            </w:r>
            <w:r>
              <w:rPr>
                <w:rFonts w:hint="eastAsia"/>
                <w:szCs w:val="21"/>
              </w:rPr>
              <w:t>（排</w:t>
            </w:r>
            <w:r>
              <w:rPr>
                <w:rFonts w:hint="eastAsia"/>
                <w:szCs w:val="21"/>
              </w:rPr>
              <w:t>61-</w:t>
            </w:r>
            <w:r>
              <w:rPr>
                <w:rFonts w:hint="eastAsia"/>
                <w:szCs w:val="21"/>
              </w:rPr>
              <w:t>平</w:t>
            </w:r>
            <w:r>
              <w:rPr>
                <w:rFonts w:hint="eastAsia"/>
                <w:szCs w:val="21"/>
              </w:rPr>
              <w:t>1</w:t>
            </w:r>
            <w:r>
              <w:rPr>
                <w:rFonts w:hint="eastAsia"/>
                <w:szCs w:val="21"/>
              </w:rPr>
              <w:t>旁）</w:t>
            </w:r>
          </w:p>
        </w:tc>
        <w:tc>
          <w:tcPr>
            <w:tcW w:w="1000" w:type="pct"/>
            <w:vMerge/>
            <w:tcMar>
              <w:top w:w="12" w:type="dxa"/>
              <w:left w:w="12" w:type="dxa"/>
              <w:right w:w="12" w:type="dxa"/>
            </w:tcMar>
            <w:vAlign w:val="center"/>
          </w:tcPr>
          <w:p w:rsidR="00EE4502" w:rsidRDefault="00EE4502">
            <w:pPr>
              <w:widowControl/>
              <w:jc w:val="center"/>
              <w:rPr>
                <w:rFonts w:ascii="宋体" w:hAnsi="宋体" w:cs="宋体"/>
                <w:szCs w:val="21"/>
              </w:rPr>
            </w:pPr>
          </w:p>
        </w:tc>
      </w:tr>
      <w:tr w:rsidR="00EE4502">
        <w:trPr>
          <w:trHeight w:val="397"/>
        </w:trPr>
        <w:tc>
          <w:tcPr>
            <w:tcW w:w="882" w:type="pct"/>
            <w:shd w:val="clear" w:color="auto" w:fill="auto"/>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20</w:t>
            </w:r>
          </w:p>
        </w:tc>
        <w:tc>
          <w:tcPr>
            <w:tcW w:w="1116" w:type="pct"/>
            <w:vMerge w:val="restart"/>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新钻注水井</w:t>
            </w:r>
          </w:p>
        </w:tc>
        <w:tc>
          <w:tcPr>
            <w:tcW w:w="1000" w:type="pct"/>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排</w:t>
            </w:r>
            <w:r>
              <w:rPr>
                <w:rFonts w:hint="eastAsia"/>
                <w:szCs w:val="21"/>
              </w:rPr>
              <w:t>7-15</w:t>
            </w:r>
          </w:p>
        </w:tc>
        <w:tc>
          <w:tcPr>
            <w:tcW w:w="1000" w:type="pct"/>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10#</w:t>
            </w:r>
          </w:p>
        </w:tc>
        <w:tc>
          <w:tcPr>
            <w:tcW w:w="1000" w:type="pct"/>
            <w:vMerge w:val="restart"/>
            <w:tcMar>
              <w:top w:w="12" w:type="dxa"/>
              <w:left w:w="12" w:type="dxa"/>
              <w:right w:w="12" w:type="dxa"/>
            </w:tcMar>
            <w:vAlign w:val="center"/>
          </w:tcPr>
          <w:p w:rsidR="00EE4502" w:rsidRDefault="00FD45A3">
            <w:pPr>
              <w:widowControl/>
              <w:jc w:val="center"/>
              <w:rPr>
                <w:rFonts w:ascii="宋体" w:hAnsi="宋体" w:cs="宋体"/>
                <w:szCs w:val="21"/>
              </w:rPr>
            </w:pPr>
            <w:r>
              <w:rPr>
                <w:rFonts w:ascii="宋体" w:hAnsi="宋体" w:cs="宋体" w:hint="eastAsia"/>
                <w:szCs w:val="21"/>
              </w:rPr>
              <w:t>新建回注井</w:t>
            </w:r>
          </w:p>
        </w:tc>
      </w:tr>
      <w:tr w:rsidR="00EE4502">
        <w:trPr>
          <w:trHeight w:val="397"/>
        </w:trPr>
        <w:tc>
          <w:tcPr>
            <w:tcW w:w="882" w:type="pct"/>
            <w:shd w:val="clear" w:color="auto" w:fill="auto"/>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21</w:t>
            </w:r>
          </w:p>
        </w:tc>
        <w:tc>
          <w:tcPr>
            <w:tcW w:w="1116" w:type="pct"/>
            <w:vMerge/>
            <w:tcMar>
              <w:top w:w="12" w:type="dxa"/>
              <w:left w:w="12" w:type="dxa"/>
              <w:right w:w="12" w:type="dxa"/>
            </w:tcMar>
            <w:vAlign w:val="center"/>
          </w:tcPr>
          <w:p w:rsidR="00EE4502" w:rsidRDefault="00EE4502">
            <w:pPr>
              <w:widowControl/>
              <w:tabs>
                <w:tab w:val="left" w:pos="377"/>
              </w:tabs>
              <w:jc w:val="center"/>
              <w:rPr>
                <w:szCs w:val="21"/>
              </w:rPr>
            </w:pPr>
          </w:p>
        </w:tc>
        <w:tc>
          <w:tcPr>
            <w:tcW w:w="1000" w:type="pct"/>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排</w:t>
            </w:r>
            <w:r>
              <w:rPr>
                <w:rFonts w:hint="eastAsia"/>
                <w:szCs w:val="21"/>
              </w:rPr>
              <w:t>7</w:t>
            </w:r>
            <w:r>
              <w:rPr>
                <w:rFonts w:hint="eastAsia"/>
                <w:szCs w:val="21"/>
              </w:rPr>
              <w:t>-</w:t>
            </w:r>
            <w:r>
              <w:rPr>
                <w:rFonts w:hint="eastAsia"/>
                <w:szCs w:val="21"/>
              </w:rPr>
              <w:t>16</w:t>
            </w:r>
          </w:p>
        </w:tc>
        <w:tc>
          <w:tcPr>
            <w:tcW w:w="1000" w:type="pct"/>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11#</w:t>
            </w:r>
          </w:p>
        </w:tc>
        <w:tc>
          <w:tcPr>
            <w:tcW w:w="1000" w:type="pct"/>
            <w:vMerge/>
            <w:tcMar>
              <w:top w:w="12" w:type="dxa"/>
              <w:left w:w="12" w:type="dxa"/>
              <w:right w:w="12" w:type="dxa"/>
            </w:tcMar>
            <w:vAlign w:val="center"/>
          </w:tcPr>
          <w:p w:rsidR="00EE4502" w:rsidRDefault="00EE4502">
            <w:pPr>
              <w:widowControl/>
              <w:jc w:val="center"/>
              <w:rPr>
                <w:rFonts w:ascii="宋体" w:hAnsi="宋体" w:cs="宋体"/>
                <w:szCs w:val="21"/>
              </w:rPr>
            </w:pPr>
          </w:p>
        </w:tc>
      </w:tr>
      <w:tr w:rsidR="00EE4502">
        <w:trPr>
          <w:trHeight w:val="397"/>
        </w:trPr>
        <w:tc>
          <w:tcPr>
            <w:tcW w:w="882" w:type="pct"/>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22</w:t>
            </w:r>
          </w:p>
        </w:tc>
        <w:tc>
          <w:tcPr>
            <w:tcW w:w="1116" w:type="pct"/>
            <w:vMerge/>
            <w:tcMar>
              <w:top w:w="12" w:type="dxa"/>
              <w:left w:w="12" w:type="dxa"/>
              <w:right w:w="12" w:type="dxa"/>
            </w:tcMar>
            <w:vAlign w:val="center"/>
          </w:tcPr>
          <w:p w:rsidR="00EE4502" w:rsidRDefault="00EE4502">
            <w:pPr>
              <w:widowControl/>
              <w:tabs>
                <w:tab w:val="left" w:pos="377"/>
              </w:tabs>
              <w:jc w:val="center"/>
              <w:rPr>
                <w:szCs w:val="21"/>
              </w:rPr>
            </w:pPr>
          </w:p>
        </w:tc>
        <w:tc>
          <w:tcPr>
            <w:tcW w:w="1000" w:type="pct"/>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排</w:t>
            </w:r>
            <w:r>
              <w:rPr>
                <w:rFonts w:hint="eastAsia"/>
                <w:szCs w:val="21"/>
              </w:rPr>
              <w:t>7-</w:t>
            </w:r>
            <w:r>
              <w:rPr>
                <w:rFonts w:hint="eastAsia"/>
                <w:szCs w:val="21"/>
              </w:rPr>
              <w:t>斜</w:t>
            </w:r>
            <w:r>
              <w:rPr>
                <w:rFonts w:hint="eastAsia"/>
                <w:szCs w:val="21"/>
              </w:rPr>
              <w:t>17</w:t>
            </w:r>
          </w:p>
        </w:tc>
        <w:tc>
          <w:tcPr>
            <w:tcW w:w="1000" w:type="pct"/>
            <w:tcMar>
              <w:top w:w="12" w:type="dxa"/>
              <w:left w:w="12" w:type="dxa"/>
              <w:right w:w="12" w:type="dxa"/>
            </w:tcMar>
            <w:vAlign w:val="center"/>
          </w:tcPr>
          <w:p w:rsidR="00EE4502" w:rsidRDefault="00FD45A3">
            <w:pPr>
              <w:widowControl/>
              <w:tabs>
                <w:tab w:val="left" w:pos="377"/>
              </w:tabs>
              <w:jc w:val="center"/>
              <w:rPr>
                <w:szCs w:val="21"/>
              </w:rPr>
            </w:pPr>
            <w:r>
              <w:rPr>
                <w:szCs w:val="21"/>
              </w:rPr>
              <w:t>1</w:t>
            </w:r>
            <w:r>
              <w:rPr>
                <w:rFonts w:hint="eastAsia"/>
                <w:szCs w:val="21"/>
              </w:rPr>
              <w:t>2</w:t>
            </w:r>
            <w:r>
              <w:rPr>
                <w:szCs w:val="21"/>
              </w:rPr>
              <w:t>#</w:t>
            </w:r>
          </w:p>
        </w:tc>
        <w:tc>
          <w:tcPr>
            <w:tcW w:w="1000" w:type="pct"/>
            <w:vMerge/>
            <w:tcMar>
              <w:top w:w="12" w:type="dxa"/>
              <w:left w:w="12" w:type="dxa"/>
              <w:right w:w="12" w:type="dxa"/>
            </w:tcMar>
            <w:vAlign w:val="center"/>
          </w:tcPr>
          <w:p w:rsidR="00EE4502" w:rsidRDefault="00EE4502">
            <w:pPr>
              <w:widowControl/>
              <w:jc w:val="center"/>
              <w:rPr>
                <w:rFonts w:ascii="宋体" w:hAnsi="宋体" w:cs="宋体"/>
                <w:szCs w:val="21"/>
              </w:rPr>
            </w:pPr>
          </w:p>
        </w:tc>
      </w:tr>
    </w:tbl>
    <w:p w:rsidR="00EE4502" w:rsidRDefault="00EE4502">
      <w:pPr>
        <w:spacing w:line="360" w:lineRule="auto"/>
        <w:jc w:val="center"/>
        <w:rPr>
          <w:rFonts w:eastAsia="黑体" w:hAnsi="黑体"/>
          <w:bCs/>
          <w:sz w:val="24"/>
        </w:rPr>
      </w:pPr>
    </w:p>
    <w:p w:rsidR="00EE4502" w:rsidRDefault="00FD45A3">
      <w:pPr>
        <w:spacing w:line="360" w:lineRule="auto"/>
        <w:ind w:firstLineChars="200" w:firstLine="480"/>
        <w:rPr>
          <w:sz w:val="24"/>
        </w:rPr>
      </w:pPr>
      <w:r>
        <w:rPr>
          <w:sz w:val="24"/>
        </w:rPr>
        <w:t>（</w:t>
      </w:r>
      <w:r>
        <w:rPr>
          <w:sz w:val="24"/>
        </w:rPr>
        <w:t>3</w:t>
      </w:r>
      <w:r>
        <w:rPr>
          <w:sz w:val="24"/>
        </w:rPr>
        <w:t>）指标预测</w:t>
      </w:r>
    </w:p>
    <w:p w:rsidR="00EE4502" w:rsidRDefault="00FD45A3">
      <w:pPr>
        <w:spacing w:line="360" w:lineRule="auto"/>
        <w:ind w:firstLineChars="200" w:firstLine="480"/>
        <w:rPr>
          <w:sz w:val="24"/>
        </w:rPr>
      </w:pPr>
      <w:r>
        <w:rPr>
          <w:rFonts w:hint="eastAsia"/>
          <w:sz w:val="24"/>
        </w:rPr>
        <w:t>根据方案部署原则，对排</w:t>
      </w:r>
      <w:r>
        <w:rPr>
          <w:rFonts w:hint="eastAsia"/>
          <w:sz w:val="24"/>
        </w:rPr>
        <w:t>61</w:t>
      </w:r>
      <w:r>
        <w:rPr>
          <w:rFonts w:hint="eastAsia"/>
          <w:sz w:val="24"/>
        </w:rPr>
        <w:t>块</w:t>
      </w:r>
      <w:r>
        <w:rPr>
          <w:rFonts w:hint="eastAsia"/>
          <w:sz w:val="24"/>
        </w:rPr>
        <w:t>18</w:t>
      </w:r>
      <w:r>
        <w:rPr>
          <w:rFonts w:hint="eastAsia"/>
          <w:sz w:val="24"/>
        </w:rPr>
        <w:t>口井进行了十五年指标预测，其中开井天数为</w:t>
      </w:r>
      <w:r>
        <w:rPr>
          <w:rFonts w:hint="eastAsia"/>
          <w:sz w:val="24"/>
        </w:rPr>
        <w:t>300</w:t>
      </w:r>
      <w:r>
        <w:rPr>
          <w:rFonts w:hint="eastAsia"/>
          <w:sz w:val="24"/>
        </w:rPr>
        <w:t>天，开井时率</w:t>
      </w:r>
      <w:r>
        <w:rPr>
          <w:rFonts w:hint="eastAsia"/>
          <w:sz w:val="24"/>
        </w:rPr>
        <w:t>0.82</w:t>
      </w:r>
      <w:r>
        <w:rPr>
          <w:rFonts w:hint="eastAsia"/>
          <w:sz w:val="24"/>
        </w:rPr>
        <w:t>。方案动用地质储量</w:t>
      </w:r>
      <w:r>
        <w:rPr>
          <w:rFonts w:hint="eastAsia"/>
          <w:sz w:val="24"/>
        </w:rPr>
        <w:t>325.8</w:t>
      </w:r>
      <w:r>
        <w:rPr>
          <w:rFonts w:hint="eastAsia"/>
          <w:sz w:val="24"/>
        </w:rPr>
        <w:t>×</w:t>
      </w:r>
      <w:r>
        <w:rPr>
          <w:rFonts w:hint="eastAsia"/>
          <w:sz w:val="24"/>
        </w:rPr>
        <w:t>10</w:t>
      </w:r>
      <w:r>
        <w:rPr>
          <w:rFonts w:hint="eastAsia"/>
          <w:sz w:val="24"/>
          <w:vertAlign w:val="superscript"/>
        </w:rPr>
        <w:t>4</w:t>
      </w:r>
      <w:r>
        <w:rPr>
          <w:rFonts w:hint="eastAsia"/>
          <w:sz w:val="24"/>
        </w:rPr>
        <w:t>t</w:t>
      </w:r>
      <w:r>
        <w:rPr>
          <w:rFonts w:hint="eastAsia"/>
          <w:sz w:val="24"/>
        </w:rPr>
        <w:t>，动用面积</w:t>
      </w:r>
      <w:r>
        <w:rPr>
          <w:rFonts w:hint="eastAsia"/>
          <w:sz w:val="24"/>
        </w:rPr>
        <w:t>6.81km</w:t>
      </w:r>
      <w:r>
        <w:rPr>
          <w:rFonts w:hint="eastAsia"/>
          <w:sz w:val="24"/>
          <w:vertAlign w:val="superscript"/>
        </w:rPr>
        <w:t>2</w:t>
      </w:r>
      <w:r>
        <w:rPr>
          <w:rFonts w:hint="eastAsia"/>
          <w:sz w:val="24"/>
        </w:rPr>
        <w:t>。第一年平均单井日产油</w:t>
      </w:r>
      <w:r>
        <w:rPr>
          <w:rFonts w:hint="eastAsia"/>
          <w:sz w:val="24"/>
        </w:rPr>
        <w:t>5.6t/d</w:t>
      </w:r>
      <w:r>
        <w:rPr>
          <w:rFonts w:hint="eastAsia"/>
          <w:sz w:val="24"/>
        </w:rPr>
        <w:t>，第一年新建产能</w:t>
      </w:r>
      <w:r>
        <w:rPr>
          <w:rFonts w:hint="eastAsia"/>
          <w:sz w:val="24"/>
        </w:rPr>
        <w:t>3.0</w:t>
      </w:r>
      <w:r>
        <w:rPr>
          <w:rFonts w:hint="eastAsia"/>
          <w:sz w:val="24"/>
        </w:rPr>
        <w:t>×</w:t>
      </w:r>
      <w:r>
        <w:rPr>
          <w:rFonts w:hint="eastAsia"/>
          <w:sz w:val="24"/>
        </w:rPr>
        <w:t>10</w:t>
      </w:r>
      <w:r>
        <w:rPr>
          <w:rFonts w:hint="eastAsia"/>
          <w:sz w:val="24"/>
          <w:vertAlign w:val="superscript"/>
        </w:rPr>
        <w:t>4</w:t>
      </w:r>
      <w:r>
        <w:rPr>
          <w:rFonts w:hint="eastAsia"/>
          <w:sz w:val="24"/>
        </w:rPr>
        <w:t>t</w:t>
      </w:r>
      <w:r>
        <w:rPr>
          <w:rFonts w:hint="eastAsia"/>
          <w:sz w:val="24"/>
        </w:rPr>
        <w:t>，</w:t>
      </w:r>
      <w:r>
        <w:rPr>
          <w:rFonts w:hint="eastAsia"/>
          <w:sz w:val="24"/>
        </w:rPr>
        <w:t>15</w:t>
      </w:r>
      <w:r>
        <w:rPr>
          <w:rFonts w:hint="eastAsia"/>
          <w:sz w:val="24"/>
        </w:rPr>
        <w:t>年累积产油</w:t>
      </w:r>
      <w:r>
        <w:rPr>
          <w:rFonts w:hint="eastAsia"/>
          <w:sz w:val="24"/>
        </w:rPr>
        <w:t>21.66</w:t>
      </w:r>
      <w:r>
        <w:rPr>
          <w:rFonts w:hint="eastAsia"/>
          <w:sz w:val="24"/>
        </w:rPr>
        <w:t>×</w:t>
      </w:r>
      <w:r>
        <w:rPr>
          <w:rFonts w:hint="eastAsia"/>
          <w:sz w:val="24"/>
        </w:rPr>
        <w:t>10</w:t>
      </w:r>
      <w:r>
        <w:rPr>
          <w:rFonts w:hint="eastAsia"/>
          <w:sz w:val="24"/>
          <w:vertAlign w:val="superscript"/>
        </w:rPr>
        <w:t>4</w:t>
      </w:r>
      <w:r>
        <w:rPr>
          <w:rFonts w:hint="eastAsia"/>
          <w:sz w:val="24"/>
        </w:rPr>
        <w:t>t</w:t>
      </w:r>
      <w:r>
        <w:rPr>
          <w:rFonts w:hint="eastAsia"/>
          <w:sz w:val="24"/>
        </w:rPr>
        <w:t>，采出程度</w:t>
      </w:r>
      <w:r>
        <w:rPr>
          <w:rFonts w:hint="eastAsia"/>
          <w:sz w:val="24"/>
        </w:rPr>
        <w:t>6.6%</w:t>
      </w:r>
      <w:r>
        <w:rPr>
          <w:sz w:val="24"/>
        </w:rPr>
        <w:t>。</w:t>
      </w:r>
      <w:r>
        <w:rPr>
          <w:rFonts w:hint="eastAsia"/>
          <w:sz w:val="24"/>
        </w:rPr>
        <w:t>排</w:t>
      </w:r>
      <w:r>
        <w:rPr>
          <w:rFonts w:hint="eastAsia"/>
          <w:sz w:val="24"/>
        </w:rPr>
        <w:t>61</w:t>
      </w:r>
      <w:r>
        <w:rPr>
          <w:rFonts w:hint="eastAsia"/>
          <w:sz w:val="24"/>
        </w:rPr>
        <w:t>块</w:t>
      </w:r>
      <w:r>
        <w:rPr>
          <w:rFonts w:hint="eastAsia"/>
          <w:sz w:val="24"/>
        </w:rPr>
        <w:t>18</w:t>
      </w:r>
      <w:r>
        <w:rPr>
          <w:rFonts w:hint="eastAsia"/>
          <w:sz w:val="24"/>
        </w:rPr>
        <w:t>口油井指标预测见表</w:t>
      </w:r>
      <w:r>
        <w:rPr>
          <w:rFonts w:hint="eastAsia"/>
          <w:sz w:val="24"/>
        </w:rPr>
        <w:t>3-3</w:t>
      </w:r>
      <w:r>
        <w:rPr>
          <w:sz w:val="24"/>
        </w:rPr>
        <w:t>-</w:t>
      </w:r>
      <w:r>
        <w:rPr>
          <w:rFonts w:hint="eastAsia"/>
          <w:sz w:val="24"/>
        </w:rPr>
        <w:t>6</w:t>
      </w:r>
      <w:r>
        <w:rPr>
          <w:rFonts w:hint="eastAsia"/>
          <w:sz w:val="24"/>
        </w:rPr>
        <w:t>。</w:t>
      </w:r>
    </w:p>
    <w:p w:rsidR="00EE4502" w:rsidRDefault="00FD45A3">
      <w:pPr>
        <w:spacing w:line="360" w:lineRule="auto"/>
        <w:jc w:val="center"/>
        <w:rPr>
          <w:rFonts w:eastAsia="黑体" w:hAnsi="黑体"/>
          <w:bCs/>
          <w:szCs w:val="21"/>
        </w:rPr>
      </w:pPr>
      <w:r>
        <w:rPr>
          <w:rFonts w:eastAsia="黑体" w:hAnsi="黑体" w:hint="eastAsia"/>
          <w:bCs/>
          <w:szCs w:val="21"/>
        </w:rPr>
        <w:t>表</w:t>
      </w:r>
      <w:r>
        <w:rPr>
          <w:rFonts w:eastAsia="黑体" w:hAnsi="黑体" w:hint="eastAsia"/>
          <w:bCs/>
          <w:szCs w:val="21"/>
        </w:rPr>
        <w:t>3-3</w:t>
      </w:r>
      <w:r>
        <w:rPr>
          <w:rFonts w:eastAsia="黑体" w:hAnsi="黑体"/>
          <w:bCs/>
          <w:szCs w:val="21"/>
        </w:rPr>
        <w:t>-</w:t>
      </w:r>
      <w:r>
        <w:rPr>
          <w:rFonts w:eastAsia="黑体" w:hAnsi="黑体" w:hint="eastAsia"/>
          <w:bCs/>
          <w:szCs w:val="21"/>
        </w:rPr>
        <w:t>6</w:t>
      </w:r>
      <w:r>
        <w:rPr>
          <w:rFonts w:eastAsia="黑体" w:hAnsi="黑体"/>
          <w:bCs/>
          <w:szCs w:val="21"/>
        </w:rPr>
        <w:t xml:space="preserve"> </w:t>
      </w:r>
      <w:r>
        <w:rPr>
          <w:rFonts w:eastAsia="黑体" w:hAnsi="黑体" w:hint="eastAsia"/>
          <w:bCs/>
          <w:szCs w:val="21"/>
        </w:rPr>
        <w:t>排</w:t>
      </w:r>
      <w:r>
        <w:rPr>
          <w:rFonts w:eastAsia="黑体" w:hAnsi="黑体" w:hint="eastAsia"/>
          <w:bCs/>
          <w:szCs w:val="21"/>
        </w:rPr>
        <w:t>61</w:t>
      </w:r>
      <w:r>
        <w:rPr>
          <w:rFonts w:eastAsia="黑体" w:hAnsi="黑体" w:hint="eastAsia"/>
          <w:bCs/>
          <w:szCs w:val="21"/>
        </w:rPr>
        <w:t>块</w:t>
      </w:r>
      <w:r>
        <w:rPr>
          <w:rFonts w:eastAsia="黑体" w:hAnsi="黑体" w:hint="eastAsia"/>
          <w:bCs/>
          <w:szCs w:val="21"/>
        </w:rPr>
        <w:t>18</w:t>
      </w:r>
      <w:r>
        <w:rPr>
          <w:rFonts w:eastAsia="黑体" w:hAnsi="黑体" w:hint="eastAsia"/>
          <w:bCs/>
          <w:szCs w:val="21"/>
        </w:rPr>
        <w:t>口</w:t>
      </w:r>
      <w:r>
        <w:rPr>
          <w:rFonts w:eastAsia="黑体" w:hAnsi="黑体" w:hint="eastAsia"/>
          <w:bCs/>
          <w:szCs w:val="21"/>
        </w:rPr>
        <w:t>油</w:t>
      </w:r>
      <w:r>
        <w:rPr>
          <w:rFonts w:eastAsia="黑体" w:hAnsi="黑体" w:hint="eastAsia"/>
          <w:bCs/>
          <w:szCs w:val="21"/>
        </w:rPr>
        <w:t>井指标预测一览表</w:t>
      </w:r>
    </w:p>
    <w:tbl>
      <w:tblPr>
        <w:tblW w:w="4994" w:type="pct"/>
        <w:tblCellSpacing w:w="0" w:type="dxa"/>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9"/>
        <w:gridCol w:w="569"/>
        <w:gridCol w:w="569"/>
        <w:gridCol w:w="579"/>
        <w:gridCol w:w="569"/>
        <w:gridCol w:w="569"/>
        <w:gridCol w:w="568"/>
        <w:gridCol w:w="568"/>
        <w:gridCol w:w="631"/>
        <w:gridCol w:w="631"/>
        <w:gridCol w:w="631"/>
        <w:gridCol w:w="631"/>
        <w:gridCol w:w="631"/>
        <w:gridCol w:w="631"/>
      </w:tblGrid>
      <w:tr w:rsidR="00EE4502">
        <w:trPr>
          <w:trHeight w:val="397"/>
          <w:tblHeader/>
          <w:tblCellSpacing w:w="0" w:type="dxa"/>
        </w:trPr>
        <w:tc>
          <w:tcPr>
            <w:tcW w:w="340" w:type="pct"/>
            <w:shd w:val="clear" w:color="auto" w:fill="auto"/>
            <w:tcMar>
              <w:top w:w="15" w:type="dxa"/>
              <w:left w:w="15" w:type="dxa"/>
              <w:right w:w="15" w:type="dxa"/>
            </w:tcMar>
            <w:vAlign w:val="center"/>
          </w:tcPr>
          <w:p w:rsidR="00EE4502" w:rsidRDefault="00FD45A3">
            <w:pPr>
              <w:pStyle w:val="aff8"/>
              <w:rPr>
                <w:rFonts w:eastAsia="宋体"/>
                <w:color w:val="auto"/>
                <w:spacing w:val="0"/>
                <w:kern w:val="21"/>
                <w:szCs w:val="21"/>
              </w:rPr>
            </w:pPr>
            <w:r>
              <w:rPr>
                <w:rFonts w:eastAsia="宋体"/>
                <w:color w:val="auto"/>
                <w:spacing w:val="0"/>
                <w:kern w:val="21"/>
                <w:szCs w:val="21"/>
              </w:rPr>
              <w:t>生产年数年</w:t>
            </w:r>
          </w:p>
        </w:tc>
        <w:tc>
          <w:tcPr>
            <w:tcW w:w="340" w:type="pct"/>
            <w:shd w:val="clear" w:color="auto" w:fill="auto"/>
            <w:tcMar>
              <w:top w:w="15" w:type="dxa"/>
              <w:left w:w="15" w:type="dxa"/>
              <w:right w:w="15" w:type="dxa"/>
            </w:tcMar>
            <w:vAlign w:val="center"/>
          </w:tcPr>
          <w:p w:rsidR="00EE4502" w:rsidRDefault="00FD45A3">
            <w:pPr>
              <w:pStyle w:val="aff8"/>
              <w:rPr>
                <w:rFonts w:eastAsia="宋体"/>
                <w:color w:val="auto"/>
                <w:spacing w:val="0"/>
                <w:kern w:val="21"/>
                <w:szCs w:val="21"/>
              </w:rPr>
            </w:pPr>
            <w:r>
              <w:rPr>
                <w:rFonts w:eastAsia="宋体"/>
                <w:color w:val="auto"/>
                <w:spacing w:val="0"/>
                <w:kern w:val="21"/>
                <w:szCs w:val="21"/>
              </w:rPr>
              <w:t>井数口</w:t>
            </w:r>
          </w:p>
        </w:tc>
        <w:tc>
          <w:tcPr>
            <w:tcW w:w="340" w:type="pct"/>
            <w:shd w:val="clear" w:color="auto" w:fill="auto"/>
            <w:tcMar>
              <w:top w:w="15" w:type="dxa"/>
              <w:left w:w="15" w:type="dxa"/>
              <w:right w:w="15" w:type="dxa"/>
            </w:tcMar>
            <w:vAlign w:val="center"/>
          </w:tcPr>
          <w:p w:rsidR="00EE4502" w:rsidRDefault="00FD45A3">
            <w:pPr>
              <w:pStyle w:val="aff8"/>
              <w:rPr>
                <w:rFonts w:eastAsia="宋体"/>
                <w:color w:val="auto"/>
                <w:spacing w:val="0"/>
                <w:kern w:val="21"/>
                <w:szCs w:val="21"/>
              </w:rPr>
            </w:pPr>
            <w:r>
              <w:rPr>
                <w:rFonts w:eastAsia="宋体"/>
                <w:color w:val="auto"/>
                <w:spacing w:val="0"/>
                <w:kern w:val="21"/>
                <w:szCs w:val="21"/>
              </w:rPr>
              <w:t>生产天数</w:t>
            </w:r>
            <w:r>
              <w:rPr>
                <w:rFonts w:eastAsia="宋体" w:hint="eastAsia"/>
                <w:color w:val="auto"/>
                <w:spacing w:val="0"/>
                <w:kern w:val="21"/>
                <w:szCs w:val="21"/>
              </w:rPr>
              <w:t>/d</w:t>
            </w:r>
          </w:p>
        </w:tc>
        <w:tc>
          <w:tcPr>
            <w:tcW w:w="346" w:type="pct"/>
            <w:shd w:val="clear" w:color="auto" w:fill="auto"/>
            <w:tcMar>
              <w:top w:w="15" w:type="dxa"/>
              <w:left w:w="15" w:type="dxa"/>
              <w:right w:w="15" w:type="dxa"/>
            </w:tcMar>
            <w:vAlign w:val="center"/>
          </w:tcPr>
          <w:p w:rsidR="00EE4502" w:rsidRDefault="00FD45A3">
            <w:pPr>
              <w:pStyle w:val="aff8"/>
              <w:rPr>
                <w:rFonts w:eastAsia="宋体"/>
                <w:color w:val="auto"/>
                <w:spacing w:val="0"/>
                <w:kern w:val="21"/>
                <w:szCs w:val="21"/>
              </w:rPr>
            </w:pPr>
            <w:r>
              <w:rPr>
                <w:rFonts w:eastAsia="宋体"/>
                <w:color w:val="auto"/>
                <w:spacing w:val="0"/>
                <w:kern w:val="21"/>
                <w:szCs w:val="21"/>
              </w:rPr>
              <w:t>单井日油</w:t>
            </w:r>
            <w:r>
              <w:rPr>
                <w:rFonts w:eastAsia="宋体"/>
                <w:color w:val="auto"/>
                <w:spacing w:val="0"/>
                <w:kern w:val="21"/>
                <w:szCs w:val="21"/>
              </w:rPr>
              <w:t>t/d</w:t>
            </w:r>
          </w:p>
        </w:tc>
        <w:tc>
          <w:tcPr>
            <w:tcW w:w="340" w:type="pct"/>
            <w:shd w:val="clear" w:color="auto" w:fill="auto"/>
            <w:tcMar>
              <w:top w:w="15" w:type="dxa"/>
              <w:left w:w="15" w:type="dxa"/>
              <w:right w:w="15" w:type="dxa"/>
            </w:tcMar>
            <w:vAlign w:val="center"/>
          </w:tcPr>
          <w:p w:rsidR="00EE4502" w:rsidRDefault="00FD45A3">
            <w:pPr>
              <w:pStyle w:val="aff8"/>
              <w:rPr>
                <w:rFonts w:eastAsia="宋体"/>
                <w:color w:val="auto"/>
                <w:spacing w:val="0"/>
                <w:kern w:val="21"/>
                <w:szCs w:val="21"/>
              </w:rPr>
            </w:pPr>
            <w:r>
              <w:rPr>
                <w:rFonts w:eastAsia="宋体"/>
                <w:color w:val="auto"/>
                <w:spacing w:val="0"/>
                <w:kern w:val="21"/>
                <w:szCs w:val="21"/>
              </w:rPr>
              <w:t>单井日液</w:t>
            </w:r>
            <w:r>
              <w:rPr>
                <w:rFonts w:eastAsia="宋体"/>
                <w:color w:val="auto"/>
                <w:spacing w:val="0"/>
                <w:kern w:val="21"/>
                <w:szCs w:val="21"/>
              </w:rPr>
              <w:t>t/d</w:t>
            </w:r>
          </w:p>
        </w:tc>
        <w:tc>
          <w:tcPr>
            <w:tcW w:w="340" w:type="pct"/>
            <w:shd w:val="clear" w:color="auto" w:fill="auto"/>
            <w:tcMar>
              <w:top w:w="15" w:type="dxa"/>
              <w:left w:w="15" w:type="dxa"/>
              <w:right w:w="15" w:type="dxa"/>
            </w:tcMar>
            <w:vAlign w:val="center"/>
          </w:tcPr>
          <w:p w:rsidR="00EE4502" w:rsidRDefault="00FD45A3">
            <w:pPr>
              <w:pStyle w:val="aff8"/>
              <w:rPr>
                <w:rFonts w:eastAsia="宋体"/>
                <w:color w:val="auto"/>
                <w:spacing w:val="0"/>
                <w:kern w:val="21"/>
                <w:szCs w:val="21"/>
              </w:rPr>
            </w:pPr>
            <w:r>
              <w:rPr>
                <w:rFonts w:eastAsia="宋体"/>
                <w:color w:val="auto"/>
                <w:spacing w:val="0"/>
                <w:kern w:val="21"/>
                <w:szCs w:val="21"/>
              </w:rPr>
              <w:t>年产油</w:t>
            </w:r>
            <w:r>
              <w:rPr>
                <w:rFonts w:eastAsia="宋体"/>
                <w:color w:val="auto"/>
                <w:spacing w:val="0"/>
                <w:kern w:val="21"/>
                <w:szCs w:val="21"/>
              </w:rPr>
              <w:t>10</w:t>
            </w:r>
            <w:r>
              <w:rPr>
                <w:rFonts w:eastAsia="宋体"/>
                <w:color w:val="auto"/>
                <w:spacing w:val="0"/>
                <w:kern w:val="21"/>
                <w:szCs w:val="21"/>
                <w:vertAlign w:val="superscript"/>
              </w:rPr>
              <w:t>4</w:t>
            </w:r>
            <w:r>
              <w:rPr>
                <w:rFonts w:eastAsia="宋体"/>
                <w:color w:val="auto"/>
                <w:spacing w:val="0"/>
                <w:kern w:val="21"/>
                <w:szCs w:val="21"/>
              </w:rPr>
              <w:t>t</w:t>
            </w:r>
          </w:p>
        </w:tc>
        <w:tc>
          <w:tcPr>
            <w:tcW w:w="340" w:type="pct"/>
            <w:shd w:val="clear" w:color="auto" w:fill="auto"/>
            <w:tcMar>
              <w:top w:w="15" w:type="dxa"/>
              <w:left w:w="15" w:type="dxa"/>
              <w:right w:w="15" w:type="dxa"/>
            </w:tcMar>
            <w:vAlign w:val="center"/>
          </w:tcPr>
          <w:p w:rsidR="00EE4502" w:rsidRDefault="00FD45A3">
            <w:pPr>
              <w:pStyle w:val="aff8"/>
              <w:rPr>
                <w:rFonts w:eastAsia="宋体"/>
                <w:color w:val="auto"/>
                <w:spacing w:val="0"/>
                <w:kern w:val="21"/>
                <w:szCs w:val="21"/>
              </w:rPr>
            </w:pPr>
            <w:r>
              <w:rPr>
                <w:rFonts w:eastAsia="宋体"/>
                <w:color w:val="auto"/>
                <w:spacing w:val="0"/>
                <w:kern w:val="21"/>
                <w:szCs w:val="21"/>
              </w:rPr>
              <w:t>年产水</w:t>
            </w:r>
            <w:r>
              <w:rPr>
                <w:rFonts w:eastAsia="宋体"/>
                <w:color w:val="auto"/>
                <w:spacing w:val="0"/>
                <w:kern w:val="21"/>
                <w:szCs w:val="21"/>
              </w:rPr>
              <w:t>10</w:t>
            </w:r>
            <w:r>
              <w:rPr>
                <w:rFonts w:eastAsia="宋体"/>
                <w:color w:val="auto"/>
                <w:spacing w:val="0"/>
                <w:kern w:val="21"/>
                <w:szCs w:val="21"/>
                <w:vertAlign w:val="superscript"/>
              </w:rPr>
              <w:t>4</w:t>
            </w:r>
            <w:r>
              <w:rPr>
                <w:rFonts w:eastAsia="宋体"/>
                <w:color w:val="auto"/>
                <w:spacing w:val="0"/>
                <w:kern w:val="21"/>
                <w:szCs w:val="21"/>
              </w:rPr>
              <w:t>t</w:t>
            </w:r>
          </w:p>
        </w:tc>
        <w:tc>
          <w:tcPr>
            <w:tcW w:w="340" w:type="pct"/>
            <w:shd w:val="clear" w:color="auto" w:fill="auto"/>
            <w:tcMar>
              <w:top w:w="15" w:type="dxa"/>
              <w:left w:w="15" w:type="dxa"/>
              <w:right w:w="15" w:type="dxa"/>
            </w:tcMar>
            <w:vAlign w:val="center"/>
          </w:tcPr>
          <w:p w:rsidR="00EE4502" w:rsidRDefault="00FD45A3">
            <w:pPr>
              <w:pStyle w:val="aff8"/>
              <w:rPr>
                <w:rFonts w:eastAsia="宋体"/>
                <w:color w:val="auto"/>
                <w:spacing w:val="0"/>
                <w:kern w:val="21"/>
                <w:szCs w:val="21"/>
              </w:rPr>
            </w:pPr>
            <w:r>
              <w:rPr>
                <w:rFonts w:eastAsia="宋体"/>
                <w:color w:val="auto"/>
                <w:spacing w:val="0"/>
                <w:kern w:val="21"/>
                <w:szCs w:val="21"/>
              </w:rPr>
              <w:t>年产液</w:t>
            </w:r>
            <w:r>
              <w:rPr>
                <w:rFonts w:eastAsia="宋体"/>
                <w:color w:val="auto"/>
                <w:spacing w:val="0"/>
                <w:kern w:val="21"/>
                <w:szCs w:val="21"/>
              </w:rPr>
              <w:t>10</w:t>
            </w:r>
            <w:r>
              <w:rPr>
                <w:rFonts w:eastAsia="宋体"/>
                <w:color w:val="auto"/>
                <w:spacing w:val="0"/>
                <w:kern w:val="21"/>
                <w:szCs w:val="21"/>
                <w:vertAlign w:val="superscript"/>
              </w:rPr>
              <w:t>4</w:t>
            </w:r>
            <w:r>
              <w:rPr>
                <w:rFonts w:eastAsia="宋体"/>
                <w:color w:val="auto"/>
                <w:spacing w:val="0"/>
                <w:kern w:val="21"/>
                <w:szCs w:val="21"/>
              </w:rPr>
              <w:t>t</w:t>
            </w:r>
          </w:p>
        </w:tc>
        <w:tc>
          <w:tcPr>
            <w:tcW w:w="378" w:type="pct"/>
            <w:shd w:val="clear" w:color="auto" w:fill="auto"/>
            <w:tcMar>
              <w:top w:w="15" w:type="dxa"/>
              <w:left w:w="15" w:type="dxa"/>
              <w:right w:w="15" w:type="dxa"/>
            </w:tcMar>
            <w:vAlign w:val="center"/>
          </w:tcPr>
          <w:p w:rsidR="00EE4502" w:rsidRDefault="00FD45A3">
            <w:pPr>
              <w:pStyle w:val="aff8"/>
              <w:rPr>
                <w:rFonts w:eastAsia="宋体"/>
                <w:color w:val="auto"/>
                <w:spacing w:val="0"/>
                <w:kern w:val="21"/>
                <w:szCs w:val="21"/>
              </w:rPr>
            </w:pPr>
            <w:r>
              <w:rPr>
                <w:rFonts w:eastAsia="宋体"/>
                <w:color w:val="auto"/>
                <w:spacing w:val="0"/>
                <w:kern w:val="21"/>
                <w:szCs w:val="21"/>
              </w:rPr>
              <w:t>累产油</w:t>
            </w:r>
            <w:r>
              <w:rPr>
                <w:rFonts w:eastAsia="宋体"/>
                <w:color w:val="auto"/>
                <w:spacing w:val="0"/>
                <w:kern w:val="21"/>
                <w:szCs w:val="21"/>
              </w:rPr>
              <w:t>10</w:t>
            </w:r>
            <w:r>
              <w:rPr>
                <w:rFonts w:eastAsia="宋体"/>
                <w:color w:val="auto"/>
                <w:spacing w:val="0"/>
                <w:kern w:val="21"/>
                <w:szCs w:val="21"/>
                <w:vertAlign w:val="superscript"/>
              </w:rPr>
              <w:t>4</w:t>
            </w:r>
            <w:r>
              <w:rPr>
                <w:rFonts w:eastAsia="宋体"/>
                <w:color w:val="auto"/>
                <w:spacing w:val="0"/>
                <w:kern w:val="21"/>
                <w:szCs w:val="21"/>
              </w:rPr>
              <w:t>t</w:t>
            </w:r>
          </w:p>
        </w:tc>
        <w:tc>
          <w:tcPr>
            <w:tcW w:w="378" w:type="pct"/>
            <w:shd w:val="clear" w:color="auto" w:fill="auto"/>
            <w:tcMar>
              <w:top w:w="15" w:type="dxa"/>
              <w:left w:w="15" w:type="dxa"/>
              <w:right w:w="15" w:type="dxa"/>
            </w:tcMar>
            <w:vAlign w:val="center"/>
          </w:tcPr>
          <w:p w:rsidR="00EE4502" w:rsidRDefault="00FD45A3">
            <w:pPr>
              <w:pStyle w:val="aff8"/>
              <w:rPr>
                <w:rFonts w:eastAsia="宋体"/>
                <w:color w:val="auto"/>
                <w:spacing w:val="0"/>
                <w:kern w:val="21"/>
                <w:szCs w:val="21"/>
              </w:rPr>
            </w:pPr>
            <w:r>
              <w:rPr>
                <w:rFonts w:eastAsia="宋体"/>
                <w:color w:val="auto"/>
                <w:spacing w:val="0"/>
                <w:kern w:val="21"/>
                <w:szCs w:val="21"/>
              </w:rPr>
              <w:t>累产水</w:t>
            </w:r>
            <w:r>
              <w:rPr>
                <w:rFonts w:eastAsia="宋体"/>
                <w:color w:val="auto"/>
                <w:spacing w:val="0"/>
                <w:kern w:val="21"/>
                <w:szCs w:val="21"/>
              </w:rPr>
              <w:t>10</w:t>
            </w:r>
            <w:r>
              <w:rPr>
                <w:rFonts w:eastAsia="宋体"/>
                <w:color w:val="auto"/>
                <w:spacing w:val="0"/>
                <w:kern w:val="21"/>
                <w:szCs w:val="21"/>
                <w:vertAlign w:val="superscript"/>
              </w:rPr>
              <w:t>4</w:t>
            </w:r>
            <w:r>
              <w:rPr>
                <w:rFonts w:eastAsia="宋体"/>
                <w:color w:val="auto"/>
                <w:spacing w:val="0"/>
                <w:kern w:val="21"/>
                <w:szCs w:val="21"/>
              </w:rPr>
              <w:t>t</w:t>
            </w:r>
          </w:p>
        </w:tc>
        <w:tc>
          <w:tcPr>
            <w:tcW w:w="378" w:type="pct"/>
            <w:shd w:val="clear" w:color="auto" w:fill="auto"/>
            <w:tcMar>
              <w:top w:w="15" w:type="dxa"/>
              <w:left w:w="15" w:type="dxa"/>
              <w:right w:w="15" w:type="dxa"/>
            </w:tcMar>
            <w:vAlign w:val="center"/>
          </w:tcPr>
          <w:p w:rsidR="00EE4502" w:rsidRDefault="00FD45A3">
            <w:pPr>
              <w:pStyle w:val="aff8"/>
              <w:rPr>
                <w:rFonts w:eastAsia="宋体"/>
                <w:color w:val="auto"/>
                <w:spacing w:val="0"/>
                <w:kern w:val="21"/>
                <w:szCs w:val="21"/>
              </w:rPr>
            </w:pPr>
            <w:r>
              <w:rPr>
                <w:rFonts w:eastAsia="宋体"/>
                <w:color w:val="auto"/>
                <w:spacing w:val="0"/>
                <w:kern w:val="21"/>
                <w:szCs w:val="21"/>
              </w:rPr>
              <w:t>累产液</w:t>
            </w:r>
            <w:r>
              <w:rPr>
                <w:rFonts w:eastAsia="宋体"/>
                <w:color w:val="auto"/>
                <w:spacing w:val="0"/>
                <w:kern w:val="21"/>
                <w:szCs w:val="21"/>
              </w:rPr>
              <w:t>10</w:t>
            </w:r>
            <w:r>
              <w:rPr>
                <w:rFonts w:eastAsia="宋体"/>
                <w:color w:val="auto"/>
                <w:spacing w:val="0"/>
                <w:kern w:val="21"/>
                <w:szCs w:val="21"/>
                <w:vertAlign w:val="superscript"/>
              </w:rPr>
              <w:t>4</w:t>
            </w:r>
            <w:r>
              <w:rPr>
                <w:rFonts w:eastAsia="宋体"/>
                <w:color w:val="auto"/>
                <w:spacing w:val="0"/>
                <w:kern w:val="21"/>
                <w:szCs w:val="21"/>
              </w:rPr>
              <w:t>t</w:t>
            </w:r>
          </w:p>
        </w:tc>
        <w:tc>
          <w:tcPr>
            <w:tcW w:w="378" w:type="pct"/>
            <w:shd w:val="clear" w:color="auto" w:fill="auto"/>
            <w:tcMar>
              <w:top w:w="15" w:type="dxa"/>
              <w:left w:w="15" w:type="dxa"/>
              <w:right w:w="15" w:type="dxa"/>
            </w:tcMar>
            <w:vAlign w:val="center"/>
          </w:tcPr>
          <w:p w:rsidR="00EE4502" w:rsidRDefault="00FD45A3">
            <w:pPr>
              <w:pStyle w:val="aff8"/>
              <w:rPr>
                <w:rFonts w:eastAsia="宋体"/>
                <w:color w:val="auto"/>
                <w:spacing w:val="0"/>
                <w:kern w:val="21"/>
                <w:szCs w:val="21"/>
              </w:rPr>
            </w:pPr>
            <w:r>
              <w:rPr>
                <w:rFonts w:eastAsia="宋体"/>
                <w:color w:val="auto"/>
                <w:spacing w:val="0"/>
                <w:kern w:val="21"/>
                <w:szCs w:val="21"/>
              </w:rPr>
              <w:t>综合含水</w:t>
            </w:r>
          </w:p>
          <w:p w:rsidR="00EE4502" w:rsidRDefault="00FD45A3">
            <w:pPr>
              <w:pStyle w:val="aff8"/>
              <w:rPr>
                <w:rFonts w:eastAsia="宋体"/>
                <w:color w:val="auto"/>
                <w:spacing w:val="0"/>
                <w:kern w:val="21"/>
                <w:szCs w:val="21"/>
              </w:rPr>
            </w:pPr>
            <w:r>
              <w:rPr>
                <w:rFonts w:eastAsia="宋体"/>
                <w:color w:val="auto"/>
                <w:spacing w:val="0"/>
                <w:kern w:val="21"/>
                <w:szCs w:val="21"/>
              </w:rPr>
              <w:t>%</w:t>
            </w:r>
          </w:p>
        </w:tc>
        <w:tc>
          <w:tcPr>
            <w:tcW w:w="378" w:type="pct"/>
            <w:shd w:val="clear" w:color="auto" w:fill="auto"/>
            <w:tcMar>
              <w:top w:w="15" w:type="dxa"/>
              <w:left w:w="15" w:type="dxa"/>
              <w:right w:w="15" w:type="dxa"/>
            </w:tcMar>
            <w:vAlign w:val="center"/>
          </w:tcPr>
          <w:p w:rsidR="00EE4502" w:rsidRDefault="00FD45A3">
            <w:pPr>
              <w:pStyle w:val="aff8"/>
              <w:rPr>
                <w:rFonts w:eastAsia="宋体"/>
                <w:color w:val="auto"/>
                <w:spacing w:val="0"/>
                <w:kern w:val="21"/>
                <w:szCs w:val="21"/>
              </w:rPr>
            </w:pPr>
            <w:r>
              <w:rPr>
                <w:rFonts w:eastAsia="宋体"/>
                <w:color w:val="auto"/>
                <w:spacing w:val="0"/>
                <w:kern w:val="21"/>
                <w:szCs w:val="21"/>
              </w:rPr>
              <w:t>采油速度</w:t>
            </w:r>
          </w:p>
          <w:p w:rsidR="00EE4502" w:rsidRDefault="00FD45A3">
            <w:pPr>
              <w:pStyle w:val="aff8"/>
              <w:rPr>
                <w:rFonts w:eastAsia="宋体"/>
                <w:color w:val="auto"/>
                <w:spacing w:val="0"/>
                <w:kern w:val="21"/>
                <w:szCs w:val="21"/>
              </w:rPr>
            </w:pPr>
            <w:r>
              <w:rPr>
                <w:rFonts w:eastAsia="宋体"/>
                <w:color w:val="auto"/>
                <w:spacing w:val="0"/>
                <w:kern w:val="21"/>
                <w:szCs w:val="21"/>
              </w:rPr>
              <w:t>%</w:t>
            </w:r>
          </w:p>
        </w:tc>
        <w:tc>
          <w:tcPr>
            <w:tcW w:w="378" w:type="pct"/>
            <w:shd w:val="clear" w:color="auto" w:fill="auto"/>
            <w:tcMar>
              <w:top w:w="15" w:type="dxa"/>
              <w:left w:w="15" w:type="dxa"/>
              <w:right w:w="15" w:type="dxa"/>
            </w:tcMar>
            <w:vAlign w:val="center"/>
          </w:tcPr>
          <w:p w:rsidR="00EE4502" w:rsidRDefault="00FD45A3">
            <w:pPr>
              <w:pStyle w:val="aff8"/>
              <w:rPr>
                <w:rFonts w:eastAsia="宋体"/>
                <w:color w:val="auto"/>
                <w:spacing w:val="0"/>
                <w:kern w:val="21"/>
                <w:szCs w:val="21"/>
              </w:rPr>
            </w:pPr>
            <w:r>
              <w:rPr>
                <w:rFonts w:eastAsia="宋体"/>
                <w:color w:val="auto"/>
                <w:spacing w:val="0"/>
                <w:kern w:val="21"/>
                <w:szCs w:val="21"/>
              </w:rPr>
              <w:t>采出程度</w:t>
            </w:r>
          </w:p>
          <w:p w:rsidR="00EE4502" w:rsidRDefault="00FD45A3">
            <w:pPr>
              <w:pStyle w:val="aff8"/>
              <w:rPr>
                <w:rFonts w:eastAsia="宋体"/>
                <w:color w:val="auto"/>
                <w:spacing w:val="0"/>
                <w:kern w:val="21"/>
                <w:szCs w:val="21"/>
              </w:rPr>
            </w:pPr>
            <w:r>
              <w:rPr>
                <w:rFonts w:eastAsia="宋体"/>
                <w:color w:val="auto"/>
                <w:spacing w:val="0"/>
                <w:kern w:val="21"/>
                <w:szCs w:val="21"/>
              </w:rPr>
              <w:t>%</w:t>
            </w:r>
          </w:p>
        </w:tc>
      </w:tr>
      <w:tr w:rsidR="00EE4502">
        <w:trPr>
          <w:trHeight w:val="397"/>
          <w:tblCellSpacing w:w="0" w:type="dxa"/>
        </w:trPr>
        <w:tc>
          <w:tcPr>
            <w:tcW w:w="340" w:type="pct"/>
            <w:shd w:val="clear" w:color="auto" w:fill="auto"/>
            <w:tcMar>
              <w:top w:w="20" w:type="dxa"/>
              <w:left w:w="20" w:type="dxa"/>
              <w:bottom w:w="72" w:type="dxa"/>
              <w:right w:w="20" w:type="dxa"/>
            </w:tcMar>
            <w:vAlign w:val="center"/>
          </w:tcPr>
          <w:p w:rsidR="00EE4502" w:rsidRDefault="00FD45A3">
            <w:pPr>
              <w:pStyle w:val="aff8"/>
              <w:rPr>
                <w:rFonts w:eastAsia="宋体"/>
                <w:color w:val="auto"/>
                <w:spacing w:val="0"/>
                <w:kern w:val="21"/>
                <w:szCs w:val="21"/>
              </w:rPr>
            </w:pPr>
            <w:r>
              <w:rPr>
                <w:rFonts w:eastAsia="宋体"/>
                <w:color w:val="auto"/>
                <w:spacing w:val="0"/>
                <w:kern w:val="21"/>
                <w:szCs w:val="21"/>
              </w:rPr>
              <w:t>1</w:t>
            </w:r>
          </w:p>
        </w:tc>
        <w:tc>
          <w:tcPr>
            <w:tcW w:w="340" w:type="pct"/>
            <w:shd w:val="clear" w:color="auto" w:fill="auto"/>
            <w:tcMar>
              <w:top w:w="20" w:type="dxa"/>
              <w:left w:w="20" w:type="dxa"/>
              <w:bottom w:w="72" w:type="dxa"/>
              <w:right w:w="20" w:type="dxa"/>
            </w:tcMar>
            <w:vAlign w:val="center"/>
          </w:tcPr>
          <w:p w:rsidR="00EE4502" w:rsidRDefault="00FD45A3">
            <w:pPr>
              <w:pStyle w:val="aff8"/>
              <w:rPr>
                <w:rFonts w:eastAsia="宋体"/>
                <w:color w:val="auto"/>
                <w:spacing w:val="0"/>
                <w:kern w:val="21"/>
                <w:szCs w:val="21"/>
              </w:rPr>
            </w:pPr>
            <w:r>
              <w:rPr>
                <w:rFonts w:eastAsia="宋体"/>
                <w:color w:val="auto"/>
                <w:spacing w:val="0"/>
                <w:kern w:val="21"/>
                <w:szCs w:val="21"/>
              </w:rPr>
              <w:t>18</w:t>
            </w:r>
          </w:p>
        </w:tc>
        <w:tc>
          <w:tcPr>
            <w:tcW w:w="340" w:type="pct"/>
            <w:shd w:val="clear" w:color="auto" w:fill="auto"/>
            <w:tcMar>
              <w:top w:w="20" w:type="dxa"/>
              <w:left w:w="20" w:type="dxa"/>
              <w:bottom w:w="72" w:type="dxa"/>
              <w:right w:w="20" w:type="dxa"/>
            </w:tcMar>
            <w:vAlign w:val="center"/>
          </w:tcPr>
          <w:p w:rsidR="00EE4502" w:rsidRDefault="00FD45A3">
            <w:pPr>
              <w:pStyle w:val="aff8"/>
              <w:rPr>
                <w:rFonts w:eastAsia="宋体"/>
                <w:color w:val="auto"/>
                <w:spacing w:val="0"/>
                <w:kern w:val="21"/>
                <w:szCs w:val="21"/>
              </w:rPr>
            </w:pPr>
            <w:r>
              <w:rPr>
                <w:rFonts w:eastAsia="宋体"/>
                <w:color w:val="auto"/>
                <w:spacing w:val="0"/>
                <w:kern w:val="21"/>
                <w:szCs w:val="21"/>
              </w:rPr>
              <w:t>300</w:t>
            </w:r>
          </w:p>
        </w:tc>
        <w:tc>
          <w:tcPr>
            <w:tcW w:w="346"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5.6</w:t>
            </w:r>
          </w:p>
        </w:tc>
        <w:tc>
          <w:tcPr>
            <w:tcW w:w="340"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7.7</w:t>
            </w:r>
          </w:p>
        </w:tc>
        <w:tc>
          <w:tcPr>
            <w:tcW w:w="340"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3</w:t>
            </w:r>
            <w:r>
              <w:rPr>
                <w:rFonts w:hint="eastAsia"/>
                <w:kern w:val="0"/>
                <w:szCs w:val="21"/>
                <w:lang w:bidi="ar"/>
              </w:rPr>
              <w:t>.00</w:t>
            </w:r>
          </w:p>
        </w:tc>
        <w:tc>
          <w:tcPr>
            <w:tcW w:w="340"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1.13</w:t>
            </w:r>
          </w:p>
        </w:tc>
        <w:tc>
          <w:tcPr>
            <w:tcW w:w="340"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4.14</w:t>
            </w:r>
          </w:p>
        </w:tc>
        <w:tc>
          <w:tcPr>
            <w:tcW w:w="378"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3</w:t>
            </w:r>
            <w:r>
              <w:rPr>
                <w:rFonts w:hint="eastAsia"/>
                <w:kern w:val="0"/>
                <w:szCs w:val="21"/>
                <w:lang w:bidi="ar"/>
              </w:rPr>
              <w:t>.00</w:t>
            </w:r>
          </w:p>
        </w:tc>
        <w:tc>
          <w:tcPr>
            <w:tcW w:w="378"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1.13</w:t>
            </w:r>
          </w:p>
        </w:tc>
        <w:tc>
          <w:tcPr>
            <w:tcW w:w="378"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4.14</w:t>
            </w:r>
          </w:p>
        </w:tc>
        <w:tc>
          <w:tcPr>
            <w:tcW w:w="378"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27.4</w:t>
            </w:r>
          </w:p>
        </w:tc>
        <w:tc>
          <w:tcPr>
            <w:tcW w:w="378"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0.92</w:t>
            </w:r>
          </w:p>
        </w:tc>
        <w:tc>
          <w:tcPr>
            <w:tcW w:w="378"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0.9</w:t>
            </w:r>
          </w:p>
        </w:tc>
      </w:tr>
      <w:tr w:rsidR="00EE4502">
        <w:trPr>
          <w:trHeight w:val="397"/>
          <w:tblCellSpacing w:w="0" w:type="dxa"/>
        </w:trPr>
        <w:tc>
          <w:tcPr>
            <w:tcW w:w="340" w:type="pct"/>
            <w:shd w:val="clear" w:color="auto" w:fill="auto"/>
            <w:tcMar>
              <w:top w:w="20" w:type="dxa"/>
              <w:left w:w="20" w:type="dxa"/>
              <w:bottom w:w="72" w:type="dxa"/>
              <w:right w:w="20" w:type="dxa"/>
            </w:tcMar>
            <w:vAlign w:val="center"/>
          </w:tcPr>
          <w:p w:rsidR="00EE4502" w:rsidRDefault="00FD45A3">
            <w:pPr>
              <w:pStyle w:val="aff8"/>
              <w:rPr>
                <w:rFonts w:eastAsia="宋体"/>
                <w:color w:val="auto"/>
                <w:spacing w:val="0"/>
                <w:kern w:val="21"/>
                <w:szCs w:val="21"/>
              </w:rPr>
            </w:pPr>
            <w:r>
              <w:rPr>
                <w:rFonts w:eastAsia="宋体"/>
                <w:color w:val="auto"/>
                <w:spacing w:val="0"/>
                <w:kern w:val="21"/>
                <w:szCs w:val="21"/>
              </w:rPr>
              <w:t>2</w:t>
            </w:r>
          </w:p>
        </w:tc>
        <w:tc>
          <w:tcPr>
            <w:tcW w:w="340" w:type="pct"/>
            <w:shd w:val="clear" w:color="auto" w:fill="auto"/>
            <w:tcMar>
              <w:top w:w="20" w:type="dxa"/>
              <w:left w:w="20" w:type="dxa"/>
              <w:bottom w:w="72" w:type="dxa"/>
              <w:right w:w="20" w:type="dxa"/>
            </w:tcMar>
            <w:vAlign w:val="center"/>
          </w:tcPr>
          <w:p w:rsidR="00EE4502" w:rsidRDefault="00FD45A3">
            <w:pPr>
              <w:pStyle w:val="aff8"/>
              <w:rPr>
                <w:rFonts w:eastAsia="宋体"/>
                <w:color w:val="auto"/>
                <w:spacing w:val="0"/>
                <w:kern w:val="21"/>
                <w:szCs w:val="21"/>
              </w:rPr>
            </w:pPr>
            <w:r>
              <w:rPr>
                <w:rFonts w:eastAsia="宋体"/>
                <w:color w:val="auto"/>
                <w:spacing w:val="0"/>
                <w:kern w:val="21"/>
                <w:szCs w:val="21"/>
              </w:rPr>
              <w:t>18</w:t>
            </w:r>
          </w:p>
        </w:tc>
        <w:tc>
          <w:tcPr>
            <w:tcW w:w="340" w:type="pct"/>
            <w:shd w:val="clear" w:color="auto" w:fill="auto"/>
            <w:tcMar>
              <w:top w:w="20" w:type="dxa"/>
              <w:left w:w="20" w:type="dxa"/>
              <w:bottom w:w="72" w:type="dxa"/>
              <w:right w:w="20" w:type="dxa"/>
            </w:tcMar>
            <w:vAlign w:val="center"/>
          </w:tcPr>
          <w:p w:rsidR="00EE4502" w:rsidRDefault="00FD45A3">
            <w:pPr>
              <w:pStyle w:val="aff8"/>
              <w:rPr>
                <w:rFonts w:eastAsia="宋体"/>
                <w:color w:val="auto"/>
                <w:spacing w:val="0"/>
                <w:kern w:val="21"/>
                <w:szCs w:val="21"/>
              </w:rPr>
            </w:pPr>
            <w:r>
              <w:rPr>
                <w:rFonts w:eastAsia="宋体"/>
                <w:color w:val="auto"/>
                <w:spacing w:val="0"/>
                <w:kern w:val="21"/>
                <w:szCs w:val="21"/>
              </w:rPr>
              <w:t>300</w:t>
            </w:r>
          </w:p>
        </w:tc>
        <w:tc>
          <w:tcPr>
            <w:tcW w:w="346"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4.3</w:t>
            </w:r>
          </w:p>
        </w:tc>
        <w:tc>
          <w:tcPr>
            <w:tcW w:w="340"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7.6</w:t>
            </w:r>
          </w:p>
        </w:tc>
        <w:tc>
          <w:tcPr>
            <w:tcW w:w="340"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2.34</w:t>
            </w:r>
          </w:p>
        </w:tc>
        <w:tc>
          <w:tcPr>
            <w:tcW w:w="340"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1.75</w:t>
            </w:r>
          </w:p>
        </w:tc>
        <w:tc>
          <w:tcPr>
            <w:tcW w:w="340"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4.09</w:t>
            </w:r>
          </w:p>
        </w:tc>
        <w:tc>
          <w:tcPr>
            <w:tcW w:w="378"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5.34</w:t>
            </w:r>
          </w:p>
        </w:tc>
        <w:tc>
          <w:tcPr>
            <w:tcW w:w="378"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2.88</w:t>
            </w:r>
          </w:p>
        </w:tc>
        <w:tc>
          <w:tcPr>
            <w:tcW w:w="378"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8.22</w:t>
            </w:r>
          </w:p>
        </w:tc>
        <w:tc>
          <w:tcPr>
            <w:tcW w:w="378"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42.8</w:t>
            </w:r>
          </w:p>
        </w:tc>
        <w:tc>
          <w:tcPr>
            <w:tcW w:w="378"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0.72</w:t>
            </w:r>
          </w:p>
        </w:tc>
        <w:tc>
          <w:tcPr>
            <w:tcW w:w="378"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1.6</w:t>
            </w:r>
          </w:p>
        </w:tc>
      </w:tr>
      <w:tr w:rsidR="00EE4502">
        <w:trPr>
          <w:trHeight w:val="397"/>
          <w:tblCellSpacing w:w="0" w:type="dxa"/>
        </w:trPr>
        <w:tc>
          <w:tcPr>
            <w:tcW w:w="340" w:type="pct"/>
            <w:shd w:val="clear" w:color="auto" w:fill="auto"/>
            <w:tcMar>
              <w:top w:w="20" w:type="dxa"/>
              <w:left w:w="20" w:type="dxa"/>
              <w:bottom w:w="72" w:type="dxa"/>
              <w:right w:w="20" w:type="dxa"/>
            </w:tcMar>
            <w:vAlign w:val="center"/>
          </w:tcPr>
          <w:p w:rsidR="00EE4502" w:rsidRDefault="00FD45A3">
            <w:pPr>
              <w:pStyle w:val="aff8"/>
              <w:rPr>
                <w:rFonts w:eastAsia="宋体"/>
                <w:color w:val="auto"/>
                <w:spacing w:val="0"/>
                <w:kern w:val="21"/>
                <w:szCs w:val="21"/>
              </w:rPr>
            </w:pPr>
            <w:r>
              <w:rPr>
                <w:rFonts w:eastAsia="宋体"/>
                <w:color w:val="auto"/>
                <w:spacing w:val="0"/>
                <w:kern w:val="21"/>
                <w:szCs w:val="21"/>
              </w:rPr>
              <w:t>3</w:t>
            </w:r>
          </w:p>
        </w:tc>
        <w:tc>
          <w:tcPr>
            <w:tcW w:w="340" w:type="pct"/>
            <w:shd w:val="clear" w:color="auto" w:fill="auto"/>
            <w:tcMar>
              <w:top w:w="20" w:type="dxa"/>
              <w:left w:w="20" w:type="dxa"/>
              <w:bottom w:w="72" w:type="dxa"/>
              <w:right w:w="20" w:type="dxa"/>
            </w:tcMar>
            <w:vAlign w:val="center"/>
          </w:tcPr>
          <w:p w:rsidR="00EE4502" w:rsidRDefault="00FD45A3">
            <w:pPr>
              <w:pStyle w:val="aff8"/>
              <w:rPr>
                <w:rFonts w:eastAsia="宋体"/>
                <w:color w:val="auto"/>
                <w:spacing w:val="0"/>
                <w:kern w:val="21"/>
                <w:szCs w:val="21"/>
              </w:rPr>
            </w:pPr>
            <w:r>
              <w:rPr>
                <w:rFonts w:eastAsia="宋体"/>
                <w:color w:val="auto"/>
                <w:spacing w:val="0"/>
                <w:kern w:val="21"/>
                <w:szCs w:val="21"/>
              </w:rPr>
              <w:t>18</w:t>
            </w:r>
          </w:p>
        </w:tc>
        <w:tc>
          <w:tcPr>
            <w:tcW w:w="340" w:type="pct"/>
            <w:shd w:val="clear" w:color="auto" w:fill="auto"/>
            <w:tcMar>
              <w:top w:w="20" w:type="dxa"/>
              <w:left w:w="20" w:type="dxa"/>
              <w:bottom w:w="72" w:type="dxa"/>
              <w:right w:w="20" w:type="dxa"/>
            </w:tcMar>
            <w:vAlign w:val="center"/>
          </w:tcPr>
          <w:p w:rsidR="00EE4502" w:rsidRDefault="00FD45A3">
            <w:pPr>
              <w:pStyle w:val="aff8"/>
              <w:rPr>
                <w:rFonts w:eastAsia="宋体"/>
                <w:color w:val="auto"/>
                <w:spacing w:val="0"/>
                <w:kern w:val="21"/>
                <w:szCs w:val="21"/>
              </w:rPr>
            </w:pPr>
            <w:r>
              <w:rPr>
                <w:rFonts w:eastAsia="宋体"/>
                <w:color w:val="auto"/>
                <w:spacing w:val="0"/>
                <w:kern w:val="21"/>
                <w:szCs w:val="21"/>
              </w:rPr>
              <w:t>300</w:t>
            </w:r>
          </w:p>
        </w:tc>
        <w:tc>
          <w:tcPr>
            <w:tcW w:w="346"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3.6</w:t>
            </w:r>
          </w:p>
        </w:tc>
        <w:tc>
          <w:tcPr>
            <w:tcW w:w="340"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7.5</w:t>
            </w:r>
          </w:p>
        </w:tc>
        <w:tc>
          <w:tcPr>
            <w:tcW w:w="340"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1.94</w:t>
            </w:r>
          </w:p>
        </w:tc>
        <w:tc>
          <w:tcPr>
            <w:tcW w:w="340"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2.08</w:t>
            </w:r>
          </w:p>
        </w:tc>
        <w:tc>
          <w:tcPr>
            <w:tcW w:w="340"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4.02</w:t>
            </w:r>
          </w:p>
        </w:tc>
        <w:tc>
          <w:tcPr>
            <w:tcW w:w="378"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7.28</w:t>
            </w:r>
          </w:p>
        </w:tc>
        <w:tc>
          <w:tcPr>
            <w:tcW w:w="378"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4.97</w:t>
            </w:r>
          </w:p>
        </w:tc>
        <w:tc>
          <w:tcPr>
            <w:tcW w:w="378"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12.25</w:t>
            </w:r>
          </w:p>
        </w:tc>
        <w:tc>
          <w:tcPr>
            <w:tcW w:w="378"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51.8</w:t>
            </w:r>
          </w:p>
        </w:tc>
        <w:tc>
          <w:tcPr>
            <w:tcW w:w="378"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0.6</w:t>
            </w:r>
          </w:p>
        </w:tc>
        <w:tc>
          <w:tcPr>
            <w:tcW w:w="378"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2.2</w:t>
            </w:r>
          </w:p>
        </w:tc>
      </w:tr>
      <w:tr w:rsidR="00EE4502">
        <w:trPr>
          <w:trHeight w:val="397"/>
          <w:tblCellSpacing w:w="0" w:type="dxa"/>
        </w:trPr>
        <w:tc>
          <w:tcPr>
            <w:tcW w:w="340" w:type="pct"/>
            <w:shd w:val="clear" w:color="auto" w:fill="auto"/>
            <w:tcMar>
              <w:top w:w="20" w:type="dxa"/>
              <w:left w:w="20" w:type="dxa"/>
              <w:bottom w:w="72" w:type="dxa"/>
              <w:right w:w="20" w:type="dxa"/>
            </w:tcMar>
            <w:vAlign w:val="center"/>
          </w:tcPr>
          <w:p w:rsidR="00EE4502" w:rsidRDefault="00FD45A3">
            <w:pPr>
              <w:pStyle w:val="aff8"/>
              <w:rPr>
                <w:rFonts w:eastAsia="宋体"/>
                <w:color w:val="auto"/>
                <w:spacing w:val="0"/>
                <w:kern w:val="21"/>
                <w:szCs w:val="21"/>
              </w:rPr>
            </w:pPr>
            <w:r>
              <w:rPr>
                <w:rFonts w:eastAsia="宋体"/>
                <w:color w:val="auto"/>
                <w:spacing w:val="0"/>
                <w:kern w:val="21"/>
                <w:szCs w:val="21"/>
              </w:rPr>
              <w:t>4</w:t>
            </w:r>
          </w:p>
        </w:tc>
        <w:tc>
          <w:tcPr>
            <w:tcW w:w="340" w:type="pct"/>
            <w:shd w:val="clear" w:color="auto" w:fill="auto"/>
            <w:tcMar>
              <w:top w:w="20" w:type="dxa"/>
              <w:left w:w="20" w:type="dxa"/>
              <w:bottom w:w="72" w:type="dxa"/>
              <w:right w:w="20" w:type="dxa"/>
            </w:tcMar>
            <w:vAlign w:val="center"/>
          </w:tcPr>
          <w:p w:rsidR="00EE4502" w:rsidRDefault="00FD45A3">
            <w:pPr>
              <w:pStyle w:val="aff8"/>
              <w:rPr>
                <w:rFonts w:eastAsia="宋体"/>
                <w:color w:val="auto"/>
                <w:spacing w:val="0"/>
                <w:kern w:val="21"/>
                <w:szCs w:val="21"/>
              </w:rPr>
            </w:pPr>
            <w:r>
              <w:rPr>
                <w:rFonts w:eastAsia="宋体"/>
                <w:color w:val="auto"/>
                <w:spacing w:val="0"/>
                <w:kern w:val="21"/>
                <w:szCs w:val="21"/>
              </w:rPr>
              <w:t>18</w:t>
            </w:r>
          </w:p>
        </w:tc>
        <w:tc>
          <w:tcPr>
            <w:tcW w:w="340" w:type="pct"/>
            <w:shd w:val="clear" w:color="auto" w:fill="auto"/>
            <w:tcMar>
              <w:top w:w="20" w:type="dxa"/>
              <w:left w:w="20" w:type="dxa"/>
              <w:bottom w:w="72" w:type="dxa"/>
              <w:right w:w="20" w:type="dxa"/>
            </w:tcMar>
            <w:vAlign w:val="center"/>
          </w:tcPr>
          <w:p w:rsidR="00EE4502" w:rsidRDefault="00FD45A3">
            <w:pPr>
              <w:pStyle w:val="aff8"/>
              <w:rPr>
                <w:rFonts w:eastAsia="宋体"/>
                <w:color w:val="auto"/>
                <w:spacing w:val="0"/>
                <w:kern w:val="21"/>
                <w:szCs w:val="21"/>
              </w:rPr>
            </w:pPr>
            <w:r>
              <w:rPr>
                <w:rFonts w:eastAsia="宋体"/>
                <w:color w:val="auto"/>
                <w:spacing w:val="0"/>
                <w:kern w:val="21"/>
                <w:szCs w:val="21"/>
              </w:rPr>
              <w:t>300</w:t>
            </w:r>
          </w:p>
        </w:tc>
        <w:tc>
          <w:tcPr>
            <w:tcW w:w="346"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3.2</w:t>
            </w:r>
          </w:p>
        </w:tc>
        <w:tc>
          <w:tcPr>
            <w:tcW w:w="340"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7.4</w:t>
            </w:r>
          </w:p>
        </w:tc>
        <w:tc>
          <w:tcPr>
            <w:tcW w:w="340"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1.71</w:t>
            </w:r>
          </w:p>
        </w:tc>
        <w:tc>
          <w:tcPr>
            <w:tcW w:w="340"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2.27</w:t>
            </w:r>
          </w:p>
        </w:tc>
        <w:tc>
          <w:tcPr>
            <w:tcW w:w="340"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3.97</w:t>
            </w:r>
          </w:p>
        </w:tc>
        <w:tc>
          <w:tcPr>
            <w:tcW w:w="378"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8.99</w:t>
            </w:r>
          </w:p>
        </w:tc>
        <w:tc>
          <w:tcPr>
            <w:tcW w:w="378"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7.24</w:t>
            </w:r>
          </w:p>
        </w:tc>
        <w:tc>
          <w:tcPr>
            <w:tcW w:w="378"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16.22</w:t>
            </w:r>
          </w:p>
        </w:tc>
        <w:tc>
          <w:tcPr>
            <w:tcW w:w="378"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57</w:t>
            </w:r>
          </w:p>
        </w:tc>
        <w:tc>
          <w:tcPr>
            <w:tcW w:w="378"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0.52</w:t>
            </w:r>
          </w:p>
        </w:tc>
        <w:tc>
          <w:tcPr>
            <w:tcW w:w="378"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2.8</w:t>
            </w:r>
          </w:p>
        </w:tc>
      </w:tr>
      <w:tr w:rsidR="00EE4502">
        <w:trPr>
          <w:trHeight w:val="397"/>
          <w:tblCellSpacing w:w="0" w:type="dxa"/>
        </w:trPr>
        <w:tc>
          <w:tcPr>
            <w:tcW w:w="340" w:type="pct"/>
            <w:shd w:val="clear" w:color="auto" w:fill="auto"/>
            <w:tcMar>
              <w:top w:w="20" w:type="dxa"/>
              <w:left w:w="20" w:type="dxa"/>
              <w:bottom w:w="72" w:type="dxa"/>
              <w:right w:w="20" w:type="dxa"/>
            </w:tcMar>
            <w:vAlign w:val="center"/>
          </w:tcPr>
          <w:p w:rsidR="00EE4502" w:rsidRDefault="00FD45A3">
            <w:pPr>
              <w:pStyle w:val="aff8"/>
              <w:rPr>
                <w:rFonts w:eastAsia="宋体"/>
                <w:color w:val="auto"/>
                <w:spacing w:val="0"/>
                <w:kern w:val="21"/>
                <w:szCs w:val="21"/>
              </w:rPr>
            </w:pPr>
            <w:r>
              <w:rPr>
                <w:rFonts w:eastAsia="宋体"/>
                <w:color w:val="auto"/>
                <w:spacing w:val="0"/>
                <w:kern w:val="21"/>
                <w:szCs w:val="21"/>
              </w:rPr>
              <w:t>5</w:t>
            </w:r>
          </w:p>
        </w:tc>
        <w:tc>
          <w:tcPr>
            <w:tcW w:w="340" w:type="pct"/>
            <w:shd w:val="clear" w:color="auto" w:fill="auto"/>
            <w:tcMar>
              <w:top w:w="20" w:type="dxa"/>
              <w:left w:w="20" w:type="dxa"/>
              <w:bottom w:w="72" w:type="dxa"/>
              <w:right w:w="20" w:type="dxa"/>
            </w:tcMar>
            <w:vAlign w:val="center"/>
          </w:tcPr>
          <w:p w:rsidR="00EE4502" w:rsidRDefault="00FD45A3">
            <w:pPr>
              <w:pStyle w:val="aff8"/>
              <w:rPr>
                <w:rFonts w:eastAsia="宋体"/>
                <w:color w:val="auto"/>
                <w:spacing w:val="0"/>
                <w:kern w:val="21"/>
                <w:szCs w:val="21"/>
              </w:rPr>
            </w:pPr>
            <w:r>
              <w:rPr>
                <w:rFonts w:eastAsia="宋体"/>
                <w:color w:val="auto"/>
                <w:spacing w:val="0"/>
                <w:kern w:val="21"/>
                <w:szCs w:val="21"/>
              </w:rPr>
              <w:t>18</w:t>
            </w:r>
          </w:p>
        </w:tc>
        <w:tc>
          <w:tcPr>
            <w:tcW w:w="340" w:type="pct"/>
            <w:shd w:val="clear" w:color="auto" w:fill="auto"/>
            <w:tcMar>
              <w:top w:w="20" w:type="dxa"/>
              <w:left w:w="20" w:type="dxa"/>
              <w:bottom w:w="72" w:type="dxa"/>
              <w:right w:w="20" w:type="dxa"/>
            </w:tcMar>
            <w:vAlign w:val="center"/>
          </w:tcPr>
          <w:p w:rsidR="00EE4502" w:rsidRDefault="00FD45A3">
            <w:pPr>
              <w:pStyle w:val="aff8"/>
              <w:rPr>
                <w:rFonts w:eastAsia="宋体"/>
                <w:color w:val="auto"/>
                <w:spacing w:val="0"/>
                <w:kern w:val="21"/>
                <w:szCs w:val="21"/>
              </w:rPr>
            </w:pPr>
            <w:r>
              <w:rPr>
                <w:rFonts w:eastAsia="宋体"/>
                <w:color w:val="auto"/>
                <w:spacing w:val="0"/>
                <w:kern w:val="21"/>
                <w:szCs w:val="21"/>
              </w:rPr>
              <w:t>300</w:t>
            </w:r>
          </w:p>
        </w:tc>
        <w:tc>
          <w:tcPr>
            <w:tcW w:w="346"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2.9</w:t>
            </w:r>
          </w:p>
        </w:tc>
        <w:tc>
          <w:tcPr>
            <w:tcW w:w="340"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7.3</w:t>
            </w:r>
          </w:p>
        </w:tc>
        <w:tc>
          <w:tcPr>
            <w:tcW w:w="340"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1.57</w:t>
            </w:r>
          </w:p>
        </w:tc>
        <w:tc>
          <w:tcPr>
            <w:tcW w:w="340"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2.35</w:t>
            </w:r>
          </w:p>
        </w:tc>
        <w:tc>
          <w:tcPr>
            <w:tcW w:w="340"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3.92</w:t>
            </w:r>
          </w:p>
        </w:tc>
        <w:tc>
          <w:tcPr>
            <w:tcW w:w="378"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10.56</w:t>
            </w:r>
          </w:p>
        </w:tc>
        <w:tc>
          <w:tcPr>
            <w:tcW w:w="378"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9.58</w:t>
            </w:r>
          </w:p>
        </w:tc>
        <w:tc>
          <w:tcPr>
            <w:tcW w:w="378"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20.14</w:t>
            </w:r>
          </w:p>
        </w:tc>
        <w:tc>
          <w:tcPr>
            <w:tcW w:w="378"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59.9</w:t>
            </w:r>
          </w:p>
        </w:tc>
        <w:tc>
          <w:tcPr>
            <w:tcW w:w="378"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0.48</w:t>
            </w:r>
          </w:p>
        </w:tc>
        <w:tc>
          <w:tcPr>
            <w:tcW w:w="378"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3.2</w:t>
            </w:r>
          </w:p>
        </w:tc>
      </w:tr>
      <w:tr w:rsidR="00EE4502">
        <w:trPr>
          <w:trHeight w:val="397"/>
          <w:tblCellSpacing w:w="0" w:type="dxa"/>
        </w:trPr>
        <w:tc>
          <w:tcPr>
            <w:tcW w:w="340" w:type="pct"/>
            <w:shd w:val="clear" w:color="auto" w:fill="auto"/>
            <w:tcMar>
              <w:top w:w="20" w:type="dxa"/>
              <w:left w:w="20" w:type="dxa"/>
              <w:bottom w:w="72" w:type="dxa"/>
              <w:right w:w="20" w:type="dxa"/>
            </w:tcMar>
            <w:vAlign w:val="center"/>
          </w:tcPr>
          <w:p w:rsidR="00EE4502" w:rsidRDefault="00FD45A3">
            <w:pPr>
              <w:pStyle w:val="aff8"/>
              <w:rPr>
                <w:rFonts w:eastAsia="宋体"/>
                <w:color w:val="auto"/>
                <w:spacing w:val="0"/>
                <w:kern w:val="21"/>
                <w:szCs w:val="21"/>
              </w:rPr>
            </w:pPr>
            <w:r>
              <w:rPr>
                <w:rFonts w:eastAsia="宋体"/>
                <w:color w:val="auto"/>
                <w:spacing w:val="0"/>
                <w:kern w:val="21"/>
                <w:szCs w:val="21"/>
              </w:rPr>
              <w:t>6</w:t>
            </w:r>
          </w:p>
        </w:tc>
        <w:tc>
          <w:tcPr>
            <w:tcW w:w="340" w:type="pct"/>
            <w:shd w:val="clear" w:color="auto" w:fill="auto"/>
            <w:tcMar>
              <w:top w:w="20" w:type="dxa"/>
              <w:left w:w="20" w:type="dxa"/>
              <w:bottom w:w="72" w:type="dxa"/>
              <w:right w:w="20" w:type="dxa"/>
            </w:tcMar>
            <w:vAlign w:val="center"/>
          </w:tcPr>
          <w:p w:rsidR="00EE4502" w:rsidRDefault="00FD45A3">
            <w:pPr>
              <w:pStyle w:val="aff8"/>
              <w:rPr>
                <w:rFonts w:eastAsia="宋体"/>
                <w:color w:val="auto"/>
                <w:spacing w:val="0"/>
                <w:kern w:val="21"/>
                <w:szCs w:val="21"/>
              </w:rPr>
            </w:pPr>
            <w:r>
              <w:rPr>
                <w:rFonts w:eastAsia="宋体"/>
                <w:color w:val="auto"/>
                <w:spacing w:val="0"/>
                <w:kern w:val="21"/>
                <w:szCs w:val="21"/>
              </w:rPr>
              <w:t>18</w:t>
            </w:r>
          </w:p>
        </w:tc>
        <w:tc>
          <w:tcPr>
            <w:tcW w:w="340" w:type="pct"/>
            <w:shd w:val="clear" w:color="auto" w:fill="auto"/>
            <w:tcMar>
              <w:top w:w="20" w:type="dxa"/>
              <w:left w:w="20" w:type="dxa"/>
              <w:bottom w:w="72" w:type="dxa"/>
              <w:right w:w="20" w:type="dxa"/>
            </w:tcMar>
            <w:vAlign w:val="center"/>
          </w:tcPr>
          <w:p w:rsidR="00EE4502" w:rsidRDefault="00FD45A3">
            <w:pPr>
              <w:pStyle w:val="aff8"/>
              <w:rPr>
                <w:rFonts w:eastAsia="宋体"/>
                <w:color w:val="auto"/>
                <w:spacing w:val="0"/>
                <w:kern w:val="21"/>
                <w:szCs w:val="21"/>
              </w:rPr>
            </w:pPr>
            <w:r>
              <w:rPr>
                <w:rFonts w:eastAsia="宋体"/>
                <w:color w:val="auto"/>
                <w:spacing w:val="0"/>
                <w:kern w:val="21"/>
                <w:szCs w:val="21"/>
              </w:rPr>
              <w:t>300</w:t>
            </w:r>
          </w:p>
        </w:tc>
        <w:tc>
          <w:tcPr>
            <w:tcW w:w="346"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2.7</w:t>
            </w:r>
          </w:p>
        </w:tc>
        <w:tc>
          <w:tcPr>
            <w:tcW w:w="340"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7.2</w:t>
            </w:r>
          </w:p>
        </w:tc>
        <w:tc>
          <w:tcPr>
            <w:tcW w:w="340"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1.44</w:t>
            </w:r>
          </w:p>
        </w:tc>
        <w:tc>
          <w:tcPr>
            <w:tcW w:w="340"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2.42</w:t>
            </w:r>
          </w:p>
        </w:tc>
        <w:tc>
          <w:tcPr>
            <w:tcW w:w="340"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3.86</w:t>
            </w:r>
          </w:p>
        </w:tc>
        <w:tc>
          <w:tcPr>
            <w:tcW w:w="378"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12</w:t>
            </w:r>
            <w:r>
              <w:rPr>
                <w:rFonts w:hint="eastAsia"/>
                <w:kern w:val="0"/>
                <w:szCs w:val="21"/>
                <w:lang w:bidi="ar"/>
              </w:rPr>
              <w:t>.0</w:t>
            </w:r>
          </w:p>
        </w:tc>
        <w:tc>
          <w:tcPr>
            <w:tcW w:w="378"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12</w:t>
            </w:r>
            <w:r>
              <w:rPr>
                <w:rFonts w:hint="eastAsia"/>
                <w:kern w:val="0"/>
                <w:szCs w:val="21"/>
                <w:lang w:bidi="ar"/>
              </w:rPr>
              <w:t>.0</w:t>
            </w:r>
          </w:p>
        </w:tc>
        <w:tc>
          <w:tcPr>
            <w:tcW w:w="378"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24</w:t>
            </w:r>
            <w:r>
              <w:rPr>
                <w:rFonts w:hint="eastAsia"/>
                <w:kern w:val="0"/>
                <w:szCs w:val="21"/>
                <w:lang w:bidi="ar"/>
              </w:rPr>
              <w:t>.0</w:t>
            </w:r>
          </w:p>
        </w:tc>
        <w:tc>
          <w:tcPr>
            <w:tcW w:w="378"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62.6</w:t>
            </w:r>
          </w:p>
        </w:tc>
        <w:tc>
          <w:tcPr>
            <w:tcW w:w="378"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0.44</w:t>
            </w:r>
          </w:p>
        </w:tc>
        <w:tc>
          <w:tcPr>
            <w:tcW w:w="378"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3.7</w:t>
            </w:r>
          </w:p>
        </w:tc>
      </w:tr>
      <w:tr w:rsidR="00EE4502">
        <w:trPr>
          <w:trHeight w:val="397"/>
          <w:tblCellSpacing w:w="0" w:type="dxa"/>
        </w:trPr>
        <w:tc>
          <w:tcPr>
            <w:tcW w:w="340" w:type="pct"/>
            <w:shd w:val="clear" w:color="auto" w:fill="auto"/>
            <w:tcMar>
              <w:top w:w="20" w:type="dxa"/>
              <w:left w:w="20" w:type="dxa"/>
              <w:bottom w:w="72" w:type="dxa"/>
              <w:right w:w="20" w:type="dxa"/>
            </w:tcMar>
            <w:vAlign w:val="center"/>
          </w:tcPr>
          <w:p w:rsidR="00EE4502" w:rsidRDefault="00FD45A3">
            <w:pPr>
              <w:pStyle w:val="aff8"/>
              <w:rPr>
                <w:rFonts w:eastAsia="宋体"/>
                <w:color w:val="auto"/>
                <w:spacing w:val="0"/>
                <w:kern w:val="21"/>
                <w:szCs w:val="21"/>
              </w:rPr>
            </w:pPr>
            <w:r>
              <w:rPr>
                <w:rFonts w:eastAsia="宋体"/>
                <w:color w:val="auto"/>
                <w:spacing w:val="0"/>
                <w:kern w:val="21"/>
                <w:szCs w:val="21"/>
              </w:rPr>
              <w:t>7</w:t>
            </w:r>
          </w:p>
        </w:tc>
        <w:tc>
          <w:tcPr>
            <w:tcW w:w="340" w:type="pct"/>
            <w:shd w:val="clear" w:color="auto" w:fill="auto"/>
            <w:tcMar>
              <w:top w:w="20" w:type="dxa"/>
              <w:left w:w="20" w:type="dxa"/>
              <w:bottom w:w="72" w:type="dxa"/>
              <w:right w:w="20" w:type="dxa"/>
            </w:tcMar>
            <w:vAlign w:val="center"/>
          </w:tcPr>
          <w:p w:rsidR="00EE4502" w:rsidRDefault="00FD45A3">
            <w:pPr>
              <w:pStyle w:val="aff8"/>
              <w:rPr>
                <w:rFonts w:eastAsia="宋体"/>
                <w:color w:val="auto"/>
                <w:spacing w:val="0"/>
                <w:kern w:val="21"/>
                <w:szCs w:val="21"/>
              </w:rPr>
            </w:pPr>
            <w:r>
              <w:rPr>
                <w:rFonts w:eastAsia="宋体"/>
                <w:color w:val="auto"/>
                <w:spacing w:val="0"/>
                <w:kern w:val="21"/>
                <w:szCs w:val="21"/>
              </w:rPr>
              <w:t>18</w:t>
            </w:r>
          </w:p>
        </w:tc>
        <w:tc>
          <w:tcPr>
            <w:tcW w:w="340" w:type="pct"/>
            <w:shd w:val="clear" w:color="auto" w:fill="auto"/>
            <w:tcMar>
              <w:top w:w="20" w:type="dxa"/>
              <w:left w:w="20" w:type="dxa"/>
              <w:bottom w:w="72" w:type="dxa"/>
              <w:right w:w="20" w:type="dxa"/>
            </w:tcMar>
            <w:vAlign w:val="center"/>
          </w:tcPr>
          <w:p w:rsidR="00EE4502" w:rsidRDefault="00FD45A3">
            <w:pPr>
              <w:pStyle w:val="aff8"/>
              <w:rPr>
                <w:rFonts w:eastAsia="宋体"/>
                <w:color w:val="auto"/>
                <w:spacing w:val="0"/>
                <w:kern w:val="21"/>
                <w:szCs w:val="21"/>
              </w:rPr>
            </w:pPr>
            <w:r>
              <w:rPr>
                <w:rFonts w:eastAsia="宋体"/>
                <w:color w:val="auto"/>
                <w:spacing w:val="0"/>
                <w:kern w:val="21"/>
                <w:szCs w:val="21"/>
              </w:rPr>
              <w:t>300</w:t>
            </w:r>
          </w:p>
        </w:tc>
        <w:tc>
          <w:tcPr>
            <w:tcW w:w="346"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2.5</w:t>
            </w:r>
          </w:p>
        </w:tc>
        <w:tc>
          <w:tcPr>
            <w:tcW w:w="340"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7.1</w:t>
            </w:r>
          </w:p>
        </w:tc>
        <w:tc>
          <w:tcPr>
            <w:tcW w:w="340"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1.33</w:t>
            </w:r>
          </w:p>
        </w:tc>
        <w:tc>
          <w:tcPr>
            <w:tcW w:w="340"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2.48</w:t>
            </w:r>
          </w:p>
        </w:tc>
        <w:tc>
          <w:tcPr>
            <w:tcW w:w="340"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3.81</w:t>
            </w:r>
          </w:p>
        </w:tc>
        <w:tc>
          <w:tcPr>
            <w:tcW w:w="378"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13.33</w:t>
            </w:r>
          </w:p>
        </w:tc>
        <w:tc>
          <w:tcPr>
            <w:tcW w:w="378"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14.48</w:t>
            </w:r>
          </w:p>
        </w:tc>
        <w:tc>
          <w:tcPr>
            <w:tcW w:w="378"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27.81</w:t>
            </w:r>
          </w:p>
        </w:tc>
        <w:tc>
          <w:tcPr>
            <w:tcW w:w="378"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65.1</w:t>
            </w:r>
          </w:p>
        </w:tc>
        <w:tc>
          <w:tcPr>
            <w:tcW w:w="378"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0.41</w:t>
            </w:r>
          </w:p>
        </w:tc>
        <w:tc>
          <w:tcPr>
            <w:tcW w:w="378"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4.1</w:t>
            </w:r>
          </w:p>
        </w:tc>
      </w:tr>
      <w:tr w:rsidR="00EE4502">
        <w:trPr>
          <w:trHeight w:val="397"/>
          <w:tblCellSpacing w:w="0" w:type="dxa"/>
        </w:trPr>
        <w:tc>
          <w:tcPr>
            <w:tcW w:w="340" w:type="pct"/>
            <w:shd w:val="clear" w:color="auto" w:fill="auto"/>
            <w:tcMar>
              <w:top w:w="20" w:type="dxa"/>
              <w:left w:w="20" w:type="dxa"/>
              <w:bottom w:w="72" w:type="dxa"/>
              <w:right w:w="20" w:type="dxa"/>
            </w:tcMar>
            <w:vAlign w:val="center"/>
          </w:tcPr>
          <w:p w:rsidR="00EE4502" w:rsidRDefault="00FD45A3">
            <w:pPr>
              <w:pStyle w:val="aff8"/>
              <w:rPr>
                <w:rFonts w:eastAsia="宋体"/>
                <w:color w:val="auto"/>
                <w:spacing w:val="0"/>
                <w:kern w:val="21"/>
                <w:szCs w:val="21"/>
              </w:rPr>
            </w:pPr>
            <w:r>
              <w:rPr>
                <w:rFonts w:eastAsia="宋体"/>
                <w:color w:val="auto"/>
                <w:spacing w:val="0"/>
                <w:kern w:val="21"/>
                <w:szCs w:val="21"/>
              </w:rPr>
              <w:t>8</w:t>
            </w:r>
          </w:p>
        </w:tc>
        <w:tc>
          <w:tcPr>
            <w:tcW w:w="340" w:type="pct"/>
            <w:shd w:val="clear" w:color="auto" w:fill="auto"/>
            <w:tcMar>
              <w:top w:w="20" w:type="dxa"/>
              <w:left w:w="20" w:type="dxa"/>
              <w:bottom w:w="72" w:type="dxa"/>
              <w:right w:w="20" w:type="dxa"/>
            </w:tcMar>
            <w:vAlign w:val="center"/>
          </w:tcPr>
          <w:p w:rsidR="00EE4502" w:rsidRDefault="00FD45A3">
            <w:pPr>
              <w:pStyle w:val="aff8"/>
              <w:rPr>
                <w:rFonts w:eastAsia="宋体"/>
                <w:color w:val="auto"/>
                <w:spacing w:val="0"/>
                <w:kern w:val="21"/>
                <w:szCs w:val="21"/>
              </w:rPr>
            </w:pPr>
            <w:r>
              <w:rPr>
                <w:rFonts w:eastAsia="宋体"/>
                <w:color w:val="auto"/>
                <w:spacing w:val="0"/>
                <w:kern w:val="21"/>
                <w:szCs w:val="21"/>
              </w:rPr>
              <w:t>18</w:t>
            </w:r>
          </w:p>
        </w:tc>
        <w:tc>
          <w:tcPr>
            <w:tcW w:w="340" w:type="pct"/>
            <w:shd w:val="clear" w:color="auto" w:fill="auto"/>
            <w:tcMar>
              <w:top w:w="20" w:type="dxa"/>
              <w:left w:w="20" w:type="dxa"/>
              <w:bottom w:w="72" w:type="dxa"/>
              <w:right w:w="20" w:type="dxa"/>
            </w:tcMar>
            <w:vAlign w:val="center"/>
          </w:tcPr>
          <w:p w:rsidR="00EE4502" w:rsidRDefault="00FD45A3">
            <w:pPr>
              <w:pStyle w:val="aff8"/>
              <w:rPr>
                <w:rFonts w:eastAsia="宋体"/>
                <w:color w:val="auto"/>
                <w:spacing w:val="0"/>
                <w:kern w:val="21"/>
                <w:szCs w:val="21"/>
              </w:rPr>
            </w:pPr>
            <w:r>
              <w:rPr>
                <w:rFonts w:eastAsia="宋体"/>
                <w:color w:val="auto"/>
                <w:spacing w:val="0"/>
                <w:kern w:val="21"/>
                <w:szCs w:val="21"/>
              </w:rPr>
              <w:t>300</w:t>
            </w:r>
          </w:p>
        </w:tc>
        <w:tc>
          <w:tcPr>
            <w:tcW w:w="346"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2.3</w:t>
            </w:r>
          </w:p>
        </w:tc>
        <w:tc>
          <w:tcPr>
            <w:tcW w:w="340"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7</w:t>
            </w:r>
          </w:p>
        </w:tc>
        <w:tc>
          <w:tcPr>
            <w:tcW w:w="340"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1.25</w:t>
            </w:r>
          </w:p>
        </w:tc>
        <w:tc>
          <w:tcPr>
            <w:tcW w:w="340"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2.51</w:t>
            </w:r>
          </w:p>
        </w:tc>
        <w:tc>
          <w:tcPr>
            <w:tcW w:w="340"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3.76</w:t>
            </w:r>
          </w:p>
        </w:tc>
        <w:tc>
          <w:tcPr>
            <w:tcW w:w="378"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14.58</w:t>
            </w:r>
          </w:p>
        </w:tc>
        <w:tc>
          <w:tcPr>
            <w:tcW w:w="378"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16.99</w:t>
            </w:r>
          </w:p>
        </w:tc>
        <w:tc>
          <w:tcPr>
            <w:tcW w:w="378"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31.57</w:t>
            </w:r>
          </w:p>
        </w:tc>
        <w:tc>
          <w:tcPr>
            <w:tcW w:w="378"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66.7</w:t>
            </w:r>
          </w:p>
        </w:tc>
        <w:tc>
          <w:tcPr>
            <w:tcW w:w="378"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0.38</w:t>
            </w:r>
          </w:p>
        </w:tc>
        <w:tc>
          <w:tcPr>
            <w:tcW w:w="378"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4.5</w:t>
            </w:r>
          </w:p>
        </w:tc>
      </w:tr>
      <w:tr w:rsidR="00EE4502">
        <w:trPr>
          <w:trHeight w:val="397"/>
          <w:tblCellSpacing w:w="0" w:type="dxa"/>
        </w:trPr>
        <w:tc>
          <w:tcPr>
            <w:tcW w:w="340" w:type="pct"/>
            <w:shd w:val="clear" w:color="auto" w:fill="auto"/>
            <w:tcMar>
              <w:top w:w="20" w:type="dxa"/>
              <w:left w:w="20" w:type="dxa"/>
              <w:bottom w:w="72" w:type="dxa"/>
              <w:right w:w="20" w:type="dxa"/>
            </w:tcMar>
            <w:vAlign w:val="center"/>
          </w:tcPr>
          <w:p w:rsidR="00EE4502" w:rsidRDefault="00FD45A3">
            <w:pPr>
              <w:pStyle w:val="aff8"/>
              <w:rPr>
                <w:rFonts w:eastAsia="宋体"/>
                <w:color w:val="auto"/>
                <w:spacing w:val="0"/>
                <w:kern w:val="21"/>
                <w:szCs w:val="21"/>
              </w:rPr>
            </w:pPr>
            <w:r>
              <w:rPr>
                <w:rFonts w:eastAsia="宋体"/>
                <w:color w:val="auto"/>
                <w:spacing w:val="0"/>
                <w:kern w:val="21"/>
                <w:szCs w:val="21"/>
              </w:rPr>
              <w:t>9</w:t>
            </w:r>
          </w:p>
        </w:tc>
        <w:tc>
          <w:tcPr>
            <w:tcW w:w="340" w:type="pct"/>
            <w:shd w:val="clear" w:color="auto" w:fill="auto"/>
            <w:tcMar>
              <w:top w:w="20" w:type="dxa"/>
              <w:left w:w="20" w:type="dxa"/>
              <w:bottom w:w="72" w:type="dxa"/>
              <w:right w:w="20" w:type="dxa"/>
            </w:tcMar>
            <w:vAlign w:val="center"/>
          </w:tcPr>
          <w:p w:rsidR="00EE4502" w:rsidRDefault="00FD45A3">
            <w:pPr>
              <w:pStyle w:val="aff8"/>
              <w:rPr>
                <w:rFonts w:eastAsia="宋体"/>
                <w:color w:val="auto"/>
                <w:spacing w:val="0"/>
                <w:kern w:val="21"/>
                <w:szCs w:val="21"/>
              </w:rPr>
            </w:pPr>
            <w:r>
              <w:rPr>
                <w:rFonts w:eastAsia="宋体"/>
                <w:color w:val="auto"/>
                <w:spacing w:val="0"/>
                <w:kern w:val="21"/>
                <w:szCs w:val="21"/>
              </w:rPr>
              <w:t>18</w:t>
            </w:r>
          </w:p>
        </w:tc>
        <w:tc>
          <w:tcPr>
            <w:tcW w:w="340" w:type="pct"/>
            <w:shd w:val="clear" w:color="auto" w:fill="auto"/>
            <w:tcMar>
              <w:top w:w="20" w:type="dxa"/>
              <w:left w:w="20" w:type="dxa"/>
              <w:bottom w:w="72" w:type="dxa"/>
              <w:right w:w="20" w:type="dxa"/>
            </w:tcMar>
            <w:vAlign w:val="center"/>
          </w:tcPr>
          <w:p w:rsidR="00EE4502" w:rsidRDefault="00FD45A3">
            <w:pPr>
              <w:pStyle w:val="aff8"/>
              <w:rPr>
                <w:rFonts w:eastAsia="宋体"/>
                <w:color w:val="auto"/>
                <w:spacing w:val="0"/>
                <w:kern w:val="21"/>
                <w:szCs w:val="21"/>
              </w:rPr>
            </w:pPr>
            <w:r>
              <w:rPr>
                <w:rFonts w:eastAsia="宋体"/>
                <w:color w:val="auto"/>
                <w:spacing w:val="0"/>
                <w:kern w:val="21"/>
                <w:szCs w:val="21"/>
              </w:rPr>
              <w:t>300</w:t>
            </w:r>
          </w:p>
        </w:tc>
        <w:tc>
          <w:tcPr>
            <w:tcW w:w="346"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2.2</w:t>
            </w:r>
          </w:p>
        </w:tc>
        <w:tc>
          <w:tcPr>
            <w:tcW w:w="340"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6.8</w:t>
            </w:r>
          </w:p>
        </w:tc>
        <w:tc>
          <w:tcPr>
            <w:tcW w:w="340"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1.17</w:t>
            </w:r>
          </w:p>
        </w:tc>
        <w:tc>
          <w:tcPr>
            <w:tcW w:w="340"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2.52</w:t>
            </w:r>
          </w:p>
        </w:tc>
        <w:tc>
          <w:tcPr>
            <w:tcW w:w="340"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3.69</w:t>
            </w:r>
          </w:p>
        </w:tc>
        <w:tc>
          <w:tcPr>
            <w:tcW w:w="378"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15.75</w:t>
            </w:r>
          </w:p>
        </w:tc>
        <w:tc>
          <w:tcPr>
            <w:tcW w:w="378"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19.5</w:t>
            </w:r>
          </w:p>
        </w:tc>
        <w:tc>
          <w:tcPr>
            <w:tcW w:w="378"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35.26</w:t>
            </w:r>
          </w:p>
        </w:tc>
        <w:tc>
          <w:tcPr>
            <w:tcW w:w="378"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68.2</w:t>
            </w:r>
          </w:p>
        </w:tc>
        <w:tc>
          <w:tcPr>
            <w:tcW w:w="378"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0.36</w:t>
            </w:r>
          </w:p>
        </w:tc>
        <w:tc>
          <w:tcPr>
            <w:tcW w:w="378"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4.8</w:t>
            </w:r>
          </w:p>
        </w:tc>
      </w:tr>
      <w:tr w:rsidR="00EE4502">
        <w:trPr>
          <w:trHeight w:val="397"/>
          <w:tblCellSpacing w:w="0" w:type="dxa"/>
        </w:trPr>
        <w:tc>
          <w:tcPr>
            <w:tcW w:w="340" w:type="pct"/>
            <w:shd w:val="clear" w:color="auto" w:fill="auto"/>
            <w:tcMar>
              <w:top w:w="20" w:type="dxa"/>
              <w:left w:w="20" w:type="dxa"/>
              <w:bottom w:w="72" w:type="dxa"/>
              <w:right w:w="20" w:type="dxa"/>
            </w:tcMar>
            <w:vAlign w:val="center"/>
          </w:tcPr>
          <w:p w:rsidR="00EE4502" w:rsidRDefault="00FD45A3">
            <w:pPr>
              <w:pStyle w:val="aff8"/>
              <w:rPr>
                <w:rFonts w:eastAsia="宋体"/>
                <w:color w:val="auto"/>
                <w:spacing w:val="0"/>
                <w:kern w:val="21"/>
                <w:szCs w:val="21"/>
              </w:rPr>
            </w:pPr>
            <w:r>
              <w:rPr>
                <w:rFonts w:eastAsia="宋体"/>
                <w:color w:val="auto"/>
                <w:spacing w:val="0"/>
                <w:kern w:val="21"/>
                <w:szCs w:val="21"/>
              </w:rPr>
              <w:t>10</w:t>
            </w:r>
          </w:p>
        </w:tc>
        <w:tc>
          <w:tcPr>
            <w:tcW w:w="340" w:type="pct"/>
            <w:shd w:val="clear" w:color="auto" w:fill="auto"/>
            <w:tcMar>
              <w:top w:w="20" w:type="dxa"/>
              <w:left w:w="20" w:type="dxa"/>
              <w:bottom w:w="72" w:type="dxa"/>
              <w:right w:w="20" w:type="dxa"/>
            </w:tcMar>
            <w:vAlign w:val="center"/>
          </w:tcPr>
          <w:p w:rsidR="00EE4502" w:rsidRDefault="00FD45A3">
            <w:pPr>
              <w:pStyle w:val="aff8"/>
              <w:rPr>
                <w:rFonts w:eastAsia="宋体"/>
                <w:color w:val="auto"/>
                <w:spacing w:val="0"/>
                <w:kern w:val="21"/>
                <w:szCs w:val="21"/>
              </w:rPr>
            </w:pPr>
            <w:r>
              <w:rPr>
                <w:rFonts w:eastAsia="宋体"/>
                <w:color w:val="auto"/>
                <w:spacing w:val="0"/>
                <w:kern w:val="21"/>
                <w:szCs w:val="21"/>
              </w:rPr>
              <w:t>18</w:t>
            </w:r>
          </w:p>
        </w:tc>
        <w:tc>
          <w:tcPr>
            <w:tcW w:w="340" w:type="pct"/>
            <w:shd w:val="clear" w:color="auto" w:fill="auto"/>
            <w:tcMar>
              <w:top w:w="20" w:type="dxa"/>
              <w:left w:w="20" w:type="dxa"/>
              <w:bottom w:w="72" w:type="dxa"/>
              <w:right w:w="20" w:type="dxa"/>
            </w:tcMar>
            <w:vAlign w:val="center"/>
          </w:tcPr>
          <w:p w:rsidR="00EE4502" w:rsidRDefault="00FD45A3">
            <w:pPr>
              <w:pStyle w:val="aff8"/>
              <w:rPr>
                <w:rFonts w:eastAsia="宋体"/>
                <w:color w:val="auto"/>
                <w:spacing w:val="0"/>
                <w:kern w:val="21"/>
                <w:szCs w:val="21"/>
              </w:rPr>
            </w:pPr>
            <w:r>
              <w:rPr>
                <w:rFonts w:eastAsia="宋体"/>
                <w:color w:val="auto"/>
                <w:spacing w:val="0"/>
                <w:kern w:val="21"/>
                <w:szCs w:val="21"/>
              </w:rPr>
              <w:t>300</w:t>
            </w:r>
          </w:p>
        </w:tc>
        <w:tc>
          <w:tcPr>
            <w:tcW w:w="346"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2.1</w:t>
            </w:r>
          </w:p>
        </w:tc>
        <w:tc>
          <w:tcPr>
            <w:tcW w:w="340"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6.7</w:t>
            </w:r>
          </w:p>
        </w:tc>
        <w:tc>
          <w:tcPr>
            <w:tcW w:w="340"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1.12</w:t>
            </w:r>
          </w:p>
        </w:tc>
        <w:tc>
          <w:tcPr>
            <w:tcW w:w="340"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2.53</w:t>
            </w:r>
          </w:p>
        </w:tc>
        <w:tc>
          <w:tcPr>
            <w:tcW w:w="340"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3.64</w:t>
            </w:r>
          </w:p>
        </w:tc>
        <w:tc>
          <w:tcPr>
            <w:tcW w:w="378"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16.87</w:t>
            </w:r>
          </w:p>
        </w:tc>
        <w:tc>
          <w:tcPr>
            <w:tcW w:w="378"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22.03</w:t>
            </w:r>
          </w:p>
        </w:tc>
        <w:tc>
          <w:tcPr>
            <w:tcW w:w="378"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38.9</w:t>
            </w:r>
          </w:p>
        </w:tc>
        <w:tc>
          <w:tcPr>
            <w:tcW w:w="378"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69.4</w:t>
            </w:r>
          </w:p>
        </w:tc>
        <w:tc>
          <w:tcPr>
            <w:tcW w:w="378"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0.34</w:t>
            </w:r>
          </w:p>
        </w:tc>
        <w:tc>
          <w:tcPr>
            <w:tcW w:w="378"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5.2</w:t>
            </w:r>
          </w:p>
        </w:tc>
      </w:tr>
      <w:tr w:rsidR="00EE4502">
        <w:trPr>
          <w:trHeight w:val="397"/>
          <w:tblCellSpacing w:w="0" w:type="dxa"/>
        </w:trPr>
        <w:tc>
          <w:tcPr>
            <w:tcW w:w="340" w:type="pct"/>
            <w:shd w:val="clear" w:color="auto" w:fill="auto"/>
            <w:tcMar>
              <w:top w:w="20" w:type="dxa"/>
              <w:left w:w="20" w:type="dxa"/>
              <w:bottom w:w="72" w:type="dxa"/>
              <w:right w:w="20" w:type="dxa"/>
            </w:tcMar>
            <w:vAlign w:val="center"/>
          </w:tcPr>
          <w:p w:rsidR="00EE4502" w:rsidRDefault="00FD45A3">
            <w:pPr>
              <w:pStyle w:val="aff8"/>
              <w:rPr>
                <w:rFonts w:eastAsia="宋体"/>
                <w:color w:val="auto"/>
                <w:spacing w:val="0"/>
                <w:kern w:val="21"/>
                <w:szCs w:val="21"/>
              </w:rPr>
            </w:pPr>
            <w:r>
              <w:rPr>
                <w:rFonts w:eastAsia="宋体"/>
                <w:color w:val="auto"/>
                <w:spacing w:val="0"/>
                <w:kern w:val="21"/>
                <w:szCs w:val="21"/>
              </w:rPr>
              <w:t>11</w:t>
            </w:r>
          </w:p>
        </w:tc>
        <w:tc>
          <w:tcPr>
            <w:tcW w:w="340" w:type="pct"/>
            <w:shd w:val="clear" w:color="auto" w:fill="auto"/>
            <w:tcMar>
              <w:top w:w="20" w:type="dxa"/>
              <w:left w:w="20" w:type="dxa"/>
              <w:bottom w:w="72" w:type="dxa"/>
              <w:right w:w="20" w:type="dxa"/>
            </w:tcMar>
            <w:vAlign w:val="center"/>
          </w:tcPr>
          <w:p w:rsidR="00EE4502" w:rsidRDefault="00FD45A3">
            <w:pPr>
              <w:pStyle w:val="aff8"/>
              <w:rPr>
                <w:rFonts w:eastAsia="宋体"/>
                <w:color w:val="auto"/>
                <w:spacing w:val="0"/>
                <w:kern w:val="21"/>
                <w:szCs w:val="21"/>
              </w:rPr>
            </w:pPr>
            <w:r>
              <w:rPr>
                <w:rFonts w:eastAsia="宋体"/>
                <w:color w:val="auto"/>
                <w:spacing w:val="0"/>
                <w:kern w:val="21"/>
                <w:szCs w:val="21"/>
              </w:rPr>
              <w:t>18</w:t>
            </w:r>
          </w:p>
        </w:tc>
        <w:tc>
          <w:tcPr>
            <w:tcW w:w="340" w:type="pct"/>
            <w:shd w:val="clear" w:color="auto" w:fill="auto"/>
            <w:tcMar>
              <w:top w:w="20" w:type="dxa"/>
              <w:left w:w="20" w:type="dxa"/>
              <w:bottom w:w="72" w:type="dxa"/>
              <w:right w:w="20" w:type="dxa"/>
            </w:tcMar>
            <w:vAlign w:val="center"/>
          </w:tcPr>
          <w:p w:rsidR="00EE4502" w:rsidRDefault="00FD45A3">
            <w:pPr>
              <w:pStyle w:val="aff8"/>
              <w:rPr>
                <w:rFonts w:eastAsia="宋体"/>
                <w:color w:val="auto"/>
                <w:spacing w:val="0"/>
                <w:kern w:val="21"/>
                <w:szCs w:val="21"/>
              </w:rPr>
            </w:pPr>
            <w:r>
              <w:rPr>
                <w:rFonts w:eastAsia="宋体"/>
                <w:color w:val="auto"/>
                <w:spacing w:val="0"/>
                <w:kern w:val="21"/>
                <w:szCs w:val="21"/>
              </w:rPr>
              <w:t>300</w:t>
            </w:r>
          </w:p>
        </w:tc>
        <w:tc>
          <w:tcPr>
            <w:tcW w:w="346"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2</w:t>
            </w:r>
          </w:p>
        </w:tc>
        <w:tc>
          <w:tcPr>
            <w:tcW w:w="340"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6.6</w:t>
            </w:r>
          </w:p>
        </w:tc>
        <w:tc>
          <w:tcPr>
            <w:tcW w:w="340"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1.06</w:t>
            </w:r>
          </w:p>
        </w:tc>
        <w:tc>
          <w:tcPr>
            <w:tcW w:w="340"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2.52</w:t>
            </w:r>
          </w:p>
        </w:tc>
        <w:tc>
          <w:tcPr>
            <w:tcW w:w="340"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3.58</w:t>
            </w:r>
          </w:p>
        </w:tc>
        <w:tc>
          <w:tcPr>
            <w:tcW w:w="378"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17.93</w:t>
            </w:r>
          </w:p>
        </w:tc>
        <w:tc>
          <w:tcPr>
            <w:tcW w:w="378"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24.55</w:t>
            </w:r>
          </w:p>
        </w:tc>
        <w:tc>
          <w:tcPr>
            <w:tcW w:w="378"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42.48</w:t>
            </w:r>
          </w:p>
        </w:tc>
        <w:tc>
          <w:tcPr>
            <w:tcW w:w="378"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70.4</w:t>
            </w:r>
          </w:p>
        </w:tc>
        <w:tc>
          <w:tcPr>
            <w:tcW w:w="378"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0.33</w:t>
            </w:r>
          </w:p>
        </w:tc>
        <w:tc>
          <w:tcPr>
            <w:tcW w:w="378"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5.5</w:t>
            </w:r>
          </w:p>
        </w:tc>
      </w:tr>
      <w:tr w:rsidR="00EE4502">
        <w:trPr>
          <w:trHeight w:val="397"/>
          <w:tblCellSpacing w:w="0" w:type="dxa"/>
        </w:trPr>
        <w:tc>
          <w:tcPr>
            <w:tcW w:w="340" w:type="pct"/>
            <w:shd w:val="clear" w:color="auto" w:fill="auto"/>
            <w:tcMar>
              <w:top w:w="20" w:type="dxa"/>
              <w:left w:w="20" w:type="dxa"/>
              <w:bottom w:w="72" w:type="dxa"/>
              <w:right w:w="20" w:type="dxa"/>
            </w:tcMar>
            <w:vAlign w:val="center"/>
          </w:tcPr>
          <w:p w:rsidR="00EE4502" w:rsidRDefault="00FD45A3">
            <w:pPr>
              <w:pStyle w:val="aff8"/>
              <w:rPr>
                <w:rFonts w:eastAsia="宋体"/>
                <w:color w:val="auto"/>
                <w:spacing w:val="0"/>
                <w:kern w:val="21"/>
                <w:szCs w:val="21"/>
              </w:rPr>
            </w:pPr>
            <w:r>
              <w:rPr>
                <w:rFonts w:eastAsia="宋体"/>
                <w:color w:val="auto"/>
                <w:spacing w:val="0"/>
                <w:kern w:val="21"/>
                <w:szCs w:val="21"/>
              </w:rPr>
              <w:t>12</w:t>
            </w:r>
          </w:p>
        </w:tc>
        <w:tc>
          <w:tcPr>
            <w:tcW w:w="340" w:type="pct"/>
            <w:shd w:val="clear" w:color="auto" w:fill="auto"/>
            <w:tcMar>
              <w:top w:w="20" w:type="dxa"/>
              <w:left w:w="20" w:type="dxa"/>
              <w:bottom w:w="72" w:type="dxa"/>
              <w:right w:w="20" w:type="dxa"/>
            </w:tcMar>
            <w:vAlign w:val="center"/>
          </w:tcPr>
          <w:p w:rsidR="00EE4502" w:rsidRDefault="00FD45A3">
            <w:pPr>
              <w:pStyle w:val="aff8"/>
              <w:rPr>
                <w:rFonts w:eastAsia="宋体"/>
                <w:color w:val="auto"/>
                <w:spacing w:val="0"/>
                <w:kern w:val="21"/>
                <w:szCs w:val="21"/>
              </w:rPr>
            </w:pPr>
            <w:r>
              <w:rPr>
                <w:rFonts w:eastAsia="宋体"/>
                <w:color w:val="auto"/>
                <w:spacing w:val="0"/>
                <w:kern w:val="21"/>
                <w:szCs w:val="21"/>
              </w:rPr>
              <w:t>18</w:t>
            </w:r>
          </w:p>
        </w:tc>
        <w:tc>
          <w:tcPr>
            <w:tcW w:w="340" w:type="pct"/>
            <w:shd w:val="clear" w:color="auto" w:fill="auto"/>
            <w:tcMar>
              <w:top w:w="20" w:type="dxa"/>
              <w:left w:w="20" w:type="dxa"/>
              <w:bottom w:w="72" w:type="dxa"/>
              <w:right w:w="20" w:type="dxa"/>
            </w:tcMar>
            <w:vAlign w:val="center"/>
          </w:tcPr>
          <w:p w:rsidR="00EE4502" w:rsidRDefault="00FD45A3">
            <w:pPr>
              <w:pStyle w:val="aff8"/>
              <w:rPr>
                <w:rFonts w:eastAsia="宋体"/>
                <w:color w:val="auto"/>
                <w:spacing w:val="0"/>
                <w:kern w:val="21"/>
                <w:szCs w:val="21"/>
              </w:rPr>
            </w:pPr>
            <w:r>
              <w:rPr>
                <w:rFonts w:eastAsia="宋体"/>
                <w:color w:val="auto"/>
                <w:spacing w:val="0"/>
                <w:kern w:val="21"/>
                <w:szCs w:val="21"/>
              </w:rPr>
              <w:t>300</w:t>
            </w:r>
          </w:p>
        </w:tc>
        <w:tc>
          <w:tcPr>
            <w:tcW w:w="346"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1.9</w:t>
            </w:r>
          </w:p>
        </w:tc>
        <w:tc>
          <w:tcPr>
            <w:tcW w:w="340"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6.5</w:t>
            </w:r>
          </w:p>
        </w:tc>
        <w:tc>
          <w:tcPr>
            <w:tcW w:w="340"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1.01</w:t>
            </w:r>
          </w:p>
        </w:tc>
        <w:tc>
          <w:tcPr>
            <w:tcW w:w="340"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2.51</w:t>
            </w:r>
          </w:p>
        </w:tc>
        <w:tc>
          <w:tcPr>
            <w:tcW w:w="340"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3.51</w:t>
            </w:r>
          </w:p>
        </w:tc>
        <w:tc>
          <w:tcPr>
            <w:tcW w:w="378"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18.94</w:t>
            </w:r>
          </w:p>
        </w:tc>
        <w:tc>
          <w:tcPr>
            <w:tcW w:w="378"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27.06</w:t>
            </w:r>
          </w:p>
        </w:tc>
        <w:tc>
          <w:tcPr>
            <w:tcW w:w="378"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46</w:t>
            </w:r>
          </w:p>
        </w:tc>
        <w:tc>
          <w:tcPr>
            <w:tcW w:w="378"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71.3</w:t>
            </w:r>
          </w:p>
        </w:tc>
        <w:tc>
          <w:tcPr>
            <w:tcW w:w="378"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0.31</w:t>
            </w:r>
          </w:p>
        </w:tc>
        <w:tc>
          <w:tcPr>
            <w:tcW w:w="378"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5.8</w:t>
            </w:r>
          </w:p>
        </w:tc>
      </w:tr>
      <w:tr w:rsidR="00EE4502">
        <w:trPr>
          <w:trHeight w:val="397"/>
          <w:tblCellSpacing w:w="0" w:type="dxa"/>
        </w:trPr>
        <w:tc>
          <w:tcPr>
            <w:tcW w:w="340" w:type="pct"/>
            <w:shd w:val="clear" w:color="auto" w:fill="auto"/>
            <w:tcMar>
              <w:top w:w="20" w:type="dxa"/>
              <w:left w:w="20" w:type="dxa"/>
              <w:bottom w:w="72" w:type="dxa"/>
              <w:right w:w="20" w:type="dxa"/>
            </w:tcMar>
            <w:vAlign w:val="center"/>
          </w:tcPr>
          <w:p w:rsidR="00EE4502" w:rsidRDefault="00FD45A3">
            <w:pPr>
              <w:pStyle w:val="aff8"/>
              <w:rPr>
                <w:rFonts w:eastAsia="宋体"/>
                <w:color w:val="auto"/>
                <w:spacing w:val="0"/>
                <w:kern w:val="21"/>
                <w:szCs w:val="21"/>
              </w:rPr>
            </w:pPr>
            <w:r>
              <w:rPr>
                <w:rFonts w:eastAsia="宋体"/>
                <w:color w:val="auto"/>
                <w:spacing w:val="0"/>
                <w:kern w:val="21"/>
                <w:szCs w:val="21"/>
              </w:rPr>
              <w:lastRenderedPageBreak/>
              <w:t>13</w:t>
            </w:r>
          </w:p>
        </w:tc>
        <w:tc>
          <w:tcPr>
            <w:tcW w:w="340" w:type="pct"/>
            <w:shd w:val="clear" w:color="auto" w:fill="auto"/>
            <w:tcMar>
              <w:top w:w="20" w:type="dxa"/>
              <w:left w:w="20" w:type="dxa"/>
              <w:bottom w:w="72" w:type="dxa"/>
              <w:right w:w="20" w:type="dxa"/>
            </w:tcMar>
            <w:vAlign w:val="center"/>
          </w:tcPr>
          <w:p w:rsidR="00EE4502" w:rsidRDefault="00FD45A3">
            <w:pPr>
              <w:pStyle w:val="aff8"/>
              <w:rPr>
                <w:rFonts w:eastAsia="宋体"/>
                <w:color w:val="auto"/>
                <w:spacing w:val="0"/>
                <w:kern w:val="21"/>
                <w:szCs w:val="21"/>
              </w:rPr>
            </w:pPr>
            <w:r>
              <w:rPr>
                <w:rFonts w:eastAsia="宋体"/>
                <w:color w:val="auto"/>
                <w:spacing w:val="0"/>
                <w:kern w:val="21"/>
                <w:szCs w:val="21"/>
              </w:rPr>
              <w:t>18</w:t>
            </w:r>
          </w:p>
        </w:tc>
        <w:tc>
          <w:tcPr>
            <w:tcW w:w="340" w:type="pct"/>
            <w:shd w:val="clear" w:color="auto" w:fill="auto"/>
            <w:tcMar>
              <w:top w:w="20" w:type="dxa"/>
              <w:left w:w="20" w:type="dxa"/>
              <w:bottom w:w="72" w:type="dxa"/>
              <w:right w:w="20" w:type="dxa"/>
            </w:tcMar>
            <w:vAlign w:val="center"/>
          </w:tcPr>
          <w:p w:rsidR="00EE4502" w:rsidRDefault="00FD45A3">
            <w:pPr>
              <w:pStyle w:val="aff8"/>
              <w:rPr>
                <w:rFonts w:eastAsia="宋体"/>
                <w:color w:val="auto"/>
                <w:spacing w:val="0"/>
                <w:kern w:val="21"/>
                <w:szCs w:val="21"/>
              </w:rPr>
            </w:pPr>
            <w:r>
              <w:rPr>
                <w:rFonts w:eastAsia="宋体"/>
                <w:color w:val="auto"/>
                <w:spacing w:val="0"/>
                <w:kern w:val="21"/>
                <w:szCs w:val="21"/>
              </w:rPr>
              <w:t>300</w:t>
            </w:r>
          </w:p>
        </w:tc>
        <w:tc>
          <w:tcPr>
            <w:tcW w:w="346"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1.8</w:t>
            </w:r>
          </w:p>
        </w:tc>
        <w:tc>
          <w:tcPr>
            <w:tcW w:w="340"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6.4</w:t>
            </w:r>
          </w:p>
        </w:tc>
        <w:tc>
          <w:tcPr>
            <w:tcW w:w="340"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0.96</w:t>
            </w:r>
          </w:p>
        </w:tc>
        <w:tc>
          <w:tcPr>
            <w:tcW w:w="340"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2.49</w:t>
            </w:r>
          </w:p>
        </w:tc>
        <w:tc>
          <w:tcPr>
            <w:tcW w:w="340"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3.45</w:t>
            </w:r>
          </w:p>
        </w:tc>
        <w:tc>
          <w:tcPr>
            <w:tcW w:w="378"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19.89</w:t>
            </w:r>
          </w:p>
        </w:tc>
        <w:tc>
          <w:tcPr>
            <w:tcW w:w="378"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29.55</w:t>
            </w:r>
          </w:p>
        </w:tc>
        <w:tc>
          <w:tcPr>
            <w:tcW w:w="378"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49.44</w:t>
            </w:r>
          </w:p>
        </w:tc>
        <w:tc>
          <w:tcPr>
            <w:tcW w:w="378"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72.3</w:t>
            </w:r>
          </w:p>
        </w:tc>
        <w:tc>
          <w:tcPr>
            <w:tcW w:w="378"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0.29</w:t>
            </w:r>
          </w:p>
        </w:tc>
        <w:tc>
          <w:tcPr>
            <w:tcW w:w="378"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6.1</w:t>
            </w:r>
          </w:p>
        </w:tc>
      </w:tr>
      <w:tr w:rsidR="00EE4502">
        <w:trPr>
          <w:trHeight w:val="397"/>
          <w:tblCellSpacing w:w="0" w:type="dxa"/>
        </w:trPr>
        <w:tc>
          <w:tcPr>
            <w:tcW w:w="340" w:type="pct"/>
            <w:shd w:val="clear" w:color="auto" w:fill="auto"/>
            <w:tcMar>
              <w:top w:w="20" w:type="dxa"/>
              <w:left w:w="20" w:type="dxa"/>
              <w:bottom w:w="72" w:type="dxa"/>
              <w:right w:w="20" w:type="dxa"/>
            </w:tcMar>
            <w:vAlign w:val="center"/>
          </w:tcPr>
          <w:p w:rsidR="00EE4502" w:rsidRDefault="00FD45A3">
            <w:pPr>
              <w:pStyle w:val="aff8"/>
              <w:rPr>
                <w:rFonts w:eastAsia="宋体"/>
                <w:color w:val="auto"/>
                <w:spacing w:val="0"/>
                <w:kern w:val="21"/>
                <w:szCs w:val="21"/>
              </w:rPr>
            </w:pPr>
            <w:r>
              <w:rPr>
                <w:rFonts w:eastAsia="宋体"/>
                <w:color w:val="auto"/>
                <w:spacing w:val="0"/>
                <w:kern w:val="21"/>
                <w:szCs w:val="21"/>
              </w:rPr>
              <w:t>14</w:t>
            </w:r>
          </w:p>
        </w:tc>
        <w:tc>
          <w:tcPr>
            <w:tcW w:w="340" w:type="pct"/>
            <w:shd w:val="clear" w:color="auto" w:fill="auto"/>
            <w:tcMar>
              <w:top w:w="20" w:type="dxa"/>
              <w:left w:w="20" w:type="dxa"/>
              <w:bottom w:w="72" w:type="dxa"/>
              <w:right w:w="20" w:type="dxa"/>
            </w:tcMar>
            <w:vAlign w:val="center"/>
          </w:tcPr>
          <w:p w:rsidR="00EE4502" w:rsidRDefault="00FD45A3">
            <w:pPr>
              <w:pStyle w:val="aff8"/>
              <w:rPr>
                <w:rFonts w:eastAsia="宋体"/>
                <w:color w:val="auto"/>
                <w:spacing w:val="0"/>
                <w:kern w:val="21"/>
                <w:szCs w:val="21"/>
              </w:rPr>
            </w:pPr>
            <w:r>
              <w:rPr>
                <w:rFonts w:eastAsia="宋体"/>
                <w:color w:val="auto"/>
                <w:spacing w:val="0"/>
                <w:kern w:val="21"/>
                <w:szCs w:val="21"/>
              </w:rPr>
              <w:t>18</w:t>
            </w:r>
          </w:p>
        </w:tc>
        <w:tc>
          <w:tcPr>
            <w:tcW w:w="340" w:type="pct"/>
            <w:shd w:val="clear" w:color="auto" w:fill="auto"/>
            <w:tcMar>
              <w:top w:w="20" w:type="dxa"/>
              <w:left w:w="20" w:type="dxa"/>
              <w:bottom w:w="72" w:type="dxa"/>
              <w:right w:w="20" w:type="dxa"/>
            </w:tcMar>
            <w:vAlign w:val="center"/>
          </w:tcPr>
          <w:p w:rsidR="00EE4502" w:rsidRDefault="00FD45A3">
            <w:pPr>
              <w:pStyle w:val="aff8"/>
              <w:rPr>
                <w:rFonts w:eastAsia="宋体"/>
                <w:color w:val="auto"/>
                <w:spacing w:val="0"/>
                <w:kern w:val="21"/>
                <w:szCs w:val="21"/>
              </w:rPr>
            </w:pPr>
            <w:r>
              <w:rPr>
                <w:rFonts w:eastAsia="宋体"/>
                <w:color w:val="auto"/>
                <w:spacing w:val="0"/>
                <w:kern w:val="21"/>
                <w:szCs w:val="21"/>
              </w:rPr>
              <w:t>300</w:t>
            </w:r>
          </w:p>
        </w:tc>
        <w:tc>
          <w:tcPr>
            <w:tcW w:w="346"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1.7</w:t>
            </w:r>
          </w:p>
        </w:tc>
        <w:tc>
          <w:tcPr>
            <w:tcW w:w="340"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6.3</w:t>
            </w:r>
          </w:p>
        </w:tc>
        <w:tc>
          <w:tcPr>
            <w:tcW w:w="340"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0.91</w:t>
            </w:r>
          </w:p>
        </w:tc>
        <w:tc>
          <w:tcPr>
            <w:tcW w:w="340"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2.48</w:t>
            </w:r>
          </w:p>
        </w:tc>
        <w:tc>
          <w:tcPr>
            <w:tcW w:w="340"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3.39</w:t>
            </w:r>
          </w:p>
        </w:tc>
        <w:tc>
          <w:tcPr>
            <w:tcW w:w="378"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20.8</w:t>
            </w:r>
          </w:p>
        </w:tc>
        <w:tc>
          <w:tcPr>
            <w:tcW w:w="378"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32.03</w:t>
            </w:r>
          </w:p>
        </w:tc>
        <w:tc>
          <w:tcPr>
            <w:tcW w:w="378"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52.83</w:t>
            </w:r>
          </w:p>
        </w:tc>
        <w:tc>
          <w:tcPr>
            <w:tcW w:w="378"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73.2</w:t>
            </w:r>
          </w:p>
        </w:tc>
        <w:tc>
          <w:tcPr>
            <w:tcW w:w="378"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0.28</w:t>
            </w:r>
          </w:p>
        </w:tc>
        <w:tc>
          <w:tcPr>
            <w:tcW w:w="378"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6.4</w:t>
            </w:r>
          </w:p>
        </w:tc>
      </w:tr>
      <w:tr w:rsidR="00EE4502">
        <w:trPr>
          <w:trHeight w:val="397"/>
          <w:tblCellSpacing w:w="0" w:type="dxa"/>
        </w:trPr>
        <w:tc>
          <w:tcPr>
            <w:tcW w:w="340" w:type="pct"/>
            <w:shd w:val="clear" w:color="auto" w:fill="auto"/>
            <w:tcMar>
              <w:top w:w="20" w:type="dxa"/>
              <w:left w:w="20" w:type="dxa"/>
              <w:bottom w:w="72" w:type="dxa"/>
              <w:right w:w="20" w:type="dxa"/>
            </w:tcMar>
            <w:vAlign w:val="center"/>
          </w:tcPr>
          <w:p w:rsidR="00EE4502" w:rsidRDefault="00FD45A3">
            <w:pPr>
              <w:pStyle w:val="aff8"/>
              <w:rPr>
                <w:rFonts w:eastAsia="宋体"/>
                <w:color w:val="auto"/>
                <w:spacing w:val="0"/>
                <w:kern w:val="21"/>
                <w:szCs w:val="21"/>
              </w:rPr>
            </w:pPr>
            <w:r>
              <w:rPr>
                <w:rFonts w:eastAsia="宋体"/>
                <w:color w:val="auto"/>
                <w:spacing w:val="0"/>
                <w:kern w:val="21"/>
                <w:szCs w:val="21"/>
              </w:rPr>
              <w:t>15</w:t>
            </w:r>
          </w:p>
        </w:tc>
        <w:tc>
          <w:tcPr>
            <w:tcW w:w="340" w:type="pct"/>
            <w:shd w:val="clear" w:color="auto" w:fill="auto"/>
            <w:tcMar>
              <w:top w:w="20" w:type="dxa"/>
              <w:left w:w="20" w:type="dxa"/>
              <w:bottom w:w="72" w:type="dxa"/>
              <w:right w:w="20" w:type="dxa"/>
            </w:tcMar>
            <w:vAlign w:val="center"/>
          </w:tcPr>
          <w:p w:rsidR="00EE4502" w:rsidRDefault="00FD45A3">
            <w:pPr>
              <w:pStyle w:val="aff8"/>
              <w:rPr>
                <w:rFonts w:eastAsia="宋体"/>
                <w:color w:val="auto"/>
                <w:spacing w:val="0"/>
                <w:kern w:val="21"/>
                <w:szCs w:val="21"/>
              </w:rPr>
            </w:pPr>
            <w:r>
              <w:rPr>
                <w:rFonts w:eastAsia="宋体"/>
                <w:color w:val="auto"/>
                <w:spacing w:val="0"/>
                <w:kern w:val="21"/>
                <w:szCs w:val="21"/>
              </w:rPr>
              <w:t>18</w:t>
            </w:r>
          </w:p>
        </w:tc>
        <w:tc>
          <w:tcPr>
            <w:tcW w:w="340" w:type="pct"/>
            <w:shd w:val="clear" w:color="auto" w:fill="auto"/>
            <w:tcMar>
              <w:top w:w="20" w:type="dxa"/>
              <w:left w:w="20" w:type="dxa"/>
              <w:bottom w:w="72" w:type="dxa"/>
              <w:right w:w="20" w:type="dxa"/>
            </w:tcMar>
            <w:vAlign w:val="center"/>
          </w:tcPr>
          <w:p w:rsidR="00EE4502" w:rsidRDefault="00FD45A3">
            <w:pPr>
              <w:pStyle w:val="aff8"/>
              <w:rPr>
                <w:rFonts w:eastAsia="宋体"/>
                <w:color w:val="auto"/>
                <w:spacing w:val="0"/>
                <w:kern w:val="21"/>
                <w:szCs w:val="21"/>
              </w:rPr>
            </w:pPr>
            <w:r>
              <w:rPr>
                <w:rFonts w:eastAsia="宋体"/>
                <w:color w:val="auto"/>
                <w:spacing w:val="0"/>
                <w:kern w:val="21"/>
                <w:szCs w:val="21"/>
              </w:rPr>
              <w:t>300</w:t>
            </w:r>
          </w:p>
        </w:tc>
        <w:tc>
          <w:tcPr>
            <w:tcW w:w="346"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1.6</w:t>
            </w:r>
          </w:p>
        </w:tc>
        <w:tc>
          <w:tcPr>
            <w:tcW w:w="340"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6.2</w:t>
            </w:r>
          </w:p>
        </w:tc>
        <w:tc>
          <w:tcPr>
            <w:tcW w:w="340"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0.86</w:t>
            </w:r>
          </w:p>
        </w:tc>
        <w:tc>
          <w:tcPr>
            <w:tcW w:w="340"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2.47</w:t>
            </w:r>
          </w:p>
        </w:tc>
        <w:tc>
          <w:tcPr>
            <w:tcW w:w="340"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3.33</w:t>
            </w:r>
          </w:p>
        </w:tc>
        <w:tc>
          <w:tcPr>
            <w:tcW w:w="378"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21.66</w:t>
            </w:r>
          </w:p>
        </w:tc>
        <w:tc>
          <w:tcPr>
            <w:tcW w:w="378"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34.5</w:t>
            </w:r>
          </w:p>
        </w:tc>
        <w:tc>
          <w:tcPr>
            <w:tcW w:w="378"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56.17</w:t>
            </w:r>
          </w:p>
        </w:tc>
        <w:tc>
          <w:tcPr>
            <w:tcW w:w="378"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74.1</w:t>
            </w:r>
          </w:p>
        </w:tc>
        <w:tc>
          <w:tcPr>
            <w:tcW w:w="378"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0.26</w:t>
            </w:r>
          </w:p>
        </w:tc>
        <w:tc>
          <w:tcPr>
            <w:tcW w:w="378" w:type="pct"/>
            <w:shd w:val="clear" w:color="auto" w:fill="auto"/>
            <w:tcMar>
              <w:top w:w="20" w:type="dxa"/>
              <w:left w:w="20" w:type="dxa"/>
              <w:bottom w:w="72" w:type="dxa"/>
              <w:right w:w="20" w:type="dxa"/>
            </w:tcMar>
            <w:vAlign w:val="center"/>
          </w:tcPr>
          <w:p w:rsidR="00EE4502" w:rsidRDefault="00FD45A3">
            <w:pPr>
              <w:widowControl/>
              <w:jc w:val="center"/>
              <w:textAlignment w:val="top"/>
              <w:rPr>
                <w:kern w:val="21"/>
                <w:szCs w:val="21"/>
              </w:rPr>
            </w:pPr>
            <w:r>
              <w:rPr>
                <w:kern w:val="0"/>
                <w:szCs w:val="21"/>
                <w:lang w:bidi="ar"/>
              </w:rPr>
              <w:t>6.6</w:t>
            </w:r>
          </w:p>
        </w:tc>
      </w:tr>
    </w:tbl>
    <w:p w:rsidR="00EE4502" w:rsidRDefault="00EE4502">
      <w:pPr>
        <w:jc w:val="center"/>
        <w:rPr>
          <w:rFonts w:eastAsia="黑体" w:hAnsi="黑体"/>
          <w:bCs/>
          <w:sz w:val="15"/>
          <w:szCs w:val="15"/>
        </w:rPr>
      </w:pPr>
    </w:p>
    <w:p w:rsidR="00EE4502" w:rsidRDefault="00FD45A3">
      <w:pPr>
        <w:pStyle w:val="33"/>
        <w:numPr>
          <w:ilvl w:val="2"/>
          <w:numId w:val="30"/>
        </w:numPr>
        <w:spacing w:line="360" w:lineRule="auto"/>
        <w:ind w:left="0" w:firstLine="0"/>
        <w:rPr>
          <w:spacing w:val="0"/>
          <w:sz w:val="24"/>
          <w:szCs w:val="24"/>
        </w:rPr>
      </w:pPr>
      <w:bookmarkStart w:id="96" w:name="_Toc327897342"/>
      <w:r>
        <w:rPr>
          <w:spacing w:val="0"/>
          <w:sz w:val="24"/>
          <w:szCs w:val="24"/>
        </w:rPr>
        <w:t>主体工程</w:t>
      </w:r>
      <w:bookmarkEnd w:id="96"/>
    </w:p>
    <w:p w:rsidR="00EE4502" w:rsidRDefault="00FD45A3">
      <w:pPr>
        <w:spacing w:line="360" w:lineRule="auto"/>
        <w:ind w:firstLineChars="200" w:firstLine="480"/>
        <w:rPr>
          <w:sz w:val="24"/>
        </w:rPr>
      </w:pPr>
      <w:r>
        <w:rPr>
          <w:rFonts w:hint="eastAsia"/>
          <w:sz w:val="24"/>
        </w:rPr>
        <w:t>春风油田石炭系排</w:t>
      </w:r>
      <w:r>
        <w:rPr>
          <w:rFonts w:hint="eastAsia"/>
          <w:sz w:val="24"/>
        </w:rPr>
        <w:t>61</w:t>
      </w:r>
      <w:r>
        <w:rPr>
          <w:rFonts w:hint="eastAsia"/>
          <w:sz w:val="24"/>
        </w:rPr>
        <w:t>块产能建设工程</w:t>
      </w:r>
      <w:r>
        <w:rPr>
          <w:sz w:val="24"/>
        </w:rPr>
        <w:t>主体工程包括</w:t>
      </w:r>
      <w:r>
        <w:rPr>
          <w:rFonts w:hint="eastAsia"/>
          <w:sz w:val="24"/>
        </w:rPr>
        <w:t>钻前工程、</w:t>
      </w:r>
      <w:r>
        <w:rPr>
          <w:sz w:val="24"/>
        </w:rPr>
        <w:t>钻井工程、</w:t>
      </w:r>
      <w:r>
        <w:rPr>
          <w:rFonts w:hint="eastAsia"/>
          <w:sz w:val="24"/>
        </w:rPr>
        <w:t>采油工程、地面</w:t>
      </w:r>
      <w:r>
        <w:rPr>
          <w:sz w:val="24"/>
        </w:rPr>
        <w:t>工程等。</w:t>
      </w:r>
    </w:p>
    <w:p w:rsidR="00EE4502" w:rsidRDefault="00FD45A3">
      <w:pPr>
        <w:pStyle w:val="41"/>
        <w:numPr>
          <w:ilvl w:val="3"/>
          <w:numId w:val="30"/>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bCs w:val="0"/>
          <w:sz w:val="24"/>
          <w:szCs w:val="24"/>
        </w:rPr>
        <w:t>钻</w:t>
      </w:r>
      <w:r>
        <w:rPr>
          <w:rFonts w:ascii="Times New Roman" w:eastAsia="宋体" w:hAnsi="Times New Roman" w:hint="eastAsia"/>
          <w:bCs w:val="0"/>
          <w:sz w:val="24"/>
          <w:szCs w:val="24"/>
        </w:rPr>
        <w:t>前</w:t>
      </w:r>
      <w:r>
        <w:rPr>
          <w:rFonts w:ascii="Times New Roman" w:eastAsia="宋体" w:hAnsi="Times New Roman"/>
          <w:bCs w:val="0"/>
          <w:sz w:val="24"/>
          <w:szCs w:val="24"/>
        </w:rPr>
        <w:t>工程</w:t>
      </w:r>
    </w:p>
    <w:p w:rsidR="00EE4502" w:rsidRDefault="00FD45A3">
      <w:pPr>
        <w:spacing w:line="360" w:lineRule="auto"/>
        <w:ind w:firstLineChars="200" w:firstLine="480"/>
        <w:rPr>
          <w:sz w:val="24"/>
        </w:rPr>
      </w:pPr>
      <w:r>
        <w:rPr>
          <w:rFonts w:hint="eastAsia"/>
          <w:sz w:val="24"/>
        </w:rPr>
        <w:t>钻前工程包括平整井场、构筑物钻井设备地基、布置钻井设备等。井场主要钻井设备有：钻机（包括井架、天车、泥浆泵）、泥浆泵及泥浆固相控制系统、水罐，柴油发电机。井场边缘靠近泥浆循环系统处置泥浆罐（钻井期间存放钻井岩屑、废泥浆和废水）。</w:t>
      </w:r>
    </w:p>
    <w:p w:rsidR="00EE4502" w:rsidRDefault="00FD45A3">
      <w:pPr>
        <w:pStyle w:val="41"/>
        <w:numPr>
          <w:ilvl w:val="3"/>
          <w:numId w:val="30"/>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bCs w:val="0"/>
          <w:sz w:val="24"/>
          <w:szCs w:val="24"/>
        </w:rPr>
        <w:t>钻井工程</w:t>
      </w:r>
    </w:p>
    <w:p w:rsidR="00EE4502" w:rsidRDefault="00FD45A3">
      <w:pPr>
        <w:spacing w:line="360" w:lineRule="auto"/>
        <w:ind w:firstLineChars="200" w:firstLine="482"/>
        <w:rPr>
          <w:sz w:val="24"/>
        </w:rPr>
      </w:pPr>
      <w:r>
        <w:rPr>
          <w:b/>
          <w:bCs/>
          <w:sz w:val="24"/>
        </w:rPr>
        <w:t>（</w:t>
      </w:r>
      <w:r>
        <w:rPr>
          <w:b/>
          <w:bCs/>
          <w:sz w:val="24"/>
        </w:rPr>
        <w:t>1</w:t>
      </w:r>
      <w:r>
        <w:rPr>
          <w:b/>
          <w:bCs/>
          <w:sz w:val="24"/>
        </w:rPr>
        <w:t>）钻井规模</w:t>
      </w:r>
    </w:p>
    <w:p w:rsidR="00EE4502" w:rsidRDefault="00FD45A3">
      <w:pPr>
        <w:spacing w:line="360" w:lineRule="auto"/>
        <w:ind w:firstLineChars="200" w:firstLine="480"/>
        <w:rPr>
          <w:sz w:val="24"/>
        </w:rPr>
      </w:pPr>
      <w:r>
        <w:rPr>
          <w:rFonts w:hint="eastAsia"/>
          <w:sz w:val="24"/>
        </w:rPr>
        <w:t>本工程部署</w:t>
      </w:r>
      <w:r>
        <w:rPr>
          <w:rFonts w:hint="eastAsia"/>
          <w:sz w:val="24"/>
        </w:rPr>
        <w:t>22</w:t>
      </w:r>
      <w:r>
        <w:rPr>
          <w:rFonts w:hint="eastAsia"/>
          <w:sz w:val="24"/>
        </w:rPr>
        <w:t>口井，需钻井总数</w:t>
      </w:r>
      <w:r>
        <w:rPr>
          <w:rFonts w:hint="eastAsia"/>
          <w:sz w:val="24"/>
        </w:rPr>
        <w:t>18</w:t>
      </w:r>
      <w:r>
        <w:rPr>
          <w:rFonts w:hint="eastAsia"/>
          <w:sz w:val="24"/>
        </w:rPr>
        <w:t>口，其中</w:t>
      </w:r>
      <w:r>
        <w:rPr>
          <w:rFonts w:hint="eastAsia"/>
          <w:sz w:val="24"/>
        </w:rPr>
        <w:t>15</w:t>
      </w:r>
      <w:r>
        <w:rPr>
          <w:rFonts w:hint="eastAsia"/>
          <w:sz w:val="24"/>
        </w:rPr>
        <w:t>口采油井为水平井、</w:t>
      </w:r>
      <w:r>
        <w:rPr>
          <w:rFonts w:hint="eastAsia"/>
          <w:sz w:val="24"/>
        </w:rPr>
        <w:t>1</w:t>
      </w:r>
      <w:r>
        <w:rPr>
          <w:rFonts w:hint="eastAsia"/>
          <w:sz w:val="24"/>
        </w:rPr>
        <w:t>口注水井为定向井、</w:t>
      </w:r>
      <w:r>
        <w:rPr>
          <w:rFonts w:hint="eastAsia"/>
          <w:sz w:val="24"/>
        </w:rPr>
        <w:t>2</w:t>
      </w:r>
      <w:r>
        <w:rPr>
          <w:rFonts w:hint="eastAsia"/>
          <w:sz w:val="24"/>
        </w:rPr>
        <w:t>口注水井为直井。方案采用组台</w:t>
      </w:r>
      <w:r>
        <w:rPr>
          <w:rFonts w:hint="eastAsia"/>
          <w:sz w:val="24"/>
        </w:rPr>
        <w:t>+</w:t>
      </w:r>
      <w:r>
        <w:rPr>
          <w:rFonts w:hint="eastAsia"/>
          <w:sz w:val="24"/>
        </w:rPr>
        <w:t>单井模式实施</w:t>
      </w:r>
      <w:r>
        <w:rPr>
          <w:rFonts w:hint="eastAsia"/>
          <w:sz w:val="24"/>
        </w:rPr>
        <w:t>。</w:t>
      </w:r>
      <w:r>
        <w:rPr>
          <w:rFonts w:hint="eastAsia"/>
          <w:sz w:val="24"/>
        </w:rPr>
        <w:t>油井部署见表</w:t>
      </w:r>
      <w:r>
        <w:rPr>
          <w:rFonts w:hint="eastAsia"/>
          <w:sz w:val="24"/>
        </w:rPr>
        <w:t>3-3</w:t>
      </w:r>
      <w:r>
        <w:rPr>
          <w:sz w:val="24"/>
        </w:rPr>
        <w:t>-</w:t>
      </w:r>
      <w:r>
        <w:rPr>
          <w:rFonts w:hint="eastAsia"/>
          <w:sz w:val="24"/>
        </w:rPr>
        <w:t>7</w:t>
      </w:r>
      <w:r>
        <w:rPr>
          <w:rFonts w:hint="eastAsia"/>
          <w:sz w:val="24"/>
        </w:rPr>
        <w:t>。</w:t>
      </w:r>
    </w:p>
    <w:p w:rsidR="00EE4502" w:rsidRDefault="00FD45A3">
      <w:pPr>
        <w:spacing w:line="360" w:lineRule="auto"/>
        <w:jc w:val="center"/>
        <w:rPr>
          <w:rFonts w:eastAsia="黑体"/>
          <w:szCs w:val="21"/>
        </w:rPr>
      </w:pPr>
      <w:r>
        <w:rPr>
          <w:rFonts w:eastAsia="黑体"/>
          <w:szCs w:val="21"/>
        </w:rPr>
        <w:t>表</w:t>
      </w:r>
      <w:r>
        <w:rPr>
          <w:rFonts w:eastAsia="黑体" w:hint="eastAsia"/>
          <w:szCs w:val="21"/>
        </w:rPr>
        <w:t>3-3</w:t>
      </w:r>
      <w:r>
        <w:rPr>
          <w:rFonts w:eastAsia="黑体"/>
          <w:szCs w:val="21"/>
        </w:rPr>
        <w:t>-</w:t>
      </w:r>
      <w:r>
        <w:rPr>
          <w:rFonts w:eastAsia="黑体" w:hint="eastAsia"/>
          <w:szCs w:val="21"/>
        </w:rPr>
        <w:t>7</w:t>
      </w:r>
      <w:r>
        <w:rPr>
          <w:rFonts w:eastAsia="黑体"/>
          <w:szCs w:val="21"/>
        </w:rPr>
        <w:t xml:space="preserve">  </w:t>
      </w:r>
      <w:r>
        <w:rPr>
          <w:rFonts w:eastAsia="黑体"/>
          <w:szCs w:val="21"/>
        </w:rPr>
        <w:t>井位部署一览表</w:t>
      </w:r>
    </w:p>
    <w:tbl>
      <w:tblPr>
        <w:tblW w:w="4997"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583"/>
        <w:gridCol w:w="1049"/>
        <w:gridCol w:w="1242"/>
        <w:gridCol w:w="816"/>
        <w:gridCol w:w="1696"/>
        <w:gridCol w:w="1513"/>
        <w:gridCol w:w="1516"/>
      </w:tblGrid>
      <w:tr w:rsidR="00EE4502">
        <w:trPr>
          <w:trHeight w:val="397"/>
          <w:tblHeader/>
          <w:jc w:val="center"/>
        </w:trPr>
        <w:tc>
          <w:tcPr>
            <w:tcW w:w="346" w:type="pct"/>
            <w:vAlign w:val="center"/>
          </w:tcPr>
          <w:p w:rsidR="00EE4502" w:rsidRDefault="00FD45A3">
            <w:pPr>
              <w:widowControl/>
              <w:tabs>
                <w:tab w:val="left" w:pos="377"/>
              </w:tabs>
              <w:jc w:val="center"/>
              <w:rPr>
                <w:szCs w:val="21"/>
              </w:rPr>
            </w:pPr>
            <w:r>
              <w:rPr>
                <w:szCs w:val="21"/>
              </w:rPr>
              <w:t>序号</w:t>
            </w:r>
          </w:p>
        </w:tc>
        <w:tc>
          <w:tcPr>
            <w:tcW w:w="623" w:type="pct"/>
            <w:vAlign w:val="center"/>
          </w:tcPr>
          <w:p w:rsidR="00EE4502" w:rsidRDefault="00FD45A3">
            <w:pPr>
              <w:widowControl/>
              <w:tabs>
                <w:tab w:val="left" w:pos="377"/>
              </w:tabs>
              <w:jc w:val="center"/>
              <w:rPr>
                <w:szCs w:val="21"/>
              </w:rPr>
            </w:pPr>
            <w:r>
              <w:rPr>
                <w:szCs w:val="21"/>
              </w:rPr>
              <w:t>钻井平台</w:t>
            </w:r>
          </w:p>
        </w:tc>
        <w:tc>
          <w:tcPr>
            <w:tcW w:w="737" w:type="pct"/>
            <w:vAlign w:val="center"/>
          </w:tcPr>
          <w:p w:rsidR="00EE4502" w:rsidRDefault="00FD45A3">
            <w:pPr>
              <w:widowControl/>
              <w:tabs>
                <w:tab w:val="left" w:pos="377"/>
              </w:tabs>
              <w:jc w:val="center"/>
              <w:rPr>
                <w:szCs w:val="21"/>
              </w:rPr>
            </w:pPr>
            <w:r>
              <w:rPr>
                <w:szCs w:val="21"/>
              </w:rPr>
              <w:t>井号</w:t>
            </w:r>
          </w:p>
        </w:tc>
        <w:tc>
          <w:tcPr>
            <w:tcW w:w="485" w:type="pct"/>
            <w:vAlign w:val="center"/>
          </w:tcPr>
          <w:p w:rsidR="00EE4502" w:rsidRDefault="00FD45A3">
            <w:pPr>
              <w:widowControl/>
              <w:tabs>
                <w:tab w:val="left" w:pos="377"/>
              </w:tabs>
              <w:jc w:val="center"/>
              <w:rPr>
                <w:szCs w:val="21"/>
              </w:rPr>
            </w:pPr>
            <w:r>
              <w:rPr>
                <w:szCs w:val="21"/>
              </w:rPr>
              <w:t>井型</w:t>
            </w:r>
          </w:p>
        </w:tc>
        <w:tc>
          <w:tcPr>
            <w:tcW w:w="1007" w:type="pct"/>
            <w:vAlign w:val="center"/>
          </w:tcPr>
          <w:p w:rsidR="00EE4502" w:rsidRDefault="00FD45A3">
            <w:pPr>
              <w:widowControl/>
              <w:tabs>
                <w:tab w:val="left" w:pos="377"/>
              </w:tabs>
              <w:jc w:val="center"/>
              <w:rPr>
                <w:szCs w:val="21"/>
              </w:rPr>
            </w:pPr>
            <w:r>
              <w:rPr>
                <w:szCs w:val="21"/>
              </w:rPr>
              <w:t>水平段长（</w:t>
            </w:r>
            <w:r>
              <w:rPr>
                <w:szCs w:val="21"/>
              </w:rPr>
              <w:t>m</w:t>
            </w:r>
            <w:r>
              <w:rPr>
                <w:szCs w:val="21"/>
              </w:rPr>
              <w:t>）</w:t>
            </w:r>
          </w:p>
        </w:tc>
        <w:tc>
          <w:tcPr>
            <w:tcW w:w="898" w:type="pct"/>
            <w:vAlign w:val="center"/>
          </w:tcPr>
          <w:p w:rsidR="00EE4502" w:rsidRDefault="00FD45A3">
            <w:pPr>
              <w:widowControl/>
              <w:tabs>
                <w:tab w:val="left" w:pos="377"/>
              </w:tabs>
              <w:jc w:val="center"/>
              <w:rPr>
                <w:szCs w:val="21"/>
              </w:rPr>
            </w:pPr>
            <w:r>
              <w:rPr>
                <w:szCs w:val="21"/>
              </w:rPr>
              <w:t>开采方式</w:t>
            </w:r>
          </w:p>
        </w:tc>
        <w:tc>
          <w:tcPr>
            <w:tcW w:w="900" w:type="pct"/>
            <w:vAlign w:val="center"/>
          </w:tcPr>
          <w:p w:rsidR="00EE4502" w:rsidRDefault="00FD45A3">
            <w:pPr>
              <w:widowControl/>
              <w:tabs>
                <w:tab w:val="left" w:pos="377"/>
              </w:tabs>
              <w:jc w:val="center"/>
              <w:rPr>
                <w:szCs w:val="21"/>
              </w:rPr>
            </w:pPr>
            <w:r>
              <w:rPr>
                <w:szCs w:val="21"/>
              </w:rPr>
              <w:t>备注</w:t>
            </w:r>
          </w:p>
        </w:tc>
      </w:tr>
      <w:tr w:rsidR="00EE4502">
        <w:trPr>
          <w:trHeight w:val="397"/>
          <w:jc w:val="center"/>
        </w:trPr>
        <w:tc>
          <w:tcPr>
            <w:tcW w:w="346" w:type="pct"/>
            <w:vAlign w:val="center"/>
          </w:tcPr>
          <w:p w:rsidR="00EE4502" w:rsidRDefault="00FD45A3">
            <w:pPr>
              <w:widowControl/>
              <w:tabs>
                <w:tab w:val="left" w:pos="377"/>
              </w:tabs>
              <w:jc w:val="center"/>
              <w:rPr>
                <w:szCs w:val="21"/>
              </w:rPr>
            </w:pPr>
            <w:r>
              <w:rPr>
                <w:szCs w:val="21"/>
              </w:rPr>
              <w:t>1</w:t>
            </w:r>
          </w:p>
        </w:tc>
        <w:tc>
          <w:tcPr>
            <w:tcW w:w="623" w:type="pct"/>
            <w:vMerge w:val="restart"/>
            <w:vAlign w:val="center"/>
          </w:tcPr>
          <w:p w:rsidR="00EE4502" w:rsidRDefault="00FD45A3">
            <w:pPr>
              <w:widowControl/>
              <w:tabs>
                <w:tab w:val="left" w:pos="377"/>
              </w:tabs>
              <w:jc w:val="center"/>
              <w:rPr>
                <w:szCs w:val="21"/>
              </w:rPr>
            </w:pPr>
            <w:r>
              <w:rPr>
                <w:szCs w:val="21"/>
              </w:rPr>
              <w:t>1#</w:t>
            </w:r>
          </w:p>
        </w:tc>
        <w:tc>
          <w:tcPr>
            <w:tcW w:w="737" w:type="pct"/>
            <w:vAlign w:val="center"/>
          </w:tcPr>
          <w:p w:rsidR="00EE4502" w:rsidRDefault="00FD45A3">
            <w:pPr>
              <w:widowControl/>
              <w:tabs>
                <w:tab w:val="left" w:pos="377"/>
              </w:tabs>
              <w:jc w:val="center"/>
              <w:rPr>
                <w:szCs w:val="21"/>
              </w:rPr>
            </w:pPr>
            <w:r>
              <w:rPr>
                <w:szCs w:val="21"/>
              </w:rPr>
              <w:t>排</w:t>
            </w:r>
            <w:r>
              <w:rPr>
                <w:szCs w:val="21"/>
              </w:rPr>
              <w:t>61-</w:t>
            </w:r>
            <w:r>
              <w:rPr>
                <w:szCs w:val="21"/>
              </w:rPr>
              <w:t>平</w:t>
            </w:r>
            <w:r>
              <w:rPr>
                <w:szCs w:val="21"/>
              </w:rPr>
              <w:t>10</w:t>
            </w:r>
          </w:p>
        </w:tc>
        <w:tc>
          <w:tcPr>
            <w:tcW w:w="485" w:type="pct"/>
            <w:vAlign w:val="center"/>
          </w:tcPr>
          <w:p w:rsidR="00EE4502" w:rsidRDefault="00FD45A3">
            <w:pPr>
              <w:widowControl/>
              <w:tabs>
                <w:tab w:val="left" w:pos="377"/>
              </w:tabs>
              <w:jc w:val="center"/>
              <w:rPr>
                <w:szCs w:val="21"/>
              </w:rPr>
            </w:pPr>
            <w:r>
              <w:rPr>
                <w:szCs w:val="21"/>
              </w:rPr>
              <w:t>水平井</w:t>
            </w:r>
          </w:p>
        </w:tc>
        <w:tc>
          <w:tcPr>
            <w:tcW w:w="1007" w:type="pct"/>
            <w:vAlign w:val="center"/>
          </w:tcPr>
          <w:p w:rsidR="00EE4502" w:rsidRDefault="00FD45A3">
            <w:pPr>
              <w:widowControl/>
              <w:tabs>
                <w:tab w:val="left" w:pos="377"/>
              </w:tabs>
              <w:jc w:val="center"/>
              <w:rPr>
                <w:szCs w:val="21"/>
              </w:rPr>
            </w:pPr>
            <w:r>
              <w:rPr>
                <w:szCs w:val="21"/>
              </w:rPr>
              <w:t>460</w:t>
            </w:r>
          </w:p>
        </w:tc>
        <w:tc>
          <w:tcPr>
            <w:tcW w:w="898" w:type="pct"/>
            <w:vMerge w:val="restart"/>
            <w:vAlign w:val="center"/>
          </w:tcPr>
          <w:p w:rsidR="00EE4502" w:rsidRDefault="00FD45A3">
            <w:pPr>
              <w:widowControl/>
              <w:tabs>
                <w:tab w:val="left" w:pos="377"/>
              </w:tabs>
              <w:jc w:val="center"/>
              <w:rPr>
                <w:szCs w:val="21"/>
              </w:rPr>
            </w:pPr>
            <w:r>
              <w:rPr>
                <w:szCs w:val="21"/>
              </w:rPr>
              <w:t>冷采</w:t>
            </w:r>
          </w:p>
        </w:tc>
        <w:tc>
          <w:tcPr>
            <w:tcW w:w="900" w:type="pct"/>
            <w:vAlign w:val="center"/>
          </w:tcPr>
          <w:p w:rsidR="00EE4502" w:rsidRDefault="00EE4502">
            <w:pPr>
              <w:widowControl/>
              <w:tabs>
                <w:tab w:val="left" w:pos="377"/>
              </w:tabs>
              <w:jc w:val="center"/>
              <w:rPr>
                <w:szCs w:val="21"/>
              </w:rPr>
            </w:pPr>
          </w:p>
        </w:tc>
      </w:tr>
      <w:tr w:rsidR="00EE4502">
        <w:trPr>
          <w:trHeight w:val="397"/>
          <w:jc w:val="center"/>
        </w:trPr>
        <w:tc>
          <w:tcPr>
            <w:tcW w:w="346" w:type="pct"/>
            <w:vAlign w:val="center"/>
          </w:tcPr>
          <w:p w:rsidR="00EE4502" w:rsidRDefault="00FD45A3">
            <w:pPr>
              <w:widowControl/>
              <w:tabs>
                <w:tab w:val="left" w:pos="377"/>
              </w:tabs>
              <w:jc w:val="center"/>
              <w:rPr>
                <w:szCs w:val="21"/>
              </w:rPr>
            </w:pPr>
            <w:r>
              <w:rPr>
                <w:szCs w:val="21"/>
              </w:rPr>
              <w:t>2</w:t>
            </w:r>
          </w:p>
        </w:tc>
        <w:tc>
          <w:tcPr>
            <w:tcW w:w="623" w:type="pct"/>
            <w:vMerge/>
            <w:vAlign w:val="center"/>
          </w:tcPr>
          <w:p w:rsidR="00EE4502" w:rsidRDefault="00EE4502">
            <w:pPr>
              <w:widowControl/>
              <w:tabs>
                <w:tab w:val="left" w:pos="377"/>
              </w:tabs>
              <w:jc w:val="center"/>
              <w:rPr>
                <w:szCs w:val="21"/>
              </w:rPr>
            </w:pPr>
          </w:p>
        </w:tc>
        <w:tc>
          <w:tcPr>
            <w:tcW w:w="737" w:type="pct"/>
            <w:vAlign w:val="center"/>
          </w:tcPr>
          <w:p w:rsidR="00EE4502" w:rsidRDefault="00FD45A3">
            <w:pPr>
              <w:widowControl/>
              <w:tabs>
                <w:tab w:val="left" w:pos="377"/>
              </w:tabs>
              <w:jc w:val="center"/>
              <w:rPr>
                <w:szCs w:val="21"/>
              </w:rPr>
            </w:pPr>
            <w:r>
              <w:rPr>
                <w:szCs w:val="21"/>
              </w:rPr>
              <w:t>排</w:t>
            </w:r>
            <w:r>
              <w:rPr>
                <w:szCs w:val="21"/>
              </w:rPr>
              <w:t>61-</w:t>
            </w:r>
            <w:r>
              <w:rPr>
                <w:szCs w:val="21"/>
              </w:rPr>
              <w:t>平</w:t>
            </w:r>
            <w:r>
              <w:rPr>
                <w:szCs w:val="21"/>
              </w:rPr>
              <w:t>11</w:t>
            </w:r>
          </w:p>
        </w:tc>
        <w:tc>
          <w:tcPr>
            <w:tcW w:w="485" w:type="pct"/>
            <w:vAlign w:val="center"/>
          </w:tcPr>
          <w:p w:rsidR="00EE4502" w:rsidRDefault="00FD45A3">
            <w:pPr>
              <w:widowControl/>
              <w:tabs>
                <w:tab w:val="left" w:pos="377"/>
              </w:tabs>
              <w:jc w:val="center"/>
              <w:rPr>
                <w:szCs w:val="21"/>
              </w:rPr>
            </w:pPr>
            <w:r>
              <w:rPr>
                <w:szCs w:val="21"/>
              </w:rPr>
              <w:t>水平井</w:t>
            </w:r>
          </w:p>
        </w:tc>
        <w:tc>
          <w:tcPr>
            <w:tcW w:w="1007" w:type="pct"/>
            <w:vAlign w:val="center"/>
          </w:tcPr>
          <w:p w:rsidR="00EE4502" w:rsidRDefault="00FD45A3">
            <w:pPr>
              <w:widowControl/>
              <w:tabs>
                <w:tab w:val="left" w:pos="377"/>
              </w:tabs>
              <w:jc w:val="center"/>
              <w:rPr>
                <w:szCs w:val="21"/>
              </w:rPr>
            </w:pPr>
            <w:r>
              <w:rPr>
                <w:szCs w:val="21"/>
              </w:rPr>
              <w:t>400</w:t>
            </w:r>
          </w:p>
        </w:tc>
        <w:tc>
          <w:tcPr>
            <w:tcW w:w="898" w:type="pct"/>
            <w:vMerge/>
            <w:vAlign w:val="center"/>
          </w:tcPr>
          <w:p w:rsidR="00EE4502" w:rsidRDefault="00EE4502">
            <w:pPr>
              <w:widowControl/>
              <w:tabs>
                <w:tab w:val="left" w:pos="377"/>
              </w:tabs>
              <w:jc w:val="center"/>
              <w:rPr>
                <w:szCs w:val="21"/>
              </w:rPr>
            </w:pPr>
          </w:p>
        </w:tc>
        <w:tc>
          <w:tcPr>
            <w:tcW w:w="900" w:type="pct"/>
            <w:vAlign w:val="center"/>
          </w:tcPr>
          <w:p w:rsidR="00EE4502" w:rsidRDefault="00EE4502">
            <w:pPr>
              <w:widowControl/>
              <w:tabs>
                <w:tab w:val="left" w:pos="377"/>
              </w:tabs>
              <w:jc w:val="center"/>
              <w:rPr>
                <w:szCs w:val="21"/>
              </w:rPr>
            </w:pPr>
          </w:p>
        </w:tc>
      </w:tr>
      <w:tr w:rsidR="00EE4502">
        <w:trPr>
          <w:trHeight w:val="397"/>
          <w:jc w:val="center"/>
        </w:trPr>
        <w:tc>
          <w:tcPr>
            <w:tcW w:w="346" w:type="pct"/>
            <w:vAlign w:val="center"/>
          </w:tcPr>
          <w:p w:rsidR="00EE4502" w:rsidRDefault="00FD45A3">
            <w:pPr>
              <w:widowControl/>
              <w:tabs>
                <w:tab w:val="left" w:pos="377"/>
              </w:tabs>
              <w:jc w:val="center"/>
              <w:rPr>
                <w:szCs w:val="21"/>
              </w:rPr>
            </w:pPr>
            <w:r>
              <w:rPr>
                <w:szCs w:val="21"/>
              </w:rPr>
              <w:t>3</w:t>
            </w:r>
          </w:p>
        </w:tc>
        <w:tc>
          <w:tcPr>
            <w:tcW w:w="623" w:type="pct"/>
            <w:vMerge w:val="restart"/>
            <w:vAlign w:val="center"/>
          </w:tcPr>
          <w:p w:rsidR="00EE4502" w:rsidRDefault="00FD45A3">
            <w:pPr>
              <w:widowControl/>
              <w:tabs>
                <w:tab w:val="left" w:pos="377"/>
              </w:tabs>
              <w:jc w:val="center"/>
              <w:rPr>
                <w:szCs w:val="21"/>
              </w:rPr>
            </w:pPr>
            <w:r>
              <w:rPr>
                <w:szCs w:val="21"/>
              </w:rPr>
              <w:t>2#</w:t>
            </w:r>
          </w:p>
        </w:tc>
        <w:tc>
          <w:tcPr>
            <w:tcW w:w="737" w:type="pct"/>
            <w:vAlign w:val="center"/>
          </w:tcPr>
          <w:p w:rsidR="00EE4502" w:rsidRDefault="00FD45A3">
            <w:pPr>
              <w:widowControl/>
              <w:tabs>
                <w:tab w:val="left" w:pos="377"/>
              </w:tabs>
              <w:jc w:val="center"/>
              <w:rPr>
                <w:szCs w:val="21"/>
              </w:rPr>
            </w:pPr>
            <w:r>
              <w:rPr>
                <w:szCs w:val="21"/>
              </w:rPr>
              <w:t>排</w:t>
            </w:r>
            <w:r>
              <w:rPr>
                <w:szCs w:val="21"/>
              </w:rPr>
              <w:t>61-</w:t>
            </w:r>
            <w:r>
              <w:rPr>
                <w:szCs w:val="21"/>
              </w:rPr>
              <w:t>平</w:t>
            </w:r>
            <w:r>
              <w:rPr>
                <w:szCs w:val="21"/>
              </w:rPr>
              <w:t>12</w:t>
            </w:r>
          </w:p>
        </w:tc>
        <w:tc>
          <w:tcPr>
            <w:tcW w:w="485" w:type="pct"/>
            <w:vAlign w:val="center"/>
          </w:tcPr>
          <w:p w:rsidR="00EE4502" w:rsidRDefault="00FD45A3">
            <w:pPr>
              <w:widowControl/>
              <w:tabs>
                <w:tab w:val="left" w:pos="377"/>
              </w:tabs>
              <w:jc w:val="center"/>
              <w:rPr>
                <w:szCs w:val="21"/>
              </w:rPr>
            </w:pPr>
            <w:r>
              <w:rPr>
                <w:szCs w:val="21"/>
              </w:rPr>
              <w:t>水平井</w:t>
            </w:r>
          </w:p>
        </w:tc>
        <w:tc>
          <w:tcPr>
            <w:tcW w:w="1007" w:type="pct"/>
            <w:vAlign w:val="center"/>
          </w:tcPr>
          <w:p w:rsidR="00EE4502" w:rsidRDefault="00FD45A3">
            <w:pPr>
              <w:widowControl/>
              <w:tabs>
                <w:tab w:val="left" w:pos="377"/>
              </w:tabs>
              <w:jc w:val="center"/>
              <w:rPr>
                <w:szCs w:val="21"/>
              </w:rPr>
            </w:pPr>
            <w:r>
              <w:rPr>
                <w:szCs w:val="21"/>
              </w:rPr>
              <w:t>420</w:t>
            </w:r>
          </w:p>
        </w:tc>
        <w:tc>
          <w:tcPr>
            <w:tcW w:w="898" w:type="pct"/>
            <w:vMerge w:val="restart"/>
            <w:vAlign w:val="center"/>
          </w:tcPr>
          <w:p w:rsidR="00EE4502" w:rsidRDefault="00FD45A3">
            <w:pPr>
              <w:widowControl/>
              <w:tabs>
                <w:tab w:val="left" w:pos="377"/>
              </w:tabs>
              <w:jc w:val="center"/>
              <w:rPr>
                <w:szCs w:val="21"/>
              </w:rPr>
            </w:pPr>
            <w:r>
              <w:rPr>
                <w:szCs w:val="21"/>
              </w:rPr>
              <w:t>热采</w:t>
            </w:r>
          </w:p>
        </w:tc>
        <w:tc>
          <w:tcPr>
            <w:tcW w:w="900" w:type="pct"/>
            <w:vAlign w:val="center"/>
          </w:tcPr>
          <w:p w:rsidR="00EE4502" w:rsidRDefault="00EE4502">
            <w:pPr>
              <w:widowControl/>
              <w:tabs>
                <w:tab w:val="left" w:pos="377"/>
              </w:tabs>
              <w:jc w:val="center"/>
              <w:rPr>
                <w:szCs w:val="21"/>
              </w:rPr>
            </w:pPr>
          </w:p>
        </w:tc>
      </w:tr>
      <w:tr w:rsidR="00EE4502">
        <w:trPr>
          <w:trHeight w:val="397"/>
          <w:jc w:val="center"/>
        </w:trPr>
        <w:tc>
          <w:tcPr>
            <w:tcW w:w="346" w:type="pct"/>
            <w:vAlign w:val="center"/>
          </w:tcPr>
          <w:p w:rsidR="00EE4502" w:rsidRDefault="00FD45A3">
            <w:pPr>
              <w:widowControl/>
              <w:tabs>
                <w:tab w:val="left" w:pos="377"/>
              </w:tabs>
              <w:jc w:val="center"/>
              <w:rPr>
                <w:szCs w:val="21"/>
              </w:rPr>
            </w:pPr>
            <w:r>
              <w:rPr>
                <w:szCs w:val="21"/>
              </w:rPr>
              <w:t>4</w:t>
            </w:r>
          </w:p>
        </w:tc>
        <w:tc>
          <w:tcPr>
            <w:tcW w:w="623" w:type="pct"/>
            <w:vMerge/>
            <w:vAlign w:val="center"/>
          </w:tcPr>
          <w:p w:rsidR="00EE4502" w:rsidRDefault="00EE4502">
            <w:pPr>
              <w:widowControl/>
              <w:tabs>
                <w:tab w:val="left" w:pos="377"/>
              </w:tabs>
              <w:jc w:val="center"/>
              <w:rPr>
                <w:szCs w:val="21"/>
              </w:rPr>
            </w:pPr>
          </w:p>
        </w:tc>
        <w:tc>
          <w:tcPr>
            <w:tcW w:w="737" w:type="pct"/>
            <w:vAlign w:val="center"/>
          </w:tcPr>
          <w:p w:rsidR="00EE4502" w:rsidRDefault="00FD45A3">
            <w:pPr>
              <w:widowControl/>
              <w:tabs>
                <w:tab w:val="left" w:pos="377"/>
              </w:tabs>
              <w:jc w:val="center"/>
              <w:rPr>
                <w:szCs w:val="21"/>
              </w:rPr>
            </w:pPr>
            <w:r>
              <w:rPr>
                <w:szCs w:val="21"/>
              </w:rPr>
              <w:t>排</w:t>
            </w:r>
            <w:r>
              <w:rPr>
                <w:szCs w:val="21"/>
              </w:rPr>
              <w:t>61-</w:t>
            </w:r>
            <w:r>
              <w:rPr>
                <w:szCs w:val="21"/>
              </w:rPr>
              <w:t>平</w:t>
            </w:r>
            <w:r>
              <w:rPr>
                <w:szCs w:val="21"/>
              </w:rPr>
              <w:t>13</w:t>
            </w:r>
          </w:p>
        </w:tc>
        <w:tc>
          <w:tcPr>
            <w:tcW w:w="485" w:type="pct"/>
            <w:vAlign w:val="center"/>
          </w:tcPr>
          <w:p w:rsidR="00EE4502" w:rsidRDefault="00FD45A3">
            <w:pPr>
              <w:widowControl/>
              <w:tabs>
                <w:tab w:val="left" w:pos="377"/>
              </w:tabs>
              <w:jc w:val="center"/>
              <w:rPr>
                <w:szCs w:val="21"/>
              </w:rPr>
            </w:pPr>
            <w:r>
              <w:rPr>
                <w:szCs w:val="21"/>
              </w:rPr>
              <w:t>水平井</w:t>
            </w:r>
          </w:p>
        </w:tc>
        <w:tc>
          <w:tcPr>
            <w:tcW w:w="1007" w:type="pct"/>
            <w:vAlign w:val="center"/>
          </w:tcPr>
          <w:p w:rsidR="00EE4502" w:rsidRDefault="00FD45A3">
            <w:pPr>
              <w:widowControl/>
              <w:tabs>
                <w:tab w:val="left" w:pos="377"/>
              </w:tabs>
              <w:jc w:val="center"/>
              <w:rPr>
                <w:szCs w:val="21"/>
              </w:rPr>
            </w:pPr>
            <w:r>
              <w:rPr>
                <w:szCs w:val="21"/>
              </w:rPr>
              <w:t>450</w:t>
            </w:r>
          </w:p>
        </w:tc>
        <w:tc>
          <w:tcPr>
            <w:tcW w:w="898" w:type="pct"/>
            <w:vMerge/>
            <w:vAlign w:val="center"/>
          </w:tcPr>
          <w:p w:rsidR="00EE4502" w:rsidRDefault="00EE4502">
            <w:pPr>
              <w:widowControl/>
              <w:tabs>
                <w:tab w:val="left" w:pos="377"/>
              </w:tabs>
              <w:jc w:val="center"/>
              <w:rPr>
                <w:szCs w:val="21"/>
              </w:rPr>
            </w:pPr>
          </w:p>
        </w:tc>
        <w:tc>
          <w:tcPr>
            <w:tcW w:w="900" w:type="pct"/>
            <w:vAlign w:val="center"/>
          </w:tcPr>
          <w:p w:rsidR="00EE4502" w:rsidRDefault="00EE4502">
            <w:pPr>
              <w:widowControl/>
              <w:tabs>
                <w:tab w:val="left" w:pos="377"/>
              </w:tabs>
              <w:jc w:val="center"/>
              <w:rPr>
                <w:szCs w:val="21"/>
              </w:rPr>
            </w:pPr>
          </w:p>
        </w:tc>
      </w:tr>
      <w:tr w:rsidR="00EE4502">
        <w:trPr>
          <w:trHeight w:val="397"/>
          <w:jc w:val="center"/>
        </w:trPr>
        <w:tc>
          <w:tcPr>
            <w:tcW w:w="346" w:type="pct"/>
            <w:vAlign w:val="center"/>
          </w:tcPr>
          <w:p w:rsidR="00EE4502" w:rsidRDefault="00FD45A3">
            <w:pPr>
              <w:widowControl/>
              <w:tabs>
                <w:tab w:val="left" w:pos="377"/>
              </w:tabs>
              <w:jc w:val="center"/>
              <w:rPr>
                <w:szCs w:val="21"/>
              </w:rPr>
            </w:pPr>
            <w:r>
              <w:rPr>
                <w:szCs w:val="21"/>
              </w:rPr>
              <w:t>5</w:t>
            </w:r>
          </w:p>
        </w:tc>
        <w:tc>
          <w:tcPr>
            <w:tcW w:w="623" w:type="pct"/>
            <w:vMerge w:val="restart"/>
            <w:vAlign w:val="center"/>
          </w:tcPr>
          <w:p w:rsidR="00EE4502" w:rsidRDefault="00FD45A3">
            <w:pPr>
              <w:widowControl/>
              <w:tabs>
                <w:tab w:val="left" w:pos="377"/>
              </w:tabs>
              <w:jc w:val="center"/>
              <w:rPr>
                <w:szCs w:val="21"/>
              </w:rPr>
            </w:pPr>
            <w:r>
              <w:rPr>
                <w:szCs w:val="21"/>
              </w:rPr>
              <w:t>3#</w:t>
            </w:r>
          </w:p>
        </w:tc>
        <w:tc>
          <w:tcPr>
            <w:tcW w:w="737" w:type="pct"/>
            <w:vAlign w:val="center"/>
          </w:tcPr>
          <w:p w:rsidR="00EE4502" w:rsidRDefault="00FD45A3">
            <w:pPr>
              <w:widowControl/>
              <w:tabs>
                <w:tab w:val="left" w:pos="377"/>
              </w:tabs>
              <w:jc w:val="center"/>
              <w:rPr>
                <w:szCs w:val="21"/>
              </w:rPr>
            </w:pPr>
            <w:r>
              <w:rPr>
                <w:szCs w:val="21"/>
              </w:rPr>
              <w:t>排</w:t>
            </w:r>
            <w:r>
              <w:rPr>
                <w:szCs w:val="21"/>
              </w:rPr>
              <w:t>61-</w:t>
            </w:r>
            <w:r>
              <w:rPr>
                <w:szCs w:val="21"/>
              </w:rPr>
              <w:t>平</w:t>
            </w:r>
            <w:r>
              <w:rPr>
                <w:szCs w:val="21"/>
              </w:rPr>
              <w:t>14</w:t>
            </w:r>
          </w:p>
        </w:tc>
        <w:tc>
          <w:tcPr>
            <w:tcW w:w="485" w:type="pct"/>
            <w:vAlign w:val="center"/>
          </w:tcPr>
          <w:p w:rsidR="00EE4502" w:rsidRDefault="00FD45A3">
            <w:pPr>
              <w:widowControl/>
              <w:tabs>
                <w:tab w:val="left" w:pos="377"/>
              </w:tabs>
              <w:jc w:val="center"/>
              <w:rPr>
                <w:szCs w:val="21"/>
              </w:rPr>
            </w:pPr>
            <w:r>
              <w:rPr>
                <w:szCs w:val="21"/>
              </w:rPr>
              <w:t>水平井</w:t>
            </w:r>
          </w:p>
        </w:tc>
        <w:tc>
          <w:tcPr>
            <w:tcW w:w="1007" w:type="pct"/>
            <w:vAlign w:val="center"/>
          </w:tcPr>
          <w:p w:rsidR="00EE4502" w:rsidRDefault="00FD45A3">
            <w:pPr>
              <w:widowControl/>
              <w:tabs>
                <w:tab w:val="left" w:pos="377"/>
              </w:tabs>
              <w:jc w:val="center"/>
              <w:rPr>
                <w:szCs w:val="21"/>
              </w:rPr>
            </w:pPr>
            <w:r>
              <w:rPr>
                <w:szCs w:val="21"/>
              </w:rPr>
              <w:t>450</w:t>
            </w:r>
          </w:p>
        </w:tc>
        <w:tc>
          <w:tcPr>
            <w:tcW w:w="898" w:type="pct"/>
            <w:vMerge/>
            <w:vAlign w:val="center"/>
          </w:tcPr>
          <w:p w:rsidR="00EE4502" w:rsidRDefault="00EE4502">
            <w:pPr>
              <w:widowControl/>
              <w:tabs>
                <w:tab w:val="left" w:pos="377"/>
              </w:tabs>
              <w:jc w:val="center"/>
              <w:rPr>
                <w:szCs w:val="21"/>
              </w:rPr>
            </w:pPr>
          </w:p>
        </w:tc>
        <w:tc>
          <w:tcPr>
            <w:tcW w:w="900" w:type="pct"/>
            <w:vMerge w:val="restart"/>
            <w:vAlign w:val="center"/>
          </w:tcPr>
          <w:p w:rsidR="00EE4502" w:rsidRDefault="00FD45A3">
            <w:pPr>
              <w:widowControl/>
              <w:tabs>
                <w:tab w:val="left" w:pos="377"/>
              </w:tabs>
              <w:jc w:val="center"/>
              <w:rPr>
                <w:szCs w:val="21"/>
              </w:rPr>
            </w:pPr>
            <w:r>
              <w:rPr>
                <w:szCs w:val="21"/>
              </w:rPr>
              <w:t>排</w:t>
            </w:r>
            <w:r>
              <w:rPr>
                <w:szCs w:val="21"/>
              </w:rPr>
              <w:t>61</w:t>
            </w:r>
            <w:r>
              <w:rPr>
                <w:szCs w:val="21"/>
              </w:rPr>
              <w:t>井老井场</w:t>
            </w:r>
          </w:p>
        </w:tc>
      </w:tr>
      <w:tr w:rsidR="00EE4502">
        <w:trPr>
          <w:trHeight w:val="397"/>
          <w:jc w:val="center"/>
        </w:trPr>
        <w:tc>
          <w:tcPr>
            <w:tcW w:w="346" w:type="pct"/>
            <w:vAlign w:val="center"/>
          </w:tcPr>
          <w:p w:rsidR="00EE4502" w:rsidRDefault="00FD45A3">
            <w:pPr>
              <w:widowControl/>
              <w:tabs>
                <w:tab w:val="left" w:pos="377"/>
              </w:tabs>
              <w:jc w:val="center"/>
              <w:rPr>
                <w:szCs w:val="21"/>
              </w:rPr>
            </w:pPr>
            <w:r>
              <w:rPr>
                <w:szCs w:val="21"/>
              </w:rPr>
              <w:t>6</w:t>
            </w:r>
          </w:p>
        </w:tc>
        <w:tc>
          <w:tcPr>
            <w:tcW w:w="623" w:type="pct"/>
            <w:vMerge/>
            <w:vAlign w:val="center"/>
          </w:tcPr>
          <w:p w:rsidR="00EE4502" w:rsidRDefault="00EE4502">
            <w:pPr>
              <w:widowControl/>
              <w:tabs>
                <w:tab w:val="left" w:pos="377"/>
              </w:tabs>
              <w:jc w:val="center"/>
              <w:rPr>
                <w:szCs w:val="21"/>
              </w:rPr>
            </w:pPr>
          </w:p>
        </w:tc>
        <w:tc>
          <w:tcPr>
            <w:tcW w:w="737" w:type="pct"/>
            <w:vAlign w:val="center"/>
          </w:tcPr>
          <w:p w:rsidR="00EE4502" w:rsidRDefault="00FD45A3">
            <w:pPr>
              <w:widowControl/>
              <w:tabs>
                <w:tab w:val="left" w:pos="377"/>
              </w:tabs>
              <w:jc w:val="center"/>
              <w:rPr>
                <w:szCs w:val="21"/>
              </w:rPr>
            </w:pPr>
            <w:r>
              <w:rPr>
                <w:szCs w:val="21"/>
              </w:rPr>
              <w:t>排</w:t>
            </w:r>
            <w:r>
              <w:rPr>
                <w:szCs w:val="21"/>
              </w:rPr>
              <w:t>61-</w:t>
            </w:r>
            <w:r>
              <w:rPr>
                <w:szCs w:val="21"/>
              </w:rPr>
              <w:t>平</w:t>
            </w:r>
            <w:r>
              <w:rPr>
                <w:szCs w:val="21"/>
              </w:rPr>
              <w:t>15</w:t>
            </w:r>
          </w:p>
        </w:tc>
        <w:tc>
          <w:tcPr>
            <w:tcW w:w="485" w:type="pct"/>
            <w:vAlign w:val="center"/>
          </w:tcPr>
          <w:p w:rsidR="00EE4502" w:rsidRDefault="00FD45A3">
            <w:pPr>
              <w:widowControl/>
              <w:tabs>
                <w:tab w:val="left" w:pos="377"/>
              </w:tabs>
              <w:jc w:val="center"/>
              <w:rPr>
                <w:szCs w:val="21"/>
              </w:rPr>
            </w:pPr>
            <w:r>
              <w:rPr>
                <w:szCs w:val="21"/>
              </w:rPr>
              <w:t>水平井</w:t>
            </w:r>
          </w:p>
        </w:tc>
        <w:tc>
          <w:tcPr>
            <w:tcW w:w="1007" w:type="pct"/>
            <w:vAlign w:val="center"/>
          </w:tcPr>
          <w:p w:rsidR="00EE4502" w:rsidRDefault="00FD45A3">
            <w:pPr>
              <w:widowControl/>
              <w:tabs>
                <w:tab w:val="left" w:pos="377"/>
              </w:tabs>
              <w:jc w:val="center"/>
              <w:rPr>
                <w:szCs w:val="21"/>
              </w:rPr>
            </w:pPr>
            <w:r>
              <w:rPr>
                <w:szCs w:val="21"/>
              </w:rPr>
              <w:t>550</w:t>
            </w:r>
          </w:p>
        </w:tc>
        <w:tc>
          <w:tcPr>
            <w:tcW w:w="898" w:type="pct"/>
            <w:vMerge/>
            <w:vAlign w:val="center"/>
          </w:tcPr>
          <w:p w:rsidR="00EE4502" w:rsidRDefault="00EE4502">
            <w:pPr>
              <w:widowControl/>
              <w:tabs>
                <w:tab w:val="left" w:pos="377"/>
              </w:tabs>
              <w:jc w:val="center"/>
              <w:rPr>
                <w:szCs w:val="21"/>
              </w:rPr>
            </w:pPr>
          </w:p>
        </w:tc>
        <w:tc>
          <w:tcPr>
            <w:tcW w:w="900" w:type="pct"/>
            <w:vMerge/>
            <w:vAlign w:val="center"/>
          </w:tcPr>
          <w:p w:rsidR="00EE4502" w:rsidRDefault="00EE4502">
            <w:pPr>
              <w:widowControl/>
              <w:tabs>
                <w:tab w:val="left" w:pos="377"/>
              </w:tabs>
              <w:jc w:val="center"/>
              <w:rPr>
                <w:szCs w:val="21"/>
              </w:rPr>
            </w:pPr>
          </w:p>
        </w:tc>
      </w:tr>
      <w:tr w:rsidR="00EE4502">
        <w:trPr>
          <w:trHeight w:val="397"/>
          <w:jc w:val="center"/>
        </w:trPr>
        <w:tc>
          <w:tcPr>
            <w:tcW w:w="346" w:type="pct"/>
            <w:vAlign w:val="center"/>
          </w:tcPr>
          <w:p w:rsidR="00EE4502" w:rsidRDefault="00FD45A3">
            <w:pPr>
              <w:widowControl/>
              <w:tabs>
                <w:tab w:val="left" w:pos="377"/>
              </w:tabs>
              <w:jc w:val="center"/>
              <w:rPr>
                <w:szCs w:val="21"/>
              </w:rPr>
            </w:pPr>
            <w:r>
              <w:rPr>
                <w:szCs w:val="21"/>
              </w:rPr>
              <w:t>7</w:t>
            </w:r>
          </w:p>
        </w:tc>
        <w:tc>
          <w:tcPr>
            <w:tcW w:w="623" w:type="pct"/>
            <w:vAlign w:val="center"/>
          </w:tcPr>
          <w:p w:rsidR="00EE4502" w:rsidRDefault="00FD45A3">
            <w:pPr>
              <w:widowControl/>
              <w:tabs>
                <w:tab w:val="left" w:pos="377"/>
              </w:tabs>
              <w:jc w:val="center"/>
              <w:rPr>
                <w:szCs w:val="21"/>
              </w:rPr>
            </w:pPr>
            <w:r>
              <w:rPr>
                <w:szCs w:val="21"/>
              </w:rPr>
              <w:t>4#</w:t>
            </w:r>
          </w:p>
        </w:tc>
        <w:tc>
          <w:tcPr>
            <w:tcW w:w="737" w:type="pct"/>
            <w:vAlign w:val="center"/>
          </w:tcPr>
          <w:p w:rsidR="00EE4502" w:rsidRDefault="00FD45A3">
            <w:pPr>
              <w:widowControl/>
              <w:tabs>
                <w:tab w:val="left" w:pos="377"/>
              </w:tabs>
              <w:jc w:val="center"/>
              <w:rPr>
                <w:szCs w:val="21"/>
              </w:rPr>
            </w:pPr>
            <w:r>
              <w:rPr>
                <w:szCs w:val="21"/>
              </w:rPr>
              <w:t>排</w:t>
            </w:r>
            <w:r>
              <w:rPr>
                <w:szCs w:val="21"/>
              </w:rPr>
              <w:t>61-</w:t>
            </w:r>
            <w:r>
              <w:rPr>
                <w:szCs w:val="21"/>
              </w:rPr>
              <w:t>平</w:t>
            </w:r>
            <w:r>
              <w:rPr>
                <w:szCs w:val="21"/>
              </w:rPr>
              <w:t>16</w:t>
            </w:r>
          </w:p>
        </w:tc>
        <w:tc>
          <w:tcPr>
            <w:tcW w:w="485" w:type="pct"/>
            <w:vAlign w:val="center"/>
          </w:tcPr>
          <w:p w:rsidR="00EE4502" w:rsidRDefault="00FD45A3">
            <w:pPr>
              <w:widowControl/>
              <w:tabs>
                <w:tab w:val="left" w:pos="377"/>
              </w:tabs>
              <w:jc w:val="center"/>
              <w:rPr>
                <w:szCs w:val="21"/>
              </w:rPr>
            </w:pPr>
            <w:r>
              <w:rPr>
                <w:szCs w:val="21"/>
              </w:rPr>
              <w:t>水平井</w:t>
            </w:r>
          </w:p>
        </w:tc>
        <w:tc>
          <w:tcPr>
            <w:tcW w:w="1007" w:type="pct"/>
            <w:vAlign w:val="center"/>
          </w:tcPr>
          <w:p w:rsidR="00EE4502" w:rsidRDefault="00FD45A3">
            <w:pPr>
              <w:widowControl/>
              <w:tabs>
                <w:tab w:val="left" w:pos="377"/>
              </w:tabs>
              <w:jc w:val="center"/>
              <w:rPr>
                <w:szCs w:val="21"/>
              </w:rPr>
            </w:pPr>
            <w:r>
              <w:rPr>
                <w:szCs w:val="21"/>
              </w:rPr>
              <w:t>600</w:t>
            </w:r>
          </w:p>
        </w:tc>
        <w:tc>
          <w:tcPr>
            <w:tcW w:w="898" w:type="pct"/>
            <w:vMerge/>
            <w:vAlign w:val="center"/>
          </w:tcPr>
          <w:p w:rsidR="00EE4502" w:rsidRDefault="00EE4502">
            <w:pPr>
              <w:widowControl/>
              <w:tabs>
                <w:tab w:val="left" w:pos="377"/>
              </w:tabs>
              <w:jc w:val="center"/>
              <w:rPr>
                <w:szCs w:val="21"/>
              </w:rPr>
            </w:pPr>
          </w:p>
        </w:tc>
        <w:tc>
          <w:tcPr>
            <w:tcW w:w="900" w:type="pct"/>
            <w:vAlign w:val="center"/>
          </w:tcPr>
          <w:p w:rsidR="00EE4502" w:rsidRDefault="00EE4502">
            <w:pPr>
              <w:widowControl/>
              <w:tabs>
                <w:tab w:val="left" w:pos="377"/>
              </w:tabs>
              <w:jc w:val="center"/>
              <w:rPr>
                <w:szCs w:val="21"/>
              </w:rPr>
            </w:pPr>
          </w:p>
        </w:tc>
      </w:tr>
      <w:tr w:rsidR="00EE4502">
        <w:trPr>
          <w:trHeight w:val="397"/>
          <w:jc w:val="center"/>
        </w:trPr>
        <w:tc>
          <w:tcPr>
            <w:tcW w:w="346" w:type="pct"/>
            <w:vAlign w:val="center"/>
          </w:tcPr>
          <w:p w:rsidR="00EE4502" w:rsidRDefault="00FD45A3">
            <w:pPr>
              <w:widowControl/>
              <w:tabs>
                <w:tab w:val="left" w:pos="377"/>
              </w:tabs>
              <w:jc w:val="center"/>
              <w:rPr>
                <w:szCs w:val="21"/>
              </w:rPr>
            </w:pPr>
            <w:r>
              <w:rPr>
                <w:szCs w:val="21"/>
              </w:rPr>
              <w:t>8</w:t>
            </w:r>
          </w:p>
        </w:tc>
        <w:tc>
          <w:tcPr>
            <w:tcW w:w="623" w:type="pct"/>
            <w:vAlign w:val="center"/>
          </w:tcPr>
          <w:p w:rsidR="00EE4502" w:rsidRDefault="00FD45A3">
            <w:pPr>
              <w:widowControl/>
              <w:tabs>
                <w:tab w:val="left" w:pos="377"/>
              </w:tabs>
              <w:jc w:val="center"/>
              <w:rPr>
                <w:szCs w:val="21"/>
              </w:rPr>
            </w:pPr>
            <w:r>
              <w:rPr>
                <w:szCs w:val="21"/>
              </w:rPr>
              <w:t>5#</w:t>
            </w:r>
          </w:p>
        </w:tc>
        <w:tc>
          <w:tcPr>
            <w:tcW w:w="737" w:type="pct"/>
            <w:vAlign w:val="center"/>
          </w:tcPr>
          <w:p w:rsidR="00EE4502" w:rsidRDefault="00FD45A3">
            <w:pPr>
              <w:widowControl/>
              <w:tabs>
                <w:tab w:val="left" w:pos="377"/>
              </w:tabs>
              <w:jc w:val="center"/>
              <w:rPr>
                <w:szCs w:val="21"/>
              </w:rPr>
            </w:pPr>
            <w:r>
              <w:rPr>
                <w:szCs w:val="21"/>
              </w:rPr>
              <w:t>排</w:t>
            </w:r>
            <w:r>
              <w:rPr>
                <w:szCs w:val="21"/>
              </w:rPr>
              <w:t>61-</w:t>
            </w:r>
            <w:r>
              <w:rPr>
                <w:szCs w:val="21"/>
              </w:rPr>
              <w:t>平</w:t>
            </w:r>
            <w:r>
              <w:rPr>
                <w:szCs w:val="21"/>
              </w:rPr>
              <w:t>17</w:t>
            </w:r>
          </w:p>
        </w:tc>
        <w:tc>
          <w:tcPr>
            <w:tcW w:w="485" w:type="pct"/>
            <w:vAlign w:val="center"/>
          </w:tcPr>
          <w:p w:rsidR="00EE4502" w:rsidRDefault="00FD45A3">
            <w:pPr>
              <w:widowControl/>
              <w:tabs>
                <w:tab w:val="left" w:pos="377"/>
              </w:tabs>
              <w:jc w:val="center"/>
              <w:rPr>
                <w:szCs w:val="21"/>
              </w:rPr>
            </w:pPr>
            <w:r>
              <w:rPr>
                <w:szCs w:val="21"/>
              </w:rPr>
              <w:t>水平井</w:t>
            </w:r>
          </w:p>
        </w:tc>
        <w:tc>
          <w:tcPr>
            <w:tcW w:w="1007" w:type="pct"/>
            <w:vAlign w:val="center"/>
          </w:tcPr>
          <w:p w:rsidR="00EE4502" w:rsidRDefault="00FD45A3">
            <w:pPr>
              <w:widowControl/>
              <w:tabs>
                <w:tab w:val="left" w:pos="377"/>
              </w:tabs>
              <w:jc w:val="center"/>
              <w:rPr>
                <w:szCs w:val="21"/>
              </w:rPr>
            </w:pPr>
            <w:r>
              <w:rPr>
                <w:szCs w:val="21"/>
              </w:rPr>
              <w:t>600</w:t>
            </w:r>
          </w:p>
        </w:tc>
        <w:tc>
          <w:tcPr>
            <w:tcW w:w="898" w:type="pct"/>
            <w:vMerge/>
            <w:vAlign w:val="center"/>
          </w:tcPr>
          <w:p w:rsidR="00EE4502" w:rsidRDefault="00EE4502">
            <w:pPr>
              <w:widowControl/>
              <w:tabs>
                <w:tab w:val="left" w:pos="377"/>
              </w:tabs>
              <w:jc w:val="center"/>
              <w:rPr>
                <w:szCs w:val="21"/>
              </w:rPr>
            </w:pPr>
          </w:p>
        </w:tc>
        <w:tc>
          <w:tcPr>
            <w:tcW w:w="900" w:type="pct"/>
            <w:vAlign w:val="center"/>
          </w:tcPr>
          <w:p w:rsidR="00EE4502" w:rsidRDefault="00FD45A3">
            <w:pPr>
              <w:widowControl/>
              <w:tabs>
                <w:tab w:val="left" w:pos="377"/>
              </w:tabs>
              <w:jc w:val="center"/>
              <w:rPr>
                <w:szCs w:val="21"/>
              </w:rPr>
            </w:pPr>
            <w:r>
              <w:rPr>
                <w:szCs w:val="21"/>
              </w:rPr>
              <w:t>排</w:t>
            </w:r>
            <w:r>
              <w:rPr>
                <w:szCs w:val="21"/>
              </w:rPr>
              <w:t>61-</w:t>
            </w:r>
            <w:r>
              <w:rPr>
                <w:szCs w:val="21"/>
              </w:rPr>
              <w:t>支平</w:t>
            </w:r>
            <w:r>
              <w:rPr>
                <w:szCs w:val="21"/>
              </w:rPr>
              <w:t>2</w:t>
            </w:r>
            <w:r>
              <w:rPr>
                <w:szCs w:val="21"/>
              </w:rPr>
              <w:t>老井场</w:t>
            </w:r>
          </w:p>
        </w:tc>
      </w:tr>
      <w:tr w:rsidR="00EE4502">
        <w:trPr>
          <w:trHeight w:val="397"/>
          <w:jc w:val="center"/>
        </w:trPr>
        <w:tc>
          <w:tcPr>
            <w:tcW w:w="346" w:type="pct"/>
            <w:vAlign w:val="center"/>
          </w:tcPr>
          <w:p w:rsidR="00EE4502" w:rsidRDefault="00FD45A3">
            <w:pPr>
              <w:widowControl/>
              <w:tabs>
                <w:tab w:val="left" w:pos="377"/>
              </w:tabs>
              <w:jc w:val="center"/>
              <w:rPr>
                <w:szCs w:val="21"/>
              </w:rPr>
            </w:pPr>
            <w:r>
              <w:rPr>
                <w:szCs w:val="21"/>
              </w:rPr>
              <w:t>9</w:t>
            </w:r>
          </w:p>
        </w:tc>
        <w:tc>
          <w:tcPr>
            <w:tcW w:w="623" w:type="pct"/>
            <w:vMerge w:val="restart"/>
            <w:vAlign w:val="center"/>
          </w:tcPr>
          <w:p w:rsidR="00EE4502" w:rsidRDefault="00FD45A3">
            <w:pPr>
              <w:widowControl/>
              <w:tabs>
                <w:tab w:val="left" w:pos="377"/>
              </w:tabs>
              <w:jc w:val="center"/>
              <w:rPr>
                <w:szCs w:val="21"/>
              </w:rPr>
            </w:pPr>
            <w:r>
              <w:rPr>
                <w:szCs w:val="21"/>
              </w:rPr>
              <w:t>6#</w:t>
            </w:r>
          </w:p>
        </w:tc>
        <w:tc>
          <w:tcPr>
            <w:tcW w:w="737" w:type="pct"/>
            <w:vAlign w:val="center"/>
          </w:tcPr>
          <w:p w:rsidR="00EE4502" w:rsidRDefault="00FD45A3">
            <w:pPr>
              <w:widowControl/>
              <w:tabs>
                <w:tab w:val="left" w:pos="377"/>
              </w:tabs>
              <w:jc w:val="center"/>
              <w:rPr>
                <w:szCs w:val="21"/>
              </w:rPr>
            </w:pPr>
            <w:r>
              <w:rPr>
                <w:szCs w:val="21"/>
              </w:rPr>
              <w:t>排</w:t>
            </w:r>
            <w:r>
              <w:rPr>
                <w:szCs w:val="21"/>
              </w:rPr>
              <w:t>61-</w:t>
            </w:r>
            <w:r>
              <w:rPr>
                <w:szCs w:val="21"/>
              </w:rPr>
              <w:t>平</w:t>
            </w:r>
            <w:r>
              <w:rPr>
                <w:szCs w:val="21"/>
              </w:rPr>
              <w:t>18</w:t>
            </w:r>
          </w:p>
        </w:tc>
        <w:tc>
          <w:tcPr>
            <w:tcW w:w="485" w:type="pct"/>
            <w:vAlign w:val="center"/>
          </w:tcPr>
          <w:p w:rsidR="00EE4502" w:rsidRDefault="00FD45A3">
            <w:pPr>
              <w:widowControl/>
              <w:tabs>
                <w:tab w:val="left" w:pos="377"/>
              </w:tabs>
              <w:jc w:val="center"/>
              <w:rPr>
                <w:szCs w:val="21"/>
              </w:rPr>
            </w:pPr>
            <w:r>
              <w:rPr>
                <w:szCs w:val="21"/>
              </w:rPr>
              <w:t>水平井</w:t>
            </w:r>
          </w:p>
        </w:tc>
        <w:tc>
          <w:tcPr>
            <w:tcW w:w="1007" w:type="pct"/>
            <w:vAlign w:val="center"/>
          </w:tcPr>
          <w:p w:rsidR="00EE4502" w:rsidRDefault="00FD45A3">
            <w:pPr>
              <w:widowControl/>
              <w:tabs>
                <w:tab w:val="left" w:pos="377"/>
              </w:tabs>
              <w:jc w:val="center"/>
              <w:rPr>
                <w:szCs w:val="21"/>
              </w:rPr>
            </w:pPr>
            <w:r>
              <w:rPr>
                <w:szCs w:val="21"/>
              </w:rPr>
              <w:t>600</w:t>
            </w:r>
          </w:p>
        </w:tc>
        <w:tc>
          <w:tcPr>
            <w:tcW w:w="898" w:type="pct"/>
            <w:vMerge w:val="restart"/>
            <w:vAlign w:val="center"/>
          </w:tcPr>
          <w:p w:rsidR="00EE4502" w:rsidRDefault="00FD45A3">
            <w:pPr>
              <w:widowControl/>
              <w:tabs>
                <w:tab w:val="left" w:pos="377"/>
              </w:tabs>
              <w:jc w:val="center"/>
              <w:rPr>
                <w:szCs w:val="21"/>
              </w:rPr>
            </w:pPr>
            <w:r>
              <w:rPr>
                <w:szCs w:val="21"/>
              </w:rPr>
              <w:t>冷采</w:t>
            </w:r>
          </w:p>
        </w:tc>
        <w:tc>
          <w:tcPr>
            <w:tcW w:w="900" w:type="pct"/>
            <w:vAlign w:val="center"/>
          </w:tcPr>
          <w:p w:rsidR="00EE4502" w:rsidRDefault="00EE4502">
            <w:pPr>
              <w:widowControl/>
              <w:tabs>
                <w:tab w:val="left" w:pos="377"/>
              </w:tabs>
              <w:jc w:val="center"/>
              <w:rPr>
                <w:szCs w:val="21"/>
              </w:rPr>
            </w:pPr>
          </w:p>
        </w:tc>
      </w:tr>
      <w:tr w:rsidR="00EE4502">
        <w:trPr>
          <w:trHeight w:val="397"/>
          <w:jc w:val="center"/>
        </w:trPr>
        <w:tc>
          <w:tcPr>
            <w:tcW w:w="346" w:type="pct"/>
            <w:vAlign w:val="center"/>
          </w:tcPr>
          <w:p w:rsidR="00EE4502" w:rsidRDefault="00FD45A3">
            <w:pPr>
              <w:widowControl/>
              <w:tabs>
                <w:tab w:val="left" w:pos="377"/>
              </w:tabs>
              <w:jc w:val="center"/>
              <w:rPr>
                <w:szCs w:val="21"/>
              </w:rPr>
            </w:pPr>
            <w:r>
              <w:rPr>
                <w:szCs w:val="21"/>
              </w:rPr>
              <w:t>10</w:t>
            </w:r>
          </w:p>
        </w:tc>
        <w:tc>
          <w:tcPr>
            <w:tcW w:w="623" w:type="pct"/>
            <w:vMerge/>
            <w:vAlign w:val="center"/>
          </w:tcPr>
          <w:p w:rsidR="00EE4502" w:rsidRDefault="00EE4502">
            <w:pPr>
              <w:widowControl/>
              <w:tabs>
                <w:tab w:val="left" w:pos="377"/>
              </w:tabs>
              <w:jc w:val="center"/>
              <w:rPr>
                <w:szCs w:val="21"/>
              </w:rPr>
            </w:pPr>
          </w:p>
        </w:tc>
        <w:tc>
          <w:tcPr>
            <w:tcW w:w="737" w:type="pct"/>
            <w:vAlign w:val="center"/>
          </w:tcPr>
          <w:p w:rsidR="00EE4502" w:rsidRDefault="00FD45A3">
            <w:pPr>
              <w:widowControl/>
              <w:tabs>
                <w:tab w:val="left" w:pos="377"/>
              </w:tabs>
              <w:jc w:val="center"/>
              <w:rPr>
                <w:szCs w:val="21"/>
              </w:rPr>
            </w:pPr>
            <w:r>
              <w:rPr>
                <w:szCs w:val="21"/>
              </w:rPr>
              <w:t>排</w:t>
            </w:r>
            <w:r>
              <w:rPr>
                <w:szCs w:val="21"/>
              </w:rPr>
              <w:t>61-</w:t>
            </w:r>
            <w:r>
              <w:rPr>
                <w:szCs w:val="21"/>
              </w:rPr>
              <w:t>平</w:t>
            </w:r>
            <w:r>
              <w:rPr>
                <w:szCs w:val="21"/>
              </w:rPr>
              <w:t>19</w:t>
            </w:r>
          </w:p>
        </w:tc>
        <w:tc>
          <w:tcPr>
            <w:tcW w:w="485" w:type="pct"/>
            <w:vAlign w:val="center"/>
          </w:tcPr>
          <w:p w:rsidR="00EE4502" w:rsidRDefault="00FD45A3">
            <w:pPr>
              <w:widowControl/>
              <w:tabs>
                <w:tab w:val="left" w:pos="377"/>
              </w:tabs>
              <w:jc w:val="center"/>
              <w:rPr>
                <w:szCs w:val="21"/>
              </w:rPr>
            </w:pPr>
            <w:r>
              <w:rPr>
                <w:szCs w:val="21"/>
              </w:rPr>
              <w:t>水平井</w:t>
            </w:r>
          </w:p>
        </w:tc>
        <w:tc>
          <w:tcPr>
            <w:tcW w:w="1007" w:type="pct"/>
            <w:vAlign w:val="center"/>
          </w:tcPr>
          <w:p w:rsidR="00EE4502" w:rsidRDefault="00FD45A3">
            <w:pPr>
              <w:widowControl/>
              <w:tabs>
                <w:tab w:val="left" w:pos="377"/>
              </w:tabs>
              <w:jc w:val="center"/>
              <w:rPr>
                <w:szCs w:val="21"/>
              </w:rPr>
            </w:pPr>
            <w:r>
              <w:rPr>
                <w:szCs w:val="21"/>
              </w:rPr>
              <w:t>650</w:t>
            </w:r>
          </w:p>
        </w:tc>
        <w:tc>
          <w:tcPr>
            <w:tcW w:w="898" w:type="pct"/>
            <w:vMerge/>
            <w:vAlign w:val="center"/>
          </w:tcPr>
          <w:p w:rsidR="00EE4502" w:rsidRDefault="00EE4502">
            <w:pPr>
              <w:widowControl/>
              <w:tabs>
                <w:tab w:val="left" w:pos="377"/>
              </w:tabs>
              <w:jc w:val="center"/>
              <w:rPr>
                <w:szCs w:val="21"/>
              </w:rPr>
            </w:pPr>
          </w:p>
        </w:tc>
        <w:tc>
          <w:tcPr>
            <w:tcW w:w="900" w:type="pct"/>
            <w:vAlign w:val="center"/>
          </w:tcPr>
          <w:p w:rsidR="00EE4502" w:rsidRDefault="00EE4502">
            <w:pPr>
              <w:widowControl/>
              <w:tabs>
                <w:tab w:val="left" w:pos="377"/>
              </w:tabs>
              <w:jc w:val="center"/>
              <w:rPr>
                <w:szCs w:val="21"/>
              </w:rPr>
            </w:pPr>
          </w:p>
        </w:tc>
      </w:tr>
      <w:tr w:rsidR="00EE4502">
        <w:trPr>
          <w:trHeight w:val="397"/>
          <w:jc w:val="center"/>
        </w:trPr>
        <w:tc>
          <w:tcPr>
            <w:tcW w:w="346" w:type="pct"/>
            <w:vAlign w:val="center"/>
          </w:tcPr>
          <w:p w:rsidR="00EE4502" w:rsidRDefault="00FD45A3">
            <w:pPr>
              <w:widowControl/>
              <w:tabs>
                <w:tab w:val="left" w:pos="377"/>
              </w:tabs>
              <w:jc w:val="center"/>
              <w:rPr>
                <w:szCs w:val="21"/>
              </w:rPr>
            </w:pPr>
            <w:r>
              <w:rPr>
                <w:szCs w:val="21"/>
              </w:rPr>
              <w:lastRenderedPageBreak/>
              <w:t>11</w:t>
            </w:r>
          </w:p>
        </w:tc>
        <w:tc>
          <w:tcPr>
            <w:tcW w:w="623" w:type="pct"/>
            <w:vMerge w:val="restart"/>
            <w:vAlign w:val="center"/>
          </w:tcPr>
          <w:p w:rsidR="00EE4502" w:rsidRDefault="00FD45A3">
            <w:pPr>
              <w:widowControl/>
              <w:tabs>
                <w:tab w:val="left" w:pos="377"/>
              </w:tabs>
              <w:jc w:val="center"/>
              <w:rPr>
                <w:szCs w:val="21"/>
              </w:rPr>
            </w:pPr>
            <w:r>
              <w:rPr>
                <w:szCs w:val="21"/>
              </w:rPr>
              <w:t>7#</w:t>
            </w:r>
          </w:p>
        </w:tc>
        <w:tc>
          <w:tcPr>
            <w:tcW w:w="737" w:type="pct"/>
            <w:vAlign w:val="center"/>
          </w:tcPr>
          <w:p w:rsidR="00EE4502" w:rsidRDefault="00FD45A3">
            <w:pPr>
              <w:widowControl/>
              <w:tabs>
                <w:tab w:val="left" w:pos="377"/>
              </w:tabs>
              <w:jc w:val="center"/>
              <w:rPr>
                <w:szCs w:val="21"/>
              </w:rPr>
            </w:pPr>
            <w:r>
              <w:rPr>
                <w:szCs w:val="21"/>
              </w:rPr>
              <w:t>排</w:t>
            </w:r>
            <w:r>
              <w:rPr>
                <w:szCs w:val="21"/>
              </w:rPr>
              <w:t>61-</w:t>
            </w:r>
            <w:r>
              <w:rPr>
                <w:szCs w:val="21"/>
              </w:rPr>
              <w:t>平</w:t>
            </w:r>
            <w:r>
              <w:rPr>
                <w:szCs w:val="21"/>
              </w:rPr>
              <w:t>20</w:t>
            </w:r>
          </w:p>
        </w:tc>
        <w:tc>
          <w:tcPr>
            <w:tcW w:w="485" w:type="pct"/>
            <w:vAlign w:val="center"/>
          </w:tcPr>
          <w:p w:rsidR="00EE4502" w:rsidRDefault="00FD45A3">
            <w:pPr>
              <w:widowControl/>
              <w:tabs>
                <w:tab w:val="left" w:pos="377"/>
              </w:tabs>
              <w:jc w:val="center"/>
              <w:rPr>
                <w:szCs w:val="21"/>
              </w:rPr>
            </w:pPr>
            <w:r>
              <w:rPr>
                <w:szCs w:val="21"/>
              </w:rPr>
              <w:t>水平井</w:t>
            </w:r>
          </w:p>
        </w:tc>
        <w:tc>
          <w:tcPr>
            <w:tcW w:w="1007" w:type="pct"/>
            <w:vAlign w:val="center"/>
          </w:tcPr>
          <w:p w:rsidR="00EE4502" w:rsidRDefault="00FD45A3">
            <w:pPr>
              <w:widowControl/>
              <w:tabs>
                <w:tab w:val="left" w:pos="377"/>
              </w:tabs>
              <w:jc w:val="center"/>
              <w:rPr>
                <w:szCs w:val="21"/>
              </w:rPr>
            </w:pPr>
            <w:r>
              <w:rPr>
                <w:szCs w:val="21"/>
              </w:rPr>
              <w:t>700</w:t>
            </w:r>
          </w:p>
        </w:tc>
        <w:tc>
          <w:tcPr>
            <w:tcW w:w="898" w:type="pct"/>
            <w:vMerge/>
            <w:vAlign w:val="center"/>
          </w:tcPr>
          <w:p w:rsidR="00EE4502" w:rsidRDefault="00EE4502">
            <w:pPr>
              <w:widowControl/>
              <w:tabs>
                <w:tab w:val="left" w:pos="377"/>
              </w:tabs>
              <w:jc w:val="center"/>
              <w:rPr>
                <w:szCs w:val="21"/>
              </w:rPr>
            </w:pPr>
          </w:p>
        </w:tc>
        <w:tc>
          <w:tcPr>
            <w:tcW w:w="900" w:type="pct"/>
            <w:vAlign w:val="center"/>
          </w:tcPr>
          <w:p w:rsidR="00EE4502" w:rsidRDefault="00EE4502">
            <w:pPr>
              <w:widowControl/>
              <w:tabs>
                <w:tab w:val="left" w:pos="377"/>
              </w:tabs>
              <w:jc w:val="center"/>
              <w:rPr>
                <w:szCs w:val="21"/>
              </w:rPr>
            </w:pPr>
          </w:p>
        </w:tc>
      </w:tr>
      <w:tr w:rsidR="00EE4502">
        <w:trPr>
          <w:trHeight w:val="397"/>
          <w:jc w:val="center"/>
        </w:trPr>
        <w:tc>
          <w:tcPr>
            <w:tcW w:w="346" w:type="pct"/>
            <w:vAlign w:val="center"/>
          </w:tcPr>
          <w:p w:rsidR="00EE4502" w:rsidRDefault="00FD45A3">
            <w:pPr>
              <w:widowControl/>
              <w:tabs>
                <w:tab w:val="left" w:pos="377"/>
              </w:tabs>
              <w:jc w:val="center"/>
              <w:rPr>
                <w:szCs w:val="21"/>
              </w:rPr>
            </w:pPr>
            <w:r>
              <w:rPr>
                <w:szCs w:val="21"/>
              </w:rPr>
              <w:t>12</w:t>
            </w:r>
          </w:p>
        </w:tc>
        <w:tc>
          <w:tcPr>
            <w:tcW w:w="623" w:type="pct"/>
            <w:vMerge/>
            <w:vAlign w:val="center"/>
          </w:tcPr>
          <w:p w:rsidR="00EE4502" w:rsidRDefault="00EE4502">
            <w:pPr>
              <w:widowControl/>
              <w:tabs>
                <w:tab w:val="left" w:pos="377"/>
              </w:tabs>
              <w:jc w:val="center"/>
              <w:rPr>
                <w:szCs w:val="21"/>
              </w:rPr>
            </w:pPr>
          </w:p>
        </w:tc>
        <w:tc>
          <w:tcPr>
            <w:tcW w:w="737" w:type="pct"/>
            <w:vAlign w:val="center"/>
          </w:tcPr>
          <w:p w:rsidR="00EE4502" w:rsidRDefault="00FD45A3">
            <w:pPr>
              <w:widowControl/>
              <w:tabs>
                <w:tab w:val="left" w:pos="377"/>
              </w:tabs>
              <w:jc w:val="center"/>
              <w:rPr>
                <w:szCs w:val="21"/>
              </w:rPr>
            </w:pPr>
            <w:r>
              <w:rPr>
                <w:szCs w:val="21"/>
              </w:rPr>
              <w:t>排</w:t>
            </w:r>
            <w:r>
              <w:rPr>
                <w:szCs w:val="21"/>
              </w:rPr>
              <w:t>61-</w:t>
            </w:r>
            <w:r>
              <w:rPr>
                <w:szCs w:val="21"/>
              </w:rPr>
              <w:t>平</w:t>
            </w:r>
            <w:r>
              <w:rPr>
                <w:szCs w:val="21"/>
              </w:rPr>
              <w:t>21</w:t>
            </w:r>
          </w:p>
        </w:tc>
        <w:tc>
          <w:tcPr>
            <w:tcW w:w="485" w:type="pct"/>
            <w:vAlign w:val="center"/>
          </w:tcPr>
          <w:p w:rsidR="00EE4502" w:rsidRDefault="00FD45A3">
            <w:pPr>
              <w:widowControl/>
              <w:tabs>
                <w:tab w:val="left" w:pos="377"/>
              </w:tabs>
              <w:jc w:val="center"/>
              <w:rPr>
                <w:szCs w:val="21"/>
              </w:rPr>
            </w:pPr>
            <w:r>
              <w:rPr>
                <w:szCs w:val="21"/>
              </w:rPr>
              <w:t>水平井</w:t>
            </w:r>
          </w:p>
        </w:tc>
        <w:tc>
          <w:tcPr>
            <w:tcW w:w="1007" w:type="pct"/>
            <w:vAlign w:val="center"/>
          </w:tcPr>
          <w:p w:rsidR="00EE4502" w:rsidRDefault="00FD45A3">
            <w:pPr>
              <w:widowControl/>
              <w:tabs>
                <w:tab w:val="left" w:pos="377"/>
              </w:tabs>
              <w:jc w:val="center"/>
              <w:rPr>
                <w:szCs w:val="21"/>
              </w:rPr>
            </w:pPr>
            <w:r>
              <w:rPr>
                <w:szCs w:val="21"/>
              </w:rPr>
              <w:t>730</w:t>
            </w:r>
          </w:p>
        </w:tc>
        <w:tc>
          <w:tcPr>
            <w:tcW w:w="898" w:type="pct"/>
            <w:vMerge/>
            <w:vAlign w:val="center"/>
          </w:tcPr>
          <w:p w:rsidR="00EE4502" w:rsidRDefault="00EE4502">
            <w:pPr>
              <w:widowControl/>
              <w:tabs>
                <w:tab w:val="left" w:pos="377"/>
              </w:tabs>
              <w:jc w:val="center"/>
              <w:rPr>
                <w:szCs w:val="21"/>
              </w:rPr>
            </w:pPr>
          </w:p>
        </w:tc>
        <w:tc>
          <w:tcPr>
            <w:tcW w:w="900" w:type="pct"/>
            <w:vAlign w:val="center"/>
          </w:tcPr>
          <w:p w:rsidR="00EE4502" w:rsidRDefault="00EE4502">
            <w:pPr>
              <w:widowControl/>
              <w:tabs>
                <w:tab w:val="left" w:pos="377"/>
              </w:tabs>
              <w:jc w:val="center"/>
              <w:rPr>
                <w:szCs w:val="21"/>
              </w:rPr>
            </w:pPr>
          </w:p>
        </w:tc>
      </w:tr>
      <w:tr w:rsidR="00EE4502">
        <w:trPr>
          <w:trHeight w:val="397"/>
          <w:jc w:val="center"/>
        </w:trPr>
        <w:tc>
          <w:tcPr>
            <w:tcW w:w="346" w:type="pct"/>
            <w:vAlign w:val="center"/>
          </w:tcPr>
          <w:p w:rsidR="00EE4502" w:rsidRDefault="00FD45A3">
            <w:pPr>
              <w:widowControl/>
              <w:tabs>
                <w:tab w:val="left" w:pos="377"/>
              </w:tabs>
              <w:jc w:val="center"/>
              <w:rPr>
                <w:szCs w:val="21"/>
              </w:rPr>
            </w:pPr>
            <w:r>
              <w:rPr>
                <w:szCs w:val="21"/>
              </w:rPr>
              <w:t>13</w:t>
            </w:r>
          </w:p>
        </w:tc>
        <w:tc>
          <w:tcPr>
            <w:tcW w:w="623" w:type="pct"/>
            <w:vMerge w:val="restart"/>
            <w:vAlign w:val="center"/>
          </w:tcPr>
          <w:p w:rsidR="00EE4502" w:rsidRDefault="00FD45A3">
            <w:pPr>
              <w:widowControl/>
              <w:tabs>
                <w:tab w:val="left" w:pos="377"/>
              </w:tabs>
              <w:jc w:val="center"/>
              <w:rPr>
                <w:szCs w:val="21"/>
              </w:rPr>
            </w:pPr>
            <w:r>
              <w:rPr>
                <w:szCs w:val="21"/>
              </w:rPr>
              <w:t>8#</w:t>
            </w:r>
          </w:p>
        </w:tc>
        <w:tc>
          <w:tcPr>
            <w:tcW w:w="737" w:type="pct"/>
            <w:vAlign w:val="center"/>
          </w:tcPr>
          <w:p w:rsidR="00EE4502" w:rsidRDefault="00FD45A3">
            <w:pPr>
              <w:widowControl/>
              <w:tabs>
                <w:tab w:val="left" w:pos="377"/>
              </w:tabs>
              <w:jc w:val="center"/>
              <w:rPr>
                <w:szCs w:val="21"/>
              </w:rPr>
            </w:pPr>
            <w:r>
              <w:rPr>
                <w:szCs w:val="21"/>
              </w:rPr>
              <w:t>排</w:t>
            </w:r>
            <w:r>
              <w:rPr>
                <w:szCs w:val="21"/>
              </w:rPr>
              <w:t>61-</w:t>
            </w:r>
            <w:r>
              <w:rPr>
                <w:szCs w:val="21"/>
              </w:rPr>
              <w:t>平</w:t>
            </w:r>
            <w:r>
              <w:rPr>
                <w:szCs w:val="21"/>
              </w:rPr>
              <w:t>22</w:t>
            </w:r>
          </w:p>
        </w:tc>
        <w:tc>
          <w:tcPr>
            <w:tcW w:w="485" w:type="pct"/>
            <w:vAlign w:val="center"/>
          </w:tcPr>
          <w:p w:rsidR="00EE4502" w:rsidRDefault="00FD45A3">
            <w:pPr>
              <w:widowControl/>
              <w:tabs>
                <w:tab w:val="left" w:pos="377"/>
              </w:tabs>
              <w:jc w:val="center"/>
              <w:rPr>
                <w:szCs w:val="21"/>
              </w:rPr>
            </w:pPr>
            <w:r>
              <w:rPr>
                <w:szCs w:val="21"/>
              </w:rPr>
              <w:t>水平井</w:t>
            </w:r>
          </w:p>
        </w:tc>
        <w:tc>
          <w:tcPr>
            <w:tcW w:w="1007" w:type="pct"/>
            <w:vAlign w:val="center"/>
          </w:tcPr>
          <w:p w:rsidR="00EE4502" w:rsidRDefault="00FD45A3">
            <w:pPr>
              <w:widowControl/>
              <w:tabs>
                <w:tab w:val="left" w:pos="377"/>
              </w:tabs>
              <w:jc w:val="center"/>
              <w:rPr>
                <w:szCs w:val="21"/>
              </w:rPr>
            </w:pPr>
            <w:r>
              <w:rPr>
                <w:szCs w:val="21"/>
              </w:rPr>
              <w:t>500</w:t>
            </w:r>
          </w:p>
        </w:tc>
        <w:tc>
          <w:tcPr>
            <w:tcW w:w="898" w:type="pct"/>
            <w:vMerge/>
            <w:vAlign w:val="center"/>
          </w:tcPr>
          <w:p w:rsidR="00EE4502" w:rsidRDefault="00EE4502">
            <w:pPr>
              <w:widowControl/>
              <w:tabs>
                <w:tab w:val="left" w:pos="377"/>
              </w:tabs>
              <w:jc w:val="center"/>
              <w:rPr>
                <w:szCs w:val="21"/>
              </w:rPr>
            </w:pPr>
          </w:p>
        </w:tc>
        <w:tc>
          <w:tcPr>
            <w:tcW w:w="900" w:type="pct"/>
            <w:vAlign w:val="center"/>
          </w:tcPr>
          <w:p w:rsidR="00EE4502" w:rsidRDefault="00EE4502">
            <w:pPr>
              <w:widowControl/>
              <w:tabs>
                <w:tab w:val="left" w:pos="377"/>
              </w:tabs>
              <w:jc w:val="center"/>
              <w:rPr>
                <w:szCs w:val="21"/>
              </w:rPr>
            </w:pPr>
          </w:p>
        </w:tc>
      </w:tr>
      <w:tr w:rsidR="00EE4502">
        <w:trPr>
          <w:trHeight w:val="397"/>
          <w:jc w:val="center"/>
        </w:trPr>
        <w:tc>
          <w:tcPr>
            <w:tcW w:w="346" w:type="pct"/>
            <w:vAlign w:val="center"/>
          </w:tcPr>
          <w:p w:rsidR="00EE4502" w:rsidRDefault="00FD45A3">
            <w:pPr>
              <w:widowControl/>
              <w:tabs>
                <w:tab w:val="left" w:pos="377"/>
              </w:tabs>
              <w:jc w:val="center"/>
              <w:rPr>
                <w:szCs w:val="21"/>
              </w:rPr>
            </w:pPr>
            <w:r>
              <w:rPr>
                <w:szCs w:val="21"/>
              </w:rPr>
              <w:t>14</w:t>
            </w:r>
          </w:p>
        </w:tc>
        <w:tc>
          <w:tcPr>
            <w:tcW w:w="623" w:type="pct"/>
            <w:vMerge/>
            <w:vAlign w:val="center"/>
          </w:tcPr>
          <w:p w:rsidR="00EE4502" w:rsidRDefault="00EE4502">
            <w:pPr>
              <w:widowControl/>
              <w:tabs>
                <w:tab w:val="left" w:pos="377"/>
              </w:tabs>
              <w:jc w:val="center"/>
              <w:rPr>
                <w:szCs w:val="21"/>
              </w:rPr>
            </w:pPr>
          </w:p>
        </w:tc>
        <w:tc>
          <w:tcPr>
            <w:tcW w:w="737" w:type="pct"/>
            <w:vAlign w:val="center"/>
          </w:tcPr>
          <w:p w:rsidR="00EE4502" w:rsidRDefault="00FD45A3">
            <w:pPr>
              <w:widowControl/>
              <w:tabs>
                <w:tab w:val="left" w:pos="377"/>
              </w:tabs>
              <w:jc w:val="center"/>
              <w:rPr>
                <w:szCs w:val="21"/>
              </w:rPr>
            </w:pPr>
            <w:r>
              <w:rPr>
                <w:szCs w:val="21"/>
              </w:rPr>
              <w:t>排</w:t>
            </w:r>
            <w:r>
              <w:rPr>
                <w:szCs w:val="21"/>
              </w:rPr>
              <w:t>61-</w:t>
            </w:r>
            <w:r>
              <w:rPr>
                <w:szCs w:val="21"/>
              </w:rPr>
              <w:t>平</w:t>
            </w:r>
            <w:r>
              <w:rPr>
                <w:szCs w:val="21"/>
              </w:rPr>
              <w:t>23</w:t>
            </w:r>
          </w:p>
        </w:tc>
        <w:tc>
          <w:tcPr>
            <w:tcW w:w="485" w:type="pct"/>
            <w:vAlign w:val="center"/>
          </w:tcPr>
          <w:p w:rsidR="00EE4502" w:rsidRDefault="00FD45A3">
            <w:pPr>
              <w:widowControl/>
              <w:tabs>
                <w:tab w:val="left" w:pos="377"/>
              </w:tabs>
              <w:jc w:val="center"/>
              <w:rPr>
                <w:szCs w:val="21"/>
              </w:rPr>
            </w:pPr>
            <w:r>
              <w:rPr>
                <w:szCs w:val="21"/>
              </w:rPr>
              <w:t>水平井</w:t>
            </w:r>
          </w:p>
        </w:tc>
        <w:tc>
          <w:tcPr>
            <w:tcW w:w="1007" w:type="pct"/>
            <w:vAlign w:val="center"/>
          </w:tcPr>
          <w:p w:rsidR="00EE4502" w:rsidRDefault="00FD45A3">
            <w:pPr>
              <w:widowControl/>
              <w:tabs>
                <w:tab w:val="left" w:pos="377"/>
              </w:tabs>
              <w:jc w:val="center"/>
              <w:rPr>
                <w:szCs w:val="21"/>
              </w:rPr>
            </w:pPr>
            <w:r>
              <w:rPr>
                <w:szCs w:val="21"/>
              </w:rPr>
              <w:t>550</w:t>
            </w:r>
          </w:p>
        </w:tc>
        <w:tc>
          <w:tcPr>
            <w:tcW w:w="898" w:type="pct"/>
            <w:vMerge/>
            <w:vAlign w:val="center"/>
          </w:tcPr>
          <w:p w:rsidR="00EE4502" w:rsidRDefault="00EE4502">
            <w:pPr>
              <w:widowControl/>
              <w:tabs>
                <w:tab w:val="left" w:pos="377"/>
              </w:tabs>
              <w:jc w:val="center"/>
              <w:rPr>
                <w:szCs w:val="21"/>
              </w:rPr>
            </w:pPr>
          </w:p>
        </w:tc>
        <w:tc>
          <w:tcPr>
            <w:tcW w:w="900" w:type="pct"/>
            <w:vAlign w:val="center"/>
          </w:tcPr>
          <w:p w:rsidR="00EE4502" w:rsidRDefault="00EE4502">
            <w:pPr>
              <w:widowControl/>
              <w:tabs>
                <w:tab w:val="left" w:pos="377"/>
              </w:tabs>
              <w:jc w:val="center"/>
              <w:rPr>
                <w:szCs w:val="21"/>
              </w:rPr>
            </w:pPr>
          </w:p>
        </w:tc>
      </w:tr>
      <w:tr w:rsidR="00EE4502">
        <w:trPr>
          <w:trHeight w:val="397"/>
          <w:jc w:val="center"/>
        </w:trPr>
        <w:tc>
          <w:tcPr>
            <w:tcW w:w="346" w:type="pct"/>
            <w:vAlign w:val="center"/>
          </w:tcPr>
          <w:p w:rsidR="00EE4502" w:rsidRDefault="00FD45A3">
            <w:pPr>
              <w:widowControl/>
              <w:tabs>
                <w:tab w:val="left" w:pos="377"/>
              </w:tabs>
              <w:jc w:val="center"/>
              <w:rPr>
                <w:szCs w:val="21"/>
              </w:rPr>
            </w:pPr>
            <w:r>
              <w:rPr>
                <w:szCs w:val="21"/>
              </w:rPr>
              <w:t>15</w:t>
            </w:r>
          </w:p>
        </w:tc>
        <w:tc>
          <w:tcPr>
            <w:tcW w:w="623" w:type="pct"/>
            <w:vAlign w:val="center"/>
          </w:tcPr>
          <w:p w:rsidR="00EE4502" w:rsidRDefault="00FD45A3">
            <w:pPr>
              <w:widowControl/>
              <w:tabs>
                <w:tab w:val="left" w:pos="377"/>
              </w:tabs>
              <w:jc w:val="center"/>
              <w:rPr>
                <w:szCs w:val="21"/>
              </w:rPr>
            </w:pPr>
            <w:r>
              <w:rPr>
                <w:szCs w:val="21"/>
              </w:rPr>
              <w:t>9#</w:t>
            </w:r>
          </w:p>
        </w:tc>
        <w:tc>
          <w:tcPr>
            <w:tcW w:w="737" w:type="pct"/>
            <w:vAlign w:val="center"/>
          </w:tcPr>
          <w:p w:rsidR="00EE4502" w:rsidRDefault="00FD45A3">
            <w:pPr>
              <w:widowControl/>
              <w:tabs>
                <w:tab w:val="left" w:pos="377"/>
              </w:tabs>
              <w:jc w:val="center"/>
              <w:rPr>
                <w:szCs w:val="21"/>
              </w:rPr>
            </w:pPr>
            <w:r>
              <w:rPr>
                <w:szCs w:val="21"/>
              </w:rPr>
              <w:t>排</w:t>
            </w:r>
            <w:r>
              <w:rPr>
                <w:szCs w:val="21"/>
              </w:rPr>
              <w:t>61-</w:t>
            </w:r>
            <w:r>
              <w:rPr>
                <w:szCs w:val="21"/>
              </w:rPr>
              <w:t>平</w:t>
            </w:r>
            <w:r>
              <w:rPr>
                <w:szCs w:val="21"/>
              </w:rPr>
              <w:t>24</w:t>
            </w:r>
          </w:p>
        </w:tc>
        <w:tc>
          <w:tcPr>
            <w:tcW w:w="485" w:type="pct"/>
            <w:vAlign w:val="center"/>
          </w:tcPr>
          <w:p w:rsidR="00EE4502" w:rsidRDefault="00FD45A3">
            <w:pPr>
              <w:widowControl/>
              <w:tabs>
                <w:tab w:val="left" w:pos="377"/>
              </w:tabs>
              <w:jc w:val="center"/>
              <w:rPr>
                <w:szCs w:val="21"/>
              </w:rPr>
            </w:pPr>
            <w:r>
              <w:rPr>
                <w:szCs w:val="21"/>
              </w:rPr>
              <w:t>水平井</w:t>
            </w:r>
          </w:p>
        </w:tc>
        <w:tc>
          <w:tcPr>
            <w:tcW w:w="1007" w:type="pct"/>
            <w:vAlign w:val="center"/>
          </w:tcPr>
          <w:p w:rsidR="00EE4502" w:rsidRDefault="00FD45A3">
            <w:pPr>
              <w:widowControl/>
              <w:tabs>
                <w:tab w:val="left" w:pos="377"/>
              </w:tabs>
              <w:jc w:val="center"/>
              <w:rPr>
                <w:szCs w:val="21"/>
              </w:rPr>
            </w:pPr>
            <w:r>
              <w:rPr>
                <w:szCs w:val="21"/>
              </w:rPr>
              <w:t>500</w:t>
            </w:r>
          </w:p>
        </w:tc>
        <w:tc>
          <w:tcPr>
            <w:tcW w:w="898" w:type="pct"/>
            <w:vMerge/>
            <w:vAlign w:val="center"/>
          </w:tcPr>
          <w:p w:rsidR="00EE4502" w:rsidRDefault="00EE4502">
            <w:pPr>
              <w:widowControl/>
              <w:tabs>
                <w:tab w:val="left" w:pos="377"/>
              </w:tabs>
              <w:jc w:val="center"/>
              <w:rPr>
                <w:szCs w:val="21"/>
              </w:rPr>
            </w:pPr>
          </w:p>
        </w:tc>
        <w:tc>
          <w:tcPr>
            <w:tcW w:w="900" w:type="pct"/>
            <w:vAlign w:val="center"/>
          </w:tcPr>
          <w:p w:rsidR="00EE4502" w:rsidRDefault="00FD45A3">
            <w:pPr>
              <w:widowControl/>
              <w:tabs>
                <w:tab w:val="left" w:pos="377"/>
              </w:tabs>
              <w:jc w:val="center"/>
              <w:rPr>
                <w:szCs w:val="21"/>
              </w:rPr>
            </w:pPr>
            <w:r>
              <w:rPr>
                <w:szCs w:val="21"/>
              </w:rPr>
              <w:t>排</w:t>
            </w:r>
            <w:r>
              <w:rPr>
                <w:szCs w:val="21"/>
              </w:rPr>
              <w:t>61-</w:t>
            </w:r>
            <w:r>
              <w:rPr>
                <w:szCs w:val="21"/>
              </w:rPr>
              <w:t>平</w:t>
            </w:r>
            <w:r>
              <w:rPr>
                <w:szCs w:val="21"/>
              </w:rPr>
              <w:t>1</w:t>
            </w:r>
            <w:r>
              <w:rPr>
                <w:szCs w:val="21"/>
              </w:rPr>
              <w:t>老井场</w:t>
            </w:r>
          </w:p>
        </w:tc>
      </w:tr>
      <w:tr w:rsidR="00EE4502">
        <w:trPr>
          <w:trHeight w:val="397"/>
          <w:jc w:val="center"/>
        </w:trPr>
        <w:tc>
          <w:tcPr>
            <w:tcW w:w="346" w:type="pct"/>
            <w:vAlign w:val="center"/>
          </w:tcPr>
          <w:p w:rsidR="00EE4502" w:rsidRDefault="00FD45A3">
            <w:pPr>
              <w:widowControl/>
              <w:tabs>
                <w:tab w:val="left" w:pos="377"/>
              </w:tabs>
              <w:jc w:val="center"/>
              <w:rPr>
                <w:szCs w:val="21"/>
              </w:rPr>
            </w:pPr>
            <w:r>
              <w:rPr>
                <w:szCs w:val="21"/>
              </w:rPr>
              <w:t>16</w:t>
            </w:r>
          </w:p>
        </w:tc>
        <w:tc>
          <w:tcPr>
            <w:tcW w:w="623" w:type="pct"/>
            <w:vAlign w:val="center"/>
          </w:tcPr>
          <w:p w:rsidR="00EE4502" w:rsidRDefault="00FD45A3">
            <w:pPr>
              <w:widowControl/>
              <w:tabs>
                <w:tab w:val="left" w:pos="377"/>
              </w:tabs>
              <w:jc w:val="center"/>
              <w:rPr>
                <w:szCs w:val="21"/>
              </w:rPr>
            </w:pPr>
            <w:r>
              <w:rPr>
                <w:szCs w:val="21"/>
              </w:rPr>
              <w:t>10#</w:t>
            </w:r>
          </w:p>
        </w:tc>
        <w:tc>
          <w:tcPr>
            <w:tcW w:w="737" w:type="pct"/>
            <w:vAlign w:val="center"/>
          </w:tcPr>
          <w:p w:rsidR="00EE4502" w:rsidRDefault="00FD45A3">
            <w:pPr>
              <w:widowControl/>
              <w:tabs>
                <w:tab w:val="left" w:pos="377"/>
              </w:tabs>
              <w:jc w:val="center"/>
              <w:rPr>
                <w:szCs w:val="21"/>
              </w:rPr>
            </w:pPr>
            <w:r>
              <w:rPr>
                <w:szCs w:val="21"/>
              </w:rPr>
              <w:t>排</w:t>
            </w:r>
            <w:r>
              <w:rPr>
                <w:szCs w:val="21"/>
              </w:rPr>
              <w:t>7-15</w:t>
            </w:r>
          </w:p>
        </w:tc>
        <w:tc>
          <w:tcPr>
            <w:tcW w:w="485" w:type="pct"/>
            <w:vAlign w:val="center"/>
          </w:tcPr>
          <w:p w:rsidR="00EE4502" w:rsidRDefault="00FD45A3">
            <w:pPr>
              <w:widowControl/>
              <w:tabs>
                <w:tab w:val="left" w:pos="377"/>
              </w:tabs>
              <w:jc w:val="center"/>
              <w:rPr>
                <w:szCs w:val="21"/>
              </w:rPr>
            </w:pPr>
            <w:r>
              <w:rPr>
                <w:szCs w:val="21"/>
              </w:rPr>
              <w:t>直井</w:t>
            </w:r>
          </w:p>
        </w:tc>
        <w:tc>
          <w:tcPr>
            <w:tcW w:w="1007" w:type="pct"/>
            <w:vAlign w:val="center"/>
          </w:tcPr>
          <w:p w:rsidR="00EE4502" w:rsidRDefault="00FD45A3">
            <w:pPr>
              <w:widowControl/>
              <w:tabs>
                <w:tab w:val="left" w:pos="377"/>
              </w:tabs>
              <w:jc w:val="center"/>
              <w:rPr>
                <w:szCs w:val="21"/>
              </w:rPr>
            </w:pPr>
            <w:r>
              <w:rPr>
                <w:rFonts w:hint="eastAsia"/>
                <w:szCs w:val="21"/>
              </w:rPr>
              <w:t>/</w:t>
            </w:r>
          </w:p>
        </w:tc>
        <w:tc>
          <w:tcPr>
            <w:tcW w:w="898" w:type="pct"/>
            <w:vMerge w:val="restart"/>
            <w:vAlign w:val="center"/>
          </w:tcPr>
          <w:p w:rsidR="00EE4502" w:rsidRDefault="00FD45A3">
            <w:pPr>
              <w:widowControl/>
              <w:tabs>
                <w:tab w:val="left" w:pos="377"/>
              </w:tabs>
              <w:jc w:val="center"/>
              <w:rPr>
                <w:szCs w:val="21"/>
              </w:rPr>
            </w:pPr>
            <w:r>
              <w:rPr>
                <w:szCs w:val="21"/>
              </w:rPr>
              <w:t>注水井</w:t>
            </w:r>
          </w:p>
        </w:tc>
        <w:tc>
          <w:tcPr>
            <w:tcW w:w="900" w:type="pct"/>
            <w:vAlign w:val="center"/>
          </w:tcPr>
          <w:p w:rsidR="00EE4502" w:rsidRDefault="00EE4502">
            <w:pPr>
              <w:widowControl/>
              <w:tabs>
                <w:tab w:val="left" w:pos="377"/>
              </w:tabs>
              <w:jc w:val="center"/>
              <w:rPr>
                <w:szCs w:val="21"/>
              </w:rPr>
            </w:pPr>
          </w:p>
        </w:tc>
      </w:tr>
      <w:tr w:rsidR="00EE4502">
        <w:trPr>
          <w:trHeight w:val="397"/>
          <w:jc w:val="center"/>
        </w:trPr>
        <w:tc>
          <w:tcPr>
            <w:tcW w:w="346" w:type="pct"/>
            <w:vAlign w:val="center"/>
          </w:tcPr>
          <w:p w:rsidR="00EE4502" w:rsidRDefault="00FD45A3">
            <w:pPr>
              <w:widowControl/>
              <w:tabs>
                <w:tab w:val="left" w:pos="377"/>
              </w:tabs>
              <w:jc w:val="center"/>
              <w:rPr>
                <w:szCs w:val="21"/>
              </w:rPr>
            </w:pPr>
            <w:r>
              <w:rPr>
                <w:szCs w:val="21"/>
              </w:rPr>
              <w:t>17</w:t>
            </w:r>
          </w:p>
        </w:tc>
        <w:tc>
          <w:tcPr>
            <w:tcW w:w="623" w:type="pct"/>
            <w:vAlign w:val="center"/>
          </w:tcPr>
          <w:p w:rsidR="00EE4502" w:rsidRDefault="00FD45A3">
            <w:pPr>
              <w:widowControl/>
              <w:tabs>
                <w:tab w:val="left" w:pos="377"/>
              </w:tabs>
              <w:jc w:val="center"/>
              <w:rPr>
                <w:szCs w:val="21"/>
              </w:rPr>
            </w:pPr>
            <w:r>
              <w:rPr>
                <w:rFonts w:hint="eastAsia"/>
                <w:szCs w:val="21"/>
              </w:rPr>
              <w:t>11#</w:t>
            </w:r>
          </w:p>
        </w:tc>
        <w:tc>
          <w:tcPr>
            <w:tcW w:w="737" w:type="pct"/>
            <w:vAlign w:val="center"/>
          </w:tcPr>
          <w:p w:rsidR="00EE4502" w:rsidRDefault="00FD45A3">
            <w:pPr>
              <w:widowControl/>
              <w:tabs>
                <w:tab w:val="left" w:pos="377"/>
              </w:tabs>
              <w:jc w:val="center"/>
              <w:rPr>
                <w:szCs w:val="21"/>
              </w:rPr>
            </w:pPr>
            <w:r>
              <w:rPr>
                <w:szCs w:val="21"/>
              </w:rPr>
              <w:t>排</w:t>
            </w:r>
            <w:r>
              <w:rPr>
                <w:szCs w:val="21"/>
              </w:rPr>
              <w:t>7-16</w:t>
            </w:r>
          </w:p>
        </w:tc>
        <w:tc>
          <w:tcPr>
            <w:tcW w:w="485" w:type="pct"/>
            <w:vAlign w:val="center"/>
          </w:tcPr>
          <w:p w:rsidR="00EE4502" w:rsidRDefault="00FD45A3">
            <w:pPr>
              <w:widowControl/>
              <w:tabs>
                <w:tab w:val="left" w:pos="377"/>
              </w:tabs>
              <w:jc w:val="center"/>
              <w:rPr>
                <w:szCs w:val="21"/>
              </w:rPr>
            </w:pPr>
            <w:r>
              <w:rPr>
                <w:szCs w:val="21"/>
              </w:rPr>
              <w:t>直井</w:t>
            </w:r>
          </w:p>
        </w:tc>
        <w:tc>
          <w:tcPr>
            <w:tcW w:w="1007" w:type="pct"/>
            <w:vAlign w:val="center"/>
          </w:tcPr>
          <w:p w:rsidR="00EE4502" w:rsidRDefault="00FD45A3">
            <w:pPr>
              <w:widowControl/>
              <w:tabs>
                <w:tab w:val="left" w:pos="377"/>
              </w:tabs>
              <w:jc w:val="center"/>
              <w:rPr>
                <w:szCs w:val="21"/>
              </w:rPr>
            </w:pPr>
            <w:r>
              <w:rPr>
                <w:rFonts w:hint="eastAsia"/>
                <w:szCs w:val="21"/>
              </w:rPr>
              <w:t>/</w:t>
            </w:r>
          </w:p>
        </w:tc>
        <w:tc>
          <w:tcPr>
            <w:tcW w:w="898" w:type="pct"/>
            <w:vMerge/>
            <w:vAlign w:val="center"/>
          </w:tcPr>
          <w:p w:rsidR="00EE4502" w:rsidRDefault="00EE4502">
            <w:pPr>
              <w:widowControl/>
              <w:tabs>
                <w:tab w:val="left" w:pos="377"/>
              </w:tabs>
              <w:jc w:val="center"/>
              <w:rPr>
                <w:szCs w:val="21"/>
              </w:rPr>
            </w:pPr>
          </w:p>
        </w:tc>
        <w:tc>
          <w:tcPr>
            <w:tcW w:w="900" w:type="pct"/>
            <w:vAlign w:val="center"/>
          </w:tcPr>
          <w:p w:rsidR="00EE4502" w:rsidRDefault="00EE4502">
            <w:pPr>
              <w:widowControl/>
              <w:tabs>
                <w:tab w:val="left" w:pos="377"/>
              </w:tabs>
              <w:jc w:val="center"/>
              <w:rPr>
                <w:szCs w:val="21"/>
              </w:rPr>
            </w:pPr>
          </w:p>
        </w:tc>
      </w:tr>
      <w:tr w:rsidR="00EE4502">
        <w:trPr>
          <w:trHeight w:val="397"/>
          <w:jc w:val="center"/>
        </w:trPr>
        <w:tc>
          <w:tcPr>
            <w:tcW w:w="346" w:type="pct"/>
            <w:vAlign w:val="center"/>
          </w:tcPr>
          <w:p w:rsidR="00EE4502" w:rsidRDefault="00FD45A3">
            <w:pPr>
              <w:widowControl/>
              <w:tabs>
                <w:tab w:val="left" w:pos="377"/>
              </w:tabs>
              <w:jc w:val="center"/>
              <w:rPr>
                <w:szCs w:val="21"/>
              </w:rPr>
            </w:pPr>
            <w:r>
              <w:rPr>
                <w:rFonts w:hint="eastAsia"/>
                <w:szCs w:val="21"/>
              </w:rPr>
              <w:t>18</w:t>
            </w:r>
          </w:p>
        </w:tc>
        <w:tc>
          <w:tcPr>
            <w:tcW w:w="623" w:type="pct"/>
            <w:vAlign w:val="center"/>
          </w:tcPr>
          <w:p w:rsidR="00EE4502" w:rsidRDefault="00FD45A3">
            <w:pPr>
              <w:widowControl/>
              <w:tabs>
                <w:tab w:val="left" w:pos="377"/>
              </w:tabs>
              <w:jc w:val="center"/>
              <w:rPr>
                <w:szCs w:val="21"/>
              </w:rPr>
            </w:pPr>
            <w:r>
              <w:rPr>
                <w:rFonts w:hint="eastAsia"/>
                <w:szCs w:val="21"/>
              </w:rPr>
              <w:t>12#</w:t>
            </w:r>
          </w:p>
        </w:tc>
        <w:tc>
          <w:tcPr>
            <w:tcW w:w="737" w:type="pct"/>
            <w:vAlign w:val="center"/>
          </w:tcPr>
          <w:p w:rsidR="00EE4502" w:rsidRDefault="00FD45A3">
            <w:pPr>
              <w:widowControl/>
              <w:tabs>
                <w:tab w:val="left" w:pos="377"/>
              </w:tabs>
              <w:jc w:val="center"/>
              <w:rPr>
                <w:szCs w:val="21"/>
              </w:rPr>
            </w:pPr>
            <w:r>
              <w:rPr>
                <w:szCs w:val="21"/>
              </w:rPr>
              <w:t>排</w:t>
            </w:r>
            <w:r>
              <w:rPr>
                <w:szCs w:val="21"/>
              </w:rPr>
              <w:t>7-</w:t>
            </w:r>
            <w:r>
              <w:rPr>
                <w:szCs w:val="21"/>
              </w:rPr>
              <w:t>斜</w:t>
            </w:r>
            <w:r>
              <w:rPr>
                <w:szCs w:val="21"/>
              </w:rPr>
              <w:t>1</w:t>
            </w:r>
            <w:r>
              <w:rPr>
                <w:rFonts w:hint="eastAsia"/>
                <w:szCs w:val="21"/>
              </w:rPr>
              <w:t>7</w:t>
            </w:r>
          </w:p>
        </w:tc>
        <w:tc>
          <w:tcPr>
            <w:tcW w:w="485" w:type="pct"/>
            <w:vAlign w:val="center"/>
          </w:tcPr>
          <w:p w:rsidR="00EE4502" w:rsidRDefault="00FD45A3">
            <w:pPr>
              <w:widowControl/>
              <w:tabs>
                <w:tab w:val="left" w:pos="377"/>
              </w:tabs>
              <w:jc w:val="center"/>
              <w:rPr>
                <w:szCs w:val="21"/>
              </w:rPr>
            </w:pPr>
            <w:r>
              <w:rPr>
                <w:szCs w:val="21"/>
              </w:rPr>
              <w:t>定向井</w:t>
            </w:r>
          </w:p>
        </w:tc>
        <w:tc>
          <w:tcPr>
            <w:tcW w:w="1007" w:type="pct"/>
            <w:vAlign w:val="center"/>
          </w:tcPr>
          <w:p w:rsidR="00EE4502" w:rsidRDefault="00FD45A3">
            <w:pPr>
              <w:widowControl/>
              <w:tabs>
                <w:tab w:val="left" w:pos="377"/>
              </w:tabs>
              <w:jc w:val="center"/>
              <w:rPr>
                <w:szCs w:val="21"/>
              </w:rPr>
            </w:pPr>
            <w:r>
              <w:rPr>
                <w:rFonts w:hint="eastAsia"/>
                <w:szCs w:val="21"/>
              </w:rPr>
              <w:t>/</w:t>
            </w:r>
          </w:p>
        </w:tc>
        <w:tc>
          <w:tcPr>
            <w:tcW w:w="898" w:type="pct"/>
            <w:vMerge/>
            <w:vAlign w:val="center"/>
          </w:tcPr>
          <w:p w:rsidR="00EE4502" w:rsidRDefault="00EE4502">
            <w:pPr>
              <w:widowControl/>
              <w:tabs>
                <w:tab w:val="left" w:pos="377"/>
              </w:tabs>
              <w:jc w:val="center"/>
              <w:rPr>
                <w:szCs w:val="21"/>
              </w:rPr>
            </w:pPr>
          </w:p>
        </w:tc>
        <w:tc>
          <w:tcPr>
            <w:tcW w:w="900" w:type="pct"/>
            <w:vAlign w:val="center"/>
          </w:tcPr>
          <w:p w:rsidR="00EE4502" w:rsidRDefault="00EE4502">
            <w:pPr>
              <w:widowControl/>
              <w:tabs>
                <w:tab w:val="left" w:pos="377"/>
              </w:tabs>
              <w:jc w:val="center"/>
              <w:rPr>
                <w:szCs w:val="21"/>
              </w:rPr>
            </w:pPr>
          </w:p>
        </w:tc>
      </w:tr>
    </w:tbl>
    <w:p w:rsidR="00EE4502" w:rsidRDefault="00EE4502">
      <w:pPr>
        <w:spacing w:line="360" w:lineRule="auto"/>
        <w:jc w:val="center"/>
        <w:rPr>
          <w:sz w:val="24"/>
        </w:rPr>
      </w:pPr>
    </w:p>
    <w:p w:rsidR="00EE4502" w:rsidRDefault="00EE4502">
      <w:pPr>
        <w:spacing w:line="360" w:lineRule="auto"/>
        <w:jc w:val="center"/>
      </w:pPr>
    </w:p>
    <w:p w:rsidR="00EE4502" w:rsidRDefault="00FD45A3">
      <w:pPr>
        <w:spacing w:line="360" w:lineRule="auto"/>
        <w:jc w:val="center"/>
        <w:rPr>
          <w:rFonts w:ascii="黑体" w:eastAsia="黑体" w:hAnsi="黑体" w:cs="黑体"/>
          <w:szCs w:val="21"/>
        </w:rPr>
      </w:pPr>
      <w:r>
        <w:rPr>
          <w:rFonts w:ascii="黑体" w:eastAsia="黑体" w:hAnsi="黑体" w:cs="黑体" w:hint="eastAsia"/>
          <w:szCs w:val="21"/>
        </w:rPr>
        <w:t>图</w:t>
      </w:r>
      <w:r>
        <w:rPr>
          <w:rFonts w:ascii="黑体" w:eastAsia="黑体" w:hAnsi="黑体" w:cs="黑体" w:hint="eastAsia"/>
          <w:szCs w:val="21"/>
        </w:rPr>
        <w:t xml:space="preserve">3-3-12  </w:t>
      </w:r>
      <w:r>
        <w:rPr>
          <w:rFonts w:ascii="黑体" w:eastAsia="黑体" w:hAnsi="黑体" w:cs="黑体" w:hint="eastAsia"/>
          <w:szCs w:val="21"/>
        </w:rPr>
        <w:t>钻井</w:t>
      </w:r>
      <w:r>
        <w:rPr>
          <w:rFonts w:ascii="黑体" w:eastAsia="黑体" w:hAnsi="黑体" w:cs="黑体" w:hint="eastAsia"/>
          <w:szCs w:val="21"/>
        </w:rPr>
        <w:t>临时占地</w:t>
      </w:r>
      <w:r>
        <w:rPr>
          <w:rFonts w:ascii="黑体" w:eastAsia="黑体" w:hAnsi="黑体" w:cs="黑体" w:hint="eastAsia"/>
          <w:szCs w:val="21"/>
        </w:rPr>
        <w:t>平面布置</w:t>
      </w:r>
    </w:p>
    <w:p w:rsidR="00EE4502" w:rsidRDefault="00FD45A3">
      <w:pPr>
        <w:spacing w:line="360" w:lineRule="auto"/>
        <w:ind w:firstLineChars="200" w:firstLine="480"/>
        <w:rPr>
          <w:sz w:val="24"/>
        </w:rPr>
      </w:pPr>
      <w:r>
        <w:rPr>
          <w:rFonts w:hint="eastAsia"/>
          <w:sz w:val="24"/>
        </w:rPr>
        <w:t>根据资料，本工程油井钻井临时占地规格为</w:t>
      </w:r>
      <w:r>
        <w:rPr>
          <w:rFonts w:hint="eastAsia"/>
          <w:sz w:val="24"/>
        </w:rPr>
        <w:t>50m</w:t>
      </w:r>
      <w:r>
        <w:rPr>
          <w:rFonts w:hint="eastAsia"/>
          <w:sz w:val="24"/>
        </w:rPr>
        <w:t>×</w:t>
      </w:r>
      <w:r>
        <w:rPr>
          <w:rFonts w:hint="eastAsia"/>
          <w:sz w:val="24"/>
        </w:rPr>
        <w:t>70m</w:t>
      </w:r>
      <w:r>
        <w:rPr>
          <w:rFonts w:hint="eastAsia"/>
          <w:sz w:val="24"/>
        </w:rPr>
        <w:t>、注水井钻井临时占地规格为</w:t>
      </w:r>
      <w:r>
        <w:rPr>
          <w:rFonts w:hint="eastAsia"/>
          <w:sz w:val="24"/>
        </w:rPr>
        <w:t>30m</w:t>
      </w:r>
      <w:r>
        <w:rPr>
          <w:rFonts w:hint="eastAsia"/>
          <w:sz w:val="24"/>
        </w:rPr>
        <w:t>×</w:t>
      </w:r>
      <w:r>
        <w:rPr>
          <w:rFonts w:hint="eastAsia"/>
          <w:sz w:val="24"/>
        </w:rPr>
        <w:t>35m</w:t>
      </w:r>
      <w:r>
        <w:rPr>
          <w:rFonts w:hint="eastAsia"/>
          <w:sz w:val="24"/>
        </w:rPr>
        <w:t>。</w:t>
      </w:r>
    </w:p>
    <w:p w:rsidR="00EE4502" w:rsidRDefault="00FD45A3">
      <w:pPr>
        <w:spacing w:line="360" w:lineRule="auto"/>
        <w:ind w:firstLineChars="200" w:firstLine="482"/>
        <w:rPr>
          <w:sz w:val="24"/>
        </w:rPr>
      </w:pPr>
      <w:r>
        <w:rPr>
          <w:rFonts w:hint="eastAsia"/>
          <w:b/>
          <w:bCs/>
          <w:sz w:val="24"/>
        </w:rPr>
        <w:t>（</w:t>
      </w:r>
      <w:r>
        <w:rPr>
          <w:b/>
          <w:bCs/>
          <w:sz w:val="24"/>
        </w:rPr>
        <w:t>2</w:t>
      </w:r>
      <w:r>
        <w:rPr>
          <w:rFonts w:hint="eastAsia"/>
          <w:b/>
          <w:bCs/>
          <w:sz w:val="24"/>
        </w:rPr>
        <w:t>）井眼轨道优化方案</w:t>
      </w:r>
    </w:p>
    <w:p w:rsidR="00EE4502" w:rsidRDefault="00FD45A3">
      <w:pPr>
        <w:spacing w:line="360" w:lineRule="auto"/>
        <w:ind w:firstLineChars="200" w:firstLine="480"/>
        <w:rPr>
          <w:sz w:val="24"/>
        </w:rPr>
      </w:pPr>
      <w:r>
        <w:rPr>
          <w:rFonts w:hint="eastAsia"/>
          <w:sz w:val="24"/>
        </w:rPr>
        <w:t>依据井口坐标、靶点坐标及垂深数据进行方案井井眼轨道模拟优化设计。方案井总进尺</w:t>
      </w:r>
      <w:r>
        <w:rPr>
          <w:rFonts w:hint="eastAsia"/>
          <w:sz w:val="24"/>
        </w:rPr>
        <w:t>27787.23m</w:t>
      </w:r>
      <w:r>
        <w:rPr>
          <w:rFonts w:hint="eastAsia"/>
          <w:sz w:val="24"/>
        </w:rPr>
        <w:t>，水平井平均单井进尺为</w:t>
      </w:r>
      <w:r>
        <w:rPr>
          <w:rFonts w:hint="eastAsia"/>
          <w:sz w:val="24"/>
        </w:rPr>
        <w:t>1657.47m</w:t>
      </w:r>
      <w:r>
        <w:rPr>
          <w:rFonts w:hint="eastAsia"/>
          <w:sz w:val="24"/>
        </w:rPr>
        <w:t>，定向井单井进尺</w:t>
      </w:r>
      <w:r>
        <w:rPr>
          <w:rFonts w:hint="eastAsia"/>
          <w:sz w:val="24"/>
        </w:rPr>
        <w:t>1025.22</w:t>
      </w:r>
      <w:r>
        <w:rPr>
          <w:rFonts w:hint="eastAsia"/>
          <w:sz w:val="24"/>
        </w:rPr>
        <w:t>m</w:t>
      </w:r>
      <w:r>
        <w:rPr>
          <w:rFonts w:hint="eastAsia"/>
          <w:sz w:val="24"/>
        </w:rPr>
        <w:t>，直井进尺</w:t>
      </w:r>
      <w:r>
        <w:rPr>
          <w:rFonts w:hint="eastAsia"/>
          <w:sz w:val="24"/>
        </w:rPr>
        <w:t>950m</w:t>
      </w:r>
      <w:r>
        <w:rPr>
          <w:rFonts w:hint="eastAsia"/>
          <w:sz w:val="24"/>
        </w:rPr>
        <w:t>。单井轨道以排</w:t>
      </w:r>
      <w:r>
        <w:rPr>
          <w:rFonts w:hint="eastAsia"/>
          <w:sz w:val="24"/>
        </w:rPr>
        <w:t>61-</w:t>
      </w:r>
      <w:r>
        <w:rPr>
          <w:rFonts w:hint="eastAsia"/>
          <w:sz w:val="24"/>
        </w:rPr>
        <w:t>平</w:t>
      </w:r>
      <w:r>
        <w:rPr>
          <w:rFonts w:hint="eastAsia"/>
          <w:sz w:val="24"/>
        </w:rPr>
        <w:t>13</w:t>
      </w:r>
      <w:r>
        <w:rPr>
          <w:rFonts w:hint="eastAsia"/>
          <w:sz w:val="24"/>
        </w:rPr>
        <w:t>、排</w:t>
      </w:r>
      <w:r>
        <w:rPr>
          <w:rFonts w:hint="eastAsia"/>
          <w:sz w:val="24"/>
        </w:rPr>
        <w:t>61-</w:t>
      </w:r>
      <w:r>
        <w:rPr>
          <w:rFonts w:hint="eastAsia"/>
          <w:sz w:val="24"/>
        </w:rPr>
        <w:t>平</w:t>
      </w:r>
      <w:r>
        <w:rPr>
          <w:rFonts w:hint="eastAsia"/>
          <w:sz w:val="24"/>
        </w:rPr>
        <w:t>15</w:t>
      </w:r>
      <w:r>
        <w:rPr>
          <w:rFonts w:hint="eastAsia"/>
          <w:sz w:val="24"/>
        </w:rPr>
        <w:t>、排</w:t>
      </w:r>
      <w:r>
        <w:rPr>
          <w:rFonts w:hint="eastAsia"/>
          <w:sz w:val="24"/>
        </w:rPr>
        <w:t>61-</w:t>
      </w:r>
      <w:r>
        <w:rPr>
          <w:rFonts w:hint="eastAsia"/>
          <w:sz w:val="24"/>
        </w:rPr>
        <w:t>平</w:t>
      </w:r>
      <w:r>
        <w:rPr>
          <w:rFonts w:hint="eastAsia"/>
          <w:sz w:val="24"/>
        </w:rPr>
        <w:t>18</w:t>
      </w:r>
      <w:r>
        <w:rPr>
          <w:rFonts w:hint="eastAsia"/>
          <w:sz w:val="24"/>
        </w:rPr>
        <w:t>、排</w:t>
      </w:r>
      <w:r>
        <w:rPr>
          <w:rFonts w:hint="eastAsia"/>
          <w:sz w:val="24"/>
        </w:rPr>
        <w:t>61-</w:t>
      </w:r>
      <w:r>
        <w:rPr>
          <w:rFonts w:hint="eastAsia"/>
          <w:sz w:val="24"/>
        </w:rPr>
        <w:t>平</w:t>
      </w:r>
      <w:r>
        <w:rPr>
          <w:rFonts w:hint="eastAsia"/>
          <w:sz w:val="24"/>
        </w:rPr>
        <w:t>21</w:t>
      </w:r>
      <w:r>
        <w:rPr>
          <w:rFonts w:hint="eastAsia"/>
          <w:sz w:val="24"/>
        </w:rPr>
        <w:t>、排</w:t>
      </w:r>
      <w:r>
        <w:rPr>
          <w:rFonts w:hint="eastAsia"/>
          <w:sz w:val="24"/>
        </w:rPr>
        <w:t>7-</w:t>
      </w:r>
      <w:r>
        <w:rPr>
          <w:rFonts w:hint="eastAsia"/>
          <w:sz w:val="24"/>
        </w:rPr>
        <w:t>斜</w:t>
      </w:r>
      <w:r>
        <w:rPr>
          <w:rFonts w:hint="eastAsia"/>
          <w:sz w:val="24"/>
        </w:rPr>
        <w:t>1</w:t>
      </w:r>
      <w:r>
        <w:rPr>
          <w:rFonts w:hint="eastAsia"/>
          <w:sz w:val="24"/>
        </w:rPr>
        <w:t>7</w:t>
      </w:r>
      <w:r>
        <w:rPr>
          <w:rFonts w:hint="eastAsia"/>
          <w:sz w:val="24"/>
        </w:rPr>
        <w:t>井为例，具体见下表。</w:t>
      </w:r>
    </w:p>
    <w:p w:rsidR="00EE4502" w:rsidRDefault="00FD45A3">
      <w:pPr>
        <w:tabs>
          <w:tab w:val="left" w:pos="377"/>
        </w:tabs>
        <w:spacing w:line="360" w:lineRule="auto"/>
        <w:jc w:val="center"/>
        <w:rPr>
          <w:rFonts w:eastAsia="黑体"/>
          <w:bCs/>
          <w:szCs w:val="21"/>
        </w:rPr>
      </w:pPr>
      <w:r>
        <w:rPr>
          <w:rFonts w:eastAsia="黑体"/>
          <w:bCs/>
          <w:szCs w:val="21"/>
        </w:rPr>
        <w:t>表</w:t>
      </w:r>
      <w:r>
        <w:rPr>
          <w:rFonts w:eastAsia="黑体" w:hint="eastAsia"/>
          <w:bCs/>
          <w:szCs w:val="21"/>
        </w:rPr>
        <w:t>3-3</w:t>
      </w:r>
      <w:r>
        <w:rPr>
          <w:rFonts w:eastAsia="黑体"/>
          <w:bCs/>
          <w:szCs w:val="21"/>
        </w:rPr>
        <w:t>-</w:t>
      </w:r>
      <w:r>
        <w:rPr>
          <w:rFonts w:eastAsia="黑体" w:hint="eastAsia"/>
          <w:bCs/>
          <w:szCs w:val="21"/>
        </w:rPr>
        <w:t>8</w:t>
      </w:r>
      <w:r>
        <w:rPr>
          <w:rFonts w:eastAsia="黑体"/>
          <w:bCs/>
          <w:szCs w:val="21"/>
        </w:rPr>
        <w:t xml:space="preserve">  </w:t>
      </w:r>
      <w:r>
        <w:rPr>
          <w:rFonts w:eastAsia="黑体"/>
          <w:bCs/>
          <w:szCs w:val="21"/>
        </w:rPr>
        <w:t>方案井井眼轨道优化数据表</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4A0" w:firstRow="1" w:lastRow="0" w:firstColumn="1" w:lastColumn="0" w:noHBand="0" w:noVBand="1"/>
      </w:tblPr>
      <w:tblGrid>
        <w:gridCol w:w="424"/>
        <w:gridCol w:w="489"/>
        <w:gridCol w:w="680"/>
        <w:gridCol w:w="782"/>
        <w:gridCol w:w="744"/>
        <w:gridCol w:w="576"/>
        <w:gridCol w:w="679"/>
        <w:gridCol w:w="731"/>
        <w:gridCol w:w="970"/>
        <w:gridCol w:w="781"/>
        <w:gridCol w:w="781"/>
        <w:gridCol w:w="783"/>
      </w:tblGrid>
      <w:tr w:rsidR="00EE4502">
        <w:trPr>
          <w:trHeight w:val="397"/>
          <w:tblHeader/>
          <w:jc w:val="center"/>
        </w:trPr>
        <w:tc>
          <w:tcPr>
            <w:tcW w:w="251" w:type="pct"/>
            <w:vAlign w:val="center"/>
          </w:tcPr>
          <w:p w:rsidR="00EE4502" w:rsidRDefault="00FD45A3">
            <w:pPr>
              <w:widowControl/>
              <w:tabs>
                <w:tab w:val="left" w:pos="377"/>
              </w:tabs>
              <w:jc w:val="center"/>
              <w:rPr>
                <w:szCs w:val="21"/>
              </w:rPr>
            </w:pPr>
            <w:r>
              <w:rPr>
                <w:rFonts w:hint="eastAsia"/>
                <w:szCs w:val="21"/>
              </w:rPr>
              <w:t>钻井</w:t>
            </w:r>
          </w:p>
          <w:p w:rsidR="00EE4502" w:rsidRDefault="00FD45A3">
            <w:pPr>
              <w:widowControl/>
              <w:tabs>
                <w:tab w:val="left" w:pos="377"/>
              </w:tabs>
              <w:jc w:val="center"/>
              <w:rPr>
                <w:szCs w:val="21"/>
              </w:rPr>
            </w:pPr>
            <w:r>
              <w:rPr>
                <w:rFonts w:hint="eastAsia"/>
                <w:szCs w:val="21"/>
              </w:rPr>
              <w:t>平台</w:t>
            </w:r>
          </w:p>
        </w:tc>
        <w:tc>
          <w:tcPr>
            <w:tcW w:w="290" w:type="pct"/>
            <w:vAlign w:val="center"/>
          </w:tcPr>
          <w:p w:rsidR="00EE4502" w:rsidRDefault="00FD45A3">
            <w:pPr>
              <w:widowControl/>
              <w:tabs>
                <w:tab w:val="left" w:pos="377"/>
              </w:tabs>
              <w:jc w:val="center"/>
              <w:rPr>
                <w:szCs w:val="21"/>
              </w:rPr>
            </w:pPr>
            <w:r>
              <w:rPr>
                <w:rFonts w:hint="eastAsia"/>
                <w:szCs w:val="21"/>
              </w:rPr>
              <w:t>井号</w:t>
            </w:r>
          </w:p>
        </w:tc>
        <w:tc>
          <w:tcPr>
            <w:tcW w:w="403" w:type="pct"/>
            <w:vAlign w:val="center"/>
          </w:tcPr>
          <w:p w:rsidR="00EE4502" w:rsidRDefault="00FD45A3">
            <w:pPr>
              <w:widowControl/>
              <w:tabs>
                <w:tab w:val="left" w:pos="377"/>
              </w:tabs>
              <w:jc w:val="center"/>
              <w:rPr>
                <w:szCs w:val="21"/>
              </w:rPr>
            </w:pPr>
            <w:r>
              <w:rPr>
                <w:rFonts w:hint="eastAsia"/>
                <w:szCs w:val="21"/>
              </w:rPr>
              <w:t>造斜点</w:t>
            </w:r>
          </w:p>
          <w:p w:rsidR="00EE4502" w:rsidRDefault="00FD45A3">
            <w:pPr>
              <w:widowControl/>
              <w:tabs>
                <w:tab w:val="left" w:pos="377"/>
              </w:tabs>
              <w:jc w:val="center"/>
              <w:rPr>
                <w:szCs w:val="21"/>
              </w:rPr>
            </w:pPr>
            <w:r>
              <w:rPr>
                <w:rFonts w:hint="eastAsia"/>
                <w:szCs w:val="21"/>
              </w:rPr>
              <w:t>(m)</w:t>
            </w:r>
          </w:p>
        </w:tc>
        <w:tc>
          <w:tcPr>
            <w:tcW w:w="464" w:type="pct"/>
            <w:vAlign w:val="center"/>
          </w:tcPr>
          <w:p w:rsidR="00EE4502" w:rsidRDefault="00FD45A3">
            <w:pPr>
              <w:widowControl/>
              <w:tabs>
                <w:tab w:val="left" w:pos="377"/>
              </w:tabs>
              <w:jc w:val="center"/>
              <w:rPr>
                <w:szCs w:val="21"/>
              </w:rPr>
            </w:pPr>
            <w:r>
              <w:rPr>
                <w:rFonts w:hint="eastAsia"/>
                <w:szCs w:val="21"/>
              </w:rPr>
              <w:t>造斜</w:t>
            </w:r>
          </w:p>
          <w:p w:rsidR="00EE4502" w:rsidRDefault="00FD45A3">
            <w:pPr>
              <w:widowControl/>
              <w:tabs>
                <w:tab w:val="left" w:pos="377"/>
              </w:tabs>
              <w:jc w:val="center"/>
              <w:rPr>
                <w:szCs w:val="21"/>
              </w:rPr>
            </w:pPr>
            <w:r>
              <w:rPr>
                <w:rFonts w:hint="eastAsia"/>
                <w:szCs w:val="21"/>
              </w:rPr>
              <w:t>终点</w:t>
            </w:r>
          </w:p>
          <w:p w:rsidR="00EE4502" w:rsidRDefault="00FD45A3">
            <w:pPr>
              <w:widowControl/>
              <w:tabs>
                <w:tab w:val="left" w:pos="377"/>
              </w:tabs>
              <w:jc w:val="center"/>
              <w:rPr>
                <w:szCs w:val="21"/>
              </w:rPr>
            </w:pPr>
            <w:r>
              <w:rPr>
                <w:rFonts w:hint="eastAsia"/>
                <w:szCs w:val="21"/>
              </w:rPr>
              <w:t>斜深</w:t>
            </w:r>
          </w:p>
          <w:p w:rsidR="00EE4502" w:rsidRDefault="00FD45A3">
            <w:pPr>
              <w:widowControl/>
              <w:tabs>
                <w:tab w:val="left" w:pos="377"/>
              </w:tabs>
              <w:jc w:val="center"/>
              <w:rPr>
                <w:szCs w:val="21"/>
              </w:rPr>
            </w:pPr>
            <w:r>
              <w:rPr>
                <w:rFonts w:hint="eastAsia"/>
                <w:szCs w:val="21"/>
              </w:rPr>
              <w:t>(m)</w:t>
            </w:r>
          </w:p>
        </w:tc>
        <w:tc>
          <w:tcPr>
            <w:tcW w:w="441" w:type="pct"/>
            <w:vAlign w:val="center"/>
          </w:tcPr>
          <w:p w:rsidR="00EE4502" w:rsidRDefault="00FD45A3">
            <w:pPr>
              <w:widowControl/>
              <w:tabs>
                <w:tab w:val="left" w:pos="377"/>
              </w:tabs>
              <w:jc w:val="center"/>
              <w:rPr>
                <w:szCs w:val="21"/>
              </w:rPr>
            </w:pPr>
            <w:r>
              <w:rPr>
                <w:rFonts w:hint="eastAsia"/>
                <w:szCs w:val="21"/>
              </w:rPr>
              <w:t>造斜段狗腿度</w:t>
            </w:r>
          </w:p>
          <w:p w:rsidR="00EE4502" w:rsidRDefault="00FD45A3">
            <w:pPr>
              <w:widowControl/>
              <w:tabs>
                <w:tab w:val="left" w:pos="377"/>
              </w:tabs>
              <w:jc w:val="center"/>
              <w:rPr>
                <w:szCs w:val="21"/>
              </w:rPr>
            </w:pPr>
            <w:r>
              <w:rPr>
                <w:rFonts w:hint="eastAsia"/>
                <w:szCs w:val="21"/>
              </w:rPr>
              <w:t>°</w:t>
            </w:r>
            <w:r>
              <w:rPr>
                <w:rFonts w:hint="eastAsia"/>
                <w:szCs w:val="21"/>
              </w:rPr>
              <w:t>/30m</w:t>
            </w:r>
          </w:p>
        </w:tc>
        <w:tc>
          <w:tcPr>
            <w:tcW w:w="342" w:type="pct"/>
            <w:vAlign w:val="center"/>
          </w:tcPr>
          <w:p w:rsidR="00EE4502" w:rsidRDefault="00FD45A3">
            <w:pPr>
              <w:widowControl/>
              <w:tabs>
                <w:tab w:val="left" w:pos="377"/>
              </w:tabs>
              <w:jc w:val="center"/>
              <w:rPr>
                <w:szCs w:val="21"/>
              </w:rPr>
            </w:pPr>
            <w:r>
              <w:rPr>
                <w:rFonts w:hint="eastAsia"/>
                <w:szCs w:val="21"/>
              </w:rPr>
              <w:t>最大</w:t>
            </w:r>
          </w:p>
          <w:p w:rsidR="00EE4502" w:rsidRDefault="00FD45A3">
            <w:pPr>
              <w:widowControl/>
              <w:tabs>
                <w:tab w:val="left" w:pos="377"/>
              </w:tabs>
              <w:jc w:val="center"/>
              <w:rPr>
                <w:szCs w:val="21"/>
              </w:rPr>
            </w:pPr>
            <w:r>
              <w:rPr>
                <w:rFonts w:hint="eastAsia"/>
                <w:szCs w:val="21"/>
              </w:rPr>
              <w:t>井斜角</w:t>
            </w:r>
          </w:p>
          <w:p w:rsidR="00EE4502" w:rsidRDefault="00FD45A3">
            <w:pPr>
              <w:widowControl/>
              <w:tabs>
                <w:tab w:val="left" w:pos="377"/>
              </w:tabs>
              <w:jc w:val="center"/>
              <w:rPr>
                <w:szCs w:val="21"/>
              </w:rPr>
            </w:pPr>
            <w:r>
              <w:rPr>
                <w:rFonts w:hint="eastAsia"/>
                <w:szCs w:val="21"/>
              </w:rPr>
              <w:t>(</w:t>
            </w:r>
            <w:r>
              <w:rPr>
                <w:rFonts w:hint="eastAsia"/>
                <w:szCs w:val="21"/>
              </w:rPr>
              <w:t>°</w:t>
            </w:r>
            <w:r>
              <w:rPr>
                <w:rFonts w:hint="eastAsia"/>
                <w:szCs w:val="21"/>
              </w:rPr>
              <w:t>)</w:t>
            </w:r>
          </w:p>
        </w:tc>
        <w:tc>
          <w:tcPr>
            <w:tcW w:w="403" w:type="pct"/>
            <w:vAlign w:val="center"/>
          </w:tcPr>
          <w:p w:rsidR="00EE4502" w:rsidRDefault="00FD45A3">
            <w:pPr>
              <w:widowControl/>
              <w:tabs>
                <w:tab w:val="left" w:pos="377"/>
              </w:tabs>
              <w:jc w:val="center"/>
              <w:rPr>
                <w:szCs w:val="21"/>
              </w:rPr>
            </w:pPr>
            <w:r>
              <w:rPr>
                <w:rFonts w:hint="eastAsia"/>
                <w:szCs w:val="21"/>
              </w:rPr>
              <w:t>设计</w:t>
            </w:r>
          </w:p>
          <w:p w:rsidR="00EE4502" w:rsidRDefault="00FD45A3">
            <w:pPr>
              <w:widowControl/>
              <w:tabs>
                <w:tab w:val="left" w:pos="377"/>
              </w:tabs>
              <w:jc w:val="center"/>
              <w:rPr>
                <w:szCs w:val="21"/>
              </w:rPr>
            </w:pPr>
            <w:r>
              <w:rPr>
                <w:rFonts w:hint="eastAsia"/>
                <w:szCs w:val="21"/>
              </w:rPr>
              <w:t>方位</w:t>
            </w:r>
          </w:p>
          <w:p w:rsidR="00EE4502" w:rsidRDefault="00FD45A3">
            <w:pPr>
              <w:widowControl/>
              <w:tabs>
                <w:tab w:val="left" w:pos="377"/>
              </w:tabs>
              <w:jc w:val="center"/>
              <w:rPr>
                <w:szCs w:val="21"/>
              </w:rPr>
            </w:pPr>
            <w:r>
              <w:rPr>
                <w:rFonts w:hint="eastAsia"/>
                <w:szCs w:val="21"/>
              </w:rPr>
              <w:t>(</w:t>
            </w:r>
            <w:r>
              <w:rPr>
                <w:rFonts w:hint="eastAsia"/>
                <w:szCs w:val="21"/>
              </w:rPr>
              <w:t>°</w:t>
            </w:r>
            <w:r>
              <w:rPr>
                <w:rFonts w:hint="eastAsia"/>
                <w:szCs w:val="21"/>
              </w:rPr>
              <w:t>)</w:t>
            </w:r>
          </w:p>
        </w:tc>
        <w:tc>
          <w:tcPr>
            <w:tcW w:w="434" w:type="pct"/>
            <w:vAlign w:val="center"/>
          </w:tcPr>
          <w:p w:rsidR="00EE4502" w:rsidRDefault="00FD45A3">
            <w:pPr>
              <w:widowControl/>
              <w:tabs>
                <w:tab w:val="left" w:pos="377"/>
              </w:tabs>
              <w:jc w:val="center"/>
              <w:rPr>
                <w:szCs w:val="21"/>
              </w:rPr>
            </w:pPr>
            <w:r>
              <w:rPr>
                <w:rFonts w:hint="eastAsia"/>
                <w:szCs w:val="21"/>
              </w:rPr>
              <w:t>靶点</w:t>
            </w:r>
          </w:p>
          <w:p w:rsidR="00EE4502" w:rsidRDefault="00FD45A3">
            <w:pPr>
              <w:widowControl/>
              <w:tabs>
                <w:tab w:val="left" w:pos="377"/>
              </w:tabs>
              <w:jc w:val="center"/>
              <w:rPr>
                <w:szCs w:val="21"/>
              </w:rPr>
            </w:pPr>
            <w:r>
              <w:rPr>
                <w:rFonts w:hint="eastAsia"/>
                <w:szCs w:val="21"/>
              </w:rPr>
              <w:t>垂深</w:t>
            </w:r>
          </w:p>
          <w:p w:rsidR="00EE4502" w:rsidRDefault="00FD45A3">
            <w:pPr>
              <w:widowControl/>
              <w:tabs>
                <w:tab w:val="left" w:pos="377"/>
              </w:tabs>
              <w:jc w:val="center"/>
              <w:rPr>
                <w:szCs w:val="21"/>
              </w:rPr>
            </w:pPr>
            <w:r>
              <w:rPr>
                <w:rFonts w:hint="eastAsia"/>
                <w:szCs w:val="21"/>
              </w:rPr>
              <w:t>(m)</w:t>
            </w:r>
          </w:p>
        </w:tc>
        <w:tc>
          <w:tcPr>
            <w:tcW w:w="576" w:type="pct"/>
            <w:vAlign w:val="center"/>
          </w:tcPr>
          <w:p w:rsidR="00EE4502" w:rsidRDefault="00FD45A3">
            <w:pPr>
              <w:widowControl/>
              <w:tabs>
                <w:tab w:val="left" w:pos="377"/>
              </w:tabs>
              <w:jc w:val="center"/>
              <w:rPr>
                <w:szCs w:val="21"/>
              </w:rPr>
            </w:pPr>
            <w:r>
              <w:rPr>
                <w:rFonts w:hint="eastAsia"/>
                <w:szCs w:val="21"/>
              </w:rPr>
              <w:t>靶点</w:t>
            </w:r>
          </w:p>
          <w:p w:rsidR="00EE4502" w:rsidRDefault="00FD45A3">
            <w:pPr>
              <w:widowControl/>
              <w:tabs>
                <w:tab w:val="left" w:pos="377"/>
              </w:tabs>
              <w:jc w:val="center"/>
              <w:rPr>
                <w:szCs w:val="21"/>
              </w:rPr>
            </w:pPr>
            <w:r>
              <w:rPr>
                <w:rFonts w:hint="eastAsia"/>
                <w:szCs w:val="21"/>
              </w:rPr>
              <w:t>位移</w:t>
            </w:r>
          </w:p>
          <w:p w:rsidR="00EE4502" w:rsidRDefault="00FD45A3">
            <w:pPr>
              <w:widowControl/>
              <w:tabs>
                <w:tab w:val="left" w:pos="377"/>
              </w:tabs>
              <w:jc w:val="center"/>
              <w:rPr>
                <w:szCs w:val="21"/>
              </w:rPr>
            </w:pPr>
            <w:r>
              <w:rPr>
                <w:rFonts w:hint="eastAsia"/>
                <w:szCs w:val="21"/>
              </w:rPr>
              <w:t>(m)</w:t>
            </w:r>
          </w:p>
        </w:tc>
        <w:tc>
          <w:tcPr>
            <w:tcW w:w="463" w:type="pct"/>
            <w:vAlign w:val="center"/>
          </w:tcPr>
          <w:p w:rsidR="00EE4502" w:rsidRDefault="00FD45A3">
            <w:pPr>
              <w:widowControl/>
              <w:tabs>
                <w:tab w:val="left" w:pos="377"/>
              </w:tabs>
              <w:jc w:val="center"/>
              <w:rPr>
                <w:szCs w:val="21"/>
              </w:rPr>
            </w:pPr>
            <w:r>
              <w:rPr>
                <w:rFonts w:hint="eastAsia"/>
                <w:szCs w:val="21"/>
              </w:rPr>
              <w:t>井底</w:t>
            </w:r>
          </w:p>
          <w:p w:rsidR="00EE4502" w:rsidRDefault="00FD45A3">
            <w:pPr>
              <w:widowControl/>
              <w:tabs>
                <w:tab w:val="left" w:pos="377"/>
              </w:tabs>
              <w:jc w:val="center"/>
              <w:rPr>
                <w:szCs w:val="21"/>
              </w:rPr>
            </w:pPr>
            <w:r>
              <w:rPr>
                <w:rFonts w:hint="eastAsia"/>
                <w:szCs w:val="21"/>
              </w:rPr>
              <w:t>位移</w:t>
            </w:r>
          </w:p>
          <w:p w:rsidR="00EE4502" w:rsidRDefault="00FD45A3">
            <w:pPr>
              <w:widowControl/>
              <w:tabs>
                <w:tab w:val="left" w:pos="377"/>
              </w:tabs>
              <w:jc w:val="center"/>
              <w:rPr>
                <w:szCs w:val="21"/>
              </w:rPr>
            </w:pPr>
            <w:r>
              <w:rPr>
                <w:rFonts w:hint="eastAsia"/>
                <w:szCs w:val="21"/>
              </w:rPr>
              <w:t>(m)</w:t>
            </w:r>
          </w:p>
        </w:tc>
        <w:tc>
          <w:tcPr>
            <w:tcW w:w="464" w:type="pct"/>
            <w:vAlign w:val="center"/>
          </w:tcPr>
          <w:p w:rsidR="00EE4502" w:rsidRDefault="00FD45A3">
            <w:pPr>
              <w:widowControl/>
              <w:tabs>
                <w:tab w:val="left" w:pos="377"/>
              </w:tabs>
              <w:jc w:val="center"/>
              <w:rPr>
                <w:szCs w:val="21"/>
              </w:rPr>
            </w:pPr>
            <w:r>
              <w:rPr>
                <w:rFonts w:hint="eastAsia"/>
                <w:szCs w:val="21"/>
              </w:rPr>
              <w:t>完钻</w:t>
            </w:r>
          </w:p>
          <w:p w:rsidR="00EE4502" w:rsidRDefault="00FD45A3">
            <w:pPr>
              <w:widowControl/>
              <w:tabs>
                <w:tab w:val="left" w:pos="377"/>
              </w:tabs>
              <w:jc w:val="center"/>
              <w:rPr>
                <w:szCs w:val="21"/>
              </w:rPr>
            </w:pPr>
            <w:r>
              <w:rPr>
                <w:rFonts w:hint="eastAsia"/>
                <w:szCs w:val="21"/>
              </w:rPr>
              <w:t>井深</w:t>
            </w:r>
          </w:p>
          <w:p w:rsidR="00EE4502" w:rsidRDefault="00FD45A3">
            <w:pPr>
              <w:widowControl/>
              <w:tabs>
                <w:tab w:val="left" w:pos="377"/>
              </w:tabs>
              <w:jc w:val="center"/>
              <w:rPr>
                <w:szCs w:val="21"/>
              </w:rPr>
            </w:pPr>
            <w:r>
              <w:rPr>
                <w:rFonts w:hint="eastAsia"/>
                <w:szCs w:val="21"/>
              </w:rPr>
              <w:t>(m)</w:t>
            </w:r>
          </w:p>
        </w:tc>
        <w:tc>
          <w:tcPr>
            <w:tcW w:w="465" w:type="pct"/>
            <w:vAlign w:val="center"/>
          </w:tcPr>
          <w:p w:rsidR="00EE4502" w:rsidRDefault="00FD45A3">
            <w:pPr>
              <w:widowControl/>
              <w:tabs>
                <w:tab w:val="left" w:pos="377"/>
              </w:tabs>
              <w:jc w:val="center"/>
              <w:rPr>
                <w:szCs w:val="21"/>
              </w:rPr>
            </w:pPr>
            <w:r>
              <w:rPr>
                <w:rFonts w:hint="eastAsia"/>
                <w:szCs w:val="21"/>
              </w:rPr>
              <w:t>完钻</w:t>
            </w:r>
          </w:p>
          <w:p w:rsidR="00EE4502" w:rsidRDefault="00FD45A3">
            <w:pPr>
              <w:widowControl/>
              <w:tabs>
                <w:tab w:val="left" w:pos="377"/>
              </w:tabs>
              <w:jc w:val="center"/>
              <w:rPr>
                <w:szCs w:val="21"/>
              </w:rPr>
            </w:pPr>
            <w:r>
              <w:rPr>
                <w:rFonts w:hint="eastAsia"/>
                <w:szCs w:val="21"/>
              </w:rPr>
              <w:t>垂深</w:t>
            </w:r>
          </w:p>
          <w:p w:rsidR="00EE4502" w:rsidRDefault="00FD45A3">
            <w:pPr>
              <w:widowControl/>
              <w:tabs>
                <w:tab w:val="left" w:pos="377"/>
              </w:tabs>
              <w:jc w:val="center"/>
              <w:rPr>
                <w:szCs w:val="21"/>
              </w:rPr>
            </w:pPr>
            <w:r>
              <w:rPr>
                <w:rFonts w:hint="eastAsia"/>
                <w:szCs w:val="21"/>
              </w:rPr>
              <w:t>(m)</w:t>
            </w:r>
          </w:p>
        </w:tc>
      </w:tr>
      <w:tr w:rsidR="00EE4502">
        <w:trPr>
          <w:trHeight w:val="397"/>
          <w:jc w:val="center"/>
        </w:trPr>
        <w:tc>
          <w:tcPr>
            <w:tcW w:w="251" w:type="pct"/>
            <w:vMerge w:val="restart"/>
            <w:vAlign w:val="center"/>
          </w:tcPr>
          <w:p w:rsidR="00EE4502" w:rsidRDefault="00FD45A3">
            <w:pPr>
              <w:widowControl/>
              <w:tabs>
                <w:tab w:val="left" w:pos="377"/>
              </w:tabs>
              <w:jc w:val="center"/>
              <w:rPr>
                <w:szCs w:val="21"/>
              </w:rPr>
            </w:pPr>
            <w:r>
              <w:rPr>
                <w:rFonts w:hint="eastAsia"/>
                <w:szCs w:val="21"/>
              </w:rPr>
              <w:t>1#</w:t>
            </w:r>
          </w:p>
        </w:tc>
        <w:tc>
          <w:tcPr>
            <w:tcW w:w="290" w:type="pct"/>
            <w:vAlign w:val="center"/>
          </w:tcPr>
          <w:p w:rsidR="00EE4502" w:rsidRDefault="00FD45A3">
            <w:pPr>
              <w:widowControl/>
              <w:tabs>
                <w:tab w:val="left" w:pos="377"/>
              </w:tabs>
              <w:jc w:val="center"/>
              <w:rPr>
                <w:szCs w:val="21"/>
              </w:rPr>
            </w:pPr>
            <w:r>
              <w:rPr>
                <w:rFonts w:hint="eastAsia"/>
                <w:szCs w:val="21"/>
              </w:rPr>
              <w:t>排</w:t>
            </w:r>
            <w:r>
              <w:rPr>
                <w:rFonts w:hint="eastAsia"/>
                <w:szCs w:val="21"/>
              </w:rPr>
              <w:t>61-</w:t>
            </w:r>
            <w:r>
              <w:rPr>
                <w:rFonts w:hint="eastAsia"/>
                <w:szCs w:val="21"/>
              </w:rPr>
              <w:t>平</w:t>
            </w:r>
            <w:r>
              <w:rPr>
                <w:rFonts w:hint="eastAsia"/>
                <w:szCs w:val="21"/>
              </w:rPr>
              <w:t>10</w:t>
            </w:r>
          </w:p>
        </w:tc>
        <w:tc>
          <w:tcPr>
            <w:tcW w:w="403" w:type="pct"/>
            <w:vAlign w:val="center"/>
          </w:tcPr>
          <w:p w:rsidR="00EE4502" w:rsidRDefault="00FD45A3">
            <w:pPr>
              <w:widowControl/>
              <w:tabs>
                <w:tab w:val="left" w:pos="377"/>
              </w:tabs>
              <w:jc w:val="center"/>
              <w:rPr>
                <w:szCs w:val="21"/>
              </w:rPr>
            </w:pPr>
            <w:r>
              <w:rPr>
                <w:rFonts w:hint="eastAsia"/>
                <w:szCs w:val="21"/>
              </w:rPr>
              <w:t>480.00</w:t>
            </w:r>
          </w:p>
        </w:tc>
        <w:tc>
          <w:tcPr>
            <w:tcW w:w="464" w:type="pct"/>
            <w:vAlign w:val="center"/>
          </w:tcPr>
          <w:p w:rsidR="00EE4502" w:rsidRDefault="00FD45A3">
            <w:pPr>
              <w:widowControl/>
              <w:tabs>
                <w:tab w:val="left" w:pos="377"/>
              </w:tabs>
              <w:jc w:val="center"/>
              <w:rPr>
                <w:szCs w:val="21"/>
              </w:rPr>
            </w:pPr>
            <w:r>
              <w:rPr>
                <w:rFonts w:hint="eastAsia"/>
                <w:szCs w:val="21"/>
              </w:rPr>
              <w:t>686.30</w:t>
            </w:r>
          </w:p>
        </w:tc>
        <w:tc>
          <w:tcPr>
            <w:tcW w:w="441" w:type="pct"/>
            <w:vAlign w:val="center"/>
          </w:tcPr>
          <w:p w:rsidR="00EE4502" w:rsidRDefault="00FD45A3">
            <w:pPr>
              <w:widowControl/>
              <w:tabs>
                <w:tab w:val="left" w:pos="377"/>
              </w:tabs>
              <w:jc w:val="center"/>
              <w:rPr>
                <w:szCs w:val="21"/>
              </w:rPr>
            </w:pPr>
            <w:r>
              <w:rPr>
                <w:rFonts w:hint="eastAsia"/>
                <w:szCs w:val="21"/>
              </w:rPr>
              <w:t>4.50</w:t>
            </w:r>
          </w:p>
        </w:tc>
        <w:tc>
          <w:tcPr>
            <w:tcW w:w="342" w:type="pct"/>
            <w:vAlign w:val="center"/>
          </w:tcPr>
          <w:p w:rsidR="00EE4502" w:rsidRDefault="00FD45A3">
            <w:pPr>
              <w:widowControl/>
              <w:tabs>
                <w:tab w:val="left" w:pos="377"/>
              </w:tabs>
              <w:jc w:val="center"/>
              <w:rPr>
                <w:szCs w:val="21"/>
              </w:rPr>
            </w:pPr>
            <w:r>
              <w:rPr>
                <w:rFonts w:hint="eastAsia"/>
                <w:szCs w:val="21"/>
              </w:rPr>
              <w:t>82.59</w:t>
            </w:r>
          </w:p>
        </w:tc>
        <w:tc>
          <w:tcPr>
            <w:tcW w:w="403" w:type="pct"/>
            <w:vAlign w:val="center"/>
          </w:tcPr>
          <w:p w:rsidR="00EE4502" w:rsidRDefault="00FD45A3">
            <w:pPr>
              <w:widowControl/>
              <w:tabs>
                <w:tab w:val="left" w:pos="377"/>
              </w:tabs>
              <w:jc w:val="center"/>
              <w:rPr>
                <w:szCs w:val="21"/>
              </w:rPr>
            </w:pPr>
            <w:r>
              <w:rPr>
                <w:rFonts w:hint="eastAsia"/>
                <w:szCs w:val="21"/>
              </w:rPr>
              <w:t>150.10</w:t>
            </w:r>
          </w:p>
        </w:tc>
        <w:tc>
          <w:tcPr>
            <w:tcW w:w="434" w:type="pct"/>
            <w:vAlign w:val="center"/>
          </w:tcPr>
          <w:p w:rsidR="00EE4502" w:rsidRDefault="00FD45A3">
            <w:pPr>
              <w:widowControl/>
              <w:tabs>
                <w:tab w:val="left" w:pos="377"/>
              </w:tabs>
              <w:jc w:val="center"/>
              <w:rPr>
                <w:szCs w:val="21"/>
              </w:rPr>
            </w:pPr>
            <w:r>
              <w:rPr>
                <w:rFonts w:hint="eastAsia"/>
                <w:szCs w:val="21"/>
              </w:rPr>
              <w:t>A:990</w:t>
            </w:r>
          </w:p>
          <w:p w:rsidR="00EE4502" w:rsidRDefault="00FD45A3">
            <w:pPr>
              <w:widowControl/>
              <w:tabs>
                <w:tab w:val="left" w:pos="377"/>
              </w:tabs>
              <w:jc w:val="center"/>
              <w:rPr>
                <w:szCs w:val="21"/>
              </w:rPr>
            </w:pPr>
            <w:r>
              <w:rPr>
                <w:rFonts w:hint="eastAsia"/>
                <w:szCs w:val="21"/>
              </w:rPr>
              <w:t>B:1050</w:t>
            </w:r>
          </w:p>
        </w:tc>
        <w:tc>
          <w:tcPr>
            <w:tcW w:w="576" w:type="pct"/>
            <w:vAlign w:val="center"/>
          </w:tcPr>
          <w:p w:rsidR="00EE4502" w:rsidRDefault="00FD45A3">
            <w:pPr>
              <w:widowControl/>
              <w:tabs>
                <w:tab w:val="left" w:pos="377"/>
              </w:tabs>
              <w:jc w:val="center"/>
              <w:rPr>
                <w:szCs w:val="21"/>
              </w:rPr>
            </w:pPr>
            <w:r>
              <w:rPr>
                <w:rFonts w:hint="eastAsia"/>
                <w:szCs w:val="21"/>
              </w:rPr>
              <w:t>A:412.31</w:t>
            </w:r>
          </w:p>
          <w:p w:rsidR="00EE4502" w:rsidRDefault="00FD45A3">
            <w:pPr>
              <w:widowControl/>
              <w:tabs>
                <w:tab w:val="left" w:pos="377"/>
              </w:tabs>
              <w:jc w:val="center"/>
              <w:rPr>
                <w:szCs w:val="21"/>
              </w:rPr>
            </w:pPr>
            <w:r>
              <w:rPr>
                <w:rFonts w:hint="eastAsia"/>
                <w:szCs w:val="21"/>
              </w:rPr>
              <w:t>B:872.07</w:t>
            </w:r>
          </w:p>
        </w:tc>
        <w:tc>
          <w:tcPr>
            <w:tcW w:w="463" w:type="pct"/>
            <w:vAlign w:val="center"/>
          </w:tcPr>
          <w:p w:rsidR="00EE4502" w:rsidRDefault="00FD45A3">
            <w:pPr>
              <w:widowControl/>
              <w:tabs>
                <w:tab w:val="left" w:pos="377"/>
              </w:tabs>
              <w:jc w:val="center"/>
              <w:rPr>
                <w:szCs w:val="21"/>
              </w:rPr>
            </w:pPr>
            <w:r>
              <w:rPr>
                <w:rFonts w:hint="eastAsia"/>
                <w:szCs w:val="21"/>
              </w:rPr>
              <w:t>872.07</w:t>
            </w:r>
          </w:p>
        </w:tc>
        <w:tc>
          <w:tcPr>
            <w:tcW w:w="464" w:type="pct"/>
            <w:vAlign w:val="center"/>
          </w:tcPr>
          <w:p w:rsidR="00EE4502" w:rsidRDefault="00FD45A3">
            <w:pPr>
              <w:widowControl/>
              <w:tabs>
                <w:tab w:val="left" w:pos="377"/>
              </w:tabs>
              <w:jc w:val="center"/>
              <w:rPr>
                <w:szCs w:val="21"/>
              </w:rPr>
            </w:pPr>
            <w:r>
              <w:rPr>
                <w:rFonts w:hint="eastAsia"/>
                <w:szCs w:val="21"/>
              </w:rPr>
              <w:t>1650.68</w:t>
            </w:r>
          </w:p>
        </w:tc>
        <w:tc>
          <w:tcPr>
            <w:tcW w:w="465" w:type="pct"/>
            <w:vAlign w:val="center"/>
          </w:tcPr>
          <w:p w:rsidR="00EE4502" w:rsidRDefault="00FD45A3">
            <w:pPr>
              <w:widowControl/>
              <w:tabs>
                <w:tab w:val="left" w:pos="377"/>
              </w:tabs>
              <w:jc w:val="center"/>
              <w:rPr>
                <w:szCs w:val="21"/>
              </w:rPr>
            </w:pPr>
            <w:r>
              <w:rPr>
                <w:rFonts w:hint="eastAsia"/>
                <w:szCs w:val="21"/>
              </w:rPr>
              <w:t>1050.00</w:t>
            </w:r>
          </w:p>
        </w:tc>
      </w:tr>
      <w:tr w:rsidR="00EE4502">
        <w:trPr>
          <w:trHeight w:val="397"/>
          <w:jc w:val="center"/>
        </w:trPr>
        <w:tc>
          <w:tcPr>
            <w:tcW w:w="251" w:type="pct"/>
            <w:vMerge/>
            <w:vAlign w:val="center"/>
          </w:tcPr>
          <w:p w:rsidR="00EE4502" w:rsidRDefault="00EE4502">
            <w:pPr>
              <w:widowControl/>
              <w:tabs>
                <w:tab w:val="left" w:pos="377"/>
              </w:tabs>
              <w:jc w:val="center"/>
              <w:rPr>
                <w:szCs w:val="21"/>
              </w:rPr>
            </w:pPr>
          </w:p>
        </w:tc>
        <w:tc>
          <w:tcPr>
            <w:tcW w:w="290" w:type="pct"/>
            <w:vAlign w:val="center"/>
          </w:tcPr>
          <w:p w:rsidR="00EE4502" w:rsidRDefault="00FD45A3">
            <w:pPr>
              <w:widowControl/>
              <w:tabs>
                <w:tab w:val="left" w:pos="377"/>
              </w:tabs>
              <w:jc w:val="center"/>
              <w:rPr>
                <w:szCs w:val="21"/>
              </w:rPr>
            </w:pPr>
            <w:r>
              <w:rPr>
                <w:rFonts w:hint="eastAsia"/>
                <w:szCs w:val="21"/>
              </w:rPr>
              <w:t>排</w:t>
            </w:r>
            <w:r>
              <w:rPr>
                <w:rFonts w:hint="eastAsia"/>
                <w:szCs w:val="21"/>
              </w:rPr>
              <w:t>61-</w:t>
            </w:r>
            <w:r>
              <w:rPr>
                <w:rFonts w:hint="eastAsia"/>
                <w:szCs w:val="21"/>
              </w:rPr>
              <w:t>平</w:t>
            </w:r>
            <w:r>
              <w:rPr>
                <w:rFonts w:hint="eastAsia"/>
                <w:szCs w:val="21"/>
              </w:rPr>
              <w:t>11</w:t>
            </w:r>
          </w:p>
        </w:tc>
        <w:tc>
          <w:tcPr>
            <w:tcW w:w="403" w:type="pct"/>
            <w:vAlign w:val="center"/>
          </w:tcPr>
          <w:p w:rsidR="00EE4502" w:rsidRDefault="00FD45A3">
            <w:pPr>
              <w:widowControl/>
              <w:tabs>
                <w:tab w:val="left" w:pos="377"/>
              </w:tabs>
              <w:jc w:val="center"/>
              <w:rPr>
                <w:szCs w:val="21"/>
              </w:rPr>
            </w:pPr>
            <w:r>
              <w:rPr>
                <w:rFonts w:hint="eastAsia"/>
                <w:szCs w:val="21"/>
              </w:rPr>
              <w:t>620.00</w:t>
            </w:r>
          </w:p>
        </w:tc>
        <w:tc>
          <w:tcPr>
            <w:tcW w:w="464" w:type="pct"/>
            <w:vAlign w:val="center"/>
          </w:tcPr>
          <w:p w:rsidR="00EE4502" w:rsidRDefault="00FD45A3">
            <w:pPr>
              <w:widowControl/>
              <w:tabs>
                <w:tab w:val="left" w:pos="377"/>
              </w:tabs>
              <w:jc w:val="center"/>
              <w:rPr>
                <w:szCs w:val="21"/>
              </w:rPr>
            </w:pPr>
            <w:r>
              <w:rPr>
                <w:rFonts w:hint="eastAsia"/>
                <w:szCs w:val="21"/>
              </w:rPr>
              <w:t>814.16</w:t>
            </w:r>
          </w:p>
        </w:tc>
        <w:tc>
          <w:tcPr>
            <w:tcW w:w="441" w:type="pct"/>
            <w:vAlign w:val="center"/>
          </w:tcPr>
          <w:p w:rsidR="00EE4502" w:rsidRDefault="00FD45A3">
            <w:pPr>
              <w:widowControl/>
              <w:tabs>
                <w:tab w:val="left" w:pos="377"/>
              </w:tabs>
              <w:jc w:val="center"/>
              <w:rPr>
                <w:szCs w:val="21"/>
              </w:rPr>
            </w:pPr>
            <w:r>
              <w:rPr>
                <w:rFonts w:hint="eastAsia"/>
                <w:szCs w:val="21"/>
              </w:rPr>
              <w:t>6.74</w:t>
            </w:r>
          </w:p>
        </w:tc>
        <w:tc>
          <w:tcPr>
            <w:tcW w:w="342" w:type="pct"/>
            <w:vAlign w:val="center"/>
          </w:tcPr>
          <w:p w:rsidR="00EE4502" w:rsidRDefault="00FD45A3">
            <w:pPr>
              <w:widowControl/>
              <w:tabs>
                <w:tab w:val="left" w:pos="377"/>
              </w:tabs>
              <w:jc w:val="center"/>
              <w:rPr>
                <w:szCs w:val="21"/>
              </w:rPr>
            </w:pPr>
            <w:r>
              <w:rPr>
                <w:rFonts w:hint="eastAsia"/>
                <w:szCs w:val="21"/>
              </w:rPr>
              <w:t>85.71</w:t>
            </w:r>
          </w:p>
        </w:tc>
        <w:tc>
          <w:tcPr>
            <w:tcW w:w="403" w:type="pct"/>
            <w:vAlign w:val="center"/>
          </w:tcPr>
          <w:p w:rsidR="00EE4502" w:rsidRDefault="00FD45A3">
            <w:pPr>
              <w:widowControl/>
              <w:tabs>
                <w:tab w:val="left" w:pos="377"/>
              </w:tabs>
              <w:jc w:val="center"/>
              <w:rPr>
                <w:szCs w:val="21"/>
              </w:rPr>
            </w:pPr>
            <w:r>
              <w:rPr>
                <w:rFonts w:hint="eastAsia"/>
                <w:szCs w:val="21"/>
              </w:rPr>
              <w:t>107.17</w:t>
            </w:r>
          </w:p>
        </w:tc>
        <w:tc>
          <w:tcPr>
            <w:tcW w:w="434" w:type="pct"/>
            <w:vAlign w:val="center"/>
          </w:tcPr>
          <w:p w:rsidR="00EE4502" w:rsidRDefault="00FD45A3">
            <w:pPr>
              <w:widowControl/>
              <w:tabs>
                <w:tab w:val="left" w:pos="377"/>
              </w:tabs>
              <w:jc w:val="center"/>
              <w:rPr>
                <w:szCs w:val="21"/>
              </w:rPr>
            </w:pPr>
            <w:r>
              <w:rPr>
                <w:rFonts w:hint="eastAsia"/>
                <w:szCs w:val="21"/>
              </w:rPr>
              <w:t>A:890</w:t>
            </w:r>
          </w:p>
          <w:p w:rsidR="00EE4502" w:rsidRDefault="00FD45A3">
            <w:pPr>
              <w:widowControl/>
              <w:tabs>
                <w:tab w:val="left" w:pos="377"/>
              </w:tabs>
              <w:jc w:val="center"/>
              <w:rPr>
                <w:szCs w:val="21"/>
              </w:rPr>
            </w:pPr>
            <w:r>
              <w:rPr>
                <w:rFonts w:hint="eastAsia"/>
                <w:szCs w:val="21"/>
              </w:rPr>
              <w:t>B:920</w:t>
            </w:r>
          </w:p>
        </w:tc>
        <w:tc>
          <w:tcPr>
            <w:tcW w:w="576" w:type="pct"/>
            <w:vAlign w:val="center"/>
          </w:tcPr>
          <w:p w:rsidR="00EE4502" w:rsidRDefault="00FD45A3">
            <w:pPr>
              <w:widowControl/>
              <w:tabs>
                <w:tab w:val="left" w:pos="377"/>
              </w:tabs>
              <w:jc w:val="center"/>
              <w:rPr>
                <w:szCs w:val="21"/>
              </w:rPr>
            </w:pPr>
            <w:r>
              <w:rPr>
                <w:rFonts w:hint="eastAsia"/>
                <w:szCs w:val="21"/>
              </w:rPr>
              <w:t>A:260.00</w:t>
            </w:r>
          </w:p>
          <w:p w:rsidR="00EE4502" w:rsidRDefault="00FD45A3">
            <w:pPr>
              <w:widowControl/>
              <w:tabs>
                <w:tab w:val="left" w:pos="377"/>
              </w:tabs>
              <w:jc w:val="center"/>
              <w:rPr>
                <w:szCs w:val="21"/>
              </w:rPr>
            </w:pPr>
            <w:r>
              <w:rPr>
                <w:rFonts w:hint="eastAsia"/>
                <w:szCs w:val="21"/>
              </w:rPr>
              <w:t>B:652.75</w:t>
            </w:r>
          </w:p>
        </w:tc>
        <w:tc>
          <w:tcPr>
            <w:tcW w:w="463" w:type="pct"/>
            <w:vAlign w:val="center"/>
          </w:tcPr>
          <w:p w:rsidR="00EE4502" w:rsidRDefault="00FD45A3">
            <w:pPr>
              <w:widowControl/>
              <w:tabs>
                <w:tab w:val="left" w:pos="377"/>
              </w:tabs>
              <w:jc w:val="center"/>
              <w:rPr>
                <w:szCs w:val="21"/>
              </w:rPr>
            </w:pPr>
            <w:r>
              <w:rPr>
                <w:rFonts w:hint="eastAsia"/>
                <w:szCs w:val="21"/>
              </w:rPr>
              <w:t>652.75</w:t>
            </w:r>
          </w:p>
        </w:tc>
        <w:tc>
          <w:tcPr>
            <w:tcW w:w="464" w:type="pct"/>
            <w:vAlign w:val="center"/>
          </w:tcPr>
          <w:p w:rsidR="00EE4502" w:rsidRDefault="00FD45A3">
            <w:pPr>
              <w:widowControl/>
              <w:tabs>
                <w:tab w:val="left" w:pos="377"/>
              </w:tabs>
              <w:jc w:val="center"/>
              <w:rPr>
                <w:szCs w:val="21"/>
              </w:rPr>
            </w:pPr>
            <w:r>
              <w:rPr>
                <w:rFonts w:hint="eastAsia"/>
                <w:szCs w:val="21"/>
              </w:rPr>
              <w:t>1435.83</w:t>
            </w:r>
          </w:p>
        </w:tc>
        <w:tc>
          <w:tcPr>
            <w:tcW w:w="465" w:type="pct"/>
            <w:vAlign w:val="center"/>
          </w:tcPr>
          <w:p w:rsidR="00EE4502" w:rsidRDefault="00FD45A3">
            <w:pPr>
              <w:widowControl/>
              <w:tabs>
                <w:tab w:val="left" w:pos="377"/>
              </w:tabs>
              <w:jc w:val="center"/>
              <w:rPr>
                <w:szCs w:val="21"/>
              </w:rPr>
            </w:pPr>
            <w:r>
              <w:rPr>
                <w:rFonts w:hint="eastAsia"/>
                <w:szCs w:val="21"/>
              </w:rPr>
              <w:t>920.00</w:t>
            </w:r>
          </w:p>
        </w:tc>
      </w:tr>
      <w:tr w:rsidR="00EE4502">
        <w:trPr>
          <w:trHeight w:val="397"/>
          <w:jc w:val="center"/>
        </w:trPr>
        <w:tc>
          <w:tcPr>
            <w:tcW w:w="251" w:type="pct"/>
            <w:vMerge w:val="restart"/>
            <w:vAlign w:val="center"/>
          </w:tcPr>
          <w:p w:rsidR="00EE4502" w:rsidRDefault="00FD45A3">
            <w:pPr>
              <w:widowControl/>
              <w:tabs>
                <w:tab w:val="left" w:pos="377"/>
              </w:tabs>
              <w:jc w:val="center"/>
              <w:rPr>
                <w:szCs w:val="21"/>
              </w:rPr>
            </w:pPr>
            <w:r>
              <w:rPr>
                <w:rFonts w:hint="eastAsia"/>
                <w:szCs w:val="21"/>
              </w:rPr>
              <w:t>2#</w:t>
            </w:r>
          </w:p>
        </w:tc>
        <w:tc>
          <w:tcPr>
            <w:tcW w:w="290" w:type="pct"/>
            <w:vAlign w:val="center"/>
          </w:tcPr>
          <w:p w:rsidR="00EE4502" w:rsidRDefault="00FD45A3">
            <w:pPr>
              <w:widowControl/>
              <w:tabs>
                <w:tab w:val="left" w:pos="377"/>
              </w:tabs>
              <w:jc w:val="center"/>
              <w:rPr>
                <w:szCs w:val="21"/>
              </w:rPr>
            </w:pPr>
            <w:r>
              <w:rPr>
                <w:rFonts w:hint="eastAsia"/>
                <w:szCs w:val="21"/>
              </w:rPr>
              <w:t>排</w:t>
            </w:r>
            <w:r>
              <w:rPr>
                <w:rFonts w:hint="eastAsia"/>
                <w:szCs w:val="21"/>
              </w:rPr>
              <w:t>61-</w:t>
            </w:r>
            <w:r>
              <w:rPr>
                <w:rFonts w:hint="eastAsia"/>
                <w:szCs w:val="21"/>
              </w:rPr>
              <w:t>平</w:t>
            </w:r>
            <w:r>
              <w:rPr>
                <w:rFonts w:hint="eastAsia"/>
                <w:szCs w:val="21"/>
              </w:rPr>
              <w:t>12</w:t>
            </w:r>
          </w:p>
        </w:tc>
        <w:tc>
          <w:tcPr>
            <w:tcW w:w="403" w:type="pct"/>
            <w:vAlign w:val="center"/>
          </w:tcPr>
          <w:p w:rsidR="00EE4502" w:rsidRDefault="00FD45A3">
            <w:pPr>
              <w:widowControl/>
              <w:tabs>
                <w:tab w:val="left" w:pos="377"/>
              </w:tabs>
              <w:jc w:val="center"/>
              <w:rPr>
                <w:szCs w:val="21"/>
              </w:rPr>
            </w:pPr>
            <w:r>
              <w:rPr>
                <w:rFonts w:hint="eastAsia"/>
                <w:szCs w:val="21"/>
              </w:rPr>
              <w:t>780.00</w:t>
            </w:r>
          </w:p>
        </w:tc>
        <w:tc>
          <w:tcPr>
            <w:tcW w:w="464" w:type="pct"/>
            <w:vAlign w:val="center"/>
          </w:tcPr>
          <w:p w:rsidR="00EE4502" w:rsidRDefault="00FD45A3">
            <w:pPr>
              <w:widowControl/>
              <w:tabs>
                <w:tab w:val="left" w:pos="377"/>
              </w:tabs>
              <w:jc w:val="center"/>
              <w:rPr>
                <w:szCs w:val="21"/>
              </w:rPr>
            </w:pPr>
            <w:r>
              <w:rPr>
                <w:rFonts w:hint="eastAsia"/>
                <w:szCs w:val="21"/>
              </w:rPr>
              <w:t>978.60</w:t>
            </w:r>
          </w:p>
        </w:tc>
        <w:tc>
          <w:tcPr>
            <w:tcW w:w="441" w:type="pct"/>
            <w:vAlign w:val="center"/>
          </w:tcPr>
          <w:p w:rsidR="00EE4502" w:rsidRDefault="00FD45A3">
            <w:pPr>
              <w:widowControl/>
              <w:tabs>
                <w:tab w:val="left" w:pos="377"/>
              </w:tabs>
              <w:jc w:val="center"/>
              <w:rPr>
                <w:szCs w:val="21"/>
              </w:rPr>
            </w:pPr>
            <w:r>
              <w:rPr>
                <w:rFonts w:hint="eastAsia"/>
                <w:szCs w:val="21"/>
              </w:rPr>
              <w:t>6.99</w:t>
            </w:r>
          </w:p>
        </w:tc>
        <w:tc>
          <w:tcPr>
            <w:tcW w:w="342" w:type="pct"/>
            <w:vAlign w:val="center"/>
          </w:tcPr>
          <w:p w:rsidR="00EE4502" w:rsidRDefault="00FD45A3">
            <w:pPr>
              <w:widowControl/>
              <w:tabs>
                <w:tab w:val="left" w:pos="377"/>
              </w:tabs>
              <w:jc w:val="center"/>
              <w:rPr>
                <w:szCs w:val="21"/>
              </w:rPr>
            </w:pPr>
            <w:r>
              <w:rPr>
                <w:rFonts w:hint="eastAsia"/>
                <w:szCs w:val="21"/>
              </w:rPr>
              <w:t>84.55</w:t>
            </w:r>
          </w:p>
        </w:tc>
        <w:tc>
          <w:tcPr>
            <w:tcW w:w="403" w:type="pct"/>
            <w:vAlign w:val="center"/>
          </w:tcPr>
          <w:p w:rsidR="00EE4502" w:rsidRDefault="00FD45A3">
            <w:pPr>
              <w:widowControl/>
              <w:tabs>
                <w:tab w:val="left" w:pos="377"/>
              </w:tabs>
              <w:jc w:val="center"/>
              <w:rPr>
                <w:szCs w:val="21"/>
              </w:rPr>
            </w:pPr>
            <w:r>
              <w:rPr>
                <w:rFonts w:hint="eastAsia"/>
                <w:szCs w:val="21"/>
              </w:rPr>
              <w:t>136.26</w:t>
            </w:r>
          </w:p>
        </w:tc>
        <w:tc>
          <w:tcPr>
            <w:tcW w:w="434" w:type="pct"/>
            <w:vAlign w:val="center"/>
          </w:tcPr>
          <w:p w:rsidR="00EE4502" w:rsidRDefault="00FD45A3">
            <w:pPr>
              <w:widowControl/>
              <w:tabs>
                <w:tab w:val="left" w:pos="377"/>
              </w:tabs>
              <w:jc w:val="center"/>
              <w:rPr>
                <w:szCs w:val="21"/>
              </w:rPr>
            </w:pPr>
            <w:r>
              <w:rPr>
                <w:rFonts w:hint="eastAsia"/>
                <w:szCs w:val="21"/>
              </w:rPr>
              <w:t>A:1040</w:t>
            </w:r>
          </w:p>
          <w:p w:rsidR="00EE4502" w:rsidRDefault="00FD45A3">
            <w:pPr>
              <w:widowControl/>
              <w:tabs>
                <w:tab w:val="left" w:pos="377"/>
              </w:tabs>
              <w:jc w:val="center"/>
              <w:rPr>
                <w:szCs w:val="21"/>
              </w:rPr>
            </w:pPr>
            <w:r>
              <w:rPr>
                <w:rFonts w:hint="eastAsia"/>
                <w:szCs w:val="21"/>
              </w:rPr>
              <w:t>B:1080</w:t>
            </w:r>
          </w:p>
        </w:tc>
        <w:tc>
          <w:tcPr>
            <w:tcW w:w="576" w:type="pct"/>
            <w:vAlign w:val="center"/>
          </w:tcPr>
          <w:p w:rsidR="00EE4502" w:rsidRDefault="00FD45A3">
            <w:pPr>
              <w:widowControl/>
              <w:tabs>
                <w:tab w:val="left" w:pos="377"/>
              </w:tabs>
              <w:jc w:val="center"/>
              <w:rPr>
                <w:szCs w:val="21"/>
              </w:rPr>
            </w:pPr>
            <w:r>
              <w:rPr>
                <w:rFonts w:hint="eastAsia"/>
                <w:szCs w:val="21"/>
              </w:rPr>
              <w:t>A:247.76</w:t>
            </w:r>
          </w:p>
          <w:p w:rsidR="00EE4502" w:rsidRDefault="00FD45A3">
            <w:pPr>
              <w:widowControl/>
              <w:tabs>
                <w:tab w:val="left" w:pos="377"/>
              </w:tabs>
              <w:jc w:val="center"/>
              <w:rPr>
                <w:szCs w:val="21"/>
              </w:rPr>
            </w:pPr>
            <w:r>
              <w:rPr>
                <w:rFonts w:hint="eastAsia"/>
                <w:szCs w:val="21"/>
              </w:rPr>
              <w:t>B:660.02</w:t>
            </w:r>
          </w:p>
        </w:tc>
        <w:tc>
          <w:tcPr>
            <w:tcW w:w="463" w:type="pct"/>
            <w:vAlign w:val="center"/>
          </w:tcPr>
          <w:p w:rsidR="00EE4502" w:rsidRDefault="00FD45A3">
            <w:pPr>
              <w:widowControl/>
              <w:tabs>
                <w:tab w:val="left" w:pos="377"/>
              </w:tabs>
              <w:jc w:val="center"/>
              <w:rPr>
                <w:szCs w:val="21"/>
              </w:rPr>
            </w:pPr>
            <w:r>
              <w:rPr>
                <w:rFonts w:hint="eastAsia"/>
                <w:szCs w:val="21"/>
              </w:rPr>
              <w:t>660.02</w:t>
            </w:r>
          </w:p>
        </w:tc>
        <w:tc>
          <w:tcPr>
            <w:tcW w:w="464" w:type="pct"/>
            <w:vAlign w:val="center"/>
          </w:tcPr>
          <w:p w:rsidR="00EE4502" w:rsidRDefault="00FD45A3">
            <w:pPr>
              <w:widowControl/>
              <w:tabs>
                <w:tab w:val="left" w:pos="377"/>
              </w:tabs>
              <w:jc w:val="center"/>
              <w:rPr>
                <w:szCs w:val="21"/>
              </w:rPr>
            </w:pPr>
            <w:r>
              <w:rPr>
                <w:rFonts w:hint="eastAsia"/>
                <w:szCs w:val="21"/>
              </w:rPr>
              <w:t>1597.83</w:t>
            </w:r>
          </w:p>
        </w:tc>
        <w:tc>
          <w:tcPr>
            <w:tcW w:w="465" w:type="pct"/>
            <w:vAlign w:val="center"/>
          </w:tcPr>
          <w:p w:rsidR="00EE4502" w:rsidRDefault="00FD45A3">
            <w:pPr>
              <w:widowControl/>
              <w:tabs>
                <w:tab w:val="left" w:pos="377"/>
              </w:tabs>
              <w:jc w:val="center"/>
              <w:rPr>
                <w:szCs w:val="21"/>
              </w:rPr>
            </w:pPr>
            <w:r>
              <w:rPr>
                <w:rFonts w:hint="eastAsia"/>
                <w:szCs w:val="21"/>
              </w:rPr>
              <w:t>1080.00</w:t>
            </w:r>
          </w:p>
        </w:tc>
      </w:tr>
      <w:tr w:rsidR="00EE4502">
        <w:trPr>
          <w:trHeight w:val="397"/>
          <w:jc w:val="center"/>
        </w:trPr>
        <w:tc>
          <w:tcPr>
            <w:tcW w:w="251" w:type="pct"/>
            <w:vMerge/>
            <w:vAlign w:val="center"/>
          </w:tcPr>
          <w:p w:rsidR="00EE4502" w:rsidRDefault="00EE4502">
            <w:pPr>
              <w:widowControl/>
              <w:tabs>
                <w:tab w:val="left" w:pos="377"/>
              </w:tabs>
              <w:jc w:val="center"/>
              <w:rPr>
                <w:szCs w:val="21"/>
              </w:rPr>
            </w:pPr>
          </w:p>
        </w:tc>
        <w:tc>
          <w:tcPr>
            <w:tcW w:w="290" w:type="pct"/>
            <w:vAlign w:val="center"/>
          </w:tcPr>
          <w:p w:rsidR="00EE4502" w:rsidRDefault="00FD45A3">
            <w:pPr>
              <w:widowControl/>
              <w:tabs>
                <w:tab w:val="left" w:pos="377"/>
              </w:tabs>
              <w:jc w:val="center"/>
              <w:rPr>
                <w:szCs w:val="21"/>
              </w:rPr>
            </w:pPr>
            <w:r>
              <w:rPr>
                <w:rFonts w:hint="eastAsia"/>
                <w:szCs w:val="21"/>
              </w:rPr>
              <w:t>排</w:t>
            </w:r>
            <w:r>
              <w:rPr>
                <w:rFonts w:hint="eastAsia"/>
                <w:szCs w:val="21"/>
              </w:rPr>
              <w:t>61-</w:t>
            </w:r>
            <w:r>
              <w:rPr>
                <w:rFonts w:hint="eastAsia"/>
                <w:szCs w:val="21"/>
              </w:rPr>
              <w:t>平</w:t>
            </w:r>
            <w:r>
              <w:rPr>
                <w:rFonts w:hint="eastAsia"/>
                <w:szCs w:val="21"/>
              </w:rPr>
              <w:lastRenderedPageBreak/>
              <w:t>13</w:t>
            </w:r>
          </w:p>
        </w:tc>
        <w:tc>
          <w:tcPr>
            <w:tcW w:w="403" w:type="pct"/>
            <w:vAlign w:val="center"/>
          </w:tcPr>
          <w:p w:rsidR="00EE4502" w:rsidRDefault="00FD45A3">
            <w:pPr>
              <w:widowControl/>
              <w:tabs>
                <w:tab w:val="left" w:pos="377"/>
              </w:tabs>
              <w:jc w:val="center"/>
              <w:rPr>
                <w:szCs w:val="21"/>
              </w:rPr>
            </w:pPr>
            <w:r>
              <w:rPr>
                <w:rFonts w:hint="eastAsia"/>
                <w:szCs w:val="21"/>
              </w:rPr>
              <w:lastRenderedPageBreak/>
              <w:t>730.00</w:t>
            </w:r>
          </w:p>
        </w:tc>
        <w:tc>
          <w:tcPr>
            <w:tcW w:w="464" w:type="pct"/>
            <w:vAlign w:val="center"/>
          </w:tcPr>
          <w:p w:rsidR="00EE4502" w:rsidRDefault="00FD45A3">
            <w:pPr>
              <w:widowControl/>
              <w:tabs>
                <w:tab w:val="left" w:pos="377"/>
              </w:tabs>
              <w:jc w:val="center"/>
              <w:rPr>
                <w:szCs w:val="21"/>
              </w:rPr>
            </w:pPr>
            <w:r>
              <w:rPr>
                <w:rFonts w:hint="eastAsia"/>
                <w:szCs w:val="21"/>
              </w:rPr>
              <w:t>981.21</w:t>
            </w:r>
          </w:p>
        </w:tc>
        <w:tc>
          <w:tcPr>
            <w:tcW w:w="441" w:type="pct"/>
            <w:vAlign w:val="center"/>
          </w:tcPr>
          <w:p w:rsidR="00EE4502" w:rsidRDefault="00FD45A3">
            <w:pPr>
              <w:widowControl/>
              <w:tabs>
                <w:tab w:val="left" w:pos="377"/>
              </w:tabs>
              <w:jc w:val="center"/>
              <w:rPr>
                <w:szCs w:val="21"/>
              </w:rPr>
            </w:pPr>
            <w:r>
              <w:rPr>
                <w:rFonts w:hint="eastAsia"/>
                <w:szCs w:val="21"/>
              </w:rPr>
              <w:t>6.96</w:t>
            </w:r>
          </w:p>
        </w:tc>
        <w:tc>
          <w:tcPr>
            <w:tcW w:w="342" w:type="pct"/>
            <w:vAlign w:val="center"/>
          </w:tcPr>
          <w:p w:rsidR="00EE4502" w:rsidRDefault="00FD45A3">
            <w:pPr>
              <w:widowControl/>
              <w:tabs>
                <w:tab w:val="left" w:pos="377"/>
              </w:tabs>
              <w:jc w:val="center"/>
              <w:rPr>
                <w:szCs w:val="21"/>
              </w:rPr>
            </w:pPr>
            <w:r>
              <w:rPr>
                <w:rFonts w:hint="eastAsia"/>
                <w:szCs w:val="21"/>
              </w:rPr>
              <w:t>82.41</w:t>
            </w:r>
          </w:p>
        </w:tc>
        <w:tc>
          <w:tcPr>
            <w:tcW w:w="403" w:type="pct"/>
            <w:vAlign w:val="center"/>
          </w:tcPr>
          <w:p w:rsidR="00EE4502" w:rsidRDefault="00FD45A3">
            <w:pPr>
              <w:widowControl/>
              <w:tabs>
                <w:tab w:val="left" w:pos="377"/>
              </w:tabs>
              <w:jc w:val="center"/>
              <w:rPr>
                <w:szCs w:val="21"/>
              </w:rPr>
            </w:pPr>
            <w:r>
              <w:rPr>
                <w:rFonts w:hint="eastAsia"/>
                <w:szCs w:val="21"/>
              </w:rPr>
              <w:t>114.50</w:t>
            </w:r>
          </w:p>
        </w:tc>
        <w:tc>
          <w:tcPr>
            <w:tcW w:w="434" w:type="pct"/>
            <w:vAlign w:val="center"/>
          </w:tcPr>
          <w:p w:rsidR="00EE4502" w:rsidRDefault="00FD45A3">
            <w:pPr>
              <w:widowControl/>
              <w:tabs>
                <w:tab w:val="left" w:pos="377"/>
              </w:tabs>
              <w:jc w:val="center"/>
              <w:rPr>
                <w:szCs w:val="21"/>
              </w:rPr>
            </w:pPr>
            <w:r>
              <w:rPr>
                <w:rFonts w:hint="eastAsia"/>
                <w:szCs w:val="21"/>
              </w:rPr>
              <w:t>A:1000</w:t>
            </w:r>
          </w:p>
          <w:p w:rsidR="00EE4502" w:rsidRDefault="00FD45A3">
            <w:pPr>
              <w:widowControl/>
              <w:tabs>
                <w:tab w:val="left" w:pos="377"/>
              </w:tabs>
              <w:jc w:val="center"/>
              <w:rPr>
                <w:szCs w:val="21"/>
              </w:rPr>
            </w:pPr>
            <w:r>
              <w:rPr>
                <w:rFonts w:hint="eastAsia"/>
                <w:szCs w:val="21"/>
              </w:rPr>
              <w:t>B:106</w:t>
            </w:r>
            <w:r>
              <w:rPr>
                <w:rFonts w:hint="eastAsia"/>
                <w:szCs w:val="21"/>
              </w:rPr>
              <w:lastRenderedPageBreak/>
              <w:t>0</w:t>
            </w:r>
          </w:p>
        </w:tc>
        <w:tc>
          <w:tcPr>
            <w:tcW w:w="576" w:type="pct"/>
            <w:vAlign w:val="center"/>
          </w:tcPr>
          <w:p w:rsidR="00EE4502" w:rsidRDefault="00FD45A3">
            <w:pPr>
              <w:widowControl/>
              <w:tabs>
                <w:tab w:val="left" w:pos="377"/>
              </w:tabs>
              <w:jc w:val="center"/>
              <w:rPr>
                <w:szCs w:val="21"/>
              </w:rPr>
            </w:pPr>
            <w:r>
              <w:rPr>
                <w:rFonts w:hint="eastAsia"/>
                <w:szCs w:val="21"/>
              </w:rPr>
              <w:lastRenderedPageBreak/>
              <w:t>A:273.72</w:t>
            </w:r>
          </w:p>
          <w:p w:rsidR="00EE4502" w:rsidRDefault="00FD45A3">
            <w:pPr>
              <w:widowControl/>
              <w:tabs>
                <w:tab w:val="left" w:pos="377"/>
              </w:tabs>
              <w:jc w:val="center"/>
              <w:rPr>
                <w:szCs w:val="21"/>
              </w:rPr>
            </w:pPr>
            <w:r>
              <w:rPr>
                <w:rFonts w:hint="eastAsia"/>
                <w:szCs w:val="21"/>
              </w:rPr>
              <w:t>B:708.84</w:t>
            </w:r>
          </w:p>
        </w:tc>
        <w:tc>
          <w:tcPr>
            <w:tcW w:w="463" w:type="pct"/>
            <w:vAlign w:val="center"/>
          </w:tcPr>
          <w:p w:rsidR="00EE4502" w:rsidRDefault="00FD45A3">
            <w:pPr>
              <w:widowControl/>
              <w:tabs>
                <w:tab w:val="left" w:pos="377"/>
              </w:tabs>
              <w:jc w:val="center"/>
              <w:rPr>
                <w:szCs w:val="21"/>
              </w:rPr>
            </w:pPr>
            <w:r>
              <w:rPr>
                <w:rFonts w:hint="eastAsia"/>
                <w:szCs w:val="21"/>
              </w:rPr>
              <w:t>708.84</w:t>
            </w:r>
          </w:p>
        </w:tc>
        <w:tc>
          <w:tcPr>
            <w:tcW w:w="464" w:type="pct"/>
            <w:vAlign w:val="center"/>
          </w:tcPr>
          <w:p w:rsidR="00EE4502" w:rsidRDefault="00FD45A3">
            <w:pPr>
              <w:widowControl/>
              <w:tabs>
                <w:tab w:val="left" w:pos="377"/>
              </w:tabs>
              <w:jc w:val="center"/>
              <w:rPr>
                <w:szCs w:val="21"/>
              </w:rPr>
            </w:pPr>
            <w:r>
              <w:rPr>
                <w:rFonts w:hint="eastAsia"/>
                <w:szCs w:val="21"/>
              </w:rPr>
              <w:t>1610.04</w:t>
            </w:r>
          </w:p>
        </w:tc>
        <w:tc>
          <w:tcPr>
            <w:tcW w:w="465" w:type="pct"/>
            <w:vAlign w:val="center"/>
          </w:tcPr>
          <w:p w:rsidR="00EE4502" w:rsidRDefault="00FD45A3">
            <w:pPr>
              <w:widowControl/>
              <w:tabs>
                <w:tab w:val="left" w:pos="377"/>
              </w:tabs>
              <w:jc w:val="center"/>
              <w:rPr>
                <w:szCs w:val="21"/>
              </w:rPr>
            </w:pPr>
            <w:r>
              <w:rPr>
                <w:rFonts w:hint="eastAsia"/>
                <w:szCs w:val="21"/>
              </w:rPr>
              <w:t>1060.00</w:t>
            </w:r>
          </w:p>
        </w:tc>
      </w:tr>
      <w:tr w:rsidR="00EE4502">
        <w:trPr>
          <w:trHeight w:val="397"/>
          <w:jc w:val="center"/>
        </w:trPr>
        <w:tc>
          <w:tcPr>
            <w:tcW w:w="251" w:type="pct"/>
            <w:vMerge w:val="restart"/>
            <w:vAlign w:val="center"/>
          </w:tcPr>
          <w:p w:rsidR="00EE4502" w:rsidRDefault="00FD45A3">
            <w:pPr>
              <w:widowControl/>
              <w:tabs>
                <w:tab w:val="left" w:pos="377"/>
              </w:tabs>
              <w:jc w:val="center"/>
              <w:rPr>
                <w:szCs w:val="21"/>
              </w:rPr>
            </w:pPr>
            <w:r>
              <w:rPr>
                <w:rFonts w:hint="eastAsia"/>
                <w:szCs w:val="21"/>
              </w:rPr>
              <w:lastRenderedPageBreak/>
              <w:t>3#</w:t>
            </w:r>
          </w:p>
        </w:tc>
        <w:tc>
          <w:tcPr>
            <w:tcW w:w="290" w:type="pct"/>
            <w:vAlign w:val="center"/>
          </w:tcPr>
          <w:p w:rsidR="00EE4502" w:rsidRDefault="00FD45A3">
            <w:pPr>
              <w:widowControl/>
              <w:tabs>
                <w:tab w:val="left" w:pos="377"/>
              </w:tabs>
              <w:jc w:val="center"/>
              <w:rPr>
                <w:szCs w:val="21"/>
              </w:rPr>
            </w:pPr>
            <w:r>
              <w:rPr>
                <w:rFonts w:hint="eastAsia"/>
                <w:szCs w:val="21"/>
              </w:rPr>
              <w:t>排</w:t>
            </w:r>
            <w:r>
              <w:rPr>
                <w:rFonts w:hint="eastAsia"/>
                <w:szCs w:val="21"/>
              </w:rPr>
              <w:t>61-</w:t>
            </w:r>
            <w:r>
              <w:rPr>
                <w:rFonts w:hint="eastAsia"/>
                <w:szCs w:val="21"/>
              </w:rPr>
              <w:t>平</w:t>
            </w:r>
            <w:r>
              <w:rPr>
                <w:rFonts w:hint="eastAsia"/>
                <w:szCs w:val="21"/>
              </w:rPr>
              <w:t>14</w:t>
            </w:r>
          </w:p>
        </w:tc>
        <w:tc>
          <w:tcPr>
            <w:tcW w:w="403" w:type="pct"/>
            <w:vAlign w:val="center"/>
          </w:tcPr>
          <w:p w:rsidR="00EE4502" w:rsidRDefault="00FD45A3">
            <w:pPr>
              <w:widowControl/>
              <w:tabs>
                <w:tab w:val="left" w:pos="377"/>
              </w:tabs>
              <w:jc w:val="center"/>
              <w:rPr>
                <w:szCs w:val="21"/>
              </w:rPr>
            </w:pPr>
            <w:r>
              <w:rPr>
                <w:rFonts w:hint="eastAsia"/>
                <w:szCs w:val="21"/>
              </w:rPr>
              <w:t>720.00</w:t>
            </w:r>
          </w:p>
        </w:tc>
        <w:tc>
          <w:tcPr>
            <w:tcW w:w="464" w:type="pct"/>
            <w:vAlign w:val="center"/>
          </w:tcPr>
          <w:p w:rsidR="00EE4502" w:rsidRDefault="00FD45A3">
            <w:pPr>
              <w:widowControl/>
              <w:tabs>
                <w:tab w:val="left" w:pos="377"/>
              </w:tabs>
              <w:jc w:val="center"/>
              <w:rPr>
                <w:szCs w:val="21"/>
              </w:rPr>
            </w:pPr>
            <w:r>
              <w:rPr>
                <w:rFonts w:hint="eastAsia"/>
                <w:szCs w:val="21"/>
              </w:rPr>
              <w:t>915.37</w:t>
            </w:r>
          </w:p>
        </w:tc>
        <w:tc>
          <w:tcPr>
            <w:tcW w:w="441" w:type="pct"/>
            <w:vAlign w:val="center"/>
          </w:tcPr>
          <w:p w:rsidR="00EE4502" w:rsidRDefault="00FD45A3">
            <w:pPr>
              <w:widowControl/>
              <w:tabs>
                <w:tab w:val="left" w:pos="377"/>
              </w:tabs>
              <w:jc w:val="center"/>
              <w:rPr>
                <w:szCs w:val="21"/>
              </w:rPr>
            </w:pPr>
            <w:r>
              <w:rPr>
                <w:rFonts w:hint="eastAsia"/>
                <w:szCs w:val="21"/>
              </w:rPr>
              <w:t>7.42</w:t>
            </w:r>
          </w:p>
        </w:tc>
        <w:tc>
          <w:tcPr>
            <w:tcW w:w="342" w:type="pct"/>
            <w:vAlign w:val="center"/>
          </w:tcPr>
          <w:p w:rsidR="00EE4502" w:rsidRDefault="00FD45A3">
            <w:pPr>
              <w:widowControl/>
              <w:tabs>
                <w:tab w:val="left" w:pos="377"/>
              </w:tabs>
              <w:jc w:val="center"/>
              <w:rPr>
                <w:szCs w:val="21"/>
              </w:rPr>
            </w:pPr>
            <w:r>
              <w:rPr>
                <w:rFonts w:hint="eastAsia"/>
                <w:szCs w:val="21"/>
              </w:rPr>
              <w:t>82.40</w:t>
            </w:r>
          </w:p>
        </w:tc>
        <w:tc>
          <w:tcPr>
            <w:tcW w:w="403" w:type="pct"/>
            <w:vAlign w:val="center"/>
          </w:tcPr>
          <w:p w:rsidR="00EE4502" w:rsidRDefault="00FD45A3">
            <w:pPr>
              <w:widowControl/>
              <w:tabs>
                <w:tab w:val="left" w:pos="377"/>
              </w:tabs>
              <w:jc w:val="center"/>
              <w:rPr>
                <w:szCs w:val="21"/>
              </w:rPr>
            </w:pPr>
            <w:r>
              <w:rPr>
                <w:rFonts w:hint="eastAsia"/>
                <w:szCs w:val="21"/>
              </w:rPr>
              <w:t>126.13</w:t>
            </w:r>
          </w:p>
        </w:tc>
        <w:tc>
          <w:tcPr>
            <w:tcW w:w="434" w:type="pct"/>
            <w:vAlign w:val="center"/>
          </w:tcPr>
          <w:p w:rsidR="00EE4502" w:rsidRDefault="00FD45A3">
            <w:pPr>
              <w:widowControl/>
              <w:tabs>
                <w:tab w:val="left" w:pos="377"/>
              </w:tabs>
              <w:jc w:val="center"/>
              <w:rPr>
                <w:szCs w:val="21"/>
              </w:rPr>
            </w:pPr>
            <w:r>
              <w:rPr>
                <w:rFonts w:hint="eastAsia"/>
                <w:szCs w:val="21"/>
              </w:rPr>
              <w:t>A:990</w:t>
            </w:r>
          </w:p>
          <w:p w:rsidR="00EE4502" w:rsidRDefault="00FD45A3">
            <w:pPr>
              <w:widowControl/>
              <w:tabs>
                <w:tab w:val="left" w:pos="377"/>
              </w:tabs>
              <w:jc w:val="center"/>
              <w:rPr>
                <w:szCs w:val="21"/>
              </w:rPr>
            </w:pPr>
            <w:r>
              <w:rPr>
                <w:rFonts w:hint="eastAsia"/>
                <w:szCs w:val="21"/>
              </w:rPr>
              <w:t>B:1050</w:t>
            </w:r>
          </w:p>
        </w:tc>
        <w:tc>
          <w:tcPr>
            <w:tcW w:w="576" w:type="pct"/>
            <w:vAlign w:val="center"/>
          </w:tcPr>
          <w:p w:rsidR="00EE4502" w:rsidRDefault="00FD45A3">
            <w:pPr>
              <w:widowControl/>
              <w:tabs>
                <w:tab w:val="left" w:pos="377"/>
              </w:tabs>
              <w:jc w:val="center"/>
              <w:rPr>
                <w:szCs w:val="21"/>
              </w:rPr>
            </w:pPr>
            <w:r>
              <w:rPr>
                <w:rFonts w:hint="eastAsia"/>
                <w:szCs w:val="21"/>
              </w:rPr>
              <w:t>A:263.10</w:t>
            </w:r>
          </w:p>
          <w:p w:rsidR="00EE4502" w:rsidRDefault="00FD45A3">
            <w:pPr>
              <w:widowControl/>
              <w:tabs>
                <w:tab w:val="left" w:pos="377"/>
              </w:tabs>
              <w:jc w:val="center"/>
              <w:rPr>
                <w:szCs w:val="21"/>
              </w:rPr>
            </w:pPr>
            <w:r>
              <w:rPr>
                <w:rFonts w:hint="eastAsia"/>
                <w:szCs w:val="21"/>
              </w:rPr>
              <w:t>B:691.19</w:t>
            </w:r>
          </w:p>
        </w:tc>
        <w:tc>
          <w:tcPr>
            <w:tcW w:w="463" w:type="pct"/>
            <w:vAlign w:val="center"/>
          </w:tcPr>
          <w:p w:rsidR="00EE4502" w:rsidRDefault="00FD45A3">
            <w:pPr>
              <w:widowControl/>
              <w:tabs>
                <w:tab w:val="left" w:pos="377"/>
              </w:tabs>
              <w:jc w:val="center"/>
              <w:rPr>
                <w:szCs w:val="21"/>
              </w:rPr>
            </w:pPr>
            <w:r>
              <w:rPr>
                <w:rFonts w:hint="eastAsia"/>
                <w:szCs w:val="21"/>
              </w:rPr>
              <w:t>691.19</w:t>
            </w:r>
          </w:p>
        </w:tc>
        <w:tc>
          <w:tcPr>
            <w:tcW w:w="464" w:type="pct"/>
            <w:vAlign w:val="center"/>
          </w:tcPr>
          <w:p w:rsidR="00EE4502" w:rsidRDefault="00FD45A3">
            <w:pPr>
              <w:widowControl/>
              <w:tabs>
                <w:tab w:val="left" w:pos="377"/>
              </w:tabs>
              <w:jc w:val="center"/>
              <w:rPr>
                <w:szCs w:val="21"/>
              </w:rPr>
            </w:pPr>
            <w:r>
              <w:rPr>
                <w:rFonts w:hint="eastAsia"/>
                <w:szCs w:val="21"/>
              </w:rPr>
              <w:t>1592.76</w:t>
            </w:r>
          </w:p>
        </w:tc>
        <w:tc>
          <w:tcPr>
            <w:tcW w:w="465" w:type="pct"/>
            <w:vAlign w:val="center"/>
          </w:tcPr>
          <w:p w:rsidR="00EE4502" w:rsidRDefault="00FD45A3">
            <w:pPr>
              <w:widowControl/>
              <w:tabs>
                <w:tab w:val="left" w:pos="377"/>
              </w:tabs>
              <w:jc w:val="center"/>
              <w:rPr>
                <w:szCs w:val="21"/>
              </w:rPr>
            </w:pPr>
            <w:r>
              <w:rPr>
                <w:rFonts w:hint="eastAsia"/>
                <w:szCs w:val="21"/>
              </w:rPr>
              <w:t>1050.00</w:t>
            </w:r>
          </w:p>
        </w:tc>
      </w:tr>
      <w:tr w:rsidR="00EE4502">
        <w:trPr>
          <w:trHeight w:val="397"/>
          <w:jc w:val="center"/>
        </w:trPr>
        <w:tc>
          <w:tcPr>
            <w:tcW w:w="251" w:type="pct"/>
            <w:vMerge/>
            <w:vAlign w:val="center"/>
          </w:tcPr>
          <w:p w:rsidR="00EE4502" w:rsidRDefault="00EE4502">
            <w:pPr>
              <w:widowControl/>
              <w:tabs>
                <w:tab w:val="left" w:pos="377"/>
              </w:tabs>
              <w:jc w:val="center"/>
              <w:rPr>
                <w:szCs w:val="21"/>
              </w:rPr>
            </w:pPr>
          </w:p>
        </w:tc>
        <w:tc>
          <w:tcPr>
            <w:tcW w:w="290" w:type="pct"/>
            <w:vAlign w:val="center"/>
          </w:tcPr>
          <w:p w:rsidR="00EE4502" w:rsidRDefault="00FD45A3">
            <w:pPr>
              <w:widowControl/>
              <w:tabs>
                <w:tab w:val="left" w:pos="377"/>
              </w:tabs>
              <w:jc w:val="center"/>
              <w:rPr>
                <w:szCs w:val="21"/>
              </w:rPr>
            </w:pPr>
            <w:r>
              <w:rPr>
                <w:rFonts w:hint="eastAsia"/>
                <w:szCs w:val="21"/>
              </w:rPr>
              <w:t>排</w:t>
            </w:r>
            <w:r>
              <w:rPr>
                <w:rFonts w:hint="eastAsia"/>
                <w:szCs w:val="21"/>
              </w:rPr>
              <w:t>61-</w:t>
            </w:r>
            <w:r>
              <w:rPr>
                <w:rFonts w:hint="eastAsia"/>
                <w:szCs w:val="21"/>
              </w:rPr>
              <w:t>平</w:t>
            </w:r>
            <w:r>
              <w:rPr>
                <w:rFonts w:hint="eastAsia"/>
                <w:szCs w:val="21"/>
              </w:rPr>
              <w:t>15</w:t>
            </w:r>
          </w:p>
        </w:tc>
        <w:tc>
          <w:tcPr>
            <w:tcW w:w="403" w:type="pct"/>
            <w:vAlign w:val="center"/>
          </w:tcPr>
          <w:p w:rsidR="00EE4502" w:rsidRDefault="00FD45A3">
            <w:pPr>
              <w:widowControl/>
              <w:tabs>
                <w:tab w:val="left" w:pos="377"/>
              </w:tabs>
              <w:jc w:val="center"/>
              <w:rPr>
                <w:szCs w:val="21"/>
              </w:rPr>
            </w:pPr>
            <w:r>
              <w:rPr>
                <w:rFonts w:hint="eastAsia"/>
                <w:szCs w:val="21"/>
              </w:rPr>
              <w:t>710.00</w:t>
            </w:r>
          </w:p>
        </w:tc>
        <w:tc>
          <w:tcPr>
            <w:tcW w:w="464" w:type="pct"/>
            <w:vAlign w:val="center"/>
          </w:tcPr>
          <w:p w:rsidR="00EE4502" w:rsidRDefault="00FD45A3">
            <w:pPr>
              <w:widowControl/>
              <w:tabs>
                <w:tab w:val="left" w:pos="377"/>
              </w:tabs>
              <w:jc w:val="center"/>
              <w:rPr>
                <w:szCs w:val="21"/>
              </w:rPr>
            </w:pPr>
            <w:r>
              <w:rPr>
                <w:rFonts w:hint="eastAsia"/>
                <w:szCs w:val="21"/>
              </w:rPr>
              <w:t>934.28</w:t>
            </w:r>
          </w:p>
        </w:tc>
        <w:tc>
          <w:tcPr>
            <w:tcW w:w="441" w:type="pct"/>
            <w:vAlign w:val="center"/>
          </w:tcPr>
          <w:p w:rsidR="00EE4502" w:rsidRDefault="00FD45A3">
            <w:pPr>
              <w:widowControl/>
              <w:tabs>
                <w:tab w:val="left" w:pos="377"/>
              </w:tabs>
              <w:jc w:val="center"/>
              <w:rPr>
                <w:szCs w:val="21"/>
              </w:rPr>
            </w:pPr>
            <w:r>
              <w:rPr>
                <w:rFonts w:hint="eastAsia"/>
                <w:szCs w:val="21"/>
              </w:rPr>
              <w:t>6.83</w:t>
            </w:r>
          </w:p>
        </w:tc>
        <w:tc>
          <w:tcPr>
            <w:tcW w:w="342" w:type="pct"/>
            <w:vAlign w:val="center"/>
          </w:tcPr>
          <w:p w:rsidR="00EE4502" w:rsidRDefault="00FD45A3">
            <w:pPr>
              <w:widowControl/>
              <w:tabs>
                <w:tab w:val="left" w:pos="377"/>
              </w:tabs>
              <w:jc w:val="center"/>
              <w:rPr>
                <w:szCs w:val="21"/>
              </w:rPr>
            </w:pPr>
            <w:r>
              <w:rPr>
                <w:rFonts w:hint="eastAsia"/>
                <w:szCs w:val="21"/>
              </w:rPr>
              <w:t>83.78</w:t>
            </w:r>
          </w:p>
        </w:tc>
        <w:tc>
          <w:tcPr>
            <w:tcW w:w="403" w:type="pct"/>
            <w:vAlign w:val="center"/>
          </w:tcPr>
          <w:p w:rsidR="00EE4502" w:rsidRDefault="00FD45A3">
            <w:pPr>
              <w:widowControl/>
              <w:tabs>
                <w:tab w:val="left" w:pos="377"/>
              </w:tabs>
              <w:jc w:val="center"/>
              <w:rPr>
                <w:szCs w:val="21"/>
              </w:rPr>
            </w:pPr>
            <w:r>
              <w:rPr>
                <w:rFonts w:hint="eastAsia"/>
                <w:szCs w:val="21"/>
              </w:rPr>
              <w:t>110.99</w:t>
            </w:r>
          </w:p>
        </w:tc>
        <w:tc>
          <w:tcPr>
            <w:tcW w:w="434" w:type="pct"/>
            <w:vAlign w:val="center"/>
          </w:tcPr>
          <w:p w:rsidR="00EE4502" w:rsidRDefault="00FD45A3">
            <w:pPr>
              <w:widowControl/>
              <w:tabs>
                <w:tab w:val="left" w:pos="377"/>
              </w:tabs>
              <w:jc w:val="center"/>
              <w:rPr>
                <w:szCs w:val="21"/>
              </w:rPr>
            </w:pPr>
            <w:r>
              <w:rPr>
                <w:rFonts w:hint="eastAsia"/>
                <w:szCs w:val="21"/>
              </w:rPr>
              <w:t>A:980</w:t>
            </w:r>
          </w:p>
          <w:p w:rsidR="00EE4502" w:rsidRDefault="00FD45A3">
            <w:pPr>
              <w:widowControl/>
              <w:tabs>
                <w:tab w:val="left" w:pos="377"/>
              </w:tabs>
              <w:jc w:val="center"/>
              <w:rPr>
                <w:szCs w:val="21"/>
              </w:rPr>
            </w:pPr>
            <w:r>
              <w:rPr>
                <w:rFonts w:hint="eastAsia"/>
                <w:szCs w:val="21"/>
              </w:rPr>
              <w:t>B:1040</w:t>
            </w:r>
          </w:p>
        </w:tc>
        <w:tc>
          <w:tcPr>
            <w:tcW w:w="576" w:type="pct"/>
            <w:vAlign w:val="center"/>
          </w:tcPr>
          <w:p w:rsidR="00EE4502" w:rsidRDefault="00FD45A3">
            <w:pPr>
              <w:widowControl/>
              <w:tabs>
                <w:tab w:val="left" w:pos="377"/>
              </w:tabs>
              <w:jc w:val="center"/>
              <w:rPr>
                <w:szCs w:val="21"/>
              </w:rPr>
            </w:pPr>
            <w:r>
              <w:rPr>
                <w:rFonts w:hint="eastAsia"/>
                <w:szCs w:val="21"/>
              </w:rPr>
              <w:t>A:262.09</w:t>
            </w:r>
          </w:p>
          <w:p w:rsidR="00EE4502" w:rsidRDefault="00FD45A3">
            <w:pPr>
              <w:widowControl/>
              <w:tabs>
                <w:tab w:val="left" w:pos="377"/>
              </w:tabs>
              <w:jc w:val="center"/>
              <w:rPr>
                <w:szCs w:val="21"/>
              </w:rPr>
            </w:pPr>
            <w:r>
              <w:rPr>
                <w:rFonts w:hint="eastAsia"/>
                <w:szCs w:val="21"/>
              </w:rPr>
              <w:t>B:801.17</w:t>
            </w:r>
          </w:p>
        </w:tc>
        <w:tc>
          <w:tcPr>
            <w:tcW w:w="463" w:type="pct"/>
            <w:vAlign w:val="center"/>
          </w:tcPr>
          <w:p w:rsidR="00EE4502" w:rsidRDefault="00FD45A3">
            <w:pPr>
              <w:widowControl/>
              <w:tabs>
                <w:tab w:val="left" w:pos="377"/>
              </w:tabs>
              <w:jc w:val="center"/>
              <w:rPr>
                <w:szCs w:val="21"/>
              </w:rPr>
            </w:pPr>
            <w:r>
              <w:rPr>
                <w:rFonts w:hint="eastAsia"/>
                <w:szCs w:val="21"/>
              </w:rPr>
              <w:t>801.17</w:t>
            </w:r>
          </w:p>
        </w:tc>
        <w:tc>
          <w:tcPr>
            <w:tcW w:w="464" w:type="pct"/>
            <w:vAlign w:val="center"/>
          </w:tcPr>
          <w:p w:rsidR="00EE4502" w:rsidRDefault="00FD45A3">
            <w:pPr>
              <w:widowControl/>
              <w:tabs>
                <w:tab w:val="left" w:pos="377"/>
              </w:tabs>
              <w:jc w:val="center"/>
              <w:rPr>
                <w:szCs w:val="21"/>
              </w:rPr>
            </w:pPr>
            <w:r>
              <w:rPr>
                <w:rFonts w:hint="eastAsia"/>
                <w:szCs w:val="21"/>
              </w:rPr>
              <w:t>1679.23</w:t>
            </w:r>
          </w:p>
        </w:tc>
        <w:tc>
          <w:tcPr>
            <w:tcW w:w="465" w:type="pct"/>
            <w:vAlign w:val="center"/>
          </w:tcPr>
          <w:p w:rsidR="00EE4502" w:rsidRDefault="00FD45A3">
            <w:pPr>
              <w:widowControl/>
              <w:tabs>
                <w:tab w:val="left" w:pos="377"/>
              </w:tabs>
              <w:jc w:val="center"/>
              <w:rPr>
                <w:szCs w:val="21"/>
              </w:rPr>
            </w:pPr>
            <w:r>
              <w:rPr>
                <w:rFonts w:hint="eastAsia"/>
                <w:szCs w:val="21"/>
              </w:rPr>
              <w:t>1040.00</w:t>
            </w:r>
          </w:p>
        </w:tc>
      </w:tr>
      <w:tr w:rsidR="00EE4502">
        <w:trPr>
          <w:trHeight w:val="397"/>
          <w:jc w:val="center"/>
        </w:trPr>
        <w:tc>
          <w:tcPr>
            <w:tcW w:w="251" w:type="pct"/>
            <w:vAlign w:val="center"/>
          </w:tcPr>
          <w:p w:rsidR="00EE4502" w:rsidRDefault="00FD45A3">
            <w:pPr>
              <w:widowControl/>
              <w:tabs>
                <w:tab w:val="left" w:pos="377"/>
              </w:tabs>
              <w:jc w:val="center"/>
              <w:rPr>
                <w:szCs w:val="21"/>
              </w:rPr>
            </w:pPr>
            <w:r>
              <w:rPr>
                <w:rFonts w:hint="eastAsia"/>
                <w:szCs w:val="21"/>
              </w:rPr>
              <w:t>4#</w:t>
            </w:r>
          </w:p>
        </w:tc>
        <w:tc>
          <w:tcPr>
            <w:tcW w:w="290" w:type="pct"/>
            <w:vAlign w:val="center"/>
          </w:tcPr>
          <w:p w:rsidR="00EE4502" w:rsidRDefault="00FD45A3">
            <w:pPr>
              <w:widowControl/>
              <w:tabs>
                <w:tab w:val="left" w:pos="377"/>
              </w:tabs>
              <w:jc w:val="center"/>
              <w:rPr>
                <w:szCs w:val="21"/>
              </w:rPr>
            </w:pPr>
            <w:r>
              <w:rPr>
                <w:rFonts w:hint="eastAsia"/>
                <w:szCs w:val="21"/>
              </w:rPr>
              <w:t>排</w:t>
            </w:r>
            <w:r>
              <w:rPr>
                <w:rFonts w:hint="eastAsia"/>
                <w:szCs w:val="21"/>
              </w:rPr>
              <w:t>61-</w:t>
            </w:r>
            <w:r>
              <w:rPr>
                <w:rFonts w:hint="eastAsia"/>
                <w:szCs w:val="21"/>
              </w:rPr>
              <w:t>平</w:t>
            </w:r>
            <w:r>
              <w:rPr>
                <w:rFonts w:hint="eastAsia"/>
                <w:szCs w:val="21"/>
              </w:rPr>
              <w:t>16</w:t>
            </w:r>
          </w:p>
        </w:tc>
        <w:tc>
          <w:tcPr>
            <w:tcW w:w="403" w:type="pct"/>
            <w:vAlign w:val="center"/>
          </w:tcPr>
          <w:p w:rsidR="00EE4502" w:rsidRDefault="00FD45A3">
            <w:pPr>
              <w:widowControl/>
              <w:tabs>
                <w:tab w:val="left" w:pos="377"/>
              </w:tabs>
              <w:jc w:val="center"/>
              <w:rPr>
                <w:szCs w:val="21"/>
              </w:rPr>
            </w:pPr>
            <w:r>
              <w:rPr>
                <w:rFonts w:hint="eastAsia"/>
                <w:szCs w:val="21"/>
              </w:rPr>
              <w:t>700.00</w:t>
            </w:r>
          </w:p>
        </w:tc>
        <w:tc>
          <w:tcPr>
            <w:tcW w:w="464" w:type="pct"/>
            <w:vAlign w:val="center"/>
          </w:tcPr>
          <w:p w:rsidR="00EE4502" w:rsidRDefault="00FD45A3">
            <w:pPr>
              <w:widowControl/>
              <w:tabs>
                <w:tab w:val="left" w:pos="377"/>
              </w:tabs>
              <w:jc w:val="center"/>
              <w:rPr>
                <w:szCs w:val="21"/>
              </w:rPr>
            </w:pPr>
            <w:r>
              <w:rPr>
                <w:rFonts w:hint="eastAsia"/>
                <w:szCs w:val="21"/>
              </w:rPr>
              <w:t>837.12</w:t>
            </w:r>
          </w:p>
        </w:tc>
        <w:tc>
          <w:tcPr>
            <w:tcW w:w="441" w:type="pct"/>
            <w:vAlign w:val="center"/>
          </w:tcPr>
          <w:p w:rsidR="00EE4502" w:rsidRDefault="00FD45A3">
            <w:pPr>
              <w:widowControl/>
              <w:tabs>
                <w:tab w:val="left" w:pos="377"/>
              </w:tabs>
              <w:jc w:val="center"/>
              <w:rPr>
                <w:szCs w:val="21"/>
              </w:rPr>
            </w:pPr>
            <w:r>
              <w:rPr>
                <w:rFonts w:hint="eastAsia"/>
                <w:szCs w:val="21"/>
              </w:rPr>
              <w:t>6.70</w:t>
            </w:r>
          </w:p>
        </w:tc>
        <w:tc>
          <w:tcPr>
            <w:tcW w:w="342" w:type="pct"/>
            <w:vAlign w:val="center"/>
          </w:tcPr>
          <w:p w:rsidR="00EE4502" w:rsidRDefault="00FD45A3">
            <w:pPr>
              <w:widowControl/>
              <w:tabs>
                <w:tab w:val="left" w:pos="377"/>
              </w:tabs>
              <w:jc w:val="center"/>
              <w:rPr>
                <w:szCs w:val="21"/>
              </w:rPr>
            </w:pPr>
            <w:r>
              <w:rPr>
                <w:rFonts w:hint="eastAsia"/>
                <w:szCs w:val="21"/>
              </w:rPr>
              <w:t>85.24</w:t>
            </w:r>
          </w:p>
        </w:tc>
        <w:tc>
          <w:tcPr>
            <w:tcW w:w="403" w:type="pct"/>
            <w:vAlign w:val="center"/>
          </w:tcPr>
          <w:p w:rsidR="00EE4502" w:rsidRDefault="00FD45A3">
            <w:pPr>
              <w:widowControl/>
              <w:tabs>
                <w:tab w:val="left" w:pos="377"/>
              </w:tabs>
              <w:jc w:val="center"/>
              <w:rPr>
                <w:szCs w:val="21"/>
              </w:rPr>
            </w:pPr>
            <w:r>
              <w:rPr>
                <w:rFonts w:hint="eastAsia"/>
                <w:szCs w:val="21"/>
              </w:rPr>
              <w:t>122.68</w:t>
            </w:r>
          </w:p>
        </w:tc>
        <w:tc>
          <w:tcPr>
            <w:tcW w:w="434" w:type="pct"/>
            <w:vAlign w:val="center"/>
          </w:tcPr>
          <w:p w:rsidR="00EE4502" w:rsidRDefault="00FD45A3">
            <w:pPr>
              <w:widowControl/>
              <w:tabs>
                <w:tab w:val="left" w:pos="377"/>
              </w:tabs>
              <w:jc w:val="center"/>
              <w:rPr>
                <w:szCs w:val="21"/>
              </w:rPr>
            </w:pPr>
            <w:r>
              <w:rPr>
                <w:rFonts w:hint="eastAsia"/>
                <w:szCs w:val="21"/>
              </w:rPr>
              <w:t>A:980</w:t>
            </w:r>
          </w:p>
          <w:p w:rsidR="00EE4502" w:rsidRDefault="00FD45A3">
            <w:pPr>
              <w:widowControl/>
              <w:tabs>
                <w:tab w:val="left" w:pos="377"/>
              </w:tabs>
              <w:jc w:val="center"/>
              <w:rPr>
                <w:szCs w:val="21"/>
              </w:rPr>
            </w:pPr>
            <w:r>
              <w:rPr>
                <w:rFonts w:hint="eastAsia"/>
                <w:szCs w:val="21"/>
              </w:rPr>
              <w:t>B:1030</w:t>
            </w:r>
          </w:p>
        </w:tc>
        <w:tc>
          <w:tcPr>
            <w:tcW w:w="576" w:type="pct"/>
            <w:vAlign w:val="center"/>
          </w:tcPr>
          <w:p w:rsidR="00EE4502" w:rsidRDefault="00FD45A3">
            <w:pPr>
              <w:widowControl/>
              <w:tabs>
                <w:tab w:val="left" w:pos="377"/>
              </w:tabs>
              <w:jc w:val="center"/>
              <w:rPr>
                <w:szCs w:val="21"/>
              </w:rPr>
            </w:pPr>
            <w:r>
              <w:rPr>
                <w:rFonts w:hint="eastAsia"/>
                <w:szCs w:val="21"/>
              </w:rPr>
              <w:t>A:249.65</w:t>
            </w:r>
          </w:p>
          <w:p w:rsidR="00EE4502" w:rsidRDefault="00FD45A3">
            <w:pPr>
              <w:widowControl/>
              <w:tabs>
                <w:tab w:val="left" w:pos="377"/>
              </w:tabs>
              <w:jc w:val="center"/>
              <w:rPr>
                <w:szCs w:val="21"/>
              </w:rPr>
            </w:pPr>
            <w:r>
              <w:rPr>
                <w:rFonts w:hint="eastAsia"/>
                <w:szCs w:val="21"/>
              </w:rPr>
              <w:t>B:849.65</w:t>
            </w:r>
          </w:p>
        </w:tc>
        <w:tc>
          <w:tcPr>
            <w:tcW w:w="463" w:type="pct"/>
            <w:vAlign w:val="center"/>
          </w:tcPr>
          <w:p w:rsidR="00EE4502" w:rsidRDefault="00FD45A3">
            <w:pPr>
              <w:widowControl/>
              <w:tabs>
                <w:tab w:val="left" w:pos="377"/>
              </w:tabs>
              <w:jc w:val="center"/>
              <w:rPr>
                <w:szCs w:val="21"/>
              </w:rPr>
            </w:pPr>
            <w:r>
              <w:rPr>
                <w:rFonts w:hint="eastAsia"/>
                <w:szCs w:val="21"/>
              </w:rPr>
              <w:t>849.65</w:t>
            </w:r>
          </w:p>
        </w:tc>
        <w:tc>
          <w:tcPr>
            <w:tcW w:w="464" w:type="pct"/>
            <w:vAlign w:val="center"/>
          </w:tcPr>
          <w:p w:rsidR="00EE4502" w:rsidRDefault="00FD45A3">
            <w:pPr>
              <w:widowControl/>
              <w:tabs>
                <w:tab w:val="left" w:pos="377"/>
              </w:tabs>
              <w:jc w:val="center"/>
              <w:rPr>
                <w:szCs w:val="21"/>
              </w:rPr>
            </w:pPr>
            <w:r>
              <w:rPr>
                <w:rFonts w:hint="eastAsia"/>
                <w:szCs w:val="21"/>
              </w:rPr>
              <w:t>1712.02</w:t>
            </w:r>
          </w:p>
        </w:tc>
        <w:tc>
          <w:tcPr>
            <w:tcW w:w="465" w:type="pct"/>
            <w:vAlign w:val="center"/>
          </w:tcPr>
          <w:p w:rsidR="00EE4502" w:rsidRDefault="00FD45A3">
            <w:pPr>
              <w:widowControl/>
              <w:tabs>
                <w:tab w:val="left" w:pos="377"/>
              </w:tabs>
              <w:jc w:val="center"/>
              <w:rPr>
                <w:szCs w:val="21"/>
              </w:rPr>
            </w:pPr>
            <w:r>
              <w:rPr>
                <w:rFonts w:hint="eastAsia"/>
                <w:szCs w:val="21"/>
              </w:rPr>
              <w:t>1030.00</w:t>
            </w:r>
          </w:p>
        </w:tc>
      </w:tr>
      <w:tr w:rsidR="00EE4502">
        <w:trPr>
          <w:trHeight w:val="397"/>
          <w:jc w:val="center"/>
        </w:trPr>
        <w:tc>
          <w:tcPr>
            <w:tcW w:w="251" w:type="pct"/>
            <w:vAlign w:val="center"/>
          </w:tcPr>
          <w:p w:rsidR="00EE4502" w:rsidRDefault="00FD45A3">
            <w:pPr>
              <w:widowControl/>
              <w:tabs>
                <w:tab w:val="left" w:pos="377"/>
              </w:tabs>
              <w:jc w:val="center"/>
              <w:rPr>
                <w:szCs w:val="21"/>
              </w:rPr>
            </w:pPr>
            <w:r>
              <w:rPr>
                <w:rFonts w:hint="eastAsia"/>
                <w:szCs w:val="21"/>
              </w:rPr>
              <w:t>5#</w:t>
            </w:r>
          </w:p>
        </w:tc>
        <w:tc>
          <w:tcPr>
            <w:tcW w:w="290" w:type="pct"/>
            <w:vAlign w:val="center"/>
          </w:tcPr>
          <w:p w:rsidR="00EE4502" w:rsidRDefault="00FD45A3">
            <w:pPr>
              <w:widowControl/>
              <w:tabs>
                <w:tab w:val="left" w:pos="377"/>
              </w:tabs>
              <w:jc w:val="center"/>
              <w:rPr>
                <w:szCs w:val="21"/>
              </w:rPr>
            </w:pPr>
            <w:r>
              <w:rPr>
                <w:rFonts w:hint="eastAsia"/>
                <w:szCs w:val="21"/>
              </w:rPr>
              <w:t>排</w:t>
            </w:r>
            <w:r>
              <w:rPr>
                <w:rFonts w:hint="eastAsia"/>
                <w:szCs w:val="21"/>
              </w:rPr>
              <w:t>61-</w:t>
            </w:r>
            <w:r>
              <w:rPr>
                <w:rFonts w:hint="eastAsia"/>
                <w:szCs w:val="21"/>
              </w:rPr>
              <w:t>平</w:t>
            </w:r>
            <w:r>
              <w:rPr>
                <w:rFonts w:hint="eastAsia"/>
                <w:szCs w:val="21"/>
              </w:rPr>
              <w:t>17</w:t>
            </w:r>
          </w:p>
        </w:tc>
        <w:tc>
          <w:tcPr>
            <w:tcW w:w="403" w:type="pct"/>
            <w:vAlign w:val="center"/>
          </w:tcPr>
          <w:p w:rsidR="00EE4502" w:rsidRDefault="00FD45A3">
            <w:pPr>
              <w:widowControl/>
              <w:tabs>
                <w:tab w:val="left" w:pos="377"/>
              </w:tabs>
              <w:jc w:val="center"/>
              <w:rPr>
                <w:szCs w:val="21"/>
              </w:rPr>
            </w:pPr>
            <w:r>
              <w:rPr>
                <w:rFonts w:hint="eastAsia"/>
                <w:szCs w:val="21"/>
              </w:rPr>
              <w:t>650.00</w:t>
            </w:r>
          </w:p>
        </w:tc>
        <w:tc>
          <w:tcPr>
            <w:tcW w:w="464" w:type="pct"/>
            <w:vAlign w:val="center"/>
          </w:tcPr>
          <w:p w:rsidR="00EE4502" w:rsidRDefault="00FD45A3">
            <w:pPr>
              <w:widowControl/>
              <w:tabs>
                <w:tab w:val="left" w:pos="377"/>
              </w:tabs>
              <w:jc w:val="center"/>
              <w:rPr>
                <w:szCs w:val="21"/>
              </w:rPr>
            </w:pPr>
            <w:r>
              <w:rPr>
                <w:rFonts w:hint="eastAsia"/>
                <w:szCs w:val="21"/>
              </w:rPr>
              <w:t>844.58</w:t>
            </w:r>
          </w:p>
        </w:tc>
        <w:tc>
          <w:tcPr>
            <w:tcW w:w="441" w:type="pct"/>
            <w:vAlign w:val="center"/>
          </w:tcPr>
          <w:p w:rsidR="00EE4502" w:rsidRDefault="00FD45A3">
            <w:pPr>
              <w:widowControl/>
              <w:tabs>
                <w:tab w:val="left" w:pos="377"/>
              </w:tabs>
              <w:jc w:val="center"/>
              <w:rPr>
                <w:szCs w:val="21"/>
              </w:rPr>
            </w:pPr>
            <w:r>
              <w:rPr>
                <w:rFonts w:hint="eastAsia"/>
                <w:szCs w:val="21"/>
              </w:rPr>
              <w:t>6.07</w:t>
            </w:r>
          </w:p>
        </w:tc>
        <w:tc>
          <w:tcPr>
            <w:tcW w:w="342" w:type="pct"/>
            <w:vAlign w:val="center"/>
          </w:tcPr>
          <w:p w:rsidR="00EE4502" w:rsidRDefault="00FD45A3">
            <w:pPr>
              <w:widowControl/>
              <w:tabs>
                <w:tab w:val="left" w:pos="377"/>
              </w:tabs>
              <w:jc w:val="center"/>
              <w:rPr>
                <w:szCs w:val="21"/>
              </w:rPr>
            </w:pPr>
            <w:r>
              <w:rPr>
                <w:rFonts w:hint="eastAsia"/>
                <w:szCs w:val="21"/>
              </w:rPr>
              <w:t>82.88</w:t>
            </w:r>
          </w:p>
        </w:tc>
        <w:tc>
          <w:tcPr>
            <w:tcW w:w="403" w:type="pct"/>
            <w:vAlign w:val="center"/>
          </w:tcPr>
          <w:p w:rsidR="00EE4502" w:rsidRDefault="00FD45A3">
            <w:pPr>
              <w:widowControl/>
              <w:tabs>
                <w:tab w:val="left" w:pos="377"/>
              </w:tabs>
              <w:jc w:val="center"/>
              <w:rPr>
                <w:szCs w:val="21"/>
              </w:rPr>
            </w:pPr>
            <w:r>
              <w:rPr>
                <w:rFonts w:hint="eastAsia"/>
                <w:szCs w:val="21"/>
              </w:rPr>
              <w:t>99.59</w:t>
            </w:r>
          </w:p>
        </w:tc>
        <w:tc>
          <w:tcPr>
            <w:tcW w:w="434" w:type="pct"/>
            <w:vAlign w:val="center"/>
          </w:tcPr>
          <w:p w:rsidR="00EE4502" w:rsidRDefault="00FD45A3">
            <w:pPr>
              <w:widowControl/>
              <w:tabs>
                <w:tab w:val="left" w:pos="377"/>
              </w:tabs>
              <w:jc w:val="center"/>
              <w:rPr>
                <w:szCs w:val="21"/>
              </w:rPr>
            </w:pPr>
            <w:r>
              <w:rPr>
                <w:rFonts w:hint="eastAsia"/>
                <w:szCs w:val="21"/>
              </w:rPr>
              <w:t>A:950</w:t>
            </w:r>
          </w:p>
          <w:p w:rsidR="00EE4502" w:rsidRDefault="00FD45A3">
            <w:pPr>
              <w:widowControl/>
              <w:tabs>
                <w:tab w:val="left" w:pos="377"/>
              </w:tabs>
              <w:jc w:val="center"/>
              <w:rPr>
                <w:szCs w:val="21"/>
              </w:rPr>
            </w:pPr>
            <w:r>
              <w:rPr>
                <w:rFonts w:hint="eastAsia"/>
                <w:szCs w:val="21"/>
              </w:rPr>
              <w:t>B:1025</w:t>
            </w:r>
          </w:p>
        </w:tc>
        <w:tc>
          <w:tcPr>
            <w:tcW w:w="576" w:type="pct"/>
            <w:vAlign w:val="center"/>
          </w:tcPr>
          <w:p w:rsidR="00EE4502" w:rsidRDefault="00FD45A3">
            <w:pPr>
              <w:widowControl/>
              <w:tabs>
                <w:tab w:val="left" w:pos="377"/>
              </w:tabs>
              <w:jc w:val="center"/>
              <w:rPr>
                <w:szCs w:val="21"/>
              </w:rPr>
            </w:pPr>
            <w:r>
              <w:rPr>
                <w:rFonts w:hint="eastAsia"/>
                <w:szCs w:val="21"/>
              </w:rPr>
              <w:t>A:272.01</w:t>
            </w:r>
          </w:p>
          <w:p w:rsidR="00EE4502" w:rsidRDefault="00FD45A3">
            <w:pPr>
              <w:widowControl/>
              <w:tabs>
                <w:tab w:val="left" w:pos="377"/>
              </w:tabs>
              <w:jc w:val="center"/>
              <w:rPr>
                <w:szCs w:val="21"/>
              </w:rPr>
            </w:pPr>
            <w:r>
              <w:rPr>
                <w:rFonts w:hint="eastAsia"/>
                <w:szCs w:val="21"/>
              </w:rPr>
              <w:t>B:864.60</w:t>
            </w:r>
          </w:p>
        </w:tc>
        <w:tc>
          <w:tcPr>
            <w:tcW w:w="463" w:type="pct"/>
            <w:vAlign w:val="center"/>
          </w:tcPr>
          <w:p w:rsidR="00EE4502" w:rsidRDefault="00FD45A3">
            <w:pPr>
              <w:widowControl/>
              <w:tabs>
                <w:tab w:val="left" w:pos="377"/>
              </w:tabs>
              <w:jc w:val="center"/>
              <w:rPr>
                <w:szCs w:val="21"/>
              </w:rPr>
            </w:pPr>
            <w:r>
              <w:rPr>
                <w:rFonts w:hint="eastAsia"/>
                <w:szCs w:val="21"/>
              </w:rPr>
              <w:t>864.60</w:t>
            </w:r>
          </w:p>
        </w:tc>
        <w:tc>
          <w:tcPr>
            <w:tcW w:w="464" w:type="pct"/>
            <w:vAlign w:val="center"/>
          </w:tcPr>
          <w:p w:rsidR="00EE4502" w:rsidRDefault="00FD45A3">
            <w:pPr>
              <w:widowControl/>
              <w:tabs>
                <w:tab w:val="left" w:pos="377"/>
              </w:tabs>
              <w:jc w:val="center"/>
              <w:rPr>
                <w:szCs w:val="21"/>
              </w:rPr>
            </w:pPr>
            <w:r>
              <w:rPr>
                <w:rFonts w:hint="eastAsia"/>
                <w:szCs w:val="21"/>
              </w:rPr>
              <w:t>1700.21</w:t>
            </w:r>
          </w:p>
        </w:tc>
        <w:tc>
          <w:tcPr>
            <w:tcW w:w="465" w:type="pct"/>
            <w:vAlign w:val="center"/>
          </w:tcPr>
          <w:p w:rsidR="00EE4502" w:rsidRDefault="00FD45A3">
            <w:pPr>
              <w:widowControl/>
              <w:tabs>
                <w:tab w:val="left" w:pos="377"/>
              </w:tabs>
              <w:jc w:val="center"/>
              <w:rPr>
                <w:szCs w:val="21"/>
              </w:rPr>
            </w:pPr>
            <w:r>
              <w:rPr>
                <w:rFonts w:hint="eastAsia"/>
                <w:szCs w:val="21"/>
              </w:rPr>
              <w:t>1025.00</w:t>
            </w:r>
          </w:p>
        </w:tc>
      </w:tr>
      <w:tr w:rsidR="00EE4502">
        <w:trPr>
          <w:trHeight w:val="397"/>
          <w:jc w:val="center"/>
        </w:trPr>
        <w:tc>
          <w:tcPr>
            <w:tcW w:w="251" w:type="pct"/>
            <w:vMerge w:val="restart"/>
            <w:vAlign w:val="center"/>
          </w:tcPr>
          <w:p w:rsidR="00EE4502" w:rsidRDefault="00FD45A3">
            <w:pPr>
              <w:widowControl/>
              <w:tabs>
                <w:tab w:val="left" w:pos="377"/>
              </w:tabs>
              <w:jc w:val="center"/>
              <w:rPr>
                <w:szCs w:val="21"/>
              </w:rPr>
            </w:pPr>
            <w:r>
              <w:rPr>
                <w:rFonts w:hint="eastAsia"/>
                <w:szCs w:val="21"/>
              </w:rPr>
              <w:t>6#</w:t>
            </w:r>
          </w:p>
        </w:tc>
        <w:tc>
          <w:tcPr>
            <w:tcW w:w="290" w:type="pct"/>
            <w:vAlign w:val="center"/>
          </w:tcPr>
          <w:p w:rsidR="00EE4502" w:rsidRDefault="00FD45A3">
            <w:pPr>
              <w:widowControl/>
              <w:tabs>
                <w:tab w:val="left" w:pos="377"/>
              </w:tabs>
              <w:jc w:val="center"/>
              <w:rPr>
                <w:szCs w:val="21"/>
              </w:rPr>
            </w:pPr>
            <w:r>
              <w:rPr>
                <w:rFonts w:hint="eastAsia"/>
                <w:szCs w:val="21"/>
              </w:rPr>
              <w:t>排</w:t>
            </w:r>
            <w:r>
              <w:rPr>
                <w:rFonts w:hint="eastAsia"/>
                <w:szCs w:val="21"/>
              </w:rPr>
              <w:t>61-</w:t>
            </w:r>
            <w:r>
              <w:rPr>
                <w:rFonts w:hint="eastAsia"/>
                <w:szCs w:val="21"/>
              </w:rPr>
              <w:t>平</w:t>
            </w:r>
            <w:r>
              <w:rPr>
                <w:rFonts w:hint="eastAsia"/>
                <w:szCs w:val="21"/>
              </w:rPr>
              <w:t>18</w:t>
            </w:r>
          </w:p>
        </w:tc>
        <w:tc>
          <w:tcPr>
            <w:tcW w:w="403" w:type="pct"/>
            <w:vAlign w:val="center"/>
          </w:tcPr>
          <w:p w:rsidR="00EE4502" w:rsidRDefault="00FD45A3">
            <w:pPr>
              <w:widowControl/>
              <w:tabs>
                <w:tab w:val="left" w:pos="377"/>
              </w:tabs>
              <w:jc w:val="center"/>
              <w:rPr>
                <w:szCs w:val="21"/>
              </w:rPr>
            </w:pPr>
            <w:r>
              <w:rPr>
                <w:rFonts w:hint="eastAsia"/>
                <w:szCs w:val="21"/>
              </w:rPr>
              <w:t>630.00</w:t>
            </w:r>
          </w:p>
        </w:tc>
        <w:tc>
          <w:tcPr>
            <w:tcW w:w="464" w:type="pct"/>
            <w:vAlign w:val="center"/>
          </w:tcPr>
          <w:p w:rsidR="00EE4502" w:rsidRDefault="00FD45A3">
            <w:pPr>
              <w:widowControl/>
              <w:tabs>
                <w:tab w:val="left" w:pos="377"/>
              </w:tabs>
              <w:jc w:val="center"/>
              <w:rPr>
                <w:szCs w:val="21"/>
              </w:rPr>
            </w:pPr>
            <w:r>
              <w:rPr>
                <w:rFonts w:hint="eastAsia"/>
                <w:szCs w:val="21"/>
              </w:rPr>
              <w:t>865.04</w:t>
            </w:r>
          </w:p>
        </w:tc>
        <w:tc>
          <w:tcPr>
            <w:tcW w:w="441" w:type="pct"/>
            <w:vAlign w:val="center"/>
          </w:tcPr>
          <w:p w:rsidR="00EE4502" w:rsidRDefault="00FD45A3">
            <w:pPr>
              <w:widowControl/>
              <w:tabs>
                <w:tab w:val="left" w:pos="377"/>
              </w:tabs>
              <w:jc w:val="center"/>
              <w:rPr>
                <w:szCs w:val="21"/>
              </w:rPr>
            </w:pPr>
            <w:r>
              <w:rPr>
                <w:rFonts w:hint="eastAsia"/>
                <w:szCs w:val="21"/>
              </w:rPr>
              <w:t>6.35</w:t>
            </w:r>
          </w:p>
        </w:tc>
        <w:tc>
          <w:tcPr>
            <w:tcW w:w="342" w:type="pct"/>
            <w:vAlign w:val="center"/>
          </w:tcPr>
          <w:p w:rsidR="00EE4502" w:rsidRDefault="00FD45A3">
            <w:pPr>
              <w:widowControl/>
              <w:tabs>
                <w:tab w:val="left" w:pos="377"/>
              </w:tabs>
              <w:jc w:val="center"/>
              <w:rPr>
                <w:szCs w:val="21"/>
              </w:rPr>
            </w:pPr>
            <w:r>
              <w:rPr>
                <w:rFonts w:hint="eastAsia"/>
                <w:szCs w:val="21"/>
              </w:rPr>
              <w:t>83.39</w:t>
            </w:r>
          </w:p>
        </w:tc>
        <w:tc>
          <w:tcPr>
            <w:tcW w:w="403" w:type="pct"/>
            <w:vAlign w:val="center"/>
          </w:tcPr>
          <w:p w:rsidR="00EE4502" w:rsidRDefault="00FD45A3">
            <w:pPr>
              <w:widowControl/>
              <w:tabs>
                <w:tab w:val="left" w:pos="377"/>
              </w:tabs>
              <w:jc w:val="center"/>
              <w:rPr>
                <w:szCs w:val="21"/>
              </w:rPr>
            </w:pPr>
            <w:r>
              <w:rPr>
                <w:rFonts w:hint="eastAsia"/>
                <w:szCs w:val="21"/>
              </w:rPr>
              <w:t>125.43</w:t>
            </w:r>
          </w:p>
        </w:tc>
        <w:tc>
          <w:tcPr>
            <w:tcW w:w="434" w:type="pct"/>
            <w:vAlign w:val="center"/>
          </w:tcPr>
          <w:p w:rsidR="00EE4502" w:rsidRDefault="00FD45A3">
            <w:pPr>
              <w:widowControl/>
              <w:tabs>
                <w:tab w:val="left" w:pos="377"/>
              </w:tabs>
              <w:jc w:val="center"/>
              <w:rPr>
                <w:szCs w:val="21"/>
              </w:rPr>
            </w:pPr>
            <w:r>
              <w:rPr>
                <w:rFonts w:hint="eastAsia"/>
                <w:szCs w:val="21"/>
              </w:rPr>
              <w:t>A:950</w:t>
            </w:r>
          </w:p>
          <w:p w:rsidR="00EE4502" w:rsidRDefault="00FD45A3">
            <w:pPr>
              <w:widowControl/>
              <w:tabs>
                <w:tab w:val="left" w:pos="377"/>
              </w:tabs>
              <w:jc w:val="center"/>
              <w:rPr>
                <w:szCs w:val="21"/>
              </w:rPr>
            </w:pPr>
            <w:r>
              <w:rPr>
                <w:rFonts w:hint="eastAsia"/>
                <w:szCs w:val="21"/>
              </w:rPr>
              <w:t>B:1020</w:t>
            </w:r>
          </w:p>
        </w:tc>
        <w:tc>
          <w:tcPr>
            <w:tcW w:w="576" w:type="pct"/>
            <w:vAlign w:val="center"/>
          </w:tcPr>
          <w:p w:rsidR="00EE4502" w:rsidRDefault="00FD45A3">
            <w:pPr>
              <w:widowControl/>
              <w:tabs>
                <w:tab w:val="left" w:pos="377"/>
              </w:tabs>
              <w:jc w:val="center"/>
              <w:rPr>
                <w:szCs w:val="21"/>
              </w:rPr>
            </w:pPr>
            <w:r>
              <w:rPr>
                <w:rFonts w:hint="eastAsia"/>
                <w:szCs w:val="21"/>
              </w:rPr>
              <w:t>A:321.57</w:t>
            </w:r>
          </w:p>
          <w:p w:rsidR="00EE4502" w:rsidRDefault="00FD45A3">
            <w:pPr>
              <w:widowControl/>
              <w:tabs>
                <w:tab w:val="left" w:pos="377"/>
              </w:tabs>
              <w:jc w:val="center"/>
              <w:rPr>
                <w:szCs w:val="21"/>
              </w:rPr>
            </w:pPr>
            <w:r>
              <w:rPr>
                <w:rFonts w:hint="eastAsia"/>
                <w:szCs w:val="21"/>
              </w:rPr>
              <w:t>B:894.66</w:t>
            </w:r>
          </w:p>
        </w:tc>
        <w:tc>
          <w:tcPr>
            <w:tcW w:w="463" w:type="pct"/>
            <w:vAlign w:val="center"/>
          </w:tcPr>
          <w:p w:rsidR="00EE4502" w:rsidRDefault="00FD45A3">
            <w:pPr>
              <w:widowControl/>
              <w:tabs>
                <w:tab w:val="left" w:pos="377"/>
              </w:tabs>
              <w:jc w:val="center"/>
              <w:rPr>
                <w:szCs w:val="21"/>
              </w:rPr>
            </w:pPr>
            <w:r>
              <w:rPr>
                <w:rFonts w:hint="eastAsia"/>
                <w:szCs w:val="21"/>
              </w:rPr>
              <w:t>894.66</w:t>
            </w:r>
          </w:p>
        </w:tc>
        <w:tc>
          <w:tcPr>
            <w:tcW w:w="464" w:type="pct"/>
            <w:vAlign w:val="center"/>
          </w:tcPr>
          <w:p w:rsidR="00EE4502" w:rsidRDefault="00FD45A3">
            <w:pPr>
              <w:widowControl/>
              <w:tabs>
                <w:tab w:val="left" w:pos="377"/>
              </w:tabs>
              <w:jc w:val="center"/>
              <w:rPr>
                <w:szCs w:val="21"/>
              </w:rPr>
            </w:pPr>
            <w:r>
              <w:rPr>
                <w:rFonts w:hint="eastAsia"/>
                <w:szCs w:val="21"/>
              </w:rPr>
              <w:t>1745.15</w:t>
            </w:r>
          </w:p>
        </w:tc>
        <w:tc>
          <w:tcPr>
            <w:tcW w:w="465" w:type="pct"/>
            <w:vAlign w:val="center"/>
          </w:tcPr>
          <w:p w:rsidR="00EE4502" w:rsidRDefault="00FD45A3">
            <w:pPr>
              <w:widowControl/>
              <w:tabs>
                <w:tab w:val="left" w:pos="377"/>
              </w:tabs>
              <w:jc w:val="center"/>
              <w:rPr>
                <w:szCs w:val="21"/>
              </w:rPr>
            </w:pPr>
            <w:r>
              <w:rPr>
                <w:rFonts w:hint="eastAsia"/>
                <w:szCs w:val="21"/>
              </w:rPr>
              <w:t>1020.00</w:t>
            </w:r>
          </w:p>
        </w:tc>
      </w:tr>
      <w:tr w:rsidR="00EE4502">
        <w:trPr>
          <w:trHeight w:val="397"/>
          <w:jc w:val="center"/>
        </w:trPr>
        <w:tc>
          <w:tcPr>
            <w:tcW w:w="251" w:type="pct"/>
            <w:vMerge/>
            <w:vAlign w:val="center"/>
          </w:tcPr>
          <w:p w:rsidR="00EE4502" w:rsidRDefault="00EE4502">
            <w:pPr>
              <w:widowControl/>
              <w:tabs>
                <w:tab w:val="left" w:pos="377"/>
              </w:tabs>
              <w:jc w:val="center"/>
              <w:rPr>
                <w:szCs w:val="21"/>
              </w:rPr>
            </w:pPr>
          </w:p>
        </w:tc>
        <w:tc>
          <w:tcPr>
            <w:tcW w:w="290" w:type="pct"/>
            <w:vAlign w:val="center"/>
          </w:tcPr>
          <w:p w:rsidR="00EE4502" w:rsidRDefault="00FD45A3">
            <w:pPr>
              <w:widowControl/>
              <w:tabs>
                <w:tab w:val="left" w:pos="377"/>
              </w:tabs>
              <w:jc w:val="center"/>
              <w:rPr>
                <w:szCs w:val="21"/>
              </w:rPr>
            </w:pPr>
            <w:r>
              <w:rPr>
                <w:rFonts w:hint="eastAsia"/>
                <w:szCs w:val="21"/>
              </w:rPr>
              <w:t>排</w:t>
            </w:r>
            <w:r>
              <w:rPr>
                <w:rFonts w:hint="eastAsia"/>
                <w:szCs w:val="21"/>
              </w:rPr>
              <w:t>61-</w:t>
            </w:r>
            <w:r>
              <w:rPr>
                <w:rFonts w:hint="eastAsia"/>
                <w:szCs w:val="21"/>
              </w:rPr>
              <w:t>平</w:t>
            </w:r>
            <w:r>
              <w:rPr>
                <w:rFonts w:hint="eastAsia"/>
                <w:szCs w:val="21"/>
              </w:rPr>
              <w:t>19</w:t>
            </w:r>
          </w:p>
        </w:tc>
        <w:tc>
          <w:tcPr>
            <w:tcW w:w="403" w:type="pct"/>
            <w:vAlign w:val="center"/>
          </w:tcPr>
          <w:p w:rsidR="00EE4502" w:rsidRDefault="00FD45A3">
            <w:pPr>
              <w:widowControl/>
              <w:tabs>
                <w:tab w:val="left" w:pos="377"/>
              </w:tabs>
              <w:jc w:val="center"/>
              <w:rPr>
                <w:szCs w:val="21"/>
              </w:rPr>
            </w:pPr>
            <w:r>
              <w:rPr>
                <w:rFonts w:hint="eastAsia"/>
                <w:szCs w:val="21"/>
              </w:rPr>
              <w:t>650.00</w:t>
            </w:r>
          </w:p>
        </w:tc>
        <w:tc>
          <w:tcPr>
            <w:tcW w:w="464" w:type="pct"/>
            <w:vAlign w:val="center"/>
          </w:tcPr>
          <w:p w:rsidR="00EE4502" w:rsidRDefault="00FD45A3">
            <w:pPr>
              <w:widowControl/>
              <w:tabs>
                <w:tab w:val="left" w:pos="377"/>
              </w:tabs>
              <w:jc w:val="center"/>
              <w:rPr>
                <w:szCs w:val="21"/>
              </w:rPr>
            </w:pPr>
            <w:r>
              <w:rPr>
                <w:rFonts w:hint="eastAsia"/>
                <w:szCs w:val="21"/>
              </w:rPr>
              <w:t>1001.43</w:t>
            </w:r>
          </w:p>
        </w:tc>
        <w:tc>
          <w:tcPr>
            <w:tcW w:w="441" w:type="pct"/>
            <w:vAlign w:val="center"/>
          </w:tcPr>
          <w:p w:rsidR="00EE4502" w:rsidRDefault="00FD45A3">
            <w:pPr>
              <w:widowControl/>
              <w:tabs>
                <w:tab w:val="left" w:pos="377"/>
              </w:tabs>
              <w:jc w:val="center"/>
              <w:rPr>
                <w:szCs w:val="21"/>
              </w:rPr>
            </w:pPr>
            <w:r>
              <w:rPr>
                <w:rFonts w:hint="eastAsia"/>
                <w:szCs w:val="21"/>
              </w:rPr>
              <w:t>5.98</w:t>
            </w:r>
          </w:p>
        </w:tc>
        <w:tc>
          <w:tcPr>
            <w:tcW w:w="342" w:type="pct"/>
            <w:vAlign w:val="center"/>
          </w:tcPr>
          <w:p w:rsidR="00EE4502" w:rsidRDefault="00FD45A3">
            <w:pPr>
              <w:widowControl/>
              <w:tabs>
                <w:tab w:val="left" w:pos="377"/>
              </w:tabs>
              <w:jc w:val="center"/>
              <w:rPr>
                <w:szCs w:val="21"/>
              </w:rPr>
            </w:pPr>
            <w:r>
              <w:rPr>
                <w:rFonts w:hint="eastAsia"/>
                <w:szCs w:val="21"/>
              </w:rPr>
              <w:t>82.13</w:t>
            </w:r>
          </w:p>
        </w:tc>
        <w:tc>
          <w:tcPr>
            <w:tcW w:w="403" w:type="pct"/>
            <w:vAlign w:val="center"/>
          </w:tcPr>
          <w:p w:rsidR="00EE4502" w:rsidRDefault="00FD45A3">
            <w:pPr>
              <w:widowControl/>
              <w:tabs>
                <w:tab w:val="left" w:pos="377"/>
              </w:tabs>
              <w:jc w:val="center"/>
              <w:rPr>
                <w:szCs w:val="21"/>
              </w:rPr>
            </w:pPr>
            <w:r>
              <w:rPr>
                <w:rFonts w:hint="eastAsia"/>
                <w:szCs w:val="21"/>
              </w:rPr>
              <w:t>118.93</w:t>
            </w:r>
          </w:p>
        </w:tc>
        <w:tc>
          <w:tcPr>
            <w:tcW w:w="434" w:type="pct"/>
            <w:vAlign w:val="center"/>
          </w:tcPr>
          <w:p w:rsidR="00EE4502" w:rsidRDefault="00FD45A3">
            <w:pPr>
              <w:widowControl/>
              <w:tabs>
                <w:tab w:val="left" w:pos="377"/>
              </w:tabs>
              <w:jc w:val="center"/>
              <w:rPr>
                <w:szCs w:val="21"/>
              </w:rPr>
            </w:pPr>
            <w:r>
              <w:rPr>
                <w:rFonts w:hint="eastAsia"/>
                <w:szCs w:val="21"/>
              </w:rPr>
              <w:t>A:950</w:t>
            </w:r>
          </w:p>
          <w:p w:rsidR="00EE4502" w:rsidRDefault="00FD45A3">
            <w:pPr>
              <w:widowControl/>
              <w:tabs>
                <w:tab w:val="left" w:pos="377"/>
              </w:tabs>
              <w:jc w:val="center"/>
              <w:rPr>
                <w:szCs w:val="21"/>
              </w:rPr>
            </w:pPr>
            <w:r>
              <w:rPr>
                <w:rFonts w:hint="eastAsia"/>
                <w:szCs w:val="21"/>
              </w:rPr>
              <w:t>B:1040</w:t>
            </w:r>
          </w:p>
        </w:tc>
        <w:tc>
          <w:tcPr>
            <w:tcW w:w="576" w:type="pct"/>
            <w:vAlign w:val="center"/>
          </w:tcPr>
          <w:p w:rsidR="00EE4502" w:rsidRDefault="00FD45A3">
            <w:pPr>
              <w:widowControl/>
              <w:tabs>
                <w:tab w:val="left" w:pos="377"/>
              </w:tabs>
              <w:jc w:val="center"/>
              <w:rPr>
                <w:szCs w:val="21"/>
              </w:rPr>
            </w:pPr>
            <w:r>
              <w:rPr>
                <w:rFonts w:hint="eastAsia"/>
                <w:szCs w:val="21"/>
              </w:rPr>
              <w:t>A:305.94</w:t>
            </w:r>
          </w:p>
          <w:p w:rsidR="00EE4502" w:rsidRDefault="00FD45A3">
            <w:pPr>
              <w:widowControl/>
              <w:tabs>
                <w:tab w:val="left" w:pos="377"/>
              </w:tabs>
              <w:jc w:val="center"/>
              <w:rPr>
                <w:szCs w:val="21"/>
              </w:rPr>
            </w:pPr>
            <w:r>
              <w:rPr>
                <w:rFonts w:hint="eastAsia"/>
                <w:szCs w:val="21"/>
              </w:rPr>
              <w:t>B:947.38</w:t>
            </w:r>
          </w:p>
        </w:tc>
        <w:tc>
          <w:tcPr>
            <w:tcW w:w="463" w:type="pct"/>
            <w:vAlign w:val="center"/>
          </w:tcPr>
          <w:p w:rsidR="00EE4502" w:rsidRDefault="00FD45A3">
            <w:pPr>
              <w:widowControl/>
              <w:tabs>
                <w:tab w:val="left" w:pos="377"/>
              </w:tabs>
              <w:jc w:val="center"/>
              <w:rPr>
                <w:szCs w:val="21"/>
              </w:rPr>
            </w:pPr>
            <w:r>
              <w:rPr>
                <w:rFonts w:hint="eastAsia"/>
                <w:szCs w:val="21"/>
              </w:rPr>
              <w:t>947.38</w:t>
            </w:r>
          </w:p>
        </w:tc>
        <w:tc>
          <w:tcPr>
            <w:tcW w:w="464" w:type="pct"/>
            <w:vAlign w:val="center"/>
          </w:tcPr>
          <w:p w:rsidR="00EE4502" w:rsidRDefault="00FD45A3">
            <w:pPr>
              <w:widowControl/>
              <w:tabs>
                <w:tab w:val="left" w:pos="377"/>
              </w:tabs>
              <w:jc w:val="center"/>
              <w:rPr>
                <w:szCs w:val="21"/>
              </w:rPr>
            </w:pPr>
            <w:r>
              <w:rPr>
                <w:rFonts w:hint="eastAsia"/>
                <w:szCs w:val="21"/>
              </w:rPr>
              <w:t>1781.50</w:t>
            </w:r>
          </w:p>
        </w:tc>
        <w:tc>
          <w:tcPr>
            <w:tcW w:w="465" w:type="pct"/>
            <w:vAlign w:val="center"/>
          </w:tcPr>
          <w:p w:rsidR="00EE4502" w:rsidRDefault="00FD45A3">
            <w:pPr>
              <w:widowControl/>
              <w:tabs>
                <w:tab w:val="left" w:pos="377"/>
              </w:tabs>
              <w:jc w:val="center"/>
              <w:rPr>
                <w:szCs w:val="21"/>
              </w:rPr>
            </w:pPr>
            <w:r>
              <w:rPr>
                <w:rFonts w:hint="eastAsia"/>
                <w:szCs w:val="21"/>
              </w:rPr>
              <w:t>1040.00</w:t>
            </w:r>
          </w:p>
        </w:tc>
      </w:tr>
      <w:tr w:rsidR="00EE4502">
        <w:trPr>
          <w:trHeight w:val="397"/>
          <w:jc w:val="center"/>
        </w:trPr>
        <w:tc>
          <w:tcPr>
            <w:tcW w:w="251" w:type="pct"/>
            <w:vMerge w:val="restart"/>
            <w:vAlign w:val="center"/>
          </w:tcPr>
          <w:p w:rsidR="00EE4502" w:rsidRDefault="00FD45A3">
            <w:pPr>
              <w:widowControl/>
              <w:tabs>
                <w:tab w:val="left" w:pos="377"/>
              </w:tabs>
              <w:jc w:val="center"/>
              <w:rPr>
                <w:szCs w:val="21"/>
              </w:rPr>
            </w:pPr>
            <w:r>
              <w:rPr>
                <w:rFonts w:hint="eastAsia"/>
                <w:szCs w:val="21"/>
              </w:rPr>
              <w:t>7#</w:t>
            </w:r>
          </w:p>
        </w:tc>
        <w:tc>
          <w:tcPr>
            <w:tcW w:w="290" w:type="pct"/>
            <w:vAlign w:val="center"/>
          </w:tcPr>
          <w:p w:rsidR="00EE4502" w:rsidRDefault="00FD45A3">
            <w:pPr>
              <w:widowControl/>
              <w:tabs>
                <w:tab w:val="left" w:pos="377"/>
              </w:tabs>
              <w:jc w:val="center"/>
              <w:rPr>
                <w:szCs w:val="21"/>
              </w:rPr>
            </w:pPr>
            <w:r>
              <w:rPr>
                <w:rFonts w:hint="eastAsia"/>
                <w:szCs w:val="21"/>
              </w:rPr>
              <w:t>排</w:t>
            </w:r>
            <w:r>
              <w:rPr>
                <w:rFonts w:hint="eastAsia"/>
                <w:szCs w:val="21"/>
              </w:rPr>
              <w:t>61-</w:t>
            </w:r>
            <w:r>
              <w:rPr>
                <w:rFonts w:hint="eastAsia"/>
                <w:szCs w:val="21"/>
              </w:rPr>
              <w:t>平</w:t>
            </w:r>
            <w:r>
              <w:rPr>
                <w:rFonts w:hint="eastAsia"/>
                <w:szCs w:val="21"/>
              </w:rPr>
              <w:t>20</w:t>
            </w:r>
          </w:p>
        </w:tc>
        <w:tc>
          <w:tcPr>
            <w:tcW w:w="403" w:type="pct"/>
            <w:vAlign w:val="center"/>
          </w:tcPr>
          <w:p w:rsidR="00EE4502" w:rsidRDefault="00FD45A3">
            <w:pPr>
              <w:widowControl/>
              <w:tabs>
                <w:tab w:val="left" w:pos="377"/>
              </w:tabs>
              <w:jc w:val="center"/>
              <w:rPr>
                <w:szCs w:val="21"/>
              </w:rPr>
            </w:pPr>
            <w:r>
              <w:rPr>
                <w:rFonts w:hint="eastAsia"/>
                <w:szCs w:val="21"/>
              </w:rPr>
              <w:t>630.00</w:t>
            </w:r>
          </w:p>
        </w:tc>
        <w:tc>
          <w:tcPr>
            <w:tcW w:w="464" w:type="pct"/>
            <w:vAlign w:val="center"/>
          </w:tcPr>
          <w:p w:rsidR="00EE4502" w:rsidRDefault="00FD45A3">
            <w:pPr>
              <w:widowControl/>
              <w:tabs>
                <w:tab w:val="left" w:pos="377"/>
              </w:tabs>
              <w:jc w:val="center"/>
              <w:rPr>
                <w:szCs w:val="21"/>
              </w:rPr>
            </w:pPr>
            <w:r>
              <w:rPr>
                <w:rFonts w:hint="eastAsia"/>
                <w:szCs w:val="21"/>
              </w:rPr>
              <w:t>878.43</w:t>
            </w:r>
          </w:p>
        </w:tc>
        <w:tc>
          <w:tcPr>
            <w:tcW w:w="441" w:type="pct"/>
            <w:vAlign w:val="center"/>
          </w:tcPr>
          <w:p w:rsidR="00EE4502" w:rsidRDefault="00FD45A3">
            <w:pPr>
              <w:widowControl/>
              <w:tabs>
                <w:tab w:val="left" w:pos="377"/>
              </w:tabs>
              <w:jc w:val="center"/>
              <w:rPr>
                <w:szCs w:val="21"/>
              </w:rPr>
            </w:pPr>
            <w:r>
              <w:rPr>
                <w:rFonts w:hint="eastAsia"/>
                <w:szCs w:val="21"/>
              </w:rPr>
              <w:t>6.56</w:t>
            </w:r>
          </w:p>
        </w:tc>
        <w:tc>
          <w:tcPr>
            <w:tcW w:w="342" w:type="pct"/>
            <w:vAlign w:val="center"/>
          </w:tcPr>
          <w:p w:rsidR="00EE4502" w:rsidRDefault="00FD45A3">
            <w:pPr>
              <w:widowControl/>
              <w:tabs>
                <w:tab w:val="left" w:pos="377"/>
              </w:tabs>
              <w:jc w:val="center"/>
              <w:rPr>
                <w:szCs w:val="21"/>
              </w:rPr>
            </w:pPr>
            <w:r>
              <w:rPr>
                <w:rFonts w:hint="eastAsia"/>
                <w:szCs w:val="21"/>
              </w:rPr>
              <w:t>81.87</w:t>
            </w:r>
          </w:p>
        </w:tc>
        <w:tc>
          <w:tcPr>
            <w:tcW w:w="403" w:type="pct"/>
            <w:vAlign w:val="center"/>
          </w:tcPr>
          <w:p w:rsidR="00EE4502" w:rsidRDefault="00FD45A3">
            <w:pPr>
              <w:widowControl/>
              <w:tabs>
                <w:tab w:val="left" w:pos="377"/>
              </w:tabs>
              <w:jc w:val="center"/>
              <w:rPr>
                <w:szCs w:val="21"/>
              </w:rPr>
            </w:pPr>
            <w:r>
              <w:rPr>
                <w:rFonts w:hint="eastAsia"/>
                <w:szCs w:val="21"/>
              </w:rPr>
              <w:t>114.48</w:t>
            </w:r>
          </w:p>
        </w:tc>
        <w:tc>
          <w:tcPr>
            <w:tcW w:w="434" w:type="pct"/>
            <w:vAlign w:val="center"/>
          </w:tcPr>
          <w:p w:rsidR="00EE4502" w:rsidRDefault="00FD45A3">
            <w:pPr>
              <w:widowControl/>
              <w:tabs>
                <w:tab w:val="left" w:pos="377"/>
              </w:tabs>
              <w:jc w:val="center"/>
              <w:rPr>
                <w:szCs w:val="21"/>
              </w:rPr>
            </w:pPr>
            <w:r>
              <w:rPr>
                <w:rFonts w:hint="eastAsia"/>
                <w:szCs w:val="21"/>
              </w:rPr>
              <w:t>A:900</w:t>
            </w:r>
          </w:p>
          <w:p w:rsidR="00EE4502" w:rsidRDefault="00FD45A3">
            <w:pPr>
              <w:widowControl/>
              <w:tabs>
                <w:tab w:val="left" w:pos="377"/>
              </w:tabs>
              <w:jc w:val="center"/>
              <w:rPr>
                <w:szCs w:val="21"/>
              </w:rPr>
            </w:pPr>
            <w:r>
              <w:rPr>
                <w:rFonts w:hint="eastAsia"/>
                <w:szCs w:val="21"/>
              </w:rPr>
              <w:t>B:1000</w:t>
            </w:r>
          </w:p>
        </w:tc>
        <w:tc>
          <w:tcPr>
            <w:tcW w:w="576" w:type="pct"/>
            <w:vAlign w:val="center"/>
          </w:tcPr>
          <w:p w:rsidR="00EE4502" w:rsidRDefault="00FD45A3">
            <w:pPr>
              <w:widowControl/>
              <w:tabs>
                <w:tab w:val="left" w:pos="377"/>
              </w:tabs>
              <w:jc w:val="center"/>
              <w:rPr>
                <w:szCs w:val="21"/>
              </w:rPr>
            </w:pPr>
            <w:r>
              <w:rPr>
                <w:rFonts w:hint="eastAsia"/>
                <w:szCs w:val="21"/>
              </w:rPr>
              <w:t>A:247.54</w:t>
            </w:r>
          </w:p>
          <w:p w:rsidR="00EE4502" w:rsidRDefault="00FD45A3">
            <w:pPr>
              <w:widowControl/>
              <w:tabs>
                <w:tab w:val="left" w:pos="377"/>
              </w:tabs>
              <w:jc w:val="center"/>
              <w:rPr>
                <w:szCs w:val="21"/>
              </w:rPr>
            </w:pPr>
            <w:r>
              <w:rPr>
                <w:rFonts w:hint="eastAsia"/>
                <w:szCs w:val="21"/>
              </w:rPr>
              <w:t>B:941.77</w:t>
            </w:r>
          </w:p>
        </w:tc>
        <w:tc>
          <w:tcPr>
            <w:tcW w:w="463" w:type="pct"/>
            <w:vAlign w:val="center"/>
          </w:tcPr>
          <w:p w:rsidR="00EE4502" w:rsidRDefault="00FD45A3">
            <w:pPr>
              <w:widowControl/>
              <w:tabs>
                <w:tab w:val="left" w:pos="377"/>
              </w:tabs>
              <w:jc w:val="center"/>
              <w:rPr>
                <w:szCs w:val="21"/>
              </w:rPr>
            </w:pPr>
            <w:r>
              <w:rPr>
                <w:rFonts w:hint="eastAsia"/>
                <w:szCs w:val="21"/>
              </w:rPr>
              <w:t>941.77</w:t>
            </w:r>
          </w:p>
        </w:tc>
        <w:tc>
          <w:tcPr>
            <w:tcW w:w="464" w:type="pct"/>
            <w:vAlign w:val="center"/>
          </w:tcPr>
          <w:p w:rsidR="00EE4502" w:rsidRDefault="00FD45A3">
            <w:pPr>
              <w:widowControl/>
              <w:tabs>
                <w:tab w:val="left" w:pos="377"/>
              </w:tabs>
              <w:jc w:val="center"/>
              <w:rPr>
                <w:szCs w:val="21"/>
              </w:rPr>
            </w:pPr>
            <w:r>
              <w:rPr>
                <w:rFonts w:hint="eastAsia"/>
                <w:szCs w:val="21"/>
              </w:rPr>
              <w:t>1738.43</w:t>
            </w:r>
          </w:p>
        </w:tc>
        <w:tc>
          <w:tcPr>
            <w:tcW w:w="465" w:type="pct"/>
            <w:vAlign w:val="center"/>
          </w:tcPr>
          <w:p w:rsidR="00EE4502" w:rsidRDefault="00FD45A3">
            <w:pPr>
              <w:widowControl/>
              <w:tabs>
                <w:tab w:val="left" w:pos="377"/>
              </w:tabs>
              <w:jc w:val="center"/>
              <w:rPr>
                <w:szCs w:val="21"/>
              </w:rPr>
            </w:pPr>
            <w:r>
              <w:rPr>
                <w:rFonts w:hint="eastAsia"/>
                <w:szCs w:val="21"/>
              </w:rPr>
              <w:t>1000.00</w:t>
            </w:r>
          </w:p>
        </w:tc>
      </w:tr>
      <w:tr w:rsidR="00EE4502">
        <w:trPr>
          <w:trHeight w:val="397"/>
          <w:jc w:val="center"/>
        </w:trPr>
        <w:tc>
          <w:tcPr>
            <w:tcW w:w="251" w:type="pct"/>
            <w:vMerge/>
            <w:vAlign w:val="center"/>
          </w:tcPr>
          <w:p w:rsidR="00EE4502" w:rsidRDefault="00EE4502">
            <w:pPr>
              <w:widowControl/>
              <w:tabs>
                <w:tab w:val="left" w:pos="377"/>
              </w:tabs>
              <w:jc w:val="center"/>
              <w:rPr>
                <w:szCs w:val="21"/>
              </w:rPr>
            </w:pPr>
          </w:p>
        </w:tc>
        <w:tc>
          <w:tcPr>
            <w:tcW w:w="290" w:type="pct"/>
            <w:vAlign w:val="center"/>
          </w:tcPr>
          <w:p w:rsidR="00EE4502" w:rsidRDefault="00FD45A3">
            <w:pPr>
              <w:widowControl/>
              <w:tabs>
                <w:tab w:val="left" w:pos="377"/>
              </w:tabs>
              <w:jc w:val="center"/>
              <w:rPr>
                <w:szCs w:val="21"/>
              </w:rPr>
            </w:pPr>
            <w:r>
              <w:rPr>
                <w:rFonts w:hint="eastAsia"/>
                <w:szCs w:val="21"/>
              </w:rPr>
              <w:t>排</w:t>
            </w:r>
            <w:r>
              <w:rPr>
                <w:rFonts w:hint="eastAsia"/>
                <w:szCs w:val="21"/>
              </w:rPr>
              <w:t>61-</w:t>
            </w:r>
            <w:r>
              <w:rPr>
                <w:rFonts w:hint="eastAsia"/>
                <w:szCs w:val="21"/>
              </w:rPr>
              <w:t>平</w:t>
            </w:r>
            <w:r>
              <w:rPr>
                <w:rFonts w:hint="eastAsia"/>
                <w:szCs w:val="21"/>
              </w:rPr>
              <w:t>21</w:t>
            </w:r>
          </w:p>
        </w:tc>
        <w:tc>
          <w:tcPr>
            <w:tcW w:w="403" w:type="pct"/>
            <w:vAlign w:val="center"/>
          </w:tcPr>
          <w:p w:rsidR="00EE4502" w:rsidRDefault="00FD45A3">
            <w:pPr>
              <w:widowControl/>
              <w:tabs>
                <w:tab w:val="left" w:pos="377"/>
              </w:tabs>
              <w:jc w:val="center"/>
              <w:rPr>
                <w:szCs w:val="21"/>
              </w:rPr>
            </w:pPr>
            <w:r>
              <w:rPr>
                <w:rFonts w:hint="eastAsia"/>
                <w:szCs w:val="21"/>
              </w:rPr>
              <w:t>450.00</w:t>
            </w:r>
          </w:p>
        </w:tc>
        <w:tc>
          <w:tcPr>
            <w:tcW w:w="464" w:type="pct"/>
            <w:vAlign w:val="center"/>
          </w:tcPr>
          <w:p w:rsidR="00EE4502" w:rsidRDefault="00FD45A3">
            <w:pPr>
              <w:widowControl/>
              <w:tabs>
                <w:tab w:val="left" w:pos="377"/>
              </w:tabs>
              <w:jc w:val="center"/>
              <w:rPr>
                <w:szCs w:val="21"/>
              </w:rPr>
            </w:pPr>
            <w:r>
              <w:rPr>
                <w:rFonts w:hint="eastAsia"/>
                <w:szCs w:val="21"/>
              </w:rPr>
              <w:t>659.81</w:t>
            </w:r>
          </w:p>
        </w:tc>
        <w:tc>
          <w:tcPr>
            <w:tcW w:w="441" w:type="pct"/>
            <w:vAlign w:val="center"/>
          </w:tcPr>
          <w:p w:rsidR="00EE4502" w:rsidRDefault="00FD45A3">
            <w:pPr>
              <w:widowControl/>
              <w:tabs>
                <w:tab w:val="left" w:pos="377"/>
              </w:tabs>
              <w:jc w:val="center"/>
              <w:rPr>
                <w:szCs w:val="21"/>
              </w:rPr>
            </w:pPr>
            <w:r>
              <w:rPr>
                <w:rFonts w:hint="eastAsia"/>
                <w:szCs w:val="21"/>
              </w:rPr>
              <w:t>4.50</w:t>
            </w:r>
          </w:p>
        </w:tc>
        <w:tc>
          <w:tcPr>
            <w:tcW w:w="342" w:type="pct"/>
            <w:vAlign w:val="center"/>
          </w:tcPr>
          <w:p w:rsidR="00EE4502" w:rsidRDefault="00FD45A3">
            <w:pPr>
              <w:widowControl/>
              <w:tabs>
                <w:tab w:val="left" w:pos="377"/>
              </w:tabs>
              <w:jc w:val="center"/>
              <w:rPr>
                <w:szCs w:val="21"/>
              </w:rPr>
            </w:pPr>
            <w:r>
              <w:rPr>
                <w:rFonts w:hint="eastAsia"/>
                <w:szCs w:val="21"/>
              </w:rPr>
              <w:t>89.21</w:t>
            </w:r>
          </w:p>
        </w:tc>
        <w:tc>
          <w:tcPr>
            <w:tcW w:w="403" w:type="pct"/>
            <w:vAlign w:val="center"/>
          </w:tcPr>
          <w:p w:rsidR="00EE4502" w:rsidRDefault="00FD45A3">
            <w:pPr>
              <w:widowControl/>
              <w:tabs>
                <w:tab w:val="left" w:pos="377"/>
              </w:tabs>
              <w:jc w:val="center"/>
              <w:rPr>
                <w:szCs w:val="21"/>
              </w:rPr>
            </w:pPr>
            <w:r>
              <w:rPr>
                <w:rFonts w:hint="eastAsia"/>
                <w:szCs w:val="21"/>
              </w:rPr>
              <w:t>105.35</w:t>
            </w:r>
          </w:p>
        </w:tc>
        <w:tc>
          <w:tcPr>
            <w:tcW w:w="434" w:type="pct"/>
            <w:vAlign w:val="center"/>
          </w:tcPr>
          <w:p w:rsidR="00EE4502" w:rsidRDefault="00FD45A3">
            <w:pPr>
              <w:widowControl/>
              <w:tabs>
                <w:tab w:val="left" w:pos="377"/>
              </w:tabs>
              <w:jc w:val="center"/>
              <w:rPr>
                <w:szCs w:val="21"/>
              </w:rPr>
            </w:pPr>
            <w:r>
              <w:rPr>
                <w:rFonts w:hint="eastAsia"/>
                <w:szCs w:val="21"/>
              </w:rPr>
              <w:t>A:940</w:t>
            </w:r>
          </w:p>
          <w:p w:rsidR="00EE4502" w:rsidRDefault="00FD45A3">
            <w:pPr>
              <w:widowControl/>
              <w:tabs>
                <w:tab w:val="left" w:pos="377"/>
              </w:tabs>
              <w:jc w:val="center"/>
              <w:rPr>
                <w:szCs w:val="21"/>
              </w:rPr>
            </w:pPr>
            <w:r>
              <w:rPr>
                <w:rFonts w:hint="eastAsia"/>
                <w:szCs w:val="21"/>
              </w:rPr>
              <w:t>B:950</w:t>
            </w:r>
          </w:p>
        </w:tc>
        <w:tc>
          <w:tcPr>
            <w:tcW w:w="576" w:type="pct"/>
            <w:vAlign w:val="center"/>
          </w:tcPr>
          <w:p w:rsidR="00EE4502" w:rsidRDefault="00FD45A3">
            <w:pPr>
              <w:widowControl/>
              <w:tabs>
                <w:tab w:val="left" w:pos="377"/>
              </w:tabs>
              <w:jc w:val="center"/>
              <w:rPr>
                <w:szCs w:val="21"/>
              </w:rPr>
            </w:pPr>
            <w:r>
              <w:rPr>
                <w:rFonts w:hint="eastAsia"/>
                <w:szCs w:val="21"/>
              </w:rPr>
              <w:t>A:450.00</w:t>
            </w:r>
          </w:p>
          <w:p w:rsidR="00EE4502" w:rsidRDefault="00FD45A3">
            <w:pPr>
              <w:widowControl/>
              <w:tabs>
                <w:tab w:val="left" w:pos="377"/>
              </w:tabs>
              <w:jc w:val="center"/>
              <w:rPr>
                <w:szCs w:val="21"/>
              </w:rPr>
            </w:pPr>
            <w:r>
              <w:rPr>
                <w:rFonts w:hint="eastAsia"/>
                <w:szCs w:val="21"/>
              </w:rPr>
              <w:t>B:1161.78</w:t>
            </w:r>
          </w:p>
        </w:tc>
        <w:tc>
          <w:tcPr>
            <w:tcW w:w="463" w:type="pct"/>
            <w:vAlign w:val="center"/>
          </w:tcPr>
          <w:p w:rsidR="00EE4502" w:rsidRDefault="00FD45A3">
            <w:pPr>
              <w:widowControl/>
              <w:tabs>
                <w:tab w:val="left" w:pos="377"/>
              </w:tabs>
              <w:jc w:val="center"/>
              <w:rPr>
                <w:szCs w:val="21"/>
              </w:rPr>
            </w:pPr>
            <w:r>
              <w:rPr>
                <w:rFonts w:hint="eastAsia"/>
                <w:szCs w:val="21"/>
              </w:rPr>
              <w:t>1161.78</w:t>
            </w:r>
          </w:p>
        </w:tc>
        <w:tc>
          <w:tcPr>
            <w:tcW w:w="464" w:type="pct"/>
            <w:vAlign w:val="center"/>
          </w:tcPr>
          <w:p w:rsidR="00EE4502" w:rsidRDefault="00FD45A3">
            <w:pPr>
              <w:widowControl/>
              <w:tabs>
                <w:tab w:val="left" w:pos="377"/>
              </w:tabs>
              <w:jc w:val="center"/>
              <w:rPr>
                <w:szCs w:val="21"/>
              </w:rPr>
            </w:pPr>
            <w:r>
              <w:rPr>
                <w:rFonts w:hint="eastAsia"/>
                <w:szCs w:val="21"/>
              </w:rPr>
              <w:t>1917.39</w:t>
            </w:r>
          </w:p>
        </w:tc>
        <w:tc>
          <w:tcPr>
            <w:tcW w:w="465" w:type="pct"/>
            <w:vAlign w:val="center"/>
          </w:tcPr>
          <w:p w:rsidR="00EE4502" w:rsidRDefault="00FD45A3">
            <w:pPr>
              <w:widowControl/>
              <w:tabs>
                <w:tab w:val="left" w:pos="377"/>
              </w:tabs>
              <w:jc w:val="center"/>
              <w:rPr>
                <w:szCs w:val="21"/>
              </w:rPr>
            </w:pPr>
            <w:r>
              <w:rPr>
                <w:rFonts w:hint="eastAsia"/>
                <w:szCs w:val="21"/>
              </w:rPr>
              <w:t>950.00</w:t>
            </w:r>
          </w:p>
        </w:tc>
      </w:tr>
      <w:tr w:rsidR="00EE4502">
        <w:trPr>
          <w:trHeight w:val="397"/>
          <w:jc w:val="center"/>
        </w:trPr>
        <w:tc>
          <w:tcPr>
            <w:tcW w:w="251" w:type="pct"/>
            <w:vMerge w:val="restart"/>
            <w:vAlign w:val="center"/>
          </w:tcPr>
          <w:p w:rsidR="00EE4502" w:rsidRDefault="00FD45A3">
            <w:pPr>
              <w:widowControl/>
              <w:tabs>
                <w:tab w:val="left" w:pos="377"/>
              </w:tabs>
              <w:jc w:val="center"/>
              <w:rPr>
                <w:szCs w:val="21"/>
              </w:rPr>
            </w:pPr>
            <w:r>
              <w:rPr>
                <w:rFonts w:hint="eastAsia"/>
                <w:szCs w:val="21"/>
              </w:rPr>
              <w:t>8#</w:t>
            </w:r>
          </w:p>
        </w:tc>
        <w:tc>
          <w:tcPr>
            <w:tcW w:w="290" w:type="pct"/>
            <w:vAlign w:val="center"/>
          </w:tcPr>
          <w:p w:rsidR="00EE4502" w:rsidRDefault="00FD45A3">
            <w:pPr>
              <w:widowControl/>
              <w:tabs>
                <w:tab w:val="left" w:pos="377"/>
              </w:tabs>
              <w:jc w:val="center"/>
              <w:rPr>
                <w:szCs w:val="21"/>
              </w:rPr>
            </w:pPr>
            <w:r>
              <w:rPr>
                <w:rFonts w:hint="eastAsia"/>
                <w:szCs w:val="21"/>
              </w:rPr>
              <w:t>排</w:t>
            </w:r>
            <w:r>
              <w:rPr>
                <w:rFonts w:hint="eastAsia"/>
                <w:szCs w:val="21"/>
              </w:rPr>
              <w:t>61-</w:t>
            </w:r>
            <w:r>
              <w:rPr>
                <w:rFonts w:hint="eastAsia"/>
                <w:szCs w:val="21"/>
              </w:rPr>
              <w:t>平</w:t>
            </w:r>
            <w:r>
              <w:rPr>
                <w:rFonts w:hint="eastAsia"/>
                <w:szCs w:val="21"/>
              </w:rPr>
              <w:t>22</w:t>
            </w:r>
          </w:p>
        </w:tc>
        <w:tc>
          <w:tcPr>
            <w:tcW w:w="403" w:type="pct"/>
            <w:vAlign w:val="center"/>
          </w:tcPr>
          <w:p w:rsidR="00EE4502" w:rsidRDefault="00FD45A3">
            <w:pPr>
              <w:widowControl/>
              <w:tabs>
                <w:tab w:val="left" w:pos="377"/>
              </w:tabs>
              <w:jc w:val="center"/>
              <w:rPr>
                <w:szCs w:val="21"/>
              </w:rPr>
            </w:pPr>
            <w:r>
              <w:rPr>
                <w:rFonts w:hint="eastAsia"/>
                <w:szCs w:val="21"/>
              </w:rPr>
              <w:t>660.00</w:t>
            </w:r>
          </w:p>
        </w:tc>
        <w:tc>
          <w:tcPr>
            <w:tcW w:w="464" w:type="pct"/>
            <w:vAlign w:val="center"/>
          </w:tcPr>
          <w:p w:rsidR="00EE4502" w:rsidRDefault="00FD45A3">
            <w:pPr>
              <w:widowControl/>
              <w:tabs>
                <w:tab w:val="left" w:pos="377"/>
              </w:tabs>
              <w:jc w:val="center"/>
              <w:rPr>
                <w:szCs w:val="21"/>
              </w:rPr>
            </w:pPr>
            <w:r>
              <w:rPr>
                <w:rFonts w:hint="eastAsia"/>
                <w:szCs w:val="21"/>
              </w:rPr>
              <w:t>815.35</w:t>
            </w:r>
          </w:p>
        </w:tc>
        <w:tc>
          <w:tcPr>
            <w:tcW w:w="441" w:type="pct"/>
            <w:vAlign w:val="center"/>
          </w:tcPr>
          <w:p w:rsidR="00EE4502" w:rsidRDefault="00FD45A3">
            <w:pPr>
              <w:widowControl/>
              <w:tabs>
                <w:tab w:val="left" w:pos="377"/>
              </w:tabs>
              <w:jc w:val="center"/>
              <w:rPr>
                <w:szCs w:val="21"/>
              </w:rPr>
            </w:pPr>
            <w:r>
              <w:rPr>
                <w:rFonts w:hint="eastAsia"/>
                <w:szCs w:val="21"/>
              </w:rPr>
              <w:t>7.47</w:t>
            </w:r>
          </w:p>
        </w:tc>
        <w:tc>
          <w:tcPr>
            <w:tcW w:w="342" w:type="pct"/>
            <w:vAlign w:val="center"/>
          </w:tcPr>
          <w:p w:rsidR="00EE4502" w:rsidRDefault="00FD45A3">
            <w:pPr>
              <w:widowControl/>
              <w:tabs>
                <w:tab w:val="left" w:pos="377"/>
              </w:tabs>
              <w:jc w:val="center"/>
              <w:rPr>
                <w:szCs w:val="21"/>
              </w:rPr>
            </w:pPr>
            <w:r>
              <w:rPr>
                <w:rFonts w:hint="eastAsia"/>
                <w:szCs w:val="21"/>
              </w:rPr>
              <w:t>88.85</w:t>
            </w:r>
          </w:p>
        </w:tc>
        <w:tc>
          <w:tcPr>
            <w:tcW w:w="403" w:type="pct"/>
            <w:vAlign w:val="center"/>
          </w:tcPr>
          <w:p w:rsidR="00EE4502" w:rsidRDefault="00FD45A3">
            <w:pPr>
              <w:widowControl/>
              <w:tabs>
                <w:tab w:val="left" w:pos="377"/>
              </w:tabs>
              <w:jc w:val="center"/>
              <w:rPr>
                <w:szCs w:val="21"/>
              </w:rPr>
            </w:pPr>
            <w:r>
              <w:rPr>
                <w:rFonts w:hint="eastAsia"/>
                <w:szCs w:val="21"/>
              </w:rPr>
              <w:t>113.69</w:t>
            </w:r>
          </w:p>
        </w:tc>
        <w:tc>
          <w:tcPr>
            <w:tcW w:w="434" w:type="pct"/>
            <w:vAlign w:val="center"/>
          </w:tcPr>
          <w:p w:rsidR="00EE4502" w:rsidRDefault="00FD45A3">
            <w:pPr>
              <w:widowControl/>
              <w:tabs>
                <w:tab w:val="left" w:pos="377"/>
              </w:tabs>
              <w:jc w:val="center"/>
              <w:rPr>
                <w:szCs w:val="21"/>
              </w:rPr>
            </w:pPr>
            <w:r>
              <w:rPr>
                <w:rFonts w:hint="eastAsia"/>
                <w:szCs w:val="21"/>
              </w:rPr>
              <w:t>A:930</w:t>
            </w:r>
          </w:p>
          <w:p w:rsidR="00EE4502" w:rsidRDefault="00FD45A3">
            <w:pPr>
              <w:widowControl/>
              <w:tabs>
                <w:tab w:val="left" w:pos="377"/>
              </w:tabs>
              <w:jc w:val="center"/>
              <w:rPr>
                <w:szCs w:val="21"/>
              </w:rPr>
            </w:pPr>
            <w:r>
              <w:rPr>
                <w:rFonts w:hint="eastAsia"/>
                <w:szCs w:val="21"/>
              </w:rPr>
              <w:t>B:940</w:t>
            </w:r>
          </w:p>
        </w:tc>
        <w:tc>
          <w:tcPr>
            <w:tcW w:w="576" w:type="pct"/>
            <w:vAlign w:val="center"/>
          </w:tcPr>
          <w:p w:rsidR="00EE4502" w:rsidRDefault="00FD45A3">
            <w:pPr>
              <w:widowControl/>
              <w:tabs>
                <w:tab w:val="left" w:pos="377"/>
              </w:tabs>
              <w:jc w:val="center"/>
              <w:rPr>
                <w:szCs w:val="21"/>
              </w:rPr>
            </w:pPr>
            <w:r>
              <w:rPr>
                <w:rFonts w:hint="eastAsia"/>
                <w:szCs w:val="21"/>
              </w:rPr>
              <w:t>A:270.19</w:t>
            </w:r>
          </w:p>
          <w:p w:rsidR="00EE4502" w:rsidRDefault="00FD45A3">
            <w:pPr>
              <w:widowControl/>
              <w:tabs>
                <w:tab w:val="left" w:pos="377"/>
              </w:tabs>
              <w:jc w:val="center"/>
              <w:rPr>
                <w:szCs w:val="21"/>
              </w:rPr>
            </w:pPr>
            <w:r>
              <w:rPr>
                <w:rFonts w:hint="eastAsia"/>
                <w:szCs w:val="21"/>
              </w:rPr>
              <w:t>B:750.54</w:t>
            </w:r>
          </w:p>
        </w:tc>
        <w:tc>
          <w:tcPr>
            <w:tcW w:w="463" w:type="pct"/>
            <w:vAlign w:val="center"/>
          </w:tcPr>
          <w:p w:rsidR="00EE4502" w:rsidRDefault="00FD45A3">
            <w:pPr>
              <w:widowControl/>
              <w:tabs>
                <w:tab w:val="left" w:pos="377"/>
              </w:tabs>
              <w:jc w:val="center"/>
              <w:rPr>
                <w:szCs w:val="21"/>
              </w:rPr>
            </w:pPr>
            <w:r>
              <w:rPr>
                <w:rFonts w:hint="eastAsia"/>
                <w:szCs w:val="21"/>
              </w:rPr>
              <w:t>750.54</w:t>
            </w:r>
          </w:p>
        </w:tc>
        <w:tc>
          <w:tcPr>
            <w:tcW w:w="464" w:type="pct"/>
            <w:vAlign w:val="center"/>
          </w:tcPr>
          <w:p w:rsidR="00EE4502" w:rsidRDefault="00FD45A3">
            <w:pPr>
              <w:widowControl/>
              <w:tabs>
                <w:tab w:val="left" w:pos="377"/>
              </w:tabs>
              <w:jc w:val="center"/>
              <w:rPr>
                <w:szCs w:val="21"/>
              </w:rPr>
            </w:pPr>
            <w:r>
              <w:rPr>
                <w:rFonts w:hint="eastAsia"/>
                <w:szCs w:val="21"/>
              </w:rPr>
              <w:t>1591.97</w:t>
            </w:r>
          </w:p>
        </w:tc>
        <w:tc>
          <w:tcPr>
            <w:tcW w:w="465" w:type="pct"/>
            <w:vAlign w:val="center"/>
          </w:tcPr>
          <w:p w:rsidR="00EE4502" w:rsidRDefault="00FD45A3">
            <w:pPr>
              <w:widowControl/>
              <w:tabs>
                <w:tab w:val="left" w:pos="377"/>
              </w:tabs>
              <w:jc w:val="center"/>
              <w:rPr>
                <w:szCs w:val="21"/>
              </w:rPr>
            </w:pPr>
            <w:r>
              <w:rPr>
                <w:rFonts w:hint="eastAsia"/>
                <w:szCs w:val="21"/>
              </w:rPr>
              <w:t>940.00</w:t>
            </w:r>
          </w:p>
        </w:tc>
      </w:tr>
      <w:tr w:rsidR="00EE4502">
        <w:trPr>
          <w:trHeight w:val="397"/>
          <w:jc w:val="center"/>
        </w:trPr>
        <w:tc>
          <w:tcPr>
            <w:tcW w:w="251" w:type="pct"/>
            <w:vMerge/>
            <w:vAlign w:val="center"/>
          </w:tcPr>
          <w:p w:rsidR="00EE4502" w:rsidRDefault="00EE4502">
            <w:pPr>
              <w:widowControl/>
              <w:tabs>
                <w:tab w:val="left" w:pos="377"/>
              </w:tabs>
              <w:jc w:val="center"/>
              <w:rPr>
                <w:szCs w:val="21"/>
              </w:rPr>
            </w:pPr>
          </w:p>
        </w:tc>
        <w:tc>
          <w:tcPr>
            <w:tcW w:w="290" w:type="pct"/>
            <w:vAlign w:val="center"/>
          </w:tcPr>
          <w:p w:rsidR="00EE4502" w:rsidRDefault="00FD45A3">
            <w:pPr>
              <w:widowControl/>
              <w:tabs>
                <w:tab w:val="left" w:pos="377"/>
              </w:tabs>
              <w:jc w:val="center"/>
              <w:rPr>
                <w:szCs w:val="21"/>
              </w:rPr>
            </w:pPr>
            <w:r>
              <w:rPr>
                <w:rFonts w:hint="eastAsia"/>
                <w:szCs w:val="21"/>
              </w:rPr>
              <w:t>排</w:t>
            </w:r>
            <w:r>
              <w:rPr>
                <w:rFonts w:hint="eastAsia"/>
                <w:szCs w:val="21"/>
              </w:rPr>
              <w:t>61-</w:t>
            </w:r>
            <w:r>
              <w:rPr>
                <w:rFonts w:hint="eastAsia"/>
                <w:szCs w:val="21"/>
              </w:rPr>
              <w:t>平</w:t>
            </w:r>
            <w:r>
              <w:rPr>
                <w:rFonts w:hint="eastAsia"/>
                <w:szCs w:val="21"/>
              </w:rPr>
              <w:t>23</w:t>
            </w:r>
          </w:p>
        </w:tc>
        <w:tc>
          <w:tcPr>
            <w:tcW w:w="403" w:type="pct"/>
            <w:vAlign w:val="center"/>
          </w:tcPr>
          <w:p w:rsidR="00EE4502" w:rsidRDefault="00FD45A3">
            <w:pPr>
              <w:widowControl/>
              <w:tabs>
                <w:tab w:val="left" w:pos="377"/>
              </w:tabs>
              <w:jc w:val="center"/>
              <w:rPr>
                <w:szCs w:val="21"/>
              </w:rPr>
            </w:pPr>
            <w:r>
              <w:rPr>
                <w:rFonts w:hint="eastAsia"/>
                <w:szCs w:val="21"/>
              </w:rPr>
              <w:t>640.00</w:t>
            </w:r>
          </w:p>
        </w:tc>
        <w:tc>
          <w:tcPr>
            <w:tcW w:w="464" w:type="pct"/>
            <w:vAlign w:val="center"/>
          </w:tcPr>
          <w:p w:rsidR="00EE4502" w:rsidRDefault="00FD45A3">
            <w:pPr>
              <w:widowControl/>
              <w:tabs>
                <w:tab w:val="left" w:pos="377"/>
              </w:tabs>
              <w:jc w:val="center"/>
              <w:rPr>
                <w:szCs w:val="21"/>
              </w:rPr>
            </w:pPr>
            <w:r>
              <w:rPr>
                <w:rFonts w:hint="eastAsia"/>
                <w:szCs w:val="21"/>
              </w:rPr>
              <w:t>900.74</w:t>
            </w:r>
          </w:p>
        </w:tc>
        <w:tc>
          <w:tcPr>
            <w:tcW w:w="441" w:type="pct"/>
            <w:vAlign w:val="center"/>
          </w:tcPr>
          <w:p w:rsidR="00EE4502" w:rsidRDefault="00FD45A3">
            <w:pPr>
              <w:widowControl/>
              <w:tabs>
                <w:tab w:val="left" w:pos="377"/>
              </w:tabs>
              <w:jc w:val="center"/>
              <w:rPr>
                <w:szCs w:val="21"/>
              </w:rPr>
            </w:pPr>
            <w:r>
              <w:rPr>
                <w:rFonts w:hint="eastAsia"/>
                <w:szCs w:val="21"/>
              </w:rPr>
              <w:t>7.39</w:t>
            </w:r>
          </w:p>
        </w:tc>
        <w:tc>
          <w:tcPr>
            <w:tcW w:w="342" w:type="pct"/>
            <w:vAlign w:val="center"/>
          </w:tcPr>
          <w:p w:rsidR="00EE4502" w:rsidRDefault="00FD45A3">
            <w:pPr>
              <w:widowControl/>
              <w:tabs>
                <w:tab w:val="left" w:pos="377"/>
              </w:tabs>
              <w:jc w:val="center"/>
              <w:rPr>
                <w:szCs w:val="21"/>
              </w:rPr>
            </w:pPr>
            <w:r>
              <w:rPr>
                <w:rFonts w:hint="eastAsia"/>
                <w:szCs w:val="21"/>
              </w:rPr>
              <w:t>83.78</w:t>
            </w:r>
          </w:p>
        </w:tc>
        <w:tc>
          <w:tcPr>
            <w:tcW w:w="403" w:type="pct"/>
            <w:vAlign w:val="center"/>
          </w:tcPr>
          <w:p w:rsidR="00EE4502" w:rsidRDefault="00FD45A3">
            <w:pPr>
              <w:widowControl/>
              <w:tabs>
                <w:tab w:val="left" w:pos="377"/>
              </w:tabs>
              <w:jc w:val="center"/>
              <w:rPr>
                <w:szCs w:val="21"/>
              </w:rPr>
            </w:pPr>
            <w:r>
              <w:rPr>
                <w:rFonts w:hint="eastAsia"/>
                <w:szCs w:val="21"/>
              </w:rPr>
              <w:t>111.76</w:t>
            </w:r>
          </w:p>
        </w:tc>
        <w:tc>
          <w:tcPr>
            <w:tcW w:w="434" w:type="pct"/>
            <w:vAlign w:val="center"/>
          </w:tcPr>
          <w:p w:rsidR="00EE4502" w:rsidRDefault="00FD45A3">
            <w:pPr>
              <w:widowControl/>
              <w:tabs>
                <w:tab w:val="left" w:pos="377"/>
              </w:tabs>
              <w:jc w:val="center"/>
              <w:rPr>
                <w:szCs w:val="21"/>
              </w:rPr>
            </w:pPr>
            <w:r>
              <w:rPr>
                <w:rFonts w:hint="eastAsia"/>
                <w:szCs w:val="21"/>
              </w:rPr>
              <w:t>A:890</w:t>
            </w:r>
          </w:p>
          <w:p w:rsidR="00EE4502" w:rsidRDefault="00FD45A3">
            <w:pPr>
              <w:widowControl/>
              <w:tabs>
                <w:tab w:val="left" w:pos="377"/>
              </w:tabs>
              <w:jc w:val="center"/>
              <w:rPr>
                <w:szCs w:val="21"/>
              </w:rPr>
            </w:pPr>
            <w:r>
              <w:rPr>
                <w:rFonts w:hint="eastAsia"/>
                <w:szCs w:val="21"/>
              </w:rPr>
              <w:t>B:950</w:t>
            </w:r>
          </w:p>
        </w:tc>
        <w:tc>
          <w:tcPr>
            <w:tcW w:w="576" w:type="pct"/>
            <w:vAlign w:val="center"/>
          </w:tcPr>
          <w:p w:rsidR="00EE4502" w:rsidRDefault="00FD45A3">
            <w:pPr>
              <w:widowControl/>
              <w:tabs>
                <w:tab w:val="left" w:pos="377"/>
              </w:tabs>
              <w:jc w:val="center"/>
              <w:rPr>
                <w:szCs w:val="21"/>
              </w:rPr>
            </w:pPr>
            <w:r>
              <w:rPr>
                <w:rFonts w:hint="eastAsia"/>
                <w:szCs w:val="21"/>
              </w:rPr>
              <w:t>A:265.05</w:t>
            </w:r>
          </w:p>
          <w:p w:rsidR="00EE4502" w:rsidRDefault="00FD45A3">
            <w:pPr>
              <w:widowControl/>
              <w:tabs>
                <w:tab w:val="left" w:pos="377"/>
              </w:tabs>
              <w:jc w:val="center"/>
              <w:rPr>
                <w:szCs w:val="21"/>
              </w:rPr>
            </w:pPr>
            <w:r>
              <w:rPr>
                <w:rFonts w:hint="eastAsia"/>
                <w:szCs w:val="21"/>
              </w:rPr>
              <w:t>B:801.11</w:t>
            </w:r>
          </w:p>
        </w:tc>
        <w:tc>
          <w:tcPr>
            <w:tcW w:w="463" w:type="pct"/>
            <w:vAlign w:val="center"/>
          </w:tcPr>
          <w:p w:rsidR="00EE4502" w:rsidRDefault="00FD45A3">
            <w:pPr>
              <w:widowControl/>
              <w:tabs>
                <w:tab w:val="left" w:pos="377"/>
              </w:tabs>
              <w:jc w:val="center"/>
              <w:rPr>
                <w:szCs w:val="21"/>
              </w:rPr>
            </w:pPr>
            <w:r>
              <w:rPr>
                <w:rFonts w:hint="eastAsia"/>
                <w:szCs w:val="21"/>
              </w:rPr>
              <w:t>801.11</w:t>
            </w:r>
          </w:p>
        </w:tc>
        <w:tc>
          <w:tcPr>
            <w:tcW w:w="464" w:type="pct"/>
            <w:vAlign w:val="center"/>
          </w:tcPr>
          <w:p w:rsidR="00EE4502" w:rsidRDefault="00FD45A3">
            <w:pPr>
              <w:widowControl/>
              <w:tabs>
                <w:tab w:val="left" w:pos="377"/>
              </w:tabs>
              <w:jc w:val="center"/>
              <w:rPr>
                <w:szCs w:val="21"/>
              </w:rPr>
            </w:pPr>
            <w:r>
              <w:rPr>
                <w:rFonts w:hint="eastAsia"/>
                <w:szCs w:val="21"/>
              </w:rPr>
              <w:t>1598.73</w:t>
            </w:r>
          </w:p>
        </w:tc>
        <w:tc>
          <w:tcPr>
            <w:tcW w:w="465" w:type="pct"/>
            <w:vAlign w:val="center"/>
          </w:tcPr>
          <w:p w:rsidR="00EE4502" w:rsidRDefault="00FD45A3">
            <w:pPr>
              <w:widowControl/>
              <w:tabs>
                <w:tab w:val="left" w:pos="377"/>
              </w:tabs>
              <w:jc w:val="center"/>
              <w:rPr>
                <w:szCs w:val="21"/>
              </w:rPr>
            </w:pPr>
            <w:r>
              <w:rPr>
                <w:rFonts w:hint="eastAsia"/>
                <w:szCs w:val="21"/>
              </w:rPr>
              <w:t>950.00</w:t>
            </w:r>
          </w:p>
        </w:tc>
      </w:tr>
      <w:tr w:rsidR="00EE4502">
        <w:trPr>
          <w:trHeight w:val="397"/>
          <w:jc w:val="center"/>
        </w:trPr>
        <w:tc>
          <w:tcPr>
            <w:tcW w:w="251" w:type="pct"/>
            <w:vAlign w:val="center"/>
          </w:tcPr>
          <w:p w:rsidR="00EE4502" w:rsidRDefault="00FD45A3">
            <w:pPr>
              <w:widowControl/>
              <w:tabs>
                <w:tab w:val="left" w:pos="377"/>
              </w:tabs>
              <w:jc w:val="center"/>
              <w:rPr>
                <w:szCs w:val="21"/>
              </w:rPr>
            </w:pPr>
            <w:r>
              <w:rPr>
                <w:rFonts w:hint="eastAsia"/>
                <w:szCs w:val="21"/>
              </w:rPr>
              <w:t>9#</w:t>
            </w:r>
          </w:p>
        </w:tc>
        <w:tc>
          <w:tcPr>
            <w:tcW w:w="290" w:type="pct"/>
            <w:vAlign w:val="center"/>
          </w:tcPr>
          <w:p w:rsidR="00EE4502" w:rsidRDefault="00FD45A3">
            <w:pPr>
              <w:widowControl/>
              <w:tabs>
                <w:tab w:val="left" w:pos="377"/>
              </w:tabs>
              <w:jc w:val="center"/>
              <w:rPr>
                <w:szCs w:val="21"/>
              </w:rPr>
            </w:pPr>
            <w:r>
              <w:rPr>
                <w:rFonts w:hint="eastAsia"/>
                <w:szCs w:val="21"/>
              </w:rPr>
              <w:t>排</w:t>
            </w:r>
            <w:r>
              <w:rPr>
                <w:rFonts w:hint="eastAsia"/>
                <w:szCs w:val="21"/>
              </w:rPr>
              <w:t>61-</w:t>
            </w:r>
            <w:r>
              <w:rPr>
                <w:rFonts w:hint="eastAsia"/>
                <w:szCs w:val="21"/>
              </w:rPr>
              <w:t>平</w:t>
            </w:r>
            <w:r>
              <w:rPr>
                <w:rFonts w:hint="eastAsia"/>
                <w:szCs w:val="21"/>
              </w:rPr>
              <w:t>24</w:t>
            </w:r>
          </w:p>
        </w:tc>
        <w:tc>
          <w:tcPr>
            <w:tcW w:w="403" w:type="pct"/>
            <w:vAlign w:val="center"/>
          </w:tcPr>
          <w:p w:rsidR="00EE4502" w:rsidRDefault="00FD45A3">
            <w:pPr>
              <w:widowControl/>
              <w:tabs>
                <w:tab w:val="left" w:pos="377"/>
              </w:tabs>
              <w:jc w:val="center"/>
              <w:rPr>
                <w:szCs w:val="21"/>
              </w:rPr>
            </w:pPr>
            <w:r>
              <w:rPr>
                <w:rFonts w:hint="eastAsia"/>
                <w:szCs w:val="21"/>
              </w:rPr>
              <w:t>560.00</w:t>
            </w:r>
          </w:p>
        </w:tc>
        <w:tc>
          <w:tcPr>
            <w:tcW w:w="464" w:type="pct"/>
            <w:vAlign w:val="center"/>
          </w:tcPr>
          <w:p w:rsidR="00EE4502" w:rsidRDefault="00FD45A3">
            <w:pPr>
              <w:widowControl/>
              <w:tabs>
                <w:tab w:val="left" w:pos="377"/>
              </w:tabs>
              <w:jc w:val="center"/>
              <w:rPr>
                <w:szCs w:val="21"/>
              </w:rPr>
            </w:pPr>
            <w:r>
              <w:rPr>
                <w:rFonts w:hint="eastAsia"/>
                <w:szCs w:val="21"/>
              </w:rPr>
              <w:t>753.77</w:t>
            </w:r>
          </w:p>
        </w:tc>
        <w:tc>
          <w:tcPr>
            <w:tcW w:w="441" w:type="pct"/>
            <w:vAlign w:val="center"/>
          </w:tcPr>
          <w:p w:rsidR="00EE4502" w:rsidRDefault="00FD45A3">
            <w:pPr>
              <w:widowControl/>
              <w:tabs>
                <w:tab w:val="left" w:pos="377"/>
              </w:tabs>
              <w:jc w:val="center"/>
              <w:rPr>
                <w:szCs w:val="21"/>
              </w:rPr>
            </w:pPr>
            <w:r>
              <w:rPr>
                <w:rFonts w:hint="eastAsia"/>
                <w:szCs w:val="21"/>
              </w:rPr>
              <w:t>7.37</w:t>
            </w:r>
          </w:p>
        </w:tc>
        <w:tc>
          <w:tcPr>
            <w:tcW w:w="342" w:type="pct"/>
            <w:vAlign w:val="center"/>
          </w:tcPr>
          <w:p w:rsidR="00EE4502" w:rsidRDefault="00FD45A3">
            <w:pPr>
              <w:widowControl/>
              <w:tabs>
                <w:tab w:val="left" w:pos="377"/>
              </w:tabs>
              <w:jc w:val="center"/>
              <w:rPr>
                <w:szCs w:val="21"/>
              </w:rPr>
            </w:pPr>
            <w:r>
              <w:rPr>
                <w:rFonts w:hint="eastAsia"/>
                <w:szCs w:val="21"/>
              </w:rPr>
              <w:t>77.67</w:t>
            </w:r>
          </w:p>
        </w:tc>
        <w:tc>
          <w:tcPr>
            <w:tcW w:w="403" w:type="pct"/>
            <w:vAlign w:val="center"/>
          </w:tcPr>
          <w:p w:rsidR="00EE4502" w:rsidRDefault="00FD45A3">
            <w:pPr>
              <w:widowControl/>
              <w:tabs>
                <w:tab w:val="left" w:pos="377"/>
              </w:tabs>
              <w:jc w:val="center"/>
              <w:rPr>
                <w:szCs w:val="21"/>
              </w:rPr>
            </w:pPr>
            <w:r>
              <w:rPr>
                <w:rFonts w:hint="eastAsia"/>
                <w:szCs w:val="21"/>
              </w:rPr>
              <w:t>159.04</w:t>
            </w:r>
          </w:p>
        </w:tc>
        <w:tc>
          <w:tcPr>
            <w:tcW w:w="434" w:type="pct"/>
            <w:vAlign w:val="center"/>
          </w:tcPr>
          <w:p w:rsidR="00EE4502" w:rsidRDefault="00FD45A3">
            <w:pPr>
              <w:widowControl/>
              <w:tabs>
                <w:tab w:val="left" w:pos="377"/>
              </w:tabs>
              <w:jc w:val="center"/>
              <w:rPr>
                <w:szCs w:val="21"/>
              </w:rPr>
            </w:pPr>
            <w:r>
              <w:rPr>
                <w:rFonts w:hint="eastAsia"/>
                <w:szCs w:val="21"/>
              </w:rPr>
              <w:t>A:850</w:t>
            </w:r>
          </w:p>
          <w:p w:rsidR="00EE4502" w:rsidRDefault="00FD45A3">
            <w:pPr>
              <w:widowControl/>
              <w:tabs>
                <w:tab w:val="left" w:pos="377"/>
              </w:tabs>
              <w:jc w:val="center"/>
              <w:rPr>
                <w:szCs w:val="21"/>
              </w:rPr>
            </w:pPr>
            <w:r>
              <w:rPr>
                <w:rFonts w:hint="eastAsia"/>
                <w:szCs w:val="21"/>
              </w:rPr>
              <w:t>B:960</w:t>
            </w:r>
          </w:p>
        </w:tc>
        <w:tc>
          <w:tcPr>
            <w:tcW w:w="576" w:type="pct"/>
            <w:vAlign w:val="center"/>
          </w:tcPr>
          <w:p w:rsidR="00EE4502" w:rsidRDefault="00FD45A3">
            <w:pPr>
              <w:widowControl/>
              <w:tabs>
                <w:tab w:val="left" w:pos="377"/>
              </w:tabs>
              <w:jc w:val="center"/>
              <w:rPr>
                <w:szCs w:val="21"/>
              </w:rPr>
            </w:pPr>
            <w:r>
              <w:rPr>
                <w:rFonts w:hint="eastAsia"/>
                <w:szCs w:val="21"/>
              </w:rPr>
              <w:t>A:264.62</w:t>
            </w:r>
          </w:p>
          <w:p w:rsidR="00EE4502" w:rsidRDefault="00FD45A3">
            <w:pPr>
              <w:widowControl/>
              <w:tabs>
                <w:tab w:val="left" w:pos="377"/>
              </w:tabs>
              <w:jc w:val="center"/>
              <w:rPr>
                <w:szCs w:val="21"/>
              </w:rPr>
            </w:pPr>
            <w:r>
              <w:rPr>
                <w:rFonts w:hint="eastAsia"/>
                <w:szCs w:val="21"/>
              </w:rPr>
              <w:t>B:736.75</w:t>
            </w:r>
          </w:p>
        </w:tc>
        <w:tc>
          <w:tcPr>
            <w:tcW w:w="463" w:type="pct"/>
            <w:vAlign w:val="center"/>
          </w:tcPr>
          <w:p w:rsidR="00EE4502" w:rsidRDefault="00FD45A3">
            <w:pPr>
              <w:widowControl/>
              <w:tabs>
                <w:tab w:val="left" w:pos="377"/>
              </w:tabs>
              <w:jc w:val="center"/>
              <w:rPr>
                <w:szCs w:val="21"/>
              </w:rPr>
            </w:pPr>
            <w:r>
              <w:rPr>
                <w:rFonts w:hint="eastAsia"/>
                <w:szCs w:val="21"/>
              </w:rPr>
              <w:t>736.75</w:t>
            </w:r>
          </w:p>
        </w:tc>
        <w:tc>
          <w:tcPr>
            <w:tcW w:w="464" w:type="pct"/>
            <w:vAlign w:val="center"/>
          </w:tcPr>
          <w:p w:rsidR="00EE4502" w:rsidRDefault="00FD45A3">
            <w:pPr>
              <w:widowControl/>
              <w:tabs>
                <w:tab w:val="left" w:pos="377"/>
              </w:tabs>
              <w:jc w:val="center"/>
              <w:rPr>
                <w:szCs w:val="21"/>
              </w:rPr>
            </w:pPr>
            <w:r>
              <w:rPr>
                <w:rFonts w:hint="eastAsia"/>
                <w:szCs w:val="21"/>
              </w:rPr>
              <w:t>1510.24</w:t>
            </w:r>
          </w:p>
        </w:tc>
        <w:tc>
          <w:tcPr>
            <w:tcW w:w="465" w:type="pct"/>
            <w:vAlign w:val="center"/>
          </w:tcPr>
          <w:p w:rsidR="00EE4502" w:rsidRDefault="00FD45A3">
            <w:pPr>
              <w:widowControl/>
              <w:tabs>
                <w:tab w:val="left" w:pos="377"/>
              </w:tabs>
              <w:jc w:val="center"/>
              <w:rPr>
                <w:szCs w:val="21"/>
              </w:rPr>
            </w:pPr>
            <w:r>
              <w:rPr>
                <w:rFonts w:hint="eastAsia"/>
                <w:szCs w:val="21"/>
              </w:rPr>
              <w:t>960.00</w:t>
            </w:r>
          </w:p>
        </w:tc>
      </w:tr>
      <w:tr w:rsidR="00EE4502">
        <w:trPr>
          <w:trHeight w:val="397"/>
          <w:jc w:val="center"/>
        </w:trPr>
        <w:tc>
          <w:tcPr>
            <w:tcW w:w="251" w:type="pct"/>
            <w:vAlign w:val="center"/>
          </w:tcPr>
          <w:p w:rsidR="00EE4502" w:rsidRDefault="00FD45A3">
            <w:pPr>
              <w:widowControl/>
              <w:tabs>
                <w:tab w:val="left" w:pos="377"/>
              </w:tabs>
              <w:jc w:val="center"/>
              <w:rPr>
                <w:szCs w:val="21"/>
              </w:rPr>
            </w:pPr>
            <w:r>
              <w:rPr>
                <w:rFonts w:hint="eastAsia"/>
                <w:szCs w:val="21"/>
              </w:rPr>
              <w:t>10#</w:t>
            </w:r>
          </w:p>
        </w:tc>
        <w:tc>
          <w:tcPr>
            <w:tcW w:w="290" w:type="pct"/>
            <w:vAlign w:val="center"/>
          </w:tcPr>
          <w:p w:rsidR="00EE4502" w:rsidRDefault="00FD45A3">
            <w:pPr>
              <w:widowControl/>
              <w:tabs>
                <w:tab w:val="left" w:pos="377"/>
              </w:tabs>
              <w:jc w:val="center"/>
              <w:rPr>
                <w:szCs w:val="21"/>
              </w:rPr>
            </w:pPr>
            <w:r>
              <w:rPr>
                <w:rFonts w:hint="eastAsia"/>
                <w:szCs w:val="21"/>
              </w:rPr>
              <w:t>排</w:t>
            </w:r>
            <w:r>
              <w:rPr>
                <w:rFonts w:hint="eastAsia"/>
                <w:szCs w:val="21"/>
              </w:rPr>
              <w:t>7-15</w:t>
            </w:r>
          </w:p>
        </w:tc>
        <w:tc>
          <w:tcPr>
            <w:tcW w:w="3527" w:type="pct"/>
            <w:gridSpan w:val="8"/>
            <w:vAlign w:val="center"/>
          </w:tcPr>
          <w:p w:rsidR="00EE4502" w:rsidRDefault="00FD45A3">
            <w:pPr>
              <w:widowControl/>
              <w:tabs>
                <w:tab w:val="left" w:pos="377"/>
              </w:tabs>
              <w:jc w:val="center"/>
              <w:rPr>
                <w:szCs w:val="21"/>
              </w:rPr>
            </w:pPr>
            <w:r>
              <w:rPr>
                <w:rFonts w:hint="eastAsia"/>
                <w:szCs w:val="21"/>
              </w:rPr>
              <w:t>直井</w:t>
            </w:r>
          </w:p>
        </w:tc>
        <w:tc>
          <w:tcPr>
            <w:tcW w:w="464" w:type="pct"/>
            <w:vAlign w:val="center"/>
          </w:tcPr>
          <w:p w:rsidR="00EE4502" w:rsidRDefault="00FD45A3">
            <w:pPr>
              <w:widowControl/>
              <w:tabs>
                <w:tab w:val="left" w:pos="377"/>
              </w:tabs>
              <w:jc w:val="center"/>
              <w:rPr>
                <w:szCs w:val="21"/>
              </w:rPr>
            </w:pPr>
            <w:r>
              <w:rPr>
                <w:rFonts w:hint="eastAsia"/>
                <w:szCs w:val="21"/>
              </w:rPr>
              <w:t>950.00</w:t>
            </w:r>
          </w:p>
        </w:tc>
        <w:tc>
          <w:tcPr>
            <w:tcW w:w="465" w:type="pct"/>
            <w:vAlign w:val="center"/>
          </w:tcPr>
          <w:p w:rsidR="00EE4502" w:rsidRDefault="00FD45A3">
            <w:pPr>
              <w:widowControl/>
              <w:tabs>
                <w:tab w:val="left" w:pos="377"/>
              </w:tabs>
              <w:jc w:val="center"/>
              <w:rPr>
                <w:szCs w:val="21"/>
              </w:rPr>
            </w:pPr>
            <w:r>
              <w:rPr>
                <w:rFonts w:hint="eastAsia"/>
                <w:szCs w:val="21"/>
              </w:rPr>
              <w:t>950.00</w:t>
            </w:r>
          </w:p>
        </w:tc>
      </w:tr>
      <w:tr w:rsidR="00EE4502">
        <w:trPr>
          <w:trHeight w:val="397"/>
          <w:jc w:val="center"/>
        </w:trPr>
        <w:tc>
          <w:tcPr>
            <w:tcW w:w="251" w:type="pct"/>
            <w:vAlign w:val="center"/>
          </w:tcPr>
          <w:p w:rsidR="00EE4502" w:rsidRDefault="00FD45A3">
            <w:pPr>
              <w:widowControl/>
              <w:tabs>
                <w:tab w:val="left" w:pos="377"/>
              </w:tabs>
              <w:jc w:val="center"/>
              <w:rPr>
                <w:szCs w:val="21"/>
              </w:rPr>
            </w:pPr>
            <w:r>
              <w:rPr>
                <w:rFonts w:hint="eastAsia"/>
                <w:szCs w:val="21"/>
              </w:rPr>
              <w:lastRenderedPageBreak/>
              <w:t>11#</w:t>
            </w:r>
          </w:p>
        </w:tc>
        <w:tc>
          <w:tcPr>
            <w:tcW w:w="290" w:type="pct"/>
            <w:vAlign w:val="center"/>
          </w:tcPr>
          <w:p w:rsidR="00EE4502" w:rsidRDefault="00FD45A3">
            <w:pPr>
              <w:widowControl/>
              <w:tabs>
                <w:tab w:val="left" w:pos="377"/>
              </w:tabs>
              <w:jc w:val="center"/>
              <w:rPr>
                <w:szCs w:val="21"/>
              </w:rPr>
            </w:pPr>
            <w:r>
              <w:rPr>
                <w:rFonts w:hint="eastAsia"/>
                <w:szCs w:val="21"/>
              </w:rPr>
              <w:t>排</w:t>
            </w:r>
            <w:r>
              <w:rPr>
                <w:rFonts w:hint="eastAsia"/>
                <w:szCs w:val="21"/>
              </w:rPr>
              <w:t>7-16</w:t>
            </w:r>
          </w:p>
        </w:tc>
        <w:tc>
          <w:tcPr>
            <w:tcW w:w="3527" w:type="pct"/>
            <w:gridSpan w:val="8"/>
            <w:vAlign w:val="center"/>
          </w:tcPr>
          <w:p w:rsidR="00EE4502" w:rsidRDefault="00FD45A3">
            <w:pPr>
              <w:widowControl/>
              <w:tabs>
                <w:tab w:val="left" w:pos="377"/>
              </w:tabs>
              <w:jc w:val="center"/>
              <w:rPr>
                <w:szCs w:val="21"/>
              </w:rPr>
            </w:pPr>
            <w:r>
              <w:rPr>
                <w:rFonts w:hint="eastAsia"/>
                <w:szCs w:val="21"/>
              </w:rPr>
              <w:t>直井</w:t>
            </w:r>
          </w:p>
        </w:tc>
        <w:tc>
          <w:tcPr>
            <w:tcW w:w="464" w:type="pct"/>
            <w:vAlign w:val="center"/>
          </w:tcPr>
          <w:p w:rsidR="00EE4502" w:rsidRDefault="00FD45A3">
            <w:pPr>
              <w:widowControl/>
              <w:tabs>
                <w:tab w:val="left" w:pos="377"/>
              </w:tabs>
              <w:jc w:val="center"/>
              <w:rPr>
                <w:szCs w:val="21"/>
              </w:rPr>
            </w:pPr>
            <w:r>
              <w:rPr>
                <w:rFonts w:hint="eastAsia"/>
                <w:szCs w:val="21"/>
              </w:rPr>
              <w:t>950.00</w:t>
            </w:r>
          </w:p>
        </w:tc>
        <w:tc>
          <w:tcPr>
            <w:tcW w:w="465" w:type="pct"/>
            <w:vAlign w:val="center"/>
          </w:tcPr>
          <w:p w:rsidR="00EE4502" w:rsidRDefault="00FD45A3">
            <w:pPr>
              <w:widowControl/>
              <w:tabs>
                <w:tab w:val="left" w:pos="377"/>
              </w:tabs>
              <w:jc w:val="center"/>
              <w:rPr>
                <w:szCs w:val="21"/>
              </w:rPr>
            </w:pPr>
            <w:r>
              <w:rPr>
                <w:rFonts w:hint="eastAsia"/>
                <w:szCs w:val="21"/>
              </w:rPr>
              <w:t>950.00</w:t>
            </w:r>
          </w:p>
        </w:tc>
      </w:tr>
      <w:tr w:rsidR="00EE4502">
        <w:trPr>
          <w:trHeight w:val="397"/>
          <w:jc w:val="center"/>
        </w:trPr>
        <w:tc>
          <w:tcPr>
            <w:tcW w:w="251" w:type="pct"/>
            <w:vAlign w:val="center"/>
          </w:tcPr>
          <w:p w:rsidR="00EE4502" w:rsidRDefault="00FD45A3">
            <w:pPr>
              <w:widowControl/>
              <w:tabs>
                <w:tab w:val="left" w:pos="377"/>
              </w:tabs>
              <w:jc w:val="center"/>
              <w:rPr>
                <w:szCs w:val="21"/>
              </w:rPr>
            </w:pPr>
            <w:r>
              <w:rPr>
                <w:rFonts w:hint="eastAsia"/>
                <w:szCs w:val="21"/>
              </w:rPr>
              <w:t>12#</w:t>
            </w:r>
          </w:p>
        </w:tc>
        <w:tc>
          <w:tcPr>
            <w:tcW w:w="290" w:type="pct"/>
            <w:vAlign w:val="center"/>
          </w:tcPr>
          <w:p w:rsidR="00EE4502" w:rsidRDefault="00FD45A3">
            <w:pPr>
              <w:widowControl/>
              <w:tabs>
                <w:tab w:val="left" w:pos="377"/>
              </w:tabs>
              <w:jc w:val="center"/>
              <w:rPr>
                <w:szCs w:val="21"/>
              </w:rPr>
            </w:pPr>
            <w:r>
              <w:rPr>
                <w:rFonts w:hint="eastAsia"/>
                <w:szCs w:val="21"/>
              </w:rPr>
              <w:t>排</w:t>
            </w:r>
            <w:r>
              <w:rPr>
                <w:rFonts w:hint="eastAsia"/>
                <w:szCs w:val="21"/>
              </w:rPr>
              <w:t>7-</w:t>
            </w:r>
            <w:r>
              <w:rPr>
                <w:rFonts w:hint="eastAsia"/>
                <w:szCs w:val="21"/>
              </w:rPr>
              <w:t>斜</w:t>
            </w:r>
            <w:r>
              <w:rPr>
                <w:rFonts w:hint="eastAsia"/>
                <w:szCs w:val="21"/>
              </w:rPr>
              <w:t>1</w:t>
            </w:r>
            <w:r>
              <w:rPr>
                <w:rFonts w:hint="eastAsia"/>
                <w:szCs w:val="21"/>
              </w:rPr>
              <w:t>7</w:t>
            </w:r>
          </w:p>
        </w:tc>
        <w:tc>
          <w:tcPr>
            <w:tcW w:w="403" w:type="pct"/>
            <w:vAlign w:val="center"/>
          </w:tcPr>
          <w:p w:rsidR="00EE4502" w:rsidRDefault="00FD45A3">
            <w:pPr>
              <w:widowControl/>
              <w:autoSpaceDE w:val="0"/>
              <w:jc w:val="center"/>
              <w:rPr>
                <w:szCs w:val="21"/>
              </w:rPr>
            </w:pPr>
            <w:r>
              <w:rPr>
                <w:szCs w:val="21"/>
                <w:lang w:bidi="ar"/>
              </w:rPr>
              <w:t>230.00</w:t>
            </w:r>
          </w:p>
        </w:tc>
        <w:tc>
          <w:tcPr>
            <w:tcW w:w="464" w:type="pct"/>
            <w:vAlign w:val="center"/>
          </w:tcPr>
          <w:p w:rsidR="00EE4502" w:rsidRDefault="00FD45A3">
            <w:pPr>
              <w:widowControl/>
              <w:autoSpaceDE w:val="0"/>
              <w:jc w:val="center"/>
              <w:rPr>
                <w:szCs w:val="21"/>
              </w:rPr>
            </w:pPr>
            <w:r>
              <w:rPr>
                <w:szCs w:val="21"/>
                <w:lang w:bidi="ar"/>
              </w:rPr>
              <w:t>488.52</w:t>
            </w:r>
          </w:p>
        </w:tc>
        <w:tc>
          <w:tcPr>
            <w:tcW w:w="441" w:type="pct"/>
            <w:vAlign w:val="center"/>
          </w:tcPr>
          <w:p w:rsidR="00EE4502" w:rsidRDefault="00FD45A3">
            <w:pPr>
              <w:widowControl/>
              <w:autoSpaceDE w:val="0"/>
              <w:jc w:val="center"/>
              <w:rPr>
                <w:szCs w:val="21"/>
              </w:rPr>
            </w:pPr>
            <w:r>
              <w:rPr>
                <w:szCs w:val="21"/>
                <w:lang w:bidi="ar"/>
              </w:rPr>
              <w:t>4.50</w:t>
            </w:r>
          </w:p>
        </w:tc>
        <w:tc>
          <w:tcPr>
            <w:tcW w:w="342" w:type="pct"/>
            <w:vAlign w:val="center"/>
          </w:tcPr>
          <w:p w:rsidR="00EE4502" w:rsidRDefault="00FD45A3">
            <w:pPr>
              <w:widowControl/>
              <w:autoSpaceDE w:val="0"/>
              <w:jc w:val="center"/>
              <w:rPr>
                <w:szCs w:val="21"/>
              </w:rPr>
            </w:pPr>
            <w:r>
              <w:rPr>
                <w:szCs w:val="21"/>
                <w:lang w:bidi="ar"/>
              </w:rPr>
              <w:t>38.78</w:t>
            </w:r>
          </w:p>
        </w:tc>
        <w:tc>
          <w:tcPr>
            <w:tcW w:w="403" w:type="pct"/>
            <w:vAlign w:val="center"/>
          </w:tcPr>
          <w:p w:rsidR="00EE4502" w:rsidRDefault="00FD45A3">
            <w:pPr>
              <w:widowControl/>
              <w:autoSpaceDE w:val="0"/>
              <w:jc w:val="center"/>
              <w:rPr>
                <w:szCs w:val="21"/>
              </w:rPr>
            </w:pPr>
            <w:r>
              <w:rPr>
                <w:szCs w:val="21"/>
                <w:lang w:bidi="ar"/>
              </w:rPr>
              <w:t>90.00</w:t>
            </w:r>
          </w:p>
        </w:tc>
        <w:tc>
          <w:tcPr>
            <w:tcW w:w="434" w:type="pct"/>
            <w:vAlign w:val="center"/>
          </w:tcPr>
          <w:p w:rsidR="00EE4502" w:rsidRDefault="00FD45A3">
            <w:pPr>
              <w:widowControl/>
              <w:autoSpaceDE w:val="0"/>
              <w:jc w:val="center"/>
              <w:rPr>
                <w:szCs w:val="21"/>
              </w:rPr>
            </w:pPr>
            <w:r>
              <w:rPr>
                <w:szCs w:val="21"/>
                <w:lang w:bidi="ar"/>
              </w:rPr>
              <w:t>850.00</w:t>
            </w:r>
          </w:p>
        </w:tc>
        <w:tc>
          <w:tcPr>
            <w:tcW w:w="576" w:type="pct"/>
            <w:vAlign w:val="center"/>
          </w:tcPr>
          <w:p w:rsidR="00EE4502" w:rsidRDefault="00FD45A3">
            <w:pPr>
              <w:widowControl/>
              <w:autoSpaceDE w:val="0"/>
              <w:jc w:val="center"/>
              <w:rPr>
                <w:szCs w:val="21"/>
              </w:rPr>
            </w:pPr>
            <w:r>
              <w:rPr>
                <w:szCs w:val="21"/>
                <w:lang w:bidi="ar"/>
              </w:rPr>
              <w:t>390.10</w:t>
            </w:r>
          </w:p>
        </w:tc>
        <w:tc>
          <w:tcPr>
            <w:tcW w:w="463" w:type="pct"/>
            <w:vAlign w:val="center"/>
          </w:tcPr>
          <w:p w:rsidR="00EE4502" w:rsidRDefault="00FD45A3">
            <w:pPr>
              <w:widowControl/>
              <w:autoSpaceDE w:val="0"/>
              <w:jc w:val="center"/>
              <w:rPr>
                <w:szCs w:val="21"/>
              </w:rPr>
            </w:pPr>
            <w:r>
              <w:rPr>
                <w:szCs w:val="21"/>
                <w:lang w:bidi="ar"/>
              </w:rPr>
              <w:t>470.44</w:t>
            </w:r>
          </w:p>
        </w:tc>
        <w:tc>
          <w:tcPr>
            <w:tcW w:w="464" w:type="pct"/>
            <w:vAlign w:val="center"/>
          </w:tcPr>
          <w:p w:rsidR="00EE4502" w:rsidRDefault="00FD45A3">
            <w:pPr>
              <w:widowControl/>
              <w:autoSpaceDE w:val="0"/>
              <w:jc w:val="center"/>
              <w:rPr>
                <w:szCs w:val="21"/>
              </w:rPr>
            </w:pPr>
            <w:r>
              <w:rPr>
                <w:szCs w:val="21"/>
                <w:lang w:bidi="ar"/>
              </w:rPr>
              <w:t>1025.22</w:t>
            </w:r>
          </w:p>
        </w:tc>
        <w:tc>
          <w:tcPr>
            <w:tcW w:w="465" w:type="pct"/>
            <w:vAlign w:val="center"/>
          </w:tcPr>
          <w:p w:rsidR="00EE4502" w:rsidRDefault="00FD45A3">
            <w:pPr>
              <w:widowControl/>
              <w:autoSpaceDE w:val="0"/>
              <w:jc w:val="center"/>
              <w:rPr>
                <w:szCs w:val="21"/>
              </w:rPr>
            </w:pPr>
            <w:r>
              <w:rPr>
                <w:rFonts w:hint="eastAsia"/>
                <w:szCs w:val="21"/>
                <w:lang w:bidi="ar"/>
              </w:rPr>
              <w:t>870</w:t>
            </w:r>
            <w:r>
              <w:rPr>
                <w:szCs w:val="21"/>
                <w:lang w:bidi="ar"/>
              </w:rPr>
              <w:t>.00</w:t>
            </w:r>
          </w:p>
        </w:tc>
      </w:tr>
    </w:tbl>
    <w:p w:rsidR="00EE4502" w:rsidRDefault="00FD45A3">
      <w:pPr>
        <w:rPr>
          <w:rFonts w:eastAsia="仿宋"/>
          <w:szCs w:val="21"/>
        </w:rPr>
      </w:pPr>
      <w:r>
        <w:rPr>
          <w:rFonts w:eastAsia="仿宋"/>
          <w:szCs w:val="21"/>
        </w:rPr>
        <w:t>注：</w:t>
      </w:r>
      <w:r>
        <w:rPr>
          <w:rFonts w:eastAsia="仿宋" w:hint="eastAsia"/>
          <w:szCs w:val="21"/>
        </w:rPr>
        <w:t>①水平井钻至</w:t>
      </w:r>
      <w:r>
        <w:rPr>
          <w:rFonts w:eastAsia="仿宋" w:hint="eastAsia"/>
          <w:szCs w:val="21"/>
        </w:rPr>
        <w:t>B</w:t>
      </w:r>
      <w:r>
        <w:rPr>
          <w:rFonts w:eastAsia="仿宋" w:hint="eastAsia"/>
          <w:szCs w:val="21"/>
        </w:rPr>
        <w:t>靶点完钻，完钻垂深和靶点垂深均不含补心高，按海拔</w:t>
      </w:r>
      <w:r>
        <w:rPr>
          <w:rFonts w:eastAsia="仿宋" w:hint="eastAsia"/>
          <w:szCs w:val="21"/>
        </w:rPr>
        <w:t>282m</w:t>
      </w:r>
      <w:r>
        <w:rPr>
          <w:rFonts w:eastAsia="仿宋" w:hint="eastAsia"/>
          <w:szCs w:val="21"/>
        </w:rPr>
        <w:t>预测。现场应根据复测井口坐标、实测海拔和补心高校正。</w:t>
      </w:r>
    </w:p>
    <w:p w:rsidR="00EE4502" w:rsidRDefault="00FD45A3">
      <w:pPr>
        <w:rPr>
          <w:rFonts w:eastAsia="仿宋"/>
          <w:szCs w:val="21"/>
        </w:rPr>
      </w:pPr>
      <w:r>
        <w:rPr>
          <w:rFonts w:eastAsia="仿宋" w:hint="eastAsia"/>
          <w:szCs w:val="21"/>
        </w:rPr>
        <w:t>②直井和定向井完钻垂深和靶点垂深均不含补心，其中排</w:t>
      </w:r>
      <w:r>
        <w:rPr>
          <w:rFonts w:eastAsia="仿宋" w:hint="eastAsia"/>
          <w:szCs w:val="21"/>
        </w:rPr>
        <w:t>7-</w:t>
      </w:r>
      <w:r>
        <w:rPr>
          <w:rFonts w:eastAsia="仿宋" w:hint="eastAsia"/>
          <w:szCs w:val="21"/>
        </w:rPr>
        <w:t>斜</w:t>
      </w:r>
      <w:r>
        <w:rPr>
          <w:rFonts w:eastAsia="仿宋" w:hint="eastAsia"/>
          <w:szCs w:val="21"/>
        </w:rPr>
        <w:t>1</w:t>
      </w:r>
      <w:r>
        <w:rPr>
          <w:rFonts w:eastAsia="仿宋" w:hint="eastAsia"/>
          <w:szCs w:val="21"/>
        </w:rPr>
        <w:t>7</w:t>
      </w:r>
      <w:r>
        <w:rPr>
          <w:rFonts w:eastAsia="仿宋" w:hint="eastAsia"/>
          <w:szCs w:val="21"/>
        </w:rPr>
        <w:t>井按海拔</w:t>
      </w:r>
      <w:r>
        <w:rPr>
          <w:rFonts w:eastAsia="仿宋" w:hint="eastAsia"/>
          <w:szCs w:val="21"/>
        </w:rPr>
        <w:t>288.02m</w:t>
      </w:r>
      <w:r>
        <w:rPr>
          <w:rFonts w:eastAsia="仿宋" w:hint="eastAsia"/>
          <w:szCs w:val="21"/>
        </w:rPr>
        <w:t>预测。现场应根据复测井口坐标、实测海拔和补心高校正</w:t>
      </w:r>
      <w:r>
        <w:rPr>
          <w:rFonts w:eastAsia="仿宋"/>
          <w:szCs w:val="21"/>
        </w:rPr>
        <w:t>。</w:t>
      </w:r>
    </w:p>
    <w:p w:rsidR="00EE4502" w:rsidRDefault="00EE4502">
      <w:pPr>
        <w:spacing w:line="360" w:lineRule="auto"/>
        <w:jc w:val="center"/>
        <w:rPr>
          <w:rFonts w:eastAsia="黑体"/>
          <w:sz w:val="24"/>
        </w:rPr>
      </w:pPr>
    </w:p>
    <w:p w:rsidR="00EE4502" w:rsidRDefault="00EE4502">
      <w:pPr>
        <w:spacing w:line="360" w:lineRule="auto"/>
        <w:jc w:val="center"/>
        <w:rPr>
          <w:sz w:val="24"/>
        </w:rPr>
      </w:pPr>
    </w:p>
    <w:p w:rsidR="00EE4502" w:rsidRDefault="00FD45A3">
      <w:pPr>
        <w:spacing w:line="360" w:lineRule="auto"/>
        <w:jc w:val="center"/>
        <w:rPr>
          <w:rFonts w:eastAsia="黑体"/>
          <w:szCs w:val="21"/>
        </w:rPr>
      </w:pPr>
      <w:r>
        <w:rPr>
          <w:rFonts w:eastAsia="黑体"/>
          <w:szCs w:val="21"/>
        </w:rPr>
        <w:t>图</w:t>
      </w:r>
      <w:r>
        <w:rPr>
          <w:rFonts w:eastAsia="黑体" w:hint="eastAsia"/>
          <w:szCs w:val="21"/>
        </w:rPr>
        <w:t>3-3</w:t>
      </w:r>
      <w:r>
        <w:rPr>
          <w:rFonts w:eastAsia="黑体"/>
          <w:szCs w:val="21"/>
        </w:rPr>
        <w:t>-</w:t>
      </w:r>
      <w:r>
        <w:rPr>
          <w:rFonts w:eastAsia="黑体" w:hint="eastAsia"/>
          <w:szCs w:val="21"/>
        </w:rPr>
        <w:t>13</w:t>
      </w:r>
      <w:r>
        <w:rPr>
          <w:rFonts w:eastAsia="黑体"/>
          <w:szCs w:val="21"/>
        </w:rPr>
        <w:t xml:space="preserve"> </w:t>
      </w:r>
      <w:r>
        <w:rPr>
          <w:rFonts w:eastAsia="黑体" w:hint="eastAsia"/>
          <w:szCs w:val="21"/>
        </w:rPr>
        <w:t>水平井轨道二维投影图</w:t>
      </w:r>
    </w:p>
    <w:p w:rsidR="00EE4502" w:rsidRDefault="00FD45A3">
      <w:pPr>
        <w:spacing w:line="360" w:lineRule="auto"/>
        <w:ind w:firstLineChars="200" w:firstLine="482"/>
        <w:rPr>
          <w:sz w:val="24"/>
        </w:rPr>
      </w:pPr>
      <w:r>
        <w:rPr>
          <w:rFonts w:hint="eastAsia"/>
          <w:b/>
          <w:bCs/>
          <w:sz w:val="24"/>
        </w:rPr>
        <w:t>1</w:t>
      </w:r>
      <w:r>
        <w:rPr>
          <w:rFonts w:hint="eastAsia"/>
          <w:b/>
          <w:bCs/>
          <w:sz w:val="24"/>
        </w:rPr>
        <w:t>）</w:t>
      </w:r>
      <w:r>
        <w:rPr>
          <w:rFonts w:hint="eastAsia"/>
          <w:b/>
          <w:bCs/>
          <w:sz w:val="24"/>
        </w:rPr>
        <w:t>15</w:t>
      </w:r>
      <w:r>
        <w:rPr>
          <w:rFonts w:hint="eastAsia"/>
          <w:b/>
          <w:bCs/>
          <w:sz w:val="24"/>
        </w:rPr>
        <w:t>口油井（水平井）</w:t>
      </w:r>
      <w:r>
        <w:rPr>
          <w:rFonts w:hint="eastAsia"/>
          <w:b/>
          <w:bCs/>
          <w:sz w:val="24"/>
        </w:rPr>
        <w:t>井眼轨道优化方案</w:t>
      </w:r>
    </w:p>
    <w:p w:rsidR="00EE4502" w:rsidRDefault="00FD45A3">
      <w:pPr>
        <w:spacing w:line="360" w:lineRule="auto"/>
        <w:ind w:firstLineChars="200" w:firstLine="480"/>
        <w:rPr>
          <w:sz w:val="24"/>
        </w:rPr>
      </w:pPr>
      <w:r>
        <w:rPr>
          <w:rFonts w:hint="eastAsia"/>
          <w:sz w:val="24"/>
        </w:rPr>
        <w:t>以排</w:t>
      </w:r>
      <w:r>
        <w:rPr>
          <w:rFonts w:hint="eastAsia"/>
          <w:sz w:val="24"/>
        </w:rPr>
        <w:t>61-</w:t>
      </w:r>
      <w:r>
        <w:rPr>
          <w:rFonts w:hint="eastAsia"/>
          <w:sz w:val="24"/>
        </w:rPr>
        <w:t>平</w:t>
      </w:r>
      <w:r>
        <w:rPr>
          <w:rFonts w:hint="eastAsia"/>
          <w:sz w:val="24"/>
        </w:rPr>
        <w:t>15</w:t>
      </w:r>
      <w:r>
        <w:rPr>
          <w:rFonts w:hint="eastAsia"/>
          <w:sz w:val="24"/>
        </w:rPr>
        <w:t>油井为例，油井（水平井）井眼轨道优化方案</w:t>
      </w:r>
      <w:r>
        <w:rPr>
          <w:rFonts w:hint="eastAsia"/>
          <w:sz w:val="24"/>
        </w:rPr>
        <w:t>如下：</w:t>
      </w:r>
    </w:p>
    <w:p w:rsidR="00EE4502" w:rsidRDefault="00FD45A3">
      <w:pPr>
        <w:tabs>
          <w:tab w:val="left" w:pos="377"/>
        </w:tabs>
        <w:spacing w:line="360" w:lineRule="auto"/>
        <w:jc w:val="center"/>
        <w:rPr>
          <w:rFonts w:eastAsia="黑体"/>
          <w:bCs/>
          <w:szCs w:val="21"/>
        </w:rPr>
      </w:pPr>
      <w:r>
        <w:rPr>
          <w:rFonts w:eastAsia="黑体"/>
          <w:bCs/>
          <w:szCs w:val="21"/>
        </w:rPr>
        <w:t>表</w:t>
      </w:r>
      <w:r>
        <w:rPr>
          <w:rFonts w:eastAsia="黑体" w:hint="eastAsia"/>
          <w:bCs/>
          <w:szCs w:val="21"/>
        </w:rPr>
        <w:t>3-3</w:t>
      </w:r>
      <w:r>
        <w:rPr>
          <w:rFonts w:eastAsia="黑体"/>
          <w:bCs/>
          <w:szCs w:val="21"/>
        </w:rPr>
        <w:t>-</w:t>
      </w:r>
      <w:r>
        <w:rPr>
          <w:rFonts w:eastAsia="黑体" w:hint="eastAsia"/>
          <w:bCs/>
          <w:szCs w:val="21"/>
        </w:rPr>
        <w:t>9</w:t>
      </w:r>
      <w:r>
        <w:rPr>
          <w:rFonts w:eastAsia="黑体"/>
          <w:bCs/>
          <w:szCs w:val="21"/>
        </w:rPr>
        <w:t xml:space="preserve">  </w:t>
      </w:r>
      <w:r>
        <w:rPr>
          <w:rFonts w:eastAsia="黑体" w:hint="eastAsia"/>
          <w:bCs/>
          <w:szCs w:val="21"/>
        </w:rPr>
        <w:t>轨道设计表</w:t>
      </w:r>
      <w:r>
        <w:rPr>
          <w:rFonts w:eastAsia="黑体" w:hint="eastAsia"/>
          <w:bCs/>
          <w:szCs w:val="21"/>
        </w:rPr>
        <w:t>（</w:t>
      </w:r>
      <w:r>
        <w:rPr>
          <w:rFonts w:eastAsia="黑体" w:hint="eastAsia"/>
          <w:bCs/>
          <w:szCs w:val="21"/>
        </w:rPr>
        <w:t>以</w:t>
      </w:r>
      <w:r>
        <w:rPr>
          <w:rFonts w:eastAsia="黑体" w:hint="eastAsia"/>
          <w:bCs/>
          <w:szCs w:val="21"/>
        </w:rPr>
        <w:t>排</w:t>
      </w:r>
      <w:r>
        <w:rPr>
          <w:rFonts w:eastAsia="黑体" w:hint="eastAsia"/>
          <w:bCs/>
          <w:szCs w:val="21"/>
        </w:rPr>
        <w:t>61-</w:t>
      </w:r>
      <w:r>
        <w:rPr>
          <w:rFonts w:eastAsia="黑体" w:hint="eastAsia"/>
          <w:bCs/>
          <w:szCs w:val="21"/>
        </w:rPr>
        <w:t>平</w:t>
      </w:r>
      <w:r>
        <w:rPr>
          <w:rFonts w:eastAsia="黑体" w:hint="eastAsia"/>
          <w:bCs/>
          <w:szCs w:val="21"/>
        </w:rPr>
        <w:t>15</w:t>
      </w:r>
      <w:r>
        <w:rPr>
          <w:rFonts w:eastAsia="黑体" w:hint="eastAsia"/>
          <w:bCs/>
          <w:szCs w:val="21"/>
        </w:rPr>
        <w:t>油井为例</w:t>
      </w:r>
      <w:r>
        <w:rPr>
          <w:rFonts w:eastAsia="黑体" w:hint="eastAsia"/>
          <w:bCs/>
          <w:szCs w:val="21"/>
        </w:rPr>
        <w:t>）</w:t>
      </w:r>
    </w:p>
    <w:p w:rsidR="00EE4502" w:rsidRDefault="00FD45A3">
      <w:pPr>
        <w:tabs>
          <w:tab w:val="left" w:pos="377"/>
        </w:tabs>
        <w:spacing w:line="360" w:lineRule="auto"/>
        <w:jc w:val="left"/>
        <w:rPr>
          <w:rFonts w:ascii="楷体" w:eastAsia="楷体" w:hAnsi="楷体" w:cs="楷体"/>
          <w:bCs/>
          <w:szCs w:val="21"/>
        </w:rPr>
      </w:pPr>
      <w:r>
        <w:rPr>
          <w:rFonts w:ascii="楷体" w:eastAsia="楷体" w:hAnsi="楷体" w:cs="楷体" w:hint="eastAsia"/>
          <w:bCs/>
          <w:szCs w:val="21"/>
        </w:rPr>
        <w:t>井号：排</w:t>
      </w:r>
      <w:r>
        <w:rPr>
          <w:rFonts w:ascii="楷体" w:eastAsia="楷体" w:hAnsi="楷体" w:cs="楷体" w:hint="eastAsia"/>
          <w:bCs/>
          <w:szCs w:val="21"/>
        </w:rPr>
        <w:t>61-</w:t>
      </w:r>
      <w:r>
        <w:rPr>
          <w:rFonts w:ascii="楷体" w:eastAsia="楷体" w:hAnsi="楷体" w:cs="楷体" w:hint="eastAsia"/>
          <w:bCs/>
          <w:szCs w:val="21"/>
        </w:rPr>
        <w:t>平</w:t>
      </w:r>
      <w:r>
        <w:rPr>
          <w:rFonts w:ascii="楷体" w:eastAsia="楷体" w:hAnsi="楷体" w:cs="楷体" w:hint="eastAsia"/>
          <w:bCs/>
          <w:szCs w:val="21"/>
        </w:rPr>
        <w:t>15</w:t>
      </w:r>
      <w:r>
        <w:rPr>
          <w:rFonts w:ascii="楷体" w:eastAsia="楷体" w:hAnsi="楷体" w:cs="楷体" w:hint="eastAsia"/>
          <w:bCs/>
          <w:szCs w:val="21"/>
        </w:rPr>
        <w:t xml:space="preserve">   </w:t>
      </w:r>
      <w:r>
        <w:rPr>
          <w:rFonts w:ascii="楷体" w:eastAsia="楷体" w:hAnsi="楷体" w:cs="楷体" w:hint="eastAsia"/>
          <w:bCs/>
          <w:szCs w:val="21"/>
        </w:rPr>
        <w:t>轨道类型：直</w:t>
      </w:r>
      <w:r>
        <w:rPr>
          <w:rFonts w:ascii="楷体" w:eastAsia="楷体" w:hAnsi="楷体" w:cs="楷体" w:hint="eastAsia"/>
          <w:bCs/>
          <w:szCs w:val="21"/>
        </w:rPr>
        <w:t>-</w:t>
      </w:r>
      <w:r>
        <w:rPr>
          <w:rFonts w:ascii="楷体" w:eastAsia="楷体" w:hAnsi="楷体" w:cs="楷体" w:hint="eastAsia"/>
          <w:bCs/>
          <w:szCs w:val="21"/>
        </w:rPr>
        <w:t>增</w:t>
      </w:r>
      <w:r>
        <w:rPr>
          <w:rFonts w:ascii="楷体" w:eastAsia="楷体" w:hAnsi="楷体" w:cs="楷体" w:hint="eastAsia"/>
          <w:bCs/>
          <w:szCs w:val="21"/>
        </w:rPr>
        <w:t>-</w:t>
      </w:r>
      <w:r>
        <w:rPr>
          <w:rFonts w:ascii="楷体" w:eastAsia="楷体" w:hAnsi="楷体" w:cs="楷体" w:hint="eastAsia"/>
          <w:bCs/>
          <w:szCs w:val="21"/>
        </w:rPr>
        <w:t>增</w:t>
      </w:r>
      <w:r>
        <w:rPr>
          <w:rFonts w:ascii="楷体" w:eastAsia="楷体" w:hAnsi="楷体" w:cs="楷体" w:hint="eastAsia"/>
          <w:bCs/>
          <w:szCs w:val="21"/>
        </w:rPr>
        <w:t>-</w:t>
      </w:r>
      <w:r>
        <w:rPr>
          <w:rFonts w:ascii="楷体" w:eastAsia="楷体" w:hAnsi="楷体" w:cs="楷体" w:hint="eastAsia"/>
          <w:bCs/>
          <w:szCs w:val="21"/>
        </w:rPr>
        <w:t>平</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
        <w:gridCol w:w="114"/>
        <w:gridCol w:w="592"/>
        <w:gridCol w:w="264"/>
        <w:gridCol w:w="196"/>
        <w:gridCol w:w="254"/>
        <w:gridCol w:w="353"/>
        <w:gridCol w:w="398"/>
        <w:gridCol w:w="408"/>
        <w:gridCol w:w="349"/>
        <w:gridCol w:w="114"/>
        <w:gridCol w:w="545"/>
        <w:gridCol w:w="114"/>
        <w:gridCol w:w="609"/>
        <w:gridCol w:w="181"/>
        <w:gridCol w:w="354"/>
        <w:gridCol w:w="132"/>
        <w:gridCol w:w="272"/>
        <w:gridCol w:w="365"/>
        <w:gridCol w:w="223"/>
        <w:gridCol w:w="315"/>
        <w:gridCol w:w="114"/>
        <w:gridCol w:w="294"/>
        <w:gridCol w:w="414"/>
        <w:gridCol w:w="698"/>
      </w:tblGrid>
      <w:tr w:rsidR="00EE4502">
        <w:trPr>
          <w:cantSplit/>
          <w:trHeight w:val="397"/>
        </w:trPr>
        <w:tc>
          <w:tcPr>
            <w:tcW w:w="999" w:type="pct"/>
            <w:gridSpan w:val="5"/>
            <w:tcMar>
              <w:left w:w="57" w:type="dxa"/>
              <w:right w:w="57" w:type="dxa"/>
            </w:tcMar>
            <w:vAlign w:val="center"/>
          </w:tcPr>
          <w:p w:rsidR="00EE4502" w:rsidRDefault="00FD45A3">
            <w:pPr>
              <w:widowControl/>
              <w:tabs>
                <w:tab w:val="left" w:pos="377"/>
              </w:tabs>
              <w:jc w:val="center"/>
              <w:rPr>
                <w:szCs w:val="21"/>
              </w:rPr>
            </w:pPr>
            <w:r>
              <w:rPr>
                <w:rFonts w:hint="eastAsia"/>
                <w:szCs w:val="21"/>
              </w:rPr>
              <w:t>井底垂深（</w:t>
            </w:r>
            <w:r>
              <w:rPr>
                <w:rFonts w:hint="eastAsia"/>
                <w:szCs w:val="21"/>
              </w:rPr>
              <w:t>m</w:t>
            </w:r>
            <w:r>
              <w:rPr>
                <w:rFonts w:hint="eastAsia"/>
                <w:szCs w:val="21"/>
              </w:rPr>
              <w:t>）</w:t>
            </w:r>
          </w:p>
        </w:tc>
        <w:tc>
          <w:tcPr>
            <w:tcW w:w="1000" w:type="pct"/>
            <w:gridSpan w:val="6"/>
            <w:tcMar>
              <w:left w:w="57" w:type="dxa"/>
              <w:right w:w="57" w:type="dxa"/>
            </w:tcMar>
            <w:vAlign w:val="center"/>
          </w:tcPr>
          <w:p w:rsidR="00EE4502" w:rsidRDefault="00FD45A3">
            <w:pPr>
              <w:widowControl/>
              <w:tabs>
                <w:tab w:val="left" w:pos="377"/>
              </w:tabs>
              <w:jc w:val="center"/>
              <w:rPr>
                <w:szCs w:val="21"/>
              </w:rPr>
            </w:pPr>
            <w:r>
              <w:rPr>
                <w:rFonts w:hint="eastAsia"/>
                <w:szCs w:val="21"/>
              </w:rPr>
              <w:t>井底闭合距（</w:t>
            </w:r>
            <w:r>
              <w:rPr>
                <w:rFonts w:hint="eastAsia"/>
                <w:szCs w:val="21"/>
              </w:rPr>
              <w:t>m</w:t>
            </w:r>
            <w:r>
              <w:rPr>
                <w:rFonts w:hint="eastAsia"/>
                <w:szCs w:val="21"/>
              </w:rPr>
              <w:t>）</w:t>
            </w:r>
          </w:p>
        </w:tc>
        <w:tc>
          <w:tcPr>
            <w:tcW w:w="1000" w:type="pct"/>
            <w:gridSpan w:val="5"/>
            <w:tcMar>
              <w:left w:w="57" w:type="dxa"/>
              <w:right w:w="57" w:type="dxa"/>
            </w:tcMar>
            <w:vAlign w:val="center"/>
          </w:tcPr>
          <w:p w:rsidR="00EE4502" w:rsidRDefault="00FD45A3">
            <w:pPr>
              <w:widowControl/>
              <w:tabs>
                <w:tab w:val="left" w:pos="377"/>
              </w:tabs>
              <w:jc w:val="center"/>
              <w:rPr>
                <w:szCs w:val="21"/>
              </w:rPr>
            </w:pPr>
            <w:r>
              <w:rPr>
                <w:rFonts w:hint="eastAsia"/>
                <w:szCs w:val="21"/>
              </w:rPr>
              <w:t>井底闭合方位（°）</w:t>
            </w:r>
          </w:p>
        </w:tc>
        <w:tc>
          <w:tcPr>
            <w:tcW w:w="1000" w:type="pct"/>
            <w:gridSpan w:val="5"/>
            <w:tcMar>
              <w:left w:w="57" w:type="dxa"/>
              <w:right w:w="57" w:type="dxa"/>
            </w:tcMar>
            <w:vAlign w:val="center"/>
          </w:tcPr>
          <w:p w:rsidR="00EE4502" w:rsidRDefault="00FD45A3">
            <w:pPr>
              <w:widowControl/>
              <w:tabs>
                <w:tab w:val="left" w:pos="377"/>
              </w:tabs>
              <w:jc w:val="center"/>
              <w:rPr>
                <w:szCs w:val="21"/>
              </w:rPr>
            </w:pPr>
            <w:r>
              <w:rPr>
                <w:rFonts w:hint="eastAsia"/>
                <w:szCs w:val="21"/>
              </w:rPr>
              <w:t>造斜点（</w:t>
            </w:r>
            <w:r>
              <w:rPr>
                <w:rFonts w:hint="eastAsia"/>
                <w:szCs w:val="21"/>
              </w:rPr>
              <w:t>m</w:t>
            </w:r>
            <w:r>
              <w:rPr>
                <w:rFonts w:hint="eastAsia"/>
                <w:szCs w:val="21"/>
              </w:rPr>
              <w:t>）</w:t>
            </w:r>
          </w:p>
        </w:tc>
        <w:tc>
          <w:tcPr>
            <w:tcW w:w="1000" w:type="pct"/>
            <w:gridSpan w:val="4"/>
            <w:tcMar>
              <w:left w:w="57" w:type="dxa"/>
              <w:right w:w="57" w:type="dxa"/>
            </w:tcMar>
            <w:vAlign w:val="center"/>
          </w:tcPr>
          <w:p w:rsidR="00EE4502" w:rsidRDefault="00FD45A3">
            <w:pPr>
              <w:widowControl/>
              <w:tabs>
                <w:tab w:val="left" w:pos="377"/>
              </w:tabs>
              <w:jc w:val="center"/>
              <w:rPr>
                <w:szCs w:val="21"/>
              </w:rPr>
            </w:pPr>
            <w:r>
              <w:rPr>
                <w:rFonts w:hint="eastAsia"/>
                <w:szCs w:val="21"/>
              </w:rPr>
              <w:t>最大井斜角（°）</w:t>
            </w:r>
          </w:p>
        </w:tc>
      </w:tr>
      <w:tr w:rsidR="00EE4502">
        <w:trPr>
          <w:cantSplit/>
          <w:trHeight w:val="397"/>
        </w:trPr>
        <w:tc>
          <w:tcPr>
            <w:tcW w:w="999" w:type="pct"/>
            <w:gridSpan w:val="5"/>
            <w:tcMar>
              <w:left w:w="57" w:type="dxa"/>
              <w:right w:w="57" w:type="dxa"/>
            </w:tcMar>
            <w:vAlign w:val="center"/>
          </w:tcPr>
          <w:p w:rsidR="00EE4502" w:rsidRDefault="00FD45A3">
            <w:pPr>
              <w:widowControl/>
              <w:tabs>
                <w:tab w:val="left" w:pos="377"/>
              </w:tabs>
              <w:jc w:val="center"/>
              <w:rPr>
                <w:szCs w:val="21"/>
              </w:rPr>
            </w:pPr>
            <w:r>
              <w:rPr>
                <w:rFonts w:hint="eastAsia"/>
                <w:szCs w:val="21"/>
              </w:rPr>
              <w:t>1040.00</w:t>
            </w:r>
          </w:p>
        </w:tc>
        <w:tc>
          <w:tcPr>
            <w:tcW w:w="1000" w:type="pct"/>
            <w:gridSpan w:val="6"/>
            <w:tcMar>
              <w:left w:w="57" w:type="dxa"/>
              <w:right w:w="57" w:type="dxa"/>
            </w:tcMar>
            <w:vAlign w:val="center"/>
          </w:tcPr>
          <w:p w:rsidR="00EE4502" w:rsidRDefault="00FD45A3">
            <w:pPr>
              <w:widowControl/>
              <w:tabs>
                <w:tab w:val="left" w:pos="377"/>
              </w:tabs>
              <w:jc w:val="center"/>
              <w:rPr>
                <w:szCs w:val="21"/>
              </w:rPr>
            </w:pPr>
            <w:r>
              <w:rPr>
                <w:rFonts w:hint="eastAsia"/>
                <w:szCs w:val="21"/>
              </w:rPr>
              <w:t>801.17</w:t>
            </w:r>
          </w:p>
        </w:tc>
        <w:tc>
          <w:tcPr>
            <w:tcW w:w="1000" w:type="pct"/>
            <w:gridSpan w:val="5"/>
            <w:tcMar>
              <w:left w:w="57" w:type="dxa"/>
              <w:right w:w="57" w:type="dxa"/>
            </w:tcMar>
            <w:vAlign w:val="center"/>
          </w:tcPr>
          <w:p w:rsidR="00EE4502" w:rsidRDefault="00FD45A3">
            <w:pPr>
              <w:widowControl/>
              <w:tabs>
                <w:tab w:val="left" w:pos="377"/>
              </w:tabs>
              <w:jc w:val="center"/>
              <w:rPr>
                <w:szCs w:val="21"/>
              </w:rPr>
            </w:pPr>
            <w:r>
              <w:rPr>
                <w:rFonts w:hint="eastAsia"/>
                <w:szCs w:val="21"/>
              </w:rPr>
              <w:t>110.99</w:t>
            </w:r>
          </w:p>
        </w:tc>
        <w:tc>
          <w:tcPr>
            <w:tcW w:w="1000" w:type="pct"/>
            <w:gridSpan w:val="5"/>
            <w:tcMar>
              <w:left w:w="57" w:type="dxa"/>
              <w:right w:w="57" w:type="dxa"/>
            </w:tcMar>
            <w:vAlign w:val="center"/>
          </w:tcPr>
          <w:p w:rsidR="00EE4502" w:rsidRDefault="00FD45A3">
            <w:pPr>
              <w:widowControl/>
              <w:tabs>
                <w:tab w:val="left" w:pos="377"/>
              </w:tabs>
              <w:jc w:val="center"/>
              <w:rPr>
                <w:szCs w:val="21"/>
              </w:rPr>
            </w:pPr>
            <w:r>
              <w:rPr>
                <w:rFonts w:hint="eastAsia"/>
                <w:szCs w:val="21"/>
              </w:rPr>
              <w:t>710.00</w:t>
            </w:r>
          </w:p>
        </w:tc>
        <w:tc>
          <w:tcPr>
            <w:tcW w:w="1000" w:type="pct"/>
            <w:gridSpan w:val="4"/>
            <w:tcMar>
              <w:left w:w="57" w:type="dxa"/>
              <w:right w:w="57" w:type="dxa"/>
            </w:tcMar>
            <w:vAlign w:val="center"/>
          </w:tcPr>
          <w:p w:rsidR="00EE4502" w:rsidRDefault="00FD45A3">
            <w:pPr>
              <w:widowControl/>
              <w:tabs>
                <w:tab w:val="left" w:pos="377"/>
              </w:tabs>
              <w:jc w:val="center"/>
              <w:rPr>
                <w:szCs w:val="21"/>
              </w:rPr>
            </w:pPr>
            <w:r>
              <w:rPr>
                <w:rFonts w:hint="eastAsia"/>
                <w:szCs w:val="21"/>
              </w:rPr>
              <w:t>83.78</w:t>
            </w:r>
          </w:p>
        </w:tc>
      </w:tr>
      <w:tr w:rsidR="00EE4502">
        <w:trPr>
          <w:cantSplit/>
          <w:trHeight w:val="397"/>
        </w:trPr>
        <w:tc>
          <w:tcPr>
            <w:tcW w:w="999" w:type="pct"/>
            <w:gridSpan w:val="5"/>
            <w:tcMar>
              <w:left w:w="57" w:type="dxa"/>
              <w:right w:w="57" w:type="dxa"/>
            </w:tcMar>
            <w:vAlign w:val="center"/>
          </w:tcPr>
          <w:p w:rsidR="00EE4502" w:rsidRDefault="00FD45A3">
            <w:pPr>
              <w:widowControl/>
              <w:tabs>
                <w:tab w:val="left" w:pos="377"/>
              </w:tabs>
              <w:jc w:val="center"/>
              <w:rPr>
                <w:szCs w:val="21"/>
              </w:rPr>
            </w:pPr>
            <w:r>
              <w:rPr>
                <w:rFonts w:hint="eastAsia"/>
                <w:szCs w:val="21"/>
              </w:rPr>
              <w:t>磁倾角（°）</w:t>
            </w:r>
          </w:p>
        </w:tc>
        <w:tc>
          <w:tcPr>
            <w:tcW w:w="1000" w:type="pct"/>
            <w:gridSpan w:val="6"/>
            <w:tcMar>
              <w:left w:w="57" w:type="dxa"/>
              <w:right w:w="57" w:type="dxa"/>
            </w:tcMar>
            <w:vAlign w:val="center"/>
          </w:tcPr>
          <w:p w:rsidR="00EE4502" w:rsidRDefault="00FD45A3">
            <w:pPr>
              <w:widowControl/>
              <w:tabs>
                <w:tab w:val="left" w:pos="377"/>
              </w:tabs>
              <w:jc w:val="center"/>
              <w:rPr>
                <w:szCs w:val="21"/>
              </w:rPr>
            </w:pPr>
            <w:r>
              <w:rPr>
                <w:rFonts w:hint="eastAsia"/>
                <w:szCs w:val="21"/>
              </w:rPr>
              <w:t>磁场强度（μ</w:t>
            </w:r>
            <w:r>
              <w:rPr>
                <w:rFonts w:hint="eastAsia"/>
                <w:szCs w:val="21"/>
              </w:rPr>
              <w:t>T</w:t>
            </w:r>
            <w:r>
              <w:rPr>
                <w:rFonts w:hint="eastAsia"/>
                <w:szCs w:val="21"/>
              </w:rPr>
              <w:t>）</w:t>
            </w:r>
          </w:p>
        </w:tc>
        <w:tc>
          <w:tcPr>
            <w:tcW w:w="1000" w:type="pct"/>
            <w:gridSpan w:val="5"/>
            <w:tcMar>
              <w:left w:w="57" w:type="dxa"/>
              <w:right w:w="57" w:type="dxa"/>
            </w:tcMar>
            <w:vAlign w:val="center"/>
          </w:tcPr>
          <w:p w:rsidR="00EE4502" w:rsidRDefault="00FD45A3">
            <w:pPr>
              <w:widowControl/>
              <w:tabs>
                <w:tab w:val="left" w:pos="377"/>
              </w:tabs>
              <w:jc w:val="center"/>
              <w:rPr>
                <w:szCs w:val="21"/>
              </w:rPr>
            </w:pPr>
            <w:r>
              <w:rPr>
                <w:rFonts w:hint="eastAsia"/>
                <w:szCs w:val="21"/>
              </w:rPr>
              <w:t>磁偏角（°）</w:t>
            </w:r>
          </w:p>
        </w:tc>
        <w:tc>
          <w:tcPr>
            <w:tcW w:w="1000" w:type="pct"/>
            <w:gridSpan w:val="5"/>
            <w:tcMar>
              <w:left w:w="57" w:type="dxa"/>
              <w:right w:w="57" w:type="dxa"/>
            </w:tcMar>
            <w:vAlign w:val="center"/>
          </w:tcPr>
          <w:p w:rsidR="00EE4502" w:rsidRDefault="00FD45A3">
            <w:pPr>
              <w:widowControl/>
              <w:tabs>
                <w:tab w:val="left" w:pos="377"/>
              </w:tabs>
              <w:jc w:val="center"/>
              <w:rPr>
                <w:szCs w:val="21"/>
              </w:rPr>
            </w:pPr>
            <w:r>
              <w:rPr>
                <w:rFonts w:hint="eastAsia"/>
                <w:szCs w:val="21"/>
              </w:rPr>
              <w:t>收敛角（°）</w:t>
            </w:r>
          </w:p>
        </w:tc>
        <w:tc>
          <w:tcPr>
            <w:tcW w:w="1000" w:type="pct"/>
            <w:gridSpan w:val="4"/>
            <w:tcMar>
              <w:left w:w="57" w:type="dxa"/>
              <w:right w:w="57" w:type="dxa"/>
            </w:tcMar>
            <w:vAlign w:val="center"/>
          </w:tcPr>
          <w:p w:rsidR="00EE4502" w:rsidRDefault="00FD45A3">
            <w:pPr>
              <w:widowControl/>
              <w:tabs>
                <w:tab w:val="left" w:pos="377"/>
              </w:tabs>
              <w:jc w:val="center"/>
              <w:rPr>
                <w:szCs w:val="21"/>
              </w:rPr>
            </w:pPr>
            <w:r>
              <w:rPr>
                <w:rFonts w:hint="eastAsia"/>
                <w:szCs w:val="21"/>
              </w:rPr>
              <w:t>方位修正角（°）</w:t>
            </w:r>
          </w:p>
        </w:tc>
      </w:tr>
      <w:tr w:rsidR="00EE4502">
        <w:trPr>
          <w:cantSplit/>
          <w:trHeight w:val="397"/>
        </w:trPr>
        <w:tc>
          <w:tcPr>
            <w:tcW w:w="999" w:type="pct"/>
            <w:gridSpan w:val="5"/>
            <w:tcMar>
              <w:left w:w="57" w:type="dxa"/>
              <w:right w:w="57" w:type="dxa"/>
            </w:tcMar>
            <w:vAlign w:val="center"/>
          </w:tcPr>
          <w:p w:rsidR="00EE4502" w:rsidRDefault="00FD45A3">
            <w:pPr>
              <w:widowControl/>
              <w:tabs>
                <w:tab w:val="left" w:pos="377"/>
              </w:tabs>
              <w:jc w:val="center"/>
              <w:rPr>
                <w:szCs w:val="21"/>
              </w:rPr>
            </w:pPr>
            <w:r>
              <w:rPr>
                <w:rFonts w:hint="eastAsia"/>
                <w:szCs w:val="21"/>
              </w:rPr>
              <w:t>66.43</w:t>
            </w:r>
          </w:p>
        </w:tc>
        <w:tc>
          <w:tcPr>
            <w:tcW w:w="1000" w:type="pct"/>
            <w:gridSpan w:val="6"/>
            <w:tcMar>
              <w:left w:w="57" w:type="dxa"/>
              <w:right w:w="57" w:type="dxa"/>
            </w:tcMar>
            <w:vAlign w:val="center"/>
          </w:tcPr>
          <w:p w:rsidR="00EE4502" w:rsidRDefault="00FD45A3">
            <w:pPr>
              <w:widowControl/>
              <w:tabs>
                <w:tab w:val="left" w:pos="377"/>
              </w:tabs>
              <w:jc w:val="center"/>
              <w:rPr>
                <w:szCs w:val="21"/>
              </w:rPr>
            </w:pPr>
            <w:r>
              <w:rPr>
                <w:rFonts w:hint="eastAsia"/>
                <w:szCs w:val="21"/>
              </w:rPr>
              <w:t>57.80</w:t>
            </w:r>
          </w:p>
        </w:tc>
        <w:tc>
          <w:tcPr>
            <w:tcW w:w="1000" w:type="pct"/>
            <w:gridSpan w:val="5"/>
            <w:tcMar>
              <w:left w:w="57" w:type="dxa"/>
              <w:right w:w="57" w:type="dxa"/>
            </w:tcMar>
            <w:vAlign w:val="center"/>
          </w:tcPr>
          <w:p w:rsidR="00EE4502" w:rsidRDefault="00FD45A3">
            <w:pPr>
              <w:widowControl/>
              <w:tabs>
                <w:tab w:val="left" w:pos="377"/>
              </w:tabs>
              <w:jc w:val="center"/>
              <w:rPr>
                <w:szCs w:val="21"/>
              </w:rPr>
            </w:pPr>
            <w:r>
              <w:rPr>
                <w:rFonts w:hint="eastAsia"/>
                <w:szCs w:val="21"/>
              </w:rPr>
              <w:t>3.68</w:t>
            </w:r>
          </w:p>
        </w:tc>
        <w:tc>
          <w:tcPr>
            <w:tcW w:w="1000" w:type="pct"/>
            <w:gridSpan w:val="5"/>
            <w:tcMar>
              <w:left w:w="57" w:type="dxa"/>
              <w:right w:w="57" w:type="dxa"/>
            </w:tcMar>
            <w:vAlign w:val="center"/>
          </w:tcPr>
          <w:p w:rsidR="00EE4502" w:rsidRDefault="00FD45A3">
            <w:pPr>
              <w:widowControl/>
              <w:tabs>
                <w:tab w:val="left" w:pos="377"/>
              </w:tabs>
              <w:jc w:val="center"/>
              <w:rPr>
                <w:szCs w:val="21"/>
              </w:rPr>
            </w:pPr>
            <w:r>
              <w:rPr>
                <w:rFonts w:hint="eastAsia"/>
                <w:szCs w:val="21"/>
              </w:rPr>
              <w:t>-1.57</w:t>
            </w:r>
          </w:p>
        </w:tc>
        <w:tc>
          <w:tcPr>
            <w:tcW w:w="1000" w:type="pct"/>
            <w:gridSpan w:val="4"/>
            <w:tcMar>
              <w:left w:w="57" w:type="dxa"/>
              <w:right w:w="57" w:type="dxa"/>
            </w:tcMar>
            <w:vAlign w:val="center"/>
          </w:tcPr>
          <w:p w:rsidR="00EE4502" w:rsidRDefault="00FD45A3">
            <w:pPr>
              <w:widowControl/>
              <w:tabs>
                <w:tab w:val="left" w:pos="377"/>
              </w:tabs>
              <w:jc w:val="center"/>
              <w:rPr>
                <w:szCs w:val="21"/>
              </w:rPr>
            </w:pPr>
            <w:r>
              <w:rPr>
                <w:rFonts w:hint="eastAsia"/>
                <w:szCs w:val="21"/>
              </w:rPr>
              <w:t>5.25</w:t>
            </w:r>
          </w:p>
        </w:tc>
      </w:tr>
      <w:tr w:rsidR="00EE4502">
        <w:trPr>
          <w:cantSplit/>
          <w:trHeight w:val="397"/>
        </w:trPr>
        <w:tc>
          <w:tcPr>
            <w:tcW w:w="5000" w:type="pct"/>
            <w:gridSpan w:val="25"/>
            <w:tcMar>
              <w:left w:w="57" w:type="dxa"/>
              <w:right w:w="57" w:type="dxa"/>
            </w:tcMar>
            <w:vAlign w:val="center"/>
          </w:tcPr>
          <w:p w:rsidR="00EE4502" w:rsidRDefault="00FD45A3">
            <w:pPr>
              <w:widowControl/>
              <w:tabs>
                <w:tab w:val="left" w:pos="377"/>
              </w:tabs>
              <w:jc w:val="left"/>
              <w:rPr>
                <w:szCs w:val="21"/>
              </w:rPr>
            </w:pPr>
            <w:r>
              <w:rPr>
                <w:rFonts w:hint="eastAsia"/>
                <w:szCs w:val="21"/>
              </w:rPr>
              <w:t>井口：</w:t>
            </w:r>
            <w:r>
              <w:rPr>
                <w:rFonts w:hint="eastAsia"/>
                <w:szCs w:val="21"/>
              </w:rPr>
              <w:t>X=5010225.00</w:t>
            </w:r>
            <w:r>
              <w:rPr>
                <w:rFonts w:hint="eastAsia"/>
                <w:szCs w:val="21"/>
              </w:rPr>
              <w:t>；</w:t>
            </w:r>
            <w:r>
              <w:rPr>
                <w:rFonts w:hint="eastAsia"/>
                <w:szCs w:val="21"/>
              </w:rPr>
              <w:t>Y=15327310.00</w:t>
            </w:r>
          </w:p>
        </w:tc>
      </w:tr>
      <w:tr w:rsidR="00EE4502">
        <w:trPr>
          <w:cantSplit/>
          <w:trHeight w:val="397"/>
        </w:trPr>
        <w:tc>
          <w:tcPr>
            <w:tcW w:w="5000" w:type="pct"/>
            <w:gridSpan w:val="25"/>
            <w:tcMar>
              <w:left w:w="57" w:type="dxa"/>
              <w:right w:w="57" w:type="dxa"/>
            </w:tcMar>
            <w:vAlign w:val="center"/>
          </w:tcPr>
          <w:p w:rsidR="00EE4502" w:rsidRDefault="00FD45A3">
            <w:pPr>
              <w:widowControl/>
              <w:tabs>
                <w:tab w:val="left" w:pos="377"/>
              </w:tabs>
              <w:jc w:val="left"/>
              <w:rPr>
                <w:szCs w:val="21"/>
              </w:rPr>
            </w:pPr>
            <w:r>
              <w:rPr>
                <w:rFonts w:hint="eastAsia"/>
                <w:szCs w:val="21"/>
              </w:rPr>
              <w:t>靶点</w:t>
            </w:r>
            <w:r>
              <w:rPr>
                <w:rFonts w:hint="eastAsia"/>
                <w:szCs w:val="21"/>
              </w:rPr>
              <w:t>：</w:t>
            </w:r>
            <w:r>
              <w:rPr>
                <w:rFonts w:hint="eastAsia"/>
                <w:szCs w:val="21"/>
              </w:rPr>
              <w:t>AX=5010192Y=15327570</w:t>
            </w:r>
            <w:r>
              <w:rPr>
                <w:rFonts w:hint="eastAsia"/>
                <w:szCs w:val="21"/>
              </w:rPr>
              <w:t>垂深</w:t>
            </w:r>
            <w:r>
              <w:rPr>
                <w:rFonts w:hint="eastAsia"/>
                <w:szCs w:val="21"/>
              </w:rPr>
              <w:t>：</w:t>
            </w:r>
            <w:r>
              <w:rPr>
                <w:rFonts w:hint="eastAsia"/>
                <w:szCs w:val="21"/>
              </w:rPr>
              <w:t>980m</w:t>
            </w:r>
            <w:r>
              <w:rPr>
                <w:rFonts w:hint="eastAsia"/>
                <w:szCs w:val="21"/>
              </w:rPr>
              <w:t>闭合距</w:t>
            </w:r>
            <w:r>
              <w:rPr>
                <w:rFonts w:hint="eastAsia"/>
                <w:szCs w:val="21"/>
              </w:rPr>
              <w:t>：</w:t>
            </w:r>
            <w:r>
              <w:rPr>
                <w:rFonts w:hint="eastAsia"/>
                <w:szCs w:val="21"/>
              </w:rPr>
              <w:t>262.09m</w:t>
            </w:r>
            <w:r>
              <w:rPr>
                <w:rFonts w:hint="eastAsia"/>
                <w:szCs w:val="21"/>
              </w:rPr>
              <w:t>闭合方位</w:t>
            </w:r>
            <w:r>
              <w:rPr>
                <w:rFonts w:hint="eastAsia"/>
                <w:szCs w:val="21"/>
              </w:rPr>
              <w:t>：</w:t>
            </w:r>
            <w:r>
              <w:rPr>
                <w:rFonts w:hint="eastAsia"/>
                <w:szCs w:val="21"/>
              </w:rPr>
              <w:t>97.23</w:t>
            </w:r>
            <w:r>
              <w:rPr>
                <w:rFonts w:hint="eastAsia"/>
                <w:szCs w:val="21"/>
              </w:rPr>
              <w:t>°靶半高</w:t>
            </w:r>
            <w:r>
              <w:rPr>
                <w:rFonts w:hint="eastAsia"/>
                <w:szCs w:val="21"/>
              </w:rPr>
              <w:t>：</w:t>
            </w:r>
            <w:r>
              <w:rPr>
                <w:rFonts w:hint="eastAsia"/>
                <w:szCs w:val="21"/>
              </w:rPr>
              <w:t>2m</w:t>
            </w:r>
            <w:r>
              <w:rPr>
                <w:rFonts w:hint="eastAsia"/>
                <w:szCs w:val="21"/>
              </w:rPr>
              <w:t>靶半宽</w:t>
            </w:r>
            <w:r>
              <w:rPr>
                <w:rFonts w:hint="eastAsia"/>
                <w:szCs w:val="21"/>
              </w:rPr>
              <w:t>：</w:t>
            </w:r>
            <w:r>
              <w:rPr>
                <w:rFonts w:hint="eastAsia"/>
                <w:szCs w:val="21"/>
              </w:rPr>
              <w:t>5m</w:t>
            </w:r>
          </w:p>
          <w:p w:rsidR="00EE4502" w:rsidRDefault="00FD45A3">
            <w:pPr>
              <w:widowControl/>
              <w:tabs>
                <w:tab w:val="left" w:pos="377"/>
              </w:tabs>
              <w:jc w:val="left"/>
              <w:rPr>
                <w:szCs w:val="21"/>
              </w:rPr>
            </w:pPr>
            <w:r>
              <w:rPr>
                <w:rFonts w:hint="eastAsia"/>
                <w:szCs w:val="21"/>
              </w:rPr>
              <w:t>靶点</w:t>
            </w:r>
            <w:r>
              <w:rPr>
                <w:rFonts w:hint="eastAsia"/>
                <w:szCs w:val="21"/>
              </w:rPr>
              <w:t>：</w:t>
            </w:r>
            <w:r>
              <w:rPr>
                <w:rFonts w:hint="eastAsia"/>
                <w:szCs w:val="21"/>
              </w:rPr>
              <w:t>BX=5009938Y=15328058</w:t>
            </w:r>
            <w:r>
              <w:rPr>
                <w:rFonts w:hint="eastAsia"/>
                <w:szCs w:val="21"/>
              </w:rPr>
              <w:t>垂深</w:t>
            </w:r>
            <w:r>
              <w:rPr>
                <w:rFonts w:hint="eastAsia"/>
                <w:szCs w:val="21"/>
              </w:rPr>
              <w:t>：</w:t>
            </w:r>
            <w:r>
              <w:rPr>
                <w:rFonts w:hint="eastAsia"/>
                <w:szCs w:val="21"/>
              </w:rPr>
              <w:t>1040m</w:t>
            </w:r>
            <w:r>
              <w:rPr>
                <w:rFonts w:hint="eastAsia"/>
                <w:szCs w:val="21"/>
              </w:rPr>
              <w:t>闭合距</w:t>
            </w:r>
            <w:r>
              <w:rPr>
                <w:rFonts w:hint="eastAsia"/>
                <w:szCs w:val="21"/>
              </w:rPr>
              <w:t>：</w:t>
            </w:r>
            <w:r>
              <w:rPr>
                <w:rFonts w:hint="eastAsia"/>
                <w:szCs w:val="21"/>
              </w:rPr>
              <w:t>801.17m</w:t>
            </w:r>
            <w:r>
              <w:rPr>
                <w:rFonts w:hint="eastAsia"/>
                <w:szCs w:val="21"/>
              </w:rPr>
              <w:t>闭合方位</w:t>
            </w:r>
            <w:r>
              <w:rPr>
                <w:rFonts w:hint="eastAsia"/>
                <w:szCs w:val="21"/>
              </w:rPr>
              <w:t>：</w:t>
            </w:r>
            <w:r>
              <w:rPr>
                <w:rFonts w:hint="eastAsia"/>
                <w:szCs w:val="21"/>
              </w:rPr>
              <w:t>110.99</w:t>
            </w:r>
            <w:r>
              <w:rPr>
                <w:rFonts w:hint="eastAsia"/>
                <w:szCs w:val="21"/>
              </w:rPr>
              <w:t>°靶半高</w:t>
            </w:r>
            <w:r>
              <w:rPr>
                <w:rFonts w:hint="eastAsia"/>
                <w:szCs w:val="21"/>
              </w:rPr>
              <w:t>：</w:t>
            </w:r>
            <w:r>
              <w:rPr>
                <w:rFonts w:hint="eastAsia"/>
                <w:szCs w:val="21"/>
              </w:rPr>
              <w:t>2m</w:t>
            </w:r>
            <w:r>
              <w:rPr>
                <w:rFonts w:hint="eastAsia"/>
                <w:szCs w:val="21"/>
              </w:rPr>
              <w:t>靶半宽</w:t>
            </w:r>
            <w:r>
              <w:rPr>
                <w:rFonts w:hint="eastAsia"/>
                <w:szCs w:val="21"/>
              </w:rPr>
              <w:t>：</w:t>
            </w:r>
            <w:r>
              <w:rPr>
                <w:rFonts w:hint="eastAsia"/>
                <w:szCs w:val="21"/>
              </w:rPr>
              <w:t>5m</w:t>
            </w:r>
          </w:p>
        </w:tc>
      </w:tr>
      <w:tr w:rsidR="00EE4502">
        <w:trPr>
          <w:cantSplit/>
          <w:trHeight w:val="397"/>
        </w:trPr>
        <w:tc>
          <w:tcPr>
            <w:tcW w:w="5000" w:type="pct"/>
            <w:gridSpan w:val="25"/>
            <w:tcMar>
              <w:left w:w="57" w:type="dxa"/>
              <w:right w:w="57" w:type="dxa"/>
            </w:tcMar>
            <w:vAlign w:val="center"/>
          </w:tcPr>
          <w:p w:rsidR="00EE4502" w:rsidRDefault="00FD45A3">
            <w:pPr>
              <w:widowControl/>
              <w:tabs>
                <w:tab w:val="left" w:pos="377"/>
              </w:tabs>
              <w:jc w:val="center"/>
              <w:rPr>
                <w:szCs w:val="21"/>
              </w:rPr>
            </w:pPr>
            <w:r>
              <w:rPr>
                <w:rFonts w:hint="eastAsia"/>
                <w:szCs w:val="21"/>
              </w:rPr>
              <w:t>轨道参数</w:t>
            </w:r>
          </w:p>
        </w:tc>
      </w:tr>
      <w:tr w:rsidR="00EE4502">
        <w:trPr>
          <w:cantSplit/>
          <w:trHeight w:val="397"/>
        </w:trPr>
        <w:tc>
          <w:tcPr>
            <w:tcW w:w="451"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井深</w:t>
            </w:r>
          </w:p>
          <w:p w:rsidR="00EE4502" w:rsidRDefault="00FD45A3">
            <w:pPr>
              <w:widowControl/>
              <w:tabs>
                <w:tab w:val="left" w:pos="377"/>
              </w:tabs>
              <w:jc w:val="center"/>
              <w:rPr>
                <w:szCs w:val="21"/>
              </w:rPr>
            </w:pPr>
            <w:r>
              <w:rPr>
                <w:rFonts w:hint="eastAsia"/>
                <w:szCs w:val="21"/>
              </w:rPr>
              <w:t>（</w:t>
            </w:r>
            <w:r>
              <w:rPr>
                <w:rFonts w:hint="eastAsia"/>
                <w:szCs w:val="21"/>
              </w:rPr>
              <w:t>m</w:t>
            </w:r>
            <w:r>
              <w:rPr>
                <w:rFonts w:hint="eastAsia"/>
                <w:szCs w:val="21"/>
              </w:rPr>
              <w:t>)</w:t>
            </w:r>
          </w:p>
        </w:tc>
        <w:tc>
          <w:tcPr>
            <w:tcW w:w="450"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井斜</w:t>
            </w:r>
          </w:p>
          <w:p w:rsidR="00EE4502" w:rsidRDefault="00FD45A3">
            <w:pPr>
              <w:widowControl/>
              <w:tabs>
                <w:tab w:val="left" w:pos="377"/>
              </w:tabs>
              <w:jc w:val="center"/>
              <w:rPr>
                <w:szCs w:val="21"/>
              </w:rPr>
            </w:pPr>
            <w:r>
              <w:rPr>
                <w:rFonts w:hint="eastAsia"/>
                <w:szCs w:val="21"/>
              </w:rPr>
              <w:t>（°）</w:t>
            </w:r>
          </w:p>
        </w:tc>
        <w:tc>
          <w:tcPr>
            <w:tcW w:w="451" w:type="pct"/>
            <w:gridSpan w:val="3"/>
            <w:tcMar>
              <w:left w:w="57" w:type="dxa"/>
              <w:right w:w="57" w:type="dxa"/>
            </w:tcMar>
            <w:vAlign w:val="center"/>
          </w:tcPr>
          <w:p w:rsidR="00EE4502" w:rsidRDefault="00FD45A3">
            <w:pPr>
              <w:widowControl/>
              <w:tabs>
                <w:tab w:val="left" w:pos="377"/>
              </w:tabs>
              <w:jc w:val="center"/>
              <w:rPr>
                <w:szCs w:val="21"/>
              </w:rPr>
            </w:pPr>
            <w:r>
              <w:rPr>
                <w:rFonts w:hint="eastAsia"/>
                <w:szCs w:val="21"/>
              </w:rPr>
              <w:t>方位</w:t>
            </w:r>
          </w:p>
          <w:p w:rsidR="00EE4502" w:rsidRDefault="00FD45A3">
            <w:pPr>
              <w:widowControl/>
              <w:tabs>
                <w:tab w:val="left" w:pos="377"/>
              </w:tabs>
              <w:jc w:val="center"/>
              <w:rPr>
                <w:szCs w:val="21"/>
              </w:rPr>
            </w:pPr>
            <w:r>
              <w:rPr>
                <w:rFonts w:hint="eastAsia"/>
                <w:szCs w:val="21"/>
              </w:rPr>
              <w:t>（°）</w:t>
            </w:r>
          </w:p>
        </w:tc>
        <w:tc>
          <w:tcPr>
            <w:tcW w:w="450"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垂深</w:t>
            </w:r>
          </w:p>
          <w:p w:rsidR="00EE4502" w:rsidRDefault="00FD45A3">
            <w:pPr>
              <w:widowControl/>
              <w:tabs>
                <w:tab w:val="left" w:pos="377"/>
              </w:tabs>
              <w:jc w:val="center"/>
              <w:rPr>
                <w:szCs w:val="21"/>
              </w:rPr>
            </w:pPr>
            <w:r>
              <w:rPr>
                <w:rFonts w:hint="eastAsia"/>
                <w:szCs w:val="21"/>
              </w:rPr>
              <w:t>（</w:t>
            </w:r>
            <w:r>
              <w:rPr>
                <w:rFonts w:hint="eastAsia"/>
                <w:szCs w:val="21"/>
              </w:rPr>
              <w:t>m</w:t>
            </w:r>
            <w:r>
              <w:rPr>
                <w:rFonts w:hint="eastAsia"/>
                <w:szCs w:val="21"/>
              </w:rPr>
              <w:t>)</w:t>
            </w:r>
          </w:p>
        </w:tc>
        <w:tc>
          <w:tcPr>
            <w:tcW w:w="559" w:type="pct"/>
            <w:gridSpan w:val="4"/>
            <w:tcMar>
              <w:left w:w="57" w:type="dxa"/>
              <w:right w:w="57" w:type="dxa"/>
            </w:tcMar>
            <w:vAlign w:val="center"/>
          </w:tcPr>
          <w:p w:rsidR="00EE4502" w:rsidRDefault="00FD45A3">
            <w:pPr>
              <w:widowControl/>
              <w:tabs>
                <w:tab w:val="left" w:pos="377"/>
              </w:tabs>
              <w:jc w:val="center"/>
              <w:rPr>
                <w:szCs w:val="21"/>
              </w:rPr>
            </w:pPr>
            <w:r>
              <w:rPr>
                <w:rFonts w:hint="eastAsia"/>
                <w:szCs w:val="21"/>
              </w:rPr>
              <w:t>水平位移</w:t>
            </w:r>
          </w:p>
          <w:p w:rsidR="00EE4502" w:rsidRDefault="00FD45A3">
            <w:pPr>
              <w:widowControl/>
              <w:tabs>
                <w:tab w:val="left" w:pos="377"/>
              </w:tabs>
              <w:jc w:val="center"/>
              <w:rPr>
                <w:szCs w:val="21"/>
              </w:rPr>
            </w:pPr>
            <w:r>
              <w:rPr>
                <w:rFonts w:hint="eastAsia"/>
                <w:szCs w:val="21"/>
              </w:rPr>
              <w:t>（</w:t>
            </w:r>
            <w:r>
              <w:rPr>
                <w:rFonts w:hint="eastAsia"/>
                <w:szCs w:val="21"/>
              </w:rPr>
              <w:t>m</w:t>
            </w:r>
            <w:r>
              <w:rPr>
                <w:rFonts w:hint="eastAsia"/>
                <w:szCs w:val="21"/>
              </w:rPr>
              <w:t>)</w:t>
            </w:r>
          </w:p>
        </w:tc>
        <w:tc>
          <w:tcPr>
            <w:tcW w:w="451"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南北</w:t>
            </w:r>
          </w:p>
          <w:p w:rsidR="00EE4502" w:rsidRDefault="00FD45A3">
            <w:pPr>
              <w:widowControl/>
              <w:tabs>
                <w:tab w:val="left" w:pos="377"/>
              </w:tabs>
              <w:jc w:val="center"/>
              <w:rPr>
                <w:szCs w:val="21"/>
              </w:rPr>
            </w:pPr>
            <w:r>
              <w:rPr>
                <w:rFonts w:hint="eastAsia"/>
                <w:szCs w:val="21"/>
              </w:rPr>
              <w:t>（</w:t>
            </w:r>
            <w:r>
              <w:rPr>
                <w:rFonts w:hint="eastAsia"/>
                <w:szCs w:val="21"/>
              </w:rPr>
              <w:t>m</w:t>
            </w:r>
            <w:r>
              <w:rPr>
                <w:rFonts w:hint="eastAsia"/>
                <w:szCs w:val="21"/>
              </w:rPr>
              <w:t>)</w:t>
            </w:r>
          </w:p>
        </w:tc>
        <w:tc>
          <w:tcPr>
            <w:tcW w:w="430" w:type="pct"/>
            <w:gridSpan w:val="3"/>
            <w:tcMar>
              <w:left w:w="57" w:type="dxa"/>
              <w:right w:w="57" w:type="dxa"/>
            </w:tcMar>
            <w:vAlign w:val="center"/>
          </w:tcPr>
          <w:p w:rsidR="00EE4502" w:rsidRDefault="00FD45A3">
            <w:pPr>
              <w:widowControl/>
              <w:tabs>
                <w:tab w:val="left" w:pos="377"/>
              </w:tabs>
              <w:jc w:val="center"/>
              <w:rPr>
                <w:szCs w:val="21"/>
              </w:rPr>
            </w:pPr>
            <w:r>
              <w:rPr>
                <w:rFonts w:hint="eastAsia"/>
                <w:szCs w:val="21"/>
              </w:rPr>
              <w:t>东西</w:t>
            </w:r>
          </w:p>
          <w:p w:rsidR="00EE4502" w:rsidRDefault="00FD45A3">
            <w:pPr>
              <w:widowControl/>
              <w:tabs>
                <w:tab w:val="left" w:pos="377"/>
              </w:tabs>
              <w:jc w:val="center"/>
              <w:rPr>
                <w:szCs w:val="21"/>
              </w:rPr>
            </w:pPr>
            <w:r>
              <w:rPr>
                <w:rFonts w:hint="eastAsia"/>
                <w:szCs w:val="21"/>
              </w:rPr>
              <w:t>（</w:t>
            </w:r>
            <w:r>
              <w:rPr>
                <w:rFonts w:hint="eastAsia"/>
                <w:szCs w:val="21"/>
              </w:rPr>
              <w:t>m</w:t>
            </w:r>
            <w:r>
              <w:rPr>
                <w:rFonts w:hint="eastAsia"/>
                <w:szCs w:val="21"/>
              </w:rPr>
              <w:t>)</w:t>
            </w:r>
          </w:p>
        </w:tc>
        <w:tc>
          <w:tcPr>
            <w:tcW w:w="524"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狗腿度</w:t>
            </w:r>
          </w:p>
          <w:p w:rsidR="00EE4502" w:rsidRDefault="00FD45A3">
            <w:pPr>
              <w:widowControl/>
              <w:tabs>
                <w:tab w:val="left" w:pos="377"/>
              </w:tabs>
              <w:jc w:val="center"/>
              <w:rPr>
                <w:szCs w:val="21"/>
              </w:rPr>
            </w:pPr>
            <w:r>
              <w:rPr>
                <w:rFonts w:hint="eastAsia"/>
                <w:szCs w:val="21"/>
              </w:rPr>
              <w:t>（°</w:t>
            </w:r>
            <w:r>
              <w:rPr>
                <w:rFonts w:hint="eastAsia"/>
                <w:szCs w:val="21"/>
              </w:rPr>
              <w:t>/30m</w:t>
            </w:r>
            <w:r>
              <w:rPr>
                <w:rFonts w:hint="eastAsia"/>
                <w:szCs w:val="21"/>
              </w:rPr>
              <w:t>)</w:t>
            </w:r>
          </w:p>
        </w:tc>
        <w:tc>
          <w:tcPr>
            <w:tcW w:w="524" w:type="pct"/>
            <w:gridSpan w:val="3"/>
            <w:tcMar>
              <w:left w:w="57" w:type="dxa"/>
              <w:right w:w="57" w:type="dxa"/>
            </w:tcMar>
            <w:vAlign w:val="center"/>
          </w:tcPr>
          <w:p w:rsidR="00EE4502" w:rsidRDefault="00FD45A3">
            <w:pPr>
              <w:widowControl/>
              <w:tabs>
                <w:tab w:val="left" w:pos="377"/>
              </w:tabs>
              <w:jc w:val="center"/>
              <w:rPr>
                <w:szCs w:val="21"/>
              </w:rPr>
            </w:pPr>
            <w:r>
              <w:rPr>
                <w:rFonts w:hint="eastAsia"/>
                <w:szCs w:val="21"/>
              </w:rPr>
              <w:t>工具面</w:t>
            </w:r>
          </w:p>
          <w:p w:rsidR="00EE4502" w:rsidRDefault="00FD45A3">
            <w:pPr>
              <w:widowControl/>
              <w:tabs>
                <w:tab w:val="left" w:pos="377"/>
              </w:tabs>
              <w:jc w:val="center"/>
              <w:rPr>
                <w:szCs w:val="21"/>
              </w:rPr>
            </w:pPr>
            <w:r>
              <w:rPr>
                <w:rFonts w:hint="eastAsia"/>
                <w:szCs w:val="21"/>
              </w:rPr>
              <w:t>（°）</w:t>
            </w:r>
          </w:p>
        </w:tc>
        <w:tc>
          <w:tcPr>
            <w:tcW w:w="704"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靶点</w:t>
            </w:r>
          </w:p>
        </w:tc>
      </w:tr>
      <w:tr w:rsidR="00EE4502">
        <w:trPr>
          <w:cantSplit/>
          <w:trHeight w:val="397"/>
        </w:trPr>
        <w:tc>
          <w:tcPr>
            <w:tcW w:w="451"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450"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451" w:type="pct"/>
            <w:gridSpan w:val="3"/>
            <w:tcMar>
              <w:left w:w="57" w:type="dxa"/>
              <w:right w:w="57" w:type="dxa"/>
            </w:tcMar>
            <w:vAlign w:val="center"/>
          </w:tcPr>
          <w:p w:rsidR="00EE4502" w:rsidRDefault="00FD45A3">
            <w:pPr>
              <w:widowControl/>
              <w:tabs>
                <w:tab w:val="left" w:pos="377"/>
              </w:tabs>
              <w:jc w:val="center"/>
              <w:rPr>
                <w:szCs w:val="21"/>
              </w:rPr>
            </w:pPr>
            <w:r>
              <w:rPr>
                <w:rFonts w:hint="eastAsia"/>
                <w:szCs w:val="21"/>
              </w:rPr>
              <w:t>0</w:t>
            </w:r>
          </w:p>
        </w:tc>
        <w:tc>
          <w:tcPr>
            <w:tcW w:w="450"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559" w:type="pct"/>
            <w:gridSpan w:val="4"/>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451"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430" w:type="pct"/>
            <w:gridSpan w:val="3"/>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524"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524" w:type="pct"/>
            <w:gridSpan w:val="3"/>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704" w:type="pct"/>
            <w:gridSpan w:val="2"/>
            <w:tcMar>
              <w:left w:w="57" w:type="dxa"/>
              <w:right w:w="57" w:type="dxa"/>
            </w:tcMar>
            <w:vAlign w:val="center"/>
          </w:tcPr>
          <w:p w:rsidR="00EE4502" w:rsidRDefault="00EE4502">
            <w:pPr>
              <w:widowControl/>
              <w:tabs>
                <w:tab w:val="left" w:pos="377"/>
              </w:tabs>
              <w:jc w:val="center"/>
              <w:rPr>
                <w:szCs w:val="21"/>
              </w:rPr>
            </w:pPr>
          </w:p>
        </w:tc>
      </w:tr>
      <w:tr w:rsidR="00EE4502">
        <w:trPr>
          <w:cantSplit/>
          <w:trHeight w:val="397"/>
        </w:trPr>
        <w:tc>
          <w:tcPr>
            <w:tcW w:w="451"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710.00</w:t>
            </w:r>
          </w:p>
        </w:tc>
        <w:tc>
          <w:tcPr>
            <w:tcW w:w="450"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451" w:type="pct"/>
            <w:gridSpan w:val="3"/>
            <w:tcMar>
              <w:left w:w="57" w:type="dxa"/>
              <w:right w:w="57" w:type="dxa"/>
            </w:tcMar>
            <w:vAlign w:val="center"/>
          </w:tcPr>
          <w:p w:rsidR="00EE4502" w:rsidRDefault="00FD45A3">
            <w:pPr>
              <w:widowControl/>
              <w:tabs>
                <w:tab w:val="left" w:pos="377"/>
              </w:tabs>
              <w:jc w:val="center"/>
              <w:rPr>
                <w:szCs w:val="21"/>
              </w:rPr>
            </w:pPr>
            <w:r>
              <w:rPr>
                <w:rFonts w:hint="eastAsia"/>
                <w:szCs w:val="21"/>
              </w:rPr>
              <w:t>85.59</w:t>
            </w:r>
          </w:p>
        </w:tc>
        <w:tc>
          <w:tcPr>
            <w:tcW w:w="450"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710.00</w:t>
            </w:r>
          </w:p>
        </w:tc>
        <w:tc>
          <w:tcPr>
            <w:tcW w:w="559" w:type="pct"/>
            <w:gridSpan w:val="4"/>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451"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430" w:type="pct"/>
            <w:gridSpan w:val="3"/>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524"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524" w:type="pct"/>
            <w:gridSpan w:val="3"/>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704" w:type="pct"/>
            <w:gridSpan w:val="2"/>
            <w:tcMar>
              <w:left w:w="57" w:type="dxa"/>
              <w:right w:w="57" w:type="dxa"/>
            </w:tcMar>
            <w:vAlign w:val="center"/>
          </w:tcPr>
          <w:p w:rsidR="00EE4502" w:rsidRDefault="00EE4502">
            <w:pPr>
              <w:widowControl/>
              <w:tabs>
                <w:tab w:val="left" w:pos="377"/>
              </w:tabs>
              <w:jc w:val="center"/>
              <w:rPr>
                <w:szCs w:val="21"/>
              </w:rPr>
            </w:pPr>
          </w:p>
        </w:tc>
      </w:tr>
      <w:tr w:rsidR="00EE4502">
        <w:trPr>
          <w:cantSplit/>
          <w:trHeight w:val="397"/>
        </w:trPr>
        <w:tc>
          <w:tcPr>
            <w:tcW w:w="451"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934.28</w:t>
            </w:r>
          </w:p>
        </w:tc>
        <w:tc>
          <w:tcPr>
            <w:tcW w:w="450"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51.04</w:t>
            </w:r>
          </w:p>
        </w:tc>
        <w:tc>
          <w:tcPr>
            <w:tcW w:w="451" w:type="pct"/>
            <w:gridSpan w:val="3"/>
            <w:tcMar>
              <w:left w:w="57" w:type="dxa"/>
              <w:right w:w="57" w:type="dxa"/>
            </w:tcMar>
            <w:vAlign w:val="center"/>
          </w:tcPr>
          <w:p w:rsidR="00EE4502" w:rsidRDefault="00FD45A3">
            <w:pPr>
              <w:widowControl/>
              <w:tabs>
                <w:tab w:val="left" w:pos="377"/>
              </w:tabs>
              <w:jc w:val="center"/>
              <w:rPr>
                <w:szCs w:val="21"/>
              </w:rPr>
            </w:pPr>
            <w:r>
              <w:rPr>
                <w:rFonts w:hint="eastAsia"/>
                <w:szCs w:val="21"/>
              </w:rPr>
              <w:t>85.59</w:t>
            </w:r>
          </w:p>
        </w:tc>
        <w:tc>
          <w:tcPr>
            <w:tcW w:w="450"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905.78</w:t>
            </w:r>
          </w:p>
        </w:tc>
        <w:tc>
          <w:tcPr>
            <w:tcW w:w="559" w:type="pct"/>
            <w:gridSpan w:val="4"/>
            <w:tcMar>
              <w:left w:w="57" w:type="dxa"/>
              <w:right w:w="57" w:type="dxa"/>
            </w:tcMar>
            <w:vAlign w:val="center"/>
          </w:tcPr>
          <w:p w:rsidR="00EE4502" w:rsidRDefault="00FD45A3">
            <w:pPr>
              <w:widowControl/>
              <w:tabs>
                <w:tab w:val="left" w:pos="377"/>
              </w:tabs>
              <w:jc w:val="center"/>
              <w:rPr>
                <w:szCs w:val="21"/>
              </w:rPr>
            </w:pPr>
            <w:r>
              <w:rPr>
                <w:rFonts w:hint="eastAsia"/>
                <w:szCs w:val="21"/>
              </w:rPr>
              <w:t>93.46</w:t>
            </w:r>
          </w:p>
        </w:tc>
        <w:tc>
          <w:tcPr>
            <w:tcW w:w="451"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7.19</w:t>
            </w:r>
          </w:p>
        </w:tc>
        <w:tc>
          <w:tcPr>
            <w:tcW w:w="430" w:type="pct"/>
            <w:gridSpan w:val="3"/>
            <w:tcMar>
              <w:left w:w="57" w:type="dxa"/>
              <w:right w:w="57" w:type="dxa"/>
            </w:tcMar>
            <w:vAlign w:val="center"/>
          </w:tcPr>
          <w:p w:rsidR="00EE4502" w:rsidRDefault="00FD45A3">
            <w:pPr>
              <w:widowControl/>
              <w:tabs>
                <w:tab w:val="left" w:pos="377"/>
              </w:tabs>
              <w:jc w:val="center"/>
              <w:rPr>
                <w:szCs w:val="21"/>
              </w:rPr>
            </w:pPr>
            <w:r>
              <w:rPr>
                <w:rFonts w:hint="eastAsia"/>
                <w:szCs w:val="21"/>
              </w:rPr>
              <w:t>93.18</w:t>
            </w:r>
          </w:p>
        </w:tc>
        <w:tc>
          <w:tcPr>
            <w:tcW w:w="524"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6.83</w:t>
            </w:r>
          </w:p>
        </w:tc>
        <w:tc>
          <w:tcPr>
            <w:tcW w:w="524" w:type="pct"/>
            <w:gridSpan w:val="3"/>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704" w:type="pct"/>
            <w:gridSpan w:val="2"/>
            <w:tcMar>
              <w:left w:w="57" w:type="dxa"/>
              <w:right w:w="57" w:type="dxa"/>
            </w:tcMar>
            <w:vAlign w:val="center"/>
          </w:tcPr>
          <w:p w:rsidR="00EE4502" w:rsidRDefault="00EE4502">
            <w:pPr>
              <w:widowControl/>
              <w:tabs>
                <w:tab w:val="left" w:pos="377"/>
              </w:tabs>
              <w:jc w:val="center"/>
              <w:rPr>
                <w:szCs w:val="21"/>
              </w:rPr>
            </w:pPr>
          </w:p>
        </w:tc>
      </w:tr>
      <w:tr w:rsidR="00EE4502">
        <w:trPr>
          <w:cantSplit/>
          <w:trHeight w:val="397"/>
        </w:trPr>
        <w:tc>
          <w:tcPr>
            <w:tcW w:w="451"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1125.82</w:t>
            </w:r>
          </w:p>
        </w:tc>
        <w:tc>
          <w:tcPr>
            <w:tcW w:w="450"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83.78</w:t>
            </w:r>
          </w:p>
        </w:tc>
        <w:tc>
          <w:tcPr>
            <w:tcW w:w="451" w:type="pct"/>
            <w:gridSpan w:val="3"/>
            <w:tcMar>
              <w:left w:w="57" w:type="dxa"/>
              <w:right w:w="57" w:type="dxa"/>
            </w:tcMar>
            <w:vAlign w:val="center"/>
          </w:tcPr>
          <w:p w:rsidR="00EE4502" w:rsidRDefault="00FD45A3">
            <w:pPr>
              <w:widowControl/>
              <w:tabs>
                <w:tab w:val="left" w:pos="377"/>
              </w:tabs>
              <w:jc w:val="center"/>
              <w:rPr>
                <w:szCs w:val="21"/>
              </w:rPr>
            </w:pPr>
            <w:r>
              <w:rPr>
                <w:rFonts w:hint="eastAsia"/>
                <w:szCs w:val="21"/>
              </w:rPr>
              <w:t>117.50</w:t>
            </w:r>
          </w:p>
        </w:tc>
        <w:tc>
          <w:tcPr>
            <w:tcW w:w="450"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980.00</w:t>
            </w:r>
          </w:p>
        </w:tc>
        <w:tc>
          <w:tcPr>
            <w:tcW w:w="559" w:type="pct"/>
            <w:gridSpan w:val="4"/>
            <w:tcMar>
              <w:left w:w="57" w:type="dxa"/>
              <w:right w:w="57" w:type="dxa"/>
            </w:tcMar>
            <w:vAlign w:val="center"/>
          </w:tcPr>
          <w:p w:rsidR="00EE4502" w:rsidRDefault="00FD45A3">
            <w:pPr>
              <w:widowControl/>
              <w:tabs>
                <w:tab w:val="left" w:pos="377"/>
              </w:tabs>
              <w:jc w:val="center"/>
              <w:rPr>
                <w:szCs w:val="21"/>
              </w:rPr>
            </w:pPr>
            <w:r>
              <w:rPr>
                <w:rFonts w:hint="eastAsia"/>
                <w:szCs w:val="21"/>
              </w:rPr>
              <w:t>262.09</w:t>
            </w:r>
          </w:p>
        </w:tc>
        <w:tc>
          <w:tcPr>
            <w:tcW w:w="451"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-33.00</w:t>
            </w:r>
          </w:p>
        </w:tc>
        <w:tc>
          <w:tcPr>
            <w:tcW w:w="430" w:type="pct"/>
            <w:gridSpan w:val="3"/>
            <w:tcMar>
              <w:left w:w="57" w:type="dxa"/>
              <w:right w:w="57" w:type="dxa"/>
            </w:tcMar>
            <w:vAlign w:val="center"/>
          </w:tcPr>
          <w:p w:rsidR="00EE4502" w:rsidRDefault="00FD45A3">
            <w:pPr>
              <w:widowControl/>
              <w:tabs>
                <w:tab w:val="left" w:pos="377"/>
              </w:tabs>
              <w:jc w:val="center"/>
              <w:rPr>
                <w:szCs w:val="21"/>
              </w:rPr>
            </w:pPr>
            <w:r>
              <w:rPr>
                <w:rFonts w:hint="eastAsia"/>
                <w:szCs w:val="21"/>
              </w:rPr>
              <w:t>260.00</w:t>
            </w:r>
          </w:p>
        </w:tc>
        <w:tc>
          <w:tcPr>
            <w:tcW w:w="524"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6.83</w:t>
            </w:r>
          </w:p>
        </w:tc>
        <w:tc>
          <w:tcPr>
            <w:tcW w:w="524" w:type="pct"/>
            <w:gridSpan w:val="3"/>
            <w:tcMar>
              <w:left w:w="57" w:type="dxa"/>
              <w:right w:w="57" w:type="dxa"/>
            </w:tcMar>
            <w:vAlign w:val="center"/>
          </w:tcPr>
          <w:p w:rsidR="00EE4502" w:rsidRDefault="00FD45A3">
            <w:pPr>
              <w:widowControl/>
              <w:tabs>
                <w:tab w:val="left" w:pos="377"/>
              </w:tabs>
              <w:jc w:val="center"/>
              <w:rPr>
                <w:szCs w:val="21"/>
              </w:rPr>
            </w:pPr>
            <w:r>
              <w:rPr>
                <w:rFonts w:hint="eastAsia"/>
                <w:szCs w:val="21"/>
              </w:rPr>
              <w:t>36.59</w:t>
            </w:r>
          </w:p>
        </w:tc>
        <w:tc>
          <w:tcPr>
            <w:tcW w:w="704"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A</w:t>
            </w:r>
          </w:p>
        </w:tc>
      </w:tr>
      <w:tr w:rsidR="00EE4502">
        <w:trPr>
          <w:cantSplit/>
          <w:trHeight w:val="397"/>
        </w:trPr>
        <w:tc>
          <w:tcPr>
            <w:tcW w:w="451"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lastRenderedPageBreak/>
              <w:t>1679.23</w:t>
            </w:r>
          </w:p>
        </w:tc>
        <w:tc>
          <w:tcPr>
            <w:tcW w:w="450"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83.78</w:t>
            </w:r>
          </w:p>
        </w:tc>
        <w:tc>
          <w:tcPr>
            <w:tcW w:w="451" w:type="pct"/>
            <w:gridSpan w:val="3"/>
            <w:tcMar>
              <w:left w:w="57" w:type="dxa"/>
              <w:right w:w="57" w:type="dxa"/>
            </w:tcMar>
            <w:vAlign w:val="center"/>
          </w:tcPr>
          <w:p w:rsidR="00EE4502" w:rsidRDefault="00FD45A3">
            <w:pPr>
              <w:widowControl/>
              <w:tabs>
                <w:tab w:val="left" w:pos="377"/>
              </w:tabs>
              <w:jc w:val="center"/>
              <w:rPr>
                <w:szCs w:val="21"/>
              </w:rPr>
            </w:pPr>
            <w:r>
              <w:rPr>
                <w:rFonts w:hint="eastAsia"/>
                <w:szCs w:val="21"/>
              </w:rPr>
              <w:t>117.50</w:t>
            </w:r>
          </w:p>
        </w:tc>
        <w:tc>
          <w:tcPr>
            <w:tcW w:w="450"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1040.00</w:t>
            </w:r>
          </w:p>
        </w:tc>
        <w:tc>
          <w:tcPr>
            <w:tcW w:w="559" w:type="pct"/>
            <w:gridSpan w:val="4"/>
            <w:tcMar>
              <w:left w:w="57" w:type="dxa"/>
              <w:right w:w="57" w:type="dxa"/>
            </w:tcMar>
            <w:vAlign w:val="center"/>
          </w:tcPr>
          <w:p w:rsidR="00EE4502" w:rsidRDefault="00FD45A3">
            <w:pPr>
              <w:widowControl/>
              <w:tabs>
                <w:tab w:val="left" w:pos="377"/>
              </w:tabs>
              <w:jc w:val="center"/>
              <w:rPr>
                <w:szCs w:val="21"/>
              </w:rPr>
            </w:pPr>
            <w:r>
              <w:rPr>
                <w:rFonts w:hint="eastAsia"/>
                <w:szCs w:val="21"/>
              </w:rPr>
              <w:t>801.17</w:t>
            </w:r>
          </w:p>
        </w:tc>
        <w:tc>
          <w:tcPr>
            <w:tcW w:w="451"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-287.00</w:t>
            </w:r>
          </w:p>
        </w:tc>
        <w:tc>
          <w:tcPr>
            <w:tcW w:w="430" w:type="pct"/>
            <w:gridSpan w:val="3"/>
            <w:tcMar>
              <w:left w:w="57" w:type="dxa"/>
              <w:right w:w="57" w:type="dxa"/>
            </w:tcMar>
            <w:vAlign w:val="center"/>
          </w:tcPr>
          <w:p w:rsidR="00EE4502" w:rsidRDefault="00FD45A3">
            <w:pPr>
              <w:widowControl/>
              <w:tabs>
                <w:tab w:val="left" w:pos="377"/>
              </w:tabs>
              <w:jc w:val="center"/>
              <w:rPr>
                <w:szCs w:val="21"/>
              </w:rPr>
            </w:pPr>
            <w:r>
              <w:rPr>
                <w:rFonts w:hint="eastAsia"/>
                <w:szCs w:val="21"/>
              </w:rPr>
              <w:t>748.00</w:t>
            </w:r>
          </w:p>
        </w:tc>
        <w:tc>
          <w:tcPr>
            <w:tcW w:w="524"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524" w:type="pct"/>
            <w:gridSpan w:val="3"/>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704"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B</w:t>
            </w:r>
          </w:p>
        </w:tc>
      </w:tr>
      <w:tr w:rsidR="00EE4502">
        <w:trPr>
          <w:cantSplit/>
          <w:trHeight w:val="397"/>
        </w:trPr>
        <w:tc>
          <w:tcPr>
            <w:tcW w:w="5000" w:type="pct"/>
            <w:gridSpan w:val="25"/>
            <w:tcMar>
              <w:left w:w="57" w:type="dxa"/>
              <w:right w:w="57" w:type="dxa"/>
            </w:tcMar>
            <w:vAlign w:val="center"/>
          </w:tcPr>
          <w:p w:rsidR="00EE4502" w:rsidRDefault="00FD45A3">
            <w:pPr>
              <w:widowControl/>
              <w:tabs>
                <w:tab w:val="left" w:pos="377"/>
              </w:tabs>
              <w:jc w:val="center"/>
              <w:rPr>
                <w:szCs w:val="21"/>
              </w:rPr>
            </w:pPr>
            <w:r>
              <w:rPr>
                <w:rFonts w:hint="eastAsia"/>
                <w:szCs w:val="21"/>
              </w:rPr>
              <w:t>轨道各点数据</w:t>
            </w:r>
          </w:p>
        </w:tc>
      </w:tr>
      <w:tr w:rsidR="00EE4502">
        <w:trPr>
          <w:cantSplit/>
          <w:trHeight w:val="397"/>
        </w:trPr>
        <w:tc>
          <w:tcPr>
            <w:tcW w:w="410" w:type="pct"/>
            <w:tcMar>
              <w:left w:w="57" w:type="dxa"/>
              <w:right w:w="57" w:type="dxa"/>
            </w:tcMar>
            <w:vAlign w:val="center"/>
          </w:tcPr>
          <w:p w:rsidR="00EE4502" w:rsidRDefault="00FD45A3">
            <w:pPr>
              <w:widowControl/>
              <w:tabs>
                <w:tab w:val="left" w:pos="377"/>
              </w:tabs>
              <w:jc w:val="center"/>
              <w:rPr>
                <w:szCs w:val="21"/>
              </w:rPr>
            </w:pPr>
            <w:r>
              <w:rPr>
                <w:rFonts w:hint="eastAsia"/>
                <w:szCs w:val="21"/>
              </w:rPr>
              <w:t>井深</w:t>
            </w:r>
          </w:p>
          <w:p w:rsidR="00EE4502" w:rsidRDefault="00FD45A3">
            <w:pPr>
              <w:widowControl/>
              <w:tabs>
                <w:tab w:val="left" w:pos="377"/>
              </w:tabs>
              <w:jc w:val="center"/>
              <w:rPr>
                <w:szCs w:val="21"/>
              </w:rPr>
            </w:pPr>
            <w:r>
              <w:rPr>
                <w:rFonts w:hint="eastAsia"/>
                <w:szCs w:val="21"/>
              </w:rPr>
              <w:t>（</w:t>
            </w:r>
            <w:r>
              <w:rPr>
                <w:rFonts w:hint="eastAsia"/>
                <w:szCs w:val="21"/>
              </w:rPr>
              <w:t>m</w:t>
            </w:r>
            <w:r>
              <w:rPr>
                <w:rFonts w:hint="eastAsia"/>
                <w:szCs w:val="21"/>
              </w:rPr>
              <w:t>)</w:t>
            </w:r>
          </w:p>
        </w:tc>
        <w:tc>
          <w:tcPr>
            <w:tcW w:w="358"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井斜</w:t>
            </w:r>
          </w:p>
          <w:p w:rsidR="00EE4502" w:rsidRDefault="00FD45A3">
            <w:pPr>
              <w:widowControl/>
              <w:tabs>
                <w:tab w:val="left" w:pos="377"/>
              </w:tabs>
              <w:jc w:val="center"/>
              <w:rPr>
                <w:szCs w:val="21"/>
              </w:rPr>
            </w:pPr>
            <w:r>
              <w:rPr>
                <w:rFonts w:hint="eastAsia"/>
                <w:szCs w:val="21"/>
              </w:rPr>
              <w:t>（°）</w:t>
            </w:r>
          </w:p>
        </w:tc>
        <w:tc>
          <w:tcPr>
            <w:tcW w:w="359" w:type="pct"/>
            <w:gridSpan w:val="3"/>
            <w:tcMar>
              <w:left w:w="57" w:type="dxa"/>
              <w:right w:w="57" w:type="dxa"/>
            </w:tcMar>
            <w:vAlign w:val="center"/>
          </w:tcPr>
          <w:p w:rsidR="00EE4502" w:rsidRDefault="00FD45A3">
            <w:pPr>
              <w:widowControl/>
              <w:tabs>
                <w:tab w:val="left" w:pos="377"/>
              </w:tabs>
              <w:jc w:val="center"/>
              <w:rPr>
                <w:szCs w:val="21"/>
              </w:rPr>
            </w:pPr>
            <w:r>
              <w:rPr>
                <w:rFonts w:hint="eastAsia"/>
                <w:szCs w:val="21"/>
              </w:rPr>
              <w:t>方位</w:t>
            </w:r>
          </w:p>
          <w:p w:rsidR="00EE4502" w:rsidRDefault="00FD45A3">
            <w:pPr>
              <w:widowControl/>
              <w:tabs>
                <w:tab w:val="left" w:pos="377"/>
              </w:tabs>
              <w:jc w:val="center"/>
              <w:rPr>
                <w:szCs w:val="21"/>
              </w:rPr>
            </w:pPr>
            <w:r>
              <w:rPr>
                <w:rFonts w:hint="eastAsia"/>
                <w:szCs w:val="21"/>
              </w:rPr>
              <w:t>（°）</w:t>
            </w:r>
          </w:p>
        </w:tc>
        <w:tc>
          <w:tcPr>
            <w:tcW w:w="462"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闭合方位</w:t>
            </w:r>
          </w:p>
          <w:p w:rsidR="00EE4502" w:rsidRDefault="00FD45A3">
            <w:pPr>
              <w:widowControl/>
              <w:tabs>
                <w:tab w:val="left" w:pos="377"/>
              </w:tabs>
              <w:jc w:val="center"/>
              <w:rPr>
                <w:szCs w:val="21"/>
              </w:rPr>
            </w:pPr>
            <w:r>
              <w:rPr>
                <w:rFonts w:hint="eastAsia"/>
                <w:szCs w:val="21"/>
              </w:rPr>
              <w:t>（°）</w:t>
            </w:r>
          </w:p>
        </w:tc>
        <w:tc>
          <w:tcPr>
            <w:tcW w:w="394"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垂深</w:t>
            </w:r>
          </w:p>
          <w:p w:rsidR="00EE4502" w:rsidRDefault="00FD45A3">
            <w:pPr>
              <w:widowControl/>
              <w:tabs>
                <w:tab w:val="left" w:pos="377"/>
              </w:tabs>
              <w:jc w:val="center"/>
              <w:rPr>
                <w:szCs w:val="21"/>
              </w:rPr>
            </w:pPr>
            <w:r>
              <w:rPr>
                <w:rFonts w:hint="eastAsia"/>
                <w:szCs w:val="21"/>
              </w:rPr>
              <w:t>（</w:t>
            </w:r>
            <w:r>
              <w:rPr>
                <w:rFonts w:hint="eastAsia"/>
                <w:szCs w:val="21"/>
              </w:rPr>
              <w:t>m</w:t>
            </w:r>
            <w:r>
              <w:rPr>
                <w:rFonts w:hint="eastAsia"/>
                <w:szCs w:val="21"/>
              </w:rPr>
              <w:t>)</w:t>
            </w:r>
          </w:p>
        </w:tc>
        <w:tc>
          <w:tcPr>
            <w:tcW w:w="359"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闭合距</w:t>
            </w:r>
          </w:p>
          <w:p w:rsidR="00EE4502" w:rsidRDefault="00FD45A3">
            <w:pPr>
              <w:widowControl/>
              <w:tabs>
                <w:tab w:val="left" w:pos="377"/>
              </w:tabs>
              <w:jc w:val="center"/>
              <w:rPr>
                <w:szCs w:val="21"/>
              </w:rPr>
            </w:pPr>
            <w:r>
              <w:rPr>
                <w:rFonts w:hint="eastAsia"/>
                <w:szCs w:val="21"/>
              </w:rPr>
              <w:t>（</w:t>
            </w:r>
            <w:r>
              <w:rPr>
                <w:rFonts w:hint="eastAsia"/>
                <w:szCs w:val="21"/>
              </w:rPr>
              <w:t>m</w:t>
            </w:r>
            <w:r>
              <w:rPr>
                <w:rFonts w:hint="eastAsia"/>
                <w:szCs w:val="21"/>
              </w:rPr>
              <w:t>)</w:t>
            </w:r>
          </w:p>
        </w:tc>
        <w:tc>
          <w:tcPr>
            <w:tcW w:w="377"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南北</w:t>
            </w:r>
          </w:p>
          <w:p w:rsidR="00EE4502" w:rsidRDefault="00FD45A3">
            <w:pPr>
              <w:widowControl/>
              <w:tabs>
                <w:tab w:val="left" w:pos="377"/>
              </w:tabs>
              <w:jc w:val="center"/>
              <w:rPr>
                <w:szCs w:val="21"/>
              </w:rPr>
            </w:pPr>
            <w:r>
              <w:rPr>
                <w:rFonts w:hint="eastAsia"/>
                <w:szCs w:val="21"/>
              </w:rPr>
              <w:t>（</w:t>
            </w:r>
            <w:r>
              <w:rPr>
                <w:rFonts w:hint="eastAsia"/>
                <w:szCs w:val="21"/>
              </w:rPr>
              <w:t>m</w:t>
            </w:r>
            <w:r>
              <w:rPr>
                <w:rFonts w:hint="eastAsia"/>
                <w:szCs w:val="21"/>
              </w:rPr>
              <w:t>)</w:t>
            </w:r>
          </w:p>
        </w:tc>
        <w:tc>
          <w:tcPr>
            <w:tcW w:w="347" w:type="pct"/>
            <w:gridSpan w:val="3"/>
            <w:tcMar>
              <w:left w:w="57" w:type="dxa"/>
              <w:right w:w="57" w:type="dxa"/>
            </w:tcMar>
            <w:vAlign w:val="center"/>
          </w:tcPr>
          <w:p w:rsidR="00EE4502" w:rsidRDefault="00FD45A3">
            <w:pPr>
              <w:widowControl/>
              <w:tabs>
                <w:tab w:val="left" w:pos="377"/>
              </w:tabs>
              <w:jc w:val="center"/>
              <w:rPr>
                <w:szCs w:val="21"/>
              </w:rPr>
            </w:pPr>
            <w:r>
              <w:rPr>
                <w:rFonts w:hint="eastAsia"/>
                <w:szCs w:val="21"/>
              </w:rPr>
              <w:t>东西</w:t>
            </w:r>
          </w:p>
          <w:p w:rsidR="00EE4502" w:rsidRDefault="00FD45A3">
            <w:pPr>
              <w:widowControl/>
              <w:tabs>
                <w:tab w:val="left" w:pos="377"/>
              </w:tabs>
              <w:jc w:val="center"/>
              <w:rPr>
                <w:szCs w:val="21"/>
              </w:rPr>
            </w:pPr>
            <w:r>
              <w:rPr>
                <w:rFonts w:hint="eastAsia"/>
                <w:szCs w:val="21"/>
              </w:rPr>
              <w:t>（</w:t>
            </w:r>
            <w:r>
              <w:rPr>
                <w:rFonts w:hint="eastAsia"/>
                <w:szCs w:val="21"/>
              </w:rPr>
              <w:t>m</w:t>
            </w:r>
            <w:r>
              <w:rPr>
                <w:rFonts w:hint="eastAsia"/>
                <w:szCs w:val="21"/>
              </w:rPr>
              <w:t>)</w:t>
            </w:r>
          </w:p>
        </w:tc>
        <w:tc>
          <w:tcPr>
            <w:tcW w:w="503"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造斜率</w:t>
            </w:r>
          </w:p>
          <w:p w:rsidR="00EE4502" w:rsidRDefault="00FD45A3">
            <w:pPr>
              <w:widowControl/>
              <w:tabs>
                <w:tab w:val="left" w:pos="377"/>
              </w:tabs>
              <w:jc w:val="center"/>
              <w:rPr>
                <w:szCs w:val="21"/>
              </w:rPr>
            </w:pPr>
            <w:r>
              <w:rPr>
                <w:rFonts w:hint="eastAsia"/>
                <w:szCs w:val="21"/>
              </w:rPr>
              <w:t>（°</w:t>
            </w:r>
            <w:r>
              <w:rPr>
                <w:rFonts w:hint="eastAsia"/>
                <w:szCs w:val="21"/>
              </w:rPr>
              <w:t>/30m</w:t>
            </w:r>
            <w:r>
              <w:rPr>
                <w:rFonts w:hint="eastAsia"/>
                <w:szCs w:val="21"/>
              </w:rPr>
              <w:t>)</w:t>
            </w:r>
          </w:p>
        </w:tc>
        <w:tc>
          <w:tcPr>
            <w:tcW w:w="503" w:type="pct"/>
            <w:gridSpan w:val="3"/>
            <w:tcMar>
              <w:left w:w="57" w:type="dxa"/>
              <w:right w:w="57" w:type="dxa"/>
            </w:tcMar>
            <w:vAlign w:val="center"/>
          </w:tcPr>
          <w:p w:rsidR="00EE4502" w:rsidRDefault="00FD45A3">
            <w:pPr>
              <w:widowControl/>
              <w:tabs>
                <w:tab w:val="left" w:pos="377"/>
              </w:tabs>
              <w:jc w:val="center"/>
              <w:rPr>
                <w:szCs w:val="21"/>
              </w:rPr>
            </w:pPr>
            <w:r>
              <w:rPr>
                <w:rFonts w:hint="eastAsia"/>
                <w:szCs w:val="21"/>
              </w:rPr>
              <w:t>方位变化率</w:t>
            </w:r>
          </w:p>
          <w:p w:rsidR="00EE4502" w:rsidRDefault="00FD45A3">
            <w:pPr>
              <w:widowControl/>
              <w:tabs>
                <w:tab w:val="left" w:pos="377"/>
              </w:tabs>
              <w:jc w:val="center"/>
              <w:rPr>
                <w:szCs w:val="21"/>
              </w:rPr>
            </w:pPr>
            <w:r>
              <w:rPr>
                <w:rFonts w:hint="eastAsia"/>
                <w:szCs w:val="21"/>
              </w:rPr>
              <w:t>（°</w:t>
            </w:r>
            <w:r>
              <w:rPr>
                <w:rFonts w:hint="eastAsia"/>
                <w:szCs w:val="21"/>
              </w:rPr>
              <w:t>/30m</w:t>
            </w:r>
            <w:r>
              <w:rPr>
                <w:rFonts w:hint="eastAsia"/>
                <w:szCs w:val="21"/>
              </w:rPr>
              <w:t>)</w:t>
            </w:r>
          </w:p>
        </w:tc>
        <w:tc>
          <w:tcPr>
            <w:tcW w:w="561" w:type="pct"/>
            <w:gridSpan w:val="2"/>
            <w:vAlign w:val="center"/>
          </w:tcPr>
          <w:p w:rsidR="00EE4502" w:rsidRDefault="00FD45A3">
            <w:pPr>
              <w:widowControl/>
              <w:tabs>
                <w:tab w:val="left" w:pos="377"/>
              </w:tabs>
              <w:jc w:val="center"/>
              <w:rPr>
                <w:szCs w:val="21"/>
              </w:rPr>
            </w:pPr>
            <w:r>
              <w:rPr>
                <w:rFonts w:hint="eastAsia"/>
                <w:szCs w:val="21"/>
              </w:rPr>
              <w:t>狗腿度</w:t>
            </w:r>
          </w:p>
          <w:p w:rsidR="00EE4502" w:rsidRDefault="00FD45A3">
            <w:pPr>
              <w:widowControl/>
              <w:tabs>
                <w:tab w:val="left" w:pos="377"/>
              </w:tabs>
              <w:jc w:val="center"/>
              <w:rPr>
                <w:szCs w:val="21"/>
              </w:rPr>
            </w:pPr>
            <w:r>
              <w:rPr>
                <w:rFonts w:hint="eastAsia"/>
                <w:szCs w:val="21"/>
              </w:rPr>
              <w:t>（°</w:t>
            </w:r>
            <w:r>
              <w:rPr>
                <w:rFonts w:hint="eastAsia"/>
                <w:szCs w:val="21"/>
              </w:rPr>
              <w:t>/30m</w:t>
            </w:r>
            <w:r>
              <w:rPr>
                <w:rFonts w:hint="eastAsia"/>
                <w:szCs w:val="21"/>
              </w:rPr>
              <w:t>)</w:t>
            </w:r>
          </w:p>
        </w:tc>
        <w:tc>
          <w:tcPr>
            <w:tcW w:w="361" w:type="pct"/>
            <w:tcMar>
              <w:left w:w="57" w:type="dxa"/>
              <w:right w:w="57" w:type="dxa"/>
            </w:tcMar>
            <w:vAlign w:val="center"/>
          </w:tcPr>
          <w:p w:rsidR="00EE4502" w:rsidRDefault="00FD45A3">
            <w:pPr>
              <w:widowControl/>
              <w:tabs>
                <w:tab w:val="left" w:pos="377"/>
              </w:tabs>
              <w:jc w:val="center"/>
              <w:rPr>
                <w:szCs w:val="21"/>
              </w:rPr>
            </w:pPr>
            <w:r>
              <w:rPr>
                <w:rFonts w:hint="eastAsia"/>
                <w:szCs w:val="21"/>
              </w:rPr>
              <w:t>工具面</w:t>
            </w:r>
          </w:p>
          <w:p w:rsidR="00EE4502" w:rsidRDefault="00FD45A3">
            <w:pPr>
              <w:widowControl/>
              <w:tabs>
                <w:tab w:val="left" w:pos="377"/>
              </w:tabs>
              <w:jc w:val="center"/>
              <w:rPr>
                <w:szCs w:val="21"/>
              </w:rPr>
            </w:pPr>
            <w:r>
              <w:rPr>
                <w:rFonts w:hint="eastAsia"/>
                <w:szCs w:val="21"/>
              </w:rPr>
              <w:t>（°）</w:t>
            </w:r>
          </w:p>
        </w:tc>
      </w:tr>
      <w:tr w:rsidR="00EE4502">
        <w:trPr>
          <w:cantSplit/>
          <w:trHeight w:val="397"/>
        </w:trPr>
        <w:tc>
          <w:tcPr>
            <w:tcW w:w="410" w:type="pct"/>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358"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359" w:type="pct"/>
            <w:gridSpan w:val="3"/>
            <w:tcMar>
              <w:left w:w="57" w:type="dxa"/>
              <w:right w:w="57" w:type="dxa"/>
            </w:tcMar>
            <w:vAlign w:val="center"/>
          </w:tcPr>
          <w:p w:rsidR="00EE4502" w:rsidRDefault="00FD45A3">
            <w:pPr>
              <w:widowControl/>
              <w:tabs>
                <w:tab w:val="left" w:pos="377"/>
              </w:tabs>
              <w:jc w:val="center"/>
              <w:rPr>
                <w:szCs w:val="21"/>
              </w:rPr>
            </w:pPr>
            <w:r>
              <w:rPr>
                <w:rFonts w:hint="eastAsia"/>
                <w:szCs w:val="21"/>
              </w:rPr>
              <w:t>85.59</w:t>
            </w:r>
          </w:p>
        </w:tc>
        <w:tc>
          <w:tcPr>
            <w:tcW w:w="462"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394"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359"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377"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347" w:type="pct"/>
            <w:gridSpan w:val="3"/>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503"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503" w:type="pct"/>
            <w:gridSpan w:val="3"/>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561" w:type="pct"/>
            <w:gridSpan w:val="2"/>
            <w:vAlign w:val="center"/>
          </w:tcPr>
          <w:p w:rsidR="00EE4502" w:rsidRDefault="00FD45A3">
            <w:pPr>
              <w:widowControl/>
              <w:tabs>
                <w:tab w:val="left" w:pos="377"/>
              </w:tabs>
              <w:jc w:val="center"/>
              <w:rPr>
                <w:szCs w:val="21"/>
              </w:rPr>
            </w:pPr>
            <w:r>
              <w:rPr>
                <w:rFonts w:hint="eastAsia"/>
                <w:szCs w:val="21"/>
              </w:rPr>
              <w:t>0.00</w:t>
            </w:r>
          </w:p>
        </w:tc>
        <w:tc>
          <w:tcPr>
            <w:tcW w:w="361" w:type="pct"/>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r>
      <w:tr w:rsidR="00EE4502">
        <w:trPr>
          <w:cantSplit/>
          <w:trHeight w:val="397"/>
        </w:trPr>
        <w:tc>
          <w:tcPr>
            <w:tcW w:w="410" w:type="pct"/>
            <w:tcMar>
              <w:left w:w="57" w:type="dxa"/>
              <w:right w:w="57" w:type="dxa"/>
            </w:tcMar>
            <w:vAlign w:val="center"/>
          </w:tcPr>
          <w:p w:rsidR="00EE4502" w:rsidRDefault="00FD45A3">
            <w:pPr>
              <w:widowControl/>
              <w:tabs>
                <w:tab w:val="left" w:pos="377"/>
              </w:tabs>
              <w:jc w:val="center"/>
              <w:rPr>
                <w:szCs w:val="21"/>
              </w:rPr>
            </w:pPr>
            <w:r>
              <w:rPr>
                <w:rFonts w:hint="eastAsia"/>
                <w:szCs w:val="21"/>
              </w:rPr>
              <w:t>710.00</w:t>
            </w:r>
          </w:p>
        </w:tc>
        <w:tc>
          <w:tcPr>
            <w:tcW w:w="358"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359" w:type="pct"/>
            <w:gridSpan w:val="3"/>
            <w:tcMar>
              <w:left w:w="57" w:type="dxa"/>
              <w:right w:w="57" w:type="dxa"/>
            </w:tcMar>
            <w:vAlign w:val="center"/>
          </w:tcPr>
          <w:p w:rsidR="00EE4502" w:rsidRDefault="00FD45A3">
            <w:pPr>
              <w:widowControl/>
              <w:tabs>
                <w:tab w:val="left" w:pos="377"/>
              </w:tabs>
              <w:jc w:val="center"/>
              <w:rPr>
                <w:szCs w:val="21"/>
              </w:rPr>
            </w:pPr>
            <w:r>
              <w:rPr>
                <w:rFonts w:hint="eastAsia"/>
                <w:szCs w:val="21"/>
              </w:rPr>
              <w:t>85.59</w:t>
            </w:r>
          </w:p>
        </w:tc>
        <w:tc>
          <w:tcPr>
            <w:tcW w:w="462"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394"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710.00</w:t>
            </w:r>
          </w:p>
        </w:tc>
        <w:tc>
          <w:tcPr>
            <w:tcW w:w="359"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377"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347" w:type="pct"/>
            <w:gridSpan w:val="3"/>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503"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503" w:type="pct"/>
            <w:gridSpan w:val="3"/>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561" w:type="pct"/>
            <w:gridSpan w:val="2"/>
            <w:vAlign w:val="center"/>
          </w:tcPr>
          <w:p w:rsidR="00EE4502" w:rsidRDefault="00FD45A3">
            <w:pPr>
              <w:widowControl/>
              <w:tabs>
                <w:tab w:val="left" w:pos="377"/>
              </w:tabs>
              <w:jc w:val="center"/>
              <w:rPr>
                <w:szCs w:val="21"/>
              </w:rPr>
            </w:pPr>
            <w:r>
              <w:rPr>
                <w:rFonts w:hint="eastAsia"/>
                <w:szCs w:val="21"/>
              </w:rPr>
              <w:t>0.00</w:t>
            </w:r>
          </w:p>
        </w:tc>
        <w:tc>
          <w:tcPr>
            <w:tcW w:w="361" w:type="pct"/>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r>
      <w:tr w:rsidR="00EE4502">
        <w:trPr>
          <w:cantSplit/>
          <w:trHeight w:val="397"/>
        </w:trPr>
        <w:tc>
          <w:tcPr>
            <w:tcW w:w="410" w:type="pct"/>
            <w:tcMar>
              <w:left w:w="57" w:type="dxa"/>
              <w:right w:w="57" w:type="dxa"/>
            </w:tcMar>
            <w:vAlign w:val="center"/>
          </w:tcPr>
          <w:p w:rsidR="00EE4502" w:rsidRDefault="00FD45A3">
            <w:pPr>
              <w:widowControl/>
              <w:tabs>
                <w:tab w:val="left" w:pos="377"/>
              </w:tabs>
              <w:jc w:val="center"/>
              <w:rPr>
                <w:szCs w:val="21"/>
              </w:rPr>
            </w:pPr>
            <w:r>
              <w:rPr>
                <w:rFonts w:hint="eastAsia"/>
                <w:szCs w:val="21"/>
              </w:rPr>
              <w:t>750.00</w:t>
            </w:r>
          </w:p>
        </w:tc>
        <w:tc>
          <w:tcPr>
            <w:tcW w:w="358"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9.10</w:t>
            </w:r>
          </w:p>
        </w:tc>
        <w:tc>
          <w:tcPr>
            <w:tcW w:w="359" w:type="pct"/>
            <w:gridSpan w:val="3"/>
            <w:tcMar>
              <w:left w:w="57" w:type="dxa"/>
              <w:right w:w="57" w:type="dxa"/>
            </w:tcMar>
            <w:vAlign w:val="center"/>
          </w:tcPr>
          <w:p w:rsidR="00EE4502" w:rsidRDefault="00FD45A3">
            <w:pPr>
              <w:widowControl/>
              <w:tabs>
                <w:tab w:val="left" w:pos="377"/>
              </w:tabs>
              <w:jc w:val="center"/>
              <w:rPr>
                <w:szCs w:val="21"/>
              </w:rPr>
            </w:pPr>
            <w:r>
              <w:rPr>
                <w:rFonts w:hint="eastAsia"/>
                <w:szCs w:val="21"/>
              </w:rPr>
              <w:t>85.59</w:t>
            </w:r>
          </w:p>
        </w:tc>
        <w:tc>
          <w:tcPr>
            <w:tcW w:w="462"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85.59</w:t>
            </w:r>
          </w:p>
        </w:tc>
        <w:tc>
          <w:tcPr>
            <w:tcW w:w="394"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749.83</w:t>
            </w:r>
          </w:p>
        </w:tc>
        <w:tc>
          <w:tcPr>
            <w:tcW w:w="359"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3.17</w:t>
            </w:r>
          </w:p>
        </w:tc>
        <w:tc>
          <w:tcPr>
            <w:tcW w:w="377"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0.24</w:t>
            </w:r>
          </w:p>
        </w:tc>
        <w:tc>
          <w:tcPr>
            <w:tcW w:w="347" w:type="pct"/>
            <w:gridSpan w:val="3"/>
            <w:tcMar>
              <w:left w:w="57" w:type="dxa"/>
              <w:right w:w="57" w:type="dxa"/>
            </w:tcMar>
            <w:vAlign w:val="center"/>
          </w:tcPr>
          <w:p w:rsidR="00EE4502" w:rsidRDefault="00FD45A3">
            <w:pPr>
              <w:widowControl/>
              <w:tabs>
                <w:tab w:val="left" w:pos="377"/>
              </w:tabs>
              <w:jc w:val="center"/>
              <w:rPr>
                <w:szCs w:val="21"/>
              </w:rPr>
            </w:pPr>
            <w:r>
              <w:rPr>
                <w:rFonts w:hint="eastAsia"/>
                <w:szCs w:val="21"/>
              </w:rPr>
              <w:t>3.16</w:t>
            </w:r>
          </w:p>
        </w:tc>
        <w:tc>
          <w:tcPr>
            <w:tcW w:w="503"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6.83</w:t>
            </w:r>
          </w:p>
        </w:tc>
        <w:tc>
          <w:tcPr>
            <w:tcW w:w="503" w:type="pct"/>
            <w:gridSpan w:val="3"/>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561" w:type="pct"/>
            <w:gridSpan w:val="2"/>
            <w:vAlign w:val="center"/>
          </w:tcPr>
          <w:p w:rsidR="00EE4502" w:rsidRDefault="00FD45A3">
            <w:pPr>
              <w:widowControl/>
              <w:tabs>
                <w:tab w:val="left" w:pos="377"/>
              </w:tabs>
              <w:jc w:val="center"/>
              <w:rPr>
                <w:szCs w:val="21"/>
              </w:rPr>
            </w:pPr>
            <w:r>
              <w:rPr>
                <w:rFonts w:hint="eastAsia"/>
                <w:szCs w:val="21"/>
              </w:rPr>
              <w:t>6.83</w:t>
            </w:r>
          </w:p>
        </w:tc>
        <w:tc>
          <w:tcPr>
            <w:tcW w:w="361" w:type="pct"/>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r>
      <w:tr w:rsidR="00EE4502">
        <w:trPr>
          <w:cantSplit/>
          <w:trHeight w:val="397"/>
        </w:trPr>
        <w:tc>
          <w:tcPr>
            <w:tcW w:w="410" w:type="pct"/>
            <w:tcMar>
              <w:left w:w="57" w:type="dxa"/>
              <w:right w:w="57" w:type="dxa"/>
            </w:tcMar>
            <w:vAlign w:val="center"/>
          </w:tcPr>
          <w:p w:rsidR="00EE4502" w:rsidRDefault="00FD45A3">
            <w:pPr>
              <w:widowControl/>
              <w:tabs>
                <w:tab w:val="left" w:pos="377"/>
              </w:tabs>
              <w:jc w:val="center"/>
              <w:rPr>
                <w:szCs w:val="21"/>
              </w:rPr>
            </w:pPr>
            <w:r>
              <w:rPr>
                <w:rFonts w:hint="eastAsia"/>
                <w:szCs w:val="21"/>
              </w:rPr>
              <w:t>790.00</w:t>
            </w:r>
          </w:p>
        </w:tc>
        <w:tc>
          <w:tcPr>
            <w:tcW w:w="358"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18.20</w:t>
            </w:r>
          </w:p>
        </w:tc>
        <w:tc>
          <w:tcPr>
            <w:tcW w:w="359" w:type="pct"/>
            <w:gridSpan w:val="3"/>
            <w:tcMar>
              <w:left w:w="57" w:type="dxa"/>
              <w:right w:w="57" w:type="dxa"/>
            </w:tcMar>
            <w:vAlign w:val="center"/>
          </w:tcPr>
          <w:p w:rsidR="00EE4502" w:rsidRDefault="00FD45A3">
            <w:pPr>
              <w:widowControl/>
              <w:tabs>
                <w:tab w:val="left" w:pos="377"/>
              </w:tabs>
              <w:jc w:val="center"/>
              <w:rPr>
                <w:szCs w:val="21"/>
              </w:rPr>
            </w:pPr>
            <w:r>
              <w:rPr>
                <w:rFonts w:hint="eastAsia"/>
                <w:szCs w:val="21"/>
              </w:rPr>
              <w:t>85.59</w:t>
            </w:r>
          </w:p>
        </w:tc>
        <w:tc>
          <w:tcPr>
            <w:tcW w:w="462"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85.59</w:t>
            </w:r>
          </w:p>
        </w:tc>
        <w:tc>
          <w:tcPr>
            <w:tcW w:w="394"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788.66</w:t>
            </w:r>
          </w:p>
        </w:tc>
        <w:tc>
          <w:tcPr>
            <w:tcW w:w="359"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12.60</w:t>
            </w:r>
          </w:p>
        </w:tc>
        <w:tc>
          <w:tcPr>
            <w:tcW w:w="377"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0.97</w:t>
            </w:r>
          </w:p>
        </w:tc>
        <w:tc>
          <w:tcPr>
            <w:tcW w:w="347" w:type="pct"/>
            <w:gridSpan w:val="3"/>
            <w:tcMar>
              <w:left w:w="57" w:type="dxa"/>
              <w:right w:w="57" w:type="dxa"/>
            </w:tcMar>
            <w:vAlign w:val="center"/>
          </w:tcPr>
          <w:p w:rsidR="00EE4502" w:rsidRDefault="00FD45A3">
            <w:pPr>
              <w:widowControl/>
              <w:tabs>
                <w:tab w:val="left" w:pos="377"/>
              </w:tabs>
              <w:jc w:val="center"/>
              <w:rPr>
                <w:szCs w:val="21"/>
              </w:rPr>
            </w:pPr>
            <w:r>
              <w:rPr>
                <w:rFonts w:hint="eastAsia"/>
                <w:szCs w:val="21"/>
              </w:rPr>
              <w:t>12.57</w:t>
            </w:r>
          </w:p>
        </w:tc>
        <w:tc>
          <w:tcPr>
            <w:tcW w:w="503"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6.83</w:t>
            </w:r>
          </w:p>
        </w:tc>
        <w:tc>
          <w:tcPr>
            <w:tcW w:w="503" w:type="pct"/>
            <w:gridSpan w:val="3"/>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561" w:type="pct"/>
            <w:gridSpan w:val="2"/>
            <w:vAlign w:val="center"/>
          </w:tcPr>
          <w:p w:rsidR="00EE4502" w:rsidRDefault="00FD45A3">
            <w:pPr>
              <w:widowControl/>
              <w:tabs>
                <w:tab w:val="left" w:pos="377"/>
              </w:tabs>
              <w:jc w:val="center"/>
              <w:rPr>
                <w:szCs w:val="21"/>
              </w:rPr>
            </w:pPr>
            <w:r>
              <w:rPr>
                <w:rFonts w:hint="eastAsia"/>
                <w:szCs w:val="21"/>
              </w:rPr>
              <w:t>6.83</w:t>
            </w:r>
          </w:p>
        </w:tc>
        <w:tc>
          <w:tcPr>
            <w:tcW w:w="361" w:type="pct"/>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r>
      <w:tr w:rsidR="00EE4502">
        <w:trPr>
          <w:cantSplit/>
          <w:trHeight w:val="397"/>
        </w:trPr>
        <w:tc>
          <w:tcPr>
            <w:tcW w:w="410" w:type="pct"/>
            <w:tcMar>
              <w:left w:w="57" w:type="dxa"/>
              <w:right w:w="57" w:type="dxa"/>
            </w:tcMar>
            <w:vAlign w:val="center"/>
          </w:tcPr>
          <w:p w:rsidR="00EE4502" w:rsidRDefault="00FD45A3">
            <w:pPr>
              <w:widowControl/>
              <w:tabs>
                <w:tab w:val="left" w:pos="377"/>
              </w:tabs>
              <w:jc w:val="center"/>
              <w:rPr>
                <w:szCs w:val="21"/>
              </w:rPr>
            </w:pPr>
            <w:r>
              <w:rPr>
                <w:rFonts w:hint="eastAsia"/>
                <w:szCs w:val="21"/>
              </w:rPr>
              <w:t>830.00</w:t>
            </w:r>
          </w:p>
        </w:tc>
        <w:tc>
          <w:tcPr>
            <w:tcW w:w="358"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27.31</w:t>
            </w:r>
          </w:p>
        </w:tc>
        <w:tc>
          <w:tcPr>
            <w:tcW w:w="359" w:type="pct"/>
            <w:gridSpan w:val="3"/>
            <w:tcMar>
              <w:left w:w="57" w:type="dxa"/>
              <w:right w:w="57" w:type="dxa"/>
            </w:tcMar>
            <w:vAlign w:val="center"/>
          </w:tcPr>
          <w:p w:rsidR="00EE4502" w:rsidRDefault="00FD45A3">
            <w:pPr>
              <w:widowControl/>
              <w:tabs>
                <w:tab w:val="left" w:pos="377"/>
              </w:tabs>
              <w:jc w:val="center"/>
              <w:rPr>
                <w:szCs w:val="21"/>
              </w:rPr>
            </w:pPr>
            <w:r>
              <w:rPr>
                <w:rFonts w:hint="eastAsia"/>
                <w:szCs w:val="21"/>
              </w:rPr>
              <w:t>85.59</w:t>
            </w:r>
          </w:p>
        </w:tc>
        <w:tc>
          <w:tcPr>
            <w:tcW w:w="462"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85.59</w:t>
            </w:r>
          </w:p>
        </w:tc>
        <w:tc>
          <w:tcPr>
            <w:tcW w:w="394"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825.51</w:t>
            </w:r>
          </w:p>
        </w:tc>
        <w:tc>
          <w:tcPr>
            <w:tcW w:w="359"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28.06</w:t>
            </w:r>
          </w:p>
        </w:tc>
        <w:tc>
          <w:tcPr>
            <w:tcW w:w="377"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2.16</w:t>
            </w:r>
          </w:p>
        </w:tc>
        <w:tc>
          <w:tcPr>
            <w:tcW w:w="347" w:type="pct"/>
            <w:gridSpan w:val="3"/>
            <w:tcMar>
              <w:left w:w="57" w:type="dxa"/>
              <w:right w:w="57" w:type="dxa"/>
            </w:tcMar>
            <w:vAlign w:val="center"/>
          </w:tcPr>
          <w:p w:rsidR="00EE4502" w:rsidRDefault="00FD45A3">
            <w:pPr>
              <w:widowControl/>
              <w:tabs>
                <w:tab w:val="left" w:pos="377"/>
              </w:tabs>
              <w:jc w:val="center"/>
              <w:rPr>
                <w:szCs w:val="21"/>
              </w:rPr>
            </w:pPr>
            <w:r>
              <w:rPr>
                <w:rFonts w:hint="eastAsia"/>
                <w:szCs w:val="21"/>
              </w:rPr>
              <w:t>27.97</w:t>
            </w:r>
          </w:p>
        </w:tc>
        <w:tc>
          <w:tcPr>
            <w:tcW w:w="503"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6.83</w:t>
            </w:r>
          </w:p>
        </w:tc>
        <w:tc>
          <w:tcPr>
            <w:tcW w:w="503" w:type="pct"/>
            <w:gridSpan w:val="3"/>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561" w:type="pct"/>
            <w:gridSpan w:val="2"/>
            <w:vAlign w:val="center"/>
          </w:tcPr>
          <w:p w:rsidR="00EE4502" w:rsidRDefault="00FD45A3">
            <w:pPr>
              <w:widowControl/>
              <w:tabs>
                <w:tab w:val="left" w:pos="377"/>
              </w:tabs>
              <w:jc w:val="center"/>
              <w:rPr>
                <w:szCs w:val="21"/>
              </w:rPr>
            </w:pPr>
            <w:r>
              <w:rPr>
                <w:rFonts w:hint="eastAsia"/>
                <w:szCs w:val="21"/>
              </w:rPr>
              <w:t>6.83</w:t>
            </w:r>
          </w:p>
        </w:tc>
        <w:tc>
          <w:tcPr>
            <w:tcW w:w="361" w:type="pct"/>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r>
      <w:tr w:rsidR="00EE4502">
        <w:trPr>
          <w:cantSplit/>
          <w:trHeight w:val="397"/>
        </w:trPr>
        <w:tc>
          <w:tcPr>
            <w:tcW w:w="410" w:type="pct"/>
            <w:tcMar>
              <w:left w:w="57" w:type="dxa"/>
              <w:right w:w="57" w:type="dxa"/>
            </w:tcMar>
            <w:vAlign w:val="center"/>
          </w:tcPr>
          <w:p w:rsidR="00EE4502" w:rsidRDefault="00FD45A3">
            <w:pPr>
              <w:widowControl/>
              <w:tabs>
                <w:tab w:val="left" w:pos="377"/>
              </w:tabs>
              <w:jc w:val="center"/>
              <w:rPr>
                <w:szCs w:val="21"/>
              </w:rPr>
            </w:pPr>
            <w:r>
              <w:rPr>
                <w:rFonts w:hint="eastAsia"/>
                <w:szCs w:val="21"/>
              </w:rPr>
              <w:t>870.00</w:t>
            </w:r>
          </w:p>
        </w:tc>
        <w:tc>
          <w:tcPr>
            <w:tcW w:w="358"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36.41</w:t>
            </w:r>
          </w:p>
        </w:tc>
        <w:tc>
          <w:tcPr>
            <w:tcW w:w="359" w:type="pct"/>
            <w:gridSpan w:val="3"/>
            <w:tcMar>
              <w:left w:w="57" w:type="dxa"/>
              <w:right w:w="57" w:type="dxa"/>
            </w:tcMar>
            <w:vAlign w:val="center"/>
          </w:tcPr>
          <w:p w:rsidR="00EE4502" w:rsidRDefault="00FD45A3">
            <w:pPr>
              <w:widowControl/>
              <w:tabs>
                <w:tab w:val="left" w:pos="377"/>
              </w:tabs>
              <w:jc w:val="center"/>
              <w:rPr>
                <w:szCs w:val="21"/>
              </w:rPr>
            </w:pPr>
            <w:r>
              <w:rPr>
                <w:rFonts w:hint="eastAsia"/>
                <w:szCs w:val="21"/>
              </w:rPr>
              <w:t>85.59</w:t>
            </w:r>
          </w:p>
        </w:tc>
        <w:tc>
          <w:tcPr>
            <w:tcW w:w="462"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85.59</w:t>
            </w:r>
          </w:p>
        </w:tc>
        <w:tc>
          <w:tcPr>
            <w:tcW w:w="394"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859.45</w:t>
            </w:r>
          </w:p>
        </w:tc>
        <w:tc>
          <w:tcPr>
            <w:tcW w:w="359"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49.15</w:t>
            </w:r>
          </w:p>
        </w:tc>
        <w:tc>
          <w:tcPr>
            <w:tcW w:w="377"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3.78</w:t>
            </w:r>
          </w:p>
        </w:tc>
        <w:tc>
          <w:tcPr>
            <w:tcW w:w="347" w:type="pct"/>
            <w:gridSpan w:val="3"/>
            <w:tcMar>
              <w:left w:w="57" w:type="dxa"/>
              <w:right w:w="57" w:type="dxa"/>
            </w:tcMar>
            <w:vAlign w:val="center"/>
          </w:tcPr>
          <w:p w:rsidR="00EE4502" w:rsidRDefault="00FD45A3">
            <w:pPr>
              <w:widowControl/>
              <w:tabs>
                <w:tab w:val="left" w:pos="377"/>
              </w:tabs>
              <w:jc w:val="center"/>
              <w:rPr>
                <w:szCs w:val="21"/>
              </w:rPr>
            </w:pPr>
            <w:r>
              <w:rPr>
                <w:rFonts w:hint="eastAsia"/>
                <w:szCs w:val="21"/>
              </w:rPr>
              <w:t>49.00</w:t>
            </w:r>
          </w:p>
        </w:tc>
        <w:tc>
          <w:tcPr>
            <w:tcW w:w="503"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6.83</w:t>
            </w:r>
          </w:p>
        </w:tc>
        <w:tc>
          <w:tcPr>
            <w:tcW w:w="503" w:type="pct"/>
            <w:gridSpan w:val="3"/>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561" w:type="pct"/>
            <w:gridSpan w:val="2"/>
            <w:vAlign w:val="center"/>
          </w:tcPr>
          <w:p w:rsidR="00EE4502" w:rsidRDefault="00FD45A3">
            <w:pPr>
              <w:widowControl/>
              <w:tabs>
                <w:tab w:val="left" w:pos="377"/>
              </w:tabs>
              <w:jc w:val="center"/>
              <w:rPr>
                <w:szCs w:val="21"/>
              </w:rPr>
            </w:pPr>
            <w:r>
              <w:rPr>
                <w:rFonts w:hint="eastAsia"/>
                <w:szCs w:val="21"/>
              </w:rPr>
              <w:t>6.83</w:t>
            </w:r>
          </w:p>
        </w:tc>
        <w:tc>
          <w:tcPr>
            <w:tcW w:w="361" w:type="pct"/>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r>
      <w:tr w:rsidR="00EE4502">
        <w:trPr>
          <w:cantSplit/>
          <w:trHeight w:val="397"/>
        </w:trPr>
        <w:tc>
          <w:tcPr>
            <w:tcW w:w="410" w:type="pct"/>
            <w:tcMar>
              <w:left w:w="57" w:type="dxa"/>
              <w:right w:w="57" w:type="dxa"/>
            </w:tcMar>
            <w:vAlign w:val="center"/>
          </w:tcPr>
          <w:p w:rsidR="00EE4502" w:rsidRDefault="00FD45A3">
            <w:pPr>
              <w:widowControl/>
              <w:tabs>
                <w:tab w:val="left" w:pos="377"/>
              </w:tabs>
              <w:jc w:val="center"/>
              <w:rPr>
                <w:szCs w:val="21"/>
              </w:rPr>
            </w:pPr>
            <w:r>
              <w:rPr>
                <w:rFonts w:hint="eastAsia"/>
                <w:szCs w:val="21"/>
              </w:rPr>
              <w:t>910.00</w:t>
            </w:r>
          </w:p>
        </w:tc>
        <w:tc>
          <w:tcPr>
            <w:tcW w:w="358"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45.51</w:t>
            </w:r>
          </w:p>
        </w:tc>
        <w:tc>
          <w:tcPr>
            <w:tcW w:w="359" w:type="pct"/>
            <w:gridSpan w:val="3"/>
            <w:tcMar>
              <w:left w:w="57" w:type="dxa"/>
              <w:right w:w="57" w:type="dxa"/>
            </w:tcMar>
            <w:vAlign w:val="center"/>
          </w:tcPr>
          <w:p w:rsidR="00EE4502" w:rsidRDefault="00FD45A3">
            <w:pPr>
              <w:widowControl/>
              <w:tabs>
                <w:tab w:val="left" w:pos="377"/>
              </w:tabs>
              <w:jc w:val="center"/>
              <w:rPr>
                <w:szCs w:val="21"/>
              </w:rPr>
            </w:pPr>
            <w:r>
              <w:rPr>
                <w:rFonts w:hint="eastAsia"/>
                <w:szCs w:val="21"/>
              </w:rPr>
              <w:t>85.59</w:t>
            </w:r>
          </w:p>
        </w:tc>
        <w:tc>
          <w:tcPr>
            <w:tcW w:w="462"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85.59</w:t>
            </w:r>
          </w:p>
        </w:tc>
        <w:tc>
          <w:tcPr>
            <w:tcW w:w="394"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889.62</w:t>
            </w:r>
          </w:p>
        </w:tc>
        <w:tc>
          <w:tcPr>
            <w:tcW w:w="359"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75.34</w:t>
            </w:r>
          </w:p>
        </w:tc>
        <w:tc>
          <w:tcPr>
            <w:tcW w:w="377"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5.79</w:t>
            </w:r>
          </w:p>
        </w:tc>
        <w:tc>
          <w:tcPr>
            <w:tcW w:w="347" w:type="pct"/>
            <w:gridSpan w:val="3"/>
            <w:tcMar>
              <w:left w:w="57" w:type="dxa"/>
              <w:right w:w="57" w:type="dxa"/>
            </w:tcMar>
            <w:vAlign w:val="center"/>
          </w:tcPr>
          <w:p w:rsidR="00EE4502" w:rsidRDefault="00FD45A3">
            <w:pPr>
              <w:widowControl/>
              <w:tabs>
                <w:tab w:val="left" w:pos="377"/>
              </w:tabs>
              <w:jc w:val="center"/>
              <w:rPr>
                <w:szCs w:val="21"/>
              </w:rPr>
            </w:pPr>
            <w:r>
              <w:rPr>
                <w:rFonts w:hint="eastAsia"/>
                <w:szCs w:val="21"/>
              </w:rPr>
              <w:t>75.12</w:t>
            </w:r>
          </w:p>
        </w:tc>
        <w:tc>
          <w:tcPr>
            <w:tcW w:w="503"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6.83</w:t>
            </w:r>
          </w:p>
        </w:tc>
        <w:tc>
          <w:tcPr>
            <w:tcW w:w="503" w:type="pct"/>
            <w:gridSpan w:val="3"/>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561" w:type="pct"/>
            <w:gridSpan w:val="2"/>
            <w:vAlign w:val="center"/>
          </w:tcPr>
          <w:p w:rsidR="00EE4502" w:rsidRDefault="00FD45A3">
            <w:pPr>
              <w:widowControl/>
              <w:tabs>
                <w:tab w:val="left" w:pos="377"/>
              </w:tabs>
              <w:jc w:val="center"/>
              <w:rPr>
                <w:szCs w:val="21"/>
              </w:rPr>
            </w:pPr>
            <w:r>
              <w:rPr>
                <w:rFonts w:hint="eastAsia"/>
                <w:szCs w:val="21"/>
              </w:rPr>
              <w:t>6.83</w:t>
            </w:r>
          </w:p>
        </w:tc>
        <w:tc>
          <w:tcPr>
            <w:tcW w:w="361" w:type="pct"/>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r>
      <w:tr w:rsidR="00EE4502">
        <w:trPr>
          <w:cantSplit/>
          <w:trHeight w:val="397"/>
        </w:trPr>
        <w:tc>
          <w:tcPr>
            <w:tcW w:w="410" w:type="pct"/>
            <w:tcMar>
              <w:left w:w="57" w:type="dxa"/>
              <w:right w:w="57" w:type="dxa"/>
            </w:tcMar>
            <w:vAlign w:val="center"/>
          </w:tcPr>
          <w:p w:rsidR="00EE4502" w:rsidRDefault="00FD45A3">
            <w:pPr>
              <w:widowControl/>
              <w:tabs>
                <w:tab w:val="left" w:pos="377"/>
              </w:tabs>
              <w:jc w:val="center"/>
              <w:rPr>
                <w:szCs w:val="21"/>
              </w:rPr>
            </w:pPr>
            <w:r>
              <w:rPr>
                <w:rFonts w:hint="eastAsia"/>
                <w:szCs w:val="21"/>
              </w:rPr>
              <w:t>934.28</w:t>
            </w:r>
          </w:p>
        </w:tc>
        <w:tc>
          <w:tcPr>
            <w:tcW w:w="358"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51.04</w:t>
            </w:r>
          </w:p>
        </w:tc>
        <w:tc>
          <w:tcPr>
            <w:tcW w:w="359" w:type="pct"/>
            <w:gridSpan w:val="3"/>
            <w:tcMar>
              <w:left w:w="57" w:type="dxa"/>
              <w:right w:w="57" w:type="dxa"/>
            </w:tcMar>
            <w:vAlign w:val="center"/>
          </w:tcPr>
          <w:p w:rsidR="00EE4502" w:rsidRDefault="00FD45A3">
            <w:pPr>
              <w:widowControl/>
              <w:tabs>
                <w:tab w:val="left" w:pos="377"/>
              </w:tabs>
              <w:jc w:val="center"/>
              <w:rPr>
                <w:szCs w:val="21"/>
              </w:rPr>
            </w:pPr>
            <w:r>
              <w:rPr>
                <w:rFonts w:hint="eastAsia"/>
                <w:szCs w:val="21"/>
              </w:rPr>
              <w:t>85.59</w:t>
            </w:r>
          </w:p>
        </w:tc>
        <w:tc>
          <w:tcPr>
            <w:tcW w:w="462"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85.59</w:t>
            </w:r>
          </w:p>
        </w:tc>
        <w:tc>
          <w:tcPr>
            <w:tcW w:w="394"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905.78</w:t>
            </w:r>
          </w:p>
        </w:tc>
        <w:tc>
          <w:tcPr>
            <w:tcW w:w="359"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93.46</w:t>
            </w:r>
          </w:p>
        </w:tc>
        <w:tc>
          <w:tcPr>
            <w:tcW w:w="377"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7.19</w:t>
            </w:r>
          </w:p>
        </w:tc>
        <w:tc>
          <w:tcPr>
            <w:tcW w:w="347" w:type="pct"/>
            <w:gridSpan w:val="3"/>
            <w:tcMar>
              <w:left w:w="57" w:type="dxa"/>
              <w:right w:w="57" w:type="dxa"/>
            </w:tcMar>
            <w:vAlign w:val="center"/>
          </w:tcPr>
          <w:p w:rsidR="00EE4502" w:rsidRDefault="00FD45A3">
            <w:pPr>
              <w:widowControl/>
              <w:tabs>
                <w:tab w:val="left" w:pos="377"/>
              </w:tabs>
              <w:jc w:val="center"/>
              <w:rPr>
                <w:szCs w:val="21"/>
              </w:rPr>
            </w:pPr>
            <w:r>
              <w:rPr>
                <w:rFonts w:hint="eastAsia"/>
                <w:szCs w:val="21"/>
              </w:rPr>
              <w:t>93.18</w:t>
            </w:r>
          </w:p>
        </w:tc>
        <w:tc>
          <w:tcPr>
            <w:tcW w:w="503"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6.83</w:t>
            </w:r>
          </w:p>
        </w:tc>
        <w:tc>
          <w:tcPr>
            <w:tcW w:w="503" w:type="pct"/>
            <w:gridSpan w:val="3"/>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561" w:type="pct"/>
            <w:gridSpan w:val="2"/>
            <w:vAlign w:val="center"/>
          </w:tcPr>
          <w:p w:rsidR="00EE4502" w:rsidRDefault="00FD45A3">
            <w:pPr>
              <w:widowControl/>
              <w:tabs>
                <w:tab w:val="left" w:pos="377"/>
              </w:tabs>
              <w:jc w:val="center"/>
              <w:rPr>
                <w:szCs w:val="21"/>
              </w:rPr>
            </w:pPr>
            <w:r>
              <w:rPr>
                <w:rFonts w:hint="eastAsia"/>
                <w:szCs w:val="21"/>
              </w:rPr>
              <w:t>6.83</w:t>
            </w:r>
          </w:p>
        </w:tc>
        <w:tc>
          <w:tcPr>
            <w:tcW w:w="361" w:type="pct"/>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r>
      <w:tr w:rsidR="00EE4502">
        <w:trPr>
          <w:cantSplit/>
          <w:trHeight w:val="397"/>
        </w:trPr>
        <w:tc>
          <w:tcPr>
            <w:tcW w:w="410" w:type="pct"/>
            <w:tcMar>
              <w:left w:w="57" w:type="dxa"/>
              <w:right w:w="57" w:type="dxa"/>
            </w:tcMar>
            <w:vAlign w:val="center"/>
          </w:tcPr>
          <w:p w:rsidR="00EE4502" w:rsidRDefault="00FD45A3">
            <w:pPr>
              <w:widowControl/>
              <w:tabs>
                <w:tab w:val="left" w:pos="377"/>
              </w:tabs>
              <w:jc w:val="center"/>
              <w:rPr>
                <w:szCs w:val="21"/>
              </w:rPr>
            </w:pPr>
            <w:r>
              <w:rPr>
                <w:rFonts w:hint="eastAsia"/>
                <w:szCs w:val="21"/>
              </w:rPr>
              <w:t>949.32</w:t>
            </w:r>
          </w:p>
        </w:tc>
        <w:tc>
          <w:tcPr>
            <w:tcW w:w="358"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53.30</w:t>
            </w:r>
          </w:p>
        </w:tc>
        <w:tc>
          <w:tcPr>
            <w:tcW w:w="359" w:type="pct"/>
            <w:gridSpan w:val="3"/>
            <w:tcMar>
              <w:left w:w="57" w:type="dxa"/>
              <w:right w:w="57" w:type="dxa"/>
            </w:tcMar>
            <w:vAlign w:val="center"/>
          </w:tcPr>
          <w:p w:rsidR="00EE4502" w:rsidRDefault="00FD45A3">
            <w:pPr>
              <w:widowControl/>
              <w:tabs>
                <w:tab w:val="left" w:pos="377"/>
              </w:tabs>
              <w:jc w:val="center"/>
              <w:rPr>
                <w:szCs w:val="21"/>
              </w:rPr>
            </w:pPr>
            <w:r>
              <w:rPr>
                <w:rFonts w:hint="eastAsia"/>
                <w:szCs w:val="21"/>
              </w:rPr>
              <w:t>88.84</w:t>
            </w:r>
          </w:p>
        </w:tc>
        <w:tc>
          <w:tcPr>
            <w:tcW w:w="462"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85.78</w:t>
            </w:r>
          </w:p>
        </w:tc>
        <w:tc>
          <w:tcPr>
            <w:tcW w:w="394"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915.00</w:t>
            </w:r>
          </w:p>
        </w:tc>
        <w:tc>
          <w:tcPr>
            <w:tcW w:w="359"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105.32</w:t>
            </w:r>
          </w:p>
        </w:tc>
        <w:tc>
          <w:tcPr>
            <w:tcW w:w="377"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7.76</w:t>
            </w:r>
          </w:p>
        </w:tc>
        <w:tc>
          <w:tcPr>
            <w:tcW w:w="347" w:type="pct"/>
            <w:gridSpan w:val="3"/>
            <w:tcMar>
              <w:left w:w="57" w:type="dxa"/>
              <w:right w:w="57" w:type="dxa"/>
            </w:tcMar>
            <w:vAlign w:val="center"/>
          </w:tcPr>
          <w:p w:rsidR="00EE4502" w:rsidRDefault="00FD45A3">
            <w:pPr>
              <w:widowControl/>
              <w:tabs>
                <w:tab w:val="left" w:pos="377"/>
              </w:tabs>
              <w:jc w:val="center"/>
              <w:rPr>
                <w:szCs w:val="21"/>
              </w:rPr>
            </w:pPr>
            <w:r>
              <w:rPr>
                <w:rFonts w:hint="eastAsia"/>
                <w:szCs w:val="21"/>
              </w:rPr>
              <w:t>105.04</w:t>
            </w:r>
          </w:p>
        </w:tc>
        <w:tc>
          <w:tcPr>
            <w:tcW w:w="503"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4.63</w:t>
            </w:r>
          </w:p>
        </w:tc>
        <w:tc>
          <w:tcPr>
            <w:tcW w:w="503" w:type="pct"/>
            <w:gridSpan w:val="3"/>
            <w:tcMar>
              <w:left w:w="57" w:type="dxa"/>
              <w:right w:w="57" w:type="dxa"/>
            </w:tcMar>
            <w:vAlign w:val="center"/>
          </w:tcPr>
          <w:p w:rsidR="00EE4502" w:rsidRDefault="00FD45A3">
            <w:pPr>
              <w:widowControl/>
              <w:tabs>
                <w:tab w:val="left" w:pos="377"/>
              </w:tabs>
              <w:jc w:val="center"/>
              <w:rPr>
                <w:szCs w:val="21"/>
              </w:rPr>
            </w:pPr>
            <w:r>
              <w:rPr>
                <w:rFonts w:hint="eastAsia"/>
                <w:szCs w:val="21"/>
              </w:rPr>
              <w:t>6.23</w:t>
            </w:r>
          </w:p>
        </w:tc>
        <w:tc>
          <w:tcPr>
            <w:tcW w:w="561" w:type="pct"/>
            <w:gridSpan w:val="2"/>
            <w:vAlign w:val="center"/>
          </w:tcPr>
          <w:p w:rsidR="00EE4502" w:rsidRDefault="00FD45A3">
            <w:pPr>
              <w:widowControl/>
              <w:tabs>
                <w:tab w:val="left" w:pos="377"/>
              </w:tabs>
              <w:jc w:val="center"/>
              <w:rPr>
                <w:szCs w:val="21"/>
              </w:rPr>
            </w:pPr>
            <w:r>
              <w:rPr>
                <w:rFonts w:hint="eastAsia"/>
                <w:szCs w:val="21"/>
              </w:rPr>
              <w:t>6.81</w:t>
            </w:r>
          </w:p>
        </w:tc>
        <w:tc>
          <w:tcPr>
            <w:tcW w:w="361" w:type="pct"/>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r>
      <w:tr w:rsidR="00EE4502">
        <w:trPr>
          <w:cantSplit/>
          <w:trHeight w:val="397"/>
        </w:trPr>
        <w:tc>
          <w:tcPr>
            <w:tcW w:w="410" w:type="pct"/>
            <w:tcMar>
              <w:left w:w="57" w:type="dxa"/>
              <w:right w:w="57" w:type="dxa"/>
            </w:tcMar>
            <w:vAlign w:val="center"/>
          </w:tcPr>
          <w:p w:rsidR="00EE4502" w:rsidRDefault="00FD45A3">
            <w:pPr>
              <w:widowControl/>
              <w:tabs>
                <w:tab w:val="left" w:pos="377"/>
              </w:tabs>
              <w:jc w:val="center"/>
              <w:rPr>
                <w:szCs w:val="21"/>
              </w:rPr>
            </w:pPr>
            <w:r>
              <w:rPr>
                <w:rFonts w:hint="eastAsia"/>
                <w:szCs w:val="21"/>
              </w:rPr>
              <w:t>974.28</w:t>
            </w:r>
          </w:p>
        </w:tc>
        <w:tc>
          <w:tcPr>
            <w:tcW w:w="358"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57.23</w:t>
            </w:r>
          </w:p>
        </w:tc>
        <w:tc>
          <w:tcPr>
            <w:tcW w:w="359" w:type="pct"/>
            <w:gridSpan w:val="3"/>
            <w:tcMar>
              <w:left w:w="57" w:type="dxa"/>
              <w:right w:w="57" w:type="dxa"/>
            </w:tcMar>
            <w:vAlign w:val="center"/>
          </w:tcPr>
          <w:p w:rsidR="00EE4502" w:rsidRDefault="00FD45A3">
            <w:pPr>
              <w:widowControl/>
              <w:tabs>
                <w:tab w:val="left" w:pos="377"/>
              </w:tabs>
              <w:jc w:val="center"/>
              <w:rPr>
                <w:szCs w:val="21"/>
              </w:rPr>
            </w:pPr>
            <w:r>
              <w:rPr>
                <w:rFonts w:hint="eastAsia"/>
                <w:szCs w:val="21"/>
              </w:rPr>
              <w:t>93.83</w:t>
            </w:r>
          </w:p>
        </w:tc>
        <w:tc>
          <w:tcPr>
            <w:tcW w:w="462"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86.69</w:t>
            </w:r>
          </w:p>
        </w:tc>
        <w:tc>
          <w:tcPr>
            <w:tcW w:w="394"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929.23</w:t>
            </w:r>
          </w:p>
        </w:tc>
        <w:tc>
          <w:tcPr>
            <w:tcW w:w="359"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125.74</w:t>
            </w:r>
          </w:p>
        </w:tc>
        <w:tc>
          <w:tcPr>
            <w:tcW w:w="377"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7.26</w:t>
            </w:r>
          </w:p>
        </w:tc>
        <w:tc>
          <w:tcPr>
            <w:tcW w:w="347" w:type="pct"/>
            <w:gridSpan w:val="3"/>
            <w:tcMar>
              <w:left w:w="57" w:type="dxa"/>
              <w:right w:w="57" w:type="dxa"/>
            </w:tcMar>
            <w:vAlign w:val="center"/>
          </w:tcPr>
          <w:p w:rsidR="00EE4502" w:rsidRDefault="00FD45A3">
            <w:pPr>
              <w:widowControl/>
              <w:tabs>
                <w:tab w:val="left" w:pos="377"/>
              </w:tabs>
              <w:jc w:val="center"/>
              <w:rPr>
                <w:szCs w:val="21"/>
              </w:rPr>
            </w:pPr>
            <w:r>
              <w:rPr>
                <w:rFonts w:hint="eastAsia"/>
                <w:szCs w:val="21"/>
              </w:rPr>
              <w:t>125.53</w:t>
            </w:r>
          </w:p>
        </w:tc>
        <w:tc>
          <w:tcPr>
            <w:tcW w:w="503"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4.82</w:t>
            </w:r>
          </w:p>
        </w:tc>
        <w:tc>
          <w:tcPr>
            <w:tcW w:w="503" w:type="pct"/>
            <w:gridSpan w:val="3"/>
            <w:tcMar>
              <w:left w:w="57" w:type="dxa"/>
              <w:right w:w="57" w:type="dxa"/>
            </w:tcMar>
            <w:vAlign w:val="center"/>
          </w:tcPr>
          <w:p w:rsidR="00EE4502" w:rsidRDefault="00FD45A3">
            <w:pPr>
              <w:widowControl/>
              <w:tabs>
                <w:tab w:val="left" w:pos="377"/>
              </w:tabs>
              <w:jc w:val="center"/>
              <w:rPr>
                <w:szCs w:val="21"/>
              </w:rPr>
            </w:pPr>
            <w:r>
              <w:rPr>
                <w:rFonts w:hint="eastAsia"/>
                <w:szCs w:val="21"/>
              </w:rPr>
              <w:t>5.77</w:t>
            </w:r>
          </w:p>
        </w:tc>
        <w:tc>
          <w:tcPr>
            <w:tcW w:w="561" w:type="pct"/>
            <w:gridSpan w:val="2"/>
            <w:vAlign w:val="center"/>
          </w:tcPr>
          <w:p w:rsidR="00EE4502" w:rsidRDefault="00FD45A3">
            <w:pPr>
              <w:widowControl/>
              <w:tabs>
                <w:tab w:val="left" w:pos="377"/>
              </w:tabs>
              <w:jc w:val="center"/>
              <w:rPr>
                <w:szCs w:val="21"/>
              </w:rPr>
            </w:pPr>
            <w:r>
              <w:rPr>
                <w:rFonts w:hint="eastAsia"/>
                <w:szCs w:val="21"/>
              </w:rPr>
              <w:t>6.83</w:t>
            </w:r>
          </w:p>
        </w:tc>
        <w:tc>
          <w:tcPr>
            <w:tcW w:w="361" w:type="pct"/>
            <w:tcMar>
              <w:left w:w="57" w:type="dxa"/>
              <w:right w:w="57" w:type="dxa"/>
            </w:tcMar>
            <w:vAlign w:val="center"/>
          </w:tcPr>
          <w:p w:rsidR="00EE4502" w:rsidRDefault="00FD45A3">
            <w:pPr>
              <w:widowControl/>
              <w:tabs>
                <w:tab w:val="left" w:pos="377"/>
              </w:tabs>
              <w:jc w:val="center"/>
              <w:rPr>
                <w:szCs w:val="21"/>
              </w:rPr>
            </w:pPr>
            <w:r>
              <w:rPr>
                <w:rFonts w:hint="eastAsia"/>
                <w:szCs w:val="21"/>
              </w:rPr>
              <w:t>44.81</w:t>
            </w:r>
          </w:p>
        </w:tc>
      </w:tr>
      <w:tr w:rsidR="00EE4502">
        <w:trPr>
          <w:cantSplit/>
          <w:trHeight w:val="397"/>
        </w:trPr>
        <w:tc>
          <w:tcPr>
            <w:tcW w:w="410" w:type="pct"/>
            <w:tcMar>
              <w:left w:w="57" w:type="dxa"/>
              <w:right w:w="57" w:type="dxa"/>
            </w:tcMar>
            <w:vAlign w:val="center"/>
          </w:tcPr>
          <w:p w:rsidR="00EE4502" w:rsidRDefault="00FD45A3">
            <w:pPr>
              <w:widowControl/>
              <w:tabs>
                <w:tab w:val="left" w:pos="377"/>
              </w:tabs>
              <w:jc w:val="center"/>
              <w:rPr>
                <w:szCs w:val="21"/>
              </w:rPr>
            </w:pPr>
            <w:r>
              <w:rPr>
                <w:rFonts w:hint="eastAsia"/>
                <w:szCs w:val="21"/>
              </w:rPr>
              <w:t>1014.28</w:t>
            </w:r>
          </w:p>
        </w:tc>
        <w:tc>
          <w:tcPr>
            <w:tcW w:w="358"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63.89</w:t>
            </w:r>
          </w:p>
        </w:tc>
        <w:tc>
          <w:tcPr>
            <w:tcW w:w="359" w:type="pct"/>
            <w:gridSpan w:val="3"/>
            <w:tcMar>
              <w:left w:w="57" w:type="dxa"/>
              <w:right w:w="57" w:type="dxa"/>
            </w:tcMar>
            <w:vAlign w:val="center"/>
          </w:tcPr>
          <w:p w:rsidR="00EE4502" w:rsidRDefault="00FD45A3">
            <w:pPr>
              <w:widowControl/>
              <w:tabs>
                <w:tab w:val="left" w:pos="377"/>
              </w:tabs>
              <w:jc w:val="center"/>
              <w:rPr>
                <w:szCs w:val="21"/>
              </w:rPr>
            </w:pPr>
            <w:r>
              <w:rPr>
                <w:rFonts w:hint="eastAsia"/>
                <w:szCs w:val="21"/>
              </w:rPr>
              <w:t>100.97</w:t>
            </w:r>
          </w:p>
        </w:tc>
        <w:tc>
          <w:tcPr>
            <w:tcW w:w="462"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89.03</w:t>
            </w:r>
          </w:p>
        </w:tc>
        <w:tc>
          <w:tcPr>
            <w:tcW w:w="394"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948.90</w:t>
            </w:r>
          </w:p>
        </w:tc>
        <w:tc>
          <w:tcPr>
            <w:tcW w:w="359"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160.04</w:t>
            </w:r>
          </w:p>
        </w:tc>
        <w:tc>
          <w:tcPr>
            <w:tcW w:w="377"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2.71</w:t>
            </w:r>
          </w:p>
        </w:tc>
        <w:tc>
          <w:tcPr>
            <w:tcW w:w="347" w:type="pct"/>
            <w:gridSpan w:val="3"/>
            <w:tcMar>
              <w:left w:w="57" w:type="dxa"/>
              <w:right w:w="57" w:type="dxa"/>
            </w:tcMar>
            <w:vAlign w:val="center"/>
          </w:tcPr>
          <w:p w:rsidR="00EE4502" w:rsidRDefault="00FD45A3">
            <w:pPr>
              <w:widowControl/>
              <w:tabs>
                <w:tab w:val="left" w:pos="377"/>
              </w:tabs>
              <w:jc w:val="center"/>
              <w:rPr>
                <w:szCs w:val="21"/>
              </w:rPr>
            </w:pPr>
            <w:r>
              <w:rPr>
                <w:rFonts w:hint="eastAsia"/>
                <w:szCs w:val="21"/>
              </w:rPr>
              <w:t>160.02</w:t>
            </w:r>
          </w:p>
        </w:tc>
        <w:tc>
          <w:tcPr>
            <w:tcW w:w="503"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5.11</w:t>
            </w:r>
          </w:p>
        </w:tc>
        <w:tc>
          <w:tcPr>
            <w:tcW w:w="503" w:type="pct"/>
            <w:gridSpan w:val="3"/>
            <w:tcMar>
              <w:left w:w="57" w:type="dxa"/>
              <w:right w:w="57" w:type="dxa"/>
            </w:tcMar>
            <w:vAlign w:val="center"/>
          </w:tcPr>
          <w:p w:rsidR="00EE4502" w:rsidRDefault="00FD45A3">
            <w:pPr>
              <w:widowControl/>
              <w:tabs>
                <w:tab w:val="left" w:pos="377"/>
              </w:tabs>
              <w:jc w:val="center"/>
              <w:rPr>
                <w:szCs w:val="21"/>
              </w:rPr>
            </w:pPr>
            <w:r>
              <w:rPr>
                <w:rFonts w:hint="eastAsia"/>
                <w:szCs w:val="21"/>
              </w:rPr>
              <w:t>5.05</w:t>
            </w:r>
          </w:p>
        </w:tc>
        <w:tc>
          <w:tcPr>
            <w:tcW w:w="561" w:type="pct"/>
            <w:gridSpan w:val="2"/>
            <w:vAlign w:val="center"/>
          </w:tcPr>
          <w:p w:rsidR="00EE4502" w:rsidRDefault="00FD45A3">
            <w:pPr>
              <w:widowControl/>
              <w:tabs>
                <w:tab w:val="left" w:pos="377"/>
              </w:tabs>
              <w:jc w:val="center"/>
              <w:rPr>
                <w:szCs w:val="21"/>
              </w:rPr>
            </w:pPr>
            <w:r>
              <w:rPr>
                <w:rFonts w:hint="eastAsia"/>
                <w:szCs w:val="21"/>
              </w:rPr>
              <w:t>6.83</w:t>
            </w:r>
          </w:p>
        </w:tc>
        <w:tc>
          <w:tcPr>
            <w:tcW w:w="361" w:type="pct"/>
            <w:tcMar>
              <w:left w:w="57" w:type="dxa"/>
              <w:right w:w="57" w:type="dxa"/>
            </w:tcMar>
            <w:vAlign w:val="center"/>
          </w:tcPr>
          <w:p w:rsidR="00EE4502" w:rsidRDefault="00FD45A3">
            <w:pPr>
              <w:widowControl/>
              <w:tabs>
                <w:tab w:val="left" w:pos="377"/>
              </w:tabs>
              <w:jc w:val="center"/>
              <w:rPr>
                <w:szCs w:val="21"/>
              </w:rPr>
            </w:pPr>
            <w:r>
              <w:rPr>
                <w:rFonts w:hint="eastAsia"/>
                <w:szCs w:val="21"/>
              </w:rPr>
              <w:t>41.29</w:t>
            </w:r>
          </w:p>
        </w:tc>
      </w:tr>
      <w:tr w:rsidR="00EE4502">
        <w:trPr>
          <w:cantSplit/>
          <w:trHeight w:val="397"/>
        </w:trPr>
        <w:tc>
          <w:tcPr>
            <w:tcW w:w="410" w:type="pct"/>
            <w:tcMar>
              <w:left w:w="57" w:type="dxa"/>
              <w:right w:w="57" w:type="dxa"/>
            </w:tcMar>
            <w:vAlign w:val="center"/>
          </w:tcPr>
          <w:p w:rsidR="00EE4502" w:rsidRDefault="00FD45A3">
            <w:pPr>
              <w:widowControl/>
              <w:tabs>
                <w:tab w:val="left" w:pos="377"/>
              </w:tabs>
              <w:jc w:val="center"/>
              <w:rPr>
                <w:szCs w:val="21"/>
              </w:rPr>
            </w:pPr>
            <w:r>
              <w:rPr>
                <w:rFonts w:hint="eastAsia"/>
                <w:szCs w:val="21"/>
              </w:rPr>
              <w:t>1054.28</w:t>
            </w:r>
          </w:p>
        </w:tc>
        <w:tc>
          <w:tcPr>
            <w:tcW w:w="358"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70.86</w:t>
            </w:r>
          </w:p>
        </w:tc>
        <w:tc>
          <w:tcPr>
            <w:tcW w:w="359" w:type="pct"/>
            <w:gridSpan w:val="3"/>
            <w:tcMar>
              <w:left w:w="57" w:type="dxa"/>
              <w:right w:w="57" w:type="dxa"/>
            </w:tcMar>
            <w:vAlign w:val="center"/>
          </w:tcPr>
          <w:p w:rsidR="00EE4502" w:rsidRDefault="00FD45A3">
            <w:pPr>
              <w:widowControl/>
              <w:tabs>
                <w:tab w:val="left" w:pos="377"/>
              </w:tabs>
              <w:jc w:val="center"/>
              <w:rPr>
                <w:szCs w:val="21"/>
              </w:rPr>
            </w:pPr>
            <w:r>
              <w:rPr>
                <w:rFonts w:hint="eastAsia"/>
                <w:szCs w:val="21"/>
              </w:rPr>
              <w:t>107.31</w:t>
            </w:r>
          </w:p>
        </w:tc>
        <w:tc>
          <w:tcPr>
            <w:tcW w:w="462"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91.86</w:t>
            </w:r>
          </w:p>
        </w:tc>
        <w:tc>
          <w:tcPr>
            <w:tcW w:w="394"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964.29</w:t>
            </w:r>
          </w:p>
        </w:tc>
        <w:tc>
          <w:tcPr>
            <w:tcW w:w="359"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195.86</w:t>
            </w:r>
          </w:p>
        </w:tc>
        <w:tc>
          <w:tcPr>
            <w:tcW w:w="377"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-6.35</w:t>
            </w:r>
          </w:p>
        </w:tc>
        <w:tc>
          <w:tcPr>
            <w:tcW w:w="347" w:type="pct"/>
            <w:gridSpan w:val="3"/>
            <w:tcMar>
              <w:left w:w="57" w:type="dxa"/>
              <w:right w:w="57" w:type="dxa"/>
            </w:tcMar>
            <w:vAlign w:val="center"/>
          </w:tcPr>
          <w:p w:rsidR="00EE4502" w:rsidRDefault="00FD45A3">
            <w:pPr>
              <w:widowControl/>
              <w:tabs>
                <w:tab w:val="left" w:pos="377"/>
              </w:tabs>
              <w:jc w:val="center"/>
              <w:rPr>
                <w:szCs w:val="21"/>
              </w:rPr>
            </w:pPr>
            <w:r>
              <w:rPr>
                <w:rFonts w:hint="eastAsia"/>
                <w:szCs w:val="21"/>
              </w:rPr>
              <w:t>195.76</w:t>
            </w:r>
          </w:p>
        </w:tc>
        <w:tc>
          <w:tcPr>
            <w:tcW w:w="503"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5.31</w:t>
            </w:r>
          </w:p>
        </w:tc>
        <w:tc>
          <w:tcPr>
            <w:tcW w:w="503" w:type="pct"/>
            <w:gridSpan w:val="3"/>
            <w:tcMar>
              <w:left w:w="57" w:type="dxa"/>
              <w:right w:w="57" w:type="dxa"/>
            </w:tcMar>
            <w:vAlign w:val="center"/>
          </w:tcPr>
          <w:p w:rsidR="00EE4502" w:rsidRDefault="00FD45A3">
            <w:pPr>
              <w:widowControl/>
              <w:tabs>
                <w:tab w:val="left" w:pos="377"/>
              </w:tabs>
              <w:jc w:val="center"/>
              <w:rPr>
                <w:szCs w:val="21"/>
              </w:rPr>
            </w:pPr>
            <w:r>
              <w:rPr>
                <w:rFonts w:hint="eastAsia"/>
                <w:szCs w:val="21"/>
              </w:rPr>
              <w:t>4.56</w:t>
            </w:r>
          </w:p>
        </w:tc>
        <w:tc>
          <w:tcPr>
            <w:tcW w:w="561" w:type="pct"/>
            <w:gridSpan w:val="2"/>
            <w:vAlign w:val="center"/>
          </w:tcPr>
          <w:p w:rsidR="00EE4502" w:rsidRDefault="00FD45A3">
            <w:pPr>
              <w:widowControl/>
              <w:tabs>
                <w:tab w:val="left" w:pos="377"/>
              </w:tabs>
              <w:jc w:val="center"/>
              <w:rPr>
                <w:szCs w:val="21"/>
              </w:rPr>
            </w:pPr>
            <w:r>
              <w:rPr>
                <w:rFonts w:hint="eastAsia"/>
                <w:szCs w:val="21"/>
              </w:rPr>
              <w:t>6.83</w:t>
            </w:r>
          </w:p>
        </w:tc>
        <w:tc>
          <w:tcPr>
            <w:tcW w:w="361" w:type="pct"/>
            <w:tcMar>
              <w:left w:w="57" w:type="dxa"/>
              <w:right w:w="57" w:type="dxa"/>
            </w:tcMar>
            <w:vAlign w:val="center"/>
          </w:tcPr>
          <w:p w:rsidR="00EE4502" w:rsidRDefault="00FD45A3">
            <w:pPr>
              <w:widowControl/>
              <w:tabs>
                <w:tab w:val="left" w:pos="377"/>
              </w:tabs>
              <w:jc w:val="center"/>
              <w:rPr>
                <w:szCs w:val="21"/>
              </w:rPr>
            </w:pPr>
            <w:r>
              <w:rPr>
                <w:rFonts w:hint="eastAsia"/>
                <w:szCs w:val="21"/>
              </w:rPr>
              <w:t>38.85</w:t>
            </w:r>
          </w:p>
        </w:tc>
      </w:tr>
      <w:tr w:rsidR="00EE4502">
        <w:trPr>
          <w:cantSplit/>
          <w:trHeight w:val="397"/>
        </w:trPr>
        <w:tc>
          <w:tcPr>
            <w:tcW w:w="410" w:type="pct"/>
            <w:tcMar>
              <w:left w:w="57" w:type="dxa"/>
              <w:right w:w="57" w:type="dxa"/>
            </w:tcMar>
            <w:vAlign w:val="center"/>
          </w:tcPr>
          <w:p w:rsidR="00EE4502" w:rsidRDefault="00FD45A3">
            <w:pPr>
              <w:widowControl/>
              <w:tabs>
                <w:tab w:val="left" w:pos="377"/>
              </w:tabs>
              <w:jc w:val="center"/>
              <w:rPr>
                <w:szCs w:val="21"/>
              </w:rPr>
            </w:pPr>
            <w:r>
              <w:rPr>
                <w:rFonts w:hint="eastAsia"/>
                <w:szCs w:val="21"/>
              </w:rPr>
              <w:t>1094.28</w:t>
            </w:r>
          </w:p>
        </w:tc>
        <w:tc>
          <w:tcPr>
            <w:tcW w:w="358"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78.04</w:t>
            </w:r>
          </w:p>
        </w:tc>
        <w:tc>
          <w:tcPr>
            <w:tcW w:w="359" w:type="pct"/>
            <w:gridSpan w:val="3"/>
            <w:tcMar>
              <w:left w:w="57" w:type="dxa"/>
              <w:right w:w="57" w:type="dxa"/>
            </w:tcMar>
            <w:vAlign w:val="center"/>
          </w:tcPr>
          <w:p w:rsidR="00EE4502" w:rsidRDefault="00FD45A3">
            <w:pPr>
              <w:widowControl/>
              <w:tabs>
                <w:tab w:val="left" w:pos="377"/>
              </w:tabs>
              <w:jc w:val="center"/>
              <w:rPr>
                <w:szCs w:val="21"/>
              </w:rPr>
            </w:pPr>
            <w:r>
              <w:rPr>
                <w:rFonts w:hint="eastAsia"/>
                <w:szCs w:val="21"/>
              </w:rPr>
              <w:t>113.13</w:t>
            </w:r>
          </w:p>
        </w:tc>
        <w:tc>
          <w:tcPr>
            <w:tcW w:w="462"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94.85</w:t>
            </w:r>
          </w:p>
        </w:tc>
        <w:tc>
          <w:tcPr>
            <w:tcW w:w="394"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975.01</w:t>
            </w:r>
          </w:p>
        </w:tc>
        <w:tc>
          <w:tcPr>
            <w:tcW w:w="359"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232.70</w:t>
            </w:r>
          </w:p>
        </w:tc>
        <w:tc>
          <w:tcPr>
            <w:tcW w:w="377"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-19.68</w:t>
            </w:r>
          </w:p>
        </w:tc>
        <w:tc>
          <w:tcPr>
            <w:tcW w:w="347" w:type="pct"/>
            <w:gridSpan w:val="3"/>
            <w:tcMar>
              <w:left w:w="57" w:type="dxa"/>
              <w:right w:w="57" w:type="dxa"/>
            </w:tcMar>
            <w:vAlign w:val="center"/>
          </w:tcPr>
          <w:p w:rsidR="00EE4502" w:rsidRDefault="00FD45A3">
            <w:pPr>
              <w:widowControl/>
              <w:tabs>
                <w:tab w:val="left" w:pos="377"/>
              </w:tabs>
              <w:jc w:val="center"/>
              <w:rPr>
                <w:szCs w:val="21"/>
              </w:rPr>
            </w:pPr>
            <w:r>
              <w:rPr>
                <w:rFonts w:hint="eastAsia"/>
                <w:szCs w:val="21"/>
              </w:rPr>
              <w:t>231.87</w:t>
            </w:r>
          </w:p>
        </w:tc>
        <w:tc>
          <w:tcPr>
            <w:tcW w:w="503"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5.43</w:t>
            </w:r>
          </w:p>
        </w:tc>
        <w:tc>
          <w:tcPr>
            <w:tcW w:w="503" w:type="pct"/>
            <w:gridSpan w:val="3"/>
            <w:tcMar>
              <w:left w:w="57" w:type="dxa"/>
              <w:right w:w="57" w:type="dxa"/>
            </w:tcMar>
            <w:vAlign w:val="center"/>
          </w:tcPr>
          <w:p w:rsidR="00EE4502" w:rsidRDefault="00FD45A3">
            <w:pPr>
              <w:widowControl/>
              <w:tabs>
                <w:tab w:val="left" w:pos="377"/>
              </w:tabs>
              <w:jc w:val="center"/>
              <w:rPr>
                <w:szCs w:val="21"/>
              </w:rPr>
            </w:pPr>
            <w:r>
              <w:rPr>
                <w:rFonts w:hint="eastAsia"/>
                <w:szCs w:val="21"/>
              </w:rPr>
              <w:t>4.24</w:t>
            </w:r>
          </w:p>
        </w:tc>
        <w:tc>
          <w:tcPr>
            <w:tcW w:w="561" w:type="pct"/>
            <w:gridSpan w:val="2"/>
            <w:vAlign w:val="center"/>
          </w:tcPr>
          <w:p w:rsidR="00EE4502" w:rsidRDefault="00FD45A3">
            <w:pPr>
              <w:widowControl/>
              <w:tabs>
                <w:tab w:val="left" w:pos="377"/>
              </w:tabs>
              <w:jc w:val="center"/>
              <w:rPr>
                <w:szCs w:val="21"/>
              </w:rPr>
            </w:pPr>
            <w:r>
              <w:rPr>
                <w:rFonts w:hint="eastAsia"/>
                <w:szCs w:val="21"/>
              </w:rPr>
              <w:t>6.83</w:t>
            </w:r>
          </w:p>
        </w:tc>
        <w:tc>
          <w:tcPr>
            <w:tcW w:w="361" w:type="pct"/>
            <w:tcMar>
              <w:left w:w="57" w:type="dxa"/>
              <w:right w:w="57" w:type="dxa"/>
            </w:tcMar>
            <w:vAlign w:val="center"/>
          </w:tcPr>
          <w:p w:rsidR="00EE4502" w:rsidRDefault="00FD45A3">
            <w:pPr>
              <w:widowControl/>
              <w:tabs>
                <w:tab w:val="left" w:pos="377"/>
              </w:tabs>
              <w:jc w:val="center"/>
              <w:rPr>
                <w:szCs w:val="21"/>
              </w:rPr>
            </w:pPr>
            <w:r>
              <w:rPr>
                <w:rFonts w:hint="eastAsia"/>
                <w:szCs w:val="21"/>
              </w:rPr>
              <w:t>37.28</w:t>
            </w:r>
          </w:p>
        </w:tc>
      </w:tr>
      <w:tr w:rsidR="00EE4502">
        <w:trPr>
          <w:cantSplit/>
          <w:trHeight w:val="397"/>
        </w:trPr>
        <w:tc>
          <w:tcPr>
            <w:tcW w:w="410" w:type="pct"/>
            <w:tcMar>
              <w:left w:w="57" w:type="dxa"/>
              <w:right w:w="57" w:type="dxa"/>
            </w:tcMar>
            <w:vAlign w:val="center"/>
          </w:tcPr>
          <w:p w:rsidR="00EE4502" w:rsidRDefault="00FD45A3">
            <w:pPr>
              <w:widowControl/>
              <w:tabs>
                <w:tab w:val="left" w:pos="377"/>
              </w:tabs>
              <w:jc w:val="center"/>
              <w:rPr>
                <w:szCs w:val="21"/>
              </w:rPr>
            </w:pPr>
            <w:r>
              <w:rPr>
                <w:rFonts w:hint="eastAsia"/>
                <w:szCs w:val="21"/>
              </w:rPr>
              <w:t>1125.82</w:t>
            </w:r>
          </w:p>
        </w:tc>
        <w:tc>
          <w:tcPr>
            <w:tcW w:w="358"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83.78</w:t>
            </w:r>
          </w:p>
        </w:tc>
        <w:tc>
          <w:tcPr>
            <w:tcW w:w="359" w:type="pct"/>
            <w:gridSpan w:val="3"/>
            <w:tcMar>
              <w:left w:w="57" w:type="dxa"/>
              <w:right w:w="57" w:type="dxa"/>
            </w:tcMar>
            <w:vAlign w:val="center"/>
          </w:tcPr>
          <w:p w:rsidR="00EE4502" w:rsidRDefault="00FD45A3">
            <w:pPr>
              <w:widowControl/>
              <w:tabs>
                <w:tab w:val="left" w:pos="377"/>
              </w:tabs>
              <w:jc w:val="center"/>
              <w:rPr>
                <w:szCs w:val="21"/>
              </w:rPr>
            </w:pPr>
            <w:r>
              <w:rPr>
                <w:rFonts w:hint="eastAsia"/>
                <w:szCs w:val="21"/>
              </w:rPr>
              <w:t>117.50</w:t>
            </w:r>
          </w:p>
        </w:tc>
        <w:tc>
          <w:tcPr>
            <w:tcW w:w="462"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97.23</w:t>
            </w:r>
          </w:p>
        </w:tc>
        <w:tc>
          <w:tcPr>
            <w:tcW w:w="394"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980.00</w:t>
            </w:r>
          </w:p>
        </w:tc>
        <w:tc>
          <w:tcPr>
            <w:tcW w:w="359"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262.09</w:t>
            </w:r>
          </w:p>
        </w:tc>
        <w:tc>
          <w:tcPr>
            <w:tcW w:w="377"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-33.00</w:t>
            </w:r>
          </w:p>
        </w:tc>
        <w:tc>
          <w:tcPr>
            <w:tcW w:w="347" w:type="pct"/>
            <w:gridSpan w:val="3"/>
            <w:tcMar>
              <w:left w:w="57" w:type="dxa"/>
              <w:right w:w="57" w:type="dxa"/>
            </w:tcMar>
            <w:vAlign w:val="center"/>
          </w:tcPr>
          <w:p w:rsidR="00EE4502" w:rsidRDefault="00FD45A3">
            <w:pPr>
              <w:widowControl/>
              <w:tabs>
                <w:tab w:val="left" w:pos="377"/>
              </w:tabs>
              <w:jc w:val="center"/>
              <w:rPr>
                <w:szCs w:val="21"/>
              </w:rPr>
            </w:pPr>
            <w:r>
              <w:rPr>
                <w:rFonts w:hint="eastAsia"/>
                <w:szCs w:val="21"/>
              </w:rPr>
              <w:t>260.00</w:t>
            </w:r>
          </w:p>
        </w:tc>
        <w:tc>
          <w:tcPr>
            <w:tcW w:w="503"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5.48</w:t>
            </w:r>
          </w:p>
        </w:tc>
        <w:tc>
          <w:tcPr>
            <w:tcW w:w="503" w:type="pct"/>
            <w:gridSpan w:val="3"/>
            <w:tcMar>
              <w:left w:w="57" w:type="dxa"/>
              <w:right w:w="57" w:type="dxa"/>
            </w:tcMar>
            <w:vAlign w:val="center"/>
          </w:tcPr>
          <w:p w:rsidR="00EE4502" w:rsidRDefault="00FD45A3">
            <w:pPr>
              <w:widowControl/>
              <w:tabs>
                <w:tab w:val="left" w:pos="377"/>
              </w:tabs>
              <w:jc w:val="center"/>
              <w:rPr>
                <w:szCs w:val="21"/>
              </w:rPr>
            </w:pPr>
            <w:r>
              <w:rPr>
                <w:rFonts w:hint="eastAsia"/>
                <w:szCs w:val="21"/>
              </w:rPr>
              <w:t>4.10</w:t>
            </w:r>
          </w:p>
        </w:tc>
        <w:tc>
          <w:tcPr>
            <w:tcW w:w="561" w:type="pct"/>
            <w:gridSpan w:val="2"/>
            <w:vAlign w:val="center"/>
          </w:tcPr>
          <w:p w:rsidR="00EE4502" w:rsidRDefault="00FD45A3">
            <w:pPr>
              <w:widowControl/>
              <w:tabs>
                <w:tab w:val="left" w:pos="377"/>
              </w:tabs>
              <w:jc w:val="center"/>
              <w:rPr>
                <w:szCs w:val="21"/>
              </w:rPr>
            </w:pPr>
            <w:r>
              <w:rPr>
                <w:rFonts w:hint="eastAsia"/>
                <w:szCs w:val="21"/>
              </w:rPr>
              <w:t>6.83</w:t>
            </w:r>
          </w:p>
        </w:tc>
        <w:tc>
          <w:tcPr>
            <w:tcW w:w="361" w:type="pct"/>
            <w:tcMar>
              <w:left w:w="57" w:type="dxa"/>
              <w:right w:w="57" w:type="dxa"/>
            </w:tcMar>
            <w:vAlign w:val="center"/>
          </w:tcPr>
          <w:p w:rsidR="00EE4502" w:rsidRDefault="00FD45A3">
            <w:pPr>
              <w:widowControl/>
              <w:tabs>
                <w:tab w:val="left" w:pos="377"/>
              </w:tabs>
              <w:jc w:val="center"/>
              <w:rPr>
                <w:szCs w:val="21"/>
              </w:rPr>
            </w:pPr>
            <w:r>
              <w:rPr>
                <w:rFonts w:hint="eastAsia"/>
                <w:szCs w:val="21"/>
              </w:rPr>
              <w:t>36.59</w:t>
            </w:r>
          </w:p>
        </w:tc>
      </w:tr>
      <w:tr w:rsidR="00EE4502">
        <w:trPr>
          <w:cantSplit/>
          <w:trHeight w:val="397"/>
        </w:trPr>
        <w:tc>
          <w:tcPr>
            <w:tcW w:w="410" w:type="pct"/>
            <w:tcMar>
              <w:left w:w="57" w:type="dxa"/>
              <w:right w:w="57" w:type="dxa"/>
            </w:tcMar>
            <w:vAlign w:val="center"/>
          </w:tcPr>
          <w:p w:rsidR="00EE4502" w:rsidRDefault="00FD45A3">
            <w:pPr>
              <w:widowControl/>
              <w:tabs>
                <w:tab w:val="left" w:pos="377"/>
              </w:tabs>
              <w:jc w:val="center"/>
              <w:rPr>
                <w:szCs w:val="21"/>
              </w:rPr>
            </w:pPr>
            <w:r>
              <w:rPr>
                <w:rFonts w:hint="eastAsia"/>
                <w:szCs w:val="21"/>
              </w:rPr>
              <w:t>1225.82</w:t>
            </w:r>
          </w:p>
        </w:tc>
        <w:tc>
          <w:tcPr>
            <w:tcW w:w="358"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83.78</w:t>
            </w:r>
          </w:p>
        </w:tc>
        <w:tc>
          <w:tcPr>
            <w:tcW w:w="359" w:type="pct"/>
            <w:gridSpan w:val="3"/>
            <w:tcMar>
              <w:left w:w="57" w:type="dxa"/>
              <w:right w:w="57" w:type="dxa"/>
            </w:tcMar>
            <w:vAlign w:val="center"/>
          </w:tcPr>
          <w:p w:rsidR="00EE4502" w:rsidRDefault="00FD45A3">
            <w:pPr>
              <w:widowControl/>
              <w:tabs>
                <w:tab w:val="left" w:pos="377"/>
              </w:tabs>
              <w:jc w:val="center"/>
              <w:rPr>
                <w:szCs w:val="21"/>
              </w:rPr>
            </w:pPr>
            <w:r>
              <w:rPr>
                <w:rFonts w:hint="eastAsia"/>
                <w:szCs w:val="21"/>
              </w:rPr>
              <w:t>117.50</w:t>
            </w:r>
          </w:p>
        </w:tc>
        <w:tc>
          <w:tcPr>
            <w:tcW w:w="462"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102.77</w:t>
            </w:r>
          </w:p>
        </w:tc>
        <w:tc>
          <w:tcPr>
            <w:tcW w:w="394"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990.84</w:t>
            </w:r>
          </w:p>
        </w:tc>
        <w:tc>
          <w:tcPr>
            <w:tcW w:w="359"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357.01</w:t>
            </w:r>
          </w:p>
        </w:tc>
        <w:tc>
          <w:tcPr>
            <w:tcW w:w="377"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-78.90</w:t>
            </w:r>
          </w:p>
        </w:tc>
        <w:tc>
          <w:tcPr>
            <w:tcW w:w="347" w:type="pct"/>
            <w:gridSpan w:val="3"/>
            <w:tcMar>
              <w:left w:w="57" w:type="dxa"/>
              <w:right w:w="57" w:type="dxa"/>
            </w:tcMar>
            <w:vAlign w:val="center"/>
          </w:tcPr>
          <w:p w:rsidR="00EE4502" w:rsidRDefault="00FD45A3">
            <w:pPr>
              <w:widowControl/>
              <w:tabs>
                <w:tab w:val="left" w:pos="377"/>
              </w:tabs>
              <w:jc w:val="center"/>
              <w:rPr>
                <w:szCs w:val="21"/>
              </w:rPr>
            </w:pPr>
            <w:r>
              <w:rPr>
                <w:rFonts w:hint="eastAsia"/>
                <w:szCs w:val="21"/>
              </w:rPr>
              <w:t>348.18</w:t>
            </w:r>
          </w:p>
        </w:tc>
        <w:tc>
          <w:tcPr>
            <w:tcW w:w="503"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503" w:type="pct"/>
            <w:gridSpan w:val="3"/>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561" w:type="pct"/>
            <w:gridSpan w:val="2"/>
            <w:vAlign w:val="center"/>
          </w:tcPr>
          <w:p w:rsidR="00EE4502" w:rsidRDefault="00FD45A3">
            <w:pPr>
              <w:widowControl/>
              <w:tabs>
                <w:tab w:val="left" w:pos="377"/>
              </w:tabs>
              <w:jc w:val="center"/>
              <w:rPr>
                <w:szCs w:val="21"/>
              </w:rPr>
            </w:pPr>
            <w:r>
              <w:rPr>
                <w:rFonts w:hint="eastAsia"/>
                <w:szCs w:val="21"/>
              </w:rPr>
              <w:t>0.00</w:t>
            </w:r>
          </w:p>
        </w:tc>
        <w:tc>
          <w:tcPr>
            <w:tcW w:w="361" w:type="pct"/>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r>
      <w:tr w:rsidR="00EE4502">
        <w:trPr>
          <w:cantSplit/>
          <w:trHeight w:val="397"/>
        </w:trPr>
        <w:tc>
          <w:tcPr>
            <w:tcW w:w="410" w:type="pct"/>
            <w:tcMar>
              <w:left w:w="57" w:type="dxa"/>
              <w:right w:w="57" w:type="dxa"/>
            </w:tcMar>
            <w:vAlign w:val="center"/>
          </w:tcPr>
          <w:p w:rsidR="00EE4502" w:rsidRDefault="00FD45A3">
            <w:pPr>
              <w:widowControl/>
              <w:tabs>
                <w:tab w:val="left" w:pos="377"/>
              </w:tabs>
              <w:jc w:val="center"/>
              <w:rPr>
                <w:szCs w:val="21"/>
              </w:rPr>
            </w:pPr>
            <w:r>
              <w:rPr>
                <w:rFonts w:hint="eastAsia"/>
                <w:szCs w:val="21"/>
              </w:rPr>
              <w:t>1325.82</w:t>
            </w:r>
          </w:p>
        </w:tc>
        <w:tc>
          <w:tcPr>
            <w:tcW w:w="358"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83.78</w:t>
            </w:r>
          </w:p>
        </w:tc>
        <w:tc>
          <w:tcPr>
            <w:tcW w:w="359" w:type="pct"/>
            <w:gridSpan w:val="3"/>
            <w:tcMar>
              <w:left w:w="57" w:type="dxa"/>
              <w:right w:w="57" w:type="dxa"/>
            </w:tcMar>
            <w:vAlign w:val="center"/>
          </w:tcPr>
          <w:p w:rsidR="00EE4502" w:rsidRDefault="00FD45A3">
            <w:pPr>
              <w:widowControl/>
              <w:tabs>
                <w:tab w:val="left" w:pos="377"/>
              </w:tabs>
              <w:jc w:val="center"/>
              <w:rPr>
                <w:szCs w:val="21"/>
              </w:rPr>
            </w:pPr>
            <w:r>
              <w:rPr>
                <w:rFonts w:hint="eastAsia"/>
                <w:szCs w:val="21"/>
              </w:rPr>
              <w:t>117.50</w:t>
            </w:r>
          </w:p>
        </w:tc>
        <w:tc>
          <w:tcPr>
            <w:tcW w:w="462"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105.96</w:t>
            </w:r>
          </w:p>
        </w:tc>
        <w:tc>
          <w:tcPr>
            <w:tcW w:w="394"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1001.68</w:t>
            </w:r>
          </w:p>
        </w:tc>
        <w:tc>
          <w:tcPr>
            <w:tcW w:w="359"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453.86</w:t>
            </w:r>
          </w:p>
        </w:tc>
        <w:tc>
          <w:tcPr>
            <w:tcW w:w="377"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-124.79</w:t>
            </w:r>
          </w:p>
        </w:tc>
        <w:tc>
          <w:tcPr>
            <w:tcW w:w="347" w:type="pct"/>
            <w:gridSpan w:val="3"/>
            <w:tcMar>
              <w:left w:w="57" w:type="dxa"/>
              <w:right w:w="57" w:type="dxa"/>
            </w:tcMar>
            <w:vAlign w:val="center"/>
          </w:tcPr>
          <w:p w:rsidR="00EE4502" w:rsidRDefault="00FD45A3">
            <w:pPr>
              <w:widowControl/>
              <w:tabs>
                <w:tab w:val="left" w:pos="377"/>
              </w:tabs>
              <w:jc w:val="center"/>
              <w:rPr>
                <w:szCs w:val="21"/>
              </w:rPr>
            </w:pPr>
            <w:r>
              <w:rPr>
                <w:rFonts w:hint="eastAsia"/>
                <w:szCs w:val="21"/>
              </w:rPr>
              <w:t>436.36</w:t>
            </w:r>
          </w:p>
        </w:tc>
        <w:tc>
          <w:tcPr>
            <w:tcW w:w="503"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503" w:type="pct"/>
            <w:gridSpan w:val="3"/>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561" w:type="pct"/>
            <w:gridSpan w:val="2"/>
            <w:vAlign w:val="center"/>
          </w:tcPr>
          <w:p w:rsidR="00EE4502" w:rsidRDefault="00FD45A3">
            <w:pPr>
              <w:widowControl/>
              <w:tabs>
                <w:tab w:val="left" w:pos="377"/>
              </w:tabs>
              <w:jc w:val="center"/>
              <w:rPr>
                <w:szCs w:val="21"/>
              </w:rPr>
            </w:pPr>
            <w:r>
              <w:rPr>
                <w:rFonts w:hint="eastAsia"/>
                <w:szCs w:val="21"/>
              </w:rPr>
              <w:t>0.00</w:t>
            </w:r>
          </w:p>
        </w:tc>
        <w:tc>
          <w:tcPr>
            <w:tcW w:w="361" w:type="pct"/>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r>
      <w:tr w:rsidR="00EE4502">
        <w:trPr>
          <w:cantSplit/>
          <w:trHeight w:val="397"/>
        </w:trPr>
        <w:tc>
          <w:tcPr>
            <w:tcW w:w="410" w:type="pct"/>
            <w:tcMar>
              <w:left w:w="57" w:type="dxa"/>
              <w:right w:w="57" w:type="dxa"/>
            </w:tcMar>
            <w:vAlign w:val="center"/>
          </w:tcPr>
          <w:p w:rsidR="00EE4502" w:rsidRDefault="00FD45A3">
            <w:pPr>
              <w:widowControl/>
              <w:tabs>
                <w:tab w:val="left" w:pos="377"/>
              </w:tabs>
              <w:jc w:val="center"/>
              <w:rPr>
                <w:szCs w:val="21"/>
              </w:rPr>
            </w:pPr>
            <w:r>
              <w:rPr>
                <w:rFonts w:hint="eastAsia"/>
                <w:szCs w:val="21"/>
              </w:rPr>
              <w:t>1425.82</w:t>
            </w:r>
          </w:p>
        </w:tc>
        <w:tc>
          <w:tcPr>
            <w:tcW w:w="358"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83.78</w:t>
            </w:r>
          </w:p>
        </w:tc>
        <w:tc>
          <w:tcPr>
            <w:tcW w:w="359" w:type="pct"/>
            <w:gridSpan w:val="3"/>
            <w:tcMar>
              <w:left w:w="57" w:type="dxa"/>
              <w:right w:w="57" w:type="dxa"/>
            </w:tcMar>
            <w:vAlign w:val="center"/>
          </w:tcPr>
          <w:p w:rsidR="00EE4502" w:rsidRDefault="00FD45A3">
            <w:pPr>
              <w:widowControl/>
              <w:tabs>
                <w:tab w:val="left" w:pos="377"/>
              </w:tabs>
              <w:jc w:val="center"/>
              <w:rPr>
                <w:szCs w:val="21"/>
              </w:rPr>
            </w:pPr>
            <w:r>
              <w:rPr>
                <w:rFonts w:hint="eastAsia"/>
                <w:szCs w:val="21"/>
              </w:rPr>
              <w:t>117.50</w:t>
            </w:r>
          </w:p>
        </w:tc>
        <w:tc>
          <w:tcPr>
            <w:tcW w:w="462"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108.03</w:t>
            </w:r>
          </w:p>
        </w:tc>
        <w:tc>
          <w:tcPr>
            <w:tcW w:w="394"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1012.53</w:t>
            </w:r>
          </w:p>
        </w:tc>
        <w:tc>
          <w:tcPr>
            <w:tcW w:w="359"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551.62</w:t>
            </w:r>
          </w:p>
        </w:tc>
        <w:tc>
          <w:tcPr>
            <w:tcW w:w="377"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-170.69</w:t>
            </w:r>
          </w:p>
        </w:tc>
        <w:tc>
          <w:tcPr>
            <w:tcW w:w="347" w:type="pct"/>
            <w:gridSpan w:val="3"/>
            <w:tcMar>
              <w:left w:w="57" w:type="dxa"/>
              <w:right w:w="57" w:type="dxa"/>
            </w:tcMar>
            <w:vAlign w:val="center"/>
          </w:tcPr>
          <w:p w:rsidR="00EE4502" w:rsidRDefault="00FD45A3">
            <w:pPr>
              <w:widowControl/>
              <w:tabs>
                <w:tab w:val="left" w:pos="377"/>
              </w:tabs>
              <w:jc w:val="center"/>
              <w:rPr>
                <w:szCs w:val="21"/>
              </w:rPr>
            </w:pPr>
            <w:r>
              <w:rPr>
                <w:rFonts w:hint="eastAsia"/>
                <w:szCs w:val="21"/>
              </w:rPr>
              <w:t>524.54</w:t>
            </w:r>
          </w:p>
        </w:tc>
        <w:tc>
          <w:tcPr>
            <w:tcW w:w="503"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503" w:type="pct"/>
            <w:gridSpan w:val="3"/>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561" w:type="pct"/>
            <w:gridSpan w:val="2"/>
            <w:vAlign w:val="center"/>
          </w:tcPr>
          <w:p w:rsidR="00EE4502" w:rsidRDefault="00FD45A3">
            <w:pPr>
              <w:widowControl/>
              <w:tabs>
                <w:tab w:val="left" w:pos="377"/>
              </w:tabs>
              <w:jc w:val="center"/>
              <w:rPr>
                <w:szCs w:val="21"/>
              </w:rPr>
            </w:pPr>
            <w:r>
              <w:rPr>
                <w:rFonts w:hint="eastAsia"/>
                <w:szCs w:val="21"/>
              </w:rPr>
              <w:t>0.00</w:t>
            </w:r>
          </w:p>
        </w:tc>
        <w:tc>
          <w:tcPr>
            <w:tcW w:w="361" w:type="pct"/>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r>
      <w:tr w:rsidR="00EE4502">
        <w:trPr>
          <w:cantSplit/>
          <w:trHeight w:val="397"/>
        </w:trPr>
        <w:tc>
          <w:tcPr>
            <w:tcW w:w="410" w:type="pct"/>
            <w:tcMar>
              <w:left w:w="57" w:type="dxa"/>
              <w:right w:w="57" w:type="dxa"/>
            </w:tcMar>
            <w:vAlign w:val="center"/>
          </w:tcPr>
          <w:p w:rsidR="00EE4502" w:rsidRDefault="00FD45A3">
            <w:pPr>
              <w:widowControl/>
              <w:tabs>
                <w:tab w:val="left" w:pos="377"/>
              </w:tabs>
              <w:jc w:val="center"/>
              <w:rPr>
                <w:szCs w:val="21"/>
              </w:rPr>
            </w:pPr>
            <w:r>
              <w:rPr>
                <w:rFonts w:hint="eastAsia"/>
                <w:szCs w:val="21"/>
              </w:rPr>
              <w:t>1525.82</w:t>
            </w:r>
          </w:p>
        </w:tc>
        <w:tc>
          <w:tcPr>
            <w:tcW w:w="358"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83.78</w:t>
            </w:r>
          </w:p>
        </w:tc>
        <w:tc>
          <w:tcPr>
            <w:tcW w:w="359" w:type="pct"/>
            <w:gridSpan w:val="3"/>
            <w:tcMar>
              <w:left w:w="57" w:type="dxa"/>
              <w:right w:w="57" w:type="dxa"/>
            </w:tcMar>
            <w:vAlign w:val="center"/>
          </w:tcPr>
          <w:p w:rsidR="00EE4502" w:rsidRDefault="00FD45A3">
            <w:pPr>
              <w:widowControl/>
              <w:tabs>
                <w:tab w:val="left" w:pos="377"/>
              </w:tabs>
              <w:jc w:val="center"/>
              <w:rPr>
                <w:szCs w:val="21"/>
              </w:rPr>
            </w:pPr>
            <w:r>
              <w:rPr>
                <w:rFonts w:hint="eastAsia"/>
                <w:szCs w:val="21"/>
              </w:rPr>
              <w:t>117.50</w:t>
            </w:r>
          </w:p>
        </w:tc>
        <w:tc>
          <w:tcPr>
            <w:tcW w:w="462"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109.47</w:t>
            </w:r>
          </w:p>
        </w:tc>
        <w:tc>
          <w:tcPr>
            <w:tcW w:w="394"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1023.37</w:t>
            </w:r>
          </w:p>
        </w:tc>
        <w:tc>
          <w:tcPr>
            <w:tcW w:w="359"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649.88</w:t>
            </w:r>
          </w:p>
        </w:tc>
        <w:tc>
          <w:tcPr>
            <w:tcW w:w="377"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-216.59</w:t>
            </w:r>
          </w:p>
        </w:tc>
        <w:tc>
          <w:tcPr>
            <w:tcW w:w="347" w:type="pct"/>
            <w:gridSpan w:val="3"/>
            <w:tcMar>
              <w:left w:w="57" w:type="dxa"/>
              <w:right w:w="57" w:type="dxa"/>
            </w:tcMar>
            <w:vAlign w:val="center"/>
          </w:tcPr>
          <w:p w:rsidR="00EE4502" w:rsidRDefault="00FD45A3">
            <w:pPr>
              <w:widowControl/>
              <w:tabs>
                <w:tab w:val="left" w:pos="377"/>
              </w:tabs>
              <w:jc w:val="center"/>
              <w:rPr>
                <w:szCs w:val="21"/>
              </w:rPr>
            </w:pPr>
            <w:r>
              <w:rPr>
                <w:rFonts w:hint="eastAsia"/>
                <w:szCs w:val="21"/>
              </w:rPr>
              <w:t>612.72</w:t>
            </w:r>
          </w:p>
        </w:tc>
        <w:tc>
          <w:tcPr>
            <w:tcW w:w="503"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503" w:type="pct"/>
            <w:gridSpan w:val="3"/>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561" w:type="pct"/>
            <w:gridSpan w:val="2"/>
            <w:vAlign w:val="center"/>
          </w:tcPr>
          <w:p w:rsidR="00EE4502" w:rsidRDefault="00FD45A3">
            <w:pPr>
              <w:widowControl/>
              <w:tabs>
                <w:tab w:val="left" w:pos="377"/>
              </w:tabs>
              <w:jc w:val="center"/>
              <w:rPr>
                <w:szCs w:val="21"/>
              </w:rPr>
            </w:pPr>
            <w:r>
              <w:rPr>
                <w:rFonts w:hint="eastAsia"/>
                <w:szCs w:val="21"/>
              </w:rPr>
              <w:t>0.00</w:t>
            </w:r>
          </w:p>
        </w:tc>
        <w:tc>
          <w:tcPr>
            <w:tcW w:w="361" w:type="pct"/>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r>
      <w:tr w:rsidR="00EE4502">
        <w:trPr>
          <w:cantSplit/>
          <w:trHeight w:val="397"/>
        </w:trPr>
        <w:tc>
          <w:tcPr>
            <w:tcW w:w="410" w:type="pct"/>
            <w:tcMar>
              <w:left w:w="57" w:type="dxa"/>
              <w:right w:w="57" w:type="dxa"/>
            </w:tcMar>
            <w:vAlign w:val="center"/>
          </w:tcPr>
          <w:p w:rsidR="00EE4502" w:rsidRDefault="00FD45A3">
            <w:pPr>
              <w:widowControl/>
              <w:tabs>
                <w:tab w:val="left" w:pos="377"/>
              </w:tabs>
              <w:jc w:val="center"/>
              <w:rPr>
                <w:szCs w:val="21"/>
              </w:rPr>
            </w:pPr>
            <w:r>
              <w:rPr>
                <w:rFonts w:hint="eastAsia"/>
                <w:szCs w:val="21"/>
              </w:rPr>
              <w:t>1625.82</w:t>
            </w:r>
          </w:p>
        </w:tc>
        <w:tc>
          <w:tcPr>
            <w:tcW w:w="358"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83.78</w:t>
            </w:r>
          </w:p>
        </w:tc>
        <w:tc>
          <w:tcPr>
            <w:tcW w:w="359" w:type="pct"/>
            <w:gridSpan w:val="3"/>
            <w:tcMar>
              <w:left w:w="57" w:type="dxa"/>
              <w:right w:w="57" w:type="dxa"/>
            </w:tcMar>
            <w:vAlign w:val="center"/>
          </w:tcPr>
          <w:p w:rsidR="00EE4502" w:rsidRDefault="00FD45A3">
            <w:pPr>
              <w:widowControl/>
              <w:tabs>
                <w:tab w:val="left" w:pos="377"/>
              </w:tabs>
              <w:jc w:val="center"/>
              <w:rPr>
                <w:szCs w:val="21"/>
              </w:rPr>
            </w:pPr>
            <w:r>
              <w:rPr>
                <w:rFonts w:hint="eastAsia"/>
                <w:szCs w:val="21"/>
              </w:rPr>
              <w:t>117.50</w:t>
            </w:r>
          </w:p>
        </w:tc>
        <w:tc>
          <w:tcPr>
            <w:tcW w:w="462"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110.53</w:t>
            </w:r>
          </w:p>
        </w:tc>
        <w:tc>
          <w:tcPr>
            <w:tcW w:w="394"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1034.21</w:t>
            </w:r>
          </w:p>
        </w:tc>
        <w:tc>
          <w:tcPr>
            <w:tcW w:w="359"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748.44</w:t>
            </w:r>
          </w:p>
        </w:tc>
        <w:tc>
          <w:tcPr>
            <w:tcW w:w="377"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-262.49</w:t>
            </w:r>
          </w:p>
        </w:tc>
        <w:tc>
          <w:tcPr>
            <w:tcW w:w="347" w:type="pct"/>
            <w:gridSpan w:val="3"/>
            <w:tcMar>
              <w:left w:w="57" w:type="dxa"/>
              <w:right w:w="57" w:type="dxa"/>
            </w:tcMar>
            <w:vAlign w:val="center"/>
          </w:tcPr>
          <w:p w:rsidR="00EE4502" w:rsidRDefault="00FD45A3">
            <w:pPr>
              <w:widowControl/>
              <w:tabs>
                <w:tab w:val="left" w:pos="377"/>
              </w:tabs>
              <w:jc w:val="center"/>
              <w:rPr>
                <w:szCs w:val="21"/>
              </w:rPr>
            </w:pPr>
            <w:r>
              <w:rPr>
                <w:rFonts w:hint="eastAsia"/>
                <w:szCs w:val="21"/>
              </w:rPr>
              <w:t>700.90</w:t>
            </w:r>
          </w:p>
        </w:tc>
        <w:tc>
          <w:tcPr>
            <w:tcW w:w="503"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503" w:type="pct"/>
            <w:gridSpan w:val="3"/>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561" w:type="pct"/>
            <w:gridSpan w:val="2"/>
            <w:vAlign w:val="center"/>
          </w:tcPr>
          <w:p w:rsidR="00EE4502" w:rsidRDefault="00FD45A3">
            <w:pPr>
              <w:widowControl/>
              <w:tabs>
                <w:tab w:val="left" w:pos="377"/>
              </w:tabs>
              <w:jc w:val="center"/>
              <w:rPr>
                <w:szCs w:val="21"/>
              </w:rPr>
            </w:pPr>
            <w:r>
              <w:rPr>
                <w:rFonts w:hint="eastAsia"/>
                <w:szCs w:val="21"/>
              </w:rPr>
              <w:t>0.00</w:t>
            </w:r>
          </w:p>
        </w:tc>
        <w:tc>
          <w:tcPr>
            <w:tcW w:w="361" w:type="pct"/>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r>
      <w:tr w:rsidR="00EE4502">
        <w:trPr>
          <w:cantSplit/>
          <w:trHeight w:val="397"/>
        </w:trPr>
        <w:tc>
          <w:tcPr>
            <w:tcW w:w="410" w:type="pct"/>
            <w:tcMar>
              <w:left w:w="57" w:type="dxa"/>
              <w:right w:w="57" w:type="dxa"/>
            </w:tcMar>
            <w:vAlign w:val="center"/>
          </w:tcPr>
          <w:p w:rsidR="00EE4502" w:rsidRDefault="00FD45A3">
            <w:pPr>
              <w:widowControl/>
              <w:tabs>
                <w:tab w:val="left" w:pos="377"/>
              </w:tabs>
              <w:jc w:val="center"/>
              <w:rPr>
                <w:szCs w:val="21"/>
              </w:rPr>
            </w:pPr>
            <w:r>
              <w:rPr>
                <w:rFonts w:hint="eastAsia"/>
                <w:szCs w:val="21"/>
              </w:rPr>
              <w:t>1679.23</w:t>
            </w:r>
          </w:p>
        </w:tc>
        <w:tc>
          <w:tcPr>
            <w:tcW w:w="358"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83.78</w:t>
            </w:r>
          </w:p>
        </w:tc>
        <w:tc>
          <w:tcPr>
            <w:tcW w:w="359" w:type="pct"/>
            <w:gridSpan w:val="3"/>
            <w:tcMar>
              <w:left w:w="57" w:type="dxa"/>
              <w:right w:w="57" w:type="dxa"/>
            </w:tcMar>
            <w:vAlign w:val="center"/>
          </w:tcPr>
          <w:p w:rsidR="00EE4502" w:rsidRDefault="00FD45A3">
            <w:pPr>
              <w:widowControl/>
              <w:tabs>
                <w:tab w:val="left" w:pos="377"/>
              </w:tabs>
              <w:jc w:val="center"/>
              <w:rPr>
                <w:szCs w:val="21"/>
              </w:rPr>
            </w:pPr>
            <w:r>
              <w:rPr>
                <w:rFonts w:hint="eastAsia"/>
                <w:szCs w:val="21"/>
              </w:rPr>
              <w:t>117.50</w:t>
            </w:r>
          </w:p>
        </w:tc>
        <w:tc>
          <w:tcPr>
            <w:tcW w:w="462"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110.99</w:t>
            </w:r>
          </w:p>
        </w:tc>
        <w:tc>
          <w:tcPr>
            <w:tcW w:w="394"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1040.00</w:t>
            </w:r>
          </w:p>
        </w:tc>
        <w:tc>
          <w:tcPr>
            <w:tcW w:w="359"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801.17</w:t>
            </w:r>
          </w:p>
        </w:tc>
        <w:tc>
          <w:tcPr>
            <w:tcW w:w="377"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-287.00</w:t>
            </w:r>
          </w:p>
        </w:tc>
        <w:tc>
          <w:tcPr>
            <w:tcW w:w="347" w:type="pct"/>
            <w:gridSpan w:val="3"/>
            <w:tcMar>
              <w:left w:w="57" w:type="dxa"/>
              <w:right w:w="57" w:type="dxa"/>
            </w:tcMar>
            <w:vAlign w:val="center"/>
          </w:tcPr>
          <w:p w:rsidR="00EE4502" w:rsidRDefault="00FD45A3">
            <w:pPr>
              <w:widowControl/>
              <w:tabs>
                <w:tab w:val="left" w:pos="377"/>
              </w:tabs>
              <w:jc w:val="center"/>
              <w:rPr>
                <w:szCs w:val="21"/>
              </w:rPr>
            </w:pPr>
            <w:r>
              <w:rPr>
                <w:rFonts w:hint="eastAsia"/>
                <w:szCs w:val="21"/>
              </w:rPr>
              <w:t>748.00</w:t>
            </w:r>
          </w:p>
        </w:tc>
        <w:tc>
          <w:tcPr>
            <w:tcW w:w="503" w:type="pct"/>
            <w:gridSpan w:val="2"/>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503" w:type="pct"/>
            <w:gridSpan w:val="3"/>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561" w:type="pct"/>
            <w:gridSpan w:val="2"/>
            <w:vAlign w:val="center"/>
          </w:tcPr>
          <w:p w:rsidR="00EE4502" w:rsidRDefault="00FD45A3">
            <w:pPr>
              <w:widowControl/>
              <w:tabs>
                <w:tab w:val="left" w:pos="377"/>
              </w:tabs>
              <w:jc w:val="center"/>
              <w:rPr>
                <w:szCs w:val="21"/>
              </w:rPr>
            </w:pPr>
            <w:r>
              <w:rPr>
                <w:rFonts w:hint="eastAsia"/>
                <w:szCs w:val="21"/>
              </w:rPr>
              <w:t>0.00</w:t>
            </w:r>
          </w:p>
        </w:tc>
        <w:tc>
          <w:tcPr>
            <w:tcW w:w="361" w:type="pct"/>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r>
    </w:tbl>
    <w:p w:rsidR="00EE4502" w:rsidRDefault="00EE4502">
      <w:pPr>
        <w:snapToGrid w:val="0"/>
        <w:rPr>
          <w:kern w:val="0"/>
          <w:sz w:val="2"/>
        </w:rPr>
      </w:pPr>
    </w:p>
    <w:p w:rsidR="00EE4502" w:rsidRDefault="00FD45A3">
      <w:pPr>
        <w:rPr>
          <w:rFonts w:eastAsia="仿宋"/>
          <w:szCs w:val="21"/>
        </w:rPr>
      </w:pPr>
      <w:r>
        <w:rPr>
          <w:rFonts w:eastAsia="仿宋" w:hint="eastAsia"/>
          <w:szCs w:val="21"/>
        </w:rPr>
        <w:t>注：①完钻垂深和靶点垂深均不含补心高，按海拔</w:t>
      </w:r>
      <w:r>
        <w:rPr>
          <w:rFonts w:eastAsia="仿宋" w:hint="eastAsia"/>
          <w:szCs w:val="21"/>
        </w:rPr>
        <w:t>282m</w:t>
      </w:r>
      <w:r>
        <w:rPr>
          <w:rFonts w:eastAsia="仿宋" w:hint="eastAsia"/>
          <w:szCs w:val="21"/>
        </w:rPr>
        <w:t>预测。现场应根据复测井口坐标、实测海拔和补心高校正。</w:t>
      </w:r>
    </w:p>
    <w:p w:rsidR="00EE4502" w:rsidRDefault="00FD45A3">
      <w:pPr>
        <w:ind w:firstLineChars="200" w:firstLine="420"/>
        <w:rPr>
          <w:rFonts w:eastAsia="仿宋"/>
          <w:szCs w:val="21"/>
        </w:rPr>
      </w:pPr>
      <w:r>
        <w:rPr>
          <w:rFonts w:eastAsia="仿宋" w:hint="eastAsia"/>
          <w:szCs w:val="21"/>
        </w:rPr>
        <w:t>②油藏要求钻至</w:t>
      </w:r>
      <w:r>
        <w:rPr>
          <w:rFonts w:eastAsia="仿宋" w:hint="eastAsia"/>
          <w:szCs w:val="21"/>
        </w:rPr>
        <w:t>B</w:t>
      </w:r>
      <w:r>
        <w:rPr>
          <w:rFonts w:eastAsia="仿宋" w:hint="eastAsia"/>
          <w:szCs w:val="21"/>
        </w:rPr>
        <w:t>靶点完钻。</w:t>
      </w:r>
    </w:p>
    <w:p w:rsidR="00EE4502" w:rsidRDefault="00FD45A3">
      <w:pPr>
        <w:ind w:firstLineChars="200" w:firstLine="420"/>
        <w:rPr>
          <w:rFonts w:eastAsia="仿宋"/>
          <w:szCs w:val="21"/>
        </w:rPr>
      </w:pPr>
      <w:r>
        <w:rPr>
          <w:rFonts w:eastAsia="仿宋" w:hint="eastAsia"/>
          <w:szCs w:val="21"/>
        </w:rPr>
        <w:t>③新春公司要求靶半高</w:t>
      </w:r>
      <w:r>
        <w:rPr>
          <w:rFonts w:eastAsia="仿宋" w:hint="eastAsia"/>
          <w:szCs w:val="21"/>
        </w:rPr>
        <w:t>2m</w:t>
      </w:r>
      <w:r>
        <w:rPr>
          <w:rFonts w:eastAsia="仿宋" w:hint="eastAsia"/>
          <w:szCs w:val="21"/>
        </w:rPr>
        <w:t>，靶半宽</w:t>
      </w:r>
      <w:r>
        <w:rPr>
          <w:rFonts w:eastAsia="仿宋" w:hint="eastAsia"/>
          <w:szCs w:val="21"/>
        </w:rPr>
        <w:t>5m</w:t>
      </w:r>
      <w:r>
        <w:rPr>
          <w:rFonts w:eastAsia="仿宋" w:hint="eastAsia"/>
          <w:szCs w:val="21"/>
        </w:rPr>
        <w:t>。</w:t>
      </w:r>
    </w:p>
    <w:p w:rsidR="00EE4502" w:rsidRDefault="00EE4502">
      <w:pPr>
        <w:spacing w:line="360" w:lineRule="auto"/>
        <w:jc w:val="center"/>
        <w:rPr>
          <w:sz w:val="24"/>
        </w:rPr>
      </w:pPr>
    </w:p>
    <w:p w:rsidR="00EE4502" w:rsidRDefault="00FD45A3">
      <w:pPr>
        <w:spacing w:line="360" w:lineRule="auto"/>
        <w:jc w:val="center"/>
        <w:rPr>
          <w:rFonts w:eastAsia="黑体"/>
          <w:szCs w:val="21"/>
        </w:rPr>
      </w:pPr>
      <w:r>
        <w:rPr>
          <w:rFonts w:eastAsia="黑体" w:hint="eastAsia"/>
          <w:szCs w:val="21"/>
        </w:rPr>
        <w:t>图</w:t>
      </w:r>
      <w:r>
        <w:rPr>
          <w:rFonts w:eastAsia="黑体" w:hint="eastAsia"/>
          <w:szCs w:val="21"/>
        </w:rPr>
        <w:t>3-3-</w:t>
      </w:r>
      <w:r>
        <w:rPr>
          <w:rFonts w:eastAsia="黑体" w:hint="eastAsia"/>
          <w:szCs w:val="21"/>
        </w:rPr>
        <w:t>14</w:t>
      </w:r>
      <w:r>
        <w:rPr>
          <w:rFonts w:eastAsia="黑体" w:hint="eastAsia"/>
          <w:szCs w:val="21"/>
        </w:rPr>
        <w:t xml:space="preserve"> </w:t>
      </w:r>
      <w:r>
        <w:rPr>
          <w:rFonts w:eastAsia="黑体" w:hint="eastAsia"/>
          <w:szCs w:val="21"/>
        </w:rPr>
        <w:t>井眼轨道垂直投影图</w:t>
      </w:r>
      <w:r>
        <w:rPr>
          <w:rFonts w:eastAsia="黑体" w:hint="eastAsia"/>
          <w:szCs w:val="21"/>
        </w:rPr>
        <w:t>（油井</w:t>
      </w:r>
      <w:r>
        <w:rPr>
          <w:rFonts w:eastAsia="黑体" w:hint="eastAsia"/>
          <w:szCs w:val="21"/>
        </w:rPr>
        <w:t>/</w:t>
      </w:r>
      <w:r>
        <w:rPr>
          <w:rFonts w:eastAsia="黑体" w:hint="eastAsia"/>
          <w:szCs w:val="21"/>
        </w:rPr>
        <w:t>水平井）</w:t>
      </w:r>
    </w:p>
    <w:p w:rsidR="00EE4502" w:rsidRDefault="00EE4502">
      <w:pPr>
        <w:spacing w:line="360" w:lineRule="auto"/>
        <w:jc w:val="center"/>
        <w:rPr>
          <w:sz w:val="24"/>
        </w:rPr>
      </w:pPr>
    </w:p>
    <w:p w:rsidR="00EE4502" w:rsidRDefault="00FD45A3">
      <w:pPr>
        <w:spacing w:line="360" w:lineRule="auto"/>
        <w:jc w:val="center"/>
        <w:rPr>
          <w:rFonts w:eastAsia="黑体"/>
          <w:szCs w:val="21"/>
        </w:rPr>
      </w:pPr>
      <w:r>
        <w:rPr>
          <w:rFonts w:eastAsia="黑体" w:hint="eastAsia"/>
          <w:szCs w:val="21"/>
        </w:rPr>
        <w:t>图</w:t>
      </w:r>
      <w:r>
        <w:rPr>
          <w:rFonts w:eastAsia="黑体" w:hint="eastAsia"/>
          <w:szCs w:val="21"/>
        </w:rPr>
        <w:t>3-3-</w:t>
      </w:r>
      <w:r>
        <w:rPr>
          <w:rFonts w:eastAsia="黑体" w:hint="eastAsia"/>
          <w:szCs w:val="21"/>
        </w:rPr>
        <w:t>15</w:t>
      </w:r>
      <w:r>
        <w:rPr>
          <w:rFonts w:eastAsia="黑体" w:hint="eastAsia"/>
          <w:szCs w:val="21"/>
        </w:rPr>
        <w:t xml:space="preserve"> </w:t>
      </w:r>
      <w:r>
        <w:rPr>
          <w:rFonts w:eastAsia="黑体" w:hint="eastAsia"/>
          <w:szCs w:val="21"/>
        </w:rPr>
        <w:t>井眼轨道水平投影图</w:t>
      </w:r>
      <w:r>
        <w:rPr>
          <w:rFonts w:eastAsia="黑体" w:hint="eastAsia"/>
          <w:szCs w:val="21"/>
        </w:rPr>
        <w:t>（油井</w:t>
      </w:r>
      <w:r>
        <w:rPr>
          <w:rFonts w:eastAsia="黑体" w:hint="eastAsia"/>
          <w:szCs w:val="21"/>
        </w:rPr>
        <w:t>/</w:t>
      </w:r>
      <w:r>
        <w:rPr>
          <w:rFonts w:eastAsia="黑体" w:hint="eastAsia"/>
          <w:szCs w:val="21"/>
        </w:rPr>
        <w:t>水平井）</w:t>
      </w:r>
    </w:p>
    <w:p w:rsidR="00EE4502" w:rsidRDefault="00FD45A3">
      <w:pPr>
        <w:spacing w:line="360" w:lineRule="auto"/>
        <w:ind w:firstLineChars="200" w:firstLine="482"/>
        <w:rPr>
          <w:sz w:val="24"/>
        </w:rPr>
      </w:pPr>
      <w:r>
        <w:rPr>
          <w:rFonts w:hint="eastAsia"/>
          <w:b/>
          <w:bCs/>
          <w:sz w:val="24"/>
        </w:rPr>
        <w:lastRenderedPageBreak/>
        <w:t>2</w:t>
      </w:r>
      <w:r>
        <w:rPr>
          <w:rFonts w:hint="eastAsia"/>
          <w:b/>
          <w:bCs/>
          <w:sz w:val="24"/>
        </w:rPr>
        <w:t>）</w:t>
      </w:r>
      <w:r>
        <w:rPr>
          <w:rFonts w:hint="eastAsia"/>
          <w:b/>
          <w:bCs/>
          <w:sz w:val="24"/>
        </w:rPr>
        <w:t>3</w:t>
      </w:r>
      <w:r>
        <w:rPr>
          <w:rFonts w:hint="eastAsia"/>
          <w:b/>
          <w:bCs/>
          <w:sz w:val="24"/>
        </w:rPr>
        <w:t>口注水井</w:t>
      </w:r>
      <w:r>
        <w:rPr>
          <w:rFonts w:hint="eastAsia"/>
          <w:b/>
          <w:bCs/>
          <w:sz w:val="24"/>
        </w:rPr>
        <w:t>（</w:t>
      </w:r>
      <w:r>
        <w:rPr>
          <w:rFonts w:hint="eastAsia"/>
          <w:b/>
          <w:bCs/>
          <w:sz w:val="24"/>
        </w:rPr>
        <w:t>直井</w:t>
      </w:r>
      <w:r>
        <w:rPr>
          <w:rFonts w:hint="eastAsia"/>
          <w:b/>
          <w:bCs/>
          <w:sz w:val="24"/>
        </w:rPr>
        <w:t>/</w:t>
      </w:r>
      <w:r>
        <w:rPr>
          <w:rFonts w:hint="eastAsia"/>
          <w:b/>
          <w:bCs/>
          <w:sz w:val="24"/>
        </w:rPr>
        <w:t>定向井</w:t>
      </w:r>
      <w:r>
        <w:rPr>
          <w:rFonts w:hint="eastAsia"/>
          <w:b/>
          <w:bCs/>
          <w:sz w:val="24"/>
        </w:rPr>
        <w:t>）</w:t>
      </w:r>
      <w:r>
        <w:rPr>
          <w:rFonts w:hint="eastAsia"/>
          <w:b/>
          <w:bCs/>
          <w:sz w:val="24"/>
        </w:rPr>
        <w:t>井眼轨道优化方案</w:t>
      </w:r>
    </w:p>
    <w:p w:rsidR="00EE4502" w:rsidRDefault="00FD45A3">
      <w:pPr>
        <w:spacing w:line="360" w:lineRule="auto"/>
        <w:ind w:firstLineChars="200" w:firstLine="480"/>
        <w:rPr>
          <w:rFonts w:eastAsia="黑体"/>
          <w:bCs/>
          <w:szCs w:val="21"/>
        </w:rPr>
      </w:pPr>
      <w:r>
        <w:rPr>
          <w:rFonts w:hint="eastAsia"/>
          <w:sz w:val="24"/>
        </w:rPr>
        <w:t>以排</w:t>
      </w:r>
      <w:r>
        <w:rPr>
          <w:rFonts w:hint="eastAsia"/>
          <w:sz w:val="24"/>
        </w:rPr>
        <w:t>7-</w:t>
      </w:r>
      <w:r>
        <w:rPr>
          <w:rFonts w:hint="eastAsia"/>
          <w:sz w:val="24"/>
        </w:rPr>
        <w:t>斜</w:t>
      </w:r>
      <w:r>
        <w:rPr>
          <w:rFonts w:hint="eastAsia"/>
          <w:sz w:val="24"/>
        </w:rPr>
        <w:t>1</w:t>
      </w:r>
      <w:r>
        <w:rPr>
          <w:rFonts w:hint="eastAsia"/>
          <w:sz w:val="24"/>
        </w:rPr>
        <w:t>7</w:t>
      </w:r>
      <w:r>
        <w:rPr>
          <w:rFonts w:hint="eastAsia"/>
          <w:sz w:val="24"/>
        </w:rPr>
        <w:t>注水井为例，定向井井眼轨道优化方案</w:t>
      </w:r>
      <w:r>
        <w:rPr>
          <w:rFonts w:hint="eastAsia"/>
          <w:sz w:val="24"/>
        </w:rPr>
        <w:t>如下：</w:t>
      </w:r>
    </w:p>
    <w:p w:rsidR="00EE4502" w:rsidRDefault="00FD45A3">
      <w:pPr>
        <w:tabs>
          <w:tab w:val="left" w:pos="377"/>
        </w:tabs>
        <w:spacing w:line="360" w:lineRule="auto"/>
        <w:jc w:val="center"/>
        <w:rPr>
          <w:rFonts w:eastAsia="黑体"/>
          <w:bCs/>
          <w:szCs w:val="21"/>
        </w:rPr>
      </w:pPr>
      <w:r>
        <w:rPr>
          <w:rFonts w:eastAsia="黑体"/>
          <w:bCs/>
          <w:szCs w:val="21"/>
        </w:rPr>
        <w:t>表</w:t>
      </w:r>
      <w:r>
        <w:rPr>
          <w:rFonts w:eastAsia="黑体" w:hint="eastAsia"/>
          <w:bCs/>
          <w:szCs w:val="21"/>
        </w:rPr>
        <w:t>3-3</w:t>
      </w:r>
      <w:r>
        <w:rPr>
          <w:rFonts w:eastAsia="黑体"/>
          <w:bCs/>
          <w:szCs w:val="21"/>
        </w:rPr>
        <w:t>-</w:t>
      </w:r>
      <w:r>
        <w:rPr>
          <w:rFonts w:eastAsia="黑体" w:hint="eastAsia"/>
          <w:bCs/>
          <w:szCs w:val="21"/>
        </w:rPr>
        <w:t>10</w:t>
      </w:r>
      <w:r>
        <w:rPr>
          <w:rFonts w:eastAsia="黑体"/>
          <w:bCs/>
          <w:szCs w:val="21"/>
        </w:rPr>
        <w:t xml:space="preserve">  </w:t>
      </w:r>
      <w:r>
        <w:rPr>
          <w:rFonts w:eastAsia="黑体" w:hint="eastAsia"/>
          <w:bCs/>
          <w:szCs w:val="21"/>
        </w:rPr>
        <w:t>轨道设计表</w:t>
      </w:r>
      <w:r>
        <w:rPr>
          <w:rFonts w:eastAsia="黑体" w:hint="eastAsia"/>
          <w:bCs/>
          <w:szCs w:val="21"/>
        </w:rPr>
        <w:t>（</w:t>
      </w:r>
      <w:r>
        <w:rPr>
          <w:rFonts w:eastAsia="黑体" w:hint="eastAsia"/>
          <w:bCs/>
          <w:szCs w:val="21"/>
        </w:rPr>
        <w:t>以</w:t>
      </w:r>
      <w:r>
        <w:rPr>
          <w:rFonts w:eastAsia="黑体" w:hint="eastAsia"/>
          <w:bCs/>
          <w:szCs w:val="21"/>
        </w:rPr>
        <w:t>排</w:t>
      </w:r>
      <w:r>
        <w:rPr>
          <w:rFonts w:eastAsia="黑体" w:hint="eastAsia"/>
          <w:bCs/>
          <w:szCs w:val="21"/>
        </w:rPr>
        <w:t>7-</w:t>
      </w:r>
      <w:r>
        <w:rPr>
          <w:rFonts w:eastAsia="黑体" w:hint="eastAsia"/>
          <w:bCs/>
          <w:szCs w:val="21"/>
        </w:rPr>
        <w:t>斜</w:t>
      </w:r>
      <w:r>
        <w:rPr>
          <w:rFonts w:eastAsia="黑体" w:hint="eastAsia"/>
          <w:bCs/>
          <w:szCs w:val="21"/>
        </w:rPr>
        <w:t>1</w:t>
      </w:r>
      <w:r>
        <w:rPr>
          <w:rFonts w:eastAsia="黑体" w:hint="eastAsia"/>
          <w:bCs/>
          <w:szCs w:val="21"/>
        </w:rPr>
        <w:t>7</w:t>
      </w:r>
      <w:r>
        <w:rPr>
          <w:rFonts w:eastAsia="黑体" w:hint="eastAsia"/>
          <w:bCs/>
          <w:szCs w:val="21"/>
        </w:rPr>
        <w:t>注水井为例</w:t>
      </w:r>
      <w:r>
        <w:rPr>
          <w:rFonts w:eastAsia="黑体" w:hint="eastAsia"/>
          <w:bCs/>
          <w:szCs w:val="21"/>
        </w:rPr>
        <w:t>）</w:t>
      </w:r>
    </w:p>
    <w:p w:rsidR="00EE4502" w:rsidRDefault="00FD45A3">
      <w:pPr>
        <w:tabs>
          <w:tab w:val="left" w:pos="377"/>
        </w:tabs>
        <w:spacing w:line="360" w:lineRule="auto"/>
        <w:jc w:val="left"/>
        <w:rPr>
          <w:rFonts w:ascii="楷体" w:eastAsia="楷体" w:hAnsi="楷体" w:cs="楷体"/>
          <w:bCs/>
          <w:szCs w:val="21"/>
        </w:rPr>
      </w:pPr>
      <w:r>
        <w:rPr>
          <w:rFonts w:ascii="楷体" w:eastAsia="楷体" w:hAnsi="楷体" w:cs="楷体" w:hint="eastAsia"/>
          <w:bCs/>
          <w:szCs w:val="21"/>
        </w:rPr>
        <w:t>井号：排</w:t>
      </w:r>
      <w:r>
        <w:rPr>
          <w:rFonts w:ascii="楷体" w:eastAsia="楷体" w:hAnsi="楷体" w:cs="楷体" w:hint="eastAsia"/>
          <w:bCs/>
          <w:szCs w:val="21"/>
        </w:rPr>
        <w:t>7-</w:t>
      </w:r>
      <w:r>
        <w:rPr>
          <w:rFonts w:ascii="楷体" w:eastAsia="楷体" w:hAnsi="楷体" w:cs="楷体" w:hint="eastAsia"/>
          <w:bCs/>
          <w:szCs w:val="21"/>
        </w:rPr>
        <w:t>斜</w:t>
      </w:r>
      <w:r>
        <w:rPr>
          <w:rFonts w:ascii="楷体" w:eastAsia="楷体" w:hAnsi="楷体" w:cs="楷体" w:hint="eastAsia"/>
          <w:bCs/>
          <w:szCs w:val="21"/>
        </w:rPr>
        <w:t>1</w:t>
      </w:r>
      <w:r>
        <w:rPr>
          <w:rFonts w:ascii="楷体" w:eastAsia="楷体" w:hAnsi="楷体" w:cs="楷体" w:hint="eastAsia"/>
          <w:bCs/>
          <w:szCs w:val="21"/>
        </w:rPr>
        <w:t>7</w:t>
      </w:r>
      <w:r>
        <w:rPr>
          <w:rFonts w:ascii="楷体" w:eastAsia="楷体" w:hAnsi="楷体" w:cs="楷体" w:hint="eastAsia"/>
          <w:bCs/>
          <w:szCs w:val="21"/>
        </w:rPr>
        <w:tab/>
      </w:r>
      <w:r>
        <w:rPr>
          <w:rFonts w:ascii="楷体" w:eastAsia="楷体" w:hAnsi="楷体" w:cs="楷体" w:hint="eastAsia"/>
          <w:bCs/>
          <w:szCs w:val="21"/>
        </w:rPr>
        <w:t>轨道类型：直</w:t>
      </w:r>
      <w:r>
        <w:rPr>
          <w:rFonts w:ascii="楷体" w:eastAsia="楷体" w:hAnsi="楷体" w:cs="楷体" w:hint="eastAsia"/>
          <w:bCs/>
          <w:szCs w:val="21"/>
        </w:rPr>
        <w:t>-</w:t>
      </w:r>
      <w:r>
        <w:rPr>
          <w:rFonts w:ascii="楷体" w:eastAsia="楷体" w:hAnsi="楷体" w:cs="楷体" w:hint="eastAsia"/>
          <w:bCs/>
          <w:szCs w:val="21"/>
        </w:rPr>
        <w:t>增</w:t>
      </w:r>
      <w:r>
        <w:rPr>
          <w:rFonts w:ascii="楷体" w:eastAsia="楷体" w:hAnsi="楷体" w:cs="楷体" w:hint="eastAsia"/>
          <w:bCs/>
          <w:szCs w:val="21"/>
        </w:rPr>
        <w:t>-</w:t>
      </w:r>
      <w:r>
        <w:rPr>
          <w:rFonts w:ascii="楷体" w:eastAsia="楷体" w:hAnsi="楷体" w:cs="楷体" w:hint="eastAsia"/>
          <w:bCs/>
          <w:szCs w:val="21"/>
        </w:rPr>
        <w:t>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63"/>
        <w:gridCol w:w="669"/>
        <w:gridCol w:w="231"/>
        <w:gridCol w:w="196"/>
        <w:gridCol w:w="309"/>
        <w:gridCol w:w="326"/>
        <w:gridCol w:w="408"/>
        <w:gridCol w:w="355"/>
        <w:gridCol w:w="327"/>
        <w:gridCol w:w="56"/>
        <w:gridCol w:w="626"/>
        <w:gridCol w:w="43"/>
        <w:gridCol w:w="510"/>
        <w:gridCol w:w="257"/>
        <w:gridCol w:w="366"/>
        <w:gridCol w:w="62"/>
        <w:gridCol w:w="341"/>
        <w:gridCol w:w="346"/>
        <w:gridCol w:w="263"/>
        <w:gridCol w:w="326"/>
        <w:gridCol w:w="78"/>
        <w:gridCol w:w="336"/>
        <w:gridCol w:w="413"/>
        <w:gridCol w:w="726"/>
        <w:gridCol w:w="5"/>
      </w:tblGrid>
      <w:tr w:rsidR="00EE4502">
        <w:trPr>
          <w:gridAfter w:val="1"/>
          <w:cantSplit/>
          <w:trHeight w:val="397"/>
        </w:trPr>
        <w:tc>
          <w:tcPr>
            <w:tcW w:w="1023" w:type="pct"/>
            <w:gridSpan w:val="5"/>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井底垂深（</w:t>
            </w:r>
            <w:r>
              <w:rPr>
                <w:rFonts w:hint="eastAsia"/>
                <w:szCs w:val="21"/>
              </w:rPr>
              <w:t>m</w:t>
            </w:r>
            <w:r>
              <w:rPr>
                <w:rFonts w:hint="eastAsia"/>
                <w:szCs w:val="21"/>
              </w:rPr>
              <w:t>）</w:t>
            </w:r>
          </w:p>
        </w:tc>
        <w:tc>
          <w:tcPr>
            <w:tcW w:w="938" w:type="pct"/>
            <w:gridSpan w:val="6"/>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井底闭合距（</w:t>
            </w:r>
            <w:r>
              <w:rPr>
                <w:rFonts w:hint="eastAsia"/>
                <w:szCs w:val="21"/>
              </w:rPr>
              <w:t>m</w:t>
            </w:r>
            <w:r>
              <w:rPr>
                <w:rFonts w:hint="eastAsia"/>
                <w:szCs w:val="21"/>
              </w:rPr>
              <w:t>）</w:t>
            </w:r>
          </w:p>
        </w:tc>
        <w:tc>
          <w:tcPr>
            <w:tcW w:w="951" w:type="pct"/>
            <w:gridSpan w:val="5"/>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井底闭合方位（°）</w:t>
            </w:r>
          </w:p>
        </w:tc>
        <w:tc>
          <w:tcPr>
            <w:tcW w:w="1045" w:type="pct"/>
            <w:gridSpan w:val="5"/>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造斜点（</w:t>
            </w:r>
            <w:r>
              <w:rPr>
                <w:rFonts w:hint="eastAsia"/>
                <w:szCs w:val="21"/>
              </w:rPr>
              <w:t>m</w:t>
            </w:r>
            <w:r>
              <w:rPr>
                <w:rFonts w:hint="eastAsia"/>
                <w:szCs w:val="21"/>
              </w:rPr>
              <w:t>）</w:t>
            </w:r>
          </w:p>
        </w:tc>
        <w:tc>
          <w:tcPr>
            <w:tcW w:w="1038" w:type="pct"/>
            <w:gridSpan w:val="4"/>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最大井斜角（°）</w:t>
            </w:r>
          </w:p>
        </w:tc>
      </w:tr>
      <w:tr w:rsidR="00EE4502">
        <w:trPr>
          <w:gridAfter w:val="1"/>
          <w:cantSplit/>
          <w:trHeight w:val="397"/>
        </w:trPr>
        <w:tc>
          <w:tcPr>
            <w:tcW w:w="1023" w:type="pct"/>
            <w:gridSpan w:val="5"/>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950.00</w:t>
            </w:r>
          </w:p>
        </w:tc>
        <w:tc>
          <w:tcPr>
            <w:tcW w:w="938" w:type="pct"/>
            <w:gridSpan w:val="6"/>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470.44</w:t>
            </w:r>
          </w:p>
        </w:tc>
        <w:tc>
          <w:tcPr>
            <w:tcW w:w="951" w:type="pct"/>
            <w:gridSpan w:val="5"/>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90.00</w:t>
            </w:r>
          </w:p>
        </w:tc>
        <w:tc>
          <w:tcPr>
            <w:tcW w:w="1045" w:type="pct"/>
            <w:gridSpan w:val="5"/>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230.00</w:t>
            </w:r>
          </w:p>
        </w:tc>
        <w:tc>
          <w:tcPr>
            <w:tcW w:w="1038" w:type="pct"/>
            <w:gridSpan w:val="4"/>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38.78</w:t>
            </w:r>
          </w:p>
        </w:tc>
      </w:tr>
      <w:tr w:rsidR="00EE4502">
        <w:trPr>
          <w:gridAfter w:val="1"/>
          <w:cantSplit/>
          <w:trHeight w:val="397"/>
        </w:trPr>
        <w:tc>
          <w:tcPr>
            <w:tcW w:w="1023" w:type="pct"/>
            <w:gridSpan w:val="5"/>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磁倾角（°）</w:t>
            </w:r>
          </w:p>
        </w:tc>
        <w:tc>
          <w:tcPr>
            <w:tcW w:w="938" w:type="pct"/>
            <w:gridSpan w:val="6"/>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磁场强度（μ</w:t>
            </w:r>
            <w:r>
              <w:rPr>
                <w:rFonts w:hint="eastAsia"/>
                <w:szCs w:val="21"/>
              </w:rPr>
              <w:t>T</w:t>
            </w:r>
            <w:r>
              <w:rPr>
                <w:rFonts w:hint="eastAsia"/>
                <w:szCs w:val="21"/>
              </w:rPr>
              <w:t>）</w:t>
            </w:r>
          </w:p>
        </w:tc>
        <w:tc>
          <w:tcPr>
            <w:tcW w:w="951" w:type="pct"/>
            <w:gridSpan w:val="5"/>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磁偏角（°）</w:t>
            </w:r>
          </w:p>
        </w:tc>
        <w:tc>
          <w:tcPr>
            <w:tcW w:w="1045" w:type="pct"/>
            <w:gridSpan w:val="5"/>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收敛角（°）</w:t>
            </w:r>
          </w:p>
        </w:tc>
        <w:tc>
          <w:tcPr>
            <w:tcW w:w="1038" w:type="pct"/>
            <w:gridSpan w:val="4"/>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方位修正角（°）</w:t>
            </w:r>
          </w:p>
        </w:tc>
      </w:tr>
      <w:tr w:rsidR="00EE4502">
        <w:trPr>
          <w:gridAfter w:val="1"/>
          <w:cantSplit/>
          <w:trHeight w:val="397"/>
        </w:trPr>
        <w:tc>
          <w:tcPr>
            <w:tcW w:w="1023" w:type="pct"/>
            <w:gridSpan w:val="5"/>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66.28</w:t>
            </w:r>
          </w:p>
        </w:tc>
        <w:tc>
          <w:tcPr>
            <w:tcW w:w="938" w:type="pct"/>
            <w:gridSpan w:val="6"/>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57.75</w:t>
            </w:r>
          </w:p>
        </w:tc>
        <w:tc>
          <w:tcPr>
            <w:tcW w:w="951" w:type="pct"/>
            <w:gridSpan w:val="5"/>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3.65</w:t>
            </w:r>
          </w:p>
        </w:tc>
        <w:tc>
          <w:tcPr>
            <w:tcW w:w="1045" w:type="pct"/>
            <w:gridSpan w:val="5"/>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-1.62</w:t>
            </w:r>
          </w:p>
        </w:tc>
        <w:tc>
          <w:tcPr>
            <w:tcW w:w="1038" w:type="pct"/>
            <w:gridSpan w:val="4"/>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5.27</w:t>
            </w:r>
          </w:p>
        </w:tc>
      </w:tr>
      <w:tr w:rsidR="00EE4502">
        <w:trPr>
          <w:gridAfter w:val="1"/>
          <w:cantSplit/>
          <w:trHeight w:val="397"/>
        </w:trPr>
        <w:tc>
          <w:tcPr>
            <w:tcW w:w="4997" w:type="pct"/>
            <w:gridSpan w:val="25"/>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轨道参数</w:t>
            </w:r>
          </w:p>
        </w:tc>
      </w:tr>
      <w:tr w:rsidR="00EE4502">
        <w:tblPrEx>
          <w:tblBorders>
            <w:top w:val="single" w:sz="12" w:space="0" w:color="auto"/>
            <w:left w:val="none" w:sz="0" w:space="0" w:color="auto"/>
            <w:bottom w:val="single" w:sz="12" w:space="0" w:color="auto"/>
            <w:right w:val="none" w:sz="0" w:space="0" w:color="auto"/>
          </w:tblBorders>
        </w:tblPrEx>
        <w:trPr>
          <w:cantSplit/>
          <w:trHeight w:val="397"/>
        </w:trPr>
        <w:tc>
          <w:tcPr>
            <w:tcW w:w="445"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井深</w:t>
            </w:r>
          </w:p>
          <w:p w:rsidR="00EE4502" w:rsidRDefault="00FD45A3">
            <w:pPr>
              <w:widowControl/>
              <w:tabs>
                <w:tab w:val="left" w:pos="377"/>
              </w:tabs>
              <w:jc w:val="center"/>
              <w:rPr>
                <w:szCs w:val="21"/>
              </w:rPr>
            </w:pPr>
            <w:r>
              <w:rPr>
                <w:rFonts w:hint="eastAsia"/>
                <w:szCs w:val="21"/>
              </w:rPr>
              <w:t>（</w:t>
            </w:r>
            <w:r>
              <w:rPr>
                <w:rFonts w:hint="eastAsia"/>
                <w:szCs w:val="21"/>
              </w:rPr>
              <w:t>m</w:t>
            </w:r>
            <w:r>
              <w:rPr>
                <w:rFonts w:hint="eastAsia"/>
                <w:szCs w:val="21"/>
              </w:rPr>
              <w:t>)</w:t>
            </w:r>
          </w:p>
        </w:tc>
        <w:tc>
          <w:tcPr>
            <w:tcW w:w="475"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井斜</w:t>
            </w:r>
          </w:p>
          <w:p w:rsidR="00EE4502" w:rsidRDefault="00FD45A3">
            <w:pPr>
              <w:widowControl/>
              <w:tabs>
                <w:tab w:val="left" w:pos="377"/>
              </w:tabs>
              <w:jc w:val="center"/>
              <w:rPr>
                <w:szCs w:val="21"/>
              </w:rPr>
            </w:pPr>
            <w:r>
              <w:rPr>
                <w:rFonts w:hint="eastAsia"/>
                <w:szCs w:val="21"/>
              </w:rPr>
              <w:t>（°）</w:t>
            </w:r>
          </w:p>
        </w:tc>
        <w:tc>
          <w:tcPr>
            <w:tcW w:w="437" w:type="pct"/>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方位</w:t>
            </w:r>
          </w:p>
          <w:p w:rsidR="00EE4502" w:rsidRDefault="00FD45A3">
            <w:pPr>
              <w:widowControl/>
              <w:tabs>
                <w:tab w:val="left" w:pos="377"/>
              </w:tabs>
              <w:jc w:val="center"/>
              <w:rPr>
                <w:szCs w:val="21"/>
              </w:rPr>
            </w:pPr>
            <w:r>
              <w:rPr>
                <w:rFonts w:hint="eastAsia"/>
                <w:szCs w:val="21"/>
              </w:rPr>
              <w:t>（°）</w:t>
            </w:r>
          </w:p>
        </w:tc>
        <w:tc>
          <w:tcPr>
            <w:tcW w:w="402"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垂深</w:t>
            </w:r>
          </w:p>
          <w:p w:rsidR="00EE4502" w:rsidRDefault="00FD45A3">
            <w:pPr>
              <w:widowControl/>
              <w:tabs>
                <w:tab w:val="left" w:pos="377"/>
              </w:tabs>
              <w:jc w:val="center"/>
              <w:rPr>
                <w:szCs w:val="21"/>
              </w:rPr>
            </w:pPr>
            <w:r>
              <w:rPr>
                <w:rFonts w:hint="eastAsia"/>
                <w:szCs w:val="21"/>
              </w:rPr>
              <w:t>（</w:t>
            </w:r>
            <w:r>
              <w:rPr>
                <w:rFonts w:hint="eastAsia"/>
                <w:szCs w:val="21"/>
              </w:rPr>
              <w:t>m</w:t>
            </w:r>
            <w:r>
              <w:rPr>
                <w:rFonts w:hint="eastAsia"/>
                <w:szCs w:val="21"/>
              </w:rPr>
              <w:t>)</w:t>
            </w:r>
          </w:p>
        </w:tc>
        <w:tc>
          <w:tcPr>
            <w:tcW w:w="554" w:type="pct"/>
            <w:gridSpan w:val="4"/>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水平位移</w:t>
            </w:r>
          </w:p>
          <w:p w:rsidR="00EE4502" w:rsidRDefault="00FD45A3">
            <w:pPr>
              <w:widowControl/>
              <w:tabs>
                <w:tab w:val="left" w:pos="377"/>
              </w:tabs>
              <w:jc w:val="center"/>
              <w:rPr>
                <w:szCs w:val="21"/>
              </w:rPr>
            </w:pPr>
            <w:r>
              <w:rPr>
                <w:rFonts w:hint="eastAsia"/>
                <w:szCs w:val="21"/>
              </w:rPr>
              <w:t>（</w:t>
            </w:r>
            <w:r>
              <w:rPr>
                <w:rFonts w:hint="eastAsia"/>
                <w:szCs w:val="21"/>
              </w:rPr>
              <w:t>m</w:t>
            </w:r>
            <w:r>
              <w:rPr>
                <w:rFonts w:hint="eastAsia"/>
                <w:szCs w:val="21"/>
              </w:rPr>
              <w:t>)</w:t>
            </w:r>
          </w:p>
        </w:tc>
        <w:tc>
          <w:tcPr>
            <w:tcW w:w="406"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南北</w:t>
            </w:r>
          </w:p>
          <w:p w:rsidR="00EE4502" w:rsidRDefault="00FD45A3">
            <w:pPr>
              <w:widowControl/>
              <w:tabs>
                <w:tab w:val="left" w:pos="377"/>
              </w:tabs>
              <w:jc w:val="center"/>
              <w:rPr>
                <w:szCs w:val="21"/>
              </w:rPr>
            </w:pPr>
            <w:r>
              <w:rPr>
                <w:rFonts w:hint="eastAsia"/>
                <w:szCs w:val="21"/>
              </w:rPr>
              <w:t>（</w:t>
            </w:r>
            <w:r>
              <w:rPr>
                <w:rFonts w:hint="eastAsia"/>
                <w:szCs w:val="21"/>
              </w:rPr>
              <w:t>m</w:t>
            </w:r>
            <w:r>
              <w:rPr>
                <w:rFonts w:hint="eastAsia"/>
                <w:szCs w:val="21"/>
              </w:rPr>
              <w:t>)</w:t>
            </w:r>
          </w:p>
        </w:tc>
        <w:tc>
          <w:tcPr>
            <w:tcW w:w="450" w:type="pct"/>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东西</w:t>
            </w:r>
          </w:p>
          <w:p w:rsidR="00EE4502" w:rsidRDefault="00FD45A3">
            <w:pPr>
              <w:widowControl/>
              <w:tabs>
                <w:tab w:val="left" w:pos="377"/>
              </w:tabs>
              <w:jc w:val="center"/>
              <w:rPr>
                <w:szCs w:val="21"/>
              </w:rPr>
            </w:pPr>
            <w:r>
              <w:rPr>
                <w:rFonts w:hint="eastAsia"/>
                <w:szCs w:val="21"/>
              </w:rPr>
              <w:t>（</w:t>
            </w:r>
            <w:r>
              <w:rPr>
                <w:rFonts w:hint="eastAsia"/>
                <w:szCs w:val="21"/>
              </w:rPr>
              <w:t>m</w:t>
            </w:r>
            <w:r>
              <w:rPr>
                <w:rFonts w:hint="eastAsia"/>
                <w:szCs w:val="21"/>
              </w:rPr>
              <w:t>)</w:t>
            </w:r>
          </w:p>
        </w:tc>
        <w:tc>
          <w:tcPr>
            <w:tcW w:w="545"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狗腿度</w:t>
            </w:r>
          </w:p>
          <w:p w:rsidR="00EE4502" w:rsidRDefault="00FD45A3">
            <w:pPr>
              <w:widowControl/>
              <w:tabs>
                <w:tab w:val="left" w:pos="377"/>
              </w:tabs>
              <w:jc w:val="center"/>
              <w:rPr>
                <w:szCs w:val="21"/>
              </w:rPr>
            </w:pPr>
            <w:r>
              <w:rPr>
                <w:rFonts w:hint="eastAsia"/>
                <w:szCs w:val="21"/>
              </w:rPr>
              <w:t>（°</w:t>
            </w:r>
            <w:r>
              <w:rPr>
                <w:rFonts w:hint="eastAsia"/>
                <w:szCs w:val="21"/>
              </w:rPr>
              <w:t>/30m</w:t>
            </w:r>
            <w:r>
              <w:rPr>
                <w:rFonts w:hint="eastAsia"/>
                <w:szCs w:val="21"/>
              </w:rPr>
              <w:t>)</w:t>
            </w:r>
          </w:p>
        </w:tc>
        <w:tc>
          <w:tcPr>
            <w:tcW w:w="547" w:type="pct"/>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工具面</w:t>
            </w:r>
          </w:p>
          <w:p w:rsidR="00EE4502" w:rsidRDefault="00FD45A3">
            <w:pPr>
              <w:widowControl/>
              <w:tabs>
                <w:tab w:val="left" w:pos="377"/>
              </w:tabs>
              <w:jc w:val="center"/>
              <w:rPr>
                <w:szCs w:val="21"/>
              </w:rPr>
            </w:pPr>
            <w:r>
              <w:rPr>
                <w:rFonts w:hint="eastAsia"/>
                <w:szCs w:val="21"/>
              </w:rPr>
              <w:t>（°）</w:t>
            </w:r>
          </w:p>
        </w:tc>
        <w:tc>
          <w:tcPr>
            <w:tcW w:w="733" w:type="pct"/>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靶点</w:t>
            </w:r>
          </w:p>
        </w:tc>
      </w:tr>
      <w:tr w:rsidR="00EE4502">
        <w:tblPrEx>
          <w:tblBorders>
            <w:top w:val="single" w:sz="12" w:space="0" w:color="auto"/>
            <w:left w:val="none" w:sz="0" w:space="0" w:color="auto"/>
            <w:bottom w:val="single" w:sz="12" w:space="0" w:color="auto"/>
            <w:right w:val="none" w:sz="0" w:space="0" w:color="auto"/>
          </w:tblBorders>
        </w:tblPrEx>
        <w:trPr>
          <w:cantSplit/>
          <w:trHeight w:val="397"/>
        </w:trPr>
        <w:tc>
          <w:tcPr>
            <w:tcW w:w="445"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475"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437" w:type="pct"/>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0</w:t>
            </w:r>
          </w:p>
        </w:tc>
        <w:tc>
          <w:tcPr>
            <w:tcW w:w="402"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554" w:type="pct"/>
            <w:gridSpan w:val="4"/>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406"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450" w:type="pct"/>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545"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547" w:type="pct"/>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733" w:type="pct"/>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EE4502">
            <w:pPr>
              <w:widowControl/>
              <w:tabs>
                <w:tab w:val="left" w:pos="377"/>
              </w:tabs>
              <w:jc w:val="center"/>
              <w:rPr>
                <w:szCs w:val="21"/>
              </w:rPr>
            </w:pPr>
          </w:p>
        </w:tc>
      </w:tr>
      <w:tr w:rsidR="00EE4502">
        <w:tblPrEx>
          <w:tblBorders>
            <w:top w:val="single" w:sz="12" w:space="0" w:color="auto"/>
            <w:left w:val="none" w:sz="0" w:space="0" w:color="auto"/>
            <w:bottom w:val="single" w:sz="12" w:space="0" w:color="auto"/>
            <w:right w:val="none" w:sz="0" w:space="0" w:color="auto"/>
          </w:tblBorders>
        </w:tblPrEx>
        <w:trPr>
          <w:cantSplit/>
          <w:trHeight w:val="397"/>
        </w:trPr>
        <w:tc>
          <w:tcPr>
            <w:tcW w:w="445"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230.00</w:t>
            </w:r>
          </w:p>
        </w:tc>
        <w:tc>
          <w:tcPr>
            <w:tcW w:w="475"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437" w:type="pct"/>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90.00</w:t>
            </w:r>
          </w:p>
        </w:tc>
        <w:tc>
          <w:tcPr>
            <w:tcW w:w="402"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230.00</w:t>
            </w:r>
          </w:p>
        </w:tc>
        <w:tc>
          <w:tcPr>
            <w:tcW w:w="554" w:type="pct"/>
            <w:gridSpan w:val="4"/>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406"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450" w:type="pct"/>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545"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547" w:type="pct"/>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733" w:type="pct"/>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EE4502">
            <w:pPr>
              <w:widowControl/>
              <w:tabs>
                <w:tab w:val="left" w:pos="377"/>
              </w:tabs>
              <w:jc w:val="center"/>
              <w:rPr>
                <w:szCs w:val="21"/>
              </w:rPr>
            </w:pPr>
          </w:p>
        </w:tc>
      </w:tr>
      <w:tr w:rsidR="00EE4502">
        <w:tblPrEx>
          <w:tblBorders>
            <w:top w:val="single" w:sz="12" w:space="0" w:color="auto"/>
            <w:left w:val="none" w:sz="0" w:space="0" w:color="auto"/>
            <w:bottom w:val="single" w:sz="12" w:space="0" w:color="auto"/>
            <w:right w:val="none" w:sz="0" w:space="0" w:color="auto"/>
          </w:tblBorders>
        </w:tblPrEx>
        <w:trPr>
          <w:cantSplit/>
          <w:trHeight w:val="397"/>
        </w:trPr>
        <w:tc>
          <w:tcPr>
            <w:tcW w:w="445"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488.52</w:t>
            </w:r>
          </w:p>
        </w:tc>
        <w:tc>
          <w:tcPr>
            <w:tcW w:w="475"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38.78</w:t>
            </w:r>
          </w:p>
        </w:tc>
        <w:tc>
          <w:tcPr>
            <w:tcW w:w="437" w:type="pct"/>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90.00</w:t>
            </w:r>
          </w:p>
        </w:tc>
        <w:tc>
          <w:tcPr>
            <w:tcW w:w="402"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469.23</w:t>
            </w:r>
          </w:p>
        </w:tc>
        <w:tc>
          <w:tcPr>
            <w:tcW w:w="554" w:type="pct"/>
            <w:gridSpan w:val="4"/>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84.19</w:t>
            </w:r>
          </w:p>
        </w:tc>
        <w:tc>
          <w:tcPr>
            <w:tcW w:w="406"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450" w:type="pct"/>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84.19</w:t>
            </w:r>
          </w:p>
        </w:tc>
        <w:tc>
          <w:tcPr>
            <w:tcW w:w="545"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4.50</w:t>
            </w:r>
          </w:p>
        </w:tc>
        <w:tc>
          <w:tcPr>
            <w:tcW w:w="547" w:type="pct"/>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733" w:type="pct"/>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EE4502">
            <w:pPr>
              <w:widowControl/>
              <w:tabs>
                <w:tab w:val="left" w:pos="377"/>
              </w:tabs>
              <w:jc w:val="center"/>
              <w:rPr>
                <w:szCs w:val="21"/>
              </w:rPr>
            </w:pPr>
          </w:p>
        </w:tc>
      </w:tr>
      <w:tr w:rsidR="00EE4502">
        <w:tblPrEx>
          <w:tblBorders>
            <w:top w:val="single" w:sz="12" w:space="0" w:color="auto"/>
            <w:left w:val="none" w:sz="0" w:space="0" w:color="auto"/>
            <w:bottom w:val="single" w:sz="12" w:space="0" w:color="auto"/>
            <w:right w:val="none" w:sz="0" w:space="0" w:color="auto"/>
          </w:tblBorders>
        </w:tblPrEx>
        <w:trPr>
          <w:cantSplit/>
          <w:trHeight w:val="397"/>
        </w:trPr>
        <w:tc>
          <w:tcPr>
            <w:tcW w:w="445"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976.95</w:t>
            </w:r>
          </w:p>
        </w:tc>
        <w:tc>
          <w:tcPr>
            <w:tcW w:w="475"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38.78</w:t>
            </w:r>
          </w:p>
        </w:tc>
        <w:tc>
          <w:tcPr>
            <w:tcW w:w="437" w:type="pct"/>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90.00</w:t>
            </w:r>
          </w:p>
        </w:tc>
        <w:tc>
          <w:tcPr>
            <w:tcW w:w="402"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850.00</w:t>
            </w:r>
          </w:p>
        </w:tc>
        <w:tc>
          <w:tcPr>
            <w:tcW w:w="554" w:type="pct"/>
            <w:gridSpan w:val="4"/>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390.10</w:t>
            </w:r>
          </w:p>
        </w:tc>
        <w:tc>
          <w:tcPr>
            <w:tcW w:w="406"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450" w:type="pct"/>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390.10</w:t>
            </w:r>
          </w:p>
        </w:tc>
        <w:tc>
          <w:tcPr>
            <w:tcW w:w="545"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547" w:type="pct"/>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733" w:type="pct"/>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A</w:t>
            </w:r>
          </w:p>
        </w:tc>
      </w:tr>
      <w:tr w:rsidR="00EE4502">
        <w:tblPrEx>
          <w:tblBorders>
            <w:top w:val="single" w:sz="12" w:space="0" w:color="auto"/>
            <w:left w:val="none" w:sz="0" w:space="0" w:color="auto"/>
            <w:bottom w:val="single" w:sz="12" w:space="0" w:color="auto"/>
            <w:right w:val="none" w:sz="0" w:space="0" w:color="auto"/>
          </w:tblBorders>
        </w:tblPrEx>
        <w:trPr>
          <w:cantSplit/>
          <w:trHeight w:val="397"/>
        </w:trPr>
        <w:tc>
          <w:tcPr>
            <w:tcW w:w="445"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1025.22</w:t>
            </w:r>
          </w:p>
        </w:tc>
        <w:tc>
          <w:tcPr>
            <w:tcW w:w="475"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38.78</w:t>
            </w:r>
          </w:p>
        </w:tc>
        <w:tc>
          <w:tcPr>
            <w:tcW w:w="437" w:type="pct"/>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90.00</w:t>
            </w:r>
          </w:p>
        </w:tc>
        <w:tc>
          <w:tcPr>
            <w:tcW w:w="402"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950.00</w:t>
            </w:r>
          </w:p>
        </w:tc>
        <w:tc>
          <w:tcPr>
            <w:tcW w:w="554" w:type="pct"/>
            <w:gridSpan w:val="4"/>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470.44</w:t>
            </w:r>
          </w:p>
        </w:tc>
        <w:tc>
          <w:tcPr>
            <w:tcW w:w="406"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450" w:type="pct"/>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470.44</w:t>
            </w:r>
          </w:p>
        </w:tc>
        <w:tc>
          <w:tcPr>
            <w:tcW w:w="545"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547" w:type="pct"/>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733" w:type="pct"/>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EE4502">
            <w:pPr>
              <w:widowControl/>
              <w:tabs>
                <w:tab w:val="left" w:pos="377"/>
              </w:tabs>
              <w:jc w:val="center"/>
              <w:rPr>
                <w:szCs w:val="21"/>
              </w:rPr>
            </w:pPr>
          </w:p>
        </w:tc>
      </w:tr>
      <w:tr w:rsidR="00EE4502">
        <w:tblPrEx>
          <w:tblBorders>
            <w:top w:val="single" w:sz="12" w:space="0" w:color="auto"/>
            <w:left w:val="none" w:sz="0" w:space="0" w:color="auto"/>
            <w:bottom w:val="single" w:sz="12" w:space="0" w:color="auto"/>
            <w:right w:val="none" w:sz="0" w:space="0" w:color="auto"/>
          </w:tblBorders>
        </w:tblPrEx>
        <w:trPr>
          <w:cantSplit/>
          <w:trHeight w:val="397"/>
        </w:trPr>
        <w:tc>
          <w:tcPr>
            <w:tcW w:w="5000" w:type="pct"/>
            <w:gridSpan w:val="26"/>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轨道各点数据</w:t>
            </w:r>
          </w:p>
        </w:tc>
      </w:tr>
      <w:tr w:rsidR="00EE4502">
        <w:trPr>
          <w:cantSplit/>
          <w:trHeight w:val="397"/>
        </w:trPr>
        <w:tc>
          <w:tcPr>
            <w:tcW w:w="41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井深</w:t>
            </w:r>
          </w:p>
          <w:p w:rsidR="00EE4502" w:rsidRDefault="00FD45A3">
            <w:pPr>
              <w:widowControl/>
              <w:tabs>
                <w:tab w:val="left" w:pos="377"/>
              </w:tabs>
              <w:jc w:val="center"/>
              <w:rPr>
                <w:szCs w:val="21"/>
              </w:rPr>
            </w:pPr>
            <w:r>
              <w:rPr>
                <w:rFonts w:hint="eastAsia"/>
                <w:szCs w:val="21"/>
              </w:rPr>
              <w:t>（</w:t>
            </w:r>
            <w:r>
              <w:rPr>
                <w:rFonts w:hint="eastAsia"/>
                <w:szCs w:val="21"/>
              </w:rPr>
              <w:t>m</w:t>
            </w:r>
            <w:r>
              <w:rPr>
                <w:rFonts w:hint="eastAsia"/>
                <w:szCs w:val="21"/>
              </w:rPr>
              <w:t>)</w:t>
            </w:r>
          </w:p>
        </w:tc>
        <w:tc>
          <w:tcPr>
            <w:tcW w:w="386"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井斜</w:t>
            </w:r>
          </w:p>
          <w:p w:rsidR="00EE4502" w:rsidRDefault="00FD45A3">
            <w:pPr>
              <w:widowControl/>
              <w:tabs>
                <w:tab w:val="left" w:pos="377"/>
              </w:tabs>
              <w:jc w:val="center"/>
              <w:rPr>
                <w:szCs w:val="21"/>
              </w:rPr>
            </w:pPr>
            <w:r>
              <w:rPr>
                <w:rFonts w:hint="eastAsia"/>
                <w:szCs w:val="21"/>
              </w:rPr>
              <w:t>（°）</w:t>
            </w:r>
          </w:p>
        </w:tc>
        <w:tc>
          <w:tcPr>
            <w:tcW w:w="387" w:type="pct"/>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方位</w:t>
            </w:r>
          </w:p>
          <w:p w:rsidR="00EE4502" w:rsidRDefault="00FD45A3">
            <w:pPr>
              <w:widowControl/>
              <w:tabs>
                <w:tab w:val="left" w:pos="377"/>
              </w:tabs>
              <w:jc w:val="center"/>
              <w:rPr>
                <w:szCs w:val="21"/>
              </w:rPr>
            </w:pPr>
            <w:r>
              <w:rPr>
                <w:rFonts w:hint="eastAsia"/>
                <w:szCs w:val="21"/>
              </w:rPr>
              <w:t>（°）</w:t>
            </w:r>
          </w:p>
        </w:tc>
        <w:tc>
          <w:tcPr>
            <w:tcW w:w="386"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闭合方位</w:t>
            </w:r>
          </w:p>
          <w:p w:rsidR="00EE4502" w:rsidRDefault="00FD45A3">
            <w:pPr>
              <w:widowControl/>
              <w:tabs>
                <w:tab w:val="left" w:pos="377"/>
              </w:tabs>
              <w:jc w:val="center"/>
              <w:rPr>
                <w:szCs w:val="21"/>
              </w:rPr>
            </w:pPr>
            <w:r>
              <w:rPr>
                <w:rFonts w:hint="eastAsia"/>
                <w:szCs w:val="21"/>
              </w:rPr>
              <w:t>（°）</w:t>
            </w:r>
          </w:p>
        </w:tc>
        <w:tc>
          <w:tcPr>
            <w:tcW w:w="360"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垂深</w:t>
            </w:r>
          </w:p>
          <w:p w:rsidR="00EE4502" w:rsidRDefault="00FD45A3">
            <w:pPr>
              <w:widowControl/>
              <w:tabs>
                <w:tab w:val="left" w:pos="377"/>
              </w:tabs>
              <w:jc w:val="center"/>
              <w:rPr>
                <w:szCs w:val="21"/>
              </w:rPr>
            </w:pPr>
            <w:r>
              <w:rPr>
                <w:rFonts w:hint="eastAsia"/>
                <w:szCs w:val="21"/>
              </w:rPr>
              <w:t>（</w:t>
            </w:r>
            <w:r>
              <w:rPr>
                <w:rFonts w:hint="eastAsia"/>
                <w:szCs w:val="21"/>
              </w:rPr>
              <w:t>m</w:t>
            </w:r>
            <w:r>
              <w:rPr>
                <w:rFonts w:hint="eastAsia"/>
                <w:szCs w:val="21"/>
              </w:rPr>
              <w:t>)</w:t>
            </w:r>
          </w:p>
        </w:tc>
        <w:tc>
          <w:tcPr>
            <w:tcW w:w="360"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闭合距</w:t>
            </w:r>
          </w:p>
          <w:p w:rsidR="00EE4502" w:rsidRDefault="00FD45A3">
            <w:pPr>
              <w:widowControl/>
              <w:tabs>
                <w:tab w:val="left" w:pos="377"/>
              </w:tabs>
              <w:jc w:val="center"/>
              <w:rPr>
                <w:szCs w:val="21"/>
              </w:rPr>
            </w:pPr>
            <w:r>
              <w:rPr>
                <w:rFonts w:hint="eastAsia"/>
                <w:szCs w:val="21"/>
              </w:rPr>
              <w:t>（</w:t>
            </w:r>
            <w:r>
              <w:rPr>
                <w:rFonts w:hint="eastAsia"/>
                <w:szCs w:val="21"/>
              </w:rPr>
              <w:t>m</w:t>
            </w:r>
            <w:r>
              <w:rPr>
                <w:rFonts w:hint="eastAsia"/>
                <w:szCs w:val="21"/>
              </w:rPr>
              <w:t>)</w:t>
            </w:r>
          </w:p>
        </w:tc>
        <w:tc>
          <w:tcPr>
            <w:tcW w:w="292"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南北</w:t>
            </w:r>
          </w:p>
          <w:p w:rsidR="00EE4502" w:rsidRDefault="00FD45A3">
            <w:pPr>
              <w:widowControl/>
              <w:tabs>
                <w:tab w:val="left" w:pos="377"/>
              </w:tabs>
              <w:jc w:val="center"/>
              <w:rPr>
                <w:szCs w:val="21"/>
              </w:rPr>
            </w:pPr>
            <w:r>
              <w:rPr>
                <w:rFonts w:hint="eastAsia"/>
                <w:szCs w:val="21"/>
              </w:rPr>
              <w:t>（</w:t>
            </w:r>
            <w:r>
              <w:rPr>
                <w:rFonts w:hint="eastAsia"/>
                <w:szCs w:val="21"/>
              </w:rPr>
              <w:t>m</w:t>
            </w:r>
            <w:r>
              <w:rPr>
                <w:rFonts w:hint="eastAsia"/>
                <w:szCs w:val="21"/>
              </w:rPr>
              <w:t>)</w:t>
            </w:r>
          </w:p>
        </w:tc>
        <w:tc>
          <w:tcPr>
            <w:tcW w:w="360" w:type="pct"/>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东西</w:t>
            </w:r>
          </w:p>
          <w:p w:rsidR="00EE4502" w:rsidRDefault="00FD45A3">
            <w:pPr>
              <w:widowControl/>
              <w:tabs>
                <w:tab w:val="left" w:pos="377"/>
              </w:tabs>
              <w:jc w:val="center"/>
              <w:rPr>
                <w:szCs w:val="21"/>
              </w:rPr>
            </w:pPr>
            <w:r>
              <w:rPr>
                <w:rFonts w:hint="eastAsia"/>
                <w:szCs w:val="21"/>
              </w:rPr>
              <w:t>（</w:t>
            </w:r>
            <w:r>
              <w:rPr>
                <w:rFonts w:hint="eastAsia"/>
                <w:szCs w:val="21"/>
              </w:rPr>
              <w:t>m</w:t>
            </w:r>
            <w:r>
              <w:rPr>
                <w:rFonts w:hint="eastAsia"/>
                <w:szCs w:val="21"/>
              </w:rPr>
              <w:t>)</w:t>
            </w:r>
          </w:p>
        </w:tc>
        <w:tc>
          <w:tcPr>
            <w:tcW w:w="535"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造斜率</w:t>
            </w:r>
          </w:p>
          <w:p w:rsidR="00EE4502" w:rsidRDefault="00FD45A3">
            <w:pPr>
              <w:widowControl/>
              <w:tabs>
                <w:tab w:val="left" w:pos="377"/>
              </w:tabs>
              <w:jc w:val="center"/>
              <w:rPr>
                <w:szCs w:val="21"/>
              </w:rPr>
            </w:pPr>
            <w:r>
              <w:rPr>
                <w:rFonts w:hint="eastAsia"/>
                <w:szCs w:val="21"/>
              </w:rPr>
              <w:t>（°</w:t>
            </w:r>
            <w:r>
              <w:rPr>
                <w:rFonts w:hint="eastAsia"/>
                <w:szCs w:val="21"/>
              </w:rPr>
              <w:t>/30m</w:t>
            </w:r>
            <w:r>
              <w:rPr>
                <w:rFonts w:hint="eastAsia"/>
                <w:szCs w:val="21"/>
              </w:rPr>
              <w:t>)</w:t>
            </w:r>
          </w:p>
        </w:tc>
        <w:tc>
          <w:tcPr>
            <w:tcW w:w="534" w:type="pct"/>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方位变化率</w:t>
            </w:r>
          </w:p>
          <w:p w:rsidR="00EE4502" w:rsidRDefault="00FD45A3">
            <w:pPr>
              <w:widowControl/>
              <w:tabs>
                <w:tab w:val="left" w:pos="377"/>
              </w:tabs>
              <w:jc w:val="center"/>
              <w:rPr>
                <w:szCs w:val="21"/>
              </w:rPr>
            </w:pPr>
            <w:r>
              <w:rPr>
                <w:rFonts w:hint="eastAsia"/>
                <w:szCs w:val="21"/>
              </w:rPr>
              <w:t>（°</w:t>
            </w:r>
            <w:r>
              <w:rPr>
                <w:rFonts w:hint="eastAsia"/>
                <w:szCs w:val="21"/>
              </w:rPr>
              <w:t>/30m</w:t>
            </w:r>
            <w:r>
              <w:rPr>
                <w:rFonts w:hint="eastAsia"/>
                <w:szCs w:val="21"/>
              </w:rPr>
              <w:t>)</w:t>
            </w:r>
          </w:p>
        </w:tc>
        <w:tc>
          <w:tcPr>
            <w:tcW w:w="595" w:type="pct"/>
            <w:gridSpan w:val="2"/>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狗腿度</w:t>
            </w:r>
          </w:p>
          <w:p w:rsidR="00EE4502" w:rsidRDefault="00FD45A3">
            <w:pPr>
              <w:widowControl/>
              <w:tabs>
                <w:tab w:val="left" w:pos="377"/>
              </w:tabs>
              <w:jc w:val="center"/>
              <w:rPr>
                <w:szCs w:val="21"/>
              </w:rPr>
            </w:pPr>
            <w:r>
              <w:rPr>
                <w:rFonts w:hint="eastAsia"/>
                <w:szCs w:val="21"/>
              </w:rPr>
              <w:t>（°</w:t>
            </w:r>
            <w:r>
              <w:rPr>
                <w:rFonts w:hint="eastAsia"/>
                <w:szCs w:val="21"/>
              </w:rPr>
              <w:t>/30m</w:t>
            </w:r>
            <w:r>
              <w:rPr>
                <w:rFonts w:hint="eastAsia"/>
                <w:szCs w:val="21"/>
              </w:rPr>
              <w:t>)</w:t>
            </w:r>
          </w:p>
        </w:tc>
        <w:tc>
          <w:tcPr>
            <w:tcW w:w="386"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工具面</w:t>
            </w:r>
          </w:p>
          <w:p w:rsidR="00EE4502" w:rsidRDefault="00FD45A3">
            <w:pPr>
              <w:widowControl/>
              <w:tabs>
                <w:tab w:val="left" w:pos="377"/>
              </w:tabs>
              <w:jc w:val="center"/>
              <w:rPr>
                <w:szCs w:val="21"/>
              </w:rPr>
            </w:pPr>
            <w:r>
              <w:rPr>
                <w:rFonts w:hint="eastAsia"/>
                <w:szCs w:val="21"/>
              </w:rPr>
              <w:t>（°）</w:t>
            </w:r>
          </w:p>
        </w:tc>
      </w:tr>
      <w:tr w:rsidR="00EE4502">
        <w:trPr>
          <w:cantSplit/>
          <w:trHeight w:val="397"/>
        </w:trPr>
        <w:tc>
          <w:tcPr>
            <w:tcW w:w="41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386"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387" w:type="pct"/>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90.00</w:t>
            </w:r>
          </w:p>
        </w:tc>
        <w:tc>
          <w:tcPr>
            <w:tcW w:w="386"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360"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360"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292"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360" w:type="pct"/>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535"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534" w:type="pct"/>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595" w:type="pct"/>
            <w:gridSpan w:val="2"/>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0.00</w:t>
            </w:r>
          </w:p>
        </w:tc>
        <w:tc>
          <w:tcPr>
            <w:tcW w:w="386"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r>
      <w:tr w:rsidR="00EE4502">
        <w:trPr>
          <w:cantSplit/>
          <w:trHeight w:val="397"/>
        </w:trPr>
        <w:tc>
          <w:tcPr>
            <w:tcW w:w="41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230.00</w:t>
            </w:r>
          </w:p>
        </w:tc>
        <w:tc>
          <w:tcPr>
            <w:tcW w:w="386"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387" w:type="pct"/>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90.00</w:t>
            </w:r>
          </w:p>
        </w:tc>
        <w:tc>
          <w:tcPr>
            <w:tcW w:w="386"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360"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230.00</w:t>
            </w:r>
          </w:p>
        </w:tc>
        <w:tc>
          <w:tcPr>
            <w:tcW w:w="360"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292"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360" w:type="pct"/>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535"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534" w:type="pct"/>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595" w:type="pct"/>
            <w:gridSpan w:val="2"/>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0.00</w:t>
            </w:r>
          </w:p>
        </w:tc>
        <w:tc>
          <w:tcPr>
            <w:tcW w:w="386"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r>
      <w:tr w:rsidR="00EE4502">
        <w:trPr>
          <w:cantSplit/>
          <w:trHeight w:val="397"/>
        </w:trPr>
        <w:tc>
          <w:tcPr>
            <w:tcW w:w="41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270.00</w:t>
            </w:r>
          </w:p>
        </w:tc>
        <w:tc>
          <w:tcPr>
            <w:tcW w:w="386"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6.00</w:t>
            </w:r>
          </w:p>
        </w:tc>
        <w:tc>
          <w:tcPr>
            <w:tcW w:w="387" w:type="pct"/>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90.00</w:t>
            </w:r>
          </w:p>
        </w:tc>
        <w:tc>
          <w:tcPr>
            <w:tcW w:w="386"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90.00</w:t>
            </w:r>
          </w:p>
        </w:tc>
        <w:tc>
          <w:tcPr>
            <w:tcW w:w="360"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269.93</w:t>
            </w:r>
          </w:p>
        </w:tc>
        <w:tc>
          <w:tcPr>
            <w:tcW w:w="360"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2.09</w:t>
            </w:r>
          </w:p>
        </w:tc>
        <w:tc>
          <w:tcPr>
            <w:tcW w:w="292"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360" w:type="pct"/>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2.09</w:t>
            </w:r>
          </w:p>
        </w:tc>
        <w:tc>
          <w:tcPr>
            <w:tcW w:w="535"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4.50</w:t>
            </w:r>
          </w:p>
        </w:tc>
        <w:tc>
          <w:tcPr>
            <w:tcW w:w="534" w:type="pct"/>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595" w:type="pct"/>
            <w:gridSpan w:val="2"/>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4.50</w:t>
            </w:r>
          </w:p>
        </w:tc>
        <w:tc>
          <w:tcPr>
            <w:tcW w:w="386"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r>
      <w:tr w:rsidR="00EE4502">
        <w:trPr>
          <w:cantSplit/>
          <w:trHeight w:val="397"/>
        </w:trPr>
        <w:tc>
          <w:tcPr>
            <w:tcW w:w="41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310.00</w:t>
            </w:r>
          </w:p>
        </w:tc>
        <w:tc>
          <w:tcPr>
            <w:tcW w:w="386"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12.00</w:t>
            </w:r>
          </w:p>
        </w:tc>
        <w:tc>
          <w:tcPr>
            <w:tcW w:w="387" w:type="pct"/>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90.00</w:t>
            </w:r>
          </w:p>
        </w:tc>
        <w:tc>
          <w:tcPr>
            <w:tcW w:w="386"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90.00</w:t>
            </w:r>
          </w:p>
        </w:tc>
        <w:tc>
          <w:tcPr>
            <w:tcW w:w="360"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309.42</w:t>
            </w:r>
          </w:p>
        </w:tc>
        <w:tc>
          <w:tcPr>
            <w:tcW w:w="360"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8.35</w:t>
            </w:r>
          </w:p>
        </w:tc>
        <w:tc>
          <w:tcPr>
            <w:tcW w:w="292"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360" w:type="pct"/>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8.35</w:t>
            </w:r>
          </w:p>
        </w:tc>
        <w:tc>
          <w:tcPr>
            <w:tcW w:w="535"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4.50</w:t>
            </w:r>
          </w:p>
        </w:tc>
        <w:tc>
          <w:tcPr>
            <w:tcW w:w="534" w:type="pct"/>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595" w:type="pct"/>
            <w:gridSpan w:val="2"/>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4.50</w:t>
            </w:r>
          </w:p>
        </w:tc>
        <w:tc>
          <w:tcPr>
            <w:tcW w:w="386"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r>
      <w:tr w:rsidR="00EE4502">
        <w:trPr>
          <w:cantSplit/>
          <w:trHeight w:val="397"/>
        </w:trPr>
        <w:tc>
          <w:tcPr>
            <w:tcW w:w="41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350.00</w:t>
            </w:r>
          </w:p>
        </w:tc>
        <w:tc>
          <w:tcPr>
            <w:tcW w:w="386"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18.00</w:t>
            </w:r>
          </w:p>
        </w:tc>
        <w:tc>
          <w:tcPr>
            <w:tcW w:w="387" w:type="pct"/>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90.00</w:t>
            </w:r>
          </w:p>
        </w:tc>
        <w:tc>
          <w:tcPr>
            <w:tcW w:w="386"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90.00</w:t>
            </w:r>
          </w:p>
        </w:tc>
        <w:tc>
          <w:tcPr>
            <w:tcW w:w="360"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348.04</w:t>
            </w:r>
          </w:p>
        </w:tc>
        <w:tc>
          <w:tcPr>
            <w:tcW w:w="360"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18.70</w:t>
            </w:r>
          </w:p>
        </w:tc>
        <w:tc>
          <w:tcPr>
            <w:tcW w:w="292"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360" w:type="pct"/>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18.70</w:t>
            </w:r>
          </w:p>
        </w:tc>
        <w:tc>
          <w:tcPr>
            <w:tcW w:w="535"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4.50</w:t>
            </w:r>
          </w:p>
        </w:tc>
        <w:tc>
          <w:tcPr>
            <w:tcW w:w="534" w:type="pct"/>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595" w:type="pct"/>
            <w:gridSpan w:val="2"/>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4.50</w:t>
            </w:r>
          </w:p>
        </w:tc>
        <w:tc>
          <w:tcPr>
            <w:tcW w:w="386"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r>
      <w:tr w:rsidR="00EE4502">
        <w:trPr>
          <w:cantSplit/>
          <w:trHeight w:val="397"/>
        </w:trPr>
        <w:tc>
          <w:tcPr>
            <w:tcW w:w="41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390.00</w:t>
            </w:r>
          </w:p>
        </w:tc>
        <w:tc>
          <w:tcPr>
            <w:tcW w:w="386"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24.00</w:t>
            </w:r>
          </w:p>
        </w:tc>
        <w:tc>
          <w:tcPr>
            <w:tcW w:w="387" w:type="pct"/>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90.00</w:t>
            </w:r>
          </w:p>
        </w:tc>
        <w:tc>
          <w:tcPr>
            <w:tcW w:w="386"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90.00</w:t>
            </w:r>
          </w:p>
        </w:tc>
        <w:tc>
          <w:tcPr>
            <w:tcW w:w="360"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385.36</w:t>
            </w:r>
          </w:p>
        </w:tc>
        <w:tc>
          <w:tcPr>
            <w:tcW w:w="360"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33.02</w:t>
            </w:r>
          </w:p>
        </w:tc>
        <w:tc>
          <w:tcPr>
            <w:tcW w:w="292"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360" w:type="pct"/>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33.02</w:t>
            </w:r>
          </w:p>
        </w:tc>
        <w:tc>
          <w:tcPr>
            <w:tcW w:w="535"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4.50</w:t>
            </w:r>
          </w:p>
        </w:tc>
        <w:tc>
          <w:tcPr>
            <w:tcW w:w="534" w:type="pct"/>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595" w:type="pct"/>
            <w:gridSpan w:val="2"/>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4.50</w:t>
            </w:r>
          </w:p>
        </w:tc>
        <w:tc>
          <w:tcPr>
            <w:tcW w:w="386"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r>
      <w:tr w:rsidR="00EE4502">
        <w:trPr>
          <w:cantSplit/>
          <w:trHeight w:val="397"/>
        </w:trPr>
        <w:tc>
          <w:tcPr>
            <w:tcW w:w="41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430.00</w:t>
            </w:r>
          </w:p>
        </w:tc>
        <w:tc>
          <w:tcPr>
            <w:tcW w:w="386"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30.00</w:t>
            </w:r>
          </w:p>
        </w:tc>
        <w:tc>
          <w:tcPr>
            <w:tcW w:w="387" w:type="pct"/>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90.00</w:t>
            </w:r>
          </w:p>
        </w:tc>
        <w:tc>
          <w:tcPr>
            <w:tcW w:w="386"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90.00</w:t>
            </w:r>
          </w:p>
        </w:tc>
        <w:tc>
          <w:tcPr>
            <w:tcW w:w="360"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420.99</w:t>
            </w:r>
          </w:p>
        </w:tc>
        <w:tc>
          <w:tcPr>
            <w:tcW w:w="360"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51.17</w:t>
            </w:r>
          </w:p>
        </w:tc>
        <w:tc>
          <w:tcPr>
            <w:tcW w:w="292"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360" w:type="pct"/>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51.17</w:t>
            </w:r>
          </w:p>
        </w:tc>
        <w:tc>
          <w:tcPr>
            <w:tcW w:w="535"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4.50</w:t>
            </w:r>
          </w:p>
        </w:tc>
        <w:tc>
          <w:tcPr>
            <w:tcW w:w="534" w:type="pct"/>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595" w:type="pct"/>
            <w:gridSpan w:val="2"/>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4.50</w:t>
            </w:r>
          </w:p>
        </w:tc>
        <w:tc>
          <w:tcPr>
            <w:tcW w:w="386"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r>
      <w:tr w:rsidR="00EE4502">
        <w:trPr>
          <w:cantSplit/>
          <w:trHeight w:val="397"/>
        </w:trPr>
        <w:tc>
          <w:tcPr>
            <w:tcW w:w="41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470.00</w:t>
            </w:r>
          </w:p>
        </w:tc>
        <w:tc>
          <w:tcPr>
            <w:tcW w:w="386"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36.00</w:t>
            </w:r>
          </w:p>
        </w:tc>
        <w:tc>
          <w:tcPr>
            <w:tcW w:w="387" w:type="pct"/>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90.00</w:t>
            </w:r>
          </w:p>
        </w:tc>
        <w:tc>
          <w:tcPr>
            <w:tcW w:w="386"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90.00</w:t>
            </w:r>
          </w:p>
        </w:tc>
        <w:tc>
          <w:tcPr>
            <w:tcW w:w="360"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454.52</w:t>
            </w:r>
          </w:p>
        </w:tc>
        <w:tc>
          <w:tcPr>
            <w:tcW w:w="360"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72.95</w:t>
            </w:r>
          </w:p>
        </w:tc>
        <w:tc>
          <w:tcPr>
            <w:tcW w:w="292"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360" w:type="pct"/>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72.95</w:t>
            </w:r>
          </w:p>
        </w:tc>
        <w:tc>
          <w:tcPr>
            <w:tcW w:w="535"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4.50</w:t>
            </w:r>
          </w:p>
        </w:tc>
        <w:tc>
          <w:tcPr>
            <w:tcW w:w="534" w:type="pct"/>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595" w:type="pct"/>
            <w:gridSpan w:val="2"/>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4.50</w:t>
            </w:r>
          </w:p>
        </w:tc>
        <w:tc>
          <w:tcPr>
            <w:tcW w:w="386"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r>
      <w:tr w:rsidR="00EE4502">
        <w:trPr>
          <w:cantSplit/>
          <w:trHeight w:val="397"/>
        </w:trPr>
        <w:tc>
          <w:tcPr>
            <w:tcW w:w="41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488.52</w:t>
            </w:r>
          </w:p>
        </w:tc>
        <w:tc>
          <w:tcPr>
            <w:tcW w:w="386"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38.78</w:t>
            </w:r>
          </w:p>
        </w:tc>
        <w:tc>
          <w:tcPr>
            <w:tcW w:w="387" w:type="pct"/>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90.00</w:t>
            </w:r>
          </w:p>
        </w:tc>
        <w:tc>
          <w:tcPr>
            <w:tcW w:w="386"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90.00</w:t>
            </w:r>
          </w:p>
        </w:tc>
        <w:tc>
          <w:tcPr>
            <w:tcW w:w="360"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469.23</w:t>
            </w:r>
          </w:p>
        </w:tc>
        <w:tc>
          <w:tcPr>
            <w:tcW w:w="360"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84.19</w:t>
            </w:r>
          </w:p>
        </w:tc>
        <w:tc>
          <w:tcPr>
            <w:tcW w:w="292"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360" w:type="pct"/>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84.19</w:t>
            </w:r>
          </w:p>
        </w:tc>
        <w:tc>
          <w:tcPr>
            <w:tcW w:w="535"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4.50</w:t>
            </w:r>
          </w:p>
        </w:tc>
        <w:tc>
          <w:tcPr>
            <w:tcW w:w="534" w:type="pct"/>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595" w:type="pct"/>
            <w:gridSpan w:val="2"/>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4.50</w:t>
            </w:r>
          </w:p>
        </w:tc>
        <w:tc>
          <w:tcPr>
            <w:tcW w:w="386"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r>
      <w:tr w:rsidR="00EE4502">
        <w:trPr>
          <w:cantSplit/>
          <w:trHeight w:val="397"/>
        </w:trPr>
        <w:tc>
          <w:tcPr>
            <w:tcW w:w="41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lastRenderedPageBreak/>
              <w:t>588.52</w:t>
            </w:r>
          </w:p>
        </w:tc>
        <w:tc>
          <w:tcPr>
            <w:tcW w:w="386"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38.78</w:t>
            </w:r>
          </w:p>
        </w:tc>
        <w:tc>
          <w:tcPr>
            <w:tcW w:w="387" w:type="pct"/>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90.00</w:t>
            </w:r>
          </w:p>
        </w:tc>
        <w:tc>
          <w:tcPr>
            <w:tcW w:w="386"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90.00</w:t>
            </w:r>
          </w:p>
        </w:tc>
        <w:tc>
          <w:tcPr>
            <w:tcW w:w="360"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547.19</w:t>
            </w:r>
          </w:p>
        </w:tc>
        <w:tc>
          <w:tcPr>
            <w:tcW w:w="360"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146.82</w:t>
            </w:r>
          </w:p>
        </w:tc>
        <w:tc>
          <w:tcPr>
            <w:tcW w:w="292"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360" w:type="pct"/>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146.82</w:t>
            </w:r>
          </w:p>
        </w:tc>
        <w:tc>
          <w:tcPr>
            <w:tcW w:w="535"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534" w:type="pct"/>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595" w:type="pct"/>
            <w:gridSpan w:val="2"/>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0.00</w:t>
            </w:r>
          </w:p>
        </w:tc>
        <w:tc>
          <w:tcPr>
            <w:tcW w:w="386"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r>
      <w:tr w:rsidR="00EE4502">
        <w:trPr>
          <w:cantSplit/>
          <w:trHeight w:val="397"/>
        </w:trPr>
        <w:tc>
          <w:tcPr>
            <w:tcW w:w="41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688.52</w:t>
            </w:r>
          </w:p>
        </w:tc>
        <w:tc>
          <w:tcPr>
            <w:tcW w:w="386"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38.78</w:t>
            </w:r>
          </w:p>
        </w:tc>
        <w:tc>
          <w:tcPr>
            <w:tcW w:w="387" w:type="pct"/>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90.00</w:t>
            </w:r>
          </w:p>
        </w:tc>
        <w:tc>
          <w:tcPr>
            <w:tcW w:w="386"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90.00</w:t>
            </w:r>
          </w:p>
        </w:tc>
        <w:tc>
          <w:tcPr>
            <w:tcW w:w="360"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625.15</w:t>
            </w:r>
          </w:p>
        </w:tc>
        <w:tc>
          <w:tcPr>
            <w:tcW w:w="360"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209.46</w:t>
            </w:r>
          </w:p>
        </w:tc>
        <w:tc>
          <w:tcPr>
            <w:tcW w:w="292"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360" w:type="pct"/>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209.46</w:t>
            </w:r>
          </w:p>
        </w:tc>
        <w:tc>
          <w:tcPr>
            <w:tcW w:w="535"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534" w:type="pct"/>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595" w:type="pct"/>
            <w:gridSpan w:val="2"/>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0.00</w:t>
            </w:r>
          </w:p>
        </w:tc>
        <w:tc>
          <w:tcPr>
            <w:tcW w:w="386"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r>
      <w:tr w:rsidR="00EE4502">
        <w:trPr>
          <w:cantSplit/>
          <w:trHeight w:val="397"/>
        </w:trPr>
        <w:tc>
          <w:tcPr>
            <w:tcW w:w="41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788.52</w:t>
            </w:r>
          </w:p>
        </w:tc>
        <w:tc>
          <w:tcPr>
            <w:tcW w:w="386"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38.78</w:t>
            </w:r>
          </w:p>
        </w:tc>
        <w:tc>
          <w:tcPr>
            <w:tcW w:w="387" w:type="pct"/>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90.00</w:t>
            </w:r>
          </w:p>
        </w:tc>
        <w:tc>
          <w:tcPr>
            <w:tcW w:w="386"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90.00</w:t>
            </w:r>
          </w:p>
        </w:tc>
        <w:tc>
          <w:tcPr>
            <w:tcW w:w="360"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703.10</w:t>
            </w:r>
          </w:p>
        </w:tc>
        <w:tc>
          <w:tcPr>
            <w:tcW w:w="360"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272.09</w:t>
            </w:r>
          </w:p>
        </w:tc>
        <w:tc>
          <w:tcPr>
            <w:tcW w:w="292"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360" w:type="pct"/>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272.09</w:t>
            </w:r>
          </w:p>
        </w:tc>
        <w:tc>
          <w:tcPr>
            <w:tcW w:w="535"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534" w:type="pct"/>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595" w:type="pct"/>
            <w:gridSpan w:val="2"/>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0.00</w:t>
            </w:r>
          </w:p>
        </w:tc>
        <w:tc>
          <w:tcPr>
            <w:tcW w:w="386"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r>
      <w:tr w:rsidR="00EE4502">
        <w:trPr>
          <w:cantSplit/>
          <w:trHeight w:val="397"/>
        </w:trPr>
        <w:tc>
          <w:tcPr>
            <w:tcW w:w="41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888.52</w:t>
            </w:r>
          </w:p>
        </w:tc>
        <w:tc>
          <w:tcPr>
            <w:tcW w:w="386"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38.78</w:t>
            </w:r>
          </w:p>
        </w:tc>
        <w:tc>
          <w:tcPr>
            <w:tcW w:w="387" w:type="pct"/>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90.00</w:t>
            </w:r>
          </w:p>
        </w:tc>
        <w:tc>
          <w:tcPr>
            <w:tcW w:w="386"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90.00</w:t>
            </w:r>
          </w:p>
        </w:tc>
        <w:tc>
          <w:tcPr>
            <w:tcW w:w="360"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781.06</w:t>
            </w:r>
          </w:p>
        </w:tc>
        <w:tc>
          <w:tcPr>
            <w:tcW w:w="360"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334.72</w:t>
            </w:r>
          </w:p>
        </w:tc>
        <w:tc>
          <w:tcPr>
            <w:tcW w:w="292"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360" w:type="pct"/>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334.72</w:t>
            </w:r>
          </w:p>
        </w:tc>
        <w:tc>
          <w:tcPr>
            <w:tcW w:w="535"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534" w:type="pct"/>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595" w:type="pct"/>
            <w:gridSpan w:val="2"/>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0.00</w:t>
            </w:r>
          </w:p>
        </w:tc>
        <w:tc>
          <w:tcPr>
            <w:tcW w:w="386"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r>
      <w:tr w:rsidR="00EE4502">
        <w:trPr>
          <w:cantSplit/>
          <w:trHeight w:val="397"/>
        </w:trPr>
        <w:tc>
          <w:tcPr>
            <w:tcW w:w="41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976.95</w:t>
            </w:r>
          </w:p>
        </w:tc>
        <w:tc>
          <w:tcPr>
            <w:tcW w:w="386"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38.78</w:t>
            </w:r>
          </w:p>
        </w:tc>
        <w:tc>
          <w:tcPr>
            <w:tcW w:w="387" w:type="pct"/>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90.00</w:t>
            </w:r>
          </w:p>
        </w:tc>
        <w:tc>
          <w:tcPr>
            <w:tcW w:w="386"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90.00</w:t>
            </w:r>
          </w:p>
        </w:tc>
        <w:tc>
          <w:tcPr>
            <w:tcW w:w="360"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850.00</w:t>
            </w:r>
          </w:p>
        </w:tc>
        <w:tc>
          <w:tcPr>
            <w:tcW w:w="360"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390.10</w:t>
            </w:r>
          </w:p>
        </w:tc>
        <w:tc>
          <w:tcPr>
            <w:tcW w:w="292"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360" w:type="pct"/>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390.10</w:t>
            </w:r>
          </w:p>
        </w:tc>
        <w:tc>
          <w:tcPr>
            <w:tcW w:w="535"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534" w:type="pct"/>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595" w:type="pct"/>
            <w:gridSpan w:val="2"/>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0.00</w:t>
            </w:r>
          </w:p>
        </w:tc>
        <w:tc>
          <w:tcPr>
            <w:tcW w:w="386"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r>
      <w:tr w:rsidR="00EE4502">
        <w:trPr>
          <w:cantSplit/>
          <w:trHeight w:val="397"/>
        </w:trPr>
        <w:tc>
          <w:tcPr>
            <w:tcW w:w="41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1025.22</w:t>
            </w:r>
          </w:p>
        </w:tc>
        <w:tc>
          <w:tcPr>
            <w:tcW w:w="386"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38.78</w:t>
            </w:r>
          </w:p>
        </w:tc>
        <w:tc>
          <w:tcPr>
            <w:tcW w:w="387" w:type="pct"/>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90.00</w:t>
            </w:r>
          </w:p>
        </w:tc>
        <w:tc>
          <w:tcPr>
            <w:tcW w:w="386"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90.00</w:t>
            </w:r>
          </w:p>
        </w:tc>
        <w:tc>
          <w:tcPr>
            <w:tcW w:w="360"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950.00</w:t>
            </w:r>
          </w:p>
        </w:tc>
        <w:tc>
          <w:tcPr>
            <w:tcW w:w="360"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470.44</w:t>
            </w:r>
          </w:p>
        </w:tc>
        <w:tc>
          <w:tcPr>
            <w:tcW w:w="292"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360" w:type="pct"/>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470.44</w:t>
            </w:r>
          </w:p>
        </w:tc>
        <w:tc>
          <w:tcPr>
            <w:tcW w:w="535"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534" w:type="pct"/>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c>
          <w:tcPr>
            <w:tcW w:w="595" w:type="pct"/>
            <w:gridSpan w:val="2"/>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0.00</w:t>
            </w:r>
          </w:p>
        </w:tc>
        <w:tc>
          <w:tcPr>
            <w:tcW w:w="386"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4502" w:rsidRDefault="00FD45A3">
            <w:pPr>
              <w:widowControl/>
              <w:tabs>
                <w:tab w:val="left" w:pos="377"/>
              </w:tabs>
              <w:jc w:val="center"/>
              <w:rPr>
                <w:szCs w:val="21"/>
              </w:rPr>
            </w:pPr>
            <w:r>
              <w:rPr>
                <w:rFonts w:hint="eastAsia"/>
                <w:szCs w:val="21"/>
              </w:rPr>
              <w:t>0.00</w:t>
            </w:r>
          </w:p>
        </w:tc>
      </w:tr>
    </w:tbl>
    <w:p w:rsidR="00EE4502" w:rsidRDefault="00FD45A3">
      <w:pPr>
        <w:rPr>
          <w:rFonts w:eastAsia="仿宋"/>
          <w:szCs w:val="21"/>
        </w:rPr>
      </w:pPr>
      <w:r>
        <w:rPr>
          <w:rFonts w:eastAsia="仿宋" w:hint="eastAsia"/>
          <w:szCs w:val="21"/>
        </w:rPr>
        <w:t>注：①完钻垂深和靶点垂深均不含补心，按海拔</w:t>
      </w:r>
      <w:r>
        <w:rPr>
          <w:rFonts w:eastAsia="仿宋" w:hint="eastAsia"/>
          <w:szCs w:val="21"/>
        </w:rPr>
        <w:t>288.02m</w:t>
      </w:r>
      <w:r>
        <w:rPr>
          <w:rFonts w:eastAsia="仿宋" w:hint="eastAsia"/>
          <w:szCs w:val="21"/>
        </w:rPr>
        <w:t>预测。现场应根据复测井口坐标、实测海拔和补心高校正。</w:t>
      </w:r>
    </w:p>
    <w:p w:rsidR="00EE4502" w:rsidRDefault="00FD45A3">
      <w:pPr>
        <w:ind w:firstLineChars="200" w:firstLine="420"/>
        <w:rPr>
          <w:rFonts w:eastAsia="仿宋"/>
          <w:szCs w:val="21"/>
        </w:rPr>
      </w:pPr>
      <w:r>
        <w:rPr>
          <w:rFonts w:eastAsia="仿宋" w:hint="eastAsia"/>
          <w:szCs w:val="21"/>
        </w:rPr>
        <w:t>②新春公司要求井斜角控制在</w:t>
      </w:r>
      <w:r>
        <w:rPr>
          <w:rFonts w:eastAsia="仿宋" w:hint="eastAsia"/>
          <w:szCs w:val="21"/>
        </w:rPr>
        <w:t>45</w:t>
      </w:r>
      <w:r>
        <w:rPr>
          <w:rFonts w:eastAsia="仿宋" w:hint="eastAsia"/>
          <w:szCs w:val="21"/>
        </w:rPr>
        <w:t>°以内。</w:t>
      </w:r>
    </w:p>
    <w:p w:rsidR="00EE4502" w:rsidRDefault="00FD45A3">
      <w:pPr>
        <w:spacing w:line="360" w:lineRule="auto"/>
        <w:ind w:firstLineChars="200" w:firstLine="482"/>
        <w:rPr>
          <w:sz w:val="24"/>
        </w:rPr>
      </w:pPr>
      <w:r>
        <w:rPr>
          <w:b/>
          <w:bCs/>
          <w:sz w:val="24"/>
        </w:rPr>
        <w:t>（</w:t>
      </w:r>
      <w:r>
        <w:rPr>
          <w:b/>
          <w:bCs/>
          <w:sz w:val="24"/>
        </w:rPr>
        <w:t>3</w:t>
      </w:r>
      <w:r>
        <w:rPr>
          <w:b/>
          <w:bCs/>
          <w:sz w:val="24"/>
        </w:rPr>
        <w:t>）井身结构</w:t>
      </w:r>
    </w:p>
    <w:p w:rsidR="00EE4502" w:rsidRDefault="00FD45A3">
      <w:pPr>
        <w:spacing w:line="360" w:lineRule="auto"/>
        <w:ind w:firstLineChars="200" w:firstLine="480"/>
        <w:rPr>
          <w:sz w:val="24"/>
        </w:rPr>
      </w:pPr>
      <w:r>
        <w:rPr>
          <w:rFonts w:hint="eastAsia"/>
          <w:sz w:val="24"/>
        </w:rPr>
        <w:t>参照邻井井身结构，结合本井地质情况，水平井设计三开井身结构，定向井</w:t>
      </w:r>
      <w:r>
        <w:rPr>
          <w:rFonts w:hint="eastAsia"/>
          <w:sz w:val="24"/>
        </w:rPr>
        <w:t>、直井</w:t>
      </w:r>
      <w:r>
        <w:rPr>
          <w:rFonts w:hint="eastAsia"/>
          <w:sz w:val="24"/>
        </w:rPr>
        <w:t>设计二开井身结构。</w:t>
      </w:r>
    </w:p>
    <w:p w:rsidR="00EE4502" w:rsidRDefault="00FD45A3">
      <w:pPr>
        <w:spacing w:line="360" w:lineRule="auto"/>
        <w:ind w:firstLineChars="200" w:firstLine="482"/>
        <w:rPr>
          <w:b/>
          <w:bCs/>
          <w:sz w:val="24"/>
        </w:rPr>
      </w:pPr>
      <w:r>
        <w:rPr>
          <w:rFonts w:hint="eastAsia"/>
          <w:b/>
          <w:bCs/>
          <w:sz w:val="24"/>
        </w:rPr>
        <w:t>1</w:t>
      </w:r>
      <w:r>
        <w:rPr>
          <w:rFonts w:hint="eastAsia"/>
          <w:b/>
          <w:bCs/>
          <w:sz w:val="24"/>
        </w:rPr>
        <w:t>）排</w:t>
      </w:r>
      <w:r>
        <w:rPr>
          <w:rFonts w:hint="eastAsia"/>
          <w:b/>
          <w:bCs/>
          <w:sz w:val="24"/>
        </w:rPr>
        <w:t>61-</w:t>
      </w:r>
      <w:r>
        <w:rPr>
          <w:rFonts w:hint="eastAsia"/>
          <w:b/>
          <w:bCs/>
          <w:sz w:val="24"/>
        </w:rPr>
        <w:t>平</w:t>
      </w:r>
      <w:r>
        <w:rPr>
          <w:rFonts w:hint="eastAsia"/>
          <w:b/>
          <w:bCs/>
          <w:sz w:val="24"/>
        </w:rPr>
        <w:t>10</w:t>
      </w:r>
      <w:r>
        <w:rPr>
          <w:rFonts w:hint="eastAsia"/>
          <w:b/>
          <w:bCs/>
          <w:sz w:val="24"/>
        </w:rPr>
        <w:t>、</w:t>
      </w:r>
      <w:r>
        <w:rPr>
          <w:rFonts w:hint="eastAsia"/>
          <w:b/>
          <w:bCs/>
          <w:sz w:val="24"/>
        </w:rPr>
        <w:t>11</w:t>
      </w:r>
      <w:r>
        <w:rPr>
          <w:rFonts w:hint="eastAsia"/>
          <w:b/>
          <w:bCs/>
          <w:sz w:val="24"/>
        </w:rPr>
        <w:t>、</w:t>
      </w:r>
      <w:r>
        <w:rPr>
          <w:rFonts w:hint="eastAsia"/>
          <w:b/>
          <w:bCs/>
          <w:sz w:val="24"/>
        </w:rPr>
        <w:t>12</w:t>
      </w:r>
      <w:r>
        <w:rPr>
          <w:rFonts w:hint="eastAsia"/>
          <w:b/>
          <w:bCs/>
          <w:sz w:val="24"/>
        </w:rPr>
        <w:t>、</w:t>
      </w:r>
      <w:r>
        <w:rPr>
          <w:rFonts w:hint="eastAsia"/>
          <w:b/>
          <w:bCs/>
          <w:sz w:val="24"/>
        </w:rPr>
        <w:t>13</w:t>
      </w:r>
      <w:r>
        <w:rPr>
          <w:rFonts w:hint="eastAsia"/>
          <w:b/>
          <w:bCs/>
          <w:sz w:val="24"/>
        </w:rPr>
        <w:t>、</w:t>
      </w:r>
      <w:r>
        <w:rPr>
          <w:rFonts w:hint="eastAsia"/>
          <w:b/>
          <w:bCs/>
          <w:sz w:val="24"/>
        </w:rPr>
        <w:t>14</w:t>
      </w:r>
      <w:r>
        <w:rPr>
          <w:rFonts w:hint="eastAsia"/>
          <w:b/>
          <w:bCs/>
          <w:sz w:val="24"/>
        </w:rPr>
        <w:t>（水平段长＜</w:t>
      </w:r>
      <w:r>
        <w:rPr>
          <w:rFonts w:hint="eastAsia"/>
          <w:b/>
          <w:bCs/>
          <w:sz w:val="24"/>
        </w:rPr>
        <w:t>500m</w:t>
      </w:r>
      <w:r>
        <w:rPr>
          <w:rFonts w:hint="eastAsia"/>
          <w:b/>
          <w:bCs/>
          <w:sz w:val="24"/>
        </w:rPr>
        <w:t>）：</w:t>
      </w:r>
    </w:p>
    <w:p w:rsidR="00EE4502" w:rsidRDefault="00FD45A3">
      <w:pPr>
        <w:spacing w:line="360" w:lineRule="auto"/>
        <w:ind w:firstLineChars="200" w:firstLine="480"/>
        <w:rPr>
          <w:sz w:val="24"/>
        </w:rPr>
      </w:pPr>
      <w:r>
        <w:rPr>
          <w:rFonts w:hint="eastAsia"/>
          <w:sz w:val="24"/>
        </w:rPr>
        <w:t>一开采用Φ</w:t>
      </w:r>
      <w:r>
        <w:rPr>
          <w:rFonts w:hint="eastAsia"/>
          <w:sz w:val="24"/>
        </w:rPr>
        <w:t>346.1mm</w:t>
      </w:r>
      <w:r>
        <w:rPr>
          <w:rFonts w:hint="eastAsia"/>
          <w:sz w:val="24"/>
        </w:rPr>
        <w:t>钻头，下入Ф</w:t>
      </w:r>
      <w:r>
        <w:rPr>
          <w:rFonts w:hint="eastAsia"/>
          <w:sz w:val="24"/>
        </w:rPr>
        <w:t>273.1mm</w:t>
      </w:r>
      <w:r>
        <w:rPr>
          <w:rFonts w:hint="eastAsia"/>
          <w:sz w:val="24"/>
        </w:rPr>
        <w:t>表层套管</w:t>
      </w:r>
      <w:r>
        <w:rPr>
          <w:rFonts w:hint="eastAsia"/>
          <w:sz w:val="24"/>
        </w:rPr>
        <w:t>80m</w:t>
      </w:r>
      <w:r>
        <w:rPr>
          <w:rFonts w:hint="eastAsia"/>
          <w:sz w:val="24"/>
        </w:rPr>
        <w:t>，同台井表层下深错开</w:t>
      </w:r>
      <w:r>
        <w:rPr>
          <w:rFonts w:hint="eastAsia"/>
          <w:sz w:val="24"/>
        </w:rPr>
        <w:t>10m</w:t>
      </w:r>
      <w:r>
        <w:rPr>
          <w:rFonts w:hint="eastAsia"/>
          <w:sz w:val="24"/>
        </w:rPr>
        <w:t>，水泥返地面；</w:t>
      </w:r>
    </w:p>
    <w:p w:rsidR="00EE4502" w:rsidRDefault="00FD45A3">
      <w:pPr>
        <w:spacing w:line="360" w:lineRule="auto"/>
        <w:ind w:firstLineChars="200" w:firstLine="480"/>
        <w:rPr>
          <w:sz w:val="24"/>
        </w:rPr>
      </w:pPr>
      <w:r>
        <w:rPr>
          <w:rFonts w:hint="eastAsia"/>
          <w:sz w:val="24"/>
        </w:rPr>
        <w:t>二开采用Φ</w:t>
      </w:r>
      <w:r>
        <w:rPr>
          <w:rFonts w:hint="eastAsia"/>
          <w:sz w:val="24"/>
        </w:rPr>
        <w:t>241.3mm</w:t>
      </w:r>
      <w:r>
        <w:rPr>
          <w:rFonts w:hint="eastAsia"/>
          <w:sz w:val="24"/>
        </w:rPr>
        <w:t>钻头，下入Φ</w:t>
      </w:r>
      <w:r>
        <w:rPr>
          <w:rFonts w:hint="eastAsia"/>
          <w:sz w:val="24"/>
        </w:rPr>
        <w:t>177.8mm</w:t>
      </w:r>
      <w:r>
        <w:rPr>
          <w:rFonts w:hint="eastAsia"/>
          <w:sz w:val="24"/>
        </w:rPr>
        <w:t>生产套管进入石炭系垂深</w:t>
      </w:r>
      <w:r>
        <w:rPr>
          <w:rFonts w:hint="eastAsia"/>
          <w:sz w:val="24"/>
        </w:rPr>
        <w:t>5~10m</w:t>
      </w:r>
      <w:r>
        <w:rPr>
          <w:rFonts w:hint="eastAsia"/>
          <w:sz w:val="24"/>
        </w:rPr>
        <w:t>，注水泥封固段段长满</w:t>
      </w:r>
      <w:r>
        <w:rPr>
          <w:rFonts w:hint="eastAsia"/>
          <w:sz w:val="24"/>
        </w:rPr>
        <w:t>500m</w:t>
      </w:r>
      <w:r>
        <w:rPr>
          <w:rFonts w:hint="eastAsia"/>
          <w:sz w:val="24"/>
        </w:rPr>
        <w:t>后，井口挤水泥。</w:t>
      </w:r>
    </w:p>
    <w:p w:rsidR="00EE4502" w:rsidRDefault="00FD45A3">
      <w:pPr>
        <w:spacing w:line="360" w:lineRule="auto"/>
        <w:ind w:firstLineChars="200" w:firstLine="480"/>
        <w:rPr>
          <w:sz w:val="24"/>
        </w:rPr>
      </w:pPr>
      <w:r>
        <w:rPr>
          <w:rFonts w:hint="eastAsia"/>
          <w:sz w:val="24"/>
        </w:rPr>
        <w:t>三开采用Φ</w:t>
      </w:r>
      <w:r>
        <w:rPr>
          <w:rFonts w:hint="eastAsia"/>
          <w:sz w:val="24"/>
        </w:rPr>
        <w:t>152.4mm</w:t>
      </w:r>
      <w:r>
        <w:rPr>
          <w:rFonts w:hint="eastAsia"/>
          <w:sz w:val="24"/>
        </w:rPr>
        <w:t>钻头，悬挂Φ</w:t>
      </w:r>
      <w:r>
        <w:rPr>
          <w:rFonts w:hint="eastAsia"/>
          <w:sz w:val="24"/>
        </w:rPr>
        <w:t>114.3mm</w:t>
      </w:r>
      <w:r>
        <w:rPr>
          <w:rFonts w:hint="eastAsia"/>
          <w:sz w:val="24"/>
        </w:rPr>
        <w:t>套管</w:t>
      </w:r>
      <w:r>
        <w:rPr>
          <w:rFonts w:hint="eastAsia"/>
          <w:sz w:val="24"/>
        </w:rPr>
        <w:t>+</w:t>
      </w:r>
      <w:r>
        <w:rPr>
          <w:rFonts w:hint="eastAsia"/>
          <w:sz w:val="24"/>
        </w:rPr>
        <w:t>打孔筛管，与上层套管重叠</w:t>
      </w:r>
      <w:r>
        <w:rPr>
          <w:rFonts w:hint="eastAsia"/>
          <w:sz w:val="24"/>
        </w:rPr>
        <w:t>30m</w:t>
      </w:r>
      <w:r>
        <w:rPr>
          <w:rFonts w:hint="eastAsia"/>
          <w:sz w:val="24"/>
        </w:rPr>
        <w:t>，</w:t>
      </w:r>
      <w:r>
        <w:rPr>
          <w:rFonts w:hint="eastAsia"/>
          <w:sz w:val="24"/>
        </w:rPr>
        <w:t>A</w:t>
      </w:r>
      <w:r>
        <w:rPr>
          <w:rFonts w:hint="eastAsia"/>
          <w:sz w:val="24"/>
        </w:rPr>
        <w:t>靶点后下打孔筛管</w:t>
      </w:r>
      <w:r>
        <w:rPr>
          <w:rFonts w:hint="eastAsia"/>
          <w:sz w:val="24"/>
        </w:rPr>
        <w:t>200m</w:t>
      </w:r>
      <w:r>
        <w:rPr>
          <w:rFonts w:hint="eastAsia"/>
          <w:sz w:val="24"/>
        </w:rPr>
        <w:t>，后面井段裸眼完井。</w:t>
      </w:r>
    </w:p>
    <w:p w:rsidR="00EE4502" w:rsidRDefault="00FD45A3">
      <w:pPr>
        <w:spacing w:line="360" w:lineRule="auto"/>
        <w:ind w:firstLineChars="200" w:firstLine="482"/>
        <w:rPr>
          <w:b/>
          <w:bCs/>
          <w:sz w:val="24"/>
        </w:rPr>
      </w:pPr>
      <w:r>
        <w:rPr>
          <w:rFonts w:hint="eastAsia"/>
          <w:b/>
          <w:bCs/>
          <w:sz w:val="24"/>
        </w:rPr>
        <w:t>2</w:t>
      </w:r>
      <w:r>
        <w:rPr>
          <w:rFonts w:hint="eastAsia"/>
          <w:b/>
          <w:bCs/>
          <w:sz w:val="24"/>
        </w:rPr>
        <w:t>）排</w:t>
      </w:r>
      <w:r>
        <w:rPr>
          <w:rFonts w:hint="eastAsia"/>
          <w:b/>
          <w:bCs/>
          <w:sz w:val="24"/>
        </w:rPr>
        <w:t>61-</w:t>
      </w:r>
      <w:r>
        <w:rPr>
          <w:rFonts w:hint="eastAsia"/>
          <w:b/>
          <w:bCs/>
          <w:sz w:val="24"/>
        </w:rPr>
        <w:t>平</w:t>
      </w:r>
      <w:r>
        <w:rPr>
          <w:rFonts w:hint="eastAsia"/>
          <w:b/>
          <w:bCs/>
          <w:sz w:val="24"/>
        </w:rPr>
        <w:t>15</w:t>
      </w:r>
      <w:r>
        <w:rPr>
          <w:rFonts w:hint="eastAsia"/>
          <w:b/>
          <w:bCs/>
          <w:sz w:val="24"/>
        </w:rPr>
        <w:t>、</w:t>
      </w:r>
      <w:r>
        <w:rPr>
          <w:rFonts w:hint="eastAsia"/>
          <w:b/>
          <w:bCs/>
          <w:sz w:val="24"/>
        </w:rPr>
        <w:t>22</w:t>
      </w:r>
      <w:r>
        <w:rPr>
          <w:rFonts w:hint="eastAsia"/>
          <w:b/>
          <w:bCs/>
          <w:sz w:val="24"/>
        </w:rPr>
        <w:t>、</w:t>
      </w:r>
      <w:r>
        <w:rPr>
          <w:rFonts w:hint="eastAsia"/>
          <w:b/>
          <w:bCs/>
          <w:sz w:val="24"/>
        </w:rPr>
        <w:t>23</w:t>
      </w:r>
      <w:r>
        <w:rPr>
          <w:rFonts w:hint="eastAsia"/>
          <w:b/>
          <w:bCs/>
          <w:sz w:val="24"/>
        </w:rPr>
        <w:t>、</w:t>
      </w:r>
      <w:r>
        <w:rPr>
          <w:rFonts w:hint="eastAsia"/>
          <w:b/>
          <w:bCs/>
          <w:sz w:val="24"/>
        </w:rPr>
        <w:t>24</w:t>
      </w:r>
      <w:r>
        <w:rPr>
          <w:rFonts w:hint="eastAsia"/>
          <w:b/>
          <w:bCs/>
          <w:sz w:val="24"/>
        </w:rPr>
        <w:t>、</w:t>
      </w:r>
      <w:r>
        <w:rPr>
          <w:rFonts w:hint="eastAsia"/>
          <w:b/>
          <w:bCs/>
          <w:sz w:val="24"/>
        </w:rPr>
        <w:t>16</w:t>
      </w:r>
      <w:r>
        <w:rPr>
          <w:rFonts w:hint="eastAsia"/>
          <w:b/>
          <w:bCs/>
          <w:sz w:val="24"/>
        </w:rPr>
        <w:t>、</w:t>
      </w:r>
      <w:r>
        <w:rPr>
          <w:rFonts w:hint="eastAsia"/>
          <w:b/>
          <w:bCs/>
          <w:sz w:val="24"/>
        </w:rPr>
        <w:t>17</w:t>
      </w:r>
      <w:r>
        <w:rPr>
          <w:rFonts w:hint="eastAsia"/>
          <w:b/>
          <w:bCs/>
          <w:sz w:val="24"/>
        </w:rPr>
        <w:t>、</w:t>
      </w:r>
      <w:r>
        <w:rPr>
          <w:rFonts w:hint="eastAsia"/>
          <w:b/>
          <w:bCs/>
          <w:sz w:val="24"/>
        </w:rPr>
        <w:t>18</w:t>
      </w:r>
      <w:r>
        <w:rPr>
          <w:rFonts w:hint="eastAsia"/>
          <w:b/>
          <w:bCs/>
          <w:sz w:val="24"/>
        </w:rPr>
        <w:t>（</w:t>
      </w:r>
      <w:r>
        <w:rPr>
          <w:rFonts w:hint="eastAsia"/>
          <w:b/>
          <w:bCs/>
          <w:sz w:val="24"/>
        </w:rPr>
        <w:t>500m</w:t>
      </w:r>
      <w:r>
        <w:rPr>
          <w:rFonts w:hint="eastAsia"/>
          <w:b/>
          <w:bCs/>
          <w:sz w:val="24"/>
        </w:rPr>
        <w:t>≤水平段长</w:t>
      </w:r>
      <w:r>
        <w:rPr>
          <w:rFonts w:hint="eastAsia"/>
          <w:b/>
          <w:bCs/>
          <w:sz w:val="24"/>
        </w:rPr>
        <w:t>≤</w:t>
      </w:r>
      <w:r>
        <w:rPr>
          <w:rFonts w:hint="eastAsia"/>
          <w:b/>
          <w:bCs/>
          <w:sz w:val="24"/>
        </w:rPr>
        <w:t>600m</w:t>
      </w:r>
      <w:r>
        <w:rPr>
          <w:rFonts w:hint="eastAsia"/>
          <w:b/>
          <w:bCs/>
          <w:sz w:val="24"/>
        </w:rPr>
        <w:t>）：</w:t>
      </w:r>
    </w:p>
    <w:p w:rsidR="00EE4502" w:rsidRDefault="00FD45A3">
      <w:pPr>
        <w:spacing w:line="360" w:lineRule="auto"/>
        <w:ind w:firstLineChars="200" w:firstLine="480"/>
        <w:rPr>
          <w:sz w:val="24"/>
        </w:rPr>
      </w:pPr>
      <w:r>
        <w:rPr>
          <w:rFonts w:hint="eastAsia"/>
          <w:sz w:val="24"/>
        </w:rPr>
        <w:t>一开采用Φ</w:t>
      </w:r>
      <w:r>
        <w:rPr>
          <w:rFonts w:hint="eastAsia"/>
          <w:sz w:val="24"/>
        </w:rPr>
        <w:t>346.1mm</w:t>
      </w:r>
      <w:r>
        <w:rPr>
          <w:rFonts w:hint="eastAsia"/>
          <w:sz w:val="24"/>
        </w:rPr>
        <w:t>钻头，下入Ф</w:t>
      </w:r>
      <w:r>
        <w:rPr>
          <w:rFonts w:hint="eastAsia"/>
          <w:sz w:val="24"/>
        </w:rPr>
        <w:t>273.1mm</w:t>
      </w:r>
      <w:r>
        <w:rPr>
          <w:rFonts w:hint="eastAsia"/>
          <w:sz w:val="24"/>
        </w:rPr>
        <w:t>表层套管</w:t>
      </w:r>
      <w:r>
        <w:rPr>
          <w:rFonts w:hint="eastAsia"/>
          <w:sz w:val="24"/>
        </w:rPr>
        <w:t>80m</w:t>
      </w:r>
      <w:r>
        <w:rPr>
          <w:rFonts w:hint="eastAsia"/>
          <w:sz w:val="24"/>
        </w:rPr>
        <w:t>，同台井表层下深错开</w:t>
      </w:r>
      <w:r>
        <w:rPr>
          <w:rFonts w:hint="eastAsia"/>
          <w:sz w:val="24"/>
        </w:rPr>
        <w:t>10m</w:t>
      </w:r>
      <w:r>
        <w:rPr>
          <w:rFonts w:hint="eastAsia"/>
          <w:sz w:val="24"/>
        </w:rPr>
        <w:t>，水泥返地面；</w:t>
      </w:r>
    </w:p>
    <w:p w:rsidR="00EE4502" w:rsidRDefault="00FD45A3">
      <w:pPr>
        <w:spacing w:line="360" w:lineRule="auto"/>
        <w:ind w:firstLineChars="200" w:firstLine="480"/>
        <w:rPr>
          <w:sz w:val="24"/>
        </w:rPr>
      </w:pPr>
      <w:r>
        <w:rPr>
          <w:rFonts w:hint="eastAsia"/>
          <w:sz w:val="24"/>
        </w:rPr>
        <w:t>二开采用Φ</w:t>
      </w:r>
      <w:r>
        <w:rPr>
          <w:rFonts w:hint="eastAsia"/>
          <w:sz w:val="24"/>
        </w:rPr>
        <w:t>241.3mm</w:t>
      </w:r>
      <w:r>
        <w:rPr>
          <w:rFonts w:hint="eastAsia"/>
          <w:sz w:val="24"/>
        </w:rPr>
        <w:t>钻头，下入Φ</w:t>
      </w:r>
      <w:r>
        <w:rPr>
          <w:rFonts w:hint="eastAsia"/>
          <w:sz w:val="24"/>
        </w:rPr>
        <w:t>177.8mm</w:t>
      </w:r>
      <w:r>
        <w:rPr>
          <w:rFonts w:hint="eastAsia"/>
          <w:sz w:val="24"/>
        </w:rPr>
        <w:t>生产套管进入石炭系垂深</w:t>
      </w:r>
      <w:r>
        <w:rPr>
          <w:rFonts w:hint="eastAsia"/>
          <w:sz w:val="24"/>
        </w:rPr>
        <w:t>5~10m</w:t>
      </w:r>
      <w:r>
        <w:rPr>
          <w:rFonts w:hint="eastAsia"/>
          <w:sz w:val="24"/>
        </w:rPr>
        <w:t>，注水泥封固段段长满</w:t>
      </w:r>
      <w:r>
        <w:rPr>
          <w:rFonts w:hint="eastAsia"/>
          <w:sz w:val="24"/>
        </w:rPr>
        <w:t>500m</w:t>
      </w:r>
      <w:r>
        <w:rPr>
          <w:rFonts w:hint="eastAsia"/>
          <w:sz w:val="24"/>
        </w:rPr>
        <w:t>后，井口挤水泥。</w:t>
      </w:r>
    </w:p>
    <w:p w:rsidR="00EE4502" w:rsidRDefault="00FD45A3">
      <w:pPr>
        <w:spacing w:line="360" w:lineRule="auto"/>
        <w:ind w:firstLineChars="200" w:firstLine="480"/>
        <w:rPr>
          <w:sz w:val="24"/>
        </w:rPr>
      </w:pPr>
      <w:r>
        <w:rPr>
          <w:rFonts w:hint="eastAsia"/>
          <w:sz w:val="24"/>
        </w:rPr>
        <w:t>三开采用Φ</w:t>
      </w:r>
      <w:r>
        <w:rPr>
          <w:rFonts w:hint="eastAsia"/>
          <w:sz w:val="24"/>
        </w:rPr>
        <w:t>152.4mm</w:t>
      </w:r>
      <w:r>
        <w:rPr>
          <w:rFonts w:hint="eastAsia"/>
          <w:sz w:val="24"/>
        </w:rPr>
        <w:t>钻头，悬挂Φ</w:t>
      </w:r>
      <w:r>
        <w:rPr>
          <w:rFonts w:hint="eastAsia"/>
          <w:sz w:val="24"/>
        </w:rPr>
        <w:t>114.3mm</w:t>
      </w:r>
      <w:r>
        <w:rPr>
          <w:rFonts w:hint="eastAsia"/>
          <w:sz w:val="24"/>
        </w:rPr>
        <w:t>套管</w:t>
      </w:r>
      <w:r>
        <w:rPr>
          <w:rFonts w:hint="eastAsia"/>
          <w:sz w:val="24"/>
        </w:rPr>
        <w:t>+</w:t>
      </w:r>
      <w:r>
        <w:rPr>
          <w:rFonts w:hint="eastAsia"/>
          <w:sz w:val="24"/>
        </w:rPr>
        <w:t>打孔筛管，与上层套管重叠</w:t>
      </w:r>
      <w:r>
        <w:rPr>
          <w:rFonts w:hint="eastAsia"/>
          <w:sz w:val="24"/>
        </w:rPr>
        <w:t>30m</w:t>
      </w:r>
      <w:r>
        <w:rPr>
          <w:rFonts w:hint="eastAsia"/>
          <w:sz w:val="24"/>
        </w:rPr>
        <w:t>，</w:t>
      </w:r>
      <w:r>
        <w:rPr>
          <w:rFonts w:hint="eastAsia"/>
          <w:sz w:val="24"/>
        </w:rPr>
        <w:t>A</w:t>
      </w:r>
      <w:r>
        <w:rPr>
          <w:rFonts w:hint="eastAsia"/>
          <w:sz w:val="24"/>
        </w:rPr>
        <w:t>靶点后下打孔筛管</w:t>
      </w:r>
      <w:r>
        <w:rPr>
          <w:rFonts w:hint="eastAsia"/>
          <w:sz w:val="24"/>
        </w:rPr>
        <w:t>300m</w:t>
      </w:r>
      <w:r>
        <w:rPr>
          <w:rFonts w:hint="eastAsia"/>
          <w:sz w:val="24"/>
        </w:rPr>
        <w:t>，后面井段裸眼完井。</w:t>
      </w:r>
    </w:p>
    <w:p w:rsidR="00EE4502" w:rsidRDefault="00FD45A3">
      <w:pPr>
        <w:spacing w:line="360" w:lineRule="auto"/>
        <w:ind w:firstLineChars="200" w:firstLine="482"/>
        <w:rPr>
          <w:b/>
          <w:bCs/>
          <w:sz w:val="24"/>
        </w:rPr>
      </w:pPr>
      <w:r>
        <w:rPr>
          <w:rFonts w:hint="eastAsia"/>
          <w:b/>
          <w:bCs/>
          <w:sz w:val="24"/>
        </w:rPr>
        <w:t>3</w:t>
      </w:r>
      <w:r>
        <w:rPr>
          <w:rFonts w:hint="eastAsia"/>
          <w:b/>
          <w:bCs/>
          <w:sz w:val="24"/>
        </w:rPr>
        <w:t>）排</w:t>
      </w:r>
      <w:r>
        <w:rPr>
          <w:rFonts w:hint="eastAsia"/>
          <w:b/>
          <w:bCs/>
          <w:sz w:val="24"/>
        </w:rPr>
        <w:t>61-</w:t>
      </w:r>
      <w:r>
        <w:rPr>
          <w:rFonts w:hint="eastAsia"/>
          <w:b/>
          <w:bCs/>
          <w:sz w:val="24"/>
        </w:rPr>
        <w:t>平</w:t>
      </w:r>
      <w:r>
        <w:rPr>
          <w:rFonts w:hint="eastAsia"/>
          <w:b/>
          <w:bCs/>
          <w:sz w:val="24"/>
        </w:rPr>
        <w:t>19</w:t>
      </w:r>
      <w:r>
        <w:rPr>
          <w:rFonts w:hint="eastAsia"/>
          <w:b/>
          <w:bCs/>
          <w:sz w:val="24"/>
        </w:rPr>
        <w:t>、</w:t>
      </w:r>
      <w:r>
        <w:rPr>
          <w:rFonts w:hint="eastAsia"/>
          <w:b/>
          <w:bCs/>
          <w:sz w:val="24"/>
        </w:rPr>
        <w:t>20</w:t>
      </w:r>
      <w:r>
        <w:rPr>
          <w:rFonts w:hint="eastAsia"/>
          <w:b/>
          <w:bCs/>
          <w:sz w:val="24"/>
        </w:rPr>
        <w:t>、</w:t>
      </w:r>
      <w:r>
        <w:rPr>
          <w:rFonts w:hint="eastAsia"/>
          <w:b/>
          <w:bCs/>
          <w:sz w:val="24"/>
        </w:rPr>
        <w:t>21</w:t>
      </w:r>
      <w:r>
        <w:rPr>
          <w:rFonts w:hint="eastAsia"/>
          <w:b/>
          <w:bCs/>
          <w:sz w:val="24"/>
        </w:rPr>
        <w:t>（水平段长＞</w:t>
      </w:r>
      <w:r>
        <w:rPr>
          <w:rFonts w:hint="eastAsia"/>
          <w:b/>
          <w:bCs/>
          <w:sz w:val="24"/>
        </w:rPr>
        <w:t>600m</w:t>
      </w:r>
      <w:r>
        <w:rPr>
          <w:rFonts w:hint="eastAsia"/>
          <w:b/>
          <w:bCs/>
          <w:sz w:val="24"/>
        </w:rPr>
        <w:t>）：</w:t>
      </w:r>
    </w:p>
    <w:p w:rsidR="00EE4502" w:rsidRDefault="00FD45A3">
      <w:pPr>
        <w:spacing w:line="360" w:lineRule="auto"/>
        <w:ind w:firstLineChars="200" w:firstLine="480"/>
        <w:rPr>
          <w:sz w:val="24"/>
        </w:rPr>
      </w:pPr>
      <w:r>
        <w:rPr>
          <w:rFonts w:hint="eastAsia"/>
          <w:sz w:val="24"/>
        </w:rPr>
        <w:t>一开采用Φ</w:t>
      </w:r>
      <w:r>
        <w:rPr>
          <w:rFonts w:hint="eastAsia"/>
          <w:sz w:val="24"/>
        </w:rPr>
        <w:t>346.1mm</w:t>
      </w:r>
      <w:r>
        <w:rPr>
          <w:rFonts w:hint="eastAsia"/>
          <w:sz w:val="24"/>
        </w:rPr>
        <w:t>钻头，下入Ф</w:t>
      </w:r>
      <w:r>
        <w:rPr>
          <w:rFonts w:hint="eastAsia"/>
          <w:sz w:val="24"/>
        </w:rPr>
        <w:t>273.1mm</w:t>
      </w:r>
      <w:r>
        <w:rPr>
          <w:rFonts w:hint="eastAsia"/>
          <w:sz w:val="24"/>
        </w:rPr>
        <w:t>表层套管</w:t>
      </w:r>
      <w:r>
        <w:rPr>
          <w:rFonts w:hint="eastAsia"/>
          <w:sz w:val="24"/>
        </w:rPr>
        <w:t>80m</w:t>
      </w:r>
      <w:r>
        <w:rPr>
          <w:rFonts w:hint="eastAsia"/>
          <w:sz w:val="24"/>
        </w:rPr>
        <w:t>，同台</w:t>
      </w:r>
      <w:r>
        <w:rPr>
          <w:rFonts w:hint="eastAsia"/>
          <w:sz w:val="24"/>
        </w:rPr>
        <w:t>井表层下深错开</w:t>
      </w:r>
      <w:r>
        <w:rPr>
          <w:rFonts w:hint="eastAsia"/>
          <w:sz w:val="24"/>
        </w:rPr>
        <w:t>10m</w:t>
      </w:r>
      <w:r>
        <w:rPr>
          <w:rFonts w:hint="eastAsia"/>
          <w:sz w:val="24"/>
        </w:rPr>
        <w:t>，水泥返地面；</w:t>
      </w:r>
    </w:p>
    <w:p w:rsidR="00EE4502" w:rsidRDefault="00FD45A3">
      <w:pPr>
        <w:spacing w:line="360" w:lineRule="auto"/>
        <w:ind w:firstLineChars="200" w:firstLine="480"/>
        <w:rPr>
          <w:sz w:val="24"/>
        </w:rPr>
      </w:pPr>
      <w:r>
        <w:rPr>
          <w:rFonts w:hint="eastAsia"/>
          <w:sz w:val="24"/>
        </w:rPr>
        <w:t>二开采用Φ</w:t>
      </w:r>
      <w:r>
        <w:rPr>
          <w:rFonts w:hint="eastAsia"/>
          <w:sz w:val="24"/>
        </w:rPr>
        <w:t>241.3mm</w:t>
      </w:r>
      <w:r>
        <w:rPr>
          <w:rFonts w:hint="eastAsia"/>
          <w:sz w:val="24"/>
        </w:rPr>
        <w:t>钻头，下入Φ</w:t>
      </w:r>
      <w:r>
        <w:rPr>
          <w:rFonts w:hint="eastAsia"/>
          <w:sz w:val="24"/>
        </w:rPr>
        <w:t>177.8mm</w:t>
      </w:r>
      <w:r>
        <w:rPr>
          <w:rFonts w:hint="eastAsia"/>
          <w:sz w:val="24"/>
        </w:rPr>
        <w:t>生产套管进入石炭系垂深</w:t>
      </w:r>
      <w:r>
        <w:rPr>
          <w:rFonts w:hint="eastAsia"/>
          <w:sz w:val="24"/>
        </w:rPr>
        <w:t>5~10m</w:t>
      </w:r>
      <w:r>
        <w:rPr>
          <w:rFonts w:hint="eastAsia"/>
          <w:sz w:val="24"/>
        </w:rPr>
        <w:t>，注水泥封固段段长满</w:t>
      </w:r>
      <w:r>
        <w:rPr>
          <w:rFonts w:hint="eastAsia"/>
          <w:sz w:val="24"/>
        </w:rPr>
        <w:t>500m</w:t>
      </w:r>
      <w:r>
        <w:rPr>
          <w:rFonts w:hint="eastAsia"/>
          <w:sz w:val="24"/>
        </w:rPr>
        <w:t>后，井口挤水泥。</w:t>
      </w:r>
    </w:p>
    <w:p w:rsidR="00EE4502" w:rsidRDefault="00FD45A3">
      <w:pPr>
        <w:spacing w:line="360" w:lineRule="auto"/>
        <w:ind w:firstLineChars="200" w:firstLine="480"/>
        <w:rPr>
          <w:sz w:val="24"/>
        </w:rPr>
      </w:pPr>
      <w:r>
        <w:rPr>
          <w:rFonts w:hint="eastAsia"/>
          <w:sz w:val="24"/>
        </w:rPr>
        <w:lastRenderedPageBreak/>
        <w:t>三开采用Φ</w:t>
      </w:r>
      <w:r>
        <w:rPr>
          <w:rFonts w:hint="eastAsia"/>
          <w:sz w:val="24"/>
        </w:rPr>
        <w:t>152.4mm</w:t>
      </w:r>
      <w:r>
        <w:rPr>
          <w:rFonts w:hint="eastAsia"/>
          <w:sz w:val="24"/>
        </w:rPr>
        <w:t>钻头，悬挂Φ</w:t>
      </w:r>
      <w:r>
        <w:rPr>
          <w:rFonts w:hint="eastAsia"/>
          <w:sz w:val="24"/>
        </w:rPr>
        <w:t>114.3mm</w:t>
      </w:r>
      <w:r>
        <w:rPr>
          <w:rFonts w:hint="eastAsia"/>
          <w:sz w:val="24"/>
        </w:rPr>
        <w:t>套管</w:t>
      </w:r>
      <w:r>
        <w:rPr>
          <w:rFonts w:hint="eastAsia"/>
          <w:sz w:val="24"/>
        </w:rPr>
        <w:t>+</w:t>
      </w:r>
      <w:r>
        <w:rPr>
          <w:rFonts w:hint="eastAsia"/>
          <w:sz w:val="24"/>
        </w:rPr>
        <w:t>打孔筛管，与上层套管重叠</w:t>
      </w:r>
      <w:r>
        <w:rPr>
          <w:rFonts w:hint="eastAsia"/>
          <w:sz w:val="24"/>
        </w:rPr>
        <w:t>30m</w:t>
      </w:r>
      <w:r>
        <w:rPr>
          <w:rFonts w:hint="eastAsia"/>
          <w:sz w:val="24"/>
        </w:rPr>
        <w:t>，</w:t>
      </w:r>
      <w:r>
        <w:rPr>
          <w:rFonts w:hint="eastAsia"/>
          <w:sz w:val="24"/>
        </w:rPr>
        <w:t>A</w:t>
      </w:r>
      <w:r>
        <w:rPr>
          <w:rFonts w:hint="eastAsia"/>
          <w:sz w:val="24"/>
        </w:rPr>
        <w:t>靶点后下打孔筛管</w:t>
      </w:r>
      <w:r>
        <w:rPr>
          <w:rFonts w:hint="eastAsia"/>
          <w:sz w:val="24"/>
        </w:rPr>
        <w:t>400m</w:t>
      </w:r>
      <w:r>
        <w:rPr>
          <w:rFonts w:hint="eastAsia"/>
          <w:sz w:val="24"/>
        </w:rPr>
        <w:t>，后面井段裸眼完井。</w:t>
      </w:r>
    </w:p>
    <w:p w:rsidR="00EE4502" w:rsidRDefault="00FD45A3">
      <w:pPr>
        <w:spacing w:line="360" w:lineRule="auto"/>
        <w:ind w:firstLineChars="200" w:firstLine="482"/>
        <w:rPr>
          <w:b/>
          <w:bCs/>
          <w:sz w:val="24"/>
        </w:rPr>
      </w:pPr>
      <w:r>
        <w:rPr>
          <w:rFonts w:hint="eastAsia"/>
          <w:b/>
          <w:bCs/>
          <w:sz w:val="24"/>
        </w:rPr>
        <w:t>4</w:t>
      </w:r>
      <w:r>
        <w:rPr>
          <w:rFonts w:hint="eastAsia"/>
          <w:b/>
          <w:bCs/>
          <w:sz w:val="24"/>
        </w:rPr>
        <w:t>）排</w:t>
      </w:r>
      <w:r>
        <w:rPr>
          <w:rFonts w:hint="eastAsia"/>
          <w:b/>
          <w:bCs/>
          <w:sz w:val="24"/>
        </w:rPr>
        <w:t>7-15</w:t>
      </w:r>
      <w:r>
        <w:rPr>
          <w:rFonts w:hint="eastAsia"/>
          <w:b/>
          <w:bCs/>
          <w:sz w:val="24"/>
        </w:rPr>
        <w:t>、</w:t>
      </w:r>
      <w:r>
        <w:rPr>
          <w:rFonts w:hint="eastAsia"/>
          <w:b/>
          <w:bCs/>
          <w:sz w:val="24"/>
        </w:rPr>
        <w:t>排</w:t>
      </w:r>
      <w:r>
        <w:rPr>
          <w:rFonts w:hint="eastAsia"/>
          <w:b/>
          <w:bCs/>
          <w:sz w:val="24"/>
        </w:rPr>
        <w:t>7-16</w:t>
      </w:r>
      <w:r>
        <w:rPr>
          <w:rFonts w:hint="eastAsia"/>
          <w:b/>
          <w:bCs/>
          <w:sz w:val="24"/>
        </w:rPr>
        <w:t>、排</w:t>
      </w:r>
      <w:r>
        <w:rPr>
          <w:rFonts w:hint="eastAsia"/>
          <w:b/>
          <w:bCs/>
          <w:sz w:val="24"/>
        </w:rPr>
        <w:t>7-</w:t>
      </w:r>
      <w:r>
        <w:rPr>
          <w:rFonts w:hint="eastAsia"/>
          <w:b/>
          <w:bCs/>
          <w:sz w:val="24"/>
        </w:rPr>
        <w:t>斜</w:t>
      </w:r>
      <w:r>
        <w:rPr>
          <w:rFonts w:hint="eastAsia"/>
          <w:b/>
          <w:bCs/>
          <w:sz w:val="24"/>
        </w:rPr>
        <w:t>1</w:t>
      </w:r>
      <w:r>
        <w:rPr>
          <w:rFonts w:hint="eastAsia"/>
          <w:b/>
          <w:bCs/>
          <w:sz w:val="24"/>
        </w:rPr>
        <w:t>7</w:t>
      </w:r>
      <w:r>
        <w:rPr>
          <w:rFonts w:hint="eastAsia"/>
          <w:b/>
          <w:bCs/>
          <w:sz w:val="24"/>
        </w:rPr>
        <w:t>：</w:t>
      </w:r>
    </w:p>
    <w:p w:rsidR="00EE4502" w:rsidRDefault="00FD45A3">
      <w:pPr>
        <w:spacing w:line="360" w:lineRule="auto"/>
        <w:ind w:firstLineChars="200" w:firstLine="480"/>
        <w:rPr>
          <w:sz w:val="24"/>
        </w:rPr>
      </w:pPr>
      <w:r>
        <w:rPr>
          <w:rFonts w:hint="eastAsia"/>
          <w:sz w:val="24"/>
        </w:rPr>
        <w:t>采用二开井身结构：</w:t>
      </w:r>
    </w:p>
    <w:p w:rsidR="00EE4502" w:rsidRDefault="00FD45A3">
      <w:pPr>
        <w:spacing w:line="360" w:lineRule="auto"/>
        <w:ind w:firstLineChars="200" w:firstLine="480"/>
        <w:rPr>
          <w:sz w:val="24"/>
        </w:rPr>
      </w:pPr>
      <w:r>
        <w:rPr>
          <w:rFonts w:hint="eastAsia"/>
          <w:sz w:val="24"/>
        </w:rPr>
        <w:t>一开采用Φ</w:t>
      </w:r>
      <w:r>
        <w:rPr>
          <w:rFonts w:hint="eastAsia"/>
          <w:sz w:val="24"/>
        </w:rPr>
        <w:t>346.1mm</w:t>
      </w:r>
      <w:r>
        <w:rPr>
          <w:rFonts w:hint="eastAsia"/>
          <w:sz w:val="24"/>
        </w:rPr>
        <w:t>钻头，下入Ф</w:t>
      </w:r>
      <w:r>
        <w:rPr>
          <w:rFonts w:hint="eastAsia"/>
          <w:sz w:val="24"/>
        </w:rPr>
        <w:t>273.1mm</w:t>
      </w:r>
      <w:r>
        <w:rPr>
          <w:rFonts w:hint="eastAsia"/>
          <w:sz w:val="24"/>
        </w:rPr>
        <w:t>表层套管</w:t>
      </w:r>
      <w:r>
        <w:rPr>
          <w:rFonts w:hint="eastAsia"/>
          <w:sz w:val="24"/>
        </w:rPr>
        <w:t>100</w:t>
      </w:r>
      <w:r>
        <w:rPr>
          <w:rFonts w:hint="eastAsia"/>
          <w:sz w:val="24"/>
        </w:rPr>
        <w:t>，同台井表层下深错开</w:t>
      </w:r>
      <w:r>
        <w:rPr>
          <w:rFonts w:hint="eastAsia"/>
          <w:sz w:val="24"/>
        </w:rPr>
        <w:t>10m</w:t>
      </w:r>
      <w:r>
        <w:rPr>
          <w:rFonts w:hint="eastAsia"/>
          <w:sz w:val="24"/>
        </w:rPr>
        <w:t>，水泥返地面；</w:t>
      </w:r>
    </w:p>
    <w:p w:rsidR="00EE4502" w:rsidRDefault="00FD45A3">
      <w:pPr>
        <w:spacing w:line="360" w:lineRule="auto"/>
        <w:ind w:firstLineChars="200" w:firstLine="480"/>
        <w:rPr>
          <w:sz w:val="24"/>
        </w:rPr>
      </w:pPr>
      <w:r>
        <w:rPr>
          <w:rFonts w:hint="eastAsia"/>
          <w:sz w:val="24"/>
        </w:rPr>
        <w:t>二开采用Φ</w:t>
      </w:r>
      <w:r>
        <w:rPr>
          <w:rFonts w:hint="eastAsia"/>
          <w:sz w:val="24"/>
        </w:rPr>
        <w:t>241.3mm</w:t>
      </w:r>
      <w:r>
        <w:rPr>
          <w:rFonts w:hint="eastAsia"/>
          <w:sz w:val="24"/>
        </w:rPr>
        <w:t>钻头钻至井底，下入Φ</w:t>
      </w:r>
      <w:r>
        <w:rPr>
          <w:rFonts w:hint="eastAsia"/>
          <w:sz w:val="24"/>
        </w:rPr>
        <w:t>177.8mm</w:t>
      </w:r>
      <w:r>
        <w:rPr>
          <w:rFonts w:hint="eastAsia"/>
          <w:sz w:val="24"/>
        </w:rPr>
        <w:t>生产套管，水泥返至地面。</w:t>
      </w:r>
    </w:p>
    <w:p w:rsidR="00EE4502" w:rsidRDefault="00FD45A3">
      <w:pPr>
        <w:spacing w:line="360" w:lineRule="auto"/>
        <w:ind w:firstLineChars="200" w:firstLine="480"/>
        <w:rPr>
          <w:sz w:val="24"/>
        </w:rPr>
      </w:pPr>
      <w:r>
        <w:rPr>
          <w:rFonts w:hint="eastAsia"/>
          <w:sz w:val="24"/>
        </w:rPr>
        <w:t>井身结构数据见表</w:t>
      </w:r>
      <w:r>
        <w:rPr>
          <w:rFonts w:hint="eastAsia"/>
          <w:sz w:val="24"/>
        </w:rPr>
        <w:t>3-3</w:t>
      </w:r>
      <w:r>
        <w:rPr>
          <w:sz w:val="24"/>
        </w:rPr>
        <w:t>-</w:t>
      </w:r>
      <w:r>
        <w:rPr>
          <w:rFonts w:hint="eastAsia"/>
          <w:sz w:val="24"/>
        </w:rPr>
        <w:t>11</w:t>
      </w:r>
      <w:r>
        <w:rPr>
          <w:rFonts w:hint="eastAsia"/>
          <w:sz w:val="24"/>
        </w:rPr>
        <w:t>。井身结构具体见图</w:t>
      </w:r>
      <w:r>
        <w:rPr>
          <w:rFonts w:hint="eastAsia"/>
          <w:sz w:val="24"/>
        </w:rPr>
        <w:t>3-3</w:t>
      </w:r>
      <w:r>
        <w:rPr>
          <w:sz w:val="24"/>
        </w:rPr>
        <w:t>-</w:t>
      </w:r>
      <w:r>
        <w:rPr>
          <w:rFonts w:hint="eastAsia"/>
          <w:sz w:val="24"/>
        </w:rPr>
        <w:t>18~20</w:t>
      </w:r>
      <w:r>
        <w:rPr>
          <w:rFonts w:hint="eastAsia"/>
          <w:sz w:val="24"/>
        </w:rPr>
        <w:t>。</w:t>
      </w:r>
    </w:p>
    <w:p w:rsidR="00EE4502" w:rsidRDefault="00FD45A3">
      <w:pPr>
        <w:spacing w:line="360" w:lineRule="auto"/>
        <w:jc w:val="center"/>
        <w:rPr>
          <w:rFonts w:eastAsia="黑体"/>
          <w:bCs/>
          <w:lang w:val="zh-CN"/>
        </w:rPr>
      </w:pPr>
      <w:r>
        <w:rPr>
          <w:rFonts w:eastAsia="黑体"/>
          <w:bCs/>
          <w:lang w:val="zh-CN"/>
        </w:rPr>
        <w:t>表</w:t>
      </w:r>
      <w:r>
        <w:rPr>
          <w:rFonts w:eastAsia="黑体" w:hint="eastAsia"/>
          <w:bCs/>
          <w:lang w:val="zh-CN"/>
        </w:rPr>
        <w:t>3-3</w:t>
      </w:r>
      <w:r>
        <w:rPr>
          <w:rFonts w:eastAsia="黑体"/>
          <w:bCs/>
          <w:lang w:val="zh-CN"/>
        </w:rPr>
        <w:t>-</w:t>
      </w:r>
      <w:r>
        <w:rPr>
          <w:rFonts w:eastAsia="黑体" w:hint="eastAsia"/>
          <w:bCs/>
        </w:rPr>
        <w:t>11</w:t>
      </w:r>
      <w:r>
        <w:rPr>
          <w:rFonts w:eastAsia="黑体"/>
          <w:bCs/>
          <w:lang w:val="zh-CN"/>
        </w:rPr>
        <w:t xml:space="preserve">  </w:t>
      </w:r>
      <w:r>
        <w:rPr>
          <w:rFonts w:eastAsia="黑体" w:hint="eastAsia"/>
          <w:bCs/>
          <w:lang w:val="zh-CN"/>
        </w:rPr>
        <w:t>井身结构一览表</w:t>
      </w:r>
    </w:p>
    <w:tbl>
      <w:tblPr>
        <w:tblW w:w="499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2177"/>
        <w:gridCol w:w="1114"/>
        <w:gridCol w:w="5126"/>
      </w:tblGrid>
      <w:tr w:rsidR="00EE4502">
        <w:trPr>
          <w:trHeight w:val="397"/>
          <w:tblHeader/>
        </w:trPr>
        <w:tc>
          <w:tcPr>
            <w:tcW w:w="1293" w:type="pct"/>
            <w:vAlign w:val="center"/>
          </w:tcPr>
          <w:p w:rsidR="00EE4502" w:rsidRDefault="00FD45A3">
            <w:pPr>
              <w:widowControl/>
              <w:tabs>
                <w:tab w:val="left" w:pos="377"/>
              </w:tabs>
              <w:jc w:val="center"/>
              <w:rPr>
                <w:szCs w:val="21"/>
              </w:rPr>
            </w:pPr>
            <w:r>
              <w:rPr>
                <w:rFonts w:hint="eastAsia"/>
                <w:szCs w:val="21"/>
              </w:rPr>
              <w:t>井号</w:t>
            </w:r>
          </w:p>
        </w:tc>
        <w:tc>
          <w:tcPr>
            <w:tcW w:w="662" w:type="pct"/>
            <w:vAlign w:val="center"/>
          </w:tcPr>
          <w:p w:rsidR="00EE4502" w:rsidRDefault="00FD45A3">
            <w:pPr>
              <w:widowControl/>
              <w:tabs>
                <w:tab w:val="left" w:pos="377"/>
              </w:tabs>
              <w:jc w:val="center"/>
              <w:rPr>
                <w:szCs w:val="21"/>
              </w:rPr>
            </w:pPr>
            <w:r>
              <w:rPr>
                <w:rFonts w:hint="eastAsia"/>
                <w:szCs w:val="21"/>
              </w:rPr>
              <w:t>完钻井深</w:t>
            </w:r>
          </w:p>
          <w:p w:rsidR="00EE4502" w:rsidRDefault="00FD45A3">
            <w:pPr>
              <w:widowControl/>
              <w:tabs>
                <w:tab w:val="left" w:pos="377"/>
              </w:tabs>
              <w:jc w:val="center"/>
              <w:rPr>
                <w:szCs w:val="21"/>
              </w:rPr>
            </w:pPr>
            <w:r>
              <w:rPr>
                <w:rFonts w:hint="eastAsia"/>
                <w:szCs w:val="21"/>
              </w:rPr>
              <w:t>(m)</w:t>
            </w:r>
          </w:p>
        </w:tc>
        <w:tc>
          <w:tcPr>
            <w:tcW w:w="3044" w:type="pct"/>
            <w:vAlign w:val="center"/>
          </w:tcPr>
          <w:p w:rsidR="00EE4502" w:rsidRDefault="00FD45A3">
            <w:pPr>
              <w:widowControl/>
              <w:tabs>
                <w:tab w:val="left" w:pos="377"/>
              </w:tabs>
              <w:jc w:val="center"/>
              <w:rPr>
                <w:szCs w:val="21"/>
              </w:rPr>
            </w:pPr>
            <w:r>
              <w:rPr>
                <w:rFonts w:hint="eastAsia"/>
                <w:szCs w:val="21"/>
              </w:rPr>
              <w:t>井身结构（</w:t>
            </w:r>
            <w:r>
              <w:rPr>
                <w:rFonts w:hint="eastAsia"/>
                <w:szCs w:val="21"/>
              </w:rPr>
              <w:t>mm</w:t>
            </w:r>
            <w:r>
              <w:rPr>
                <w:rFonts w:hint="eastAsia"/>
                <w:szCs w:val="21"/>
              </w:rPr>
              <w:t>×</w:t>
            </w:r>
            <w:r>
              <w:rPr>
                <w:rFonts w:hint="eastAsia"/>
                <w:szCs w:val="21"/>
              </w:rPr>
              <w:t>m</w:t>
            </w:r>
            <w:r>
              <w:rPr>
                <w:rFonts w:hint="eastAsia"/>
                <w:szCs w:val="21"/>
              </w:rPr>
              <w:t>）</w:t>
            </w:r>
          </w:p>
        </w:tc>
      </w:tr>
      <w:tr w:rsidR="00EE4502">
        <w:trPr>
          <w:trHeight w:val="397"/>
        </w:trPr>
        <w:tc>
          <w:tcPr>
            <w:tcW w:w="1293" w:type="pct"/>
            <w:vAlign w:val="center"/>
          </w:tcPr>
          <w:p w:rsidR="00EE4502" w:rsidRDefault="00FD45A3">
            <w:pPr>
              <w:widowControl/>
              <w:tabs>
                <w:tab w:val="left" w:pos="377"/>
              </w:tabs>
              <w:jc w:val="center"/>
              <w:rPr>
                <w:szCs w:val="21"/>
              </w:rPr>
            </w:pPr>
            <w:r>
              <w:rPr>
                <w:rFonts w:hint="eastAsia"/>
                <w:szCs w:val="21"/>
              </w:rPr>
              <w:t>排</w:t>
            </w:r>
            <w:r>
              <w:rPr>
                <w:rFonts w:hint="eastAsia"/>
                <w:szCs w:val="21"/>
              </w:rPr>
              <w:t>61-</w:t>
            </w:r>
            <w:r>
              <w:rPr>
                <w:rFonts w:hint="eastAsia"/>
                <w:szCs w:val="21"/>
              </w:rPr>
              <w:t>平</w:t>
            </w:r>
            <w:r>
              <w:rPr>
                <w:rFonts w:hint="eastAsia"/>
                <w:szCs w:val="21"/>
              </w:rPr>
              <w:t>13</w:t>
            </w:r>
          </w:p>
        </w:tc>
        <w:tc>
          <w:tcPr>
            <w:tcW w:w="662" w:type="pct"/>
            <w:vAlign w:val="center"/>
          </w:tcPr>
          <w:p w:rsidR="00EE4502" w:rsidRDefault="00FD45A3">
            <w:pPr>
              <w:widowControl/>
              <w:tabs>
                <w:tab w:val="left" w:pos="377"/>
              </w:tabs>
              <w:jc w:val="center"/>
              <w:rPr>
                <w:szCs w:val="21"/>
              </w:rPr>
            </w:pPr>
            <w:r>
              <w:rPr>
                <w:rFonts w:hint="eastAsia"/>
                <w:szCs w:val="21"/>
              </w:rPr>
              <w:t>1610.04</w:t>
            </w:r>
          </w:p>
        </w:tc>
        <w:tc>
          <w:tcPr>
            <w:tcW w:w="3044" w:type="pct"/>
            <w:vAlign w:val="center"/>
          </w:tcPr>
          <w:p w:rsidR="00EE4502" w:rsidRDefault="00FD45A3">
            <w:pPr>
              <w:widowControl/>
              <w:tabs>
                <w:tab w:val="left" w:pos="377"/>
              </w:tabs>
              <w:jc w:val="center"/>
              <w:rPr>
                <w:szCs w:val="21"/>
              </w:rPr>
            </w:pPr>
            <w:r>
              <w:rPr>
                <w:rFonts w:hint="eastAsia"/>
                <w:szCs w:val="21"/>
              </w:rPr>
              <w:t>Φ</w:t>
            </w:r>
            <w:r>
              <w:rPr>
                <w:rFonts w:hint="eastAsia"/>
                <w:szCs w:val="21"/>
              </w:rPr>
              <w:t>273.1</w:t>
            </w:r>
            <w:r>
              <w:rPr>
                <w:rFonts w:hint="eastAsia"/>
                <w:szCs w:val="21"/>
              </w:rPr>
              <w:t>×</w:t>
            </w:r>
            <w:r>
              <w:rPr>
                <w:rFonts w:hint="eastAsia"/>
                <w:szCs w:val="21"/>
              </w:rPr>
              <w:t>90+</w:t>
            </w:r>
            <w:r>
              <w:rPr>
                <w:rFonts w:hint="eastAsia"/>
                <w:szCs w:val="21"/>
              </w:rPr>
              <w:t>Φ</w:t>
            </w:r>
            <w:r>
              <w:rPr>
                <w:rFonts w:hint="eastAsia"/>
                <w:szCs w:val="21"/>
              </w:rPr>
              <w:t>177.8</w:t>
            </w:r>
            <w:r>
              <w:rPr>
                <w:rFonts w:hint="eastAsia"/>
                <w:szCs w:val="21"/>
              </w:rPr>
              <w:t>×</w:t>
            </w:r>
            <w:r>
              <w:rPr>
                <w:rFonts w:hint="eastAsia"/>
                <w:szCs w:val="21"/>
              </w:rPr>
              <w:t>931+</w:t>
            </w:r>
            <w:r>
              <w:rPr>
                <w:rFonts w:hint="eastAsia"/>
                <w:szCs w:val="21"/>
              </w:rPr>
              <w:t>Φ</w:t>
            </w:r>
            <w:r>
              <w:rPr>
                <w:rFonts w:hint="eastAsia"/>
                <w:szCs w:val="21"/>
              </w:rPr>
              <w:t>114.3</w:t>
            </w:r>
            <w:r>
              <w:rPr>
                <w:rFonts w:hint="eastAsia"/>
                <w:szCs w:val="21"/>
              </w:rPr>
              <w:t>×（</w:t>
            </w:r>
            <w:r>
              <w:rPr>
                <w:rFonts w:hint="eastAsia"/>
                <w:szCs w:val="21"/>
              </w:rPr>
              <w:t>901~1355</w:t>
            </w:r>
            <w:r>
              <w:rPr>
                <w:rFonts w:hint="eastAsia"/>
                <w:szCs w:val="21"/>
              </w:rPr>
              <w:t>)</w:t>
            </w:r>
          </w:p>
          <w:p w:rsidR="00EE4502" w:rsidRDefault="00FD45A3">
            <w:pPr>
              <w:widowControl/>
              <w:tabs>
                <w:tab w:val="left" w:pos="377"/>
              </w:tabs>
              <w:jc w:val="center"/>
              <w:rPr>
                <w:szCs w:val="21"/>
              </w:rPr>
            </w:pPr>
            <w:r>
              <w:rPr>
                <w:rFonts w:hint="eastAsia"/>
                <w:szCs w:val="21"/>
              </w:rPr>
              <w:t>（其中</w:t>
            </w:r>
            <w:r>
              <w:rPr>
                <w:rFonts w:hint="eastAsia"/>
                <w:szCs w:val="21"/>
              </w:rPr>
              <w:t>1155~1355</w:t>
            </w:r>
            <w:r>
              <w:rPr>
                <w:rFonts w:hint="eastAsia"/>
                <w:szCs w:val="21"/>
              </w:rPr>
              <w:t>为打孔筛管）</w:t>
            </w:r>
          </w:p>
        </w:tc>
      </w:tr>
      <w:tr w:rsidR="00EE4502">
        <w:trPr>
          <w:trHeight w:val="397"/>
        </w:trPr>
        <w:tc>
          <w:tcPr>
            <w:tcW w:w="1293" w:type="pct"/>
            <w:vAlign w:val="center"/>
          </w:tcPr>
          <w:p w:rsidR="00EE4502" w:rsidRDefault="00FD45A3">
            <w:pPr>
              <w:widowControl/>
              <w:tabs>
                <w:tab w:val="left" w:pos="377"/>
              </w:tabs>
              <w:jc w:val="center"/>
              <w:rPr>
                <w:szCs w:val="21"/>
              </w:rPr>
            </w:pPr>
            <w:r>
              <w:rPr>
                <w:rFonts w:hint="eastAsia"/>
                <w:szCs w:val="21"/>
              </w:rPr>
              <w:t>排</w:t>
            </w:r>
            <w:r>
              <w:rPr>
                <w:rFonts w:hint="eastAsia"/>
                <w:szCs w:val="21"/>
              </w:rPr>
              <w:t>61-</w:t>
            </w:r>
            <w:r>
              <w:rPr>
                <w:rFonts w:hint="eastAsia"/>
                <w:szCs w:val="21"/>
              </w:rPr>
              <w:t>平</w:t>
            </w:r>
            <w:r>
              <w:rPr>
                <w:rFonts w:hint="eastAsia"/>
                <w:szCs w:val="21"/>
              </w:rPr>
              <w:t>15</w:t>
            </w:r>
          </w:p>
        </w:tc>
        <w:tc>
          <w:tcPr>
            <w:tcW w:w="662" w:type="pct"/>
            <w:vAlign w:val="center"/>
          </w:tcPr>
          <w:p w:rsidR="00EE4502" w:rsidRDefault="00FD45A3">
            <w:pPr>
              <w:widowControl/>
              <w:tabs>
                <w:tab w:val="left" w:pos="377"/>
              </w:tabs>
              <w:jc w:val="center"/>
              <w:rPr>
                <w:szCs w:val="21"/>
              </w:rPr>
            </w:pPr>
            <w:r>
              <w:rPr>
                <w:rFonts w:hint="eastAsia"/>
                <w:szCs w:val="21"/>
              </w:rPr>
              <w:t>1679.23</w:t>
            </w:r>
          </w:p>
        </w:tc>
        <w:tc>
          <w:tcPr>
            <w:tcW w:w="3044" w:type="pct"/>
            <w:vAlign w:val="center"/>
          </w:tcPr>
          <w:p w:rsidR="00EE4502" w:rsidRDefault="00FD45A3">
            <w:pPr>
              <w:widowControl/>
              <w:tabs>
                <w:tab w:val="left" w:pos="377"/>
              </w:tabs>
              <w:jc w:val="center"/>
              <w:rPr>
                <w:szCs w:val="21"/>
              </w:rPr>
            </w:pPr>
            <w:r>
              <w:rPr>
                <w:rFonts w:hint="eastAsia"/>
                <w:szCs w:val="21"/>
              </w:rPr>
              <w:t>Φ</w:t>
            </w:r>
            <w:r>
              <w:rPr>
                <w:rFonts w:hint="eastAsia"/>
                <w:szCs w:val="21"/>
              </w:rPr>
              <w:t>273.1</w:t>
            </w:r>
            <w:r>
              <w:rPr>
                <w:rFonts w:hint="eastAsia"/>
                <w:szCs w:val="21"/>
              </w:rPr>
              <w:t>×</w:t>
            </w:r>
            <w:r>
              <w:rPr>
                <w:rFonts w:hint="eastAsia"/>
                <w:szCs w:val="21"/>
              </w:rPr>
              <w:t>90+</w:t>
            </w:r>
            <w:r>
              <w:rPr>
                <w:rFonts w:hint="eastAsia"/>
                <w:szCs w:val="21"/>
              </w:rPr>
              <w:t>Φ</w:t>
            </w:r>
            <w:r>
              <w:rPr>
                <w:rFonts w:hint="eastAsia"/>
                <w:szCs w:val="21"/>
              </w:rPr>
              <w:t>177.8</w:t>
            </w:r>
            <w:r>
              <w:rPr>
                <w:rFonts w:hint="eastAsia"/>
                <w:szCs w:val="21"/>
              </w:rPr>
              <w:t>×</w:t>
            </w:r>
            <w:r>
              <w:rPr>
                <w:rFonts w:hint="eastAsia"/>
                <w:szCs w:val="21"/>
              </w:rPr>
              <w:t>949+</w:t>
            </w:r>
            <w:r>
              <w:rPr>
                <w:rFonts w:hint="eastAsia"/>
                <w:szCs w:val="21"/>
              </w:rPr>
              <w:t>Φ</w:t>
            </w:r>
            <w:r>
              <w:rPr>
                <w:rFonts w:hint="eastAsia"/>
                <w:szCs w:val="21"/>
              </w:rPr>
              <w:t>114.3</w:t>
            </w:r>
            <w:r>
              <w:rPr>
                <w:rFonts w:hint="eastAsia"/>
                <w:szCs w:val="21"/>
              </w:rPr>
              <w:t>×（</w:t>
            </w:r>
            <w:r>
              <w:rPr>
                <w:rFonts w:hint="eastAsia"/>
                <w:szCs w:val="21"/>
              </w:rPr>
              <w:t>919~1425</w:t>
            </w:r>
            <w:r>
              <w:rPr>
                <w:rFonts w:hint="eastAsia"/>
                <w:szCs w:val="21"/>
              </w:rPr>
              <w:t>)</w:t>
            </w:r>
          </w:p>
          <w:p w:rsidR="00EE4502" w:rsidRDefault="00FD45A3">
            <w:pPr>
              <w:widowControl/>
              <w:tabs>
                <w:tab w:val="left" w:pos="377"/>
              </w:tabs>
              <w:jc w:val="center"/>
              <w:rPr>
                <w:szCs w:val="21"/>
              </w:rPr>
            </w:pPr>
            <w:r>
              <w:rPr>
                <w:rFonts w:hint="eastAsia"/>
                <w:szCs w:val="21"/>
              </w:rPr>
              <w:t>（其中</w:t>
            </w:r>
            <w:r>
              <w:rPr>
                <w:rFonts w:hint="eastAsia"/>
                <w:szCs w:val="21"/>
              </w:rPr>
              <w:t>1125~1425</w:t>
            </w:r>
            <w:r>
              <w:rPr>
                <w:rFonts w:hint="eastAsia"/>
                <w:szCs w:val="21"/>
              </w:rPr>
              <w:t>为打孔筛管）</w:t>
            </w:r>
          </w:p>
        </w:tc>
      </w:tr>
      <w:tr w:rsidR="00EE4502">
        <w:trPr>
          <w:trHeight w:val="397"/>
        </w:trPr>
        <w:tc>
          <w:tcPr>
            <w:tcW w:w="1293" w:type="pct"/>
            <w:vAlign w:val="center"/>
          </w:tcPr>
          <w:p w:rsidR="00EE4502" w:rsidRDefault="00FD45A3">
            <w:pPr>
              <w:widowControl/>
              <w:tabs>
                <w:tab w:val="left" w:pos="377"/>
              </w:tabs>
              <w:jc w:val="center"/>
              <w:rPr>
                <w:szCs w:val="21"/>
              </w:rPr>
            </w:pPr>
            <w:r>
              <w:rPr>
                <w:rFonts w:hint="eastAsia"/>
                <w:szCs w:val="21"/>
              </w:rPr>
              <w:t>排</w:t>
            </w:r>
            <w:r>
              <w:rPr>
                <w:rFonts w:hint="eastAsia"/>
                <w:szCs w:val="21"/>
              </w:rPr>
              <w:t>61-</w:t>
            </w:r>
            <w:r>
              <w:rPr>
                <w:rFonts w:hint="eastAsia"/>
                <w:szCs w:val="21"/>
              </w:rPr>
              <w:t>平</w:t>
            </w:r>
            <w:r>
              <w:rPr>
                <w:rFonts w:hint="eastAsia"/>
                <w:szCs w:val="21"/>
              </w:rPr>
              <w:t>18</w:t>
            </w:r>
          </w:p>
        </w:tc>
        <w:tc>
          <w:tcPr>
            <w:tcW w:w="662" w:type="pct"/>
            <w:vAlign w:val="center"/>
          </w:tcPr>
          <w:p w:rsidR="00EE4502" w:rsidRDefault="00FD45A3">
            <w:pPr>
              <w:widowControl/>
              <w:tabs>
                <w:tab w:val="left" w:pos="377"/>
              </w:tabs>
              <w:jc w:val="center"/>
              <w:rPr>
                <w:szCs w:val="21"/>
              </w:rPr>
            </w:pPr>
            <w:r>
              <w:rPr>
                <w:rFonts w:hint="eastAsia"/>
                <w:szCs w:val="21"/>
              </w:rPr>
              <w:t>1745.15</w:t>
            </w:r>
          </w:p>
        </w:tc>
        <w:tc>
          <w:tcPr>
            <w:tcW w:w="3044" w:type="pct"/>
            <w:vAlign w:val="center"/>
          </w:tcPr>
          <w:p w:rsidR="00EE4502" w:rsidRDefault="00FD45A3">
            <w:pPr>
              <w:widowControl/>
              <w:tabs>
                <w:tab w:val="left" w:pos="377"/>
              </w:tabs>
              <w:jc w:val="center"/>
              <w:rPr>
                <w:szCs w:val="21"/>
              </w:rPr>
            </w:pPr>
            <w:r>
              <w:rPr>
                <w:rFonts w:hint="eastAsia"/>
                <w:szCs w:val="21"/>
              </w:rPr>
              <w:t>Φ</w:t>
            </w:r>
            <w:r>
              <w:rPr>
                <w:rFonts w:hint="eastAsia"/>
                <w:szCs w:val="21"/>
              </w:rPr>
              <w:t>273.1</w:t>
            </w:r>
            <w:r>
              <w:rPr>
                <w:rFonts w:hint="eastAsia"/>
                <w:szCs w:val="21"/>
              </w:rPr>
              <w:t>×</w:t>
            </w:r>
            <w:r>
              <w:rPr>
                <w:rFonts w:hint="eastAsia"/>
                <w:szCs w:val="21"/>
              </w:rPr>
              <w:t>80+</w:t>
            </w:r>
            <w:r>
              <w:rPr>
                <w:rFonts w:hint="eastAsia"/>
                <w:szCs w:val="21"/>
              </w:rPr>
              <w:t>Φ</w:t>
            </w:r>
            <w:r>
              <w:rPr>
                <w:rFonts w:hint="eastAsia"/>
                <w:szCs w:val="21"/>
              </w:rPr>
              <w:t>177.8</w:t>
            </w:r>
            <w:r>
              <w:rPr>
                <w:rFonts w:hint="eastAsia"/>
                <w:szCs w:val="21"/>
              </w:rPr>
              <w:t>×</w:t>
            </w:r>
            <w:r>
              <w:rPr>
                <w:rFonts w:hint="eastAsia"/>
                <w:szCs w:val="21"/>
              </w:rPr>
              <w:t>919+</w:t>
            </w:r>
            <w:r>
              <w:rPr>
                <w:rFonts w:hint="eastAsia"/>
                <w:szCs w:val="21"/>
              </w:rPr>
              <w:t>Φ</w:t>
            </w:r>
            <w:r>
              <w:rPr>
                <w:rFonts w:hint="eastAsia"/>
                <w:szCs w:val="21"/>
              </w:rPr>
              <w:t>114.3</w:t>
            </w:r>
            <w:r>
              <w:rPr>
                <w:rFonts w:hint="eastAsia"/>
                <w:szCs w:val="21"/>
              </w:rPr>
              <w:t>×（</w:t>
            </w:r>
            <w:r>
              <w:rPr>
                <w:rFonts w:hint="eastAsia"/>
                <w:szCs w:val="21"/>
              </w:rPr>
              <w:t>889~1437</w:t>
            </w:r>
            <w:r>
              <w:rPr>
                <w:rFonts w:hint="eastAsia"/>
                <w:szCs w:val="21"/>
              </w:rPr>
              <w:t>)</w:t>
            </w:r>
          </w:p>
          <w:p w:rsidR="00EE4502" w:rsidRDefault="00FD45A3">
            <w:pPr>
              <w:widowControl/>
              <w:tabs>
                <w:tab w:val="left" w:pos="377"/>
              </w:tabs>
              <w:jc w:val="center"/>
              <w:rPr>
                <w:szCs w:val="21"/>
              </w:rPr>
            </w:pPr>
            <w:r>
              <w:rPr>
                <w:rFonts w:hint="eastAsia"/>
                <w:szCs w:val="21"/>
              </w:rPr>
              <w:t>（其中</w:t>
            </w:r>
            <w:r>
              <w:rPr>
                <w:rFonts w:hint="eastAsia"/>
                <w:szCs w:val="21"/>
              </w:rPr>
              <w:t>1137~1437</w:t>
            </w:r>
            <w:r>
              <w:rPr>
                <w:rFonts w:hint="eastAsia"/>
                <w:szCs w:val="21"/>
              </w:rPr>
              <w:t>为打孔筛管）</w:t>
            </w:r>
          </w:p>
        </w:tc>
      </w:tr>
      <w:tr w:rsidR="00EE4502">
        <w:trPr>
          <w:trHeight w:val="397"/>
        </w:trPr>
        <w:tc>
          <w:tcPr>
            <w:tcW w:w="1293" w:type="pct"/>
            <w:vAlign w:val="center"/>
          </w:tcPr>
          <w:p w:rsidR="00EE4502" w:rsidRDefault="00FD45A3">
            <w:pPr>
              <w:widowControl/>
              <w:tabs>
                <w:tab w:val="left" w:pos="377"/>
              </w:tabs>
              <w:jc w:val="center"/>
              <w:rPr>
                <w:szCs w:val="21"/>
              </w:rPr>
            </w:pPr>
            <w:r>
              <w:rPr>
                <w:rFonts w:hint="eastAsia"/>
                <w:szCs w:val="21"/>
              </w:rPr>
              <w:t>排</w:t>
            </w:r>
            <w:r>
              <w:rPr>
                <w:rFonts w:hint="eastAsia"/>
                <w:szCs w:val="21"/>
              </w:rPr>
              <w:t>61-</w:t>
            </w:r>
            <w:r>
              <w:rPr>
                <w:rFonts w:hint="eastAsia"/>
                <w:szCs w:val="21"/>
              </w:rPr>
              <w:t>平</w:t>
            </w:r>
            <w:r>
              <w:rPr>
                <w:rFonts w:hint="eastAsia"/>
                <w:szCs w:val="21"/>
              </w:rPr>
              <w:t>21</w:t>
            </w:r>
          </w:p>
        </w:tc>
        <w:tc>
          <w:tcPr>
            <w:tcW w:w="662" w:type="pct"/>
            <w:vAlign w:val="center"/>
          </w:tcPr>
          <w:p w:rsidR="00EE4502" w:rsidRDefault="00FD45A3">
            <w:pPr>
              <w:widowControl/>
              <w:tabs>
                <w:tab w:val="left" w:pos="377"/>
              </w:tabs>
              <w:jc w:val="center"/>
              <w:rPr>
                <w:szCs w:val="21"/>
              </w:rPr>
            </w:pPr>
            <w:r>
              <w:rPr>
                <w:rFonts w:hint="eastAsia"/>
                <w:szCs w:val="21"/>
              </w:rPr>
              <w:t>1917.39</w:t>
            </w:r>
          </w:p>
        </w:tc>
        <w:tc>
          <w:tcPr>
            <w:tcW w:w="3044" w:type="pct"/>
            <w:vAlign w:val="center"/>
          </w:tcPr>
          <w:p w:rsidR="00EE4502" w:rsidRDefault="00FD45A3">
            <w:pPr>
              <w:widowControl/>
              <w:tabs>
                <w:tab w:val="left" w:pos="377"/>
              </w:tabs>
              <w:jc w:val="center"/>
              <w:rPr>
                <w:szCs w:val="21"/>
              </w:rPr>
            </w:pPr>
            <w:r>
              <w:rPr>
                <w:rFonts w:hint="eastAsia"/>
                <w:szCs w:val="21"/>
              </w:rPr>
              <w:t>Φ</w:t>
            </w:r>
            <w:r>
              <w:rPr>
                <w:rFonts w:hint="eastAsia"/>
                <w:szCs w:val="21"/>
              </w:rPr>
              <w:t>273.1</w:t>
            </w:r>
            <w:r>
              <w:rPr>
                <w:rFonts w:hint="eastAsia"/>
                <w:szCs w:val="21"/>
              </w:rPr>
              <w:t>×</w:t>
            </w:r>
            <w:r>
              <w:rPr>
                <w:rFonts w:hint="eastAsia"/>
                <w:szCs w:val="21"/>
              </w:rPr>
              <w:t>90+</w:t>
            </w:r>
            <w:r>
              <w:rPr>
                <w:rFonts w:hint="eastAsia"/>
                <w:szCs w:val="21"/>
              </w:rPr>
              <w:t>Φ</w:t>
            </w:r>
            <w:r>
              <w:rPr>
                <w:rFonts w:hint="eastAsia"/>
                <w:szCs w:val="21"/>
              </w:rPr>
              <w:t>177.8</w:t>
            </w:r>
            <w:r>
              <w:rPr>
                <w:rFonts w:hint="eastAsia"/>
                <w:szCs w:val="21"/>
              </w:rPr>
              <w:t>×</w:t>
            </w:r>
            <w:r>
              <w:rPr>
                <w:rFonts w:hint="eastAsia"/>
                <w:szCs w:val="21"/>
              </w:rPr>
              <w:t>932+</w:t>
            </w:r>
            <w:r>
              <w:rPr>
                <w:rFonts w:hint="eastAsia"/>
                <w:szCs w:val="21"/>
              </w:rPr>
              <w:t>Φ</w:t>
            </w:r>
            <w:r>
              <w:rPr>
                <w:rFonts w:hint="eastAsia"/>
                <w:szCs w:val="21"/>
              </w:rPr>
              <w:t>114.3</w:t>
            </w:r>
            <w:r>
              <w:rPr>
                <w:rFonts w:hint="eastAsia"/>
                <w:szCs w:val="21"/>
              </w:rPr>
              <w:t>×（</w:t>
            </w:r>
            <w:r>
              <w:rPr>
                <w:rFonts w:hint="eastAsia"/>
                <w:szCs w:val="21"/>
              </w:rPr>
              <w:t>902~1588</w:t>
            </w:r>
            <w:r>
              <w:rPr>
                <w:rFonts w:hint="eastAsia"/>
                <w:szCs w:val="21"/>
              </w:rPr>
              <w:t>)</w:t>
            </w:r>
          </w:p>
          <w:p w:rsidR="00EE4502" w:rsidRDefault="00FD45A3">
            <w:pPr>
              <w:widowControl/>
              <w:tabs>
                <w:tab w:val="left" w:pos="377"/>
              </w:tabs>
              <w:jc w:val="center"/>
              <w:rPr>
                <w:szCs w:val="21"/>
              </w:rPr>
            </w:pPr>
            <w:r>
              <w:rPr>
                <w:rFonts w:hint="eastAsia"/>
                <w:szCs w:val="21"/>
              </w:rPr>
              <w:t>（其中</w:t>
            </w:r>
            <w:r>
              <w:rPr>
                <w:rFonts w:hint="eastAsia"/>
                <w:szCs w:val="21"/>
              </w:rPr>
              <w:t>1188~1588</w:t>
            </w:r>
            <w:r>
              <w:rPr>
                <w:rFonts w:hint="eastAsia"/>
                <w:szCs w:val="21"/>
              </w:rPr>
              <w:t>为打孔筛管）</w:t>
            </w:r>
          </w:p>
        </w:tc>
      </w:tr>
      <w:tr w:rsidR="00EE4502">
        <w:trPr>
          <w:trHeight w:val="397"/>
        </w:trPr>
        <w:tc>
          <w:tcPr>
            <w:tcW w:w="1293" w:type="pct"/>
            <w:vAlign w:val="center"/>
          </w:tcPr>
          <w:p w:rsidR="00EE4502" w:rsidRDefault="00FD45A3">
            <w:pPr>
              <w:widowControl/>
              <w:tabs>
                <w:tab w:val="left" w:pos="377"/>
              </w:tabs>
              <w:jc w:val="center"/>
              <w:rPr>
                <w:szCs w:val="21"/>
              </w:rPr>
            </w:pPr>
            <w:r>
              <w:rPr>
                <w:rFonts w:hint="eastAsia"/>
                <w:szCs w:val="21"/>
              </w:rPr>
              <w:t>排</w:t>
            </w:r>
            <w:r>
              <w:rPr>
                <w:rFonts w:hint="eastAsia"/>
                <w:szCs w:val="21"/>
              </w:rPr>
              <w:t>7-15</w:t>
            </w:r>
            <w:r>
              <w:rPr>
                <w:rFonts w:hint="eastAsia"/>
                <w:szCs w:val="21"/>
              </w:rPr>
              <w:t>/16</w:t>
            </w:r>
          </w:p>
        </w:tc>
        <w:tc>
          <w:tcPr>
            <w:tcW w:w="662" w:type="pct"/>
            <w:vAlign w:val="center"/>
          </w:tcPr>
          <w:p w:rsidR="00EE4502" w:rsidRDefault="00FD45A3">
            <w:pPr>
              <w:widowControl/>
              <w:tabs>
                <w:tab w:val="left" w:pos="377"/>
              </w:tabs>
              <w:jc w:val="center"/>
              <w:rPr>
                <w:szCs w:val="21"/>
              </w:rPr>
            </w:pPr>
            <w:r>
              <w:rPr>
                <w:rFonts w:hint="eastAsia"/>
                <w:szCs w:val="21"/>
              </w:rPr>
              <w:t>950.00</w:t>
            </w:r>
          </w:p>
        </w:tc>
        <w:tc>
          <w:tcPr>
            <w:tcW w:w="3044" w:type="pct"/>
            <w:vAlign w:val="center"/>
          </w:tcPr>
          <w:p w:rsidR="00EE4502" w:rsidRDefault="00FD45A3">
            <w:pPr>
              <w:widowControl/>
              <w:tabs>
                <w:tab w:val="left" w:pos="377"/>
              </w:tabs>
              <w:jc w:val="center"/>
              <w:rPr>
                <w:szCs w:val="21"/>
              </w:rPr>
            </w:pPr>
            <w:r>
              <w:rPr>
                <w:rFonts w:hint="eastAsia"/>
                <w:szCs w:val="21"/>
              </w:rPr>
              <w:t>Φ</w:t>
            </w:r>
            <w:r>
              <w:rPr>
                <w:rFonts w:hint="eastAsia"/>
                <w:szCs w:val="21"/>
              </w:rPr>
              <w:t>273.1</w:t>
            </w:r>
            <w:r>
              <w:rPr>
                <w:rFonts w:hint="eastAsia"/>
                <w:szCs w:val="21"/>
              </w:rPr>
              <w:t>×</w:t>
            </w:r>
            <w:r>
              <w:rPr>
                <w:rFonts w:hint="eastAsia"/>
                <w:szCs w:val="21"/>
              </w:rPr>
              <w:t>100+</w:t>
            </w:r>
            <w:r>
              <w:rPr>
                <w:rFonts w:hint="eastAsia"/>
                <w:szCs w:val="21"/>
              </w:rPr>
              <w:t>Φ</w:t>
            </w:r>
            <w:r>
              <w:rPr>
                <w:rFonts w:hint="eastAsia"/>
                <w:szCs w:val="21"/>
              </w:rPr>
              <w:t>177.8</w:t>
            </w:r>
            <w:r>
              <w:rPr>
                <w:rFonts w:hint="eastAsia"/>
                <w:szCs w:val="21"/>
              </w:rPr>
              <w:t>×</w:t>
            </w:r>
            <w:r>
              <w:rPr>
                <w:rFonts w:hint="eastAsia"/>
                <w:szCs w:val="21"/>
              </w:rPr>
              <w:t>947</w:t>
            </w:r>
          </w:p>
        </w:tc>
      </w:tr>
      <w:tr w:rsidR="00EE4502">
        <w:trPr>
          <w:trHeight w:val="397"/>
        </w:trPr>
        <w:tc>
          <w:tcPr>
            <w:tcW w:w="1293" w:type="pct"/>
            <w:vAlign w:val="center"/>
          </w:tcPr>
          <w:p w:rsidR="00EE4502" w:rsidRDefault="00FD45A3">
            <w:pPr>
              <w:widowControl/>
              <w:tabs>
                <w:tab w:val="left" w:pos="377"/>
              </w:tabs>
              <w:jc w:val="center"/>
              <w:rPr>
                <w:szCs w:val="21"/>
              </w:rPr>
            </w:pPr>
            <w:r>
              <w:rPr>
                <w:rFonts w:hint="eastAsia"/>
                <w:szCs w:val="21"/>
              </w:rPr>
              <w:t>排</w:t>
            </w:r>
            <w:r>
              <w:rPr>
                <w:rFonts w:hint="eastAsia"/>
                <w:szCs w:val="21"/>
              </w:rPr>
              <w:t>7-</w:t>
            </w:r>
            <w:r>
              <w:rPr>
                <w:rFonts w:hint="eastAsia"/>
                <w:szCs w:val="21"/>
              </w:rPr>
              <w:t>斜</w:t>
            </w:r>
            <w:r>
              <w:rPr>
                <w:rFonts w:hint="eastAsia"/>
                <w:szCs w:val="21"/>
              </w:rPr>
              <w:t>1</w:t>
            </w:r>
            <w:r>
              <w:rPr>
                <w:rFonts w:hint="eastAsia"/>
                <w:szCs w:val="21"/>
              </w:rPr>
              <w:t>7</w:t>
            </w:r>
          </w:p>
        </w:tc>
        <w:tc>
          <w:tcPr>
            <w:tcW w:w="662" w:type="pct"/>
            <w:vAlign w:val="center"/>
          </w:tcPr>
          <w:p w:rsidR="00EE4502" w:rsidRDefault="00FD45A3">
            <w:pPr>
              <w:widowControl/>
              <w:tabs>
                <w:tab w:val="left" w:pos="377"/>
              </w:tabs>
              <w:jc w:val="center"/>
              <w:rPr>
                <w:szCs w:val="21"/>
              </w:rPr>
            </w:pPr>
            <w:r>
              <w:rPr>
                <w:rFonts w:hint="eastAsia"/>
                <w:szCs w:val="21"/>
              </w:rPr>
              <w:t>1025.22</w:t>
            </w:r>
          </w:p>
        </w:tc>
        <w:tc>
          <w:tcPr>
            <w:tcW w:w="3044" w:type="pct"/>
            <w:vAlign w:val="center"/>
          </w:tcPr>
          <w:p w:rsidR="00EE4502" w:rsidRDefault="00FD45A3">
            <w:pPr>
              <w:widowControl/>
              <w:tabs>
                <w:tab w:val="left" w:pos="377"/>
              </w:tabs>
              <w:jc w:val="center"/>
              <w:rPr>
                <w:szCs w:val="21"/>
              </w:rPr>
            </w:pPr>
            <w:r>
              <w:rPr>
                <w:rFonts w:hint="eastAsia"/>
                <w:szCs w:val="21"/>
              </w:rPr>
              <w:t>Φ</w:t>
            </w:r>
            <w:r>
              <w:rPr>
                <w:rFonts w:hint="eastAsia"/>
                <w:szCs w:val="21"/>
              </w:rPr>
              <w:t>273.1</w:t>
            </w:r>
            <w:r>
              <w:rPr>
                <w:rFonts w:hint="eastAsia"/>
                <w:szCs w:val="21"/>
              </w:rPr>
              <w:t>×</w:t>
            </w:r>
            <w:r>
              <w:rPr>
                <w:rFonts w:hint="eastAsia"/>
                <w:szCs w:val="21"/>
              </w:rPr>
              <w:t>110+</w:t>
            </w:r>
            <w:r>
              <w:rPr>
                <w:rFonts w:hint="eastAsia"/>
                <w:szCs w:val="21"/>
              </w:rPr>
              <w:t>Φ</w:t>
            </w:r>
            <w:r>
              <w:rPr>
                <w:rFonts w:hint="eastAsia"/>
                <w:szCs w:val="21"/>
              </w:rPr>
              <w:t>177.8</w:t>
            </w:r>
            <w:r>
              <w:rPr>
                <w:rFonts w:hint="eastAsia"/>
                <w:szCs w:val="21"/>
              </w:rPr>
              <w:t>×</w:t>
            </w:r>
            <w:r>
              <w:rPr>
                <w:rFonts w:hint="eastAsia"/>
                <w:szCs w:val="21"/>
              </w:rPr>
              <w:t>1102</w:t>
            </w:r>
          </w:p>
        </w:tc>
      </w:tr>
    </w:tbl>
    <w:p w:rsidR="00EE4502" w:rsidRDefault="00FD45A3">
      <w:pPr>
        <w:spacing w:line="360" w:lineRule="auto"/>
        <w:jc w:val="left"/>
        <w:rPr>
          <w:rFonts w:eastAsia="黑体"/>
          <w:bCs/>
          <w:lang w:val="zh-CN"/>
        </w:rPr>
      </w:pPr>
      <w:r>
        <w:rPr>
          <w:rFonts w:ascii="楷体" w:eastAsia="楷体" w:hAnsi="楷体" w:cs="楷体" w:hint="eastAsia"/>
          <w:bCs/>
          <w:lang w:val="zh-CN"/>
        </w:rPr>
        <w:t>注：水平段打孔筛管具体下入长度及位置，根据实钻情况由新春公司决定。</w:t>
      </w:r>
    </w:p>
    <w:p w:rsidR="00EE4502" w:rsidRDefault="00EE4502">
      <w:pPr>
        <w:jc w:val="center"/>
        <w:rPr>
          <w:b/>
          <w:sz w:val="24"/>
        </w:rPr>
      </w:pPr>
    </w:p>
    <w:p w:rsidR="00EE4502" w:rsidRDefault="00FD45A3">
      <w:pPr>
        <w:spacing w:line="360" w:lineRule="auto"/>
        <w:ind w:firstLineChars="200" w:firstLine="480"/>
        <w:rPr>
          <w:sz w:val="24"/>
        </w:rPr>
      </w:pPr>
      <w:r>
        <w:rPr>
          <w:sz w:val="24"/>
        </w:rPr>
        <w:t>（</w:t>
      </w:r>
      <w:r>
        <w:rPr>
          <w:sz w:val="24"/>
        </w:rPr>
        <w:t>3</w:t>
      </w:r>
      <w:r>
        <w:rPr>
          <w:sz w:val="24"/>
        </w:rPr>
        <w:t>）钻井液</w:t>
      </w:r>
      <w:r>
        <w:rPr>
          <w:rFonts w:hint="eastAsia"/>
          <w:sz w:val="24"/>
        </w:rPr>
        <w:t>方案</w:t>
      </w:r>
    </w:p>
    <w:p w:rsidR="00EE4502" w:rsidRDefault="00FD45A3">
      <w:pPr>
        <w:spacing w:line="360" w:lineRule="auto"/>
        <w:ind w:firstLineChars="200" w:firstLine="480"/>
        <w:rPr>
          <w:sz w:val="24"/>
        </w:rPr>
      </w:pPr>
      <w:r>
        <w:rPr>
          <w:rFonts w:hint="eastAsia"/>
          <w:sz w:val="24"/>
        </w:rPr>
        <w:t>钻井液方案制定需考虑以下因素：有利于保护油气层</w:t>
      </w:r>
      <w:r>
        <w:rPr>
          <w:rFonts w:hint="eastAsia"/>
          <w:sz w:val="24"/>
        </w:rPr>
        <w:t>，有</w:t>
      </w:r>
      <w:r>
        <w:rPr>
          <w:rFonts w:hint="eastAsia"/>
          <w:sz w:val="24"/>
        </w:rPr>
        <w:t>利于</w:t>
      </w:r>
      <w:r>
        <w:rPr>
          <w:rFonts w:hint="eastAsia"/>
          <w:sz w:val="24"/>
        </w:rPr>
        <w:t>加快</w:t>
      </w:r>
      <w:r>
        <w:rPr>
          <w:rFonts w:hint="eastAsia"/>
          <w:sz w:val="24"/>
        </w:rPr>
        <w:t>钻井和安全钻井，有利于地质资料的录取，有利于复杂情况的处理，有利于环境保护。</w:t>
      </w:r>
    </w:p>
    <w:p w:rsidR="00EE4502" w:rsidRDefault="00FD45A3">
      <w:pPr>
        <w:spacing w:line="360" w:lineRule="auto"/>
        <w:ind w:firstLineChars="200" w:firstLine="480"/>
        <w:rPr>
          <w:sz w:val="24"/>
        </w:rPr>
      </w:pPr>
      <w:r>
        <w:rPr>
          <w:rFonts w:hint="eastAsia"/>
          <w:sz w:val="24"/>
        </w:rPr>
        <w:t>采用泥浆不落地工艺，全井小循环钻井。一开采用膨润土浆，可以满足大井眼安全钻井需要，二开采用聚合物（润滑）防塌钻井液，通过提高抑制性可以有效控制地层造浆，防止缩径阻卡，能够满足快速钻进及井身质量控制要求。三开采用无固相钻井液体系，能够满足施工安全及油气层保护需要。</w:t>
      </w:r>
    </w:p>
    <w:p w:rsidR="00EE4502" w:rsidRDefault="00FD45A3">
      <w:pPr>
        <w:spacing w:line="360" w:lineRule="auto"/>
        <w:ind w:firstLineChars="200" w:firstLine="480"/>
        <w:rPr>
          <w:sz w:val="24"/>
        </w:rPr>
      </w:pPr>
      <w:r>
        <w:rPr>
          <w:rFonts w:hint="eastAsia"/>
          <w:sz w:val="24"/>
        </w:rPr>
        <w:t>新</w:t>
      </w:r>
      <w:r>
        <w:rPr>
          <w:sz w:val="24"/>
        </w:rPr>
        <w:t>钻井分段钻井液体系设计见表</w:t>
      </w:r>
      <w:r>
        <w:rPr>
          <w:rFonts w:hint="eastAsia"/>
          <w:sz w:val="24"/>
        </w:rPr>
        <w:t>3-3</w:t>
      </w:r>
      <w:r>
        <w:rPr>
          <w:sz w:val="24"/>
        </w:rPr>
        <w:t>-1</w:t>
      </w:r>
      <w:r>
        <w:rPr>
          <w:rFonts w:hint="eastAsia"/>
          <w:sz w:val="24"/>
        </w:rPr>
        <w:t>2</w:t>
      </w:r>
      <w:r>
        <w:rPr>
          <w:sz w:val="24"/>
        </w:rPr>
        <w:t>。</w:t>
      </w:r>
    </w:p>
    <w:p w:rsidR="00EE4502" w:rsidRDefault="00FD45A3">
      <w:pPr>
        <w:spacing w:line="360" w:lineRule="auto"/>
        <w:jc w:val="center"/>
        <w:rPr>
          <w:rFonts w:eastAsia="黑体"/>
          <w:bCs/>
          <w:lang w:val="zh-CN"/>
        </w:rPr>
      </w:pPr>
      <w:r>
        <w:rPr>
          <w:rFonts w:eastAsia="黑体"/>
          <w:bCs/>
          <w:lang w:val="zh-CN"/>
        </w:rPr>
        <w:t>表</w:t>
      </w:r>
      <w:r>
        <w:rPr>
          <w:rFonts w:eastAsia="黑体" w:hint="eastAsia"/>
          <w:bCs/>
          <w:lang w:val="zh-CN"/>
        </w:rPr>
        <w:t>3-3</w:t>
      </w:r>
      <w:r>
        <w:rPr>
          <w:rFonts w:eastAsia="黑体"/>
          <w:bCs/>
          <w:lang w:val="zh-CN"/>
        </w:rPr>
        <w:t>-</w:t>
      </w:r>
      <w:r>
        <w:rPr>
          <w:rFonts w:eastAsia="黑体" w:hint="eastAsia"/>
          <w:bCs/>
        </w:rPr>
        <w:t>12</w:t>
      </w:r>
      <w:r>
        <w:rPr>
          <w:rFonts w:eastAsia="黑体"/>
          <w:bCs/>
          <w:lang w:val="zh-CN"/>
        </w:rPr>
        <w:t xml:space="preserve">    </w:t>
      </w:r>
      <w:r>
        <w:rPr>
          <w:rFonts w:eastAsia="黑体"/>
          <w:bCs/>
          <w:lang w:val="zh-CN"/>
        </w:rPr>
        <w:t>新钻井分段钻井液体系</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8"/>
        <w:gridCol w:w="2133"/>
        <w:gridCol w:w="4679"/>
      </w:tblGrid>
      <w:tr w:rsidR="00EE4502">
        <w:trPr>
          <w:trHeight w:val="397"/>
          <w:tblHeader/>
        </w:trPr>
        <w:tc>
          <w:tcPr>
            <w:tcW w:w="1002" w:type="pct"/>
            <w:vAlign w:val="center"/>
          </w:tcPr>
          <w:p w:rsidR="00EE4502" w:rsidRDefault="00FD45A3">
            <w:pPr>
              <w:widowControl/>
              <w:tabs>
                <w:tab w:val="left" w:pos="377"/>
              </w:tabs>
              <w:jc w:val="center"/>
              <w:rPr>
                <w:rFonts w:ascii="宋体" w:hAnsi="宋体" w:cs="宋体"/>
                <w:szCs w:val="21"/>
              </w:rPr>
            </w:pPr>
            <w:r>
              <w:rPr>
                <w:rFonts w:ascii="宋体" w:hAnsi="宋体" w:cs="宋体" w:hint="eastAsia"/>
                <w:szCs w:val="21"/>
              </w:rPr>
              <w:t>井型</w:t>
            </w:r>
          </w:p>
        </w:tc>
        <w:tc>
          <w:tcPr>
            <w:tcW w:w="1251" w:type="pct"/>
            <w:noWrap/>
            <w:vAlign w:val="center"/>
          </w:tcPr>
          <w:p w:rsidR="00EE4502" w:rsidRDefault="00FD45A3">
            <w:pPr>
              <w:widowControl/>
              <w:tabs>
                <w:tab w:val="left" w:pos="377"/>
              </w:tabs>
              <w:jc w:val="center"/>
              <w:rPr>
                <w:rFonts w:ascii="宋体" w:hAnsi="宋体" w:cs="宋体"/>
                <w:szCs w:val="21"/>
              </w:rPr>
            </w:pPr>
            <w:r>
              <w:rPr>
                <w:rFonts w:ascii="宋体" w:hAnsi="宋体" w:cs="宋体" w:hint="eastAsia"/>
                <w:szCs w:val="21"/>
              </w:rPr>
              <w:t>开钻序号</w:t>
            </w:r>
          </w:p>
        </w:tc>
        <w:tc>
          <w:tcPr>
            <w:tcW w:w="2745" w:type="pct"/>
            <w:noWrap/>
            <w:vAlign w:val="center"/>
          </w:tcPr>
          <w:p w:rsidR="00EE4502" w:rsidRDefault="00FD45A3">
            <w:pPr>
              <w:widowControl/>
              <w:tabs>
                <w:tab w:val="left" w:pos="377"/>
              </w:tabs>
              <w:jc w:val="center"/>
              <w:rPr>
                <w:rFonts w:ascii="宋体" w:hAnsi="宋体" w:cs="宋体"/>
                <w:szCs w:val="21"/>
              </w:rPr>
            </w:pPr>
            <w:r>
              <w:rPr>
                <w:rFonts w:ascii="宋体" w:hAnsi="宋体" w:cs="宋体" w:hint="eastAsia"/>
                <w:szCs w:val="21"/>
              </w:rPr>
              <w:t>钻井液体系</w:t>
            </w:r>
          </w:p>
        </w:tc>
      </w:tr>
      <w:tr w:rsidR="00EE4502">
        <w:trPr>
          <w:trHeight w:val="397"/>
        </w:trPr>
        <w:tc>
          <w:tcPr>
            <w:tcW w:w="1002" w:type="pct"/>
            <w:vMerge w:val="restart"/>
            <w:vAlign w:val="center"/>
          </w:tcPr>
          <w:p w:rsidR="00EE4502" w:rsidRDefault="00FD45A3">
            <w:pPr>
              <w:widowControl/>
              <w:tabs>
                <w:tab w:val="left" w:pos="377"/>
              </w:tabs>
              <w:jc w:val="center"/>
              <w:rPr>
                <w:szCs w:val="21"/>
              </w:rPr>
            </w:pPr>
            <w:r>
              <w:rPr>
                <w:rFonts w:hint="eastAsia"/>
                <w:szCs w:val="21"/>
              </w:rPr>
              <w:t>水平井</w:t>
            </w:r>
          </w:p>
        </w:tc>
        <w:tc>
          <w:tcPr>
            <w:tcW w:w="1251" w:type="pct"/>
            <w:noWrap/>
            <w:vAlign w:val="center"/>
          </w:tcPr>
          <w:p w:rsidR="00EE4502" w:rsidRDefault="00FD45A3">
            <w:pPr>
              <w:widowControl/>
              <w:tabs>
                <w:tab w:val="left" w:pos="377"/>
              </w:tabs>
              <w:jc w:val="center"/>
              <w:rPr>
                <w:szCs w:val="21"/>
              </w:rPr>
            </w:pPr>
            <w:r>
              <w:rPr>
                <w:rFonts w:hint="eastAsia"/>
                <w:szCs w:val="21"/>
              </w:rPr>
              <w:t>一开</w:t>
            </w:r>
          </w:p>
        </w:tc>
        <w:tc>
          <w:tcPr>
            <w:tcW w:w="2745" w:type="pct"/>
            <w:noWrap/>
            <w:vAlign w:val="center"/>
          </w:tcPr>
          <w:p w:rsidR="00EE4502" w:rsidRDefault="00FD45A3">
            <w:pPr>
              <w:widowControl/>
              <w:tabs>
                <w:tab w:val="left" w:pos="377"/>
              </w:tabs>
              <w:jc w:val="center"/>
              <w:rPr>
                <w:szCs w:val="21"/>
              </w:rPr>
            </w:pPr>
            <w:r>
              <w:rPr>
                <w:rFonts w:hint="eastAsia"/>
                <w:szCs w:val="21"/>
              </w:rPr>
              <w:t>膨润土浆</w:t>
            </w:r>
          </w:p>
        </w:tc>
      </w:tr>
      <w:tr w:rsidR="00EE4502">
        <w:trPr>
          <w:trHeight w:val="397"/>
        </w:trPr>
        <w:tc>
          <w:tcPr>
            <w:tcW w:w="1002" w:type="pct"/>
            <w:vMerge/>
            <w:vAlign w:val="center"/>
          </w:tcPr>
          <w:p w:rsidR="00EE4502" w:rsidRDefault="00EE4502">
            <w:pPr>
              <w:widowControl/>
              <w:tabs>
                <w:tab w:val="left" w:pos="377"/>
              </w:tabs>
              <w:jc w:val="center"/>
              <w:rPr>
                <w:szCs w:val="21"/>
              </w:rPr>
            </w:pPr>
          </w:p>
        </w:tc>
        <w:tc>
          <w:tcPr>
            <w:tcW w:w="1251" w:type="pct"/>
            <w:noWrap/>
            <w:vAlign w:val="center"/>
          </w:tcPr>
          <w:p w:rsidR="00EE4502" w:rsidRDefault="00FD45A3">
            <w:pPr>
              <w:widowControl/>
              <w:tabs>
                <w:tab w:val="left" w:pos="377"/>
              </w:tabs>
              <w:jc w:val="center"/>
              <w:rPr>
                <w:szCs w:val="21"/>
              </w:rPr>
            </w:pPr>
            <w:r>
              <w:rPr>
                <w:rFonts w:hint="eastAsia"/>
                <w:szCs w:val="21"/>
              </w:rPr>
              <w:t>二开</w:t>
            </w:r>
          </w:p>
        </w:tc>
        <w:tc>
          <w:tcPr>
            <w:tcW w:w="2745" w:type="pct"/>
            <w:noWrap/>
            <w:vAlign w:val="center"/>
          </w:tcPr>
          <w:p w:rsidR="00EE4502" w:rsidRDefault="00FD45A3">
            <w:pPr>
              <w:widowControl/>
              <w:tabs>
                <w:tab w:val="left" w:pos="377"/>
              </w:tabs>
              <w:jc w:val="center"/>
              <w:rPr>
                <w:szCs w:val="21"/>
              </w:rPr>
            </w:pPr>
            <w:r>
              <w:rPr>
                <w:rFonts w:hint="eastAsia"/>
                <w:szCs w:val="21"/>
              </w:rPr>
              <w:t>聚合物润滑防塌钻井液</w:t>
            </w:r>
          </w:p>
        </w:tc>
      </w:tr>
      <w:tr w:rsidR="00EE4502">
        <w:trPr>
          <w:trHeight w:val="397"/>
        </w:trPr>
        <w:tc>
          <w:tcPr>
            <w:tcW w:w="1002" w:type="pct"/>
            <w:vMerge/>
            <w:vAlign w:val="center"/>
          </w:tcPr>
          <w:p w:rsidR="00EE4502" w:rsidRDefault="00EE4502">
            <w:pPr>
              <w:widowControl/>
              <w:tabs>
                <w:tab w:val="left" w:pos="377"/>
              </w:tabs>
              <w:jc w:val="center"/>
              <w:rPr>
                <w:szCs w:val="21"/>
              </w:rPr>
            </w:pPr>
          </w:p>
        </w:tc>
        <w:tc>
          <w:tcPr>
            <w:tcW w:w="1251" w:type="pct"/>
            <w:noWrap/>
            <w:vAlign w:val="center"/>
          </w:tcPr>
          <w:p w:rsidR="00EE4502" w:rsidRDefault="00FD45A3">
            <w:pPr>
              <w:widowControl/>
              <w:tabs>
                <w:tab w:val="left" w:pos="377"/>
              </w:tabs>
              <w:jc w:val="center"/>
              <w:rPr>
                <w:szCs w:val="21"/>
              </w:rPr>
            </w:pPr>
            <w:r>
              <w:rPr>
                <w:rFonts w:hint="eastAsia"/>
                <w:szCs w:val="21"/>
              </w:rPr>
              <w:t>三开</w:t>
            </w:r>
          </w:p>
        </w:tc>
        <w:tc>
          <w:tcPr>
            <w:tcW w:w="2745" w:type="pct"/>
            <w:noWrap/>
            <w:vAlign w:val="center"/>
          </w:tcPr>
          <w:p w:rsidR="00EE4502" w:rsidRDefault="00FD45A3">
            <w:pPr>
              <w:widowControl/>
              <w:tabs>
                <w:tab w:val="left" w:pos="377"/>
              </w:tabs>
              <w:jc w:val="center"/>
              <w:rPr>
                <w:szCs w:val="21"/>
              </w:rPr>
            </w:pPr>
            <w:r>
              <w:rPr>
                <w:rFonts w:hint="eastAsia"/>
                <w:szCs w:val="21"/>
              </w:rPr>
              <w:t>无固相钻井液</w:t>
            </w:r>
          </w:p>
        </w:tc>
      </w:tr>
      <w:tr w:rsidR="00EE4502">
        <w:trPr>
          <w:trHeight w:val="397"/>
        </w:trPr>
        <w:tc>
          <w:tcPr>
            <w:tcW w:w="1002" w:type="pct"/>
            <w:vMerge w:val="restart"/>
            <w:vAlign w:val="center"/>
          </w:tcPr>
          <w:p w:rsidR="00EE4502" w:rsidRDefault="00FD45A3">
            <w:pPr>
              <w:widowControl/>
              <w:tabs>
                <w:tab w:val="left" w:pos="377"/>
              </w:tabs>
              <w:jc w:val="center"/>
              <w:rPr>
                <w:szCs w:val="21"/>
              </w:rPr>
            </w:pPr>
            <w:r>
              <w:rPr>
                <w:rFonts w:hint="eastAsia"/>
                <w:szCs w:val="21"/>
              </w:rPr>
              <w:t>定向井</w:t>
            </w:r>
          </w:p>
        </w:tc>
        <w:tc>
          <w:tcPr>
            <w:tcW w:w="1251" w:type="pct"/>
            <w:noWrap/>
            <w:vAlign w:val="center"/>
          </w:tcPr>
          <w:p w:rsidR="00EE4502" w:rsidRDefault="00FD45A3">
            <w:pPr>
              <w:widowControl/>
              <w:tabs>
                <w:tab w:val="left" w:pos="377"/>
              </w:tabs>
              <w:jc w:val="center"/>
              <w:rPr>
                <w:szCs w:val="21"/>
              </w:rPr>
            </w:pPr>
            <w:r>
              <w:rPr>
                <w:rFonts w:hint="eastAsia"/>
                <w:szCs w:val="21"/>
              </w:rPr>
              <w:t>一开</w:t>
            </w:r>
          </w:p>
        </w:tc>
        <w:tc>
          <w:tcPr>
            <w:tcW w:w="2745" w:type="pct"/>
            <w:noWrap/>
            <w:vAlign w:val="center"/>
          </w:tcPr>
          <w:p w:rsidR="00EE4502" w:rsidRDefault="00FD45A3">
            <w:pPr>
              <w:widowControl/>
              <w:tabs>
                <w:tab w:val="left" w:pos="377"/>
              </w:tabs>
              <w:jc w:val="center"/>
              <w:rPr>
                <w:szCs w:val="21"/>
              </w:rPr>
            </w:pPr>
            <w:r>
              <w:rPr>
                <w:rFonts w:hint="eastAsia"/>
                <w:szCs w:val="21"/>
              </w:rPr>
              <w:t>膨润土浆</w:t>
            </w:r>
          </w:p>
        </w:tc>
      </w:tr>
      <w:tr w:rsidR="00EE4502">
        <w:trPr>
          <w:trHeight w:val="397"/>
        </w:trPr>
        <w:tc>
          <w:tcPr>
            <w:tcW w:w="1002" w:type="pct"/>
            <w:vMerge/>
            <w:vAlign w:val="center"/>
          </w:tcPr>
          <w:p w:rsidR="00EE4502" w:rsidRDefault="00EE4502">
            <w:pPr>
              <w:widowControl/>
              <w:tabs>
                <w:tab w:val="left" w:pos="377"/>
              </w:tabs>
              <w:jc w:val="center"/>
              <w:rPr>
                <w:szCs w:val="21"/>
              </w:rPr>
            </w:pPr>
          </w:p>
        </w:tc>
        <w:tc>
          <w:tcPr>
            <w:tcW w:w="1251" w:type="pct"/>
            <w:noWrap/>
            <w:vAlign w:val="center"/>
          </w:tcPr>
          <w:p w:rsidR="00EE4502" w:rsidRDefault="00FD45A3">
            <w:pPr>
              <w:widowControl/>
              <w:tabs>
                <w:tab w:val="left" w:pos="377"/>
              </w:tabs>
              <w:jc w:val="center"/>
              <w:rPr>
                <w:szCs w:val="21"/>
              </w:rPr>
            </w:pPr>
            <w:r>
              <w:rPr>
                <w:rFonts w:hint="eastAsia"/>
                <w:szCs w:val="21"/>
              </w:rPr>
              <w:t>二开</w:t>
            </w:r>
          </w:p>
        </w:tc>
        <w:tc>
          <w:tcPr>
            <w:tcW w:w="2745" w:type="pct"/>
            <w:noWrap/>
            <w:vAlign w:val="center"/>
          </w:tcPr>
          <w:p w:rsidR="00EE4502" w:rsidRDefault="00FD45A3">
            <w:pPr>
              <w:widowControl/>
              <w:tabs>
                <w:tab w:val="left" w:pos="377"/>
              </w:tabs>
              <w:jc w:val="center"/>
              <w:rPr>
                <w:szCs w:val="21"/>
              </w:rPr>
            </w:pPr>
            <w:r>
              <w:rPr>
                <w:rFonts w:hint="eastAsia"/>
                <w:szCs w:val="21"/>
              </w:rPr>
              <w:t>聚合物润滑防塌钻井液</w:t>
            </w:r>
          </w:p>
        </w:tc>
      </w:tr>
      <w:tr w:rsidR="00EE4502">
        <w:trPr>
          <w:trHeight w:val="397"/>
        </w:trPr>
        <w:tc>
          <w:tcPr>
            <w:tcW w:w="1002" w:type="pct"/>
            <w:vMerge w:val="restart"/>
            <w:vAlign w:val="center"/>
          </w:tcPr>
          <w:p w:rsidR="00EE4502" w:rsidRDefault="00FD45A3">
            <w:pPr>
              <w:widowControl/>
              <w:tabs>
                <w:tab w:val="left" w:pos="377"/>
              </w:tabs>
              <w:jc w:val="center"/>
              <w:rPr>
                <w:szCs w:val="21"/>
              </w:rPr>
            </w:pPr>
            <w:r>
              <w:rPr>
                <w:rFonts w:hint="eastAsia"/>
                <w:szCs w:val="21"/>
              </w:rPr>
              <w:t>直井</w:t>
            </w:r>
          </w:p>
        </w:tc>
        <w:tc>
          <w:tcPr>
            <w:tcW w:w="1251" w:type="pct"/>
            <w:noWrap/>
            <w:vAlign w:val="center"/>
          </w:tcPr>
          <w:p w:rsidR="00EE4502" w:rsidRDefault="00FD45A3">
            <w:pPr>
              <w:widowControl/>
              <w:tabs>
                <w:tab w:val="left" w:pos="377"/>
              </w:tabs>
              <w:jc w:val="center"/>
              <w:rPr>
                <w:szCs w:val="21"/>
              </w:rPr>
            </w:pPr>
            <w:r>
              <w:rPr>
                <w:rFonts w:hint="eastAsia"/>
                <w:szCs w:val="21"/>
              </w:rPr>
              <w:t>一开</w:t>
            </w:r>
          </w:p>
        </w:tc>
        <w:tc>
          <w:tcPr>
            <w:tcW w:w="2745" w:type="pct"/>
            <w:noWrap/>
            <w:vAlign w:val="center"/>
          </w:tcPr>
          <w:p w:rsidR="00EE4502" w:rsidRDefault="00FD45A3">
            <w:pPr>
              <w:widowControl/>
              <w:tabs>
                <w:tab w:val="left" w:pos="377"/>
              </w:tabs>
              <w:jc w:val="center"/>
              <w:rPr>
                <w:szCs w:val="21"/>
              </w:rPr>
            </w:pPr>
            <w:r>
              <w:rPr>
                <w:rFonts w:hint="eastAsia"/>
                <w:szCs w:val="21"/>
              </w:rPr>
              <w:t>膨润土浆</w:t>
            </w:r>
          </w:p>
        </w:tc>
      </w:tr>
      <w:tr w:rsidR="00EE4502">
        <w:trPr>
          <w:trHeight w:val="397"/>
        </w:trPr>
        <w:tc>
          <w:tcPr>
            <w:tcW w:w="1002" w:type="pct"/>
            <w:vMerge/>
            <w:vAlign w:val="center"/>
          </w:tcPr>
          <w:p w:rsidR="00EE4502" w:rsidRDefault="00EE4502">
            <w:pPr>
              <w:widowControl/>
              <w:tabs>
                <w:tab w:val="left" w:pos="377"/>
              </w:tabs>
              <w:jc w:val="center"/>
              <w:rPr>
                <w:szCs w:val="21"/>
              </w:rPr>
            </w:pPr>
          </w:p>
        </w:tc>
        <w:tc>
          <w:tcPr>
            <w:tcW w:w="1251" w:type="pct"/>
            <w:noWrap/>
            <w:vAlign w:val="center"/>
          </w:tcPr>
          <w:p w:rsidR="00EE4502" w:rsidRDefault="00FD45A3">
            <w:pPr>
              <w:widowControl/>
              <w:tabs>
                <w:tab w:val="left" w:pos="377"/>
              </w:tabs>
              <w:jc w:val="center"/>
              <w:rPr>
                <w:szCs w:val="21"/>
              </w:rPr>
            </w:pPr>
            <w:r>
              <w:rPr>
                <w:rFonts w:hint="eastAsia"/>
                <w:szCs w:val="21"/>
              </w:rPr>
              <w:t>二开</w:t>
            </w:r>
          </w:p>
        </w:tc>
        <w:tc>
          <w:tcPr>
            <w:tcW w:w="2745" w:type="pct"/>
            <w:noWrap/>
            <w:vAlign w:val="center"/>
          </w:tcPr>
          <w:p w:rsidR="00EE4502" w:rsidRDefault="00FD45A3">
            <w:pPr>
              <w:widowControl/>
              <w:tabs>
                <w:tab w:val="left" w:pos="377"/>
              </w:tabs>
              <w:jc w:val="center"/>
              <w:rPr>
                <w:szCs w:val="21"/>
              </w:rPr>
            </w:pPr>
            <w:r>
              <w:rPr>
                <w:rFonts w:hint="eastAsia"/>
                <w:szCs w:val="21"/>
              </w:rPr>
              <w:t>聚合物防塌钻井液</w:t>
            </w:r>
          </w:p>
        </w:tc>
      </w:tr>
    </w:tbl>
    <w:p w:rsidR="00EE4502" w:rsidRDefault="00EE4502">
      <w:pPr>
        <w:jc w:val="center"/>
        <w:rPr>
          <w:sz w:val="18"/>
          <w:szCs w:val="18"/>
        </w:rPr>
      </w:pPr>
    </w:p>
    <w:p w:rsidR="00EE4502" w:rsidRDefault="00FD45A3">
      <w:pPr>
        <w:spacing w:line="360" w:lineRule="auto"/>
        <w:ind w:firstLineChars="200" w:firstLine="480"/>
        <w:rPr>
          <w:kern w:val="0"/>
          <w:sz w:val="24"/>
        </w:rPr>
      </w:pPr>
      <w:r>
        <w:rPr>
          <w:kern w:val="0"/>
          <w:sz w:val="24"/>
        </w:rPr>
        <w:t>新钻井分段钻井液体系主要性能与流变参数分别见</w:t>
      </w:r>
      <w:r>
        <w:rPr>
          <w:rFonts w:hint="eastAsia"/>
          <w:kern w:val="0"/>
          <w:sz w:val="24"/>
        </w:rPr>
        <w:t>下</w:t>
      </w:r>
      <w:r>
        <w:rPr>
          <w:kern w:val="0"/>
          <w:sz w:val="24"/>
        </w:rPr>
        <w:t>表。</w:t>
      </w:r>
    </w:p>
    <w:p w:rsidR="00EE4502" w:rsidRDefault="00FD45A3">
      <w:pPr>
        <w:spacing w:line="360" w:lineRule="auto"/>
        <w:jc w:val="center"/>
        <w:rPr>
          <w:rFonts w:eastAsia="黑体"/>
          <w:bCs/>
          <w:lang w:val="zh-CN"/>
        </w:rPr>
      </w:pPr>
      <w:r>
        <w:rPr>
          <w:rFonts w:eastAsia="黑体"/>
          <w:bCs/>
          <w:lang w:val="zh-CN"/>
        </w:rPr>
        <w:t>表</w:t>
      </w:r>
      <w:r>
        <w:rPr>
          <w:rFonts w:eastAsia="黑体" w:hint="eastAsia"/>
          <w:bCs/>
        </w:rPr>
        <w:t>3-3</w:t>
      </w:r>
      <w:r>
        <w:rPr>
          <w:rFonts w:eastAsia="黑体" w:hint="eastAsia"/>
          <w:bCs/>
        </w:rPr>
        <w:t>-</w:t>
      </w:r>
      <w:r>
        <w:rPr>
          <w:rFonts w:eastAsia="黑体"/>
          <w:bCs/>
        </w:rPr>
        <w:t>1</w:t>
      </w:r>
      <w:r>
        <w:rPr>
          <w:rFonts w:eastAsia="黑体" w:hint="eastAsia"/>
          <w:bCs/>
        </w:rPr>
        <w:t>3</w:t>
      </w:r>
      <w:r>
        <w:rPr>
          <w:rFonts w:eastAsia="黑体"/>
          <w:bCs/>
          <w:lang w:val="zh-CN"/>
        </w:rPr>
        <w:t xml:space="preserve">    </w:t>
      </w:r>
      <w:r>
        <w:rPr>
          <w:rFonts w:eastAsia="黑体" w:hint="eastAsia"/>
          <w:bCs/>
          <w:lang w:val="zh-CN"/>
        </w:rPr>
        <w:t>水平井钻井液主要性能与流变参数</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5"/>
        <w:gridCol w:w="2018"/>
        <w:gridCol w:w="1869"/>
        <w:gridCol w:w="2178"/>
      </w:tblGrid>
      <w:tr w:rsidR="00EE4502">
        <w:trPr>
          <w:cantSplit/>
          <w:trHeight w:val="397"/>
          <w:jc w:val="center"/>
        </w:trPr>
        <w:tc>
          <w:tcPr>
            <w:tcW w:w="1440" w:type="pct"/>
            <w:vMerge w:val="restart"/>
            <w:vAlign w:val="center"/>
          </w:tcPr>
          <w:p w:rsidR="00EE4502" w:rsidRDefault="00FD45A3">
            <w:pPr>
              <w:widowControl/>
              <w:tabs>
                <w:tab w:val="left" w:pos="377"/>
              </w:tabs>
              <w:jc w:val="center"/>
              <w:rPr>
                <w:szCs w:val="21"/>
              </w:rPr>
            </w:pPr>
            <w:r>
              <w:rPr>
                <w:szCs w:val="21"/>
              </w:rPr>
              <w:t>项目</w:t>
            </w:r>
          </w:p>
        </w:tc>
        <w:tc>
          <w:tcPr>
            <w:tcW w:w="3559" w:type="pct"/>
            <w:gridSpan w:val="3"/>
            <w:vAlign w:val="center"/>
          </w:tcPr>
          <w:p w:rsidR="00EE4502" w:rsidRDefault="00FD45A3">
            <w:pPr>
              <w:widowControl/>
              <w:tabs>
                <w:tab w:val="left" w:pos="377"/>
              </w:tabs>
              <w:jc w:val="center"/>
              <w:rPr>
                <w:szCs w:val="21"/>
              </w:rPr>
            </w:pPr>
            <w:r>
              <w:rPr>
                <w:szCs w:val="21"/>
              </w:rPr>
              <w:t>性能指标</w:t>
            </w:r>
          </w:p>
        </w:tc>
      </w:tr>
      <w:tr w:rsidR="00EE4502">
        <w:trPr>
          <w:cantSplit/>
          <w:trHeight w:val="397"/>
          <w:jc w:val="center"/>
        </w:trPr>
        <w:tc>
          <w:tcPr>
            <w:tcW w:w="1440" w:type="pct"/>
            <w:vMerge/>
            <w:vAlign w:val="center"/>
          </w:tcPr>
          <w:p w:rsidR="00EE4502" w:rsidRDefault="00EE4502">
            <w:pPr>
              <w:widowControl/>
              <w:tabs>
                <w:tab w:val="left" w:pos="377"/>
              </w:tabs>
              <w:jc w:val="center"/>
              <w:rPr>
                <w:szCs w:val="21"/>
              </w:rPr>
            </w:pPr>
          </w:p>
        </w:tc>
        <w:tc>
          <w:tcPr>
            <w:tcW w:w="1184" w:type="pct"/>
            <w:vAlign w:val="center"/>
          </w:tcPr>
          <w:p w:rsidR="00EE4502" w:rsidRDefault="00FD45A3">
            <w:pPr>
              <w:widowControl/>
              <w:tabs>
                <w:tab w:val="left" w:pos="377"/>
              </w:tabs>
              <w:jc w:val="center"/>
              <w:rPr>
                <w:szCs w:val="21"/>
              </w:rPr>
            </w:pPr>
            <w:r>
              <w:rPr>
                <w:szCs w:val="21"/>
              </w:rPr>
              <w:t>一开</w:t>
            </w:r>
          </w:p>
        </w:tc>
        <w:tc>
          <w:tcPr>
            <w:tcW w:w="1097" w:type="pct"/>
            <w:vAlign w:val="center"/>
          </w:tcPr>
          <w:p w:rsidR="00EE4502" w:rsidRDefault="00FD45A3">
            <w:pPr>
              <w:widowControl/>
              <w:tabs>
                <w:tab w:val="left" w:pos="377"/>
              </w:tabs>
              <w:jc w:val="center"/>
              <w:rPr>
                <w:szCs w:val="21"/>
              </w:rPr>
            </w:pPr>
            <w:r>
              <w:rPr>
                <w:szCs w:val="21"/>
              </w:rPr>
              <w:t>二开</w:t>
            </w:r>
          </w:p>
        </w:tc>
        <w:tc>
          <w:tcPr>
            <w:tcW w:w="1278" w:type="pct"/>
            <w:vAlign w:val="center"/>
          </w:tcPr>
          <w:p w:rsidR="00EE4502" w:rsidRDefault="00FD45A3">
            <w:pPr>
              <w:widowControl/>
              <w:tabs>
                <w:tab w:val="left" w:pos="377"/>
              </w:tabs>
              <w:jc w:val="center"/>
              <w:rPr>
                <w:szCs w:val="21"/>
              </w:rPr>
            </w:pPr>
            <w:r>
              <w:rPr>
                <w:szCs w:val="21"/>
              </w:rPr>
              <w:t>三开井段</w:t>
            </w:r>
          </w:p>
        </w:tc>
      </w:tr>
      <w:tr w:rsidR="00EE4502">
        <w:trPr>
          <w:cantSplit/>
          <w:trHeight w:val="397"/>
          <w:jc w:val="center"/>
        </w:trPr>
        <w:tc>
          <w:tcPr>
            <w:tcW w:w="1440" w:type="pct"/>
            <w:vAlign w:val="center"/>
          </w:tcPr>
          <w:p w:rsidR="00EE4502" w:rsidRDefault="00FD45A3">
            <w:pPr>
              <w:widowControl/>
              <w:tabs>
                <w:tab w:val="left" w:pos="377"/>
              </w:tabs>
              <w:jc w:val="center"/>
              <w:rPr>
                <w:szCs w:val="21"/>
              </w:rPr>
            </w:pPr>
            <w:r>
              <w:rPr>
                <w:szCs w:val="21"/>
              </w:rPr>
              <w:t>密度</w:t>
            </w:r>
            <w:r>
              <w:rPr>
                <w:szCs w:val="21"/>
              </w:rPr>
              <w:t>g/cm</w:t>
            </w:r>
            <w:r>
              <w:rPr>
                <w:szCs w:val="21"/>
                <w:vertAlign w:val="superscript"/>
              </w:rPr>
              <w:t>3</w:t>
            </w:r>
          </w:p>
        </w:tc>
        <w:tc>
          <w:tcPr>
            <w:tcW w:w="1184" w:type="pct"/>
            <w:vAlign w:val="center"/>
          </w:tcPr>
          <w:p w:rsidR="00EE4502" w:rsidRDefault="00FD45A3">
            <w:pPr>
              <w:widowControl/>
              <w:tabs>
                <w:tab w:val="left" w:pos="377"/>
              </w:tabs>
              <w:jc w:val="center"/>
              <w:rPr>
                <w:szCs w:val="21"/>
              </w:rPr>
            </w:pPr>
            <w:r>
              <w:rPr>
                <w:szCs w:val="21"/>
              </w:rPr>
              <w:t>1.05</w:t>
            </w:r>
            <w:r>
              <w:rPr>
                <w:rFonts w:hint="eastAsia"/>
                <w:szCs w:val="21"/>
              </w:rPr>
              <w:t>~</w:t>
            </w:r>
            <w:r>
              <w:rPr>
                <w:szCs w:val="21"/>
              </w:rPr>
              <w:t>1.10</w:t>
            </w:r>
          </w:p>
        </w:tc>
        <w:tc>
          <w:tcPr>
            <w:tcW w:w="1097" w:type="pct"/>
            <w:vAlign w:val="center"/>
          </w:tcPr>
          <w:p w:rsidR="00EE4502" w:rsidRDefault="00FD45A3">
            <w:pPr>
              <w:widowControl/>
              <w:tabs>
                <w:tab w:val="left" w:pos="377"/>
              </w:tabs>
              <w:jc w:val="center"/>
              <w:rPr>
                <w:szCs w:val="21"/>
              </w:rPr>
            </w:pPr>
            <w:r>
              <w:rPr>
                <w:szCs w:val="21"/>
              </w:rPr>
              <w:t>1.05</w:t>
            </w:r>
            <w:r>
              <w:rPr>
                <w:rFonts w:hint="eastAsia"/>
                <w:szCs w:val="21"/>
              </w:rPr>
              <w:t>~</w:t>
            </w:r>
            <w:r>
              <w:rPr>
                <w:szCs w:val="21"/>
              </w:rPr>
              <w:t>1.15</w:t>
            </w:r>
          </w:p>
        </w:tc>
        <w:tc>
          <w:tcPr>
            <w:tcW w:w="1278" w:type="pct"/>
            <w:vAlign w:val="center"/>
          </w:tcPr>
          <w:p w:rsidR="00EE4502" w:rsidRDefault="00FD45A3">
            <w:pPr>
              <w:widowControl/>
              <w:tabs>
                <w:tab w:val="left" w:pos="377"/>
              </w:tabs>
              <w:jc w:val="center"/>
              <w:rPr>
                <w:szCs w:val="21"/>
              </w:rPr>
            </w:pPr>
            <w:r>
              <w:rPr>
                <w:szCs w:val="21"/>
              </w:rPr>
              <w:t>1.03</w:t>
            </w:r>
            <w:r>
              <w:rPr>
                <w:rFonts w:hint="eastAsia"/>
                <w:szCs w:val="21"/>
              </w:rPr>
              <w:t>~</w:t>
            </w:r>
            <w:r>
              <w:rPr>
                <w:szCs w:val="21"/>
              </w:rPr>
              <w:t>1.08</w:t>
            </w:r>
          </w:p>
        </w:tc>
      </w:tr>
      <w:tr w:rsidR="00EE4502">
        <w:trPr>
          <w:cantSplit/>
          <w:trHeight w:val="397"/>
          <w:jc w:val="center"/>
        </w:trPr>
        <w:tc>
          <w:tcPr>
            <w:tcW w:w="1440" w:type="pct"/>
            <w:vAlign w:val="center"/>
          </w:tcPr>
          <w:p w:rsidR="00EE4502" w:rsidRDefault="00FD45A3">
            <w:pPr>
              <w:widowControl/>
              <w:tabs>
                <w:tab w:val="left" w:pos="377"/>
              </w:tabs>
              <w:jc w:val="center"/>
              <w:rPr>
                <w:szCs w:val="21"/>
              </w:rPr>
            </w:pPr>
            <w:r>
              <w:rPr>
                <w:szCs w:val="21"/>
              </w:rPr>
              <w:t>马氏漏斗黏度</w:t>
            </w:r>
            <w:r>
              <w:rPr>
                <w:szCs w:val="21"/>
              </w:rPr>
              <w:t>s</w:t>
            </w:r>
          </w:p>
        </w:tc>
        <w:tc>
          <w:tcPr>
            <w:tcW w:w="1184" w:type="pct"/>
            <w:vAlign w:val="center"/>
          </w:tcPr>
          <w:p w:rsidR="00EE4502" w:rsidRDefault="00FD45A3">
            <w:pPr>
              <w:widowControl/>
              <w:tabs>
                <w:tab w:val="left" w:pos="377"/>
              </w:tabs>
              <w:jc w:val="center"/>
              <w:rPr>
                <w:szCs w:val="21"/>
              </w:rPr>
            </w:pPr>
            <w:r>
              <w:rPr>
                <w:szCs w:val="21"/>
              </w:rPr>
              <w:t>30</w:t>
            </w:r>
            <w:r>
              <w:rPr>
                <w:rFonts w:hint="eastAsia"/>
                <w:szCs w:val="21"/>
              </w:rPr>
              <w:t>~</w:t>
            </w:r>
            <w:r>
              <w:rPr>
                <w:szCs w:val="21"/>
              </w:rPr>
              <w:t>40</w:t>
            </w:r>
          </w:p>
        </w:tc>
        <w:tc>
          <w:tcPr>
            <w:tcW w:w="1097" w:type="pct"/>
            <w:vAlign w:val="center"/>
          </w:tcPr>
          <w:p w:rsidR="00EE4502" w:rsidRDefault="00FD45A3">
            <w:pPr>
              <w:widowControl/>
              <w:tabs>
                <w:tab w:val="left" w:pos="377"/>
              </w:tabs>
              <w:jc w:val="center"/>
              <w:rPr>
                <w:szCs w:val="21"/>
              </w:rPr>
            </w:pPr>
            <w:r>
              <w:rPr>
                <w:szCs w:val="21"/>
              </w:rPr>
              <w:t>35</w:t>
            </w:r>
            <w:r>
              <w:rPr>
                <w:rFonts w:hint="eastAsia"/>
                <w:szCs w:val="21"/>
              </w:rPr>
              <w:t>~</w:t>
            </w:r>
            <w:r>
              <w:rPr>
                <w:szCs w:val="21"/>
              </w:rPr>
              <w:t>55</w:t>
            </w:r>
          </w:p>
        </w:tc>
        <w:tc>
          <w:tcPr>
            <w:tcW w:w="1278" w:type="pct"/>
            <w:vAlign w:val="center"/>
          </w:tcPr>
          <w:p w:rsidR="00EE4502" w:rsidRDefault="00FD45A3">
            <w:pPr>
              <w:widowControl/>
              <w:tabs>
                <w:tab w:val="left" w:pos="377"/>
              </w:tabs>
              <w:jc w:val="center"/>
              <w:rPr>
                <w:szCs w:val="21"/>
              </w:rPr>
            </w:pPr>
            <w:r>
              <w:rPr>
                <w:szCs w:val="21"/>
              </w:rPr>
              <w:t>40</w:t>
            </w:r>
            <w:r>
              <w:rPr>
                <w:rFonts w:hint="eastAsia"/>
                <w:szCs w:val="21"/>
              </w:rPr>
              <w:t>~</w:t>
            </w:r>
            <w:r>
              <w:rPr>
                <w:szCs w:val="21"/>
              </w:rPr>
              <w:t>50</w:t>
            </w:r>
          </w:p>
        </w:tc>
      </w:tr>
      <w:tr w:rsidR="00EE4502">
        <w:trPr>
          <w:cantSplit/>
          <w:trHeight w:val="397"/>
          <w:jc w:val="center"/>
        </w:trPr>
        <w:tc>
          <w:tcPr>
            <w:tcW w:w="1440" w:type="pct"/>
            <w:vAlign w:val="center"/>
          </w:tcPr>
          <w:p w:rsidR="00EE4502" w:rsidRDefault="00FD45A3">
            <w:pPr>
              <w:widowControl/>
              <w:tabs>
                <w:tab w:val="left" w:pos="377"/>
              </w:tabs>
              <w:jc w:val="center"/>
              <w:rPr>
                <w:szCs w:val="21"/>
              </w:rPr>
            </w:pPr>
            <w:r>
              <w:rPr>
                <w:szCs w:val="21"/>
              </w:rPr>
              <w:t>低温低压滤失量</w:t>
            </w:r>
            <w:r>
              <w:rPr>
                <w:szCs w:val="21"/>
              </w:rPr>
              <w:t>ml</w:t>
            </w:r>
          </w:p>
        </w:tc>
        <w:tc>
          <w:tcPr>
            <w:tcW w:w="1184" w:type="pct"/>
            <w:vAlign w:val="center"/>
          </w:tcPr>
          <w:p w:rsidR="00EE4502" w:rsidRDefault="00EE4502">
            <w:pPr>
              <w:widowControl/>
              <w:tabs>
                <w:tab w:val="left" w:pos="377"/>
              </w:tabs>
              <w:jc w:val="center"/>
              <w:rPr>
                <w:szCs w:val="21"/>
              </w:rPr>
            </w:pPr>
          </w:p>
        </w:tc>
        <w:tc>
          <w:tcPr>
            <w:tcW w:w="1097" w:type="pct"/>
            <w:vAlign w:val="center"/>
          </w:tcPr>
          <w:p w:rsidR="00EE4502" w:rsidRDefault="00FD45A3">
            <w:pPr>
              <w:widowControl/>
              <w:tabs>
                <w:tab w:val="left" w:pos="377"/>
              </w:tabs>
              <w:jc w:val="center"/>
              <w:rPr>
                <w:szCs w:val="21"/>
              </w:rPr>
            </w:pPr>
            <w:r>
              <w:rPr>
                <w:szCs w:val="21"/>
              </w:rPr>
              <w:t>↘5</w:t>
            </w:r>
          </w:p>
        </w:tc>
        <w:tc>
          <w:tcPr>
            <w:tcW w:w="1278" w:type="pct"/>
            <w:vAlign w:val="center"/>
          </w:tcPr>
          <w:p w:rsidR="00EE4502" w:rsidRDefault="00EE4502">
            <w:pPr>
              <w:widowControl/>
              <w:tabs>
                <w:tab w:val="left" w:pos="377"/>
              </w:tabs>
              <w:jc w:val="center"/>
              <w:rPr>
                <w:szCs w:val="21"/>
              </w:rPr>
            </w:pPr>
          </w:p>
        </w:tc>
      </w:tr>
      <w:tr w:rsidR="00EE4502">
        <w:trPr>
          <w:cantSplit/>
          <w:trHeight w:val="397"/>
          <w:jc w:val="center"/>
        </w:trPr>
        <w:tc>
          <w:tcPr>
            <w:tcW w:w="1440" w:type="pct"/>
            <w:vAlign w:val="center"/>
          </w:tcPr>
          <w:p w:rsidR="00EE4502" w:rsidRDefault="00FD45A3">
            <w:pPr>
              <w:widowControl/>
              <w:tabs>
                <w:tab w:val="left" w:pos="377"/>
              </w:tabs>
              <w:jc w:val="center"/>
              <w:rPr>
                <w:szCs w:val="21"/>
              </w:rPr>
            </w:pPr>
            <w:r>
              <w:rPr>
                <w:szCs w:val="21"/>
              </w:rPr>
              <w:t>低温低压滤饼厚度</w:t>
            </w:r>
            <w:r>
              <w:rPr>
                <w:szCs w:val="21"/>
              </w:rPr>
              <w:t>mm</w:t>
            </w:r>
          </w:p>
        </w:tc>
        <w:tc>
          <w:tcPr>
            <w:tcW w:w="1184" w:type="pct"/>
            <w:vAlign w:val="center"/>
          </w:tcPr>
          <w:p w:rsidR="00EE4502" w:rsidRDefault="00EE4502">
            <w:pPr>
              <w:widowControl/>
              <w:tabs>
                <w:tab w:val="left" w:pos="377"/>
              </w:tabs>
              <w:jc w:val="center"/>
              <w:rPr>
                <w:szCs w:val="21"/>
              </w:rPr>
            </w:pPr>
          </w:p>
        </w:tc>
        <w:tc>
          <w:tcPr>
            <w:tcW w:w="1097" w:type="pct"/>
            <w:vAlign w:val="center"/>
          </w:tcPr>
          <w:p w:rsidR="00EE4502" w:rsidRDefault="00FD45A3">
            <w:pPr>
              <w:widowControl/>
              <w:tabs>
                <w:tab w:val="left" w:pos="377"/>
              </w:tabs>
              <w:jc w:val="center"/>
              <w:rPr>
                <w:szCs w:val="21"/>
              </w:rPr>
            </w:pPr>
            <w:r>
              <w:rPr>
                <w:szCs w:val="21"/>
              </w:rPr>
              <w:t>↘0.5</w:t>
            </w:r>
          </w:p>
        </w:tc>
        <w:tc>
          <w:tcPr>
            <w:tcW w:w="1278" w:type="pct"/>
            <w:vAlign w:val="center"/>
          </w:tcPr>
          <w:p w:rsidR="00EE4502" w:rsidRDefault="00EE4502">
            <w:pPr>
              <w:widowControl/>
              <w:tabs>
                <w:tab w:val="left" w:pos="377"/>
              </w:tabs>
              <w:jc w:val="center"/>
              <w:rPr>
                <w:szCs w:val="21"/>
              </w:rPr>
            </w:pPr>
          </w:p>
        </w:tc>
      </w:tr>
      <w:tr w:rsidR="00EE4502">
        <w:trPr>
          <w:cantSplit/>
          <w:trHeight w:val="397"/>
          <w:jc w:val="center"/>
        </w:trPr>
        <w:tc>
          <w:tcPr>
            <w:tcW w:w="1440" w:type="pct"/>
            <w:vAlign w:val="center"/>
          </w:tcPr>
          <w:p w:rsidR="00EE4502" w:rsidRDefault="00FD45A3">
            <w:pPr>
              <w:widowControl/>
              <w:tabs>
                <w:tab w:val="left" w:pos="377"/>
              </w:tabs>
              <w:jc w:val="center"/>
              <w:rPr>
                <w:szCs w:val="21"/>
              </w:rPr>
            </w:pPr>
            <w:r>
              <w:rPr>
                <w:szCs w:val="21"/>
              </w:rPr>
              <w:t>静切力</w:t>
            </w:r>
            <w:r>
              <w:rPr>
                <w:szCs w:val="21"/>
              </w:rPr>
              <w:t>Pa</w:t>
            </w:r>
          </w:p>
        </w:tc>
        <w:tc>
          <w:tcPr>
            <w:tcW w:w="1184" w:type="pct"/>
            <w:vAlign w:val="center"/>
          </w:tcPr>
          <w:p w:rsidR="00EE4502" w:rsidRDefault="00EE4502">
            <w:pPr>
              <w:widowControl/>
              <w:tabs>
                <w:tab w:val="left" w:pos="377"/>
              </w:tabs>
              <w:jc w:val="center"/>
              <w:rPr>
                <w:szCs w:val="21"/>
              </w:rPr>
            </w:pPr>
          </w:p>
        </w:tc>
        <w:tc>
          <w:tcPr>
            <w:tcW w:w="1097" w:type="pct"/>
            <w:vAlign w:val="center"/>
          </w:tcPr>
          <w:p w:rsidR="00EE4502" w:rsidRDefault="00FD45A3">
            <w:pPr>
              <w:widowControl/>
              <w:tabs>
                <w:tab w:val="left" w:pos="377"/>
              </w:tabs>
              <w:jc w:val="center"/>
              <w:rPr>
                <w:szCs w:val="21"/>
              </w:rPr>
            </w:pPr>
            <w:r>
              <w:rPr>
                <w:szCs w:val="21"/>
              </w:rPr>
              <w:t>1</w:t>
            </w:r>
            <w:r>
              <w:rPr>
                <w:rFonts w:hint="eastAsia"/>
                <w:szCs w:val="21"/>
              </w:rPr>
              <w:t>~</w:t>
            </w:r>
            <w:r>
              <w:rPr>
                <w:szCs w:val="21"/>
              </w:rPr>
              <w:t>3/2</w:t>
            </w:r>
            <w:r>
              <w:rPr>
                <w:rFonts w:hint="eastAsia"/>
                <w:szCs w:val="21"/>
              </w:rPr>
              <w:t>~</w:t>
            </w:r>
            <w:r>
              <w:rPr>
                <w:szCs w:val="21"/>
              </w:rPr>
              <w:t>8</w:t>
            </w:r>
          </w:p>
        </w:tc>
        <w:tc>
          <w:tcPr>
            <w:tcW w:w="1278" w:type="pct"/>
            <w:vAlign w:val="center"/>
          </w:tcPr>
          <w:p w:rsidR="00EE4502" w:rsidRDefault="00EE4502">
            <w:pPr>
              <w:widowControl/>
              <w:tabs>
                <w:tab w:val="left" w:pos="377"/>
              </w:tabs>
              <w:jc w:val="center"/>
              <w:rPr>
                <w:szCs w:val="21"/>
              </w:rPr>
            </w:pPr>
          </w:p>
        </w:tc>
      </w:tr>
      <w:tr w:rsidR="00EE4502">
        <w:trPr>
          <w:cantSplit/>
          <w:trHeight w:val="397"/>
          <w:jc w:val="center"/>
        </w:trPr>
        <w:tc>
          <w:tcPr>
            <w:tcW w:w="1440" w:type="pct"/>
            <w:vAlign w:val="center"/>
          </w:tcPr>
          <w:p w:rsidR="00EE4502" w:rsidRDefault="00FD45A3">
            <w:pPr>
              <w:widowControl/>
              <w:tabs>
                <w:tab w:val="left" w:pos="377"/>
              </w:tabs>
              <w:jc w:val="center"/>
              <w:rPr>
                <w:szCs w:val="21"/>
              </w:rPr>
            </w:pPr>
            <w:r>
              <w:rPr>
                <w:szCs w:val="21"/>
              </w:rPr>
              <w:t>pH</w:t>
            </w:r>
            <w:r>
              <w:rPr>
                <w:szCs w:val="21"/>
              </w:rPr>
              <w:t>值</w:t>
            </w:r>
          </w:p>
        </w:tc>
        <w:tc>
          <w:tcPr>
            <w:tcW w:w="1184" w:type="pct"/>
            <w:vAlign w:val="center"/>
          </w:tcPr>
          <w:p w:rsidR="00EE4502" w:rsidRDefault="00EE4502">
            <w:pPr>
              <w:widowControl/>
              <w:tabs>
                <w:tab w:val="left" w:pos="377"/>
              </w:tabs>
              <w:jc w:val="center"/>
              <w:rPr>
                <w:szCs w:val="21"/>
              </w:rPr>
            </w:pPr>
          </w:p>
        </w:tc>
        <w:tc>
          <w:tcPr>
            <w:tcW w:w="1097" w:type="pct"/>
            <w:vAlign w:val="center"/>
          </w:tcPr>
          <w:p w:rsidR="00EE4502" w:rsidRDefault="00FD45A3">
            <w:pPr>
              <w:widowControl/>
              <w:tabs>
                <w:tab w:val="left" w:pos="377"/>
              </w:tabs>
              <w:jc w:val="center"/>
              <w:rPr>
                <w:szCs w:val="21"/>
              </w:rPr>
            </w:pPr>
            <w:r>
              <w:rPr>
                <w:szCs w:val="21"/>
              </w:rPr>
              <w:t>8</w:t>
            </w:r>
            <w:r>
              <w:rPr>
                <w:rFonts w:hint="eastAsia"/>
                <w:szCs w:val="21"/>
              </w:rPr>
              <w:t>~</w:t>
            </w:r>
            <w:r>
              <w:rPr>
                <w:szCs w:val="21"/>
              </w:rPr>
              <w:t>9</w:t>
            </w:r>
          </w:p>
        </w:tc>
        <w:tc>
          <w:tcPr>
            <w:tcW w:w="1278" w:type="pct"/>
            <w:vAlign w:val="center"/>
          </w:tcPr>
          <w:p w:rsidR="00EE4502" w:rsidRDefault="00EE4502">
            <w:pPr>
              <w:widowControl/>
              <w:tabs>
                <w:tab w:val="left" w:pos="377"/>
              </w:tabs>
              <w:jc w:val="center"/>
              <w:rPr>
                <w:szCs w:val="21"/>
              </w:rPr>
            </w:pPr>
          </w:p>
        </w:tc>
      </w:tr>
      <w:tr w:rsidR="00EE4502">
        <w:trPr>
          <w:cantSplit/>
          <w:trHeight w:val="397"/>
          <w:jc w:val="center"/>
        </w:trPr>
        <w:tc>
          <w:tcPr>
            <w:tcW w:w="1440" w:type="pct"/>
            <w:vAlign w:val="center"/>
          </w:tcPr>
          <w:p w:rsidR="00EE4502" w:rsidRDefault="00FD45A3">
            <w:pPr>
              <w:widowControl/>
              <w:tabs>
                <w:tab w:val="left" w:pos="377"/>
              </w:tabs>
              <w:jc w:val="center"/>
              <w:rPr>
                <w:szCs w:val="21"/>
              </w:rPr>
            </w:pPr>
            <w:r>
              <w:rPr>
                <w:szCs w:val="21"/>
              </w:rPr>
              <w:t>含砂量％</w:t>
            </w:r>
          </w:p>
        </w:tc>
        <w:tc>
          <w:tcPr>
            <w:tcW w:w="1184" w:type="pct"/>
            <w:vAlign w:val="center"/>
          </w:tcPr>
          <w:p w:rsidR="00EE4502" w:rsidRDefault="00EE4502">
            <w:pPr>
              <w:widowControl/>
              <w:tabs>
                <w:tab w:val="left" w:pos="377"/>
              </w:tabs>
              <w:jc w:val="center"/>
              <w:rPr>
                <w:szCs w:val="21"/>
              </w:rPr>
            </w:pPr>
          </w:p>
        </w:tc>
        <w:tc>
          <w:tcPr>
            <w:tcW w:w="1097" w:type="pct"/>
            <w:vAlign w:val="center"/>
          </w:tcPr>
          <w:p w:rsidR="00EE4502" w:rsidRDefault="00FD45A3">
            <w:pPr>
              <w:widowControl/>
              <w:tabs>
                <w:tab w:val="left" w:pos="377"/>
              </w:tabs>
              <w:jc w:val="center"/>
              <w:rPr>
                <w:szCs w:val="21"/>
              </w:rPr>
            </w:pPr>
            <w:r>
              <w:rPr>
                <w:rFonts w:hint="eastAsia"/>
                <w:szCs w:val="21"/>
              </w:rPr>
              <w:t>&lt;</w:t>
            </w:r>
            <w:r>
              <w:rPr>
                <w:szCs w:val="21"/>
              </w:rPr>
              <w:t>0.5</w:t>
            </w:r>
          </w:p>
        </w:tc>
        <w:tc>
          <w:tcPr>
            <w:tcW w:w="1278" w:type="pct"/>
            <w:vAlign w:val="center"/>
          </w:tcPr>
          <w:p w:rsidR="00EE4502" w:rsidRDefault="00EE4502">
            <w:pPr>
              <w:widowControl/>
              <w:tabs>
                <w:tab w:val="left" w:pos="377"/>
              </w:tabs>
              <w:jc w:val="center"/>
              <w:rPr>
                <w:szCs w:val="21"/>
              </w:rPr>
            </w:pPr>
          </w:p>
        </w:tc>
      </w:tr>
      <w:tr w:rsidR="00EE4502">
        <w:trPr>
          <w:cantSplit/>
          <w:trHeight w:val="397"/>
          <w:jc w:val="center"/>
        </w:trPr>
        <w:tc>
          <w:tcPr>
            <w:tcW w:w="1440" w:type="pct"/>
            <w:vAlign w:val="center"/>
          </w:tcPr>
          <w:p w:rsidR="00EE4502" w:rsidRDefault="00FD45A3">
            <w:pPr>
              <w:widowControl/>
              <w:tabs>
                <w:tab w:val="left" w:pos="377"/>
              </w:tabs>
              <w:jc w:val="center"/>
              <w:rPr>
                <w:szCs w:val="21"/>
              </w:rPr>
            </w:pPr>
            <w:r>
              <w:rPr>
                <w:szCs w:val="21"/>
              </w:rPr>
              <w:t>总固含％</w:t>
            </w:r>
          </w:p>
        </w:tc>
        <w:tc>
          <w:tcPr>
            <w:tcW w:w="1184" w:type="pct"/>
            <w:vAlign w:val="center"/>
          </w:tcPr>
          <w:p w:rsidR="00EE4502" w:rsidRDefault="00EE4502">
            <w:pPr>
              <w:widowControl/>
              <w:tabs>
                <w:tab w:val="left" w:pos="377"/>
              </w:tabs>
              <w:jc w:val="center"/>
              <w:rPr>
                <w:szCs w:val="21"/>
              </w:rPr>
            </w:pPr>
          </w:p>
        </w:tc>
        <w:tc>
          <w:tcPr>
            <w:tcW w:w="1097" w:type="pct"/>
            <w:vAlign w:val="center"/>
          </w:tcPr>
          <w:p w:rsidR="00EE4502" w:rsidRDefault="00FD45A3">
            <w:pPr>
              <w:widowControl/>
              <w:tabs>
                <w:tab w:val="left" w:pos="377"/>
              </w:tabs>
              <w:jc w:val="center"/>
              <w:rPr>
                <w:szCs w:val="21"/>
              </w:rPr>
            </w:pPr>
            <w:r>
              <w:rPr>
                <w:rFonts w:hint="eastAsia"/>
                <w:szCs w:val="21"/>
              </w:rPr>
              <w:t>&lt;</w:t>
            </w:r>
            <w:r>
              <w:rPr>
                <w:szCs w:val="21"/>
              </w:rPr>
              <w:t>10</w:t>
            </w:r>
          </w:p>
        </w:tc>
        <w:tc>
          <w:tcPr>
            <w:tcW w:w="1278" w:type="pct"/>
            <w:vAlign w:val="center"/>
          </w:tcPr>
          <w:p w:rsidR="00EE4502" w:rsidRDefault="00EE4502">
            <w:pPr>
              <w:widowControl/>
              <w:tabs>
                <w:tab w:val="left" w:pos="377"/>
              </w:tabs>
              <w:jc w:val="center"/>
              <w:rPr>
                <w:szCs w:val="21"/>
              </w:rPr>
            </w:pPr>
          </w:p>
        </w:tc>
      </w:tr>
      <w:tr w:rsidR="00EE4502">
        <w:trPr>
          <w:cantSplit/>
          <w:trHeight w:val="397"/>
          <w:jc w:val="center"/>
        </w:trPr>
        <w:tc>
          <w:tcPr>
            <w:tcW w:w="1440" w:type="pct"/>
            <w:vAlign w:val="center"/>
          </w:tcPr>
          <w:p w:rsidR="00EE4502" w:rsidRDefault="00FD45A3">
            <w:pPr>
              <w:widowControl/>
              <w:tabs>
                <w:tab w:val="left" w:pos="377"/>
              </w:tabs>
              <w:jc w:val="center"/>
              <w:rPr>
                <w:szCs w:val="21"/>
              </w:rPr>
            </w:pPr>
            <w:r>
              <w:rPr>
                <w:szCs w:val="21"/>
              </w:rPr>
              <w:t>摩阻系数</w:t>
            </w:r>
          </w:p>
        </w:tc>
        <w:tc>
          <w:tcPr>
            <w:tcW w:w="1184" w:type="pct"/>
            <w:vAlign w:val="center"/>
          </w:tcPr>
          <w:p w:rsidR="00EE4502" w:rsidRDefault="00EE4502">
            <w:pPr>
              <w:widowControl/>
              <w:tabs>
                <w:tab w:val="left" w:pos="377"/>
              </w:tabs>
              <w:jc w:val="center"/>
              <w:rPr>
                <w:szCs w:val="21"/>
              </w:rPr>
            </w:pPr>
          </w:p>
        </w:tc>
        <w:tc>
          <w:tcPr>
            <w:tcW w:w="1097" w:type="pct"/>
            <w:vAlign w:val="center"/>
          </w:tcPr>
          <w:p w:rsidR="00EE4502" w:rsidRDefault="00FD45A3">
            <w:pPr>
              <w:widowControl/>
              <w:tabs>
                <w:tab w:val="left" w:pos="377"/>
              </w:tabs>
              <w:jc w:val="center"/>
              <w:rPr>
                <w:szCs w:val="21"/>
              </w:rPr>
            </w:pPr>
            <w:r>
              <w:rPr>
                <w:szCs w:val="21"/>
              </w:rPr>
              <w:t>↘0.05</w:t>
            </w:r>
          </w:p>
        </w:tc>
        <w:tc>
          <w:tcPr>
            <w:tcW w:w="1278" w:type="pct"/>
            <w:vAlign w:val="center"/>
          </w:tcPr>
          <w:p w:rsidR="00EE4502" w:rsidRDefault="00EE4502">
            <w:pPr>
              <w:widowControl/>
              <w:tabs>
                <w:tab w:val="left" w:pos="377"/>
              </w:tabs>
              <w:jc w:val="center"/>
              <w:rPr>
                <w:szCs w:val="21"/>
              </w:rPr>
            </w:pPr>
          </w:p>
        </w:tc>
      </w:tr>
      <w:tr w:rsidR="00EE4502">
        <w:trPr>
          <w:cantSplit/>
          <w:trHeight w:val="397"/>
          <w:jc w:val="center"/>
        </w:trPr>
        <w:tc>
          <w:tcPr>
            <w:tcW w:w="1440" w:type="pct"/>
            <w:vAlign w:val="center"/>
          </w:tcPr>
          <w:p w:rsidR="00EE4502" w:rsidRDefault="00FD45A3">
            <w:pPr>
              <w:widowControl/>
              <w:tabs>
                <w:tab w:val="left" w:pos="377"/>
              </w:tabs>
              <w:jc w:val="center"/>
              <w:rPr>
                <w:szCs w:val="21"/>
              </w:rPr>
            </w:pPr>
            <w:r>
              <w:rPr>
                <w:szCs w:val="21"/>
              </w:rPr>
              <w:t>动切力</w:t>
            </w:r>
            <w:r>
              <w:rPr>
                <w:szCs w:val="21"/>
              </w:rPr>
              <w:t>Pa</w:t>
            </w:r>
          </w:p>
        </w:tc>
        <w:tc>
          <w:tcPr>
            <w:tcW w:w="1184" w:type="pct"/>
            <w:vAlign w:val="center"/>
          </w:tcPr>
          <w:p w:rsidR="00EE4502" w:rsidRDefault="00EE4502">
            <w:pPr>
              <w:widowControl/>
              <w:tabs>
                <w:tab w:val="left" w:pos="377"/>
              </w:tabs>
              <w:jc w:val="center"/>
              <w:rPr>
                <w:szCs w:val="21"/>
              </w:rPr>
            </w:pPr>
          </w:p>
        </w:tc>
        <w:tc>
          <w:tcPr>
            <w:tcW w:w="1097" w:type="pct"/>
            <w:vAlign w:val="center"/>
          </w:tcPr>
          <w:p w:rsidR="00EE4502" w:rsidRDefault="00FD45A3">
            <w:pPr>
              <w:widowControl/>
              <w:tabs>
                <w:tab w:val="left" w:pos="377"/>
              </w:tabs>
              <w:jc w:val="center"/>
              <w:rPr>
                <w:szCs w:val="21"/>
              </w:rPr>
            </w:pPr>
            <w:r>
              <w:rPr>
                <w:szCs w:val="21"/>
              </w:rPr>
              <w:t>4</w:t>
            </w:r>
            <w:r>
              <w:rPr>
                <w:rFonts w:hint="eastAsia"/>
                <w:szCs w:val="21"/>
              </w:rPr>
              <w:t>~</w:t>
            </w:r>
            <w:r>
              <w:rPr>
                <w:szCs w:val="21"/>
              </w:rPr>
              <w:t>10</w:t>
            </w:r>
          </w:p>
        </w:tc>
        <w:tc>
          <w:tcPr>
            <w:tcW w:w="1278" w:type="pct"/>
            <w:vAlign w:val="center"/>
          </w:tcPr>
          <w:p w:rsidR="00EE4502" w:rsidRDefault="00EE4502">
            <w:pPr>
              <w:widowControl/>
              <w:tabs>
                <w:tab w:val="left" w:pos="377"/>
              </w:tabs>
              <w:jc w:val="center"/>
              <w:rPr>
                <w:szCs w:val="21"/>
              </w:rPr>
            </w:pPr>
          </w:p>
        </w:tc>
      </w:tr>
      <w:tr w:rsidR="00EE4502">
        <w:trPr>
          <w:cantSplit/>
          <w:trHeight w:val="397"/>
          <w:jc w:val="center"/>
        </w:trPr>
        <w:tc>
          <w:tcPr>
            <w:tcW w:w="1440" w:type="pct"/>
            <w:vAlign w:val="center"/>
          </w:tcPr>
          <w:p w:rsidR="00EE4502" w:rsidRDefault="00FD45A3">
            <w:pPr>
              <w:widowControl/>
              <w:tabs>
                <w:tab w:val="left" w:pos="377"/>
              </w:tabs>
              <w:jc w:val="center"/>
              <w:rPr>
                <w:szCs w:val="21"/>
              </w:rPr>
            </w:pPr>
            <w:r>
              <w:rPr>
                <w:szCs w:val="21"/>
              </w:rPr>
              <w:t>塑性黏度</w:t>
            </w:r>
            <w:r>
              <w:rPr>
                <w:szCs w:val="21"/>
              </w:rPr>
              <w:t>mPa·s</w:t>
            </w:r>
          </w:p>
        </w:tc>
        <w:tc>
          <w:tcPr>
            <w:tcW w:w="1184" w:type="pct"/>
            <w:vAlign w:val="center"/>
          </w:tcPr>
          <w:p w:rsidR="00EE4502" w:rsidRDefault="00EE4502">
            <w:pPr>
              <w:widowControl/>
              <w:tabs>
                <w:tab w:val="left" w:pos="377"/>
              </w:tabs>
              <w:jc w:val="center"/>
              <w:rPr>
                <w:szCs w:val="21"/>
              </w:rPr>
            </w:pPr>
          </w:p>
        </w:tc>
        <w:tc>
          <w:tcPr>
            <w:tcW w:w="1097" w:type="pct"/>
            <w:vAlign w:val="center"/>
          </w:tcPr>
          <w:p w:rsidR="00EE4502" w:rsidRDefault="00FD45A3">
            <w:pPr>
              <w:widowControl/>
              <w:tabs>
                <w:tab w:val="left" w:pos="377"/>
              </w:tabs>
              <w:jc w:val="center"/>
              <w:rPr>
                <w:szCs w:val="21"/>
              </w:rPr>
            </w:pPr>
            <w:r>
              <w:rPr>
                <w:szCs w:val="21"/>
              </w:rPr>
              <w:t>8</w:t>
            </w:r>
            <w:r>
              <w:rPr>
                <w:rFonts w:hint="eastAsia"/>
                <w:szCs w:val="21"/>
              </w:rPr>
              <w:t>~</w:t>
            </w:r>
            <w:r>
              <w:rPr>
                <w:szCs w:val="21"/>
              </w:rPr>
              <w:t>20</w:t>
            </w:r>
          </w:p>
        </w:tc>
        <w:tc>
          <w:tcPr>
            <w:tcW w:w="1278" w:type="pct"/>
            <w:vAlign w:val="center"/>
          </w:tcPr>
          <w:p w:rsidR="00EE4502" w:rsidRDefault="00EE4502">
            <w:pPr>
              <w:widowControl/>
              <w:tabs>
                <w:tab w:val="left" w:pos="377"/>
              </w:tabs>
              <w:jc w:val="center"/>
              <w:rPr>
                <w:szCs w:val="21"/>
              </w:rPr>
            </w:pPr>
          </w:p>
        </w:tc>
      </w:tr>
    </w:tbl>
    <w:p w:rsidR="00EE4502" w:rsidRDefault="00FD45A3">
      <w:pPr>
        <w:spacing w:line="360" w:lineRule="auto"/>
        <w:jc w:val="left"/>
        <w:rPr>
          <w:rFonts w:eastAsia="黑体"/>
          <w:bCs/>
          <w:lang w:val="zh-CN"/>
        </w:rPr>
      </w:pPr>
      <w:r>
        <w:rPr>
          <w:rFonts w:eastAsia="仿宋"/>
          <w:szCs w:val="21"/>
        </w:rPr>
        <w:t>注：钻井液性能应根据实际情况进行调整。</w:t>
      </w:r>
    </w:p>
    <w:p w:rsidR="00EE4502" w:rsidRDefault="00FD45A3">
      <w:pPr>
        <w:spacing w:line="360" w:lineRule="auto"/>
        <w:jc w:val="center"/>
        <w:rPr>
          <w:rFonts w:eastAsia="黑体"/>
          <w:bCs/>
          <w:lang w:val="zh-CN"/>
        </w:rPr>
      </w:pPr>
      <w:r>
        <w:rPr>
          <w:rFonts w:eastAsia="黑体" w:hint="eastAsia"/>
          <w:bCs/>
          <w:lang w:val="zh-CN"/>
        </w:rPr>
        <w:t>表</w:t>
      </w:r>
      <w:r>
        <w:rPr>
          <w:rFonts w:eastAsia="黑体" w:hint="eastAsia"/>
          <w:bCs/>
          <w:lang w:val="zh-CN"/>
        </w:rPr>
        <w:t>3-3-1</w:t>
      </w:r>
      <w:r>
        <w:rPr>
          <w:rFonts w:eastAsia="黑体" w:hint="eastAsia"/>
          <w:bCs/>
        </w:rPr>
        <w:t>4</w:t>
      </w:r>
      <w:r>
        <w:rPr>
          <w:rFonts w:eastAsia="黑体" w:hint="eastAsia"/>
          <w:bCs/>
          <w:lang w:val="zh-CN"/>
        </w:rPr>
        <w:t xml:space="preserve">   </w:t>
      </w:r>
      <w:r>
        <w:rPr>
          <w:rFonts w:eastAsia="黑体" w:hint="eastAsia"/>
          <w:bCs/>
          <w:lang w:val="zh-CN"/>
        </w:rPr>
        <w:t>定向井和直井钻井液主要性能与流变参数</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2019"/>
        <w:gridCol w:w="1869"/>
        <w:gridCol w:w="2176"/>
      </w:tblGrid>
      <w:tr w:rsidR="00EE4502">
        <w:trPr>
          <w:cantSplit/>
          <w:trHeight w:val="397"/>
          <w:tblHeader/>
          <w:jc w:val="center"/>
        </w:trPr>
        <w:tc>
          <w:tcPr>
            <w:tcW w:w="1441" w:type="pct"/>
            <w:vMerge w:val="restart"/>
            <w:vAlign w:val="center"/>
          </w:tcPr>
          <w:p w:rsidR="00EE4502" w:rsidRDefault="00FD45A3">
            <w:pPr>
              <w:widowControl/>
              <w:tabs>
                <w:tab w:val="left" w:pos="377"/>
              </w:tabs>
              <w:jc w:val="center"/>
              <w:rPr>
                <w:szCs w:val="21"/>
              </w:rPr>
            </w:pPr>
            <w:r>
              <w:rPr>
                <w:rFonts w:hint="eastAsia"/>
                <w:szCs w:val="21"/>
              </w:rPr>
              <w:t>项目</w:t>
            </w:r>
          </w:p>
        </w:tc>
        <w:tc>
          <w:tcPr>
            <w:tcW w:w="3558" w:type="pct"/>
            <w:gridSpan w:val="3"/>
            <w:vAlign w:val="center"/>
          </w:tcPr>
          <w:p w:rsidR="00EE4502" w:rsidRDefault="00FD45A3">
            <w:pPr>
              <w:widowControl/>
              <w:tabs>
                <w:tab w:val="left" w:pos="377"/>
              </w:tabs>
              <w:jc w:val="center"/>
              <w:rPr>
                <w:szCs w:val="21"/>
              </w:rPr>
            </w:pPr>
            <w:r>
              <w:rPr>
                <w:rFonts w:hint="eastAsia"/>
                <w:szCs w:val="21"/>
              </w:rPr>
              <w:t>性能指标</w:t>
            </w:r>
          </w:p>
        </w:tc>
      </w:tr>
      <w:tr w:rsidR="00EE4502">
        <w:trPr>
          <w:cantSplit/>
          <w:trHeight w:val="397"/>
          <w:tblHeader/>
          <w:jc w:val="center"/>
        </w:trPr>
        <w:tc>
          <w:tcPr>
            <w:tcW w:w="1441" w:type="pct"/>
            <w:vMerge/>
            <w:vAlign w:val="center"/>
          </w:tcPr>
          <w:p w:rsidR="00EE4502" w:rsidRDefault="00EE4502">
            <w:pPr>
              <w:widowControl/>
              <w:tabs>
                <w:tab w:val="left" w:pos="377"/>
              </w:tabs>
              <w:jc w:val="center"/>
              <w:rPr>
                <w:szCs w:val="21"/>
              </w:rPr>
            </w:pPr>
          </w:p>
        </w:tc>
        <w:tc>
          <w:tcPr>
            <w:tcW w:w="1184" w:type="pct"/>
            <w:vAlign w:val="center"/>
          </w:tcPr>
          <w:p w:rsidR="00EE4502" w:rsidRDefault="00FD45A3">
            <w:pPr>
              <w:widowControl/>
              <w:tabs>
                <w:tab w:val="left" w:pos="377"/>
              </w:tabs>
              <w:jc w:val="center"/>
              <w:rPr>
                <w:szCs w:val="21"/>
              </w:rPr>
            </w:pPr>
            <w:r>
              <w:rPr>
                <w:rFonts w:hint="eastAsia"/>
                <w:szCs w:val="21"/>
              </w:rPr>
              <w:t>一开</w:t>
            </w:r>
          </w:p>
        </w:tc>
        <w:tc>
          <w:tcPr>
            <w:tcW w:w="1097" w:type="pct"/>
            <w:vAlign w:val="center"/>
          </w:tcPr>
          <w:p w:rsidR="00EE4502" w:rsidRDefault="00FD45A3">
            <w:pPr>
              <w:widowControl/>
              <w:tabs>
                <w:tab w:val="left" w:pos="377"/>
              </w:tabs>
              <w:jc w:val="center"/>
              <w:rPr>
                <w:szCs w:val="21"/>
              </w:rPr>
            </w:pPr>
            <w:r>
              <w:rPr>
                <w:rFonts w:hint="eastAsia"/>
                <w:szCs w:val="21"/>
              </w:rPr>
              <w:t>二开目的层前</w:t>
            </w:r>
          </w:p>
        </w:tc>
        <w:tc>
          <w:tcPr>
            <w:tcW w:w="1276" w:type="pct"/>
            <w:vAlign w:val="center"/>
          </w:tcPr>
          <w:p w:rsidR="00EE4502" w:rsidRDefault="00FD45A3">
            <w:pPr>
              <w:widowControl/>
              <w:tabs>
                <w:tab w:val="left" w:pos="377"/>
              </w:tabs>
              <w:jc w:val="center"/>
              <w:rPr>
                <w:szCs w:val="21"/>
              </w:rPr>
            </w:pPr>
            <w:r>
              <w:rPr>
                <w:rFonts w:hint="eastAsia"/>
                <w:szCs w:val="21"/>
              </w:rPr>
              <w:t>目的层段</w:t>
            </w:r>
          </w:p>
        </w:tc>
      </w:tr>
      <w:tr w:rsidR="00EE4502">
        <w:trPr>
          <w:cantSplit/>
          <w:trHeight w:val="397"/>
          <w:jc w:val="center"/>
        </w:trPr>
        <w:tc>
          <w:tcPr>
            <w:tcW w:w="1441" w:type="pct"/>
            <w:vAlign w:val="center"/>
          </w:tcPr>
          <w:p w:rsidR="00EE4502" w:rsidRDefault="00FD45A3">
            <w:pPr>
              <w:widowControl/>
              <w:tabs>
                <w:tab w:val="left" w:pos="377"/>
              </w:tabs>
              <w:jc w:val="center"/>
              <w:rPr>
                <w:szCs w:val="21"/>
              </w:rPr>
            </w:pPr>
            <w:r>
              <w:rPr>
                <w:rFonts w:hint="eastAsia"/>
                <w:szCs w:val="21"/>
              </w:rPr>
              <w:t>密度</w:t>
            </w:r>
            <w:r>
              <w:rPr>
                <w:rFonts w:hint="eastAsia"/>
                <w:szCs w:val="21"/>
              </w:rPr>
              <w:t>g/cm</w:t>
            </w:r>
            <w:r>
              <w:rPr>
                <w:rFonts w:hint="eastAsia"/>
                <w:szCs w:val="21"/>
                <w:vertAlign w:val="superscript"/>
              </w:rPr>
              <w:t>3</w:t>
            </w:r>
          </w:p>
        </w:tc>
        <w:tc>
          <w:tcPr>
            <w:tcW w:w="1184" w:type="pct"/>
            <w:vAlign w:val="center"/>
          </w:tcPr>
          <w:p w:rsidR="00EE4502" w:rsidRDefault="00FD45A3">
            <w:pPr>
              <w:widowControl/>
              <w:tabs>
                <w:tab w:val="left" w:pos="377"/>
              </w:tabs>
              <w:jc w:val="center"/>
              <w:rPr>
                <w:szCs w:val="21"/>
              </w:rPr>
            </w:pPr>
            <w:r>
              <w:rPr>
                <w:rFonts w:hint="eastAsia"/>
                <w:szCs w:val="21"/>
              </w:rPr>
              <w:t>1.05</w:t>
            </w:r>
            <w:r>
              <w:rPr>
                <w:rFonts w:hint="eastAsia"/>
                <w:szCs w:val="21"/>
              </w:rPr>
              <w:t>~</w:t>
            </w:r>
            <w:r>
              <w:rPr>
                <w:rFonts w:hint="eastAsia"/>
                <w:szCs w:val="21"/>
              </w:rPr>
              <w:t>1.10</w:t>
            </w:r>
          </w:p>
        </w:tc>
        <w:tc>
          <w:tcPr>
            <w:tcW w:w="1097" w:type="pct"/>
            <w:vAlign w:val="center"/>
          </w:tcPr>
          <w:p w:rsidR="00EE4502" w:rsidRDefault="00FD45A3">
            <w:pPr>
              <w:widowControl/>
              <w:tabs>
                <w:tab w:val="left" w:pos="377"/>
              </w:tabs>
              <w:jc w:val="center"/>
              <w:rPr>
                <w:szCs w:val="21"/>
              </w:rPr>
            </w:pPr>
            <w:r>
              <w:rPr>
                <w:rFonts w:hint="eastAsia"/>
                <w:szCs w:val="21"/>
              </w:rPr>
              <w:t>1.05</w:t>
            </w:r>
            <w:r>
              <w:rPr>
                <w:rFonts w:hint="eastAsia"/>
                <w:szCs w:val="21"/>
              </w:rPr>
              <w:t>~</w:t>
            </w:r>
            <w:r>
              <w:rPr>
                <w:rFonts w:hint="eastAsia"/>
                <w:szCs w:val="21"/>
              </w:rPr>
              <w:t>1.10</w:t>
            </w:r>
          </w:p>
        </w:tc>
        <w:tc>
          <w:tcPr>
            <w:tcW w:w="1276" w:type="pct"/>
            <w:vAlign w:val="center"/>
          </w:tcPr>
          <w:p w:rsidR="00EE4502" w:rsidRDefault="00FD45A3">
            <w:pPr>
              <w:widowControl/>
              <w:tabs>
                <w:tab w:val="left" w:pos="377"/>
              </w:tabs>
              <w:jc w:val="center"/>
              <w:rPr>
                <w:szCs w:val="21"/>
              </w:rPr>
            </w:pPr>
            <w:r>
              <w:rPr>
                <w:rFonts w:hint="eastAsia"/>
                <w:szCs w:val="21"/>
              </w:rPr>
              <w:t>1.08</w:t>
            </w:r>
            <w:r>
              <w:rPr>
                <w:rFonts w:hint="eastAsia"/>
                <w:szCs w:val="21"/>
              </w:rPr>
              <w:t>~</w:t>
            </w:r>
            <w:r>
              <w:rPr>
                <w:rFonts w:hint="eastAsia"/>
                <w:szCs w:val="21"/>
              </w:rPr>
              <w:t>1.15</w:t>
            </w:r>
          </w:p>
        </w:tc>
      </w:tr>
      <w:tr w:rsidR="00EE4502">
        <w:trPr>
          <w:cantSplit/>
          <w:trHeight w:val="397"/>
          <w:jc w:val="center"/>
        </w:trPr>
        <w:tc>
          <w:tcPr>
            <w:tcW w:w="1441" w:type="pct"/>
            <w:vAlign w:val="center"/>
          </w:tcPr>
          <w:p w:rsidR="00EE4502" w:rsidRDefault="00FD45A3">
            <w:pPr>
              <w:widowControl/>
              <w:tabs>
                <w:tab w:val="left" w:pos="377"/>
              </w:tabs>
              <w:jc w:val="center"/>
              <w:rPr>
                <w:szCs w:val="21"/>
              </w:rPr>
            </w:pPr>
            <w:r>
              <w:rPr>
                <w:rFonts w:hint="eastAsia"/>
                <w:szCs w:val="21"/>
              </w:rPr>
              <w:t>马氏漏斗黏度</w:t>
            </w:r>
            <w:r>
              <w:rPr>
                <w:rFonts w:hint="eastAsia"/>
                <w:szCs w:val="21"/>
              </w:rPr>
              <w:t>s</w:t>
            </w:r>
          </w:p>
        </w:tc>
        <w:tc>
          <w:tcPr>
            <w:tcW w:w="1184" w:type="pct"/>
            <w:vAlign w:val="center"/>
          </w:tcPr>
          <w:p w:rsidR="00EE4502" w:rsidRDefault="00FD45A3">
            <w:pPr>
              <w:widowControl/>
              <w:tabs>
                <w:tab w:val="left" w:pos="377"/>
              </w:tabs>
              <w:jc w:val="center"/>
              <w:rPr>
                <w:szCs w:val="21"/>
              </w:rPr>
            </w:pPr>
            <w:r>
              <w:rPr>
                <w:rFonts w:hint="eastAsia"/>
                <w:szCs w:val="21"/>
              </w:rPr>
              <w:t>30</w:t>
            </w:r>
            <w:r>
              <w:rPr>
                <w:rFonts w:hint="eastAsia"/>
                <w:szCs w:val="21"/>
              </w:rPr>
              <w:t>~</w:t>
            </w:r>
            <w:r>
              <w:rPr>
                <w:rFonts w:hint="eastAsia"/>
                <w:szCs w:val="21"/>
              </w:rPr>
              <w:t>40</w:t>
            </w:r>
          </w:p>
        </w:tc>
        <w:tc>
          <w:tcPr>
            <w:tcW w:w="1097" w:type="pct"/>
            <w:vAlign w:val="center"/>
          </w:tcPr>
          <w:p w:rsidR="00EE4502" w:rsidRDefault="00FD45A3">
            <w:pPr>
              <w:widowControl/>
              <w:tabs>
                <w:tab w:val="left" w:pos="377"/>
              </w:tabs>
              <w:jc w:val="center"/>
              <w:rPr>
                <w:szCs w:val="21"/>
              </w:rPr>
            </w:pPr>
            <w:r>
              <w:rPr>
                <w:rFonts w:hint="eastAsia"/>
                <w:szCs w:val="21"/>
              </w:rPr>
              <w:t>35</w:t>
            </w:r>
            <w:r>
              <w:rPr>
                <w:rFonts w:hint="eastAsia"/>
                <w:szCs w:val="21"/>
              </w:rPr>
              <w:t>~</w:t>
            </w:r>
            <w:r>
              <w:rPr>
                <w:rFonts w:hint="eastAsia"/>
                <w:szCs w:val="21"/>
              </w:rPr>
              <w:t>45</w:t>
            </w:r>
          </w:p>
        </w:tc>
        <w:tc>
          <w:tcPr>
            <w:tcW w:w="1276" w:type="pct"/>
            <w:vAlign w:val="center"/>
          </w:tcPr>
          <w:p w:rsidR="00EE4502" w:rsidRDefault="00FD45A3">
            <w:pPr>
              <w:widowControl/>
              <w:tabs>
                <w:tab w:val="left" w:pos="377"/>
              </w:tabs>
              <w:jc w:val="center"/>
              <w:rPr>
                <w:szCs w:val="21"/>
              </w:rPr>
            </w:pPr>
            <w:r>
              <w:rPr>
                <w:rFonts w:hint="eastAsia"/>
                <w:szCs w:val="21"/>
              </w:rPr>
              <w:t>40</w:t>
            </w:r>
            <w:r>
              <w:rPr>
                <w:rFonts w:hint="eastAsia"/>
                <w:szCs w:val="21"/>
              </w:rPr>
              <w:t>~</w:t>
            </w:r>
            <w:r>
              <w:rPr>
                <w:rFonts w:hint="eastAsia"/>
                <w:szCs w:val="21"/>
              </w:rPr>
              <w:t>60</w:t>
            </w:r>
          </w:p>
        </w:tc>
      </w:tr>
      <w:tr w:rsidR="00EE4502">
        <w:trPr>
          <w:cantSplit/>
          <w:trHeight w:val="397"/>
          <w:jc w:val="center"/>
        </w:trPr>
        <w:tc>
          <w:tcPr>
            <w:tcW w:w="1441" w:type="pct"/>
            <w:vAlign w:val="center"/>
          </w:tcPr>
          <w:p w:rsidR="00EE4502" w:rsidRDefault="00FD45A3">
            <w:pPr>
              <w:widowControl/>
              <w:tabs>
                <w:tab w:val="left" w:pos="377"/>
              </w:tabs>
              <w:jc w:val="center"/>
              <w:rPr>
                <w:szCs w:val="21"/>
              </w:rPr>
            </w:pPr>
            <w:r>
              <w:rPr>
                <w:rFonts w:hint="eastAsia"/>
                <w:szCs w:val="21"/>
              </w:rPr>
              <w:t>低温低压滤失量</w:t>
            </w:r>
            <w:r>
              <w:rPr>
                <w:rFonts w:hint="eastAsia"/>
                <w:szCs w:val="21"/>
              </w:rPr>
              <w:t>ml</w:t>
            </w:r>
          </w:p>
        </w:tc>
        <w:tc>
          <w:tcPr>
            <w:tcW w:w="1184" w:type="pct"/>
            <w:vAlign w:val="center"/>
          </w:tcPr>
          <w:p w:rsidR="00EE4502" w:rsidRDefault="00EE4502">
            <w:pPr>
              <w:widowControl/>
              <w:tabs>
                <w:tab w:val="left" w:pos="377"/>
              </w:tabs>
              <w:jc w:val="center"/>
              <w:rPr>
                <w:szCs w:val="21"/>
              </w:rPr>
            </w:pPr>
          </w:p>
        </w:tc>
        <w:tc>
          <w:tcPr>
            <w:tcW w:w="1097" w:type="pct"/>
            <w:vAlign w:val="center"/>
          </w:tcPr>
          <w:p w:rsidR="00EE4502" w:rsidRDefault="00FD45A3">
            <w:pPr>
              <w:widowControl/>
              <w:tabs>
                <w:tab w:val="left" w:pos="377"/>
              </w:tabs>
              <w:jc w:val="center"/>
              <w:rPr>
                <w:szCs w:val="21"/>
              </w:rPr>
            </w:pPr>
            <w:r>
              <w:rPr>
                <w:rFonts w:hint="eastAsia"/>
                <w:szCs w:val="21"/>
              </w:rPr>
              <w:t>↘</w:t>
            </w:r>
            <w:r>
              <w:rPr>
                <w:rFonts w:hint="eastAsia"/>
                <w:szCs w:val="21"/>
              </w:rPr>
              <w:t>5</w:t>
            </w:r>
          </w:p>
        </w:tc>
        <w:tc>
          <w:tcPr>
            <w:tcW w:w="1276" w:type="pct"/>
            <w:vAlign w:val="center"/>
          </w:tcPr>
          <w:p w:rsidR="00EE4502" w:rsidRDefault="00FD45A3">
            <w:pPr>
              <w:widowControl/>
              <w:tabs>
                <w:tab w:val="left" w:pos="377"/>
              </w:tabs>
              <w:jc w:val="center"/>
              <w:rPr>
                <w:szCs w:val="21"/>
              </w:rPr>
            </w:pPr>
            <w:r>
              <w:rPr>
                <w:rFonts w:hint="eastAsia"/>
                <w:szCs w:val="21"/>
              </w:rPr>
              <w:t>≤</w:t>
            </w:r>
            <w:r>
              <w:rPr>
                <w:rFonts w:hint="eastAsia"/>
                <w:szCs w:val="21"/>
              </w:rPr>
              <w:t>5</w:t>
            </w:r>
          </w:p>
        </w:tc>
      </w:tr>
      <w:tr w:rsidR="00EE4502">
        <w:trPr>
          <w:cantSplit/>
          <w:trHeight w:val="397"/>
          <w:jc w:val="center"/>
        </w:trPr>
        <w:tc>
          <w:tcPr>
            <w:tcW w:w="1441" w:type="pct"/>
            <w:vAlign w:val="center"/>
          </w:tcPr>
          <w:p w:rsidR="00EE4502" w:rsidRDefault="00FD45A3">
            <w:pPr>
              <w:widowControl/>
              <w:tabs>
                <w:tab w:val="left" w:pos="377"/>
              </w:tabs>
              <w:jc w:val="center"/>
              <w:rPr>
                <w:szCs w:val="21"/>
              </w:rPr>
            </w:pPr>
            <w:r>
              <w:rPr>
                <w:rFonts w:hint="eastAsia"/>
                <w:szCs w:val="21"/>
              </w:rPr>
              <w:t>低温低压滤饼厚度</w:t>
            </w:r>
            <w:r>
              <w:rPr>
                <w:rFonts w:hint="eastAsia"/>
                <w:szCs w:val="21"/>
              </w:rPr>
              <w:t>mm</w:t>
            </w:r>
          </w:p>
        </w:tc>
        <w:tc>
          <w:tcPr>
            <w:tcW w:w="1184" w:type="pct"/>
            <w:vAlign w:val="center"/>
          </w:tcPr>
          <w:p w:rsidR="00EE4502" w:rsidRDefault="00EE4502">
            <w:pPr>
              <w:widowControl/>
              <w:tabs>
                <w:tab w:val="left" w:pos="377"/>
              </w:tabs>
              <w:jc w:val="center"/>
              <w:rPr>
                <w:szCs w:val="21"/>
              </w:rPr>
            </w:pPr>
          </w:p>
        </w:tc>
        <w:tc>
          <w:tcPr>
            <w:tcW w:w="1097" w:type="pct"/>
            <w:vAlign w:val="center"/>
          </w:tcPr>
          <w:p w:rsidR="00EE4502" w:rsidRDefault="00FD45A3">
            <w:pPr>
              <w:widowControl/>
              <w:tabs>
                <w:tab w:val="left" w:pos="377"/>
              </w:tabs>
              <w:jc w:val="center"/>
              <w:rPr>
                <w:szCs w:val="21"/>
              </w:rPr>
            </w:pPr>
            <w:r>
              <w:rPr>
                <w:rFonts w:hint="eastAsia"/>
                <w:szCs w:val="21"/>
              </w:rPr>
              <w:t>↘</w:t>
            </w:r>
            <w:r>
              <w:rPr>
                <w:rFonts w:hint="eastAsia"/>
                <w:szCs w:val="21"/>
              </w:rPr>
              <w:t>0.5</w:t>
            </w:r>
          </w:p>
        </w:tc>
        <w:tc>
          <w:tcPr>
            <w:tcW w:w="1276" w:type="pct"/>
            <w:vAlign w:val="center"/>
          </w:tcPr>
          <w:p w:rsidR="00EE4502" w:rsidRDefault="00FD45A3">
            <w:pPr>
              <w:widowControl/>
              <w:tabs>
                <w:tab w:val="left" w:pos="377"/>
              </w:tabs>
              <w:jc w:val="center"/>
              <w:rPr>
                <w:szCs w:val="21"/>
              </w:rPr>
            </w:pPr>
            <w:r>
              <w:rPr>
                <w:rFonts w:hint="eastAsia"/>
                <w:szCs w:val="21"/>
              </w:rPr>
              <w:t>≤</w:t>
            </w:r>
            <w:r>
              <w:rPr>
                <w:rFonts w:hint="eastAsia"/>
                <w:szCs w:val="21"/>
              </w:rPr>
              <w:t>0.5</w:t>
            </w:r>
          </w:p>
        </w:tc>
      </w:tr>
      <w:tr w:rsidR="00EE4502">
        <w:trPr>
          <w:cantSplit/>
          <w:trHeight w:val="397"/>
          <w:jc w:val="center"/>
        </w:trPr>
        <w:tc>
          <w:tcPr>
            <w:tcW w:w="1441" w:type="pct"/>
            <w:vAlign w:val="center"/>
          </w:tcPr>
          <w:p w:rsidR="00EE4502" w:rsidRDefault="00FD45A3">
            <w:pPr>
              <w:widowControl/>
              <w:tabs>
                <w:tab w:val="left" w:pos="377"/>
              </w:tabs>
              <w:jc w:val="center"/>
              <w:rPr>
                <w:szCs w:val="21"/>
              </w:rPr>
            </w:pPr>
            <w:r>
              <w:rPr>
                <w:rFonts w:hint="eastAsia"/>
                <w:szCs w:val="21"/>
              </w:rPr>
              <w:t>静切力</w:t>
            </w:r>
            <w:r>
              <w:rPr>
                <w:rFonts w:hint="eastAsia"/>
                <w:szCs w:val="21"/>
              </w:rPr>
              <w:t>Pa</w:t>
            </w:r>
          </w:p>
        </w:tc>
        <w:tc>
          <w:tcPr>
            <w:tcW w:w="1184" w:type="pct"/>
            <w:vAlign w:val="center"/>
          </w:tcPr>
          <w:p w:rsidR="00EE4502" w:rsidRDefault="00EE4502">
            <w:pPr>
              <w:widowControl/>
              <w:tabs>
                <w:tab w:val="left" w:pos="377"/>
              </w:tabs>
              <w:jc w:val="center"/>
              <w:rPr>
                <w:szCs w:val="21"/>
              </w:rPr>
            </w:pPr>
          </w:p>
        </w:tc>
        <w:tc>
          <w:tcPr>
            <w:tcW w:w="1097" w:type="pct"/>
            <w:vAlign w:val="center"/>
          </w:tcPr>
          <w:p w:rsidR="00EE4502" w:rsidRDefault="00FD45A3">
            <w:pPr>
              <w:widowControl/>
              <w:tabs>
                <w:tab w:val="left" w:pos="377"/>
              </w:tabs>
              <w:jc w:val="center"/>
              <w:rPr>
                <w:szCs w:val="21"/>
              </w:rPr>
            </w:pPr>
            <w:r>
              <w:rPr>
                <w:rFonts w:hint="eastAsia"/>
                <w:szCs w:val="21"/>
              </w:rPr>
              <w:t>1</w:t>
            </w:r>
            <w:r>
              <w:rPr>
                <w:rFonts w:hint="eastAsia"/>
                <w:szCs w:val="21"/>
              </w:rPr>
              <w:t>~</w:t>
            </w:r>
            <w:r>
              <w:rPr>
                <w:rFonts w:hint="eastAsia"/>
                <w:szCs w:val="21"/>
              </w:rPr>
              <w:t>3/2</w:t>
            </w:r>
            <w:r>
              <w:rPr>
                <w:rFonts w:hint="eastAsia"/>
                <w:szCs w:val="21"/>
              </w:rPr>
              <w:t>~</w:t>
            </w:r>
            <w:r>
              <w:rPr>
                <w:rFonts w:hint="eastAsia"/>
                <w:szCs w:val="21"/>
              </w:rPr>
              <w:t>8</w:t>
            </w:r>
          </w:p>
        </w:tc>
        <w:tc>
          <w:tcPr>
            <w:tcW w:w="1276" w:type="pct"/>
            <w:vAlign w:val="center"/>
          </w:tcPr>
          <w:p w:rsidR="00EE4502" w:rsidRDefault="00FD45A3">
            <w:pPr>
              <w:widowControl/>
              <w:tabs>
                <w:tab w:val="left" w:pos="377"/>
              </w:tabs>
              <w:jc w:val="center"/>
              <w:rPr>
                <w:szCs w:val="21"/>
              </w:rPr>
            </w:pPr>
            <w:r>
              <w:rPr>
                <w:rFonts w:hint="eastAsia"/>
                <w:szCs w:val="21"/>
              </w:rPr>
              <w:t>2</w:t>
            </w:r>
            <w:r>
              <w:rPr>
                <w:rFonts w:hint="eastAsia"/>
                <w:szCs w:val="21"/>
              </w:rPr>
              <w:t>~</w:t>
            </w:r>
            <w:r>
              <w:rPr>
                <w:rFonts w:hint="eastAsia"/>
                <w:szCs w:val="21"/>
              </w:rPr>
              <w:t>4/3</w:t>
            </w:r>
            <w:r>
              <w:rPr>
                <w:rFonts w:hint="eastAsia"/>
                <w:szCs w:val="21"/>
              </w:rPr>
              <w:t>~</w:t>
            </w:r>
            <w:r>
              <w:rPr>
                <w:rFonts w:hint="eastAsia"/>
                <w:szCs w:val="21"/>
              </w:rPr>
              <w:t>8</w:t>
            </w:r>
          </w:p>
        </w:tc>
      </w:tr>
      <w:tr w:rsidR="00EE4502">
        <w:trPr>
          <w:cantSplit/>
          <w:trHeight w:val="397"/>
          <w:jc w:val="center"/>
        </w:trPr>
        <w:tc>
          <w:tcPr>
            <w:tcW w:w="1441" w:type="pct"/>
            <w:vAlign w:val="center"/>
          </w:tcPr>
          <w:p w:rsidR="00EE4502" w:rsidRDefault="00FD45A3">
            <w:pPr>
              <w:widowControl/>
              <w:tabs>
                <w:tab w:val="left" w:pos="377"/>
              </w:tabs>
              <w:jc w:val="center"/>
              <w:rPr>
                <w:szCs w:val="21"/>
              </w:rPr>
            </w:pPr>
            <w:r>
              <w:rPr>
                <w:rFonts w:hint="eastAsia"/>
                <w:szCs w:val="21"/>
              </w:rPr>
              <w:t>pH</w:t>
            </w:r>
            <w:r>
              <w:rPr>
                <w:rFonts w:hint="eastAsia"/>
                <w:szCs w:val="21"/>
              </w:rPr>
              <w:t>值</w:t>
            </w:r>
          </w:p>
        </w:tc>
        <w:tc>
          <w:tcPr>
            <w:tcW w:w="1184" w:type="pct"/>
            <w:vAlign w:val="center"/>
          </w:tcPr>
          <w:p w:rsidR="00EE4502" w:rsidRDefault="00EE4502">
            <w:pPr>
              <w:widowControl/>
              <w:tabs>
                <w:tab w:val="left" w:pos="377"/>
              </w:tabs>
              <w:jc w:val="center"/>
              <w:rPr>
                <w:szCs w:val="21"/>
              </w:rPr>
            </w:pPr>
          </w:p>
        </w:tc>
        <w:tc>
          <w:tcPr>
            <w:tcW w:w="1097" w:type="pct"/>
            <w:vAlign w:val="center"/>
          </w:tcPr>
          <w:p w:rsidR="00EE4502" w:rsidRDefault="00FD45A3">
            <w:pPr>
              <w:widowControl/>
              <w:tabs>
                <w:tab w:val="left" w:pos="377"/>
              </w:tabs>
              <w:jc w:val="center"/>
              <w:rPr>
                <w:szCs w:val="21"/>
              </w:rPr>
            </w:pPr>
            <w:r>
              <w:rPr>
                <w:rFonts w:hint="eastAsia"/>
                <w:szCs w:val="21"/>
              </w:rPr>
              <w:t>8</w:t>
            </w:r>
            <w:r>
              <w:rPr>
                <w:rFonts w:hint="eastAsia"/>
                <w:szCs w:val="21"/>
              </w:rPr>
              <w:t>~</w:t>
            </w:r>
            <w:r>
              <w:rPr>
                <w:rFonts w:hint="eastAsia"/>
                <w:szCs w:val="21"/>
              </w:rPr>
              <w:t>9</w:t>
            </w:r>
          </w:p>
        </w:tc>
        <w:tc>
          <w:tcPr>
            <w:tcW w:w="1276" w:type="pct"/>
            <w:vAlign w:val="center"/>
          </w:tcPr>
          <w:p w:rsidR="00EE4502" w:rsidRDefault="00FD45A3">
            <w:pPr>
              <w:widowControl/>
              <w:tabs>
                <w:tab w:val="left" w:pos="377"/>
              </w:tabs>
              <w:jc w:val="center"/>
              <w:rPr>
                <w:szCs w:val="21"/>
              </w:rPr>
            </w:pPr>
            <w:r>
              <w:rPr>
                <w:rFonts w:hint="eastAsia"/>
                <w:szCs w:val="21"/>
              </w:rPr>
              <w:t>8</w:t>
            </w:r>
            <w:r>
              <w:rPr>
                <w:rFonts w:hint="eastAsia"/>
                <w:szCs w:val="21"/>
              </w:rPr>
              <w:t>~</w:t>
            </w:r>
            <w:r>
              <w:rPr>
                <w:rFonts w:hint="eastAsia"/>
                <w:szCs w:val="21"/>
              </w:rPr>
              <w:t>9</w:t>
            </w:r>
          </w:p>
        </w:tc>
      </w:tr>
      <w:tr w:rsidR="00EE4502">
        <w:trPr>
          <w:cantSplit/>
          <w:trHeight w:val="397"/>
          <w:jc w:val="center"/>
        </w:trPr>
        <w:tc>
          <w:tcPr>
            <w:tcW w:w="1441" w:type="pct"/>
            <w:vAlign w:val="center"/>
          </w:tcPr>
          <w:p w:rsidR="00EE4502" w:rsidRDefault="00FD45A3">
            <w:pPr>
              <w:widowControl/>
              <w:tabs>
                <w:tab w:val="left" w:pos="377"/>
              </w:tabs>
              <w:jc w:val="center"/>
              <w:rPr>
                <w:szCs w:val="21"/>
              </w:rPr>
            </w:pPr>
            <w:r>
              <w:rPr>
                <w:rFonts w:hint="eastAsia"/>
                <w:szCs w:val="21"/>
              </w:rPr>
              <w:t>含砂量％</w:t>
            </w:r>
          </w:p>
        </w:tc>
        <w:tc>
          <w:tcPr>
            <w:tcW w:w="1184" w:type="pct"/>
            <w:vAlign w:val="center"/>
          </w:tcPr>
          <w:p w:rsidR="00EE4502" w:rsidRDefault="00EE4502">
            <w:pPr>
              <w:widowControl/>
              <w:tabs>
                <w:tab w:val="left" w:pos="377"/>
              </w:tabs>
              <w:jc w:val="center"/>
              <w:rPr>
                <w:szCs w:val="21"/>
              </w:rPr>
            </w:pPr>
          </w:p>
        </w:tc>
        <w:tc>
          <w:tcPr>
            <w:tcW w:w="1097" w:type="pct"/>
            <w:vAlign w:val="center"/>
          </w:tcPr>
          <w:p w:rsidR="00EE4502" w:rsidRDefault="00FD45A3">
            <w:pPr>
              <w:widowControl/>
              <w:tabs>
                <w:tab w:val="left" w:pos="377"/>
              </w:tabs>
              <w:jc w:val="center"/>
              <w:rPr>
                <w:szCs w:val="21"/>
              </w:rPr>
            </w:pPr>
            <w:r>
              <w:rPr>
                <w:rFonts w:hint="eastAsia"/>
                <w:szCs w:val="21"/>
              </w:rPr>
              <w:t>&lt;</w:t>
            </w:r>
            <w:r>
              <w:rPr>
                <w:rFonts w:hint="eastAsia"/>
                <w:szCs w:val="21"/>
              </w:rPr>
              <w:t>0.5</w:t>
            </w:r>
          </w:p>
        </w:tc>
        <w:tc>
          <w:tcPr>
            <w:tcW w:w="1276" w:type="pct"/>
            <w:vAlign w:val="center"/>
          </w:tcPr>
          <w:p w:rsidR="00EE4502" w:rsidRDefault="00FD45A3">
            <w:pPr>
              <w:widowControl/>
              <w:tabs>
                <w:tab w:val="left" w:pos="377"/>
              </w:tabs>
              <w:jc w:val="center"/>
              <w:rPr>
                <w:szCs w:val="21"/>
              </w:rPr>
            </w:pPr>
            <w:r>
              <w:rPr>
                <w:rFonts w:hint="eastAsia"/>
                <w:szCs w:val="21"/>
              </w:rPr>
              <w:t>&lt;</w:t>
            </w:r>
            <w:r>
              <w:rPr>
                <w:rFonts w:hint="eastAsia"/>
                <w:szCs w:val="21"/>
              </w:rPr>
              <w:t>0.5</w:t>
            </w:r>
          </w:p>
        </w:tc>
      </w:tr>
      <w:tr w:rsidR="00EE4502">
        <w:trPr>
          <w:cantSplit/>
          <w:trHeight w:val="397"/>
          <w:jc w:val="center"/>
        </w:trPr>
        <w:tc>
          <w:tcPr>
            <w:tcW w:w="1441" w:type="pct"/>
            <w:vAlign w:val="center"/>
          </w:tcPr>
          <w:p w:rsidR="00EE4502" w:rsidRDefault="00FD45A3">
            <w:pPr>
              <w:widowControl/>
              <w:tabs>
                <w:tab w:val="left" w:pos="377"/>
              </w:tabs>
              <w:jc w:val="center"/>
              <w:rPr>
                <w:szCs w:val="21"/>
              </w:rPr>
            </w:pPr>
            <w:r>
              <w:rPr>
                <w:rFonts w:hint="eastAsia"/>
                <w:szCs w:val="21"/>
              </w:rPr>
              <w:lastRenderedPageBreak/>
              <w:t>总固含％</w:t>
            </w:r>
          </w:p>
        </w:tc>
        <w:tc>
          <w:tcPr>
            <w:tcW w:w="1184" w:type="pct"/>
            <w:vAlign w:val="center"/>
          </w:tcPr>
          <w:p w:rsidR="00EE4502" w:rsidRDefault="00EE4502">
            <w:pPr>
              <w:widowControl/>
              <w:tabs>
                <w:tab w:val="left" w:pos="377"/>
              </w:tabs>
              <w:jc w:val="center"/>
              <w:rPr>
                <w:szCs w:val="21"/>
              </w:rPr>
            </w:pPr>
          </w:p>
        </w:tc>
        <w:tc>
          <w:tcPr>
            <w:tcW w:w="1097" w:type="pct"/>
            <w:vAlign w:val="center"/>
          </w:tcPr>
          <w:p w:rsidR="00EE4502" w:rsidRDefault="00FD45A3">
            <w:pPr>
              <w:widowControl/>
              <w:tabs>
                <w:tab w:val="left" w:pos="377"/>
              </w:tabs>
              <w:jc w:val="center"/>
              <w:rPr>
                <w:szCs w:val="21"/>
              </w:rPr>
            </w:pPr>
            <w:r>
              <w:rPr>
                <w:rFonts w:hint="eastAsia"/>
                <w:szCs w:val="21"/>
              </w:rPr>
              <w:t>&lt;</w:t>
            </w:r>
            <w:r>
              <w:rPr>
                <w:rFonts w:hint="eastAsia"/>
                <w:szCs w:val="21"/>
              </w:rPr>
              <w:t>10</w:t>
            </w:r>
          </w:p>
        </w:tc>
        <w:tc>
          <w:tcPr>
            <w:tcW w:w="1276" w:type="pct"/>
            <w:vAlign w:val="center"/>
          </w:tcPr>
          <w:p w:rsidR="00EE4502" w:rsidRDefault="00FD45A3">
            <w:pPr>
              <w:widowControl/>
              <w:tabs>
                <w:tab w:val="left" w:pos="377"/>
              </w:tabs>
              <w:jc w:val="center"/>
              <w:rPr>
                <w:szCs w:val="21"/>
              </w:rPr>
            </w:pPr>
            <w:r>
              <w:rPr>
                <w:rFonts w:hint="eastAsia"/>
                <w:szCs w:val="21"/>
              </w:rPr>
              <w:t>&lt;</w:t>
            </w:r>
            <w:r>
              <w:rPr>
                <w:rFonts w:hint="eastAsia"/>
                <w:szCs w:val="21"/>
              </w:rPr>
              <w:t>10</w:t>
            </w:r>
          </w:p>
        </w:tc>
      </w:tr>
      <w:tr w:rsidR="00EE4502">
        <w:trPr>
          <w:cantSplit/>
          <w:trHeight w:val="397"/>
          <w:jc w:val="center"/>
        </w:trPr>
        <w:tc>
          <w:tcPr>
            <w:tcW w:w="1441" w:type="pct"/>
            <w:vAlign w:val="center"/>
          </w:tcPr>
          <w:p w:rsidR="00EE4502" w:rsidRDefault="00FD45A3">
            <w:pPr>
              <w:widowControl/>
              <w:tabs>
                <w:tab w:val="left" w:pos="377"/>
              </w:tabs>
              <w:jc w:val="center"/>
              <w:rPr>
                <w:szCs w:val="21"/>
              </w:rPr>
            </w:pPr>
            <w:r>
              <w:rPr>
                <w:rFonts w:hint="eastAsia"/>
                <w:szCs w:val="21"/>
              </w:rPr>
              <w:t>摩阻系数</w:t>
            </w:r>
          </w:p>
        </w:tc>
        <w:tc>
          <w:tcPr>
            <w:tcW w:w="1184" w:type="pct"/>
            <w:vAlign w:val="center"/>
          </w:tcPr>
          <w:p w:rsidR="00EE4502" w:rsidRDefault="00EE4502">
            <w:pPr>
              <w:widowControl/>
              <w:tabs>
                <w:tab w:val="left" w:pos="377"/>
              </w:tabs>
              <w:jc w:val="center"/>
              <w:rPr>
                <w:szCs w:val="21"/>
              </w:rPr>
            </w:pPr>
          </w:p>
        </w:tc>
        <w:tc>
          <w:tcPr>
            <w:tcW w:w="1097" w:type="pct"/>
            <w:vAlign w:val="center"/>
          </w:tcPr>
          <w:p w:rsidR="00EE4502" w:rsidRDefault="00FD45A3">
            <w:pPr>
              <w:widowControl/>
              <w:tabs>
                <w:tab w:val="left" w:pos="377"/>
              </w:tabs>
              <w:jc w:val="center"/>
              <w:rPr>
                <w:szCs w:val="21"/>
              </w:rPr>
            </w:pPr>
            <w:r>
              <w:rPr>
                <w:rFonts w:hint="eastAsia"/>
                <w:szCs w:val="21"/>
              </w:rPr>
              <w:t>↘</w:t>
            </w:r>
            <w:r>
              <w:rPr>
                <w:rFonts w:hint="eastAsia"/>
                <w:szCs w:val="21"/>
              </w:rPr>
              <w:t>0.10</w:t>
            </w:r>
          </w:p>
        </w:tc>
        <w:tc>
          <w:tcPr>
            <w:tcW w:w="1276" w:type="pct"/>
            <w:vAlign w:val="center"/>
          </w:tcPr>
          <w:p w:rsidR="00EE4502" w:rsidRDefault="00FD45A3">
            <w:pPr>
              <w:widowControl/>
              <w:tabs>
                <w:tab w:val="left" w:pos="377"/>
              </w:tabs>
              <w:jc w:val="center"/>
              <w:rPr>
                <w:szCs w:val="21"/>
              </w:rPr>
            </w:pPr>
            <w:r>
              <w:rPr>
                <w:rFonts w:hint="eastAsia"/>
                <w:szCs w:val="21"/>
              </w:rPr>
              <w:t>≤</w:t>
            </w:r>
            <w:r>
              <w:rPr>
                <w:rFonts w:hint="eastAsia"/>
                <w:szCs w:val="21"/>
              </w:rPr>
              <w:t>0.10</w:t>
            </w:r>
          </w:p>
        </w:tc>
      </w:tr>
      <w:tr w:rsidR="00EE4502">
        <w:trPr>
          <w:cantSplit/>
          <w:trHeight w:val="397"/>
          <w:jc w:val="center"/>
        </w:trPr>
        <w:tc>
          <w:tcPr>
            <w:tcW w:w="1441" w:type="pct"/>
            <w:vAlign w:val="center"/>
          </w:tcPr>
          <w:p w:rsidR="00EE4502" w:rsidRDefault="00FD45A3">
            <w:pPr>
              <w:widowControl/>
              <w:tabs>
                <w:tab w:val="left" w:pos="377"/>
              </w:tabs>
              <w:jc w:val="center"/>
              <w:rPr>
                <w:szCs w:val="21"/>
              </w:rPr>
            </w:pPr>
            <w:r>
              <w:rPr>
                <w:rFonts w:hint="eastAsia"/>
                <w:szCs w:val="21"/>
              </w:rPr>
              <w:t>动切力</w:t>
            </w:r>
            <w:r>
              <w:rPr>
                <w:rFonts w:hint="eastAsia"/>
                <w:szCs w:val="21"/>
              </w:rPr>
              <w:t>Pa</w:t>
            </w:r>
          </w:p>
        </w:tc>
        <w:tc>
          <w:tcPr>
            <w:tcW w:w="1184" w:type="pct"/>
            <w:vAlign w:val="center"/>
          </w:tcPr>
          <w:p w:rsidR="00EE4502" w:rsidRDefault="00EE4502">
            <w:pPr>
              <w:widowControl/>
              <w:tabs>
                <w:tab w:val="left" w:pos="377"/>
              </w:tabs>
              <w:jc w:val="center"/>
              <w:rPr>
                <w:szCs w:val="21"/>
              </w:rPr>
            </w:pPr>
          </w:p>
        </w:tc>
        <w:tc>
          <w:tcPr>
            <w:tcW w:w="1097" w:type="pct"/>
            <w:vAlign w:val="center"/>
          </w:tcPr>
          <w:p w:rsidR="00EE4502" w:rsidRDefault="00FD45A3">
            <w:pPr>
              <w:widowControl/>
              <w:tabs>
                <w:tab w:val="left" w:pos="377"/>
              </w:tabs>
              <w:jc w:val="center"/>
              <w:rPr>
                <w:szCs w:val="21"/>
              </w:rPr>
            </w:pPr>
            <w:r>
              <w:rPr>
                <w:rFonts w:hint="eastAsia"/>
                <w:szCs w:val="21"/>
              </w:rPr>
              <w:t>4</w:t>
            </w:r>
            <w:r>
              <w:rPr>
                <w:rFonts w:hint="eastAsia"/>
                <w:szCs w:val="21"/>
              </w:rPr>
              <w:t>~</w:t>
            </w:r>
            <w:r>
              <w:rPr>
                <w:rFonts w:hint="eastAsia"/>
                <w:szCs w:val="21"/>
              </w:rPr>
              <w:t>8</w:t>
            </w:r>
          </w:p>
        </w:tc>
        <w:tc>
          <w:tcPr>
            <w:tcW w:w="1276" w:type="pct"/>
            <w:vAlign w:val="center"/>
          </w:tcPr>
          <w:p w:rsidR="00EE4502" w:rsidRDefault="00FD45A3">
            <w:pPr>
              <w:widowControl/>
              <w:tabs>
                <w:tab w:val="left" w:pos="377"/>
              </w:tabs>
              <w:jc w:val="center"/>
              <w:rPr>
                <w:szCs w:val="21"/>
              </w:rPr>
            </w:pPr>
            <w:r>
              <w:rPr>
                <w:rFonts w:hint="eastAsia"/>
                <w:szCs w:val="21"/>
              </w:rPr>
              <w:t>5</w:t>
            </w:r>
            <w:r>
              <w:rPr>
                <w:rFonts w:hint="eastAsia"/>
                <w:szCs w:val="21"/>
              </w:rPr>
              <w:t>~</w:t>
            </w:r>
            <w:r>
              <w:rPr>
                <w:rFonts w:hint="eastAsia"/>
                <w:szCs w:val="21"/>
              </w:rPr>
              <w:t>10</w:t>
            </w:r>
          </w:p>
        </w:tc>
      </w:tr>
      <w:tr w:rsidR="00EE4502">
        <w:trPr>
          <w:cantSplit/>
          <w:trHeight w:val="397"/>
          <w:jc w:val="center"/>
        </w:trPr>
        <w:tc>
          <w:tcPr>
            <w:tcW w:w="1441" w:type="pct"/>
            <w:vAlign w:val="center"/>
          </w:tcPr>
          <w:p w:rsidR="00EE4502" w:rsidRDefault="00FD45A3">
            <w:pPr>
              <w:widowControl/>
              <w:tabs>
                <w:tab w:val="left" w:pos="377"/>
              </w:tabs>
              <w:jc w:val="center"/>
              <w:rPr>
                <w:szCs w:val="21"/>
              </w:rPr>
            </w:pPr>
            <w:r>
              <w:rPr>
                <w:rFonts w:hint="eastAsia"/>
                <w:szCs w:val="21"/>
              </w:rPr>
              <w:t>塑性黏度</w:t>
            </w:r>
            <w:r>
              <w:rPr>
                <w:rFonts w:hint="eastAsia"/>
                <w:szCs w:val="21"/>
              </w:rPr>
              <w:t>mPa</w:t>
            </w:r>
            <w:r>
              <w:rPr>
                <w:rFonts w:hint="eastAsia"/>
                <w:szCs w:val="21"/>
              </w:rPr>
              <w:t>·</w:t>
            </w:r>
            <w:r>
              <w:rPr>
                <w:rFonts w:hint="eastAsia"/>
                <w:szCs w:val="21"/>
              </w:rPr>
              <w:t>s</w:t>
            </w:r>
          </w:p>
        </w:tc>
        <w:tc>
          <w:tcPr>
            <w:tcW w:w="1184" w:type="pct"/>
            <w:vAlign w:val="center"/>
          </w:tcPr>
          <w:p w:rsidR="00EE4502" w:rsidRDefault="00EE4502">
            <w:pPr>
              <w:widowControl/>
              <w:tabs>
                <w:tab w:val="left" w:pos="377"/>
              </w:tabs>
              <w:jc w:val="center"/>
              <w:rPr>
                <w:szCs w:val="21"/>
              </w:rPr>
            </w:pPr>
          </w:p>
        </w:tc>
        <w:tc>
          <w:tcPr>
            <w:tcW w:w="1097" w:type="pct"/>
            <w:vAlign w:val="center"/>
          </w:tcPr>
          <w:p w:rsidR="00EE4502" w:rsidRDefault="00FD45A3">
            <w:pPr>
              <w:widowControl/>
              <w:tabs>
                <w:tab w:val="left" w:pos="377"/>
              </w:tabs>
              <w:jc w:val="center"/>
              <w:rPr>
                <w:szCs w:val="21"/>
              </w:rPr>
            </w:pPr>
            <w:r>
              <w:rPr>
                <w:rFonts w:hint="eastAsia"/>
                <w:szCs w:val="21"/>
              </w:rPr>
              <w:t>8</w:t>
            </w:r>
            <w:r>
              <w:rPr>
                <w:rFonts w:hint="eastAsia"/>
                <w:szCs w:val="21"/>
              </w:rPr>
              <w:t>~</w:t>
            </w:r>
            <w:r>
              <w:rPr>
                <w:rFonts w:hint="eastAsia"/>
                <w:szCs w:val="21"/>
              </w:rPr>
              <w:t>16</w:t>
            </w:r>
          </w:p>
        </w:tc>
        <w:tc>
          <w:tcPr>
            <w:tcW w:w="1276" w:type="pct"/>
            <w:vAlign w:val="center"/>
          </w:tcPr>
          <w:p w:rsidR="00EE4502" w:rsidRDefault="00FD45A3">
            <w:pPr>
              <w:widowControl/>
              <w:tabs>
                <w:tab w:val="left" w:pos="377"/>
              </w:tabs>
              <w:jc w:val="center"/>
              <w:rPr>
                <w:szCs w:val="21"/>
              </w:rPr>
            </w:pPr>
            <w:r>
              <w:rPr>
                <w:rFonts w:hint="eastAsia"/>
                <w:szCs w:val="21"/>
              </w:rPr>
              <w:t>10</w:t>
            </w:r>
            <w:r>
              <w:rPr>
                <w:rFonts w:hint="eastAsia"/>
                <w:szCs w:val="21"/>
              </w:rPr>
              <w:t>~</w:t>
            </w:r>
            <w:r>
              <w:rPr>
                <w:rFonts w:hint="eastAsia"/>
                <w:szCs w:val="21"/>
              </w:rPr>
              <w:t>20</w:t>
            </w:r>
          </w:p>
        </w:tc>
      </w:tr>
    </w:tbl>
    <w:p w:rsidR="00EE4502" w:rsidRDefault="00FD45A3">
      <w:pPr>
        <w:spacing w:line="360" w:lineRule="auto"/>
        <w:ind w:firstLineChars="200" w:firstLine="480"/>
        <w:rPr>
          <w:sz w:val="24"/>
        </w:rPr>
      </w:pPr>
      <w:r>
        <w:rPr>
          <w:sz w:val="24"/>
        </w:rPr>
        <w:t>新钻井</w:t>
      </w:r>
      <w:r>
        <w:rPr>
          <w:rFonts w:hint="eastAsia"/>
          <w:sz w:val="24"/>
        </w:rPr>
        <w:t>的</w:t>
      </w:r>
      <w:r>
        <w:rPr>
          <w:sz w:val="24"/>
        </w:rPr>
        <w:t>钻井液基本配方见表</w:t>
      </w:r>
      <w:r>
        <w:rPr>
          <w:rFonts w:hint="eastAsia"/>
          <w:sz w:val="24"/>
        </w:rPr>
        <w:t>3-3</w:t>
      </w:r>
      <w:r>
        <w:rPr>
          <w:sz w:val="24"/>
        </w:rPr>
        <w:t>-1</w:t>
      </w:r>
      <w:r>
        <w:rPr>
          <w:rFonts w:hint="eastAsia"/>
          <w:sz w:val="24"/>
        </w:rPr>
        <w:t>5</w:t>
      </w:r>
      <w:r>
        <w:rPr>
          <w:sz w:val="24"/>
        </w:rPr>
        <w:t>。</w:t>
      </w:r>
    </w:p>
    <w:p w:rsidR="00EE4502" w:rsidRDefault="00FD45A3">
      <w:pPr>
        <w:spacing w:line="360" w:lineRule="auto"/>
        <w:jc w:val="center"/>
        <w:rPr>
          <w:rFonts w:eastAsia="黑体"/>
          <w:bCs/>
          <w:lang w:val="zh-CN"/>
        </w:rPr>
      </w:pPr>
      <w:r>
        <w:rPr>
          <w:rFonts w:eastAsia="黑体"/>
          <w:bCs/>
          <w:lang w:val="zh-CN"/>
        </w:rPr>
        <w:t>表</w:t>
      </w:r>
      <w:r>
        <w:rPr>
          <w:rFonts w:eastAsia="黑体" w:hint="eastAsia"/>
          <w:bCs/>
          <w:lang w:val="zh-CN"/>
        </w:rPr>
        <w:t>3-3</w:t>
      </w:r>
      <w:r>
        <w:rPr>
          <w:rFonts w:eastAsia="黑体"/>
          <w:bCs/>
          <w:lang w:val="zh-CN"/>
        </w:rPr>
        <w:t>-</w:t>
      </w:r>
      <w:r>
        <w:rPr>
          <w:rFonts w:eastAsia="黑体"/>
          <w:bCs/>
        </w:rPr>
        <w:t>1</w:t>
      </w:r>
      <w:r>
        <w:rPr>
          <w:rFonts w:eastAsia="黑体" w:hint="eastAsia"/>
          <w:bCs/>
        </w:rPr>
        <w:t>5</w:t>
      </w:r>
      <w:r>
        <w:rPr>
          <w:rFonts w:eastAsia="黑体"/>
          <w:bCs/>
          <w:lang w:val="zh-CN"/>
        </w:rPr>
        <w:t xml:space="preserve">  </w:t>
      </w:r>
      <w:r>
        <w:rPr>
          <w:rFonts w:eastAsia="黑体"/>
          <w:bCs/>
          <w:lang w:val="zh-CN"/>
        </w:rPr>
        <w:t>新钻井</w:t>
      </w:r>
      <w:r>
        <w:rPr>
          <w:rFonts w:eastAsia="黑体" w:hint="eastAsia"/>
          <w:bCs/>
          <w:lang w:val="zh-CN"/>
        </w:rPr>
        <w:t>的</w:t>
      </w:r>
      <w:r>
        <w:rPr>
          <w:rFonts w:eastAsia="黑体"/>
          <w:bCs/>
          <w:lang w:val="zh-CN"/>
        </w:rPr>
        <w:t>钻井液基本配方及用量设计</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66"/>
        <w:gridCol w:w="3192"/>
        <w:gridCol w:w="810"/>
        <w:gridCol w:w="943"/>
        <w:gridCol w:w="944"/>
        <w:gridCol w:w="956"/>
        <w:gridCol w:w="1207"/>
      </w:tblGrid>
      <w:tr w:rsidR="00EE4502">
        <w:trPr>
          <w:cantSplit/>
          <w:trHeight w:val="397"/>
          <w:jc w:val="center"/>
        </w:trPr>
        <w:tc>
          <w:tcPr>
            <w:tcW w:w="217" w:type="pct"/>
            <w:vMerge w:val="restart"/>
            <w:vAlign w:val="center"/>
          </w:tcPr>
          <w:p w:rsidR="00EE4502" w:rsidRDefault="00FD45A3">
            <w:pPr>
              <w:widowControl/>
              <w:tabs>
                <w:tab w:val="left" w:pos="377"/>
              </w:tabs>
              <w:jc w:val="center"/>
              <w:rPr>
                <w:szCs w:val="21"/>
              </w:rPr>
            </w:pPr>
            <w:r>
              <w:rPr>
                <w:rFonts w:hint="eastAsia"/>
                <w:szCs w:val="21"/>
              </w:rPr>
              <w:t>序</w:t>
            </w:r>
          </w:p>
          <w:p w:rsidR="00EE4502" w:rsidRDefault="00FD45A3">
            <w:pPr>
              <w:widowControl/>
              <w:tabs>
                <w:tab w:val="left" w:pos="377"/>
              </w:tabs>
              <w:jc w:val="center"/>
              <w:rPr>
                <w:szCs w:val="21"/>
              </w:rPr>
            </w:pPr>
            <w:r>
              <w:rPr>
                <w:rFonts w:hint="eastAsia"/>
                <w:szCs w:val="21"/>
              </w:rPr>
              <w:t>号</w:t>
            </w:r>
          </w:p>
        </w:tc>
        <w:tc>
          <w:tcPr>
            <w:tcW w:w="1896" w:type="pct"/>
            <w:vMerge w:val="restart"/>
            <w:vAlign w:val="center"/>
          </w:tcPr>
          <w:p w:rsidR="00EE4502" w:rsidRDefault="00FD45A3">
            <w:pPr>
              <w:widowControl/>
              <w:tabs>
                <w:tab w:val="left" w:pos="377"/>
              </w:tabs>
              <w:jc w:val="center"/>
              <w:rPr>
                <w:szCs w:val="21"/>
              </w:rPr>
            </w:pPr>
            <w:r>
              <w:rPr>
                <w:rFonts w:hint="eastAsia"/>
                <w:szCs w:val="21"/>
              </w:rPr>
              <w:t>材料名称及代号</w:t>
            </w:r>
          </w:p>
        </w:tc>
        <w:tc>
          <w:tcPr>
            <w:tcW w:w="1602" w:type="pct"/>
            <w:gridSpan w:val="3"/>
            <w:vAlign w:val="center"/>
          </w:tcPr>
          <w:p w:rsidR="00EE4502" w:rsidRDefault="00FD45A3">
            <w:pPr>
              <w:widowControl/>
              <w:tabs>
                <w:tab w:val="left" w:pos="377"/>
              </w:tabs>
              <w:jc w:val="center"/>
              <w:rPr>
                <w:szCs w:val="21"/>
              </w:rPr>
            </w:pPr>
            <w:r>
              <w:rPr>
                <w:rFonts w:hint="eastAsia"/>
                <w:szCs w:val="21"/>
              </w:rPr>
              <w:t>水平井加量（</w:t>
            </w:r>
            <w:r>
              <w:rPr>
                <w:rFonts w:hint="eastAsia"/>
                <w:szCs w:val="21"/>
              </w:rPr>
              <w:t>kg/m</w:t>
            </w:r>
            <w:r>
              <w:rPr>
                <w:rFonts w:hint="eastAsia"/>
                <w:szCs w:val="21"/>
                <w:vertAlign w:val="superscript"/>
              </w:rPr>
              <w:t>3</w:t>
            </w:r>
            <w:r>
              <w:rPr>
                <w:rFonts w:hint="eastAsia"/>
                <w:szCs w:val="21"/>
              </w:rPr>
              <w:t>）</w:t>
            </w:r>
          </w:p>
        </w:tc>
        <w:tc>
          <w:tcPr>
            <w:tcW w:w="1284" w:type="pct"/>
            <w:gridSpan w:val="2"/>
          </w:tcPr>
          <w:p w:rsidR="00EE4502" w:rsidRDefault="00FD45A3">
            <w:pPr>
              <w:widowControl/>
              <w:tabs>
                <w:tab w:val="left" w:pos="377"/>
              </w:tabs>
              <w:jc w:val="center"/>
              <w:rPr>
                <w:szCs w:val="21"/>
              </w:rPr>
            </w:pPr>
            <w:r>
              <w:rPr>
                <w:rFonts w:hint="eastAsia"/>
                <w:szCs w:val="21"/>
              </w:rPr>
              <w:t>二开次井井加量（</w:t>
            </w:r>
            <w:r>
              <w:rPr>
                <w:rFonts w:hint="eastAsia"/>
                <w:szCs w:val="21"/>
              </w:rPr>
              <w:t>kg/m</w:t>
            </w:r>
            <w:r>
              <w:rPr>
                <w:rFonts w:hint="eastAsia"/>
                <w:szCs w:val="21"/>
                <w:vertAlign w:val="superscript"/>
              </w:rPr>
              <w:t>3</w:t>
            </w:r>
            <w:r>
              <w:rPr>
                <w:rFonts w:hint="eastAsia"/>
                <w:szCs w:val="21"/>
              </w:rPr>
              <w:t>）</w:t>
            </w:r>
          </w:p>
        </w:tc>
      </w:tr>
      <w:tr w:rsidR="00EE4502">
        <w:trPr>
          <w:cantSplit/>
          <w:trHeight w:val="397"/>
          <w:jc w:val="center"/>
        </w:trPr>
        <w:tc>
          <w:tcPr>
            <w:tcW w:w="217" w:type="pct"/>
            <w:vMerge/>
            <w:vAlign w:val="center"/>
          </w:tcPr>
          <w:p w:rsidR="00EE4502" w:rsidRDefault="00EE4502">
            <w:pPr>
              <w:widowControl/>
              <w:tabs>
                <w:tab w:val="left" w:pos="377"/>
              </w:tabs>
              <w:jc w:val="center"/>
              <w:rPr>
                <w:szCs w:val="21"/>
              </w:rPr>
            </w:pPr>
          </w:p>
        </w:tc>
        <w:tc>
          <w:tcPr>
            <w:tcW w:w="1896" w:type="pct"/>
            <w:vMerge/>
            <w:vAlign w:val="center"/>
          </w:tcPr>
          <w:p w:rsidR="00EE4502" w:rsidRDefault="00EE4502">
            <w:pPr>
              <w:widowControl/>
              <w:tabs>
                <w:tab w:val="left" w:pos="377"/>
              </w:tabs>
              <w:jc w:val="center"/>
              <w:rPr>
                <w:szCs w:val="21"/>
              </w:rPr>
            </w:pPr>
          </w:p>
        </w:tc>
        <w:tc>
          <w:tcPr>
            <w:tcW w:w="481" w:type="pct"/>
            <w:vAlign w:val="center"/>
          </w:tcPr>
          <w:p w:rsidR="00EE4502" w:rsidRDefault="00FD45A3">
            <w:pPr>
              <w:widowControl/>
              <w:tabs>
                <w:tab w:val="left" w:pos="377"/>
              </w:tabs>
              <w:jc w:val="center"/>
              <w:rPr>
                <w:szCs w:val="21"/>
              </w:rPr>
            </w:pPr>
            <w:r>
              <w:rPr>
                <w:rFonts w:hint="eastAsia"/>
                <w:szCs w:val="21"/>
              </w:rPr>
              <w:t>一开</w:t>
            </w:r>
          </w:p>
        </w:tc>
        <w:tc>
          <w:tcPr>
            <w:tcW w:w="560" w:type="pct"/>
            <w:vAlign w:val="center"/>
          </w:tcPr>
          <w:p w:rsidR="00EE4502" w:rsidRDefault="00FD45A3">
            <w:pPr>
              <w:widowControl/>
              <w:tabs>
                <w:tab w:val="left" w:pos="377"/>
              </w:tabs>
              <w:jc w:val="center"/>
              <w:rPr>
                <w:szCs w:val="21"/>
              </w:rPr>
            </w:pPr>
            <w:r>
              <w:rPr>
                <w:rFonts w:hint="eastAsia"/>
                <w:szCs w:val="21"/>
              </w:rPr>
              <w:t>二开</w:t>
            </w:r>
          </w:p>
        </w:tc>
        <w:tc>
          <w:tcPr>
            <w:tcW w:w="561" w:type="pct"/>
            <w:vAlign w:val="center"/>
          </w:tcPr>
          <w:p w:rsidR="00EE4502" w:rsidRDefault="00FD45A3">
            <w:pPr>
              <w:widowControl/>
              <w:tabs>
                <w:tab w:val="left" w:pos="377"/>
              </w:tabs>
              <w:jc w:val="center"/>
              <w:rPr>
                <w:szCs w:val="21"/>
              </w:rPr>
            </w:pPr>
            <w:r>
              <w:rPr>
                <w:rFonts w:hint="eastAsia"/>
                <w:szCs w:val="21"/>
              </w:rPr>
              <w:t>三开</w:t>
            </w:r>
          </w:p>
        </w:tc>
        <w:tc>
          <w:tcPr>
            <w:tcW w:w="568" w:type="pct"/>
            <w:vAlign w:val="center"/>
          </w:tcPr>
          <w:p w:rsidR="00EE4502" w:rsidRDefault="00FD45A3">
            <w:pPr>
              <w:widowControl/>
              <w:tabs>
                <w:tab w:val="left" w:pos="377"/>
              </w:tabs>
              <w:jc w:val="center"/>
              <w:rPr>
                <w:szCs w:val="21"/>
              </w:rPr>
            </w:pPr>
            <w:r>
              <w:rPr>
                <w:rFonts w:hint="eastAsia"/>
                <w:szCs w:val="21"/>
              </w:rPr>
              <w:t>一开</w:t>
            </w:r>
          </w:p>
        </w:tc>
        <w:tc>
          <w:tcPr>
            <w:tcW w:w="715" w:type="pct"/>
            <w:vAlign w:val="center"/>
          </w:tcPr>
          <w:p w:rsidR="00EE4502" w:rsidRDefault="00FD45A3">
            <w:pPr>
              <w:widowControl/>
              <w:tabs>
                <w:tab w:val="left" w:pos="377"/>
              </w:tabs>
              <w:jc w:val="center"/>
              <w:rPr>
                <w:szCs w:val="21"/>
              </w:rPr>
            </w:pPr>
            <w:r>
              <w:rPr>
                <w:rFonts w:hint="eastAsia"/>
                <w:szCs w:val="21"/>
              </w:rPr>
              <w:t>二开</w:t>
            </w:r>
          </w:p>
        </w:tc>
      </w:tr>
      <w:tr w:rsidR="00EE4502">
        <w:trPr>
          <w:cantSplit/>
          <w:trHeight w:val="397"/>
          <w:jc w:val="center"/>
        </w:trPr>
        <w:tc>
          <w:tcPr>
            <w:tcW w:w="217" w:type="pct"/>
            <w:vAlign w:val="center"/>
          </w:tcPr>
          <w:p w:rsidR="00EE4502" w:rsidRDefault="00FD45A3">
            <w:pPr>
              <w:widowControl/>
              <w:tabs>
                <w:tab w:val="left" w:pos="377"/>
              </w:tabs>
              <w:jc w:val="center"/>
              <w:rPr>
                <w:szCs w:val="21"/>
              </w:rPr>
            </w:pPr>
            <w:r>
              <w:rPr>
                <w:rFonts w:hint="eastAsia"/>
                <w:szCs w:val="21"/>
              </w:rPr>
              <w:t>1</w:t>
            </w:r>
          </w:p>
        </w:tc>
        <w:tc>
          <w:tcPr>
            <w:tcW w:w="1896" w:type="pct"/>
            <w:vAlign w:val="center"/>
          </w:tcPr>
          <w:p w:rsidR="00EE4502" w:rsidRDefault="00FD45A3">
            <w:pPr>
              <w:widowControl/>
              <w:tabs>
                <w:tab w:val="left" w:pos="377"/>
              </w:tabs>
              <w:jc w:val="center"/>
              <w:rPr>
                <w:szCs w:val="21"/>
              </w:rPr>
            </w:pPr>
            <w:r>
              <w:rPr>
                <w:rFonts w:hint="eastAsia"/>
                <w:szCs w:val="21"/>
              </w:rPr>
              <w:t>工业用氢氧化钠</w:t>
            </w:r>
          </w:p>
        </w:tc>
        <w:tc>
          <w:tcPr>
            <w:tcW w:w="481" w:type="pct"/>
            <w:vAlign w:val="center"/>
          </w:tcPr>
          <w:p w:rsidR="00EE4502" w:rsidRDefault="00EE4502">
            <w:pPr>
              <w:widowControl/>
              <w:tabs>
                <w:tab w:val="left" w:pos="377"/>
              </w:tabs>
              <w:jc w:val="center"/>
              <w:rPr>
                <w:szCs w:val="21"/>
              </w:rPr>
            </w:pPr>
          </w:p>
        </w:tc>
        <w:tc>
          <w:tcPr>
            <w:tcW w:w="560" w:type="pct"/>
            <w:vAlign w:val="center"/>
          </w:tcPr>
          <w:p w:rsidR="00EE4502" w:rsidRDefault="00FD45A3">
            <w:pPr>
              <w:widowControl/>
              <w:tabs>
                <w:tab w:val="left" w:pos="377"/>
              </w:tabs>
              <w:jc w:val="center"/>
              <w:rPr>
                <w:szCs w:val="21"/>
              </w:rPr>
            </w:pPr>
            <w:r>
              <w:rPr>
                <w:rFonts w:hint="eastAsia"/>
                <w:szCs w:val="21"/>
              </w:rPr>
              <w:t>3</w:t>
            </w:r>
            <w:r>
              <w:rPr>
                <w:rFonts w:hint="eastAsia"/>
                <w:szCs w:val="21"/>
              </w:rPr>
              <w:t>~</w:t>
            </w:r>
            <w:r>
              <w:rPr>
                <w:rFonts w:hint="eastAsia"/>
                <w:szCs w:val="21"/>
              </w:rPr>
              <w:t>5</w:t>
            </w:r>
          </w:p>
        </w:tc>
        <w:tc>
          <w:tcPr>
            <w:tcW w:w="561" w:type="pct"/>
            <w:vAlign w:val="center"/>
          </w:tcPr>
          <w:p w:rsidR="00EE4502" w:rsidRDefault="00FD45A3">
            <w:pPr>
              <w:widowControl/>
              <w:tabs>
                <w:tab w:val="left" w:pos="377"/>
              </w:tabs>
              <w:jc w:val="center"/>
              <w:rPr>
                <w:szCs w:val="21"/>
              </w:rPr>
            </w:pPr>
            <w:r>
              <w:rPr>
                <w:rFonts w:hint="eastAsia"/>
                <w:szCs w:val="21"/>
              </w:rPr>
              <w:t>3</w:t>
            </w:r>
            <w:r>
              <w:rPr>
                <w:rFonts w:hint="eastAsia"/>
                <w:szCs w:val="21"/>
              </w:rPr>
              <w:t>~</w:t>
            </w:r>
            <w:r>
              <w:rPr>
                <w:rFonts w:hint="eastAsia"/>
                <w:szCs w:val="21"/>
              </w:rPr>
              <w:t>5</w:t>
            </w:r>
          </w:p>
        </w:tc>
        <w:tc>
          <w:tcPr>
            <w:tcW w:w="568" w:type="pct"/>
            <w:vAlign w:val="center"/>
          </w:tcPr>
          <w:p w:rsidR="00EE4502" w:rsidRDefault="00EE4502">
            <w:pPr>
              <w:widowControl/>
              <w:tabs>
                <w:tab w:val="left" w:pos="377"/>
              </w:tabs>
              <w:jc w:val="center"/>
              <w:rPr>
                <w:szCs w:val="21"/>
              </w:rPr>
            </w:pPr>
          </w:p>
        </w:tc>
        <w:tc>
          <w:tcPr>
            <w:tcW w:w="715" w:type="pct"/>
            <w:vAlign w:val="center"/>
          </w:tcPr>
          <w:p w:rsidR="00EE4502" w:rsidRDefault="00FD45A3">
            <w:pPr>
              <w:widowControl/>
              <w:tabs>
                <w:tab w:val="left" w:pos="377"/>
              </w:tabs>
              <w:jc w:val="center"/>
              <w:rPr>
                <w:szCs w:val="21"/>
              </w:rPr>
            </w:pPr>
            <w:r>
              <w:rPr>
                <w:rFonts w:hint="eastAsia"/>
                <w:szCs w:val="21"/>
              </w:rPr>
              <w:t>3</w:t>
            </w:r>
            <w:r>
              <w:rPr>
                <w:rFonts w:hint="eastAsia"/>
                <w:szCs w:val="21"/>
              </w:rPr>
              <w:t>~</w:t>
            </w:r>
            <w:r>
              <w:rPr>
                <w:rFonts w:hint="eastAsia"/>
                <w:szCs w:val="21"/>
              </w:rPr>
              <w:t>5</w:t>
            </w:r>
          </w:p>
        </w:tc>
      </w:tr>
      <w:tr w:rsidR="00EE4502">
        <w:trPr>
          <w:cantSplit/>
          <w:trHeight w:val="397"/>
          <w:jc w:val="center"/>
        </w:trPr>
        <w:tc>
          <w:tcPr>
            <w:tcW w:w="217" w:type="pct"/>
            <w:vAlign w:val="center"/>
          </w:tcPr>
          <w:p w:rsidR="00EE4502" w:rsidRDefault="00FD45A3">
            <w:pPr>
              <w:widowControl/>
              <w:tabs>
                <w:tab w:val="left" w:pos="377"/>
              </w:tabs>
              <w:jc w:val="center"/>
              <w:rPr>
                <w:szCs w:val="21"/>
              </w:rPr>
            </w:pPr>
            <w:r>
              <w:rPr>
                <w:rFonts w:hint="eastAsia"/>
                <w:szCs w:val="21"/>
              </w:rPr>
              <w:t>2</w:t>
            </w:r>
          </w:p>
        </w:tc>
        <w:tc>
          <w:tcPr>
            <w:tcW w:w="1896" w:type="pct"/>
            <w:vAlign w:val="center"/>
          </w:tcPr>
          <w:p w:rsidR="00EE4502" w:rsidRDefault="00FD45A3">
            <w:pPr>
              <w:widowControl/>
              <w:tabs>
                <w:tab w:val="left" w:pos="377"/>
              </w:tabs>
              <w:jc w:val="center"/>
              <w:rPr>
                <w:szCs w:val="21"/>
              </w:rPr>
            </w:pPr>
            <w:r>
              <w:rPr>
                <w:rFonts w:hint="eastAsia"/>
                <w:szCs w:val="21"/>
              </w:rPr>
              <w:t>碳酸钠</w:t>
            </w:r>
          </w:p>
        </w:tc>
        <w:tc>
          <w:tcPr>
            <w:tcW w:w="481" w:type="pct"/>
            <w:vAlign w:val="center"/>
          </w:tcPr>
          <w:p w:rsidR="00EE4502" w:rsidRDefault="00FD45A3">
            <w:pPr>
              <w:widowControl/>
              <w:tabs>
                <w:tab w:val="left" w:pos="377"/>
              </w:tabs>
              <w:jc w:val="center"/>
              <w:rPr>
                <w:szCs w:val="21"/>
              </w:rPr>
            </w:pPr>
            <w:r>
              <w:rPr>
                <w:rFonts w:hint="eastAsia"/>
                <w:szCs w:val="21"/>
              </w:rPr>
              <w:t>4</w:t>
            </w:r>
            <w:r>
              <w:rPr>
                <w:rFonts w:hint="eastAsia"/>
                <w:szCs w:val="21"/>
              </w:rPr>
              <w:t>~</w:t>
            </w:r>
            <w:r>
              <w:rPr>
                <w:rFonts w:hint="eastAsia"/>
                <w:szCs w:val="21"/>
              </w:rPr>
              <w:t>6</w:t>
            </w:r>
          </w:p>
        </w:tc>
        <w:tc>
          <w:tcPr>
            <w:tcW w:w="560" w:type="pct"/>
            <w:vAlign w:val="center"/>
          </w:tcPr>
          <w:p w:rsidR="00EE4502" w:rsidRDefault="00EE4502">
            <w:pPr>
              <w:widowControl/>
              <w:tabs>
                <w:tab w:val="left" w:pos="377"/>
              </w:tabs>
              <w:jc w:val="center"/>
              <w:rPr>
                <w:szCs w:val="21"/>
              </w:rPr>
            </w:pPr>
          </w:p>
        </w:tc>
        <w:tc>
          <w:tcPr>
            <w:tcW w:w="561" w:type="pct"/>
            <w:vAlign w:val="center"/>
          </w:tcPr>
          <w:p w:rsidR="00EE4502" w:rsidRDefault="00EE4502">
            <w:pPr>
              <w:widowControl/>
              <w:tabs>
                <w:tab w:val="left" w:pos="377"/>
              </w:tabs>
              <w:jc w:val="center"/>
              <w:rPr>
                <w:szCs w:val="21"/>
              </w:rPr>
            </w:pPr>
          </w:p>
        </w:tc>
        <w:tc>
          <w:tcPr>
            <w:tcW w:w="568" w:type="pct"/>
            <w:vAlign w:val="center"/>
          </w:tcPr>
          <w:p w:rsidR="00EE4502" w:rsidRDefault="00FD45A3">
            <w:pPr>
              <w:widowControl/>
              <w:tabs>
                <w:tab w:val="left" w:pos="377"/>
              </w:tabs>
              <w:jc w:val="center"/>
              <w:rPr>
                <w:szCs w:val="21"/>
              </w:rPr>
            </w:pPr>
            <w:r>
              <w:rPr>
                <w:rFonts w:hint="eastAsia"/>
                <w:szCs w:val="21"/>
              </w:rPr>
              <w:t>4</w:t>
            </w:r>
            <w:r>
              <w:rPr>
                <w:rFonts w:hint="eastAsia"/>
                <w:szCs w:val="21"/>
              </w:rPr>
              <w:t>~</w:t>
            </w:r>
            <w:r>
              <w:rPr>
                <w:rFonts w:hint="eastAsia"/>
                <w:szCs w:val="21"/>
              </w:rPr>
              <w:t>6</w:t>
            </w:r>
          </w:p>
        </w:tc>
        <w:tc>
          <w:tcPr>
            <w:tcW w:w="715" w:type="pct"/>
            <w:vAlign w:val="center"/>
          </w:tcPr>
          <w:p w:rsidR="00EE4502" w:rsidRDefault="00EE4502">
            <w:pPr>
              <w:widowControl/>
              <w:tabs>
                <w:tab w:val="left" w:pos="377"/>
              </w:tabs>
              <w:jc w:val="center"/>
              <w:rPr>
                <w:szCs w:val="21"/>
              </w:rPr>
            </w:pPr>
          </w:p>
        </w:tc>
      </w:tr>
      <w:tr w:rsidR="00EE4502">
        <w:trPr>
          <w:cantSplit/>
          <w:trHeight w:val="397"/>
          <w:jc w:val="center"/>
        </w:trPr>
        <w:tc>
          <w:tcPr>
            <w:tcW w:w="217" w:type="pct"/>
            <w:vAlign w:val="center"/>
          </w:tcPr>
          <w:p w:rsidR="00EE4502" w:rsidRDefault="00FD45A3">
            <w:pPr>
              <w:widowControl/>
              <w:tabs>
                <w:tab w:val="left" w:pos="377"/>
              </w:tabs>
              <w:jc w:val="center"/>
              <w:rPr>
                <w:szCs w:val="21"/>
              </w:rPr>
            </w:pPr>
            <w:r>
              <w:rPr>
                <w:rFonts w:hint="eastAsia"/>
                <w:szCs w:val="21"/>
              </w:rPr>
              <w:t>3</w:t>
            </w:r>
          </w:p>
        </w:tc>
        <w:tc>
          <w:tcPr>
            <w:tcW w:w="1896" w:type="pct"/>
            <w:vAlign w:val="center"/>
          </w:tcPr>
          <w:p w:rsidR="00EE4502" w:rsidRDefault="00FD45A3">
            <w:pPr>
              <w:widowControl/>
              <w:tabs>
                <w:tab w:val="left" w:pos="377"/>
              </w:tabs>
              <w:jc w:val="center"/>
              <w:rPr>
                <w:szCs w:val="21"/>
              </w:rPr>
            </w:pPr>
            <w:r>
              <w:rPr>
                <w:rFonts w:hint="eastAsia"/>
                <w:szCs w:val="21"/>
              </w:rPr>
              <w:t>膨润土</w:t>
            </w:r>
          </w:p>
        </w:tc>
        <w:tc>
          <w:tcPr>
            <w:tcW w:w="481" w:type="pct"/>
            <w:vAlign w:val="center"/>
          </w:tcPr>
          <w:p w:rsidR="00EE4502" w:rsidRDefault="00FD45A3">
            <w:pPr>
              <w:widowControl/>
              <w:tabs>
                <w:tab w:val="left" w:pos="377"/>
              </w:tabs>
              <w:jc w:val="center"/>
              <w:rPr>
                <w:szCs w:val="21"/>
              </w:rPr>
            </w:pPr>
            <w:r>
              <w:rPr>
                <w:rFonts w:hint="eastAsia"/>
                <w:szCs w:val="21"/>
              </w:rPr>
              <w:t>60</w:t>
            </w:r>
            <w:r>
              <w:rPr>
                <w:rFonts w:hint="eastAsia"/>
                <w:szCs w:val="21"/>
              </w:rPr>
              <w:t>~</w:t>
            </w:r>
            <w:r>
              <w:rPr>
                <w:rFonts w:hint="eastAsia"/>
                <w:szCs w:val="21"/>
              </w:rPr>
              <w:t>80</w:t>
            </w:r>
          </w:p>
        </w:tc>
        <w:tc>
          <w:tcPr>
            <w:tcW w:w="560" w:type="pct"/>
            <w:vAlign w:val="center"/>
          </w:tcPr>
          <w:p w:rsidR="00EE4502" w:rsidRDefault="00EE4502">
            <w:pPr>
              <w:widowControl/>
              <w:tabs>
                <w:tab w:val="left" w:pos="377"/>
              </w:tabs>
              <w:jc w:val="center"/>
              <w:rPr>
                <w:szCs w:val="21"/>
              </w:rPr>
            </w:pPr>
          </w:p>
        </w:tc>
        <w:tc>
          <w:tcPr>
            <w:tcW w:w="561" w:type="pct"/>
            <w:vAlign w:val="center"/>
          </w:tcPr>
          <w:p w:rsidR="00EE4502" w:rsidRDefault="00EE4502">
            <w:pPr>
              <w:widowControl/>
              <w:tabs>
                <w:tab w:val="left" w:pos="377"/>
              </w:tabs>
              <w:jc w:val="center"/>
              <w:rPr>
                <w:szCs w:val="21"/>
              </w:rPr>
            </w:pPr>
          </w:p>
        </w:tc>
        <w:tc>
          <w:tcPr>
            <w:tcW w:w="568" w:type="pct"/>
            <w:vAlign w:val="center"/>
          </w:tcPr>
          <w:p w:rsidR="00EE4502" w:rsidRDefault="00FD45A3">
            <w:pPr>
              <w:widowControl/>
              <w:tabs>
                <w:tab w:val="left" w:pos="377"/>
              </w:tabs>
              <w:jc w:val="center"/>
              <w:rPr>
                <w:szCs w:val="21"/>
              </w:rPr>
            </w:pPr>
            <w:r>
              <w:rPr>
                <w:rFonts w:hint="eastAsia"/>
                <w:szCs w:val="21"/>
              </w:rPr>
              <w:t>60</w:t>
            </w:r>
            <w:r>
              <w:rPr>
                <w:rFonts w:hint="eastAsia"/>
                <w:szCs w:val="21"/>
              </w:rPr>
              <w:t>~</w:t>
            </w:r>
            <w:r>
              <w:rPr>
                <w:rFonts w:hint="eastAsia"/>
                <w:szCs w:val="21"/>
              </w:rPr>
              <w:t>80</w:t>
            </w:r>
          </w:p>
        </w:tc>
        <w:tc>
          <w:tcPr>
            <w:tcW w:w="715" w:type="pct"/>
            <w:vAlign w:val="center"/>
          </w:tcPr>
          <w:p w:rsidR="00EE4502" w:rsidRDefault="00EE4502">
            <w:pPr>
              <w:widowControl/>
              <w:tabs>
                <w:tab w:val="left" w:pos="377"/>
              </w:tabs>
              <w:jc w:val="center"/>
              <w:rPr>
                <w:szCs w:val="21"/>
              </w:rPr>
            </w:pPr>
          </w:p>
        </w:tc>
      </w:tr>
      <w:tr w:rsidR="00EE4502">
        <w:trPr>
          <w:cantSplit/>
          <w:trHeight w:val="397"/>
          <w:jc w:val="center"/>
        </w:trPr>
        <w:tc>
          <w:tcPr>
            <w:tcW w:w="217" w:type="pct"/>
            <w:vAlign w:val="center"/>
          </w:tcPr>
          <w:p w:rsidR="00EE4502" w:rsidRDefault="00FD45A3">
            <w:pPr>
              <w:widowControl/>
              <w:tabs>
                <w:tab w:val="left" w:pos="377"/>
              </w:tabs>
              <w:jc w:val="center"/>
              <w:rPr>
                <w:szCs w:val="21"/>
              </w:rPr>
            </w:pPr>
            <w:r>
              <w:rPr>
                <w:rFonts w:hint="eastAsia"/>
                <w:szCs w:val="21"/>
              </w:rPr>
              <w:t>4</w:t>
            </w:r>
          </w:p>
        </w:tc>
        <w:tc>
          <w:tcPr>
            <w:tcW w:w="1896" w:type="pct"/>
            <w:vAlign w:val="center"/>
          </w:tcPr>
          <w:p w:rsidR="00EE4502" w:rsidRDefault="00FD45A3">
            <w:pPr>
              <w:widowControl/>
              <w:tabs>
                <w:tab w:val="left" w:pos="377"/>
              </w:tabs>
              <w:jc w:val="center"/>
              <w:rPr>
                <w:szCs w:val="21"/>
              </w:rPr>
            </w:pPr>
            <w:r>
              <w:rPr>
                <w:rFonts w:hint="eastAsia"/>
                <w:szCs w:val="21"/>
              </w:rPr>
              <w:t>工业盐</w:t>
            </w:r>
          </w:p>
        </w:tc>
        <w:tc>
          <w:tcPr>
            <w:tcW w:w="481" w:type="pct"/>
            <w:vAlign w:val="center"/>
          </w:tcPr>
          <w:p w:rsidR="00EE4502" w:rsidRDefault="00EE4502">
            <w:pPr>
              <w:widowControl/>
              <w:tabs>
                <w:tab w:val="left" w:pos="377"/>
              </w:tabs>
              <w:jc w:val="center"/>
              <w:rPr>
                <w:szCs w:val="21"/>
              </w:rPr>
            </w:pPr>
          </w:p>
        </w:tc>
        <w:tc>
          <w:tcPr>
            <w:tcW w:w="560" w:type="pct"/>
            <w:vAlign w:val="center"/>
          </w:tcPr>
          <w:p w:rsidR="00EE4502" w:rsidRDefault="00EE4502">
            <w:pPr>
              <w:widowControl/>
              <w:tabs>
                <w:tab w:val="left" w:pos="377"/>
              </w:tabs>
              <w:jc w:val="center"/>
              <w:rPr>
                <w:szCs w:val="21"/>
              </w:rPr>
            </w:pPr>
          </w:p>
        </w:tc>
        <w:tc>
          <w:tcPr>
            <w:tcW w:w="561" w:type="pct"/>
            <w:vAlign w:val="center"/>
          </w:tcPr>
          <w:p w:rsidR="00EE4502" w:rsidRDefault="00EE4502">
            <w:pPr>
              <w:widowControl/>
              <w:tabs>
                <w:tab w:val="left" w:pos="377"/>
              </w:tabs>
              <w:jc w:val="center"/>
              <w:rPr>
                <w:szCs w:val="21"/>
              </w:rPr>
            </w:pPr>
          </w:p>
        </w:tc>
        <w:tc>
          <w:tcPr>
            <w:tcW w:w="568" w:type="pct"/>
            <w:vAlign w:val="center"/>
          </w:tcPr>
          <w:p w:rsidR="00EE4502" w:rsidRDefault="00EE4502">
            <w:pPr>
              <w:widowControl/>
              <w:tabs>
                <w:tab w:val="left" w:pos="377"/>
              </w:tabs>
              <w:jc w:val="center"/>
              <w:rPr>
                <w:szCs w:val="21"/>
              </w:rPr>
            </w:pPr>
          </w:p>
        </w:tc>
        <w:tc>
          <w:tcPr>
            <w:tcW w:w="715" w:type="pct"/>
            <w:vAlign w:val="center"/>
          </w:tcPr>
          <w:p w:rsidR="00EE4502" w:rsidRDefault="00EE4502">
            <w:pPr>
              <w:widowControl/>
              <w:tabs>
                <w:tab w:val="left" w:pos="377"/>
              </w:tabs>
              <w:jc w:val="center"/>
              <w:rPr>
                <w:szCs w:val="21"/>
              </w:rPr>
            </w:pPr>
          </w:p>
        </w:tc>
      </w:tr>
      <w:tr w:rsidR="00EE4502">
        <w:trPr>
          <w:cantSplit/>
          <w:trHeight w:val="397"/>
          <w:jc w:val="center"/>
        </w:trPr>
        <w:tc>
          <w:tcPr>
            <w:tcW w:w="217" w:type="pct"/>
            <w:vAlign w:val="center"/>
          </w:tcPr>
          <w:p w:rsidR="00EE4502" w:rsidRDefault="00FD45A3">
            <w:pPr>
              <w:widowControl/>
              <w:tabs>
                <w:tab w:val="left" w:pos="377"/>
              </w:tabs>
              <w:jc w:val="center"/>
              <w:rPr>
                <w:szCs w:val="21"/>
              </w:rPr>
            </w:pPr>
            <w:r>
              <w:rPr>
                <w:rFonts w:hint="eastAsia"/>
                <w:szCs w:val="21"/>
              </w:rPr>
              <w:t>5</w:t>
            </w:r>
          </w:p>
        </w:tc>
        <w:tc>
          <w:tcPr>
            <w:tcW w:w="1896" w:type="pct"/>
            <w:vAlign w:val="center"/>
          </w:tcPr>
          <w:p w:rsidR="00EE4502" w:rsidRDefault="00FD45A3">
            <w:pPr>
              <w:widowControl/>
              <w:tabs>
                <w:tab w:val="left" w:pos="377"/>
              </w:tabs>
              <w:jc w:val="center"/>
              <w:rPr>
                <w:szCs w:val="21"/>
              </w:rPr>
            </w:pPr>
            <w:r>
              <w:rPr>
                <w:rFonts w:hint="eastAsia"/>
                <w:szCs w:val="21"/>
              </w:rPr>
              <w:t>氯化钙</w:t>
            </w:r>
          </w:p>
        </w:tc>
        <w:tc>
          <w:tcPr>
            <w:tcW w:w="481" w:type="pct"/>
            <w:vAlign w:val="center"/>
          </w:tcPr>
          <w:p w:rsidR="00EE4502" w:rsidRDefault="00EE4502">
            <w:pPr>
              <w:widowControl/>
              <w:tabs>
                <w:tab w:val="left" w:pos="377"/>
              </w:tabs>
              <w:jc w:val="center"/>
              <w:rPr>
                <w:szCs w:val="21"/>
              </w:rPr>
            </w:pPr>
          </w:p>
        </w:tc>
        <w:tc>
          <w:tcPr>
            <w:tcW w:w="560" w:type="pct"/>
            <w:vAlign w:val="center"/>
          </w:tcPr>
          <w:p w:rsidR="00EE4502" w:rsidRDefault="00EE4502">
            <w:pPr>
              <w:widowControl/>
              <w:tabs>
                <w:tab w:val="left" w:pos="377"/>
              </w:tabs>
              <w:jc w:val="center"/>
              <w:rPr>
                <w:szCs w:val="21"/>
              </w:rPr>
            </w:pPr>
          </w:p>
        </w:tc>
        <w:tc>
          <w:tcPr>
            <w:tcW w:w="561" w:type="pct"/>
            <w:vAlign w:val="center"/>
          </w:tcPr>
          <w:p w:rsidR="00EE4502" w:rsidRDefault="00EE4502">
            <w:pPr>
              <w:widowControl/>
              <w:tabs>
                <w:tab w:val="left" w:pos="377"/>
              </w:tabs>
              <w:jc w:val="center"/>
              <w:rPr>
                <w:szCs w:val="21"/>
              </w:rPr>
            </w:pPr>
          </w:p>
        </w:tc>
        <w:tc>
          <w:tcPr>
            <w:tcW w:w="568" w:type="pct"/>
            <w:vAlign w:val="center"/>
          </w:tcPr>
          <w:p w:rsidR="00EE4502" w:rsidRDefault="00EE4502">
            <w:pPr>
              <w:widowControl/>
              <w:tabs>
                <w:tab w:val="left" w:pos="377"/>
              </w:tabs>
              <w:jc w:val="center"/>
              <w:rPr>
                <w:szCs w:val="21"/>
              </w:rPr>
            </w:pPr>
          </w:p>
        </w:tc>
        <w:tc>
          <w:tcPr>
            <w:tcW w:w="715" w:type="pct"/>
            <w:vAlign w:val="center"/>
          </w:tcPr>
          <w:p w:rsidR="00EE4502" w:rsidRDefault="00EE4502">
            <w:pPr>
              <w:widowControl/>
              <w:tabs>
                <w:tab w:val="left" w:pos="377"/>
              </w:tabs>
              <w:jc w:val="center"/>
              <w:rPr>
                <w:szCs w:val="21"/>
              </w:rPr>
            </w:pPr>
          </w:p>
        </w:tc>
      </w:tr>
      <w:tr w:rsidR="00EE4502">
        <w:trPr>
          <w:cantSplit/>
          <w:trHeight w:val="397"/>
          <w:jc w:val="center"/>
        </w:trPr>
        <w:tc>
          <w:tcPr>
            <w:tcW w:w="217" w:type="pct"/>
            <w:vAlign w:val="center"/>
          </w:tcPr>
          <w:p w:rsidR="00EE4502" w:rsidRDefault="00FD45A3">
            <w:pPr>
              <w:widowControl/>
              <w:tabs>
                <w:tab w:val="left" w:pos="377"/>
              </w:tabs>
              <w:jc w:val="center"/>
              <w:rPr>
                <w:szCs w:val="21"/>
              </w:rPr>
            </w:pPr>
            <w:r>
              <w:rPr>
                <w:rFonts w:hint="eastAsia"/>
                <w:szCs w:val="21"/>
              </w:rPr>
              <w:t>6</w:t>
            </w:r>
          </w:p>
        </w:tc>
        <w:tc>
          <w:tcPr>
            <w:tcW w:w="1896" w:type="pct"/>
            <w:vAlign w:val="center"/>
          </w:tcPr>
          <w:p w:rsidR="00EE4502" w:rsidRDefault="00FD45A3">
            <w:pPr>
              <w:widowControl/>
              <w:tabs>
                <w:tab w:val="left" w:pos="377"/>
              </w:tabs>
              <w:jc w:val="center"/>
              <w:rPr>
                <w:szCs w:val="21"/>
              </w:rPr>
            </w:pPr>
            <w:r>
              <w:rPr>
                <w:rFonts w:hint="eastAsia"/>
                <w:szCs w:val="21"/>
              </w:rPr>
              <w:t>钻井液用磺酸盐共聚物降滤失剂</w:t>
            </w:r>
          </w:p>
        </w:tc>
        <w:tc>
          <w:tcPr>
            <w:tcW w:w="481" w:type="pct"/>
            <w:vAlign w:val="center"/>
          </w:tcPr>
          <w:p w:rsidR="00EE4502" w:rsidRDefault="00EE4502">
            <w:pPr>
              <w:widowControl/>
              <w:tabs>
                <w:tab w:val="left" w:pos="377"/>
              </w:tabs>
              <w:jc w:val="center"/>
              <w:rPr>
                <w:szCs w:val="21"/>
              </w:rPr>
            </w:pPr>
          </w:p>
        </w:tc>
        <w:tc>
          <w:tcPr>
            <w:tcW w:w="560" w:type="pct"/>
            <w:vAlign w:val="center"/>
          </w:tcPr>
          <w:p w:rsidR="00EE4502" w:rsidRDefault="00EE4502">
            <w:pPr>
              <w:widowControl/>
              <w:tabs>
                <w:tab w:val="left" w:pos="377"/>
              </w:tabs>
              <w:jc w:val="center"/>
              <w:rPr>
                <w:szCs w:val="21"/>
              </w:rPr>
            </w:pPr>
          </w:p>
        </w:tc>
        <w:tc>
          <w:tcPr>
            <w:tcW w:w="561" w:type="pct"/>
            <w:vAlign w:val="center"/>
          </w:tcPr>
          <w:p w:rsidR="00EE4502" w:rsidRDefault="00EE4502">
            <w:pPr>
              <w:widowControl/>
              <w:tabs>
                <w:tab w:val="left" w:pos="377"/>
              </w:tabs>
              <w:jc w:val="center"/>
              <w:rPr>
                <w:szCs w:val="21"/>
              </w:rPr>
            </w:pPr>
          </w:p>
        </w:tc>
        <w:tc>
          <w:tcPr>
            <w:tcW w:w="568" w:type="pct"/>
            <w:vAlign w:val="center"/>
          </w:tcPr>
          <w:p w:rsidR="00EE4502" w:rsidRDefault="00EE4502">
            <w:pPr>
              <w:widowControl/>
              <w:tabs>
                <w:tab w:val="left" w:pos="377"/>
              </w:tabs>
              <w:jc w:val="center"/>
              <w:rPr>
                <w:szCs w:val="21"/>
              </w:rPr>
            </w:pPr>
          </w:p>
        </w:tc>
        <w:tc>
          <w:tcPr>
            <w:tcW w:w="715" w:type="pct"/>
            <w:vAlign w:val="center"/>
          </w:tcPr>
          <w:p w:rsidR="00EE4502" w:rsidRDefault="00EE4502">
            <w:pPr>
              <w:widowControl/>
              <w:tabs>
                <w:tab w:val="left" w:pos="377"/>
              </w:tabs>
              <w:jc w:val="center"/>
              <w:rPr>
                <w:szCs w:val="21"/>
              </w:rPr>
            </w:pPr>
          </w:p>
        </w:tc>
      </w:tr>
      <w:tr w:rsidR="00EE4502">
        <w:trPr>
          <w:cantSplit/>
          <w:trHeight w:val="397"/>
          <w:jc w:val="center"/>
        </w:trPr>
        <w:tc>
          <w:tcPr>
            <w:tcW w:w="217" w:type="pct"/>
            <w:vAlign w:val="center"/>
          </w:tcPr>
          <w:p w:rsidR="00EE4502" w:rsidRDefault="00FD45A3">
            <w:pPr>
              <w:widowControl/>
              <w:tabs>
                <w:tab w:val="left" w:pos="377"/>
              </w:tabs>
              <w:jc w:val="center"/>
              <w:rPr>
                <w:szCs w:val="21"/>
              </w:rPr>
            </w:pPr>
            <w:r>
              <w:rPr>
                <w:rFonts w:hint="eastAsia"/>
                <w:szCs w:val="21"/>
              </w:rPr>
              <w:t>7</w:t>
            </w:r>
          </w:p>
        </w:tc>
        <w:tc>
          <w:tcPr>
            <w:tcW w:w="1896" w:type="pct"/>
            <w:vAlign w:val="center"/>
          </w:tcPr>
          <w:p w:rsidR="00EE4502" w:rsidRDefault="00FD45A3">
            <w:pPr>
              <w:widowControl/>
              <w:tabs>
                <w:tab w:val="left" w:pos="377"/>
              </w:tabs>
              <w:jc w:val="center"/>
              <w:rPr>
                <w:szCs w:val="21"/>
              </w:rPr>
            </w:pPr>
            <w:r>
              <w:rPr>
                <w:rFonts w:hint="eastAsia"/>
                <w:szCs w:val="21"/>
              </w:rPr>
              <w:t>钻井液用聚阴离子纤维素</w:t>
            </w:r>
            <w:r>
              <w:rPr>
                <w:rFonts w:hint="eastAsia"/>
                <w:szCs w:val="21"/>
              </w:rPr>
              <w:t>PAC-HV</w:t>
            </w:r>
          </w:p>
        </w:tc>
        <w:tc>
          <w:tcPr>
            <w:tcW w:w="481" w:type="pct"/>
            <w:vAlign w:val="center"/>
          </w:tcPr>
          <w:p w:rsidR="00EE4502" w:rsidRDefault="00EE4502">
            <w:pPr>
              <w:widowControl/>
              <w:tabs>
                <w:tab w:val="left" w:pos="377"/>
              </w:tabs>
              <w:jc w:val="center"/>
              <w:rPr>
                <w:szCs w:val="21"/>
              </w:rPr>
            </w:pPr>
          </w:p>
        </w:tc>
        <w:tc>
          <w:tcPr>
            <w:tcW w:w="560" w:type="pct"/>
            <w:vAlign w:val="center"/>
          </w:tcPr>
          <w:p w:rsidR="00EE4502" w:rsidRDefault="00FD45A3">
            <w:pPr>
              <w:widowControl/>
              <w:tabs>
                <w:tab w:val="left" w:pos="377"/>
              </w:tabs>
              <w:jc w:val="center"/>
              <w:rPr>
                <w:szCs w:val="21"/>
              </w:rPr>
            </w:pPr>
            <w:r>
              <w:rPr>
                <w:rFonts w:hint="eastAsia"/>
                <w:szCs w:val="21"/>
              </w:rPr>
              <w:t>3</w:t>
            </w:r>
            <w:r>
              <w:rPr>
                <w:rFonts w:hint="eastAsia"/>
                <w:szCs w:val="21"/>
              </w:rPr>
              <w:t>~</w:t>
            </w:r>
            <w:r>
              <w:rPr>
                <w:rFonts w:hint="eastAsia"/>
                <w:szCs w:val="21"/>
              </w:rPr>
              <w:t>5</w:t>
            </w:r>
          </w:p>
        </w:tc>
        <w:tc>
          <w:tcPr>
            <w:tcW w:w="561" w:type="pct"/>
            <w:vAlign w:val="center"/>
          </w:tcPr>
          <w:p w:rsidR="00EE4502" w:rsidRDefault="00FD45A3">
            <w:pPr>
              <w:widowControl/>
              <w:tabs>
                <w:tab w:val="left" w:pos="377"/>
              </w:tabs>
              <w:jc w:val="center"/>
              <w:rPr>
                <w:szCs w:val="21"/>
              </w:rPr>
            </w:pPr>
            <w:r>
              <w:rPr>
                <w:rFonts w:hint="eastAsia"/>
                <w:szCs w:val="21"/>
              </w:rPr>
              <w:t>10~20</w:t>
            </w:r>
          </w:p>
        </w:tc>
        <w:tc>
          <w:tcPr>
            <w:tcW w:w="568" w:type="pct"/>
            <w:vAlign w:val="center"/>
          </w:tcPr>
          <w:p w:rsidR="00EE4502" w:rsidRDefault="00EE4502">
            <w:pPr>
              <w:widowControl/>
              <w:tabs>
                <w:tab w:val="left" w:pos="377"/>
              </w:tabs>
              <w:jc w:val="center"/>
              <w:rPr>
                <w:szCs w:val="21"/>
              </w:rPr>
            </w:pPr>
          </w:p>
        </w:tc>
        <w:tc>
          <w:tcPr>
            <w:tcW w:w="715" w:type="pct"/>
            <w:vAlign w:val="center"/>
          </w:tcPr>
          <w:p w:rsidR="00EE4502" w:rsidRDefault="00FD45A3">
            <w:pPr>
              <w:widowControl/>
              <w:tabs>
                <w:tab w:val="left" w:pos="377"/>
              </w:tabs>
              <w:jc w:val="center"/>
              <w:rPr>
                <w:szCs w:val="21"/>
              </w:rPr>
            </w:pPr>
            <w:r>
              <w:rPr>
                <w:rFonts w:hint="eastAsia"/>
                <w:szCs w:val="21"/>
              </w:rPr>
              <w:t>3</w:t>
            </w:r>
            <w:r>
              <w:rPr>
                <w:rFonts w:hint="eastAsia"/>
                <w:szCs w:val="21"/>
              </w:rPr>
              <w:t>~</w:t>
            </w:r>
            <w:r>
              <w:rPr>
                <w:rFonts w:hint="eastAsia"/>
                <w:szCs w:val="21"/>
              </w:rPr>
              <w:t>5</w:t>
            </w:r>
          </w:p>
        </w:tc>
      </w:tr>
      <w:tr w:rsidR="00EE4502">
        <w:trPr>
          <w:cantSplit/>
          <w:trHeight w:val="397"/>
          <w:jc w:val="center"/>
        </w:trPr>
        <w:tc>
          <w:tcPr>
            <w:tcW w:w="217" w:type="pct"/>
            <w:vAlign w:val="center"/>
          </w:tcPr>
          <w:p w:rsidR="00EE4502" w:rsidRDefault="00FD45A3">
            <w:pPr>
              <w:widowControl/>
              <w:tabs>
                <w:tab w:val="left" w:pos="377"/>
              </w:tabs>
              <w:jc w:val="center"/>
              <w:rPr>
                <w:szCs w:val="21"/>
              </w:rPr>
            </w:pPr>
            <w:r>
              <w:rPr>
                <w:rFonts w:hint="eastAsia"/>
                <w:szCs w:val="21"/>
              </w:rPr>
              <w:t>8</w:t>
            </w:r>
          </w:p>
        </w:tc>
        <w:tc>
          <w:tcPr>
            <w:tcW w:w="1896" w:type="pct"/>
            <w:vAlign w:val="center"/>
          </w:tcPr>
          <w:p w:rsidR="00EE4502" w:rsidRDefault="00FD45A3">
            <w:pPr>
              <w:widowControl/>
              <w:tabs>
                <w:tab w:val="left" w:pos="377"/>
              </w:tabs>
              <w:jc w:val="center"/>
              <w:rPr>
                <w:szCs w:val="21"/>
              </w:rPr>
            </w:pPr>
            <w:r>
              <w:rPr>
                <w:rFonts w:hint="eastAsia"/>
                <w:szCs w:val="21"/>
              </w:rPr>
              <w:t>钻井液用水解聚丙烯腈铵盐</w:t>
            </w:r>
          </w:p>
        </w:tc>
        <w:tc>
          <w:tcPr>
            <w:tcW w:w="481" w:type="pct"/>
            <w:vAlign w:val="center"/>
          </w:tcPr>
          <w:p w:rsidR="00EE4502" w:rsidRDefault="00EE4502">
            <w:pPr>
              <w:widowControl/>
              <w:tabs>
                <w:tab w:val="left" w:pos="377"/>
              </w:tabs>
              <w:jc w:val="center"/>
              <w:rPr>
                <w:szCs w:val="21"/>
              </w:rPr>
            </w:pPr>
          </w:p>
        </w:tc>
        <w:tc>
          <w:tcPr>
            <w:tcW w:w="560" w:type="pct"/>
            <w:vAlign w:val="center"/>
          </w:tcPr>
          <w:p w:rsidR="00EE4502" w:rsidRDefault="00FD45A3">
            <w:pPr>
              <w:widowControl/>
              <w:tabs>
                <w:tab w:val="left" w:pos="377"/>
              </w:tabs>
              <w:jc w:val="center"/>
              <w:rPr>
                <w:szCs w:val="21"/>
              </w:rPr>
            </w:pPr>
            <w:r>
              <w:rPr>
                <w:rFonts w:hint="eastAsia"/>
                <w:szCs w:val="21"/>
              </w:rPr>
              <w:t>5</w:t>
            </w:r>
            <w:r>
              <w:rPr>
                <w:rFonts w:hint="eastAsia"/>
                <w:szCs w:val="21"/>
              </w:rPr>
              <w:t>~</w:t>
            </w:r>
            <w:r>
              <w:rPr>
                <w:rFonts w:hint="eastAsia"/>
                <w:szCs w:val="21"/>
              </w:rPr>
              <w:t>10</w:t>
            </w:r>
          </w:p>
        </w:tc>
        <w:tc>
          <w:tcPr>
            <w:tcW w:w="561" w:type="pct"/>
            <w:vAlign w:val="center"/>
          </w:tcPr>
          <w:p w:rsidR="00EE4502" w:rsidRDefault="00EE4502">
            <w:pPr>
              <w:widowControl/>
              <w:tabs>
                <w:tab w:val="left" w:pos="377"/>
              </w:tabs>
              <w:jc w:val="center"/>
              <w:rPr>
                <w:szCs w:val="21"/>
              </w:rPr>
            </w:pPr>
          </w:p>
        </w:tc>
        <w:tc>
          <w:tcPr>
            <w:tcW w:w="568" w:type="pct"/>
            <w:vAlign w:val="center"/>
          </w:tcPr>
          <w:p w:rsidR="00EE4502" w:rsidRDefault="00EE4502">
            <w:pPr>
              <w:widowControl/>
              <w:tabs>
                <w:tab w:val="left" w:pos="377"/>
              </w:tabs>
              <w:jc w:val="center"/>
              <w:rPr>
                <w:szCs w:val="21"/>
              </w:rPr>
            </w:pPr>
          </w:p>
        </w:tc>
        <w:tc>
          <w:tcPr>
            <w:tcW w:w="715" w:type="pct"/>
            <w:vAlign w:val="center"/>
          </w:tcPr>
          <w:p w:rsidR="00EE4502" w:rsidRDefault="00FD45A3">
            <w:pPr>
              <w:widowControl/>
              <w:tabs>
                <w:tab w:val="left" w:pos="377"/>
              </w:tabs>
              <w:jc w:val="center"/>
              <w:rPr>
                <w:szCs w:val="21"/>
              </w:rPr>
            </w:pPr>
            <w:r>
              <w:rPr>
                <w:rFonts w:hint="eastAsia"/>
                <w:szCs w:val="21"/>
              </w:rPr>
              <w:t>5</w:t>
            </w:r>
            <w:r>
              <w:rPr>
                <w:rFonts w:hint="eastAsia"/>
                <w:szCs w:val="21"/>
              </w:rPr>
              <w:t>~</w:t>
            </w:r>
            <w:r>
              <w:rPr>
                <w:rFonts w:hint="eastAsia"/>
                <w:szCs w:val="21"/>
              </w:rPr>
              <w:t>10</w:t>
            </w:r>
          </w:p>
        </w:tc>
      </w:tr>
      <w:tr w:rsidR="00EE4502">
        <w:trPr>
          <w:cantSplit/>
          <w:trHeight w:val="397"/>
          <w:jc w:val="center"/>
        </w:trPr>
        <w:tc>
          <w:tcPr>
            <w:tcW w:w="217" w:type="pct"/>
            <w:vAlign w:val="center"/>
          </w:tcPr>
          <w:p w:rsidR="00EE4502" w:rsidRDefault="00FD45A3">
            <w:pPr>
              <w:widowControl/>
              <w:tabs>
                <w:tab w:val="left" w:pos="377"/>
              </w:tabs>
              <w:jc w:val="center"/>
              <w:rPr>
                <w:szCs w:val="21"/>
              </w:rPr>
            </w:pPr>
            <w:r>
              <w:rPr>
                <w:rFonts w:hint="eastAsia"/>
                <w:szCs w:val="21"/>
              </w:rPr>
              <w:t>9</w:t>
            </w:r>
          </w:p>
        </w:tc>
        <w:tc>
          <w:tcPr>
            <w:tcW w:w="1896" w:type="pct"/>
            <w:vAlign w:val="center"/>
          </w:tcPr>
          <w:p w:rsidR="00EE4502" w:rsidRDefault="00FD45A3">
            <w:pPr>
              <w:widowControl/>
              <w:tabs>
                <w:tab w:val="left" w:pos="377"/>
              </w:tabs>
              <w:jc w:val="center"/>
              <w:rPr>
                <w:szCs w:val="21"/>
              </w:rPr>
            </w:pPr>
            <w:r>
              <w:rPr>
                <w:rFonts w:hint="eastAsia"/>
                <w:szCs w:val="21"/>
              </w:rPr>
              <w:t>钻井液用聚丙烯酰胺干粉</w:t>
            </w:r>
          </w:p>
        </w:tc>
        <w:tc>
          <w:tcPr>
            <w:tcW w:w="481" w:type="pct"/>
            <w:vAlign w:val="center"/>
          </w:tcPr>
          <w:p w:rsidR="00EE4502" w:rsidRDefault="00EE4502">
            <w:pPr>
              <w:widowControl/>
              <w:tabs>
                <w:tab w:val="left" w:pos="377"/>
              </w:tabs>
              <w:jc w:val="center"/>
              <w:rPr>
                <w:szCs w:val="21"/>
              </w:rPr>
            </w:pPr>
          </w:p>
        </w:tc>
        <w:tc>
          <w:tcPr>
            <w:tcW w:w="560" w:type="pct"/>
            <w:vAlign w:val="center"/>
          </w:tcPr>
          <w:p w:rsidR="00EE4502" w:rsidRDefault="00FD45A3">
            <w:pPr>
              <w:widowControl/>
              <w:tabs>
                <w:tab w:val="left" w:pos="377"/>
              </w:tabs>
              <w:jc w:val="center"/>
              <w:rPr>
                <w:szCs w:val="21"/>
              </w:rPr>
            </w:pPr>
            <w:r>
              <w:rPr>
                <w:rFonts w:hint="eastAsia"/>
                <w:szCs w:val="21"/>
              </w:rPr>
              <w:t>3</w:t>
            </w:r>
            <w:r>
              <w:rPr>
                <w:rFonts w:hint="eastAsia"/>
                <w:szCs w:val="21"/>
              </w:rPr>
              <w:t>~</w:t>
            </w:r>
            <w:r>
              <w:rPr>
                <w:rFonts w:hint="eastAsia"/>
                <w:szCs w:val="21"/>
              </w:rPr>
              <w:t>5</w:t>
            </w:r>
          </w:p>
        </w:tc>
        <w:tc>
          <w:tcPr>
            <w:tcW w:w="561" w:type="pct"/>
            <w:vAlign w:val="center"/>
          </w:tcPr>
          <w:p w:rsidR="00EE4502" w:rsidRDefault="00EE4502">
            <w:pPr>
              <w:widowControl/>
              <w:tabs>
                <w:tab w:val="left" w:pos="377"/>
              </w:tabs>
              <w:jc w:val="center"/>
              <w:rPr>
                <w:szCs w:val="21"/>
              </w:rPr>
            </w:pPr>
          </w:p>
        </w:tc>
        <w:tc>
          <w:tcPr>
            <w:tcW w:w="568" w:type="pct"/>
            <w:vAlign w:val="center"/>
          </w:tcPr>
          <w:p w:rsidR="00EE4502" w:rsidRDefault="00EE4502">
            <w:pPr>
              <w:widowControl/>
              <w:tabs>
                <w:tab w:val="left" w:pos="377"/>
              </w:tabs>
              <w:jc w:val="center"/>
              <w:rPr>
                <w:szCs w:val="21"/>
              </w:rPr>
            </w:pPr>
          </w:p>
        </w:tc>
        <w:tc>
          <w:tcPr>
            <w:tcW w:w="715" w:type="pct"/>
            <w:vAlign w:val="center"/>
          </w:tcPr>
          <w:p w:rsidR="00EE4502" w:rsidRDefault="00FD45A3">
            <w:pPr>
              <w:widowControl/>
              <w:tabs>
                <w:tab w:val="left" w:pos="377"/>
              </w:tabs>
              <w:jc w:val="center"/>
              <w:rPr>
                <w:szCs w:val="21"/>
              </w:rPr>
            </w:pPr>
            <w:r>
              <w:rPr>
                <w:rFonts w:hint="eastAsia"/>
                <w:szCs w:val="21"/>
              </w:rPr>
              <w:t>3</w:t>
            </w:r>
            <w:r>
              <w:rPr>
                <w:rFonts w:hint="eastAsia"/>
                <w:szCs w:val="21"/>
              </w:rPr>
              <w:t>~</w:t>
            </w:r>
            <w:r>
              <w:rPr>
                <w:rFonts w:hint="eastAsia"/>
                <w:szCs w:val="21"/>
              </w:rPr>
              <w:t>5</w:t>
            </w:r>
          </w:p>
        </w:tc>
      </w:tr>
      <w:tr w:rsidR="00EE4502">
        <w:trPr>
          <w:cantSplit/>
          <w:trHeight w:val="397"/>
          <w:jc w:val="center"/>
        </w:trPr>
        <w:tc>
          <w:tcPr>
            <w:tcW w:w="217" w:type="pct"/>
            <w:vAlign w:val="center"/>
          </w:tcPr>
          <w:p w:rsidR="00EE4502" w:rsidRDefault="00FD45A3">
            <w:pPr>
              <w:widowControl/>
              <w:tabs>
                <w:tab w:val="left" w:pos="377"/>
              </w:tabs>
              <w:jc w:val="center"/>
              <w:rPr>
                <w:szCs w:val="21"/>
              </w:rPr>
            </w:pPr>
            <w:r>
              <w:rPr>
                <w:rFonts w:hint="eastAsia"/>
                <w:szCs w:val="21"/>
              </w:rPr>
              <w:t>10</w:t>
            </w:r>
          </w:p>
        </w:tc>
        <w:tc>
          <w:tcPr>
            <w:tcW w:w="1896" w:type="pct"/>
            <w:vAlign w:val="center"/>
          </w:tcPr>
          <w:p w:rsidR="00EE4502" w:rsidRDefault="00FD45A3">
            <w:pPr>
              <w:widowControl/>
              <w:tabs>
                <w:tab w:val="left" w:pos="377"/>
              </w:tabs>
              <w:jc w:val="center"/>
              <w:rPr>
                <w:szCs w:val="21"/>
              </w:rPr>
            </w:pPr>
            <w:r>
              <w:rPr>
                <w:rFonts w:hint="eastAsia"/>
                <w:szCs w:val="21"/>
              </w:rPr>
              <w:t>钻井液用天然高分子降滤失剂</w:t>
            </w:r>
          </w:p>
        </w:tc>
        <w:tc>
          <w:tcPr>
            <w:tcW w:w="481" w:type="pct"/>
            <w:vAlign w:val="center"/>
          </w:tcPr>
          <w:p w:rsidR="00EE4502" w:rsidRDefault="00EE4502">
            <w:pPr>
              <w:widowControl/>
              <w:tabs>
                <w:tab w:val="left" w:pos="377"/>
              </w:tabs>
              <w:jc w:val="center"/>
              <w:rPr>
                <w:szCs w:val="21"/>
              </w:rPr>
            </w:pPr>
          </w:p>
        </w:tc>
        <w:tc>
          <w:tcPr>
            <w:tcW w:w="560" w:type="pct"/>
            <w:vAlign w:val="center"/>
          </w:tcPr>
          <w:p w:rsidR="00EE4502" w:rsidRDefault="00FD45A3">
            <w:pPr>
              <w:widowControl/>
              <w:tabs>
                <w:tab w:val="left" w:pos="377"/>
              </w:tabs>
              <w:jc w:val="center"/>
              <w:rPr>
                <w:szCs w:val="21"/>
              </w:rPr>
            </w:pPr>
            <w:r>
              <w:rPr>
                <w:rFonts w:hint="eastAsia"/>
                <w:szCs w:val="21"/>
              </w:rPr>
              <w:t>10~15</w:t>
            </w:r>
          </w:p>
        </w:tc>
        <w:tc>
          <w:tcPr>
            <w:tcW w:w="561" w:type="pct"/>
            <w:vAlign w:val="center"/>
          </w:tcPr>
          <w:p w:rsidR="00EE4502" w:rsidRDefault="00EE4502">
            <w:pPr>
              <w:widowControl/>
              <w:tabs>
                <w:tab w:val="left" w:pos="377"/>
              </w:tabs>
              <w:jc w:val="center"/>
              <w:rPr>
                <w:szCs w:val="21"/>
              </w:rPr>
            </w:pPr>
          </w:p>
        </w:tc>
        <w:tc>
          <w:tcPr>
            <w:tcW w:w="568" w:type="pct"/>
            <w:vAlign w:val="center"/>
          </w:tcPr>
          <w:p w:rsidR="00EE4502" w:rsidRDefault="00EE4502">
            <w:pPr>
              <w:widowControl/>
              <w:tabs>
                <w:tab w:val="left" w:pos="377"/>
              </w:tabs>
              <w:jc w:val="center"/>
              <w:rPr>
                <w:szCs w:val="21"/>
              </w:rPr>
            </w:pPr>
          </w:p>
        </w:tc>
        <w:tc>
          <w:tcPr>
            <w:tcW w:w="715" w:type="pct"/>
            <w:vAlign w:val="center"/>
          </w:tcPr>
          <w:p w:rsidR="00EE4502" w:rsidRDefault="00FD45A3">
            <w:pPr>
              <w:widowControl/>
              <w:tabs>
                <w:tab w:val="left" w:pos="377"/>
              </w:tabs>
              <w:jc w:val="center"/>
              <w:rPr>
                <w:szCs w:val="21"/>
              </w:rPr>
            </w:pPr>
            <w:r>
              <w:rPr>
                <w:rFonts w:hint="eastAsia"/>
                <w:szCs w:val="21"/>
              </w:rPr>
              <w:t>10~15</w:t>
            </w:r>
          </w:p>
        </w:tc>
      </w:tr>
      <w:tr w:rsidR="00EE4502">
        <w:trPr>
          <w:cantSplit/>
          <w:trHeight w:val="397"/>
          <w:jc w:val="center"/>
        </w:trPr>
        <w:tc>
          <w:tcPr>
            <w:tcW w:w="217" w:type="pct"/>
            <w:vAlign w:val="center"/>
          </w:tcPr>
          <w:p w:rsidR="00EE4502" w:rsidRDefault="00FD45A3">
            <w:pPr>
              <w:widowControl/>
              <w:tabs>
                <w:tab w:val="left" w:pos="377"/>
              </w:tabs>
              <w:jc w:val="center"/>
              <w:rPr>
                <w:szCs w:val="21"/>
              </w:rPr>
            </w:pPr>
            <w:r>
              <w:rPr>
                <w:rFonts w:hint="eastAsia"/>
                <w:szCs w:val="21"/>
              </w:rPr>
              <w:t>11</w:t>
            </w:r>
          </w:p>
        </w:tc>
        <w:tc>
          <w:tcPr>
            <w:tcW w:w="1896" w:type="pct"/>
            <w:vAlign w:val="center"/>
          </w:tcPr>
          <w:p w:rsidR="00EE4502" w:rsidRDefault="00FD45A3">
            <w:pPr>
              <w:widowControl/>
              <w:tabs>
                <w:tab w:val="left" w:pos="377"/>
              </w:tabs>
              <w:jc w:val="center"/>
              <w:rPr>
                <w:szCs w:val="21"/>
              </w:rPr>
            </w:pPr>
            <w:r>
              <w:rPr>
                <w:rFonts w:hint="eastAsia"/>
                <w:szCs w:val="21"/>
              </w:rPr>
              <w:t>钻井液用防塌降黏降滤失剂</w:t>
            </w:r>
          </w:p>
        </w:tc>
        <w:tc>
          <w:tcPr>
            <w:tcW w:w="481" w:type="pct"/>
            <w:vAlign w:val="center"/>
          </w:tcPr>
          <w:p w:rsidR="00EE4502" w:rsidRDefault="00EE4502">
            <w:pPr>
              <w:widowControl/>
              <w:tabs>
                <w:tab w:val="left" w:pos="377"/>
              </w:tabs>
              <w:jc w:val="center"/>
              <w:rPr>
                <w:szCs w:val="21"/>
              </w:rPr>
            </w:pPr>
          </w:p>
        </w:tc>
        <w:tc>
          <w:tcPr>
            <w:tcW w:w="560" w:type="pct"/>
            <w:vAlign w:val="center"/>
          </w:tcPr>
          <w:p w:rsidR="00EE4502" w:rsidRDefault="00FD45A3">
            <w:pPr>
              <w:widowControl/>
              <w:tabs>
                <w:tab w:val="left" w:pos="377"/>
              </w:tabs>
              <w:jc w:val="center"/>
              <w:rPr>
                <w:szCs w:val="21"/>
              </w:rPr>
            </w:pPr>
            <w:r>
              <w:rPr>
                <w:rFonts w:hint="eastAsia"/>
                <w:szCs w:val="21"/>
              </w:rPr>
              <w:t>10~20</w:t>
            </w:r>
          </w:p>
        </w:tc>
        <w:tc>
          <w:tcPr>
            <w:tcW w:w="561" w:type="pct"/>
            <w:vAlign w:val="center"/>
          </w:tcPr>
          <w:p w:rsidR="00EE4502" w:rsidRDefault="00EE4502">
            <w:pPr>
              <w:widowControl/>
              <w:tabs>
                <w:tab w:val="left" w:pos="377"/>
              </w:tabs>
              <w:jc w:val="center"/>
              <w:rPr>
                <w:szCs w:val="21"/>
              </w:rPr>
            </w:pPr>
          </w:p>
        </w:tc>
        <w:tc>
          <w:tcPr>
            <w:tcW w:w="568" w:type="pct"/>
            <w:vAlign w:val="center"/>
          </w:tcPr>
          <w:p w:rsidR="00EE4502" w:rsidRDefault="00EE4502">
            <w:pPr>
              <w:widowControl/>
              <w:tabs>
                <w:tab w:val="left" w:pos="377"/>
              </w:tabs>
              <w:jc w:val="center"/>
              <w:rPr>
                <w:szCs w:val="21"/>
              </w:rPr>
            </w:pPr>
          </w:p>
        </w:tc>
        <w:tc>
          <w:tcPr>
            <w:tcW w:w="715" w:type="pct"/>
            <w:vAlign w:val="center"/>
          </w:tcPr>
          <w:p w:rsidR="00EE4502" w:rsidRDefault="00FD45A3">
            <w:pPr>
              <w:widowControl/>
              <w:tabs>
                <w:tab w:val="left" w:pos="377"/>
              </w:tabs>
              <w:jc w:val="center"/>
              <w:rPr>
                <w:szCs w:val="21"/>
              </w:rPr>
            </w:pPr>
            <w:r>
              <w:rPr>
                <w:rFonts w:hint="eastAsia"/>
                <w:szCs w:val="21"/>
              </w:rPr>
              <w:t>10~20</w:t>
            </w:r>
          </w:p>
        </w:tc>
      </w:tr>
      <w:tr w:rsidR="00EE4502">
        <w:trPr>
          <w:cantSplit/>
          <w:trHeight w:val="397"/>
          <w:jc w:val="center"/>
        </w:trPr>
        <w:tc>
          <w:tcPr>
            <w:tcW w:w="217" w:type="pct"/>
            <w:vAlign w:val="center"/>
          </w:tcPr>
          <w:p w:rsidR="00EE4502" w:rsidRDefault="00FD45A3">
            <w:pPr>
              <w:widowControl/>
              <w:tabs>
                <w:tab w:val="left" w:pos="377"/>
              </w:tabs>
              <w:jc w:val="center"/>
              <w:rPr>
                <w:szCs w:val="21"/>
              </w:rPr>
            </w:pPr>
            <w:r>
              <w:rPr>
                <w:rFonts w:hint="eastAsia"/>
                <w:szCs w:val="21"/>
              </w:rPr>
              <w:t>12</w:t>
            </w:r>
          </w:p>
        </w:tc>
        <w:tc>
          <w:tcPr>
            <w:tcW w:w="1896" w:type="pct"/>
            <w:vAlign w:val="center"/>
          </w:tcPr>
          <w:p w:rsidR="00EE4502" w:rsidRDefault="00FD45A3">
            <w:pPr>
              <w:widowControl/>
              <w:tabs>
                <w:tab w:val="left" w:pos="377"/>
              </w:tabs>
              <w:jc w:val="center"/>
              <w:rPr>
                <w:szCs w:val="21"/>
              </w:rPr>
            </w:pPr>
            <w:r>
              <w:rPr>
                <w:rFonts w:hint="eastAsia"/>
                <w:szCs w:val="21"/>
              </w:rPr>
              <w:t>钻井液用润滑剂（液体类）</w:t>
            </w:r>
          </w:p>
        </w:tc>
        <w:tc>
          <w:tcPr>
            <w:tcW w:w="481" w:type="pct"/>
            <w:vAlign w:val="center"/>
          </w:tcPr>
          <w:p w:rsidR="00EE4502" w:rsidRDefault="00EE4502">
            <w:pPr>
              <w:widowControl/>
              <w:tabs>
                <w:tab w:val="left" w:pos="377"/>
              </w:tabs>
              <w:jc w:val="center"/>
              <w:rPr>
                <w:szCs w:val="21"/>
              </w:rPr>
            </w:pPr>
          </w:p>
        </w:tc>
        <w:tc>
          <w:tcPr>
            <w:tcW w:w="560" w:type="pct"/>
            <w:vAlign w:val="center"/>
          </w:tcPr>
          <w:p w:rsidR="00EE4502" w:rsidRDefault="00FD45A3">
            <w:pPr>
              <w:widowControl/>
              <w:tabs>
                <w:tab w:val="left" w:pos="377"/>
              </w:tabs>
              <w:jc w:val="center"/>
              <w:rPr>
                <w:szCs w:val="21"/>
              </w:rPr>
            </w:pPr>
            <w:r>
              <w:rPr>
                <w:rFonts w:hint="eastAsia"/>
                <w:szCs w:val="21"/>
              </w:rPr>
              <w:t>20</w:t>
            </w:r>
            <w:r>
              <w:rPr>
                <w:rFonts w:hint="eastAsia"/>
                <w:szCs w:val="21"/>
              </w:rPr>
              <w:t>~</w:t>
            </w:r>
            <w:r>
              <w:rPr>
                <w:rFonts w:hint="eastAsia"/>
                <w:szCs w:val="21"/>
              </w:rPr>
              <w:t>30</w:t>
            </w:r>
          </w:p>
        </w:tc>
        <w:tc>
          <w:tcPr>
            <w:tcW w:w="561" w:type="pct"/>
            <w:vAlign w:val="center"/>
          </w:tcPr>
          <w:p w:rsidR="00EE4502" w:rsidRDefault="00EE4502">
            <w:pPr>
              <w:widowControl/>
              <w:tabs>
                <w:tab w:val="left" w:pos="377"/>
              </w:tabs>
              <w:jc w:val="center"/>
              <w:rPr>
                <w:szCs w:val="21"/>
              </w:rPr>
            </w:pPr>
          </w:p>
        </w:tc>
        <w:tc>
          <w:tcPr>
            <w:tcW w:w="568" w:type="pct"/>
            <w:vAlign w:val="center"/>
          </w:tcPr>
          <w:p w:rsidR="00EE4502" w:rsidRDefault="00EE4502">
            <w:pPr>
              <w:widowControl/>
              <w:tabs>
                <w:tab w:val="left" w:pos="377"/>
              </w:tabs>
              <w:jc w:val="center"/>
              <w:rPr>
                <w:szCs w:val="21"/>
              </w:rPr>
            </w:pPr>
          </w:p>
        </w:tc>
        <w:tc>
          <w:tcPr>
            <w:tcW w:w="715" w:type="pct"/>
            <w:vAlign w:val="center"/>
          </w:tcPr>
          <w:p w:rsidR="00EE4502" w:rsidRDefault="00FD45A3">
            <w:pPr>
              <w:widowControl/>
              <w:tabs>
                <w:tab w:val="left" w:pos="377"/>
              </w:tabs>
              <w:jc w:val="center"/>
              <w:rPr>
                <w:szCs w:val="21"/>
              </w:rPr>
            </w:pPr>
            <w:r>
              <w:rPr>
                <w:rFonts w:hint="eastAsia"/>
                <w:szCs w:val="21"/>
              </w:rPr>
              <w:t>20</w:t>
            </w:r>
            <w:r>
              <w:rPr>
                <w:rFonts w:hint="eastAsia"/>
                <w:szCs w:val="21"/>
              </w:rPr>
              <w:t>~</w:t>
            </w:r>
            <w:r>
              <w:rPr>
                <w:rFonts w:hint="eastAsia"/>
                <w:szCs w:val="21"/>
              </w:rPr>
              <w:t>30</w:t>
            </w:r>
          </w:p>
          <w:p w:rsidR="00EE4502" w:rsidRDefault="00FD45A3">
            <w:pPr>
              <w:widowControl/>
              <w:tabs>
                <w:tab w:val="left" w:pos="377"/>
              </w:tabs>
              <w:jc w:val="center"/>
              <w:rPr>
                <w:szCs w:val="21"/>
              </w:rPr>
            </w:pPr>
            <w:r>
              <w:rPr>
                <w:rFonts w:hint="eastAsia"/>
                <w:szCs w:val="21"/>
              </w:rPr>
              <w:t>（定向井）</w:t>
            </w:r>
          </w:p>
        </w:tc>
      </w:tr>
      <w:tr w:rsidR="00EE4502">
        <w:trPr>
          <w:cantSplit/>
          <w:trHeight w:val="397"/>
          <w:jc w:val="center"/>
        </w:trPr>
        <w:tc>
          <w:tcPr>
            <w:tcW w:w="217" w:type="pct"/>
            <w:vAlign w:val="center"/>
          </w:tcPr>
          <w:p w:rsidR="00EE4502" w:rsidRDefault="00FD45A3">
            <w:pPr>
              <w:widowControl/>
              <w:tabs>
                <w:tab w:val="left" w:pos="377"/>
              </w:tabs>
              <w:jc w:val="center"/>
              <w:rPr>
                <w:szCs w:val="21"/>
              </w:rPr>
            </w:pPr>
            <w:r>
              <w:rPr>
                <w:rFonts w:hint="eastAsia"/>
                <w:szCs w:val="21"/>
              </w:rPr>
              <w:t>13</w:t>
            </w:r>
          </w:p>
        </w:tc>
        <w:tc>
          <w:tcPr>
            <w:tcW w:w="1896" w:type="pct"/>
            <w:vAlign w:val="center"/>
          </w:tcPr>
          <w:p w:rsidR="00EE4502" w:rsidRDefault="00FD45A3">
            <w:pPr>
              <w:widowControl/>
              <w:tabs>
                <w:tab w:val="left" w:pos="377"/>
              </w:tabs>
              <w:jc w:val="center"/>
              <w:rPr>
                <w:szCs w:val="21"/>
              </w:rPr>
            </w:pPr>
            <w:r>
              <w:rPr>
                <w:rFonts w:hint="eastAsia"/>
                <w:szCs w:val="21"/>
              </w:rPr>
              <w:t>钻井液用加重剂</w:t>
            </w:r>
          </w:p>
        </w:tc>
        <w:tc>
          <w:tcPr>
            <w:tcW w:w="481" w:type="pct"/>
            <w:vAlign w:val="center"/>
          </w:tcPr>
          <w:p w:rsidR="00EE4502" w:rsidRDefault="00EE4502">
            <w:pPr>
              <w:widowControl/>
              <w:tabs>
                <w:tab w:val="left" w:pos="377"/>
              </w:tabs>
              <w:jc w:val="center"/>
              <w:rPr>
                <w:szCs w:val="21"/>
              </w:rPr>
            </w:pPr>
          </w:p>
        </w:tc>
        <w:tc>
          <w:tcPr>
            <w:tcW w:w="560" w:type="pct"/>
            <w:vAlign w:val="center"/>
          </w:tcPr>
          <w:p w:rsidR="00EE4502" w:rsidRDefault="00EE4502">
            <w:pPr>
              <w:widowControl/>
              <w:tabs>
                <w:tab w:val="left" w:pos="377"/>
              </w:tabs>
              <w:jc w:val="center"/>
              <w:rPr>
                <w:szCs w:val="21"/>
              </w:rPr>
            </w:pPr>
          </w:p>
        </w:tc>
        <w:tc>
          <w:tcPr>
            <w:tcW w:w="561" w:type="pct"/>
            <w:vAlign w:val="center"/>
          </w:tcPr>
          <w:p w:rsidR="00EE4502" w:rsidRDefault="00EE4502">
            <w:pPr>
              <w:widowControl/>
              <w:tabs>
                <w:tab w:val="left" w:pos="377"/>
              </w:tabs>
              <w:jc w:val="center"/>
              <w:rPr>
                <w:szCs w:val="21"/>
              </w:rPr>
            </w:pPr>
          </w:p>
        </w:tc>
        <w:tc>
          <w:tcPr>
            <w:tcW w:w="568" w:type="pct"/>
            <w:vAlign w:val="center"/>
          </w:tcPr>
          <w:p w:rsidR="00EE4502" w:rsidRDefault="00EE4502">
            <w:pPr>
              <w:widowControl/>
              <w:tabs>
                <w:tab w:val="left" w:pos="377"/>
              </w:tabs>
              <w:jc w:val="center"/>
              <w:rPr>
                <w:szCs w:val="21"/>
              </w:rPr>
            </w:pPr>
          </w:p>
        </w:tc>
        <w:tc>
          <w:tcPr>
            <w:tcW w:w="715" w:type="pct"/>
            <w:vAlign w:val="center"/>
          </w:tcPr>
          <w:p w:rsidR="00EE4502" w:rsidRDefault="00EE4502">
            <w:pPr>
              <w:widowControl/>
              <w:tabs>
                <w:tab w:val="left" w:pos="377"/>
              </w:tabs>
              <w:jc w:val="center"/>
              <w:rPr>
                <w:szCs w:val="21"/>
              </w:rPr>
            </w:pPr>
          </w:p>
        </w:tc>
      </w:tr>
      <w:tr w:rsidR="00EE4502">
        <w:trPr>
          <w:cantSplit/>
          <w:trHeight w:val="397"/>
          <w:jc w:val="center"/>
        </w:trPr>
        <w:tc>
          <w:tcPr>
            <w:tcW w:w="217" w:type="pct"/>
            <w:vAlign w:val="center"/>
          </w:tcPr>
          <w:p w:rsidR="00EE4502" w:rsidRDefault="00FD45A3">
            <w:pPr>
              <w:widowControl/>
              <w:tabs>
                <w:tab w:val="left" w:pos="377"/>
              </w:tabs>
              <w:jc w:val="center"/>
              <w:rPr>
                <w:szCs w:val="21"/>
              </w:rPr>
            </w:pPr>
            <w:r>
              <w:rPr>
                <w:rFonts w:hint="eastAsia"/>
                <w:szCs w:val="21"/>
              </w:rPr>
              <w:t>14</w:t>
            </w:r>
          </w:p>
        </w:tc>
        <w:tc>
          <w:tcPr>
            <w:tcW w:w="1896" w:type="pct"/>
            <w:vAlign w:val="center"/>
          </w:tcPr>
          <w:p w:rsidR="00EE4502" w:rsidRDefault="00FD45A3">
            <w:pPr>
              <w:widowControl/>
              <w:tabs>
                <w:tab w:val="left" w:pos="377"/>
              </w:tabs>
              <w:jc w:val="center"/>
              <w:rPr>
                <w:szCs w:val="21"/>
              </w:rPr>
            </w:pPr>
            <w:r>
              <w:rPr>
                <w:rFonts w:hint="eastAsia"/>
                <w:szCs w:val="21"/>
              </w:rPr>
              <w:t>钻井液用随钻堵漏剂</w:t>
            </w:r>
          </w:p>
        </w:tc>
        <w:tc>
          <w:tcPr>
            <w:tcW w:w="481" w:type="pct"/>
            <w:vAlign w:val="center"/>
          </w:tcPr>
          <w:p w:rsidR="00EE4502" w:rsidRDefault="00EE4502">
            <w:pPr>
              <w:widowControl/>
              <w:tabs>
                <w:tab w:val="left" w:pos="377"/>
              </w:tabs>
              <w:jc w:val="center"/>
              <w:rPr>
                <w:szCs w:val="21"/>
              </w:rPr>
            </w:pPr>
          </w:p>
        </w:tc>
        <w:tc>
          <w:tcPr>
            <w:tcW w:w="560" w:type="pct"/>
            <w:vAlign w:val="center"/>
          </w:tcPr>
          <w:p w:rsidR="00EE4502" w:rsidRDefault="00EE4502">
            <w:pPr>
              <w:widowControl/>
              <w:tabs>
                <w:tab w:val="left" w:pos="377"/>
              </w:tabs>
              <w:jc w:val="center"/>
              <w:rPr>
                <w:szCs w:val="21"/>
              </w:rPr>
            </w:pPr>
          </w:p>
        </w:tc>
        <w:tc>
          <w:tcPr>
            <w:tcW w:w="561" w:type="pct"/>
            <w:vAlign w:val="center"/>
          </w:tcPr>
          <w:p w:rsidR="00EE4502" w:rsidRDefault="00EE4502">
            <w:pPr>
              <w:widowControl/>
              <w:tabs>
                <w:tab w:val="left" w:pos="377"/>
              </w:tabs>
              <w:jc w:val="center"/>
              <w:rPr>
                <w:szCs w:val="21"/>
              </w:rPr>
            </w:pPr>
          </w:p>
        </w:tc>
        <w:tc>
          <w:tcPr>
            <w:tcW w:w="568" w:type="pct"/>
            <w:vAlign w:val="center"/>
          </w:tcPr>
          <w:p w:rsidR="00EE4502" w:rsidRDefault="00EE4502">
            <w:pPr>
              <w:widowControl/>
              <w:tabs>
                <w:tab w:val="left" w:pos="377"/>
              </w:tabs>
              <w:jc w:val="center"/>
              <w:rPr>
                <w:szCs w:val="21"/>
              </w:rPr>
            </w:pPr>
          </w:p>
        </w:tc>
        <w:tc>
          <w:tcPr>
            <w:tcW w:w="715" w:type="pct"/>
            <w:vAlign w:val="center"/>
          </w:tcPr>
          <w:p w:rsidR="00EE4502" w:rsidRDefault="00EE4502">
            <w:pPr>
              <w:widowControl/>
              <w:tabs>
                <w:tab w:val="left" w:pos="377"/>
              </w:tabs>
              <w:jc w:val="center"/>
              <w:rPr>
                <w:szCs w:val="21"/>
              </w:rPr>
            </w:pPr>
          </w:p>
        </w:tc>
      </w:tr>
      <w:tr w:rsidR="00EE4502">
        <w:trPr>
          <w:cantSplit/>
          <w:trHeight w:val="397"/>
          <w:jc w:val="center"/>
        </w:trPr>
        <w:tc>
          <w:tcPr>
            <w:tcW w:w="5000" w:type="pct"/>
            <w:gridSpan w:val="7"/>
            <w:vAlign w:val="center"/>
          </w:tcPr>
          <w:p w:rsidR="00EE4502" w:rsidRDefault="00FD45A3">
            <w:pPr>
              <w:widowControl/>
              <w:tabs>
                <w:tab w:val="left" w:pos="377"/>
              </w:tabs>
              <w:jc w:val="left"/>
              <w:rPr>
                <w:szCs w:val="21"/>
              </w:rPr>
            </w:pPr>
            <w:r>
              <w:rPr>
                <w:rFonts w:hint="eastAsia"/>
                <w:szCs w:val="21"/>
              </w:rPr>
              <w:t>其它：固体润滑剂等</w:t>
            </w:r>
          </w:p>
        </w:tc>
      </w:tr>
    </w:tbl>
    <w:p w:rsidR="00EE4502" w:rsidRDefault="00EE4502">
      <w:pPr>
        <w:jc w:val="center"/>
        <w:rPr>
          <w:sz w:val="18"/>
          <w:szCs w:val="18"/>
        </w:rPr>
      </w:pPr>
    </w:p>
    <w:p w:rsidR="00EE4502" w:rsidRDefault="00FD45A3">
      <w:pPr>
        <w:spacing w:line="360" w:lineRule="auto"/>
        <w:ind w:firstLineChars="200" w:firstLine="480"/>
        <w:rPr>
          <w:rFonts w:ascii="楷体" w:eastAsia="楷体" w:hAnsi="楷体" w:cs="楷体"/>
          <w:sz w:val="24"/>
        </w:rPr>
      </w:pPr>
      <w:r>
        <w:rPr>
          <w:rFonts w:ascii="楷体" w:eastAsia="楷体" w:hAnsi="楷体" w:cs="楷体" w:hint="eastAsia"/>
          <w:sz w:val="24"/>
        </w:rPr>
        <w:t>钻井液维护处理要点</w:t>
      </w:r>
      <w:r>
        <w:rPr>
          <w:rFonts w:ascii="楷体" w:eastAsia="楷体" w:hAnsi="楷体" w:cs="楷体" w:hint="eastAsia"/>
          <w:sz w:val="24"/>
        </w:rPr>
        <w:t>：</w:t>
      </w:r>
    </w:p>
    <w:p w:rsidR="00EE4502" w:rsidRDefault="00FD45A3">
      <w:pPr>
        <w:spacing w:line="360" w:lineRule="auto"/>
        <w:ind w:firstLineChars="200" w:firstLine="482"/>
        <w:rPr>
          <w:b/>
          <w:bCs/>
          <w:sz w:val="24"/>
        </w:rPr>
      </w:pPr>
      <w:r>
        <w:rPr>
          <w:rFonts w:hint="eastAsia"/>
          <w:b/>
          <w:bCs/>
          <w:sz w:val="24"/>
        </w:rPr>
        <w:t>1</w:t>
      </w:r>
      <w:r>
        <w:rPr>
          <w:rFonts w:hint="eastAsia"/>
          <w:b/>
          <w:bCs/>
          <w:sz w:val="24"/>
        </w:rPr>
        <w:t>）一开</w:t>
      </w:r>
    </w:p>
    <w:p w:rsidR="00EE4502" w:rsidRDefault="00FD45A3">
      <w:pPr>
        <w:spacing w:line="360" w:lineRule="auto"/>
        <w:ind w:firstLineChars="200" w:firstLine="480"/>
        <w:rPr>
          <w:sz w:val="24"/>
        </w:rPr>
      </w:pPr>
      <w:r>
        <w:rPr>
          <w:rFonts w:hint="eastAsia"/>
          <w:sz w:val="24"/>
        </w:rPr>
        <w:t>①开钻前备足钻井液材料，配齐各种钻井液性能检测仪器。</w:t>
      </w:r>
    </w:p>
    <w:p w:rsidR="00EE4502" w:rsidRDefault="00FD45A3">
      <w:pPr>
        <w:spacing w:line="360" w:lineRule="auto"/>
        <w:ind w:firstLineChars="200" w:firstLine="480"/>
        <w:rPr>
          <w:sz w:val="24"/>
        </w:rPr>
      </w:pPr>
      <w:r>
        <w:rPr>
          <w:rFonts w:hint="eastAsia"/>
          <w:sz w:val="24"/>
        </w:rPr>
        <w:t>②一开井段配制充足的膨润土浆，预水化</w:t>
      </w:r>
      <w:r>
        <w:rPr>
          <w:rFonts w:hint="eastAsia"/>
          <w:sz w:val="24"/>
        </w:rPr>
        <w:t>24h</w:t>
      </w:r>
      <w:r>
        <w:rPr>
          <w:rFonts w:hint="eastAsia"/>
          <w:sz w:val="24"/>
        </w:rPr>
        <w:t>后开钻，适当</w:t>
      </w:r>
      <w:r>
        <w:rPr>
          <w:rFonts w:hint="eastAsia"/>
          <w:sz w:val="24"/>
        </w:rPr>
        <w:t>提高粘度</w:t>
      </w:r>
      <w:r>
        <w:rPr>
          <w:rFonts w:hint="eastAsia"/>
          <w:sz w:val="24"/>
        </w:rPr>
        <w:t>和切力，以利于钻屑的悬浮和携带。</w:t>
      </w:r>
    </w:p>
    <w:p w:rsidR="00EE4502" w:rsidRDefault="00FD45A3">
      <w:pPr>
        <w:spacing w:line="360" w:lineRule="auto"/>
        <w:ind w:firstLineChars="200" w:firstLine="480"/>
        <w:rPr>
          <w:sz w:val="24"/>
        </w:rPr>
      </w:pPr>
      <w:r>
        <w:rPr>
          <w:rFonts w:hint="eastAsia"/>
          <w:sz w:val="24"/>
        </w:rPr>
        <w:t>③一开井段具有井径大、地层松软等特点，钻进过程中要保证足够的排量。</w:t>
      </w:r>
    </w:p>
    <w:p w:rsidR="00EE4502" w:rsidRDefault="00FD45A3">
      <w:pPr>
        <w:spacing w:line="360" w:lineRule="auto"/>
        <w:ind w:firstLineChars="200" w:firstLine="480"/>
        <w:rPr>
          <w:sz w:val="24"/>
        </w:rPr>
      </w:pPr>
      <w:r>
        <w:rPr>
          <w:rFonts w:hint="eastAsia"/>
          <w:sz w:val="24"/>
        </w:rPr>
        <w:t>④当钻至设计井深后，要进行充分的循环和通井，在确认井眼干净、无沉砂、</w:t>
      </w:r>
      <w:r>
        <w:rPr>
          <w:rFonts w:hint="eastAsia"/>
          <w:sz w:val="24"/>
        </w:rPr>
        <w:lastRenderedPageBreak/>
        <w:t>无井壁坍塌后方能起钻，以确保下套管和固井的顺利施工。</w:t>
      </w:r>
    </w:p>
    <w:p w:rsidR="00EE4502" w:rsidRDefault="00FD45A3">
      <w:pPr>
        <w:spacing w:line="360" w:lineRule="auto"/>
        <w:ind w:firstLineChars="200" w:firstLine="480"/>
        <w:rPr>
          <w:sz w:val="24"/>
        </w:rPr>
      </w:pPr>
      <w:r>
        <w:rPr>
          <w:rFonts w:hint="eastAsia"/>
          <w:sz w:val="24"/>
        </w:rPr>
        <w:t>⑤本阶段产生的钻井固废属于一般固体废物。</w:t>
      </w:r>
    </w:p>
    <w:p w:rsidR="00EE4502" w:rsidRDefault="00FD45A3">
      <w:pPr>
        <w:spacing w:line="360" w:lineRule="auto"/>
        <w:ind w:firstLineChars="200" w:firstLine="482"/>
        <w:rPr>
          <w:sz w:val="24"/>
        </w:rPr>
      </w:pPr>
      <w:r>
        <w:rPr>
          <w:rFonts w:hint="eastAsia"/>
          <w:b/>
          <w:bCs/>
          <w:sz w:val="24"/>
        </w:rPr>
        <w:t>2</w:t>
      </w:r>
      <w:r>
        <w:rPr>
          <w:rFonts w:hint="eastAsia"/>
          <w:b/>
          <w:bCs/>
          <w:sz w:val="24"/>
        </w:rPr>
        <w:t>）二开</w:t>
      </w:r>
    </w:p>
    <w:p w:rsidR="00EE4502" w:rsidRDefault="00FD45A3">
      <w:pPr>
        <w:spacing w:line="360" w:lineRule="auto"/>
        <w:ind w:firstLineChars="200" w:firstLine="480"/>
        <w:rPr>
          <w:sz w:val="24"/>
        </w:rPr>
      </w:pPr>
      <w:r>
        <w:rPr>
          <w:rFonts w:hint="eastAsia"/>
          <w:sz w:val="24"/>
        </w:rPr>
        <w:t>①二开上部地层胶结松散，可钻性高，钻井过程中应注意砂岩厚滤饼的阻卡。钻井液主要以携带岩屑、稳定井壁，确保安全钻进为目的。</w:t>
      </w:r>
    </w:p>
    <w:p w:rsidR="00EE4502" w:rsidRDefault="00FD45A3">
      <w:pPr>
        <w:spacing w:line="360" w:lineRule="auto"/>
        <w:ind w:firstLineChars="200" w:firstLine="480"/>
        <w:rPr>
          <w:sz w:val="24"/>
        </w:rPr>
      </w:pPr>
      <w:r>
        <w:rPr>
          <w:rFonts w:hint="eastAsia"/>
          <w:sz w:val="24"/>
        </w:rPr>
        <w:t>②按配方提示加入各种处理剂，调整至设计性能。</w:t>
      </w:r>
    </w:p>
    <w:p w:rsidR="00EE4502" w:rsidRDefault="00FD45A3">
      <w:pPr>
        <w:spacing w:line="360" w:lineRule="auto"/>
        <w:ind w:firstLineChars="200" w:firstLine="480"/>
        <w:rPr>
          <w:sz w:val="24"/>
        </w:rPr>
      </w:pPr>
      <w:r>
        <w:rPr>
          <w:rFonts w:hint="eastAsia"/>
          <w:sz w:val="24"/>
        </w:rPr>
        <w:t>③钻进中细水长流地补充</w:t>
      </w:r>
      <w:r>
        <w:rPr>
          <w:rFonts w:hint="eastAsia"/>
          <w:sz w:val="24"/>
        </w:rPr>
        <w:t>PAM</w:t>
      </w:r>
      <w:r>
        <w:rPr>
          <w:rFonts w:hint="eastAsia"/>
          <w:sz w:val="24"/>
        </w:rPr>
        <w:t>胶液，增加钻井液的包被抑制性，控</w:t>
      </w:r>
      <w:r>
        <w:rPr>
          <w:rFonts w:hint="eastAsia"/>
          <w:sz w:val="24"/>
        </w:rPr>
        <w:t>制地层造浆，保持钻井液性能稳定。</w:t>
      </w:r>
    </w:p>
    <w:p w:rsidR="00EE4502" w:rsidRDefault="00FD45A3">
      <w:pPr>
        <w:spacing w:line="360" w:lineRule="auto"/>
        <w:ind w:firstLineChars="200" w:firstLine="480"/>
        <w:rPr>
          <w:sz w:val="24"/>
        </w:rPr>
      </w:pPr>
      <w:r>
        <w:rPr>
          <w:rFonts w:hint="eastAsia"/>
          <w:sz w:val="24"/>
        </w:rPr>
        <w:t>④及时补充加入抑制防塌材料，提高钻井液的防塌效果，改善滤饼质量。</w:t>
      </w:r>
    </w:p>
    <w:p w:rsidR="00EE4502" w:rsidRDefault="00FD45A3">
      <w:pPr>
        <w:spacing w:line="360" w:lineRule="auto"/>
        <w:ind w:firstLineChars="200" w:firstLine="480"/>
        <w:rPr>
          <w:sz w:val="24"/>
        </w:rPr>
      </w:pPr>
      <w:r>
        <w:rPr>
          <w:rFonts w:hint="eastAsia"/>
          <w:sz w:val="24"/>
        </w:rPr>
        <w:t>⑤定向前处理好钻井液，加入适量润滑剂。提高钻井液的清洁、润滑性能，防止泥包钻头。</w:t>
      </w:r>
    </w:p>
    <w:p w:rsidR="00EE4502" w:rsidRDefault="00FD45A3">
      <w:pPr>
        <w:spacing w:line="360" w:lineRule="auto"/>
        <w:ind w:firstLineChars="200" w:firstLine="480"/>
        <w:rPr>
          <w:sz w:val="24"/>
        </w:rPr>
      </w:pPr>
      <w:r>
        <w:rPr>
          <w:rFonts w:hint="eastAsia"/>
          <w:sz w:val="24"/>
        </w:rPr>
        <w:t>⑥钻进中全部启动固控设备，及时清除钻屑和有害固相，严格控制钻井液中的劣质固相含量，防止井壁形成厚滤饼。</w:t>
      </w:r>
    </w:p>
    <w:p w:rsidR="00EE4502" w:rsidRDefault="00FD45A3">
      <w:pPr>
        <w:spacing w:line="360" w:lineRule="auto"/>
        <w:ind w:firstLineChars="200" w:firstLine="480"/>
        <w:rPr>
          <w:sz w:val="24"/>
        </w:rPr>
      </w:pPr>
      <w:r>
        <w:rPr>
          <w:rFonts w:hint="eastAsia"/>
          <w:sz w:val="24"/>
        </w:rPr>
        <w:t>⑦为了有效预防缩径阻卡，工程与钻井液应密切配合，执行勤短起下的措施。在开泵和起下钻过程中，要平稳操作，防止引起井漏、井壁坍塌、卡钻等复杂情况。</w:t>
      </w:r>
    </w:p>
    <w:p w:rsidR="00EE4502" w:rsidRDefault="00FD45A3">
      <w:pPr>
        <w:spacing w:line="360" w:lineRule="auto"/>
        <w:ind w:firstLineChars="200" w:firstLine="480"/>
        <w:rPr>
          <w:sz w:val="24"/>
        </w:rPr>
      </w:pPr>
      <w:r>
        <w:rPr>
          <w:rFonts w:hint="eastAsia"/>
          <w:sz w:val="24"/>
        </w:rPr>
        <w:t>⑧下套管前，加入适量的随钻堵漏剂，有效预防白垩系、侏罗系、石炭系不整合面固井井漏。</w:t>
      </w:r>
    </w:p>
    <w:p w:rsidR="00EE4502" w:rsidRDefault="00FD45A3">
      <w:pPr>
        <w:spacing w:line="360" w:lineRule="auto"/>
        <w:ind w:firstLineChars="200" w:firstLine="480"/>
        <w:rPr>
          <w:sz w:val="24"/>
        </w:rPr>
      </w:pPr>
      <w:r>
        <w:rPr>
          <w:rFonts w:hint="eastAsia"/>
          <w:sz w:val="24"/>
        </w:rPr>
        <w:t>⑤本阶段产生的钻井固废属于一般固体废物。</w:t>
      </w:r>
    </w:p>
    <w:p w:rsidR="00EE4502" w:rsidRDefault="00FD45A3">
      <w:pPr>
        <w:spacing w:line="360" w:lineRule="auto"/>
        <w:ind w:firstLineChars="200" w:firstLine="482"/>
        <w:rPr>
          <w:sz w:val="24"/>
        </w:rPr>
      </w:pPr>
      <w:r>
        <w:rPr>
          <w:rFonts w:hint="eastAsia"/>
          <w:b/>
          <w:bCs/>
          <w:sz w:val="24"/>
        </w:rPr>
        <w:t>3</w:t>
      </w:r>
      <w:r>
        <w:rPr>
          <w:rFonts w:hint="eastAsia"/>
          <w:b/>
          <w:bCs/>
          <w:sz w:val="24"/>
        </w:rPr>
        <w:t>）三开</w:t>
      </w:r>
    </w:p>
    <w:p w:rsidR="00EE4502" w:rsidRDefault="00FD45A3">
      <w:pPr>
        <w:spacing w:line="360" w:lineRule="auto"/>
        <w:ind w:firstLineChars="200" w:firstLine="480"/>
        <w:rPr>
          <w:sz w:val="24"/>
        </w:rPr>
      </w:pPr>
      <w:r>
        <w:rPr>
          <w:rFonts w:hint="eastAsia"/>
          <w:sz w:val="24"/>
        </w:rPr>
        <w:t>①石炭系为目的层，注意保护好储层。</w:t>
      </w:r>
    </w:p>
    <w:p w:rsidR="00EE4502" w:rsidRDefault="00FD45A3">
      <w:pPr>
        <w:spacing w:line="360" w:lineRule="auto"/>
        <w:ind w:firstLineChars="200" w:firstLine="480"/>
        <w:rPr>
          <w:sz w:val="24"/>
        </w:rPr>
      </w:pPr>
      <w:r>
        <w:rPr>
          <w:rFonts w:hint="eastAsia"/>
          <w:sz w:val="24"/>
        </w:rPr>
        <w:t>②按配方重新配制钻井液，把黏度调高至</w:t>
      </w:r>
      <w:r>
        <w:rPr>
          <w:rFonts w:hint="eastAsia"/>
          <w:sz w:val="24"/>
        </w:rPr>
        <w:t>（</w:t>
      </w:r>
      <w:r>
        <w:rPr>
          <w:rFonts w:hint="eastAsia"/>
          <w:sz w:val="24"/>
        </w:rPr>
        <w:t>40</w:t>
      </w:r>
      <w:r>
        <w:rPr>
          <w:rFonts w:hint="eastAsia"/>
          <w:sz w:val="24"/>
        </w:rPr>
        <w:t>～</w:t>
      </w:r>
      <w:r>
        <w:rPr>
          <w:rFonts w:hint="eastAsia"/>
          <w:sz w:val="24"/>
        </w:rPr>
        <w:t>50</w:t>
      </w:r>
      <w:r>
        <w:rPr>
          <w:rFonts w:hint="eastAsia"/>
          <w:sz w:val="24"/>
        </w:rPr>
        <w:t>）</w:t>
      </w:r>
      <w:r>
        <w:rPr>
          <w:rFonts w:hint="eastAsia"/>
          <w:sz w:val="24"/>
        </w:rPr>
        <w:t>s</w:t>
      </w:r>
      <w:r>
        <w:rPr>
          <w:rFonts w:hint="eastAsia"/>
          <w:sz w:val="24"/>
        </w:rPr>
        <w:t>，密度保持在</w:t>
      </w:r>
      <w:r>
        <w:rPr>
          <w:rFonts w:hint="eastAsia"/>
          <w:sz w:val="24"/>
        </w:rPr>
        <w:t>1.08g/cm</w:t>
      </w:r>
      <w:r>
        <w:rPr>
          <w:rFonts w:hint="eastAsia"/>
          <w:sz w:val="24"/>
          <w:vertAlign w:val="superscript"/>
        </w:rPr>
        <w:t>3</w:t>
      </w:r>
      <w:r>
        <w:rPr>
          <w:rFonts w:hint="eastAsia"/>
          <w:sz w:val="24"/>
        </w:rPr>
        <w:t>以内，加入增黏剂，保持钻井液能较好地携带岩屑。</w:t>
      </w:r>
    </w:p>
    <w:p w:rsidR="00EE4502" w:rsidRDefault="00FD45A3">
      <w:pPr>
        <w:spacing w:line="360" w:lineRule="auto"/>
        <w:ind w:firstLineChars="200" w:firstLine="480"/>
        <w:rPr>
          <w:sz w:val="24"/>
        </w:rPr>
      </w:pPr>
      <w:r>
        <w:rPr>
          <w:rFonts w:hint="eastAsia"/>
          <w:sz w:val="24"/>
        </w:rPr>
        <w:t>③石炭系易发生漏失，井场储备足量的清水。</w:t>
      </w:r>
    </w:p>
    <w:p w:rsidR="00EE4502" w:rsidRDefault="00FD45A3">
      <w:pPr>
        <w:spacing w:line="360" w:lineRule="auto"/>
        <w:ind w:firstLineChars="200" w:firstLine="480"/>
        <w:rPr>
          <w:sz w:val="24"/>
        </w:rPr>
      </w:pPr>
      <w:r>
        <w:rPr>
          <w:rFonts w:hint="eastAsia"/>
          <w:sz w:val="24"/>
        </w:rPr>
        <w:t>④启动固控设备，及时清除钻屑和有害固相，严格控制钻井液中的劣质固相含量，防止井壁形成厚滤饼。</w:t>
      </w:r>
    </w:p>
    <w:p w:rsidR="00EE4502" w:rsidRDefault="00FD45A3">
      <w:pPr>
        <w:spacing w:line="360" w:lineRule="auto"/>
        <w:ind w:firstLineChars="200" w:firstLine="480"/>
        <w:rPr>
          <w:sz w:val="24"/>
        </w:rPr>
      </w:pPr>
      <w:r>
        <w:rPr>
          <w:rFonts w:hint="eastAsia"/>
          <w:sz w:val="24"/>
        </w:rPr>
        <w:t>⑤若需提高密度，可加入工业盐。</w:t>
      </w:r>
    </w:p>
    <w:p w:rsidR="00EE4502" w:rsidRDefault="00FD45A3">
      <w:pPr>
        <w:spacing w:line="360" w:lineRule="auto"/>
        <w:ind w:firstLineChars="200" w:firstLine="480"/>
        <w:rPr>
          <w:sz w:val="24"/>
        </w:rPr>
      </w:pPr>
      <w:r>
        <w:rPr>
          <w:rFonts w:hint="eastAsia"/>
          <w:sz w:val="24"/>
        </w:rPr>
        <w:t>⑥下筛管前，调整好钻井液性能。</w:t>
      </w:r>
    </w:p>
    <w:p w:rsidR="00EE4502" w:rsidRDefault="00FD45A3">
      <w:pPr>
        <w:spacing w:line="360" w:lineRule="auto"/>
        <w:ind w:firstLineChars="200" w:firstLine="480"/>
        <w:rPr>
          <w:sz w:val="24"/>
        </w:rPr>
      </w:pPr>
      <w:r>
        <w:rPr>
          <w:rFonts w:hint="eastAsia"/>
          <w:sz w:val="24"/>
        </w:rPr>
        <w:t>⑦本阶段产生的钻井固废属于一般固体废物</w:t>
      </w:r>
      <w:r>
        <w:rPr>
          <w:rFonts w:hint="eastAsia"/>
          <w:sz w:val="24"/>
        </w:rPr>
        <w:t>。</w:t>
      </w:r>
    </w:p>
    <w:p w:rsidR="00EE4502" w:rsidRDefault="00FD45A3">
      <w:pPr>
        <w:spacing w:line="360" w:lineRule="auto"/>
        <w:ind w:firstLineChars="200" w:firstLine="480"/>
        <w:rPr>
          <w:sz w:val="24"/>
        </w:rPr>
      </w:pPr>
      <w:r>
        <w:rPr>
          <w:rFonts w:hint="eastAsia"/>
          <w:sz w:val="24"/>
        </w:rPr>
        <w:t>钻井液材料用量设计分别见</w:t>
      </w:r>
      <w:r>
        <w:rPr>
          <w:rFonts w:hint="eastAsia"/>
          <w:sz w:val="24"/>
        </w:rPr>
        <w:t>下</w:t>
      </w:r>
      <w:r>
        <w:rPr>
          <w:rFonts w:hint="eastAsia"/>
          <w:sz w:val="24"/>
        </w:rPr>
        <w:t>表。</w:t>
      </w:r>
    </w:p>
    <w:p w:rsidR="00EE4502" w:rsidRDefault="00FD45A3">
      <w:pPr>
        <w:spacing w:line="360" w:lineRule="auto"/>
        <w:jc w:val="center"/>
        <w:rPr>
          <w:rFonts w:ascii="黑体" w:eastAsia="黑体" w:hAnsi="黑体" w:cs="黑体"/>
          <w:szCs w:val="21"/>
        </w:rPr>
      </w:pPr>
      <w:r>
        <w:rPr>
          <w:rFonts w:ascii="黑体" w:eastAsia="黑体" w:hAnsi="黑体" w:cs="黑体" w:hint="eastAsia"/>
          <w:szCs w:val="21"/>
        </w:rPr>
        <w:lastRenderedPageBreak/>
        <w:t>表</w:t>
      </w:r>
      <w:r>
        <w:rPr>
          <w:rFonts w:ascii="黑体" w:eastAsia="黑体" w:hAnsi="黑体" w:cs="黑体" w:hint="eastAsia"/>
          <w:szCs w:val="21"/>
        </w:rPr>
        <w:t>3-</w:t>
      </w:r>
      <w:r>
        <w:rPr>
          <w:rFonts w:ascii="黑体" w:eastAsia="黑体" w:hAnsi="黑体" w:cs="黑体" w:hint="eastAsia"/>
          <w:szCs w:val="21"/>
        </w:rPr>
        <w:t>3</w:t>
      </w:r>
      <w:r>
        <w:rPr>
          <w:rFonts w:ascii="黑体" w:eastAsia="黑体" w:hAnsi="黑体" w:cs="黑体" w:hint="eastAsia"/>
          <w:szCs w:val="21"/>
        </w:rPr>
        <w:t>-</w:t>
      </w:r>
      <w:r>
        <w:rPr>
          <w:rFonts w:ascii="黑体" w:eastAsia="黑体" w:hAnsi="黑体" w:cs="黑体" w:hint="eastAsia"/>
          <w:szCs w:val="21"/>
        </w:rPr>
        <w:t>16</w:t>
      </w:r>
      <w:r>
        <w:rPr>
          <w:rFonts w:ascii="黑体" w:eastAsia="黑体" w:hAnsi="黑体" w:cs="黑体" w:hint="eastAsia"/>
          <w:szCs w:val="21"/>
        </w:rPr>
        <w:t xml:space="preserve">  </w:t>
      </w:r>
      <w:r>
        <w:rPr>
          <w:rFonts w:ascii="黑体" w:eastAsia="黑体" w:hAnsi="黑体" w:cs="黑体" w:hint="eastAsia"/>
          <w:szCs w:val="21"/>
        </w:rPr>
        <w:t>钻井液材料用量设计</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91"/>
        <w:gridCol w:w="4185"/>
        <w:gridCol w:w="1390"/>
        <w:gridCol w:w="1151"/>
        <w:gridCol w:w="1200"/>
      </w:tblGrid>
      <w:tr w:rsidR="00EE4502">
        <w:trPr>
          <w:cantSplit/>
          <w:trHeight w:val="397"/>
          <w:tblHeader/>
          <w:jc w:val="center"/>
        </w:trPr>
        <w:tc>
          <w:tcPr>
            <w:tcW w:w="291" w:type="pct"/>
            <w:vMerge w:val="restar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序号</w:t>
            </w:r>
          </w:p>
        </w:tc>
        <w:tc>
          <w:tcPr>
            <w:tcW w:w="2486" w:type="pct"/>
            <w:vMerge w:val="restar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材料名称及代号</w:t>
            </w:r>
          </w:p>
        </w:tc>
        <w:tc>
          <w:tcPr>
            <w:tcW w:w="2222" w:type="pct"/>
            <w:gridSpan w:val="3"/>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平均用量（</w:t>
            </w:r>
            <w:r>
              <w:rPr>
                <w:rFonts w:hint="eastAsia"/>
                <w:szCs w:val="21"/>
              </w:rPr>
              <w:t>t</w:t>
            </w:r>
            <w:r>
              <w:rPr>
                <w:rFonts w:hint="eastAsia"/>
                <w:szCs w:val="21"/>
              </w:rPr>
              <w:t>）</w:t>
            </w:r>
          </w:p>
        </w:tc>
      </w:tr>
      <w:tr w:rsidR="00EE4502">
        <w:trPr>
          <w:cantSplit/>
          <w:trHeight w:val="397"/>
          <w:jc w:val="center"/>
        </w:trPr>
        <w:tc>
          <w:tcPr>
            <w:tcW w:w="291" w:type="pct"/>
            <w:vMerge/>
            <w:tcBorders>
              <w:top w:val="single" w:sz="4" w:space="0" w:color="auto"/>
              <w:left w:val="single" w:sz="4" w:space="0" w:color="auto"/>
              <w:bottom w:val="single" w:sz="4" w:space="0" w:color="auto"/>
              <w:right w:val="single" w:sz="4" w:space="0" w:color="auto"/>
            </w:tcBorders>
            <w:vAlign w:val="center"/>
          </w:tcPr>
          <w:p w:rsidR="00EE4502" w:rsidRDefault="00EE4502">
            <w:pPr>
              <w:widowControl/>
              <w:tabs>
                <w:tab w:val="left" w:pos="377"/>
              </w:tabs>
              <w:jc w:val="center"/>
              <w:rPr>
                <w:szCs w:val="21"/>
              </w:rPr>
            </w:pPr>
          </w:p>
        </w:tc>
        <w:tc>
          <w:tcPr>
            <w:tcW w:w="2486" w:type="pct"/>
            <w:vMerge/>
            <w:tcBorders>
              <w:top w:val="single" w:sz="4" w:space="0" w:color="auto"/>
              <w:left w:val="single" w:sz="4" w:space="0" w:color="auto"/>
              <w:bottom w:val="single" w:sz="4" w:space="0" w:color="auto"/>
              <w:right w:val="single" w:sz="4" w:space="0" w:color="auto"/>
            </w:tcBorders>
            <w:vAlign w:val="center"/>
          </w:tcPr>
          <w:p w:rsidR="00EE4502" w:rsidRDefault="00EE4502">
            <w:pPr>
              <w:widowControl/>
              <w:tabs>
                <w:tab w:val="left" w:pos="377"/>
              </w:tabs>
              <w:jc w:val="center"/>
              <w:rPr>
                <w:szCs w:val="21"/>
              </w:rPr>
            </w:pPr>
          </w:p>
        </w:tc>
        <w:tc>
          <w:tcPr>
            <w:tcW w:w="826"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水平井</w:t>
            </w:r>
          </w:p>
        </w:tc>
        <w:tc>
          <w:tcPr>
            <w:tcW w:w="684"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定向井</w:t>
            </w:r>
          </w:p>
        </w:tc>
        <w:tc>
          <w:tcPr>
            <w:tcW w:w="710"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直井</w:t>
            </w:r>
          </w:p>
        </w:tc>
      </w:tr>
      <w:tr w:rsidR="00EE4502">
        <w:trPr>
          <w:cantSplit/>
          <w:trHeight w:val="397"/>
          <w:jc w:val="center"/>
        </w:trPr>
        <w:tc>
          <w:tcPr>
            <w:tcW w:w="291"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1</w:t>
            </w:r>
          </w:p>
        </w:tc>
        <w:tc>
          <w:tcPr>
            <w:tcW w:w="2486"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工业用氢氧化钠</w:t>
            </w:r>
          </w:p>
        </w:tc>
        <w:tc>
          <w:tcPr>
            <w:tcW w:w="826"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1.5</w:t>
            </w:r>
          </w:p>
        </w:tc>
        <w:tc>
          <w:tcPr>
            <w:tcW w:w="684"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1</w:t>
            </w:r>
          </w:p>
        </w:tc>
        <w:tc>
          <w:tcPr>
            <w:tcW w:w="710"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1</w:t>
            </w:r>
          </w:p>
        </w:tc>
      </w:tr>
      <w:tr w:rsidR="00EE4502">
        <w:trPr>
          <w:cantSplit/>
          <w:trHeight w:val="397"/>
          <w:jc w:val="center"/>
        </w:trPr>
        <w:tc>
          <w:tcPr>
            <w:tcW w:w="291"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2</w:t>
            </w:r>
          </w:p>
        </w:tc>
        <w:tc>
          <w:tcPr>
            <w:tcW w:w="2486"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碳酸钠</w:t>
            </w:r>
          </w:p>
        </w:tc>
        <w:tc>
          <w:tcPr>
            <w:tcW w:w="826"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0.5</w:t>
            </w:r>
          </w:p>
        </w:tc>
        <w:tc>
          <w:tcPr>
            <w:tcW w:w="684"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0.5</w:t>
            </w:r>
          </w:p>
        </w:tc>
        <w:tc>
          <w:tcPr>
            <w:tcW w:w="710"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0.5</w:t>
            </w:r>
          </w:p>
        </w:tc>
      </w:tr>
      <w:tr w:rsidR="00EE4502">
        <w:trPr>
          <w:cantSplit/>
          <w:trHeight w:val="397"/>
          <w:jc w:val="center"/>
        </w:trPr>
        <w:tc>
          <w:tcPr>
            <w:tcW w:w="291"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3</w:t>
            </w:r>
          </w:p>
        </w:tc>
        <w:tc>
          <w:tcPr>
            <w:tcW w:w="2486"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膨润土</w:t>
            </w:r>
          </w:p>
        </w:tc>
        <w:tc>
          <w:tcPr>
            <w:tcW w:w="826"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5</w:t>
            </w:r>
          </w:p>
        </w:tc>
        <w:tc>
          <w:tcPr>
            <w:tcW w:w="684"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5</w:t>
            </w:r>
          </w:p>
        </w:tc>
        <w:tc>
          <w:tcPr>
            <w:tcW w:w="710"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5</w:t>
            </w:r>
          </w:p>
        </w:tc>
      </w:tr>
      <w:tr w:rsidR="00EE4502">
        <w:trPr>
          <w:cantSplit/>
          <w:trHeight w:val="397"/>
          <w:jc w:val="center"/>
        </w:trPr>
        <w:tc>
          <w:tcPr>
            <w:tcW w:w="291"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4</w:t>
            </w:r>
          </w:p>
        </w:tc>
        <w:tc>
          <w:tcPr>
            <w:tcW w:w="2486"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工业盐</w:t>
            </w:r>
          </w:p>
        </w:tc>
        <w:tc>
          <w:tcPr>
            <w:tcW w:w="826"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18</w:t>
            </w:r>
          </w:p>
        </w:tc>
        <w:tc>
          <w:tcPr>
            <w:tcW w:w="684" w:type="pct"/>
            <w:tcBorders>
              <w:top w:val="single" w:sz="4" w:space="0" w:color="auto"/>
              <w:left w:val="single" w:sz="4" w:space="0" w:color="auto"/>
              <w:bottom w:val="single" w:sz="4" w:space="0" w:color="auto"/>
              <w:right w:val="single" w:sz="4" w:space="0" w:color="auto"/>
            </w:tcBorders>
            <w:vAlign w:val="center"/>
          </w:tcPr>
          <w:p w:rsidR="00EE4502" w:rsidRDefault="00EE4502">
            <w:pPr>
              <w:widowControl/>
              <w:tabs>
                <w:tab w:val="left" w:pos="377"/>
              </w:tabs>
              <w:jc w:val="center"/>
              <w:rPr>
                <w:szCs w:val="21"/>
              </w:rPr>
            </w:pPr>
          </w:p>
        </w:tc>
        <w:tc>
          <w:tcPr>
            <w:tcW w:w="710" w:type="pct"/>
            <w:tcBorders>
              <w:top w:val="single" w:sz="4" w:space="0" w:color="auto"/>
              <w:left w:val="single" w:sz="4" w:space="0" w:color="auto"/>
              <w:bottom w:val="single" w:sz="4" w:space="0" w:color="auto"/>
              <w:right w:val="single" w:sz="4" w:space="0" w:color="auto"/>
            </w:tcBorders>
            <w:vAlign w:val="center"/>
          </w:tcPr>
          <w:p w:rsidR="00EE4502" w:rsidRDefault="00EE4502">
            <w:pPr>
              <w:widowControl/>
              <w:tabs>
                <w:tab w:val="left" w:pos="377"/>
              </w:tabs>
              <w:jc w:val="center"/>
              <w:rPr>
                <w:szCs w:val="21"/>
              </w:rPr>
            </w:pPr>
          </w:p>
        </w:tc>
      </w:tr>
      <w:tr w:rsidR="00EE4502">
        <w:trPr>
          <w:cantSplit/>
          <w:trHeight w:val="397"/>
          <w:jc w:val="center"/>
        </w:trPr>
        <w:tc>
          <w:tcPr>
            <w:tcW w:w="291"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5</w:t>
            </w:r>
          </w:p>
        </w:tc>
        <w:tc>
          <w:tcPr>
            <w:tcW w:w="2486"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钻井液用聚阴离子纤维素</w:t>
            </w:r>
            <w:r>
              <w:rPr>
                <w:rFonts w:hint="eastAsia"/>
                <w:szCs w:val="21"/>
              </w:rPr>
              <w:t>PAC-HV</w:t>
            </w:r>
          </w:p>
        </w:tc>
        <w:tc>
          <w:tcPr>
            <w:tcW w:w="826"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2.8</w:t>
            </w:r>
          </w:p>
        </w:tc>
        <w:tc>
          <w:tcPr>
            <w:tcW w:w="684"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0.5</w:t>
            </w:r>
          </w:p>
        </w:tc>
        <w:tc>
          <w:tcPr>
            <w:tcW w:w="710"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0.5</w:t>
            </w:r>
          </w:p>
        </w:tc>
      </w:tr>
      <w:tr w:rsidR="00EE4502">
        <w:trPr>
          <w:cantSplit/>
          <w:trHeight w:val="397"/>
          <w:jc w:val="center"/>
        </w:trPr>
        <w:tc>
          <w:tcPr>
            <w:tcW w:w="291"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6</w:t>
            </w:r>
          </w:p>
        </w:tc>
        <w:tc>
          <w:tcPr>
            <w:tcW w:w="2486"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钻井液用聚丙烯酰胺干粉</w:t>
            </w:r>
          </w:p>
        </w:tc>
        <w:tc>
          <w:tcPr>
            <w:tcW w:w="826"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0.5</w:t>
            </w:r>
          </w:p>
        </w:tc>
        <w:tc>
          <w:tcPr>
            <w:tcW w:w="684"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0.6</w:t>
            </w:r>
          </w:p>
        </w:tc>
        <w:tc>
          <w:tcPr>
            <w:tcW w:w="710"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0.6</w:t>
            </w:r>
          </w:p>
        </w:tc>
      </w:tr>
      <w:tr w:rsidR="00EE4502">
        <w:trPr>
          <w:cantSplit/>
          <w:trHeight w:val="397"/>
          <w:jc w:val="center"/>
        </w:trPr>
        <w:tc>
          <w:tcPr>
            <w:tcW w:w="291"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7</w:t>
            </w:r>
          </w:p>
        </w:tc>
        <w:tc>
          <w:tcPr>
            <w:tcW w:w="2486"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钻井液用水解聚丙烯腈铵盐</w:t>
            </w:r>
          </w:p>
        </w:tc>
        <w:tc>
          <w:tcPr>
            <w:tcW w:w="826"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1</w:t>
            </w:r>
          </w:p>
        </w:tc>
        <w:tc>
          <w:tcPr>
            <w:tcW w:w="684"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1</w:t>
            </w:r>
          </w:p>
        </w:tc>
        <w:tc>
          <w:tcPr>
            <w:tcW w:w="710"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1</w:t>
            </w:r>
          </w:p>
        </w:tc>
      </w:tr>
      <w:tr w:rsidR="00EE4502">
        <w:trPr>
          <w:cantSplit/>
          <w:trHeight w:val="397"/>
          <w:jc w:val="center"/>
        </w:trPr>
        <w:tc>
          <w:tcPr>
            <w:tcW w:w="291"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8</w:t>
            </w:r>
          </w:p>
        </w:tc>
        <w:tc>
          <w:tcPr>
            <w:tcW w:w="2486"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钻井液用天然高分子降滤失剂</w:t>
            </w:r>
          </w:p>
        </w:tc>
        <w:tc>
          <w:tcPr>
            <w:tcW w:w="826"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1.5</w:t>
            </w:r>
          </w:p>
        </w:tc>
        <w:tc>
          <w:tcPr>
            <w:tcW w:w="684"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1.5</w:t>
            </w:r>
          </w:p>
        </w:tc>
        <w:tc>
          <w:tcPr>
            <w:tcW w:w="710"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1.5</w:t>
            </w:r>
          </w:p>
        </w:tc>
      </w:tr>
      <w:tr w:rsidR="00EE4502">
        <w:trPr>
          <w:cantSplit/>
          <w:trHeight w:val="397"/>
          <w:jc w:val="center"/>
        </w:trPr>
        <w:tc>
          <w:tcPr>
            <w:tcW w:w="291"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9</w:t>
            </w:r>
          </w:p>
        </w:tc>
        <w:tc>
          <w:tcPr>
            <w:tcW w:w="2486"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钻井液用防塌降黏降滤失剂</w:t>
            </w:r>
          </w:p>
        </w:tc>
        <w:tc>
          <w:tcPr>
            <w:tcW w:w="826"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2</w:t>
            </w:r>
          </w:p>
        </w:tc>
        <w:tc>
          <w:tcPr>
            <w:tcW w:w="684"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1.5</w:t>
            </w:r>
          </w:p>
        </w:tc>
        <w:tc>
          <w:tcPr>
            <w:tcW w:w="710"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1.5</w:t>
            </w:r>
          </w:p>
        </w:tc>
      </w:tr>
      <w:tr w:rsidR="00EE4502">
        <w:trPr>
          <w:cantSplit/>
          <w:trHeight w:val="397"/>
          <w:jc w:val="center"/>
        </w:trPr>
        <w:tc>
          <w:tcPr>
            <w:tcW w:w="291"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10</w:t>
            </w:r>
          </w:p>
        </w:tc>
        <w:tc>
          <w:tcPr>
            <w:tcW w:w="2486"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钻井液用润滑剂（液体类）</w:t>
            </w:r>
          </w:p>
        </w:tc>
        <w:tc>
          <w:tcPr>
            <w:tcW w:w="826"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6</w:t>
            </w:r>
          </w:p>
        </w:tc>
        <w:tc>
          <w:tcPr>
            <w:tcW w:w="684"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5</w:t>
            </w:r>
          </w:p>
        </w:tc>
        <w:tc>
          <w:tcPr>
            <w:tcW w:w="710" w:type="pct"/>
            <w:tcBorders>
              <w:top w:val="single" w:sz="4" w:space="0" w:color="auto"/>
              <w:left w:val="single" w:sz="4" w:space="0" w:color="auto"/>
              <w:bottom w:val="single" w:sz="4" w:space="0" w:color="auto"/>
              <w:right w:val="single" w:sz="4" w:space="0" w:color="auto"/>
            </w:tcBorders>
            <w:vAlign w:val="center"/>
          </w:tcPr>
          <w:p w:rsidR="00EE4502" w:rsidRDefault="00EE4502">
            <w:pPr>
              <w:widowControl/>
              <w:tabs>
                <w:tab w:val="left" w:pos="377"/>
              </w:tabs>
              <w:jc w:val="center"/>
              <w:rPr>
                <w:szCs w:val="21"/>
              </w:rPr>
            </w:pPr>
          </w:p>
        </w:tc>
      </w:tr>
      <w:tr w:rsidR="00EE4502">
        <w:trPr>
          <w:cantSplit/>
          <w:trHeight w:val="397"/>
          <w:jc w:val="center"/>
        </w:trPr>
        <w:tc>
          <w:tcPr>
            <w:tcW w:w="291"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11</w:t>
            </w:r>
          </w:p>
        </w:tc>
        <w:tc>
          <w:tcPr>
            <w:tcW w:w="2486"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石灰石粉</w:t>
            </w:r>
          </w:p>
        </w:tc>
        <w:tc>
          <w:tcPr>
            <w:tcW w:w="826"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15</w:t>
            </w:r>
          </w:p>
        </w:tc>
        <w:tc>
          <w:tcPr>
            <w:tcW w:w="684"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10</w:t>
            </w:r>
          </w:p>
        </w:tc>
        <w:tc>
          <w:tcPr>
            <w:tcW w:w="710"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10</w:t>
            </w:r>
          </w:p>
        </w:tc>
      </w:tr>
      <w:tr w:rsidR="00EE4502">
        <w:trPr>
          <w:cantSplit/>
          <w:trHeight w:val="397"/>
          <w:jc w:val="center"/>
        </w:trPr>
        <w:tc>
          <w:tcPr>
            <w:tcW w:w="291"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12</w:t>
            </w:r>
          </w:p>
        </w:tc>
        <w:tc>
          <w:tcPr>
            <w:tcW w:w="2486"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钻井液用随钻堵漏剂</w:t>
            </w:r>
          </w:p>
        </w:tc>
        <w:tc>
          <w:tcPr>
            <w:tcW w:w="826" w:type="pct"/>
            <w:tcBorders>
              <w:top w:val="single" w:sz="4" w:space="0" w:color="auto"/>
              <w:left w:val="single" w:sz="4" w:space="0" w:color="auto"/>
              <w:bottom w:val="single" w:sz="4" w:space="0" w:color="auto"/>
              <w:right w:val="single" w:sz="4" w:space="0" w:color="auto"/>
            </w:tcBorders>
            <w:vAlign w:val="center"/>
          </w:tcPr>
          <w:p w:rsidR="00EE4502" w:rsidRDefault="00EE4502">
            <w:pPr>
              <w:widowControl/>
              <w:tabs>
                <w:tab w:val="left" w:pos="377"/>
              </w:tabs>
              <w:jc w:val="center"/>
              <w:rPr>
                <w:szCs w:val="21"/>
              </w:rPr>
            </w:pPr>
          </w:p>
        </w:tc>
        <w:tc>
          <w:tcPr>
            <w:tcW w:w="684"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1</w:t>
            </w:r>
          </w:p>
        </w:tc>
        <w:tc>
          <w:tcPr>
            <w:tcW w:w="710"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1</w:t>
            </w:r>
          </w:p>
        </w:tc>
      </w:tr>
      <w:tr w:rsidR="00EE4502">
        <w:trPr>
          <w:cantSplit/>
          <w:trHeight w:val="397"/>
          <w:jc w:val="center"/>
        </w:trPr>
        <w:tc>
          <w:tcPr>
            <w:tcW w:w="291"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13</w:t>
            </w:r>
          </w:p>
        </w:tc>
        <w:tc>
          <w:tcPr>
            <w:tcW w:w="2486"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钻井液用重晶石粉（摊销）</w:t>
            </w:r>
          </w:p>
        </w:tc>
        <w:tc>
          <w:tcPr>
            <w:tcW w:w="826"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3</w:t>
            </w:r>
          </w:p>
        </w:tc>
        <w:tc>
          <w:tcPr>
            <w:tcW w:w="684"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1</w:t>
            </w:r>
          </w:p>
        </w:tc>
        <w:tc>
          <w:tcPr>
            <w:tcW w:w="710"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1</w:t>
            </w:r>
          </w:p>
        </w:tc>
      </w:tr>
      <w:tr w:rsidR="00EE4502">
        <w:trPr>
          <w:cantSplit/>
          <w:trHeight w:val="397"/>
          <w:jc w:val="center"/>
        </w:trPr>
        <w:tc>
          <w:tcPr>
            <w:tcW w:w="291"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14</w:t>
            </w:r>
          </w:p>
        </w:tc>
        <w:tc>
          <w:tcPr>
            <w:tcW w:w="2486"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钻井液用固体润滑剂</w:t>
            </w:r>
          </w:p>
        </w:tc>
        <w:tc>
          <w:tcPr>
            <w:tcW w:w="826"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2</w:t>
            </w:r>
          </w:p>
        </w:tc>
        <w:tc>
          <w:tcPr>
            <w:tcW w:w="684" w:type="pct"/>
            <w:tcBorders>
              <w:top w:val="single" w:sz="4" w:space="0" w:color="auto"/>
              <w:left w:val="single" w:sz="4" w:space="0" w:color="auto"/>
              <w:bottom w:val="single" w:sz="4" w:space="0" w:color="auto"/>
              <w:right w:val="single" w:sz="4" w:space="0" w:color="auto"/>
            </w:tcBorders>
            <w:vAlign w:val="center"/>
          </w:tcPr>
          <w:p w:rsidR="00EE4502" w:rsidRDefault="00EE4502">
            <w:pPr>
              <w:widowControl/>
              <w:tabs>
                <w:tab w:val="left" w:pos="377"/>
              </w:tabs>
              <w:jc w:val="center"/>
              <w:rPr>
                <w:szCs w:val="21"/>
              </w:rPr>
            </w:pPr>
          </w:p>
        </w:tc>
        <w:tc>
          <w:tcPr>
            <w:tcW w:w="710" w:type="pct"/>
            <w:tcBorders>
              <w:top w:val="single" w:sz="4" w:space="0" w:color="auto"/>
              <w:left w:val="single" w:sz="4" w:space="0" w:color="auto"/>
              <w:bottom w:val="single" w:sz="4" w:space="0" w:color="auto"/>
              <w:right w:val="single" w:sz="4" w:space="0" w:color="auto"/>
            </w:tcBorders>
            <w:vAlign w:val="center"/>
          </w:tcPr>
          <w:p w:rsidR="00EE4502" w:rsidRDefault="00EE4502">
            <w:pPr>
              <w:widowControl/>
              <w:tabs>
                <w:tab w:val="left" w:pos="377"/>
              </w:tabs>
              <w:jc w:val="center"/>
              <w:rPr>
                <w:szCs w:val="21"/>
              </w:rPr>
            </w:pPr>
          </w:p>
        </w:tc>
      </w:tr>
      <w:tr w:rsidR="00EE4502">
        <w:trPr>
          <w:cantSplit/>
          <w:trHeight w:val="397"/>
          <w:jc w:val="center"/>
        </w:trPr>
        <w:tc>
          <w:tcPr>
            <w:tcW w:w="5000" w:type="pct"/>
            <w:gridSpan w:val="5"/>
            <w:tcBorders>
              <w:top w:val="single" w:sz="4" w:space="0" w:color="auto"/>
              <w:left w:val="nil"/>
              <w:bottom w:val="nil"/>
              <w:right w:val="nil"/>
            </w:tcBorders>
            <w:vAlign w:val="center"/>
          </w:tcPr>
          <w:p w:rsidR="00EE4502" w:rsidRDefault="00FD45A3">
            <w:pPr>
              <w:widowControl/>
              <w:tabs>
                <w:tab w:val="left" w:pos="377"/>
              </w:tabs>
              <w:jc w:val="left"/>
              <w:rPr>
                <w:rFonts w:ascii="楷体" w:eastAsia="楷体" w:hAnsi="楷体" w:cs="楷体"/>
                <w:szCs w:val="21"/>
              </w:rPr>
            </w:pPr>
            <w:r>
              <w:rPr>
                <w:rFonts w:ascii="楷体" w:eastAsia="楷体" w:hAnsi="楷体" w:cs="楷体" w:hint="eastAsia"/>
                <w:szCs w:val="21"/>
              </w:rPr>
              <w:t>注：本方案内所有井在就近固定地点储备钻井液用重晶石粉（井控专用）</w:t>
            </w:r>
            <w:r>
              <w:rPr>
                <w:rFonts w:ascii="楷体" w:eastAsia="楷体" w:hAnsi="楷体" w:cs="楷体" w:hint="eastAsia"/>
                <w:szCs w:val="21"/>
              </w:rPr>
              <w:t>40</w:t>
            </w:r>
            <w:r>
              <w:rPr>
                <w:rFonts w:ascii="楷体" w:eastAsia="楷体" w:hAnsi="楷体" w:cs="楷体" w:hint="eastAsia"/>
                <w:szCs w:val="21"/>
              </w:rPr>
              <w:t>吨。表中所列钻井液处理剂可用同类型或更高标准合格产品替代。</w:t>
            </w:r>
          </w:p>
        </w:tc>
      </w:tr>
    </w:tbl>
    <w:p w:rsidR="00EE4502" w:rsidRDefault="00FD45A3" w:rsidP="003F4A18">
      <w:pPr>
        <w:spacing w:beforeLines="50" w:before="120" w:line="360" w:lineRule="auto"/>
        <w:ind w:firstLineChars="200" w:firstLine="480"/>
        <w:rPr>
          <w:sz w:val="24"/>
        </w:rPr>
      </w:pPr>
      <w:r>
        <w:rPr>
          <w:rFonts w:hint="eastAsia"/>
          <w:sz w:val="24"/>
        </w:rPr>
        <w:t>（</w:t>
      </w:r>
      <w:r>
        <w:rPr>
          <w:rFonts w:hint="eastAsia"/>
          <w:sz w:val="24"/>
        </w:rPr>
        <w:t>4</w:t>
      </w:r>
      <w:r>
        <w:rPr>
          <w:rFonts w:hint="eastAsia"/>
          <w:sz w:val="24"/>
        </w:rPr>
        <w:t>）</w:t>
      </w:r>
      <w:r>
        <w:rPr>
          <w:sz w:val="24"/>
        </w:rPr>
        <w:t>固井</w:t>
      </w:r>
      <w:r>
        <w:rPr>
          <w:rFonts w:hint="eastAsia"/>
          <w:sz w:val="24"/>
        </w:rPr>
        <w:t>工艺</w:t>
      </w:r>
    </w:p>
    <w:p w:rsidR="00EE4502" w:rsidRDefault="00FD45A3">
      <w:pPr>
        <w:pStyle w:val="085135201"/>
        <w:spacing w:line="360" w:lineRule="auto"/>
        <w:rPr>
          <w:rFonts w:ascii="Times New Roman" w:hAnsi="Times New Roman" w:cs="Times New Roman"/>
        </w:rPr>
      </w:pPr>
      <w:r>
        <w:rPr>
          <w:rFonts w:ascii="Times New Roman" w:hAnsi="Times New Roman" w:cs="Times New Roman" w:hint="eastAsia"/>
        </w:rPr>
        <w:t>1</w:t>
      </w:r>
      <w:r>
        <w:rPr>
          <w:rFonts w:ascii="Times New Roman" w:hAnsi="Times New Roman" w:cs="Times New Roman" w:hint="eastAsia"/>
        </w:rPr>
        <w:t>）固井方式</w:t>
      </w:r>
    </w:p>
    <w:p w:rsidR="00EE4502" w:rsidRDefault="00FD45A3">
      <w:pPr>
        <w:pStyle w:val="085135201"/>
        <w:spacing w:line="360" w:lineRule="auto"/>
        <w:rPr>
          <w:rFonts w:ascii="Times New Roman" w:hAnsi="Times New Roman" w:cs="Times New Roman"/>
        </w:rPr>
      </w:pPr>
      <w:r>
        <w:rPr>
          <w:rFonts w:ascii="Times New Roman" w:hAnsi="Times New Roman" w:cs="Times New Roman" w:hint="eastAsia"/>
        </w:rPr>
        <w:t>水平井：一开表层套管采用常规法固井，要求水泥返至地面。二开采用常规固井方式，要求水泥封固到二开井底以上</w:t>
      </w:r>
      <w:r>
        <w:rPr>
          <w:rFonts w:ascii="Times New Roman" w:hAnsi="Times New Roman" w:cs="Times New Roman" w:hint="eastAsia"/>
        </w:rPr>
        <w:t>500m</w:t>
      </w:r>
      <w:r>
        <w:rPr>
          <w:rFonts w:ascii="Times New Roman" w:hAnsi="Times New Roman" w:cs="Times New Roman" w:hint="eastAsia"/>
        </w:rPr>
        <w:t>；再从井口挤水泥。</w:t>
      </w:r>
    </w:p>
    <w:p w:rsidR="00EE4502" w:rsidRDefault="00FD45A3">
      <w:pPr>
        <w:pStyle w:val="085135201"/>
        <w:spacing w:line="360" w:lineRule="auto"/>
        <w:rPr>
          <w:rFonts w:ascii="Times New Roman" w:hAnsi="Times New Roman" w:cs="Times New Roman"/>
        </w:rPr>
      </w:pPr>
      <w:r>
        <w:rPr>
          <w:rFonts w:ascii="Times New Roman" w:hAnsi="Times New Roman" w:cs="Times New Roman" w:hint="eastAsia"/>
        </w:rPr>
        <w:t>定向井：一开表层套管采用常规法固井，要求水泥返至地面。二开采用常规固井方式，要求水泥封固到地面。</w:t>
      </w:r>
    </w:p>
    <w:p w:rsidR="00EE4502" w:rsidRDefault="00FD45A3">
      <w:pPr>
        <w:pStyle w:val="085135201"/>
        <w:spacing w:line="360" w:lineRule="auto"/>
        <w:rPr>
          <w:rFonts w:ascii="Times New Roman" w:hAnsi="Times New Roman" w:cs="Times New Roman"/>
        </w:rPr>
      </w:pPr>
      <w:r>
        <w:rPr>
          <w:rFonts w:ascii="Times New Roman" w:hAnsi="Times New Roman" w:cs="Times New Roman"/>
          <w:szCs w:val="24"/>
        </w:rPr>
        <w:t>2</w:t>
      </w:r>
      <w:r>
        <w:rPr>
          <w:rFonts w:ascii="Times New Roman" w:hAnsi="Times New Roman" w:cs="Times New Roman"/>
          <w:szCs w:val="24"/>
        </w:rPr>
        <w:t>）</w:t>
      </w:r>
      <w:r>
        <w:rPr>
          <w:rFonts w:ascii="Times New Roman" w:hAnsi="Times New Roman" w:cs="Times New Roman"/>
        </w:rPr>
        <w:t>水泥浆</w:t>
      </w:r>
      <w:r>
        <w:rPr>
          <w:rFonts w:ascii="Times New Roman" w:hAnsi="Times New Roman" w:cs="Times New Roman" w:hint="eastAsia"/>
        </w:rPr>
        <w:t>配方</w:t>
      </w:r>
    </w:p>
    <w:p w:rsidR="00EE4502" w:rsidRDefault="00FD45A3">
      <w:pPr>
        <w:pStyle w:val="085135201"/>
        <w:spacing w:line="360" w:lineRule="auto"/>
        <w:rPr>
          <w:rFonts w:ascii="Times New Roman" w:hAnsi="Times New Roman" w:cs="Times New Roman"/>
        </w:rPr>
      </w:pPr>
      <w:r>
        <w:rPr>
          <w:rFonts w:ascii="Times New Roman" w:hAnsi="Times New Roman" w:cs="Times New Roman" w:hint="eastAsia"/>
        </w:rPr>
        <w:t>水泥浆配方见表</w:t>
      </w:r>
      <w:r>
        <w:rPr>
          <w:rFonts w:ascii="Times New Roman" w:hAnsi="Times New Roman" w:cs="Times New Roman" w:hint="eastAsia"/>
        </w:rPr>
        <w:t>3-3</w:t>
      </w:r>
      <w:r>
        <w:rPr>
          <w:rFonts w:ascii="Times New Roman" w:hAnsi="Times New Roman" w:cs="Times New Roman"/>
        </w:rPr>
        <w:t>-1</w:t>
      </w:r>
      <w:r>
        <w:rPr>
          <w:rFonts w:ascii="Times New Roman" w:hAnsi="Times New Roman" w:cs="Times New Roman" w:hint="eastAsia"/>
        </w:rPr>
        <w:t>7</w:t>
      </w:r>
      <w:r>
        <w:rPr>
          <w:rFonts w:ascii="Times New Roman" w:hAnsi="Times New Roman" w:cs="Times New Roman" w:hint="eastAsia"/>
        </w:rPr>
        <w:t>。</w:t>
      </w:r>
    </w:p>
    <w:p w:rsidR="00EE4502" w:rsidRDefault="00FD45A3">
      <w:pPr>
        <w:tabs>
          <w:tab w:val="left" w:pos="377"/>
        </w:tabs>
        <w:spacing w:line="360" w:lineRule="auto"/>
        <w:jc w:val="center"/>
        <w:rPr>
          <w:rFonts w:eastAsia="黑体"/>
          <w:bCs/>
          <w:sz w:val="22"/>
          <w:szCs w:val="22"/>
        </w:rPr>
      </w:pPr>
      <w:r>
        <w:rPr>
          <w:rFonts w:eastAsia="黑体"/>
          <w:bCs/>
          <w:szCs w:val="22"/>
        </w:rPr>
        <w:t>表</w:t>
      </w:r>
      <w:r>
        <w:rPr>
          <w:rFonts w:eastAsia="黑体" w:hint="eastAsia"/>
          <w:bCs/>
          <w:szCs w:val="22"/>
        </w:rPr>
        <w:t>3-3</w:t>
      </w:r>
      <w:r>
        <w:rPr>
          <w:rFonts w:eastAsia="黑体"/>
          <w:bCs/>
          <w:szCs w:val="22"/>
        </w:rPr>
        <w:t>-1</w:t>
      </w:r>
      <w:r>
        <w:rPr>
          <w:rFonts w:eastAsia="黑体" w:hint="eastAsia"/>
          <w:bCs/>
          <w:szCs w:val="22"/>
        </w:rPr>
        <w:t>7</w:t>
      </w:r>
      <w:r>
        <w:rPr>
          <w:rFonts w:eastAsia="黑体"/>
          <w:bCs/>
          <w:szCs w:val="22"/>
        </w:rPr>
        <w:t xml:space="preserve">  </w:t>
      </w:r>
      <w:r>
        <w:rPr>
          <w:rFonts w:eastAsia="黑体"/>
          <w:bCs/>
          <w:szCs w:val="22"/>
        </w:rPr>
        <w:t>新钻井水泥浆基本配方</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024"/>
        <w:gridCol w:w="6007"/>
        <w:gridCol w:w="1387"/>
      </w:tblGrid>
      <w:tr w:rsidR="00EE4502">
        <w:trPr>
          <w:trHeight w:val="397"/>
          <w:jc w:val="center"/>
        </w:trPr>
        <w:tc>
          <w:tcPr>
            <w:tcW w:w="608" w:type="pct"/>
            <w:vAlign w:val="center"/>
          </w:tcPr>
          <w:p w:rsidR="00EE4502" w:rsidRDefault="00FD45A3">
            <w:pPr>
              <w:widowControl/>
              <w:tabs>
                <w:tab w:val="left" w:pos="377"/>
              </w:tabs>
              <w:jc w:val="center"/>
              <w:rPr>
                <w:szCs w:val="21"/>
              </w:rPr>
            </w:pPr>
            <w:r>
              <w:rPr>
                <w:rFonts w:hint="eastAsia"/>
                <w:szCs w:val="21"/>
              </w:rPr>
              <w:t>套管程序</w:t>
            </w:r>
          </w:p>
        </w:tc>
        <w:tc>
          <w:tcPr>
            <w:tcW w:w="3567" w:type="pct"/>
            <w:vAlign w:val="center"/>
          </w:tcPr>
          <w:p w:rsidR="00EE4502" w:rsidRDefault="00FD45A3">
            <w:pPr>
              <w:widowControl/>
              <w:tabs>
                <w:tab w:val="left" w:pos="377"/>
              </w:tabs>
              <w:jc w:val="center"/>
              <w:rPr>
                <w:szCs w:val="21"/>
              </w:rPr>
            </w:pPr>
            <w:r>
              <w:rPr>
                <w:rFonts w:hint="eastAsia"/>
                <w:szCs w:val="21"/>
              </w:rPr>
              <w:t>配方</w:t>
            </w:r>
          </w:p>
        </w:tc>
        <w:tc>
          <w:tcPr>
            <w:tcW w:w="824" w:type="pct"/>
            <w:vAlign w:val="center"/>
          </w:tcPr>
          <w:p w:rsidR="00EE4502" w:rsidRDefault="00FD45A3">
            <w:pPr>
              <w:widowControl/>
              <w:tabs>
                <w:tab w:val="left" w:pos="377"/>
              </w:tabs>
              <w:jc w:val="center"/>
              <w:rPr>
                <w:szCs w:val="21"/>
              </w:rPr>
            </w:pPr>
            <w:r>
              <w:rPr>
                <w:rFonts w:hint="eastAsia"/>
                <w:szCs w:val="21"/>
              </w:rPr>
              <w:t>备注</w:t>
            </w:r>
          </w:p>
        </w:tc>
      </w:tr>
      <w:tr w:rsidR="00EE4502">
        <w:trPr>
          <w:trHeight w:val="397"/>
          <w:jc w:val="center"/>
        </w:trPr>
        <w:tc>
          <w:tcPr>
            <w:tcW w:w="608" w:type="pct"/>
            <w:vAlign w:val="center"/>
          </w:tcPr>
          <w:p w:rsidR="00EE4502" w:rsidRDefault="00FD45A3">
            <w:pPr>
              <w:widowControl/>
              <w:tabs>
                <w:tab w:val="left" w:pos="377"/>
              </w:tabs>
              <w:jc w:val="center"/>
              <w:rPr>
                <w:szCs w:val="21"/>
              </w:rPr>
            </w:pPr>
            <w:r>
              <w:rPr>
                <w:rFonts w:hint="eastAsia"/>
                <w:szCs w:val="21"/>
              </w:rPr>
              <w:t>一开</w:t>
            </w:r>
          </w:p>
        </w:tc>
        <w:tc>
          <w:tcPr>
            <w:tcW w:w="3567" w:type="pct"/>
            <w:vAlign w:val="center"/>
          </w:tcPr>
          <w:p w:rsidR="00EE4502" w:rsidRDefault="00FD45A3">
            <w:pPr>
              <w:widowControl/>
              <w:tabs>
                <w:tab w:val="left" w:pos="377"/>
              </w:tabs>
              <w:jc w:val="left"/>
              <w:rPr>
                <w:szCs w:val="21"/>
              </w:rPr>
            </w:pPr>
            <w:r>
              <w:rPr>
                <w:rFonts w:hint="eastAsia"/>
                <w:szCs w:val="21"/>
              </w:rPr>
              <w:t>G</w:t>
            </w:r>
            <w:r>
              <w:rPr>
                <w:rFonts w:hint="eastAsia"/>
                <w:szCs w:val="21"/>
              </w:rPr>
              <w:t>级水泥</w:t>
            </w:r>
            <w:r>
              <w:rPr>
                <w:rFonts w:hint="eastAsia"/>
                <w:szCs w:val="21"/>
              </w:rPr>
              <w:t>+</w:t>
            </w:r>
            <w:r>
              <w:rPr>
                <w:rFonts w:hint="eastAsia"/>
                <w:szCs w:val="21"/>
              </w:rPr>
              <w:t>促凝剂</w:t>
            </w:r>
            <w:r>
              <w:rPr>
                <w:rFonts w:hint="eastAsia"/>
                <w:szCs w:val="21"/>
              </w:rPr>
              <w:t>+</w:t>
            </w:r>
            <w:r>
              <w:rPr>
                <w:rFonts w:hint="eastAsia"/>
                <w:szCs w:val="21"/>
              </w:rPr>
              <w:t>配浆水</w:t>
            </w:r>
          </w:p>
        </w:tc>
        <w:tc>
          <w:tcPr>
            <w:tcW w:w="824" w:type="pct"/>
            <w:vMerge w:val="restart"/>
            <w:vAlign w:val="center"/>
          </w:tcPr>
          <w:p w:rsidR="00EE4502" w:rsidRDefault="00FD45A3">
            <w:pPr>
              <w:widowControl/>
              <w:tabs>
                <w:tab w:val="left" w:pos="377"/>
              </w:tabs>
              <w:jc w:val="center"/>
              <w:rPr>
                <w:szCs w:val="21"/>
              </w:rPr>
            </w:pPr>
            <w:r>
              <w:rPr>
                <w:rFonts w:hint="eastAsia"/>
                <w:szCs w:val="21"/>
              </w:rPr>
              <w:t>非热采井</w:t>
            </w:r>
          </w:p>
        </w:tc>
      </w:tr>
      <w:tr w:rsidR="00EE4502">
        <w:trPr>
          <w:trHeight w:val="397"/>
          <w:jc w:val="center"/>
        </w:trPr>
        <w:tc>
          <w:tcPr>
            <w:tcW w:w="608" w:type="pct"/>
            <w:vAlign w:val="center"/>
          </w:tcPr>
          <w:p w:rsidR="00EE4502" w:rsidRDefault="00FD45A3">
            <w:pPr>
              <w:widowControl/>
              <w:tabs>
                <w:tab w:val="left" w:pos="377"/>
              </w:tabs>
              <w:jc w:val="center"/>
              <w:rPr>
                <w:szCs w:val="21"/>
              </w:rPr>
            </w:pPr>
            <w:r>
              <w:rPr>
                <w:rFonts w:hint="eastAsia"/>
                <w:szCs w:val="21"/>
              </w:rPr>
              <w:t>二开</w:t>
            </w:r>
          </w:p>
        </w:tc>
        <w:tc>
          <w:tcPr>
            <w:tcW w:w="3567" w:type="pct"/>
            <w:vAlign w:val="center"/>
          </w:tcPr>
          <w:p w:rsidR="00EE4502" w:rsidRDefault="00FD45A3">
            <w:pPr>
              <w:widowControl/>
              <w:tabs>
                <w:tab w:val="left" w:pos="377"/>
              </w:tabs>
              <w:jc w:val="left"/>
              <w:rPr>
                <w:szCs w:val="21"/>
              </w:rPr>
            </w:pPr>
            <w:r>
              <w:rPr>
                <w:rFonts w:hint="eastAsia"/>
                <w:szCs w:val="21"/>
              </w:rPr>
              <w:t>G</w:t>
            </w:r>
            <w:r>
              <w:rPr>
                <w:rFonts w:hint="eastAsia"/>
                <w:szCs w:val="21"/>
              </w:rPr>
              <w:t>级水泥</w:t>
            </w:r>
            <w:r>
              <w:rPr>
                <w:rFonts w:hint="eastAsia"/>
                <w:szCs w:val="21"/>
              </w:rPr>
              <w:t>+</w:t>
            </w:r>
            <w:r>
              <w:rPr>
                <w:rFonts w:hint="eastAsia"/>
                <w:szCs w:val="21"/>
              </w:rPr>
              <w:t>增塑剂</w:t>
            </w:r>
            <w:r>
              <w:rPr>
                <w:rFonts w:hint="eastAsia"/>
                <w:szCs w:val="21"/>
              </w:rPr>
              <w:t>+</w:t>
            </w:r>
            <w:r>
              <w:rPr>
                <w:rFonts w:hint="eastAsia"/>
                <w:szCs w:val="21"/>
              </w:rPr>
              <w:t>降失水剂</w:t>
            </w:r>
            <w:r>
              <w:rPr>
                <w:rFonts w:hint="eastAsia"/>
                <w:szCs w:val="21"/>
              </w:rPr>
              <w:t>+</w:t>
            </w:r>
            <w:r>
              <w:rPr>
                <w:rFonts w:hint="eastAsia"/>
                <w:szCs w:val="21"/>
              </w:rPr>
              <w:t>早强剂</w:t>
            </w:r>
            <w:r>
              <w:rPr>
                <w:rFonts w:hint="eastAsia"/>
                <w:szCs w:val="21"/>
              </w:rPr>
              <w:t>+</w:t>
            </w:r>
            <w:r>
              <w:rPr>
                <w:rFonts w:hint="eastAsia"/>
                <w:szCs w:val="21"/>
              </w:rPr>
              <w:t>减阻剂</w:t>
            </w:r>
            <w:r>
              <w:rPr>
                <w:rFonts w:hint="eastAsia"/>
                <w:szCs w:val="21"/>
              </w:rPr>
              <w:t>+</w:t>
            </w:r>
            <w:r>
              <w:rPr>
                <w:rFonts w:hint="eastAsia"/>
                <w:szCs w:val="21"/>
              </w:rPr>
              <w:t>促凝剂</w:t>
            </w:r>
            <w:r>
              <w:rPr>
                <w:rFonts w:hint="eastAsia"/>
                <w:szCs w:val="21"/>
              </w:rPr>
              <w:t>+</w:t>
            </w:r>
            <w:r>
              <w:rPr>
                <w:rFonts w:hint="eastAsia"/>
                <w:szCs w:val="21"/>
              </w:rPr>
              <w:t>消泡剂</w:t>
            </w:r>
            <w:r>
              <w:rPr>
                <w:rFonts w:hint="eastAsia"/>
                <w:szCs w:val="21"/>
              </w:rPr>
              <w:t>+</w:t>
            </w:r>
            <w:r>
              <w:rPr>
                <w:rFonts w:hint="eastAsia"/>
                <w:szCs w:val="21"/>
              </w:rPr>
              <w:t>晶格膨胀剂</w:t>
            </w:r>
            <w:r>
              <w:rPr>
                <w:rFonts w:hint="eastAsia"/>
                <w:szCs w:val="21"/>
              </w:rPr>
              <w:t>+</w:t>
            </w:r>
            <w:r>
              <w:rPr>
                <w:rFonts w:hint="eastAsia"/>
                <w:szCs w:val="21"/>
              </w:rPr>
              <w:t>配浆水</w:t>
            </w:r>
          </w:p>
        </w:tc>
        <w:tc>
          <w:tcPr>
            <w:tcW w:w="824" w:type="pct"/>
            <w:vMerge/>
            <w:vAlign w:val="center"/>
          </w:tcPr>
          <w:p w:rsidR="00EE4502" w:rsidRDefault="00EE4502">
            <w:pPr>
              <w:widowControl/>
              <w:tabs>
                <w:tab w:val="left" w:pos="377"/>
              </w:tabs>
              <w:jc w:val="center"/>
              <w:rPr>
                <w:szCs w:val="21"/>
              </w:rPr>
            </w:pPr>
          </w:p>
        </w:tc>
      </w:tr>
      <w:tr w:rsidR="00EE4502">
        <w:trPr>
          <w:trHeight w:val="397"/>
          <w:jc w:val="center"/>
        </w:trPr>
        <w:tc>
          <w:tcPr>
            <w:tcW w:w="608" w:type="pct"/>
            <w:vAlign w:val="center"/>
          </w:tcPr>
          <w:p w:rsidR="00EE4502" w:rsidRDefault="00FD45A3">
            <w:pPr>
              <w:widowControl/>
              <w:tabs>
                <w:tab w:val="left" w:pos="377"/>
              </w:tabs>
              <w:jc w:val="center"/>
              <w:rPr>
                <w:szCs w:val="21"/>
              </w:rPr>
            </w:pPr>
            <w:r>
              <w:rPr>
                <w:rFonts w:hint="eastAsia"/>
                <w:szCs w:val="21"/>
              </w:rPr>
              <w:t>二开</w:t>
            </w:r>
          </w:p>
        </w:tc>
        <w:tc>
          <w:tcPr>
            <w:tcW w:w="3567" w:type="pct"/>
            <w:vAlign w:val="center"/>
          </w:tcPr>
          <w:p w:rsidR="00EE4502" w:rsidRDefault="00FD45A3">
            <w:pPr>
              <w:widowControl/>
              <w:tabs>
                <w:tab w:val="left" w:pos="377"/>
              </w:tabs>
              <w:jc w:val="left"/>
              <w:rPr>
                <w:szCs w:val="21"/>
              </w:rPr>
            </w:pPr>
            <w:r>
              <w:rPr>
                <w:rFonts w:hint="eastAsia"/>
                <w:szCs w:val="21"/>
              </w:rPr>
              <w:t>G</w:t>
            </w:r>
            <w:r>
              <w:rPr>
                <w:rFonts w:hint="eastAsia"/>
                <w:szCs w:val="21"/>
              </w:rPr>
              <w:t>级水泥</w:t>
            </w:r>
            <w:r>
              <w:rPr>
                <w:rFonts w:hint="eastAsia"/>
                <w:szCs w:val="21"/>
              </w:rPr>
              <w:t>+</w:t>
            </w:r>
            <w:r>
              <w:rPr>
                <w:rFonts w:hint="eastAsia"/>
                <w:szCs w:val="21"/>
              </w:rPr>
              <w:t>增塑剂</w:t>
            </w:r>
            <w:r>
              <w:rPr>
                <w:rFonts w:hint="eastAsia"/>
                <w:szCs w:val="21"/>
              </w:rPr>
              <w:t>+</w:t>
            </w:r>
            <w:r>
              <w:rPr>
                <w:rFonts w:hint="eastAsia"/>
                <w:szCs w:val="21"/>
              </w:rPr>
              <w:t>降失水剂</w:t>
            </w:r>
            <w:r>
              <w:rPr>
                <w:rFonts w:hint="eastAsia"/>
                <w:szCs w:val="21"/>
              </w:rPr>
              <w:t>+</w:t>
            </w:r>
            <w:r>
              <w:rPr>
                <w:rFonts w:hint="eastAsia"/>
                <w:szCs w:val="21"/>
              </w:rPr>
              <w:t>早强剂</w:t>
            </w:r>
            <w:r>
              <w:rPr>
                <w:rFonts w:hint="eastAsia"/>
                <w:szCs w:val="21"/>
              </w:rPr>
              <w:t>+</w:t>
            </w:r>
            <w:r>
              <w:rPr>
                <w:rFonts w:hint="eastAsia"/>
                <w:szCs w:val="21"/>
              </w:rPr>
              <w:t>减阻剂</w:t>
            </w:r>
            <w:r>
              <w:rPr>
                <w:rFonts w:hint="eastAsia"/>
                <w:szCs w:val="21"/>
              </w:rPr>
              <w:t>+</w:t>
            </w:r>
            <w:r>
              <w:rPr>
                <w:rFonts w:hint="eastAsia"/>
                <w:szCs w:val="21"/>
              </w:rPr>
              <w:t>促凝剂</w:t>
            </w:r>
            <w:r>
              <w:rPr>
                <w:rFonts w:hint="eastAsia"/>
                <w:szCs w:val="21"/>
              </w:rPr>
              <w:t>+</w:t>
            </w:r>
            <w:r>
              <w:rPr>
                <w:rFonts w:hint="eastAsia"/>
                <w:szCs w:val="21"/>
              </w:rPr>
              <w:t>消泡剂</w:t>
            </w:r>
            <w:r>
              <w:rPr>
                <w:rFonts w:hint="eastAsia"/>
                <w:szCs w:val="21"/>
              </w:rPr>
              <w:t>+</w:t>
            </w:r>
            <w:r>
              <w:rPr>
                <w:rFonts w:hint="eastAsia"/>
                <w:szCs w:val="21"/>
              </w:rPr>
              <w:t>晶格膨胀剂</w:t>
            </w:r>
            <w:r>
              <w:rPr>
                <w:rFonts w:hint="eastAsia"/>
                <w:szCs w:val="21"/>
              </w:rPr>
              <w:t>+</w:t>
            </w:r>
            <w:r>
              <w:rPr>
                <w:rFonts w:hint="eastAsia"/>
                <w:szCs w:val="21"/>
              </w:rPr>
              <w:t>硅粉</w:t>
            </w:r>
            <w:r>
              <w:rPr>
                <w:rFonts w:hint="eastAsia"/>
                <w:szCs w:val="21"/>
              </w:rPr>
              <w:t>+</w:t>
            </w:r>
            <w:r>
              <w:rPr>
                <w:rFonts w:hint="eastAsia"/>
                <w:szCs w:val="21"/>
              </w:rPr>
              <w:t>配浆水</w:t>
            </w:r>
          </w:p>
        </w:tc>
        <w:tc>
          <w:tcPr>
            <w:tcW w:w="824" w:type="pct"/>
            <w:vAlign w:val="center"/>
          </w:tcPr>
          <w:p w:rsidR="00EE4502" w:rsidRDefault="00FD45A3">
            <w:pPr>
              <w:widowControl/>
              <w:tabs>
                <w:tab w:val="left" w:pos="377"/>
              </w:tabs>
              <w:jc w:val="center"/>
              <w:rPr>
                <w:szCs w:val="21"/>
              </w:rPr>
            </w:pPr>
            <w:r>
              <w:rPr>
                <w:rFonts w:hint="eastAsia"/>
                <w:szCs w:val="21"/>
              </w:rPr>
              <w:t>热采井</w:t>
            </w:r>
          </w:p>
        </w:tc>
      </w:tr>
    </w:tbl>
    <w:p w:rsidR="00EE4502" w:rsidRDefault="00FD45A3">
      <w:pPr>
        <w:rPr>
          <w:rFonts w:eastAsia="仿宋"/>
          <w:szCs w:val="21"/>
        </w:rPr>
      </w:pPr>
      <w:r>
        <w:rPr>
          <w:rFonts w:eastAsia="仿宋" w:hint="eastAsia"/>
          <w:szCs w:val="21"/>
        </w:rPr>
        <w:t>注：现场施工前可根据实际情况调整水泥浆配方，并做复核试验。</w:t>
      </w:r>
    </w:p>
    <w:p w:rsidR="00EE4502" w:rsidRDefault="00FD45A3">
      <w:pPr>
        <w:pStyle w:val="085135201"/>
        <w:spacing w:line="360" w:lineRule="auto"/>
        <w:ind w:firstLineChars="200" w:firstLine="480"/>
        <w:rPr>
          <w:rFonts w:ascii="Times New Roman" w:hAnsi="Times New Roman" w:cs="Times New Roman"/>
          <w:szCs w:val="24"/>
        </w:rPr>
      </w:pPr>
      <w:r>
        <w:rPr>
          <w:rFonts w:ascii="Times New Roman" w:hAnsi="Times New Roman" w:cs="Times New Roman"/>
          <w:szCs w:val="24"/>
        </w:rPr>
        <w:lastRenderedPageBreak/>
        <w:t>3</w:t>
      </w:r>
      <w:r>
        <w:rPr>
          <w:rFonts w:ascii="Times New Roman" w:hAnsi="Times New Roman" w:cs="Times New Roman"/>
          <w:szCs w:val="24"/>
        </w:rPr>
        <w:t>）水泥</w:t>
      </w:r>
      <w:r>
        <w:rPr>
          <w:rFonts w:ascii="Times New Roman" w:hAnsi="Times New Roman" w:cs="Times New Roman" w:hint="eastAsia"/>
          <w:szCs w:val="24"/>
        </w:rPr>
        <w:t>用量和添加剂设计</w:t>
      </w:r>
    </w:p>
    <w:p w:rsidR="00EE4502" w:rsidRDefault="00FD45A3">
      <w:pPr>
        <w:pStyle w:val="085135201"/>
        <w:spacing w:line="360" w:lineRule="auto"/>
        <w:ind w:firstLineChars="200" w:firstLine="480"/>
        <w:rPr>
          <w:rFonts w:ascii="Times New Roman" w:hAnsi="Times New Roman" w:cs="Times New Roman"/>
          <w:szCs w:val="24"/>
        </w:rPr>
      </w:pPr>
      <w:r>
        <w:rPr>
          <w:rFonts w:ascii="Times New Roman" w:hAnsi="Times New Roman" w:cs="Times New Roman" w:hint="eastAsia"/>
          <w:szCs w:val="24"/>
        </w:rPr>
        <w:t>固井水泥用量见</w:t>
      </w:r>
      <w:r>
        <w:rPr>
          <w:rFonts w:ascii="Times New Roman" w:hAnsi="Times New Roman" w:cs="Times New Roman"/>
          <w:szCs w:val="24"/>
        </w:rPr>
        <w:t>表</w:t>
      </w:r>
      <w:r>
        <w:rPr>
          <w:rFonts w:ascii="Times New Roman" w:hAnsi="Times New Roman" w:cs="Times New Roman" w:hint="eastAsia"/>
          <w:szCs w:val="24"/>
        </w:rPr>
        <w:t>3-3</w:t>
      </w:r>
      <w:r>
        <w:rPr>
          <w:rFonts w:ascii="Times New Roman" w:hAnsi="Times New Roman" w:cs="Times New Roman"/>
          <w:szCs w:val="24"/>
        </w:rPr>
        <w:t>-1</w:t>
      </w:r>
      <w:r>
        <w:rPr>
          <w:rFonts w:ascii="Times New Roman" w:hAnsi="Times New Roman" w:cs="Times New Roman" w:hint="eastAsia"/>
          <w:szCs w:val="24"/>
        </w:rPr>
        <w:t>8</w:t>
      </w:r>
      <w:r>
        <w:rPr>
          <w:rFonts w:ascii="Times New Roman" w:hAnsi="Times New Roman" w:cs="Times New Roman" w:hint="eastAsia"/>
          <w:szCs w:val="24"/>
        </w:rPr>
        <w:t>，固井水泥添加剂用量见表</w:t>
      </w:r>
      <w:r>
        <w:rPr>
          <w:rFonts w:ascii="Times New Roman" w:hAnsi="Times New Roman" w:cs="Times New Roman" w:hint="eastAsia"/>
          <w:szCs w:val="24"/>
        </w:rPr>
        <w:t>3-3</w:t>
      </w:r>
      <w:r>
        <w:rPr>
          <w:rFonts w:ascii="Times New Roman" w:hAnsi="Times New Roman" w:cs="Times New Roman"/>
          <w:szCs w:val="24"/>
        </w:rPr>
        <w:t>-1</w:t>
      </w:r>
      <w:r>
        <w:rPr>
          <w:rFonts w:ascii="Times New Roman" w:hAnsi="Times New Roman" w:cs="Times New Roman" w:hint="eastAsia"/>
          <w:szCs w:val="24"/>
        </w:rPr>
        <w:t>9</w:t>
      </w:r>
      <w:r>
        <w:rPr>
          <w:rFonts w:ascii="Times New Roman" w:hAnsi="Times New Roman" w:cs="Times New Roman"/>
          <w:szCs w:val="24"/>
        </w:rPr>
        <w:t>。</w:t>
      </w:r>
    </w:p>
    <w:p w:rsidR="00EE4502" w:rsidRDefault="00FD45A3">
      <w:pPr>
        <w:tabs>
          <w:tab w:val="left" w:pos="377"/>
        </w:tabs>
        <w:spacing w:line="360" w:lineRule="auto"/>
        <w:jc w:val="center"/>
        <w:rPr>
          <w:rFonts w:eastAsia="黑体"/>
          <w:bCs/>
          <w:szCs w:val="22"/>
        </w:rPr>
      </w:pPr>
      <w:r>
        <w:rPr>
          <w:rFonts w:eastAsia="黑体"/>
          <w:bCs/>
          <w:szCs w:val="22"/>
        </w:rPr>
        <w:t>表</w:t>
      </w:r>
      <w:r>
        <w:rPr>
          <w:rFonts w:eastAsia="黑体" w:hint="eastAsia"/>
          <w:bCs/>
          <w:szCs w:val="22"/>
        </w:rPr>
        <w:t>3-3</w:t>
      </w:r>
      <w:r>
        <w:rPr>
          <w:rFonts w:eastAsia="黑体"/>
          <w:bCs/>
          <w:szCs w:val="22"/>
        </w:rPr>
        <w:t>-1</w:t>
      </w:r>
      <w:r>
        <w:rPr>
          <w:rFonts w:eastAsia="黑体" w:hint="eastAsia"/>
          <w:bCs/>
          <w:szCs w:val="22"/>
        </w:rPr>
        <w:t>8</w:t>
      </w:r>
      <w:r>
        <w:rPr>
          <w:rFonts w:eastAsia="黑体"/>
          <w:bCs/>
          <w:szCs w:val="22"/>
        </w:rPr>
        <w:t xml:space="preserve">  </w:t>
      </w:r>
      <w:r>
        <w:rPr>
          <w:rFonts w:eastAsia="黑体"/>
          <w:bCs/>
          <w:szCs w:val="22"/>
        </w:rPr>
        <w:t>固井水泥用量设计（</w:t>
      </w:r>
      <w:r>
        <w:rPr>
          <w:rFonts w:eastAsia="黑体" w:hint="eastAsia"/>
          <w:bCs/>
          <w:szCs w:val="22"/>
        </w:rPr>
        <w:t>以</w:t>
      </w:r>
      <w:r>
        <w:rPr>
          <w:rFonts w:eastAsia="黑体"/>
          <w:bCs/>
          <w:szCs w:val="22"/>
        </w:rPr>
        <w:t>排</w:t>
      </w:r>
      <w:r>
        <w:rPr>
          <w:rFonts w:eastAsia="黑体" w:hint="eastAsia"/>
          <w:bCs/>
          <w:szCs w:val="22"/>
        </w:rPr>
        <w:t>614</w:t>
      </w:r>
      <w:r>
        <w:rPr>
          <w:rFonts w:eastAsia="黑体"/>
          <w:bCs/>
          <w:szCs w:val="22"/>
        </w:rPr>
        <w:t>-</w:t>
      </w:r>
      <w:r>
        <w:rPr>
          <w:rFonts w:eastAsia="黑体" w:hint="eastAsia"/>
          <w:bCs/>
          <w:szCs w:val="22"/>
        </w:rPr>
        <w:t>支</w:t>
      </w:r>
      <w:r>
        <w:rPr>
          <w:rFonts w:eastAsia="黑体"/>
          <w:bCs/>
          <w:szCs w:val="22"/>
        </w:rPr>
        <w:t>平</w:t>
      </w:r>
      <w:r>
        <w:rPr>
          <w:rFonts w:eastAsia="黑体" w:hint="eastAsia"/>
          <w:bCs/>
          <w:szCs w:val="22"/>
        </w:rPr>
        <w:t>23</w:t>
      </w:r>
      <w:r>
        <w:rPr>
          <w:rFonts w:eastAsia="黑体" w:hint="eastAsia"/>
          <w:bCs/>
          <w:szCs w:val="22"/>
        </w:rPr>
        <w:t>井为例</w:t>
      </w:r>
      <w:r>
        <w:rPr>
          <w:rFonts w:eastAsia="黑体"/>
          <w:bCs/>
          <w:szCs w:val="22"/>
        </w:rPr>
        <w:t>）</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246"/>
        <w:gridCol w:w="829"/>
        <w:gridCol w:w="810"/>
        <w:gridCol w:w="753"/>
        <w:gridCol w:w="810"/>
        <w:gridCol w:w="980"/>
        <w:gridCol w:w="771"/>
        <w:gridCol w:w="724"/>
        <w:gridCol w:w="878"/>
        <w:gridCol w:w="558"/>
      </w:tblGrid>
      <w:tr w:rsidR="00EE4502">
        <w:trPr>
          <w:trHeight w:val="397"/>
          <w:jc w:val="center"/>
        </w:trPr>
        <w:tc>
          <w:tcPr>
            <w:tcW w:w="744" w:type="pct"/>
            <w:vMerge w:val="restart"/>
            <w:tcMar>
              <w:left w:w="28" w:type="dxa"/>
              <w:right w:w="28" w:type="dxa"/>
            </w:tcMar>
            <w:vAlign w:val="center"/>
          </w:tcPr>
          <w:p w:rsidR="00EE4502" w:rsidRDefault="00FD45A3">
            <w:pPr>
              <w:widowControl/>
              <w:tabs>
                <w:tab w:val="left" w:pos="377"/>
              </w:tabs>
              <w:jc w:val="center"/>
              <w:rPr>
                <w:szCs w:val="21"/>
              </w:rPr>
            </w:pPr>
            <w:r>
              <w:rPr>
                <w:rFonts w:hint="eastAsia"/>
                <w:szCs w:val="21"/>
              </w:rPr>
              <w:t>套管程序</w:t>
            </w:r>
          </w:p>
        </w:tc>
        <w:tc>
          <w:tcPr>
            <w:tcW w:w="495" w:type="pct"/>
            <w:vMerge w:val="restart"/>
            <w:tcMar>
              <w:left w:w="28" w:type="dxa"/>
              <w:right w:w="28" w:type="dxa"/>
            </w:tcMar>
            <w:vAlign w:val="center"/>
          </w:tcPr>
          <w:p w:rsidR="00EE4502" w:rsidRDefault="00FD45A3">
            <w:pPr>
              <w:widowControl/>
              <w:tabs>
                <w:tab w:val="left" w:pos="377"/>
              </w:tabs>
              <w:jc w:val="center"/>
              <w:rPr>
                <w:szCs w:val="21"/>
              </w:rPr>
            </w:pPr>
            <w:r>
              <w:rPr>
                <w:rFonts w:hint="eastAsia"/>
                <w:szCs w:val="21"/>
              </w:rPr>
              <w:t>套管</w:t>
            </w:r>
          </w:p>
          <w:p w:rsidR="00EE4502" w:rsidRDefault="00FD45A3">
            <w:pPr>
              <w:widowControl/>
              <w:tabs>
                <w:tab w:val="left" w:pos="377"/>
              </w:tabs>
              <w:jc w:val="center"/>
              <w:rPr>
                <w:szCs w:val="21"/>
              </w:rPr>
            </w:pPr>
            <w:r>
              <w:rPr>
                <w:rFonts w:hint="eastAsia"/>
                <w:szCs w:val="21"/>
              </w:rPr>
              <w:t>尺寸</w:t>
            </w:r>
          </w:p>
          <w:p w:rsidR="00EE4502" w:rsidRDefault="00FD45A3">
            <w:pPr>
              <w:widowControl/>
              <w:tabs>
                <w:tab w:val="left" w:pos="377"/>
              </w:tabs>
              <w:jc w:val="center"/>
              <w:rPr>
                <w:szCs w:val="21"/>
              </w:rPr>
            </w:pPr>
            <w:r>
              <w:rPr>
                <w:rFonts w:hint="eastAsia"/>
                <w:szCs w:val="21"/>
              </w:rPr>
              <w:t>(mm)</w:t>
            </w:r>
          </w:p>
        </w:tc>
        <w:tc>
          <w:tcPr>
            <w:tcW w:w="484" w:type="pct"/>
            <w:vMerge w:val="restart"/>
            <w:tcMar>
              <w:left w:w="28" w:type="dxa"/>
              <w:right w:w="28" w:type="dxa"/>
            </w:tcMar>
            <w:vAlign w:val="center"/>
          </w:tcPr>
          <w:p w:rsidR="00EE4502" w:rsidRDefault="00FD45A3">
            <w:pPr>
              <w:widowControl/>
              <w:tabs>
                <w:tab w:val="left" w:pos="377"/>
              </w:tabs>
              <w:jc w:val="center"/>
              <w:rPr>
                <w:szCs w:val="21"/>
              </w:rPr>
            </w:pPr>
            <w:r>
              <w:rPr>
                <w:rFonts w:hint="eastAsia"/>
                <w:szCs w:val="21"/>
              </w:rPr>
              <w:t>钻头</w:t>
            </w:r>
          </w:p>
          <w:p w:rsidR="00EE4502" w:rsidRDefault="00FD45A3">
            <w:pPr>
              <w:widowControl/>
              <w:tabs>
                <w:tab w:val="left" w:pos="377"/>
              </w:tabs>
              <w:jc w:val="center"/>
              <w:rPr>
                <w:szCs w:val="21"/>
              </w:rPr>
            </w:pPr>
            <w:r>
              <w:rPr>
                <w:rFonts w:hint="eastAsia"/>
                <w:szCs w:val="21"/>
              </w:rPr>
              <w:t>尺寸</w:t>
            </w:r>
          </w:p>
          <w:p w:rsidR="00EE4502" w:rsidRDefault="00FD45A3">
            <w:pPr>
              <w:widowControl/>
              <w:tabs>
                <w:tab w:val="left" w:pos="377"/>
              </w:tabs>
              <w:jc w:val="center"/>
              <w:rPr>
                <w:szCs w:val="21"/>
              </w:rPr>
            </w:pPr>
            <w:r>
              <w:rPr>
                <w:rFonts w:hint="eastAsia"/>
                <w:szCs w:val="21"/>
              </w:rPr>
              <w:t>(mm)</w:t>
            </w:r>
          </w:p>
        </w:tc>
        <w:tc>
          <w:tcPr>
            <w:tcW w:w="934" w:type="pct"/>
            <w:gridSpan w:val="2"/>
            <w:tcMar>
              <w:left w:w="28" w:type="dxa"/>
              <w:right w:w="28" w:type="dxa"/>
            </w:tcMar>
            <w:vAlign w:val="center"/>
          </w:tcPr>
          <w:p w:rsidR="00EE4502" w:rsidRDefault="00FD45A3">
            <w:pPr>
              <w:widowControl/>
              <w:tabs>
                <w:tab w:val="left" w:pos="377"/>
              </w:tabs>
              <w:jc w:val="center"/>
              <w:rPr>
                <w:szCs w:val="21"/>
              </w:rPr>
            </w:pPr>
            <w:r>
              <w:rPr>
                <w:rFonts w:hint="eastAsia"/>
                <w:szCs w:val="21"/>
              </w:rPr>
              <w:t>封固井段</w:t>
            </w:r>
            <w:r>
              <w:rPr>
                <w:rFonts w:hint="eastAsia"/>
                <w:szCs w:val="21"/>
              </w:rPr>
              <w:t>（</w:t>
            </w:r>
            <w:r>
              <w:rPr>
                <w:rFonts w:hint="eastAsia"/>
                <w:szCs w:val="21"/>
              </w:rPr>
              <w:t>m</w:t>
            </w:r>
            <w:r>
              <w:rPr>
                <w:rFonts w:hint="eastAsia"/>
                <w:szCs w:val="21"/>
              </w:rPr>
              <w:t>）</w:t>
            </w:r>
          </w:p>
        </w:tc>
        <w:tc>
          <w:tcPr>
            <w:tcW w:w="586" w:type="pct"/>
            <w:vMerge w:val="restart"/>
            <w:tcMar>
              <w:left w:w="28" w:type="dxa"/>
              <w:right w:w="28" w:type="dxa"/>
            </w:tcMar>
            <w:vAlign w:val="center"/>
          </w:tcPr>
          <w:p w:rsidR="00EE4502" w:rsidRDefault="00FD45A3">
            <w:pPr>
              <w:widowControl/>
              <w:tabs>
                <w:tab w:val="left" w:pos="377"/>
              </w:tabs>
              <w:jc w:val="center"/>
              <w:rPr>
                <w:szCs w:val="21"/>
              </w:rPr>
            </w:pPr>
            <w:r>
              <w:rPr>
                <w:rFonts w:hint="eastAsia"/>
                <w:szCs w:val="21"/>
              </w:rPr>
              <w:t>水泥浆</w:t>
            </w:r>
          </w:p>
          <w:p w:rsidR="00EE4502" w:rsidRDefault="00FD45A3">
            <w:pPr>
              <w:widowControl/>
              <w:tabs>
                <w:tab w:val="left" w:pos="377"/>
              </w:tabs>
              <w:jc w:val="center"/>
              <w:rPr>
                <w:szCs w:val="21"/>
              </w:rPr>
            </w:pPr>
            <w:r>
              <w:rPr>
                <w:rFonts w:hint="eastAsia"/>
                <w:szCs w:val="21"/>
              </w:rPr>
              <w:t>密度</w:t>
            </w:r>
          </w:p>
          <w:p w:rsidR="00EE4502" w:rsidRDefault="00FD45A3">
            <w:pPr>
              <w:widowControl/>
              <w:tabs>
                <w:tab w:val="left" w:pos="377"/>
              </w:tabs>
              <w:jc w:val="center"/>
              <w:rPr>
                <w:szCs w:val="21"/>
              </w:rPr>
            </w:pPr>
            <w:r>
              <w:rPr>
                <w:rFonts w:hint="eastAsia"/>
                <w:szCs w:val="21"/>
              </w:rPr>
              <w:t>(g/cm3)</w:t>
            </w:r>
          </w:p>
        </w:tc>
        <w:tc>
          <w:tcPr>
            <w:tcW w:w="461" w:type="pct"/>
            <w:vMerge w:val="restart"/>
            <w:tcMar>
              <w:left w:w="28" w:type="dxa"/>
              <w:right w:w="28" w:type="dxa"/>
            </w:tcMar>
            <w:vAlign w:val="center"/>
          </w:tcPr>
          <w:p w:rsidR="00EE4502" w:rsidRDefault="00FD45A3">
            <w:pPr>
              <w:widowControl/>
              <w:tabs>
                <w:tab w:val="left" w:pos="377"/>
              </w:tabs>
              <w:jc w:val="center"/>
              <w:rPr>
                <w:szCs w:val="21"/>
              </w:rPr>
            </w:pPr>
            <w:r>
              <w:rPr>
                <w:rFonts w:hint="eastAsia"/>
                <w:szCs w:val="21"/>
              </w:rPr>
              <w:t>水泥</w:t>
            </w:r>
          </w:p>
          <w:p w:rsidR="00EE4502" w:rsidRDefault="00FD45A3">
            <w:pPr>
              <w:widowControl/>
              <w:tabs>
                <w:tab w:val="left" w:pos="377"/>
              </w:tabs>
              <w:jc w:val="center"/>
              <w:rPr>
                <w:szCs w:val="21"/>
              </w:rPr>
            </w:pPr>
            <w:r>
              <w:rPr>
                <w:rFonts w:hint="eastAsia"/>
                <w:szCs w:val="21"/>
              </w:rPr>
              <w:t>等级</w:t>
            </w:r>
          </w:p>
        </w:tc>
        <w:tc>
          <w:tcPr>
            <w:tcW w:w="433" w:type="pct"/>
            <w:vMerge w:val="restart"/>
            <w:tcMar>
              <w:left w:w="28" w:type="dxa"/>
              <w:right w:w="28" w:type="dxa"/>
            </w:tcMar>
            <w:vAlign w:val="center"/>
          </w:tcPr>
          <w:p w:rsidR="00EE4502" w:rsidRDefault="00FD45A3">
            <w:pPr>
              <w:widowControl/>
              <w:tabs>
                <w:tab w:val="left" w:pos="377"/>
              </w:tabs>
              <w:jc w:val="center"/>
              <w:rPr>
                <w:szCs w:val="21"/>
              </w:rPr>
            </w:pPr>
            <w:r>
              <w:rPr>
                <w:rFonts w:hint="eastAsia"/>
                <w:szCs w:val="21"/>
              </w:rPr>
              <w:t>注水</w:t>
            </w:r>
          </w:p>
          <w:p w:rsidR="00EE4502" w:rsidRDefault="00FD45A3">
            <w:pPr>
              <w:widowControl/>
              <w:tabs>
                <w:tab w:val="left" w:pos="377"/>
              </w:tabs>
              <w:jc w:val="center"/>
              <w:rPr>
                <w:szCs w:val="21"/>
              </w:rPr>
            </w:pPr>
            <w:r>
              <w:rPr>
                <w:rFonts w:hint="eastAsia"/>
                <w:szCs w:val="21"/>
              </w:rPr>
              <w:t>泥量</w:t>
            </w:r>
          </w:p>
          <w:p w:rsidR="00EE4502" w:rsidRDefault="00FD45A3">
            <w:pPr>
              <w:widowControl/>
              <w:tabs>
                <w:tab w:val="left" w:pos="377"/>
              </w:tabs>
              <w:jc w:val="center"/>
              <w:rPr>
                <w:szCs w:val="21"/>
              </w:rPr>
            </w:pPr>
            <w:r>
              <w:rPr>
                <w:rFonts w:hint="eastAsia"/>
                <w:szCs w:val="21"/>
              </w:rPr>
              <w:t>(t)</w:t>
            </w:r>
          </w:p>
        </w:tc>
        <w:tc>
          <w:tcPr>
            <w:tcW w:w="525" w:type="pct"/>
            <w:vMerge w:val="restart"/>
            <w:tcMar>
              <w:left w:w="28" w:type="dxa"/>
              <w:right w:w="28" w:type="dxa"/>
            </w:tcMar>
            <w:vAlign w:val="center"/>
          </w:tcPr>
          <w:p w:rsidR="00EE4502" w:rsidRDefault="00FD45A3">
            <w:pPr>
              <w:widowControl/>
              <w:tabs>
                <w:tab w:val="left" w:pos="377"/>
              </w:tabs>
              <w:jc w:val="center"/>
              <w:rPr>
                <w:szCs w:val="21"/>
              </w:rPr>
            </w:pPr>
            <w:r>
              <w:rPr>
                <w:rFonts w:hint="eastAsia"/>
                <w:szCs w:val="21"/>
              </w:rPr>
              <w:t>固井</w:t>
            </w:r>
          </w:p>
          <w:p w:rsidR="00EE4502" w:rsidRDefault="00FD45A3">
            <w:pPr>
              <w:widowControl/>
              <w:tabs>
                <w:tab w:val="left" w:pos="377"/>
              </w:tabs>
              <w:jc w:val="center"/>
              <w:rPr>
                <w:szCs w:val="21"/>
              </w:rPr>
            </w:pPr>
            <w:r>
              <w:rPr>
                <w:rFonts w:hint="eastAsia"/>
                <w:szCs w:val="21"/>
              </w:rPr>
              <w:t>方式</w:t>
            </w:r>
          </w:p>
        </w:tc>
        <w:tc>
          <w:tcPr>
            <w:tcW w:w="334" w:type="pct"/>
            <w:vMerge w:val="restart"/>
            <w:tcMar>
              <w:left w:w="28" w:type="dxa"/>
              <w:right w:w="28" w:type="dxa"/>
            </w:tcMar>
            <w:vAlign w:val="center"/>
          </w:tcPr>
          <w:p w:rsidR="00EE4502" w:rsidRDefault="00FD45A3">
            <w:pPr>
              <w:widowControl/>
              <w:tabs>
                <w:tab w:val="left" w:pos="377"/>
              </w:tabs>
              <w:jc w:val="center"/>
              <w:rPr>
                <w:szCs w:val="21"/>
              </w:rPr>
            </w:pPr>
            <w:r>
              <w:rPr>
                <w:rFonts w:hint="eastAsia"/>
                <w:szCs w:val="21"/>
              </w:rPr>
              <w:t>备注</w:t>
            </w:r>
          </w:p>
        </w:tc>
      </w:tr>
      <w:tr w:rsidR="00EE4502">
        <w:trPr>
          <w:trHeight w:val="397"/>
          <w:jc w:val="center"/>
        </w:trPr>
        <w:tc>
          <w:tcPr>
            <w:tcW w:w="744" w:type="pct"/>
            <w:vMerge/>
            <w:tcMar>
              <w:left w:w="28" w:type="dxa"/>
              <w:right w:w="28" w:type="dxa"/>
            </w:tcMar>
            <w:vAlign w:val="center"/>
          </w:tcPr>
          <w:p w:rsidR="00EE4502" w:rsidRDefault="00EE4502">
            <w:pPr>
              <w:widowControl/>
              <w:tabs>
                <w:tab w:val="left" w:pos="377"/>
              </w:tabs>
              <w:jc w:val="center"/>
              <w:rPr>
                <w:szCs w:val="21"/>
              </w:rPr>
            </w:pPr>
          </w:p>
        </w:tc>
        <w:tc>
          <w:tcPr>
            <w:tcW w:w="495" w:type="pct"/>
            <w:vMerge/>
            <w:tcMar>
              <w:left w:w="28" w:type="dxa"/>
              <w:right w:w="28" w:type="dxa"/>
            </w:tcMar>
            <w:vAlign w:val="center"/>
          </w:tcPr>
          <w:p w:rsidR="00EE4502" w:rsidRDefault="00EE4502">
            <w:pPr>
              <w:widowControl/>
              <w:tabs>
                <w:tab w:val="left" w:pos="377"/>
              </w:tabs>
              <w:jc w:val="center"/>
              <w:rPr>
                <w:szCs w:val="21"/>
              </w:rPr>
            </w:pPr>
          </w:p>
        </w:tc>
        <w:tc>
          <w:tcPr>
            <w:tcW w:w="484" w:type="pct"/>
            <w:vMerge/>
            <w:tcMar>
              <w:left w:w="28" w:type="dxa"/>
              <w:right w:w="28" w:type="dxa"/>
            </w:tcMar>
            <w:vAlign w:val="center"/>
          </w:tcPr>
          <w:p w:rsidR="00EE4502" w:rsidRDefault="00EE4502">
            <w:pPr>
              <w:widowControl/>
              <w:tabs>
                <w:tab w:val="left" w:pos="377"/>
              </w:tabs>
              <w:jc w:val="center"/>
              <w:rPr>
                <w:szCs w:val="21"/>
              </w:rPr>
            </w:pPr>
          </w:p>
        </w:tc>
        <w:tc>
          <w:tcPr>
            <w:tcW w:w="450" w:type="pct"/>
            <w:tcMar>
              <w:left w:w="28" w:type="dxa"/>
              <w:right w:w="28" w:type="dxa"/>
            </w:tcMar>
            <w:vAlign w:val="center"/>
          </w:tcPr>
          <w:p w:rsidR="00EE4502" w:rsidRDefault="00FD45A3">
            <w:pPr>
              <w:widowControl/>
              <w:tabs>
                <w:tab w:val="left" w:pos="377"/>
              </w:tabs>
              <w:jc w:val="center"/>
              <w:rPr>
                <w:szCs w:val="21"/>
              </w:rPr>
            </w:pPr>
            <w:r>
              <w:rPr>
                <w:rFonts w:hint="eastAsia"/>
                <w:szCs w:val="21"/>
              </w:rPr>
              <w:t>起始</w:t>
            </w:r>
          </w:p>
          <w:p w:rsidR="00EE4502" w:rsidRDefault="00FD45A3">
            <w:pPr>
              <w:widowControl/>
              <w:tabs>
                <w:tab w:val="left" w:pos="377"/>
              </w:tabs>
              <w:jc w:val="center"/>
              <w:rPr>
                <w:szCs w:val="21"/>
              </w:rPr>
            </w:pPr>
            <w:r>
              <w:rPr>
                <w:rFonts w:hint="eastAsia"/>
                <w:szCs w:val="21"/>
              </w:rPr>
              <w:t>井深</w:t>
            </w:r>
          </w:p>
        </w:tc>
        <w:tc>
          <w:tcPr>
            <w:tcW w:w="483" w:type="pct"/>
            <w:tcMar>
              <w:left w:w="28" w:type="dxa"/>
              <w:right w:w="28" w:type="dxa"/>
            </w:tcMar>
            <w:vAlign w:val="center"/>
          </w:tcPr>
          <w:p w:rsidR="00EE4502" w:rsidRDefault="00FD45A3">
            <w:pPr>
              <w:widowControl/>
              <w:tabs>
                <w:tab w:val="left" w:pos="377"/>
              </w:tabs>
              <w:jc w:val="center"/>
              <w:rPr>
                <w:szCs w:val="21"/>
              </w:rPr>
            </w:pPr>
            <w:r>
              <w:rPr>
                <w:rFonts w:hint="eastAsia"/>
                <w:szCs w:val="21"/>
              </w:rPr>
              <w:t>终止</w:t>
            </w:r>
          </w:p>
          <w:p w:rsidR="00EE4502" w:rsidRDefault="00FD45A3">
            <w:pPr>
              <w:widowControl/>
              <w:tabs>
                <w:tab w:val="left" w:pos="377"/>
              </w:tabs>
              <w:jc w:val="center"/>
              <w:rPr>
                <w:szCs w:val="21"/>
              </w:rPr>
            </w:pPr>
            <w:r>
              <w:rPr>
                <w:rFonts w:hint="eastAsia"/>
                <w:szCs w:val="21"/>
              </w:rPr>
              <w:t>井深</w:t>
            </w:r>
          </w:p>
        </w:tc>
        <w:tc>
          <w:tcPr>
            <w:tcW w:w="586" w:type="pct"/>
            <w:vMerge/>
            <w:tcMar>
              <w:left w:w="28" w:type="dxa"/>
              <w:right w:w="28" w:type="dxa"/>
            </w:tcMar>
            <w:vAlign w:val="center"/>
          </w:tcPr>
          <w:p w:rsidR="00EE4502" w:rsidRDefault="00EE4502">
            <w:pPr>
              <w:widowControl/>
              <w:tabs>
                <w:tab w:val="left" w:pos="377"/>
              </w:tabs>
              <w:jc w:val="center"/>
              <w:rPr>
                <w:szCs w:val="21"/>
              </w:rPr>
            </w:pPr>
          </w:p>
        </w:tc>
        <w:tc>
          <w:tcPr>
            <w:tcW w:w="461" w:type="pct"/>
            <w:vMerge/>
            <w:tcMar>
              <w:left w:w="28" w:type="dxa"/>
              <w:right w:w="28" w:type="dxa"/>
            </w:tcMar>
            <w:vAlign w:val="center"/>
          </w:tcPr>
          <w:p w:rsidR="00EE4502" w:rsidRDefault="00EE4502">
            <w:pPr>
              <w:widowControl/>
              <w:tabs>
                <w:tab w:val="left" w:pos="377"/>
              </w:tabs>
              <w:jc w:val="center"/>
              <w:rPr>
                <w:szCs w:val="21"/>
              </w:rPr>
            </w:pPr>
          </w:p>
        </w:tc>
        <w:tc>
          <w:tcPr>
            <w:tcW w:w="433" w:type="pct"/>
            <w:vMerge/>
            <w:tcMar>
              <w:left w:w="28" w:type="dxa"/>
              <w:right w:w="28" w:type="dxa"/>
            </w:tcMar>
            <w:vAlign w:val="center"/>
          </w:tcPr>
          <w:p w:rsidR="00EE4502" w:rsidRDefault="00EE4502">
            <w:pPr>
              <w:widowControl/>
              <w:tabs>
                <w:tab w:val="left" w:pos="377"/>
              </w:tabs>
              <w:jc w:val="center"/>
              <w:rPr>
                <w:szCs w:val="21"/>
              </w:rPr>
            </w:pPr>
          </w:p>
        </w:tc>
        <w:tc>
          <w:tcPr>
            <w:tcW w:w="525" w:type="pct"/>
            <w:vMerge/>
            <w:tcMar>
              <w:left w:w="28" w:type="dxa"/>
              <w:right w:w="28" w:type="dxa"/>
            </w:tcMar>
            <w:vAlign w:val="center"/>
          </w:tcPr>
          <w:p w:rsidR="00EE4502" w:rsidRDefault="00EE4502">
            <w:pPr>
              <w:widowControl/>
              <w:tabs>
                <w:tab w:val="left" w:pos="377"/>
              </w:tabs>
              <w:jc w:val="center"/>
              <w:rPr>
                <w:szCs w:val="21"/>
              </w:rPr>
            </w:pPr>
          </w:p>
        </w:tc>
        <w:tc>
          <w:tcPr>
            <w:tcW w:w="334" w:type="pct"/>
            <w:vMerge/>
            <w:tcMar>
              <w:left w:w="28" w:type="dxa"/>
              <w:right w:w="28" w:type="dxa"/>
            </w:tcMar>
            <w:vAlign w:val="center"/>
          </w:tcPr>
          <w:p w:rsidR="00EE4502" w:rsidRDefault="00EE4502">
            <w:pPr>
              <w:widowControl/>
              <w:tabs>
                <w:tab w:val="left" w:pos="377"/>
              </w:tabs>
              <w:jc w:val="center"/>
              <w:rPr>
                <w:szCs w:val="21"/>
              </w:rPr>
            </w:pPr>
          </w:p>
        </w:tc>
      </w:tr>
      <w:tr w:rsidR="00EE4502">
        <w:trPr>
          <w:trHeight w:val="397"/>
          <w:jc w:val="center"/>
        </w:trPr>
        <w:tc>
          <w:tcPr>
            <w:tcW w:w="744" w:type="pct"/>
            <w:vMerge w:val="restart"/>
            <w:tcMar>
              <w:left w:w="28" w:type="dxa"/>
              <w:right w:w="28" w:type="dxa"/>
            </w:tcMar>
            <w:vAlign w:val="center"/>
          </w:tcPr>
          <w:p w:rsidR="00EE4502" w:rsidRDefault="00FD45A3">
            <w:pPr>
              <w:widowControl/>
              <w:tabs>
                <w:tab w:val="left" w:pos="377"/>
              </w:tabs>
              <w:jc w:val="center"/>
              <w:rPr>
                <w:szCs w:val="21"/>
              </w:rPr>
            </w:pPr>
            <w:r>
              <w:rPr>
                <w:rFonts w:hint="eastAsia"/>
                <w:szCs w:val="21"/>
              </w:rPr>
              <w:t>排</w:t>
            </w:r>
            <w:r>
              <w:rPr>
                <w:rFonts w:hint="eastAsia"/>
                <w:szCs w:val="21"/>
              </w:rPr>
              <w:t>61-</w:t>
            </w:r>
            <w:r>
              <w:rPr>
                <w:rFonts w:hint="eastAsia"/>
                <w:szCs w:val="21"/>
              </w:rPr>
              <w:t>平</w:t>
            </w:r>
            <w:r>
              <w:rPr>
                <w:rFonts w:hint="eastAsia"/>
                <w:szCs w:val="21"/>
              </w:rPr>
              <w:t>21</w:t>
            </w:r>
          </w:p>
        </w:tc>
        <w:tc>
          <w:tcPr>
            <w:tcW w:w="495" w:type="pct"/>
            <w:tcMar>
              <w:left w:w="28" w:type="dxa"/>
              <w:right w:w="28" w:type="dxa"/>
            </w:tcMar>
            <w:vAlign w:val="center"/>
          </w:tcPr>
          <w:p w:rsidR="00EE4502" w:rsidRDefault="00FD45A3">
            <w:pPr>
              <w:widowControl/>
              <w:tabs>
                <w:tab w:val="left" w:pos="377"/>
              </w:tabs>
              <w:jc w:val="center"/>
              <w:rPr>
                <w:szCs w:val="21"/>
              </w:rPr>
            </w:pPr>
            <w:r>
              <w:rPr>
                <w:rFonts w:hint="eastAsia"/>
                <w:szCs w:val="21"/>
              </w:rPr>
              <w:t>273.1</w:t>
            </w:r>
          </w:p>
        </w:tc>
        <w:tc>
          <w:tcPr>
            <w:tcW w:w="484" w:type="pct"/>
            <w:tcMar>
              <w:left w:w="28" w:type="dxa"/>
              <w:right w:w="28" w:type="dxa"/>
            </w:tcMar>
            <w:vAlign w:val="center"/>
          </w:tcPr>
          <w:p w:rsidR="00EE4502" w:rsidRDefault="00FD45A3">
            <w:pPr>
              <w:widowControl/>
              <w:tabs>
                <w:tab w:val="left" w:pos="377"/>
              </w:tabs>
              <w:jc w:val="center"/>
              <w:rPr>
                <w:szCs w:val="21"/>
              </w:rPr>
            </w:pPr>
            <w:r>
              <w:rPr>
                <w:rFonts w:hint="eastAsia"/>
                <w:szCs w:val="21"/>
              </w:rPr>
              <w:t>346.1</w:t>
            </w:r>
          </w:p>
        </w:tc>
        <w:tc>
          <w:tcPr>
            <w:tcW w:w="450" w:type="pct"/>
            <w:tcMar>
              <w:left w:w="28" w:type="dxa"/>
              <w:right w:w="28" w:type="dxa"/>
            </w:tcMar>
            <w:vAlign w:val="center"/>
          </w:tcPr>
          <w:p w:rsidR="00EE4502" w:rsidRDefault="00FD45A3">
            <w:pPr>
              <w:widowControl/>
              <w:tabs>
                <w:tab w:val="left" w:pos="377"/>
              </w:tabs>
              <w:jc w:val="center"/>
              <w:rPr>
                <w:szCs w:val="21"/>
              </w:rPr>
            </w:pPr>
            <w:r>
              <w:rPr>
                <w:rFonts w:hint="eastAsia"/>
                <w:szCs w:val="21"/>
              </w:rPr>
              <w:t>0</w:t>
            </w:r>
          </w:p>
        </w:tc>
        <w:tc>
          <w:tcPr>
            <w:tcW w:w="483" w:type="pct"/>
            <w:tcMar>
              <w:left w:w="28" w:type="dxa"/>
              <w:right w:w="28" w:type="dxa"/>
            </w:tcMar>
            <w:vAlign w:val="center"/>
          </w:tcPr>
          <w:p w:rsidR="00EE4502" w:rsidRDefault="00FD45A3">
            <w:pPr>
              <w:widowControl/>
              <w:tabs>
                <w:tab w:val="left" w:pos="377"/>
              </w:tabs>
              <w:jc w:val="center"/>
              <w:rPr>
                <w:szCs w:val="21"/>
              </w:rPr>
            </w:pPr>
            <w:r>
              <w:rPr>
                <w:rFonts w:hint="eastAsia"/>
                <w:szCs w:val="21"/>
              </w:rPr>
              <w:t>91</w:t>
            </w:r>
          </w:p>
        </w:tc>
        <w:tc>
          <w:tcPr>
            <w:tcW w:w="586" w:type="pct"/>
            <w:tcMar>
              <w:left w:w="28" w:type="dxa"/>
              <w:right w:w="28" w:type="dxa"/>
            </w:tcMar>
            <w:vAlign w:val="center"/>
          </w:tcPr>
          <w:p w:rsidR="00EE4502" w:rsidRDefault="00FD45A3">
            <w:pPr>
              <w:widowControl/>
              <w:tabs>
                <w:tab w:val="left" w:pos="377"/>
              </w:tabs>
              <w:jc w:val="center"/>
              <w:rPr>
                <w:szCs w:val="21"/>
              </w:rPr>
            </w:pPr>
            <w:r>
              <w:rPr>
                <w:rFonts w:hint="eastAsia"/>
                <w:szCs w:val="21"/>
              </w:rPr>
              <w:t>1.85</w:t>
            </w:r>
          </w:p>
        </w:tc>
        <w:tc>
          <w:tcPr>
            <w:tcW w:w="461" w:type="pct"/>
            <w:tcMar>
              <w:left w:w="28" w:type="dxa"/>
              <w:right w:w="28" w:type="dxa"/>
            </w:tcMar>
            <w:vAlign w:val="center"/>
          </w:tcPr>
          <w:p w:rsidR="00EE4502" w:rsidRDefault="00FD45A3">
            <w:pPr>
              <w:widowControl/>
              <w:tabs>
                <w:tab w:val="left" w:pos="377"/>
              </w:tabs>
              <w:jc w:val="center"/>
              <w:rPr>
                <w:szCs w:val="21"/>
              </w:rPr>
            </w:pPr>
            <w:r>
              <w:rPr>
                <w:rFonts w:hint="eastAsia"/>
                <w:szCs w:val="21"/>
              </w:rPr>
              <w:t>G</w:t>
            </w:r>
          </w:p>
        </w:tc>
        <w:tc>
          <w:tcPr>
            <w:tcW w:w="433" w:type="pct"/>
            <w:tcMar>
              <w:left w:w="28" w:type="dxa"/>
              <w:right w:w="28" w:type="dxa"/>
            </w:tcMar>
            <w:vAlign w:val="center"/>
          </w:tcPr>
          <w:p w:rsidR="00EE4502" w:rsidRDefault="00FD45A3">
            <w:pPr>
              <w:widowControl/>
              <w:tabs>
                <w:tab w:val="left" w:pos="377"/>
              </w:tabs>
              <w:jc w:val="center"/>
              <w:rPr>
                <w:szCs w:val="21"/>
              </w:rPr>
            </w:pPr>
            <w:r>
              <w:rPr>
                <w:rFonts w:hint="eastAsia"/>
                <w:szCs w:val="21"/>
              </w:rPr>
              <w:t>16</w:t>
            </w:r>
          </w:p>
        </w:tc>
        <w:tc>
          <w:tcPr>
            <w:tcW w:w="525" w:type="pct"/>
            <w:tcMar>
              <w:left w:w="28" w:type="dxa"/>
              <w:right w:w="28" w:type="dxa"/>
            </w:tcMar>
            <w:vAlign w:val="center"/>
          </w:tcPr>
          <w:p w:rsidR="00EE4502" w:rsidRDefault="00FD45A3">
            <w:pPr>
              <w:widowControl/>
              <w:tabs>
                <w:tab w:val="left" w:pos="377"/>
              </w:tabs>
              <w:jc w:val="center"/>
              <w:rPr>
                <w:szCs w:val="21"/>
              </w:rPr>
            </w:pPr>
            <w:r>
              <w:rPr>
                <w:rFonts w:hint="eastAsia"/>
                <w:szCs w:val="21"/>
              </w:rPr>
              <w:t>常规</w:t>
            </w:r>
          </w:p>
        </w:tc>
        <w:tc>
          <w:tcPr>
            <w:tcW w:w="334" w:type="pct"/>
            <w:tcMar>
              <w:left w:w="28" w:type="dxa"/>
              <w:right w:w="28" w:type="dxa"/>
            </w:tcMar>
            <w:vAlign w:val="center"/>
          </w:tcPr>
          <w:p w:rsidR="00EE4502" w:rsidRDefault="00EE4502">
            <w:pPr>
              <w:widowControl/>
              <w:tabs>
                <w:tab w:val="left" w:pos="377"/>
              </w:tabs>
              <w:jc w:val="center"/>
              <w:rPr>
                <w:szCs w:val="21"/>
              </w:rPr>
            </w:pPr>
          </w:p>
        </w:tc>
      </w:tr>
      <w:tr w:rsidR="00EE4502">
        <w:trPr>
          <w:trHeight w:val="397"/>
          <w:jc w:val="center"/>
        </w:trPr>
        <w:tc>
          <w:tcPr>
            <w:tcW w:w="744" w:type="pct"/>
            <w:vMerge/>
            <w:tcMar>
              <w:left w:w="28" w:type="dxa"/>
              <w:right w:w="28" w:type="dxa"/>
            </w:tcMar>
            <w:vAlign w:val="center"/>
          </w:tcPr>
          <w:p w:rsidR="00EE4502" w:rsidRDefault="00EE4502">
            <w:pPr>
              <w:widowControl/>
              <w:tabs>
                <w:tab w:val="left" w:pos="377"/>
              </w:tabs>
              <w:jc w:val="center"/>
              <w:rPr>
                <w:szCs w:val="21"/>
              </w:rPr>
            </w:pPr>
          </w:p>
        </w:tc>
        <w:tc>
          <w:tcPr>
            <w:tcW w:w="495" w:type="pct"/>
            <w:tcMar>
              <w:left w:w="28" w:type="dxa"/>
              <w:right w:w="28" w:type="dxa"/>
            </w:tcMar>
            <w:vAlign w:val="center"/>
          </w:tcPr>
          <w:p w:rsidR="00EE4502" w:rsidRDefault="00FD45A3">
            <w:pPr>
              <w:widowControl/>
              <w:tabs>
                <w:tab w:val="left" w:pos="377"/>
              </w:tabs>
              <w:jc w:val="center"/>
              <w:rPr>
                <w:szCs w:val="21"/>
              </w:rPr>
            </w:pPr>
            <w:r>
              <w:rPr>
                <w:rFonts w:hint="eastAsia"/>
                <w:szCs w:val="21"/>
              </w:rPr>
              <w:t>177.8</w:t>
            </w:r>
          </w:p>
        </w:tc>
        <w:tc>
          <w:tcPr>
            <w:tcW w:w="484" w:type="pct"/>
            <w:tcMar>
              <w:left w:w="28" w:type="dxa"/>
              <w:right w:w="28" w:type="dxa"/>
            </w:tcMar>
            <w:vAlign w:val="center"/>
          </w:tcPr>
          <w:p w:rsidR="00EE4502" w:rsidRDefault="00FD45A3">
            <w:pPr>
              <w:widowControl/>
              <w:tabs>
                <w:tab w:val="left" w:pos="377"/>
              </w:tabs>
              <w:jc w:val="center"/>
              <w:rPr>
                <w:szCs w:val="21"/>
              </w:rPr>
            </w:pPr>
            <w:r>
              <w:rPr>
                <w:rFonts w:hint="eastAsia"/>
                <w:szCs w:val="21"/>
              </w:rPr>
              <w:t>-</w:t>
            </w:r>
          </w:p>
        </w:tc>
        <w:tc>
          <w:tcPr>
            <w:tcW w:w="450" w:type="pct"/>
            <w:tcMar>
              <w:left w:w="28" w:type="dxa"/>
              <w:right w:w="28" w:type="dxa"/>
            </w:tcMar>
            <w:vAlign w:val="center"/>
          </w:tcPr>
          <w:p w:rsidR="00EE4502" w:rsidRDefault="00FD45A3">
            <w:pPr>
              <w:widowControl/>
              <w:tabs>
                <w:tab w:val="left" w:pos="377"/>
              </w:tabs>
              <w:jc w:val="center"/>
              <w:rPr>
                <w:szCs w:val="21"/>
              </w:rPr>
            </w:pPr>
            <w:r>
              <w:rPr>
                <w:rFonts w:hint="eastAsia"/>
                <w:szCs w:val="21"/>
              </w:rPr>
              <w:t>0</w:t>
            </w:r>
          </w:p>
        </w:tc>
        <w:tc>
          <w:tcPr>
            <w:tcW w:w="483" w:type="pct"/>
            <w:tcMar>
              <w:left w:w="28" w:type="dxa"/>
              <w:right w:w="28" w:type="dxa"/>
            </w:tcMar>
            <w:vAlign w:val="center"/>
          </w:tcPr>
          <w:p w:rsidR="00EE4502" w:rsidRDefault="00FD45A3">
            <w:pPr>
              <w:widowControl/>
              <w:tabs>
                <w:tab w:val="left" w:pos="377"/>
              </w:tabs>
              <w:jc w:val="center"/>
              <w:rPr>
                <w:szCs w:val="21"/>
              </w:rPr>
            </w:pPr>
            <w:r>
              <w:rPr>
                <w:rFonts w:hint="eastAsia"/>
                <w:szCs w:val="21"/>
              </w:rPr>
              <w:t>430</w:t>
            </w:r>
          </w:p>
        </w:tc>
        <w:tc>
          <w:tcPr>
            <w:tcW w:w="586" w:type="pct"/>
            <w:tcMar>
              <w:left w:w="28" w:type="dxa"/>
              <w:right w:w="28" w:type="dxa"/>
            </w:tcMar>
            <w:vAlign w:val="center"/>
          </w:tcPr>
          <w:p w:rsidR="00EE4502" w:rsidRDefault="00FD45A3">
            <w:pPr>
              <w:widowControl/>
              <w:tabs>
                <w:tab w:val="left" w:pos="377"/>
              </w:tabs>
              <w:jc w:val="center"/>
              <w:rPr>
                <w:szCs w:val="21"/>
              </w:rPr>
            </w:pPr>
            <w:r>
              <w:rPr>
                <w:rFonts w:hint="eastAsia"/>
                <w:szCs w:val="21"/>
              </w:rPr>
              <w:t>1.90</w:t>
            </w:r>
          </w:p>
        </w:tc>
        <w:tc>
          <w:tcPr>
            <w:tcW w:w="461" w:type="pct"/>
            <w:tcMar>
              <w:left w:w="28" w:type="dxa"/>
              <w:right w:w="28" w:type="dxa"/>
            </w:tcMar>
            <w:vAlign w:val="center"/>
          </w:tcPr>
          <w:p w:rsidR="00EE4502" w:rsidRDefault="00FD45A3">
            <w:pPr>
              <w:widowControl/>
              <w:tabs>
                <w:tab w:val="left" w:pos="377"/>
              </w:tabs>
              <w:jc w:val="center"/>
              <w:rPr>
                <w:szCs w:val="21"/>
              </w:rPr>
            </w:pPr>
            <w:r>
              <w:rPr>
                <w:rFonts w:hint="eastAsia"/>
                <w:szCs w:val="21"/>
              </w:rPr>
              <w:t>G</w:t>
            </w:r>
          </w:p>
        </w:tc>
        <w:tc>
          <w:tcPr>
            <w:tcW w:w="433" w:type="pct"/>
            <w:tcMar>
              <w:left w:w="28" w:type="dxa"/>
              <w:right w:w="28" w:type="dxa"/>
            </w:tcMar>
            <w:vAlign w:val="center"/>
          </w:tcPr>
          <w:p w:rsidR="00EE4502" w:rsidRDefault="00FD45A3">
            <w:pPr>
              <w:widowControl/>
              <w:tabs>
                <w:tab w:val="left" w:pos="377"/>
              </w:tabs>
              <w:jc w:val="center"/>
              <w:rPr>
                <w:szCs w:val="21"/>
              </w:rPr>
            </w:pPr>
            <w:r>
              <w:rPr>
                <w:rFonts w:hint="eastAsia"/>
                <w:szCs w:val="21"/>
              </w:rPr>
              <w:t>30</w:t>
            </w:r>
          </w:p>
        </w:tc>
        <w:tc>
          <w:tcPr>
            <w:tcW w:w="525" w:type="pct"/>
            <w:tcMar>
              <w:left w:w="28" w:type="dxa"/>
              <w:right w:w="28" w:type="dxa"/>
            </w:tcMar>
            <w:vAlign w:val="center"/>
          </w:tcPr>
          <w:p w:rsidR="00EE4502" w:rsidRDefault="00FD45A3">
            <w:pPr>
              <w:widowControl/>
              <w:tabs>
                <w:tab w:val="left" w:pos="377"/>
              </w:tabs>
              <w:jc w:val="center"/>
              <w:rPr>
                <w:szCs w:val="21"/>
              </w:rPr>
            </w:pPr>
            <w:r>
              <w:rPr>
                <w:rFonts w:hint="eastAsia"/>
                <w:szCs w:val="21"/>
              </w:rPr>
              <w:t>挤水泥</w:t>
            </w:r>
          </w:p>
        </w:tc>
        <w:tc>
          <w:tcPr>
            <w:tcW w:w="334" w:type="pct"/>
            <w:tcMar>
              <w:left w:w="28" w:type="dxa"/>
              <w:right w:w="28" w:type="dxa"/>
            </w:tcMar>
            <w:vAlign w:val="center"/>
          </w:tcPr>
          <w:p w:rsidR="00EE4502" w:rsidRDefault="00EE4502">
            <w:pPr>
              <w:widowControl/>
              <w:tabs>
                <w:tab w:val="left" w:pos="377"/>
              </w:tabs>
              <w:jc w:val="center"/>
              <w:rPr>
                <w:szCs w:val="21"/>
              </w:rPr>
            </w:pPr>
          </w:p>
        </w:tc>
      </w:tr>
      <w:tr w:rsidR="00EE4502">
        <w:trPr>
          <w:trHeight w:val="397"/>
          <w:jc w:val="center"/>
        </w:trPr>
        <w:tc>
          <w:tcPr>
            <w:tcW w:w="744" w:type="pct"/>
            <w:vMerge/>
            <w:tcMar>
              <w:left w:w="28" w:type="dxa"/>
              <w:right w:w="28" w:type="dxa"/>
            </w:tcMar>
            <w:vAlign w:val="center"/>
          </w:tcPr>
          <w:p w:rsidR="00EE4502" w:rsidRDefault="00EE4502">
            <w:pPr>
              <w:widowControl/>
              <w:tabs>
                <w:tab w:val="left" w:pos="377"/>
              </w:tabs>
              <w:jc w:val="center"/>
              <w:rPr>
                <w:szCs w:val="21"/>
              </w:rPr>
            </w:pPr>
          </w:p>
        </w:tc>
        <w:tc>
          <w:tcPr>
            <w:tcW w:w="495" w:type="pct"/>
            <w:tcMar>
              <w:left w:w="28" w:type="dxa"/>
              <w:right w:w="28" w:type="dxa"/>
            </w:tcMar>
            <w:vAlign w:val="center"/>
          </w:tcPr>
          <w:p w:rsidR="00EE4502" w:rsidRDefault="00FD45A3">
            <w:pPr>
              <w:widowControl/>
              <w:tabs>
                <w:tab w:val="left" w:pos="377"/>
              </w:tabs>
              <w:jc w:val="center"/>
              <w:rPr>
                <w:szCs w:val="21"/>
              </w:rPr>
            </w:pPr>
            <w:r>
              <w:rPr>
                <w:rFonts w:hint="eastAsia"/>
                <w:szCs w:val="21"/>
              </w:rPr>
              <w:t>177.8</w:t>
            </w:r>
          </w:p>
        </w:tc>
        <w:tc>
          <w:tcPr>
            <w:tcW w:w="484" w:type="pct"/>
            <w:tcMar>
              <w:left w:w="28" w:type="dxa"/>
              <w:right w:w="28" w:type="dxa"/>
            </w:tcMar>
            <w:vAlign w:val="center"/>
          </w:tcPr>
          <w:p w:rsidR="00EE4502" w:rsidRDefault="00FD45A3">
            <w:pPr>
              <w:widowControl/>
              <w:tabs>
                <w:tab w:val="left" w:pos="377"/>
              </w:tabs>
              <w:jc w:val="center"/>
              <w:rPr>
                <w:szCs w:val="21"/>
              </w:rPr>
            </w:pPr>
            <w:r>
              <w:rPr>
                <w:rFonts w:hint="eastAsia"/>
                <w:szCs w:val="21"/>
              </w:rPr>
              <w:t>241.3</w:t>
            </w:r>
          </w:p>
        </w:tc>
        <w:tc>
          <w:tcPr>
            <w:tcW w:w="450" w:type="pct"/>
            <w:tcMar>
              <w:left w:w="28" w:type="dxa"/>
              <w:right w:w="28" w:type="dxa"/>
            </w:tcMar>
            <w:vAlign w:val="center"/>
          </w:tcPr>
          <w:p w:rsidR="00EE4502" w:rsidRDefault="00FD45A3">
            <w:pPr>
              <w:widowControl/>
              <w:tabs>
                <w:tab w:val="left" w:pos="377"/>
              </w:tabs>
              <w:jc w:val="center"/>
              <w:rPr>
                <w:szCs w:val="21"/>
              </w:rPr>
            </w:pPr>
            <w:r>
              <w:rPr>
                <w:rFonts w:hint="eastAsia"/>
                <w:szCs w:val="21"/>
              </w:rPr>
              <w:t>430</w:t>
            </w:r>
          </w:p>
        </w:tc>
        <w:tc>
          <w:tcPr>
            <w:tcW w:w="483" w:type="pct"/>
            <w:tcMar>
              <w:left w:w="28" w:type="dxa"/>
              <w:right w:w="28" w:type="dxa"/>
            </w:tcMar>
            <w:vAlign w:val="center"/>
          </w:tcPr>
          <w:p w:rsidR="00EE4502" w:rsidRDefault="00FD45A3">
            <w:pPr>
              <w:widowControl/>
              <w:tabs>
                <w:tab w:val="left" w:pos="377"/>
              </w:tabs>
              <w:jc w:val="center"/>
              <w:rPr>
                <w:szCs w:val="21"/>
              </w:rPr>
            </w:pPr>
            <w:r>
              <w:rPr>
                <w:rFonts w:hint="eastAsia"/>
                <w:szCs w:val="21"/>
              </w:rPr>
              <w:t>932</w:t>
            </w:r>
          </w:p>
        </w:tc>
        <w:tc>
          <w:tcPr>
            <w:tcW w:w="586" w:type="pct"/>
            <w:tcMar>
              <w:left w:w="28" w:type="dxa"/>
              <w:right w:w="28" w:type="dxa"/>
            </w:tcMar>
            <w:vAlign w:val="center"/>
          </w:tcPr>
          <w:p w:rsidR="00EE4502" w:rsidRDefault="00FD45A3">
            <w:pPr>
              <w:widowControl/>
              <w:tabs>
                <w:tab w:val="left" w:pos="377"/>
              </w:tabs>
              <w:jc w:val="center"/>
              <w:rPr>
                <w:szCs w:val="21"/>
              </w:rPr>
            </w:pPr>
            <w:r>
              <w:rPr>
                <w:rFonts w:hint="eastAsia"/>
                <w:szCs w:val="21"/>
              </w:rPr>
              <w:t>1.90</w:t>
            </w:r>
          </w:p>
        </w:tc>
        <w:tc>
          <w:tcPr>
            <w:tcW w:w="461" w:type="pct"/>
            <w:tcMar>
              <w:left w:w="28" w:type="dxa"/>
              <w:right w:w="28" w:type="dxa"/>
            </w:tcMar>
            <w:vAlign w:val="center"/>
          </w:tcPr>
          <w:p w:rsidR="00EE4502" w:rsidRDefault="00FD45A3">
            <w:pPr>
              <w:widowControl/>
              <w:tabs>
                <w:tab w:val="left" w:pos="377"/>
              </w:tabs>
              <w:jc w:val="center"/>
              <w:rPr>
                <w:szCs w:val="21"/>
              </w:rPr>
            </w:pPr>
            <w:r>
              <w:rPr>
                <w:rFonts w:hint="eastAsia"/>
                <w:szCs w:val="21"/>
              </w:rPr>
              <w:t>G</w:t>
            </w:r>
          </w:p>
        </w:tc>
        <w:tc>
          <w:tcPr>
            <w:tcW w:w="433" w:type="pct"/>
            <w:tcMar>
              <w:left w:w="28" w:type="dxa"/>
              <w:right w:w="28" w:type="dxa"/>
            </w:tcMar>
            <w:vAlign w:val="center"/>
          </w:tcPr>
          <w:p w:rsidR="00EE4502" w:rsidRDefault="00FD45A3">
            <w:pPr>
              <w:widowControl/>
              <w:tabs>
                <w:tab w:val="left" w:pos="377"/>
              </w:tabs>
              <w:jc w:val="center"/>
              <w:rPr>
                <w:szCs w:val="21"/>
              </w:rPr>
            </w:pPr>
            <w:r>
              <w:rPr>
                <w:rFonts w:hint="eastAsia"/>
                <w:szCs w:val="21"/>
              </w:rPr>
              <w:t>30</w:t>
            </w:r>
          </w:p>
        </w:tc>
        <w:tc>
          <w:tcPr>
            <w:tcW w:w="525" w:type="pct"/>
            <w:tcMar>
              <w:left w:w="28" w:type="dxa"/>
              <w:right w:w="28" w:type="dxa"/>
            </w:tcMar>
            <w:vAlign w:val="center"/>
          </w:tcPr>
          <w:p w:rsidR="00EE4502" w:rsidRDefault="00FD45A3">
            <w:pPr>
              <w:widowControl/>
              <w:tabs>
                <w:tab w:val="left" w:pos="377"/>
              </w:tabs>
              <w:jc w:val="center"/>
              <w:rPr>
                <w:szCs w:val="21"/>
              </w:rPr>
            </w:pPr>
            <w:r>
              <w:rPr>
                <w:rFonts w:hint="eastAsia"/>
                <w:szCs w:val="21"/>
              </w:rPr>
              <w:t>常规</w:t>
            </w:r>
          </w:p>
        </w:tc>
        <w:tc>
          <w:tcPr>
            <w:tcW w:w="334" w:type="pct"/>
            <w:tcMar>
              <w:left w:w="28" w:type="dxa"/>
              <w:right w:w="28" w:type="dxa"/>
            </w:tcMar>
            <w:vAlign w:val="center"/>
          </w:tcPr>
          <w:p w:rsidR="00EE4502" w:rsidRDefault="00EE4502">
            <w:pPr>
              <w:widowControl/>
              <w:tabs>
                <w:tab w:val="left" w:pos="377"/>
              </w:tabs>
              <w:jc w:val="center"/>
              <w:rPr>
                <w:szCs w:val="21"/>
              </w:rPr>
            </w:pPr>
          </w:p>
        </w:tc>
      </w:tr>
      <w:tr w:rsidR="00EE4502">
        <w:trPr>
          <w:trHeight w:val="397"/>
          <w:jc w:val="center"/>
        </w:trPr>
        <w:tc>
          <w:tcPr>
            <w:tcW w:w="744" w:type="pct"/>
            <w:vMerge w:val="restart"/>
            <w:tcMar>
              <w:left w:w="28" w:type="dxa"/>
              <w:right w:w="28" w:type="dxa"/>
            </w:tcMar>
            <w:vAlign w:val="center"/>
          </w:tcPr>
          <w:p w:rsidR="00EE4502" w:rsidRDefault="00FD45A3">
            <w:pPr>
              <w:widowControl/>
              <w:tabs>
                <w:tab w:val="left" w:pos="377"/>
              </w:tabs>
              <w:jc w:val="center"/>
              <w:rPr>
                <w:szCs w:val="21"/>
              </w:rPr>
            </w:pPr>
            <w:r>
              <w:rPr>
                <w:rFonts w:hint="eastAsia"/>
                <w:szCs w:val="21"/>
              </w:rPr>
              <w:t>排</w:t>
            </w:r>
            <w:r>
              <w:rPr>
                <w:rFonts w:hint="eastAsia"/>
                <w:szCs w:val="21"/>
              </w:rPr>
              <w:t>61-</w:t>
            </w:r>
            <w:r>
              <w:rPr>
                <w:rFonts w:hint="eastAsia"/>
                <w:szCs w:val="21"/>
              </w:rPr>
              <w:t>平</w:t>
            </w:r>
            <w:r>
              <w:rPr>
                <w:rFonts w:hint="eastAsia"/>
                <w:szCs w:val="21"/>
              </w:rPr>
              <w:t>13</w:t>
            </w:r>
          </w:p>
        </w:tc>
        <w:tc>
          <w:tcPr>
            <w:tcW w:w="495" w:type="pct"/>
            <w:tcMar>
              <w:left w:w="28" w:type="dxa"/>
              <w:right w:w="28" w:type="dxa"/>
            </w:tcMar>
            <w:vAlign w:val="center"/>
          </w:tcPr>
          <w:p w:rsidR="00EE4502" w:rsidRDefault="00FD45A3">
            <w:pPr>
              <w:widowControl/>
              <w:tabs>
                <w:tab w:val="left" w:pos="377"/>
              </w:tabs>
              <w:jc w:val="center"/>
              <w:rPr>
                <w:szCs w:val="21"/>
              </w:rPr>
            </w:pPr>
            <w:r>
              <w:rPr>
                <w:rFonts w:hint="eastAsia"/>
                <w:szCs w:val="21"/>
              </w:rPr>
              <w:t>273.1</w:t>
            </w:r>
          </w:p>
        </w:tc>
        <w:tc>
          <w:tcPr>
            <w:tcW w:w="484" w:type="pct"/>
            <w:tcMar>
              <w:left w:w="28" w:type="dxa"/>
              <w:right w:w="28" w:type="dxa"/>
            </w:tcMar>
            <w:vAlign w:val="center"/>
          </w:tcPr>
          <w:p w:rsidR="00EE4502" w:rsidRDefault="00FD45A3">
            <w:pPr>
              <w:widowControl/>
              <w:tabs>
                <w:tab w:val="left" w:pos="377"/>
              </w:tabs>
              <w:jc w:val="center"/>
              <w:rPr>
                <w:szCs w:val="21"/>
              </w:rPr>
            </w:pPr>
            <w:r>
              <w:rPr>
                <w:rFonts w:hint="eastAsia"/>
                <w:szCs w:val="21"/>
              </w:rPr>
              <w:t>346.1</w:t>
            </w:r>
          </w:p>
        </w:tc>
        <w:tc>
          <w:tcPr>
            <w:tcW w:w="450" w:type="pct"/>
            <w:tcMar>
              <w:left w:w="28" w:type="dxa"/>
              <w:right w:w="28" w:type="dxa"/>
            </w:tcMar>
            <w:vAlign w:val="center"/>
          </w:tcPr>
          <w:p w:rsidR="00EE4502" w:rsidRDefault="00FD45A3">
            <w:pPr>
              <w:widowControl/>
              <w:tabs>
                <w:tab w:val="left" w:pos="377"/>
              </w:tabs>
              <w:jc w:val="center"/>
              <w:rPr>
                <w:szCs w:val="21"/>
              </w:rPr>
            </w:pPr>
            <w:r>
              <w:rPr>
                <w:rFonts w:hint="eastAsia"/>
                <w:szCs w:val="21"/>
              </w:rPr>
              <w:t>0</w:t>
            </w:r>
          </w:p>
        </w:tc>
        <w:tc>
          <w:tcPr>
            <w:tcW w:w="483" w:type="pct"/>
            <w:tcMar>
              <w:left w:w="28" w:type="dxa"/>
              <w:right w:w="28" w:type="dxa"/>
            </w:tcMar>
            <w:vAlign w:val="center"/>
          </w:tcPr>
          <w:p w:rsidR="00EE4502" w:rsidRDefault="00FD45A3">
            <w:pPr>
              <w:widowControl/>
              <w:tabs>
                <w:tab w:val="left" w:pos="377"/>
              </w:tabs>
              <w:jc w:val="center"/>
              <w:rPr>
                <w:szCs w:val="21"/>
              </w:rPr>
            </w:pPr>
            <w:r>
              <w:rPr>
                <w:rFonts w:hint="eastAsia"/>
                <w:szCs w:val="21"/>
              </w:rPr>
              <w:t>91</w:t>
            </w:r>
          </w:p>
        </w:tc>
        <w:tc>
          <w:tcPr>
            <w:tcW w:w="586" w:type="pct"/>
            <w:tcMar>
              <w:left w:w="28" w:type="dxa"/>
              <w:right w:w="28" w:type="dxa"/>
            </w:tcMar>
            <w:vAlign w:val="center"/>
          </w:tcPr>
          <w:p w:rsidR="00EE4502" w:rsidRDefault="00FD45A3">
            <w:pPr>
              <w:widowControl/>
              <w:tabs>
                <w:tab w:val="left" w:pos="377"/>
              </w:tabs>
              <w:jc w:val="center"/>
              <w:rPr>
                <w:szCs w:val="21"/>
              </w:rPr>
            </w:pPr>
            <w:r>
              <w:rPr>
                <w:rFonts w:hint="eastAsia"/>
                <w:szCs w:val="21"/>
              </w:rPr>
              <w:t>1.85</w:t>
            </w:r>
          </w:p>
        </w:tc>
        <w:tc>
          <w:tcPr>
            <w:tcW w:w="461" w:type="pct"/>
            <w:tcMar>
              <w:left w:w="28" w:type="dxa"/>
              <w:right w:w="28" w:type="dxa"/>
            </w:tcMar>
            <w:vAlign w:val="center"/>
          </w:tcPr>
          <w:p w:rsidR="00EE4502" w:rsidRDefault="00FD45A3">
            <w:pPr>
              <w:widowControl/>
              <w:tabs>
                <w:tab w:val="left" w:pos="377"/>
              </w:tabs>
              <w:jc w:val="center"/>
              <w:rPr>
                <w:szCs w:val="21"/>
              </w:rPr>
            </w:pPr>
            <w:r>
              <w:rPr>
                <w:rFonts w:hint="eastAsia"/>
                <w:szCs w:val="21"/>
              </w:rPr>
              <w:t>G</w:t>
            </w:r>
          </w:p>
        </w:tc>
        <w:tc>
          <w:tcPr>
            <w:tcW w:w="433" w:type="pct"/>
            <w:tcMar>
              <w:left w:w="28" w:type="dxa"/>
              <w:right w:w="28" w:type="dxa"/>
            </w:tcMar>
            <w:vAlign w:val="center"/>
          </w:tcPr>
          <w:p w:rsidR="00EE4502" w:rsidRDefault="00FD45A3">
            <w:pPr>
              <w:widowControl/>
              <w:tabs>
                <w:tab w:val="left" w:pos="377"/>
              </w:tabs>
              <w:jc w:val="center"/>
              <w:rPr>
                <w:szCs w:val="21"/>
              </w:rPr>
            </w:pPr>
            <w:r>
              <w:rPr>
                <w:rFonts w:hint="eastAsia"/>
                <w:szCs w:val="21"/>
              </w:rPr>
              <w:t>16</w:t>
            </w:r>
          </w:p>
        </w:tc>
        <w:tc>
          <w:tcPr>
            <w:tcW w:w="525" w:type="pct"/>
            <w:tcMar>
              <w:left w:w="28" w:type="dxa"/>
              <w:right w:w="28" w:type="dxa"/>
            </w:tcMar>
            <w:vAlign w:val="center"/>
          </w:tcPr>
          <w:p w:rsidR="00EE4502" w:rsidRDefault="00FD45A3">
            <w:pPr>
              <w:widowControl/>
              <w:tabs>
                <w:tab w:val="left" w:pos="377"/>
              </w:tabs>
              <w:jc w:val="center"/>
              <w:rPr>
                <w:szCs w:val="21"/>
              </w:rPr>
            </w:pPr>
            <w:r>
              <w:rPr>
                <w:rFonts w:hint="eastAsia"/>
                <w:szCs w:val="21"/>
              </w:rPr>
              <w:t>常规</w:t>
            </w:r>
          </w:p>
        </w:tc>
        <w:tc>
          <w:tcPr>
            <w:tcW w:w="334" w:type="pct"/>
            <w:tcMar>
              <w:left w:w="28" w:type="dxa"/>
              <w:right w:w="28" w:type="dxa"/>
            </w:tcMar>
            <w:vAlign w:val="center"/>
          </w:tcPr>
          <w:p w:rsidR="00EE4502" w:rsidRDefault="00EE4502">
            <w:pPr>
              <w:widowControl/>
              <w:tabs>
                <w:tab w:val="left" w:pos="377"/>
              </w:tabs>
              <w:jc w:val="center"/>
              <w:rPr>
                <w:szCs w:val="21"/>
              </w:rPr>
            </w:pPr>
          </w:p>
        </w:tc>
      </w:tr>
      <w:tr w:rsidR="00EE4502">
        <w:trPr>
          <w:trHeight w:val="397"/>
          <w:jc w:val="center"/>
        </w:trPr>
        <w:tc>
          <w:tcPr>
            <w:tcW w:w="744" w:type="pct"/>
            <w:vMerge/>
            <w:tcMar>
              <w:left w:w="28" w:type="dxa"/>
              <w:right w:w="28" w:type="dxa"/>
            </w:tcMar>
            <w:vAlign w:val="center"/>
          </w:tcPr>
          <w:p w:rsidR="00EE4502" w:rsidRDefault="00EE4502">
            <w:pPr>
              <w:widowControl/>
              <w:tabs>
                <w:tab w:val="left" w:pos="377"/>
              </w:tabs>
              <w:jc w:val="center"/>
              <w:rPr>
                <w:szCs w:val="21"/>
              </w:rPr>
            </w:pPr>
          </w:p>
        </w:tc>
        <w:tc>
          <w:tcPr>
            <w:tcW w:w="495" w:type="pct"/>
            <w:tcMar>
              <w:left w:w="28" w:type="dxa"/>
              <w:right w:w="28" w:type="dxa"/>
            </w:tcMar>
            <w:vAlign w:val="center"/>
          </w:tcPr>
          <w:p w:rsidR="00EE4502" w:rsidRDefault="00FD45A3">
            <w:pPr>
              <w:widowControl/>
              <w:tabs>
                <w:tab w:val="left" w:pos="377"/>
              </w:tabs>
              <w:jc w:val="center"/>
              <w:rPr>
                <w:szCs w:val="21"/>
              </w:rPr>
            </w:pPr>
            <w:r>
              <w:rPr>
                <w:rFonts w:hint="eastAsia"/>
                <w:szCs w:val="21"/>
              </w:rPr>
              <w:t>177.8</w:t>
            </w:r>
          </w:p>
        </w:tc>
        <w:tc>
          <w:tcPr>
            <w:tcW w:w="484" w:type="pct"/>
            <w:tcMar>
              <w:left w:w="28" w:type="dxa"/>
              <w:right w:w="28" w:type="dxa"/>
            </w:tcMar>
            <w:vAlign w:val="center"/>
          </w:tcPr>
          <w:p w:rsidR="00EE4502" w:rsidRDefault="00FD45A3">
            <w:pPr>
              <w:widowControl/>
              <w:tabs>
                <w:tab w:val="left" w:pos="377"/>
              </w:tabs>
              <w:jc w:val="center"/>
              <w:rPr>
                <w:szCs w:val="21"/>
              </w:rPr>
            </w:pPr>
            <w:r>
              <w:rPr>
                <w:rFonts w:hint="eastAsia"/>
                <w:szCs w:val="21"/>
              </w:rPr>
              <w:t>241.3</w:t>
            </w:r>
          </w:p>
        </w:tc>
        <w:tc>
          <w:tcPr>
            <w:tcW w:w="450" w:type="pct"/>
            <w:tcMar>
              <w:left w:w="28" w:type="dxa"/>
              <w:right w:w="28" w:type="dxa"/>
            </w:tcMar>
            <w:vAlign w:val="center"/>
          </w:tcPr>
          <w:p w:rsidR="00EE4502" w:rsidRDefault="00FD45A3">
            <w:pPr>
              <w:widowControl/>
              <w:tabs>
                <w:tab w:val="left" w:pos="377"/>
              </w:tabs>
              <w:jc w:val="center"/>
              <w:rPr>
                <w:szCs w:val="21"/>
              </w:rPr>
            </w:pPr>
            <w:r>
              <w:rPr>
                <w:rFonts w:hint="eastAsia"/>
                <w:szCs w:val="21"/>
              </w:rPr>
              <w:t>0</w:t>
            </w:r>
          </w:p>
        </w:tc>
        <w:tc>
          <w:tcPr>
            <w:tcW w:w="483" w:type="pct"/>
            <w:tcMar>
              <w:left w:w="28" w:type="dxa"/>
              <w:right w:w="28" w:type="dxa"/>
            </w:tcMar>
            <w:vAlign w:val="center"/>
          </w:tcPr>
          <w:p w:rsidR="00EE4502" w:rsidRDefault="00FD45A3">
            <w:pPr>
              <w:widowControl/>
              <w:tabs>
                <w:tab w:val="left" w:pos="377"/>
              </w:tabs>
              <w:jc w:val="center"/>
              <w:rPr>
                <w:szCs w:val="21"/>
              </w:rPr>
            </w:pPr>
            <w:r>
              <w:rPr>
                <w:rFonts w:hint="eastAsia"/>
                <w:szCs w:val="21"/>
              </w:rPr>
              <w:t>932</w:t>
            </w:r>
          </w:p>
        </w:tc>
        <w:tc>
          <w:tcPr>
            <w:tcW w:w="586" w:type="pct"/>
            <w:tcMar>
              <w:left w:w="28" w:type="dxa"/>
              <w:right w:w="28" w:type="dxa"/>
            </w:tcMar>
            <w:vAlign w:val="center"/>
          </w:tcPr>
          <w:p w:rsidR="00EE4502" w:rsidRDefault="00FD45A3">
            <w:pPr>
              <w:widowControl/>
              <w:tabs>
                <w:tab w:val="left" w:pos="377"/>
              </w:tabs>
              <w:jc w:val="center"/>
              <w:rPr>
                <w:szCs w:val="21"/>
              </w:rPr>
            </w:pPr>
            <w:r>
              <w:rPr>
                <w:rFonts w:hint="eastAsia"/>
                <w:szCs w:val="21"/>
              </w:rPr>
              <w:t>1.90</w:t>
            </w:r>
          </w:p>
        </w:tc>
        <w:tc>
          <w:tcPr>
            <w:tcW w:w="461" w:type="pct"/>
            <w:tcMar>
              <w:left w:w="28" w:type="dxa"/>
              <w:right w:w="28" w:type="dxa"/>
            </w:tcMar>
            <w:vAlign w:val="center"/>
          </w:tcPr>
          <w:p w:rsidR="00EE4502" w:rsidRDefault="00FD45A3">
            <w:pPr>
              <w:widowControl/>
              <w:tabs>
                <w:tab w:val="left" w:pos="377"/>
              </w:tabs>
              <w:jc w:val="center"/>
              <w:rPr>
                <w:szCs w:val="21"/>
              </w:rPr>
            </w:pPr>
            <w:r>
              <w:rPr>
                <w:rFonts w:hint="eastAsia"/>
                <w:szCs w:val="21"/>
              </w:rPr>
              <w:t>G</w:t>
            </w:r>
          </w:p>
        </w:tc>
        <w:tc>
          <w:tcPr>
            <w:tcW w:w="433" w:type="pct"/>
            <w:tcMar>
              <w:left w:w="28" w:type="dxa"/>
              <w:right w:w="28" w:type="dxa"/>
            </w:tcMar>
            <w:vAlign w:val="center"/>
          </w:tcPr>
          <w:p w:rsidR="00EE4502" w:rsidRDefault="00FD45A3">
            <w:pPr>
              <w:widowControl/>
              <w:tabs>
                <w:tab w:val="left" w:pos="377"/>
              </w:tabs>
              <w:jc w:val="center"/>
              <w:rPr>
                <w:szCs w:val="21"/>
              </w:rPr>
            </w:pPr>
            <w:r>
              <w:rPr>
                <w:rFonts w:hint="eastAsia"/>
                <w:szCs w:val="21"/>
              </w:rPr>
              <w:t>42</w:t>
            </w:r>
          </w:p>
        </w:tc>
        <w:tc>
          <w:tcPr>
            <w:tcW w:w="525" w:type="pct"/>
            <w:tcMar>
              <w:left w:w="28" w:type="dxa"/>
              <w:right w:w="28" w:type="dxa"/>
            </w:tcMar>
            <w:vAlign w:val="center"/>
          </w:tcPr>
          <w:p w:rsidR="00EE4502" w:rsidRDefault="00FD45A3">
            <w:pPr>
              <w:widowControl/>
              <w:tabs>
                <w:tab w:val="left" w:pos="377"/>
              </w:tabs>
              <w:jc w:val="center"/>
              <w:rPr>
                <w:szCs w:val="21"/>
              </w:rPr>
            </w:pPr>
            <w:r>
              <w:rPr>
                <w:rFonts w:hint="eastAsia"/>
                <w:szCs w:val="21"/>
              </w:rPr>
              <w:t>常规</w:t>
            </w:r>
          </w:p>
        </w:tc>
        <w:tc>
          <w:tcPr>
            <w:tcW w:w="334" w:type="pct"/>
            <w:tcMar>
              <w:left w:w="28" w:type="dxa"/>
              <w:right w:w="28" w:type="dxa"/>
            </w:tcMar>
            <w:vAlign w:val="center"/>
          </w:tcPr>
          <w:p w:rsidR="00EE4502" w:rsidRDefault="00EE4502">
            <w:pPr>
              <w:widowControl/>
              <w:tabs>
                <w:tab w:val="left" w:pos="377"/>
              </w:tabs>
              <w:jc w:val="center"/>
              <w:rPr>
                <w:szCs w:val="21"/>
              </w:rPr>
            </w:pPr>
          </w:p>
        </w:tc>
      </w:tr>
      <w:tr w:rsidR="00EE4502">
        <w:trPr>
          <w:trHeight w:val="397"/>
          <w:jc w:val="center"/>
        </w:trPr>
        <w:tc>
          <w:tcPr>
            <w:tcW w:w="744" w:type="pct"/>
            <w:vMerge w:val="restart"/>
            <w:tcMar>
              <w:left w:w="28" w:type="dxa"/>
              <w:right w:w="28" w:type="dxa"/>
            </w:tcMar>
            <w:vAlign w:val="center"/>
          </w:tcPr>
          <w:p w:rsidR="00EE4502" w:rsidRDefault="00FD45A3">
            <w:pPr>
              <w:widowControl/>
              <w:tabs>
                <w:tab w:val="left" w:pos="377"/>
              </w:tabs>
              <w:jc w:val="center"/>
              <w:rPr>
                <w:szCs w:val="21"/>
              </w:rPr>
            </w:pPr>
            <w:r>
              <w:rPr>
                <w:rFonts w:hint="eastAsia"/>
                <w:szCs w:val="21"/>
              </w:rPr>
              <w:t>排</w:t>
            </w:r>
            <w:r>
              <w:rPr>
                <w:rFonts w:hint="eastAsia"/>
                <w:szCs w:val="21"/>
              </w:rPr>
              <w:t>7-</w:t>
            </w:r>
            <w:r>
              <w:rPr>
                <w:rFonts w:hint="eastAsia"/>
                <w:szCs w:val="21"/>
              </w:rPr>
              <w:t>斜</w:t>
            </w:r>
            <w:r>
              <w:rPr>
                <w:rFonts w:hint="eastAsia"/>
                <w:szCs w:val="21"/>
              </w:rPr>
              <w:t>1</w:t>
            </w:r>
            <w:r>
              <w:rPr>
                <w:rFonts w:hint="eastAsia"/>
                <w:szCs w:val="21"/>
              </w:rPr>
              <w:t>7</w:t>
            </w:r>
          </w:p>
        </w:tc>
        <w:tc>
          <w:tcPr>
            <w:tcW w:w="495" w:type="pct"/>
            <w:tcMar>
              <w:left w:w="28" w:type="dxa"/>
              <w:right w:w="28" w:type="dxa"/>
            </w:tcMar>
            <w:vAlign w:val="center"/>
          </w:tcPr>
          <w:p w:rsidR="00EE4502" w:rsidRDefault="00FD45A3">
            <w:pPr>
              <w:widowControl/>
              <w:tabs>
                <w:tab w:val="left" w:pos="377"/>
              </w:tabs>
              <w:jc w:val="center"/>
              <w:rPr>
                <w:szCs w:val="21"/>
              </w:rPr>
            </w:pPr>
            <w:r>
              <w:rPr>
                <w:rFonts w:hint="eastAsia"/>
                <w:szCs w:val="21"/>
              </w:rPr>
              <w:t>273.1</w:t>
            </w:r>
          </w:p>
        </w:tc>
        <w:tc>
          <w:tcPr>
            <w:tcW w:w="484" w:type="pct"/>
            <w:tcMar>
              <w:left w:w="28" w:type="dxa"/>
              <w:right w:w="28" w:type="dxa"/>
            </w:tcMar>
            <w:vAlign w:val="center"/>
          </w:tcPr>
          <w:p w:rsidR="00EE4502" w:rsidRDefault="00FD45A3">
            <w:pPr>
              <w:widowControl/>
              <w:tabs>
                <w:tab w:val="left" w:pos="377"/>
              </w:tabs>
              <w:jc w:val="center"/>
              <w:rPr>
                <w:szCs w:val="21"/>
              </w:rPr>
            </w:pPr>
            <w:r>
              <w:rPr>
                <w:rFonts w:hint="eastAsia"/>
                <w:szCs w:val="21"/>
              </w:rPr>
              <w:t>346.1</w:t>
            </w:r>
          </w:p>
        </w:tc>
        <w:tc>
          <w:tcPr>
            <w:tcW w:w="450" w:type="pct"/>
            <w:tcMar>
              <w:left w:w="28" w:type="dxa"/>
              <w:right w:w="28" w:type="dxa"/>
            </w:tcMar>
            <w:vAlign w:val="center"/>
          </w:tcPr>
          <w:p w:rsidR="00EE4502" w:rsidRDefault="00FD45A3">
            <w:pPr>
              <w:widowControl/>
              <w:tabs>
                <w:tab w:val="left" w:pos="377"/>
              </w:tabs>
              <w:jc w:val="center"/>
              <w:rPr>
                <w:szCs w:val="21"/>
              </w:rPr>
            </w:pPr>
            <w:r>
              <w:rPr>
                <w:rFonts w:hint="eastAsia"/>
                <w:szCs w:val="21"/>
              </w:rPr>
              <w:t>0</w:t>
            </w:r>
          </w:p>
        </w:tc>
        <w:tc>
          <w:tcPr>
            <w:tcW w:w="483" w:type="pct"/>
            <w:tcMar>
              <w:left w:w="28" w:type="dxa"/>
              <w:right w:w="28" w:type="dxa"/>
            </w:tcMar>
            <w:vAlign w:val="center"/>
          </w:tcPr>
          <w:p w:rsidR="00EE4502" w:rsidRDefault="00FD45A3">
            <w:pPr>
              <w:widowControl/>
              <w:tabs>
                <w:tab w:val="left" w:pos="377"/>
              </w:tabs>
              <w:jc w:val="center"/>
              <w:rPr>
                <w:szCs w:val="21"/>
              </w:rPr>
            </w:pPr>
            <w:r>
              <w:rPr>
                <w:rFonts w:hint="eastAsia"/>
                <w:szCs w:val="21"/>
              </w:rPr>
              <w:t>111</w:t>
            </w:r>
          </w:p>
        </w:tc>
        <w:tc>
          <w:tcPr>
            <w:tcW w:w="586" w:type="pct"/>
            <w:tcMar>
              <w:left w:w="28" w:type="dxa"/>
              <w:right w:w="28" w:type="dxa"/>
            </w:tcMar>
            <w:vAlign w:val="center"/>
          </w:tcPr>
          <w:p w:rsidR="00EE4502" w:rsidRDefault="00FD45A3">
            <w:pPr>
              <w:widowControl/>
              <w:tabs>
                <w:tab w:val="left" w:pos="377"/>
              </w:tabs>
              <w:jc w:val="center"/>
              <w:rPr>
                <w:szCs w:val="21"/>
              </w:rPr>
            </w:pPr>
            <w:r>
              <w:rPr>
                <w:rFonts w:hint="eastAsia"/>
                <w:szCs w:val="21"/>
              </w:rPr>
              <w:t>1.85</w:t>
            </w:r>
          </w:p>
        </w:tc>
        <w:tc>
          <w:tcPr>
            <w:tcW w:w="461" w:type="pct"/>
            <w:tcMar>
              <w:left w:w="28" w:type="dxa"/>
              <w:right w:w="28" w:type="dxa"/>
            </w:tcMar>
            <w:vAlign w:val="center"/>
          </w:tcPr>
          <w:p w:rsidR="00EE4502" w:rsidRDefault="00FD45A3">
            <w:pPr>
              <w:widowControl/>
              <w:tabs>
                <w:tab w:val="left" w:pos="377"/>
              </w:tabs>
              <w:jc w:val="center"/>
              <w:rPr>
                <w:szCs w:val="21"/>
              </w:rPr>
            </w:pPr>
            <w:r>
              <w:rPr>
                <w:rFonts w:hint="eastAsia"/>
                <w:szCs w:val="21"/>
              </w:rPr>
              <w:t>G</w:t>
            </w:r>
          </w:p>
        </w:tc>
        <w:tc>
          <w:tcPr>
            <w:tcW w:w="433" w:type="pct"/>
            <w:tcMar>
              <w:left w:w="28" w:type="dxa"/>
              <w:right w:w="28" w:type="dxa"/>
            </w:tcMar>
            <w:vAlign w:val="center"/>
          </w:tcPr>
          <w:p w:rsidR="00EE4502" w:rsidRDefault="00FD45A3">
            <w:pPr>
              <w:widowControl/>
              <w:tabs>
                <w:tab w:val="left" w:pos="377"/>
              </w:tabs>
              <w:jc w:val="center"/>
              <w:rPr>
                <w:szCs w:val="21"/>
              </w:rPr>
            </w:pPr>
            <w:r>
              <w:rPr>
                <w:rFonts w:hint="eastAsia"/>
                <w:szCs w:val="21"/>
              </w:rPr>
              <w:t>18</w:t>
            </w:r>
          </w:p>
        </w:tc>
        <w:tc>
          <w:tcPr>
            <w:tcW w:w="525" w:type="pct"/>
            <w:tcMar>
              <w:left w:w="28" w:type="dxa"/>
              <w:right w:w="28" w:type="dxa"/>
            </w:tcMar>
            <w:vAlign w:val="center"/>
          </w:tcPr>
          <w:p w:rsidR="00EE4502" w:rsidRDefault="00FD45A3">
            <w:pPr>
              <w:widowControl/>
              <w:tabs>
                <w:tab w:val="left" w:pos="377"/>
              </w:tabs>
              <w:jc w:val="center"/>
              <w:rPr>
                <w:szCs w:val="21"/>
              </w:rPr>
            </w:pPr>
            <w:r>
              <w:rPr>
                <w:rFonts w:hint="eastAsia"/>
                <w:szCs w:val="21"/>
              </w:rPr>
              <w:t>常规</w:t>
            </w:r>
          </w:p>
        </w:tc>
        <w:tc>
          <w:tcPr>
            <w:tcW w:w="334" w:type="pct"/>
            <w:tcMar>
              <w:left w:w="28" w:type="dxa"/>
              <w:right w:w="28" w:type="dxa"/>
            </w:tcMar>
            <w:vAlign w:val="center"/>
          </w:tcPr>
          <w:p w:rsidR="00EE4502" w:rsidRDefault="00EE4502">
            <w:pPr>
              <w:widowControl/>
              <w:tabs>
                <w:tab w:val="left" w:pos="377"/>
              </w:tabs>
              <w:jc w:val="center"/>
              <w:rPr>
                <w:szCs w:val="21"/>
              </w:rPr>
            </w:pPr>
          </w:p>
        </w:tc>
      </w:tr>
      <w:tr w:rsidR="00EE4502">
        <w:trPr>
          <w:trHeight w:val="397"/>
          <w:jc w:val="center"/>
        </w:trPr>
        <w:tc>
          <w:tcPr>
            <w:tcW w:w="744" w:type="pct"/>
            <w:vMerge/>
            <w:tcMar>
              <w:left w:w="28" w:type="dxa"/>
              <w:right w:w="28" w:type="dxa"/>
            </w:tcMar>
            <w:vAlign w:val="center"/>
          </w:tcPr>
          <w:p w:rsidR="00EE4502" w:rsidRDefault="00EE4502">
            <w:pPr>
              <w:widowControl/>
              <w:tabs>
                <w:tab w:val="left" w:pos="377"/>
              </w:tabs>
              <w:jc w:val="center"/>
              <w:rPr>
                <w:szCs w:val="21"/>
              </w:rPr>
            </w:pPr>
          </w:p>
        </w:tc>
        <w:tc>
          <w:tcPr>
            <w:tcW w:w="495" w:type="pct"/>
            <w:tcMar>
              <w:left w:w="28" w:type="dxa"/>
              <w:right w:w="28" w:type="dxa"/>
            </w:tcMar>
            <w:vAlign w:val="center"/>
          </w:tcPr>
          <w:p w:rsidR="00EE4502" w:rsidRDefault="00FD45A3">
            <w:pPr>
              <w:widowControl/>
              <w:tabs>
                <w:tab w:val="left" w:pos="377"/>
              </w:tabs>
              <w:jc w:val="center"/>
              <w:rPr>
                <w:szCs w:val="21"/>
              </w:rPr>
            </w:pPr>
            <w:r>
              <w:rPr>
                <w:rFonts w:hint="eastAsia"/>
                <w:szCs w:val="21"/>
              </w:rPr>
              <w:t>177.8</w:t>
            </w:r>
          </w:p>
        </w:tc>
        <w:tc>
          <w:tcPr>
            <w:tcW w:w="484" w:type="pct"/>
            <w:tcMar>
              <w:left w:w="28" w:type="dxa"/>
              <w:right w:w="28" w:type="dxa"/>
            </w:tcMar>
            <w:vAlign w:val="center"/>
          </w:tcPr>
          <w:p w:rsidR="00EE4502" w:rsidRDefault="00FD45A3">
            <w:pPr>
              <w:widowControl/>
              <w:tabs>
                <w:tab w:val="left" w:pos="377"/>
              </w:tabs>
              <w:jc w:val="center"/>
              <w:rPr>
                <w:szCs w:val="21"/>
              </w:rPr>
            </w:pPr>
            <w:r>
              <w:rPr>
                <w:rFonts w:hint="eastAsia"/>
                <w:szCs w:val="21"/>
              </w:rPr>
              <w:t>241.3</w:t>
            </w:r>
          </w:p>
        </w:tc>
        <w:tc>
          <w:tcPr>
            <w:tcW w:w="450" w:type="pct"/>
            <w:tcMar>
              <w:left w:w="28" w:type="dxa"/>
              <w:right w:w="28" w:type="dxa"/>
            </w:tcMar>
            <w:vAlign w:val="center"/>
          </w:tcPr>
          <w:p w:rsidR="00EE4502" w:rsidRDefault="00FD45A3">
            <w:pPr>
              <w:widowControl/>
              <w:tabs>
                <w:tab w:val="left" w:pos="377"/>
              </w:tabs>
              <w:jc w:val="center"/>
              <w:rPr>
                <w:szCs w:val="21"/>
              </w:rPr>
            </w:pPr>
            <w:r>
              <w:rPr>
                <w:rFonts w:hint="eastAsia"/>
                <w:szCs w:val="21"/>
              </w:rPr>
              <w:t>0</w:t>
            </w:r>
          </w:p>
        </w:tc>
        <w:tc>
          <w:tcPr>
            <w:tcW w:w="483" w:type="pct"/>
            <w:tcMar>
              <w:left w:w="28" w:type="dxa"/>
              <w:right w:w="28" w:type="dxa"/>
            </w:tcMar>
            <w:vAlign w:val="center"/>
          </w:tcPr>
          <w:p w:rsidR="00EE4502" w:rsidRDefault="00FD45A3">
            <w:pPr>
              <w:widowControl/>
              <w:tabs>
                <w:tab w:val="left" w:pos="377"/>
              </w:tabs>
              <w:jc w:val="center"/>
              <w:rPr>
                <w:szCs w:val="21"/>
              </w:rPr>
            </w:pPr>
            <w:r>
              <w:rPr>
                <w:rFonts w:hint="eastAsia"/>
                <w:szCs w:val="21"/>
              </w:rPr>
              <w:t>1025.22</w:t>
            </w:r>
          </w:p>
        </w:tc>
        <w:tc>
          <w:tcPr>
            <w:tcW w:w="586" w:type="pct"/>
            <w:tcMar>
              <w:left w:w="28" w:type="dxa"/>
              <w:right w:w="28" w:type="dxa"/>
            </w:tcMar>
            <w:vAlign w:val="center"/>
          </w:tcPr>
          <w:p w:rsidR="00EE4502" w:rsidRDefault="00FD45A3">
            <w:pPr>
              <w:widowControl/>
              <w:tabs>
                <w:tab w:val="left" w:pos="377"/>
              </w:tabs>
              <w:jc w:val="center"/>
              <w:rPr>
                <w:szCs w:val="21"/>
              </w:rPr>
            </w:pPr>
            <w:r>
              <w:rPr>
                <w:rFonts w:hint="eastAsia"/>
                <w:szCs w:val="21"/>
              </w:rPr>
              <w:t>1.90</w:t>
            </w:r>
          </w:p>
        </w:tc>
        <w:tc>
          <w:tcPr>
            <w:tcW w:w="461" w:type="pct"/>
            <w:tcMar>
              <w:left w:w="28" w:type="dxa"/>
              <w:right w:w="28" w:type="dxa"/>
            </w:tcMar>
            <w:vAlign w:val="center"/>
          </w:tcPr>
          <w:p w:rsidR="00EE4502" w:rsidRDefault="00FD45A3">
            <w:pPr>
              <w:widowControl/>
              <w:tabs>
                <w:tab w:val="left" w:pos="377"/>
              </w:tabs>
              <w:jc w:val="center"/>
              <w:rPr>
                <w:szCs w:val="21"/>
              </w:rPr>
            </w:pPr>
            <w:r>
              <w:rPr>
                <w:rFonts w:hint="eastAsia"/>
                <w:szCs w:val="21"/>
              </w:rPr>
              <w:t>G</w:t>
            </w:r>
          </w:p>
        </w:tc>
        <w:tc>
          <w:tcPr>
            <w:tcW w:w="433" w:type="pct"/>
            <w:tcMar>
              <w:left w:w="28" w:type="dxa"/>
              <w:right w:w="28" w:type="dxa"/>
            </w:tcMar>
            <w:vAlign w:val="center"/>
          </w:tcPr>
          <w:p w:rsidR="00EE4502" w:rsidRDefault="00FD45A3">
            <w:pPr>
              <w:widowControl/>
              <w:tabs>
                <w:tab w:val="left" w:pos="377"/>
              </w:tabs>
              <w:jc w:val="center"/>
              <w:rPr>
                <w:szCs w:val="21"/>
              </w:rPr>
            </w:pPr>
            <w:r>
              <w:rPr>
                <w:rFonts w:hint="eastAsia"/>
                <w:szCs w:val="21"/>
              </w:rPr>
              <w:t>65</w:t>
            </w:r>
          </w:p>
        </w:tc>
        <w:tc>
          <w:tcPr>
            <w:tcW w:w="525" w:type="pct"/>
            <w:tcMar>
              <w:left w:w="28" w:type="dxa"/>
              <w:right w:w="28" w:type="dxa"/>
            </w:tcMar>
            <w:vAlign w:val="center"/>
          </w:tcPr>
          <w:p w:rsidR="00EE4502" w:rsidRDefault="00FD45A3">
            <w:pPr>
              <w:widowControl/>
              <w:tabs>
                <w:tab w:val="left" w:pos="377"/>
              </w:tabs>
              <w:jc w:val="center"/>
              <w:rPr>
                <w:szCs w:val="21"/>
              </w:rPr>
            </w:pPr>
            <w:r>
              <w:rPr>
                <w:rFonts w:hint="eastAsia"/>
                <w:szCs w:val="21"/>
              </w:rPr>
              <w:t>常规</w:t>
            </w:r>
          </w:p>
        </w:tc>
        <w:tc>
          <w:tcPr>
            <w:tcW w:w="334" w:type="pct"/>
            <w:tcMar>
              <w:left w:w="28" w:type="dxa"/>
              <w:right w:w="28" w:type="dxa"/>
            </w:tcMar>
            <w:vAlign w:val="center"/>
          </w:tcPr>
          <w:p w:rsidR="00EE4502" w:rsidRDefault="00EE4502">
            <w:pPr>
              <w:widowControl/>
              <w:tabs>
                <w:tab w:val="left" w:pos="377"/>
              </w:tabs>
              <w:jc w:val="center"/>
              <w:rPr>
                <w:szCs w:val="21"/>
              </w:rPr>
            </w:pPr>
          </w:p>
        </w:tc>
      </w:tr>
    </w:tbl>
    <w:p w:rsidR="00EE4502" w:rsidRDefault="00FD45A3">
      <w:pPr>
        <w:rPr>
          <w:rFonts w:eastAsia="仿宋"/>
          <w:szCs w:val="21"/>
        </w:rPr>
      </w:pPr>
      <w:r>
        <w:rPr>
          <w:rFonts w:eastAsia="仿宋"/>
          <w:szCs w:val="21"/>
        </w:rPr>
        <w:t>注：</w:t>
      </w:r>
      <w:r>
        <w:rPr>
          <w:rFonts w:eastAsia="仿宋" w:hint="eastAsia"/>
          <w:szCs w:val="21"/>
        </w:rPr>
        <w:t>①</w:t>
      </w:r>
      <w:r>
        <w:rPr>
          <w:rFonts w:eastAsia="仿宋"/>
          <w:szCs w:val="21"/>
        </w:rPr>
        <w:t>水泥用量施工中应根据实钻情况和封固要求进行修正，详见固井施工设计。</w:t>
      </w:r>
    </w:p>
    <w:p w:rsidR="00EE4502" w:rsidRDefault="00FD45A3">
      <w:pPr>
        <w:rPr>
          <w:rFonts w:eastAsia="仿宋"/>
          <w:szCs w:val="21"/>
        </w:rPr>
      </w:pPr>
      <w:r>
        <w:rPr>
          <w:rFonts w:eastAsia="仿宋" w:hint="eastAsia"/>
          <w:szCs w:val="21"/>
        </w:rPr>
        <w:t>②</w:t>
      </w:r>
      <w:r>
        <w:rPr>
          <w:rFonts w:eastAsia="仿宋"/>
          <w:szCs w:val="21"/>
        </w:rPr>
        <w:t>各层套管固井稠化时间</w:t>
      </w:r>
      <w:r>
        <w:rPr>
          <w:rFonts w:eastAsia="仿宋"/>
          <w:szCs w:val="21"/>
        </w:rPr>
        <w:t>≥</w:t>
      </w:r>
      <w:r>
        <w:rPr>
          <w:rFonts w:eastAsia="仿宋"/>
          <w:szCs w:val="21"/>
        </w:rPr>
        <w:t>施工时间＋</w:t>
      </w:r>
      <w:r>
        <w:rPr>
          <w:rFonts w:eastAsia="仿宋"/>
          <w:szCs w:val="21"/>
        </w:rPr>
        <w:t>1h</w:t>
      </w:r>
      <w:r>
        <w:rPr>
          <w:rFonts w:eastAsia="仿宋"/>
          <w:szCs w:val="21"/>
        </w:rPr>
        <w:t>。</w:t>
      </w:r>
    </w:p>
    <w:p w:rsidR="00EE4502" w:rsidRDefault="00FD45A3">
      <w:pPr>
        <w:rPr>
          <w:rFonts w:eastAsia="仿宋"/>
          <w:szCs w:val="21"/>
        </w:rPr>
      </w:pPr>
      <w:r>
        <w:rPr>
          <w:rFonts w:eastAsia="仿宋" w:hint="eastAsia"/>
          <w:szCs w:val="21"/>
        </w:rPr>
        <w:t>③</w:t>
      </w:r>
      <w:r>
        <w:rPr>
          <w:rFonts w:eastAsia="仿宋"/>
          <w:szCs w:val="21"/>
        </w:rPr>
        <w:t>生产套管固井水泥浆密度的设计根据实际井眼稳定情况调节。</w:t>
      </w:r>
    </w:p>
    <w:p w:rsidR="00EE4502" w:rsidRDefault="00FD45A3">
      <w:pPr>
        <w:tabs>
          <w:tab w:val="left" w:pos="377"/>
        </w:tabs>
        <w:spacing w:line="360" w:lineRule="auto"/>
        <w:jc w:val="center"/>
        <w:rPr>
          <w:rFonts w:eastAsia="黑体"/>
          <w:bCs/>
          <w:szCs w:val="22"/>
        </w:rPr>
      </w:pPr>
      <w:r>
        <w:rPr>
          <w:rFonts w:eastAsia="黑体"/>
          <w:bCs/>
          <w:szCs w:val="22"/>
        </w:rPr>
        <w:t>表</w:t>
      </w:r>
      <w:r>
        <w:rPr>
          <w:rFonts w:eastAsia="黑体" w:hint="eastAsia"/>
          <w:bCs/>
          <w:szCs w:val="22"/>
        </w:rPr>
        <w:t>3-3</w:t>
      </w:r>
      <w:r>
        <w:rPr>
          <w:rFonts w:eastAsia="黑体"/>
          <w:bCs/>
          <w:szCs w:val="22"/>
        </w:rPr>
        <w:t>-1</w:t>
      </w:r>
      <w:r>
        <w:rPr>
          <w:rFonts w:eastAsia="黑体" w:hint="eastAsia"/>
          <w:bCs/>
          <w:szCs w:val="22"/>
        </w:rPr>
        <w:t>9</w:t>
      </w:r>
      <w:r>
        <w:rPr>
          <w:rFonts w:eastAsia="黑体"/>
          <w:bCs/>
          <w:szCs w:val="22"/>
        </w:rPr>
        <w:t xml:space="preserve">  </w:t>
      </w:r>
      <w:r>
        <w:rPr>
          <w:rFonts w:eastAsia="黑体"/>
          <w:bCs/>
          <w:szCs w:val="22"/>
        </w:rPr>
        <w:t>固井水泥添加剂用量设计</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784"/>
        <w:gridCol w:w="950"/>
        <w:gridCol w:w="1095"/>
        <w:gridCol w:w="953"/>
        <w:gridCol w:w="1093"/>
        <w:gridCol w:w="953"/>
        <w:gridCol w:w="788"/>
        <w:gridCol w:w="801"/>
      </w:tblGrid>
      <w:tr w:rsidR="00EE4502">
        <w:trPr>
          <w:cantSplit/>
          <w:trHeight w:val="397"/>
          <w:jc w:val="center"/>
        </w:trPr>
        <w:tc>
          <w:tcPr>
            <w:tcW w:w="1059" w:type="pct"/>
            <w:vMerge w:val="restar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材</w:t>
            </w:r>
            <w:r>
              <w:rPr>
                <w:rFonts w:hint="eastAsia"/>
                <w:szCs w:val="21"/>
              </w:rPr>
              <w:t xml:space="preserve"> </w:t>
            </w:r>
            <w:r>
              <w:rPr>
                <w:rFonts w:hint="eastAsia"/>
                <w:szCs w:val="21"/>
              </w:rPr>
              <w:t>料</w:t>
            </w:r>
            <w:r>
              <w:rPr>
                <w:rFonts w:hint="eastAsia"/>
                <w:szCs w:val="21"/>
              </w:rPr>
              <w:t xml:space="preserve"> </w:t>
            </w:r>
            <w:r>
              <w:rPr>
                <w:rFonts w:hint="eastAsia"/>
                <w:szCs w:val="21"/>
              </w:rPr>
              <w:t>名</w:t>
            </w:r>
            <w:r>
              <w:rPr>
                <w:rFonts w:hint="eastAsia"/>
                <w:szCs w:val="21"/>
              </w:rPr>
              <w:t xml:space="preserve"> </w:t>
            </w:r>
            <w:r>
              <w:rPr>
                <w:rFonts w:hint="eastAsia"/>
                <w:szCs w:val="21"/>
              </w:rPr>
              <w:t>称</w:t>
            </w:r>
          </w:p>
        </w:tc>
        <w:tc>
          <w:tcPr>
            <w:tcW w:w="3463" w:type="pct"/>
            <w:gridSpan w:val="6"/>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用</w:t>
            </w:r>
            <w:r>
              <w:rPr>
                <w:rFonts w:hint="eastAsia"/>
                <w:szCs w:val="21"/>
              </w:rPr>
              <w:t xml:space="preserve">  </w:t>
            </w:r>
            <w:r>
              <w:rPr>
                <w:rFonts w:hint="eastAsia"/>
                <w:szCs w:val="21"/>
              </w:rPr>
              <w:t>量（</w:t>
            </w:r>
            <w:r>
              <w:rPr>
                <w:rFonts w:hint="eastAsia"/>
                <w:szCs w:val="21"/>
              </w:rPr>
              <w:t>t</w:t>
            </w:r>
            <w:r>
              <w:rPr>
                <w:rFonts w:hint="eastAsia"/>
                <w:szCs w:val="21"/>
              </w:rPr>
              <w:t>）</w:t>
            </w:r>
          </w:p>
        </w:tc>
        <w:tc>
          <w:tcPr>
            <w:tcW w:w="476" w:type="pct"/>
            <w:vMerge w:val="restar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备</w:t>
            </w:r>
            <w:r>
              <w:rPr>
                <w:rFonts w:hint="eastAsia"/>
                <w:szCs w:val="21"/>
              </w:rPr>
              <w:t xml:space="preserve"> </w:t>
            </w:r>
            <w:r>
              <w:rPr>
                <w:rFonts w:hint="eastAsia"/>
                <w:szCs w:val="21"/>
              </w:rPr>
              <w:t>注</w:t>
            </w:r>
          </w:p>
        </w:tc>
      </w:tr>
      <w:tr w:rsidR="00EE4502">
        <w:trPr>
          <w:cantSplit/>
          <w:trHeight w:val="397"/>
          <w:jc w:val="center"/>
        </w:trPr>
        <w:tc>
          <w:tcPr>
            <w:tcW w:w="1059" w:type="pct"/>
            <w:vMerge/>
            <w:tcBorders>
              <w:top w:val="single" w:sz="4" w:space="0" w:color="auto"/>
              <w:left w:val="single" w:sz="4" w:space="0" w:color="auto"/>
              <w:bottom w:val="single" w:sz="4" w:space="0" w:color="auto"/>
              <w:right w:val="single" w:sz="4" w:space="0" w:color="auto"/>
            </w:tcBorders>
            <w:vAlign w:val="center"/>
          </w:tcPr>
          <w:p w:rsidR="00EE4502" w:rsidRDefault="00EE4502">
            <w:pPr>
              <w:widowControl/>
              <w:tabs>
                <w:tab w:val="left" w:pos="377"/>
              </w:tabs>
              <w:jc w:val="center"/>
              <w:rPr>
                <w:szCs w:val="21"/>
              </w:rPr>
            </w:pPr>
          </w:p>
        </w:tc>
        <w:tc>
          <w:tcPr>
            <w:tcW w:w="1214" w:type="pct"/>
            <w:gridSpan w:val="2"/>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排</w:t>
            </w:r>
            <w:r>
              <w:rPr>
                <w:rFonts w:hint="eastAsia"/>
                <w:szCs w:val="21"/>
              </w:rPr>
              <w:t>61-</w:t>
            </w:r>
            <w:r>
              <w:rPr>
                <w:rFonts w:hint="eastAsia"/>
                <w:szCs w:val="21"/>
              </w:rPr>
              <w:t>平</w:t>
            </w:r>
            <w:r>
              <w:rPr>
                <w:rFonts w:hint="eastAsia"/>
                <w:szCs w:val="21"/>
              </w:rPr>
              <w:t>21</w:t>
            </w:r>
          </w:p>
        </w:tc>
        <w:tc>
          <w:tcPr>
            <w:tcW w:w="1215" w:type="pct"/>
            <w:gridSpan w:val="2"/>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排</w:t>
            </w:r>
            <w:r>
              <w:rPr>
                <w:rFonts w:hint="eastAsia"/>
                <w:szCs w:val="21"/>
              </w:rPr>
              <w:t>61-</w:t>
            </w:r>
            <w:r>
              <w:rPr>
                <w:rFonts w:hint="eastAsia"/>
                <w:szCs w:val="21"/>
              </w:rPr>
              <w:t>平</w:t>
            </w:r>
            <w:r>
              <w:rPr>
                <w:rFonts w:hint="eastAsia"/>
                <w:szCs w:val="21"/>
              </w:rPr>
              <w:t>13</w:t>
            </w:r>
          </w:p>
        </w:tc>
        <w:tc>
          <w:tcPr>
            <w:tcW w:w="1032" w:type="pct"/>
            <w:gridSpan w:val="2"/>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排</w:t>
            </w:r>
            <w:r>
              <w:rPr>
                <w:rFonts w:hint="eastAsia"/>
                <w:szCs w:val="21"/>
              </w:rPr>
              <w:t>7-</w:t>
            </w:r>
            <w:r>
              <w:rPr>
                <w:rFonts w:hint="eastAsia"/>
                <w:szCs w:val="21"/>
              </w:rPr>
              <w:t>斜</w:t>
            </w:r>
            <w:r>
              <w:rPr>
                <w:rFonts w:hint="eastAsia"/>
                <w:szCs w:val="21"/>
              </w:rPr>
              <w:t>1</w:t>
            </w:r>
            <w:r>
              <w:rPr>
                <w:rFonts w:hint="eastAsia"/>
                <w:szCs w:val="21"/>
              </w:rPr>
              <w:t>7</w:t>
            </w:r>
          </w:p>
        </w:tc>
        <w:tc>
          <w:tcPr>
            <w:tcW w:w="476" w:type="pct"/>
            <w:vMerge/>
            <w:tcBorders>
              <w:top w:val="single" w:sz="4" w:space="0" w:color="auto"/>
              <w:left w:val="single" w:sz="4" w:space="0" w:color="auto"/>
              <w:bottom w:val="single" w:sz="4" w:space="0" w:color="auto"/>
              <w:right w:val="single" w:sz="4" w:space="0" w:color="auto"/>
            </w:tcBorders>
            <w:vAlign w:val="center"/>
          </w:tcPr>
          <w:p w:rsidR="00EE4502" w:rsidRDefault="00EE4502">
            <w:pPr>
              <w:widowControl/>
              <w:tabs>
                <w:tab w:val="left" w:pos="377"/>
              </w:tabs>
              <w:jc w:val="center"/>
              <w:rPr>
                <w:szCs w:val="21"/>
              </w:rPr>
            </w:pPr>
          </w:p>
        </w:tc>
      </w:tr>
      <w:tr w:rsidR="00EE4502">
        <w:trPr>
          <w:cantSplit/>
          <w:trHeight w:val="397"/>
          <w:jc w:val="center"/>
        </w:trPr>
        <w:tc>
          <w:tcPr>
            <w:tcW w:w="1059" w:type="pct"/>
            <w:vMerge/>
            <w:tcBorders>
              <w:top w:val="single" w:sz="4" w:space="0" w:color="auto"/>
              <w:left w:val="single" w:sz="4" w:space="0" w:color="auto"/>
              <w:bottom w:val="single" w:sz="4" w:space="0" w:color="auto"/>
              <w:right w:val="single" w:sz="4" w:space="0" w:color="auto"/>
            </w:tcBorders>
            <w:vAlign w:val="center"/>
          </w:tcPr>
          <w:p w:rsidR="00EE4502" w:rsidRDefault="00EE4502">
            <w:pPr>
              <w:widowControl/>
              <w:tabs>
                <w:tab w:val="left" w:pos="377"/>
              </w:tabs>
              <w:jc w:val="center"/>
              <w:rPr>
                <w:szCs w:val="21"/>
              </w:rPr>
            </w:pPr>
          </w:p>
        </w:tc>
        <w:tc>
          <w:tcPr>
            <w:tcW w:w="564"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一开</w:t>
            </w:r>
          </w:p>
        </w:tc>
        <w:tc>
          <w:tcPr>
            <w:tcW w:w="649"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二开</w:t>
            </w:r>
          </w:p>
        </w:tc>
        <w:tc>
          <w:tcPr>
            <w:tcW w:w="566"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一开</w:t>
            </w:r>
          </w:p>
        </w:tc>
        <w:tc>
          <w:tcPr>
            <w:tcW w:w="649"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二开</w:t>
            </w:r>
          </w:p>
        </w:tc>
        <w:tc>
          <w:tcPr>
            <w:tcW w:w="566"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一开</w:t>
            </w:r>
          </w:p>
        </w:tc>
        <w:tc>
          <w:tcPr>
            <w:tcW w:w="466"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二开</w:t>
            </w:r>
          </w:p>
        </w:tc>
        <w:tc>
          <w:tcPr>
            <w:tcW w:w="476" w:type="pct"/>
            <w:vMerge/>
            <w:tcBorders>
              <w:top w:val="single" w:sz="4" w:space="0" w:color="auto"/>
              <w:left w:val="single" w:sz="4" w:space="0" w:color="auto"/>
              <w:bottom w:val="single" w:sz="4" w:space="0" w:color="auto"/>
              <w:right w:val="single" w:sz="4" w:space="0" w:color="auto"/>
            </w:tcBorders>
            <w:vAlign w:val="center"/>
          </w:tcPr>
          <w:p w:rsidR="00EE4502" w:rsidRDefault="00EE4502">
            <w:pPr>
              <w:widowControl/>
              <w:tabs>
                <w:tab w:val="left" w:pos="377"/>
              </w:tabs>
              <w:jc w:val="center"/>
              <w:rPr>
                <w:szCs w:val="21"/>
              </w:rPr>
            </w:pPr>
          </w:p>
        </w:tc>
      </w:tr>
      <w:tr w:rsidR="00EE4502">
        <w:trPr>
          <w:cantSplit/>
          <w:trHeight w:val="397"/>
          <w:jc w:val="center"/>
        </w:trPr>
        <w:tc>
          <w:tcPr>
            <w:tcW w:w="1059"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减阻剂</w:t>
            </w:r>
          </w:p>
        </w:tc>
        <w:tc>
          <w:tcPr>
            <w:tcW w:w="564"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w:t>
            </w:r>
          </w:p>
        </w:tc>
        <w:tc>
          <w:tcPr>
            <w:tcW w:w="649"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0.60</w:t>
            </w:r>
          </w:p>
        </w:tc>
        <w:tc>
          <w:tcPr>
            <w:tcW w:w="566"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w:t>
            </w:r>
          </w:p>
        </w:tc>
        <w:tc>
          <w:tcPr>
            <w:tcW w:w="649"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0.42</w:t>
            </w:r>
          </w:p>
        </w:tc>
        <w:tc>
          <w:tcPr>
            <w:tcW w:w="566"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w:t>
            </w:r>
          </w:p>
        </w:tc>
        <w:tc>
          <w:tcPr>
            <w:tcW w:w="466"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0.65</w:t>
            </w:r>
          </w:p>
        </w:tc>
        <w:tc>
          <w:tcPr>
            <w:tcW w:w="476" w:type="pct"/>
            <w:tcBorders>
              <w:top w:val="single" w:sz="4" w:space="0" w:color="auto"/>
              <w:left w:val="single" w:sz="4" w:space="0" w:color="auto"/>
              <w:bottom w:val="single" w:sz="4" w:space="0" w:color="auto"/>
              <w:right w:val="single" w:sz="4" w:space="0" w:color="auto"/>
            </w:tcBorders>
            <w:vAlign w:val="center"/>
          </w:tcPr>
          <w:p w:rsidR="00EE4502" w:rsidRDefault="00EE4502">
            <w:pPr>
              <w:widowControl/>
              <w:tabs>
                <w:tab w:val="left" w:pos="377"/>
              </w:tabs>
              <w:jc w:val="center"/>
              <w:rPr>
                <w:szCs w:val="21"/>
              </w:rPr>
            </w:pPr>
          </w:p>
        </w:tc>
      </w:tr>
      <w:tr w:rsidR="00EE4502">
        <w:trPr>
          <w:cantSplit/>
          <w:trHeight w:val="397"/>
          <w:jc w:val="center"/>
        </w:trPr>
        <w:tc>
          <w:tcPr>
            <w:tcW w:w="1059"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降失水剂</w:t>
            </w:r>
          </w:p>
        </w:tc>
        <w:tc>
          <w:tcPr>
            <w:tcW w:w="564"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w:t>
            </w:r>
          </w:p>
        </w:tc>
        <w:tc>
          <w:tcPr>
            <w:tcW w:w="649"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1.20</w:t>
            </w:r>
          </w:p>
        </w:tc>
        <w:tc>
          <w:tcPr>
            <w:tcW w:w="566"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w:t>
            </w:r>
          </w:p>
        </w:tc>
        <w:tc>
          <w:tcPr>
            <w:tcW w:w="649"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0.84</w:t>
            </w:r>
          </w:p>
        </w:tc>
        <w:tc>
          <w:tcPr>
            <w:tcW w:w="566"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w:t>
            </w:r>
          </w:p>
        </w:tc>
        <w:tc>
          <w:tcPr>
            <w:tcW w:w="466"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1.30</w:t>
            </w:r>
          </w:p>
        </w:tc>
        <w:tc>
          <w:tcPr>
            <w:tcW w:w="476" w:type="pct"/>
            <w:tcBorders>
              <w:top w:val="single" w:sz="4" w:space="0" w:color="auto"/>
              <w:left w:val="single" w:sz="4" w:space="0" w:color="auto"/>
              <w:bottom w:val="single" w:sz="4" w:space="0" w:color="auto"/>
              <w:right w:val="single" w:sz="4" w:space="0" w:color="auto"/>
            </w:tcBorders>
            <w:vAlign w:val="center"/>
          </w:tcPr>
          <w:p w:rsidR="00EE4502" w:rsidRDefault="00EE4502">
            <w:pPr>
              <w:widowControl/>
              <w:tabs>
                <w:tab w:val="left" w:pos="377"/>
              </w:tabs>
              <w:jc w:val="center"/>
              <w:rPr>
                <w:szCs w:val="21"/>
              </w:rPr>
            </w:pPr>
          </w:p>
        </w:tc>
      </w:tr>
      <w:tr w:rsidR="00EE4502">
        <w:trPr>
          <w:cantSplit/>
          <w:trHeight w:val="397"/>
          <w:jc w:val="center"/>
        </w:trPr>
        <w:tc>
          <w:tcPr>
            <w:tcW w:w="1059"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消泡剂</w:t>
            </w:r>
          </w:p>
        </w:tc>
        <w:tc>
          <w:tcPr>
            <w:tcW w:w="564"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w:t>
            </w:r>
          </w:p>
        </w:tc>
        <w:tc>
          <w:tcPr>
            <w:tcW w:w="649"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0.06</w:t>
            </w:r>
          </w:p>
        </w:tc>
        <w:tc>
          <w:tcPr>
            <w:tcW w:w="566"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w:t>
            </w:r>
          </w:p>
        </w:tc>
        <w:tc>
          <w:tcPr>
            <w:tcW w:w="649"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0.04</w:t>
            </w:r>
          </w:p>
        </w:tc>
        <w:tc>
          <w:tcPr>
            <w:tcW w:w="566"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w:t>
            </w:r>
          </w:p>
        </w:tc>
        <w:tc>
          <w:tcPr>
            <w:tcW w:w="466"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0.07</w:t>
            </w:r>
          </w:p>
        </w:tc>
        <w:tc>
          <w:tcPr>
            <w:tcW w:w="476" w:type="pct"/>
            <w:tcBorders>
              <w:top w:val="single" w:sz="4" w:space="0" w:color="auto"/>
              <w:left w:val="single" w:sz="4" w:space="0" w:color="auto"/>
              <w:bottom w:val="single" w:sz="4" w:space="0" w:color="auto"/>
              <w:right w:val="single" w:sz="4" w:space="0" w:color="auto"/>
            </w:tcBorders>
            <w:vAlign w:val="center"/>
          </w:tcPr>
          <w:p w:rsidR="00EE4502" w:rsidRDefault="00EE4502">
            <w:pPr>
              <w:widowControl/>
              <w:tabs>
                <w:tab w:val="left" w:pos="377"/>
              </w:tabs>
              <w:jc w:val="center"/>
              <w:rPr>
                <w:szCs w:val="21"/>
              </w:rPr>
            </w:pPr>
          </w:p>
        </w:tc>
      </w:tr>
      <w:tr w:rsidR="00EE4502">
        <w:trPr>
          <w:cantSplit/>
          <w:trHeight w:val="397"/>
          <w:jc w:val="center"/>
        </w:trPr>
        <w:tc>
          <w:tcPr>
            <w:tcW w:w="1059"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晶格膨胀剂</w:t>
            </w:r>
          </w:p>
        </w:tc>
        <w:tc>
          <w:tcPr>
            <w:tcW w:w="564"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w:t>
            </w:r>
          </w:p>
        </w:tc>
        <w:tc>
          <w:tcPr>
            <w:tcW w:w="649"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0.60</w:t>
            </w:r>
          </w:p>
        </w:tc>
        <w:tc>
          <w:tcPr>
            <w:tcW w:w="566"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w:t>
            </w:r>
          </w:p>
        </w:tc>
        <w:tc>
          <w:tcPr>
            <w:tcW w:w="649"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0.42</w:t>
            </w:r>
          </w:p>
        </w:tc>
        <w:tc>
          <w:tcPr>
            <w:tcW w:w="566"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w:t>
            </w:r>
          </w:p>
        </w:tc>
        <w:tc>
          <w:tcPr>
            <w:tcW w:w="466"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0.65</w:t>
            </w:r>
          </w:p>
        </w:tc>
        <w:tc>
          <w:tcPr>
            <w:tcW w:w="476" w:type="pct"/>
            <w:tcBorders>
              <w:top w:val="single" w:sz="4" w:space="0" w:color="auto"/>
              <w:left w:val="single" w:sz="4" w:space="0" w:color="auto"/>
              <w:bottom w:val="single" w:sz="4" w:space="0" w:color="auto"/>
              <w:right w:val="single" w:sz="4" w:space="0" w:color="auto"/>
            </w:tcBorders>
            <w:vAlign w:val="center"/>
          </w:tcPr>
          <w:p w:rsidR="00EE4502" w:rsidRDefault="00EE4502">
            <w:pPr>
              <w:widowControl/>
              <w:tabs>
                <w:tab w:val="left" w:pos="377"/>
              </w:tabs>
              <w:jc w:val="center"/>
              <w:rPr>
                <w:szCs w:val="21"/>
              </w:rPr>
            </w:pPr>
          </w:p>
        </w:tc>
      </w:tr>
      <w:tr w:rsidR="00EE4502">
        <w:trPr>
          <w:cantSplit/>
          <w:trHeight w:val="397"/>
          <w:jc w:val="center"/>
        </w:trPr>
        <w:tc>
          <w:tcPr>
            <w:tcW w:w="1059"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早强剂</w:t>
            </w:r>
          </w:p>
        </w:tc>
        <w:tc>
          <w:tcPr>
            <w:tcW w:w="564"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w:t>
            </w:r>
          </w:p>
        </w:tc>
        <w:tc>
          <w:tcPr>
            <w:tcW w:w="649"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1.44</w:t>
            </w:r>
          </w:p>
        </w:tc>
        <w:tc>
          <w:tcPr>
            <w:tcW w:w="566"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w:t>
            </w:r>
          </w:p>
        </w:tc>
        <w:tc>
          <w:tcPr>
            <w:tcW w:w="649"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1.01</w:t>
            </w:r>
          </w:p>
        </w:tc>
        <w:tc>
          <w:tcPr>
            <w:tcW w:w="566"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w:t>
            </w:r>
          </w:p>
        </w:tc>
        <w:tc>
          <w:tcPr>
            <w:tcW w:w="466"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1.56</w:t>
            </w:r>
          </w:p>
        </w:tc>
        <w:tc>
          <w:tcPr>
            <w:tcW w:w="476" w:type="pct"/>
            <w:tcBorders>
              <w:top w:val="single" w:sz="4" w:space="0" w:color="auto"/>
              <w:left w:val="single" w:sz="4" w:space="0" w:color="auto"/>
              <w:bottom w:val="single" w:sz="4" w:space="0" w:color="auto"/>
              <w:right w:val="single" w:sz="4" w:space="0" w:color="auto"/>
            </w:tcBorders>
            <w:vAlign w:val="center"/>
          </w:tcPr>
          <w:p w:rsidR="00EE4502" w:rsidRDefault="00EE4502">
            <w:pPr>
              <w:widowControl/>
              <w:tabs>
                <w:tab w:val="left" w:pos="377"/>
              </w:tabs>
              <w:jc w:val="center"/>
              <w:rPr>
                <w:szCs w:val="21"/>
              </w:rPr>
            </w:pPr>
          </w:p>
        </w:tc>
      </w:tr>
      <w:tr w:rsidR="00EE4502">
        <w:trPr>
          <w:cantSplit/>
          <w:trHeight w:val="397"/>
          <w:jc w:val="center"/>
        </w:trPr>
        <w:tc>
          <w:tcPr>
            <w:tcW w:w="1059"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增塑剂</w:t>
            </w:r>
          </w:p>
        </w:tc>
        <w:tc>
          <w:tcPr>
            <w:tcW w:w="564"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w:t>
            </w:r>
          </w:p>
        </w:tc>
        <w:tc>
          <w:tcPr>
            <w:tcW w:w="649"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1.56</w:t>
            </w:r>
          </w:p>
        </w:tc>
        <w:tc>
          <w:tcPr>
            <w:tcW w:w="566"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w:t>
            </w:r>
          </w:p>
        </w:tc>
        <w:tc>
          <w:tcPr>
            <w:tcW w:w="649"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1.09</w:t>
            </w:r>
          </w:p>
        </w:tc>
        <w:tc>
          <w:tcPr>
            <w:tcW w:w="566"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w:t>
            </w:r>
          </w:p>
        </w:tc>
        <w:tc>
          <w:tcPr>
            <w:tcW w:w="466"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1.30</w:t>
            </w:r>
          </w:p>
        </w:tc>
        <w:tc>
          <w:tcPr>
            <w:tcW w:w="476" w:type="pct"/>
            <w:tcBorders>
              <w:top w:val="single" w:sz="4" w:space="0" w:color="auto"/>
              <w:left w:val="single" w:sz="4" w:space="0" w:color="auto"/>
              <w:bottom w:val="single" w:sz="4" w:space="0" w:color="auto"/>
              <w:right w:val="single" w:sz="4" w:space="0" w:color="auto"/>
            </w:tcBorders>
            <w:vAlign w:val="center"/>
          </w:tcPr>
          <w:p w:rsidR="00EE4502" w:rsidRDefault="00EE4502">
            <w:pPr>
              <w:widowControl/>
              <w:tabs>
                <w:tab w:val="left" w:pos="377"/>
              </w:tabs>
              <w:jc w:val="center"/>
              <w:rPr>
                <w:szCs w:val="21"/>
              </w:rPr>
            </w:pPr>
          </w:p>
        </w:tc>
      </w:tr>
      <w:tr w:rsidR="00EE4502">
        <w:trPr>
          <w:cantSplit/>
          <w:trHeight w:val="397"/>
          <w:jc w:val="center"/>
        </w:trPr>
        <w:tc>
          <w:tcPr>
            <w:tcW w:w="1059"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促凝剂</w:t>
            </w:r>
          </w:p>
        </w:tc>
        <w:tc>
          <w:tcPr>
            <w:tcW w:w="564"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0.32</w:t>
            </w:r>
          </w:p>
        </w:tc>
        <w:tc>
          <w:tcPr>
            <w:tcW w:w="649"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0.96</w:t>
            </w:r>
          </w:p>
        </w:tc>
        <w:tc>
          <w:tcPr>
            <w:tcW w:w="566"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0.32</w:t>
            </w:r>
          </w:p>
        </w:tc>
        <w:tc>
          <w:tcPr>
            <w:tcW w:w="649"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0.67</w:t>
            </w:r>
          </w:p>
        </w:tc>
        <w:tc>
          <w:tcPr>
            <w:tcW w:w="566"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0.36</w:t>
            </w:r>
          </w:p>
        </w:tc>
        <w:tc>
          <w:tcPr>
            <w:tcW w:w="466"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1.04</w:t>
            </w:r>
          </w:p>
        </w:tc>
        <w:tc>
          <w:tcPr>
            <w:tcW w:w="476" w:type="pct"/>
            <w:tcBorders>
              <w:top w:val="single" w:sz="4" w:space="0" w:color="auto"/>
              <w:left w:val="single" w:sz="4" w:space="0" w:color="auto"/>
              <w:bottom w:val="single" w:sz="4" w:space="0" w:color="auto"/>
              <w:right w:val="single" w:sz="4" w:space="0" w:color="auto"/>
            </w:tcBorders>
            <w:vAlign w:val="center"/>
          </w:tcPr>
          <w:p w:rsidR="00EE4502" w:rsidRDefault="00EE4502">
            <w:pPr>
              <w:widowControl/>
              <w:tabs>
                <w:tab w:val="left" w:pos="377"/>
              </w:tabs>
              <w:jc w:val="center"/>
              <w:rPr>
                <w:szCs w:val="21"/>
              </w:rPr>
            </w:pPr>
          </w:p>
        </w:tc>
      </w:tr>
      <w:tr w:rsidR="00EE4502">
        <w:trPr>
          <w:cantSplit/>
          <w:trHeight w:val="397"/>
          <w:jc w:val="center"/>
        </w:trPr>
        <w:tc>
          <w:tcPr>
            <w:tcW w:w="1059"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硅粉</w:t>
            </w:r>
          </w:p>
        </w:tc>
        <w:tc>
          <w:tcPr>
            <w:tcW w:w="564"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w:t>
            </w:r>
          </w:p>
        </w:tc>
        <w:tc>
          <w:tcPr>
            <w:tcW w:w="649"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w:t>
            </w:r>
          </w:p>
        </w:tc>
        <w:tc>
          <w:tcPr>
            <w:tcW w:w="566"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w:t>
            </w:r>
          </w:p>
        </w:tc>
        <w:tc>
          <w:tcPr>
            <w:tcW w:w="649"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18.0</w:t>
            </w:r>
          </w:p>
        </w:tc>
        <w:tc>
          <w:tcPr>
            <w:tcW w:w="566"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w:t>
            </w:r>
          </w:p>
        </w:tc>
        <w:tc>
          <w:tcPr>
            <w:tcW w:w="466"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w:t>
            </w:r>
          </w:p>
        </w:tc>
        <w:tc>
          <w:tcPr>
            <w:tcW w:w="476" w:type="pct"/>
            <w:tcBorders>
              <w:top w:val="single" w:sz="4" w:space="0" w:color="auto"/>
              <w:left w:val="single" w:sz="4" w:space="0" w:color="auto"/>
              <w:bottom w:val="single" w:sz="4" w:space="0" w:color="auto"/>
              <w:right w:val="single" w:sz="4" w:space="0" w:color="auto"/>
            </w:tcBorders>
            <w:vAlign w:val="center"/>
          </w:tcPr>
          <w:p w:rsidR="00EE4502" w:rsidRDefault="00EE4502">
            <w:pPr>
              <w:widowControl/>
              <w:tabs>
                <w:tab w:val="left" w:pos="377"/>
              </w:tabs>
              <w:jc w:val="center"/>
              <w:rPr>
                <w:szCs w:val="21"/>
              </w:rPr>
            </w:pPr>
          </w:p>
        </w:tc>
      </w:tr>
      <w:tr w:rsidR="00EE4502">
        <w:trPr>
          <w:cantSplit/>
          <w:trHeight w:val="397"/>
          <w:jc w:val="center"/>
        </w:trPr>
        <w:tc>
          <w:tcPr>
            <w:tcW w:w="1059"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冲洗液</w:t>
            </w:r>
            <w:r>
              <w:rPr>
                <w:rFonts w:hint="eastAsia"/>
                <w:szCs w:val="21"/>
              </w:rPr>
              <w:t>（</w:t>
            </w:r>
            <w:r>
              <w:rPr>
                <w:rFonts w:hint="eastAsia"/>
                <w:szCs w:val="21"/>
              </w:rPr>
              <w:t>m</w:t>
            </w:r>
            <w:r>
              <w:rPr>
                <w:rFonts w:hint="eastAsia"/>
                <w:szCs w:val="21"/>
                <w:vertAlign w:val="superscript"/>
              </w:rPr>
              <w:t>3</w:t>
            </w:r>
            <w:r>
              <w:rPr>
                <w:rFonts w:hint="eastAsia"/>
                <w:szCs w:val="21"/>
              </w:rPr>
              <w:t>）</w:t>
            </w:r>
          </w:p>
        </w:tc>
        <w:tc>
          <w:tcPr>
            <w:tcW w:w="564"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w:t>
            </w:r>
          </w:p>
        </w:tc>
        <w:tc>
          <w:tcPr>
            <w:tcW w:w="649"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4.60</w:t>
            </w:r>
          </w:p>
        </w:tc>
        <w:tc>
          <w:tcPr>
            <w:tcW w:w="566"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w:t>
            </w:r>
          </w:p>
        </w:tc>
        <w:tc>
          <w:tcPr>
            <w:tcW w:w="649"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4.60</w:t>
            </w:r>
          </w:p>
        </w:tc>
        <w:tc>
          <w:tcPr>
            <w:tcW w:w="566"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w:t>
            </w:r>
          </w:p>
        </w:tc>
        <w:tc>
          <w:tcPr>
            <w:tcW w:w="466"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4.60</w:t>
            </w:r>
          </w:p>
        </w:tc>
        <w:tc>
          <w:tcPr>
            <w:tcW w:w="476" w:type="pct"/>
            <w:tcBorders>
              <w:top w:val="single" w:sz="4" w:space="0" w:color="auto"/>
              <w:left w:val="single" w:sz="4" w:space="0" w:color="auto"/>
              <w:bottom w:val="single" w:sz="4" w:space="0" w:color="auto"/>
              <w:right w:val="single" w:sz="4" w:space="0" w:color="auto"/>
            </w:tcBorders>
            <w:vAlign w:val="center"/>
          </w:tcPr>
          <w:p w:rsidR="00EE4502" w:rsidRDefault="00EE4502">
            <w:pPr>
              <w:widowControl/>
              <w:tabs>
                <w:tab w:val="left" w:pos="377"/>
              </w:tabs>
              <w:jc w:val="center"/>
              <w:rPr>
                <w:szCs w:val="21"/>
              </w:rPr>
            </w:pPr>
          </w:p>
        </w:tc>
      </w:tr>
      <w:tr w:rsidR="00EE4502">
        <w:trPr>
          <w:cantSplit/>
          <w:trHeight w:val="397"/>
          <w:jc w:val="center"/>
        </w:trPr>
        <w:tc>
          <w:tcPr>
            <w:tcW w:w="1059"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前置隔离液</w:t>
            </w:r>
            <w:r>
              <w:rPr>
                <w:rFonts w:hint="eastAsia"/>
                <w:szCs w:val="21"/>
              </w:rPr>
              <w:t>（</w:t>
            </w:r>
            <w:r>
              <w:rPr>
                <w:rFonts w:hint="eastAsia"/>
                <w:szCs w:val="21"/>
              </w:rPr>
              <w:t>m</w:t>
            </w:r>
            <w:r>
              <w:rPr>
                <w:rFonts w:hint="eastAsia"/>
                <w:szCs w:val="21"/>
                <w:vertAlign w:val="superscript"/>
              </w:rPr>
              <w:t>3</w:t>
            </w:r>
            <w:r>
              <w:rPr>
                <w:rFonts w:hint="eastAsia"/>
                <w:szCs w:val="21"/>
              </w:rPr>
              <w:t>）</w:t>
            </w:r>
          </w:p>
        </w:tc>
        <w:tc>
          <w:tcPr>
            <w:tcW w:w="564"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w:t>
            </w:r>
          </w:p>
        </w:tc>
        <w:tc>
          <w:tcPr>
            <w:tcW w:w="649"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4.60</w:t>
            </w:r>
          </w:p>
        </w:tc>
        <w:tc>
          <w:tcPr>
            <w:tcW w:w="566"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w:t>
            </w:r>
          </w:p>
        </w:tc>
        <w:tc>
          <w:tcPr>
            <w:tcW w:w="649"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4.60</w:t>
            </w:r>
          </w:p>
        </w:tc>
        <w:tc>
          <w:tcPr>
            <w:tcW w:w="566"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w:t>
            </w:r>
          </w:p>
        </w:tc>
        <w:tc>
          <w:tcPr>
            <w:tcW w:w="466"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4.60</w:t>
            </w:r>
          </w:p>
        </w:tc>
        <w:tc>
          <w:tcPr>
            <w:tcW w:w="476" w:type="pct"/>
            <w:tcBorders>
              <w:top w:val="single" w:sz="4" w:space="0" w:color="auto"/>
              <w:left w:val="single" w:sz="4" w:space="0" w:color="auto"/>
              <w:bottom w:val="single" w:sz="4" w:space="0" w:color="auto"/>
              <w:right w:val="single" w:sz="4" w:space="0" w:color="auto"/>
            </w:tcBorders>
            <w:vAlign w:val="center"/>
          </w:tcPr>
          <w:p w:rsidR="00EE4502" w:rsidRDefault="00EE4502">
            <w:pPr>
              <w:widowControl/>
              <w:tabs>
                <w:tab w:val="left" w:pos="377"/>
              </w:tabs>
              <w:jc w:val="center"/>
              <w:rPr>
                <w:szCs w:val="21"/>
              </w:rPr>
            </w:pPr>
          </w:p>
        </w:tc>
      </w:tr>
    </w:tbl>
    <w:p w:rsidR="00EE4502" w:rsidRDefault="00FD45A3">
      <w:pPr>
        <w:pStyle w:val="085135201"/>
        <w:spacing w:line="360" w:lineRule="auto"/>
        <w:rPr>
          <w:rFonts w:ascii="Times New Roman" w:hAnsi="Times New Roman" w:cs="Times New Roman"/>
        </w:rPr>
      </w:pPr>
      <w:r>
        <w:rPr>
          <w:rFonts w:ascii="Times New Roman" w:hAnsi="Times New Roman" w:cs="Times New Roman" w:hint="eastAsia"/>
        </w:rPr>
        <w:t>4</w:t>
      </w:r>
      <w:r>
        <w:rPr>
          <w:rFonts w:ascii="Times New Roman" w:hAnsi="Times New Roman" w:cs="Times New Roman" w:hint="eastAsia"/>
        </w:rPr>
        <w:t>）固井质量保证技术措施</w:t>
      </w:r>
    </w:p>
    <w:p w:rsidR="00EE4502" w:rsidRDefault="00FD45A3">
      <w:pPr>
        <w:spacing w:line="360" w:lineRule="auto"/>
        <w:ind w:firstLineChars="200" w:firstLine="480"/>
        <w:rPr>
          <w:sz w:val="24"/>
        </w:rPr>
      </w:pPr>
      <w:r>
        <w:rPr>
          <w:rFonts w:hint="eastAsia"/>
          <w:sz w:val="24"/>
        </w:rPr>
        <w:t>①井径扩大率尽量控制在</w:t>
      </w:r>
      <w:r>
        <w:rPr>
          <w:rFonts w:hint="eastAsia"/>
          <w:sz w:val="24"/>
        </w:rPr>
        <w:t>10%</w:t>
      </w:r>
      <w:r>
        <w:rPr>
          <w:rFonts w:hint="eastAsia"/>
          <w:sz w:val="24"/>
        </w:rPr>
        <w:t>以内，避免出现“糖葫芦”井眼；</w:t>
      </w:r>
    </w:p>
    <w:p w:rsidR="00EE4502" w:rsidRDefault="00FD45A3">
      <w:pPr>
        <w:spacing w:line="360" w:lineRule="auto"/>
        <w:ind w:firstLineChars="200" w:firstLine="480"/>
        <w:rPr>
          <w:sz w:val="24"/>
        </w:rPr>
      </w:pPr>
      <w:r>
        <w:rPr>
          <w:rFonts w:hint="eastAsia"/>
          <w:sz w:val="24"/>
        </w:rPr>
        <w:t>②下套管过程中注意活动套管，合理使用套管扶正器，保证套管居中度；</w:t>
      </w:r>
    </w:p>
    <w:p w:rsidR="00EE4502" w:rsidRDefault="00FD45A3">
      <w:pPr>
        <w:spacing w:line="360" w:lineRule="auto"/>
        <w:ind w:firstLineChars="200" w:firstLine="480"/>
        <w:rPr>
          <w:sz w:val="24"/>
        </w:rPr>
      </w:pPr>
      <w:r>
        <w:rPr>
          <w:rFonts w:hint="eastAsia"/>
          <w:sz w:val="24"/>
        </w:rPr>
        <w:t>③在保证井眼安全的前提下，尽量采用紊流顶替，提高顶替效率；如果井眼条件不理想无法达到紊流，则通过设计合理前置液和先导低密度水泥浆的流变参</w:t>
      </w:r>
      <w:r>
        <w:rPr>
          <w:rFonts w:hint="eastAsia"/>
          <w:sz w:val="24"/>
        </w:rPr>
        <w:lastRenderedPageBreak/>
        <w:t>数和用量来达到紊流。</w:t>
      </w:r>
    </w:p>
    <w:p w:rsidR="00EE4502" w:rsidRDefault="00FD45A3">
      <w:pPr>
        <w:spacing w:line="360" w:lineRule="auto"/>
        <w:ind w:firstLineChars="200" w:firstLine="480"/>
        <w:rPr>
          <w:sz w:val="24"/>
        </w:rPr>
      </w:pPr>
      <w:r>
        <w:rPr>
          <w:rFonts w:hint="eastAsia"/>
          <w:sz w:val="24"/>
        </w:rPr>
        <w:t>④控制水泥浆游离液和失水量，保证水泥浆的稳定性。</w:t>
      </w:r>
    </w:p>
    <w:p w:rsidR="00EE4502" w:rsidRDefault="00FD45A3">
      <w:pPr>
        <w:spacing w:line="360" w:lineRule="auto"/>
        <w:ind w:firstLineChars="200" w:firstLine="480"/>
        <w:rPr>
          <w:sz w:val="24"/>
        </w:rPr>
      </w:pPr>
      <w:r>
        <w:rPr>
          <w:sz w:val="24"/>
        </w:rPr>
        <w:t>（</w:t>
      </w:r>
      <w:r>
        <w:rPr>
          <w:rFonts w:hint="eastAsia"/>
          <w:sz w:val="24"/>
        </w:rPr>
        <w:t>5</w:t>
      </w:r>
      <w:r>
        <w:rPr>
          <w:sz w:val="24"/>
        </w:rPr>
        <w:t>）井控方案</w:t>
      </w:r>
    </w:p>
    <w:p w:rsidR="00EE4502" w:rsidRDefault="00FD45A3">
      <w:pPr>
        <w:spacing w:line="360" w:lineRule="auto"/>
        <w:ind w:firstLineChars="200" w:firstLine="480"/>
        <w:jc w:val="left"/>
        <w:rPr>
          <w:sz w:val="24"/>
        </w:rPr>
      </w:pPr>
      <w:r>
        <w:rPr>
          <w:rFonts w:hint="eastAsia"/>
          <w:sz w:val="24"/>
        </w:rPr>
        <w:t>井控装置选择、井口装置示意图、节流管汇及压井管汇示意图及试压要求见表</w:t>
      </w:r>
      <w:r>
        <w:rPr>
          <w:rFonts w:hint="eastAsia"/>
          <w:sz w:val="24"/>
        </w:rPr>
        <w:t>3-3</w:t>
      </w:r>
      <w:r>
        <w:rPr>
          <w:sz w:val="24"/>
        </w:rPr>
        <w:t>-</w:t>
      </w:r>
      <w:r>
        <w:rPr>
          <w:rFonts w:hint="eastAsia"/>
          <w:sz w:val="24"/>
        </w:rPr>
        <w:t>20</w:t>
      </w:r>
      <w:r>
        <w:rPr>
          <w:rFonts w:hint="eastAsia"/>
          <w:sz w:val="24"/>
        </w:rPr>
        <w:t>、</w:t>
      </w:r>
      <w:r>
        <w:rPr>
          <w:sz w:val="24"/>
        </w:rPr>
        <w:t>图</w:t>
      </w:r>
      <w:r>
        <w:rPr>
          <w:rFonts w:hint="eastAsia"/>
          <w:sz w:val="24"/>
        </w:rPr>
        <w:t>3-3</w:t>
      </w:r>
      <w:r>
        <w:rPr>
          <w:sz w:val="24"/>
        </w:rPr>
        <w:t>-</w:t>
      </w:r>
      <w:r>
        <w:rPr>
          <w:rFonts w:hint="eastAsia"/>
          <w:sz w:val="24"/>
        </w:rPr>
        <w:t>21</w:t>
      </w:r>
      <w:r>
        <w:rPr>
          <w:rFonts w:hint="eastAsia"/>
          <w:sz w:val="24"/>
        </w:rPr>
        <w:t>~</w:t>
      </w:r>
      <w:r>
        <w:rPr>
          <w:rFonts w:hint="eastAsia"/>
          <w:sz w:val="24"/>
        </w:rPr>
        <w:t>3-3</w:t>
      </w:r>
      <w:r>
        <w:rPr>
          <w:sz w:val="24"/>
        </w:rPr>
        <w:t>-</w:t>
      </w:r>
      <w:r>
        <w:rPr>
          <w:rFonts w:hint="eastAsia"/>
          <w:sz w:val="24"/>
        </w:rPr>
        <w:t>23</w:t>
      </w:r>
      <w:r>
        <w:rPr>
          <w:sz w:val="24"/>
        </w:rPr>
        <w:t>。</w:t>
      </w:r>
    </w:p>
    <w:p w:rsidR="00EE4502" w:rsidRDefault="00FD45A3">
      <w:pPr>
        <w:spacing w:line="360" w:lineRule="auto"/>
        <w:jc w:val="center"/>
        <w:rPr>
          <w:rFonts w:eastAsia="黑体"/>
          <w:bCs/>
          <w:lang w:val="zh-CN"/>
        </w:rPr>
      </w:pPr>
      <w:bookmarkStart w:id="97" w:name="_Hlk187850812"/>
      <w:r>
        <w:rPr>
          <w:rFonts w:eastAsia="黑体"/>
          <w:bCs/>
          <w:lang w:val="zh-CN"/>
        </w:rPr>
        <w:t>表</w:t>
      </w:r>
      <w:r>
        <w:rPr>
          <w:rFonts w:eastAsia="黑体" w:hint="eastAsia"/>
          <w:bCs/>
          <w:lang w:val="zh-CN"/>
        </w:rPr>
        <w:t>3-3</w:t>
      </w:r>
      <w:r>
        <w:rPr>
          <w:rFonts w:eastAsia="黑体"/>
          <w:bCs/>
          <w:lang w:val="zh-CN"/>
        </w:rPr>
        <w:t>-</w:t>
      </w:r>
      <w:r>
        <w:rPr>
          <w:rFonts w:eastAsia="黑体" w:hint="eastAsia"/>
          <w:bCs/>
        </w:rPr>
        <w:t>20</w:t>
      </w:r>
      <w:r>
        <w:rPr>
          <w:rFonts w:eastAsia="黑体"/>
          <w:bCs/>
          <w:lang w:val="zh-CN"/>
        </w:rPr>
        <w:t xml:space="preserve">  </w:t>
      </w:r>
      <w:r>
        <w:rPr>
          <w:rFonts w:eastAsia="黑体" w:hint="eastAsia"/>
          <w:bCs/>
          <w:lang w:val="zh-CN"/>
        </w:rPr>
        <w:t>水平井各次开钻井口装置及试压要求</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25"/>
        <w:gridCol w:w="1895"/>
        <w:gridCol w:w="1752"/>
        <w:gridCol w:w="726"/>
        <w:gridCol w:w="1156"/>
        <w:gridCol w:w="1079"/>
        <w:gridCol w:w="1206"/>
      </w:tblGrid>
      <w:tr w:rsidR="00EE4502">
        <w:trPr>
          <w:trHeight w:val="397"/>
          <w:tblHeader/>
          <w:jc w:val="center"/>
        </w:trPr>
        <w:tc>
          <w:tcPr>
            <w:tcW w:w="424" w:type="pct"/>
            <w:vMerge w:val="restart"/>
            <w:tcMar>
              <w:top w:w="10" w:type="dxa"/>
              <w:left w:w="118" w:type="dxa"/>
              <w:bottom w:w="10" w:type="dxa"/>
              <w:right w:w="118" w:type="dxa"/>
            </w:tcMar>
            <w:vAlign w:val="center"/>
          </w:tcPr>
          <w:p w:rsidR="00EE4502" w:rsidRDefault="00FD45A3">
            <w:pPr>
              <w:widowControl/>
              <w:tabs>
                <w:tab w:val="left" w:pos="377"/>
              </w:tabs>
              <w:jc w:val="center"/>
              <w:rPr>
                <w:szCs w:val="21"/>
              </w:rPr>
            </w:pPr>
            <w:r>
              <w:rPr>
                <w:rFonts w:hint="eastAsia"/>
                <w:szCs w:val="21"/>
              </w:rPr>
              <w:t>开次</w:t>
            </w:r>
          </w:p>
        </w:tc>
        <w:tc>
          <w:tcPr>
            <w:tcW w:w="1109" w:type="pct"/>
            <w:vMerge w:val="restart"/>
            <w:tcMar>
              <w:top w:w="10" w:type="dxa"/>
              <w:left w:w="108" w:type="dxa"/>
              <w:bottom w:w="10" w:type="dxa"/>
              <w:right w:w="118" w:type="dxa"/>
            </w:tcMar>
            <w:vAlign w:val="center"/>
          </w:tcPr>
          <w:p w:rsidR="00EE4502" w:rsidRDefault="00FD45A3">
            <w:pPr>
              <w:widowControl/>
              <w:tabs>
                <w:tab w:val="left" w:pos="377"/>
              </w:tabs>
              <w:jc w:val="center"/>
              <w:rPr>
                <w:szCs w:val="21"/>
              </w:rPr>
            </w:pPr>
            <w:r>
              <w:rPr>
                <w:rFonts w:hint="eastAsia"/>
                <w:szCs w:val="21"/>
              </w:rPr>
              <w:t>装置名称</w:t>
            </w:r>
          </w:p>
        </w:tc>
        <w:tc>
          <w:tcPr>
            <w:tcW w:w="1026" w:type="pct"/>
            <w:vMerge w:val="restart"/>
            <w:tcMar>
              <w:top w:w="10" w:type="dxa"/>
              <w:left w:w="108" w:type="dxa"/>
              <w:bottom w:w="10" w:type="dxa"/>
              <w:right w:w="118" w:type="dxa"/>
            </w:tcMar>
            <w:vAlign w:val="center"/>
          </w:tcPr>
          <w:p w:rsidR="00EE4502" w:rsidRDefault="00FD45A3">
            <w:pPr>
              <w:widowControl/>
              <w:tabs>
                <w:tab w:val="left" w:pos="377"/>
              </w:tabs>
              <w:jc w:val="center"/>
              <w:rPr>
                <w:szCs w:val="21"/>
              </w:rPr>
            </w:pPr>
            <w:r>
              <w:rPr>
                <w:rFonts w:hint="eastAsia"/>
                <w:szCs w:val="21"/>
              </w:rPr>
              <w:t>型号</w:t>
            </w:r>
          </w:p>
        </w:tc>
        <w:tc>
          <w:tcPr>
            <w:tcW w:w="2439" w:type="pct"/>
            <w:gridSpan w:val="4"/>
            <w:tcMar>
              <w:top w:w="10" w:type="dxa"/>
              <w:left w:w="108" w:type="dxa"/>
              <w:bottom w:w="10" w:type="dxa"/>
              <w:right w:w="118" w:type="dxa"/>
            </w:tcMar>
            <w:vAlign w:val="center"/>
          </w:tcPr>
          <w:p w:rsidR="00EE4502" w:rsidRDefault="00FD45A3">
            <w:pPr>
              <w:widowControl/>
              <w:tabs>
                <w:tab w:val="left" w:pos="377"/>
              </w:tabs>
              <w:jc w:val="center"/>
              <w:rPr>
                <w:szCs w:val="21"/>
              </w:rPr>
            </w:pPr>
            <w:r>
              <w:rPr>
                <w:rFonts w:hint="eastAsia"/>
                <w:szCs w:val="21"/>
              </w:rPr>
              <w:t>试压要求</w:t>
            </w:r>
          </w:p>
        </w:tc>
      </w:tr>
      <w:tr w:rsidR="00EE4502">
        <w:trPr>
          <w:trHeight w:val="397"/>
          <w:tblHeader/>
          <w:jc w:val="center"/>
        </w:trPr>
        <w:tc>
          <w:tcPr>
            <w:tcW w:w="424" w:type="pct"/>
            <w:vMerge/>
            <w:vAlign w:val="center"/>
          </w:tcPr>
          <w:p w:rsidR="00EE4502" w:rsidRDefault="00EE4502">
            <w:pPr>
              <w:widowControl/>
              <w:tabs>
                <w:tab w:val="left" w:pos="377"/>
              </w:tabs>
              <w:jc w:val="center"/>
              <w:rPr>
                <w:szCs w:val="21"/>
              </w:rPr>
            </w:pPr>
          </w:p>
        </w:tc>
        <w:tc>
          <w:tcPr>
            <w:tcW w:w="1109" w:type="pct"/>
            <w:vMerge/>
            <w:vAlign w:val="center"/>
          </w:tcPr>
          <w:p w:rsidR="00EE4502" w:rsidRDefault="00EE4502">
            <w:pPr>
              <w:widowControl/>
              <w:tabs>
                <w:tab w:val="left" w:pos="377"/>
              </w:tabs>
              <w:jc w:val="center"/>
              <w:rPr>
                <w:szCs w:val="21"/>
              </w:rPr>
            </w:pPr>
          </w:p>
        </w:tc>
        <w:tc>
          <w:tcPr>
            <w:tcW w:w="1026" w:type="pct"/>
            <w:vMerge/>
            <w:vAlign w:val="center"/>
          </w:tcPr>
          <w:p w:rsidR="00EE4502" w:rsidRDefault="00EE4502">
            <w:pPr>
              <w:widowControl/>
              <w:tabs>
                <w:tab w:val="left" w:pos="377"/>
              </w:tabs>
              <w:jc w:val="center"/>
              <w:rPr>
                <w:szCs w:val="21"/>
              </w:rPr>
            </w:pPr>
          </w:p>
        </w:tc>
        <w:tc>
          <w:tcPr>
            <w:tcW w:w="425" w:type="pct"/>
            <w:vMerge w:val="restart"/>
            <w:tcMar>
              <w:top w:w="0" w:type="dxa"/>
              <w:left w:w="108" w:type="dxa"/>
              <w:bottom w:w="10" w:type="dxa"/>
              <w:right w:w="118" w:type="dxa"/>
            </w:tcMar>
            <w:vAlign w:val="center"/>
          </w:tcPr>
          <w:p w:rsidR="00EE4502" w:rsidRDefault="00FD45A3">
            <w:pPr>
              <w:widowControl/>
              <w:tabs>
                <w:tab w:val="left" w:pos="377"/>
              </w:tabs>
              <w:jc w:val="center"/>
              <w:rPr>
                <w:szCs w:val="21"/>
              </w:rPr>
            </w:pPr>
            <w:r>
              <w:rPr>
                <w:rFonts w:hint="eastAsia"/>
                <w:szCs w:val="21"/>
              </w:rPr>
              <w:t>介质</w:t>
            </w:r>
          </w:p>
        </w:tc>
        <w:tc>
          <w:tcPr>
            <w:tcW w:w="677" w:type="pct"/>
            <w:tcMar>
              <w:top w:w="0" w:type="dxa"/>
              <w:left w:w="108" w:type="dxa"/>
              <w:bottom w:w="10" w:type="dxa"/>
              <w:right w:w="118" w:type="dxa"/>
            </w:tcMar>
            <w:vAlign w:val="center"/>
          </w:tcPr>
          <w:p w:rsidR="00EE4502" w:rsidRDefault="00FD45A3">
            <w:pPr>
              <w:widowControl/>
              <w:tabs>
                <w:tab w:val="left" w:pos="377"/>
              </w:tabs>
              <w:jc w:val="center"/>
              <w:rPr>
                <w:szCs w:val="21"/>
              </w:rPr>
            </w:pPr>
            <w:r>
              <w:rPr>
                <w:rFonts w:hint="eastAsia"/>
                <w:szCs w:val="21"/>
              </w:rPr>
              <w:t>压力</w:t>
            </w:r>
          </w:p>
        </w:tc>
        <w:tc>
          <w:tcPr>
            <w:tcW w:w="632" w:type="pct"/>
            <w:tcMar>
              <w:top w:w="0" w:type="dxa"/>
              <w:left w:w="108" w:type="dxa"/>
              <w:bottom w:w="10" w:type="dxa"/>
              <w:right w:w="118" w:type="dxa"/>
            </w:tcMar>
            <w:vAlign w:val="center"/>
          </w:tcPr>
          <w:p w:rsidR="00EE4502" w:rsidRDefault="00FD45A3">
            <w:pPr>
              <w:widowControl/>
              <w:tabs>
                <w:tab w:val="left" w:pos="377"/>
              </w:tabs>
              <w:jc w:val="center"/>
              <w:rPr>
                <w:szCs w:val="21"/>
              </w:rPr>
            </w:pPr>
            <w:r>
              <w:rPr>
                <w:rFonts w:hint="eastAsia"/>
                <w:szCs w:val="21"/>
              </w:rPr>
              <w:t>时间</w:t>
            </w:r>
          </w:p>
        </w:tc>
        <w:tc>
          <w:tcPr>
            <w:tcW w:w="703" w:type="pct"/>
            <w:tcMar>
              <w:top w:w="0" w:type="dxa"/>
              <w:left w:w="108" w:type="dxa"/>
              <w:bottom w:w="10" w:type="dxa"/>
              <w:right w:w="118" w:type="dxa"/>
            </w:tcMar>
            <w:vAlign w:val="center"/>
          </w:tcPr>
          <w:p w:rsidR="00EE4502" w:rsidRDefault="00FD45A3">
            <w:pPr>
              <w:widowControl/>
              <w:tabs>
                <w:tab w:val="left" w:pos="377"/>
              </w:tabs>
              <w:jc w:val="center"/>
              <w:rPr>
                <w:szCs w:val="21"/>
              </w:rPr>
            </w:pPr>
            <w:r>
              <w:rPr>
                <w:rFonts w:hint="eastAsia"/>
                <w:szCs w:val="21"/>
              </w:rPr>
              <w:t>允许压降</w:t>
            </w:r>
          </w:p>
        </w:tc>
      </w:tr>
      <w:tr w:rsidR="00EE4502">
        <w:trPr>
          <w:trHeight w:val="397"/>
          <w:tblHeader/>
          <w:jc w:val="center"/>
        </w:trPr>
        <w:tc>
          <w:tcPr>
            <w:tcW w:w="424" w:type="pct"/>
            <w:vMerge/>
            <w:vAlign w:val="center"/>
          </w:tcPr>
          <w:p w:rsidR="00EE4502" w:rsidRDefault="00EE4502">
            <w:pPr>
              <w:widowControl/>
              <w:tabs>
                <w:tab w:val="left" w:pos="377"/>
              </w:tabs>
              <w:jc w:val="center"/>
              <w:rPr>
                <w:szCs w:val="21"/>
              </w:rPr>
            </w:pPr>
          </w:p>
        </w:tc>
        <w:tc>
          <w:tcPr>
            <w:tcW w:w="1109" w:type="pct"/>
            <w:vMerge/>
            <w:vAlign w:val="center"/>
          </w:tcPr>
          <w:p w:rsidR="00EE4502" w:rsidRDefault="00EE4502">
            <w:pPr>
              <w:widowControl/>
              <w:tabs>
                <w:tab w:val="left" w:pos="377"/>
              </w:tabs>
              <w:jc w:val="center"/>
              <w:rPr>
                <w:szCs w:val="21"/>
              </w:rPr>
            </w:pPr>
          </w:p>
        </w:tc>
        <w:tc>
          <w:tcPr>
            <w:tcW w:w="1026" w:type="pct"/>
            <w:vMerge/>
            <w:vAlign w:val="center"/>
          </w:tcPr>
          <w:p w:rsidR="00EE4502" w:rsidRDefault="00EE4502">
            <w:pPr>
              <w:widowControl/>
              <w:tabs>
                <w:tab w:val="left" w:pos="377"/>
              </w:tabs>
              <w:jc w:val="center"/>
              <w:rPr>
                <w:szCs w:val="21"/>
              </w:rPr>
            </w:pPr>
          </w:p>
        </w:tc>
        <w:tc>
          <w:tcPr>
            <w:tcW w:w="425" w:type="pct"/>
            <w:vMerge/>
            <w:vAlign w:val="center"/>
          </w:tcPr>
          <w:p w:rsidR="00EE4502" w:rsidRDefault="00EE4502">
            <w:pPr>
              <w:widowControl/>
              <w:tabs>
                <w:tab w:val="left" w:pos="377"/>
              </w:tabs>
              <w:jc w:val="center"/>
              <w:rPr>
                <w:szCs w:val="21"/>
              </w:rPr>
            </w:pPr>
          </w:p>
        </w:tc>
        <w:tc>
          <w:tcPr>
            <w:tcW w:w="677" w:type="pct"/>
            <w:tcMar>
              <w:top w:w="0" w:type="dxa"/>
              <w:left w:w="108" w:type="dxa"/>
              <w:bottom w:w="10" w:type="dxa"/>
              <w:right w:w="118" w:type="dxa"/>
            </w:tcMar>
            <w:vAlign w:val="center"/>
          </w:tcPr>
          <w:p w:rsidR="00EE4502" w:rsidRDefault="00FD45A3">
            <w:pPr>
              <w:widowControl/>
              <w:tabs>
                <w:tab w:val="left" w:pos="377"/>
              </w:tabs>
              <w:jc w:val="center"/>
              <w:rPr>
                <w:szCs w:val="21"/>
              </w:rPr>
            </w:pPr>
            <w:r>
              <w:rPr>
                <w:rFonts w:hint="eastAsia"/>
                <w:szCs w:val="21"/>
                <w:lang w:eastAsia="en-US"/>
              </w:rPr>
              <w:t>（</w:t>
            </w:r>
            <w:r>
              <w:rPr>
                <w:rFonts w:hint="eastAsia"/>
                <w:szCs w:val="21"/>
                <w:lang w:eastAsia="en-US"/>
              </w:rPr>
              <w:t>MPa</w:t>
            </w:r>
            <w:r>
              <w:rPr>
                <w:rFonts w:hint="eastAsia"/>
                <w:szCs w:val="21"/>
              </w:rPr>
              <w:t>)</w:t>
            </w:r>
          </w:p>
        </w:tc>
        <w:tc>
          <w:tcPr>
            <w:tcW w:w="632" w:type="pct"/>
            <w:tcMar>
              <w:top w:w="0" w:type="dxa"/>
              <w:left w:w="108" w:type="dxa"/>
              <w:bottom w:w="10" w:type="dxa"/>
              <w:right w:w="118" w:type="dxa"/>
            </w:tcMar>
            <w:vAlign w:val="center"/>
          </w:tcPr>
          <w:p w:rsidR="00EE4502" w:rsidRDefault="00FD45A3">
            <w:pPr>
              <w:widowControl/>
              <w:tabs>
                <w:tab w:val="left" w:pos="377"/>
              </w:tabs>
              <w:jc w:val="center"/>
              <w:rPr>
                <w:szCs w:val="21"/>
              </w:rPr>
            </w:pPr>
            <w:r>
              <w:rPr>
                <w:rFonts w:hint="eastAsia"/>
                <w:szCs w:val="21"/>
                <w:lang w:eastAsia="en-US"/>
              </w:rPr>
              <w:t>（</w:t>
            </w:r>
            <w:r>
              <w:rPr>
                <w:rFonts w:hint="eastAsia"/>
                <w:szCs w:val="21"/>
                <w:lang w:eastAsia="en-US"/>
              </w:rPr>
              <w:t>min</w:t>
            </w:r>
            <w:r>
              <w:rPr>
                <w:rFonts w:hint="eastAsia"/>
                <w:szCs w:val="21"/>
              </w:rPr>
              <w:t>)</w:t>
            </w:r>
          </w:p>
        </w:tc>
        <w:tc>
          <w:tcPr>
            <w:tcW w:w="703" w:type="pct"/>
            <w:tcMar>
              <w:top w:w="0" w:type="dxa"/>
              <w:left w:w="108" w:type="dxa"/>
              <w:bottom w:w="10" w:type="dxa"/>
              <w:right w:w="118" w:type="dxa"/>
            </w:tcMar>
            <w:vAlign w:val="center"/>
          </w:tcPr>
          <w:p w:rsidR="00EE4502" w:rsidRDefault="00FD45A3">
            <w:pPr>
              <w:widowControl/>
              <w:tabs>
                <w:tab w:val="left" w:pos="377"/>
              </w:tabs>
              <w:jc w:val="center"/>
              <w:rPr>
                <w:szCs w:val="21"/>
              </w:rPr>
            </w:pPr>
            <w:r>
              <w:rPr>
                <w:rFonts w:hint="eastAsia"/>
                <w:szCs w:val="21"/>
                <w:lang w:eastAsia="en-US"/>
              </w:rPr>
              <w:t>（</w:t>
            </w:r>
            <w:r>
              <w:rPr>
                <w:rFonts w:hint="eastAsia"/>
                <w:szCs w:val="21"/>
                <w:lang w:eastAsia="en-US"/>
              </w:rPr>
              <w:t>MPa</w:t>
            </w:r>
            <w:r>
              <w:rPr>
                <w:rFonts w:hint="eastAsia"/>
                <w:szCs w:val="21"/>
              </w:rPr>
              <w:t>)</w:t>
            </w:r>
          </w:p>
        </w:tc>
      </w:tr>
      <w:tr w:rsidR="00EE4502">
        <w:trPr>
          <w:trHeight w:val="397"/>
          <w:jc w:val="center"/>
        </w:trPr>
        <w:tc>
          <w:tcPr>
            <w:tcW w:w="424" w:type="pct"/>
            <w:tcMar>
              <w:top w:w="10" w:type="dxa"/>
              <w:left w:w="118" w:type="dxa"/>
              <w:bottom w:w="10" w:type="dxa"/>
              <w:right w:w="118" w:type="dxa"/>
            </w:tcMar>
            <w:vAlign w:val="center"/>
          </w:tcPr>
          <w:p w:rsidR="00EE4502" w:rsidRDefault="00FD45A3">
            <w:pPr>
              <w:widowControl/>
              <w:tabs>
                <w:tab w:val="left" w:pos="377"/>
              </w:tabs>
              <w:jc w:val="center"/>
              <w:rPr>
                <w:szCs w:val="21"/>
              </w:rPr>
            </w:pPr>
            <w:r>
              <w:rPr>
                <w:rFonts w:hint="eastAsia"/>
                <w:szCs w:val="21"/>
              </w:rPr>
              <w:t>二开</w:t>
            </w:r>
          </w:p>
        </w:tc>
        <w:tc>
          <w:tcPr>
            <w:tcW w:w="1109" w:type="pct"/>
            <w:tcMar>
              <w:top w:w="10" w:type="dxa"/>
              <w:left w:w="118" w:type="dxa"/>
              <w:bottom w:w="10" w:type="dxa"/>
              <w:right w:w="118" w:type="dxa"/>
            </w:tcMar>
            <w:vAlign w:val="center"/>
          </w:tcPr>
          <w:p w:rsidR="00EE4502" w:rsidRDefault="00FD45A3">
            <w:pPr>
              <w:widowControl/>
              <w:tabs>
                <w:tab w:val="left" w:pos="377"/>
              </w:tabs>
              <w:jc w:val="center"/>
              <w:rPr>
                <w:szCs w:val="21"/>
              </w:rPr>
            </w:pPr>
            <w:r>
              <w:rPr>
                <w:rFonts w:hint="eastAsia"/>
                <w:szCs w:val="21"/>
              </w:rPr>
              <w:t>双闸板（套管头）</w:t>
            </w:r>
          </w:p>
        </w:tc>
        <w:tc>
          <w:tcPr>
            <w:tcW w:w="1026" w:type="pct"/>
            <w:tcMar>
              <w:top w:w="10" w:type="dxa"/>
              <w:left w:w="118" w:type="dxa"/>
              <w:bottom w:w="10" w:type="dxa"/>
              <w:right w:w="118" w:type="dxa"/>
            </w:tcMar>
            <w:vAlign w:val="center"/>
          </w:tcPr>
          <w:p w:rsidR="00EE4502" w:rsidRDefault="00FD45A3">
            <w:pPr>
              <w:widowControl/>
              <w:tabs>
                <w:tab w:val="left" w:pos="377"/>
              </w:tabs>
              <w:jc w:val="center"/>
              <w:rPr>
                <w:szCs w:val="21"/>
              </w:rPr>
            </w:pPr>
            <w:r>
              <w:rPr>
                <w:rFonts w:hint="eastAsia"/>
                <w:szCs w:val="21"/>
              </w:rPr>
              <w:t>2FZ28-21</w:t>
            </w:r>
          </w:p>
        </w:tc>
        <w:tc>
          <w:tcPr>
            <w:tcW w:w="425" w:type="pct"/>
            <w:tcMar>
              <w:top w:w="10" w:type="dxa"/>
              <w:left w:w="118" w:type="dxa"/>
              <w:bottom w:w="10" w:type="dxa"/>
              <w:right w:w="118" w:type="dxa"/>
            </w:tcMar>
            <w:vAlign w:val="center"/>
          </w:tcPr>
          <w:p w:rsidR="00EE4502" w:rsidRDefault="00FD45A3">
            <w:pPr>
              <w:widowControl/>
              <w:tabs>
                <w:tab w:val="left" w:pos="377"/>
              </w:tabs>
              <w:jc w:val="center"/>
              <w:rPr>
                <w:szCs w:val="21"/>
              </w:rPr>
            </w:pPr>
            <w:r>
              <w:rPr>
                <w:rFonts w:hint="eastAsia"/>
                <w:szCs w:val="21"/>
              </w:rPr>
              <w:t>清水</w:t>
            </w:r>
          </w:p>
        </w:tc>
        <w:tc>
          <w:tcPr>
            <w:tcW w:w="677" w:type="pct"/>
            <w:tcMar>
              <w:top w:w="10" w:type="dxa"/>
              <w:left w:w="118" w:type="dxa"/>
              <w:bottom w:w="10" w:type="dxa"/>
              <w:right w:w="118" w:type="dxa"/>
            </w:tcMar>
            <w:vAlign w:val="center"/>
          </w:tcPr>
          <w:p w:rsidR="00EE4502" w:rsidRDefault="00FD45A3">
            <w:pPr>
              <w:widowControl/>
              <w:tabs>
                <w:tab w:val="left" w:pos="377"/>
              </w:tabs>
              <w:jc w:val="center"/>
              <w:rPr>
                <w:szCs w:val="21"/>
              </w:rPr>
            </w:pPr>
            <w:r>
              <w:rPr>
                <w:rFonts w:hint="eastAsia"/>
                <w:szCs w:val="21"/>
              </w:rPr>
              <w:t>14</w:t>
            </w:r>
          </w:p>
        </w:tc>
        <w:tc>
          <w:tcPr>
            <w:tcW w:w="632" w:type="pct"/>
            <w:tcMar>
              <w:top w:w="10" w:type="dxa"/>
              <w:left w:w="118" w:type="dxa"/>
              <w:bottom w:w="10" w:type="dxa"/>
              <w:right w:w="118" w:type="dxa"/>
            </w:tcMar>
            <w:vAlign w:val="center"/>
          </w:tcPr>
          <w:p w:rsidR="00EE4502" w:rsidRDefault="00FD45A3">
            <w:pPr>
              <w:widowControl/>
              <w:tabs>
                <w:tab w:val="left" w:pos="377"/>
              </w:tabs>
              <w:jc w:val="center"/>
              <w:rPr>
                <w:szCs w:val="21"/>
              </w:rPr>
            </w:pPr>
            <w:r>
              <w:rPr>
                <w:rFonts w:hint="eastAsia"/>
                <w:szCs w:val="21"/>
              </w:rPr>
              <w:t>≥</w:t>
            </w:r>
            <w:r>
              <w:rPr>
                <w:rFonts w:hint="eastAsia"/>
                <w:szCs w:val="21"/>
              </w:rPr>
              <w:t>10</w:t>
            </w:r>
          </w:p>
        </w:tc>
        <w:tc>
          <w:tcPr>
            <w:tcW w:w="703" w:type="pct"/>
            <w:tcMar>
              <w:top w:w="10" w:type="dxa"/>
              <w:left w:w="118" w:type="dxa"/>
              <w:bottom w:w="10" w:type="dxa"/>
              <w:right w:w="118" w:type="dxa"/>
            </w:tcMar>
            <w:vAlign w:val="center"/>
          </w:tcPr>
          <w:p w:rsidR="00EE4502" w:rsidRDefault="00FD45A3">
            <w:pPr>
              <w:widowControl/>
              <w:tabs>
                <w:tab w:val="left" w:pos="377"/>
              </w:tabs>
              <w:jc w:val="center"/>
              <w:rPr>
                <w:szCs w:val="21"/>
              </w:rPr>
            </w:pPr>
            <w:r>
              <w:rPr>
                <w:rFonts w:hint="eastAsia"/>
                <w:szCs w:val="21"/>
              </w:rPr>
              <w:t>≤</w:t>
            </w:r>
            <w:r>
              <w:rPr>
                <w:rFonts w:hint="eastAsia"/>
                <w:szCs w:val="21"/>
              </w:rPr>
              <w:t>0.7</w:t>
            </w:r>
          </w:p>
        </w:tc>
      </w:tr>
      <w:tr w:rsidR="00EE4502">
        <w:trPr>
          <w:trHeight w:val="397"/>
          <w:jc w:val="center"/>
        </w:trPr>
        <w:tc>
          <w:tcPr>
            <w:tcW w:w="424" w:type="pct"/>
            <w:tcMar>
              <w:top w:w="10" w:type="dxa"/>
              <w:left w:w="118" w:type="dxa"/>
              <w:bottom w:w="10" w:type="dxa"/>
              <w:right w:w="118" w:type="dxa"/>
            </w:tcMar>
            <w:vAlign w:val="center"/>
          </w:tcPr>
          <w:p w:rsidR="00EE4502" w:rsidRDefault="00FD45A3">
            <w:pPr>
              <w:widowControl/>
              <w:tabs>
                <w:tab w:val="left" w:pos="377"/>
              </w:tabs>
              <w:jc w:val="center"/>
              <w:rPr>
                <w:szCs w:val="21"/>
              </w:rPr>
            </w:pPr>
            <w:r>
              <w:rPr>
                <w:rFonts w:hint="eastAsia"/>
                <w:szCs w:val="21"/>
              </w:rPr>
              <w:t>二开</w:t>
            </w:r>
          </w:p>
        </w:tc>
        <w:tc>
          <w:tcPr>
            <w:tcW w:w="1109" w:type="pct"/>
            <w:tcMar>
              <w:top w:w="10" w:type="dxa"/>
              <w:left w:w="118" w:type="dxa"/>
              <w:bottom w:w="10" w:type="dxa"/>
              <w:right w:w="118" w:type="dxa"/>
            </w:tcMar>
            <w:vAlign w:val="center"/>
          </w:tcPr>
          <w:p w:rsidR="00EE4502" w:rsidRDefault="00FD45A3">
            <w:pPr>
              <w:widowControl/>
              <w:tabs>
                <w:tab w:val="left" w:pos="377"/>
              </w:tabs>
              <w:jc w:val="center"/>
              <w:rPr>
                <w:szCs w:val="21"/>
              </w:rPr>
            </w:pPr>
            <w:r>
              <w:rPr>
                <w:rFonts w:hint="eastAsia"/>
                <w:szCs w:val="21"/>
              </w:rPr>
              <w:t>节流压井管汇（内防喷管线）</w:t>
            </w:r>
          </w:p>
        </w:tc>
        <w:tc>
          <w:tcPr>
            <w:tcW w:w="1026" w:type="pct"/>
            <w:tcMar>
              <w:top w:w="10" w:type="dxa"/>
              <w:left w:w="118" w:type="dxa"/>
              <w:bottom w:w="10" w:type="dxa"/>
              <w:right w:w="118" w:type="dxa"/>
            </w:tcMar>
            <w:vAlign w:val="center"/>
          </w:tcPr>
          <w:p w:rsidR="00EE4502" w:rsidRDefault="00FD45A3">
            <w:pPr>
              <w:widowControl/>
              <w:tabs>
                <w:tab w:val="left" w:pos="377"/>
              </w:tabs>
              <w:jc w:val="center"/>
              <w:rPr>
                <w:szCs w:val="21"/>
              </w:rPr>
            </w:pPr>
            <w:r>
              <w:rPr>
                <w:rFonts w:hint="eastAsia"/>
                <w:szCs w:val="21"/>
              </w:rPr>
              <w:t>JG-S-21/YG-21</w:t>
            </w:r>
          </w:p>
        </w:tc>
        <w:tc>
          <w:tcPr>
            <w:tcW w:w="425" w:type="pct"/>
            <w:tcMar>
              <w:top w:w="10" w:type="dxa"/>
              <w:left w:w="118" w:type="dxa"/>
              <w:bottom w:w="10" w:type="dxa"/>
              <w:right w:w="118" w:type="dxa"/>
            </w:tcMar>
            <w:vAlign w:val="center"/>
          </w:tcPr>
          <w:p w:rsidR="00EE4502" w:rsidRDefault="00FD45A3">
            <w:pPr>
              <w:widowControl/>
              <w:tabs>
                <w:tab w:val="left" w:pos="377"/>
              </w:tabs>
              <w:jc w:val="center"/>
              <w:rPr>
                <w:szCs w:val="21"/>
              </w:rPr>
            </w:pPr>
            <w:r>
              <w:rPr>
                <w:rFonts w:hint="eastAsia"/>
                <w:szCs w:val="21"/>
              </w:rPr>
              <w:t>清水</w:t>
            </w:r>
          </w:p>
        </w:tc>
        <w:tc>
          <w:tcPr>
            <w:tcW w:w="677" w:type="pct"/>
            <w:tcMar>
              <w:top w:w="10" w:type="dxa"/>
              <w:left w:w="118" w:type="dxa"/>
              <w:bottom w:w="10" w:type="dxa"/>
              <w:right w:w="118" w:type="dxa"/>
            </w:tcMar>
            <w:vAlign w:val="center"/>
          </w:tcPr>
          <w:p w:rsidR="00EE4502" w:rsidRDefault="00FD45A3">
            <w:pPr>
              <w:widowControl/>
              <w:tabs>
                <w:tab w:val="left" w:pos="377"/>
              </w:tabs>
              <w:jc w:val="center"/>
              <w:rPr>
                <w:szCs w:val="21"/>
              </w:rPr>
            </w:pPr>
            <w:r>
              <w:rPr>
                <w:rFonts w:hint="eastAsia"/>
                <w:szCs w:val="21"/>
              </w:rPr>
              <w:t>14</w:t>
            </w:r>
          </w:p>
        </w:tc>
        <w:tc>
          <w:tcPr>
            <w:tcW w:w="632" w:type="pct"/>
            <w:tcMar>
              <w:top w:w="10" w:type="dxa"/>
              <w:left w:w="118" w:type="dxa"/>
              <w:bottom w:w="10" w:type="dxa"/>
              <w:right w:w="118" w:type="dxa"/>
            </w:tcMar>
            <w:vAlign w:val="center"/>
          </w:tcPr>
          <w:p w:rsidR="00EE4502" w:rsidRDefault="00FD45A3">
            <w:pPr>
              <w:widowControl/>
              <w:tabs>
                <w:tab w:val="left" w:pos="377"/>
              </w:tabs>
              <w:jc w:val="center"/>
              <w:rPr>
                <w:szCs w:val="21"/>
              </w:rPr>
            </w:pPr>
            <w:r>
              <w:rPr>
                <w:rFonts w:hint="eastAsia"/>
                <w:szCs w:val="21"/>
              </w:rPr>
              <w:t>≥</w:t>
            </w:r>
            <w:r>
              <w:rPr>
                <w:rFonts w:hint="eastAsia"/>
                <w:szCs w:val="21"/>
              </w:rPr>
              <w:t>10</w:t>
            </w:r>
          </w:p>
        </w:tc>
        <w:tc>
          <w:tcPr>
            <w:tcW w:w="703" w:type="pct"/>
            <w:tcMar>
              <w:top w:w="10" w:type="dxa"/>
              <w:left w:w="118" w:type="dxa"/>
              <w:bottom w:w="10" w:type="dxa"/>
              <w:right w:w="118" w:type="dxa"/>
            </w:tcMar>
            <w:vAlign w:val="center"/>
          </w:tcPr>
          <w:p w:rsidR="00EE4502" w:rsidRDefault="00FD45A3">
            <w:pPr>
              <w:widowControl/>
              <w:tabs>
                <w:tab w:val="left" w:pos="377"/>
              </w:tabs>
              <w:jc w:val="center"/>
              <w:rPr>
                <w:szCs w:val="21"/>
              </w:rPr>
            </w:pPr>
            <w:r>
              <w:rPr>
                <w:rFonts w:hint="eastAsia"/>
                <w:szCs w:val="21"/>
              </w:rPr>
              <w:t>≤</w:t>
            </w:r>
            <w:r>
              <w:rPr>
                <w:rFonts w:hint="eastAsia"/>
                <w:szCs w:val="21"/>
              </w:rPr>
              <w:t>0.7</w:t>
            </w:r>
          </w:p>
        </w:tc>
      </w:tr>
      <w:tr w:rsidR="00EE4502">
        <w:trPr>
          <w:trHeight w:val="397"/>
          <w:jc w:val="center"/>
        </w:trPr>
        <w:tc>
          <w:tcPr>
            <w:tcW w:w="424" w:type="pct"/>
            <w:tcMar>
              <w:top w:w="10" w:type="dxa"/>
              <w:left w:w="118" w:type="dxa"/>
              <w:bottom w:w="10" w:type="dxa"/>
              <w:right w:w="118" w:type="dxa"/>
            </w:tcMar>
            <w:vAlign w:val="center"/>
          </w:tcPr>
          <w:p w:rsidR="00EE4502" w:rsidRDefault="00FD45A3">
            <w:pPr>
              <w:widowControl/>
              <w:tabs>
                <w:tab w:val="left" w:pos="377"/>
              </w:tabs>
              <w:jc w:val="center"/>
              <w:rPr>
                <w:szCs w:val="21"/>
              </w:rPr>
            </w:pPr>
            <w:r>
              <w:rPr>
                <w:rFonts w:hint="eastAsia"/>
                <w:szCs w:val="21"/>
              </w:rPr>
              <w:t>三开</w:t>
            </w:r>
          </w:p>
        </w:tc>
        <w:tc>
          <w:tcPr>
            <w:tcW w:w="1109" w:type="pct"/>
            <w:tcMar>
              <w:top w:w="10" w:type="dxa"/>
              <w:left w:w="118" w:type="dxa"/>
              <w:bottom w:w="10" w:type="dxa"/>
              <w:right w:w="118" w:type="dxa"/>
            </w:tcMar>
            <w:vAlign w:val="center"/>
          </w:tcPr>
          <w:p w:rsidR="00EE4502" w:rsidRDefault="00FD45A3">
            <w:pPr>
              <w:widowControl/>
              <w:tabs>
                <w:tab w:val="left" w:pos="377"/>
              </w:tabs>
              <w:jc w:val="center"/>
              <w:rPr>
                <w:szCs w:val="21"/>
              </w:rPr>
            </w:pPr>
            <w:r>
              <w:rPr>
                <w:rFonts w:hint="eastAsia"/>
                <w:szCs w:val="21"/>
              </w:rPr>
              <w:t>双闸板（套管头）</w:t>
            </w:r>
          </w:p>
        </w:tc>
        <w:tc>
          <w:tcPr>
            <w:tcW w:w="1026" w:type="pct"/>
            <w:tcMar>
              <w:top w:w="10" w:type="dxa"/>
              <w:left w:w="118" w:type="dxa"/>
              <w:bottom w:w="10" w:type="dxa"/>
              <w:right w:w="118" w:type="dxa"/>
            </w:tcMar>
            <w:vAlign w:val="center"/>
          </w:tcPr>
          <w:p w:rsidR="00EE4502" w:rsidRDefault="00FD45A3">
            <w:pPr>
              <w:widowControl/>
              <w:tabs>
                <w:tab w:val="left" w:pos="377"/>
              </w:tabs>
              <w:jc w:val="center"/>
              <w:rPr>
                <w:szCs w:val="21"/>
              </w:rPr>
            </w:pPr>
            <w:r>
              <w:rPr>
                <w:rFonts w:hint="eastAsia"/>
                <w:szCs w:val="21"/>
              </w:rPr>
              <w:t>2FZ28-21</w:t>
            </w:r>
          </w:p>
        </w:tc>
        <w:tc>
          <w:tcPr>
            <w:tcW w:w="425" w:type="pct"/>
            <w:tcMar>
              <w:top w:w="10" w:type="dxa"/>
              <w:left w:w="118" w:type="dxa"/>
              <w:bottom w:w="10" w:type="dxa"/>
              <w:right w:w="118" w:type="dxa"/>
            </w:tcMar>
            <w:vAlign w:val="center"/>
          </w:tcPr>
          <w:p w:rsidR="00EE4502" w:rsidRDefault="00FD45A3">
            <w:pPr>
              <w:widowControl/>
              <w:tabs>
                <w:tab w:val="left" w:pos="377"/>
              </w:tabs>
              <w:jc w:val="center"/>
              <w:rPr>
                <w:szCs w:val="21"/>
              </w:rPr>
            </w:pPr>
            <w:r>
              <w:rPr>
                <w:rFonts w:hint="eastAsia"/>
                <w:szCs w:val="21"/>
              </w:rPr>
              <w:t>清水</w:t>
            </w:r>
          </w:p>
        </w:tc>
        <w:tc>
          <w:tcPr>
            <w:tcW w:w="677" w:type="pct"/>
            <w:tcMar>
              <w:top w:w="10" w:type="dxa"/>
              <w:left w:w="118" w:type="dxa"/>
              <w:bottom w:w="10" w:type="dxa"/>
              <w:right w:w="118" w:type="dxa"/>
            </w:tcMar>
            <w:vAlign w:val="center"/>
          </w:tcPr>
          <w:p w:rsidR="00EE4502" w:rsidRDefault="00FD45A3">
            <w:pPr>
              <w:widowControl/>
              <w:tabs>
                <w:tab w:val="left" w:pos="377"/>
              </w:tabs>
              <w:jc w:val="center"/>
              <w:rPr>
                <w:szCs w:val="21"/>
              </w:rPr>
            </w:pPr>
            <w:r>
              <w:rPr>
                <w:rFonts w:hint="eastAsia"/>
                <w:szCs w:val="21"/>
              </w:rPr>
              <w:t>21</w:t>
            </w:r>
          </w:p>
        </w:tc>
        <w:tc>
          <w:tcPr>
            <w:tcW w:w="632" w:type="pct"/>
            <w:tcMar>
              <w:top w:w="10" w:type="dxa"/>
              <w:left w:w="118" w:type="dxa"/>
              <w:bottom w:w="10" w:type="dxa"/>
              <w:right w:w="118" w:type="dxa"/>
            </w:tcMar>
            <w:vAlign w:val="center"/>
          </w:tcPr>
          <w:p w:rsidR="00EE4502" w:rsidRDefault="00FD45A3">
            <w:pPr>
              <w:widowControl/>
              <w:tabs>
                <w:tab w:val="left" w:pos="377"/>
              </w:tabs>
              <w:jc w:val="center"/>
              <w:rPr>
                <w:szCs w:val="21"/>
              </w:rPr>
            </w:pPr>
            <w:r>
              <w:rPr>
                <w:rFonts w:hint="eastAsia"/>
                <w:szCs w:val="21"/>
              </w:rPr>
              <w:t>≥</w:t>
            </w:r>
            <w:r>
              <w:rPr>
                <w:rFonts w:hint="eastAsia"/>
                <w:szCs w:val="21"/>
              </w:rPr>
              <w:t>10</w:t>
            </w:r>
          </w:p>
        </w:tc>
        <w:tc>
          <w:tcPr>
            <w:tcW w:w="703" w:type="pct"/>
            <w:tcMar>
              <w:top w:w="10" w:type="dxa"/>
              <w:left w:w="118" w:type="dxa"/>
              <w:bottom w:w="10" w:type="dxa"/>
              <w:right w:w="118" w:type="dxa"/>
            </w:tcMar>
            <w:vAlign w:val="center"/>
          </w:tcPr>
          <w:p w:rsidR="00EE4502" w:rsidRDefault="00FD45A3">
            <w:pPr>
              <w:widowControl/>
              <w:tabs>
                <w:tab w:val="left" w:pos="377"/>
              </w:tabs>
              <w:jc w:val="center"/>
              <w:rPr>
                <w:szCs w:val="21"/>
              </w:rPr>
            </w:pPr>
            <w:r>
              <w:rPr>
                <w:rFonts w:hint="eastAsia"/>
                <w:szCs w:val="21"/>
              </w:rPr>
              <w:t>≤</w:t>
            </w:r>
            <w:r>
              <w:rPr>
                <w:rFonts w:hint="eastAsia"/>
                <w:szCs w:val="21"/>
              </w:rPr>
              <w:t>0.7</w:t>
            </w:r>
          </w:p>
        </w:tc>
      </w:tr>
      <w:tr w:rsidR="00EE4502">
        <w:trPr>
          <w:trHeight w:val="397"/>
          <w:jc w:val="center"/>
        </w:trPr>
        <w:tc>
          <w:tcPr>
            <w:tcW w:w="424" w:type="pct"/>
            <w:tcMar>
              <w:top w:w="10" w:type="dxa"/>
              <w:left w:w="118" w:type="dxa"/>
              <w:bottom w:w="10" w:type="dxa"/>
              <w:right w:w="118" w:type="dxa"/>
            </w:tcMar>
            <w:vAlign w:val="center"/>
          </w:tcPr>
          <w:p w:rsidR="00EE4502" w:rsidRDefault="00FD45A3">
            <w:pPr>
              <w:widowControl/>
              <w:tabs>
                <w:tab w:val="left" w:pos="377"/>
              </w:tabs>
              <w:jc w:val="center"/>
              <w:rPr>
                <w:szCs w:val="21"/>
              </w:rPr>
            </w:pPr>
            <w:r>
              <w:rPr>
                <w:rFonts w:hint="eastAsia"/>
                <w:szCs w:val="21"/>
              </w:rPr>
              <w:t>三开</w:t>
            </w:r>
          </w:p>
        </w:tc>
        <w:tc>
          <w:tcPr>
            <w:tcW w:w="1109" w:type="pct"/>
            <w:tcMar>
              <w:top w:w="10" w:type="dxa"/>
              <w:left w:w="118" w:type="dxa"/>
              <w:bottom w:w="10" w:type="dxa"/>
              <w:right w:w="118" w:type="dxa"/>
            </w:tcMar>
            <w:vAlign w:val="center"/>
          </w:tcPr>
          <w:p w:rsidR="00EE4502" w:rsidRDefault="00FD45A3">
            <w:pPr>
              <w:widowControl/>
              <w:tabs>
                <w:tab w:val="left" w:pos="377"/>
              </w:tabs>
              <w:jc w:val="center"/>
              <w:rPr>
                <w:szCs w:val="21"/>
              </w:rPr>
            </w:pPr>
            <w:r>
              <w:rPr>
                <w:rFonts w:hint="eastAsia"/>
                <w:szCs w:val="21"/>
              </w:rPr>
              <w:t>节流压井管汇（内防喷管线）</w:t>
            </w:r>
          </w:p>
        </w:tc>
        <w:tc>
          <w:tcPr>
            <w:tcW w:w="1026" w:type="pct"/>
            <w:tcMar>
              <w:top w:w="10" w:type="dxa"/>
              <w:left w:w="118" w:type="dxa"/>
              <w:bottom w:w="10" w:type="dxa"/>
              <w:right w:w="118" w:type="dxa"/>
            </w:tcMar>
            <w:vAlign w:val="center"/>
          </w:tcPr>
          <w:p w:rsidR="00EE4502" w:rsidRDefault="00FD45A3">
            <w:pPr>
              <w:widowControl/>
              <w:tabs>
                <w:tab w:val="left" w:pos="377"/>
              </w:tabs>
              <w:jc w:val="center"/>
              <w:rPr>
                <w:szCs w:val="21"/>
              </w:rPr>
            </w:pPr>
            <w:r>
              <w:rPr>
                <w:rFonts w:hint="eastAsia"/>
                <w:szCs w:val="21"/>
              </w:rPr>
              <w:t>JG-S-21/YG-21</w:t>
            </w:r>
          </w:p>
        </w:tc>
        <w:tc>
          <w:tcPr>
            <w:tcW w:w="425" w:type="pct"/>
            <w:tcMar>
              <w:top w:w="10" w:type="dxa"/>
              <w:left w:w="118" w:type="dxa"/>
              <w:bottom w:w="10" w:type="dxa"/>
              <w:right w:w="118" w:type="dxa"/>
            </w:tcMar>
            <w:vAlign w:val="center"/>
          </w:tcPr>
          <w:p w:rsidR="00EE4502" w:rsidRDefault="00FD45A3">
            <w:pPr>
              <w:widowControl/>
              <w:tabs>
                <w:tab w:val="left" w:pos="377"/>
              </w:tabs>
              <w:jc w:val="center"/>
              <w:rPr>
                <w:szCs w:val="21"/>
              </w:rPr>
            </w:pPr>
            <w:r>
              <w:rPr>
                <w:rFonts w:hint="eastAsia"/>
                <w:szCs w:val="21"/>
              </w:rPr>
              <w:t>清水</w:t>
            </w:r>
          </w:p>
        </w:tc>
        <w:tc>
          <w:tcPr>
            <w:tcW w:w="677" w:type="pct"/>
            <w:tcMar>
              <w:top w:w="10" w:type="dxa"/>
              <w:left w:w="118" w:type="dxa"/>
              <w:bottom w:w="10" w:type="dxa"/>
              <w:right w:w="118" w:type="dxa"/>
            </w:tcMar>
            <w:vAlign w:val="center"/>
          </w:tcPr>
          <w:p w:rsidR="00EE4502" w:rsidRDefault="00FD45A3">
            <w:pPr>
              <w:widowControl/>
              <w:tabs>
                <w:tab w:val="left" w:pos="377"/>
              </w:tabs>
              <w:jc w:val="center"/>
              <w:rPr>
                <w:szCs w:val="21"/>
              </w:rPr>
            </w:pPr>
            <w:r>
              <w:rPr>
                <w:rFonts w:hint="eastAsia"/>
                <w:szCs w:val="21"/>
              </w:rPr>
              <w:t>21</w:t>
            </w:r>
          </w:p>
        </w:tc>
        <w:tc>
          <w:tcPr>
            <w:tcW w:w="632" w:type="pct"/>
            <w:tcMar>
              <w:top w:w="10" w:type="dxa"/>
              <w:left w:w="118" w:type="dxa"/>
              <w:bottom w:w="10" w:type="dxa"/>
              <w:right w:w="118" w:type="dxa"/>
            </w:tcMar>
            <w:vAlign w:val="center"/>
          </w:tcPr>
          <w:p w:rsidR="00EE4502" w:rsidRDefault="00FD45A3">
            <w:pPr>
              <w:widowControl/>
              <w:tabs>
                <w:tab w:val="left" w:pos="377"/>
              </w:tabs>
              <w:jc w:val="center"/>
              <w:rPr>
                <w:szCs w:val="21"/>
              </w:rPr>
            </w:pPr>
            <w:r>
              <w:rPr>
                <w:rFonts w:hint="eastAsia"/>
                <w:szCs w:val="21"/>
              </w:rPr>
              <w:t>≥</w:t>
            </w:r>
            <w:r>
              <w:rPr>
                <w:rFonts w:hint="eastAsia"/>
                <w:szCs w:val="21"/>
              </w:rPr>
              <w:t>10</w:t>
            </w:r>
          </w:p>
        </w:tc>
        <w:tc>
          <w:tcPr>
            <w:tcW w:w="703" w:type="pct"/>
            <w:tcMar>
              <w:top w:w="10" w:type="dxa"/>
              <w:left w:w="118" w:type="dxa"/>
              <w:bottom w:w="10" w:type="dxa"/>
              <w:right w:w="118" w:type="dxa"/>
            </w:tcMar>
            <w:vAlign w:val="center"/>
          </w:tcPr>
          <w:p w:rsidR="00EE4502" w:rsidRDefault="00FD45A3">
            <w:pPr>
              <w:widowControl/>
              <w:tabs>
                <w:tab w:val="left" w:pos="377"/>
              </w:tabs>
              <w:jc w:val="center"/>
              <w:rPr>
                <w:szCs w:val="21"/>
              </w:rPr>
            </w:pPr>
            <w:r>
              <w:rPr>
                <w:rFonts w:hint="eastAsia"/>
                <w:szCs w:val="21"/>
              </w:rPr>
              <w:t>≤</w:t>
            </w:r>
            <w:r>
              <w:rPr>
                <w:rFonts w:hint="eastAsia"/>
                <w:szCs w:val="21"/>
              </w:rPr>
              <w:t>0.7</w:t>
            </w:r>
          </w:p>
        </w:tc>
      </w:tr>
      <w:tr w:rsidR="00EE4502">
        <w:trPr>
          <w:trHeight w:val="397"/>
          <w:jc w:val="center"/>
        </w:trPr>
        <w:tc>
          <w:tcPr>
            <w:tcW w:w="424" w:type="pct"/>
            <w:tcMar>
              <w:top w:w="10" w:type="dxa"/>
              <w:left w:w="118" w:type="dxa"/>
              <w:bottom w:w="10" w:type="dxa"/>
              <w:right w:w="118" w:type="dxa"/>
            </w:tcMar>
            <w:vAlign w:val="center"/>
          </w:tcPr>
          <w:p w:rsidR="00EE4502" w:rsidRDefault="00FD45A3">
            <w:pPr>
              <w:widowControl/>
              <w:tabs>
                <w:tab w:val="left" w:pos="377"/>
              </w:tabs>
              <w:jc w:val="center"/>
              <w:rPr>
                <w:szCs w:val="21"/>
              </w:rPr>
            </w:pPr>
            <w:r>
              <w:rPr>
                <w:rFonts w:hint="eastAsia"/>
                <w:szCs w:val="21"/>
              </w:rPr>
              <w:t>备注</w:t>
            </w:r>
          </w:p>
        </w:tc>
        <w:tc>
          <w:tcPr>
            <w:tcW w:w="4575" w:type="pct"/>
            <w:gridSpan w:val="6"/>
            <w:tcMar>
              <w:top w:w="10" w:type="dxa"/>
              <w:left w:w="118" w:type="dxa"/>
              <w:bottom w:w="10" w:type="dxa"/>
              <w:right w:w="118" w:type="dxa"/>
            </w:tcMar>
            <w:vAlign w:val="center"/>
          </w:tcPr>
          <w:p w:rsidR="00EE4502" w:rsidRDefault="00FD45A3">
            <w:pPr>
              <w:widowControl/>
              <w:tabs>
                <w:tab w:val="left" w:pos="377"/>
              </w:tabs>
              <w:rPr>
                <w:szCs w:val="21"/>
              </w:rPr>
            </w:pPr>
            <w:r>
              <w:rPr>
                <w:rFonts w:hint="eastAsia"/>
                <w:szCs w:val="21"/>
              </w:rPr>
              <w:t>①全套井控装置在井控车间应进行低压试验，试压值为</w:t>
            </w:r>
            <w:r>
              <w:rPr>
                <w:rFonts w:hint="eastAsia"/>
                <w:szCs w:val="21"/>
              </w:rPr>
              <w:t>1.4MPa-2.1MPa</w:t>
            </w:r>
            <w:r>
              <w:rPr>
                <w:rFonts w:hint="eastAsia"/>
                <w:szCs w:val="21"/>
              </w:rPr>
              <w:t>，稳压时间不少于</w:t>
            </w:r>
            <w:r>
              <w:rPr>
                <w:rFonts w:hint="eastAsia"/>
                <w:szCs w:val="21"/>
              </w:rPr>
              <w:t>10min</w:t>
            </w:r>
            <w:r>
              <w:rPr>
                <w:rFonts w:hint="eastAsia"/>
                <w:szCs w:val="21"/>
              </w:rPr>
              <w:t>，压降不大于</w:t>
            </w:r>
            <w:r>
              <w:rPr>
                <w:rFonts w:hint="eastAsia"/>
                <w:szCs w:val="21"/>
              </w:rPr>
              <w:t>0.07MPa</w:t>
            </w:r>
            <w:r>
              <w:rPr>
                <w:rFonts w:hint="eastAsia"/>
                <w:szCs w:val="21"/>
              </w:rPr>
              <w:t>，在施工现场仅对闸板防喷器进行低压试验。②放喷管线试压值不低于</w:t>
            </w:r>
            <w:r>
              <w:rPr>
                <w:rFonts w:hint="eastAsia"/>
                <w:szCs w:val="21"/>
              </w:rPr>
              <w:t>10MPa</w:t>
            </w:r>
            <w:r>
              <w:rPr>
                <w:rFonts w:hint="eastAsia"/>
                <w:szCs w:val="21"/>
              </w:rPr>
              <w:t>，稳压不少于</w:t>
            </w:r>
            <w:r>
              <w:rPr>
                <w:rFonts w:hint="eastAsia"/>
                <w:szCs w:val="21"/>
              </w:rPr>
              <w:t>10min</w:t>
            </w:r>
            <w:r>
              <w:rPr>
                <w:rFonts w:hint="eastAsia"/>
                <w:szCs w:val="21"/>
              </w:rPr>
              <w:t>，压降不大于</w:t>
            </w:r>
            <w:r>
              <w:rPr>
                <w:rFonts w:hint="eastAsia"/>
                <w:szCs w:val="21"/>
              </w:rPr>
              <w:t>0.7MPa</w:t>
            </w:r>
            <w:r>
              <w:rPr>
                <w:rFonts w:hint="eastAsia"/>
                <w:szCs w:val="21"/>
              </w:rPr>
              <w:t>。③可选用</w:t>
            </w:r>
            <w:r>
              <w:rPr>
                <w:rFonts w:hint="eastAsia"/>
                <w:szCs w:val="21"/>
              </w:rPr>
              <w:t>2FZ35-21</w:t>
            </w:r>
            <w:r>
              <w:rPr>
                <w:rFonts w:hint="eastAsia"/>
                <w:szCs w:val="21"/>
              </w:rPr>
              <w:t>防喷器。</w:t>
            </w:r>
          </w:p>
        </w:tc>
      </w:tr>
      <w:bookmarkEnd w:id="97"/>
    </w:tbl>
    <w:p w:rsidR="00EE4502" w:rsidRDefault="00EE4502">
      <w:pPr>
        <w:spacing w:line="360" w:lineRule="auto"/>
        <w:jc w:val="center"/>
        <w:rPr>
          <w:rFonts w:eastAsia="黑体"/>
          <w:bCs/>
          <w:lang w:val="zh-CN"/>
        </w:rPr>
      </w:pPr>
    </w:p>
    <w:p w:rsidR="00EE4502" w:rsidRDefault="00FD45A3">
      <w:pPr>
        <w:spacing w:line="360" w:lineRule="auto"/>
        <w:jc w:val="center"/>
        <w:rPr>
          <w:rFonts w:eastAsia="黑体"/>
          <w:bCs/>
          <w:lang w:val="zh-CN"/>
        </w:rPr>
      </w:pPr>
      <w:r>
        <w:rPr>
          <w:rFonts w:eastAsia="黑体"/>
          <w:bCs/>
          <w:lang w:val="zh-CN"/>
        </w:rPr>
        <w:t>表</w:t>
      </w:r>
      <w:r>
        <w:rPr>
          <w:rFonts w:eastAsia="黑体" w:hint="eastAsia"/>
          <w:bCs/>
          <w:lang w:val="zh-CN"/>
        </w:rPr>
        <w:t>3-3</w:t>
      </w:r>
      <w:r>
        <w:rPr>
          <w:rFonts w:eastAsia="黑体"/>
          <w:bCs/>
          <w:lang w:val="zh-CN"/>
        </w:rPr>
        <w:t>-</w:t>
      </w:r>
      <w:r>
        <w:rPr>
          <w:rFonts w:eastAsia="黑体" w:hint="eastAsia"/>
          <w:bCs/>
        </w:rPr>
        <w:t>21</w:t>
      </w:r>
      <w:r>
        <w:rPr>
          <w:rFonts w:eastAsia="黑体"/>
          <w:bCs/>
          <w:lang w:val="zh-CN"/>
        </w:rPr>
        <w:t xml:space="preserve">  </w:t>
      </w:r>
      <w:r>
        <w:rPr>
          <w:rFonts w:eastAsia="黑体" w:hint="eastAsia"/>
          <w:bCs/>
          <w:lang w:val="zh-CN"/>
        </w:rPr>
        <w:t>定向井和直井各次开钻井口装置及试压要求</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29"/>
        <w:gridCol w:w="1894"/>
        <w:gridCol w:w="1752"/>
        <w:gridCol w:w="728"/>
        <w:gridCol w:w="1156"/>
        <w:gridCol w:w="1079"/>
        <w:gridCol w:w="1201"/>
      </w:tblGrid>
      <w:tr w:rsidR="00EE4502">
        <w:trPr>
          <w:trHeight w:val="397"/>
          <w:tblHeader/>
          <w:jc w:val="center"/>
        </w:trPr>
        <w:tc>
          <w:tcPr>
            <w:tcW w:w="426" w:type="pct"/>
            <w:vMerge w:val="restart"/>
            <w:tcMar>
              <w:top w:w="10" w:type="dxa"/>
              <w:left w:w="118" w:type="dxa"/>
              <w:bottom w:w="10" w:type="dxa"/>
              <w:right w:w="118" w:type="dxa"/>
            </w:tcMar>
            <w:vAlign w:val="center"/>
          </w:tcPr>
          <w:p w:rsidR="00EE4502" w:rsidRDefault="00FD45A3">
            <w:pPr>
              <w:widowControl/>
              <w:tabs>
                <w:tab w:val="left" w:pos="377"/>
              </w:tabs>
              <w:jc w:val="center"/>
              <w:rPr>
                <w:szCs w:val="21"/>
              </w:rPr>
            </w:pPr>
            <w:r>
              <w:rPr>
                <w:rFonts w:hint="eastAsia"/>
                <w:szCs w:val="21"/>
              </w:rPr>
              <w:t>开次</w:t>
            </w:r>
          </w:p>
        </w:tc>
        <w:tc>
          <w:tcPr>
            <w:tcW w:w="1109" w:type="pct"/>
            <w:vMerge w:val="restart"/>
            <w:tcMar>
              <w:top w:w="10" w:type="dxa"/>
              <w:left w:w="108" w:type="dxa"/>
              <w:bottom w:w="10" w:type="dxa"/>
              <w:right w:w="118" w:type="dxa"/>
            </w:tcMar>
            <w:vAlign w:val="center"/>
          </w:tcPr>
          <w:p w:rsidR="00EE4502" w:rsidRDefault="00FD45A3">
            <w:pPr>
              <w:widowControl/>
              <w:tabs>
                <w:tab w:val="left" w:pos="377"/>
              </w:tabs>
              <w:jc w:val="center"/>
              <w:rPr>
                <w:szCs w:val="21"/>
              </w:rPr>
            </w:pPr>
            <w:r>
              <w:rPr>
                <w:rFonts w:hint="eastAsia"/>
                <w:szCs w:val="21"/>
              </w:rPr>
              <w:t>装置名称</w:t>
            </w:r>
          </w:p>
        </w:tc>
        <w:tc>
          <w:tcPr>
            <w:tcW w:w="1026" w:type="pct"/>
            <w:vMerge w:val="restart"/>
            <w:tcMar>
              <w:top w:w="10" w:type="dxa"/>
              <w:left w:w="108" w:type="dxa"/>
              <w:bottom w:w="10" w:type="dxa"/>
              <w:right w:w="118" w:type="dxa"/>
            </w:tcMar>
            <w:vAlign w:val="center"/>
          </w:tcPr>
          <w:p w:rsidR="00EE4502" w:rsidRDefault="00FD45A3">
            <w:pPr>
              <w:widowControl/>
              <w:tabs>
                <w:tab w:val="left" w:pos="377"/>
              </w:tabs>
              <w:jc w:val="center"/>
              <w:rPr>
                <w:szCs w:val="21"/>
              </w:rPr>
            </w:pPr>
            <w:r>
              <w:rPr>
                <w:rFonts w:hint="eastAsia"/>
                <w:szCs w:val="21"/>
              </w:rPr>
              <w:t>型号</w:t>
            </w:r>
          </w:p>
        </w:tc>
        <w:tc>
          <w:tcPr>
            <w:tcW w:w="2437" w:type="pct"/>
            <w:gridSpan w:val="4"/>
            <w:tcMar>
              <w:top w:w="10" w:type="dxa"/>
              <w:left w:w="108" w:type="dxa"/>
              <w:bottom w:w="10" w:type="dxa"/>
              <w:right w:w="118" w:type="dxa"/>
            </w:tcMar>
            <w:vAlign w:val="center"/>
          </w:tcPr>
          <w:p w:rsidR="00EE4502" w:rsidRDefault="00FD45A3">
            <w:pPr>
              <w:widowControl/>
              <w:tabs>
                <w:tab w:val="left" w:pos="377"/>
              </w:tabs>
              <w:jc w:val="center"/>
              <w:rPr>
                <w:szCs w:val="21"/>
              </w:rPr>
            </w:pPr>
            <w:r>
              <w:rPr>
                <w:rFonts w:hint="eastAsia"/>
                <w:szCs w:val="21"/>
              </w:rPr>
              <w:t>试压要求</w:t>
            </w:r>
          </w:p>
        </w:tc>
      </w:tr>
      <w:tr w:rsidR="00EE4502">
        <w:trPr>
          <w:trHeight w:val="397"/>
          <w:tblHeader/>
          <w:jc w:val="center"/>
        </w:trPr>
        <w:tc>
          <w:tcPr>
            <w:tcW w:w="426" w:type="pct"/>
            <w:vMerge/>
            <w:vAlign w:val="center"/>
          </w:tcPr>
          <w:p w:rsidR="00EE4502" w:rsidRDefault="00EE4502">
            <w:pPr>
              <w:widowControl/>
              <w:tabs>
                <w:tab w:val="left" w:pos="377"/>
              </w:tabs>
              <w:jc w:val="center"/>
              <w:rPr>
                <w:szCs w:val="21"/>
              </w:rPr>
            </w:pPr>
          </w:p>
        </w:tc>
        <w:tc>
          <w:tcPr>
            <w:tcW w:w="1109" w:type="pct"/>
            <w:vMerge/>
            <w:vAlign w:val="center"/>
          </w:tcPr>
          <w:p w:rsidR="00EE4502" w:rsidRDefault="00EE4502">
            <w:pPr>
              <w:widowControl/>
              <w:tabs>
                <w:tab w:val="left" w:pos="377"/>
              </w:tabs>
              <w:jc w:val="center"/>
              <w:rPr>
                <w:szCs w:val="21"/>
              </w:rPr>
            </w:pPr>
          </w:p>
        </w:tc>
        <w:tc>
          <w:tcPr>
            <w:tcW w:w="1026" w:type="pct"/>
            <w:vMerge/>
            <w:vAlign w:val="center"/>
          </w:tcPr>
          <w:p w:rsidR="00EE4502" w:rsidRDefault="00EE4502">
            <w:pPr>
              <w:widowControl/>
              <w:tabs>
                <w:tab w:val="left" w:pos="377"/>
              </w:tabs>
              <w:jc w:val="center"/>
              <w:rPr>
                <w:szCs w:val="21"/>
              </w:rPr>
            </w:pPr>
          </w:p>
        </w:tc>
        <w:tc>
          <w:tcPr>
            <w:tcW w:w="426" w:type="pct"/>
            <w:vMerge w:val="restart"/>
            <w:tcMar>
              <w:top w:w="0" w:type="dxa"/>
              <w:left w:w="108" w:type="dxa"/>
              <w:bottom w:w="10" w:type="dxa"/>
              <w:right w:w="118" w:type="dxa"/>
            </w:tcMar>
            <w:vAlign w:val="center"/>
          </w:tcPr>
          <w:p w:rsidR="00EE4502" w:rsidRDefault="00FD45A3">
            <w:pPr>
              <w:widowControl/>
              <w:tabs>
                <w:tab w:val="left" w:pos="377"/>
              </w:tabs>
              <w:jc w:val="center"/>
              <w:rPr>
                <w:szCs w:val="21"/>
              </w:rPr>
            </w:pPr>
            <w:r>
              <w:rPr>
                <w:rFonts w:hint="eastAsia"/>
                <w:szCs w:val="21"/>
              </w:rPr>
              <w:t>介质</w:t>
            </w:r>
          </w:p>
        </w:tc>
        <w:tc>
          <w:tcPr>
            <w:tcW w:w="677" w:type="pct"/>
            <w:tcMar>
              <w:top w:w="0" w:type="dxa"/>
              <w:left w:w="108" w:type="dxa"/>
              <w:bottom w:w="10" w:type="dxa"/>
              <w:right w:w="118" w:type="dxa"/>
            </w:tcMar>
            <w:vAlign w:val="center"/>
          </w:tcPr>
          <w:p w:rsidR="00EE4502" w:rsidRDefault="00FD45A3">
            <w:pPr>
              <w:widowControl/>
              <w:tabs>
                <w:tab w:val="left" w:pos="377"/>
              </w:tabs>
              <w:jc w:val="center"/>
              <w:rPr>
                <w:szCs w:val="21"/>
              </w:rPr>
            </w:pPr>
            <w:r>
              <w:rPr>
                <w:rFonts w:hint="eastAsia"/>
                <w:szCs w:val="21"/>
              </w:rPr>
              <w:t>压力</w:t>
            </w:r>
          </w:p>
        </w:tc>
        <w:tc>
          <w:tcPr>
            <w:tcW w:w="632" w:type="pct"/>
            <w:tcMar>
              <w:top w:w="0" w:type="dxa"/>
              <w:left w:w="108" w:type="dxa"/>
              <w:bottom w:w="10" w:type="dxa"/>
              <w:right w:w="118" w:type="dxa"/>
            </w:tcMar>
            <w:vAlign w:val="center"/>
          </w:tcPr>
          <w:p w:rsidR="00EE4502" w:rsidRDefault="00FD45A3">
            <w:pPr>
              <w:widowControl/>
              <w:tabs>
                <w:tab w:val="left" w:pos="377"/>
              </w:tabs>
              <w:jc w:val="center"/>
              <w:rPr>
                <w:szCs w:val="21"/>
              </w:rPr>
            </w:pPr>
            <w:r>
              <w:rPr>
                <w:rFonts w:hint="eastAsia"/>
                <w:szCs w:val="21"/>
              </w:rPr>
              <w:t>时间</w:t>
            </w:r>
          </w:p>
        </w:tc>
        <w:tc>
          <w:tcPr>
            <w:tcW w:w="699" w:type="pct"/>
            <w:tcMar>
              <w:top w:w="0" w:type="dxa"/>
              <w:left w:w="108" w:type="dxa"/>
              <w:bottom w:w="10" w:type="dxa"/>
              <w:right w:w="118" w:type="dxa"/>
            </w:tcMar>
            <w:vAlign w:val="center"/>
          </w:tcPr>
          <w:p w:rsidR="00EE4502" w:rsidRDefault="00FD45A3">
            <w:pPr>
              <w:widowControl/>
              <w:tabs>
                <w:tab w:val="left" w:pos="377"/>
              </w:tabs>
              <w:jc w:val="center"/>
              <w:rPr>
                <w:szCs w:val="21"/>
              </w:rPr>
            </w:pPr>
            <w:r>
              <w:rPr>
                <w:rFonts w:hint="eastAsia"/>
                <w:szCs w:val="21"/>
              </w:rPr>
              <w:t>允许压降</w:t>
            </w:r>
          </w:p>
        </w:tc>
      </w:tr>
      <w:tr w:rsidR="00EE4502">
        <w:trPr>
          <w:trHeight w:val="397"/>
          <w:tblHeader/>
          <w:jc w:val="center"/>
        </w:trPr>
        <w:tc>
          <w:tcPr>
            <w:tcW w:w="426" w:type="pct"/>
            <w:vMerge/>
            <w:vAlign w:val="center"/>
          </w:tcPr>
          <w:p w:rsidR="00EE4502" w:rsidRDefault="00EE4502">
            <w:pPr>
              <w:widowControl/>
              <w:tabs>
                <w:tab w:val="left" w:pos="377"/>
              </w:tabs>
              <w:jc w:val="center"/>
              <w:rPr>
                <w:szCs w:val="21"/>
              </w:rPr>
            </w:pPr>
          </w:p>
        </w:tc>
        <w:tc>
          <w:tcPr>
            <w:tcW w:w="1109" w:type="pct"/>
            <w:vMerge/>
            <w:vAlign w:val="center"/>
          </w:tcPr>
          <w:p w:rsidR="00EE4502" w:rsidRDefault="00EE4502">
            <w:pPr>
              <w:widowControl/>
              <w:tabs>
                <w:tab w:val="left" w:pos="377"/>
              </w:tabs>
              <w:jc w:val="center"/>
              <w:rPr>
                <w:szCs w:val="21"/>
              </w:rPr>
            </w:pPr>
          </w:p>
        </w:tc>
        <w:tc>
          <w:tcPr>
            <w:tcW w:w="1026" w:type="pct"/>
            <w:vMerge/>
            <w:vAlign w:val="center"/>
          </w:tcPr>
          <w:p w:rsidR="00EE4502" w:rsidRDefault="00EE4502">
            <w:pPr>
              <w:widowControl/>
              <w:tabs>
                <w:tab w:val="left" w:pos="377"/>
              </w:tabs>
              <w:jc w:val="center"/>
              <w:rPr>
                <w:szCs w:val="21"/>
              </w:rPr>
            </w:pPr>
          </w:p>
        </w:tc>
        <w:tc>
          <w:tcPr>
            <w:tcW w:w="426" w:type="pct"/>
            <w:vMerge/>
            <w:vAlign w:val="center"/>
          </w:tcPr>
          <w:p w:rsidR="00EE4502" w:rsidRDefault="00EE4502">
            <w:pPr>
              <w:widowControl/>
              <w:tabs>
                <w:tab w:val="left" w:pos="377"/>
              </w:tabs>
              <w:jc w:val="center"/>
              <w:rPr>
                <w:szCs w:val="21"/>
              </w:rPr>
            </w:pPr>
          </w:p>
        </w:tc>
        <w:tc>
          <w:tcPr>
            <w:tcW w:w="677" w:type="pct"/>
            <w:tcMar>
              <w:top w:w="0" w:type="dxa"/>
              <w:left w:w="108" w:type="dxa"/>
              <w:bottom w:w="10" w:type="dxa"/>
              <w:right w:w="118" w:type="dxa"/>
            </w:tcMar>
            <w:vAlign w:val="center"/>
          </w:tcPr>
          <w:p w:rsidR="00EE4502" w:rsidRDefault="00FD45A3">
            <w:pPr>
              <w:widowControl/>
              <w:tabs>
                <w:tab w:val="left" w:pos="377"/>
              </w:tabs>
              <w:jc w:val="center"/>
              <w:rPr>
                <w:szCs w:val="21"/>
              </w:rPr>
            </w:pPr>
            <w:r>
              <w:rPr>
                <w:rFonts w:hint="eastAsia"/>
                <w:szCs w:val="21"/>
                <w:lang w:eastAsia="en-US"/>
              </w:rPr>
              <w:t>（</w:t>
            </w:r>
            <w:r>
              <w:rPr>
                <w:rFonts w:hint="eastAsia"/>
                <w:szCs w:val="21"/>
                <w:lang w:eastAsia="en-US"/>
              </w:rPr>
              <w:t>MPa</w:t>
            </w:r>
            <w:r>
              <w:rPr>
                <w:rFonts w:hint="eastAsia"/>
                <w:szCs w:val="21"/>
              </w:rPr>
              <w:t>)</w:t>
            </w:r>
          </w:p>
        </w:tc>
        <w:tc>
          <w:tcPr>
            <w:tcW w:w="632" w:type="pct"/>
            <w:tcMar>
              <w:top w:w="0" w:type="dxa"/>
              <w:left w:w="108" w:type="dxa"/>
              <w:bottom w:w="10" w:type="dxa"/>
              <w:right w:w="118" w:type="dxa"/>
            </w:tcMar>
            <w:vAlign w:val="center"/>
          </w:tcPr>
          <w:p w:rsidR="00EE4502" w:rsidRDefault="00FD45A3">
            <w:pPr>
              <w:widowControl/>
              <w:tabs>
                <w:tab w:val="left" w:pos="377"/>
              </w:tabs>
              <w:jc w:val="center"/>
              <w:rPr>
                <w:szCs w:val="21"/>
              </w:rPr>
            </w:pPr>
            <w:r>
              <w:rPr>
                <w:rFonts w:hint="eastAsia"/>
                <w:szCs w:val="21"/>
                <w:lang w:eastAsia="en-US"/>
              </w:rPr>
              <w:t>（</w:t>
            </w:r>
            <w:r>
              <w:rPr>
                <w:rFonts w:hint="eastAsia"/>
                <w:szCs w:val="21"/>
                <w:lang w:eastAsia="en-US"/>
              </w:rPr>
              <w:t>min</w:t>
            </w:r>
            <w:r>
              <w:rPr>
                <w:rFonts w:hint="eastAsia"/>
                <w:szCs w:val="21"/>
              </w:rPr>
              <w:t>)</w:t>
            </w:r>
          </w:p>
        </w:tc>
        <w:tc>
          <w:tcPr>
            <w:tcW w:w="699" w:type="pct"/>
            <w:tcMar>
              <w:top w:w="0" w:type="dxa"/>
              <w:left w:w="108" w:type="dxa"/>
              <w:bottom w:w="10" w:type="dxa"/>
              <w:right w:w="118" w:type="dxa"/>
            </w:tcMar>
            <w:vAlign w:val="center"/>
          </w:tcPr>
          <w:p w:rsidR="00EE4502" w:rsidRDefault="00FD45A3">
            <w:pPr>
              <w:widowControl/>
              <w:tabs>
                <w:tab w:val="left" w:pos="377"/>
              </w:tabs>
              <w:jc w:val="center"/>
              <w:rPr>
                <w:szCs w:val="21"/>
              </w:rPr>
            </w:pPr>
            <w:r>
              <w:rPr>
                <w:rFonts w:hint="eastAsia"/>
                <w:szCs w:val="21"/>
                <w:lang w:eastAsia="en-US"/>
              </w:rPr>
              <w:t>（</w:t>
            </w:r>
            <w:r>
              <w:rPr>
                <w:rFonts w:hint="eastAsia"/>
                <w:szCs w:val="21"/>
                <w:lang w:eastAsia="en-US"/>
              </w:rPr>
              <w:t>MPa</w:t>
            </w:r>
            <w:r>
              <w:rPr>
                <w:rFonts w:hint="eastAsia"/>
                <w:szCs w:val="21"/>
              </w:rPr>
              <w:t>)</w:t>
            </w:r>
          </w:p>
        </w:tc>
      </w:tr>
      <w:tr w:rsidR="00EE4502">
        <w:trPr>
          <w:trHeight w:val="397"/>
          <w:jc w:val="center"/>
        </w:trPr>
        <w:tc>
          <w:tcPr>
            <w:tcW w:w="426" w:type="pct"/>
            <w:tcMar>
              <w:top w:w="10" w:type="dxa"/>
              <w:left w:w="118" w:type="dxa"/>
              <w:bottom w:w="10" w:type="dxa"/>
              <w:right w:w="118" w:type="dxa"/>
            </w:tcMar>
            <w:vAlign w:val="center"/>
          </w:tcPr>
          <w:p w:rsidR="00EE4502" w:rsidRDefault="00FD45A3">
            <w:pPr>
              <w:widowControl/>
              <w:tabs>
                <w:tab w:val="left" w:pos="377"/>
              </w:tabs>
              <w:jc w:val="center"/>
              <w:rPr>
                <w:szCs w:val="21"/>
              </w:rPr>
            </w:pPr>
            <w:r>
              <w:rPr>
                <w:rFonts w:hint="eastAsia"/>
                <w:szCs w:val="21"/>
              </w:rPr>
              <w:t>二开</w:t>
            </w:r>
          </w:p>
        </w:tc>
        <w:tc>
          <w:tcPr>
            <w:tcW w:w="1109" w:type="pct"/>
            <w:tcMar>
              <w:top w:w="10" w:type="dxa"/>
              <w:left w:w="118" w:type="dxa"/>
              <w:bottom w:w="10" w:type="dxa"/>
              <w:right w:w="118" w:type="dxa"/>
            </w:tcMar>
            <w:vAlign w:val="center"/>
          </w:tcPr>
          <w:p w:rsidR="00EE4502" w:rsidRDefault="00FD45A3">
            <w:pPr>
              <w:widowControl/>
              <w:tabs>
                <w:tab w:val="left" w:pos="377"/>
              </w:tabs>
              <w:jc w:val="center"/>
              <w:rPr>
                <w:szCs w:val="21"/>
              </w:rPr>
            </w:pPr>
            <w:r>
              <w:rPr>
                <w:rFonts w:hint="eastAsia"/>
                <w:szCs w:val="21"/>
              </w:rPr>
              <w:t>双闸板（套管头）</w:t>
            </w:r>
          </w:p>
        </w:tc>
        <w:tc>
          <w:tcPr>
            <w:tcW w:w="1026" w:type="pct"/>
            <w:tcMar>
              <w:top w:w="10" w:type="dxa"/>
              <w:left w:w="118" w:type="dxa"/>
              <w:bottom w:w="10" w:type="dxa"/>
              <w:right w:w="118" w:type="dxa"/>
            </w:tcMar>
            <w:vAlign w:val="center"/>
          </w:tcPr>
          <w:p w:rsidR="00EE4502" w:rsidRDefault="00FD45A3">
            <w:pPr>
              <w:widowControl/>
              <w:tabs>
                <w:tab w:val="left" w:pos="377"/>
              </w:tabs>
              <w:jc w:val="center"/>
              <w:rPr>
                <w:szCs w:val="21"/>
              </w:rPr>
            </w:pPr>
            <w:r>
              <w:rPr>
                <w:rFonts w:hint="eastAsia"/>
                <w:szCs w:val="21"/>
              </w:rPr>
              <w:t>2FZ28-21</w:t>
            </w:r>
          </w:p>
        </w:tc>
        <w:tc>
          <w:tcPr>
            <w:tcW w:w="426" w:type="pct"/>
            <w:tcMar>
              <w:top w:w="10" w:type="dxa"/>
              <w:left w:w="118" w:type="dxa"/>
              <w:bottom w:w="10" w:type="dxa"/>
              <w:right w:w="118" w:type="dxa"/>
            </w:tcMar>
            <w:vAlign w:val="center"/>
          </w:tcPr>
          <w:p w:rsidR="00EE4502" w:rsidRDefault="00FD45A3">
            <w:pPr>
              <w:widowControl/>
              <w:tabs>
                <w:tab w:val="left" w:pos="377"/>
              </w:tabs>
              <w:jc w:val="center"/>
              <w:rPr>
                <w:szCs w:val="21"/>
              </w:rPr>
            </w:pPr>
            <w:r>
              <w:rPr>
                <w:rFonts w:hint="eastAsia"/>
                <w:szCs w:val="21"/>
              </w:rPr>
              <w:t>清水</w:t>
            </w:r>
          </w:p>
        </w:tc>
        <w:tc>
          <w:tcPr>
            <w:tcW w:w="677" w:type="pct"/>
            <w:tcMar>
              <w:top w:w="10" w:type="dxa"/>
              <w:left w:w="118" w:type="dxa"/>
              <w:bottom w:w="10" w:type="dxa"/>
              <w:right w:w="118" w:type="dxa"/>
            </w:tcMar>
            <w:vAlign w:val="center"/>
          </w:tcPr>
          <w:p w:rsidR="00EE4502" w:rsidRDefault="00FD45A3">
            <w:pPr>
              <w:widowControl/>
              <w:tabs>
                <w:tab w:val="left" w:pos="377"/>
              </w:tabs>
              <w:jc w:val="center"/>
              <w:rPr>
                <w:szCs w:val="21"/>
              </w:rPr>
            </w:pPr>
            <w:r>
              <w:rPr>
                <w:rFonts w:hint="eastAsia"/>
                <w:szCs w:val="21"/>
              </w:rPr>
              <w:t>14</w:t>
            </w:r>
          </w:p>
        </w:tc>
        <w:tc>
          <w:tcPr>
            <w:tcW w:w="632" w:type="pct"/>
            <w:tcMar>
              <w:top w:w="10" w:type="dxa"/>
              <w:left w:w="118" w:type="dxa"/>
              <w:bottom w:w="10" w:type="dxa"/>
              <w:right w:w="118" w:type="dxa"/>
            </w:tcMar>
            <w:vAlign w:val="center"/>
          </w:tcPr>
          <w:p w:rsidR="00EE4502" w:rsidRDefault="00FD45A3">
            <w:pPr>
              <w:widowControl/>
              <w:tabs>
                <w:tab w:val="left" w:pos="377"/>
              </w:tabs>
              <w:jc w:val="center"/>
              <w:rPr>
                <w:szCs w:val="21"/>
              </w:rPr>
            </w:pPr>
            <w:r>
              <w:rPr>
                <w:rFonts w:hint="eastAsia"/>
                <w:szCs w:val="21"/>
              </w:rPr>
              <w:t>≥</w:t>
            </w:r>
            <w:r>
              <w:rPr>
                <w:rFonts w:hint="eastAsia"/>
                <w:szCs w:val="21"/>
              </w:rPr>
              <w:t>10</w:t>
            </w:r>
          </w:p>
        </w:tc>
        <w:tc>
          <w:tcPr>
            <w:tcW w:w="699" w:type="pct"/>
            <w:tcMar>
              <w:top w:w="10" w:type="dxa"/>
              <w:left w:w="118" w:type="dxa"/>
              <w:bottom w:w="10" w:type="dxa"/>
              <w:right w:w="118" w:type="dxa"/>
            </w:tcMar>
            <w:vAlign w:val="center"/>
          </w:tcPr>
          <w:p w:rsidR="00EE4502" w:rsidRDefault="00FD45A3">
            <w:pPr>
              <w:widowControl/>
              <w:tabs>
                <w:tab w:val="left" w:pos="377"/>
              </w:tabs>
              <w:jc w:val="center"/>
              <w:rPr>
                <w:szCs w:val="21"/>
              </w:rPr>
            </w:pPr>
            <w:r>
              <w:rPr>
                <w:rFonts w:hint="eastAsia"/>
                <w:szCs w:val="21"/>
              </w:rPr>
              <w:t>≤</w:t>
            </w:r>
            <w:r>
              <w:rPr>
                <w:rFonts w:hint="eastAsia"/>
                <w:szCs w:val="21"/>
              </w:rPr>
              <w:t>0.7</w:t>
            </w:r>
          </w:p>
        </w:tc>
      </w:tr>
      <w:tr w:rsidR="00EE4502">
        <w:trPr>
          <w:trHeight w:val="397"/>
          <w:jc w:val="center"/>
        </w:trPr>
        <w:tc>
          <w:tcPr>
            <w:tcW w:w="426" w:type="pct"/>
            <w:tcMar>
              <w:top w:w="10" w:type="dxa"/>
              <w:left w:w="118" w:type="dxa"/>
              <w:bottom w:w="10" w:type="dxa"/>
              <w:right w:w="118" w:type="dxa"/>
            </w:tcMar>
            <w:vAlign w:val="center"/>
          </w:tcPr>
          <w:p w:rsidR="00EE4502" w:rsidRDefault="00FD45A3">
            <w:pPr>
              <w:widowControl/>
              <w:tabs>
                <w:tab w:val="left" w:pos="377"/>
              </w:tabs>
              <w:jc w:val="center"/>
              <w:rPr>
                <w:szCs w:val="21"/>
              </w:rPr>
            </w:pPr>
            <w:r>
              <w:rPr>
                <w:rFonts w:hint="eastAsia"/>
                <w:szCs w:val="21"/>
              </w:rPr>
              <w:t>二开</w:t>
            </w:r>
          </w:p>
        </w:tc>
        <w:tc>
          <w:tcPr>
            <w:tcW w:w="1109" w:type="pct"/>
            <w:tcMar>
              <w:top w:w="10" w:type="dxa"/>
              <w:left w:w="118" w:type="dxa"/>
              <w:bottom w:w="10" w:type="dxa"/>
              <w:right w:w="118" w:type="dxa"/>
            </w:tcMar>
            <w:vAlign w:val="center"/>
          </w:tcPr>
          <w:p w:rsidR="00EE4502" w:rsidRDefault="00FD45A3">
            <w:pPr>
              <w:widowControl/>
              <w:tabs>
                <w:tab w:val="left" w:pos="377"/>
              </w:tabs>
              <w:jc w:val="center"/>
              <w:rPr>
                <w:szCs w:val="21"/>
              </w:rPr>
            </w:pPr>
            <w:r>
              <w:rPr>
                <w:rFonts w:hint="eastAsia"/>
                <w:szCs w:val="21"/>
              </w:rPr>
              <w:t>节流压井管汇</w:t>
            </w:r>
          </w:p>
          <w:p w:rsidR="00EE4502" w:rsidRDefault="00FD45A3">
            <w:pPr>
              <w:widowControl/>
              <w:tabs>
                <w:tab w:val="left" w:pos="377"/>
              </w:tabs>
              <w:jc w:val="center"/>
              <w:rPr>
                <w:szCs w:val="21"/>
              </w:rPr>
            </w:pPr>
            <w:r>
              <w:rPr>
                <w:rFonts w:hint="eastAsia"/>
                <w:szCs w:val="21"/>
              </w:rPr>
              <w:t>（内防喷管线）</w:t>
            </w:r>
          </w:p>
        </w:tc>
        <w:tc>
          <w:tcPr>
            <w:tcW w:w="1026" w:type="pct"/>
            <w:tcMar>
              <w:top w:w="10" w:type="dxa"/>
              <w:left w:w="118" w:type="dxa"/>
              <w:bottom w:w="10" w:type="dxa"/>
              <w:right w:w="118" w:type="dxa"/>
            </w:tcMar>
            <w:vAlign w:val="center"/>
          </w:tcPr>
          <w:p w:rsidR="00EE4502" w:rsidRDefault="00FD45A3">
            <w:pPr>
              <w:widowControl/>
              <w:tabs>
                <w:tab w:val="left" w:pos="377"/>
              </w:tabs>
              <w:jc w:val="center"/>
              <w:rPr>
                <w:szCs w:val="21"/>
              </w:rPr>
            </w:pPr>
            <w:r>
              <w:rPr>
                <w:rFonts w:hint="eastAsia"/>
                <w:szCs w:val="21"/>
              </w:rPr>
              <w:t>JG-S-21/YG-21</w:t>
            </w:r>
          </w:p>
        </w:tc>
        <w:tc>
          <w:tcPr>
            <w:tcW w:w="426" w:type="pct"/>
            <w:tcMar>
              <w:top w:w="10" w:type="dxa"/>
              <w:left w:w="118" w:type="dxa"/>
              <w:bottom w:w="10" w:type="dxa"/>
              <w:right w:w="118" w:type="dxa"/>
            </w:tcMar>
            <w:vAlign w:val="center"/>
          </w:tcPr>
          <w:p w:rsidR="00EE4502" w:rsidRDefault="00FD45A3">
            <w:pPr>
              <w:widowControl/>
              <w:tabs>
                <w:tab w:val="left" w:pos="377"/>
              </w:tabs>
              <w:jc w:val="center"/>
              <w:rPr>
                <w:szCs w:val="21"/>
              </w:rPr>
            </w:pPr>
            <w:r>
              <w:rPr>
                <w:rFonts w:hint="eastAsia"/>
                <w:szCs w:val="21"/>
              </w:rPr>
              <w:t>清水</w:t>
            </w:r>
          </w:p>
        </w:tc>
        <w:tc>
          <w:tcPr>
            <w:tcW w:w="677" w:type="pct"/>
            <w:tcMar>
              <w:top w:w="10" w:type="dxa"/>
              <w:left w:w="118" w:type="dxa"/>
              <w:bottom w:w="10" w:type="dxa"/>
              <w:right w:w="118" w:type="dxa"/>
            </w:tcMar>
            <w:vAlign w:val="center"/>
          </w:tcPr>
          <w:p w:rsidR="00EE4502" w:rsidRDefault="00FD45A3">
            <w:pPr>
              <w:widowControl/>
              <w:tabs>
                <w:tab w:val="left" w:pos="377"/>
              </w:tabs>
              <w:jc w:val="center"/>
              <w:rPr>
                <w:szCs w:val="21"/>
              </w:rPr>
            </w:pPr>
            <w:r>
              <w:rPr>
                <w:rFonts w:hint="eastAsia"/>
                <w:szCs w:val="21"/>
              </w:rPr>
              <w:t>14</w:t>
            </w:r>
          </w:p>
        </w:tc>
        <w:tc>
          <w:tcPr>
            <w:tcW w:w="632" w:type="pct"/>
            <w:tcMar>
              <w:top w:w="10" w:type="dxa"/>
              <w:left w:w="118" w:type="dxa"/>
              <w:bottom w:w="10" w:type="dxa"/>
              <w:right w:w="118" w:type="dxa"/>
            </w:tcMar>
            <w:vAlign w:val="center"/>
          </w:tcPr>
          <w:p w:rsidR="00EE4502" w:rsidRDefault="00FD45A3">
            <w:pPr>
              <w:widowControl/>
              <w:tabs>
                <w:tab w:val="left" w:pos="377"/>
              </w:tabs>
              <w:jc w:val="center"/>
              <w:rPr>
                <w:szCs w:val="21"/>
              </w:rPr>
            </w:pPr>
            <w:r>
              <w:rPr>
                <w:rFonts w:hint="eastAsia"/>
                <w:szCs w:val="21"/>
              </w:rPr>
              <w:t>≥</w:t>
            </w:r>
            <w:r>
              <w:rPr>
                <w:rFonts w:hint="eastAsia"/>
                <w:szCs w:val="21"/>
              </w:rPr>
              <w:t>10</w:t>
            </w:r>
          </w:p>
        </w:tc>
        <w:tc>
          <w:tcPr>
            <w:tcW w:w="699" w:type="pct"/>
            <w:tcMar>
              <w:top w:w="10" w:type="dxa"/>
              <w:left w:w="118" w:type="dxa"/>
              <w:bottom w:w="10" w:type="dxa"/>
              <w:right w:w="118" w:type="dxa"/>
            </w:tcMar>
            <w:vAlign w:val="center"/>
          </w:tcPr>
          <w:p w:rsidR="00EE4502" w:rsidRDefault="00FD45A3">
            <w:pPr>
              <w:widowControl/>
              <w:tabs>
                <w:tab w:val="left" w:pos="377"/>
              </w:tabs>
              <w:jc w:val="center"/>
              <w:rPr>
                <w:szCs w:val="21"/>
              </w:rPr>
            </w:pPr>
            <w:r>
              <w:rPr>
                <w:rFonts w:hint="eastAsia"/>
                <w:szCs w:val="21"/>
              </w:rPr>
              <w:t>≤</w:t>
            </w:r>
            <w:r>
              <w:rPr>
                <w:rFonts w:hint="eastAsia"/>
                <w:szCs w:val="21"/>
              </w:rPr>
              <w:t>0.7</w:t>
            </w:r>
          </w:p>
        </w:tc>
      </w:tr>
      <w:tr w:rsidR="00EE4502">
        <w:trPr>
          <w:trHeight w:val="397"/>
          <w:jc w:val="center"/>
        </w:trPr>
        <w:tc>
          <w:tcPr>
            <w:tcW w:w="426" w:type="pct"/>
            <w:tcMar>
              <w:top w:w="10" w:type="dxa"/>
              <w:left w:w="118" w:type="dxa"/>
              <w:bottom w:w="10" w:type="dxa"/>
              <w:right w:w="118" w:type="dxa"/>
            </w:tcMar>
            <w:vAlign w:val="center"/>
          </w:tcPr>
          <w:p w:rsidR="00EE4502" w:rsidRDefault="00FD45A3">
            <w:pPr>
              <w:widowControl/>
              <w:tabs>
                <w:tab w:val="left" w:pos="377"/>
              </w:tabs>
              <w:jc w:val="center"/>
              <w:rPr>
                <w:szCs w:val="21"/>
              </w:rPr>
            </w:pPr>
            <w:r>
              <w:rPr>
                <w:rFonts w:hint="eastAsia"/>
                <w:szCs w:val="21"/>
              </w:rPr>
              <w:t>备注</w:t>
            </w:r>
          </w:p>
        </w:tc>
        <w:tc>
          <w:tcPr>
            <w:tcW w:w="4573" w:type="pct"/>
            <w:gridSpan w:val="6"/>
            <w:tcMar>
              <w:top w:w="10" w:type="dxa"/>
              <w:left w:w="118" w:type="dxa"/>
              <w:bottom w:w="10" w:type="dxa"/>
              <w:right w:w="118" w:type="dxa"/>
            </w:tcMar>
            <w:vAlign w:val="center"/>
          </w:tcPr>
          <w:p w:rsidR="00EE4502" w:rsidRDefault="00FD45A3">
            <w:pPr>
              <w:widowControl/>
              <w:tabs>
                <w:tab w:val="left" w:pos="377"/>
              </w:tabs>
              <w:rPr>
                <w:szCs w:val="21"/>
              </w:rPr>
            </w:pPr>
            <w:r>
              <w:rPr>
                <w:rFonts w:hint="eastAsia"/>
                <w:szCs w:val="21"/>
              </w:rPr>
              <w:t>①全套井控装置在井控车间应进行低压试验，试压值为</w:t>
            </w:r>
            <w:r>
              <w:rPr>
                <w:rFonts w:hint="eastAsia"/>
                <w:szCs w:val="21"/>
              </w:rPr>
              <w:t>1.4MPa-2.1MPa</w:t>
            </w:r>
            <w:r>
              <w:rPr>
                <w:rFonts w:hint="eastAsia"/>
                <w:szCs w:val="21"/>
              </w:rPr>
              <w:t>，稳压时间不少于</w:t>
            </w:r>
            <w:r>
              <w:rPr>
                <w:rFonts w:hint="eastAsia"/>
                <w:szCs w:val="21"/>
              </w:rPr>
              <w:t>10min</w:t>
            </w:r>
            <w:r>
              <w:rPr>
                <w:rFonts w:hint="eastAsia"/>
                <w:szCs w:val="21"/>
              </w:rPr>
              <w:t>，压降不大于</w:t>
            </w:r>
            <w:r>
              <w:rPr>
                <w:rFonts w:hint="eastAsia"/>
                <w:szCs w:val="21"/>
              </w:rPr>
              <w:t>0.07MPa</w:t>
            </w:r>
            <w:r>
              <w:rPr>
                <w:rFonts w:hint="eastAsia"/>
                <w:szCs w:val="21"/>
              </w:rPr>
              <w:t>，在施工现场仅对闸板防喷器进行低压试验。②放喷管线试压值不低于</w:t>
            </w:r>
            <w:r>
              <w:rPr>
                <w:rFonts w:hint="eastAsia"/>
                <w:szCs w:val="21"/>
              </w:rPr>
              <w:t>10MPa</w:t>
            </w:r>
            <w:r>
              <w:rPr>
                <w:rFonts w:hint="eastAsia"/>
                <w:szCs w:val="21"/>
              </w:rPr>
              <w:t>，稳压不少于</w:t>
            </w:r>
            <w:r>
              <w:rPr>
                <w:rFonts w:hint="eastAsia"/>
                <w:szCs w:val="21"/>
              </w:rPr>
              <w:t>10min</w:t>
            </w:r>
            <w:r>
              <w:rPr>
                <w:rFonts w:hint="eastAsia"/>
                <w:szCs w:val="21"/>
              </w:rPr>
              <w:t>，压降不大于</w:t>
            </w:r>
            <w:r>
              <w:rPr>
                <w:rFonts w:hint="eastAsia"/>
                <w:szCs w:val="21"/>
              </w:rPr>
              <w:t>0.7 MPa</w:t>
            </w:r>
            <w:r>
              <w:rPr>
                <w:rFonts w:hint="eastAsia"/>
                <w:szCs w:val="21"/>
              </w:rPr>
              <w:t>。③可选用</w:t>
            </w:r>
            <w:r>
              <w:rPr>
                <w:rFonts w:hint="eastAsia"/>
                <w:szCs w:val="21"/>
              </w:rPr>
              <w:t>2FZ35-21</w:t>
            </w:r>
            <w:r>
              <w:rPr>
                <w:rFonts w:hint="eastAsia"/>
                <w:szCs w:val="21"/>
              </w:rPr>
              <w:t>防喷器。</w:t>
            </w:r>
          </w:p>
        </w:tc>
      </w:tr>
    </w:tbl>
    <w:p w:rsidR="00EE4502" w:rsidRDefault="00EE4502">
      <w:pPr>
        <w:jc w:val="center"/>
        <w:rPr>
          <w:sz w:val="18"/>
          <w:szCs w:val="18"/>
        </w:rPr>
      </w:pPr>
    </w:p>
    <w:p w:rsidR="00EE4502" w:rsidRDefault="00FD45A3">
      <w:pPr>
        <w:pStyle w:val="41"/>
        <w:numPr>
          <w:ilvl w:val="3"/>
          <w:numId w:val="30"/>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hint="eastAsia"/>
          <w:bCs w:val="0"/>
          <w:sz w:val="24"/>
          <w:szCs w:val="24"/>
        </w:rPr>
        <w:t>采油工程</w:t>
      </w:r>
    </w:p>
    <w:p w:rsidR="00EE4502" w:rsidRDefault="00FD45A3">
      <w:pPr>
        <w:spacing w:line="360" w:lineRule="auto"/>
        <w:ind w:firstLine="482"/>
        <w:rPr>
          <w:sz w:val="24"/>
        </w:rPr>
      </w:pPr>
      <w:r>
        <w:rPr>
          <w:sz w:val="24"/>
        </w:rPr>
        <w:t>（</w:t>
      </w:r>
      <w:r>
        <w:rPr>
          <w:sz w:val="24"/>
        </w:rPr>
        <w:t>1</w:t>
      </w:r>
      <w:r>
        <w:rPr>
          <w:sz w:val="24"/>
        </w:rPr>
        <w:t>）油藏方案对</w:t>
      </w:r>
      <w:r>
        <w:rPr>
          <w:rFonts w:hint="eastAsia"/>
          <w:sz w:val="24"/>
        </w:rPr>
        <w:t>采油工程</w:t>
      </w:r>
      <w:r>
        <w:rPr>
          <w:sz w:val="24"/>
        </w:rPr>
        <w:t>的要求</w:t>
      </w:r>
    </w:p>
    <w:p w:rsidR="00EE4502" w:rsidRDefault="00FD45A3">
      <w:pPr>
        <w:spacing w:line="360" w:lineRule="auto"/>
        <w:ind w:firstLine="482"/>
        <w:rPr>
          <w:sz w:val="24"/>
        </w:rPr>
      </w:pPr>
      <w:r>
        <w:rPr>
          <w:rFonts w:ascii="宋体" w:hAnsi="宋体" w:cs="宋体" w:hint="eastAsia"/>
          <w:sz w:val="24"/>
        </w:rPr>
        <w:t>①</w:t>
      </w:r>
      <w:r>
        <w:rPr>
          <w:rFonts w:hint="eastAsia"/>
          <w:sz w:val="24"/>
        </w:rPr>
        <w:t>钻井、采油过程中注意油层保护，防止污染。</w:t>
      </w:r>
    </w:p>
    <w:p w:rsidR="00EE4502" w:rsidRDefault="00FD45A3">
      <w:pPr>
        <w:spacing w:line="360" w:lineRule="auto"/>
        <w:ind w:firstLine="482"/>
        <w:rPr>
          <w:sz w:val="24"/>
        </w:rPr>
      </w:pPr>
      <w:r>
        <w:rPr>
          <w:rFonts w:hint="eastAsia"/>
          <w:sz w:val="24"/>
        </w:rPr>
        <w:t>②</w:t>
      </w:r>
      <w:r>
        <w:rPr>
          <w:rFonts w:hint="eastAsia"/>
          <w:sz w:val="24"/>
        </w:rPr>
        <w:t>取全、取准各项监测资料</w:t>
      </w:r>
      <w:r>
        <w:rPr>
          <w:sz w:val="24"/>
        </w:rPr>
        <w:t>。</w:t>
      </w:r>
    </w:p>
    <w:p w:rsidR="00EE4502" w:rsidRDefault="00FD45A3">
      <w:pPr>
        <w:spacing w:line="360" w:lineRule="auto"/>
        <w:ind w:firstLine="482"/>
        <w:rPr>
          <w:sz w:val="24"/>
        </w:rPr>
      </w:pPr>
      <w:r>
        <w:rPr>
          <w:rFonts w:hint="eastAsia"/>
          <w:sz w:val="24"/>
        </w:rPr>
        <w:t>（</w:t>
      </w:r>
      <w:r>
        <w:rPr>
          <w:rFonts w:hint="eastAsia"/>
          <w:sz w:val="24"/>
        </w:rPr>
        <w:t>2</w:t>
      </w:r>
      <w:r>
        <w:rPr>
          <w:rFonts w:hint="eastAsia"/>
          <w:sz w:val="24"/>
        </w:rPr>
        <w:t>）完井工艺设计</w:t>
      </w:r>
    </w:p>
    <w:p w:rsidR="00EE4502" w:rsidRDefault="00FD45A3">
      <w:pPr>
        <w:spacing w:line="360" w:lineRule="auto"/>
        <w:ind w:firstLine="482"/>
        <w:rPr>
          <w:sz w:val="24"/>
        </w:rPr>
      </w:pPr>
      <w:r>
        <w:rPr>
          <w:rFonts w:hint="eastAsia"/>
          <w:sz w:val="24"/>
        </w:rPr>
        <w:lastRenderedPageBreak/>
        <w:t>1</w:t>
      </w:r>
      <w:r>
        <w:rPr>
          <w:rFonts w:hint="eastAsia"/>
          <w:sz w:val="24"/>
        </w:rPr>
        <w:t>）完井方式</w:t>
      </w:r>
    </w:p>
    <w:p w:rsidR="00EE4502" w:rsidRDefault="00FD45A3">
      <w:pPr>
        <w:spacing w:line="360" w:lineRule="auto"/>
        <w:ind w:firstLine="482"/>
        <w:rPr>
          <w:sz w:val="24"/>
        </w:rPr>
      </w:pPr>
      <w:r>
        <w:rPr>
          <w:rFonts w:hint="eastAsia"/>
          <w:sz w:val="24"/>
        </w:rPr>
        <w:t>完井工艺选用水平井悬挂打孔筛管。</w:t>
      </w:r>
    </w:p>
    <w:p w:rsidR="00EE4502" w:rsidRDefault="00FD45A3">
      <w:pPr>
        <w:spacing w:line="360" w:lineRule="auto"/>
        <w:ind w:firstLine="482"/>
        <w:rPr>
          <w:sz w:val="24"/>
        </w:rPr>
      </w:pPr>
      <w:r>
        <w:rPr>
          <w:rFonts w:hint="eastAsia"/>
          <w:sz w:val="24"/>
        </w:rPr>
        <w:t>2</w:t>
      </w:r>
      <w:r>
        <w:rPr>
          <w:rFonts w:hint="eastAsia"/>
          <w:sz w:val="24"/>
        </w:rPr>
        <w:t>）生产套管设计</w:t>
      </w:r>
    </w:p>
    <w:p w:rsidR="00EE4502" w:rsidRDefault="00FD45A3">
      <w:pPr>
        <w:spacing w:line="360" w:lineRule="auto"/>
        <w:ind w:firstLine="482"/>
        <w:rPr>
          <w:sz w:val="24"/>
        </w:rPr>
      </w:pPr>
      <w:r>
        <w:rPr>
          <w:rFonts w:hint="eastAsia"/>
          <w:sz w:val="24"/>
        </w:rPr>
        <w:t>生产套管选用</w:t>
      </w:r>
      <w:r>
        <w:rPr>
          <w:rFonts w:hint="eastAsia"/>
          <w:sz w:val="24"/>
        </w:rPr>
        <w:t>177.8mm</w:t>
      </w:r>
      <w:r>
        <w:rPr>
          <w:rFonts w:hint="eastAsia"/>
          <w:sz w:val="24"/>
        </w:rPr>
        <w:t>套管悬挂Ф</w:t>
      </w:r>
      <w:r>
        <w:rPr>
          <w:rFonts w:hint="eastAsia"/>
          <w:sz w:val="24"/>
        </w:rPr>
        <w:t>114.3mm</w:t>
      </w:r>
      <w:r>
        <w:rPr>
          <w:rFonts w:hint="eastAsia"/>
          <w:sz w:val="24"/>
        </w:rPr>
        <w:t>的尾管的工艺管柱。结合已完钻老井生产套管情况，推荐</w:t>
      </w:r>
      <w:r>
        <w:rPr>
          <w:rFonts w:hint="eastAsia"/>
          <w:sz w:val="24"/>
        </w:rPr>
        <w:t>114.3mm</w:t>
      </w:r>
      <w:r>
        <w:rPr>
          <w:rFonts w:hint="eastAsia"/>
          <w:sz w:val="24"/>
        </w:rPr>
        <w:t>尾管钢级为</w:t>
      </w:r>
      <w:r>
        <w:rPr>
          <w:rFonts w:hint="eastAsia"/>
          <w:sz w:val="24"/>
        </w:rPr>
        <w:t>N80</w:t>
      </w:r>
      <w:r>
        <w:rPr>
          <w:rFonts w:hint="eastAsia"/>
          <w:sz w:val="24"/>
        </w:rPr>
        <w:t>，壁厚为</w:t>
      </w:r>
      <w:r>
        <w:rPr>
          <w:rFonts w:hint="eastAsia"/>
          <w:sz w:val="24"/>
        </w:rPr>
        <w:t>8.56mm</w:t>
      </w:r>
      <w:r>
        <w:rPr>
          <w:rFonts w:hint="eastAsia"/>
          <w:sz w:val="24"/>
        </w:rPr>
        <w:t>。考虑排</w:t>
      </w:r>
      <w:r>
        <w:rPr>
          <w:rFonts w:hint="eastAsia"/>
          <w:sz w:val="24"/>
        </w:rPr>
        <w:t>61-</w:t>
      </w:r>
      <w:r>
        <w:rPr>
          <w:rFonts w:hint="eastAsia"/>
          <w:sz w:val="24"/>
        </w:rPr>
        <w:t>平</w:t>
      </w:r>
      <w:r>
        <w:rPr>
          <w:rFonts w:hint="eastAsia"/>
          <w:sz w:val="24"/>
        </w:rPr>
        <w:t>12</w:t>
      </w:r>
      <w:r>
        <w:rPr>
          <w:rFonts w:hint="eastAsia"/>
          <w:sz w:val="24"/>
        </w:rPr>
        <w:t>，排</w:t>
      </w:r>
      <w:r>
        <w:rPr>
          <w:rFonts w:hint="eastAsia"/>
          <w:sz w:val="24"/>
        </w:rPr>
        <w:t>61-</w:t>
      </w:r>
      <w:r>
        <w:rPr>
          <w:rFonts w:hint="eastAsia"/>
          <w:sz w:val="24"/>
        </w:rPr>
        <w:t>平</w:t>
      </w:r>
      <w:r>
        <w:rPr>
          <w:rFonts w:hint="eastAsia"/>
          <w:sz w:val="24"/>
        </w:rPr>
        <w:t>13</w:t>
      </w:r>
      <w:r>
        <w:rPr>
          <w:rFonts w:hint="eastAsia"/>
          <w:sz w:val="24"/>
        </w:rPr>
        <w:t>，排</w:t>
      </w:r>
      <w:r>
        <w:rPr>
          <w:rFonts w:hint="eastAsia"/>
          <w:sz w:val="24"/>
        </w:rPr>
        <w:t>61-</w:t>
      </w:r>
      <w:r>
        <w:rPr>
          <w:rFonts w:hint="eastAsia"/>
          <w:sz w:val="24"/>
        </w:rPr>
        <w:t>平</w:t>
      </w:r>
      <w:r>
        <w:rPr>
          <w:rFonts w:hint="eastAsia"/>
          <w:sz w:val="24"/>
        </w:rPr>
        <w:t>14</w:t>
      </w:r>
      <w:r>
        <w:rPr>
          <w:rFonts w:hint="eastAsia"/>
          <w:sz w:val="24"/>
        </w:rPr>
        <w:t>，排</w:t>
      </w:r>
      <w:r>
        <w:rPr>
          <w:rFonts w:hint="eastAsia"/>
          <w:sz w:val="24"/>
        </w:rPr>
        <w:t>61-</w:t>
      </w:r>
      <w:r>
        <w:rPr>
          <w:rFonts w:hint="eastAsia"/>
          <w:sz w:val="24"/>
        </w:rPr>
        <w:t>平</w:t>
      </w:r>
      <w:r>
        <w:rPr>
          <w:rFonts w:hint="eastAsia"/>
          <w:sz w:val="24"/>
        </w:rPr>
        <w:t>15</w:t>
      </w:r>
      <w:r>
        <w:rPr>
          <w:rFonts w:hint="eastAsia"/>
          <w:sz w:val="24"/>
        </w:rPr>
        <w:t>，排</w:t>
      </w:r>
      <w:r>
        <w:rPr>
          <w:rFonts w:hint="eastAsia"/>
          <w:sz w:val="24"/>
        </w:rPr>
        <w:t>61-</w:t>
      </w:r>
      <w:r>
        <w:rPr>
          <w:rFonts w:hint="eastAsia"/>
          <w:sz w:val="24"/>
        </w:rPr>
        <w:t>平</w:t>
      </w:r>
      <w:r>
        <w:rPr>
          <w:rFonts w:hint="eastAsia"/>
          <w:sz w:val="24"/>
        </w:rPr>
        <w:t>16</w:t>
      </w:r>
      <w:r>
        <w:rPr>
          <w:rFonts w:hint="eastAsia"/>
          <w:sz w:val="24"/>
        </w:rPr>
        <w:t>，排</w:t>
      </w:r>
      <w:r>
        <w:rPr>
          <w:rFonts w:hint="eastAsia"/>
          <w:sz w:val="24"/>
        </w:rPr>
        <w:t>61-</w:t>
      </w:r>
      <w:r>
        <w:rPr>
          <w:rFonts w:hint="eastAsia"/>
          <w:sz w:val="24"/>
        </w:rPr>
        <w:t>平</w:t>
      </w:r>
      <w:r>
        <w:rPr>
          <w:rFonts w:hint="eastAsia"/>
          <w:sz w:val="24"/>
        </w:rPr>
        <w:t>17</w:t>
      </w:r>
      <w:r>
        <w:rPr>
          <w:rFonts w:hint="eastAsia"/>
          <w:sz w:val="24"/>
        </w:rPr>
        <w:t>井后期热采，推荐</w:t>
      </w:r>
      <w:r>
        <w:rPr>
          <w:rFonts w:hint="eastAsia"/>
          <w:sz w:val="24"/>
        </w:rPr>
        <w:t>114.3mm</w:t>
      </w:r>
      <w:r>
        <w:rPr>
          <w:rFonts w:hint="eastAsia"/>
          <w:sz w:val="24"/>
        </w:rPr>
        <w:t>尾管钢级为</w:t>
      </w:r>
      <w:r>
        <w:rPr>
          <w:rFonts w:hint="eastAsia"/>
          <w:sz w:val="24"/>
        </w:rPr>
        <w:t>P110HB</w:t>
      </w:r>
      <w:r>
        <w:rPr>
          <w:rFonts w:hint="eastAsia"/>
          <w:sz w:val="24"/>
        </w:rPr>
        <w:t>，壁厚为</w:t>
      </w:r>
      <w:r>
        <w:rPr>
          <w:rFonts w:hint="eastAsia"/>
          <w:sz w:val="24"/>
        </w:rPr>
        <w:t>8.56mm</w:t>
      </w:r>
      <w:r>
        <w:rPr>
          <w:rFonts w:hint="eastAsia"/>
          <w:sz w:val="24"/>
        </w:rPr>
        <w:t>。</w:t>
      </w:r>
    </w:p>
    <w:p w:rsidR="00EE4502" w:rsidRDefault="00FD45A3">
      <w:pPr>
        <w:spacing w:line="360" w:lineRule="auto"/>
        <w:ind w:firstLine="482"/>
        <w:rPr>
          <w:sz w:val="24"/>
        </w:rPr>
      </w:pPr>
      <w:r>
        <w:rPr>
          <w:rFonts w:hint="eastAsia"/>
          <w:sz w:val="24"/>
        </w:rPr>
        <w:t>177.8mm</w:t>
      </w:r>
      <w:r>
        <w:rPr>
          <w:rFonts w:hint="eastAsia"/>
          <w:sz w:val="24"/>
        </w:rPr>
        <w:t>套管悬挂Ф</w:t>
      </w:r>
      <w:r>
        <w:rPr>
          <w:rFonts w:hint="eastAsia"/>
          <w:sz w:val="24"/>
        </w:rPr>
        <w:t>114.3mm</w:t>
      </w:r>
      <w:r>
        <w:rPr>
          <w:rFonts w:hint="eastAsia"/>
          <w:sz w:val="24"/>
        </w:rPr>
        <w:t>的尾管的工艺管柱如下所示</w:t>
      </w:r>
      <w:r>
        <w:rPr>
          <w:rFonts w:hint="eastAsia"/>
          <w:sz w:val="24"/>
        </w:rPr>
        <w:t>：</w:t>
      </w:r>
    </w:p>
    <w:p w:rsidR="00EE4502" w:rsidRDefault="00EE4502">
      <w:pPr>
        <w:spacing w:line="360" w:lineRule="auto"/>
        <w:jc w:val="center"/>
        <w:rPr>
          <w:sz w:val="24"/>
        </w:rPr>
      </w:pPr>
    </w:p>
    <w:p w:rsidR="00EE4502" w:rsidRDefault="00FD45A3">
      <w:pPr>
        <w:spacing w:line="360" w:lineRule="auto"/>
        <w:jc w:val="center"/>
        <w:rPr>
          <w:szCs w:val="21"/>
        </w:rPr>
      </w:pPr>
      <w:r>
        <w:rPr>
          <w:rFonts w:eastAsia="黑体" w:hAnsi="黑体" w:hint="eastAsia"/>
          <w:bCs/>
          <w:szCs w:val="21"/>
        </w:rPr>
        <w:t>图</w:t>
      </w:r>
      <w:r>
        <w:rPr>
          <w:rFonts w:eastAsia="黑体" w:hAnsi="黑体" w:hint="eastAsia"/>
          <w:bCs/>
          <w:szCs w:val="21"/>
        </w:rPr>
        <w:t>3-3</w:t>
      </w:r>
      <w:r>
        <w:rPr>
          <w:rFonts w:eastAsia="黑体" w:hAnsi="黑体" w:hint="eastAsia"/>
          <w:bCs/>
          <w:szCs w:val="21"/>
        </w:rPr>
        <w:t>-</w:t>
      </w:r>
      <w:r>
        <w:rPr>
          <w:rFonts w:eastAsia="黑体" w:hAnsi="黑体" w:hint="eastAsia"/>
          <w:bCs/>
          <w:szCs w:val="21"/>
        </w:rPr>
        <w:t>24</w:t>
      </w:r>
      <w:r>
        <w:rPr>
          <w:rFonts w:eastAsia="黑体" w:hAnsi="黑体"/>
          <w:bCs/>
          <w:szCs w:val="21"/>
        </w:rPr>
        <w:t xml:space="preserve">  </w:t>
      </w:r>
      <w:r>
        <w:rPr>
          <w:rFonts w:eastAsia="黑体" w:hAnsi="黑体" w:hint="eastAsia"/>
          <w:bCs/>
          <w:szCs w:val="21"/>
        </w:rPr>
        <w:t>177.8mm</w:t>
      </w:r>
      <w:r>
        <w:rPr>
          <w:rFonts w:eastAsia="黑体" w:hAnsi="黑体" w:hint="eastAsia"/>
          <w:bCs/>
          <w:szCs w:val="21"/>
        </w:rPr>
        <w:t>套管悬挂Ф</w:t>
      </w:r>
      <w:r>
        <w:rPr>
          <w:rFonts w:eastAsia="黑体" w:hAnsi="黑体" w:hint="eastAsia"/>
          <w:bCs/>
          <w:szCs w:val="21"/>
        </w:rPr>
        <w:t>114.3mm</w:t>
      </w:r>
      <w:r>
        <w:rPr>
          <w:rFonts w:eastAsia="黑体" w:hAnsi="黑体" w:hint="eastAsia"/>
          <w:bCs/>
          <w:szCs w:val="21"/>
        </w:rPr>
        <w:t>的尾管示意图</w:t>
      </w:r>
    </w:p>
    <w:p w:rsidR="00EE4502" w:rsidRDefault="00FD45A3">
      <w:pPr>
        <w:spacing w:line="360" w:lineRule="auto"/>
        <w:ind w:firstLine="482"/>
        <w:rPr>
          <w:sz w:val="24"/>
        </w:rPr>
      </w:pPr>
      <w:r>
        <w:rPr>
          <w:rFonts w:hint="eastAsia"/>
          <w:sz w:val="24"/>
        </w:rPr>
        <w:t>（</w:t>
      </w:r>
      <w:r>
        <w:rPr>
          <w:rFonts w:hint="eastAsia"/>
          <w:sz w:val="24"/>
        </w:rPr>
        <w:t>3</w:t>
      </w:r>
      <w:r>
        <w:rPr>
          <w:rFonts w:hint="eastAsia"/>
          <w:sz w:val="24"/>
        </w:rPr>
        <w:t>）举升工艺设计</w:t>
      </w:r>
    </w:p>
    <w:p w:rsidR="00EE4502" w:rsidRDefault="00FD45A3">
      <w:pPr>
        <w:spacing w:line="360" w:lineRule="auto"/>
        <w:ind w:firstLine="482"/>
        <w:rPr>
          <w:sz w:val="24"/>
        </w:rPr>
      </w:pPr>
      <w:r>
        <w:rPr>
          <w:sz w:val="24"/>
        </w:rPr>
        <w:t>1</w:t>
      </w:r>
      <w:r>
        <w:rPr>
          <w:rFonts w:hint="eastAsia"/>
          <w:sz w:val="24"/>
        </w:rPr>
        <w:t>）举升方式</w:t>
      </w:r>
    </w:p>
    <w:p w:rsidR="00EE4502" w:rsidRDefault="00FD45A3">
      <w:pPr>
        <w:spacing w:line="360" w:lineRule="auto"/>
        <w:ind w:firstLine="482"/>
        <w:rPr>
          <w:sz w:val="24"/>
        </w:rPr>
      </w:pPr>
      <w:r>
        <w:rPr>
          <w:rFonts w:hint="eastAsia"/>
          <w:sz w:val="24"/>
        </w:rPr>
        <w:t>考虑该块油井</w:t>
      </w:r>
      <w:r>
        <w:rPr>
          <w:rFonts w:hint="eastAsia"/>
          <w:sz w:val="24"/>
        </w:rPr>
        <w:t>15</w:t>
      </w:r>
      <w:r>
        <w:rPr>
          <w:rFonts w:hint="eastAsia"/>
          <w:sz w:val="24"/>
        </w:rPr>
        <w:t>年配产最高日液</w:t>
      </w:r>
      <w:r>
        <w:rPr>
          <w:rFonts w:hint="eastAsia"/>
          <w:sz w:val="24"/>
        </w:rPr>
        <w:t>量</w:t>
      </w:r>
      <w:r>
        <w:rPr>
          <w:rFonts w:hint="eastAsia"/>
          <w:sz w:val="24"/>
        </w:rPr>
        <w:t>、新井井斜（</w:t>
      </w:r>
      <w:r>
        <w:rPr>
          <w:rFonts w:hint="eastAsia"/>
          <w:sz w:val="24"/>
        </w:rPr>
        <w:t>77.67-89.21</w:t>
      </w:r>
      <w:r>
        <w:rPr>
          <w:rFonts w:hint="eastAsia"/>
          <w:sz w:val="24"/>
        </w:rPr>
        <w:t>°）情况，同时兼顾维护简便性、系统灵活性、生产测试等方面，优选有杆泵举升方式。</w:t>
      </w:r>
    </w:p>
    <w:p w:rsidR="00EE4502" w:rsidRDefault="00FD45A3">
      <w:pPr>
        <w:spacing w:line="360" w:lineRule="auto"/>
        <w:ind w:firstLine="482"/>
        <w:rPr>
          <w:sz w:val="24"/>
        </w:rPr>
      </w:pPr>
      <w:r>
        <w:rPr>
          <w:rFonts w:hint="eastAsia"/>
          <w:sz w:val="24"/>
        </w:rPr>
        <w:t>2</w:t>
      </w:r>
      <w:r>
        <w:rPr>
          <w:rFonts w:hint="eastAsia"/>
          <w:sz w:val="24"/>
        </w:rPr>
        <w:t>）举升工艺参数设计</w:t>
      </w:r>
    </w:p>
    <w:p w:rsidR="00EE4502" w:rsidRDefault="00FD45A3">
      <w:pPr>
        <w:spacing w:line="360" w:lineRule="auto"/>
        <w:ind w:firstLine="482"/>
        <w:rPr>
          <w:sz w:val="24"/>
        </w:rPr>
      </w:pPr>
      <w:r>
        <w:rPr>
          <w:rFonts w:ascii="宋体" w:hAnsi="宋体" w:hint="eastAsia"/>
          <w:sz w:val="24"/>
        </w:rPr>
        <w:t>①</w:t>
      </w:r>
      <w:r>
        <w:rPr>
          <w:rFonts w:hint="eastAsia"/>
          <w:sz w:val="24"/>
        </w:rPr>
        <w:t>泵型及工作制度</w:t>
      </w:r>
    </w:p>
    <w:p w:rsidR="00EE4502" w:rsidRDefault="00FD45A3">
      <w:pPr>
        <w:spacing w:line="360" w:lineRule="auto"/>
        <w:ind w:firstLine="482"/>
        <w:rPr>
          <w:sz w:val="24"/>
        </w:rPr>
      </w:pPr>
      <w:r>
        <w:rPr>
          <w:rFonts w:hint="eastAsia"/>
          <w:sz w:val="24"/>
        </w:rPr>
        <w:t>设计下泵深度</w:t>
      </w:r>
      <w:r>
        <w:rPr>
          <w:rFonts w:hint="eastAsia"/>
          <w:sz w:val="24"/>
        </w:rPr>
        <w:t>850m</w:t>
      </w:r>
      <w:r>
        <w:rPr>
          <w:rFonts w:hint="eastAsia"/>
          <w:sz w:val="24"/>
        </w:rPr>
        <w:t>，泵吸入口压力为</w:t>
      </w:r>
      <w:r>
        <w:rPr>
          <w:rFonts w:hint="eastAsia"/>
          <w:sz w:val="24"/>
        </w:rPr>
        <w:t>3.8Mpa</w:t>
      </w:r>
      <w:r>
        <w:rPr>
          <w:rFonts w:hint="eastAsia"/>
          <w:sz w:val="24"/>
        </w:rPr>
        <w:t>。</w:t>
      </w:r>
      <w:r>
        <w:rPr>
          <w:rFonts w:hint="eastAsia"/>
          <w:sz w:val="24"/>
        </w:rPr>
        <w:t>采用</w:t>
      </w:r>
      <w:r>
        <w:rPr>
          <w:rFonts w:hint="eastAsia"/>
          <w:sz w:val="24"/>
        </w:rPr>
        <w:t>CYB70/32</w:t>
      </w:r>
      <w:r>
        <w:rPr>
          <w:rFonts w:hint="eastAsia"/>
          <w:sz w:val="24"/>
        </w:rPr>
        <w:t>抽稠泵生产，工作制度为冲程</w:t>
      </w:r>
      <w:r>
        <w:rPr>
          <w:rFonts w:hint="eastAsia"/>
          <w:sz w:val="24"/>
        </w:rPr>
        <w:t>4m</w:t>
      </w:r>
      <w:r>
        <w:rPr>
          <w:rFonts w:hint="eastAsia"/>
          <w:sz w:val="24"/>
        </w:rPr>
        <w:t>、冲次</w:t>
      </w:r>
      <w:r>
        <w:rPr>
          <w:rFonts w:hint="eastAsia"/>
          <w:sz w:val="24"/>
        </w:rPr>
        <w:t>1.0min</w:t>
      </w:r>
      <w:r>
        <w:rPr>
          <w:rFonts w:hint="eastAsia"/>
          <w:sz w:val="24"/>
          <w:vertAlign w:val="superscript"/>
        </w:rPr>
        <w:t>-1</w:t>
      </w:r>
      <w:r>
        <w:rPr>
          <w:rFonts w:hint="eastAsia"/>
          <w:sz w:val="24"/>
        </w:rPr>
        <w:t>，生产中可根据实际产量进行冲次的调整。</w:t>
      </w:r>
    </w:p>
    <w:p w:rsidR="00EE4502" w:rsidRDefault="00FD45A3">
      <w:pPr>
        <w:spacing w:line="360" w:lineRule="auto"/>
        <w:ind w:firstLine="482"/>
        <w:rPr>
          <w:sz w:val="24"/>
        </w:rPr>
      </w:pPr>
      <w:r>
        <w:rPr>
          <w:rFonts w:ascii="宋体" w:hAnsi="宋体" w:hint="eastAsia"/>
          <w:sz w:val="24"/>
        </w:rPr>
        <w:t>②</w:t>
      </w:r>
      <w:r>
        <w:rPr>
          <w:rFonts w:hint="eastAsia"/>
          <w:sz w:val="24"/>
        </w:rPr>
        <w:t>杆、管柱设计</w:t>
      </w:r>
    </w:p>
    <w:p w:rsidR="00EE4502" w:rsidRDefault="00FD45A3">
      <w:pPr>
        <w:spacing w:line="360" w:lineRule="auto"/>
        <w:ind w:firstLine="482"/>
        <w:rPr>
          <w:sz w:val="24"/>
        </w:rPr>
      </w:pPr>
      <w:r>
        <w:rPr>
          <w:rFonts w:hint="eastAsia"/>
          <w:sz w:val="24"/>
        </w:rPr>
        <w:t>结合区块油井的生产情况，油管优化采用</w:t>
      </w:r>
      <w:r>
        <w:rPr>
          <w:rFonts w:hint="eastAsia"/>
          <w:sz w:val="24"/>
        </w:rPr>
        <w:t>N80</w:t>
      </w:r>
      <w:r>
        <w:rPr>
          <w:rFonts w:hint="eastAsia"/>
          <w:sz w:val="24"/>
        </w:rPr>
        <w:t>油管</w:t>
      </w:r>
      <w:r>
        <w:rPr>
          <w:rFonts w:hint="eastAsia"/>
          <w:sz w:val="24"/>
        </w:rPr>
        <w:t>；抽油杆柱采用</w:t>
      </w:r>
      <w:r>
        <w:rPr>
          <w:rFonts w:hint="eastAsia"/>
          <w:sz w:val="24"/>
        </w:rPr>
        <w:t>D</w:t>
      </w:r>
      <w:r>
        <w:rPr>
          <w:rFonts w:hint="eastAsia"/>
          <w:sz w:val="24"/>
        </w:rPr>
        <w:t>级抽油杆。</w:t>
      </w:r>
    </w:p>
    <w:p w:rsidR="00EE4502" w:rsidRDefault="00FD45A3">
      <w:pPr>
        <w:spacing w:line="360" w:lineRule="auto"/>
        <w:ind w:firstLine="482"/>
        <w:rPr>
          <w:sz w:val="24"/>
        </w:rPr>
      </w:pPr>
      <w:r>
        <w:rPr>
          <w:rFonts w:ascii="宋体" w:hAnsi="宋体" w:hint="eastAsia"/>
          <w:sz w:val="24"/>
        </w:rPr>
        <w:t>③</w:t>
      </w:r>
      <w:r>
        <w:rPr>
          <w:rFonts w:hint="eastAsia"/>
          <w:sz w:val="24"/>
        </w:rPr>
        <w:t>抽油机选型</w:t>
      </w:r>
    </w:p>
    <w:p w:rsidR="00EE4502" w:rsidRDefault="00FD45A3">
      <w:pPr>
        <w:spacing w:line="360" w:lineRule="auto"/>
        <w:ind w:firstLine="482"/>
        <w:rPr>
          <w:sz w:val="24"/>
        </w:rPr>
      </w:pPr>
      <w:r>
        <w:rPr>
          <w:rFonts w:hint="eastAsia"/>
          <w:sz w:val="24"/>
        </w:rPr>
        <w:t>根据资料，抽油机选型为</w:t>
      </w:r>
      <w:r>
        <w:rPr>
          <w:rFonts w:hint="eastAsia"/>
          <w:sz w:val="24"/>
        </w:rPr>
        <w:t>8</w:t>
      </w:r>
      <w:r>
        <w:rPr>
          <w:rFonts w:hint="eastAsia"/>
          <w:sz w:val="24"/>
        </w:rPr>
        <w:t>型抽油机</w:t>
      </w:r>
      <w:r>
        <w:rPr>
          <w:rFonts w:hint="eastAsia"/>
          <w:sz w:val="24"/>
        </w:rPr>
        <w:t>。</w:t>
      </w:r>
    </w:p>
    <w:p w:rsidR="00EE4502" w:rsidRDefault="00FD45A3">
      <w:pPr>
        <w:spacing w:line="360" w:lineRule="auto"/>
        <w:ind w:firstLine="482"/>
        <w:rPr>
          <w:sz w:val="24"/>
        </w:rPr>
      </w:pPr>
      <w:r>
        <w:rPr>
          <w:rFonts w:ascii="宋体" w:hAnsi="宋体" w:hint="eastAsia"/>
          <w:sz w:val="24"/>
        </w:rPr>
        <w:t>④</w:t>
      </w:r>
      <w:r>
        <w:rPr>
          <w:rFonts w:hint="eastAsia"/>
          <w:sz w:val="24"/>
        </w:rPr>
        <w:t>井筒降粘工艺</w:t>
      </w:r>
    </w:p>
    <w:p w:rsidR="00EE4502" w:rsidRDefault="00FD45A3">
      <w:pPr>
        <w:spacing w:line="360" w:lineRule="auto"/>
        <w:ind w:firstLine="482"/>
        <w:rPr>
          <w:sz w:val="24"/>
        </w:rPr>
      </w:pPr>
      <w:r>
        <w:rPr>
          <w:rFonts w:hint="eastAsia"/>
          <w:sz w:val="24"/>
        </w:rPr>
        <w:t>排</w:t>
      </w:r>
      <w:r>
        <w:rPr>
          <w:rFonts w:hint="eastAsia"/>
          <w:sz w:val="24"/>
        </w:rPr>
        <w:t>61</w:t>
      </w:r>
      <w:r>
        <w:rPr>
          <w:rFonts w:hint="eastAsia"/>
          <w:sz w:val="24"/>
        </w:rPr>
        <w:t>原油粘度大约在</w:t>
      </w:r>
      <w:r>
        <w:rPr>
          <w:rFonts w:hint="eastAsia"/>
          <w:sz w:val="24"/>
        </w:rPr>
        <w:t>10000-20000mPa.s</w:t>
      </w:r>
      <w:r>
        <w:rPr>
          <w:rFonts w:hint="eastAsia"/>
          <w:sz w:val="24"/>
        </w:rPr>
        <w:t>，泵挂处原油粘度在</w:t>
      </w:r>
      <w:r>
        <w:rPr>
          <w:rFonts w:hint="eastAsia"/>
          <w:sz w:val="24"/>
        </w:rPr>
        <w:t>2000-4800mPa.s</w:t>
      </w:r>
      <w:r>
        <w:rPr>
          <w:rFonts w:hint="eastAsia"/>
          <w:sz w:val="24"/>
        </w:rPr>
        <w:t>，</w:t>
      </w:r>
      <w:r>
        <w:rPr>
          <w:rFonts w:hint="eastAsia"/>
          <w:sz w:val="24"/>
        </w:rPr>
        <w:t>需</w:t>
      </w:r>
      <w:r>
        <w:rPr>
          <w:rFonts w:hint="eastAsia"/>
          <w:sz w:val="24"/>
        </w:rPr>
        <w:t>配套相应的井筒降粘措施。降粘方式为电加热降粘，加热功率</w:t>
      </w:r>
      <w:r>
        <w:rPr>
          <w:rFonts w:hint="eastAsia"/>
          <w:sz w:val="24"/>
        </w:rPr>
        <w:t>80</w:t>
      </w:r>
      <w:r>
        <w:rPr>
          <w:rFonts w:hint="eastAsia"/>
          <w:sz w:val="24"/>
        </w:rPr>
        <w:t>k</w:t>
      </w:r>
      <w:r>
        <w:rPr>
          <w:rFonts w:hint="eastAsia"/>
          <w:sz w:val="24"/>
        </w:rPr>
        <w:t>W</w:t>
      </w:r>
      <w:r>
        <w:rPr>
          <w:rFonts w:hint="eastAsia"/>
          <w:sz w:val="24"/>
        </w:rPr>
        <w:t>。</w:t>
      </w:r>
    </w:p>
    <w:p w:rsidR="00EE4502" w:rsidRDefault="00FD45A3">
      <w:pPr>
        <w:spacing w:line="360" w:lineRule="auto"/>
        <w:ind w:firstLine="482"/>
        <w:rPr>
          <w:sz w:val="24"/>
        </w:rPr>
      </w:pPr>
      <w:r>
        <w:rPr>
          <w:rFonts w:hint="eastAsia"/>
          <w:sz w:val="24"/>
        </w:rPr>
        <w:t>（</w:t>
      </w:r>
      <w:r>
        <w:rPr>
          <w:rFonts w:hint="eastAsia"/>
          <w:sz w:val="24"/>
        </w:rPr>
        <w:t>4</w:t>
      </w:r>
      <w:r>
        <w:rPr>
          <w:rFonts w:hint="eastAsia"/>
          <w:sz w:val="24"/>
        </w:rPr>
        <w:t>）油层保护工艺</w:t>
      </w:r>
    </w:p>
    <w:p w:rsidR="00EE4502" w:rsidRDefault="00FD45A3">
      <w:pPr>
        <w:spacing w:line="360" w:lineRule="auto"/>
        <w:ind w:firstLine="482"/>
        <w:rPr>
          <w:sz w:val="24"/>
        </w:rPr>
      </w:pPr>
      <w:r>
        <w:rPr>
          <w:rFonts w:hint="eastAsia"/>
          <w:sz w:val="24"/>
        </w:rPr>
        <w:t>1</w:t>
      </w:r>
      <w:r>
        <w:rPr>
          <w:rFonts w:hint="eastAsia"/>
          <w:sz w:val="24"/>
        </w:rPr>
        <w:t>）固井过程中的油层保护工艺</w:t>
      </w:r>
    </w:p>
    <w:p w:rsidR="00EE4502" w:rsidRDefault="00FD45A3">
      <w:pPr>
        <w:spacing w:line="360" w:lineRule="auto"/>
        <w:ind w:firstLine="482"/>
        <w:rPr>
          <w:sz w:val="24"/>
        </w:rPr>
      </w:pPr>
      <w:r>
        <w:rPr>
          <w:rFonts w:hint="eastAsia"/>
          <w:sz w:val="24"/>
        </w:rPr>
        <w:t>①</w:t>
      </w:r>
      <w:r>
        <w:rPr>
          <w:rFonts w:hint="eastAsia"/>
          <w:sz w:val="24"/>
        </w:rPr>
        <w:t>优化水泥浆配方，提升固井质量。</w:t>
      </w:r>
    </w:p>
    <w:p w:rsidR="00EE4502" w:rsidRDefault="00FD45A3">
      <w:pPr>
        <w:spacing w:line="360" w:lineRule="auto"/>
        <w:ind w:firstLine="482"/>
        <w:rPr>
          <w:sz w:val="24"/>
        </w:rPr>
      </w:pPr>
      <w:r>
        <w:rPr>
          <w:rFonts w:hint="eastAsia"/>
          <w:sz w:val="24"/>
        </w:rPr>
        <w:t>②</w:t>
      </w:r>
      <w:r>
        <w:rPr>
          <w:rFonts w:hint="eastAsia"/>
          <w:sz w:val="24"/>
        </w:rPr>
        <w:t>套管采取扶正措施，套管居中度大于</w:t>
      </w:r>
      <w:r>
        <w:rPr>
          <w:rFonts w:hint="eastAsia"/>
          <w:sz w:val="24"/>
        </w:rPr>
        <w:t>80%</w:t>
      </w:r>
      <w:r>
        <w:rPr>
          <w:rFonts w:hint="eastAsia"/>
          <w:sz w:val="24"/>
        </w:rPr>
        <w:t>。</w:t>
      </w:r>
    </w:p>
    <w:p w:rsidR="00EE4502" w:rsidRDefault="00FD45A3">
      <w:pPr>
        <w:spacing w:line="360" w:lineRule="auto"/>
        <w:ind w:firstLine="482"/>
        <w:rPr>
          <w:sz w:val="24"/>
        </w:rPr>
      </w:pPr>
      <w:r>
        <w:rPr>
          <w:rFonts w:hint="eastAsia"/>
          <w:sz w:val="24"/>
        </w:rPr>
        <w:lastRenderedPageBreak/>
        <w:t>③</w:t>
      </w:r>
      <w:r>
        <w:rPr>
          <w:rFonts w:hint="eastAsia"/>
          <w:sz w:val="24"/>
        </w:rPr>
        <w:t>固井的前置液、隔离液、地层水应相互配伍、并与水泥浆相容</w:t>
      </w:r>
      <w:r>
        <w:rPr>
          <w:rFonts w:hint="eastAsia"/>
          <w:sz w:val="24"/>
        </w:rPr>
        <w:t>。</w:t>
      </w:r>
    </w:p>
    <w:p w:rsidR="00EE4502" w:rsidRDefault="00FD45A3">
      <w:pPr>
        <w:spacing w:line="360" w:lineRule="auto"/>
        <w:ind w:firstLine="482"/>
        <w:rPr>
          <w:sz w:val="24"/>
        </w:rPr>
      </w:pPr>
      <w:r>
        <w:rPr>
          <w:rFonts w:hint="eastAsia"/>
          <w:sz w:val="24"/>
        </w:rPr>
        <w:t>2</w:t>
      </w:r>
      <w:r>
        <w:rPr>
          <w:rFonts w:hint="eastAsia"/>
          <w:sz w:val="24"/>
        </w:rPr>
        <w:t>）生产作业过程中油层保护措施及要求</w:t>
      </w:r>
    </w:p>
    <w:p w:rsidR="00EE4502" w:rsidRDefault="00FD45A3">
      <w:pPr>
        <w:spacing w:line="360" w:lineRule="auto"/>
        <w:ind w:firstLine="482"/>
        <w:rPr>
          <w:sz w:val="24"/>
        </w:rPr>
      </w:pPr>
      <w:r>
        <w:rPr>
          <w:rFonts w:hint="eastAsia"/>
          <w:sz w:val="24"/>
        </w:rPr>
        <w:t>①入井液基液与地层不发生</w:t>
      </w:r>
      <w:r>
        <w:rPr>
          <w:rFonts w:hint="eastAsia"/>
          <w:sz w:val="24"/>
        </w:rPr>
        <w:t>水敏、不产生结垢，与地层原油不发生乳化等不配伍现象；</w:t>
      </w:r>
    </w:p>
    <w:p w:rsidR="00EE4502" w:rsidRDefault="00FD45A3">
      <w:pPr>
        <w:spacing w:line="360" w:lineRule="auto"/>
        <w:ind w:firstLine="482"/>
        <w:rPr>
          <w:sz w:val="24"/>
        </w:rPr>
      </w:pPr>
      <w:r>
        <w:rPr>
          <w:rFonts w:hint="eastAsia"/>
          <w:sz w:val="24"/>
        </w:rPr>
        <w:t>②入井液悬浮固体含量≤</w:t>
      </w:r>
      <w:r>
        <w:rPr>
          <w:rFonts w:hint="eastAsia"/>
          <w:sz w:val="24"/>
        </w:rPr>
        <w:t>3.</w:t>
      </w:r>
      <w:r>
        <w:rPr>
          <w:sz w:val="24"/>
        </w:rPr>
        <w:t>0 mg/L</w:t>
      </w:r>
      <w:r>
        <w:rPr>
          <w:sz w:val="24"/>
        </w:rPr>
        <w:t>；悬浮固体颗粒直径中值</w:t>
      </w:r>
      <w:r>
        <w:rPr>
          <w:sz w:val="24"/>
        </w:rPr>
        <w:t>≤2.0μm</w:t>
      </w:r>
      <w:r>
        <w:rPr>
          <w:sz w:val="24"/>
        </w:rPr>
        <w:t>；含油量</w:t>
      </w:r>
      <w:r>
        <w:rPr>
          <w:sz w:val="24"/>
        </w:rPr>
        <w:t>≤8.0mg/L</w:t>
      </w:r>
      <w:r>
        <w:rPr>
          <w:sz w:val="24"/>
        </w:rPr>
        <w:t>；</w:t>
      </w:r>
      <w:r>
        <w:rPr>
          <w:sz w:val="24"/>
        </w:rPr>
        <w:t>pH</w:t>
      </w:r>
      <w:r>
        <w:rPr>
          <w:sz w:val="24"/>
        </w:rPr>
        <w:t>值为</w:t>
      </w:r>
      <w:r>
        <w:rPr>
          <w:sz w:val="24"/>
        </w:rPr>
        <w:t>6.0</w:t>
      </w:r>
      <w:r>
        <w:rPr>
          <w:sz w:val="24"/>
        </w:rPr>
        <w:t>～</w:t>
      </w:r>
      <w:r>
        <w:rPr>
          <w:sz w:val="24"/>
        </w:rPr>
        <w:t>8.0</w:t>
      </w:r>
      <w:r>
        <w:rPr>
          <w:rFonts w:hint="eastAsia"/>
          <w:sz w:val="24"/>
        </w:rPr>
        <w:t>。</w:t>
      </w:r>
    </w:p>
    <w:p w:rsidR="00EE4502" w:rsidRDefault="00FD45A3">
      <w:pPr>
        <w:pStyle w:val="41"/>
        <w:numPr>
          <w:ilvl w:val="3"/>
          <w:numId w:val="30"/>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hint="eastAsia"/>
          <w:bCs w:val="0"/>
          <w:sz w:val="24"/>
          <w:szCs w:val="24"/>
        </w:rPr>
        <w:t>油气集输系统</w:t>
      </w:r>
    </w:p>
    <w:p w:rsidR="00EE4502" w:rsidRDefault="00FD45A3">
      <w:pPr>
        <w:spacing w:line="360" w:lineRule="auto"/>
        <w:ind w:firstLine="482"/>
        <w:rPr>
          <w:sz w:val="24"/>
        </w:rPr>
      </w:pPr>
      <w:r>
        <w:rPr>
          <w:rFonts w:hint="eastAsia"/>
          <w:sz w:val="24"/>
        </w:rPr>
        <w:t>本工程排</w:t>
      </w:r>
      <w:r>
        <w:rPr>
          <w:rFonts w:hint="eastAsia"/>
          <w:sz w:val="24"/>
        </w:rPr>
        <w:t>61</w:t>
      </w:r>
      <w:r>
        <w:rPr>
          <w:rFonts w:hint="eastAsia"/>
          <w:sz w:val="24"/>
        </w:rPr>
        <w:t>块</w:t>
      </w:r>
      <w:r>
        <w:rPr>
          <w:rFonts w:hint="eastAsia"/>
          <w:sz w:val="24"/>
        </w:rPr>
        <w:t>原油为一般稠油，区块内无已建集输系统，计划依托排</w:t>
      </w:r>
      <w:r>
        <w:rPr>
          <w:rFonts w:hint="eastAsia"/>
          <w:sz w:val="24"/>
        </w:rPr>
        <w:t>612</w:t>
      </w:r>
      <w:r>
        <w:rPr>
          <w:rFonts w:hint="eastAsia"/>
          <w:sz w:val="24"/>
        </w:rPr>
        <w:t>区块，新建掺水管输工艺生产。</w:t>
      </w:r>
      <w:r>
        <w:rPr>
          <w:rFonts w:hint="eastAsia"/>
          <w:sz w:val="24"/>
        </w:rPr>
        <w:t>1#</w:t>
      </w:r>
      <w:r>
        <w:rPr>
          <w:rFonts w:hint="eastAsia"/>
          <w:sz w:val="24"/>
        </w:rPr>
        <w:t>增压站</w:t>
      </w:r>
      <w:r>
        <w:rPr>
          <w:rFonts w:hint="eastAsia"/>
          <w:sz w:val="24"/>
        </w:rPr>
        <w:t>新建分水工艺，分出采出水供排</w:t>
      </w:r>
      <w:r>
        <w:rPr>
          <w:rFonts w:hint="eastAsia"/>
          <w:sz w:val="24"/>
        </w:rPr>
        <w:t>61</w:t>
      </w:r>
      <w:r>
        <w:rPr>
          <w:rFonts w:hint="eastAsia"/>
          <w:sz w:val="24"/>
        </w:rPr>
        <w:t>区块油井生产</w:t>
      </w:r>
      <w:r>
        <w:rPr>
          <w:rFonts w:hint="eastAsia"/>
          <w:sz w:val="24"/>
        </w:rPr>
        <w:t>。</w:t>
      </w:r>
      <w:r>
        <w:rPr>
          <w:rFonts w:hint="eastAsia"/>
          <w:sz w:val="24"/>
        </w:rPr>
        <w:t>根据设计，</w:t>
      </w:r>
      <w:r>
        <w:rPr>
          <w:rFonts w:hint="eastAsia"/>
          <w:sz w:val="24"/>
        </w:rPr>
        <w:t>排</w:t>
      </w:r>
      <w:r>
        <w:rPr>
          <w:rFonts w:hint="eastAsia"/>
          <w:sz w:val="24"/>
        </w:rPr>
        <w:t>61</w:t>
      </w:r>
      <w:r>
        <w:rPr>
          <w:rFonts w:hint="eastAsia"/>
          <w:sz w:val="24"/>
        </w:rPr>
        <w:t>区块设计采用枝状串接管网掺水管输生产工艺，</w:t>
      </w:r>
      <w:r>
        <w:rPr>
          <w:rFonts w:hint="eastAsia"/>
          <w:sz w:val="24"/>
        </w:rPr>
        <w:t>在排</w:t>
      </w:r>
      <w:r>
        <w:rPr>
          <w:rFonts w:hint="eastAsia"/>
          <w:sz w:val="24"/>
        </w:rPr>
        <w:t>61-</w:t>
      </w:r>
      <w:r>
        <w:rPr>
          <w:rFonts w:hint="eastAsia"/>
          <w:sz w:val="24"/>
        </w:rPr>
        <w:t>平</w:t>
      </w:r>
      <w:r>
        <w:rPr>
          <w:rFonts w:hint="eastAsia"/>
          <w:sz w:val="24"/>
        </w:rPr>
        <w:t>14/</w:t>
      </w:r>
      <w:r>
        <w:rPr>
          <w:rFonts w:hint="eastAsia"/>
          <w:sz w:val="24"/>
        </w:rPr>
        <w:t>平</w:t>
      </w:r>
      <w:r>
        <w:rPr>
          <w:rFonts w:hint="eastAsia"/>
          <w:sz w:val="24"/>
        </w:rPr>
        <w:t>15</w:t>
      </w:r>
      <w:r>
        <w:rPr>
          <w:rFonts w:hint="eastAsia"/>
          <w:sz w:val="24"/>
        </w:rPr>
        <w:t>井</w:t>
      </w:r>
      <w:r>
        <w:rPr>
          <w:rFonts w:hint="eastAsia"/>
          <w:sz w:val="24"/>
        </w:rPr>
        <w:t>新增</w:t>
      </w:r>
      <w:r>
        <w:rPr>
          <w:rFonts w:hint="eastAsia"/>
          <w:sz w:val="24"/>
        </w:rPr>
        <w:t>1</w:t>
      </w:r>
      <w:r>
        <w:rPr>
          <w:rFonts w:hint="eastAsia"/>
          <w:sz w:val="24"/>
        </w:rPr>
        <w:t>处增压点，</w:t>
      </w:r>
      <w:r>
        <w:rPr>
          <w:rFonts w:hint="eastAsia"/>
          <w:sz w:val="24"/>
        </w:rPr>
        <w:t>在排</w:t>
      </w:r>
      <w:r>
        <w:rPr>
          <w:rFonts w:hint="eastAsia"/>
          <w:sz w:val="24"/>
        </w:rPr>
        <w:t>61</w:t>
      </w:r>
      <w:r>
        <w:rPr>
          <w:rFonts w:hint="eastAsia"/>
          <w:sz w:val="24"/>
        </w:rPr>
        <w:t>块新建</w:t>
      </w:r>
      <w:r>
        <w:rPr>
          <w:rFonts w:hint="eastAsia"/>
          <w:sz w:val="24"/>
        </w:rPr>
        <w:t>4</w:t>
      </w:r>
      <w:r>
        <w:rPr>
          <w:rFonts w:hint="eastAsia"/>
          <w:sz w:val="24"/>
        </w:rPr>
        <w:t>条集油支线、</w:t>
      </w:r>
      <w:r>
        <w:rPr>
          <w:rFonts w:hint="eastAsia"/>
          <w:sz w:val="24"/>
        </w:rPr>
        <w:t>4</w:t>
      </w:r>
      <w:r>
        <w:rPr>
          <w:rFonts w:hint="eastAsia"/>
          <w:sz w:val="24"/>
        </w:rPr>
        <w:t>处掺水点，井口产液增压输至</w:t>
      </w:r>
      <w:r>
        <w:rPr>
          <w:rFonts w:hint="eastAsia"/>
          <w:sz w:val="24"/>
        </w:rPr>
        <w:t>1#</w:t>
      </w:r>
      <w:r>
        <w:rPr>
          <w:rFonts w:hint="eastAsia"/>
          <w:sz w:val="24"/>
        </w:rPr>
        <w:t>增压站增压后输至春风二号联合站处理。支线末端新建掺水点，水源引自</w:t>
      </w:r>
      <w:r>
        <w:rPr>
          <w:rFonts w:hint="eastAsia"/>
          <w:sz w:val="24"/>
        </w:rPr>
        <w:t>1#</w:t>
      </w:r>
      <w:r>
        <w:rPr>
          <w:rFonts w:hint="eastAsia"/>
          <w:sz w:val="24"/>
        </w:rPr>
        <w:t>增压站采出水（就地分水改造）。</w:t>
      </w:r>
      <w:r>
        <w:rPr>
          <w:rFonts w:hint="eastAsia"/>
          <w:sz w:val="24"/>
        </w:rPr>
        <w:t>1#</w:t>
      </w:r>
      <w:r>
        <w:rPr>
          <w:rFonts w:hint="eastAsia"/>
          <w:sz w:val="24"/>
        </w:rPr>
        <w:t>增压站就地分水改造后密闭集输，伴生气就近接入</w:t>
      </w:r>
      <w:r>
        <w:rPr>
          <w:rFonts w:hint="eastAsia"/>
          <w:sz w:val="24"/>
        </w:rPr>
        <w:t>6#</w:t>
      </w:r>
      <w:r>
        <w:rPr>
          <w:rFonts w:hint="eastAsia"/>
          <w:sz w:val="24"/>
        </w:rPr>
        <w:t>注汽站掺烧，节约燃煤，新建</w:t>
      </w:r>
      <w:r>
        <w:rPr>
          <w:rFonts w:hint="eastAsia"/>
          <w:sz w:val="24"/>
        </w:rPr>
        <w:t>1#</w:t>
      </w:r>
      <w:r>
        <w:rPr>
          <w:rFonts w:hint="eastAsia"/>
          <w:sz w:val="24"/>
        </w:rPr>
        <w:t>增压站至</w:t>
      </w:r>
      <w:r>
        <w:rPr>
          <w:rFonts w:hint="eastAsia"/>
          <w:sz w:val="24"/>
        </w:rPr>
        <w:t>6#</w:t>
      </w:r>
      <w:r>
        <w:rPr>
          <w:rFonts w:hint="eastAsia"/>
          <w:sz w:val="24"/>
        </w:rPr>
        <w:t>注汽站伴生气掺烧线</w:t>
      </w:r>
      <w:r>
        <w:rPr>
          <w:rFonts w:hint="eastAsia"/>
          <w:sz w:val="24"/>
        </w:rPr>
        <w:t>1.2km</w:t>
      </w:r>
      <w:r>
        <w:rPr>
          <w:rFonts w:hint="eastAsia"/>
          <w:sz w:val="24"/>
        </w:rPr>
        <w:t>。</w:t>
      </w:r>
    </w:p>
    <w:p w:rsidR="00EE4502" w:rsidRDefault="00FD45A3">
      <w:pPr>
        <w:spacing w:line="360" w:lineRule="auto"/>
        <w:ind w:firstLine="482"/>
        <w:outlineLvl w:val="4"/>
        <w:rPr>
          <w:b/>
          <w:bCs/>
          <w:sz w:val="24"/>
        </w:rPr>
      </w:pPr>
      <w:r>
        <w:rPr>
          <w:rFonts w:hint="eastAsia"/>
          <w:b/>
          <w:bCs/>
          <w:sz w:val="24"/>
        </w:rPr>
        <w:t>（</w:t>
      </w:r>
      <w:r>
        <w:rPr>
          <w:rFonts w:hint="eastAsia"/>
          <w:b/>
          <w:bCs/>
          <w:sz w:val="24"/>
        </w:rPr>
        <w:t>1</w:t>
      </w:r>
      <w:r>
        <w:rPr>
          <w:rFonts w:hint="eastAsia"/>
          <w:b/>
          <w:bCs/>
          <w:sz w:val="24"/>
        </w:rPr>
        <w:t>）井场</w:t>
      </w:r>
      <w:r>
        <w:rPr>
          <w:rFonts w:hint="eastAsia"/>
          <w:b/>
          <w:bCs/>
          <w:sz w:val="24"/>
        </w:rPr>
        <w:t>及集输管线</w:t>
      </w:r>
    </w:p>
    <w:p w:rsidR="00EE4502" w:rsidRDefault="00FD45A3">
      <w:pPr>
        <w:spacing w:line="360" w:lineRule="auto"/>
        <w:ind w:firstLine="482"/>
        <w:rPr>
          <w:sz w:val="24"/>
        </w:rPr>
      </w:pPr>
      <w:r>
        <w:rPr>
          <w:rFonts w:hint="eastAsia"/>
          <w:sz w:val="24"/>
        </w:rPr>
        <w:t>单井密闭集输井场平面布置</w:t>
      </w:r>
      <w:r>
        <w:rPr>
          <w:rFonts w:hint="eastAsia"/>
          <w:sz w:val="24"/>
        </w:rPr>
        <w:t>见下</w:t>
      </w:r>
      <w:r>
        <w:rPr>
          <w:rFonts w:hint="eastAsia"/>
          <w:sz w:val="24"/>
        </w:rPr>
        <w:t>图</w:t>
      </w:r>
      <w:r>
        <w:rPr>
          <w:rFonts w:hint="eastAsia"/>
          <w:sz w:val="24"/>
        </w:rPr>
        <w:t>：</w:t>
      </w:r>
    </w:p>
    <w:p w:rsidR="00EE4502" w:rsidRDefault="00EE4502">
      <w:pPr>
        <w:spacing w:line="360" w:lineRule="auto"/>
        <w:jc w:val="center"/>
        <w:rPr>
          <w:sz w:val="24"/>
        </w:rPr>
      </w:pPr>
    </w:p>
    <w:p w:rsidR="00EE4502" w:rsidRDefault="00FD45A3">
      <w:pPr>
        <w:spacing w:line="360" w:lineRule="auto"/>
        <w:jc w:val="center"/>
        <w:rPr>
          <w:rFonts w:eastAsia="黑体"/>
          <w:szCs w:val="21"/>
        </w:rPr>
      </w:pPr>
      <w:r>
        <w:rPr>
          <w:rFonts w:eastAsia="黑体" w:hint="eastAsia"/>
          <w:szCs w:val="21"/>
        </w:rPr>
        <w:t>图</w:t>
      </w:r>
      <w:r>
        <w:rPr>
          <w:rFonts w:eastAsia="黑体" w:hint="eastAsia"/>
          <w:szCs w:val="21"/>
        </w:rPr>
        <w:t xml:space="preserve">3-3-26  </w:t>
      </w:r>
      <w:r>
        <w:rPr>
          <w:rFonts w:eastAsia="黑体" w:hint="eastAsia"/>
          <w:szCs w:val="21"/>
        </w:rPr>
        <w:t>单井密闭集输井场平面布置图</w:t>
      </w:r>
    </w:p>
    <w:p w:rsidR="00EE4502" w:rsidRDefault="00FD45A3">
      <w:pPr>
        <w:spacing w:line="360" w:lineRule="auto"/>
        <w:ind w:firstLine="482"/>
        <w:rPr>
          <w:sz w:val="24"/>
        </w:rPr>
      </w:pPr>
      <w:r>
        <w:rPr>
          <w:rFonts w:hint="eastAsia"/>
          <w:sz w:val="24"/>
        </w:rPr>
        <w:t>本次部署采油井场</w:t>
      </w:r>
      <w:r>
        <w:rPr>
          <w:rFonts w:hint="eastAsia"/>
          <w:sz w:val="24"/>
        </w:rPr>
        <w:t>18</w:t>
      </w:r>
      <w:r>
        <w:rPr>
          <w:rFonts w:hint="eastAsia"/>
          <w:sz w:val="24"/>
        </w:rPr>
        <w:t>口。油井产液采用示功图计量，枝状串接进入集油管网，最终输送至春风二号联合站。各油井安装一台</w:t>
      </w:r>
      <w:r>
        <w:rPr>
          <w:rFonts w:hint="eastAsia"/>
          <w:sz w:val="24"/>
        </w:rPr>
        <w:t>RTU</w:t>
      </w:r>
      <w:r>
        <w:rPr>
          <w:rFonts w:hint="eastAsia"/>
          <w:sz w:val="24"/>
        </w:rPr>
        <w:t>和多种传感器，包括载荷传感器、位移传感器、载荷传感器、温度传感器、压力传感器、电流传感器等。它们均与油井</w:t>
      </w:r>
      <w:r>
        <w:rPr>
          <w:rFonts w:hint="eastAsia"/>
          <w:sz w:val="24"/>
        </w:rPr>
        <w:t>RTU</w:t>
      </w:r>
      <w:r>
        <w:rPr>
          <w:rFonts w:hint="eastAsia"/>
          <w:sz w:val="24"/>
        </w:rPr>
        <w:t>相连，对油井进行控制和采集各传感器的数据，并回发给主机。通过计算机上安装的远程监控软件，与油田公司控制计算机相连，既可以调取油田公司计算机的历史数据，也可以直接发出指令，对油井进行实时测量控制，得到现场数据在计算服务器上进行分析处理，采集的实时数据和分析结果在授权的计算机上可以打印和浏</w:t>
      </w:r>
      <w:r>
        <w:rPr>
          <w:rFonts w:hint="eastAsia"/>
          <w:sz w:val="24"/>
        </w:rPr>
        <w:t>览。</w:t>
      </w:r>
    </w:p>
    <w:p w:rsidR="00EE4502" w:rsidRDefault="00FD45A3">
      <w:pPr>
        <w:spacing w:line="360" w:lineRule="auto"/>
        <w:ind w:firstLine="482"/>
        <w:rPr>
          <w:sz w:val="24"/>
        </w:rPr>
      </w:pPr>
      <w:r>
        <w:rPr>
          <w:rFonts w:hint="eastAsia"/>
          <w:sz w:val="24"/>
        </w:rPr>
        <w:t>本工程</w:t>
      </w:r>
      <w:r>
        <w:rPr>
          <w:rFonts w:hint="eastAsia"/>
          <w:sz w:val="24"/>
        </w:rPr>
        <w:t>新建集输管线见</w:t>
      </w:r>
      <w:r>
        <w:rPr>
          <w:rFonts w:hint="eastAsia"/>
          <w:sz w:val="24"/>
        </w:rPr>
        <w:t>下</w:t>
      </w:r>
      <w:r>
        <w:rPr>
          <w:rFonts w:hint="eastAsia"/>
          <w:sz w:val="24"/>
        </w:rPr>
        <w:t>图：</w:t>
      </w:r>
    </w:p>
    <w:p w:rsidR="00EE4502" w:rsidRDefault="00FD45A3">
      <w:pPr>
        <w:spacing w:line="360" w:lineRule="auto"/>
        <w:ind w:firstLine="482"/>
        <w:rPr>
          <w:sz w:val="24"/>
        </w:rPr>
      </w:pPr>
      <w:r>
        <w:rPr>
          <w:rFonts w:hint="eastAsia"/>
          <w:sz w:val="24"/>
        </w:rPr>
        <w:t>集输系统管网整体布局为：区块油井串接，考虑方案内油井</w:t>
      </w:r>
      <w:r>
        <w:rPr>
          <w:rFonts w:hint="eastAsia"/>
          <w:sz w:val="24"/>
        </w:rPr>
        <w:t>18</w:t>
      </w:r>
      <w:r>
        <w:rPr>
          <w:rFonts w:hint="eastAsia"/>
          <w:sz w:val="24"/>
        </w:rPr>
        <w:t>口，末端油井产液掺水管输至增压点后增压输至新建集油干线，输至</w:t>
      </w:r>
      <w:r>
        <w:rPr>
          <w:rFonts w:hint="eastAsia"/>
          <w:sz w:val="24"/>
        </w:rPr>
        <w:t>1#</w:t>
      </w:r>
      <w:r>
        <w:rPr>
          <w:rFonts w:hint="eastAsia"/>
          <w:sz w:val="24"/>
        </w:rPr>
        <w:t>增压站后增压最终</w:t>
      </w:r>
      <w:r>
        <w:rPr>
          <w:rFonts w:hint="eastAsia"/>
          <w:sz w:val="24"/>
        </w:rPr>
        <w:lastRenderedPageBreak/>
        <w:t>输至春风二号联合站处理。</w:t>
      </w:r>
    </w:p>
    <w:p w:rsidR="00EE4502" w:rsidRDefault="00FD45A3">
      <w:pPr>
        <w:spacing w:line="360" w:lineRule="auto"/>
        <w:ind w:firstLine="482"/>
        <w:rPr>
          <w:b/>
          <w:bCs/>
          <w:sz w:val="24"/>
        </w:rPr>
      </w:pPr>
      <w:r>
        <w:rPr>
          <w:rFonts w:hint="eastAsia"/>
          <w:sz w:val="24"/>
        </w:rPr>
        <w:t>区块内布局为：排</w:t>
      </w:r>
      <w:r>
        <w:rPr>
          <w:rFonts w:hint="eastAsia"/>
          <w:sz w:val="24"/>
        </w:rPr>
        <w:t>61</w:t>
      </w:r>
      <w:r>
        <w:rPr>
          <w:rFonts w:hint="eastAsia"/>
          <w:sz w:val="24"/>
        </w:rPr>
        <w:t>块油井串接输送，排</w:t>
      </w:r>
      <w:r>
        <w:rPr>
          <w:rFonts w:hint="eastAsia"/>
          <w:sz w:val="24"/>
        </w:rPr>
        <w:t>756H</w:t>
      </w:r>
      <w:r>
        <w:rPr>
          <w:rFonts w:hint="eastAsia"/>
          <w:sz w:val="24"/>
        </w:rPr>
        <w:t>、排</w:t>
      </w:r>
      <w:r>
        <w:rPr>
          <w:rFonts w:hint="eastAsia"/>
          <w:sz w:val="24"/>
        </w:rPr>
        <w:t>61-</w:t>
      </w:r>
      <w:r>
        <w:rPr>
          <w:rFonts w:hint="eastAsia"/>
          <w:sz w:val="24"/>
        </w:rPr>
        <w:t>支平</w:t>
      </w:r>
      <w:r>
        <w:rPr>
          <w:rFonts w:hint="eastAsia"/>
          <w:sz w:val="24"/>
        </w:rPr>
        <w:t>2</w:t>
      </w:r>
      <w:r>
        <w:rPr>
          <w:rFonts w:hint="eastAsia"/>
          <w:sz w:val="24"/>
        </w:rPr>
        <w:t>、排</w:t>
      </w:r>
      <w:r>
        <w:rPr>
          <w:rFonts w:hint="eastAsia"/>
          <w:sz w:val="24"/>
        </w:rPr>
        <w:t>61-</w:t>
      </w:r>
      <w:r>
        <w:rPr>
          <w:rFonts w:hint="eastAsia"/>
          <w:sz w:val="24"/>
        </w:rPr>
        <w:t>平</w:t>
      </w:r>
      <w:r>
        <w:rPr>
          <w:rFonts w:hint="eastAsia"/>
          <w:sz w:val="24"/>
        </w:rPr>
        <w:t>10</w:t>
      </w:r>
      <w:r>
        <w:rPr>
          <w:rFonts w:hint="eastAsia"/>
          <w:sz w:val="24"/>
        </w:rPr>
        <w:t>、排</w:t>
      </w:r>
      <w:r>
        <w:rPr>
          <w:rFonts w:hint="eastAsia"/>
          <w:sz w:val="24"/>
        </w:rPr>
        <w:t>655-</w:t>
      </w:r>
      <w:r>
        <w:rPr>
          <w:rFonts w:hint="eastAsia"/>
          <w:sz w:val="24"/>
        </w:rPr>
        <w:t>平</w:t>
      </w:r>
      <w:r>
        <w:rPr>
          <w:rFonts w:hint="eastAsia"/>
          <w:sz w:val="24"/>
        </w:rPr>
        <w:t>1</w:t>
      </w:r>
      <w:r>
        <w:rPr>
          <w:rFonts w:hint="eastAsia"/>
          <w:sz w:val="24"/>
        </w:rPr>
        <w:t>井新建掺水点，水源引自</w:t>
      </w:r>
      <w:r>
        <w:rPr>
          <w:rFonts w:hint="eastAsia"/>
          <w:sz w:val="24"/>
        </w:rPr>
        <w:t>1#</w:t>
      </w:r>
      <w:r>
        <w:rPr>
          <w:rFonts w:hint="eastAsia"/>
          <w:sz w:val="24"/>
        </w:rPr>
        <w:t>增压站就地分水的采出水。</w:t>
      </w:r>
    </w:p>
    <w:p w:rsidR="00EE4502" w:rsidRDefault="00FD45A3">
      <w:pPr>
        <w:spacing w:line="360" w:lineRule="auto"/>
        <w:ind w:firstLine="482"/>
        <w:outlineLvl w:val="4"/>
        <w:rPr>
          <w:b/>
          <w:bCs/>
          <w:sz w:val="24"/>
        </w:rPr>
      </w:pPr>
      <w:r>
        <w:rPr>
          <w:rFonts w:hint="eastAsia"/>
          <w:b/>
          <w:bCs/>
          <w:sz w:val="24"/>
        </w:rPr>
        <w:t>（</w:t>
      </w:r>
      <w:r>
        <w:rPr>
          <w:rFonts w:hint="eastAsia"/>
          <w:b/>
          <w:bCs/>
          <w:sz w:val="24"/>
        </w:rPr>
        <w:t>2</w:t>
      </w:r>
      <w:r>
        <w:rPr>
          <w:rFonts w:hint="eastAsia"/>
          <w:b/>
          <w:bCs/>
          <w:sz w:val="24"/>
        </w:rPr>
        <w:t>）掺水方案</w:t>
      </w:r>
    </w:p>
    <w:p w:rsidR="00EE4502" w:rsidRDefault="00FD45A3">
      <w:pPr>
        <w:spacing w:line="360" w:lineRule="auto"/>
        <w:ind w:firstLine="482"/>
        <w:rPr>
          <w:sz w:val="24"/>
        </w:rPr>
      </w:pPr>
      <w:r>
        <w:rPr>
          <w:rFonts w:hint="eastAsia"/>
          <w:sz w:val="24"/>
        </w:rPr>
        <w:t>排</w:t>
      </w:r>
      <w:r>
        <w:rPr>
          <w:rFonts w:hint="eastAsia"/>
          <w:sz w:val="24"/>
        </w:rPr>
        <w:t>61</w:t>
      </w:r>
      <w:r>
        <w:rPr>
          <w:rFonts w:hint="eastAsia"/>
          <w:sz w:val="24"/>
        </w:rPr>
        <w:t>区块原油在含水率</w:t>
      </w:r>
      <w:r>
        <w:rPr>
          <w:rFonts w:hint="eastAsia"/>
          <w:sz w:val="24"/>
        </w:rPr>
        <w:t>70%</w:t>
      </w:r>
      <w:r>
        <w:rPr>
          <w:rFonts w:hint="eastAsia"/>
          <w:sz w:val="24"/>
        </w:rPr>
        <w:t>～</w:t>
      </w:r>
      <w:r>
        <w:rPr>
          <w:rFonts w:hint="eastAsia"/>
          <w:sz w:val="24"/>
        </w:rPr>
        <w:t>90%</w:t>
      </w:r>
      <w:r>
        <w:rPr>
          <w:rFonts w:hint="eastAsia"/>
          <w:sz w:val="24"/>
        </w:rPr>
        <w:t>区间内出现反相点。其中含水率</w:t>
      </w:r>
      <w:r>
        <w:rPr>
          <w:rFonts w:hint="eastAsia"/>
          <w:sz w:val="24"/>
        </w:rPr>
        <w:t>80%</w:t>
      </w:r>
      <w:r>
        <w:rPr>
          <w:rFonts w:hint="eastAsia"/>
          <w:sz w:val="24"/>
        </w:rPr>
        <w:t>、温度</w:t>
      </w:r>
      <w:r>
        <w:rPr>
          <w:rFonts w:hint="eastAsia"/>
          <w:sz w:val="24"/>
        </w:rPr>
        <w:t>30</w:t>
      </w:r>
      <w:r>
        <w:rPr>
          <w:rFonts w:hint="eastAsia"/>
          <w:sz w:val="24"/>
        </w:rPr>
        <w:t>℃～</w:t>
      </w:r>
      <w:r>
        <w:rPr>
          <w:rFonts w:hint="eastAsia"/>
          <w:sz w:val="24"/>
        </w:rPr>
        <w:t>50</w:t>
      </w:r>
      <w:r>
        <w:rPr>
          <w:rFonts w:hint="eastAsia"/>
          <w:sz w:val="24"/>
        </w:rPr>
        <w:t>℃，原油黏度最低且温度变化对黏度影响较小。</w:t>
      </w:r>
      <w:r>
        <w:rPr>
          <w:rFonts w:hint="eastAsia"/>
          <w:sz w:val="24"/>
        </w:rPr>
        <w:t>因此本工程掺水后整体管输含水率约</w:t>
      </w:r>
      <w:r>
        <w:rPr>
          <w:rFonts w:hint="eastAsia"/>
          <w:sz w:val="24"/>
        </w:rPr>
        <w:t>80%</w:t>
      </w:r>
      <w:r>
        <w:rPr>
          <w:rFonts w:hint="eastAsia"/>
          <w:sz w:val="24"/>
        </w:rPr>
        <w:t>，温度控制</w:t>
      </w:r>
      <w:r>
        <w:rPr>
          <w:rFonts w:hint="eastAsia"/>
          <w:sz w:val="24"/>
        </w:rPr>
        <w:t>30</w:t>
      </w:r>
      <w:r>
        <w:rPr>
          <w:rFonts w:hint="eastAsia"/>
          <w:sz w:val="24"/>
        </w:rPr>
        <w:t>℃～</w:t>
      </w:r>
      <w:r>
        <w:rPr>
          <w:rFonts w:hint="eastAsia"/>
          <w:sz w:val="24"/>
        </w:rPr>
        <w:t>50</w:t>
      </w:r>
      <w:r>
        <w:rPr>
          <w:rFonts w:hint="eastAsia"/>
          <w:sz w:val="24"/>
        </w:rPr>
        <w:t>℃，区块共掺入水量</w:t>
      </w:r>
      <w:r>
        <w:rPr>
          <w:rFonts w:hint="eastAsia"/>
          <w:sz w:val="24"/>
        </w:rPr>
        <w:t>370m</w:t>
      </w:r>
      <w:r>
        <w:rPr>
          <w:rFonts w:hint="eastAsia"/>
          <w:sz w:val="24"/>
          <w:vertAlign w:val="superscript"/>
        </w:rPr>
        <w:t>3</w:t>
      </w:r>
      <w:r>
        <w:rPr>
          <w:rFonts w:hint="eastAsia"/>
          <w:sz w:val="24"/>
        </w:rPr>
        <w:t>/d</w:t>
      </w:r>
      <w:r>
        <w:rPr>
          <w:rFonts w:hint="eastAsia"/>
          <w:sz w:val="24"/>
        </w:rPr>
        <w:t>。</w:t>
      </w:r>
    </w:p>
    <w:p w:rsidR="00EE4502" w:rsidRDefault="00FD45A3">
      <w:pPr>
        <w:spacing w:line="360" w:lineRule="auto"/>
        <w:ind w:firstLine="482"/>
        <w:rPr>
          <w:sz w:val="24"/>
        </w:rPr>
      </w:pPr>
      <w:r>
        <w:rPr>
          <w:rFonts w:hint="eastAsia"/>
          <w:sz w:val="24"/>
        </w:rPr>
        <w:t>本工程计划新建掺水管线为排</w:t>
      </w:r>
      <w:r>
        <w:rPr>
          <w:rFonts w:hint="eastAsia"/>
          <w:sz w:val="24"/>
        </w:rPr>
        <w:t>61</w:t>
      </w:r>
      <w:r>
        <w:rPr>
          <w:rFonts w:hint="eastAsia"/>
          <w:sz w:val="24"/>
        </w:rPr>
        <w:t>区块油井生产掺水，水源接自</w:t>
      </w:r>
      <w:r>
        <w:rPr>
          <w:rFonts w:hint="eastAsia"/>
          <w:sz w:val="24"/>
        </w:rPr>
        <w:t>1#</w:t>
      </w:r>
      <w:r>
        <w:rPr>
          <w:rFonts w:hint="eastAsia"/>
          <w:sz w:val="24"/>
        </w:rPr>
        <w:t>增压站就地分水采出水。新建</w:t>
      </w:r>
      <w:r>
        <w:rPr>
          <w:rFonts w:hint="eastAsia"/>
          <w:sz w:val="24"/>
        </w:rPr>
        <w:t>4</w:t>
      </w:r>
      <w:r>
        <w:rPr>
          <w:rFonts w:hint="eastAsia"/>
          <w:sz w:val="24"/>
        </w:rPr>
        <w:t>个掺水点，掺水系统新建掺水管线为集输系统管输生产供水，控制末端井回压为</w:t>
      </w:r>
      <w:r>
        <w:rPr>
          <w:rFonts w:hint="eastAsia"/>
          <w:sz w:val="24"/>
        </w:rPr>
        <w:t>0.63MPa</w:t>
      </w:r>
      <w:r>
        <w:rPr>
          <w:rFonts w:hint="eastAsia"/>
          <w:sz w:val="24"/>
        </w:rPr>
        <w:t>。</w:t>
      </w:r>
      <w:r>
        <w:rPr>
          <w:rFonts w:hint="eastAsia"/>
          <w:sz w:val="24"/>
        </w:rPr>
        <w:t>1#</w:t>
      </w:r>
      <w:r>
        <w:rPr>
          <w:rFonts w:hint="eastAsia"/>
          <w:sz w:val="24"/>
        </w:rPr>
        <w:t>增压站</w:t>
      </w:r>
      <w:r>
        <w:rPr>
          <w:rFonts w:hint="eastAsia"/>
          <w:sz w:val="24"/>
        </w:rPr>
        <w:t>混合油含水率为</w:t>
      </w:r>
      <w:r>
        <w:rPr>
          <w:rFonts w:hint="eastAsia"/>
          <w:sz w:val="24"/>
        </w:rPr>
        <w:t>85%</w:t>
      </w:r>
      <w:r>
        <w:rPr>
          <w:rFonts w:hint="eastAsia"/>
          <w:sz w:val="24"/>
        </w:rPr>
        <w:t>，在</w:t>
      </w:r>
      <w:r>
        <w:rPr>
          <w:rFonts w:hint="eastAsia"/>
          <w:sz w:val="24"/>
        </w:rPr>
        <w:t>65</w:t>
      </w:r>
      <w:r>
        <w:rPr>
          <w:rFonts w:hint="eastAsia"/>
          <w:sz w:val="24"/>
        </w:rPr>
        <w:t>℃温度下进行预分水，不加药情况下，沉降脱水</w:t>
      </w:r>
      <w:r>
        <w:rPr>
          <w:rFonts w:hint="eastAsia"/>
          <w:sz w:val="24"/>
        </w:rPr>
        <w:t>0.5h</w:t>
      </w:r>
      <w:r>
        <w:rPr>
          <w:rFonts w:hint="eastAsia"/>
          <w:sz w:val="24"/>
        </w:rPr>
        <w:t>后，含水率为</w:t>
      </w:r>
      <w:r>
        <w:rPr>
          <w:rFonts w:hint="eastAsia"/>
          <w:sz w:val="24"/>
        </w:rPr>
        <w:t>80.25%</w:t>
      </w:r>
      <w:r>
        <w:rPr>
          <w:rFonts w:hint="eastAsia"/>
          <w:sz w:val="24"/>
        </w:rPr>
        <w:t>，根据</w:t>
      </w:r>
      <w:r>
        <w:rPr>
          <w:rFonts w:hint="eastAsia"/>
          <w:sz w:val="24"/>
        </w:rPr>
        <w:t>1#</w:t>
      </w:r>
      <w:r>
        <w:rPr>
          <w:rFonts w:hint="eastAsia"/>
          <w:sz w:val="24"/>
        </w:rPr>
        <w:t>增压站来液量，预计可分出水量约</w:t>
      </w:r>
      <w:r>
        <w:rPr>
          <w:rFonts w:hint="eastAsia"/>
          <w:sz w:val="24"/>
        </w:rPr>
        <w:t>400m</w:t>
      </w:r>
      <w:r>
        <w:rPr>
          <w:rFonts w:hint="eastAsia"/>
          <w:sz w:val="24"/>
          <w:vertAlign w:val="superscript"/>
        </w:rPr>
        <w:t>3</w:t>
      </w:r>
      <w:r>
        <w:rPr>
          <w:rFonts w:hint="eastAsia"/>
          <w:sz w:val="24"/>
        </w:rPr>
        <w:t>/d</w:t>
      </w:r>
      <w:r>
        <w:rPr>
          <w:rFonts w:hint="eastAsia"/>
          <w:sz w:val="24"/>
        </w:rPr>
        <w:t>。可满足排</w:t>
      </w:r>
      <w:r>
        <w:rPr>
          <w:rFonts w:hint="eastAsia"/>
          <w:sz w:val="24"/>
        </w:rPr>
        <w:t>61</w:t>
      </w:r>
      <w:r>
        <w:rPr>
          <w:rFonts w:hint="eastAsia"/>
          <w:sz w:val="24"/>
        </w:rPr>
        <w:t>区块油井掺水需求。</w:t>
      </w:r>
    </w:p>
    <w:p w:rsidR="00EE4502" w:rsidRDefault="00FD45A3">
      <w:pPr>
        <w:spacing w:line="360" w:lineRule="auto"/>
        <w:ind w:firstLine="482"/>
        <w:rPr>
          <w:sz w:val="24"/>
        </w:rPr>
      </w:pPr>
      <w:r>
        <w:rPr>
          <w:rFonts w:hint="eastAsia"/>
          <w:sz w:val="24"/>
        </w:rPr>
        <w:t>考虑区块未来开发需求，本工程新建Φ</w:t>
      </w:r>
      <w:r>
        <w:rPr>
          <w:rFonts w:hint="eastAsia"/>
          <w:sz w:val="24"/>
        </w:rPr>
        <w:t>89</w:t>
      </w:r>
      <w:r>
        <w:rPr>
          <w:rFonts w:hint="eastAsia"/>
          <w:sz w:val="24"/>
        </w:rPr>
        <w:t>×</w:t>
      </w:r>
      <w:r>
        <w:rPr>
          <w:rFonts w:hint="eastAsia"/>
          <w:sz w:val="24"/>
        </w:rPr>
        <w:t>6</w:t>
      </w:r>
      <w:r>
        <w:rPr>
          <w:rFonts w:hint="eastAsia"/>
          <w:sz w:val="24"/>
        </w:rPr>
        <w:t xml:space="preserve"> 20</w:t>
      </w:r>
      <w:r>
        <w:rPr>
          <w:rFonts w:hint="eastAsia"/>
          <w:sz w:val="24"/>
        </w:rPr>
        <w:t>集油管线</w:t>
      </w:r>
      <w:r>
        <w:rPr>
          <w:rFonts w:hint="eastAsia"/>
          <w:sz w:val="24"/>
        </w:rPr>
        <w:t>5.4km</w:t>
      </w:r>
      <w:r>
        <w:rPr>
          <w:rFonts w:hint="eastAsia"/>
          <w:sz w:val="24"/>
        </w:rPr>
        <w:t>，新建Φ</w:t>
      </w:r>
      <w:r>
        <w:rPr>
          <w:rFonts w:hint="eastAsia"/>
          <w:sz w:val="24"/>
        </w:rPr>
        <w:t>114</w:t>
      </w:r>
      <w:r>
        <w:rPr>
          <w:rFonts w:hint="eastAsia"/>
          <w:sz w:val="24"/>
        </w:rPr>
        <w:t>×</w:t>
      </w:r>
      <w:r>
        <w:rPr>
          <w:rFonts w:hint="eastAsia"/>
          <w:sz w:val="24"/>
        </w:rPr>
        <w:t>6 20</w:t>
      </w:r>
      <w:r>
        <w:rPr>
          <w:rFonts w:hint="eastAsia"/>
          <w:sz w:val="24"/>
        </w:rPr>
        <w:t>集油管线</w:t>
      </w:r>
      <w:r>
        <w:rPr>
          <w:rFonts w:hint="eastAsia"/>
          <w:sz w:val="24"/>
        </w:rPr>
        <w:t>4</w:t>
      </w:r>
      <w:r>
        <w:rPr>
          <w:rFonts w:hint="eastAsia"/>
          <w:sz w:val="24"/>
        </w:rPr>
        <w:t>km</w:t>
      </w:r>
      <w:r>
        <w:rPr>
          <w:rFonts w:hint="eastAsia"/>
          <w:sz w:val="24"/>
        </w:rPr>
        <w:t>，新建Φ</w:t>
      </w:r>
      <w:r>
        <w:rPr>
          <w:rFonts w:hint="eastAsia"/>
          <w:sz w:val="24"/>
        </w:rPr>
        <w:t>168</w:t>
      </w:r>
      <w:r>
        <w:rPr>
          <w:rFonts w:hint="eastAsia"/>
          <w:sz w:val="24"/>
        </w:rPr>
        <w:t>×</w:t>
      </w:r>
      <w:r>
        <w:rPr>
          <w:rFonts w:hint="eastAsia"/>
          <w:sz w:val="24"/>
        </w:rPr>
        <w:t>7 20</w:t>
      </w:r>
      <w:r>
        <w:rPr>
          <w:rFonts w:hint="eastAsia"/>
          <w:sz w:val="24"/>
        </w:rPr>
        <w:t>集油管线</w:t>
      </w:r>
      <w:r>
        <w:rPr>
          <w:rFonts w:hint="eastAsia"/>
          <w:sz w:val="24"/>
        </w:rPr>
        <w:t>4.5</w:t>
      </w:r>
      <w:r>
        <w:rPr>
          <w:rFonts w:hint="eastAsia"/>
          <w:sz w:val="24"/>
        </w:rPr>
        <w:t>km</w:t>
      </w:r>
      <w:r>
        <w:rPr>
          <w:rFonts w:hint="eastAsia"/>
          <w:sz w:val="24"/>
        </w:rPr>
        <w:t>，排</w:t>
      </w:r>
      <w:r>
        <w:rPr>
          <w:rFonts w:hint="eastAsia"/>
          <w:sz w:val="24"/>
        </w:rPr>
        <w:t>61-</w:t>
      </w:r>
      <w:r>
        <w:rPr>
          <w:rFonts w:hint="eastAsia"/>
          <w:sz w:val="24"/>
        </w:rPr>
        <w:t>平</w:t>
      </w:r>
      <w:r>
        <w:rPr>
          <w:rFonts w:hint="eastAsia"/>
          <w:sz w:val="24"/>
        </w:rPr>
        <w:t>14/</w:t>
      </w:r>
      <w:r>
        <w:rPr>
          <w:rFonts w:hint="eastAsia"/>
          <w:sz w:val="24"/>
        </w:rPr>
        <w:t>平</w:t>
      </w:r>
      <w:r>
        <w:rPr>
          <w:rFonts w:hint="eastAsia"/>
          <w:sz w:val="24"/>
        </w:rPr>
        <w:t>15</w:t>
      </w:r>
      <w:r>
        <w:rPr>
          <w:rFonts w:hint="eastAsia"/>
          <w:sz w:val="24"/>
        </w:rPr>
        <w:t>井台内新建油气混输泵</w:t>
      </w:r>
      <w:r>
        <w:rPr>
          <w:rFonts w:hint="eastAsia"/>
          <w:sz w:val="24"/>
        </w:rPr>
        <w:t>2</w:t>
      </w:r>
      <w:r>
        <w:rPr>
          <w:rFonts w:hint="eastAsia"/>
          <w:sz w:val="24"/>
        </w:rPr>
        <w:t>台。</w:t>
      </w:r>
      <w:r>
        <w:rPr>
          <w:rFonts w:hint="eastAsia"/>
          <w:sz w:val="24"/>
        </w:rPr>
        <w:t>DN100</w:t>
      </w:r>
      <w:r>
        <w:rPr>
          <w:rFonts w:hint="eastAsia"/>
          <w:sz w:val="24"/>
        </w:rPr>
        <w:t>以上集油支干线内防采用环氧陶瓷，新建油气混输泵使用双螺杆泵。站外埋地管线均采用</w:t>
      </w:r>
      <w:r>
        <w:rPr>
          <w:rFonts w:hint="eastAsia"/>
          <w:sz w:val="24"/>
        </w:rPr>
        <w:t>30mm</w:t>
      </w:r>
      <w:r>
        <w:rPr>
          <w:rFonts w:hint="eastAsia"/>
          <w:sz w:val="24"/>
        </w:rPr>
        <w:t>厚泡沫黄夹克保温，</w:t>
      </w:r>
      <w:r>
        <w:rPr>
          <w:rFonts w:hint="eastAsia"/>
          <w:sz w:val="24"/>
        </w:rPr>
        <w:t>3PE</w:t>
      </w:r>
      <w:r>
        <w:rPr>
          <w:rFonts w:hint="eastAsia"/>
          <w:sz w:val="24"/>
        </w:rPr>
        <w:t>外防护。</w:t>
      </w:r>
      <w:r>
        <w:rPr>
          <w:rFonts w:hint="eastAsia"/>
          <w:sz w:val="24"/>
        </w:rPr>
        <w:t>核算</w:t>
      </w:r>
      <w:r>
        <w:rPr>
          <w:rFonts w:hint="eastAsia"/>
          <w:sz w:val="24"/>
        </w:rPr>
        <w:t>第</w:t>
      </w:r>
      <w:r>
        <w:rPr>
          <w:rFonts w:hint="eastAsia"/>
          <w:sz w:val="24"/>
        </w:rPr>
        <w:t>1</w:t>
      </w:r>
      <w:r>
        <w:rPr>
          <w:rFonts w:hint="eastAsia"/>
          <w:sz w:val="24"/>
        </w:rPr>
        <w:t>年远端油井井口最高回压为</w:t>
      </w:r>
      <w:r>
        <w:rPr>
          <w:rFonts w:hint="eastAsia"/>
          <w:sz w:val="24"/>
        </w:rPr>
        <w:t>0.54MPa</w:t>
      </w:r>
      <w:r>
        <w:rPr>
          <w:rFonts w:hint="eastAsia"/>
          <w:sz w:val="24"/>
        </w:rPr>
        <w:t>，第</w:t>
      </w:r>
      <w:r>
        <w:rPr>
          <w:rFonts w:hint="eastAsia"/>
          <w:sz w:val="24"/>
        </w:rPr>
        <w:t>15</w:t>
      </w:r>
      <w:r>
        <w:rPr>
          <w:rFonts w:hint="eastAsia"/>
          <w:sz w:val="24"/>
        </w:rPr>
        <w:t>年远端井</w:t>
      </w:r>
      <w:r>
        <w:rPr>
          <w:rFonts w:hint="eastAsia"/>
          <w:sz w:val="24"/>
        </w:rPr>
        <w:t>2#</w:t>
      </w:r>
      <w:r>
        <w:rPr>
          <w:rFonts w:hint="eastAsia"/>
          <w:sz w:val="24"/>
        </w:rPr>
        <w:t>井台油井井口最高回压为</w:t>
      </w:r>
      <w:r>
        <w:rPr>
          <w:rFonts w:hint="eastAsia"/>
          <w:sz w:val="24"/>
        </w:rPr>
        <w:t>0.63MPa</w:t>
      </w:r>
      <w:r>
        <w:rPr>
          <w:rFonts w:hint="eastAsia"/>
          <w:sz w:val="24"/>
        </w:rPr>
        <w:t>。井口最高回压</w:t>
      </w:r>
      <w:r>
        <w:rPr>
          <w:rFonts w:hint="eastAsia"/>
          <w:sz w:val="24"/>
        </w:rPr>
        <w:t>0.64MPa</w:t>
      </w:r>
      <w:r>
        <w:rPr>
          <w:rFonts w:hint="eastAsia"/>
          <w:sz w:val="24"/>
        </w:rPr>
        <w:t>，满足规范要求。</w:t>
      </w:r>
    </w:p>
    <w:p w:rsidR="00EE4502" w:rsidRDefault="00FD45A3">
      <w:pPr>
        <w:spacing w:line="360" w:lineRule="auto"/>
        <w:ind w:firstLine="482"/>
        <w:rPr>
          <w:sz w:val="24"/>
        </w:rPr>
      </w:pPr>
      <w:r>
        <w:rPr>
          <w:rFonts w:hint="eastAsia"/>
          <w:sz w:val="24"/>
        </w:rPr>
        <w:t>本工程新建掺水干线采用</w:t>
      </w:r>
      <w:r>
        <w:rPr>
          <w:rFonts w:hint="eastAsia"/>
          <w:sz w:val="24"/>
        </w:rPr>
        <w:t>DN100</w:t>
      </w:r>
      <w:r>
        <w:rPr>
          <w:rFonts w:hint="eastAsia"/>
          <w:sz w:val="24"/>
        </w:rPr>
        <w:t>玻璃钢管，新建掺水支线采用</w:t>
      </w:r>
      <w:r>
        <w:rPr>
          <w:rFonts w:hint="eastAsia"/>
          <w:sz w:val="24"/>
        </w:rPr>
        <w:t>DN</w:t>
      </w:r>
      <w:r>
        <w:rPr>
          <w:rFonts w:hint="eastAsia"/>
          <w:sz w:val="24"/>
        </w:rPr>
        <w:t>80</w:t>
      </w:r>
      <w:r>
        <w:rPr>
          <w:rFonts w:hint="eastAsia"/>
          <w:sz w:val="24"/>
        </w:rPr>
        <w:t>、</w:t>
      </w:r>
      <w:r>
        <w:rPr>
          <w:rFonts w:hint="eastAsia"/>
          <w:sz w:val="24"/>
        </w:rPr>
        <w:t>DN65</w:t>
      </w:r>
      <w:r>
        <w:rPr>
          <w:rFonts w:hint="eastAsia"/>
          <w:sz w:val="24"/>
        </w:rPr>
        <w:t>玻璃钢</w:t>
      </w:r>
      <w:r>
        <w:rPr>
          <w:rFonts w:hint="eastAsia"/>
          <w:sz w:val="24"/>
        </w:rPr>
        <w:t>管，</w:t>
      </w:r>
      <w:r>
        <w:rPr>
          <w:rFonts w:hint="eastAsia"/>
          <w:sz w:val="24"/>
        </w:rPr>
        <w:t>长度共计</w:t>
      </w:r>
      <w:r>
        <w:rPr>
          <w:rFonts w:hint="eastAsia"/>
          <w:sz w:val="24"/>
        </w:rPr>
        <w:t>10.3km</w:t>
      </w:r>
      <w:r>
        <w:rPr>
          <w:rFonts w:hint="eastAsia"/>
          <w:sz w:val="24"/>
        </w:rPr>
        <w:t>。掺水管线能力校核见表</w:t>
      </w:r>
      <w:r>
        <w:rPr>
          <w:rFonts w:hint="eastAsia"/>
          <w:sz w:val="24"/>
        </w:rPr>
        <w:t>3-3-</w:t>
      </w:r>
      <w:r>
        <w:rPr>
          <w:rFonts w:hint="eastAsia"/>
          <w:sz w:val="24"/>
        </w:rPr>
        <w:t>22</w:t>
      </w:r>
      <w:r>
        <w:rPr>
          <w:rFonts w:hint="eastAsia"/>
          <w:sz w:val="24"/>
        </w:rPr>
        <w:t>，掺水管线走向见图</w:t>
      </w:r>
      <w:r>
        <w:rPr>
          <w:rFonts w:hint="eastAsia"/>
          <w:sz w:val="24"/>
        </w:rPr>
        <w:t>3-3-</w:t>
      </w:r>
      <w:r>
        <w:rPr>
          <w:rFonts w:hint="eastAsia"/>
          <w:sz w:val="24"/>
        </w:rPr>
        <w:t>31</w:t>
      </w:r>
      <w:r>
        <w:rPr>
          <w:rFonts w:hint="eastAsia"/>
          <w:sz w:val="24"/>
        </w:rPr>
        <w:t>。</w:t>
      </w:r>
    </w:p>
    <w:p w:rsidR="00EE4502" w:rsidRDefault="00FD45A3">
      <w:pPr>
        <w:spacing w:line="360" w:lineRule="auto"/>
        <w:jc w:val="center"/>
        <w:rPr>
          <w:rFonts w:eastAsia="黑体"/>
          <w:sz w:val="24"/>
        </w:rPr>
      </w:pPr>
      <w:r>
        <w:rPr>
          <w:rFonts w:eastAsia="黑体" w:hint="eastAsia"/>
          <w:sz w:val="24"/>
        </w:rPr>
        <w:t>表</w:t>
      </w:r>
      <w:r>
        <w:rPr>
          <w:rFonts w:eastAsia="黑体" w:hint="eastAsia"/>
          <w:sz w:val="24"/>
        </w:rPr>
        <w:t xml:space="preserve">3-3-22  </w:t>
      </w:r>
      <w:r>
        <w:rPr>
          <w:rFonts w:eastAsia="黑体" w:hint="eastAsia"/>
          <w:sz w:val="24"/>
        </w:rPr>
        <w:t>掺水管能力校核表</w:t>
      </w:r>
    </w:p>
    <w:tbl>
      <w:tblPr>
        <w:tblW w:w="4998" w:type="pct"/>
        <w:tblCellMar>
          <w:left w:w="0" w:type="dxa"/>
          <w:right w:w="0" w:type="dxa"/>
        </w:tblCellMar>
        <w:tblLook w:val="04A0" w:firstRow="1" w:lastRow="0" w:firstColumn="1" w:lastColumn="0" w:noHBand="0" w:noVBand="1"/>
      </w:tblPr>
      <w:tblGrid>
        <w:gridCol w:w="1931"/>
        <w:gridCol w:w="1906"/>
        <w:gridCol w:w="757"/>
        <w:gridCol w:w="806"/>
        <w:gridCol w:w="1021"/>
        <w:gridCol w:w="806"/>
        <w:gridCol w:w="1100"/>
      </w:tblGrid>
      <w:tr w:rsidR="00EE4502">
        <w:trPr>
          <w:trHeight w:val="397"/>
        </w:trPr>
        <w:tc>
          <w:tcPr>
            <w:tcW w:w="1178"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掺水管路</w:t>
            </w:r>
          </w:p>
        </w:tc>
        <w:tc>
          <w:tcPr>
            <w:tcW w:w="1028"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管线管径</w:t>
            </w:r>
          </w:p>
        </w:tc>
        <w:tc>
          <w:tcPr>
            <w:tcW w:w="474"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掺水量</w:t>
            </w:r>
            <w:r>
              <w:rPr>
                <w:rFonts w:hint="eastAsia"/>
                <w:szCs w:val="21"/>
              </w:rPr>
              <w:t>m</w:t>
            </w:r>
            <w:r>
              <w:rPr>
                <w:rFonts w:hint="eastAsia"/>
                <w:szCs w:val="21"/>
                <w:vertAlign w:val="superscript"/>
              </w:rPr>
              <w:t>3</w:t>
            </w:r>
            <w:r>
              <w:rPr>
                <w:rFonts w:hint="eastAsia"/>
                <w:szCs w:val="21"/>
              </w:rPr>
              <w:t>/d</w:t>
            </w:r>
          </w:p>
        </w:tc>
        <w:tc>
          <w:tcPr>
            <w:tcW w:w="503"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增压站最低出水温度℃</w:t>
            </w:r>
          </w:p>
        </w:tc>
        <w:tc>
          <w:tcPr>
            <w:tcW w:w="631"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外输至掺水点温度℃</w:t>
            </w:r>
          </w:p>
        </w:tc>
        <w:tc>
          <w:tcPr>
            <w:tcW w:w="503"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掺水所需压力</w:t>
            </w:r>
            <w:r>
              <w:rPr>
                <w:rFonts w:hint="eastAsia"/>
                <w:szCs w:val="21"/>
              </w:rPr>
              <w:t>MPa</w:t>
            </w:r>
          </w:p>
        </w:tc>
        <w:tc>
          <w:tcPr>
            <w:tcW w:w="679"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1#</w:t>
            </w:r>
            <w:r>
              <w:rPr>
                <w:rFonts w:hint="eastAsia"/>
                <w:szCs w:val="21"/>
              </w:rPr>
              <w:t>增至掺水点水头损失</w:t>
            </w:r>
            <w:r>
              <w:rPr>
                <w:rFonts w:hint="eastAsia"/>
                <w:szCs w:val="21"/>
              </w:rPr>
              <w:t>/m</w:t>
            </w:r>
          </w:p>
        </w:tc>
      </w:tr>
      <w:tr w:rsidR="00EE4502">
        <w:trPr>
          <w:trHeight w:val="397"/>
        </w:trPr>
        <w:tc>
          <w:tcPr>
            <w:tcW w:w="1178"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排</w:t>
            </w:r>
            <w:r>
              <w:rPr>
                <w:rFonts w:hint="eastAsia"/>
                <w:szCs w:val="21"/>
              </w:rPr>
              <w:t>756H</w:t>
            </w:r>
            <w:r>
              <w:rPr>
                <w:rFonts w:hint="eastAsia"/>
                <w:szCs w:val="21"/>
              </w:rPr>
              <w:t>管路</w:t>
            </w:r>
          </w:p>
        </w:tc>
        <w:tc>
          <w:tcPr>
            <w:tcW w:w="1028" w:type="pct"/>
            <w:vMerge w:val="restar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DN100+DN80+DN65</w:t>
            </w:r>
          </w:p>
        </w:tc>
        <w:tc>
          <w:tcPr>
            <w:tcW w:w="474"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100</w:t>
            </w:r>
          </w:p>
        </w:tc>
        <w:tc>
          <w:tcPr>
            <w:tcW w:w="503"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65</w:t>
            </w:r>
          </w:p>
        </w:tc>
        <w:tc>
          <w:tcPr>
            <w:tcW w:w="631"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48</w:t>
            </w:r>
          </w:p>
        </w:tc>
        <w:tc>
          <w:tcPr>
            <w:tcW w:w="503"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0.47</w:t>
            </w:r>
          </w:p>
        </w:tc>
        <w:tc>
          <w:tcPr>
            <w:tcW w:w="679"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46</w:t>
            </w:r>
          </w:p>
        </w:tc>
      </w:tr>
      <w:tr w:rsidR="00EE4502">
        <w:trPr>
          <w:trHeight w:val="397"/>
        </w:trPr>
        <w:tc>
          <w:tcPr>
            <w:tcW w:w="1178"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排</w:t>
            </w:r>
            <w:r>
              <w:rPr>
                <w:rFonts w:hint="eastAsia"/>
                <w:szCs w:val="21"/>
              </w:rPr>
              <w:t>61-</w:t>
            </w:r>
            <w:r>
              <w:rPr>
                <w:rFonts w:hint="eastAsia"/>
                <w:szCs w:val="21"/>
              </w:rPr>
              <w:t>平</w:t>
            </w:r>
            <w:r>
              <w:rPr>
                <w:rFonts w:hint="eastAsia"/>
                <w:szCs w:val="21"/>
              </w:rPr>
              <w:t>2/17</w:t>
            </w:r>
            <w:r>
              <w:rPr>
                <w:rFonts w:hint="eastAsia"/>
                <w:szCs w:val="21"/>
              </w:rPr>
              <w:t>管路</w:t>
            </w:r>
          </w:p>
        </w:tc>
        <w:tc>
          <w:tcPr>
            <w:tcW w:w="1028" w:type="pct"/>
            <w:vMerge/>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EE4502">
            <w:pPr>
              <w:widowControl/>
              <w:tabs>
                <w:tab w:val="left" w:pos="377"/>
              </w:tabs>
              <w:jc w:val="center"/>
              <w:rPr>
                <w:szCs w:val="21"/>
              </w:rPr>
            </w:pPr>
          </w:p>
        </w:tc>
        <w:tc>
          <w:tcPr>
            <w:tcW w:w="474"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70</w:t>
            </w:r>
          </w:p>
        </w:tc>
        <w:tc>
          <w:tcPr>
            <w:tcW w:w="503"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65</w:t>
            </w:r>
          </w:p>
        </w:tc>
        <w:tc>
          <w:tcPr>
            <w:tcW w:w="631"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52</w:t>
            </w:r>
          </w:p>
        </w:tc>
        <w:tc>
          <w:tcPr>
            <w:tcW w:w="503"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0.34</w:t>
            </w:r>
          </w:p>
        </w:tc>
        <w:tc>
          <w:tcPr>
            <w:tcW w:w="679"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32</w:t>
            </w:r>
          </w:p>
        </w:tc>
      </w:tr>
      <w:tr w:rsidR="00EE4502">
        <w:trPr>
          <w:trHeight w:val="397"/>
        </w:trPr>
        <w:tc>
          <w:tcPr>
            <w:tcW w:w="1178"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排</w:t>
            </w:r>
            <w:r>
              <w:rPr>
                <w:rFonts w:hint="eastAsia"/>
                <w:szCs w:val="21"/>
              </w:rPr>
              <w:t>61-</w:t>
            </w:r>
            <w:r>
              <w:rPr>
                <w:rFonts w:hint="eastAsia"/>
                <w:szCs w:val="21"/>
              </w:rPr>
              <w:t>平</w:t>
            </w:r>
            <w:r>
              <w:rPr>
                <w:rFonts w:hint="eastAsia"/>
                <w:szCs w:val="21"/>
              </w:rPr>
              <w:t>10/11</w:t>
            </w:r>
            <w:r>
              <w:rPr>
                <w:rFonts w:hint="eastAsia"/>
                <w:szCs w:val="21"/>
              </w:rPr>
              <w:t>管路</w:t>
            </w:r>
          </w:p>
        </w:tc>
        <w:tc>
          <w:tcPr>
            <w:tcW w:w="1028" w:type="pct"/>
            <w:vMerge/>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EE4502">
            <w:pPr>
              <w:widowControl/>
              <w:tabs>
                <w:tab w:val="left" w:pos="377"/>
              </w:tabs>
              <w:jc w:val="center"/>
              <w:rPr>
                <w:szCs w:val="21"/>
              </w:rPr>
            </w:pPr>
          </w:p>
        </w:tc>
        <w:tc>
          <w:tcPr>
            <w:tcW w:w="474"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110</w:t>
            </w:r>
          </w:p>
        </w:tc>
        <w:tc>
          <w:tcPr>
            <w:tcW w:w="503"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65</w:t>
            </w:r>
          </w:p>
        </w:tc>
        <w:tc>
          <w:tcPr>
            <w:tcW w:w="631"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61</w:t>
            </w:r>
          </w:p>
        </w:tc>
        <w:tc>
          <w:tcPr>
            <w:tcW w:w="503"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0.53</w:t>
            </w:r>
          </w:p>
        </w:tc>
        <w:tc>
          <w:tcPr>
            <w:tcW w:w="679"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24</w:t>
            </w:r>
          </w:p>
        </w:tc>
      </w:tr>
      <w:tr w:rsidR="00EE4502">
        <w:trPr>
          <w:trHeight w:val="397"/>
        </w:trPr>
        <w:tc>
          <w:tcPr>
            <w:tcW w:w="1178"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排</w:t>
            </w:r>
            <w:r>
              <w:rPr>
                <w:rFonts w:hint="eastAsia"/>
                <w:szCs w:val="21"/>
              </w:rPr>
              <w:t>655-</w:t>
            </w:r>
            <w:r>
              <w:rPr>
                <w:rFonts w:hint="eastAsia"/>
                <w:szCs w:val="21"/>
              </w:rPr>
              <w:t>平</w:t>
            </w:r>
            <w:r>
              <w:rPr>
                <w:rFonts w:hint="eastAsia"/>
                <w:szCs w:val="21"/>
              </w:rPr>
              <w:t>1</w:t>
            </w:r>
            <w:r>
              <w:rPr>
                <w:rFonts w:hint="eastAsia"/>
                <w:szCs w:val="21"/>
              </w:rPr>
              <w:t>管路</w:t>
            </w:r>
          </w:p>
        </w:tc>
        <w:tc>
          <w:tcPr>
            <w:tcW w:w="1028" w:type="pct"/>
            <w:vMerge/>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EE4502">
            <w:pPr>
              <w:widowControl/>
              <w:tabs>
                <w:tab w:val="left" w:pos="377"/>
              </w:tabs>
              <w:jc w:val="center"/>
              <w:rPr>
                <w:szCs w:val="21"/>
              </w:rPr>
            </w:pPr>
          </w:p>
        </w:tc>
        <w:tc>
          <w:tcPr>
            <w:tcW w:w="474"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90</w:t>
            </w:r>
          </w:p>
        </w:tc>
        <w:tc>
          <w:tcPr>
            <w:tcW w:w="503"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65</w:t>
            </w:r>
          </w:p>
        </w:tc>
        <w:tc>
          <w:tcPr>
            <w:tcW w:w="631"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57</w:t>
            </w:r>
          </w:p>
        </w:tc>
        <w:tc>
          <w:tcPr>
            <w:tcW w:w="503"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0.54</w:t>
            </w:r>
          </w:p>
        </w:tc>
        <w:tc>
          <w:tcPr>
            <w:tcW w:w="679"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28</w:t>
            </w:r>
          </w:p>
        </w:tc>
      </w:tr>
    </w:tbl>
    <w:p w:rsidR="00EE4502" w:rsidRDefault="00EE4502">
      <w:pPr>
        <w:spacing w:line="360" w:lineRule="auto"/>
        <w:jc w:val="center"/>
        <w:rPr>
          <w:rFonts w:ascii="宋体" w:hAnsi="宋体" w:cs="宋体"/>
        </w:rPr>
      </w:pPr>
    </w:p>
    <w:p w:rsidR="00EE4502" w:rsidRDefault="00FD45A3">
      <w:pPr>
        <w:spacing w:line="360" w:lineRule="auto"/>
        <w:jc w:val="center"/>
        <w:rPr>
          <w:rFonts w:eastAsia="黑体"/>
          <w:szCs w:val="21"/>
        </w:rPr>
      </w:pPr>
      <w:r>
        <w:rPr>
          <w:rFonts w:eastAsia="黑体" w:hint="eastAsia"/>
          <w:szCs w:val="21"/>
        </w:rPr>
        <w:t>图</w:t>
      </w:r>
      <w:r>
        <w:rPr>
          <w:rFonts w:eastAsia="黑体" w:hint="eastAsia"/>
          <w:szCs w:val="21"/>
        </w:rPr>
        <w:t xml:space="preserve">3-3-31  </w:t>
      </w:r>
      <w:r>
        <w:rPr>
          <w:rFonts w:eastAsia="黑体" w:hint="eastAsia"/>
          <w:szCs w:val="21"/>
        </w:rPr>
        <w:t>掺水管线走向示意图</w:t>
      </w:r>
    </w:p>
    <w:p w:rsidR="00EE4502" w:rsidRDefault="00FD45A3">
      <w:pPr>
        <w:spacing w:line="360" w:lineRule="auto"/>
        <w:ind w:firstLine="482"/>
        <w:outlineLvl w:val="4"/>
        <w:rPr>
          <w:b/>
          <w:bCs/>
          <w:sz w:val="24"/>
        </w:rPr>
      </w:pPr>
      <w:r>
        <w:rPr>
          <w:rFonts w:hint="eastAsia"/>
          <w:b/>
          <w:bCs/>
          <w:sz w:val="24"/>
        </w:rPr>
        <w:lastRenderedPageBreak/>
        <w:t>（</w:t>
      </w:r>
      <w:r>
        <w:rPr>
          <w:rFonts w:hint="eastAsia"/>
          <w:b/>
          <w:bCs/>
          <w:sz w:val="24"/>
        </w:rPr>
        <w:t>3</w:t>
      </w:r>
      <w:r>
        <w:rPr>
          <w:rFonts w:hint="eastAsia"/>
          <w:b/>
          <w:bCs/>
          <w:sz w:val="24"/>
        </w:rPr>
        <w:t>）油气集输系统主要工程量</w:t>
      </w:r>
    </w:p>
    <w:p w:rsidR="00EE4502" w:rsidRDefault="00FD45A3">
      <w:pPr>
        <w:spacing w:line="360" w:lineRule="auto"/>
        <w:ind w:firstLine="482"/>
        <w:rPr>
          <w:sz w:val="24"/>
        </w:rPr>
      </w:pPr>
      <w:r>
        <w:rPr>
          <w:rFonts w:hint="eastAsia"/>
          <w:sz w:val="24"/>
        </w:rPr>
        <w:t>油气集输系统主要工程量见</w:t>
      </w:r>
      <w:r>
        <w:rPr>
          <w:rFonts w:hint="eastAsia"/>
          <w:sz w:val="24"/>
        </w:rPr>
        <w:t>下</w:t>
      </w:r>
      <w:r>
        <w:rPr>
          <w:rFonts w:hint="eastAsia"/>
          <w:sz w:val="24"/>
        </w:rPr>
        <w:t>表：</w:t>
      </w:r>
    </w:p>
    <w:p w:rsidR="00EE4502" w:rsidRDefault="00FD45A3">
      <w:pPr>
        <w:spacing w:line="360" w:lineRule="auto"/>
        <w:jc w:val="center"/>
        <w:rPr>
          <w:rFonts w:eastAsia="黑体"/>
          <w:sz w:val="24"/>
        </w:rPr>
      </w:pPr>
      <w:r>
        <w:rPr>
          <w:rFonts w:eastAsia="黑体" w:hint="eastAsia"/>
          <w:sz w:val="24"/>
        </w:rPr>
        <w:t>表</w:t>
      </w:r>
      <w:r>
        <w:rPr>
          <w:rFonts w:eastAsia="黑体" w:hint="eastAsia"/>
          <w:sz w:val="24"/>
        </w:rPr>
        <w:t xml:space="preserve">3-3-23  </w:t>
      </w:r>
      <w:r>
        <w:rPr>
          <w:rFonts w:eastAsia="黑体" w:hint="eastAsia"/>
          <w:sz w:val="24"/>
        </w:rPr>
        <w:t>油气集输系统主要工作量统计表</w:t>
      </w:r>
    </w:p>
    <w:tbl>
      <w:tblPr>
        <w:tblW w:w="4998" w:type="pct"/>
        <w:tblCellMar>
          <w:left w:w="0" w:type="dxa"/>
          <w:right w:w="0" w:type="dxa"/>
        </w:tblCellMar>
        <w:tblLook w:val="04A0" w:firstRow="1" w:lastRow="0" w:firstColumn="1" w:lastColumn="0" w:noHBand="0" w:noVBand="1"/>
      </w:tblPr>
      <w:tblGrid>
        <w:gridCol w:w="574"/>
        <w:gridCol w:w="3168"/>
        <w:gridCol w:w="605"/>
        <w:gridCol w:w="809"/>
        <w:gridCol w:w="3171"/>
      </w:tblGrid>
      <w:tr w:rsidR="00EE4502">
        <w:trPr>
          <w:trHeight w:val="397"/>
          <w:tblHeader/>
        </w:trPr>
        <w:tc>
          <w:tcPr>
            <w:tcW w:w="345"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序号</w:t>
            </w:r>
          </w:p>
        </w:tc>
        <w:tc>
          <w:tcPr>
            <w:tcW w:w="1901"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工程内容</w:t>
            </w:r>
          </w:p>
        </w:tc>
        <w:tc>
          <w:tcPr>
            <w:tcW w:w="363"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单位</w:t>
            </w:r>
          </w:p>
        </w:tc>
        <w:tc>
          <w:tcPr>
            <w:tcW w:w="486"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数量</w:t>
            </w:r>
          </w:p>
        </w:tc>
        <w:tc>
          <w:tcPr>
            <w:tcW w:w="1903"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备注</w:t>
            </w:r>
          </w:p>
        </w:tc>
      </w:tr>
      <w:tr w:rsidR="00EE4502">
        <w:trPr>
          <w:trHeight w:val="397"/>
        </w:trPr>
        <w:tc>
          <w:tcPr>
            <w:tcW w:w="345"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一</w:t>
            </w:r>
          </w:p>
        </w:tc>
        <w:tc>
          <w:tcPr>
            <w:tcW w:w="1901"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井场部分</w:t>
            </w:r>
          </w:p>
        </w:tc>
        <w:tc>
          <w:tcPr>
            <w:tcW w:w="363" w:type="pct"/>
            <w:tcBorders>
              <w:top w:val="single" w:sz="4" w:space="0" w:color="auto"/>
              <w:left w:val="single" w:sz="4" w:space="0" w:color="auto"/>
              <w:bottom w:val="single" w:sz="4" w:space="0" w:color="auto"/>
              <w:right w:val="single" w:sz="4" w:space="0" w:color="auto"/>
            </w:tcBorders>
            <w:noWrap/>
            <w:tcMar>
              <w:top w:w="12" w:type="dxa"/>
              <w:left w:w="12" w:type="dxa"/>
              <w:right w:w="12" w:type="dxa"/>
            </w:tcMar>
            <w:vAlign w:val="center"/>
          </w:tcPr>
          <w:p w:rsidR="00EE4502" w:rsidRDefault="00EE4502">
            <w:pPr>
              <w:widowControl/>
              <w:tabs>
                <w:tab w:val="left" w:pos="377"/>
              </w:tabs>
              <w:jc w:val="center"/>
              <w:rPr>
                <w:szCs w:val="21"/>
              </w:rPr>
            </w:pPr>
          </w:p>
        </w:tc>
        <w:tc>
          <w:tcPr>
            <w:tcW w:w="486" w:type="pct"/>
            <w:tcBorders>
              <w:top w:val="single" w:sz="4" w:space="0" w:color="auto"/>
              <w:left w:val="single" w:sz="4" w:space="0" w:color="auto"/>
              <w:bottom w:val="single" w:sz="4" w:space="0" w:color="auto"/>
              <w:right w:val="single" w:sz="4" w:space="0" w:color="auto"/>
            </w:tcBorders>
            <w:noWrap/>
            <w:tcMar>
              <w:top w:w="12" w:type="dxa"/>
              <w:left w:w="12" w:type="dxa"/>
              <w:right w:w="12" w:type="dxa"/>
            </w:tcMar>
            <w:vAlign w:val="center"/>
          </w:tcPr>
          <w:p w:rsidR="00EE4502" w:rsidRDefault="00EE4502">
            <w:pPr>
              <w:widowControl/>
              <w:tabs>
                <w:tab w:val="left" w:pos="377"/>
              </w:tabs>
              <w:jc w:val="center"/>
              <w:rPr>
                <w:szCs w:val="21"/>
              </w:rPr>
            </w:pPr>
          </w:p>
        </w:tc>
        <w:tc>
          <w:tcPr>
            <w:tcW w:w="1903" w:type="pct"/>
            <w:tcBorders>
              <w:top w:val="single" w:sz="4" w:space="0" w:color="auto"/>
              <w:left w:val="single" w:sz="4" w:space="0" w:color="auto"/>
              <w:bottom w:val="single" w:sz="4" w:space="0" w:color="auto"/>
              <w:right w:val="single" w:sz="4" w:space="0" w:color="auto"/>
            </w:tcBorders>
            <w:noWrap/>
            <w:tcMar>
              <w:top w:w="12" w:type="dxa"/>
              <w:left w:w="12" w:type="dxa"/>
              <w:right w:w="12" w:type="dxa"/>
            </w:tcMar>
            <w:vAlign w:val="center"/>
          </w:tcPr>
          <w:p w:rsidR="00EE4502" w:rsidRDefault="00EE4502">
            <w:pPr>
              <w:widowControl/>
              <w:tabs>
                <w:tab w:val="left" w:pos="377"/>
              </w:tabs>
              <w:jc w:val="center"/>
              <w:rPr>
                <w:szCs w:val="21"/>
              </w:rPr>
            </w:pPr>
          </w:p>
        </w:tc>
      </w:tr>
      <w:tr w:rsidR="00EE4502">
        <w:trPr>
          <w:trHeight w:val="397"/>
        </w:trPr>
        <w:tc>
          <w:tcPr>
            <w:tcW w:w="345"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1</w:t>
            </w:r>
          </w:p>
        </w:tc>
        <w:tc>
          <w:tcPr>
            <w:tcW w:w="1901"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left"/>
              <w:rPr>
                <w:szCs w:val="21"/>
              </w:rPr>
            </w:pPr>
            <w:r>
              <w:rPr>
                <w:rFonts w:hint="eastAsia"/>
                <w:szCs w:val="21"/>
              </w:rPr>
              <w:t>螺杆泵</w:t>
            </w:r>
            <w:r>
              <w:rPr>
                <w:rFonts w:hint="eastAsia"/>
                <w:szCs w:val="21"/>
              </w:rPr>
              <w:t>Q=115</w:t>
            </w:r>
            <w:r>
              <w:rPr>
                <w:rFonts w:hint="eastAsia"/>
                <w:szCs w:val="21"/>
              </w:rPr>
              <w:t>～</w:t>
            </w:r>
            <w:r>
              <w:rPr>
                <w:rFonts w:hint="eastAsia"/>
                <w:szCs w:val="21"/>
              </w:rPr>
              <w:t>165m</w:t>
            </w:r>
            <w:r>
              <w:rPr>
                <w:rFonts w:hint="eastAsia"/>
                <w:szCs w:val="21"/>
                <w:vertAlign w:val="superscript"/>
              </w:rPr>
              <w:t>3</w:t>
            </w:r>
            <w:r>
              <w:rPr>
                <w:rFonts w:hint="eastAsia"/>
                <w:szCs w:val="21"/>
              </w:rPr>
              <w:t xml:space="preserve">/h  </w:t>
            </w:r>
            <w:r>
              <w:rPr>
                <w:rFonts w:hint="eastAsia"/>
                <w:szCs w:val="21"/>
              </w:rPr>
              <w:t>油气混输</w:t>
            </w:r>
            <w:r>
              <w:rPr>
                <w:rFonts w:hint="eastAsia"/>
                <w:szCs w:val="21"/>
              </w:rPr>
              <w:t xml:space="preserve"> 1</w:t>
            </w:r>
            <w:r>
              <w:rPr>
                <w:rFonts w:hint="eastAsia"/>
                <w:szCs w:val="21"/>
              </w:rPr>
              <w:t>～</w:t>
            </w:r>
            <w:r>
              <w:rPr>
                <w:rFonts w:hint="eastAsia"/>
                <w:szCs w:val="21"/>
              </w:rPr>
              <w:t>2MPa</w:t>
            </w:r>
          </w:p>
        </w:tc>
        <w:tc>
          <w:tcPr>
            <w:tcW w:w="363"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座</w:t>
            </w:r>
          </w:p>
        </w:tc>
        <w:tc>
          <w:tcPr>
            <w:tcW w:w="486"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2</w:t>
            </w:r>
          </w:p>
        </w:tc>
        <w:tc>
          <w:tcPr>
            <w:tcW w:w="1903"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1</w:t>
            </w:r>
            <w:r>
              <w:rPr>
                <w:rFonts w:hint="eastAsia"/>
                <w:szCs w:val="21"/>
              </w:rPr>
              <w:t>用</w:t>
            </w:r>
            <w:r>
              <w:rPr>
                <w:rFonts w:hint="eastAsia"/>
                <w:szCs w:val="21"/>
              </w:rPr>
              <w:t>1</w:t>
            </w:r>
            <w:r>
              <w:rPr>
                <w:rFonts w:hint="eastAsia"/>
                <w:szCs w:val="21"/>
              </w:rPr>
              <w:t>备，含仪表及控制系统</w:t>
            </w:r>
          </w:p>
        </w:tc>
      </w:tr>
      <w:tr w:rsidR="00EE4502">
        <w:trPr>
          <w:trHeight w:val="397"/>
        </w:trPr>
        <w:tc>
          <w:tcPr>
            <w:tcW w:w="345"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2</w:t>
            </w:r>
          </w:p>
        </w:tc>
        <w:tc>
          <w:tcPr>
            <w:tcW w:w="1901"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left"/>
              <w:rPr>
                <w:szCs w:val="21"/>
              </w:rPr>
            </w:pPr>
            <w:r>
              <w:rPr>
                <w:rFonts w:hint="eastAsia"/>
                <w:szCs w:val="21"/>
              </w:rPr>
              <w:t>电伴热带</w:t>
            </w:r>
            <w:r>
              <w:rPr>
                <w:rFonts w:hint="eastAsia"/>
                <w:szCs w:val="21"/>
              </w:rPr>
              <w:t xml:space="preserve"> 220V  50w/m</w:t>
            </w:r>
          </w:p>
        </w:tc>
        <w:tc>
          <w:tcPr>
            <w:tcW w:w="363"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m</w:t>
            </w:r>
          </w:p>
        </w:tc>
        <w:tc>
          <w:tcPr>
            <w:tcW w:w="486"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300</w:t>
            </w:r>
          </w:p>
        </w:tc>
        <w:tc>
          <w:tcPr>
            <w:tcW w:w="1903" w:type="pct"/>
            <w:tcBorders>
              <w:top w:val="single" w:sz="4" w:space="0" w:color="auto"/>
              <w:left w:val="single" w:sz="4" w:space="0" w:color="auto"/>
              <w:bottom w:val="single" w:sz="4" w:space="0" w:color="auto"/>
              <w:right w:val="single" w:sz="4" w:space="0" w:color="auto"/>
            </w:tcBorders>
            <w:noWrap/>
            <w:tcMar>
              <w:top w:w="12" w:type="dxa"/>
              <w:left w:w="12" w:type="dxa"/>
              <w:right w:w="12" w:type="dxa"/>
            </w:tcMar>
            <w:vAlign w:val="center"/>
          </w:tcPr>
          <w:p w:rsidR="00EE4502" w:rsidRDefault="00EE4502">
            <w:pPr>
              <w:widowControl/>
              <w:tabs>
                <w:tab w:val="left" w:pos="377"/>
              </w:tabs>
              <w:jc w:val="center"/>
              <w:rPr>
                <w:szCs w:val="21"/>
              </w:rPr>
            </w:pPr>
          </w:p>
        </w:tc>
      </w:tr>
      <w:tr w:rsidR="00EE4502">
        <w:trPr>
          <w:trHeight w:val="397"/>
        </w:trPr>
        <w:tc>
          <w:tcPr>
            <w:tcW w:w="345"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3</w:t>
            </w:r>
          </w:p>
        </w:tc>
        <w:tc>
          <w:tcPr>
            <w:tcW w:w="1901"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left"/>
              <w:rPr>
                <w:szCs w:val="21"/>
              </w:rPr>
            </w:pPr>
            <w:r>
              <w:rPr>
                <w:rFonts w:hint="eastAsia"/>
                <w:szCs w:val="21"/>
              </w:rPr>
              <w:t>压力表</w:t>
            </w:r>
            <w:r>
              <w:rPr>
                <w:rFonts w:hint="eastAsia"/>
                <w:szCs w:val="21"/>
              </w:rPr>
              <w:t>0</w:t>
            </w:r>
            <w:r>
              <w:rPr>
                <w:rFonts w:hint="eastAsia"/>
                <w:szCs w:val="21"/>
              </w:rPr>
              <w:t>～</w:t>
            </w:r>
            <w:r>
              <w:rPr>
                <w:rFonts w:hint="eastAsia"/>
                <w:szCs w:val="21"/>
              </w:rPr>
              <w:t>2.5MPa</w:t>
            </w:r>
          </w:p>
        </w:tc>
        <w:tc>
          <w:tcPr>
            <w:tcW w:w="363"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套</w:t>
            </w:r>
          </w:p>
        </w:tc>
        <w:tc>
          <w:tcPr>
            <w:tcW w:w="486"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15</w:t>
            </w:r>
          </w:p>
        </w:tc>
        <w:tc>
          <w:tcPr>
            <w:tcW w:w="1903" w:type="pct"/>
            <w:tcBorders>
              <w:top w:val="single" w:sz="4" w:space="0" w:color="auto"/>
              <w:left w:val="single" w:sz="4" w:space="0" w:color="auto"/>
              <w:bottom w:val="single" w:sz="4" w:space="0" w:color="auto"/>
              <w:right w:val="single" w:sz="4" w:space="0" w:color="auto"/>
            </w:tcBorders>
            <w:noWrap/>
            <w:tcMar>
              <w:top w:w="12" w:type="dxa"/>
              <w:left w:w="12" w:type="dxa"/>
              <w:right w:w="12" w:type="dxa"/>
            </w:tcMar>
            <w:vAlign w:val="center"/>
          </w:tcPr>
          <w:p w:rsidR="00EE4502" w:rsidRDefault="00EE4502">
            <w:pPr>
              <w:widowControl/>
              <w:tabs>
                <w:tab w:val="left" w:pos="377"/>
              </w:tabs>
              <w:jc w:val="center"/>
              <w:rPr>
                <w:szCs w:val="21"/>
              </w:rPr>
            </w:pPr>
          </w:p>
        </w:tc>
      </w:tr>
      <w:tr w:rsidR="00EE4502">
        <w:trPr>
          <w:trHeight w:val="397"/>
        </w:trPr>
        <w:tc>
          <w:tcPr>
            <w:tcW w:w="345"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4</w:t>
            </w:r>
          </w:p>
        </w:tc>
        <w:tc>
          <w:tcPr>
            <w:tcW w:w="1901"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left"/>
              <w:rPr>
                <w:szCs w:val="21"/>
              </w:rPr>
            </w:pPr>
            <w:r>
              <w:rPr>
                <w:rFonts w:hint="eastAsia"/>
                <w:szCs w:val="21"/>
              </w:rPr>
              <w:t>双金属温度计</w:t>
            </w:r>
            <w:r>
              <w:rPr>
                <w:rFonts w:hint="eastAsia"/>
                <w:szCs w:val="21"/>
              </w:rPr>
              <w:t>0</w:t>
            </w:r>
            <w:r>
              <w:rPr>
                <w:rFonts w:hint="eastAsia"/>
                <w:szCs w:val="21"/>
              </w:rPr>
              <w:t>～</w:t>
            </w:r>
            <w:r>
              <w:rPr>
                <w:rFonts w:hint="eastAsia"/>
                <w:szCs w:val="21"/>
              </w:rPr>
              <w:t>150</w:t>
            </w:r>
            <w:r>
              <w:rPr>
                <w:rFonts w:hint="eastAsia"/>
                <w:szCs w:val="21"/>
              </w:rPr>
              <w:t>℃</w:t>
            </w:r>
          </w:p>
        </w:tc>
        <w:tc>
          <w:tcPr>
            <w:tcW w:w="363"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套</w:t>
            </w:r>
          </w:p>
        </w:tc>
        <w:tc>
          <w:tcPr>
            <w:tcW w:w="486"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15</w:t>
            </w:r>
          </w:p>
        </w:tc>
        <w:tc>
          <w:tcPr>
            <w:tcW w:w="1903" w:type="pct"/>
            <w:tcBorders>
              <w:top w:val="single" w:sz="4" w:space="0" w:color="auto"/>
              <w:left w:val="single" w:sz="4" w:space="0" w:color="auto"/>
              <w:bottom w:val="single" w:sz="4" w:space="0" w:color="auto"/>
              <w:right w:val="single" w:sz="4" w:space="0" w:color="auto"/>
            </w:tcBorders>
            <w:noWrap/>
            <w:tcMar>
              <w:top w:w="12" w:type="dxa"/>
              <w:left w:w="12" w:type="dxa"/>
              <w:right w:w="12" w:type="dxa"/>
            </w:tcMar>
            <w:vAlign w:val="center"/>
          </w:tcPr>
          <w:p w:rsidR="00EE4502" w:rsidRDefault="00EE4502">
            <w:pPr>
              <w:widowControl/>
              <w:tabs>
                <w:tab w:val="left" w:pos="377"/>
              </w:tabs>
              <w:jc w:val="center"/>
              <w:rPr>
                <w:szCs w:val="21"/>
              </w:rPr>
            </w:pPr>
          </w:p>
        </w:tc>
      </w:tr>
      <w:tr w:rsidR="00EE4502">
        <w:trPr>
          <w:trHeight w:val="397"/>
        </w:trPr>
        <w:tc>
          <w:tcPr>
            <w:tcW w:w="345"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5</w:t>
            </w:r>
          </w:p>
        </w:tc>
        <w:tc>
          <w:tcPr>
            <w:tcW w:w="1901"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left"/>
              <w:rPr>
                <w:szCs w:val="21"/>
              </w:rPr>
            </w:pPr>
            <w:r>
              <w:rPr>
                <w:rFonts w:hint="eastAsia"/>
                <w:szCs w:val="21"/>
              </w:rPr>
              <w:t>闸阀</w:t>
            </w:r>
            <w:r>
              <w:rPr>
                <w:rFonts w:hint="eastAsia"/>
                <w:szCs w:val="21"/>
              </w:rPr>
              <w:t xml:space="preserve">  DN80   PN25</w:t>
            </w:r>
          </w:p>
        </w:tc>
        <w:tc>
          <w:tcPr>
            <w:tcW w:w="363"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套</w:t>
            </w:r>
          </w:p>
        </w:tc>
        <w:tc>
          <w:tcPr>
            <w:tcW w:w="486"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40</w:t>
            </w:r>
          </w:p>
        </w:tc>
        <w:tc>
          <w:tcPr>
            <w:tcW w:w="1903" w:type="pct"/>
            <w:tcBorders>
              <w:top w:val="single" w:sz="4" w:space="0" w:color="auto"/>
              <w:left w:val="single" w:sz="4" w:space="0" w:color="auto"/>
              <w:bottom w:val="single" w:sz="4" w:space="0" w:color="auto"/>
              <w:right w:val="single" w:sz="4" w:space="0" w:color="auto"/>
            </w:tcBorders>
            <w:noWrap/>
            <w:tcMar>
              <w:top w:w="12" w:type="dxa"/>
              <w:left w:w="12" w:type="dxa"/>
              <w:right w:w="12" w:type="dxa"/>
            </w:tcMar>
            <w:vAlign w:val="center"/>
          </w:tcPr>
          <w:p w:rsidR="00EE4502" w:rsidRDefault="00EE4502">
            <w:pPr>
              <w:widowControl/>
              <w:tabs>
                <w:tab w:val="left" w:pos="377"/>
              </w:tabs>
              <w:jc w:val="center"/>
              <w:rPr>
                <w:szCs w:val="21"/>
              </w:rPr>
            </w:pPr>
          </w:p>
        </w:tc>
      </w:tr>
      <w:tr w:rsidR="00EE4502">
        <w:trPr>
          <w:trHeight w:val="397"/>
        </w:trPr>
        <w:tc>
          <w:tcPr>
            <w:tcW w:w="345"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6</w:t>
            </w:r>
          </w:p>
        </w:tc>
        <w:tc>
          <w:tcPr>
            <w:tcW w:w="1901"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left"/>
              <w:rPr>
                <w:szCs w:val="21"/>
              </w:rPr>
            </w:pPr>
            <w:r>
              <w:rPr>
                <w:rFonts w:hint="eastAsia"/>
                <w:szCs w:val="21"/>
              </w:rPr>
              <w:t>止回阀</w:t>
            </w:r>
            <w:r>
              <w:rPr>
                <w:rFonts w:hint="eastAsia"/>
                <w:szCs w:val="21"/>
              </w:rPr>
              <w:t xml:space="preserve">  DN80  PN25</w:t>
            </w:r>
          </w:p>
        </w:tc>
        <w:tc>
          <w:tcPr>
            <w:tcW w:w="363"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套</w:t>
            </w:r>
          </w:p>
        </w:tc>
        <w:tc>
          <w:tcPr>
            <w:tcW w:w="486"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16</w:t>
            </w:r>
          </w:p>
        </w:tc>
        <w:tc>
          <w:tcPr>
            <w:tcW w:w="1903" w:type="pct"/>
            <w:tcBorders>
              <w:top w:val="single" w:sz="4" w:space="0" w:color="auto"/>
              <w:left w:val="single" w:sz="4" w:space="0" w:color="auto"/>
              <w:bottom w:val="single" w:sz="4" w:space="0" w:color="auto"/>
              <w:right w:val="single" w:sz="4" w:space="0" w:color="auto"/>
            </w:tcBorders>
            <w:noWrap/>
            <w:tcMar>
              <w:top w:w="12" w:type="dxa"/>
              <w:left w:w="12" w:type="dxa"/>
              <w:right w:w="12" w:type="dxa"/>
            </w:tcMar>
            <w:vAlign w:val="center"/>
          </w:tcPr>
          <w:p w:rsidR="00EE4502" w:rsidRDefault="00EE4502">
            <w:pPr>
              <w:widowControl/>
              <w:tabs>
                <w:tab w:val="left" w:pos="377"/>
              </w:tabs>
              <w:jc w:val="center"/>
              <w:rPr>
                <w:szCs w:val="21"/>
              </w:rPr>
            </w:pPr>
          </w:p>
        </w:tc>
      </w:tr>
      <w:tr w:rsidR="00EE4502">
        <w:trPr>
          <w:trHeight w:val="397"/>
        </w:trPr>
        <w:tc>
          <w:tcPr>
            <w:tcW w:w="345"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7</w:t>
            </w:r>
          </w:p>
        </w:tc>
        <w:tc>
          <w:tcPr>
            <w:tcW w:w="1901"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left"/>
              <w:rPr>
                <w:szCs w:val="21"/>
              </w:rPr>
            </w:pPr>
            <w:r>
              <w:rPr>
                <w:rFonts w:hint="eastAsia"/>
                <w:szCs w:val="21"/>
              </w:rPr>
              <w:t>闸阀</w:t>
            </w:r>
            <w:r>
              <w:rPr>
                <w:rFonts w:hint="eastAsia"/>
                <w:szCs w:val="21"/>
              </w:rPr>
              <w:t xml:space="preserve">  DN100  PN25</w:t>
            </w:r>
          </w:p>
        </w:tc>
        <w:tc>
          <w:tcPr>
            <w:tcW w:w="363"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套</w:t>
            </w:r>
          </w:p>
        </w:tc>
        <w:tc>
          <w:tcPr>
            <w:tcW w:w="486"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4</w:t>
            </w:r>
          </w:p>
        </w:tc>
        <w:tc>
          <w:tcPr>
            <w:tcW w:w="1903" w:type="pct"/>
            <w:tcBorders>
              <w:top w:val="single" w:sz="4" w:space="0" w:color="auto"/>
              <w:left w:val="single" w:sz="4" w:space="0" w:color="auto"/>
              <w:bottom w:val="single" w:sz="4" w:space="0" w:color="auto"/>
              <w:right w:val="single" w:sz="4" w:space="0" w:color="auto"/>
            </w:tcBorders>
            <w:noWrap/>
            <w:tcMar>
              <w:top w:w="12" w:type="dxa"/>
              <w:left w:w="12" w:type="dxa"/>
              <w:right w:w="12" w:type="dxa"/>
            </w:tcMar>
            <w:vAlign w:val="center"/>
          </w:tcPr>
          <w:p w:rsidR="00EE4502" w:rsidRDefault="00EE4502">
            <w:pPr>
              <w:widowControl/>
              <w:tabs>
                <w:tab w:val="left" w:pos="377"/>
              </w:tabs>
              <w:jc w:val="center"/>
              <w:rPr>
                <w:szCs w:val="21"/>
              </w:rPr>
            </w:pPr>
          </w:p>
        </w:tc>
      </w:tr>
      <w:tr w:rsidR="00EE4502">
        <w:trPr>
          <w:trHeight w:val="397"/>
        </w:trPr>
        <w:tc>
          <w:tcPr>
            <w:tcW w:w="345"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8</w:t>
            </w:r>
          </w:p>
        </w:tc>
        <w:tc>
          <w:tcPr>
            <w:tcW w:w="1901"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left"/>
              <w:rPr>
                <w:szCs w:val="21"/>
              </w:rPr>
            </w:pPr>
            <w:r>
              <w:rPr>
                <w:rFonts w:hint="eastAsia"/>
                <w:szCs w:val="21"/>
              </w:rPr>
              <w:t>止回阀</w:t>
            </w:r>
            <w:r>
              <w:rPr>
                <w:rFonts w:hint="eastAsia"/>
                <w:szCs w:val="21"/>
              </w:rPr>
              <w:t xml:space="preserve">  DN100  PN25</w:t>
            </w:r>
          </w:p>
        </w:tc>
        <w:tc>
          <w:tcPr>
            <w:tcW w:w="363"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套</w:t>
            </w:r>
          </w:p>
        </w:tc>
        <w:tc>
          <w:tcPr>
            <w:tcW w:w="486"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4</w:t>
            </w:r>
          </w:p>
        </w:tc>
        <w:tc>
          <w:tcPr>
            <w:tcW w:w="1903" w:type="pct"/>
            <w:tcBorders>
              <w:top w:val="single" w:sz="4" w:space="0" w:color="auto"/>
              <w:left w:val="single" w:sz="4" w:space="0" w:color="auto"/>
              <w:bottom w:val="single" w:sz="4" w:space="0" w:color="auto"/>
              <w:right w:val="single" w:sz="4" w:space="0" w:color="auto"/>
            </w:tcBorders>
            <w:noWrap/>
            <w:tcMar>
              <w:top w:w="12" w:type="dxa"/>
              <w:left w:w="12" w:type="dxa"/>
              <w:right w:w="12" w:type="dxa"/>
            </w:tcMar>
            <w:vAlign w:val="center"/>
          </w:tcPr>
          <w:p w:rsidR="00EE4502" w:rsidRDefault="00EE4502">
            <w:pPr>
              <w:widowControl/>
              <w:tabs>
                <w:tab w:val="left" w:pos="377"/>
              </w:tabs>
              <w:jc w:val="center"/>
              <w:rPr>
                <w:szCs w:val="21"/>
              </w:rPr>
            </w:pPr>
          </w:p>
        </w:tc>
      </w:tr>
      <w:tr w:rsidR="00EE4502">
        <w:trPr>
          <w:trHeight w:val="397"/>
        </w:trPr>
        <w:tc>
          <w:tcPr>
            <w:tcW w:w="345"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9</w:t>
            </w:r>
          </w:p>
        </w:tc>
        <w:tc>
          <w:tcPr>
            <w:tcW w:w="1901"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left"/>
              <w:rPr>
                <w:szCs w:val="21"/>
              </w:rPr>
            </w:pPr>
            <w:r>
              <w:rPr>
                <w:rFonts w:hint="eastAsia"/>
                <w:szCs w:val="21"/>
              </w:rPr>
              <w:t>无缝钢管Φ</w:t>
            </w:r>
            <w:r>
              <w:rPr>
                <w:rFonts w:hint="eastAsia"/>
                <w:szCs w:val="21"/>
              </w:rPr>
              <w:t>89</w:t>
            </w:r>
            <w:r>
              <w:rPr>
                <w:rFonts w:hint="eastAsia"/>
                <w:szCs w:val="21"/>
              </w:rPr>
              <w:t>×</w:t>
            </w:r>
            <w:r>
              <w:rPr>
                <w:rFonts w:hint="eastAsia"/>
                <w:szCs w:val="21"/>
              </w:rPr>
              <w:t>6     20</w:t>
            </w:r>
          </w:p>
        </w:tc>
        <w:tc>
          <w:tcPr>
            <w:tcW w:w="363"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km</w:t>
            </w:r>
          </w:p>
        </w:tc>
        <w:tc>
          <w:tcPr>
            <w:tcW w:w="486"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5.4</w:t>
            </w:r>
          </w:p>
        </w:tc>
        <w:tc>
          <w:tcPr>
            <w:tcW w:w="1903"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3PE+</w:t>
            </w:r>
            <w:r>
              <w:rPr>
                <w:rFonts w:hint="eastAsia"/>
                <w:szCs w:val="21"/>
              </w:rPr>
              <w:t>泡沫黄夹克保温</w:t>
            </w:r>
            <w:r>
              <w:rPr>
                <w:rFonts w:hint="eastAsia"/>
                <w:szCs w:val="21"/>
              </w:rPr>
              <w:t>30mm</w:t>
            </w:r>
            <w:r>
              <w:rPr>
                <w:rFonts w:hint="eastAsia"/>
                <w:szCs w:val="21"/>
              </w:rPr>
              <w:t>厚</w:t>
            </w:r>
          </w:p>
        </w:tc>
      </w:tr>
      <w:tr w:rsidR="00EE4502">
        <w:trPr>
          <w:trHeight w:val="397"/>
        </w:trPr>
        <w:tc>
          <w:tcPr>
            <w:tcW w:w="345"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10</w:t>
            </w:r>
          </w:p>
        </w:tc>
        <w:tc>
          <w:tcPr>
            <w:tcW w:w="1901"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left"/>
              <w:rPr>
                <w:szCs w:val="21"/>
              </w:rPr>
            </w:pPr>
            <w:r>
              <w:rPr>
                <w:rFonts w:hint="eastAsia"/>
                <w:szCs w:val="21"/>
              </w:rPr>
              <w:t>无缝钢管Φ</w:t>
            </w:r>
            <w:r>
              <w:rPr>
                <w:rFonts w:hint="eastAsia"/>
                <w:szCs w:val="21"/>
              </w:rPr>
              <w:t>114</w:t>
            </w:r>
            <w:r>
              <w:rPr>
                <w:rFonts w:hint="eastAsia"/>
                <w:szCs w:val="21"/>
              </w:rPr>
              <w:t>×</w:t>
            </w:r>
            <w:r>
              <w:rPr>
                <w:rFonts w:hint="eastAsia"/>
                <w:szCs w:val="21"/>
              </w:rPr>
              <w:t>6   20</w:t>
            </w:r>
          </w:p>
        </w:tc>
        <w:tc>
          <w:tcPr>
            <w:tcW w:w="363"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km</w:t>
            </w:r>
          </w:p>
        </w:tc>
        <w:tc>
          <w:tcPr>
            <w:tcW w:w="486"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4</w:t>
            </w:r>
            <w:r>
              <w:rPr>
                <w:rFonts w:hint="eastAsia"/>
                <w:szCs w:val="21"/>
              </w:rPr>
              <w:t>.0</w:t>
            </w:r>
          </w:p>
        </w:tc>
        <w:tc>
          <w:tcPr>
            <w:tcW w:w="1903"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3PE+</w:t>
            </w:r>
            <w:r>
              <w:rPr>
                <w:rFonts w:hint="eastAsia"/>
                <w:szCs w:val="21"/>
              </w:rPr>
              <w:t>泡沫黄夹克保温</w:t>
            </w:r>
            <w:r>
              <w:rPr>
                <w:rFonts w:hint="eastAsia"/>
                <w:szCs w:val="21"/>
              </w:rPr>
              <w:t>30mm</w:t>
            </w:r>
            <w:r>
              <w:rPr>
                <w:rFonts w:hint="eastAsia"/>
                <w:szCs w:val="21"/>
              </w:rPr>
              <w:t>厚</w:t>
            </w:r>
          </w:p>
        </w:tc>
      </w:tr>
      <w:tr w:rsidR="00EE4502">
        <w:trPr>
          <w:trHeight w:val="397"/>
        </w:trPr>
        <w:tc>
          <w:tcPr>
            <w:tcW w:w="345"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11</w:t>
            </w:r>
          </w:p>
        </w:tc>
        <w:tc>
          <w:tcPr>
            <w:tcW w:w="1901"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left"/>
              <w:rPr>
                <w:szCs w:val="21"/>
              </w:rPr>
            </w:pPr>
            <w:r>
              <w:rPr>
                <w:rFonts w:hint="eastAsia"/>
                <w:szCs w:val="21"/>
              </w:rPr>
              <w:t>无缝钢管Φ</w:t>
            </w:r>
            <w:r>
              <w:rPr>
                <w:rFonts w:hint="eastAsia"/>
                <w:szCs w:val="21"/>
              </w:rPr>
              <w:t>168</w:t>
            </w:r>
            <w:r>
              <w:rPr>
                <w:rFonts w:hint="eastAsia"/>
                <w:szCs w:val="21"/>
              </w:rPr>
              <w:t>×</w:t>
            </w:r>
            <w:r>
              <w:rPr>
                <w:rFonts w:hint="eastAsia"/>
                <w:szCs w:val="21"/>
              </w:rPr>
              <w:t>7   20</w:t>
            </w:r>
          </w:p>
        </w:tc>
        <w:tc>
          <w:tcPr>
            <w:tcW w:w="363"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km</w:t>
            </w:r>
          </w:p>
        </w:tc>
        <w:tc>
          <w:tcPr>
            <w:tcW w:w="486"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4.5</w:t>
            </w:r>
          </w:p>
        </w:tc>
        <w:tc>
          <w:tcPr>
            <w:tcW w:w="1903"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环氧陶瓷内防</w:t>
            </w:r>
            <w:r>
              <w:rPr>
                <w:rFonts w:hint="eastAsia"/>
                <w:szCs w:val="21"/>
              </w:rPr>
              <w:t>+3PE+</w:t>
            </w:r>
            <w:r>
              <w:rPr>
                <w:rFonts w:hint="eastAsia"/>
                <w:szCs w:val="21"/>
              </w:rPr>
              <w:t>泡沫黄夹克保温</w:t>
            </w:r>
            <w:r>
              <w:rPr>
                <w:rFonts w:hint="eastAsia"/>
                <w:szCs w:val="21"/>
              </w:rPr>
              <w:t>30mm</w:t>
            </w:r>
            <w:r>
              <w:rPr>
                <w:rFonts w:hint="eastAsia"/>
                <w:szCs w:val="21"/>
              </w:rPr>
              <w:t>厚</w:t>
            </w:r>
          </w:p>
        </w:tc>
      </w:tr>
      <w:tr w:rsidR="00EE4502">
        <w:trPr>
          <w:trHeight w:val="397"/>
        </w:trPr>
        <w:tc>
          <w:tcPr>
            <w:tcW w:w="345"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12</w:t>
            </w:r>
          </w:p>
        </w:tc>
        <w:tc>
          <w:tcPr>
            <w:tcW w:w="1901"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left"/>
              <w:rPr>
                <w:szCs w:val="21"/>
              </w:rPr>
            </w:pPr>
            <w:r>
              <w:rPr>
                <w:rFonts w:hint="eastAsia"/>
                <w:szCs w:val="21"/>
              </w:rPr>
              <w:t>过路套管Φ</w:t>
            </w:r>
            <w:r>
              <w:rPr>
                <w:rFonts w:hint="eastAsia"/>
                <w:szCs w:val="21"/>
              </w:rPr>
              <w:t>323.9</w:t>
            </w:r>
            <w:r>
              <w:rPr>
                <w:rFonts w:hint="eastAsia"/>
                <w:szCs w:val="21"/>
              </w:rPr>
              <w:t>×</w:t>
            </w:r>
            <w:r>
              <w:rPr>
                <w:rFonts w:hint="eastAsia"/>
                <w:szCs w:val="21"/>
              </w:rPr>
              <w:t>7.1   Q235B</w:t>
            </w:r>
          </w:p>
        </w:tc>
        <w:tc>
          <w:tcPr>
            <w:tcW w:w="363"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m</w:t>
            </w:r>
          </w:p>
        </w:tc>
        <w:tc>
          <w:tcPr>
            <w:tcW w:w="486"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72</w:t>
            </w:r>
          </w:p>
        </w:tc>
        <w:tc>
          <w:tcPr>
            <w:tcW w:w="1903" w:type="pct"/>
            <w:tcBorders>
              <w:top w:val="single" w:sz="4" w:space="0" w:color="auto"/>
              <w:left w:val="single" w:sz="4" w:space="0" w:color="auto"/>
              <w:bottom w:val="single" w:sz="4" w:space="0" w:color="auto"/>
              <w:right w:val="single" w:sz="4" w:space="0" w:color="auto"/>
            </w:tcBorders>
            <w:noWrap/>
            <w:tcMar>
              <w:top w:w="12" w:type="dxa"/>
              <w:left w:w="12" w:type="dxa"/>
              <w:right w:w="12" w:type="dxa"/>
            </w:tcMar>
            <w:vAlign w:val="center"/>
          </w:tcPr>
          <w:p w:rsidR="00EE4502" w:rsidRDefault="00EE4502">
            <w:pPr>
              <w:widowControl/>
              <w:tabs>
                <w:tab w:val="left" w:pos="377"/>
              </w:tabs>
              <w:jc w:val="center"/>
              <w:rPr>
                <w:szCs w:val="21"/>
              </w:rPr>
            </w:pPr>
          </w:p>
        </w:tc>
      </w:tr>
      <w:tr w:rsidR="00EE4502">
        <w:trPr>
          <w:trHeight w:val="397"/>
        </w:trPr>
        <w:tc>
          <w:tcPr>
            <w:tcW w:w="345"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13</w:t>
            </w:r>
          </w:p>
        </w:tc>
        <w:tc>
          <w:tcPr>
            <w:tcW w:w="1901"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left"/>
              <w:rPr>
                <w:szCs w:val="21"/>
              </w:rPr>
            </w:pPr>
            <w:r>
              <w:rPr>
                <w:rFonts w:hint="eastAsia"/>
                <w:szCs w:val="21"/>
              </w:rPr>
              <w:t>过路套管Φ</w:t>
            </w:r>
            <w:r>
              <w:rPr>
                <w:rFonts w:hint="eastAsia"/>
                <w:szCs w:val="21"/>
              </w:rPr>
              <w:t>355.6</w:t>
            </w:r>
            <w:r>
              <w:rPr>
                <w:rFonts w:hint="eastAsia"/>
                <w:szCs w:val="21"/>
              </w:rPr>
              <w:t>×</w:t>
            </w:r>
            <w:r>
              <w:rPr>
                <w:rFonts w:hint="eastAsia"/>
                <w:szCs w:val="21"/>
              </w:rPr>
              <w:t>7.1   Q235B</w:t>
            </w:r>
          </w:p>
        </w:tc>
        <w:tc>
          <w:tcPr>
            <w:tcW w:w="363"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m</w:t>
            </w:r>
          </w:p>
        </w:tc>
        <w:tc>
          <w:tcPr>
            <w:tcW w:w="486"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72</w:t>
            </w:r>
          </w:p>
        </w:tc>
        <w:tc>
          <w:tcPr>
            <w:tcW w:w="1903" w:type="pct"/>
            <w:tcBorders>
              <w:top w:val="single" w:sz="4" w:space="0" w:color="auto"/>
              <w:left w:val="single" w:sz="4" w:space="0" w:color="auto"/>
              <w:bottom w:val="single" w:sz="4" w:space="0" w:color="auto"/>
              <w:right w:val="single" w:sz="4" w:space="0" w:color="auto"/>
            </w:tcBorders>
            <w:noWrap/>
            <w:tcMar>
              <w:top w:w="12" w:type="dxa"/>
              <w:left w:w="12" w:type="dxa"/>
              <w:right w:w="12" w:type="dxa"/>
            </w:tcMar>
            <w:vAlign w:val="center"/>
          </w:tcPr>
          <w:p w:rsidR="00EE4502" w:rsidRDefault="00EE4502">
            <w:pPr>
              <w:widowControl/>
              <w:tabs>
                <w:tab w:val="left" w:pos="377"/>
              </w:tabs>
              <w:jc w:val="center"/>
              <w:rPr>
                <w:szCs w:val="21"/>
              </w:rPr>
            </w:pPr>
          </w:p>
        </w:tc>
      </w:tr>
      <w:tr w:rsidR="00EE4502">
        <w:trPr>
          <w:trHeight w:val="397"/>
        </w:trPr>
        <w:tc>
          <w:tcPr>
            <w:tcW w:w="345"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二</w:t>
            </w:r>
          </w:p>
        </w:tc>
        <w:tc>
          <w:tcPr>
            <w:tcW w:w="1901"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掺水部分</w:t>
            </w:r>
          </w:p>
        </w:tc>
        <w:tc>
          <w:tcPr>
            <w:tcW w:w="363"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EE4502">
            <w:pPr>
              <w:widowControl/>
              <w:tabs>
                <w:tab w:val="left" w:pos="377"/>
              </w:tabs>
              <w:jc w:val="center"/>
              <w:rPr>
                <w:szCs w:val="21"/>
              </w:rPr>
            </w:pPr>
          </w:p>
        </w:tc>
        <w:tc>
          <w:tcPr>
            <w:tcW w:w="486"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EE4502">
            <w:pPr>
              <w:widowControl/>
              <w:tabs>
                <w:tab w:val="left" w:pos="377"/>
              </w:tabs>
              <w:jc w:val="center"/>
              <w:rPr>
                <w:szCs w:val="21"/>
              </w:rPr>
            </w:pPr>
          </w:p>
        </w:tc>
        <w:tc>
          <w:tcPr>
            <w:tcW w:w="1903"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EE4502">
            <w:pPr>
              <w:widowControl/>
              <w:tabs>
                <w:tab w:val="left" w:pos="377"/>
              </w:tabs>
              <w:jc w:val="center"/>
              <w:rPr>
                <w:szCs w:val="21"/>
              </w:rPr>
            </w:pPr>
          </w:p>
        </w:tc>
      </w:tr>
      <w:tr w:rsidR="00EE4502">
        <w:trPr>
          <w:trHeight w:val="397"/>
        </w:trPr>
        <w:tc>
          <w:tcPr>
            <w:tcW w:w="345"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1</w:t>
            </w:r>
          </w:p>
        </w:tc>
        <w:tc>
          <w:tcPr>
            <w:tcW w:w="1901"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left"/>
              <w:rPr>
                <w:szCs w:val="21"/>
              </w:rPr>
            </w:pPr>
            <w:r>
              <w:rPr>
                <w:rFonts w:hint="eastAsia"/>
                <w:szCs w:val="21"/>
              </w:rPr>
              <w:t>胺类玻璃钢管</w:t>
            </w:r>
            <w:r>
              <w:rPr>
                <w:rFonts w:hint="eastAsia"/>
                <w:szCs w:val="21"/>
              </w:rPr>
              <w:t>DN100  PN25</w:t>
            </w:r>
          </w:p>
        </w:tc>
        <w:tc>
          <w:tcPr>
            <w:tcW w:w="363"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km</w:t>
            </w:r>
          </w:p>
        </w:tc>
        <w:tc>
          <w:tcPr>
            <w:tcW w:w="486"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2</w:t>
            </w:r>
          </w:p>
        </w:tc>
        <w:tc>
          <w:tcPr>
            <w:tcW w:w="1903"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30mm</w:t>
            </w:r>
            <w:r>
              <w:rPr>
                <w:rFonts w:hint="eastAsia"/>
                <w:szCs w:val="21"/>
              </w:rPr>
              <w:t>厚泡沫黄夹克保温</w:t>
            </w:r>
          </w:p>
        </w:tc>
      </w:tr>
      <w:tr w:rsidR="00EE4502">
        <w:trPr>
          <w:trHeight w:val="397"/>
        </w:trPr>
        <w:tc>
          <w:tcPr>
            <w:tcW w:w="345"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2</w:t>
            </w:r>
          </w:p>
        </w:tc>
        <w:tc>
          <w:tcPr>
            <w:tcW w:w="1901"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left"/>
              <w:rPr>
                <w:szCs w:val="21"/>
              </w:rPr>
            </w:pPr>
            <w:r>
              <w:rPr>
                <w:rFonts w:hint="eastAsia"/>
                <w:szCs w:val="21"/>
              </w:rPr>
              <w:t>胺类玻璃钢管</w:t>
            </w:r>
            <w:r>
              <w:rPr>
                <w:rFonts w:hint="eastAsia"/>
                <w:szCs w:val="21"/>
              </w:rPr>
              <w:t>DN80  PN25</w:t>
            </w:r>
          </w:p>
        </w:tc>
        <w:tc>
          <w:tcPr>
            <w:tcW w:w="363"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km</w:t>
            </w:r>
          </w:p>
        </w:tc>
        <w:tc>
          <w:tcPr>
            <w:tcW w:w="486"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3.2</w:t>
            </w:r>
          </w:p>
        </w:tc>
        <w:tc>
          <w:tcPr>
            <w:tcW w:w="1903"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30mm</w:t>
            </w:r>
            <w:r>
              <w:rPr>
                <w:rFonts w:hint="eastAsia"/>
                <w:szCs w:val="21"/>
              </w:rPr>
              <w:t>厚泡沫黄夹克保温</w:t>
            </w:r>
          </w:p>
        </w:tc>
      </w:tr>
      <w:tr w:rsidR="00EE4502">
        <w:trPr>
          <w:trHeight w:val="397"/>
        </w:trPr>
        <w:tc>
          <w:tcPr>
            <w:tcW w:w="345"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3</w:t>
            </w:r>
          </w:p>
        </w:tc>
        <w:tc>
          <w:tcPr>
            <w:tcW w:w="1901"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left"/>
              <w:rPr>
                <w:szCs w:val="21"/>
              </w:rPr>
            </w:pPr>
            <w:r>
              <w:rPr>
                <w:rFonts w:hint="eastAsia"/>
                <w:szCs w:val="21"/>
              </w:rPr>
              <w:t>胺类玻璃钢管</w:t>
            </w:r>
            <w:r>
              <w:rPr>
                <w:rFonts w:hint="eastAsia"/>
                <w:szCs w:val="21"/>
              </w:rPr>
              <w:t>DN65  PN25</w:t>
            </w:r>
          </w:p>
        </w:tc>
        <w:tc>
          <w:tcPr>
            <w:tcW w:w="363"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km</w:t>
            </w:r>
          </w:p>
        </w:tc>
        <w:tc>
          <w:tcPr>
            <w:tcW w:w="486"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5.1</w:t>
            </w:r>
          </w:p>
        </w:tc>
        <w:tc>
          <w:tcPr>
            <w:tcW w:w="1903"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30mm</w:t>
            </w:r>
            <w:r>
              <w:rPr>
                <w:rFonts w:hint="eastAsia"/>
                <w:szCs w:val="21"/>
              </w:rPr>
              <w:t>厚泡沫黄夹克保温</w:t>
            </w:r>
          </w:p>
        </w:tc>
      </w:tr>
      <w:tr w:rsidR="00EE4502">
        <w:trPr>
          <w:trHeight w:val="397"/>
        </w:trPr>
        <w:tc>
          <w:tcPr>
            <w:tcW w:w="345"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4</w:t>
            </w:r>
          </w:p>
        </w:tc>
        <w:tc>
          <w:tcPr>
            <w:tcW w:w="1901"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left"/>
              <w:rPr>
                <w:szCs w:val="21"/>
              </w:rPr>
            </w:pPr>
            <w:r>
              <w:rPr>
                <w:rFonts w:hint="eastAsia"/>
                <w:szCs w:val="21"/>
              </w:rPr>
              <w:t>闸阀</w:t>
            </w:r>
            <w:r>
              <w:rPr>
                <w:rFonts w:hint="eastAsia"/>
                <w:szCs w:val="21"/>
              </w:rPr>
              <w:t xml:space="preserve">  DN80   PN25</w:t>
            </w:r>
          </w:p>
        </w:tc>
        <w:tc>
          <w:tcPr>
            <w:tcW w:w="363"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套</w:t>
            </w:r>
          </w:p>
        </w:tc>
        <w:tc>
          <w:tcPr>
            <w:tcW w:w="486"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4</w:t>
            </w:r>
          </w:p>
        </w:tc>
        <w:tc>
          <w:tcPr>
            <w:tcW w:w="1903"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EE4502">
            <w:pPr>
              <w:widowControl/>
              <w:tabs>
                <w:tab w:val="left" w:pos="377"/>
              </w:tabs>
              <w:jc w:val="center"/>
              <w:rPr>
                <w:szCs w:val="21"/>
              </w:rPr>
            </w:pPr>
          </w:p>
        </w:tc>
      </w:tr>
      <w:tr w:rsidR="00EE4502">
        <w:trPr>
          <w:trHeight w:val="397"/>
        </w:trPr>
        <w:tc>
          <w:tcPr>
            <w:tcW w:w="345"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5</w:t>
            </w:r>
          </w:p>
        </w:tc>
        <w:tc>
          <w:tcPr>
            <w:tcW w:w="1901"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left"/>
              <w:rPr>
                <w:szCs w:val="21"/>
              </w:rPr>
            </w:pPr>
            <w:r>
              <w:rPr>
                <w:rFonts w:hint="eastAsia"/>
                <w:szCs w:val="21"/>
              </w:rPr>
              <w:t>止回阀</w:t>
            </w:r>
            <w:r>
              <w:rPr>
                <w:rFonts w:hint="eastAsia"/>
                <w:szCs w:val="21"/>
              </w:rPr>
              <w:t xml:space="preserve">  DN80  PN25</w:t>
            </w:r>
          </w:p>
        </w:tc>
        <w:tc>
          <w:tcPr>
            <w:tcW w:w="363"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套</w:t>
            </w:r>
          </w:p>
        </w:tc>
        <w:tc>
          <w:tcPr>
            <w:tcW w:w="486"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4</w:t>
            </w:r>
          </w:p>
        </w:tc>
        <w:tc>
          <w:tcPr>
            <w:tcW w:w="1903"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EE4502">
            <w:pPr>
              <w:widowControl/>
              <w:tabs>
                <w:tab w:val="left" w:pos="377"/>
              </w:tabs>
              <w:jc w:val="center"/>
              <w:rPr>
                <w:szCs w:val="21"/>
              </w:rPr>
            </w:pPr>
          </w:p>
        </w:tc>
      </w:tr>
      <w:tr w:rsidR="00EE4502">
        <w:trPr>
          <w:trHeight w:val="397"/>
        </w:trPr>
        <w:tc>
          <w:tcPr>
            <w:tcW w:w="345"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6</w:t>
            </w:r>
          </w:p>
        </w:tc>
        <w:tc>
          <w:tcPr>
            <w:tcW w:w="1901"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left"/>
              <w:rPr>
                <w:szCs w:val="21"/>
              </w:rPr>
            </w:pPr>
            <w:r>
              <w:rPr>
                <w:rFonts w:hint="eastAsia"/>
                <w:szCs w:val="21"/>
              </w:rPr>
              <w:t>闸阀</w:t>
            </w:r>
            <w:r>
              <w:rPr>
                <w:rFonts w:hint="eastAsia"/>
                <w:szCs w:val="21"/>
              </w:rPr>
              <w:t xml:space="preserve">  DN65  PN25</w:t>
            </w:r>
          </w:p>
        </w:tc>
        <w:tc>
          <w:tcPr>
            <w:tcW w:w="363"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套</w:t>
            </w:r>
          </w:p>
        </w:tc>
        <w:tc>
          <w:tcPr>
            <w:tcW w:w="486"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4</w:t>
            </w:r>
          </w:p>
        </w:tc>
        <w:tc>
          <w:tcPr>
            <w:tcW w:w="1903"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EE4502">
            <w:pPr>
              <w:widowControl/>
              <w:tabs>
                <w:tab w:val="left" w:pos="377"/>
              </w:tabs>
              <w:jc w:val="center"/>
              <w:rPr>
                <w:szCs w:val="21"/>
              </w:rPr>
            </w:pPr>
          </w:p>
        </w:tc>
      </w:tr>
      <w:tr w:rsidR="00EE4502">
        <w:trPr>
          <w:trHeight w:val="397"/>
        </w:trPr>
        <w:tc>
          <w:tcPr>
            <w:tcW w:w="345"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7</w:t>
            </w:r>
          </w:p>
        </w:tc>
        <w:tc>
          <w:tcPr>
            <w:tcW w:w="1901"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left"/>
              <w:rPr>
                <w:szCs w:val="21"/>
              </w:rPr>
            </w:pPr>
            <w:r>
              <w:rPr>
                <w:rFonts w:hint="eastAsia"/>
                <w:szCs w:val="21"/>
              </w:rPr>
              <w:t>止回阀</w:t>
            </w:r>
            <w:r>
              <w:rPr>
                <w:rFonts w:hint="eastAsia"/>
                <w:szCs w:val="21"/>
              </w:rPr>
              <w:t xml:space="preserve">  DN65  PN25</w:t>
            </w:r>
          </w:p>
        </w:tc>
        <w:tc>
          <w:tcPr>
            <w:tcW w:w="363"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套</w:t>
            </w:r>
          </w:p>
        </w:tc>
        <w:tc>
          <w:tcPr>
            <w:tcW w:w="486"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4</w:t>
            </w:r>
          </w:p>
        </w:tc>
        <w:tc>
          <w:tcPr>
            <w:tcW w:w="1903"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EE4502">
            <w:pPr>
              <w:widowControl/>
              <w:tabs>
                <w:tab w:val="left" w:pos="377"/>
              </w:tabs>
              <w:jc w:val="center"/>
              <w:rPr>
                <w:szCs w:val="21"/>
              </w:rPr>
            </w:pPr>
          </w:p>
        </w:tc>
      </w:tr>
      <w:tr w:rsidR="00EE4502">
        <w:trPr>
          <w:trHeight w:val="397"/>
        </w:trPr>
        <w:tc>
          <w:tcPr>
            <w:tcW w:w="345"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8</w:t>
            </w:r>
          </w:p>
        </w:tc>
        <w:tc>
          <w:tcPr>
            <w:tcW w:w="1901"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left"/>
              <w:rPr>
                <w:szCs w:val="21"/>
              </w:rPr>
            </w:pPr>
            <w:r>
              <w:rPr>
                <w:rFonts w:hint="eastAsia"/>
                <w:szCs w:val="21"/>
              </w:rPr>
              <w:t>过路套管Φ</w:t>
            </w:r>
            <w:r>
              <w:rPr>
                <w:rFonts w:hint="eastAsia"/>
                <w:szCs w:val="21"/>
              </w:rPr>
              <w:t>323.9</w:t>
            </w:r>
            <w:r>
              <w:rPr>
                <w:rFonts w:hint="eastAsia"/>
                <w:szCs w:val="21"/>
              </w:rPr>
              <w:t>×</w:t>
            </w:r>
            <w:r>
              <w:rPr>
                <w:rFonts w:hint="eastAsia"/>
                <w:szCs w:val="21"/>
              </w:rPr>
              <w:t>7.1   Q235B</w:t>
            </w:r>
          </w:p>
        </w:tc>
        <w:tc>
          <w:tcPr>
            <w:tcW w:w="363"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m</w:t>
            </w:r>
          </w:p>
        </w:tc>
        <w:tc>
          <w:tcPr>
            <w:tcW w:w="486"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36</w:t>
            </w:r>
          </w:p>
        </w:tc>
        <w:tc>
          <w:tcPr>
            <w:tcW w:w="1903"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EE4502">
            <w:pPr>
              <w:widowControl/>
              <w:tabs>
                <w:tab w:val="left" w:pos="377"/>
              </w:tabs>
              <w:jc w:val="center"/>
              <w:rPr>
                <w:szCs w:val="21"/>
              </w:rPr>
            </w:pPr>
          </w:p>
        </w:tc>
      </w:tr>
      <w:tr w:rsidR="00EE4502">
        <w:trPr>
          <w:trHeight w:val="397"/>
        </w:trPr>
        <w:tc>
          <w:tcPr>
            <w:tcW w:w="345"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9</w:t>
            </w:r>
          </w:p>
        </w:tc>
        <w:tc>
          <w:tcPr>
            <w:tcW w:w="1901"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left"/>
              <w:rPr>
                <w:szCs w:val="21"/>
              </w:rPr>
            </w:pPr>
            <w:r>
              <w:rPr>
                <w:rFonts w:hint="eastAsia"/>
                <w:szCs w:val="21"/>
              </w:rPr>
              <w:t>过路套管Φ</w:t>
            </w:r>
            <w:r>
              <w:rPr>
                <w:rFonts w:hint="eastAsia"/>
                <w:szCs w:val="21"/>
              </w:rPr>
              <w:t>355.6</w:t>
            </w:r>
            <w:r>
              <w:rPr>
                <w:rFonts w:hint="eastAsia"/>
                <w:szCs w:val="21"/>
              </w:rPr>
              <w:t>×</w:t>
            </w:r>
            <w:r>
              <w:rPr>
                <w:rFonts w:hint="eastAsia"/>
                <w:szCs w:val="21"/>
              </w:rPr>
              <w:t>7.1   Q235B</w:t>
            </w:r>
          </w:p>
        </w:tc>
        <w:tc>
          <w:tcPr>
            <w:tcW w:w="363"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m</w:t>
            </w:r>
          </w:p>
        </w:tc>
        <w:tc>
          <w:tcPr>
            <w:tcW w:w="486"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36</w:t>
            </w:r>
          </w:p>
        </w:tc>
        <w:tc>
          <w:tcPr>
            <w:tcW w:w="1903"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EE4502">
            <w:pPr>
              <w:widowControl/>
              <w:tabs>
                <w:tab w:val="left" w:pos="377"/>
              </w:tabs>
              <w:jc w:val="center"/>
              <w:rPr>
                <w:szCs w:val="21"/>
              </w:rPr>
            </w:pPr>
          </w:p>
        </w:tc>
      </w:tr>
      <w:tr w:rsidR="00EE4502">
        <w:trPr>
          <w:trHeight w:val="397"/>
        </w:trPr>
        <w:tc>
          <w:tcPr>
            <w:tcW w:w="345"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10</w:t>
            </w:r>
          </w:p>
        </w:tc>
        <w:tc>
          <w:tcPr>
            <w:tcW w:w="1901"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left"/>
              <w:rPr>
                <w:szCs w:val="21"/>
              </w:rPr>
            </w:pPr>
            <w:r>
              <w:rPr>
                <w:rFonts w:hint="eastAsia"/>
                <w:szCs w:val="21"/>
              </w:rPr>
              <w:t>钢筋混凝土水表井</w:t>
            </w:r>
          </w:p>
        </w:tc>
        <w:tc>
          <w:tcPr>
            <w:tcW w:w="363"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EE4502">
            <w:pPr>
              <w:widowControl/>
              <w:tabs>
                <w:tab w:val="left" w:pos="377"/>
              </w:tabs>
              <w:jc w:val="center"/>
              <w:rPr>
                <w:szCs w:val="21"/>
              </w:rPr>
            </w:pPr>
          </w:p>
        </w:tc>
        <w:tc>
          <w:tcPr>
            <w:tcW w:w="486"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EE4502">
            <w:pPr>
              <w:widowControl/>
              <w:tabs>
                <w:tab w:val="left" w:pos="377"/>
              </w:tabs>
              <w:jc w:val="center"/>
              <w:rPr>
                <w:szCs w:val="21"/>
              </w:rPr>
            </w:pPr>
          </w:p>
        </w:tc>
        <w:tc>
          <w:tcPr>
            <w:tcW w:w="1903"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EE4502">
            <w:pPr>
              <w:widowControl/>
              <w:tabs>
                <w:tab w:val="left" w:pos="377"/>
              </w:tabs>
              <w:jc w:val="center"/>
              <w:rPr>
                <w:szCs w:val="21"/>
              </w:rPr>
            </w:pPr>
          </w:p>
        </w:tc>
      </w:tr>
      <w:tr w:rsidR="00EE4502">
        <w:trPr>
          <w:trHeight w:val="397"/>
        </w:trPr>
        <w:tc>
          <w:tcPr>
            <w:tcW w:w="345"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10.1</w:t>
            </w:r>
          </w:p>
        </w:tc>
        <w:tc>
          <w:tcPr>
            <w:tcW w:w="1901"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left"/>
              <w:rPr>
                <w:szCs w:val="21"/>
              </w:rPr>
            </w:pPr>
            <w:r>
              <w:rPr>
                <w:rFonts w:hint="eastAsia"/>
                <w:szCs w:val="21"/>
              </w:rPr>
              <w:t>钢筋混凝土水表井</w:t>
            </w:r>
            <w:r>
              <w:rPr>
                <w:rFonts w:hint="eastAsia"/>
                <w:szCs w:val="21"/>
              </w:rPr>
              <w:t>2.75m</w:t>
            </w:r>
            <w:r>
              <w:rPr>
                <w:rFonts w:hint="eastAsia"/>
                <w:szCs w:val="21"/>
              </w:rPr>
              <w:t>×</w:t>
            </w:r>
            <w:r>
              <w:rPr>
                <w:rFonts w:hint="eastAsia"/>
                <w:szCs w:val="21"/>
              </w:rPr>
              <w:t>1.70m</w:t>
            </w:r>
            <w:r>
              <w:rPr>
                <w:rFonts w:hint="eastAsia"/>
                <w:szCs w:val="21"/>
              </w:rPr>
              <w:t>×</w:t>
            </w:r>
            <w:r>
              <w:rPr>
                <w:rFonts w:hint="eastAsia"/>
                <w:szCs w:val="21"/>
              </w:rPr>
              <w:t>2.35m</w:t>
            </w:r>
          </w:p>
        </w:tc>
        <w:tc>
          <w:tcPr>
            <w:tcW w:w="363"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座</w:t>
            </w:r>
          </w:p>
        </w:tc>
        <w:tc>
          <w:tcPr>
            <w:tcW w:w="486"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4</w:t>
            </w:r>
          </w:p>
        </w:tc>
        <w:tc>
          <w:tcPr>
            <w:tcW w:w="1903"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EE4502">
            <w:pPr>
              <w:widowControl/>
              <w:tabs>
                <w:tab w:val="left" w:pos="377"/>
              </w:tabs>
              <w:jc w:val="center"/>
              <w:rPr>
                <w:szCs w:val="21"/>
              </w:rPr>
            </w:pPr>
          </w:p>
        </w:tc>
      </w:tr>
      <w:tr w:rsidR="00EE4502">
        <w:trPr>
          <w:trHeight w:val="397"/>
        </w:trPr>
        <w:tc>
          <w:tcPr>
            <w:tcW w:w="345"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10.2</w:t>
            </w:r>
          </w:p>
        </w:tc>
        <w:tc>
          <w:tcPr>
            <w:tcW w:w="1901"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left"/>
              <w:rPr>
                <w:szCs w:val="21"/>
              </w:rPr>
            </w:pPr>
            <w:r>
              <w:rPr>
                <w:rFonts w:hint="eastAsia"/>
                <w:szCs w:val="21"/>
              </w:rPr>
              <w:t>蝶阀</w:t>
            </w:r>
            <w:r>
              <w:rPr>
                <w:rFonts w:hint="eastAsia"/>
                <w:szCs w:val="21"/>
              </w:rPr>
              <w:t xml:space="preserve">  DN65     1.0MPa</w:t>
            </w:r>
          </w:p>
        </w:tc>
        <w:tc>
          <w:tcPr>
            <w:tcW w:w="363"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个</w:t>
            </w:r>
          </w:p>
        </w:tc>
        <w:tc>
          <w:tcPr>
            <w:tcW w:w="486"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4</w:t>
            </w:r>
          </w:p>
        </w:tc>
        <w:tc>
          <w:tcPr>
            <w:tcW w:w="1903"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EE4502">
            <w:pPr>
              <w:widowControl/>
              <w:tabs>
                <w:tab w:val="left" w:pos="377"/>
              </w:tabs>
              <w:jc w:val="center"/>
              <w:rPr>
                <w:szCs w:val="21"/>
              </w:rPr>
            </w:pPr>
          </w:p>
        </w:tc>
      </w:tr>
      <w:tr w:rsidR="00EE4502">
        <w:trPr>
          <w:trHeight w:val="397"/>
        </w:trPr>
        <w:tc>
          <w:tcPr>
            <w:tcW w:w="345"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lastRenderedPageBreak/>
              <w:t>10.3</w:t>
            </w:r>
          </w:p>
        </w:tc>
        <w:tc>
          <w:tcPr>
            <w:tcW w:w="1901"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left"/>
              <w:rPr>
                <w:szCs w:val="21"/>
              </w:rPr>
            </w:pPr>
            <w:r>
              <w:rPr>
                <w:rFonts w:hint="eastAsia"/>
                <w:szCs w:val="21"/>
              </w:rPr>
              <w:t>止回阀</w:t>
            </w:r>
            <w:r>
              <w:rPr>
                <w:rFonts w:hint="eastAsia"/>
                <w:szCs w:val="21"/>
              </w:rPr>
              <w:t xml:space="preserve">  DN65  1.0MPa</w:t>
            </w:r>
          </w:p>
        </w:tc>
        <w:tc>
          <w:tcPr>
            <w:tcW w:w="363"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个</w:t>
            </w:r>
          </w:p>
        </w:tc>
        <w:tc>
          <w:tcPr>
            <w:tcW w:w="486"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4</w:t>
            </w:r>
          </w:p>
        </w:tc>
        <w:tc>
          <w:tcPr>
            <w:tcW w:w="1903"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EE4502">
            <w:pPr>
              <w:widowControl/>
              <w:tabs>
                <w:tab w:val="left" w:pos="377"/>
              </w:tabs>
              <w:jc w:val="center"/>
              <w:rPr>
                <w:szCs w:val="21"/>
              </w:rPr>
            </w:pPr>
          </w:p>
        </w:tc>
      </w:tr>
    </w:tbl>
    <w:p w:rsidR="00EE4502" w:rsidRDefault="00EE4502">
      <w:pPr>
        <w:spacing w:line="360" w:lineRule="auto"/>
        <w:jc w:val="center"/>
        <w:rPr>
          <w:sz w:val="24"/>
        </w:rPr>
      </w:pPr>
    </w:p>
    <w:p w:rsidR="00EE4502" w:rsidRDefault="00FD45A3">
      <w:pPr>
        <w:pStyle w:val="41"/>
        <w:numPr>
          <w:ilvl w:val="3"/>
          <w:numId w:val="30"/>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hint="eastAsia"/>
          <w:bCs w:val="0"/>
          <w:sz w:val="24"/>
          <w:szCs w:val="24"/>
        </w:rPr>
        <w:t>注汽系统</w:t>
      </w:r>
    </w:p>
    <w:p w:rsidR="00EE4502" w:rsidRDefault="00FD45A3">
      <w:pPr>
        <w:spacing w:line="360" w:lineRule="auto"/>
        <w:ind w:firstLineChars="200" w:firstLine="480"/>
        <w:rPr>
          <w:kern w:val="0"/>
          <w:sz w:val="24"/>
        </w:rPr>
      </w:pPr>
      <w:r>
        <w:rPr>
          <w:rFonts w:hint="eastAsia"/>
          <w:kern w:val="0"/>
          <w:sz w:val="24"/>
        </w:rPr>
        <w:t>根据春风油田排</w:t>
      </w:r>
      <w:r>
        <w:rPr>
          <w:rFonts w:hint="eastAsia"/>
          <w:kern w:val="0"/>
          <w:sz w:val="24"/>
        </w:rPr>
        <w:t>61</w:t>
      </w:r>
      <w:r>
        <w:rPr>
          <w:rFonts w:hint="eastAsia"/>
          <w:kern w:val="0"/>
          <w:sz w:val="24"/>
        </w:rPr>
        <w:t>块产能建设方案，拟在</w:t>
      </w:r>
      <w:r>
        <w:rPr>
          <w:rFonts w:hint="eastAsia"/>
          <w:kern w:val="0"/>
          <w:sz w:val="24"/>
        </w:rPr>
        <w:t>1#</w:t>
      </w:r>
      <w:r>
        <w:rPr>
          <w:rFonts w:hint="eastAsia"/>
          <w:kern w:val="0"/>
          <w:sz w:val="24"/>
        </w:rPr>
        <w:t>增压站内新建蒸汽减压撬提供低压蒸汽为油管线内原油加热，计算热负荷为</w:t>
      </w:r>
      <w:r>
        <w:rPr>
          <w:rFonts w:hint="eastAsia"/>
          <w:kern w:val="0"/>
          <w:sz w:val="24"/>
        </w:rPr>
        <w:t>727kW</w:t>
      </w:r>
      <w:r>
        <w:rPr>
          <w:rFonts w:hint="eastAsia"/>
          <w:kern w:val="0"/>
          <w:sz w:val="24"/>
        </w:rPr>
        <w:t>，选用蒸汽减压撬流量为</w:t>
      </w:r>
      <w:r>
        <w:rPr>
          <w:rFonts w:hint="eastAsia"/>
          <w:kern w:val="0"/>
          <w:sz w:val="24"/>
        </w:rPr>
        <w:t>2t/h</w:t>
      </w:r>
      <w:r>
        <w:rPr>
          <w:rFonts w:hint="eastAsia"/>
          <w:kern w:val="0"/>
          <w:sz w:val="24"/>
        </w:rPr>
        <w:t>。热负荷计算见表</w:t>
      </w:r>
      <w:r>
        <w:rPr>
          <w:rFonts w:hint="eastAsia"/>
          <w:kern w:val="0"/>
          <w:sz w:val="24"/>
        </w:rPr>
        <w:t>3-3-24</w:t>
      </w:r>
      <w:r>
        <w:rPr>
          <w:rFonts w:hint="eastAsia"/>
          <w:kern w:val="0"/>
          <w:sz w:val="24"/>
        </w:rPr>
        <w:t>，耗气量计算见表</w:t>
      </w:r>
      <w:r>
        <w:rPr>
          <w:rFonts w:hint="eastAsia"/>
          <w:kern w:val="0"/>
          <w:sz w:val="24"/>
        </w:rPr>
        <w:t>3-3-25</w:t>
      </w:r>
      <w:r>
        <w:rPr>
          <w:rFonts w:hint="eastAsia"/>
          <w:kern w:val="0"/>
          <w:sz w:val="24"/>
        </w:rPr>
        <w:t>。</w:t>
      </w:r>
    </w:p>
    <w:p w:rsidR="00EE4502" w:rsidRDefault="00FD45A3">
      <w:pPr>
        <w:spacing w:line="360" w:lineRule="auto"/>
        <w:jc w:val="center"/>
        <w:rPr>
          <w:rFonts w:ascii="黑体" w:eastAsia="黑体" w:hAnsi="黑体" w:cs="黑体"/>
          <w:kern w:val="0"/>
          <w:szCs w:val="21"/>
        </w:rPr>
      </w:pPr>
      <w:r>
        <w:rPr>
          <w:rFonts w:ascii="黑体" w:eastAsia="黑体" w:hAnsi="黑体" w:cs="黑体" w:hint="eastAsia"/>
          <w:kern w:val="0"/>
          <w:szCs w:val="21"/>
        </w:rPr>
        <w:t>表</w:t>
      </w:r>
      <w:r>
        <w:rPr>
          <w:rFonts w:ascii="黑体" w:eastAsia="黑体" w:hAnsi="黑体" w:cs="黑体" w:hint="eastAsia"/>
          <w:kern w:val="0"/>
          <w:szCs w:val="21"/>
        </w:rPr>
        <w:t xml:space="preserve">3-3-24 </w:t>
      </w:r>
      <w:r>
        <w:rPr>
          <w:rFonts w:ascii="黑体" w:eastAsia="黑体" w:hAnsi="黑体" w:cs="黑体" w:hint="eastAsia"/>
          <w:kern w:val="0"/>
          <w:szCs w:val="21"/>
        </w:rPr>
        <w:t>热负荷计算表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1771"/>
        <w:gridCol w:w="1762"/>
        <w:gridCol w:w="1760"/>
        <w:gridCol w:w="1615"/>
        <w:gridCol w:w="1172"/>
      </w:tblGrid>
      <w:tr w:rsidR="00EE4502">
        <w:trPr>
          <w:trHeight w:val="397"/>
          <w:tblHeader/>
          <w:jc w:val="center"/>
        </w:trPr>
        <w:tc>
          <w:tcPr>
            <w:tcW w:w="258"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序号</w:t>
            </w:r>
          </w:p>
        </w:tc>
        <w:tc>
          <w:tcPr>
            <w:tcW w:w="1039"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加热液量</w:t>
            </w:r>
          </w:p>
          <w:p w:rsidR="00EE4502" w:rsidRDefault="00FD45A3">
            <w:pPr>
              <w:widowControl/>
              <w:tabs>
                <w:tab w:val="left" w:pos="377"/>
              </w:tabs>
              <w:jc w:val="center"/>
              <w:rPr>
                <w:szCs w:val="21"/>
              </w:rPr>
            </w:pPr>
            <w:r>
              <w:rPr>
                <w:rFonts w:hint="eastAsia"/>
                <w:szCs w:val="21"/>
              </w:rPr>
              <w:t>(m</w:t>
            </w:r>
            <w:r>
              <w:rPr>
                <w:rFonts w:hint="eastAsia"/>
                <w:szCs w:val="21"/>
                <w:vertAlign w:val="superscript"/>
              </w:rPr>
              <w:t>3</w:t>
            </w:r>
            <w:r>
              <w:rPr>
                <w:rFonts w:hint="eastAsia"/>
                <w:szCs w:val="21"/>
              </w:rPr>
              <w:t>/d)</w:t>
            </w:r>
          </w:p>
        </w:tc>
        <w:tc>
          <w:tcPr>
            <w:tcW w:w="1033"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含水率</w:t>
            </w:r>
          </w:p>
          <w:p w:rsidR="00EE4502" w:rsidRDefault="00FD45A3">
            <w:pPr>
              <w:widowControl/>
              <w:tabs>
                <w:tab w:val="left" w:pos="377"/>
              </w:tabs>
              <w:jc w:val="center"/>
              <w:rPr>
                <w:szCs w:val="21"/>
              </w:rPr>
            </w:pPr>
            <w:r>
              <w:rPr>
                <w:rFonts w:hint="eastAsia"/>
                <w:szCs w:val="21"/>
              </w:rPr>
              <w:t>(</w:t>
            </w:r>
            <w:r>
              <w:rPr>
                <w:rFonts w:hint="eastAsia"/>
                <w:szCs w:val="21"/>
              </w:rPr>
              <w:t>％</w:t>
            </w:r>
            <w:r>
              <w:rPr>
                <w:rFonts w:hint="eastAsia"/>
                <w:szCs w:val="21"/>
              </w:rPr>
              <w:t>)</w:t>
            </w:r>
          </w:p>
        </w:tc>
        <w:tc>
          <w:tcPr>
            <w:tcW w:w="1032"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加热前温度</w:t>
            </w:r>
          </w:p>
          <w:p w:rsidR="00EE4502" w:rsidRDefault="00FD45A3">
            <w:pPr>
              <w:widowControl/>
              <w:tabs>
                <w:tab w:val="left" w:pos="377"/>
              </w:tabs>
              <w:jc w:val="center"/>
              <w:rPr>
                <w:szCs w:val="21"/>
              </w:rPr>
            </w:pPr>
            <w:r>
              <w:rPr>
                <w:rFonts w:hint="eastAsia"/>
                <w:szCs w:val="21"/>
              </w:rPr>
              <w:t>(</w:t>
            </w:r>
            <w:r>
              <w:rPr>
                <w:rFonts w:hint="eastAsia"/>
                <w:szCs w:val="21"/>
              </w:rPr>
              <w:t>℃</w:t>
            </w:r>
            <w:r>
              <w:rPr>
                <w:rFonts w:hint="eastAsia"/>
                <w:szCs w:val="21"/>
              </w:rPr>
              <w:t>)</w:t>
            </w:r>
          </w:p>
        </w:tc>
        <w:tc>
          <w:tcPr>
            <w:tcW w:w="947"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加热后温度</w:t>
            </w:r>
          </w:p>
          <w:p w:rsidR="00EE4502" w:rsidRDefault="00FD45A3">
            <w:pPr>
              <w:widowControl/>
              <w:tabs>
                <w:tab w:val="left" w:pos="377"/>
              </w:tabs>
              <w:jc w:val="center"/>
              <w:rPr>
                <w:szCs w:val="21"/>
              </w:rPr>
            </w:pPr>
            <w:r>
              <w:rPr>
                <w:rFonts w:hint="eastAsia"/>
                <w:szCs w:val="21"/>
              </w:rPr>
              <w:t>(</w:t>
            </w:r>
            <w:r>
              <w:rPr>
                <w:rFonts w:hint="eastAsia"/>
                <w:szCs w:val="21"/>
              </w:rPr>
              <w:t>℃</w:t>
            </w:r>
            <w:r>
              <w:rPr>
                <w:rFonts w:hint="eastAsia"/>
                <w:szCs w:val="21"/>
              </w:rPr>
              <w:t>)</w:t>
            </w:r>
          </w:p>
        </w:tc>
        <w:tc>
          <w:tcPr>
            <w:tcW w:w="688"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热负荷</w:t>
            </w:r>
          </w:p>
          <w:p w:rsidR="00EE4502" w:rsidRDefault="00FD45A3">
            <w:pPr>
              <w:widowControl/>
              <w:tabs>
                <w:tab w:val="left" w:pos="377"/>
              </w:tabs>
              <w:jc w:val="center"/>
              <w:rPr>
                <w:szCs w:val="21"/>
              </w:rPr>
            </w:pPr>
            <w:r>
              <w:rPr>
                <w:rFonts w:hint="eastAsia"/>
                <w:szCs w:val="21"/>
              </w:rPr>
              <w:t>(kW)</w:t>
            </w:r>
          </w:p>
        </w:tc>
      </w:tr>
      <w:tr w:rsidR="00EE4502">
        <w:trPr>
          <w:trHeight w:val="397"/>
          <w:jc w:val="center"/>
        </w:trPr>
        <w:tc>
          <w:tcPr>
            <w:tcW w:w="258"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1</w:t>
            </w:r>
          </w:p>
        </w:tc>
        <w:tc>
          <w:tcPr>
            <w:tcW w:w="1039"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480</w:t>
            </w:r>
          </w:p>
        </w:tc>
        <w:tc>
          <w:tcPr>
            <w:tcW w:w="1033"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80</w:t>
            </w:r>
          </w:p>
        </w:tc>
        <w:tc>
          <w:tcPr>
            <w:tcW w:w="1032"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30</w:t>
            </w:r>
          </w:p>
        </w:tc>
        <w:tc>
          <w:tcPr>
            <w:tcW w:w="947"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65</w:t>
            </w:r>
          </w:p>
        </w:tc>
        <w:tc>
          <w:tcPr>
            <w:tcW w:w="688"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727</w:t>
            </w:r>
          </w:p>
        </w:tc>
      </w:tr>
    </w:tbl>
    <w:p w:rsidR="00EE4502" w:rsidRDefault="00EE4502">
      <w:pPr>
        <w:spacing w:line="360" w:lineRule="auto"/>
        <w:jc w:val="center"/>
        <w:rPr>
          <w:kern w:val="0"/>
          <w:sz w:val="24"/>
        </w:rPr>
      </w:pPr>
    </w:p>
    <w:p w:rsidR="00EE4502" w:rsidRDefault="00FD45A3">
      <w:pPr>
        <w:spacing w:line="360" w:lineRule="auto"/>
        <w:jc w:val="center"/>
        <w:rPr>
          <w:rFonts w:ascii="黑体" w:eastAsia="黑体" w:hAnsi="黑体" w:cs="黑体"/>
          <w:kern w:val="0"/>
          <w:szCs w:val="21"/>
        </w:rPr>
      </w:pPr>
      <w:r>
        <w:rPr>
          <w:rFonts w:ascii="黑体" w:eastAsia="黑体" w:hAnsi="黑体" w:cs="黑体" w:hint="eastAsia"/>
          <w:kern w:val="0"/>
          <w:szCs w:val="21"/>
        </w:rPr>
        <w:t>表</w:t>
      </w:r>
      <w:r>
        <w:rPr>
          <w:rFonts w:ascii="黑体" w:eastAsia="黑体" w:hAnsi="黑体" w:cs="黑体" w:hint="eastAsia"/>
          <w:kern w:val="0"/>
          <w:szCs w:val="21"/>
        </w:rPr>
        <w:t xml:space="preserve">3-3-25 </w:t>
      </w:r>
      <w:r>
        <w:rPr>
          <w:rFonts w:ascii="黑体" w:eastAsia="黑体" w:hAnsi="黑体" w:cs="黑体" w:hint="eastAsia"/>
          <w:kern w:val="0"/>
          <w:szCs w:val="21"/>
        </w:rPr>
        <w:t>耗气量计算表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1918"/>
        <w:gridCol w:w="2041"/>
        <w:gridCol w:w="1631"/>
        <w:gridCol w:w="2283"/>
      </w:tblGrid>
      <w:tr w:rsidR="00EE4502">
        <w:trPr>
          <w:trHeight w:val="397"/>
          <w:tblHeader/>
          <w:jc w:val="center"/>
        </w:trPr>
        <w:tc>
          <w:tcPr>
            <w:tcW w:w="380"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序号</w:t>
            </w:r>
          </w:p>
        </w:tc>
        <w:tc>
          <w:tcPr>
            <w:tcW w:w="1125"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热负荷</w:t>
            </w:r>
            <w:r>
              <w:rPr>
                <w:rFonts w:hint="eastAsia"/>
                <w:szCs w:val="21"/>
              </w:rPr>
              <w:t>（</w:t>
            </w:r>
            <w:r>
              <w:rPr>
                <w:rFonts w:hint="eastAsia"/>
                <w:szCs w:val="21"/>
              </w:rPr>
              <w:t>kW</w:t>
            </w:r>
            <w:r>
              <w:rPr>
                <w:rFonts w:hint="eastAsia"/>
                <w:szCs w:val="21"/>
              </w:rPr>
              <w:t>）</w:t>
            </w:r>
          </w:p>
        </w:tc>
        <w:tc>
          <w:tcPr>
            <w:tcW w:w="1197"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焓差</w:t>
            </w:r>
            <w:r>
              <w:rPr>
                <w:rFonts w:hint="eastAsia"/>
                <w:szCs w:val="21"/>
              </w:rPr>
              <w:t>（</w:t>
            </w:r>
            <w:r>
              <w:rPr>
                <w:rFonts w:hint="eastAsia"/>
                <w:szCs w:val="21"/>
              </w:rPr>
              <w:t>kJ/kg</w:t>
            </w:r>
            <w:r>
              <w:rPr>
                <w:rFonts w:hint="eastAsia"/>
                <w:szCs w:val="21"/>
              </w:rPr>
              <w:t>）</w:t>
            </w:r>
          </w:p>
        </w:tc>
        <w:tc>
          <w:tcPr>
            <w:tcW w:w="956"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耗气量</w:t>
            </w:r>
            <w:r>
              <w:rPr>
                <w:rFonts w:hint="eastAsia"/>
                <w:szCs w:val="21"/>
              </w:rPr>
              <w:t>（</w:t>
            </w:r>
            <w:r>
              <w:rPr>
                <w:rFonts w:hint="eastAsia"/>
                <w:szCs w:val="21"/>
              </w:rPr>
              <w:t>t/h</w:t>
            </w:r>
            <w:r>
              <w:rPr>
                <w:rFonts w:hint="eastAsia"/>
                <w:szCs w:val="21"/>
              </w:rPr>
              <w:t>）</w:t>
            </w:r>
          </w:p>
        </w:tc>
        <w:tc>
          <w:tcPr>
            <w:tcW w:w="1339"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考虑</w:t>
            </w:r>
            <w:r>
              <w:rPr>
                <w:rFonts w:hint="eastAsia"/>
                <w:szCs w:val="21"/>
              </w:rPr>
              <w:t>1.2</w:t>
            </w:r>
            <w:r>
              <w:rPr>
                <w:rFonts w:hint="eastAsia"/>
                <w:szCs w:val="21"/>
              </w:rPr>
              <w:t>富裕系数</w:t>
            </w:r>
            <w:r>
              <w:rPr>
                <w:rFonts w:hint="eastAsia"/>
                <w:szCs w:val="21"/>
              </w:rPr>
              <w:t>（</w:t>
            </w:r>
            <w:r>
              <w:rPr>
                <w:rFonts w:hint="eastAsia"/>
                <w:szCs w:val="21"/>
              </w:rPr>
              <w:t>t/h</w:t>
            </w:r>
            <w:r>
              <w:rPr>
                <w:rFonts w:hint="eastAsia"/>
                <w:szCs w:val="21"/>
              </w:rPr>
              <w:t>）</w:t>
            </w:r>
          </w:p>
        </w:tc>
      </w:tr>
      <w:tr w:rsidR="00EE4502">
        <w:trPr>
          <w:trHeight w:val="397"/>
          <w:jc w:val="center"/>
        </w:trPr>
        <w:tc>
          <w:tcPr>
            <w:tcW w:w="380"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1</w:t>
            </w:r>
          </w:p>
        </w:tc>
        <w:tc>
          <w:tcPr>
            <w:tcW w:w="1125"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727</w:t>
            </w:r>
          </w:p>
        </w:tc>
        <w:tc>
          <w:tcPr>
            <w:tcW w:w="1197"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2055</w:t>
            </w:r>
          </w:p>
        </w:tc>
        <w:tc>
          <w:tcPr>
            <w:tcW w:w="956"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1.3</w:t>
            </w:r>
          </w:p>
        </w:tc>
        <w:tc>
          <w:tcPr>
            <w:tcW w:w="1339"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1.5</w:t>
            </w:r>
          </w:p>
        </w:tc>
      </w:tr>
    </w:tbl>
    <w:p w:rsidR="00EE4502" w:rsidRDefault="00FD45A3">
      <w:pPr>
        <w:spacing w:line="360" w:lineRule="auto"/>
        <w:ind w:firstLineChars="200" w:firstLine="480"/>
        <w:rPr>
          <w:kern w:val="0"/>
          <w:sz w:val="24"/>
        </w:rPr>
      </w:pPr>
      <w:r>
        <w:rPr>
          <w:rFonts w:hint="eastAsia"/>
          <w:kern w:val="0"/>
          <w:sz w:val="24"/>
        </w:rPr>
        <w:t>自</w:t>
      </w:r>
      <w:r>
        <w:rPr>
          <w:rFonts w:hint="eastAsia"/>
          <w:kern w:val="0"/>
          <w:sz w:val="24"/>
        </w:rPr>
        <w:t>1#</w:t>
      </w:r>
      <w:r>
        <w:rPr>
          <w:rFonts w:hint="eastAsia"/>
          <w:kern w:val="0"/>
          <w:sz w:val="24"/>
        </w:rPr>
        <w:t>增压站西侧的</w:t>
      </w:r>
      <w:r>
        <w:rPr>
          <w:rFonts w:hint="eastAsia"/>
          <w:kern w:val="0"/>
          <w:sz w:val="24"/>
        </w:rPr>
        <w:t>6#</w:t>
      </w:r>
      <w:r>
        <w:rPr>
          <w:rFonts w:hint="eastAsia"/>
          <w:kern w:val="0"/>
          <w:sz w:val="24"/>
        </w:rPr>
        <w:t>注汽站注汽管线引出新建蒸汽管线，敷设至增压站为蒸汽减压撬提供汽源。新增注汽管线平面布置见图</w:t>
      </w:r>
      <w:r>
        <w:rPr>
          <w:rFonts w:hint="eastAsia"/>
          <w:kern w:val="0"/>
          <w:sz w:val="24"/>
        </w:rPr>
        <w:t>3-3-31</w:t>
      </w:r>
      <w:r>
        <w:rPr>
          <w:rFonts w:hint="eastAsia"/>
          <w:kern w:val="0"/>
          <w:sz w:val="24"/>
        </w:rPr>
        <w:t>。</w:t>
      </w:r>
    </w:p>
    <w:p w:rsidR="00EE4502" w:rsidRDefault="00FD45A3">
      <w:pPr>
        <w:spacing w:line="360" w:lineRule="auto"/>
        <w:ind w:firstLineChars="200" w:firstLine="480"/>
        <w:rPr>
          <w:kern w:val="0"/>
          <w:sz w:val="24"/>
        </w:rPr>
      </w:pPr>
      <w:r>
        <w:rPr>
          <w:rFonts w:hint="eastAsia"/>
          <w:kern w:val="0"/>
          <w:sz w:val="24"/>
        </w:rPr>
        <w:t>新增注汽管线长度</w:t>
      </w:r>
      <w:r>
        <w:rPr>
          <w:rFonts w:hint="eastAsia"/>
          <w:kern w:val="0"/>
          <w:sz w:val="24"/>
        </w:rPr>
        <w:t>0.3km</w:t>
      </w:r>
      <w:r>
        <w:rPr>
          <w:rFonts w:hint="eastAsia"/>
          <w:kern w:val="0"/>
          <w:sz w:val="24"/>
        </w:rPr>
        <w:t>，其中站外部分长度</w:t>
      </w:r>
      <w:r>
        <w:rPr>
          <w:rFonts w:hint="eastAsia"/>
          <w:kern w:val="0"/>
          <w:sz w:val="24"/>
        </w:rPr>
        <w:t>50m</w:t>
      </w:r>
      <w:r>
        <w:rPr>
          <w:rFonts w:hint="eastAsia"/>
          <w:kern w:val="0"/>
          <w:sz w:val="24"/>
        </w:rPr>
        <w:t>，管材采用</w:t>
      </w:r>
      <w:r>
        <w:rPr>
          <w:rFonts w:hint="eastAsia"/>
          <w:kern w:val="0"/>
          <w:sz w:val="24"/>
        </w:rPr>
        <w:t>Q345E</w:t>
      </w:r>
      <w:r>
        <w:rPr>
          <w:rFonts w:hint="eastAsia"/>
          <w:kern w:val="0"/>
          <w:sz w:val="24"/>
        </w:rPr>
        <w:t>，管径采用</w:t>
      </w:r>
      <w:r>
        <w:rPr>
          <w:rFonts w:hint="eastAsia"/>
          <w:kern w:val="0"/>
          <w:sz w:val="24"/>
        </w:rPr>
        <w:t>DN80</w:t>
      </w:r>
      <w:r>
        <w:rPr>
          <w:rFonts w:hint="eastAsia"/>
          <w:kern w:val="0"/>
          <w:sz w:val="24"/>
        </w:rPr>
        <w:t>注汽管线，壁厚</w:t>
      </w:r>
      <w:r>
        <w:rPr>
          <w:rFonts w:hint="eastAsia"/>
          <w:kern w:val="0"/>
          <w:sz w:val="24"/>
        </w:rPr>
        <w:t>8mm</w:t>
      </w:r>
      <w:r>
        <w:rPr>
          <w:rFonts w:hint="eastAsia"/>
          <w:kern w:val="0"/>
          <w:sz w:val="24"/>
        </w:rPr>
        <w:t>。采用低支墩架空的敷设方式，管网采用滑动保温管托；保温结构采用</w:t>
      </w:r>
      <w:r>
        <w:rPr>
          <w:rFonts w:hint="eastAsia"/>
          <w:kern w:val="0"/>
          <w:sz w:val="24"/>
        </w:rPr>
        <w:t>30mm</w:t>
      </w:r>
      <w:r>
        <w:rPr>
          <w:rFonts w:hint="eastAsia"/>
          <w:kern w:val="0"/>
          <w:sz w:val="24"/>
        </w:rPr>
        <w:t>厚气凝胶复合材料（对接）</w:t>
      </w:r>
      <w:r>
        <w:rPr>
          <w:rFonts w:hint="eastAsia"/>
          <w:kern w:val="0"/>
          <w:sz w:val="24"/>
        </w:rPr>
        <w:t>+40mm</w:t>
      </w:r>
      <w:r>
        <w:rPr>
          <w:rFonts w:hint="eastAsia"/>
          <w:kern w:val="0"/>
          <w:sz w:val="24"/>
        </w:rPr>
        <w:t>厚气凝胶复合材料（错缝对接）</w:t>
      </w:r>
      <w:r>
        <w:rPr>
          <w:rFonts w:hint="eastAsia"/>
          <w:kern w:val="0"/>
          <w:sz w:val="24"/>
        </w:rPr>
        <w:t>+</w:t>
      </w:r>
      <w:r>
        <w:rPr>
          <w:rFonts w:hint="eastAsia"/>
          <w:kern w:val="0"/>
          <w:sz w:val="24"/>
        </w:rPr>
        <w:t>环保镁钢。</w:t>
      </w:r>
    </w:p>
    <w:p w:rsidR="00EE4502" w:rsidRDefault="00EE4502">
      <w:pPr>
        <w:spacing w:line="360" w:lineRule="auto"/>
        <w:jc w:val="center"/>
        <w:rPr>
          <w:kern w:val="0"/>
          <w:sz w:val="24"/>
        </w:rPr>
      </w:pPr>
    </w:p>
    <w:p w:rsidR="00EE4502" w:rsidRDefault="00FD45A3">
      <w:pPr>
        <w:spacing w:line="360" w:lineRule="auto"/>
        <w:jc w:val="center"/>
        <w:rPr>
          <w:rFonts w:ascii="黑体" w:eastAsia="黑体" w:hAnsi="黑体" w:cs="黑体"/>
          <w:kern w:val="0"/>
          <w:szCs w:val="21"/>
        </w:rPr>
      </w:pPr>
      <w:r>
        <w:rPr>
          <w:rFonts w:ascii="黑体" w:eastAsia="黑体" w:hAnsi="黑体" w:cs="黑体" w:hint="eastAsia"/>
          <w:kern w:val="0"/>
          <w:szCs w:val="21"/>
        </w:rPr>
        <w:t>图</w:t>
      </w:r>
      <w:r>
        <w:rPr>
          <w:rFonts w:ascii="黑体" w:eastAsia="黑体" w:hAnsi="黑体" w:cs="黑体" w:hint="eastAsia"/>
          <w:kern w:val="0"/>
          <w:szCs w:val="21"/>
        </w:rPr>
        <w:t>3-3-32</w:t>
      </w:r>
      <w:r>
        <w:rPr>
          <w:rFonts w:ascii="黑体" w:eastAsia="黑体" w:hAnsi="黑体" w:cs="黑体" w:hint="eastAsia"/>
          <w:kern w:val="0"/>
          <w:szCs w:val="21"/>
        </w:rPr>
        <w:t>新增注汽管线平面布置</w:t>
      </w:r>
    </w:p>
    <w:p w:rsidR="00EE4502" w:rsidRDefault="00FD45A3">
      <w:pPr>
        <w:spacing w:line="360" w:lineRule="auto"/>
        <w:ind w:firstLineChars="200" w:firstLine="480"/>
        <w:rPr>
          <w:kern w:val="0"/>
          <w:sz w:val="24"/>
        </w:rPr>
      </w:pPr>
      <w:r>
        <w:rPr>
          <w:rFonts w:hint="eastAsia"/>
          <w:kern w:val="0"/>
          <w:sz w:val="24"/>
        </w:rPr>
        <w:t>注汽系统主要工程量见下表：</w:t>
      </w:r>
    </w:p>
    <w:p w:rsidR="00EE4502" w:rsidRDefault="00FD45A3">
      <w:pPr>
        <w:spacing w:line="360" w:lineRule="auto"/>
        <w:jc w:val="center"/>
        <w:rPr>
          <w:rFonts w:ascii="黑体" w:eastAsia="黑体" w:hAnsi="黑体" w:cs="黑体"/>
          <w:kern w:val="0"/>
          <w:szCs w:val="21"/>
        </w:rPr>
      </w:pPr>
      <w:r>
        <w:rPr>
          <w:rFonts w:ascii="黑体" w:eastAsia="黑体" w:hAnsi="黑体" w:cs="黑体" w:hint="eastAsia"/>
          <w:kern w:val="0"/>
          <w:szCs w:val="21"/>
        </w:rPr>
        <w:t>表</w:t>
      </w:r>
      <w:r>
        <w:rPr>
          <w:rFonts w:ascii="黑体" w:eastAsia="黑体" w:hAnsi="黑体" w:cs="黑体" w:hint="eastAsia"/>
          <w:kern w:val="0"/>
          <w:szCs w:val="21"/>
        </w:rPr>
        <w:t xml:space="preserve">3-3-26 </w:t>
      </w:r>
      <w:r>
        <w:rPr>
          <w:rFonts w:ascii="黑体" w:eastAsia="黑体" w:hAnsi="黑体" w:cs="黑体" w:hint="eastAsia"/>
          <w:kern w:val="0"/>
          <w:szCs w:val="21"/>
        </w:rPr>
        <w:t>注汽系统主要工程量一览表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4543"/>
        <w:gridCol w:w="712"/>
        <w:gridCol w:w="855"/>
        <w:gridCol w:w="1709"/>
      </w:tblGrid>
      <w:tr w:rsidR="00EE4502">
        <w:trPr>
          <w:trHeight w:val="397"/>
          <w:tblHeader/>
          <w:jc w:val="center"/>
        </w:trPr>
        <w:tc>
          <w:tcPr>
            <w:tcW w:w="410"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序号</w:t>
            </w:r>
          </w:p>
        </w:tc>
        <w:tc>
          <w:tcPr>
            <w:tcW w:w="2665"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名称及参数</w:t>
            </w:r>
          </w:p>
        </w:tc>
        <w:tc>
          <w:tcPr>
            <w:tcW w:w="418"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单位</w:t>
            </w:r>
          </w:p>
        </w:tc>
        <w:tc>
          <w:tcPr>
            <w:tcW w:w="502"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工程量</w:t>
            </w:r>
          </w:p>
        </w:tc>
        <w:tc>
          <w:tcPr>
            <w:tcW w:w="1003"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备注</w:t>
            </w:r>
          </w:p>
        </w:tc>
      </w:tr>
      <w:tr w:rsidR="00EE4502">
        <w:trPr>
          <w:trHeight w:val="397"/>
          <w:jc w:val="center"/>
        </w:trPr>
        <w:tc>
          <w:tcPr>
            <w:tcW w:w="410"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1</w:t>
            </w:r>
          </w:p>
        </w:tc>
        <w:tc>
          <w:tcPr>
            <w:tcW w:w="2665"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left"/>
              <w:rPr>
                <w:szCs w:val="21"/>
              </w:rPr>
            </w:pPr>
            <w:r>
              <w:rPr>
                <w:rFonts w:hint="eastAsia"/>
                <w:szCs w:val="21"/>
              </w:rPr>
              <w:t>固定注汽管线</w:t>
            </w:r>
            <w:r>
              <w:rPr>
                <w:rFonts w:hint="eastAsia"/>
                <w:szCs w:val="21"/>
              </w:rPr>
              <w:t xml:space="preserve"> D89</w:t>
            </w:r>
            <w:r>
              <w:rPr>
                <w:rFonts w:hint="eastAsia"/>
                <w:szCs w:val="21"/>
              </w:rPr>
              <w:t>×</w:t>
            </w:r>
            <w:r>
              <w:rPr>
                <w:rFonts w:hint="eastAsia"/>
                <w:szCs w:val="21"/>
              </w:rPr>
              <w:t>8 Q345E</w:t>
            </w:r>
          </w:p>
          <w:p w:rsidR="00EE4502" w:rsidRDefault="00FD45A3">
            <w:pPr>
              <w:widowControl/>
              <w:tabs>
                <w:tab w:val="left" w:pos="377"/>
              </w:tabs>
              <w:jc w:val="left"/>
              <w:rPr>
                <w:szCs w:val="21"/>
              </w:rPr>
            </w:pPr>
            <w:r>
              <w:rPr>
                <w:rFonts w:hint="eastAsia"/>
                <w:szCs w:val="21"/>
              </w:rPr>
              <w:t>保温层：气凝胶复合管壳</w:t>
            </w:r>
            <w:r>
              <w:rPr>
                <w:rFonts w:hint="eastAsia"/>
                <w:szCs w:val="21"/>
              </w:rPr>
              <w:t xml:space="preserve"> </w:t>
            </w:r>
            <w:r>
              <w:rPr>
                <w:rFonts w:hint="eastAsia"/>
                <w:szCs w:val="21"/>
              </w:rPr>
              <w:t>厚度</w:t>
            </w:r>
            <w:r>
              <w:rPr>
                <w:rFonts w:hint="eastAsia"/>
                <w:szCs w:val="21"/>
              </w:rPr>
              <w:t>30mm+40mm</w:t>
            </w:r>
          </w:p>
        </w:tc>
        <w:tc>
          <w:tcPr>
            <w:tcW w:w="418"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m</w:t>
            </w:r>
          </w:p>
        </w:tc>
        <w:tc>
          <w:tcPr>
            <w:tcW w:w="502"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63</w:t>
            </w:r>
          </w:p>
        </w:tc>
        <w:tc>
          <w:tcPr>
            <w:tcW w:w="1003"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含管道支墩</w:t>
            </w:r>
          </w:p>
        </w:tc>
      </w:tr>
      <w:tr w:rsidR="00EE4502">
        <w:trPr>
          <w:trHeight w:val="397"/>
          <w:jc w:val="center"/>
        </w:trPr>
        <w:tc>
          <w:tcPr>
            <w:tcW w:w="410"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2</w:t>
            </w:r>
          </w:p>
        </w:tc>
        <w:tc>
          <w:tcPr>
            <w:tcW w:w="2665"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left"/>
              <w:rPr>
                <w:szCs w:val="21"/>
              </w:rPr>
            </w:pPr>
            <w:r>
              <w:rPr>
                <w:rFonts w:hint="eastAsia"/>
                <w:szCs w:val="21"/>
              </w:rPr>
              <w:t>蒸汽减压撬</w:t>
            </w:r>
            <w:r>
              <w:rPr>
                <w:rFonts w:hint="eastAsia"/>
                <w:szCs w:val="21"/>
              </w:rPr>
              <w:t xml:space="preserve"> 2t/h</w:t>
            </w:r>
          </w:p>
        </w:tc>
        <w:tc>
          <w:tcPr>
            <w:tcW w:w="418"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套</w:t>
            </w:r>
          </w:p>
        </w:tc>
        <w:tc>
          <w:tcPr>
            <w:tcW w:w="502"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1</w:t>
            </w:r>
          </w:p>
        </w:tc>
        <w:tc>
          <w:tcPr>
            <w:tcW w:w="1003" w:type="pct"/>
            <w:tcBorders>
              <w:top w:val="single" w:sz="4" w:space="0" w:color="auto"/>
              <w:left w:val="single" w:sz="4" w:space="0" w:color="auto"/>
              <w:bottom w:val="single" w:sz="4" w:space="0" w:color="auto"/>
              <w:right w:val="single" w:sz="4" w:space="0" w:color="auto"/>
            </w:tcBorders>
            <w:vAlign w:val="center"/>
          </w:tcPr>
          <w:p w:rsidR="00EE4502" w:rsidRDefault="00EE4502">
            <w:pPr>
              <w:widowControl/>
              <w:tabs>
                <w:tab w:val="left" w:pos="377"/>
              </w:tabs>
              <w:jc w:val="center"/>
              <w:rPr>
                <w:szCs w:val="21"/>
              </w:rPr>
            </w:pPr>
          </w:p>
        </w:tc>
      </w:tr>
    </w:tbl>
    <w:p w:rsidR="00EE4502" w:rsidRDefault="00EE4502">
      <w:pPr>
        <w:spacing w:line="360" w:lineRule="auto"/>
        <w:ind w:firstLineChars="200" w:firstLine="480"/>
        <w:rPr>
          <w:kern w:val="0"/>
          <w:sz w:val="24"/>
        </w:rPr>
      </w:pPr>
    </w:p>
    <w:p w:rsidR="00EE4502" w:rsidRDefault="00FD45A3">
      <w:pPr>
        <w:pStyle w:val="41"/>
        <w:numPr>
          <w:ilvl w:val="3"/>
          <w:numId w:val="30"/>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hint="eastAsia"/>
          <w:bCs w:val="0"/>
          <w:sz w:val="24"/>
          <w:szCs w:val="24"/>
        </w:rPr>
        <w:t>注水系统</w:t>
      </w:r>
    </w:p>
    <w:p w:rsidR="00EE4502" w:rsidRDefault="00FD45A3">
      <w:pPr>
        <w:spacing w:line="360" w:lineRule="auto"/>
        <w:ind w:firstLineChars="200" w:firstLine="480"/>
        <w:rPr>
          <w:kern w:val="0"/>
          <w:sz w:val="24"/>
        </w:rPr>
      </w:pPr>
      <w:r>
        <w:rPr>
          <w:rFonts w:hint="eastAsia"/>
          <w:kern w:val="0"/>
          <w:sz w:val="24"/>
        </w:rPr>
        <w:t>由于春风油田注水能力不足（富余水量</w:t>
      </w:r>
      <w:r>
        <w:rPr>
          <w:rFonts w:hint="eastAsia"/>
          <w:kern w:val="0"/>
          <w:sz w:val="24"/>
        </w:rPr>
        <w:t>1000m</w:t>
      </w:r>
      <w:r>
        <w:rPr>
          <w:rFonts w:hint="eastAsia"/>
          <w:kern w:val="0"/>
          <w:sz w:val="24"/>
          <w:vertAlign w:val="superscript"/>
        </w:rPr>
        <w:t>3</w:t>
      </w:r>
      <w:r>
        <w:rPr>
          <w:rFonts w:hint="eastAsia"/>
          <w:kern w:val="0"/>
          <w:sz w:val="24"/>
        </w:rPr>
        <w:t>/d</w:t>
      </w:r>
      <w:r>
        <w:rPr>
          <w:rFonts w:hint="eastAsia"/>
          <w:kern w:val="0"/>
          <w:sz w:val="24"/>
        </w:rPr>
        <w:t>），按照计划本工程新钻</w:t>
      </w:r>
      <w:r>
        <w:rPr>
          <w:rFonts w:hint="eastAsia"/>
          <w:kern w:val="0"/>
          <w:sz w:val="24"/>
        </w:rPr>
        <w:t>3</w:t>
      </w:r>
      <w:r>
        <w:rPr>
          <w:rFonts w:hint="eastAsia"/>
          <w:kern w:val="0"/>
          <w:sz w:val="24"/>
        </w:rPr>
        <w:t>口回注井，并将已建排</w:t>
      </w:r>
      <w:r>
        <w:rPr>
          <w:rFonts w:hint="eastAsia"/>
          <w:kern w:val="0"/>
          <w:sz w:val="24"/>
        </w:rPr>
        <w:t>71</w:t>
      </w:r>
      <w:r>
        <w:rPr>
          <w:rFonts w:hint="eastAsia"/>
          <w:kern w:val="0"/>
          <w:sz w:val="24"/>
        </w:rPr>
        <w:t>回注井纳入本工程评价范围。其中排</w:t>
      </w:r>
      <w:r>
        <w:rPr>
          <w:rFonts w:hint="eastAsia"/>
          <w:kern w:val="0"/>
          <w:sz w:val="24"/>
        </w:rPr>
        <w:t>7-</w:t>
      </w:r>
      <w:r>
        <w:rPr>
          <w:rFonts w:hint="eastAsia"/>
          <w:kern w:val="0"/>
          <w:sz w:val="24"/>
        </w:rPr>
        <w:t>斜</w:t>
      </w:r>
      <w:r>
        <w:rPr>
          <w:rFonts w:hint="eastAsia"/>
          <w:kern w:val="0"/>
          <w:sz w:val="24"/>
        </w:rPr>
        <w:t>17</w:t>
      </w:r>
      <w:r>
        <w:rPr>
          <w:rFonts w:hint="eastAsia"/>
          <w:kern w:val="0"/>
          <w:sz w:val="24"/>
        </w:rPr>
        <w:t>位于排</w:t>
      </w:r>
      <w:r>
        <w:rPr>
          <w:rFonts w:hint="eastAsia"/>
          <w:kern w:val="0"/>
          <w:sz w:val="24"/>
        </w:rPr>
        <w:t>7</w:t>
      </w:r>
      <w:r>
        <w:rPr>
          <w:rFonts w:hint="eastAsia"/>
          <w:kern w:val="0"/>
          <w:sz w:val="24"/>
        </w:rPr>
        <w:lastRenderedPageBreak/>
        <w:t>注水站周边，排</w:t>
      </w:r>
      <w:r>
        <w:rPr>
          <w:rFonts w:hint="eastAsia"/>
          <w:kern w:val="0"/>
          <w:sz w:val="24"/>
        </w:rPr>
        <w:t>7-15</w:t>
      </w:r>
      <w:r>
        <w:rPr>
          <w:rFonts w:hint="eastAsia"/>
          <w:kern w:val="0"/>
          <w:sz w:val="24"/>
        </w:rPr>
        <w:t>、排</w:t>
      </w:r>
      <w:r>
        <w:rPr>
          <w:rFonts w:hint="eastAsia"/>
          <w:kern w:val="0"/>
          <w:sz w:val="24"/>
        </w:rPr>
        <w:t>7-16</w:t>
      </w:r>
      <w:r>
        <w:rPr>
          <w:rFonts w:hint="eastAsia"/>
          <w:kern w:val="0"/>
          <w:sz w:val="24"/>
        </w:rPr>
        <w:t>、排</w:t>
      </w:r>
      <w:r>
        <w:rPr>
          <w:rFonts w:hint="eastAsia"/>
          <w:kern w:val="0"/>
          <w:sz w:val="24"/>
        </w:rPr>
        <w:t>71</w:t>
      </w:r>
      <w:r>
        <w:rPr>
          <w:rFonts w:hint="eastAsia"/>
          <w:kern w:val="0"/>
          <w:sz w:val="24"/>
        </w:rPr>
        <w:t>位于车浅</w:t>
      </w:r>
      <w:r>
        <w:rPr>
          <w:rFonts w:hint="eastAsia"/>
          <w:kern w:val="0"/>
          <w:sz w:val="24"/>
        </w:rPr>
        <w:t>1-7</w:t>
      </w:r>
      <w:r>
        <w:rPr>
          <w:rFonts w:hint="eastAsia"/>
          <w:kern w:val="0"/>
          <w:sz w:val="24"/>
        </w:rPr>
        <w:t>注水站周边。单井注水水量为</w:t>
      </w:r>
      <w:r>
        <w:rPr>
          <w:rFonts w:hint="eastAsia"/>
          <w:kern w:val="0"/>
          <w:sz w:val="24"/>
        </w:rPr>
        <w:t>500m</w:t>
      </w:r>
      <w:r>
        <w:rPr>
          <w:rFonts w:hint="eastAsia"/>
          <w:kern w:val="0"/>
          <w:sz w:val="24"/>
          <w:vertAlign w:val="superscript"/>
        </w:rPr>
        <w:t>3</w:t>
      </w:r>
      <w:r>
        <w:rPr>
          <w:rFonts w:hint="eastAsia"/>
          <w:kern w:val="0"/>
          <w:sz w:val="24"/>
        </w:rPr>
        <w:t>/d</w:t>
      </w:r>
      <w:r>
        <w:rPr>
          <w:rFonts w:hint="eastAsia"/>
          <w:kern w:val="0"/>
          <w:sz w:val="24"/>
        </w:rPr>
        <w:t>，设计注水压力等级为</w:t>
      </w:r>
      <w:r>
        <w:rPr>
          <w:rFonts w:hint="eastAsia"/>
          <w:kern w:val="0"/>
          <w:sz w:val="24"/>
        </w:rPr>
        <w:t>16MPa</w:t>
      </w:r>
      <w:r>
        <w:rPr>
          <w:rFonts w:hint="eastAsia"/>
          <w:kern w:val="0"/>
          <w:sz w:val="24"/>
        </w:rPr>
        <w:t>，单井最大注入压力约</w:t>
      </w:r>
      <w:r>
        <w:rPr>
          <w:rFonts w:hint="eastAsia"/>
          <w:kern w:val="0"/>
          <w:sz w:val="24"/>
        </w:rPr>
        <w:t>6</w:t>
      </w:r>
      <w:r>
        <w:rPr>
          <w:rFonts w:hint="eastAsia"/>
          <w:kern w:val="0"/>
          <w:sz w:val="24"/>
        </w:rPr>
        <w:t>～</w:t>
      </w:r>
      <w:r>
        <w:rPr>
          <w:rFonts w:hint="eastAsia"/>
          <w:kern w:val="0"/>
          <w:sz w:val="24"/>
        </w:rPr>
        <w:t>7MPa</w:t>
      </w:r>
      <w:r>
        <w:rPr>
          <w:rFonts w:hint="eastAsia"/>
          <w:kern w:val="0"/>
          <w:sz w:val="24"/>
        </w:rPr>
        <w:t>。满足设计年注水水量需求。后期水量增长考虑通过资源化二期、新增注水井等方式消化富余水量。</w:t>
      </w:r>
    </w:p>
    <w:p w:rsidR="00EE4502" w:rsidRDefault="00FD45A3">
      <w:pPr>
        <w:spacing w:line="360" w:lineRule="auto"/>
        <w:ind w:firstLineChars="200" w:firstLine="480"/>
        <w:rPr>
          <w:kern w:val="0"/>
          <w:sz w:val="24"/>
        </w:rPr>
      </w:pPr>
      <w:r>
        <w:rPr>
          <w:rFonts w:hint="eastAsia"/>
          <w:kern w:val="0"/>
          <w:sz w:val="24"/>
        </w:rPr>
        <w:t>依托区域已建注水管线，本工程为排</w:t>
      </w:r>
      <w:r>
        <w:rPr>
          <w:rFonts w:hint="eastAsia"/>
          <w:kern w:val="0"/>
          <w:sz w:val="24"/>
        </w:rPr>
        <w:t>7-15</w:t>
      </w:r>
      <w:r>
        <w:rPr>
          <w:rFonts w:hint="eastAsia"/>
          <w:kern w:val="0"/>
          <w:sz w:val="24"/>
        </w:rPr>
        <w:t>、排</w:t>
      </w:r>
      <w:r>
        <w:rPr>
          <w:rFonts w:hint="eastAsia"/>
          <w:kern w:val="0"/>
          <w:sz w:val="24"/>
        </w:rPr>
        <w:t>7-16</w:t>
      </w:r>
      <w:r>
        <w:rPr>
          <w:rFonts w:hint="eastAsia"/>
          <w:kern w:val="0"/>
          <w:sz w:val="24"/>
        </w:rPr>
        <w:t>、排</w:t>
      </w:r>
      <w:r>
        <w:rPr>
          <w:rFonts w:hint="eastAsia"/>
          <w:kern w:val="0"/>
          <w:sz w:val="24"/>
        </w:rPr>
        <w:t>7-</w:t>
      </w:r>
      <w:r>
        <w:rPr>
          <w:rFonts w:hint="eastAsia"/>
          <w:kern w:val="0"/>
          <w:sz w:val="24"/>
        </w:rPr>
        <w:t>斜</w:t>
      </w:r>
      <w:r>
        <w:rPr>
          <w:rFonts w:hint="eastAsia"/>
          <w:kern w:val="0"/>
          <w:sz w:val="24"/>
        </w:rPr>
        <w:t>17</w:t>
      </w:r>
      <w:r>
        <w:rPr>
          <w:rFonts w:hint="eastAsia"/>
          <w:kern w:val="0"/>
          <w:sz w:val="24"/>
        </w:rPr>
        <w:t>等</w:t>
      </w:r>
      <w:r>
        <w:rPr>
          <w:rFonts w:hint="eastAsia"/>
          <w:kern w:val="0"/>
          <w:sz w:val="24"/>
        </w:rPr>
        <w:t>3</w:t>
      </w:r>
      <w:r>
        <w:rPr>
          <w:rFonts w:hint="eastAsia"/>
          <w:kern w:val="0"/>
          <w:sz w:val="24"/>
        </w:rPr>
        <w:t>口注水井配套新建注水管线</w:t>
      </w:r>
      <w:r>
        <w:rPr>
          <w:rFonts w:hint="eastAsia"/>
          <w:kern w:val="0"/>
          <w:sz w:val="24"/>
        </w:rPr>
        <w:t>2.05km</w:t>
      </w:r>
      <w:r>
        <w:rPr>
          <w:rFonts w:hint="eastAsia"/>
          <w:kern w:val="0"/>
          <w:sz w:val="24"/>
        </w:rPr>
        <w:t>，管线采用</w:t>
      </w:r>
      <w:r>
        <w:rPr>
          <w:rFonts w:hint="eastAsia"/>
          <w:kern w:val="0"/>
          <w:sz w:val="24"/>
        </w:rPr>
        <w:t>DN100</w:t>
      </w:r>
      <w:r>
        <w:rPr>
          <w:rFonts w:hint="eastAsia"/>
          <w:kern w:val="0"/>
          <w:sz w:val="24"/>
        </w:rPr>
        <w:t>玻璃钢管。排</w:t>
      </w:r>
      <w:r>
        <w:rPr>
          <w:rFonts w:hint="eastAsia"/>
          <w:kern w:val="0"/>
          <w:sz w:val="24"/>
        </w:rPr>
        <w:t>71</w:t>
      </w:r>
      <w:r>
        <w:rPr>
          <w:rFonts w:hint="eastAsia"/>
          <w:kern w:val="0"/>
          <w:sz w:val="24"/>
        </w:rPr>
        <w:t>已建有配套注水管线，水源来自车浅</w:t>
      </w:r>
      <w:r>
        <w:rPr>
          <w:rFonts w:hint="eastAsia"/>
          <w:kern w:val="0"/>
          <w:sz w:val="24"/>
        </w:rPr>
        <w:t>1-7</w:t>
      </w:r>
      <w:r>
        <w:rPr>
          <w:rFonts w:hint="eastAsia"/>
          <w:kern w:val="0"/>
          <w:sz w:val="24"/>
        </w:rPr>
        <w:t>注水站。</w:t>
      </w:r>
    </w:p>
    <w:p w:rsidR="00EE4502" w:rsidRDefault="00FD45A3">
      <w:pPr>
        <w:spacing w:line="360" w:lineRule="auto"/>
        <w:ind w:firstLine="482"/>
        <w:rPr>
          <w:sz w:val="24"/>
        </w:rPr>
      </w:pPr>
      <w:r>
        <w:rPr>
          <w:rFonts w:hint="eastAsia"/>
          <w:sz w:val="24"/>
        </w:rPr>
        <w:t>回注井工艺设计</w:t>
      </w:r>
      <w:r>
        <w:rPr>
          <w:rFonts w:hint="eastAsia"/>
          <w:sz w:val="24"/>
        </w:rPr>
        <w:t>：</w:t>
      </w:r>
    </w:p>
    <w:p w:rsidR="00EE4502" w:rsidRDefault="00FD45A3">
      <w:pPr>
        <w:spacing w:line="360" w:lineRule="auto"/>
        <w:ind w:firstLine="482"/>
        <w:rPr>
          <w:sz w:val="24"/>
        </w:rPr>
      </w:pPr>
      <w:r>
        <w:rPr>
          <w:rFonts w:hint="eastAsia"/>
          <w:sz w:val="24"/>
        </w:rPr>
        <w:t>排</w:t>
      </w:r>
      <w:r>
        <w:rPr>
          <w:rFonts w:hint="eastAsia"/>
          <w:sz w:val="24"/>
        </w:rPr>
        <w:t>61</w:t>
      </w:r>
      <w:r>
        <w:rPr>
          <w:rFonts w:hint="eastAsia"/>
          <w:sz w:val="24"/>
        </w:rPr>
        <w:t>块部署</w:t>
      </w:r>
      <w:r>
        <w:rPr>
          <w:rFonts w:hint="eastAsia"/>
          <w:sz w:val="24"/>
        </w:rPr>
        <w:t>4</w:t>
      </w:r>
      <w:r>
        <w:rPr>
          <w:rFonts w:hint="eastAsia"/>
          <w:sz w:val="24"/>
        </w:rPr>
        <w:t>口回注井，地层水矿化度平均为</w:t>
      </w:r>
      <w:r>
        <w:rPr>
          <w:rFonts w:hint="eastAsia"/>
          <w:sz w:val="24"/>
        </w:rPr>
        <w:t>12198</w:t>
      </w:r>
      <w:r>
        <w:rPr>
          <w:rFonts w:hint="eastAsia"/>
          <w:sz w:val="24"/>
        </w:rPr>
        <w:t>～</w:t>
      </w:r>
      <w:r>
        <w:rPr>
          <w:rFonts w:hint="eastAsia"/>
          <w:sz w:val="24"/>
        </w:rPr>
        <w:t>55360mg/L</w:t>
      </w:r>
      <w:r>
        <w:rPr>
          <w:rFonts w:hint="eastAsia"/>
          <w:sz w:val="24"/>
        </w:rPr>
        <w:t>，平均为</w:t>
      </w:r>
      <w:r>
        <w:rPr>
          <w:rFonts w:hint="eastAsia"/>
          <w:sz w:val="24"/>
        </w:rPr>
        <w:t>36437mg/L</w:t>
      </w:r>
      <w:r>
        <w:rPr>
          <w:rFonts w:hint="eastAsia"/>
          <w:sz w:val="24"/>
        </w:rPr>
        <w:t>，日注水量≥</w:t>
      </w:r>
      <w:r>
        <w:rPr>
          <w:rFonts w:hint="eastAsia"/>
          <w:sz w:val="24"/>
        </w:rPr>
        <w:t>120m</w:t>
      </w:r>
      <w:r>
        <w:rPr>
          <w:rFonts w:hint="eastAsia"/>
          <w:sz w:val="24"/>
          <w:vertAlign w:val="superscript"/>
        </w:rPr>
        <w:t>3</w:t>
      </w:r>
      <w:r>
        <w:rPr>
          <w:rFonts w:hint="eastAsia"/>
          <w:sz w:val="24"/>
        </w:rPr>
        <w:t>/d</w:t>
      </w:r>
      <w:r>
        <w:rPr>
          <w:rFonts w:hint="eastAsia"/>
          <w:sz w:val="24"/>
        </w:rPr>
        <w:t>，井口附近及油层段顶深不低于</w:t>
      </w:r>
      <w:r>
        <w:rPr>
          <w:rFonts w:hint="eastAsia"/>
          <w:sz w:val="24"/>
        </w:rPr>
        <w:t>50m</w:t>
      </w:r>
      <w:r>
        <w:rPr>
          <w:rFonts w:hint="eastAsia"/>
          <w:sz w:val="24"/>
        </w:rPr>
        <w:t>范围内加厚套管或</w:t>
      </w:r>
      <w:r>
        <w:rPr>
          <w:rFonts w:hint="eastAsia"/>
          <w:sz w:val="24"/>
        </w:rPr>
        <w:t>9Cr</w:t>
      </w:r>
      <w:r>
        <w:rPr>
          <w:rFonts w:hint="eastAsia"/>
          <w:sz w:val="24"/>
        </w:rPr>
        <w:t>防腐套管</w:t>
      </w:r>
      <w:r>
        <w:rPr>
          <w:rFonts w:hint="eastAsia"/>
          <w:sz w:val="24"/>
        </w:rPr>
        <w:t>。</w:t>
      </w:r>
    </w:p>
    <w:p w:rsidR="00EE4502" w:rsidRDefault="00FD45A3">
      <w:pPr>
        <w:spacing w:line="360" w:lineRule="auto"/>
        <w:ind w:firstLine="482"/>
        <w:rPr>
          <w:sz w:val="24"/>
        </w:rPr>
      </w:pPr>
      <w:r>
        <w:rPr>
          <w:rFonts w:hint="eastAsia"/>
          <w:sz w:val="24"/>
        </w:rPr>
        <w:t>回注水井只注不采，采用悬挂滤砂管机械防砂的方式。</w:t>
      </w:r>
    </w:p>
    <w:p w:rsidR="00EE4502" w:rsidRDefault="00FD45A3">
      <w:pPr>
        <w:spacing w:line="360" w:lineRule="auto"/>
        <w:ind w:firstLine="482"/>
        <w:rPr>
          <w:sz w:val="24"/>
        </w:rPr>
      </w:pPr>
      <w:r>
        <w:rPr>
          <w:rFonts w:hint="eastAsia"/>
          <w:sz w:val="24"/>
        </w:rPr>
        <w:t>注水井防砂管柱如下图所示，防砂管为</w:t>
      </w:r>
      <w:r>
        <w:rPr>
          <w:rFonts w:hint="eastAsia"/>
          <w:sz w:val="24"/>
        </w:rPr>
        <w:t>4</w:t>
      </w:r>
      <w:r>
        <w:rPr>
          <w:rFonts w:hint="eastAsia"/>
          <w:sz w:val="24"/>
        </w:rPr>
        <w:t>½</w:t>
      </w:r>
      <w:r>
        <w:rPr>
          <w:rFonts w:hint="eastAsia"/>
          <w:sz w:val="24"/>
        </w:rPr>
        <w:t>in</w:t>
      </w:r>
      <w:r>
        <w:rPr>
          <w:rFonts w:hint="eastAsia"/>
          <w:sz w:val="24"/>
        </w:rPr>
        <w:t>精密滤砂管，按</w:t>
      </w:r>
      <w:r>
        <w:rPr>
          <w:rFonts w:hint="eastAsia"/>
          <w:sz w:val="24"/>
        </w:rPr>
        <w:t>1/2-2/3</w:t>
      </w:r>
      <w:r>
        <w:rPr>
          <w:rFonts w:hint="eastAsia"/>
          <w:sz w:val="24"/>
        </w:rPr>
        <w:t>出砂砾石尺寸选择，设计挡砂精度为</w:t>
      </w:r>
      <w:r>
        <w:rPr>
          <w:rFonts w:hint="eastAsia"/>
          <w:sz w:val="24"/>
        </w:rPr>
        <w:t>0.3mm</w:t>
      </w:r>
      <w:r>
        <w:rPr>
          <w:rFonts w:hint="eastAsia"/>
          <w:sz w:val="24"/>
        </w:rPr>
        <w:t>。</w:t>
      </w:r>
    </w:p>
    <w:p w:rsidR="00EE4502" w:rsidRDefault="00FD45A3">
      <w:pPr>
        <w:spacing w:line="360" w:lineRule="auto"/>
        <w:ind w:firstLine="482"/>
        <w:rPr>
          <w:sz w:val="24"/>
        </w:rPr>
      </w:pPr>
      <w:r>
        <w:rPr>
          <w:rFonts w:hint="eastAsia"/>
          <w:sz w:val="24"/>
        </w:rPr>
        <w:t>注水井管柱设计为</w:t>
      </w:r>
      <w:r>
        <w:rPr>
          <w:rFonts w:hint="eastAsia"/>
          <w:sz w:val="24"/>
        </w:rPr>
        <w:t>3 1/2in</w:t>
      </w:r>
      <w:r>
        <w:rPr>
          <w:rFonts w:hint="eastAsia"/>
          <w:sz w:val="24"/>
        </w:rPr>
        <w:t>镀渗钨油管，注水井口选用</w:t>
      </w:r>
      <w:r>
        <w:rPr>
          <w:rFonts w:hint="eastAsia"/>
          <w:sz w:val="24"/>
        </w:rPr>
        <w:t>KZ35/65 BB PSL2 6</w:t>
      </w:r>
      <w:r>
        <w:rPr>
          <w:rFonts w:hint="eastAsia"/>
          <w:sz w:val="24"/>
        </w:rPr>
        <w:t>阀</w:t>
      </w:r>
      <w:r>
        <w:rPr>
          <w:rFonts w:hint="eastAsia"/>
          <w:sz w:val="24"/>
        </w:rPr>
        <w:t>177.8</w:t>
      </w:r>
      <w:r>
        <w:rPr>
          <w:rFonts w:hint="eastAsia"/>
          <w:sz w:val="24"/>
        </w:rPr>
        <w:t>。</w:t>
      </w:r>
    </w:p>
    <w:p w:rsidR="00EE4502" w:rsidRDefault="00EE4502">
      <w:pPr>
        <w:spacing w:line="360" w:lineRule="auto"/>
        <w:jc w:val="center"/>
        <w:rPr>
          <w:rFonts w:ascii="宋体" w:hAnsi="宋体" w:cs="宋体"/>
        </w:rPr>
      </w:pPr>
    </w:p>
    <w:p w:rsidR="00EE4502" w:rsidRDefault="00FD45A3">
      <w:pPr>
        <w:spacing w:line="360" w:lineRule="auto"/>
        <w:jc w:val="center"/>
        <w:rPr>
          <w:kern w:val="0"/>
          <w:sz w:val="24"/>
        </w:rPr>
      </w:pPr>
      <w:r>
        <w:rPr>
          <w:rFonts w:eastAsia="黑体" w:hAnsi="黑体" w:hint="eastAsia"/>
          <w:bCs/>
          <w:szCs w:val="21"/>
        </w:rPr>
        <w:t>图</w:t>
      </w:r>
      <w:r>
        <w:rPr>
          <w:rFonts w:eastAsia="黑体" w:hAnsi="黑体" w:hint="eastAsia"/>
          <w:bCs/>
          <w:szCs w:val="21"/>
        </w:rPr>
        <w:t>3-3</w:t>
      </w:r>
      <w:r>
        <w:rPr>
          <w:rFonts w:eastAsia="黑体" w:hAnsi="黑体" w:hint="eastAsia"/>
          <w:bCs/>
          <w:szCs w:val="21"/>
        </w:rPr>
        <w:t>-</w:t>
      </w:r>
      <w:r>
        <w:rPr>
          <w:rFonts w:eastAsia="黑体" w:hAnsi="黑体" w:hint="eastAsia"/>
          <w:bCs/>
          <w:szCs w:val="21"/>
        </w:rPr>
        <w:t>33</w:t>
      </w:r>
      <w:r>
        <w:rPr>
          <w:rFonts w:eastAsia="黑体" w:hAnsi="黑体"/>
          <w:bCs/>
          <w:szCs w:val="21"/>
        </w:rPr>
        <w:t xml:space="preserve">  </w:t>
      </w:r>
      <w:r>
        <w:rPr>
          <w:rFonts w:eastAsia="黑体" w:hAnsi="黑体" w:hint="eastAsia"/>
          <w:bCs/>
          <w:szCs w:val="21"/>
        </w:rPr>
        <w:t>注水井防砂管柱</w:t>
      </w:r>
    </w:p>
    <w:p w:rsidR="00EE4502" w:rsidRDefault="00FD45A3">
      <w:pPr>
        <w:spacing w:line="360" w:lineRule="auto"/>
        <w:ind w:firstLineChars="200" w:firstLine="480"/>
        <w:rPr>
          <w:kern w:val="0"/>
          <w:sz w:val="24"/>
        </w:rPr>
      </w:pPr>
      <w:r>
        <w:rPr>
          <w:rFonts w:hint="eastAsia"/>
          <w:kern w:val="0"/>
          <w:sz w:val="24"/>
        </w:rPr>
        <w:t>根据油藏</w:t>
      </w:r>
      <w:r>
        <w:rPr>
          <w:kern w:val="0"/>
          <w:sz w:val="24"/>
        </w:rPr>
        <w:t>资料，区块渗透率为</w:t>
      </w:r>
      <w:r>
        <w:rPr>
          <w:kern w:val="0"/>
          <w:sz w:val="24"/>
        </w:rPr>
        <w:t>4660×10</w:t>
      </w:r>
      <w:r>
        <w:rPr>
          <w:kern w:val="0"/>
          <w:sz w:val="24"/>
          <w:vertAlign w:val="superscript"/>
        </w:rPr>
        <w:t>-3</w:t>
      </w:r>
      <w:r>
        <w:rPr>
          <w:kern w:val="0"/>
          <w:sz w:val="24"/>
        </w:rPr>
        <w:t>μm</w:t>
      </w:r>
      <w:r>
        <w:rPr>
          <w:kern w:val="0"/>
          <w:sz w:val="24"/>
          <w:vertAlign w:val="superscript"/>
        </w:rPr>
        <w:t>2</w:t>
      </w:r>
      <w:r>
        <w:rPr>
          <w:kern w:val="0"/>
          <w:sz w:val="24"/>
        </w:rPr>
        <w:t>，孔隙度为</w:t>
      </w:r>
      <w:r>
        <w:rPr>
          <w:kern w:val="0"/>
          <w:sz w:val="24"/>
        </w:rPr>
        <w:t>35.5%</w:t>
      </w:r>
      <w:r>
        <w:rPr>
          <w:kern w:val="0"/>
          <w:sz w:val="24"/>
        </w:rPr>
        <w:t>。根据《碎屑岩油藏注水水质指标技术要求及分析方法》</w:t>
      </w:r>
      <w:r>
        <w:rPr>
          <w:kern w:val="0"/>
          <w:sz w:val="24"/>
        </w:rPr>
        <w:t xml:space="preserve">(SY/T </w:t>
      </w:r>
      <w:r>
        <w:rPr>
          <w:kern w:val="0"/>
          <w:sz w:val="24"/>
        </w:rPr>
        <w:t>5329-2022)</w:t>
      </w:r>
      <w:r>
        <w:rPr>
          <w:kern w:val="0"/>
          <w:sz w:val="24"/>
        </w:rPr>
        <w:t>，注水水质要求为含油量</w:t>
      </w:r>
      <w:r>
        <w:rPr>
          <w:kern w:val="0"/>
          <w:sz w:val="24"/>
        </w:rPr>
        <w:t>≤100mg/L</w:t>
      </w:r>
      <w:r>
        <w:rPr>
          <w:kern w:val="0"/>
          <w:sz w:val="24"/>
        </w:rPr>
        <w:t>，悬浮固体含量</w:t>
      </w:r>
      <w:r>
        <w:rPr>
          <w:kern w:val="0"/>
          <w:sz w:val="24"/>
        </w:rPr>
        <w:t>≤35mg/L</w:t>
      </w:r>
      <w:r>
        <w:rPr>
          <w:kern w:val="0"/>
          <w:sz w:val="24"/>
        </w:rPr>
        <w:t>，粒径中值</w:t>
      </w:r>
      <w:r>
        <w:rPr>
          <w:kern w:val="0"/>
          <w:sz w:val="24"/>
        </w:rPr>
        <w:t>≤5.5μm</w:t>
      </w:r>
      <w:r>
        <w:rPr>
          <w:kern w:val="0"/>
          <w:sz w:val="24"/>
        </w:rPr>
        <w:t>。排</w:t>
      </w:r>
      <w:r>
        <w:rPr>
          <w:kern w:val="0"/>
          <w:sz w:val="24"/>
        </w:rPr>
        <w:t>7</w:t>
      </w:r>
      <w:r>
        <w:rPr>
          <w:kern w:val="0"/>
          <w:sz w:val="24"/>
        </w:rPr>
        <w:t>注水站水源来自春风联合站，春风联合站处理后的采出水水质为</w:t>
      </w:r>
      <w:r>
        <w:rPr>
          <w:kern w:val="0"/>
          <w:sz w:val="24"/>
        </w:rPr>
        <w:t>Ⅳ</w:t>
      </w:r>
      <w:r>
        <w:rPr>
          <w:kern w:val="0"/>
          <w:sz w:val="24"/>
        </w:rPr>
        <w:t>级，能够满</w:t>
      </w:r>
      <w:r>
        <w:rPr>
          <w:rFonts w:hint="eastAsia"/>
          <w:kern w:val="0"/>
          <w:sz w:val="24"/>
        </w:rPr>
        <w:t>足回注水质要求。</w:t>
      </w:r>
    </w:p>
    <w:p w:rsidR="00EE4502" w:rsidRDefault="00FD45A3">
      <w:pPr>
        <w:pStyle w:val="41"/>
        <w:numPr>
          <w:ilvl w:val="3"/>
          <w:numId w:val="30"/>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hint="eastAsia"/>
          <w:bCs w:val="0"/>
          <w:sz w:val="24"/>
          <w:szCs w:val="24"/>
        </w:rPr>
        <w:t>站场改造</w:t>
      </w:r>
    </w:p>
    <w:p w:rsidR="00EE4502" w:rsidRDefault="00FD45A3">
      <w:pPr>
        <w:spacing w:line="360" w:lineRule="auto"/>
        <w:ind w:firstLineChars="200" w:firstLine="482"/>
        <w:rPr>
          <w:kern w:val="0"/>
          <w:sz w:val="24"/>
        </w:rPr>
      </w:pPr>
      <w:r>
        <w:rPr>
          <w:rFonts w:hint="eastAsia"/>
          <w:b/>
          <w:bCs/>
          <w:kern w:val="0"/>
          <w:sz w:val="24"/>
        </w:rPr>
        <w:t>（</w:t>
      </w:r>
      <w:r>
        <w:rPr>
          <w:rFonts w:hint="eastAsia"/>
          <w:b/>
          <w:bCs/>
          <w:kern w:val="0"/>
          <w:sz w:val="24"/>
        </w:rPr>
        <w:t>1</w:t>
      </w:r>
      <w:r>
        <w:rPr>
          <w:rFonts w:hint="eastAsia"/>
          <w:b/>
          <w:bCs/>
          <w:kern w:val="0"/>
          <w:sz w:val="24"/>
        </w:rPr>
        <w:t>）</w:t>
      </w:r>
      <w:r>
        <w:rPr>
          <w:rFonts w:hint="eastAsia"/>
          <w:b/>
          <w:bCs/>
          <w:kern w:val="0"/>
          <w:sz w:val="24"/>
        </w:rPr>
        <w:t>1#</w:t>
      </w:r>
      <w:r>
        <w:rPr>
          <w:rFonts w:hint="eastAsia"/>
          <w:b/>
          <w:bCs/>
          <w:kern w:val="0"/>
          <w:sz w:val="24"/>
        </w:rPr>
        <w:t>增压站改造</w:t>
      </w:r>
    </w:p>
    <w:p w:rsidR="00EE4502" w:rsidRDefault="00FD45A3">
      <w:pPr>
        <w:spacing w:line="360" w:lineRule="auto"/>
        <w:ind w:firstLineChars="200" w:firstLine="480"/>
        <w:rPr>
          <w:kern w:val="0"/>
          <w:sz w:val="24"/>
        </w:rPr>
      </w:pPr>
      <w:r>
        <w:rPr>
          <w:rFonts w:hint="eastAsia"/>
          <w:kern w:val="0"/>
          <w:sz w:val="24"/>
        </w:rPr>
        <w:t>本工程对</w:t>
      </w:r>
      <w:r>
        <w:rPr>
          <w:rFonts w:hint="eastAsia"/>
          <w:kern w:val="0"/>
          <w:sz w:val="24"/>
        </w:rPr>
        <w:t>1#</w:t>
      </w:r>
      <w:r>
        <w:rPr>
          <w:rFonts w:hint="eastAsia"/>
          <w:kern w:val="0"/>
          <w:sz w:val="24"/>
        </w:rPr>
        <w:t>增压站进行就地分水改造，为排</w:t>
      </w:r>
      <w:r>
        <w:rPr>
          <w:rFonts w:hint="eastAsia"/>
          <w:kern w:val="0"/>
          <w:sz w:val="24"/>
        </w:rPr>
        <w:t>61</w:t>
      </w:r>
      <w:r>
        <w:rPr>
          <w:rFonts w:hint="eastAsia"/>
          <w:kern w:val="0"/>
          <w:sz w:val="24"/>
        </w:rPr>
        <w:t>末端掺水井供水。</w:t>
      </w:r>
    </w:p>
    <w:p w:rsidR="00EE4502" w:rsidRDefault="00FD45A3">
      <w:pPr>
        <w:spacing w:line="360" w:lineRule="auto"/>
        <w:ind w:firstLineChars="200" w:firstLine="480"/>
        <w:rPr>
          <w:kern w:val="0"/>
          <w:sz w:val="24"/>
        </w:rPr>
      </w:pPr>
      <w:r>
        <w:rPr>
          <w:rFonts w:hint="eastAsia"/>
          <w:kern w:val="0"/>
          <w:sz w:val="24"/>
        </w:rPr>
        <w:t>增压站新建：</w:t>
      </w:r>
    </w:p>
    <w:p w:rsidR="00EE4502" w:rsidRDefault="00FD45A3">
      <w:pPr>
        <w:spacing w:line="360" w:lineRule="auto"/>
        <w:ind w:firstLineChars="200" w:firstLine="480"/>
        <w:rPr>
          <w:kern w:val="0"/>
          <w:sz w:val="24"/>
        </w:rPr>
      </w:pPr>
      <w:r>
        <w:rPr>
          <w:rFonts w:hint="eastAsia"/>
          <w:kern w:val="0"/>
          <w:sz w:val="24"/>
        </w:rPr>
        <w:t>三相分离器</w:t>
      </w:r>
      <w:r>
        <w:rPr>
          <w:rFonts w:hint="eastAsia"/>
          <w:kern w:val="0"/>
          <w:sz w:val="24"/>
        </w:rPr>
        <w:t>1</w:t>
      </w:r>
      <w:r>
        <w:rPr>
          <w:rFonts w:hint="eastAsia"/>
          <w:kern w:val="0"/>
          <w:sz w:val="24"/>
        </w:rPr>
        <w:t>座（Φ</w:t>
      </w:r>
      <w:r>
        <w:rPr>
          <w:rFonts w:hint="eastAsia"/>
          <w:kern w:val="0"/>
          <w:sz w:val="24"/>
        </w:rPr>
        <w:t>3000</w:t>
      </w:r>
      <w:r>
        <w:rPr>
          <w:rFonts w:hint="eastAsia"/>
          <w:kern w:val="0"/>
          <w:sz w:val="24"/>
        </w:rPr>
        <w:t>×</w:t>
      </w:r>
      <w:r>
        <w:rPr>
          <w:rFonts w:hint="eastAsia"/>
          <w:kern w:val="0"/>
          <w:sz w:val="24"/>
        </w:rPr>
        <w:t>13102mm</w:t>
      </w:r>
      <w:r>
        <w:rPr>
          <w:rFonts w:hint="eastAsia"/>
          <w:kern w:val="0"/>
          <w:sz w:val="24"/>
        </w:rPr>
        <w:t>）；</w:t>
      </w:r>
    </w:p>
    <w:p w:rsidR="00EE4502" w:rsidRDefault="00FD45A3">
      <w:pPr>
        <w:spacing w:line="360" w:lineRule="auto"/>
        <w:ind w:firstLineChars="200" w:firstLine="480"/>
        <w:rPr>
          <w:kern w:val="0"/>
          <w:sz w:val="24"/>
        </w:rPr>
      </w:pPr>
      <w:r>
        <w:rPr>
          <w:rFonts w:hint="eastAsia"/>
          <w:kern w:val="0"/>
          <w:sz w:val="24"/>
        </w:rPr>
        <w:t>天然气分水器</w:t>
      </w:r>
      <w:r>
        <w:rPr>
          <w:rFonts w:hint="eastAsia"/>
          <w:kern w:val="0"/>
          <w:sz w:val="24"/>
        </w:rPr>
        <w:t>1</w:t>
      </w:r>
      <w:r>
        <w:rPr>
          <w:rFonts w:hint="eastAsia"/>
          <w:kern w:val="0"/>
          <w:sz w:val="24"/>
        </w:rPr>
        <w:t>台（Φ</w:t>
      </w:r>
      <w:r>
        <w:rPr>
          <w:rFonts w:hint="eastAsia"/>
          <w:kern w:val="0"/>
          <w:sz w:val="24"/>
        </w:rPr>
        <w:t>1200  H=5500</w:t>
      </w:r>
      <w:r>
        <w:rPr>
          <w:rFonts w:hint="eastAsia"/>
          <w:kern w:val="0"/>
          <w:sz w:val="24"/>
        </w:rPr>
        <w:t>）；</w:t>
      </w:r>
    </w:p>
    <w:p w:rsidR="00EE4502" w:rsidRDefault="00FD45A3">
      <w:pPr>
        <w:spacing w:line="360" w:lineRule="auto"/>
        <w:ind w:firstLineChars="200" w:firstLine="480"/>
        <w:rPr>
          <w:kern w:val="0"/>
          <w:sz w:val="24"/>
        </w:rPr>
      </w:pPr>
      <w:r>
        <w:rPr>
          <w:rFonts w:hint="eastAsia"/>
          <w:kern w:val="0"/>
          <w:sz w:val="24"/>
        </w:rPr>
        <w:t>采出水外输泵</w:t>
      </w:r>
      <w:r>
        <w:rPr>
          <w:rFonts w:hint="eastAsia"/>
          <w:kern w:val="0"/>
          <w:sz w:val="24"/>
        </w:rPr>
        <w:t>2</w:t>
      </w:r>
      <w:r>
        <w:rPr>
          <w:rFonts w:hint="eastAsia"/>
          <w:kern w:val="0"/>
          <w:sz w:val="24"/>
        </w:rPr>
        <w:t>台（</w:t>
      </w:r>
      <w:r>
        <w:rPr>
          <w:rFonts w:hint="eastAsia"/>
          <w:kern w:val="0"/>
          <w:sz w:val="24"/>
        </w:rPr>
        <w:t>Q=20</w:t>
      </w:r>
      <w:r>
        <w:rPr>
          <w:rFonts w:hint="eastAsia"/>
          <w:kern w:val="0"/>
          <w:sz w:val="24"/>
        </w:rPr>
        <w:t>～</w:t>
      </w:r>
      <w:r>
        <w:rPr>
          <w:rFonts w:hint="eastAsia"/>
          <w:kern w:val="0"/>
          <w:sz w:val="24"/>
        </w:rPr>
        <w:t>30m</w:t>
      </w:r>
      <w:r>
        <w:rPr>
          <w:rFonts w:hint="eastAsia"/>
          <w:kern w:val="0"/>
          <w:sz w:val="24"/>
        </w:rPr>
        <w:t>³</w:t>
      </w:r>
      <w:r>
        <w:rPr>
          <w:rFonts w:hint="eastAsia"/>
          <w:kern w:val="0"/>
          <w:sz w:val="24"/>
        </w:rPr>
        <w:t>/h    H=250m</w:t>
      </w:r>
      <w:r>
        <w:rPr>
          <w:rFonts w:hint="eastAsia"/>
          <w:kern w:val="0"/>
          <w:sz w:val="24"/>
        </w:rPr>
        <w:t>）；</w:t>
      </w:r>
    </w:p>
    <w:p w:rsidR="00EE4502" w:rsidRDefault="00FD45A3">
      <w:pPr>
        <w:spacing w:line="360" w:lineRule="auto"/>
        <w:ind w:firstLineChars="200" w:firstLine="480"/>
        <w:rPr>
          <w:kern w:val="0"/>
          <w:sz w:val="24"/>
        </w:rPr>
      </w:pPr>
      <w:r>
        <w:rPr>
          <w:rFonts w:hint="eastAsia"/>
          <w:kern w:val="0"/>
          <w:sz w:val="24"/>
        </w:rPr>
        <w:t>原油外输利旧已建外输泵。</w:t>
      </w:r>
    </w:p>
    <w:p w:rsidR="00EE4502" w:rsidRDefault="00FD45A3">
      <w:pPr>
        <w:spacing w:line="360" w:lineRule="auto"/>
        <w:ind w:firstLineChars="200" w:firstLine="480"/>
        <w:rPr>
          <w:kern w:val="0"/>
          <w:sz w:val="24"/>
        </w:rPr>
      </w:pPr>
      <w:r>
        <w:rPr>
          <w:rFonts w:hint="eastAsia"/>
          <w:kern w:val="0"/>
          <w:sz w:val="24"/>
        </w:rPr>
        <w:lastRenderedPageBreak/>
        <w:t>其中：新建三相分离器有效容积</w:t>
      </w:r>
      <w:r>
        <w:rPr>
          <w:rFonts w:hint="eastAsia"/>
          <w:kern w:val="0"/>
          <w:sz w:val="24"/>
        </w:rPr>
        <w:t>92m</w:t>
      </w:r>
      <w:r>
        <w:rPr>
          <w:rFonts w:hint="eastAsia"/>
          <w:kern w:val="0"/>
          <w:sz w:val="24"/>
          <w:vertAlign w:val="superscript"/>
        </w:rPr>
        <w:t>3</w:t>
      </w:r>
      <w:r>
        <w:rPr>
          <w:rFonts w:hint="eastAsia"/>
          <w:kern w:val="0"/>
          <w:sz w:val="24"/>
        </w:rPr>
        <w:t>，有效停留时间</w:t>
      </w:r>
      <w:r>
        <w:rPr>
          <w:rFonts w:hint="eastAsia"/>
          <w:kern w:val="0"/>
          <w:sz w:val="24"/>
        </w:rPr>
        <w:t>30min</w:t>
      </w:r>
      <w:r>
        <w:rPr>
          <w:rFonts w:hint="eastAsia"/>
          <w:kern w:val="0"/>
          <w:sz w:val="24"/>
        </w:rPr>
        <w:t>，预计可分出采出水量约</w:t>
      </w:r>
      <w:r>
        <w:rPr>
          <w:rFonts w:hint="eastAsia"/>
          <w:kern w:val="0"/>
          <w:sz w:val="24"/>
        </w:rPr>
        <w:t>400m</w:t>
      </w:r>
      <w:r>
        <w:rPr>
          <w:rFonts w:hint="eastAsia"/>
          <w:kern w:val="0"/>
          <w:sz w:val="24"/>
          <w:vertAlign w:val="superscript"/>
        </w:rPr>
        <w:t>3</w:t>
      </w:r>
      <w:r>
        <w:rPr>
          <w:rFonts w:hint="eastAsia"/>
          <w:kern w:val="0"/>
          <w:sz w:val="24"/>
        </w:rPr>
        <w:t>/d</w:t>
      </w:r>
      <w:r>
        <w:rPr>
          <w:rFonts w:hint="eastAsia"/>
          <w:kern w:val="0"/>
          <w:sz w:val="24"/>
        </w:rPr>
        <w:t>；</w:t>
      </w:r>
    </w:p>
    <w:p w:rsidR="00EE4502" w:rsidRDefault="00FD45A3">
      <w:pPr>
        <w:spacing w:line="360" w:lineRule="auto"/>
        <w:ind w:firstLineChars="200" w:firstLine="480"/>
        <w:rPr>
          <w:kern w:val="0"/>
          <w:sz w:val="24"/>
        </w:rPr>
      </w:pPr>
      <w:r>
        <w:rPr>
          <w:rFonts w:hint="eastAsia"/>
          <w:kern w:val="0"/>
          <w:sz w:val="24"/>
        </w:rPr>
        <w:t>建成后增压站来液经过三相分离器分离，分出水去排</w:t>
      </w:r>
      <w:r>
        <w:rPr>
          <w:rFonts w:hint="eastAsia"/>
          <w:kern w:val="0"/>
          <w:sz w:val="24"/>
        </w:rPr>
        <w:t>61</w:t>
      </w:r>
      <w:r>
        <w:rPr>
          <w:rFonts w:hint="eastAsia"/>
          <w:kern w:val="0"/>
          <w:sz w:val="24"/>
        </w:rPr>
        <w:t>末端掺水井，伴生气外输至</w:t>
      </w:r>
      <w:r>
        <w:rPr>
          <w:rFonts w:hint="eastAsia"/>
          <w:kern w:val="0"/>
          <w:sz w:val="24"/>
        </w:rPr>
        <w:t>6#</w:t>
      </w:r>
      <w:r>
        <w:rPr>
          <w:rFonts w:hint="eastAsia"/>
          <w:kern w:val="0"/>
          <w:sz w:val="24"/>
        </w:rPr>
        <w:t>注汽站掺烧，含水原油输至春风二号联合站。增压站改造后工艺流程示意见图</w:t>
      </w:r>
      <w:r>
        <w:rPr>
          <w:rFonts w:hint="eastAsia"/>
          <w:kern w:val="0"/>
          <w:sz w:val="24"/>
        </w:rPr>
        <w:t>3-3-34</w:t>
      </w:r>
      <w:r>
        <w:rPr>
          <w:rFonts w:hint="eastAsia"/>
          <w:kern w:val="0"/>
          <w:sz w:val="24"/>
        </w:rPr>
        <w:t>。</w:t>
      </w:r>
    </w:p>
    <w:p w:rsidR="00EE4502" w:rsidRDefault="00EE4502">
      <w:pPr>
        <w:spacing w:line="360" w:lineRule="auto"/>
        <w:jc w:val="center"/>
        <w:rPr>
          <w:kern w:val="0"/>
          <w:sz w:val="24"/>
        </w:rPr>
      </w:pPr>
    </w:p>
    <w:p w:rsidR="00EE4502" w:rsidRDefault="00FD45A3">
      <w:pPr>
        <w:spacing w:line="360" w:lineRule="auto"/>
        <w:jc w:val="center"/>
        <w:rPr>
          <w:kern w:val="0"/>
          <w:sz w:val="24"/>
        </w:rPr>
      </w:pPr>
      <w:r>
        <w:rPr>
          <w:rFonts w:ascii="黑体" w:eastAsia="黑体" w:hAnsi="黑体" w:cs="黑体" w:hint="eastAsia"/>
          <w:kern w:val="0"/>
          <w:szCs w:val="21"/>
        </w:rPr>
        <w:t>图</w:t>
      </w:r>
      <w:r>
        <w:rPr>
          <w:rFonts w:ascii="黑体" w:eastAsia="黑体" w:hAnsi="黑体" w:cs="黑体" w:hint="eastAsia"/>
          <w:kern w:val="0"/>
          <w:szCs w:val="21"/>
        </w:rPr>
        <w:t>3-3-34  1#</w:t>
      </w:r>
      <w:r>
        <w:rPr>
          <w:rFonts w:ascii="黑体" w:eastAsia="黑体" w:hAnsi="黑体" w:cs="黑体" w:hint="eastAsia"/>
          <w:kern w:val="0"/>
          <w:szCs w:val="21"/>
        </w:rPr>
        <w:t>增压站改造后工艺流程示意图</w:t>
      </w:r>
    </w:p>
    <w:p w:rsidR="00EE4502" w:rsidRDefault="00FD45A3">
      <w:pPr>
        <w:spacing w:line="360" w:lineRule="auto"/>
        <w:ind w:firstLineChars="200" w:firstLine="480"/>
        <w:rPr>
          <w:kern w:val="0"/>
          <w:sz w:val="24"/>
        </w:rPr>
      </w:pPr>
      <w:r>
        <w:rPr>
          <w:rFonts w:hint="eastAsia"/>
          <w:kern w:val="0"/>
          <w:sz w:val="24"/>
        </w:rPr>
        <w:t>1#</w:t>
      </w:r>
      <w:r>
        <w:rPr>
          <w:rFonts w:hint="eastAsia"/>
          <w:kern w:val="0"/>
          <w:sz w:val="24"/>
        </w:rPr>
        <w:t>增压站东侧距已建道路较近，本工程计划新建分水设备区位于增压站北侧。与增压站内部建（构）筑物之间的间距执行《石油天然气工程设计防火规范》（</w:t>
      </w:r>
      <w:r>
        <w:rPr>
          <w:rFonts w:hint="eastAsia"/>
          <w:kern w:val="0"/>
          <w:sz w:val="24"/>
        </w:rPr>
        <w:t>GB 50183-2004</w:t>
      </w:r>
      <w:r>
        <w:rPr>
          <w:rFonts w:hint="eastAsia"/>
          <w:kern w:val="0"/>
          <w:sz w:val="24"/>
        </w:rPr>
        <w:t>）中五级油气站场防火间距的相关规</w:t>
      </w:r>
      <w:r>
        <w:rPr>
          <w:rFonts w:hint="eastAsia"/>
          <w:kern w:val="0"/>
          <w:sz w:val="24"/>
        </w:rPr>
        <w:t>定，本次</w:t>
      </w:r>
      <w:r>
        <w:rPr>
          <w:rFonts w:hint="eastAsia"/>
          <w:kern w:val="0"/>
          <w:sz w:val="24"/>
        </w:rPr>
        <w:t>1#</w:t>
      </w:r>
      <w:r>
        <w:rPr>
          <w:rFonts w:hint="eastAsia"/>
          <w:kern w:val="0"/>
          <w:sz w:val="24"/>
        </w:rPr>
        <w:t>增压站需新增征地面积</w:t>
      </w:r>
      <w:r>
        <w:rPr>
          <w:rFonts w:hint="eastAsia"/>
          <w:kern w:val="0"/>
          <w:sz w:val="24"/>
        </w:rPr>
        <w:t>600m</w:t>
      </w:r>
      <w:r>
        <w:rPr>
          <w:rFonts w:hint="eastAsia"/>
          <w:kern w:val="0"/>
          <w:sz w:val="24"/>
          <w:vertAlign w:val="superscript"/>
        </w:rPr>
        <w:t>2</w:t>
      </w:r>
      <w:r>
        <w:rPr>
          <w:rFonts w:hint="eastAsia"/>
          <w:kern w:val="0"/>
          <w:sz w:val="24"/>
        </w:rPr>
        <w:t>，约</w:t>
      </w:r>
      <w:r>
        <w:rPr>
          <w:rFonts w:hint="eastAsia"/>
          <w:kern w:val="0"/>
          <w:sz w:val="24"/>
        </w:rPr>
        <w:t>0.90</w:t>
      </w:r>
      <w:r>
        <w:rPr>
          <w:rFonts w:hint="eastAsia"/>
          <w:kern w:val="0"/>
          <w:sz w:val="24"/>
        </w:rPr>
        <w:t>亩。改造后增压站平面布置示意见图</w:t>
      </w:r>
      <w:r>
        <w:rPr>
          <w:rFonts w:hint="eastAsia"/>
          <w:kern w:val="0"/>
          <w:sz w:val="24"/>
        </w:rPr>
        <w:t>3-3-35</w:t>
      </w:r>
      <w:r>
        <w:rPr>
          <w:rFonts w:hint="eastAsia"/>
          <w:kern w:val="0"/>
          <w:sz w:val="24"/>
        </w:rPr>
        <w:t>。</w:t>
      </w:r>
    </w:p>
    <w:p w:rsidR="00EE4502" w:rsidRDefault="00EE4502">
      <w:pPr>
        <w:spacing w:line="360" w:lineRule="auto"/>
        <w:jc w:val="center"/>
        <w:rPr>
          <w:kern w:val="0"/>
          <w:sz w:val="24"/>
        </w:rPr>
      </w:pPr>
    </w:p>
    <w:p w:rsidR="00EE4502" w:rsidRDefault="00FD45A3">
      <w:pPr>
        <w:spacing w:line="360" w:lineRule="auto"/>
        <w:jc w:val="center"/>
        <w:rPr>
          <w:rFonts w:ascii="黑体" w:eastAsia="黑体" w:hAnsi="黑体" w:cs="黑体"/>
          <w:kern w:val="0"/>
          <w:szCs w:val="21"/>
        </w:rPr>
      </w:pPr>
      <w:r>
        <w:rPr>
          <w:rFonts w:ascii="黑体" w:eastAsia="黑体" w:hAnsi="黑体" w:cs="黑体"/>
          <w:kern w:val="0"/>
          <w:szCs w:val="21"/>
        </w:rPr>
        <w:t>图</w:t>
      </w:r>
      <w:r>
        <w:rPr>
          <w:rFonts w:ascii="黑体" w:eastAsia="黑体" w:hAnsi="黑体" w:cs="黑体" w:hint="eastAsia"/>
          <w:kern w:val="0"/>
          <w:szCs w:val="21"/>
        </w:rPr>
        <w:t>3-3</w:t>
      </w:r>
      <w:r>
        <w:rPr>
          <w:rFonts w:ascii="黑体" w:eastAsia="黑体" w:hAnsi="黑体" w:cs="黑体"/>
          <w:kern w:val="0"/>
          <w:szCs w:val="21"/>
        </w:rPr>
        <w:t>-</w:t>
      </w:r>
      <w:r>
        <w:rPr>
          <w:rFonts w:ascii="黑体" w:eastAsia="黑体" w:hAnsi="黑体" w:cs="黑体" w:hint="eastAsia"/>
          <w:kern w:val="0"/>
          <w:szCs w:val="21"/>
        </w:rPr>
        <w:t>35</w:t>
      </w:r>
      <w:r>
        <w:rPr>
          <w:rFonts w:ascii="黑体" w:eastAsia="黑体" w:hAnsi="黑体" w:cs="黑体"/>
          <w:kern w:val="0"/>
          <w:szCs w:val="21"/>
        </w:rPr>
        <w:t xml:space="preserve">  </w:t>
      </w:r>
      <w:r>
        <w:rPr>
          <w:rFonts w:ascii="黑体" w:eastAsia="黑体" w:hAnsi="黑体" w:cs="黑体" w:hint="eastAsia"/>
          <w:kern w:val="0"/>
          <w:szCs w:val="21"/>
        </w:rPr>
        <w:t>1#</w:t>
      </w:r>
      <w:r>
        <w:rPr>
          <w:rFonts w:ascii="黑体" w:eastAsia="黑体" w:hAnsi="黑体" w:cs="黑体" w:hint="eastAsia"/>
          <w:kern w:val="0"/>
          <w:szCs w:val="21"/>
        </w:rPr>
        <w:t>增压站</w:t>
      </w:r>
      <w:r>
        <w:rPr>
          <w:rFonts w:ascii="黑体" w:eastAsia="黑体" w:hAnsi="黑体" w:cs="黑体"/>
          <w:kern w:val="0"/>
          <w:szCs w:val="21"/>
        </w:rPr>
        <w:t>改造后平面布置示意图</w:t>
      </w:r>
    </w:p>
    <w:p w:rsidR="00EE4502" w:rsidRDefault="00FD45A3">
      <w:pPr>
        <w:spacing w:line="360" w:lineRule="auto"/>
        <w:ind w:firstLineChars="200" w:firstLine="482"/>
        <w:rPr>
          <w:kern w:val="0"/>
          <w:sz w:val="24"/>
        </w:rPr>
      </w:pPr>
      <w:r>
        <w:rPr>
          <w:rFonts w:hint="eastAsia"/>
          <w:b/>
          <w:bCs/>
          <w:kern w:val="0"/>
          <w:sz w:val="24"/>
        </w:rPr>
        <w:t>（</w:t>
      </w:r>
      <w:r>
        <w:rPr>
          <w:rFonts w:hint="eastAsia"/>
          <w:b/>
          <w:bCs/>
          <w:kern w:val="0"/>
          <w:sz w:val="24"/>
        </w:rPr>
        <w:t>2</w:t>
      </w:r>
      <w:r>
        <w:rPr>
          <w:rFonts w:hint="eastAsia"/>
          <w:b/>
          <w:bCs/>
          <w:kern w:val="0"/>
          <w:sz w:val="24"/>
        </w:rPr>
        <w:t>）排</w:t>
      </w:r>
      <w:r>
        <w:rPr>
          <w:rFonts w:hint="eastAsia"/>
          <w:b/>
          <w:bCs/>
          <w:kern w:val="0"/>
          <w:sz w:val="24"/>
        </w:rPr>
        <w:t>7</w:t>
      </w:r>
      <w:r>
        <w:rPr>
          <w:rFonts w:hint="eastAsia"/>
          <w:b/>
          <w:bCs/>
          <w:kern w:val="0"/>
          <w:sz w:val="24"/>
        </w:rPr>
        <w:t>注水站改造</w:t>
      </w:r>
    </w:p>
    <w:p w:rsidR="00EE4502" w:rsidRDefault="00FD45A3">
      <w:pPr>
        <w:spacing w:line="360" w:lineRule="auto"/>
        <w:ind w:firstLineChars="200" w:firstLine="480"/>
        <w:rPr>
          <w:kern w:val="0"/>
          <w:sz w:val="24"/>
        </w:rPr>
      </w:pPr>
      <w:r>
        <w:rPr>
          <w:rFonts w:hint="eastAsia"/>
          <w:kern w:val="0"/>
          <w:sz w:val="24"/>
        </w:rPr>
        <w:t>本工程在排</w:t>
      </w:r>
      <w:r>
        <w:rPr>
          <w:rFonts w:hint="eastAsia"/>
          <w:kern w:val="0"/>
          <w:sz w:val="24"/>
        </w:rPr>
        <w:t>7</w:t>
      </w:r>
      <w:r>
        <w:rPr>
          <w:rFonts w:hint="eastAsia"/>
          <w:kern w:val="0"/>
          <w:sz w:val="24"/>
        </w:rPr>
        <w:t>注水站内新建缓冲罐</w:t>
      </w:r>
      <w:r>
        <w:rPr>
          <w:rFonts w:hint="eastAsia"/>
          <w:kern w:val="0"/>
          <w:sz w:val="24"/>
        </w:rPr>
        <w:t>1</w:t>
      </w:r>
      <w:r>
        <w:rPr>
          <w:rFonts w:hint="eastAsia"/>
          <w:kern w:val="0"/>
          <w:sz w:val="24"/>
        </w:rPr>
        <w:t>座、喂水泵</w:t>
      </w:r>
      <w:r>
        <w:rPr>
          <w:rFonts w:hint="eastAsia"/>
          <w:kern w:val="0"/>
          <w:sz w:val="24"/>
        </w:rPr>
        <w:t>3</w:t>
      </w:r>
      <w:r>
        <w:rPr>
          <w:rFonts w:hint="eastAsia"/>
          <w:kern w:val="0"/>
          <w:sz w:val="24"/>
        </w:rPr>
        <w:t>台，新建提升泵房、配电室，新建房屋考虑预留注水泵位置。更换已建</w:t>
      </w:r>
      <w:r>
        <w:rPr>
          <w:rFonts w:hint="eastAsia"/>
          <w:kern w:val="0"/>
          <w:sz w:val="24"/>
        </w:rPr>
        <w:t>1#</w:t>
      </w:r>
      <w:r>
        <w:rPr>
          <w:rFonts w:hint="eastAsia"/>
          <w:kern w:val="0"/>
          <w:sz w:val="24"/>
        </w:rPr>
        <w:t>、</w:t>
      </w:r>
      <w:r>
        <w:rPr>
          <w:rFonts w:hint="eastAsia"/>
          <w:kern w:val="0"/>
          <w:sz w:val="24"/>
        </w:rPr>
        <w:t>2#</w:t>
      </w:r>
      <w:r>
        <w:rPr>
          <w:rFonts w:hint="eastAsia"/>
          <w:kern w:val="0"/>
          <w:sz w:val="24"/>
        </w:rPr>
        <w:t>注水泵，迁建已建埋地缓冲罐及配套提升泵，新建免水冲厕所</w:t>
      </w:r>
      <w:r>
        <w:rPr>
          <w:rFonts w:hint="eastAsia"/>
          <w:kern w:val="0"/>
          <w:sz w:val="24"/>
        </w:rPr>
        <w:t>1</w:t>
      </w:r>
      <w:r>
        <w:rPr>
          <w:rFonts w:hint="eastAsia"/>
          <w:kern w:val="0"/>
          <w:sz w:val="24"/>
        </w:rPr>
        <w:t>座。</w:t>
      </w:r>
    </w:p>
    <w:p w:rsidR="00EE4502" w:rsidRDefault="00FD45A3">
      <w:pPr>
        <w:spacing w:line="360" w:lineRule="auto"/>
        <w:ind w:firstLineChars="200" w:firstLine="482"/>
        <w:rPr>
          <w:b/>
          <w:bCs/>
          <w:kern w:val="0"/>
          <w:sz w:val="24"/>
        </w:rPr>
      </w:pPr>
      <w:r>
        <w:rPr>
          <w:rFonts w:hint="eastAsia"/>
          <w:b/>
          <w:bCs/>
          <w:kern w:val="0"/>
          <w:sz w:val="24"/>
        </w:rPr>
        <w:t>1</w:t>
      </w:r>
      <w:r>
        <w:rPr>
          <w:rFonts w:hint="eastAsia"/>
          <w:b/>
          <w:bCs/>
          <w:kern w:val="0"/>
          <w:sz w:val="24"/>
        </w:rPr>
        <w:t>）设备选型</w:t>
      </w:r>
    </w:p>
    <w:p w:rsidR="00EE4502" w:rsidRDefault="00FD45A3">
      <w:pPr>
        <w:spacing w:line="360" w:lineRule="auto"/>
        <w:ind w:firstLineChars="200" w:firstLine="480"/>
        <w:rPr>
          <w:kern w:val="0"/>
          <w:sz w:val="24"/>
        </w:rPr>
      </w:pPr>
      <w:r>
        <w:rPr>
          <w:rFonts w:hint="eastAsia"/>
          <w:kern w:val="0"/>
          <w:sz w:val="24"/>
        </w:rPr>
        <w:t>a.</w:t>
      </w:r>
      <w:r>
        <w:rPr>
          <w:rFonts w:hint="eastAsia"/>
          <w:kern w:val="0"/>
          <w:sz w:val="24"/>
        </w:rPr>
        <w:t>缓冲罐</w:t>
      </w:r>
    </w:p>
    <w:p w:rsidR="00EE4502" w:rsidRDefault="00FD45A3">
      <w:pPr>
        <w:spacing w:line="360" w:lineRule="auto"/>
        <w:ind w:firstLineChars="200" w:firstLine="480"/>
        <w:rPr>
          <w:kern w:val="0"/>
          <w:sz w:val="24"/>
        </w:rPr>
      </w:pPr>
      <w:r>
        <w:rPr>
          <w:rFonts w:hint="eastAsia"/>
          <w:kern w:val="0"/>
          <w:sz w:val="24"/>
        </w:rPr>
        <w:t>数量</w:t>
      </w:r>
      <w:r>
        <w:rPr>
          <w:rFonts w:hint="eastAsia"/>
          <w:kern w:val="0"/>
          <w:sz w:val="24"/>
        </w:rPr>
        <w:t>1</w:t>
      </w:r>
      <w:r>
        <w:rPr>
          <w:rFonts w:hint="eastAsia"/>
          <w:kern w:val="0"/>
          <w:sz w:val="24"/>
        </w:rPr>
        <w:t>座；材质为钢罐、玻璃钢内胆；罐容为</w:t>
      </w:r>
      <w:r>
        <w:rPr>
          <w:rFonts w:hint="eastAsia"/>
          <w:kern w:val="0"/>
          <w:sz w:val="24"/>
        </w:rPr>
        <w:t>500m</w:t>
      </w:r>
      <w:r>
        <w:rPr>
          <w:rFonts w:hint="eastAsia"/>
          <w:kern w:val="0"/>
          <w:sz w:val="24"/>
          <w:vertAlign w:val="superscript"/>
        </w:rPr>
        <w:t>3</w:t>
      </w:r>
      <w:r>
        <w:rPr>
          <w:rFonts w:hint="eastAsia"/>
          <w:kern w:val="0"/>
          <w:sz w:val="24"/>
        </w:rPr>
        <w:t>；</w:t>
      </w:r>
      <w:r>
        <w:rPr>
          <w:rFonts w:hint="eastAsia"/>
          <w:kern w:val="0"/>
          <w:sz w:val="24"/>
        </w:rPr>
        <w:t>有效容积</w:t>
      </w:r>
      <w:r>
        <w:rPr>
          <w:rFonts w:hint="eastAsia"/>
          <w:kern w:val="0"/>
          <w:sz w:val="24"/>
        </w:rPr>
        <w:t>400m</w:t>
      </w:r>
      <w:r>
        <w:rPr>
          <w:rFonts w:hint="eastAsia"/>
          <w:kern w:val="0"/>
          <w:sz w:val="24"/>
          <w:vertAlign w:val="superscript"/>
        </w:rPr>
        <w:t>3</w:t>
      </w:r>
      <w:r>
        <w:rPr>
          <w:rFonts w:hint="eastAsia"/>
          <w:kern w:val="0"/>
          <w:sz w:val="24"/>
        </w:rPr>
        <w:t>；有效停留时间</w:t>
      </w:r>
      <w:r>
        <w:rPr>
          <w:rFonts w:hint="eastAsia"/>
          <w:kern w:val="0"/>
          <w:sz w:val="24"/>
        </w:rPr>
        <w:t>1.83h</w:t>
      </w:r>
      <w:r>
        <w:rPr>
          <w:rFonts w:hint="eastAsia"/>
          <w:kern w:val="0"/>
          <w:sz w:val="24"/>
        </w:rPr>
        <w:t>。</w:t>
      </w:r>
    </w:p>
    <w:p w:rsidR="00EE4502" w:rsidRDefault="00FD45A3">
      <w:pPr>
        <w:spacing w:line="360" w:lineRule="auto"/>
        <w:ind w:firstLineChars="200" w:firstLine="480"/>
        <w:rPr>
          <w:kern w:val="0"/>
          <w:sz w:val="24"/>
        </w:rPr>
      </w:pPr>
      <w:r>
        <w:rPr>
          <w:rFonts w:hint="eastAsia"/>
          <w:kern w:val="0"/>
          <w:sz w:val="24"/>
        </w:rPr>
        <w:t>b.</w:t>
      </w:r>
      <w:r>
        <w:rPr>
          <w:rFonts w:hint="eastAsia"/>
          <w:kern w:val="0"/>
          <w:sz w:val="24"/>
        </w:rPr>
        <w:t>喂水泵</w:t>
      </w:r>
    </w:p>
    <w:p w:rsidR="00EE4502" w:rsidRDefault="00FD45A3">
      <w:pPr>
        <w:spacing w:line="360" w:lineRule="auto"/>
        <w:ind w:firstLineChars="200" w:firstLine="480"/>
        <w:rPr>
          <w:kern w:val="0"/>
          <w:sz w:val="24"/>
        </w:rPr>
      </w:pPr>
      <w:r>
        <w:rPr>
          <w:rFonts w:hint="eastAsia"/>
          <w:kern w:val="0"/>
          <w:sz w:val="24"/>
        </w:rPr>
        <w:t>数量为</w:t>
      </w:r>
      <w:r>
        <w:rPr>
          <w:rFonts w:hint="eastAsia"/>
          <w:kern w:val="0"/>
          <w:sz w:val="24"/>
        </w:rPr>
        <w:t>3</w:t>
      </w:r>
      <w:r>
        <w:rPr>
          <w:rFonts w:hint="eastAsia"/>
          <w:kern w:val="0"/>
          <w:sz w:val="24"/>
        </w:rPr>
        <w:t>台（</w:t>
      </w:r>
      <w:r>
        <w:rPr>
          <w:rFonts w:hint="eastAsia"/>
          <w:kern w:val="0"/>
          <w:sz w:val="24"/>
        </w:rPr>
        <w:t>2</w:t>
      </w:r>
      <w:r>
        <w:rPr>
          <w:rFonts w:hint="eastAsia"/>
          <w:kern w:val="0"/>
          <w:sz w:val="24"/>
        </w:rPr>
        <w:t>用</w:t>
      </w:r>
      <w:r>
        <w:rPr>
          <w:rFonts w:hint="eastAsia"/>
          <w:kern w:val="0"/>
          <w:sz w:val="24"/>
        </w:rPr>
        <w:t>1</w:t>
      </w:r>
      <w:r>
        <w:rPr>
          <w:rFonts w:hint="eastAsia"/>
          <w:kern w:val="0"/>
          <w:sz w:val="24"/>
        </w:rPr>
        <w:t>备）；排量</w:t>
      </w:r>
      <w:r>
        <w:rPr>
          <w:rFonts w:hint="eastAsia"/>
          <w:kern w:val="0"/>
          <w:sz w:val="24"/>
        </w:rPr>
        <w:t>160m</w:t>
      </w:r>
      <w:r>
        <w:rPr>
          <w:rFonts w:hint="eastAsia"/>
          <w:kern w:val="0"/>
          <w:sz w:val="24"/>
          <w:vertAlign w:val="superscript"/>
        </w:rPr>
        <w:t>3</w:t>
      </w:r>
      <w:r>
        <w:rPr>
          <w:rFonts w:hint="eastAsia"/>
          <w:kern w:val="0"/>
          <w:sz w:val="24"/>
        </w:rPr>
        <w:t>/h</w:t>
      </w:r>
      <w:r>
        <w:rPr>
          <w:rFonts w:hint="eastAsia"/>
          <w:kern w:val="0"/>
          <w:sz w:val="24"/>
        </w:rPr>
        <w:t>；扬程</w:t>
      </w:r>
      <w:r>
        <w:rPr>
          <w:rFonts w:hint="eastAsia"/>
          <w:kern w:val="0"/>
          <w:sz w:val="24"/>
        </w:rPr>
        <w:t>30m</w:t>
      </w:r>
      <w:r>
        <w:rPr>
          <w:rFonts w:hint="eastAsia"/>
          <w:kern w:val="0"/>
          <w:sz w:val="24"/>
        </w:rPr>
        <w:t>；功率</w:t>
      </w:r>
      <w:r>
        <w:rPr>
          <w:rFonts w:hint="eastAsia"/>
          <w:kern w:val="0"/>
          <w:sz w:val="24"/>
        </w:rPr>
        <w:t>30kW</w:t>
      </w:r>
      <w:r>
        <w:rPr>
          <w:rFonts w:hint="eastAsia"/>
          <w:kern w:val="0"/>
          <w:sz w:val="24"/>
        </w:rPr>
        <w:t>。</w:t>
      </w:r>
    </w:p>
    <w:p w:rsidR="00EE4502" w:rsidRDefault="00FD45A3">
      <w:pPr>
        <w:spacing w:line="360" w:lineRule="auto"/>
        <w:ind w:firstLineChars="200" w:firstLine="480"/>
        <w:rPr>
          <w:kern w:val="0"/>
          <w:sz w:val="24"/>
        </w:rPr>
      </w:pPr>
      <w:r>
        <w:rPr>
          <w:rFonts w:hint="eastAsia"/>
          <w:kern w:val="0"/>
          <w:sz w:val="24"/>
        </w:rPr>
        <w:t>c.</w:t>
      </w:r>
      <w:r>
        <w:rPr>
          <w:rFonts w:hint="eastAsia"/>
          <w:kern w:val="0"/>
          <w:sz w:val="24"/>
        </w:rPr>
        <w:t>注水泵</w:t>
      </w:r>
    </w:p>
    <w:p w:rsidR="00EE4502" w:rsidRDefault="00FD45A3">
      <w:pPr>
        <w:spacing w:line="360" w:lineRule="auto"/>
        <w:ind w:firstLineChars="200" w:firstLine="480"/>
        <w:rPr>
          <w:kern w:val="0"/>
          <w:sz w:val="24"/>
        </w:rPr>
      </w:pPr>
      <w:r>
        <w:rPr>
          <w:rFonts w:hint="eastAsia"/>
          <w:kern w:val="0"/>
          <w:sz w:val="24"/>
        </w:rPr>
        <w:t>数量为</w:t>
      </w:r>
      <w:r>
        <w:rPr>
          <w:rFonts w:hint="eastAsia"/>
          <w:kern w:val="0"/>
          <w:sz w:val="24"/>
        </w:rPr>
        <w:t>2</w:t>
      </w:r>
      <w:r>
        <w:rPr>
          <w:rFonts w:hint="eastAsia"/>
          <w:kern w:val="0"/>
          <w:sz w:val="24"/>
        </w:rPr>
        <w:t>台；排量</w:t>
      </w:r>
      <w:r>
        <w:rPr>
          <w:rFonts w:hint="eastAsia"/>
          <w:kern w:val="0"/>
          <w:sz w:val="24"/>
        </w:rPr>
        <w:t>60m</w:t>
      </w:r>
      <w:r>
        <w:rPr>
          <w:rFonts w:hint="eastAsia"/>
          <w:kern w:val="0"/>
          <w:sz w:val="24"/>
          <w:vertAlign w:val="superscript"/>
        </w:rPr>
        <w:t>3</w:t>
      </w:r>
      <w:r>
        <w:rPr>
          <w:rFonts w:hint="eastAsia"/>
          <w:kern w:val="0"/>
          <w:sz w:val="24"/>
        </w:rPr>
        <w:t>/h</w:t>
      </w:r>
      <w:r>
        <w:rPr>
          <w:rFonts w:hint="eastAsia"/>
          <w:kern w:val="0"/>
          <w:sz w:val="24"/>
        </w:rPr>
        <w:t>；压力</w:t>
      </w:r>
      <w:r>
        <w:rPr>
          <w:rFonts w:hint="eastAsia"/>
          <w:kern w:val="0"/>
          <w:sz w:val="24"/>
        </w:rPr>
        <w:t>16MPa</w:t>
      </w:r>
      <w:r>
        <w:rPr>
          <w:rFonts w:hint="eastAsia"/>
          <w:kern w:val="0"/>
          <w:sz w:val="24"/>
        </w:rPr>
        <w:t>；功率</w:t>
      </w:r>
      <w:r>
        <w:rPr>
          <w:rFonts w:hint="eastAsia"/>
          <w:kern w:val="0"/>
          <w:sz w:val="24"/>
        </w:rPr>
        <w:t>355kW</w:t>
      </w:r>
      <w:r>
        <w:rPr>
          <w:rFonts w:hint="eastAsia"/>
          <w:kern w:val="0"/>
          <w:sz w:val="24"/>
        </w:rPr>
        <w:t>。</w:t>
      </w:r>
    </w:p>
    <w:p w:rsidR="00EE4502" w:rsidRDefault="00FD45A3">
      <w:pPr>
        <w:spacing w:line="360" w:lineRule="auto"/>
        <w:ind w:firstLineChars="200" w:firstLine="482"/>
        <w:rPr>
          <w:b/>
          <w:bCs/>
          <w:kern w:val="0"/>
          <w:sz w:val="24"/>
        </w:rPr>
      </w:pPr>
      <w:r>
        <w:rPr>
          <w:rFonts w:hint="eastAsia"/>
          <w:b/>
          <w:bCs/>
          <w:kern w:val="0"/>
          <w:sz w:val="24"/>
        </w:rPr>
        <w:t>2</w:t>
      </w:r>
      <w:r>
        <w:rPr>
          <w:rFonts w:hint="eastAsia"/>
          <w:b/>
          <w:bCs/>
          <w:kern w:val="0"/>
          <w:sz w:val="24"/>
        </w:rPr>
        <w:t>）平面布置</w:t>
      </w:r>
    </w:p>
    <w:p w:rsidR="00EE4502" w:rsidRDefault="00FD45A3">
      <w:pPr>
        <w:spacing w:line="360" w:lineRule="auto"/>
        <w:ind w:firstLineChars="200" w:firstLine="480"/>
        <w:rPr>
          <w:kern w:val="0"/>
          <w:sz w:val="24"/>
        </w:rPr>
      </w:pPr>
      <w:r>
        <w:rPr>
          <w:rFonts w:hint="eastAsia"/>
          <w:kern w:val="0"/>
          <w:sz w:val="24"/>
        </w:rPr>
        <w:t>排</w:t>
      </w:r>
      <w:r>
        <w:rPr>
          <w:rFonts w:hint="eastAsia"/>
          <w:kern w:val="0"/>
          <w:sz w:val="24"/>
        </w:rPr>
        <w:t>7</w:t>
      </w:r>
      <w:r>
        <w:rPr>
          <w:rFonts w:hint="eastAsia"/>
          <w:kern w:val="0"/>
          <w:sz w:val="24"/>
        </w:rPr>
        <w:t>注水站改造后平面布置见下图。</w:t>
      </w:r>
    </w:p>
    <w:p w:rsidR="00EE4502" w:rsidRDefault="00EE4502">
      <w:pPr>
        <w:spacing w:line="360" w:lineRule="auto"/>
        <w:jc w:val="center"/>
        <w:rPr>
          <w:kern w:val="0"/>
          <w:sz w:val="24"/>
        </w:rPr>
      </w:pPr>
    </w:p>
    <w:p w:rsidR="00EE4502" w:rsidRDefault="00FD45A3">
      <w:pPr>
        <w:spacing w:line="360" w:lineRule="auto"/>
        <w:jc w:val="center"/>
        <w:rPr>
          <w:rFonts w:ascii="黑体" w:eastAsia="黑体" w:hAnsi="黑体" w:cs="黑体"/>
          <w:kern w:val="0"/>
          <w:szCs w:val="21"/>
        </w:rPr>
      </w:pPr>
      <w:r>
        <w:rPr>
          <w:rFonts w:ascii="黑体" w:eastAsia="黑体" w:hAnsi="黑体" w:cs="黑体" w:hint="eastAsia"/>
          <w:kern w:val="0"/>
          <w:szCs w:val="21"/>
        </w:rPr>
        <w:t>图</w:t>
      </w:r>
      <w:r>
        <w:rPr>
          <w:rFonts w:ascii="黑体" w:eastAsia="黑体" w:hAnsi="黑体" w:cs="黑体" w:hint="eastAsia"/>
          <w:kern w:val="0"/>
          <w:szCs w:val="21"/>
        </w:rPr>
        <w:t xml:space="preserve">3-3-36 </w:t>
      </w:r>
      <w:r>
        <w:rPr>
          <w:rFonts w:ascii="黑体" w:eastAsia="黑体" w:hAnsi="黑体" w:cs="黑体" w:hint="eastAsia"/>
          <w:kern w:val="0"/>
          <w:szCs w:val="21"/>
        </w:rPr>
        <w:t>排</w:t>
      </w:r>
      <w:r>
        <w:rPr>
          <w:rFonts w:ascii="黑体" w:eastAsia="黑体" w:hAnsi="黑体" w:cs="黑体" w:hint="eastAsia"/>
          <w:kern w:val="0"/>
          <w:szCs w:val="21"/>
        </w:rPr>
        <w:t>7</w:t>
      </w:r>
      <w:r>
        <w:rPr>
          <w:rFonts w:ascii="黑体" w:eastAsia="黑体" w:hAnsi="黑体" w:cs="黑体" w:hint="eastAsia"/>
          <w:kern w:val="0"/>
          <w:szCs w:val="21"/>
        </w:rPr>
        <w:t>注水站改造后平面布置图</w:t>
      </w:r>
    </w:p>
    <w:p w:rsidR="00EE4502" w:rsidRDefault="00FD45A3">
      <w:pPr>
        <w:spacing w:line="360" w:lineRule="auto"/>
        <w:ind w:firstLineChars="200" w:firstLine="482"/>
        <w:rPr>
          <w:kern w:val="0"/>
          <w:sz w:val="24"/>
        </w:rPr>
      </w:pPr>
      <w:r>
        <w:rPr>
          <w:rFonts w:hint="eastAsia"/>
          <w:b/>
          <w:bCs/>
          <w:kern w:val="0"/>
          <w:sz w:val="24"/>
        </w:rPr>
        <w:t>（</w:t>
      </w:r>
      <w:r>
        <w:rPr>
          <w:rFonts w:hint="eastAsia"/>
          <w:b/>
          <w:bCs/>
          <w:kern w:val="0"/>
          <w:sz w:val="24"/>
        </w:rPr>
        <w:t>3</w:t>
      </w:r>
      <w:r>
        <w:rPr>
          <w:rFonts w:hint="eastAsia"/>
          <w:b/>
          <w:bCs/>
          <w:kern w:val="0"/>
          <w:sz w:val="24"/>
        </w:rPr>
        <w:t>）站场工程主要工程量</w:t>
      </w:r>
    </w:p>
    <w:p w:rsidR="00EE4502" w:rsidRDefault="00FD45A3">
      <w:pPr>
        <w:spacing w:line="360" w:lineRule="auto"/>
        <w:ind w:firstLineChars="200" w:firstLine="480"/>
        <w:rPr>
          <w:kern w:val="0"/>
          <w:sz w:val="24"/>
        </w:rPr>
      </w:pPr>
      <w:r>
        <w:rPr>
          <w:rFonts w:hint="eastAsia"/>
          <w:kern w:val="0"/>
          <w:sz w:val="24"/>
        </w:rPr>
        <w:lastRenderedPageBreak/>
        <w:t>站场工程主要工程量见下表：</w:t>
      </w:r>
    </w:p>
    <w:p w:rsidR="00EE4502" w:rsidRDefault="00FD45A3">
      <w:pPr>
        <w:spacing w:line="360" w:lineRule="auto"/>
        <w:jc w:val="center"/>
        <w:rPr>
          <w:rFonts w:eastAsia="黑体"/>
          <w:szCs w:val="21"/>
        </w:rPr>
      </w:pPr>
      <w:r>
        <w:rPr>
          <w:rFonts w:eastAsia="黑体" w:hint="eastAsia"/>
          <w:szCs w:val="21"/>
        </w:rPr>
        <w:t>表</w:t>
      </w:r>
      <w:r>
        <w:rPr>
          <w:rFonts w:eastAsia="黑体" w:hint="eastAsia"/>
          <w:szCs w:val="21"/>
        </w:rPr>
        <w:t xml:space="preserve">3-3-27  </w:t>
      </w:r>
      <w:r>
        <w:rPr>
          <w:rFonts w:eastAsia="黑体" w:hint="eastAsia"/>
          <w:szCs w:val="21"/>
        </w:rPr>
        <w:t>站场工程主要工程量统计表</w:t>
      </w:r>
    </w:p>
    <w:tbl>
      <w:tblPr>
        <w:tblW w:w="4998" w:type="pct"/>
        <w:tblCellMar>
          <w:left w:w="0" w:type="dxa"/>
          <w:right w:w="0" w:type="dxa"/>
        </w:tblCellMar>
        <w:tblLook w:val="04A0" w:firstRow="1" w:lastRow="0" w:firstColumn="1" w:lastColumn="0" w:noHBand="0" w:noVBand="1"/>
      </w:tblPr>
      <w:tblGrid>
        <w:gridCol w:w="574"/>
        <w:gridCol w:w="3168"/>
        <w:gridCol w:w="605"/>
        <w:gridCol w:w="809"/>
        <w:gridCol w:w="3171"/>
      </w:tblGrid>
      <w:tr w:rsidR="00EE4502">
        <w:trPr>
          <w:trHeight w:val="397"/>
          <w:tblHeader/>
        </w:trPr>
        <w:tc>
          <w:tcPr>
            <w:tcW w:w="345"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序号</w:t>
            </w:r>
          </w:p>
        </w:tc>
        <w:tc>
          <w:tcPr>
            <w:tcW w:w="1901"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工程内容</w:t>
            </w:r>
          </w:p>
        </w:tc>
        <w:tc>
          <w:tcPr>
            <w:tcW w:w="363"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单位</w:t>
            </w:r>
          </w:p>
        </w:tc>
        <w:tc>
          <w:tcPr>
            <w:tcW w:w="486"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数量</w:t>
            </w:r>
          </w:p>
        </w:tc>
        <w:tc>
          <w:tcPr>
            <w:tcW w:w="1903"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备注</w:t>
            </w:r>
          </w:p>
        </w:tc>
      </w:tr>
      <w:tr w:rsidR="00EE4502">
        <w:trPr>
          <w:trHeight w:val="397"/>
        </w:trPr>
        <w:tc>
          <w:tcPr>
            <w:tcW w:w="345"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一</w:t>
            </w:r>
          </w:p>
        </w:tc>
        <w:tc>
          <w:tcPr>
            <w:tcW w:w="1901"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1#</w:t>
            </w:r>
            <w:r>
              <w:rPr>
                <w:rFonts w:hint="eastAsia"/>
                <w:szCs w:val="21"/>
              </w:rPr>
              <w:t>增压站</w:t>
            </w:r>
            <w:r>
              <w:rPr>
                <w:rFonts w:hint="eastAsia"/>
                <w:szCs w:val="21"/>
              </w:rPr>
              <w:t>改造部分</w:t>
            </w:r>
          </w:p>
        </w:tc>
        <w:tc>
          <w:tcPr>
            <w:tcW w:w="363" w:type="pct"/>
            <w:tcBorders>
              <w:top w:val="single" w:sz="4" w:space="0" w:color="auto"/>
              <w:left w:val="single" w:sz="4" w:space="0" w:color="auto"/>
              <w:bottom w:val="single" w:sz="4" w:space="0" w:color="auto"/>
              <w:right w:val="single" w:sz="4" w:space="0" w:color="auto"/>
            </w:tcBorders>
            <w:noWrap/>
            <w:tcMar>
              <w:top w:w="12" w:type="dxa"/>
              <w:left w:w="12" w:type="dxa"/>
              <w:right w:w="12" w:type="dxa"/>
            </w:tcMar>
            <w:vAlign w:val="center"/>
          </w:tcPr>
          <w:p w:rsidR="00EE4502" w:rsidRDefault="00EE4502">
            <w:pPr>
              <w:widowControl/>
              <w:tabs>
                <w:tab w:val="left" w:pos="377"/>
              </w:tabs>
              <w:jc w:val="center"/>
              <w:rPr>
                <w:szCs w:val="21"/>
              </w:rPr>
            </w:pPr>
          </w:p>
        </w:tc>
        <w:tc>
          <w:tcPr>
            <w:tcW w:w="486" w:type="pct"/>
            <w:tcBorders>
              <w:top w:val="single" w:sz="4" w:space="0" w:color="auto"/>
              <w:left w:val="single" w:sz="4" w:space="0" w:color="auto"/>
              <w:bottom w:val="single" w:sz="4" w:space="0" w:color="auto"/>
              <w:right w:val="single" w:sz="4" w:space="0" w:color="auto"/>
            </w:tcBorders>
            <w:noWrap/>
            <w:tcMar>
              <w:top w:w="12" w:type="dxa"/>
              <w:left w:w="12" w:type="dxa"/>
              <w:right w:w="12" w:type="dxa"/>
            </w:tcMar>
            <w:vAlign w:val="center"/>
          </w:tcPr>
          <w:p w:rsidR="00EE4502" w:rsidRDefault="00EE4502">
            <w:pPr>
              <w:widowControl/>
              <w:tabs>
                <w:tab w:val="left" w:pos="377"/>
              </w:tabs>
              <w:jc w:val="center"/>
              <w:rPr>
                <w:szCs w:val="21"/>
              </w:rPr>
            </w:pPr>
          </w:p>
        </w:tc>
        <w:tc>
          <w:tcPr>
            <w:tcW w:w="1903" w:type="pct"/>
            <w:tcBorders>
              <w:top w:val="single" w:sz="4" w:space="0" w:color="auto"/>
              <w:left w:val="single" w:sz="4" w:space="0" w:color="auto"/>
              <w:bottom w:val="single" w:sz="4" w:space="0" w:color="auto"/>
              <w:right w:val="single" w:sz="4" w:space="0" w:color="auto"/>
            </w:tcBorders>
            <w:noWrap/>
            <w:tcMar>
              <w:top w:w="12" w:type="dxa"/>
              <w:left w:w="12" w:type="dxa"/>
              <w:right w:w="12" w:type="dxa"/>
            </w:tcMar>
            <w:vAlign w:val="center"/>
          </w:tcPr>
          <w:p w:rsidR="00EE4502" w:rsidRDefault="00EE4502">
            <w:pPr>
              <w:widowControl/>
              <w:tabs>
                <w:tab w:val="left" w:pos="377"/>
              </w:tabs>
              <w:jc w:val="center"/>
              <w:rPr>
                <w:szCs w:val="21"/>
              </w:rPr>
            </w:pPr>
          </w:p>
        </w:tc>
      </w:tr>
      <w:tr w:rsidR="00EE4502">
        <w:trPr>
          <w:trHeight w:val="397"/>
        </w:trPr>
        <w:tc>
          <w:tcPr>
            <w:tcW w:w="345"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1</w:t>
            </w:r>
          </w:p>
        </w:tc>
        <w:tc>
          <w:tcPr>
            <w:tcW w:w="1901"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left"/>
              <w:rPr>
                <w:szCs w:val="21"/>
              </w:rPr>
            </w:pPr>
            <w:r>
              <w:rPr>
                <w:rFonts w:hint="eastAsia"/>
                <w:szCs w:val="21"/>
              </w:rPr>
              <w:t>三相分离器</w:t>
            </w:r>
            <w:r>
              <w:rPr>
                <w:rFonts w:hint="eastAsia"/>
                <w:szCs w:val="21"/>
              </w:rPr>
              <w:t xml:space="preserve">\Pw0.6MPa  </w:t>
            </w:r>
            <w:r>
              <w:rPr>
                <w:rFonts w:hint="eastAsia"/>
                <w:szCs w:val="21"/>
              </w:rPr>
              <w:t>Φ</w:t>
            </w:r>
            <w:r>
              <w:rPr>
                <w:rFonts w:hint="eastAsia"/>
                <w:szCs w:val="21"/>
              </w:rPr>
              <w:t>3000</w:t>
            </w:r>
            <w:r>
              <w:rPr>
                <w:rFonts w:hint="eastAsia"/>
                <w:szCs w:val="21"/>
              </w:rPr>
              <w:t>×</w:t>
            </w:r>
            <w:r>
              <w:rPr>
                <w:rFonts w:hint="eastAsia"/>
                <w:szCs w:val="21"/>
              </w:rPr>
              <w:t>13102mm</w:t>
            </w:r>
          </w:p>
        </w:tc>
        <w:tc>
          <w:tcPr>
            <w:tcW w:w="363"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座</w:t>
            </w:r>
          </w:p>
        </w:tc>
        <w:tc>
          <w:tcPr>
            <w:tcW w:w="486"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1</w:t>
            </w:r>
          </w:p>
        </w:tc>
        <w:tc>
          <w:tcPr>
            <w:tcW w:w="1903" w:type="pct"/>
            <w:tcBorders>
              <w:top w:val="single" w:sz="4" w:space="0" w:color="auto"/>
              <w:left w:val="single" w:sz="4" w:space="0" w:color="auto"/>
              <w:bottom w:val="single" w:sz="4" w:space="0" w:color="auto"/>
              <w:right w:val="single" w:sz="4" w:space="0" w:color="auto"/>
            </w:tcBorders>
            <w:noWrap/>
            <w:tcMar>
              <w:top w:w="12" w:type="dxa"/>
              <w:left w:w="12" w:type="dxa"/>
              <w:right w:w="12" w:type="dxa"/>
            </w:tcMar>
            <w:vAlign w:val="center"/>
          </w:tcPr>
          <w:p w:rsidR="00EE4502" w:rsidRDefault="00EE4502">
            <w:pPr>
              <w:widowControl/>
              <w:tabs>
                <w:tab w:val="left" w:pos="377"/>
              </w:tabs>
              <w:jc w:val="center"/>
              <w:rPr>
                <w:szCs w:val="21"/>
              </w:rPr>
            </w:pPr>
          </w:p>
        </w:tc>
      </w:tr>
      <w:tr w:rsidR="00EE4502">
        <w:trPr>
          <w:trHeight w:val="397"/>
        </w:trPr>
        <w:tc>
          <w:tcPr>
            <w:tcW w:w="345"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2</w:t>
            </w:r>
          </w:p>
        </w:tc>
        <w:tc>
          <w:tcPr>
            <w:tcW w:w="1901"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left"/>
              <w:rPr>
                <w:szCs w:val="21"/>
              </w:rPr>
            </w:pPr>
            <w:r>
              <w:rPr>
                <w:rFonts w:hint="eastAsia"/>
                <w:szCs w:val="21"/>
              </w:rPr>
              <w:t>天然气分水器（Φ</w:t>
            </w:r>
            <w:r>
              <w:rPr>
                <w:rFonts w:hint="eastAsia"/>
                <w:szCs w:val="21"/>
              </w:rPr>
              <w:t>1200</w:t>
            </w:r>
            <w:r>
              <w:rPr>
                <w:rFonts w:hint="eastAsia"/>
                <w:szCs w:val="21"/>
              </w:rPr>
              <w:t xml:space="preserve">  H=5500</w:t>
            </w:r>
            <w:r>
              <w:rPr>
                <w:rFonts w:hint="eastAsia"/>
                <w:szCs w:val="21"/>
              </w:rPr>
              <w:t>）</w:t>
            </w:r>
          </w:p>
        </w:tc>
        <w:tc>
          <w:tcPr>
            <w:tcW w:w="363"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台</w:t>
            </w:r>
          </w:p>
        </w:tc>
        <w:tc>
          <w:tcPr>
            <w:tcW w:w="486"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1</w:t>
            </w:r>
          </w:p>
        </w:tc>
        <w:tc>
          <w:tcPr>
            <w:tcW w:w="1903" w:type="pct"/>
            <w:tcBorders>
              <w:top w:val="single" w:sz="4" w:space="0" w:color="auto"/>
              <w:left w:val="single" w:sz="4" w:space="0" w:color="auto"/>
              <w:bottom w:val="single" w:sz="4" w:space="0" w:color="auto"/>
              <w:right w:val="single" w:sz="4" w:space="0" w:color="auto"/>
            </w:tcBorders>
            <w:noWrap/>
            <w:tcMar>
              <w:top w:w="12" w:type="dxa"/>
              <w:left w:w="12" w:type="dxa"/>
              <w:right w:w="12" w:type="dxa"/>
            </w:tcMar>
            <w:vAlign w:val="center"/>
          </w:tcPr>
          <w:p w:rsidR="00EE4502" w:rsidRDefault="00EE4502">
            <w:pPr>
              <w:widowControl/>
              <w:tabs>
                <w:tab w:val="left" w:pos="377"/>
              </w:tabs>
              <w:jc w:val="center"/>
              <w:rPr>
                <w:szCs w:val="21"/>
              </w:rPr>
            </w:pPr>
          </w:p>
        </w:tc>
      </w:tr>
      <w:tr w:rsidR="00EE4502">
        <w:trPr>
          <w:trHeight w:val="397"/>
        </w:trPr>
        <w:tc>
          <w:tcPr>
            <w:tcW w:w="345"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3</w:t>
            </w:r>
          </w:p>
        </w:tc>
        <w:tc>
          <w:tcPr>
            <w:tcW w:w="1901"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left"/>
              <w:rPr>
                <w:szCs w:val="21"/>
              </w:rPr>
            </w:pPr>
            <w:r>
              <w:rPr>
                <w:rFonts w:hint="eastAsia"/>
                <w:szCs w:val="21"/>
              </w:rPr>
              <w:t>防爆型冷冻式干燥机橇</w:t>
            </w:r>
          </w:p>
          <w:p w:rsidR="00EE4502" w:rsidRDefault="00FD45A3">
            <w:pPr>
              <w:widowControl/>
              <w:tabs>
                <w:tab w:val="left" w:pos="377"/>
              </w:tabs>
              <w:jc w:val="left"/>
              <w:rPr>
                <w:szCs w:val="21"/>
              </w:rPr>
            </w:pPr>
            <w:r>
              <w:rPr>
                <w:rFonts w:hint="eastAsia"/>
                <w:szCs w:val="21"/>
              </w:rPr>
              <w:t>1.0</w:t>
            </w:r>
            <w:r>
              <w:rPr>
                <w:rFonts w:hint="eastAsia"/>
                <w:szCs w:val="21"/>
              </w:rPr>
              <w:t>×</w:t>
            </w:r>
            <w:r>
              <w:rPr>
                <w:rFonts w:hint="eastAsia"/>
                <w:szCs w:val="21"/>
              </w:rPr>
              <w:t>10Nm</w:t>
            </w:r>
            <w:r>
              <w:rPr>
                <w:rFonts w:hint="eastAsia"/>
                <w:szCs w:val="21"/>
                <w:vertAlign w:val="superscript"/>
              </w:rPr>
              <w:t>3</w:t>
            </w:r>
            <w:r>
              <w:rPr>
                <w:rFonts w:hint="eastAsia"/>
                <w:szCs w:val="21"/>
              </w:rPr>
              <w:t>/d</w:t>
            </w:r>
          </w:p>
        </w:tc>
        <w:tc>
          <w:tcPr>
            <w:tcW w:w="363"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台</w:t>
            </w:r>
          </w:p>
        </w:tc>
        <w:tc>
          <w:tcPr>
            <w:tcW w:w="486"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1</w:t>
            </w:r>
          </w:p>
        </w:tc>
        <w:tc>
          <w:tcPr>
            <w:tcW w:w="1903" w:type="pct"/>
            <w:tcBorders>
              <w:top w:val="single" w:sz="4" w:space="0" w:color="auto"/>
              <w:left w:val="single" w:sz="4" w:space="0" w:color="auto"/>
              <w:bottom w:val="single" w:sz="4" w:space="0" w:color="auto"/>
              <w:right w:val="single" w:sz="4" w:space="0" w:color="auto"/>
            </w:tcBorders>
            <w:noWrap/>
            <w:tcMar>
              <w:top w:w="12" w:type="dxa"/>
              <w:left w:w="12" w:type="dxa"/>
              <w:right w:w="12" w:type="dxa"/>
            </w:tcMar>
            <w:vAlign w:val="center"/>
          </w:tcPr>
          <w:p w:rsidR="00EE4502" w:rsidRDefault="00EE4502">
            <w:pPr>
              <w:widowControl/>
              <w:tabs>
                <w:tab w:val="left" w:pos="377"/>
              </w:tabs>
              <w:jc w:val="center"/>
              <w:rPr>
                <w:szCs w:val="21"/>
              </w:rPr>
            </w:pPr>
          </w:p>
        </w:tc>
      </w:tr>
      <w:tr w:rsidR="00EE4502">
        <w:trPr>
          <w:trHeight w:val="397"/>
        </w:trPr>
        <w:tc>
          <w:tcPr>
            <w:tcW w:w="345"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4</w:t>
            </w:r>
          </w:p>
        </w:tc>
        <w:tc>
          <w:tcPr>
            <w:tcW w:w="1901"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left"/>
              <w:rPr>
                <w:szCs w:val="21"/>
              </w:rPr>
            </w:pPr>
            <w:r>
              <w:rPr>
                <w:rFonts w:hint="eastAsia"/>
                <w:szCs w:val="21"/>
              </w:rPr>
              <w:t>天然气管线</w:t>
            </w:r>
            <w:r>
              <w:rPr>
                <w:rFonts w:hint="eastAsia"/>
                <w:szCs w:val="21"/>
              </w:rPr>
              <w:t xml:space="preserve"> </w:t>
            </w:r>
            <w:r>
              <w:rPr>
                <w:rFonts w:hint="eastAsia"/>
                <w:szCs w:val="21"/>
              </w:rPr>
              <w:t xml:space="preserve"> </w:t>
            </w:r>
            <w:r>
              <w:rPr>
                <w:rFonts w:hint="eastAsia"/>
                <w:szCs w:val="21"/>
              </w:rPr>
              <w:t>Φ</w:t>
            </w:r>
            <w:r>
              <w:rPr>
                <w:rFonts w:hint="eastAsia"/>
                <w:szCs w:val="21"/>
              </w:rPr>
              <w:t>114</w:t>
            </w:r>
            <w:r>
              <w:rPr>
                <w:rFonts w:hint="eastAsia"/>
                <w:szCs w:val="21"/>
              </w:rPr>
              <w:t>×</w:t>
            </w:r>
            <w:r>
              <w:rPr>
                <w:rFonts w:hint="eastAsia"/>
                <w:szCs w:val="21"/>
              </w:rPr>
              <w:t>5</w:t>
            </w:r>
            <w:r>
              <w:rPr>
                <w:rFonts w:hint="eastAsia"/>
                <w:szCs w:val="21"/>
              </w:rPr>
              <w:t xml:space="preserve"> </w:t>
            </w:r>
            <w:r>
              <w:rPr>
                <w:rFonts w:hint="eastAsia"/>
                <w:szCs w:val="21"/>
              </w:rPr>
              <w:t xml:space="preserve">20 </w:t>
            </w:r>
            <w:r>
              <w:rPr>
                <w:rFonts w:hint="eastAsia"/>
                <w:szCs w:val="21"/>
              </w:rPr>
              <w:t>无缝钢管</w:t>
            </w:r>
          </w:p>
        </w:tc>
        <w:tc>
          <w:tcPr>
            <w:tcW w:w="363"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km</w:t>
            </w:r>
          </w:p>
        </w:tc>
        <w:tc>
          <w:tcPr>
            <w:tcW w:w="486"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1.2</w:t>
            </w:r>
          </w:p>
        </w:tc>
        <w:tc>
          <w:tcPr>
            <w:tcW w:w="1903"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3PE</w:t>
            </w:r>
            <w:r>
              <w:rPr>
                <w:rFonts w:hint="eastAsia"/>
                <w:szCs w:val="21"/>
              </w:rPr>
              <w:t>外防</w:t>
            </w:r>
          </w:p>
        </w:tc>
      </w:tr>
      <w:tr w:rsidR="00EE4502">
        <w:trPr>
          <w:trHeight w:val="397"/>
        </w:trPr>
        <w:tc>
          <w:tcPr>
            <w:tcW w:w="345"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5</w:t>
            </w:r>
          </w:p>
        </w:tc>
        <w:tc>
          <w:tcPr>
            <w:tcW w:w="1901"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left"/>
              <w:rPr>
                <w:szCs w:val="21"/>
              </w:rPr>
            </w:pPr>
            <w:r>
              <w:rPr>
                <w:rFonts w:hint="eastAsia"/>
                <w:szCs w:val="21"/>
              </w:rPr>
              <w:t>离心泵</w:t>
            </w:r>
            <w:r>
              <w:rPr>
                <w:rFonts w:hint="eastAsia"/>
                <w:szCs w:val="21"/>
              </w:rPr>
              <w:t xml:space="preserve"> Q=20</w:t>
            </w:r>
            <w:r>
              <w:rPr>
                <w:rFonts w:hint="eastAsia"/>
                <w:szCs w:val="21"/>
              </w:rPr>
              <w:t>～</w:t>
            </w:r>
            <w:r>
              <w:rPr>
                <w:rFonts w:hint="eastAsia"/>
                <w:szCs w:val="21"/>
              </w:rPr>
              <w:t>30m</w:t>
            </w:r>
            <w:r>
              <w:rPr>
                <w:rFonts w:hint="eastAsia"/>
                <w:szCs w:val="21"/>
                <w:vertAlign w:val="superscript"/>
              </w:rPr>
              <w:t>3</w:t>
            </w:r>
            <w:r>
              <w:rPr>
                <w:rFonts w:hint="eastAsia"/>
                <w:szCs w:val="21"/>
              </w:rPr>
              <w:t>/h    H=250m</w:t>
            </w:r>
          </w:p>
        </w:tc>
        <w:tc>
          <w:tcPr>
            <w:tcW w:w="363"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台</w:t>
            </w:r>
          </w:p>
        </w:tc>
        <w:tc>
          <w:tcPr>
            <w:tcW w:w="486"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2</w:t>
            </w:r>
          </w:p>
        </w:tc>
        <w:tc>
          <w:tcPr>
            <w:tcW w:w="1903"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1</w:t>
            </w:r>
            <w:r>
              <w:rPr>
                <w:rFonts w:hint="eastAsia"/>
                <w:szCs w:val="21"/>
              </w:rPr>
              <w:t>用</w:t>
            </w:r>
            <w:r>
              <w:rPr>
                <w:rFonts w:hint="eastAsia"/>
                <w:szCs w:val="21"/>
              </w:rPr>
              <w:t>1</w:t>
            </w:r>
            <w:r>
              <w:rPr>
                <w:rFonts w:hint="eastAsia"/>
                <w:szCs w:val="21"/>
              </w:rPr>
              <w:t>备</w:t>
            </w:r>
          </w:p>
        </w:tc>
      </w:tr>
      <w:tr w:rsidR="00EE4502">
        <w:trPr>
          <w:trHeight w:val="397"/>
        </w:trPr>
        <w:tc>
          <w:tcPr>
            <w:tcW w:w="345"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6</w:t>
            </w:r>
          </w:p>
        </w:tc>
        <w:tc>
          <w:tcPr>
            <w:tcW w:w="1901"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left"/>
              <w:rPr>
                <w:szCs w:val="21"/>
              </w:rPr>
            </w:pPr>
            <w:r>
              <w:rPr>
                <w:rFonts w:hint="eastAsia"/>
                <w:szCs w:val="21"/>
              </w:rPr>
              <w:t>站内流程管网改造</w:t>
            </w:r>
          </w:p>
        </w:tc>
        <w:tc>
          <w:tcPr>
            <w:tcW w:w="363"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项</w:t>
            </w:r>
          </w:p>
        </w:tc>
        <w:tc>
          <w:tcPr>
            <w:tcW w:w="486"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1</w:t>
            </w:r>
          </w:p>
        </w:tc>
        <w:tc>
          <w:tcPr>
            <w:tcW w:w="1903" w:type="pct"/>
            <w:tcBorders>
              <w:top w:val="single" w:sz="4" w:space="0" w:color="auto"/>
              <w:left w:val="single" w:sz="4" w:space="0" w:color="auto"/>
              <w:bottom w:val="single" w:sz="4" w:space="0" w:color="auto"/>
              <w:right w:val="single" w:sz="4" w:space="0" w:color="auto"/>
            </w:tcBorders>
            <w:noWrap/>
            <w:tcMar>
              <w:top w:w="12" w:type="dxa"/>
              <w:left w:w="12" w:type="dxa"/>
              <w:right w:w="12" w:type="dxa"/>
            </w:tcMar>
            <w:vAlign w:val="center"/>
          </w:tcPr>
          <w:p w:rsidR="00EE4502" w:rsidRDefault="00EE4502">
            <w:pPr>
              <w:widowControl/>
              <w:tabs>
                <w:tab w:val="left" w:pos="377"/>
              </w:tabs>
              <w:jc w:val="center"/>
              <w:rPr>
                <w:szCs w:val="21"/>
              </w:rPr>
            </w:pPr>
          </w:p>
        </w:tc>
      </w:tr>
      <w:tr w:rsidR="00EE4502">
        <w:trPr>
          <w:trHeight w:val="397"/>
        </w:trPr>
        <w:tc>
          <w:tcPr>
            <w:tcW w:w="345"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二</w:t>
            </w:r>
          </w:p>
        </w:tc>
        <w:tc>
          <w:tcPr>
            <w:tcW w:w="1901"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left"/>
              <w:rPr>
                <w:szCs w:val="21"/>
              </w:rPr>
            </w:pPr>
            <w:r>
              <w:rPr>
                <w:rFonts w:hint="eastAsia"/>
                <w:szCs w:val="21"/>
              </w:rPr>
              <w:t>排</w:t>
            </w:r>
            <w:r>
              <w:rPr>
                <w:rFonts w:hint="eastAsia"/>
                <w:szCs w:val="21"/>
              </w:rPr>
              <w:t>7</w:t>
            </w:r>
            <w:r>
              <w:rPr>
                <w:rFonts w:hint="eastAsia"/>
                <w:szCs w:val="21"/>
              </w:rPr>
              <w:t>注水站</w:t>
            </w:r>
            <w:r>
              <w:rPr>
                <w:rFonts w:hint="eastAsia"/>
                <w:szCs w:val="21"/>
              </w:rPr>
              <w:t>改造</w:t>
            </w:r>
          </w:p>
        </w:tc>
        <w:tc>
          <w:tcPr>
            <w:tcW w:w="363"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EE4502">
            <w:pPr>
              <w:widowControl/>
              <w:tabs>
                <w:tab w:val="left" w:pos="377"/>
              </w:tabs>
              <w:jc w:val="center"/>
              <w:rPr>
                <w:szCs w:val="21"/>
              </w:rPr>
            </w:pPr>
          </w:p>
        </w:tc>
        <w:tc>
          <w:tcPr>
            <w:tcW w:w="486" w:type="pct"/>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EE4502">
            <w:pPr>
              <w:widowControl/>
              <w:tabs>
                <w:tab w:val="left" w:pos="377"/>
              </w:tabs>
              <w:jc w:val="center"/>
              <w:rPr>
                <w:szCs w:val="21"/>
              </w:rPr>
            </w:pPr>
          </w:p>
        </w:tc>
        <w:tc>
          <w:tcPr>
            <w:tcW w:w="1903" w:type="pct"/>
            <w:tcBorders>
              <w:top w:val="single" w:sz="4" w:space="0" w:color="auto"/>
              <w:left w:val="single" w:sz="4" w:space="0" w:color="auto"/>
              <w:bottom w:val="single" w:sz="4" w:space="0" w:color="auto"/>
              <w:right w:val="single" w:sz="4" w:space="0" w:color="auto"/>
            </w:tcBorders>
            <w:noWrap/>
            <w:tcMar>
              <w:top w:w="12" w:type="dxa"/>
              <w:left w:w="12" w:type="dxa"/>
              <w:right w:w="12" w:type="dxa"/>
            </w:tcMar>
            <w:vAlign w:val="center"/>
          </w:tcPr>
          <w:p w:rsidR="00EE4502" w:rsidRDefault="00EE4502">
            <w:pPr>
              <w:widowControl/>
              <w:tabs>
                <w:tab w:val="left" w:pos="377"/>
              </w:tabs>
              <w:jc w:val="center"/>
              <w:rPr>
                <w:szCs w:val="21"/>
              </w:rPr>
            </w:pPr>
          </w:p>
        </w:tc>
      </w:tr>
      <w:tr w:rsidR="00EE4502">
        <w:trPr>
          <w:trHeight w:val="397"/>
        </w:trPr>
        <w:tc>
          <w:tcPr>
            <w:tcW w:w="575" w:type="dxa"/>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1</w:t>
            </w:r>
          </w:p>
        </w:tc>
        <w:tc>
          <w:tcPr>
            <w:tcW w:w="3167" w:type="dxa"/>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left"/>
              <w:rPr>
                <w:szCs w:val="21"/>
              </w:rPr>
            </w:pPr>
            <w:r>
              <w:rPr>
                <w:rFonts w:hint="eastAsia"/>
                <w:szCs w:val="21"/>
              </w:rPr>
              <w:t>注水泵</w:t>
            </w:r>
            <w:r>
              <w:rPr>
                <w:rFonts w:hint="eastAsia"/>
                <w:szCs w:val="21"/>
              </w:rPr>
              <w:t>Q=60m</w:t>
            </w:r>
            <w:r>
              <w:rPr>
                <w:rFonts w:hint="eastAsia"/>
                <w:szCs w:val="21"/>
                <w:vertAlign w:val="superscript"/>
              </w:rPr>
              <w:t>3</w:t>
            </w:r>
            <w:r>
              <w:rPr>
                <w:rFonts w:hint="eastAsia"/>
                <w:szCs w:val="21"/>
              </w:rPr>
              <w:t>/h</w:t>
            </w:r>
            <w:r>
              <w:rPr>
                <w:rFonts w:hint="eastAsia"/>
                <w:szCs w:val="21"/>
              </w:rPr>
              <w:t>、</w:t>
            </w:r>
            <w:r>
              <w:rPr>
                <w:rFonts w:hint="eastAsia"/>
                <w:szCs w:val="21"/>
              </w:rPr>
              <w:t>P=16MPa</w:t>
            </w:r>
            <w:r>
              <w:rPr>
                <w:rFonts w:hint="eastAsia"/>
                <w:szCs w:val="21"/>
              </w:rPr>
              <w:t>、</w:t>
            </w:r>
            <w:r>
              <w:rPr>
                <w:rFonts w:hint="eastAsia"/>
                <w:szCs w:val="21"/>
              </w:rPr>
              <w:t>N=355kW</w:t>
            </w:r>
          </w:p>
        </w:tc>
        <w:tc>
          <w:tcPr>
            <w:tcW w:w="605" w:type="dxa"/>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台</w:t>
            </w:r>
          </w:p>
        </w:tc>
        <w:tc>
          <w:tcPr>
            <w:tcW w:w="810" w:type="dxa"/>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2</w:t>
            </w:r>
          </w:p>
        </w:tc>
        <w:tc>
          <w:tcPr>
            <w:tcW w:w="3170" w:type="dxa"/>
            <w:tcBorders>
              <w:top w:val="single" w:sz="4" w:space="0" w:color="auto"/>
              <w:left w:val="single" w:sz="4" w:space="0" w:color="auto"/>
              <w:bottom w:val="single" w:sz="4" w:space="0" w:color="auto"/>
              <w:right w:val="single" w:sz="4" w:space="0" w:color="auto"/>
            </w:tcBorders>
            <w:noWrap/>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原位置更换，拆除已建</w:t>
            </w:r>
            <w:r>
              <w:rPr>
                <w:rFonts w:hint="eastAsia"/>
                <w:szCs w:val="21"/>
              </w:rPr>
              <w:t>2</w:t>
            </w:r>
            <w:r>
              <w:rPr>
                <w:rFonts w:hint="eastAsia"/>
                <w:szCs w:val="21"/>
              </w:rPr>
              <w:t>台注水泵</w:t>
            </w:r>
          </w:p>
        </w:tc>
      </w:tr>
      <w:tr w:rsidR="00EE4502">
        <w:trPr>
          <w:trHeight w:val="397"/>
        </w:trPr>
        <w:tc>
          <w:tcPr>
            <w:tcW w:w="575" w:type="dxa"/>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2</w:t>
            </w:r>
          </w:p>
        </w:tc>
        <w:tc>
          <w:tcPr>
            <w:tcW w:w="3167" w:type="dxa"/>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left"/>
              <w:rPr>
                <w:szCs w:val="21"/>
              </w:rPr>
            </w:pPr>
            <w:r>
              <w:rPr>
                <w:rFonts w:hint="eastAsia"/>
                <w:szCs w:val="21"/>
              </w:rPr>
              <w:t>喂水泵</w:t>
            </w:r>
            <w:r>
              <w:rPr>
                <w:rFonts w:hint="eastAsia"/>
                <w:szCs w:val="21"/>
              </w:rPr>
              <w:t>Q=160m</w:t>
            </w:r>
            <w:r>
              <w:rPr>
                <w:rFonts w:hint="eastAsia"/>
                <w:szCs w:val="21"/>
                <w:vertAlign w:val="superscript"/>
              </w:rPr>
              <w:t>3</w:t>
            </w:r>
            <w:r>
              <w:rPr>
                <w:rFonts w:hint="eastAsia"/>
                <w:szCs w:val="21"/>
              </w:rPr>
              <w:t>/h</w:t>
            </w:r>
            <w:r>
              <w:rPr>
                <w:rFonts w:hint="eastAsia"/>
                <w:szCs w:val="21"/>
              </w:rPr>
              <w:t>、</w:t>
            </w:r>
            <w:r>
              <w:rPr>
                <w:rFonts w:hint="eastAsia"/>
                <w:szCs w:val="21"/>
              </w:rPr>
              <w:t>H=30m</w:t>
            </w:r>
            <w:r>
              <w:rPr>
                <w:rFonts w:hint="eastAsia"/>
                <w:szCs w:val="21"/>
              </w:rPr>
              <w:t>、</w:t>
            </w:r>
            <w:r>
              <w:rPr>
                <w:rFonts w:hint="eastAsia"/>
                <w:szCs w:val="21"/>
              </w:rPr>
              <w:t>N=30kW</w:t>
            </w:r>
          </w:p>
        </w:tc>
        <w:tc>
          <w:tcPr>
            <w:tcW w:w="605" w:type="dxa"/>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台</w:t>
            </w:r>
          </w:p>
        </w:tc>
        <w:tc>
          <w:tcPr>
            <w:tcW w:w="810" w:type="dxa"/>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3</w:t>
            </w:r>
          </w:p>
        </w:tc>
        <w:tc>
          <w:tcPr>
            <w:tcW w:w="3170" w:type="dxa"/>
            <w:tcBorders>
              <w:top w:val="single" w:sz="4" w:space="0" w:color="auto"/>
              <w:left w:val="single" w:sz="4" w:space="0" w:color="auto"/>
              <w:bottom w:val="single" w:sz="4" w:space="0" w:color="auto"/>
              <w:right w:val="single" w:sz="4" w:space="0" w:color="auto"/>
            </w:tcBorders>
            <w:noWrap/>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2</w:t>
            </w:r>
            <w:r>
              <w:rPr>
                <w:rFonts w:hint="eastAsia"/>
                <w:szCs w:val="21"/>
              </w:rPr>
              <w:t>用</w:t>
            </w:r>
            <w:r>
              <w:rPr>
                <w:rFonts w:hint="eastAsia"/>
                <w:szCs w:val="21"/>
              </w:rPr>
              <w:t>1</w:t>
            </w:r>
            <w:r>
              <w:rPr>
                <w:rFonts w:hint="eastAsia"/>
                <w:szCs w:val="21"/>
              </w:rPr>
              <w:t>备</w:t>
            </w:r>
          </w:p>
        </w:tc>
      </w:tr>
      <w:tr w:rsidR="00EE4502">
        <w:trPr>
          <w:trHeight w:val="397"/>
        </w:trPr>
        <w:tc>
          <w:tcPr>
            <w:tcW w:w="575" w:type="dxa"/>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3</w:t>
            </w:r>
          </w:p>
        </w:tc>
        <w:tc>
          <w:tcPr>
            <w:tcW w:w="3167" w:type="dxa"/>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left"/>
              <w:rPr>
                <w:szCs w:val="21"/>
              </w:rPr>
            </w:pPr>
            <w:r>
              <w:rPr>
                <w:rFonts w:hint="eastAsia"/>
                <w:szCs w:val="21"/>
              </w:rPr>
              <w:t>500m</w:t>
            </w:r>
            <w:r>
              <w:rPr>
                <w:rFonts w:hint="eastAsia"/>
                <w:szCs w:val="21"/>
                <w:vertAlign w:val="superscript"/>
              </w:rPr>
              <w:t>3</w:t>
            </w:r>
            <w:r>
              <w:rPr>
                <w:rFonts w:hint="eastAsia"/>
                <w:szCs w:val="21"/>
              </w:rPr>
              <w:t>缓冲罐</w:t>
            </w:r>
            <w:r>
              <w:rPr>
                <w:rFonts w:hint="eastAsia"/>
                <w:szCs w:val="21"/>
              </w:rPr>
              <w:t xml:space="preserve">  </w:t>
            </w:r>
            <w:r>
              <w:rPr>
                <w:rFonts w:hint="eastAsia"/>
                <w:szCs w:val="21"/>
              </w:rPr>
              <w:t>Φ</w:t>
            </w:r>
            <w:r>
              <w:rPr>
                <w:rFonts w:hint="eastAsia"/>
                <w:szCs w:val="21"/>
              </w:rPr>
              <w:t>8.92m  H=8.938m</w:t>
            </w:r>
          </w:p>
        </w:tc>
        <w:tc>
          <w:tcPr>
            <w:tcW w:w="605" w:type="dxa"/>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座</w:t>
            </w:r>
          </w:p>
        </w:tc>
        <w:tc>
          <w:tcPr>
            <w:tcW w:w="810" w:type="dxa"/>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1</w:t>
            </w:r>
          </w:p>
        </w:tc>
        <w:tc>
          <w:tcPr>
            <w:tcW w:w="3170" w:type="dxa"/>
            <w:tcBorders>
              <w:top w:val="single" w:sz="4" w:space="0" w:color="auto"/>
              <w:left w:val="single" w:sz="4" w:space="0" w:color="auto"/>
              <w:bottom w:val="single" w:sz="4" w:space="0" w:color="auto"/>
              <w:right w:val="single" w:sz="4" w:space="0" w:color="auto"/>
            </w:tcBorders>
            <w:noWrap/>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钢罐、玻璃钢内胆</w:t>
            </w:r>
          </w:p>
        </w:tc>
      </w:tr>
      <w:tr w:rsidR="00EE4502">
        <w:trPr>
          <w:trHeight w:val="397"/>
        </w:trPr>
        <w:tc>
          <w:tcPr>
            <w:tcW w:w="575" w:type="dxa"/>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4</w:t>
            </w:r>
          </w:p>
        </w:tc>
        <w:tc>
          <w:tcPr>
            <w:tcW w:w="3167" w:type="dxa"/>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left"/>
              <w:rPr>
                <w:szCs w:val="21"/>
              </w:rPr>
            </w:pPr>
            <w:r>
              <w:rPr>
                <w:rFonts w:hint="eastAsia"/>
                <w:szCs w:val="21"/>
              </w:rPr>
              <w:t>提升泵房</w:t>
            </w:r>
            <w:r>
              <w:rPr>
                <w:rFonts w:hint="eastAsia"/>
                <w:szCs w:val="21"/>
              </w:rPr>
              <w:t xml:space="preserve">  13.5m</w:t>
            </w:r>
            <w:r>
              <w:rPr>
                <w:rFonts w:hint="eastAsia"/>
                <w:szCs w:val="21"/>
              </w:rPr>
              <w:t>×</w:t>
            </w:r>
            <w:r>
              <w:rPr>
                <w:rFonts w:hint="eastAsia"/>
                <w:szCs w:val="21"/>
              </w:rPr>
              <w:t>10.2m</w:t>
            </w:r>
            <w:r>
              <w:rPr>
                <w:rFonts w:hint="eastAsia"/>
                <w:szCs w:val="21"/>
              </w:rPr>
              <w:t>×</w:t>
            </w:r>
            <w:r>
              <w:rPr>
                <w:rFonts w:hint="eastAsia"/>
                <w:szCs w:val="21"/>
              </w:rPr>
              <w:t>4.2m</w:t>
            </w:r>
          </w:p>
        </w:tc>
        <w:tc>
          <w:tcPr>
            <w:tcW w:w="605" w:type="dxa"/>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座</w:t>
            </w:r>
          </w:p>
        </w:tc>
        <w:tc>
          <w:tcPr>
            <w:tcW w:w="810" w:type="dxa"/>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1</w:t>
            </w:r>
          </w:p>
        </w:tc>
        <w:tc>
          <w:tcPr>
            <w:tcW w:w="3170" w:type="dxa"/>
            <w:tcBorders>
              <w:top w:val="single" w:sz="4" w:space="0" w:color="auto"/>
              <w:left w:val="single" w:sz="4" w:space="0" w:color="auto"/>
              <w:bottom w:val="single" w:sz="4" w:space="0" w:color="auto"/>
              <w:right w:val="single" w:sz="4" w:space="0" w:color="auto"/>
            </w:tcBorders>
            <w:noWrap/>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彩钢板房</w:t>
            </w:r>
          </w:p>
        </w:tc>
      </w:tr>
      <w:tr w:rsidR="00EE4502">
        <w:trPr>
          <w:trHeight w:val="397"/>
        </w:trPr>
        <w:tc>
          <w:tcPr>
            <w:tcW w:w="575" w:type="dxa"/>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5</w:t>
            </w:r>
          </w:p>
        </w:tc>
        <w:tc>
          <w:tcPr>
            <w:tcW w:w="3167" w:type="dxa"/>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left"/>
              <w:rPr>
                <w:szCs w:val="21"/>
              </w:rPr>
            </w:pPr>
            <w:r>
              <w:rPr>
                <w:rFonts w:hint="eastAsia"/>
                <w:szCs w:val="21"/>
              </w:rPr>
              <w:t>配电室</w:t>
            </w:r>
            <w:r>
              <w:rPr>
                <w:rFonts w:hint="eastAsia"/>
                <w:szCs w:val="21"/>
              </w:rPr>
              <w:t xml:space="preserve">      3.6m</w:t>
            </w:r>
            <w:r>
              <w:rPr>
                <w:rFonts w:hint="eastAsia"/>
                <w:szCs w:val="21"/>
              </w:rPr>
              <w:t>×</w:t>
            </w:r>
            <w:r>
              <w:rPr>
                <w:rFonts w:hint="eastAsia"/>
                <w:szCs w:val="21"/>
              </w:rPr>
              <w:t>10.2m</w:t>
            </w:r>
            <w:r>
              <w:rPr>
                <w:rFonts w:hint="eastAsia"/>
                <w:szCs w:val="21"/>
              </w:rPr>
              <w:t>×</w:t>
            </w:r>
            <w:r>
              <w:rPr>
                <w:rFonts w:hint="eastAsia"/>
                <w:szCs w:val="21"/>
              </w:rPr>
              <w:t>4.2m</w:t>
            </w:r>
          </w:p>
        </w:tc>
        <w:tc>
          <w:tcPr>
            <w:tcW w:w="605" w:type="dxa"/>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座</w:t>
            </w:r>
          </w:p>
        </w:tc>
        <w:tc>
          <w:tcPr>
            <w:tcW w:w="810" w:type="dxa"/>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1</w:t>
            </w:r>
          </w:p>
        </w:tc>
        <w:tc>
          <w:tcPr>
            <w:tcW w:w="3170" w:type="dxa"/>
            <w:tcBorders>
              <w:top w:val="single" w:sz="4" w:space="0" w:color="auto"/>
              <w:left w:val="single" w:sz="4" w:space="0" w:color="auto"/>
              <w:bottom w:val="single" w:sz="4" w:space="0" w:color="auto"/>
              <w:right w:val="single" w:sz="4" w:space="0" w:color="auto"/>
            </w:tcBorders>
            <w:noWrap/>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彩钢板房</w:t>
            </w:r>
          </w:p>
        </w:tc>
      </w:tr>
      <w:tr w:rsidR="00EE4502">
        <w:trPr>
          <w:trHeight w:val="397"/>
        </w:trPr>
        <w:tc>
          <w:tcPr>
            <w:tcW w:w="575" w:type="dxa"/>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6</w:t>
            </w:r>
          </w:p>
        </w:tc>
        <w:tc>
          <w:tcPr>
            <w:tcW w:w="3167" w:type="dxa"/>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left"/>
              <w:rPr>
                <w:szCs w:val="21"/>
              </w:rPr>
            </w:pPr>
            <w:r>
              <w:rPr>
                <w:rFonts w:hint="eastAsia"/>
                <w:szCs w:val="21"/>
              </w:rPr>
              <w:t>免水冲厕所</w:t>
            </w:r>
          </w:p>
        </w:tc>
        <w:tc>
          <w:tcPr>
            <w:tcW w:w="605" w:type="dxa"/>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座</w:t>
            </w:r>
          </w:p>
        </w:tc>
        <w:tc>
          <w:tcPr>
            <w:tcW w:w="810" w:type="dxa"/>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1</w:t>
            </w:r>
          </w:p>
        </w:tc>
        <w:tc>
          <w:tcPr>
            <w:tcW w:w="3170" w:type="dxa"/>
            <w:tcBorders>
              <w:top w:val="single" w:sz="4" w:space="0" w:color="auto"/>
              <w:left w:val="single" w:sz="4" w:space="0" w:color="auto"/>
              <w:bottom w:val="single" w:sz="4" w:space="0" w:color="auto"/>
              <w:right w:val="single" w:sz="4" w:space="0" w:color="auto"/>
            </w:tcBorders>
            <w:noWrap/>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2</w:t>
            </w:r>
            <w:r>
              <w:rPr>
                <w:rFonts w:hint="eastAsia"/>
                <w:szCs w:val="21"/>
              </w:rPr>
              <w:t>蹲位</w:t>
            </w:r>
          </w:p>
        </w:tc>
      </w:tr>
      <w:tr w:rsidR="00EE4502">
        <w:trPr>
          <w:trHeight w:val="397"/>
        </w:trPr>
        <w:tc>
          <w:tcPr>
            <w:tcW w:w="575" w:type="dxa"/>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7</w:t>
            </w:r>
          </w:p>
        </w:tc>
        <w:tc>
          <w:tcPr>
            <w:tcW w:w="3167" w:type="dxa"/>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left"/>
              <w:rPr>
                <w:szCs w:val="21"/>
              </w:rPr>
            </w:pPr>
            <w:r>
              <w:rPr>
                <w:rFonts w:hint="eastAsia"/>
                <w:szCs w:val="21"/>
              </w:rPr>
              <w:t>迁建埋地缓冲罐</w:t>
            </w:r>
          </w:p>
        </w:tc>
        <w:tc>
          <w:tcPr>
            <w:tcW w:w="605" w:type="dxa"/>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座</w:t>
            </w:r>
          </w:p>
        </w:tc>
        <w:tc>
          <w:tcPr>
            <w:tcW w:w="810" w:type="dxa"/>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1</w:t>
            </w:r>
          </w:p>
        </w:tc>
        <w:tc>
          <w:tcPr>
            <w:tcW w:w="3170" w:type="dxa"/>
            <w:tcBorders>
              <w:top w:val="single" w:sz="4" w:space="0" w:color="auto"/>
              <w:left w:val="single" w:sz="4" w:space="0" w:color="auto"/>
              <w:bottom w:val="single" w:sz="4" w:space="0" w:color="auto"/>
              <w:right w:val="single" w:sz="4" w:space="0" w:color="auto"/>
            </w:tcBorders>
            <w:noWrap/>
            <w:tcMar>
              <w:top w:w="12" w:type="dxa"/>
              <w:left w:w="12" w:type="dxa"/>
              <w:right w:w="12" w:type="dxa"/>
            </w:tcMar>
            <w:vAlign w:val="center"/>
          </w:tcPr>
          <w:p w:rsidR="00EE4502" w:rsidRDefault="00EE4502">
            <w:pPr>
              <w:widowControl/>
              <w:tabs>
                <w:tab w:val="left" w:pos="377"/>
              </w:tabs>
              <w:jc w:val="center"/>
              <w:rPr>
                <w:szCs w:val="21"/>
              </w:rPr>
            </w:pPr>
          </w:p>
        </w:tc>
      </w:tr>
      <w:tr w:rsidR="00EE4502">
        <w:trPr>
          <w:trHeight w:val="397"/>
        </w:trPr>
        <w:tc>
          <w:tcPr>
            <w:tcW w:w="575" w:type="dxa"/>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8</w:t>
            </w:r>
          </w:p>
        </w:tc>
        <w:tc>
          <w:tcPr>
            <w:tcW w:w="3167" w:type="dxa"/>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left"/>
              <w:rPr>
                <w:szCs w:val="21"/>
              </w:rPr>
            </w:pPr>
            <w:r>
              <w:rPr>
                <w:rFonts w:hint="eastAsia"/>
                <w:szCs w:val="21"/>
              </w:rPr>
              <w:t>站内工艺管网</w:t>
            </w:r>
          </w:p>
        </w:tc>
        <w:tc>
          <w:tcPr>
            <w:tcW w:w="605" w:type="dxa"/>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套</w:t>
            </w:r>
          </w:p>
        </w:tc>
        <w:tc>
          <w:tcPr>
            <w:tcW w:w="810" w:type="dxa"/>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rsidR="00EE4502" w:rsidRDefault="00FD45A3">
            <w:pPr>
              <w:widowControl/>
              <w:tabs>
                <w:tab w:val="left" w:pos="377"/>
              </w:tabs>
              <w:jc w:val="center"/>
              <w:rPr>
                <w:szCs w:val="21"/>
              </w:rPr>
            </w:pPr>
            <w:r>
              <w:rPr>
                <w:rFonts w:hint="eastAsia"/>
                <w:szCs w:val="21"/>
              </w:rPr>
              <w:t>1</w:t>
            </w:r>
          </w:p>
        </w:tc>
        <w:tc>
          <w:tcPr>
            <w:tcW w:w="3170" w:type="dxa"/>
            <w:tcBorders>
              <w:top w:val="single" w:sz="4" w:space="0" w:color="auto"/>
              <w:left w:val="single" w:sz="4" w:space="0" w:color="auto"/>
              <w:bottom w:val="single" w:sz="4" w:space="0" w:color="auto"/>
              <w:right w:val="single" w:sz="4" w:space="0" w:color="auto"/>
            </w:tcBorders>
            <w:noWrap/>
            <w:tcMar>
              <w:top w:w="12" w:type="dxa"/>
              <w:left w:w="12" w:type="dxa"/>
              <w:right w:w="12" w:type="dxa"/>
            </w:tcMar>
            <w:vAlign w:val="center"/>
          </w:tcPr>
          <w:p w:rsidR="00EE4502" w:rsidRDefault="00EE4502">
            <w:pPr>
              <w:widowControl/>
              <w:tabs>
                <w:tab w:val="left" w:pos="377"/>
              </w:tabs>
              <w:jc w:val="center"/>
              <w:rPr>
                <w:szCs w:val="21"/>
              </w:rPr>
            </w:pPr>
          </w:p>
        </w:tc>
      </w:tr>
    </w:tbl>
    <w:p w:rsidR="00EE4502" w:rsidRDefault="00EE4502">
      <w:pPr>
        <w:spacing w:line="360" w:lineRule="auto"/>
        <w:ind w:firstLineChars="200" w:firstLine="480"/>
        <w:rPr>
          <w:kern w:val="0"/>
          <w:sz w:val="24"/>
        </w:rPr>
      </w:pPr>
    </w:p>
    <w:p w:rsidR="00EE4502" w:rsidRDefault="00FD45A3">
      <w:pPr>
        <w:pStyle w:val="41"/>
        <w:numPr>
          <w:ilvl w:val="3"/>
          <w:numId w:val="30"/>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hint="eastAsia"/>
          <w:bCs w:val="0"/>
          <w:sz w:val="24"/>
          <w:szCs w:val="24"/>
        </w:rPr>
        <w:t>封井工程</w:t>
      </w:r>
    </w:p>
    <w:p w:rsidR="00EE4502" w:rsidRDefault="00FD45A3">
      <w:pPr>
        <w:spacing w:line="360" w:lineRule="auto"/>
        <w:ind w:firstLine="482"/>
        <w:rPr>
          <w:kern w:val="0"/>
          <w:sz w:val="24"/>
        </w:rPr>
      </w:pPr>
      <w:r>
        <w:rPr>
          <w:rFonts w:hint="eastAsia"/>
          <w:kern w:val="0"/>
          <w:sz w:val="24"/>
        </w:rPr>
        <w:t>随着石油开采的不断进行，其储量逐渐下降，最终采油井将进入退役期。严格按照《废弃井封井回填技术指南（试行）》（环办土壤函〔</w:t>
      </w:r>
      <w:r>
        <w:rPr>
          <w:rFonts w:hint="eastAsia"/>
          <w:kern w:val="0"/>
          <w:sz w:val="24"/>
        </w:rPr>
        <w:t>2020</w:t>
      </w:r>
      <w:r>
        <w:rPr>
          <w:rFonts w:hint="eastAsia"/>
          <w:kern w:val="0"/>
          <w:sz w:val="24"/>
        </w:rPr>
        <w:t>〕</w:t>
      </w:r>
      <w:r>
        <w:rPr>
          <w:rFonts w:hint="eastAsia"/>
          <w:kern w:val="0"/>
          <w:sz w:val="24"/>
        </w:rPr>
        <w:t>72</w:t>
      </w:r>
      <w:r>
        <w:rPr>
          <w:rFonts w:hint="eastAsia"/>
          <w:kern w:val="0"/>
          <w:sz w:val="24"/>
        </w:rPr>
        <w:t>号）、《废弃井及长停井处置指南》（</w:t>
      </w:r>
      <w:r>
        <w:rPr>
          <w:rFonts w:hint="eastAsia"/>
          <w:kern w:val="0"/>
          <w:sz w:val="24"/>
        </w:rPr>
        <w:t>SY/T6646-2017</w:t>
      </w:r>
      <w:r>
        <w:rPr>
          <w:rFonts w:hint="eastAsia"/>
          <w:kern w:val="0"/>
          <w:sz w:val="24"/>
        </w:rPr>
        <w:t>）</w:t>
      </w:r>
      <w:r>
        <w:rPr>
          <w:rFonts w:hint="eastAsia"/>
          <w:kern w:val="0"/>
          <w:sz w:val="24"/>
        </w:rPr>
        <w:t>、《废弃井封井处置规范》（</w:t>
      </w:r>
      <w:r>
        <w:rPr>
          <w:rFonts w:hint="eastAsia"/>
          <w:kern w:val="0"/>
          <w:sz w:val="24"/>
        </w:rPr>
        <w:t>Q/SH 0653-2015</w:t>
      </w:r>
      <w:r>
        <w:rPr>
          <w:rFonts w:hint="eastAsia"/>
          <w:kern w:val="0"/>
          <w:sz w:val="24"/>
        </w:rPr>
        <w:t>）</w:t>
      </w:r>
      <w:r>
        <w:rPr>
          <w:rFonts w:hint="eastAsia"/>
          <w:kern w:val="0"/>
          <w:sz w:val="24"/>
        </w:rPr>
        <w:t>等</w:t>
      </w:r>
      <w:r>
        <w:rPr>
          <w:rFonts w:hint="eastAsia"/>
          <w:kern w:val="0"/>
          <w:sz w:val="24"/>
        </w:rPr>
        <w:t>要求进行施工作业</w:t>
      </w:r>
      <w:r>
        <w:rPr>
          <w:rFonts w:hint="eastAsia"/>
          <w:kern w:val="0"/>
          <w:sz w:val="24"/>
        </w:rPr>
        <w:t>。</w:t>
      </w:r>
      <w:r>
        <w:rPr>
          <w:rFonts w:hint="eastAsia"/>
          <w:kern w:val="0"/>
          <w:sz w:val="24"/>
        </w:rPr>
        <w:t>本工程均为Ⅲ类井，</w:t>
      </w:r>
      <w:r>
        <w:rPr>
          <w:rFonts w:hint="eastAsia"/>
          <w:kern w:val="0"/>
          <w:sz w:val="24"/>
        </w:rPr>
        <w:t>对井场进行环境风险评估，根据评估等级分别采用不同的固井、封井方式，确保固井、封井措施的有效性。采用固化堵剂和水泥浆从井口平推挤入地层并充满井筒、后凝固化，完成封层和封井，避免发生油水串层；对废弃井应封堵内井眼，拆除井口装置，地下截去一定深度的表层套管，清理场地，清除填埋各种固体废物，恢复原有地貌；临时占地范围具备植被恢复条件的，应将永久性占地范围内的水泥平台或砂砾石铺</w:t>
      </w:r>
      <w:r>
        <w:rPr>
          <w:rFonts w:hint="eastAsia"/>
          <w:kern w:val="0"/>
          <w:sz w:val="24"/>
        </w:rPr>
        <w:lastRenderedPageBreak/>
        <w:t>垫清理，随后根据周边区域的自然现状对其进行恢复，使井场恢复到相对自然的一种状态。</w:t>
      </w:r>
    </w:p>
    <w:p w:rsidR="00EE4502" w:rsidRDefault="00FD45A3">
      <w:pPr>
        <w:pStyle w:val="33"/>
        <w:numPr>
          <w:ilvl w:val="2"/>
          <w:numId w:val="30"/>
        </w:numPr>
        <w:spacing w:line="360" w:lineRule="auto"/>
        <w:ind w:left="0" w:firstLine="0"/>
        <w:rPr>
          <w:spacing w:val="0"/>
          <w:sz w:val="24"/>
          <w:szCs w:val="24"/>
        </w:rPr>
      </w:pPr>
      <w:bookmarkStart w:id="98" w:name="_Toc327897343"/>
      <w:r>
        <w:rPr>
          <w:spacing w:val="0"/>
          <w:sz w:val="24"/>
          <w:szCs w:val="24"/>
        </w:rPr>
        <w:t>辅助工程</w:t>
      </w:r>
      <w:bookmarkEnd w:id="98"/>
    </w:p>
    <w:p w:rsidR="00EE4502" w:rsidRDefault="00FD45A3">
      <w:pPr>
        <w:pStyle w:val="41"/>
        <w:numPr>
          <w:ilvl w:val="3"/>
          <w:numId w:val="30"/>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bCs w:val="0"/>
          <w:sz w:val="24"/>
          <w:szCs w:val="24"/>
        </w:rPr>
        <w:t>供配电工程</w:t>
      </w:r>
    </w:p>
    <w:p w:rsidR="00EE4502" w:rsidRDefault="00FD45A3">
      <w:pPr>
        <w:spacing w:line="360" w:lineRule="auto"/>
        <w:ind w:firstLine="482"/>
        <w:rPr>
          <w:kern w:val="0"/>
          <w:sz w:val="24"/>
        </w:rPr>
      </w:pPr>
      <w:r>
        <w:rPr>
          <w:rFonts w:hint="eastAsia"/>
          <w:kern w:val="0"/>
          <w:sz w:val="24"/>
        </w:rPr>
        <w:t>本</w:t>
      </w:r>
      <w:r>
        <w:rPr>
          <w:rFonts w:hint="eastAsia"/>
          <w:kern w:val="0"/>
          <w:sz w:val="24"/>
        </w:rPr>
        <w:t>工程</w:t>
      </w:r>
      <w:r>
        <w:rPr>
          <w:rFonts w:hint="eastAsia"/>
          <w:kern w:val="0"/>
          <w:sz w:val="24"/>
        </w:rPr>
        <w:t>涉及</w:t>
      </w:r>
      <w:r>
        <w:rPr>
          <w:rFonts w:hint="eastAsia"/>
          <w:kern w:val="0"/>
          <w:sz w:val="24"/>
        </w:rPr>
        <w:t>1#</w:t>
      </w:r>
      <w:r>
        <w:rPr>
          <w:rFonts w:hint="eastAsia"/>
          <w:kern w:val="0"/>
          <w:sz w:val="24"/>
        </w:rPr>
        <w:t>增压站</w:t>
      </w:r>
      <w:r>
        <w:rPr>
          <w:rFonts w:hint="eastAsia"/>
          <w:kern w:val="0"/>
          <w:sz w:val="24"/>
        </w:rPr>
        <w:t>、排</w:t>
      </w:r>
      <w:r>
        <w:rPr>
          <w:rFonts w:hint="eastAsia"/>
          <w:kern w:val="0"/>
          <w:sz w:val="24"/>
        </w:rPr>
        <w:t>7</w:t>
      </w:r>
      <w:r>
        <w:rPr>
          <w:rFonts w:hint="eastAsia"/>
          <w:kern w:val="0"/>
          <w:sz w:val="24"/>
        </w:rPr>
        <w:t>注水站</w:t>
      </w:r>
      <w:r>
        <w:rPr>
          <w:rFonts w:hint="eastAsia"/>
          <w:kern w:val="0"/>
          <w:sz w:val="24"/>
        </w:rPr>
        <w:t>改扩建</w:t>
      </w:r>
      <w:r>
        <w:rPr>
          <w:rFonts w:hint="eastAsia"/>
          <w:kern w:val="0"/>
          <w:sz w:val="24"/>
        </w:rPr>
        <w:t>，新增抽油机</w:t>
      </w:r>
      <w:r>
        <w:rPr>
          <w:rFonts w:hint="eastAsia"/>
          <w:kern w:val="0"/>
          <w:sz w:val="24"/>
        </w:rPr>
        <w:t>均为皮带机井。新建</w:t>
      </w:r>
      <w:r>
        <w:rPr>
          <w:rFonts w:hint="eastAsia"/>
          <w:kern w:val="0"/>
          <w:sz w:val="24"/>
        </w:rPr>
        <w:t>井场及改扩建站场</w:t>
      </w:r>
      <w:r>
        <w:rPr>
          <w:rFonts w:hint="eastAsia"/>
          <w:kern w:val="0"/>
          <w:sz w:val="24"/>
        </w:rPr>
        <w:t>附近均已建有</w:t>
      </w:r>
      <w:r>
        <w:rPr>
          <w:rFonts w:hint="eastAsia"/>
          <w:kern w:val="0"/>
          <w:sz w:val="24"/>
        </w:rPr>
        <w:t>10kV</w:t>
      </w:r>
      <w:r>
        <w:rPr>
          <w:rFonts w:hint="eastAsia"/>
          <w:kern w:val="0"/>
          <w:sz w:val="24"/>
        </w:rPr>
        <w:t>排南线，导线型号</w:t>
      </w:r>
      <w:r>
        <w:rPr>
          <w:rFonts w:hint="eastAsia"/>
          <w:kern w:val="0"/>
          <w:sz w:val="24"/>
        </w:rPr>
        <w:t>JL/G1A-120/20</w:t>
      </w:r>
      <w:r>
        <w:rPr>
          <w:rFonts w:hint="eastAsia"/>
          <w:kern w:val="0"/>
          <w:sz w:val="24"/>
        </w:rPr>
        <w:t>。新建</w:t>
      </w:r>
      <w:r>
        <w:rPr>
          <w:rFonts w:hint="eastAsia"/>
          <w:kern w:val="0"/>
          <w:sz w:val="24"/>
        </w:rPr>
        <w:t>11</w:t>
      </w:r>
      <w:r>
        <w:rPr>
          <w:rFonts w:hint="eastAsia"/>
          <w:kern w:val="0"/>
          <w:sz w:val="24"/>
        </w:rPr>
        <w:t>台变压器，其中</w:t>
      </w:r>
      <w:r>
        <w:rPr>
          <w:rFonts w:hint="eastAsia"/>
          <w:kern w:val="0"/>
          <w:sz w:val="24"/>
        </w:rPr>
        <w:t>315kVA</w:t>
      </w:r>
      <w:r>
        <w:rPr>
          <w:rFonts w:hint="eastAsia"/>
          <w:kern w:val="0"/>
          <w:sz w:val="24"/>
        </w:rPr>
        <w:t>变压器</w:t>
      </w:r>
      <w:r>
        <w:rPr>
          <w:rFonts w:hint="eastAsia"/>
          <w:kern w:val="0"/>
          <w:sz w:val="24"/>
        </w:rPr>
        <w:t>1</w:t>
      </w:r>
      <w:r>
        <w:rPr>
          <w:rFonts w:hint="eastAsia"/>
          <w:kern w:val="0"/>
          <w:sz w:val="24"/>
        </w:rPr>
        <w:t>台，</w:t>
      </w:r>
      <w:r>
        <w:rPr>
          <w:rFonts w:hint="eastAsia"/>
          <w:kern w:val="0"/>
          <w:sz w:val="24"/>
        </w:rPr>
        <w:t>200kVA</w:t>
      </w:r>
      <w:r>
        <w:rPr>
          <w:rFonts w:hint="eastAsia"/>
          <w:kern w:val="0"/>
          <w:sz w:val="24"/>
        </w:rPr>
        <w:t>变压器</w:t>
      </w:r>
      <w:r>
        <w:rPr>
          <w:rFonts w:hint="eastAsia"/>
          <w:kern w:val="0"/>
          <w:sz w:val="24"/>
        </w:rPr>
        <w:t>1</w:t>
      </w:r>
      <w:r>
        <w:rPr>
          <w:rFonts w:hint="eastAsia"/>
          <w:kern w:val="0"/>
          <w:sz w:val="24"/>
        </w:rPr>
        <w:t>台，</w:t>
      </w:r>
      <w:r>
        <w:rPr>
          <w:rFonts w:hint="eastAsia"/>
          <w:kern w:val="0"/>
          <w:sz w:val="24"/>
        </w:rPr>
        <w:t>100kVA</w:t>
      </w:r>
      <w:r>
        <w:rPr>
          <w:rFonts w:hint="eastAsia"/>
          <w:kern w:val="0"/>
          <w:sz w:val="24"/>
        </w:rPr>
        <w:t>变压器</w:t>
      </w:r>
      <w:r>
        <w:rPr>
          <w:rFonts w:hint="eastAsia"/>
          <w:kern w:val="0"/>
          <w:sz w:val="24"/>
        </w:rPr>
        <w:t>1</w:t>
      </w:r>
      <w:r>
        <w:rPr>
          <w:rFonts w:hint="eastAsia"/>
          <w:kern w:val="0"/>
          <w:sz w:val="24"/>
        </w:rPr>
        <w:t>台，</w:t>
      </w:r>
      <w:r>
        <w:rPr>
          <w:rFonts w:hint="eastAsia"/>
          <w:kern w:val="0"/>
          <w:sz w:val="24"/>
        </w:rPr>
        <w:t>80kVA</w:t>
      </w:r>
      <w:r>
        <w:rPr>
          <w:rFonts w:hint="eastAsia"/>
          <w:kern w:val="0"/>
          <w:sz w:val="24"/>
        </w:rPr>
        <w:t>变压器</w:t>
      </w:r>
      <w:r>
        <w:rPr>
          <w:rFonts w:hint="eastAsia"/>
          <w:kern w:val="0"/>
          <w:sz w:val="24"/>
        </w:rPr>
        <w:t>7</w:t>
      </w:r>
      <w:r>
        <w:rPr>
          <w:rFonts w:hint="eastAsia"/>
          <w:kern w:val="0"/>
          <w:sz w:val="24"/>
        </w:rPr>
        <w:t>台，</w:t>
      </w:r>
      <w:r>
        <w:rPr>
          <w:rFonts w:hint="eastAsia"/>
          <w:kern w:val="0"/>
          <w:sz w:val="24"/>
        </w:rPr>
        <w:t>50kVA</w:t>
      </w:r>
      <w:r>
        <w:rPr>
          <w:rFonts w:hint="eastAsia"/>
          <w:kern w:val="0"/>
          <w:sz w:val="24"/>
        </w:rPr>
        <w:t>变压器</w:t>
      </w:r>
      <w:r>
        <w:rPr>
          <w:rFonts w:hint="eastAsia"/>
          <w:kern w:val="0"/>
          <w:sz w:val="24"/>
        </w:rPr>
        <w:t>1</w:t>
      </w:r>
      <w:r>
        <w:rPr>
          <w:rFonts w:hint="eastAsia"/>
          <w:kern w:val="0"/>
          <w:sz w:val="24"/>
        </w:rPr>
        <w:t>台，已建老井低压配电箱、抽油机、照明等用电设备由配电箱放射式配出</w:t>
      </w:r>
      <w:r>
        <w:rPr>
          <w:rFonts w:hint="eastAsia"/>
          <w:kern w:val="0"/>
          <w:sz w:val="24"/>
        </w:rPr>
        <w:t>。</w:t>
      </w:r>
      <w:r>
        <w:rPr>
          <w:rFonts w:hint="eastAsia"/>
          <w:kern w:val="0"/>
          <w:sz w:val="24"/>
        </w:rPr>
        <w:t>新建线路“</w:t>
      </w:r>
      <w:r>
        <w:rPr>
          <w:rFonts w:hint="eastAsia"/>
          <w:kern w:val="0"/>
          <w:sz w:val="24"/>
        </w:rPr>
        <w:t>T</w:t>
      </w:r>
      <w:r>
        <w:rPr>
          <w:rFonts w:hint="eastAsia"/>
          <w:kern w:val="0"/>
          <w:sz w:val="24"/>
        </w:rPr>
        <w:t>”接</w:t>
      </w:r>
      <w:r w:rsidR="003F4A18">
        <w:rPr>
          <w:rFonts w:hint="eastAsia"/>
          <w:kern w:val="0"/>
          <w:sz w:val="24"/>
        </w:rPr>
        <w:t>自己</w:t>
      </w:r>
      <w:r>
        <w:rPr>
          <w:rFonts w:hint="eastAsia"/>
          <w:kern w:val="0"/>
          <w:sz w:val="24"/>
        </w:rPr>
        <w:t>建</w:t>
      </w:r>
      <w:r>
        <w:rPr>
          <w:rFonts w:hint="eastAsia"/>
          <w:kern w:val="0"/>
          <w:sz w:val="24"/>
        </w:rPr>
        <w:t>10kV</w:t>
      </w:r>
      <w:r>
        <w:rPr>
          <w:rFonts w:hint="eastAsia"/>
          <w:kern w:val="0"/>
          <w:sz w:val="24"/>
        </w:rPr>
        <w:t>电力线路直线杆（改造为直线分歧杆），并在高压侧设氧化锌避雷器、跌落式熔断器等</w:t>
      </w:r>
      <w:r>
        <w:rPr>
          <w:rFonts w:hint="eastAsia"/>
          <w:kern w:val="0"/>
          <w:sz w:val="24"/>
        </w:rPr>
        <w:t>。</w:t>
      </w:r>
    </w:p>
    <w:p w:rsidR="00EE4502" w:rsidRDefault="00FD45A3">
      <w:pPr>
        <w:pStyle w:val="41"/>
        <w:numPr>
          <w:ilvl w:val="3"/>
          <w:numId w:val="30"/>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bCs w:val="0"/>
          <w:sz w:val="24"/>
          <w:szCs w:val="24"/>
        </w:rPr>
        <w:t>自控、通信工程</w:t>
      </w:r>
      <w:bookmarkStart w:id="99" w:name="_GoBack"/>
      <w:bookmarkEnd w:id="99"/>
    </w:p>
    <w:p w:rsidR="00EE4502" w:rsidRDefault="00FD45A3">
      <w:pPr>
        <w:spacing w:line="360" w:lineRule="auto"/>
        <w:ind w:firstLineChars="200" w:firstLine="480"/>
        <w:rPr>
          <w:sz w:val="24"/>
        </w:rPr>
      </w:pPr>
      <w:bookmarkStart w:id="100" w:name="_Toc494379571"/>
      <w:r>
        <w:rPr>
          <w:sz w:val="24"/>
        </w:rPr>
        <w:t>（</w:t>
      </w:r>
      <w:r>
        <w:rPr>
          <w:sz w:val="24"/>
        </w:rPr>
        <w:t>1</w:t>
      </w:r>
      <w:r>
        <w:rPr>
          <w:sz w:val="24"/>
        </w:rPr>
        <w:t>）自控系统</w:t>
      </w:r>
      <w:bookmarkEnd w:id="100"/>
    </w:p>
    <w:p w:rsidR="00EE4502" w:rsidRDefault="00FD45A3">
      <w:pPr>
        <w:spacing w:line="360" w:lineRule="auto"/>
        <w:ind w:firstLineChars="200" w:firstLine="480"/>
        <w:rPr>
          <w:sz w:val="24"/>
        </w:rPr>
      </w:pPr>
      <w:r>
        <w:rPr>
          <w:rFonts w:hint="eastAsia"/>
          <w:sz w:val="24"/>
        </w:rPr>
        <w:t>每口油井抽油机设备厂家自带油井控制柜</w:t>
      </w:r>
      <w:r>
        <w:rPr>
          <w:rFonts w:hint="eastAsia"/>
          <w:sz w:val="24"/>
        </w:rPr>
        <w:t>1</w:t>
      </w:r>
      <w:r>
        <w:rPr>
          <w:rFonts w:hint="eastAsia"/>
          <w:sz w:val="24"/>
        </w:rPr>
        <w:t>套及功图检测仪表</w:t>
      </w:r>
      <w:r>
        <w:rPr>
          <w:rFonts w:hint="eastAsia"/>
          <w:sz w:val="24"/>
        </w:rPr>
        <w:t>1</w:t>
      </w:r>
      <w:r>
        <w:rPr>
          <w:rFonts w:hint="eastAsia"/>
          <w:sz w:val="24"/>
        </w:rPr>
        <w:t>套，</w:t>
      </w:r>
      <w:r>
        <w:rPr>
          <w:rFonts w:hint="eastAsia"/>
          <w:sz w:val="24"/>
        </w:rPr>
        <w:t>油井控制柜内配套提供</w:t>
      </w:r>
      <w:r>
        <w:rPr>
          <w:rFonts w:hint="eastAsia"/>
          <w:sz w:val="24"/>
        </w:rPr>
        <w:t>RTU</w:t>
      </w:r>
      <w:r>
        <w:rPr>
          <w:rFonts w:hint="eastAsia"/>
          <w:sz w:val="24"/>
        </w:rPr>
        <w:t>数据采集系统、多功能电表、变频器等。</w:t>
      </w:r>
      <w:r>
        <w:rPr>
          <w:rFonts w:hint="eastAsia"/>
          <w:sz w:val="24"/>
        </w:rPr>
        <w:t>RTU</w:t>
      </w:r>
      <w:r>
        <w:rPr>
          <w:rFonts w:hint="eastAsia"/>
          <w:sz w:val="24"/>
        </w:rPr>
        <w:t>数据采集系统完成井场生产参数的采集与控制，现场参数通过已建网络上传至管理区生产指挥中心。</w:t>
      </w:r>
      <w:r>
        <w:rPr>
          <w:rFonts w:hint="eastAsia"/>
          <w:sz w:val="24"/>
        </w:rPr>
        <w:t>数据</w:t>
      </w:r>
      <w:r>
        <w:rPr>
          <w:rFonts w:hint="eastAsia"/>
          <w:sz w:val="24"/>
        </w:rPr>
        <w:t>内容包括：井口回压、井口温度、油井套压、功图、电参数、油井运行状态并实现远程启停。</w:t>
      </w:r>
    </w:p>
    <w:p w:rsidR="00EE4502" w:rsidRDefault="00FD45A3">
      <w:pPr>
        <w:spacing w:line="360" w:lineRule="auto"/>
        <w:ind w:firstLineChars="200" w:firstLine="480"/>
        <w:rPr>
          <w:sz w:val="24"/>
        </w:rPr>
      </w:pPr>
      <w:r>
        <w:rPr>
          <w:rFonts w:hint="eastAsia"/>
          <w:sz w:val="24"/>
        </w:rPr>
        <w:t>注水井井口设置油压、套压采集，通过</w:t>
      </w:r>
      <w:r>
        <w:rPr>
          <w:rFonts w:hint="eastAsia"/>
          <w:sz w:val="24"/>
        </w:rPr>
        <w:t>4G</w:t>
      </w:r>
      <w:r>
        <w:rPr>
          <w:rFonts w:hint="eastAsia"/>
          <w:sz w:val="24"/>
        </w:rPr>
        <w:t>方式传输至</w:t>
      </w:r>
      <w:r>
        <w:rPr>
          <w:rFonts w:hint="eastAsia"/>
          <w:sz w:val="24"/>
        </w:rPr>
        <w:t>DMZ</w:t>
      </w:r>
      <w:r>
        <w:rPr>
          <w:rFonts w:hint="eastAsia"/>
          <w:sz w:val="24"/>
        </w:rPr>
        <w:t>区后传至管理区生产指挥中心</w:t>
      </w:r>
      <w:r>
        <w:rPr>
          <w:rFonts w:hint="eastAsia"/>
          <w:sz w:val="24"/>
        </w:rPr>
        <w:t>。</w:t>
      </w:r>
    </w:p>
    <w:p w:rsidR="00EE4502" w:rsidRDefault="00FD45A3">
      <w:pPr>
        <w:spacing w:line="360" w:lineRule="auto"/>
        <w:ind w:firstLineChars="200" w:firstLine="480"/>
        <w:rPr>
          <w:sz w:val="24"/>
        </w:rPr>
      </w:pPr>
      <w:r>
        <w:rPr>
          <w:rFonts w:hint="eastAsia"/>
          <w:sz w:val="24"/>
        </w:rPr>
        <w:t>1#</w:t>
      </w:r>
      <w:r>
        <w:rPr>
          <w:rFonts w:hint="eastAsia"/>
          <w:sz w:val="24"/>
        </w:rPr>
        <w:t>增压站</w:t>
      </w:r>
      <w:r>
        <w:rPr>
          <w:rFonts w:hint="eastAsia"/>
          <w:sz w:val="24"/>
        </w:rPr>
        <w:t>三相分离器、天然气分水器采集参数接入</w:t>
      </w:r>
      <w:r>
        <w:rPr>
          <w:rFonts w:hint="eastAsia"/>
          <w:sz w:val="24"/>
        </w:rPr>
        <w:t>增压站</w:t>
      </w:r>
      <w:r>
        <w:rPr>
          <w:rFonts w:hint="eastAsia"/>
          <w:sz w:val="24"/>
        </w:rPr>
        <w:t>新建</w:t>
      </w:r>
      <w:r>
        <w:rPr>
          <w:rFonts w:hint="eastAsia"/>
          <w:sz w:val="24"/>
        </w:rPr>
        <w:t>PLC</w:t>
      </w:r>
      <w:r>
        <w:rPr>
          <w:rFonts w:hint="eastAsia"/>
          <w:sz w:val="24"/>
        </w:rPr>
        <w:t>控制系统依托已建网络上传至管理区生产指挥中心</w:t>
      </w:r>
      <w:r>
        <w:rPr>
          <w:rFonts w:hint="eastAsia"/>
          <w:sz w:val="24"/>
        </w:rPr>
        <w:t>。</w:t>
      </w:r>
    </w:p>
    <w:p w:rsidR="00EE4502" w:rsidRDefault="00FD45A3">
      <w:pPr>
        <w:spacing w:line="360" w:lineRule="auto"/>
        <w:ind w:firstLineChars="200" w:firstLine="480"/>
        <w:rPr>
          <w:sz w:val="24"/>
        </w:rPr>
      </w:pPr>
      <w:r>
        <w:rPr>
          <w:rFonts w:hint="eastAsia"/>
          <w:sz w:val="24"/>
        </w:rPr>
        <w:t>注水站采集数据传至春风联合站中控室组态界面，实现集中监控和管理。</w:t>
      </w:r>
    </w:p>
    <w:p w:rsidR="00EE4502" w:rsidRDefault="00FD45A3">
      <w:pPr>
        <w:spacing w:line="360" w:lineRule="auto"/>
        <w:ind w:firstLineChars="200" w:firstLine="480"/>
        <w:rPr>
          <w:sz w:val="24"/>
        </w:rPr>
      </w:pPr>
      <w:r>
        <w:rPr>
          <w:sz w:val="24"/>
        </w:rPr>
        <w:t>（</w:t>
      </w:r>
      <w:r>
        <w:rPr>
          <w:sz w:val="24"/>
        </w:rPr>
        <w:t>2</w:t>
      </w:r>
      <w:r>
        <w:rPr>
          <w:sz w:val="24"/>
        </w:rPr>
        <w:t>）</w:t>
      </w:r>
      <w:bookmarkStart w:id="101" w:name="_Toc494379572"/>
      <w:r>
        <w:rPr>
          <w:sz w:val="24"/>
        </w:rPr>
        <w:t>通信系统</w:t>
      </w:r>
      <w:bookmarkEnd w:id="101"/>
    </w:p>
    <w:p w:rsidR="00EE4502" w:rsidRDefault="00FD45A3">
      <w:pPr>
        <w:spacing w:line="360" w:lineRule="auto"/>
        <w:ind w:firstLineChars="200" w:firstLine="480"/>
        <w:rPr>
          <w:sz w:val="24"/>
        </w:rPr>
      </w:pPr>
      <w:r>
        <w:rPr>
          <w:kern w:val="0"/>
          <w:sz w:val="24"/>
        </w:rPr>
        <w:t>根据中石化生产信息化建设需求，对区块内油气集输及自用设施配套视频监控及网络传输系统，数据传输至采油管理区生产指挥中心。</w:t>
      </w:r>
    </w:p>
    <w:p w:rsidR="00EE4502" w:rsidRDefault="00FD45A3">
      <w:pPr>
        <w:spacing w:line="360" w:lineRule="auto"/>
        <w:ind w:firstLineChars="200" w:firstLine="480"/>
        <w:rPr>
          <w:sz w:val="24"/>
        </w:rPr>
      </w:pPr>
      <w:r>
        <w:rPr>
          <w:sz w:val="24"/>
        </w:rPr>
        <w:fldChar w:fldCharType="begin"/>
      </w:r>
      <w:r>
        <w:rPr>
          <w:sz w:val="24"/>
        </w:rPr>
        <w:instrText xml:space="preserve"> = 1 \* GB3 </w:instrText>
      </w:r>
      <w:r>
        <w:rPr>
          <w:sz w:val="24"/>
        </w:rPr>
        <w:fldChar w:fldCharType="separate"/>
      </w:r>
      <w:r>
        <w:rPr>
          <w:rFonts w:ascii="宋体" w:hAnsi="宋体" w:cs="宋体" w:hint="eastAsia"/>
          <w:sz w:val="24"/>
        </w:rPr>
        <w:t>①</w:t>
      </w:r>
      <w:r>
        <w:rPr>
          <w:sz w:val="24"/>
        </w:rPr>
        <w:fldChar w:fldCharType="end"/>
      </w:r>
      <w:r>
        <w:rPr>
          <w:sz w:val="24"/>
        </w:rPr>
        <w:t>视频监控</w:t>
      </w:r>
    </w:p>
    <w:p w:rsidR="00EE4502" w:rsidRDefault="00FD45A3">
      <w:pPr>
        <w:spacing w:line="360" w:lineRule="auto"/>
        <w:ind w:firstLineChars="200" w:firstLine="480"/>
        <w:rPr>
          <w:sz w:val="24"/>
        </w:rPr>
      </w:pPr>
      <w:r>
        <w:rPr>
          <w:rFonts w:hint="eastAsia"/>
          <w:sz w:val="24"/>
        </w:rPr>
        <w:t>本工程为新钻油井所在</w:t>
      </w:r>
      <w:r>
        <w:rPr>
          <w:rFonts w:hint="eastAsia"/>
          <w:sz w:val="24"/>
        </w:rPr>
        <w:t>的</w:t>
      </w:r>
      <w:r>
        <w:rPr>
          <w:rFonts w:hint="eastAsia"/>
          <w:sz w:val="24"/>
        </w:rPr>
        <w:t>井台各新建</w:t>
      </w:r>
      <w:r>
        <w:rPr>
          <w:rFonts w:hint="eastAsia"/>
          <w:sz w:val="24"/>
        </w:rPr>
        <w:t>1</w:t>
      </w:r>
      <w:r>
        <w:rPr>
          <w:rFonts w:hint="eastAsia"/>
          <w:sz w:val="24"/>
        </w:rPr>
        <w:t>个视频监控，已钻</w:t>
      </w:r>
      <w:r>
        <w:rPr>
          <w:rFonts w:hint="eastAsia"/>
          <w:sz w:val="24"/>
        </w:rPr>
        <w:t>老</w:t>
      </w:r>
      <w:r>
        <w:rPr>
          <w:rFonts w:hint="eastAsia"/>
          <w:sz w:val="24"/>
        </w:rPr>
        <w:t>井所在井台视频监控利旧。</w:t>
      </w:r>
    </w:p>
    <w:p w:rsidR="00EE4502" w:rsidRDefault="00FD45A3">
      <w:pPr>
        <w:spacing w:line="360" w:lineRule="auto"/>
        <w:ind w:firstLineChars="200" w:firstLine="480"/>
        <w:rPr>
          <w:sz w:val="24"/>
        </w:rPr>
      </w:pPr>
      <w:r>
        <w:rPr>
          <w:rFonts w:hint="eastAsia"/>
          <w:sz w:val="24"/>
        </w:rPr>
        <w:t>井场视频监控系统采用单井场监控全覆盖的方式对整个井场设备运行及人</w:t>
      </w:r>
      <w:r>
        <w:rPr>
          <w:rFonts w:hint="eastAsia"/>
          <w:sz w:val="24"/>
        </w:rPr>
        <w:lastRenderedPageBreak/>
        <w:t>员活动区域实现全天候监视，预防各类盗窃、破坏井场设施事件发生，及时发现险情给予报警，保证安全生产。采用枪球一体彩色网络摄像机安装于新建</w:t>
      </w:r>
      <w:r>
        <w:rPr>
          <w:rFonts w:hint="eastAsia"/>
          <w:sz w:val="24"/>
        </w:rPr>
        <w:t>8m</w:t>
      </w:r>
      <w:r>
        <w:rPr>
          <w:rFonts w:hint="eastAsia"/>
          <w:sz w:val="24"/>
        </w:rPr>
        <w:t>金属杆上，支持区域入侵侦测、越界侦测、移动侦测等智能侦测功能</w:t>
      </w:r>
      <w:r>
        <w:rPr>
          <w:rFonts w:hint="eastAsia"/>
          <w:sz w:val="24"/>
        </w:rPr>
        <w:t>，侦测到人员和车辆闯入时能及时报警，并能过滤小动物等微小物体的误报。</w:t>
      </w:r>
    </w:p>
    <w:p w:rsidR="00EE4502" w:rsidRDefault="00FD45A3">
      <w:pPr>
        <w:spacing w:line="360" w:lineRule="auto"/>
        <w:ind w:firstLineChars="200" w:firstLine="480"/>
        <w:rPr>
          <w:sz w:val="24"/>
        </w:rPr>
      </w:pPr>
      <w:r>
        <w:rPr>
          <w:rFonts w:hint="eastAsia"/>
          <w:sz w:val="24"/>
        </w:rPr>
        <w:t>视频监控系统包括应急广播，可实现生产指挥中心和井场之间的紧急广播，实现语音实时传达、告知、报警。</w:t>
      </w:r>
    </w:p>
    <w:p w:rsidR="00EE4502" w:rsidRDefault="00FD45A3">
      <w:pPr>
        <w:spacing w:line="360" w:lineRule="auto"/>
        <w:ind w:firstLineChars="200" w:firstLine="480"/>
        <w:rPr>
          <w:sz w:val="24"/>
        </w:rPr>
      </w:pPr>
      <w:r>
        <w:rPr>
          <w:rFonts w:hint="eastAsia"/>
          <w:sz w:val="24"/>
        </w:rPr>
        <w:t>②</w:t>
      </w:r>
      <w:r>
        <w:rPr>
          <w:rFonts w:hint="eastAsia"/>
          <w:sz w:val="24"/>
        </w:rPr>
        <w:t>网络传输</w:t>
      </w:r>
    </w:p>
    <w:p w:rsidR="00EE4502" w:rsidRDefault="00FD45A3">
      <w:pPr>
        <w:spacing w:line="360" w:lineRule="auto"/>
        <w:ind w:firstLineChars="200" w:firstLine="480"/>
        <w:rPr>
          <w:sz w:val="24"/>
        </w:rPr>
      </w:pPr>
      <w:r>
        <w:rPr>
          <w:rFonts w:hint="eastAsia"/>
          <w:sz w:val="24"/>
        </w:rPr>
        <w:t>井场视频及数据采用光缆传输。</w:t>
      </w:r>
    </w:p>
    <w:p w:rsidR="00EE4502" w:rsidRDefault="00FD45A3">
      <w:pPr>
        <w:spacing w:line="360" w:lineRule="auto"/>
        <w:ind w:firstLineChars="200" w:firstLine="480"/>
        <w:rPr>
          <w:sz w:val="24"/>
        </w:rPr>
      </w:pPr>
      <w:r>
        <w:rPr>
          <w:rFonts w:hint="eastAsia"/>
          <w:sz w:val="24"/>
        </w:rPr>
        <w:t>井场</w:t>
      </w:r>
      <w:r>
        <w:rPr>
          <w:rFonts w:hint="eastAsia"/>
          <w:sz w:val="24"/>
        </w:rPr>
        <w:t>RTU</w:t>
      </w:r>
      <w:r>
        <w:rPr>
          <w:rFonts w:hint="eastAsia"/>
          <w:sz w:val="24"/>
        </w:rPr>
        <w:t>安装在油井控制柜内，自</w:t>
      </w:r>
      <w:r>
        <w:rPr>
          <w:rFonts w:hint="eastAsia"/>
          <w:sz w:val="24"/>
        </w:rPr>
        <w:t>RTU</w:t>
      </w:r>
      <w:r>
        <w:rPr>
          <w:rFonts w:hint="eastAsia"/>
          <w:sz w:val="24"/>
        </w:rPr>
        <w:t>出油井控制柜采用室外防水屏蔽双绞线穿</w:t>
      </w:r>
      <w:r>
        <w:rPr>
          <w:rFonts w:hint="eastAsia"/>
          <w:sz w:val="24"/>
        </w:rPr>
        <w:t>DN20</w:t>
      </w:r>
      <w:r>
        <w:rPr>
          <w:rFonts w:hint="eastAsia"/>
          <w:sz w:val="24"/>
        </w:rPr>
        <w:t>镀锌钢管埋地敷设至通信杆，然后接入杆上的通信设备箱。井场通信设备箱内设工业交换机，自控数据和视频数据接入工业交换机。排</w:t>
      </w:r>
      <w:r>
        <w:rPr>
          <w:rFonts w:hint="eastAsia"/>
          <w:sz w:val="24"/>
        </w:rPr>
        <w:t>655-</w:t>
      </w:r>
      <w:r>
        <w:rPr>
          <w:rFonts w:hint="eastAsia"/>
          <w:sz w:val="24"/>
        </w:rPr>
        <w:t>平</w:t>
      </w:r>
      <w:r>
        <w:rPr>
          <w:rFonts w:hint="eastAsia"/>
          <w:sz w:val="24"/>
        </w:rPr>
        <w:t>1</w:t>
      </w:r>
      <w:r>
        <w:rPr>
          <w:rFonts w:hint="eastAsia"/>
          <w:sz w:val="24"/>
        </w:rPr>
        <w:t>、排</w:t>
      </w:r>
      <w:r>
        <w:rPr>
          <w:rFonts w:hint="eastAsia"/>
          <w:sz w:val="24"/>
        </w:rPr>
        <w:t>61-</w:t>
      </w:r>
      <w:r>
        <w:rPr>
          <w:rFonts w:hint="eastAsia"/>
          <w:sz w:val="24"/>
        </w:rPr>
        <w:t>平</w:t>
      </w:r>
      <w:r>
        <w:rPr>
          <w:rFonts w:hint="eastAsia"/>
          <w:sz w:val="24"/>
        </w:rPr>
        <w:t>1</w:t>
      </w:r>
      <w:r>
        <w:rPr>
          <w:rFonts w:hint="eastAsia"/>
          <w:sz w:val="24"/>
        </w:rPr>
        <w:t>井场依托已建光缆完成信号传输。其余各井场新建</w:t>
      </w:r>
      <w:r>
        <w:rPr>
          <w:rFonts w:hint="eastAsia"/>
          <w:sz w:val="24"/>
        </w:rPr>
        <w:t>8</w:t>
      </w:r>
      <w:r>
        <w:rPr>
          <w:rFonts w:hint="eastAsia"/>
          <w:sz w:val="24"/>
        </w:rPr>
        <w:t>芯光缆沿已建电力杆路接入排</w:t>
      </w:r>
      <w:r>
        <w:rPr>
          <w:rFonts w:hint="eastAsia"/>
          <w:sz w:val="24"/>
        </w:rPr>
        <w:t>61</w:t>
      </w:r>
      <w:r>
        <w:rPr>
          <w:rFonts w:hint="eastAsia"/>
          <w:sz w:val="24"/>
        </w:rPr>
        <w:t>-</w:t>
      </w:r>
      <w:r>
        <w:rPr>
          <w:rFonts w:hint="eastAsia"/>
          <w:sz w:val="24"/>
        </w:rPr>
        <w:t>平</w:t>
      </w:r>
      <w:r>
        <w:rPr>
          <w:rFonts w:hint="eastAsia"/>
          <w:sz w:val="24"/>
        </w:rPr>
        <w:t>14</w:t>
      </w:r>
      <w:r>
        <w:rPr>
          <w:rFonts w:hint="eastAsia"/>
          <w:sz w:val="24"/>
        </w:rPr>
        <w:t>平</w:t>
      </w:r>
      <w:r>
        <w:rPr>
          <w:rFonts w:hint="eastAsia"/>
          <w:sz w:val="24"/>
        </w:rPr>
        <w:t>15</w:t>
      </w:r>
      <w:r>
        <w:rPr>
          <w:rFonts w:hint="eastAsia"/>
          <w:sz w:val="24"/>
        </w:rPr>
        <w:t>所在井场新建光交箱后铺设</w:t>
      </w:r>
      <w:r>
        <w:rPr>
          <w:rFonts w:hint="eastAsia"/>
          <w:sz w:val="24"/>
        </w:rPr>
        <w:t>48</w:t>
      </w:r>
      <w:r>
        <w:rPr>
          <w:rFonts w:hint="eastAsia"/>
          <w:sz w:val="24"/>
        </w:rPr>
        <w:t>芯光缆沿已建电力杆路至</w:t>
      </w:r>
      <w:r>
        <w:rPr>
          <w:rFonts w:hint="eastAsia"/>
          <w:sz w:val="24"/>
        </w:rPr>
        <w:t>1#</w:t>
      </w:r>
      <w:r>
        <w:rPr>
          <w:rFonts w:hint="eastAsia"/>
          <w:sz w:val="24"/>
        </w:rPr>
        <w:t>增压站，依托已建网络上传至管理三区生产指挥中心。</w:t>
      </w:r>
    </w:p>
    <w:p w:rsidR="00EE4502" w:rsidRDefault="00FD45A3">
      <w:pPr>
        <w:pStyle w:val="41"/>
        <w:numPr>
          <w:ilvl w:val="3"/>
          <w:numId w:val="30"/>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bCs w:val="0"/>
          <w:sz w:val="24"/>
          <w:szCs w:val="24"/>
        </w:rPr>
        <w:t>给排水</w:t>
      </w:r>
    </w:p>
    <w:p w:rsidR="00EE4502" w:rsidRDefault="00FD45A3">
      <w:pPr>
        <w:spacing w:line="360" w:lineRule="auto"/>
        <w:ind w:firstLineChars="200" w:firstLine="480"/>
        <w:rPr>
          <w:sz w:val="24"/>
        </w:rPr>
      </w:pPr>
      <w:r>
        <w:rPr>
          <w:sz w:val="24"/>
        </w:rPr>
        <w:t>（</w:t>
      </w:r>
      <w:r>
        <w:rPr>
          <w:sz w:val="24"/>
        </w:rPr>
        <w:t>1</w:t>
      </w:r>
      <w:r>
        <w:rPr>
          <w:sz w:val="24"/>
        </w:rPr>
        <w:t>）给水</w:t>
      </w:r>
    </w:p>
    <w:p w:rsidR="00EE4502" w:rsidRDefault="00FD45A3">
      <w:pPr>
        <w:spacing w:line="360" w:lineRule="auto"/>
        <w:ind w:firstLineChars="200" w:firstLine="480"/>
        <w:rPr>
          <w:sz w:val="24"/>
        </w:rPr>
      </w:pPr>
      <w:r>
        <w:rPr>
          <w:rFonts w:hint="eastAsia"/>
          <w:sz w:val="24"/>
        </w:rPr>
        <w:t>给水采用罐车就近从周边城镇拉水。</w:t>
      </w:r>
    </w:p>
    <w:p w:rsidR="00EE4502" w:rsidRDefault="00FD45A3">
      <w:pPr>
        <w:spacing w:line="360" w:lineRule="auto"/>
        <w:ind w:firstLineChars="200" w:firstLine="480"/>
        <w:rPr>
          <w:sz w:val="24"/>
        </w:rPr>
      </w:pPr>
      <w:r>
        <w:rPr>
          <w:sz w:val="24"/>
        </w:rPr>
        <w:t>（</w:t>
      </w:r>
      <w:r>
        <w:rPr>
          <w:sz w:val="24"/>
        </w:rPr>
        <w:t>2</w:t>
      </w:r>
      <w:r>
        <w:rPr>
          <w:sz w:val="24"/>
        </w:rPr>
        <w:t>）排水</w:t>
      </w:r>
    </w:p>
    <w:p w:rsidR="00EE4502" w:rsidRDefault="00FD45A3">
      <w:pPr>
        <w:adjustRightInd w:val="0"/>
        <w:snapToGrid w:val="0"/>
        <w:spacing w:line="360" w:lineRule="auto"/>
        <w:ind w:firstLineChars="200" w:firstLine="480"/>
        <w:rPr>
          <w:sz w:val="24"/>
        </w:rPr>
      </w:pPr>
      <w:r>
        <w:rPr>
          <w:rFonts w:hint="eastAsia"/>
          <w:sz w:val="24"/>
        </w:rPr>
        <w:t>施工作业期间生活污水排入可移动环保厕所，由克拉玛依前山石油工程服务有限公司进行清运、处理。</w:t>
      </w:r>
    </w:p>
    <w:p w:rsidR="00EE4502" w:rsidRDefault="00FD45A3">
      <w:pPr>
        <w:adjustRightInd w:val="0"/>
        <w:snapToGrid w:val="0"/>
        <w:spacing w:line="360" w:lineRule="auto"/>
        <w:ind w:firstLineChars="200" w:firstLine="480"/>
        <w:rPr>
          <w:sz w:val="24"/>
        </w:rPr>
      </w:pPr>
      <w:r>
        <w:rPr>
          <w:rFonts w:hint="eastAsia"/>
          <w:sz w:val="24"/>
        </w:rPr>
        <w:t>运营期采出水经</w:t>
      </w:r>
      <w:r>
        <w:rPr>
          <w:rFonts w:hint="eastAsia"/>
          <w:sz w:val="24"/>
        </w:rPr>
        <w:t>1#</w:t>
      </w:r>
      <w:r>
        <w:rPr>
          <w:rFonts w:hint="eastAsia"/>
          <w:sz w:val="24"/>
        </w:rPr>
        <w:t>增压站</w:t>
      </w:r>
      <w:r>
        <w:rPr>
          <w:rFonts w:hint="eastAsia"/>
          <w:sz w:val="24"/>
        </w:rPr>
        <w:t>就地分水后进入排</w:t>
      </w:r>
      <w:r>
        <w:rPr>
          <w:rFonts w:hint="eastAsia"/>
          <w:sz w:val="24"/>
        </w:rPr>
        <w:t>61</w:t>
      </w:r>
      <w:r>
        <w:rPr>
          <w:rFonts w:hint="eastAsia"/>
          <w:sz w:val="24"/>
        </w:rPr>
        <w:t>块新建掺水工艺供油井生产，其余含水原油依托</w:t>
      </w:r>
      <w:r>
        <w:rPr>
          <w:rFonts w:hint="eastAsia"/>
          <w:sz w:val="24"/>
        </w:rPr>
        <w:t>联合站处理，</w:t>
      </w:r>
      <w:r>
        <w:rPr>
          <w:rFonts w:hint="eastAsia"/>
          <w:sz w:val="24"/>
        </w:rPr>
        <w:t>采出水均</w:t>
      </w:r>
      <w:r>
        <w:rPr>
          <w:rFonts w:hint="eastAsia"/>
          <w:sz w:val="24"/>
        </w:rPr>
        <w:t>不外排</w:t>
      </w:r>
      <w:r>
        <w:rPr>
          <w:sz w:val="24"/>
        </w:rPr>
        <w:t>。</w:t>
      </w:r>
    </w:p>
    <w:p w:rsidR="00EE4502" w:rsidRDefault="00FD45A3">
      <w:pPr>
        <w:pStyle w:val="41"/>
        <w:numPr>
          <w:ilvl w:val="3"/>
          <w:numId w:val="30"/>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hint="eastAsia"/>
          <w:bCs w:val="0"/>
          <w:sz w:val="24"/>
          <w:szCs w:val="24"/>
        </w:rPr>
        <w:t>供热工程</w:t>
      </w:r>
    </w:p>
    <w:p w:rsidR="00EE4502" w:rsidRDefault="00FD45A3">
      <w:pPr>
        <w:adjustRightInd w:val="0"/>
        <w:snapToGrid w:val="0"/>
        <w:spacing w:line="360" w:lineRule="auto"/>
        <w:ind w:firstLineChars="200" w:firstLine="480"/>
        <w:rPr>
          <w:sz w:val="24"/>
        </w:rPr>
      </w:pPr>
      <w:r>
        <w:rPr>
          <w:rFonts w:hint="eastAsia"/>
          <w:sz w:val="24"/>
        </w:rPr>
        <w:t>拟在</w:t>
      </w:r>
      <w:r>
        <w:rPr>
          <w:rFonts w:hint="eastAsia"/>
          <w:sz w:val="24"/>
        </w:rPr>
        <w:t>1#</w:t>
      </w:r>
      <w:r>
        <w:rPr>
          <w:rFonts w:hint="eastAsia"/>
          <w:sz w:val="24"/>
        </w:rPr>
        <w:t>增压站</w:t>
      </w:r>
      <w:r>
        <w:rPr>
          <w:rFonts w:hint="eastAsia"/>
          <w:sz w:val="24"/>
        </w:rPr>
        <w:t>内新建蒸汽减压撬提供低压蒸汽为油管线内原油加热，计算热负荷为</w:t>
      </w:r>
      <w:r>
        <w:rPr>
          <w:rFonts w:hint="eastAsia"/>
          <w:sz w:val="24"/>
        </w:rPr>
        <w:t>727kW</w:t>
      </w:r>
      <w:r>
        <w:rPr>
          <w:rFonts w:hint="eastAsia"/>
          <w:sz w:val="24"/>
        </w:rPr>
        <w:t>。自</w:t>
      </w:r>
      <w:r>
        <w:rPr>
          <w:rFonts w:hint="eastAsia"/>
          <w:sz w:val="24"/>
        </w:rPr>
        <w:t>1#</w:t>
      </w:r>
      <w:r>
        <w:rPr>
          <w:rFonts w:hint="eastAsia"/>
          <w:sz w:val="24"/>
        </w:rPr>
        <w:t>增压站</w:t>
      </w:r>
      <w:r>
        <w:rPr>
          <w:rFonts w:hint="eastAsia"/>
          <w:sz w:val="24"/>
        </w:rPr>
        <w:t>西侧的</w:t>
      </w:r>
      <w:r>
        <w:rPr>
          <w:rFonts w:hint="eastAsia"/>
          <w:sz w:val="24"/>
        </w:rPr>
        <w:t>6#</w:t>
      </w:r>
      <w:r>
        <w:rPr>
          <w:rFonts w:hint="eastAsia"/>
          <w:sz w:val="24"/>
        </w:rPr>
        <w:t>注汽站注汽管线引出新建蒸汽管线，敷设至增压站为蒸汽减压撬提供汽源。</w:t>
      </w:r>
    </w:p>
    <w:p w:rsidR="00EE4502" w:rsidRDefault="00FD45A3">
      <w:pPr>
        <w:pStyle w:val="41"/>
        <w:numPr>
          <w:ilvl w:val="3"/>
          <w:numId w:val="30"/>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bCs w:val="0"/>
          <w:sz w:val="24"/>
          <w:szCs w:val="24"/>
        </w:rPr>
        <w:t>消防</w:t>
      </w:r>
      <w:r>
        <w:rPr>
          <w:rFonts w:ascii="Times New Roman" w:eastAsia="宋体" w:hAnsi="Times New Roman" w:hint="eastAsia"/>
          <w:bCs w:val="0"/>
          <w:sz w:val="24"/>
          <w:szCs w:val="24"/>
        </w:rPr>
        <w:t>工程</w:t>
      </w:r>
    </w:p>
    <w:p w:rsidR="00EE4502" w:rsidRDefault="00FD45A3">
      <w:pPr>
        <w:spacing w:line="360" w:lineRule="auto"/>
        <w:ind w:firstLineChars="250" w:firstLine="600"/>
        <w:rPr>
          <w:kern w:val="0"/>
          <w:sz w:val="24"/>
        </w:rPr>
      </w:pPr>
      <w:r>
        <w:rPr>
          <w:rFonts w:hint="eastAsia"/>
          <w:kern w:val="0"/>
          <w:sz w:val="24"/>
        </w:rPr>
        <w:t>本工程实施后井场、</w:t>
      </w:r>
      <w:r>
        <w:rPr>
          <w:rFonts w:hint="eastAsia"/>
          <w:kern w:val="0"/>
          <w:sz w:val="24"/>
        </w:rPr>
        <w:t>站场</w:t>
      </w:r>
      <w:r>
        <w:rPr>
          <w:rFonts w:hint="eastAsia"/>
          <w:kern w:val="0"/>
          <w:sz w:val="24"/>
        </w:rPr>
        <w:t>均为五级站场，火灾危险性属于</w:t>
      </w:r>
      <w:r>
        <w:rPr>
          <w:rFonts w:hint="eastAsia"/>
          <w:kern w:val="0"/>
          <w:sz w:val="24"/>
        </w:rPr>
        <w:t>B</w:t>
      </w:r>
      <w:r>
        <w:rPr>
          <w:rFonts w:hint="eastAsia"/>
          <w:kern w:val="0"/>
          <w:sz w:val="24"/>
        </w:rPr>
        <w:t>、</w:t>
      </w:r>
      <w:r>
        <w:rPr>
          <w:rFonts w:hint="eastAsia"/>
          <w:kern w:val="0"/>
          <w:sz w:val="24"/>
        </w:rPr>
        <w:t>C</w:t>
      </w:r>
      <w:r>
        <w:rPr>
          <w:rFonts w:hint="eastAsia"/>
          <w:kern w:val="0"/>
          <w:sz w:val="24"/>
        </w:rPr>
        <w:t>类。新建生产设施属于严重危险级，站内配置一定数量的移动灭火设施。</w:t>
      </w:r>
    </w:p>
    <w:p w:rsidR="00EE4502" w:rsidRDefault="00FD45A3">
      <w:pPr>
        <w:spacing w:line="360" w:lineRule="auto"/>
        <w:jc w:val="center"/>
        <w:rPr>
          <w:rFonts w:eastAsia="黑体"/>
          <w:bCs/>
        </w:rPr>
      </w:pPr>
      <w:r>
        <w:rPr>
          <w:rFonts w:eastAsia="黑体" w:hint="eastAsia"/>
          <w:bCs/>
        </w:rPr>
        <w:t>表</w:t>
      </w:r>
      <w:r>
        <w:rPr>
          <w:rFonts w:eastAsia="黑体" w:hint="eastAsia"/>
          <w:bCs/>
        </w:rPr>
        <w:t>3-3</w:t>
      </w:r>
      <w:r>
        <w:rPr>
          <w:rFonts w:eastAsia="黑体" w:hint="eastAsia"/>
          <w:bCs/>
        </w:rPr>
        <w:t>-</w:t>
      </w:r>
      <w:r>
        <w:rPr>
          <w:rFonts w:eastAsia="黑体"/>
          <w:bCs/>
        </w:rPr>
        <w:t>2</w:t>
      </w:r>
      <w:r>
        <w:rPr>
          <w:rFonts w:eastAsia="黑体" w:hint="eastAsia"/>
          <w:bCs/>
        </w:rPr>
        <w:t>8</w:t>
      </w:r>
      <w:r>
        <w:rPr>
          <w:rFonts w:eastAsia="黑体" w:hint="eastAsia"/>
          <w:bCs/>
        </w:rPr>
        <w:t xml:space="preserve">    </w:t>
      </w:r>
      <w:r>
        <w:rPr>
          <w:rFonts w:eastAsia="黑体" w:hint="eastAsia"/>
          <w:bCs/>
        </w:rPr>
        <w:t>消防设施明细表</w:t>
      </w:r>
    </w:p>
    <w:tbl>
      <w:tblPr>
        <w:tblW w:w="4999" w:type="pct"/>
        <w:tblLook w:val="04A0" w:firstRow="1" w:lastRow="0" w:firstColumn="1" w:lastColumn="0" w:noHBand="0" w:noVBand="1"/>
      </w:tblPr>
      <w:tblGrid>
        <w:gridCol w:w="1615"/>
        <w:gridCol w:w="3677"/>
        <w:gridCol w:w="1614"/>
        <w:gridCol w:w="1614"/>
      </w:tblGrid>
      <w:tr w:rsidR="00EE4502">
        <w:trPr>
          <w:trHeight w:val="397"/>
          <w:tblHeader/>
        </w:trPr>
        <w:tc>
          <w:tcPr>
            <w:tcW w:w="947"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lastRenderedPageBreak/>
              <w:t>序号</w:t>
            </w:r>
          </w:p>
        </w:tc>
        <w:tc>
          <w:tcPr>
            <w:tcW w:w="2157"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项目名称及规格</w:t>
            </w:r>
          </w:p>
        </w:tc>
        <w:tc>
          <w:tcPr>
            <w:tcW w:w="947"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单位</w:t>
            </w:r>
          </w:p>
        </w:tc>
        <w:tc>
          <w:tcPr>
            <w:tcW w:w="947"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数量</w:t>
            </w:r>
          </w:p>
        </w:tc>
      </w:tr>
      <w:tr w:rsidR="00EE4502">
        <w:trPr>
          <w:trHeight w:val="397"/>
        </w:trPr>
        <w:tc>
          <w:tcPr>
            <w:tcW w:w="947"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1</w:t>
            </w:r>
          </w:p>
        </w:tc>
        <w:tc>
          <w:tcPr>
            <w:tcW w:w="2157" w:type="pct"/>
            <w:tcBorders>
              <w:top w:val="single" w:sz="4" w:space="0" w:color="auto"/>
              <w:left w:val="single" w:sz="4" w:space="0" w:color="auto"/>
              <w:bottom w:val="single" w:sz="4" w:space="0" w:color="auto"/>
              <w:right w:val="single" w:sz="4" w:space="0" w:color="auto"/>
            </w:tcBorders>
          </w:tcPr>
          <w:p w:rsidR="00EE4502" w:rsidRDefault="00FD45A3">
            <w:pPr>
              <w:widowControl/>
              <w:tabs>
                <w:tab w:val="left" w:pos="377"/>
              </w:tabs>
              <w:jc w:val="center"/>
              <w:rPr>
                <w:szCs w:val="21"/>
              </w:rPr>
            </w:pPr>
            <w:r>
              <w:rPr>
                <w:rFonts w:hint="eastAsia"/>
                <w:szCs w:val="21"/>
              </w:rPr>
              <w:t>推车式磷酸铵盐干粉灭火器</w:t>
            </w:r>
            <w:r>
              <w:rPr>
                <w:rFonts w:hint="eastAsia"/>
                <w:szCs w:val="21"/>
              </w:rPr>
              <w:t>MFTZ/ABC50</w:t>
            </w:r>
          </w:p>
        </w:tc>
        <w:tc>
          <w:tcPr>
            <w:tcW w:w="947"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辆</w:t>
            </w:r>
          </w:p>
        </w:tc>
        <w:tc>
          <w:tcPr>
            <w:tcW w:w="947"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7</w:t>
            </w:r>
          </w:p>
        </w:tc>
      </w:tr>
      <w:tr w:rsidR="00EE4502">
        <w:trPr>
          <w:trHeight w:val="397"/>
        </w:trPr>
        <w:tc>
          <w:tcPr>
            <w:tcW w:w="947"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2</w:t>
            </w:r>
          </w:p>
        </w:tc>
        <w:tc>
          <w:tcPr>
            <w:tcW w:w="2157" w:type="pct"/>
            <w:tcBorders>
              <w:top w:val="single" w:sz="4" w:space="0" w:color="auto"/>
              <w:left w:val="single" w:sz="4" w:space="0" w:color="auto"/>
              <w:bottom w:val="single" w:sz="4" w:space="0" w:color="auto"/>
              <w:right w:val="single" w:sz="4" w:space="0" w:color="auto"/>
            </w:tcBorders>
          </w:tcPr>
          <w:p w:rsidR="00EE4502" w:rsidRDefault="00FD45A3">
            <w:pPr>
              <w:widowControl/>
              <w:tabs>
                <w:tab w:val="left" w:pos="377"/>
              </w:tabs>
              <w:jc w:val="center"/>
              <w:rPr>
                <w:szCs w:val="21"/>
              </w:rPr>
            </w:pPr>
            <w:r>
              <w:rPr>
                <w:rFonts w:hint="eastAsia"/>
                <w:szCs w:val="21"/>
              </w:rPr>
              <w:t>手提式磷酸铵盐干粉灭火器</w:t>
            </w:r>
            <w:r>
              <w:rPr>
                <w:rFonts w:hint="eastAsia"/>
                <w:szCs w:val="21"/>
              </w:rPr>
              <w:t>MFZ/ABC8</w:t>
            </w:r>
          </w:p>
        </w:tc>
        <w:tc>
          <w:tcPr>
            <w:tcW w:w="947"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具</w:t>
            </w:r>
          </w:p>
        </w:tc>
        <w:tc>
          <w:tcPr>
            <w:tcW w:w="947"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32</w:t>
            </w:r>
          </w:p>
        </w:tc>
      </w:tr>
      <w:tr w:rsidR="00EE4502">
        <w:trPr>
          <w:trHeight w:val="397"/>
        </w:trPr>
        <w:tc>
          <w:tcPr>
            <w:tcW w:w="947"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3</w:t>
            </w:r>
          </w:p>
        </w:tc>
        <w:tc>
          <w:tcPr>
            <w:tcW w:w="2157" w:type="pct"/>
            <w:tcBorders>
              <w:top w:val="single" w:sz="4" w:space="0" w:color="auto"/>
              <w:left w:val="single" w:sz="4" w:space="0" w:color="auto"/>
              <w:bottom w:val="single" w:sz="4" w:space="0" w:color="auto"/>
              <w:right w:val="single" w:sz="4" w:space="0" w:color="auto"/>
            </w:tcBorders>
          </w:tcPr>
          <w:p w:rsidR="00EE4502" w:rsidRDefault="00FD45A3">
            <w:pPr>
              <w:widowControl/>
              <w:tabs>
                <w:tab w:val="left" w:pos="377"/>
              </w:tabs>
              <w:jc w:val="center"/>
              <w:rPr>
                <w:szCs w:val="21"/>
              </w:rPr>
            </w:pPr>
            <w:r>
              <w:rPr>
                <w:rFonts w:hint="eastAsia"/>
                <w:szCs w:val="21"/>
              </w:rPr>
              <w:t>灭火器箱</w:t>
            </w:r>
            <w:r>
              <w:rPr>
                <w:rFonts w:hint="eastAsia"/>
                <w:szCs w:val="21"/>
              </w:rPr>
              <w:t xml:space="preserve"> XMDDD42</w:t>
            </w:r>
          </w:p>
        </w:tc>
        <w:tc>
          <w:tcPr>
            <w:tcW w:w="947"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个</w:t>
            </w:r>
          </w:p>
        </w:tc>
        <w:tc>
          <w:tcPr>
            <w:tcW w:w="947" w:type="pct"/>
            <w:tcBorders>
              <w:top w:val="single" w:sz="4" w:space="0" w:color="auto"/>
              <w:left w:val="single" w:sz="4" w:space="0" w:color="auto"/>
              <w:bottom w:val="single" w:sz="4" w:space="0" w:color="auto"/>
              <w:right w:val="single" w:sz="4" w:space="0" w:color="auto"/>
            </w:tcBorders>
            <w:vAlign w:val="center"/>
          </w:tcPr>
          <w:p w:rsidR="00EE4502" w:rsidRDefault="00FD45A3">
            <w:pPr>
              <w:widowControl/>
              <w:tabs>
                <w:tab w:val="left" w:pos="377"/>
              </w:tabs>
              <w:jc w:val="center"/>
              <w:rPr>
                <w:szCs w:val="21"/>
              </w:rPr>
            </w:pPr>
            <w:r>
              <w:rPr>
                <w:rFonts w:hint="eastAsia"/>
                <w:szCs w:val="21"/>
              </w:rPr>
              <w:t>16</w:t>
            </w:r>
          </w:p>
        </w:tc>
      </w:tr>
    </w:tbl>
    <w:p w:rsidR="00EE4502" w:rsidRDefault="00EE4502">
      <w:pPr>
        <w:spacing w:line="360" w:lineRule="auto"/>
        <w:jc w:val="center"/>
        <w:rPr>
          <w:snapToGrid w:val="0"/>
          <w:sz w:val="24"/>
        </w:rPr>
      </w:pPr>
    </w:p>
    <w:p w:rsidR="00EE4502" w:rsidRDefault="00FD45A3">
      <w:pPr>
        <w:pStyle w:val="41"/>
        <w:numPr>
          <w:ilvl w:val="3"/>
          <w:numId w:val="30"/>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bCs w:val="0"/>
          <w:sz w:val="24"/>
          <w:szCs w:val="24"/>
        </w:rPr>
        <w:t>防腐</w:t>
      </w:r>
      <w:r>
        <w:rPr>
          <w:rFonts w:ascii="Times New Roman" w:eastAsia="宋体" w:hAnsi="Times New Roman" w:hint="eastAsia"/>
          <w:bCs w:val="0"/>
          <w:sz w:val="24"/>
          <w:szCs w:val="24"/>
        </w:rPr>
        <w:t>工程</w:t>
      </w:r>
    </w:p>
    <w:p w:rsidR="00EE4502" w:rsidRDefault="00FD45A3">
      <w:pPr>
        <w:spacing w:line="360" w:lineRule="auto"/>
        <w:ind w:firstLineChars="250" w:firstLine="600"/>
        <w:rPr>
          <w:sz w:val="24"/>
        </w:rPr>
      </w:pPr>
      <w:r>
        <w:rPr>
          <w:sz w:val="24"/>
        </w:rPr>
        <w:t>对管线内防采用环氧陶瓷涂料内防腐层，外防采用耐高温环氧酚醛涂料（</w:t>
      </w:r>
      <w:r>
        <w:rPr>
          <w:sz w:val="24"/>
        </w:rPr>
        <w:t>4</w:t>
      </w:r>
      <w:r>
        <w:rPr>
          <w:sz w:val="24"/>
        </w:rPr>
        <w:t>道，</w:t>
      </w:r>
      <w:r>
        <w:rPr>
          <w:sz w:val="24"/>
        </w:rPr>
        <w:t>2</w:t>
      </w:r>
      <w:r>
        <w:rPr>
          <w:sz w:val="24"/>
        </w:rPr>
        <w:t>底</w:t>
      </w:r>
      <w:r>
        <w:rPr>
          <w:sz w:val="24"/>
        </w:rPr>
        <w:t>2</w:t>
      </w:r>
      <w:r>
        <w:rPr>
          <w:sz w:val="24"/>
        </w:rPr>
        <w:t>面，涂层最小厚度</w:t>
      </w:r>
      <w:r>
        <w:rPr>
          <w:sz w:val="24"/>
        </w:rPr>
        <w:t>≥300μm</w:t>
      </w:r>
      <w:r>
        <w:rPr>
          <w:sz w:val="24"/>
        </w:rPr>
        <w:t>）</w:t>
      </w:r>
      <w:r>
        <w:rPr>
          <w:sz w:val="24"/>
        </w:rPr>
        <w:t>+</w:t>
      </w:r>
      <w:r>
        <w:rPr>
          <w:sz w:val="24"/>
        </w:rPr>
        <w:t>耐高温聚氨酯泡沫保温防护层预制，保温层补口采用耐高温环氧酚醛涂料</w:t>
      </w:r>
      <w:r>
        <w:rPr>
          <w:sz w:val="24"/>
        </w:rPr>
        <w:t>+</w:t>
      </w:r>
      <w:r>
        <w:rPr>
          <w:sz w:val="24"/>
        </w:rPr>
        <w:t>耐高温保温层补口聚乙烯热收缩带结构；对穿路钢套管外防采用无溶剂双组分液体环氧涂料，干膜厚度</w:t>
      </w:r>
      <w:r>
        <w:rPr>
          <w:sz w:val="24"/>
        </w:rPr>
        <w:t>≥600μm</w:t>
      </w:r>
      <w:r>
        <w:rPr>
          <w:sz w:val="24"/>
        </w:rPr>
        <w:t>。</w:t>
      </w:r>
    </w:p>
    <w:p w:rsidR="00EE4502" w:rsidRDefault="00FD45A3">
      <w:pPr>
        <w:spacing w:line="360" w:lineRule="auto"/>
        <w:ind w:firstLineChars="250" w:firstLine="600"/>
        <w:rPr>
          <w:sz w:val="24"/>
        </w:rPr>
      </w:pPr>
      <w:r>
        <w:rPr>
          <w:sz w:val="24"/>
        </w:rPr>
        <w:t>基础防腐做法：与土壤接触的所有混凝土中添加抗硫酸盐外加剂，添加量满足耐弱腐蚀要求。与土壤接触的钢筋混凝土中添加钢筋阻锈剂，添加量满足耐强腐蚀要求。</w:t>
      </w:r>
    </w:p>
    <w:p w:rsidR="00EE4502" w:rsidRDefault="00FD45A3">
      <w:pPr>
        <w:pStyle w:val="41"/>
        <w:numPr>
          <w:ilvl w:val="3"/>
          <w:numId w:val="30"/>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hint="eastAsia"/>
          <w:bCs w:val="0"/>
          <w:sz w:val="24"/>
          <w:szCs w:val="24"/>
        </w:rPr>
        <w:t>道路工程</w:t>
      </w:r>
    </w:p>
    <w:p w:rsidR="00EE4502" w:rsidRDefault="00FD45A3">
      <w:pPr>
        <w:spacing w:line="360" w:lineRule="auto"/>
        <w:ind w:firstLineChars="250" w:firstLine="600"/>
        <w:rPr>
          <w:sz w:val="24"/>
        </w:rPr>
      </w:pPr>
      <w:r>
        <w:rPr>
          <w:rFonts w:hint="eastAsia"/>
          <w:sz w:val="24"/>
        </w:rPr>
        <w:t>本</w:t>
      </w:r>
      <w:r>
        <w:rPr>
          <w:rFonts w:hint="eastAsia"/>
          <w:sz w:val="24"/>
        </w:rPr>
        <w:t>工程</w:t>
      </w:r>
      <w:r>
        <w:rPr>
          <w:rFonts w:hint="eastAsia"/>
          <w:sz w:val="24"/>
        </w:rPr>
        <w:t>所在的区块周边建设有主干路、支干路和通井道路等。本</w:t>
      </w:r>
      <w:r>
        <w:rPr>
          <w:rFonts w:hint="eastAsia"/>
          <w:sz w:val="24"/>
        </w:rPr>
        <w:t>工程</w:t>
      </w:r>
      <w:r>
        <w:rPr>
          <w:rFonts w:hint="eastAsia"/>
          <w:sz w:val="24"/>
        </w:rPr>
        <w:t>充分依托区域已建油田道路，新建通井道路</w:t>
      </w:r>
      <w:r>
        <w:rPr>
          <w:rFonts w:hint="eastAsia"/>
          <w:sz w:val="24"/>
        </w:rPr>
        <w:t>3.5</w:t>
      </w:r>
      <w:r>
        <w:rPr>
          <w:rFonts w:hint="eastAsia"/>
          <w:sz w:val="24"/>
        </w:rPr>
        <w:t>km</w:t>
      </w:r>
      <w:r>
        <w:rPr>
          <w:rFonts w:hint="eastAsia"/>
          <w:sz w:val="24"/>
        </w:rPr>
        <w:t>，采用单车道砂石路面，路面宽</w:t>
      </w:r>
      <w:r>
        <w:rPr>
          <w:rFonts w:hint="eastAsia"/>
          <w:sz w:val="24"/>
        </w:rPr>
        <w:t>4.5m</w:t>
      </w:r>
      <w:r>
        <w:rPr>
          <w:rFonts w:hint="eastAsia"/>
          <w:sz w:val="24"/>
        </w:rPr>
        <w:t>，路基宽</w:t>
      </w:r>
      <w:r>
        <w:rPr>
          <w:rFonts w:hint="eastAsia"/>
          <w:sz w:val="24"/>
        </w:rPr>
        <w:t>6m</w:t>
      </w:r>
      <w:r>
        <w:rPr>
          <w:rFonts w:hint="eastAsia"/>
          <w:sz w:val="24"/>
        </w:rPr>
        <w:t>。</w:t>
      </w:r>
    </w:p>
    <w:p w:rsidR="00EE4502" w:rsidRDefault="00FD45A3">
      <w:pPr>
        <w:pStyle w:val="33"/>
        <w:numPr>
          <w:ilvl w:val="2"/>
          <w:numId w:val="30"/>
        </w:numPr>
        <w:spacing w:line="360" w:lineRule="auto"/>
        <w:ind w:left="0" w:firstLine="0"/>
        <w:rPr>
          <w:spacing w:val="0"/>
          <w:sz w:val="24"/>
          <w:szCs w:val="24"/>
        </w:rPr>
      </w:pPr>
      <w:bookmarkStart w:id="102" w:name="_Toc327897344"/>
      <w:r>
        <w:rPr>
          <w:spacing w:val="0"/>
          <w:sz w:val="24"/>
          <w:szCs w:val="24"/>
        </w:rPr>
        <w:t>依托工程</w:t>
      </w:r>
      <w:bookmarkEnd w:id="102"/>
    </w:p>
    <w:p w:rsidR="00EE4502" w:rsidRDefault="00FD45A3">
      <w:pPr>
        <w:spacing w:line="360" w:lineRule="auto"/>
        <w:ind w:firstLineChars="200" w:firstLine="480"/>
        <w:rPr>
          <w:sz w:val="18"/>
          <w:szCs w:val="18"/>
        </w:rPr>
      </w:pPr>
      <w:r>
        <w:rPr>
          <w:rFonts w:hint="eastAsia"/>
          <w:sz w:val="24"/>
        </w:rPr>
        <w:t>本工程原油处理依托春风二号联合站，</w:t>
      </w:r>
      <w:r>
        <w:rPr>
          <w:rFonts w:hint="eastAsia"/>
          <w:sz w:val="24"/>
        </w:rPr>
        <w:t>采出水依托</w:t>
      </w:r>
      <w:r>
        <w:rPr>
          <w:rFonts w:hint="eastAsia"/>
          <w:sz w:val="24"/>
        </w:rPr>
        <w:t>1#</w:t>
      </w:r>
      <w:r>
        <w:rPr>
          <w:rFonts w:hint="eastAsia"/>
          <w:sz w:val="24"/>
        </w:rPr>
        <w:t>增压站、春风二号联合站处理，注汽依托</w:t>
      </w:r>
      <w:r>
        <w:rPr>
          <w:rFonts w:hint="eastAsia"/>
          <w:sz w:val="24"/>
        </w:rPr>
        <w:t>6#</w:t>
      </w:r>
      <w:r>
        <w:rPr>
          <w:rFonts w:hint="eastAsia"/>
          <w:sz w:val="24"/>
        </w:rPr>
        <w:t>注汽站，钻井固废依托克拉玛依前山石油工程服务有限公司处置，危险废物依托克拉玛依沃森环保科技有限公司及新疆锦恒利废矿物油处置有限公司处置。</w:t>
      </w:r>
    </w:p>
    <w:p w:rsidR="00EE4502" w:rsidRDefault="00FD45A3">
      <w:pPr>
        <w:pStyle w:val="41"/>
        <w:numPr>
          <w:ilvl w:val="3"/>
          <w:numId w:val="30"/>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hint="eastAsia"/>
          <w:bCs w:val="0"/>
          <w:sz w:val="24"/>
          <w:szCs w:val="24"/>
        </w:rPr>
        <w:t>原油处理及依托可行性分析</w:t>
      </w:r>
    </w:p>
    <w:p w:rsidR="00EE4502" w:rsidRDefault="00FD45A3">
      <w:pPr>
        <w:spacing w:line="360" w:lineRule="auto"/>
        <w:ind w:firstLineChars="200" w:firstLine="480"/>
        <w:rPr>
          <w:sz w:val="24"/>
        </w:rPr>
      </w:pPr>
      <w:r>
        <w:rPr>
          <w:rFonts w:hint="eastAsia"/>
          <w:sz w:val="24"/>
        </w:rPr>
        <w:t>本工程原油处理依托春风二号联合站。</w:t>
      </w:r>
    </w:p>
    <w:p w:rsidR="00EE4502" w:rsidRDefault="00FD45A3">
      <w:pPr>
        <w:spacing w:line="360" w:lineRule="auto"/>
        <w:ind w:firstLineChars="200" w:firstLine="480"/>
        <w:rPr>
          <w:sz w:val="24"/>
        </w:rPr>
      </w:pPr>
      <w:r>
        <w:rPr>
          <w:rFonts w:hint="eastAsia"/>
          <w:sz w:val="24"/>
        </w:rPr>
        <w:t>春风二号联合站位于新疆维吾尔自治区克拉玛依市境内的前山涝坝，距克拉玛依市约</w:t>
      </w:r>
      <w:r>
        <w:rPr>
          <w:rFonts w:hint="eastAsia"/>
          <w:sz w:val="24"/>
        </w:rPr>
        <w:t>70km</w:t>
      </w:r>
      <w:r>
        <w:rPr>
          <w:rFonts w:hint="eastAsia"/>
          <w:sz w:val="24"/>
        </w:rPr>
        <w:t>，在春风油田四大主力区块的东北侧</w:t>
      </w:r>
      <w:r>
        <w:rPr>
          <w:rFonts w:hint="eastAsia"/>
          <w:sz w:val="24"/>
        </w:rPr>
        <w:t>。于</w:t>
      </w:r>
      <w:r>
        <w:rPr>
          <w:rFonts w:hint="eastAsia"/>
          <w:sz w:val="24"/>
        </w:rPr>
        <w:t>2014</w:t>
      </w:r>
      <w:r>
        <w:rPr>
          <w:rFonts w:hint="eastAsia"/>
          <w:sz w:val="24"/>
        </w:rPr>
        <w:t>年</w:t>
      </w:r>
      <w:r>
        <w:rPr>
          <w:rFonts w:hint="eastAsia"/>
          <w:sz w:val="24"/>
        </w:rPr>
        <w:t>5</w:t>
      </w:r>
      <w:r>
        <w:rPr>
          <w:rFonts w:hint="eastAsia"/>
          <w:sz w:val="24"/>
        </w:rPr>
        <w:t>月</w:t>
      </w:r>
      <w:r>
        <w:rPr>
          <w:rFonts w:hint="eastAsia"/>
          <w:sz w:val="24"/>
        </w:rPr>
        <w:t>28</w:t>
      </w:r>
      <w:r>
        <w:rPr>
          <w:rFonts w:hint="eastAsia"/>
          <w:sz w:val="24"/>
        </w:rPr>
        <w:t>日取得原新疆维吾尔自治区环境保护厅批复（新环函〔</w:t>
      </w:r>
      <w:r>
        <w:rPr>
          <w:rFonts w:hint="eastAsia"/>
          <w:sz w:val="24"/>
        </w:rPr>
        <w:t>2014</w:t>
      </w:r>
      <w:r>
        <w:rPr>
          <w:rFonts w:hint="eastAsia"/>
          <w:sz w:val="24"/>
        </w:rPr>
        <w:t>〕</w:t>
      </w:r>
      <w:r>
        <w:rPr>
          <w:rFonts w:hint="eastAsia"/>
          <w:sz w:val="24"/>
        </w:rPr>
        <w:t>666</w:t>
      </w:r>
      <w:r>
        <w:rPr>
          <w:rFonts w:hint="eastAsia"/>
          <w:sz w:val="24"/>
        </w:rPr>
        <w:t>号），</w:t>
      </w:r>
      <w:r>
        <w:rPr>
          <w:rFonts w:hint="eastAsia"/>
          <w:sz w:val="24"/>
        </w:rPr>
        <w:t>2019</w:t>
      </w:r>
      <w:r>
        <w:rPr>
          <w:rFonts w:hint="eastAsia"/>
          <w:sz w:val="24"/>
        </w:rPr>
        <w:t>年</w:t>
      </w:r>
      <w:r>
        <w:rPr>
          <w:rFonts w:hint="eastAsia"/>
          <w:sz w:val="24"/>
        </w:rPr>
        <w:t>4</w:t>
      </w:r>
      <w:r>
        <w:rPr>
          <w:rFonts w:hint="eastAsia"/>
          <w:sz w:val="24"/>
        </w:rPr>
        <w:t>月</w:t>
      </w:r>
      <w:r>
        <w:rPr>
          <w:rFonts w:hint="eastAsia"/>
          <w:sz w:val="24"/>
        </w:rPr>
        <w:t>11</w:t>
      </w:r>
      <w:r>
        <w:rPr>
          <w:rFonts w:hint="eastAsia"/>
          <w:sz w:val="24"/>
        </w:rPr>
        <w:t>日取得</w:t>
      </w:r>
      <w:r>
        <w:rPr>
          <w:rFonts w:hint="eastAsia"/>
          <w:sz w:val="24"/>
        </w:rPr>
        <w:t>原</w:t>
      </w:r>
      <w:r>
        <w:rPr>
          <w:rFonts w:hint="eastAsia"/>
          <w:sz w:val="24"/>
        </w:rPr>
        <w:t>新疆维吾尔自治区环境保护厅竣工环保验收意见</w:t>
      </w:r>
      <w:r>
        <w:rPr>
          <w:rFonts w:hint="eastAsia"/>
          <w:sz w:val="24"/>
        </w:rPr>
        <w:t>（</w:t>
      </w:r>
      <w:r>
        <w:rPr>
          <w:rFonts w:hint="eastAsia"/>
          <w:sz w:val="24"/>
        </w:rPr>
        <w:t>新环环评函〔</w:t>
      </w:r>
      <w:r>
        <w:rPr>
          <w:rFonts w:hint="eastAsia"/>
          <w:sz w:val="24"/>
        </w:rPr>
        <w:t>2019</w:t>
      </w:r>
      <w:r>
        <w:rPr>
          <w:rFonts w:hint="eastAsia"/>
          <w:sz w:val="24"/>
        </w:rPr>
        <w:t>〕</w:t>
      </w:r>
      <w:r>
        <w:rPr>
          <w:rFonts w:hint="eastAsia"/>
          <w:sz w:val="24"/>
        </w:rPr>
        <w:t>433</w:t>
      </w:r>
      <w:r>
        <w:rPr>
          <w:rFonts w:hint="eastAsia"/>
          <w:sz w:val="24"/>
        </w:rPr>
        <w:t>号</w:t>
      </w:r>
      <w:r>
        <w:rPr>
          <w:rFonts w:hint="eastAsia"/>
          <w:sz w:val="24"/>
        </w:rPr>
        <w:t>）</w:t>
      </w:r>
      <w:r>
        <w:rPr>
          <w:rFonts w:hint="eastAsia"/>
          <w:sz w:val="24"/>
        </w:rPr>
        <w:t>。</w:t>
      </w:r>
    </w:p>
    <w:p w:rsidR="00EE4502" w:rsidRDefault="00FD45A3">
      <w:pPr>
        <w:spacing w:line="360" w:lineRule="auto"/>
        <w:ind w:firstLineChars="200" w:firstLine="480"/>
        <w:rPr>
          <w:sz w:val="24"/>
        </w:rPr>
      </w:pPr>
      <w:r>
        <w:rPr>
          <w:rFonts w:hint="eastAsia"/>
          <w:sz w:val="24"/>
        </w:rPr>
        <w:t>春风二号联合站原油处理规模</w:t>
      </w:r>
      <w:r>
        <w:rPr>
          <w:rFonts w:hint="eastAsia"/>
          <w:sz w:val="24"/>
        </w:rPr>
        <w:t>60</w:t>
      </w:r>
      <w:r>
        <w:rPr>
          <w:rFonts w:hint="eastAsia"/>
          <w:sz w:val="24"/>
        </w:rPr>
        <w:t>×</w:t>
      </w:r>
      <w:r>
        <w:rPr>
          <w:rFonts w:hint="eastAsia"/>
          <w:sz w:val="24"/>
        </w:rPr>
        <w:t>10</w:t>
      </w:r>
      <w:r>
        <w:rPr>
          <w:rFonts w:hint="eastAsia"/>
          <w:sz w:val="24"/>
          <w:vertAlign w:val="superscript"/>
        </w:rPr>
        <w:t>4</w:t>
      </w:r>
      <w:r>
        <w:rPr>
          <w:rFonts w:hint="eastAsia"/>
          <w:sz w:val="24"/>
        </w:rPr>
        <w:t>t/a</w:t>
      </w:r>
      <w:r>
        <w:rPr>
          <w:rFonts w:hint="eastAsia"/>
          <w:sz w:val="24"/>
        </w:rPr>
        <w:t>，共计建有</w:t>
      </w:r>
      <w:r>
        <w:rPr>
          <w:rFonts w:hint="eastAsia"/>
          <w:sz w:val="24"/>
        </w:rPr>
        <w:t>12</w:t>
      </w:r>
      <w:r>
        <w:rPr>
          <w:rFonts w:hint="eastAsia"/>
          <w:sz w:val="24"/>
        </w:rPr>
        <w:t>座</w:t>
      </w:r>
      <w:r>
        <w:rPr>
          <w:rFonts w:hint="eastAsia"/>
          <w:sz w:val="24"/>
        </w:rPr>
        <w:t>5000 m</w:t>
      </w:r>
      <w:r>
        <w:rPr>
          <w:rFonts w:hint="eastAsia"/>
          <w:sz w:val="24"/>
          <w:vertAlign w:val="superscript"/>
        </w:rPr>
        <w:t>3</w:t>
      </w:r>
      <w:r>
        <w:rPr>
          <w:rFonts w:hint="eastAsia"/>
          <w:sz w:val="24"/>
        </w:rPr>
        <w:t>原油储罐，</w:t>
      </w:r>
      <w:r>
        <w:rPr>
          <w:rFonts w:hint="eastAsia"/>
          <w:sz w:val="24"/>
        </w:rPr>
        <w:lastRenderedPageBreak/>
        <w:t>1</w:t>
      </w:r>
      <w:r>
        <w:rPr>
          <w:rFonts w:hint="eastAsia"/>
          <w:sz w:val="24"/>
        </w:rPr>
        <w:t>座</w:t>
      </w:r>
      <w:r>
        <w:rPr>
          <w:rFonts w:hint="eastAsia"/>
          <w:sz w:val="24"/>
        </w:rPr>
        <w:t>20000 m</w:t>
      </w:r>
      <w:r>
        <w:rPr>
          <w:rFonts w:hint="eastAsia"/>
          <w:sz w:val="24"/>
          <w:vertAlign w:val="superscript"/>
        </w:rPr>
        <w:t>3</w:t>
      </w:r>
      <w:r>
        <w:rPr>
          <w:rFonts w:hint="eastAsia"/>
          <w:sz w:val="24"/>
        </w:rPr>
        <w:t>原油储罐，</w:t>
      </w:r>
      <w:r>
        <w:rPr>
          <w:rFonts w:hint="eastAsia"/>
          <w:sz w:val="24"/>
        </w:rPr>
        <w:t>8</w:t>
      </w:r>
      <w:r>
        <w:rPr>
          <w:rFonts w:hint="eastAsia"/>
          <w:sz w:val="24"/>
        </w:rPr>
        <w:t>座</w:t>
      </w:r>
      <w:r>
        <w:rPr>
          <w:rFonts w:hint="eastAsia"/>
          <w:sz w:val="24"/>
        </w:rPr>
        <w:t>1000 m</w:t>
      </w:r>
      <w:r>
        <w:rPr>
          <w:rFonts w:hint="eastAsia"/>
          <w:sz w:val="24"/>
          <w:vertAlign w:val="superscript"/>
        </w:rPr>
        <w:t>3</w:t>
      </w:r>
      <w:r>
        <w:rPr>
          <w:rFonts w:hint="eastAsia"/>
          <w:sz w:val="24"/>
        </w:rPr>
        <w:t>以上采出水处理罐，</w:t>
      </w:r>
      <w:r>
        <w:rPr>
          <w:rFonts w:hint="eastAsia"/>
          <w:sz w:val="24"/>
        </w:rPr>
        <w:t>2</w:t>
      </w:r>
      <w:r>
        <w:rPr>
          <w:rFonts w:hint="eastAsia"/>
          <w:sz w:val="24"/>
        </w:rPr>
        <w:t>座</w:t>
      </w:r>
      <w:r>
        <w:rPr>
          <w:rFonts w:hint="eastAsia"/>
          <w:sz w:val="24"/>
        </w:rPr>
        <w:t>2000 m</w:t>
      </w:r>
      <w:r>
        <w:rPr>
          <w:rFonts w:hint="eastAsia"/>
          <w:sz w:val="24"/>
          <w:vertAlign w:val="superscript"/>
        </w:rPr>
        <w:t>3</w:t>
      </w:r>
      <w:r>
        <w:rPr>
          <w:rFonts w:hint="eastAsia"/>
          <w:sz w:val="24"/>
        </w:rPr>
        <w:t>消防水罐，大型设备</w:t>
      </w:r>
      <w:r>
        <w:rPr>
          <w:rFonts w:hint="eastAsia"/>
          <w:sz w:val="24"/>
        </w:rPr>
        <w:t>50</w:t>
      </w:r>
      <w:r>
        <w:rPr>
          <w:rFonts w:hint="eastAsia"/>
          <w:sz w:val="24"/>
        </w:rPr>
        <w:t>余台</w:t>
      </w:r>
      <w:r>
        <w:rPr>
          <w:rFonts w:hint="eastAsia"/>
          <w:sz w:val="24"/>
        </w:rPr>
        <w:t>（</w:t>
      </w:r>
      <w:r>
        <w:rPr>
          <w:rFonts w:hint="eastAsia"/>
          <w:sz w:val="24"/>
        </w:rPr>
        <w:t>套</w:t>
      </w:r>
      <w:r>
        <w:rPr>
          <w:rFonts w:hint="eastAsia"/>
          <w:sz w:val="24"/>
        </w:rPr>
        <w:t>）</w:t>
      </w:r>
      <w:r>
        <w:rPr>
          <w:rFonts w:hint="eastAsia"/>
          <w:sz w:val="24"/>
        </w:rPr>
        <w:t>。联合站主要具备原油脱水、原油储存与外输、采出水处理、消防、供配电、自控、通讯等功能。</w:t>
      </w:r>
    </w:p>
    <w:p w:rsidR="00EE4502" w:rsidRDefault="00FD45A3">
      <w:pPr>
        <w:spacing w:line="360" w:lineRule="auto"/>
        <w:ind w:firstLineChars="200" w:firstLine="480"/>
        <w:rPr>
          <w:sz w:val="24"/>
        </w:rPr>
      </w:pPr>
      <w:r>
        <w:rPr>
          <w:rFonts w:hint="eastAsia"/>
          <w:sz w:val="24"/>
        </w:rPr>
        <w:t>原油处理流程：站外来液→一</w:t>
      </w:r>
      <w:r>
        <w:rPr>
          <w:rFonts w:hint="eastAsia"/>
          <w:sz w:val="24"/>
        </w:rPr>
        <w:t>次沉降罐→加热设备→二次沉降罐→浮动出油装置→提升泵→净化油罐→浮动出油装置→外输泵→流量计→外输</w:t>
      </w:r>
    </w:p>
    <w:p w:rsidR="00EE4502" w:rsidRDefault="00FD45A3">
      <w:pPr>
        <w:spacing w:line="360" w:lineRule="auto"/>
        <w:ind w:firstLineChars="200" w:firstLine="480"/>
        <w:rPr>
          <w:sz w:val="24"/>
        </w:rPr>
      </w:pPr>
      <w:r>
        <w:rPr>
          <w:rFonts w:hint="eastAsia"/>
          <w:sz w:val="24"/>
        </w:rPr>
        <w:t>流程描述：站外来液先进一次沉降罐沉降，出油含水</w:t>
      </w:r>
      <w:r>
        <w:rPr>
          <w:rFonts w:hint="eastAsia"/>
          <w:sz w:val="24"/>
        </w:rPr>
        <w:t>30%</w:t>
      </w:r>
      <w:r>
        <w:rPr>
          <w:rFonts w:hint="eastAsia"/>
          <w:sz w:val="24"/>
        </w:rPr>
        <w:t>～</w:t>
      </w:r>
      <w:r>
        <w:rPr>
          <w:rFonts w:hint="eastAsia"/>
          <w:sz w:val="24"/>
        </w:rPr>
        <w:t>40%</w:t>
      </w:r>
      <w:r>
        <w:rPr>
          <w:rFonts w:hint="eastAsia"/>
          <w:sz w:val="24"/>
        </w:rPr>
        <w:t>，然后升温至</w:t>
      </w:r>
      <w:r>
        <w:rPr>
          <w:rFonts w:hint="eastAsia"/>
          <w:sz w:val="24"/>
        </w:rPr>
        <w:t>90</w:t>
      </w:r>
      <w:r>
        <w:rPr>
          <w:rFonts w:hint="eastAsia"/>
          <w:sz w:val="24"/>
        </w:rPr>
        <w:t>℃以上，进二次沉降罐沉降，二次沉降罐采用浮动出油的方式，收油至净化油罐，出油含水≤（</w:t>
      </w:r>
      <w:r>
        <w:rPr>
          <w:rFonts w:hint="eastAsia"/>
          <w:sz w:val="24"/>
        </w:rPr>
        <w:t>5</w:t>
      </w:r>
      <w:r>
        <w:rPr>
          <w:rFonts w:hint="eastAsia"/>
          <w:sz w:val="24"/>
        </w:rPr>
        <w:t>～</w:t>
      </w:r>
      <w:r>
        <w:rPr>
          <w:rFonts w:hint="eastAsia"/>
          <w:sz w:val="24"/>
        </w:rPr>
        <w:t>10</w:t>
      </w:r>
      <w:r>
        <w:rPr>
          <w:rFonts w:hint="eastAsia"/>
          <w:sz w:val="24"/>
        </w:rPr>
        <w:t>）</w:t>
      </w:r>
      <w:r>
        <w:rPr>
          <w:rFonts w:hint="eastAsia"/>
          <w:sz w:val="24"/>
        </w:rPr>
        <w:t>%</w:t>
      </w:r>
      <w:r>
        <w:rPr>
          <w:rFonts w:hint="eastAsia"/>
          <w:sz w:val="24"/>
        </w:rPr>
        <w:t>，经提升泵提升后进净化油罐脱水、储存，外输含水≤</w:t>
      </w:r>
      <w:r>
        <w:rPr>
          <w:rFonts w:hint="eastAsia"/>
          <w:sz w:val="24"/>
        </w:rPr>
        <w:t>2%</w:t>
      </w:r>
      <w:r>
        <w:rPr>
          <w:rFonts w:hint="eastAsia"/>
          <w:sz w:val="24"/>
        </w:rPr>
        <w:t>。</w:t>
      </w:r>
    </w:p>
    <w:p w:rsidR="00EE4502" w:rsidRDefault="00FD45A3">
      <w:pPr>
        <w:spacing w:line="360" w:lineRule="auto"/>
        <w:ind w:firstLineChars="200" w:firstLine="480"/>
        <w:rPr>
          <w:sz w:val="24"/>
        </w:rPr>
      </w:pPr>
      <w:r>
        <w:rPr>
          <w:rFonts w:hint="eastAsia"/>
          <w:sz w:val="24"/>
        </w:rPr>
        <w:t>春风二号联合站工艺流程见图</w:t>
      </w:r>
      <w:r>
        <w:rPr>
          <w:rFonts w:hint="eastAsia"/>
          <w:sz w:val="24"/>
        </w:rPr>
        <w:t>3</w:t>
      </w:r>
      <w:r>
        <w:rPr>
          <w:rFonts w:hint="eastAsia"/>
          <w:sz w:val="24"/>
        </w:rPr>
        <w:t>-3</w:t>
      </w:r>
      <w:r>
        <w:rPr>
          <w:rFonts w:hint="eastAsia"/>
          <w:sz w:val="24"/>
        </w:rPr>
        <w:t>-</w:t>
      </w:r>
      <w:r>
        <w:rPr>
          <w:rFonts w:hint="eastAsia"/>
          <w:sz w:val="24"/>
        </w:rPr>
        <w:t>37</w:t>
      </w:r>
      <w:r>
        <w:rPr>
          <w:rFonts w:hint="eastAsia"/>
          <w:sz w:val="24"/>
        </w:rPr>
        <w:t>。</w:t>
      </w:r>
    </w:p>
    <w:p w:rsidR="00EE4502" w:rsidRDefault="00EE4502">
      <w:pPr>
        <w:spacing w:line="360" w:lineRule="auto"/>
        <w:jc w:val="center"/>
        <w:rPr>
          <w:sz w:val="24"/>
        </w:rPr>
      </w:pPr>
    </w:p>
    <w:p w:rsidR="00EE4502" w:rsidRDefault="00FD45A3">
      <w:pPr>
        <w:spacing w:line="360" w:lineRule="auto"/>
        <w:jc w:val="center"/>
        <w:rPr>
          <w:rFonts w:ascii="黑体" w:eastAsia="黑体" w:hAnsi="黑体" w:cs="黑体"/>
          <w:szCs w:val="21"/>
        </w:rPr>
      </w:pPr>
      <w:r>
        <w:rPr>
          <w:rFonts w:ascii="黑体" w:eastAsia="黑体" w:hAnsi="黑体" w:cs="黑体" w:hint="eastAsia"/>
          <w:szCs w:val="21"/>
        </w:rPr>
        <w:t>图</w:t>
      </w:r>
      <w:r>
        <w:rPr>
          <w:rFonts w:ascii="黑体" w:eastAsia="黑体" w:hAnsi="黑体" w:cs="黑体" w:hint="eastAsia"/>
          <w:szCs w:val="21"/>
        </w:rPr>
        <w:t>3-3-3</w:t>
      </w:r>
      <w:r>
        <w:rPr>
          <w:rFonts w:ascii="黑体" w:eastAsia="黑体" w:hAnsi="黑体" w:cs="黑体" w:hint="eastAsia"/>
          <w:szCs w:val="21"/>
        </w:rPr>
        <w:t>7</w:t>
      </w:r>
      <w:r>
        <w:rPr>
          <w:rFonts w:ascii="黑体" w:eastAsia="黑体" w:hAnsi="黑体" w:cs="黑体" w:hint="eastAsia"/>
          <w:szCs w:val="21"/>
        </w:rPr>
        <w:t xml:space="preserve">  </w:t>
      </w:r>
      <w:r>
        <w:rPr>
          <w:rFonts w:ascii="黑体" w:eastAsia="黑体" w:hAnsi="黑体" w:cs="黑体" w:hint="eastAsia"/>
          <w:szCs w:val="21"/>
        </w:rPr>
        <w:t>原油处理工艺流程示意图</w:t>
      </w:r>
    </w:p>
    <w:p w:rsidR="00EE4502" w:rsidRDefault="00FD45A3">
      <w:pPr>
        <w:spacing w:line="360" w:lineRule="auto"/>
        <w:ind w:firstLineChars="200" w:firstLine="480"/>
        <w:rPr>
          <w:sz w:val="24"/>
        </w:rPr>
      </w:pPr>
      <w:r>
        <w:rPr>
          <w:rFonts w:hint="eastAsia"/>
          <w:sz w:val="24"/>
        </w:rPr>
        <w:t>二号联现状产能为</w:t>
      </w:r>
      <w:r>
        <w:rPr>
          <w:rFonts w:hint="eastAsia"/>
          <w:sz w:val="24"/>
        </w:rPr>
        <w:t>46</w:t>
      </w:r>
      <w:r>
        <w:rPr>
          <w:rFonts w:hint="eastAsia"/>
          <w:sz w:val="24"/>
        </w:rPr>
        <w:t>×</w:t>
      </w:r>
      <w:r>
        <w:rPr>
          <w:rFonts w:hint="eastAsia"/>
          <w:sz w:val="24"/>
        </w:rPr>
        <w:t>10</w:t>
      </w:r>
      <w:r>
        <w:rPr>
          <w:rFonts w:hint="eastAsia"/>
          <w:sz w:val="24"/>
          <w:vertAlign w:val="superscript"/>
        </w:rPr>
        <w:t>4</w:t>
      </w:r>
      <w:r>
        <w:rPr>
          <w:rFonts w:hint="eastAsia"/>
          <w:sz w:val="24"/>
        </w:rPr>
        <w:t>t/a</w:t>
      </w:r>
      <w:r>
        <w:rPr>
          <w:rFonts w:hint="eastAsia"/>
          <w:sz w:val="24"/>
        </w:rPr>
        <w:t>，二号联合站现状采出水量</w:t>
      </w:r>
      <w:r>
        <w:rPr>
          <w:rFonts w:hint="eastAsia"/>
          <w:sz w:val="24"/>
        </w:rPr>
        <w:t>7560m</w:t>
      </w:r>
      <w:r>
        <w:rPr>
          <w:rFonts w:hint="eastAsia"/>
          <w:sz w:val="24"/>
          <w:vertAlign w:val="superscript"/>
        </w:rPr>
        <w:t>3</w:t>
      </w:r>
      <w:r>
        <w:rPr>
          <w:rFonts w:hint="eastAsia"/>
          <w:sz w:val="24"/>
        </w:rPr>
        <w:t>/d</w:t>
      </w:r>
      <w:r>
        <w:rPr>
          <w:rFonts w:hint="eastAsia"/>
          <w:sz w:val="24"/>
        </w:rPr>
        <w:t>。经校核春风二号联合站能满足新增液量处理需求，详见表</w:t>
      </w:r>
      <w:r>
        <w:rPr>
          <w:rFonts w:hint="eastAsia"/>
          <w:sz w:val="24"/>
        </w:rPr>
        <w:t>3</w:t>
      </w:r>
      <w:r>
        <w:rPr>
          <w:rFonts w:hint="eastAsia"/>
          <w:sz w:val="24"/>
        </w:rPr>
        <w:t>-3</w:t>
      </w:r>
      <w:r>
        <w:rPr>
          <w:rFonts w:hint="eastAsia"/>
          <w:sz w:val="24"/>
        </w:rPr>
        <w:t>-</w:t>
      </w:r>
      <w:r>
        <w:rPr>
          <w:rFonts w:hint="eastAsia"/>
          <w:sz w:val="24"/>
        </w:rPr>
        <w:t>27</w:t>
      </w:r>
      <w:r>
        <w:rPr>
          <w:rFonts w:hint="eastAsia"/>
          <w:sz w:val="24"/>
        </w:rPr>
        <w:t>春风二号联合站能力校核表。春风二号联合站现有处理总体能力可满足本工程进站处理要求</w:t>
      </w:r>
      <w:r>
        <w:rPr>
          <w:sz w:val="24"/>
        </w:rPr>
        <w:t>。</w:t>
      </w:r>
    </w:p>
    <w:p w:rsidR="00EE4502" w:rsidRDefault="00FD45A3">
      <w:pPr>
        <w:spacing w:line="360" w:lineRule="auto"/>
        <w:jc w:val="center"/>
        <w:rPr>
          <w:sz w:val="24"/>
        </w:rPr>
      </w:pPr>
      <w:r>
        <w:rPr>
          <w:rFonts w:hint="eastAsia"/>
          <w:sz w:val="24"/>
        </w:rPr>
        <w:t>表</w:t>
      </w:r>
      <w:r>
        <w:rPr>
          <w:rFonts w:hint="eastAsia"/>
          <w:sz w:val="24"/>
        </w:rPr>
        <w:t>3-3-2</w:t>
      </w:r>
      <w:r>
        <w:rPr>
          <w:rFonts w:hint="eastAsia"/>
          <w:sz w:val="24"/>
        </w:rPr>
        <w:t>9</w:t>
      </w:r>
      <w:r>
        <w:rPr>
          <w:rFonts w:hint="eastAsia"/>
          <w:sz w:val="24"/>
        </w:rPr>
        <w:t xml:space="preserve">  </w:t>
      </w:r>
      <w:r>
        <w:rPr>
          <w:rFonts w:hint="eastAsia"/>
          <w:sz w:val="24"/>
        </w:rPr>
        <w:t>春风二号联合站能力校核表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1434"/>
        <w:gridCol w:w="1584"/>
        <w:gridCol w:w="1498"/>
        <w:gridCol w:w="1425"/>
        <w:gridCol w:w="1309"/>
      </w:tblGrid>
      <w:tr w:rsidR="00EE4502">
        <w:trPr>
          <w:trHeight w:val="397"/>
          <w:jc w:val="center"/>
        </w:trPr>
        <w:tc>
          <w:tcPr>
            <w:tcW w:w="746" w:type="pct"/>
            <w:vAlign w:val="center"/>
          </w:tcPr>
          <w:p w:rsidR="00EE4502" w:rsidRDefault="00FD45A3">
            <w:pPr>
              <w:jc w:val="center"/>
              <w:rPr>
                <w:rFonts w:hAnsi="宋体"/>
                <w:kern w:val="21"/>
                <w:szCs w:val="21"/>
              </w:rPr>
            </w:pPr>
            <w:bookmarkStart w:id="103" w:name="_Toc27804"/>
            <w:bookmarkStart w:id="104" w:name="_Toc148518902"/>
            <w:bookmarkStart w:id="105" w:name="OLE_LINK169" w:colFirst="1" w:colLast="5"/>
            <w:r>
              <w:rPr>
                <w:rFonts w:hAnsi="宋体" w:hint="eastAsia"/>
                <w:kern w:val="21"/>
                <w:szCs w:val="21"/>
              </w:rPr>
              <w:t>名称</w:t>
            </w:r>
            <w:bookmarkEnd w:id="103"/>
            <w:bookmarkEnd w:id="104"/>
          </w:p>
        </w:tc>
        <w:tc>
          <w:tcPr>
            <w:tcW w:w="841" w:type="pct"/>
            <w:vAlign w:val="center"/>
          </w:tcPr>
          <w:p w:rsidR="00EE4502" w:rsidRDefault="00FD45A3">
            <w:pPr>
              <w:jc w:val="center"/>
              <w:rPr>
                <w:rFonts w:hAnsi="宋体"/>
                <w:kern w:val="21"/>
                <w:szCs w:val="21"/>
              </w:rPr>
            </w:pPr>
            <w:bookmarkStart w:id="106" w:name="_Toc28286"/>
            <w:bookmarkStart w:id="107" w:name="_Toc148518903"/>
            <w:r>
              <w:rPr>
                <w:rFonts w:hAnsi="宋体" w:hint="eastAsia"/>
                <w:kern w:val="21"/>
                <w:szCs w:val="21"/>
              </w:rPr>
              <w:t>处理系统</w:t>
            </w:r>
            <w:bookmarkEnd w:id="106"/>
            <w:bookmarkEnd w:id="107"/>
          </w:p>
        </w:tc>
        <w:tc>
          <w:tcPr>
            <w:tcW w:w="929" w:type="pct"/>
            <w:vAlign w:val="center"/>
          </w:tcPr>
          <w:p w:rsidR="00EE4502" w:rsidRDefault="00FD45A3">
            <w:pPr>
              <w:jc w:val="center"/>
              <w:rPr>
                <w:rFonts w:hAnsi="宋体"/>
                <w:kern w:val="21"/>
                <w:szCs w:val="21"/>
              </w:rPr>
            </w:pPr>
            <w:bookmarkStart w:id="108" w:name="_Toc23636"/>
            <w:bookmarkStart w:id="109" w:name="_Toc148518904"/>
            <w:r>
              <w:rPr>
                <w:rFonts w:hAnsi="宋体" w:hint="eastAsia"/>
                <w:kern w:val="21"/>
                <w:szCs w:val="21"/>
              </w:rPr>
              <w:t>处理量</w:t>
            </w:r>
            <w:bookmarkEnd w:id="108"/>
            <w:bookmarkEnd w:id="109"/>
          </w:p>
        </w:tc>
        <w:tc>
          <w:tcPr>
            <w:tcW w:w="878" w:type="pct"/>
            <w:vAlign w:val="center"/>
          </w:tcPr>
          <w:p w:rsidR="00EE4502" w:rsidRDefault="00FD45A3">
            <w:pPr>
              <w:jc w:val="center"/>
              <w:rPr>
                <w:rFonts w:hAnsi="宋体"/>
                <w:kern w:val="21"/>
                <w:szCs w:val="21"/>
              </w:rPr>
            </w:pPr>
            <w:bookmarkStart w:id="110" w:name="_Toc148518905"/>
            <w:bookmarkStart w:id="111" w:name="_Toc2961"/>
            <w:r>
              <w:rPr>
                <w:rFonts w:hAnsi="宋体" w:hint="eastAsia"/>
                <w:kern w:val="21"/>
                <w:szCs w:val="21"/>
              </w:rPr>
              <w:t>现状</w:t>
            </w:r>
            <w:bookmarkEnd w:id="110"/>
            <w:bookmarkEnd w:id="111"/>
          </w:p>
        </w:tc>
        <w:tc>
          <w:tcPr>
            <w:tcW w:w="835" w:type="pct"/>
            <w:vAlign w:val="center"/>
          </w:tcPr>
          <w:p w:rsidR="00EE4502" w:rsidRDefault="00FD45A3">
            <w:pPr>
              <w:jc w:val="center"/>
              <w:rPr>
                <w:rFonts w:hAnsi="宋体"/>
                <w:kern w:val="21"/>
                <w:szCs w:val="21"/>
              </w:rPr>
            </w:pPr>
            <w:r>
              <w:rPr>
                <w:rFonts w:hAnsi="宋体" w:hint="eastAsia"/>
                <w:kern w:val="21"/>
                <w:szCs w:val="21"/>
              </w:rPr>
              <w:t>本工程</w:t>
            </w:r>
          </w:p>
        </w:tc>
        <w:tc>
          <w:tcPr>
            <w:tcW w:w="767" w:type="pct"/>
            <w:vAlign w:val="center"/>
          </w:tcPr>
          <w:p w:rsidR="00EE4502" w:rsidRDefault="00FD45A3">
            <w:pPr>
              <w:jc w:val="center"/>
              <w:rPr>
                <w:rFonts w:hAnsi="宋体"/>
                <w:kern w:val="21"/>
                <w:szCs w:val="21"/>
              </w:rPr>
            </w:pPr>
            <w:bookmarkStart w:id="112" w:name="_Toc148518907"/>
            <w:bookmarkStart w:id="113" w:name="_Toc18092"/>
            <w:r>
              <w:rPr>
                <w:rFonts w:hAnsi="宋体" w:hint="eastAsia"/>
                <w:kern w:val="21"/>
                <w:szCs w:val="21"/>
              </w:rPr>
              <w:t>是否满足</w:t>
            </w:r>
            <w:bookmarkEnd w:id="112"/>
            <w:bookmarkEnd w:id="113"/>
          </w:p>
        </w:tc>
      </w:tr>
      <w:tr w:rsidR="00EE4502">
        <w:trPr>
          <w:trHeight w:val="397"/>
          <w:jc w:val="center"/>
        </w:trPr>
        <w:tc>
          <w:tcPr>
            <w:tcW w:w="746" w:type="pct"/>
            <w:vMerge w:val="restart"/>
            <w:vAlign w:val="center"/>
          </w:tcPr>
          <w:p w:rsidR="00EE4502" w:rsidRDefault="00FD45A3">
            <w:pPr>
              <w:jc w:val="center"/>
              <w:rPr>
                <w:rFonts w:hAnsi="宋体"/>
                <w:kern w:val="21"/>
                <w:szCs w:val="21"/>
              </w:rPr>
            </w:pPr>
            <w:bookmarkStart w:id="114" w:name="_Toc148518908"/>
            <w:bookmarkStart w:id="115" w:name="_Toc29312"/>
            <w:r>
              <w:rPr>
                <w:rFonts w:hAnsi="宋体" w:hint="eastAsia"/>
                <w:kern w:val="21"/>
                <w:szCs w:val="21"/>
              </w:rPr>
              <w:t>春风二号联</w:t>
            </w:r>
            <w:bookmarkEnd w:id="114"/>
            <w:bookmarkEnd w:id="115"/>
          </w:p>
        </w:tc>
        <w:tc>
          <w:tcPr>
            <w:tcW w:w="841" w:type="pct"/>
            <w:vAlign w:val="center"/>
          </w:tcPr>
          <w:p w:rsidR="00EE4502" w:rsidRDefault="00FD45A3">
            <w:pPr>
              <w:jc w:val="center"/>
              <w:rPr>
                <w:rFonts w:hAnsi="宋体"/>
                <w:kern w:val="21"/>
                <w:szCs w:val="21"/>
              </w:rPr>
            </w:pPr>
            <w:bookmarkStart w:id="116" w:name="_Toc27687"/>
            <w:bookmarkStart w:id="117" w:name="_Toc148518909"/>
            <w:r>
              <w:rPr>
                <w:rFonts w:hAnsi="宋体" w:hint="eastAsia"/>
                <w:kern w:val="21"/>
                <w:szCs w:val="21"/>
              </w:rPr>
              <w:t>原油</w:t>
            </w:r>
            <w:bookmarkEnd w:id="116"/>
            <w:bookmarkEnd w:id="117"/>
          </w:p>
        </w:tc>
        <w:tc>
          <w:tcPr>
            <w:tcW w:w="929" w:type="pct"/>
            <w:vAlign w:val="center"/>
          </w:tcPr>
          <w:p w:rsidR="00EE4502" w:rsidRDefault="00FD45A3">
            <w:pPr>
              <w:jc w:val="center"/>
              <w:rPr>
                <w:rFonts w:hAnsi="宋体"/>
                <w:kern w:val="21"/>
                <w:szCs w:val="21"/>
              </w:rPr>
            </w:pPr>
            <w:bookmarkStart w:id="118" w:name="_Toc148518910"/>
            <w:bookmarkStart w:id="119" w:name="_Toc20793"/>
            <w:r>
              <w:rPr>
                <w:rFonts w:hAnsi="宋体" w:hint="eastAsia"/>
                <w:kern w:val="21"/>
                <w:szCs w:val="21"/>
              </w:rPr>
              <w:t>60</w:t>
            </w:r>
            <w:r>
              <w:rPr>
                <w:rFonts w:hAnsi="宋体" w:hint="eastAsia"/>
                <w:kern w:val="21"/>
                <w:szCs w:val="21"/>
              </w:rPr>
              <w:t>×</w:t>
            </w:r>
            <w:r>
              <w:rPr>
                <w:rFonts w:hAnsi="宋体" w:hint="eastAsia"/>
                <w:kern w:val="21"/>
                <w:szCs w:val="21"/>
              </w:rPr>
              <w:t>10</w:t>
            </w:r>
            <w:r>
              <w:rPr>
                <w:rFonts w:hAnsi="宋体" w:hint="eastAsia"/>
                <w:kern w:val="21"/>
                <w:szCs w:val="21"/>
                <w:vertAlign w:val="superscript"/>
              </w:rPr>
              <w:t>4</w:t>
            </w:r>
            <w:r>
              <w:rPr>
                <w:rFonts w:hAnsi="宋体" w:hint="eastAsia"/>
                <w:kern w:val="21"/>
                <w:szCs w:val="21"/>
              </w:rPr>
              <w:t>t/a</w:t>
            </w:r>
            <w:bookmarkEnd w:id="118"/>
            <w:bookmarkEnd w:id="119"/>
          </w:p>
        </w:tc>
        <w:tc>
          <w:tcPr>
            <w:tcW w:w="878" w:type="pct"/>
            <w:vAlign w:val="center"/>
          </w:tcPr>
          <w:p w:rsidR="00EE4502" w:rsidRDefault="00FD45A3">
            <w:pPr>
              <w:jc w:val="center"/>
              <w:rPr>
                <w:rFonts w:hAnsi="宋体"/>
                <w:kern w:val="21"/>
                <w:szCs w:val="21"/>
              </w:rPr>
            </w:pPr>
            <w:bookmarkStart w:id="120" w:name="_Toc4004"/>
            <w:bookmarkStart w:id="121" w:name="_Toc148518911"/>
            <w:r>
              <w:rPr>
                <w:rFonts w:hAnsi="宋体" w:hint="eastAsia"/>
                <w:kern w:val="21"/>
                <w:szCs w:val="21"/>
              </w:rPr>
              <w:t>46</w:t>
            </w:r>
            <w:r>
              <w:rPr>
                <w:rFonts w:hAnsi="宋体" w:hint="eastAsia"/>
                <w:kern w:val="21"/>
                <w:szCs w:val="21"/>
              </w:rPr>
              <w:t>×</w:t>
            </w:r>
            <w:r>
              <w:rPr>
                <w:rFonts w:hAnsi="宋体" w:hint="eastAsia"/>
                <w:kern w:val="21"/>
                <w:szCs w:val="21"/>
              </w:rPr>
              <w:t>10</w:t>
            </w:r>
            <w:r>
              <w:rPr>
                <w:rFonts w:hAnsi="宋体" w:hint="eastAsia"/>
                <w:kern w:val="21"/>
                <w:szCs w:val="21"/>
                <w:vertAlign w:val="superscript"/>
              </w:rPr>
              <w:t>4</w:t>
            </w:r>
            <w:r>
              <w:rPr>
                <w:rFonts w:hAnsi="宋体" w:hint="eastAsia"/>
                <w:kern w:val="21"/>
                <w:szCs w:val="21"/>
              </w:rPr>
              <w:t>t/a</w:t>
            </w:r>
            <w:bookmarkEnd w:id="120"/>
            <w:bookmarkEnd w:id="121"/>
          </w:p>
        </w:tc>
        <w:tc>
          <w:tcPr>
            <w:tcW w:w="835" w:type="pct"/>
            <w:vAlign w:val="center"/>
          </w:tcPr>
          <w:p w:rsidR="00EE4502" w:rsidRDefault="00FD45A3">
            <w:pPr>
              <w:jc w:val="center"/>
              <w:rPr>
                <w:rFonts w:hAnsi="宋体"/>
                <w:kern w:val="21"/>
                <w:szCs w:val="21"/>
              </w:rPr>
            </w:pPr>
            <w:bookmarkStart w:id="122" w:name="_Toc148518912"/>
            <w:bookmarkStart w:id="123" w:name="_Toc8304"/>
            <w:r>
              <w:rPr>
                <w:rFonts w:hAnsi="宋体" w:hint="eastAsia"/>
                <w:kern w:val="21"/>
                <w:szCs w:val="21"/>
              </w:rPr>
              <w:t>3</w:t>
            </w:r>
            <w:r>
              <w:rPr>
                <w:rFonts w:hAnsi="宋体" w:hint="eastAsia"/>
                <w:kern w:val="21"/>
                <w:szCs w:val="21"/>
              </w:rPr>
              <w:t>×</w:t>
            </w:r>
            <w:r>
              <w:rPr>
                <w:rFonts w:hAnsi="宋体" w:hint="eastAsia"/>
                <w:kern w:val="21"/>
                <w:szCs w:val="21"/>
              </w:rPr>
              <w:t>10</w:t>
            </w:r>
            <w:r>
              <w:rPr>
                <w:rFonts w:hAnsi="宋体" w:hint="eastAsia"/>
                <w:kern w:val="21"/>
                <w:szCs w:val="21"/>
                <w:vertAlign w:val="superscript"/>
              </w:rPr>
              <w:t>4</w:t>
            </w:r>
            <w:r>
              <w:rPr>
                <w:rFonts w:hAnsi="宋体" w:hint="eastAsia"/>
                <w:kern w:val="21"/>
                <w:szCs w:val="21"/>
              </w:rPr>
              <w:t>t/a</w:t>
            </w:r>
            <w:bookmarkEnd w:id="122"/>
            <w:bookmarkEnd w:id="123"/>
          </w:p>
        </w:tc>
        <w:tc>
          <w:tcPr>
            <w:tcW w:w="767" w:type="pct"/>
            <w:vAlign w:val="center"/>
          </w:tcPr>
          <w:p w:rsidR="00EE4502" w:rsidRDefault="00FD45A3">
            <w:pPr>
              <w:jc w:val="center"/>
              <w:rPr>
                <w:rFonts w:hAnsi="宋体"/>
                <w:kern w:val="21"/>
                <w:szCs w:val="21"/>
              </w:rPr>
            </w:pPr>
            <w:bookmarkStart w:id="124" w:name="_Toc2834"/>
            <w:bookmarkStart w:id="125" w:name="_Toc148518913"/>
            <w:r>
              <w:rPr>
                <w:rFonts w:hAnsi="宋体" w:hint="eastAsia"/>
                <w:kern w:val="21"/>
                <w:szCs w:val="21"/>
              </w:rPr>
              <w:t>是</w:t>
            </w:r>
            <w:bookmarkEnd w:id="124"/>
            <w:bookmarkEnd w:id="125"/>
          </w:p>
        </w:tc>
      </w:tr>
      <w:tr w:rsidR="00EE4502">
        <w:trPr>
          <w:trHeight w:val="397"/>
          <w:jc w:val="center"/>
        </w:trPr>
        <w:tc>
          <w:tcPr>
            <w:tcW w:w="746" w:type="pct"/>
            <w:vMerge/>
            <w:vAlign w:val="center"/>
          </w:tcPr>
          <w:p w:rsidR="00EE4502" w:rsidRDefault="00EE4502">
            <w:pPr>
              <w:jc w:val="center"/>
              <w:rPr>
                <w:rFonts w:hAnsi="宋体"/>
                <w:kern w:val="21"/>
                <w:szCs w:val="21"/>
              </w:rPr>
            </w:pPr>
          </w:p>
        </w:tc>
        <w:tc>
          <w:tcPr>
            <w:tcW w:w="841" w:type="pct"/>
            <w:vAlign w:val="center"/>
          </w:tcPr>
          <w:p w:rsidR="00EE4502" w:rsidRDefault="00FD45A3">
            <w:pPr>
              <w:jc w:val="center"/>
              <w:rPr>
                <w:rFonts w:hAnsi="宋体"/>
                <w:kern w:val="21"/>
                <w:szCs w:val="21"/>
              </w:rPr>
            </w:pPr>
            <w:bookmarkStart w:id="126" w:name="_Toc148518914"/>
            <w:bookmarkStart w:id="127" w:name="_Toc12430"/>
            <w:r>
              <w:rPr>
                <w:rFonts w:hAnsi="宋体" w:hint="eastAsia"/>
                <w:kern w:val="21"/>
                <w:szCs w:val="21"/>
              </w:rPr>
              <w:t>采出水</w:t>
            </w:r>
            <w:bookmarkEnd w:id="126"/>
            <w:bookmarkEnd w:id="127"/>
          </w:p>
        </w:tc>
        <w:tc>
          <w:tcPr>
            <w:tcW w:w="929" w:type="pct"/>
            <w:vAlign w:val="center"/>
          </w:tcPr>
          <w:p w:rsidR="00EE4502" w:rsidRDefault="00FD45A3">
            <w:pPr>
              <w:jc w:val="center"/>
              <w:rPr>
                <w:rFonts w:hAnsi="宋体"/>
                <w:kern w:val="21"/>
                <w:szCs w:val="21"/>
              </w:rPr>
            </w:pPr>
            <w:bookmarkStart w:id="128" w:name="_Toc6817"/>
            <w:bookmarkStart w:id="129" w:name="_Toc148518915"/>
            <w:r>
              <w:rPr>
                <w:rFonts w:hAnsi="宋体" w:hint="eastAsia"/>
                <w:kern w:val="21"/>
                <w:szCs w:val="21"/>
              </w:rPr>
              <w:t>10000m</w:t>
            </w:r>
            <w:r>
              <w:rPr>
                <w:rFonts w:hAnsi="宋体" w:hint="eastAsia"/>
                <w:kern w:val="21"/>
                <w:szCs w:val="21"/>
                <w:vertAlign w:val="superscript"/>
              </w:rPr>
              <w:t>3</w:t>
            </w:r>
            <w:r>
              <w:rPr>
                <w:rFonts w:hAnsi="宋体" w:hint="eastAsia"/>
                <w:kern w:val="21"/>
                <w:szCs w:val="21"/>
              </w:rPr>
              <w:t>/d</w:t>
            </w:r>
            <w:bookmarkEnd w:id="128"/>
            <w:bookmarkEnd w:id="129"/>
          </w:p>
        </w:tc>
        <w:tc>
          <w:tcPr>
            <w:tcW w:w="878" w:type="pct"/>
            <w:vAlign w:val="center"/>
          </w:tcPr>
          <w:p w:rsidR="00EE4502" w:rsidRDefault="00FD45A3">
            <w:pPr>
              <w:jc w:val="center"/>
              <w:rPr>
                <w:rFonts w:hAnsi="宋体"/>
                <w:kern w:val="21"/>
                <w:szCs w:val="21"/>
              </w:rPr>
            </w:pPr>
            <w:bookmarkStart w:id="130" w:name="_Toc148518916"/>
            <w:bookmarkStart w:id="131" w:name="_Toc27843"/>
            <w:r>
              <w:rPr>
                <w:rFonts w:hAnsi="宋体" w:hint="eastAsia"/>
                <w:kern w:val="21"/>
                <w:szCs w:val="21"/>
              </w:rPr>
              <w:t>7560m</w:t>
            </w:r>
            <w:r>
              <w:rPr>
                <w:rFonts w:hAnsi="宋体" w:hint="eastAsia"/>
                <w:kern w:val="21"/>
                <w:szCs w:val="21"/>
                <w:vertAlign w:val="superscript"/>
              </w:rPr>
              <w:t>3</w:t>
            </w:r>
            <w:r>
              <w:rPr>
                <w:rFonts w:hAnsi="宋体" w:hint="eastAsia"/>
                <w:kern w:val="21"/>
                <w:szCs w:val="21"/>
              </w:rPr>
              <w:t>/d</w:t>
            </w:r>
            <w:bookmarkEnd w:id="130"/>
            <w:bookmarkEnd w:id="131"/>
          </w:p>
        </w:tc>
        <w:tc>
          <w:tcPr>
            <w:tcW w:w="835" w:type="pct"/>
            <w:vAlign w:val="center"/>
          </w:tcPr>
          <w:p w:rsidR="00EE4502" w:rsidRDefault="00FD45A3">
            <w:pPr>
              <w:jc w:val="center"/>
              <w:rPr>
                <w:rFonts w:hAnsi="宋体"/>
                <w:kern w:val="21"/>
                <w:szCs w:val="21"/>
              </w:rPr>
            </w:pPr>
            <w:bookmarkStart w:id="132" w:name="OLE_LINK318"/>
            <w:bookmarkStart w:id="133" w:name="_Toc148518917"/>
            <w:bookmarkStart w:id="134" w:name="_Toc9599"/>
            <w:r>
              <w:rPr>
                <w:rFonts w:hAnsi="宋体" w:hint="eastAsia"/>
                <w:kern w:val="21"/>
                <w:szCs w:val="21"/>
              </w:rPr>
              <w:t>2102.1</w:t>
            </w:r>
            <w:bookmarkEnd w:id="132"/>
            <w:r>
              <w:rPr>
                <w:rFonts w:hAnsi="宋体" w:hint="eastAsia"/>
                <w:kern w:val="21"/>
                <w:szCs w:val="21"/>
              </w:rPr>
              <w:t>m</w:t>
            </w:r>
            <w:r>
              <w:rPr>
                <w:rFonts w:hAnsi="宋体" w:hint="eastAsia"/>
                <w:kern w:val="21"/>
                <w:szCs w:val="21"/>
                <w:vertAlign w:val="superscript"/>
              </w:rPr>
              <w:t>3</w:t>
            </w:r>
            <w:r>
              <w:rPr>
                <w:rFonts w:hAnsi="宋体" w:hint="eastAsia"/>
                <w:kern w:val="21"/>
                <w:szCs w:val="21"/>
              </w:rPr>
              <w:t>/d</w:t>
            </w:r>
            <w:bookmarkEnd w:id="133"/>
            <w:bookmarkEnd w:id="134"/>
          </w:p>
        </w:tc>
        <w:tc>
          <w:tcPr>
            <w:tcW w:w="767" w:type="pct"/>
            <w:vAlign w:val="center"/>
          </w:tcPr>
          <w:p w:rsidR="00EE4502" w:rsidRDefault="00FD45A3">
            <w:pPr>
              <w:jc w:val="center"/>
              <w:rPr>
                <w:rFonts w:hAnsi="宋体"/>
                <w:kern w:val="21"/>
                <w:szCs w:val="21"/>
              </w:rPr>
            </w:pPr>
            <w:bookmarkStart w:id="135" w:name="_Toc3416"/>
            <w:bookmarkStart w:id="136" w:name="_Toc148518918"/>
            <w:r>
              <w:rPr>
                <w:rFonts w:hAnsi="宋体" w:hint="eastAsia"/>
                <w:kern w:val="21"/>
                <w:szCs w:val="21"/>
              </w:rPr>
              <w:t>是</w:t>
            </w:r>
            <w:bookmarkEnd w:id="135"/>
            <w:bookmarkEnd w:id="136"/>
          </w:p>
        </w:tc>
      </w:tr>
      <w:bookmarkEnd w:id="105"/>
    </w:tbl>
    <w:p w:rsidR="00EE4502" w:rsidRDefault="00EE4502">
      <w:pPr>
        <w:spacing w:line="360" w:lineRule="auto"/>
        <w:jc w:val="center"/>
        <w:rPr>
          <w:sz w:val="24"/>
        </w:rPr>
      </w:pPr>
    </w:p>
    <w:p w:rsidR="00EE4502" w:rsidRDefault="00FD45A3">
      <w:pPr>
        <w:pStyle w:val="41"/>
        <w:numPr>
          <w:ilvl w:val="3"/>
          <w:numId w:val="30"/>
        </w:numPr>
        <w:adjustRightInd/>
        <w:snapToGrid/>
        <w:spacing w:beforeLines="0" w:before="0" w:line="360" w:lineRule="auto"/>
        <w:rPr>
          <w:rFonts w:ascii="Times New Roman" w:eastAsia="宋体" w:hAnsi="Times New Roman"/>
          <w:bCs w:val="0"/>
          <w:sz w:val="24"/>
          <w:szCs w:val="24"/>
        </w:rPr>
      </w:pPr>
      <w:bookmarkStart w:id="137" w:name="_Toc71785166"/>
      <w:bookmarkStart w:id="138" w:name="_Toc97967443"/>
      <w:bookmarkStart w:id="139" w:name="_Toc113674983"/>
      <w:bookmarkStart w:id="140" w:name="_Toc71000335"/>
      <w:bookmarkStart w:id="141" w:name="_Toc89678781"/>
      <w:bookmarkStart w:id="142" w:name="_Toc97475439"/>
      <w:bookmarkStart w:id="143" w:name="_Toc113674900"/>
      <w:bookmarkStart w:id="144" w:name="_Toc71006471"/>
      <w:bookmarkStart w:id="145" w:name="_Toc89678574"/>
      <w:bookmarkStart w:id="146" w:name="_Toc113162305"/>
      <w:bookmarkStart w:id="147" w:name="_Toc89678691"/>
      <w:bookmarkStart w:id="148" w:name="_Toc113162126"/>
      <w:bookmarkStart w:id="149" w:name="_Toc71784789"/>
      <w:bookmarkStart w:id="150" w:name="_Toc98209761"/>
      <w:bookmarkStart w:id="151" w:name="_Toc119827489"/>
      <w:bookmarkEnd w:id="66"/>
      <w:bookmarkEnd w:id="67"/>
      <w:bookmarkEnd w:id="68"/>
      <w:bookmarkEnd w:id="69"/>
      <w:bookmarkEnd w:id="70"/>
      <w:bookmarkEnd w:id="71"/>
      <w:bookmarkEnd w:id="72"/>
      <w:bookmarkEnd w:id="73"/>
      <w:r>
        <w:rPr>
          <w:rFonts w:ascii="Times New Roman" w:eastAsia="宋体" w:hAnsi="Times New Roman" w:hint="eastAsia"/>
          <w:bCs w:val="0"/>
          <w:sz w:val="24"/>
          <w:szCs w:val="24"/>
        </w:rPr>
        <w:t>生产废水处理设施及依托可行性分析</w:t>
      </w:r>
    </w:p>
    <w:p w:rsidR="00EE4502" w:rsidRDefault="00FD45A3">
      <w:pPr>
        <w:spacing w:line="360" w:lineRule="auto"/>
        <w:ind w:firstLineChars="200" w:firstLine="480"/>
        <w:rPr>
          <w:sz w:val="24"/>
        </w:rPr>
      </w:pPr>
      <w:r>
        <w:rPr>
          <w:rFonts w:hint="eastAsia"/>
          <w:sz w:val="24"/>
        </w:rPr>
        <w:t>（</w:t>
      </w:r>
      <w:r>
        <w:rPr>
          <w:rFonts w:hint="eastAsia"/>
          <w:sz w:val="24"/>
        </w:rPr>
        <w:t>1</w:t>
      </w:r>
      <w:r>
        <w:rPr>
          <w:rFonts w:hint="eastAsia"/>
          <w:sz w:val="24"/>
        </w:rPr>
        <w:t>）采出水处理设施运行现状</w:t>
      </w:r>
    </w:p>
    <w:p w:rsidR="00EE4502" w:rsidRDefault="00FD45A3">
      <w:pPr>
        <w:spacing w:line="360" w:lineRule="auto"/>
        <w:ind w:firstLineChars="200" w:firstLine="480"/>
        <w:rPr>
          <w:sz w:val="24"/>
        </w:rPr>
      </w:pPr>
      <w:r>
        <w:rPr>
          <w:rFonts w:hint="eastAsia"/>
          <w:sz w:val="24"/>
        </w:rPr>
        <w:t>本工程生产废水依托春风二号联合站进行处理。春风二号联合站采出水处理系统设计处理能力</w:t>
      </w:r>
      <w:r>
        <w:rPr>
          <w:rFonts w:hint="eastAsia"/>
          <w:sz w:val="24"/>
        </w:rPr>
        <w:t>10000m</w:t>
      </w:r>
      <w:r>
        <w:rPr>
          <w:rFonts w:hint="eastAsia"/>
          <w:sz w:val="24"/>
          <w:vertAlign w:val="superscript"/>
        </w:rPr>
        <w:t>3</w:t>
      </w:r>
      <w:r>
        <w:rPr>
          <w:rFonts w:hint="eastAsia"/>
          <w:sz w:val="24"/>
        </w:rPr>
        <w:t>/d</w:t>
      </w:r>
      <w:r>
        <w:rPr>
          <w:rFonts w:hint="eastAsia"/>
          <w:sz w:val="24"/>
        </w:rPr>
        <w:t>，现状处理水量</w:t>
      </w:r>
      <w:r>
        <w:rPr>
          <w:rFonts w:hint="eastAsia"/>
          <w:sz w:val="24"/>
        </w:rPr>
        <w:t>7560m</w:t>
      </w:r>
      <w:r>
        <w:rPr>
          <w:rFonts w:hint="eastAsia"/>
          <w:sz w:val="24"/>
          <w:vertAlign w:val="superscript"/>
        </w:rPr>
        <w:t>3</w:t>
      </w:r>
      <w:r>
        <w:rPr>
          <w:rFonts w:hint="eastAsia"/>
          <w:sz w:val="24"/>
        </w:rPr>
        <w:t>/d</w:t>
      </w:r>
      <w:r>
        <w:rPr>
          <w:rFonts w:hint="eastAsia"/>
          <w:sz w:val="24"/>
        </w:rPr>
        <w:t>。含油采出水处理工艺流程为：</w:t>
      </w:r>
    </w:p>
    <w:p w:rsidR="00EE4502" w:rsidRDefault="00FD45A3">
      <w:pPr>
        <w:spacing w:line="360" w:lineRule="auto"/>
        <w:ind w:firstLineChars="200" w:firstLine="480"/>
        <w:rPr>
          <w:sz w:val="24"/>
        </w:rPr>
      </w:pPr>
      <w:r>
        <w:rPr>
          <w:rFonts w:hint="eastAsia"/>
          <w:sz w:val="24"/>
        </w:rPr>
        <w:t>油站来水→一次除油罐→二次除油罐→提升缓冲罐→采出水提升泵→多介质（双滤料）过滤装置→外输缓冲罐→外输泵→回注站</w:t>
      </w:r>
    </w:p>
    <w:p w:rsidR="00EE4502" w:rsidRDefault="00FD45A3">
      <w:pPr>
        <w:spacing w:line="360" w:lineRule="auto"/>
        <w:ind w:firstLineChars="200" w:firstLine="480"/>
        <w:rPr>
          <w:sz w:val="24"/>
        </w:rPr>
      </w:pPr>
      <w:r>
        <w:rPr>
          <w:rFonts w:hint="eastAsia"/>
          <w:sz w:val="24"/>
        </w:rPr>
        <w:t>处理后的水质主要控制指标如下：</w:t>
      </w:r>
    </w:p>
    <w:p w:rsidR="00EE4502" w:rsidRDefault="00FD45A3">
      <w:pPr>
        <w:spacing w:line="360" w:lineRule="auto"/>
        <w:ind w:firstLineChars="200" w:firstLine="480"/>
        <w:rPr>
          <w:sz w:val="24"/>
        </w:rPr>
      </w:pPr>
      <w:r>
        <w:rPr>
          <w:rFonts w:hint="eastAsia"/>
          <w:sz w:val="24"/>
        </w:rPr>
        <w:t>含油量</w:t>
      </w:r>
      <w:r>
        <w:rPr>
          <w:rFonts w:hint="eastAsia"/>
          <w:sz w:val="24"/>
        </w:rPr>
        <w:t xml:space="preserve">                 </w:t>
      </w:r>
      <w:r>
        <w:rPr>
          <w:rFonts w:hint="eastAsia"/>
          <w:sz w:val="24"/>
        </w:rPr>
        <w:t>≤</w:t>
      </w:r>
      <w:r>
        <w:rPr>
          <w:rFonts w:hint="eastAsia"/>
          <w:sz w:val="24"/>
        </w:rPr>
        <w:t>50.0mg/L</w:t>
      </w:r>
    </w:p>
    <w:p w:rsidR="00EE4502" w:rsidRDefault="00FD45A3">
      <w:pPr>
        <w:spacing w:line="360" w:lineRule="auto"/>
        <w:ind w:firstLineChars="200" w:firstLine="480"/>
        <w:rPr>
          <w:sz w:val="24"/>
        </w:rPr>
      </w:pPr>
      <w:r>
        <w:rPr>
          <w:rFonts w:hint="eastAsia"/>
          <w:sz w:val="24"/>
        </w:rPr>
        <w:t>悬浮固体含量</w:t>
      </w:r>
      <w:r>
        <w:rPr>
          <w:rFonts w:hint="eastAsia"/>
          <w:sz w:val="24"/>
        </w:rPr>
        <w:tab/>
        <w:t xml:space="preserve">         </w:t>
      </w:r>
      <w:r>
        <w:rPr>
          <w:rFonts w:hint="eastAsia"/>
          <w:sz w:val="24"/>
        </w:rPr>
        <w:t>≤</w:t>
      </w:r>
      <w:r>
        <w:rPr>
          <w:rFonts w:hint="eastAsia"/>
          <w:sz w:val="24"/>
        </w:rPr>
        <w:t>30.0mg/L</w:t>
      </w:r>
    </w:p>
    <w:p w:rsidR="00EE4502" w:rsidRDefault="00FD45A3">
      <w:pPr>
        <w:spacing w:line="360" w:lineRule="auto"/>
        <w:ind w:firstLineChars="200" w:firstLine="480"/>
        <w:rPr>
          <w:sz w:val="24"/>
        </w:rPr>
      </w:pPr>
      <w:r>
        <w:rPr>
          <w:rFonts w:hint="eastAsia"/>
          <w:sz w:val="24"/>
        </w:rPr>
        <w:lastRenderedPageBreak/>
        <w:t>春风二号联合站现有采出水处理能力能够满足本工程处理要求。</w:t>
      </w:r>
    </w:p>
    <w:p w:rsidR="00EE4502" w:rsidRDefault="00FD45A3">
      <w:pPr>
        <w:spacing w:line="360" w:lineRule="auto"/>
        <w:ind w:firstLineChars="200" w:firstLine="480"/>
        <w:rPr>
          <w:sz w:val="24"/>
        </w:rPr>
      </w:pPr>
      <w:r>
        <w:rPr>
          <w:rFonts w:hint="eastAsia"/>
          <w:sz w:val="24"/>
        </w:rPr>
        <w:t>春风油田二号联合站沉降、过滤后的采出</w:t>
      </w:r>
      <w:r>
        <w:rPr>
          <w:rFonts w:hint="eastAsia"/>
          <w:sz w:val="24"/>
        </w:rPr>
        <w:t>水进入春风油田含油污水资源化处理站一期工程进行深度处理后，回用于注汽锅炉。春风油田含油污水资源化处理站一期工程位于春风油田二号联合站西侧，建设单位为新疆宝莫环境工程有限公司。资源化处理站采用蒸发方案，即“二级澄清</w:t>
      </w:r>
      <w:r>
        <w:rPr>
          <w:rFonts w:hint="eastAsia"/>
          <w:sz w:val="24"/>
        </w:rPr>
        <w:t>+</w:t>
      </w:r>
      <w:r>
        <w:rPr>
          <w:rFonts w:hint="eastAsia"/>
          <w:sz w:val="24"/>
        </w:rPr>
        <w:t>二级过滤</w:t>
      </w:r>
      <w:r>
        <w:rPr>
          <w:rFonts w:hint="eastAsia"/>
          <w:sz w:val="24"/>
        </w:rPr>
        <w:t>+</w:t>
      </w:r>
      <w:r>
        <w:rPr>
          <w:rFonts w:hint="eastAsia"/>
          <w:sz w:val="24"/>
        </w:rPr>
        <w:t>机械压缩蒸发（</w:t>
      </w:r>
      <w:r>
        <w:rPr>
          <w:rFonts w:hint="eastAsia"/>
          <w:sz w:val="24"/>
        </w:rPr>
        <w:t>MVC</w:t>
      </w:r>
      <w:r>
        <w:rPr>
          <w:rFonts w:hint="eastAsia"/>
          <w:sz w:val="24"/>
        </w:rPr>
        <w:t>）”工艺，以联合站的出水作为原水，将污水处理至满足注汽锅炉进水水质要求后用于注汽用水。资源化利用产生的副产品水经过混合处理满足回注用水水质标准后进入回注系统进行回注。配套建设污泥、污水池和综合楼等设施。资源化处理站一期工程处理规模为产出锅炉用水</w:t>
      </w:r>
      <w:r>
        <w:rPr>
          <w:rFonts w:hint="eastAsia"/>
          <w:sz w:val="24"/>
        </w:rPr>
        <w:t>7500m</w:t>
      </w:r>
      <w:r>
        <w:rPr>
          <w:rFonts w:hint="eastAsia"/>
          <w:sz w:val="24"/>
          <w:vertAlign w:val="superscript"/>
        </w:rPr>
        <w:t>3</w:t>
      </w:r>
      <w:r>
        <w:rPr>
          <w:rFonts w:hint="eastAsia"/>
          <w:sz w:val="24"/>
        </w:rPr>
        <w:t>/d</w:t>
      </w:r>
      <w:r>
        <w:rPr>
          <w:rFonts w:hint="eastAsia"/>
          <w:sz w:val="24"/>
        </w:rPr>
        <w:t>，目前实</w:t>
      </w:r>
      <w:r>
        <w:rPr>
          <w:rFonts w:hint="eastAsia"/>
          <w:sz w:val="24"/>
        </w:rPr>
        <w:t>际处理量为</w:t>
      </w:r>
      <w:r>
        <w:rPr>
          <w:rFonts w:hint="eastAsia"/>
          <w:sz w:val="24"/>
        </w:rPr>
        <w:t>7000m</w:t>
      </w:r>
      <w:r>
        <w:rPr>
          <w:rFonts w:hint="eastAsia"/>
          <w:sz w:val="24"/>
          <w:vertAlign w:val="superscript"/>
        </w:rPr>
        <w:t>3</w:t>
      </w:r>
      <w:r>
        <w:rPr>
          <w:rFonts w:hint="eastAsia"/>
          <w:sz w:val="24"/>
        </w:rPr>
        <w:t>/d</w:t>
      </w:r>
      <w:r>
        <w:rPr>
          <w:rFonts w:hint="eastAsia"/>
          <w:sz w:val="24"/>
        </w:rPr>
        <w:t>，主要处理春风二号联合站处理后的采出水，当春风二号联合站采出水量小于资源化处理站处理量时，一号联合站处理后的采出水外输进行补充。</w:t>
      </w:r>
    </w:p>
    <w:p w:rsidR="00EE4502" w:rsidRDefault="00FD45A3">
      <w:pPr>
        <w:spacing w:line="360" w:lineRule="auto"/>
        <w:ind w:firstLineChars="200" w:firstLine="480"/>
        <w:rPr>
          <w:sz w:val="24"/>
        </w:rPr>
      </w:pPr>
      <w:r>
        <w:rPr>
          <w:rFonts w:hint="eastAsia"/>
          <w:sz w:val="24"/>
        </w:rPr>
        <w:t>春风油田污水资源化利用一期工程于</w:t>
      </w:r>
      <w:r>
        <w:rPr>
          <w:rFonts w:hint="eastAsia"/>
          <w:sz w:val="24"/>
        </w:rPr>
        <w:t>2014</w:t>
      </w:r>
      <w:r>
        <w:rPr>
          <w:rFonts w:hint="eastAsia"/>
          <w:sz w:val="24"/>
        </w:rPr>
        <w:t>年</w:t>
      </w:r>
      <w:r>
        <w:rPr>
          <w:rFonts w:hint="eastAsia"/>
          <w:sz w:val="24"/>
        </w:rPr>
        <w:t>4</w:t>
      </w:r>
      <w:r>
        <w:rPr>
          <w:rFonts w:hint="eastAsia"/>
          <w:sz w:val="24"/>
        </w:rPr>
        <w:t>月取得克拉玛依市环保局《关于新春采油厂春风油田污水资源化利用一期工程环境影响报告表的批复》（克环保函〔</w:t>
      </w:r>
      <w:r>
        <w:rPr>
          <w:rFonts w:hint="eastAsia"/>
          <w:sz w:val="24"/>
        </w:rPr>
        <w:t>2014</w:t>
      </w:r>
      <w:r>
        <w:rPr>
          <w:rFonts w:hint="eastAsia"/>
          <w:sz w:val="24"/>
        </w:rPr>
        <w:t>〕</w:t>
      </w:r>
      <w:r>
        <w:rPr>
          <w:rFonts w:hint="eastAsia"/>
          <w:sz w:val="24"/>
        </w:rPr>
        <w:t>146</w:t>
      </w:r>
      <w:r>
        <w:rPr>
          <w:rFonts w:hint="eastAsia"/>
          <w:sz w:val="24"/>
        </w:rPr>
        <w:t>号）；</w:t>
      </w:r>
      <w:r>
        <w:rPr>
          <w:rFonts w:hint="eastAsia"/>
          <w:sz w:val="24"/>
        </w:rPr>
        <w:t>2015</w:t>
      </w:r>
      <w:r>
        <w:rPr>
          <w:rFonts w:hint="eastAsia"/>
          <w:sz w:val="24"/>
        </w:rPr>
        <w:t>年</w:t>
      </w:r>
      <w:r>
        <w:rPr>
          <w:rFonts w:hint="eastAsia"/>
          <w:sz w:val="24"/>
        </w:rPr>
        <w:t>9</w:t>
      </w:r>
      <w:r>
        <w:rPr>
          <w:rFonts w:hint="eastAsia"/>
          <w:sz w:val="24"/>
        </w:rPr>
        <w:t>月开工建设，</w:t>
      </w:r>
      <w:r>
        <w:rPr>
          <w:rFonts w:hint="eastAsia"/>
          <w:sz w:val="24"/>
        </w:rPr>
        <w:t>2017</w:t>
      </w:r>
      <w:r>
        <w:rPr>
          <w:rFonts w:hint="eastAsia"/>
          <w:sz w:val="24"/>
        </w:rPr>
        <w:t>年</w:t>
      </w:r>
      <w:r>
        <w:rPr>
          <w:rFonts w:hint="eastAsia"/>
          <w:sz w:val="24"/>
        </w:rPr>
        <w:t>9</w:t>
      </w:r>
      <w:r>
        <w:rPr>
          <w:rFonts w:hint="eastAsia"/>
          <w:sz w:val="24"/>
        </w:rPr>
        <w:t>月建成开始调试运行，</w:t>
      </w:r>
      <w:r>
        <w:rPr>
          <w:rFonts w:hint="eastAsia"/>
          <w:sz w:val="24"/>
        </w:rPr>
        <w:t>2018</w:t>
      </w:r>
      <w:r>
        <w:rPr>
          <w:rFonts w:hint="eastAsia"/>
          <w:sz w:val="24"/>
        </w:rPr>
        <w:t>年</w:t>
      </w:r>
      <w:r>
        <w:rPr>
          <w:rFonts w:hint="eastAsia"/>
          <w:sz w:val="24"/>
        </w:rPr>
        <w:t>3</w:t>
      </w:r>
      <w:r>
        <w:rPr>
          <w:rFonts w:hint="eastAsia"/>
          <w:sz w:val="24"/>
        </w:rPr>
        <w:t>月进行了该工程的竣工环境保护自主验收。依托可行性见表</w:t>
      </w:r>
      <w:r>
        <w:rPr>
          <w:rFonts w:hint="eastAsia"/>
          <w:sz w:val="24"/>
        </w:rPr>
        <w:t>3-3-27</w:t>
      </w:r>
      <w:r>
        <w:rPr>
          <w:rFonts w:hint="eastAsia"/>
          <w:sz w:val="24"/>
        </w:rPr>
        <w:t>。</w:t>
      </w:r>
    </w:p>
    <w:p w:rsidR="00EE4502" w:rsidRDefault="00FD45A3">
      <w:pPr>
        <w:pStyle w:val="41"/>
        <w:numPr>
          <w:ilvl w:val="3"/>
          <w:numId w:val="30"/>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hint="eastAsia"/>
          <w:bCs w:val="0"/>
          <w:sz w:val="24"/>
          <w:szCs w:val="24"/>
        </w:rPr>
        <w:t>克拉玛依前山石油工程服务有限公司</w:t>
      </w:r>
    </w:p>
    <w:p w:rsidR="00EE4502" w:rsidRDefault="00FD45A3">
      <w:pPr>
        <w:spacing w:line="360" w:lineRule="auto"/>
        <w:ind w:firstLineChars="200" w:firstLine="480"/>
        <w:rPr>
          <w:sz w:val="24"/>
        </w:rPr>
      </w:pPr>
      <w:r>
        <w:rPr>
          <w:rFonts w:hint="eastAsia"/>
          <w:sz w:val="24"/>
        </w:rPr>
        <w:t>本工程废弃钻井泥浆、岩屑委托克拉玛依前山石油工程服务有限公司等有资质单位进行无害化处置；施工期生活污水、生活垃圾委托克拉玛依前山石油工程服务有限公司清运。</w:t>
      </w:r>
    </w:p>
    <w:p w:rsidR="00EE4502" w:rsidRDefault="00FD45A3">
      <w:pPr>
        <w:spacing w:line="360" w:lineRule="auto"/>
        <w:ind w:firstLineChars="200" w:firstLine="480"/>
        <w:rPr>
          <w:sz w:val="24"/>
        </w:rPr>
      </w:pPr>
      <w:r>
        <w:rPr>
          <w:rFonts w:hint="eastAsia"/>
          <w:sz w:val="24"/>
        </w:rPr>
        <w:t>克拉玛依前山石油工程服务有限公司经营范围包括石油和天然气开采专业及辅助性活动；技术推广服务；机械设备销售、租赁、维修及安装；五金产品、电子产品、矿产品、建材及化工产品销售；道路货物运输；其他工程准备活动；固体废物治理；环保工程；绿化工程；市政公用工程；工程管理服务；清洁服务；公路管理与养护；土木工程建筑业；公路工程；钢结构工程；建筑物拆除和场地准备活动；</w:t>
      </w:r>
      <w:r>
        <w:rPr>
          <w:rFonts w:hint="eastAsia"/>
          <w:sz w:val="24"/>
        </w:rPr>
        <w:t>仓储业；环境卫生管理等。公司</w:t>
      </w:r>
      <w:r>
        <w:rPr>
          <w:rFonts w:hint="eastAsia"/>
          <w:sz w:val="24"/>
        </w:rPr>
        <w:t>2</w:t>
      </w:r>
      <w:r>
        <w:rPr>
          <w:rFonts w:hint="eastAsia"/>
          <w:sz w:val="24"/>
        </w:rPr>
        <w:t>万</w:t>
      </w:r>
      <w:r>
        <w:rPr>
          <w:rFonts w:hint="eastAsia"/>
          <w:sz w:val="24"/>
        </w:rPr>
        <w:t>t/a</w:t>
      </w:r>
      <w:r>
        <w:rPr>
          <w:rFonts w:hint="eastAsia"/>
          <w:sz w:val="24"/>
        </w:rPr>
        <w:t>废弃钻井泥浆处理项目位于第七师</w:t>
      </w:r>
      <w:r>
        <w:rPr>
          <w:rFonts w:hint="eastAsia"/>
          <w:sz w:val="24"/>
        </w:rPr>
        <w:t>128</w:t>
      </w:r>
      <w:r>
        <w:rPr>
          <w:rFonts w:hint="eastAsia"/>
          <w:sz w:val="24"/>
        </w:rPr>
        <w:t>团工业园</w:t>
      </w:r>
      <w:r>
        <w:rPr>
          <w:rFonts w:hint="eastAsia"/>
          <w:sz w:val="24"/>
        </w:rPr>
        <w:t>12</w:t>
      </w:r>
      <w:r>
        <w:rPr>
          <w:rFonts w:hint="eastAsia"/>
          <w:sz w:val="24"/>
        </w:rPr>
        <w:t>号房，占地面积</w:t>
      </w:r>
      <w:r>
        <w:rPr>
          <w:rFonts w:hint="eastAsia"/>
          <w:sz w:val="24"/>
        </w:rPr>
        <w:t>26240</w:t>
      </w:r>
      <w:r>
        <w:rPr>
          <w:rFonts w:hint="eastAsia"/>
          <w:sz w:val="24"/>
        </w:rPr>
        <w:t>平方米，项目新建一套</w:t>
      </w:r>
      <w:r>
        <w:rPr>
          <w:rFonts w:hint="eastAsia"/>
          <w:sz w:val="24"/>
        </w:rPr>
        <w:t>2</w:t>
      </w:r>
      <w:r>
        <w:rPr>
          <w:rFonts w:hint="eastAsia"/>
          <w:sz w:val="24"/>
        </w:rPr>
        <w:t>万</w:t>
      </w:r>
      <w:r>
        <w:rPr>
          <w:rFonts w:hint="eastAsia"/>
          <w:sz w:val="24"/>
        </w:rPr>
        <w:t>t/a</w:t>
      </w:r>
      <w:r>
        <w:rPr>
          <w:rFonts w:hint="eastAsia"/>
          <w:sz w:val="24"/>
        </w:rPr>
        <w:t>钻井废弃物处理生产设施，主要包括生产装置区、办公生活区、绿化区域、厂内道路和预留区域等。</w:t>
      </w:r>
      <w:r>
        <w:rPr>
          <w:rFonts w:hint="eastAsia"/>
          <w:sz w:val="24"/>
        </w:rPr>
        <w:t>2016</w:t>
      </w:r>
      <w:r>
        <w:rPr>
          <w:rFonts w:hint="eastAsia"/>
          <w:sz w:val="24"/>
        </w:rPr>
        <w:t>年</w:t>
      </w:r>
      <w:r>
        <w:rPr>
          <w:rFonts w:hint="eastAsia"/>
          <w:sz w:val="24"/>
        </w:rPr>
        <w:t>10</w:t>
      </w:r>
      <w:r>
        <w:rPr>
          <w:rFonts w:hint="eastAsia"/>
          <w:sz w:val="24"/>
        </w:rPr>
        <w:t>月，新疆生产建设兵团第七师环保局以（师环函〔</w:t>
      </w:r>
      <w:r>
        <w:rPr>
          <w:rFonts w:hint="eastAsia"/>
          <w:sz w:val="24"/>
        </w:rPr>
        <w:t>2016</w:t>
      </w:r>
      <w:r>
        <w:rPr>
          <w:rFonts w:hint="eastAsia"/>
          <w:sz w:val="24"/>
        </w:rPr>
        <w:t>〕</w:t>
      </w:r>
      <w:r>
        <w:rPr>
          <w:rFonts w:hint="eastAsia"/>
          <w:sz w:val="24"/>
        </w:rPr>
        <w:t>114</w:t>
      </w:r>
      <w:r>
        <w:rPr>
          <w:rFonts w:hint="eastAsia"/>
          <w:sz w:val="24"/>
        </w:rPr>
        <w:t>号文）对该项目环境影响报告书予以批复，</w:t>
      </w:r>
      <w:r>
        <w:rPr>
          <w:rFonts w:hint="eastAsia"/>
          <w:sz w:val="24"/>
        </w:rPr>
        <w:t>2018</w:t>
      </w:r>
      <w:r>
        <w:rPr>
          <w:rFonts w:hint="eastAsia"/>
          <w:sz w:val="24"/>
        </w:rPr>
        <w:t>年</w:t>
      </w:r>
      <w:r>
        <w:rPr>
          <w:rFonts w:hint="eastAsia"/>
          <w:sz w:val="24"/>
        </w:rPr>
        <w:t>7</w:t>
      </w:r>
      <w:r>
        <w:rPr>
          <w:rFonts w:hint="eastAsia"/>
          <w:sz w:val="24"/>
        </w:rPr>
        <w:t>月投入试运行。</w:t>
      </w:r>
      <w:r>
        <w:rPr>
          <w:rFonts w:hint="eastAsia"/>
          <w:sz w:val="24"/>
        </w:rPr>
        <w:t>2019</w:t>
      </w:r>
      <w:r>
        <w:rPr>
          <w:rFonts w:hint="eastAsia"/>
          <w:sz w:val="24"/>
        </w:rPr>
        <w:t>年</w:t>
      </w:r>
      <w:r>
        <w:rPr>
          <w:rFonts w:hint="eastAsia"/>
          <w:sz w:val="24"/>
        </w:rPr>
        <w:t>3</w:t>
      </w:r>
      <w:r>
        <w:rPr>
          <w:rFonts w:hint="eastAsia"/>
          <w:sz w:val="24"/>
        </w:rPr>
        <w:t>月</w:t>
      </w:r>
      <w:r>
        <w:rPr>
          <w:rFonts w:hint="eastAsia"/>
          <w:sz w:val="24"/>
        </w:rPr>
        <w:t>30</w:t>
      </w:r>
      <w:r>
        <w:rPr>
          <w:rFonts w:hint="eastAsia"/>
          <w:sz w:val="24"/>
        </w:rPr>
        <w:t>日，新疆生产建设兵团第七师环保局以（师环验〔</w:t>
      </w:r>
      <w:r>
        <w:rPr>
          <w:rFonts w:hint="eastAsia"/>
          <w:sz w:val="24"/>
        </w:rPr>
        <w:t>2019</w:t>
      </w:r>
      <w:r>
        <w:rPr>
          <w:rFonts w:hint="eastAsia"/>
          <w:sz w:val="24"/>
        </w:rPr>
        <w:t>〕</w:t>
      </w:r>
      <w:r>
        <w:rPr>
          <w:rFonts w:hint="eastAsia"/>
          <w:sz w:val="24"/>
        </w:rPr>
        <w:t>24</w:t>
      </w:r>
      <w:r>
        <w:rPr>
          <w:rFonts w:hint="eastAsia"/>
          <w:sz w:val="24"/>
        </w:rPr>
        <w:t>号文）</w:t>
      </w:r>
      <w:r>
        <w:rPr>
          <w:rFonts w:hint="eastAsia"/>
          <w:sz w:val="24"/>
        </w:rPr>
        <w:lastRenderedPageBreak/>
        <w:t>通过了该项目的验收。</w:t>
      </w:r>
    </w:p>
    <w:p w:rsidR="00EE4502" w:rsidRDefault="00FD45A3">
      <w:pPr>
        <w:spacing w:line="360" w:lineRule="auto"/>
        <w:ind w:firstLineChars="200" w:firstLine="480"/>
        <w:rPr>
          <w:sz w:val="24"/>
        </w:rPr>
      </w:pPr>
      <w:r>
        <w:rPr>
          <w:rFonts w:hint="eastAsia"/>
          <w:sz w:val="24"/>
        </w:rPr>
        <w:t>项目建设</w:t>
      </w:r>
      <w:r>
        <w:rPr>
          <w:rFonts w:hint="eastAsia"/>
          <w:sz w:val="24"/>
        </w:rPr>
        <w:t>2</w:t>
      </w:r>
      <w:r>
        <w:rPr>
          <w:rFonts w:hint="eastAsia"/>
          <w:sz w:val="24"/>
        </w:rPr>
        <w:t>万</w:t>
      </w:r>
      <w:r>
        <w:rPr>
          <w:rFonts w:hint="eastAsia"/>
          <w:sz w:val="24"/>
        </w:rPr>
        <w:t>t/a</w:t>
      </w:r>
      <w:r>
        <w:rPr>
          <w:rFonts w:hint="eastAsia"/>
          <w:sz w:val="24"/>
        </w:rPr>
        <w:t>废弃钻井泥浆无害化处理生</w:t>
      </w:r>
      <w:r>
        <w:rPr>
          <w:rFonts w:hint="eastAsia"/>
          <w:sz w:val="24"/>
        </w:rPr>
        <w:t>产设施一套，处理基本原理是将废弃泥浆经过回收暂存处理—机械分离—絮凝沉淀—机械压滤等过程处理后，将固相物质制成泥饼。泥饼存放于临时储存场地，临时储存场地建有围挡及防渗处理，处置后泥饼经检测满足《油气田钻井固体废物综合利用污染物控制要求》（</w:t>
      </w:r>
      <w:r>
        <w:rPr>
          <w:rFonts w:hint="eastAsia"/>
          <w:sz w:val="24"/>
        </w:rPr>
        <w:t>DB65/T3997-2017</w:t>
      </w:r>
      <w:r>
        <w:rPr>
          <w:rFonts w:hint="eastAsia"/>
          <w:sz w:val="24"/>
        </w:rPr>
        <w:t>）的要求后用于建设井场和钻前道路。</w:t>
      </w:r>
    </w:p>
    <w:p w:rsidR="00EE4502" w:rsidRDefault="00FD45A3">
      <w:pPr>
        <w:pStyle w:val="41"/>
        <w:numPr>
          <w:ilvl w:val="3"/>
          <w:numId w:val="30"/>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hint="eastAsia"/>
          <w:bCs w:val="0"/>
          <w:sz w:val="24"/>
          <w:szCs w:val="24"/>
        </w:rPr>
        <w:t>克拉玛依沃森环保科技有限公司</w:t>
      </w:r>
    </w:p>
    <w:p w:rsidR="00EE4502" w:rsidRDefault="00FD45A3">
      <w:pPr>
        <w:spacing w:line="360" w:lineRule="auto"/>
        <w:ind w:firstLineChars="200" w:firstLine="480"/>
        <w:rPr>
          <w:sz w:val="24"/>
        </w:rPr>
      </w:pPr>
      <w:r>
        <w:rPr>
          <w:rFonts w:hint="eastAsia"/>
          <w:sz w:val="24"/>
        </w:rPr>
        <w:t>本工程落地油、沾油废防渗材料、清管废渣、废油桶、废烧碱包装袋等危废依托新疆锦恒利废矿物油处置有限公司或克拉玛依沃森环保科技有限公司等有危废处置资质单位进行合规处置。</w:t>
      </w:r>
    </w:p>
    <w:p w:rsidR="00EE4502" w:rsidRDefault="00FD45A3">
      <w:pPr>
        <w:spacing w:line="360" w:lineRule="auto"/>
        <w:ind w:firstLineChars="200" w:firstLine="480"/>
        <w:rPr>
          <w:sz w:val="24"/>
        </w:rPr>
      </w:pPr>
      <w:r>
        <w:rPr>
          <w:rFonts w:hint="eastAsia"/>
          <w:sz w:val="24"/>
        </w:rPr>
        <w:t>克拉玛依沃森</w:t>
      </w:r>
      <w:r>
        <w:rPr>
          <w:rFonts w:hint="eastAsia"/>
          <w:sz w:val="24"/>
        </w:rPr>
        <w:t>环保科技有限公司危险废物经营设施位于新疆克拉玛依市白碱滩区石西公路</w:t>
      </w:r>
      <w:r>
        <w:rPr>
          <w:rFonts w:hint="eastAsia"/>
          <w:sz w:val="24"/>
        </w:rPr>
        <w:t>369</w:t>
      </w:r>
      <w:r>
        <w:rPr>
          <w:rFonts w:hint="eastAsia"/>
          <w:sz w:val="24"/>
        </w:rPr>
        <w:t>号，对危险废物进行收集、贮存、利用和处置。经营危险废物类别：《国家危险废物名录（</w:t>
      </w:r>
      <w:r>
        <w:rPr>
          <w:rFonts w:hint="eastAsia"/>
          <w:sz w:val="24"/>
        </w:rPr>
        <w:t>2025</w:t>
      </w:r>
      <w:r>
        <w:rPr>
          <w:rFonts w:hint="eastAsia"/>
          <w:sz w:val="24"/>
        </w:rPr>
        <w:t>年版）》中除</w:t>
      </w:r>
      <w:r>
        <w:rPr>
          <w:rFonts w:hint="eastAsia"/>
          <w:sz w:val="24"/>
        </w:rPr>
        <w:t>HW01</w:t>
      </w:r>
      <w:r>
        <w:rPr>
          <w:rFonts w:hint="eastAsia"/>
          <w:sz w:val="24"/>
        </w:rPr>
        <w:t>医疗废物、</w:t>
      </w:r>
      <w:r>
        <w:rPr>
          <w:rFonts w:hint="eastAsia"/>
          <w:sz w:val="24"/>
        </w:rPr>
        <w:t>HW10</w:t>
      </w:r>
      <w:r>
        <w:rPr>
          <w:rFonts w:hint="eastAsia"/>
          <w:sz w:val="24"/>
        </w:rPr>
        <w:t>多氯（溴）联苯类废物、</w:t>
      </w:r>
      <w:r>
        <w:rPr>
          <w:rFonts w:hint="eastAsia"/>
          <w:sz w:val="24"/>
        </w:rPr>
        <w:t>HW15</w:t>
      </w:r>
      <w:r>
        <w:rPr>
          <w:rFonts w:hint="eastAsia"/>
          <w:sz w:val="24"/>
        </w:rPr>
        <w:t>爆炸性废物、</w:t>
      </w:r>
      <w:r>
        <w:rPr>
          <w:rFonts w:hint="eastAsia"/>
          <w:sz w:val="24"/>
        </w:rPr>
        <w:t>HW29</w:t>
      </w:r>
      <w:r>
        <w:rPr>
          <w:rFonts w:hint="eastAsia"/>
          <w:sz w:val="24"/>
        </w:rPr>
        <w:t>含汞废物之外的</w:t>
      </w:r>
      <w:r>
        <w:rPr>
          <w:rFonts w:hint="eastAsia"/>
          <w:sz w:val="24"/>
        </w:rPr>
        <w:t>42</w:t>
      </w:r>
      <w:r>
        <w:rPr>
          <w:rFonts w:hint="eastAsia"/>
          <w:sz w:val="24"/>
        </w:rPr>
        <w:t>大类</w:t>
      </w:r>
      <w:r>
        <w:rPr>
          <w:rFonts w:hint="eastAsia"/>
          <w:sz w:val="24"/>
        </w:rPr>
        <w:t>432</w:t>
      </w:r>
      <w:r>
        <w:rPr>
          <w:rFonts w:hint="eastAsia"/>
          <w:sz w:val="24"/>
        </w:rPr>
        <w:t>种。危险废物经营规模：</w:t>
      </w:r>
      <w:r>
        <w:rPr>
          <w:rFonts w:hint="eastAsia"/>
          <w:sz w:val="24"/>
        </w:rPr>
        <w:t>49900t/a</w:t>
      </w:r>
      <w:r>
        <w:rPr>
          <w:rFonts w:hint="eastAsia"/>
          <w:sz w:val="24"/>
        </w:rPr>
        <w:t>（其中，焚烧处理</w:t>
      </w:r>
      <w:r>
        <w:rPr>
          <w:rFonts w:hint="eastAsia"/>
          <w:sz w:val="24"/>
        </w:rPr>
        <w:t>9900t/a</w:t>
      </w:r>
      <w:r>
        <w:rPr>
          <w:rFonts w:hint="eastAsia"/>
          <w:sz w:val="24"/>
        </w:rPr>
        <w:t>、废矿物油处理</w:t>
      </w:r>
      <w:r>
        <w:rPr>
          <w:rFonts w:hint="eastAsia"/>
          <w:sz w:val="24"/>
        </w:rPr>
        <w:t>10000t/a</w:t>
      </w:r>
      <w:r>
        <w:rPr>
          <w:rFonts w:hint="eastAsia"/>
          <w:sz w:val="24"/>
        </w:rPr>
        <w:t>、物化处理</w:t>
      </w:r>
      <w:r>
        <w:rPr>
          <w:rFonts w:hint="eastAsia"/>
          <w:sz w:val="24"/>
        </w:rPr>
        <w:t>8000t/a</w:t>
      </w:r>
      <w:r>
        <w:rPr>
          <w:rFonts w:hint="eastAsia"/>
          <w:sz w:val="24"/>
        </w:rPr>
        <w:t>，固化填埋处理</w:t>
      </w:r>
      <w:r>
        <w:rPr>
          <w:rFonts w:hint="eastAsia"/>
          <w:sz w:val="24"/>
        </w:rPr>
        <w:t>22000t/a</w:t>
      </w:r>
      <w:r>
        <w:rPr>
          <w:rFonts w:hint="eastAsia"/>
          <w:sz w:val="24"/>
        </w:rPr>
        <w:t>），危险废物经营许可证有效期限：</w:t>
      </w:r>
      <w:r>
        <w:rPr>
          <w:rFonts w:hint="eastAsia"/>
          <w:sz w:val="24"/>
        </w:rPr>
        <w:t>2022</w:t>
      </w:r>
      <w:r>
        <w:rPr>
          <w:rFonts w:hint="eastAsia"/>
          <w:sz w:val="24"/>
        </w:rPr>
        <w:t>年</w:t>
      </w:r>
      <w:r>
        <w:rPr>
          <w:rFonts w:hint="eastAsia"/>
          <w:sz w:val="24"/>
        </w:rPr>
        <w:t>1</w:t>
      </w:r>
      <w:r>
        <w:rPr>
          <w:rFonts w:hint="eastAsia"/>
          <w:sz w:val="24"/>
        </w:rPr>
        <w:t>月</w:t>
      </w:r>
      <w:r>
        <w:rPr>
          <w:rFonts w:hint="eastAsia"/>
          <w:sz w:val="24"/>
        </w:rPr>
        <w:t>6</w:t>
      </w:r>
      <w:r>
        <w:rPr>
          <w:rFonts w:hint="eastAsia"/>
          <w:sz w:val="24"/>
        </w:rPr>
        <w:t>日</w:t>
      </w:r>
      <w:r>
        <w:rPr>
          <w:rFonts w:hint="eastAsia"/>
          <w:sz w:val="24"/>
        </w:rPr>
        <w:t>~2027</w:t>
      </w:r>
      <w:r>
        <w:rPr>
          <w:rFonts w:hint="eastAsia"/>
          <w:sz w:val="24"/>
        </w:rPr>
        <w:t>年</w:t>
      </w:r>
      <w:r>
        <w:rPr>
          <w:rFonts w:hint="eastAsia"/>
          <w:sz w:val="24"/>
        </w:rPr>
        <w:t>1</w:t>
      </w:r>
      <w:r>
        <w:rPr>
          <w:rFonts w:hint="eastAsia"/>
          <w:sz w:val="24"/>
        </w:rPr>
        <w:t>月</w:t>
      </w:r>
      <w:r>
        <w:rPr>
          <w:rFonts w:hint="eastAsia"/>
          <w:sz w:val="24"/>
        </w:rPr>
        <w:t>5</w:t>
      </w:r>
      <w:r>
        <w:rPr>
          <w:rFonts w:hint="eastAsia"/>
          <w:sz w:val="24"/>
        </w:rPr>
        <w:t>日。本项目产生的</w:t>
      </w:r>
      <w:r>
        <w:rPr>
          <w:rFonts w:hint="eastAsia"/>
          <w:sz w:val="24"/>
        </w:rPr>
        <w:t>沾油废物、废油桶等危险废物依托处置是可行的。</w:t>
      </w:r>
    </w:p>
    <w:p w:rsidR="00EE4502" w:rsidRDefault="00FD45A3">
      <w:pPr>
        <w:pStyle w:val="41"/>
        <w:numPr>
          <w:ilvl w:val="3"/>
          <w:numId w:val="30"/>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hint="eastAsia"/>
          <w:bCs w:val="0"/>
          <w:sz w:val="24"/>
          <w:szCs w:val="24"/>
        </w:rPr>
        <w:t>新疆锦恒利废矿物油处置有限公司</w:t>
      </w:r>
    </w:p>
    <w:p w:rsidR="00EE4502" w:rsidRDefault="00FD45A3">
      <w:pPr>
        <w:spacing w:line="360" w:lineRule="auto"/>
        <w:ind w:firstLineChars="200" w:firstLine="480"/>
        <w:rPr>
          <w:sz w:val="24"/>
        </w:rPr>
      </w:pPr>
      <w:r>
        <w:rPr>
          <w:rFonts w:hint="eastAsia"/>
          <w:sz w:val="24"/>
        </w:rPr>
        <w:t>本工程落地油、沾油废防渗材料、清管废渣、废油桶、废烧碱包装袋等危废依托新疆锦恒利废矿物油处置有限公司或克拉玛依沃森环保科技有限公司等有危废处置资质单位进行合规处置。</w:t>
      </w:r>
    </w:p>
    <w:p w:rsidR="00EE4502" w:rsidRDefault="00FD45A3">
      <w:pPr>
        <w:spacing w:line="360" w:lineRule="auto"/>
        <w:ind w:firstLineChars="200" w:firstLine="480"/>
        <w:rPr>
          <w:sz w:val="24"/>
        </w:rPr>
      </w:pPr>
      <w:r>
        <w:rPr>
          <w:rFonts w:hint="eastAsia"/>
          <w:sz w:val="24"/>
        </w:rPr>
        <w:t>新疆锦恒利废矿物油处置有限公司于</w:t>
      </w:r>
      <w:r>
        <w:rPr>
          <w:rFonts w:hint="eastAsia"/>
          <w:sz w:val="24"/>
        </w:rPr>
        <w:t>2018</w:t>
      </w:r>
      <w:r>
        <w:rPr>
          <w:rFonts w:hint="eastAsia"/>
          <w:sz w:val="24"/>
        </w:rPr>
        <w:t>年</w:t>
      </w:r>
      <w:r>
        <w:rPr>
          <w:rFonts w:hint="eastAsia"/>
          <w:sz w:val="24"/>
        </w:rPr>
        <w:t>10</w:t>
      </w:r>
      <w:r>
        <w:rPr>
          <w:rFonts w:hint="eastAsia"/>
          <w:sz w:val="24"/>
        </w:rPr>
        <w:t>月</w:t>
      </w:r>
      <w:r>
        <w:rPr>
          <w:rFonts w:hint="eastAsia"/>
          <w:sz w:val="24"/>
        </w:rPr>
        <w:t>26</w:t>
      </w:r>
      <w:r>
        <w:rPr>
          <w:rFonts w:hint="eastAsia"/>
          <w:sz w:val="24"/>
        </w:rPr>
        <w:t>日取得新疆生产建设兵团环保局颁发的危废经营许可证，许可证编码</w:t>
      </w:r>
      <w:r>
        <w:rPr>
          <w:rFonts w:hint="eastAsia"/>
          <w:sz w:val="24"/>
        </w:rPr>
        <w:t>6607010801</w:t>
      </w:r>
      <w:r>
        <w:rPr>
          <w:rFonts w:hint="eastAsia"/>
          <w:sz w:val="24"/>
        </w:rPr>
        <w:t>，可处理危废类别为</w:t>
      </w:r>
      <w:r>
        <w:rPr>
          <w:rFonts w:hint="eastAsia"/>
          <w:sz w:val="24"/>
        </w:rPr>
        <w:t>HW08</w:t>
      </w:r>
      <w:r>
        <w:rPr>
          <w:rFonts w:hint="eastAsia"/>
          <w:sz w:val="24"/>
        </w:rPr>
        <w:t>（</w:t>
      </w:r>
      <w:r>
        <w:rPr>
          <w:rFonts w:hint="eastAsia"/>
          <w:sz w:val="24"/>
        </w:rPr>
        <w:t>071-001-08</w:t>
      </w:r>
      <w:r>
        <w:rPr>
          <w:rFonts w:hint="eastAsia"/>
          <w:sz w:val="24"/>
        </w:rPr>
        <w:t>），经营规模为：油田污油泥</w:t>
      </w:r>
      <w:r>
        <w:rPr>
          <w:rFonts w:hint="eastAsia"/>
          <w:sz w:val="24"/>
        </w:rPr>
        <w:t>50000t/a</w:t>
      </w:r>
      <w:r>
        <w:rPr>
          <w:rFonts w:hint="eastAsia"/>
          <w:sz w:val="24"/>
        </w:rPr>
        <w:t>，现公司正常运行中。截至</w:t>
      </w:r>
      <w:r>
        <w:rPr>
          <w:rFonts w:hint="eastAsia"/>
          <w:sz w:val="24"/>
        </w:rPr>
        <w:t>2023</w:t>
      </w:r>
      <w:r>
        <w:rPr>
          <w:rFonts w:hint="eastAsia"/>
          <w:sz w:val="24"/>
        </w:rPr>
        <w:t>年</w:t>
      </w:r>
      <w:r>
        <w:rPr>
          <w:rFonts w:hint="eastAsia"/>
          <w:sz w:val="24"/>
        </w:rPr>
        <w:t>6</w:t>
      </w:r>
      <w:r>
        <w:rPr>
          <w:rFonts w:hint="eastAsia"/>
          <w:sz w:val="24"/>
        </w:rPr>
        <w:t>月</w:t>
      </w:r>
      <w:r>
        <w:rPr>
          <w:rFonts w:hint="eastAsia"/>
          <w:sz w:val="24"/>
        </w:rPr>
        <w:t>30</w:t>
      </w:r>
      <w:r>
        <w:rPr>
          <w:rFonts w:hint="eastAsia"/>
          <w:sz w:val="24"/>
        </w:rPr>
        <w:t>日，</w:t>
      </w:r>
      <w:r>
        <w:rPr>
          <w:rFonts w:hint="eastAsia"/>
          <w:sz w:val="24"/>
        </w:rPr>
        <w:t>接收及处理量约</w:t>
      </w:r>
      <w:r>
        <w:rPr>
          <w:rFonts w:hint="eastAsia"/>
          <w:sz w:val="24"/>
        </w:rPr>
        <w:t>12000t</w:t>
      </w:r>
      <w:r>
        <w:rPr>
          <w:rFonts w:hint="eastAsia"/>
          <w:sz w:val="24"/>
        </w:rPr>
        <w:t>，剩余可处理规模为</w:t>
      </w:r>
      <w:r>
        <w:rPr>
          <w:rFonts w:hint="eastAsia"/>
          <w:sz w:val="24"/>
        </w:rPr>
        <w:t>38000t</w:t>
      </w:r>
      <w:r>
        <w:rPr>
          <w:rFonts w:hint="eastAsia"/>
          <w:sz w:val="24"/>
        </w:rPr>
        <w:t>。新疆锦恒利废矿物油处置有限公司危废资质及剩余处理能力均可满足本工程油泥处理需求，因此，本工程含油污泥委托新疆锦恒利废矿物油处置有限公司处置是可行的。</w:t>
      </w:r>
    </w:p>
    <w:p w:rsidR="00EE4502" w:rsidRDefault="00FD45A3">
      <w:pPr>
        <w:pStyle w:val="22"/>
        <w:numPr>
          <w:ilvl w:val="1"/>
          <w:numId w:val="30"/>
        </w:numPr>
        <w:rPr>
          <w:spacing w:val="0"/>
          <w:w w:val="100"/>
        </w:rPr>
      </w:pPr>
      <w:bookmarkStart w:id="152" w:name="_Toc1921"/>
      <w:r>
        <w:rPr>
          <w:spacing w:val="0"/>
          <w:w w:val="100"/>
        </w:rPr>
        <w:lastRenderedPageBreak/>
        <w:t>工程分析</w:t>
      </w:r>
      <w:bookmarkEnd w:id="152"/>
    </w:p>
    <w:p w:rsidR="00EE4502" w:rsidRDefault="00FD45A3">
      <w:pPr>
        <w:pStyle w:val="33"/>
        <w:numPr>
          <w:ilvl w:val="2"/>
          <w:numId w:val="30"/>
        </w:numPr>
        <w:spacing w:line="360" w:lineRule="auto"/>
        <w:ind w:left="0" w:firstLine="0"/>
        <w:rPr>
          <w:spacing w:val="0"/>
          <w:sz w:val="24"/>
          <w:szCs w:val="24"/>
        </w:rPr>
      </w:pPr>
      <w:bookmarkStart w:id="153" w:name="_Toc113162127"/>
      <w:bookmarkStart w:id="154" w:name="_Toc113162306"/>
      <w:bookmarkStart w:id="155" w:name="_Toc113674901"/>
      <w:bookmarkStart w:id="156" w:name="_Toc71006472"/>
      <w:bookmarkStart w:id="157" w:name="_Toc98209762"/>
      <w:bookmarkStart w:id="158" w:name="_Toc71785167"/>
      <w:bookmarkStart w:id="159" w:name="_Toc71784790"/>
      <w:bookmarkStart w:id="160" w:name="_Toc97475440"/>
      <w:bookmarkStart w:id="161" w:name="_Toc97967444"/>
      <w:bookmarkStart w:id="162" w:name="_Toc113674984"/>
      <w:bookmarkStart w:id="163" w:name="_Toc89678575"/>
      <w:bookmarkStart w:id="164" w:name="_Toc89678782"/>
      <w:bookmarkStart w:id="165" w:name="_Toc71000336"/>
      <w:bookmarkStart w:id="166" w:name="_Toc89678692"/>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r>
        <w:rPr>
          <w:rFonts w:hint="eastAsia"/>
          <w:spacing w:val="0"/>
          <w:sz w:val="24"/>
          <w:szCs w:val="24"/>
        </w:rPr>
        <w:t>工艺流程及产排污节点</w:t>
      </w:r>
    </w:p>
    <w:p w:rsidR="00EE4502" w:rsidRDefault="00FD45A3">
      <w:pPr>
        <w:spacing w:line="360" w:lineRule="auto"/>
        <w:ind w:firstLineChars="200" w:firstLine="480"/>
        <w:rPr>
          <w:sz w:val="24"/>
        </w:rPr>
      </w:pPr>
      <w:r>
        <w:rPr>
          <w:rFonts w:hint="eastAsia"/>
          <w:sz w:val="24"/>
        </w:rPr>
        <w:t>本工程</w:t>
      </w:r>
      <w:r>
        <w:rPr>
          <w:sz w:val="24"/>
        </w:rPr>
        <w:t>油田建设可分为施工期、运营期和</w:t>
      </w:r>
      <w:r>
        <w:rPr>
          <w:rFonts w:hint="eastAsia"/>
          <w:sz w:val="24"/>
        </w:rPr>
        <w:t>退役期</w:t>
      </w:r>
      <w:r>
        <w:rPr>
          <w:sz w:val="24"/>
        </w:rPr>
        <w:t>三个阶段。</w:t>
      </w:r>
    </w:p>
    <w:p w:rsidR="00EE4502" w:rsidRDefault="00FD45A3">
      <w:pPr>
        <w:pStyle w:val="41"/>
        <w:numPr>
          <w:ilvl w:val="3"/>
          <w:numId w:val="30"/>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hint="eastAsia"/>
          <w:bCs w:val="0"/>
          <w:sz w:val="24"/>
          <w:szCs w:val="24"/>
        </w:rPr>
        <w:t>施工期</w:t>
      </w:r>
    </w:p>
    <w:p w:rsidR="00EE4502" w:rsidRDefault="00FD45A3">
      <w:pPr>
        <w:spacing w:line="360" w:lineRule="auto"/>
        <w:ind w:firstLineChars="200" w:firstLine="480"/>
        <w:rPr>
          <w:sz w:val="24"/>
        </w:rPr>
      </w:pPr>
      <w:r>
        <w:rPr>
          <w:rFonts w:hint="eastAsia"/>
          <w:sz w:val="24"/>
        </w:rPr>
        <w:t>（</w:t>
      </w:r>
      <w:r>
        <w:rPr>
          <w:rFonts w:hint="eastAsia"/>
          <w:sz w:val="24"/>
        </w:rPr>
        <w:t>1</w:t>
      </w:r>
      <w:r>
        <w:rPr>
          <w:rFonts w:hint="eastAsia"/>
          <w:sz w:val="24"/>
        </w:rPr>
        <w:t>）钻前工程</w:t>
      </w:r>
    </w:p>
    <w:p w:rsidR="00EE4502" w:rsidRDefault="00FD45A3">
      <w:pPr>
        <w:spacing w:line="360" w:lineRule="auto"/>
        <w:ind w:firstLineChars="200" w:firstLine="480"/>
        <w:rPr>
          <w:sz w:val="24"/>
        </w:rPr>
      </w:pPr>
      <w:r>
        <w:rPr>
          <w:rFonts w:hint="eastAsia"/>
          <w:sz w:val="24"/>
        </w:rPr>
        <w:t>钻前工程主要为在钻井井位确定后建设井场道路和井场建设。</w:t>
      </w:r>
    </w:p>
    <w:p w:rsidR="00EE4502" w:rsidRDefault="00FD45A3">
      <w:pPr>
        <w:spacing w:line="360" w:lineRule="auto"/>
        <w:ind w:firstLineChars="200" w:firstLine="480"/>
        <w:rPr>
          <w:sz w:val="24"/>
        </w:rPr>
      </w:pPr>
      <w:r>
        <w:rPr>
          <w:rFonts w:hint="eastAsia"/>
          <w:sz w:val="24"/>
        </w:rPr>
        <w:t>1</w:t>
      </w:r>
      <w:r>
        <w:rPr>
          <w:rFonts w:hint="eastAsia"/>
          <w:sz w:val="24"/>
        </w:rPr>
        <w:t>）道路建设</w:t>
      </w:r>
    </w:p>
    <w:p w:rsidR="00EE4502" w:rsidRDefault="00FD45A3">
      <w:pPr>
        <w:spacing w:line="360" w:lineRule="auto"/>
        <w:ind w:firstLineChars="200" w:firstLine="480"/>
        <w:rPr>
          <w:sz w:val="24"/>
        </w:rPr>
      </w:pPr>
      <w:r>
        <w:rPr>
          <w:rFonts w:hint="eastAsia"/>
          <w:sz w:val="24"/>
        </w:rPr>
        <w:t>工程</w:t>
      </w:r>
      <w:r>
        <w:rPr>
          <w:rFonts w:hint="eastAsia"/>
          <w:sz w:val="24"/>
        </w:rPr>
        <w:t>新建通井道路</w:t>
      </w:r>
      <w:r>
        <w:rPr>
          <w:rFonts w:hint="eastAsia"/>
          <w:sz w:val="24"/>
        </w:rPr>
        <w:t>3.5km</w:t>
      </w:r>
      <w:r>
        <w:rPr>
          <w:rFonts w:hint="eastAsia"/>
          <w:sz w:val="24"/>
        </w:rPr>
        <w:t>，采用单车道砂石路面，路面宽</w:t>
      </w:r>
      <w:r>
        <w:rPr>
          <w:rFonts w:hint="eastAsia"/>
          <w:sz w:val="24"/>
        </w:rPr>
        <w:t>4.5m</w:t>
      </w:r>
      <w:r>
        <w:rPr>
          <w:rFonts w:hint="eastAsia"/>
          <w:sz w:val="24"/>
        </w:rPr>
        <w:t>，路基宽</w:t>
      </w:r>
      <w:r>
        <w:rPr>
          <w:rFonts w:hint="eastAsia"/>
          <w:sz w:val="24"/>
        </w:rPr>
        <w:t>6m</w:t>
      </w:r>
      <w:r>
        <w:rPr>
          <w:rFonts w:hint="eastAsia"/>
          <w:sz w:val="24"/>
        </w:rPr>
        <w:t>。</w:t>
      </w:r>
      <w:r>
        <w:rPr>
          <w:rFonts w:hint="eastAsia"/>
          <w:sz w:val="24"/>
        </w:rPr>
        <w:t>首先确定道路中心线，并对其进行详细放样，对重要坐标点进行标识和增加控制点，基准高程标桩的坐标控制点位和水准点位。采用推土机、挖掘机清除道路范围内的表土，保证基底土的密实，挖出的表土集中堆存于施工作业带内，并进行必要的苫盖及挡护措施。按照路面结构设计厚度进行路基填筑，砂砾外购于周边砂石料厂，采用自卸卡车运至施工现场，摊铺机摊铺，采用推土机压实，平地机整平，再用压路机碾压，确保底基层成活后顶面高程和压实度符合设计要求。</w:t>
      </w:r>
    </w:p>
    <w:p w:rsidR="00EE4502" w:rsidRDefault="00FD45A3">
      <w:pPr>
        <w:spacing w:line="360" w:lineRule="auto"/>
        <w:ind w:firstLineChars="200" w:firstLine="480"/>
        <w:rPr>
          <w:sz w:val="24"/>
        </w:rPr>
      </w:pPr>
      <w:r>
        <w:rPr>
          <w:rFonts w:hint="eastAsia"/>
          <w:sz w:val="24"/>
        </w:rPr>
        <w:t>2</w:t>
      </w:r>
      <w:r>
        <w:rPr>
          <w:rFonts w:hint="eastAsia"/>
          <w:sz w:val="24"/>
        </w:rPr>
        <w:t>）井场建设</w:t>
      </w:r>
    </w:p>
    <w:p w:rsidR="00EE4502" w:rsidRDefault="00FD45A3">
      <w:pPr>
        <w:spacing w:line="360" w:lineRule="auto"/>
        <w:ind w:firstLineChars="200" w:firstLine="480"/>
        <w:rPr>
          <w:sz w:val="24"/>
        </w:rPr>
      </w:pPr>
      <w:r>
        <w:rPr>
          <w:rFonts w:hint="eastAsia"/>
          <w:sz w:val="24"/>
        </w:rPr>
        <w:t>根据井场平面布置图，先对井场进行初步平整，并利用场地凸起处的石方进行填方作业，</w:t>
      </w:r>
      <w:r>
        <w:rPr>
          <w:rFonts w:hint="eastAsia"/>
          <w:sz w:val="24"/>
        </w:rPr>
        <w:t>对场地进行平整、对各撬装化装置基础进行硬化，由车辆拉运戈壁石对井场进行铺垫。</w:t>
      </w:r>
    </w:p>
    <w:p w:rsidR="00EE4502" w:rsidRDefault="00FD45A3">
      <w:pPr>
        <w:spacing w:line="360" w:lineRule="auto"/>
        <w:ind w:firstLineChars="200" w:firstLine="480"/>
        <w:rPr>
          <w:sz w:val="24"/>
        </w:rPr>
      </w:pPr>
      <w:r>
        <w:rPr>
          <w:rFonts w:hint="eastAsia"/>
          <w:sz w:val="24"/>
        </w:rPr>
        <w:t>钻前工程主要废气为施工扬尘、施工机械尾气，通过洒水抑尘减少扬尘产生量。废水主要为生活污水，生活污水排入移动环保厕所，由克拉玛依前山石油工程服务有限公司清运至春风油田生活基地生活污水处理系统处理。噪声为施工机械噪声，通过定期检修施工设备、合理布置作业任务，避免局部噪声过高。固体废物为井场、道路建设期间产生的土方、生活垃圾。土方用于场地平整和修建道路；在井场及施工</w:t>
      </w:r>
      <w:r>
        <w:rPr>
          <w:rFonts w:hint="eastAsia"/>
          <w:sz w:val="24"/>
        </w:rPr>
        <w:t>区域</w:t>
      </w:r>
      <w:r>
        <w:rPr>
          <w:rFonts w:hint="eastAsia"/>
          <w:sz w:val="24"/>
        </w:rPr>
        <w:t>设有垃圾桶，生活垃圾定期清运处置。</w:t>
      </w:r>
    </w:p>
    <w:p w:rsidR="00EE4502" w:rsidRDefault="00FD45A3">
      <w:pPr>
        <w:spacing w:line="360" w:lineRule="auto"/>
        <w:ind w:firstLineChars="200" w:firstLine="480"/>
        <w:rPr>
          <w:sz w:val="24"/>
        </w:rPr>
      </w:pPr>
      <w:r>
        <w:rPr>
          <w:rFonts w:hint="eastAsia"/>
          <w:sz w:val="24"/>
        </w:rPr>
        <w:t>（</w:t>
      </w:r>
      <w:r>
        <w:rPr>
          <w:rFonts w:hint="eastAsia"/>
          <w:sz w:val="24"/>
        </w:rPr>
        <w:t>2</w:t>
      </w:r>
      <w:r>
        <w:rPr>
          <w:rFonts w:hint="eastAsia"/>
          <w:sz w:val="24"/>
        </w:rPr>
        <w:t>）钻井工程</w:t>
      </w:r>
    </w:p>
    <w:p w:rsidR="00EE4502" w:rsidRDefault="00FD45A3">
      <w:pPr>
        <w:spacing w:line="360" w:lineRule="auto"/>
        <w:ind w:firstLineChars="200" w:firstLine="480"/>
        <w:rPr>
          <w:sz w:val="24"/>
        </w:rPr>
      </w:pPr>
      <w:r>
        <w:rPr>
          <w:rFonts w:hint="eastAsia"/>
          <w:sz w:val="24"/>
        </w:rPr>
        <w:t>钻井工程主要包括</w:t>
      </w:r>
      <w:r>
        <w:rPr>
          <w:rFonts w:hint="eastAsia"/>
          <w:sz w:val="24"/>
        </w:rPr>
        <w:t>设备搬运及安装、钻井、录井、测井、固井和完井等。</w:t>
      </w:r>
    </w:p>
    <w:p w:rsidR="00EE4502" w:rsidRDefault="00FD45A3">
      <w:pPr>
        <w:spacing w:line="360" w:lineRule="auto"/>
        <w:ind w:firstLineChars="200" w:firstLine="480"/>
        <w:rPr>
          <w:sz w:val="24"/>
        </w:rPr>
      </w:pPr>
      <w:r>
        <w:rPr>
          <w:rFonts w:hint="eastAsia"/>
          <w:sz w:val="24"/>
        </w:rPr>
        <w:t>1</w:t>
      </w:r>
      <w:r>
        <w:rPr>
          <w:rFonts w:hint="eastAsia"/>
          <w:sz w:val="24"/>
        </w:rPr>
        <w:t>）钻井</w:t>
      </w:r>
    </w:p>
    <w:p w:rsidR="00EE4502" w:rsidRDefault="00FD45A3">
      <w:pPr>
        <w:spacing w:line="360" w:lineRule="auto"/>
        <w:ind w:firstLineChars="200" w:firstLine="480"/>
        <w:rPr>
          <w:sz w:val="24"/>
        </w:rPr>
      </w:pPr>
      <w:r>
        <w:rPr>
          <w:rFonts w:hint="eastAsia"/>
          <w:sz w:val="24"/>
        </w:rPr>
        <w:t>本工程采用常规钻井工艺。钻进阶段使用的钻机</w:t>
      </w:r>
      <w:r>
        <w:rPr>
          <w:rFonts w:hint="eastAsia"/>
          <w:sz w:val="24"/>
        </w:rPr>
        <w:t>由</w:t>
      </w:r>
      <w:r>
        <w:rPr>
          <w:rFonts w:hint="eastAsia"/>
          <w:sz w:val="24"/>
        </w:rPr>
        <w:t>柴油发电机</w:t>
      </w:r>
      <w:r>
        <w:rPr>
          <w:rFonts w:hint="eastAsia"/>
          <w:sz w:val="24"/>
        </w:rPr>
        <w:t>提供</w:t>
      </w:r>
      <w:r>
        <w:rPr>
          <w:rFonts w:hint="eastAsia"/>
          <w:sz w:val="24"/>
        </w:rPr>
        <w:t>电源。通过钻机、转盘，带动钻杆切削地层，同时由泥浆泵经钻杆将泥浆注入井筒冲刷井底，将切削下的岩屑不断带至地面，整个过程循环进行，使井不断加深，直至目</w:t>
      </w:r>
      <w:r>
        <w:rPr>
          <w:rFonts w:hint="eastAsia"/>
          <w:sz w:val="24"/>
        </w:rPr>
        <w:lastRenderedPageBreak/>
        <w:t>的井深。在钻井时，泥浆自井口径钻杆、钻头至井底，携带井底的岩屑上返地面，经泥浆固相控制系统除去岩屑后循环使用（见图</w:t>
      </w:r>
      <w:r>
        <w:rPr>
          <w:rFonts w:hint="eastAsia"/>
          <w:sz w:val="24"/>
        </w:rPr>
        <w:t>3-4</w:t>
      </w:r>
      <w:r>
        <w:rPr>
          <w:rFonts w:hint="eastAsia"/>
          <w:sz w:val="24"/>
        </w:rPr>
        <w:t>-1</w:t>
      </w:r>
      <w:r>
        <w:rPr>
          <w:rFonts w:hint="eastAsia"/>
          <w:sz w:val="24"/>
        </w:rPr>
        <w:t>）。</w:t>
      </w:r>
    </w:p>
    <w:p w:rsidR="00EE4502" w:rsidRDefault="00EE4502">
      <w:pPr>
        <w:spacing w:line="360" w:lineRule="auto"/>
        <w:jc w:val="center"/>
        <w:rPr>
          <w:sz w:val="24"/>
        </w:rPr>
      </w:pPr>
    </w:p>
    <w:p w:rsidR="00EE4502" w:rsidRDefault="00FD45A3">
      <w:pPr>
        <w:spacing w:line="360" w:lineRule="auto"/>
        <w:jc w:val="center"/>
        <w:rPr>
          <w:rFonts w:eastAsia="黑体" w:hAnsi="黑体"/>
          <w:bCs/>
          <w:szCs w:val="21"/>
        </w:rPr>
      </w:pPr>
      <w:r>
        <w:rPr>
          <w:rFonts w:eastAsia="黑体" w:hAnsi="黑体" w:hint="eastAsia"/>
          <w:bCs/>
          <w:szCs w:val="21"/>
        </w:rPr>
        <w:t>图</w:t>
      </w:r>
      <w:r>
        <w:rPr>
          <w:rFonts w:eastAsia="黑体" w:hAnsi="黑体" w:hint="eastAsia"/>
          <w:bCs/>
          <w:szCs w:val="21"/>
        </w:rPr>
        <w:t>3-4</w:t>
      </w:r>
      <w:r>
        <w:rPr>
          <w:rFonts w:eastAsia="黑体" w:hAnsi="黑体" w:hint="eastAsia"/>
          <w:bCs/>
          <w:szCs w:val="21"/>
        </w:rPr>
        <w:t>-1</w:t>
      </w:r>
      <w:r>
        <w:rPr>
          <w:rFonts w:eastAsia="黑体" w:hAnsi="黑体"/>
          <w:bCs/>
          <w:szCs w:val="21"/>
        </w:rPr>
        <w:t xml:space="preserve">  </w:t>
      </w:r>
      <w:r>
        <w:rPr>
          <w:rFonts w:eastAsia="黑体" w:hAnsi="黑体" w:hint="eastAsia"/>
          <w:bCs/>
          <w:szCs w:val="21"/>
        </w:rPr>
        <w:t>钻井液循环示意图</w:t>
      </w:r>
    </w:p>
    <w:p w:rsidR="00EE4502" w:rsidRDefault="00EE4502">
      <w:pPr>
        <w:spacing w:line="360" w:lineRule="auto"/>
        <w:jc w:val="center"/>
        <w:rPr>
          <w:sz w:val="24"/>
        </w:rPr>
      </w:pPr>
    </w:p>
    <w:p w:rsidR="00EE4502" w:rsidRDefault="00FD45A3">
      <w:pPr>
        <w:spacing w:line="360" w:lineRule="auto"/>
        <w:jc w:val="center"/>
        <w:rPr>
          <w:rFonts w:eastAsia="黑体" w:hAnsi="黑体"/>
          <w:bCs/>
          <w:szCs w:val="21"/>
        </w:rPr>
      </w:pPr>
      <w:r>
        <w:rPr>
          <w:rFonts w:eastAsia="黑体" w:hAnsi="黑体" w:hint="eastAsia"/>
          <w:bCs/>
          <w:szCs w:val="21"/>
        </w:rPr>
        <w:t>图</w:t>
      </w:r>
      <w:r>
        <w:rPr>
          <w:rFonts w:eastAsia="黑体" w:hAnsi="黑体" w:hint="eastAsia"/>
          <w:bCs/>
          <w:szCs w:val="21"/>
        </w:rPr>
        <w:t>3-4</w:t>
      </w:r>
      <w:r>
        <w:rPr>
          <w:rFonts w:eastAsia="黑体" w:hAnsi="黑体" w:hint="eastAsia"/>
          <w:bCs/>
          <w:szCs w:val="21"/>
        </w:rPr>
        <w:t>-2</w:t>
      </w:r>
      <w:r>
        <w:rPr>
          <w:rFonts w:eastAsia="黑体" w:hAnsi="黑体"/>
          <w:bCs/>
          <w:szCs w:val="21"/>
        </w:rPr>
        <w:t xml:space="preserve">  </w:t>
      </w:r>
      <w:r>
        <w:rPr>
          <w:rFonts w:eastAsia="黑体" w:hAnsi="黑体" w:hint="eastAsia"/>
          <w:bCs/>
          <w:szCs w:val="21"/>
        </w:rPr>
        <w:t>钻井作业流程及产污环节示意图</w:t>
      </w:r>
    </w:p>
    <w:p w:rsidR="00EE4502" w:rsidRDefault="00FD45A3">
      <w:pPr>
        <w:spacing w:line="360" w:lineRule="auto"/>
        <w:ind w:firstLineChars="200" w:firstLine="480"/>
        <w:rPr>
          <w:sz w:val="24"/>
        </w:rPr>
      </w:pPr>
      <w:r>
        <w:rPr>
          <w:rFonts w:hint="eastAsia"/>
          <w:sz w:val="24"/>
        </w:rPr>
        <w:t>在钻井过程中，根据钻头磨损情况、地层情况、井深设计及控制要求等需更换钻具而进行起下钻操作。钻杆、钻铤等钻具粘附少量的钻井液和钻屑，这部分固体废物排往井场泥浆罐内。</w:t>
      </w:r>
    </w:p>
    <w:p w:rsidR="00EE4502" w:rsidRDefault="00FD45A3">
      <w:pPr>
        <w:spacing w:line="360" w:lineRule="auto"/>
        <w:ind w:firstLineChars="200" w:firstLine="480"/>
        <w:rPr>
          <w:sz w:val="24"/>
        </w:rPr>
      </w:pPr>
      <w:r>
        <w:rPr>
          <w:rFonts w:hint="eastAsia"/>
          <w:sz w:val="24"/>
        </w:rPr>
        <w:t>采用双层套管，水泥返至地面方式进行固井。在完成最后一个井段的钻井和固井后，实施完井作业，如果因未钻获油藏等原因而需弃井时，则按相关要求封堵井眼。</w:t>
      </w:r>
    </w:p>
    <w:p w:rsidR="00EE4502" w:rsidRDefault="00FD45A3">
      <w:pPr>
        <w:spacing w:line="360" w:lineRule="auto"/>
        <w:ind w:firstLineChars="200" w:firstLine="482"/>
        <w:rPr>
          <w:rFonts w:ascii="楷体" w:eastAsia="楷体" w:hAnsi="楷体" w:cs="楷体"/>
          <w:b/>
          <w:bCs/>
          <w:sz w:val="24"/>
        </w:rPr>
      </w:pPr>
      <w:r>
        <w:rPr>
          <w:rFonts w:ascii="楷体" w:eastAsia="楷体" w:hAnsi="楷体" w:cs="楷体" w:hint="eastAsia"/>
          <w:b/>
          <w:bCs/>
          <w:sz w:val="24"/>
        </w:rPr>
        <w:t>钻井过程中的油层保护：</w:t>
      </w:r>
    </w:p>
    <w:p w:rsidR="00EE4502" w:rsidRDefault="00FD45A3">
      <w:pPr>
        <w:spacing w:line="360" w:lineRule="auto"/>
        <w:ind w:firstLineChars="200" w:firstLine="480"/>
        <w:rPr>
          <w:sz w:val="24"/>
        </w:rPr>
      </w:pPr>
      <w:r>
        <w:rPr>
          <w:rFonts w:hint="eastAsia"/>
          <w:sz w:val="24"/>
        </w:rPr>
        <w:t>①</w:t>
      </w:r>
      <w:r>
        <w:rPr>
          <w:rFonts w:hint="eastAsia"/>
          <w:sz w:val="24"/>
        </w:rPr>
        <w:t>施工中严格控制钻井压力。</w:t>
      </w:r>
    </w:p>
    <w:p w:rsidR="00EE4502" w:rsidRDefault="00FD45A3">
      <w:pPr>
        <w:spacing w:line="360" w:lineRule="auto"/>
        <w:ind w:firstLineChars="200" w:firstLine="480"/>
        <w:rPr>
          <w:sz w:val="24"/>
        </w:rPr>
      </w:pPr>
      <w:r>
        <w:rPr>
          <w:rFonts w:hint="eastAsia"/>
          <w:sz w:val="24"/>
        </w:rPr>
        <w:t>②</w:t>
      </w:r>
      <w:r>
        <w:rPr>
          <w:rFonts w:hint="eastAsia"/>
          <w:sz w:val="24"/>
        </w:rPr>
        <w:t>在安全钻进的前提下尽量降低泥浆密度，推荐油层部位钻井液密度为以地层压力计算出的钻井液密度加上</w:t>
      </w:r>
      <w:r>
        <w:rPr>
          <w:rFonts w:hint="eastAsia"/>
          <w:sz w:val="24"/>
        </w:rPr>
        <w:t>0.05</w:t>
      </w:r>
      <w:r>
        <w:rPr>
          <w:rFonts w:hint="eastAsia"/>
          <w:sz w:val="24"/>
        </w:rPr>
        <w:t>～</w:t>
      </w:r>
      <w:r>
        <w:rPr>
          <w:rFonts w:hint="eastAsia"/>
          <w:sz w:val="24"/>
        </w:rPr>
        <w:t>0.10g/cm</w:t>
      </w:r>
      <w:r>
        <w:rPr>
          <w:rFonts w:hint="eastAsia"/>
          <w:sz w:val="24"/>
          <w:vertAlign w:val="superscript"/>
        </w:rPr>
        <w:t>3</w:t>
      </w:r>
      <w:r>
        <w:rPr>
          <w:rFonts w:hint="eastAsia"/>
          <w:sz w:val="24"/>
        </w:rPr>
        <w:t>。</w:t>
      </w:r>
    </w:p>
    <w:p w:rsidR="00EE4502" w:rsidRDefault="00FD45A3">
      <w:pPr>
        <w:spacing w:line="360" w:lineRule="auto"/>
        <w:ind w:firstLineChars="200" w:firstLine="480"/>
        <w:rPr>
          <w:sz w:val="24"/>
        </w:rPr>
      </w:pPr>
      <w:r>
        <w:rPr>
          <w:rFonts w:hint="eastAsia"/>
          <w:sz w:val="24"/>
        </w:rPr>
        <w:t>③</w:t>
      </w:r>
      <w:r>
        <w:rPr>
          <w:rFonts w:hint="eastAsia"/>
          <w:sz w:val="24"/>
        </w:rPr>
        <w:t>加快钻井速度，减少油气</w:t>
      </w:r>
      <w:r>
        <w:rPr>
          <w:rFonts w:hint="eastAsia"/>
          <w:sz w:val="24"/>
        </w:rPr>
        <w:t>层浸泡时间。</w:t>
      </w:r>
    </w:p>
    <w:p w:rsidR="00EE4502" w:rsidRDefault="00FD45A3">
      <w:pPr>
        <w:spacing w:line="360" w:lineRule="auto"/>
        <w:ind w:firstLineChars="200" w:firstLine="480"/>
        <w:rPr>
          <w:sz w:val="24"/>
        </w:rPr>
      </w:pPr>
      <w:r>
        <w:rPr>
          <w:rFonts w:hint="eastAsia"/>
          <w:sz w:val="24"/>
        </w:rPr>
        <w:t>④</w:t>
      </w:r>
      <w:r>
        <w:rPr>
          <w:rFonts w:hint="eastAsia"/>
          <w:sz w:val="24"/>
        </w:rPr>
        <w:t>搞好净化，控制固相含量，含砂量小于</w:t>
      </w:r>
      <w:r>
        <w:rPr>
          <w:rFonts w:hint="eastAsia"/>
          <w:sz w:val="24"/>
        </w:rPr>
        <w:t>0.5</w:t>
      </w:r>
      <w:r>
        <w:rPr>
          <w:rFonts w:hint="eastAsia"/>
          <w:sz w:val="24"/>
        </w:rPr>
        <w:t>％。</w:t>
      </w:r>
    </w:p>
    <w:p w:rsidR="00EE4502" w:rsidRDefault="00FD45A3">
      <w:pPr>
        <w:spacing w:line="360" w:lineRule="auto"/>
        <w:ind w:firstLineChars="200" w:firstLine="482"/>
        <w:rPr>
          <w:rFonts w:ascii="楷体" w:eastAsia="楷体" w:hAnsi="楷体" w:cs="楷体"/>
          <w:b/>
          <w:bCs/>
          <w:sz w:val="24"/>
        </w:rPr>
      </w:pPr>
      <w:r>
        <w:rPr>
          <w:rFonts w:ascii="楷体" w:eastAsia="楷体" w:hAnsi="楷体" w:cs="楷体" w:hint="eastAsia"/>
          <w:b/>
          <w:bCs/>
          <w:sz w:val="24"/>
        </w:rPr>
        <w:t>固井过程中的油层保护：</w:t>
      </w:r>
    </w:p>
    <w:p w:rsidR="00EE4502" w:rsidRDefault="00FD45A3">
      <w:pPr>
        <w:spacing w:line="360" w:lineRule="auto"/>
        <w:ind w:firstLineChars="200" w:firstLine="480"/>
        <w:rPr>
          <w:sz w:val="24"/>
        </w:rPr>
      </w:pPr>
      <w:r>
        <w:rPr>
          <w:rFonts w:hint="eastAsia"/>
          <w:sz w:val="24"/>
        </w:rPr>
        <w:t>①为降低固井泥浆滤液伤害，水平井生产套管不固井。</w:t>
      </w:r>
    </w:p>
    <w:p w:rsidR="00EE4502" w:rsidRDefault="00FD45A3">
      <w:pPr>
        <w:spacing w:line="360" w:lineRule="auto"/>
        <w:ind w:firstLineChars="200" w:firstLine="480"/>
        <w:rPr>
          <w:sz w:val="24"/>
        </w:rPr>
      </w:pPr>
      <w:r>
        <w:rPr>
          <w:rFonts w:hint="eastAsia"/>
          <w:sz w:val="24"/>
        </w:rPr>
        <w:t>②加降失水剂，严格控制水泥浆失水量及自由水含量，改善水泥浆性能，提高固井质量。</w:t>
      </w:r>
    </w:p>
    <w:p w:rsidR="00EE4502" w:rsidRDefault="00FD45A3">
      <w:pPr>
        <w:spacing w:line="360" w:lineRule="auto"/>
        <w:ind w:firstLineChars="200" w:firstLine="480"/>
        <w:rPr>
          <w:sz w:val="24"/>
        </w:rPr>
      </w:pPr>
      <w:r>
        <w:rPr>
          <w:rFonts w:hint="eastAsia"/>
          <w:sz w:val="24"/>
        </w:rPr>
        <w:t>③减少水泥浆流动阻力，改善水泥浆性能，实现紊流顶替，或采用适当顶替速度，实现塞流顶替。</w:t>
      </w:r>
    </w:p>
    <w:p w:rsidR="00EE4502" w:rsidRDefault="00FD45A3">
      <w:pPr>
        <w:spacing w:line="360" w:lineRule="auto"/>
        <w:ind w:firstLineChars="200" w:firstLine="480"/>
        <w:rPr>
          <w:sz w:val="24"/>
        </w:rPr>
      </w:pPr>
      <w:r>
        <w:rPr>
          <w:rFonts w:hint="eastAsia"/>
          <w:sz w:val="24"/>
        </w:rPr>
        <w:t>2</w:t>
      </w:r>
      <w:r>
        <w:rPr>
          <w:rFonts w:hint="eastAsia"/>
          <w:sz w:val="24"/>
        </w:rPr>
        <w:t>）录井</w:t>
      </w:r>
    </w:p>
    <w:p w:rsidR="00EE4502" w:rsidRDefault="00FD45A3">
      <w:pPr>
        <w:spacing w:line="360" w:lineRule="auto"/>
        <w:ind w:firstLineChars="200" w:firstLine="480"/>
        <w:rPr>
          <w:sz w:val="24"/>
        </w:rPr>
      </w:pPr>
      <w:r>
        <w:rPr>
          <w:rFonts w:hint="eastAsia"/>
          <w:sz w:val="24"/>
        </w:rPr>
        <w:t>通过综合录井房中电子设备，采用岩矿分析、地球化学、地球物理等方法，观察、采集、收集、记录、分析随钻过程中的固体、液体、气体等井筒返出物信息，以此建立录井地质剖面、发现油气显示、评价油气层，并为石油工程（投资方、钻井工程、其它工程）提供钻井信息。</w:t>
      </w:r>
    </w:p>
    <w:p w:rsidR="00EE4502" w:rsidRDefault="00FD45A3">
      <w:pPr>
        <w:spacing w:line="360" w:lineRule="auto"/>
        <w:ind w:firstLineChars="200" w:firstLine="480"/>
        <w:rPr>
          <w:sz w:val="24"/>
        </w:rPr>
      </w:pPr>
      <w:r>
        <w:rPr>
          <w:rFonts w:hint="eastAsia"/>
          <w:sz w:val="24"/>
        </w:rPr>
        <w:t>3</w:t>
      </w:r>
      <w:r>
        <w:rPr>
          <w:rFonts w:hint="eastAsia"/>
          <w:sz w:val="24"/>
        </w:rPr>
        <w:t>）测井</w:t>
      </w:r>
    </w:p>
    <w:p w:rsidR="00EE4502" w:rsidRDefault="00FD45A3">
      <w:pPr>
        <w:spacing w:line="360" w:lineRule="auto"/>
        <w:ind w:firstLineChars="200" w:firstLine="480"/>
        <w:rPr>
          <w:sz w:val="24"/>
        </w:rPr>
      </w:pPr>
      <w:r>
        <w:rPr>
          <w:rFonts w:hint="eastAsia"/>
          <w:sz w:val="24"/>
        </w:rPr>
        <w:lastRenderedPageBreak/>
        <w:t>在钻井过程中需利用电测、声波幅度</w:t>
      </w:r>
      <w:r>
        <w:rPr>
          <w:rFonts w:hint="eastAsia"/>
          <w:sz w:val="24"/>
        </w:rPr>
        <w:t>测井</w:t>
      </w:r>
      <w:r>
        <w:rPr>
          <w:rFonts w:hint="eastAsia"/>
          <w:sz w:val="24"/>
        </w:rPr>
        <w:t>或使用测井仪等方法，测定井斜和固井质量，判断油气层位置等，以便及时采取相应措施，保证钻井质量，即为测井作业。</w:t>
      </w:r>
    </w:p>
    <w:p w:rsidR="00EE4502" w:rsidRDefault="00FD45A3">
      <w:pPr>
        <w:spacing w:line="360" w:lineRule="auto"/>
        <w:ind w:firstLineChars="200" w:firstLine="480"/>
        <w:rPr>
          <w:sz w:val="24"/>
        </w:rPr>
      </w:pPr>
      <w:r>
        <w:rPr>
          <w:rFonts w:hint="eastAsia"/>
          <w:sz w:val="24"/>
        </w:rPr>
        <w:t>4</w:t>
      </w:r>
      <w:r>
        <w:rPr>
          <w:rFonts w:hint="eastAsia"/>
          <w:sz w:val="24"/>
        </w:rPr>
        <w:t>）固井</w:t>
      </w:r>
    </w:p>
    <w:p w:rsidR="00EE4502" w:rsidRDefault="00FD45A3">
      <w:pPr>
        <w:spacing w:line="360" w:lineRule="auto"/>
        <w:ind w:firstLineChars="200" w:firstLine="480"/>
        <w:rPr>
          <w:sz w:val="24"/>
        </w:rPr>
      </w:pPr>
      <w:r>
        <w:rPr>
          <w:rFonts w:hint="eastAsia"/>
          <w:sz w:val="24"/>
        </w:rPr>
        <w:t>固井是在已钻成的井筒内下入套管，然后在套管与井壁之间环空内注入水泥浆，将套管和地层固结在一起的工艺过</w:t>
      </w:r>
      <w:r>
        <w:rPr>
          <w:rFonts w:hint="eastAsia"/>
          <w:sz w:val="24"/>
        </w:rPr>
        <w:t>程，以保证安全继续钻进下一段井筒或保证顺利开采生产层中的油气资源。</w:t>
      </w:r>
    </w:p>
    <w:p w:rsidR="00EE4502" w:rsidRDefault="00FD45A3">
      <w:pPr>
        <w:spacing w:line="360" w:lineRule="auto"/>
        <w:ind w:firstLineChars="200" w:firstLine="480"/>
        <w:rPr>
          <w:sz w:val="24"/>
        </w:rPr>
      </w:pPr>
      <w:r>
        <w:rPr>
          <w:rFonts w:hint="eastAsia"/>
          <w:sz w:val="24"/>
        </w:rPr>
        <w:t>5</w:t>
      </w:r>
      <w:r>
        <w:rPr>
          <w:rFonts w:hint="eastAsia"/>
          <w:sz w:val="24"/>
        </w:rPr>
        <w:t>）完井</w:t>
      </w:r>
    </w:p>
    <w:p w:rsidR="00EE4502" w:rsidRDefault="00FD45A3">
      <w:pPr>
        <w:spacing w:line="360" w:lineRule="auto"/>
        <w:ind w:firstLineChars="200" w:firstLine="480"/>
        <w:rPr>
          <w:sz w:val="24"/>
        </w:rPr>
      </w:pPr>
      <w:r>
        <w:rPr>
          <w:rFonts w:hint="eastAsia"/>
          <w:sz w:val="24"/>
        </w:rPr>
        <w:t>完井后清理井场，随即可开展采油生产或试采。完井后要清运井场废弃物，恢复地貌，做到工完料尽场地清。</w:t>
      </w:r>
    </w:p>
    <w:p w:rsidR="00EE4502" w:rsidRDefault="00FD45A3">
      <w:pPr>
        <w:spacing w:line="360" w:lineRule="auto"/>
        <w:ind w:firstLineChars="200" w:firstLine="480"/>
        <w:rPr>
          <w:sz w:val="24"/>
        </w:rPr>
      </w:pPr>
      <w:r>
        <w:rPr>
          <w:rFonts w:hint="eastAsia"/>
          <w:sz w:val="24"/>
        </w:rPr>
        <w:t>（</w:t>
      </w:r>
      <w:r>
        <w:rPr>
          <w:sz w:val="24"/>
        </w:rPr>
        <w:t>3</w:t>
      </w:r>
      <w:r>
        <w:rPr>
          <w:rFonts w:hint="eastAsia"/>
          <w:sz w:val="24"/>
        </w:rPr>
        <w:t>）油气集输工程</w:t>
      </w:r>
    </w:p>
    <w:p w:rsidR="00EE4502" w:rsidRDefault="00FD45A3">
      <w:pPr>
        <w:spacing w:line="360" w:lineRule="auto"/>
        <w:ind w:firstLineChars="200" w:firstLine="480"/>
        <w:rPr>
          <w:sz w:val="24"/>
        </w:rPr>
      </w:pPr>
      <w:r>
        <w:rPr>
          <w:rFonts w:hint="eastAsia"/>
          <w:sz w:val="24"/>
        </w:rPr>
        <w:t>1</w:t>
      </w:r>
      <w:r>
        <w:rPr>
          <w:rFonts w:hint="eastAsia"/>
          <w:sz w:val="24"/>
        </w:rPr>
        <w:t>）井、站场建设</w:t>
      </w:r>
    </w:p>
    <w:p w:rsidR="00EE4502" w:rsidRDefault="00FD45A3">
      <w:pPr>
        <w:spacing w:line="360" w:lineRule="auto"/>
        <w:ind w:firstLineChars="200" w:firstLine="480"/>
        <w:rPr>
          <w:sz w:val="24"/>
        </w:rPr>
      </w:pPr>
      <w:r>
        <w:rPr>
          <w:rFonts w:hint="eastAsia"/>
          <w:sz w:val="24"/>
        </w:rPr>
        <w:t>本工程</w:t>
      </w:r>
      <w:r>
        <w:rPr>
          <w:rFonts w:hint="eastAsia"/>
          <w:sz w:val="24"/>
        </w:rPr>
        <w:t>共部署</w:t>
      </w:r>
      <w:r>
        <w:rPr>
          <w:rFonts w:hint="eastAsia"/>
          <w:sz w:val="24"/>
        </w:rPr>
        <w:t>22</w:t>
      </w:r>
      <w:r>
        <w:rPr>
          <w:rFonts w:hint="eastAsia"/>
          <w:sz w:val="24"/>
        </w:rPr>
        <w:t>口井，其中新建采油井场</w:t>
      </w:r>
      <w:r>
        <w:rPr>
          <w:rFonts w:hint="eastAsia"/>
          <w:sz w:val="24"/>
        </w:rPr>
        <w:t>9</w:t>
      </w:r>
      <w:r>
        <w:rPr>
          <w:rFonts w:hint="eastAsia"/>
          <w:sz w:val="24"/>
        </w:rPr>
        <w:t>座（双井同台井场</w:t>
      </w:r>
      <w:r>
        <w:rPr>
          <w:rFonts w:hint="eastAsia"/>
          <w:sz w:val="24"/>
        </w:rPr>
        <w:t>6</w:t>
      </w:r>
      <w:r>
        <w:rPr>
          <w:rFonts w:hint="eastAsia"/>
          <w:sz w:val="24"/>
        </w:rPr>
        <w:t>座、单井井场</w:t>
      </w:r>
      <w:r>
        <w:rPr>
          <w:rFonts w:hint="eastAsia"/>
          <w:sz w:val="24"/>
        </w:rPr>
        <w:t>1</w:t>
      </w:r>
      <w:r>
        <w:rPr>
          <w:rFonts w:hint="eastAsia"/>
          <w:sz w:val="24"/>
        </w:rPr>
        <w:t>座、老井合建</w:t>
      </w:r>
      <w:r>
        <w:rPr>
          <w:rFonts w:hint="eastAsia"/>
          <w:sz w:val="24"/>
        </w:rPr>
        <w:t>2</w:t>
      </w:r>
      <w:r>
        <w:rPr>
          <w:rFonts w:hint="eastAsia"/>
          <w:sz w:val="24"/>
        </w:rPr>
        <w:t>座），新建注水单井井场</w:t>
      </w:r>
      <w:r>
        <w:rPr>
          <w:rFonts w:hint="eastAsia"/>
          <w:sz w:val="24"/>
        </w:rPr>
        <w:t>3</w:t>
      </w:r>
      <w:r>
        <w:rPr>
          <w:rFonts w:hint="eastAsia"/>
          <w:sz w:val="24"/>
        </w:rPr>
        <w:t>座，老井利用</w:t>
      </w:r>
      <w:r>
        <w:rPr>
          <w:rFonts w:hint="eastAsia"/>
          <w:sz w:val="24"/>
        </w:rPr>
        <w:t>4</w:t>
      </w:r>
      <w:r>
        <w:rPr>
          <w:rFonts w:hint="eastAsia"/>
          <w:sz w:val="24"/>
        </w:rPr>
        <w:t>口（试采井</w:t>
      </w:r>
      <w:r>
        <w:rPr>
          <w:rFonts w:hint="eastAsia"/>
          <w:sz w:val="24"/>
        </w:rPr>
        <w:t>3</w:t>
      </w:r>
      <w:r>
        <w:rPr>
          <w:rFonts w:hint="eastAsia"/>
          <w:sz w:val="24"/>
        </w:rPr>
        <w:t>口、回注井</w:t>
      </w:r>
      <w:r>
        <w:rPr>
          <w:rFonts w:hint="eastAsia"/>
          <w:sz w:val="24"/>
        </w:rPr>
        <w:t>1</w:t>
      </w:r>
      <w:r>
        <w:rPr>
          <w:rFonts w:hint="eastAsia"/>
          <w:sz w:val="24"/>
        </w:rPr>
        <w:t>口）</w:t>
      </w:r>
      <w:r>
        <w:rPr>
          <w:rFonts w:hint="eastAsia"/>
          <w:sz w:val="24"/>
        </w:rPr>
        <w:t>。井场建设</w:t>
      </w:r>
      <w:r>
        <w:rPr>
          <w:rFonts w:hint="eastAsia"/>
          <w:sz w:val="24"/>
        </w:rPr>
        <w:t>主要包括井场设备安装及管线连接等，站场主要为增压站和注水站改造。</w:t>
      </w:r>
    </w:p>
    <w:p w:rsidR="00EE4502" w:rsidRDefault="00FD45A3">
      <w:pPr>
        <w:spacing w:line="360" w:lineRule="auto"/>
        <w:ind w:firstLineChars="200" w:firstLine="480"/>
        <w:rPr>
          <w:sz w:val="24"/>
        </w:rPr>
      </w:pPr>
      <w:r>
        <w:rPr>
          <w:rFonts w:hint="eastAsia"/>
          <w:sz w:val="24"/>
        </w:rPr>
        <w:t>施工期首先对占地进行场地平整，设置施工车辆临时停放场地，将施工设备拉运至场地，进行安装调试。地面工程施工结束后，对场地进行清理，对施工场地临时占地进行平整恢复。</w:t>
      </w:r>
    </w:p>
    <w:p w:rsidR="00EE4502" w:rsidRDefault="00FD45A3">
      <w:pPr>
        <w:spacing w:line="360" w:lineRule="auto"/>
        <w:ind w:firstLineChars="200" w:firstLine="480"/>
        <w:rPr>
          <w:sz w:val="24"/>
        </w:rPr>
      </w:pPr>
      <w:r>
        <w:rPr>
          <w:rFonts w:hint="eastAsia"/>
          <w:sz w:val="24"/>
        </w:rPr>
        <w:t>该过程废气污染源主要为施工车辆尾气，设备运输和装卸时产生的扬尘，通过洒水抑尘减少扬尘产生量；噪声污染源为施工机械产生的噪声，通过选取低噪声设备、加强设备维护保养降低噪声；施工期施工废料等一般工业固体废物，收集后送至克拉玛依建筑垃圾填埋场（排</w:t>
      </w:r>
      <w:r>
        <w:rPr>
          <w:rFonts w:hint="eastAsia"/>
          <w:sz w:val="24"/>
        </w:rPr>
        <w:t>61</w:t>
      </w:r>
      <w:r>
        <w:rPr>
          <w:rFonts w:hint="eastAsia"/>
          <w:sz w:val="24"/>
        </w:rPr>
        <w:t>块产能部分）或胡杨河经济技术开发区一般固体废物填埋场（注水部分）处置；生活垃圾在垃圾收集箱暂存，由克拉玛依</w:t>
      </w:r>
      <w:r>
        <w:rPr>
          <w:rFonts w:hint="eastAsia"/>
          <w:sz w:val="24"/>
        </w:rPr>
        <w:t>前山石油工程服务有限公司清运至克拉玛依市生活垃圾填埋场或第七师</w:t>
      </w:r>
      <w:r>
        <w:rPr>
          <w:rFonts w:hint="eastAsia"/>
          <w:sz w:val="24"/>
        </w:rPr>
        <w:t>128</w:t>
      </w:r>
      <w:r>
        <w:rPr>
          <w:rFonts w:hint="eastAsia"/>
          <w:sz w:val="24"/>
        </w:rPr>
        <w:t>团生活垃圾填埋场处置。</w:t>
      </w:r>
    </w:p>
    <w:p w:rsidR="00EE4502" w:rsidRDefault="00FD45A3">
      <w:pPr>
        <w:spacing w:line="360" w:lineRule="auto"/>
        <w:ind w:firstLineChars="200" w:firstLine="480"/>
        <w:rPr>
          <w:sz w:val="24"/>
        </w:rPr>
      </w:pPr>
      <w:r>
        <w:rPr>
          <w:rFonts w:hint="eastAsia"/>
          <w:sz w:val="24"/>
        </w:rPr>
        <w:t>2</w:t>
      </w:r>
      <w:r>
        <w:rPr>
          <w:rFonts w:hint="eastAsia"/>
          <w:sz w:val="24"/>
        </w:rPr>
        <w:t>）管线建设</w:t>
      </w:r>
    </w:p>
    <w:p w:rsidR="00EE4502" w:rsidRDefault="00FD45A3">
      <w:pPr>
        <w:spacing w:line="360" w:lineRule="auto"/>
        <w:ind w:firstLineChars="200" w:firstLine="480"/>
        <w:rPr>
          <w:sz w:val="24"/>
        </w:rPr>
      </w:pPr>
      <w:r>
        <w:rPr>
          <w:rFonts w:hint="eastAsia"/>
          <w:sz w:val="24"/>
        </w:rPr>
        <w:t>管线施工工艺流程详见图</w:t>
      </w:r>
      <w:r>
        <w:rPr>
          <w:rFonts w:hint="eastAsia"/>
          <w:sz w:val="24"/>
        </w:rPr>
        <w:t>3-4</w:t>
      </w:r>
      <w:r>
        <w:rPr>
          <w:rFonts w:hint="eastAsia"/>
          <w:sz w:val="24"/>
        </w:rPr>
        <w:t>-3</w:t>
      </w:r>
      <w:r>
        <w:rPr>
          <w:rFonts w:hint="eastAsia"/>
          <w:sz w:val="24"/>
        </w:rPr>
        <w:t>。</w:t>
      </w:r>
    </w:p>
    <w:p w:rsidR="00EE4502" w:rsidRDefault="00EE4502">
      <w:pPr>
        <w:spacing w:line="360" w:lineRule="auto"/>
        <w:jc w:val="center"/>
        <w:rPr>
          <w:sz w:val="24"/>
        </w:rPr>
      </w:pPr>
    </w:p>
    <w:p w:rsidR="00EE4502" w:rsidRDefault="00FD45A3">
      <w:pPr>
        <w:spacing w:line="360" w:lineRule="auto"/>
        <w:jc w:val="center"/>
        <w:rPr>
          <w:rFonts w:eastAsia="黑体" w:hAnsi="黑体"/>
          <w:bCs/>
          <w:szCs w:val="21"/>
        </w:rPr>
      </w:pPr>
      <w:r>
        <w:rPr>
          <w:rFonts w:eastAsia="黑体" w:hAnsi="黑体" w:hint="eastAsia"/>
          <w:bCs/>
          <w:szCs w:val="21"/>
        </w:rPr>
        <w:t>图</w:t>
      </w:r>
      <w:r>
        <w:rPr>
          <w:rFonts w:eastAsia="黑体" w:hAnsi="黑体" w:hint="eastAsia"/>
          <w:bCs/>
          <w:szCs w:val="21"/>
        </w:rPr>
        <w:t>3-4</w:t>
      </w:r>
      <w:r>
        <w:rPr>
          <w:rFonts w:eastAsia="黑体" w:hAnsi="黑体" w:hint="eastAsia"/>
          <w:bCs/>
          <w:szCs w:val="21"/>
        </w:rPr>
        <w:t xml:space="preserve">-3    </w:t>
      </w:r>
      <w:r>
        <w:rPr>
          <w:rFonts w:eastAsia="黑体" w:hAnsi="黑体" w:hint="eastAsia"/>
          <w:bCs/>
          <w:szCs w:val="21"/>
        </w:rPr>
        <w:t>管线施工工艺流程图</w:t>
      </w:r>
    </w:p>
    <w:p w:rsidR="00EE4502" w:rsidRDefault="00FD45A3">
      <w:pPr>
        <w:spacing w:line="360" w:lineRule="auto"/>
        <w:ind w:firstLineChars="200" w:firstLine="480"/>
        <w:rPr>
          <w:sz w:val="24"/>
        </w:rPr>
      </w:pPr>
      <w:r>
        <w:rPr>
          <w:rFonts w:hint="eastAsia"/>
          <w:sz w:val="24"/>
        </w:rPr>
        <w:lastRenderedPageBreak/>
        <w:t>管线施工工艺流程简介：</w:t>
      </w:r>
    </w:p>
    <w:p w:rsidR="00EE4502" w:rsidRDefault="00FD45A3">
      <w:pPr>
        <w:spacing w:line="360" w:lineRule="auto"/>
        <w:ind w:firstLineChars="200" w:firstLine="480"/>
        <w:rPr>
          <w:sz w:val="24"/>
        </w:rPr>
      </w:pPr>
      <w:r>
        <w:rPr>
          <w:rFonts w:hint="eastAsia"/>
          <w:sz w:val="24"/>
        </w:rPr>
        <w:t>（</w:t>
      </w:r>
      <w:r>
        <w:rPr>
          <w:rFonts w:hint="eastAsia"/>
          <w:sz w:val="24"/>
        </w:rPr>
        <w:t>1</w:t>
      </w:r>
      <w:r>
        <w:rPr>
          <w:rFonts w:hint="eastAsia"/>
          <w:sz w:val="24"/>
        </w:rPr>
        <w:t>）施工放线</w:t>
      </w:r>
    </w:p>
    <w:p w:rsidR="00EE4502" w:rsidRDefault="00FD45A3">
      <w:pPr>
        <w:spacing w:line="360" w:lineRule="auto"/>
        <w:ind w:firstLineChars="200" w:firstLine="480"/>
        <w:rPr>
          <w:sz w:val="24"/>
        </w:rPr>
      </w:pPr>
      <w:r>
        <w:rPr>
          <w:rFonts w:hint="eastAsia"/>
          <w:sz w:val="24"/>
        </w:rPr>
        <w:t>施工放线时，施工单位必须对设计图纸进行现场核对，根据设计图纸进行放线，打百米桩，标桩上注明标号、里程、高程，转角桩应注明角度、外矢矩及切线长度，在地形起伏及较大拐弯处应打加密桩。施工时按管道两侧土地占用范围划定临时用地边界线，特殊地段增加用地宽度时应与当地有关部门协商。</w:t>
      </w:r>
    </w:p>
    <w:p w:rsidR="00EE4502" w:rsidRDefault="00FD45A3">
      <w:pPr>
        <w:spacing w:line="360" w:lineRule="auto"/>
        <w:ind w:firstLineChars="200" w:firstLine="480"/>
        <w:rPr>
          <w:sz w:val="24"/>
        </w:rPr>
      </w:pPr>
      <w:r>
        <w:rPr>
          <w:rFonts w:hint="eastAsia"/>
          <w:sz w:val="24"/>
        </w:rPr>
        <w:t>（</w:t>
      </w:r>
      <w:r>
        <w:rPr>
          <w:rFonts w:hint="eastAsia"/>
          <w:sz w:val="24"/>
        </w:rPr>
        <w:t>2</w:t>
      </w:r>
      <w:r>
        <w:rPr>
          <w:rFonts w:hint="eastAsia"/>
          <w:sz w:val="24"/>
        </w:rPr>
        <w:t>）管沟开挖</w:t>
      </w:r>
    </w:p>
    <w:p w:rsidR="00EE4502" w:rsidRDefault="00FD45A3">
      <w:pPr>
        <w:spacing w:line="360" w:lineRule="auto"/>
        <w:ind w:firstLineChars="200" w:firstLine="480"/>
        <w:rPr>
          <w:sz w:val="24"/>
        </w:rPr>
      </w:pPr>
      <w:r>
        <w:rPr>
          <w:rFonts w:hint="eastAsia"/>
          <w:sz w:val="24"/>
        </w:rPr>
        <w:t>开挖管沟前，应根据管道施工用地宽度清理其中的杂物，平整沟、坎，以便施工机具通行，同时清除管线中心线两侧以及附近斜坡上危及管道安全的崩塌堆积物。施工前应按照设计图纸要求及各个区域的地质情况向施工人员</w:t>
      </w:r>
      <w:r>
        <w:rPr>
          <w:rFonts w:hint="eastAsia"/>
          <w:sz w:val="24"/>
        </w:rPr>
        <w:t>做好</w:t>
      </w:r>
      <w:r>
        <w:rPr>
          <w:rFonts w:hint="eastAsia"/>
          <w:sz w:val="24"/>
        </w:rPr>
        <w:t>管沟断面开挖要求（开挖深度及边坡比）、堆土位置及技术要求等的交底工作。管沟开挖可采用机械开挖与人工开挖相结合的方式，有地下障碍物时，障碍物两侧</w:t>
      </w:r>
      <w:r>
        <w:rPr>
          <w:rFonts w:hint="eastAsia"/>
          <w:sz w:val="24"/>
        </w:rPr>
        <w:t>5m</w:t>
      </w:r>
      <w:r>
        <w:rPr>
          <w:rFonts w:hint="eastAsia"/>
          <w:sz w:val="24"/>
        </w:rPr>
        <w:t>范围内，应采用人工开挖。对于重要设施，开挖前应征得其管理方的同意，并应在其监督下开挖管沟。施工机械在纵坡上挖沟，必须根据坡度的大小、土壤的类别、性质及状态计算施工机械</w:t>
      </w:r>
      <w:r>
        <w:rPr>
          <w:rFonts w:hint="eastAsia"/>
          <w:sz w:val="24"/>
        </w:rPr>
        <w:t>的稳定性，并采取相应的措施，确保安全操作。管沟沟底单管开挖宽度为</w:t>
      </w:r>
      <w:r>
        <w:rPr>
          <w:rFonts w:hint="eastAsia"/>
          <w:sz w:val="24"/>
        </w:rPr>
        <w:t>0.8m</w:t>
      </w:r>
      <w:r>
        <w:rPr>
          <w:rFonts w:hint="eastAsia"/>
          <w:sz w:val="24"/>
        </w:rPr>
        <w:t>，管沟边坡比为</w:t>
      </w:r>
      <w:r>
        <w:rPr>
          <w:rFonts w:hint="eastAsia"/>
          <w:sz w:val="24"/>
        </w:rPr>
        <w:t>1:1.5</w:t>
      </w:r>
      <w:r>
        <w:rPr>
          <w:rFonts w:hint="eastAsia"/>
          <w:sz w:val="24"/>
        </w:rPr>
        <w:t>。管沟成型后，应进行检查。</w:t>
      </w:r>
    </w:p>
    <w:p w:rsidR="00EE4502" w:rsidRDefault="00FD45A3">
      <w:pPr>
        <w:spacing w:line="360" w:lineRule="auto"/>
        <w:ind w:firstLineChars="200" w:firstLine="480"/>
        <w:rPr>
          <w:sz w:val="24"/>
        </w:rPr>
      </w:pPr>
      <w:r>
        <w:rPr>
          <w:rFonts w:hint="eastAsia"/>
          <w:sz w:val="24"/>
        </w:rPr>
        <w:t>（</w:t>
      </w:r>
      <w:r>
        <w:rPr>
          <w:rFonts w:hint="eastAsia"/>
          <w:sz w:val="24"/>
        </w:rPr>
        <w:t>3</w:t>
      </w:r>
      <w:r>
        <w:rPr>
          <w:rFonts w:hint="eastAsia"/>
          <w:sz w:val="24"/>
        </w:rPr>
        <w:t>）管线组装</w:t>
      </w:r>
    </w:p>
    <w:p w:rsidR="00EE4502" w:rsidRDefault="00FD45A3">
      <w:pPr>
        <w:spacing w:line="360" w:lineRule="auto"/>
        <w:ind w:firstLineChars="200" w:firstLine="480"/>
        <w:rPr>
          <w:sz w:val="24"/>
        </w:rPr>
      </w:pPr>
      <w:r>
        <w:rPr>
          <w:rFonts w:hint="eastAsia"/>
          <w:sz w:val="24"/>
        </w:rPr>
        <w:t>集输管线采用无缝钢管，连接方式集输管线采用焊接组装。在焊接前，应制定详细的焊接工艺指导书，并按《石油天然气金属管道焊接工艺评定》（</w:t>
      </w:r>
      <w:r>
        <w:rPr>
          <w:rFonts w:hint="eastAsia"/>
          <w:sz w:val="24"/>
        </w:rPr>
        <w:t>SY/T0452</w:t>
      </w:r>
      <w:r>
        <w:rPr>
          <w:rFonts w:hint="eastAsia"/>
          <w:sz w:val="24"/>
        </w:rPr>
        <w:t>）对此焊接工艺评定进行评定。焊接工艺评定合格后进行施焊。</w:t>
      </w:r>
    </w:p>
    <w:p w:rsidR="00EE4502" w:rsidRDefault="00FD45A3">
      <w:pPr>
        <w:spacing w:line="360" w:lineRule="auto"/>
        <w:ind w:firstLineChars="200" w:firstLine="480"/>
        <w:rPr>
          <w:sz w:val="24"/>
        </w:rPr>
      </w:pPr>
      <w:r>
        <w:rPr>
          <w:rFonts w:hint="eastAsia"/>
          <w:sz w:val="24"/>
        </w:rPr>
        <w:t>（</w:t>
      </w:r>
      <w:r>
        <w:rPr>
          <w:rFonts w:hint="eastAsia"/>
          <w:sz w:val="24"/>
        </w:rPr>
        <w:t>4</w:t>
      </w:r>
      <w:r>
        <w:rPr>
          <w:rFonts w:hint="eastAsia"/>
          <w:sz w:val="24"/>
        </w:rPr>
        <w:t>）吹扫与试压</w:t>
      </w:r>
    </w:p>
    <w:p w:rsidR="00EE4502" w:rsidRDefault="00FD45A3">
      <w:pPr>
        <w:spacing w:line="360" w:lineRule="auto"/>
        <w:ind w:firstLineChars="200" w:firstLine="480"/>
        <w:rPr>
          <w:sz w:val="24"/>
        </w:rPr>
      </w:pPr>
      <w:r>
        <w:rPr>
          <w:rFonts w:hint="eastAsia"/>
          <w:sz w:val="24"/>
        </w:rPr>
        <w:t>管道在试压前应进行吹扫，当吹扫出的气体无铁锈、尘土、焊渣、水等脏物时为合格，吹扫气体在管道内流速应大于</w:t>
      </w:r>
      <w:r>
        <w:rPr>
          <w:rFonts w:hint="eastAsia"/>
          <w:sz w:val="24"/>
        </w:rPr>
        <w:t>20m/s</w:t>
      </w:r>
      <w:r>
        <w:rPr>
          <w:rFonts w:hint="eastAsia"/>
          <w:sz w:val="24"/>
        </w:rPr>
        <w:t>。</w:t>
      </w:r>
    </w:p>
    <w:p w:rsidR="00EE4502" w:rsidRDefault="00FD45A3">
      <w:pPr>
        <w:spacing w:line="360" w:lineRule="auto"/>
        <w:ind w:firstLineChars="200" w:firstLine="480"/>
        <w:rPr>
          <w:sz w:val="24"/>
        </w:rPr>
      </w:pPr>
      <w:r>
        <w:rPr>
          <w:rFonts w:hint="eastAsia"/>
          <w:sz w:val="24"/>
        </w:rPr>
        <w:t>集输管线试压介质采用中性洁净水。有高差的管道，应考虑静水压的影响，管道试验压力应以高处的压力表为准，各试压段的最低点强度试验压力应保证该试压段最低点的管道环向应力不超过其屈服强度的</w:t>
      </w:r>
      <w:r>
        <w:rPr>
          <w:rFonts w:hint="eastAsia"/>
          <w:sz w:val="24"/>
        </w:rPr>
        <w:t>95%</w:t>
      </w:r>
      <w:r>
        <w:rPr>
          <w:rFonts w:hint="eastAsia"/>
          <w:sz w:val="24"/>
        </w:rPr>
        <w:t>，且最高点压力应为管道设计压力的</w:t>
      </w:r>
      <w:r>
        <w:rPr>
          <w:rFonts w:hint="eastAsia"/>
          <w:sz w:val="24"/>
        </w:rPr>
        <w:t>1.5</w:t>
      </w:r>
      <w:r>
        <w:rPr>
          <w:rFonts w:hint="eastAsia"/>
          <w:sz w:val="24"/>
        </w:rPr>
        <w:t>倍。</w:t>
      </w:r>
    </w:p>
    <w:p w:rsidR="00EE4502" w:rsidRDefault="00FD45A3">
      <w:pPr>
        <w:spacing w:line="360" w:lineRule="auto"/>
        <w:ind w:firstLineChars="200" w:firstLine="480"/>
        <w:rPr>
          <w:sz w:val="24"/>
        </w:rPr>
      </w:pPr>
      <w:r>
        <w:rPr>
          <w:rFonts w:hint="eastAsia"/>
          <w:sz w:val="24"/>
        </w:rPr>
        <w:t>试压过程中有泄漏时，不得带压修理。缺陷修补后应重新进行试压，直至合格。</w:t>
      </w:r>
    </w:p>
    <w:p w:rsidR="00EE4502" w:rsidRDefault="00FD45A3">
      <w:pPr>
        <w:spacing w:line="360" w:lineRule="auto"/>
        <w:ind w:firstLineChars="200" w:firstLine="480"/>
        <w:rPr>
          <w:sz w:val="24"/>
        </w:rPr>
      </w:pPr>
      <w:r>
        <w:rPr>
          <w:rFonts w:hint="eastAsia"/>
          <w:sz w:val="24"/>
        </w:rPr>
        <w:t>（</w:t>
      </w:r>
      <w:r>
        <w:rPr>
          <w:rFonts w:hint="eastAsia"/>
          <w:sz w:val="24"/>
        </w:rPr>
        <w:t>5</w:t>
      </w:r>
      <w:r>
        <w:rPr>
          <w:rFonts w:hint="eastAsia"/>
          <w:sz w:val="24"/>
        </w:rPr>
        <w:t>）穿越工程</w:t>
      </w:r>
    </w:p>
    <w:p w:rsidR="00EE4502" w:rsidRDefault="00FD45A3">
      <w:pPr>
        <w:spacing w:line="360" w:lineRule="auto"/>
        <w:ind w:firstLineChars="200" w:firstLine="480"/>
        <w:rPr>
          <w:sz w:val="24"/>
        </w:rPr>
      </w:pPr>
      <w:r>
        <w:rPr>
          <w:rFonts w:hint="eastAsia"/>
          <w:sz w:val="24"/>
        </w:rPr>
        <w:lastRenderedPageBreak/>
        <w:t>一般情况下，管道与其它埋地构筑物交叉，原则上在其下方通过。</w:t>
      </w:r>
    </w:p>
    <w:p w:rsidR="00EE4502" w:rsidRDefault="00FD45A3">
      <w:pPr>
        <w:spacing w:line="360" w:lineRule="auto"/>
        <w:ind w:firstLineChars="200" w:firstLine="480"/>
        <w:rPr>
          <w:sz w:val="24"/>
        </w:rPr>
      </w:pPr>
      <w:r>
        <w:rPr>
          <w:rFonts w:hint="eastAsia"/>
          <w:sz w:val="24"/>
        </w:rPr>
        <w:t>与电（光）缆交叉时，管道与电（光）缆净距不小于</w:t>
      </w:r>
      <w:r>
        <w:rPr>
          <w:rFonts w:hint="eastAsia"/>
          <w:sz w:val="24"/>
        </w:rPr>
        <w:t>0.5m</w:t>
      </w:r>
      <w:r>
        <w:rPr>
          <w:rFonts w:hint="eastAsia"/>
          <w:sz w:val="24"/>
        </w:rPr>
        <w:t>，还要对电（光）缆采取保护措施。与管道交叉时，两管间净距不小于</w:t>
      </w:r>
      <w:r>
        <w:rPr>
          <w:rFonts w:hint="eastAsia"/>
          <w:sz w:val="24"/>
        </w:rPr>
        <w:t>0.3m</w:t>
      </w:r>
      <w:r>
        <w:rPr>
          <w:rFonts w:hint="eastAsia"/>
          <w:sz w:val="24"/>
        </w:rPr>
        <w:t>，并采取措</w:t>
      </w:r>
      <w:r>
        <w:rPr>
          <w:rFonts w:hint="eastAsia"/>
          <w:sz w:val="24"/>
        </w:rPr>
        <w:t>施将两管道隔离；管沟开挖前，首先探明被穿越管道位置，并</w:t>
      </w:r>
      <w:r>
        <w:rPr>
          <w:rFonts w:hint="eastAsia"/>
          <w:sz w:val="24"/>
        </w:rPr>
        <w:t>做出</w:t>
      </w:r>
      <w:r>
        <w:rPr>
          <w:rFonts w:hint="eastAsia"/>
          <w:sz w:val="24"/>
        </w:rPr>
        <w:t>明显标记。在交叉点两侧各</w:t>
      </w:r>
      <w:r>
        <w:rPr>
          <w:rFonts w:hint="eastAsia"/>
          <w:sz w:val="24"/>
        </w:rPr>
        <w:t>5m</w:t>
      </w:r>
      <w:r>
        <w:rPr>
          <w:rFonts w:hint="eastAsia"/>
          <w:sz w:val="24"/>
        </w:rPr>
        <w:t>范围内必须采用人工开挖。</w:t>
      </w:r>
    </w:p>
    <w:p w:rsidR="00EE4502" w:rsidRDefault="00FD45A3">
      <w:pPr>
        <w:spacing w:line="360" w:lineRule="auto"/>
        <w:ind w:firstLineChars="200" w:firstLine="480"/>
        <w:rPr>
          <w:sz w:val="24"/>
        </w:rPr>
      </w:pPr>
      <w:r>
        <w:rPr>
          <w:rFonts w:hint="eastAsia"/>
          <w:sz w:val="24"/>
        </w:rPr>
        <w:t>（</w:t>
      </w:r>
      <w:r>
        <w:rPr>
          <w:rFonts w:hint="eastAsia"/>
          <w:sz w:val="24"/>
        </w:rPr>
        <w:t>6</w:t>
      </w:r>
      <w:r>
        <w:rPr>
          <w:rFonts w:hint="eastAsia"/>
          <w:sz w:val="24"/>
        </w:rPr>
        <w:t>）管沟回填</w:t>
      </w:r>
    </w:p>
    <w:p w:rsidR="00EE4502" w:rsidRDefault="00FD45A3">
      <w:pPr>
        <w:spacing w:line="360" w:lineRule="auto"/>
        <w:ind w:firstLineChars="200" w:firstLine="480"/>
        <w:rPr>
          <w:sz w:val="24"/>
        </w:rPr>
      </w:pPr>
      <w:r>
        <w:rPr>
          <w:rFonts w:hint="eastAsia"/>
          <w:sz w:val="24"/>
        </w:rPr>
        <w:t>管线连接成功并检验合格后应及时进行管沟回填，管道穿越地下电缆、管道、构筑物处的保护处理，应在管沟回填前按设计的要求配合管沟回填施工。</w:t>
      </w:r>
    </w:p>
    <w:p w:rsidR="00EE4502" w:rsidRDefault="00FD45A3">
      <w:pPr>
        <w:spacing w:line="360" w:lineRule="auto"/>
        <w:ind w:firstLineChars="200" w:firstLine="480"/>
        <w:rPr>
          <w:sz w:val="24"/>
        </w:rPr>
      </w:pPr>
      <w:r>
        <w:rPr>
          <w:rFonts w:hint="eastAsia"/>
          <w:sz w:val="24"/>
        </w:rPr>
        <w:t>回填前应清除管沟中的杂物，应检查管沟底部是否平整，管道下面的回填土是否夯实，管道在沟底是否有悬空的现象，检查管道埋深是否符合设计文件要求。</w:t>
      </w:r>
    </w:p>
    <w:p w:rsidR="00EE4502" w:rsidRDefault="00FD45A3">
      <w:pPr>
        <w:spacing w:line="360" w:lineRule="auto"/>
        <w:ind w:firstLineChars="200" w:firstLine="480"/>
        <w:rPr>
          <w:sz w:val="24"/>
        </w:rPr>
      </w:pPr>
      <w:r>
        <w:rPr>
          <w:rFonts w:hint="eastAsia"/>
          <w:sz w:val="24"/>
        </w:rPr>
        <w:t>管沟回填应分两次进行，第一次回填在试压前进行，应先用人工回填，用细土或沙回填管道两侧和管顶上部，当回填至管顶以</w:t>
      </w:r>
      <w:r>
        <w:rPr>
          <w:rFonts w:hint="eastAsia"/>
          <w:sz w:val="24"/>
        </w:rPr>
        <w:t>上</w:t>
      </w:r>
      <w:r>
        <w:rPr>
          <w:rFonts w:hint="eastAsia"/>
          <w:sz w:val="24"/>
        </w:rPr>
        <w:t>500mm</w:t>
      </w:r>
      <w:r>
        <w:rPr>
          <w:rFonts w:hint="eastAsia"/>
          <w:sz w:val="24"/>
        </w:rPr>
        <w:t>左右时，进行夯实，之后可采用机械回填，第一次回填应留出接头部位。第二次回填在试压合格后进行，管沟回填后，回填土应高出自然地面</w:t>
      </w:r>
      <w:r>
        <w:rPr>
          <w:rFonts w:hint="eastAsia"/>
          <w:sz w:val="24"/>
        </w:rPr>
        <w:t>300mm</w:t>
      </w:r>
      <w:r>
        <w:rPr>
          <w:rFonts w:hint="eastAsia"/>
          <w:sz w:val="24"/>
        </w:rPr>
        <w:t>。</w:t>
      </w:r>
    </w:p>
    <w:p w:rsidR="00EE4502" w:rsidRDefault="00FD45A3">
      <w:pPr>
        <w:spacing w:line="360" w:lineRule="auto"/>
        <w:ind w:firstLineChars="200" w:firstLine="480"/>
        <w:rPr>
          <w:sz w:val="24"/>
        </w:rPr>
      </w:pPr>
      <w:r>
        <w:rPr>
          <w:rFonts w:hint="eastAsia"/>
          <w:sz w:val="24"/>
        </w:rPr>
        <w:t>（</w:t>
      </w:r>
      <w:r>
        <w:rPr>
          <w:rFonts w:hint="eastAsia"/>
          <w:sz w:val="24"/>
        </w:rPr>
        <w:t>6</w:t>
      </w:r>
      <w:r>
        <w:rPr>
          <w:rFonts w:hint="eastAsia"/>
          <w:sz w:val="24"/>
        </w:rPr>
        <w:t>）收尾工作</w:t>
      </w:r>
    </w:p>
    <w:p w:rsidR="00EE4502" w:rsidRDefault="00FD45A3">
      <w:pPr>
        <w:spacing w:line="360" w:lineRule="auto"/>
        <w:ind w:firstLineChars="200" w:firstLine="480"/>
        <w:rPr>
          <w:sz w:val="24"/>
        </w:rPr>
      </w:pPr>
      <w:r>
        <w:rPr>
          <w:rFonts w:hint="eastAsia"/>
          <w:sz w:val="24"/>
        </w:rPr>
        <w:t>收尾工作包括场地平整和临时场地恢复。回填前，应仔细检查防水层和保温层质量，发现损坏，应及时修补，距管壁</w:t>
      </w:r>
      <w:r>
        <w:rPr>
          <w:rFonts w:hint="eastAsia"/>
          <w:sz w:val="24"/>
        </w:rPr>
        <w:t>200mm</w:t>
      </w:r>
      <w:r>
        <w:rPr>
          <w:rFonts w:hint="eastAsia"/>
          <w:sz w:val="24"/>
        </w:rPr>
        <w:t>范围的回填土用软土或砂土回填，同沟敷设的管道净间距不得小于</w:t>
      </w:r>
      <w:r>
        <w:rPr>
          <w:rFonts w:hint="eastAsia"/>
          <w:sz w:val="24"/>
        </w:rPr>
        <w:t>500mm</w:t>
      </w:r>
      <w:r>
        <w:rPr>
          <w:rFonts w:hint="eastAsia"/>
          <w:sz w:val="24"/>
        </w:rPr>
        <w:t>，管道间必须用软土或砂土填实，管道周围不得留有空隙。荒地段应做</w:t>
      </w:r>
      <w:r>
        <w:rPr>
          <w:rFonts w:hint="eastAsia"/>
          <w:sz w:val="24"/>
        </w:rPr>
        <w:t>300mm</w:t>
      </w:r>
      <w:r>
        <w:rPr>
          <w:rFonts w:hint="eastAsia"/>
          <w:sz w:val="24"/>
        </w:rPr>
        <w:t>高管垄，以备沉降。管沟回填后，在管线沿线设置管道标识、里程桩、转角桩、标志桩、警示牌和警示带等</w:t>
      </w:r>
      <w:r>
        <w:rPr>
          <w:rFonts w:hint="eastAsia"/>
          <w:sz w:val="24"/>
        </w:rPr>
        <w:t>标识。</w:t>
      </w:r>
    </w:p>
    <w:p w:rsidR="00EE4502" w:rsidRDefault="00FD45A3">
      <w:pPr>
        <w:spacing w:line="360" w:lineRule="auto"/>
        <w:ind w:firstLineChars="200" w:firstLine="480"/>
        <w:rPr>
          <w:sz w:val="24"/>
        </w:rPr>
      </w:pPr>
      <w:r>
        <w:rPr>
          <w:rFonts w:hint="eastAsia"/>
          <w:sz w:val="24"/>
        </w:rPr>
        <w:t>管道及电线线路施工过程中废气污染源为施工扬尘、焊接烟尘和施工车辆尾气，其中土方开挖和倾卸时产生的扬尘，通过控制倾卸高度减少扬尘产生量；废水污染源主要为管线试压废水，由管内排出后循环使用，试压结束后就地泼洒抑尘；噪声污染源为施工机械产生的噪声，通过选取低噪声设备、加强设备维护保养降低噪声；固体废物管道焊接及管道吹扫产生的废渣收集后送至克拉玛依建筑垃圾填埋场或胡杨河经济技术开发区一般固体废物填埋场处置。</w:t>
      </w:r>
    </w:p>
    <w:p w:rsidR="00EE4502" w:rsidRDefault="00FD45A3">
      <w:pPr>
        <w:pStyle w:val="41"/>
        <w:numPr>
          <w:ilvl w:val="3"/>
          <w:numId w:val="30"/>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hint="eastAsia"/>
          <w:bCs w:val="0"/>
          <w:sz w:val="24"/>
          <w:szCs w:val="24"/>
        </w:rPr>
        <w:t>运营期</w:t>
      </w:r>
    </w:p>
    <w:p w:rsidR="00EE4502" w:rsidRDefault="00FD45A3">
      <w:pPr>
        <w:spacing w:line="360" w:lineRule="auto"/>
        <w:ind w:firstLineChars="200" w:firstLine="480"/>
        <w:rPr>
          <w:sz w:val="24"/>
        </w:rPr>
      </w:pPr>
      <w:r>
        <w:rPr>
          <w:rFonts w:hint="eastAsia"/>
          <w:sz w:val="24"/>
        </w:rPr>
        <w:t>本工程工艺流程主要包括油气开采、集输及井下作业等。</w:t>
      </w:r>
    </w:p>
    <w:p w:rsidR="00EE4502" w:rsidRDefault="00FD45A3">
      <w:pPr>
        <w:spacing w:line="360" w:lineRule="auto"/>
        <w:ind w:firstLineChars="200" w:firstLine="480"/>
        <w:rPr>
          <w:sz w:val="24"/>
        </w:rPr>
      </w:pPr>
      <w:r>
        <w:rPr>
          <w:rFonts w:hint="eastAsia"/>
          <w:sz w:val="24"/>
        </w:rPr>
        <w:t>（</w:t>
      </w:r>
      <w:r>
        <w:rPr>
          <w:rFonts w:hint="eastAsia"/>
          <w:sz w:val="24"/>
        </w:rPr>
        <w:t>1</w:t>
      </w:r>
      <w:r>
        <w:rPr>
          <w:rFonts w:hint="eastAsia"/>
          <w:sz w:val="24"/>
        </w:rPr>
        <w:t>）原油开采</w:t>
      </w:r>
    </w:p>
    <w:p w:rsidR="00EE4502" w:rsidRDefault="00FD45A3">
      <w:pPr>
        <w:spacing w:line="360" w:lineRule="auto"/>
        <w:ind w:firstLineChars="200" w:firstLine="480"/>
        <w:rPr>
          <w:sz w:val="24"/>
        </w:rPr>
      </w:pPr>
      <w:r>
        <w:rPr>
          <w:rFonts w:hint="eastAsia"/>
          <w:sz w:val="24"/>
        </w:rPr>
        <w:t>采油就是借助油层的自身压力或者抽油泵等工艺方法，使原油从地下储油层</w:t>
      </w:r>
      <w:r>
        <w:rPr>
          <w:rFonts w:hint="eastAsia"/>
          <w:sz w:val="24"/>
        </w:rPr>
        <w:lastRenderedPageBreak/>
        <w:t>中产出的工艺过程。一般来说依靠油层自身压力进行采油的方法称为自喷采油法，而需要用抽油泵等方法进行采油的则叫机械采油法。在原油开采中为了保持油层的压力，达到稳产的目的，往往需要向油层注入一定的介质，用以驱替原油。根据注入介质的不同，常见有水驱采油和蒸汽驱采油。</w:t>
      </w:r>
    </w:p>
    <w:p w:rsidR="00EE4502" w:rsidRDefault="00FD45A3">
      <w:pPr>
        <w:spacing w:line="360" w:lineRule="auto"/>
        <w:ind w:firstLineChars="200" w:firstLine="480"/>
        <w:rPr>
          <w:sz w:val="24"/>
        </w:rPr>
      </w:pPr>
      <w:r>
        <w:rPr>
          <w:rFonts w:hint="eastAsia"/>
          <w:sz w:val="24"/>
        </w:rPr>
        <w:t>油藏类型为稠油裂缝型油藏，热采</w:t>
      </w:r>
      <w:r>
        <w:rPr>
          <w:rFonts w:hint="eastAsia"/>
          <w:sz w:val="24"/>
        </w:rPr>
        <w:t>9</w:t>
      </w:r>
      <w:r>
        <w:rPr>
          <w:rFonts w:hint="eastAsia"/>
          <w:sz w:val="24"/>
        </w:rPr>
        <w:t>口、冷采</w:t>
      </w:r>
      <w:r>
        <w:rPr>
          <w:rFonts w:hint="eastAsia"/>
          <w:sz w:val="24"/>
        </w:rPr>
        <w:t>9</w:t>
      </w:r>
      <w:r>
        <w:rPr>
          <w:rFonts w:hint="eastAsia"/>
          <w:sz w:val="24"/>
        </w:rPr>
        <w:t>口</w:t>
      </w:r>
      <w:r>
        <w:rPr>
          <w:rFonts w:hint="eastAsia"/>
          <w:sz w:val="24"/>
        </w:rPr>
        <w:t>。</w:t>
      </w:r>
    </w:p>
    <w:p w:rsidR="00EE4502" w:rsidRDefault="00FD45A3">
      <w:pPr>
        <w:spacing w:line="360" w:lineRule="auto"/>
        <w:ind w:firstLineChars="200" w:firstLine="480"/>
        <w:rPr>
          <w:sz w:val="24"/>
        </w:rPr>
      </w:pPr>
      <w:r>
        <w:rPr>
          <w:rFonts w:hint="eastAsia"/>
          <w:sz w:val="24"/>
        </w:rPr>
        <w:t>①热采方式</w:t>
      </w:r>
    </w:p>
    <w:p w:rsidR="00EE4502" w:rsidRDefault="00FD45A3">
      <w:pPr>
        <w:spacing w:line="360" w:lineRule="auto"/>
        <w:ind w:firstLineChars="200" w:firstLine="480"/>
        <w:rPr>
          <w:sz w:val="24"/>
        </w:rPr>
      </w:pPr>
      <w:r>
        <w:rPr>
          <w:rFonts w:hint="eastAsia"/>
          <w:sz w:val="24"/>
        </w:rPr>
        <w:t>本工程排</w:t>
      </w:r>
      <w:r>
        <w:rPr>
          <w:rFonts w:hint="eastAsia"/>
          <w:sz w:val="24"/>
        </w:rPr>
        <w:t>61-</w:t>
      </w:r>
      <w:r>
        <w:rPr>
          <w:rFonts w:hint="eastAsia"/>
          <w:sz w:val="24"/>
        </w:rPr>
        <w:t>平</w:t>
      </w:r>
      <w:r>
        <w:rPr>
          <w:rFonts w:hint="eastAsia"/>
          <w:sz w:val="24"/>
        </w:rPr>
        <w:t>12</w:t>
      </w:r>
      <w:r>
        <w:rPr>
          <w:rFonts w:hint="eastAsia"/>
          <w:sz w:val="24"/>
        </w:rPr>
        <w:t>等</w:t>
      </w:r>
      <w:r>
        <w:rPr>
          <w:rFonts w:hint="eastAsia"/>
          <w:sz w:val="24"/>
        </w:rPr>
        <w:t>9</w:t>
      </w:r>
      <w:r>
        <w:rPr>
          <w:rFonts w:hint="eastAsia"/>
          <w:sz w:val="24"/>
        </w:rPr>
        <w:t>口</w:t>
      </w:r>
      <w:r>
        <w:rPr>
          <w:rFonts w:hint="eastAsia"/>
          <w:sz w:val="24"/>
        </w:rPr>
        <w:t>井</w:t>
      </w:r>
      <w:r>
        <w:rPr>
          <w:rFonts w:hint="eastAsia"/>
          <w:sz w:val="24"/>
        </w:rPr>
        <w:t>采油方式为蒸汽吞吐方式。蒸汽吞吐采油系统主要是注汽开采工艺，高压蒸汽通过新建注汽管线送至井口注入地</w:t>
      </w:r>
      <w:r>
        <w:rPr>
          <w:rFonts w:hint="eastAsia"/>
          <w:sz w:val="24"/>
        </w:rPr>
        <w:t>层，之后采出液再经井口采出，通过新建集油管线送至区块集油干线；为进一步增加集油管线内原油的流动性，项目还在集输管线支线末端掺入低压蒸汽。</w:t>
      </w:r>
    </w:p>
    <w:p w:rsidR="00EE4502" w:rsidRDefault="00FD45A3">
      <w:pPr>
        <w:spacing w:line="360" w:lineRule="auto"/>
        <w:ind w:firstLineChars="200" w:firstLine="480"/>
        <w:rPr>
          <w:sz w:val="24"/>
        </w:rPr>
      </w:pPr>
      <w:r>
        <w:rPr>
          <w:rFonts w:hint="eastAsia"/>
          <w:sz w:val="24"/>
        </w:rPr>
        <w:t>本工程先向油井注入一定量的蒸汽，关井一段时间，待蒸汽的热能向油层扩散后再开井，将地下油藏中的油水混合物通过抽油机等提升设备提升至地面，通过管线输送至增压站后集输至联合站，进入原油处理系统。具体注、采周期，根据各油井的实际生产情况及开采需要进行调整。</w:t>
      </w:r>
    </w:p>
    <w:p w:rsidR="00EE4502" w:rsidRDefault="00FD45A3">
      <w:pPr>
        <w:spacing w:line="360" w:lineRule="auto"/>
        <w:ind w:firstLineChars="200" w:firstLine="480"/>
        <w:rPr>
          <w:sz w:val="24"/>
        </w:rPr>
      </w:pPr>
      <w:r>
        <w:rPr>
          <w:rFonts w:hint="eastAsia"/>
          <w:sz w:val="24"/>
        </w:rPr>
        <w:t>油藏类型为浅薄层地层超稠油油藏，采用注采合一工艺。</w:t>
      </w:r>
      <w:r>
        <w:rPr>
          <w:rFonts w:hint="eastAsia"/>
          <w:sz w:val="24"/>
        </w:rPr>
        <w:t>本工程</w:t>
      </w:r>
      <w:r>
        <w:rPr>
          <w:rFonts w:hint="eastAsia"/>
          <w:sz w:val="24"/>
        </w:rPr>
        <w:t>原油开采工艺流程见图</w:t>
      </w:r>
      <w:r>
        <w:rPr>
          <w:rFonts w:hint="eastAsia"/>
          <w:sz w:val="24"/>
        </w:rPr>
        <w:t>3-4</w:t>
      </w:r>
      <w:r>
        <w:rPr>
          <w:rFonts w:hint="eastAsia"/>
          <w:sz w:val="24"/>
        </w:rPr>
        <w:t>-4</w:t>
      </w:r>
      <w:r>
        <w:rPr>
          <w:rFonts w:hint="eastAsia"/>
          <w:sz w:val="24"/>
        </w:rPr>
        <w:t>。</w:t>
      </w:r>
    </w:p>
    <w:p w:rsidR="00EE4502" w:rsidRDefault="00EE4502">
      <w:pPr>
        <w:spacing w:line="360" w:lineRule="auto"/>
        <w:jc w:val="center"/>
        <w:rPr>
          <w:b/>
          <w:sz w:val="24"/>
        </w:rPr>
      </w:pPr>
    </w:p>
    <w:p w:rsidR="00EE4502" w:rsidRDefault="00FD45A3">
      <w:pPr>
        <w:spacing w:line="360" w:lineRule="auto"/>
        <w:jc w:val="center"/>
        <w:rPr>
          <w:rFonts w:eastAsia="黑体" w:hAnsi="黑体"/>
          <w:bCs/>
          <w:szCs w:val="21"/>
        </w:rPr>
      </w:pPr>
      <w:r>
        <w:rPr>
          <w:rFonts w:eastAsia="黑体" w:hAnsi="黑体" w:hint="eastAsia"/>
          <w:bCs/>
          <w:szCs w:val="21"/>
        </w:rPr>
        <w:t>图</w:t>
      </w:r>
      <w:r>
        <w:rPr>
          <w:rFonts w:eastAsia="黑体" w:hAnsi="黑体" w:hint="eastAsia"/>
          <w:bCs/>
          <w:szCs w:val="21"/>
        </w:rPr>
        <w:t>3-4</w:t>
      </w:r>
      <w:r>
        <w:rPr>
          <w:rFonts w:eastAsia="黑体" w:hAnsi="黑体" w:hint="eastAsia"/>
          <w:bCs/>
          <w:szCs w:val="21"/>
        </w:rPr>
        <w:t>-4</w:t>
      </w:r>
      <w:r>
        <w:rPr>
          <w:rFonts w:eastAsia="黑体" w:hAnsi="黑体"/>
          <w:bCs/>
          <w:szCs w:val="21"/>
        </w:rPr>
        <w:t xml:space="preserve">  </w:t>
      </w:r>
      <w:r>
        <w:rPr>
          <w:rFonts w:eastAsia="黑体" w:hAnsi="黑体" w:hint="eastAsia"/>
          <w:bCs/>
          <w:szCs w:val="21"/>
        </w:rPr>
        <w:t>工艺流程示意图</w:t>
      </w:r>
    </w:p>
    <w:p w:rsidR="00EE4502" w:rsidRDefault="00FD45A3">
      <w:pPr>
        <w:spacing w:line="360" w:lineRule="auto"/>
        <w:ind w:firstLineChars="200" w:firstLine="480"/>
        <w:rPr>
          <w:sz w:val="24"/>
        </w:rPr>
      </w:pPr>
      <w:r>
        <w:rPr>
          <w:rFonts w:hint="eastAsia"/>
          <w:sz w:val="24"/>
        </w:rPr>
        <w:t>②冷采方式</w:t>
      </w:r>
    </w:p>
    <w:p w:rsidR="00EE4502" w:rsidRDefault="00FD45A3">
      <w:pPr>
        <w:spacing w:line="360" w:lineRule="auto"/>
        <w:ind w:firstLineChars="200" w:firstLine="480"/>
        <w:rPr>
          <w:sz w:val="24"/>
        </w:rPr>
      </w:pPr>
      <w:r>
        <w:rPr>
          <w:rFonts w:hint="eastAsia"/>
          <w:sz w:val="24"/>
        </w:rPr>
        <w:t>本工程排</w:t>
      </w:r>
      <w:r>
        <w:rPr>
          <w:rFonts w:hint="eastAsia"/>
          <w:sz w:val="24"/>
        </w:rPr>
        <w:t>61-</w:t>
      </w:r>
      <w:r>
        <w:rPr>
          <w:rFonts w:hint="eastAsia"/>
          <w:sz w:val="24"/>
        </w:rPr>
        <w:t>平</w:t>
      </w:r>
      <w:r>
        <w:rPr>
          <w:rFonts w:hint="eastAsia"/>
          <w:sz w:val="24"/>
        </w:rPr>
        <w:t>10</w:t>
      </w:r>
      <w:r>
        <w:rPr>
          <w:rFonts w:hint="eastAsia"/>
          <w:sz w:val="24"/>
        </w:rPr>
        <w:t>等</w:t>
      </w:r>
      <w:r>
        <w:rPr>
          <w:rFonts w:hint="eastAsia"/>
          <w:sz w:val="24"/>
        </w:rPr>
        <w:t>9</w:t>
      </w:r>
      <w:r>
        <w:rPr>
          <w:rFonts w:hint="eastAsia"/>
          <w:sz w:val="24"/>
        </w:rPr>
        <w:t>口井采油方式为冷采方式。冷采是指在没有人工能量补充的条件下，依靠天然能量（如地层压力）或机械手段（如抽油泵）开采原油，不主动加热油层。通过调节压差使地层达到生产目的，同时又保持地层骨架不被破坏，从而大幅度改善地层的渗透率，达到提高产量的过程。</w:t>
      </w:r>
    </w:p>
    <w:p w:rsidR="00EE4502" w:rsidRDefault="00FD45A3">
      <w:pPr>
        <w:spacing w:line="360" w:lineRule="auto"/>
        <w:ind w:firstLineChars="200" w:firstLine="480"/>
        <w:rPr>
          <w:sz w:val="24"/>
        </w:rPr>
      </w:pPr>
      <w:r>
        <w:rPr>
          <w:rFonts w:hint="eastAsia"/>
          <w:sz w:val="24"/>
        </w:rPr>
        <w:t>（</w:t>
      </w:r>
      <w:r>
        <w:rPr>
          <w:rFonts w:hint="eastAsia"/>
          <w:sz w:val="24"/>
        </w:rPr>
        <w:t>2</w:t>
      </w:r>
      <w:r>
        <w:rPr>
          <w:rFonts w:hint="eastAsia"/>
          <w:sz w:val="24"/>
        </w:rPr>
        <w:t>）原油集输</w:t>
      </w:r>
    </w:p>
    <w:p w:rsidR="00EE4502" w:rsidRDefault="00FD45A3">
      <w:pPr>
        <w:spacing w:line="360" w:lineRule="auto"/>
        <w:ind w:firstLineChars="200" w:firstLine="480"/>
        <w:rPr>
          <w:sz w:val="24"/>
        </w:rPr>
      </w:pPr>
      <w:r>
        <w:rPr>
          <w:rFonts w:hint="eastAsia"/>
          <w:sz w:val="24"/>
        </w:rPr>
        <w:t>按照油田“四化”设计标准，均采用油井功图计量工艺。油井采用示功图计量，单井计量完成后采用枝状串接进入增压泵站。本</w:t>
      </w:r>
      <w:r>
        <w:rPr>
          <w:rFonts w:hint="eastAsia"/>
          <w:sz w:val="24"/>
        </w:rPr>
        <w:t>工程</w:t>
      </w:r>
      <w:r>
        <w:rPr>
          <w:rFonts w:hint="eastAsia"/>
          <w:sz w:val="24"/>
        </w:rPr>
        <w:t>将</w:t>
      </w:r>
      <w:r>
        <w:rPr>
          <w:rFonts w:hint="eastAsia"/>
          <w:sz w:val="24"/>
        </w:rPr>
        <w:t>1#</w:t>
      </w:r>
      <w:r>
        <w:rPr>
          <w:rFonts w:hint="eastAsia"/>
          <w:sz w:val="24"/>
        </w:rPr>
        <w:t>增压站</w:t>
      </w:r>
      <w:r>
        <w:rPr>
          <w:rFonts w:hint="eastAsia"/>
          <w:sz w:val="24"/>
        </w:rPr>
        <w:t>进行密闭集输改造，增压站生产工艺改为站场</w:t>
      </w:r>
      <w:r>
        <w:rPr>
          <w:rFonts w:hint="eastAsia"/>
          <w:sz w:val="24"/>
        </w:rPr>
        <w:t>三相</w:t>
      </w:r>
      <w:r>
        <w:rPr>
          <w:rFonts w:hint="eastAsia"/>
          <w:sz w:val="24"/>
        </w:rPr>
        <w:t>分离，分离后的原油通过增压泵增压后管输至春风</w:t>
      </w:r>
      <w:r>
        <w:rPr>
          <w:rFonts w:hint="eastAsia"/>
          <w:sz w:val="24"/>
        </w:rPr>
        <w:t>二号联合站沉降脱水处理，分离出的伴生气管输至</w:t>
      </w:r>
      <w:r>
        <w:rPr>
          <w:rFonts w:hint="eastAsia"/>
          <w:sz w:val="24"/>
        </w:rPr>
        <w:t>6#</w:t>
      </w:r>
      <w:r>
        <w:rPr>
          <w:rFonts w:hint="eastAsia"/>
          <w:sz w:val="24"/>
        </w:rPr>
        <w:t>注汽站</w:t>
      </w:r>
      <w:r>
        <w:rPr>
          <w:rFonts w:hint="eastAsia"/>
          <w:sz w:val="24"/>
        </w:rPr>
        <w:t>掺烧</w:t>
      </w:r>
      <w:r>
        <w:rPr>
          <w:rFonts w:hint="eastAsia"/>
          <w:sz w:val="24"/>
        </w:rPr>
        <w:t>，分出采出水供排</w:t>
      </w:r>
      <w:r>
        <w:rPr>
          <w:rFonts w:hint="eastAsia"/>
          <w:sz w:val="24"/>
        </w:rPr>
        <w:t>61</w:t>
      </w:r>
      <w:r>
        <w:rPr>
          <w:rFonts w:hint="eastAsia"/>
          <w:sz w:val="24"/>
        </w:rPr>
        <w:t>区块油井生产</w:t>
      </w:r>
      <w:r>
        <w:rPr>
          <w:rFonts w:hint="eastAsia"/>
          <w:sz w:val="24"/>
        </w:rPr>
        <w:t>。</w:t>
      </w:r>
    </w:p>
    <w:p w:rsidR="00EE4502" w:rsidRDefault="00FD45A3">
      <w:pPr>
        <w:spacing w:line="360" w:lineRule="auto"/>
        <w:ind w:firstLineChars="200" w:firstLine="480"/>
        <w:rPr>
          <w:sz w:val="24"/>
        </w:rPr>
      </w:pPr>
      <w:r>
        <w:rPr>
          <w:rFonts w:hint="eastAsia"/>
          <w:sz w:val="24"/>
        </w:rPr>
        <w:t>（</w:t>
      </w:r>
      <w:r>
        <w:rPr>
          <w:rFonts w:hint="eastAsia"/>
          <w:sz w:val="24"/>
        </w:rPr>
        <w:t>3</w:t>
      </w:r>
      <w:r>
        <w:rPr>
          <w:rFonts w:hint="eastAsia"/>
          <w:sz w:val="24"/>
        </w:rPr>
        <w:t>）井下作业</w:t>
      </w:r>
    </w:p>
    <w:p w:rsidR="00EE4502" w:rsidRDefault="00FD45A3">
      <w:pPr>
        <w:spacing w:line="360" w:lineRule="auto"/>
        <w:ind w:firstLineChars="200" w:firstLine="480"/>
        <w:rPr>
          <w:sz w:val="24"/>
        </w:rPr>
      </w:pPr>
      <w:r>
        <w:rPr>
          <w:rFonts w:hint="eastAsia"/>
          <w:sz w:val="24"/>
        </w:rPr>
        <w:lastRenderedPageBreak/>
        <w:t>井下作业是进行采油生产的重要手段之一。一般包括射孔、酸化、压裂、下泵、试油、洗井、修井、除砂、清蜡等一系列工艺过程。本工程井下作业主要为洗井、修井等，一般不进行酸化、压裂。</w:t>
      </w:r>
    </w:p>
    <w:p w:rsidR="00EE4502" w:rsidRDefault="00FD45A3">
      <w:pPr>
        <w:pStyle w:val="41"/>
        <w:numPr>
          <w:ilvl w:val="3"/>
          <w:numId w:val="30"/>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hint="eastAsia"/>
          <w:bCs w:val="0"/>
          <w:sz w:val="24"/>
          <w:szCs w:val="24"/>
        </w:rPr>
        <w:t>退役期</w:t>
      </w:r>
    </w:p>
    <w:p w:rsidR="00EE4502" w:rsidRDefault="00FD45A3">
      <w:pPr>
        <w:spacing w:line="360" w:lineRule="auto"/>
        <w:ind w:firstLineChars="200" w:firstLine="480"/>
        <w:rPr>
          <w:sz w:val="24"/>
        </w:rPr>
      </w:pPr>
      <w:r>
        <w:rPr>
          <w:rFonts w:hint="eastAsia"/>
          <w:sz w:val="24"/>
        </w:rPr>
        <w:t>随着石油开采的不断进行，其储量逐渐下降，最终油区将进入退役期。封井期参照《废弃井封井回填技术指南（试行）》（环办土壤函〔</w:t>
      </w:r>
      <w:r>
        <w:rPr>
          <w:rFonts w:hint="eastAsia"/>
          <w:sz w:val="24"/>
        </w:rPr>
        <w:t>2020</w:t>
      </w:r>
      <w:r>
        <w:rPr>
          <w:rFonts w:hint="eastAsia"/>
          <w:sz w:val="24"/>
        </w:rPr>
        <w:t>〕</w:t>
      </w:r>
      <w:r>
        <w:rPr>
          <w:rFonts w:hint="eastAsia"/>
          <w:sz w:val="24"/>
        </w:rPr>
        <w:t>72</w:t>
      </w:r>
      <w:r>
        <w:rPr>
          <w:rFonts w:hint="eastAsia"/>
          <w:sz w:val="24"/>
        </w:rPr>
        <w:t>号）对退役的废弃井封堵，保证对各类废弃井采取的固井、封井措施有效可行，防止发生油水窜层</w:t>
      </w:r>
      <w:r>
        <w:rPr>
          <w:rFonts w:hint="eastAsia"/>
          <w:sz w:val="24"/>
        </w:rPr>
        <w:t>，污染地下水资源。</w:t>
      </w:r>
    </w:p>
    <w:p w:rsidR="00EE4502" w:rsidRDefault="00FD45A3">
      <w:pPr>
        <w:spacing w:line="360" w:lineRule="auto"/>
        <w:ind w:firstLineChars="200" w:firstLine="480"/>
        <w:rPr>
          <w:sz w:val="24"/>
        </w:rPr>
      </w:pPr>
      <w:r>
        <w:rPr>
          <w:rFonts w:hint="eastAsia"/>
          <w:sz w:val="24"/>
        </w:rPr>
        <w:t>首先采用清水清洗采油通道，然后将固化堵剂和水泥浆从井口平推挤入地层并充满井筒、后凝固化，完成封层和封井。由于清洗后井筒中仍存在被油污、垢体和泥沙堵塞的区域，使固化堵剂和水泥浆无法进入这些区域，但是由于固化堵剂具有优良的胶结性能，且在凝固的过程中存在膨胀性，使该区域的堵塞物被挤压得更结实且能与固化堵剂胶合在一起，完成井筒的封固，使得地层的水在此井筒中无法形成窜流，达到了封井的目的。</w:t>
      </w:r>
    </w:p>
    <w:p w:rsidR="00EE4502" w:rsidRDefault="00FD45A3">
      <w:pPr>
        <w:spacing w:line="360" w:lineRule="auto"/>
        <w:ind w:firstLineChars="200" w:firstLine="480"/>
        <w:rPr>
          <w:sz w:val="24"/>
        </w:rPr>
      </w:pPr>
      <w:r>
        <w:rPr>
          <w:rFonts w:hint="eastAsia"/>
          <w:sz w:val="24"/>
        </w:rPr>
        <w:t>退役期废气污染源主要为施工扬尘，采取洒水抑尘的措施；噪声污染源主要为车辆噪声，要求合理安排作业时间，控制车辆</w:t>
      </w:r>
      <w:r>
        <w:rPr>
          <w:rFonts w:hint="eastAsia"/>
          <w:sz w:val="24"/>
        </w:rPr>
        <w:t>速度等措施；固体废物主要为闭井过程中产生的废弃管线、废弃建筑残渣等，废弃管线、废弃建筑残渣等。</w:t>
      </w:r>
    </w:p>
    <w:p w:rsidR="00EE4502" w:rsidRDefault="00FD45A3">
      <w:pPr>
        <w:spacing w:line="360" w:lineRule="auto"/>
        <w:ind w:firstLineChars="200" w:firstLine="480"/>
        <w:rPr>
          <w:sz w:val="24"/>
        </w:rPr>
      </w:pPr>
      <w:r>
        <w:rPr>
          <w:rFonts w:hint="eastAsia"/>
          <w:sz w:val="24"/>
        </w:rPr>
        <w:t>综上，施工期环境影响的特点是持续时间短，破坏性强，在本工程建设结束后，可在一定时期消失；但如果污染防治和生态保护措施不当，可能持续很长时间，并且不可逆转，例如对生态环境的破坏。运营期环境影响持续时间长，并随着产能规模的增加而加大，贯穿于整个运营期。服役期满后，如果封井和井场处置等措施得当，环境影响将很小；反之若出现封井不严，可能导致地下残余油水外溢等事故发生，产生局部环境污染。</w:t>
      </w:r>
    </w:p>
    <w:p w:rsidR="00EE4502" w:rsidRDefault="00FD45A3">
      <w:pPr>
        <w:spacing w:line="360" w:lineRule="auto"/>
        <w:ind w:firstLineChars="200" w:firstLine="480"/>
        <w:rPr>
          <w:sz w:val="24"/>
        </w:rPr>
      </w:pPr>
      <w:r>
        <w:rPr>
          <w:rFonts w:hint="eastAsia"/>
          <w:sz w:val="24"/>
        </w:rPr>
        <w:t>本工程包括钻井、地面工程建设、采油</w:t>
      </w:r>
      <w:r>
        <w:rPr>
          <w:rFonts w:hint="eastAsia"/>
          <w:sz w:val="24"/>
        </w:rPr>
        <w:t>、油品集输等施工作业内容，基本属于施工期和运营期的建设活动。其环境影响因素主要来源于油井及与其相关钻井、采油、井下作业、原油运输等各工艺过程，影响结果包括非污染生态影响，以及排放的污染物质导致的环境污染，本工程开发过程中污染物总体排放流程见图</w:t>
      </w:r>
      <w:r>
        <w:rPr>
          <w:rFonts w:hint="eastAsia"/>
          <w:sz w:val="24"/>
        </w:rPr>
        <w:t>3.3-5</w:t>
      </w:r>
      <w:r>
        <w:rPr>
          <w:rFonts w:hint="eastAsia"/>
          <w:sz w:val="24"/>
        </w:rPr>
        <w:t>。</w:t>
      </w:r>
    </w:p>
    <w:p w:rsidR="00EE4502" w:rsidRDefault="00EE4502">
      <w:pPr>
        <w:spacing w:line="360" w:lineRule="auto"/>
        <w:jc w:val="center"/>
        <w:rPr>
          <w:rFonts w:eastAsia="黑体" w:hAnsi="黑体"/>
          <w:bCs/>
          <w:sz w:val="24"/>
        </w:rPr>
      </w:pPr>
    </w:p>
    <w:p w:rsidR="00EE4502" w:rsidRDefault="00FD45A3">
      <w:pPr>
        <w:spacing w:line="360" w:lineRule="auto"/>
        <w:jc w:val="center"/>
        <w:rPr>
          <w:rFonts w:eastAsia="黑体" w:hAnsi="黑体"/>
          <w:bCs/>
          <w:szCs w:val="21"/>
        </w:rPr>
      </w:pPr>
      <w:r>
        <w:rPr>
          <w:rFonts w:eastAsia="黑体" w:hAnsi="黑体" w:hint="eastAsia"/>
          <w:bCs/>
          <w:szCs w:val="21"/>
        </w:rPr>
        <w:t>图</w:t>
      </w:r>
      <w:r>
        <w:rPr>
          <w:rFonts w:eastAsia="黑体" w:hAnsi="黑体" w:hint="eastAsia"/>
          <w:bCs/>
          <w:szCs w:val="21"/>
        </w:rPr>
        <w:t>3-4</w:t>
      </w:r>
      <w:r>
        <w:rPr>
          <w:rFonts w:eastAsia="黑体" w:hAnsi="黑体" w:hint="eastAsia"/>
          <w:bCs/>
          <w:szCs w:val="21"/>
        </w:rPr>
        <w:t>-5</w:t>
      </w:r>
      <w:r>
        <w:rPr>
          <w:rFonts w:eastAsia="黑体" w:hAnsi="黑体"/>
          <w:bCs/>
          <w:szCs w:val="21"/>
        </w:rPr>
        <w:t xml:space="preserve">  </w:t>
      </w:r>
      <w:r>
        <w:rPr>
          <w:rFonts w:eastAsia="黑体" w:hAnsi="黑体" w:hint="eastAsia"/>
          <w:bCs/>
          <w:szCs w:val="21"/>
        </w:rPr>
        <w:t>本</w:t>
      </w:r>
      <w:r>
        <w:rPr>
          <w:rFonts w:eastAsia="黑体" w:hAnsi="黑体" w:hint="eastAsia"/>
          <w:bCs/>
          <w:szCs w:val="21"/>
        </w:rPr>
        <w:t>工程油田开发过程污染物排放流程</w:t>
      </w:r>
    </w:p>
    <w:p w:rsidR="00EE4502" w:rsidRDefault="00FD45A3">
      <w:pPr>
        <w:pStyle w:val="33"/>
        <w:numPr>
          <w:ilvl w:val="2"/>
          <w:numId w:val="30"/>
        </w:numPr>
        <w:spacing w:line="360" w:lineRule="auto"/>
        <w:ind w:left="0" w:firstLine="0"/>
        <w:rPr>
          <w:spacing w:val="0"/>
          <w:sz w:val="24"/>
          <w:szCs w:val="24"/>
        </w:rPr>
      </w:pPr>
      <w:r>
        <w:rPr>
          <w:spacing w:val="0"/>
          <w:sz w:val="24"/>
          <w:szCs w:val="24"/>
        </w:rPr>
        <w:lastRenderedPageBreak/>
        <w:t>施工期主要污染源源强核算</w:t>
      </w:r>
    </w:p>
    <w:p w:rsidR="00EE4502" w:rsidRDefault="00FD45A3">
      <w:pPr>
        <w:pStyle w:val="41"/>
        <w:numPr>
          <w:ilvl w:val="3"/>
          <w:numId w:val="30"/>
        </w:numPr>
        <w:adjustRightInd/>
        <w:snapToGrid/>
        <w:spacing w:beforeLines="0" w:before="0" w:line="360" w:lineRule="auto"/>
        <w:rPr>
          <w:rFonts w:ascii="Times New Roman" w:eastAsia="宋体" w:hAnsi="Times New Roman"/>
          <w:bCs w:val="0"/>
          <w:sz w:val="24"/>
          <w:szCs w:val="24"/>
        </w:rPr>
      </w:pPr>
      <w:bookmarkStart w:id="167" w:name="_Toc119827490"/>
      <w:r>
        <w:rPr>
          <w:rFonts w:ascii="Times New Roman" w:eastAsia="宋体" w:hAnsi="Times New Roman"/>
          <w:bCs w:val="0"/>
          <w:sz w:val="24"/>
          <w:szCs w:val="24"/>
        </w:rPr>
        <w:t>生态环境影响因素分析</w:t>
      </w:r>
    </w:p>
    <w:p w:rsidR="00EE4502" w:rsidRDefault="00FD45A3">
      <w:pPr>
        <w:spacing w:line="360" w:lineRule="auto"/>
        <w:ind w:firstLine="482"/>
        <w:rPr>
          <w:sz w:val="24"/>
        </w:rPr>
      </w:pPr>
      <w:r>
        <w:rPr>
          <w:rFonts w:hint="eastAsia"/>
          <w:sz w:val="24"/>
        </w:rPr>
        <w:t>生态影响主要体现在井场、站场、管线、道路建设阶段，如占用土地、施工对地表植被的影响、土壤扰动等。各类集输管道开挖产生的多余土方及时回填至管沟上方，基本可做到土石方挖填平衡。</w:t>
      </w:r>
    </w:p>
    <w:p w:rsidR="00EE4502" w:rsidRDefault="00FD45A3">
      <w:pPr>
        <w:spacing w:line="360" w:lineRule="auto"/>
        <w:ind w:firstLine="482"/>
        <w:rPr>
          <w:sz w:val="24"/>
        </w:rPr>
      </w:pPr>
      <w:r>
        <w:rPr>
          <w:rFonts w:hint="eastAsia"/>
          <w:sz w:val="24"/>
        </w:rPr>
        <w:t>占用土地包括临时占地和永久占地，将暂时或永久改变土地原有使用功能。临时占地包括管线施工便道的临时占地，施工结束后临时占地可恢复原有使用功能。本工程站场改造不新增占地，永久占地主要为采油井场的永久占地</w:t>
      </w:r>
      <w:r>
        <w:rPr>
          <w:sz w:val="24"/>
        </w:rPr>
        <w:t>。</w:t>
      </w:r>
    </w:p>
    <w:p w:rsidR="00EE4502" w:rsidRDefault="00FD45A3">
      <w:pPr>
        <w:spacing w:line="360" w:lineRule="auto"/>
        <w:ind w:firstLine="482"/>
        <w:rPr>
          <w:sz w:val="24"/>
        </w:rPr>
      </w:pPr>
      <w:r>
        <w:rPr>
          <w:sz w:val="24"/>
        </w:rPr>
        <w:t>根据现场调查及初步估算，</w:t>
      </w:r>
      <w:r>
        <w:rPr>
          <w:rFonts w:hint="eastAsia"/>
          <w:sz w:val="24"/>
        </w:rPr>
        <w:t>春风油田石炭系排</w:t>
      </w:r>
      <w:r>
        <w:rPr>
          <w:rFonts w:hint="eastAsia"/>
          <w:sz w:val="24"/>
        </w:rPr>
        <w:t>61</w:t>
      </w:r>
      <w:r>
        <w:rPr>
          <w:rFonts w:hint="eastAsia"/>
          <w:sz w:val="24"/>
        </w:rPr>
        <w:t>块产能建设工程</w:t>
      </w:r>
      <w:r>
        <w:rPr>
          <w:rFonts w:hint="eastAsia"/>
          <w:sz w:val="24"/>
        </w:rPr>
        <w:t>总占地</w:t>
      </w:r>
      <w:r>
        <w:rPr>
          <w:rFonts w:hint="eastAsia"/>
          <w:sz w:val="24"/>
        </w:rPr>
        <w:t>21.4460hm</w:t>
      </w:r>
      <w:r>
        <w:rPr>
          <w:rFonts w:hint="eastAsia"/>
          <w:sz w:val="24"/>
          <w:vertAlign w:val="superscript"/>
        </w:rPr>
        <w:t>2</w:t>
      </w:r>
      <w:r>
        <w:rPr>
          <w:rFonts w:hint="eastAsia"/>
          <w:sz w:val="24"/>
        </w:rPr>
        <w:t>，其中</w:t>
      </w:r>
      <w:r>
        <w:rPr>
          <w:sz w:val="24"/>
        </w:rPr>
        <w:t>永久占地面积</w:t>
      </w:r>
      <w:r>
        <w:rPr>
          <w:rFonts w:hint="eastAsia"/>
          <w:sz w:val="24"/>
        </w:rPr>
        <w:t>3.4060</w:t>
      </w:r>
      <w:r>
        <w:rPr>
          <w:rFonts w:hint="eastAsia"/>
          <w:sz w:val="24"/>
        </w:rPr>
        <w:t>h</w:t>
      </w:r>
      <w:r>
        <w:rPr>
          <w:sz w:val="24"/>
        </w:rPr>
        <w:t>m</w:t>
      </w:r>
      <w:r>
        <w:rPr>
          <w:sz w:val="24"/>
          <w:vertAlign w:val="superscript"/>
        </w:rPr>
        <w:t>2</w:t>
      </w:r>
      <w:r>
        <w:rPr>
          <w:rFonts w:hint="eastAsia"/>
          <w:sz w:val="24"/>
        </w:rPr>
        <w:t>、</w:t>
      </w:r>
      <w:r>
        <w:rPr>
          <w:sz w:val="24"/>
        </w:rPr>
        <w:t>临时占地面积</w:t>
      </w:r>
      <w:r>
        <w:rPr>
          <w:rFonts w:hint="eastAsia"/>
          <w:sz w:val="24"/>
        </w:rPr>
        <w:t>18.0400</w:t>
      </w:r>
      <w:r>
        <w:rPr>
          <w:rFonts w:hint="eastAsia"/>
          <w:sz w:val="24"/>
        </w:rPr>
        <w:t>h</w:t>
      </w:r>
      <w:r>
        <w:rPr>
          <w:sz w:val="24"/>
        </w:rPr>
        <w:t>m</w:t>
      </w:r>
      <w:r>
        <w:rPr>
          <w:sz w:val="24"/>
          <w:vertAlign w:val="superscript"/>
        </w:rPr>
        <w:t>2</w:t>
      </w:r>
      <w:r>
        <w:rPr>
          <w:rFonts w:hint="eastAsia"/>
          <w:sz w:val="24"/>
        </w:rPr>
        <w:t>。</w:t>
      </w:r>
      <w:r>
        <w:rPr>
          <w:sz w:val="24"/>
        </w:rPr>
        <w:t>具体占地面积见表</w:t>
      </w:r>
      <w:r>
        <w:rPr>
          <w:rFonts w:hint="eastAsia"/>
          <w:sz w:val="24"/>
        </w:rPr>
        <w:t>3-4</w:t>
      </w:r>
      <w:r>
        <w:rPr>
          <w:sz w:val="24"/>
        </w:rPr>
        <w:t>-</w:t>
      </w:r>
      <w:r>
        <w:rPr>
          <w:rFonts w:hint="eastAsia"/>
          <w:sz w:val="24"/>
        </w:rPr>
        <w:t>1</w:t>
      </w:r>
      <w:r>
        <w:rPr>
          <w:sz w:val="24"/>
        </w:rPr>
        <w:t>。</w:t>
      </w:r>
    </w:p>
    <w:p w:rsidR="00EE4502" w:rsidRDefault="00FD45A3">
      <w:pPr>
        <w:spacing w:line="360" w:lineRule="auto"/>
        <w:jc w:val="center"/>
        <w:rPr>
          <w:rFonts w:eastAsia="黑体"/>
          <w:bCs/>
          <w:lang w:val="zh-CN"/>
        </w:rPr>
      </w:pPr>
      <w:r>
        <w:rPr>
          <w:rFonts w:eastAsia="黑体"/>
          <w:bCs/>
          <w:lang w:val="zh-CN"/>
        </w:rPr>
        <w:t>表</w:t>
      </w:r>
      <w:r>
        <w:rPr>
          <w:rFonts w:eastAsia="黑体" w:hint="eastAsia"/>
          <w:bCs/>
          <w:lang w:val="zh-CN"/>
        </w:rPr>
        <w:t>3-4-</w:t>
      </w:r>
      <w:r>
        <w:rPr>
          <w:rFonts w:eastAsia="黑体" w:hint="eastAsia"/>
          <w:bCs/>
        </w:rPr>
        <w:t>1</w:t>
      </w:r>
      <w:r>
        <w:rPr>
          <w:rFonts w:eastAsia="黑体"/>
          <w:bCs/>
          <w:lang w:val="zh-CN"/>
        </w:rPr>
        <w:t xml:space="preserve">  </w:t>
      </w:r>
      <w:r>
        <w:rPr>
          <w:rFonts w:eastAsia="黑体" w:hint="eastAsia"/>
          <w:bCs/>
          <w:lang w:val="zh-CN"/>
        </w:rPr>
        <w:t xml:space="preserve">  </w:t>
      </w:r>
      <w:r>
        <w:rPr>
          <w:rFonts w:eastAsia="黑体" w:hint="eastAsia"/>
          <w:bCs/>
        </w:rPr>
        <w:t>本工程</w:t>
      </w:r>
      <w:r>
        <w:rPr>
          <w:rFonts w:eastAsia="黑体"/>
          <w:bCs/>
          <w:lang w:val="zh-CN"/>
        </w:rPr>
        <w:t>占地面积统计表</w:t>
      </w:r>
    </w:p>
    <w:tbl>
      <w:tblPr>
        <w:tblW w:w="4999" w:type="pct"/>
        <w:tblInd w:w="-108" w:type="dxa"/>
        <w:tblBorders>
          <w:top w:val="single" w:sz="4" w:space="0" w:color="auto"/>
          <w:bottom w:val="single" w:sz="4" w:space="0" w:color="auto"/>
          <w:insideH w:val="single" w:sz="4" w:space="0" w:color="auto"/>
          <w:insideV w:val="single" w:sz="4" w:space="0" w:color="auto"/>
        </w:tblBorders>
        <w:tblLayout w:type="fixed"/>
        <w:tblCellMar>
          <w:left w:w="11" w:type="dxa"/>
          <w:right w:w="11" w:type="dxa"/>
        </w:tblCellMar>
        <w:tblLook w:val="04A0" w:firstRow="1" w:lastRow="0" w:firstColumn="1" w:lastColumn="0" w:noHBand="0" w:noVBand="1"/>
      </w:tblPr>
      <w:tblGrid>
        <w:gridCol w:w="411"/>
        <w:gridCol w:w="561"/>
        <w:gridCol w:w="561"/>
        <w:gridCol w:w="849"/>
        <w:gridCol w:w="972"/>
        <w:gridCol w:w="876"/>
        <w:gridCol w:w="814"/>
        <w:gridCol w:w="911"/>
        <w:gridCol w:w="2371"/>
      </w:tblGrid>
      <w:tr w:rsidR="00EE4502">
        <w:trPr>
          <w:trHeight w:val="340"/>
        </w:trPr>
        <w:tc>
          <w:tcPr>
            <w:tcW w:w="246" w:type="pct"/>
            <w:vMerge w:val="restart"/>
            <w:vAlign w:val="center"/>
          </w:tcPr>
          <w:p w:rsidR="00EE4502" w:rsidRDefault="00FD45A3">
            <w:pPr>
              <w:widowControl/>
              <w:jc w:val="center"/>
              <w:textAlignment w:val="center"/>
              <w:rPr>
                <w:szCs w:val="21"/>
              </w:rPr>
            </w:pPr>
            <w:r>
              <w:rPr>
                <w:kern w:val="0"/>
                <w:szCs w:val="21"/>
                <w:lang w:bidi="ar"/>
              </w:rPr>
              <w:t>序号</w:t>
            </w:r>
          </w:p>
        </w:tc>
        <w:tc>
          <w:tcPr>
            <w:tcW w:w="672" w:type="pct"/>
            <w:gridSpan w:val="2"/>
            <w:vMerge w:val="restart"/>
            <w:vAlign w:val="center"/>
          </w:tcPr>
          <w:p w:rsidR="00EE4502" w:rsidRDefault="00FD45A3">
            <w:pPr>
              <w:widowControl/>
              <w:jc w:val="center"/>
              <w:textAlignment w:val="center"/>
              <w:rPr>
                <w:szCs w:val="21"/>
              </w:rPr>
            </w:pPr>
            <w:r>
              <w:rPr>
                <w:kern w:val="0"/>
                <w:szCs w:val="21"/>
                <w:lang w:bidi="ar"/>
              </w:rPr>
              <w:t>工程内容</w:t>
            </w:r>
          </w:p>
        </w:tc>
        <w:tc>
          <w:tcPr>
            <w:tcW w:w="1094" w:type="pct"/>
            <w:gridSpan w:val="2"/>
            <w:vAlign w:val="center"/>
          </w:tcPr>
          <w:p w:rsidR="00EE4502" w:rsidRDefault="00FD45A3">
            <w:pPr>
              <w:widowControl/>
              <w:jc w:val="center"/>
              <w:textAlignment w:val="center"/>
              <w:rPr>
                <w:szCs w:val="21"/>
              </w:rPr>
            </w:pPr>
            <w:r>
              <w:rPr>
                <w:kern w:val="0"/>
                <w:szCs w:val="21"/>
                <w:lang w:bidi="ar"/>
              </w:rPr>
              <w:t>永久占地面积</w:t>
            </w:r>
            <w:r>
              <w:rPr>
                <w:rFonts w:hint="eastAsia"/>
                <w:kern w:val="0"/>
                <w:szCs w:val="21"/>
                <w:lang w:bidi="ar"/>
              </w:rPr>
              <w:t>/</w:t>
            </w:r>
            <w:r>
              <w:rPr>
                <w:kern w:val="0"/>
                <w:szCs w:val="21"/>
                <w:lang w:bidi="ar"/>
              </w:rPr>
              <w:t>m</w:t>
            </w:r>
            <w:r>
              <w:rPr>
                <w:kern w:val="0"/>
                <w:szCs w:val="21"/>
                <w:vertAlign w:val="superscript"/>
                <w:lang w:bidi="ar"/>
              </w:rPr>
              <w:t>2</w:t>
            </w:r>
          </w:p>
        </w:tc>
        <w:tc>
          <w:tcPr>
            <w:tcW w:w="1015" w:type="pct"/>
            <w:gridSpan w:val="2"/>
            <w:vAlign w:val="center"/>
          </w:tcPr>
          <w:p w:rsidR="00EE4502" w:rsidRDefault="00FD45A3">
            <w:pPr>
              <w:widowControl/>
              <w:jc w:val="center"/>
              <w:textAlignment w:val="center"/>
              <w:rPr>
                <w:szCs w:val="21"/>
              </w:rPr>
            </w:pPr>
            <w:r>
              <w:rPr>
                <w:kern w:val="0"/>
                <w:szCs w:val="21"/>
                <w:lang w:bidi="ar"/>
              </w:rPr>
              <w:t>临时占地面积</w:t>
            </w:r>
            <w:r>
              <w:rPr>
                <w:rFonts w:hint="eastAsia"/>
                <w:kern w:val="0"/>
                <w:szCs w:val="21"/>
                <w:lang w:bidi="ar"/>
              </w:rPr>
              <w:t>/</w:t>
            </w:r>
            <w:r>
              <w:rPr>
                <w:kern w:val="0"/>
                <w:szCs w:val="21"/>
                <w:lang w:bidi="ar"/>
              </w:rPr>
              <w:t>m</w:t>
            </w:r>
            <w:r>
              <w:rPr>
                <w:kern w:val="0"/>
                <w:szCs w:val="21"/>
                <w:vertAlign w:val="superscript"/>
                <w:lang w:bidi="ar"/>
              </w:rPr>
              <w:t>2</w:t>
            </w:r>
          </w:p>
        </w:tc>
        <w:tc>
          <w:tcPr>
            <w:tcW w:w="547" w:type="pct"/>
            <w:vMerge w:val="restart"/>
            <w:vAlign w:val="center"/>
          </w:tcPr>
          <w:p w:rsidR="00EE4502" w:rsidRDefault="00FD45A3">
            <w:pPr>
              <w:widowControl/>
              <w:jc w:val="center"/>
              <w:textAlignment w:val="center"/>
              <w:rPr>
                <w:szCs w:val="21"/>
              </w:rPr>
            </w:pPr>
            <w:r>
              <w:rPr>
                <w:kern w:val="0"/>
                <w:szCs w:val="21"/>
                <w:lang w:bidi="ar"/>
              </w:rPr>
              <w:t>总占地面积</w:t>
            </w:r>
            <w:r>
              <w:rPr>
                <w:rFonts w:hint="eastAsia"/>
                <w:kern w:val="0"/>
                <w:szCs w:val="21"/>
                <w:lang w:bidi="ar"/>
              </w:rPr>
              <w:t>/</w:t>
            </w:r>
            <w:r>
              <w:rPr>
                <w:kern w:val="0"/>
                <w:szCs w:val="21"/>
                <w:lang w:bidi="ar"/>
              </w:rPr>
              <w:t>m</w:t>
            </w:r>
            <w:r>
              <w:rPr>
                <w:kern w:val="0"/>
                <w:szCs w:val="21"/>
                <w:vertAlign w:val="superscript"/>
                <w:lang w:bidi="ar"/>
              </w:rPr>
              <w:t>2</w:t>
            </w:r>
          </w:p>
        </w:tc>
        <w:tc>
          <w:tcPr>
            <w:tcW w:w="1424" w:type="pct"/>
            <w:vMerge w:val="restart"/>
            <w:vAlign w:val="center"/>
          </w:tcPr>
          <w:p w:rsidR="00EE4502" w:rsidRDefault="00FD45A3">
            <w:pPr>
              <w:widowControl/>
              <w:jc w:val="center"/>
              <w:textAlignment w:val="center"/>
              <w:rPr>
                <w:szCs w:val="21"/>
              </w:rPr>
            </w:pPr>
            <w:r>
              <w:rPr>
                <w:kern w:val="0"/>
                <w:szCs w:val="21"/>
                <w:lang w:bidi="ar"/>
              </w:rPr>
              <w:t>备注</w:t>
            </w:r>
          </w:p>
        </w:tc>
      </w:tr>
      <w:tr w:rsidR="00EE4502">
        <w:trPr>
          <w:trHeight w:val="340"/>
        </w:trPr>
        <w:tc>
          <w:tcPr>
            <w:tcW w:w="246" w:type="pct"/>
            <w:vMerge/>
            <w:vAlign w:val="center"/>
          </w:tcPr>
          <w:p w:rsidR="00EE4502" w:rsidRDefault="00EE4502">
            <w:pPr>
              <w:jc w:val="center"/>
              <w:rPr>
                <w:szCs w:val="21"/>
              </w:rPr>
            </w:pPr>
          </w:p>
        </w:tc>
        <w:tc>
          <w:tcPr>
            <w:tcW w:w="672" w:type="pct"/>
            <w:gridSpan w:val="2"/>
            <w:vMerge/>
            <w:vAlign w:val="center"/>
          </w:tcPr>
          <w:p w:rsidR="00EE4502" w:rsidRDefault="00EE4502">
            <w:pPr>
              <w:jc w:val="center"/>
              <w:rPr>
                <w:szCs w:val="21"/>
              </w:rPr>
            </w:pPr>
          </w:p>
        </w:tc>
        <w:tc>
          <w:tcPr>
            <w:tcW w:w="510" w:type="pct"/>
            <w:vAlign w:val="center"/>
          </w:tcPr>
          <w:p w:rsidR="00EE4502" w:rsidRDefault="00FD45A3">
            <w:pPr>
              <w:widowControl/>
              <w:jc w:val="center"/>
              <w:textAlignment w:val="center"/>
              <w:rPr>
                <w:szCs w:val="21"/>
              </w:rPr>
            </w:pPr>
            <w:r>
              <w:rPr>
                <w:kern w:val="0"/>
                <w:szCs w:val="21"/>
                <w:lang w:bidi="ar"/>
              </w:rPr>
              <w:t>永久占地</w:t>
            </w:r>
          </w:p>
        </w:tc>
        <w:tc>
          <w:tcPr>
            <w:tcW w:w="583" w:type="pct"/>
            <w:vAlign w:val="center"/>
          </w:tcPr>
          <w:p w:rsidR="00EE4502" w:rsidRDefault="00FD45A3">
            <w:pPr>
              <w:widowControl/>
              <w:jc w:val="center"/>
              <w:textAlignment w:val="center"/>
              <w:rPr>
                <w:szCs w:val="21"/>
              </w:rPr>
            </w:pPr>
            <w:r>
              <w:rPr>
                <w:kern w:val="0"/>
                <w:szCs w:val="21"/>
                <w:lang w:bidi="ar"/>
              </w:rPr>
              <w:t>占地类型</w:t>
            </w:r>
          </w:p>
        </w:tc>
        <w:tc>
          <w:tcPr>
            <w:tcW w:w="526" w:type="pct"/>
            <w:vAlign w:val="center"/>
          </w:tcPr>
          <w:p w:rsidR="00EE4502" w:rsidRDefault="00FD45A3">
            <w:pPr>
              <w:widowControl/>
              <w:jc w:val="center"/>
              <w:textAlignment w:val="center"/>
              <w:rPr>
                <w:szCs w:val="21"/>
              </w:rPr>
            </w:pPr>
            <w:r>
              <w:rPr>
                <w:kern w:val="0"/>
                <w:szCs w:val="21"/>
                <w:lang w:bidi="ar"/>
              </w:rPr>
              <w:t>临时占地</w:t>
            </w:r>
          </w:p>
        </w:tc>
        <w:tc>
          <w:tcPr>
            <w:tcW w:w="488" w:type="pct"/>
            <w:vAlign w:val="center"/>
          </w:tcPr>
          <w:p w:rsidR="00EE4502" w:rsidRDefault="00FD45A3">
            <w:pPr>
              <w:widowControl/>
              <w:jc w:val="center"/>
              <w:textAlignment w:val="center"/>
              <w:rPr>
                <w:szCs w:val="21"/>
              </w:rPr>
            </w:pPr>
            <w:r>
              <w:rPr>
                <w:kern w:val="0"/>
                <w:szCs w:val="21"/>
                <w:lang w:bidi="ar"/>
              </w:rPr>
              <w:t>占地类型</w:t>
            </w:r>
          </w:p>
        </w:tc>
        <w:tc>
          <w:tcPr>
            <w:tcW w:w="547" w:type="pct"/>
            <w:vMerge/>
            <w:vAlign w:val="center"/>
          </w:tcPr>
          <w:p w:rsidR="00EE4502" w:rsidRDefault="00EE4502">
            <w:pPr>
              <w:jc w:val="center"/>
              <w:rPr>
                <w:szCs w:val="21"/>
              </w:rPr>
            </w:pPr>
          </w:p>
        </w:tc>
        <w:tc>
          <w:tcPr>
            <w:tcW w:w="1424" w:type="pct"/>
            <w:vMerge/>
            <w:vAlign w:val="center"/>
          </w:tcPr>
          <w:p w:rsidR="00EE4502" w:rsidRDefault="00EE4502">
            <w:pPr>
              <w:jc w:val="center"/>
              <w:rPr>
                <w:szCs w:val="21"/>
              </w:rPr>
            </w:pPr>
          </w:p>
        </w:tc>
      </w:tr>
      <w:tr w:rsidR="00EE4502">
        <w:trPr>
          <w:trHeight w:val="340"/>
        </w:trPr>
        <w:tc>
          <w:tcPr>
            <w:tcW w:w="246" w:type="pct"/>
            <w:vMerge w:val="restart"/>
            <w:vAlign w:val="center"/>
          </w:tcPr>
          <w:p w:rsidR="00EE4502" w:rsidRDefault="00FD45A3">
            <w:pPr>
              <w:widowControl/>
              <w:jc w:val="center"/>
              <w:textAlignment w:val="center"/>
              <w:rPr>
                <w:szCs w:val="21"/>
              </w:rPr>
            </w:pPr>
            <w:r>
              <w:rPr>
                <w:kern w:val="0"/>
                <w:szCs w:val="21"/>
                <w:lang w:bidi="ar"/>
              </w:rPr>
              <w:t>1</w:t>
            </w:r>
          </w:p>
        </w:tc>
        <w:tc>
          <w:tcPr>
            <w:tcW w:w="336" w:type="pct"/>
            <w:vMerge w:val="restart"/>
            <w:vAlign w:val="center"/>
          </w:tcPr>
          <w:p w:rsidR="00EE4502" w:rsidRDefault="00FD45A3">
            <w:pPr>
              <w:widowControl/>
              <w:jc w:val="center"/>
              <w:textAlignment w:val="center"/>
              <w:rPr>
                <w:szCs w:val="21"/>
              </w:rPr>
            </w:pPr>
            <w:r>
              <w:rPr>
                <w:kern w:val="0"/>
                <w:szCs w:val="21"/>
                <w:lang w:bidi="ar"/>
              </w:rPr>
              <w:t>井场</w:t>
            </w:r>
          </w:p>
        </w:tc>
        <w:tc>
          <w:tcPr>
            <w:tcW w:w="336" w:type="pct"/>
            <w:vAlign w:val="center"/>
          </w:tcPr>
          <w:p w:rsidR="00EE4502" w:rsidRDefault="00FD45A3">
            <w:pPr>
              <w:widowControl/>
              <w:jc w:val="center"/>
              <w:textAlignment w:val="center"/>
              <w:rPr>
                <w:kern w:val="0"/>
                <w:szCs w:val="21"/>
                <w:lang w:bidi="ar"/>
              </w:rPr>
            </w:pPr>
            <w:r>
              <w:rPr>
                <w:rFonts w:hint="eastAsia"/>
                <w:kern w:val="0"/>
                <w:szCs w:val="21"/>
                <w:lang w:bidi="ar"/>
              </w:rPr>
              <w:t>采油井</w:t>
            </w:r>
          </w:p>
        </w:tc>
        <w:tc>
          <w:tcPr>
            <w:tcW w:w="510" w:type="pct"/>
            <w:vAlign w:val="center"/>
          </w:tcPr>
          <w:p w:rsidR="00EE4502" w:rsidRDefault="00FD45A3">
            <w:pPr>
              <w:widowControl/>
              <w:jc w:val="center"/>
              <w:textAlignment w:val="center"/>
              <w:rPr>
                <w:szCs w:val="21"/>
              </w:rPr>
            </w:pPr>
            <w:r>
              <w:rPr>
                <w:rFonts w:hint="eastAsia"/>
                <w:szCs w:val="21"/>
              </w:rPr>
              <w:t>135</w:t>
            </w:r>
            <w:r>
              <w:rPr>
                <w:szCs w:val="21"/>
              </w:rPr>
              <w:t>00</w:t>
            </w:r>
          </w:p>
        </w:tc>
        <w:tc>
          <w:tcPr>
            <w:tcW w:w="583" w:type="pct"/>
            <w:vAlign w:val="center"/>
          </w:tcPr>
          <w:p w:rsidR="00EE4502" w:rsidRDefault="00FD45A3">
            <w:pPr>
              <w:widowControl/>
              <w:jc w:val="center"/>
              <w:textAlignment w:val="center"/>
              <w:rPr>
                <w:szCs w:val="21"/>
              </w:rPr>
            </w:pPr>
            <w:r>
              <w:rPr>
                <w:rFonts w:hint="eastAsia"/>
                <w:szCs w:val="21"/>
              </w:rPr>
              <w:t>灌木林地</w:t>
            </w:r>
            <w:r>
              <w:rPr>
                <w:rFonts w:hint="eastAsia"/>
                <w:szCs w:val="21"/>
              </w:rPr>
              <w:t>、</w:t>
            </w:r>
            <w:r>
              <w:rPr>
                <w:rFonts w:hint="eastAsia"/>
                <w:szCs w:val="21"/>
              </w:rPr>
              <w:t>其他草地</w:t>
            </w:r>
          </w:p>
        </w:tc>
        <w:tc>
          <w:tcPr>
            <w:tcW w:w="526" w:type="pct"/>
            <w:vAlign w:val="center"/>
          </w:tcPr>
          <w:p w:rsidR="00EE4502" w:rsidRDefault="00FD45A3">
            <w:pPr>
              <w:widowControl/>
              <w:jc w:val="center"/>
              <w:textAlignment w:val="center"/>
              <w:rPr>
                <w:szCs w:val="21"/>
              </w:rPr>
            </w:pPr>
            <w:r>
              <w:rPr>
                <w:szCs w:val="21"/>
              </w:rPr>
              <w:t>3</w:t>
            </w:r>
            <w:r>
              <w:rPr>
                <w:rFonts w:hint="eastAsia"/>
                <w:szCs w:val="21"/>
              </w:rPr>
              <w:t>9</w:t>
            </w:r>
            <w:r>
              <w:rPr>
                <w:szCs w:val="21"/>
              </w:rPr>
              <w:t>000</w:t>
            </w:r>
          </w:p>
        </w:tc>
        <w:tc>
          <w:tcPr>
            <w:tcW w:w="488" w:type="pct"/>
            <w:vAlign w:val="center"/>
          </w:tcPr>
          <w:p w:rsidR="00EE4502" w:rsidRDefault="00FD45A3">
            <w:pPr>
              <w:widowControl/>
              <w:jc w:val="center"/>
              <w:textAlignment w:val="center"/>
              <w:rPr>
                <w:szCs w:val="21"/>
              </w:rPr>
            </w:pPr>
            <w:r>
              <w:rPr>
                <w:rFonts w:hint="eastAsia"/>
                <w:szCs w:val="21"/>
              </w:rPr>
              <w:t>灌木林地、其他草地</w:t>
            </w:r>
          </w:p>
        </w:tc>
        <w:tc>
          <w:tcPr>
            <w:tcW w:w="547" w:type="pct"/>
            <w:vAlign w:val="center"/>
          </w:tcPr>
          <w:p w:rsidR="00EE4502" w:rsidRDefault="00FD45A3">
            <w:pPr>
              <w:widowControl/>
              <w:jc w:val="center"/>
              <w:textAlignment w:val="center"/>
              <w:rPr>
                <w:szCs w:val="21"/>
              </w:rPr>
            </w:pPr>
            <w:r>
              <w:rPr>
                <w:szCs w:val="21"/>
              </w:rPr>
              <w:t>52500</w:t>
            </w:r>
          </w:p>
        </w:tc>
        <w:tc>
          <w:tcPr>
            <w:tcW w:w="1424" w:type="pct"/>
            <w:vAlign w:val="center"/>
          </w:tcPr>
          <w:p w:rsidR="00EE4502" w:rsidRDefault="00FD45A3">
            <w:pPr>
              <w:widowControl/>
              <w:textAlignment w:val="center"/>
              <w:rPr>
                <w:szCs w:val="21"/>
              </w:rPr>
            </w:pPr>
            <w:r>
              <w:rPr>
                <w:rFonts w:hint="eastAsia"/>
                <w:kern w:val="0"/>
                <w:szCs w:val="21"/>
                <w:lang w:bidi="ar"/>
              </w:rPr>
              <w:t>新钻采油井</w:t>
            </w:r>
            <w:r>
              <w:rPr>
                <w:rFonts w:hint="eastAsia"/>
                <w:kern w:val="0"/>
                <w:szCs w:val="21"/>
                <w:lang w:bidi="ar"/>
              </w:rPr>
              <w:t>15</w:t>
            </w:r>
            <w:r>
              <w:rPr>
                <w:rFonts w:hint="eastAsia"/>
                <w:kern w:val="0"/>
                <w:szCs w:val="21"/>
                <w:lang w:bidi="ar"/>
              </w:rPr>
              <w:t>口，新建采油井场</w:t>
            </w:r>
            <w:r>
              <w:rPr>
                <w:rFonts w:hint="eastAsia"/>
                <w:kern w:val="0"/>
                <w:szCs w:val="21"/>
                <w:lang w:bidi="ar"/>
              </w:rPr>
              <w:t>9</w:t>
            </w:r>
            <w:r>
              <w:rPr>
                <w:rFonts w:hint="eastAsia"/>
                <w:kern w:val="0"/>
                <w:szCs w:val="21"/>
                <w:lang w:bidi="ar"/>
              </w:rPr>
              <w:t>座（双井同台井场</w:t>
            </w:r>
            <w:r>
              <w:rPr>
                <w:rFonts w:hint="eastAsia"/>
                <w:kern w:val="0"/>
                <w:szCs w:val="21"/>
                <w:lang w:bidi="ar"/>
              </w:rPr>
              <w:t>6</w:t>
            </w:r>
            <w:r>
              <w:rPr>
                <w:rFonts w:hint="eastAsia"/>
                <w:kern w:val="0"/>
                <w:szCs w:val="21"/>
                <w:lang w:bidi="ar"/>
              </w:rPr>
              <w:t>座、单井井场</w:t>
            </w:r>
            <w:r>
              <w:rPr>
                <w:rFonts w:hint="eastAsia"/>
                <w:kern w:val="0"/>
                <w:szCs w:val="21"/>
                <w:lang w:bidi="ar"/>
              </w:rPr>
              <w:t>1</w:t>
            </w:r>
            <w:r>
              <w:rPr>
                <w:rFonts w:hint="eastAsia"/>
                <w:kern w:val="0"/>
                <w:szCs w:val="21"/>
                <w:lang w:bidi="ar"/>
              </w:rPr>
              <w:t>座、老井合建</w:t>
            </w:r>
            <w:r>
              <w:rPr>
                <w:rFonts w:hint="eastAsia"/>
                <w:kern w:val="0"/>
                <w:szCs w:val="21"/>
                <w:lang w:bidi="ar"/>
              </w:rPr>
              <w:t>2</w:t>
            </w:r>
            <w:r>
              <w:rPr>
                <w:rFonts w:hint="eastAsia"/>
                <w:kern w:val="0"/>
                <w:szCs w:val="21"/>
                <w:lang w:bidi="ar"/>
              </w:rPr>
              <w:t>座）。</w:t>
            </w:r>
            <w:r>
              <w:rPr>
                <w:kern w:val="0"/>
                <w:szCs w:val="21"/>
                <w:lang w:bidi="ar"/>
              </w:rPr>
              <w:t>钻井临时占地规格为</w:t>
            </w:r>
            <w:r>
              <w:rPr>
                <w:kern w:val="0"/>
                <w:szCs w:val="21"/>
                <w:lang w:bidi="ar"/>
              </w:rPr>
              <w:t>50m×70m</w:t>
            </w:r>
            <w:r>
              <w:rPr>
                <w:rFonts w:hint="eastAsia"/>
                <w:kern w:val="0"/>
                <w:szCs w:val="21"/>
                <w:lang w:bidi="ar"/>
              </w:rPr>
              <w:t>；</w:t>
            </w:r>
            <w:r>
              <w:rPr>
                <w:kern w:val="0"/>
                <w:szCs w:val="21"/>
                <w:lang w:bidi="ar"/>
              </w:rPr>
              <w:t>永久占地</w:t>
            </w:r>
            <w:r>
              <w:rPr>
                <w:rFonts w:hint="eastAsia"/>
                <w:kern w:val="0"/>
                <w:szCs w:val="21"/>
                <w:lang w:bidi="ar"/>
              </w:rPr>
              <w:t>均为</w:t>
            </w:r>
            <w:r>
              <w:rPr>
                <w:kern w:val="0"/>
                <w:szCs w:val="21"/>
                <w:lang w:bidi="ar"/>
              </w:rPr>
              <w:t>1500m</w:t>
            </w:r>
            <w:r>
              <w:rPr>
                <w:kern w:val="0"/>
                <w:szCs w:val="21"/>
                <w:vertAlign w:val="superscript"/>
                <w:lang w:bidi="ar"/>
              </w:rPr>
              <w:t>2</w:t>
            </w:r>
          </w:p>
        </w:tc>
      </w:tr>
      <w:tr w:rsidR="00EE4502">
        <w:trPr>
          <w:trHeight w:val="340"/>
        </w:trPr>
        <w:tc>
          <w:tcPr>
            <w:tcW w:w="246" w:type="pct"/>
            <w:vMerge/>
            <w:vAlign w:val="center"/>
          </w:tcPr>
          <w:p w:rsidR="00EE4502" w:rsidRDefault="00EE4502">
            <w:pPr>
              <w:widowControl/>
              <w:jc w:val="center"/>
              <w:textAlignment w:val="center"/>
              <w:rPr>
                <w:kern w:val="0"/>
                <w:szCs w:val="21"/>
                <w:lang w:bidi="ar"/>
              </w:rPr>
            </w:pPr>
          </w:p>
        </w:tc>
        <w:tc>
          <w:tcPr>
            <w:tcW w:w="336" w:type="pct"/>
            <w:vMerge/>
            <w:vAlign w:val="center"/>
          </w:tcPr>
          <w:p w:rsidR="00EE4502" w:rsidRDefault="00EE4502">
            <w:pPr>
              <w:widowControl/>
              <w:jc w:val="center"/>
              <w:textAlignment w:val="center"/>
              <w:rPr>
                <w:kern w:val="0"/>
                <w:szCs w:val="21"/>
                <w:lang w:bidi="ar"/>
              </w:rPr>
            </w:pPr>
          </w:p>
        </w:tc>
        <w:tc>
          <w:tcPr>
            <w:tcW w:w="336" w:type="pct"/>
            <w:vAlign w:val="center"/>
          </w:tcPr>
          <w:p w:rsidR="00EE4502" w:rsidRDefault="00FD45A3">
            <w:pPr>
              <w:widowControl/>
              <w:jc w:val="center"/>
              <w:textAlignment w:val="center"/>
              <w:rPr>
                <w:kern w:val="0"/>
                <w:szCs w:val="21"/>
                <w:lang w:bidi="ar"/>
              </w:rPr>
            </w:pPr>
            <w:r>
              <w:rPr>
                <w:rFonts w:hint="eastAsia"/>
                <w:kern w:val="0"/>
                <w:szCs w:val="21"/>
                <w:lang w:bidi="ar"/>
              </w:rPr>
              <w:t>注水井</w:t>
            </w:r>
          </w:p>
        </w:tc>
        <w:tc>
          <w:tcPr>
            <w:tcW w:w="510" w:type="pct"/>
            <w:vAlign w:val="center"/>
          </w:tcPr>
          <w:p w:rsidR="00EE4502" w:rsidRDefault="00FD45A3">
            <w:pPr>
              <w:widowControl/>
              <w:jc w:val="center"/>
              <w:textAlignment w:val="center"/>
              <w:rPr>
                <w:szCs w:val="21"/>
              </w:rPr>
            </w:pPr>
            <w:r>
              <w:rPr>
                <w:rFonts w:hint="eastAsia"/>
                <w:szCs w:val="21"/>
              </w:rPr>
              <w:t>1800</w:t>
            </w:r>
          </w:p>
        </w:tc>
        <w:tc>
          <w:tcPr>
            <w:tcW w:w="583" w:type="pct"/>
            <w:vAlign w:val="center"/>
          </w:tcPr>
          <w:p w:rsidR="00EE4502" w:rsidRDefault="00FD45A3">
            <w:pPr>
              <w:widowControl/>
              <w:jc w:val="center"/>
              <w:textAlignment w:val="center"/>
              <w:rPr>
                <w:szCs w:val="21"/>
              </w:rPr>
            </w:pPr>
            <w:r>
              <w:rPr>
                <w:rFonts w:hint="eastAsia"/>
                <w:szCs w:val="21"/>
              </w:rPr>
              <w:t>盐碱地、水浇地</w:t>
            </w:r>
          </w:p>
        </w:tc>
        <w:tc>
          <w:tcPr>
            <w:tcW w:w="526" w:type="pct"/>
            <w:vAlign w:val="center"/>
          </w:tcPr>
          <w:p w:rsidR="00EE4502" w:rsidRDefault="00FD45A3">
            <w:pPr>
              <w:widowControl/>
              <w:jc w:val="center"/>
              <w:textAlignment w:val="center"/>
              <w:rPr>
                <w:szCs w:val="21"/>
              </w:rPr>
            </w:pPr>
            <w:r>
              <w:rPr>
                <w:szCs w:val="21"/>
              </w:rPr>
              <w:t>1350</w:t>
            </w:r>
          </w:p>
        </w:tc>
        <w:tc>
          <w:tcPr>
            <w:tcW w:w="488" w:type="pct"/>
            <w:vAlign w:val="center"/>
          </w:tcPr>
          <w:p w:rsidR="00EE4502" w:rsidRDefault="00FD45A3">
            <w:pPr>
              <w:widowControl/>
              <w:jc w:val="center"/>
              <w:textAlignment w:val="center"/>
              <w:rPr>
                <w:szCs w:val="21"/>
              </w:rPr>
            </w:pPr>
            <w:r>
              <w:rPr>
                <w:rFonts w:hint="eastAsia"/>
                <w:szCs w:val="21"/>
              </w:rPr>
              <w:t>盐碱地、水浇地</w:t>
            </w:r>
          </w:p>
        </w:tc>
        <w:tc>
          <w:tcPr>
            <w:tcW w:w="547" w:type="pct"/>
            <w:vAlign w:val="center"/>
          </w:tcPr>
          <w:p w:rsidR="00EE4502" w:rsidRDefault="00FD45A3">
            <w:pPr>
              <w:widowControl/>
              <w:jc w:val="center"/>
              <w:textAlignment w:val="center"/>
              <w:rPr>
                <w:szCs w:val="21"/>
              </w:rPr>
            </w:pPr>
            <w:r>
              <w:rPr>
                <w:szCs w:val="21"/>
              </w:rPr>
              <w:t>3150</w:t>
            </w:r>
          </w:p>
        </w:tc>
        <w:tc>
          <w:tcPr>
            <w:tcW w:w="1424" w:type="pct"/>
            <w:vAlign w:val="center"/>
          </w:tcPr>
          <w:p w:rsidR="00EE4502" w:rsidRDefault="00FD45A3">
            <w:pPr>
              <w:widowControl/>
              <w:textAlignment w:val="center"/>
              <w:rPr>
                <w:kern w:val="0"/>
                <w:szCs w:val="21"/>
                <w:lang w:bidi="ar"/>
              </w:rPr>
            </w:pPr>
            <w:r>
              <w:rPr>
                <w:rFonts w:hint="eastAsia"/>
                <w:kern w:val="0"/>
                <w:szCs w:val="21"/>
                <w:lang w:bidi="ar"/>
              </w:rPr>
              <w:t>新建</w:t>
            </w:r>
            <w:r>
              <w:rPr>
                <w:rFonts w:hint="eastAsia"/>
                <w:kern w:val="0"/>
                <w:szCs w:val="21"/>
                <w:lang w:bidi="ar"/>
              </w:rPr>
              <w:t>注水井</w:t>
            </w:r>
            <w:r>
              <w:rPr>
                <w:rFonts w:hint="eastAsia"/>
                <w:kern w:val="0"/>
                <w:szCs w:val="21"/>
                <w:lang w:bidi="ar"/>
              </w:rPr>
              <w:t>3</w:t>
            </w:r>
            <w:r>
              <w:rPr>
                <w:rFonts w:hint="eastAsia"/>
                <w:kern w:val="0"/>
                <w:szCs w:val="21"/>
                <w:lang w:bidi="ar"/>
              </w:rPr>
              <w:t>口</w:t>
            </w:r>
            <w:r>
              <w:rPr>
                <w:rFonts w:hint="eastAsia"/>
                <w:kern w:val="0"/>
                <w:szCs w:val="21"/>
                <w:lang w:bidi="ar"/>
              </w:rPr>
              <w:t>，</w:t>
            </w:r>
            <w:r>
              <w:rPr>
                <w:kern w:val="0"/>
                <w:szCs w:val="21"/>
                <w:lang w:bidi="ar"/>
              </w:rPr>
              <w:t>钻井临时占地规格为</w:t>
            </w:r>
            <w:r>
              <w:rPr>
                <w:kern w:val="0"/>
                <w:szCs w:val="21"/>
                <w:lang w:bidi="ar"/>
              </w:rPr>
              <w:t>30m×35m</w:t>
            </w:r>
            <w:r>
              <w:rPr>
                <w:rFonts w:hint="eastAsia"/>
                <w:kern w:val="0"/>
                <w:szCs w:val="21"/>
                <w:lang w:bidi="ar"/>
              </w:rPr>
              <w:t>；</w:t>
            </w:r>
            <w:r>
              <w:rPr>
                <w:kern w:val="0"/>
                <w:szCs w:val="21"/>
                <w:lang w:bidi="ar"/>
              </w:rPr>
              <w:t>永久占地</w:t>
            </w:r>
            <w:r>
              <w:rPr>
                <w:rFonts w:hint="eastAsia"/>
                <w:kern w:val="0"/>
                <w:szCs w:val="21"/>
                <w:lang w:bidi="ar"/>
              </w:rPr>
              <w:t>均为</w:t>
            </w:r>
            <w:r>
              <w:rPr>
                <w:rFonts w:hint="eastAsia"/>
                <w:kern w:val="0"/>
                <w:szCs w:val="21"/>
                <w:lang w:bidi="ar"/>
              </w:rPr>
              <w:t>6</w:t>
            </w:r>
            <w:r>
              <w:rPr>
                <w:kern w:val="0"/>
                <w:szCs w:val="21"/>
                <w:lang w:bidi="ar"/>
              </w:rPr>
              <w:t>00m</w:t>
            </w:r>
            <w:r>
              <w:rPr>
                <w:kern w:val="0"/>
                <w:szCs w:val="21"/>
                <w:vertAlign w:val="superscript"/>
                <w:lang w:bidi="ar"/>
              </w:rPr>
              <w:t>2</w:t>
            </w:r>
            <w:r>
              <w:rPr>
                <w:kern w:val="0"/>
                <w:szCs w:val="21"/>
                <w:lang w:bidi="ar"/>
              </w:rPr>
              <w:t>。</w:t>
            </w:r>
          </w:p>
        </w:tc>
      </w:tr>
      <w:tr w:rsidR="00EE4502">
        <w:trPr>
          <w:trHeight w:val="340"/>
        </w:trPr>
        <w:tc>
          <w:tcPr>
            <w:tcW w:w="246" w:type="pct"/>
            <w:vMerge/>
            <w:vAlign w:val="center"/>
          </w:tcPr>
          <w:p w:rsidR="00EE4502" w:rsidRDefault="00EE4502">
            <w:pPr>
              <w:widowControl/>
              <w:jc w:val="center"/>
              <w:textAlignment w:val="center"/>
              <w:rPr>
                <w:kern w:val="0"/>
                <w:szCs w:val="21"/>
                <w:lang w:bidi="ar"/>
              </w:rPr>
            </w:pPr>
          </w:p>
        </w:tc>
        <w:tc>
          <w:tcPr>
            <w:tcW w:w="336" w:type="pct"/>
            <w:vMerge/>
            <w:vAlign w:val="center"/>
          </w:tcPr>
          <w:p w:rsidR="00EE4502" w:rsidRDefault="00EE4502">
            <w:pPr>
              <w:widowControl/>
              <w:jc w:val="center"/>
              <w:textAlignment w:val="center"/>
              <w:rPr>
                <w:kern w:val="0"/>
                <w:szCs w:val="21"/>
                <w:lang w:bidi="ar"/>
              </w:rPr>
            </w:pPr>
          </w:p>
        </w:tc>
        <w:tc>
          <w:tcPr>
            <w:tcW w:w="336" w:type="pct"/>
            <w:vAlign w:val="center"/>
          </w:tcPr>
          <w:p w:rsidR="00EE4502" w:rsidRDefault="00FD45A3">
            <w:pPr>
              <w:widowControl/>
              <w:jc w:val="center"/>
              <w:textAlignment w:val="center"/>
              <w:rPr>
                <w:kern w:val="0"/>
                <w:szCs w:val="21"/>
                <w:lang w:bidi="ar"/>
              </w:rPr>
            </w:pPr>
            <w:r>
              <w:rPr>
                <w:rFonts w:hint="eastAsia"/>
                <w:kern w:val="0"/>
                <w:szCs w:val="21"/>
                <w:lang w:bidi="ar"/>
              </w:rPr>
              <w:t>增压点</w:t>
            </w:r>
          </w:p>
        </w:tc>
        <w:tc>
          <w:tcPr>
            <w:tcW w:w="510" w:type="pct"/>
            <w:vAlign w:val="center"/>
          </w:tcPr>
          <w:p w:rsidR="00EE4502" w:rsidRDefault="00FD45A3">
            <w:pPr>
              <w:widowControl/>
              <w:jc w:val="center"/>
              <w:textAlignment w:val="center"/>
              <w:rPr>
                <w:szCs w:val="21"/>
              </w:rPr>
            </w:pPr>
            <w:r>
              <w:rPr>
                <w:rFonts w:hint="eastAsia"/>
                <w:szCs w:val="21"/>
              </w:rPr>
              <w:t>0</w:t>
            </w:r>
          </w:p>
        </w:tc>
        <w:tc>
          <w:tcPr>
            <w:tcW w:w="583" w:type="pct"/>
            <w:vAlign w:val="center"/>
          </w:tcPr>
          <w:p w:rsidR="00EE4502" w:rsidRDefault="00FD45A3">
            <w:pPr>
              <w:widowControl/>
              <w:jc w:val="center"/>
              <w:textAlignment w:val="center"/>
              <w:rPr>
                <w:szCs w:val="21"/>
              </w:rPr>
            </w:pPr>
            <w:r>
              <w:rPr>
                <w:rFonts w:hint="eastAsia"/>
                <w:szCs w:val="21"/>
              </w:rPr>
              <w:t>/</w:t>
            </w:r>
          </w:p>
        </w:tc>
        <w:tc>
          <w:tcPr>
            <w:tcW w:w="526" w:type="pct"/>
            <w:vAlign w:val="center"/>
          </w:tcPr>
          <w:p w:rsidR="00EE4502" w:rsidRDefault="00FD45A3">
            <w:pPr>
              <w:widowControl/>
              <w:jc w:val="center"/>
              <w:textAlignment w:val="center"/>
              <w:rPr>
                <w:szCs w:val="21"/>
              </w:rPr>
            </w:pPr>
            <w:r>
              <w:rPr>
                <w:rFonts w:hint="eastAsia"/>
                <w:szCs w:val="21"/>
              </w:rPr>
              <w:t>0</w:t>
            </w:r>
          </w:p>
        </w:tc>
        <w:tc>
          <w:tcPr>
            <w:tcW w:w="488" w:type="pct"/>
            <w:vAlign w:val="center"/>
          </w:tcPr>
          <w:p w:rsidR="00EE4502" w:rsidRDefault="00FD45A3">
            <w:pPr>
              <w:widowControl/>
              <w:jc w:val="center"/>
              <w:textAlignment w:val="center"/>
              <w:rPr>
                <w:szCs w:val="21"/>
              </w:rPr>
            </w:pPr>
            <w:r>
              <w:rPr>
                <w:rFonts w:hint="eastAsia"/>
                <w:szCs w:val="21"/>
              </w:rPr>
              <w:t>/</w:t>
            </w:r>
          </w:p>
        </w:tc>
        <w:tc>
          <w:tcPr>
            <w:tcW w:w="547" w:type="pct"/>
            <w:vAlign w:val="center"/>
          </w:tcPr>
          <w:p w:rsidR="00EE4502" w:rsidRDefault="00FD45A3">
            <w:pPr>
              <w:widowControl/>
              <w:jc w:val="center"/>
              <w:textAlignment w:val="center"/>
              <w:rPr>
                <w:szCs w:val="21"/>
              </w:rPr>
            </w:pPr>
            <w:r>
              <w:rPr>
                <w:rFonts w:hint="eastAsia"/>
                <w:szCs w:val="21"/>
              </w:rPr>
              <w:t>0</w:t>
            </w:r>
          </w:p>
        </w:tc>
        <w:tc>
          <w:tcPr>
            <w:tcW w:w="1424" w:type="pct"/>
            <w:vAlign w:val="center"/>
          </w:tcPr>
          <w:p w:rsidR="00EE4502" w:rsidRDefault="00FD45A3">
            <w:pPr>
              <w:widowControl/>
              <w:textAlignment w:val="center"/>
              <w:rPr>
                <w:kern w:val="0"/>
                <w:szCs w:val="21"/>
                <w:lang w:bidi="ar"/>
              </w:rPr>
            </w:pPr>
            <w:r>
              <w:rPr>
                <w:rFonts w:hint="eastAsia"/>
                <w:kern w:val="0"/>
                <w:szCs w:val="21"/>
                <w:lang w:bidi="ar"/>
              </w:rPr>
              <w:t>位于排</w:t>
            </w:r>
            <w:r>
              <w:rPr>
                <w:rFonts w:hint="eastAsia"/>
                <w:kern w:val="0"/>
                <w:szCs w:val="21"/>
                <w:lang w:bidi="ar"/>
              </w:rPr>
              <w:t>61-</w:t>
            </w:r>
            <w:r>
              <w:rPr>
                <w:rFonts w:hint="eastAsia"/>
                <w:kern w:val="0"/>
                <w:szCs w:val="21"/>
                <w:lang w:bidi="ar"/>
              </w:rPr>
              <w:t>平</w:t>
            </w:r>
            <w:r>
              <w:rPr>
                <w:rFonts w:hint="eastAsia"/>
                <w:kern w:val="0"/>
                <w:szCs w:val="21"/>
                <w:lang w:bidi="ar"/>
              </w:rPr>
              <w:t>14/</w:t>
            </w:r>
            <w:r>
              <w:rPr>
                <w:rFonts w:hint="eastAsia"/>
                <w:kern w:val="0"/>
                <w:szCs w:val="21"/>
                <w:lang w:bidi="ar"/>
              </w:rPr>
              <w:t>平</w:t>
            </w:r>
            <w:r>
              <w:rPr>
                <w:rFonts w:hint="eastAsia"/>
                <w:kern w:val="0"/>
                <w:szCs w:val="21"/>
                <w:lang w:bidi="ar"/>
              </w:rPr>
              <w:t>15</w:t>
            </w:r>
            <w:r>
              <w:rPr>
                <w:rFonts w:hint="eastAsia"/>
                <w:kern w:val="0"/>
                <w:szCs w:val="21"/>
                <w:lang w:bidi="ar"/>
              </w:rPr>
              <w:t>井内</w:t>
            </w:r>
          </w:p>
        </w:tc>
      </w:tr>
      <w:tr w:rsidR="00EE4502">
        <w:trPr>
          <w:trHeight w:val="340"/>
        </w:trPr>
        <w:tc>
          <w:tcPr>
            <w:tcW w:w="246" w:type="pct"/>
            <w:vMerge/>
            <w:vAlign w:val="center"/>
          </w:tcPr>
          <w:p w:rsidR="00EE4502" w:rsidRDefault="00EE4502">
            <w:pPr>
              <w:widowControl/>
              <w:jc w:val="center"/>
              <w:textAlignment w:val="center"/>
              <w:rPr>
                <w:kern w:val="0"/>
                <w:szCs w:val="21"/>
                <w:lang w:bidi="ar"/>
              </w:rPr>
            </w:pPr>
          </w:p>
        </w:tc>
        <w:tc>
          <w:tcPr>
            <w:tcW w:w="336" w:type="pct"/>
            <w:vMerge/>
            <w:vAlign w:val="center"/>
          </w:tcPr>
          <w:p w:rsidR="00EE4502" w:rsidRDefault="00EE4502">
            <w:pPr>
              <w:widowControl/>
              <w:jc w:val="center"/>
              <w:textAlignment w:val="center"/>
              <w:rPr>
                <w:kern w:val="0"/>
                <w:szCs w:val="21"/>
                <w:lang w:bidi="ar"/>
              </w:rPr>
            </w:pPr>
          </w:p>
        </w:tc>
        <w:tc>
          <w:tcPr>
            <w:tcW w:w="336" w:type="pct"/>
            <w:vAlign w:val="center"/>
          </w:tcPr>
          <w:p w:rsidR="00EE4502" w:rsidRDefault="00FD45A3">
            <w:pPr>
              <w:widowControl/>
              <w:jc w:val="center"/>
              <w:textAlignment w:val="center"/>
              <w:rPr>
                <w:kern w:val="0"/>
                <w:szCs w:val="21"/>
                <w:lang w:bidi="ar"/>
              </w:rPr>
            </w:pPr>
            <w:r>
              <w:rPr>
                <w:rFonts w:hint="eastAsia"/>
                <w:kern w:val="0"/>
                <w:szCs w:val="21"/>
                <w:lang w:bidi="ar"/>
              </w:rPr>
              <w:t>掺水点</w:t>
            </w:r>
          </w:p>
        </w:tc>
        <w:tc>
          <w:tcPr>
            <w:tcW w:w="510" w:type="pct"/>
            <w:vAlign w:val="center"/>
          </w:tcPr>
          <w:p w:rsidR="00EE4502" w:rsidRDefault="00FD45A3">
            <w:pPr>
              <w:widowControl/>
              <w:jc w:val="center"/>
              <w:textAlignment w:val="center"/>
              <w:rPr>
                <w:szCs w:val="21"/>
              </w:rPr>
            </w:pPr>
            <w:r>
              <w:rPr>
                <w:rFonts w:hint="eastAsia"/>
                <w:szCs w:val="21"/>
              </w:rPr>
              <w:t>0</w:t>
            </w:r>
          </w:p>
        </w:tc>
        <w:tc>
          <w:tcPr>
            <w:tcW w:w="583" w:type="pct"/>
            <w:vAlign w:val="center"/>
          </w:tcPr>
          <w:p w:rsidR="00EE4502" w:rsidRDefault="00FD45A3">
            <w:pPr>
              <w:widowControl/>
              <w:jc w:val="center"/>
              <w:textAlignment w:val="center"/>
              <w:rPr>
                <w:szCs w:val="21"/>
              </w:rPr>
            </w:pPr>
            <w:r>
              <w:rPr>
                <w:rFonts w:hint="eastAsia"/>
                <w:szCs w:val="21"/>
              </w:rPr>
              <w:t>/</w:t>
            </w:r>
          </w:p>
        </w:tc>
        <w:tc>
          <w:tcPr>
            <w:tcW w:w="526" w:type="pct"/>
            <w:vAlign w:val="center"/>
          </w:tcPr>
          <w:p w:rsidR="00EE4502" w:rsidRDefault="00FD45A3">
            <w:pPr>
              <w:widowControl/>
              <w:jc w:val="center"/>
              <w:textAlignment w:val="center"/>
              <w:rPr>
                <w:szCs w:val="21"/>
              </w:rPr>
            </w:pPr>
            <w:r>
              <w:rPr>
                <w:rFonts w:hint="eastAsia"/>
                <w:szCs w:val="21"/>
              </w:rPr>
              <w:t>0</w:t>
            </w:r>
          </w:p>
        </w:tc>
        <w:tc>
          <w:tcPr>
            <w:tcW w:w="488" w:type="pct"/>
            <w:vAlign w:val="center"/>
          </w:tcPr>
          <w:p w:rsidR="00EE4502" w:rsidRDefault="00FD45A3">
            <w:pPr>
              <w:widowControl/>
              <w:jc w:val="center"/>
              <w:textAlignment w:val="center"/>
              <w:rPr>
                <w:szCs w:val="21"/>
              </w:rPr>
            </w:pPr>
            <w:r>
              <w:rPr>
                <w:rFonts w:hint="eastAsia"/>
                <w:szCs w:val="21"/>
              </w:rPr>
              <w:t>/</w:t>
            </w:r>
          </w:p>
        </w:tc>
        <w:tc>
          <w:tcPr>
            <w:tcW w:w="547" w:type="pct"/>
            <w:vAlign w:val="center"/>
          </w:tcPr>
          <w:p w:rsidR="00EE4502" w:rsidRDefault="00FD45A3">
            <w:pPr>
              <w:widowControl/>
              <w:jc w:val="center"/>
              <w:textAlignment w:val="center"/>
              <w:rPr>
                <w:szCs w:val="21"/>
              </w:rPr>
            </w:pPr>
            <w:r>
              <w:rPr>
                <w:rFonts w:hint="eastAsia"/>
                <w:szCs w:val="21"/>
              </w:rPr>
              <w:t>0</w:t>
            </w:r>
          </w:p>
        </w:tc>
        <w:tc>
          <w:tcPr>
            <w:tcW w:w="1424" w:type="pct"/>
            <w:vAlign w:val="center"/>
          </w:tcPr>
          <w:p w:rsidR="00EE4502" w:rsidRDefault="00FD45A3">
            <w:pPr>
              <w:widowControl/>
              <w:textAlignment w:val="center"/>
              <w:rPr>
                <w:kern w:val="0"/>
                <w:szCs w:val="21"/>
                <w:lang w:bidi="ar"/>
              </w:rPr>
            </w:pPr>
            <w:r>
              <w:rPr>
                <w:rFonts w:hint="eastAsia"/>
                <w:kern w:val="0"/>
                <w:szCs w:val="21"/>
                <w:lang w:bidi="ar"/>
              </w:rPr>
              <w:t>4</w:t>
            </w:r>
            <w:r>
              <w:rPr>
                <w:rFonts w:hint="eastAsia"/>
                <w:kern w:val="0"/>
                <w:szCs w:val="21"/>
                <w:lang w:bidi="ar"/>
              </w:rPr>
              <w:t>处，分别位于内排</w:t>
            </w:r>
            <w:r>
              <w:rPr>
                <w:rFonts w:hint="eastAsia"/>
                <w:kern w:val="0"/>
                <w:szCs w:val="21"/>
                <w:lang w:bidi="ar"/>
              </w:rPr>
              <w:t>756H</w:t>
            </w:r>
            <w:r>
              <w:rPr>
                <w:rFonts w:hint="eastAsia"/>
                <w:kern w:val="0"/>
                <w:szCs w:val="21"/>
                <w:lang w:bidi="ar"/>
              </w:rPr>
              <w:t>、排</w:t>
            </w:r>
            <w:r>
              <w:rPr>
                <w:rFonts w:hint="eastAsia"/>
                <w:kern w:val="0"/>
                <w:szCs w:val="21"/>
                <w:lang w:bidi="ar"/>
              </w:rPr>
              <w:t>61-</w:t>
            </w:r>
            <w:r>
              <w:rPr>
                <w:rFonts w:hint="eastAsia"/>
                <w:kern w:val="0"/>
                <w:szCs w:val="21"/>
                <w:lang w:bidi="ar"/>
              </w:rPr>
              <w:t>平</w:t>
            </w:r>
            <w:r>
              <w:rPr>
                <w:rFonts w:hint="eastAsia"/>
                <w:kern w:val="0"/>
                <w:szCs w:val="21"/>
                <w:lang w:bidi="ar"/>
              </w:rPr>
              <w:t>2/17</w:t>
            </w:r>
            <w:r>
              <w:rPr>
                <w:rFonts w:hint="eastAsia"/>
                <w:kern w:val="0"/>
                <w:szCs w:val="21"/>
                <w:lang w:bidi="ar"/>
              </w:rPr>
              <w:t>、排</w:t>
            </w:r>
            <w:r>
              <w:rPr>
                <w:rFonts w:hint="eastAsia"/>
                <w:kern w:val="0"/>
                <w:szCs w:val="21"/>
                <w:lang w:bidi="ar"/>
              </w:rPr>
              <w:t>61-</w:t>
            </w:r>
            <w:r>
              <w:rPr>
                <w:rFonts w:hint="eastAsia"/>
                <w:kern w:val="0"/>
                <w:szCs w:val="21"/>
                <w:lang w:bidi="ar"/>
              </w:rPr>
              <w:t>平</w:t>
            </w:r>
            <w:r>
              <w:rPr>
                <w:rFonts w:hint="eastAsia"/>
                <w:kern w:val="0"/>
                <w:szCs w:val="21"/>
                <w:lang w:bidi="ar"/>
              </w:rPr>
              <w:t>10/11</w:t>
            </w:r>
            <w:r>
              <w:rPr>
                <w:rFonts w:hint="eastAsia"/>
                <w:kern w:val="0"/>
                <w:szCs w:val="21"/>
                <w:lang w:bidi="ar"/>
              </w:rPr>
              <w:t>、排</w:t>
            </w:r>
            <w:r>
              <w:rPr>
                <w:rFonts w:hint="eastAsia"/>
                <w:kern w:val="0"/>
                <w:szCs w:val="21"/>
                <w:lang w:bidi="ar"/>
              </w:rPr>
              <w:t>655-</w:t>
            </w:r>
            <w:r>
              <w:rPr>
                <w:rFonts w:hint="eastAsia"/>
                <w:kern w:val="0"/>
                <w:szCs w:val="21"/>
                <w:lang w:bidi="ar"/>
              </w:rPr>
              <w:t>平</w:t>
            </w:r>
            <w:r>
              <w:rPr>
                <w:rFonts w:hint="eastAsia"/>
                <w:kern w:val="0"/>
                <w:szCs w:val="21"/>
                <w:lang w:bidi="ar"/>
              </w:rPr>
              <w:t>1</w:t>
            </w:r>
            <w:r>
              <w:rPr>
                <w:rFonts w:hint="eastAsia"/>
                <w:kern w:val="0"/>
                <w:szCs w:val="21"/>
                <w:lang w:bidi="ar"/>
              </w:rPr>
              <w:t>井场内</w:t>
            </w:r>
          </w:p>
        </w:tc>
      </w:tr>
      <w:tr w:rsidR="00EE4502">
        <w:trPr>
          <w:trHeight w:val="340"/>
        </w:trPr>
        <w:tc>
          <w:tcPr>
            <w:tcW w:w="246" w:type="pct"/>
            <w:vMerge w:val="restart"/>
            <w:vAlign w:val="center"/>
          </w:tcPr>
          <w:p w:rsidR="00EE4502" w:rsidRDefault="00FD45A3">
            <w:pPr>
              <w:widowControl/>
              <w:jc w:val="center"/>
              <w:textAlignment w:val="center"/>
              <w:rPr>
                <w:kern w:val="0"/>
                <w:szCs w:val="21"/>
                <w:lang w:bidi="ar"/>
              </w:rPr>
            </w:pPr>
            <w:r>
              <w:rPr>
                <w:rFonts w:hint="eastAsia"/>
                <w:kern w:val="0"/>
                <w:szCs w:val="21"/>
                <w:lang w:bidi="ar"/>
              </w:rPr>
              <w:t>2</w:t>
            </w:r>
          </w:p>
        </w:tc>
        <w:tc>
          <w:tcPr>
            <w:tcW w:w="336" w:type="pct"/>
            <w:vMerge w:val="restart"/>
            <w:vAlign w:val="center"/>
          </w:tcPr>
          <w:p w:rsidR="00EE4502" w:rsidRDefault="00FD45A3">
            <w:pPr>
              <w:widowControl/>
              <w:jc w:val="center"/>
              <w:textAlignment w:val="center"/>
              <w:rPr>
                <w:kern w:val="0"/>
                <w:szCs w:val="21"/>
                <w:lang w:bidi="ar"/>
              </w:rPr>
            </w:pPr>
            <w:r>
              <w:rPr>
                <w:rFonts w:hint="eastAsia"/>
                <w:kern w:val="0"/>
                <w:szCs w:val="21"/>
                <w:lang w:bidi="ar"/>
              </w:rPr>
              <w:t>站场改造</w:t>
            </w:r>
          </w:p>
        </w:tc>
        <w:tc>
          <w:tcPr>
            <w:tcW w:w="336" w:type="pct"/>
            <w:vAlign w:val="center"/>
          </w:tcPr>
          <w:p w:rsidR="00EE4502" w:rsidRDefault="00FD45A3">
            <w:pPr>
              <w:widowControl/>
              <w:jc w:val="center"/>
              <w:textAlignment w:val="center"/>
              <w:rPr>
                <w:kern w:val="0"/>
                <w:szCs w:val="21"/>
                <w:lang w:bidi="ar"/>
              </w:rPr>
            </w:pPr>
            <w:r>
              <w:rPr>
                <w:rFonts w:hint="eastAsia"/>
                <w:kern w:val="0"/>
                <w:szCs w:val="21"/>
                <w:lang w:bidi="ar"/>
              </w:rPr>
              <w:t>1#</w:t>
            </w:r>
            <w:r>
              <w:rPr>
                <w:rFonts w:hint="eastAsia"/>
                <w:kern w:val="0"/>
                <w:szCs w:val="21"/>
                <w:lang w:bidi="ar"/>
              </w:rPr>
              <w:t>增压站</w:t>
            </w:r>
          </w:p>
        </w:tc>
        <w:tc>
          <w:tcPr>
            <w:tcW w:w="510" w:type="pct"/>
            <w:vAlign w:val="center"/>
          </w:tcPr>
          <w:p w:rsidR="00EE4502" w:rsidRDefault="00FD45A3">
            <w:pPr>
              <w:widowControl/>
              <w:jc w:val="center"/>
              <w:textAlignment w:val="center"/>
              <w:rPr>
                <w:szCs w:val="21"/>
              </w:rPr>
            </w:pPr>
            <w:r>
              <w:rPr>
                <w:rFonts w:hint="eastAsia"/>
                <w:szCs w:val="21"/>
              </w:rPr>
              <w:t>600</w:t>
            </w:r>
          </w:p>
        </w:tc>
        <w:tc>
          <w:tcPr>
            <w:tcW w:w="583" w:type="pct"/>
            <w:vAlign w:val="center"/>
          </w:tcPr>
          <w:p w:rsidR="00EE4502" w:rsidRDefault="00FD45A3">
            <w:pPr>
              <w:widowControl/>
              <w:jc w:val="center"/>
              <w:textAlignment w:val="center"/>
              <w:rPr>
                <w:szCs w:val="21"/>
              </w:rPr>
            </w:pPr>
            <w:r>
              <w:rPr>
                <w:rFonts w:hint="eastAsia"/>
                <w:szCs w:val="21"/>
              </w:rPr>
              <w:t>灌木林地</w:t>
            </w:r>
          </w:p>
        </w:tc>
        <w:tc>
          <w:tcPr>
            <w:tcW w:w="526" w:type="pct"/>
            <w:vAlign w:val="center"/>
          </w:tcPr>
          <w:p w:rsidR="00EE4502" w:rsidRDefault="00FD45A3">
            <w:pPr>
              <w:widowControl/>
              <w:jc w:val="center"/>
              <w:textAlignment w:val="center"/>
              <w:rPr>
                <w:szCs w:val="21"/>
              </w:rPr>
            </w:pPr>
            <w:r>
              <w:rPr>
                <w:rFonts w:hint="eastAsia"/>
                <w:szCs w:val="21"/>
              </w:rPr>
              <w:t>0</w:t>
            </w:r>
          </w:p>
        </w:tc>
        <w:tc>
          <w:tcPr>
            <w:tcW w:w="488" w:type="pct"/>
            <w:vAlign w:val="center"/>
          </w:tcPr>
          <w:p w:rsidR="00EE4502" w:rsidRDefault="00FD45A3">
            <w:pPr>
              <w:widowControl/>
              <w:jc w:val="center"/>
              <w:textAlignment w:val="center"/>
              <w:rPr>
                <w:szCs w:val="21"/>
              </w:rPr>
            </w:pPr>
            <w:r>
              <w:rPr>
                <w:rFonts w:hint="eastAsia"/>
                <w:szCs w:val="21"/>
              </w:rPr>
              <w:t>/</w:t>
            </w:r>
          </w:p>
        </w:tc>
        <w:tc>
          <w:tcPr>
            <w:tcW w:w="547" w:type="pct"/>
            <w:vAlign w:val="center"/>
          </w:tcPr>
          <w:p w:rsidR="00EE4502" w:rsidRDefault="00FD45A3">
            <w:pPr>
              <w:widowControl/>
              <w:jc w:val="center"/>
              <w:textAlignment w:val="center"/>
              <w:rPr>
                <w:szCs w:val="21"/>
              </w:rPr>
            </w:pPr>
            <w:r>
              <w:rPr>
                <w:rFonts w:hint="eastAsia"/>
                <w:szCs w:val="21"/>
              </w:rPr>
              <w:t>600</w:t>
            </w:r>
          </w:p>
        </w:tc>
        <w:tc>
          <w:tcPr>
            <w:tcW w:w="1424" w:type="pct"/>
            <w:vAlign w:val="center"/>
          </w:tcPr>
          <w:p w:rsidR="00EE4502" w:rsidRDefault="00FD45A3">
            <w:pPr>
              <w:widowControl/>
              <w:textAlignment w:val="center"/>
              <w:rPr>
                <w:kern w:val="0"/>
                <w:szCs w:val="21"/>
                <w:lang w:bidi="ar"/>
              </w:rPr>
            </w:pPr>
            <w:r>
              <w:rPr>
                <w:rFonts w:hint="eastAsia"/>
                <w:kern w:val="0"/>
                <w:szCs w:val="21"/>
                <w:lang w:bidi="ar"/>
              </w:rPr>
              <w:t>在</w:t>
            </w:r>
            <w:r>
              <w:rPr>
                <w:rFonts w:hint="eastAsia"/>
                <w:kern w:val="0"/>
                <w:szCs w:val="21"/>
                <w:lang w:bidi="ar"/>
              </w:rPr>
              <w:t>1#</w:t>
            </w:r>
            <w:r>
              <w:rPr>
                <w:rFonts w:hint="eastAsia"/>
                <w:kern w:val="0"/>
                <w:szCs w:val="21"/>
                <w:lang w:bidi="ar"/>
              </w:rPr>
              <w:t>增压站北侧进行就地分水改造</w:t>
            </w:r>
          </w:p>
        </w:tc>
      </w:tr>
      <w:tr w:rsidR="00EE4502">
        <w:trPr>
          <w:trHeight w:val="340"/>
        </w:trPr>
        <w:tc>
          <w:tcPr>
            <w:tcW w:w="246" w:type="pct"/>
            <w:vMerge/>
            <w:vAlign w:val="center"/>
          </w:tcPr>
          <w:p w:rsidR="00EE4502" w:rsidRDefault="00EE4502">
            <w:pPr>
              <w:widowControl/>
              <w:jc w:val="center"/>
              <w:textAlignment w:val="center"/>
              <w:rPr>
                <w:kern w:val="0"/>
                <w:szCs w:val="21"/>
                <w:lang w:bidi="ar"/>
              </w:rPr>
            </w:pPr>
          </w:p>
        </w:tc>
        <w:tc>
          <w:tcPr>
            <w:tcW w:w="336" w:type="pct"/>
            <w:vMerge/>
            <w:vAlign w:val="center"/>
          </w:tcPr>
          <w:p w:rsidR="00EE4502" w:rsidRDefault="00EE4502">
            <w:pPr>
              <w:widowControl/>
              <w:jc w:val="center"/>
              <w:textAlignment w:val="center"/>
              <w:rPr>
                <w:kern w:val="0"/>
                <w:szCs w:val="21"/>
                <w:lang w:bidi="ar"/>
              </w:rPr>
            </w:pPr>
          </w:p>
        </w:tc>
        <w:tc>
          <w:tcPr>
            <w:tcW w:w="336" w:type="pct"/>
            <w:vAlign w:val="center"/>
          </w:tcPr>
          <w:p w:rsidR="00EE4502" w:rsidRDefault="00FD45A3">
            <w:pPr>
              <w:widowControl/>
              <w:jc w:val="center"/>
              <w:textAlignment w:val="center"/>
              <w:rPr>
                <w:kern w:val="0"/>
                <w:szCs w:val="21"/>
                <w:lang w:bidi="ar"/>
              </w:rPr>
            </w:pPr>
            <w:r>
              <w:rPr>
                <w:rFonts w:hint="eastAsia"/>
                <w:kern w:val="0"/>
                <w:szCs w:val="21"/>
                <w:lang w:bidi="ar"/>
              </w:rPr>
              <w:t>排</w:t>
            </w:r>
            <w:r>
              <w:rPr>
                <w:rFonts w:hint="eastAsia"/>
                <w:kern w:val="0"/>
                <w:szCs w:val="21"/>
                <w:lang w:bidi="ar"/>
              </w:rPr>
              <w:t>7</w:t>
            </w:r>
            <w:r>
              <w:rPr>
                <w:rFonts w:hint="eastAsia"/>
                <w:kern w:val="0"/>
                <w:szCs w:val="21"/>
                <w:lang w:bidi="ar"/>
              </w:rPr>
              <w:t>注水站</w:t>
            </w:r>
          </w:p>
        </w:tc>
        <w:tc>
          <w:tcPr>
            <w:tcW w:w="510" w:type="pct"/>
            <w:vAlign w:val="center"/>
          </w:tcPr>
          <w:p w:rsidR="00EE4502" w:rsidRDefault="00FD45A3">
            <w:pPr>
              <w:widowControl/>
              <w:jc w:val="center"/>
              <w:textAlignment w:val="center"/>
              <w:rPr>
                <w:szCs w:val="21"/>
              </w:rPr>
            </w:pPr>
            <w:r>
              <w:rPr>
                <w:rFonts w:hint="eastAsia"/>
                <w:szCs w:val="21"/>
              </w:rPr>
              <w:t>0</w:t>
            </w:r>
          </w:p>
        </w:tc>
        <w:tc>
          <w:tcPr>
            <w:tcW w:w="583" w:type="pct"/>
            <w:vAlign w:val="center"/>
          </w:tcPr>
          <w:p w:rsidR="00EE4502" w:rsidRDefault="00FD45A3">
            <w:pPr>
              <w:widowControl/>
              <w:jc w:val="center"/>
              <w:textAlignment w:val="center"/>
              <w:rPr>
                <w:szCs w:val="21"/>
              </w:rPr>
            </w:pPr>
            <w:r>
              <w:rPr>
                <w:rFonts w:hint="eastAsia"/>
                <w:szCs w:val="21"/>
              </w:rPr>
              <w:t>/</w:t>
            </w:r>
          </w:p>
        </w:tc>
        <w:tc>
          <w:tcPr>
            <w:tcW w:w="526" w:type="pct"/>
            <w:vAlign w:val="center"/>
          </w:tcPr>
          <w:p w:rsidR="00EE4502" w:rsidRDefault="00FD45A3">
            <w:pPr>
              <w:widowControl/>
              <w:jc w:val="center"/>
              <w:textAlignment w:val="center"/>
              <w:rPr>
                <w:szCs w:val="21"/>
              </w:rPr>
            </w:pPr>
            <w:r>
              <w:rPr>
                <w:rFonts w:hint="eastAsia"/>
                <w:szCs w:val="21"/>
              </w:rPr>
              <w:t>0</w:t>
            </w:r>
          </w:p>
        </w:tc>
        <w:tc>
          <w:tcPr>
            <w:tcW w:w="488" w:type="pct"/>
            <w:vAlign w:val="center"/>
          </w:tcPr>
          <w:p w:rsidR="00EE4502" w:rsidRDefault="00FD45A3">
            <w:pPr>
              <w:widowControl/>
              <w:jc w:val="center"/>
              <w:textAlignment w:val="center"/>
              <w:rPr>
                <w:szCs w:val="21"/>
              </w:rPr>
            </w:pPr>
            <w:r>
              <w:rPr>
                <w:rFonts w:hint="eastAsia"/>
                <w:szCs w:val="21"/>
              </w:rPr>
              <w:t>/</w:t>
            </w:r>
          </w:p>
        </w:tc>
        <w:tc>
          <w:tcPr>
            <w:tcW w:w="547" w:type="pct"/>
            <w:vAlign w:val="center"/>
          </w:tcPr>
          <w:p w:rsidR="00EE4502" w:rsidRDefault="00FD45A3">
            <w:pPr>
              <w:widowControl/>
              <w:jc w:val="center"/>
              <w:textAlignment w:val="center"/>
              <w:rPr>
                <w:szCs w:val="21"/>
              </w:rPr>
            </w:pPr>
            <w:r>
              <w:rPr>
                <w:rFonts w:hint="eastAsia"/>
                <w:szCs w:val="21"/>
              </w:rPr>
              <w:t>0</w:t>
            </w:r>
          </w:p>
        </w:tc>
        <w:tc>
          <w:tcPr>
            <w:tcW w:w="1424" w:type="pct"/>
            <w:vAlign w:val="center"/>
          </w:tcPr>
          <w:p w:rsidR="00EE4502" w:rsidRDefault="00FD45A3">
            <w:pPr>
              <w:widowControl/>
              <w:textAlignment w:val="center"/>
              <w:rPr>
                <w:kern w:val="0"/>
                <w:szCs w:val="21"/>
                <w:lang w:bidi="ar"/>
              </w:rPr>
            </w:pPr>
            <w:r>
              <w:rPr>
                <w:rFonts w:hint="eastAsia"/>
                <w:kern w:val="0"/>
                <w:szCs w:val="21"/>
                <w:lang w:bidi="ar"/>
              </w:rPr>
              <w:t>排</w:t>
            </w:r>
            <w:r>
              <w:rPr>
                <w:rFonts w:hint="eastAsia"/>
                <w:kern w:val="0"/>
                <w:szCs w:val="21"/>
                <w:lang w:bidi="ar"/>
              </w:rPr>
              <w:t>7</w:t>
            </w:r>
            <w:r>
              <w:rPr>
                <w:rFonts w:hint="eastAsia"/>
                <w:kern w:val="0"/>
                <w:szCs w:val="21"/>
                <w:lang w:bidi="ar"/>
              </w:rPr>
              <w:t>注水</w:t>
            </w:r>
            <w:r>
              <w:rPr>
                <w:rFonts w:hint="eastAsia"/>
                <w:kern w:val="0"/>
                <w:szCs w:val="21"/>
                <w:lang w:bidi="ar"/>
              </w:rPr>
              <w:t>站内改扩建</w:t>
            </w:r>
          </w:p>
        </w:tc>
      </w:tr>
      <w:tr w:rsidR="00EE4502">
        <w:trPr>
          <w:trHeight w:val="340"/>
        </w:trPr>
        <w:tc>
          <w:tcPr>
            <w:tcW w:w="246" w:type="pct"/>
            <w:vMerge w:val="restart"/>
            <w:vAlign w:val="center"/>
          </w:tcPr>
          <w:p w:rsidR="00EE4502" w:rsidRDefault="00FD45A3">
            <w:pPr>
              <w:widowControl/>
              <w:jc w:val="center"/>
              <w:textAlignment w:val="center"/>
              <w:rPr>
                <w:kern w:val="0"/>
                <w:szCs w:val="21"/>
                <w:lang w:bidi="ar"/>
              </w:rPr>
            </w:pPr>
            <w:r>
              <w:rPr>
                <w:rFonts w:hint="eastAsia"/>
                <w:kern w:val="0"/>
                <w:szCs w:val="21"/>
                <w:lang w:bidi="ar"/>
              </w:rPr>
              <w:t>3</w:t>
            </w:r>
          </w:p>
        </w:tc>
        <w:tc>
          <w:tcPr>
            <w:tcW w:w="336" w:type="pct"/>
            <w:vMerge w:val="restart"/>
            <w:vAlign w:val="center"/>
          </w:tcPr>
          <w:p w:rsidR="00EE4502" w:rsidRDefault="00FD45A3">
            <w:pPr>
              <w:widowControl/>
              <w:jc w:val="center"/>
              <w:textAlignment w:val="center"/>
              <w:rPr>
                <w:kern w:val="0"/>
                <w:szCs w:val="21"/>
                <w:lang w:bidi="ar"/>
              </w:rPr>
            </w:pPr>
            <w:r>
              <w:rPr>
                <w:rFonts w:hint="eastAsia"/>
                <w:kern w:val="0"/>
                <w:szCs w:val="21"/>
                <w:lang w:bidi="ar"/>
              </w:rPr>
              <w:t>管线工程</w:t>
            </w:r>
          </w:p>
        </w:tc>
        <w:tc>
          <w:tcPr>
            <w:tcW w:w="336" w:type="pct"/>
            <w:vAlign w:val="center"/>
          </w:tcPr>
          <w:p w:rsidR="00EE4502" w:rsidRDefault="00FD45A3">
            <w:pPr>
              <w:widowControl/>
              <w:jc w:val="center"/>
              <w:textAlignment w:val="center"/>
              <w:rPr>
                <w:kern w:val="0"/>
                <w:szCs w:val="21"/>
                <w:lang w:bidi="ar"/>
              </w:rPr>
            </w:pPr>
            <w:r>
              <w:rPr>
                <w:rFonts w:hint="eastAsia"/>
                <w:kern w:val="0"/>
                <w:szCs w:val="21"/>
                <w:lang w:bidi="ar"/>
              </w:rPr>
              <w:t>集油管线</w:t>
            </w:r>
          </w:p>
        </w:tc>
        <w:tc>
          <w:tcPr>
            <w:tcW w:w="510" w:type="pct"/>
            <w:vAlign w:val="center"/>
          </w:tcPr>
          <w:p w:rsidR="00EE4502" w:rsidRDefault="00FD45A3">
            <w:pPr>
              <w:widowControl/>
              <w:jc w:val="center"/>
              <w:textAlignment w:val="center"/>
              <w:rPr>
                <w:szCs w:val="21"/>
              </w:rPr>
            </w:pPr>
            <w:r>
              <w:rPr>
                <w:rFonts w:hint="eastAsia"/>
                <w:szCs w:val="21"/>
              </w:rPr>
              <w:t>0</w:t>
            </w:r>
          </w:p>
        </w:tc>
        <w:tc>
          <w:tcPr>
            <w:tcW w:w="583" w:type="pct"/>
            <w:vAlign w:val="center"/>
          </w:tcPr>
          <w:p w:rsidR="00EE4502" w:rsidRDefault="00FD45A3">
            <w:pPr>
              <w:widowControl/>
              <w:jc w:val="center"/>
              <w:textAlignment w:val="center"/>
              <w:rPr>
                <w:szCs w:val="21"/>
              </w:rPr>
            </w:pPr>
            <w:r>
              <w:rPr>
                <w:rFonts w:hint="eastAsia"/>
                <w:szCs w:val="21"/>
              </w:rPr>
              <w:t>/</w:t>
            </w:r>
          </w:p>
        </w:tc>
        <w:tc>
          <w:tcPr>
            <w:tcW w:w="526" w:type="pct"/>
            <w:vAlign w:val="center"/>
          </w:tcPr>
          <w:p w:rsidR="00EE4502" w:rsidRDefault="00FD45A3">
            <w:pPr>
              <w:widowControl/>
              <w:jc w:val="center"/>
              <w:textAlignment w:val="center"/>
              <w:rPr>
                <w:szCs w:val="21"/>
              </w:rPr>
            </w:pPr>
            <w:r>
              <w:rPr>
                <w:rFonts w:hint="eastAsia"/>
                <w:szCs w:val="21"/>
              </w:rPr>
              <w:t>111200</w:t>
            </w:r>
          </w:p>
        </w:tc>
        <w:tc>
          <w:tcPr>
            <w:tcW w:w="488" w:type="pct"/>
            <w:vAlign w:val="center"/>
          </w:tcPr>
          <w:p w:rsidR="00EE4502" w:rsidRDefault="00FD45A3">
            <w:pPr>
              <w:widowControl/>
              <w:jc w:val="center"/>
              <w:textAlignment w:val="center"/>
              <w:rPr>
                <w:szCs w:val="21"/>
              </w:rPr>
            </w:pPr>
            <w:r>
              <w:rPr>
                <w:rFonts w:hint="eastAsia"/>
                <w:szCs w:val="21"/>
              </w:rPr>
              <w:t>灌木林地、其他草地、盐碱地</w:t>
            </w:r>
          </w:p>
        </w:tc>
        <w:tc>
          <w:tcPr>
            <w:tcW w:w="547" w:type="pct"/>
            <w:vAlign w:val="center"/>
          </w:tcPr>
          <w:p w:rsidR="00EE4502" w:rsidRDefault="00FD45A3">
            <w:pPr>
              <w:widowControl/>
              <w:jc w:val="center"/>
              <w:textAlignment w:val="center"/>
              <w:rPr>
                <w:szCs w:val="21"/>
              </w:rPr>
            </w:pPr>
            <w:r>
              <w:rPr>
                <w:rFonts w:hint="eastAsia"/>
                <w:szCs w:val="21"/>
              </w:rPr>
              <w:t>111200</w:t>
            </w:r>
          </w:p>
        </w:tc>
        <w:tc>
          <w:tcPr>
            <w:tcW w:w="1424" w:type="pct"/>
            <w:vAlign w:val="center"/>
          </w:tcPr>
          <w:p w:rsidR="00EE4502" w:rsidRDefault="00FD45A3">
            <w:pPr>
              <w:widowControl/>
              <w:textAlignment w:val="center"/>
              <w:rPr>
                <w:kern w:val="0"/>
                <w:szCs w:val="21"/>
                <w:lang w:bidi="ar"/>
              </w:rPr>
            </w:pPr>
            <w:r>
              <w:rPr>
                <w:rFonts w:hint="eastAsia"/>
                <w:kern w:val="0"/>
                <w:szCs w:val="21"/>
                <w:lang w:bidi="ar"/>
              </w:rPr>
              <w:t>新建集油管线</w:t>
            </w:r>
            <w:r>
              <w:rPr>
                <w:rFonts w:hint="eastAsia"/>
                <w:kern w:val="0"/>
                <w:szCs w:val="21"/>
                <w:lang w:bidi="ar"/>
              </w:rPr>
              <w:t>13.9km</w:t>
            </w:r>
            <w:r>
              <w:rPr>
                <w:rFonts w:hint="eastAsia"/>
                <w:kern w:val="0"/>
                <w:szCs w:val="21"/>
                <w:lang w:bidi="ar"/>
              </w:rPr>
              <w:t>，埋地敷设，临时占地宽度</w:t>
            </w:r>
            <w:r>
              <w:rPr>
                <w:rFonts w:hint="eastAsia"/>
                <w:kern w:val="0"/>
                <w:szCs w:val="21"/>
                <w:lang w:bidi="ar"/>
              </w:rPr>
              <w:t>8m</w:t>
            </w:r>
          </w:p>
        </w:tc>
      </w:tr>
      <w:tr w:rsidR="00EE4502">
        <w:trPr>
          <w:trHeight w:val="340"/>
        </w:trPr>
        <w:tc>
          <w:tcPr>
            <w:tcW w:w="246" w:type="pct"/>
            <w:vMerge/>
            <w:vAlign w:val="center"/>
          </w:tcPr>
          <w:p w:rsidR="00EE4502" w:rsidRDefault="00EE4502">
            <w:pPr>
              <w:widowControl/>
              <w:jc w:val="center"/>
              <w:textAlignment w:val="center"/>
              <w:rPr>
                <w:kern w:val="0"/>
                <w:szCs w:val="21"/>
                <w:lang w:bidi="ar"/>
              </w:rPr>
            </w:pPr>
          </w:p>
        </w:tc>
        <w:tc>
          <w:tcPr>
            <w:tcW w:w="336" w:type="pct"/>
            <w:vMerge/>
            <w:vAlign w:val="center"/>
          </w:tcPr>
          <w:p w:rsidR="00EE4502" w:rsidRDefault="00EE4502">
            <w:pPr>
              <w:widowControl/>
              <w:jc w:val="center"/>
              <w:textAlignment w:val="center"/>
              <w:rPr>
                <w:kern w:val="0"/>
                <w:szCs w:val="21"/>
                <w:lang w:bidi="ar"/>
              </w:rPr>
            </w:pPr>
          </w:p>
        </w:tc>
        <w:tc>
          <w:tcPr>
            <w:tcW w:w="336" w:type="pct"/>
            <w:vAlign w:val="center"/>
          </w:tcPr>
          <w:p w:rsidR="00EE4502" w:rsidRDefault="00FD45A3">
            <w:pPr>
              <w:widowControl/>
              <w:jc w:val="center"/>
              <w:textAlignment w:val="center"/>
              <w:rPr>
                <w:kern w:val="0"/>
                <w:szCs w:val="21"/>
                <w:lang w:bidi="ar"/>
              </w:rPr>
            </w:pPr>
            <w:r>
              <w:rPr>
                <w:rFonts w:hint="eastAsia"/>
                <w:kern w:val="0"/>
                <w:szCs w:val="21"/>
                <w:lang w:bidi="ar"/>
              </w:rPr>
              <w:t>掺水管线</w:t>
            </w:r>
          </w:p>
        </w:tc>
        <w:tc>
          <w:tcPr>
            <w:tcW w:w="510" w:type="pct"/>
            <w:vAlign w:val="center"/>
          </w:tcPr>
          <w:p w:rsidR="00EE4502" w:rsidRDefault="00FD45A3">
            <w:pPr>
              <w:widowControl/>
              <w:jc w:val="center"/>
              <w:textAlignment w:val="center"/>
              <w:rPr>
                <w:szCs w:val="21"/>
              </w:rPr>
            </w:pPr>
            <w:r>
              <w:rPr>
                <w:rFonts w:hint="eastAsia"/>
                <w:szCs w:val="21"/>
              </w:rPr>
              <w:t>0</w:t>
            </w:r>
          </w:p>
        </w:tc>
        <w:tc>
          <w:tcPr>
            <w:tcW w:w="583" w:type="pct"/>
            <w:vAlign w:val="center"/>
          </w:tcPr>
          <w:p w:rsidR="00EE4502" w:rsidRDefault="00FD45A3">
            <w:pPr>
              <w:widowControl/>
              <w:jc w:val="center"/>
              <w:textAlignment w:val="center"/>
              <w:rPr>
                <w:szCs w:val="21"/>
              </w:rPr>
            </w:pPr>
            <w:r>
              <w:rPr>
                <w:rFonts w:hint="eastAsia"/>
                <w:szCs w:val="21"/>
              </w:rPr>
              <w:t>/</w:t>
            </w:r>
          </w:p>
        </w:tc>
        <w:tc>
          <w:tcPr>
            <w:tcW w:w="526" w:type="pct"/>
            <w:vAlign w:val="center"/>
          </w:tcPr>
          <w:p w:rsidR="00EE4502" w:rsidRDefault="00FD45A3">
            <w:pPr>
              <w:widowControl/>
              <w:jc w:val="center"/>
              <w:textAlignment w:val="center"/>
              <w:rPr>
                <w:szCs w:val="21"/>
              </w:rPr>
            </w:pPr>
            <w:r>
              <w:rPr>
                <w:rFonts w:hint="eastAsia"/>
                <w:szCs w:val="21"/>
              </w:rPr>
              <w:t>0</w:t>
            </w:r>
          </w:p>
        </w:tc>
        <w:tc>
          <w:tcPr>
            <w:tcW w:w="488" w:type="pct"/>
            <w:vAlign w:val="center"/>
          </w:tcPr>
          <w:p w:rsidR="00EE4502" w:rsidRDefault="00FD45A3">
            <w:pPr>
              <w:widowControl/>
              <w:jc w:val="center"/>
              <w:textAlignment w:val="center"/>
              <w:rPr>
                <w:szCs w:val="21"/>
              </w:rPr>
            </w:pPr>
            <w:r>
              <w:rPr>
                <w:rFonts w:hint="eastAsia"/>
                <w:szCs w:val="21"/>
              </w:rPr>
              <w:t>/</w:t>
            </w:r>
          </w:p>
        </w:tc>
        <w:tc>
          <w:tcPr>
            <w:tcW w:w="547" w:type="pct"/>
            <w:vAlign w:val="center"/>
          </w:tcPr>
          <w:p w:rsidR="00EE4502" w:rsidRDefault="00FD45A3">
            <w:pPr>
              <w:widowControl/>
              <w:jc w:val="center"/>
              <w:textAlignment w:val="center"/>
              <w:rPr>
                <w:szCs w:val="21"/>
              </w:rPr>
            </w:pPr>
            <w:r>
              <w:rPr>
                <w:rFonts w:hint="eastAsia"/>
                <w:szCs w:val="21"/>
              </w:rPr>
              <w:t>0</w:t>
            </w:r>
          </w:p>
        </w:tc>
        <w:tc>
          <w:tcPr>
            <w:tcW w:w="1424" w:type="pct"/>
            <w:vAlign w:val="center"/>
          </w:tcPr>
          <w:p w:rsidR="00EE4502" w:rsidRDefault="00FD45A3">
            <w:pPr>
              <w:widowControl/>
              <w:textAlignment w:val="center"/>
              <w:rPr>
                <w:kern w:val="0"/>
                <w:szCs w:val="21"/>
                <w:lang w:bidi="ar"/>
              </w:rPr>
            </w:pPr>
            <w:r>
              <w:rPr>
                <w:rFonts w:hint="eastAsia"/>
                <w:kern w:val="0"/>
                <w:szCs w:val="21"/>
                <w:lang w:bidi="ar"/>
              </w:rPr>
              <w:t>新建掺水管线</w:t>
            </w:r>
            <w:r>
              <w:rPr>
                <w:rFonts w:hint="eastAsia"/>
                <w:kern w:val="0"/>
                <w:szCs w:val="21"/>
                <w:lang w:bidi="ar"/>
              </w:rPr>
              <w:t>10.3</w:t>
            </w:r>
            <w:r>
              <w:rPr>
                <w:rFonts w:hint="eastAsia"/>
                <w:kern w:val="0"/>
                <w:szCs w:val="21"/>
                <w:lang w:bidi="ar"/>
              </w:rPr>
              <w:t>km</w:t>
            </w:r>
            <w:r>
              <w:rPr>
                <w:rFonts w:hint="eastAsia"/>
                <w:kern w:val="0"/>
                <w:szCs w:val="21"/>
                <w:lang w:bidi="ar"/>
              </w:rPr>
              <w:t>，埋地</w:t>
            </w:r>
            <w:r>
              <w:rPr>
                <w:rFonts w:hint="eastAsia"/>
                <w:kern w:val="0"/>
                <w:szCs w:val="21"/>
                <w:lang w:bidi="ar"/>
              </w:rPr>
              <w:t>同沟</w:t>
            </w:r>
            <w:r>
              <w:rPr>
                <w:rFonts w:hint="eastAsia"/>
                <w:kern w:val="0"/>
                <w:szCs w:val="21"/>
                <w:lang w:bidi="ar"/>
              </w:rPr>
              <w:t>敷设</w:t>
            </w:r>
          </w:p>
        </w:tc>
      </w:tr>
      <w:tr w:rsidR="00EE4502">
        <w:trPr>
          <w:trHeight w:val="340"/>
        </w:trPr>
        <w:tc>
          <w:tcPr>
            <w:tcW w:w="246" w:type="pct"/>
            <w:vMerge/>
            <w:vAlign w:val="center"/>
          </w:tcPr>
          <w:p w:rsidR="00EE4502" w:rsidRDefault="00EE4502">
            <w:pPr>
              <w:widowControl/>
              <w:jc w:val="center"/>
              <w:textAlignment w:val="center"/>
              <w:rPr>
                <w:kern w:val="0"/>
                <w:szCs w:val="21"/>
                <w:lang w:bidi="ar"/>
              </w:rPr>
            </w:pPr>
          </w:p>
        </w:tc>
        <w:tc>
          <w:tcPr>
            <w:tcW w:w="336" w:type="pct"/>
            <w:vMerge/>
            <w:vAlign w:val="center"/>
          </w:tcPr>
          <w:p w:rsidR="00EE4502" w:rsidRDefault="00EE4502">
            <w:pPr>
              <w:widowControl/>
              <w:jc w:val="center"/>
              <w:textAlignment w:val="center"/>
              <w:rPr>
                <w:kern w:val="0"/>
                <w:szCs w:val="21"/>
                <w:lang w:bidi="ar"/>
              </w:rPr>
            </w:pPr>
          </w:p>
        </w:tc>
        <w:tc>
          <w:tcPr>
            <w:tcW w:w="336" w:type="pct"/>
            <w:vAlign w:val="center"/>
          </w:tcPr>
          <w:p w:rsidR="00EE4502" w:rsidRDefault="00FD45A3">
            <w:pPr>
              <w:widowControl/>
              <w:jc w:val="center"/>
              <w:textAlignment w:val="center"/>
              <w:rPr>
                <w:kern w:val="0"/>
                <w:szCs w:val="21"/>
                <w:lang w:bidi="ar"/>
              </w:rPr>
            </w:pPr>
            <w:r>
              <w:rPr>
                <w:rFonts w:hint="eastAsia"/>
                <w:kern w:val="0"/>
                <w:szCs w:val="21"/>
                <w:lang w:bidi="ar"/>
              </w:rPr>
              <w:t>注汽管线</w:t>
            </w:r>
          </w:p>
        </w:tc>
        <w:tc>
          <w:tcPr>
            <w:tcW w:w="510" w:type="pct"/>
            <w:vAlign w:val="center"/>
          </w:tcPr>
          <w:p w:rsidR="00EE4502" w:rsidRDefault="00FD45A3">
            <w:pPr>
              <w:widowControl/>
              <w:jc w:val="center"/>
              <w:textAlignment w:val="center"/>
              <w:rPr>
                <w:szCs w:val="21"/>
              </w:rPr>
            </w:pPr>
            <w:r>
              <w:rPr>
                <w:rFonts w:hint="eastAsia"/>
                <w:szCs w:val="21"/>
              </w:rPr>
              <w:t>10</w:t>
            </w:r>
          </w:p>
        </w:tc>
        <w:tc>
          <w:tcPr>
            <w:tcW w:w="583" w:type="pct"/>
            <w:vAlign w:val="center"/>
          </w:tcPr>
          <w:p w:rsidR="00EE4502" w:rsidRDefault="00FD45A3">
            <w:pPr>
              <w:widowControl/>
              <w:jc w:val="center"/>
              <w:textAlignment w:val="center"/>
              <w:rPr>
                <w:szCs w:val="21"/>
              </w:rPr>
            </w:pPr>
            <w:r>
              <w:rPr>
                <w:rFonts w:hint="eastAsia"/>
                <w:szCs w:val="21"/>
              </w:rPr>
              <w:t>灌木林地</w:t>
            </w:r>
          </w:p>
        </w:tc>
        <w:tc>
          <w:tcPr>
            <w:tcW w:w="526" w:type="pct"/>
            <w:vAlign w:val="center"/>
          </w:tcPr>
          <w:p w:rsidR="00EE4502" w:rsidRDefault="00FD45A3">
            <w:pPr>
              <w:widowControl/>
              <w:jc w:val="center"/>
              <w:textAlignment w:val="center"/>
              <w:rPr>
                <w:szCs w:val="21"/>
              </w:rPr>
            </w:pPr>
            <w:r>
              <w:rPr>
                <w:rFonts w:hint="eastAsia"/>
                <w:szCs w:val="21"/>
              </w:rPr>
              <w:t>0</w:t>
            </w:r>
          </w:p>
        </w:tc>
        <w:tc>
          <w:tcPr>
            <w:tcW w:w="488" w:type="pct"/>
            <w:vAlign w:val="center"/>
          </w:tcPr>
          <w:p w:rsidR="00EE4502" w:rsidRDefault="00FD45A3">
            <w:pPr>
              <w:widowControl/>
              <w:jc w:val="center"/>
              <w:textAlignment w:val="center"/>
              <w:rPr>
                <w:szCs w:val="21"/>
              </w:rPr>
            </w:pPr>
            <w:r>
              <w:rPr>
                <w:rFonts w:hint="eastAsia"/>
                <w:szCs w:val="21"/>
              </w:rPr>
              <w:t>/</w:t>
            </w:r>
          </w:p>
        </w:tc>
        <w:tc>
          <w:tcPr>
            <w:tcW w:w="547" w:type="pct"/>
            <w:vAlign w:val="center"/>
          </w:tcPr>
          <w:p w:rsidR="00EE4502" w:rsidRDefault="00FD45A3">
            <w:pPr>
              <w:widowControl/>
              <w:jc w:val="center"/>
              <w:textAlignment w:val="center"/>
              <w:rPr>
                <w:szCs w:val="21"/>
              </w:rPr>
            </w:pPr>
            <w:r>
              <w:rPr>
                <w:rFonts w:hint="eastAsia"/>
                <w:szCs w:val="21"/>
              </w:rPr>
              <w:t>10</w:t>
            </w:r>
          </w:p>
        </w:tc>
        <w:tc>
          <w:tcPr>
            <w:tcW w:w="1424" w:type="pct"/>
            <w:vAlign w:val="center"/>
          </w:tcPr>
          <w:p w:rsidR="00EE4502" w:rsidRDefault="00FD45A3">
            <w:pPr>
              <w:widowControl/>
              <w:textAlignment w:val="center"/>
              <w:rPr>
                <w:kern w:val="0"/>
                <w:szCs w:val="21"/>
                <w:lang w:bidi="ar"/>
              </w:rPr>
            </w:pPr>
            <w:r>
              <w:rPr>
                <w:rFonts w:hint="eastAsia"/>
                <w:kern w:val="0"/>
                <w:szCs w:val="21"/>
                <w:lang w:bidi="ar"/>
              </w:rPr>
              <w:t>新建注汽管线</w:t>
            </w:r>
            <w:r>
              <w:rPr>
                <w:rFonts w:hint="eastAsia"/>
                <w:kern w:val="0"/>
                <w:szCs w:val="21"/>
                <w:lang w:bidi="ar"/>
              </w:rPr>
              <w:t>0.3</w:t>
            </w:r>
            <w:r>
              <w:rPr>
                <w:rFonts w:hint="eastAsia"/>
                <w:kern w:val="0"/>
                <w:szCs w:val="21"/>
                <w:lang w:bidi="ar"/>
              </w:rPr>
              <w:t>km</w:t>
            </w:r>
            <w:r>
              <w:rPr>
                <w:rFonts w:hint="eastAsia"/>
                <w:kern w:val="0"/>
                <w:szCs w:val="21"/>
                <w:lang w:bidi="ar"/>
              </w:rPr>
              <w:t>，采用低支墩架空的敷设方式</w:t>
            </w:r>
          </w:p>
        </w:tc>
      </w:tr>
      <w:tr w:rsidR="00EE4502">
        <w:trPr>
          <w:trHeight w:val="340"/>
        </w:trPr>
        <w:tc>
          <w:tcPr>
            <w:tcW w:w="246" w:type="pct"/>
            <w:vMerge/>
            <w:vAlign w:val="center"/>
          </w:tcPr>
          <w:p w:rsidR="00EE4502" w:rsidRDefault="00EE4502">
            <w:pPr>
              <w:widowControl/>
              <w:jc w:val="center"/>
              <w:textAlignment w:val="center"/>
              <w:rPr>
                <w:kern w:val="0"/>
                <w:szCs w:val="21"/>
                <w:lang w:bidi="ar"/>
              </w:rPr>
            </w:pPr>
          </w:p>
        </w:tc>
        <w:tc>
          <w:tcPr>
            <w:tcW w:w="336" w:type="pct"/>
            <w:vMerge/>
            <w:vAlign w:val="center"/>
          </w:tcPr>
          <w:p w:rsidR="00EE4502" w:rsidRDefault="00EE4502">
            <w:pPr>
              <w:widowControl/>
              <w:jc w:val="center"/>
              <w:textAlignment w:val="center"/>
              <w:rPr>
                <w:kern w:val="0"/>
                <w:szCs w:val="21"/>
                <w:lang w:bidi="ar"/>
              </w:rPr>
            </w:pPr>
          </w:p>
        </w:tc>
        <w:tc>
          <w:tcPr>
            <w:tcW w:w="336" w:type="pct"/>
            <w:vAlign w:val="center"/>
          </w:tcPr>
          <w:p w:rsidR="00EE4502" w:rsidRDefault="00FD45A3">
            <w:pPr>
              <w:widowControl/>
              <w:jc w:val="center"/>
              <w:textAlignment w:val="center"/>
              <w:rPr>
                <w:kern w:val="0"/>
                <w:szCs w:val="21"/>
                <w:lang w:bidi="ar"/>
              </w:rPr>
            </w:pPr>
            <w:r>
              <w:rPr>
                <w:rFonts w:hint="eastAsia"/>
                <w:kern w:val="0"/>
                <w:szCs w:val="21"/>
                <w:lang w:bidi="ar"/>
              </w:rPr>
              <w:t>注水管线</w:t>
            </w:r>
          </w:p>
        </w:tc>
        <w:tc>
          <w:tcPr>
            <w:tcW w:w="510" w:type="pct"/>
            <w:vAlign w:val="center"/>
          </w:tcPr>
          <w:p w:rsidR="00EE4502" w:rsidRDefault="00FD45A3">
            <w:pPr>
              <w:widowControl/>
              <w:jc w:val="center"/>
              <w:textAlignment w:val="center"/>
              <w:rPr>
                <w:szCs w:val="21"/>
              </w:rPr>
            </w:pPr>
            <w:r>
              <w:rPr>
                <w:rFonts w:hint="eastAsia"/>
                <w:szCs w:val="21"/>
              </w:rPr>
              <w:t>0</w:t>
            </w:r>
          </w:p>
        </w:tc>
        <w:tc>
          <w:tcPr>
            <w:tcW w:w="583" w:type="pct"/>
            <w:vAlign w:val="center"/>
          </w:tcPr>
          <w:p w:rsidR="00EE4502" w:rsidRDefault="00FD45A3">
            <w:pPr>
              <w:widowControl/>
              <w:jc w:val="center"/>
              <w:textAlignment w:val="center"/>
              <w:rPr>
                <w:szCs w:val="21"/>
              </w:rPr>
            </w:pPr>
            <w:r>
              <w:rPr>
                <w:rFonts w:hint="eastAsia"/>
                <w:szCs w:val="21"/>
              </w:rPr>
              <w:t>/</w:t>
            </w:r>
          </w:p>
        </w:tc>
        <w:tc>
          <w:tcPr>
            <w:tcW w:w="526" w:type="pct"/>
            <w:vAlign w:val="center"/>
          </w:tcPr>
          <w:p w:rsidR="00EE4502" w:rsidRDefault="00FD45A3">
            <w:pPr>
              <w:widowControl/>
              <w:jc w:val="center"/>
              <w:textAlignment w:val="center"/>
              <w:rPr>
                <w:szCs w:val="21"/>
              </w:rPr>
            </w:pPr>
            <w:r>
              <w:rPr>
                <w:rFonts w:hint="eastAsia"/>
                <w:szCs w:val="21"/>
              </w:rPr>
              <w:t>16400</w:t>
            </w:r>
          </w:p>
        </w:tc>
        <w:tc>
          <w:tcPr>
            <w:tcW w:w="488" w:type="pct"/>
            <w:vAlign w:val="center"/>
          </w:tcPr>
          <w:p w:rsidR="00EE4502" w:rsidRDefault="00FD45A3">
            <w:pPr>
              <w:widowControl/>
              <w:jc w:val="center"/>
              <w:textAlignment w:val="center"/>
              <w:rPr>
                <w:szCs w:val="21"/>
              </w:rPr>
            </w:pPr>
            <w:r>
              <w:rPr>
                <w:rFonts w:hint="eastAsia"/>
                <w:szCs w:val="21"/>
              </w:rPr>
              <w:t>盐碱地、水浇地</w:t>
            </w:r>
          </w:p>
        </w:tc>
        <w:tc>
          <w:tcPr>
            <w:tcW w:w="547" w:type="pct"/>
            <w:vAlign w:val="center"/>
          </w:tcPr>
          <w:p w:rsidR="00EE4502" w:rsidRDefault="00FD45A3">
            <w:pPr>
              <w:widowControl/>
              <w:jc w:val="center"/>
              <w:textAlignment w:val="center"/>
              <w:rPr>
                <w:szCs w:val="21"/>
              </w:rPr>
            </w:pPr>
            <w:r>
              <w:rPr>
                <w:rFonts w:hint="eastAsia"/>
                <w:szCs w:val="21"/>
              </w:rPr>
              <w:t>16400</w:t>
            </w:r>
          </w:p>
        </w:tc>
        <w:tc>
          <w:tcPr>
            <w:tcW w:w="1424" w:type="pct"/>
            <w:vAlign w:val="center"/>
          </w:tcPr>
          <w:p w:rsidR="00EE4502" w:rsidRDefault="00FD45A3">
            <w:pPr>
              <w:widowControl/>
              <w:textAlignment w:val="center"/>
              <w:rPr>
                <w:kern w:val="0"/>
                <w:szCs w:val="21"/>
                <w:lang w:bidi="ar"/>
              </w:rPr>
            </w:pPr>
            <w:r>
              <w:rPr>
                <w:rFonts w:hint="eastAsia"/>
                <w:kern w:val="0"/>
                <w:szCs w:val="21"/>
                <w:lang w:bidi="ar"/>
              </w:rPr>
              <w:t>新建注水管线</w:t>
            </w:r>
            <w:r>
              <w:rPr>
                <w:rFonts w:hint="eastAsia"/>
                <w:kern w:val="0"/>
                <w:szCs w:val="21"/>
                <w:lang w:bidi="ar"/>
              </w:rPr>
              <w:t>2.05</w:t>
            </w:r>
            <w:r>
              <w:rPr>
                <w:rFonts w:hint="eastAsia"/>
                <w:kern w:val="0"/>
                <w:szCs w:val="21"/>
                <w:lang w:bidi="ar"/>
              </w:rPr>
              <w:t>km</w:t>
            </w:r>
            <w:r>
              <w:rPr>
                <w:rFonts w:hint="eastAsia"/>
                <w:kern w:val="0"/>
                <w:szCs w:val="21"/>
                <w:lang w:bidi="ar"/>
              </w:rPr>
              <w:t>，埋地敷设，临时占地宽度</w:t>
            </w:r>
            <w:r>
              <w:rPr>
                <w:rFonts w:hint="eastAsia"/>
                <w:kern w:val="0"/>
                <w:szCs w:val="21"/>
                <w:lang w:bidi="ar"/>
              </w:rPr>
              <w:t>8m</w:t>
            </w:r>
          </w:p>
        </w:tc>
      </w:tr>
      <w:tr w:rsidR="00EE4502">
        <w:trPr>
          <w:trHeight w:val="340"/>
        </w:trPr>
        <w:tc>
          <w:tcPr>
            <w:tcW w:w="246" w:type="pct"/>
            <w:vMerge/>
            <w:vAlign w:val="center"/>
          </w:tcPr>
          <w:p w:rsidR="00EE4502" w:rsidRDefault="00EE4502">
            <w:pPr>
              <w:widowControl/>
              <w:jc w:val="center"/>
              <w:textAlignment w:val="center"/>
              <w:rPr>
                <w:kern w:val="0"/>
                <w:szCs w:val="21"/>
                <w:lang w:bidi="ar"/>
              </w:rPr>
            </w:pPr>
          </w:p>
        </w:tc>
        <w:tc>
          <w:tcPr>
            <w:tcW w:w="336" w:type="pct"/>
            <w:vMerge/>
            <w:vAlign w:val="center"/>
          </w:tcPr>
          <w:p w:rsidR="00EE4502" w:rsidRDefault="00EE4502">
            <w:pPr>
              <w:widowControl/>
              <w:jc w:val="center"/>
              <w:textAlignment w:val="center"/>
              <w:rPr>
                <w:kern w:val="0"/>
                <w:szCs w:val="21"/>
                <w:lang w:bidi="ar"/>
              </w:rPr>
            </w:pPr>
          </w:p>
        </w:tc>
        <w:tc>
          <w:tcPr>
            <w:tcW w:w="336" w:type="pct"/>
            <w:vAlign w:val="center"/>
          </w:tcPr>
          <w:p w:rsidR="00EE4502" w:rsidRDefault="00FD45A3">
            <w:pPr>
              <w:widowControl/>
              <w:jc w:val="center"/>
              <w:textAlignment w:val="center"/>
              <w:rPr>
                <w:kern w:val="0"/>
                <w:szCs w:val="21"/>
                <w:lang w:bidi="ar"/>
              </w:rPr>
            </w:pPr>
            <w:r>
              <w:rPr>
                <w:rFonts w:hint="eastAsia"/>
                <w:kern w:val="0"/>
                <w:szCs w:val="21"/>
                <w:lang w:bidi="ar"/>
              </w:rPr>
              <w:t>伴生气掺烧管线</w:t>
            </w:r>
          </w:p>
        </w:tc>
        <w:tc>
          <w:tcPr>
            <w:tcW w:w="510" w:type="pct"/>
            <w:vAlign w:val="center"/>
          </w:tcPr>
          <w:p w:rsidR="00EE4502" w:rsidRDefault="00FD45A3">
            <w:pPr>
              <w:widowControl/>
              <w:jc w:val="center"/>
              <w:textAlignment w:val="center"/>
              <w:rPr>
                <w:szCs w:val="21"/>
              </w:rPr>
            </w:pPr>
            <w:r>
              <w:rPr>
                <w:rFonts w:hint="eastAsia"/>
                <w:szCs w:val="21"/>
              </w:rPr>
              <w:t>2400</w:t>
            </w:r>
          </w:p>
        </w:tc>
        <w:tc>
          <w:tcPr>
            <w:tcW w:w="583" w:type="pct"/>
            <w:vAlign w:val="center"/>
          </w:tcPr>
          <w:p w:rsidR="00EE4502" w:rsidRDefault="00FD45A3">
            <w:pPr>
              <w:widowControl/>
              <w:jc w:val="center"/>
              <w:textAlignment w:val="center"/>
              <w:rPr>
                <w:szCs w:val="21"/>
              </w:rPr>
            </w:pPr>
            <w:r>
              <w:rPr>
                <w:rFonts w:hint="eastAsia"/>
                <w:szCs w:val="21"/>
              </w:rPr>
              <w:t>灌木林地</w:t>
            </w:r>
          </w:p>
        </w:tc>
        <w:tc>
          <w:tcPr>
            <w:tcW w:w="526" w:type="pct"/>
            <w:vAlign w:val="center"/>
          </w:tcPr>
          <w:p w:rsidR="00EE4502" w:rsidRDefault="00FD45A3">
            <w:pPr>
              <w:widowControl/>
              <w:jc w:val="center"/>
              <w:textAlignment w:val="center"/>
              <w:rPr>
                <w:szCs w:val="21"/>
              </w:rPr>
            </w:pPr>
            <w:r>
              <w:rPr>
                <w:rFonts w:hint="eastAsia"/>
                <w:szCs w:val="21"/>
              </w:rPr>
              <w:t>7200</w:t>
            </w:r>
          </w:p>
        </w:tc>
        <w:tc>
          <w:tcPr>
            <w:tcW w:w="488" w:type="pct"/>
            <w:vAlign w:val="center"/>
          </w:tcPr>
          <w:p w:rsidR="00EE4502" w:rsidRDefault="00FD45A3">
            <w:pPr>
              <w:widowControl/>
              <w:jc w:val="center"/>
              <w:textAlignment w:val="center"/>
              <w:rPr>
                <w:szCs w:val="21"/>
              </w:rPr>
            </w:pPr>
            <w:r>
              <w:rPr>
                <w:rFonts w:hint="eastAsia"/>
                <w:szCs w:val="21"/>
              </w:rPr>
              <w:t>灌木林地</w:t>
            </w:r>
          </w:p>
        </w:tc>
        <w:tc>
          <w:tcPr>
            <w:tcW w:w="547" w:type="pct"/>
            <w:vAlign w:val="center"/>
          </w:tcPr>
          <w:p w:rsidR="00EE4502" w:rsidRDefault="00FD45A3">
            <w:pPr>
              <w:widowControl/>
              <w:jc w:val="center"/>
              <w:textAlignment w:val="center"/>
              <w:rPr>
                <w:szCs w:val="21"/>
              </w:rPr>
            </w:pPr>
            <w:r>
              <w:rPr>
                <w:rFonts w:hint="eastAsia"/>
                <w:szCs w:val="21"/>
              </w:rPr>
              <w:t>9600</w:t>
            </w:r>
          </w:p>
        </w:tc>
        <w:tc>
          <w:tcPr>
            <w:tcW w:w="1424" w:type="pct"/>
            <w:vAlign w:val="center"/>
          </w:tcPr>
          <w:p w:rsidR="00EE4502" w:rsidRDefault="00FD45A3">
            <w:pPr>
              <w:widowControl/>
              <w:textAlignment w:val="center"/>
              <w:rPr>
                <w:kern w:val="0"/>
                <w:szCs w:val="21"/>
                <w:lang w:bidi="ar"/>
              </w:rPr>
            </w:pPr>
            <w:r>
              <w:rPr>
                <w:rFonts w:hint="eastAsia"/>
                <w:kern w:val="0"/>
                <w:szCs w:val="21"/>
                <w:lang w:bidi="ar"/>
              </w:rPr>
              <w:t>新建伴生气掺烧管线</w:t>
            </w:r>
            <w:r>
              <w:rPr>
                <w:rFonts w:hint="eastAsia"/>
                <w:kern w:val="0"/>
                <w:szCs w:val="21"/>
                <w:lang w:bidi="ar"/>
              </w:rPr>
              <w:t>1.2km</w:t>
            </w:r>
            <w:r>
              <w:rPr>
                <w:rFonts w:hint="eastAsia"/>
                <w:kern w:val="0"/>
                <w:szCs w:val="21"/>
                <w:lang w:bidi="ar"/>
              </w:rPr>
              <w:t>，临时占地宽度</w:t>
            </w:r>
            <w:r>
              <w:rPr>
                <w:rFonts w:hint="eastAsia"/>
                <w:kern w:val="0"/>
                <w:szCs w:val="21"/>
                <w:lang w:bidi="ar"/>
              </w:rPr>
              <w:t>8m</w:t>
            </w:r>
            <w:r>
              <w:rPr>
                <w:rFonts w:hint="eastAsia"/>
                <w:kern w:val="0"/>
                <w:szCs w:val="21"/>
                <w:lang w:bidi="ar"/>
              </w:rPr>
              <w:t>，永久占地宽度</w:t>
            </w:r>
            <w:r>
              <w:rPr>
                <w:rFonts w:hint="eastAsia"/>
                <w:kern w:val="0"/>
                <w:szCs w:val="21"/>
                <w:lang w:bidi="ar"/>
              </w:rPr>
              <w:t>2.0m</w:t>
            </w:r>
            <w:r>
              <w:rPr>
                <w:rFonts w:hint="eastAsia"/>
                <w:kern w:val="0"/>
                <w:szCs w:val="21"/>
                <w:lang w:bidi="ar"/>
              </w:rPr>
              <w:t>计</w:t>
            </w:r>
          </w:p>
        </w:tc>
      </w:tr>
      <w:tr w:rsidR="00EE4502">
        <w:trPr>
          <w:trHeight w:val="340"/>
        </w:trPr>
        <w:tc>
          <w:tcPr>
            <w:tcW w:w="246" w:type="pct"/>
            <w:vAlign w:val="center"/>
          </w:tcPr>
          <w:p w:rsidR="00EE4502" w:rsidRDefault="00FD45A3">
            <w:pPr>
              <w:widowControl/>
              <w:jc w:val="center"/>
              <w:textAlignment w:val="center"/>
              <w:rPr>
                <w:kern w:val="0"/>
                <w:szCs w:val="21"/>
                <w:lang w:bidi="ar"/>
              </w:rPr>
            </w:pPr>
            <w:r>
              <w:rPr>
                <w:rFonts w:hint="eastAsia"/>
                <w:kern w:val="0"/>
                <w:szCs w:val="21"/>
                <w:lang w:bidi="ar"/>
              </w:rPr>
              <w:t>4</w:t>
            </w:r>
          </w:p>
        </w:tc>
        <w:tc>
          <w:tcPr>
            <w:tcW w:w="672" w:type="pct"/>
            <w:gridSpan w:val="2"/>
            <w:vAlign w:val="center"/>
          </w:tcPr>
          <w:p w:rsidR="00EE4502" w:rsidRDefault="00FD45A3">
            <w:pPr>
              <w:widowControl/>
              <w:jc w:val="center"/>
              <w:textAlignment w:val="center"/>
              <w:rPr>
                <w:kern w:val="0"/>
                <w:szCs w:val="21"/>
                <w:lang w:bidi="ar"/>
              </w:rPr>
            </w:pPr>
            <w:r>
              <w:rPr>
                <w:rFonts w:hint="eastAsia"/>
                <w:kern w:val="0"/>
                <w:szCs w:val="21"/>
                <w:lang w:bidi="ar"/>
              </w:rPr>
              <w:t>道路工程</w:t>
            </w:r>
          </w:p>
        </w:tc>
        <w:tc>
          <w:tcPr>
            <w:tcW w:w="510" w:type="pct"/>
            <w:vAlign w:val="center"/>
          </w:tcPr>
          <w:p w:rsidR="00EE4502" w:rsidRDefault="00FD45A3">
            <w:pPr>
              <w:widowControl/>
              <w:jc w:val="center"/>
              <w:textAlignment w:val="center"/>
              <w:rPr>
                <w:szCs w:val="21"/>
              </w:rPr>
            </w:pPr>
            <w:r>
              <w:rPr>
                <w:rFonts w:hint="eastAsia"/>
                <w:szCs w:val="21"/>
              </w:rPr>
              <w:t>15750</w:t>
            </w:r>
          </w:p>
        </w:tc>
        <w:tc>
          <w:tcPr>
            <w:tcW w:w="583" w:type="pct"/>
            <w:vAlign w:val="center"/>
          </w:tcPr>
          <w:p w:rsidR="00EE4502" w:rsidRDefault="00FD45A3">
            <w:pPr>
              <w:widowControl/>
              <w:jc w:val="center"/>
              <w:textAlignment w:val="center"/>
              <w:rPr>
                <w:szCs w:val="21"/>
              </w:rPr>
            </w:pPr>
            <w:r>
              <w:rPr>
                <w:rFonts w:hint="eastAsia"/>
                <w:szCs w:val="21"/>
              </w:rPr>
              <w:t>其他草地、盐碱地</w:t>
            </w:r>
          </w:p>
        </w:tc>
        <w:tc>
          <w:tcPr>
            <w:tcW w:w="526" w:type="pct"/>
            <w:vAlign w:val="center"/>
          </w:tcPr>
          <w:p w:rsidR="00EE4502" w:rsidRDefault="00FD45A3">
            <w:pPr>
              <w:widowControl/>
              <w:jc w:val="center"/>
              <w:textAlignment w:val="center"/>
              <w:rPr>
                <w:szCs w:val="21"/>
              </w:rPr>
            </w:pPr>
            <w:r>
              <w:rPr>
                <w:rFonts w:hint="eastAsia"/>
                <w:szCs w:val="21"/>
              </w:rPr>
              <w:t>5250</w:t>
            </w:r>
          </w:p>
        </w:tc>
        <w:tc>
          <w:tcPr>
            <w:tcW w:w="488" w:type="pct"/>
            <w:vAlign w:val="center"/>
          </w:tcPr>
          <w:p w:rsidR="00EE4502" w:rsidRDefault="00FD45A3">
            <w:pPr>
              <w:widowControl/>
              <w:jc w:val="center"/>
              <w:textAlignment w:val="center"/>
              <w:rPr>
                <w:szCs w:val="21"/>
              </w:rPr>
            </w:pPr>
            <w:r>
              <w:rPr>
                <w:rFonts w:hint="eastAsia"/>
                <w:szCs w:val="21"/>
              </w:rPr>
              <w:t>其他草地、盐碱地</w:t>
            </w:r>
          </w:p>
        </w:tc>
        <w:tc>
          <w:tcPr>
            <w:tcW w:w="547" w:type="pct"/>
            <w:vAlign w:val="center"/>
          </w:tcPr>
          <w:p w:rsidR="00EE4502" w:rsidRDefault="00FD45A3">
            <w:pPr>
              <w:widowControl/>
              <w:jc w:val="center"/>
              <w:textAlignment w:val="center"/>
              <w:rPr>
                <w:szCs w:val="21"/>
              </w:rPr>
            </w:pPr>
            <w:r>
              <w:rPr>
                <w:rFonts w:hint="eastAsia"/>
                <w:szCs w:val="21"/>
              </w:rPr>
              <w:t>21000</w:t>
            </w:r>
          </w:p>
        </w:tc>
        <w:tc>
          <w:tcPr>
            <w:tcW w:w="1424" w:type="pct"/>
            <w:vAlign w:val="center"/>
          </w:tcPr>
          <w:p w:rsidR="00EE4502" w:rsidRDefault="00FD45A3">
            <w:pPr>
              <w:widowControl/>
              <w:textAlignment w:val="center"/>
              <w:rPr>
                <w:kern w:val="0"/>
                <w:szCs w:val="21"/>
                <w:lang w:bidi="ar"/>
              </w:rPr>
            </w:pPr>
            <w:r>
              <w:rPr>
                <w:rFonts w:hint="eastAsia"/>
                <w:kern w:val="0"/>
                <w:szCs w:val="21"/>
                <w:lang w:bidi="ar"/>
              </w:rPr>
              <w:t>新建通井道路</w:t>
            </w:r>
            <w:r>
              <w:rPr>
                <w:rFonts w:hint="eastAsia"/>
                <w:kern w:val="0"/>
                <w:szCs w:val="21"/>
                <w:lang w:bidi="ar"/>
              </w:rPr>
              <w:t>3.5km</w:t>
            </w:r>
            <w:r>
              <w:rPr>
                <w:rFonts w:hint="eastAsia"/>
                <w:kern w:val="0"/>
                <w:szCs w:val="21"/>
                <w:lang w:bidi="ar"/>
              </w:rPr>
              <w:t>，采用单车道砂石路面，路面宽</w:t>
            </w:r>
            <w:r>
              <w:rPr>
                <w:rFonts w:hint="eastAsia"/>
                <w:kern w:val="0"/>
                <w:szCs w:val="21"/>
                <w:lang w:bidi="ar"/>
              </w:rPr>
              <w:t>4.5m</w:t>
            </w:r>
            <w:r>
              <w:rPr>
                <w:rFonts w:hint="eastAsia"/>
                <w:kern w:val="0"/>
                <w:szCs w:val="21"/>
                <w:lang w:bidi="ar"/>
              </w:rPr>
              <w:t>，路基宽</w:t>
            </w:r>
            <w:r>
              <w:rPr>
                <w:rFonts w:hint="eastAsia"/>
                <w:kern w:val="0"/>
                <w:szCs w:val="21"/>
                <w:lang w:bidi="ar"/>
              </w:rPr>
              <w:t>6m</w:t>
            </w:r>
          </w:p>
        </w:tc>
      </w:tr>
      <w:tr w:rsidR="00EE4502">
        <w:trPr>
          <w:trHeight w:val="340"/>
        </w:trPr>
        <w:tc>
          <w:tcPr>
            <w:tcW w:w="919" w:type="pct"/>
            <w:gridSpan w:val="3"/>
            <w:vAlign w:val="center"/>
          </w:tcPr>
          <w:p w:rsidR="00EE4502" w:rsidRDefault="00FD45A3">
            <w:pPr>
              <w:widowControl/>
              <w:jc w:val="center"/>
              <w:textAlignment w:val="center"/>
              <w:rPr>
                <w:szCs w:val="21"/>
              </w:rPr>
            </w:pPr>
            <w:r>
              <w:rPr>
                <w:kern w:val="0"/>
                <w:szCs w:val="21"/>
                <w:lang w:bidi="ar"/>
              </w:rPr>
              <w:t>合计</w:t>
            </w:r>
          </w:p>
        </w:tc>
        <w:tc>
          <w:tcPr>
            <w:tcW w:w="510" w:type="pct"/>
            <w:vAlign w:val="center"/>
          </w:tcPr>
          <w:p w:rsidR="00EE4502" w:rsidRDefault="00FD45A3">
            <w:pPr>
              <w:widowControl/>
              <w:jc w:val="center"/>
              <w:textAlignment w:val="center"/>
              <w:rPr>
                <w:szCs w:val="21"/>
              </w:rPr>
            </w:pPr>
            <w:r>
              <w:rPr>
                <w:rFonts w:hint="eastAsia"/>
                <w:szCs w:val="21"/>
              </w:rPr>
              <w:t>34060</w:t>
            </w:r>
          </w:p>
        </w:tc>
        <w:tc>
          <w:tcPr>
            <w:tcW w:w="583" w:type="pct"/>
            <w:vAlign w:val="center"/>
          </w:tcPr>
          <w:p w:rsidR="00EE4502" w:rsidRDefault="00FD45A3">
            <w:pPr>
              <w:widowControl/>
              <w:jc w:val="center"/>
              <w:textAlignment w:val="center"/>
              <w:rPr>
                <w:szCs w:val="21"/>
              </w:rPr>
            </w:pPr>
            <w:r>
              <w:rPr>
                <w:kern w:val="0"/>
                <w:szCs w:val="21"/>
                <w:lang w:bidi="ar"/>
              </w:rPr>
              <w:t>/</w:t>
            </w:r>
          </w:p>
        </w:tc>
        <w:tc>
          <w:tcPr>
            <w:tcW w:w="526" w:type="pct"/>
            <w:vAlign w:val="center"/>
          </w:tcPr>
          <w:p w:rsidR="00EE4502" w:rsidRDefault="00FD45A3">
            <w:pPr>
              <w:widowControl/>
              <w:jc w:val="center"/>
              <w:textAlignment w:val="center"/>
              <w:rPr>
                <w:szCs w:val="21"/>
              </w:rPr>
            </w:pPr>
            <w:r>
              <w:rPr>
                <w:szCs w:val="21"/>
              </w:rPr>
              <w:t>180400</w:t>
            </w:r>
          </w:p>
        </w:tc>
        <w:tc>
          <w:tcPr>
            <w:tcW w:w="488" w:type="pct"/>
            <w:vAlign w:val="center"/>
          </w:tcPr>
          <w:p w:rsidR="00EE4502" w:rsidRDefault="00FD45A3">
            <w:pPr>
              <w:widowControl/>
              <w:jc w:val="center"/>
              <w:textAlignment w:val="center"/>
              <w:rPr>
                <w:szCs w:val="21"/>
              </w:rPr>
            </w:pPr>
            <w:r>
              <w:rPr>
                <w:rFonts w:hint="eastAsia"/>
                <w:szCs w:val="21"/>
              </w:rPr>
              <w:t>/</w:t>
            </w:r>
          </w:p>
        </w:tc>
        <w:tc>
          <w:tcPr>
            <w:tcW w:w="547" w:type="pct"/>
            <w:vAlign w:val="center"/>
          </w:tcPr>
          <w:p w:rsidR="00EE4502" w:rsidRDefault="00FD45A3">
            <w:pPr>
              <w:widowControl/>
              <w:jc w:val="center"/>
              <w:textAlignment w:val="center"/>
              <w:rPr>
                <w:szCs w:val="21"/>
              </w:rPr>
            </w:pPr>
            <w:r>
              <w:rPr>
                <w:szCs w:val="21"/>
              </w:rPr>
              <w:t>214460</w:t>
            </w:r>
          </w:p>
        </w:tc>
        <w:tc>
          <w:tcPr>
            <w:tcW w:w="1424" w:type="pct"/>
            <w:vAlign w:val="center"/>
          </w:tcPr>
          <w:p w:rsidR="00EE4502" w:rsidRDefault="00FD45A3">
            <w:pPr>
              <w:widowControl/>
              <w:jc w:val="center"/>
              <w:textAlignment w:val="center"/>
              <w:rPr>
                <w:szCs w:val="21"/>
              </w:rPr>
            </w:pPr>
            <w:r>
              <w:rPr>
                <w:kern w:val="0"/>
                <w:szCs w:val="21"/>
                <w:lang w:bidi="ar"/>
              </w:rPr>
              <w:t>/</w:t>
            </w:r>
          </w:p>
        </w:tc>
      </w:tr>
    </w:tbl>
    <w:p w:rsidR="00EE4502" w:rsidRDefault="00EE4502">
      <w:pPr>
        <w:jc w:val="center"/>
        <w:rPr>
          <w:rFonts w:eastAsia="黑体"/>
          <w:bCs/>
          <w:sz w:val="15"/>
          <w:szCs w:val="15"/>
          <w:lang w:val="zh-CN"/>
        </w:rPr>
      </w:pPr>
    </w:p>
    <w:p w:rsidR="00EE4502" w:rsidRDefault="00FD45A3">
      <w:pPr>
        <w:pStyle w:val="41"/>
        <w:numPr>
          <w:ilvl w:val="3"/>
          <w:numId w:val="30"/>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bCs w:val="0"/>
          <w:sz w:val="24"/>
          <w:szCs w:val="24"/>
        </w:rPr>
        <w:t>大气污染物源强核算</w:t>
      </w:r>
    </w:p>
    <w:p w:rsidR="00EE4502" w:rsidRDefault="00FD45A3">
      <w:pPr>
        <w:spacing w:line="360" w:lineRule="auto"/>
        <w:ind w:firstLineChars="200" w:firstLine="480"/>
        <w:rPr>
          <w:sz w:val="24"/>
        </w:rPr>
      </w:pPr>
      <w:r>
        <w:rPr>
          <w:rFonts w:hint="eastAsia"/>
          <w:sz w:val="24"/>
        </w:rPr>
        <w:t>本</w:t>
      </w:r>
      <w:r>
        <w:rPr>
          <w:rFonts w:hint="eastAsia"/>
          <w:sz w:val="24"/>
        </w:rPr>
        <w:t>工程</w:t>
      </w:r>
      <w:r>
        <w:rPr>
          <w:rFonts w:hint="eastAsia"/>
          <w:sz w:val="24"/>
        </w:rPr>
        <w:t>在施工期对环境空气的影响主要来自以下几个方面：一是在管线敷设、道路建设和地面工程建设过程中产生的扬尘，如细小的建筑材料的飞扬，或土壤被扰动后导致的尘土飞扬；二是开发期施工机械及运输车辆尾气和焊接烟气，本项目钻井期间钻机由柴油发电机提供电源。燃油废气中主要污染物为颗粒物、</w:t>
      </w:r>
      <w:r>
        <w:rPr>
          <w:rFonts w:hint="eastAsia"/>
          <w:sz w:val="24"/>
        </w:rPr>
        <w:t>NOx</w:t>
      </w:r>
      <w:r>
        <w:rPr>
          <w:rFonts w:hint="eastAsia"/>
          <w:sz w:val="24"/>
        </w:rPr>
        <w:t>、</w:t>
      </w:r>
      <w:r>
        <w:rPr>
          <w:rFonts w:hint="eastAsia"/>
          <w:sz w:val="24"/>
        </w:rPr>
        <w:t>SO</w:t>
      </w:r>
      <w:r>
        <w:rPr>
          <w:rFonts w:hint="eastAsia"/>
          <w:sz w:val="24"/>
          <w:vertAlign w:val="subscript"/>
        </w:rPr>
        <w:t>2</w:t>
      </w:r>
      <w:r>
        <w:rPr>
          <w:rFonts w:hint="eastAsia"/>
          <w:sz w:val="24"/>
        </w:rPr>
        <w:t>、烃类等。施工机械及运输车辆的使用情况具有不确定性，其污染物的排放具有排放时间短等特点。金属材质管线连接过程中会产生一定量的焊接烟气，污染物主要为颗粒物</w:t>
      </w:r>
      <w:r>
        <w:rPr>
          <w:rFonts w:hint="eastAsia"/>
          <w:sz w:val="24"/>
        </w:rPr>
        <w:t>。</w:t>
      </w:r>
      <w:r>
        <w:rPr>
          <w:rFonts w:hint="eastAsia"/>
          <w:sz w:val="24"/>
        </w:rPr>
        <w:t>钻井过程中电网功率无法满足钻井需求，工程使用柴油发电机为钻机进行供电。</w:t>
      </w:r>
      <w:r>
        <w:rPr>
          <w:rFonts w:hint="eastAsia"/>
          <w:sz w:val="24"/>
        </w:rPr>
        <w:t>柴油</w:t>
      </w:r>
      <w:r>
        <w:rPr>
          <w:rFonts w:hint="eastAsia"/>
          <w:sz w:val="24"/>
        </w:rPr>
        <w:t>发电机</w:t>
      </w:r>
      <w:r>
        <w:rPr>
          <w:sz w:val="24"/>
        </w:rPr>
        <w:t>主要的污染物为烃类、</w:t>
      </w:r>
      <w:r>
        <w:rPr>
          <w:sz w:val="24"/>
        </w:rPr>
        <w:t>CO</w:t>
      </w:r>
      <w:r>
        <w:rPr>
          <w:sz w:val="24"/>
        </w:rPr>
        <w:t>、</w:t>
      </w:r>
      <w:r>
        <w:rPr>
          <w:sz w:val="24"/>
        </w:rPr>
        <w:t>NO</w:t>
      </w:r>
      <w:r>
        <w:rPr>
          <w:sz w:val="24"/>
          <w:vertAlign w:val="subscript"/>
        </w:rPr>
        <w:t>2</w:t>
      </w:r>
      <w:r>
        <w:rPr>
          <w:sz w:val="24"/>
        </w:rPr>
        <w:t>、</w:t>
      </w:r>
      <w:r>
        <w:rPr>
          <w:sz w:val="24"/>
        </w:rPr>
        <w:t>SO</w:t>
      </w:r>
      <w:r>
        <w:rPr>
          <w:sz w:val="24"/>
          <w:vertAlign w:val="subscript"/>
        </w:rPr>
        <w:t>2</w:t>
      </w:r>
      <w:r>
        <w:rPr>
          <w:sz w:val="24"/>
        </w:rPr>
        <w:t>等。钻井期间排放的大气污染物将随钻井工程的结束而消失。</w:t>
      </w:r>
    </w:p>
    <w:p w:rsidR="00EE4502" w:rsidRDefault="00FD45A3">
      <w:pPr>
        <w:pStyle w:val="41"/>
        <w:numPr>
          <w:ilvl w:val="3"/>
          <w:numId w:val="30"/>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bCs w:val="0"/>
          <w:sz w:val="24"/>
          <w:szCs w:val="24"/>
        </w:rPr>
        <w:t>水污染物源强核算</w:t>
      </w:r>
    </w:p>
    <w:p w:rsidR="00EE4502" w:rsidRDefault="00FD45A3">
      <w:pPr>
        <w:spacing w:line="360" w:lineRule="auto"/>
        <w:ind w:firstLineChars="200" w:firstLine="480"/>
        <w:rPr>
          <w:sz w:val="24"/>
        </w:rPr>
      </w:pPr>
      <w:r>
        <w:rPr>
          <w:rFonts w:hint="eastAsia"/>
          <w:sz w:val="24"/>
        </w:rPr>
        <w:t>本工程</w:t>
      </w:r>
      <w:r>
        <w:rPr>
          <w:sz w:val="24"/>
        </w:rPr>
        <w:t>施工期废水主要包括钻井废水、管道试压废水和钻井期生活污水。</w:t>
      </w:r>
    </w:p>
    <w:p w:rsidR="00EE4502" w:rsidRDefault="00FD45A3">
      <w:pPr>
        <w:spacing w:line="360" w:lineRule="auto"/>
        <w:ind w:firstLineChars="200" w:firstLine="480"/>
        <w:rPr>
          <w:sz w:val="24"/>
        </w:rPr>
      </w:pPr>
      <w:r>
        <w:rPr>
          <w:sz w:val="24"/>
        </w:rPr>
        <w:t>（</w:t>
      </w:r>
      <w:r>
        <w:rPr>
          <w:sz w:val="24"/>
        </w:rPr>
        <w:t>1</w:t>
      </w:r>
      <w:r>
        <w:rPr>
          <w:sz w:val="24"/>
        </w:rPr>
        <w:t>）钻井废水</w:t>
      </w:r>
    </w:p>
    <w:p w:rsidR="00EE4502" w:rsidRDefault="00FD45A3">
      <w:pPr>
        <w:spacing w:line="360" w:lineRule="auto"/>
        <w:ind w:firstLineChars="201" w:firstLine="482"/>
        <w:rPr>
          <w:sz w:val="24"/>
        </w:rPr>
      </w:pPr>
      <w:r>
        <w:rPr>
          <w:rFonts w:hint="eastAsia"/>
          <w:sz w:val="24"/>
        </w:rPr>
        <w:t>钻井期间产生的废水主要为钻井废水，包括：</w:t>
      </w:r>
    </w:p>
    <w:p w:rsidR="00EE4502" w:rsidRDefault="00FD45A3">
      <w:pPr>
        <w:spacing w:line="360" w:lineRule="auto"/>
        <w:ind w:firstLineChars="201" w:firstLine="482"/>
        <w:rPr>
          <w:sz w:val="24"/>
        </w:rPr>
      </w:pPr>
      <w:r>
        <w:rPr>
          <w:rFonts w:hint="eastAsia"/>
          <w:sz w:val="24"/>
        </w:rPr>
        <w:t>A</w:t>
      </w:r>
      <w:r>
        <w:rPr>
          <w:rFonts w:hint="eastAsia"/>
          <w:sz w:val="24"/>
        </w:rPr>
        <w:t>.</w:t>
      </w:r>
      <w:r>
        <w:rPr>
          <w:rFonts w:hint="eastAsia"/>
          <w:sz w:val="24"/>
        </w:rPr>
        <w:t>机械冷却废水：包括柴油机冷却水、钻井泵拉杆冲洗水、水刹车排出水等；</w:t>
      </w:r>
    </w:p>
    <w:p w:rsidR="00EE4502" w:rsidRDefault="00FD45A3">
      <w:pPr>
        <w:spacing w:line="360" w:lineRule="auto"/>
        <w:ind w:firstLineChars="201" w:firstLine="482"/>
        <w:rPr>
          <w:sz w:val="24"/>
        </w:rPr>
      </w:pPr>
      <w:r>
        <w:rPr>
          <w:rFonts w:hint="eastAsia"/>
          <w:sz w:val="24"/>
        </w:rPr>
        <w:t>B</w:t>
      </w:r>
      <w:r>
        <w:rPr>
          <w:rFonts w:hint="eastAsia"/>
          <w:sz w:val="24"/>
        </w:rPr>
        <w:t>.</w:t>
      </w:r>
      <w:r>
        <w:rPr>
          <w:rFonts w:hint="eastAsia"/>
          <w:sz w:val="24"/>
        </w:rPr>
        <w:t>冲洗废水：包括冲振动筛用水、冲洗钻台和钻具用水、清洗设备用水、泥浆罐定期清洗废水；</w:t>
      </w:r>
    </w:p>
    <w:p w:rsidR="00EE4502" w:rsidRDefault="00FD45A3">
      <w:pPr>
        <w:spacing w:line="360" w:lineRule="auto"/>
        <w:ind w:firstLineChars="201" w:firstLine="482"/>
        <w:rPr>
          <w:sz w:val="24"/>
        </w:rPr>
      </w:pPr>
      <w:r>
        <w:rPr>
          <w:rFonts w:hint="eastAsia"/>
          <w:sz w:val="24"/>
        </w:rPr>
        <w:t>C</w:t>
      </w:r>
      <w:r>
        <w:rPr>
          <w:rFonts w:hint="eastAsia"/>
          <w:sz w:val="24"/>
        </w:rPr>
        <w:t>.</w:t>
      </w:r>
      <w:r>
        <w:rPr>
          <w:rFonts w:hint="eastAsia"/>
          <w:sz w:val="24"/>
        </w:rPr>
        <w:t>钻井液流失废水：主要是废钻井液中的澄清液、起下钻钻井液的流失、钻井液循环系统漏失产生的废水；</w:t>
      </w:r>
    </w:p>
    <w:p w:rsidR="00EE4502" w:rsidRDefault="00FD45A3">
      <w:pPr>
        <w:spacing w:line="360" w:lineRule="auto"/>
        <w:ind w:firstLineChars="201" w:firstLine="482"/>
        <w:rPr>
          <w:sz w:val="24"/>
        </w:rPr>
      </w:pPr>
      <w:r>
        <w:rPr>
          <w:rFonts w:hint="eastAsia"/>
          <w:sz w:val="24"/>
        </w:rPr>
        <w:t>D</w:t>
      </w:r>
      <w:r>
        <w:rPr>
          <w:rFonts w:hint="eastAsia"/>
          <w:sz w:val="24"/>
        </w:rPr>
        <w:t>.</w:t>
      </w:r>
      <w:r>
        <w:rPr>
          <w:rFonts w:hint="eastAsia"/>
          <w:sz w:val="24"/>
        </w:rPr>
        <w:t>其他废水：包括固井等作业产生的废水、井口返排水等。</w:t>
      </w:r>
    </w:p>
    <w:p w:rsidR="00EE4502" w:rsidRDefault="00FD45A3">
      <w:pPr>
        <w:spacing w:line="360" w:lineRule="auto"/>
        <w:ind w:firstLineChars="201" w:firstLine="482"/>
        <w:rPr>
          <w:sz w:val="24"/>
        </w:rPr>
      </w:pPr>
      <w:r>
        <w:rPr>
          <w:rFonts w:hint="eastAsia"/>
          <w:sz w:val="24"/>
        </w:rPr>
        <w:t>钻井废水是钻井液等物质被水高倍稀释的产物，其组成、性质及危害与钻井液类型、处理剂的组成有关，主要污染物有悬浮物、石油类、</w:t>
      </w:r>
      <w:r>
        <w:rPr>
          <w:rFonts w:hint="eastAsia"/>
          <w:sz w:val="24"/>
        </w:rPr>
        <w:t>COD</w:t>
      </w:r>
      <w:r>
        <w:rPr>
          <w:rFonts w:hint="eastAsia"/>
          <w:sz w:val="24"/>
        </w:rPr>
        <w:t>等。废水中的</w:t>
      </w:r>
      <w:r>
        <w:rPr>
          <w:rFonts w:hint="eastAsia"/>
          <w:sz w:val="24"/>
        </w:rPr>
        <w:t>pH</w:t>
      </w:r>
      <w:r>
        <w:rPr>
          <w:rFonts w:hint="eastAsia"/>
          <w:sz w:val="24"/>
        </w:rPr>
        <w:t>值高，多在</w:t>
      </w:r>
      <w:r>
        <w:rPr>
          <w:rFonts w:hint="eastAsia"/>
          <w:sz w:val="24"/>
        </w:rPr>
        <w:t>8.5~9.0</w:t>
      </w:r>
      <w:r>
        <w:rPr>
          <w:rFonts w:hint="eastAsia"/>
          <w:sz w:val="24"/>
        </w:rPr>
        <w:t>之间；悬浮物含量多在</w:t>
      </w:r>
      <w:r>
        <w:rPr>
          <w:rFonts w:hint="eastAsia"/>
          <w:sz w:val="24"/>
        </w:rPr>
        <w:t>2000~2500mg/L</w:t>
      </w:r>
      <w:r>
        <w:rPr>
          <w:rFonts w:hint="eastAsia"/>
          <w:sz w:val="24"/>
        </w:rPr>
        <w:t>之间，</w:t>
      </w:r>
      <w:r>
        <w:rPr>
          <w:rFonts w:hint="eastAsia"/>
          <w:sz w:val="24"/>
        </w:rPr>
        <w:t>COD</w:t>
      </w:r>
      <w:r>
        <w:rPr>
          <w:rFonts w:hint="eastAsia"/>
          <w:sz w:val="24"/>
        </w:rPr>
        <w:t>多</w:t>
      </w:r>
      <w:r>
        <w:rPr>
          <w:rFonts w:hint="eastAsia"/>
          <w:sz w:val="24"/>
        </w:rPr>
        <w:lastRenderedPageBreak/>
        <w:t>在</w:t>
      </w:r>
      <w:r>
        <w:rPr>
          <w:rFonts w:hint="eastAsia"/>
          <w:sz w:val="24"/>
        </w:rPr>
        <w:t>3000~4000mg/L</w:t>
      </w:r>
      <w:r>
        <w:rPr>
          <w:rFonts w:hint="eastAsia"/>
          <w:sz w:val="24"/>
        </w:rPr>
        <w:t>之间，石油类多在</w:t>
      </w:r>
      <w:r>
        <w:rPr>
          <w:rFonts w:hint="eastAsia"/>
          <w:sz w:val="24"/>
        </w:rPr>
        <w:t>60~70mg/L</w:t>
      </w:r>
      <w:r>
        <w:rPr>
          <w:rFonts w:hint="eastAsia"/>
          <w:sz w:val="24"/>
        </w:rPr>
        <w:t>之间</w:t>
      </w:r>
      <w:r>
        <w:rPr>
          <w:rFonts w:hint="eastAsia"/>
          <w:sz w:val="24"/>
        </w:rPr>
        <w:t>。</w:t>
      </w:r>
    </w:p>
    <w:p w:rsidR="00EE4502" w:rsidRDefault="00FD45A3">
      <w:pPr>
        <w:spacing w:line="360" w:lineRule="auto"/>
        <w:ind w:firstLineChars="201" w:firstLine="482"/>
        <w:rPr>
          <w:sz w:val="24"/>
        </w:rPr>
      </w:pPr>
      <w:r>
        <w:rPr>
          <w:rFonts w:hint="eastAsia"/>
          <w:sz w:val="24"/>
        </w:rPr>
        <w:t>本工程总进尺</w:t>
      </w:r>
      <w:r>
        <w:rPr>
          <w:rFonts w:hint="eastAsia"/>
          <w:sz w:val="24"/>
        </w:rPr>
        <w:t>27787.23m</w:t>
      </w:r>
      <w:r>
        <w:rPr>
          <w:sz w:val="24"/>
        </w:rPr>
        <w:t>。根据《排放源统计调查产排污核算方法和系数手册》</w:t>
      </w:r>
      <w:r>
        <w:rPr>
          <w:rFonts w:hint="eastAsia"/>
          <w:sz w:val="24"/>
        </w:rPr>
        <w:t>《工业源产排污核算方法和系数手册（</w:t>
      </w:r>
      <w:r>
        <w:rPr>
          <w:rFonts w:hint="eastAsia"/>
          <w:sz w:val="24"/>
        </w:rPr>
        <w:t>2021</w:t>
      </w:r>
      <w:r>
        <w:rPr>
          <w:rFonts w:hint="eastAsia"/>
          <w:sz w:val="24"/>
        </w:rPr>
        <w:t>年版）》</w:t>
      </w:r>
      <w:r>
        <w:rPr>
          <w:sz w:val="24"/>
        </w:rPr>
        <w:t>，普通</w:t>
      </w:r>
      <w:r>
        <w:rPr>
          <w:sz w:val="24"/>
        </w:rPr>
        <w:t>≤2.5km</w:t>
      </w:r>
      <w:r>
        <w:rPr>
          <w:sz w:val="24"/>
        </w:rPr>
        <w:t>进尺</w:t>
      </w:r>
      <w:r>
        <w:rPr>
          <w:rFonts w:hint="eastAsia"/>
          <w:sz w:val="24"/>
        </w:rPr>
        <w:t>井</w:t>
      </w:r>
      <w:r>
        <w:rPr>
          <w:sz w:val="24"/>
        </w:rPr>
        <w:t>废弃钻井液产污系数</w:t>
      </w:r>
      <w:r>
        <w:rPr>
          <w:rFonts w:hint="eastAsia"/>
          <w:sz w:val="24"/>
        </w:rPr>
        <w:t>18.81</w:t>
      </w:r>
      <w:r>
        <w:rPr>
          <w:sz w:val="24"/>
        </w:rPr>
        <w:t>t/100m</w:t>
      </w:r>
      <w:r>
        <w:rPr>
          <w:sz w:val="24"/>
        </w:rPr>
        <w:t>。</w:t>
      </w:r>
      <w:r>
        <w:rPr>
          <w:rFonts w:hint="eastAsia"/>
          <w:sz w:val="24"/>
        </w:rPr>
        <w:t>本工程钻井废水产生量为</w:t>
      </w:r>
      <w:r>
        <w:rPr>
          <w:rFonts w:hint="eastAsia"/>
          <w:sz w:val="24"/>
        </w:rPr>
        <w:t>522</w:t>
      </w:r>
      <w:r>
        <w:rPr>
          <w:rFonts w:hint="eastAsia"/>
          <w:sz w:val="24"/>
        </w:rPr>
        <w:t>7</w:t>
      </w:r>
      <w:r>
        <w:rPr>
          <w:rFonts w:hint="eastAsia"/>
          <w:sz w:val="24"/>
        </w:rPr>
        <w:t>t</w:t>
      </w:r>
      <w:r>
        <w:rPr>
          <w:rFonts w:hint="eastAsia"/>
          <w:sz w:val="24"/>
        </w:rPr>
        <w:t>。</w:t>
      </w:r>
      <w:r>
        <w:rPr>
          <w:sz w:val="24"/>
        </w:rPr>
        <w:t>钻井废水中的主要污染物为悬浮物、</w:t>
      </w:r>
      <w:r>
        <w:rPr>
          <w:sz w:val="24"/>
        </w:rPr>
        <w:t>COD</w:t>
      </w:r>
      <w:r>
        <w:rPr>
          <w:sz w:val="24"/>
        </w:rPr>
        <w:t>、石油类、挥发酚，根据类比调查，钻井废水中主要污染物的浓度见表</w:t>
      </w:r>
      <w:r>
        <w:rPr>
          <w:rFonts w:hint="eastAsia"/>
          <w:sz w:val="24"/>
        </w:rPr>
        <w:t>3-4</w:t>
      </w:r>
      <w:r>
        <w:rPr>
          <w:sz w:val="24"/>
        </w:rPr>
        <w:t>-</w:t>
      </w:r>
      <w:r>
        <w:rPr>
          <w:rFonts w:hint="eastAsia"/>
          <w:sz w:val="24"/>
        </w:rPr>
        <w:t>2</w:t>
      </w:r>
      <w:r>
        <w:rPr>
          <w:sz w:val="24"/>
        </w:rPr>
        <w:t>。</w:t>
      </w:r>
    </w:p>
    <w:p w:rsidR="00EE4502" w:rsidRDefault="00FD45A3">
      <w:pPr>
        <w:spacing w:line="360" w:lineRule="auto"/>
        <w:jc w:val="center"/>
        <w:rPr>
          <w:rFonts w:eastAsia="黑体"/>
          <w:bCs/>
          <w:lang w:val="zh-CN"/>
        </w:rPr>
      </w:pPr>
      <w:r>
        <w:rPr>
          <w:rFonts w:eastAsia="黑体"/>
          <w:bCs/>
          <w:lang w:val="zh-CN"/>
        </w:rPr>
        <w:t>表</w:t>
      </w:r>
      <w:r>
        <w:rPr>
          <w:rFonts w:eastAsia="黑体" w:hint="eastAsia"/>
          <w:bCs/>
          <w:lang w:val="zh-CN"/>
        </w:rPr>
        <w:t>3-4</w:t>
      </w:r>
      <w:r>
        <w:rPr>
          <w:rFonts w:eastAsia="黑体"/>
          <w:bCs/>
          <w:lang w:val="zh-CN"/>
        </w:rPr>
        <w:t>-</w:t>
      </w:r>
      <w:r>
        <w:rPr>
          <w:rFonts w:eastAsia="黑体" w:hint="eastAsia"/>
          <w:bCs/>
        </w:rPr>
        <w:t>2</w:t>
      </w:r>
      <w:r>
        <w:rPr>
          <w:rFonts w:eastAsia="黑体"/>
          <w:bCs/>
          <w:lang w:val="zh-CN"/>
        </w:rPr>
        <w:t xml:space="preserve">    </w:t>
      </w:r>
      <w:r>
        <w:rPr>
          <w:rFonts w:eastAsia="黑体"/>
          <w:bCs/>
          <w:lang w:val="zh-CN"/>
        </w:rPr>
        <w:t>钻井废水水质表</w:t>
      </w:r>
    </w:p>
    <w:tbl>
      <w:tblPr>
        <w:tblW w:w="4997" w:type="pct"/>
        <w:jc w:val="center"/>
        <w:tblBorders>
          <w:top w:val="single" w:sz="8" w:space="0" w:color="auto"/>
          <w:bottom w:val="single" w:sz="8" w:space="0" w:color="auto"/>
          <w:insideH w:val="single" w:sz="8" w:space="0" w:color="auto"/>
          <w:insideV w:val="single" w:sz="8" w:space="0" w:color="auto"/>
        </w:tblBorders>
        <w:tblLook w:val="04A0" w:firstRow="1" w:lastRow="0" w:firstColumn="1" w:lastColumn="0" w:noHBand="0" w:noVBand="1"/>
      </w:tblPr>
      <w:tblGrid>
        <w:gridCol w:w="1420"/>
        <w:gridCol w:w="1420"/>
        <w:gridCol w:w="1420"/>
        <w:gridCol w:w="1419"/>
        <w:gridCol w:w="1419"/>
        <w:gridCol w:w="1419"/>
      </w:tblGrid>
      <w:tr w:rsidR="00EE4502">
        <w:trPr>
          <w:trHeight w:val="340"/>
          <w:jc w:val="center"/>
        </w:trPr>
        <w:tc>
          <w:tcPr>
            <w:tcW w:w="833" w:type="pct"/>
            <w:vAlign w:val="center"/>
          </w:tcPr>
          <w:p w:rsidR="00EE4502" w:rsidRDefault="00FD45A3">
            <w:pPr>
              <w:jc w:val="center"/>
              <w:rPr>
                <w:sz w:val="18"/>
                <w:szCs w:val="18"/>
              </w:rPr>
            </w:pPr>
            <w:r>
              <w:rPr>
                <w:sz w:val="18"/>
                <w:szCs w:val="18"/>
              </w:rPr>
              <w:t>污染物</w:t>
            </w:r>
          </w:p>
        </w:tc>
        <w:tc>
          <w:tcPr>
            <w:tcW w:w="833" w:type="pct"/>
            <w:vAlign w:val="center"/>
          </w:tcPr>
          <w:p w:rsidR="00EE4502" w:rsidRDefault="00FD45A3">
            <w:pPr>
              <w:jc w:val="center"/>
              <w:rPr>
                <w:sz w:val="18"/>
                <w:szCs w:val="18"/>
              </w:rPr>
            </w:pPr>
            <w:r>
              <w:rPr>
                <w:sz w:val="18"/>
                <w:szCs w:val="18"/>
              </w:rPr>
              <w:t>SS</w:t>
            </w:r>
          </w:p>
        </w:tc>
        <w:tc>
          <w:tcPr>
            <w:tcW w:w="833" w:type="pct"/>
            <w:vAlign w:val="center"/>
          </w:tcPr>
          <w:p w:rsidR="00EE4502" w:rsidRDefault="00FD45A3">
            <w:pPr>
              <w:jc w:val="center"/>
              <w:rPr>
                <w:sz w:val="18"/>
                <w:szCs w:val="18"/>
              </w:rPr>
            </w:pPr>
            <w:r>
              <w:rPr>
                <w:sz w:val="18"/>
                <w:szCs w:val="18"/>
              </w:rPr>
              <w:t>COD</w:t>
            </w:r>
          </w:p>
        </w:tc>
        <w:tc>
          <w:tcPr>
            <w:tcW w:w="833" w:type="pct"/>
            <w:vAlign w:val="center"/>
          </w:tcPr>
          <w:p w:rsidR="00EE4502" w:rsidRDefault="00FD45A3">
            <w:pPr>
              <w:jc w:val="center"/>
              <w:rPr>
                <w:sz w:val="18"/>
                <w:szCs w:val="18"/>
              </w:rPr>
            </w:pPr>
            <w:r>
              <w:rPr>
                <w:sz w:val="18"/>
                <w:szCs w:val="18"/>
              </w:rPr>
              <w:t>石油类</w:t>
            </w:r>
          </w:p>
        </w:tc>
        <w:tc>
          <w:tcPr>
            <w:tcW w:w="833" w:type="pct"/>
            <w:vAlign w:val="center"/>
          </w:tcPr>
          <w:p w:rsidR="00EE4502" w:rsidRDefault="00FD45A3">
            <w:pPr>
              <w:jc w:val="center"/>
              <w:rPr>
                <w:sz w:val="18"/>
                <w:szCs w:val="18"/>
              </w:rPr>
            </w:pPr>
            <w:r>
              <w:rPr>
                <w:sz w:val="18"/>
                <w:szCs w:val="18"/>
              </w:rPr>
              <w:t>挥发酚</w:t>
            </w:r>
          </w:p>
        </w:tc>
        <w:tc>
          <w:tcPr>
            <w:tcW w:w="833" w:type="pct"/>
            <w:vAlign w:val="center"/>
          </w:tcPr>
          <w:p w:rsidR="00EE4502" w:rsidRDefault="00FD45A3">
            <w:pPr>
              <w:jc w:val="center"/>
              <w:rPr>
                <w:sz w:val="18"/>
                <w:szCs w:val="18"/>
              </w:rPr>
            </w:pPr>
            <w:r>
              <w:rPr>
                <w:sz w:val="18"/>
                <w:szCs w:val="18"/>
              </w:rPr>
              <w:t>硫化物</w:t>
            </w:r>
          </w:p>
        </w:tc>
      </w:tr>
      <w:tr w:rsidR="00EE4502">
        <w:trPr>
          <w:trHeight w:val="340"/>
          <w:jc w:val="center"/>
        </w:trPr>
        <w:tc>
          <w:tcPr>
            <w:tcW w:w="833" w:type="pct"/>
            <w:vAlign w:val="center"/>
          </w:tcPr>
          <w:p w:rsidR="00EE4502" w:rsidRDefault="00FD45A3">
            <w:pPr>
              <w:jc w:val="center"/>
              <w:rPr>
                <w:sz w:val="18"/>
                <w:szCs w:val="18"/>
              </w:rPr>
            </w:pPr>
            <w:r>
              <w:rPr>
                <w:sz w:val="18"/>
                <w:szCs w:val="18"/>
              </w:rPr>
              <w:t>浓度（</w:t>
            </w:r>
            <w:r>
              <w:rPr>
                <w:sz w:val="18"/>
                <w:szCs w:val="18"/>
              </w:rPr>
              <w:t>mg/L</w:t>
            </w:r>
            <w:r>
              <w:rPr>
                <w:sz w:val="18"/>
                <w:szCs w:val="18"/>
              </w:rPr>
              <w:t>）</w:t>
            </w:r>
          </w:p>
        </w:tc>
        <w:tc>
          <w:tcPr>
            <w:tcW w:w="833" w:type="pct"/>
            <w:vAlign w:val="center"/>
          </w:tcPr>
          <w:p w:rsidR="00EE4502" w:rsidRDefault="00FD45A3">
            <w:pPr>
              <w:jc w:val="center"/>
              <w:rPr>
                <w:sz w:val="18"/>
                <w:szCs w:val="18"/>
              </w:rPr>
            </w:pPr>
            <w:r>
              <w:rPr>
                <w:sz w:val="18"/>
                <w:szCs w:val="18"/>
              </w:rPr>
              <w:t>2000</w:t>
            </w:r>
            <w:r>
              <w:rPr>
                <w:rFonts w:hint="eastAsia"/>
                <w:sz w:val="18"/>
                <w:szCs w:val="18"/>
              </w:rPr>
              <w:t>~</w:t>
            </w:r>
            <w:r>
              <w:rPr>
                <w:sz w:val="18"/>
                <w:szCs w:val="18"/>
              </w:rPr>
              <w:t>2500</w:t>
            </w:r>
          </w:p>
        </w:tc>
        <w:tc>
          <w:tcPr>
            <w:tcW w:w="833" w:type="pct"/>
            <w:vAlign w:val="center"/>
          </w:tcPr>
          <w:p w:rsidR="00EE4502" w:rsidRDefault="00FD45A3">
            <w:pPr>
              <w:jc w:val="center"/>
              <w:rPr>
                <w:sz w:val="18"/>
                <w:szCs w:val="18"/>
              </w:rPr>
            </w:pPr>
            <w:r>
              <w:rPr>
                <w:sz w:val="18"/>
                <w:szCs w:val="18"/>
              </w:rPr>
              <w:t>3000</w:t>
            </w:r>
            <w:r>
              <w:rPr>
                <w:rFonts w:hint="eastAsia"/>
                <w:sz w:val="18"/>
                <w:szCs w:val="18"/>
              </w:rPr>
              <w:t>~</w:t>
            </w:r>
            <w:r>
              <w:rPr>
                <w:sz w:val="18"/>
                <w:szCs w:val="18"/>
              </w:rPr>
              <w:t>4000</w:t>
            </w:r>
          </w:p>
        </w:tc>
        <w:tc>
          <w:tcPr>
            <w:tcW w:w="833" w:type="pct"/>
            <w:vAlign w:val="center"/>
          </w:tcPr>
          <w:p w:rsidR="00EE4502" w:rsidRDefault="00FD45A3">
            <w:pPr>
              <w:jc w:val="center"/>
              <w:rPr>
                <w:sz w:val="18"/>
                <w:szCs w:val="18"/>
              </w:rPr>
            </w:pPr>
            <w:r>
              <w:rPr>
                <w:sz w:val="18"/>
                <w:szCs w:val="18"/>
              </w:rPr>
              <w:t>60</w:t>
            </w:r>
            <w:r>
              <w:rPr>
                <w:rFonts w:hint="eastAsia"/>
                <w:sz w:val="18"/>
                <w:szCs w:val="18"/>
              </w:rPr>
              <w:t>~</w:t>
            </w:r>
            <w:r>
              <w:rPr>
                <w:sz w:val="18"/>
                <w:szCs w:val="18"/>
              </w:rPr>
              <w:t>70</w:t>
            </w:r>
          </w:p>
        </w:tc>
        <w:tc>
          <w:tcPr>
            <w:tcW w:w="833" w:type="pct"/>
            <w:vAlign w:val="center"/>
          </w:tcPr>
          <w:p w:rsidR="00EE4502" w:rsidRDefault="00FD45A3">
            <w:pPr>
              <w:jc w:val="center"/>
              <w:rPr>
                <w:sz w:val="18"/>
                <w:szCs w:val="18"/>
              </w:rPr>
            </w:pPr>
            <w:r>
              <w:rPr>
                <w:sz w:val="18"/>
                <w:szCs w:val="18"/>
              </w:rPr>
              <w:t>0.1</w:t>
            </w:r>
            <w:r>
              <w:rPr>
                <w:rFonts w:hint="eastAsia"/>
                <w:sz w:val="18"/>
                <w:szCs w:val="18"/>
              </w:rPr>
              <w:t>~</w:t>
            </w:r>
            <w:r>
              <w:rPr>
                <w:sz w:val="18"/>
                <w:szCs w:val="18"/>
              </w:rPr>
              <w:t>0.2</w:t>
            </w:r>
          </w:p>
        </w:tc>
        <w:tc>
          <w:tcPr>
            <w:tcW w:w="833" w:type="pct"/>
            <w:vAlign w:val="center"/>
          </w:tcPr>
          <w:p w:rsidR="00EE4502" w:rsidRDefault="00FD45A3">
            <w:pPr>
              <w:jc w:val="center"/>
              <w:rPr>
                <w:sz w:val="18"/>
                <w:szCs w:val="18"/>
              </w:rPr>
            </w:pPr>
            <w:r>
              <w:rPr>
                <w:sz w:val="18"/>
                <w:szCs w:val="18"/>
              </w:rPr>
              <w:t>0.2</w:t>
            </w:r>
            <w:r>
              <w:rPr>
                <w:rFonts w:hint="eastAsia"/>
                <w:sz w:val="18"/>
                <w:szCs w:val="18"/>
              </w:rPr>
              <w:t>~</w:t>
            </w:r>
            <w:r>
              <w:rPr>
                <w:sz w:val="18"/>
                <w:szCs w:val="18"/>
              </w:rPr>
              <w:t>0.3</w:t>
            </w:r>
          </w:p>
        </w:tc>
      </w:tr>
    </w:tbl>
    <w:p w:rsidR="00EE4502" w:rsidRDefault="00EE4502">
      <w:pPr>
        <w:jc w:val="center"/>
        <w:rPr>
          <w:sz w:val="18"/>
          <w:szCs w:val="18"/>
        </w:rPr>
      </w:pPr>
    </w:p>
    <w:p w:rsidR="00EE4502" w:rsidRDefault="00FD45A3">
      <w:pPr>
        <w:spacing w:line="360" w:lineRule="auto"/>
        <w:ind w:firstLineChars="201" w:firstLine="482"/>
        <w:rPr>
          <w:sz w:val="24"/>
        </w:rPr>
      </w:pPr>
      <w:r>
        <w:rPr>
          <w:sz w:val="24"/>
        </w:rPr>
        <w:t>本</w:t>
      </w:r>
      <w:r>
        <w:rPr>
          <w:rFonts w:hint="eastAsia"/>
          <w:sz w:val="24"/>
        </w:rPr>
        <w:t>工程</w:t>
      </w:r>
      <w:r>
        <w:rPr>
          <w:sz w:val="24"/>
        </w:rPr>
        <w:t>施工过程中采用</w:t>
      </w:r>
      <w:r>
        <w:rPr>
          <w:rFonts w:hint="eastAsia"/>
          <w:sz w:val="24"/>
        </w:rPr>
        <w:t>“</w:t>
      </w:r>
      <w:r>
        <w:rPr>
          <w:sz w:val="24"/>
        </w:rPr>
        <w:t>钻井废弃物不落地达标处理技术</w:t>
      </w:r>
      <w:r>
        <w:rPr>
          <w:rFonts w:hint="eastAsia"/>
          <w:sz w:val="24"/>
        </w:rPr>
        <w:t>”</w:t>
      </w:r>
      <w:r>
        <w:rPr>
          <w:sz w:val="24"/>
        </w:rPr>
        <w:t>，</w:t>
      </w:r>
      <w:r>
        <w:rPr>
          <w:rFonts w:hint="eastAsia"/>
          <w:sz w:val="24"/>
        </w:rPr>
        <w:t>钻井过程中采用的钻井液为非磺化水基钻井液，在井口采用“振动筛、除砂器、除泥器、离心机”实现初步分离，初步分离出的液相循环使用。</w:t>
      </w:r>
    </w:p>
    <w:p w:rsidR="00EE4502" w:rsidRDefault="00FD45A3">
      <w:pPr>
        <w:spacing w:line="360" w:lineRule="auto"/>
        <w:ind w:firstLineChars="200" w:firstLine="480"/>
        <w:rPr>
          <w:sz w:val="24"/>
        </w:rPr>
      </w:pPr>
      <w:r>
        <w:rPr>
          <w:sz w:val="24"/>
        </w:rPr>
        <w:t>（</w:t>
      </w:r>
      <w:r>
        <w:rPr>
          <w:sz w:val="24"/>
        </w:rPr>
        <w:t>2</w:t>
      </w:r>
      <w:r>
        <w:rPr>
          <w:sz w:val="24"/>
        </w:rPr>
        <w:t>）管道试压废水</w:t>
      </w:r>
    </w:p>
    <w:p w:rsidR="00EE4502" w:rsidRDefault="00FD45A3">
      <w:pPr>
        <w:spacing w:line="360" w:lineRule="auto"/>
        <w:ind w:firstLineChars="200" w:firstLine="480"/>
        <w:rPr>
          <w:sz w:val="24"/>
        </w:rPr>
      </w:pPr>
      <w:r>
        <w:rPr>
          <w:rFonts w:hint="eastAsia"/>
          <w:sz w:val="24"/>
        </w:rPr>
        <w:t>本工程</w:t>
      </w:r>
      <w:r>
        <w:rPr>
          <w:sz w:val="24"/>
        </w:rPr>
        <w:t>管道分段试压，一般采用无腐蚀性的清洁水，主要污染物为</w:t>
      </w:r>
      <w:r>
        <w:rPr>
          <w:sz w:val="24"/>
        </w:rPr>
        <w:t>SS</w:t>
      </w:r>
      <w:r>
        <w:rPr>
          <w:sz w:val="24"/>
        </w:rPr>
        <w:t>。试压水由管线排出罐收集后，进入下一段管线循环使用，试压结束后用于场地四周洒水抑尘。产生的试压废水按照每千米</w:t>
      </w:r>
      <w:r>
        <w:rPr>
          <w:sz w:val="24"/>
        </w:rPr>
        <w:t>2.5</w:t>
      </w:r>
      <w:r>
        <w:rPr>
          <w:rFonts w:hint="eastAsia"/>
          <w:sz w:val="24"/>
        </w:rPr>
        <w:t>m</w:t>
      </w:r>
      <w:r>
        <w:rPr>
          <w:rFonts w:hint="eastAsia"/>
          <w:sz w:val="24"/>
          <w:vertAlign w:val="superscript"/>
        </w:rPr>
        <w:t>3</w:t>
      </w:r>
      <w:r>
        <w:rPr>
          <w:sz w:val="24"/>
        </w:rPr>
        <w:t>计算，本工程管线总长度为</w:t>
      </w:r>
      <w:r>
        <w:rPr>
          <w:rFonts w:hint="eastAsia"/>
          <w:sz w:val="24"/>
        </w:rPr>
        <w:t>27.513</w:t>
      </w:r>
      <w:r>
        <w:rPr>
          <w:sz w:val="24"/>
        </w:rPr>
        <w:t>km</w:t>
      </w:r>
      <w:r>
        <w:rPr>
          <w:sz w:val="24"/>
        </w:rPr>
        <w:t>，试压废水为</w:t>
      </w:r>
      <w:r>
        <w:rPr>
          <w:rFonts w:hint="eastAsia"/>
          <w:sz w:val="24"/>
        </w:rPr>
        <w:t>69</w:t>
      </w:r>
      <w:r>
        <w:rPr>
          <w:rFonts w:hint="eastAsia"/>
          <w:sz w:val="24"/>
        </w:rPr>
        <w:t>m</w:t>
      </w:r>
      <w:r>
        <w:rPr>
          <w:rFonts w:hint="eastAsia"/>
          <w:sz w:val="24"/>
          <w:vertAlign w:val="superscript"/>
        </w:rPr>
        <w:t>3</w:t>
      </w:r>
      <w:r>
        <w:rPr>
          <w:sz w:val="24"/>
        </w:rPr>
        <w:t>。</w:t>
      </w:r>
    </w:p>
    <w:p w:rsidR="00EE4502" w:rsidRDefault="00FD45A3">
      <w:pPr>
        <w:spacing w:line="360" w:lineRule="auto"/>
        <w:ind w:firstLineChars="200" w:firstLine="480"/>
        <w:rPr>
          <w:sz w:val="24"/>
        </w:rPr>
      </w:pPr>
      <w:r>
        <w:rPr>
          <w:sz w:val="24"/>
        </w:rPr>
        <w:t>（</w:t>
      </w:r>
      <w:r>
        <w:rPr>
          <w:sz w:val="24"/>
        </w:rPr>
        <w:t>3</w:t>
      </w:r>
      <w:r>
        <w:rPr>
          <w:sz w:val="24"/>
        </w:rPr>
        <w:t>）生活污水</w:t>
      </w:r>
    </w:p>
    <w:p w:rsidR="00EE4502" w:rsidRDefault="00FD45A3">
      <w:pPr>
        <w:spacing w:line="360" w:lineRule="auto"/>
        <w:ind w:firstLineChars="200" w:firstLine="480"/>
        <w:rPr>
          <w:sz w:val="24"/>
        </w:rPr>
      </w:pPr>
      <w:r>
        <w:rPr>
          <w:rFonts w:hint="eastAsia"/>
          <w:sz w:val="24"/>
        </w:rPr>
        <w:t>本工程施工期</w:t>
      </w:r>
      <w:r>
        <w:rPr>
          <w:rFonts w:hint="eastAsia"/>
          <w:sz w:val="24"/>
        </w:rPr>
        <w:t>约</w:t>
      </w:r>
      <w:r>
        <w:rPr>
          <w:rFonts w:hint="eastAsia"/>
          <w:sz w:val="24"/>
        </w:rPr>
        <w:t>220</w:t>
      </w:r>
      <w:r>
        <w:rPr>
          <w:rFonts w:hint="eastAsia"/>
          <w:sz w:val="24"/>
        </w:rPr>
        <w:t>天，施工人员按</w:t>
      </w:r>
      <w:r>
        <w:rPr>
          <w:rFonts w:hint="eastAsia"/>
          <w:sz w:val="24"/>
        </w:rPr>
        <w:t>30</w:t>
      </w:r>
      <w:r>
        <w:rPr>
          <w:rFonts w:hint="eastAsia"/>
          <w:sz w:val="24"/>
        </w:rPr>
        <w:t>人</w:t>
      </w:r>
      <w:r>
        <w:rPr>
          <w:sz w:val="24"/>
        </w:rPr>
        <w:t>计</w:t>
      </w:r>
      <w:r>
        <w:rPr>
          <w:rFonts w:hint="eastAsia"/>
          <w:sz w:val="24"/>
        </w:rPr>
        <w:t>。参照《关于印发新疆维吾尔自治区工业和生活用水定额的通知》（新</w:t>
      </w:r>
      <w:r>
        <w:rPr>
          <w:rFonts w:hint="eastAsia"/>
          <w:sz w:val="24"/>
        </w:rPr>
        <w:t>政办发〔</w:t>
      </w:r>
      <w:r>
        <w:rPr>
          <w:rFonts w:hint="eastAsia"/>
          <w:sz w:val="24"/>
        </w:rPr>
        <w:t>2007</w:t>
      </w:r>
      <w:r>
        <w:rPr>
          <w:rFonts w:hint="eastAsia"/>
          <w:sz w:val="24"/>
        </w:rPr>
        <w:t>〕</w:t>
      </w:r>
      <w:r>
        <w:rPr>
          <w:rFonts w:hint="eastAsia"/>
          <w:sz w:val="24"/>
        </w:rPr>
        <w:t>105</w:t>
      </w:r>
      <w:r>
        <w:rPr>
          <w:rFonts w:hint="eastAsia"/>
          <w:sz w:val="24"/>
        </w:rPr>
        <w:t>号），用水量取</w:t>
      </w:r>
      <w:r>
        <w:rPr>
          <w:rFonts w:hint="eastAsia"/>
          <w:sz w:val="24"/>
        </w:rPr>
        <w:t>80L/</w:t>
      </w:r>
      <w:r>
        <w:rPr>
          <w:rFonts w:hint="eastAsia"/>
          <w:sz w:val="24"/>
        </w:rPr>
        <w:t>人·天计算，生活用水最大量为</w:t>
      </w:r>
      <w:r>
        <w:rPr>
          <w:rFonts w:hint="eastAsia"/>
          <w:sz w:val="24"/>
        </w:rPr>
        <w:t>2.4m</w:t>
      </w:r>
      <w:r>
        <w:rPr>
          <w:rFonts w:hint="eastAsia"/>
          <w:sz w:val="24"/>
          <w:vertAlign w:val="superscript"/>
        </w:rPr>
        <w:t>3</w:t>
      </w:r>
      <w:r>
        <w:rPr>
          <w:rFonts w:hint="eastAsia"/>
          <w:sz w:val="24"/>
        </w:rPr>
        <w:t>/d</w:t>
      </w:r>
      <w:r>
        <w:rPr>
          <w:rFonts w:hint="eastAsia"/>
          <w:sz w:val="24"/>
        </w:rPr>
        <w:t>，排水量按用水量的</w:t>
      </w:r>
      <w:r>
        <w:rPr>
          <w:rFonts w:hint="eastAsia"/>
          <w:sz w:val="24"/>
        </w:rPr>
        <w:t>80%</w:t>
      </w:r>
      <w:r>
        <w:rPr>
          <w:rFonts w:hint="eastAsia"/>
          <w:sz w:val="24"/>
        </w:rPr>
        <w:t>计算，施工期共排放生活污水为</w:t>
      </w:r>
      <w:r>
        <w:rPr>
          <w:rFonts w:hint="eastAsia"/>
          <w:sz w:val="24"/>
        </w:rPr>
        <w:t>42</w:t>
      </w:r>
      <w:r>
        <w:rPr>
          <w:rFonts w:hint="eastAsia"/>
          <w:sz w:val="24"/>
        </w:rPr>
        <w:t>3</w:t>
      </w:r>
      <w:r>
        <w:rPr>
          <w:rFonts w:hint="eastAsia"/>
          <w:sz w:val="24"/>
        </w:rPr>
        <w:t>m</w:t>
      </w:r>
      <w:r>
        <w:rPr>
          <w:rFonts w:hint="eastAsia"/>
          <w:sz w:val="24"/>
          <w:vertAlign w:val="superscript"/>
        </w:rPr>
        <w:t>3</w:t>
      </w:r>
      <w:r>
        <w:rPr>
          <w:rFonts w:hint="eastAsia"/>
          <w:sz w:val="24"/>
        </w:rPr>
        <w:t>，生活污水主要污染物为</w:t>
      </w:r>
      <w:r>
        <w:rPr>
          <w:rFonts w:hint="eastAsia"/>
          <w:sz w:val="24"/>
        </w:rPr>
        <w:t>COD</w:t>
      </w:r>
      <w:r>
        <w:rPr>
          <w:rFonts w:hint="eastAsia"/>
          <w:sz w:val="24"/>
        </w:rPr>
        <w:t>、</w:t>
      </w:r>
      <w:r>
        <w:rPr>
          <w:rFonts w:hint="eastAsia"/>
          <w:sz w:val="24"/>
        </w:rPr>
        <w:t>BOD</w:t>
      </w:r>
      <w:r>
        <w:rPr>
          <w:rFonts w:hint="eastAsia"/>
          <w:sz w:val="24"/>
          <w:vertAlign w:val="subscript"/>
        </w:rPr>
        <w:t>5</w:t>
      </w:r>
      <w:r>
        <w:rPr>
          <w:rFonts w:hint="eastAsia"/>
          <w:sz w:val="24"/>
        </w:rPr>
        <w:t>、氨氮、</w:t>
      </w:r>
      <w:r>
        <w:rPr>
          <w:rFonts w:hint="eastAsia"/>
          <w:sz w:val="24"/>
        </w:rPr>
        <w:t>SS</w:t>
      </w:r>
      <w:r>
        <w:rPr>
          <w:rFonts w:hint="eastAsia"/>
          <w:sz w:val="24"/>
        </w:rPr>
        <w:t>等。施工期生活污水排入可移动环保厕所，由克拉玛依前山石油工程服务有限公司进行清运、处理</w:t>
      </w:r>
      <w:r>
        <w:rPr>
          <w:sz w:val="24"/>
        </w:rPr>
        <w:t>。</w:t>
      </w:r>
    </w:p>
    <w:p w:rsidR="00EE4502" w:rsidRDefault="00FD45A3">
      <w:pPr>
        <w:pStyle w:val="41"/>
        <w:numPr>
          <w:ilvl w:val="3"/>
          <w:numId w:val="30"/>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bCs w:val="0"/>
          <w:sz w:val="24"/>
          <w:szCs w:val="24"/>
        </w:rPr>
        <w:t>固体废物</w:t>
      </w:r>
    </w:p>
    <w:p w:rsidR="00EE4502" w:rsidRDefault="00FD45A3">
      <w:pPr>
        <w:spacing w:line="360" w:lineRule="auto"/>
        <w:ind w:left="-28" w:firstLineChars="211" w:firstLine="506"/>
        <w:rPr>
          <w:sz w:val="24"/>
        </w:rPr>
      </w:pPr>
      <w:r>
        <w:rPr>
          <w:sz w:val="24"/>
        </w:rPr>
        <w:t>施工过程中产生的固体废物主要为施工过程中废弃泥浆、钻井岩屑、</w:t>
      </w:r>
      <w:r>
        <w:rPr>
          <w:rFonts w:hint="eastAsia"/>
          <w:sz w:val="24"/>
        </w:rPr>
        <w:t>施工废料</w:t>
      </w:r>
      <w:r>
        <w:rPr>
          <w:sz w:val="24"/>
        </w:rPr>
        <w:t>、</w:t>
      </w:r>
      <w:r>
        <w:rPr>
          <w:rFonts w:hint="eastAsia"/>
          <w:sz w:val="24"/>
        </w:rPr>
        <w:t>设备废弃包装</w:t>
      </w:r>
      <w:r>
        <w:rPr>
          <w:rFonts w:hint="eastAsia"/>
          <w:sz w:val="24"/>
        </w:rPr>
        <w:t>、</w:t>
      </w:r>
      <w:r>
        <w:rPr>
          <w:sz w:val="24"/>
        </w:rPr>
        <w:t>生活垃圾</w:t>
      </w:r>
      <w:r>
        <w:rPr>
          <w:rFonts w:hint="eastAsia"/>
          <w:sz w:val="24"/>
        </w:rPr>
        <w:t>，</w:t>
      </w:r>
      <w:r>
        <w:rPr>
          <w:rFonts w:hint="eastAsia"/>
          <w:sz w:val="24"/>
        </w:rPr>
        <w:t>以及</w:t>
      </w:r>
      <w:r>
        <w:rPr>
          <w:sz w:val="24"/>
        </w:rPr>
        <w:t>废机油、废烧碱包装袋</w:t>
      </w:r>
      <w:r>
        <w:rPr>
          <w:rFonts w:hint="eastAsia"/>
          <w:sz w:val="24"/>
        </w:rPr>
        <w:t>、含油废物沾油废防渗材料</w:t>
      </w:r>
      <w:r>
        <w:rPr>
          <w:sz w:val="24"/>
        </w:rPr>
        <w:t>等</w:t>
      </w:r>
      <w:r>
        <w:rPr>
          <w:rFonts w:hint="eastAsia"/>
          <w:sz w:val="24"/>
        </w:rPr>
        <w:t>危险废物</w:t>
      </w:r>
      <w:r>
        <w:rPr>
          <w:sz w:val="24"/>
        </w:rPr>
        <w:t>。</w:t>
      </w:r>
    </w:p>
    <w:p w:rsidR="00EE4502" w:rsidRDefault="00FD45A3">
      <w:pPr>
        <w:spacing w:line="360" w:lineRule="auto"/>
        <w:ind w:left="-28" w:firstLineChars="211" w:firstLine="506"/>
        <w:outlineLvl w:val="4"/>
        <w:rPr>
          <w:sz w:val="24"/>
        </w:rPr>
      </w:pPr>
      <w:r>
        <w:rPr>
          <w:sz w:val="24"/>
        </w:rPr>
        <w:t>（</w:t>
      </w:r>
      <w:r>
        <w:rPr>
          <w:sz w:val="24"/>
        </w:rPr>
        <w:t>1</w:t>
      </w:r>
      <w:r>
        <w:rPr>
          <w:sz w:val="24"/>
        </w:rPr>
        <w:t>）废弃钻井泥浆、岩屑</w:t>
      </w:r>
    </w:p>
    <w:p w:rsidR="00EE4502" w:rsidRDefault="00FD45A3">
      <w:pPr>
        <w:spacing w:line="360" w:lineRule="auto"/>
        <w:ind w:left="-28" w:firstLineChars="211" w:firstLine="506"/>
        <w:rPr>
          <w:sz w:val="24"/>
        </w:rPr>
      </w:pPr>
      <w:r>
        <w:rPr>
          <w:rFonts w:ascii="宋体" w:hAnsi="宋体" w:cs="宋体" w:hint="eastAsia"/>
          <w:sz w:val="24"/>
        </w:rPr>
        <w:t>①</w:t>
      </w:r>
      <w:r>
        <w:rPr>
          <w:sz w:val="24"/>
        </w:rPr>
        <w:t>钻井废弃泥浆</w:t>
      </w:r>
    </w:p>
    <w:p w:rsidR="00EE4502" w:rsidRDefault="00FD45A3">
      <w:pPr>
        <w:spacing w:line="360" w:lineRule="auto"/>
        <w:ind w:left="-28" w:firstLineChars="211" w:firstLine="506"/>
        <w:rPr>
          <w:sz w:val="24"/>
        </w:rPr>
      </w:pPr>
      <w:r>
        <w:rPr>
          <w:sz w:val="24"/>
        </w:rPr>
        <w:lastRenderedPageBreak/>
        <w:t>钻井废弃泥浆是钻井过程中无法利用或钻井完井后弃置泥浆池内的泥浆，钻井废弃泥浆的性质由使用的钻井泥浆决定，其产生量随钻井的深度而增加，其产生量可按以下经验公式计算：</w:t>
      </w:r>
    </w:p>
    <w:p w:rsidR="00EE4502" w:rsidRDefault="00FD45A3">
      <w:pPr>
        <w:spacing w:line="360" w:lineRule="auto"/>
        <w:ind w:left="-28" w:firstLineChars="815" w:firstLine="1956"/>
        <w:rPr>
          <w:sz w:val="24"/>
        </w:rPr>
      </w:pPr>
      <w:r>
        <w:rPr>
          <w:noProof/>
          <w:sz w:val="24"/>
        </w:rPr>
        <w:drawing>
          <wp:inline distT="0" distB="0" distL="0" distR="0">
            <wp:extent cx="2028825" cy="390525"/>
            <wp:effectExtent l="0" t="0" r="0" b="0"/>
            <wp:docPr id="63" name="图片 7" descr="C:\DOCUME~1\ADMINI~1\LOCALS~1\Temp\ksohtml\wps_clip_image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7" descr="C:\DOCUME~1\ADMINI~1\LOCALS~1\Temp\ksohtml\wps_clip_image1.wm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028825" cy="390525"/>
                    </a:xfrm>
                    <a:prstGeom prst="rect">
                      <a:avLst/>
                    </a:prstGeom>
                    <a:noFill/>
                    <a:ln>
                      <a:noFill/>
                    </a:ln>
                  </pic:spPr>
                </pic:pic>
              </a:graphicData>
            </a:graphic>
          </wp:inline>
        </w:drawing>
      </w:r>
    </w:p>
    <w:p w:rsidR="00EE4502" w:rsidRDefault="00FD45A3">
      <w:pPr>
        <w:spacing w:line="360" w:lineRule="auto"/>
        <w:ind w:left="-28" w:firstLineChars="211" w:firstLine="506"/>
        <w:rPr>
          <w:sz w:val="24"/>
        </w:rPr>
      </w:pPr>
      <w:r>
        <w:rPr>
          <w:sz w:val="24"/>
        </w:rPr>
        <w:t>式中：</w:t>
      </w:r>
      <w:r>
        <w:rPr>
          <w:sz w:val="24"/>
        </w:rPr>
        <w:t>V——</w:t>
      </w:r>
      <w:r>
        <w:rPr>
          <w:sz w:val="24"/>
        </w:rPr>
        <w:t>废弃钻井泥浆产生量，</w:t>
      </w:r>
      <w:r>
        <w:rPr>
          <w:rFonts w:hint="eastAsia"/>
          <w:sz w:val="24"/>
        </w:rPr>
        <w:t>m</w:t>
      </w:r>
      <w:r>
        <w:rPr>
          <w:rFonts w:hint="eastAsia"/>
          <w:sz w:val="24"/>
          <w:vertAlign w:val="superscript"/>
        </w:rPr>
        <w:t>3</w:t>
      </w:r>
      <w:r>
        <w:rPr>
          <w:sz w:val="24"/>
        </w:rPr>
        <w:t>；</w:t>
      </w:r>
    </w:p>
    <w:p w:rsidR="00EE4502" w:rsidRDefault="00FD45A3" w:rsidP="003F4A18">
      <w:pPr>
        <w:spacing w:line="360" w:lineRule="auto"/>
        <w:ind w:left="-28" w:firstLineChars="494" w:firstLine="1186"/>
        <w:rPr>
          <w:sz w:val="24"/>
        </w:rPr>
      </w:pPr>
      <w:r>
        <w:rPr>
          <w:sz w:val="24"/>
        </w:rPr>
        <w:t>D——</w:t>
      </w:r>
      <w:r>
        <w:rPr>
          <w:sz w:val="24"/>
        </w:rPr>
        <w:t>井眼的平均直径</w:t>
      </w:r>
      <w:r>
        <w:rPr>
          <w:rFonts w:hint="eastAsia"/>
          <w:sz w:val="24"/>
        </w:rPr>
        <w:t>，</w:t>
      </w:r>
      <w:r>
        <w:rPr>
          <w:sz w:val="24"/>
        </w:rPr>
        <w:t>m</w:t>
      </w:r>
      <w:r>
        <w:rPr>
          <w:sz w:val="24"/>
        </w:rPr>
        <w:t>；</w:t>
      </w:r>
    </w:p>
    <w:p w:rsidR="00EE4502" w:rsidRDefault="00FD45A3" w:rsidP="003F4A18">
      <w:pPr>
        <w:spacing w:line="360" w:lineRule="auto"/>
        <w:ind w:left="-28" w:firstLineChars="494" w:firstLine="1186"/>
        <w:rPr>
          <w:sz w:val="24"/>
        </w:rPr>
      </w:pPr>
      <w:r>
        <w:rPr>
          <w:sz w:val="24"/>
        </w:rPr>
        <w:t>h——</w:t>
      </w:r>
      <w:r>
        <w:rPr>
          <w:sz w:val="24"/>
        </w:rPr>
        <w:t>井深</w:t>
      </w:r>
      <w:r>
        <w:rPr>
          <w:rFonts w:hint="eastAsia"/>
          <w:sz w:val="24"/>
        </w:rPr>
        <w:t>，</w:t>
      </w:r>
      <w:r>
        <w:rPr>
          <w:sz w:val="24"/>
        </w:rPr>
        <w:t>m</w:t>
      </w:r>
      <w:r>
        <w:rPr>
          <w:sz w:val="24"/>
        </w:rPr>
        <w:t>。</w:t>
      </w:r>
    </w:p>
    <w:p w:rsidR="00EE4502" w:rsidRDefault="00EE4502">
      <w:pPr>
        <w:spacing w:line="360" w:lineRule="auto"/>
        <w:jc w:val="center"/>
        <w:rPr>
          <w:rFonts w:eastAsia="黑体"/>
          <w:bCs/>
          <w:lang w:val="zh-CN"/>
        </w:rPr>
      </w:pPr>
    </w:p>
    <w:p w:rsidR="00EE4502" w:rsidRDefault="00FD45A3">
      <w:pPr>
        <w:spacing w:line="360" w:lineRule="auto"/>
        <w:jc w:val="center"/>
        <w:rPr>
          <w:rFonts w:eastAsia="黑体"/>
          <w:bCs/>
          <w:lang w:val="zh-CN"/>
        </w:rPr>
      </w:pPr>
      <w:r>
        <w:rPr>
          <w:rFonts w:eastAsia="黑体"/>
          <w:bCs/>
          <w:lang w:val="zh-CN"/>
        </w:rPr>
        <w:t>表</w:t>
      </w:r>
      <w:r>
        <w:rPr>
          <w:rFonts w:eastAsia="黑体" w:hint="eastAsia"/>
          <w:bCs/>
          <w:lang w:val="zh-CN"/>
        </w:rPr>
        <w:t>3-4</w:t>
      </w:r>
      <w:r>
        <w:rPr>
          <w:rFonts w:eastAsia="黑体"/>
          <w:bCs/>
          <w:lang w:val="zh-CN"/>
        </w:rPr>
        <w:t>-</w:t>
      </w:r>
      <w:r>
        <w:rPr>
          <w:rFonts w:eastAsia="黑体"/>
          <w:bCs/>
        </w:rPr>
        <w:t>3</w:t>
      </w:r>
      <w:r>
        <w:rPr>
          <w:rFonts w:eastAsia="黑体"/>
          <w:bCs/>
          <w:lang w:val="zh-CN"/>
        </w:rPr>
        <w:t xml:space="preserve">  </w:t>
      </w:r>
      <w:r>
        <w:rPr>
          <w:rFonts w:eastAsia="黑体" w:hint="eastAsia"/>
          <w:bCs/>
          <w:lang w:val="zh-CN"/>
        </w:rPr>
        <w:t>钻井废弃泥浆产生量统计表</w:t>
      </w: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4A0" w:firstRow="1" w:lastRow="0" w:firstColumn="1" w:lastColumn="0" w:noHBand="0" w:noVBand="1"/>
      </w:tblPr>
      <w:tblGrid>
        <w:gridCol w:w="1124"/>
        <w:gridCol w:w="994"/>
        <w:gridCol w:w="1560"/>
        <w:gridCol w:w="1419"/>
        <w:gridCol w:w="1156"/>
        <w:gridCol w:w="2067"/>
      </w:tblGrid>
      <w:tr w:rsidR="00EE4502">
        <w:trPr>
          <w:trHeight w:val="340"/>
          <w:jc w:val="center"/>
        </w:trPr>
        <w:tc>
          <w:tcPr>
            <w:tcW w:w="675" w:type="pct"/>
            <w:vAlign w:val="center"/>
          </w:tcPr>
          <w:p w:rsidR="00EE4502" w:rsidRDefault="00FD45A3">
            <w:pPr>
              <w:jc w:val="center"/>
              <w:rPr>
                <w:szCs w:val="21"/>
              </w:rPr>
            </w:pPr>
            <w:r>
              <w:rPr>
                <w:rFonts w:hint="eastAsia"/>
                <w:szCs w:val="21"/>
              </w:rPr>
              <w:t>井</w:t>
            </w:r>
            <w:r>
              <w:rPr>
                <w:rFonts w:hint="eastAsia"/>
                <w:szCs w:val="21"/>
              </w:rPr>
              <w:t>型</w:t>
            </w:r>
          </w:p>
        </w:tc>
        <w:tc>
          <w:tcPr>
            <w:tcW w:w="597" w:type="pct"/>
            <w:vAlign w:val="center"/>
          </w:tcPr>
          <w:p w:rsidR="00EE4502" w:rsidRDefault="00FD45A3">
            <w:pPr>
              <w:jc w:val="center"/>
              <w:rPr>
                <w:szCs w:val="21"/>
              </w:rPr>
            </w:pPr>
            <w:r>
              <w:rPr>
                <w:rFonts w:hint="eastAsia"/>
                <w:szCs w:val="21"/>
              </w:rPr>
              <w:t>结构</w:t>
            </w:r>
          </w:p>
        </w:tc>
        <w:tc>
          <w:tcPr>
            <w:tcW w:w="937" w:type="pct"/>
            <w:vAlign w:val="center"/>
          </w:tcPr>
          <w:p w:rsidR="00EE4502" w:rsidRDefault="00FD45A3">
            <w:pPr>
              <w:jc w:val="center"/>
              <w:rPr>
                <w:szCs w:val="21"/>
              </w:rPr>
            </w:pPr>
            <w:r>
              <w:rPr>
                <w:rFonts w:hint="eastAsia"/>
                <w:szCs w:val="21"/>
              </w:rPr>
              <w:t>井眼的平均直径</w:t>
            </w:r>
          </w:p>
          <w:p w:rsidR="00EE4502" w:rsidRDefault="00FD45A3">
            <w:pPr>
              <w:jc w:val="center"/>
              <w:rPr>
                <w:szCs w:val="21"/>
              </w:rPr>
            </w:pPr>
            <w:r>
              <w:rPr>
                <w:rFonts w:hint="eastAsia"/>
                <w:szCs w:val="21"/>
              </w:rPr>
              <w:t>（</w:t>
            </w:r>
            <w:r>
              <w:rPr>
                <w:rFonts w:hint="eastAsia"/>
                <w:szCs w:val="21"/>
              </w:rPr>
              <w:t>m</w:t>
            </w:r>
            <w:r>
              <w:rPr>
                <w:szCs w:val="21"/>
              </w:rPr>
              <w:t>m</w:t>
            </w:r>
            <w:r>
              <w:rPr>
                <w:rFonts w:hint="eastAsia"/>
                <w:szCs w:val="21"/>
              </w:rPr>
              <w:t>)</w:t>
            </w:r>
          </w:p>
        </w:tc>
        <w:tc>
          <w:tcPr>
            <w:tcW w:w="853" w:type="pct"/>
            <w:vAlign w:val="center"/>
          </w:tcPr>
          <w:p w:rsidR="00EE4502" w:rsidRDefault="00FD45A3">
            <w:pPr>
              <w:jc w:val="center"/>
              <w:rPr>
                <w:szCs w:val="21"/>
              </w:rPr>
            </w:pPr>
            <w:r>
              <w:rPr>
                <w:rFonts w:hint="eastAsia"/>
                <w:szCs w:val="21"/>
              </w:rPr>
              <w:t>井段</w:t>
            </w:r>
          </w:p>
          <w:p w:rsidR="00EE4502" w:rsidRDefault="00FD45A3">
            <w:pPr>
              <w:jc w:val="center"/>
              <w:rPr>
                <w:szCs w:val="21"/>
              </w:rPr>
            </w:pPr>
            <w:r>
              <w:rPr>
                <w:rFonts w:hint="eastAsia"/>
                <w:szCs w:val="21"/>
              </w:rPr>
              <w:t>（</w:t>
            </w:r>
            <w:r>
              <w:rPr>
                <w:rFonts w:hint="eastAsia"/>
                <w:szCs w:val="21"/>
              </w:rPr>
              <w:t>m</w:t>
            </w:r>
            <w:r>
              <w:rPr>
                <w:rFonts w:hint="eastAsia"/>
                <w:szCs w:val="21"/>
              </w:rPr>
              <w:t>)</w:t>
            </w:r>
          </w:p>
        </w:tc>
        <w:tc>
          <w:tcPr>
            <w:tcW w:w="694" w:type="pct"/>
            <w:vAlign w:val="center"/>
          </w:tcPr>
          <w:p w:rsidR="00EE4502" w:rsidRDefault="00FD45A3">
            <w:pPr>
              <w:jc w:val="center"/>
              <w:rPr>
                <w:szCs w:val="21"/>
              </w:rPr>
            </w:pPr>
            <w:r>
              <w:rPr>
                <w:rFonts w:hint="eastAsia"/>
                <w:szCs w:val="21"/>
              </w:rPr>
              <w:t>数量</w:t>
            </w:r>
          </w:p>
          <w:p w:rsidR="00EE4502" w:rsidRDefault="00FD45A3">
            <w:pPr>
              <w:jc w:val="center"/>
              <w:rPr>
                <w:szCs w:val="21"/>
              </w:rPr>
            </w:pPr>
            <w:r>
              <w:rPr>
                <w:rFonts w:hint="eastAsia"/>
                <w:szCs w:val="21"/>
              </w:rPr>
              <w:t>（口）</w:t>
            </w:r>
          </w:p>
        </w:tc>
        <w:tc>
          <w:tcPr>
            <w:tcW w:w="1242" w:type="pct"/>
            <w:vAlign w:val="center"/>
          </w:tcPr>
          <w:p w:rsidR="00EE4502" w:rsidRDefault="00FD45A3">
            <w:pPr>
              <w:jc w:val="center"/>
              <w:rPr>
                <w:szCs w:val="21"/>
              </w:rPr>
            </w:pPr>
            <w:r>
              <w:rPr>
                <w:rFonts w:hint="eastAsia"/>
                <w:szCs w:val="21"/>
              </w:rPr>
              <w:t>废弃泥浆产生量</w:t>
            </w:r>
          </w:p>
          <w:p w:rsidR="00EE4502" w:rsidRDefault="00FD45A3">
            <w:pPr>
              <w:jc w:val="center"/>
              <w:rPr>
                <w:szCs w:val="21"/>
              </w:rPr>
            </w:pPr>
            <w:r>
              <w:rPr>
                <w:rFonts w:hint="eastAsia"/>
                <w:szCs w:val="21"/>
              </w:rPr>
              <w:t>（</w:t>
            </w:r>
            <w:r>
              <w:rPr>
                <w:rFonts w:hint="eastAsia"/>
                <w:szCs w:val="21"/>
              </w:rPr>
              <w:t>m</w:t>
            </w:r>
            <w:r>
              <w:rPr>
                <w:szCs w:val="21"/>
                <w:vertAlign w:val="superscript"/>
              </w:rPr>
              <w:t>3</w:t>
            </w:r>
            <w:r>
              <w:rPr>
                <w:rFonts w:hint="eastAsia"/>
                <w:szCs w:val="21"/>
                <w:vertAlign w:val="superscript"/>
              </w:rPr>
              <w:t>)</w:t>
            </w:r>
          </w:p>
        </w:tc>
      </w:tr>
      <w:tr w:rsidR="00EE4502">
        <w:trPr>
          <w:trHeight w:val="340"/>
          <w:jc w:val="center"/>
        </w:trPr>
        <w:tc>
          <w:tcPr>
            <w:tcW w:w="675" w:type="pct"/>
            <w:vMerge w:val="restart"/>
            <w:vAlign w:val="center"/>
          </w:tcPr>
          <w:p w:rsidR="00EE4502" w:rsidRDefault="00FD45A3">
            <w:pPr>
              <w:jc w:val="center"/>
              <w:rPr>
                <w:szCs w:val="21"/>
              </w:rPr>
            </w:pPr>
            <w:r>
              <w:rPr>
                <w:rFonts w:hint="eastAsia"/>
                <w:szCs w:val="21"/>
              </w:rPr>
              <w:t>水平井</w:t>
            </w:r>
          </w:p>
        </w:tc>
        <w:tc>
          <w:tcPr>
            <w:tcW w:w="597" w:type="pct"/>
            <w:vAlign w:val="center"/>
          </w:tcPr>
          <w:p w:rsidR="00EE4502" w:rsidRDefault="00FD45A3">
            <w:pPr>
              <w:jc w:val="center"/>
              <w:rPr>
                <w:szCs w:val="21"/>
              </w:rPr>
            </w:pPr>
            <w:r>
              <w:rPr>
                <w:rFonts w:hint="eastAsia"/>
                <w:szCs w:val="21"/>
              </w:rPr>
              <w:t>一开</w:t>
            </w:r>
          </w:p>
        </w:tc>
        <w:tc>
          <w:tcPr>
            <w:tcW w:w="937" w:type="pct"/>
            <w:vAlign w:val="center"/>
          </w:tcPr>
          <w:p w:rsidR="00EE4502" w:rsidRDefault="00FD45A3">
            <w:pPr>
              <w:jc w:val="center"/>
              <w:rPr>
                <w:szCs w:val="21"/>
              </w:rPr>
            </w:pPr>
            <w:r>
              <w:rPr>
                <w:szCs w:val="21"/>
              </w:rPr>
              <w:t>346.1</w:t>
            </w:r>
          </w:p>
        </w:tc>
        <w:tc>
          <w:tcPr>
            <w:tcW w:w="853" w:type="pct"/>
            <w:vAlign w:val="center"/>
          </w:tcPr>
          <w:p w:rsidR="00EE4502" w:rsidRDefault="00FD45A3">
            <w:pPr>
              <w:jc w:val="center"/>
              <w:rPr>
                <w:szCs w:val="21"/>
              </w:rPr>
            </w:pPr>
            <w:r>
              <w:rPr>
                <w:rFonts w:hint="eastAsia"/>
                <w:szCs w:val="21"/>
              </w:rPr>
              <w:t>0~91</w:t>
            </w:r>
          </w:p>
        </w:tc>
        <w:tc>
          <w:tcPr>
            <w:tcW w:w="694" w:type="pct"/>
            <w:vMerge w:val="restart"/>
            <w:vAlign w:val="center"/>
          </w:tcPr>
          <w:p w:rsidR="00EE4502" w:rsidRDefault="00FD45A3">
            <w:pPr>
              <w:jc w:val="center"/>
              <w:rPr>
                <w:szCs w:val="21"/>
              </w:rPr>
            </w:pPr>
            <w:r>
              <w:rPr>
                <w:rFonts w:hint="eastAsia"/>
                <w:szCs w:val="21"/>
              </w:rPr>
              <w:t>15</w:t>
            </w:r>
          </w:p>
        </w:tc>
        <w:tc>
          <w:tcPr>
            <w:tcW w:w="2067" w:type="dxa"/>
            <w:vAlign w:val="center"/>
          </w:tcPr>
          <w:p w:rsidR="00EE4502" w:rsidRDefault="00FD45A3">
            <w:pPr>
              <w:jc w:val="center"/>
              <w:rPr>
                <w:szCs w:val="21"/>
              </w:rPr>
            </w:pPr>
            <w:r>
              <w:rPr>
                <w:szCs w:val="21"/>
              </w:rPr>
              <w:t>1313.35</w:t>
            </w:r>
          </w:p>
        </w:tc>
      </w:tr>
      <w:tr w:rsidR="00EE4502">
        <w:trPr>
          <w:trHeight w:val="340"/>
          <w:jc w:val="center"/>
        </w:trPr>
        <w:tc>
          <w:tcPr>
            <w:tcW w:w="675" w:type="pct"/>
            <w:vMerge/>
            <w:vAlign w:val="center"/>
          </w:tcPr>
          <w:p w:rsidR="00EE4502" w:rsidRDefault="00EE4502">
            <w:pPr>
              <w:jc w:val="center"/>
              <w:rPr>
                <w:szCs w:val="21"/>
              </w:rPr>
            </w:pPr>
          </w:p>
        </w:tc>
        <w:tc>
          <w:tcPr>
            <w:tcW w:w="597" w:type="pct"/>
            <w:vAlign w:val="center"/>
          </w:tcPr>
          <w:p w:rsidR="00EE4502" w:rsidRDefault="00FD45A3">
            <w:pPr>
              <w:jc w:val="center"/>
              <w:rPr>
                <w:szCs w:val="21"/>
              </w:rPr>
            </w:pPr>
            <w:r>
              <w:rPr>
                <w:rFonts w:hint="eastAsia"/>
                <w:szCs w:val="21"/>
              </w:rPr>
              <w:t>二开</w:t>
            </w:r>
          </w:p>
        </w:tc>
        <w:tc>
          <w:tcPr>
            <w:tcW w:w="937" w:type="pct"/>
            <w:vAlign w:val="center"/>
          </w:tcPr>
          <w:p w:rsidR="00EE4502" w:rsidRDefault="00FD45A3">
            <w:pPr>
              <w:jc w:val="center"/>
              <w:rPr>
                <w:szCs w:val="21"/>
              </w:rPr>
            </w:pPr>
            <w:r>
              <w:rPr>
                <w:szCs w:val="21"/>
              </w:rPr>
              <w:t>241.3</w:t>
            </w:r>
          </w:p>
        </w:tc>
        <w:tc>
          <w:tcPr>
            <w:tcW w:w="853" w:type="pct"/>
            <w:vAlign w:val="center"/>
          </w:tcPr>
          <w:p w:rsidR="00EE4502" w:rsidRDefault="00FD45A3">
            <w:pPr>
              <w:jc w:val="center"/>
              <w:rPr>
                <w:szCs w:val="21"/>
              </w:rPr>
            </w:pPr>
            <w:r>
              <w:rPr>
                <w:rFonts w:hint="eastAsia"/>
                <w:szCs w:val="21"/>
              </w:rPr>
              <w:t>91~933</w:t>
            </w:r>
          </w:p>
        </w:tc>
        <w:tc>
          <w:tcPr>
            <w:tcW w:w="694" w:type="pct"/>
            <w:vMerge/>
            <w:vAlign w:val="center"/>
          </w:tcPr>
          <w:p w:rsidR="00EE4502" w:rsidRDefault="00EE4502">
            <w:pPr>
              <w:jc w:val="center"/>
              <w:rPr>
                <w:szCs w:val="21"/>
              </w:rPr>
            </w:pPr>
          </w:p>
        </w:tc>
        <w:tc>
          <w:tcPr>
            <w:tcW w:w="2067" w:type="dxa"/>
            <w:vAlign w:val="center"/>
          </w:tcPr>
          <w:p w:rsidR="00EE4502" w:rsidRDefault="00FD45A3">
            <w:pPr>
              <w:jc w:val="center"/>
              <w:rPr>
                <w:szCs w:val="21"/>
              </w:rPr>
            </w:pPr>
            <w:r>
              <w:rPr>
                <w:szCs w:val="21"/>
              </w:rPr>
              <w:t>1943.47</w:t>
            </w:r>
          </w:p>
        </w:tc>
      </w:tr>
      <w:tr w:rsidR="00EE4502">
        <w:trPr>
          <w:trHeight w:val="340"/>
          <w:jc w:val="center"/>
        </w:trPr>
        <w:tc>
          <w:tcPr>
            <w:tcW w:w="675" w:type="pct"/>
            <w:vMerge/>
            <w:vAlign w:val="center"/>
          </w:tcPr>
          <w:p w:rsidR="00EE4502" w:rsidRDefault="00EE4502">
            <w:pPr>
              <w:jc w:val="center"/>
              <w:rPr>
                <w:szCs w:val="21"/>
              </w:rPr>
            </w:pPr>
          </w:p>
        </w:tc>
        <w:tc>
          <w:tcPr>
            <w:tcW w:w="597" w:type="pct"/>
            <w:vAlign w:val="center"/>
          </w:tcPr>
          <w:p w:rsidR="00EE4502" w:rsidRDefault="00FD45A3">
            <w:pPr>
              <w:jc w:val="center"/>
              <w:rPr>
                <w:szCs w:val="21"/>
              </w:rPr>
            </w:pPr>
            <w:r>
              <w:rPr>
                <w:rFonts w:hint="eastAsia"/>
                <w:szCs w:val="21"/>
              </w:rPr>
              <w:t>三开</w:t>
            </w:r>
          </w:p>
        </w:tc>
        <w:tc>
          <w:tcPr>
            <w:tcW w:w="937" w:type="pct"/>
            <w:vAlign w:val="center"/>
          </w:tcPr>
          <w:p w:rsidR="00EE4502" w:rsidRDefault="00FD45A3">
            <w:pPr>
              <w:jc w:val="center"/>
              <w:rPr>
                <w:szCs w:val="21"/>
              </w:rPr>
            </w:pPr>
            <w:r>
              <w:rPr>
                <w:szCs w:val="21"/>
              </w:rPr>
              <w:t>152.4</w:t>
            </w:r>
          </w:p>
        </w:tc>
        <w:tc>
          <w:tcPr>
            <w:tcW w:w="853" w:type="pct"/>
            <w:vAlign w:val="center"/>
          </w:tcPr>
          <w:p w:rsidR="00EE4502" w:rsidRDefault="00FD45A3">
            <w:pPr>
              <w:jc w:val="center"/>
              <w:rPr>
                <w:szCs w:val="21"/>
              </w:rPr>
            </w:pPr>
            <w:r>
              <w:rPr>
                <w:rFonts w:hint="eastAsia"/>
                <w:szCs w:val="21"/>
              </w:rPr>
              <w:t>933~1657.47</w:t>
            </w:r>
          </w:p>
        </w:tc>
        <w:tc>
          <w:tcPr>
            <w:tcW w:w="694" w:type="pct"/>
            <w:vMerge/>
            <w:vAlign w:val="center"/>
          </w:tcPr>
          <w:p w:rsidR="00EE4502" w:rsidRDefault="00EE4502">
            <w:pPr>
              <w:jc w:val="center"/>
              <w:rPr>
                <w:szCs w:val="21"/>
              </w:rPr>
            </w:pPr>
          </w:p>
        </w:tc>
        <w:tc>
          <w:tcPr>
            <w:tcW w:w="2067" w:type="dxa"/>
            <w:vAlign w:val="center"/>
          </w:tcPr>
          <w:p w:rsidR="00EE4502" w:rsidRDefault="00FD45A3">
            <w:pPr>
              <w:jc w:val="center"/>
              <w:rPr>
                <w:szCs w:val="21"/>
              </w:rPr>
            </w:pPr>
            <w:r>
              <w:rPr>
                <w:szCs w:val="21"/>
              </w:rPr>
              <w:t>1690.33</w:t>
            </w:r>
          </w:p>
        </w:tc>
      </w:tr>
      <w:tr w:rsidR="00EE4502">
        <w:trPr>
          <w:trHeight w:val="340"/>
          <w:jc w:val="center"/>
        </w:trPr>
        <w:tc>
          <w:tcPr>
            <w:tcW w:w="675" w:type="pct"/>
            <w:vMerge w:val="restart"/>
            <w:vAlign w:val="center"/>
          </w:tcPr>
          <w:p w:rsidR="00EE4502" w:rsidRDefault="00FD45A3">
            <w:pPr>
              <w:jc w:val="center"/>
              <w:rPr>
                <w:szCs w:val="21"/>
              </w:rPr>
            </w:pPr>
            <w:r>
              <w:rPr>
                <w:rFonts w:hint="eastAsia"/>
                <w:szCs w:val="21"/>
              </w:rPr>
              <w:t>定向井</w:t>
            </w:r>
          </w:p>
        </w:tc>
        <w:tc>
          <w:tcPr>
            <w:tcW w:w="597" w:type="pct"/>
            <w:vAlign w:val="center"/>
          </w:tcPr>
          <w:p w:rsidR="00EE4502" w:rsidRDefault="00FD45A3">
            <w:pPr>
              <w:jc w:val="center"/>
              <w:rPr>
                <w:szCs w:val="21"/>
              </w:rPr>
            </w:pPr>
            <w:r>
              <w:rPr>
                <w:rFonts w:hint="eastAsia"/>
                <w:szCs w:val="21"/>
              </w:rPr>
              <w:t>一开</w:t>
            </w:r>
          </w:p>
        </w:tc>
        <w:tc>
          <w:tcPr>
            <w:tcW w:w="937" w:type="pct"/>
            <w:vAlign w:val="center"/>
          </w:tcPr>
          <w:p w:rsidR="00EE4502" w:rsidRDefault="00FD45A3">
            <w:pPr>
              <w:jc w:val="center"/>
              <w:rPr>
                <w:szCs w:val="21"/>
              </w:rPr>
            </w:pPr>
            <w:r>
              <w:rPr>
                <w:szCs w:val="21"/>
              </w:rPr>
              <w:t>346.1</w:t>
            </w:r>
          </w:p>
        </w:tc>
        <w:tc>
          <w:tcPr>
            <w:tcW w:w="853" w:type="pct"/>
            <w:vAlign w:val="center"/>
          </w:tcPr>
          <w:p w:rsidR="00EE4502" w:rsidRDefault="00FD45A3">
            <w:pPr>
              <w:jc w:val="center"/>
              <w:rPr>
                <w:szCs w:val="21"/>
              </w:rPr>
            </w:pPr>
            <w:r>
              <w:rPr>
                <w:rFonts w:hint="eastAsia"/>
                <w:szCs w:val="21"/>
              </w:rPr>
              <w:t>0~111</w:t>
            </w:r>
          </w:p>
        </w:tc>
        <w:tc>
          <w:tcPr>
            <w:tcW w:w="694" w:type="pct"/>
            <w:vMerge w:val="restart"/>
            <w:vAlign w:val="center"/>
          </w:tcPr>
          <w:p w:rsidR="00EE4502" w:rsidRDefault="00FD45A3">
            <w:pPr>
              <w:jc w:val="center"/>
              <w:rPr>
                <w:szCs w:val="21"/>
              </w:rPr>
            </w:pPr>
            <w:r>
              <w:rPr>
                <w:rFonts w:hint="eastAsia"/>
                <w:szCs w:val="21"/>
              </w:rPr>
              <w:t>1</w:t>
            </w:r>
          </w:p>
        </w:tc>
        <w:tc>
          <w:tcPr>
            <w:tcW w:w="2067" w:type="dxa"/>
            <w:vAlign w:val="center"/>
          </w:tcPr>
          <w:p w:rsidR="00EE4502" w:rsidRDefault="00FD45A3">
            <w:pPr>
              <w:jc w:val="center"/>
              <w:rPr>
                <w:szCs w:val="21"/>
              </w:rPr>
            </w:pPr>
            <w:r>
              <w:rPr>
                <w:szCs w:val="21"/>
              </w:rPr>
              <w:t>89.22</w:t>
            </w:r>
          </w:p>
        </w:tc>
      </w:tr>
      <w:tr w:rsidR="00EE4502">
        <w:trPr>
          <w:trHeight w:val="340"/>
          <w:jc w:val="center"/>
        </w:trPr>
        <w:tc>
          <w:tcPr>
            <w:tcW w:w="675" w:type="pct"/>
            <w:vMerge/>
            <w:vAlign w:val="center"/>
          </w:tcPr>
          <w:p w:rsidR="00EE4502" w:rsidRDefault="00EE4502">
            <w:pPr>
              <w:jc w:val="center"/>
              <w:rPr>
                <w:szCs w:val="21"/>
              </w:rPr>
            </w:pPr>
          </w:p>
        </w:tc>
        <w:tc>
          <w:tcPr>
            <w:tcW w:w="597" w:type="pct"/>
            <w:vAlign w:val="center"/>
          </w:tcPr>
          <w:p w:rsidR="00EE4502" w:rsidRDefault="00FD45A3">
            <w:pPr>
              <w:jc w:val="center"/>
              <w:rPr>
                <w:szCs w:val="21"/>
              </w:rPr>
            </w:pPr>
            <w:r>
              <w:rPr>
                <w:rFonts w:hint="eastAsia"/>
                <w:szCs w:val="21"/>
              </w:rPr>
              <w:t>二开</w:t>
            </w:r>
          </w:p>
        </w:tc>
        <w:tc>
          <w:tcPr>
            <w:tcW w:w="937" w:type="pct"/>
            <w:vAlign w:val="center"/>
          </w:tcPr>
          <w:p w:rsidR="00EE4502" w:rsidRDefault="00FD45A3">
            <w:pPr>
              <w:jc w:val="center"/>
              <w:rPr>
                <w:szCs w:val="21"/>
              </w:rPr>
            </w:pPr>
            <w:r>
              <w:rPr>
                <w:szCs w:val="21"/>
              </w:rPr>
              <w:t>241.3</w:t>
            </w:r>
          </w:p>
        </w:tc>
        <w:tc>
          <w:tcPr>
            <w:tcW w:w="853" w:type="pct"/>
            <w:vAlign w:val="center"/>
          </w:tcPr>
          <w:p w:rsidR="00EE4502" w:rsidRDefault="00FD45A3">
            <w:pPr>
              <w:jc w:val="center"/>
              <w:rPr>
                <w:szCs w:val="21"/>
              </w:rPr>
            </w:pPr>
            <w:r>
              <w:rPr>
                <w:rFonts w:hint="eastAsia"/>
                <w:szCs w:val="21"/>
              </w:rPr>
              <w:t>111~1025.22</w:t>
            </w:r>
          </w:p>
        </w:tc>
        <w:tc>
          <w:tcPr>
            <w:tcW w:w="694" w:type="pct"/>
            <w:vMerge/>
            <w:vAlign w:val="center"/>
          </w:tcPr>
          <w:p w:rsidR="00EE4502" w:rsidRDefault="00EE4502">
            <w:pPr>
              <w:jc w:val="center"/>
              <w:rPr>
                <w:szCs w:val="21"/>
              </w:rPr>
            </w:pPr>
          </w:p>
        </w:tc>
        <w:tc>
          <w:tcPr>
            <w:tcW w:w="2067" w:type="dxa"/>
            <w:vAlign w:val="center"/>
          </w:tcPr>
          <w:p w:rsidR="00EE4502" w:rsidRDefault="00FD45A3">
            <w:pPr>
              <w:jc w:val="center"/>
              <w:rPr>
                <w:szCs w:val="21"/>
              </w:rPr>
            </w:pPr>
            <w:r>
              <w:rPr>
                <w:szCs w:val="21"/>
              </w:rPr>
              <w:t>133.82</w:t>
            </w:r>
          </w:p>
        </w:tc>
      </w:tr>
      <w:tr w:rsidR="00EE4502">
        <w:trPr>
          <w:trHeight w:val="340"/>
          <w:jc w:val="center"/>
        </w:trPr>
        <w:tc>
          <w:tcPr>
            <w:tcW w:w="675" w:type="pct"/>
            <w:vMerge w:val="restart"/>
            <w:vAlign w:val="center"/>
          </w:tcPr>
          <w:p w:rsidR="00EE4502" w:rsidRDefault="00FD45A3">
            <w:pPr>
              <w:jc w:val="center"/>
              <w:rPr>
                <w:szCs w:val="21"/>
              </w:rPr>
            </w:pPr>
            <w:r>
              <w:rPr>
                <w:rFonts w:hint="eastAsia"/>
                <w:szCs w:val="21"/>
              </w:rPr>
              <w:t>直井</w:t>
            </w:r>
          </w:p>
        </w:tc>
        <w:tc>
          <w:tcPr>
            <w:tcW w:w="597" w:type="pct"/>
            <w:vAlign w:val="center"/>
          </w:tcPr>
          <w:p w:rsidR="00EE4502" w:rsidRDefault="00FD45A3">
            <w:pPr>
              <w:jc w:val="center"/>
              <w:rPr>
                <w:szCs w:val="21"/>
              </w:rPr>
            </w:pPr>
            <w:r>
              <w:rPr>
                <w:rFonts w:hint="eastAsia"/>
                <w:szCs w:val="21"/>
              </w:rPr>
              <w:t>一开</w:t>
            </w:r>
          </w:p>
        </w:tc>
        <w:tc>
          <w:tcPr>
            <w:tcW w:w="937" w:type="pct"/>
            <w:vAlign w:val="center"/>
          </w:tcPr>
          <w:p w:rsidR="00EE4502" w:rsidRDefault="00FD45A3">
            <w:pPr>
              <w:jc w:val="center"/>
              <w:rPr>
                <w:szCs w:val="21"/>
              </w:rPr>
            </w:pPr>
            <w:r>
              <w:rPr>
                <w:szCs w:val="21"/>
              </w:rPr>
              <w:t>346.1</w:t>
            </w:r>
          </w:p>
        </w:tc>
        <w:tc>
          <w:tcPr>
            <w:tcW w:w="853" w:type="pct"/>
            <w:vAlign w:val="center"/>
          </w:tcPr>
          <w:p w:rsidR="00EE4502" w:rsidRDefault="00FD45A3">
            <w:pPr>
              <w:jc w:val="center"/>
              <w:rPr>
                <w:szCs w:val="21"/>
              </w:rPr>
            </w:pPr>
            <w:r>
              <w:rPr>
                <w:rFonts w:hint="eastAsia"/>
                <w:szCs w:val="21"/>
              </w:rPr>
              <w:t>0~101</w:t>
            </w:r>
          </w:p>
        </w:tc>
        <w:tc>
          <w:tcPr>
            <w:tcW w:w="694" w:type="pct"/>
            <w:vMerge w:val="restart"/>
            <w:vAlign w:val="center"/>
          </w:tcPr>
          <w:p w:rsidR="00EE4502" w:rsidRDefault="00FD45A3">
            <w:pPr>
              <w:jc w:val="center"/>
              <w:rPr>
                <w:szCs w:val="21"/>
              </w:rPr>
            </w:pPr>
            <w:r>
              <w:rPr>
                <w:rFonts w:hint="eastAsia"/>
                <w:szCs w:val="21"/>
              </w:rPr>
              <w:t>2</w:t>
            </w:r>
          </w:p>
        </w:tc>
        <w:tc>
          <w:tcPr>
            <w:tcW w:w="2067" w:type="dxa"/>
            <w:vAlign w:val="center"/>
          </w:tcPr>
          <w:p w:rsidR="00EE4502" w:rsidRDefault="00FD45A3">
            <w:pPr>
              <w:jc w:val="center"/>
              <w:rPr>
                <w:szCs w:val="21"/>
              </w:rPr>
            </w:pPr>
            <w:r>
              <w:rPr>
                <w:szCs w:val="21"/>
              </w:rPr>
              <w:t>176.77</w:t>
            </w:r>
          </w:p>
        </w:tc>
      </w:tr>
      <w:tr w:rsidR="00EE4502">
        <w:trPr>
          <w:trHeight w:val="340"/>
          <w:jc w:val="center"/>
        </w:trPr>
        <w:tc>
          <w:tcPr>
            <w:tcW w:w="675" w:type="pct"/>
            <w:vMerge/>
            <w:vAlign w:val="center"/>
          </w:tcPr>
          <w:p w:rsidR="00EE4502" w:rsidRDefault="00EE4502">
            <w:pPr>
              <w:jc w:val="center"/>
              <w:rPr>
                <w:szCs w:val="21"/>
              </w:rPr>
            </w:pPr>
          </w:p>
        </w:tc>
        <w:tc>
          <w:tcPr>
            <w:tcW w:w="597" w:type="pct"/>
            <w:vAlign w:val="center"/>
          </w:tcPr>
          <w:p w:rsidR="00EE4502" w:rsidRDefault="00FD45A3">
            <w:pPr>
              <w:jc w:val="center"/>
              <w:rPr>
                <w:szCs w:val="21"/>
              </w:rPr>
            </w:pPr>
            <w:r>
              <w:rPr>
                <w:rFonts w:hint="eastAsia"/>
                <w:szCs w:val="21"/>
              </w:rPr>
              <w:t>二开</w:t>
            </w:r>
          </w:p>
        </w:tc>
        <w:tc>
          <w:tcPr>
            <w:tcW w:w="937" w:type="pct"/>
            <w:vAlign w:val="center"/>
          </w:tcPr>
          <w:p w:rsidR="00EE4502" w:rsidRDefault="00FD45A3">
            <w:pPr>
              <w:jc w:val="center"/>
              <w:rPr>
                <w:szCs w:val="21"/>
              </w:rPr>
            </w:pPr>
            <w:r>
              <w:rPr>
                <w:szCs w:val="21"/>
              </w:rPr>
              <w:t>241.3</w:t>
            </w:r>
          </w:p>
        </w:tc>
        <w:tc>
          <w:tcPr>
            <w:tcW w:w="853" w:type="pct"/>
            <w:vAlign w:val="center"/>
          </w:tcPr>
          <w:p w:rsidR="00EE4502" w:rsidRDefault="00FD45A3">
            <w:pPr>
              <w:jc w:val="center"/>
              <w:rPr>
                <w:szCs w:val="21"/>
              </w:rPr>
            </w:pPr>
            <w:r>
              <w:rPr>
                <w:rFonts w:hint="eastAsia"/>
                <w:szCs w:val="21"/>
              </w:rPr>
              <w:t>101~950</w:t>
            </w:r>
          </w:p>
        </w:tc>
        <w:tc>
          <w:tcPr>
            <w:tcW w:w="694" w:type="pct"/>
            <w:vMerge/>
            <w:vAlign w:val="center"/>
          </w:tcPr>
          <w:p w:rsidR="00EE4502" w:rsidRDefault="00EE4502">
            <w:pPr>
              <w:jc w:val="center"/>
              <w:rPr>
                <w:szCs w:val="21"/>
              </w:rPr>
            </w:pPr>
          </w:p>
        </w:tc>
        <w:tc>
          <w:tcPr>
            <w:tcW w:w="2067" w:type="dxa"/>
            <w:vAlign w:val="center"/>
          </w:tcPr>
          <w:p w:rsidR="00EE4502" w:rsidRDefault="00FD45A3">
            <w:pPr>
              <w:jc w:val="center"/>
              <w:rPr>
                <w:szCs w:val="21"/>
              </w:rPr>
            </w:pPr>
            <w:r>
              <w:rPr>
                <w:szCs w:val="21"/>
              </w:rPr>
              <w:t>259.95</w:t>
            </w:r>
          </w:p>
        </w:tc>
      </w:tr>
      <w:tr w:rsidR="00EE4502">
        <w:trPr>
          <w:trHeight w:val="340"/>
          <w:jc w:val="center"/>
        </w:trPr>
        <w:tc>
          <w:tcPr>
            <w:tcW w:w="3757" w:type="pct"/>
            <w:gridSpan w:val="5"/>
            <w:vAlign w:val="center"/>
          </w:tcPr>
          <w:p w:rsidR="00EE4502" w:rsidRDefault="00FD45A3">
            <w:pPr>
              <w:jc w:val="center"/>
              <w:rPr>
                <w:szCs w:val="21"/>
              </w:rPr>
            </w:pPr>
            <w:r>
              <w:rPr>
                <w:rFonts w:hint="eastAsia"/>
                <w:szCs w:val="21"/>
              </w:rPr>
              <w:t>合计</w:t>
            </w:r>
          </w:p>
        </w:tc>
        <w:tc>
          <w:tcPr>
            <w:tcW w:w="2067" w:type="dxa"/>
            <w:vAlign w:val="center"/>
          </w:tcPr>
          <w:p w:rsidR="00EE4502" w:rsidRDefault="00FD45A3">
            <w:pPr>
              <w:jc w:val="center"/>
              <w:rPr>
                <w:szCs w:val="21"/>
              </w:rPr>
            </w:pPr>
            <w:r>
              <w:rPr>
                <w:rFonts w:hint="eastAsia"/>
                <w:szCs w:val="21"/>
              </w:rPr>
              <w:t>5607</w:t>
            </w:r>
          </w:p>
        </w:tc>
      </w:tr>
    </w:tbl>
    <w:p w:rsidR="00EE4502" w:rsidRDefault="00FD45A3">
      <w:pPr>
        <w:spacing w:line="360" w:lineRule="auto"/>
        <w:rPr>
          <w:rFonts w:eastAsia="仿宋"/>
          <w:szCs w:val="21"/>
        </w:rPr>
      </w:pPr>
      <w:r>
        <w:rPr>
          <w:rFonts w:eastAsia="仿宋"/>
          <w:szCs w:val="21"/>
        </w:rPr>
        <w:t>注：</w:t>
      </w:r>
      <w:r>
        <w:rPr>
          <w:rFonts w:eastAsia="仿宋" w:hint="eastAsia"/>
          <w:szCs w:val="21"/>
        </w:rPr>
        <w:t>18</w:t>
      </w:r>
      <w:r>
        <w:rPr>
          <w:rFonts w:eastAsia="仿宋" w:hint="eastAsia"/>
          <w:szCs w:val="21"/>
        </w:rPr>
        <w:t>口</w:t>
      </w:r>
      <w:r>
        <w:rPr>
          <w:rFonts w:eastAsia="仿宋"/>
          <w:szCs w:val="21"/>
        </w:rPr>
        <w:t>井井身设计不同，表中</w:t>
      </w:r>
      <w:r>
        <w:rPr>
          <w:rFonts w:eastAsia="仿宋" w:hint="eastAsia"/>
          <w:szCs w:val="21"/>
        </w:rPr>
        <w:t>井</w:t>
      </w:r>
      <w:r>
        <w:rPr>
          <w:rFonts w:eastAsia="仿宋" w:hint="eastAsia"/>
          <w:szCs w:val="21"/>
        </w:rPr>
        <w:t>段</w:t>
      </w:r>
      <w:r>
        <w:rPr>
          <w:rFonts w:eastAsia="仿宋" w:hint="eastAsia"/>
          <w:szCs w:val="21"/>
        </w:rPr>
        <w:t>深</w:t>
      </w:r>
      <w:r>
        <w:rPr>
          <w:rFonts w:eastAsia="仿宋"/>
          <w:szCs w:val="21"/>
        </w:rPr>
        <w:t>是井的</w:t>
      </w:r>
      <w:r>
        <w:rPr>
          <w:rFonts w:eastAsia="仿宋" w:hint="eastAsia"/>
          <w:szCs w:val="21"/>
        </w:rPr>
        <w:t>井深</w:t>
      </w:r>
      <w:r>
        <w:rPr>
          <w:rFonts w:eastAsia="仿宋"/>
          <w:szCs w:val="21"/>
        </w:rPr>
        <w:t>区间，不代表单独每口井的</w:t>
      </w:r>
      <w:r>
        <w:rPr>
          <w:rFonts w:eastAsia="仿宋" w:hint="eastAsia"/>
          <w:szCs w:val="21"/>
        </w:rPr>
        <w:t>井深</w:t>
      </w:r>
      <w:r>
        <w:rPr>
          <w:rFonts w:eastAsia="仿宋"/>
          <w:szCs w:val="21"/>
        </w:rPr>
        <w:t>。</w:t>
      </w:r>
    </w:p>
    <w:p w:rsidR="00EE4502" w:rsidRDefault="00FD45A3">
      <w:pPr>
        <w:spacing w:line="360" w:lineRule="auto"/>
        <w:ind w:left="-28" w:firstLineChars="211" w:firstLine="506"/>
        <w:rPr>
          <w:sz w:val="24"/>
        </w:rPr>
      </w:pPr>
      <w:r>
        <w:rPr>
          <w:rFonts w:hint="eastAsia"/>
          <w:sz w:val="24"/>
        </w:rPr>
        <w:t>本工程</w:t>
      </w:r>
      <w:r>
        <w:rPr>
          <w:sz w:val="24"/>
        </w:rPr>
        <w:t>钻井过程采用水基非磺化环保泥浆。由以上经验公式计算可得，</w:t>
      </w:r>
      <w:r>
        <w:rPr>
          <w:rFonts w:hint="eastAsia"/>
          <w:sz w:val="24"/>
        </w:rPr>
        <w:t>本工程</w:t>
      </w:r>
      <w:r>
        <w:rPr>
          <w:sz w:val="24"/>
        </w:rPr>
        <w:t>新钻井泥浆</w:t>
      </w:r>
      <w:r>
        <w:rPr>
          <w:rFonts w:hint="eastAsia"/>
          <w:sz w:val="24"/>
        </w:rPr>
        <w:t>产生总</w:t>
      </w:r>
      <w:r>
        <w:rPr>
          <w:sz w:val="24"/>
        </w:rPr>
        <w:t>量约为</w:t>
      </w:r>
      <w:r>
        <w:rPr>
          <w:rFonts w:hint="eastAsia"/>
          <w:sz w:val="24"/>
        </w:rPr>
        <w:t>5607</w:t>
      </w:r>
      <w:r>
        <w:rPr>
          <w:sz w:val="24"/>
        </w:rPr>
        <w:t>m</w:t>
      </w:r>
      <w:r>
        <w:rPr>
          <w:rFonts w:hint="eastAsia"/>
          <w:sz w:val="24"/>
          <w:vertAlign w:val="superscript"/>
        </w:rPr>
        <w:t>3</w:t>
      </w:r>
      <w:r>
        <w:rPr>
          <w:sz w:val="24"/>
        </w:rPr>
        <w:t>。</w:t>
      </w:r>
    </w:p>
    <w:p w:rsidR="00EE4502" w:rsidRDefault="00FD45A3">
      <w:pPr>
        <w:spacing w:line="360" w:lineRule="auto"/>
        <w:ind w:left="-28" w:firstLineChars="211" w:firstLine="506"/>
        <w:rPr>
          <w:sz w:val="24"/>
        </w:rPr>
      </w:pPr>
      <w:r>
        <w:rPr>
          <w:rFonts w:ascii="宋体" w:hAnsi="宋体" w:cs="宋体" w:hint="eastAsia"/>
          <w:sz w:val="24"/>
        </w:rPr>
        <w:t>②</w:t>
      </w:r>
      <w:r>
        <w:rPr>
          <w:sz w:val="24"/>
        </w:rPr>
        <w:t>钻井岩屑</w:t>
      </w:r>
    </w:p>
    <w:p w:rsidR="00EE4502" w:rsidRDefault="00FD45A3">
      <w:pPr>
        <w:spacing w:line="360" w:lineRule="auto"/>
        <w:ind w:left="-28" w:firstLineChars="211" w:firstLine="506"/>
        <w:rPr>
          <w:sz w:val="24"/>
        </w:rPr>
      </w:pPr>
      <w:r>
        <w:rPr>
          <w:rFonts w:hint="eastAsia"/>
          <w:sz w:val="24"/>
        </w:rPr>
        <w:t>本工程</w:t>
      </w:r>
      <w:r>
        <w:rPr>
          <w:sz w:val="24"/>
        </w:rPr>
        <w:t>钻井过程中采用的钻井液为非磺化水基钻井液。岩屑产生、排放量与井身结构以及回收率等因素有关，其中岩屑产生量可按下式计算：</w:t>
      </w:r>
    </w:p>
    <w:p w:rsidR="00EE4502" w:rsidRDefault="00FD45A3" w:rsidP="003F4A18">
      <w:pPr>
        <w:spacing w:line="360" w:lineRule="auto"/>
        <w:ind w:left="-28" w:firstLineChars="976" w:firstLine="2050"/>
        <w:rPr>
          <w:sz w:val="24"/>
        </w:rPr>
      </w:pPr>
      <m:oMathPara>
        <m:oMath>
          <m:r>
            <w:rPr>
              <w:rFonts w:ascii="Cambria Math"/>
            </w:rPr>
            <m:t>W</m:t>
          </m:r>
          <m:r>
            <w:rPr>
              <w:rFonts w:ascii="Cambria Math"/>
            </w:rPr>
            <m:t>=</m:t>
          </m:r>
          <m:f>
            <m:fPr>
              <m:ctrlPr>
                <w:rPr>
                  <w:rFonts w:ascii="Cambria Math" w:hAnsi="Cambria Math"/>
                  <w:i/>
                </w:rPr>
              </m:ctrlPr>
            </m:fPr>
            <m:num>
              <m:r>
                <w:rPr>
                  <w:rFonts w:ascii="Cambria Math"/>
                </w:rPr>
                <m:t>1</m:t>
              </m:r>
            </m:num>
            <m:den>
              <m:r>
                <w:rPr>
                  <w:rFonts w:ascii="Cambria Math"/>
                </w:rPr>
                <m:t>4</m:t>
              </m:r>
            </m:den>
          </m:f>
          <m:r>
            <w:rPr>
              <w:rFonts w:ascii="Cambria Math"/>
            </w:rPr>
            <m:t>×</m:t>
          </m:r>
          <m:r>
            <w:rPr>
              <w:rFonts w:ascii="Cambria Math"/>
            </w:rPr>
            <m:t>π</m:t>
          </m:r>
          <m:r>
            <w:rPr>
              <w:rFonts w:ascii="Cambria Math"/>
            </w:rPr>
            <m:t>×</m:t>
          </m:r>
          <m:sSup>
            <m:sSupPr>
              <m:ctrlPr>
                <w:rPr>
                  <w:rFonts w:ascii="Cambria Math" w:hAnsi="Cambria Math"/>
                  <w:i/>
                </w:rPr>
              </m:ctrlPr>
            </m:sSupPr>
            <m:e>
              <m:r>
                <w:rPr>
                  <w:rFonts w:ascii="Cambria Math"/>
                </w:rPr>
                <m:t>D</m:t>
              </m:r>
            </m:e>
            <m:sup>
              <m:r>
                <w:rPr>
                  <w:rFonts w:ascii="Cambria Math"/>
                </w:rPr>
                <m:t>2</m:t>
              </m:r>
            </m:sup>
          </m:sSup>
          <m:r>
            <w:rPr>
              <w:rFonts w:ascii="Cambria Math"/>
            </w:rPr>
            <m:t>×h</m:t>
          </m:r>
          <m:r>
            <w:rPr>
              <w:rFonts w:ascii="Cambria Math" w:hint="eastAsia"/>
            </w:rPr>
            <m:t>×</m:t>
          </m:r>
          <m:r>
            <w:rPr>
              <w:rFonts w:ascii="Cambria Math" w:hint="eastAsia"/>
            </w:rPr>
            <m:t>d</m:t>
          </m:r>
        </m:oMath>
      </m:oMathPara>
    </w:p>
    <w:p w:rsidR="00EE4502" w:rsidRDefault="00FD45A3">
      <w:pPr>
        <w:spacing w:line="360" w:lineRule="auto"/>
        <w:ind w:left="-28" w:firstLineChars="211" w:firstLine="506"/>
        <w:rPr>
          <w:sz w:val="24"/>
        </w:rPr>
      </w:pPr>
      <w:r>
        <w:rPr>
          <w:sz w:val="24"/>
        </w:rPr>
        <w:t>式中：</w:t>
      </w:r>
      <w:r>
        <w:rPr>
          <w:sz w:val="24"/>
        </w:rPr>
        <w:t>W——</w:t>
      </w:r>
      <w:r>
        <w:rPr>
          <w:sz w:val="24"/>
        </w:rPr>
        <w:t>钻井岩屑产生量，</w:t>
      </w:r>
      <w:r>
        <w:rPr>
          <w:rFonts w:hint="eastAsia"/>
          <w:sz w:val="24"/>
        </w:rPr>
        <w:t>m</w:t>
      </w:r>
      <w:r>
        <w:rPr>
          <w:rFonts w:hint="eastAsia"/>
          <w:sz w:val="24"/>
        </w:rPr>
        <w:t>³</w:t>
      </w:r>
      <w:r>
        <w:rPr>
          <w:sz w:val="24"/>
        </w:rPr>
        <w:t>；</w:t>
      </w:r>
    </w:p>
    <w:p w:rsidR="00EE4502" w:rsidRDefault="00FD45A3" w:rsidP="003F4A18">
      <w:pPr>
        <w:spacing w:line="360" w:lineRule="auto"/>
        <w:ind w:left="-28" w:firstLineChars="494" w:firstLine="1186"/>
        <w:rPr>
          <w:sz w:val="24"/>
        </w:rPr>
      </w:pPr>
      <w:r>
        <w:rPr>
          <w:sz w:val="24"/>
        </w:rPr>
        <w:t>D——</w:t>
      </w:r>
      <w:r>
        <w:rPr>
          <w:sz w:val="24"/>
        </w:rPr>
        <w:t>井眼的平均直径</w:t>
      </w:r>
      <w:r>
        <w:rPr>
          <w:rFonts w:hint="eastAsia"/>
          <w:sz w:val="24"/>
        </w:rPr>
        <w:t>，</w:t>
      </w:r>
      <w:r>
        <w:rPr>
          <w:sz w:val="24"/>
        </w:rPr>
        <w:t>m</w:t>
      </w:r>
      <w:r>
        <w:rPr>
          <w:sz w:val="24"/>
        </w:rPr>
        <w:t>；</w:t>
      </w:r>
    </w:p>
    <w:p w:rsidR="00EE4502" w:rsidRDefault="00FD45A3" w:rsidP="003F4A18">
      <w:pPr>
        <w:spacing w:line="360" w:lineRule="auto"/>
        <w:ind w:left="-28" w:firstLineChars="494" w:firstLine="1186"/>
        <w:rPr>
          <w:sz w:val="24"/>
        </w:rPr>
      </w:pPr>
      <w:r>
        <w:rPr>
          <w:sz w:val="24"/>
        </w:rPr>
        <w:t>h——</w:t>
      </w:r>
      <w:r>
        <w:rPr>
          <w:sz w:val="24"/>
        </w:rPr>
        <w:t>井深</w:t>
      </w:r>
      <w:r>
        <w:rPr>
          <w:rFonts w:hint="eastAsia"/>
          <w:sz w:val="24"/>
        </w:rPr>
        <w:t>，</w:t>
      </w:r>
      <w:r>
        <w:rPr>
          <w:sz w:val="24"/>
        </w:rPr>
        <w:t>m</w:t>
      </w:r>
      <w:r>
        <w:rPr>
          <w:sz w:val="24"/>
        </w:rPr>
        <w:t>；</w:t>
      </w:r>
    </w:p>
    <w:p w:rsidR="00EE4502" w:rsidRDefault="00FD45A3" w:rsidP="003F4A18">
      <w:pPr>
        <w:spacing w:line="360" w:lineRule="auto"/>
        <w:ind w:left="-28" w:firstLineChars="494" w:firstLine="1186"/>
        <w:rPr>
          <w:sz w:val="24"/>
        </w:rPr>
      </w:pPr>
      <w:r>
        <w:rPr>
          <w:sz w:val="24"/>
        </w:rPr>
        <w:t>d——</w:t>
      </w:r>
      <w:r>
        <w:rPr>
          <w:sz w:val="24"/>
        </w:rPr>
        <w:t>岩屑膨胀系数，水基泥浆取</w:t>
      </w:r>
      <w:r>
        <w:rPr>
          <w:sz w:val="24"/>
        </w:rPr>
        <w:t>d=2.2</w:t>
      </w:r>
      <w:r>
        <w:rPr>
          <w:sz w:val="24"/>
        </w:rPr>
        <w:t>。</w:t>
      </w:r>
    </w:p>
    <w:p w:rsidR="00EE4502" w:rsidRDefault="00FD45A3">
      <w:pPr>
        <w:spacing w:line="360" w:lineRule="auto"/>
        <w:jc w:val="center"/>
        <w:rPr>
          <w:rFonts w:eastAsia="黑体"/>
          <w:bCs/>
          <w:lang w:val="zh-CN"/>
        </w:rPr>
      </w:pPr>
      <w:r>
        <w:rPr>
          <w:rFonts w:eastAsia="黑体"/>
          <w:bCs/>
          <w:lang w:val="zh-CN"/>
        </w:rPr>
        <w:t>表</w:t>
      </w:r>
      <w:r>
        <w:rPr>
          <w:rFonts w:eastAsia="黑体" w:hint="eastAsia"/>
          <w:bCs/>
          <w:lang w:val="zh-CN"/>
        </w:rPr>
        <w:t>3-4</w:t>
      </w:r>
      <w:r>
        <w:rPr>
          <w:rFonts w:eastAsia="黑体"/>
          <w:bCs/>
          <w:lang w:val="zh-CN"/>
        </w:rPr>
        <w:t>-</w:t>
      </w:r>
      <w:r>
        <w:rPr>
          <w:rFonts w:eastAsia="黑体"/>
          <w:bCs/>
        </w:rPr>
        <w:t>4</w:t>
      </w:r>
      <w:r>
        <w:rPr>
          <w:rFonts w:eastAsia="黑体"/>
          <w:bCs/>
          <w:lang w:val="zh-CN"/>
        </w:rPr>
        <w:t xml:space="preserve">  </w:t>
      </w:r>
      <w:r>
        <w:rPr>
          <w:rFonts w:eastAsia="黑体" w:hint="eastAsia"/>
          <w:bCs/>
          <w:lang w:val="zh-CN"/>
        </w:rPr>
        <w:t>钻井岩屑产生量统计表</w:t>
      </w: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4A0" w:firstRow="1" w:lastRow="0" w:firstColumn="1" w:lastColumn="0" w:noHBand="0" w:noVBand="1"/>
      </w:tblPr>
      <w:tblGrid>
        <w:gridCol w:w="1124"/>
        <w:gridCol w:w="994"/>
        <w:gridCol w:w="1560"/>
        <w:gridCol w:w="1419"/>
        <w:gridCol w:w="1156"/>
        <w:gridCol w:w="2067"/>
      </w:tblGrid>
      <w:tr w:rsidR="00EE4502">
        <w:trPr>
          <w:trHeight w:val="340"/>
          <w:jc w:val="center"/>
        </w:trPr>
        <w:tc>
          <w:tcPr>
            <w:tcW w:w="675" w:type="pct"/>
            <w:vAlign w:val="center"/>
          </w:tcPr>
          <w:p w:rsidR="00EE4502" w:rsidRDefault="00FD45A3">
            <w:pPr>
              <w:jc w:val="center"/>
              <w:rPr>
                <w:szCs w:val="21"/>
              </w:rPr>
            </w:pPr>
            <w:r>
              <w:rPr>
                <w:rFonts w:hint="eastAsia"/>
                <w:szCs w:val="21"/>
              </w:rPr>
              <w:t>井</w:t>
            </w:r>
            <w:r>
              <w:rPr>
                <w:rFonts w:hint="eastAsia"/>
                <w:szCs w:val="21"/>
              </w:rPr>
              <w:t>型</w:t>
            </w:r>
          </w:p>
        </w:tc>
        <w:tc>
          <w:tcPr>
            <w:tcW w:w="597" w:type="pct"/>
            <w:vAlign w:val="center"/>
          </w:tcPr>
          <w:p w:rsidR="00EE4502" w:rsidRDefault="00FD45A3">
            <w:pPr>
              <w:jc w:val="center"/>
              <w:rPr>
                <w:szCs w:val="21"/>
              </w:rPr>
            </w:pPr>
            <w:r>
              <w:rPr>
                <w:rFonts w:hint="eastAsia"/>
                <w:szCs w:val="21"/>
              </w:rPr>
              <w:t>结构</w:t>
            </w:r>
          </w:p>
        </w:tc>
        <w:tc>
          <w:tcPr>
            <w:tcW w:w="937" w:type="pct"/>
            <w:vAlign w:val="center"/>
          </w:tcPr>
          <w:p w:rsidR="00EE4502" w:rsidRDefault="00FD45A3">
            <w:pPr>
              <w:jc w:val="center"/>
              <w:rPr>
                <w:szCs w:val="21"/>
              </w:rPr>
            </w:pPr>
            <w:r>
              <w:rPr>
                <w:rFonts w:hint="eastAsia"/>
                <w:szCs w:val="21"/>
              </w:rPr>
              <w:t>井眼的平均直径</w:t>
            </w:r>
          </w:p>
          <w:p w:rsidR="00EE4502" w:rsidRDefault="00FD45A3">
            <w:pPr>
              <w:jc w:val="center"/>
              <w:rPr>
                <w:szCs w:val="21"/>
              </w:rPr>
            </w:pPr>
            <w:r>
              <w:rPr>
                <w:rFonts w:hint="eastAsia"/>
                <w:szCs w:val="21"/>
              </w:rPr>
              <w:t>（</w:t>
            </w:r>
            <w:r>
              <w:rPr>
                <w:rFonts w:hint="eastAsia"/>
                <w:szCs w:val="21"/>
              </w:rPr>
              <w:t>m</w:t>
            </w:r>
            <w:r>
              <w:rPr>
                <w:szCs w:val="21"/>
              </w:rPr>
              <w:t>m</w:t>
            </w:r>
            <w:r>
              <w:rPr>
                <w:rFonts w:hint="eastAsia"/>
                <w:szCs w:val="21"/>
              </w:rPr>
              <w:t>)</w:t>
            </w:r>
          </w:p>
        </w:tc>
        <w:tc>
          <w:tcPr>
            <w:tcW w:w="853" w:type="pct"/>
            <w:vAlign w:val="center"/>
          </w:tcPr>
          <w:p w:rsidR="00EE4502" w:rsidRDefault="00FD45A3">
            <w:pPr>
              <w:jc w:val="center"/>
              <w:rPr>
                <w:szCs w:val="21"/>
              </w:rPr>
            </w:pPr>
            <w:r>
              <w:rPr>
                <w:rFonts w:hint="eastAsia"/>
                <w:szCs w:val="21"/>
              </w:rPr>
              <w:t>井段</w:t>
            </w:r>
          </w:p>
          <w:p w:rsidR="00EE4502" w:rsidRDefault="00FD45A3">
            <w:pPr>
              <w:jc w:val="center"/>
              <w:rPr>
                <w:szCs w:val="21"/>
              </w:rPr>
            </w:pPr>
            <w:r>
              <w:rPr>
                <w:rFonts w:hint="eastAsia"/>
                <w:szCs w:val="21"/>
              </w:rPr>
              <w:t>（</w:t>
            </w:r>
            <w:r>
              <w:rPr>
                <w:rFonts w:hint="eastAsia"/>
                <w:szCs w:val="21"/>
              </w:rPr>
              <w:t>m</w:t>
            </w:r>
            <w:r>
              <w:rPr>
                <w:rFonts w:hint="eastAsia"/>
                <w:szCs w:val="21"/>
              </w:rPr>
              <w:t>)</w:t>
            </w:r>
          </w:p>
        </w:tc>
        <w:tc>
          <w:tcPr>
            <w:tcW w:w="694" w:type="pct"/>
            <w:vAlign w:val="center"/>
          </w:tcPr>
          <w:p w:rsidR="00EE4502" w:rsidRDefault="00FD45A3">
            <w:pPr>
              <w:jc w:val="center"/>
              <w:rPr>
                <w:szCs w:val="21"/>
              </w:rPr>
            </w:pPr>
            <w:r>
              <w:rPr>
                <w:rFonts w:hint="eastAsia"/>
                <w:szCs w:val="21"/>
              </w:rPr>
              <w:t>数量</w:t>
            </w:r>
          </w:p>
          <w:p w:rsidR="00EE4502" w:rsidRDefault="00FD45A3">
            <w:pPr>
              <w:jc w:val="center"/>
              <w:rPr>
                <w:szCs w:val="21"/>
              </w:rPr>
            </w:pPr>
            <w:r>
              <w:rPr>
                <w:rFonts w:hint="eastAsia"/>
                <w:szCs w:val="21"/>
              </w:rPr>
              <w:t>（口）</w:t>
            </w:r>
          </w:p>
        </w:tc>
        <w:tc>
          <w:tcPr>
            <w:tcW w:w="1242" w:type="pct"/>
            <w:vAlign w:val="center"/>
          </w:tcPr>
          <w:p w:rsidR="00EE4502" w:rsidRDefault="00FD45A3">
            <w:pPr>
              <w:jc w:val="center"/>
              <w:rPr>
                <w:szCs w:val="21"/>
              </w:rPr>
            </w:pPr>
            <w:r>
              <w:rPr>
                <w:rFonts w:hint="eastAsia"/>
                <w:szCs w:val="21"/>
              </w:rPr>
              <w:t>岩屑产生量</w:t>
            </w:r>
          </w:p>
          <w:p w:rsidR="00EE4502" w:rsidRDefault="00FD45A3">
            <w:pPr>
              <w:jc w:val="center"/>
              <w:rPr>
                <w:szCs w:val="21"/>
              </w:rPr>
            </w:pPr>
            <w:r>
              <w:rPr>
                <w:rFonts w:hint="eastAsia"/>
                <w:szCs w:val="21"/>
              </w:rPr>
              <w:t>（</w:t>
            </w:r>
            <w:r>
              <w:rPr>
                <w:rFonts w:hint="eastAsia"/>
                <w:szCs w:val="21"/>
              </w:rPr>
              <w:t>m</w:t>
            </w:r>
            <w:r>
              <w:rPr>
                <w:szCs w:val="21"/>
                <w:vertAlign w:val="superscript"/>
              </w:rPr>
              <w:t>3</w:t>
            </w:r>
            <w:r>
              <w:rPr>
                <w:rFonts w:hint="eastAsia"/>
                <w:szCs w:val="21"/>
                <w:vertAlign w:val="superscript"/>
              </w:rPr>
              <w:t>)</w:t>
            </w:r>
          </w:p>
        </w:tc>
      </w:tr>
      <w:tr w:rsidR="00EE4502">
        <w:trPr>
          <w:trHeight w:val="340"/>
          <w:jc w:val="center"/>
        </w:trPr>
        <w:tc>
          <w:tcPr>
            <w:tcW w:w="675" w:type="pct"/>
            <w:vMerge w:val="restart"/>
            <w:vAlign w:val="center"/>
          </w:tcPr>
          <w:p w:rsidR="00EE4502" w:rsidRDefault="00FD45A3">
            <w:pPr>
              <w:jc w:val="center"/>
              <w:rPr>
                <w:szCs w:val="21"/>
              </w:rPr>
            </w:pPr>
            <w:r>
              <w:rPr>
                <w:rFonts w:hint="eastAsia"/>
                <w:szCs w:val="21"/>
              </w:rPr>
              <w:lastRenderedPageBreak/>
              <w:t>水平井</w:t>
            </w:r>
          </w:p>
        </w:tc>
        <w:tc>
          <w:tcPr>
            <w:tcW w:w="597" w:type="pct"/>
            <w:vAlign w:val="center"/>
          </w:tcPr>
          <w:p w:rsidR="00EE4502" w:rsidRDefault="00FD45A3">
            <w:pPr>
              <w:jc w:val="center"/>
              <w:rPr>
                <w:szCs w:val="21"/>
              </w:rPr>
            </w:pPr>
            <w:r>
              <w:rPr>
                <w:rFonts w:hint="eastAsia"/>
                <w:szCs w:val="21"/>
              </w:rPr>
              <w:t>一开</w:t>
            </w:r>
          </w:p>
        </w:tc>
        <w:tc>
          <w:tcPr>
            <w:tcW w:w="937" w:type="pct"/>
            <w:vAlign w:val="center"/>
          </w:tcPr>
          <w:p w:rsidR="00EE4502" w:rsidRDefault="00FD45A3">
            <w:pPr>
              <w:jc w:val="center"/>
              <w:rPr>
                <w:szCs w:val="21"/>
              </w:rPr>
            </w:pPr>
            <w:r>
              <w:rPr>
                <w:szCs w:val="21"/>
              </w:rPr>
              <w:t>346.1</w:t>
            </w:r>
          </w:p>
        </w:tc>
        <w:tc>
          <w:tcPr>
            <w:tcW w:w="853" w:type="pct"/>
            <w:vAlign w:val="center"/>
          </w:tcPr>
          <w:p w:rsidR="00EE4502" w:rsidRDefault="00FD45A3">
            <w:pPr>
              <w:jc w:val="center"/>
              <w:rPr>
                <w:szCs w:val="21"/>
              </w:rPr>
            </w:pPr>
            <w:r>
              <w:rPr>
                <w:rFonts w:hint="eastAsia"/>
                <w:szCs w:val="21"/>
              </w:rPr>
              <w:t>0~91</w:t>
            </w:r>
          </w:p>
        </w:tc>
        <w:tc>
          <w:tcPr>
            <w:tcW w:w="694" w:type="pct"/>
            <w:vMerge w:val="restart"/>
            <w:vAlign w:val="center"/>
          </w:tcPr>
          <w:p w:rsidR="00EE4502" w:rsidRDefault="00FD45A3">
            <w:pPr>
              <w:jc w:val="center"/>
              <w:rPr>
                <w:szCs w:val="21"/>
              </w:rPr>
            </w:pPr>
            <w:r>
              <w:rPr>
                <w:rFonts w:hint="eastAsia"/>
                <w:szCs w:val="21"/>
              </w:rPr>
              <w:t>15</w:t>
            </w:r>
          </w:p>
        </w:tc>
        <w:tc>
          <w:tcPr>
            <w:tcW w:w="2067" w:type="dxa"/>
            <w:vAlign w:val="center"/>
          </w:tcPr>
          <w:p w:rsidR="00EE4502" w:rsidRDefault="00FD45A3">
            <w:pPr>
              <w:jc w:val="center"/>
              <w:rPr>
                <w:szCs w:val="21"/>
              </w:rPr>
            </w:pPr>
            <w:r>
              <w:rPr>
                <w:rFonts w:hint="eastAsia"/>
                <w:szCs w:val="21"/>
              </w:rPr>
              <w:t>282.52</w:t>
            </w:r>
          </w:p>
        </w:tc>
      </w:tr>
      <w:tr w:rsidR="00EE4502">
        <w:trPr>
          <w:trHeight w:val="340"/>
          <w:jc w:val="center"/>
        </w:trPr>
        <w:tc>
          <w:tcPr>
            <w:tcW w:w="675" w:type="pct"/>
            <w:vMerge/>
            <w:vAlign w:val="center"/>
          </w:tcPr>
          <w:p w:rsidR="00EE4502" w:rsidRDefault="00EE4502">
            <w:pPr>
              <w:jc w:val="center"/>
              <w:rPr>
                <w:szCs w:val="21"/>
              </w:rPr>
            </w:pPr>
          </w:p>
        </w:tc>
        <w:tc>
          <w:tcPr>
            <w:tcW w:w="597" w:type="pct"/>
            <w:vAlign w:val="center"/>
          </w:tcPr>
          <w:p w:rsidR="00EE4502" w:rsidRDefault="00FD45A3">
            <w:pPr>
              <w:jc w:val="center"/>
              <w:rPr>
                <w:szCs w:val="21"/>
              </w:rPr>
            </w:pPr>
            <w:r>
              <w:rPr>
                <w:rFonts w:hint="eastAsia"/>
                <w:szCs w:val="21"/>
              </w:rPr>
              <w:t>二开</w:t>
            </w:r>
          </w:p>
        </w:tc>
        <w:tc>
          <w:tcPr>
            <w:tcW w:w="937" w:type="pct"/>
            <w:vAlign w:val="center"/>
          </w:tcPr>
          <w:p w:rsidR="00EE4502" w:rsidRDefault="00FD45A3">
            <w:pPr>
              <w:jc w:val="center"/>
              <w:rPr>
                <w:szCs w:val="21"/>
              </w:rPr>
            </w:pPr>
            <w:r>
              <w:rPr>
                <w:szCs w:val="21"/>
              </w:rPr>
              <w:t>241.3</w:t>
            </w:r>
          </w:p>
        </w:tc>
        <w:tc>
          <w:tcPr>
            <w:tcW w:w="853" w:type="pct"/>
            <w:vAlign w:val="center"/>
          </w:tcPr>
          <w:p w:rsidR="00EE4502" w:rsidRDefault="00FD45A3">
            <w:pPr>
              <w:jc w:val="center"/>
              <w:rPr>
                <w:szCs w:val="21"/>
              </w:rPr>
            </w:pPr>
            <w:r>
              <w:rPr>
                <w:rFonts w:hint="eastAsia"/>
                <w:szCs w:val="21"/>
              </w:rPr>
              <w:t>91~933</w:t>
            </w:r>
          </w:p>
        </w:tc>
        <w:tc>
          <w:tcPr>
            <w:tcW w:w="694" w:type="pct"/>
            <w:vMerge/>
            <w:vAlign w:val="center"/>
          </w:tcPr>
          <w:p w:rsidR="00EE4502" w:rsidRDefault="00EE4502">
            <w:pPr>
              <w:jc w:val="center"/>
              <w:rPr>
                <w:szCs w:val="21"/>
              </w:rPr>
            </w:pPr>
          </w:p>
        </w:tc>
        <w:tc>
          <w:tcPr>
            <w:tcW w:w="2067" w:type="dxa"/>
            <w:vAlign w:val="center"/>
          </w:tcPr>
          <w:p w:rsidR="00EE4502" w:rsidRDefault="00FD45A3">
            <w:pPr>
              <w:jc w:val="center"/>
              <w:rPr>
                <w:szCs w:val="21"/>
              </w:rPr>
            </w:pPr>
            <w:r>
              <w:rPr>
                <w:rFonts w:hint="eastAsia"/>
                <w:szCs w:val="21"/>
              </w:rPr>
              <w:t>1270.66</w:t>
            </w:r>
          </w:p>
        </w:tc>
      </w:tr>
      <w:tr w:rsidR="00EE4502">
        <w:trPr>
          <w:trHeight w:val="340"/>
          <w:jc w:val="center"/>
        </w:trPr>
        <w:tc>
          <w:tcPr>
            <w:tcW w:w="675" w:type="pct"/>
            <w:vMerge/>
            <w:vAlign w:val="center"/>
          </w:tcPr>
          <w:p w:rsidR="00EE4502" w:rsidRDefault="00EE4502">
            <w:pPr>
              <w:jc w:val="center"/>
              <w:rPr>
                <w:szCs w:val="21"/>
              </w:rPr>
            </w:pPr>
          </w:p>
        </w:tc>
        <w:tc>
          <w:tcPr>
            <w:tcW w:w="597" w:type="pct"/>
            <w:vAlign w:val="center"/>
          </w:tcPr>
          <w:p w:rsidR="00EE4502" w:rsidRDefault="00FD45A3">
            <w:pPr>
              <w:jc w:val="center"/>
              <w:rPr>
                <w:szCs w:val="21"/>
              </w:rPr>
            </w:pPr>
            <w:r>
              <w:rPr>
                <w:rFonts w:hint="eastAsia"/>
                <w:szCs w:val="21"/>
              </w:rPr>
              <w:t>三开</w:t>
            </w:r>
          </w:p>
        </w:tc>
        <w:tc>
          <w:tcPr>
            <w:tcW w:w="937" w:type="pct"/>
            <w:vAlign w:val="center"/>
          </w:tcPr>
          <w:p w:rsidR="00EE4502" w:rsidRDefault="00FD45A3">
            <w:pPr>
              <w:jc w:val="center"/>
              <w:rPr>
                <w:szCs w:val="21"/>
              </w:rPr>
            </w:pPr>
            <w:r>
              <w:rPr>
                <w:szCs w:val="21"/>
              </w:rPr>
              <w:t>152.4</w:t>
            </w:r>
          </w:p>
        </w:tc>
        <w:tc>
          <w:tcPr>
            <w:tcW w:w="853" w:type="pct"/>
            <w:vAlign w:val="center"/>
          </w:tcPr>
          <w:p w:rsidR="00EE4502" w:rsidRDefault="00FD45A3">
            <w:pPr>
              <w:jc w:val="center"/>
              <w:rPr>
                <w:szCs w:val="21"/>
              </w:rPr>
            </w:pPr>
            <w:r>
              <w:rPr>
                <w:rFonts w:hint="eastAsia"/>
                <w:szCs w:val="21"/>
              </w:rPr>
              <w:t>933~1657.47</w:t>
            </w:r>
          </w:p>
        </w:tc>
        <w:tc>
          <w:tcPr>
            <w:tcW w:w="694" w:type="pct"/>
            <w:vMerge/>
            <w:vAlign w:val="center"/>
          </w:tcPr>
          <w:p w:rsidR="00EE4502" w:rsidRDefault="00EE4502">
            <w:pPr>
              <w:jc w:val="center"/>
              <w:rPr>
                <w:szCs w:val="21"/>
              </w:rPr>
            </w:pPr>
          </w:p>
        </w:tc>
        <w:tc>
          <w:tcPr>
            <w:tcW w:w="2067" w:type="dxa"/>
            <w:vAlign w:val="center"/>
          </w:tcPr>
          <w:p w:rsidR="00EE4502" w:rsidRDefault="00FD45A3">
            <w:pPr>
              <w:jc w:val="center"/>
              <w:rPr>
                <w:szCs w:val="21"/>
              </w:rPr>
            </w:pPr>
            <w:r>
              <w:rPr>
                <w:rFonts w:hint="eastAsia"/>
                <w:szCs w:val="21"/>
              </w:rPr>
              <w:t>436.11</w:t>
            </w:r>
          </w:p>
        </w:tc>
      </w:tr>
      <w:tr w:rsidR="00EE4502">
        <w:trPr>
          <w:trHeight w:val="340"/>
          <w:jc w:val="center"/>
        </w:trPr>
        <w:tc>
          <w:tcPr>
            <w:tcW w:w="675" w:type="pct"/>
            <w:vMerge w:val="restart"/>
            <w:vAlign w:val="center"/>
          </w:tcPr>
          <w:p w:rsidR="00EE4502" w:rsidRDefault="00FD45A3">
            <w:pPr>
              <w:jc w:val="center"/>
              <w:rPr>
                <w:szCs w:val="21"/>
              </w:rPr>
            </w:pPr>
            <w:r>
              <w:rPr>
                <w:rFonts w:hint="eastAsia"/>
                <w:szCs w:val="21"/>
              </w:rPr>
              <w:t>定向井</w:t>
            </w:r>
          </w:p>
        </w:tc>
        <w:tc>
          <w:tcPr>
            <w:tcW w:w="597" w:type="pct"/>
            <w:vAlign w:val="center"/>
          </w:tcPr>
          <w:p w:rsidR="00EE4502" w:rsidRDefault="00FD45A3">
            <w:pPr>
              <w:jc w:val="center"/>
              <w:rPr>
                <w:szCs w:val="21"/>
              </w:rPr>
            </w:pPr>
            <w:r>
              <w:rPr>
                <w:rFonts w:hint="eastAsia"/>
                <w:szCs w:val="21"/>
              </w:rPr>
              <w:t>一开</w:t>
            </w:r>
          </w:p>
        </w:tc>
        <w:tc>
          <w:tcPr>
            <w:tcW w:w="937" w:type="pct"/>
            <w:vAlign w:val="center"/>
          </w:tcPr>
          <w:p w:rsidR="00EE4502" w:rsidRDefault="00FD45A3">
            <w:pPr>
              <w:jc w:val="center"/>
              <w:rPr>
                <w:szCs w:val="21"/>
              </w:rPr>
            </w:pPr>
            <w:r>
              <w:rPr>
                <w:szCs w:val="21"/>
              </w:rPr>
              <w:t>346.1</w:t>
            </w:r>
          </w:p>
        </w:tc>
        <w:tc>
          <w:tcPr>
            <w:tcW w:w="853" w:type="pct"/>
            <w:vAlign w:val="center"/>
          </w:tcPr>
          <w:p w:rsidR="00EE4502" w:rsidRDefault="00FD45A3">
            <w:pPr>
              <w:jc w:val="center"/>
              <w:rPr>
                <w:szCs w:val="21"/>
              </w:rPr>
            </w:pPr>
            <w:r>
              <w:rPr>
                <w:rFonts w:hint="eastAsia"/>
                <w:szCs w:val="21"/>
              </w:rPr>
              <w:t>0~111</w:t>
            </w:r>
          </w:p>
        </w:tc>
        <w:tc>
          <w:tcPr>
            <w:tcW w:w="694" w:type="pct"/>
            <w:vMerge w:val="restart"/>
            <w:vAlign w:val="center"/>
          </w:tcPr>
          <w:p w:rsidR="00EE4502" w:rsidRDefault="00FD45A3">
            <w:pPr>
              <w:jc w:val="center"/>
              <w:rPr>
                <w:szCs w:val="21"/>
              </w:rPr>
            </w:pPr>
            <w:r>
              <w:rPr>
                <w:rFonts w:hint="eastAsia"/>
                <w:szCs w:val="21"/>
              </w:rPr>
              <w:t>1</w:t>
            </w:r>
          </w:p>
        </w:tc>
        <w:tc>
          <w:tcPr>
            <w:tcW w:w="2067" w:type="dxa"/>
            <w:vAlign w:val="center"/>
          </w:tcPr>
          <w:p w:rsidR="00EE4502" w:rsidRDefault="00FD45A3">
            <w:pPr>
              <w:jc w:val="center"/>
              <w:rPr>
                <w:szCs w:val="21"/>
              </w:rPr>
            </w:pPr>
            <w:r>
              <w:rPr>
                <w:rFonts w:hint="eastAsia"/>
                <w:szCs w:val="21"/>
              </w:rPr>
              <w:t>22.97</w:t>
            </w:r>
          </w:p>
        </w:tc>
      </w:tr>
      <w:tr w:rsidR="00EE4502">
        <w:trPr>
          <w:trHeight w:val="340"/>
          <w:jc w:val="center"/>
        </w:trPr>
        <w:tc>
          <w:tcPr>
            <w:tcW w:w="675" w:type="pct"/>
            <w:vMerge/>
            <w:vAlign w:val="center"/>
          </w:tcPr>
          <w:p w:rsidR="00EE4502" w:rsidRDefault="00EE4502">
            <w:pPr>
              <w:jc w:val="center"/>
              <w:rPr>
                <w:szCs w:val="21"/>
              </w:rPr>
            </w:pPr>
          </w:p>
        </w:tc>
        <w:tc>
          <w:tcPr>
            <w:tcW w:w="597" w:type="pct"/>
            <w:vAlign w:val="center"/>
          </w:tcPr>
          <w:p w:rsidR="00EE4502" w:rsidRDefault="00FD45A3">
            <w:pPr>
              <w:jc w:val="center"/>
              <w:rPr>
                <w:szCs w:val="21"/>
              </w:rPr>
            </w:pPr>
            <w:r>
              <w:rPr>
                <w:rFonts w:hint="eastAsia"/>
                <w:szCs w:val="21"/>
              </w:rPr>
              <w:t>二开</w:t>
            </w:r>
          </w:p>
        </w:tc>
        <w:tc>
          <w:tcPr>
            <w:tcW w:w="937" w:type="pct"/>
            <w:vAlign w:val="center"/>
          </w:tcPr>
          <w:p w:rsidR="00EE4502" w:rsidRDefault="00FD45A3">
            <w:pPr>
              <w:jc w:val="center"/>
              <w:rPr>
                <w:szCs w:val="21"/>
              </w:rPr>
            </w:pPr>
            <w:r>
              <w:rPr>
                <w:szCs w:val="21"/>
              </w:rPr>
              <w:t>241.3</w:t>
            </w:r>
          </w:p>
        </w:tc>
        <w:tc>
          <w:tcPr>
            <w:tcW w:w="853" w:type="pct"/>
            <w:vAlign w:val="center"/>
          </w:tcPr>
          <w:p w:rsidR="00EE4502" w:rsidRDefault="00FD45A3">
            <w:pPr>
              <w:jc w:val="center"/>
              <w:rPr>
                <w:szCs w:val="21"/>
              </w:rPr>
            </w:pPr>
            <w:r>
              <w:rPr>
                <w:rFonts w:hint="eastAsia"/>
                <w:szCs w:val="21"/>
              </w:rPr>
              <w:t>111~</w:t>
            </w:r>
            <w:r>
              <w:rPr>
                <w:rFonts w:hint="eastAsia"/>
                <w:szCs w:val="21"/>
              </w:rPr>
              <w:t>1025.22</w:t>
            </w:r>
          </w:p>
        </w:tc>
        <w:tc>
          <w:tcPr>
            <w:tcW w:w="694" w:type="pct"/>
            <w:vMerge/>
            <w:vAlign w:val="center"/>
          </w:tcPr>
          <w:p w:rsidR="00EE4502" w:rsidRDefault="00EE4502">
            <w:pPr>
              <w:jc w:val="center"/>
              <w:rPr>
                <w:szCs w:val="21"/>
              </w:rPr>
            </w:pPr>
          </w:p>
        </w:tc>
        <w:tc>
          <w:tcPr>
            <w:tcW w:w="2067" w:type="dxa"/>
            <w:vAlign w:val="center"/>
          </w:tcPr>
          <w:p w:rsidR="00EE4502" w:rsidRDefault="00FD45A3">
            <w:pPr>
              <w:jc w:val="center"/>
              <w:rPr>
                <w:szCs w:val="21"/>
              </w:rPr>
            </w:pPr>
            <w:r>
              <w:rPr>
                <w:rFonts w:hint="eastAsia"/>
                <w:szCs w:val="21"/>
              </w:rPr>
              <w:t>91.98</w:t>
            </w:r>
          </w:p>
        </w:tc>
      </w:tr>
      <w:tr w:rsidR="00EE4502">
        <w:trPr>
          <w:trHeight w:val="340"/>
          <w:jc w:val="center"/>
        </w:trPr>
        <w:tc>
          <w:tcPr>
            <w:tcW w:w="675" w:type="pct"/>
            <w:vMerge w:val="restart"/>
            <w:vAlign w:val="center"/>
          </w:tcPr>
          <w:p w:rsidR="00EE4502" w:rsidRDefault="00FD45A3">
            <w:pPr>
              <w:jc w:val="center"/>
              <w:rPr>
                <w:szCs w:val="21"/>
              </w:rPr>
            </w:pPr>
            <w:r>
              <w:rPr>
                <w:rFonts w:hint="eastAsia"/>
                <w:szCs w:val="21"/>
              </w:rPr>
              <w:t>直井</w:t>
            </w:r>
          </w:p>
        </w:tc>
        <w:tc>
          <w:tcPr>
            <w:tcW w:w="597" w:type="pct"/>
            <w:vAlign w:val="center"/>
          </w:tcPr>
          <w:p w:rsidR="00EE4502" w:rsidRDefault="00FD45A3">
            <w:pPr>
              <w:jc w:val="center"/>
              <w:rPr>
                <w:szCs w:val="21"/>
              </w:rPr>
            </w:pPr>
            <w:r>
              <w:rPr>
                <w:rFonts w:hint="eastAsia"/>
                <w:szCs w:val="21"/>
              </w:rPr>
              <w:t>一开</w:t>
            </w:r>
          </w:p>
        </w:tc>
        <w:tc>
          <w:tcPr>
            <w:tcW w:w="937" w:type="pct"/>
            <w:vAlign w:val="center"/>
          </w:tcPr>
          <w:p w:rsidR="00EE4502" w:rsidRDefault="00FD45A3">
            <w:pPr>
              <w:jc w:val="center"/>
              <w:rPr>
                <w:szCs w:val="21"/>
              </w:rPr>
            </w:pPr>
            <w:r>
              <w:rPr>
                <w:szCs w:val="21"/>
              </w:rPr>
              <w:t>346.1</w:t>
            </w:r>
          </w:p>
        </w:tc>
        <w:tc>
          <w:tcPr>
            <w:tcW w:w="853" w:type="pct"/>
            <w:vAlign w:val="center"/>
          </w:tcPr>
          <w:p w:rsidR="00EE4502" w:rsidRDefault="00FD45A3">
            <w:pPr>
              <w:jc w:val="center"/>
              <w:rPr>
                <w:szCs w:val="21"/>
              </w:rPr>
            </w:pPr>
            <w:r>
              <w:rPr>
                <w:rFonts w:hint="eastAsia"/>
                <w:szCs w:val="21"/>
              </w:rPr>
              <w:t>0~101</w:t>
            </w:r>
          </w:p>
        </w:tc>
        <w:tc>
          <w:tcPr>
            <w:tcW w:w="694" w:type="pct"/>
            <w:vMerge w:val="restart"/>
            <w:vAlign w:val="center"/>
          </w:tcPr>
          <w:p w:rsidR="00EE4502" w:rsidRDefault="00FD45A3">
            <w:pPr>
              <w:jc w:val="center"/>
              <w:rPr>
                <w:szCs w:val="21"/>
              </w:rPr>
            </w:pPr>
            <w:r>
              <w:rPr>
                <w:rFonts w:hint="eastAsia"/>
                <w:szCs w:val="21"/>
              </w:rPr>
              <w:t>2</w:t>
            </w:r>
          </w:p>
        </w:tc>
        <w:tc>
          <w:tcPr>
            <w:tcW w:w="2067" w:type="dxa"/>
            <w:vAlign w:val="center"/>
          </w:tcPr>
          <w:p w:rsidR="00EE4502" w:rsidRDefault="00FD45A3">
            <w:pPr>
              <w:jc w:val="center"/>
              <w:rPr>
                <w:szCs w:val="21"/>
              </w:rPr>
            </w:pPr>
            <w:r>
              <w:rPr>
                <w:rFonts w:hint="eastAsia"/>
                <w:szCs w:val="21"/>
              </w:rPr>
              <w:t>41.81</w:t>
            </w:r>
          </w:p>
        </w:tc>
      </w:tr>
      <w:tr w:rsidR="00EE4502">
        <w:trPr>
          <w:trHeight w:val="340"/>
          <w:jc w:val="center"/>
        </w:trPr>
        <w:tc>
          <w:tcPr>
            <w:tcW w:w="675" w:type="pct"/>
            <w:vMerge/>
            <w:vAlign w:val="center"/>
          </w:tcPr>
          <w:p w:rsidR="00EE4502" w:rsidRDefault="00EE4502">
            <w:pPr>
              <w:jc w:val="center"/>
              <w:rPr>
                <w:szCs w:val="21"/>
              </w:rPr>
            </w:pPr>
          </w:p>
        </w:tc>
        <w:tc>
          <w:tcPr>
            <w:tcW w:w="597" w:type="pct"/>
            <w:vAlign w:val="center"/>
          </w:tcPr>
          <w:p w:rsidR="00EE4502" w:rsidRDefault="00FD45A3">
            <w:pPr>
              <w:jc w:val="center"/>
              <w:rPr>
                <w:szCs w:val="21"/>
              </w:rPr>
            </w:pPr>
            <w:r>
              <w:rPr>
                <w:rFonts w:hint="eastAsia"/>
                <w:szCs w:val="21"/>
              </w:rPr>
              <w:t>二开</w:t>
            </w:r>
          </w:p>
        </w:tc>
        <w:tc>
          <w:tcPr>
            <w:tcW w:w="937" w:type="pct"/>
            <w:vAlign w:val="center"/>
          </w:tcPr>
          <w:p w:rsidR="00EE4502" w:rsidRDefault="00FD45A3">
            <w:pPr>
              <w:jc w:val="center"/>
              <w:rPr>
                <w:szCs w:val="21"/>
              </w:rPr>
            </w:pPr>
            <w:r>
              <w:rPr>
                <w:szCs w:val="21"/>
              </w:rPr>
              <w:t>241.3</w:t>
            </w:r>
          </w:p>
        </w:tc>
        <w:tc>
          <w:tcPr>
            <w:tcW w:w="853" w:type="pct"/>
            <w:vAlign w:val="center"/>
          </w:tcPr>
          <w:p w:rsidR="00EE4502" w:rsidRDefault="00FD45A3">
            <w:pPr>
              <w:jc w:val="center"/>
              <w:rPr>
                <w:szCs w:val="21"/>
              </w:rPr>
            </w:pPr>
            <w:r>
              <w:rPr>
                <w:rFonts w:hint="eastAsia"/>
                <w:szCs w:val="21"/>
              </w:rPr>
              <w:t>101~950</w:t>
            </w:r>
          </w:p>
        </w:tc>
        <w:tc>
          <w:tcPr>
            <w:tcW w:w="694" w:type="pct"/>
            <w:vMerge/>
            <w:vAlign w:val="center"/>
          </w:tcPr>
          <w:p w:rsidR="00EE4502" w:rsidRDefault="00EE4502">
            <w:pPr>
              <w:jc w:val="center"/>
              <w:rPr>
                <w:szCs w:val="21"/>
              </w:rPr>
            </w:pPr>
          </w:p>
        </w:tc>
        <w:tc>
          <w:tcPr>
            <w:tcW w:w="2067" w:type="dxa"/>
            <w:vAlign w:val="center"/>
          </w:tcPr>
          <w:p w:rsidR="00EE4502" w:rsidRDefault="00FD45A3">
            <w:pPr>
              <w:jc w:val="center"/>
              <w:rPr>
                <w:szCs w:val="21"/>
              </w:rPr>
            </w:pPr>
            <w:r>
              <w:rPr>
                <w:rFonts w:hint="eastAsia"/>
                <w:szCs w:val="21"/>
              </w:rPr>
              <w:t>170.83</w:t>
            </w:r>
          </w:p>
        </w:tc>
      </w:tr>
      <w:tr w:rsidR="00EE4502">
        <w:trPr>
          <w:trHeight w:val="340"/>
          <w:jc w:val="center"/>
        </w:trPr>
        <w:tc>
          <w:tcPr>
            <w:tcW w:w="3757" w:type="pct"/>
            <w:gridSpan w:val="5"/>
            <w:vAlign w:val="center"/>
          </w:tcPr>
          <w:p w:rsidR="00EE4502" w:rsidRDefault="00FD45A3">
            <w:pPr>
              <w:jc w:val="center"/>
              <w:rPr>
                <w:szCs w:val="21"/>
              </w:rPr>
            </w:pPr>
            <w:r>
              <w:rPr>
                <w:rFonts w:hint="eastAsia"/>
                <w:szCs w:val="21"/>
              </w:rPr>
              <w:t>合计</w:t>
            </w:r>
          </w:p>
        </w:tc>
        <w:tc>
          <w:tcPr>
            <w:tcW w:w="2067" w:type="dxa"/>
            <w:vAlign w:val="center"/>
          </w:tcPr>
          <w:p w:rsidR="00EE4502" w:rsidRDefault="00FD45A3">
            <w:pPr>
              <w:jc w:val="center"/>
              <w:rPr>
                <w:szCs w:val="21"/>
              </w:rPr>
            </w:pPr>
            <w:r>
              <w:rPr>
                <w:rFonts w:hint="eastAsia"/>
                <w:szCs w:val="21"/>
              </w:rPr>
              <w:t>2316.88</w:t>
            </w:r>
          </w:p>
        </w:tc>
      </w:tr>
    </w:tbl>
    <w:p w:rsidR="00EE4502" w:rsidRDefault="00FD45A3">
      <w:pPr>
        <w:spacing w:line="360" w:lineRule="auto"/>
        <w:rPr>
          <w:rFonts w:eastAsia="仿宋"/>
          <w:szCs w:val="21"/>
        </w:rPr>
      </w:pPr>
      <w:r>
        <w:rPr>
          <w:rFonts w:eastAsia="仿宋"/>
          <w:szCs w:val="21"/>
        </w:rPr>
        <w:t>注：</w:t>
      </w:r>
      <w:r>
        <w:rPr>
          <w:rFonts w:eastAsia="仿宋" w:hint="eastAsia"/>
          <w:szCs w:val="21"/>
        </w:rPr>
        <w:t>18</w:t>
      </w:r>
      <w:r>
        <w:rPr>
          <w:rFonts w:eastAsia="仿宋" w:hint="eastAsia"/>
          <w:szCs w:val="21"/>
        </w:rPr>
        <w:t>口井井身设计不同，表中井段深是井的井深区间，不代表单独每口井的井深</w:t>
      </w:r>
      <w:r>
        <w:rPr>
          <w:rFonts w:eastAsia="仿宋"/>
          <w:szCs w:val="21"/>
        </w:rPr>
        <w:t>。</w:t>
      </w:r>
    </w:p>
    <w:p w:rsidR="00EE4502" w:rsidRDefault="00FD45A3">
      <w:pPr>
        <w:spacing w:line="360" w:lineRule="auto"/>
        <w:ind w:left="-28" w:firstLineChars="211" w:firstLine="506"/>
        <w:rPr>
          <w:sz w:val="24"/>
        </w:rPr>
      </w:pPr>
      <w:r>
        <w:rPr>
          <w:sz w:val="24"/>
        </w:rPr>
        <w:t>据此，利用上述公式计算出，</w:t>
      </w:r>
      <w:r>
        <w:rPr>
          <w:rFonts w:hint="eastAsia"/>
          <w:sz w:val="24"/>
        </w:rPr>
        <w:t>本工程</w:t>
      </w:r>
      <w:r>
        <w:rPr>
          <w:sz w:val="24"/>
        </w:rPr>
        <w:t>新钻井岩屑产生</w:t>
      </w:r>
      <w:r>
        <w:rPr>
          <w:rFonts w:hint="eastAsia"/>
          <w:sz w:val="24"/>
        </w:rPr>
        <w:t>总</w:t>
      </w:r>
      <w:r>
        <w:rPr>
          <w:sz w:val="24"/>
        </w:rPr>
        <w:t>量约为</w:t>
      </w:r>
      <w:r>
        <w:rPr>
          <w:rFonts w:hint="eastAsia"/>
          <w:sz w:val="24"/>
        </w:rPr>
        <w:t>2316.88</w:t>
      </w:r>
      <w:r>
        <w:rPr>
          <w:sz w:val="24"/>
        </w:rPr>
        <w:t>m</w:t>
      </w:r>
      <w:r>
        <w:rPr>
          <w:rFonts w:hint="eastAsia"/>
          <w:sz w:val="24"/>
          <w:vertAlign w:val="superscript"/>
        </w:rPr>
        <w:t>3</w:t>
      </w:r>
      <w:r>
        <w:rPr>
          <w:sz w:val="24"/>
        </w:rPr>
        <w:t>。</w:t>
      </w:r>
    </w:p>
    <w:p w:rsidR="00EE4502" w:rsidRDefault="00FD45A3">
      <w:pPr>
        <w:tabs>
          <w:tab w:val="left" w:pos="6720"/>
        </w:tabs>
        <w:spacing w:line="360" w:lineRule="auto"/>
        <w:ind w:left="-28" w:firstLineChars="211" w:firstLine="506"/>
        <w:rPr>
          <w:sz w:val="24"/>
        </w:rPr>
      </w:pPr>
      <w:r>
        <w:rPr>
          <w:rFonts w:hint="eastAsia"/>
          <w:kern w:val="0"/>
          <w:sz w:val="24"/>
        </w:rPr>
        <w:t>根据《关于发布〈危险废物排除管理清单（</w:t>
      </w:r>
      <w:r>
        <w:rPr>
          <w:rFonts w:hint="eastAsia"/>
          <w:kern w:val="0"/>
          <w:sz w:val="24"/>
        </w:rPr>
        <w:t>2021</w:t>
      </w:r>
      <w:r>
        <w:rPr>
          <w:rFonts w:hint="eastAsia"/>
          <w:kern w:val="0"/>
          <w:sz w:val="24"/>
        </w:rPr>
        <w:t>年版）〉的公告》（生态环境部公告</w:t>
      </w:r>
      <w:r>
        <w:rPr>
          <w:rFonts w:hint="eastAsia"/>
          <w:kern w:val="0"/>
          <w:sz w:val="24"/>
        </w:rPr>
        <w:t>2021</w:t>
      </w:r>
      <w:r>
        <w:rPr>
          <w:rFonts w:hint="eastAsia"/>
          <w:kern w:val="0"/>
          <w:sz w:val="24"/>
        </w:rPr>
        <w:t>年第</w:t>
      </w:r>
      <w:r>
        <w:rPr>
          <w:rFonts w:hint="eastAsia"/>
          <w:kern w:val="0"/>
          <w:sz w:val="24"/>
        </w:rPr>
        <w:t>66</w:t>
      </w:r>
      <w:r>
        <w:rPr>
          <w:rFonts w:hint="eastAsia"/>
          <w:kern w:val="0"/>
          <w:sz w:val="24"/>
        </w:rPr>
        <w:t>号）及《一般工业固体废物管理台账制定指南（试行）》（生态环境部公告</w:t>
      </w:r>
      <w:r>
        <w:rPr>
          <w:rFonts w:hint="eastAsia"/>
          <w:kern w:val="0"/>
          <w:sz w:val="24"/>
        </w:rPr>
        <w:t>2021</w:t>
      </w:r>
      <w:r>
        <w:rPr>
          <w:rFonts w:hint="eastAsia"/>
          <w:kern w:val="0"/>
          <w:sz w:val="24"/>
        </w:rPr>
        <w:t>年第</w:t>
      </w:r>
      <w:r>
        <w:rPr>
          <w:rFonts w:hint="eastAsia"/>
          <w:kern w:val="0"/>
          <w:sz w:val="24"/>
        </w:rPr>
        <w:t>82</w:t>
      </w:r>
      <w:r>
        <w:rPr>
          <w:rFonts w:hint="eastAsia"/>
          <w:kern w:val="0"/>
          <w:sz w:val="24"/>
        </w:rPr>
        <w:t>号）中附表</w:t>
      </w:r>
      <w:r>
        <w:rPr>
          <w:rFonts w:hint="eastAsia"/>
          <w:kern w:val="0"/>
          <w:sz w:val="24"/>
        </w:rPr>
        <w:t>8</w:t>
      </w:r>
      <w:r>
        <w:rPr>
          <w:rFonts w:hint="eastAsia"/>
          <w:kern w:val="0"/>
          <w:sz w:val="24"/>
        </w:rPr>
        <w:t>一般固体废物分类表，不含油的岩屑与废弃泥浆均属于一般固体废物。废弃泥浆和岩屑委托克拉玛依前山石油工程服务有限公司的</w:t>
      </w:r>
      <w:r>
        <w:rPr>
          <w:rFonts w:hint="eastAsia"/>
          <w:kern w:val="0"/>
          <w:sz w:val="24"/>
        </w:rPr>
        <w:t>“泥浆不落地系统”</w:t>
      </w:r>
      <w:r>
        <w:rPr>
          <w:rFonts w:hint="eastAsia"/>
          <w:kern w:val="0"/>
          <w:sz w:val="24"/>
        </w:rPr>
        <w:t>进行固液分离，分离后的固相由泥浆不落地单位按《油气田钻井固体废物综合利用污染控制要求》（</w:t>
      </w:r>
      <w:r>
        <w:rPr>
          <w:rFonts w:hint="eastAsia"/>
          <w:kern w:val="0"/>
          <w:sz w:val="24"/>
        </w:rPr>
        <w:t>DB65/T3997-2017</w:t>
      </w:r>
      <w:r>
        <w:rPr>
          <w:rFonts w:hint="eastAsia"/>
          <w:kern w:val="0"/>
          <w:sz w:val="24"/>
        </w:rPr>
        <w:t>）及环评批复要求</w:t>
      </w:r>
      <w:r>
        <w:rPr>
          <w:rFonts w:hint="eastAsia"/>
          <w:kern w:val="0"/>
          <w:sz w:val="24"/>
        </w:rPr>
        <w:t>处理达标后</w:t>
      </w:r>
      <w:r>
        <w:rPr>
          <w:rFonts w:hint="eastAsia"/>
          <w:kern w:val="0"/>
          <w:sz w:val="24"/>
        </w:rPr>
        <w:t>进行综合利用。</w:t>
      </w:r>
    </w:p>
    <w:p w:rsidR="00EE4502" w:rsidRDefault="00FD45A3">
      <w:pPr>
        <w:spacing w:line="360" w:lineRule="auto"/>
        <w:ind w:left="-28" w:firstLineChars="211" w:firstLine="506"/>
        <w:outlineLvl w:val="4"/>
        <w:rPr>
          <w:sz w:val="24"/>
        </w:rPr>
      </w:pPr>
      <w:r>
        <w:rPr>
          <w:sz w:val="24"/>
        </w:rPr>
        <w:t>（</w:t>
      </w:r>
      <w:r>
        <w:rPr>
          <w:sz w:val="24"/>
        </w:rPr>
        <w:t>2</w:t>
      </w:r>
      <w:r>
        <w:rPr>
          <w:sz w:val="24"/>
        </w:rPr>
        <w:t>）</w:t>
      </w:r>
      <w:r>
        <w:rPr>
          <w:rFonts w:hint="eastAsia"/>
          <w:sz w:val="24"/>
        </w:rPr>
        <w:t>施工废料</w:t>
      </w:r>
    </w:p>
    <w:p w:rsidR="00EE4502" w:rsidRDefault="00FD45A3">
      <w:pPr>
        <w:spacing w:line="360" w:lineRule="auto"/>
        <w:ind w:left="-28" w:firstLineChars="211" w:firstLine="506"/>
        <w:rPr>
          <w:sz w:val="24"/>
        </w:rPr>
      </w:pPr>
      <w:r>
        <w:rPr>
          <w:rFonts w:hint="eastAsia"/>
          <w:sz w:val="24"/>
        </w:rPr>
        <w:t>施工废料</w:t>
      </w:r>
      <w:r>
        <w:rPr>
          <w:rFonts w:hint="eastAsia"/>
          <w:sz w:val="24"/>
        </w:rPr>
        <w:t>主要为</w:t>
      </w:r>
      <w:r>
        <w:rPr>
          <w:sz w:val="24"/>
        </w:rPr>
        <w:t>管</w:t>
      </w:r>
      <w:r>
        <w:rPr>
          <w:sz w:val="24"/>
        </w:rPr>
        <w:t>道焊接、补口、吹扫时会产生焊渣、边角料等废料。</w:t>
      </w:r>
      <w:r>
        <w:rPr>
          <w:rFonts w:hint="eastAsia"/>
          <w:sz w:val="24"/>
        </w:rPr>
        <w:t>根据类比调查，施工废料的产生量约为</w:t>
      </w:r>
      <w:r>
        <w:rPr>
          <w:rFonts w:hint="eastAsia"/>
          <w:sz w:val="24"/>
        </w:rPr>
        <w:t>0.1t/km</w:t>
      </w:r>
      <w:r>
        <w:rPr>
          <w:rFonts w:hint="eastAsia"/>
          <w:sz w:val="24"/>
        </w:rPr>
        <w:t>，拟建工程施工废料产生量约为</w:t>
      </w:r>
      <w:r>
        <w:rPr>
          <w:rFonts w:hint="eastAsia"/>
          <w:sz w:val="24"/>
        </w:rPr>
        <w:t>2.5</w:t>
      </w:r>
      <w:r>
        <w:rPr>
          <w:rFonts w:hint="eastAsia"/>
          <w:sz w:val="24"/>
        </w:rPr>
        <w:t>t</w:t>
      </w:r>
      <w:r>
        <w:rPr>
          <w:rFonts w:hint="eastAsia"/>
          <w:sz w:val="24"/>
        </w:rPr>
        <w:t>。</w:t>
      </w:r>
    </w:p>
    <w:p w:rsidR="00EE4502" w:rsidRDefault="00FD45A3">
      <w:pPr>
        <w:spacing w:line="360" w:lineRule="auto"/>
        <w:ind w:left="-28" w:firstLineChars="211" w:firstLine="506"/>
        <w:outlineLvl w:val="4"/>
        <w:rPr>
          <w:sz w:val="24"/>
        </w:rPr>
      </w:pPr>
      <w:r>
        <w:rPr>
          <w:sz w:val="24"/>
        </w:rPr>
        <w:t>（</w:t>
      </w:r>
      <w:r>
        <w:rPr>
          <w:sz w:val="24"/>
        </w:rPr>
        <w:t>3</w:t>
      </w:r>
      <w:r>
        <w:rPr>
          <w:sz w:val="24"/>
        </w:rPr>
        <w:t>）设备废弃包装</w:t>
      </w:r>
    </w:p>
    <w:p w:rsidR="00EE4502" w:rsidRDefault="00FD45A3">
      <w:pPr>
        <w:spacing w:line="360" w:lineRule="auto"/>
        <w:ind w:left="-28" w:firstLineChars="211" w:firstLine="506"/>
        <w:rPr>
          <w:sz w:val="24"/>
        </w:rPr>
      </w:pPr>
      <w:r>
        <w:rPr>
          <w:sz w:val="24"/>
        </w:rPr>
        <w:t>设备废弃包装主要来源于设备包装废弃物，类比春风油田多年钻井井场施工经验，设备废弃包装等包装袋产生量约为</w:t>
      </w:r>
      <w:r>
        <w:rPr>
          <w:sz w:val="24"/>
        </w:rPr>
        <w:t>0.02t/</w:t>
      </w:r>
      <w:r>
        <w:rPr>
          <w:sz w:val="24"/>
        </w:rPr>
        <w:t>井，预计产生量为</w:t>
      </w:r>
      <w:r>
        <w:rPr>
          <w:rFonts w:hint="eastAsia"/>
          <w:sz w:val="24"/>
        </w:rPr>
        <w:t>0.36</w:t>
      </w:r>
      <w:r>
        <w:rPr>
          <w:sz w:val="24"/>
        </w:rPr>
        <w:t>t</w:t>
      </w:r>
      <w:r>
        <w:rPr>
          <w:sz w:val="24"/>
        </w:rPr>
        <w:t>。</w:t>
      </w:r>
    </w:p>
    <w:p w:rsidR="00EE4502" w:rsidRDefault="00FD45A3">
      <w:pPr>
        <w:spacing w:line="360" w:lineRule="auto"/>
        <w:ind w:left="-28" w:firstLineChars="211" w:firstLine="506"/>
        <w:outlineLvl w:val="4"/>
        <w:rPr>
          <w:sz w:val="24"/>
        </w:rPr>
      </w:pPr>
      <w:r>
        <w:rPr>
          <w:rFonts w:hint="eastAsia"/>
          <w:sz w:val="24"/>
        </w:rPr>
        <w:t>（</w:t>
      </w:r>
      <w:r>
        <w:rPr>
          <w:rFonts w:hint="eastAsia"/>
          <w:sz w:val="24"/>
        </w:rPr>
        <w:t>4</w:t>
      </w:r>
      <w:r>
        <w:rPr>
          <w:rFonts w:hint="eastAsia"/>
          <w:sz w:val="24"/>
        </w:rPr>
        <w:t>）生活垃圾</w:t>
      </w:r>
    </w:p>
    <w:p w:rsidR="00EE4502" w:rsidRDefault="00FD45A3">
      <w:pPr>
        <w:spacing w:line="360" w:lineRule="auto"/>
        <w:ind w:left="-28" w:firstLineChars="211" w:firstLine="506"/>
        <w:rPr>
          <w:sz w:val="24"/>
        </w:rPr>
      </w:pPr>
      <w:r>
        <w:rPr>
          <w:rFonts w:hint="eastAsia"/>
          <w:sz w:val="24"/>
        </w:rPr>
        <w:t>本工程施工期约</w:t>
      </w:r>
      <w:r>
        <w:rPr>
          <w:rFonts w:hint="eastAsia"/>
          <w:sz w:val="24"/>
        </w:rPr>
        <w:t>220</w:t>
      </w:r>
      <w:r>
        <w:rPr>
          <w:rFonts w:hint="eastAsia"/>
          <w:sz w:val="24"/>
        </w:rPr>
        <w:t>天，施工人员按</w:t>
      </w:r>
      <w:r>
        <w:rPr>
          <w:rFonts w:hint="eastAsia"/>
          <w:sz w:val="24"/>
        </w:rPr>
        <w:t>30</w:t>
      </w:r>
      <w:r>
        <w:rPr>
          <w:rFonts w:hint="eastAsia"/>
          <w:sz w:val="24"/>
        </w:rPr>
        <w:t>人计。根据</w:t>
      </w:r>
      <w:r>
        <w:rPr>
          <w:rFonts w:hint="eastAsia"/>
          <w:sz w:val="24"/>
        </w:rPr>
        <w:t>类比分析</w:t>
      </w:r>
      <w:r>
        <w:rPr>
          <w:rFonts w:hint="eastAsia"/>
          <w:sz w:val="24"/>
        </w:rPr>
        <w:t>，施工期生活垃圾按每人每天</w:t>
      </w:r>
      <w:r>
        <w:rPr>
          <w:rFonts w:hint="eastAsia"/>
          <w:sz w:val="24"/>
        </w:rPr>
        <w:t>0.5kg</w:t>
      </w:r>
      <w:r>
        <w:rPr>
          <w:rFonts w:hint="eastAsia"/>
          <w:sz w:val="24"/>
        </w:rPr>
        <w:t>计算，则施工期产生的生活垃圾为</w:t>
      </w:r>
      <w:r>
        <w:rPr>
          <w:rFonts w:hint="eastAsia"/>
          <w:sz w:val="24"/>
        </w:rPr>
        <w:t>3.3</w:t>
      </w:r>
      <w:r>
        <w:rPr>
          <w:rFonts w:hint="eastAsia"/>
          <w:sz w:val="24"/>
        </w:rPr>
        <w:t>t</w:t>
      </w:r>
      <w:r>
        <w:rPr>
          <w:rFonts w:hint="eastAsia"/>
          <w:sz w:val="24"/>
        </w:rPr>
        <w:t>。</w:t>
      </w:r>
    </w:p>
    <w:p w:rsidR="00EE4502" w:rsidRDefault="00FD45A3">
      <w:pPr>
        <w:spacing w:line="360" w:lineRule="auto"/>
        <w:ind w:left="-28" w:firstLineChars="211" w:firstLine="506"/>
        <w:outlineLvl w:val="4"/>
        <w:rPr>
          <w:sz w:val="24"/>
        </w:rPr>
      </w:pPr>
      <w:r>
        <w:rPr>
          <w:rFonts w:hint="eastAsia"/>
          <w:sz w:val="24"/>
        </w:rPr>
        <w:t>（</w:t>
      </w:r>
      <w:r>
        <w:rPr>
          <w:rFonts w:hint="eastAsia"/>
          <w:sz w:val="24"/>
        </w:rPr>
        <w:t>5</w:t>
      </w:r>
      <w:r>
        <w:rPr>
          <w:rFonts w:hint="eastAsia"/>
          <w:sz w:val="24"/>
        </w:rPr>
        <w:t>）</w:t>
      </w:r>
      <w:r>
        <w:rPr>
          <w:rFonts w:hint="eastAsia"/>
          <w:sz w:val="24"/>
        </w:rPr>
        <w:t>危险废物</w:t>
      </w:r>
    </w:p>
    <w:p w:rsidR="00EE4502" w:rsidRDefault="00FD45A3">
      <w:pPr>
        <w:spacing w:line="360" w:lineRule="auto"/>
        <w:ind w:left="-28" w:firstLineChars="211" w:firstLine="506"/>
        <w:outlineLvl w:val="5"/>
        <w:rPr>
          <w:sz w:val="24"/>
        </w:rPr>
      </w:pPr>
      <w:r>
        <w:rPr>
          <w:rFonts w:hint="eastAsia"/>
          <w:sz w:val="24"/>
        </w:rPr>
        <w:t>1</w:t>
      </w:r>
      <w:r>
        <w:rPr>
          <w:rFonts w:hint="eastAsia"/>
          <w:sz w:val="24"/>
        </w:rPr>
        <w:t>）废机油</w:t>
      </w:r>
      <w:r>
        <w:rPr>
          <w:sz w:val="24"/>
        </w:rPr>
        <w:t>（</w:t>
      </w:r>
      <w:r>
        <w:rPr>
          <w:sz w:val="24"/>
        </w:rPr>
        <w:t>HW08 900-2</w:t>
      </w:r>
      <w:r>
        <w:rPr>
          <w:rFonts w:hint="eastAsia"/>
          <w:sz w:val="24"/>
        </w:rPr>
        <w:t>14</w:t>
      </w:r>
      <w:r>
        <w:rPr>
          <w:sz w:val="24"/>
        </w:rPr>
        <w:t>-08</w:t>
      </w:r>
      <w:r>
        <w:rPr>
          <w:sz w:val="24"/>
        </w:rPr>
        <w:t>）</w:t>
      </w:r>
    </w:p>
    <w:p w:rsidR="00EE4502" w:rsidRDefault="00FD45A3">
      <w:pPr>
        <w:spacing w:line="360" w:lineRule="auto"/>
        <w:ind w:left="-28" w:firstLineChars="211" w:firstLine="506"/>
        <w:rPr>
          <w:sz w:val="24"/>
        </w:rPr>
      </w:pPr>
      <w:r>
        <w:rPr>
          <w:sz w:val="24"/>
        </w:rPr>
        <w:t>废机油主要为现场简单维修设备产生，按照《国家危险废物名录》（</w:t>
      </w:r>
      <w:r>
        <w:rPr>
          <w:sz w:val="24"/>
        </w:rPr>
        <w:t>202</w:t>
      </w:r>
      <w:r>
        <w:rPr>
          <w:rFonts w:hint="eastAsia"/>
          <w:sz w:val="24"/>
        </w:rPr>
        <w:t>5</w:t>
      </w:r>
      <w:r>
        <w:rPr>
          <w:sz w:val="24"/>
        </w:rPr>
        <w:t>年版），废机油属于危险废物，单口井产生量约为</w:t>
      </w:r>
      <w:r>
        <w:rPr>
          <w:sz w:val="24"/>
        </w:rPr>
        <w:t>0.5t</w:t>
      </w:r>
      <w:r>
        <w:rPr>
          <w:sz w:val="24"/>
        </w:rPr>
        <w:t>，</w:t>
      </w:r>
      <w:r>
        <w:rPr>
          <w:rFonts w:hint="eastAsia"/>
          <w:sz w:val="24"/>
        </w:rPr>
        <w:t>则本工程施工期</w:t>
      </w:r>
      <w:r>
        <w:rPr>
          <w:sz w:val="24"/>
        </w:rPr>
        <w:t>产生的废机油为</w:t>
      </w:r>
      <w:r>
        <w:rPr>
          <w:rFonts w:hint="eastAsia"/>
          <w:sz w:val="24"/>
        </w:rPr>
        <w:t>9</w:t>
      </w:r>
      <w:r>
        <w:rPr>
          <w:sz w:val="24"/>
        </w:rPr>
        <w:t>t</w:t>
      </w:r>
      <w:r>
        <w:rPr>
          <w:sz w:val="24"/>
        </w:rPr>
        <w:t>。</w:t>
      </w:r>
    </w:p>
    <w:p w:rsidR="00EE4502" w:rsidRDefault="00FD45A3">
      <w:pPr>
        <w:spacing w:line="360" w:lineRule="auto"/>
        <w:ind w:left="-28" w:firstLineChars="211" w:firstLine="506"/>
        <w:outlineLvl w:val="5"/>
        <w:rPr>
          <w:sz w:val="24"/>
        </w:rPr>
      </w:pPr>
      <w:r>
        <w:rPr>
          <w:rFonts w:hint="eastAsia"/>
          <w:sz w:val="24"/>
        </w:rPr>
        <w:t>2</w:t>
      </w:r>
      <w:r>
        <w:rPr>
          <w:rFonts w:hint="eastAsia"/>
          <w:sz w:val="24"/>
        </w:rPr>
        <w:t>）废烧碱包装袋</w:t>
      </w:r>
      <w:r>
        <w:rPr>
          <w:rFonts w:hint="eastAsia"/>
          <w:sz w:val="24"/>
        </w:rPr>
        <w:t>（</w:t>
      </w:r>
      <w:r>
        <w:rPr>
          <w:rFonts w:hint="eastAsia"/>
          <w:sz w:val="24"/>
        </w:rPr>
        <w:t>HW49 900-047-49</w:t>
      </w:r>
      <w:r>
        <w:rPr>
          <w:rFonts w:hint="eastAsia"/>
          <w:sz w:val="24"/>
        </w:rPr>
        <w:t>）</w:t>
      </w:r>
    </w:p>
    <w:p w:rsidR="00EE4502" w:rsidRDefault="00FD45A3">
      <w:pPr>
        <w:spacing w:line="360" w:lineRule="auto"/>
        <w:ind w:left="-28" w:firstLineChars="211" w:firstLine="506"/>
        <w:rPr>
          <w:sz w:val="24"/>
        </w:rPr>
      </w:pPr>
      <w:r>
        <w:rPr>
          <w:rFonts w:hint="eastAsia"/>
          <w:sz w:val="24"/>
        </w:rPr>
        <w:lastRenderedPageBreak/>
        <w:t>钻井施工过程中配制钻井泥浆时会产生少量废烧碱包装袋，属于危险废物，及时回收废烧碱包装袋暂存于</w:t>
      </w:r>
      <w:r>
        <w:rPr>
          <w:rFonts w:hint="eastAsia"/>
          <w:sz w:val="24"/>
        </w:rPr>
        <w:t>春风油田已建</w:t>
      </w:r>
      <w:r>
        <w:rPr>
          <w:rFonts w:hint="eastAsia"/>
          <w:sz w:val="24"/>
        </w:rPr>
        <w:t>危废暂存</w:t>
      </w:r>
      <w:r>
        <w:rPr>
          <w:rFonts w:hint="eastAsia"/>
          <w:sz w:val="24"/>
        </w:rPr>
        <w:t>场</w:t>
      </w:r>
      <w:r>
        <w:rPr>
          <w:rFonts w:hint="eastAsia"/>
          <w:sz w:val="24"/>
        </w:rPr>
        <w:t>中。类比同类钻井工程，钻井期间产生的废烧碱包装袋约为</w:t>
      </w:r>
      <w:r>
        <w:rPr>
          <w:rFonts w:hint="eastAsia"/>
          <w:sz w:val="24"/>
        </w:rPr>
        <w:t>1.8</w:t>
      </w:r>
      <w:r>
        <w:rPr>
          <w:rFonts w:hint="eastAsia"/>
          <w:sz w:val="24"/>
        </w:rPr>
        <w:t>t</w:t>
      </w:r>
      <w:r>
        <w:rPr>
          <w:sz w:val="24"/>
        </w:rPr>
        <w:t>。</w:t>
      </w:r>
    </w:p>
    <w:p w:rsidR="00EE4502" w:rsidRDefault="00FD45A3">
      <w:pPr>
        <w:spacing w:line="360" w:lineRule="auto"/>
        <w:ind w:left="-28" w:firstLineChars="211" w:firstLine="506"/>
        <w:outlineLvl w:val="5"/>
        <w:rPr>
          <w:sz w:val="24"/>
        </w:rPr>
      </w:pPr>
      <w:r>
        <w:rPr>
          <w:rFonts w:hint="eastAsia"/>
          <w:sz w:val="24"/>
        </w:rPr>
        <w:t>3</w:t>
      </w:r>
      <w:r>
        <w:rPr>
          <w:rFonts w:hint="eastAsia"/>
          <w:sz w:val="24"/>
        </w:rPr>
        <w:t>）含油废物</w:t>
      </w:r>
      <w:r>
        <w:rPr>
          <w:rFonts w:hint="eastAsia"/>
          <w:sz w:val="24"/>
        </w:rPr>
        <w:t>（</w:t>
      </w:r>
      <w:r>
        <w:rPr>
          <w:rFonts w:hint="eastAsia"/>
          <w:sz w:val="24"/>
        </w:rPr>
        <w:t>HW08 071-001-08</w:t>
      </w:r>
      <w:r>
        <w:rPr>
          <w:rFonts w:hint="eastAsia"/>
          <w:sz w:val="24"/>
        </w:rPr>
        <w:t>）</w:t>
      </w:r>
    </w:p>
    <w:p w:rsidR="00EE4502" w:rsidRDefault="00FD45A3">
      <w:pPr>
        <w:spacing w:line="360" w:lineRule="auto"/>
        <w:ind w:left="-28" w:firstLineChars="211" w:firstLine="506"/>
        <w:rPr>
          <w:sz w:val="24"/>
        </w:rPr>
      </w:pPr>
      <w:r>
        <w:rPr>
          <w:rFonts w:hint="eastAsia"/>
          <w:sz w:val="24"/>
        </w:rPr>
        <w:t>钻井施工过程中机械检修时会产生少量含油废物，检修期间地面应铺设防渗膜，采用钢</w:t>
      </w:r>
      <w:r>
        <w:rPr>
          <w:rFonts w:hint="eastAsia"/>
          <w:sz w:val="24"/>
        </w:rPr>
        <w:t>制铁桶收集后暂存于危废暂存场中，防止含油废物落地污染土壤和地下水。类比同类钻井工程，本工程钻井期含油废物产生量约</w:t>
      </w:r>
      <w:r>
        <w:rPr>
          <w:rFonts w:hint="eastAsia"/>
          <w:sz w:val="24"/>
        </w:rPr>
        <w:t>0.36t/a</w:t>
      </w:r>
      <w:r>
        <w:rPr>
          <w:rFonts w:hint="eastAsia"/>
          <w:sz w:val="24"/>
        </w:rPr>
        <w:t>，暂存于危废暂存场内，完井后由钻井队联系有危险废物处置资质的单位回收处理。</w:t>
      </w:r>
    </w:p>
    <w:p w:rsidR="00EE4502" w:rsidRDefault="00FD45A3">
      <w:pPr>
        <w:spacing w:line="360" w:lineRule="auto"/>
        <w:ind w:left="-28" w:firstLineChars="211" w:firstLine="506"/>
        <w:outlineLvl w:val="5"/>
        <w:rPr>
          <w:sz w:val="24"/>
        </w:rPr>
      </w:pPr>
      <w:r>
        <w:rPr>
          <w:rFonts w:hint="eastAsia"/>
          <w:sz w:val="24"/>
        </w:rPr>
        <w:t>4</w:t>
      </w:r>
      <w:r>
        <w:rPr>
          <w:rFonts w:hint="eastAsia"/>
          <w:sz w:val="24"/>
        </w:rPr>
        <w:t>）沾油废防渗材料</w:t>
      </w:r>
      <w:r>
        <w:rPr>
          <w:rFonts w:hint="eastAsia"/>
          <w:sz w:val="24"/>
        </w:rPr>
        <w:t>（</w:t>
      </w:r>
      <w:r>
        <w:rPr>
          <w:rFonts w:hint="eastAsia"/>
          <w:sz w:val="24"/>
        </w:rPr>
        <w:t>HW08 900-249-08</w:t>
      </w:r>
      <w:r>
        <w:rPr>
          <w:rFonts w:hint="eastAsia"/>
          <w:sz w:val="24"/>
        </w:rPr>
        <w:t>）</w:t>
      </w:r>
    </w:p>
    <w:p w:rsidR="00EE4502" w:rsidRDefault="00FD45A3">
      <w:pPr>
        <w:spacing w:line="360" w:lineRule="auto"/>
        <w:ind w:left="-28" w:firstLineChars="211" w:firstLine="506"/>
        <w:rPr>
          <w:sz w:val="24"/>
        </w:rPr>
      </w:pPr>
      <w:r>
        <w:rPr>
          <w:rFonts w:hint="eastAsia"/>
          <w:sz w:val="24"/>
        </w:rPr>
        <w:t>钻井期间会产生少量沾油废防渗材料，类比同类钻井工程，钻井期间产生的废防渗材料量约为</w:t>
      </w:r>
      <w:r>
        <w:rPr>
          <w:rFonts w:hint="eastAsia"/>
          <w:sz w:val="24"/>
        </w:rPr>
        <w:t>1.8</w:t>
      </w:r>
      <w:r>
        <w:rPr>
          <w:rFonts w:hint="eastAsia"/>
          <w:sz w:val="24"/>
        </w:rPr>
        <w:t>t</w:t>
      </w:r>
      <w:r>
        <w:rPr>
          <w:rFonts w:hint="eastAsia"/>
          <w:sz w:val="24"/>
        </w:rPr>
        <w:t>，收集后由具有危废处置资质的公司接收处置。</w:t>
      </w:r>
    </w:p>
    <w:p w:rsidR="00EE4502" w:rsidRDefault="00FD45A3">
      <w:pPr>
        <w:spacing w:line="360" w:lineRule="auto"/>
        <w:jc w:val="center"/>
        <w:rPr>
          <w:rFonts w:eastAsia="黑体"/>
          <w:bCs/>
        </w:rPr>
      </w:pPr>
      <w:r>
        <w:rPr>
          <w:rFonts w:eastAsia="黑体"/>
          <w:bCs/>
          <w:lang w:val="zh-CN"/>
        </w:rPr>
        <w:t>表</w:t>
      </w:r>
      <w:r>
        <w:rPr>
          <w:rFonts w:eastAsia="黑体" w:hint="eastAsia"/>
          <w:bCs/>
          <w:lang w:val="zh-CN"/>
        </w:rPr>
        <w:t>3-4</w:t>
      </w:r>
      <w:r>
        <w:rPr>
          <w:rFonts w:eastAsia="黑体"/>
          <w:bCs/>
          <w:lang w:val="zh-CN"/>
        </w:rPr>
        <w:t>-</w:t>
      </w:r>
      <w:r>
        <w:rPr>
          <w:rFonts w:eastAsia="黑体"/>
          <w:bCs/>
        </w:rPr>
        <w:t>5</w:t>
      </w:r>
      <w:r>
        <w:rPr>
          <w:rFonts w:eastAsia="黑体"/>
          <w:bCs/>
          <w:lang w:val="zh-CN"/>
        </w:rPr>
        <w:t xml:space="preserve">   </w:t>
      </w:r>
      <w:r>
        <w:rPr>
          <w:rFonts w:eastAsia="黑体"/>
          <w:bCs/>
          <w:lang w:val="zh-CN"/>
        </w:rPr>
        <w:t>施工期</w:t>
      </w:r>
      <w:r>
        <w:rPr>
          <w:rFonts w:eastAsia="黑体" w:hint="eastAsia"/>
          <w:bCs/>
        </w:rPr>
        <w:t>固体废物产生及处置</w:t>
      </w:r>
      <w:r>
        <w:rPr>
          <w:rFonts w:eastAsia="黑体"/>
          <w:bCs/>
          <w:lang w:val="zh-CN"/>
        </w:rPr>
        <w:t>情况</w:t>
      </w:r>
      <w:r>
        <w:rPr>
          <w:rFonts w:eastAsia="黑体" w:hint="eastAsia"/>
          <w:bCs/>
        </w:rPr>
        <w:t>表</w:t>
      </w:r>
    </w:p>
    <w:tbl>
      <w:tblPr>
        <w:tblW w:w="4997" w:type="pct"/>
        <w:jc w:val="center"/>
        <w:tblBorders>
          <w:top w:val="single" w:sz="8" w:space="0" w:color="auto"/>
          <w:bottom w:val="single" w:sz="8" w:space="0" w:color="auto"/>
          <w:insideH w:val="single" w:sz="8" w:space="0" w:color="auto"/>
          <w:insideV w:val="single" w:sz="8" w:space="0" w:color="auto"/>
        </w:tblBorders>
        <w:tblLook w:val="04A0" w:firstRow="1" w:lastRow="0" w:firstColumn="1" w:lastColumn="0" w:noHBand="0" w:noVBand="1"/>
      </w:tblPr>
      <w:tblGrid>
        <w:gridCol w:w="670"/>
        <w:gridCol w:w="1393"/>
        <w:gridCol w:w="1815"/>
        <w:gridCol w:w="1178"/>
        <w:gridCol w:w="3461"/>
      </w:tblGrid>
      <w:tr w:rsidR="00EE4502">
        <w:trPr>
          <w:trHeight w:val="340"/>
          <w:jc w:val="center"/>
        </w:trPr>
        <w:tc>
          <w:tcPr>
            <w:tcW w:w="427" w:type="pct"/>
            <w:vAlign w:val="center"/>
          </w:tcPr>
          <w:p w:rsidR="00EE4502" w:rsidRDefault="00FD45A3">
            <w:pPr>
              <w:jc w:val="center"/>
              <w:textAlignment w:val="baseline"/>
              <w:rPr>
                <w:szCs w:val="21"/>
              </w:rPr>
            </w:pPr>
            <w:r>
              <w:rPr>
                <w:szCs w:val="21"/>
              </w:rPr>
              <w:t>工程</w:t>
            </w:r>
          </w:p>
        </w:tc>
        <w:tc>
          <w:tcPr>
            <w:tcW w:w="851" w:type="pct"/>
            <w:vAlign w:val="center"/>
          </w:tcPr>
          <w:p w:rsidR="00EE4502" w:rsidRDefault="00FD45A3">
            <w:pPr>
              <w:jc w:val="center"/>
              <w:textAlignment w:val="baseline"/>
              <w:rPr>
                <w:szCs w:val="21"/>
              </w:rPr>
            </w:pPr>
            <w:r>
              <w:rPr>
                <w:szCs w:val="21"/>
              </w:rPr>
              <w:t>污染源</w:t>
            </w:r>
          </w:p>
        </w:tc>
        <w:tc>
          <w:tcPr>
            <w:tcW w:w="931" w:type="pct"/>
            <w:vAlign w:val="center"/>
          </w:tcPr>
          <w:p w:rsidR="00EE4502" w:rsidRDefault="00FD45A3">
            <w:pPr>
              <w:jc w:val="center"/>
              <w:textAlignment w:val="baseline"/>
              <w:rPr>
                <w:szCs w:val="21"/>
              </w:rPr>
            </w:pPr>
            <w:r>
              <w:rPr>
                <w:szCs w:val="21"/>
              </w:rPr>
              <w:t>固废代码</w:t>
            </w:r>
          </w:p>
        </w:tc>
        <w:tc>
          <w:tcPr>
            <w:tcW w:w="725" w:type="pct"/>
            <w:vAlign w:val="center"/>
          </w:tcPr>
          <w:p w:rsidR="00EE4502" w:rsidRDefault="00FD45A3">
            <w:pPr>
              <w:jc w:val="center"/>
              <w:textAlignment w:val="baseline"/>
              <w:rPr>
                <w:szCs w:val="21"/>
              </w:rPr>
            </w:pPr>
            <w:r>
              <w:rPr>
                <w:szCs w:val="21"/>
              </w:rPr>
              <w:t>产生量</w:t>
            </w:r>
          </w:p>
        </w:tc>
        <w:tc>
          <w:tcPr>
            <w:tcW w:w="2065" w:type="pct"/>
            <w:vAlign w:val="center"/>
          </w:tcPr>
          <w:p w:rsidR="00EE4502" w:rsidRDefault="00FD45A3">
            <w:pPr>
              <w:jc w:val="center"/>
              <w:textAlignment w:val="baseline"/>
              <w:rPr>
                <w:szCs w:val="21"/>
              </w:rPr>
            </w:pPr>
            <w:r>
              <w:rPr>
                <w:szCs w:val="21"/>
              </w:rPr>
              <w:t>主要处理措施及排放去向</w:t>
            </w:r>
          </w:p>
        </w:tc>
      </w:tr>
      <w:tr w:rsidR="00EE4502">
        <w:trPr>
          <w:trHeight w:val="340"/>
          <w:jc w:val="center"/>
        </w:trPr>
        <w:tc>
          <w:tcPr>
            <w:tcW w:w="427" w:type="pct"/>
            <w:vMerge w:val="restart"/>
            <w:vAlign w:val="center"/>
          </w:tcPr>
          <w:p w:rsidR="00EE4502" w:rsidRDefault="00FD45A3">
            <w:pPr>
              <w:jc w:val="center"/>
              <w:textAlignment w:val="baseline"/>
              <w:rPr>
                <w:szCs w:val="21"/>
              </w:rPr>
            </w:pPr>
            <w:r>
              <w:rPr>
                <w:szCs w:val="21"/>
              </w:rPr>
              <w:t>一般固废</w:t>
            </w:r>
          </w:p>
        </w:tc>
        <w:tc>
          <w:tcPr>
            <w:tcW w:w="851" w:type="pct"/>
            <w:vAlign w:val="center"/>
          </w:tcPr>
          <w:p w:rsidR="00EE4502" w:rsidRDefault="00FD45A3">
            <w:pPr>
              <w:jc w:val="center"/>
              <w:textAlignment w:val="baseline"/>
              <w:rPr>
                <w:szCs w:val="21"/>
              </w:rPr>
            </w:pPr>
            <w:r>
              <w:rPr>
                <w:szCs w:val="21"/>
              </w:rPr>
              <w:t>钻井废弃泥浆</w:t>
            </w:r>
          </w:p>
        </w:tc>
        <w:tc>
          <w:tcPr>
            <w:tcW w:w="931" w:type="pct"/>
            <w:vMerge w:val="restart"/>
            <w:vAlign w:val="center"/>
          </w:tcPr>
          <w:p w:rsidR="00EE4502" w:rsidRDefault="00FD45A3">
            <w:pPr>
              <w:jc w:val="center"/>
              <w:textAlignment w:val="baseline"/>
              <w:rPr>
                <w:szCs w:val="21"/>
              </w:rPr>
            </w:pPr>
            <w:r>
              <w:rPr>
                <w:szCs w:val="21"/>
              </w:rPr>
              <w:t>071-001-S12</w:t>
            </w:r>
          </w:p>
        </w:tc>
        <w:tc>
          <w:tcPr>
            <w:tcW w:w="725" w:type="pct"/>
            <w:vAlign w:val="center"/>
          </w:tcPr>
          <w:p w:rsidR="00EE4502" w:rsidRDefault="00FD45A3">
            <w:pPr>
              <w:jc w:val="center"/>
              <w:textAlignment w:val="baseline"/>
              <w:rPr>
                <w:szCs w:val="21"/>
              </w:rPr>
            </w:pPr>
            <w:r>
              <w:rPr>
                <w:rFonts w:hint="eastAsia"/>
                <w:szCs w:val="21"/>
              </w:rPr>
              <w:t>5607</w:t>
            </w:r>
            <w:r>
              <w:rPr>
                <w:szCs w:val="21"/>
              </w:rPr>
              <w:t>m</w:t>
            </w:r>
            <w:r>
              <w:rPr>
                <w:rFonts w:hint="eastAsia"/>
                <w:szCs w:val="21"/>
                <w:vertAlign w:val="superscript"/>
              </w:rPr>
              <w:t>3</w:t>
            </w:r>
          </w:p>
        </w:tc>
        <w:tc>
          <w:tcPr>
            <w:tcW w:w="2065" w:type="pct"/>
            <w:vAlign w:val="center"/>
          </w:tcPr>
          <w:p w:rsidR="00EE4502" w:rsidRDefault="00FD45A3">
            <w:pPr>
              <w:textAlignment w:val="baseline"/>
              <w:rPr>
                <w:szCs w:val="21"/>
              </w:rPr>
            </w:pPr>
            <w:r>
              <w:rPr>
                <w:szCs w:val="21"/>
              </w:rPr>
              <w:t>采用</w:t>
            </w:r>
            <w:r>
              <w:rPr>
                <w:szCs w:val="21"/>
              </w:rPr>
              <w:t>“</w:t>
            </w:r>
            <w:r>
              <w:rPr>
                <w:szCs w:val="21"/>
              </w:rPr>
              <w:t>钻井废弃物不落地工艺</w:t>
            </w:r>
            <w:r>
              <w:rPr>
                <w:szCs w:val="21"/>
              </w:rPr>
              <w:t>”</w:t>
            </w:r>
            <w:r>
              <w:rPr>
                <w:szCs w:val="21"/>
              </w:rPr>
              <w:t>，废弃泥浆集中收集拉运至克拉玛依前山石油工程服务有限公司进行处置</w:t>
            </w:r>
          </w:p>
        </w:tc>
      </w:tr>
      <w:tr w:rsidR="00EE4502">
        <w:trPr>
          <w:trHeight w:val="340"/>
          <w:jc w:val="center"/>
        </w:trPr>
        <w:tc>
          <w:tcPr>
            <w:tcW w:w="427" w:type="pct"/>
            <w:vMerge/>
            <w:vAlign w:val="center"/>
          </w:tcPr>
          <w:p w:rsidR="00EE4502" w:rsidRDefault="00EE4502">
            <w:pPr>
              <w:jc w:val="center"/>
              <w:textAlignment w:val="baseline"/>
              <w:rPr>
                <w:szCs w:val="21"/>
              </w:rPr>
            </w:pPr>
          </w:p>
        </w:tc>
        <w:tc>
          <w:tcPr>
            <w:tcW w:w="851" w:type="pct"/>
            <w:vAlign w:val="center"/>
          </w:tcPr>
          <w:p w:rsidR="00EE4502" w:rsidRDefault="00FD45A3">
            <w:pPr>
              <w:jc w:val="center"/>
              <w:textAlignment w:val="baseline"/>
              <w:rPr>
                <w:szCs w:val="21"/>
              </w:rPr>
            </w:pPr>
            <w:r>
              <w:rPr>
                <w:szCs w:val="21"/>
              </w:rPr>
              <w:t>钻井岩屑</w:t>
            </w:r>
          </w:p>
        </w:tc>
        <w:tc>
          <w:tcPr>
            <w:tcW w:w="931" w:type="pct"/>
            <w:vMerge/>
            <w:vAlign w:val="center"/>
          </w:tcPr>
          <w:p w:rsidR="00EE4502" w:rsidRDefault="00EE4502">
            <w:pPr>
              <w:jc w:val="center"/>
              <w:textAlignment w:val="baseline"/>
              <w:rPr>
                <w:szCs w:val="21"/>
              </w:rPr>
            </w:pPr>
          </w:p>
        </w:tc>
        <w:tc>
          <w:tcPr>
            <w:tcW w:w="725" w:type="pct"/>
            <w:vAlign w:val="center"/>
          </w:tcPr>
          <w:p w:rsidR="00EE4502" w:rsidRDefault="00FD45A3">
            <w:pPr>
              <w:jc w:val="center"/>
              <w:textAlignment w:val="baseline"/>
              <w:rPr>
                <w:szCs w:val="21"/>
              </w:rPr>
            </w:pPr>
            <w:r>
              <w:rPr>
                <w:rFonts w:hint="eastAsia"/>
                <w:szCs w:val="21"/>
              </w:rPr>
              <w:t>2316.88</w:t>
            </w:r>
            <w:r>
              <w:rPr>
                <w:szCs w:val="21"/>
              </w:rPr>
              <w:t>m</w:t>
            </w:r>
            <w:r>
              <w:rPr>
                <w:rFonts w:hint="eastAsia"/>
                <w:szCs w:val="21"/>
                <w:vertAlign w:val="superscript"/>
              </w:rPr>
              <w:t>3</w:t>
            </w:r>
          </w:p>
        </w:tc>
        <w:tc>
          <w:tcPr>
            <w:tcW w:w="2065" w:type="pct"/>
            <w:vAlign w:val="center"/>
          </w:tcPr>
          <w:p w:rsidR="00EE4502" w:rsidRDefault="00FD45A3">
            <w:pPr>
              <w:textAlignment w:val="baseline"/>
              <w:rPr>
                <w:szCs w:val="21"/>
              </w:rPr>
            </w:pPr>
            <w:r>
              <w:rPr>
                <w:szCs w:val="21"/>
              </w:rPr>
              <w:t>采用</w:t>
            </w:r>
            <w:r>
              <w:rPr>
                <w:szCs w:val="21"/>
              </w:rPr>
              <w:t>“</w:t>
            </w:r>
            <w:r>
              <w:rPr>
                <w:szCs w:val="21"/>
              </w:rPr>
              <w:t>钻井废弃物不落地工艺</w:t>
            </w:r>
            <w:r>
              <w:rPr>
                <w:szCs w:val="21"/>
              </w:rPr>
              <w:t>”</w:t>
            </w:r>
            <w:r>
              <w:rPr>
                <w:szCs w:val="21"/>
              </w:rPr>
              <w:t>，钻井岩屑委托处置，经克拉玛依前山石油工程服务有限公司分离后可用于井场铺路</w:t>
            </w:r>
          </w:p>
        </w:tc>
      </w:tr>
      <w:tr w:rsidR="00EE4502">
        <w:trPr>
          <w:trHeight w:val="340"/>
          <w:jc w:val="center"/>
        </w:trPr>
        <w:tc>
          <w:tcPr>
            <w:tcW w:w="427" w:type="pct"/>
            <w:vMerge/>
            <w:vAlign w:val="center"/>
          </w:tcPr>
          <w:p w:rsidR="00EE4502" w:rsidRDefault="00EE4502">
            <w:pPr>
              <w:jc w:val="center"/>
              <w:textAlignment w:val="baseline"/>
              <w:rPr>
                <w:szCs w:val="21"/>
              </w:rPr>
            </w:pPr>
          </w:p>
        </w:tc>
        <w:tc>
          <w:tcPr>
            <w:tcW w:w="851" w:type="pct"/>
            <w:vAlign w:val="center"/>
          </w:tcPr>
          <w:p w:rsidR="00EE4502" w:rsidRDefault="00FD45A3">
            <w:pPr>
              <w:pStyle w:val="affffffff5"/>
              <w:adjustRightInd/>
              <w:snapToGrid/>
              <w:spacing w:line="240" w:lineRule="auto"/>
              <w:ind w:leftChars="0" w:left="0" w:rightChars="0" w:right="0"/>
              <w:rPr>
                <w:color w:val="auto"/>
                <w:sz w:val="21"/>
                <w:szCs w:val="21"/>
              </w:rPr>
            </w:pPr>
            <w:r>
              <w:rPr>
                <w:color w:val="auto"/>
                <w:sz w:val="21"/>
                <w:szCs w:val="21"/>
              </w:rPr>
              <w:t>施工废料</w:t>
            </w:r>
          </w:p>
        </w:tc>
        <w:tc>
          <w:tcPr>
            <w:tcW w:w="931" w:type="pct"/>
            <w:vAlign w:val="center"/>
          </w:tcPr>
          <w:p w:rsidR="00EE4502" w:rsidRDefault="00FD45A3">
            <w:pPr>
              <w:pStyle w:val="affffffff5"/>
              <w:adjustRightInd/>
              <w:snapToGrid/>
              <w:spacing w:line="240" w:lineRule="auto"/>
              <w:ind w:leftChars="0" w:left="0" w:rightChars="0" w:right="0"/>
              <w:rPr>
                <w:color w:val="auto"/>
                <w:sz w:val="21"/>
                <w:szCs w:val="21"/>
              </w:rPr>
            </w:pPr>
            <w:r>
              <w:rPr>
                <w:color w:val="auto"/>
                <w:sz w:val="21"/>
                <w:szCs w:val="21"/>
              </w:rPr>
              <w:t>071-002-S99</w:t>
            </w:r>
          </w:p>
        </w:tc>
        <w:tc>
          <w:tcPr>
            <w:tcW w:w="725" w:type="pct"/>
            <w:vAlign w:val="center"/>
          </w:tcPr>
          <w:p w:rsidR="00EE4502" w:rsidRDefault="00FD45A3">
            <w:pPr>
              <w:pStyle w:val="affffffff5"/>
              <w:adjustRightInd/>
              <w:snapToGrid/>
              <w:spacing w:line="240" w:lineRule="auto"/>
              <w:ind w:leftChars="0" w:left="0" w:rightChars="0" w:right="0"/>
              <w:rPr>
                <w:color w:val="auto"/>
                <w:sz w:val="21"/>
                <w:szCs w:val="21"/>
              </w:rPr>
            </w:pPr>
            <w:r>
              <w:rPr>
                <w:color w:val="auto"/>
                <w:sz w:val="21"/>
                <w:szCs w:val="21"/>
              </w:rPr>
              <w:t>2.5t</w:t>
            </w:r>
          </w:p>
        </w:tc>
        <w:tc>
          <w:tcPr>
            <w:tcW w:w="2065" w:type="pct"/>
            <w:vMerge w:val="restart"/>
            <w:vAlign w:val="center"/>
          </w:tcPr>
          <w:p w:rsidR="00EE4502" w:rsidRDefault="00FD45A3">
            <w:pPr>
              <w:pStyle w:val="affffffff5"/>
              <w:adjustRightInd/>
              <w:snapToGrid/>
              <w:spacing w:line="240" w:lineRule="auto"/>
              <w:ind w:leftChars="0" w:left="0" w:rightChars="0" w:right="0"/>
              <w:jc w:val="both"/>
              <w:rPr>
                <w:color w:val="auto"/>
                <w:sz w:val="21"/>
                <w:szCs w:val="21"/>
              </w:rPr>
            </w:pPr>
            <w:r>
              <w:rPr>
                <w:color w:val="auto"/>
                <w:sz w:val="21"/>
                <w:szCs w:val="21"/>
              </w:rPr>
              <w:t>收集后送至克拉玛依建筑垃圾填埋场（排</w:t>
            </w:r>
            <w:r>
              <w:rPr>
                <w:color w:val="auto"/>
                <w:sz w:val="21"/>
                <w:szCs w:val="21"/>
              </w:rPr>
              <w:t>61</w:t>
            </w:r>
            <w:r>
              <w:rPr>
                <w:color w:val="auto"/>
                <w:sz w:val="21"/>
                <w:szCs w:val="21"/>
              </w:rPr>
              <w:t>块产能部分位于克拉玛依境内）或胡杨河经济技术开发区一般固体废物填埋场（注水部分位于第七师境内）处置</w:t>
            </w:r>
          </w:p>
        </w:tc>
      </w:tr>
      <w:tr w:rsidR="00EE4502">
        <w:trPr>
          <w:trHeight w:val="340"/>
          <w:jc w:val="center"/>
        </w:trPr>
        <w:tc>
          <w:tcPr>
            <w:tcW w:w="427" w:type="pct"/>
            <w:vMerge/>
            <w:vAlign w:val="center"/>
          </w:tcPr>
          <w:p w:rsidR="00EE4502" w:rsidRDefault="00EE4502">
            <w:pPr>
              <w:jc w:val="center"/>
              <w:textAlignment w:val="baseline"/>
              <w:rPr>
                <w:szCs w:val="21"/>
              </w:rPr>
            </w:pPr>
          </w:p>
        </w:tc>
        <w:tc>
          <w:tcPr>
            <w:tcW w:w="851" w:type="pct"/>
            <w:vAlign w:val="center"/>
          </w:tcPr>
          <w:p w:rsidR="00EE4502" w:rsidRDefault="00FD45A3">
            <w:pPr>
              <w:pStyle w:val="affffffff5"/>
              <w:adjustRightInd/>
              <w:snapToGrid/>
              <w:spacing w:line="240" w:lineRule="auto"/>
              <w:ind w:leftChars="0" w:left="0" w:rightChars="0" w:right="0"/>
              <w:rPr>
                <w:color w:val="auto"/>
                <w:sz w:val="21"/>
                <w:szCs w:val="21"/>
              </w:rPr>
            </w:pPr>
            <w:r>
              <w:rPr>
                <w:color w:val="auto"/>
                <w:sz w:val="21"/>
                <w:szCs w:val="21"/>
              </w:rPr>
              <w:t>设备废弃包装</w:t>
            </w:r>
          </w:p>
        </w:tc>
        <w:tc>
          <w:tcPr>
            <w:tcW w:w="931" w:type="pct"/>
            <w:vAlign w:val="center"/>
          </w:tcPr>
          <w:p w:rsidR="00EE4502" w:rsidRDefault="00FD45A3">
            <w:pPr>
              <w:pStyle w:val="affffffff5"/>
              <w:adjustRightInd/>
              <w:snapToGrid/>
              <w:spacing w:line="240" w:lineRule="auto"/>
              <w:ind w:leftChars="0" w:left="0" w:rightChars="0" w:right="0"/>
              <w:rPr>
                <w:color w:val="auto"/>
                <w:sz w:val="21"/>
                <w:szCs w:val="21"/>
              </w:rPr>
            </w:pPr>
            <w:r>
              <w:rPr>
                <w:color w:val="auto"/>
                <w:sz w:val="21"/>
                <w:szCs w:val="21"/>
              </w:rPr>
              <w:t>071-003-S99</w:t>
            </w:r>
          </w:p>
        </w:tc>
        <w:tc>
          <w:tcPr>
            <w:tcW w:w="725" w:type="pct"/>
            <w:vAlign w:val="center"/>
          </w:tcPr>
          <w:p w:rsidR="00EE4502" w:rsidRDefault="00FD45A3">
            <w:pPr>
              <w:pStyle w:val="affffffff5"/>
              <w:adjustRightInd/>
              <w:snapToGrid/>
              <w:spacing w:line="240" w:lineRule="auto"/>
              <w:ind w:leftChars="0" w:left="0" w:rightChars="0" w:right="0"/>
              <w:rPr>
                <w:color w:val="auto"/>
                <w:sz w:val="21"/>
                <w:szCs w:val="21"/>
              </w:rPr>
            </w:pPr>
            <w:r>
              <w:rPr>
                <w:color w:val="auto"/>
                <w:sz w:val="21"/>
                <w:szCs w:val="21"/>
              </w:rPr>
              <w:t>0.36t</w:t>
            </w:r>
          </w:p>
        </w:tc>
        <w:tc>
          <w:tcPr>
            <w:tcW w:w="2065" w:type="pct"/>
            <w:vMerge/>
            <w:vAlign w:val="center"/>
          </w:tcPr>
          <w:p w:rsidR="00EE4502" w:rsidRDefault="00EE4502">
            <w:pPr>
              <w:pStyle w:val="affffffff5"/>
              <w:adjustRightInd/>
              <w:snapToGrid/>
              <w:spacing w:line="240" w:lineRule="auto"/>
              <w:ind w:leftChars="0" w:left="0" w:rightChars="0" w:right="0"/>
              <w:jc w:val="both"/>
              <w:rPr>
                <w:color w:val="auto"/>
                <w:sz w:val="21"/>
                <w:szCs w:val="21"/>
              </w:rPr>
            </w:pPr>
          </w:p>
        </w:tc>
      </w:tr>
      <w:tr w:rsidR="00EE4502">
        <w:trPr>
          <w:trHeight w:val="340"/>
          <w:jc w:val="center"/>
        </w:trPr>
        <w:tc>
          <w:tcPr>
            <w:tcW w:w="427" w:type="pct"/>
            <w:vAlign w:val="center"/>
          </w:tcPr>
          <w:p w:rsidR="00EE4502" w:rsidRDefault="00FD45A3">
            <w:pPr>
              <w:jc w:val="center"/>
              <w:textAlignment w:val="baseline"/>
              <w:rPr>
                <w:szCs w:val="21"/>
              </w:rPr>
            </w:pPr>
            <w:r>
              <w:rPr>
                <w:szCs w:val="21"/>
              </w:rPr>
              <w:t>生活垃圾</w:t>
            </w:r>
          </w:p>
        </w:tc>
        <w:tc>
          <w:tcPr>
            <w:tcW w:w="851" w:type="pct"/>
            <w:vAlign w:val="center"/>
          </w:tcPr>
          <w:p w:rsidR="00EE4502" w:rsidRDefault="00FD45A3">
            <w:pPr>
              <w:jc w:val="center"/>
              <w:textAlignment w:val="baseline"/>
              <w:rPr>
                <w:szCs w:val="21"/>
              </w:rPr>
            </w:pPr>
            <w:r>
              <w:rPr>
                <w:szCs w:val="21"/>
              </w:rPr>
              <w:t>生活垃圾</w:t>
            </w:r>
          </w:p>
        </w:tc>
        <w:tc>
          <w:tcPr>
            <w:tcW w:w="931" w:type="pct"/>
            <w:vAlign w:val="center"/>
          </w:tcPr>
          <w:p w:rsidR="00EE4502" w:rsidRDefault="00FD45A3">
            <w:pPr>
              <w:jc w:val="center"/>
              <w:textAlignment w:val="baseline"/>
              <w:rPr>
                <w:szCs w:val="21"/>
              </w:rPr>
            </w:pPr>
            <w:r>
              <w:rPr>
                <w:szCs w:val="21"/>
              </w:rPr>
              <w:t>900-099-S64</w:t>
            </w:r>
          </w:p>
        </w:tc>
        <w:tc>
          <w:tcPr>
            <w:tcW w:w="725" w:type="pct"/>
            <w:vAlign w:val="center"/>
          </w:tcPr>
          <w:p w:rsidR="00EE4502" w:rsidRDefault="00FD45A3">
            <w:pPr>
              <w:jc w:val="center"/>
              <w:textAlignment w:val="baseline"/>
              <w:rPr>
                <w:szCs w:val="21"/>
              </w:rPr>
            </w:pPr>
            <w:r>
              <w:rPr>
                <w:szCs w:val="21"/>
              </w:rPr>
              <w:t>3.3t</w:t>
            </w:r>
          </w:p>
        </w:tc>
        <w:tc>
          <w:tcPr>
            <w:tcW w:w="2065" w:type="pct"/>
            <w:vAlign w:val="center"/>
          </w:tcPr>
          <w:p w:rsidR="00EE4502" w:rsidRDefault="00FD45A3">
            <w:pPr>
              <w:textAlignment w:val="baseline"/>
              <w:rPr>
                <w:szCs w:val="21"/>
              </w:rPr>
            </w:pPr>
            <w:r>
              <w:rPr>
                <w:szCs w:val="21"/>
              </w:rPr>
              <w:t>在垃圾收集箱暂存，由克拉玛依前山石油工程服务有限公司清运至克拉玛依市生活垃圾填埋场（排</w:t>
            </w:r>
            <w:r>
              <w:rPr>
                <w:szCs w:val="21"/>
              </w:rPr>
              <w:t>61</w:t>
            </w:r>
            <w:r>
              <w:rPr>
                <w:szCs w:val="21"/>
              </w:rPr>
              <w:t>块产能部分位于克拉玛依境内）或第七师</w:t>
            </w:r>
            <w:r>
              <w:rPr>
                <w:szCs w:val="21"/>
              </w:rPr>
              <w:t>128</w:t>
            </w:r>
            <w:r>
              <w:rPr>
                <w:szCs w:val="21"/>
              </w:rPr>
              <w:t>团生活垃圾填埋场（注水部分位于第七师境内）处置</w:t>
            </w:r>
          </w:p>
        </w:tc>
      </w:tr>
      <w:tr w:rsidR="00EE4502">
        <w:trPr>
          <w:trHeight w:val="340"/>
          <w:jc w:val="center"/>
        </w:trPr>
        <w:tc>
          <w:tcPr>
            <w:tcW w:w="427" w:type="pct"/>
            <w:vMerge w:val="restart"/>
            <w:vAlign w:val="center"/>
          </w:tcPr>
          <w:p w:rsidR="00EE4502" w:rsidRDefault="00FD45A3">
            <w:pPr>
              <w:jc w:val="center"/>
              <w:textAlignment w:val="baseline"/>
              <w:rPr>
                <w:szCs w:val="21"/>
              </w:rPr>
            </w:pPr>
            <w:r>
              <w:rPr>
                <w:szCs w:val="21"/>
              </w:rPr>
              <w:t>危险废物</w:t>
            </w:r>
          </w:p>
        </w:tc>
        <w:tc>
          <w:tcPr>
            <w:tcW w:w="851" w:type="pct"/>
            <w:vAlign w:val="center"/>
          </w:tcPr>
          <w:p w:rsidR="00EE4502" w:rsidRDefault="00FD45A3">
            <w:pPr>
              <w:pStyle w:val="affffffff5"/>
              <w:adjustRightInd/>
              <w:snapToGrid/>
              <w:spacing w:line="240" w:lineRule="auto"/>
              <w:ind w:leftChars="0" w:left="0" w:rightChars="0" w:right="0"/>
              <w:rPr>
                <w:color w:val="auto"/>
                <w:sz w:val="21"/>
                <w:szCs w:val="21"/>
              </w:rPr>
            </w:pPr>
            <w:r>
              <w:rPr>
                <w:color w:val="auto"/>
                <w:sz w:val="21"/>
                <w:szCs w:val="21"/>
              </w:rPr>
              <w:t>废机油</w:t>
            </w:r>
          </w:p>
        </w:tc>
        <w:tc>
          <w:tcPr>
            <w:tcW w:w="931" w:type="pct"/>
            <w:vAlign w:val="center"/>
          </w:tcPr>
          <w:p w:rsidR="00EE4502" w:rsidRDefault="00FD45A3">
            <w:pPr>
              <w:pStyle w:val="affffffff5"/>
              <w:adjustRightInd/>
              <w:snapToGrid/>
              <w:spacing w:line="240" w:lineRule="auto"/>
              <w:ind w:leftChars="0" w:left="0" w:rightChars="0" w:right="0"/>
              <w:rPr>
                <w:color w:val="auto"/>
                <w:sz w:val="21"/>
                <w:szCs w:val="21"/>
              </w:rPr>
            </w:pPr>
            <w:r>
              <w:rPr>
                <w:color w:val="auto"/>
                <w:sz w:val="21"/>
                <w:szCs w:val="21"/>
              </w:rPr>
              <w:t>HW08/900-214-08</w:t>
            </w:r>
          </w:p>
        </w:tc>
        <w:tc>
          <w:tcPr>
            <w:tcW w:w="725" w:type="pct"/>
            <w:vAlign w:val="center"/>
          </w:tcPr>
          <w:p w:rsidR="00EE4502" w:rsidRDefault="00FD45A3">
            <w:pPr>
              <w:pStyle w:val="affffffff5"/>
              <w:adjustRightInd/>
              <w:snapToGrid/>
              <w:spacing w:line="240" w:lineRule="auto"/>
              <w:ind w:leftChars="0" w:left="0" w:rightChars="0" w:right="0"/>
              <w:rPr>
                <w:color w:val="auto"/>
                <w:sz w:val="21"/>
                <w:szCs w:val="21"/>
              </w:rPr>
            </w:pPr>
            <w:r>
              <w:rPr>
                <w:color w:val="auto"/>
                <w:sz w:val="21"/>
                <w:szCs w:val="21"/>
              </w:rPr>
              <w:t>9t</w:t>
            </w:r>
          </w:p>
        </w:tc>
        <w:tc>
          <w:tcPr>
            <w:tcW w:w="2065" w:type="pct"/>
            <w:vMerge w:val="restart"/>
            <w:vAlign w:val="center"/>
          </w:tcPr>
          <w:p w:rsidR="00EE4502" w:rsidRDefault="00FD45A3">
            <w:pPr>
              <w:pStyle w:val="affffffff5"/>
              <w:adjustRightInd/>
              <w:snapToGrid/>
              <w:spacing w:line="240" w:lineRule="auto"/>
              <w:ind w:leftChars="0" w:left="0" w:rightChars="0" w:right="0"/>
              <w:jc w:val="both"/>
              <w:rPr>
                <w:color w:val="auto"/>
                <w:sz w:val="21"/>
                <w:szCs w:val="21"/>
              </w:rPr>
            </w:pPr>
            <w:r>
              <w:rPr>
                <w:color w:val="auto"/>
                <w:sz w:val="21"/>
                <w:szCs w:val="21"/>
              </w:rPr>
              <w:t>委托有危险废物处置资质的单位回收处理</w:t>
            </w:r>
          </w:p>
        </w:tc>
      </w:tr>
      <w:tr w:rsidR="00EE4502">
        <w:trPr>
          <w:trHeight w:val="340"/>
          <w:jc w:val="center"/>
        </w:trPr>
        <w:tc>
          <w:tcPr>
            <w:tcW w:w="427" w:type="pct"/>
            <w:vMerge/>
            <w:vAlign w:val="center"/>
          </w:tcPr>
          <w:p w:rsidR="00EE4502" w:rsidRDefault="00EE4502">
            <w:pPr>
              <w:jc w:val="center"/>
              <w:textAlignment w:val="baseline"/>
              <w:rPr>
                <w:szCs w:val="21"/>
              </w:rPr>
            </w:pPr>
          </w:p>
        </w:tc>
        <w:tc>
          <w:tcPr>
            <w:tcW w:w="851" w:type="pct"/>
            <w:vAlign w:val="center"/>
          </w:tcPr>
          <w:p w:rsidR="00EE4502" w:rsidRDefault="00FD45A3">
            <w:pPr>
              <w:pStyle w:val="affffffff5"/>
              <w:adjustRightInd/>
              <w:snapToGrid/>
              <w:spacing w:line="240" w:lineRule="auto"/>
              <w:ind w:leftChars="0" w:left="0" w:rightChars="0" w:right="0"/>
              <w:rPr>
                <w:color w:val="auto"/>
                <w:sz w:val="21"/>
                <w:szCs w:val="21"/>
              </w:rPr>
            </w:pPr>
            <w:r>
              <w:rPr>
                <w:color w:val="auto"/>
                <w:sz w:val="21"/>
                <w:szCs w:val="21"/>
              </w:rPr>
              <w:t>废烧碱包装袋</w:t>
            </w:r>
          </w:p>
        </w:tc>
        <w:tc>
          <w:tcPr>
            <w:tcW w:w="931" w:type="pct"/>
            <w:vAlign w:val="center"/>
          </w:tcPr>
          <w:p w:rsidR="00EE4502" w:rsidRDefault="00FD45A3">
            <w:pPr>
              <w:pStyle w:val="affffffff5"/>
              <w:adjustRightInd/>
              <w:snapToGrid/>
              <w:spacing w:line="240" w:lineRule="auto"/>
              <w:ind w:leftChars="0" w:left="0" w:rightChars="0" w:right="0"/>
              <w:rPr>
                <w:color w:val="auto"/>
                <w:sz w:val="21"/>
                <w:szCs w:val="21"/>
              </w:rPr>
            </w:pPr>
            <w:r>
              <w:rPr>
                <w:color w:val="auto"/>
                <w:sz w:val="21"/>
                <w:szCs w:val="21"/>
              </w:rPr>
              <w:t>HW49 900-047-49</w:t>
            </w:r>
          </w:p>
        </w:tc>
        <w:tc>
          <w:tcPr>
            <w:tcW w:w="725" w:type="pct"/>
            <w:vAlign w:val="center"/>
          </w:tcPr>
          <w:p w:rsidR="00EE4502" w:rsidRDefault="00FD45A3">
            <w:pPr>
              <w:pStyle w:val="affffffff5"/>
              <w:adjustRightInd/>
              <w:snapToGrid/>
              <w:spacing w:line="240" w:lineRule="auto"/>
              <w:ind w:leftChars="0" w:left="0" w:rightChars="0" w:right="0"/>
              <w:rPr>
                <w:color w:val="auto"/>
                <w:sz w:val="21"/>
                <w:szCs w:val="21"/>
              </w:rPr>
            </w:pPr>
            <w:r>
              <w:rPr>
                <w:rFonts w:hint="eastAsia"/>
                <w:color w:val="auto"/>
                <w:sz w:val="21"/>
                <w:szCs w:val="21"/>
              </w:rPr>
              <w:t>1.8t</w:t>
            </w:r>
          </w:p>
        </w:tc>
        <w:tc>
          <w:tcPr>
            <w:tcW w:w="2065" w:type="pct"/>
            <w:vMerge/>
            <w:vAlign w:val="center"/>
          </w:tcPr>
          <w:p w:rsidR="00EE4502" w:rsidRDefault="00EE4502">
            <w:pPr>
              <w:pStyle w:val="affffffff5"/>
              <w:adjustRightInd/>
              <w:snapToGrid/>
              <w:spacing w:line="240" w:lineRule="auto"/>
              <w:ind w:leftChars="0" w:left="0" w:rightChars="0" w:right="0"/>
              <w:jc w:val="both"/>
              <w:rPr>
                <w:color w:val="auto"/>
                <w:sz w:val="21"/>
                <w:szCs w:val="21"/>
              </w:rPr>
            </w:pPr>
          </w:p>
        </w:tc>
      </w:tr>
      <w:tr w:rsidR="00EE4502">
        <w:trPr>
          <w:trHeight w:val="340"/>
          <w:jc w:val="center"/>
        </w:trPr>
        <w:tc>
          <w:tcPr>
            <w:tcW w:w="427" w:type="pct"/>
            <w:vMerge/>
            <w:vAlign w:val="center"/>
          </w:tcPr>
          <w:p w:rsidR="00EE4502" w:rsidRDefault="00EE4502">
            <w:pPr>
              <w:jc w:val="center"/>
              <w:textAlignment w:val="baseline"/>
              <w:rPr>
                <w:szCs w:val="21"/>
              </w:rPr>
            </w:pPr>
          </w:p>
        </w:tc>
        <w:tc>
          <w:tcPr>
            <w:tcW w:w="851" w:type="pct"/>
            <w:vAlign w:val="center"/>
          </w:tcPr>
          <w:p w:rsidR="00EE4502" w:rsidRDefault="00FD45A3">
            <w:pPr>
              <w:pStyle w:val="affffffff5"/>
              <w:adjustRightInd/>
              <w:snapToGrid/>
              <w:spacing w:line="240" w:lineRule="auto"/>
              <w:ind w:leftChars="0" w:left="0" w:rightChars="0" w:right="0"/>
              <w:rPr>
                <w:color w:val="auto"/>
                <w:sz w:val="21"/>
                <w:szCs w:val="21"/>
              </w:rPr>
            </w:pPr>
            <w:r>
              <w:rPr>
                <w:color w:val="auto"/>
                <w:sz w:val="21"/>
                <w:szCs w:val="21"/>
              </w:rPr>
              <w:t>含油废物</w:t>
            </w:r>
          </w:p>
        </w:tc>
        <w:tc>
          <w:tcPr>
            <w:tcW w:w="931" w:type="pct"/>
            <w:vAlign w:val="center"/>
          </w:tcPr>
          <w:p w:rsidR="00EE4502" w:rsidRDefault="00FD45A3">
            <w:pPr>
              <w:pStyle w:val="affffffff5"/>
              <w:adjustRightInd/>
              <w:snapToGrid/>
              <w:spacing w:line="240" w:lineRule="auto"/>
              <w:ind w:leftChars="0" w:left="0" w:rightChars="0" w:right="0"/>
              <w:rPr>
                <w:color w:val="auto"/>
                <w:sz w:val="21"/>
                <w:szCs w:val="21"/>
              </w:rPr>
            </w:pPr>
            <w:r>
              <w:rPr>
                <w:color w:val="auto"/>
                <w:sz w:val="21"/>
                <w:szCs w:val="21"/>
              </w:rPr>
              <w:t>HW08 071-001-08</w:t>
            </w:r>
          </w:p>
        </w:tc>
        <w:tc>
          <w:tcPr>
            <w:tcW w:w="725" w:type="pct"/>
            <w:vAlign w:val="center"/>
          </w:tcPr>
          <w:p w:rsidR="00EE4502" w:rsidRDefault="00FD45A3">
            <w:pPr>
              <w:pStyle w:val="affffffff5"/>
              <w:adjustRightInd/>
              <w:snapToGrid/>
              <w:spacing w:line="240" w:lineRule="auto"/>
              <w:ind w:leftChars="0" w:left="0" w:rightChars="0" w:right="0"/>
              <w:rPr>
                <w:color w:val="auto"/>
                <w:sz w:val="21"/>
                <w:szCs w:val="21"/>
              </w:rPr>
            </w:pPr>
            <w:r>
              <w:rPr>
                <w:color w:val="auto"/>
                <w:sz w:val="21"/>
                <w:szCs w:val="21"/>
              </w:rPr>
              <w:t>0.36</w:t>
            </w:r>
            <w:r>
              <w:rPr>
                <w:rFonts w:hint="eastAsia"/>
                <w:color w:val="auto"/>
                <w:sz w:val="21"/>
                <w:szCs w:val="21"/>
              </w:rPr>
              <w:t>t</w:t>
            </w:r>
          </w:p>
        </w:tc>
        <w:tc>
          <w:tcPr>
            <w:tcW w:w="2065" w:type="pct"/>
            <w:vMerge/>
            <w:vAlign w:val="center"/>
          </w:tcPr>
          <w:p w:rsidR="00EE4502" w:rsidRDefault="00EE4502">
            <w:pPr>
              <w:pStyle w:val="affffffff5"/>
              <w:adjustRightInd/>
              <w:snapToGrid/>
              <w:spacing w:line="240" w:lineRule="auto"/>
              <w:ind w:leftChars="0" w:left="0" w:rightChars="0" w:right="0"/>
              <w:jc w:val="both"/>
              <w:rPr>
                <w:color w:val="auto"/>
                <w:sz w:val="21"/>
                <w:szCs w:val="21"/>
              </w:rPr>
            </w:pPr>
          </w:p>
        </w:tc>
      </w:tr>
      <w:tr w:rsidR="00EE4502">
        <w:trPr>
          <w:trHeight w:val="340"/>
          <w:jc w:val="center"/>
        </w:trPr>
        <w:tc>
          <w:tcPr>
            <w:tcW w:w="427" w:type="pct"/>
            <w:vMerge/>
            <w:vAlign w:val="center"/>
          </w:tcPr>
          <w:p w:rsidR="00EE4502" w:rsidRDefault="00EE4502">
            <w:pPr>
              <w:jc w:val="center"/>
              <w:textAlignment w:val="baseline"/>
              <w:rPr>
                <w:szCs w:val="21"/>
              </w:rPr>
            </w:pPr>
          </w:p>
        </w:tc>
        <w:tc>
          <w:tcPr>
            <w:tcW w:w="851" w:type="pct"/>
            <w:vAlign w:val="center"/>
          </w:tcPr>
          <w:p w:rsidR="00EE4502" w:rsidRDefault="00FD45A3">
            <w:pPr>
              <w:jc w:val="center"/>
              <w:textAlignment w:val="baseline"/>
              <w:rPr>
                <w:szCs w:val="21"/>
              </w:rPr>
            </w:pPr>
            <w:r>
              <w:rPr>
                <w:szCs w:val="21"/>
              </w:rPr>
              <w:t>沾油废防渗材料</w:t>
            </w:r>
          </w:p>
        </w:tc>
        <w:tc>
          <w:tcPr>
            <w:tcW w:w="931" w:type="pct"/>
            <w:vAlign w:val="center"/>
          </w:tcPr>
          <w:p w:rsidR="00EE4502" w:rsidRDefault="00FD45A3">
            <w:pPr>
              <w:jc w:val="center"/>
              <w:textAlignment w:val="baseline"/>
              <w:rPr>
                <w:szCs w:val="21"/>
              </w:rPr>
            </w:pPr>
            <w:r>
              <w:rPr>
                <w:szCs w:val="21"/>
              </w:rPr>
              <w:t>HW08 900-249-08</w:t>
            </w:r>
          </w:p>
        </w:tc>
        <w:tc>
          <w:tcPr>
            <w:tcW w:w="725" w:type="pct"/>
            <w:vAlign w:val="center"/>
          </w:tcPr>
          <w:p w:rsidR="00EE4502" w:rsidRDefault="00FD45A3">
            <w:pPr>
              <w:jc w:val="center"/>
              <w:textAlignment w:val="baseline"/>
              <w:rPr>
                <w:szCs w:val="21"/>
              </w:rPr>
            </w:pPr>
            <w:r>
              <w:rPr>
                <w:szCs w:val="21"/>
              </w:rPr>
              <w:t>1.8</w:t>
            </w:r>
          </w:p>
        </w:tc>
        <w:tc>
          <w:tcPr>
            <w:tcW w:w="2065" w:type="pct"/>
            <w:vMerge/>
            <w:vAlign w:val="center"/>
          </w:tcPr>
          <w:p w:rsidR="00EE4502" w:rsidRDefault="00EE4502">
            <w:pPr>
              <w:textAlignment w:val="baseline"/>
              <w:rPr>
                <w:szCs w:val="21"/>
              </w:rPr>
            </w:pPr>
          </w:p>
        </w:tc>
      </w:tr>
    </w:tbl>
    <w:p w:rsidR="00EE4502" w:rsidRDefault="00EE4502">
      <w:pPr>
        <w:ind w:left="-28" w:firstLineChars="211" w:firstLine="316"/>
        <w:rPr>
          <w:sz w:val="15"/>
          <w:szCs w:val="15"/>
        </w:rPr>
      </w:pPr>
    </w:p>
    <w:p w:rsidR="00EE4502" w:rsidRDefault="00FD45A3">
      <w:pPr>
        <w:pStyle w:val="41"/>
        <w:numPr>
          <w:ilvl w:val="3"/>
          <w:numId w:val="30"/>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bCs w:val="0"/>
          <w:sz w:val="24"/>
          <w:szCs w:val="24"/>
        </w:rPr>
        <w:t>噪声</w:t>
      </w:r>
    </w:p>
    <w:p w:rsidR="00EE4502" w:rsidRDefault="00FD45A3">
      <w:pPr>
        <w:spacing w:line="360" w:lineRule="auto"/>
        <w:ind w:firstLine="482"/>
        <w:rPr>
          <w:sz w:val="24"/>
        </w:rPr>
      </w:pPr>
      <w:r>
        <w:rPr>
          <w:rFonts w:hint="eastAsia"/>
          <w:sz w:val="24"/>
        </w:rPr>
        <w:t>春风油田石炭系排</w:t>
      </w:r>
      <w:r>
        <w:rPr>
          <w:rFonts w:hint="eastAsia"/>
          <w:sz w:val="24"/>
        </w:rPr>
        <w:t>61</w:t>
      </w:r>
      <w:r>
        <w:rPr>
          <w:rFonts w:hint="eastAsia"/>
          <w:sz w:val="24"/>
        </w:rPr>
        <w:t>块产能建设工程</w:t>
      </w:r>
      <w:r>
        <w:rPr>
          <w:sz w:val="24"/>
        </w:rPr>
        <w:t>在勘探开发阶段的噪声源主要为井场</w:t>
      </w:r>
      <w:r>
        <w:rPr>
          <w:sz w:val="24"/>
        </w:rPr>
        <w:lastRenderedPageBreak/>
        <w:t>钻机、泥浆泵和柴油发电机等，噪声源集中在钻井井场，各噪声源声压级一般在</w:t>
      </w:r>
      <w:r>
        <w:rPr>
          <w:sz w:val="24"/>
        </w:rPr>
        <w:t>90-100dB</w:t>
      </w:r>
      <w:r>
        <w:rPr>
          <w:sz w:val="24"/>
        </w:rPr>
        <w:t>（</w:t>
      </w:r>
      <w:r>
        <w:rPr>
          <w:sz w:val="24"/>
        </w:rPr>
        <w:t>A</w:t>
      </w:r>
      <w:r>
        <w:rPr>
          <w:sz w:val="24"/>
        </w:rPr>
        <w:t>），其中钻井过程中的噪声最大，可达</w:t>
      </w:r>
      <w:r>
        <w:rPr>
          <w:sz w:val="24"/>
        </w:rPr>
        <w:t>105dB</w:t>
      </w:r>
      <w:r>
        <w:rPr>
          <w:sz w:val="24"/>
        </w:rPr>
        <w:t>（</w:t>
      </w:r>
      <w:r>
        <w:rPr>
          <w:sz w:val="24"/>
        </w:rPr>
        <w:t>A</w:t>
      </w:r>
      <w:r>
        <w:rPr>
          <w:sz w:val="24"/>
        </w:rPr>
        <w:t>），经过加隔声罩处理后，可降至</w:t>
      </w:r>
      <w:r>
        <w:rPr>
          <w:sz w:val="24"/>
        </w:rPr>
        <w:t>80-85 dB</w:t>
      </w:r>
      <w:r>
        <w:rPr>
          <w:sz w:val="24"/>
        </w:rPr>
        <w:t>（</w:t>
      </w:r>
      <w:r>
        <w:rPr>
          <w:sz w:val="24"/>
        </w:rPr>
        <w:t>A</w:t>
      </w:r>
      <w:r>
        <w:rPr>
          <w:sz w:val="24"/>
        </w:rPr>
        <w:t>）。施工期噪声排放情况见表</w:t>
      </w:r>
      <w:r>
        <w:rPr>
          <w:rFonts w:hint="eastAsia"/>
          <w:sz w:val="24"/>
        </w:rPr>
        <w:t>3-4</w:t>
      </w:r>
      <w:r>
        <w:rPr>
          <w:sz w:val="24"/>
        </w:rPr>
        <w:t>-6</w:t>
      </w:r>
      <w:r>
        <w:rPr>
          <w:sz w:val="24"/>
        </w:rPr>
        <w:t>。</w:t>
      </w:r>
    </w:p>
    <w:p w:rsidR="00EE4502" w:rsidRDefault="00FD45A3">
      <w:pPr>
        <w:spacing w:line="360" w:lineRule="auto"/>
        <w:jc w:val="center"/>
        <w:rPr>
          <w:rFonts w:eastAsia="黑体"/>
          <w:bCs/>
          <w:lang w:val="zh-CN"/>
        </w:rPr>
      </w:pPr>
      <w:r>
        <w:rPr>
          <w:rFonts w:eastAsia="黑体"/>
          <w:bCs/>
          <w:lang w:val="zh-CN"/>
        </w:rPr>
        <w:t>表</w:t>
      </w:r>
      <w:r>
        <w:rPr>
          <w:rFonts w:eastAsia="黑体" w:hint="eastAsia"/>
          <w:bCs/>
          <w:lang w:val="zh-CN"/>
        </w:rPr>
        <w:t>3-4</w:t>
      </w:r>
      <w:r>
        <w:rPr>
          <w:rFonts w:eastAsia="黑体"/>
          <w:bCs/>
          <w:lang w:val="zh-CN"/>
        </w:rPr>
        <w:t>-</w:t>
      </w:r>
      <w:r>
        <w:rPr>
          <w:rFonts w:eastAsia="黑体"/>
          <w:bCs/>
        </w:rPr>
        <w:t>6</w:t>
      </w:r>
      <w:r>
        <w:rPr>
          <w:rFonts w:eastAsia="黑体"/>
          <w:bCs/>
          <w:lang w:val="zh-CN"/>
        </w:rPr>
        <w:t xml:space="preserve">  </w:t>
      </w:r>
      <w:r>
        <w:rPr>
          <w:rFonts w:eastAsia="黑体" w:hint="eastAsia"/>
          <w:bCs/>
        </w:rPr>
        <w:t>施工期</w:t>
      </w:r>
      <w:r>
        <w:rPr>
          <w:rFonts w:eastAsia="黑体"/>
          <w:bCs/>
          <w:lang w:val="zh-CN"/>
        </w:rPr>
        <w:t>噪声排放情况</w:t>
      </w:r>
    </w:p>
    <w:tbl>
      <w:tblPr>
        <w:tblW w:w="4998" w:type="pct"/>
        <w:jc w:val="center"/>
        <w:tblBorders>
          <w:top w:val="single" w:sz="8" w:space="0" w:color="auto"/>
          <w:bottom w:val="single" w:sz="8" w:space="0" w:color="auto"/>
          <w:insideH w:val="single" w:sz="8" w:space="0" w:color="auto"/>
          <w:insideV w:val="single" w:sz="8" w:space="0" w:color="auto"/>
        </w:tblBorders>
        <w:tblLook w:val="04A0" w:firstRow="1" w:lastRow="0" w:firstColumn="1" w:lastColumn="0" w:noHBand="0" w:noVBand="1"/>
      </w:tblPr>
      <w:tblGrid>
        <w:gridCol w:w="1074"/>
        <w:gridCol w:w="1200"/>
        <w:gridCol w:w="1689"/>
        <w:gridCol w:w="1182"/>
        <w:gridCol w:w="1975"/>
        <w:gridCol w:w="1399"/>
      </w:tblGrid>
      <w:tr w:rsidR="00EE4502">
        <w:trPr>
          <w:trHeight w:val="340"/>
          <w:jc w:val="center"/>
        </w:trPr>
        <w:tc>
          <w:tcPr>
            <w:tcW w:w="630" w:type="pct"/>
            <w:vAlign w:val="center"/>
          </w:tcPr>
          <w:p w:rsidR="00EE4502" w:rsidRDefault="00FD45A3">
            <w:pPr>
              <w:widowControl/>
              <w:jc w:val="center"/>
              <w:rPr>
                <w:kern w:val="0"/>
                <w:szCs w:val="21"/>
              </w:rPr>
            </w:pPr>
            <w:r>
              <w:rPr>
                <w:kern w:val="0"/>
                <w:szCs w:val="21"/>
              </w:rPr>
              <w:t>时段</w:t>
            </w:r>
          </w:p>
        </w:tc>
        <w:tc>
          <w:tcPr>
            <w:tcW w:w="704" w:type="pct"/>
            <w:vAlign w:val="center"/>
          </w:tcPr>
          <w:p w:rsidR="00EE4502" w:rsidRDefault="00FD45A3">
            <w:pPr>
              <w:widowControl/>
              <w:jc w:val="center"/>
              <w:rPr>
                <w:kern w:val="0"/>
                <w:szCs w:val="21"/>
              </w:rPr>
            </w:pPr>
            <w:r>
              <w:rPr>
                <w:kern w:val="0"/>
                <w:szCs w:val="21"/>
              </w:rPr>
              <w:t>位置</w:t>
            </w:r>
          </w:p>
        </w:tc>
        <w:tc>
          <w:tcPr>
            <w:tcW w:w="991" w:type="pct"/>
            <w:vAlign w:val="center"/>
          </w:tcPr>
          <w:p w:rsidR="00EE4502" w:rsidRDefault="00FD45A3">
            <w:pPr>
              <w:widowControl/>
              <w:jc w:val="center"/>
              <w:rPr>
                <w:kern w:val="0"/>
                <w:szCs w:val="21"/>
              </w:rPr>
            </w:pPr>
            <w:r>
              <w:rPr>
                <w:kern w:val="0"/>
                <w:szCs w:val="21"/>
              </w:rPr>
              <w:t>设备名称</w:t>
            </w:r>
          </w:p>
        </w:tc>
        <w:tc>
          <w:tcPr>
            <w:tcW w:w="693" w:type="pct"/>
            <w:vAlign w:val="center"/>
          </w:tcPr>
          <w:p w:rsidR="00EE4502" w:rsidRDefault="00FD45A3">
            <w:pPr>
              <w:widowControl/>
              <w:jc w:val="center"/>
              <w:rPr>
                <w:kern w:val="0"/>
                <w:szCs w:val="21"/>
              </w:rPr>
            </w:pPr>
            <w:r>
              <w:rPr>
                <w:kern w:val="0"/>
                <w:szCs w:val="21"/>
              </w:rPr>
              <w:t>数量</w:t>
            </w:r>
          </w:p>
        </w:tc>
        <w:tc>
          <w:tcPr>
            <w:tcW w:w="1159" w:type="pct"/>
            <w:vAlign w:val="center"/>
          </w:tcPr>
          <w:p w:rsidR="00EE4502" w:rsidRDefault="00FD45A3">
            <w:pPr>
              <w:widowControl/>
              <w:jc w:val="center"/>
              <w:rPr>
                <w:kern w:val="0"/>
                <w:szCs w:val="21"/>
              </w:rPr>
            </w:pPr>
            <w:r>
              <w:rPr>
                <w:rFonts w:hint="eastAsia"/>
                <w:kern w:val="0"/>
                <w:szCs w:val="21"/>
              </w:rPr>
              <w:t>声压级</w:t>
            </w:r>
            <w:r>
              <w:rPr>
                <w:rFonts w:hint="eastAsia"/>
                <w:kern w:val="0"/>
                <w:szCs w:val="21"/>
              </w:rPr>
              <w:t>/</w:t>
            </w:r>
            <w:r>
              <w:rPr>
                <w:kern w:val="0"/>
                <w:szCs w:val="21"/>
              </w:rPr>
              <w:t>dB</w:t>
            </w:r>
            <w:r>
              <w:rPr>
                <w:kern w:val="0"/>
                <w:szCs w:val="21"/>
              </w:rPr>
              <w:t>（</w:t>
            </w:r>
            <w:r>
              <w:rPr>
                <w:kern w:val="0"/>
                <w:szCs w:val="21"/>
              </w:rPr>
              <w:t>A</w:t>
            </w:r>
            <w:r>
              <w:rPr>
                <w:kern w:val="0"/>
                <w:szCs w:val="21"/>
              </w:rPr>
              <w:t>）</w:t>
            </w:r>
          </w:p>
        </w:tc>
        <w:tc>
          <w:tcPr>
            <w:tcW w:w="821" w:type="pct"/>
            <w:vAlign w:val="center"/>
          </w:tcPr>
          <w:p w:rsidR="00EE4502" w:rsidRDefault="00FD45A3">
            <w:pPr>
              <w:widowControl/>
              <w:jc w:val="center"/>
              <w:rPr>
                <w:kern w:val="0"/>
                <w:szCs w:val="21"/>
              </w:rPr>
            </w:pPr>
            <w:r>
              <w:rPr>
                <w:kern w:val="0"/>
                <w:szCs w:val="21"/>
              </w:rPr>
              <w:t>工作情况</w:t>
            </w:r>
          </w:p>
        </w:tc>
      </w:tr>
      <w:tr w:rsidR="00EE4502">
        <w:trPr>
          <w:trHeight w:val="340"/>
          <w:jc w:val="center"/>
        </w:trPr>
        <w:tc>
          <w:tcPr>
            <w:tcW w:w="630" w:type="pct"/>
            <w:vMerge w:val="restart"/>
            <w:vAlign w:val="center"/>
          </w:tcPr>
          <w:p w:rsidR="00EE4502" w:rsidRDefault="00FD45A3">
            <w:pPr>
              <w:widowControl/>
              <w:jc w:val="center"/>
              <w:rPr>
                <w:kern w:val="0"/>
                <w:szCs w:val="21"/>
              </w:rPr>
            </w:pPr>
            <w:r>
              <w:rPr>
                <w:kern w:val="0"/>
                <w:szCs w:val="21"/>
              </w:rPr>
              <w:t>施工期</w:t>
            </w:r>
          </w:p>
        </w:tc>
        <w:tc>
          <w:tcPr>
            <w:tcW w:w="704" w:type="pct"/>
            <w:vMerge w:val="restart"/>
            <w:vAlign w:val="center"/>
          </w:tcPr>
          <w:p w:rsidR="00EE4502" w:rsidRDefault="00FD45A3">
            <w:pPr>
              <w:widowControl/>
              <w:jc w:val="center"/>
              <w:rPr>
                <w:kern w:val="0"/>
                <w:szCs w:val="21"/>
              </w:rPr>
            </w:pPr>
            <w:r>
              <w:rPr>
                <w:kern w:val="0"/>
                <w:szCs w:val="21"/>
              </w:rPr>
              <w:t>井场</w:t>
            </w:r>
          </w:p>
        </w:tc>
        <w:tc>
          <w:tcPr>
            <w:tcW w:w="991" w:type="pct"/>
            <w:vAlign w:val="center"/>
          </w:tcPr>
          <w:p w:rsidR="00EE4502" w:rsidRDefault="00FD45A3">
            <w:pPr>
              <w:widowControl/>
              <w:jc w:val="center"/>
              <w:rPr>
                <w:kern w:val="0"/>
                <w:szCs w:val="21"/>
              </w:rPr>
            </w:pPr>
            <w:r>
              <w:rPr>
                <w:kern w:val="0"/>
                <w:szCs w:val="21"/>
              </w:rPr>
              <w:t>柴油机</w:t>
            </w:r>
          </w:p>
        </w:tc>
        <w:tc>
          <w:tcPr>
            <w:tcW w:w="693" w:type="pct"/>
            <w:vAlign w:val="center"/>
          </w:tcPr>
          <w:p w:rsidR="00EE4502" w:rsidRDefault="00FD45A3">
            <w:pPr>
              <w:widowControl/>
              <w:jc w:val="center"/>
              <w:rPr>
                <w:kern w:val="0"/>
                <w:szCs w:val="21"/>
              </w:rPr>
            </w:pPr>
            <w:r>
              <w:rPr>
                <w:kern w:val="0"/>
                <w:szCs w:val="21"/>
              </w:rPr>
              <w:t>2</w:t>
            </w:r>
            <w:r>
              <w:rPr>
                <w:kern w:val="0"/>
                <w:szCs w:val="21"/>
              </w:rPr>
              <w:t>台</w:t>
            </w:r>
          </w:p>
        </w:tc>
        <w:tc>
          <w:tcPr>
            <w:tcW w:w="1159" w:type="pct"/>
            <w:vAlign w:val="center"/>
          </w:tcPr>
          <w:p w:rsidR="00EE4502" w:rsidRDefault="00FD45A3">
            <w:pPr>
              <w:widowControl/>
              <w:jc w:val="center"/>
              <w:rPr>
                <w:kern w:val="0"/>
                <w:szCs w:val="21"/>
              </w:rPr>
            </w:pPr>
            <w:r>
              <w:rPr>
                <w:kern w:val="0"/>
                <w:szCs w:val="21"/>
              </w:rPr>
              <w:t>95-105</w:t>
            </w:r>
          </w:p>
        </w:tc>
        <w:tc>
          <w:tcPr>
            <w:tcW w:w="821" w:type="pct"/>
            <w:vAlign w:val="center"/>
          </w:tcPr>
          <w:p w:rsidR="00EE4502" w:rsidRDefault="00FD45A3">
            <w:pPr>
              <w:widowControl/>
              <w:jc w:val="center"/>
              <w:rPr>
                <w:kern w:val="0"/>
                <w:szCs w:val="21"/>
              </w:rPr>
            </w:pPr>
            <w:r>
              <w:rPr>
                <w:kern w:val="0"/>
                <w:szCs w:val="21"/>
              </w:rPr>
              <w:t>连续</w:t>
            </w:r>
          </w:p>
        </w:tc>
      </w:tr>
      <w:tr w:rsidR="00EE4502">
        <w:trPr>
          <w:trHeight w:val="340"/>
          <w:jc w:val="center"/>
        </w:trPr>
        <w:tc>
          <w:tcPr>
            <w:tcW w:w="630" w:type="pct"/>
            <w:vMerge/>
            <w:vAlign w:val="center"/>
          </w:tcPr>
          <w:p w:rsidR="00EE4502" w:rsidRDefault="00EE4502">
            <w:pPr>
              <w:jc w:val="center"/>
              <w:rPr>
                <w:kern w:val="0"/>
                <w:szCs w:val="21"/>
              </w:rPr>
            </w:pPr>
          </w:p>
        </w:tc>
        <w:tc>
          <w:tcPr>
            <w:tcW w:w="704" w:type="pct"/>
            <w:vMerge/>
            <w:vAlign w:val="center"/>
          </w:tcPr>
          <w:p w:rsidR="00EE4502" w:rsidRDefault="00EE4502">
            <w:pPr>
              <w:widowControl/>
              <w:jc w:val="center"/>
              <w:rPr>
                <w:kern w:val="0"/>
                <w:szCs w:val="21"/>
              </w:rPr>
            </w:pPr>
          </w:p>
        </w:tc>
        <w:tc>
          <w:tcPr>
            <w:tcW w:w="991" w:type="pct"/>
            <w:vAlign w:val="center"/>
          </w:tcPr>
          <w:p w:rsidR="00EE4502" w:rsidRDefault="00FD45A3">
            <w:pPr>
              <w:widowControl/>
              <w:jc w:val="center"/>
              <w:rPr>
                <w:kern w:val="0"/>
                <w:szCs w:val="21"/>
              </w:rPr>
            </w:pPr>
            <w:r>
              <w:rPr>
                <w:kern w:val="0"/>
                <w:szCs w:val="21"/>
              </w:rPr>
              <w:t>钻机</w:t>
            </w:r>
          </w:p>
        </w:tc>
        <w:tc>
          <w:tcPr>
            <w:tcW w:w="693" w:type="pct"/>
            <w:vAlign w:val="center"/>
          </w:tcPr>
          <w:p w:rsidR="00EE4502" w:rsidRDefault="00FD45A3">
            <w:pPr>
              <w:widowControl/>
              <w:jc w:val="center"/>
              <w:rPr>
                <w:kern w:val="0"/>
                <w:szCs w:val="21"/>
              </w:rPr>
            </w:pPr>
            <w:r>
              <w:rPr>
                <w:kern w:val="0"/>
                <w:szCs w:val="21"/>
              </w:rPr>
              <w:t>1</w:t>
            </w:r>
            <w:r>
              <w:rPr>
                <w:kern w:val="0"/>
                <w:szCs w:val="21"/>
              </w:rPr>
              <w:t>台</w:t>
            </w:r>
          </w:p>
        </w:tc>
        <w:tc>
          <w:tcPr>
            <w:tcW w:w="1159" w:type="pct"/>
            <w:vAlign w:val="center"/>
          </w:tcPr>
          <w:p w:rsidR="00EE4502" w:rsidRDefault="00FD45A3">
            <w:pPr>
              <w:widowControl/>
              <w:jc w:val="center"/>
              <w:rPr>
                <w:kern w:val="0"/>
                <w:szCs w:val="21"/>
              </w:rPr>
            </w:pPr>
            <w:r>
              <w:rPr>
                <w:kern w:val="0"/>
                <w:szCs w:val="21"/>
              </w:rPr>
              <w:t>98</w:t>
            </w:r>
          </w:p>
        </w:tc>
        <w:tc>
          <w:tcPr>
            <w:tcW w:w="821" w:type="pct"/>
            <w:vAlign w:val="center"/>
          </w:tcPr>
          <w:p w:rsidR="00EE4502" w:rsidRDefault="00FD45A3">
            <w:pPr>
              <w:widowControl/>
              <w:jc w:val="center"/>
              <w:rPr>
                <w:kern w:val="0"/>
                <w:szCs w:val="21"/>
              </w:rPr>
            </w:pPr>
            <w:r>
              <w:rPr>
                <w:kern w:val="0"/>
                <w:szCs w:val="21"/>
              </w:rPr>
              <w:t>连续</w:t>
            </w:r>
          </w:p>
        </w:tc>
      </w:tr>
      <w:tr w:rsidR="00EE4502">
        <w:trPr>
          <w:trHeight w:val="340"/>
          <w:jc w:val="center"/>
        </w:trPr>
        <w:tc>
          <w:tcPr>
            <w:tcW w:w="630" w:type="pct"/>
            <w:vMerge/>
            <w:vAlign w:val="center"/>
          </w:tcPr>
          <w:p w:rsidR="00EE4502" w:rsidRDefault="00EE4502">
            <w:pPr>
              <w:jc w:val="center"/>
              <w:rPr>
                <w:kern w:val="0"/>
                <w:szCs w:val="21"/>
              </w:rPr>
            </w:pPr>
          </w:p>
        </w:tc>
        <w:tc>
          <w:tcPr>
            <w:tcW w:w="704" w:type="pct"/>
            <w:vMerge/>
            <w:vAlign w:val="center"/>
          </w:tcPr>
          <w:p w:rsidR="00EE4502" w:rsidRDefault="00EE4502">
            <w:pPr>
              <w:widowControl/>
              <w:jc w:val="center"/>
              <w:rPr>
                <w:kern w:val="0"/>
                <w:szCs w:val="21"/>
              </w:rPr>
            </w:pPr>
          </w:p>
        </w:tc>
        <w:tc>
          <w:tcPr>
            <w:tcW w:w="991" w:type="pct"/>
            <w:vAlign w:val="center"/>
          </w:tcPr>
          <w:p w:rsidR="00EE4502" w:rsidRDefault="00FD45A3">
            <w:pPr>
              <w:widowControl/>
              <w:jc w:val="center"/>
              <w:rPr>
                <w:kern w:val="0"/>
                <w:szCs w:val="21"/>
              </w:rPr>
            </w:pPr>
            <w:r>
              <w:rPr>
                <w:kern w:val="0"/>
                <w:szCs w:val="21"/>
              </w:rPr>
              <w:t>泥浆机</w:t>
            </w:r>
          </w:p>
        </w:tc>
        <w:tc>
          <w:tcPr>
            <w:tcW w:w="693" w:type="pct"/>
            <w:vAlign w:val="center"/>
          </w:tcPr>
          <w:p w:rsidR="00EE4502" w:rsidRDefault="00FD45A3">
            <w:pPr>
              <w:widowControl/>
              <w:jc w:val="center"/>
              <w:rPr>
                <w:kern w:val="0"/>
                <w:szCs w:val="21"/>
              </w:rPr>
            </w:pPr>
            <w:r>
              <w:rPr>
                <w:kern w:val="0"/>
                <w:szCs w:val="21"/>
              </w:rPr>
              <w:t>1</w:t>
            </w:r>
            <w:r>
              <w:rPr>
                <w:kern w:val="0"/>
                <w:szCs w:val="21"/>
              </w:rPr>
              <w:t>台</w:t>
            </w:r>
          </w:p>
        </w:tc>
        <w:tc>
          <w:tcPr>
            <w:tcW w:w="1159" w:type="pct"/>
            <w:vAlign w:val="center"/>
          </w:tcPr>
          <w:p w:rsidR="00EE4502" w:rsidRDefault="00FD45A3">
            <w:pPr>
              <w:widowControl/>
              <w:jc w:val="center"/>
              <w:rPr>
                <w:kern w:val="0"/>
                <w:szCs w:val="21"/>
              </w:rPr>
            </w:pPr>
            <w:r>
              <w:rPr>
                <w:kern w:val="0"/>
                <w:szCs w:val="21"/>
              </w:rPr>
              <w:t>90</w:t>
            </w:r>
          </w:p>
        </w:tc>
        <w:tc>
          <w:tcPr>
            <w:tcW w:w="821" w:type="pct"/>
            <w:vAlign w:val="center"/>
          </w:tcPr>
          <w:p w:rsidR="00EE4502" w:rsidRDefault="00FD45A3">
            <w:pPr>
              <w:widowControl/>
              <w:jc w:val="center"/>
              <w:rPr>
                <w:kern w:val="0"/>
                <w:szCs w:val="21"/>
              </w:rPr>
            </w:pPr>
            <w:r>
              <w:rPr>
                <w:kern w:val="0"/>
                <w:szCs w:val="21"/>
              </w:rPr>
              <w:t>间歇</w:t>
            </w:r>
          </w:p>
        </w:tc>
      </w:tr>
      <w:tr w:rsidR="00EE4502">
        <w:trPr>
          <w:trHeight w:val="181"/>
          <w:jc w:val="center"/>
        </w:trPr>
        <w:tc>
          <w:tcPr>
            <w:tcW w:w="630" w:type="pct"/>
            <w:vMerge/>
            <w:vAlign w:val="center"/>
          </w:tcPr>
          <w:p w:rsidR="00EE4502" w:rsidRDefault="00EE4502">
            <w:pPr>
              <w:jc w:val="center"/>
              <w:rPr>
                <w:kern w:val="0"/>
                <w:szCs w:val="21"/>
              </w:rPr>
            </w:pPr>
          </w:p>
        </w:tc>
        <w:tc>
          <w:tcPr>
            <w:tcW w:w="704" w:type="pct"/>
            <w:vAlign w:val="center"/>
          </w:tcPr>
          <w:p w:rsidR="00EE4502" w:rsidRDefault="00FD45A3">
            <w:pPr>
              <w:widowControl/>
              <w:jc w:val="center"/>
              <w:rPr>
                <w:kern w:val="0"/>
                <w:szCs w:val="21"/>
              </w:rPr>
            </w:pPr>
            <w:r>
              <w:rPr>
                <w:szCs w:val="21"/>
              </w:rPr>
              <w:t>站场</w:t>
            </w:r>
          </w:p>
        </w:tc>
        <w:tc>
          <w:tcPr>
            <w:tcW w:w="991" w:type="pct"/>
            <w:vAlign w:val="center"/>
          </w:tcPr>
          <w:p w:rsidR="00EE4502" w:rsidRDefault="00FD45A3">
            <w:pPr>
              <w:widowControl/>
              <w:jc w:val="center"/>
              <w:rPr>
                <w:kern w:val="0"/>
                <w:szCs w:val="21"/>
              </w:rPr>
            </w:pPr>
            <w:r>
              <w:rPr>
                <w:kern w:val="0"/>
                <w:szCs w:val="21"/>
              </w:rPr>
              <w:t>构筑物施工机械</w:t>
            </w:r>
          </w:p>
        </w:tc>
        <w:tc>
          <w:tcPr>
            <w:tcW w:w="693" w:type="pct"/>
            <w:vAlign w:val="center"/>
          </w:tcPr>
          <w:p w:rsidR="00EE4502" w:rsidRDefault="00FD45A3">
            <w:pPr>
              <w:widowControl/>
              <w:jc w:val="center"/>
              <w:rPr>
                <w:kern w:val="0"/>
                <w:szCs w:val="21"/>
              </w:rPr>
            </w:pPr>
            <w:r>
              <w:rPr>
                <w:kern w:val="0"/>
                <w:szCs w:val="21"/>
              </w:rPr>
              <w:t>-</w:t>
            </w:r>
          </w:p>
        </w:tc>
        <w:tc>
          <w:tcPr>
            <w:tcW w:w="1159" w:type="pct"/>
            <w:vAlign w:val="center"/>
          </w:tcPr>
          <w:p w:rsidR="00EE4502" w:rsidRDefault="00FD45A3">
            <w:pPr>
              <w:widowControl/>
              <w:jc w:val="center"/>
              <w:rPr>
                <w:kern w:val="0"/>
                <w:szCs w:val="21"/>
              </w:rPr>
            </w:pPr>
            <w:r>
              <w:rPr>
                <w:kern w:val="0"/>
                <w:szCs w:val="21"/>
              </w:rPr>
              <w:t>80-100</w:t>
            </w:r>
          </w:p>
        </w:tc>
        <w:tc>
          <w:tcPr>
            <w:tcW w:w="821" w:type="pct"/>
            <w:vAlign w:val="center"/>
          </w:tcPr>
          <w:p w:rsidR="00EE4502" w:rsidRDefault="00FD45A3">
            <w:pPr>
              <w:widowControl/>
              <w:jc w:val="center"/>
              <w:rPr>
                <w:kern w:val="0"/>
                <w:szCs w:val="21"/>
              </w:rPr>
            </w:pPr>
            <w:r>
              <w:rPr>
                <w:kern w:val="0"/>
                <w:szCs w:val="21"/>
              </w:rPr>
              <w:t>间歇</w:t>
            </w:r>
          </w:p>
        </w:tc>
      </w:tr>
      <w:tr w:rsidR="00EE4502">
        <w:trPr>
          <w:trHeight w:val="340"/>
          <w:jc w:val="center"/>
        </w:trPr>
        <w:tc>
          <w:tcPr>
            <w:tcW w:w="630" w:type="pct"/>
            <w:vMerge/>
            <w:vAlign w:val="center"/>
          </w:tcPr>
          <w:p w:rsidR="00EE4502" w:rsidRDefault="00EE4502">
            <w:pPr>
              <w:jc w:val="center"/>
              <w:rPr>
                <w:kern w:val="0"/>
                <w:szCs w:val="21"/>
              </w:rPr>
            </w:pPr>
          </w:p>
        </w:tc>
        <w:tc>
          <w:tcPr>
            <w:tcW w:w="1695" w:type="pct"/>
            <w:gridSpan w:val="2"/>
            <w:vAlign w:val="center"/>
          </w:tcPr>
          <w:p w:rsidR="00EE4502" w:rsidRDefault="00FD45A3">
            <w:pPr>
              <w:widowControl/>
              <w:jc w:val="center"/>
              <w:rPr>
                <w:kern w:val="0"/>
                <w:szCs w:val="21"/>
              </w:rPr>
            </w:pPr>
            <w:r>
              <w:rPr>
                <w:kern w:val="0"/>
                <w:szCs w:val="21"/>
              </w:rPr>
              <w:t>车辆</w:t>
            </w:r>
          </w:p>
        </w:tc>
        <w:tc>
          <w:tcPr>
            <w:tcW w:w="693" w:type="pct"/>
            <w:vAlign w:val="center"/>
          </w:tcPr>
          <w:p w:rsidR="00EE4502" w:rsidRDefault="00FD45A3">
            <w:pPr>
              <w:widowControl/>
              <w:jc w:val="center"/>
              <w:rPr>
                <w:kern w:val="0"/>
                <w:szCs w:val="21"/>
              </w:rPr>
            </w:pPr>
            <w:r>
              <w:rPr>
                <w:kern w:val="0"/>
                <w:szCs w:val="21"/>
              </w:rPr>
              <w:t>-</w:t>
            </w:r>
          </w:p>
        </w:tc>
        <w:tc>
          <w:tcPr>
            <w:tcW w:w="1159" w:type="pct"/>
            <w:vAlign w:val="center"/>
          </w:tcPr>
          <w:p w:rsidR="00EE4502" w:rsidRDefault="00FD45A3">
            <w:pPr>
              <w:widowControl/>
              <w:jc w:val="center"/>
              <w:rPr>
                <w:kern w:val="0"/>
                <w:szCs w:val="21"/>
              </w:rPr>
            </w:pPr>
            <w:r>
              <w:rPr>
                <w:kern w:val="0"/>
                <w:szCs w:val="21"/>
              </w:rPr>
              <w:t>80</w:t>
            </w:r>
            <w:r>
              <w:rPr>
                <w:rFonts w:hint="eastAsia"/>
                <w:kern w:val="0"/>
                <w:szCs w:val="21"/>
              </w:rPr>
              <w:t>-85</w:t>
            </w:r>
          </w:p>
        </w:tc>
        <w:tc>
          <w:tcPr>
            <w:tcW w:w="821" w:type="pct"/>
            <w:vAlign w:val="center"/>
          </w:tcPr>
          <w:p w:rsidR="00EE4502" w:rsidRDefault="00FD45A3">
            <w:pPr>
              <w:widowControl/>
              <w:jc w:val="center"/>
              <w:rPr>
                <w:kern w:val="0"/>
                <w:szCs w:val="21"/>
              </w:rPr>
            </w:pPr>
            <w:r>
              <w:rPr>
                <w:kern w:val="0"/>
                <w:szCs w:val="21"/>
              </w:rPr>
              <w:t>间歇</w:t>
            </w:r>
          </w:p>
        </w:tc>
      </w:tr>
    </w:tbl>
    <w:p w:rsidR="00EE4502" w:rsidRDefault="00EE4502">
      <w:pPr>
        <w:jc w:val="center"/>
        <w:rPr>
          <w:sz w:val="18"/>
          <w:szCs w:val="18"/>
        </w:rPr>
      </w:pPr>
    </w:p>
    <w:p w:rsidR="00EE4502" w:rsidRDefault="00FD45A3">
      <w:pPr>
        <w:pStyle w:val="41"/>
        <w:numPr>
          <w:ilvl w:val="3"/>
          <w:numId w:val="30"/>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bCs w:val="0"/>
          <w:sz w:val="24"/>
          <w:szCs w:val="24"/>
        </w:rPr>
        <w:t>施工期污染物排放情况汇总</w:t>
      </w:r>
    </w:p>
    <w:p w:rsidR="00EE4502" w:rsidRDefault="00FD45A3">
      <w:pPr>
        <w:spacing w:line="360" w:lineRule="auto"/>
        <w:ind w:firstLine="482"/>
        <w:rPr>
          <w:sz w:val="24"/>
        </w:rPr>
      </w:pPr>
      <w:r>
        <w:rPr>
          <w:sz w:val="24"/>
        </w:rPr>
        <w:t>综上所述，本工程施工期各种污染物汇总见表</w:t>
      </w:r>
      <w:r>
        <w:rPr>
          <w:rFonts w:hint="eastAsia"/>
          <w:sz w:val="24"/>
        </w:rPr>
        <w:t>3-4</w:t>
      </w:r>
      <w:r>
        <w:rPr>
          <w:rFonts w:hint="eastAsia"/>
          <w:sz w:val="24"/>
        </w:rPr>
        <w:t>-</w:t>
      </w:r>
      <w:r>
        <w:rPr>
          <w:sz w:val="24"/>
        </w:rPr>
        <w:t>7</w:t>
      </w:r>
      <w:r>
        <w:rPr>
          <w:sz w:val="24"/>
        </w:rPr>
        <w:t>。</w:t>
      </w:r>
    </w:p>
    <w:p w:rsidR="00EE4502" w:rsidRDefault="00FD45A3">
      <w:pPr>
        <w:spacing w:line="360" w:lineRule="auto"/>
        <w:jc w:val="center"/>
        <w:rPr>
          <w:rFonts w:eastAsia="黑体"/>
          <w:bCs/>
          <w:lang w:val="zh-CN"/>
        </w:rPr>
      </w:pPr>
      <w:r>
        <w:rPr>
          <w:rFonts w:eastAsia="黑体"/>
          <w:bCs/>
          <w:lang w:val="zh-CN"/>
        </w:rPr>
        <w:t>表</w:t>
      </w:r>
      <w:r>
        <w:rPr>
          <w:rFonts w:eastAsia="黑体" w:hint="eastAsia"/>
          <w:bCs/>
          <w:lang w:val="zh-CN"/>
        </w:rPr>
        <w:t>3-4</w:t>
      </w:r>
      <w:r>
        <w:rPr>
          <w:rFonts w:eastAsia="黑体"/>
          <w:bCs/>
          <w:lang w:val="zh-CN"/>
        </w:rPr>
        <w:t>-</w:t>
      </w:r>
      <w:r>
        <w:rPr>
          <w:rFonts w:eastAsia="黑体"/>
          <w:bCs/>
        </w:rPr>
        <w:t>7</w:t>
      </w:r>
      <w:r>
        <w:rPr>
          <w:rFonts w:eastAsia="黑体" w:hint="eastAsia"/>
          <w:bCs/>
        </w:rPr>
        <w:t xml:space="preserve"> </w:t>
      </w:r>
      <w:r>
        <w:rPr>
          <w:rFonts w:eastAsia="黑体"/>
          <w:bCs/>
          <w:lang w:val="zh-CN"/>
        </w:rPr>
        <w:t xml:space="preserve">  </w:t>
      </w:r>
      <w:r>
        <w:rPr>
          <w:rFonts w:eastAsia="黑体"/>
          <w:bCs/>
          <w:lang w:val="zh-CN"/>
        </w:rPr>
        <w:t>施工期污染物排放情况汇总</w:t>
      </w: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4A0" w:firstRow="1" w:lastRow="0" w:firstColumn="1" w:lastColumn="0" w:noHBand="0" w:noVBand="1"/>
      </w:tblPr>
      <w:tblGrid>
        <w:gridCol w:w="355"/>
        <w:gridCol w:w="948"/>
        <w:gridCol w:w="1622"/>
        <w:gridCol w:w="1002"/>
        <w:gridCol w:w="3511"/>
        <w:gridCol w:w="882"/>
      </w:tblGrid>
      <w:tr w:rsidR="00EE4502">
        <w:trPr>
          <w:trHeight w:val="397"/>
          <w:tblHeader/>
          <w:jc w:val="center"/>
        </w:trPr>
        <w:tc>
          <w:tcPr>
            <w:tcW w:w="213" w:type="pct"/>
            <w:vAlign w:val="center"/>
          </w:tcPr>
          <w:p w:rsidR="00EE4502" w:rsidRDefault="00FD45A3">
            <w:pPr>
              <w:jc w:val="center"/>
              <w:textAlignment w:val="baseline"/>
              <w:rPr>
                <w:kern w:val="21"/>
                <w:szCs w:val="21"/>
              </w:rPr>
            </w:pPr>
            <w:r>
              <w:rPr>
                <w:kern w:val="21"/>
                <w:szCs w:val="21"/>
              </w:rPr>
              <w:t>项目</w:t>
            </w:r>
          </w:p>
        </w:tc>
        <w:tc>
          <w:tcPr>
            <w:tcW w:w="569" w:type="pct"/>
            <w:vAlign w:val="center"/>
          </w:tcPr>
          <w:p w:rsidR="00EE4502" w:rsidRDefault="00FD45A3">
            <w:pPr>
              <w:jc w:val="center"/>
              <w:textAlignment w:val="baseline"/>
              <w:rPr>
                <w:kern w:val="21"/>
                <w:szCs w:val="21"/>
              </w:rPr>
            </w:pPr>
            <w:r>
              <w:rPr>
                <w:kern w:val="21"/>
                <w:szCs w:val="21"/>
              </w:rPr>
              <w:t>污染源</w:t>
            </w:r>
          </w:p>
        </w:tc>
        <w:tc>
          <w:tcPr>
            <w:tcW w:w="974" w:type="pct"/>
            <w:vAlign w:val="center"/>
          </w:tcPr>
          <w:p w:rsidR="00EE4502" w:rsidRDefault="00FD45A3">
            <w:pPr>
              <w:jc w:val="center"/>
              <w:textAlignment w:val="baseline"/>
              <w:rPr>
                <w:kern w:val="21"/>
                <w:szCs w:val="21"/>
              </w:rPr>
            </w:pPr>
            <w:r>
              <w:rPr>
                <w:kern w:val="21"/>
                <w:szCs w:val="21"/>
              </w:rPr>
              <w:t>污染物</w:t>
            </w:r>
          </w:p>
        </w:tc>
        <w:tc>
          <w:tcPr>
            <w:tcW w:w="602" w:type="pct"/>
            <w:vAlign w:val="center"/>
          </w:tcPr>
          <w:p w:rsidR="00EE4502" w:rsidRDefault="00FD45A3">
            <w:pPr>
              <w:jc w:val="center"/>
              <w:textAlignment w:val="baseline"/>
              <w:rPr>
                <w:kern w:val="21"/>
                <w:szCs w:val="21"/>
              </w:rPr>
            </w:pPr>
            <w:r>
              <w:rPr>
                <w:kern w:val="21"/>
                <w:szCs w:val="21"/>
              </w:rPr>
              <w:t>产生量</w:t>
            </w:r>
          </w:p>
        </w:tc>
        <w:tc>
          <w:tcPr>
            <w:tcW w:w="2109" w:type="pct"/>
            <w:vAlign w:val="center"/>
          </w:tcPr>
          <w:p w:rsidR="00EE4502" w:rsidRDefault="00FD45A3">
            <w:pPr>
              <w:jc w:val="center"/>
              <w:textAlignment w:val="baseline"/>
              <w:rPr>
                <w:kern w:val="21"/>
                <w:szCs w:val="21"/>
              </w:rPr>
            </w:pPr>
            <w:r>
              <w:rPr>
                <w:kern w:val="21"/>
                <w:szCs w:val="21"/>
              </w:rPr>
              <w:t>主要处理措施及排放去向</w:t>
            </w:r>
          </w:p>
        </w:tc>
        <w:tc>
          <w:tcPr>
            <w:tcW w:w="530" w:type="pct"/>
            <w:vAlign w:val="center"/>
          </w:tcPr>
          <w:p w:rsidR="00EE4502" w:rsidRDefault="00FD45A3">
            <w:pPr>
              <w:jc w:val="center"/>
              <w:textAlignment w:val="baseline"/>
              <w:rPr>
                <w:kern w:val="21"/>
                <w:szCs w:val="21"/>
              </w:rPr>
            </w:pPr>
            <w:r>
              <w:rPr>
                <w:kern w:val="21"/>
                <w:szCs w:val="21"/>
              </w:rPr>
              <w:t>排放量</w:t>
            </w:r>
          </w:p>
        </w:tc>
      </w:tr>
      <w:tr w:rsidR="00EE4502">
        <w:trPr>
          <w:trHeight w:val="397"/>
          <w:jc w:val="center"/>
        </w:trPr>
        <w:tc>
          <w:tcPr>
            <w:tcW w:w="213" w:type="pct"/>
            <w:vMerge w:val="restart"/>
            <w:vAlign w:val="center"/>
          </w:tcPr>
          <w:p w:rsidR="00EE4502" w:rsidRDefault="00FD45A3">
            <w:pPr>
              <w:jc w:val="center"/>
              <w:textAlignment w:val="baseline"/>
              <w:rPr>
                <w:kern w:val="21"/>
                <w:szCs w:val="21"/>
              </w:rPr>
            </w:pPr>
            <w:r>
              <w:rPr>
                <w:kern w:val="21"/>
                <w:szCs w:val="21"/>
              </w:rPr>
              <w:t>废气</w:t>
            </w:r>
          </w:p>
        </w:tc>
        <w:tc>
          <w:tcPr>
            <w:tcW w:w="569" w:type="pct"/>
            <w:vAlign w:val="center"/>
          </w:tcPr>
          <w:p w:rsidR="00EE4502" w:rsidRDefault="00FD45A3">
            <w:pPr>
              <w:jc w:val="center"/>
              <w:textAlignment w:val="baseline"/>
              <w:rPr>
                <w:kern w:val="21"/>
                <w:szCs w:val="21"/>
              </w:rPr>
            </w:pPr>
            <w:r>
              <w:rPr>
                <w:kern w:val="21"/>
                <w:szCs w:val="21"/>
              </w:rPr>
              <w:t>施工扬尘</w:t>
            </w:r>
          </w:p>
        </w:tc>
        <w:tc>
          <w:tcPr>
            <w:tcW w:w="974" w:type="pct"/>
            <w:vAlign w:val="center"/>
          </w:tcPr>
          <w:p w:rsidR="00EE4502" w:rsidRDefault="00FD45A3">
            <w:pPr>
              <w:jc w:val="center"/>
              <w:textAlignment w:val="baseline"/>
              <w:rPr>
                <w:kern w:val="21"/>
                <w:szCs w:val="21"/>
              </w:rPr>
            </w:pPr>
            <w:r>
              <w:rPr>
                <w:kern w:val="21"/>
                <w:szCs w:val="21"/>
              </w:rPr>
              <w:t>粉尘</w:t>
            </w:r>
          </w:p>
        </w:tc>
        <w:tc>
          <w:tcPr>
            <w:tcW w:w="602" w:type="pct"/>
            <w:vAlign w:val="center"/>
          </w:tcPr>
          <w:p w:rsidR="00EE4502" w:rsidRDefault="00FD45A3">
            <w:pPr>
              <w:jc w:val="center"/>
              <w:textAlignment w:val="baseline"/>
              <w:rPr>
                <w:kern w:val="21"/>
                <w:szCs w:val="21"/>
              </w:rPr>
            </w:pPr>
            <w:r>
              <w:rPr>
                <w:rFonts w:hint="eastAsia"/>
                <w:kern w:val="21"/>
                <w:szCs w:val="21"/>
              </w:rPr>
              <w:t>-</w:t>
            </w:r>
          </w:p>
        </w:tc>
        <w:tc>
          <w:tcPr>
            <w:tcW w:w="2109" w:type="pct"/>
            <w:vAlign w:val="center"/>
          </w:tcPr>
          <w:p w:rsidR="00EE4502" w:rsidRDefault="00FD45A3">
            <w:pPr>
              <w:textAlignment w:val="baseline"/>
              <w:rPr>
                <w:kern w:val="21"/>
                <w:szCs w:val="21"/>
              </w:rPr>
            </w:pPr>
            <w:r>
              <w:rPr>
                <w:kern w:val="21"/>
                <w:szCs w:val="21"/>
              </w:rPr>
              <w:t>场地大风天气适当</w:t>
            </w:r>
            <w:r>
              <w:rPr>
                <w:rFonts w:hint="eastAsia"/>
                <w:kern w:val="21"/>
                <w:szCs w:val="21"/>
              </w:rPr>
              <w:t>洒水</w:t>
            </w:r>
            <w:r>
              <w:rPr>
                <w:kern w:val="21"/>
                <w:szCs w:val="21"/>
              </w:rPr>
              <w:t>抑尘</w:t>
            </w:r>
          </w:p>
        </w:tc>
        <w:tc>
          <w:tcPr>
            <w:tcW w:w="530" w:type="pct"/>
            <w:vAlign w:val="center"/>
          </w:tcPr>
          <w:p w:rsidR="00EE4502" w:rsidRDefault="00FD45A3">
            <w:pPr>
              <w:jc w:val="center"/>
              <w:textAlignment w:val="baseline"/>
              <w:rPr>
                <w:kern w:val="21"/>
                <w:szCs w:val="21"/>
              </w:rPr>
            </w:pPr>
            <w:r>
              <w:rPr>
                <w:rFonts w:hint="eastAsia"/>
                <w:kern w:val="21"/>
                <w:szCs w:val="21"/>
              </w:rPr>
              <w:t>-</w:t>
            </w:r>
          </w:p>
        </w:tc>
      </w:tr>
      <w:tr w:rsidR="00EE4502">
        <w:trPr>
          <w:trHeight w:val="397"/>
          <w:jc w:val="center"/>
        </w:trPr>
        <w:tc>
          <w:tcPr>
            <w:tcW w:w="213" w:type="pct"/>
            <w:vMerge/>
            <w:vAlign w:val="center"/>
          </w:tcPr>
          <w:p w:rsidR="00EE4502" w:rsidRDefault="00EE4502">
            <w:pPr>
              <w:jc w:val="center"/>
              <w:textAlignment w:val="baseline"/>
              <w:rPr>
                <w:kern w:val="21"/>
                <w:szCs w:val="21"/>
              </w:rPr>
            </w:pPr>
          </w:p>
        </w:tc>
        <w:tc>
          <w:tcPr>
            <w:tcW w:w="569" w:type="pct"/>
            <w:vAlign w:val="center"/>
          </w:tcPr>
          <w:p w:rsidR="00EE4502" w:rsidRDefault="00FD45A3">
            <w:pPr>
              <w:jc w:val="center"/>
              <w:textAlignment w:val="baseline"/>
              <w:rPr>
                <w:kern w:val="21"/>
                <w:szCs w:val="21"/>
              </w:rPr>
            </w:pPr>
            <w:r>
              <w:rPr>
                <w:kern w:val="21"/>
                <w:szCs w:val="21"/>
              </w:rPr>
              <w:t>焊接烟气、施工机械、车辆尾气</w:t>
            </w:r>
          </w:p>
        </w:tc>
        <w:tc>
          <w:tcPr>
            <w:tcW w:w="974" w:type="pct"/>
            <w:vAlign w:val="center"/>
          </w:tcPr>
          <w:p w:rsidR="00EE4502" w:rsidRDefault="00FD45A3">
            <w:pPr>
              <w:jc w:val="center"/>
              <w:textAlignment w:val="baseline"/>
              <w:rPr>
                <w:kern w:val="21"/>
                <w:szCs w:val="21"/>
              </w:rPr>
            </w:pPr>
            <w:r>
              <w:rPr>
                <w:rFonts w:hAnsi="宋体" w:cs="宋体" w:hint="eastAsia"/>
                <w:kern w:val="21"/>
                <w:szCs w:val="21"/>
              </w:rPr>
              <w:t>S0</w:t>
            </w:r>
            <w:r>
              <w:rPr>
                <w:rFonts w:hAnsi="宋体" w:cs="宋体"/>
                <w:kern w:val="21"/>
                <w:szCs w:val="21"/>
                <w:vertAlign w:val="subscript"/>
              </w:rPr>
              <w:t>2</w:t>
            </w:r>
            <w:r>
              <w:rPr>
                <w:rFonts w:hAnsi="宋体" w:cs="宋体" w:hint="eastAsia"/>
                <w:kern w:val="21"/>
                <w:szCs w:val="21"/>
              </w:rPr>
              <w:t>、</w:t>
            </w:r>
            <w:r>
              <w:rPr>
                <w:rFonts w:hAnsi="宋体" w:cs="宋体" w:hint="eastAsia"/>
                <w:kern w:val="21"/>
                <w:szCs w:val="21"/>
              </w:rPr>
              <w:t>NOx</w:t>
            </w:r>
            <w:r>
              <w:rPr>
                <w:rFonts w:hAnsi="宋体" w:cs="宋体" w:hint="eastAsia"/>
                <w:kern w:val="21"/>
                <w:szCs w:val="21"/>
              </w:rPr>
              <w:t>、</w:t>
            </w:r>
            <w:r>
              <w:rPr>
                <w:rFonts w:hAnsi="宋体" w:cs="宋体" w:hint="eastAsia"/>
                <w:kern w:val="21"/>
                <w:szCs w:val="21"/>
              </w:rPr>
              <w:t>Cm</w:t>
            </w:r>
            <w:r>
              <w:rPr>
                <w:rFonts w:hAnsi="宋体" w:cs="宋体"/>
                <w:kern w:val="21"/>
                <w:szCs w:val="21"/>
              </w:rPr>
              <w:t>H</w:t>
            </w:r>
            <w:r>
              <w:rPr>
                <w:rFonts w:hAnsi="宋体" w:cs="宋体" w:hint="eastAsia"/>
                <w:kern w:val="21"/>
                <w:szCs w:val="21"/>
              </w:rPr>
              <w:t>n</w:t>
            </w:r>
          </w:p>
        </w:tc>
        <w:tc>
          <w:tcPr>
            <w:tcW w:w="602" w:type="pct"/>
            <w:vAlign w:val="center"/>
          </w:tcPr>
          <w:p w:rsidR="00EE4502" w:rsidRDefault="00FD45A3">
            <w:pPr>
              <w:jc w:val="center"/>
              <w:textAlignment w:val="baseline"/>
              <w:rPr>
                <w:kern w:val="21"/>
                <w:szCs w:val="21"/>
              </w:rPr>
            </w:pPr>
            <w:r>
              <w:rPr>
                <w:rFonts w:hint="eastAsia"/>
                <w:kern w:val="21"/>
                <w:szCs w:val="21"/>
              </w:rPr>
              <w:t>-</w:t>
            </w:r>
          </w:p>
        </w:tc>
        <w:tc>
          <w:tcPr>
            <w:tcW w:w="2109" w:type="pct"/>
            <w:vAlign w:val="center"/>
          </w:tcPr>
          <w:p w:rsidR="00EE4502" w:rsidRDefault="00FD45A3">
            <w:pPr>
              <w:textAlignment w:val="baseline"/>
              <w:rPr>
                <w:kern w:val="21"/>
                <w:szCs w:val="21"/>
              </w:rPr>
            </w:pPr>
            <w:r>
              <w:rPr>
                <w:kern w:val="21"/>
                <w:szCs w:val="21"/>
              </w:rPr>
              <w:t>机械、车辆定期检修，状况良好，燃烧合格油品，不超负荷运行</w:t>
            </w:r>
          </w:p>
        </w:tc>
        <w:tc>
          <w:tcPr>
            <w:tcW w:w="530" w:type="pct"/>
            <w:vAlign w:val="center"/>
          </w:tcPr>
          <w:p w:rsidR="00EE4502" w:rsidRDefault="00FD45A3">
            <w:pPr>
              <w:jc w:val="center"/>
              <w:textAlignment w:val="baseline"/>
              <w:rPr>
                <w:kern w:val="21"/>
                <w:szCs w:val="21"/>
              </w:rPr>
            </w:pPr>
            <w:r>
              <w:rPr>
                <w:rFonts w:hint="eastAsia"/>
                <w:kern w:val="21"/>
                <w:szCs w:val="21"/>
              </w:rPr>
              <w:t>-</w:t>
            </w:r>
          </w:p>
        </w:tc>
      </w:tr>
      <w:tr w:rsidR="00EE4502">
        <w:trPr>
          <w:trHeight w:val="397"/>
          <w:jc w:val="center"/>
        </w:trPr>
        <w:tc>
          <w:tcPr>
            <w:tcW w:w="213" w:type="pct"/>
            <w:vMerge w:val="restart"/>
            <w:vAlign w:val="center"/>
          </w:tcPr>
          <w:p w:rsidR="00EE4502" w:rsidRDefault="00FD45A3">
            <w:pPr>
              <w:jc w:val="center"/>
              <w:textAlignment w:val="baseline"/>
              <w:rPr>
                <w:kern w:val="21"/>
                <w:szCs w:val="21"/>
              </w:rPr>
            </w:pPr>
            <w:r>
              <w:rPr>
                <w:kern w:val="21"/>
                <w:szCs w:val="21"/>
              </w:rPr>
              <w:t>废水</w:t>
            </w:r>
          </w:p>
        </w:tc>
        <w:tc>
          <w:tcPr>
            <w:tcW w:w="569" w:type="pct"/>
            <w:vAlign w:val="center"/>
          </w:tcPr>
          <w:p w:rsidR="00EE4502" w:rsidRDefault="00FD45A3">
            <w:pPr>
              <w:jc w:val="center"/>
              <w:textAlignment w:val="baseline"/>
              <w:rPr>
                <w:kern w:val="21"/>
                <w:szCs w:val="21"/>
              </w:rPr>
            </w:pPr>
            <w:r>
              <w:rPr>
                <w:kern w:val="21"/>
                <w:szCs w:val="21"/>
              </w:rPr>
              <w:t>钻井废水</w:t>
            </w:r>
          </w:p>
        </w:tc>
        <w:tc>
          <w:tcPr>
            <w:tcW w:w="974" w:type="pct"/>
            <w:vAlign w:val="center"/>
          </w:tcPr>
          <w:p w:rsidR="00EE4502" w:rsidRDefault="00FD45A3">
            <w:pPr>
              <w:jc w:val="center"/>
              <w:textAlignment w:val="baseline"/>
              <w:rPr>
                <w:kern w:val="21"/>
                <w:szCs w:val="21"/>
              </w:rPr>
            </w:pPr>
            <w:r>
              <w:rPr>
                <w:kern w:val="21"/>
                <w:szCs w:val="21"/>
              </w:rPr>
              <w:t>SS</w:t>
            </w:r>
            <w:r>
              <w:rPr>
                <w:kern w:val="21"/>
                <w:szCs w:val="21"/>
              </w:rPr>
              <w:t>、</w:t>
            </w:r>
            <w:r>
              <w:rPr>
                <w:kern w:val="21"/>
                <w:szCs w:val="21"/>
              </w:rPr>
              <w:t>COD</w:t>
            </w:r>
            <w:r>
              <w:rPr>
                <w:kern w:val="21"/>
                <w:szCs w:val="21"/>
              </w:rPr>
              <w:t>、石油类、挥发酚</w:t>
            </w:r>
            <w:r>
              <w:rPr>
                <w:rFonts w:hint="eastAsia"/>
                <w:kern w:val="21"/>
                <w:szCs w:val="21"/>
              </w:rPr>
              <w:t>、</w:t>
            </w:r>
            <w:r>
              <w:rPr>
                <w:rFonts w:hint="eastAsia"/>
                <w:kern w:val="21"/>
                <w:szCs w:val="21"/>
              </w:rPr>
              <w:t>硫化物等</w:t>
            </w:r>
          </w:p>
        </w:tc>
        <w:tc>
          <w:tcPr>
            <w:tcW w:w="602" w:type="pct"/>
            <w:vAlign w:val="center"/>
          </w:tcPr>
          <w:p w:rsidR="00EE4502" w:rsidRDefault="00FD45A3">
            <w:pPr>
              <w:jc w:val="center"/>
              <w:textAlignment w:val="baseline"/>
              <w:rPr>
                <w:kern w:val="21"/>
                <w:szCs w:val="21"/>
              </w:rPr>
            </w:pPr>
            <w:r>
              <w:rPr>
                <w:kern w:val="21"/>
                <w:szCs w:val="21"/>
              </w:rPr>
              <w:t>5227</w:t>
            </w:r>
            <w:r>
              <w:rPr>
                <w:rFonts w:hint="eastAsia"/>
                <w:kern w:val="21"/>
                <w:szCs w:val="21"/>
              </w:rPr>
              <w:t>t</w:t>
            </w:r>
          </w:p>
        </w:tc>
        <w:tc>
          <w:tcPr>
            <w:tcW w:w="2109" w:type="pct"/>
            <w:vAlign w:val="center"/>
          </w:tcPr>
          <w:p w:rsidR="00EE4502" w:rsidRDefault="00FD45A3">
            <w:pPr>
              <w:textAlignment w:val="baseline"/>
              <w:rPr>
                <w:kern w:val="21"/>
                <w:szCs w:val="21"/>
              </w:rPr>
            </w:pPr>
            <w:r>
              <w:rPr>
                <w:kern w:val="21"/>
                <w:szCs w:val="21"/>
              </w:rPr>
              <w:t>采用</w:t>
            </w:r>
            <w:r>
              <w:rPr>
                <w:kern w:val="21"/>
                <w:szCs w:val="21"/>
              </w:rPr>
              <w:t>“</w:t>
            </w:r>
            <w:r>
              <w:rPr>
                <w:kern w:val="21"/>
                <w:szCs w:val="21"/>
              </w:rPr>
              <w:t>钻井废弃物不落地工艺</w:t>
            </w:r>
            <w:r>
              <w:rPr>
                <w:kern w:val="21"/>
                <w:szCs w:val="21"/>
              </w:rPr>
              <w:t>”</w:t>
            </w:r>
            <w:r>
              <w:rPr>
                <w:kern w:val="21"/>
                <w:szCs w:val="21"/>
              </w:rPr>
              <w:t>，钻井废水由克拉玛依前山石油工程服务有限公司进行循环利用</w:t>
            </w:r>
          </w:p>
        </w:tc>
        <w:tc>
          <w:tcPr>
            <w:tcW w:w="530" w:type="pct"/>
            <w:vAlign w:val="center"/>
          </w:tcPr>
          <w:p w:rsidR="00EE4502" w:rsidRDefault="00FD45A3">
            <w:pPr>
              <w:jc w:val="center"/>
              <w:textAlignment w:val="baseline"/>
              <w:rPr>
                <w:kern w:val="21"/>
                <w:szCs w:val="21"/>
              </w:rPr>
            </w:pPr>
            <w:r>
              <w:rPr>
                <w:kern w:val="21"/>
                <w:szCs w:val="21"/>
              </w:rPr>
              <w:t>0</w:t>
            </w:r>
          </w:p>
        </w:tc>
      </w:tr>
      <w:tr w:rsidR="00EE4502">
        <w:trPr>
          <w:trHeight w:val="397"/>
          <w:jc w:val="center"/>
        </w:trPr>
        <w:tc>
          <w:tcPr>
            <w:tcW w:w="213" w:type="pct"/>
            <w:vMerge/>
            <w:vAlign w:val="center"/>
          </w:tcPr>
          <w:p w:rsidR="00EE4502" w:rsidRDefault="00EE4502">
            <w:pPr>
              <w:jc w:val="center"/>
              <w:textAlignment w:val="baseline"/>
              <w:rPr>
                <w:kern w:val="21"/>
                <w:szCs w:val="21"/>
              </w:rPr>
            </w:pPr>
          </w:p>
        </w:tc>
        <w:tc>
          <w:tcPr>
            <w:tcW w:w="569" w:type="pct"/>
            <w:vAlign w:val="center"/>
          </w:tcPr>
          <w:p w:rsidR="00EE4502" w:rsidRDefault="00FD45A3">
            <w:pPr>
              <w:jc w:val="center"/>
              <w:textAlignment w:val="baseline"/>
              <w:rPr>
                <w:kern w:val="21"/>
                <w:szCs w:val="21"/>
              </w:rPr>
            </w:pPr>
            <w:r>
              <w:rPr>
                <w:kern w:val="21"/>
                <w:szCs w:val="21"/>
              </w:rPr>
              <w:t>管道试压废水</w:t>
            </w:r>
          </w:p>
        </w:tc>
        <w:tc>
          <w:tcPr>
            <w:tcW w:w="974" w:type="pct"/>
            <w:vAlign w:val="center"/>
          </w:tcPr>
          <w:p w:rsidR="00EE4502" w:rsidRDefault="00FD45A3">
            <w:pPr>
              <w:jc w:val="center"/>
              <w:textAlignment w:val="baseline"/>
              <w:rPr>
                <w:kern w:val="21"/>
                <w:szCs w:val="21"/>
              </w:rPr>
            </w:pPr>
            <w:r>
              <w:rPr>
                <w:kern w:val="21"/>
                <w:szCs w:val="21"/>
              </w:rPr>
              <w:t>SS</w:t>
            </w:r>
          </w:p>
        </w:tc>
        <w:tc>
          <w:tcPr>
            <w:tcW w:w="602" w:type="pct"/>
            <w:vAlign w:val="center"/>
          </w:tcPr>
          <w:p w:rsidR="00EE4502" w:rsidRDefault="00FD45A3">
            <w:pPr>
              <w:jc w:val="center"/>
              <w:textAlignment w:val="baseline"/>
              <w:rPr>
                <w:kern w:val="21"/>
                <w:szCs w:val="21"/>
              </w:rPr>
            </w:pPr>
            <w:r>
              <w:rPr>
                <w:rFonts w:hint="eastAsia"/>
                <w:kern w:val="21"/>
                <w:szCs w:val="21"/>
              </w:rPr>
              <w:t>69</w:t>
            </w:r>
            <w:r>
              <w:rPr>
                <w:bCs/>
                <w:kern w:val="21"/>
                <w:szCs w:val="21"/>
              </w:rPr>
              <w:t>m</w:t>
            </w:r>
            <w:r>
              <w:rPr>
                <w:bCs/>
                <w:kern w:val="21"/>
                <w:szCs w:val="21"/>
                <w:vertAlign w:val="superscript"/>
              </w:rPr>
              <w:t>3</w:t>
            </w:r>
          </w:p>
        </w:tc>
        <w:tc>
          <w:tcPr>
            <w:tcW w:w="2109" w:type="pct"/>
            <w:vAlign w:val="center"/>
          </w:tcPr>
          <w:p w:rsidR="00EE4502" w:rsidRDefault="00FD45A3">
            <w:pPr>
              <w:textAlignment w:val="baseline"/>
              <w:rPr>
                <w:kern w:val="21"/>
                <w:szCs w:val="21"/>
              </w:rPr>
            </w:pPr>
            <w:r>
              <w:rPr>
                <w:kern w:val="21"/>
                <w:szCs w:val="21"/>
              </w:rPr>
              <w:t>试压期间循环使用，试压结束后，试压废水可用作场地降尘用水</w:t>
            </w:r>
          </w:p>
        </w:tc>
        <w:tc>
          <w:tcPr>
            <w:tcW w:w="530" w:type="pct"/>
            <w:vAlign w:val="center"/>
          </w:tcPr>
          <w:p w:rsidR="00EE4502" w:rsidRDefault="00FD45A3">
            <w:pPr>
              <w:jc w:val="center"/>
              <w:textAlignment w:val="baseline"/>
              <w:rPr>
                <w:kern w:val="21"/>
                <w:szCs w:val="21"/>
              </w:rPr>
            </w:pPr>
            <w:r>
              <w:rPr>
                <w:kern w:val="21"/>
                <w:szCs w:val="21"/>
              </w:rPr>
              <w:t>0</w:t>
            </w:r>
          </w:p>
        </w:tc>
      </w:tr>
      <w:tr w:rsidR="00EE4502">
        <w:trPr>
          <w:trHeight w:val="397"/>
          <w:jc w:val="center"/>
        </w:trPr>
        <w:tc>
          <w:tcPr>
            <w:tcW w:w="213" w:type="pct"/>
            <w:vMerge/>
            <w:vAlign w:val="center"/>
          </w:tcPr>
          <w:p w:rsidR="00EE4502" w:rsidRDefault="00EE4502">
            <w:pPr>
              <w:jc w:val="center"/>
              <w:textAlignment w:val="baseline"/>
              <w:rPr>
                <w:kern w:val="21"/>
                <w:szCs w:val="21"/>
              </w:rPr>
            </w:pPr>
          </w:p>
        </w:tc>
        <w:tc>
          <w:tcPr>
            <w:tcW w:w="569" w:type="pct"/>
            <w:vAlign w:val="center"/>
          </w:tcPr>
          <w:p w:rsidR="00EE4502" w:rsidRDefault="00FD45A3">
            <w:pPr>
              <w:jc w:val="center"/>
              <w:textAlignment w:val="baseline"/>
              <w:rPr>
                <w:kern w:val="21"/>
                <w:szCs w:val="21"/>
              </w:rPr>
            </w:pPr>
            <w:r>
              <w:rPr>
                <w:kern w:val="21"/>
                <w:szCs w:val="21"/>
              </w:rPr>
              <w:t>生活污水</w:t>
            </w:r>
          </w:p>
        </w:tc>
        <w:tc>
          <w:tcPr>
            <w:tcW w:w="974" w:type="pct"/>
            <w:vAlign w:val="center"/>
          </w:tcPr>
          <w:p w:rsidR="00EE4502" w:rsidRDefault="00FD45A3">
            <w:pPr>
              <w:jc w:val="center"/>
              <w:textAlignment w:val="baseline"/>
              <w:rPr>
                <w:kern w:val="21"/>
                <w:szCs w:val="21"/>
              </w:rPr>
            </w:pPr>
            <w:r>
              <w:rPr>
                <w:kern w:val="21"/>
                <w:szCs w:val="21"/>
              </w:rPr>
              <w:t>SS</w:t>
            </w:r>
            <w:r>
              <w:rPr>
                <w:kern w:val="21"/>
                <w:szCs w:val="21"/>
              </w:rPr>
              <w:t>、</w:t>
            </w:r>
            <w:r>
              <w:rPr>
                <w:kern w:val="21"/>
                <w:szCs w:val="21"/>
              </w:rPr>
              <w:t>COD</w:t>
            </w:r>
            <w:r>
              <w:rPr>
                <w:kern w:val="21"/>
                <w:szCs w:val="21"/>
              </w:rPr>
              <w:t>、氨氮</w:t>
            </w:r>
            <w:r>
              <w:rPr>
                <w:rFonts w:hint="eastAsia"/>
                <w:kern w:val="21"/>
                <w:szCs w:val="21"/>
              </w:rPr>
              <w:t>、</w:t>
            </w:r>
            <w:r>
              <w:rPr>
                <w:kern w:val="21"/>
                <w:szCs w:val="21"/>
              </w:rPr>
              <w:t>BOD</w:t>
            </w:r>
            <w:r>
              <w:rPr>
                <w:kern w:val="21"/>
                <w:szCs w:val="21"/>
                <w:vertAlign w:val="subscript"/>
              </w:rPr>
              <w:t>5</w:t>
            </w:r>
          </w:p>
        </w:tc>
        <w:tc>
          <w:tcPr>
            <w:tcW w:w="602" w:type="pct"/>
            <w:vAlign w:val="center"/>
          </w:tcPr>
          <w:p w:rsidR="00EE4502" w:rsidRDefault="00FD45A3">
            <w:pPr>
              <w:jc w:val="center"/>
              <w:textAlignment w:val="baseline"/>
              <w:rPr>
                <w:kern w:val="21"/>
                <w:szCs w:val="21"/>
              </w:rPr>
            </w:pPr>
            <w:r>
              <w:rPr>
                <w:kern w:val="21"/>
                <w:szCs w:val="21"/>
              </w:rPr>
              <w:t>423m³</w:t>
            </w:r>
          </w:p>
        </w:tc>
        <w:tc>
          <w:tcPr>
            <w:tcW w:w="2109" w:type="pct"/>
            <w:vAlign w:val="center"/>
          </w:tcPr>
          <w:p w:rsidR="00EE4502" w:rsidRDefault="00FD45A3">
            <w:pPr>
              <w:textAlignment w:val="baseline"/>
              <w:rPr>
                <w:kern w:val="21"/>
                <w:szCs w:val="21"/>
              </w:rPr>
            </w:pPr>
            <w:r>
              <w:rPr>
                <w:kern w:val="21"/>
                <w:szCs w:val="21"/>
              </w:rPr>
              <w:t>生活污水排入移动环保厕所，由克拉玛依前山石油工程服务有限公司清运至春风油田生活基地生活污水处理系统处理</w:t>
            </w:r>
          </w:p>
        </w:tc>
        <w:tc>
          <w:tcPr>
            <w:tcW w:w="530" w:type="pct"/>
            <w:vAlign w:val="center"/>
          </w:tcPr>
          <w:p w:rsidR="00EE4502" w:rsidRDefault="00FD45A3">
            <w:pPr>
              <w:jc w:val="center"/>
              <w:textAlignment w:val="baseline"/>
              <w:rPr>
                <w:kern w:val="21"/>
                <w:szCs w:val="21"/>
              </w:rPr>
            </w:pPr>
            <w:r>
              <w:rPr>
                <w:kern w:val="21"/>
                <w:szCs w:val="21"/>
              </w:rPr>
              <w:t>0</w:t>
            </w:r>
          </w:p>
        </w:tc>
      </w:tr>
      <w:tr w:rsidR="00EE4502">
        <w:trPr>
          <w:trHeight w:val="397"/>
          <w:jc w:val="center"/>
        </w:trPr>
        <w:tc>
          <w:tcPr>
            <w:tcW w:w="213" w:type="pct"/>
            <w:vMerge w:val="restart"/>
            <w:vAlign w:val="center"/>
          </w:tcPr>
          <w:p w:rsidR="00EE4502" w:rsidRDefault="00FD45A3">
            <w:pPr>
              <w:jc w:val="center"/>
              <w:textAlignment w:val="baseline"/>
              <w:rPr>
                <w:kern w:val="21"/>
                <w:szCs w:val="21"/>
              </w:rPr>
            </w:pPr>
            <w:r>
              <w:rPr>
                <w:kern w:val="21"/>
                <w:szCs w:val="21"/>
              </w:rPr>
              <w:t>固体废物</w:t>
            </w:r>
          </w:p>
        </w:tc>
        <w:tc>
          <w:tcPr>
            <w:tcW w:w="569" w:type="pct"/>
            <w:vAlign w:val="center"/>
          </w:tcPr>
          <w:p w:rsidR="00EE4502" w:rsidRDefault="00FD45A3">
            <w:pPr>
              <w:jc w:val="center"/>
              <w:textAlignment w:val="baseline"/>
              <w:rPr>
                <w:kern w:val="21"/>
                <w:szCs w:val="21"/>
              </w:rPr>
            </w:pPr>
            <w:r>
              <w:rPr>
                <w:kern w:val="21"/>
                <w:szCs w:val="21"/>
              </w:rPr>
              <w:t>钻井废弃泥浆</w:t>
            </w:r>
          </w:p>
        </w:tc>
        <w:tc>
          <w:tcPr>
            <w:tcW w:w="974" w:type="pct"/>
            <w:vMerge w:val="restart"/>
            <w:vAlign w:val="center"/>
          </w:tcPr>
          <w:p w:rsidR="00EE4502" w:rsidRDefault="00FD45A3">
            <w:pPr>
              <w:jc w:val="center"/>
              <w:textAlignment w:val="baseline"/>
              <w:rPr>
                <w:kern w:val="21"/>
                <w:szCs w:val="21"/>
              </w:rPr>
            </w:pPr>
            <w:r>
              <w:rPr>
                <w:kern w:val="21"/>
                <w:szCs w:val="21"/>
              </w:rPr>
              <w:t>071-001-S12</w:t>
            </w:r>
          </w:p>
        </w:tc>
        <w:tc>
          <w:tcPr>
            <w:tcW w:w="602" w:type="pct"/>
            <w:vAlign w:val="center"/>
          </w:tcPr>
          <w:p w:rsidR="00EE4502" w:rsidRDefault="00FD45A3">
            <w:pPr>
              <w:jc w:val="center"/>
              <w:textAlignment w:val="baseline"/>
              <w:rPr>
                <w:kern w:val="21"/>
                <w:szCs w:val="21"/>
              </w:rPr>
            </w:pPr>
            <w:r>
              <w:rPr>
                <w:rFonts w:hint="eastAsia"/>
                <w:kern w:val="21"/>
                <w:szCs w:val="21"/>
              </w:rPr>
              <w:t>5607</w:t>
            </w:r>
            <w:r>
              <w:rPr>
                <w:kern w:val="21"/>
                <w:szCs w:val="21"/>
              </w:rPr>
              <w:t>m³</w:t>
            </w:r>
          </w:p>
        </w:tc>
        <w:tc>
          <w:tcPr>
            <w:tcW w:w="2109" w:type="pct"/>
            <w:vAlign w:val="center"/>
          </w:tcPr>
          <w:p w:rsidR="00EE4502" w:rsidRDefault="00FD45A3">
            <w:pPr>
              <w:textAlignment w:val="baseline"/>
              <w:rPr>
                <w:kern w:val="21"/>
                <w:szCs w:val="21"/>
              </w:rPr>
            </w:pPr>
            <w:r>
              <w:rPr>
                <w:kern w:val="21"/>
                <w:szCs w:val="21"/>
              </w:rPr>
              <w:t>采用</w:t>
            </w:r>
            <w:r>
              <w:rPr>
                <w:kern w:val="21"/>
                <w:szCs w:val="21"/>
              </w:rPr>
              <w:t>“</w:t>
            </w:r>
            <w:r>
              <w:rPr>
                <w:kern w:val="21"/>
                <w:szCs w:val="21"/>
              </w:rPr>
              <w:t>钻井废弃物不落地工艺</w:t>
            </w:r>
            <w:r>
              <w:rPr>
                <w:kern w:val="21"/>
                <w:szCs w:val="21"/>
              </w:rPr>
              <w:t>”</w:t>
            </w:r>
            <w:r>
              <w:rPr>
                <w:kern w:val="21"/>
                <w:szCs w:val="21"/>
              </w:rPr>
              <w:t>，废弃泥浆集中收集拉运至克拉玛依前山石油工程服务有限公司进行处置。</w:t>
            </w:r>
          </w:p>
        </w:tc>
        <w:tc>
          <w:tcPr>
            <w:tcW w:w="530" w:type="pct"/>
            <w:vAlign w:val="center"/>
          </w:tcPr>
          <w:p w:rsidR="00EE4502" w:rsidRDefault="00FD45A3">
            <w:pPr>
              <w:jc w:val="center"/>
              <w:textAlignment w:val="baseline"/>
              <w:rPr>
                <w:kern w:val="21"/>
                <w:szCs w:val="21"/>
              </w:rPr>
            </w:pPr>
            <w:r>
              <w:rPr>
                <w:kern w:val="21"/>
                <w:szCs w:val="21"/>
              </w:rPr>
              <w:t>0</w:t>
            </w:r>
          </w:p>
        </w:tc>
      </w:tr>
      <w:tr w:rsidR="00EE4502">
        <w:trPr>
          <w:trHeight w:val="397"/>
          <w:jc w:val="center"/>
        </w:trPr>
        <w:tc>
          <w:tcPr>
            <w:tcW w:w="213" w:type="pct"/>
            <w:vMerge/>
            <w:vAlign w:val="center"/>
          </w:tcPr>
          <w:p w:rsidR="00EE4502" w:rsidRDefault="00EE4502">
            <w:pPr>
              <w:jc w:val="center"/>
              <w:textAlignment w:val="baseline"/>
              <w:rPr>
                <w:kern w:val="21"/>
                <w:szCs w:val="21"/>
              </w:rPr>
            </w:pPr>
          </w:p>
        </w:tc>
        <w:tc>
          <w:tcPr>
            <w:tcW w:w="569" w:type="pct"/>
            <w:vAlign w:val="center"/>
          </w:tcPr>
          <w:p w:rsidR="00EE4502" w:rsidRDefault="00FD45A3">
            <w:pPr>
              <w:jc w:val="center"/>
              <w:textAlignment w:val="baseline"/>
              <w:rPr>
                <w:kern w:val="21"/>
                <w:szCs w:val="21"/>
              </w:rPr>
            </w:pPr>
            <w:r>
              <w:rPr>
                <w:kern w:val="21"/>
                <w:szCs w:val="21"/>
              </w:rPr>
              <w:t>钻井岩屑</w:t>
            </w:r>
          </w:p>
        </w:tc>
        <w:tc>
          <w:tcPr>
            <w:tcW w:w="974" w:type="pct"/>
            <w:vMerge/>
            <w:vAlign w:val="center"/>
          </w:tcPr>
          <w:p w:rsidR="00EE4502" w:rsidRDefault="00EE4502">
            <w:pPr>
              <w:jc w:val="center"/>
              <w:textAlignment w:val="baseline"/>
              <w:rPr>
                <w:kern w:val="21"/>
                <w:szCs w:val="21"/>
              </w:rPr>
            </w:pPr>
          </w:p>
        </w:tc>
        <w:tc>
          <w:tcPr>
            <w:tcW w:w="602" w:type="pct"/>
            <w:vAlign w:val="center"/>
          </w:tcPr>
          <w:p w:rsidR="00EE4502" w:rsidRDefault="00FD45A3">
            <w:pPr>
              <w:jc w:val="center"/>
              <w:textAlignment w:val="baseline"/>
              <w:rPr>
                <w:kern w:val="21"/>
                <w:szCs w:val="21"/>
              </w:rPr>
            </w:pPr>
            <w:r>
              <w:rPr>
                <w:rFonts w:hint="eastAsia"/>
                <w:kern w:val="21"/>
                <w:szCs w:val="21"/>
              </w:rPr>
              <w:t>2316.88</w:t>
            </w:r>
            <w:r>
              <w:rPr>
                <w:kern w:val="21"/>
                <w:szCs w:val="21"/>
              </w:rPr>
              <w:t>m³</w:t>
            </w:r>
          </w:p>
        </w:tc>
        <w:tc>
          <w:tcPr>
            <w:tcW w:w="2109" w:type="pct"/>
            <w:vAlign w:val="center"/>
          </w:tcPr>
          <w:p w:rsidR="00EE4502" w:rsidRDefault="00FD45A3">
            <w:pPr>
              <w:textAlignment w:val="baseline"/>
              <w:rPr>
                <w:kern w:val="21"/>
                <w:szCs w:val="21"/>
              </w:rPr>
            </w:pPr>
            <w:r>
              <w:rPr>
                <w:kern w:val="21"/>
                <w:szCs w:val="21"/>
              </w:rPr>
              <w:t>采用</w:t>
            </w:r>
            <w:r>
              <w:rPr>
                <w:kern w:val="21"/>
                <w:szCs w:val="21"/>
              </w:rPr>
              <w:t>“</w:t>
            </w:r>
            <w:r>
              <w:rPr>
                <w:kern w:val="21"/>
                <w:szCs w:val="21"/>
              </w:rPr>
              <w:t>钻井废弃物不落地工艺</w:t>
            </w:r>
            <w:r>
              <w:rPr>
                <w:kern w:val="21"/>
                <w:szCs w:val="21"/>
              </w:rPr>
              <w:t>”</w:t>
            </w:r>
            <w:r>
              <w:rPr>
                <w:kern w:val="21"/>
                <w:szCs w:val="21"/>
              </w:rPr>
              <w:t>，钻井岩屑委托处置，经克拉玛依前山石油工程服务有限公司分离后可用于井场铺路。</w:t>
            </w:r>
          </w:p>
        </w:tc>
        <w:tc>
          <w:tcPr>
            <w:tcW w:w="530" w:type="pct"/>
            <w:vAlign w:val="center"/>
          </w:tcPr>
          <w:p w:rsidR="00EE4502" w:rsidRDefault="00FD45A3">
            <w:pPr>
              <w:jc w:val="center"/>
              <w:textAlignment w:val="baseline"/>
              <w:rPr>
                <w:kern w:val="21"/>
                <w:szCs w:val="21"/>
              </w:rPr>
            </w:pPr>
            <w:r>
              <w:rPr>
                <w:kern w:val="21"/>
                <w:szCs w:val="21"/>
              </w:rPr>
              <w:t>0</w:t>
            </w:r>
          </w:p>
        </w:tc>
      </w:tr>
      <w:tr w:rsidR="00EE4502">
        <w:trPr>
          <w:trHeight w:val="397"/>
          <w:jc w:val="center"/>
        </w:trPr>
        <w:tc>
          <w:tcPr>
            <w:tcW w:w="213" w:type="pct"/>
            <w:vMerge/>
            <w:vAlign w:val="center"/>
          </w:tcPr>
          <w:p w:rsidR="00EE4502" w:rsidRDefault="00EE4502">
            <w:pPr>
              <w:jc w:val="center"/>
              <w:textAlignment w:val="baseline"/>
              <w:rPr>
                <w:kern w:val="21"/>
                <w:szCs w:val="21"/>
              </w:rPr>
            </w:pPr>
          </w:p>
        </w:tc>
        <w:tc>
          <w:tcPr>
            <w:tcW w:w="569" w:type="pct"/>
            <w:vAlign w:val="center"/>
          </w:tcPr>
          <w:p w:rsidR="00EE4502" w:rsidRDefault="00FD45A3">
            <w:pPr>
              <w:jc w:val="center"/>
              <w:textAlignment w:val="baseline"/>
              <w:rPr>
                <w:kern w:val="21"/>
                <w:szCs w:val="21"/>
              </w:rPr>
            </w:pPr>
            <w:r>
              <w:rPr>
                <w:rFonts w:hint="eastAsia"/>
                <w:kern w:val="21"/>
                <w:szCs w:val="21"/>
              </w:rPr>
              <w:t>施工废料</w:t>
            </w:r>
          </w:p>
        </w:tc>
        <w:tc>
          <w:tcPr>
            <w:tcW w:w="974" w:type="pct"/>
            <w:vAlign w:val="center"/>
          </w:tcPr>
          <w:p w:rsidR="00EE4502" w:rsidRDefault="00FD45A3">
            <w:pPr>
              <w:jc w:val="center"/>
              <w:textAlignment w:val="baseline"/>
              <w:rPr>
                <w:kern w:val="21"/>
                <w:szCs w:val="21"/>
              </w:rPr>
            </w:pPr>
            <w:r>
              <w:rPr>
                <w:kern w:val="21"/>
                <w:szCs w:val="21"/>
              </w:rPr>
              <w:t>071-002-S99</w:t>
            </w:r>
          </w:p>
        </w:tc>
        <w:tc>
          <w:tcPr>
            <w:tcW w:w="602" w:type="pct"/>
            <w:vAlign w:val="center"/>
          </w:tcPr>
          <w:p w:rsidR="00EE4502" w:rsidRDefault="00FD45A3">
            <w:pPr>
              <w:jc w:val="center"/>
              <w:textAlignment w:val="baseline"/>
              <w:rPr>
                <w:kern w:val="21"/>
                <w:szCs w:val="21"/>
              </w:rPr>
            </w:pPr>
            <w:r>
              <w:rPr>
                <w:kern w:val="21"/>
                <w:szCs w:val="21"/>
              </w:rPr>
              <w:t>2.5t</w:t>
            </w:r>
          </w:p>
        </w:tc>
        <w:tc>
          <w:tcPr>
            <w:tcW w:w="2109" w:type="pct"/>
            <w:vMerge w:val="restart"/>
            <w:vAlign w:val="center"/>
          </w:tcPr>
          <w:p w:rsidR="00EE4502" w:rsidRDefault="00FD45A3">
            <w:pPr>
              <w:pStyle w:val="affffffff5"/>
              <w:adjustRightInd/>
              <w:snapToGrid/>
              <w:spacing w:line="240" w:lineRule="auto"/>
              <w:ind w:leftChars="0" w:left="0" w:rightChars="0" w:right="0"/>
              <w:jc w:val="both"/>
              <w:rPr>
                <w:color w:val="auto"/>
                <w:kern w:val="21"/>
                <w:sz w:val="21"/>
                <w:szCs w:val="21"/>
              </w:rPr>
            </w:pPr>
            <w:r>
              <w:rPr>
                <w:color w:val="auto"/>
                <w:kern w:val="21"/>
                <w:sz w:val="21"/>
                <w:szCs w:val="21"/>
              </w:rPr>
              <w:t>收集后送至克拉玛依建筑垃圾填埋场（排</w:t>
            </w:r>
            <w:r>
              <w:rPr>
                <w:color w:val="auto"/>
                <w:kern w:val="21"/>
                <w:sz w:val="21"/>
                <w:szCs w:val="21"/>
              </w:rPr>
              <w:t>61</w:t>
            </w:r>
            <w:r>
              <w:rPr>
                <w:color w:val="auto"/>
                <w:kern w:val="21"/>
                <w:sz w:val="21"/>
                <w:szCs w:val="21"/>
              </w:rPr>
              <w:t>块产能部分位于克拉玛依境内）或胡杨河经济技术开发区一般固体废物填埋场（注水部分位于第七师境内）处置</w:t>
            </w:r>
          </w:p>
        </w:tc>
        <w:tc>
          <w:tcPr>
            <w:tcW w:w="530" w:type="pct"/>
            <w:vAlign w:val="center"/>
          </w:tcPr>
          <w:p w:rsidR="00EE4502" w:rsidRDefault="00FD45A3">
            <w:pPr>
              <w:pStyle w:val="affffffff5"/>
              <w:adjustRightInd/>
              <w:snapToGrid/>
              <w:spacing w:line="240" w:lineRule="auto"/>
              <w:ind w:leftChars="0" w:left="0" w:rightChars="0" w:right="0"/>
              <w:rPr>
                <w:color w:val="auto"/>
                <w:kern w:val="21"/>
                <w:sz w:val="21"/>
                <w:szCs w:val="21"/>
              </w:rPr>
            </w:pPr>
            <w:r>
              <w:rPr>
                <w:color w:val="auto"/>
                <w:kern w:val="21"/>
                <w:sz w:val="21"/>
                <w:szCs w:val="21"/>
              </w:rPr>
              <w:t>0</w:t>
            </w:r>
          </w:p>
        </w:tc>
      </w:tr>
      <w:tr w:rsidR="00EE4502">
        <w:trPr>
          <w:trHeight w:val="397"/>
          <w:jc w:val="center"/>
        </w:trPr>
        <w:tc>
          <w:tcPr>
            <w:tcW w:w="213" w:type="pct"/>
            <w:vMerge/>
            <w:vAlign w:val="center"/>
          </w:tcPr>
          <w:p w:rsidR="00EE4502" w:rsidRDefault="00EE4502">
            <w:pPr>
              <w:jc w:val="center"/>
              <w:textAlignment w:val="baseline"/>
              <w:rPr>
                <w:kern w:val="21"/>
                <w:szCs w:val="21"/>
              </w:rPr>
            </w:pPr>
          </w:p>
        </w:tc>
        <w:tc>
          <w:tcPr>
            <w:tcW w:w="569" w:type="pct"/>
            <w:vAlign w:val="center"/>
          </w:tcPr>
          <w:p w:rsidR="00EE4502" w:rsidRDefault="00FD45A3">
            <w:pPr>
              <w:jc w:val="center"/>
              <w:textAlignment w:val="baseline"/>
              <w:rPr>
                <w:kern w:val="21"/>
                <w:szCs w:val="21"/>
              </w:rPr>
            </w:pPr>
            <w:r>
              <w:rPr>
                <w:rFonts w:hint="eastAsia"/>
                <w:kern w:val="21"/>
                <w:szCs w:val="21"/>
              </w:rPr>
              <w:t>设备废弃包装</w:t>
            </w:r>
          </w:p>
        </w:tc>
        <w:tc>
          <w:tcPr>
            <w:tcW w:w="974" w:type="pct"/>
            <w:vAlign w:val="center"/>
          </w:tcPr>
          <w:p w:rsidR="00EE4502" w:rsidRDefault="00FD45A3">
            <w:pPr>
              <w:jc w:val="center"/>
              <w:textAlignment w:val="baseline"/>
              <w:rPr>
                <w:kern w:val="21"/>
                <w:szCs w:val="21"/>
              </w:rPr>
            </w:pPr>
            <w:r>
              <w:rPr>
                <w:kern w:val="21"/>
                <w:szCs w:val="21"/>
              </w:rPr>
              <w:t>071-003-S99</w:t>
            </w:r>
          </w:p>
        </w:tc>
        <w:tc>
          <w:tcPr>
            <w:tcW w:w="602" w:type="pct"/>
            <w:vAlign w:val="center"/>
          </w:tcPr>
          <w:p w:rsidR="00EE4502" w:rsidRDefault="00FD45A3">
            <w:pPr>
              <w:jc w:val="center"/>
              <w:textAlignment w:val="baseline"/>
              <w:rPr>
                <w:kern w:val="21"/>
                <w:szCs w:val="21"/>
              </w:rPr>
            </w:pPr>
            <w:r>
              <w:rPr>
                <w:kern w:val="21"/>
                <w:szCs w:val="21"/>
              </w:rPr>
              <w:t>0.36t</w:t>
            </w:r>
          </w:p>
        </w:tc>
        <w:tc>
          <w:tcPr>
            <w:tcW w:w="2109" w:type="pct"/>
            <w:vMerge/>
            <w:vAlign w:val="center"/>
          </w:tcPr>
          <w:p w:rsidR="00EE4502" w:rsidRDefault="00EE4502">
            <w:pPr>
              <w:pStyle w:val="affffffff5"/>
              <w:adjustRightInd/>
              <w:snapToGrid/>
              <w:spacing w:line="240" w:lineRule="auto"/>
              <w:ind w:leftChars="0" w:left="0" w:rightChars="0" w:right="0"/>
              <w:jc w:val="both"/>
              <w:rPr>
                <w:color w:val="auto"/>
                <w:kern w:val="21"/>
                <w:sz w:val="21"/>
                <w:szCs w:val="21"/>
              </w:rPr>
            </w:pPr>
          </w:p>
        </w:tc>
        <w:tc>
          <w:tcPr>
            <w:tcW w:w="530" w:type="pct"/>
            <w:vAlign w:val="center"/>
          </w:tcPr>
          <w:p w:rsidR="00EE4502" w:rsidRDefault="00FD45A3">
            <w:pPr>
              <w:pStyle w:val="affffffff5"/>
              <w:adjustRightInd/>
              <w:snapToGrid/>
              <w:spacing w:line="240" w:lineRule="auto"/>
              <w:ind w:leftChars="0" w:left="0" w:rightChars="0" w:right="0"/>
              <w:rPr>
                <w:color w:val="auto"/>
                <w:kern w:val="21"/>
                <w:sz w:val="21"/>
                <w:szCs w:val="21"/>
              </w:rPr>
            </w:pPr>
            <w:r>
              <w:rPr>
                <w:color w:val="auto"/>
                <w:kern w:val="21"/>
                <w:sz w:val="21"/>
                <w:szCs w:val="21"/>
              </w:rPr>
              <w:t>0</w:t>
            </w:r>
          </w:p>
        </w:tc>
      </w:tr>
      <w:tr w:rsidR="00EE4502">
        <w:trPr>
          <w:trHeight w:val="397"/>
          <w:jc w:val="center"/>
        </w:trPr>
        <w:tc>
          <w:tcPr>
            <w:tcW w:w="213" w:type="pct"/>
            <w:vMerge/>
            <w:vAlign w:val="center"/>
          </w:tcPr>
          <w:p w:rsidR="00EE4502" w:rsidRDefault="00EE4502">
            <w:pPr>
              <w:jc w:val="center"/>
              <w:textAlignment w:val="baseline"/>
              <w:rPr>
                <w:kern w:val="21"/>
                <w:szCs w:val="21"/>
              </w:rPr>
            </w:pPr>
          </w:p>
        </w:tc>
        <w:tc>
          <w:tcPr>
            <w:tcW w:w="569" w:type="pct"/>
            <w:vAlign w:val="center"/>
          </w:tcPr>
          <w:p w:rsidR="00EE4502" w:rsidRDefault="00FD45A3">
            <w:pPr>
              <w:jc w:val="center"/>
              <w:textAlignment w:val="baseline"/>
              <w:rPr>
                <w:kern w:val="21"/>
                <w:szCs w:val="21"/>
              </w:rPr>
            </w:pPr>
            <w:r>
              <w:rPr>
                <w:rFonts w:hint="eastAsia"/>
                <w:kern w:val="21"/>
                <w:szCs w:val="21"/>
              </w:rPr>
              <w:t>生活垃圾</w:t>
            </w:r>
          </w:p>
        </w:tc>
        <w:tc>
          <w:tcPr>
            <w:tcW w:w="974" w:type="pct"/>
            <w:vAlign w:val="center"/>
          </w:tcPr>
          <w:p w:rsidR="00EE4502" w:rsidRDefault="00FD45A3">
            <w:pPr>
              <w:jc w:val="center"/>
              <w:textAlignment w:val="baseline"/>
              <w:rPr>
                <w:kern w:val="21"/>
                <w:szCs w:val="21"/>
              </w:rPr>
            </w:pPr>
            <w:r>
              <w:rPr>
                <w:kern w:val="21"/>
                <w:szCs w:val="21"/>
              </w:rPr>
              <w:t>900-099-S64</w:t>
            </w:r>
          </w:p>
        </w:tc>
        <w:tc>
          <w:tcPr>
            <w:tcW w:w="602" w:type="pct"/>
            <w:vAlign w:val="center"/>
          </w:tcPr>
          <w:p w:rsidR="00EE4502" w:rsidRDefault="00FD45A3">
            <w:pPr>
              <w:jc w:val="center"/>
              <w:textAlignment w:val="baseline"/>
              <w:rPr>
                <w:kern w:val="21"/>
                <w:szCs w:val="21"/>
              </w:rPr>
            </w:pPr>
            <w:r>
              <w:rPr>
                <w:kern w:val="21"/>
                <w:szCs w:val="21"/>
              </w:rPr>
              <w:t>3.3t</w:t>
            </w:r>
          </w:p>
        </w:tc>
        <w:tc>
          <w:tcPr>
            <w:tcW w:w="2109" w:type="pct"/>
            <w:vAlign w:val="center"/>
          </w:tcPr>
          <w:p w:rsidR="00EE4502" w:rsidRDefault="00FD45A3">
            <w:pPr>
              <w:pStyle w:val="affffffff5"/>
              <w:adjustRightInd/>
              <w:snapToGrid/>
              <w:spacing w:line="240" w:lineRule="auto"/>
              <w:ind w:leftChars="0" w:left="0" w:rightChars="0" w:right="0"/>
              <w:jc w:val="both"/>
              <w:rPr>
                <w:color w:val="auto"/>
                <w:kern w:val="21"/>
                <w:sz w:val="21"/>
                <w:szCs w:val="21"/>
              </w:rPr>
            </w:pPr>
            <w:r>
              <w:rPr>
                <w:color w:val="auto"/>
                <w:kern w:val="21"/>
                <w:sz w:val="21"/>
                <w:szCs w:val="21"/>
              </w:rPr>
              <w:t>在垃圾收集箱暂存，由克拉玛依前山石油工程服务有限公司清运至克拉玛依市生活垃圾填埋场（排</w:t>
            </w:r>
            <w:r>
              <w:rPr>
                <w:color w:val="auto"/>
                <w:kern w:val="21"/>
                <w:sz w:val="21"/>
                <w:szCs w:val="21"/>
              </w:rPr>
              <w:t>61</w:t>
            </w:r>
            <w:r>
              <w:rPr>
                <w:color w:val="auto"/>
                <w:kern w:val="21"/>
                <w:sz w:val="21"/>
                <w:szCs w:val="21"/>
              </w:rPr>
              <w:t>块产能部分</w:t>
            </w:r>
            <w:r>
              <w:rPr>
                <w:color w:val="auto"/>
                <w:kern w:val="21"/>
                <w:sz w:val="21"/>
                <w:szCs w:val="21"/>
              </w:rPr>
              <w:lastRenderedPageBreak/>
              <w:t>位于克拉玛依境内）或第七师</w:t>
            </w:r>
            <w:r>
              <w:rPr>
                <w:color w:val="auto"/>
                <w:kern w:val="21"/>
                <w:sz w:val="21"/>
                <w:szCs w:val="21"/>
              </w:rPr>
              <w:t>128</w:t>
            </w:r>
            <w:r>
              <w:rPr>
                <w:color w:val="auto"/>
                <w:kern w:val="21"/>
                <w:sz w:val="21"/>
                <w:szCs w:val="21"/>
              </w:rPr>
              <w:t>团生活垃圾填埋场（注水部分位于第七师境内）处置</w:t>
            </w:r>
          </w:p>
        </w:tc>
        <w:tc>
          <w:tcPr>
            <w:tcW w:w="530" w:type="pct"/>
            <w:vAlign w:val="center"/>
          </w:tcPr>
          <w:p w:rsidR="00EE4502" w:rsidRDefault="00FD45A3">
            <w:pPr>
              <w:pStyle w:val="affffffff5"/>
              <w:adjustRightInd/>
              <w:snapToGrid/>
              <w:spacing w:line="240" w:lineRule="auto"/>
              <w:ind w:leftChars="0" w:left="0" w:rightChars="0" w:right="0"/>
              <w:rPr>
                <w:color w:val="auto"/>
                <w:kern w:val="21"/>
                <w:sz w:val="21"/>
                <w:szCs w:val="21"/>
              </w:rPr>
            </w:pPr>
            <w:r>
              <w:rPr>
                <w:color w:val="auto"/>
                <w:kern w:val="21"/>
                <w:sz w:val="21"/>
                <w:szCs w:val="21"/>
              </w:rPr>
              <w:lastRenderedPageBreak/>
              <w:t>0</w:t>
            </w:r>
          </w:p>
        </w:tc>
      </w:tr>
      <w:tr w:rsidR="00EE4502">
        <w:trPr>
          <w:trHeight w:val="397"/>
          <w:jc w:val="center"/>
        </w:trPr>
        <w:tc>
          <w:tcPr>
            <w:tcW w:w="213" w:type="pct"/>
            <w:vMerge/>
            <w:vAlign w:val="center"/>
          </w:tcPr>
          <w:p w:rsidR="00EE4502" w:rsidRDefault="00EE4502">
            <w:pPr>
              <w:jc w:val="center"/>
              <w:textAlignment w:val="baseline"/>
              <w:rPr>
                <w:kern w:val="21"/>
                <w:szCs w:val="21"/>
              </w:rPr>
            </w:pPr>
          </w:p>
        </w:tc>
        <w:tc>
          <w:tcPr>
            <w:tcW w:w="569" w:type="pct"/>
            <w:vAlign w:val="center"/>
          </w:tcPr>
          <w:p w:rsidR="00EE4502" w:rsidRDefault="00FD45A3">
            <w:pPr>
              <w:jc w:val="center"/>
              <w:textAlignment w:val="baseline"/>
              <w:rPr>
                <w:kern w:val="21"/>
                <w:szCs w:val="21"/>
              </w:rPr>
            </w:pPr>
            <w:r>
              <w:rPr>
                <w:rFonts w:hint="eastAsia"/>
                <w:kern w:val="21"/>
                <w:szCs w:val="21"/>
              </w:rPr>
              <w:t>废机油</w:t>
            </w:r>
          </w:p>
        </w:tc>
        <w:tc>
          <w:tcPr>
            <w:tcW w:w="974" w:type="pct"/>
            <w:vAlign w:val="center"/>
          </w:tcPr>
          <w:p w:rsidR="00EE4502" w:rsidRDefault="00FD45A3">
            <w:pPr>
              <w:jc w:val="center"/>
              <w:textAlignment w:val="baseline"/>
              <w:rPr>
                <w:kern w:val="21"/>
                <w:szCs w:val="21"/>
              </w:rPr>
            </w:pPr>
            <w:r>
              <w:rPr>
                <w:kern w:val="21"/>
                <w:szCs w:val="21"/>
              </w:rPr>
              <w:t>HW08/900-214-08</w:t>
            </w:r>
          </w:p>
        </w:tc>
        <w:tc>
          <w:tcPr>
            <w:tcW w:w="602" w:type="pct"/>
            <w:vAlign w:val="center"/>
          </w:tcPr>
          <w:p w:rsidR="00EE4502" w:rsidRDefault="00FD45A3">
            <w:pPr>
              <w:jc w:val="center"/>
              <w:textAlignment w:val="baseline"/>
              <w:rPr>
                <w:kern w:val="21"/>
                <w:szCs w:val="21"/>
              </w:rPr>
            </w:pPr>
            <w:r>
              <w:rPr>
                <w:kern w:val="21"/>
                <w:szCs w:val="21"/>
              </w:rPr>
              <w:t>9t</w:t>
            </w:r>
          </w:p>
        </w:tc>
        <w:tc>
          <w:tcPr>
            <w:tcW w:w="2109" w:type="pct"/>
            <w:vMerge w:val="restart"/>
            <w:vAlign w:val="center"/>
          </w:tcPr>
          <w:p w:rsidR="00EE4502" w:rsidRDefault="00FD45A3">
            <w:pPr>
              <w:pStyle w:val="affffffff5"/>
              <w:adjustRightInd/>
              <w:snapToGrid/>
              <w:spacing w:line="240" w:lineRule="auto"/>
              <w:ind w:leftChars="0" w:left="0" w:rightChars="0" w:right="0"/>
              <w:jc w:val="both"/>
              <w:rPr>
                <w:color w:val="auto"/>
                <w:kern w:val="21"/>
                <w:sz w:val="21"/>
                <w:szCs w:val="21"/>
              </w:rPr>
            </w:pPr>
            <w:r>
              <w:rPr>
                <w:color w:val="auto"/>
                <w:kern w:val="21"/>
                <w:sz w:val="21"/>
                <w:szCs w:val="21"/>
              </w:rPr>
              <w:t>委托有危险废物处置资质的单位回收处理</w:t>
            </w:r>
          </w:p>
        </w:tc>
        <w:tc>
          <w:tcPr>
            <w:tcW w:w="530" w:type="pct"/>
            <w:vAlign w:val="center"/>
          </w:tcPr>
          <w:p w:rsidR="00EE4502" w:rsidRDefault="00FD45A3">
            <w:pPr>
              <w:pStyle w:val="affffffff5"/>
              <w:adjustRightInd/>
              <w:snapToGrid/>
              <w:spacing w:line="240" w:lineRule="auto"/>
              <w:ind w:leftChars="0" w:left="0" w:rightChars="0" w:right="0"/>
              <w:rPr>
                <w:color w:val="auto"/>
                <w:kern w:val="21"/>
                <w:sz w:val="21"/>
                <w:szCs w:val="21"/>
              </w:rPr>
            </w:pPr>
            <w:r>
              <w:rPr>
                <w:color w:val="auto"/>
                <w:kern w:val="21"/>
                <w:sz w:val="21"/>
                <w:szCs w:val="21"/>
              </w:rPr>
              <w:t>0</w:t>
            </w:r>
          </w:p>
        </w:tc>
      </w:tr>
      <w:tr w:rsidR="00EE4502">
        <w:trPr>
          <w:trHeight w:val="397"/>
          <w:jc w:val="center"/>
        </w:trPr>
        <w:tc>
          <w:tcPr>
            <w:tcW w:w="213" w:type="pct"/>
            <w:vMerge/>
            <w:vAlign w:val="center"/>
          </w:tcPr>
          <w:p w:rsidR="00EE4502" w:rsidRDefault="00EE4502">
            <w:pPr>
              <w:jc w:val="center"/>
              <w:textAlignment w:val="baseline"/>
              <w:rPr>
                <w:kern w:val="21"/>
                <w:szCs w:val="21"/>
              </w:rPr>
            </w:pPr>
          </w:p>
        </w:tc>
        <w:tc>
          <w:tcPr>
            <w:tcW w:w="569" w:type="pct"/>
            <w:vAlign w:val="center"/>
          </w:tcPr>
          <w:p w:rsidR="00EE4502" w:rsidRDefault="00FD45A3">
            <w:pPr>
              <w:jc w:val="center"/>
              <w:textAlignment w:val="baseline"/>
              <w:rPr>
                <w:kern w:val="21"/>
                <w:szCs w:val="21"/>
              </w:rPr>
            </w:pPr>
            <w:r>
              <w:rPr>
                <w:rFonts w:hint="eastAsia"/>
                <w:kern w:val="21"/>
                <w:szCs w:val="21"/>
              </w:rPr>
              <w:t>废烧碱包装袋</w:t>
            </w:r>
          </w:p>
        </w:tc>
        <w:tc>
          <w:tcPr>
            <w:tcW w:w="974" w:type="pct"/>
            <w:vAlign w:val="center"/>
          </w:tcPr>
          <w:p w:rsidR="00EE4502" w:rsidRDefault="00FD45A3">
            <w:pPr>
              <w:jc w:val="center"/>
              <w:textAlignment w:val="baseline"/>
              <w:rPr>
                <w:kern w:val="21"/>
                <w:szCs w:val="21"/>
              </w:rPr>
            </w:pPr>
            <w:r>
              <w:rPr>
                <w:kern w:val="21"/>
                <w:szCs w:val="21"/>
              </w:rPr>
              <w:t>HW49 900-047-49</w:t>
            </w:r>
          </w:p>
        </w:tc>
        <w:tc>
          <w:tcPr>
            <w:tcW w:w="602" w:type="pct"/>
            <w:vAlign w:val="center"/>
          </w:tcPr>
          <w:p w:rsidR="00EE4502" w:rsidRDefault="00FD45A3">
            <w:pPr>
              <w:jc w:val="center"/>
              <w:textAlignment w:val="baseline"/>
              <w:rPr>
                <w:kern w:val="21"/>
                <w:szCs w:val="21"/>
              </w:rPr>
            </w:pPr>
            <w:r>
              <w:rPr>
                <w:rFonts w:hint="eastAsia"/>
                <w:kern w:val="21"/>
                <w:szCs w:val="21"/>
              </w:rPr>
              <w:t>1.8</w:t>
            </w:r>
            <w:r>
              <w:rPr>
                <w:kern w:val="21"/>
                <w:szCs w:val="21"/>
              </w:rPr>
              <w:t>t</w:t>
            </w:r>
          </w:p>
        </w:tc>
        <w:tc>
          <w:tcPr>
            <w:tcW w:w="2109" w:type="pct"/>
            <w:vMerge/>
            <w:vAlign w:val="center"/>
          </w:tcPr>
          <w:p w:rsidR="00EE4502" w:rsidRDefault="00EE4502">
            <w:pPr>
              <w:pStyle w:val="affffffff5"/>
              <w:adjustRightInd/>
              <w:snapToGrid/>
              <w:spacing w:line="240" w:lineRule="auto"/>
              <w:ind w:leftChars="0" w:left="0" w:rightChars="0" w:right="0"/>
              <w:jc w:val="both"/>
              <w:rPr>
                <w:color w:val="auto"/>
                <w:kern w:val="21"/>
                <w:sz w:val="21"/>
                <w:szCs w:val="21"/>
              </w:rPr>
            </w:pPr>
          </w:p>
        </w:tc>
        <w:tc>
          <w:tcPr>
            <w:tcW w:w="530" w:type="pct"/>
            <w:vAlign w:val="center"/>
          </w:tcPr>
          <w:p w:rsidR="00EE4502" w:rsidRDefault="00FD45A3">
            <w:pPr>
              <w:pStyle w:val="affffffff5"/>
              <w:adjustRightInd/>
              <w:snapToGrid/>
              <w:spacing w:line="240" w:lineRule="auto"/>
              <w:ind w:leftChars="0" w:left="0" w:rightChars="0" w:right="0"/>
              <w:rPr>
                <w:color w:val="auto"/>
                <w:kern w:val="21"/>
                <w:sz w:val="21"/>
                <w:szCs w:val="21"/>
              </w:rPr>
            </w:pPr>
            <w:r>
              <w:rPr>
                <w:rFonts w:hint="eastAsia"/>
                <w:color w:val="auto"/>
                <w:kern w:val="21"/>
                <w:sz w:val="21"/>
                <w:szCs w:val="21"/>
              </w:rPr>
              <w:t>0</w:t>
            </w:r>
          </w:p>
        </w:tc>
      </w:tr>
      <w:tr w:rsidR="00EE4502">
        <w:trPr>
          <w:trHeight w:val="397"/>
          <w:jc w:val="center"/>
        </w:trPr>
        <w:tc>
          <w:tcPr>
            <w:tcW w:w="213" w:type="pct"/>
            <w:vMerge/>
            <w:vAlign w:val="center"/>
          </w:tcPr>
          <w:p w:rsidR="00EE4502" w:rsidRDefault="00EE4502">
            <w:pPr>
              <w:jc w:val="center"/>
              <w:textAlignment w:val="baseline"/>
              <w:rPr>
                <w:kern w:val="21"/>
                <w:szCs w:val="21"/>
              </w:rPr>
            </w:pPr>
          </w:p>
        </w:tc>
        <w:tc>
          <w:tcPr>
            <w:tcW w:w="569" w:type="pct"/>
            <w:vAlign w:val="center"/>
          </w:tcPr>
          <w:p w:rsidR="00EE4502" w:rsidRDefault="00FD45A3">
            <w:pPr>
              <w:jc w:val="center"/>
              <w:textAlignment w:val="baseline"/>
              <w:rPr>
                <w:kern w:val="21"/>
                <w:szCs w:val="21"/>
              </w:rPr>
            </w:pPr>
            <w:r>
              <w:rPr>
                <w:rFonts w:hint="eastAsia"/>
                <w:kern w:val="21"/>
                <w:szCs w:val="21"/>
              </w:rPr>
              <w:t>含油废物</w:t>
            </w:r>
          </w:p>
        </w:tc>
        <w:tc>
          <w:tcPr>
            <w:tcW w:w="974" w:type="pct"/>
            <w:vAlign w:val="center"/>
          </w:tcPr>
          <w:p w:rsidR="00EE4502" w:rsidRDefault="00FD45A3">
            <w:pPr>
              <w:jc w:val="center"/>
              <w:textAlignment w:val="baseline"/>
              <w:rPr>
                <w:kern w:val="21"/>
                <w:szCs w:val="21"/>
              </w:rPr>
            </w:pPr>
            <w:r>
              <w:rPr>
                <w:kern w:val="21"/>
                <w:szCs w:val="21"/>
              </w:rPr>
              <w:t>HW08 071-001-08</w:t>
            </w:r>
          </w:p>
        </w:tc>
        <w:tc>
          <w:tcPr>
            <w:tcW w:w="602" w:type="pct"/>
            <w:vAlign w:val="center"/>
          </w:tcPr>
          <w:p w:rsidR="00EE4502" w:rsidRDefault="00FD45A3">
            <w:pPr>
              <w:jc w:val="center"/>
              <w:textAlignment w:val="baseline"/>
              <w:rPr>
                <w:kern w:val="21"/>
                <w:szCs w:val="21"/>
              </w:rPr>
            </w:pPr>
            <w:r>
              <w:rPr>
                <w:kern w:val="21"/>
                <w:szCs w:val="21"/>
              </w:rPr>
              <w:t>0.36t</w:t>
            </w:r>
          </w:p>
        </w:tc>
        <w:tc>
          <w:tcPr>
            <w:tcW w:w="2109" w:type="pct"/>
            <w:vMerge/>
            <w:vAlign w:val="center"/>
          </w:tcPr>
          <w:p w:rsidR="00EE4502" w:rsidRDefault="00EE4502">
            <w:pPr>
              <w:pStyle w:val="affffffff5"/>
              <w:adjustRightInd/>
              <w:snapToGrid/>
              <w:spacing w:line="240" w:lineRule="auto"/>
              <w:ind w:leftChars="0" w:left="0" w:rightChars="0" w:right="0"/>
              <w:jc w:val="both"/>
              <w:rPr>
                <w:color w:val="auto"/>
                <w:kern w:val="21"/>
                <w:sz w:val="21"/>
                <w:szCs w:val="21"/>
              </w:rPr>
            </w:pPr>
          </w:p>
        </w:tc>
        <w:tc>
          <w:tcPr>
            <w:tcW w:w="530" w:type="pct"/>
            <w:vAlign w:val="center"/>
          </w:tcPr>
          <w:p w:rsidR="00EE4502" w:rsidRDefault="00FD45A3">
            <w:pPr>
              <w:pStyle w:val="affffffff5"/>
              <w:adjustRightInd/>
              <w:snapToGrid/>
              <w:spacing w:line="240" w:lineRule="auto"/>
              <w:ind w:leftChars="0" w:left="0" w:rightChars="0" w:right="0"/>
              <w:rPr>
                <w:color w:val="auto"/>
                <w:kern w:val="21"/>
                <w:sz w:val="21"/>
                <w:szCs w:val="21"/>
              </w:rPr>
            </w:pPr>
            <w:r>
              <w:rPr>
                <w:rFonts w:hint="eastAsia"/>
                <w:color w:val="auto"/>
                <w:kern w:val="21"/>
                <w:sz w:val="21"/>
                <w:szCs w:val="21"/>
              </w:rPr>
              <w:t>0</w:t>
            </w:r>
          </w:p>
        </w:tc>
      </w:tr>
      <w:tr w:rsidR="00EE4502">
        <w:trPr>
          <w:trHeight w:val="397"/>
          <w:jc w:val="center"/>
        </w:trPr>
        <w:tc>
          <w:tcPr>
            <w:tcW w:w="213" w:type="pct"/>
            <w:vMerge/>
            <w:vAlign w:val="center"/>
          </w:tcPr>
          <w:p w:rsidR="00EE4502" w:rsidRDefault="00EE4502">
            <w:pPr>
              <w:jc w:val="center"/>
              <w:textAlignment w:val="baseline"/>
              <w:rPr>
                <w:kern w:val="21"/>
                <w:szCs w:val="21"/>
              </w:rPr>
            </w:pPr>
          </w:p>
        </w:tc>
        <w:tc>
          <w:tcPr>
            <w:tcW w:w="569" w:type="pct"/>
            <w:vAlign w:val="center"/>
          </w:tcPr>
          <w:p w:rsidR="00EE4502" w:rsidRDefault="00FD45A3">
            <w:pPr>
              <w:jc w:val="center"/>
              <w:textAlignment w:val="baseline"/>
              <w:rPr>
                <w:kern w:val="21"/>
                <w:szCs w:val="21"/>
              </w:rPr>
            </w:pPr>
            <w:r>
              <w:rPr>
                <w:rFonts w:hint="eastAsia"/>
                <w:kern w:val="21"/>
                <w:szCs w:val="21"/>
              </w:rPr>
              <w:t>沾油废防渗材料</w:t>
            </w:r>
          </w:p>
        </w:tc>
        <w:tc>
          <w:tcPr>
            <w:tcW w:w="974" w:type="pct"/>
            <w:vAlign w:val="center"/>
          </w:tcPr>
          <w:p w:rsidR="00EE4502" w:rsidRDefault="00FD45A3">
            <w:pPr>
              <w:jc w:val="center"/>
              <w:textAlignment w:val="baseline"/>
              <w:rPr>
                <w:kern w:val="21"/>
                <w:szCs w:val="21"/>
              </w:rPr>
            </w:pPr>
            <w:r>
              <w:rPr>
                <w:kern w:val="21"/>
                <w:szCs w:val="21"/>
              </w:rPr>
              <w:t>HW08 900-249-08</w:t>
            </w:r>
          </w:p>
        </w:tc>
        <w:tc>
          <w:tcPr>
            <w:tcW w:w="602" w:type="pct"/>
            <w:vAlign w:val="center"/>
          </w:tcPr>
          <w:p w:rsidR="00EE4502" w:rsidRDefault="00FD45A3">
            <w:pPr>
              <w:jc w:val="center"/>
              <w:textAlignment w:val="baseline"/>
              <w:rPr>
                <w:kern w:val="21"/>
                <w:szCs w:val="21"/>
              </w:rPr>
            </w:pPr>
            <w:r>
              <w:rPr>
                <w:kern w:val="21"/>
                <w:szCs w:val="21"/>
              </w:rPr>
              <w:t>1.8</w:t>
            </w:r>
          </w:p>
        </w:tc>
        <w:tc>
          <w:tcPr>
            <w:tcW w:w="2109" w:type="pct"/>
            <w:vMerge/>
            <w:vAlign w:val="center"/>
          </w:tcPr>
          <w:p w:rsidR="00EE4502" w:rsidRDefault="00EE4502">
            <w:pPr>
              <w:textAlignment w:val="baseline"/>
              <w:rPr>
                <w:kern w:val="21"/>
                <w:szCs w:val="21"/>
              </w:rPr>
            </w:pPr>
          </w:p>
        </w:tc>
        <w:tc>
          <w:tcPr>
            <w:tcW w:w="530" w:type="pct"/>
            <w:vAlign w:val="center"/>
          </w:tcPr>
          <w:p w:rsidR="00EE4502" w:rsidRDefault="00FD45A3">
            <w:pPr>
              <w:jc w:val="center"/>
              <w:textAlignment w:val="baseline"/>
              <w:rPr>
                <w:kern w:val="21"/>
                <w:szCs w:val="21"/>
              </w:rPr>
            </w:pPr>
            <w:r>
              <w:rPr>
                <w:kern w:val="21"/>
                <w:szCs w:val="21"/>
              </w:rPr>
              <w:t>0</w:t>
            </w:r>
          </w:p>
        </w:tc>
      </w:tr>
      <w:tr w:rsidR="00EE4502">
        <w:trPr>
          <w:trHeight w:val="397"/>
          <w:jc w:val="center"/>
        </w:trPr>
        <w:tc>
          <w:tcPr>
            <w:tcW w:w="213" w:type="pct"/>
            <w:vMerge w:val="restart"/>
            <w:vAlign w:val="center"/>
          </w:tcPr>
          <w:p w:rsidR="00EE4502" w:rsidRDefault="00FD45A3">
            <w:pPr>
              <w:jc w:val="center"/>
              <w:textAlignment w:val="baseline"/>
              <w:rPr>
                <w:kern w:val="21"/>
                <w:szCs w:val="21"/>
              </w:rPr>
            </w:pPr>
            <w:r>
              <w:rPr>
                <w:kern w:val="21"/>
                <w:szCs w:val="21"/>
              </w:rPr>
              <w:t>噪声</w:t>
            </w:r>
          </w:p>
        </w:tc>
        <w:tc>
          <w:tcPr>
            <w:tcW w:w="569" w:type="pct"/>
            <w:vAlign w:val="center"/>
          </w:tcPr>
          <w:p w:rsidR="00EE4502" w:rsidRDefault="00FD45A3">
            <w:pPr>
              <w:jc w:val="center"/>
              <w:textAlignment w:val="baseline"/>
              <w:rPr>
                <w:kern w:val="21"/>
                <w:szCs w:val="21"/>
              </w:rPr>
            </w:pPr>
            <w:r>
              <w:rPr>
                <w:kern w:val="21"/>
                <w:szCs w:val="21"/>
              </w:rPr>
              <w:t>柴油发电机</w:t>
            </w:r>
          </w:p>
        </w:tc>
        <w:tc>
          <w:tcPr>
            <w:tcW w:w="974" w:type="pct"/>
            <w:vAlign w:val="center"/>
          </w:tcPr>
          <w:p w:rsidR="00EE4502" w:rsidRDefault="00FD45A3">
            <w:pPr>
              <w:jc w:val="center"/>
              <w:textAlignment w:val="baseline"/>
              <w:rPr>
                <w:kern w:val="21"/>
                <w:szCs w:val="21"/>
              </w:rPr>
            </w:pPr>
            <w:r>
              <w:rPr>
                <w:kern w:val="21"/>
                <w:szCs w:val="21"/>
              </w:rPr>
              <w:t>/</w:t>
            </w:r>
          </w:p>
        </w:tc>
        <w:tc>
          <w:tcPr>
            <w:tcW w:w="602" w:type="pct"/>
            <w:vAlign w:val="center"/>
          </w:tcPr>
          <w:p w:rsidR="00EE4502" w:rsidRDefault="00FD45A3">
            <w:pPr>
              <w:jc w:val="center"/>
              <w:textAlignment w:val="baseline"/>
              <w:rPr>
                <w:kern w:val="21"/>
                <w:szCs w:val="21"/>
              </w:rPr>
            </w:pPr>
            <w:r>
              <w:rPr>
                <w:kern w:val="21"/>
                <w:szCs w:val="21"/>
              </w:rPr>
              <w:t>95</w:t>
            </w:r>
            <w:r>
              <w:rPr>
                <w:rFonts w:hint="eastAsia"/>
                <w:kern w:val="21"/>
                <w:szCs w:val="21"/>
              </w:rPr>
              <w:t>~</w:t>
            </w:r>
            <w:r>
              <w:rPr>
                <w:kern w:val="21"/>
                <w:szCs w:val="21"/>
              </w:rPr>
              <w:t>105</w:t>
            </w:r>
          </w:p>
        </w:tc>
        <w:tc>
          <w:tcPr>
            <w:tcW w:w="2109" w:type="pct"/>
            <w:vMerge w:val="restart"/>
            <w:vAlign w:val="center"/>
          </w:tcPr>
          <w:p w:rsidR="00EE4502" w:rsidRDefault="00FD45A3">
            <w:pPr>
              <w:jc w:val="center"/>
              <w:textAlignment w:val="baseline"/>
              <w:rPr>
                <w:kern w:val="21"/>
                <w:szCs w:val="21"/>
              </w:rPr>
            </w:pPr>
            <w:r>
              <w:rPr>
                <w:kern w:val="21"/>
                <w:szCs w:val="21"/>
              </w:rPr>
              <w:t>减震措施、声环境</w:t>
            </w:r>
          </w:p>
        </w:tc>
        <w:tc>
          <w:tcPr>
            <w:tcW w:w="530" w:type="pct"/>
            <w:vAlign w:val="center"/>
          </w:tcPr>
          <w:p w:rsidR="00EE4502" w:rsidRDefault="00FD45A3">
            <w:pPr>
              <w:jc w:val="center"/>
              <w:textAlignment w:val="baseline"/>
              <w:rPr>
                <w:kern w:val="21"/>
                <w:szCs w:val="21"/>
              </w:rPr>
            </w:pPr>
            <w:r>
              <w:rPr>
                <w:kern w:val="21"/>
                <w:szCs w:val="21"/>
              </w:rPr>
              <w:t>85</w:t>
            </w:r>
          </w:p>
        </w:tc>
      </w:tr>
      <w:tr w:rsidR="00EE4502">
        <w:trPr>
          <w:trHeight w:val="397"/>
          <w:jc w:val="center"/>
        </w:trPr>
        <w:tc>
          <w:tcPr>
            <w:tcW w:w="213" w:type="pct"/>
            <w:vMerge/>
            <w:vAlign w:val="center"/>
          </w:tcPr>
          <w:p w:rsidR="00EE4502" w:rsidRDefault="00EE4502">
            <w:pPr>
              <w:jc w:val="center"/>
              <w:textAlignment w:val="baseline"/>
              <w:rPr>
                <w:kern w:val="21"/>
                <w:szCs w:val="21"/>
              </w:rPr>
            </w:pPr>
          </w:p>
        </w:tc>
        <w:tc>
          <w:tcPr>
            <w:tcW w:w="569" w:type="pct"/>
            <w:vAlign w:val="center"/>
          </w:tcPr>
          <w:p w:rsidR="00EE4502" w:rsidRDefault="00FD45A3">
            <w:pPr>
              <w:jc w:val="center"/>
              <w:textAlignment w:val="baseline"/>
              <w:rPr>
                <w:kern w:val="21"/>
                <w:szCs w:val="21"/>
              </w:rPr>
            </w:pPr>
            <w:r>
              <w:rPr>
                <w:kern w:val="21"/>
                <w:szCs w:val="21"/>
              </w:rPr>
              <w:t>钻机</w:t>
            </w:r>
          </w:p>
        </w:tc>
        <w:tc>
          <w:tcPr>
            <w:tcW w:w="974" w:type="pct"/>
            <w:vAlign w:val="center"/>
          </w:tcPr>
          <w:p w:rsidR="00EE4502" w:rsidRDefault="00FD45A3">
            <w:pPr>
              <w:jc w:val="center"/>
              <w:textAlignment w:val="baseline"/>
              <w:rPr>
                <w:kern w:val="21"/>
                <w:szCs w:val="21"/>
              </w:rPr>
            </w:pPr>
            <w:r>
              <w:rPr>
                <w:kern w:val="21"/>
                <w:szCs w:val="21"/>
              </w:rPr>
              <w:t>/</w:t>
            </w:r>
          </w:p>
        </w:tc>
        <w:tc>
          <w:tcPr>
            <w:tcW w:w="602" w:type="pct"/>
            <w:vAlign w:val="center"/>
          </w:tcPr>
          <w:p w:rsidR="00EE4502" w:rsidRDefault="00FD45A3">
            <w:pPr>
              <w:jc w:val="center"/>
              <w:textAlignment w:val="baseline"/>
              <w:rPr>
                <w:kern w:val="21"/>
                <w:szCs w:val="21"/>
              </w:rPr>
            </w:pPr>
            <w:r>
              <w:rPr>
                <w:kern w:val="21"/>
                <w:szCs w:val="21"/>
              </w:rPr>
              <w:t>98</w:t>
            </w:r>
          </w:p>
        </w:tc>
        <w:tc>
          <w:tcPr>
            <w:tcW w:w="2109" w:type="pct"/>
            <w:vMerge/>
            <w:vAlign w:val="center"/>
          </w:tcPr>
          <w:p w:rsidR="00EE4502" w:rsidRDefault="00EE4502">
            <w:pPr>
              <w:jc w:val="center"/>
              <w:textAlignment w:val="baseline"/>
              <w:rPr>
                <w:kern w:val="21"/>
                <w:szCs w:val="21"/>
              </w:rPr>
            </w:pPr>
          </w:p>
        </w:tc>
        <w:tc>
          <w:tcPr>
            <w:tcW w:w="530" w:type="pct"/>
            <w:vAlign w:val="center"/>
          </w:tcPr>
          <w:p w:rsidR="00EE4502" w:rsidRDefault="00FD45A3">
            <w:pPr>
              <w:jc w:val="center"/>
              <w:textAlignment w:val="baseline"/>
              <w:rPr>
                <w:kern w:val="21"/>
                <w:szCs w:val="21"/>
              </w:rPr>
            </w:pPr>
            <w:r>
              <w:rPr>
                <w:kern w:val="21"/>
                <w:szCs w:val="21"/>
              </w:rPr>
              <w:t>83</w:t>
            </w:r>
          </w:p>
        </w:tc>
      </w:tr>
      <w:tr w:rsidR="00EE4502">
        <w:trPr>
          <w:trHeight w:val="397"/>
          <w:jc w:val="center"/>
        </w:trPr>
        <w:tc>
          <w:tcPr>
            <w:tcW w:w="213" w:type="pct"/>
            <w:vMerge/>
            <w:vAlign w:val="center"/>
          </w:tcPr>
          <w:p w:rsidR="00EE4502" w:rsidRDefault="00EE4502">
            <w:pPr>
              <w:jc w:val="center"/>
              <w:textAlignment w:val="baseline"/>
              <w:rPr>
                <w:kern w:val="21"/>
                <w:szCs w:val="21"/>
              </w:rPr>
            </w:pPr>
          </w:p>
        </w:tc>
        <w:tc>
          <w:tcPr>
            <w:tcW w:w="569" w:type="pct"/>
            <w:vAlign w:val="center"/>
          </w:tcPr>
          <w:p w:rsidR="00EE4502" w:rsidRDefault="00FD45A3">
            <w:pPr>
              <w:jc w:val="center"/>
              <w:textAlignment w:val="baseline"/>
              <w:rPr>
                <w:kern w:val="21"/>
                <w:szCs w:val="21"/>
              </w:rPr>
            </w:pPr>
            <w:r>
              <w:rPr>
                <w:kern w:val="21"/>
                <w:szCs w:val="21"/>
              </w:rPr>
              <w:t>泥浆泵</w:t>
            </w:r>
          </w:p>
        </w:tc>
        <w:tc>
          <w:tcPr>
            <w:tcW w:w="974" w:type="pct"/>
            <w:vAlign w:val="center"/>
          </w:tcPr>
          <w:p w:rsidR="00EE4502" w:rsidRDefault="00FD45A3">
            <w:pPr>
              <w:jc w:val="center"/>
              <w:textAlignment w:val="baseline"/>
              <w:rPr>
                <w:kern w:val="21"/>
                <w:szCs w:val="21"/>
              </w:rPr>
            </w:pPr>
            <w:r>
              <w:rPr>
                <w:kern w:val="21"/>
                <w:szCs w:val="21"/>
              </w:rPr>
              <w:t>/</w:t>
            </w:r>
          </w:p>
        </w:tc>
        <w:tc>
          <w:tcPr>
            <w:tcW w:w="602" w:type="pct"/>
            <w:vAlign w:val="center"/>
          </w:tcPr>
          <w:p w:rsidR="00EE4502" w:rsidRDefault="00FD45A3">
            <w:pPr>
              <w:jc w:val="center"/>
              <w:textAlignment w:val="baseline"/>
              <w:rPr>
                <w:kern w:val="21"/>
                <w:szCs w:val="21"/>
              </w:rPr>
            </w:pPr>
            <w:r>
              <w:rPr>
                <w:kern w:val="21"/>
                <w:szCs w:val="21"/>
              </w:rPr>
              <w:t>90</w:t>
            </w:r>
          </w:p>
        </w:tc>
        <w:tc>
          <w:tcPr>
            <w:tcW w:w="2109" w:type="pct"/>
            <w:vMerge/>
            <w:vAlign w:val="center"/>
          </w:tcPr>
          <w:p w:rsidR="00EE4502" w:rsidRDefault="00EE4502">
            <w:pPr>
              <w:jc w:val="center"/>
              <w:textAlignment w:val="baseline"/>
              <w:rPr>
                <w:kern w:val="21"/>
                <w:szCs w:val="21"/>
              </w:rPr>
            </w:pPr>
          </w:p>
        </w:tc>
        <w:tc>
          <w:tcPr>
            <w:tcW w:w="530" w:type="pct"/>
            <w:vAlign w:val="center"/>
          </w:tcPr>
          <w:p w:rsidR="00EE4502" w:rsidRDefault="00FD45A3">
            <w:pPr>
              <w:jc w:val="center"/>
              <w:textAlignment w:val="baseline"/>
              <w:rPr>
                <w:kern w:val="21"/>
                <w:szCs w:val="21"/>
              </w:rPr>
            </w:pPr>
            <w:r>
              <w:rPr>
                <w:kern w:val="21"/>
                <w:szCs w:val="21"/>
              </w:rPr>
              <w:t>75</w:t>
            </w:r>
          </w:p>
        </w:tc>
      </w:tr>
      <w:tr w:rsidR="00EE4502">
        <w:trPr>
          <w:trHeight w:val="397"/>
          <w:jc w:val="center"/>
        </w:trPr>
        <w:tc>
          <w:tcPr>
            <w:tcW w:w="213" w:type="pct"/>
            <w:vMerge/>
            <w:vAlign w:val="center"/>
          </w:tcPr>
          <w:p w:rsidR="00EE4502" w:rsidRDefault="00EE4502">
            <w:pPr>
              <w:jc w:val="center"/>
              <w:textAlignment w:val="baseline"/>
              <w:rPr>
                <w:kern w:val="21"/>
                <w:szCs w:val="21"/>
              </w:rPr>
            </w:pPr>
          </w:p>
        </w:tc>
        <w:tc>
          <w:tcPr>
            <w:tcW w:w="569" w:type="pct"/>
            <w:vAlign w:val="center"/>
          </w:tcPr>
          <w:p w:rsidR="00EE4502" w:rsidRDefault="00FD45A3">
            <w:pPr>
              <w:jc w:val="center"/>
              <w:textAlignment w:val="baseline"/>
              <w:rPr>
                <w:kern w:val="21"/>
                <w:szCs w:val="21"/>
              </w:rPr>
            </w:pPr>
            <w:r>
              <w:rPr>
                <w:kern w:val="21"/>
                <w:szCs w:val="21"/>
              </w:rPr>
              <w:t>构筑物施工机械</w:t>
            </w:r>
          </w:p>
        </w:tc>
        <w:tc>
          <w:tcPr>
            <w:tcW w:w="974" w:type="pct"/>
            <w:vAlign w:val="center"/>
          </w:tcPr>
          <w:p w:rsidR="00EE4502" w:rsidRDefault="00FD45A3">
            <w:pPr>
              <w:jc w:val="center"/>
              <w:textAlignment w:val="baseline"/>
              <w:rPr>
                <w:kern w:val="21"/>
                <w:szCs w:val="21"/>
              </w:rPr>
            </w:pPr>
            <w:r>
              <w:rPr>
                <w:kern w:val="21"/>
                <w:szCs w:val="21"/>
              </w:rPr>
              <w:t>/</w:t>
            </w:r>
          </w:p>
        </w:tc>
        <w:tc>
          <w:tcPr>
            <w:tcW w:w="602" w:type="pct"/>
            <w:vAlign w:val="center"/>
          </w:tcPr>
          <w:p w:rsidR="00EE4502" w:rsidRDefault="00FD45A3">
            <w:pPr>
              <w:jc w:val="center"/>
              <w:textAlignment w:val="baseline"/>
              <w:rPr>
                <w:kern w:val="21"/>
                <w:szCs w:val="21"/>
              </w:rPr>
            </w:pPr>
            <w:r>
              <w:rPr>
                <w:kern w:val="21"/>
                <w:szCs w:val="21"/>
              </w:rPr>
              <w:t>80-100</w:t>
            </w:r>
          </w:p>
        </w:tc>
        <w:tc>
          <w:tcPr>
            <w:tcW w:w="2109" w:type="pct"/>
            <w:vAlign w:val="center"/>
          </w:tcPr>
          <w:p w:rsidR="00EE4502" w:rsidRDefault="00FD45A3">
            <w:pPr>
              <w:jc w:val="center"/>
              <w:textAlignment w:val="baseline"/>
              <w:rPr>
                <w:kern w:val="21"/>
                <w:szCs w:val="21"/>
              </w:rPr>
            </w:pPr>
            <w:r>
              <w:rPr>
                <w:kern w:val="21"/>
                <w:szCs w:val="21"/>
              </w:rPr>
              <w:t>减震措施、声环境</w:t>
            </w:r>
          </w:p>
        </w:tc>
        <w:tc>
          <w:tcPr>
            <w:tcW w:w="530" w:type="pct"/>
            <w:vAlign w:val="center"/>
          </w:tcPr>
          <w:p w:rsidR="00EE4502" w:rsidRDefault="00FD45A3">
            <w:pPr>
              <w:jc w:val="center"/>
              <w:textAlignment w:val="baseline"/>
              <w:rPr>
                <w:kern w:val="21"/>
                <w:szCs w:val="21"/>
              </w:rPr>
            </w:pPr>
            <w:r>
              <w:rPr>
                <w:kern w:val="21"/>
                <w:szCs w:val="21"/>
              </w:rPr>
              <w:t>70</w:t>
            </w:r>
          </w:p>
        </w:tc>
      </w:tr>
    </w:tbl>
    <w:p w:rsidR="00EE4502" w:rsidRDefault="00EE4502">
      <w:pPr>
        <w:jc w:val="center"/>
        <w:rPr>
          <w:sz w:val="18"/>
          <w:szCs w:val="18"/>
        </w:rPr>
      </w:pPr>
    </w:p>
    <w:p w:rsidR="00EE4502" w:rsidRDefault="00FD45A3">
      <w:pPr>
        <w:pStyle w:val="33"/>
        <w:numPr>
          <w:ilvl w:val="2"/>
          <w:numId w:val="30"/>
        </w:numPr>
        <w:spacing w:line="360" w:lineRule="auto"/>
        <w:ind w:left="0" w:firstLine="0"/>
        <w:rPr>
          <w:spacing w:val="0"/>
          <w:sz w:val="24"/>
          <w:szCs w:val="24"/>
        </w:rPr>
      </w:pPr>
      <w:r>
        <w:rPr>
          <w:spacing w:val="0"/>
          <w:sz w:val="24"/>
          <w:szCs w:val="24"/>
        </w:rPr>
        <w:t>运营期主要污染源源强核算</w:t>
      </w:r>
    </w:p>
    <w:p w:rsidR="00EE4502" w:rsidRDefault="00FD45A3">
      <w:pPr>
        <w:pStyle w:val="41"/>
        <w:numPr>
          <w:ilvl w:val="3"/>
          <w:numId w:val="30"/>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bCs w:val="0"/>
          <w:sz w:val="24"/>
          <w:szCs w:val="24"/>
        </w:rPr>
        <w:t>大气污染物源强核算</w:t>
      </w:r>
    </w:p>
    <w:p w:rsidR="00EE4502" w:rsidRDefault="00FD45A3">
      <w:pPr>
        <w:spacing w:line="360" w:lineRule="auto"/>
        <w:ind w:firstLineChars="200" w:firstLine="480"/>
        <w:rPr>
          <w:sz w:val="24"/>
        </w:rPr>
      </w:pPr>
      <w:r>
        <w:rPr>
          <w:rFonts w:hint="eastAsia"/>
          <w:sz w:val="24"/>
        </w:rPr>
        <w:t>本工程运营期废气主要为油井开采过程中排放的无组织挥发的烃类。</w:t>
      </w:r>
    </w:p>
    <w:p w:rsidR="00EE4502" w:rsidRDefault="00FD45A3">
      <w:pPr>
        <w:spacing w:line="360" w:lineRule="auto"/>
        <w:ind w:firstLineChars="200" w:firstLine="480"/>
        <w:rPr>
          <w:sz w:val="24"/>
        </w:rPr>
      </w:pPr>
      <w:r>
        <w:rPr>
          <w:rFonts w:hint="eastAsia"/>
          <w:sz w:val="24"/>
        </w:rPr>
        <w:t>在原油集输环节产生的挥发性有机物（</w:t>
      </w:r>
      <w:r>
        <w:rPr>
          <w:rFonts w:hint="eastAsia"/>
          <w:sz w:val="24"/>
        </w:rPr>
        <w:t>VOCs</w:t>
      </w:r>
      <w:r>
        <w:rPr>
          <w:rFonts w:hint="eastAsia"/>
          <w:sz w:val="24"/>
        </w:rPr>
        <w:t>）主要包括非甲烷总烃（烷烃、烯烃、芳香烃、炔烃等）、含氧有机化合物（醛、酮、醇、醚、酯、酚等）、卤代烃，含氮有机化合物，含硫有机化合物等，对本工程而言，</w:t>
      </w:r>
      <w:r>
        <w:rPr>
          <w:rFonts w:hint="eastAsia"/>
          <w:sz w:val="24"/>
        </w:rPr>
        <w:t>VOCs</w:t>
      </w:r>
      <w:r>
        <w:rPr>
          <w:rFonts w:hint="eastAsia"/>
          <w:sz w:val="24"/>
        </w:rPr>
        <w:t>主要为非甲烷总烃。本工程装置均采用国内甚至国际先进的设备和材料，充分保证管线、接头及阀门的密封性，且项目采用密闭集输工艺，井口密封并设紧急截断阀，可有效减少烃类气体的挥发。</w:t>
      </w:r>
    </w:p>
    <w:p w:rsidR="00EE4502" w:rsidRDefault="00FD45A3">
      <w:pPr>
        <w:spacing w:line="360" w:lineRule="auto"/>
        <w:ind w:firstLineChars="200" w:firstLine="480"/>
        <w:rPr>
          <w:sz w:val="24"/>
        </w:rPr>
      </w:pPr>
      <w:r>
        <w:rPr>
          <w:rFonts w:hint="eastAsia"/>
          <w:sz w:val="24"/>
        </w:rPr>
        <w:t>本工程运营过程中井场无组织废气主要污染物为从阀门等部分逸散无组织非甲烷总烃，参照《污染源源强核算技术指南</w:t>
      </w:r>
      <w:r>
        <w:rPr>
          <w:rFonts w:hint="eastAsia"/>
          <w:sz w:val="24"/>
        </w:rPr>
        <w:t xml:space="preserve"> </w:t>
      </w:r>
      <w:r>
        <w:rPr>
          <w:rFonts w:hint="eastAsia"/>
          <w:sz w:val="24"/>
        </w:rPr>
        <w:t>石油炼制工业》（</w:t>
      </w:r>
      <w:r>
        <w:rPr>
          <w:rFonts w:hint="eastAsia"/>
          <w:sz w:val="24"/>
        </w:rPr>
        <w:t>HJ982-2</w:t>
      </w:r>
      <w:r>
        <w:rPr>
          <w:rFonts w:hint="eastAsia"/>
          <w:sz w:val="24"/>
        </w:rPr>
        <w:t>018</w:t>
      </w:r>
      <w:r>
        <w:rPr>
          <w:rFonts w:hint="eastAsia"/>
          <w:sz w:val="24"/>
        </w:rPr>
        <w:t>）对本工程无组织废气进行核算。挥发性有机物流经的设备与管线组件密封点泄漏的挥发性有机物量按以下公式计算。</w:t>
      </w:r>
    </w:p>
    <w:p w:rsidR="00EE4502" w:rsidRDefault="00FD45A3">
      <w:pPr>
        <w:spacing w:line="360" w:lineRule="auto"/>
        <w:jc w:val="center"/>
        <w:rPr>
          <w:sz w:val="24"/>
        </w:rPr>
      </w:pPr>
      <w:r>
        <w:rPr>
          <w:noProof/>
        </w:rPr>
        <w:drawing>
          <wp:inline distT="0" distB="0" distL="0" distR="0">
            <wp:extent cx="2047875" cy="382905"/>
            <wp:effectExtent l="0" t="0" r="9525" b="17145"/>
            <wp:docPr id="65"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0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047875" cy="382905"/>
                    </a:xfrm>
                    <a:prstGeom prst="rect">
                      <a:avLst/>
                    </a:prstGeom>
                    <a:noFill/>
                    <a:ln>
                      <a:noFill/>
                    </a:ln>
                  </pic:spPr>
                </pic:pic>
              </a:graphicData>
            </a:graphic>
          </wp:inline>
        </w:drawing>
      </w:r>
    </w:p>
    <w:p w:rsidR="00EE4502" w:rsidRDefault="00FD45A3">
      <w:pPr>
        <w:spacing w:line="360" w:lineRule="auto"/>
        <w:ind w:firstLineChars="200" w:firstLine="480"/>
        <w:rPr>
          <w:szCs w:val="21"/>
        </w:rPr>
      </w:pPr>
      <w:r>
        <w:rPr>
          <w:rFonts w:hint="eastAsia"/>
          <w:sz w:val="24"/>
        </w:rPr>
        <w:t>式中：</w:t>
      </w:r>
      <w:r>
        <w:rPr>
          <w:rFonts w:hint="eastAsia"/>
          <w:i/>
          <w:iCs/>
          <w:szCs w:val="21"/>
        </w:rPr>
        <w:t>D</w:t>
      </w:r>
      <w:r>
        <w:rPr>
          <w:rFonts w:hint="eastAsia"/>
          <w:szCs w:val="21"/>
          <w:vertAlign w:val="subscript"/>
        </w:rPr>
        <w:t>设备</w:t>
      </w:r>
      <w:r>
        <w:rPr>
          <w:rFonts w:hint="eastAsia"/>
          <w:szCs w:val="21"/>
        </w:rPr>
        <w:t>——核算时段内设备与管线组件密封点泄漏的挥发性有机物的量，</w:t>
      </w:r>
      <w:r>
        <w:rPr>
          <w:rFonts w:hint="eastAsia"/>
          <w:szCs w:val="21"/>
        </w:rPr>
        <w:t>kg</w:t>
      </w:r>
      <w:r>
        <w:rPr>
          <w:rFonts w:hint="eastAsia"/>
          <w:szCs w:val="21"/>
        </w:rPr>
        <w:t>；</w:t>
      </w:r>
    </w:p>
    <w:p w:rsidR="00EE4502" w:rsidRDefault="00FD45A3">
      <w:pPr>
        <w:spacing w:line="360" w:lineRule="auto"/>
        <w:ind w:firstLineChars="600" w:firstLine="1260"/>
        <w:rPr>
          <w:szCs w:val="21"/>
        </w:rPr>
      </w:pPr>
      <w:r>
        <w:rPr>
          <w:rFonts w:hint="eastAsia"/>
          <w:i/>
          <w:iCs/>
          <w:szCs w:val="21"/>
        </w:rPr>
        <w:t>a</w:t>
      </w:r>
      <w:r>
        <w:rPr>
          <w:rFonts w:hint="eastAsia"/>
          <w:szCs w:val="21"/>
        </w:rPr>
        <w:t>——设备与管线组件密封点的泄漏比例</w:t>
      </w:r>
      <w:r>
        <w:rPr>
          <w:rFonts w:hint="eastAsia"/>
          <w:szCs w:val="21"/>
        </w:rPr>
        <w:t>（本次取值</w:t>
      </w:r>
      <w:r>
        <w:rPr>
          <w:rFonts w:hint="eastAsia"/>
          <w:szCs w:val="21"/>
        </w:rPr>
        <w:t>0.003</w:t>
      </w:r>
      <w:r>
        <w:rPr>
          <w:rFonts w:hint="eastAsia"/>
          <w:szCs w:val="21"/>
        </w:rPr>
        <w:t>）</w:t>
      </w:r>
      <w:r>
        <w:rPr>
          <w:rFonts w:hint="eastAsia"/>
          <w:szCs w:val="21"/>
        </w:rPr>
        <w:t>；</w:t>
      </w:r>
    </w:p>
    <w:p w:rsidR="00EE4502" w:rsidRDefault="00FD45A3">
      <w:pPr>
        <w:spacing w:line="360" w:lineRule="auto"/>
        <w:ind w:firstLineChars="600" w:firstLine="1260"/>
        <w:rPr>
          <w:szCs w:val="21"/>
        </w:rPr>
      </w:pPr>
      <w:r>
        <w:rPr>
          <w:rFonts w:hint="eastAsia"/>
          <w:i/>
          <w:iCs/>
          <w:szCs w:val="21"/>
        </w:rPr>
        <w:t>n</w:t>
      </w:r>
      <w:r>
        <w:rPr>
          <w:rFonts w:hint="eastAsia"/>
          <w:szCs w:val="21"/>
        </w:rPr>
        <w:t>——挥发性有机物流经的设备与管线组件密封点数；</w:t>
      </w:r>
    </w:p>
    <w:p w:rsidR="00EE4502" w:rsidRDefault="00FD45A3">
      <w:pPr>
        <w:spacing w:line="360" w:lineRule="auto"/>
        <w:ind w:firstLineChars="600" w:firstLine="1260"/>
        <w:rPr>
          <w:szCs w:val="21"/>
        </w:rPr>
      </w:pPr>
      <w:r>
        <w:rPr>
          <w:rFonts w:hint="eastAsia"/>
          <w:i/>
          <w:iCs/>
          <w:szCs w:val="21"/>
        </w:rPr>
        <w:t>e</w:t>
      </w:r>
      <w:r>
        <w:rPr>
          <w:rFonts w:hint="eastAsia"/>
          <w:i/>
          <w:iCs/>
          <w:szCs w:val="21"/>
          <w:vertAlign w:val="subscript"/>
        </w:rPr>
        <w:t>roc.i</w:t>
      </w:r>
      <w:r>
        <w:rPr>
          <w:rFonts w:hint="eastAsia"/>
          <w:szCs w:val="21"/>
        </w:rPr>
        <w:t>——密封点</w:t>
      </w:r>
      <w:r>
        <w:rPr>
          <w:rFonts w:hint="eastAsia"/>
          <w:szCs w:val="21"/>
        </w:rPr>
        <w:t>i</w:t>
      </w:r>
      <w:r>
        <w:rPr>
          <w:rFonts w:hint="eastAsia"/>
          <w:szCs w:val="21"/>
        </w:rPr>
        <w:t>的总有机碳（</w:t>
      </w:r>
      <w:r>
        <w:rPr>
          <w:rFonts w:hint="eastAsia"/>
          <w:szCs w:val="21"/>
        </w:rPr>
        <w:t>TOC</w:t>
      </w:r>
      <w:r>
        <w:rPr>
          <w:rFonts w:hint="eastAsia"/>
          <w:szCs w:val="21"/>
        </w:rPr>
        <w:t>）排放速率，</w:t>
      </w:r>
      <w:r>
        <w:rPr>
          <w:rFonts w:hint="eastAsia"/>
          <w:szCs w:val="21"/>
        </w:rPr>
        <w:t>kg/h</w:t>
      </w:r>
      <w:r>
        <w:rPr>
          <w:rFonts w:hint="eastAsia"/>
          <w:szCs w:val="21"/>
        </w:rPr>
        <w:t>，取值参见</w:t>
      </w:r>
      <w:r>
        <w:rPr>
          <w:rFonts w:hint="eastAsia"/>
          <w:szCs w:val="21"/>
        </w:rPr>
        <w:t>下</w:t>
      </w:r>
      <w:r>
        <w:rPr>
          <w:rFonts w:hint="eastAsia"/>
          <w:szCs w:val="21"/>
        </w:rPr>
        <w:t>表；</w:t>
      </w:r>
    </w:p>
    <w:p w:rsidR="00EE4502" w:rsidRDefault="00FD45A3">
      <w:pPr>
        <w:spacing w:line="360" w:lineRule="auto"/>
        <w:ind w:firstLineChars="600" w:firstLine="1260"/>
        <w:rPr>
          <w:szCs w:val="21"/>
        </w:rPr>
      </w:pPr>
      <w:r>
        <w:rPr>
          <w:rFonts w:hint="eastAsia"/>
          <w:i/>
          <w:iCs/>
          <w:szCs w:val="21"/>
        </w:rPr>
        <w:lastRenderedPageBreak/>
        <w:t>WF</w:t>
      </w:r>
      <w:r>
        <w:rPr>
          <w:rFonts w:hint="eastAsia"/>
          <w:i/>
          <w:iCs/>
          <w:szCs w:val="21"/>
          <w:vertAlign w:val="subscript"/>
        </w:rPr>
        <w:t>vocs.i</w:t>
      </w:r>
      <w:r>
        <w:rPr>
          <w:rFonts w:hint="eastAsia"/>
          <w:szCs w:val="21"/>
        </w:rPr>
        <w:t>——流经密封点</w:t>
      </w:r>
      <w:r>
        <w:rPr>
          <w:rFonts w:hint="eastAsia"/>
          <w:i/>
          <w:iCs/>
          <w:szCs w:val="21"/>
        </w:rPr>
        <w:t>i</w:t>
      </w:r>
      <w:r>
        <w:rPr>
          <w:rFonts w:hint="eastAsia"/>
          <w:szCs w:val="21"/>
        </w:rPr>
        <w:t>的物料中挥发性有机物的设计平均质量分数，</w:t>
      </w:r>
      <w:r>
        <w:rPr>
          <w:rFonts w:hint="eastAsia"/>
          <w:szCs w:val="21"/>
        </w:rPr>
        <w:t>%</w:t>
      </w:r>
      <w:r>
        <w:rPr>
          <w:rFonts w:hint="eastAsia"/>
          <w:szCs w:val="21"/>
        </w:rPr>
        <w:t>；</w:t>
      </w:r>
    </w:p>
    <w:p w:rsidR="00EE4502" w:rsidRDefault="00FD45A3">
      <w:pPr>
        <w:spacing w:line="360" w:lineRule="auto"/>
        <w:ind w:firstLineChars="600" w:firstLine="1260"/>
        <w:rPr>
          <w:szCs w:val="21"/>
        </w:rPr>
      </w:pPr>
      <w:r>
        <w:rPr>
          <w:rFonts w:hint="eastAsia"/>
          <w:i/>
          <w:iCs/>
          <w:szCs w:val="21"/>
        </w:rPr>
        <w:t>WF</w:t>
      </w:r>
      <w:r>
        <w:rPr>
          <w:rFonts w:hint="eastAsia"/>
          <w:i/>
          <w:iCs/>
          <w:szCs w:val="21"/>
          <w:vertAlign w:val="subscript"/>
        </w:rPr>
        <w:t>Toc.i</w:t>
      </w:r>
      <w:r>
        <w:rPr>
          <w:rFonts w:hint="eastAsia"/>
          <w:szCs w:val="21"/>
        </w:rPr>
        <w:t>——流经密封点</w:t>
      </w:r>
      <w:r>
        <w:rPr>
          <w:rFonts w:hint="eastAsia"/>
          <w:i/>
          <w:iCs/>
          <w:szCs w:val="21"/>
        </w:rPr>
        <w:t>i</w:t>
      </w:r>
      <w:r>
        <w:rPr>
          <w:rFonts w:hint="eastAsia"/>
          <w:szCs w:val="21"/>
        </w:rPr>
        <w:t>的物料中总有机碳（</w:t>
      </w:r>
      <w:r>
        <w:rPr>
          <w:rFonts w:hint="eastAsia"/>
          <w:szCs w:val="21"/>
        </w:rPr>
        <w:t>TOC</w:t>
      </w:r>
      <w:r>
        <w:rPr>
          <w:rFonts w:hint="eastAsia"/>
          <w:szCs w:val="21"/>
        </w:rPr>
        <w:t>）的设计平均质量分数，</w:t>
      </w:r>
      <w:r>
        <w:rPr>
          <w:rFonts w:hint="eastAsia"/>
          <w:szCs w:val="21"/>
        </w:rPr>
        <w:t>%</w:t>
      </w:r>
      <w:r>
        <w:rPr>
          <w:rFonts w:hint="eastAsia"/>
          <w:szCs w:val="21"/>
        </w:rPr>
        <w:t>；</w:t>
      </w:r>
    </w:p>
    <w:p w:rsidR="00EE4502" w:rsidRDefault="00FD45A3">
      <w:pPr>
        <w:spacing w:line="360" w:lineRule="auto"/>
        <w:ind w:firstLineChars="600" w:firstLine="1260"/>
        <w:rPr>
          <w:szCs w:val="21"/>
        </w:rPr>
      </w:pPr>
      <w:r>
        <w:rPr>
          <w:rFonts w:hint="eastAsia"/>
          <w:i/>
          <w:iCs/>
          <w:szCs w:val="21"/>
        </w:rPr>
        <w:t>t</w:t>
      </w:r>
      <w:r>
        <w:rPr>
          <w:rFonts w:hint="eastAsia"/>
          <w:i/>
          <w:iCs/>
          <w:szCs w:val="21"/>
          <w:vertAlign w:val="subscript"/>
        </w:rPr>
        <w:t>i</w:t>
      </w:r>
      <w:r>
        <w:rPr>
          <w:rFonts w:hint="eastAsia"/>
          <w:szCs w:val="21"/>
        </w:rPr>
        <w:t>——核算时段内密封点</w:t>
      </w:r>
      <w:r>
        <w:rPr>
          <w:rFonts w:hint="eastAsia"/>
          <w:i/>
          <w:iCs/>
          <w:szCs w:val="21"/>
        </w:rPr>
        <w:t>i</w:t>
      </w:r>
      <w:r>
        <w:rPr>
          <w:rFonts w:hint="eastAsia"/>
          <w:szCs w:val="21"/>
        </w:rPr>
        <w:t>的运行时间，</w:t>
      </w:r>
      <w:r>
        <w:rPr>
          <w:rFonts w:hint="eastAsia"/>
          <w:szCs w:val="21"/>
        </w:rPr>
        <w:t>h</w:t>
      </w:r>
      <w:r>
        <w:rPr>
          <w:rFonts w:hint="eastAsia"/>
          <w:szCs w:val="21"/>
        </w:rPr>
        <w:t>；</w:t>
      </w:r>
    </w:p>
    <w:p w:rsidR="00EE4502" w:rsidRDefault="00FD45A3">
      <w:pPr>
        <w:spacing w:line="360" w:lineRule="auto"/>
        <w:jc w:val="center"/>
        <w:rPr>
          <w:rFonts w:eastAsia="黑体"/>
          <w:bCs/>
          <w:lang w:val="zh-CN"/>
        </w:rPr>
      </w:pPr>
      <w:r>
        <w:rPr>
          <w:rFonts w:eastAsia="黑体"/>
          <w:bCs/>
          <w:lang w:val="zh-CN"/>
        </w:rPr>
        <w:t>表</w:t>
      </w:r>
      <w:r>
        <w:rPr>
          <w:rFonts w:eastAsia="黑体" w:hint="eastAsia"/>
          <w:bCs/>
        </w:rPr>
        <w:t>3-4</w:t>
      </w:r>
      <w:r>
        <w:rPr>
          <w:rFonts w:eastAsia="黑体" w:hint="eastAsia"/>
          <w:bCs/>
        </w:rPr>
        <w:t>-</w:t>
      </w:r>
      <w:r>
        <w:rPr>
          <w:rFonts w:eastAsia="黑体"/>
          <w:bCs/>
        </w:rPr>
        <w:t>8</w:t>
      </w:r>
      <w:r>
        <w:rPr>
          <w:rFonts w:eastAsia="黑体"/>
          <w:bCs/>
          <w:lang w:val="zh-CN"/>
        </w:rPr>
        <w:t xml:space="preserve"> </w:t>
      </w:r>
      <w:r>
        <w:rPr>
          <w:rFonts w:eastAsia="黑体" w:hint="eastAsia"/>
          <w:bCs/>
        </w:rPr>
        <w:t xml:space="preserve"> </w:t>
      </w:r>
      <w:r>
        <w:rPr>
          <w:rFonts w:eastAsia="黑体"/>
          <w:bCs/>
          <w:lang w:val="zh-CN"/>
        </w:rPr>
        <w:t xml:space="preserve"> </w:t>
      </w:r>
      <w:r>
        <w:rPr>
          <w:rFonts w:eastAsia="黑体" w:hint="eastAsia"/>
          <w:bCs/>
        </w:rPr>
        <w:t>设备与管线组件</w:t>
      </w:r>
      <w:r>
        <w:rPr>
          <w:rFonts w:eastAsia="黑体" w:hint="eastAsia"/>
          <w:bCs/>
          <w:i/>
          <w:iCs/>
        </w:rPr>
        <w:t>e</w:t>
      </w:r>
      <w:r>
        <w:rPr>
          <w:rFonts w:eastAsia="黑体" w:hint="eastAsia"/>
          <w:bCs/>
          <w:i/>
          <w:iCs/>
          <w:vertAlign w:val="subscript"/>
        </w:rPr>
        <w:t>roc.i</w:t>
      </w:r>
      <w:r>
        <w:rPr>
          <w:rFonts w:eastAsia="黑体" w:hint="eastAsia"/>
          <w:bCs/>
        </w:rPr>
        <w:t>取值参数</w:t>
      </w:r>
      <w:r>
        <w:rPr>
          <w:rFonts w:eastAsia="黑体"/>
          <w:bCs/>
          <w:lang w:val="zh-CN"/>
        </w:rPr>
        <w:t>表</w:t>
      </w:r>
    </w:p>
    <w:tbl>
      <w:tblPr>
        <w:tblW w:w="48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4"/>
        <w:gridCol w:w="3944"/>
        <w:gridCol w:w="3446"/>
      </w:tblGrid>
      <w:tr w:rsidR="00EE4502">
        <w:trPr>
          <w:trHeight w:val="340"/>
          <w:jc w:val="center"/>
        </w:trPr>
        <w:tc>
          <w:tcPr>
            <w:tcW w:w="550" w:type="pct"/>
            <w:vAlign w:val="center"/>
          </w:tcPr>
          <w:p w:rsidR="00EE4502" w:rsidRDefault="00FD45A3">
            <w:pPr>
              <w:jc w:val="center"/>
              <w:rPr>
                <w:szCs w:val="21"/>
              </w:rPr>
            </w:pPr>
            <w:r>
              <w:rPr>
                <w:szCs w:val="21"/>
              </w:rPr>
              <w:t>序号</w:t>
            </w:r>
          </w:p>
        </w:tc>
        <w:tc>
          <w:tcPr>
            <w:tcW w:w="2374" w:type="pct"/>
            <w:vAlign w:val="center"/>
          </w:tcPr>
          <w:p w:rsidR="00EE4502" w:rsidRDefault="00FD45A3">
            <w:pPr>
              <w:jc w:val="center"/>
              <w:rPr>
                <w:szCs w:val="21"/>
              </w:rPr>
            </w:pPr>
            <w:r>
              <w:rPr>
                <w:szCs w:val="21"/>
              </w:rPr>
              <w:t>设备类型</w:t>
            </w:r>
          </w:p>
        </w:tc>
        <w:tc>
          <w:tcPr>
            <w:tcW w:w="2074" w:type="pct"/>
            <w:vAlign w:val="center"/>
          </w:tcPr>
          <w:p w:rsidR="00EE4502" w:rsidRDefault="00FD45A3">
            <w:pPr>
              <w:jc w:val="center"/>
              <w:rPr>
                <w:szCs w:val="21"/>
              </w:rPr>
            </w:pPr>
            <w:r>
              <w:rPr>
                <w:szCs w:val="21"/>
              </w:rPr>
              <w:t>排放系数（</w:t>
            </w:r>
            <w:r>
              <w:rPr>
                <w:szCs w:val="21"/>
              </w:rPr>
              <w:t>kg/h/</w:t>
            </w:r>
            <w:r>
              <w:rPr>
                <w:szCs w:val="21"/>
              </w:rPr>
              <w:t>排放源）</w:t>
            </w:r>
          </w:p>
        </w:tc>
      </w:tr>
      <w:tr w:rsidR="00EE4502">
        <w:trPr>
          <w:trHeight w:val="340"/>
          <w:jc w:val="center"/>
        </w:trPr>
        <w:tc>
          <w:tcPr>
            <w:tcW w:w="550" w:type="pct"/>
            <w:vAlign w:val="center"/>
          </w:tcPr>
          <w:p w:rsidR="00EE4502" w:rsidRDefault="00FD45A3">
            <w:pPr>
              <w:jc w:val="center"/>
              <w:rPr>
                <w:szCs w:val="21"/>
              </w:rPr>
            </w:pPr>
            <w:r>
              <w:rPr>
                <w:szCs w:val="21"/>
              </w:rPr>
              <w:t>1</w:t>
            </w:r>
          </w:p>
        </w:tc>
        <w:tc>
          <w:tcPr>
            <w:tcW w:w="2374" w:type="pct"/>
            <w:vAlign w:val="center"/>
          </w:tcPr>
          <w:p w:rsidR="00EE4502" w:rsidRDefault="00FD45A3">
            <w:pPr>
              <w:jc w:val="center"/>
              <w:rPr>
                <w:szCs w:val="21"/>
              </w:rPr>
            </w:pPr>
            <w:r>
              <w:rPr>
                <w:szCs w:val="21"/>
              </w:rPr>
              <w:t>连接件</w:t>
            </w:r>
          </w:p>
        </w:tc>
        <w:tc>
          <w:tcPr>
            <w:tcW w:w="2074" w:type="pct"/>
            <w:vAlign w:val="center"/>
          </w:tcPr>
          <w:p w:rsidR="00EE4502" w:rsidRDefault="00FD45A3">
            <w:pPr>
              <w:jc w:val="center"/>
              <w:rPr>
                <w:szCs w:val="21"/>
              </w:rPr>
            </w:pPr>
            <w:r>
              <w:rPr>
                <w:szCs w:val="21"/>
              </w:rPr>
              <w:t>0.028</w:t>
            </w:r>
          </w:p>
        </w:tc>
      </w:tr>
      <w:tr w:rsidR="00EE4502">
        <w:trPr>
          <w:trHeight w:val="340"/>
          <w:jc w:val="center"/>
        </w:trPr>
        <w:tc>
          <w:tcPr>
            <w:tcW w:w="550" w:type="pct"/>
            <w:vAlign w:val="center"/>
          </w:tcPr>
          <w:p w:rsidR="00EE4502" w:rsidRDefault="00FD45A3">
            <w:pPr>
              <w:jc w:val="center"/>
              <w:rPr>
                <w:szCs w:val="21"/>
              </w:rPr>
            </w:pPr>
            <w:r>
              <w:rPr>
                <w:szCs w:val="21"/>
              </w:rPr>
              <w:t>2</w:t>
            </w:r>
          </w:p>
        </w:tc>
        <w:tc>
          <w:tcPr>
            <w:tcW w:w="2374" w:type="pct"/>
            <w:vAlign w:val="center"/>
          </w:tcPr>
          <w:p w:rsidR="00EE4502" w:rsidRDefault="00FD45A3">
            <w:pPr>
              <w:jc w:val="center"/>
              <w:rPr>
                <w:szCs w:val="21"/>
              </w:rPr>
            </w:pPr>
            <w:r>
              <w:rPr>
                <w:szCs w:val="21"/>
              </w:rPr>
              <w:t>开口阀或开口管线</w:t>
            </w:r>
          </w:p>
        </w:tc>
        <w:tc>
          <w:tcPr>
            <w:tcW w:w="2074" w:type="pct"/>
            <w:vAlign w:val="center"/>
          </w:tcPr>
          <w:p w:rsidR="00EE4502" w:rsidRDefault="00FD45A3">
            <w:pPr>
              <w:jc w:val="center"/>
              <w:rPr>
                <w:szCs w:val="21"/>
              </w:rPr>
            </w:pPr>
            <w:r>
              <w:rPr>
                <w:szCs w:val="21"/>
              </w:rPr>
              <w:t>0.03</w:t>
            </w:r>
            <w:r>
              <w:rPr>
                <w:rFonts w:hint="eastAsia"/>
                <w:szCs w:val="21"/>
              </w:rPr>
              <w:t>0</w:t>
            </w:r>
          </w:p>
        </w:tc>
      </w:tr>
      <w:tr w:rsidR="00EE4502">
        <w:trPr>
          <w:trHeight w:val="340"/>
          <w:jc w:val="center"/>
        </w:trPr>
        <w:tc>
          <w:tcPr>
            <w:tcW w:w="550" w:type="pct"/>
            <w:vAlign w:val="center"/>
          </w:tcPr>
          <w:p w:rsidR="00EE4502" w:rsidRDefault="00FD45A3">
            <w:pPr>
              <w:jc w:val="center"/>
              <w:rPr>
                <w:szCs w:val="21"/>
              </w:rPr>
            </w:pPr>
            <w:r>
              <w:rPr>
                <w:rFonts w:hint="eastAsia"/>
                <w:szCs w:val="21"/>
              </w:rPr>
              <w:t>3</w:t>
            </w:r>
          </w:p>
        </w:tc>
        <w:tc>
          <w:tcPr>
            <w:tcW w:w="2374" w:type="pct"/>
            <w:vAlign w:val="center"/>
          </w:tcPr>
          <w:p w:rsidR="00EE4502" w:rsidRDefault="00FD45A3">
            <w:pPr>
              <w:jc w:val="center"/>
              <w:rPr>
                <w:szCs w:val="21"/>
              </w:rPr>
            </w:pPr>
            <w:r>
              <w:rPr>
                <w:rFonts w:hint="eastAsia"/>
                <w:szCs w:val="21"/>
              </w:rPr>
              <w:t>阀门</w:t>
            </w:r>
          </w:p>
        </w:tc>
        <w:tc>
          <w:tcPr>
            <w:tcW w:w="2074" w:type="pct"/>
            <w:vAlign w:val="center"/>
          </w:tcPr>
          <w:p w:rsidR="00EE4502" w:rsidRDefault="00FD45A3">
            <w:pPr>
              <w:jc w:val="center"/>
              <w:rPr>
                <w:szCs w:val="21"/>
              </w:rPr>
            </w:pPr>
            <w:r>
              <w:rPr>
                <w:szCs w:val="21"/>
              </w:rPr>
              <w:t>0.</w:t>
            </w:r>
            <w:r>
              <w:rPr>
                <w:rFonts w:hint="eastAsia"/>
                <w:szCs w:val="21"/>
              </w:rPr>
              <w:t>064</w:t>
            </w:r>
          </w:p>
        </w:tc>
      </w:tr>
      <w:tr w:rsidR="00EE4502">
        <w:trPr>
          <w:trHeight w:val="340"/>
          <w:jc w:val="center"/>
        </w:trPr>
        <w:tc>
          <w:tcPr>
            <w:tcW w:w="550" w:type="pct"/>
            <w:vAlign w:val="center"/>
          </w:tcPr>
          <w:p w:rsidR="00EE4502" w:rsidRDefault="00FD45A3">
            <w:pPr>
              <w:jc w:val="center"/>
              <w:rPr>
                <w:szCs w:val="21"/>
              </w:rPr>
            </w:pPr>
            <w:r>
              <w:rPr>
                <w:szCs w:val="21"/>
              </w:rPr>
              <w:t>4</w:t>
            </w:r>
          </w:p>
        </w:tc>
        <w:tc>
          <w:tcPr>
            <w:tcW w:w="2374" w:type="pct"/>
            <w:vAlign w:val="center"/>
          </w:tcPr>
          <w:p w:rsidR="00EE4502" w:rsidRDefault="00FD45A3">
            <w:pPr>
              <w:jc w:val="center"/>
              <w:rPr>
                <w:szCs w:val="21"/>
              </w:rPr>
            </w:pPr>
            <w:r>
              <w:rPr>
                <w:szCs w:val="21"/>
              </w:rPr>
              <w:t>压缩机、搅拌器、泄压设备</w:t>
            </w:r>
          </w:p>
        </w:tc>
        <w:tc>
          <w:tcPr>
            <w:tcW w:w="2074" w:type="pct"/>
            <w:vAlign w:val="center"/>
          </w:tcPr>
          <w:p w:rsidR="00EE4502" w:rsidRDefault="00FD45A3">
            <w:pPr>
              <w:jc w:val="center"/>
              <w:rPr>
                <w:szCs w:val="21"/>
              </w:rPr>
            </w:pPr>
            <w:r>
              <w:rPr>
                <w:szCs w:val="21"/>
              </w:rPr>
              <w:t>0.073</w:t>
            </w:r>
          </w:p>
        </w:tc>
      </w:tr>
      <w:tr w:rsidR="00EE4502">
        <w:trPr>
          <w:trHeight w:val="340"/>
          <w:jc w:val="center"/>
        </w:trPr>
        <w:tc>
          <w:tcPr>
            <w:tcW w:w="550" w:type="pct"/>
            <w:vAlign w:val="center"/>
          </w:tcPr>
          <w:p w:rsidR="00EE4502" w:rsidRDefault="00FD45A3">
            <w:pPr>
              <w:jc w:val="center"/>
              <w:rPr>
                <w:szCs w:val="21"/>
              </w:rPr>
            </w:pPr>
            <w:r>
              <w:rPr>
                <w:szCs w:val="21"/>
              </w:rPr>
              <w:t>5</w:t>
            </w:r>
          </w:p>
        </w:tc>
        <w:tc>
          <w:tcPr>
            <w:tcW w:w="2374" w:type="pct"/>
            <w:vAlign w:val="center"/>
          </w:tcPr>
          <w:p w:rsidR="00EE4502" w:rsidRDefault="00FD45A3">
            <w:pPr>
              <w:jc w:val="center"/>
              <w:rPr>
                <w:szCs w:val="21"/>
              </w:rPr>
            </w:pPr>
            <w:r>
              <w:rPr>
                <w:szCs w:val="21"/>
              </w:rPr>
              <w:t>泵</w:t>
            </w:r>
          </w:p>
        </w:tc>
        <w:tc>
          <w:tcPr>
            <w:tcW w:w="2074" w:type="pct"/>
            <w:vAlign w:val="center"/>
          </w:tcPr>
          <w:p w:rsidR="00EE4502" w:rsidRDefault="00FD45A3">
            <w:pPr>
              <w:jc w:val="center"/>
              <w:rPr>
                <w:szCs w:val="21"/>
              </w:rPr>
            </w:pPr>
            <w:r>
              <w:rPr>
                <w:szCs w:val="21"/>
              </w:rPr>
              <w:t>0.074</w:t>
            </w:r>
          </w:p>
        </w:tc>
      </w:tr>
      <w:tr w:rsidR="00EE4502">
        <w:trPr>
          <w:trHeight w:val="340"/>
          <w:jc w:val="center"/>
        </w:trPr>
        <w:tc>
          <w:tcPr>
            <w:tcW w:w="550" w:type="pct"/>
            <w:vAlign w:val="center"/>
          </w:tcPr>
          <w:p w:rsidR="00EE4502" w:rsidRDefault="00FD45A3">
            <w:pPr>
              <w:jc w:val="center"/>
              <w:rPr>
                <w:szCs w:val="21"/>
              </w:rPr>
            </w:pPr>
            <w:r>
              <w:rPr>
                <w:szCs w:val="21"/>
              </w:rPr>
              <w:t>6</w:t>
            </w:r>
          </w:p>
        </w:tc>
        <w:tc>
          <w:tcPr>
            <w:tcW w:w="2374" w:type="pct"/>
            <w:vAlign w:val="center"/>
          </w:tcPr>
          <w:p w:rsidR="00EE4502" w:rsidRDefault="00FD45A3">
            <w:pPr>
              <w:jc w:val="center"/>
              <w:rPr>
                <w:szCs w:val="21"/>
              </w:rPr>
            </w:pPr>
            <w:r>
              <w:rPr>
                <w:szCs w:val="21"/>
              </w:rPr>
              <w:t>法兰</w:t>
            </w:r>
          </w:p>
        </w:tc>
        <w:tc>
          <w:tcPr>
            <w:tcW w:w="2074" w:type="pct"/>
            <w:vAlign w:val="center"/>
          </w:tcPr>
          <w:p w:rsidR="00EE4502" w:rsidRDefault="00FD45A3">
            <w:pPr>
              <w:jc w:val="center"/>
              <w:rPr>
                <w:szCs w:val="21"/>
              </w:rPr>
            </w:pPr>
            <w:r>
              <w:rPr>
                <w:szCs w:val="21"/>
              </w:rPr>
              <w:t>0.085</w:t>
            </w:r>
          </w:p>
        </w:tc>
      </w:tr>
      <w:tr w:rsidR="00EE4502">
        <w:trPr>
          <w:trHeight w:val="340"/>
          <w:jc w:val="center"/>
        </w:trPr>
        <w:tc>
          <w:tcPr>
            <w:tcW w:w="550" w:type="pct"/>
            <w:vAlign w:val="center"/>
          </w:tcPr>
          <w:p w:rsidR="00EE4502" w:rsidRDefault="00FD45A3">
            <w:pPr>
              <w:jc w:val="center"/>
              <w:rPr>
                <w:szCs w:val="21"/>
              </w:rPr>
            </w:pPr>
            <w:r>
              <w:rPr>
                <w:szCs w:val="21"/>
              </w:rPr>
              <w:t>7</w:t>
            </w:r>
          </w:p>
        </w:tc>
        <w:tc>
          <w:tcPr>
            <w:tcW w:w="2374" w:type="pct"/>
            <w:vAlign w:val="center"/>
          </w:tcPr>
          <w:p w:rsidR="00EE4502" w:rsidRDefault="00FD45A3">
            <w:pPr>
              <w:jc w:val="center"/>
              <w:rPr>
                <w:szCs w:val="21"/>
              </w:rPr>
            </w:pPr>
            <w:r>
              <w:rPr>
                <w:szCs w:val="21"/>
              </w:rPr>
              <w:t>其他</w:t>
            </w:r>
          </w:p>
        </w:tc>
        <w:tc>
          <w:tcPr>
            <w:tcW w:w="2074" w:type="pct"/>
            <w:vAlign w:val="center"/>
          </w:tcPr>
          <w:p w:rsidR="00EE4502" w:rsidRDefault="00FD45A3">
            <w:pPr>
              <w:jc w:val="center"/>
              <w:rPr>
                <w:szCs w:val="21"/>
              </w:rPr>
            </w:pPr>
            <w:r>
              <w:rPr>
                <w:szCs w:val="21"/>
              </w:rPr>
              <w:t>0.073</w:t>
            </w:r>
          </w:p>
        </w:tc>
      </w:tr>
    </w:tbl>
    <w:p w:rsidR="00EE4502" w:rsidRDefault="00EE4502">
      <w:pPr>
        <w:jc w:val="center"/>
        <w:rPr>
          <w:sz w:val="18"/>
          <w:szCs w:val="18"/>
        </w:rPr>
      </w:pPr>
    </w:p>
    <w:p w:rsidR="00EE4502" w:rsidRDefault="00FD45A3">
      <w:pPr>
        <w:spacing w:line="360" w:lineRule="auto"/>
        <w:ind w:firstLineChars="200" w:firstLine="480"/>
        <w:rPr>
          <w:sz w:val="24"/>
        </w:rPr>
      </w:pPr>
      <w:r>
        <w:rPr>
          <w:rFonts w:hint="eastAsia"/>
          <w:sz w:val="24"/>
        </w:rPr>
        <w:t>参照《石化行业</w:t>
      </w:r>
      <w:r>
        <w:rPr>
          <w:rFonts w:hint="eastAsia"/>
          <w:sz w:val="24"/>
        </w:rPr>
        <w:t>VOCs</w:t>
      </w:r>
      <w:r>
        <w:rPr>
          <w:rFonts w:hint="eastAsia"/>
          <w:sz w:val="24"/>
        </w:rPr>
        <w:t>污染源排查工作指南》，若未提供</w:t>
      </w:r>
      <w:r>
        <w:rPr>
          <w:rFonts w:hint="eastAsia"/>
          <w:sz w:val="24"/>
        </w:rPr>
        <w:t>TOC</w:t>
      </w:r>
      <w:r>
        <w:rPr>
          <w:rFonts w:hint="eastAsia"/>
          <w:sz w:val="24"/>
        </w:rPr>
        <w:t>中</w:t>
      </w:r>
      <w:r>
        <w:rPr>
          <w:rFonts w:hint="eastAsia"/>
          <w:sz w:val="24"/>
        </w:rPr>
        <w:t>VOCs</w:t>
      </w:r>
      <w:r>
        <w:rPr>
          <w:rFonts w:hint="eastAsia"/>
          <w:sz w:val="24"/>
        </w:rPr>
        <w:t>的质量分数，则保守取</w:t>
      </w:r>
      <w:r>
        <w:rPr>
          <w:rFonts w:hint="eastAsia"/>
          <w:sz w:val="24"/>
        </w:rPr>
        <w:t>1</w:t>
      </w:r>
      <w:r>
        <w:rPr>
          <w:rFonts w:hint="eastAsia"/>
          <w:sz w:val="24"/>
        </w:rPr>
        <w:t>进行核算，则本工程采出液中</w:t>
      </w:r>
      <w:r>
        <w:rPr>
          <w:rFonts w:hint="eastAsia"/>
          <w:i/>
          <w:iCs/>
          <w:sz w:val="24"/>
        </w:rPr>
        <w:t>WF</w:t>
      </w:r>
      <w:r>
        <w:rPr>
          <w:rFonts w:hint="eastAsia"/>
          <w:i/>
          <w:iCs/>
          <w:sz w:val="24"/>
          <w:vertAlign w:val="subscript"/>
        </w:rPr>
        <w:t>vocs.i</w:t>
      </w:r>
      <w:r>
        <w:rPr>
          <w:rFonts w:hint="eastAsia"/>
          <w:sz w:val="24"/>
        </w:rPr>
        <w:t>和</w:t>
      </w:r>
      <w:r>
        <w:rPr>
          <w:rFonts w:hint="eastAsia"/>
          <w:i/>
          <w:iCs/>
          <w:sz w:val="24"/>
        </w:rPr>
        <w:t>WF</w:t>
      </w:r>
      <w:r>
        <w:rPr>
          <w:rFonts w:hint="eastAsia"/>
          <w:i/>
          <w:iCs/>
          <w:sz w:val="24"/>
          <w:vertAlign w:val="subscript"/>
        </w:rPr>
        <w:t>roc.i</w:t>
      </w:r>
      <w:r>
        <w:rPr>
          <w:rFonts w:hint="eastAsia"/>
          <w:sz w:val="24"/>
        </w:rPr>
        <w:t>比值取</w:t>
      </w:r>
      <w:r>
        <w:rPr>
          <w:rFonts w:hint="eastAsia"/>
          <w:sz w:val="24"/>
        </w:rPr>
        <w:t>1</w:t>
      </w:r>
      <w:r>
        <w:rPr>
          <w:rFonts w:hint="eastAsia"/>
          <w:sz w:val="24"/>
        </w:rPr>
        <w:t>；根据设计单位提供的数据，项目井场阀组涉及阀门、法兰数量及核算结果见表</w:t>
      </w:r>
      <w:r>
        <w:rPr>
          <w:rFonts w:hint="eastAsia"/>
          <w:sz w:val="24"/>
        </w:rPr>
        <w:t>3-4</w:t>
      </w:r>
      <w:r>
        <w:rPr>
          <w:rFonts w:hint="eastAsia"/>
          <w:sz w:val="24"/>
        </w:rPr>
        <w:t>-</w:t>
      </w:r>
      <w:r>
        <w:rPr>
          <w:rFonts w:hint="eastAsia"/>
          <w:sz w:val="24"/>
        </w:rPr>
        <w:t>9</w:t>
      </w:r>
      <w:r>
        <w:rPr>
          <w:rFonts w:hint="eastAsia"/>
          <w:sz w:val="24"/>
        </w:rPr>
        <w:t>。</w:t>
      </w:r>
    </w:p>
    <w:p w:rsidR="00EE4502" w:rsidRDefault="00FD45A3">
      <w:pPr>
        <w:spacing w:line="360" w:lineRule="auto"/>
        <w:ind w:firstLineChars="200" w:firstLine="480"/>
        <w:rPr>
          <w:sz w:val="24"/>
        </w:rPr>
      </w:pPr>
      <w:r>
        <w:rPr>
          <w:rFonts w:hint="eastAsia"/>
          <w:sz w:val="24"/>
        </w:rPr>
        <w:t>本工程为注采一体井，在实际生产过程中，会根据油井的生产需要进行间断性的注气和采油，但注、采周期暂无法确定，本次环评考虑最不利情况，按照年有效工作时间</w:t>
      </w:r>
      <w:r>
        <w:rPr>
          <w:rFonts w:hint="eastAsia"/>
          <w:sz w:val="24"/>
        </w:rPr>
        <w:t>8</w:t>
      </w:r>
      <w:r>
        <w:rPr>
          <w:sz w:val="24"/>
        </w:rPr>
        <w:t>760h</w:t>
      </w:r>
      <w:r>
        <w:rPr>
          <w:rFonts w:hint="eastAsia"/>
          <w:sz w:val="24"/>
        </w:rPr>
        <w:t>（</w:t>
      </w:r>
      <w:r>
        <w:rPr>
          <w:rFonts w:hint="eastAsia"/>
          <w:sz w:val="24"/>
        </w:rPr>
        <w:t>3</w:t>
      </w:r>
      <w:r>
        <w:rPr>
          <w:sz w:val="24"/>
        </w:rPr>
        <w:t>65d</w:t>
      </w:r>
      <w:r>
        <w:rPr>
          <w:rFonts w:hint="eastAsia"/>
          <w:sz w:val="24"/>
        </w:rPr>
        <w:t>）进行计算。</w:t>
      </w:r>
    </w:p>
    <w:p w:rsidR="00EE4502" w:rsidRDefault="00FD45A3">
      <w:pPr>
        <w:spacing w:line="360" w:lineRule="auto"/>
        <w:jc w:val="center"/>
        <w:rPr>
          <w:rFonts w:eastAsia="黑体"/>
          <w:bCs/>
          <w:lang w:val="zh-CN"/>
        </w:rPr>
      </w:pPr>
      <w:r>
        <w:rPr>
          <w:rFonts w:eastAsia="黑体"/>
          <w:bCs/>
          <w:lang w:val="zh-CN"/>
        </w:rPr>
        <w:t>表</w:t>
      </w:r>
      <w:r>
        <w:rPr>
          <w:rFonts w:eastAsia="黑体" w:hint="eastAsia"/>
          <w:bCs/>
        </w:rPr>
        <w:t>3-4</w:t>
      </w:r>
      <w:r>
        <w:rPr>
          <w:rFonts w:eastAsia="黑体" w:hint="eastAsia"/>
          <w:bCs/>
        </w:rPr>
        <w:t>-</w:t>
      </w:r>
      <w:r>
        <w:rPr>
          <w:rFonts w:eastAsia="黑体" w:hint="eastAsia"/>
          <w:bCs/>
        </w:rPr>
        <w:t>9</w:t>
      </w:r>
      <w:r>
        <w:rPr>
          <w:rFonts w:eastAsia="黑体"/>
          <w:bCs/>
        </w:rPr>
        <w:t xml:space="preserve">  </w:t>
      </w:r>
      <w:r>
        <w:rPr>
          <w:rFonts w:eastAsia="黑体" w:hint="eastAsia"/>
          <w:bCs/>
        </w:rPr>
        <w:t>本工程单井无组织废气非甲烷总烃核算一览</w:t>
      </w:r>
      <w:r>
        <w:rPr>
          <w:rFonts w:eastAsia="黑体"/>
          <w:bCs/>
          <w:lang w:val="zh-CN"/>
        </w:rPr>
        <w:t>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4A0" w:firstRow="1" w:lastRow="0" w:firstColumn="1" w:lastColumn="0" w:noHBand="0" w:noVBand="1"/>
      </w:tblPr>
      <w:tblGrid>
        <w:gridCol w:w="492"/>
        <w:gridCol w:w="689"/>
        <w:gridCol w:w="904"/>
        <w:gridCol w:w="1197"/>
        <w:gridCol w:w="1197"/>
        <w:gridCol w:w="1260"/>
        <w:gridCol w:w="1121"/>
        <w:gridCol w:w="1465"/>
      </w:tblGrid>
      <w:tr w:rsidR="00EE4502">
        <w:trPr>
          <w:trHeight w:val="340"/>
          <w:tblHeader/>
          <w:jc w:val="center"/>
        </w:trPr>
        <w:tc>
          <w:tcPr>
            <w:tcW w:w="296" w:type="pct"/>
            <w:vMerge w:val="restart"/>
            <w:tcBorders>
              <w:tl2br w:val="nil"/>
              <w:tr2bl w:val="nil"/>
            </w:tcBorders>
            <w:vAlign w:val="center"/>
          </w:tcPr>
          <w:p w:rsidR="00EE4502" w:rsidRDefault="00FD45A3">
            <w:pPr>
              <w:jc w:val="center"/>
              <w:rPr>
                <w:szCs w:val="21"/>
              </w:rPr>
            </w:pPr>
            <w:r>
              <w:rPr>
                <w:szCs w:val="21"/>
              </w:rPr>
              <w:t>序号</w:t>
            </w:r>
          </w:p>
        </w:tc>
        <w:tc>
          <w:tcPr>
            <w:tcW w:w="956" w:type="pct"/>
            <w:gridSpan w:val="2"/>
            <w:vMerge w:val="restart"/>
            <w:tcBorders>
              <w:tl2br w:val="nil"/>
              <w:tr2bl w:val="nil"/>
            </w:tcBorders>
            <w:vAlign w:val="center"/>
          </w:tcPr>
          <w:p w:rsidR="00EE4502" w:rsidRDefault="00FD45A3">
            <w:pPr>
              <w:jc w:val="center"/>
              <w:rPr>
                <w:szCs w:val="21"/>
              </w:rPr>
            </w:pPr>
            <w:r>
              <w:rPr>
                <w:rFonts w:hint="eastAsia"/>
                <w:szCs w:val="21"/>
              </w:rPr>
              <w:t>设备名称</w:t>
            </w:r>
          </w:p>
        </w:tc>
        <w:tc>
          <w:tcPr>
            <w:tcW w:w="718" w:type="pct"/>
            <w:tcBorders>
              <w:tl2br w:val="nil"/>
              <w:tr2bl w:val="nil"/>
            </w:tcBorders>
            <w:vAlign w:val="center"/>
          </w:tcPr>
          <w:p w:rsidR="00EE4502" w:rsidRDefault="00FD45A3">
            <w:pPr>
              <w:jc w:val="center"/>
              <w:rPr>
                <w:szCs w:val="21"/>
              </w:rPr>
            </w:pPr>
            <w:r>
              <w:rPr>
                <w:rFonts w:hint="eastAsia"/>
                <w:szCs w:val="21"/>
              </w:rPr>
              <w:t>设备数量</w:t>
            </w:r>
          </w:p>
          <w:p w:rsidR="00EE4502" w:rsidRDefault="00FD45A3">
            <w:pPr>
              <w:jc w:val="center"/>
              <w:rPr>
                <w:szCs w:val="21"/>
              </w:rPr>
            </w:pPr>
            <w:r>
              <w:rPr>
                <w:rFonts w:hint="eastAsia"/>
                <w:szCs w:val="21"/>
              </w:rPr>
              <w:t>（个</w:t>
            </w:r>
            <w:r>
              <w:rPr>
                <w:rFonts w:hint="eastAsia"/>
                <w:szCs w:val="21"/>
              </w:rPr>
              <w:t>/</w:t>
            </w:r>
            <w:r>
              <w:rPr>
                <w:rFonts w:hint="eastAsia"/>
                <w:szCs w:val="21"/>
              </w:rPr>
              <w:t>井</w:t>
            </w:r>
            <w:r>
              <w:rPr>
                <w:rFonts w:hint="eastAsia"/>
                <w:szCs w:val="21"/>
              </w:rPr>
              <w:t>）</w:t>
            </w:r>
          </w:p>
        </w:tc>
        <w:tc>
          <w:tcPr>
            <w:tcW w:w="718" w:type="pct"/>
            <w:tcBorders>
              <w:tl2br w:val="nil"/>
              <w:tr2bl w:val="nil"/>
            </w:tcBorders>
            <w:vAlign w:val="center"/>
          </w:tcPr>
          <w:p w:rsidR="00EE4502" w:rsidRDefault="00FD45A3">
            <w:pPr>
              <w:jc w:val="center"/>
              <w:rPr>
                <w:szCs w:val="21"/>
              </w:rPr>
            </w:pPr>
            <w:r>
              <w:rPr>
                <w:rFonts w:hint="eastAsia"/>
                <w:szCs w:val="21"/>
              </w:rPr>
              <w:t>排放系数（</w:t>
            </w:r>
            <w:r>
              <w:rPr>
                <w:rFonts w:hint="eastAsia"/>
                <w:szCs w:val="21"/>
              </w:rPr>
              <w:t>kg/h</w:t>
            </w:r>
            <w:r>
              <w:rPr>
                <w:rFonts w:hint="eastAsia"/>
                <w:szCs w:val="21"/>
              </w:rPr>
              <w:t>）</w:t>
            </w:r>
          </w:p>
        </w:tc>
        <w:tc>
          <w:tcPr>
            <w:tcW w:w="756" w:type="pct"/>
            <w:tcBorders>
              <w:tl2br w:val="nil"/>
              <w:tr2bl w:val="nil"/>
            </w:tcBorders>
            <w:vAlign w:val="center"/>
          </w:tcPr>
          <w:p w:rsidR="00EE4502" w:rsidRDefault="00FD45A3">
            <w:pPr>
              <w:jc w:val="center"/>
              <w:rPr>
                <w:szCs w:val="21"/>
              </w:rPr>
            </w:pPr>
            <w:r>
              <w:rPr>
                <w:rFonts w:hint="eastAsia"/>
                <w:szCs w:val="21"/>
              </w:rPr>
              <w:t>年运行时间（</w:t>
            </w:r>
            <w:r>
              <w:rPr>
                <w:rFonts w:hint="eastAsia"/>
                <w:szCs w:val="21"/>
              </w:rPr>
              <w:t>h</w:t>
            </w:r>
            <w:r>
              <w:rPr>
                <w:rFonts w:hint="eastAsia"/>
                <w:szCs w:val="21"/>
              </w:rPr>
              <w:t>）</w:t>
            </w:r>
          </w:p>
        </w:tc>
        <w:tc>
          <w:tcPr>
            <w:tcW w:w="672" w:type="pct"/>
            <w:tcBorders>
              <w:tl2br w:val="nil"/>
              <w:tr2bl w:val="nil"/>
            </w:tcBorders>
            <w:vAlign w:val="center"/>
          </w:tcPr>
          <w:p w:rsidR="00EE4502" w:rsidRDefault="00FD45A3">
            <w:pPr>
              <w:jc w:val="center"/>
              <w:rPr>
                <w:szCs w:val="21"/>
              </w:rPr>
            </w:pPr>
            <w:r>
              <w:rPr>
                <w:rFonts w:hint="eastAsia"/>
                <w:szCs w:val="21"/>
              </w:rPr>
              <w:t>年排放量（</w:t>
            </w:r>
            <w:r>
              <w:rPr>
                <w:rFonts w:hint="eastAsia"/>
                <w:szCs w:val="21"/>
              </w:rPr>
              <w:t>t</w:t>
            </w:r>
            <w:r>
              <w:rPr>
                <w:rFonts w:hint="eastAsia"/>
                <w:szCs w:val="21"/>
              </w:rPr>
              <w:t>）</w:t>
            </w:r>
          </w:p>
        </w:tc>
        <w:tc>
          <w:tcPr>
            <w:tcW w:w="879" w:type="pct"/>
            <w:tcBorders>
              <w:tl2br w:val="nil"/>
              <w:tr2bl w:val="nil"/>
            </w:tcBorders>
            <w:shd w:val="clear" w:color="auto" w:fill="auto"/>
            <w:vAlign w:val="center"/>
          </w:tcPr>
          <w:p w:rsidR="00EE4502" w:rsidRDefault="00FD45A3">
            <w:pPr>
              <w:jc w:val="center"/>
              <w:rPr>
                <w:szCs w:val="21"/>
              </w:rPr>
            </w:pPr>
            <w:r>
              <w:rPr>
                <w:rFonts w:hint="eastAsia"/>
                <w:szCs w:val="21"/>
              </w:rPr>
              <w:t>排放速率（</w:t>
            </w:r>
            <w:r>
              <w:rPr>
                <w:rFonts w:hint="eastAsia"/>
                <w:szCs w:val="21"/>
              </w:rPr>
              <w:t>kg/h</w:t>
            </w:r>
            <w:r>
              <w:rPr>
                <w:rFonts w:hint="eastAsia"/>
                <w:szCs w:val="21"/>
              </w:rPr>
              <w:t>）</w:t>
            </w:r>
          </w:p>
        </w:tc>
      </w:tr>
      <w:tr w:rsidR="00EE4502">
        <w:trPr>
          <w:trHeight w:val="340"/>
          <w:tblHeader/>
          <w:jc w:val="center"/>
        </w:trPr>
        <w:tc>
          <w:tcPr>
            <w:tcW w:w="296" w:type="pct"/>
            <w:vMerge/>
            <w:tcBorders>
              <w:tl2br w:val="nil"/>
              <w:tr2bl w:val="nil"/>
            </w:tcBorders>
            <w:vAlign w:val="center"/>
          </w:tcPr>
          <w:p w:rsidR="00EE4502" w:rsidRDefault="00EE4502">
            <w:pPr>
              <w:jc w:val="center"/>
              <w:rPr>
                <w:szCs w:val="21"/>
              </w:rPr>
            </w:pPr>
          </w:p>
        </w:tc>
        <w:tc>
          <w:tcPr>
            <w:tcW w:w="956" w:type="pct"/>
            <w:gridSpan w:val="2"/>
            <w:vMerge/>
            <w:tcBorders>
              <w:tl2br w:val="nil"/>
              <w:tr2bl w:val="nil"/>
            </w:tcBorders>
            <w:vAlign w:val="center"/>
          </w:tcPr>
          <w:p w:rsidR="00EE4502" w:rsidRDefault="00EE4502">
            <w:pPr>
              <w:jc w:val="center"/>
              <w:rPr>
                <w:szCs w:val="21"/>
              </w:rPr>
            </w:pPr>
          </w:p>
        </w:tc>
        <w:tc>
          <w:tcPr>
            <w:tcW w:w="718" w:type="pct"/>
            <w:tcBorders>
              <w:tl2br w:val="nil"/>
              <w:tr2bl w:val="nil"/>
            </w:tcBorders>
            <w:vAlign w:val="center"/>
          </w:tcPr>
          <w:p w:rsidR="00EE4502" w:rsidRDefault="00FD45A3">
            <w:pPr>
              <w:jc w:val="center"/>
              <w:rPr>
                <w:szCs w:val="21"/>
              </w:rPr>
            </w:pPr>
            <w:r>
              <w:rPr>
                <w:rFonts w:hint="eastAsia"/>
                <w:i/>
                <w:iCs/>
                <w:szCs w:val="21"/>
              </w:rPr>
              <w:t>n</w:t>
            </w:r>
          </w:p>
        </w:tc>
        <w:tc>
          <w:tcPr>
            <w:tcW w:w="718" w:type="pct"/>
            <w:tcBorders>
              <w:tl2br w:val="nil"/>
              <w:tr2bl w:val="nil"/>
            </w:tcBorders>
            <w:vAlign w:val="center"/>
          </w:tcPr>
          <w:p w:rsidR="00EE4502" w:rsidRDefault="00FD45A3">
            <w:pPr>
              <w:jc w:val="center"/>
              <w:rPr>
                <w:i/>
                <w:iCs/>
                <w:szCs w:val="21"/>
              </w:rPr>
            </w:pPr>
            <w:r>
              <w:rPr>
                <w:rFonts w:hint="eastAsia"/>
                <w:i/>
                <w:iCs/>
                <w:szCs w:val="21"/>
              </w:rPr>
              <w:t>eroc.i</w:t>
            </w:r>
          </w:p>
        </w:tc>
        <w:tc>
          <w:tcPr>
            <w:tcW w:w="756" w:type="pct"/>
            <w:tcBorders>
              <w:tl2br w:val="nil"/>
              <w:tr2bl w:val="nil"/>
            </w:tcBorders>
            <w:vAlign w:val="center"/>
          </w:tcPr>
          <w:p w:rsidR="00EE4502" w:rsidRDefault="00FD45A3">
            <w:pPr>
              <w:jc w:val="center"/>
              <w:rPr>
                <w:szCs w:val="21"/>
              </w:rPr>
            </w:pPr>
            <w:r>
              <w:rPr>
                <w:rFonts w:hint="eastAsia"/>
                <w:i/>
                <w:iCs/>
                <w:szCs w:val="21"/>
              </w:rPr>
              <w:t>t</w:t>
            </w:r>
            <w:r>
              <w:rPr>
                <w:rFonts w:hint="eastAsia"/>
                <w:i/>
                <w:iCs/>
                <w:szCs w:val="21"/>
                <w:vertAlign w:val="subscript"/>
              </w:rPr>
              <w:t>i</w:t>
            </w:r>
          </w:p>
        </w:tc>
        <w:tc>
          <w:tcPr>
            <w:tcW w:w="672" w:type="pct"/>
            <w:tcBorders>
              <w:tl2br w:val="nil"/>
              <w:tr2bl w:val="nil"/>
            </w:tcBorders>
            <w:vAlign w:val="center"/>
          </w:tcPr>
          <w:p w:rsidR="00EE4502" w:rsidRDefault="00FD45A3">
            <w:pPr>
              <w:jc w:val="center"/>
              <w:rPr>
                <w:szCs w:val="21"/>
              </w:rPr>
            </w:pPr>
            <w:r>
              <w:rPr>
                <w:rFonts w:hint="eastAsia"/>
                <w:i/>
                <w:iCs/>
                <w:szCs w:val="21"/>
              </w:rPr>
              <w:t>D</w:t>
            </w:r>
            <w:r>
              <w:rPr>
                <w:rFonts w:hint="eastAsia"/>
                <w:szCs w:val="21"/>
                <w:vertAlign w:val="subscript"/>
              </w:rPr>
              <w:t>设备</w:t>
            </w:r>
          </w:p>
        </w:tc>
        <w:tc>
          <w:tcPr>
            <w:tcW w:w="879" w:type="pct"/>
            <w:tcBorders>
              <w:tl2br w:val="nil"/>
              <w:tr2bl w:val="nil"/>
            </w:tcBorders>
            <w:shd w:val="clear" w:color="auto" w:fill="auto"/>
            <w:vAlign w:val="center"/>
          </w:tcPr>
          <w:p w:rsidR="00EE4502" w:rsidRDefault="00FD45A3">
            <w:pPr>
              <w:jc w:val="center"/>
              <w:rPr>
                <w:szCs w:val="21"/>
              </w:rPr>
            </w:pPr>
            <w:r>
              <w:rPr>
                <w:rFonts w:hint="eastAsia"/>
                <w:szCs w:val="21"/>
              </w:rPr>
              <w:t>/</w:t>
            </w:r>
          </w:p>
        </w:tc>
      </w:tr>
      <w:tr w:rsidR="00EE4502">
        <w:trPr>
          <w:trHeight w:val="340"/>
          <w:jc w:val="center"/>
        </w:trPr>
        <w:tc>
          <w:tcPr>
            <w:tcW w:w="296" w:type="pct"/>
            <w:tcBorders>
              <w:tl2br w:val="nil"/>
              <w:tr2bl w:val="nil"/>
            </w:tcBorders>
            <w:vAlign w:val="center"/>
          </w:tcPr>
          <w:p w:rsidR="00EE4502" w:rsidRDefault="00FD45A3">
            <w:pPr>
              <w:jc w:val="center"/>
              <w:rPr>
                <w:szCs w:val="21"/>
              </w:rPr>
            </w:pPr>
            <w:r>
              <w:rPr>
                <w:szCs w:val="21"/>
              </w:rPr>
              <w:t>1</w:t>
            </w:r>
          </w:p>
        </w:tc>
        <w:tc>
          <w:tcPr>
            <w:tcW w:w="414" w:type="pct"/>
            <w:vMerge w:val="restart"/>
            <w:tcBorders>
              <w:tl2br w:val="nil"/>
              <w:tr2bl w:val="nil"/>
            </w:tcBorders>
            <w:vAlign w:val="center"/>
          </w:tcPr>
          <w:p w:rsidR="00EE4502" w:rsidRDefault="00FD45A3">
            <w:pPr>
              <w:jc w:val="center"/>
              <w:rPr>
                <w:szCs w:val="21"/>
              </w:rPr>
            </w:pPr>
            <w:r>
              <w:rPr>
                <w:rFonts w:hint="eastAsia"/>
                <w:szCs w:val="21"/>
              </w:rPr>
              <w:t>单座采油井</w:t>
            </w:r>
          </w:p>
        </w:tc>
        <w:tc>
          <w:tcPr>
            <w:tcW w:w="542" w:type="pct"/>
            <w:tcBorders>
              <w:tl2br w:val="nil"/>
              <w:tr2bl w:val="nil"/>
            </w:tcBorders>
            <w:vAlign w:val="center"/>
          </w:tcPr>
          <w:p w:rsidR="00EE4502" w:rsidRDefault="00FD45A3">
            <w:pPr>
              <w:jc w:val="center"/>
              <w:rPr>
                <w:szCs w:val="21"/>
              </w:rPr>
            </w:pPr>
            <w:r>
              <w:rPr>
                <w:rFonts w:hint="eastAsia"/>
                <w:szCs w:val="21"/>
              </w:rPr>
              <w:t>阀门</w:t>
            </w:r>
          </w:p>
        </w:tc>
        <w:tc>
          <w:tcPr>
            <w:tcW w:w="718" w:type="pct"/>
            <w:tcBorders>
              <w:tl2br w:val="nil"/>
              <w:tr2bl w:val="nil"/>
            </w:tcBorders>
            <w:vAlign w:val="center"/>
          </w:tcPr>
          <w:p w:rsidR="00EE4502" w:rsidRDefault="00FD45A3">
            <w:pPr>
              <w:jc w:val="center"/>
              <w:rPr>
                <w:szCs w:val="21"/>
              </w:rPr>
            </w:pPr>
            <w:r>
              <w:rPr>
                <w:rFonts w:hint="eastAsia"/>
                <w:szCs w:val="21"/>
              </w:rPr>
              <w:t>21</w:t>
            </w:r>
          </w:p>
        </w:tc>
        <w:tc>
          <w:tcPr>
            <w:tcW w:w="718" w:type="pct"/>
            <w:tcBorders>
              <w:tl2br w:val="nil"/>
              <w:tr2bl w:val="nil"/>
            </w:tcBorders>
            <w:vAlign w:val="center"/>
          </w:tcPr>
          <w:p w:rsidR="00EE4502" w:rsidRDefault="00FD45A3">
            <w:pPr>
              <w:jc w:val="center"/>
              <w:rPr>
                <w:szCs w:val="21"/>
              </w:rPr>
            </w:pPr>
            <w:r>
              <w:rPr>
                <w:szCs w:val="21"/>
              </w:rPr>
              <w:t>0.064</w:t>
            </w:r>
          </w:p>
        </w:tc>
        <w:tc>
          <w:tcPr>
            <w:tcW w:w="756" w:type="pct"/>
            <w:tcBorders>
              <w:tl2br w:val="nil"/>
              <w:tr2bl w:val="nil"/>
            </w:tcBorders>
            <w:vAlign w:val="center"/>
          </w:tcPr>
          <w:p w:rsidR="00EE4502" w:rsidRDefault="00FD45A3">
            <w:pPr>
              <w:jc w:val="center"/>
              <w:rPr>
                <w:szCs w:val="21"/>
              </w:rPr>
            </w:pPr>
            <w:r>
              <w:rPr>
                <w:rFonts w:hint="eastAsia"/>
                <w:szCs w:val="21"/>
              </w:rPr>
              <w:t>8760</w:t>
            </w:r>
          </w:p>
        </w:tc>
        <w:tc>
          <w:tcPr>
            <w:tcW w:w="672" w:type="pct"/>
            <w:tcBorders>
              <w:tl2br w:val="nil"/>
              <w:tr2bl w:val="nil"/>
            </w:tcBorders>
            <w:vAlign w:val="center"/>
          </w:tcPr>
          <w:p w:rsidR="00EE4502" w:rsidRDefault="00FD45A3">
            <w:pPr>
              <w:jc w:val="center"/>
              <w:rPr>
                <w:szCs w:val="21"/>
              </w:rPr>
            </w:pPr>
            <w:r>
              <w:rPr>
                <w:rFonts w:hint="eastAsia"/>
                <w:szCs w:val="21"/>
              </w:rPr>
              <w:t>0.0</w:t>
            </w:r>
            <w:r>
              <w:rPr>
                <w:rFonts w:hint="eastAsia"/>
                <w:szCs w:val="21"/>
              </w:rPr>
              <w:t>35</w:t>
            </w:r>
          </w:p>
        </w:tc>
        <w:tc>
          <w:tcPr>
            <w:tcW w:w="879" w:type="pct"/>
            <w:tcBorders>
              <w:tl2br w:val="nil"/>
              <w:tr2bl w:val="nil"/>
            </w:tcBorders>
            <w:shd w:val="clear" w:color="auto" w:fill="auto"/>
            <w:vAlign w:val="center"/>
          </w:tcPr>
          <w:p w:rsidR="00EE4502" w:rsidRDefault="00FD45A3">
            <w:pPr>
              <w:jc w:val="center"/>
              <w:rPr>
                <w:szCs w:val="21"/>
              </w:rPr>
            </w:pPr>
            <w:r>
              <w:rPr>
                <w:rFonts w:hint="eastAsia"/>
                <w:szCs w:val="21"/>
              </w:rPr>
              <w:t>0.004</w:t>
            </w:r>
          </w:p>
        </w:tc>
      </w:tr>
      <w:tr w:rsidR="00EE4502">
        <w:trPr>
          <w:trHeight w:val="340"/>
          <w:jc w:val="center"/>
        </w:trPr>
        <w:tc>
          <w:tcPr>
            <w:tcW w:w="296" w:type="pct"/>
            <w:tcBorders>
              <w:tl2br w:val="nil"/>
              <w:tr2bl w:val="nil"/>
            </w:tcBorders>
            <w:vAlign w:val="center"/>
          </w:tcPr>
          <w:p w:rsidR="00EE4502" w:rsidRDefault="00FD45A3">
            <w:pPr>
              <w:jc w:val="center"/>
              <w:rPr>
                <w:szCs w:val="21"/>
              </w:rPr>
            </w:pPr>
            <w:r>
              <w:rPr>
                <w:szCs w:val="21"/>
              </w:rPr>
              <w:t>2</w:t>
            </w:r>
          </w:p>
        </w:tc>
        <w:tc>
          <w:tcPr>
            <w:tcW w:w="414" w:type="pct"/>
            <w:vMerge/>
            <w:tcBorders>
              <w:tl2br w:val="nil"/>
              <w:tr2bl w:val="nil"/>
            </w:tcBorders>
            <w:vAlign w:val="center"/>
          </w:tcPr>
          <w:p w:rsidR="00EE4502" w:rsidRDefault="00EE4502">
            <w:pPr>
              <w:jc w:val="center"/>
              <w:rPr>
                <w:szCs w:val="21"/>
              </w:rPr>
            </w:pPr>
          </w:p>
        </w:tc>
        <w:tc>
          <w:tcPr>
            <w:tcW w:w="542" w:type="pct"/>
            <w:tcBorders>
              <w:tl2br w:val="nil"/>
              <w:tr2bl w:val="nil"/>
            </w:tcBorders>
            <w:vAlign w:val="center"/>
          </w:tcPr>
          <w:p w:rsidR="00EE4502" w:rsidRDefault="00FD45A3">
            <w:pPr>
              <w:jc w:val="center"/>
              <w:rPr>
                <w:szCs w:val="21"/>
              </w:rPr>
            </w:pPr>
            <w:r>
              <w:rPr>
                <w:rFonts w:hint="eastAsia"/>
                <w:szCs w:val="21"/>
              </w:rPr>
              <w:t>法兰</w:t>
            </w:r>
          </w:p>
        </w:tc>
        <w:tc>
          <w:tcPr>
            <w:tcW w:w="718" w:type="pct"/>
            <w:tcBorders>
              <w:tl2br w:val="nil"/>
              <w:tr2bl w:val="nil"/>
            </w:tcBorders>
            <w:vAlign w:val="center"/>
          </w:tcPr>
          <w:p w:rsidR="00EE4502" w:rsidRDefault="00FD45A3">
            <w:pPr>
              <w:jc w:val="center"/>
              <w:rPr>
                <w:szCs w:val="21"/>
              </w:rPr>
            </w:pPr>
            <w:r>
              <w:rPr>
                <w:rFonts w:hint="eastAsia"/>
                <w:szCs w:val="21"/>
              </w:rPr>
              <w:t>46</w:t>
            </w:r>
          </w:p>
        </w:tc>
        <w:tc>
          <w:tcPr>
            <w:tcW w:w="718" w:type="pct"/>
            <w:tcBorders>
              <w:tl2br w:val="nil"/>
              <w:tr2bl w:val="nil"/>
            </w:tcBorders>
            <w:vAlign w:val="center"/>
          </w:tcPr>
          <w:p w:rsidR="00EE4502" w:rsidRDefault="00FD45A3">
            <w:pPr>
              <w:jc w:val="center"/>
              <w:rPr>
                <w:szCs w:val="21"/>
              </w:rPr>
            </w:pPr>
            <w:r>
              <w:rPr>
                <w:szCs w:val="21"/>
              </w:rPr>
              <w:t>0.085</w:t>
            </w:r>
          </w:p>
        </w:tc>
        <w:tc>
          <w:tcPr>
            <w:tcW w:w="756" w:type="pct"/>
            <w:tcBorders>
              <w:tl2br w:val="nil"/>
              <w:tr2bl w:val="nil"/>
            </w:tcBorders>
            <w:vAlign w:val="center"/>
          </w:tcPr>
          <w:p w:rsidR="00EE4502" w:rsidRDefault="00FD45A3">
            <w:pPr>
              <w:jc w:val="center"/>
              <w:rPr>
                <w:szCs w:val="21"/>
              </w:rPr>
            </w:pPr>
            <w:r>
              <w:rPr>
                <w:rFonts w:hint="eastAsia"/>
                <w:szCs w:val="21"/>
              </w:rPr>
              <w:t>8760</w:t>
            </w:r>
          </w:p>
        </w:tc>
        <w:tc>
          <w:tcPr>
            <w:tcW w:w="672" w:type="pct"/>
            <w:tcBorders>
              <w:tl2br w:val="nil"/>
              <w:tr2bl w:val="nil"/>
            </w:tcBorders>
            <w:vAlign w:val="center"/>
          </w:tcPr>
          <w:p w:rsidR="00EE4502" w:rsidRDefault="00FD45A3">
            <w:pPr>
              <w:jc w:val="center"/>
              <w:rPr>
                <w:szCs w:val="21"/>
              </w:rPr>
            </w:pPr>
            <w:r>
              <w:rPr>
                <w:rFonts w:hint="eastAsia"/>
                <w:szCs w:val="21"/>
              </w:rPr>
              <w:t>0.</w:t>
            </w:r>
            <w:r>
              <w:rPr>
                <w:rFonts w:hint="eastAsia"/>
                <w:szCs w:val="21"/>
              </w:rPr>
              <w:t>103</w:t>
            </w:r>
          </w:p>
        </w:tc>
        <w:tc>
          <w:tcPr>
            <w:tcW w:w="879" w:type="pct"/>
            <w:tcBorders>
              <w:tl2br w:val="nil"/>
              <w:tr2bl w:val="nil"/>
            </w:tcBorders>
            <w:shd w:val="clear" w:color="auto" w:fill="auto"/>
            <w:vAlign w:val="center"/>
          </w:tcPr>
          <w:p w:rsidR="00EE4502" w:rsidRDefault="00FD45A3">
            <w:pPr>
              <w:jc w:val="center"/>
              <w:rPr>
                <w:szCs w:val="21"/>
              </w:rPr>
            </w:pPr>
            <w:r>
              <w:rPr>
                <w:rFonts w:hint="eastAsia"/>
                <w:szCs w:val="21"/>
              </w:rPr>
              <w:t>0.012</w:t>
            </w:r>
          </w:p>
        </w:tc>
      </w:tr>
      <w:tr w:rsidR="00EE4502">
        <w:trPr>
          <w:trHeight w:val="340"/>
          <w:jc w:val="center"/>
        </w:trPr>
        <w:tc>
          <w:tcPr>
            <w:tcW w:w="1252" w:type="pct"/>
            <w:gridSpan w:val="3"/>
            <w:tcBorders>
              <w:tl2br w:val="nil"/>
              <w:tr2bl w:val="nil"/>
            </w:tcBorders>
            <w:vAlign w:val="center"/>
          </w:tcPr>
          <w:p w:rsidR="00EE4502" w:rsidRDefault="00FD45A3">
            <w:pPr>
              <w:jc w:val="center"/>
              <w:rPr>
                <w:szCs w:val="21"/>
              </w:rPr>
            </w:pPr>
            <w:r>
              <w:rPr>
                <w:rFonts w:hint="eastAsia"/>
                <w:szCs w:val="21"/>
              </w:rPr>
              <w:t>合计</w:t>
            </w:r>
          </w:p>
        </w:tc>
        <w:tc>
          <w:tcPr>
            <w:tcW w:w="718" w:type="pct"/>
            <w:tcBorders>
              <w:tl2br w:val="nil"/>
              <w:tr2bl w:val="nil"/>
            </w:tcBorders>
            <w:vAlign w:val="center"/>
          </w:tcPr>
          <w:p w:rsidR="00EE4502" w:rsidRDefault="00FD45A3">
            <w:pPr>
              <w:jc w:val="center"/>
              <w:rPr>
                <w:szCs w:val="21"/>
              </w:rPr>
            </w:pPr>
            <w:r>
              <w:rPr>
                <w:rFonts w:hint="eastAsia"/>
                <w:szCs w:val="21"/>
              </w:rPr>
              <w:t>/</w:t>
            </w:r>
          </w:p>
        </w:tc>
        <w:tc>
          <w:tcPr>
            <w:tcW w:w="718" w:type="pct"/>
            <w:tcBorders>
              <w:tl2br w:val="nil"/>
              <w:tr2bl w:val="nil"/>
            </w:tcBorders>
            <w:vAlign w:val="center"/>
          </w:tcPr>
          <w:p w:rsidR="00EE4502" w:rsidRDefault="00FD45A3">
            <w:pPr>
              <w:jc w:val="center"/>
              <w:rPr>
                <w:szCs w:val="21"/>
              </w:rPr>
            </w:pPr>
            <w:r>
              <w:rPr>
                <w:rFonts w:hint="eastAsia"/>
                <w:szCs w:val="21"/>
              </w:rPr>
              <w:t>/</w:t>
            </w:r>
          </w:p>
        </w:tc>
        <w:tc>
          <w:tcPr>
            <w:tcW w:w="756" w:type="pct"/>
            <w:tcBorders>
              <w:tl2br w:val="nil"/>
              <w:tr2bl w:val="nil"/>
            </w:tcBorders>
            <w:vAlign w:val="center"/>
          </w:tcPr>
          <w:p w:rsidR="00EE4502" w:rsidRDefault="00FD45A3">
            <w:pPr>
              <w:jc w:val="center"/>
              <w:rPr>
                <w:szCs w:val="21"/>
              </w:rPr>
            </w:pPr>
            <w:r>
              <w:rPr>
                <w:rFonts w:hint="eastAsia"/>
                <w:szCs w:val="21"/>
              </w:rPr>
              <w:t>/</w:t>
            </w:r>
          </w:p>
        </w:tc>
        <w:tc>
          <w:tcPr>
            <w:tcW w:w="672" w:type="pct"/>
            <w:tcBorders>
              <w:tl2br w:val="nil"/>
              <w:tr2bl w:val="nil"/>
            </w:tcBorders>
            <w:vAlign w:val="center"/>
          </w:tcPr>
          <w:p w:rsidR="00EE4502" w:rsidRDefault="00FD45A3">
            <w:pPr>
              <w:jc w:val="center"/>
              <w:rPr>
                <w:szCs w:val="21"/>
              </w:rPr>
            </w:pPr>
            <w:r>
              <w:rPr>
                <w:rFonts w:hint="eastAsia"/>
                <w:szCs w:val="21"/>
              </w:rPr>
              <w:t>0.138</w:t>
            </w:r>
          </w:p>
        </w:tc>
        <w:tc>
          <w:tcPr>
            <w:tcW w:w="879" w:type="pct"/>
            <w:tcBorders>
              <w:tl2br w:val="nil"/>
              <w:tr2bl w:val="nil"/>
            </w:tcBorders>
            <w:shd w:val="clear" w:color="auto" w:fill="auto"/>
            <w:vAlign w:val="center"/>
          </w:tcPr>
          <w:p w:rsidR="00EE4502" w:rsidRDefault="00FD45A3">
            <w:pPr>
              <w:jc w:val="center"/>
              <w:rPr>
                <w:szCs w:val="21"/>
              </w:rPr>
            </w:pPr>
            <w:r>
              <w:rPr>
                <w:rFonts w:hint="eastAsia"/>
                <w:szCs w:val="21"/>
              </w:rPr>
              <w:t>0.016</w:t>
            </w:r>
          </w:p>
        </w:tc>
      </w:tr>
    </w:tbl>
    <w:p w:rsidR="00EE4502" w:rsidRDefault="00EE4502">
      <w:pPr>
        <w:jc w:val="center"/>
        <w:rPr>
          <w:sz w:val="18"/>
          <w:szCs w:val="18"/>
        </w:rPr>
      </w:pPr>
    </w:p>
    <w:p w:rsidR="00EE4502" w:rsidRDefault="00FD45A3">
      <w:pPr>
        <w:spacing w:line="360" w:lineRule="auto"/>
        <w:ind w:firstLineChars="200" w:firstLine="480"/>
        <w:rPr>
          <w:sz w:val="24"/>
        </w:rPr>
      </w:pPr>
      <w:r>
        <w:rPr>
          <w:rFonts w:hint="eastAsia"/>
          <w:sz w:val="24"/>
        </w:rPr>
        <w:t>经过核算，</w:t>
      </w:r>
      <w:r>
        <w:rPr>
          <w:rFonts w:hint="eastAsia"/>
          <w:sz w:val="24"/>
        </w:rPr>
        <w:t>本工程</w:t>
      </w:r>
      <w:r>
        <w:rPr>
          <w:rFonts w:hint="eastAsia"/>
          <w:sz w:val="24"/>
        </w:rPr>
        <w:t>单座采油井无组织非甲烷总烃</w:t>
      </w:r>
      <w:r>
        <w:rPr>
          <w:rFonts w:hint="eastAsia"/>
          <w:sz w:val="24"/>
        </w:rPr>
        <w:t>挥发</w:t>
      </w:r>
      <w:r>
        <w:rPr>
          <w:rFonts w:hint="eastAsia"/>
          <w:sz w:val="24"/>
        </w:rPr>
        <w:t>速率为</w:t>
      </w:r>
      <w:r>
        <w:rPr>
          <w:rFonts w:hint="eastAsia"/>
          <w:sz w:val="24"/>
        </w:rPr>
        <w:t>0.016kg/h</w:t>
      </w:r>
      <w:r>
        <w:rPr>
          <w:rFonts w:hint="eastAsia"/>
          <w:sz w:val="24"/>
        </w:rPr>
        <w:t>、</w:t>
      </w:r>
      <w:r>
        <w:rPr>
          <w:rFonts w:hint="eastAsia"/>
          <w:sz w:val="24"/>
        </w:rPr>
        <w:t>挥发量</w:t>
      </w:r>
      <w:r>
        <w:rPr>
          <w:rFonts w:hint="eastAsia"/>
          <w:sz w:val="24"/>
        </w:rPr>
        <w:t>为</w:t>
      </w:r>
      <w:r>
        <w:rPr>
          <w:rFonts w:hint="eastAsia"/>
          <w:sz w:val="24"/>
        </w:rPr>
        <w:t>0.138t/a</w:t>
      </w:r>
      <w:r>
        <w:rPr>
          <w:rFonts w:hint="eastAsia"/>
          <w:sz w:val="24"/>
        </w:rPr>
        <w:t>。</w:t>
      </w:r>
      <w:r>
        <w:rPr>
          <w:rFonts w:hint="eastAsia"/>
          <w:sz w:val="24"/>
        </w:rPr>
        <w:t>则</w:t>
      </w:r>
      <w:r>
        <w:rPr>
          <w:rFonts w:hint="eastAsia"/>
          <w:sz w:val="24"/>
        </w:rPr>
        <w:t>本工程部署</w:t>
      </w:r>
      <w:r>
        <w:rPr>
          <w:rFonts w:hint="eastAsia"/>
          <w:sz w:val="24"/>
        </w:rPr>
        <w:t>18</w:t>
      </w:r>
      <w:r>
        <w:rPr>
          <w:rFonts w:hint="eastAsia"/>
          <w:sz w:val="24"/>
        </w:rPr>
        <w:t>采油井</w:t>
      </w:r>
      <w:r>
        <w:rPr>
          <w:rFonts w:hint="eastAsia"/>
          <w:sz w:val="24"/>
        </w:rPr>
        <w:t>非甲烷总烃无组织</w:t>
      </w:r>
      <w:r>
        <w:rPr>
          <w:rFonts w:hint="eastAsia"/>
          <w:sz w:val="24"/>
        </w:rPr>
        <w:t>挥发量</w:t>
      </w:r>
      <w:r>
        <w:rPr>
          <w:rFonts w:hint="eastAsia"/>
          <w:sz w:val="24"/>
        </w:rPr>
        <w:t>为</w:t>
      </w:r>
      <w:r>
        <w:rPr>
          <w:rFonts w:hint="eastAsia"/>
          <w:sz w:val="24"/>
        </w:rPr>
        <w:t>2.484t/a</w:t>
      </w:r>
      <w:r>
        <w:rPr>
          <w:rFonts w:hint="eastAsia"/>
          <w:sz w:val="24"/>
        </w:rPr>
        <w:t>。</w:t>
      </w:r>
    </w:p>
    <w:p w:rsidR="00EE4502" w:rsidRDefault="00FD45A3">
      <w:pPr>
        <w:jc w:val="center"/>
        <w:rPr>
          <w:rFonts w:eastAsia="黑体"/>
          <w:bCs/>
          <w:szCs w:val="20"/>
        </w:rPr>
      </w:pPr>
      <w:r>
        <w:rPr>
          <w:rFonts w:eastAsia="黑体"/>
          <w:bCs/>
          <w:szCs w:val="20"/>
        </w:rPr>
        <w:t>表</w:t>
      </w:r>
      <w:r>
        <w:rPr>
          <w:rFonts w:eastAsia="黑体"/>
          <w:bCs/>
          <w:szCs w:val="20"/>
        </w:rPr>
        <w:t>3.3-</w:t>
      </w:r>
      <w:r>
        <w:rPr>
          <w:rFonts w:eastAsia="黑体" w:hint="eastAsia"/>
          <w:bCs/>
          <w:szCs w:val="20"/>
        </w:rPr>
        <w:t>10</w:t>
      </w:r>
      <w:r>
        <w:rPr>
          <w:rFonts w:eastAsia="黑体"/>
          <w:bCs/>
          <w:szCs w:val="20"/>
        </w:rPr>
        <w:t xml:space="preserve">   </w:t>
      </w:r>
      <w:r>
        <w:rPr>
          <w:rFonts w:eastAsia="黑体" w:hint="eastAsia"/>
          <w:bCs/>
          <w:szCs w:val="20"/>
        </w:rPr>
        <w:t>增压站（点）新增</w:t>
      </w:r>
      <w:r>
        <w:rPr>
          <w:rFonts w:eastAsia="黑体"/>
          <w:bCs/>
          <w:szCs w:val="20"/>
        </w:rPr>
        <w:t>无组织废气非甲烷总烃核算一览表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4A0" w:firstRow="1" w:lastRow="0" w:firstColumn="1" w:lastColumn="0" w:noHBand="0" w:noVBand="1"/>
      </w:tblPr>
      <w:tblGrid>
        <w:gridCol w:w="492"/>
        <w:gridCol w:w="689"/>
        <w:gridCol w:w="904"/>
        <w:gridCol w:w="1197"/>
        <w:gridCol w:w="1197"/>
        <w:gridCol w:w="1260"/>
        <w:gridCol w:w="1121"/>
        <w:gridCol w:w="1465"/>
      </w:tblGrid>
      <w:tr w:rsidR="00EE4502">
        <w:trPr>
          <w:trHeight w:val="340"/>
          <w:tblHeader/>
          <w:jc w:val="center"/>
        </w:trPr>
        <w:tc>
          <w:tcPr>
            <w:tcW w:w="296" w:type="pct"/>
            <w:vMerge w:val="restart"/>
            <w:tcBorders>
              <w:tl2br w:val="nil"/>
              <w:tr2bl w:val="nil"/>
            </w:tcBorders>
            <w:vAlign w:val="center"/>
          </w:tcPr>
          <w:p w:rsidR="00EE4502" w:rsidRDefault="00FD45A3">
            <w:pPr>
              <w:jc w:val="center"/>
              <w:rPr>
                <w:szCs w:val="21"/>
              </w:rPr>
            </w:pPr>
            <w:r>
              <w:rPr>
                <w:szCs w:val="21"/>
              </w:rPr>
              <w:t>序号</w:t>
            </w:r>
          </w:p>
        </w:tc>
        <w:tc>
          <w:tcPr>
            <w:tcW w:w="956" w:type="pct"/>
            <w:gridSpan w:val="2"/>
            <w:vMerge w:val="restart"/>
            <w:tcBorders>
              <w:tl2br w:val="nil"/>
              <w:tr2bl w:val="nil"/>
            </w:tcBorders>
            <w:vAlign w:val="center"/>
          </w:tcPr>
          <w:p w:rsidR="00EE4502" w:rsidRDefault="00FD45A3">
            <w:pPr>
              <w:jc w:val="center"/>
              <w:rPr>
                <w:szCs w:val="21"/>
              </w:rPr>
            </w:pPr>
            <w:r>
              <w:rPr>
                <w:rFonts w:hint="eastAsia"/>
                <w:szCs w:val="21"/>
              </w:rPr>
              <w:t>设备名称</w:t>
            </w:r>
          </w:p>
        </w:tc>
        <w:tc>
          <w:tcPr>
            <w:tcW w:w="718" w:type="pct"/>
            <w:tcBorders>
              <w:tl2br w:val="nil"/>
              <w:tr2bl w:val="nil"/>
            </w:tcBorders>
            <w:vAlign w:val="center"/>
          </w:tcPr>
          <w:p w:rsidR="00EE4502" w:rsidRDefault="00FD45A3">
            <w:pPr>
              <w:jc w:val="center"/>
              <w:rPr>
                <w:szCs w:val="21"/>
              </w:rPr>
            </w:pPr>
            <w:r>
              <w:rPr>
                <w:rFonts w:hint="eastAsia"/>
                <w:szCs w:val="21"/>
              </w:rPr>
              <w:t>设备数量</w:t>
            </w:r>
          </w:p>
          <w:p w:rsidR="00EE4502" w:rsidRDefault="00FD45A3">
            <w:pPr>
              <w:jc w:val="center"/>
              <w:rPr>
                <w:szCs w:val="21"/>
              </w:rPr>
            </w:pPr>
            <w:r>
              <w:rPr>
                <w:rFonts w:hint="eastAsia"/>
                <w:szCs w:val="21"/>
              </w:rPr>
              <w:t>（个</w:t>
            </w:r>
            <w:r>
              <w:rPr>
                <w:rFonts w:hint="eastAsia"/>
                <w:szCs w:val="21"/>
              </w:rPr>
              <w:t>/</w:t>
            </w:r>
            <w:r>
              <w:rPr>
                <w:rFonts w:hint="eastAsia"/>
                <w:szCs w:val="21"/>
              </w:rPr>
              <w:t>井</w:t>
            </w:r>
            <w:r>
              <w:rPr>
                <w:rFonts w:hint="eastAsia"/>
                <w:szCs w:val="21"/>
              </w:rPr>
              <w:t>）</w:t>
            </w:r>
          </w:p>
        </w:tc>
        <w:tc>
          <w:tcPr>
            <w:tcW w:w="718" w:type="pct"/>
            <w:tcBorders>
              <w:tl2br w:val="nil"/>
              <w:tr2bl w:val="nil"/>
            </w:tcBorders>
            <w:vAlign w:val="center"/>
          </w:tcPr>
          <w:p w:rsidR="00EE4502" w:rsidRDefault="00FD45A3">
            <w:pPr>
              <w:jc w:val="center"/>
              <w:rPr>
                <w:szCs w:val="21"/>
              </w:rPr>
            </w:pPr>
            <w:r>
              <w:rPr>
                <w:rFonts w:hint="eastAsia"/>
                <w:szCs w:val="21"/>
              </w:rPr>
              <w:t>排放系数（</w:t>
            </w:r>
            <w:r>
              <w:rPr>
                <w:rFonts w:hint="eastAsia"/>
                <w:szCs w:val="21"/>
              </w:rPr>
              <w:t>kg/h</w:t>
            </w:r>
            <w:r>
              <w:rPr>
                <w:rFonts w:hint="eastAsia"/>
                <w:szCs w:val="21"/>
              </w:rPr>
              <w:t>）</w:t>
            </w:r>
          </w:p>
        </w:tc>
        <w:tc>
          <w:tcPr>
            <w:tcW w:w="756" w:type="pct"/>
            <w:tcBorders>
              <w:tl2br w:val="nil"/>
              <w:tr2bl w:val="nil"/>
            </w:tcBorders>
            <w:vAlign w:val="center"/>
          </w:tcPr>
          <w:p w:rsidR="00EE4502" w:rsidRDefault="00FD45A3">
            <w:pPr>
              <w:jc w:val="center"/>
              <w:rPr>
                <w:szCs w:val="21"/>
              </w:rPr>
            </w:pPr>
            <w:r>
              <w:rPr>
                <w:rFonts w:hint="eastAsia"/>
                <w:szCs w:val="21"/>
              </w:rPr>
              <w:t>年运行时间（</w:t>
            </w:r>
            <w:r>
              <w:rPr>
                <w:rFonts w:hint="eastAsia"/>
                <w:szCs w:val="21"/>
              </w:rPr>
              <w:t>h</w:t>
            </w:r>
            <w:r>
              <w:rPr>
                <w:rFonts w:hint="eastAsia"/>
                <w:szCs w:val="21"/>
              </w:rPr>
              <w:t>）</w:t>
            </w:r>
          </w:p>
        </w:tc>
        <w:tc>
          <w:tcPr>
            <w:tcW w:w="672" w:type="pct"/>
            <w:tcBorders>
              <w:tl2br w:val="nil"/>
              <w:tr2bl w:val="nil"/>
            </w:tcBorders>
            <w:vAlign w:val="center"/>
          </w:tcPr>
          <w:p w:rsidR="00EE4502" w:rsidRDefault="00FD45A3">
            <w:pPr>
              <w:jc w:val="center"/>
              <w:rPr>
                <w:szCs w:val="21"/>
              </w:rPr>
            </w:pPr>
            <w:r>
              <w:rPr>
                <w:rFonts w:hint="eastAsia"/>
                <w:szCs w:val="21"/>
              </w:rPr>
              <w:t>年排放量（</w:t>
            </w:r>
            <w:r>
              <w:rPr>
                <w:rFonts w:hint="eastAsia"/>
                <w:szCs w:val="21"/>
              </w:rPr>
              <w:t>t</w:t>
            </w:r>
            <w:r>
              <w:rPr>
                <w:rFonts w:hint="eastAsia"/>
                <w:szCs w:val="21"/>
              </w:rPr>
              <w:t>）</w:t>
            </w:r>
          </w:p>
        </w:tc>
        <w:tc>
          <w:tcPr>
            <w:tcW w:w="879" w:type="pct"/>
            <w:tcBorders>
              <w:tl2br w:val="nil"/>
              <w:tr2bl w:val="nil"/>
            </w:tcBorders>
            <w:shd w:val="clear" w:color="auto" w:fill="auto"/>
            <w:vAlign w:val="center"/>
          </w:tcPr>
          <w:p w:rsidR="00EE4502" w:rsidRDefault="00FD45A3">
            <w:pPr>
              <w:jc w:val="center"/>
              <w:rPr>
                <w:szCs w:val="21"/>
              </w:rPr>
            </w:pPr>
            <w:r>
              <w:rPr>
                <w:rFonts w:hint="eastAsia"/>
                <w:szCs w:val="21"/>
              </w:rPr>
              <w:t>排放速率（</w:t>
            </w:r>
            <w:r>
              <w:rPr>
                <w:rFonts w:hint="eastAsia"/>
                <w:szCs w:val="21"/>
              </w:rPr>
              <w:t>kg/h</w:t>
            </w:r>
            <w:r>
              <w:rPr>
                <w:rFonts w:hint="eastAsia"/>
                <w:szCs w:val="21"/>
              </w:rPr>
              <w:t>）</w:t>
            </w:r>
          </w:p>
        </w:tc>
      </w:tr>
      <w:tr w:rsidR="00EE4502">
        <w:trPr>
          <w:trHeight w:val="340"/>
          <w:tblHeader/>
          <w:jc w:val="center"/>
        </w:trPr>
        <w:tc>
          <w:tcPr>
            <w:tcW w:w="296" w:type="pct"/>
            <w:vMerge/>
            <w:tcBorders>
              <w:tl2br w:val="nil"/>
              <w:tr2bl w:val="nil"/>
            </w:tcBorders>
            <w:vAlign w:val="center"/>
          </w:tcPr>
          <w:p w:rsidR="00EE4502" w:rsidRDefault="00EE4502">
            <w:pPr>
              <w:jc w:val="center"/>
              <w:rPr>
                <w:szCs w:val="21"/>
              </w:rPr>
            </w:pPr>
          </w:p>
        </w:tc>
        <w:tc>
          <w:tcPr>
            <w:tcW w:w="956" w:type="pct"/>
            <w:gridSpan w:val="2"/>
            <w:vMerge/>
            <w:tcBorders>
              <w:tl2br w:val="nil"/>
              <w:tr2bl w:val="nil"/>
            </w:tcBorders>
            <w:vAlign w:val="center"/>
          </w:tcPr>
          <w:p w:rsidR="00EE4502" w:rsidRDefault="00EE4502">
            <w:pPr>
              <w:jc w:val="center"/>
              <w:rPr>
                <w:szCs w:val="21"/>
              </w:rPr>
            </w:pPr>
          </w:p>
        </w:tc>
        <w:tc>
          <w:tcPr>
            <w:tcW w:w="718" w:type="pct"/>
            <w:tcBorders>
              <w:tl2br w:val="nil"/>
              <w:tr2bl w:val="nil"/>
            </w:tcBorders>
            <w:vAlign w:val="center"/>
          </w:tcPr>
          <w:p w:rsidR="00EE4502" w:rsidRDefault="00FD45A3">
            <w:pPr>
              <w:jc w:val="center"/>
              <w:rPr>
                <w:szCs w:val="21"/>
              </w:rPr>
            </w:pPr>
            <w:r>
              <w:rPr>
                <w:rFonts w:hint="eastAsia"/>
                <w:i/>
                <w:iCs/>
                <w:szCs w:val="21"/>
              </w:rPr>
              <w:t>n</w:t>
            </w:r>
          </w:p>
        </w:tc>
        <w:tc>
          <w:tcPr>
            <w:tcW w:w="718" w:type="pct"/>
            <w:tcBorders>
              <w:tl2br w:val="nil"/>
              <w:tr2bl w:val="nil"/>
            </w:tcBorders>
            <w:vAlign w:val="center"/>
          </w:tcPr>
          <w:p w:rsidR="00EE4502" w:rsidRDefault="00FD45A3">
            <w:pPr>
              <w:jc w:val="center"/>
              <w:rPr>
                <w:i/>
                <w:iCs/>
                <w:szCs w:val="21"/>
              </w:rPr>
            </w:pPr>
            <w:r>
              <w:rPr>
                <w:rFonts w:hint="eastAsia"/>
                <w:i/>
                <w:iCs/>
                <w:szCs w:val="21"/>
              </w:rPr>
              <w:t>eroc.i</w:t>
            </w:r>
          </w:p>
        </w:tc>
        <w:tc>
          <w:tcPr>
            <w:tcW w:w="756" w:type="pct"/>
            <w:tcBorders>
              <w:tl2br w:val="nil"/>
              <w:tr2bl w:val="nil"/>
            </w:tcBorders>
            <w:vAlign w:val="center"/>
          </w:tcPr>
          <w:p w:rsidR="00EE4502" w:rsidRDefault="00FD45A3">
            <w:pPr>
              <w:jc w:val="center"/>
              <w:rPr>
                <w:szCs w:val="21"/>
              </w:rPr>
            </w:pPr>
            <w:r>
              <w:rPr>
                <w:rFonts w:hint="eastAsia"/>
                <w:i/>
                <w:iCs/>
                <w:szCs w:val="21"/>
              </w:rPr>
              <w:t>t</w:t>
            </w:r>
            <w:r>
              <w:rPr>
                <w:rFonts w:hint="eastAsia"/>
                <w:i/>
                <w:iCs/>
                <w:szCs w:val="21"/>
                <w:vertAlign w:val="subscript"/>
              </w:rPr>
              <w:t>i</w:t>
            </w:r>
          </w:p>
        </w:tc>
        <w:tc>
          <w:tcPr>
            <w:tcW w:w="672" w:type="pct"/>
            <w:tcBorders>
              <w:tl2br w:val="nil"/>
              <w:tr2bl w:val="nil"/>
            </w:tcBorders>
            <w:vAlign w:val="center"/>
          </w:tcPr>
          <w:p w:rsidR="00EE4502" w:rsidRDefault="00FD45A3">
            <w:pPr>
              <w:jc w:val="center"/>
              <w:rPr>
                <w:szCs w:val="21"/>
              </w:rPr>
            </w:pPr>
            <w:r>
              <w:rPr>
                <w:rFonts w:hint="eastAsia"/>
                <w:i/>
                <w:iCs/>
                <w:szCs w:val="21"/>
              </w:rPr>
              <w:t>D</w:t>
            </w:r>
            <w:r>
              <w:rPr>
                <w:rFonts w:hint="eastAsia"/>
                <w:szCs w:val="21"/>
                <w:vertAlign w:val="subscript"/>
              </w:rPr>
              <w:t>设备</w:t>
            </w:r>
          </w:p>
        </w:tc>
        <w:tc>
          <w:tcPr>
            <w:tcW w:w="879" w:type="pct"/>
            <w:tcBorders>
              <w:tl2br w:val="nil"/>
              <w:tr2bl w:val="nil"/>
            </w:tcBorders>
            <w:shd w:val="clear" w:color="auto" w:fill="auto"/>
            <w:vAlign w:val="center"/>
          </w:tcPr>
          <w:p w:rsidR="00EE4502" w:rsidRDefault="00FD45A3">
            <w:pPr>
              <w:jc w:val="center"/>
              <w:rPr>
                <w:szCs w:val="21"/>
              </w:rPr>
            </w:pPr>
            <w:r>
              <w:rPr>
                <w:rFonts w:hint="eastAsia"/>
                <w:szCs w:val="21"/>
              </w:rPr>
              <w:t>/</w:t>
            </w:r>
          </w:p>
        </w:tc>
      </w:tr>
      <w:tr w:rsidR="00EE4502">
        <w:trPr>
          <w:trHeight w:val="340"/>
          <w:jc w:val="center"/>
        </w:trPr>
        <w:tc>
          <w:tcPr>
            <w:tcW w:w="296" w:type="pct"/>
            <w:vMerge w:val="restart"/>
            <w:tcBorders>
              <w:tl2br w:val="nil"/>
              <w:tr2bl w:val="nil"/>
            </w:tcBorders>
            <w:vAlign w:val="center"/>
          </w:tcPr>
          <w:p w:rsidR="00EE4502" w:rsidRDefault="00FD45A3">
            <w:pPr>
              <w:jc w:val="center"/>
              <w:rPr>
                <w:szCs w:val="21"/>
              </w:rPr>
            </w:pPr>
            <w:r>
              <w:rPr>
                <w:szCs w:val="21"/>
              </w:rPr>
              <w:t>1</w:t>
            </w:r>
          </w:p>
        </w:tc>
        <w:tc>
          <w:tcPr>
            <w:tcW w:w="414" w:type="pct"/>
            <w:vMerge w:val="restart"/>
            <w:tcBorders>
              <w:tl2br w:val="nil"/>
              <w:tr2bl w:val="nil"/>
            </w:tcBorders>
            <w:vAlign w:val="center"/>
          </w:tcPr>
          <w:p w:rsidR="00EE4502" w:rsidRDefault="00FD45A3">
            <w:pPr>
              <w:jc w:val="center"/>
              <w:rPr>
                <w:szCs w:val="21"/>
              </w:rPr>
            </w:pPr>
            <w:r>
              <w:rPr>
                <w:rFonts w:hint="eastAsia"/>
                <w:szCs w:val="21"/>
              </w:rPr>
              <w:t>1#</w:t>
            </w:r>
            <w:r>
              <w:rPr>
                <w:rFonts w:hint="eastAsia"/>
                <w:szCs w:val="21"/>
              </w:rPr>
              <w:t>增压站</w:t>
            </w:r>
          </w:p>
        </w:tc>
        <w:tc>
          <w:tcPr>
            <w:tcW w:w="542" w:type="pct"/>
            <w:tcBorders>
              <w:tl2br w:val="nil"/>
              <w:tr2bl w:val="nil"/>
            </w:tcBorders>
            <w:vAlign w:val="center"/>
          </w:tcPr>
          <w:p w:rsidR="00EE4502" w:rsidRDefault="00FD45A3">
            <w:pPr>
              <w:jc w:val="center"/>
              <w:rPr>
                <w:szCs w:val="21"/>
              </w:rPr>
            </w:pPr>
            <w:r>
              <w:rPr>
                <w:rFonts w:hint="eastAsia"/>
                <w:szCs w:val="21"/>
              </w:rPr>
              <w:t>阀门</w:t>
            </w:r>
          </w:p>
        </w:tc>
        <w:tc>
          <w:tcPr>
            <w:tcW w:w="718" w:type="pct"/>
            <w:tcBorders>
              <w:tl2br w:val="nil"/>
              <w:tr2bl w:val="nil"/>
            </w:tcBorders>
            <w:vAlign w:val="center"/>
          </w:tcPr>
          <w:p w:rsidR="00EE4502" w:rsidRDefault="00FD45A3">
            <w:pPr>
              <w:jc w:val="center"/>
              <w:rPr>
                <w:szCs w:val="21"/>
              </w:rPr>
            </w:pPr>
            <w:r>
              <w:rPr>
                <w:rFonts w:hint="eastAsia"/>
                <w:szCs w:val="21"/>
              </w:rPr>
              <w:t>33</w:t>
            </w:r>
          </w:p>
        </w:tc>
        <w:tc>
          <w:tcPr>
            <w:tcW w:w="718" w:type="pct"/>
            <w:tcBorders>
              <w:tl2br w:val="nil"/>
              <w:tr2bl w:val="nil"/>
            </w:tcBorders>
            <w:vAlign w:val="center"/>
          </w:tcPr>
          <w:p w:rsidR="00EE4502" w:rsidRDefault="00FD45A3">
            <w:pPr>
              <w:jc w:val="center"/>
              <w:rPr>
                <w:szCs w:val="21"/>
              </w:rPr>
            </w:pPr>
            <w:r>
              <w:rPr>
                <w:szCs w:val="21"/>
              </w:rPr>
              <w:t>0.064</w:t>
            </w:r>
          </w:p>
        </w:tc>
        <w:tc>
          <w:tcPr>
            <w:tcW w:w="756" w:type="pct"/>
            <w:tcBorders>
              <w:tl2br w:val="nil"/>
              <w:tr2bl w:val="nil"/>
            </w:tcBorders>
            <w:vAlign w:val="center"/>
          </w:tcPr>
          <w:p w:rsidR="00EE4502" w:rsidRDefault="00FD45A3">
            <w:pPr>
              <w:jc w:val="center"/>
              <w:rPr>
                <w:szCs w:val="21"/>
              </w:rPr>
            </w:pPr>
            <w:r>
              <w:rPr>
                <w:rFonts w:hint="eastAsia"/>
                <w:szCs w:val="21"/>
              </w:rPr>
              <w:t>8760</w:t>
            </w:r>
          </w:p>
        </w:tc>
        <w:tc>
          <w:tcPr>
            <w:tcW w:w="672" w:type="pct"/>
            <w:tcBorders>
              <w:tl2br w:val="nil"/>
              <w:tr2bl w:val="nil"/>
            </w:tcBorders>
            <w:vAlign w:val="center"/>
          </w:tcPr>
          <w:p w:rsidR="00EE4502" w:rsidRDefault="00FD45A3">
            <w:pPr>
              <w:jc w:val="center"/>
              <w:rPr>
                <w:szCs w:val="21"/>
              </w:rPr>
            </w:pPr>
            <w:r>
              <w:rPr>
                <w:rFonts w:hint="eastAsia"/>
                <w:szCs w:val="21"/>
              </w:rPr>
              <w:t>0.0</w:t>
            </w:r>
            <w:r>
              <w:rPr>
                <w:rFonts w:hint="eastAsia"/>
                <w:szCs w:val="21"/>
              </w:rPr>
              <w:t>56</w:t>
            </w:r>
          </w:p>
        </w:tc>
        <w:tc>
          <w:tcPr>
            <w:tcW w:w="879" w:type="pct"/>
            <w:tcBorders>
              <w:tl2br w:val="nil"/>
              <w:tr2bl w:val="nil"/>
            </w:tcBorders>
            <w:shd w:val="clear" w:color="auto" w:fill="auto"/>
            <w:vAlign w:val="center"/>
          </w:tcPr>
          <w:p w:rsidR="00EE4502" w:rsidRDefault="00FD45A3">
            <w:pPr>
              <w:jc w:val="center"/>
              <w:rPr>
                <w:szCs w:val="21"/>
              </w:rPr>
            </w:pPr>
            <w:r>
              <w:rPr>
                <w:rFonts w:hint="eastAsia"/>
                <w:szCs w:val="21"/>
              </w:rPr>
              <w:t>0.006</w:t>
            </w:r>
          </w:p>
        </w:tc>
      </w:tr>
      <w:tr w:rsidR="00EE4502">
        <w:trPr>
          <w:trHeight w:val="340"/>
          <w:jc w:val="center"/>
        </w:trPr>
        <w:tc>
          <w:tcPr>
            <w:tcW w:w="296" w:type="pct"/>
            <w:vMerge/>
            <w:tcBorders>
              <w:tl2br w:val="nil"/>
              <w:tr2bl w:val="nil"/>
            </w:tcBorders>
            <w:vAlign w:val="center"/>
          </w:tcPr>
          <w:p w:rsidR="00EE4502" w:rsidRDefault="00EE4502">
            <w:pPr>
              <w:jc w:val="center"/>
              <w:rPr>
                <w:szCs w:val="21"/>
              </w:rPr>
            </w:pPr>
          </w:p>
        </w:tc>
        <w:tc>
          <w:tcPr>
            <w:tcW w:w="414" w:type="pct"/>
            <w:vMerge/>
            <w:tcBorders>
              <w:tl2br w:val="nil"/>
              <w:tr2bl w:val="nil"/>
            </w:tcBorders>
            <w:vAlign w:val="center"/>
          </w:tcPr>
          <w:p w:rsidR="00EE4502" w:rsidRDefault="00EE4502">
            <w:pPr>
              <w:jc w:val="center"/>
              <w:rPr>
                <w:szCs w:val="21"/>
              </w:rPr>
            </w:pPr>
          </w:p>
        </w:tc>
        <w:tc>
          <w:tcPr>
            <w:tcW w:w="542" w:type="pct"/>
            <w:tcBorders>
              <w:tl2br w:val="nil"/>
              <w:tr2bl w:val="nil"/>
            </w:tcBorders>
            <w:vAlign w:val="center"/>
          </w:tcPr>
          <w:p w:rsidR="00EE4502" w:rsidRDefault="00FD45A3">
            <w:pPr>
              <w:jc w:val="center"/>
              <w:rPr>
                <w:szCs w:val="21"/>
              </w:rPr>
            </w:pPr>
            <w:r>
              <w:rPr>
                <w:rFonts w:hint="eastAsia"/>
                <w:szCs w:val="21"/>
              </w:rPr>
              <w:t>法兰</w:t>
            </w:r>
          </w:p>
        </w:tc>
        <w:tc>
          <w:tcPr>
            <w:tcW w:w="718" w:type="pct"/>
            <w:tcBorders>
              <w:tl2br w:val="nil"/>
              <w:tr2bl w:val="nil"/>
            </w:tcBorders>
            <w:vAlign w:val="center"/>
          </w:tcPr>
          <w:p w:rsidR="00EE4502" w:rsidRDefault="00FD45A3">
            <w:pPr>
              <w:jc w:val="center"/>
              <w:rPr>
                <w:szCs w:val="21"/>
              </w:rPr>
            </w:pPr>
            <w:r>
              <w:rPr>
                <w:rFonts w:hint="eastAsia"/>
                <w:szCs w:val="21"/>
              </w:rPr>
              <w:t>72</w:t>
            </w:r>
          </w:p>
        </w:tc>
        <w:tc>
          <w:tcPr>
            <w:tcW w:w="718" w:type="pct"/>
            <w:tcBorders>
              <w:tl2br w:val="nil"/>
              <w:tr2bl w:val="nil"/>
            </w:tcBorders>
            <w:vAlign w:val="center"/>
          </w:tcPr>
          <w:p w:rsidR="00EE4502" w:rsidRDefault="00FD45A3">
            <w:pPr>
              <w:jc w:val="center"/>
              <w:rPr>
                <w:szCs w:val="21"/>
              </w:rPr>
            </w:pPr>
            <w:r>
              <w:rPr>
                <w:szCs w:val="21"/>
              </w:rPr>
              <w:t>0.085</w:t>
            </w:r>
          </w:p>
        </w:tc>
        <w:tc>
          <w:tcPr>
            <w:tcW w:w="756" w:type="pct"/>
            <w:tcBorders>
              <w:tl2br w:val="nil"/>
              <w:tr2bl w:val="nil"/>
            </w:tcBorders>
            <w:vAlign w:val="center"/>
          </w:tcPr>
          <w:p w:rsidR="00EE4502" w:rsidRDefault="00FD45A3">
            <w:pPr>
              <w:jc w:val="center"/>
              <w:rPr>
                <w:szCs w:val="21"/>
              </w:rPr>
            </w:pPr>
            <w:r>
              <w:rPr>
                <w:rFonts w:hint="eastAsia"/>
                <w:szCs w:val="21"/>
              </w:rPr>
              <w:t>8760</w:t>
            </w:r>
          </w:p>
        </w:tc>
        <w:tc>
          <w:tcPr>
            <w:tcW w:w="672" w:type="pct"/>
            <w:tcBorders>
              <w:tl2br w:val="nil"/>
              <w:tr2bl w:val="nil"/>
            </w:tcBorders>
            <w:vAlign w:val="center"/>
          </w:tcPr>
          <w:p w:rsidR="00EE4502" w:rsidRDefault="00FD45A3">
            <w:pPr>
              <w:jc w:val="center"/>
              <w:rPr>
                <w:szCs w:val="21"/>
              </w:rPr>
            </w:pPr>
            <w:r>
              <w:rPr>
                <w:rFonts w:hint="eastAsia"/>
                <w:szCs w:val="21"/>
              </w:rPr>
              <w:t>0.</w:t>
            </w:r>
            <w:r>
              <w:rPr>
                <w:rFonts w:hint="eastAsia"/>
                <w:szCs w:val="21"/>
              </w:rPr>
              <w:t>161</w:t>
            </w:r>
          </w:p>
        </w:tc>
        <w:tc>
          <w:tcPr>
            <w:tcW w:w="879" w:type="pct"/>
            <w:tcBorders>
              <w:tl2br w:val="nil"/>
              <w:tr2bl w:val="nil"/>
            </w:tcBorders>
            <w:shd w:val="clear" w:color="auto" w:fill="auto"/>
            <w:vAlign w:val="center"/>
          </w:tcPr>
          <w:p w:rsidR="00EE4502" w:rsidRDefault="00FD45A3">
            <w:pPr>
              <w:jc w:val="center"/>
              <w:rPr>
                <w:szCs w:val="21"/>
              </w:rPr>
            </w:pPr>
            <w:r>
              <w:rPr>
                <w:rFonts w:hint="eastAsia"/>
                <w:szCs w:val="21"/>
              </w:rPr>
              <w:t>0.018</w:t>
            </w:r>
          </w:p>
        </w:tc>
      </w:tr>
      <w:tr w:rsidR="00EE4502">
        <w:trPr>
          <w:trHeight w:val="340"/>
          <w:jc w:val="center"/>
        </w:trPr>
        <w:tc>
          <w:tcPr>
            <w:tcW w:w="296" w:type="pct"/>
            <w:vMerge w:val="restart"/>
            <w:tcBorders>
              <w:tl2br w:val="nil"/>
              <w:tr2bl w:val="nil"/>
            </w:tcBorders>
            <w:vAlign w:val="center"/>
          </w:tcPr>
          <w:p w:rsidR="00EE4502" w:rsidRDefault="00FD45A3">
            <w:pPr>
              <w:jc w:val="center"/>
              <w:rPr>
                <w:szCs w:val="21"/>
              </w:rPr>
            </w:pPr>
            <w:r>
              <w:rPr>
                <w:rFonts w:hint="eastAsia"/>
                <w:szCs w:val="21"/>
              </w:rPr>
              <w:t>2</w:t>
            </w:r>
          </w:p>
        </w:tc>
        <w:tc>
          <w:tcPr>
            <w:tcW w:w="414" w:type="pct"/>
            <w:vMerge w:val="restart"/>
            <w:tcBorders>
              <w:tl2br w:val="nil"/>
              <w:tr2bl w:val="nil"/>
            </w:tcBorders>
            <w:vAlign w:val="center"/>
          </w:tcPr>
          <w:p w:rsidR="00EE4502" w:rsidRDefault="00FD45A3">
            <w:pPr>
              <w:jc w:val="center"/>
              <w:rPr>
                <w:szCs w:val="21"/>
              </w:rPr>
            </w:pPr>
            <w:r>
              <w:rPr>
                <w:rFonts w:hint="eastAsia"/>
                <w:szCs w:val="21"/>
              </w:rPr>
              <w:t>新建增</w:t>
            </w:r>
            <w:r>
              <w:rPr>
                <w:rFonts w:hint="eastAsia"/>
                <w:szCs w:val="21"/>
              </w:rPr>
              <w:lastRenderedPageBreak/>
              <w:t>压点</w:t>
            </w:r>
          </w:p>
        </w:tc>
        <w:tc>
          <w:tcPr>
            <w:tcW w:w="903" w:type="dxa"/>
            <w:tcBorders>
              <w:tl2br w:val="nil"/>
              <w:tr2bl w:val="nil"/>
            </w:tcBorders>
            <w:vAlign w:val="center"/>
          </w:tcPr>
          <w:p w:rsidR="00EE4502" w:rsidRDefault="00FD45A3">
            <w:pPr>
              <w:jc w:val="center"/>
              <w:rPr>
                <w:szCs w:val="21"/>
              </w:rPr>
            </w:pPr>
            <w:r>
              <w:rPr>
                <w:rFonts w:ascii="宋体" w:hAnsi="宋体" w:cs="宋体" w:hint="eastAsia"/>
                <w:szCs w:val="21"/>
                <w:lang w:bidi="ar"/>
              </w:rPr>
              <w:lastRenderedPageBreak/>
              <w:t>阀门</w:t>
            </w:r>
          </w:p>
        </w:tc>
        <w:tc>
          <w:tcPr>
            <w:tcW w:w="718" w:type="pct"/>
            <w:tcBorders>
              <w:tl2br w:val="nil"/>
              <w:tr2bl w:val="nil"/>
            </w:tcBorders>
            <w:vAlign w:val="center"/>
          </w:tcPr>
          <w:p w:rsidR="00EE4502" w:rsidRDefault="00FD45A3">
            <w:pPr>
              <w:jc w:val="center"/>
              <w:rPr>
                <w:szCs w:val="21"/>
              </w:rPr>
            </w:pPr>
            <w:r>
              <w:rPr>
                <w:rFonts w:hint="eastAsia"/>
                <w:szCs w:val="21"/>
              </w:rPr>
              <w:t>28</w:t>
            </w:r>
          </w:p>
        </w:tc>
        <w:tc>
          <w:tcPr>
            <w:tcW w:w="1197" w:type="dxa"/>
            <w:tcBorders>
              <w:tl2br w:val="nil"/>
              <w:tr2bl w:val="nil"/>
            </w:tcBorders>
            <w:vAlign w:val="center"/>
          </w:tcPr>
          <w:p w:rsidR="00EE4502" w:rsidRDefault="00FD45A3">
            <w:pPr>
              <w:jc w:val="center"/>
              <w:rPr>
                <w:szCs w:val="21"/>
              </w:rPr>
            </w:pPr>
            <w:r>
              <w:rPr>
                <w:szCs w:val="21"/>
                <w:lang w:bidi="ar"/>
              </w:rPr>
              <w:t>0.064</w:t>
            </w:r>
          </w:p>
        </w:tc>
        <w:tc>
          <w:tcPr>
            <w:tcW w:w="756" w:type="pct"/>
            <w:tcBorders>
              <w:tl2br w:val="nil"/>
              <w:tr2bl w:val="nil"/>
            </w:tcBorders>
            <w:vAlign w:val="center"/>
          </w:tcPr>
          <w:p w:rsidR="00EE4502" w:rsidRDefault="00FD45A3">
            <w:pPr>
              <w:jc w:val="center"/>
              <w:rPr>
                <w:szCs w:val="21"/>
              </w:rPr>
            </w:pPr>
            <w:r>
              <w:rPr>
                <w:rFonts w:hint="eastAsia"/>
                <w:szCs w:val="21"/>
              </w:rPr>
              <w:t>8760</w:t>
            </w:r>
          </w:p>
        </w:tc>
        <w:tc>
          <w:tcPr>
            <w:tcW w:w="672" w:type="pct"/>
            <w:tcBorders>
              <w:tl2br w:val="nil"/>
              <w:tr2bl w:val="nil"/>
            </w:tcBorders>
            <w:vAlign w:val="center"/>
          </w:tcPr>
          <w:p w:rsidR="00EE4502" w:rsidRDefault="00FD45A3">
            <w:pPr>
              <w:jc w:val="center"/>
              <w:rPr>
                <w:szCs w:val="21"/>
              </w:rPr>
            </w:pPr>
            <w:r>
              <w:rPr>
                <w:rFonts w:hint="eastAsia"/>
                <w:szCs w:val="21"/>
              </w:rPr>
              <w:t>0.047</w:t>
            </w:r>
          </w:p>
        </w:tc>
        <w:tc>
          <w:tcPr>
            <w:tcW w:w="879" w:type="pct"/>
            <w:tcBorders>
              <w:tl2br w:val="nil"/>
              <w:tr2bl w:val="nil"/>
            </w:tcBorders>
            <w:shd w:val="clear" w:color="auto" w:fill="auto"/>
            <w:vAlign w:val="center"/>
          </w:tcPr>
          <w:p w:rsidR="00EE4502" w:rsidRDefault="00FD45A3">
            <w:pPr>
              <w:jc w:val="center"/>
              <w:rPr>
                <w:szCs w:val="21"/>
              </w:rPr>
            </w:pPr>
            <w:r>
              <w:rPr>
                <w:rFonts w:hint="eastAsia"/>
                <w:szCs w:val="21"/>
              </w:rPr>
              <w:t>0.005</w:t>
            </w:r>
          </w:p>
        </w:tc>
      </w:tr>
      <w:tr w:rsidR="00EE4502">
        <w:trPr>
          <w:trHeight w:val="340"/>
          <w:jc w:val="center"/>
        </w:trPr>
        <w:tc>
          <w:tcPr>
            <w:tcW w:w="296" w:type="pct"/>
            <w:vMerge/>
            <w:tcBorders>
              <w:tl2br w:val="nil"/>
              <w:tr2bl w:val="nil"/>
            </w:tcBorders>
            <w:vAlign w:val="center"/>
          </w:tcPr>
          <w:p w:rsidR="00EE4502" w:rsidRDefault="00EE4502">
            <w:pPr>
              <w:jc w:val="center"/>
              <w:rPr>
                <w:szCs w:val="21"/>
              </w:rPr>
            </w:pPr>
          </w:p>
        </w:tc>
        <w:tc>
          <w:tcPr>
            <w:tcW w:w="414" w:type="pct"/>
            <w:vMerge/>
            <w:tcBorders>
              <w:tl2br w:val="nil"/>
              <w:tr2bl w:val="nil"/>
            </w:tcBorders>
            <w:vAlign w:val="center"/>
          </w:tcPr>
          <w:p w:rsidR="00EE4502" w:rsidRDefault="00EE4502">
            <w:pPr>
              <w:jc w:val="center"/>
              <w:rPr>
                <w:szCs w:val="21"/>
              </w:rPr>
            </w:pPr>
          </w:p>
        </w:tc>
        <w:tc>
          <w:tcPr>
            <w:tcW w:w="903" w:type="dxa"/>
            <w:tcBorders>
              <w:tl2br w:val="nil"/>
              <w:tr2bl w:val="nil"/>
            </w:tcBorders>
            <w:vAlign w:val="center"/>
          </w:tcPr>
          <w:p w:rsidR="00EE4502" w:rsidRDefault="00FD45A3">
            <w:pPr>
              <w:jc w:val="center"/>
              <w:rPr>
                <w:szCs w:val="21"/>
              </w:rPr>
            </w:pPr>
            <w:r>
              <w:rPr>
                <w:rFonts w:ascii="宋体" w:hAnsi="宋体" w:cs="宋体" w:hint="eastAsia"/>
                <w:szCs w:val="21"/>
                <w:lang w:bidi="ar"/>
              </w:rPr>
              <w:t>法兰</w:t>
            </w:r>
          </w:p>
        </w:tc>
        <w:tc>
          <w:tcPr>
            <w:tcW w:w="718" w:type="pct"/>
            <w:tcBorders>
              <w:tl2br w:val="nil"/>
              <w:tr2bl w:val="nil"/>
            </w:tcBorders>
            <w:vAlign w:val="center"/>
          </w:tcPr>
          <w:p w:rsidR="00EE4502" w:rsidRDefault="00FD45A3">
            <w:pPr>
              <w:jc w:val="center"/>
              <w:rPr>
                <w:szCs w:val="21"/>
              </w:rPr>
            </w:pPr>
            <w:r>
              <w:rPr>
                <w:rFonts w:hint="eastAsia"/>
                <w:szCs w:val="21"/>
              </w:rPr>
              <w:t>65</w:t>
            </w:r>
          </w:p>
        </w:tc>
        <w:tc>
          <w:tcPr>
            <w:tcW w:w="1197" w:type="dxa"/>
            <w:tcBorders>
              <w:tl2br w:val="nil"/>
              <w:tr2bl w:val="nil"/>
            </w:tcBorders>
            <w:vAlign w:val="center"/>
          </w:tcPr>
          <w:p w:rsidR="00EE4502" w:rsidRDefault="00FD45A3">
            <w:pPr>
              <w:jc w:val="center"/>
              <w:rPr>
                <w:szCs w:val="21"/>
              </w:rPr>
            </w:pPr>
            <w:r>
              <w:rPr>
                <w:szCs w:val="21"/>
                <w:lang w:bidi="ar"/>
              </w:rPr>
              <w:t>0.085</w:t>
            </w:r>
          </w:p>
        </w:tc>
        <w:tc>
          <w:tcPr>
            <w:tcW w:w="756" w:type="pct"/>
            <w:tcBorders>
              <w:tl2br w:val="nil"/>
              <w:tr2bl w:val="nil"/>
            </w:tcBorders>
            <w:vAlign w:val="center"/>
          </w:tcPr>
          <w:p w:rsidR="00EE4502" w:rsidRDefault="00FD45A3">
            <w:pPr>
              <w:jc w:val="center"/>
              <w:rPr>
                <w:szCs w:val="21"/>
              </w:rPr>
            </w:pPr>
            <w:r>
              <w:rPr>
                <w:rFonts w:hint="eastAsia"/>
                <w:szCs w:val="21"/>
              </w:rPr>
              <w:t>8760</w:t>
            </w:r>
          </w:p>
        </w:tc>
        <w:tc>
          <w:tcPr>
            <w:tcW w:w="672" w:type="pct"/>
            <w:tcBorders>
              <w:tl2br w:val="nil"/>
              <w:tr2bl w:val="nil"/>
            </w:tcBorders>
            <w:vAlign w:val="center"/>
          </w:tcPr>
          <w:p w:rsidR="00EE4502" w:rsidRDefault="00FD45A3">
            <w:pPr>
              <w:jc w:val="center"/>
              <w:rPr>
                <w:szCs w:val="21"/>
              </w:rPr>
            </w:pPr>
            <w:r>
              <w:rPr>
                <w:rFonts w:hint="eastAsia"/>
                <w:szCs w:val="21"/>
              </w:rPr>
              <w:t>0.145</w:t>
            </w:r>
          </w:p>
        </w:tc>
        <w:tc>
          <w:tcPr>
            <w:tcW w:w="879" w:type="pct"/>
            <w:tcBorders>
              <w:tl2br w:val="nil"/>
              <w:tr2bl w:val="nil"/>
            </w:tcBorders>
            <w:shd w:val="clear" w:color="auto" w:fill="auto"/>
            <w:vAlign w:val="center"/>
          </w:tcPr>
          <w:p w:rsidR="00EE4502" w:rsidRDefault="00FD45A3">
            <w:pPr>
              <w:jc w:val="center"/>
              <w:rPr>
                <w:szCs w:val="21"/>
              </w:rPr>
            </w:pPr>
            <w:r>
              <w:rPr>
                <w:rFonts w:hint="eastAsia"/>
                <w:szCs w:val="21"/>
              </w:rPr>
              <w:t>0.017</w:t>
            </w:r>
          </w:p>
        </w:tc>
      </w:tr>
      <w:tr w:rsidR="00EE4502">
        <w:trPr>
          <w:trHeight w:val="340"/>
          <w:jc w:val="center"/>
        </w:trPr>
        <w:tc>
          <w:tcPr>
            <w:tcW w:w="1252" w:type="pct"/>
            <w:gridSpan w:val="3"/>
            <w:tcBorders>
              <w:tl2br w:val="nil"/>
              <w:tr2bl w:val="nil"/>
            </w:tcBorders>
            <w:vAlign w:val="center"/>
          </w:tcPr>
          <w:p w:rsidR="00EE4502" w:rsidRDefault="00FD45A3">
            <w:pPr>
              <w:jc w:val="center"/>
              <w:rPr>
                <w:szCs w:val="21"/>
              </w:rPr>
            </w:pPr>
            <w:r>
              <w:rPr>
                <w:rFonts w:hint="eastAsia"/>
                <w:szCs w:val="21"/>
              </w:rPr>
              <w:lastRenderedPageBreak/>
              <w:t>合计</w:t>
            </w:r>
          </w:p>
        </w:tc>
        <w:tc>
          <w:tcPr>
            <w:tcW w:w="718" w:type="pct"/>
            <w:tcBorders>
              <w:tl2br w:val="nil"/>
              <w:tr2bl w:val="nil"/>
            </w:tcBorders>
            <w:vAlign w:val="center"/>
          </w:tcPr>
          <w:p w:rsidR="00EE4502" w:rsidRDefault="00FD45A3">
            <w:pPr>
              <w:jc w:val="center"/>
              <w:rPr>
                <w:szCs w:val="21"/>
              </w:rPr>
            </w:pPr>
            <w:r>
              <w:rPr>
                <w:rFonts w:hint="eastAsia"/>
                <w:szCs w:val="21"/>
              </w:rPr>
              <w:t>/</w:t>
            </w:r>
          </w:p>
        </w:tc>
        <w:tc>
          <w:tcPr>
            <w:tcW w:w="718" w:type="pct"/>
            <w:tcBorders>
              <w:tl2br w:val="nil"/>
              <w:tr2bl w:val="nil"/>
            </w:tcBorders>
            <w:vAlign w:val="center"/>
          </w:tcPr>
          <w:p w:rsidR="00EE4502" w:rsidRDefault="00FD45A3">
            <w:pPr>
              <w:jc w:val="center"/>
              <w:rPr>
                <w:szCs w:val="21"/>
              </w:rPr>
            </w:pPr>
            <w:r>
              <w:rPr>
                <w:rFonts w:hint="eastAsia"/>
                <w:szCs w:val="21"/>
              </w:rPr>
              <w:t>/</w:t>
            </w:r>
          </w:p>
        </w:tc>
        <w:tc>
          <w:tcPr>
            <w:tcW w:w="756" w:type="pct"/>
            <w:tcBorders>
              <w:tl2br w:val="nil"/>
              <w:tr2bl w:val="nil"/>
            </w:tcBorders>
            <w:vAlign w:val="center"/>
          </w:tcPr>
          <w:p w:rsidR="00EE4502" w:rsidRDefault="00FD45A3">
            <w:pPr>
              <w:jc w:val="center"/>
              <w:rPr>
                <w:szCs w:val="21"/>
              </w:rPr>
            </w:pPr>
            <w:r>
              <w:rPr>
                <w:rFonts w:hint="eastAsia"/>
                <w:szCs w:val="21"/>
              </w:rPr>
              <w:t>/</w:t>
            </w:r>
          </w:p>
        </w:tc>
        <w:tc>
          <w:tcPr>
            <w:tcW w:w="672" w:type="pct"/>
            <w:tcBorders>
              <w:tl2br w:val="nil"/>
              <w:tr2bl w:val="nil"/>
            </w:tcBorders>
            <w:vAlign w:val="center"/>
          </w:tcPr>
          <w:p w:rsidR="00EE4502" w:rsidRDefault="00FD45A3">
            <w:pPr>
              <w:jc w:val="center"/>
              <w:rPr>
                <w:szCs w:val="21"/>
              </w:rPr>
            </w:pPr>
            <w:r>
              <w:rPr>
                <w:szCs w:val="21"/>
              </w:rPr>
              <w:t>0.409</w:t>
            </w:r>
          </w:p>
        </w:tc>
        <w:tc>
          <w:tcPr>
            <w:tcW w:w="879" w:type="pct"/>
            <w:tcBorders>
              <w:tl2br w:val="nil"/>
              <w:tr2bl w:val="nil"/>
            </w:tcBorders>
            <w:shd w:val="clear" w:color="auto" w:fill="auto"/>
            <w:vAlign w:val="center"/>
          </w:tcPr>
          <w:p w:rsidR="00EE4502" w:rsidRDefault="00FD45A3">
            <w:pPr>
              <w:jc w:val="center"/>
              <w:rPr>
                <w:szCs w:val="21"/>
              </w:rPr>
            </w:pPr>
            <w:r>
              <w:rPr>
                <w:rFonts w:hint="eastAsia"/>
                <w:szCs w:val="21"/>
              </w:rPr>
              <w:t>/</w:t>
            </w:r>
          </w:p>
        </w:tc>
      </w:tr>
    </w:tbl>
    <w:p w:rsidR="00EE4502" w:rsidRDefault="00EE4502">
      <w:pPr>
        <w:jc w:val="center"/>
        <w:rPr>
          <w:rFonts w:eastAsia="黑体"/>
          <w:bCs/>
          <w:szCs w:val="20"/>
        </w:rPr>
      </w:pPr>
    </w:p>
    <w:p w:rsidR="00EE4502" w:rsidRDefault="00FD45A3">
      <w:pPr>
        <w:spacing w:line="360" w:lineRule="auto"/>
        <w:ind w:firstLineChars="200" w:firstLine="480"/>
        <w:rPr>
          <w:bCs/>
          <w:snapToGrid w:val="0"/>
          <w:sz w:val="24"/>
        </w:rPr>
      </w:pPr>
      <w:r>
        <w:rPr>
          <w:bCs/>
          <w:snapToGrid w:val="0"/>
          <w:sz w:val="24"/>
        </w:rPr>
        <w:t>经过核算，</w:t>
      </w:r>
      <w:r>
        <w:rPr>
          <w:rFonts w:hint="eastAsia"/>
          <w:bCs/>
          <w:snapToGrid w:val="0"/>
          <w:sz w:val="24"/>
        </w:rPr>
        <w:t>本</w:t>
      </w:r>
      <w:r>
        <w:rPr>
          <w:rFonts w:hint="eastAsia"/>
          <w:bCs/>
          <w:snapToGrid w:val="0"/>
          <w:sz w:val="24"/>
        </w:rPr>
        <w:t>工程</w:t>
      </w:r>
      <w:r>
        <w:rPr>
          <w:rFonts w:hint="eastAsia"/>
          <w:bCs/>
          <w:snapToGrid w:val="0"/>
          <w:sz w:val="24"/>
        </w:rPr>
        <w:t>增压站（点）</w:t>
      </w:r>
      <w:r>
        <w:rPr>
          <w:rFonts w:hint="eastAsia"/>
          <w:bCs/>
          <w:snapToGrid w:val="0"/>
          <w:sz w:val="24"/>
        </w:rPr>
        <w:t>新增</w:t>
      </w:r>
      <w:r>
        <w:rPr>
          <w:rFonts w:hint="eastAsia"/>
          <w:bCs/>
          <w:snapToGrid w:val="0"/>
          <w:sz w:val="24"/>
        </w:rPr>
        <w:t>无组织非甲烷总烃挥发量为</w:t>
      </w:r>
      <w:r>
        <w:rPr>
          <w:rFonts w:hint="eastAsia"/>
          <w:bCs/>
          <w:snapToGrid w:val="0"/>
          <w:sz w:val="24"/>
        </w:rPr>
        <w:t>0.409t/a</w:t>
      </w:r>
      <w:r>
        <w:rPr>
          <w:rFonts w:hint="eastAsia"/>
          <w:bCs/>
          <w:snapToGrid w:val="0"/>
          <w:sz w:val="24"/>
        </w:rPr>
        <w:t>。</w:t>
      </w:r>
    </w:p>
    <w:p w:rsidR="00EE4502" w:rsidRDefault="00FD45A3">
      <w:pPr>
        <w:spacing w:line="360" w:lineRule="auto"/>
        <w:ind w:firstLineChars="200" w:firstLine="480"/>
        <w:rPr>
          <w:sz w:val="24"/>
        </w:rPr>
      </w:pPr>
      <w:r>
        <w:rPr>
          <w:rFonts w:hint="eastAsia"/>
          <w:bCs/>
          <w:snapToGrid w:val="0"/>
          <w:sz w:val="24"/>
        </w:rPr>
        <w:t>综上，本工程运营期新增非甲烷总烃无组织挥发量为</w:t>
      </w:r>
      <w:r>
        <w:rPr>
          <w:rFonts w:hint="eastAsia"/>
          <w:bCs/>
          <w:snapToGrid w:val="0"/>
          <w:sz w:val="24"/>
        </w:rPr>
        <w:t>2.893t/a</w:t>
      </w:r>
      <w:r>
        <w:rPr>
          <w:rFonts w:hint="eastAsia"/>
          <w:bCs/>
          <w:snapToGrid w:val="0"/>
          <w:sz w:val="24"/>
        </w:rPr>
        <w:t>。</w:t>
      </w:r>
    </w:p>
    <w:p w:rsidR="00EE4502" w:rsidRDefault="00FD45A3">
      <w:pPr>
        <w:pStyle w:val="41"/>
        <w:numPr>
          <w:ilvl w:val="3"/>
          <w:numId w:val="30"/>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bCs w:val="0"/>
          <w:sz w:val="24"/>
          <w:szCs w:val="24"/>
        </w:rPr>
        <w:t>水污染物源强核算</w:t>
      </w:r>
    </w:p>
    <w:p w:rsidR="00EE4502" w:rsidRDefault="00FD45A3">
      <w:pPr>
        <w:spacing w:line="360" w:lineRule="auto"/>
        <w:ind w:firstLineChars="200" w:firstLine="480"/>
        <w:rPr>
          <w:sz w:val="24"/>
        </w:rPr>
      </w:pPr>
      <w:r>
        <w:rPr>
          <w:sz w:val="24"/>
        </w:rPr>
        <w:t>本工程运营期废水主要包括油藏采出水、井下作业废水。</w:t>
      </w:r>
      <w:r>
        <w:rPr>
          <w:rFonts w:hint="eastAsia"/>
          <w:sz w:val="24"/>
        </w:rPr>
        <w:t>本工程不新增定员，不新增生活污水。</w:t>
      </w:r>
    </w:p>
    <w:p w:rsidR="00EE4502" w:rsidRDefault="00FD45A3">
      <w:pPr>
        <w:spacing w:line="360" w:lineRule="auto"/>
        <w:ind w:firstLineChars="200" w:firstLine="480"/>
        <w:rPr>
          <w:sz w:val="24"/>
        </w:rPr>
      </w:pPr>
      <w:r>
        <w:rPr>
          <w:sz w:val="24"/>
        </w:rPr>
        <w:t>（</w:t>
      </w:r>
      <w:r>
        <w:rPr>
          <w:sz w:val="24"/>
        </w:rPr>
        <w:t>1</w:t>
      </w:r>
      <w:r>
        <w:rPr>
          <w:sz w:val="24"/>
        </w:rPr>
        <w:t>）油藏采出水</w:t>
      </w:r>
    </w:p>
    <w:p w:rsidR="00EE4502" w:rsidRDefault="00FD45A3">
      <w:pPr>
        <w:spacing w:line="360" w:lineRule="auto"/>
        <w:ind w:firstLineChars="200" w:firstLine="480"/>
        <w:rPr>
          <w:sz w:val="24"/>
        </w:rPr>
      </w:pPr>
      <w:r>
        <w:rPr>
          <w:sz w:val="24"/>
        </w:rPr>
        <w:t>油田开发过程中油田水主要</w:t>
      </w:r>
      <w:r>
        <w:rPr>
          <w:rFonts w:hint="eastAsia"/>
          <w:sz w:val="24"/>
        </w:rPr>
        <w:t>来自</w:t>
      </w:r>
      <w:r>
        <w:rPr>
          <w:sz w:val="24"/>
        </w:rPr>
        <w:t>油藏本身的底水、边水，随着开采年限的增加呈逐渐上升状态。根据开发方案预测，春风油田</w:t>
      </w:r>
      <w:r>
        <w:rPr>
          <w:rFonts w:hint="eastAsia"/>
          <w:sz w:val="24"/>
        </w:rPr>
        <w:t>排</w:t>
      </w:r>
      <w:r>
        <w:rPr>
          <w:rFonts w:hint="eastAsia"/>
          <w:sz w:val="24"/>
        </w:rPr>
        <w:t>61</w:t>
      </w:r>
      <w:r>
        <w:rPr>
          <w:rFonts w:hint="eastAsia"/>
          <w:sz w:val="24"/>
        </w:rPr>
        <w:t>块</w:t>
      </w:r>
      <w:r>
        <w:rPr>
          <w:sz w:val="24"/>
        </w:rPr>
        <w:t>产能项目</w:t>
      </w:r>
      <w:r>
        <w:rPr>
          <w:rFonts w:hint="eastAsia"/>
          <w:sz w:val="24"/>
        </w:rPr>
        <w:t>年产水最大值出现</w:t>
      </w:r>
      <w:r>
        <w:rPr>
          <w:sz w:val="24"/>
        </w:rPr>
        <w:t>在第</w:t>
      </w:r>
      <w:r>
        <w:rPr>
          <w:sz w:val="24"/>
        </w:rPr>
        <w:t>1</w:t>
      </w:r>
      <w:r>
        <w:rPr>
          <w:rFonts w:hint="eastAsia"/>
          <w:sz w:val="24"/>
        </w:rPr>
        <w:t>0</w:t>
      </w:r>
      <w:r>
        <w:rPr>
          <w:sz w:val="24"/>
        </w:rPr>
        <w:t>年，</w:t>
      </w:r>
      <w:r>
        <w:rPr>
          <w:rFonts w:hint="eastAsia"/>
          <w:sz w:val="24"/>
        </w:rPr>
        <w:t>约为</w:t>
      </w:r>
      <w:r>
        <w:rPr>
          <w:rFonts w:hint="eastAsia"/>
          <w:sz w:val="24"/>
        </w:rPr>
        <w:t>2.53</w:t>
      </w:r>
      <w:r>
        <w:rPr>
          <w:rFonts w:hint="eastAsia"/>
          <w:sz w:val="24"/>
        </w:rPr>
        <w:t>×</w:t>
      </w:r>
      <w:r>
        <w:rPr>
          <w:rFonts w:hint="eastAsia"/>
          <w:sz w:val="24"/>
        </w:rPr>
        <w:t>10</w:t>
      </w:r>
      <w:r>
        <w:rPr>
          <w:rFonts w:hint="eastAsia"/>
          <w:sz w:val="24"/>
          <w:vertAlign w:val="superscript"/>
        </w:rPr>
        <w:t>4</w:t>
      </w:r>
      <w:r>
        <w:rPr>
          <w:rFonts w:hint="eastAsia"/>
          <w:sz w:val="24"/>
        </w:rPr>
        <w:t>t</w:t>
      </w:r>
      <w:r>
        <w:rPr>
          <w:sz w:val="24"/>
        </w:rPr>
        <w:t>/</w:t>
      </w:r>
      <w:r>
        <w:rPr>
          <w:rFonts w:hint="eastAsia"/>
          <w:sz w:val="24"/>
        </w:rPr>
        <w:t>a</w:t>
      </w:r>
      <w:r>
        <w:rPr>
          <w:rFonts w:hint="eastAsia"/>
          <w:sz w:val="24"/>
        </w:rPr>
        <w:t>。</w:t>
      </w:r>
      <w:r>
        <w:rPr>
          <w:rFonts w:hint="eastAsia"/>
          <w:sz w:val="24"/>
        </w:rPr>
        <w:t>根据设计方案，排</w:t>
      </w:r>
      <w:r>
        <w:rPr>
          <w:rFonts w:hint="eastAsia"/>
          <w:sz w:val="24"/>
        </w:rPr>
        <w:t>61</w:t>
      </w:r>
      <w:r>
        <w:rPr>
          <w:rFonts w:hint="eastAsia"/>
          <w:sz w:val="24"/>
        </w:rPr>
        <w:t>块</w:t>
      </w:r>
      <w:r>
        <w:rPr>
          <w:sz w:val="24"/>
        </w:rPr>
        <w:t>油田水随原油一起从井中采出来，</w:t>
      </w:r>
      <w:r>
        <w:rPr>
          <w:rFonts w:hint="eastAsia"/>
          <w:sz w:val="24"/>
        </w:rPr>
        <w:t>先在</w:t>
      </w:r>
      <w:r>
        <w:rPr>
          <w:rFonts w:hint="eastAsia"/>
          <w:sz w:val="24"/>
        </w:rPr>
        <w:t>1#</w:t>
      </w:r>
      <w:r>
        <w:rPr>
          <w:rFonts w:hint="eastAsia"/>
          <w:sz w:val="24"/>
        </w:rPr>
        <w:t>增压站</w:t>
      </w:r>
      <w:r>
        <w:rPr>
          <w:rFonts w:hint="eastAsia"/>
          <w:sz w:val="24"/>
        </w:rPr>
        <w:t>三相分离，分离后的原油通过增压泵增压后管输至春风二号联合站沉降脱水处理，分离出的伴生气管输至</w:t>
      </w:r>
      <w:r>
        <w:rPr>
          <w:rFonts w:hint="eastAsia"/>
          <w:sz w:val="24"/>
        </w:rPr>
        <w:t>6#</w:t>
      </w:r>
      <w:r>
        <w:rPr>
          <w:rFonts w:hint="eastAsia"/>
          <w:sz w:val="24"/>
        </w:rPr>
        <w:t>注汽站掺烧，分出采出水供排</w:t>
      </w:r>
      <w:r>
        <w:rPr>
          <w:rFonts w:hint="eastAsia"/>
          <w:sz w:val="24"/>
        </w:rPr>
        <w:t>61</w:t>
      </w:r>
      <w:r>
        <w:rPr>
          <w:rFonts w:hint="eastAsia"/>
          <w:sz w:val="24"/>
        </w:rPr>
        <w:t>区块油井生产</w:t>
      </w:r>
      <w:r>
        <w:rPr>
          <w:rFonts w:hint="eastAsia"/>
          <w:sz w:val="24"/>
        </w:rPr>
        <w:t>。</w:t>
      </w:r>
      <w:r>
        <w:rPr>
          <w:rFonts w:hint="eastAsia"/>
          <w:sz w:val="24"/>
        </w:rPr>
        <w:t>根据掺水方案，</w:t>
      </w:r>
      <w:r>
        <w:rPr>
          <w:rFonts w:hint="eastAsia"/>
          <w:sz w:val="24"/>
        </w:rPr>
        <w:t>1#</w:t>
      </w:r>
      <w:r>
        <w:rPr>
          <w:rFonts w:hint="eastAsia"/>
          <w:sz w:val="24"/>
        </w:rPr>
        <w:t>增压站预计可分出水量约</w:t>
      </w:r>
      <w:r>
        <w:rPr>
          <w:rFonts w:hint="eastAsia"/>
          <w:sz w:val="24"/>
        </w:rPr>
        <w:t>400m</w:t>
      </w:r>
      <w:r>
        <w:rPr>
          <w:rFonts w:hint="eastAsia"/>
          <w:sz w:val="24"/>
          <w:vertAlign w:val="superscript"/>
        </w:rPr>
        <w:t>3</w:t>
      </w:r>
      <w:r>
        <w:rPr>
          <w:rFonts w:hint="eastAsia"/>
          <w:sz w:val="24"/>
        </w:rPr>
        <w:t>/d</w:t>
      </w:r>
      <w:r>
        <w:rPr>
          <w:rFonts w:hint="eastAsia"/>
          <w:sz w:val="24"/>
        </w:rPr>
        <w:t>。</w:t>
      </w:r>
      <w:r>
        <w:rPr>
          <w:rFonts w:hint="eastAsia"/>
          <w:sz w:val="24"/>
        </w:rPr>
        <w:t>分离后的含水原油经已建管线进入春风二号联合站污水处理系统处理，达到《碎屑岩油藏注水水质指标技术要求及分析方法》（</w:t>
      </w:r>
      <w:r>
        <w:rPr>
          <w:rFonts w:hint="eastAsia"/>
          <w:sz w:val="24"/>
        </w:rPr>
        <w:t>SY/T 5329-2022</w:t>
      </w:r>
      <w:r>
        <w:rPr>
          <w:rFonts w:hint="eastAsia"/>
          <w:sz w:val="24"/>
        </w:rPr>
        <w:t>）中的有关标准后用于回注。</w:t>
      </w:r>
    </w:p>
    <w:p w:rsidR="00EE4502" w:rsidRDefault="00FD45A3">
      <w:pPr>
        <w:pStyle w:val="afc"/>
        <w:spacing w:line="360" w:lineRule="auto"/>
        <w:ind w:firstLine="480"/>
        <w:rPr>
          <w:rFonts w:ascii="Times New Roman" w:eastAsia="宋体" w:hAnsi="Times New Roman"/>
          <w:color w:val="auto"/>
          <w:spacing w:val="0"/>
          <w:sz w:val="24"/>
          <w:szCs w:val="24"/>
        </w:rPr>
      </w:pPr>
      <w:r>
        <w:rPr>
          <w:rFonts w:ascii="Times New Roman" w:eastAsia="宋体" w:hAnsi="Times New Roman"/>
          <w:color w:val="auto"/>
          <w:spacing w:val="0"/>
          <w:sz w:val="24"/>
          <w:szCs w:val="24"/>
        </w:rPr>
        <w:t>（</w:t>
      </w:r>
      <w:r>
        <w:rPr>
          <w:rFonts w:ascii="Times New Roman" w:eastAsia="宋体" w:hAnsi="Times New Roman"/>
          <w:color w:val="auto"/>
          <w:spacing w:val="0"/>
          <w:sz w:val="24"/>
          <w:szCs w:val="24"/>
        </w:rPr>
        <w:t>2</w:t>
      </w:r>
      <w:r>
        <w:rPr>
          <w:rFonts w:ascii="Times New Roman" w:eastAsia="宋体" w:hAnsi="Times New Roman"/>
          <w:color w:val="auto"/>
          <w:spacing w:val="0"/>
          <w:sz w:val="24"/>
          <w:szCs w:val="24"/>
        </w:rPr>
        <w:t>）井下作业废水</w:t>
      </w:r>
    </w:p>
    <w:p w:rsidR="00EE4502" w:rsidRDefault="00FD45A3">
      <w:pPr>
        <w:pStyle w:val="afc"/>
        <w:spacing w:line="360" w:lineRule="auto"/>
        <w:ind w:firstLine="480"/>
        <w:rPr>
          <w:rFonts w:ascii="Times New Roman" w:eastAsia="宋体" w:hAnsi="Times New Roman"/>
          <w:color w:val="auto"/>
          <w:spacing w:val="0"/>
          <w:sz w:val="24"/>
          <w:szCs w:val="24"/>
        </w:rPr>
      </w:pPr>
      <w:r>
        <w:rPr>
          <w:rFonts w:ascii="Times New Roman" w:eastAsia="宋体" w:hAnsi="Times New Roman" w:hint="eastAsia"/>
          <w:color w:val="auto"/>
          <w:spacing w:val="0"/>
          <w:sz w:val="24"/>
          <w:szCs w:val="24"/>
        </w:rPr>
        <w:t>井下作业主要包括油井维修、大修、洗井等，</w:t>
      </w:r>
      <w:r>
        <w:rPr>
          <w:rFonts w:ascii="Times New Roman" w:eastAsia="宋体" w:hAnsi="Times New Roman"/>
          <w:color w:val="auto"/>
          <w:spacing w:val="0"/>
          <w:sz w:val="24"/>
          <w:szCs w:val="24"/>
        </w:rPr>
        <w:t>井下作业废水产生是临时性的，</w:t>
      </w:r>
      <w:r>
        <w:rPr>
          <w:rFonts w:ascii="Times New Roman" w:eastAsia="宋体" w:hAnsi="Times New Roman" w:hint="eastAsia"/>
          <w:color w:val="auto"/>
          <w:spacing w:val="0"/>
          <w:sz w:val="24"/>
          <w:szCs w:val="24"/>
        </w:rPr>
        <w:t>井下作业废水的主要来源为修井过程产生的压井水和压井液、修井时的循环水及洗井时产生的洗井废水。</w:t>
      </w:r>
      <w:r>
        <w:rPr>
          <w:rFonts w:ascii="Times New Roman" w:eastAsia="宋体" w:hAnsi="Times New Roman"/>
          <w:color w:val="auto"/>
          <w:spacing w:val="0"/>
          <w:sz w:val="24"/>
          <w:szCs w:val="24"/>
        </w:rPr>
        <w:t>根据《</w:t>
      </w:r>
      <w:bookmarkStart w:id="168" w:name="OLE_LINK1"/>
      <w:bookmarkStart w:id="169" w:name="OLE_LINK4"/>
      <w:r>
        <w:rPr>
          <w:rFonts w:ascii="Times New Roman" w:eastAsia="宋体" w:hAnsi="Times New Roman"/>
          <w:color w:val="auto"/>
          <w:spacing w:val="0"/>
          <w:sz w:val="24"/>
          <w:szCs w:val="24"/>
        </w:rPr>
        <w:t>工业源产排污核算方法和系数手册</w:t>
      </w:r>
      <w:bookmarkEnd w:id="168"/>
      <w:bookmarkEnd w:id="169"/>
      <w:r>
        <w:rPr>
          <w:rFonts w:ascii="Times New Roman" w:eastAsia="宋体" w:hAnsi="Times New Roman"/>
          <w:color w:val="auto"/>
          <w:spacing w:val="0"/>
          <w:sz w:val="24"/>
          <w:szCs w:val="24"/>
        </w:rPr>
        <w:t>》（</w:t>
      </w:r>
      <w:r>
        <w:rPr>
          <w:rFonts w:ascii="Times New Roman" w:eastAsia="宋体" w:hAnsi="Times New Roman"/>
          <w:color w:val="auto"/>
          <w:spacing w:val="0"/>
          <w:sz w:val="24"/>
          <w:szCs w:val="24"/>
        </w:rPr>
        <w:t>2021</w:t>
      </w:r>
      <w:r>
        <w:rPr>
          <w:rFonts w:ascii="Times New Roman" w:eastAsia="宋体" w:hAnsi="Times New Roman"/>
          <w:color w:val="auto"/>
          <w:spacing w:val="0"/>
          <w:sz w:val="24"/>
          <w:szCs w:val="24"/>
        </w:rPr>
        <w:t>年版）中石油和天然气开采专业及辅助性活动行业系数手册计算井下作业废水的产生量。</w:t>
      </w:r>
    </w:p>
    <w:p w:rsidR="00EE4502" w:rsidRDefault="00FD45A3">
      <w:pPr>
        <w:spacing w:line="360" w:lineRule="auto"/>
        <w:jc w:val="center"/>
        <w:rPr>
          <w:rFonts w:eastAsia="黑体"/>
          <w:bCs/>
          <w:lang w:val="zh-CN"/>
        </w:rPr>
      </w:pPr>
      <w:r>
        <w:rPr>
          <w:rFonts w:eastAsia="黑体"/>
          <w:bCs/>
          <w:lang w:val="zh-CN"/>
        </w:rPr>
        <w:t>表</w:t>
      </w:r>
      <w:r>
        <w:rPr>
          <w:rFonts w:eastAsia="黑体" w:hint="eastAsia"/>
          <w:bCs/>
          <w:lang w:val="zh-CN"/>
        </w:rPr>
        <w:t>3-4</w:t>
      </w:r>
      <w:r>
        <w:rPr>
          <w:rFonts w:eastAsia="黑体"/>
          <w:bCs/>
          <w:lang w:val="zh-CN"/>
        </w:rPr>
        <w:t>-</w:t>
      </w:r>
      <w:r>
        <w:rPr>
          <w:rFonts w:eastAsia="黑体"/>
          <w:bCs/>
        </w:rPr>
        <w:t>1</w:t>
      </w:r>
      <w:r>
        <w:rPr>
          <w:rFonts w:eastAsia="黑体" w:hint="eastAsia"/>
          <w:bCs/>
        </w:rPr>
        <w:t>1</w:t>
      </w:r>
      <w:r>
        <w:rPr>
          <w:rFonts w:eastAsia="黑体"/>
          <w:bCs/>
          <w:lang w:val="zh-CN"/>
        </w:rPr>
        <w:t xml:space="preserve">  </w:t>
      </w:r>
      <w:r>
        <w:rPr>
          <w:rFonts w:eastAsia="黑体"/>
          <w:bCs/>
          <w:lang w:val="zh-CN"/>
        </w:rPr>
        <w:t>与石油和天然气开采有关的服务活动产排污系数一览表</w:t>
      </w:r>
    </w:p>
    <w:tbl>
      <w:tblPr>
        <w:tblW w:w="5000" w:type="pct"/>
        <w:jc w:val="center"/>
        <w:tblBorders>
          <w:top w:val="single" w:sz="8" w:space="0" w:color="auto"/>
          <w:bottom w:val="single" w:sz="8" w:space="0" w:color="auto"/>
          <w:insideH w:val="single" w:sz="8" w:space="0" w:color="auto"/>
          <w:insideV w:val="single" w:sz="8" w:space="0" w:color="auto"/>
        </w:tblBorders>
        <w:tblCellMar>
          <w:left w:w="11" w:type="dxa"/>
          <w:right w:w="11" w:type="dxa"/>
        </w:tblCellMar>
        <w:tblLook w:val="04A0" w:firstRow="1" w:lastRow="0" w:firstColumn="1" w:lastColumn="0" w:noHBand="0" w:noVBand="1"/>
      </w:tblPr>
      <w:tblGrid>
        <w:gridCol w:w="705"/>
        <w:gridCol w:w="868"/>
        <w:gridCol w:w="705"/>
        <w:gridCol w:w="703"/>
        <w:gridCol w:w="811"/>
        <w:gridCol w:w="901"/>
        <w:gridCol w:w="904"/>
        <w:gridCol w:w="1134"/>
        <w:gridCol w:w="1597"/>
      </w:tblGrid>
      <w:tr w:rsidR="00EE4502">
        <w:trPr>
          <w:trHeight w:val="340"/>
          <w:jc w:val="center"/>
        </w:trPr>
        <w:tc>
          <w:tcPr>
            <w:tcW w:w="423" w:type="pct"/>
            <w:vAlign w:val="center"/>
          </w:tcPr>
          <w:p w:rsidR="00EE4502" w:rsidRDefault="00FD45A3">
            <w:pPr>
              <w:pStyle w:val="affffffffff"/>
              <w:kinsoku/>
              <w:wordWrap/>
              <w:overflowPunct/>
              <w:adjustRightInd/>
              <w:spacing w:after="0" w:line="240" w:lineRule="auto"/>
              <w:ind w:left="0" w:firstLineChars="0" w:firstLine="0"/>
              <w:rPr>
                <w:szCs w:val="21"/>
              </w:rPr>
            </w:pPr>
            <w:r>
              <w:rPr>
                <w:szCs w:val="21"/>
              </w:rPr>
              <w:t>产品名称</w:t>
            </w:r>
          </w:p>
        </w:tc>
        <w:tc>
          <w:tcPr>
            <w:tcW w:w="521" w:type="pct"/>
            <w:vAlign w:val="center"/>
          </w:tcPr>
          <w:p w:rsidR="00EE4502" w:rsidRDefault="00FD45A3">
            <w:pPr>
              <w:pStyle w:val="affffffffff"/>
              <w:kinsoku/>
              <w:wordWrap/>
              <w:overflowPunct/>
              <w:adjustRightInd/>
              <w:spacing w:after="0" w:line="240" w:lineRule="auto"/>
              <w:ind w:left="0" w:firstLineChars="0" w:firstLine="0"/>
              <w:rPr>
                <w:szCs w:val="21"/>
              </w:rPr>
            </w:pPr>
            <w:r>
              <w:rPr>
                <w:szCs w:val="21"/>
              </w:rPr>
              <w:t>原料名称</w:t>
            </w:r>
          </w:p>
        </w:tc>
        <w:tc>
          <w:tcPr>
            <w:tcW w:w="423" w:type="pct"/>
            <w:vAlign w:val="center"/>
          </w:tcPr>
          <w:p w:rsidR="00EE4502" w:rsidRDefault="00FD45A3">
            <w:pPr>
              <w:pStyle w:val="affffffffff"/>
              <w:kinsoku/>
              <w:wordWrap/>
              <w:overflowPunct/>
              <w:adjustRightInd/>
              <w:spacing w:after="0" w:line="240" w:lineRule="auto"/>
              <w:ind w:left="0" w:firstLineChars="0" w:firstLine="0"/>
              <w:rPr>
                <w:szCs w:val="21"/>
              </w:rPr>
            </w:pPr>
            <w:r>
              <w:rPr>
                <w:szCs w:val="21"/>
              </w:rPr>
              <w:t>工艺名称</w:t>
            </w:r>
          </w:p>
        </w:tc>
        <w:tc>
          <w:tcPr>
            <w:tcW w:w="422" w:type="pct"/>
            <w:vAlign w:val="center"/>
          </w:tcPr>
          <w:p w:rsidR="00EE4502" w:rsidRDefault="00FD45A3">
            <w:pPr>
              <w:pStyle w:val="affffffffff"/>
              <w:kinsoku/>
              <w:wordWrap/>
              <w:overflowPunct/>
              <w:adjustRightInd/>
              <w:spacing w:after="0" w:line="240" w:lineRule="auto"/>
              <w:ind w:left="0" w:firstLineChars="0" w:firstLine="0"/>
              <w:rPr>
                <w:szCs w:val="21"/>
              </w:rPr>
            </w:pPr>
            <w:r>
              <w:rPr>
                <w:szCs w:val="21"/>
              </w:rPr>
              <w:t>规模等级</w:t>
            </w:r>
          </w:p>
        </w:tc>
        <w:tc>
          <w:tcPr>
            <w:tcW w:w="487" w:type="pct"/>
            <w:vAlign w:val="center"/>
          </w:tcPr>
          <w:p w:rsidR="00EE4502" w:rsidRDefault="00FD45A3">
            <w:pPr>
              <w:pStyle w:val="affffffffff"/>
              <w:kinsoku/>
              <w:wordWrap/>
              <w:overflowPunct/>
              <w:adjustRightInd/>
              <w:spacing w:after="0" w:line="240" w:lineRule="auto"/>
              <w:ind w:left="0" w:firstLineChars="0" w:firstLine="0"/>
              <w:rPr>
                <w:szCs w:val="21"/>
              </w:rPr>
            </w:pPr>
            <w:r>
              <w:rPr>
                <w:szCs w:val="21"/>
              </w:rPr>
              <w:t>污染物指标</w:t>
            </w:r>
          </w:p>
        </w:tc>
        <w:tc>
          <w:tcPr>
            <w:tcW w:w="541" w:type="pct"/>
            <w:vAlign w:val="center"/>
          </w:tcPr>
          <w:p w:rsidR="00EE4502" w:rsidRDefault="00FD45A3">
            <w:pPr>
              <w:pStyle w:val="affffffffff"/>
              <w:kinsoku/>
              <w:wordWrap/>
              <w:overflowPunct/>
              <w:adjustRightInd/>
              <w:spacing w:after="0" w:line="240" w:lineRule="auto"/>
              <w:ind w:left="0" w:firstLineChars="0" w:firstLine="0"/>
              <w:rPr>
                <w:szCs w:val="21"/>
              </w:rPr>
            </w:pPr>
            <w:r>
              <w:rPr>
                <w:szCs w:val="21"/>
              </w:rPr>
              <w:t>单位</w:t>
            </w:r>
          </w:p>
        </w:tc>
        <w:tc>
          <w:tcPr>
            <w:tcW w:w="543" w:type="pct"/>
            <w:vAlign w:val="center"/>
          </w:tcPr>
          <w:p w:rsidR="00EE4502" w:rsidRDefault="00FD45A3">
            <w:pPr>
              <w:pStyle w:val="affffffffff"/>
              <w:kinsoku/>
              <w:wordWrap/>
              <w:overflowPunct/>
              <w:adjustRightInd/>
              <w:spacing w:after="0" w:line="240" w:lineRule="auto"/>
              <w:ind w:left="0" w:firstLineChars="0" w:firstLine="0"/>
              <w:rPr>
                <w:szCs w:val="21"/>
              </w:rPr>
            </w:pPr>
            <w:r>
              <w:rPr>
                <w:szCs w:val="21"/>
              </w:rPr>
              <w:t>产污系数</w:t>
            </w:r>
          </w:p>
        </w:tc>
        <w:tc>
          <w:tcPr>
            <w:tcW w:w="681" w:type="pct"/>
            <w:vAlign w:val="center"/>
          </w:tcPr>
          <w:p w:rsidR="00EE4502" w:rsidRDefault="00FD45A3">
            <w:pPr>
              <w:jc w:val="center"/>
              <w:rPr>
                <w:szCs w:val="21"/>
              </w:rPr>
            </w:pPr>
            <w:r>
              <w:rPr>
                <w:szCs w:val="21"/>
              </w:rPr>
              <w:t>末端治理技术名称</w:t>
            </w:r>
          </w:p>
        </w:tc>
        <w:tc>
          <w:tcPr>
            <w:tcW w:w="960" w:type="pct"/>
            <w:vAlign w:val="center"/>
          </w:tcPr>
          <w:p w:rsidR="00EE4502" w:rsidRDefault="00FD45A3">
            <w:pPr>
              <w:jc w:val="center"/>
              <w:rPr>
                <w:szCs w:val="21"/>
              </w:rPr>
            </w:pPr>
            <w:r>
              <w:rPr>
                <w:szCs w:val="21"/>
              </w:rPr>
              <w:t>末端治理技术平均去除效率</w:t>
            </w:r>
          </w:p>
        </w:tc>
      </w:tr>
      <w:tr w:rsidR="00EE4502">
        <w:trPr>
          <w:trHeight w:val="340"/>
          <w:jc w:val="center"/>
        </w:trPr>
        <w:tc>
          <w:tcPr>
            <w:tcW w:w="423" w:type="pct"/>
            <w:vMerge w:val="restart"/>
            <w:vAlign w:val="center"/>
          </w:tcPr>
          <w:p w:rsidR="00EE4502" w:rsidRDefault="00FD45A3">
            <w:pPr>
              <w:pStyle w:val="affffffffff"/>
              <w:kinsoku/>
              <w:wordWrap/>
              <w:overflowPunct/>
              <w:adjustRightInd/>
              <w:spacing w:after="0" w:line="240" w:lineRule="auto"/>
              <w:ind w:left="0" w:firstLineChars="0" w:firstLine="0"/>
              <w:rPr>
                <w:szCs w:val="21"/>
              </w:rPr>
            </w:pPr>
            <w:r>
              <w:rPr>
                <w:szCs w:val="21"/>
              </w:rPr>
              <w:t>井下作业</w:t>
            </w:r>
          </w:p>
        </w:tc>
        <w:tc>
          <w:tcPr>
            <w:tcW w:w="521" w:type="pct"/>
            <w:vMerge w:val="restart"/>
            <w:vAlign w:val="center"/>
          </w:tcPr>
          <w:p w:rsidR="00EE4502" w:rsidRDefault="00FD45A3">
            <w:pPr>
              <w:pStyle w:val="affffffffff"/>
              <w:kinsoku/>
              <w:wordWrap/>
              <w:overflowPunct/>
              <w:adjustRightInd/>
              <w:spacing w:after="0" w:line="240" w:lineRule="auto"/>
              <w:ind w:left="0" w:firstLineChars="0" w:firstLine="0"/>
              <w:rPr>
                <w:szCs w:val="21"/>
              </w:rPr>
            </w:pPr>
            <w:r>
              <w:rPr>
                <w:szCs w:val="21"/>
              </w:rPr>
              <w:t>洗井液</w:t>
            </w:r>
          </w:p>
          <w:p w:rsidR="00EE4502" w:rsidRDefault="00FD45A3">
            <w:pPr>
              <w:pStyle w:val="affffffffff"/>
              <w:kinsoku/>
              <w:wordWrap/>
              <w:overflowPunct/>
              <w:adjustRightInd/>
              <w:spacing w:after="0" w:line="240" w:lineRule="auto"/>
              <w:ind w:left="0" w:firstLineChars="0" w:firstLine="0"/>
              <w:rPr>
                <w:szCs w:val="21"/>
              </w:rPr>
            </w:pPr>
            <w:r>
              <w:rPr>
                <w:szCs w:val="21"/>
              </w:rPr>
              <w:t>（水）</w:t>
            </w:r>
          </w:p>
        </w:tc>
        <w:tc>
          <w:tcPr>
            <w:tcW w:w="423" w:type="pct"/>
            <w:vMerge w:val="restart"/>
            <w:vAlign w:val="center"/>
          </w:tcPr>
          <w:p w:rsidR="00EE4502" w:rsidRDefault="00FD45A3">
            <w:pPr>
              <w:pStyle w:val="affffffffff"/>
              <w:kinsoku/>
              <w:wordWrap/>
              <w:overflowPunct/>
              <w:adjustRightInd/>
              <w:spacing w:after="0" w:line="240" w:lineRule="auto"/>
              <w:ind w:left="0" w:firstLineChars="0" w:firstLine="0"/>
              <w:rPr>
                <w:szCs w:val="21"/>
              </w:rPr>
            </w:pPr>
            <w:bookmarkStart w:id="170" w:name="OLE_LINK5"/>
            <w:r>
              <w:rPr>
                <w:szCs w:val="21"/>
              </w:rPr>
              <w:t>非低渗透油井</w:t>
            </w:r>
            <w:bookmarkEnd w:id="170"/>
            <w:r>
              <w:rPr>
                <w:szCs w:val="21"/>
              </w:rPr>
              <w:t>洗井作业</w:t>
            </w:r>
          </w:p>
        </w:tc>
        <w:tc>
          <w:tcPr>
            <w:tcW w:w="422" w:type="pct"/>
            <w:vMerge w:val="restart"/>
            <w:vAlign w:val="center"/>
          </w:tcPr>
          <w:p w:rsidR="00EE4502" w:rsidRDefault="00FD45A3">
            <w:pPr>
              <w:pStyle w:val="affffffffff"/>
              <w:kinsoku/>
              <w:wordWrap/>
              <w:overflowPunct/>
              <w:adjustRightInd/>
              <w:spacing w:after="0" w:line="240" w:lineRule="auto"/>
              <w:ind w:left="0" w:firstLineChars="0" w:firstLine="0"/>
              <w:rPr>
                <w:szCs w:val="21"/>
              </w:rPr>
            </w:pPr>
            <w:r>
              <w:rPr>
                <w:szCs w:val="21"/>
              </w:rPr>
              <w:t>所有规模</w:t>
            </w:r>
          </w:p>
        </w:tc>
        <w:tc>
          <w:tcPr>
            <w:tcW w:w="487" w:type="pct"/>
            <w:vAlign w:val="center"/>
          </w:tcPr>
          <w:p w:rsidR="00EE4502" w:rsidRDefault="00FD45A3">
            <w:pPr>
              <w:pStyle w:val="affffffffff"/>
              <w:kinsoku/>
              <w:wordWrap/>
              <w:overflowPunct/>
              <w:adjustRightInd/>
              <w:spacing w:after="0" w:line="240" w:lineRule="auto"/>
              <w:ind w:left="0" w:firstLineChars="0" w:firstLine="0"/>
              <w:rPr>
                <w:szCs w:val="21"/>
              </w:rPr>
            </w:pPr>
            <w:r>
              <w:rPr>
                <w:szCs w:val="21"/>
              </w:rPr>
              <w:t>工业废水量</w:t>
            </w:r>
          </w:p>
        </w:tc>
        <w:tc>
          <w:tcPr>
            <w:tcW w:w="541" w:type="pct"/>
            <w:vAlign w:val="center"/>
          </w:tcPr>
          <w:p w:rsidR="00EE4502" w:rsidRDefault="00FD45A3">
            <w:pPr>
              <w:pStyle w:val="affffffffff"/>
              <w:kinsoku/>
              <w:wordWrap/>
              <w:overflowPunct/>
              <w:adjustRightInd/>
              <w:spacing w:after="0" w:line="240" w:lineRule="auto"/>
              <w:ind w:left="0" w:firstLineChars="0" w:firstLine="0"/>
              <w:rPr>
                <w:szCs w:val="21"/>
              </w:rPr>
            </w:pPr>
            <w:r>
              <w:rPr>
                <w:szCs w:val="21"/>
              </w:rPr>
              <w:t>吨</w:t>
            </w:r>
            <w:r>
              <w:rPr>
                <w:szCs w:val="21"/>
              </w:rPr>
              <w:t>/</w:t>
            </w:r>
            <w:r>
              <w:rPr>
                <w:szCs w:val="21"/>
              </w:rPr>
              <w:t>井次</w:t>
            </w:r>
            <w:r>
              <w:rPr>
                <w:szCs w:val="21"/>
              </w:rPr>
              <w:t>-</w:t>
            </w:r>
            <w:r>
              <w:rPr>
                <w:szCs w:val="21"/>
              </w:rPr>
              <w:t>产品</w:t>
            </w:r>
          </w:p>
        </w:tc>
        <w:tc>
          <w:tcPr>
            <w:tcW w:w="543" w:type="pct"/>
            <w:vAlign w:val="center"/>
          </w:tcPr>
          <w:p w:rsidR="00EE4502" w:rsidRDefault="00FD45A3">
            <w:pPr>
              <w:pStyle w:val="affffffffff"/>
              <w:kinsoku/>
              <w:wordWrap/>
              <w:overflowPunct/>
              <w:adjustRightInd/>
              <w:spacing w:after="0" w:line="240" w:lineRule="auto"/>
              <w:ind w:left="0" w:firstLineChars="0" w:firstLine="0"/>
              <w:rPr>
                <w:szCs w:val="21"/>
              </w:rPr>
            </w:pPr>
            <w:r>
              <w:rPr>
                <w:szCs w:val="21"/>
              </w:rPr>
              <w:t>76.0</w:t>
            </w:r>
          </w:p>
        </w:tc>
        <w:tc>
          <w:tcPr>
            <w:tcW w:w="681" w:type="pct"/>
            <w:vAlign w:val="center"/>
          </w:tcPr>
          <w:p w:rsidR="00EE4502" w:rsidRDefault="00FD45A3">
            <w:pPr>
              <w:jc w:val="center"/>
              <w:rPr>
                <w:szCs w:val="21"/>
              </w:rPr>
            </w:pPr>
            <w:r>
              <w:rPr>
                <w:szCs w:val="21"/>
              </w:rPr>
              <w:t>/</w:t>
            </w:r>
          </w:p>
        </w:tc>
        <w:tc>
          <w:tcPr>
            <w:tcW w:w="960" w:type="pct"/>
            <w:vAlign w:val="center"/>
          </w:tcPr>
          <w:p w:rsidR="00EE4502" w:rsidRDefault="00FD45A3">
            <w:pPr>
              <w:jc w:val="center"/>
              <w:rPr>
                <w:szCs w:val="21"/>
              </w:rPr>
            </w:pPr>
            <w:r>
              <w:rPr>
                <w:szCs w:val="21"/>
              </w:rPr>
              <w:t>/</w:t>
            </w:r>
          </w:p>
        </w:tc>
      </w:tr>
      <w:tr w:rsidR="00EE4502">
        <w:trPr>
          <w:trHeight w:val="340"/>
          <w:jc w:val="center"/>
        </w:trPr>
        <w:tc>
          <w:tcPr>
            <w:tcW w:w="423" w:type="pct"/>
            <w:vMerge/>
            <w:vAlign w:val="center"/>
          </w:tcPr>
          <w:p w:rsidR="00EE4502" w:rsidRDefault="00EE4502">
            <w:pPr>
              <w:pStyle w:val="affffffffff"/>
              <w:kinsoku/>
              <w:wordWrap/>
              <w:overflowPunct/>
              <w:adjustRightInd/>
              <w:spacing w:after="0" w:line="240" w:lineRule="auto"/>
              <w:ind w:left="0" w:firstLineChars="0" w:firstLine="0"/>
              <w:rPr>
                <w:szCs w:val="21"/>
              </w:rPr>
            </w:pPr>
          </w:p>
        </w:tc>
        <w:tc>
          <w:tcPr>
            <w:tcW w:w="521" w:type="pct"/>
            <w:vMerge/>
            <w:vAlign w:val="center"/>
          </w:tcPr>
          <w:p w:rsidR="00EE4502" w:rsidRDefault="00EE4502">
            <w:pPr>
              <w:pStyle w:val="affffffffff"/>
              <w:kinsoku/>
              <w:wordWrap/>
              <w:overflowPunct/>
              <w:adjustRightInd/>
              <w:spacing w:after="0" w:line="240" w:lineRule="auto"/>
              <w:ind w:left="0" w:firstLineChars="0" w:firstLine="0"/>
              <w:rPr>
                <w:szCs w:val="21"/>
              </w:rPr>
            </w:pPr>
          </w:p>
        </w:tc>
        <w:tc>
          <w:tcPr>
            <w:tcW w:w="423" w:type="pct"/>
            <w:vMerge/>
            <w:vAlign w:val="center"/>
          </w:tcPr>
          <w:p w:rsidR="00EE4502" w:rsidRDefault="00EE4502">
            <w:pPr>
              <w:pStyle w:val="affffffffff"/>
              <w:kinsoku/>
              <w:wordWrap/>
              <w:overflowPunct/>
              <w:adjustRightInd/>
              <w:spacing w:after="0" w:line="240" w:lineRule="auto"/>
              <w:ind w:left="0" w:firstLineChars="0" w:firstLine="0"/>
              <w:rPr>
                <w:szCs w:val="21"/>
              </w:rPr>
            </w:pPr>
          </w:p>
        </w:tc>
        <w:tc>
          <w:tcPr>
            <w:tcW w:w="422" w:type="pct"/>
            <w:vMerge/>
            <w:vAlign w:val="center"/>
          </w:tcPr>
          <w:p w:rsidR="00EE4502" w:rsidRDefault="00EE4502">
            <w:pPr>
              <w:pStyle w:val="affffffffff"/>
              <w:kinsoku/>
              <w:wordWrap/>
              <w:overflowPunct/>
              <w:adjustRightInd/>
              <w:spacing w:after="0" w:line="240" w:lineRule="auto"/>
              <w:ind w:left="0" w:firstLineChars="0" w:firstLine="0"/>
              <w:rPr>
                <w:szCs w:val="21"/>
              </w:rPr>
            </w:pPr>
          </w:p>
        </w:tc>
        <w:tc>
          <w:tcPr>
            <w:tcW w:w="487" w:type="pct"/>
            <w:vAlign w:val="center"/>
          </w:tcPr>
          <w:p w:rsidR="00EE4502" w:rsidRDefault="00FD45A3">
            <w:pPr>
              <w:pStyle w:val="affffffffff"/>
              <w:kinsoku/>
              <w:wordWrap/>
              <w:overflowPunct/>
              <w:adjustRightInd/>
              <w:spacing w:after="0" w:line="240" w:lineRule="auto"/>
              <w:ind w:left="0" w:firstLineChars="0" w:firstLine="0"/>
              <w:rPr>
                <w:szCs w:val="21"/>
              </w:rPr>
            </w:pPr>
            <w:r>
              <w:rPr>
                <w:szCs w:val="21"/>
              </w:rPr>
              <w:t>化学需氧量</w:t>
            </w:r>
          </w:p>
        </w:tc>
        <w:tc>
          <w:tcPr>
            <w:tcW w:w="541" w:type="pct"/>
            <w:vAlign w:val="center"/>
          </w:tcPr>
          <w:p w:rsidR="00EE4502" w:rsidRDefault="00FD45A3">
            <w:pPr>
              <w:pStyle w:val="affffffffff"/>
              <w:kinsoku/>
              <w:wordWrap/>
              <w:overflowPunct/>
              <w:adjustRightInd/>
              <w:spacing w:after="0" w:line="240" w:lineRule="auto"/>
              <w:ind w:left="0" w:firstLineChars="0" w:firstLine="0"/>
              <w:rPr>
                <w:szCs w:val="21"/>
              </w:rPr>
            </w:pPr>
            <w:r>
              <w:rPr>
                <w:szCs w:val="21"/>
              </w:rPr>
              <w:t>克</w:t>
            </w:r>
            <w:r>
              <w:rPr>
                <w:szCs w:val="21"/>
              </w:rPr>
              <w:t>/</w:t>
            </w:r>
            <w:r>
              <w:rPr>
                <w:szCs w:val="21"/>
              </w:rPr>
              <w:t>井次</w:t>
            </w:r>
            <w:r>
              <w:rPr>
                <w:szCs w:val="21"/>
              </w:rPr>
              <w:t>-</w:t>
            </w:r>
            <w:r>
              <w:rPr>
                <w:szCs w:val="21"/>
              </w:rPr>
              <w:t>产品</w:t>
            </w:r>
          </w:p>
        </w:tc>
        <w:tc>
          <w:tcPr>
            <w:tcW w:w="543" w:type="pct"/>
            <w:vAlign w:val="center"/>
          </w:tcPr>
          <w:p w:rsidR="00EE4502" w:rsidRDefault="00FD45A3">
            <w:pPr>
              <w:pStyle w:val="affffffffff"/>
              <w:kinsoku/>
              <w:wordWrap/>
              <w:overflowPunct/>
              <w:adjustRightInd/>
              <w:spacing w:after="0" w:line="240" w:lineRule="auto"/>
              <w:ind w:left="0" w:firstLineChars="0" w:firstLine="0"/>
              <w:rPr>
                <w:szCs w:val="21"/>
              </w:rPr>
            </w:pPr>
            <w:r>
              <w:rPr>
                <w:szCs w:val="21"/>
              </w:rPr>
              <w:t>104525</w:t>
            </w:r>
          </w:p>
        </w:tc>
        <w:tc>
          <w:tcPr>
            <w:tcW w:w="681" w:type="pct"/>
            <w:vAlign w:val="center"/>
          </w:tcPr>
          <w:p w:rsidR="00EE4502" w:rsidRDefault="00FD45A3">
            <w:pPr>
              <w:jc w:val="center"/>
              <w:rPr>
                <w:szCs w:val="21"/>
              </w:rPr>
            </w:pPr>
            <w:r>
              <w:rPr>
                <w:szCs w:val="21"/>
              </w:rPr>
              <w:t>物理</w:t>
            </w:r>
            <w:r>
              <w:rPr>
                <w:szCs w:val="21"/>
              </w:rPr>
              <w:t>+</w:t>
            </w:r>
            <w:r>
              <w:rPr>
                <w:szCs w:val="21"/>
              </w:rPr>
              <w:t>化学</w:t>
            </w:r>
            <w:r>
              <w:rPr>
                <w:szCs w:val="21"/>
              </w:rPr>
              <w:t>+</w:t>
            </w:r>
            <w:r>
              <w:rPr>
                <w:szCs w:val="21"/>
              </w:rPr>
              <w:t>回注</w:t>
            </w:r>
          </w:p>
        </w:tc>
        <w:tc>
          <w:tcPr>
            <w:tcW w:w="960" w:type="pct"/>
            <w:vAlign w:val="center"/>
          </w:tcPr>
          <w:p w:rsidR="00EE4502" w:rsidRDefault="00FD45A3">
            <w:pPr>
              <w:jc w:val="center"/>
              <w:rPr>
                <w:szCs w:val="21"/>
              </w:rPr>
            </w:pPr>
            <w:r>
              <w:rPr>
                <w:szCs w:val="21"/>
              </w:rPr>
              <w:t>100</w:t>
            </w:r>
          </w:p>
        </w:tc>
      </w:tr>
      <w:tr w:rsidR="00EE4502">
        <w:trPr>
          <w:trHeight w:val="340"/>
          <w:jc w:val="center"/>
        </w:trPr>
        <w:tc>
          <w:tcPr>
            <w:tcW w:w="423" w:type="pct"/>
            <w:vMerge/>
            <w:vAlign w:val="center"/>
          </w:tcPr>
          <w:p w:rsidR="00EE4502" w:rsidRDefault="00EE4502">
            <w:pPr>
              <w:pStyle w:val="affffffffff"/>
              <w:kinsoku/>
              <w:wordWrap/>
              <w:overflowPunct/>
              <w:adjustRightInd/>
              <w:spacing w:after="0" w:line="240" w:lineRule="auto"/>
              <w:ind w:left="0" w:firstLineChars="0" w:firstLine="0"/>
              <w:rPr>
                <w:szCs w:val="21"/>
              </w:rPr>
            </w:pPr>
          </w:p>
        </w:tc>
        <w:tc>
          <w:tcPr>
            <w:tcW w:w="521" w:type="pct"/>
            <w:vMerge/>
            <w:vAlign w:val="center"/>
          </w:tcPr>
          <w:p w:rsidR="00EE4502" w:rsidRDefault="00EE4502">
            <w:pPr>
              <w:pStyle w:val="affffffffff"/>
              <w:kinsoku/>
              <w:wordWrap/>
              <w:overflowPunct/>
              <w:adjustRightInd/>
              <w:spacing w:after="0" w:line="240" w:lineRule="auto"/>
              <w:ind w:left="0" w:firstLineChars="0" w:firstLine="0"/>
              <w:rPr>
                <w:szCs w:val="21"/>
              </w:rPr>
            </w:pPr>
          </w:p>
        </w:tc>
        <w:tc>
          <w:tcPr>
            <w:tcW w:w="423" w:type="pct"/>
            <w:vMerge/>
            <w:vAlign w:val="center"/>
          </w:tcPr>
          <w:p w:rsidR="00EE4502" w:rsidRDefault="00EE4502">
            <w:pPr>
              <w:pStyle w:val="affffffffff"/>
              <w:kinsoku/>
              <w:wordWrap/>
              <w:overflowPunct/>
              <w:adjustRightInd/>
              <w:spacing w:after="0" w:line="240" w:lineRule="auto"/>
              <w:ind w:left="0" w:firstLineChars="0" w:firstLine="0"/>
              <w:rPr>
                <w:szCs w:val="21"/>
              </w:rPr>
            </w:pPr>
          </w:p>
        </w:tc>
        <w:tc>
          <w:tcPr>
            <w:tcW w:w="422" w:type="pct"/>
            <w:vMerge/>
            <w:vAlign w:val="center"/>
          </w:tcPr>
          <w:p w:rsidR="00EE4502" w:rsidRDefault="00EE4502">
            <w:pPr>
              <w:pStyle w:val="affffffffff"/>
              <w:kinsoku/>
              <w:wordWrap/>
              <w:overflowPunct/>
              <w:adjustRightInd/>
              <w:spacing w:after="0" w:line="240" w:lineRule="auto"/>
              <w:ind w:left="0" w:firstLineChars="0" w:firstLine="0"/>
              <w:rPr>
                <w:szCs w:val="21"/>
              </w:rPr>
            </w:pPr>
          </w:p>
        </w:tc>
        <w:tc>
          <w:tcPr>
            <w:tcW w:w="487" w:type="pct"/>
            <w:vAlign w:val="center"/>
          </w:tcPr>
          <w:p w:rsidR="00EE4502" w:rsidRDefault="00FD45A3">
            <w:pPr>
              <w:pStyle w:val="affffffffff"/>
              <w:kinsoku/>
              <w:wordWrap/>
              <w:overflowPunct/>
              <w:adjustRightInd/>
              <w:spacing w:after="0" w:line="240" w:lineRule="auto"/>
              <w:ind w:left="0" w:firstLineChars="0" w:firstLine="0"/>
              <w:rPr>
                <w:szCs w:val="21"/>
              </w:rPr>
            </w:pPr>
            <w:r>
              <w:rPr>
                <w:szCs w:val="21"/>
              </w:rPr>
              <w:t>石油类</w:t>
            </w:r>
          </w:p>
        </w:tc>
        <w:tc>
          <w:tcPr>
            <w:tcW w:w="541" w:type="pct"/>
            <w:vAlign w:val="center"/>
          </w:tcPr>
          <w:p w:rsidR="00EE4502" w:rsidRDefault="00FD45A3">
            <w:pPr>
              <w:pStyle w:val="affffffffff"/>
              <w:kinsoku/>
              <w:wordWrap/>
              <w:overflowPunct/>
              <w:adjustRightInd/>
              <w:spacing w:after="0" w:line="240" w:lineRule="auto"/>
              <w:ind w:left="0" w:firstLineChars="0" w:firstLine="0"/>
              <w:rPr>
                <w:szCs w:val="21"/>
              </w:rPr>
            </w:pPr>
            <w:r>
              <w:rPr>
                <w:szCs w:val="21"/>
              </w:rPr>
              <w:t>克</w:t>
            </w:r>
            <w:r>
              <w:rPr>
                <w:szCs w:val="21"/>
              </w:rPr>
              <w:t>/</w:t>
            </w:r>
            <w:r>
              <w:rPr>
                <w:szCs w:val="21"/>
              </w:rPr>
              <w:t>井次</w:t>
            </w:r>
            <w:r>
              <w:rPr>
                <w:szCs w:val="21"/>
              </w:rPr>
              <w:t>-</w:t>
            </w:r>
            <w:r>
              <w:rPr>
                <w:szCs w:val="21"/>
              </w:rPr>
              <w:t>产品</w:t>
            </w:r>
          </w:p>
        </w:tc>
        <w:tc>
          <w:tcPr>
            <w:tcW w:w="543" w:type="pct"/>
            <w:vAlign w:val="center"/>
          </w:tcPr>
          <w:p w:rsidR="00EE4502" w:rsidRDefault="00FD45A3">
            <w:pPr>
              <w:pStyle w:val="affffffffff"/>
              <w:kinsoku/>
              <w:wordWrap/>
              <w:overflowPunct/>
              <w:adjustRightInd/>
              <w:spacing w:after="0" w:line="240" w:lineRule="auto"/>
              <w:ind w:left="0" w:firstLineChars="0" w:firstLine="0"/>
              <w:rPr>
                <w:szCs w:val="21"/>
              </w:rPr>
            </w:pPr>
            <w:r>
              <w:rPr>
                <w:szCs w:val="21"/>
              </w:rPr>
              <w:t>17645</w:t>
            </w:r>
          </w:p>
        </w:tc>
        <w:tc>
          <w:tcPr>
            <w:tcW w:w="681" w:type="pct"/>
            <w:vAlign w:val="center"/>
          </w:tcPr>
          <w:p w:rsidR="00EE4502" w:rsidRDefault="00FD45A3">
            <w:pPr>
              <w:jc w:val="center"/>
              <w:rPr>
                <w:szCs w:val="21"/>
              </w:rPr>
            </w:pPr>
            <w:r>
              <w:rPr>
                <w:szCs w:val="21"/>
              </w:rPr>
              <w:t>物理</w:t>
            </w:r>
            <w:r>
              <w:rPr>
                <w:szCs w:val="21"/>
              </w:rPr>
              <w:t>+</w:t>
            </w:r>
            <w:r>
              <w:rPr>
                <w:szCs w:val="21"/>
              </w:rPr>
              <w:t>化学</w:t>
            </w:r>
            <w:r>
              <w:rPr>
                <w:szCs w:val="21"/>
              </w:rPr>
              <w:t>+</w:t>
            </w:r>
            <w:r>
              <w:rPr>
                <w:szCs w:val="21"/>
              </w:rPr>
              <w:t>回注</w:t>
            </w:r>
          </w:p>
        </w:tc>
        <w:tc>
          <w:tcPr>
            <w:tcW w:w="960" w:type="pct"/>
            <w:vAlign w:val="center"/>
          </w:tcPr>
          <w:p w:rsidR="00EE4502" w:rsidRDefault="00FD45A3">
            <w:pPr>
              <w:jc w:val="center"/>
              <w:rPr>
                <w:szCs w:val="21"/>
              </w:rPr>
            </w:pPr>
            <w:r>
              <w:rPr>
                <w:szCs w:val="21"/>
              </w:rPr>
              <w:t>100</w:t>
            </w:r>
          </w:p>
        </w:tc>
      </w:tr>
    </w:tbl>
    <w:p w:rsidR="00EE4502" w:rsidRDefault="00EE4502">
      <w:pPr>
        <w:jc w:val="center"/>
        <w:rPr>
          <w:sz w:val="18"/>
          <w:szCs w:val="18"/>
        </w:rPr>
      </w:pPr>
    </w:p>
    <w:p w:rsidR="00EE4502" w:rsidRDefault="00FD45A3">
      <w:pPr>
        <w:pStyle w:val="afffff7"/>
        <w:ind w:firstLineChars="200" w:firstLine="480"/>
        <w:rPr>
          <w:color w:val="auto"/>
        </w:rPr>
      </w:pPr>
      <w:r>
        <w:rPr>
          <w:rFonts w:hint="eastAsia"/>
          <w:bCs/>
          <w:color w:val="auto"/>
        </w:rPr>
        <w:t>本工程</w:t>
      </w:r>
      <w:r>
        <w:rPr>
          <w:bCs/>
          <w:color w:val="auto"/>
        </w:rPr>
        <w:t>油藏</w:t>
      </w:r>
      <w:r>
        <w:rPr>
          <w:color w:val="auto"/>
        </w:rPr>
        <w:t>储层为非低渗透油藏储层，根据表</w:t>
      </w:r>
      <w:r>
        <w:rPr>
          <w:rFonts w:hint="eastAsia"/>
          <w:color w:val="auto"/>
        </w:rPr>
        <w:t>3-4</w:t>
      </w:r>
      <w:r>
        <w:rPr>
          <w:color w:val="auto"/>
        </w:rPr>
        <w:t>-</w:t>
      </w:r>
      <w:r>
        <w:rPr>
          <w:rFonts w:hint="eastAsia"/>
          <w:color w:val="auto"/>
        </w:rPr>
        <w:t>8</w:t>
      </w:r>
      <w:r>
        <w:rPr>
          <w:color w:val="auto"/>
        </w:rPr>
        <w:t>计算井下作业废水产生量为</w:t>
      </w:r>
      <w:r>
        <w:rPr>
          <w:color w:val="auto"/>
        </w:rPr>
        <w:t>76.0t/</w:t>
      </w:r>
      <w:r>
        <w:rPr>
          <w:color w:val="auto"/>
        </w:rPr>
        <w:t>井次，化学需氧量产生量为</w:t>
      </w:r>
      <w:r>
        <w:rPr>
          <w:color w:val="auto"/>
        </w:rPr>
        <w:t>104525g/</w:t>
      </w:r>
      <w:r>
        <w:rPr>
          <w:color w:val="auto"/>
        </w:rPr>
        <w:t>井次，石油类产生量为</w:t>
      </w:r>
      <w:r>
        <w:rPr>
          <w:color w:val="auto"/>
        </w:rPr>
        <w:t>17645g/</w:t>
      </w:r>
      <w:r>
        <w:rPr>
          <w:color w:val="auto"/>
        </w:rPr>
        <w:t>井次</w:t>
      </w:r>
      <w:r>
        <w:rPr>
          <w:rFonts w:hint="eastAsia"/>
          <w:color w:val="auto"/>
        </w:rPr>
        <w:t>。</w:t>
      </w:r>
    </w:p>
    <w:p w:rsidR="00EE4502" w:rsidRDefault="00FD45A3">
      <w:pPr>
        <w:spacing w:line="360" w:lineRule="auto"/>
        <w:ind w:firstLine="480"/>
        <w:rPr>
          <w:sz w:val="24"/>
        </w:rPr>
      </w:pPr>
      <w:r>
        <w:rPr>
          <w:sz w:val="24"/>
        </w:rPr>
        <w:t>按井下作业每</w:t>
      </w:r>
      <w:r>
        <w:rPr>
          <w:sz w:val="24"/>
        </w:rPr>
        <w:t>2</w:t>
      </w:r>
      <w:r>
        <w:rPr>
          <w:sz w:val="24"/>
        </w:rPr>
        <w:t>年</w:t>
      </w:r>
      <w:r>
        <w:rPr>
          <w:sz w:val="24"/>
        </w:rPr>
        <w:t>1</w:t>
      </w:r>
      <w:r>
        <w:rPr>
          <w:sz w:val="24"/>
        </w:rPr>
        <w:t>次计算，则单井每年产生井下作业废水</w:t>
      </w:r>
      <w:r>
        <w:rPr>
          <w:sz w:val="24"/>
        </w:rPr>
        <w:t>38t</w:t>
      </w:r>
      <w:r>
        <w:rPr>
          <w:sz w:val="24"/>
        </w:rPr>
        <w:t>、化学需氧量</w:t>
      </w:r>
      <w:r>
        <w:rPr>
          <w:sz w:val="24"/>
        </w:rPr>
        <w:t>52262.5g</w:t>
      </w:r>
      <w:r>
        <w:rPr>
          <w:sz w:val="24"/>
        </w:rPr>
        <w:t>、石油类</w:t>
      </w:r>
      <w:r>
        <w:rPr>
          <w:sz w:val="24"/>
        </w:rPr>
        <w:t>8822.5g</w:t>
      </w:r>
      <w:r>
        <w:rPr>
          <w:spacing w:val="4"/>
          <w:sz w:val="24"/>
        </w:rPr>
        <w:t>，则</w:t>
      </w:r>
      <w:r>
        <w:rPr>
          <w:rFonts w:hint="eastAsia"/>
          <w:spacing w:val="4"/>
          <w:sz w:val="24"/>
        </w:rPr>
        <w:t>本工程</w:t>
      </w:r>
      <w:r>
        <w:rPr>
          <w:rFonts w:hint="eastAsia"/>
          <w:spacing w:val="4"/>
          <w:sz w:val="24"/>
        </w:rPr>
        <w:t>18</w:t>
      </w:r>
      <w:r>
        <w:rPr>
          <w:spacing w:val="4"/>
          <w:sz w:val="24"/>
        </w:rPr>
        <w:t>口采油井井下作业工程产生的井下作业废水、化学需氧量、石油类分别为</w:t>
      </w:r>
      <w:r>
        <w:rPr>
          <w:rFonts w:hint="eastAsia"/>
          <w:spacing w:val="4"/>
          <w:sz w:val="24"/>
        </w:rPr>
        <w:t>1368</w:t>
      </w:r>
      <w:r>
        <w:rPr>
          <w:spacing w:val="4"/>
          <w:sz w:val="24"/>
        </w:rPr>
        <w:t>t/a</w:t>
      </w:r>
      <w:r>
        <w:rPr>
          <w:spacing w:val="4"/>
          <w:sz w:val="24"/>
        </w:rPr>
        <w:t>、</w:t>
      </w:r>
      <w:r>
        <w:rPr>
          <w:rFonts w:hint="eastAsia"/>
          <w:spacing w:val="4"/>
          <w:sz w:val="24"/>
        </w:rPr>
        <w:t>1.88</w:t>
      </w:r>
      <w:r>
        <w:rPr>
          <w:spacing w:val="4"/>
          <w:sz w:val="24"/>
        </w:rPr>
        <w:t>t/a</w:t>
      </w:r>
      <w:r>
        <w:rPr>
          <w:spacing w:val="4"/>
          <w:sz w:val="24"/>
        </w:rPr>
        <w:t>、</w:t>
      </w:r>
      <w:r>
        <w:rPr>
          <w:rFonts w:hint="eastAsia"/>
          <w:spacing w:val="4"/>
          <w:sz w:val="24"/>
        </w:rPr>
        <w:t>0.3</w:t>
      </w:r>
      <w:r>
        <w:rPr>
          <w:rFonts w:hint="eastAsia"/>
          <w:spacing w:val="4"/>
          <w:sz w:val="24"/>
        </w:rPr>
        <w:t>2</w:t>
      </w:r>
      <w:r>
        <w:rPr>
          <w:spacing w:val="4"/>
          <w:sz w:val="24"/>
        </w:rPr>
        <w:t>t/a</w:t>
      </w:r>
      <w:r>
        <w:rPr>
          <w:sz w:val="24"/>
        </w:rPr>
        <w:t>。井下作业废水自带回收罐回收作业废水，之后拉运至</w:t>
      </w:r>
      <w:r>
        <w:rPr>
          <w:rFonts w:hint="eastAsia"/>
          <w:sz w:val="24"/>
        </w:rPr>
        <w:t>春风二号联合站</w:t>
      </w:r>
      <w:r>
        <w:rPr>
          <w:sz w:val="24"/>
        </w:rPr>
        <w:t>的污水处理系统处理达标后回注。</w:t>
      </w:r>
    </w:p>
    <w:p w:rsidR="00EE4502" w:rsidRDefault="00FD45A3">
      <w:pPr>
        <w:pStyle w:val="41"/>
        <w:numPr>
          <w:ilvl w:val="3"/>
          <w:numId w:val="30"/>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bCs w:val="0"/>
          <w:sz w:val="24"/>
          <w:szCs w:val="24"/>
        </w:rPr>
        <w:t>固体废物</w:t>
      </w:r>
    </w:p>
    <w:p w:rsidR="00EE4502" w:rsidRDefault="00FD45A3">
      <w:pPr>
        <w:spacing w:line="360" w:lineRule="auto"/>
        <w:ind w:firstLineChars="200" w:firstLine="480"/>
        <w:rPr>
          <w:sz w:val="24"/>
        </w:rPr>
      </w:pPr>
      <w:r>
        <w:rPr>
          <w:rFonts w:hint="eastAsia"/>
          <w:sz w:val="24"/>
        </w:rPr>
        <w:t>本工程</w:t>
      </w:r>
      <w:r>
        <w:rPr>
          <w:rFonts w:hint="eastAsia"/>
          <w:sz w:val="24"/>
        </w:rPr>
        <w:t>固体废物主要为落地油、废防渗布、清管废渣、废润滑油等，均为危险废物，本次不新增劳动定员，无生活垃圾产生。</w:t>
      </w:r>
    </w:p>
    <w:p w:rsidR="00EE4502" w:rsidRDefault="00FD45A3">
      <w:pPr>
        <w:spacing w:line="360" w:lineRule="auto"/>
        <w:ind w:firstLineChars="200" w:firstLine="480"/>
        <w:rPr>
          <w:sz w:val="24"/>
        </w:rPr>
      </w:pPr>
      <w:r>
        <w:rPr>
          <w:rFonts w:ascii="宋体" w:hAnsi="宋体" w:cs="宋体" w:hint="eastAsia"/>
          <w:sz w:val="24"/>
        </w:rPr>
        <w:t>①</w:t>
      </w:r>
      <w:r>
        <w:rPr>
          <w:sz w:val="24"/>
        </w:rPr>
        <w:t>落地油</w:t>
      </w:r>
    </w:p>
    <w:p w:rsidR="00EE4502" w:rsidRDefault="00FD45A3">
      <w:pPr>
        <w:spacing w:line="360" w:lineRule="auto"/>
        <w:ind w:firstLineChars="200" w:firstLine="480"/>
        <w:rPr>
          <w:sz w:val="24"/>
        </w:rPr>
      </w:pPr>
      <w:r>
        <w:rPr>
          <w:sz w:val="24"/>
        </w:rPr>
        <w:t>主要来自</w:t>
      </w:r>
      <w:r>
        <w:rPr>
          <w:rFonts w:hint="eastAsia"/>
          <w:sz w:val="24"/>
        </w:rPr>
        <w:t>油井作业</w:t>
      </w:r>
      <w:r>
        <w:rPr>
          <w:sz w:val="24"/>
        </w:rPr>
        <w:t>及突发环境事件，属于《国家危险废物名录》（</w:t>
      </w:r>
      <w:r>
        <w:rPr>
          <w:sz w:val="24"/>
        </w:rPr>
        <w:t>202</w:t>
      </w:r>
      <w:r>
        <w:rPr>
          <w:rFonts w:hint="eastAsia"/>
          <w:sz w:val="24"/>
        </w:rPr>
        <w:t>5</w:t>
      </w:r>
      <w:r>
        <w:rPr>
          <w:sz w:val="24"/>
        </w:rPr>
        <w:t>年版）</w:t>
      </w:r>
      <w:r>
        <w:rPr>
          <w:sz w:val="24"/>
        </w:rPr>
        <w:t>HW08</w:t>
      </w:r>
      <w:r>
        <w:rPr>
          <w:sz w:val="24"/>
        </w:rPr>
        <w:t>类危险废物（废物代码：</w:t>
      </w:r>
      <w:r>
        <w:rPr>
          <w:sz w:val="24"/>
        </w:rPr>
        <w:t>071-001-08</w:t>
      </w:r>
      <w:r>
        <w:rPr>
          <w:sz w:val="24"/>
        </w:rPr>
        <w:t>）。</w:t>
      </w:r>
    </w:p>
    <w:p w:rsidR="00EE4502" w:rsidRDefault="00FD45A3">
      <w:pPr>
        <w:spacing w:line="360" w:lineRule="auto"/>
        <w:ind w:firstLineChars="200" w:firstLine="480"/>
        <w:rPr>
          <w:sz w:val="24"/>
        </w:rPr>
      </w:pPr>
      <w:r>
        <w:rPr>
          <w:rFonts w:hint="eastAsia"/>
          <w:sz w:val="24"/>
        </w:rPr>
        <w:t>本工程</w:t>
      </w:r>
      <w:r>
        <w:rPr>
          <w:sz w:val="24"/>
        </w:rPr>
        <w:t>井下作业时带罐作业，防止产生落地油，井口排出物全部进罐，做到原油</w:t>
      </w:r>
      <w:r>
        <w:rPr>
          <w:sz w:val="24"/>
        </w:rPr>
        <w:t>100%</w:t>
      </w:r>
      <w:r>
        <w:rPr>
          <w:sz w:val="24"/>
        </w:rPr>
        <w:t>回收。类比</w:t>
      </w:r>
      <w:r>
        <w:rPr>
          <w:rFonts w:hint="eastAsia"/>
          <w:sz w:val="24"/>
        </w:rPr>
        <w:t>工程周边的</w:t>
      </w:r>
      <w:r>
        <w:rPr>
          <w:sz w:val="24"/>
        </w:rPr>
        <w:t>春风油田</w:t>
      </w:r>
      <w:r>
        <w:rPr>
          <w:rFonts w:hint="eastAsia"/>
          <w:sz w:val="24"/>
        </w:rPr>
        <w:t>已建区块</w:t>
      </w:r>
      <w:r>
        <w:rPr>
          <w:sz w:val="24"/>
        </w:rPr>
        <w:t>内现有</w:t>
      </w:r>
      <w:r>
        <w:rPr>
          <w:sz w:val="24"/>
        </w:rPr>
        <w:t>油井作业污泥产生量，平均约</w:t>
      </w:r>
      <w:r>
        <w:rPr>
          <w:sz w:val="24"/>
        </w:rPr>
        <w:t>50kg/</w:t>
      </w:r>
      <w:r>
        <w:rPr>
          <w:sz w:val="24"/>
        </w:rPr>
        <w:t>井</w:t>
      </w:r>
      <w:r>
        <w:rPr>
          <w:sz w:val="24"/>
        </w:rPr>
        <w:t>·</w:t>
      </w:r>
      <w:r>
        <w:rPr>
          <w:sz w:val="24"/>
        </w:rPr>
        <w:t>次，落地油回收率为</w:t>
      </w:r>
      <w:r>
        <w:rPr>
          <w:sz w:val="24"/>
        </w:rPr>
        <w:t>100%</w:t>
      </w:r>
      <w:r>
        <w:rPr>
          <w:sz w:val="24"/>
        </w:rPr>
        <w:t>，</w:t>
      </w:r>
      <w:r>
        <w:rPr>
          <w:rFonts w:hint="eastAsia"/>
          <w:sz w:val="24"/>
        </w:rPr>
        <w:t>本工程</w:t>
      </w:r>
      <w:r>
        <w:rPr>
          <w:sz w:val="24"/>
        </w:rPr>
        <w:t>共</w:t>
      </w:r>
      <w:r>
        <w:rPr>
          <w:rFonts w:hint="eastAsia"/>
          <w:sz w:val="24"/>
        </w:rPr>
        <w:t>18</w:t>
      </w:r>
      <w:r>
        <w:rPr>
          <w:sz w:val="24"/>
        </w:rPr>
        <w:t>口油井，产生落地油量为</w:t>
      </w:r>
      <w:r>
        <w:rPr>
          <w:rFonts w:hint="eastAsia"/>
          <w:sz w:val="24"/>
        </w:rPr>
        <w:t>0.9</w:t>
      </w:r>
      <w:r>
        <w:rPr>
          <w:rFonts w:hint="eastAsia"/>
          <w:sz w:val="24"/>
        </w:rPr>
        <w:t>t</w:t>
      </w:r>
      <w:r>
        <w:rPr>
          <w:sz w:val="24"/>
        </w:rPr>
        <w:t>/a</w:t>
      </w:r>
      <w:r>
        <w:rPr>
          <w:sz w:val="24"/>
        </w:rPr>
        <w:t>。落地油统一交由有资质的单位处置，严格按照《危险废物转移管理办法》中的相关要求收集、贮存、运输。</w:t>
      </w:r>
    </w:p>
    <w:p w:rsidR="00EE4502" w:rsidRDefault="00FD45A3">
      <w:pPr>
        <w:spacing w:line="360" w:lineRule="auto"/>
        <w:ind w:firstLineChars="200" w:firstLine="480"/>
        <w:rPr>
          <w:sz w:val="24"/>
        </w:rPr>
      </w:pPr>
      <w:r>
        <w:rPr>
          <w:sz w:val="24"/>
        </w:rPr>
        <w:t>对于突发环境事件产生的落地油（如管线</w:t>
      </w:r>
      <w:r>
        <w:rPr>
          <w:rFonts w:hint="eastAsia"/>
          <w:sz w:val="24"/>
        </w:rPr>
        <w:t>泄漏</w:t>
      </w:r>
      <w:r>
        <w:rPr>
          <w:sz w:val="24"/>
        </w:rPr>
        <w:t>等），难以估算其产生量，根据《危险废物豁免管理清单》，按《中石化新疆新春石油开发有限责任公司突发环境事件应急预案》进行运输、利用、处置，可不按危险废物管理。</w:t>
      </w:r>
    </w:p>
    <w:p w:rsidR="00EE4502" w:rsidRDefault="00FD45A3">
      <w:pPr>
        <w:spacing w:line="360" w:lineRule="auto"/>
        <w:ind w:firstLineChars="200" w:firstLine="480"/>
        <w:rPr>
          <w:sz w:val="24"/>
        </w:rPr>
      </w:pPr>
      <w:r>
        <w:rPr>
          <w:rFonts w:ascii="宋体" w:hAnsi="宋体" w:cs="宋体" w:hint="eastAsia"/>
          <w:sz w:val="24"/>
        </w:rPr>
        <w:t>②</w:t>
      </w:r>
      <w:r>
        <w:rPr>
          <w:rFonts w:hint="eastAsia"/>
          <w:sz w:val="24"/>
        </w:rPr>
        <w:t>沾油废防渗材料</w:t>
      </w:r>
    </w:p>
    <w:p w:rsidR="00EE4502" w:rsidRDefault="00FD45A3">
      <w:pPr>
        <w:spacing w:line="360" w:lineRule="auto"/>
        <w:ind w:firstLineChars="200" w:firstLine="480"/>
        <w:rPr>
          <w:sz w:val="24"/>
        </w:rPr>
      </w:pPr>
      <w:r>
        <w:rPr>
          <w:sz w:val="24"/>
        </w:rPr>
        <w:t>工程</w:t>
      </w:r>
      <w:r>
        <w:rPr>
          <w:rFonts w:hint="eastAsia"/>
          <w:sz w:val="24"/>
        </w:rPr>
        <w:t>运营期</w:t>
      </w:r>
      <w:r>
        <w:rPr>
          <w:sz w:val="24"/>
        </w:rPr>
        <w:t>油井作业时，作业场地下方铺设防渗布，产生的落地油直接落在防渗布上，目前油田使用的防渗布均可重复利用，平均重复利用</w:t>
      </w:r>
      <w:r>
        <w:rPr>
          <w:sz w:val="24"/>
        </w:rPr>
        <w:t>3</w:t>
      </w:r>
      <w:r>
        <w:rPr>
          <w:sz w:val="24"/>
        </w:rPr>
        <w:t>年左右。单块防渗布重约</w:t>
      </w:r>
      <w:r>
        <w:rPr>
          <w:sz w:val="24"/>
        </w:rPr>
        <w:t>250kg</w:t>
      </w:r>
      <w:r>
        <w:rPr>
          <w:sz w:val="24"/>
        </w:rPr>
        <w:t>（</w:t>
      </w:r>
      <w:r>
        <w:rPr>
          <w:sz w:val="24"/>
        </w:rPr>
        <w:t>12m</w:t>
      </w:r>
      <w:r>
        <w:rPr>
          <w:rFonts w:ascii="宋体" w:hAnsi="宋体" w:hint="eastAsia"/>
          <w:sz w:val="24"/>
        </w:rPr>
        <w:t>×</w:t>
      </w:r>
      <w:r>
        <w:rPr>
          <w:sz w:val="24"/>
        </w:rPr>
        <w:t>12m</w:t>
      </w:r>
      <w:r>
        <w:rPr>
          <w:sz w:val="24"/>
        </w:rPr>
        <w:t>），每口井作业用</w:t>
      </w:r>
      <w:r>
        <w:rPr>
          <w:sz w:val="24"/>
        </w:rPr>
        <w:t>1</w:t>
      </w:r>
      <w:r>
        <w:rPr>
          <w:sz w:val="24"/>
        </w:rPr>
        <w:t>块，则</w:t>
      </w:r>
      <w:r>
        <w:rPr>
          <w:rFonts w:hint="eastAsia"/>
          <w:sz w:val="24"/>
        </w:rPr>
        <w:t>本工程</w:t>
      </w:r>
      <w:r>
        <w:rPr>
          <w:rFonts w:hint="eastAsia"/>
          <w:sz w:val="24"/>
        </w:rPr>
        <w:t>18</w:t>
      </w:r>
      <w:r>
        <w:rPr>
          <w:sz w:val="24"/>
        </w:rPr>
        <w:t>口油井作业</w:t>
      </w:r>
      <w:r>
        <w:rPr>
          <w:sz w:val="24"/>
        </w:rPr>
        <w:t>1</w:t>
      </w:r>
      <w:r>
        <w:rPr>
          <w:sz w:val="24"/>
        </w:rPr>
        <w:t>次共产生废弃防渗布约</w:t>
      </w:r>
      <w:r>
        <w:rPr>
          <w:rFonts w:hint="eastAsia"/>
          <w:sz w:val="24"/>
        </w:rPr>
        <w:t>4.5</w:t>
      </w:r>
      <w:r>
        <w:rPr>
          <w:sz w:val="24"/>
        </w:rPr>
        <w:t>t</w:t>
      </w:r>
      <w:r>
        <w:rPr>
          <w:sz w:val="24"/>
        </w:rPr>
        <w:t>，油井作业频次为</w:t>
      </w:r>
      <w:r>
        <w:rPr>
          <w:sz w:val="24"/>
        </w:rPr>
        <w:t>2</w:t>
      </w:r>
      <w:r>
        <w:rPr>
          <w:sz w:val="24"/>
        </w:rPr>
        <w:t>年</w:t>
      </w:r>
      <w:r>
        <w:rPr>
          <w:sz w:val="24"/>
        </w:rPr>
        <w:t>/</w:t>
      </w:r>
      <w:r>
        <w:rPr>
          <w:sz w:val="24"/>
        </w:rPr>
        <w:t>次，则工程产生</w:t>
      </w:r>
      <w:r>
        <w:rPr>
          <w:rFonts w:hint="eastAsia"/>
          <w:sz w:val="24"/>
        </w:rPr>
        <w:t>沾油废防渗材料</w:t>
      </w:r>
      <w:r>
        <w:rPr>
          <w:sz w:val="24"/>
        </w:rPr>
        <w:t>最大量约</w:t>
      </w:r>
      <w:r>
        <w:rPr>
          <w:rFonts w:hint="eastAsia"/>
          <w:sz w:val="24"/>
        </w:rPr>
        <w:t>2.25</w:t>
      </w:r>
      <w:r>
        <w:rPr>
          <w:sz w:val="24"/>
        </w:rPr>
        <w:t>t/a</w:t>
      </w:r>
      <w:r>
        <w:rPr>
          <w:sz w:val="24"/>
        </w:rPr>
        <w:t>。</w:t>
      </w:r>
    </w:p>
    <w:p w:rsidR="00EE4502" w:rsidRDefault="00FD45A3">
      <w:pPr>
        <w:spacing w:line="360" w:lineRule="auto"/>
        <w:ind w:firstLineChars="200" w:firstLine="480"/>
        <w:rPr>
          <w:sz w:val="24"/>
        </w:rPr>
      </w:pPr>
      <w:r>
        <w:rPr>
          <w:sz w:val="24"/>
        </w:rPr>
        <w:lastRenderedPageBreak/>
        <w:t>作业过程中产生的含油</w:t>
      </w:r>
      <w:r>
        <w:rPr>
          <w:rFonts w:hint="eastAsia"/>
          <w:sz w:val="24"/>
        </w:rPr>
        <w:t>废防渗材料</w:t>
      </w:r>
      <w:r>
        <w:rPr>
          <w:sz w:val="24"/>
        </w:rPr>
        <w:t>属于危险废物，危废代码为</w:t>
      </w:r>
      <w:r>
        <w:rPr>
          <w:sz w:val="24"/>
        </w:rPr>
        <w:t>HW08</w:t>
      </w:r>
      <w:r>
        <w:rPr>
          <w:sz w:val="24"/>
        </w:rPr>
        <w:t>中</w:t>
      </w:r>
      <w:r>
        <w:rPr>
          <w:sz w:val="24"/>
        </w:rPr>
        <w:t>900-249-08</w:t>
      </w:r>
      <w:r>
        <w:rPr>
          <w:sz w:val="24"/>
        </w:rPr>
        <w:t>含有或沾染毒性、感染性危险废物的废弃包装物、容器、过滤吸附介质。</w:t>
      </w:r>
      <w:r>
        <w:rPr>
          <w:rFonts w:hint="eastAsia"/>
          <w:sz w:val="24"/>
        </w:rPr>
        <w:t>油井</w:t>
      </w:r>
      <w:r>
        <w:rPr>
          <w:sz w:val="24"/>
        </w:rPr>
        <w:t>作业结束后，将废弃的含油防渗布集中收集</w:t>
      </w:r>
      <w:r>
        <w:rPr>
          <w:rFonts w:hint="eastAsia"/>
          <w:sz w:val="24"/>
        </w:rPr>
        <w:t>折叠打包</w:t>
      </w:r>
      <w:r>
        <w:rPr>
          <w:sz w:val="24"/>
        </w:rPr>
        <w:t>，</w:t>
      </w:r>
      <w:r>
        <w:rPr>
          <w:sz w:val="24"/>
        </w:rPr>
        <w:t>委托具有危险废物运输及处理资质的单位拉运处理，拉运过程中资质单位应使用专车、按照指定的拉运路线。</w:t>
      </w:r>
    </w:p>
    <w:p w:rsidR="00EE4502" w:rsidRDefault="00FD45A3">
      <w:pPr>
        <w:spacing w:line="360" w:lineRule="auto"/>
        <w:ind w:firstLineChars="200" w:firstLine="480"/>
        <w:rPr>
          <w:sz w:val="24"/>
        </w:rPr>
      </w:pPr>
      <w:r>
        <w:rPr>
          <w:rFonts w:ascii="宋体" w:hAnsi="宋体" w:cs="宋体" w:hint="eastAsia"/>
          <w:sz w:val="24"/>
        </w:rPr>
        <w:t>③</w:t>
      </w:r>
      <w:r>
        <w:rPr>
          <w:sz w:val="24"/>
        </w:rPr>
        <w:t>清管废渣</w:t>
      </w:r>
    </w:p>
    <w:p w:rsidR="00EE4502" w:rsidRDefault="00FD45A3">
      <w:pPr>
        <w:spacing w:line="360" w:lineRule="auto"/>
        <w:ind w:firstLineChars="200" w:firstLine="480"/>
        <w:rPr>
          <w:sz w:val="24"/>
        </w:rPr>
      </w:pPr>
      <w:r>
        <w:rPr>
          <w:sz w:val="24"/>
        </w:rPr>
        <w:t>项目集输管线每</w:t>
      </w:r>
      <w:r>
        <w:rPr>
          <w:sz w:val="24"/>
        </w:rPr>
        <w:t>2</w:t>
      </w:r>
      <w:r>
        <w:rPr>
          <w:sz w:val="24"/>
        </w:rPr>
        <w:t>年清管</w:t>
      </w:r>
      <w:r>
        <w:rPr>
          <w:sz w:val="24"/>
        </w:rPr>
        <w:t>1</w:t>
      </w:r>
      <w:r>
        <w:rPr>
          <w:sz w:val="24"/>
        </w:rPr>
        <w:t>次，类比现有工程，每公里集油管线产生的清管废渣量平均约</w:t>
      </w:r>
      <w:r>
        <w:rPr>
          <w:sz w:val="24"/>
        </w:rPr>
        <w:t>1.15kg</w:t>
      </w:r>
      <w:r>
        <w:rPr>
          <w:sz w:val="24"/>
        </w:rPr>
        <w:t>，</w:t>
      </w:r>
      <w:r>
        <w:rPr>
          <w:rFonts w:hint="eastAsia"/>
          <w:sz w:val="24"/>
        </w:rPr>
        <w:t>本工程</w:t>
      </w:r>
      <w:r>
        <w:rPr>
          <w:sz w:val="24"/>
        </w:rPr>
        <w:t>新建集输管线</w:t>
      </w:r>
      <w:r>
        <w:rPr>
          <w:rFonts w:hint="eastAsia"/>
          <w:sz w:val="24"/>
        </w:rPr>
        <w:t>13.9</w:t>
      </w:r>
      <w:r>
        <w:rPr>
          <w:sz w:val="24"/>
        </w:rPr>
        <w:t>km</w:t>
      </w:r>
      <w:r>
        <w:rPr>
          <w:sz w:val="24"/>
        </w:rPr>
        <w:t>，每次废渣量约</w:t>
      </w:r>
      <w:r>
        <w:rPr>
          <w:rFonts w:hint="eastAsia"/>
          <w:sz w:val="24"/>
        </w:rPr>
        <w:t>16</w:t>
      </w:r>
      <w:r>
        <w:rPr>
          <w:sz w:val="24"/>
        </w:rPr>
        <w:t>kg</w:t>
      </w:r>
      <w:r>
        <w:rPr>
          <w:rFonts w:hint="eastAsia"/>
          <w:sz w:val="24"/>
        </w:rPr>
        <w:t>（约合</w:t>
      </w:r>
      <w:r>
        <w:rPr>
          <w:sz w:val="24"/>
        </w:rPr>
        <w:t>0.</w:t>
      </w:r>
      <w:r>
        <w:rPr>
          <w:rFonts w:hint="eastAsia"/>
          <w:sz w:val="24"/>
        </w:rPr>
        <w:t>01t</w:t>
      </w:r>
      <w:r>
        <w:rPr>
          <w:rFonts w:hint="eastAsia"/>
          <w:sz w:val="24"/>
        </w:rPr>
        <w:t>/a</w:t>
      </w:r>
      <w:r>
        <w:rPr>
          <w:rFonts w:hint="eastAsia"/>
          <w:sz w:val="24"/>
        </w:rPr>
        <w:t>）</w:t>
      </w:r>
      <w:r>
        <w:rPr>
          <w:sz w:val="24"/>
        </w:rPr>
        <w:t>。清管废渣中含有少量管道中的油，属于危险废物，危废类别</w:t>
      </w:r>
      <w:r>
        <w:rPr>
          <w:sz w:val="24"/>
        </w:rPr>
        <w:t>HW08</w:t>
      </w:r>
      <w:r>
        <w:rPr>
          <w:sz w:val="24"/>
        </w:rPr>
        <w:t>，危废代码</w:t>
      </w:r>
      <w:r>
        <w:rPr>
          <w:sz w:val="24"/>
        </w:rPr>
        <w:t>071-001-08</w:t>
      </w:r>
      <w:r>
        <w:rPr>
          <w:sz w:val="24"/>
        </w:rPr>
        <w:t>，</w:t>
      </w:r>
      <w:r>
        <w:rPr>
          <w:rFonts w:hint="eastAsia"/>
          <w:sz w:val="24"/>
        </w:rPr>
        <w:t>严格按照危险废物相关技术要求和管理规定进行收集与贮存，委托具有危废处置资质的公司进行</w:t>
      </w:r>
      <w:r>
        <w:rPr>
          <w:sz w:val="24"/>
        </w:rPr>
        <w:t>处置。</w:t>
      </w:r>
    </w:p>
    <w:p w:rsidR="00EE4502" w:rsidRDefault="00FD45A3">
      <w:pPr>
        <w:spacing w:line="360" w:lineRule="auto"/>
        <w:ind w:firstLineChars="200" w:firstLine="480"/>
        <w:rPr>
          <w:sz w:val="24"/>
        </w:rPr>
      </w:pPr>
      <w:r>
        <w:rPr>
          <w:sz w:val="24"/>
        </w:rPr>
        <w:t>④</w:t>
      </w:r>
      <w:r>
        <w:rPr>
          <w:sz w:val="24"/>
        </w:rPr>
        <w:t>废润滑油</w:t>
      </w:r>
    </w:p>
    <w:p w:rsidR="00EE4502" w:rsidRDefault="00FD45A3">
      <w:pPr>
        <w:spacing w:line="360" w:lineRule="auto"/>
        <w:ind w:firstLineChars="200" w:firstLine="480"/>
        <w:rPr>
          <w:sz w:val="24"/>
        </w:rPr>
      </w:pPr>
      <w:r>
        <w:rPr>
          <w:sz w:val="24"/>
        </w:rPr>
        <w:t>仅在井场设备检修维护中产生，产生量约</w:t>
      </w:r>
      <w:r>
        <w:rPr>
          <w:rFonts w:hint="eastAsia"/>
          <w:sz w:val="24"/>
        </w:rPr>
        <w:t>1</w:t>
      </w:r>
      <w:r>
        <w:rPr>
          <w:rFonts w:hint="eastAsia"/>
          <w:sz w:val="24"/>
        </w:rPr>
        <w:t>.8</w:t>
      </w:r>
      <w:r>
        <w:rPr>
          <w:sz w:val="24"/>
        </w:rPr>
        <w:t>t/a</w:t>
      </w:r>
      <w:r>
        <w:rPr>
          <w:sz w:val="24"/>
        </w:rPr>
        <w:t>，废润滑油属于《国家危险废物名录》（</w:t>
      </w:r>
      <w:r>
        <w:rPr>
          <w:sz w:val="24"/>
        </w:rPr>
        <w:t>202</w:t>
      </w:r>
      <w:r>
        <w:rPr>
          <w:rFonts w:hint="eastAsia"/>
          <w:sz w:val="24"/>
        </w:rPr>
        <w:t>5</w:t>
      </w:r>
      <w:r>
        <w:rPr>
          <w:sz w:val="24"/>
        </w:rPr>
        <w:t>年版）</w:t>
      </w:r>
      <w:r>
        <w:rPr>
          <w:sz w:val="24"/>
        </w:rPr>
        <w:t xml:space="preserve">HW08 </w:t>
      </w:r>
      <w:r>
        <w:rPr>
          <w:sz w:val="24"/>
        </w:rPr>
        <w:t>类危险废物（</w:t>
      </w:r>
      <w:r>
        <w:rPr>
          <w:sz w:val="24"/>
        </w:rPr>
        <w:t>900-217-08</w:t>
      </w:r>
      <w:r>
        <w:rPr>
          <w:sz w:val="24"/>
        </w:rPr>
        <w:t>使用工业齿轮油进行机械设备润滑过程中产生的废润滑油），集中收集后</w:t>
      </w:r>
      <w:r>
        <w:rPr>
          <w:rFonts w:hint="eastAsia"/>
          <w:sz w:val="24"/>
        </w:rPr>
        <w:t>运至联合站综合利用</w:t>
      </w:r>
      <w:r>
        <w:rPr>
          <w:sz w:val="24"/>
        </w:rPr>
        <w:t>处理。</w:t>
      </w:r>
    </w:p>
    <w:p w:rsidR="00EE4502" w:rsidRDefault="00FD45A3">
      <w:pPr>
        <w:spacing w:line="360" w:lineRule="auto"/>
        <w:ind w:firstLineChars="200" w:firstLine="480"/>
        <w:rPr>
          <w:sz w:val="24"/>
        </w:rPr>
      </w:pPr>
      <w:r>
        <w:rPr>
          <w:rFonts w:hint="eastAsia"/>
          <w:sz w:val="24"/>
        </w:rPr>
        <w:t>工程产生的固体废物汇总见表</w:t>
      </w:r>
      <w:r>
        <w:rPr>
          <w:rFonts w:hint="eastAsia"/>
          <w:sz w:val="24"/>
        </w:rPr>
        <w:t>3-4</w:t>
      </w:r>
      <w:r>
        <w:rPr>
          <w:rFonts w:hint="eastAsia"/>
          <w:sz w:val="24"/>
        </w:rPr>
        <w:t>-</w:t>
      </w:r>
      <w:r>
        <w:rPr>
          <w:sz w:val="24"/>
        </w:rPr>
        <w:t>1</w:t>
      </w:r>
      <w:r>
        <w:rPr>
          <w:rFonts w:hint="eastAsia"/>
          <w:sz w:val="24"/>
        </w:rPr>
        <w:t>2</w:t>
      </w:r>
      <w:r>
        <w:rPr>
          <w:rFonts w:hint="eastAsia"/>
          <w:sz w:val="24"/>
        </w:rPr>
        <w:t>。</w:t>
      </w:r>
    </w:p>
    <w:p w:rsidR="00EE4502" w:rsidRDefault="00FD45A3">
      <w:pPr>
        <w:spacing w:line="360" w:lineRule="auto"/>
        <w:jc w:val="center"/>
        <w:rPr>
          <w:rFonts w:eastAsia="黑体"/>
        </w:rPr>
      </w:pPr>
      <w:r>
        <w:rPr>
          <w:rFonts w:eastAsia="黑体"/>
        </w:rPr>
        <w:t>表</w:t>
      </w:r>
      <w:r>
        <w:rPr>
          <w:rFonts w:eastAsia="黑体" w:hint="eastAsia"/>
        </w:rPr>
        <w:t>3-4</w:t>
      </w:r>
      <w:r>
        <w:rPr>
          <w:rFonts w:eastAsia="黑体"/>
        </w:rPr>
        <w:t>-1</w:t>
      </w:r>
      <w:r>
        <w:rPr>
          <w:rFonts w:eastAsia="黑体" w:hint="eastAsia"/>
        </w:rPr>
        <w:t>2</w:t>
      </w:r>
      <w:r>
        <w:rPr>
          <w:rFonts w:eastAsia="黑体"/>
        </w:rPr>
        <w:t xml:space="preserve">  </w:t>
      </w:r>
      <w:r>
        <w:rPr>
          <w:rFonts w:eastAsia="黑体" w:hint="eastAsia"/>
        </w:rPr>
        <w:t>运营期固体</w:t>
      </w:r>
      <w:r>
        <w:rPr>
          <w:rFonts w:eastAsia="黑体"/>
        </w:rPr>
        <w:t>废物产生及处置情况一览表</w:t>
      </w:r>
    </w:p>
    <w:tbl>
      <w:tblPr>
        <w:tblW w:w="4996" w:type="pct"/>
        <w:jc w:val="center"/>
        <w:tblBorders>
          <w:top w:val="single" w:sz="8" w:space="0" w:color="auto"/>
          <w:bottom w:val="single" w:sz="8" w:space="0" w:color="auto"/>
          <w:insideH w:val="single" w:sz="8" w:space="0" w:color="auto"/>
          <w:insideV w:val="single" w:sz="8" w:space="0" w:color="auto"/>
        </w:tblBorders>
        <w:tblCellMar>
          <w:left w:w="11" w:type="dxa"/>
          <w:right w:w="11" w:type="dxa"/>
        </w:tblCellMar>
        <w:tblLook w:val="04A0" w:firstRow="1" w:lastRow="0" w:firstColumn="1" w:lastColumn="0" w:noHBand="0" w:noVBand="1"/>
      </w:tblPr>
      <w:tblGrid>
        <w:gridCol w:w="389"/>
        <w:gridCol w:w="998"/>
        <w:gridCol w:w="712"/>
        <w:gridCol w:w="1158"/>
        <w:gridCol w:w="774"/>
        <w:gridCol w:w="594"/>
        <w:gridCol w:w="617"/>
        <w:gridCol w:w="641"/>
        <w:gridCol w:w="865"/>
        <w:gridCol w:w="594"/>
        <w:gridCol w:w="979"/>
      </w:tblGrid>
      <w:tr w:rsidR="00EE4502">
        <w:trPr>
          <w:trHeight w:val="340"/>
          <w:jc w:val="center"/>
        </w:trPr>
        <w:tc>
          <w:tcPr>
            <w:tcW w:w="233" w:type="pct"/>
            <w:vAlign w:val="center"/>
          </w:tcPr>
          <w:p w:rsidR="00EE4502" w:rsidRDefault="00FD45A3">
            <w:pPr>
              <w:pStyle w:val="ArialGB23121"/>
              <w:spacing w:line="240" w:lineRule="auto"/>
              <w:jc w:val="center"/>
              <w:rPr>
                <w:rFonts w:hAnsi="Times New Roman"/>
                <w:bCs/>
                <w:sz w:val="21"/>
                <w:szCs w:val="21"/>
              </w:rPr>
            </w:pPr>
            <w:bookmarkStart w:id="171" w:name="_Hlk186829659"/>
            <w:r>
              <w:rPr>
                <w:rFonts w:hAnsi="Times New Roman"/>
                <w:bCs/>
                <w:sz w:val="21"/>
                <w:szCs w:val="21"/>
              </w:rPr>
              <w:t>序号</w:t>
            </w:r>
          </w:p>
        </w:tc>
        <w:tc>
          <w:tcPr>
            <w:tcW w:w="599" w:type="pct"/>
            <w:vAlign w:val="center"/>
          </w:tcPr>
          <w:p w:rsidR="00EE4502" w:rsidRDefault="00FD45A3">
            <w:pPr>
              <w:pStyle w:val="ArialGB23121"/>
              <w:spacing w:line="240" w:lineRule="auto"/>
              <w:jc w:val="center"/>
              <w:rPr>
                <w:rFonts w:hAnsi="Times New Roman"/>
                <w:bCs/>
                <w:sz w:val="21"/>
                <w:szCs w:val="21"/>
              </w:rPr>
            </w:pPr>
            <w:r>
              <w:rPr>
                <w:rFonts w:hAnsi="Times New Roman"/>
                <w:bCs/>
                <w:sz w:val="21"/>
                <w:szCs w:val="21"/>
              </w:rPr>
              <w:t>危险废物名称</w:t>
            </w:r>
          </w:p>
        </w:tc>
        <w:tc>
          <w:tcPr>
            <w:tcW w:w="428" w:type="pct"/>
            <w:vAlign w:val="center"/>
          </w:tcPr>
          <w:p w:rsidR="00EE4502" w:rsidRDefault="00FD45A3">
            <w:pPr>
              <w:pStyle w:val="ArialGB23121"/>
              <w:spacing w:line="240" w:lineRule="auto"/>
              <w:jc w:val="center"/>
              <w:rPr>
                <w:rFonts w:hAnsi="Times New Roman"/>
                <w:bCs/>
                <w:sz w:val="21"/>
                <w:szCs w:val="21"/>
              </w:rPr>
            </w:pPr>
            <w:r>
              <w:rPr>
                <w:rFonts w:hAnsi="Times New Roman"/>
                <w:bCs/>
                <w:sz w:val="21"/>
                <w:szCs w:val="21"/>
              </w:rPr>
              <w:t>危险废物类别</w:t>
            </w:r>
          </w:p>
        </w:tc>
        <w:tc>
          <w:tcPr>
            <w:tcW w:w="696" w:type="pct"/>
            <w:vAlign w:val="center"/>
          </w:tcPr>
          <w:p w:rsidR="00EE4502" w:rsidRDefault="00FD45A3">
            <w:pPr>
              <w:pStyle w:val="ArialGB23121"/>
              <w:spacing w:line="240" w:lineRule="auto"/>
              <w:jc w:val="center"/>
              <w:rPr>
                <w:rFonts w:hAnsi="Times New Roman"/>
                <w:bCs/>
                <w:sz w:val="21"/>
                <w:szCs w:val="21"/>
              </w:rPr>
            </w:pPr>
            <w:r>
              <w:rPr>
                <w:rFonts w:hAnsi="Times New Roman"/>
                <w:bCs/>
                <w:sz w:val="21"/>
                <w:szCs w:val="21"/>
              </w:rPr>
              <w:t>危险废物代码</w:t>
            </w:r>
          </w:p>
        </w:tc>
        <w:tc>
          <w:tcPr>
            <w:tcW w:w="465" w:type="pct"/>
            <w:vAlign w:val="center"/>
          </w:tcPr>
          <w:p w:rsidR="00EE4502" w:rsidRDefault="00FD45A3">
            <w:pPr>
              <w:pStyle w:val="ArialGB23121"/>
              <w:spacing w:line="240" w:lineRule="auto"/>
              <w:jc w:val="center"/>
              <w:rPr>
                <w:rFonts w:hAnsi="Times New Roman"/>
                <w:bCs/>
                <w:sz w:val="21"/>
                <w:szCs w:val="21"/>
              </w:rPr>
            </w:pPr>
            <w:r>
              <w:rPr>
                <w:rFonts w:hAnsi="Times New Roman"/>
                <w:bCs/>
                <w:sz w:val="21"/>
                <w:szCs w:val="21"/>
              </w:rPr>
              <w:t>产生量</w:t>
            </w:r>
          </w:p>
        </w:tc>
        <w:tc>
          <w:tcPr>
            <w:tcW w:w="357" w:type="pct"/>
            <w:vAlign w:val="center"/>
          </w:tcPr>
          <w:p w:rsidR="00EE4502" w:rsidRDefault="00FD45A3">
            <w:pPr>
              <w:pStyle w:val="ArialGB23121"/>
              <w:spacing w:line="240" w:lineRule="auto"/>
              <w:jc w:val="center"/>
              <w:rPr>
                <w:rFonts w:hAnsi="Times New Roman"/>
                <w:bCs/>
                <w:sz w:val="21"/>
                <w:szCs w:val="21"/>
              </w:rPr>
            </w:pPr>
            <w:r>
              <w:rPr>
                <w:rFonts w:hAnsi="Times New Roman"/>
                <w:bCs/>
                <w:sz w:val="21"/>
                <w:szCs w:val="21"/>
              </w:rPr>
              <w:t>产生工序</w:t>
            </w:r>
          </w:p>
        </w:tc>
        <w:tc>
          <w:tcPr>
            <w:tcW w:w="371" w:type="pct"/>
            <w:vAlign w:val="center"/>
          </w:tcPr>
          <w:p w:rsidR="00EE4502" w:rsidRDefault="00FD45A3">
            <w:pPr>
              <w:pStyle w:val="ArialGB23121"/>
              <w:spacing w:line="240" w:lineRule="auto"/>
              <w:jc w:val="center"/>
              <w:rPr>
                <w:rFonts w:hAnsi="Times New Roman"/>
                <w:bCs/>
                <w:sz w:val="21"/>
                <w:szCs w:val="21"/>
              </w:rPr>
            </w:pPr>
            <w:r>
              <w:rPr>
                <w:rFonts w:hAnsi="Times New Roman"/>
                <w:bCs/>
                <w:sz w:val="21"/>
                <w:szCs w:val="21"/>
              </w:rPr>
              <w:t>形态</w:t>
            </w:r>
          </w:p>
        </w:tc>
        <w:tc>
          <w:tcPr>
            <w:tcW w:w="385" w:type="pct"/>
            <w:vAlign w:val="center"/>
          </w:tcPr>
          <w:p w:rsidR="00EE4502" w:rsidRDefault="00FD45A3">
            <w:pPr>
              <w:pStyle w:val="ArialGB23121"/>
              <w:spacing w:line="240" w:lineRule="auto"/>
              <w:jc w:val="center"/>
              <w:rPr>
                <w:rFonts w:hAnsi="Times New Roman"/>
                <w:bCs/>
                <w:sz w:val="21"/>
                <w:szCs w:val="21"/>
              </w:rPr>
            </w:pPr>
            <w:r>
              <w:rPr>
                <w:rFonts w:hAnsi="Times New Roman"/>
                <w:bCs/>
                <w:sz w:val="21"/>
                <w:szCs w:val="21"/>
              </w:rPr>
              <w:t>主要危险成分</w:t>
            </w:r>
          </w:p>
        </w:tc>
        <w:tc>
          <w:tcPr>
            <w:tcW w:w="520" w:type="pct"/>
            <w:vAlign w:val="center"/>
          </w:tcPr>
          <w:p w:rsidR="00EE4502" w:rsidRDefault="00FD45A3">
            <w:pPr>
              <w:pStyle w:val="ArialGB23121"/>
              <w:spacing w:line="240" w:lineRule="auto"/>
              <w:jc w:val="center"/>
              <w:rPr>
                <w:rFonts w:hAnsi="Times New Roman"/>
                <w:bCs/>
                <w:sz w:val="21"/>
                <w:szCs w:val="21"/>
              </w:rPr>
            </w:pPr>
            <w:r>
              <w:rPr>
                <w:rFonts w:hAnsi="Times New Roman"/>
                <w:bCs/>
                <w:sz w:val="21"/>
                <w:szCs w:val="21"/>
              </w:rPr>
              <w:t>产废周期</w:t>
            </w:r>
          </w:p>
        </w:tc>
        <w:tc>
          <w:tcPr>
            <w:tcW w:w="357" w:type="pct"/>
            <w:vAlign w:val="center"/>
          </w:tcPr>
          <w:p w:rsidR="00EE4502" w:rsidRDefault="00FD45A3">
            <w:pPr>
              <w:pStyle w:val="ArialGB23121"/>
              <w:spacing w:line="240" w:lineRule="auto"/>
              <w:jc w:val="center"/>
              <w:rPr>
                <w:rFonts w:hAnsi="Times New Roman"/>
                <w:bCs/>
                <w:sz w:val="21"/>
                <w:szCs w:val="21"/>
              </w:rPr>
            </w:pPr>
            <w:r>
              <w:rPr>
                <w:rFonts w:hAnsi="Times New Roman"/>
                <w:bCs/>
                <w:sz w:val="21"/>
                <w:szCs w:val="21"/>
              </w:rPr>
              <w:t>危险特性</w:t>
            </w:r>
          </w:p>
        </w:tc>
        <w:tc>
          <w:tcPr>
            <w:tcW w:w="588" w:type="pct"/>
            <w:vAlign w:val="center"/>
          </w:tcPr>
          <w:p w:rsidR="00EE4502" w:rsidRDefault="00FD45A3">
            <w:pPr>
              <w:pStyle w:val="ArialGB23121"/>
              <w:spacing w:line="240" w:lineRule="auto"/>
              <w:jc w:val="center"/>
              <w:rPr>
                <w:rFonts w:hAnsi="Times New Roman"/>
                <w:bCs/>
                <w:sz w:val="21"/>
                <w:szCs w:val="21"/>
              </w:rPr>
            </w:pPr>
            <w:r>
              <w:rPr>
                <w:rFonts w:hAnsi="Times New Roman"/>
                <w:bCs/>
                <w:sz w:val="21"/>
                <w:szCs w:val="21"/>
              </w:rPr>
              <w:t>污染物防治措施</w:t>
            </w:r>
          </w:p>
        </w:tc>
      </w:tr>
      <w:tr w:rsidR="00EE4502">
        <w:trPr>
          <w:trHeight w:val="340"/>
          <w:jc w:val="center"/>
        </w:trPr>
        <w:tc>
          <w:tcPr>
            <w:tcW w:w="233" w:type="pct"/>
            <w:vAlign w:val="center"/>
          </w:tcPr>
          <w:p w:rsidR="00EE4502" w:rsidRDefault="00FD45A3">
            <w:pPr>
              <w:pStyle w:val="ArialGB23121"/>
              <w:spacing w:line="240" w:lineRule="auto"/>
              <w:jc w:val="center"/>
              <w:rPr>
                <w:rFonts w:hAnsi="Times New Roman"/>
                <w:sz w:val="21"/>
                <w:szCs w:val="21"/>
              </w:rPr>
            </w:pPr>
            <w:r>
              <w:rPr>
                <w:rFonts w:hAnsi="Times New Roman"/>
                <w:sz w:val="21"/>
                <w:szCs w:val="21"/>
              </w:rPr>
              <w:t>1</w:t>
            </w:r>
          </w:p>
        </w:tc>
        <w:tc>
          <w:tcPr>
            <w:tcW w:w="599" w:type="pct"/>
            <w:vAlign w:val="center"/>
          </w:tcPr>
          <w:p w:rsidR="00EE4502" w:rsidRDefault="00FD45A3">
            <w:pPr>
              <w:pStyle w:val="ArialGB23121"/>
              <w:spacing w:line="240" w:lineRule="auto"/>
              <w:jc w:val="center"/>
              <w:rPr>
                <w:rFonts w:hAnsi="Times New Roman"/>
                <w:sz w:val="21"/>
                <w:szCs w:val="21"/>
              </w:rPr>
            </w:pPr>
            <w:r>
              <w:rPr>
                <w:rFonts w:hAnsi="Times New Roman"/>
                <w:sz w:val="21"/>
                <w:szCs w:val="21"/>
              </w:rPr>
              <w:t>落地油</w:t>
            </w:r>
          </w:p>
        </w:tc>
        <w:tc>
          <w:tcPr>
            <w:tcW w:w="428" w:type="pct"/>
            <w:vMerge w:val="restart"/>
            <w:vAlign w:val="center"/>
          </w:tcPr>
          <w:p w:rsidR="00EE4502" w:rsidRDefault="00FD45A3">
            <w:pPr>
              <w:pStyle w:val="ArialGB23121"/>
              <w:spacing w:line="240" w:lineRule="auto"/>
              <w:jc w:val="center"/>
              <w:rPr>
                <w:rFonts w:hAnsi="Times New Roman"/>
                <w:sz w:val="21"/>
                <w:szCs w:val="21"/>
              </w:rPr>
            </w:pPr>
            <w:r>
              <w:rPr>
                <w:rFonts w:hAnsi="Times New Roman"/>
                <w:sz w:val="21"/>
                <w:szCs w:val="21"/>
              </w:rPr>
              <w:t>HW08</w:t>
            </w:r>
            <w:r>
              <w:rPr>
                <w:rFonts w:hAnsi="Times New Roman"/>
                <w:sz w:val="21"/>
                <w:szCs w:val="21"/>
              </w:rPr>
              <w:t>废矿物油与含矿物油废物</w:t>
            </w:r>
          </w:p>
        </w:tc>
        <w:tc>
          <w:tcPr>
            <w:tcW w:w="696" w:type="pct"/>
            <w:vAlign w:val="center"/>
          </w:tcPr>
          <w:p w:rsidR="00EE4502" w:rsidRDefault="00FD45A3">
            <w:pPr>
              <w:pStyle w:val="ArialGB23121"/>
              <w:spacing w:line="240" w:lineRule="auto"/>
              <w:jc w:val="center"/>
              <w:rPr>
                <w:rFonts w:hAnsi="Times New Roman"/>
                <w:sz w:val="21"/>
                <w:szCs w:val="21"/>
              </w:rPr>
            </w:pPr>
            <w:r>
              <w:rPr>
                <w:rFonts w:hAnsi="Times New Roman"/>
                <w:sz w:val="21"/>
                <w:szCs w:val="21"/>
              </w:rPr>
              <w:t>HW08</w:t>
            </w:r>
          </w:p>
          <w:p w:rsidR="00EE4502" w:rsidRDefault="00FD45A3">
            <w:pPr>
              <w:pStyle w:val="ArialGB23121"/>
              <w:spacing w:line="240" w:lineRule="auto"/>
              <w:jc w:val="center"/>
              <w:rPr>
                <w:rFonts w:hAnsi="Times New Roman"/>
                <w:sz w:val="21"/>
                <w:szCs w:val="21"/>
              </w:rPr>
            </w:pPr>
            <w:r>
              <w:rPr>
                <w:rFonts w:hAnsi="Times New Roman"/>
                <w:sz w:val="21"/>
                <w:szCs w:val="21"/>
              </w:rPr>
              <w:t>071-001-08</w:t>
            </w:r>
          </w:p>
        </w:tc>
        <w:tc>
          <w:tcPr>
            <w:tcW w:w="465" w:type="pct"/>
            <w:vAlign w:val="center"/>
          </w:tcPr>
          <w:p w:rsidR="00EE4502" w:rsidRDefault="00FD45A3">
            <w:pPr>
              <w:pStyle w:val="ArialGB23121"/>
              <w:spacing w:line="240" w:lineRule="auto"/>
              <w:jc w:val="center"/>
              <w:rPr>
                <w:rFonts w:hAnsi="Times New Roman"/>
                <w:sz w:val="21"/>
                <w:szCs w:val="21"/>
              </w:rPr>
            </w:pPr>
            <w:r>
              <w:rPr>
                <w:rFonts w:hAnsi="Times New Roman"/>
                <w:sz w:val="21"/>
                <w:szCs w:val="21"/>
              </w:rPr>
              <w:t>0.</w:t>
            </w:r>
            <w:r>
              <w:rPr>
                <w:rFonts w:hAnsi="Times New Roman" w:hint="eastAsia"/>
                <w:sz w:val="21"/>
                <w:szCs w:val="21"/>
              </w:rPr>
              <w:t>9</w:t>
            </w:r>
            <w:r>
              <w:rPr>
                <w:rFonts w:hAnsi="Times New Roman"/>
                <w:bCs/>
                <w:sz w:val="21"/>
                <w:szCs w:val="21"/>
              </w:rPr>
              <w:t xml:space="preserve"> t/a</w:t>
            </w:r>
          </w:p>
        </w:tc>
        <w:tc>
          <w:tcPr>
            <w:tcW w:w="357" w:type="pct"/>
            <w:vAlign w:val="center"/>
          </w:tcPr>
          <w:p w:rsidR="00EE4502" w:rsidRDefault="00FD45A3">
            <w:pPr>
              <w:pStyle w:val="ArialGB23121"/>
              <w:spacing w:line="240" w:lineRule="auto"/>
              <w:jc w:val="center"/>
              <w:rPr>
                <w:rFonts w:hAnsi="Times New Roman"/>
                <w:sz w:val="21"/>
                <w:szCs w:val="21"/>
              </w:rPr>
            </w:pPr>
            <w:r>
              <w:rPr>
                <w:rFonts w:hAnsi="Times New Roman"/>
                <w:sz w:val="21"/>
                <w:szCs w:val="21"/>
              </w:rPr>
              <w:t>油井作业</w:t>
            </w:r>
          </w:p>
        </w:tc>
        <w:tc>
          <w:tcPr>
            <w:tcW w:w="371" w:type="pct"/>
            <w:vAlign w:val="center"/>
          </w:tcPr>
          <w:p w:rsidR="00EE4502" w:rsidRDefault="00FD45A3">
            <w:pPr>
              <w:pStyle w:val="ArialGB23121"/>
              <w:spacing w:line="240" w:lineRule="auto"/>
              <w:jc w:val="center"/>
              <w:rPr>
                <w:rFonts w:hAnsi="Times New Roman"/>
                <w:sz w:val="21"/>
                <w:szCs w:val="21"/>
              </w:rPr>
            </w:pPr>
            <w:r>
              <w:rPr>
                <w:rFonts w:hAnsi="Times New Roman"/>
                <w:sz w:val="21"/>
                <w:szCs w:val="21"/>
              </w:rPr>
              <w:t>半固体、固体</w:t>
            </w:r>
          </w:p>
        </w:tc>
        <w:tc>
          <w:tcPr>
            <w:tcW w:w="385" w:type="pct"/>
            <w:vAlign w:val="center"/>
          </w:tcPr>
          <w:p w:rsidR="00EE4502" w:rsidRDefault="00FD45A3">
            <w:pPr>
              <w:jc w:val="center"/>
              <w:rPr>
                <w:szCs w:val="21"/>
              </w:rPr>
            </w:pPr>
            <w:r>
              <w:rPr>
                <w:rFonts w:hint="eastAsia"/>
                <w:szCs w:val="21"/>
              </w:rPr>
              <w:t>废矿物油</w:t>
            </w:r>
          </w:p>
        </w:tc>
        <w:tc>
          <w:tcPr>
            <w:tcW w:w="520" w:type="pct"/>
            <w:vAlign w:val="center"/>
          </w:tcPr>
          <w:p w:rsidR="00EE4502" w:rsidRDefault="00FD45A3">
            <w:pPr>
              <w:pStyle w:val="ArialGB23121"/>
              <w:spacing w:line="240" w:lineRule="auto"/>
              <w:jc w:val="center"/>
              <w:rPr>
                <w:rFonts w:hAnsi="Times New Roman"/>
                <w:sz w:val="21"/>
                <w:szCs w:val="21"/>
              </w:rPr>
            </w:pPr>
            <w:r>
              <w:rPr>
                <w:rFonts w:hAnsi="Times New Roman"/>
                <w:sz w:val="21"/>
                <w:szCs w:val="21"/>
              </w:rPr>
              <w:t>间歇</w:t>
            </w:r>
          </w:p>
        </w:tc>
        <w:tc>
          <w:tcPr>
            <w:tcW w:w="357" w:type="pct"/>
            <w:vAlign w:val="center"/>
          </w:tcPr>
          <w:p w:rsidR="00EE4502" w:rsidRDefault="00FD45A3">
            <w:pPr>
              <w:pStyle w:val="ArialGB23121"/>
              <w:spacing w:line="240" w:lineRule="auto"/>
              <w:jc w:val="center"/>
              <w:rPr>
                <w:rFonts w:hAnsi="Times New Roman"/>
                <w:sz w:val="21"/>
                <w:szCs w:val="21"/>
              </w:rPr>
            </w:pPr>
            <w:r>
              <w:rPr>
                <w:rFonts w:hAnsi="Times New Roman"/>
                <w:sz w:val="21"/>
                <w:szCs w:val="21"/>
              </w:rPr>
              <w:t>T</w:t>
            </w:r>
            <w:r>
              <w:rPr>
                <w:rFonts w:hAnsi="Times New Roman" w:hint="eastAsia"/>
                <w:sz w:val="21"/>
                <w:szCs w:val="21"/>
              </w:rPr>
              <w:t>.</w:t>
            </w:r>
            <w:r>
              <w:rPr>
                <w:rFonts w:hAnsi="Times New Roman"/>
                <w:sz w:val="21"/>
                <w:szCs w:val="21"/>
              </w:rPr>
              <w:t>I</w:t>
            </w:r>
          </w:p>
        </w:tc>
        <w:tc>
          <w:tcPr>
            <w:tcW w:w="588" w:type="pct"/>
            <w:vAlign w:val="center"/>
          </w:tcPr>
          <w:p w:rsidR="00EE4502" w:rsidRDefault="00FD45A3">
            <w:pPr>
              <w:pStyle w:val="ArialGB23121"/>
              <w:spacing w:line="240" w:lineRule="auto"/>
              <w:jc w:val="center"/>
              <w:rPr>
                <w:rFonts w:hAnsi="Times New Roman"/>
                <w:sz w:val="21"/>
                <w:szCs w:val="21"/>
              </w:rPr>
            </w:pPr>
            <w:r>
              <w:rPr>
                <w:rFonts w:hAnsi="Times New Roman" w:hint="eastAsia"/>
                <w:sz w:val="21"/>
                <w:szCs w:val="21"/>
              </w:rPr>
              <w:t>委托有资质单位拉运处理</w:t>
            </w:r>
          </w:p>
        </w:tc>
      </w:tr>
      <w:tr w:rsidR="00EE4502">
        <w:trPr>
          <w:trHeight w:val="340"/>
          <w:jc w:val="center"/>
        </w:trPr>
        <w:tc>
          <w:tcPr>
            <w:tcW w:w="233" w:type="pct"/>
            <w:vAlign w:val="center"/>
          </w:tcPr>
          <w:p w:rsidR="00EE4502" w:rsidRDefault="00FD45A3">
            <w:pPr>
              <w:pStyle w:val="ArialGB23121"/>
              <w:spacing w:line="240" w:lineRule="auto"/>
              <w:jc w:val="center"/>
              <w:rPr>
                <w:rFonts w:hAnsi="Times New Roman"/>
                <w:sz w:val="21"/>
                <w:szCs w:val="21"/>
              </w:rPr>
            </w:pPr>
            <w:r>
              <w:rPr>
                <w:rFonts w:hAnsi="Times New Roman" w:hint="eastAsia"/>
                <w:sz w:val="21"/>
                <w:szCs w:val="21"/>
              </w:rPr>
              <w:t>2</w:t>
            </w:r>
          </w:p>
        </w:tc>
        <w:tc>
          <w:tcPr>
            <w:tcW w:w="599" w:type="pct"/>
            <w:vAlign w:val="center"/>
          </w:tcPr>
          <w:p w:rsidR="00EE4502" w:rsidRDefault="00FD45A3">
            <w:pPr>
              <w:pStyle w:val="ArialGB23121"/>
              <w:spacing w:line="240" w:lineRule="auto"/>
              <w:jc w:val="center"/>
              <w:rPr>
                <w:rFonts w:hAnsi="Times New Roman"/>
                <w:sz w:val="21"/>
                <w:szCs w:val="21"/>
              </w:rPr>
            </w:pPr>
            <w:r>
              <w:rPr>
                <w:rFonts w:hAnsi="Times New Roman"/>
                <w:sz w:val="21"/>
                <w:szCs w:val="21"/>
              </w:rPr>
              <w:t>沾油废防渗材料</w:t>
            </w:r>
          </w:p>
        </w:tc>
        <w:tc>
          <w:tcPr>
            <w:tcW w:w="428" w:type="pct"/>
            <w:vMerge/>
            <w:vAlign w:val="center"/>
          </w:tcPr>
          <w:p w:rsidR="00EE4502" w:rsidRDefault="00EE4502">
            <w:pPr>
              <w:pStyle w:val="ArialGB23121"/>
              <w:spacing w:line="240" w:lineRule="auto"/>
              <w:jc w:val="center"/>
              <w:rPr>
                <w:rFonts w:hAnsi="Times New Roman"/>
                <w:sz w:val="21"/>
                <w:szCs w:val="21"/>
              </w:rPr>
            </w:pPr>
          </w:p>
        </w:tc>
        <w:tc>
          <w:tcPr>
            <w:tcW w:w="696" w:type="pct"/>
            <w:vAlign w:val="center"/>
          </w:tcPr>
          <w:p w:rsidR="00EE4502" w:rsidRDefault="00FD45A3">
            <w:pPr>
              <w:pStyle w:val="ArialGB23121"/>
              <w:spacing w:line="240" w:lineRule="auto"/>
              <w:jc w:val="center"/>
              <w:rPr>
                <w:rFonts w:hAnsi="Times New Roman"/>
                <w:sz w:val="21"/>
                <w:szCs w:val="21"/>
              </w:rPr>
            </w:pPr>
            <w:r>
              <w:rPr>
                <w:rFonts w:hAnsi="Times New Roman"/>
                <w:sz w:val="21"/>
                <w:szCs w:val="21"/>
              </w:rPr>
              <w:t>HW08</w:t>
            </w:r>
          </w:p>
          <w:p w:rsidR="00EE4502" w:rsidRDefault="00FD45A3">
            <w:pPr>
              <w:pStyle w:val="ArialGB23121"/>
              <w:spacing w:line="240" w:lineRule="auto"/>
              <w:jc w:val="center"/>
              <w:rPr>
                <w:rFonts w:hAnsi="Times New Roman"/>
                <w:sz w:val="21"/>
                <w:szCs w:val="21"/>
              </w:rPr>
            </w:pPr>
            <w:r>
              <w:rPr>
                <w:rFonts w:hAnsi="Times New Roman"/>
                <w:sz w:val="21"/>
                <w:szCs w:val="21"/>
              </w:rPr>
              <w:t>900-249-08</w:t>
            </w:r>
          </w:p>
        </w:tc>
        <w:tc>
          <w:tcPr>
            <w:tcW w:w="465" w:type="pct"/>
            <w:vAlign w:val="center"/>
          </w:tcPr>
          <w:p w:rsidR="00EE4502" w:rsidRDefault="00FD45A3">
            <w:pPr>
              <w:pStyle w:val="ArialGB23121"/>
              <w:spacing w:line="240" w:lineRule="auto"/>
              <w:jc w:val="center"/>
              <w:rPr>
                <w:rFonts w:hAnsi="Times New Roman"/>
                <w:sz w:val="21"/>
                <w:szCs w:val="21"/>
              </w:rPr>
            </w:pPr>
            <w:r>
              <w:rPr>
                <w:rFonts w:hAnsi="Times New Roman" w:hint="eastAsia"/>
                <w:sz w:val="21"/>
                <w:szCs w:val="21"/>
              </w:rPr>
              <w:t>2.25</w:t>
            </w:r>
            <w:r>
              <w:rPr>
                <w:rFonts w:hAnsi="Times New Roman"/>
                <w:bCs/>
                <w:sz w:val="21"/>
                <w:szCs w:val="21"/>
              </w:rPr>
              <w:t xml:space="preserve"> t/a</w:t>
            </w:r>
          </w:p>
        </w:tc>
        <w:tc>
          <w:tcPr>
            <w:tcW w:w="357" w:type="pct"/>
            <w:vAlign w:val="center"/>
          </w:tcPr>
          <w:p w:rsidR="00EE4502" w:rsidRDefault="00FD45A3">
            <w:pPr>
              <w:pStyle w:val="ArialGB23121"/>
              <w:spacing w:line="240" w:lineRule="auto"/>
              <w:jc w:val="center"/>
              <w:rPr>
                <w:rFonts w:hAnsi="Times New Roman"/>
                <w:sz w:val="21"/>
                <w:szCs w:val="21"/>
              </w:rPr>
            </w:pPr>
            <w:r>
              <w:rPr>
                <w:rFonts w:hAnsi="Times New Roman"/>
                <w:sz w:val="21"/>
                <w:szCs w:val="21"/>
              </w:rPr>
              <w:t>作业</w:t>
            </w:r>
            <w:r>
              <w:rPr>
                <w:rFonts w:hAnsi="Times New Roman" w:hint="eastAsia"/>
                <w:sz w:val="21"/>
                <w:szCs w:val="21"/>
              </w:rPr>
              <w:t>场地清理</w:t>
            </w:r>
          </w:p>
        </w:tc>
        <w:tc>
          <w:tcPr>
            <w:tcW w:w="371" w:type="pct"/>
            <w:vAlign w:val="center"/>
          </w:tcPr>
          <w:p w:rsidR="00EE4502" w:rsidRDefault="00FD45A3">
            <w:pPr>
              <w:pStyle w:val="ArialGB23121"/>
              <w:spacing w:line="240" w:lineRule="auto"/>
              <w:jc w:val="center"/>
              <w:rPr>
                <w:rFonts w:hAnsi="Times New Roman"/>
                <w:sz w:val="21"/>
                <w:szCs w:val="21"/>
              </w:rPr>
            </w:pPr>
            <w:r>
              <w:rPr>
                <w:rFonts w:hAnsi="Times New Roman"/>
                <w:sz w:val="21"/>
                <w:szCs w:val="21"/>
              </w:rPr>
              <w:t>固体</w:t>
            </w:r>
          </w:p>
        </w:tc>
        <w:tc>
          <w:tcPr>
            <w:tcW w:w="385" w:type="pct"/>
            <w:vAlign w:val="center"/>
          </w:tcPr>
          <w:p w:rsidR="00EE4502" w:rsidRDefault="00FD45A3">
            <w:pPr>
              <w:jc w:val="center"/>
              <w:rPr>
                <w:szCs w:val="21"/>
              </w:rPr>
            </w:pPr>
            <w:r>
              <w:rPr>
                <w:rFonts w:hint="eastAsia"/>
                <w:szCs w:val="21"/>
              </w:rPr>
              <w:t>废矿物油</w:t>
            </w:r>
          </w:p>
        </w:tc>
        <w:tc>
          <w:tcPr>
            <w:tcW w:w="520" w:type="pct"/>
            <w:vAlign w:val="center"/>
          </w:tcPr>
          <w:p w:rsidR="00EE4502" w:rsidRDefault="00FD45A3">
            <w:pPr>
              <w:pStyle w:val="ArialGB23121"/>
              <w:spacing w:line="240" w:lineRule="auto"/>
              <w:jc w:val="center"/>
              <w:rPr>
                <w:rFonts w:hAnsi="Times New Roman"/>
                <w:sz w:val="21"/>
                <w:szCs w:val="21"/>
              </w:rPr>
            </w:pPr>
            <w:r>
              <w:rPr>
                <w:rFonts w:hAnsi="Times New Roman"/>
                <w:sz w:val="21"/>
                <w:szCs w:val="21"/>
              </w:rPr>
              <w:t>间歇</w:t>
            </w:r>
          </w:p>
        </w:tc>
        <w:tc>
          <w:tcPr>
            <w:tcW w:w="357" w:type="pct"/>
            <w:vAlign w:val="center"/>
          </w:tcPr>
          <w:p w:rsidR="00EE4502" w:rsidRDefault="00FD45A3">
            <w:pPr>
              <w:pStyle w:val="ArialGB23121"/>
              <w:spacing w:line="240" w:lineRule="auto"/>
              <w:jc w:val="center"/>
              <w:rPr>
                <w:rFonts w:hAnsi="Times New Roman"/>
                <w:sz w:val="21"/>
                <w:szCs w:val="21"/>
              </w:rPr>
            </w:pPr>
            <w:r>
              <w:rPr>
                <w:rFonts w:hAnsi="Times New Roman"/>
                <w:sz w:val="21"/>
                <w:szCs w:val="21"/>
              </w:rPr>
              <w:t>T</w:t>
            </w:r>
            <w:r>
              <w:rPr>
                <w:rFonts w:hAnsi="Times New Roman" w:hint="eastAsia"/>
                <w:sz w:val="21"/>
                <w:szCs w:val="21"/>
              </w:rPr>
              <w:t>.</w:t>
            </w:r>
            <w:r>
              <w:rPr>
                <w:rFonts w:hAnsi="Times New Roman"/>
                <w:sz w:val="21"/>
                <w:szCs w:val="21"/>
              </w:rPr>
              <w:t>I</w:t>
            </w:r>
          </w:p>
        </w:tc>
        <w:tc>
          <w:tcPr>
            <w:tcW w:w="588" w:type="pct"/>
            <w:vAlign w:val="center"/>
          </w:tcPr>
          <w:p w:rsidR="00EE4502" w:rsidRDefault="00FD45A3">
            <w:pPr>
              <w:pStyle w:val="ArialGB23121"/>
              <w:spacing w:line="240" w:lineRule="auto"/>
              <w:jc w:val="center"/>
              <w:rPr>
                <w:rFonts w:hAnsi="Times New Roman"/>
                <w:sz w:val="21"/>
                <w:szCs w:val="21"/>
              </w:rPr>
            </w:pPr>
            <w:r>
              <w:rPr>
                <w:rFonts w:hAnsi="Times New Roman" w:hint="eastAsia"/>
                <w:sz w:val="21"/>
                <w:szCs w:val="21"/>
              </w:rPr>
              <w:t>折叠打包后</w:t>
            </w:r>
            <w:r>
              <w:rPr>
                <w:rFonts w:hAnsi="Times New Roman"/>
                <w:sz w:val="21"/>
                <w:szCs w:val="21"/>
              </w:rPr>
              <w:t>委托有资质单位</w:t>
            </w:r>
            <w:r>
              <w:rPr>
                <w:rFonts w:hAnsi="Times New Roman" w:hint="eastAsia"/>
                <w:sz w:val="21"/>
                <w:szCs w:val="21"/>
              </w:rPr>
              <w:t>拉运处理</w:t>
            </w:r>
          </w:p>
        </w:tc>
      </w:tr>
      <w:tr w:rsidR="00EE4502">
        <w:trPr>
          <w:trHeight w:val="340"/>
          <w:jc w:val="center"/>
        </w:trPr>
        <w:tc>
          <w:tcPr>
            <w:tcW w:w="233" w:type="pct"/>
            <w:vAlign w:val="center"/>
          </w:tcPr>
          <w:p w:rsidR="00EE4502" w:rsidRDefault="00FD45A3">
            <w:pPr>
              <w:pStyle w:val="ArialGB23121"/>
              <w:spacing w:line="240" w:lineRule="auto"/>
              <w:jc w:val="center"/>
              <w:rPr>
                <w:rFonts w:hAnsi="Times New Roman"/>
                <w:sz w:val="21"/>
                <w:szCs w:val="21"/>
              </w:rPr>
            </w:pPr>
            <w:r>
              <w:rPr>
                <w:rFonts w:hAnsi="Times New Roman"/>
                <w:sz w:val="21"/>
                <w:szCs w:val="21"/>
              </w:rPr>
              <w:t>3</w:t>
            </w:r>
          </w:p>
        </w:tc>
        <w:tc>
          <w:tcPr>
            <w:tcW w:w="599" w:type="pct"/>
            <w:vAlign w:val="center"/>
          </w:tcPr>
          <w:p w:rsidR="00EE4502" w:rsidRDefault="00FD45A3">
            <w:pPr>
              <w:pStyle w:val="ArialGB23121"/>
              <w:spacing w:line="240" w:lineRule="auto"/>
              <w:jc w:val="center"/>
              <w:rPr>
                <w:rFonts w:hAnsi="Times New Roman"/>
                <w:sz w:val="21"/>
                <w:szCs w:val="21"/>
              </w:rPr>
            </w:pPr>
            <w:r>
              <w:rPr>
                <w:rFonts w:hAnsi="Times New Roman" w:hint="eastAsia"/>
                <w:sz w:val="21"/>
                <w:szCs w:val="21"/>
              </w:rPr>
              <w:t>清管废渣</w:t>
            </w:r>
          </w:p>
        </w:tc>
        <w:tc>
          <w:tcPr>
            <w:tcW w:w="428" w:type="pct"/>
            <w:vMerge/>
            <w:vAlign w:val="center"/>
          </w:tcPr>
          <w:p w:rsidR="00EE4502" w:rsidRDefault="00EE4502">
            <w:pPr>
              <w:pStyle w:val="ArialGB23121"/>
              <w:spacing w:line="240" w:lineRule="auto"/>
              <w:jc w:val="center"/>
              <w:rPr>
                <w:rFonts w:hAnsi="Times New Roman"/>
                <w:sz w:val="21"/>
                <w:szCs w:val="21"/>
              </w:rPr>
            </w:pPr>
          </w:p>
        </w:tc>
        <w:tc>
          <w:tcPr>
            <w:tcW w:w="696" w:type="pct"/>
            <w:vAlign w:val="center"/>
          </w:tcPr>
          <w:p w:rsidR="00EE4502" w:rsidRDefault="00FD45A3">
            <w:pPr>
              <w:pStyle w:val="ArialGB23121"/>
              <w:spacing w:line="240" w:lineRule="auto"/>
              <w:jc w:val="center"/>
              <w:rPr>
                <w:rFonts w:hAnsi="Times New Roman"/>
                <w:sz w:val="21"/>
                <w:szCs w:val="21"/>
              </w:rPr>
            </w:pPr>
            <w:r>
              <w:rPr>
                <w:rFonts w:hAnsi="Times New Roman"/>
                <w:sz w:val="21"/>
                <w:szCs w:val="21"/>
              </w:rPr>
              <w:t>HW08</w:t>
            </w:r>
          </w:p>
          <w:p w:rsidR="00EE4502" w:rsidRDefault="00FD45A3">
            <w:pPr>
              <w:pStyle w:val="ArialGB23121"/>
              <w:spacing w:line="240" w:lineRule="auto"/>
              <w:jc w:val="center"/>
              <w:rPr>
                <w:rFonts w:hAnsi="Times New Roman"/>
                <w:sz w:val="21"/>
                <w:szCs w:val="21"/>
              </w:rPr>
            </w:pPr>
            <w:r>
              <w:rPr>
                <w:rFonts w:hAnsi="Times New Roman"/>
                <w:sz w:val="21"/>
                <w:szCs w:val="21"/>
              </w:rPr>
              <w:t>071-001-08</w:t>
            </w:r>
          </w:p>
        </w:tc>
        <w:tc>
          <w:tcPr>
            <w:tcW w:w="465" w:type="pct"/>
            <w:vAlign w:val="center"/>
          </w:tcPr>
          <w:p w:rsidR="00EE4502" w:rsidRDefault="00FD45A3">
            <w:pPr>
              <w:pStyle w:val="ArialGB23121"/>
              <w:spacing w:line="240" w:lineRule="auto"/>
              <w:jc w:val="center"/>
              <w:rPr>
                <w:rFonts w:hAnsi="Times New Roman"/>
                <w:sz w:val="21"/>
                <w:szCs w:val="21"/>
              </w:rPr>
            </w:pPr>
            <w:r>
              <w:rPr>
                <w:rFonts w:hAnsi="Times New Roman"/>
                <w:sz w:val="21"/>
                <w:szCs w:val="21"/>
              </w:rPr>
              <w:t>0.</w:t>
            </w:r>
            <w:r>
              <w:rPr>
                <w:rFonts w:hAnsi="Times New Roman" w:hint="eastAsia"/>
                <w:sz w:val="21"/>
                <w:szCs w:val="21"/>
              </w:rPr>
              <w:t>01t</w:t>
            </w:r>
            <w:r>
              <w:rPr>
                <w:rFonts w:hAnsi="Times New Roman"/>
                <w:bCs/>
                <w:sz w:val="21"/>
                <w:szCs w:val="21"/>
              </w:rPr>
              <w:t>/a</w:t>
            </w:r>
            <w:r>
              <w:rPr>
                <w:rFonts w:hAnsi="Times New Roman" w:hint="eastAsia"/>
                <w:bCs/>
                <w:sz w:val="21"/>
                <w:szCs w:val="21"/>
              </w:rPr>
              <w:t>（</w:t>
            </w:r>
            <w:r>
              <w:rPr>
                <w:rFonts w:hAnsi="Times New Roman" w:hint="eastAsia"/>
                <w:bCs/>
                <w:sz w:val="21"/>
                <w:szCs w:val="21"/>
              </w:rPr>
              <w:t>16 kg/</w:t>
            </w:r>
            <w:r>
              <w:rPr>
                <w:rFonts w:hAnsi="Times New Roman" w:hint="eastAsia"/>
                <w:bCs/>
                <w:sz w:val="21"/>
                <w:szCs w:val="21"/>
              </w:rPr>
              <w:t>次）</w:t>
            </w:r>
          </w:p>
        </w:tc>
        <w:tc>
          <w:tcPr>
            <w:tcW w:w="357" w:type="pct"/>
            <w:vAlign w:val="center"/>
          </w:tcPr>
          <w:p w:rsidR="00EE4502" w:rsidRDefault="00FD45A3">
            <w:pPr>
              <w:pStyle w:val="ArialGB23121"/>
              <w:spacing w:line="240" w:lineRule="auto"/>
              <w:jc w:val="center"/>
              <w:rPr>
                <w:rFonts w:hAnsi="Times New Roman"/>
                <w:sz w:val="21"/>
                <w:szCs w:val="21"/>
              </w:rPr>
            </w:pPr>
            <w:r>
              <w:rPr>
                <w:rFonts w:hAnsi="Times New Roman" w:hint="eastAsia"/>
                <w:sz w:val="21"/>
                <w:szCs w:val="21"/>
              </w:rPr>
              <w:t>集输环节</w:t>
            </w:r>
          </w:p>
        </w:tc>
        <w:tc>
          <w:tcPr>
            <w:tcW w:w="371" w:type="pct"/>
            <w:vAlign w:val="center"/>
          </w:tcPr>
          <w:p w:rsidR="00EE4502" w:rsidRDefault="00FD45A3">
            <w:pPr>
              <w:pStyle w:val="ArialGB23121"/>
              <w:spacing w:line="240" w:lineRule="auto"/>
              <w:jc w:val="center"/>
              <w:rPr>
                <w:rFonts w:hAnsi="Times New Roman"/>
                <w:sz w:val="21"/>
                <w:szCs w:val="21"/>
              </w:rPr>
            </w:pPr>
            <w:r>
              <w:rPr>
                <w:rFonts w:hAnsi="Times New Roman" w:hint="eastAsia"/>
                <w:sz w:val="21"/>
                <w:szCs w:val="21"/>
              </w:rPr>
              <w:t>固体</w:t>
            </w:r>
          </w:p>
        </w:tc>
        <w:tc>
          <w:tcPr>
            <w:tcW w:w="385" w:type="pct"/>
            <w:vAlign w:val="center"/>
          </w:tcPr>
          <w:p w:rsidR="00EE4502" w:rsidRDefault="00FD45A3">
            <w:pPr>
              <w:pStyle w:val="ArialGB23121"/>
              <w:spacing w:line="240" w:lineRule="auto"/>
              <w:jc w:val="center"/>
              <w:rPr>
                <w:rFonts w:hAnsi="Times New Roman"/>
                <w:sz w:val="21"/>
                <w:szCs w:val="21"/>
              </w:rPr>
            </w:pPr>
            <w:r>
              <w:rPr>
                <w:rFonts w:hAnsi="Times New Roman" w:hint="eastAsia"/>
                <w:sz w:val="21"/>
                <w:szCs w:val="21"/>
              </w:rPr>
              <w:t>废矿物油</w:t>
            </w:r>
          </w:p>
        </w:tc>
        <w:tc>
          <w:tcPr>
            <w:tcW w:w="520" w:type="pct"/>
            <w:vAlign w:val="center"/>
          </w:tcPr>
          <w:p w:rsidR="00EE4502" w:rsidRDefault="00FD45A3">
            <w:pPr>
              <w:pStyle w:val="ArialGB23121"/>
              <w:spacing w:line="240" w:lineRule="auto"/>
              <w:jc w:val="center"/>
              <w:rPr>
                <w:rFonts w:hAnsi="Times New Roman"/>
                <w:sz w:val="21"/>
                <w:szCs w:val="21"/>
              </w:rPr>
            </w:pPr>
            <w:r>
              <w:rPr>
                <w:rFonts w:hAnsi="Times New Roman"/>
                <w:sz w:val="21"/>
                <w:szCs w:val="21"/>
              </w:rPr>
              <w:t>间歇</w:t>
            </w:r>
          </w:p>
        </w:tc>
        <w:tc>
          <w:tcPr>
            <w:tcW w:w="357" w:type="pct"/>
            <w:vAlign w:val="center"/>
          </w:tcPr>
          <w:p w:rsidR="00EE4502" w:rsidRDefault="00FD45A3">
            <w:pPr>
              <w:pStyle w:val="ArialGB23121"/>
              <w:spacing w:line="240" w:lineRule="auto"/>
              <w:jc w:val="center"/>
              <w:rPr>
                <w:rFonts w:hAnsi="Times New Roman"/>
                <w:sz w:val="21"/>
                <w:szCs w:val="21"/>
              </w:rPr>
            </w:pPr>
            <w:r>
              <w:rPr>
                <w:rFonts w:hAnsi="Times New Roman"/>
                <w:sz w:val="21"/>
                <w:szCs w:val="21"/>
              </w:rPr>
              <w:t>T</w:t>
            </w:r>
            <w:r>
              <w:rPr>
                <w:rFonts w:hAnsi="Times New Roman" w:hint="eastAsia"/>
                <w:sz w:val="21"/>
                <w:szCs w:val="21"/>
              </w:rPr>
              <w:t>.</w:t>
            </w:r>
            <w:r>
              <w:rPr>
                <w:rFonts w:hAnsi="Times New Roman"/>
                <w:sz w:val="21"/>
                <w:szCs w:val="21"/>
              </w:rPr>
              <w:t>I</w:t>
            </w:r>
          </w:p>
        </w:tc>
        <w:tc>
          <w:tcPr>
            <w:tcW w:w="588" w:type="pct"/>
            <w:vAlign w:val="center"/>
          </w:tcPr>
          <w:p w:rsidR="00EE4502" w:rsidRDefault="00FD45A3">
            <w:pPr>
              <w:pStyle w:val="ArialGB23121"/>
              <w:spacing w:line="240" w:lineRule="auto"/>
              <w:jc w:val="center"/>
              <w:rPr>
                <w:rFonts w:hAnsi="Times New Roman"/>
                <w:sz w:val="21"/>
                <w:szCs w:val="21"/>
              </w:rPr>
            </w:pPr>
            <w:r>
              <w:rPr>
                <w:rFonts w:hAnsi="Times New Roman"/>
                <w:sz w:val="21"/>
                <w:szCs w:val="21"/>
              </w:rPr>
              <w:t>委托有资质单位</w:t>
            </w:r>
            <w:r>
              <w:rPr>
                <w:rFonts w:hAnsi="Times New Roman" w:hint="eastAsia"/>
                <w:sz w:val="21"/>
                <w:szCs w:val="21"/>
              </w:rPr>
              <w:t>拉运处理</w:t>
            </w:r>
          </w:p>
        </w:tc>
      </w:tr>
      <w:tr w:rsidR="00EE4502">
        <w:trPr>
          <w:trHeight w:val="340"/>
          <w:jc w:val="center"/>
        </w:trPr>
        <w:tc>
          <w:tcPr>
            <w:tcW w:w="233" w:type="pct"/>
            <w:vAlign w:val="center"/>
          </w:tcPr>
          <w:p w:rsidR="00EE4502" w:rsidRDefault="00FD45A3">
            <w:pPr>
              <w:pStyle w:val="ArialGB23121"/>
              <w:spacing w:line="240" w:lineRule="auto"/>
              <w:jc w:val="center"/>
              <w:rPr>
                <w:rFonts w:hAnsi="Times New Roman"/>
                <w:sz w:val="21"/>
                <w:szCs w:val="21"/>
              </w:rPr>
            </w:pPr>
            <w:r>
              <w:rPr>
                <w:rFonts w:hAnsi="Times New Roman"/>
                <w:sz w:val="21"/>
                <w:szCs w:val="21"/>
              </w:rPr>
              <w:t>4</w:t>
            </w:r>
          </w:p>
        </w:tc>
        <w:tc>
          <w:tcPr>
            <w:tcW w:w="599" w:type="pct"/>
            <w:vAlign w:val="center"/>
          </w:tcPr>
          <w:p w:rsidR="00EE4502" w:rsidRDefault="00FD45A3">
            <w:pPr>
              <w:pStyle w:val="ArialGB23121"/>
              <w:spacing w:line="240" w:lineRule="auto"/>
              <w:jc w:val="center"/>
              <w:rPr>
                <w:rFonts w:hAnsi="Times New Roman"/>
                <w:sz w:val="21"/>
                <w:szCs w:val="21"/>
              </w:rPr>
            </w:pPr>
            <w:r>
              <w:rPr>
                <w:rFonts w:hAnsi="Times New Roman"/>
                <w:sz w:val="21"/>
                <w:szCs w:val="21"/>
              </w:rPr>
              <w:t>废润滑油</w:t>
            </w:r>
          </w:p>
        </w:tc>
        <w:tc>
          <w:tcPr>
            <w:tcW w:w="428" w:type="pct"/>
            <w:vMerge/>
            <w:vAlign w:val="center"/>
          </w:tcPr>
          <w:p w:rsidR="00EE4502" w:rsidRDefault="00EE4502">
            <w:pPr>
              <w:pStyle w:val="ArialGB23121"/>
              <w:spacing w:line="240" w:lineRule="auto"/>
              <w:jc w:val="center"/>
              <w:rPr>
                <w:rFonts w:hAnsi="Times New Roman"/>
                <w:sz w:val="21"/>
                <w:szCs w:val="21"/>
              </w:rPr>
            </w:pPr>
          </w:p>
        </w:tc>
        <w:tc>
          <w:tcPr>
            <w:tcW w:w="696" w:type="pct"/>
            <w:vAlign w:val="center"/>
          </w:tcPr>
          <w:p w:rsidR="00EE4502" w:rsidRDefault="00FD45A3">
            <w:pPr>
              <w:pStyle w:val="ArialGB23121"/>
              <w:spacing w:line="240" w:lineRule="auto"/>
              <w:jc w:val="center"/>
              <w:rPr>
                <w:rFonts w:hAnsi="Times New Roman"/>
                <w:sz w:val="21"/>
                <w:szCs w:val="21"/>
              </w:rPr>
            </w:pPr>
            <w:r>
              <w:rPr>
                <w:rFonts w:hAnsi="Times New Roman"/>
                <w:sz w:val="21"/>
                <w:szCs w:val="21"/>
              </w:rPr>
              <w:t>HW08</w:t>
            </w:r>
          </w:p>
          <w:p w:rsidR="00EE4502" w:rsidRDefault="00FD45A3">
            <w:pPr>
              <w:pStyle w:val="ArialGB23121"/>
              <w:spacing w:line="240" w:lineRule="auto"/>
              <w:jc w:val="center"/>
              <w:rPr>
                <w:rFonts w:hAnsi="Times New Roman"/>
                <w:sz w:val="21"/>
                <w:szCs w:val="21"/>
              </w:rPr>
            </w:pPr>
            <w:r>
              <w:rPr>
                <w:rFonts w:hAnsi="Times New Roman"/>
                <w:sz w:val="21"/>
                <w:szCs w:val="21"/>
              </w:rPr>
              <w:t>900-21</w:t>
            </w:r>
            <w:r>
              <w:rPr>
                <w:rFonts w:hAnsi="Times New Roman" w:hint="eastAsia"/>
                <w:sz w:val="21"/>
                <w:szCs w:val="21"/>
              </w:rPr>
              <w:t>7</w:t>
            </w:r>
            <w:r>
              <w:rPr>
                <w:rFonts w:hAnsi="Times New Roman"/>
                <w:sz w:val="21"/>
                <w:szCs w:val="21"/>
              </w:rPr>
              <w:t>-08</w:t>
            </w:r>
          </w:p>
        </w:tc>
        <w:tc>
          <w:tcPr>
            <w:tcW w:w="465" w:type="pct"/>
            <w:vAlign w:val="center"/>
          </w:tcPr>
          <w:p w:rsidR="00EE4502" w:rsidRDefault="00FD45A3">
            <w:pPr>
              <w:pStyle w:val="ArialGB23121"/>
              <w:spacing w:line="240" w:lineRule="auto"/>
              <w:jc w:val="center"/>
              <w:rPr>
                <w:rFonts w:hAnsi="Times New Roman"/>
                <w:sz w:val="21"/>
                <w:szCs w:val="21"/>
              </w:rPr>
            </w:pPr>
            <w:r>
              <w:rPr>
                <w:rFonts w:hAnsi="Times New Roman"/>
                <w:sz w:val="21"/>
                <w:szCs w:val="21"/>
              </w:rPr>
              <w:t>1.8</w:t>
            </w:r>
            <w:r>
              <w:rPr>
                <w:rFonts w:hAnsi="Times New Roman"/>
                <w:bCs/>
                <w:sz w:val="21"/>
                <w:szCs w:val="21"/>
              </w:rPr>
              <w:t xml:space="preserve"> t/a</w:t>
            </w:r>
          </w:p>
        </w:tc>
        <w:tc>
          <w:tcPr>
            <w:tcW w:w="357" w:type="pct"/>
            <w:vAlign w:val="center"/>
          </w:tcPr>
          <w:p w:rsidR="00EE4502" w:rsidRDefault="00FD45A3">
            <w:pPr>
              <w:pStyle w:val="ArialGB23121"/>
              <w:spacing w:line="240" w:lineRule="auto"/>
              <w:jc w:val="center"/>
              <w:rPr>
                <w:rFonts w:hAnsi="Times New Roman"/>
                <w:sz w:val="21"/>
                <w:szCs w:val="21"/>
              </w:rPr>
            </w:pPr>
            <w:r>
              <w:rPr>
                <w:rFonts w:hAnsi="Times New Roman"/>
                <w:sz w:val="21"/>
                <w:szCs w:val="21"/>
              </w:rPr>
              <w:t>设备检修</w:t>
            </w:r>
          </w:p>
        </w:tc>
        <w:tc>
          <w:tcPr>
            <w:tcW w:w="371" w:type="pct"/>
            <w:vAlign w:val="center"/>
          </w:tcPr>
          <w:p w:rsidR="00EE4502" w:rsidRDefault="00FD45A3">
            <w:pPr>
              <w:pStyle w:val="ArialGB23121"/>
              <w:spacing w:line="240" w:lineRule="auto"/>
              <w:jc w:val="center"/>
              <w:rPr>
                <w:rFonts w:hAnsi="Times New Roman"/>
                <w:sz w:val="21"/>
                <w:szCs w:val="21"/>
              </w:rPr>
            </w:pPr>
            <w:r>
              <w:rPr>
                <w:rFonts w:hAnsi="Times New Roman"/>
                <w:sz w:val="21"/>
                <w:szCs w:val="21"/>
              </w:rPr>
              <w:t>半固体</w:t>
            </w:r>
          </w:p>
        </w:tc>
        <w:tc>
          <w:tcPr>
            <w:tcW w:w="385" w:type="pct"/>
            <w:vAlign w:val="center"/>
          </w:tcPr>
          <w:p w:rsidR="00EE4502" w:rsidRDefault="00FD45A3">
            <w:pPr>
              <w:pStyle w:val="ArialGB23121"/>
              <w:spacing w:line="240" w:lineRule="auto"/>
              <w:jc w:val="center"/>
              <w:rPr>
                <w:rFonts w:hAnsi="Times New Roman"/>
                <w:sz w:val="21"/>
                <w:szCs w:val="21"/>
              </w:rPr>
            </w:pPr>
            <w:r>
              <w:rPr>
                <w:rFonts w:hAnsi="Times New Roman" w:hint="eastAsia"/>
                <w:sz w:val="21"/>
                <w:szCs w:val="21"/>
              </w:rPr>
              <w:t>废矿物油</w:t>
            </w:r>
          </w:p>
        </w:tc>
        <w:tc>
          <w:tcPr>
            <w:tcW w:w="520" w:type="pct"/>
            <w:vAlign w:val="center"/>
          </w:tcPr>
          <w:p w:rsidR="00EE4502" w:rsidRDefault="00FD45A3">
            <w:pPr>
              <w:pStyle w:val="ArialGB23121"/>
              <w:spacing w:line="240" w:lineRule="auto"/>
              <w:jc w:val="center"/>
              <w:rPr>
                <w:rFonts w:hAnsi="Times New Roman"/>
                <w:sz w:val="21"/>
                <w:szCs w:val="21"/>
              </w:rPr>
            </w:pPr>
            <w:r>
              <w:rPr>
                <w:rFonts w:hAnsi="Times New Roman"/>
                <w:sz w:val="21"/>
                <w:szCs w:val="21"/>
              </w:rPr>
              <w:t>间歇</w:t>
            </w:r>
          </w:p>
        </w:tc>
        <w:tc>
          <w:tcPr>
            <w:tcW w:w="357" w:type="pct"/>
            <w:vAlign w:val="center"/>
          </w:tcPr>
          <w:p w:rsidR="00EE4502" w:rsidRDefault="00FD45A3">
            <w:pPr>
              <w:pStyle w:val="ArialGB23121"/>
              <w:spacing w:line="240" w:lineRule="auto"/>
              <w:jc w:val="center"/>
              <w:rPr>
                <w:rFonts w:hAnsi="Times New Roman"/>
                <w:sz w:val="21"/>
                <w:szCs w:val="21"/>
              </w:rPr>
            </w:pPr>
            <w:r>
              <w:rPr>
                <w:rFonts w:hAnsi="Times New Roman"/>
                <w:sz w:val="21"/>
                <w:szCs w:val="21"/>
              </w:rPr>
              <w:t>T</w:t>
            </w:r>
            <w:r>
              <w:rPr>
                <w:rFonts w:hAnsi="Times New Roman" w:hint="eastAsia"/>
                <w:sz w:val="21"/>
                <w:szCs w:val="21"/>
              </w:rPr>
              <w:t>.</w:t>
            </w:r>
            <w:r>
              <w:rPr>
                <w:rFonts w:hAnsi="Times New Roman"/>
                <w:sz w:val="21"/>
                <w:szCs w:val="21"/>
              </w:rPr>
              <w:t>I</w:t>
            </w:r>
          </w:p>
        </w:tc>
        <w:tc>
          <w:tcPr>
            <w:tcW w:w="588" w:type="pct"/>
            <w:vAlign w:val="center"/>
          </w:tcPr>
          <w:p w:rsidR="00EE4502" w:rsidRDefault="00FD45A3">
            <w:pPr>
              <w:pStyle w:val="ArialGB23121"/>
              <w:spacing w:line="240" w:lineRule="auto"/>
              <w:jc w:val="center"/>
              <w:rPr>
                <w:rFonts w:hAnsi="Times New Roman"/>
                <w:sz w:val="21"/>
                <w:szCs w:val="21"/>
              </w:rPr>
            </w:pPr>
            <w:r>
              <w:rPr>
                <w:rFonts w:hAnsi="Times New Roman" w:hint="eastAsia"/>
                <w:sz w:val="21"/>
                <w:szCs w:val="21"/>
              </w:rPr>
              <w:t>联合站综合利用</w:t>
            </w:r>
          </w:p>
        </w:tc>
      </w:tr>
      <w:bookmarkEnd w:id="171"/>
    </w:tbl>
    <w:p w:rsidR="00EE4502" w:rsidRDefault="00EE4502">
      <w:pPr>
        <w:jc w:val="center"/>
        <w:rPr>
          <w:sz w:val="18"/>
          <w:szCs w:val="18"/>
        </w:rPr>
      </w:pPr>
    </w:p>
    <w:p w:rsidR="00EE4502" w:rsidRDefault="00FD45A3">
      <w:pPr>
        <w:pStyle w:val="41"/>
        <w:numPr>
          <w:ilvl w:val="3"/>
          <w:numId w:val="30"/>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bCs w:val="0"/>
          <w:sz w:val="24"/>
          <w:szCs w:val="24"/>
        </w:rPr>
        <w:t>噪声</w:t>
      </w:r>
    </w:p>
    <w:p w:rsidR="00EE4502" w:rsidRDefault="00FD45A3">
      <w:pPr>
        <w:spacing w:line="360" w:lineRule="auto"/>
        <w:ind w:firstLine="482"/>
        <w:rPr>
          <w:sz w:val="24"/>
        </w:rPr>
      </w:pPr>
      <w:r>
        <w:rPr>
          <w:rFonts w:hint="eastAsia"/>
          <w:sz w:val="24"/>
        </w:rPr>
        <w:t>油田生产阶段，噪声源主要集中在各井场和站场，噪声源为采油树、井下作业噪声、车辆的交通噪声、机泵等。主要采取基础减振等措施后，降噪效果可到</w:t>
      </w:r>
      <w:r>
        <w:rPr>
          <w:rFonts w:hint="eastAsia"/>
          <w:sz w:val="24"/>
        </w:rPr>
        <w:lastRenderedPageBreak/>
        <w:t>10dB(A)</w:t>
      </w:r>
      <w:r>
        <w:rPr>
          <w:sz w:val="24"/>
        </w:rPr>
        <w:t>。噪声排放情况见表</w:t>
      </w:r>
      <w:r>
        <w:rPr>
          <w:rFonts w:hint="eastAsia"/>
          <w:sz w:val="24"/>
        </w:rPr>
        <w:t>3-4</w:t>
      </w:r>
      <w:r>
        <w:rPr>
          <w:sz w:val="24"/>
        </w:rPr>
        <w:t>-1</w:t>
      </w:r>
      <w:r>
        <w:rPr>
          <w:rFonts w:hint="eastAsia"/>
          <w:sz w:val="24"/>
        </w:rPr>
        <w:t>3</w:t>
      </w:r>
      <w:r>
        <w:rPr>
          <w:sz w:val="24"/>
        </w:rPr>
        <w:t>。</w:t>
      </w:r>
    </w:p>
    <w:p w:rsidR="00EE4502" w:rsidRDefault="00FD45A3">
      <w:pPr>
        <w:spacing w:line="360" w:lineRule="auto"/>
        <w:jc w:val="center"/>
        <w:rPr>
          <w:rFonts w:eastAsia="黑体"/>
          <w:bCs/>
          <w:lang w:val="zh-CN"/>
        </w:rPr>
      </w:pPr>
      <w:r>
        <w:rPr>
          <w:rFonts w:eastAsia="黑体"/>
          <w:bCs/>
          <w:lang w:val="zh-CN"/>
        </w:rPr>
        <w:t>表</w:t>
      </w:r>
      <w:r>
        <w:rPr>
          <w:rFonts w:eastAsia="黑体" w:hint="eastAsia"/>
          <w:bCs/>
          <w:lang w:val="zh-CN"/>
        </w:rPr>
        <w:t>3-4</w:t>
      </w:r>
      <w:r>
        <w:rPr>
          <w:rFonts w:eastAsia="黑体"/>
          <w:bCs/>
          <w:lang w:val="zh-CN"/>
        </w:rPr>
        <w:t>-</w:t>
      </w:r>
      <w:r>
        <w:rPr>
          <w:rFonts w:eastAsia="黑体" w:hint="eastAsia"/>
          <w:bCs/>
        </w:rPr>
        <w:t>1</w:t>
      </w:r>
      <w:r>
        <w:rPr>
          <w:rFonts w:eastAsia="黑体" w:hint="eastAsia"/>
          <w:bCs/>
        </w:rPr>
        <w:t>3</w:t>
      </w:r>
      <w:r>
        <w:rPr>
          <w:rFonts w:eastAsia="黑体"/>
          <w:bCs/>
          <w:lang w:val="zh-CN"/>
        </w:rPr>
        <w:t xml:space="preserve">   </w:t>
      </w:r>
      <w:r>
        <w:rPr>
          <w:rFonts w:eastAsia="黑体"/>
          <w:bCs/>
          <w:lang w:val="zh-CN"/>
        </w:rPr>
        <w:t>噪声排放情况</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37"/>
        <w:gridCol w:w="919"/>
        <w:gridCol w:w="1033"/>
        <w:gridCol w:w="1316"/>
        <w:gridCol w:w="1070"/>
        <w:gridCol w:w="1356"/>
        <w:gridCol w:w="799"/>
        <w:gridCol w:w="1429"/>
      </w:tblGrid>
      <w:tr w:rsidR="00EE4502">
        <w:trPr>
          <w:trHeight w:val="397"/>
          <w:jc w:val="center"/>
        </w:trPr>
        <w:tc>
          <w:tcPr>
            <w:tcW w:w="261" w:type="pct"/>
            <w:vAlign w:val="center"/>
          </w:tcPr>
          <w:p w:rsidR="00EE4502" w:rsidRDefault="00FD45A3">
            <w:pPr>
              <w:spacing w:line="0" w:lineRule="atLeast"/>
              <w:jc w:val="center"/>
              <w:rPr>
                <w:rFonts w:hAnsi="宋体"/>
                <w:kern w:val="21"/>
                <w:szCs w:val="21"/>
              </w:rPr>
            </w:pPr>
            <w:r>
              <w:rPr>
                <w:rFonts w:hAnsi="宋体" w:hint="eastAsia"/>
                <w:kern w:val="21"/>
                <w:szCs w:val="21"/>
              </w:rPr>
              <w:t>序号</w:t>
            </w:r>
          </w:p>
        </w:tc>
        <w:tc>
          <w:tcPr>
            <w:tcW w:w="550" w:type="pct"/>
            <w:vAlign w:val="center"/>
          </w:tcPr>
          <w:p w:rsidR="00EE4502" w:rsidRDefault="00FD45A3">
            <w:pPr>
              <w:spacing w:line="0" w:lineRule="atLeast"/>
              <w:jc w:val="center"/>
              <w:rPr>
                <w:rFonts w:hAnsi="宋体"/>
                <w:kern w:val="21"/>
                <w:szCs w:val="21"/>
              </w:rPr>
            </w:pPr>
            <w:r>
              <w:rPr>
                <w:rFonts w:hAnsi="宋体" w:hint="eastAsia"/>
                <w:kern w:val="21"/>
                <w:szCs w:val="21"/>
              </w:rPr>
              <w:t>噪声源名称</w:t>
            </w:r>
          </w:p>
        </w:tc>
        <w:tc>
          <w:tcPr>
            <w:tcW w:w="618" w:type="pct"/>
            <w:vAlign w:val="center"/>
          </w:tcPr>
          <w:p w:rsidR="00EE4502" w:rsidRDefault="00FD45A3">
            <w:pPr>
              <w:spacing w:line="0" w:lineRule="atLeast"/>
              <w:jc w:val="center"/>
              <w:rPr>
                <w:rFonts w:hAnsi="宋体"/>
                <w:kern w:val="21"/>
                <w:szCs w:val="21"/>
              </w:rPr>
            </w:pPr>
            <w:r>
              <w:rPr>
                <w:rFonts w:hAnsi="宋体" w:hint="eastAsia"/>
                <w:kern w:val="21"/>
                <w:szCs w:val="21"/>
              </w:rPr>
              <w:t>声源位置</w:t>
            </w:r>
          </w:p>
        </w:tc>
        <w:tc>
          <w:tcPr>
            <w:tcW w:w="786" w:type="pct"/>
            <w:vAlign w:val="center"/>
          </w:tcPr>
          <w:p w:rsidR="00EE4502" w:rsidRDefault="00FD45A3">
            <w:pPr>
              <w:spacing w:line="0" w:lineRule="atLeast"/>
              <w:jc w:val="center"/>
              <w:rPr>
                <w:rFonts w:hAnsi="宋体"/>
                <w:kern w:val="21"/>
                <w:szCs w:val="21"/>
              </w:rPr>
            </w:pPr>
            <w:r>
              <w:rPr>
                <w:rFonts w:hAnsi="宋体" w:hint="eastAsia"/>
                <w:kern w:val="21"/>
                <w:szCs w:val="21"/>
              </w:rPr>
              <w:t>数量</w:t>
            </w:r>
            <w:r>
              <w:rPr>
                <w:rFonts w:hAnsi="宋体" w:hint="eastAsia"/>
                <w:kern w:val="21"/>
                <w:szCs w:val="21"/>
              </w:rPr>
              <w:t>/</w:t>
            </w:r>
            <w:r>
              <w:rPr>
                <w:rFonts w:hAnsi="宋体" w:hint="eastAsia"/>
                <w:kern w:val="21"/>
                <w:szCs w:val="21"/>
              </w:rPr>
              <w:t>（</w:t>
            </w:r>
            <w:r>
              <w:rPr>
                <w:rFonts w:hAnsi="宋体" w:hint="eastAsia"/>
                <w:kern w:val="21"/>
                <w:szCs w:val="21"/>
              </w:rPr>
              <w:t>台</w:t>
            </w:r>
            <w:r>
              <w:rPr>
                <w:rFonts w:hAnsi="宋体" w:hint="eastAsia"/>
                <w:kern w:val="21"/>
                <w:szCs w:val="21"/>
              </w:rPr>
              <w:t>/</w:t>
            </w:r>
            <w:r>
              <w:rPr>
                <w:rFonts w:hAnsi="宋体" w:hint="eastAsia"/>
                <w:kern w:val="21"/>
                <w:szCs w:val="21"/>
              </w:rPr>
              <w:t>套</w:t>
            </w:r>
            <w:r>
              <w:rPr>
                <w:rFonts w:hAnsi="宋体" w:hint="eastAsia"/>
                <w:kern w:val="21"/>
                <w:szCs w:val="21"/>
              </w:rPr>
              <w:t>）</w:t>
            </w:r>
          </w:p>
        </w:tc>
        <w:tc>
          <w:tcPr>
            <w:tcW w:w="639" w:type="pct"/>
            <w:vAlign w:val="center"/>
          </w:tcPr>
          <w:p w:rsidR="00EE4502" w:rsidRDefault="00FD45A3">
            <w:pPr>
              <w:spacing w:line="0" w:lineRule="atLeast"/>
              <w:jc w:val="center"/>
              <w:rPr>
                <w:rFonts w:hAnsi="宋体"/>
                <w:kern w:val="21"/>
                <w:szCs w:val="21"/>
              </w:rPr>
            </w:pPr>
            <w:r>
              <w:rPr>
                <w:rFonts w:hAnsi="宋体" w:hint="eastAsia"/>
                <w:kern w:val="21"/>
                <w:szCs w:val="21"/>
              </w:rPr>
              <w:t>声功率级</w:t>
            </w:r>
          </w:p>
          <w:p w:rsidR="00EE4502" w:rsidRDefault="00FD45A3">
            <w:pPr>
              <w:spacing w:line="0" w:lineRule="atLeast"/>
              <w:jc w:val="center"/>
              <w:rPr>
                <w:rFonts w:hAnsi="宋体"/>
                <w:kern w:val="21"/>
                <w:szCs w:val="21"/>
              </w:rPr>
            </w:pPr>
            <w:r>
              <w:rPr>
                <w:rFonts w:hAnsi="宋体" w:hint="eastAsia"/>
                <w:kern w:val="21"/>
                <w:szCs w:val="21"/>
              </w:rPr>
              <w:t>(dBA)</w:t>
            </w:r>
          </w:p>
        </w:tc>
        <w:tc>
          <w:tcPr>
            <w:tcW w:w="810" w:type="pct"/>
            <w:vAlign w:val="center"/>
          </w:tcPr>
          <w:p w:rsidR="00EE4502" w:rsidRDefault="00FD45A3">
            <w:pPr>
              <w:spacing w:line="0" w:lineRule="atLeast"/>
              <w:jc w:val="center"/>
              <w:rPr>
                <w:rFonts w:hAnsi="宋体"/>
                <w:kern w:val="21"/>
                <w:szCs w:val="21"/>
              </w:rPr>
            </w:pPr>
            <w:r>
              <w:rPr>
                <w:rFonts w:hAnsi="宋体" w:hint="eastAsia"/>
                <w:kern w:val="21"/>
                <w:szCs w:val="21"/>
              </w:rPr>
              <w:t>降噪措施</w:t>
            </w:r>
          </w:p>
        </w:tc>
        <w:tc>
          <w:tcPr>
            <w:tcW w:w="478" w:type="pct"/>
            <w:vAlign w:val="center"/>
          </w:tcPr>
          <w:p w:rsidR="00EE4502" w:rsidRDefault="00FD45A3">
            <w:pPr>
              <w:spacing w:line="0" w:lineRule="atLeast"/>
              <w:jc w:val="center"/>
              <w:rPr>
                <w:rFonts w:hAnsi="宋体"/>
                <w:kern w:val="21"/>
                <w:szCs w:val="21"/>
              </w:rPr>
            </w:pPr>
            <w:r>
              <w:rPr>
                <w:rFonts w:hAnsi="宋体" w:hint="eastAsia"/>
                <w:kern w:val="21"/>
                <w:szCs w:val="21"/>
              </w:rPr>
              <w:t>降噪效果</w:t>
            </w:r>
            <w:r>
              <w:rPr>
                <w:rFonts w:hAnsi="宋体" w:hint="eastAsia"/>
                <w:kern w:val="21"/>
                <w:szCs w:val="21"/>
              </w:rPr>
              <w:t>（</w:t>
            </w:r>
            <w:r>
              <w:rPr>
                <w:rFonts w:hAnsi="宋体" w:hint="eastAsia"/>
                <w:kern w:val="21"/>
                <w:szCs w:val="21"/>
              </w:rPr>
              <w:t>dBA)</w:t>
            </w:r>
          </w:p>
        </w:tc>
        <w:tc>
          <w:tcPr>
            <w:tcW w:w="854" w:type="pct"/>
            <w:vAlign w:val="center"/>
          </w:tcPr>
          <w:p w:rsidR="00EE4502" w:rsidRDefault="00FD45A3">
            <w:pPr>
              <w:spacing w:line="0" w:lineRule="atLeast"/>
              <w:jc w:val="center"/>
              <w:rPr>
                <w:rFonts w:hAnsi="宋体"/>
                <w:kern w:val="21"/>
                <w:szCs w:val="21"/>
              </w:rPr>
            </w:pPr>
            <w:r>
              <w:rPr>
                <w:rFonts w:hAnsi="宋体" w:hint="eastAsia"/>
                <w:kern w:val="21"/>
                <w:szCs w:val="21"/>
              </w:rPr>
              <w:t>运行时段</w:t>
            </w:r>
          </w:p>
        </w:tc>
      </w:tr>
      <w:tr w:rsidR="00EE4502">
        <w:trPr>
          <w:trHeight w:val="397"/>
          <w:jc w:val="center"/>
        </w:trPr>
        <w:tc>
          <w:tcPr>
            <w:tcW w:w="261" w:type="pct"/>
            <w:vAlign w:val="center"/>
          </w:tcPr>
          <w:p w:rsidR="00EE4502" w:rsidRDefault="00FD45A3">
            <w:pPr>
              <w:spacing w:line="0" w:lineRule="atLeast"/>
              <w:jc w:val="center"/>
              <w:rPr>
                <w:rFonts w:hAnsi="宋体"/>
                <w:kern w:val="21"/>
                <w:szCs w:val="21"/>
              </w:rPr>
            </w:pPr>
            <w:r>
              <w:rPr>
                <w:rFonts w:hAnsi="宋体" w:hint="eastAsia"/>
                <w:kern w:val="21"/>
                <w:szCs w:val="21"/>
              </w:rPr>
              <w:t>1</w:t>
            </w:r>
          </w:p>
        </w:tc>
        <w:tc>
          <w:tcPr>
            <w:tcW w:w="550" w:type="pct"/>
            <w:vAlign w:val="center"/>
          </w:tcPr>
          <w:p w:rsidR="00EE4502" w:rsidRDefault="00FD45A3">
            <w:pPr>
              <w:spacing w:line="0" w:lineRule="atLeast"/>
              <w:jc w:val="center"/>
              <w:rPr>
                <w:rFonts w:hAnsi="宋体"/>
                <w:kern w:val="21"/>
                <w:szCs w:val="21"/>
              </w:rPr>
            </w:pPr>
            <w:bookmarkStart w:id="172" w:name="OLE_LINK400"/>
            <w:r>
              <w:rPr>
                <w:rFonts w:hAnsi="宋体" w:hint="eastAsia"/>
                <w:kern w:val="21"/>
                <w:szCs w:val="21"/>
              </w:rPr>
              <w:t>采油树</w:t>
            </w:r>
            <w:bookmarkEnd w:id="172"/>
          </w:p>
        </w:tc>
        <w:tc>
          <w:tcPr>
            <w:tcW w:w="618" w:type="pct"/>
            <w:vAlign w:val="center"/>
          </w:tcPr>
          <w:p w:rsidR="00EE4502" w:rsidRDefault="00FD45A3">
            <w:pPr>
              <w:spacing w:line="0" w:lineRule="atLeast"/>
              <w:jc w:val="center"/>
              <w:rPr>
                <w:rFonts w:hAnsi="宋体"/>
                <w:kern w:val="21"/>
                <w:szCs w:val="21"/>
              </w:rPr>
            </w:pPr>
            <w:bookmarkStart w:id="173" w:name="OLE_LINK326"/>
            <w:r>
              <w:rPr>
                <w:rFonts w:hAnsi="宋体" w:hint="eastAsia"/>
                <w:kern w:val="21"/>
                <w:szCs w:val="21"/>
              </w:rPr>
              <w:t>井</w:t>
            </w:r>
            <w:bookmarkEnd w:id="173"/>
            <w:r>
              <w:rPr>
                <w:rFonts w:hAnsi="宋体" w:hint="eastAsia"/>
                <w:kern w:val="21"/>
                <w:szCs w:val="21"/>
              </w:rPr>
              <w:t>场</w:t>
            </w:r>
          </w:p>
        </w:tc>
        <w:tc>
          <w:tcPr>
            <w:tcW w:w="786" w:type="pct"/>
            <w:vAlign w:val="center"/>
          </w:tcPr>
          <w:p w:rsidR="00EE4502" w:rsidRDefault="00FD45A3">
            <w:pPr>
              <w:spacing w:line="0" w:lineRule="atLeast"/>
              <w:jc w:val="center"/>
              <w:rPr>
                <w:rFonts w:hAnsi="宋体"/>
                <w:kern w:val="21"/>
                <w:szCs w:val="21"/>
              </w:rPr>
            </w:pPr>
            <w:r>
              <w:rPr>
                <w:rFonts w:hAnsi="宋体" w:hint="eastAsia"/>
                <w:kern w:val="21"/>
                <w:szCs w:val="21"/>
              </w:rPr>
              <w:t>1</w:t>
            </w:r>
          </w:p>
        </w:tc>
        <w:tc>
          <w:tcPr>
            <w:tcW w:w="639" w:type="pct"/>
            <w:vAlign w:val="center"/>
          </w:tcPr>
          <w:p w:rsidR="00EE4502" w:rsidRDefault="00FD45A3">
            <w:pPr>
              <w:spacing w:line="0" w:lineRule="atLeast"/>
              <w:jc w:val="center"/>
              <w:rPr>
                <w:rFonts w:hAnsi="宋体"/>
                <w:kern w:val="21"/>
                <w:szCs w:val="21"/>
              </w:rPr>
            </w:pPr>
            <w:r>
              <w:rPr>
                <w:rFonts w:hAnsi="宋体" w:hint="eastAsia"/>
                <w:kern w:val="21"/>
                <w:szCs w:val="21"/>
              </w:rPr>
              <w:t>85</w:t>
            </w:r>
          </w:p>
        </w:tc>
        <w:tc>
          <w:tcPr>
            <w:tcW w:w="810" w:type="pct"/>
          </w:tcPr>
          <w:p w:rsidR="00EE4502" w:rsidRDefault="00FD45A3">
            <w:pPr>
              <w:spacing w:line="0" w:lineRule="atLeast"/>
              <w:jc w:val="center"/>
              <w:rPr>
                <w:rFonts w:hAnsi="宋体"/>
                <w:kern w:val="21"/>
                <w:szCs w:val="21"/>
              </w:rPr>
            </w:pPr>
            <w:r>
              <w:rPr>
                <w:rFonts w:ascii="宋体" w:hAnsi="宋体"/>
                <w:kern w:val="21"/>
                <w:szCs w:val="21"/>
              </w:rPr>
              <w:t>低</w:t>
            </w:r>
            <w:bookmarkStart w:id="174" w:name="OLE_LINK386"/>
            <w:r>
              <w:rPr>
                <w:rFonts w:ascii="宋体" w:hAnsi="宋体"/>
                <w:kern w:val="21"/>
                <w:szCs w:val="21"/>
              </w:rPr>
              <w:t>噪声设备、基础减震、距离衰</w:t>
            </w:r>
            <w:bookmarkEnd w:id="174"/>
            <w:r>
              <w:rPr>
                <w:rFonts w:ascii="宋体" w:hAnsi="宋体"/>
                <w:kern w:val="21"/>
                <w:szCs w:val="21"/>
              </w:rPr>
              <w:t>减</w:t>
            </w:r>
          </w:p>
        </w:tc>
        <w:tc>
          <w:tcPr>
            <w:tcW w:w="478" w:type="pct"/>
            <w:vAlign w:val="center"/>
          </w:tcPr>
          <w:p w:rsidR="00EE4502" w:rsidRDefault="00FD45A3">
            <w:pPr>
              <w:spacing w:line="0" w:lineRule="atLeast"/>
              <w:jc w:val="center"/>
              <w:rPr>
                <w:rFonts w:hAnsi="宋体"/>
                <w:kern w:val="21"/>
                <w:szCs w:val="21"/>
              </w:rPr>
            </w:pPr>
            <w:r>
              <w:rPr>
                <w:rFonts w:hAnsi="宋体"/>
                <w:kern w:val="21"/>
                <w:szCs w:val="21"/>
              </w:rPr>
              <w:t>15</w:t>
            </w:r>
          </w:p>
        </w:tc>
        <w:tc>
          <w:tcPr>
            <w:tcW w:w="854" w:type="pct"/>
            <w:vAlign w:val="center"/>
          </w:tcPr>
          <w:p w:rsidR="00EE4502" w:rsidRDefault="00FD45A3">
            <w:pPr>
              <w:spacing w:line="0" w:lineRule="atLeast"/>
              <w:jc w:val="center"/>
              <w:rPr>
                <w:rFonts w:hAnsi="宋体"/>
                <w:kern w:val="21"/>
                <w:szCs w:val="21"/>
              </w:rPr>
            </w:pPr>
            <w:r>
              <w:rPr>
                <w:rFonts w:hAnsi="宋体" w:hint="eastAsia"/>
                <w:kern w:val="21"/>
                <w:szCs w:val="21"/>
              </w:rPr>
              <w:t>连续</w:t>
            </w:r>
          </w:p>
        </w:tc>
      </w:tr>
      <w:tr w:rsidR="00EE4502">
        <w:trPr>
          <w:trHeight w:val="397"/>
          <w:jc w:val="center"/>
        </w:trPr>
        <w:tc>
          <w:tcPr>
            <w:tcW w:w="261" w:type="pct"/>
            <w:vAlign w:val="center"/>
          </w:tcPr>
          <w:p w:rsidR="00EE4502" w:rsidRDefault="00FD45A3">
            <w:pPr>
              <w:spacing w:line="0" w:lineRule="atLeast"/>
              <w:jc w:val="center"/>
              <w:rPr>
                <w:rFonts w:hAnsi="宋体"/>
                <w:kern w:val="21"/>
                <w:szCs w:val="21"/>
              </w:rPr>
            </w:pPr>
            <w:r>
              <w:rPr>
                <w:rFonts w:hAnsi="宋体" w:hint="eastAsia"/>
                <w:kern w:val="21"/>
                <w:szCs w:val="21"/>
              </w:rPr>
              <w:t>2</w:t>
            </w:r>
          </w:p>
        </w:tc>
        <w:tc>
          <w:tcPr>
            <w:tcW w:w="550" w:type="pct"/>
            <w:vAlign w:val="center"/>
          </w:tcPr>
          <w:p w:rsidR="00EE4502" w:rsidRDefault="00FD45A3">
            <w:pPr>
              <w:spacing w:line="0" w:lineRule="atLeast"/>
              <w:jc w:val="center"/>
              <w:rPr>
                <w:rFonts w:hAnsi="宋体"/>
                <w:kern w:val="21"/>
                <w:szCs w:val="21"/>
              </w:rPr>
            </w:pPr>
            <w:r>
              <w:rPr>
                <w:rFonts w:hAnsi="宋体" w:hint="eastAsia"/>
                <w:kern w:val="21"/>
                <w:szCs w:val="21"/>
              </w:rPr>
              <w:t>井</w:t>
            </w:r>
            <w:bookmarkStart w:id="175" w:name="OLE_LINK325"/>
            <w:r>
              <w:rPr>
                <w:rFonts w:hAnsi="宋体" w:hint="eastAsia"/>
                <w:kern w:val="21"/>
                <w:szCs w:val="21"/>
              </w:rPr>
              <w:t>下作</w:t>
            </w:r>
            <w:bookmarkEnd w:id="175"/>
            <w:r>
              <w:rPr>
                <w:rFonts w:hAnsi="宋体" w:hint="eastAsia"/>
                <w:kern w:val="21"/>
                <w:szCs w:val="21"/>
              </w:rPr>
              <w:t>业</w:t>
            </w:r>
          </w:p>
        </w:tc>
        <w:tc>
          <w:tcPr>
            <w:tcW w:w="618" w:type="pct"/>
            <w:vAlign w:val="center"/>
          </w:tcPr>
          <w:p w:rsidR="00EE4502" w:rsidRDefault="00FD45A3">
            <w:pPr>
              <w:spacing w:line="0" w:lineRule="atLeast"/>
              <w:jc w:val="center"/>
              <w:rPr>
                <w:rFonts w:hAnsi="宋体"/>
                <w:kern w:val="21"/>
                <w:szCs w:val="21"/>
              </w:rPr>
            </w:pPr>
            <w:r>
              <w:rPr>
                <w:rFonts w:hAnsi="宋体" w:hint="eastAsia"/>
                <w:kern w:val="21"/>
                <w:szCs w:val="21"/>
              </w:rPr>
              <w:t>作</w:t>
            </w:r>
            <w:bookmarkStart w:id="176" w:name="OLE_LINK381"/>
            <w:r>
              <w:rPr>
                <w:rFonts w:hAnsi="宋体" w:hint="eastAsia"/>
                <w:kern w:val="21"/>
                <w:szCs w:val="21"/>
              </w:rPr>
              <w:t>业井</w:t>
            </w:r>
            <w:bookmarkEnd w:id="176"/>
            <w:r>
              <w:rPr>
                <w:rFonts w:hAnsi="宋体" w:hint="eastAsia"/>
                <w:kern w:val="21"/>
                <w:szCs w:val="21"/>
              </w:rPr>
              <w:t>场</w:t>
            </w:r>
          </w:p>
        </w:tc>
        <w:tc>
          <w:tcPr>
            <w:tcW w:w="786" w:type="pct"/>
            <w:vAlign w:val="center"/>
          </w:tcPr>
          <w:p w:rsidR="00EE4502" w:rsidRDefault="00FD45A3">
            <w:pPr>
              <w:spacing w:line="0" w:lineRule="atLeast"/>
              <w:jc w:val="center"/>
              <w:rPr>
                <w:rFonts w:hAnsi="宋体"/>
                <w:kern w:val="21"/>
                <w:szCs w:val="21"/>
              </w:rPr>
            </w:pPr>
            <w:r>
              <w:rPr>
                <w:rFonts w:hAnsi="宋体" w:hint="eastAsia"/>
                <w:kern w:val="21"/>
                <w:szCs w:val="21"/>
              </w:rPr>
              <w:t>1</w:t>
            </w:r>
          </w:p>
        </w:tc>
        <w:tc>
          <w:tcPr>
            <w:tcW w:w="639" w:type="pct"/>
            <w:vAlign w:val="center"/>
          </w:tcPr>
          <w:p w:rsidR="00EE4502" w:rsidRDefault="00FD45A3">
            <w:pPr>
              <w:spacing w:line="0" w:lineRule="atLeast"/>
              <w:jc w:val="center"/>
              <w:rPr>
                <w:rFonts w:hAnsi="宋体"/>
                <w:kern w:val="21"/>
                <w:szCs w:val="21"/>
              </w:rPr>
            </w:pPr>
            <w:r>
              <w:rPr>
                <w:rFonts w:hAnsi="宋体" w:hint="eastAsia"/>
                <w:kern w:val="21"/>
                <w:szCs w:val="21"/>
              </w:rPr>
              <w:t>80</w:t>
            </w:r>
            <w:r>
              <w:rPr>
                <w:rFonts w:hAnsi="宋体" w:hint="eastAsia"/>
                <w:kern w:val="21"/>
                <w:szCs w:val="21"/>
              </w:rPr>
              <w:t>~</w:t>
            </w:r>
            <w:r>
              <w:rPr>
                <w:rFonts w:hAnsi="宋体" w:hint="eastAsia"/>
                <w:kern w:val="21"/>
                <w:szCs w:val="21"/>
              </w:rPr>
              <w:t>105</w:t>
            </w:r>
          </w:p>
        </w:tc>
        <w:tc>
          <w:tcPr>
            <w:tcW w:w="810" w:type="pct"/>
          </w:tcPr>
          <w:p w:rsidR="00EE4502" w:rsidRDefault="00FD45A3">
            <w:pPr>
              <w:spacing w:line="0" w:lineRule="atLeast"/>
              <w:jc w:val="center"/>
              <w:rPr>
                <w:rFonts w:hAnsi="宋体"/>
                <w:kern w:val="21"/>
                <w:szCs w:val="21"/>
              </w:rPr>
            </w:pPr>
            <w:r>
              <w:rPr>
                <w:rFonts w:ascii="宋体" w:hAnsi="宋体"/>
                <w:kern w:val="21"/>
                <w:szCs w:val="21"/>
              </w:rPr>
              <w:t>低</w:t>
            </w:r>
            <w:bookmarkStart w:id="177" w:name="OLE_LINK385"/>
            <w:r>
              <w:rPr>
                <w:rFonts w:ascii="宋体" w:hAnsi="宋体"/>
                <w:kern w:val="21"/>
                <w:szCs w:val="21"/>
              </w:rPr>
              <w:t>噪声设备、基础减震、距离衰</w:t>
            </w:r>
            <w:bookmarkEnd w:id="177"/>
            <w:r>
              <w:rPr>
                <w:rFonts w:ascii="宋体" w:hAnsi="宋体"/>
                <w:kern w:val="21"/>
                <w:szCs w:val="21"/>
              </w:rPr>
              <w:t>减</w:t>
            </w:r>
          </w:p>
        </w:tc>
        <w:tc>
          <w:tcPr>
            <w:tcW w:w="478" w:type="pct"/>
            <w:vAlign w:val="center"/>
          </w:tcPr>
          <w:p w:rsidR="00EE4502" w:rsidRDefault="00FD45A3">
            <w:pPr>
              <w:spacing w:line="0" w:lineRule="atLeast"/>
              <w:jc w:val="center"/>
              <w:rPr>
                <w:rFonts w:hAnsi="宋体"/>
                <w:kern w:val="21"/>
                <w:szCs w:val="21"/>
              </w:rPr>
            </w:pPr>
            <w:r>
              <w:rPr>
                <w:rFonts w:hAnsi="宋体"/>
                <w:kern w:val="21"/>
                <w:szCs w:val="21"/>
              </w:rPr>
              <w:t>15</w:t>
            </w:r>
          </w:p>
        </w:tc>
        <w:tc>
          <w:tcPr>
            <w:tcW w:w="854" w:type="pct"/>
            <w:vAlign w:val="center"/>
          </w:tcPr>
          <w:p w:rsidR="00EE4502" w:rsidRDefault="00FD45A3">
            <w:pPr>
              <w:spacing w:line="0" w:lineRule="atLeast"/>
              <w:jc w:val="center"/>
              <w:rPr>
                <w:rFonts w:hAnsi="宋体"/>
                <w:kern w:val="21"/>
                <w:szCs w:val="21"/>
              </w:rPr>
            </w:pPr>
            <w:r>
              <w:rPr>
                <w:rFonts w:hAnsi="宋体" w:hint="eastAsia"/>
                <w:kern w:val="21"/>
                <w:szCs w:val="21"/>
              </w:rPr>
              <w:t>间歇</w:t>
            </w:r>
          </w:p>
        </w:tc>
      </w:tr>
      <w:tr w:rsidR="00EE4502">
        <w:trPr>
          <w:trHeight w:val="397"/>
          <w:jc w:val="center"/>
        </w:trPr>
        <w:tc>
          <w:tcPr>
            <w:tcW w:w="261" w:type="pct"/>
            <w:vAlign w:val="center"/>
          </w:tcPr>
          <w:p w:rsidR="00EE4502" w:rsidRDefault="00FD45A3">
            <w:pPr>
              <w:spacing w:line="0" w:lineRule="atLeast"/>
              <w:jc w:val="center"/>
              <w:rPr>
                <w:rFonts w:hAnsi="宋体"/>
                <w:kern w:val="21"/>
                <w:szCs w:val="21"/>
              </w:rPr>
            </w:pPr>
            <w:bookmarkStart w:id="178" w:name="OLE_LINK383" w:colFirst="0" w:colLast="7"/>
            <w:bookmarkStart w:id="179" w:name="OLE_LINK399" w:colFirst="2" w:colLast="3"/>
            <w:r>
              <w:rPr>
                <w:rFonts w:hAnsi="宋体" w:hint="eastAsia"/>
                <w:kern w:val="21"/>
                <w:szCs w:val="21"/>
              </w:rPr>
              <w:t>3</w:t>
            </w:r>
          </w:p>
        </w:tc>
        <w:tc>
          <w:tcPr>
            <w:tcW w:w="550" w:type="pct"/>
            <w:vAlign w:val="center"/>
          </w:tcPr>
          <w:p w:rsidR="00EE4502" w:rsidRDefault="00FD45A3">
            <w:pPr>
              <w:spacing w:line="0" w:lineRule="atLeast"/>
              <w:jc w:val="center"/>
              <w:rPr>
                <w:rFonts w:hAnsi="宋体"/>
                <w:kern w:val="21"/>
                <w:szCs w:val="21"/>
              </w:rPr>
            </w:pPr>
            <w:r>
              <w:rPr>
                <w:rFonts w:hint="eastAsia"/>
                <w:kern w:val="21"/>
                <w:szCs w:val="21"/>
              </w:rPr>
              <w:t>增压站</w:t>
            </w:r>
          </w:p>
        </w:tc>
        <w:tc>
          <w:tcPr>
            <w:tcW w:w="618" w:type="pct"/>
            <w:vAlign w:val="center"/>
          </w:tcPr>
          <w:p w:rsidR="00EE4502" w:rsidRDefault="00FD45A3">
            <w:pPr>
              <w:spacing w:line="0" w:lineRule="atLeast"/>
              <w:jc w:val="center"/>
              <w:rPr>
                <w:rFonts w:hAnsi="宋体"/>
                <w:kern w:val="21"/>
                <w:szCs w:val="21"/>
              </w:rPr>
            </w:pPr>
            <w:r>
              <w:rPr>
                <w:rFonts w:hint="eastAsia"/>
                <w:kern w:val="21"/>
                <w:szCs w:val="21"/>
              </w:rPr>
              <w:t>螺杆泵</w:t>
            </w:r>
          </w:p>
        </w:tc>
        <w:tc>
          <w:tcPr>
            <w:tcW w:w="786" w:type="pct"/>
            <w:vAlign w:val="center"/>
          </w:tcPr>
          <w:p w:rsidR="00EE4502" w:rsidRDefault="00FD45A3">
            <w:pPr>
              <w:spacing w:line="0" w:lineRule="atLeast"/>
              <w:jc w:val="center"/>
              <w:rPr>
                <w:rFonts w:hAnsi="宋体"/>
                <w:kern w:val="21"/>
                <w:szCs w:val="21"/>
              </w:rPr>
            </w:pPr>
            <w:r>
              <w:rPr>
                <w:rFonts w:hint="eastAsia"/>
                <w:kern w:val="21"/>
                <w:szCs w:val="21"/>
              </w:rPr>
              <w:t>2</w:t>
            </w:r>
          </w:p>
        </w:tc>
        <w:tc>
          <w:tcPr>
            <w:tcW w:w="639" w:type="pct"/>
            <w:vAlign w:val="center"/>
          </w:tcPr>
          <w:p w:rsidR="00EE4502" w:rsidRDefault="00FD45A3">
            <w:pPr>
              <w:jc w:val="center"/>
              <w:rPr>
                <w:rFonts w:hAnsi="宋体"/>
                <w:kern w:val="21"/>
                <w:szCs w:val="21"/>
              </w:rPr>
            </w:pPr>
            <w:r>
              <w:rPr>
                <w:kern w:val="21"/>
                <w:szCs w:val="21"/>
              </w:rPr>
              <w:t>70</w:t>
            </w:r>
            <w:r>
              <w:rPr>
                <w:rFonts w:hint="eastAsia"/>
                <w:kern w:val="21"/>
                <w:szCs w:val="21"/>
              </w:rPr>
              <w:t>~</w:t>
            </w:r>
            <w:r>
              <w:rPr>
                <w:rFonts w:hint="eastAsia"/>
                <w:kern w:val="21"/>
                <w:szCs w:val="21"/>
              </w:rPr>
              <w:t>90</w:t>
            </w:r>
          </w:p>
        </w:tc>
        <w:tc>
          <w:tcPr>
            <w:tcW w:w="810" w:type="pct"/>
            <w:vAlign w:val="center"/>
          </w:tcPr>
          <w:p w:rsidR="00EE4502" w:rsidRDefault="00EE4502">
            <w:pPr>
              <w:spacing w:line="0" w:lineRule="atLeast"/>
              <w:jc w:val="center"/>
              <w:rPr>
                <w:rFonts w:ascii="宋体" w:hAnsi="宋体"/>
                <w:kern w:val="21"/>
                <w:szCs w:val="21"/>
              </w:rPr>
            </w:pPr>
          </w:p>
        </w:tc>
        <w:tc>
          <w:tcPr>
            <w:tcW w:w="478" w:type="pct"/>
            <w:vAlign w:val="center"/>
          </w:tcPr>
          <w:p w:rsidR="00EE4502" w:rsidRDefault="00FD45A3">
            <w:pPr>
              <w:spacing w:line="0" w:lineRule="atLeast"/>
              <w:jc w:val="center"/>
              <w:rPr>
                <w:rFonts w:hAnsi="宋体"/>
                <w:kern w:val="21"/>
                <w:szCs w:val="21"/>
              </w:rPr>
            </w:pPr>
            <w:r>
              <w:rPr>
                <w:rFonts w:hAnsi="宋体"/>
                <w:kern w:val="21"/>
                <w:szCs w:val="21"/>
              </w:rPr>
              <w:t>15</w:t>
            </w:r>
          </w:p>
        </w:tc>
        <w:tc>
          <w:tcPr>
            <w:tcW w:w="854" w:type="pct"/>
            <w:vAlign w:val="center"/>
          </w:tcPr>
          <w:p w:rsidR="00EE4502" w:rsidRDefault="00FD45A3">
            <w:pPr>
              <w:jc w:val="center"/>
              <w:rPr>
                <w:rFonts w:hAnsi="宋体"/>
                <w:kern w:val="21"/>
                <w:szCs w:val="21"/>
              </w:rPr>
            </w:pPr>
            <w:r>
              <w:rPr>
                <w:rFonts w:hint="eastAsia"/>
                <w:kern w:val="21"/>
                <w:szCs w:val="21"/>
              </w:rPr>
              <w:t>连续</w:t>
            </w:r>
          </w:p>
        </w:tc>
      </w:tr>
      <w:bookmarkEnd w:id="178"/>
      <w:tr w:rsidR="00EE4502">
        <w:trPr>
          <w:trHeight w:val="397"/>
          <w:jc w:val="center"/>
        </w:trPr>
        <w:tc>
          <w:tcPr>
            <w:tcW w:w="261" w:type="pct"/>
            <w:vAlign w:val="center"/>
          </w:tcPr>
          <w:p w:rsidR="00EE4502" w:rsidRDefault="00FD45A3">
            <w:pPr>
              <w:spacing w:line="0" w:lineRule="atLeast"/>
              <w:jc w:val="center"/>
              <w:rPr>
                <w:rFonts w:hAnsi="宋体"/>
                <w:kern w:val="21"/>
                <w:szCs w:val="21"/>
              </w:rPr>
            </w:pPr>
            <w:r>
              <w:rPr>
                <w:rFonts w:hAnsi="宋体" w:hint="eastAsia"/>
                <w:kern w:val="21"/>
                <w:szCs w:val="21"/>
              </w:rPr>
              <w:t>4</w:t>
            </w:r>
          </w:p>
        </w:tc>
        <w:tc>
          <w:tcPr>
            <w:tcW w:w="550" w:type="pct"/>
            <w:vAlign w:val="center"/>
          </w:tcPr>
          <w:p w:rsidR="00EE4502" w:rsidRDefault="00FD45A3">
            <w:pPr>
              <w:spacing w:line="0" w:lineRule="atLeast"/>
              <w:jc w:val="center"/>
              <w:rPr>
                <w:rFonts w:hAnsi="宋体"/>
                <w:kern w:val="21"/>
                <w:szCs w:val="21"/>
              </w:rPr>
            </w:pPr>
            <w:r>
              <w:rPr>
                <w:kern w:val="21"/>
                <w:szCs w:val="21"/>
              </w:rPr>
              <w:t>交</w:t>
            </w:r>
            <w:bookmarkStart w:id="180" w:name="OLE_LINK336"/>
            <w:r>
              <w:rPr>
                <w:kern w:val="21"/>
                <w:szCs w:val="21"/>
              </w:rPr>
              <w:t>通噪</w:t>
            </w:r>
            <w:bookmarkEnd w:id="180"/>
            <w:r>
              <w:rPr>
                <w:kern w:val="21"/>
                <w:szCs w:val="21"/>
              </w:rPr>
              <w:t>声</w:t>
            </w:r>
          </w:p>
        </w:tc>
        <w:tc>
          <w:tcPr>
            <w:tcW w:w="618" w:type="pct"/>
            <w:vAlign w:val="center"/>
          </w:tcPr>
          <w:p w:rsidR="00EE4502" w:rsidRDefault="00FD45A3">
            <w:pPr>
              <w:spacing w:line="0" w:lineRule="atLeast"/>
              <w:jc w:val="center"/>
              <w:rPr>
                <w:rFonts w:hAnsi="宋体"/>
                <w:kern w:val="21"/>
                <w:szCs w:val="21"/>
              </w:rPr>
            </w:pPr>
            <w:r>
              <w:rPr>
                <w:rFonts w:hint="eastAsia"/>
                <w:kern w:val="21"/>
                <w:szCs w:val="21"/>
              </w:rPr>
              <w:t>运</w:t>
            </w:r>
            <w:bookmarkStart w:id="181" w:name="OLE_LINK382"/>
            <w:r>
              <w:rPr>
                <w:rFonts w:hint="eastAsia"/>
                <w:kern w:val="21"/>
                <w:szCs w:val="21"/>
              </w:rPr>
              <w:t>输、巡检</w:t>
            </w:r>
            <w:r>
              <w:rPr>
                <w:kern w:val="21"/>
                <w:szCs w:val="21"/>
              </w:rPr>
              <w:t>车</w:t>
            </w:r>
            <w:bookmarkEnd w:id="181"/>
            <w:r>
              <w:rPr>
                <w:kern w:val="21"/>
                <w:szCs w:val="21"/>
              </w:rPr>
              <w:t>辆</w:t>
            </w:r>
          </w:p>
        </w:tc>
        <w:tc>
          <w:tcPr>
            <w:tcW w:w="786" w:type="pct"/>
            <w:vAlign w:val="center"/>
          </w:tcPr>
          <w:p w:rsidR="00EE4502" w:rsidRDefault="00FD45A3">
            <w:pPr>
              <w:spacing w:line="0" w:lineRule="atLeast"/>
              <w:jc w:val="center"/>
              <w:rPr>
                <w:rFonts w:hAnsi="宋体"/>
                <w:kern w:val="21"/>
                <w:szCs w:val="21"/>
              </w:rPr>
            </w:pPr>
            <w:r>
              <w:rPr>
                <w:kern w:val="21"/>
                <w:szCs w:val="21"/>
              </w:rPr>
              <w:t>1</w:t>
            </w:r>
          </w:p>
        </w:tc>
        <w:tc>
          <w:tcPr>
            <w:tcW w:w="639" w:type="pct"/>
            <w:vAlign w:val="center"/>
          </w:tcPr>
          <w:p w:rsidR="00EE4502" w:rsidRDefault="00FD45A3">
            <w:pPr>
              <w:spacing w:line="0" w:lineRule="atLeast"/>
              <w:jc w:val="center"/>
              <w:rPr>
                <w:rFonts w:hAnsi="宋体"/>
                <w:kern w:val="21"/>
                <w:szCs w:val="21"/>
              </w:rPr>
            </w:pPr>
            <w:r>
              <w:rPr>
                <w:rFonts w:hAnsi="宋体" w:hint="eastAsia"/>
                <w:kern w:val="21"/>
                <w:szCs w:val="21"/>
              </w:rPr>
              <w:t>60</w:t>
            </w:r>
            <w:r>
              <w:rPr>
                <w:rFonts w:hAnsi="宋体" w:hint="eastAsia"/>
                <w:kern w:val="21"/>
                <w:szCs w:val="21"/>
              </w:rPr>
              <w:t>~</w:t>
            </w:r>
            <w:r>
              <w:rPr>
                <w:rFonts w:hAnsi="宋体" w:hint="eastAsia"/>
                <w:kern w:val="21"/>
                <w:szCs w:val="21"/>
              </w:rPr>
              <w:t>90</w:t>
            </w:r>
          </w:p>
        </w:tc>
        <w:tc>
          <w:tcPr>
            <w:tcW w:w="810" w:type="pct"/>
            <w:vAlign w:val="center"/>
          </w:tcPr>
          <w:p w:rsidR="00EE4502" w:rsidRDefault="00FD45A3">
            <w:pPr>
              <w:spacing w:line="0" w:lineRule="atLeast"/>
              <w:jc w:val="center"/>
              <w:rPr>
                <w:rFonts w:hAnsi="宋体"/>
                <w:kern w:val="21"/>
                <w:szCs w:val="21"/>
              </w:rPr>
            </w:pPr>
            <w:r>
              <w:rPr>
                <w:rFonts w:hint="eastAsia"/>
                <w:kern w:val="21"/>
                <w:szCs w:val="21"/>
              </w:rPr>
              <w:t>车</w:t>
            </w:r>
            <w:bookmarkStart w:id="182" w:name="OLE_LINK384"/>
            <w:r>
              <w:rPr>
                <w:rFonts w:hint="eastAsia"/>
                <w:kern w:val="21"/>
                <w:szCs w:val="21"/>
              </w:rPr>
              <w:t>辆定期保养，距离衰</w:t>
            </w:r>
            <w:bookmarkEnd w:id="182"/>
            <w:r>
              <w:rPr>
                <w:rFonts w:hint="eastAsia"/>
                <w:kern w:val="21"/>
                <w:szCs w:val="21"/>
              </w:rPr>
              <w:t>减</w:t>
            </w:r>
          </w:p>
        </w:tc>
        <w:tc>
          <w:tcPr>
            <w:tcW w:w="478" w:type="pct"/>
            <w:vAlign w:val="center"/>
          </w:tcPr>
          <w:p w:rsidR="00EE4502" w:rsidRDefault="00FD45A3">
            <w:pPr>
              <w:spacing w:line="0" w:lineRule="atLeast"/>
              <w:jc w:val="center"/>
              <w:rPr>
                <w:rFonts w:hAnsi="宋体"/>
                <w:kern w:val="21"/>
                <w:szCs w:val="21"/>
              </w:rPr>
            </w:pPr>
            <w:r>
              <w:rPr>
                <w:rFonts w:hAnsi="宋体"/>
                <w:kern w:val="21"/>
                <w:szCs w:val="21"/>
              </w:rPr>
              <w:t>/</w:t>
            </w:r>
          </w:p>
        </w:tc>
        <w:tc>
          <w:tcPr>
            <w:tcW w:w="854" w:type="pct"/>
            <w:vAlign w:val="center"/>
          </w:tcPr>
          <w:p w:rsidR="00EE4502" w:rsidRDefault="00FD45A3">
            <w:pPr>
              <w:spacing w:line="0" w:lineRule="atLeast"/>
              <w:jc w:val="center"/>
              <w:rPr>
                <w:rFonts w:hAnsi="宋体"/>
                <w:kern w:val="21"/>
                <w:szCs w:val="21"/>
              </w:rPr>
            </w:pPr>
            <w:r>
              <w:rPr>
                <w:kern w:val="21"/>
                <w:szCs w:val="21"/>
              </w:rPr>
              <w:t>间歇</w:t>
            </w:r>
          </w:p>
        </w:tc>
      </w:tr>
      <w:bookmarkEnd w:id="179"/>
    </w:tbl>
    <w:p w:rsidR="00EE4502" w:rsidRDefault="00EE4502">
      <w:pPr>
        <w:jc w:val="center"/>
        <w:rPr>
          <w:sz w:val="18"/>
          <w:szCs w:val="18"/>
        </w:rPr>
      </w:pPr>
    </w:p>
    <w:p w:rsidR="00EE4502" w:rsidRDefault="00FD45A3">
      <w:pPr>
        <w:pStyle w:val="41"/>
        <w:numPr>
          <w:ilvl w:val="3"/>
          <w:numId w:val="30"/>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bCs w:val="0"/>
          <w:sz w:val="24"/>
          <w:szCs w:val="24"/>
        </w:rPr>
        <w:t>运营期污染物排放情况汇总</w:t>
      </w:r>
    </w:p>
    <w:p w:rsidR="00EE4502" w:rsidRDefault="00FD45A3">
      <w:pPr>
        <w:spacing w:line="360" w:lineRule="auto"/>
        <w:ind w:left="-28" w:firstLineChars="211" w:firstLine="506"/>
        <w:rPr>
          <w:rFonts w:eastAsia="黑体"/>
          <w:bCs/>
          <w:lang w:val="zh-CN"/>
        </w:rPr>
      </w:pPr>
      <w:r>
        <w:rPr>
          <w:sz w:val="24"/>
        </w:rPr>
        <w:t>综上所述，本工程各种运营期污染物汇总见表</w:t>
      </w:r>
      <w:r>
        <w:rPr>
          <w:rFonts w:hint="eastAsia"/>
          <w:sz w:val="24"/>
        </w:rPr>
        <w:t>3-4</w:t>
      </w:r>
      <w:r>
        <w:rPr>
          <w:sz w:val="24"/>
        </w:rPr>
        <w:t>-</w:t>
      </w:r>
      <w:r>
        <w:rPr>
          <w:rFonts w:hint="eastAsia"/>
          <w:sz w:val="24"/>
        </w:rPr>
        <w:t>1</w:t>
      </w:r>
      <w:r>
        <w:rPr>
          <w:rFonts w:hint="eastAsia"/>
          <w:sz w:val="24"/>
        </w:rPr>
        <w:t>4</w:t>
      </w:r>
      <w:r>
        <w:rPr>
          <w:sz w:val="24"/>
        </w:rPr>
        <w:t>。</w:t>
      </w:r>
    </w:p>
    <w:p w:rsidR="00EE4502" w:rsidRDefault="00FD45A3">
      <w:pPr>
        <w:spacing w:line="360" w:lineRule="auto"/>
        <w:jc w:val="center"/>
        <w:rPr>
          <w:rFonts w:eastAsia="黑体"/>
          <w:bCs/>
          <w:lang w:val="zh-CN"/>
        </w:rPr>
      </w:pPr>
      <w:r>
        <w:rPr>
          <w:rFonts w:eastAsia="黑体"/>
          <w:bCs/>
          <w:lang w:val="zh-CN"/>
        </w:rPr>
        <w:t>表</w:t>
      </w:r>
      <w:r>
        <w:rPr>
          <w:rFonts w:eastAsia="黑体" w:hint="eastAsia"/>
          <w:bCs/>
          <w:lang w:val="zh-CN"/>
        </w:rPr>
        <w:t>3-4</w:t>
      </w:r>
      <w:r>
        <w:rPr>
          <w:rFonts w:eastAsia="黑体"/>
          <w:bCs/>
          <w:lang w:val="zh-CN"/>
        </w:rPr>
        <w:t>-</w:t>
      </w:r>
      <w:r>
        <w:rPr>
          <w:rFonts w:eastAsia="黑体" w:hint="eastAsia"/>
          <w:bCs/>
          <w:lang w:val="zh-CN"/>
        </w:rPr>
        <w:t>1</w:t>
      </w:r>
      <w:r>
        <w:rPr>
          <w:rFonts w:eastAsia="黑体" w:hint="eastAsia"/>
          <w:bCs/>
        </w:rPr>
        <w:t>4</w:t>
      </w:r>
      <w:r>
        <w:rPr>
          <w:rFonts w:eastAsia="黑体"/>
          <w:bCs/>
          <w:lang w:val="zh-CN"/>
        </w:rPr>
        <w:t xml:space="preserve">    </w:t>
      </w:r>
      <w:r>
        <w:rPr>
          <w:rFonts w:eastAsia="黑体"/>
          <w:bCs/>
          <w:lang w:val="zh-CN"/>
        </w:rPr>
        <w:t>运</w:t>
      </w:r>
      <w:r>
        <w:rPr>
          <w:rFonts w:eastAsia="黑体" w:hint="eastAsia"/>
          <w:bCs/>
          <w:lang w:val="zh-CN"/>
        </w:rPr>
        <w:t>营</w:t>
      </w:r>
      <w:r>
        <w:rPr>
          <w:rFonts w:eastAsia="黑体"/>
          <w:bCs/>
          <w:lang w:val="zh-CN"/>
        </w:rPr>
        <w:t>期污染物排放情况汇总表</w:t>
      </w:r>
    </w:p>
    <w:tbl>
      <w:tblPr>
        <w:tblW w:w="4995" w:type="pct"/>
        <w:jc w:val="center"/>
        <w:tblBorders>
          <w:top w:val="single" w:sz="8" w:space="0" w:color="auto"/>
          <w:bottom w:val="single" w:sz="8" w:space="0" w:color="auto"/>
          <w:insideH w:val="single" w:sz="8" w:space="0" w:color="auto"/>
          <w:insideV w:val="single" w:sz="8" w:space="0" w:color="auto"/>
        </w:tblBorders>
        <w:tblCellMar>
          <w:left w:w="11" w:type="dxa"/>
          <w:right w:w="11" w:type="dxa"/>
        </w:tblCellMar>
        <w:tblLook w:val="04A0" w:firstRow="1" w:lastRow="0" w:firstColumn="1" w:lastColumn="0" w:noHBand="0" w:noVBand="1"/>
      </w:tblPr>
      <w:tblGrid>
        <w:gridCol w:w="384"/>
        <w:gridCol w:w="572"/>
        <w:gridCol w:w="1009"/>
        <w:gridCol w:w="1276"/>
        <w:gridCol w:w="1305"/>
        <w:gridCol w:w="2702"/>
        <w:gridCol w:w="1072"/>
      </w:tblGrid>
      <w:tr w:rsidR="00EE4502">
        <w:trPr>
          <w:trHeight w:val="340"/>
          <w:tblHeader/>
          <w:jc w:val="center"/>
        </w:trPr>
        <w:tc>
          <w:tcPr>
            <w:tcW w:w="230" w:type="pct"/>
            <w:vAlign w:val="center"/>
          </w:tcPr>
          <w:p w:rsidR="00EE4502" w:rsidRDefault="00FD45A3">
            <w:pPr>
              <w:jc w:val="center"/>
              <w:rPr>
                <w:szCs w:val="21"/>
              </w:rPr>
            </w:pPr>
            <w:r>
              <w:rPr>
                <w:szCs w:val="21"/>
              </w:rPr>
              <w:t>项目</w:t>
            </w:r>
          </w:p>
        </w:tc>
        <w:tc>
          <w:tcPr>
            <w:tcW w:w="343" w:type="pct"/>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序号</w:t>
            </w:r>
          </w:p>
        </w:tc>
        <w:tc>
          <w:tcPr>
            <w:tcW w:w="606" w:type="pct"/>
            <w:vAlign w:val="center"/>
          </w:tcPr>
          <w:p w:rsidR="00EE4502" w:rsidRDefault="00FD45A3">
            <w:pPr>
              <w:pStyle w:val="affffffffff"/>
              <w:kinsoku/>
              <w:wordWrap/>
              <w:overflowPunct/>
              <w:adjustRightInd/>
              <w:spacing w:after="0" w:line="240" w:lineRule="auto"/>
              <w:ind w:left="0" w:firstLineChars="0" w:firstLine="0"/>
              <w:rPr>
                <w:szCs w:val="21"/>
              </w:rPr>
            </w:pPr>
            <w:r>
              <w:rPr>
                <w:szCs w:val="21"/>
              </w:rPr>
              <w:t>污染源</w:t>
            </w:r>
          </w:p>
        </w:tc>
        <w:tc>
          <w:tcPr>
            <w:tcW w:w="767" w:type="pct"/>
            <w:vAlign w:val="center"/>
          </w:tcPr>
          <w:p w:rsidR="00EE4502" w:rsidRDefault="00FD45A3">
            <w:pPr>
              <w:pStyle w:val="affffffffff"/>
              <w:kinsoku/>
              <w:wordWrap/>
              <w:overflowPunct/>
              <w:adjustRightInd/>
              <w:spacing w:after="0" w:line="240" w:lineRule="auto"/>
              <w:ind w:left="0" w:firstLineChars="0" w:firstLine="0"/>
              <w:rPr>
                <w:szCs w:val="21"/>
              </w:rPr>
            </w:pPr>
            <w:r>
              <w:rPr>
                <w:szCs w:val="21"/>
              </w:rPr>
              <w:t>污染物</w:t>
            </w:r>
          </w:p>
        </w:tc>
        <w:tc>
          <w:tcPr>
            <w:tcW w:w="784" w:type="pct"/>
            <w:vAlign w:val="center"/>
          </w:tcPr>
          <w:p w:rsidR="00EE4502" w:rsidRDefault="00FD45A3">
            <w:pPr>
              <w:pStyle w:val="affffffffff"/>
              <w:kinsoku/>
              <w:wordWrap/>
              <w:overflowPunct/>
              <w:adjustRightInd/>
              <w:spacing w:after="0" w:line="240" w:lineRule="auto"/>
              <w:ind w:left="0" w:firstLineChars="0" w:firstLine="0"/>
              <w:rPr>
                <w:szCs w:val="21"/>
              </w:rPr>
            </w:pPr>
            <w:r>
              <w:rPr>
                <w:szCs w:val="21"/>
              </w:rPr>
              <w:t>排放量</w:t>
            </w:r>
          </w:p>
        </w:tc>
        <w:tc>
          <w:tcPr>
            <w:tcW w:w="1623" w:type="pct"/>
            <w:vAlign w:val="center"/>
          </w:tcPr>
          <w:p w:rsidR="00EE4502" w:rsidRDefault="00FD45A3">
            <w:pPr>
              <w:pStyle w:val="affffffffff"/>
              <w:kinsoku/>
              <w:wordWrap/>
              <w:overflowPunct/>
              <w:adjustRightInd/>
              <w:spacing w:after="0" w:line="240" w:lineRule="auto"/>
              <w:ind w:left="0" w:firstLineChars="0" w:firstLine="0"/>
              <w:rPr>
                <w:szCs w:val="21"/>
              </w:rPr>
            </w:pPr>
            <w:r>
              <w:rPr>
                <w:szCs w:val="21"/>
              </w:rPr>
              <w:t>主要处理措施及排放去向</w:t>
            </w:r>
          </w:p>
        </w:tc>
        <w:tc>
          <w:tcPr>
            <w:tcW w:w="644" w:type="pct"/>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排放量</w:t>
            </w:r>
          </w:p>
        </w:tc>
      </w:tr>
      <w:tr w:rsidR="00EE4502">
        <w:trPr>
          <w:trHeight w:val="340"/>
          <w:jc w:val="center"/>
        </w:trPr>
        <w:tc>
          <w:tcPr>
            <w:tcW w:w="230" w:type="pct"/>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废气</w:t>
            </w:r>
          </w:p>
        </w:tc>
        <w:tc>
          <w:tcPr>
            <w:tcW w:w="343" w:type="pct"/>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G1</w:t>
            </w:r>
          </w:p>
        </w:tc>
        <w:tc>
          <w:tcPr>
            <w:tcW w:w="606" w:type="pct"/>
            <w:vAlign w:val="center"/>
          </w:tcPr>
          <w:p w:rsidR="00EE4502" w:rsidRDefault="00FD45A3">
            <w:pPr>
              <w:pStyle w:val="affffffffff"/>
              <w:kinsoku/>
              <w:wordWrap/>
              <w:overflowPunct/>
              <w:adjustRightInd/>
              <w:spacing w:after="0" w:line="240" w:lineRule="auto"/>
              <w:ind w:left="0" w:firstLineChars="0" w:firstLine="0"/>
              <w:rPr>
                <w:szCs w:val="21"/>
              </w:rPr>
            </w:pPr>
            <w:r>
              <w:rPr>
                <w:szCs w:val="21"/>
              </w:rPr>
              <w:t>无组织挥发</w:t>
            </w:r>
          </w:p>
        </w:tc>
        <w:tc>
          <w:tcPr>
            <w:tcW w:w="767" w:type="pct"/>
            <w:vAlign w:val="center"/>
          </w:tcPr>
          <w:p w:rsidR="00EE4502" w:rsidRDefault="00FD45A3">
            <w:pPr>
              <w:pStyle w:val="affffffffff"/>
              <w:kinsoku/>
              <w:wordWrap/>
              <w:overflowPunct/>
              <w:adjustRightInd/>
              <w:spacing w:after="0" w:line="240" w:lineRule="auto"/>
              <w:ind w:left="0" w:firstLineChars="0" w:firstLine="0"/>
              <w:rPr>
                <w:szCs w:val="21"/>
              </w:rPr>
            </w:pPr>
            <w:r>
              <w:rPr>
                <w:szCs w:val="21"/>
              </w:rPr>
              <w:t>非甲烷总烃</w:t>
            </w:r>
          </w:p>
        </w:tc>
        <w:tc>
          <w:tcPr>
            <w:tcW w:w="784" w:type="pct"/>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2.893</w:t>
            </w:r>
            <w:r>
              <w:rPr>
                <w:szCs w:val="21"/>
              </w:rPr>
              <w:t xml:space="preserve"> t/a</w:t>
            </w:r>
          </w:p>
        </w:tc>
        <w:tc>
          <w:tcPr>
            <w:tcW w:w="1623" w:type="pct"/>
            <w:vAlign w:val="center"/>
          </w:tcPr>
          <w:p w:rsidR="00EE4502" w:rsidRDefault="00FD45A3">
            <w:pPr>
              <w:pStyle w:val="affffffffff"/>
              <w:kinsoku/>
              <w:wordWrap/>
              <w:overflowPunct/>
              <w:adjustRightInd/>
              <w:spacing w:after="0" w:line="240" w:lineRule="auto"/>
              <w:ind w:left="0" w:firstLineChars="0" w:firstLine="0"/>
              <w:rPr>
                <w:szCs w:val="21"/>
              </w:rPr>
            </w:pPr>
            <w:r>
              <w:rPr>
                <w:szCs w:val="21"/>
              </w:rPr>
              <w:t>稠油处理及集输均采用密闭流程，井口密封并设紧急截断阀</w:t>
            </w:r>
          </w:p>
        </w:tc>
        <w:tc>
          <w:tcPr>
            <w:tcW w:w="644" w:type="pct"/>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2.893</w:t>
            </w:r>
            <w:r>
              <w:rPr>
                <w:szCs w:val="21"/>
              </w:rPr>
              <w:t xml:space="preserve"> t/a</w:t>
            </w:r>
          </w:p>
        </w:tc>
      </w:tr>
      <w:tr w:rsidR="00EE4502">
        <w:trPr>
          <w:trHeight w:val="340"/>
          <w:jc w:val="center"/>
        </w:trPr>
        <w:tc>
          <w:tcPr>
            <w:tcW w:w="230" w:type="pct"/>
            <w:vMerge w:val="restart"/>
            <w:vAlign w:val="center"/>
          </w:tcPr>
          <w:p w:rsidR="00EE4502" w:rsidRDefault="00FD45A3">
            <w:pPr>
              <w:pStyle w:val="affffffffff"/>
              <w:kinsoku/>
              <w:wordWrap/>
              <w:overflowPunct/>
              <w:adjustRightInd/>
              <w:spacing w:after="0" w:line="240" w:lineRule="auto"/>
              <w:ind w:left="0" w:firstLineChars="0" w:firstLine="0"/>
              <w:rPr>
                <w:szCs w:val="21"/>
              </w:rPr>
            </w:pPr>
            <w:r>
              <w:rPr>
                <w:szCs w:val="21"/>
              </w:rPr>
              <w:t>废水</w:t>
            </w:r>
          </w:p>
        </w:tc>
        <w:tc>
          <w:tcPr>
            <w:tcW w:w="343" w:type="pct"/>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W1</w:t>
            </w:r>
          </w:p>
        </w:tc>
        <w:tc>
          <w:tcPr>
            <w:tcW w:w="606" w:type="pct"/>
            <w:vAlign w:val="center"/>
          </w:tcPr>
          <w:p w:rsidR="00EE4502" w:rsidRDefault="00FD45A3">
            <w:pPr>
              <w:pStyle w:val="affffffffff"/>
              <w:kinsoku/>
              <w:wordWrap/>
              <w:overflowPunct/>
              <w:adjustRightInd/>
              <w:spacing w:after="0" w:line="240" w:lineRule="auto"/>
              <w:ind w:left="0" w:firstLineChars="0" w:firstLine="0"/>
              <w:rPr>
                <w:szCs w:val="21"/>
              </w:rPr>
            </w:pPr>
            <w:r>
              <w:rPr>
                <w:szCs w:val="21"/>
              </w:rPr>
              <w:t>油藏采出水</w:t>
            </w:r>
          </w:p>
        </w:tc>
        <w:tc>
          <w:tcPr>
            <w:tcW w:w="767" w:type="pct"/>
            <w:vAlign w:val="center"/>
          </w:tcPr>
          <w:p w:rsidR="00EE4502" w:rsidRDefault="00FD45A3">
            <w:pPr>
              <w:pStyle w:val="affffffffff"/>
              <w:kinsoku/>
              <w:wordWrap/>
              <w:overflowPunct/>
              <w:adjustRightInd/>
              <w:spacing w:after="0" w:line="240" w:lineRule="auto"/>
              <w:ind w:left="0" w:firstLineChars="0" w:firstLine="0"/>
              <w:rPr>
                <w:szCs w:val="21"/>
              </w:rPr>
            </w:pPr>
            <w:r>
              <w:rPr>
                <w:szCs w:val="21"/>
              </w:rPr>
              <w:t>SS</w:t>
            </w:r>
            <w:r>
              <w:rPr>
                <w:szCs w:val="21"/>
              </w:rPr>
              <w:t>、</w:t>
            </w:r>
            <w:r>
              <w:rPr>
                <w:szCs w:val="21"/>
              </w:rPr>
              <w:t>COD</w:t>
            </w:r>
            <w:r>
              <w:rPr>
                <w:szCs w:val="21"/>
              </w:rPr>
              <w:t>、石油类、挥发酚、硫化物</w:t>
            </w:r>
          </w:p>
        </w:tc>
        <w:tc>
          <w:tcPr>
            <w:tcW w:w="784" w:type="pct"/>
            <w:vAlign w:val="center"/>
          </w:tcPr>
          <w:p w:rsidR="00EE4502" w:rsidRDefault="00FD45A3">
            <w:pPr>
              <w:pStyle w:val="affffffffff"/>
              <w:kinsoku/>
              <w:wordWrap/>
              <w:overflowPunct/>
              <w:adjustRightInd/>
              <w:spacing w:after="0" w:line="240" w:lineRule="auto"/>
              <w:ind w:left="0" w:firstLineChars="0" w:firstLine="0"/>
              <w:rPr>
                <w:szCs w:val="21"/>
              </w:rPr>
            </w:pPr>
            <w:r>
              <w:rPr>
                <w:szCs w:val="21"/>
              </w:rPr>
              <w:t>2.53×10</w:t>
            </w:r>
            <w:r>
              <w:rPr>
                <w:szCs w:val="21"/>
                <w:vertAlign w:val="superscript"/>
              </w:rPr>
              <w:t>4</w:t>
            </w:r>
            <w:r>
              <w:rPr>
                <w:szCs w:val="21"/>
              </w:rPr>
              <w:t>t/a</w:t>
            </w:r>
          </w:p>
        </w:tc>
        <w:tc>
          <w:tcPr>
            <w:tcW w:w="1623" w:type="pct"/>
            <w:vMerge w:val="restart"/>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经</w:t>
            </w:r>
            <w:r>
              <w:rPr>
                <w:rFonts w:hint="eastAsia"/>
                <w:szCs w:val="21"/>
              </w:rPr>
              <w:t>春风二号联合站</w:t>
            </w:r>
            <w:r>
              <w:rPr>
                <w:szCs w:val="21"/>
              </w:rPr>
              <w:t>污水处理系统处理达标后回注地层。</w:t>
            </w:r>
          </w:p>
        </w:tc>
        <w:tc>
          <w:tcPr>
            <w:tcW w:w="644" w:type="pct"/>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0</w:t>
            </w:r>
          </w:p>
        </w:tc>
      </w:tr>
      <w:tr w:rsidR="00EE4502">
        <w:trPr>
          <w:trHeight w:val="340"/>
          <w:jc w:val="center"/>
        </w:trPr>
        <w:tc>
          <w:tcPr>
            <w:tcW w:w="230" w:type="pct"/>
            <w:vMerge/>
            <w:vAlign w:val="center"/>
          </w:tcPr>
          <w:p w:rsidR="00EE4502" w:rsidRDefault="00EE4502">
            <w:pPr>
              <w:pStyle w:val="affffffffff"/>
              <w:kinsoku/>
              <w:wordWrap/>
              <w:overflowPunct/>
              <w:adjustRightInd/>
              <w:spacing w:after="0" w:line="240" w:lineRule="auto"/>
              <w:ind w:left="0" w:firstLineChars="0" w:firstLine="0"/>
              <w:rPr>
                <w:szCs w:val="21"/>
              </w:rPr>
            </w:pPr>
          </w:p>
        </w:tc>
        <w:tc>
          <w:tcPr>
            <w:tcW w:w="343" w:type="pct"/>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W2</w:t>
            </w:r>
          </w:p>
        </w:tc>
        <w:tc>
          <w:tcPr>
            <w:tcW w:w="606" w:type="pct"/>
            <w:vAlign w:val="center"/>
          </w:tcPr>
          <w:p w:rsidR="00EE4502" w:rsidRDefault="00FD45A3">
            <w:pPr>
              <w:pStyle w:val="affffffffff"/>
              <w:kinsoku/>
              <w:wordWrap/>
              <w:overflowPunct/>
              <w:adjustRightInd/>
              <w:spacing w:after="0" w:line="240" w:lineRule="auto"/>
              <w:ind w:left="0" w:firstLineChars="0" w:firstLine="0"/>
              <w:rPr>
                <w:szCs w:val="21"/>
              </w:rPr>
            </w:pPr>
            <w:r>
              <w:rPr>
                <w:szCs w:val="21"/>
              </w:rPr>
              <w:t>井下废水</w:t>
            </w:r>
          </w:p>
        </w:tc>
        <w:tc>
          <w:tcPr>
            <w:tcW w:w="767" w:type="pct"/>
            <w:vAlign w:val="center"/>
          </w:tcPr>
          <w:p w:rsidR="00EE4502" w:rsidRDefault="00FD45A3">
            <w:pPr>
              <w:pStyle w:val="affffffffff"/>
              <w:kinsoku/>
              <w:wordWrap/>
              <w:overflowPunct/>
              <w:adjustRightInd/>
              <w:spacing w:after="0" w:line="240" w:lineRule="auto"/>
              <w:ind w:left="0" w:firstLineChars="0" w:firstLine="0"/>
              <w:rPr>
                <w:szCs w:val="21"/>
              </w:rPr>
            </w:pPr>
            <w:r>
              <w:rPr>
                <w:szCs w:val="21"/>
              </w:rPr>
              <w:t>SS</w:t>
            </w:r>
            <w:r>
              <w:rPr>
                <w:szCs w:val="21"/>
              </w:rPr>
              <w:t>、</w:t>
            </w:r>
            <w:r>
              <w:rPr>
                <w:szCs w:val="21"/>
              </w:rPr>
              <w:t>COD</w:t>
            </w:r>
            <w:r>
              <w:rPr>
                <w:szCs w:val="21"/>
              </w:rPr>
              <w:t>、石油类、挥发酚、硫化物</w:t>
            </w:r>
          </w:p>
        </w:tc>
        <w:tc>
          <w:tcPr>
            <w:tcW w:w="784" w:type="pct"/>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1368</w:t>
            </w:r>
            <w:r>
              <w:rPr>
                <w:szCs w:val="21"/>
              </w:rPr>
              <w:t xml:space="preserve"> </w:t>
            </w:r>
            <w:r>
              <w:rPr>
                <w:rFonts w:hint="eastAsia"/>
                <w:szCs w:val="21"/>
              </w:rPr>
              <w:t>t</w:t>
            </w:r>
            <w:r>
              <w:rPr>
                <w:szCs w:val="21"/>
              </w:rPr>
              <w:t>/a</w:t>
            </w:r>
          </w:p>
        </w:tc>
        <w:tc>
          <w:tcPr>
            <w:tcW w:w="1623" w:type="pct"/>
            <w:vMerge/>
            <w:vAlign w:val="center"/>
          </w:tcPr>
          <w:p w:rsidR="00EE4502" w:rsidRDefault="00EE4502">
            <w:pPr>
              <w:pStyle w:val="affffffffff"/>
              <w:kinsoku/>
              <w:wordWrap/>
              <w:overflowPunct/>
              <w:adjustRightInd/>
              <w:spacing w:after="0" w:line="240" w:lineRule="auto"/>
              <w:ind w:left="0" w:firstLineChars="0" w:firstLine="0"/>
              <w:rPr>
                <w:szCs w:val="21"/>
              </w:rPr>
            </w:pPr>
          </w:p>
        </w:tc>
        <w:tc>
          <w:tcPr>
            <w:tcW w:w="644" w:type="pct"/>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0</w:t>
            </w:r>
          </w:p>
        </w:tc>
      </w:tr>
      <w:tr w:rsidR="00EE4502">
        <w:trPr>
          <w:trHeight w:val="340"/>
          <w:jc w:val="center"/>
        </w:trPr>
        <w:tc>
          <w:tcPr>
            <w:tcW w:w="230" w:type="pct"/>
            <w:vMerge w:val="restart"/>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固体</w:t>
            </w:r>
            <w:r>
              <w:rPr>
                <w:szCs w:val="21"/>
              </w:rPr>
              <w:t>废物</w:t>
            </w:r>
          </w:p>
        </w:tc>
        <w:tc>
          <w:tcPr>
            <w:tcW w:w="343" w:type="pct"/>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S1</w:t>
            </w:r>
          </w:p>
        </w:tc>
        <w:tc>
          <w:tcPr>
            <w:tcW w:w="606" w:type="pct"/>
            <w:vAlign w:val="center"/>
          </w:tcPr>
          <w:p w:rsidR="00EE4502" w:rsidRDefault="00FD45A3">
            <w:pPr>
              <w:pStyle w:val="ArialGB23121"/>
              <w:spacing w:line="240" w:lineRule="auto"/>
              <w:jc w:val="center"/>
              <w:rPr>
                <w:sz w:val="21"/>
                <w:szCs w:val="21"/>
              </w:rPr>
            </w:pPr>
            <w:r>
              <w:rPr>
                <w:rFonts w:hAnsi="Times New Roman"/>
                <w:sz w:val="21"/>
                <w:szCs w:val="21"/>
              </w:rPr>
              <w:t>落地油</w:t>
            </w:r>
          </w:p>
        </w:tc>
        <w:tc>
          <w:tcPr>
            <w:tcW w:w="767" w:type="pct"/>
            <w:vAlign w:val="center"/>
          </w:tcPr>
          <w:p w:rsidR="00EE4502" w:rsidRDefault="00FD45A3">
            <w:pPr>
              <w:pStyle w:val="affffffffff"/>
              <w:kinsoku/>
              <w:wordWrap/>
              <w:overflowPunct/>
              <w:adjustRightInd/>
              <w:spacing w:after="0" w:line="240" w:lineRule="auto"/>
              <w:ind w:left="0" w:firstLineChars="0" w:firstLine="0"/>
              <w:rPr>
                <w:szCs w:val="21"/>
              </w:rPr>
            </w:pPr>
            <w:r>
              <w:rPr>
                <w:szCs w:val="21"/>
              </w:rPr>
              <w:t>HW08</w:t>
            </w:r>
          </w:p>
          <w:p w:rsidR="00EE4502" w:rsidRDefault="00FD45A3">
            <w:pPr>
              <w:pStyle w:val="affffffffff"/>
              <w:kinsoku/>
              <w:wordWrap/>
              <w:overflowPunct/>
              <w:adjustRightInd/>
              <w:spacing w:after="0" w:line="240" w:lineRule="auto"/>
              <w:ind w:left="0" w:firstLineChars="0" w:firstLine="0"/>
              <w:rPr>
                <w:szCs w:val="21"/>
              </w:rPr>
            </w:pPr>
            <w:r>
              <w:rPr>
                <w:szCs w:val="21"/>
              </w:rPr>
              <w:t>071-001-08</w:t>
            </w:r>
          </w:p>
        </w:tc>
        <w:tc>
          <w:tcPr>
            <w:tcW w:w="784" w:type="pct"/>
            <w:vAlign w:val="center"/>
          </w:tcPr>
          <w:p w:rsidR="00EE4502" w:rsidRDefault="00FD45A3">
            <w:pPr>
              <w:pStyle w:val="affffffffff"/>
              <w:kinsoku/>
              <w:wordWrap/>
              <w:overflowPunct/>
              <w:adjustRightInd/>
              <w:spacing w:after="0" w:line="240" w:lineRule="auto"/>
              <w:ind w:left="0" w:firstLineChars="0" w:firstLine="0"/>
              <w:rPr>
                <w:szCs w:val="21"/>
              </w:rPr>
            </w:pPr>
            <w:r>
              <w:rPr>
                <w:szCs w:val="21"/>
              </w:rPr>
              <w:t>0.9 t/a</w:t>
            </w:r>
          </w:p>
        </w:tc>
        <w:tc>
          <w:tcPr>
            <w:tcW w:w="1623" w:type="pct"/>
            <w:vAlign w:val="center"/>
          </w:tcPr>
          <w:p w:rsidR="00EE4502" w:rsidRDefault="00FD45A3">
            <w:pPr>
              <w:pStyle w:val="ArialGB23121"/>
              <w:spacing w:line="240" w:lineRule="auto"/>
              <w:jc w:val="center"/>
              <w:rPr>
                <w:sz w:val="21"/>
                <w:szCs w:val="21"/>
              </w:rPr>
            </w:pPr>
            <w:r>
              <w:rPr>
                <w:rFonts w:hAnsi="Times New Roman" w:hint="eastAsia"/>
                <w:sz w:val="21"/>
                <w:szCs w:val="21"/>
              </w:rPr>
              <w:t>委托有资质单位拉运处理</w:t>
            </w:r>
          </w:p>
        </w:tc>
        <w:tc>
          <w:tcPr>
            <w:tcW w:w="644" w:type="pct"/>
            <w:vAlign w:val="center"/>
          </w:tcPr>
          <w:p w:rsidR="00EE4502" w:rsidRDefault="00FD45A3">
            <w:pPr>
              <w:pStyle w:val="ArialGB23121"/>
              <w:spacing w:line="240" w:lineRule="auto"/>
              <w:jc w:val="center"/>
              <w:rPr>
                <w:rFonts w:hAnsi="Times New Roman"/>
                <w:sz w:val="21"/>
                <w:szCs w:val="21"/>
              </w:rPr>
            </w:pPr>
            <w:r>
              <w:rPr>
                <w:rFonts w:hAnsi="Times New Roman" w:hint="eastAsia"/>
                <w:sz w:val="21"/>
                <w:szCs w:val="21"/>
              </w:rPr>
              <w:t>0</w:t>
            </w:r>
          </w:p>
        </w:tc>
      </w:tr>
      <w:tr w:rsidR="00EE4502">
        <w:trPr>
          <w:trHeight w:val="340"/>
          <w:jc w:val="center"/>
        </w:trPr>
        <w:tc>
          <w:tcPr>
            <w:tcW w:w="230" w:type="pct"/>
            <w:vMerge/>
            <w:vAlign w:val="center"/>
          </w:tcPr>
          <w:p w:rsidR="00EE4502" w:rsidRDefault="00EE4502">
            <w:pPr>
              <w:pStyle w:val="affffffffff"/>
              <w:kinsoku/>
              <w:wordWrap/>
              <w:overflowPunct/>
              <w:adjustRightInd/>
              <w:spacing w:after="0" w:line="240" w:lineRule="auto"/>
              <w:ind w:left="0" w:firstLineChars="0" w:firstLine="0"/>
              <w:rPr>
                <w:szCs w:val="21"/>
              </w:rPr>
            </w:pPr>
          </w:p>
        </w:tc>
        <w:tc>
          <w:tcPr>
            <w:tcW w:w="343" w:type="pct"/>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S2</w:t>
            </w:r>
          </w:p>
        </w:tc>
        <w:tc>
          <w:tcPr>
            <w:tcW w:w="606" w:type="pct"/>
            <w:vAlign w:val="center"/>
          </w:tcPr>
          <w:p w:rsidR="00EE4502" w:rsidRDefault="00FD45A3">
            <w:pPr>
              <w:pStyle w:val="ArialGB23121"/>
              <w:spacing w:line="240" w:lineRule="auto"/>
              <w:jc w:val="center"/>
              <w:rPr>
                <w:sz w:val="21"/>
                <w:szCs w:val="21"/>
              </w:rPr>
            </w:pPr>
            <w:r>
              <w:rPr>
                <w:rFonts w:hAnsi="Times New Roman"/>
                <w:sz w:val="21"/>
                <w:szCs w:val="21"/>
              </w:rPr>
              <w:t>沾油废防渗材料</w:t>
            </w:r>
          </w:p>
        </w:tc>
        <w:tc>
          <w:tcPr>
            <w:tcW w:w="767" w:type="pct"/>
            <w:vAlign w:val="center"/>
          </w:tcPr>
          <w:p w:rsidR="00EE4502" w:rsidRDefault="00FD45A3">
            <w:pPr>
              <w:pStyle w:val="affffffffff"/>
              <w:kinsoku/>
              <w:wordWrap/>
              <w:overflowPunct/>
              <w:adjustRightInd/>
              <w:spacing w:after="0" w:line="240" w:lineRule="auto"/>
              <w:ind w:left="0" w:firstLineChars="0" w:firstLine="0"/>
              <w:rPr>
                <w:szCs w:val="21"/>
              </w:rPr>
            </w:pPr>
            <w:r>
              <w:rPr>
                <w:szCs w:val="21"/>
              </w:rPr>
              <w:t>HW08</w:t>
            </w:r>
          </w:p>
          <w:p w:rsidR="00EE4502" w:rsidRDefault="00FD45A3">
            <w:pPr>
              <w:pStyle w:val="affffffffff"/>
              <w:kinsoku/>
              <w:wordWrap/>
              <w:overflowPunct/>
              <w:adjustRightInd/>
              <w:spacing w:after="0" w:line="240" w:lineRule="auto"/>
              <w:ind w:left="0" w:firstLineChars="0" w:firstLine="0"/>
              <w:rPr>
                <w:szCs w:val="21"/>
              </w:rPr>
            </w:pPr>
            <w:r>
              <w:rPr>
                <w:szCs w:val="21"/>
              </w:rPr>
              <w:t>900-249-08</w:t>
            </w:r>
          </w:p>
        </w:tc>
        <w:tc>
          <w:tcPr>
            <w:tcW w:w="784" w:type="pct"/>
            <w:vAlign w:val="center"/>
          </w:tcPr>
          <w:p w:rsidR="00EE4502" w:rsidRDefault="00FD45A3">
            <w:pPr>
              <w:pStyle w:val="affffffffff"/>
              <w:kinsoku/>
              <w:wordWrap/>
              <w:overflowPunct/>
              <w:adjustRightInd/>
              <w:spacing w:after="0" w:line="240" w:lineRule="auto"/>
              <w:ind w:left="0" w:firstLineChars="0" w:firstLine="0"/>
              <w:rPr>
                <w:szCs w:val="21"/>
              </w:rPr>
            </w:pPr>
            <w:r>
              <w:rPr>
                <w:szCs w:val="21"/>
              </w:rPr>
              <w:t>2.25 t/a</w:t>
            </w:r>
          </w:p>
        </w:tc>
        <w:tc>
          <w:tcPr>
            <w:tcW w:w="1623" w:type="pct"/>
            <w:vAlign w:val="center"/>
          </w:tcPr>
          <w:p w:rsidR="00EE4502" w:rsidRDefault="00FD45A3">
            <w:pPr>
              <w:pStyle w:val="ArialGB23121"/>
              <w:spacing w:line="240" w:lineRule="auto"/>
              <w:jc w:val="center"/>
              <w:rPr>
                <w:sz w:val="21"/>
                <w:szCs w:val="21"/>
              </w:rPr>
            </w:pPr>
            <w:r>
              <w:rPr>
                <w:rFonts w:hAnsi="Times New Roman" w:hint="eastAsia"/>
                <w:sz w:val="21"/>
                <w:szCs w:val="21"/>
              </w:rPr>
              <w:t>折叠打包后</w:t>
            </w:r>
            <w:r>
              <w:rPr>
                <w:rFonts w:hAnsi="Times New Roman"/>
                <w:sz w:val="21"/>
                <w:szCs w:val="21"/>
              </w:rPr>
              <w:t>委托有资质单位</w:t>
            </w:r>
            <w:r>
              <w:rPr>
                <w:rFonts w:hAnsi="Times New Roman" w:hint="eastAsia"/>
                <w:sz w:val="21"/>
                <w:szCs w:val="21"/>
              </w:rPr>
              <w:t>拉运处理</w:t>
            </w:r>
          </w:p>
        </w:tc>
        <w:tc>
          <w:tcPr>
            <w:tcW w:w="644" w:type="pct"/>
            <w:vAlign w:val="center"/>
          </w:tcPr>
          <w:p w:rsidR="00EE4502" w:rsidRDefault="00FD45A3">
            <w:pPr>
              <w:pStyle w:val="ArialGB23121"/>
              <w:spacing w:line="240" w:lineRule="auto"/>
              <w:jc w:val="center"/>
              <w:rPr>
                <w:rFonts w:hAnsi="Times New Roman"/>
                <w:sz w:val="21"/>
                <w:szCs w:val="21"/>
              </w:rPr>
            </w:pPr>
            <w:r>
              <w:rPr>
                <w:rFonts w:hAnsi="Times New Roman" w:hint="eastAsia"/>
                <w:sz w:val="21"/>
                <w:szCs w:val="21"/>
              </w:rPr>
              <w:t>0</w:t>
            </w:r>
          </w:p>
        </w:tc>
      </w:tr>
      <w:tr w:rsidR="00EE4502">
        <w:trPr>
          <w:trHeight w:val="340"/>
          <w:jc w:val="center"/>
        </w:trPr>
        <w:tc>
          <w:tcPr>
            <w:tcW w:w="230" w:type="pct"/>
            <w:vMerge/>
            <w:vAlign w:val="center"/>
          </w:tcPr>
          <w:p w:rsidR="00EE4502" w:rsidRDefault="00EE4502">
            <w:pPr>
              <w:pStyle w:val="affffffffff"/>
              <w:kinsoku/>
              <w:wordWrap/>
              <w:overflowPunct/>
              <w:adjustRightInd/>
              <w:spacing w:after="0" w:line="240" w:lineRule="auto"/>
              <w:ind w:left="0" w:firstLineChars="0" w:firstLine="0"/>
              <w:rPr>
                <w:szCs w:val="21"/>
              </w:rPr>
            </w:pPr>
          </w:p>
        </w:tc>
        <w:tc>
          <w:tcPr>
            <w:tcW w:w="343" w:type="pct"/>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S3</w:t>
            </w:r>
          </w:p>
        </w:tc>
        <w:tc>
          <w:tcPr>
            <w:tcW w:w="606" w:type="pct"/>
            <w:vAlign w:val="center"/>
          </w:tcPr>
          <w:p w:rsidR="00EE4502" w:rsidRDefault="00FD45A3">
            <w:pPr>
              <w:pStyle w:val="ArialGB23121"/>
              <w:spacing w:line="240" w:lineRule="auto"/>
              <w:jc w:val="center"/>
              <w:rPr>
                <w:sz w:val="21"/>
                <w:szCs w:val="21"/>
              </w:rPr>
            </w:pPr>
            <w:r>
              <w:rPr>
                <w:rFonts w:hAnsi="Times New Roman" w:hint="eastAsia"/>
                <w:sz w:val="21"/>
                <w:szCs w:val="21"/>
              </w:rPr>
              <w:t>清管废渣</w:t>
            </w:r>
          </w:p>
        </w:tc>
        <w:tc>
          <w:tcPr>
            <w:tcW w:w="767" w:type="pct"/>
            <w:vAlign w:val="center"/>
          </w:tcPr>
          <w:p w:rsidR="00EE4502" w:rsidRDefault="00FD45A3">
            <w:pPr>
              <w:pStyle w:val="affffffffff"/>
              <w:kinsoku/>
              <w:wordWrap/>
              <w:overflowPunct/>
              <w:adjustRightInd/>
              <w:spacing w:after="0" w:line="240" w:lineRule="auto"/>
              <w:ind w:left="0" w:firstLineChars="0" w:firstLine="0"/>
              <w:rPr>
                <w:szCs w:val="21"/>
              </w:rPr>
            </w:pPr>
            <w:r>
              <w:rPr>
                <w:szCs w:val="21"/>
              </w:rPr>
              <w:t>HW08</w:t>
            </w:r>
          </w:p>
          <w:p w:rsidR="00EE4502" w:rsidRDefault="00FD45A3">
            <w:pPr>
              <w:pStyle w:val="affffffffff"/>
              <w:kinsoku/>
              <w:wordWrap/>
              <w:overflowPunct/>
              <w:adjustRightInd/>
              <w:spacing w:after="0" w:line="240" w:lineRule="auto"/>
              <w:ind w:left="0" w:firstLineChars="0" w:firstLine="0"/>
              <w:rPr>
                <w:szCs w:val="21"/>
              </w:rPr>
            </w:pPr>
            <w:r>
              <w:rPr>
                <w:szCs w:val="21"/>
              </w:rPr>
              <w:t>071-001-08</w:t>
            </w:r>
          </w:p>
        </w:tc>
        <w:tc>
          <w:tcPr>
            <w:tcW w:w="784" w:type="pct"/>
            <w:vAlign w:val="center"/>
          </w:tcPr>
          <w:p w:rsidR="00EE4502" w:rsidRDefault="00FD45A3">
            <w:pPr>
              <w:pStyle w:val="affffffffff"/>
              <w:kinsoku/>
              <w:wordWrap/>
              <w:overflowPunct/>
              <w:adjustRightInd/>
              <w:spacing w:after="0" w:line="240" w:lineRule="auto"/>
              <w:ind w:left="0" w:firstLineChars="0" w:firstLine="0"/>
              <w:rPr>
                <w:szCs w:val="21"/>
              </w:rPr>
            </w:pPr>
            <w:r>
              <w:rPr>
                <w:szCs w:val="21"/>
              </w:rPr>
              <w:t>0.01t/a</w:t>
            </w:r>
          </w:p>
        </w:tc>
        <w:tc>
          <w:tcPr>
            <w:tcW w:w="1623" w:type="pct"/>
            <w:vAlign w:val="center"/>
          </w:tcPr>
          <w:p w:rsidR="00EE4502" w:rsidRDefault="00FD45A3">
            <w:pPr>
              <w:pStyle w:val="ArialGB23121"/>
              <w:spacing w:line="240" w:lineRule="auto"/>
              <w:jc w:val="center"/>
              <w:rPr>
                <w:sz w:val="21"/>
                <w:szCs w:val="21"/>
              </w:rPr>
            </w:pPr>
            <w:r>
              <w:rPr>
                <w:rFonts w:hAnsi="Times New Roman"/>
                <w:sz w:val="21"/>
                <w:szCs w:val="21"/>
              </w:rPr>
              <w:t>委托有资质单位</w:t>
            </w:r>
            <w:r>
              <w:rPr>
                <w:rFonts w:hAnsi="Times New Roman" w:hint="eastAsia"/>
                <w:sz w:val="21"/>
                <w:szCs w:val="21"/>
              </w:rPr>
              <w:t>拉运处理</w:t>
            </w:r>
          </w:p>
        </w:tc>
        <w:tc>
          <w:tcPr>
            <w:tcW w:w="644" w:type="pct"/>
            <w:vAlign w:val="center"/>
          </w:tcPr>
          <w:p w:rsidR="00EE4502" w:rsidRDefault="00FD45A3">
            <w:pPr>
              <w:pStyle w:val="ArialGB23121"/>
              <w:spacing w:line="240" w:lineRule="auto"/>
              <w:jc w:val="center"/>
              <w:rPr>
                <w:rFonts w:hAnsi="Times New Roman"/>
                <w:sz w:val="21"/>
                <w:szCs w:val="21"/>
              </w:rPr>
            </w:pPr>
            <w:r>
              <w:rPr>
                <w:rFonts w:hAnsi="Times New Roman" w:hint="eastAsia"/>
                <w:sz w:val="21"/>
                <w:szCs w:val="21"/>
              </w:rPr>
              <w:t>0</w:t>
            </w:r>
          </w:p>
        </w:tc>
      </w:tr>
      <w:tr w:rsidR="00EE4502">
        <w:trPr>
          <w:trHeight w:val="340"/>
          <w:jc w:val="center"/>
        </w:trPr>
        <w:tc>
          <w:tcPr>
            <w:tcW w:w="230" w:type="pct"/>
            <w:vMerge/>
            <w:vAlign w:val="center"/>
          </w:tcPr>
          <w:p w:rsidR="00EE4502" w:rsidRDefault="00EE4502">
            <w:pPr>
              <w:pStyle w:val="affffffffff"/>
              <w:kinsoku/>
              <w:wordWrap/>
              <w:overflowPunct/>
              <w:adjustRightInd/>
              <w:spacing w:after="0" w:line="240" w:lineRule="auto"/>
              <w:ind w:left="0" w:firstLineChars="0" w:firstLine="0"/>
              <w:rPr>
                <w:szCs w:val="21"/>
              </w:rPr>
            </w:pPr>
          </w:p>
        </w:tc>
        <w:tc>
          <w:tcPr>
            <w:tcW w:w="343" w:type="pct"/>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S4</w:t>
            </w:r>
          </w:p>
        </w:tc>
        <w:tc>
          <w:tcPr>
            <w:tcW w:w="606" w:type="pct"/>
            <w:vAlign w:val="center"/>
          </w:tcPr>
          <w:p w:rsidR="00EE4502" w:rsidRDefault="00FD45A3">
            <w:pPr>
              <w:pStyle w:val="ArialGB23121"/>
              <w:spacing w:line="240" w:lineRule="auto"/>
              <w:jc w:val="center"/>
              <w:rPr>
                <w:sz w:val="21"/>
                <w:szCs w:val="21"/>
              </w:rPr>
            </w:pPr>
            <w:r>
              <w:rPr>
                <w:rFonts w:hAnsi="Times New Roman"/>
                <w:sz w:val="21"/>
                <w:szCs w:val="21"/>
              </w:rPr>
              <w:t>废润滑油</w:t>
            </w:r>
          </w:p>
        </w:tc>
        <w:tc>
          <w:tcPr>
            <w:tcW w:w="767" w:type="pct"/>
            <w:vAlign w:val="center"/>
          </w:tcPr>
          <w:p w:rsidR="00EE4502" w:rsidRDefault="00FD45A3">
            <w:pPr>
              <w:pStyle w:val="affffffffff"/>
              <w:kinsoku/>
              <w:wordWrap/>
              <w:overflowPunct/>
              <w:adjustRightInd/>
              <w:spacing w:after="0" w:line="240" w:lineRule="auto"/>
              <w:ind w:left="0" w:firstLineChars="0" w:firstLine="0"/>
              <w:rPr>
                <w:szCs w:val="21"/>
              </w:rPr>
            </w:pPr>
            <w:r>
              <w:rPr>
                <w:szCs w:val="21"/>
              </w:rPr>
              <w:t>HW08</w:t>
            </w:r>
          </w:p>
          <w:p w:rsidR="00EE4502" w:rsidRDefault="00FD45A3">
            <w:pPr>
              <w:pStyle w:val="affffffffff"/>
              <w:kinsoku/>
              <w:wordWrap/>
              <w:overflowPunct/>
              <w:adjustRightInd/>
              <w:spacing w:after="0" w:line="240" w:lineRule="auto"/>
              <w:ind w:left="0" w:firstLineChars="0" w:firstLine="0"/>
              <w:rPr>
                <w:szCs w:val="21"/>
              </w:rPr>
            </w:pPr>
            <w:r>
              <w:rPr>
                <w:szCs w:val="21"/>
              </w:rPr>
              <w:t>900-217-08</w:t>
            </w:r>
          </w:p>
        </w:tc>
        <w:tc>
          <w:tcPr>
            <w:tcW w:w="784" w:type="pct"/>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1.8</w:t>
            </w:r>
            <w:r>
              <w:rPr>
                <w:szCs w:val="21"/>
              </w:rPr>
              <w:t xml:space="preserve"> t/a</w:t>
            </w:r>
          </w:p>
        </w:tc>
        <w:tc>
          <w:tcPr>
            <w:tcW w:w="1623" w:type="pct"/>
            <w:vAlign w:val="center"/>
          </w:tcPr>
          <w:p w:rsidR="00EE4502" w:rsidRDefault="00FD45A3">
            <w:pPr>
              <w:pStyle w:val="ArialGB23121"/>
              <w:spacing w:line="240" w:lineRule="auto"/>
              <w:jc w:val="center"/>
              <w:rPr>
                <w:sz w:val="21"/>
                <w:szCs w:val="21"/>
              </w:rPr>
            </w:pPr>
            <w:r>
              <w:rPr>
                <w:rFonts w:hAnsi="Times New Roman" w:hint="eastAsia"/>
                <w:sz w:val="21"/>
                <w:szCs w:val="21"/>
              </w:rPr>
              <w:t>联合站综合利用处理</w:t>
            </w:r>
          </w:p>
        </w:tc>
        <w:tc>
          <w:tcPr>
            <w:tcW w:w="644" w:type="pct"/>
            <w:vAlign w:val="center"/>
          </w:tcPr>
          <w:p w:rsidR="00EE4502" w:rsidRDefault="00FD45A3">
            <w:pPr>
              <w:pStyle w:val="ArialGB23121"/>
              <w:spacing w:line="240" w:lineRule="auto"/>
              <w:jc w:val="center"/>
              <w:rPr>
                <w:rFonts w:hAnsi="Times New Roman"/>
                <w:sz w:val="21"/>
                <w:szCs w:val="21"/>
              </w:rPr>
            </w:pPr>
            <w:r>
              <w:rPr>
                <w:rFonts w:hAnsi="Times New Roman" w:hint="eastAsia"/>
                <w:sz w:val="21"/>
                <w:szCs w:val="21"/>
              </w:rPr>
              <w:t>0</w:t>
            </w:r>
          </w:p>
        </w:tc>
      </w:tr>
      <w:tr w:rsidR="00EE4502">
        <w:trPr>
          <w:trHeight w:val="340"/>
          <w:jc w:val="center"/>
        </w:trPr>
        <w:tc>
          <w:tcPr>
            <w:tcW w:w="230" w:type="pct"/>
            <w:vAlign w:val="center"/>
          </w:tcPr>
          <w:p w:rsidR="00EE4502" w:rsidRDefault="00FD45A3">
            <w:pPr>
              <w:pStyle w:val="affffffffff"/>
              <w:kinsoku/>
              <w:wordWrap/>
              <w:overflowPunct/>
              <w:adjustRightInd/>
              <w:spacing w:after="0" w:line="240" w:lineRule="auto"/>
              <w:ind w:left="0" w:firstLineChars="0" w:firstLine="0"/>
              <w:rPr>
                <w:szCs w:val="21"/>
              </w:rPr>
            </w:pPr>
            <w:r>
              <w:rPr>
                <w:szCs w:val="21"/>
              </w:rPr>
              <w:t>噪声</w:t>
            </w:r>
          </w:p>
        </w:tc>
        <w:tc>
          <w:tcPr>
            <w:tcW w:w="343" w:type="pct"/>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N1</w:t>
            </w:r>
          </w:p>
        </w:tc>
        <w:tc>
          <w:tcPr>
            <w:tcW w:w="606" w:type="pct"/>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机械噪声</w:t>
            </w:r>
          </w:p>
        </w:tc>
        <w:tc>
          <w:tcPr>
            <w:tcW w:w="767" w:type="pct"/>
            <w:vAlign w:val="center"/>
          </w:tcPr>
          <w:p w:rsidR="00EE4502" w:rsidRDefault="00FD45A3">
            <w:pPr>
              <w:pStyle w:val="affffffffff"/>
              <w:kinsoku/>
              <w:wordWrap/>
              <w:overflowPunct/>
              <w:adjustRightInd/>
              <w:spacing w:after="0" w:line="240" w:lineRule="auto"/>
              <w:ind w:left="0" w:firstLineChars="0" w:firstLine="0"/>
              <w:rPr>
                <w:szCs w:val="21"/>
              </w:rPr>
            </w:pPr>
            <w:r>
              <w:rPr>
                <w:szCs w:val="21"/>
              </w:rPr>
              <w:t>/</w:t>
            </w:r>
          </w:p>
        </w:tc>
        <w:tc>
          <w:tcPr>
            <w:tcW w:w="784" w:type="pct"/>
            <w:vAlign w:val="center"/>
          </w:tcPr>
          <w:p w:rsidR="00EE4502" w:rsidRDefault="00FD45A3">
            <w:pPr>
              <w:pStyle w:val="affffffffff"/>
              <w:kinsoku/>
              <w:wordWrap/>
              <w:overflowPunct/>
              <w:adjustRightInd/>
              <w:spacing w:after="0" w:line="240" w:lineRule="auto"/>
              <w:ind w:left="0" w:firstLineChars="0" w:firstLine="0"/>
              <w:rPr>
                <w:szCs w:val="21"/>
              </w:rPr>
            </w:pPr>
            <w:r>
              <w:rPr>
                <w:szCs w:val="21"/>
              </w:rPr>
              <w:t>60~105dB</w:t>
            </w:r>
            <w:r>
              <w:rPr>
                <w:szCs w:val="21"/>
              </w:rPr>
              <w:t>（</w:t>
            </w:r>
            <w:r>
              <w:rPr>
                <w:szCs w:val="21"/>
              </w:rPr>
              <w:t>A</w:t>
            </w:r>
            <w:r>
              <w:rPr>
                <w:rFonts w:hint="eastAsia"/>
                <w:szCs w:val="21"/>
              </w:rPr>
              <w:t>)</w:t>
            </w:r>
          </w:p>
        </w:tc>
        <w:tc>
          <w:tcPr>
            <w:tcW w:w="1623" w:type="pct"/>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低噪声设备、基础减震、隔声罩等</w:t>
            </w:r>
          </w:p>
        </w:tc>
        <w:tc>
          <w:tcPr>
            <w:tcW w:w="644" w:type="pct"/>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厂界达标</w:t>
            </w:r>
          </w:p>
        </w:tc>
      </w:tr>
    </w:tbl>
    <w:p w:rsidR="00EE4502" w:rsidRDefault="00EE4502">
      <w:pPr>
        <w:jc w:val="center"/>
        <w:rPr>
          <w:rFonts w:eastAsia="黑体"/>
          <w:bCs/>
          <w:lang w:val="zh-CN"/>
        </w:rPr>
      </w:pPr>
    </w:p>
    <w:p w:rsidR="00EE4502" w:rsidRDefault="00FD45A3">
      <w:pPr>
        <w:pStyle w:val="33"/>
        <w:numPr>
          <w:ilvl w:val="2"/>
          <w:numId w:val="30"/>
        </w:numPr>
        <w:spacing w:line="360" w:lineRule="auto"/>
        <w:ind w:left="0" w:firstLine="0"/>
        <w:rPr>
          <w:spacing w:val="0"/>
          <w:sz w:val="24"/>
          <w:szCs w:val="24"/>
        </w:rPr>
      </w:pPr>
      <w:bookmarkStart w:id="183" w:name="_Toc296264775"/>
      <w:r>
        <w:rPr>
          <w:rFonts w:hint="eastAsia"/>
          <w:spacing w:val="0"/>
          <w:sz w:val="24"/>
          <w:szCs w:val="24"/>
        </w:rPr>
        <w:t>退役期</w:t>
      </w:r>
      <w:r>
        <w:rPr>
          <w:spacing w:val="0"/>
          <w:sz w:val="24"/>
          <w:szCs w:val="24"/>
        </w:rPr>
        <w:t>环境影响分析</w:t>
      </w:r>
      <w:bookmarkEnd w:id="183"/>
    </w:p>
    <w:p w:rsidR="00EE4502" w:rsidRDefault="00FD45A3">
      <w:pPr>
        <w:pStyle w:val="41"/>
        <w:numPr>
          <w:ilvl w:val="0"/>
          <w:numId w:val="36"/>
        </w:numPr>
        <w:adjustRightInd/>
        <w:snapToGrid/>
        <w:spacing w:beforeLines="0" w:before="0" w:line="360" w:lineRule="auto"/>
        <w:rPr>
          <w:rFonts w:ascii="Times New Roman" w:eastAsia="宋体" w:hAnsi="Times New Roman"/>
          <w:bCs w:val="0"/>
          <w:sz w:val="24"/>
          <w:szCs w:val="24"/>
        </w:rPr>
      </w:pPr>
      <w:bookmarkStart w:id="184" w:name="_Toc112762359"/>
      <w:bookmarkStart w:id="185" w:name="_Toc112762496"/>
      <w:bookmarkStart w:id="186" w:name="_Toc153349137"/>
      <w:bookmarkStart w:id="187" w:name="_Toc112762587"/>
      <w:bookmarkStart w:id="188" w:name="_Toc163965775"/>
      <w:r>
        <w:rPr>
          <w:rFonts w:ascii="Times New Roman" w:eastAsia="宋体" w:hAnsi="Times New Roman" w:hint="eastAsia"/>
          <w:bCs w:val="0"/>
          <w:sz w:val="24"/>
          <w:szCs w:val="24"/>
        </w:rPr>
        <w:t>退役期环境空气影响因素分析</w:t>
      </w:r>
    </w:p>
    <w:p w:rsidR="00EE4502" w:rsidRDefault="00FD45A3">
      <w:pPr>
        <w:spacing w:line="360" w:lineRule="auto"/>
        <w:ind w:firstLine="482"/>
        <w:rPr>
          <w:sz w:val="24"/>
        </w:rPr>
      </w:pPr>
      <w:r>
        <w:rPr>
          <w:sz w:val="24"/>
        </w:rPr>
        <w:t>（</w:t>
      </w:r>
      <w:r>
        <w:rPr>
          <w:sz w:val="24"/>
        </w:rPr>
        <w:t>1</w:t>
      </w:r>
      <w:r>
        <w:rPr>
          <w:sz w:val="24"/>
        </w:rPr>
        <w:t>）退役期废气主要是施工过程中产生的扬尘，要求退役期作业时，采取洒水抑尘的降尘措施，同时要求严禁在大风天气进行作业。</w:t>
      </w:r>
    </w:p>
    <w:p w:rsidR="00EE4502" w:rsidRDefault="00FD45A3">
      <w:pPr>
        <w:spacing w:line="360" w:lineRule="auto"/>
        <w:ind w:firstLine="482"/>
        <w:rPr>
          <w:sz w:val="24"/>
        </w:rPr>
      </w:pPr>
      <w:r>
        <w:rPr>
          <w:sz w:val="24"/>
        </w:rPr>
        <w:lastRenderedPageBreak/>
        <w:t>（</w:t>
      </w:r>
      <w:r>
        <w:rPr>
          <w:sz w:val="24"/>
        </w:rPr>
        <w:t>2</w:t>
      </w:r>
      <w:r>
        <w:rPr>
          <w:sz w:val="24"/>
        </w:rPr>
        <w:t>）运输车辆使用符合国家标准的油品。</w:t>
      </w:r>
    </w:p>
    <w:p w:rsidR="00EE4502" w:rsidRDefault="00FD45A3">
      <w:pPr>
        <w:spacing w:line="360" w:lineRule="auto"/>
        <w:ind w:firstLine="482"/>
        <w:rPr>
          <w:sz w:val="24"/>
        </w:rPr>
      </w:pPr>
      <w:r>
        <w:rPr>
          <w:sz w:val="24"/>
        </w:rPr>
        <w:t>（</w:t>
      </w:r>
      <w:r>
        <w:rPr>
          <w:sz w:val="24"/>
        </w:rPr>
        <w:t>3</w:t>
      </w:r>
      <w:r>
        <w:rPr>
          <w:sz w:val="24"/>
        </w:rPr>
        <w:t>）退役期封井施工过程中，应加强施工质量管理，避免出现封井不严等非正常工况的烃类泄漏。</w:t>
      </w:r>
    </w:p>
    <w:p w:rsidR="00EE4502" w:rsidRDefault="00FD45A3">
      <w:pPr>
        <w:pStyle w:val="41"/>
        <w:numPr>
          <w:ilvl w:val="0"/>
          <w:numId w:val="36"/>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hint="eastAsia"/>
          <w:bCs w:val="0"/>
          <w:sz w:val="24"/>
          <w:szCs w:val="24"/>
        </w:rPr>
        <w:t>退役期水环境影响因素分析</w:t>
      </w:r>
    </w:p>
    <w:p w:rsidR="00EE4502" w:rsidRDefault="00FD45A3">
      <w:pPr>
        <w:spacing w:line="360" w:lineRule="auto"/>
        <w:ind w:firstLine="482"/>
        <w:rPr>
          <w:sz w:val="24"/>
        </w:rPr>
      </w:pPr>
      <w:r>
        <w:rPr>
          <w:rFonts w:hint="eastAsia"/>
          <w:sz w:val="24"/>
        </w:rPr>
        <w:t>退役期埋地管线冲洗后两端封堵，不再挖出。水环境影响因素主要为埋地管线的冲洗废水，本项目埋地管线设有集输、注水管线，长度共计</w:t>
      </w:r>
      <w:r>
        <w:rPr>
          <w:rFonts w:hint="eastAsia"/>
          <w:sz w:val="24"/>
        </w:rPr>
        <w:t>49.39km</w:t>
      </w:r>
      <w:r>
        <w:rPr>
          <w:rFonts w:hint="eastAsia"/>
          <w:sz w:val="24"/>
        </w:rPr>
        <w:t>，冲洗废水按照每千米</w:t>
      </w:r>
      <w:r>
        <w:rPr>
          <w:rFonts w:hint="eastAsia"/>
          <w:sz w:val="24"/>
        </w:rPr>
        <w:t>2.5m</w:t>
      </w:r>
      <w:r>
        <w:rPr>
          <w:rFonts w:hint="eastAsia"/>
          <w:sz w:val="24"/>
          <w:vertAlign w:val="superscript"/>
        </w:rPr>
        <w:t>3</w:t>
      </w:r>
      <w:r>
        <w:rPr>
          <w:rFonts w:hint="eastAsia"/>
          <w:sz w:val="24"/>
        </w:rPr>
        <w:t>核算，预计产生含油废水约</w:t>
      </w:r>
      <w:r>
        <w:rPr>
          <w:rFonts w:hint="eastAsia"/>
          <w:sz w:val="24"/>
        </w:rPr>
        <w:t>123.48m</w:t>
      </w:r>
      <w:r>
        <w:rPr>
          <w:rFonts w:hint="eastAsia"/>
          <w:sz w:val="24"/>
          <w:vertAlign w:val="superscript"/>
        </w:rPr>
        <w:t>3</w:t>
      </w:r>
      <w:r>
        <w:rPr>
          <w:rFonts w:hint="eastAsia"/>
          <w:sz w:val="24"/>
        </w:rPr>
        <w:t>，废水收集入罐后拉运至联合站污水处理系统进行处理，严禁外排。井口严格按照《废弃井封井回填技术指南（试行）》（环办土壤函〔</w:t>
      </w:r>
      <w:r>
        <w:rPr>
          <w:rFonts w:hint="eastAsia"/>
          <w:sz w:val="24"/>
        </w:rPr>
        <w:t>2020</w:t>
      </w:r>
      <w:r>
        <w:rPr>
          <w:rFonts w:hint="eastAsia"/>
          <w:sz w:val="24"/>
        </w:rPr>
        <w:t>〕</w:t>
      </w:r>
      <w:r>
        <w:rPr>
          <w:rFonts w:hint="eastAsia"/>
          <w:sz w:val="24"/>
        </w:rPr>
        <w:t>72</w:t>
      </w:r>
      <w:r>
        <w:rPr>
          <w:rFonts w:hint="eastAsia"/>
          <w:sz w:val="24"/>
        </w:rPr>
        <w:t>号）、《废弃井封井处置规范》（</w:t>
      </w:r>
      <w:r>
        <w:rPr>
          <w:rFonts w:hint="eastAsia"/>
          <w:sz w:val="24"/>
        </w:rPr>
        <w:t>Q/SH0653-2015</w:t>
      </w:r>
      <w:r>
        <w:rPr>
          <w:rFonts w:hint="eastAsia"/>
          <w:sz w:val="24"/>
        </w:rPr>
        <w:t>）要求进行施工作业，首先进行井场进行环境风险评估，根据评估等级分别采用不同的固井、封井方式，确保固井、封井措施的有效</w:t>
      </w:r>
      <w:r>
        <w:rPr>
          <w:rFonts w:hint="eastAsia"/>
          <w:sz w:val="24"/>
        </w:rPr>
        <w:t>性，避免发生油水串层。</w:t>
      </w:r>
    </w:p>
    <w:p w:rsidR="00EE4502" w:rsidRDefault="00FD45A3">
      <w:pPr>
        <w:pStyle w:val="41"/>
        <w:numPr>
          <w:ilvl w:val="0"/>
          <w:numId w:val="36"/>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hint="eastAsia"/>
          <w:bCs w:val="0"/>
          <w:sz w:val="24"/>
          <w:szCs w:val="24"/>
        </w:rPr>
        <w:t>退役期噪声污染源分析</w:t>
      </w:r>
    </w:p>
    <w:p w:rsidR="00EE4502" w:rsidRDefault="00FD45A3">
      <w:pPr>
        <w:spacing w:line="360" w:lineRule="auto"/>
        <w:ind w:firstLine="482"/>
        <w:rPr>
          <w:sz w:val="24"/>
        </w:rPr>
      </w:pPr>
      <w:r>
        <w:rPr>
          <w:rFonts w:hint="eastAsia"/>
          <w:sz w:val="24"/>
        </w:rPr>
        <w:t>项目退役期噪声主要包括建（构）筑物结构施工、设备吊运拆除等过程中各种机械和设备产生的噪声。参照《环境噪声与振动控制工程技术导则》（</w:t>
      </w:r>
      <w:r>
        <w:rPr>
          <w:rFonts w:hint="eastAsia"/>
          <w:sz w:val="24"/>
        </w:rPr>
        <w:t>HJ 2034-2013</w:t>
      </w:r>
      <w:r>
        <w:rPr>
          <w:rFonts w:hint="eastAsia"/>
          <w:sz w:val="24"/>
        </w:rPr>
        <w:t>）中表</w:t>
      </w:r>
      <w:r>
        <w:rPr>
          <w:rFonts w:hint="eastAsia"/>
          <w:sz w:val="24"/>
        </w:rPr>
        <w:t>A.2</w:t>
      </w:r>
      <w:r>
        <w:rPr>
          <w:rFonts w:hint="eastAsia"/>
          <w:sz w:val="24"/>
        </w:rPr>
        <w:t>和类比油气田实际情况，项目退役期拟采用的各类施工设备产噪值见表</w:t>
      </w:r>
      <w:r>
        <w:rPr>
          <w:rFonts w:hint="eastAsia"/>
          <w:sz w:val="24"/>
        </w:rPr>
        <w:t>3-4-15</w:t>
      </w:r>
      <w:r>
        <w:rPr>
          <w:rFonts w:hint="eastAsia"/>
          <w:sz w:val="24"/>
        </w:rPr>
        <w:t>。</w:t>
      </w:r>
    </w:p>
    <w:p w:rsidR="00EE4502" w:rsidRDefault="00FD45A3">
      <w:pPr>
        <w:jc w:val="center"/>
      </w:pPr>
      <w:r>
        <w:rPr>
          <w:rFonts w:hint="eastAsia"/>
        </w:rPr>
        <w:t>表</w:t>
      </w:r>
      <w:r>
        <w:rPr>
          <w:rFonts w:hint="eastAsia"/>
        </w:rPr>
        <w:t xml:space="preserve">3-4-15   </w:t>
      </w:r>
      <w:r>
        <w:rPr>
          <w:rFonts w:hint="eastAsia"/>
        </w:rPr>
        <w:t>主要施工设备噪声源不同距离声压级</w:t>
      </w:r>
      <w:r>
        <w:rPr>
          <w:rFonts w:hint="eastAsia"/>
        </w:rPr>
        <w:t xml:space="preserve">    </w:t>
      </w:r>
      <w:r>
        <w:rPr>
          <w:rFonts w:hint="eastAsia"/>
        </w:rPr>
        <w:t>单位：</w:t>
      </w:r>
      <w:r>
        <w:rPr>
          <w:rFonts w:hint="eastAsia"/>
        </w:rPr>
        <w:t>dB(A)</w:t>
      </w:r>
    </w:p>
    <w:tbl>
      <w:tblPr>
        <w:tblW w:w="4997"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09"/>
        <w:gridCol w:w="895"/>
        <w:gridCol w:w="807"/>
        <w:gridCol w:w="609"/>
        <w:gridCol w:w="608"/>
        <w:gridCol w:w="617"/>
        <w:gridCol w:w="1518"/>
        <w:gridCol w:w="1350"/>
        <w:gridCol w:w="1344"/>
      </w:tblGrid>
      <w:tr w:rsidR="00EE4502">
        <w:trPr>
          <w:trHeight w:val="397"/>
          <w:jc w:val="center"/>
        </w:trPr>
        <w:tc>
          <w:tcPr>
            <w:tcW w:w="364" w:type="pct"/>
            <w:vMerge w:val="restart"/>
            <w:vAlign w:val="center"/>
          </w:tcPr>
          <w:p w:rsidR="00EE4502" w:rsidRDefault="00FD45A3">
            <w:pPr>
              <w:spacing w:line="0" w:lineRule="atLeast"/>
              <w:jc w:val="center"/>
              <w:rPr>
                <w:szCs w:val="21"/>
              </w:rPr>
            </w:pPr>
            <w:r>
              <w:rPr>
                <w:szCs w:val="21"/>
              </w:rPr>
              <w:t>序号</w:t>
            </w:r>
          </w:p>
        </w:tc>
        <w:tc>
          <w:tcPr>
            <w:tcW w:w="535" w:type="pct"/>
            <w:vMerge w:val="restart"/>
            <w:vAlign w:val="center"/>
          </w:tcPr>
          <w:p w:rsidR="00EE4502" w:rsidRDefault="00FD45A3">
            <w:pPr>
              <w:spacing w:line="0" w:lineRule="atLeast"/>
              <w:jc w:val="center"/>
              <w:rPr>
                <w:szCs w:val="21"/>
              </w:rPr>
            </w:pPr>
            <w:r>
              <w:rPr>
                <w:szCs w:val="21"/>
              </w:rPr>
              <w:t>声源</w:t>
            </w:r>
          </w:p>
          <w:p w:rsidR="00EE4502" w:rsidRDefault="00FD45A3">
            <w:pPr>
              <w:spacing w:line="0" w:lineRule="atLeast"/>
              <w:jc w:val="center"/>
              <w:rPr>
                <w:szCs w:val="21"/>
              </w:rPr>
            </w:pPr>
            <w:r>
              <w:rPr>
                <w:szCs w:val="21"/>
              </w:rPr>
              <w:t>名称</w:t>
            </w:r>
          </w:p>
        </w:tc>
        <w:tc>
          <w:tcPr>
            <w:tcW w:w="482" w:type="pct"/>
            <w:vMerge w:val="restart"/>
            <w:vAlign w:val="center"/>
          </w:tcPr>
          <w:p w:rsidR="00EE4502" w:rsidRDefault="00FD45A3">
            <w:pPr>
              <w:spacing w:line="0" w:lineRule="atLeast"/>
              <w:jc w:val="center"/>
              <w:rPr>
                <w:szCs w:val="21"/>
              </w:rPr>
            </w:pPr>
            <w:r>
              <w:rPr>
                <w:szCs w:val="21"/>
              </w:rPr>
              <w:t>型号</w:t>
            </w:r>
          </w:p>
        </w:tc>
        <w:tc>
          <w:tcPr>
            <w:tcW w:w="1097" w:type="pct"/>
            <w:gridSpan w:val="3"/>
            <w:vAlign w:val="center"/>
          </w:tcPr>
          <w:p w:rsidR="00EE4502" w:rsidRDefault="00FD45A3">
            <w:pPr>
              <w:spacing w:line="0" w:lineRule="atLeast"/>
              <w:jc w:val="center"/>
              <w:rPr>
                <w:szCs w:val="21"/>
              </w:rPr>
            </w:pPr>
            <w:r>
              <w:rPr>
                <w:szCs w:val="21"/>
              </w:rPr>
              <w:t>空间相对位置</w:t>
            </w:r>
            <w:r>
              <w:rPr>
                <w:szCs w:val="21"/>
              </w:rPr>
              <w:t>/m</w:t>
            </w:r>
          </w:p>
        </w:tc>
        <w:tc>
          <w:tcPr>
            <w:tcW w:w="907" w:type="pct"/>
            <w:vMerge w:val="restart"/>
            <w:vAlign w:val="center"/>
          </w:tcPr>
          <w:p w:rsidR="00EE4502" w:rsidRDefault="00FD45A3">
            <w:pPr>
              <w:spacing w:line="0" w:lineRule="atLeast"/>
              <w:jc w:val="center"/>
              <w:rPr>
                <w:szCs w:val="21"/>
              </w:rPr>
            </w:pPr>
            <w:r>
              <w:rPr>
                <w:szCs w:val="21"/>
              </w:rPr>
              <w:t>声功率级</w:t>
            </w:r>
            <w:r>
              <w:rPr>
                <w:szCs w:val="21"/>
              </w:rPr>
              <w:t>[dB(A)]</w:t>
            </w:r>
          </w:p>
        </w:tc>
        <w:tc>
          <w:tcPr>
            <w:tcW w:w="808" w:type="pct"/>
            <w:vMerge w:val="restart"/>
            <w:vAlign w:val="center"/>
          </w:tcPr>
          <w:p w:rsidR="00EE4502" w:rsidRDefault="00FD45A3">
            <w:pPr>
              <w:spacing w:line="0" w:lineRule="atLeast"/>
              <w:jc w:val="center"/>
              <w:rPr>
                <w:szCs w:val="21"/>
              </w:rPr>
            </w:pPr>
            <w:r>
              <w:rPr>
                <w:szCs w:val="21"/>
              </w:rPr>
              <w:t>声源控制措施</w:t>
            </w:r>
          </w:p>
        </w:tc>
        <w:tc>
          <w:tcPr>
            <w:tcW w:w="804" w:type="pct"/>
            <w:vMerge w:val="restart"/>
            <w:vAlign w:val="center"/>
          </w:tcPr>
          <w:p w:rsidR="00EE4502" w:rsidRDefault="00FD45A3">
            <w:pPr>
              <w:spacing w:line="0" w:lineRule="atLeast"/>
              <w:jc w:val="center"/>
              <w:rPr>
                <w:szCs w:val="21"/>
              </w:rPr>
            </w:pPr>
            <w:r>
              <w:rPr>
                <w:szCs w:val="21"/>
              </w:rPr>
              <w:t>运行时段</w:t>
            </w:r>
          </w:p>
        </w:tc>
      </w:tr>
      <w:tr w:rsidR="00EE4502">
        <w:trPr>
          <w:trHeight w:val="397"/>
          <w:jc w:val="center"/>
        </w:trPr>
        <w:tc>
          <w:tcPr>
            <w:tcW w:w="364" w:type="pct"/>
            <w:vMerge/>
            <w:vAlign w:val="center"/>
          </w:tcPr>
          <w:p w:rsidR="00EE4502" w:rsidRDefault="00EE4502">
            <w:pPr>
              <w:spacing w:line="0" w:lineRule="atLeast"/>
              <w:jc w:val="center"/>
              <w:rPr>
                <w:szCs w:val="21"/>
              </w:rPr>
            </w:pPr>
          </w:p>
        </w:tc>
        <w:tc>
          <w:tcPr>
            <w:tcW w:w="535" w:type="pct"/>
            <w:vMerge/>
            <w:vAlign w:val="center"/>
          </w:tcPr>
          <w:p w:rsidR="00EE4502" w:rsidRDefault="00EE4502">
            <w:pPr>
              <w:spacing w:line="0" w:lineRule="atLeast"/>
              <w:jc w:val="center"/>
              <w:rPr>
                <w:szCs w:val="21"/>
              </w:rPr>
            </w:pPr>
          </w:p>
        </w:tc>
        <w:tc>
          <w:tcPr>
            <w:tcW w:w="482" w:type="pct"/>
            <w:vMerge/>
            <w:vAlign w:val="center"/>
          </w:tcPr>
          <w:p w:rsidR="00EE4502" w:rsidRDefault="00EE4502">
            <w:pPr>
              <w:spacing w:line="0" w:lineRule="atLeast"/>
              <w:jc w:val="center"/>
              <w:rPr>
                <w:szCs w:val="21"/>
              </w:rPr>
            </w:pPr>
          </w:p>
        </w:tc>
        <w:tc>
          <w:tcPr>
            <w:tcW w:w="364" w:type="pct"/>
            <w:vAlign w:val="center"/>
          </w:tcPr>
          <w:p w:rsidR="00EE4502" w:rsidRDefault="00FD45A3">
            <w:pPr>
              <w:spacing w:line="0" w:lineRule="atLeast"/>
              <w:jc w:val="center"/>
              <w:rPr>
                <w:szCs w:val="21"/>
              </w:rPr>
            </w:pPr>
            <w:r>
              <w:rPr>
                <w:szCs w:val="21"/>
              </w:rPr>
              <w:t>X</w:t>
            </w:r>
          </w:p>
        </w:tc>
        <w:tc>
          <w:tcPr>
            <w:tcW w:w="364" w:type="pct"/>
            <w:vAlign w:val="center"/>
          </w:tcPr>
          <w:p w:rsidR="00EE4502" w:rsidRDefault="00FD45A3">
            <w:pPr>
              <w:spacing w:line="0" w:lineRule="atLeast"/>
              <w:jc w:val="center"/>
              <w:rPr>
                <w:szCs w:val="21"/>
              </w:rPr>
            </w:pPr>
            <w:r>
              <w:rPr>
                <w:szCs w:val="21"/>
              </w:rPr>
              <w:t>Y</w:t>
            </w:r>
          </w:p>
        </w:tc>
        <w:tc>
          <w:tcPr>
            <w:tcW w:w="369" w:type="pct"/>
            <w:vAlign w:val="center"/>
          </w:tcPr>
          <w:p w:rsidR="00EE4502" w:rsidRDefault="00FD45A3">
            <w:pPr>
              <w:spacing w:line="0" w:lineRule="atLeast"/>
              <w:jc w:val="center"/>
              <w:rPr>
                <w:szCs w:val="21"/>
              </w:rPr>
            </w:pPr>
            <w:r>
              <w:rPr>
                <w:szCs w:val="21"/>
              </w:rPr>
              <w:t>Z</w:t>
            </w:r>
          </w:p>
        </w:tc>
        <w:tc>
          <w:tcPr>
            <w:tcW w:w="907" w:type="pct"/>
            <w:vMerge/>
            <w:vAlign w:val="center"/>
          </w:tcPr>
          <w:p w:rsidR="00EE4502" w:rsidRDefault="00EE4502">
            <w:pPr>
              <w:spacing w:line="0" w:lineRule="atLeast"/>
              <w:jc w:val="center"/>
              <w:rPr>
                <w:szCs w:val="21"/>
              </w:rPr>
            </w:pPr>
          </w:p>
        </w:tc>
        <w:tc>
          <w:tcPr>
            <w:tcW w:w="808" w:type="pct"/>
            <w:vMerge/>
            <w:vAlign w:val="center"/>
          </w:tcPr>
          <w:p w:rsidR="00EE4502" w:rsidRDefault="00EE4502">
            <w:pPr>
              <w:spacing w:line="0" w:lineRule="atLeast"/>
              <w:jc w:val="center"/>
              <w:rPr>
                <w:szCs w:val="21"/>
              </w:rPr>
            </w:pPr>
          </w:p>
        </w:tc>
        <w:tc>
          <w:tcPr>
            <w:tcW w:w="804" w:type="pct"/>
            <w:vMerge/>
            <w:vAlign w:val="center"/>
          </w:tcPr>
          <w:p w:rsidR="00EE4502" w:rsidRDefault="00EE4502">
            <w:pPr>
              <w:spacing w:line="0" w:lineRule="atLeast"/>
              <w:jc w:val="center"/>
              <w:rPr>
                <w:szCs w:val="21"/>
              </w:rPr>
            </w:pPr>
          </w:p>
        </w:tc>
      </w:tr>
      <w:tr w:rsidR="00EE4502">
        <w:trPr>
          <w:trHeight w:val="397"/>
          <w:jc w:val="center"/>
        </w:trPr>
        <w:tc>
          <w:tcPr>
            <w:tcW w:w="364" w:type="pct"/>
            <w:vAlign w:val="center"/>
          </w:tcPr>
          <w:p w:rsidR="00EE4502" w:rsidRDefault="00FD45A3">
            <w:pPr>
              <w:spacing w:line="0" w:lineRule="atLeast"/>
              <w:jc w:val="center"/>
              <w:rPr>
                <w:szCs w:val="21"/>
              </w:rPr>
            </w:pPr>
            <w:r>
              <w:rPr>
                <w:szCs w:val="21"/>
              </w:rPr>
              <w:t>1</w:t>
            </w:r>
          </w:p>
        </w:tc>
        <w:tc>
          <w:tcPr>
            <w:tcW w:w="535" w:type="pct"/>
            <w:vAlign w:val="center"/>
          </w:tcPr>
          <w:p w:rsidR="00EE4502" w:rsidRDefault="00FD45A3">
            <w:pPr>
              <w:adjustRightInd w:val="0"/>
              <w:spacing w:line="0" w:lineRule="atLeast"/>
              <w:jc w:val="center"/>
              <w:textAlignment w:val="baseline"/>
              <w:rPr>
                <w:szCs w:val="21"/>
              </w:rPr>
            </w:pPr>
            <w:r>
              <w:rPr>
                <w:szCs w:val="21"/>
              </w:rPr>
              <w:t>吊装机</w:t>
            </w:r>
          </w:p>
        </w:tc>
        <w:tc>
          <w:tcPr>
            <w:tcW w:w="482" w:type="pct"/>
            <w:vAlign w:val="center"/>
          </w:tcPr>
          <w:p w:rsidR="00EE4502" w:rsidRDefault="00FD45A3">
            <w:pPr>
              <w:spacing w:line="0" w:lineRule="atLeast"/>
              <w:jc w:val="center"/>
              <w:rPr>
                <w:szCs w:val="21"/>
              </w:rPr>
            </w:pPr>
            <w:r>
              <w:rPr>
                <w:bCs/>
                <w:szCs w:val="21"/>
              </w:rPr>
              <w:t>—</w:t>
            </w:r>
          </w:p>
        </w:tc>
        <w:tc>
          <w:tcPr>
            <w:tcW w:w="364" w:type="pct"/>
            <w:vAlign w:val="center"/>
          </w:tcPr>
          <w:p w:rsidR="00EE4502" w:rsidRDefault="00FD45A3">
            <w:pPr>
              <w:spacing w:line="0" w:lineRule="atLeast"/>
              <w:jc w:val="center"/>
              <w:rPr>
                <w:szCs w:val="21"/>
              </w:rPr>
            </w:pPr>
            <w:r>
              <w:rPr>
                <w:szCs w:val="21"/>
              </w:rPr>
              <w:t>60</w:t>
            </w:r>
          </w:p>
        </w:tc>
        <w:tc>
          <w:tcPr>
            <w:tcW w:w="364" w:type="pct"/>
            <w:vAlign w:val="center"/>
          </w:tcPr>
          <w:p w:rsidR="00EE4502" w:rsidRDefault="00FD45A3">
            <w:pPr>
              <w:spacing w:line="0" w:lineRule="atLeast"/>
              <w:jc w:val="center"/>
              <w:rPr>
                <w:szCs w:val="21"/>
              </w:rPr>
            </w:pPr>
            <w:r>
              <w:rPr>
                <w:szCs w:val="21"/>
              </w:rPr>
              <w:t>40</w:t>
            </w:r>
          </w:p>
        </w:tc>
        <w:tc>
          <w:tcPr>
            <w:tcW w:w="369" w:type="pct"/>
            <w:vAlign w:val="center"/>
          </w:tcPr>
          <w:p w:rsidR="00EE4502" w:rsidRDefault="00FD45A3">
            <w:pPr>
              <w:spacing w:line="0" w:lineRule="atLeast"/>
              <w:jc w:val="center"/>
              <w:rPr>
                <w:szCs w:val="21"/>
              </w:rPr>
            </w:pPr>
            <w:r>
              <w:rPr>
                <w:szCs w:val="21"/>
              </w:rPr>
              <w:t>1.5</w:t>
            </w:r>
          </w:p>
        </w:tc>
        <w:tc>
          <w:tcPr>
            <w:tcW w:w="907" w:type="pct"/>
            <w:vAlign w:val="center"/>
          </w:tcPr>
          <w:p w:rsidR="00EE4502" w:rsidRDefault="00FD45A3">
            <w:pPr>
              <w:adjustRightInd w:val="0"/>
              <w:spacing w:line="0" w:lineRule="atLeast"/>
              <w:jc w:val="center"/>
              <w:textAlignment w:val="baseline"/>
              <w:rPr>
                <w:szCs w:val="21"/>
              </w:rPr>
            </w:pPr>
            <w:r>
              <w:rPr>
                <w:szCs w:val="21"/>
              </w:rPr>
              <w:t>88</w:t>
            </w:r>
          </w:p>
        </w:tc>
        <w:tc>
          <w:tcPr>
            <w:tcW w:w="808" w:type="pct"/>
            <w:vAlign w:val="center"/>
          </w:tcPr>
          <w:p w:rsidR="00EE4502" w:rsidRDefault="00FD45A3">
            <w:pPr>
              <w:spacing w:line="0" w:lineRule="atLeast"/>
              <w:jc w:val="center"/>
              <w:rPr>
                <w:szCs w:val="21"/>
              </w:rPr>
            </w:pPr>
            <w:r>
              <w:rPr>
                <w:szCs w:val="21"/>
              </w:rPr>
              <w:t>基础减振</w:t>
            </w:r>
          </w:p>
        </w:tc>
        <w:tc>
          <w:tcPr>
            <w:tcW w:w="804" w:type="pct"/>
            <w:vAlign w:val="center"/>
          </w:tcPr>
          <w:p w:rsidR="00EE4502" w:rsidRDefault="00FD45A3">
            <w:pPr>
              <w:spacing w:line="0" w:lineRule="atLeast"/>
              <w:jc w:val="center"/>
              <w:rPr>
                <w:szCs w:val="21"/>
              </w:rPr>
            </w:pPr>
            <w:r>
              <w:rPr>
                <w:szCs w:val="21"/>
              </w:rPr>
              <w:t>昼间</w:t>
            </w:r>
            <w:r>
              <w:rPr>
                <w:szCs w:val="21"/>
              </w:rPr>
              <w:t>/</w:t>
            </w:r>
            <w:r>
              <w:rPr>
                <w:szCs w:val="21"/>
              </w:rPr>
              <w:t>夜间</w:t>
            </w:r>
          </w:p>
        </w:tc>
      </w:tr>
    </w:tbl>
    <w:p w:rsidR="00EE4502" w:rsidRDefault="00EE4502">
      <w:pPr>
        <w:jc w:val="center"/>
      </w:pPr>
    </w:p>
    <w:p w:rsidR="00EE4502" w:rsidRDefault="00FD45A3">
      <w:pPr>
        <w:spacing w:line="360" w:lineRule="auto"/>
        <w:ind w:firstLine="482"/>
        <w:rPr>
          <w:sz w:val="24"/>
        </w:rPr>
      </w:pPr>
      <w:r>
        <w:rPr>
          <w:rFonts w:hint="eastAsia"/>
          <w:sz w:val="24"/>
        </w:rPr>
        <w:t>（</w:t>
      </w:r>
      <w:r>
        <w:rPr>
          <w:rFonts w:hint="eastAsia"/>
          <w:sz w:val="24"/>
        </w:rPr>
        <w:t>1</w:t>
      </w:r>
      <w:r>
        <w:rPr>
          <w:rFonts w:hint="eastAsia"/>
          <w:sz w:val="24"/>
        </w:rPr>
        <w:t>）选用低噪声机械和车辆。</w:t>
      </w:r>
    </w:p>
    <w:p w:rsidR="00EE4502" w:rsidRDefault="00FD45A3">
      <w:pPr>
        <w:spacing w:line="360" w:lineRule="auto"/>
        <w:ind w:firstLine="482"/>
        <w:rPr>
          <w:sz w:val="24"/>
        </w:rPr>
      </w:pPr>
      <w:r>
        <w:rPr>
          <w:rFonts w:hint="eastAsia"/>
          <w:sz w:val="24"/>
        </w:rPr>
        <w:t>（</w:t>
      </w:r>
      <w:r>
        <w:rPr>
          <w:rFonts w:hint="eastAsia"/>
          <w:sz w:val="24"/>
        </w:rPr>
        <w:t>2</w:t>
      </w:r>
      <w:r>
        <w:rPr>
          <w:rFonts w:hint="eastAsia"/>
          <w:sz w:val="24"/>
        </w:rPr>
        <w:t>）加强设备检查维修，保证其正常运行。</w:t>
      </w:r>
    </w:p>
    <w:p w:rsidR="00EE4502" w:rsidRDefault="00FD45A3">
      <w:pPr>
        <w:spacing w:line="360" w:lineRule="auto"/>
        <w:ind w:firstLine="482"/>
        <w:rPr>
          <w:sz w:val="24"/>
        </w:rPr>
      </w:pPr>
      <w:r>
        <w:rPr>
          <w:rFonts w:hint="eastAsia"/>
          <w:sz w:val="24"/>
        </w:rPr>
        <w:t>（</w:t>
      </w:r>
      <w:r>
        <w:rPr>
          <w:rFonts w:hint="eastAsia"/>
          <w:sz w:val="24"/>
        </w:rPr>
        <w:t>3</w:t>
      </w:r>
      <w:r>
        <w:rPr>
          <w:rFonts w:hint="eastAsia"/>
          <w:sz w:val="24"/>
        </w:rPr>
        <w:t>）加强运输车辆管理，合理规划运输路线，禁止运输车辆随意高声鸣笛。</w:t>
      </w:r>
    </w:p>
    <w:p w:rsidR="00EE4502" w:rsidRDefault="00FD45A3">
      <w:pPr>
        <w:pStyle w:val="41"/>
        <w:numPr>
          <w:ilvl w:val="0"/>
          <w:numId w:val="36"/>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hint="eastAsia"/>
          <w:bCs w:val="0"/>
          <w:sz w:val="24"/>
          <w:szCs w:val="24"/>
        </w:rPr>
        <w:t>退役期固体废物污染源分析</w:t>
      </w:r>
    </w:p>
    <w:p w:rsidR="00EE4502" w:rsidRDefault="00FD45A3">
      <w:pPr>
        <w:spacing w:line="360" w:lineRule="auto"/>
        <w:ind w:firstLine="482"/>
        <w:rPr>
          <w:sz w:val="24"/>
        </w:rPr>
      </w:pPr>
      <w:r>
        <w:rPr>
          <w:rFonts w:hint="eastAsia"/>
          <w:sz w:val="24"/>
        </w:rPr>
        <w:t>（</w:t>
      </w:r>
      <w:r>
        <w:rPr>
          <w:rFonts w:hint="eastAsia"/>
          <w:sz w:val="24"/>
        </w:rPr>
        <w:t>1</w:t>
      </w:r>
      <w:r>
        <w:rPr>
          <w:rFonts w:hint="eastAsia"/>
          <w:sz w:val="24"/>
        </w:rPr>
        <w:t>）地面设施拆除、井场清理等工作中会产生废弃建筑残渣，应集中清理收集，收集后送至周边固废填埋场填埋处置。落地油收集后统一交由有资质的单位处置处理，清理干净的管线两端使用盲板封堵。</w:t>
      </w:r>
    </w:p>
    <w:p w:rsidR="00EE4502" w:rsidRDefault="00FD45A3">
      <w:pPr>
        <w:spacing w:line="360" w:lineRule="auto"/>
        <w:ind w:firstLine="482"/>
        <w:rPr>
          <w:sz w:val="24"/>
        </w:rPr>
      </w:pPr>
      <w:r>
        <w:rPr>
          <w:rFonts w:hint="eastAsia"/>
          <w:sz w:val="24"/>
        </w:rPr>
        <w:t>（</w:t>
      </w:r>
      <w:r>
        <w:rPr>
          <w:rFonts w:hint="eastAsia"/>
          <w:sz w:val="24"/>
        </w:rPr>
        <w:t>2</w:t>
      </w:r>
      <w:r>
        <w:rPr>
          <w:rFonts w:hint="eastAsia"/>
          <w:sz w:val="24"/>
        </w:rPr>
        <w:t>）对完成采油的废弃井应封堵，拆除井口装置，地下截去一定深度的表层套管，最后清理场地，清除各种固体废弃物，自然植被区域自然恢复。</w:t>
      </w:r>
    </w:p>
    <w:p w:rsidR="00EE4502" w:rsidRDefault="00FD45A3">
      <w:pPr>
        <w:pStyle w:val="41"/>
        <w:numPr>
          <w:ilvl w:val="0"/>
          <w:numId w:val="36"/>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hint="eastAsia"/>
          <w:bCs w:val="0"/>
          <w:sz w:val="24"/>
          <w:szCs w:val="24"/>
        </w:rPr>
        <w:lastRenderedPageBreak/>
        <w:t>退役期生态环境影响因素分析及恢复措施</w:t>
      </w:r>
    </w:p>
    <w:p w:rsidR="00EE4502" w:rsidRDefault="00FD45A3">
      <w:pPr>
        <w:spacing w:line="360" w:lineRule="auto"/>
        <w:ind w:firstLine="482"/>
        <w:rPr>
          <w:sz w:val="24"/>
        </w:rPr>
      </w:pPr>
      <w:r>
        <w:rPr>
          <w:sz w:val="24"/>
        </w:rPr>
        <w:t>油田单井到开采后期油气储量逐渐下降，最终井区进入退役期。后期按照要求对井口进行封堵，并对井场生态恢复至原貌。采取的生态恢复措施如下：</w:t>
      </w:r>
    </w:p>
    <w:p w:rsidR="00EE4502" w:rsidRDefault="00FD45A3">
      <w:pPr>
        <w:spacing w:line="360" w:lineRule="auto"/>
        <w:ind w:firstLine="482"/>
        <w:rPr>
          <w:sz w:val="24"/>
        </w:rPr>
      </w:pPr>
      <w:r>
        <w:rPr>
          <w:sz w:val="24"/>
        </w:rPr>
        <w:t>（</w:t>
      </w:r>
      <w:r>
        <w:rPr>
          <w:sz w:val="24"/>
        </w:rPr>
        <w:t>1</w:t>
      </w:r>
      <w:r>
        <w:rPr>
          <w:sz w:val="24"/>
        </w:rPr>
        <w:t>）施工期间，施工车辆临时停放尽可能利用现有空地，埋地管线冲洗后两端封堵，不再挖出，避免对生态环境的二次破坏。</w:t>
      </w:r>
    </w:p>
    <w:p w:rsidR="00EE4502" w:rsidRDefault="00FD45A3">
      <w:pPr>
        <w:spacing w:line="360" w:lineRule="auto"/>
        <w:ind w:firstLine="482"/>
        <w:rPr>
          <w:sz w:val="24"/>
        </w:rPr>
      </w:pPr>
      <w:r>
        <w:rPr>
          <w:sz w:val="24"/>
        </w:rPr>
        <w:t>（</w:t>
      </w:r>
      <w:r>
        <w:rPr>
          <w:sz w:val="24"/>
        </w:rPr>
        <w:t>2</w:t>
      </w:r>
      <w:r>
        <w:rPr>
          <w:sz w:val="24"/>
        </w:rPr>
        <w:t>）闭井后拆除井架、井台，并对井场土地进行平整，清除地面上残留的污染物等。</w:t>
      </w:r>
    </w:p>
    <w:p w:rsidR="00EE4502" w:rsidRDefault="00FD45A3">
      <w:pPr>
        <w:spacing w:line="360" w:lineRule="auto"/>
        <w:ind w:firstLine="482"/>
        <w:rPr>
          <w:sz w:val="24"/>
        </w:rPr>
      </w:pPr>
      <w:r>
        <w:rPr>
          <w:sz w:val="24"/>
        </w:rPr>
        <w:t>（</w:t>
      </w:r>
      <w:r>
        <w:rPr>
          <w:sz w:val="24"/>
        </w:rPr>
        <w:t>3</w:t>
      </w:r>
      <w:r>
        <w:rPr>
          <w:sz w:val="24"/>
        </w:rPr>
        <w:t>）在退役期施工过程中，严禁随意踩踏破坏植被；不得惊扰、伤害野生动物。加强对《中华人民共和国野生动物保护法》及《中华人民共和国野生植物保护条例》的普及、教育工作，强化保护野生动植物的观念，理解保护野生动植物的重要意义。</w:t>
      </w:r>
    </w:p>
    <w:p w:rsidR="00EE4502" w:rsidRDefault="00FD45A3">
      <w:pPr>
        <w:spacing w:line="360" w:lineRule="auto"/>
        <w:ind w:firstLine="482"/>
        <w:rPr>
          <w:sz w:val="24"/>
        </w:rPr>
      </w:pPr>
      <w:r>
        <w:rPr>
          <w:sz w:val="24"/>
        </w:rPr>
        <w:t>（</w:t>
      </w:r>
      <w:r>
        <w:rPr>
          <w:sz w:val="24"/>
        </w:rPr>
        <w:t>4</w:t>
      </w:r>
      <w:r>
        <w:rPr>
          <w:sz w:val="24"/>
        </w:rPr>
        <w:t>）各种机动车辆固定线路，禁止随意开路。</w:t>
      </w:r>
    </w:p>
    <w:p w:rsidR="00EE4502" w:rsidRDefault="00FD45A3">
      <w:pPr>
        <w:spacing w:line="360" w:lineRule="auto"/>
        <w:ind w:firstLine="482"/>
        <w:rPr>
          <w:sz w:val="24"/>
        </w:rPr>
      </w:pPr>
      <w:r>
        <w:rPr>
          <w:sz w:val="24"/>
        </w:rPr>
        <w:t>（</w:t>
      </w:r>
      <w:r>
        <w:rPr>
          <w:sz w:val="24"/>
        </w:rPr>
        <w:t>5</w:t>
      </w:r>
      <w:r>
        <w:rPr>
          <w:sz w:val="24"/>
        </w:rPr>
        <w:t>）井场水泥平台和砂砾石路面维持现状，避免因拆除作业对区域表层土的扰动，引起土地沙化。</w:t>
      </w:r>
    </w:p>
    <w:p w:rsidR="00EE4502" w:rsidRDefault="00FD45A3">
      <w:pPr>
        <w:pStyle w:val="33"/>
        <w:numPr>
          <w:ilvl w:val="2"/>
          <w:numId w:val="30"/>
        </w:numPr>
        <w:spacing w:line="360" w:lineRule="auto"/>
        <w:ind w:left="0" w:firstLine="0"/>
        <w:rPr>
          <w:spacing w:val="0"/>
          <w:sz w:val="24"/>
          <w:szCs w:val="24"/>
        </w:rPr>
      </w:pPr>
      <w:r>
        <w:rPr>
          <w:rFonts w:hint="eastAsia"/>
          <w:spacing w:val="0"/>
          <w:sz w:val="24"/>
          <w:szCs w:val="24"/>
        </w:rPr>
        <w:t>非正常工况</w:t>
      </w:r>
    </w:p>
    <w:p w:rsidR="00EE4502" w:rsidRDefault="00FD45A3">
      <w:pPr>
        <w:spacing w:line="360" w:lineRule="auto"/>
        <w:ind w:firstLine="482"/>
        <w:rPr>
          <w:sz w:val="24"/>
        </w:rPr>
      </w:pPr>
      <w:r>
        <w:rPr>
          <w:rFonts w:hint="eastAsia"/>
          <w:sz w:val="24"/>
        </w:rPr>
        <w:t>本工程为油田采掘类项目，油井一旦投入采油会一直处于运行状态，除非井下作业或者发生风险事故。建设单位具备完善的事故应急预案及风险防范措施，并定期巡线。因此，发生事故的概率较低。</w:t>
      </w:r>
    </w:p>
    <w:p w:rsidR="00EE4502" w:rsidRDefault="00FD45A3">
      <w:pPr>
        <w:spacing w:line="360" w:lineRule="auto"/>
        <w:ind w:firstLine="482"/>
        <w:rPr>
          <w:sz w:val="24"/>
        </w:rPr>
      </w:pPr>
      <w:r>
        <w:rPr>
          <w:rFonts w:hint="eastAsia"/>
          <w:sz w:val="24"/>
        </w:rPr>
        <w:t>运行过程中，项目集油管线可能由于腐蚀、老化或其他原因破损泄漏，会对周围的土壤造成一定污染。发生事故后，应及时维修，并将被污染的土壤挖出作为油泥，委托有资质的单位进行处置。</w:t>
      </w:r>
    </w:p>
    <w:p w:rsidR="00EE4502" w:rsidRDefault="00FD45A3">
      <w:pPr>
        <w:pStyle w:val="33"/>
        <w:numPr>
          <w:ilvl w:val="2"/>
          <w:numId w:val="30"/>
        </w:numPr>
        <w:spacing w:line="360" w:lineRule="auto"/>
        <w:ind w:left="0" w:firstLine="0"/>
        <w:rPr>
          <w:spacing w:val="0"/>
          <w:sz w:val="24"/>
          <w:szCs w:val="24"/>
        </w:rPr>
      </w:pPr>
      <w:r>
        <w:rPr>
          <w:rFonts w:hint="eastAsia"/>
          <w:spacing w:val="0"/>
          <w:sz w:val="24"/>
          <w:szCs w:val="24"/>
        </w:rPr>
        <w:t>清洁生产分析</w:t>
      </w:r>
    </w:p>
    <w:p w:rsidR="00EE4502" w:rsidRDefault="00FD45A3">
      <w:pPr>
        <w:pStyle w:val="41"/>
        <w:numPr>
          <w:ilvl w:val="0"/>
          <w:numId w:val="37"/>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bCs w:val="0"/>
          <w:sz w:val="24"/>
          <w:szCs w:val="24"/>
        </w:rPr>
        <w:t>清洁生产评价指标</w:t>
      </w:r>
    </w:p>
    <w:p w:rsidR="00EE4502" w:rsidRDefault="00FD45A3">
      <w:pPr>
        <w:spacing w:line="360" w:lineRule="auto"/>
        <w:ind w:firstLine="522"/>
        <w:rPr>
          <w:sz w:val="24"/>
        </w:rPr>
      </w:pPr>
      <w:r>
        <w:rPr>
          <w:sz w:val="24"/>
        </w:rPr>
        <w:t>本环评从工艺技术与装备、资源能源利用、产品、污染物产生、废物回收利用、环境管理</w:t>
      </w:r>
      <w:r>
        <w:rPr>
          <w:sz w:val="24"/>
        </w:rPr>
        <w:t>6</w:t>
      </w:r>
      <w:r>
        <w:rPr>
          <w:sz w:val="24"/>
        </w:rPr>
        <w:t>个方面对该项目清洁生产水平进行评述</w:t>
      </w:r>
      <w:r>
        <w:rPr>
          <w:rFonts w:hint="eastAsia"/>
          <w:sz w:val="24"/>
        </w:rPr>
        <w:t>。</w:t>
      </w:r>
    </w:p>
    <w:p w:rsidR="00EE4502" w:rsidRDefault="00FD45A3">
      <w:pPr>
        <w:spacing w:line="360" w:lineRule="auto"/>
        <w:ind w:firstLine="522"/>
        <w:rPr>
          <w:sz w:val="24"/>
        </w:rPr>
      </w:pPr>
      <w:r>
        <w:rPr>
          <w:rFonts w:hint="eastAsia"/>
          <w:sz w:val="24"/>
        </w:rPr>
        <w:t>（</w:t>
      </w:r>
      <w:r>
        <w:rPr>
          <w:rFonts w:hint="eastAsia"/>
          <w:sz w:val="24"/>
        </w:rPr>
        <w:t>1</w:t>
      </w:r>
      <w:r>
        <w:rPr>
          <w:rFonts w:hint="eastAsia"/>
          <w:sz w:val="24"/>
        </w:rPr>
        <w:t>）工艺技术</w:t>
      </w:r>
      <w:r>
        <w:rPr>
          <w:rFonts w:hint="eastAsia"/>
          <w:sz w:val="24"/>
        </w:rPr>
        <w:t>与装备</w:t>
      </w:r>
    </w:p>
    <w:p w:rsidR="00EE4502" w:rsidRDefault="00FD45A3">
      <w:pPr>
        <w:spacing w:line="360" w:lineRule="auto"/>
        <w:ind w:firstLine="522"/>
        <w:rPr>
          <w:sz w:val="24"/>
        </w:rPr>
      </w:pPr>
      <w:r>
        <w:rPr>
          <w:rFonts w:hint="eastAsia"/>
          <w:sz w:val="24"/>
        </w:rPr>
        <w:t>1</w:t>
      </w:r>
      <w:r>
        <w:rPr>
          <w:rFonts w:hint="eastAsia"/>
          <w:sz w:val="24"/>
        </w:rPr>
        <w:t>）钻井工艺与装备</w:t>
      </w:r>
    </w:p>
    <w:p w:rsidR="00EE4502" w:rsidRDefault="00FD45A3">
      <w:pPr>
        <w:spacing w:line="360" w:lineRule="auto"/>
        <w:ind w:firstLine="522"/>
        <w:rPr>
          <w:sz w:val="24"/>
        </w:rPr>
      </w:pPr>
      <w:r>
        <w:rPr>
          <w:rFonts w:hint="eastAsia"/>
          <w:sz w:val="24"/>
        </w:rPr>
        <w:t>①春风油田定向钻井技术已基本成熟，能力不断提高，钻井技术基本上能满足各种采油、采气方式的需要。同时形成了以下几方面的配套技术：井眼防碰及绕障井身轨迹控制技术，待钻目标预测技术、导向钻井技术、油层保护技术，</w:t>
      </w:r>
      <w:r>
        <w:rPr>
          <w:rFonts w:hint="eastAsia"/>
          <w:sz w:val="24"/>
        </w:rPr>
        <w:lastRenderedPageBreak/>
        <w:t>以适应春风油田的钻井需求，已成功完钻</w:t>
      </w:r>
      <w:r>
        <w:rPr>
          <w:rFonts w:hint="eastAsia"/>
          <w:sz w:val="24"/>
        </w:rPr>
        <w:t>5000m</w:t>
      </w:r>
      <w:r>
        <w:rPr>
          <w:rFonts w:hint="eastAsia"/>
          <w:sz w:val="24"/>
        </w:rPr>
        <w:t>以上的深定向井，并采用二层套管完井，为油田低投入、高产出生产奠定了基础。</w:t>
      </w:r>
    </w:p>
    <w:p w:rsidR="00EE4502" w:rsidRDefault="00FD45A3">
      <w:pPr>
        <w:spacing w:line="360" w:lineRule="auto"/>
        <w:ind w:firstLine="522"/>
        <w:rPr>
          <w:sz w:val="24"/>
        </w:rPr>
      </w:pPr>
      <w:r>
        <w:rPr>
          <w:rFonts w:hint="eastAsia"/>
          <w:sz w:val="24"/>
        </w:rPr>
        <w:t>②钻井过程中，选用无铬的无毒、无害、无污染或少污染的原材料和化学处理剂，井场采用“钻井废弃物不落地达标处理技术”，最大限度减少污染物排放量。</w:t>
      </w:r>
    </w:p>
    <w:p w:rsidR="00EE4502" w:rsidRDefault="00FD45A3">
      <w:pPr>
        <w:spacing w:line="360" w:lineRule="auto"/>
        <w:ind w:firstLine="522"/>
        <w:rPr>
          <w:sz w:val="24"/>
        </w:rPr>
      </w:pPr>
      <w:r>
        <w:rPr>
          <w:rFonts w:hint="eastAsia"/>
          <w:sz w:val="24"/>
        </w:rPr>
        <w:t>③完井后，井场废物</w:t>
      </w:r>
      <w:r>
        <w:rPr>
          <w:rFonts w:hint="eastAsia"/>
          <w:sz w:val="24"/>
        </w:rPr>
        <w:t>进行全部清理、回收处理，恢复原地貌，做到“工完、料尽、场地清”。</w:t>
      </w:r>
    </w:p>
    <w:p w:rsidR="00EE4502" w:rsidRDefault="00FD45A3">
      <w:pPr>
        <w:spacing w:line="360" w:lineRule="auto"/>
        <w:ind w:firstLine="522"/>
        <w:rPr>
          <w:sz w:val="24"/>
        </w:rPr>
      </w:pPr>
      <w:r>
        <w:rPr>
          <w:rFonts w:hint="eastAsia"/>
          <w:sz w:val="24"/>
        </w:rPr>
        <w:t>④优化水泥浆设计和注水泥浆工艺，以保证良好的水泥胶结和水层的隔离，防止固井中水泥浆的漏失，有效地防止对地下水的污染。</w:t>
      </w:r>
    </w:p>
    <w:p w:rsidR="00EE4502" w:rsidRDefault="00FD45A3">
      <w:pPr>
        <w:spacing w:line="360" w:lineRule="auto"/>
        <w:ind w:firstLine="522"/>
        <w:rPr>
          <w:sz w:val="24"/>
        </w:rPr>
      </w:pPr>
      <w:r>
        <w:rPr>
          <w:rFonts w:hint="eastAsia"/>
          <w:sz w:val="24"/>
        </w:rPr>
        <w:t>2</w:t>
      </w:r>
      <w:r>
        <w:rPr>
          <w:rFonts w:hint="eastAsia"/>
          <w:sz w:val="24"/>
        </w:rPr>
        <w:t>）采油、集输工艺技术与装备</w:t>
      </w:r>
    </w:p>
    <w:p w:rsidR="00EE4502" w:rsidRDefault="00FD45A3">
      <w:pPr>
        <w:spacing w:line="360" w:lineRule="auto"/>
        <w:ind w:firstLine="522"/>
        <w:rPr>
          <w:sz w:val="24"/>
        </w:rPr>
      </w:pPr>
      <w:r>
        <w:rPr>
          <w:rFonts w:hint="eastAsia"/>
          <w:sz w:val="24"/>
        </w:rPr>
        <w:t>①机泵均采用高效、节能的新产品，提高了电能的利用率。</w:t>
      </w:r>
    </w:p>
    <w:p w:rsidR="00EE4502" w:rsidRDefault="00FD45A3">
      <w:pPr>
        <w:spacing w:line="360" w:lineRule="auto"/>
        <w:ind w:firstLine="522"/>
        <w:rPr>
          <w:sz w:val="24"/>
        </w:rPr>
      </w:pPr>
      <w:r>
        <w:rPr>
          <w:rFonts w:hint="eastAsia"/>
          <w:sz w:val="24"/>
        </w:rPr>
        <w:t>②对输送或储存热介质的管线和设备保温，减少了热能损失。</w:t>
      </w:r>
    </w:p>
    <w:p w:rsidR="00EE4502" w:rsidRDefault="00FD45A3">
      <w:pPr>
        <w:spacing w:line="360" w:lineRule="auto"/>
        <w:ind w:firstLine="522"/>
        <w:rPr>
          <w:sz w:val="24"/>
        </w:rPr>
      </w:pPr>
      <w:r>
        <w:rPr>
          <w:rFonts w:hint="eastAsia"/>
          <w:sz w:val="24"/>
        </w:rPr>
        <w:t>③采用先进可靠的自动控制系统技术，提高生产运行参数的准确性。</w:t>
      </w:r>
    </w:p>
    <w:p w:rsidR="00EE4502" w:rsidRDefault="00FD45A3">
      <w:pPr>
        <w:spacing w:line="360" w:lineRule="auto"/>
        <w:ind w:firstLine="522"/>
        <w:rPr>
          <w:sz w:val="24"/>
        </w:rPr>
      </w:pPr>
      <w:r>
        <w:rPr>
          <w:rFonts w:hint="eastAsia"/>
          <w:sz w:val="24"/>
        </w:rPr>
        <w:t>④工艺过程为全密闭式，除无组织排放外，各区块基本没有大气污染物排放。</w:t>
      </w:r>
    </w:p>
    <w:p w:rsidR="00EE4502" w:rsidRDefault="00FD45A3">
      <w:pPr>
        <w:spacing w:line="360" w:lineRule="auto"/>
        <w:ind w:firstLine="522"/>
        <w:rPr>
          <w:sz w:val="24"/>
        </w:rPr>
      </w:pPr>
      <w:r>
        <w:rPr>
          <w:rFonts w:hint="eastAsia"/>
          <w:sz w:val="24"/>
        </w:rPr>
        <w:t>⑤采用高效节能设备、材料和密封性好的阀门，采气管道采用内</w:t>
      </w:r>
      <w:r>
        <w:rPr>
          <w:rFonts w:hint="eastAsia"/>
          <w:sz w:val="24"/>
        </w:rPr>
        <w:t>防腐层和阴极保护技术，提高设备利用率和安全性。</w:t>
      </w:r>
    </w:p>
    <w:p w:rsidR="00EE4502" w:rsidRDefault="00FD45A3">
      <w:pPr>
        <w:spacing w:line="360" w:lineRule="auto"/>
        <w:ind w:firstLine="522"/>
        <w:rPr>
          <w:sz w:val="24"/>
        </w:rPr>
      </w:pPr>
      <w:r>
        <w:rPr>
          <w:rFonts w:hint="eastAsia"/>
          <w:sz w:val="24"/>
        </w:rPr>
        <w:t>⑥采用已在国内油田得到广泛应用的</w:t>
      </w:r>
      <w:r>
        <w:rPr>
          <w:rFonts w:hint="eastAsia"/>
          <w:sz w:val="24"/>
        </w:rPr>
        <w:t>SCADA</w:t>
      </w:r>
      <w:r>
        <w:rPr>
          <w:rFonts w:hint="eastAsia"/>
          <w:sz w:val="24"/>
        </w:rPr>
        <w:t>监控与数据采集系统，完成春风油田石炭系排</w:t>
      </w:r>
      <w:r>
        <w:rPr>
          <w:rFonts w:hint="eastAsia"/>
          <w:sz w:val="24"/>
        </w:rPr>
        <w:t>61</w:t>
      </w:r>
      <w:r>
        <w:rPr>
          <w:rFonts w:hint="eastAsia"/>
          <w:sz w:val="24"/>
        </w:rPr>
        <w:t>块产能建设工程整个作业区生产数据采集、管理、分析处理等工作。</w:t>
      </w:r>
    </w:p>
    <w:p w:rsidR="00EE4502" w:rsidRDefault="00FD45A3">
      <w:pPr>
        <w:spacing w:line="360" w:lineRule="auto"/>
        <w:ind w:firstLine="522"/>
        <w:rPr>
          <w:sz w:val="24"/>
        </w:rPr>
      </w:pPr>
      <w:r>
        <w:rPr>
          <w:rFonts w:hint="eastAsia"/>
          <w:sz w:val="24"/>
        </w:rPr>
        <w:t>⑦计量站控制系统采用远程终端测控单元（</w:t>
      </w:r>
      <w:r>
        <w:rPr>
          <w:rFonts w:hint="eastAsia"/>
          <w:sz w:val="24"/>
        </w:rPr>
        <w:t>RTU</w:t>
      </w:r>
      <w:r>
        <w:rPr>
          <w:rFonts w:hint="eastAsia"/>
          <w:sz w:val="24"/>
        </w:rPr>
        <w:t>）；计量转油站控制系统采用可编程控制器（</w:t>
      </w:r>
      <w:r>
        <w:rPr>
          <w:rFonts w:hint="eastAsia"/>
          <w:sz w:val="24"/>
        </w:rPr>
        <w:t>PLC</w:t>
      </w:r>
      <w:r>
        <w:rPr>
          <w:rFonts w:hint="eastAsia"/>
          <w:sz w:val="24"/>
        </w:rPr>
        <w:t>）；集中处理站控制系统采用分散控制系统（</w:t>
      </w:r>
      <w:r>
        <w:rPr>
          <w:rFonts w:hint="eastAsia"/>
          <w:sz w:val="24"/>
        </w:rPr>
        <w:t>DCS</w:t>
      </w:r>
      <w:r>
        <w:rPr>
          <w:rFonts w:hint="eastAsia"/>
          <w:sz w:val="24"/>
        </w:rPr>
        <w:t>）。作业区信息中心完成油田生产数据采集、数据管理、数据分析处理等工作。</w:t>
      </w:r>
    </w:p>
    <w:p w:rsidR="00EE4502" w:rsidRDefault="00FD45A3">
      <w:pPr>
        <w:spacing w:line="360" w:lineRule="auto"/>
        <w:ind w:firstLine="522"/>
        <w:rPr>
          <w:sz w:val="24"/>
        </w:rPr>
      </w:pPr>
      <w:r>
        <w:rPr>
          <w:rFonts w:hint="eastAsia"/>
          <w:sz w:val="24"/>
        </w:rPr>
        <w:t>3</w:t>
      </w:r>
      <w:r>
        <w:rPr>
          <w:rFonts w:hint="eastAsia"/>
          <w:sz w:val="24"/>
        </w:rPr>
        <w:t>）泥浆不落地系统</w:t>
      </w:r>
    </w:p>
    <w:p w:rsidR="00EE4502" w:rsidRDefault="00FD45A3">
      <w:pPr>
        <w:spacing w:line="360" w:lineRule="auto"/>
        <w:ind w:firstLine="522"/>
        <w:rPr>
          <w:sz w:val="24"/>
        </w:rPr>
      </w:pPr>
      <w:r>
        <w:rPr>
          <w:rFonts w:hint="eastAsia"/>
          <w:sz w:val="24"/>
        </w:rPr>
        <w:t>由于钻井开挖大循环池存放钻井液及岩屑的形式会造成土壤及地下水污染，破坏生态环境，本工程施工期产生的岩屑及钻井泥浆全部进行不落地处理，使施工期固体废物实现回用及妥善处理，不外排。钻井泥浆和岩屑进入不落地系统中处理并实现固液分离，分离后的固相（岩屑）进入岩屑铁池，由克拉玛依前山石油工程服务有限公司运至公司建设的废弃钻井泥浆处理项目场区处置，经废弃钻井泥浆无害化处理设施处理后，将固相物质制成泥饼。泥饼存放于临时储存场地，</w:t>
      </w:r>
      <w:r>
        <w:rPr>
          <w:rFonts w:hint="eastAsia"/>
          <w:sz w:val="24"/>
        </w:rPr>
        <w:lastRenderedPageBreak/>
        <w:t>临时储存场地建有围挡及防渗处理，分离后的固相由泥浆不落地单位按《油气田钻井固体废物综合利用污染</w:t>
      </w:r>
      <w:r>
        <w:rPr>
          <w:rFonts w:hint="eastAsia"/>
          <w:sz w:val="24"/>
        </w:rPr>
        <w:t>控制要求》（</w:t>
      </w:r>
      <w:r>
        <w:rPr>
          <w:rFonts w:hint="eastAsia"/>
          <w:sz w:val="24"/>
        </w:rPr>
        <w:t>DB65/T3997-2017</w:t>
      </w:r>
      <w:r>
        <w:rPr>
          <w:rFonts w:hint="eastAsia"/>
          <w:sz w:val="24"/>
        </w:rPr>
        <w:t>）及环评批复要求进行综合利用。</w:t>
      </w:r>
    </w:p>
    <w:p w:rsidR="00EE4502" w:rsidRDefault="00FD45A3">
      <w:pPr>
        <w:spacing w:line="360" w:lineRule="auto"/>
        <w:ind w:firstLine="522"/>
        <w:rPr>
          <w:sz w:val="24"/>
        </w:rPr>
      </w:pPr>
      <w:r>
        <w:rPr>
          <w:rFonts w:hint="eastAsia"/>
          <w:sz w:val="24"/>
        </w:rPr>
        <w:t>泥浆不落地系统工艺原理：</w:t>
      </w:r>
    </w:p>
    <w:p w:rsidR="00EE4502" w:rsidRDefault="00FD45A3">
      <w:pPr>
        <w:spacing w:line="360" w:lineRule="auto"/>
        <w:ind w:firstLine="522"/>
        <w:rPr>
          <w:sz w:val="24"/>
        </w:rPr>
      </w:pPr>
      <w:r>
        <w:rPr>
          <w:rFonts w:hint="eastAsia"/>
          <w:sz w:val="24"/>
        </w:rPr>
        <w:t>不落地系统由振动筛、除砂器、除泥器、离心机等设备组成，钻井液及岩屑进入不落地系统后，经以下步骤进行处理：</w:t>
      </w:r>
    </w:p>
    <w:p w:rsidR="00EE4502" w:rsidRDefault="00FD45A3">
      <w:pPr>
        <w:spacing w:line="360" w:lineRule="auto"/>
        <w:ind w:firstLine="522"/>
        <w:rPr>
          <w:sz w:val="24"/>
        </w:rPr>
      </w:pPr>
      <w:r>
        <w:rPr>
          <w:rFonts w:hint="eastAsia"/>
          <w:sz w:val="24"/>
        </w:rPr>
        <w:t>①钻井液、岩屑经振动筛、除砂器、离心机多级分离后，实现初步分离，分离后的固相进入岩屑铁池，钻井现场配备两个接收岩屑的岩屑铁池，每个铁池容积约</w:t>
      </w:r>
      <w:r>
        <w:rPr>
          <w:rFonts w:hint="eastAsia"/>
          <w:sz w:val="24"/>
        </w:rPr>
        <w:t>40m</w:t>
      </w:r>
      <w:r>
        <w:rPr>
          <w:rFonts w:hint="eastAsia"/>
          <w:sz w:val="24"/>
        </w:rPr>
        <w:t>³。</w:t>
      </w:r>
    </w:p>
    <w:p w:rsidR="00EE4502" w:rsidRDefault="00FD45A3">
      <w:pPr>
        <w:spacing w:line="360" w:lineRule="auto"/>
        <w:ind w:firstLine="522"/>
        <w:rPr>
          <w:sz w:val="24"/>
        </w:rPr>
      </w:pPr>
      <w:r>
        <w:rPr>
          <w:rFonts w:hint="eastAsia"/>
          <w:sz w:val="24"/>
        </w:rPr>
        <w:t>②分离出的泥浆重新进入泥浆系统循环使用。</w:t>
      </w:r>
    </w:p>
    <w:p w:rsidR="00EE4502" w:rsidRDefault="00FD45A3">
      <w:pPr>
        <w:spacing w:line="360" w:lineRule="auto"/>
        <w:ind w:firstLine="522"/>
        <w:rPr>
          <w:sz w:val="24"/>
        </w:rPr>
      </w:pPr>
      <w:r>
        <w:rPr>
          <w:rFonts w:hint="eastAsia"/>
          <w:sz w:val="24"/>
        </w:rPr>
        <w:t>泥浆不落地工艺流程见图</w:t>
      </w:r>
      <w:r>
        <w:rPr>
          <w:rFonts w:hint="eastAsia"/>
          <w:sz w:val="24"/>
        </w:rPr>
        <w:t>3-4-6</w:t>
      </w:r>
      <w:r>
        <w:rPr>
          <w:rFonts w:hint="eastAsia"/>
          <w:sz w:val="24"/>
        </w:rPr>
        <w:t>。</w:t>
      </w:r>
    </w:p>
    <w:p w:rsidR="00EE4502" w:rsidRDefault="00EE4502">
      <w:pPr>
        <w:spacing w:line="360" w:lineRule="auto"/>
        <w:jc w:val="center"/>
        <w:rPr>
          <w:sz w:val="24"/>
        </w:rPr>
      </w:pPr>
    </w:p>
    <w:p w:rsidR="00EE4502" w:rsidRDefault="00FD45A3">
      <w:pPr>
        <w:spacing w:line="360" w:lineRule="auto"/>
        <w:jc w:val="center"/>
        <w:rPr>
          <w:szCs w:val="21"/>
        </w:rPr>
      </w:pPr>
      <w:r>
        <w:rPr>
          <w:rFonts w:eastAsia="黑体" w:hAnsi="黑体" w:hint="eastAsia"/>
          <w:bCs/>
          <w:szCs w:val="21"/>
        </w:rPr>
        <w:t>图</w:t>
      </w:r>
      <w:r>
        <w:rPr>
          <w:rFonts w:eastAsia="黑体" w:hAnsi="黑体" w:hint="eastAsia"/>
          <w:bCs/>
          <w:szCs w:val="21"/>
        </w:rPr>
        <w:t>3</w:t>
      </w:r>
      <w:r>
        <w:rPr>
          <w:rFonts w:eastAsia="黑体" w:hAnsi="黑体"/>
          <w:bCs/>
          <w:szCs w:val="21"/>
        </w:rPr>
        <w:t>-</w:t>
      </w:r>
      <w:r>
        <w:rPr>
          <w:rFonts w:eastAsia="黑体" w:hAnsi="黑体" w:hint="eastAsia"/>
          <w:bCs/>
          <w:szCs w:val="21"/>
        </w:rPr>
        <w:t>4</w:t>
      </w:r>
      <w:r>
        <w:rPr>
          <w:rFonts w:eastAsia="黑体" w:hAnsi="黑体" w:hint="eastAsia"/>
          <w:bCs/>
          <w:szCs w:val="21"/>
        </w:rPr>
        <w:t>-</w:t>
      </w:r>
      <w:r>
        <w:rPr>
          <w:rFonts w:eastAsia="黑体" w:hAnsi="黑体" w:hint="eastAsia"/>
          <w:bCs/>
          <w:szCs w:val="21"/>
        </w:rPr>
        <w:t>6</w:t>
      </w:r>
      <w:r>
        <w:rPr>
          <w:rFonts w:eastAsia="黑体" w:hAnsi="黑体" w:hint="eastAsia"/>
          <w:bCs/>
          <w:szCs w:val="21"/>
        </w:rPr>
        <w:t xml:space="preserve">   </w:t>
      </w:r>
      <w:r>
        <w:rPr>
          <w:rFonts w:eastAsia="黑体" w:hAnsi="黑体" w:hint="eastAsia"/>
          <w:bCs/>
          <w:szCs w:val="21"/>
        </w:rPr>
        <w:t>泥浆不落地工艺流程图</w:t>
      </w:r>
    </w:p>
    <w:p w:rsidR="00EE4502" w:rsidRDefault="00FD45A3">
      <w:pPr>
        <w:spacing w:line="360" w:lineRule="auto"/>
        <w:ind w:firstLine="522"/>
        <w:rPr>
          <w:sz w:val="24"/>
        </w:rPr>
      </w:pPr>
      <w:r>
        <w:rPr>
          <w:rFonts w:hint="eastAsia"/>
          <w:sz w:val="24"/>
        </w:rPr>
        <w:t>（</w:t>
      </w:r>
      <w:r>
        <w:rPr>
          <w:rFonts w:hint="eastAsia"/>
          <w:sz w:val="24"/>
        </w:rPr>
        <w:t>2</w:t>
      </w:r>
      <w:r>
        <w:rPr>
          <w:rFonts w:hint="eastAsia"/>
          <w:sz w:val="24"/>
        </w:rPr>
        <w:t>）资源能源利用</w:t>
      </w:r>
    </w:p>
    <w:p w:rsidR="00EE4502" w:rsidRDefault="00FD45A3">
      <w:pPr>
        <w:spacing w:line="360" w:lineRule="auto"/>
        <w:ind w:firstLine="522"/>
        <w:rPr>
          <w:sz w:val="24"/>
        </w:rPr>
      </w:pPr>
      <w:r>
        <w:rPr>
          <w:rFonts w:hint="eastAsia"/>
          <w:sz w:val="24"/>
        </w:rPr>
        <w:t>本工程设计在以下几个方面采取节能措施：</w:t>
      </w:r>
    </w:p>
    <w:p w:rsidR="00EE4502" w:rsidRDefault="00FD45A3">
      <w:pPr>
        <w:spacing w:line="360" w:lineRule="auto"/>
        <w:ind w:firstLine="522"/>
        <w:rPr>
          <w:sz w:val="24"/>
        </w:rPr>
      </w:pPr>
      <w:r>
        <w:rPr>
          <w:rFonts w:hint="eastAsia"/>
          <w:sz w:val="24"/>
        </w:rPr>
        <w:t>1</w:t>
      </w:r>
      <w:r>
        <w:rPr>
          <w:rFonts w:hint="eastAsia"/>
          <w:sz w:val="24"/>
        </w:rPr>
        <w:t>）机泵均采用高效、节能的新产品，提高了电能的利用率。</w:t>
      </w:r>
    </w:p>
    <w:p w:rsidR="00EE4502" w:rsidRDefault="00FD45A3">
      <w:pPr>
        <w:spacing w:line="360" w:lineRule="auto"/>
        <w:ind w:firstLine="522"/>
        <w:rPr>
          <w:sz w:val="24"/>
        </w:rPr>
      </w:pPr>
      <w:r>
        <w:rPr>
          <w:rFonts w:hint="eastAsia"/>
          <w:sz w:val="24"/>
        </w:rPr>
        <w:t>2</w:t>
      </w:r>
      <w:r>
        <w:rPr>
          <w:rFonts w:hint="eastAsia"/>
          <w:sz w:val="24"/>
        </w:rPr>
        <w:t>）对输送或储存热介质的管线和设备保温，减少了热能损失。</w:t>
      </w:r>
    </w:p>
    <w:p w:rsidR="00EE4502" w:rsidRDefault="00FD45A3">
      <w:pPr>
        <w:spacing w:line="360" w:lineRule="auto"/>
        <w:ind w:firstLine="522"/>
        <w:rPr>
          <w:sz w:val="24"/>
        </w:rPr>
      </w:pPr>
      <w:r>
        <w:rPr>
          <w:rFonts w:hint="eastAsia"/>
          <w:sz w:val="24"/>
        </w:rPr>
        <w:t>3</w:t>
      </w:r>
      <w:r>
        <w:rPr>
          <w:rFonts w:hint="eastAsia"/>
          <w:sz w:val="24"/>
        </w:rPr>
        <w:t>）采用先进可靠的自动控制技术，提高生产运行参数的准确性。</w:t>
      </w:r>
    </w:p>
    <w:p w:rsidR="00EE4502" w:rsidRDefault="00FD45A3">
      <w:pPr>
        <w:spacing w:line="360" w:lineRule="auto"/>
        <w:ind w:firstLine="522"/>
        <w:rPr>
          <w:sz w:val="24"/>
        </w:rPr>
      </w:pPr>
      <w:r>
        <w:rPr>
          <w:rFonts w:hint="eastAsia"/>
          <w:sz w:val="24"/>
        </w:rPr>
        <w:t>4</w:t>
      </w:r>
      <w:r>
        <w:rPr>
          <w:rFonts w:hint="eastAsia"/>
          <w:sz w:val="24"/>
        </w:rPr>
        <w:t>）工艺过程为全密闭式，没有油气排出。</w:t>
      </w:r>
    </w:p>
    <w:p w:rsidR="00EE4502" w:rsidRDefault="00FD45A3">
      <w:pPr>
        <w:spacing w:line="360" w:lineRule="auto"/>
        <w:ind w:firstLine="522"/>
        <w:rPr>
          <w:sz w:val="24"/>
        </w:rPr>
      </w:pPr>
      <w:r>
        <w:rPr>
          <w:rFonts w:hint="eastAsia"/>
          <w:sz w:val="24"/>
        </w:rPr>
        <w:t>5</w:t>
      </w:r>
      <w:r>
        <w:rPr>
          <w:rFonts w:hint="eastAsia"/>
          <w:sz w:val="24"/>
        </w:rPr>
        <w:t>）选用低损耗变压器，以降低电能损失。</w:t>
      </w:r>
    </w:p>
    <w:p w:rsidR="00EE4502" w:rsidRDefault="00FD45A3">
      <w:pPr>
        <w:spacing w:line="360" w:lineRule="auto"/>
        <w:ind w:firstLine="522"/>
        <w:rPr>
          <w:sz w:val="24"/>
        </w:rPr>
      </w:pPr>
      <w:r>
        <w:rPr>
          <w:rFonts w:hint="eastAsia"/>
          <w:sz w:val="24"/>
        </w:rPr>
        <w:t>（</w:t>
      </w:r>
      <w:r>
        <w:rPr>
          <w:rFonts w:hint="eastAsia"/>
          <w:sz w:val="24"/>
        </w:rPr>
        <w:t>3</w:t>
      </w:r>
      <w:r>
        <w:rPr>
          <w:rFonts w:hint="eastAsia"/>
          <w:sz w:val="24"/>
        </w:rPr>
        <w:t>）产品指标分析</w:t>
      </w:r>
    </w:p>
    <w:p w:rsidR="00EE4502" w:rsidRDefault="00FD45A3">
      <w:pPr>
        <w:spacing w:line="360" w:lineRule="auto"/>
        <w:ind w:firstLine="522"/>
        <w:rPr>
          <w:sz w:val="24"/>
        </w:rPr>
      </w:pPr>
      <w:r>
        <w:rPr>
          <w:rFonts w:hint="eastAsia"/>
          <w:sz w:val="24"/>
        </w:rPr>
        <w:t>本工程为稠油开采，产品主要为原油，新油井平均单井产量</w:t>
      </w:r>
      <w:r>
        <w:rPr>
          <w:rFonts w:hint="eastAsia"/>
          <w:sz w:val="24"/>
        </w:rPr>
        <w:t>5.6t/d</w:t>
      </w:r>
      <w:r>
        <w:rPr>
          <w:rFonts w:hint="eastAsia"/>
          <w:sz w:val="24"/>
        </w:rPr>
        <w:t>，新建产能</w:t>
      </w:r>
      <w:r>
        <w:rPr>
          <w:rFonts w:hint="eastAsia"/>
          <w:sz w:val="24"/>
        </w:rPr>
        <w:t>3</w:t>
      </w:r>
      <w:r>
        <w:rPr>
          <w:rFonts w:hint="eastAsia"/>
          <w:sz w:val="24"/>
        </w:rPr>
        <w:t>万</w:t>
      </w:r>
      <w:r>
        <w:rPr>
          <w:rFonts w:hint="eastAsia"/>
          <w:sz w:val="24"/>
        </w:rPr>
        <w:t>t/a</w:t>
      </w:r>
      <w:r>
        <w:rPr>
          <w:rFonts w:hint="eastAsia"/>
          <w:sz w:val="24"/>
        </w:rPr>
        <w:t>，开发</w:t>
      </w:r>
      <w:r>
        <w:rPr>
          <w:rFonts w:hint="eastAsia"/>
          <w:sz w:val="24"/>
        </w:rPr>
        <w:t>10</w:t>
      </w:r>
      <w:r>
        <w:rPr>
          <w:rFonts w:hint="eastAsia"/>
          <w:sz w:val="24"/>
        </w:rPr>
        <w:t>年累计产油</w:t>
      </w:r>
      <w:r>
        <w:rPr>
          <w:rFonts w:hint="eastAsia"/>
          <w:sz w:val="24"/>
        </w:rPr>
        <w:t>16.87</w:t>
      </w:r>
      <w:r>
        <w:rPr>
          <w:rFonts w:hint="eastAsia"/>
          <w:sz w:val="24"/>
        </w:rPr>
        <w:t>万</w:t>
      </w:r>
      <w:r>
        <w:rPr>
          <w:rFonts w:hint="eastAsia"/>
          <w:sz w:val="24"/>
        </w:rPr>
        <w:t>t</w:t>
      </w:r>
      <w:r>
        <w:rPr>
          <w:rFonts w:hint="eastAsia"/>
          <w:sz w:val="24"/>
        </w:rPr>
        <w:t>，采出程度</w:t>
      </w:r>
      <w:r>
        <w:rPr>
          <w:rFonts w:hint="eastAsia"/>
          <w:sz w:val="24"/>
        </w:rPr>
        <w:t>5.2%</w:t>
      </w:r>
      <w:r>
        <w:rPr>
          <w:rFonts w:hint="eastAsia"/>
          <w:sz w:val="24"/>
        </w:rPr>
        <w:t>。</w:t>
      </w:r>
    </w:p>
    <w:p w:rsidR="00EE4502" w:rsidRDefault="00FD45A3">
      <w:pPr>
        <w:spacing w:line="360" w:lineRule="auto"/>
        <w:ind w:firstLine="522"/>
        <w:rPr>
          <w:sz w:val="24"/>
        </w:rPr>
      </w:pPr>
      <w:r>
        <w:rPr>
          <w:rFonts w:hint="eastAsia"/>
          <w:sz w:val="24"/>
        </w:rPr>
        <w:t>（</w:t>
      </w:r>
      <w:r>
        <w:rPr>
          <w:rFonts w:hint="eastAsia"/>
          <w:sz w:val="24"/>
        </w:rPr>
        <w:t>4</w:t>
      </w:r>
      <w:r>
        <w:rPr>
          <w:rFonts w:hint="eastAsia"/>
          <w:sz w:val="24"/>
        </w:rPr>
        <w:t>）污染物产生指标分析</w:t>
      </w:r>
    </w:p>
    <w:p w:rsidR="00EE4502" w:rsidRDefault="00FD45A3">
      <w:pPr>
        <w:spacing w:line="360" w:lineRule="auto"/>
        <w:ind w:firstLine="522"/>
        <w:rPr>
          <w:sz w:val="24"/>
        </w:rPr>
      </w:pPr>
      <w:r>
        <w:rPr>
          <w:rFonts w:hint="eastAsia"/>
          <w:sz w:val="24"/>
        </w:rPr>
        <w:t>1</w:t>
      </w:r>
      <w:r>
        <w:rPr>
          <w:rFonts w:hint="eastAsia"/>
          <w:sz w:val="24"/>
        </w:rPr>
        <w:t>）废水</w:t>
      </w:r>
    </w:p>
    <w:p w:rsidR="00EE4502" w:rsidRDefault="00FD45A3">
      <w:pPr>
        <w:spacing w:line="360" w:lineRule="auto"/>
        <w:ind w:firstLine="522"/>
        <w:rPr>
          <w:sz w:val="24"/>
        </w:rPr>
      </w:pPr>
      <w:r>
        <w:rPr>
          <w:rFonts w:hint="eastAsia"/>
          <w:sz w:val="24"/>
        </w:rPr>
        <w:t>钻井过程采用“钻井废弃</w:t>
      </w:r>
      <w:r>
        <w:rPr>
          <w:rFonts w:hint="eastAsia"/>
          <w:sz w:val="24"/>
        </w:rPr>
        <w:t>物不落地达标处理技术”，废弃钻井泥浆和废水带罐作业，委托有资质单位无害化处置，废水不外排。</w:t>
      </w:r>
    </w:p>
    <w:p w:rsidR="00EE4502" w:rsidRDefault="00FD45A3">
      <w:pPr>
        <w:spacing w:line="360" w:lineRule="auto"/>
        <w:ind w:firstLine="522"/>
        <w:rPr>
          <w:sz w:val="24"/>
        </w:rPr>
      </w:pPr>
      <w:r>
        <w:rPr>
          <w:rFonts w:hint="eastAsia"/>
          <w:sz w:val="24"/>
        </w:rPr>
        <w:t>油藏采出水是油田开发过程中的主要废水，本工程区块的采出液依托春风二号联合站污水处理系统处理后用于回注。</w:t>
      </w:r>
    </w:p>
    <w:p w:rsidR="00EE4502" w:rsidRDefault="00FD45A3">
      <w:pPr>
        <w:spacing w:line="360" w:lineRule="auto"/>
        <w:ind w:firstLine="522"/>
        <w:rPr>
          <w:sz w:val="24"/>
        </w:rPr>
      </w:pPr>
      <w:r>
        <w:rPr>
          <w:rFonts w:hint="eastAsia"/>
          <w:sz w:val="24"/>
        </w:rPr>
        <w:t>2</w:t>
      </w:r>
      <w:r>
        <w:rPr>
          <w:rFonts w:hint="eastAsia"/>
          <w:sz w:val="24"/>
        </w:rPr>
        <w:t>）废气</w:t>
      </w:r>
    </w:p>
    <w:p w:rsidR="00EE4502" w:rsidRDefault="00FD45A3">
      <w:pPr>
        <w:spacing w:line="360" w:lineRule="auto"/>
        <w:ind w:firstLine="522"/>
        <w:rPr>
          <w:sz w:val="24"/>
        </w:rPr>
      </w:pPr>
      <w:r>
        <w:rPr>
          <w:rFonts w:hint="eastAsia"/>
          <w:sz w:val="24"/>
        </w:rPr>
        <w:lastRenderedPageBreak/>
        <w:t>该工程采用密闭集输流程工艺方案，使烃类泄漏控制在较低的水平之内。</w:t>
      </w:r>
    </w:p>
    <w:p w:rsidR="00EE4502" w:rsidRDefault="00FD45A3">
      <w:pPr>
        <w:spacing w:line="360" w:lineRule="auto"/>
        <w:ind w:firstLine="522"/>
        <w:rPr>
          <w:sz w:val="24"/>
        </w:rPr>
      </w:pPr>
      <w:r>
        <w:rPr>
          <w:rFonts w:hint="eastAsia"/>
          <w:sz w:val="24"/>
        </w:rPr>
        <w:t>3</w:t>
      </w:r>
      <w:r>
        <w:rPr>
          <w:rFonts w:hint="eastAsia"/>
          <w:sz w:val="24"/>
        </w:rPr>
        <w:t>）固体废物</w:t>
      </w:r>
    </w:p>
    <w:p w:rsidR="00EE4502" w:rsidRDefault="00FD45A3">
      <w:pPr>
        <w:spacing w:line="360" w:lineRule="auto"/>
        <w:ind w:firstLine="522"/>
        <w:rPr>
          <w:sz w:val="24"/>
        </w:rPr>
      </w:pPr>
      <w:r>
        <w:rPr>
          <w:rFonts w:hint="eastAsia"/>
          <w:sz w:val="24"/>
        </w:rPr>
        <w:t>对开发过程中的试油、修井、洗井及其它作业，通过加强管理可防止和减少环境风险事故的发生及污染物泄漏，严格控制落地油的排放量，生产作业时带罐作业，防止产生落地油，井口排出物全部进罐，做到原油</w:t>
      </w:r>
      <w:r>
        <w:rPr>
          <w:rFonts w:hint="eastAsia"/>
          <w:sz w:val="24"/>
        </w:rPr>
        <w:t>100%</w:t>
      </w:r>
      <w:r>
        <w:rPr>
          <w:rFonts w:hint="eastAsia"/>
          <w:sz w:val="24"/>
        </w:rPr>
        <w:t>回收。落地油统一运至新疆锦恒利废矿物油处置有限公司处理，严格按照《危险废物转移管理办法》中的相关要求收集、贮存、运输。废润滑油、废防渗布主要在修井作业过程中产生。施工作业结束后，将废弃的含油防渗布集中收集，委托具有危险废物运输及处理资质的单位拉运处理，拉运过程中资质单位应使用专车、按照指定的拉运路线。</w:t>
      </w:r>
    </w:p>
    <w:p w:rsidR="00EE4502" w:rsidRDefault="00FD45A3">
      <w:pPr>
        <w:spacing w:line="360" w:lineRule="auto"/>
        <w:ind w:firstLine="522"/>
        <w:rPr>
          <w:sz w:val="24"/>
        </w:rPr>
      </w:pPr>
      <w:r>
        <w:rPr>
          <w:rFonts w:hint="eastAsia"/>
          <w:sz w:val="24"/>
        </w:rPr>
        <w:t>4</w:t>
      </w:r>
      <w:r>
        <w:rPr>
          <w:rFonts w:hint="eastAsia"/>
          <w:sz w:val="24"/>
        </w:rPr>
        <w:t>）噪声</w:t>
      </w:r>
    </w:p>
    <w:p w:rsidR="00EE4502" w:rsidRDefault="00FD45A3">
      <w:pPr>
        <w:spacing w:line="360" w:lineRule="auto"/>
        <w:ind w:firstLine="522"/>
        <w:rPr>
          <w:sz w:val="24"/>
        </w:rPr>
      </w:pPr>
      <w:r>
        <w:rPr>
          <w:rFonts w:hint="eastAsia"/>
          <w:sz w:val="24"/>
        </w:rPr>
        <w:t>除各</w:t>
      </w:r>
      <w:r>
        <w:rPr>
          <w:rFonts w:hint="eastAsia"/>
          <w:sz w:val="24"/>
        </w:rPr>
        <w:t>种钻机、柴油机、发电机采取消音措施，将噪声较大的发电机等布置在有隔声墙、吸音壁的房间内外，站场机泵选用变频调速装置，避免了无谓的电力消耗，抽油机采用永磁电机配变频调速装置，提高功率因素，减少噪声。</w:t>
      </w:r>
    </w:p>
    <w:p w:rsidR="00EE4502" w:rsidRDefault="00FD45A3">
      <w:pPr>
        <w:spacing w:line="360" w:lineRule="auto"/>
        <w:ind w:firstLine="522"/>
        <w:rPr>
          <w:sz w:val="24"/>
        </w:rPr>
      </w:pPr>
      <w:r>
        <w:rPr>
          <w:rFonts w:hint="eastAsia"/>
          <w:sz w:val="24"/>
        </w:rPr>
        <w:t>5</w:t>
      </w:r>
      <w:r>
        <w:rPr>
          <w:rFonts w:hint="eastAsia"/>
          <w:sz w:val="24"/>
        </w:rPr>
        <w:t>）生态保护及水土保持措施</w:t>
      </w:r>
    </w:p>
    <w:p w:rsidR="00EE4502" w:rsidRDefault="00FD45A3">
      <w:pPr>
        <w:spacing w:line="360" w:lineRule="auto"/>
        <w:ind w:firstLine="522"/>
        <w:rPr>
          <w:sz w:val="24"/>
        </w:rPr>
      </w:pPr>
      <w:r>
        <w:rPr>
          <w:rFonts w:hint="eastAsia"/>
          <w:sz w:val="24"/>
        </w:rPr>
        <w:t>严格遵守各项规程、规范、施工时限和范围，施工结束后立即对地表等环境景观进行恢复，使油田开发与生态环境保护协调发展。</w:t>
      </w:r>
    </w:p>
    <w:p w:rsidR="00EE4502" w:rsidRDefault="00FD45A3">
      <w:pPr>
        <w:spacing w:line="360" w:lineRule="auto"/>
        <w:ind w:firstLine="522"/>
        <w:rPr>
          <w:sz w:val="24"/>
        </w:rPr>
      </w:pPr>
      <w:r>
        <w:rPr>
          <w:rFonts w:hint="eastAsia"/>
          <w:sz w:val="24"/>
        </w:rPr>
        <w:t>通过以上技术方案及措施的运用，可有效减少生产过程中污染物的排放和对环境的影响，符合清洁生产要求。</w:t>
      </w:r>
    </w:p>
    <w:p w:rsidR="00EE4502" w:rsidRDefault="00FD45A3">
      <w:pPr>
        <w:spacing w:line="360" w:lineRule="auto"/>
        <w:ind w:firstLine="522"/>
        <w:rPr>
          <w:sz w:val="24"/>
        </w:rPr>
      </w:pPr>
      <w:r>
        <w:rPr>
          <w:rFonts w:hint="eastAsia"/>
          <w:sz w:val="24"/>
        </w:rPr>
        <w:t>（</w:t>
      </w:r>
      <w:r>
        <w:rPr>
          <w:rFonts w:hint="eastAsia"/>
          <w:sz w:val="24"/>
        </w:rPr>
        <w:t>5</w:t>
      </w:r>
      <w:r>
        <w:rPr>
          <w:rFonts w:hint="eastAsia"/>
          <w:sz w:val="24"/>
        </w:rPr>
        <w:t>）废物回收利用指标分析</w:t>
      </w:r>
    </w:p>
    <w:p w:rsidR="00EE4502" w:rsidRDefault="00FD45A3">
      <w:pPr>
        <w:spacing w:line="360" w:lineRule="auto"/>
        <w:ind w:firstLine="522"/>
        <w:rPr>
          <w:sz w:val="24"/>
        </w:rPr>
      </w:pPr>
      <w:r>
        <w:rPr>
          <w:rFonts w:hint="eastAsia"/>
          <w:sz w:val="24"/>
        </w:rPr>
        <w:t>本工程为达到节能增效、综合利用的目的，钻井过</w:t>
      </w:r>
      <w:r>
        <w:rPr>
          <w:rFonts w:hint="eastAsia"/>
          <w:sz w:val="24"/>
        </w:rPr>
        <w:t>程中完善并加强了废液的循环利用系统，加强作业废液的处理和综合利用。</w:t>
      </w:r>
    </w:p>
    <w:p w:rsidR="00EE4502" w:rsidRDefault="00FD45A3">
      <w:pPr>
        <w:spacing w:line="360" w:lineRule="auto"/>
        <w:ind w:firstLine="522"/>
        <w:rPr>
          <w:sz w:val="24"/>
        </w:rPr>
      </w:pPr>
      <w:r>
        <w:rPr>
          <w:rFonts w:hint="eastAsia"/>
          <w:sz w:val="24"/>
        </w:rPr>
        <w:t>1</w:t>
      </w:r>
      <w:r>
        <w:rPr>
          <w:rFonts w:hint="eastAsia"/>
          <w:sz w:val="24"/>
        </w:rPr>
        <w:t>）钻井过程采用“钻井废弃物不落地达标处理技术”，对于废弃物尽可能回收利用。</w:t>
      </w:r>
    </w:p>
    <w:p w:rsidR="00EE4502" w:rsidRDefault="00FD45A3">
      <w:pPr>
        <w:spacing w:line="360" w:lineRule="auto"/>
        <w:ind w:firstLine="522"/>
        <w:rPr>
          <w:sz w:val="24"/>
        </w:rPr>
      </w:pPr>
      <w:r>
        <w:rPr>
          <w:rFonts w:hint="eastAsia"/>
          <w:sz w:val="24"/>
        </w:rPr>
        <w:t>2</w:t>
      </w:r>
      <w:r>
        <w:rPr>
          <w:rFonts w:hint="eastAsia"/>
          <w:sz w:val="24"/>
        </w:rPr>
        <w:t>）废润滑油及其它油品全部回收联合站综合利用。</w:t>
      </w:r>
    </w:p>
    <w:p w:rsidR="00EE4502" w:rsidRDefault="00FD45A3">
      <w:pPr>
        <w:spacing w:line="360" w:lineRule="auto"/>
        <w:ind w:firstLine="522"/>
        <w:rPr>
          <w:sz w:val="24"/>
        </w:rPr>
      </w:pPr>
      <w:r>
        <w:rPr>
          <w:rFonts w:hint="eastAsia"/>
          <w:sz w:val="24"/>
        </w:rPr>
        <w:t>3</w:t>
      </w:r>
      <w:r>
        <w:rPr>
          <w:rFonts w:hint="eastAsia"/>
          <w:sz w:val="24"/>
        </w:rPr>
        <w:t>）钻井完井后，井筒替出泥浆排入泥浆罐统一回收处理。</w:t>
      </w:r>
    </w:p>
    <w:p w:rsidR="00EE4502" w:rsidRDefault="00FD45A3">
      <w:pPr>
        <w:spacing w:line="360" w:lineRule="auto"/>
        <w:ind w:firstLine="522"/>
        <w:rPr>
          <w:sz w:val="24"/>
        </w:rPr>
      </w:pPr>
      <w:r>
        <w:rPr>
          <w:rFonts w:hint="eastAsia"/>
          <w:sz w:val="24"/>
        </w:rPr>
        <w:t>4</w:t>
      </w:r>
      <w:r>
        <w:rPr>
          <w:rFonts w:hint="eastAsia"/>
          <w:sz w:val="24"/>
        </w:rPr>
        <w:t>）井场用水实行管制冲洗砂样在容器中进行，机泵冷却水循环利用，且冲洗设备不用清水。</w:t>
      </w:r>
    </w:p>
    <w:p w:rsidR="00EE4502" w:rsidRDefault="00FD45A3">
      <w:pPr>
        <w:spacing w:line="360" w:lineRule="auto"/>
        <w:ind w:firstLine="522"/>
        <w:rPr>
          <w:sz w:val="24"/>
        </w:rPr>
      </w:pPr>
      <w:r>
        <w:rPr>
          <w:rFonts w:hint="eastAsia"/>
          <w:sz w:val="24"/>
        </w:rPr>
        <w:t>5</w:t>
      </w:r>
      <w:r>
        <w:rPr>
          <w:rFonts w:hint="eastAsia"/>
          <w:sz w:val="24"/>
        </w:rPr>
        <w:t>）选用操作灵活、密封性能好的阀门，减少天然的漏损量。</w:t>
      </w:r>
    </w:p>
    <w:p w:rsidR="00EE4502" w:rsidRDefault="00FD45A3">
      <w:pPr>
        <w:spacing w:line="360" w:lineRule="auto"/>
        <w:ind w:firstLine="522"/>
        <w:rPr>
          <w:sz w:val="24"/>
        </w:rPr>
      </w:pPr>
      <w:r>
        <w:rPr>
          <w:rFonts w:hint="eastAsia"/>
          <w:sz w:val="24"/>
        </w:rPr>
        <w:t>6</w:t>
      </w:r>
      <w:r>
        <w:rPr>
          <w:rFonts w:hint="eastAsia"/>
          <w:sz w:val="24"/>
        </w:rPr>
        <w:t>）采用节能型电气设备，如节能型变压器和高效节能灯具等。</w:t>
      </w:r>
    </w:p>
    <w:p w:rsidR="00EE4502" w:rsidRDefault="00FD45A3">
      <w:pPr>
        <w:spacing w:line="360" w:lineRule="auto"/>
        <w:ind w:firstLine="522"/>
        <w:rPr>
          <w:sz w:val="24"/>
        </w:rPr>
      </w:pPr>
      <w:r>
        <w:rPr>
          <w:rFonts w:hint="eastAsia"/>
          <w:sz w:val="24"/>
        </w:rPr>
        <w:lastRenderedPageBreak/>
        <w:t>7</w:t>
      </w:r>
      <w:r>
        <w:rPr>
          <w:rFonts w:hint="eastAsia"/>
          <w:sz w:val="24"/>
        </w:rPr>
        <w:t>）柴油发电机组选用先进、节能的发电机组，减少能耗。</w:t>
      </w:r>
    </w:p>
    <w:p w:rsidR="00EE4502" w:rsidRDefault="00FD45A3">
      <w:pPr>
        <w:spacing w:line="360" w:lineRule="auto"/>
        <w:ind w:firstLine="522"/>
        <w:rPr>
          <w:sz w:val="24"/>
        </w:rPr>
      </w:pPr>
      <w:r>
        <w:rPr>
          <w:rFonts w:hint="eastAsia"/>
          <w:sz w:val="24"/>
        </w:rPr>
        <w:t>8</w:t>
      </w:r>
      <w:r>
        <w:rPr>
          <w:rFonts w:hint="eastAsia"/>
          <w:sz w:val="24"/>
        </w:rPr>
        <w:t>）合理提高用电设备功率因数，合理选择电动机、变压器容量，降低电能损耗。</w:t>
      </w:r>
    </w:p>
    <w:p w:rsidR="00EE4502" w:rsidRDefault="00FD45A3">
      <w:pPr>
        <w:spacing w:line="360" w:lineRule="auto"/>
        <w:ind w:firstLine="522"/>
        <w:rPr>
          <w:sz w:val="24"/>
        </w:rPr>
      </w:pPr>
      <w:r>
        <w:rPr>
          <w:rFonts w:hint="eastAsia"/>
          <w:sz w:val="24"/>
        </w:rPr>
        <w:t>（</w:t>
      </w:r>
      <w:r>
        <w:rPr>
          <w:rFonts w:hint="eastAsia"/>
          <w:sz w:val="24"/>
        </w:rPr>
        <w:t>6</w:t>
      </w:r>
      <w:r>
        <w:rPr>
          <w:rFonts w:hint="eastAsia"/>
          <w:sz w:val="24"/>
        </w:rPr>
        <w:t>）环境管理要求</w:t>
      </w:r>
    </w:p>
    <w:p w:rsidR="00EE4502" w:rsidRDefault="00FD45A3">
      <w:pPr>
        <w:spacing w:line="360" w:lineRule="auto"/>
        <w:ind w:firstLine="522"/>
        <w:rPr>
          <w:sz w:val="24"/>
        </w:rPr>
      </w:pPr>
      <w:r>
        <w:rPr>
          <w:rFonts w:hint="eastAsia"/>
          <w:sz w:val="24"/>
        </w:rPr>
        <w:t>在油气开发的生产管理过程中，建立健全各项规章制度，以法规、行政、经济等手段，规范油田生产行为，对钻井生产、井下作业、施工方案、作业工序等方面提出明确的污染防治措施和规定，使钻井队、作业队实施清洁生产有法可依、有章可循，规范企业及职工的生产行为。</w:t>
      </w:r>
    </w:p>
    <w:p w:rsidR="00EE4502" w:rsidRDefault="00FD45A3">
      <w:pPr>
        <w:spacing w:line="360" w:lineRule="auto"/>
        <w:ind w:firstLine="522"/>
        <w:rPr>
          <w:sz w:val="24"/>
        </w:rPr>
      </w:pPr>
      <w:r>
        <w:rPr>
          <w:rFonts w:hint="eastAsia"/>
          <w:sz w:val="24"/>
        </w:rPr>
        <w:t>1</w:t>
      </w:r>
      <w:r>
        <w:rPr>
          <w:rFonts w:hint="eastAsia"/>
          <w:sz w:val="24"/>
        </w:rPr>
        <w:t>）把环保工作纳入企业生产管理之中，建立健全春风油田开发生产、防治污染的一系列环保规章制度，层层落实环保目标责任制，坚持环保指标考核，推行清洁生产，重视环保宣传教育和培训，</w:t>
      </w:r>
      <w:r>
        <w:rPr>
          <w:rFonts w:hint="eastAsia"/>
          <w:sz w:val="24"/>
        </w:rPr>
        <w:t>依靠广大职工搞好污染防治，清洁生产工作。</w:t>
      </w:r>
    </w:p>
    <w:p w:rsidR="00EE4502" w:rsidRDefault="00FD45A3">
      <w:pPr>
        <w:spacing w:line="360" w:lineRule="auto"/>
        <w:ind w:firstLine="522"/>
        <w:rPr>
          <w:sz w:val="24"/>
        </w:rPr>
      </w:pPr>
      <w:r>
        <w:rPr>
          <w:rFonts w:hint="eastAsia"/>
          <w:sz w:val="24"/>
        </w:rPr>
        <w:t>2</w:t>
      </w:r>
      <w:r>
        <w:rPr>
          <w:rFonts w:hint="eastAsia"/>
          <w:sz w:val="24"/>
        </w:rPr>
        <w:t>）在治理方法上从提高对原材料和资源的利用率入手，采用清洁生产工艺，在生产过程中控制污染物的产生，达到控制与削减污染物排放总量的目的。</w:t>
      </w:r>
    </w:p>
    <w:p w:rsidR="00EE4502" w:rsidRDefault="00FD45A3">
      <w:pPr>
        <w:spacing w:line="360" w:lineRule="auto"/>
        <w:ind w:firstLine="522"/>
        <w:rPr>
          <w:sz w:val="24"/>
        </w:rPr>
      </w:pPr>
      <w:r>
        <w:rPr>
          <w:rFonts w:hint="eastAsia"/>
          <w:sz w:val="24"/>
        </w:rPr>
        <w:t>3</w:t>
      </w:r>
      <w:r>
        <w:rPr>
          <w:rFonts w:hint="eastAsia"/>
          <w:sz w:val="24"/>
        </w:rPr>
        <w:t>）钻井生产施工过程当中，防止泥浆、污水外溢，发生外溢时及时清理，并恢复原貌。泥浆药品按照标准化管理规定妥善存放，如在装卸中发生失散及时清理回收。</w:t>
      </w:r>
    </w:p>
    <w:p w:rsidR="00EE4502" w:rsidRDefault="00FD45A3">
      <w:pPr>
        <w:spacing w:line="360" w:lineRule="auto"/>
        <w:ind w:firstLine="522"/>
        <w:rPr>
          <w:sz w:val="24"/>
        </w:rPr>
      </w:pPr>
      <w:r>
        <w:rPr>
          <w:rFonts w:hint="eastAsia"/>
          <w:sz w:val="24"/>
        </w:rPr>
        <w:t>4</w:t>
      </w:r>
      <w:r>
        <w:rPr>
          <w:rFonts w:hint="eastAsia"/>
          <w:sz w:val="24"/>
        </w:rPr>
        <w:t>）在雨季和汛期，加强对井场泥浆罐的容量设计，使其在雨季和汛期防止外溢有足够的保证。</w:t>
      </w:r>
    </w:p>
    <w:p w:rsidR="00EE4502" w:rsidRDefault="00FD45A3">
      <w:pPr>
        <w:spacing w:line="360" w:lineRule="auto"/>
        <w:ind w:firstLine="522"/>
        <w:rPr>
          <w:sz w:val="24"/>
        </w:rPr>
      </w:pPr>
      <w:r>
        <w:rPr>
          <w:rFonts w:hint="eastAsia"/>
          <w:sz w:val="24"/>
        </w:rPr>
        <w:t>5</w:t>
      </w:r>
      <w:r>
        <w:rPr>
          <w:rFonts w:hint="eastAsia"/>
          <w:sz w:val="24"/>
        </w:rPr>
        <w:t>）井下作业积极推行无污染作业法，采油过程中加强生产管理，对输油管线、输气管线及井口装置定期进行检查</w:t>
      </w:r>
      <w:r>
        <w:rPr>
          <w:rFonts w:hint="eastAsia"/>
          <w:sz w:val="24"/>
        </w:rPr>
        <w:t>和维修，减少或杜绝生产过程中跑、冒、滴、漏现象的发生。</w:t>
      </w:r>
    </w:p>
    <w:p w:rsidR="00EE4502" w:rsidRDefault="00FD45A3">
      <w:pPr>
        <w:spacing w:line="360" w:lineRule="auto"/>
        <w:ind w:firstLine="522"/>
        <w:rPr>
          <w:sz w:val="24"/>
        </w:rPr>
      </w:pPr>
      <w:r>
        <w:rPr>
          <w:rFonts w:hint="eastAsia"/>
          <w:sz w:val="24"/>
        </w:rPr>
        <w:t>本工程将与清洁生产同步规划、同步实施、同步发展，达到污染控制、节约能源、降低能耗与生产技术相结合，采用国内最先进技术，推行清洁生产综合利用，尽可能充分利用资源、能源、减少或消除污染物的产生，使废弃物在生产过程中转化为可利用资源，消除污染。同时在污染治理上水污染防治以节水和污水资源化为核心；大气污染防治以节能为核心；防治固体废物污染以减量化和资源化为核心。</w:t>
      </w:r>
    </w:p>
    <w:p w:rsidR="00EE4502" w:rsidRDefault="00FD45A3">
      <w:pPr>
        <w:spacing w:line="360" w:lineRule="auto"/>
        <w:ind w:firstLine="522"/>
        <w:rPr>
          <w:sz w:val="24"/>
        </w:rPr>
      </w:pPr>
      <w:r>
        <w:rPr>
          <w:rFonts w:hint="eastAsia"/>
          <w:sz w:val="24"/>
        </w:rPr>
        <w:t>另外，本工程在污染防治战略上，从侧重污染末端治理逐步转化为生产全过程控制；在污染物排放控制上，由重</w:t>
      </w:r>
      <w:r>
        <w:rPr>
          <w:rFonts w:hint="eastAsia"/>
          <w:sz w:val="24"/>
        </w:rPr>
        <w:t>浓度控制转变为浓度控制与总量控制相结</w:t>
      </w:r>
      <w:r>
        <w:rPr>
          <w:rFonts w:hint="eastAsia"/>
          <w:sz w:val="24"/>
        </w:rPr>
        <w:lastRenderedPageBreak/>
        <w:t>合；在污染治理上，由重分散的点源治理转变为分散治理与集中控制相结合。</w:t>
      </w:r>
    </w:p>
    <w:p w:rsidR="00EE4502" w:rsidRDefault="00FD45A3">
      <w:pPr>
        <w:pStyle w:val="41"/>
        <w:numPr>
          <w:ilvl w:val="0"/>
          <w:numId w:val="37"/>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bCs w:val="0"/>
          <w:sz w:val="24"/>
          <w:szCs w:val="24"/>
        </w:rPr>
        <w:t>标准对照</w:t>
      </w:r>
    </w:p>
    <w:p w:rsidR="00EE4502" w:rsidRDefault="00FD45A3">
      <w:pPr>
        <w:spacing w:line="360" w:lineRule="auto"/>
        <w:ind w:firstLine="522"/>
        <w:rPr>
          <w:sz w:val="24"/>
        </w:rPr>
      </w:pPr>
      <w:r>
        <w:rPr>
          <w:sz w:val="24"/>
        </w:rPr>
        <w:t>（</w:t>
      </w:r>
      <w:r>
        <w:rPr>
          <w:sz w:val="24"/>
        </w:rPr>
        <w:t>1</w:t>
      </w:r>
      <w:r>
        <w:rPr>
          <w:sz w:val="24"/>
        </w:rPr>
        <w:t>）评价标准体系</w:t>
      </w:r>
    </w:p>
    <w:p w:rsidR="00EE4502" w:rsidRDefault="00FD45A3">
      <w:pPr>
        <w:spacing w:line="360" w:lineRule="auto"/>
        <w:ind w:firstLine="522"/>
        <w:rPr>
          <w:sz w:val="24"/>
        </w:rPr>
      </w:pPr>
      <w:r>
        <w:rPr>
          <w:sz w:val="24"/>
        </w:rPr>
        <w:t>按照根据国家发展改革委、工业和信息化部</w:t>
      </w:r>
      <w:r>
        <w:rPr>
          <w:sz w:val="24"/>
        </w:rPr>
        <w:t>2009</w:t>
      </w:r>
      <w:r>
        <w:rPr>
          <w:sz w:val="24"/>
        </w:rPr>
        <w:t>年联合发布的《石油和天然气开采行业清洁生产评价指标体系（试行）》中的相关标准对本工程开发区块清洁生产进行分析。见表</w:t>
      </w:r>
      <w:r>
        <w:rPr>
          <w:sz w:val="24"/>
        </w:rPr>
        <w:t>3-6-</w:t>
      </w:r>
      <w:r>
        <w:rPr>
          <w:rFonts w:hint="eastAsia"/>
          <w:sz w:val="24"/>
        </w:rPr>
        <w:t>16</w:t>
      </w:r>
      <w:r>
        <w:rPr>
          <w:sz w:val="24"/>
        </w:rPr>
        <w:t>~</w:t>
      </w:r>
      <w:r>
        <w:rPr>
          <w:sz w:val="24"/>
        </w:rPr>
        <w:t>表</w:t>
      </w:r>
      <w:r>
        <w:rPr>
          <w:sz w:val="24"/>
        </w:rPr>
        <w:t>3-6-</w:t>
      </w:r>
      <w:r>
        <w:rPr>
          <w:rFonts w:hint="eastAsia"/>
          <w:sz w:val="24"/>
        </w:rPr>
        <w:t>18</w:t>
      </w:r>
      <w:r>
        <w:rPr>
          <w:sz w:val="24"/>
        </w:rPr>
        <w:t>。</w:t>
      </w:r>
    </w:p>
    <w:p w:rsidR="00EE4502" w:rsidRDefault="00FD45A3">
      <w:pPr>
        <w:spacing w:line="360" w:lineRule="auto"/>
        <w:jc w:val="center"/>
        <w:rPr>
          <w:rFonts w:eastAsia="黑体"/>
          <w:bCs/>
          <w:lang w:val="zh-CN"/>
        </w:rPr>
      </w:pPr>
      <w:r>
        <w:rPr>
          <w:rFonts w:eastAsia="黑体"/>
          <w:bCs/>
          <w:lang w:val="zh-CN"/>
        </w:rPr>
        <w:t>表</w:t>
      </w:r>
      <w:r>
        <w:rPr>
          <w:rFonts w:eastAsia="黑体" w:hint="eastAsia"/>
          <w:bCs/>
          <w:lang w:val="zh-CN"/>
        </w:rPr>
        <w:t>3-</w:t>
      </w:r>
      <w:r>
        <w:rPr>
          <w:rFonts w:eastAsia="黑体" w:hint="eastAsia"/>
          <w:bCs/>
        </w:rPr>
        <w:t>4-16</w:t>
      </w:r>
      <w:r>
        <w:rPr>
          <w:rFonts w:eastAsia="黑体"/>
          <w:bCs/>
          <w:lang w:val="zh-CN"/>
        </w:rPr>
        <w:t xml:space="preserve">    </w:t>
      </w:r>
      <w:r>
        <w:rPr>
          <w:rFonts w:eastAsia="黑体"/>
          <w:bCs/>
          <w:lang w:val="zh-CN"/>
        </w:rPr>
        <w:t>钻井作业定量和定性评价指标项目、权重及基准值</w:t>
      </w:r>
    </w:p>
    <w:tbl>
      <w:tblPr>
        <w:tblW w:w="5000" w:type="pct"/>
        <w:tblInd w:w="-28" w:type="dxa"/>
        <w:tblBorders>
          <w:top w:val="single" w:sz="8" w:space="0" w:color="auto"/>
          <w:bottom w:val="single" w:sz="8" w:space="0" w:color="auto"/>
          <w:insideH w:val="single" w:sz="8" w:space="0" w:color="auto"/>
          <w:insideV w:val="single" w:sz="8" w:space="0" w:color="auto"/>
        </w:tblBorders>
        <w:tblCellMar>
          <w:left w:w="28" w:type="dxa"/>
          <w:right w:w="28" w:type="dxa"/>
        </w:tblCellMar>
        <w:tblLook w:val="04A0" w:firstRow="1" w:lastRow="0" w:firstColumn="1" w:lastColumn="0" w:noHBand="0" w:noVBand="1"/>
      </w:tblPr>
      <w:tblGrid>
        <w:gridCol w:w="1124"/>
        <w:gridCol w:w="309"/>
        <w:gridCol w:w="467"/>
        <w:gridCol w:w="47"/>
        <w:gridCol w:w="1403"/>
        <w:gridCol w:w="1557"/>
        <w:gridCol w:w="539"/>
        <w:gridCol w:w="1343"/>
        <w:gridCol w:w="237"/>
        <w:gridCol w:w="433"/>
        <w:gridCol w:w="903"/>
      </w:tblGrid>
      <w:tr w:rsidR="00EE4502">
        <w:trPr>
          <w:trHeight w:val="340"/>
        </w:trPr>
        <w:tc>
          <w:tcPr>
            <w:tcW w:w="4058" w:type="pct"/>
            <w:gridSpan w:val="8"/>
            <w:vAlign w:val="center"/>
          </w:tcPr>
          <w:p w:rsidR="00EE4502" w:rsidRDefault="00FD45A3">
            <w:pPr>
              <w:tabs>
                <w:tab w:val="left" w:pos="2268"/>
              </w:tabs>
              <w:jc w:val="center"/>
              <w:rPr>
                <w:rFonts w:cs="宋体"/>
                <w:bCs/>
                <w:szCs w:val="21"/>
              </w:rPr>
            </w:pPr>
            <w:r>
              <w:rPr>
                <w:rFonts w:cs="宋体"/>
                <w:bCs/>
                <w:szCs w:val="21"/>
              </w:rPr>
              <w:t>定量指标</w:t>
            </w:r>
          </w:p>
        </w:tc>
        <w:tc>
          <w:tcPr>
            <w:tcW w:w="942" w:type="pct"/>
            <w:gridSpan w:val="3"/>
            <w:vAlign w:val="center"/>
          </w:tcPr>
          <w:p w:rsidR="00EE4502" w:rsidRDefault="00FD45A3">
            <w:pPr>
              <w:jc w:val="center"/>
              <w:rPr>
                <w:bCs/>
                <w:szCs w:val="21"/>
              </w:rPr>
            </w:pPr>
            <w:r>
              <w:rPr>
                <w:rFonts w:hint="eastAsia"/>
                <w:bCs/>
                <w:szCs w:val="21"/>
              </w:rPr>
              <w:t>本工程</w:t>
            </w:r>
            <w:r>
              <w:rPr>
                <w:bCs/>
                <w:szCs w:val="21"/>
              </w:rPr>
              <w:t>评价</w:t>
            </w:r>
          </w:p>
        </w:tc>
      </w:tr>
      <w:tr w:rsidR="00EE4502">
        <w:trPr>
          <w:trHeight w:val="340"/>
        </w:trPr>
        <w:tc>
          <w:tcPr>
            <w:tcW w:w="672" w:type="pct"/>
            <w:vAlign w:val="center"/>
          </w:tcPr>
          <w:p w:rsidR="00EE4502" w:rsidRDefault="00FD45A3">
            <w:pPr>
              <w:tabs>
                <w:tab w:val="left" w:pos="2268"/>
              </w:tabs>
              <w:jc w:val="center"/>
              <w:rPr>
                <w:rFonts w:cs="宋体"/>
                <w:bCs/>
                <w:szCs w:val="21"/>
              </w:rPr>
            </w:pPr>
            <w:r>
              <w:rPr>
                <w:rFonts w:cs="宋体"/>
                <w:bCs/>
                <w:szCs w:val="21"/>
              </w:rPr>
              <w:t>一级指标</w:t>
            </w:r>
          </w:p>
        </w:tc>
        <w:tc>
          <w:tcPr>
            <w:tcW w:w="464" w:type="pct"/>
            <w:gridSpan w:val="2"/>
            <w:vAlign w:val="center"/>
          </w:tcPr>
          <w:p w:rsidR="00EE4502" w:rsidRDefault="00FD45A3">
            <w:pPr>
              <w:tabs>
                <w:tab w:val="left" w:pos="2268"/>
              </w:tabs>
              <w:jc w:val="center"/>
              <w:rPr>
                <w:rFonts w:cs="宋体"/>
                <w:bCs/>
                <w:szCs w:val="21"/>
              </w:rPr>
            </w:pPr>
            <w:r>
              <w:rPr>
                <w:rFonts w:cs="宋体"/>
                <w:bCs/>
                <w:szCs w:val="21"/>
              </w:rPr>
              <w:t>权重值</w:t>
            </w:r>
          </w:p>
        </w:tc>
        <w:tc>
          <w:tcPr>
            <w:tcW w:w="867" w:type="pct"/>
            <w:gridSpan w:val="2"/>
            <w:vAlign w:val="center"/>
          </w:tcPr>
          <w:p w:rsidR="00EE4502" w:rsidRDefault="00FD45A3">
            <w:pPr>
              <w:tabs>
                <w:tab w:val="left" w:pos="2268"/>
              </w:tabs>
              <w:jc w:val="center"/>
              <w:rPr>
                <w:rFonts w:cs="宋体"/>
                <w:bCs/>
                <w:szCs w:val="21"/>
              </w:rPr>
            </w:pPr>
            <w:r>
              <w:rPr>
                <w:rFonts w:cs="宋体"/>
                <w:bCs/>
                <w:szCs w:val="21"/>
              </w:rPr>
              <w:t>二级指标</w:t>
            </w:r>
          </w:p>
        </w:tc>
        <w:tc>
          <w:tcPr>
            <w:tcW w:w="931" w:type="pct"/>
            <w:vAlign w:val="center"/>
          </w:tcPr>
          <w:p w:rsidR="00EE4502" w:rsidRDefault="00FD45A3">
            <w:pPr>
              <w:jc w:val="center"/>
              <w:rPr>
                <w:szCs w:val="21"/>
              </w:rPr>
            </w:pPr>
            <w:r>
              <w:rPr>
                <w:szCs w:val="21"/>
              </w:rPr>
              <w:t>单位</w:t>
            </w:r>
          </w:p>
        </w:tc>
        <w:tc>
          <w:tcPr>
            <w:tcW w:w="322" w:type="pct"/>
            <w:vAlign w:val="center"/>
          </w:tcPr>
          <w:p w:rsidR="00EE4502" w:rsidRDefault="00FD45A3">
            <w:pPr>
              <w:jc w:val="center"/>
              <w:rPr>
                <w:szCs w:val="21"/>
              </w:rPr>
            </w:pPr>
            <w:r>
              <w:rPr>
                <w:szCs w:val="21"/>
              </w:rPr>
              <w:t>权重分值</w:t>
            </w:r>
          </w:p>
        </w:tc>
        <w:tc>
          <w:tcPr>
            <w:tcW w:w="803" w:type="pct"/>
            <w:vAlign w:val="center"/>
          </w:tcPr>
          <w:p w:rsidR="00EE4502" w:rsidRDefault="00FD45A3">
            <w:pPr>
              <w:tabs>
                <w:tab w:val="left" w:pos="2268"/>
              </w:tabs>
              <w:jc w:val="center"/>
              <w:rPr>
                <w:rFonts w:cs="宋体"/>
                <w:bCs/>
                <w:szCs w:val="21"/>
              </w:rPr>
            </w:pPr>
            <w:r>
              <w:rPr>
                <w:rFonts w:cs="宋体"/>
                <w:bCs/>
                <w:szCs w:val="21"/>
              </w:rPr>
              <w:t>评价基准值</w:t>
            </w:r>
          </w:p>
        </w:tc>
        <w:tc>
          <w:tcPr>
            <w:tcW w:w="401" w:type="pct"/>
            <w:gridSpan w:val="2"/>
            <w:vAlign w:val="center"/>
          </w:tcPr>
          <w:p w:rsidR="00EE4502" w:rsidRDefault="00FD45A3">
            <w:pPr>
              <w:tabs>
                <w:tab w:val="left" w:pos="2268"/>
              </w:tabs>
              <w:jc w:val="center"/>
              <w:rPr>
                <w:rFonts w:cs="宋体"/>
                <w:bCs/>
                <w:szCs w:val="21"/>
              </w:rPr>
            </w:pPr>
            <w:r>
              <w:rPr>
                <w:rFonts w:cs="宋体"/>
                <w:bCs/>
                <w:szCs w:val="21"/>
              </w:rPr>
              <w:t>估算值</w:t>
            </w:r>
          </w:p>
        </w:tc>
        <w:tc>
          <w:tcPr>
            <w:tcW w:w="541" w:type="pct"/>
            <w:vAlign w:val="center"/>
          </w:tcPr>
          <w:p w:rsidR="00EE4502" w:rsidRDefault="00FD45A3">
            <w:pPr>
              <w:tabs>
                <w:tab w:val="left" w:pos="2268"/>
              </w:tabs>
              <w:jc w:val="center"/>
              <w:rPr>
                <w:rFonts w:cs="宋体"/>
                <w:bCs/>
                <w:szCs w:val="21"/>
              </w:rPr>
            </w:pPr>
            <w:r>
              <w:rPr>
                <w:rFonts w:cs="宋体"/>
                <w:bCs/>
                <w:szCs w:val="21"/>
              </w:rPr>
              <w:t>得分</w:t>
            </w:r>
          </w:p>
        </w:tc>
      </w:tr>
      <w:tr w:rsidR="00EE4502">
        <w:trPr>
          <w:trHeight w:val="340"/>
        </w:trPr>
        <w:tc>
          <w:tcPr>
            <w:tcW w:w="672" w:type="pct"/>
            <w:vMerge w:val="restart"/>
            <w:vAlign w:val="center"/>
          </w:tcPr>
          <w:p w:rsidR="00EE4502" w:rsidRDefault="00FD45A3">
            <w:pPr>
              <w:tabs>
                <w:tab w:val="left" w:pos="2268"/>
              </w:tabs>
              <w:jc w:val="center"/>
              <w:rPr>
                <w:rFonts w:cs="宋体"/>
                <w:bCs/>
                <w:szCs w:val="21"/>
              </w:rPr>
            </w:pPr>
            <w:r>
              <w:rPr>
                <w:rFonts w:cs="宋体"/>
                <w:bCs/>
                <w:szCs w:val="21"/>
              </w:rPr>
              <w:t>（</w:t>
            </w:r>
            <w:r>
              <w:rPr>
                <w:rFonts w:cs="宋体"/>
                <w:bCs/>
                <w:szCs w:val="21"/>
              </w:rPr>
              <w:t>1</w:t>
            </w:r>
            <w:r>
              <w:rPr>
                <w:rFonts w:cs="宋体"/>
                <w:bCs/>
                <w:szCs w:val="21"/>
              </w:rPr>
              <w:t>）资源和能源消耗指标</w:t>
            </w:r>
          </w:p>
        </w:tc>
        <w:tc>
          <w:tcPr>
            <w:tcW w:w="464" w:type="pct"/>
            <w:gridSpan w:val="2"/>
            <w:vMerge w:val="restart"/>
            <w:vAlign w:val="center"/>
          </w:tcPr>
          <w:p w:rsidR="00EE4502" w:rsidRDefault="00FD45A3">
            <w:pPr>
              <w:tabs>
                <w:tab w:val="left" w:pos="2268"/>
              </w:tabs>
              <w:jc w:val="center"/>
              <w:rPr>
                <w:rFonts w:cs="宋体"/>
                <w:bCs/>
                <w:szCs w:val="21"/>
              </w:rPr>
            </w:pPr>
            <w:r>
              <w:rPr>
                <w:rFonts w:cs="宋体" w:hint="eastAsia"/>
                <w:bCs/>
                <w:szCs w:val="21"/>
              </w:rPr>
              <w:t>2</w:t>
            </w:r>
            <w:r>
              <w:rPr>
                <w:rFonts w:cs="宋体"/>
                <w:bCs/>
                <w:szCs w:val="21"/>
              </w:rPr>
              <w:t>0</w:t>
            </w:r>
          </w:p>
        </w:tc>
        <w:tc>
          <w:tcPr>
            <w:tcW w:w="867" w:type="pct"/>
            <w:gridSpan w:val="2"/>
            <w:vAlign w:val="center"/>
          </w:tcPr>
          <w:p w:rsidR="00EE4502" w:rsidRDefault="00FD45A3">
            <w:pPr>
              <w:tabs>
                <w:tab w:val="left" w:pos="2268"/>
              </w:tabs>
              <w:jc w:val="center"/>
              <w:rPr>
                <w:rFonts w:cs="宋体"/>
                <w:bCs/>
                <w:szCs w:val="21"/>
              </w:rPr>
            </w:pPr>
            <w:r>
              <w:rPr>
                <w:rFonts w:cs="宋体"/>
                <w:bCs/>
                <w:szCs w:val="21"/>
              </w:rPr>
              <w:t>占地面积</w:t>
            </w:r>
          </w:p>
        </w:tc>
        <w:tc>
          <w:tcPr>
            <w:tcW w:w="931" w:type="pct"/>
            <w:vAlign w:val="center"/>
          </w:tcPr>
          <w:p w:rsidR="00EE4502" w:rsidRDefault="00FD45A3">
            <w:pPr>
              <w:jc w:val="center"/>
              <w:rPr>
                <w:szCs w:val="21"/>
              </w:rPr>
            </w:pPr>
            <w:r>
              <w:rPr>
                <w:szCs w:val="21"/>
              </w:rPr>
              <w:t>m</w:t>
            </w:r>
            <w:r>
              <w:rPr>
                <w:szCs w:val="21"/>
                <w:vertAlign w:val="superscript"/>
              </w:rPr>
              <w:t>2</w:t>
            </w:r>
          </w:p>
        </w:tc>
        <w:tc>
          <w:tcPr>
            <w:tcW w:w="322" w:type="pct"/>
            <w:vAlign w:val="center"/>
          </w:tcPr>
          <w:p w:rsidR="00EE4502" w:rsidRDefault="00FD45A3">
            <w:pPr>
              <w:jc w:val="center"/>
              <w:rPr>
                <w:szCs w:val="21"/>
              </w:rPr>
            </w:pPr>
            <w:r>
              <w:rPr>
                <w:rFonts w:hint="eastAsia"/>
                <w:szCs w:val="21"/>
              </w:rPr>
              <w:t>6</w:t>
            </w:r>
          </w:p>
        </w:tc>
        <w:tc>
          <w:tcPr>
            <w:tcW w:w="803" w:type="pct"/>
            <w:vAlign w:val="center"/>
          </w:tcPr>
          <w:p w:rsidR="00EE4502" w:rsidRDefault="00FD45A3">
            <w:pPr>
              <w:tabs>
                <w:tab w:val="left" w:pos="2268"/>
              </w:tabs>
              <w:jc w:val="center"/>
              <w:rPr>
                <w:rFonts w:cs="宋体"/>
                <w:bCs/>
                <w:szCs w:val="21"/>
              </w:rPr>
            </w:pPr>
            <w:r>
              <w:rPr>
                <w:rFonts w:cs="宋体"/>
                <w:bCs/>
                <w:szCs w:val="21"/>
              </w:rPr>
              <w:t>符合行业标准要求</w:t>
            </w:r>
          </w:p>
        </w:tc>
        <w:tc>
          <w:tcPr>
            <w:tcW w:w="401" w:type="pct"/>
            <w:gridSpan w:val="2"/>
            <w:vAlign w:val="center"/>
          </w:tcPr>
          <w:p w:rsidR="00EE4502" w:rsidRDefault="00FD45A3">
            <w:pPr>
              <w:tabs>
                <w:tab w:val="left" w:pos="2268"/>
              </w:tabs>
              <w:jc w:val="center"/>
              <w:rPr>
                <w:rFonts w:cs="宋体"/>
                <w:bCs/>
                <w:szCs w:val="21"/>
              </w:rPr>
            </w:pPr>
            <w:r>
              <w:rPr>
                <w:rFonts w:cs="宋体"/>
                <w:bCs/>
                <w:szCs w:val="21"/>
              </w:rPr>
              <w:t>符合</w:t>
            </w:r>
          </w:p>
        </w:tc>
        <w:tc>
          <w:tcPr>
            <w:tcW w:w="541" w:type="pct"/>
            <w:vAlign w:val="center"/>
          </w:tcPr>
          <w:p w:rsidR="00EE4502" w:rsidRDefault="00FD45A3">
            <w:pPr>
              <w:tabs>
                <w:tab w:val="left" w:pos="2268"/>
              </w:tabs>
              <w:jc w:val="center"/>
              <w:rPr>
                <w:rFonts w:cs="宋体"/>
                <w:bCs/>
                <w:szCs w:val="21"/>
              </w:rPr>
            </w:pPr>
            <w:r>
              <w:rPr>
                <w:rFonts w:cs="宋体" w:hint="eastAsia"/>
                <w:bCs/>
                <w:szCs w:val="21"/>
              </w:rPr>
              <w:t>6</w:t>
            </w:r>
          </w:p>
        </w:tc>
      </w:tr>
      <w:tr w:rsidR="00EE4502">
        <w:trPr>
          <w:trHeight w:val="340"/>
        </w:trPr>
        <w:tc>
          <w:tcPr>
            <w:tcW w:w="672" w:type="pct"/>
            <w:vMerge/>
            <w:vAlign w:val="center"/>
          </w:tcPr>
          <w:p w:rsidR="00EE4502" w:rsidRDefault="00EE4502">
            <w:pPr>
              <w:tabs>
                <w:tab w:val="left" w:pos="2268"/>
              </w:tabs>
              <w:jc w:val="center"/>
              <w:rPr>
                <w:rFonts w:cs="宋体"/>
                <w:bCs/>
                <w:szCs w:val="21"/>
              </w:rPr>
            </w:pPr>
          </w:p>
        </w:tc>
        <w:tc>
          <w:tcPr>
            <w:tcW w:w="464" w:type="pct"/>
            <w:gridSpan w:val="2"/>
            <w:vMerge/>
            <w:vAlign w:val="center"/>
          </w:tcPr>
          <w:p w:rsidR="00EE4502" w:rsidRDefault="00EE4502">
            <w:pPr>
              <w:tabs>
                <w:tab w:val="left" w:pos="2268"/>
              </w:tabs>
              <w:jc w:val="center"/>
              <w:rPr>
                <w:rFonts w:cs="宋体"/>
                <w:bCs/>
                <w:szCs w:val="21"/>
              </w:rPr>
            </w:pPr>
          </w:p>
        </w:tc>
        <w:tc>
          <w:tcPr>
            <w:tcW w:w="867" w:type="pct"/>
            <w:gridSpan w:val="2"/>
            <w:vAlign w:val="center"/>
          </w:tcPr>
          <w:p w:rsidR="00EE4502" w:rsidRDefault="00FD45A3">
            <w:pPr>
              <w:tabs>
                <w:tab w:val="left" w:pos="2268"/>
              </w:tabs>
              <w:jc w:val="center"/>
              <w:rPr>
                <w:rFonts w:cs="宋体"/>
                <w:bCs/>
                <w:szCs w:val="21"/>
              </w:rPr>
            </w:pPr>
            <w:r>
              <w:rPr>
                <w:rFonts w:cs="宋体"/>
                <w:bCs/>
                <w:szCs w:val="21"/>
              </w:rPr>
              <w:t>新鲜水消耗</w:t>
            </w:r>
          </w:p>
        </w:tc>
        <w:tc>
          <w:tcPr>
            <w:tcW w:w="931" w:type="pct"/>
            <w:vAlign w:val="center"/>
          </w:tcPr>
          <w:p w:rsidR="00EE4502" w:rsidRDefault="00FD45A3">
            <w:pPr>
              <w:tabs>
                <w:tab w:val="left" w:pos="2268"/>
              </w:tabs>
              <w:jc w:val="center"/>
              <w:rPr>
                <w:rFonts w:cs="宋体"/>
                <w:szCs w:val="21"/>
              </w:rPr>
            </w:pPr>
            <w:r>
              <w:rPr>
                <w:rFonts w:cs="宋体"/>
                <w:szCs w:val="21"/>
              </w:rPr>
              <w:t>t/100m</w:t>
            </w:r>
            <w:r>
              <w:rPr>
                <w:rFonts w:cs="宋体"/>
                <w:szCs w:val="21"/>
              </w:rPr>
              <w:t>标准进尺</w:t>
            </w:r>
          </w:p>
        </w:tc>
        <w:tc>
          <w:tcPr>
            <w:tcW w:w="322" w:type="pct"/>
            <w:vAlign w:val="center"/>
          </w:tcPr>
          <w:p w:rsidR="00EE4502" w:rsidRDefault="00FD45A3">
            <w:pPr>
              <w:jc w:val="center"/>
              <w:rPr>
                <w:szCs w:val="21"/>
              </w:rPr>
            </w:pPr>
            <w:r>
              <w:rPr>
                <w:rFonts w:hint="eastAsia"/>
                <w:szCs w:val="21"/>
              </w:rPr>
              <w:t>9</w:t>
            </w:r>
          </w:p>
        </w:tc>
        <w:tc>
          <w:tcPr>
            <w:tcW w:w="803" w:type="pct"/>
            <w:vAlign w:val="center"/>
          </w:tcPr>
          <w:p w:rsidR="00EE4502" w:rsidRDefault="00FD45A3">
            <w:pPr>
              <w:tabs>
                <w:tab w:val="left" w:pos="2268"/>
              </w:tabs>
              <w:jc w:val="center"/>
              <w:rPr>
                <w:rFonts w:cs="宋体"/>
                <w:bCs/>
                <w:szCs w:val="21"/>
              </w:rPr>
            </w:pPr>
            <w:r>
              <w:rPr>
                <w:rFonts w:cs="宋体"/>
                <w:bCs/>
                <w:szCs w:val="21"/>
              </w:rPr>
              <w:t>≤25</w:t>
            </w:r>
          </w:p>
        </w:tc>
        <w:tc>
          <w:tcPr>
            <w:tcW w:w="401" w:type="pct"/>
            <w:gridSpan w:val="2"/>
            <w:vAlign w:val="center"/>
          </w:tcPr>
          <w:p w:rsidR="00EE4502" w:rsidRDefault="00FD45A3">
            <w:pPr>
              <w:tabs>
                <w:tab w:val="left" w:pos="2268"/>
              </w:tabs>
              <w:jc w:val="center"/>
              <w:rPr>
                <w:rFonts w:cs="宋体"/>
                <w:bCs/>
                <w:szCs w:val="21"/>
              </w:rPr>
            </w:pPr>
            <w:r>
              <w:rPr>
                <w:rFonts w:cs="宋体"/>
                <w:bCs/>
                <w:szCs w:val="21"/>
              </w:rPr>
              <w:t>≤20</w:t>
            </w:r>
          </w:p>
        </w:tc>
        <w:tc>
          <w:tcPr>
            <w:tcW w:w="541" w:type="pct"/>
            <w:vAlign w:val="center"/>
          </w:tcPr>
          <w:p w:rsidR="00EE4502" w:rsidRDefault="00FD45A3">
            <w:pPr>
              <w:tabs>
                <w:tab w:val="left" w:pos="2268"/>
              </w:tabs>
              <w:jc w:val="center"/>
              <w:rPr>
                <w:rFonts w:cs="宋体"/>
                <w:bCs/>
                <w:szCs w:val="21"/>
              </w:rPr>
            </w:pPr>
            <w:r>
              <w:rPr>
                <w:rFonts w:cs="宋体" w:hint="eastAsia"/>
                <w:bCs/>
                <w:szCs w:val="21"/>
              </w:rPr>
              <w:t>9</w:t>
            </w:r>
          </w:p>
        </w:tc>
      </w:tr>
      <w:tr w:rsidR="00EE4502">
        <w:trPr>
          <w:trHeight w:val="340"/>
        </w:trPr>
        <w:tc>
          <w:tcPr>
            <w:tcW w:w="672" w:type="pct"/>
            <w:vMerge/>
            <w:vAlign w:val="center"/>
          </w:tcPr>
          <w:p w:rsidR="00EE4502" w:rsidRDefault="00EE4502">
            <w:pPr>
              <w:tabs>
                <w:tab w:val="left" w:pos="2268"/>
              </w:tabs>
              <w:jc w:val="center"/>
              <w:rPr>
                <w:rFonts w:cs="宋体"/>
                <w:bCs/>
                <w:szCs w:val="21"/>
              </w:rPr>
            </w:pPr>
          </w:p>
        </w:tc>
        <w:tc>
          <w:tcPr>
            <w:tcW w:w="464" w:type="pct"/>
            <w:gridSpan w:val="2"/>
            <w:vMerge/>
            <w:vAlign w:val="center"/>
          </w:tcPr>
          <w:p w:rsidR="00EE4502" w:rsidRDefault="00EE4502">
            <w:pPr>
              <w:tabs>
                <w:tab w:val="left" w:pos="2268"/>
              </w:tabs>
              <w:jc w:val="center"/>
              <w:rPr>
                <w:rFonts w:cs="宋体"/>
                <w:bCs/>
                <w:szCs w:val="21"/>
              </w:rPr>
            </w:pPr>
          </w:p>
        </w:tc>
        <w:tc>
          <w:tcPr>
            <w:tcW w:w="867" w:type="pct"/>
            <w:gridSpan w:val="2"/>
            <w:vAlign w:val="center"/>
          </w:tcPr>
          <w:p w:rsidR="00EE4502" w:rsidRDefault="00FD45A3">
            <w:pPr>
              <w:tabs>
                <w:tab w:val="left" w:pos="2268"/>
              </w:tabs>
              <w:jc w:val="center"/>
              <w:rPr>
                <w:rFonts w:cs="宋体"/>
                <w:bCs/>
                <w:szCs w:val="21"/>
              </w:rPr>
            </w:pPr>
            <w:r>
              <w:rPr>
                <w:rFonts w:cs="宋体" w:hint="eastAsia"/>
                <w:bCs/>
                <w:szCs w:val="21"/>
              </w:rPr>
              <w:t>柴油消耗</w:t>
            </w:r>
          </w:p>
        </w:tc>
        <w:tc>
          <w:tcPr>
            <w:tcW w:w="931" w:type="pct"/>
            <w:vAlign w:val="center"/>
          </w:tcPr>
          <w:p w:rsidR="00EE4502" w:rsidRDefault="00FD45A3">
            <w:pPr>
              <w:tabs>
                <w:tab w:val="left" w:pos="2268"/>
              </w:tabs>
              <w:jc w:val="center"/>
              <w:rPr>
                <w:rFonts w:cs="宋体"/>
                <w:szCs w:val="21"/>
              </w:rPr>
            </w:pPr>
            <w:r>
              <w:rPr>
                <w:rFonts w:cs="宋体" w:hint="eastAsia"/>
                <w:szCs w:val="21"/>
              </w:rPr>
              <w:t>/</w:t>
            </w:r>
          </w:p>
        </w:tc>
        <w:tc>
          <w:tcPr>
            <w:tcW w:w="322" w:type="pct"/>
            <w:vAlign w:val="center"/>
          </w:tcPr>
          <w:p w:rsidR="00EE4502" w:rsidRDefault="00FD45A3">
            <w:pPr>
              <w:jc w:val="center"/>
              <w:rPr>
                <w:szCs w:val="21"/>
              </w:rPr>
            </w:pPr>
            <w:r>
              <w:rPr>
                <w:rFonts w:hint="eastAsia"/>
                <w:szCs w:val="21"/>
              </w:rPr>
              <w:t>5</w:t>
            </w:r>
          </w:p>
        </w:tc>
        <w:tc>
          <w:tcPr>
            <w:tcW w:w="803" w:type="pct"/>
            <w:vAlign w:val="center"/>
          </w:tcPr>
          <w:p w:rsidR="00EE4502" w:rsidRDefault="00FD45A3">
            <w:pPr>
              <w:tabs>
                <w:tab w:val="left" w:pos="2268"/>
              </w:tabs>
              <w:jc w:val="center"/>
              <w:rPr>
                <w:rFonts w:cs="宋体"/>
                <w:bCs/>
                <w:szCs w:val="21"/>
              </w:rPr>
            </w:pPr>
            <w:r>
              <w:rPr>
                <w:rFonts w:cs="宋体" w:hint="eastAsia"/>
                <w:bCs/>
                <w:szCs w:val="21"/>
              </w:rPr>
              <w:t>/</w:t>
            </w:r>
          </w:p>
        </w:tc>
        <w:tc>
          <w:tcPr>
            <w:tcW w:w="401" w:type="pct"/>
            <w:gridSpan w:val="2"/>
            <w:vAlign w:val="center"/>
          </w:tcPr>
          <w:p w:rsidR="00EE4502" w:rsidRDefault="00FD45A3">
            <w:pPr>
              <w:tabs>
                <w:tab w:val="left" w:pos="2268"/>
              </w:tabs>
              <w:jc w:val="center"/>
              <w:rPr>
                <w:rFonts w:cs="宋体"/>
                <w:bCs/>
                <w:szCs w:val="21"/>
              </w:rPr>
            </w:pPr>
            <w:r>
              <w:rPr>
                <w:rFonts w:cs="宋体" w:hint="eastAsia"/>
                <w:bCs/>
                <w:szCs w:val="21"/>
              </w:rPr>
              <w:t>/</w:t>
            </w:r>
          </w:p>
        </w:tc>
        <w:tc>
          <w:tcPr>
            <w:tcW w:w="541" w:type="pct"/>
            <w:vAlign w:val="center"/>
          </w:tcPr>
          <w:p w:rsidR="00EE4502" w:rsidRDefault="00FD45A3">
            <w:pPr>
              <w:tabs>
                <w:tab w:val="left" w:pos="2268"/>
              </w:tabs>
              <w:jc w:val="center"/>
              <w:rPr>
                <w:rFonts w:cs="宋体"/>
                <w:bCs/>
                <w:szCs w:val="21"/>
              </w:rPr>
            </w:pPr>
            <w:r>
              <w:rPr>
                <w:rFonts w:cs="宋体" w:hint="eastAsia"/>
                <w:bCs/>
                <w:szCs w:val="21"/>
              </w:rPr>
              <w:t>5</w:t>
            </w:r>
          </w:p>
        </w:tc>
      </w:tr>
      <w:tr w:rsidR="00EE4502">
        <w:trPr>
          <w:trHeight w:val="340"/>
        </w:trPr>
        <w:tc>
          <w:tcPr>
            <w:tcW w:w="672" w:type="pct"/>
            <w:vAlign w:val="center"/>
          </w:tcPr>
          <w:p w:rsidR="00EE4502" w:rsidRDefault="00FD45A3">
            <w:pPr>
              <w:tabs>
                <w:tab w:val="left" w:pos="2268"/>
              </w:tabs>
              <w:jc w:val="center"/>
              <w:rPr>
                <w:rFonts w:cs="宋体"/>
                <w:bCs/>
                <w:szCs w:val="21"/>
              </w:rPr>
            </w:pPr>
            <w:r>
              <w:rPr>
                <w:rFonts w:cs="宋体"/>
                <w:bCs/>
                <w:szCs w:val="21"/>
              </w:rPr>
              <w:t>（</w:t>
            </w:r>
            <w:r>
              <w:rPr>
                <w:rFonts w:cs="宋体"/>
                <w:bCs/>
                <w:szCs w:val="21"/>
              </w:rPr>
              <w:t>2</w:t>
            </w:r>
            <w:r>
              <w:rPr>
                <w:rFonts w:cs="宋体"/>
                <w:bCs/>
                <w:szCs w:val="21"/>
              </w:rPr>
              <w:t>）生产技术特征指标</w:t>
            </w:r>
          </w:p>
        </w:tc>
        <w:tc>
          <w:tcPr>
            <w:tcW w:w="464" w:type="pct"/>
            <w:gridSpan w:val="2"/>
            <w:vAlign w:val="center"/>
          </w:tcPr>
          <w:p w:rsidR="00EE4502" w:rsidRDefault="00FD45A3">
            <w:pPr>
              <w:tabs>
                <w:tab w:val="left" w:pos="2268"/>
              </w:tabs>
              <w:jc w:val="center"/>
              <w:rPr>
                <w:rFonts w:cs="宋体"/>
                <w:bCs/>
                <w:szCs w:val="21"/>
              </w:rPr>
            </w:pPr>
            <w:r>
              <w:rPr>
                <w:rFonts w:cs="宋体"/>
                <w:bCs/>
                <w:szCs w:val="21"/>
              </w:rPr>
              <w:t>30</w:t>
            </w:r>
          </w:p>
        </w:tc>
        <w:tc>
          <w:tcPr>
            <w:tcW w:w="867" w:type="pct"/>
            <w:gridSpan w:val="2"/>
            <w:vAlign w:val="center"/>
          </w:tcPr>
          <w:p w:rsidR="00EE4502" w:rsidRDefault="00FD45A3">
            <w:pPr>
              <w:tabs>
                <w:tab w:val="left" w:pos="2268"/>
              </w:tabs>
              <w:jc w:val="center"/>
              <w:rPr>
                <w:rFonts w:cs="宋体"/>
                <w:bCs/>
                <w:szCs w:val="21"/>
              </w:rPr>
            </w:pPr>
            <w:r>
              <w:rPr>
                <w:rFonts w:cs="宋体"/>
                <w:bCs/>
                <w:szCs w:val="21"/>
              </w:rPr>
              <w:t>固井质量合格率</w:t>
            </w:r>
          </w:p>
        </w:tc>
        <w:tc>
          <w:tcPr>
            <w:tcW w:w="931" w:type="pct"/>
            <w:vAlign w:val="center"/>
          </w:tcPr>
          <w:p w:rsidR="00EE4502" w:rsidRDefault="00FD45A3">
            <w:pPr>
              <w:jc w:val="center"/>
              <w:rPr>
                <w:szCs w:val="21"/>
              </w:rPr>
            </w:pPr>
            <w:r>
              <w:rPr>
                <w:szCs w:val="21"/>
              </w:rPr>
              <w:t>%</w:t>
            </w:r>
          </w:p>
        </w:tc>
        <w:tc>
          <w:tcPr>
            <w:tcW w:w="322" w:type="pct"/>
            <w:vAlign w:val="center"/>
          </w:tcPr>
          <w:p w:rsidR="00EE4502" w:rsidRDefault="00FD45A3">
            <w:pPr>
              <w:jc w:val="center"/>
              <w:rPr>
                <w:szCs w:val="21"/>
              </w:rPr>
            </w:pPr>
            <w:r>
              <w:rPr>
                <w:szCs w:val="21"/>
              </w:rPr>
              <w:t>30</w:t>
            </w:r>
          </w:p>
        </w:tc>
        <w:tc>
          <w:tcPr>
            <w:tcW w:w="803" w:type="pct"/>
            <w:vAlign w:val="center"/>
          </w:tcPr>
          <w:p w:rsidR="00EE4502" w:rsidRDefault="00FD45A3">
            <w:pPr>
              <w:tabs>
                <w:tab w:val="left" w:pos="2268"/>
              </w:tabs>
              <w:jc w:val="center"/>
              <w:rPr>
                <w:rFonts w:cs="宋体"/>
                <w:bCs/>
                <w:szCs w:val="21"/>
              </w:rPr>
            </w:pPr>
            <w:r>
              <w:rPr>
                <w:rFonts w:cs="宋体"/>
                <w:bCs/>
                <w:szCs w:val="21"/>
              </w:rPr>
              <w:t>≥95</w:t>
            </w:r>
          </w:p>
        </w:tc>
        <w:tc>
          <w:tcPr>
            <w:tcW w:w="401" w:type="pct"/>
            <w:gridSpan w:val="2"/>
            <w:vAlign w:val="center"/>
          </w:tcPr>
          <w:p w:rsidR="00EE4502" w:rsidRDefault="00FD45A3">
            <w:pPr>
              <w:tabs>
                <w:tab w:val="left" w:pos="2268"/>
              </w:tabs>
              <w:jc w:val="center"/>
              <w:rPr>
                <w:rFonts w:cs="宋体"/>
                <w:bCs/>
                <w:szCs w:val="21"/>
              </w:rPr>
            </w:pPr>
            <w:r>
              <w:rPr>
                <w:rFonts w:cs="宋体"/>
                <w:bCs/>
                <w:szCs w:val="21"/>
              </w:rPr>
              <w:t>100%</w:t>
            </w:r>
          </w:p>
        </w:tc>
        <w:tc>
          <w:tcPr>
            <w:tcW w:w="541" w:type="pct"/>
            <w:vAlign w:val="center"/>
          </w:tcPr>
          <w:p w:rsidR="00EE4502" w:rsidRDefault="00FD45A3">
            <w:pPr>
              <w:tabs>
                <w:tab w:val="left" w:pos="2268"/>
              </w:tabs>
              <w:jc w:val="center"/>
              <w:rPr>
                <w:rFonts w:cs="宋体"/>
                <w:bCs/>
                <w:szCs w:val="21"/>
              </w:rPr>
            </w:pPr>
            <w:r>
              <w:rPr>
                <w:rFonts w:cs="宋体"/>
                <w:bCs/>
                <w:szCs w:val="21"/>
              </w:rPr>
              <w:t>30</w:t>
            </w:r>
          </w:p>
        </w:tc>
      </w:tr>
      <w:tr w:rsidR="00EE4502">
        <w:trPr>
          <w:trHeight w:val="340"/>
        </w:trPr>
        <w:tc>
          <w:tcPr>
            <w:tcW w:w="672" w:type="pct"/>
            <w:vMerge w:val="restart"/>
            <w:vAlign w:val="center"/>
          </w:tcPr>
          <w:p w:rsidR="00EE4502" w:rsidRDefault="00FD45A3">
            <w:pPr>
              <w:tabs>
                <w:tab w:val="left" w:pos="2268"/>
              </w:tabs>
              <w:jc w:val="center"/>
              <w:rPr>
                <w:rFonts w:cs="宋体"/>
                <w:bCs/>
                <w:szCs w:val="21"/>
              </w:rPr>
            </w:pPr>
            <w:r>
              <w:rPr>
                <w:rFonts w:cs="宋体"/>
                <w:bCs/>
                <w:szCs w:val="21"/>
              </w:rPr>
              <w:t>（</w:t>
            </w:r>
            <w:r>
              <w:rPr>
                <w:rFonts w:cs="宋体"/>
                <w:bCs/>
                <w:szCs w:val="21"/>
              </w:rPr>
              <w:t>3</w:t>
            </w:r>
            <w:r>
              <w:rPr>
                <w:rFonts w:cs="宋体"/>
                <w:bCs/>
                <w:szCs w:val="21"/>
              </w:rPr>
              <w:t>）资源综合利用指标</w:t>
            </w:r>
          </w:p>
        </w:tc>
        <w:tc>
          <w:tcPr>
            <w:tcW w:w="464" w:type="pct"/>
            <w:gridSpan w:val="2"/>
            <w:vMerge w:val="restart"/>
            <w:vAlign w:val="center"/>
          </w:tcPr>
          <w:p w:rsidR="00EE4502" w:rsidRDefault="00FD45A3">
            <w:pPr>
              <w:tabs>
                <w:tab w:val="left" w:pos="2268"/>
              </w:tabs>
              <w:jc w:val="center"/>
              <w:rPr>
                <w:rFonts w:cs="宋体"/>
                <w:bCs/>
                <w:szCs w:val="21"/>
              </w:rPr>
            </w:pPr>
            <w:r>
              <w:rPr>
                <w:rFonts w:cs="宋体"/>
                <w:bCs/>
                <w:szCs w:val="21"/>
              </w:rPr>
              <w:t>25</w:t>
            </w:r>
          </w:p>
        </w:tc>
        <w:tc>
          <w:tcPr>
            <w:tcW w:w="867" w:type="pct"/>
            <w:gridSpan w:val="2"/>
            <w:vAlign w:val="center"/>
          </w:tcPr>
          <w:p w:rsidR="00EE4502" w:rsidRDefault="00FD45A3">
            <w:pPr>
              <w:tabs>
                <w:tab w:val="left" w:pos="2268"/>
              </w:tabs>
              <w:jc w:val="center"/>
              <w:rPr>
                <w:rFonts w:cs="宋体"/>
                <w:bCs/>
                <w:szCs w:val="21"/>
              </w:rPr>
            </w:pPr>
            <w:r>
              <w:rPr>
                <w:rFonts w:cs="宋体"/>
                <w:bCs/>
                <w:szCs w:val="21"/>
              </w:rPr>
              <w:t>钻井液循环率</w:t>
            </w:r>
          </w:p>
        </w:tc>
        <w:tc>
          <w:tcPr>
            <w:tcW w:w="931" w:type="pct"/>
            <w:vAlign w:val="center"/>
          </w:tcPr>
          <w:p w:rsidR="00EE4502" w:rsidRDefault="00FD45A3">
            <w:pPr>
              <w:tabs>
                <w:tab w:val="left" w:pos="2268"/>
              </w:tabs>
              <w:jc w:val="center"/>
              <w:rPr>
                <w:rFonts w:cs="宋体"/>
                <w:szCs w:val="21"/>
              </w:rPr>
            </w:pPr>
            <w:r>
              <w:rPr>
                <w:rFonts w:cs="宋体"/>
                <w:szCs w:val="21"/>
              </w:rPr>
              <w:t>％</w:t>
            </w:r>
          </w:p>
        </w:tc>
        <w:tc>
          <w:tcPr>
            <w:tcW w:w="322" w:type="pct"/>
            <w:vAlign w:val="center"/>
          </w:tcPr>
          <w:p w:rsidR="00EE4502" w:rsidRDefault="00FD45A3">
            <w:pPr>
              <w:jc w:val="center"/>
              <w:rPr>
                <w:szCs w:val="21"/>
              </w:rPr>
            </w:pPr>
            <w:r>
              <w:rPr>
                <w:szCs w:val="21"/>
              </w:rPr>
              <w:t>10</w:t>
            </w:r>
          </w:p>
        </w:tc>
        <w:tc>
          <w:tcPr>
            <w:tcW w:w="803" w:type="pct"/>
            <w:vAlign w:val="center"/>
          </w:tcPr>
          <w:p w:rsidR="00EE4502" w:rsidRDefault="00FD45A3">
            <w:pPr>
              <w:tabs>
                <w:tab w:val="left" w:pos="2268"/>
              </w:tabs>
              <w:jc w:val="center"/>
              <w:rPr>
                <w:rFonts w:cs="宋体"/>
                <w:bCs/>
                <w:szCs w:val="21"/>
              </w:rPr>
            </w:pPr>
            <w:r>
              <w:rPr>
                <w:rFonts w:cs="宋体"/>
                <w:bCs/>
                <w:szCs w:val="21"/>
              </w:rPr>
              <w:t>≥</w:t>
            </w:r>
            <w:r>
              <w:rPr>
                <w:rFonts w:cs="宋体" w:hint="eastAsia"/>
                <w:bCs/>
                <w:szCs w:val="21"/>
              </w:rPr>
              <w:t>75%</w:t>
            </w:r>
          </w:p>
        </w:tc>
        <w:tc>
          <w:tcPr>
            <w:tcW w:w="401" w:type="pct"/>
            <w:gridSpan w:val="2"/>
            <w:vAlign w:val="center"/>
          </w:tcPr>
          <w:p w:rsidR="00EE4502" w:rsidRDefault="00FD45A3">
            <w:pPr>
              <w:tabs>
                <w:tab w:val="left" w:pos="2268"/>
              </w:tabs>
              <w:jc w:val="center"/>
              <w:rPr>
                <w:rFonts w:cs="宋体"/>
                <w:bCs/>
                <w:szCs w:val="21"/>
              </w:rPr>
            </w:pPr>
            <w:r>
              <w:rPr>
                <w:rFonts w:cs="宋体" w:hint="eastAsia"/>
                <w:bCs/>
                <w:szCs w:val="21"/>
              </w:rPr>
              <w:t>75</w:t>
            </w:r>
            <w:r>
              <w:rPr>
                <w:rFonts w:cs="宋体"/>
                <w:bCs/>
                <w:szCs w:val="21"/>
              </w:rPr>
              <w:t>%</w:t>
            </w:r>
          </w:p>
        </w:tc>
        <w:tc>
          <w:tcPr>
            <w:tcW w:w="541" w:type="pct"/>
            <w:vAlign w:val="center"/>
          </w:tcPr>
          <w:p w:rsidR="00EE4502" w:rsidRDefault="00FD45A3">
            <w:pPr>
              <w:tabs>
                <w:tab w:val="left" w:pos="2268"/>
              </w:tabs>
              <w:jc w:val="center"/>
              <w:rPr>
                <w:rFonts w:cs="宋体"/>
                <w:bCs/>
                <w:szCs w:val="21"/>
              </w:rPr>
            </w:pPr>
            <w:r>
              <w:rPr>
                <w:rFonts w:cs="宋体"/>
                <w:bCs/>
                <w:szCs w:val="21"/>
              </w:rPr>
              <w:t>10</w:t>
            </w:r>
          </w:p>
        </w:tc>
      </w:tr>
      <w:tr w:rsidR="00EE4502">
        <w:trPr>
          <w:trHeight w:val="340"/>
        </w:trPr>
        <w:tc>
          <w:tcPr>
            <w:tcW w:w="672" w:type="pct"/>
            <w:vMerge/>
            <w:vAlign w:val="center"/>
          </w:tcPr>
          <w:p w:rsidR="00EE4502" w:rsidRDefault="00EE4502">
            <w:pPr>
              <w:tabs>
                <w:tab w:val="left" w:pos="2268"/>
              </w:tabs>
              <w:jc w:val="center"/>
              <w:rPr>
                <w:rFonts w:cs="宋体"/>
                <w:bCs/>
                <w:szCs w:val="21"/>
              </w:rPr>
            </w:pPr>
          </w:p>
        </w:tc>
        <w:tc>
          <w:tcPr>
            <w:tcW w:w="464" w:type="pct"/>
            <w:gridSpan w:val="2"/>
            <w:vMerge/>
            <w:vAlign w:val="center"/>
          </w:tcPr>
          <w:p w:rsidR="00EE4502" w:rsidRDefault="00EE4502">
            <w:pPr>
              <w:tabs>
                <w:tab w:val="left" w:pos="2268"/>
              </w:tabs>
              <w:jc w:val="center"/>
              <w:rPr>
                <w:rFonts w:cs="宋体"/>
                <w:bCs/>
                <w:szCs w:val="21"/>
              </w:rPr>
            </w:pPr>
          </w:p>
        </w:tc>
        <w:tc>
          <w:tcPr>
            <w:tcW w:w="867" w:type="pct"/>
            <w:gridSpan w:val="2"/>
            <w:vAlign w:val="center"/>
          </w:tcPr>
          <w:p w:rsidR="00EE4502" w:rsidRDefault="00FD45A3">
            <w:pPr>
              <w:tabs>
                <w:tab w:val="left" w:pos="2268"/>
              </w:tabs>
              <w:jc w:val="center"/>
              <w:rPr>
                <w:rFonts w:cs="宋体"/>
                <w:bCs/>
                <w:szCs w:val="21"/>
              </w:rPr>
            </w:pPr>
            <w:r>
              <w:rPr>
                <w:rFonts w:cs="宋体"/>
                <w:bCs/>
                <w:szCs w:val="21"/>
              </w:rPr>
              <w:t>柴油机效率</w:t>
            </w:r>
          </w:p>
        </w:tc>
        <w:tc>
          <w:tcPr>
            <w:tcW w:w="931" w:type="pct"/>
            <w:vAlign w:val="center"/>
          </w:tcPr>
          <w:p w:rsidR="00EE4502" w:rsidRDefault="00FD45A3">
            <w:pPr>
              <w:jc w:val="center"/>
              <w:rPr>
                <w:szCs w:val="21"/>
              </w:rPr>
            </w:pPr>
            <w:r>
              <w:rPr>
                <w:rFonts w:hint="eastAsia"/>
                <w:szCs w:val="21"/>
              </w:rPr>
              <w:t>%</w:t>
            </w:r>
          </w:p>
        </w:tc>
        <w:tc>
          <w:tcPr>
            <w:tcW w:w="322" w:type="pct"/>
            <w:vAlign w:val="center"/>
          </w:tcPr>
          <w:p w:rsidR="00EE4502" w:rsidRDefault="00FD45A3">
            <w:pPr>
              <w:jc w:val="center"/>
              <w:rPr>
                <w:szCs w:val="21"/>
              </w:rPr>
            </w:pPr>
            <w:r>
              <w:rPr>
                <w:rFonts w:hint="eastAsia"/>
                <w:szCs w:val="21"/>
              </w:rPr>
              <w:t>5</w:t>
            </w:r>
          </w:p>
        </w:tc>
        <w:tc>
          <w:tcPr>
            <w:tcW w:w="803" w:type="pct"/>
            <w:vAlign w:val="center"/>
          </w:tcPr>
          <w:p w:rsidR="00EE4502" w:rsidRDefault="00FD45A3">
            <w:pPr>
              <w:tabs>
                <w:tab w:val="left" w:pos="2268"/>
              </w:tabs>
              <w:jc w:val="center"/>
              <w:rPr>
                <w:rFonts w:cs="宋体"/>
                <w:bCs/>
                <w:szCs w:val="21"/>
              </w:rPr>
            </w:pPr>
            <w:r>
              <w:rPr>
                <w:rFonts w:cs="宋体"/>
                <w:bCs/>
                <w:szCs w:val="21"/>
              </w:rPr>
              <w:t>≥90</w:t>
            </w:r>
            <w:r>
              <w:rPr>
                <w:rFonts w:cs="宋体" w:hint="eastAsia"/>
                <w:bCs/>
                <w:szCs w:val="21"/>
              </w:rPr>
              <w:t>%</w:t>
            </w:r>
          </w:p>
        </w:tc>
        <w:tc>
          <w:tcPr>
            <w:tcW w:w="401" w:type="pct"/>
            <w:gridSpan w:val="2"/>
            <w:vAlign w:val="center"/>
          </w:tcPr>
          <w:p w:rsidR="00EE4502" w:rsidRDefault="00FD45A3">
            <w:pPr>
              <w:tabs>
                <w:tab w:val="left" w:pos="2268"/>
              </w:tabs>
              <w:jc w:val="center"/>
              <w:rPr>
                <w:rFonts w:cs="宋体"/>
                <w:bCs/>
                <w:szCs w:val="21"/>
              </w:rPr>
            </w:pPr>
            <w:r>
              <w:rPr>
                <w:rFonts w:cs="宋体"/>
                <w:bCs/>
                <w:szCs w:val="21"/>
              </w:rPr>
              <w:t>90%</w:t>
            </w:r>
          </w:p>
        </w:tc>
        <w:tc>
          <w:tcPr>
            <w:tcW w:w="541" w:type="pct"/>
            <w:vAlign w:val="center"/>
          </w:tcPr>
          <w:p w:rsidR="00EE4502" w:rsidRDefault="00FD45A3">
            <w:pPr>
              <w:tabs>
                <w:tab w:val="left" w:pos="2268"/>
              </w:tabs>
              <w:jc w:val="center"/>
              <w:rPr>
                <w:rFonts w:cs="宋体"/>
                <w:bCs/>
                <w:szCs w:val="21"/>
              </w:rPr>
            </w:pPr>
            <w:r>
              <w:rPr>
                <w:rFonts w:cs="宋体" w:hint="eastAsia"/>
                <w:bCs/>
                <w:szCs w:val="21"/>
              </w:rPr>
              <w:t>5</w:t>
            </w:r>
          </w:p>
        </w:tc>
      </w:tr>
      <w:tr w:rsidR="00EE4502">
        <w:trPr>
          <w:trHeight w:val="340"/>
        </w:trPr>
        <w:tc>
          <w:tcPr>
            <w:tcW w:w="672" w:type="pct"/>
            <w:vMerge/>
            <w:vAlign w:val="center"/>
          </w:tcPr>
          <w:p w:rsidR="00EE4502" w:rsidRDefault="00EE4502">
            <w:pPr>
              <w:tabs>
                <w:tab w:val="left" w:pos="2268"/>
              </w:tabs>
              <w:jc w:val="center"/>
              <w:rPr>
                <w:rFonts w:cs="宋体"/>
                <w:bCs/>
                <w:szCs w:val="21"/>
              </w:rPr>
            </w:pPr>
          </w:p>
        </w:tc>
        <w:tc>
          <w:tcPr>
            <w:tcW w:w="464" w:type="pct"/>
            <w:gridSpan w:val="2"/>
            <w:vMerge/>
            <w:vAlign w:val="center"/>
          </w:tcPr>
          <w:p w:rsidR="00EE4502" w:rsidRDefault="00EE4502">
            <w:pPr>
              <w:tabs>
                <w:tab w:val="left" w:pos="2268"/>
              </w:tabs>
              <w:jc w:val="center"/>
              <w:rPr>
                <w:rFonts w:cs="宋体"/>
                <w:bCs/>
                <w:szCs w:val="21"/>
              </w:rPr>
            </w:pPr>
          </w:p>
        </w:tc>
        <w:tc>
          <w:tcPr>
            <w:tcW w:w="867" w:type="pct"/>
            <w:gridSpan w:val="2"/>
            <w:vAlign w:val="center"/>
          </w:tcPr>
          <w:p w:rsidR="00EE4502" w:rsidRDefault="00FD45A3">
            <w:pPr>
              <w:tabs>
                <w:tab w:val="left" w:pos="2268"/>
              </w:tabs>
              <w:jc w:val="center"/>
              <w:rPr>
                <w:rFonts w:cs="宋体"/>
                <w:bCs/>
                <w:szCs w:val="21"/>
              </w:rPr>
            </w:pPr>
            <w:r>
              <w:rPr>
                <w:rFonts w:cs="宋体"/>
                <w:bCs/>
                <w:szCs w:val="21"/>
              </w:rPr>
              <w:t>污油回收率</w:t>
            </w:r>
          </w:p>
        </w:tc>
        <w:tc>
          <w:tcPr>
            <w:tcW w:w="931" w:type="pct"/>
            <w:vAlign w:val="center"/>
          </w:tcPr>
          <w:p w:rsidR="00EE4502" w:rsidRDefault="00FD45A3">
            <w:pPr>
              <w:jc w:val="center"/>
              <w:rPr>
                <w:szCs w:val="21"/>
              </w:rPr>
            </w:pPr>
            <w:r>
              <w:rPr>
                <w:rFonts w:hint="eastAsia"/>
                <w:szCs w:val="21"/>
              </w:rPr>
              <w:t>%</w:t>
            </w:r>
          </w:p>
        </w:tc>
        <w:tc>
          <w:tcPr>
            <w:tcW w:w="322" w:type="pct"/>
            <w:vAlign w:val="center"/>
          </w:tcPr>
          <w:p w:rsidR="00EE4502" w:rsidRDefault="00FD45A3">
            <w:pPr>
              <w:jc w:val="center"/>
              <w:rPr>
                <w:szCs w:val="21"/>
              </w:rPr>
            </w:pPr>
            <w:r>
              <w:rPr>
                <w:rFonts w:hint="eastAsia"/>
                <w:szCs w:val="21"/>
              </w:rPr>
              <w:t>5</w:t>
            </w:r>
          </w:p>
        </w:tc>
        <w:tc>
          <w:tcPr>
            <w:tcW w:w="803" w:type="pct"/>
            <w:vAlign w:val="center"/>
          </w:tcPr>
          <w:p w:rsidR="00EE4502" w:rsidRDefault="00FD45A3">
            <w:pPr>
              <w:tabs>
                <w:tab w:val="left" w:pos="2268"/>
              </w:tabs>
              <w:jc w:val="center"/>
              <w:rPr>
                <w:rFonts w:cs="宋体"/>
                <w:bCs/>
                <w:szCs w:val="21"/>
              </w:rPr>
            </w:pPr>
            <w:r>
              <w:rPr>
                <w:rFonts w:cs="宋体"/>
                <w:bCs/>
                <w:szCs w:val="21"/>
              </w:rPr>
              <w:t>≥90</w:t>
            </w:r>
            <w:r>
              <w:rPr>
                <w:rFonts w:cs="宋体" w:hint="eastAsia"/>
                <w:bCs/>
                <w:szCs w:val="21"/>
              </w:rPr>
              <w:t>%</w:t>
            </w:r>
          </w:p>
        </w:tc>
        <w:tc>
          <w:tcPr>
            <w:tcW w:w="401" w:type="pct"/>
            <w:gridSpan w:val="2"/>
            <w:vAlign w:val="center"/>
          </w:tcPr>
          <w:p w:rsidR="00EE4502" w:rsidRDefault="00FD45A3">
            <w:pPr>
              <w:tabs>
                <w:tab w:val="left" w:pos="2268"/>
              </w:tabs>
              <w:jc w:val="center"/>
              <w:rPr>
                <w:rFonts w:cs="宋体"/>
                <w:bCs/>
                <w:szCs w:val="21"/>
              </w:rPr>
            </w:pPr>
            <w:r>
              <w:rPr>
                <w:rFonts w:cs="宋体"/>
                <w:bCs/>
                <w:szCs w:val="21"/>
              </w:rPr>
              <w:t>100%</w:t>
            </w:r>
          </w:p>
        </w:tc>
        <w:tc>
          <w:tcPr>
            <w:tcW w:w="541" w:type="pct"/>
            <w:vAlign w:val="center"/>
          </w:tcPr>
          <w:p w:rsidR="00EE4502" w:rsidRDefault="00FD45A3">
            <w:pPr>
              <w:tabs>
                <w:tab w:val="left" w:pos="2268"/>
              </w:tabs>
              <w:jc w:val="center"/>
              <w:rPr>
                <w:rFonts w:cs="宋体"/>
                <w:bCs/>
                <w:szCs w:val="21"/>
              </w:rPr>
            </w:pPr>
            <w:r>
              <w:rPr>
                <w:rFonts w:cs="宋体" w:hint="eastAsia"/>
                <w:bCs/>
                <w:szCs w:val="21"/>
              </w:rPr>
              <w:t>5</w:t>
            </w:r>
          </w:p>
        </w:tc>
      </w:tr>
      <w:tr w:rsidR="00EE4502">
        <w:trPr>
          <w:trHeight w:val="340"/>
        </w:trPr>
        <w:tc>
          <w:tcPr>
            <w:tcW w:w="672" w:type="pct"/>
            <w:vMerge w:val="restart"/>
            <w:vAlign w:val="center"/>
          </w:tcPr>
          <w:p w:rsidR="00EE4502" w:rsidRDefault="00FD45A3">
            <w:pPr>
              <w:tabs>
                <w:tab w:val="left" w:pos="2268"/>
              </w:tabs>
              <w:jc w:val="center"/>
              <w:rPr>
                <w:rFonts w:cs="宋体"/>
                <w:bCs/>
                <w:szCs w:val="21"/>
              </w:rPr>
            </w:pPr>
            <w:r>
              <w:rPr>
                <w:rFonts w:cs="宋体"/>
                <w:bCs/>
                <w:szCs w:val="21"/>
              </w:rPr>
              <w:t>（</w:t>
            </w:r>
            <w:r>
              <w:rPr>
                <w:rFonts w:cs="宋体"/>
                <w:bCs/>
                <w:szCs w:val="21"/>
              </w:rPr>
              <w:t>4</w:t>
            </w:r>
            <w:r>
              <w:rPr>
                <w:rFonts w:cs="宋体"/>
                <w:bCs/>
                <w:szCs w:val="21"/>
              </w:rPr>
              <w:t>）污染物</w:t>
            </w:r>
          </w:p>
          <w:p w:rsidR="00EE4502" w:rsidRDefault="00FD45A3">
            <w:pPr>
              <w:tabs>
                <w:tab w:val="left" w:pos="2268"/>
              </w:tabs>
              <w:jc w:val="center"/>
              <w:rPr>
                <w:rFonts w:cs="宋体"/>
                <w:bCs/>
                <w:szCs w:val="21"/>
              </w:rPr>
            </w:pPr>
            <w:r>
              <w:rPr>
                <w:rFonts w:cs="宋体"/>
                <w:bCs/>
                <w:szCs w:val="21"/>
              </w:rPr>
              <w:t>指标</w:t>
            </w:r>
          </w:p>
        </w:tc>
        <w:tc>
          <w:tcPr>
            <w:tcW w:w="464" w:type="pct"/>
            <w:gridSpan w:val="2"/>
            <w:vMerge w:val="restart"/>
            <w:vAlign w:val="center"/>
          </w:tcPr>
          <w:p w:rsidR="00EE4502" w:rsidRDefault="00FD45A3">
            <w:pPr>
              <w:tabs>
                <w:tab w:val="left" w:pos="2268"/>
              </w:tabs>
              <w:jc w:val="center"/>
              <w:rPr>
                <w:rFonts w:cs="宋体"/>
                <w:bCs/>
                <w:szCs w:val="21"/>
              </w:rPr>
            </w:pPr>
            <w:r>
              <w:rPr>
                <w:rFonts w:cs="宋体"/>
                <w:bCs/>
                <w:szCs w:val="21"/>
              </w:rPr>
              <w:t>25</w:t>
            </w:r>
          </w:p>
        </w:tc>
        <w:tc>
          <w:tcPr>
            <w:tcW w:w="867" w:type="pct"/>
            <w:gridSpan w:val="2"/>
            <w:vAlign w:val="center"/>
          </w:tcPr>
          <w:p w:rsidR="00EE4502" w:rsidRDefault="00FD45A3">
            <w:pPr>
              <w:tabs>
                <w:tab w:val="left" w:pos="2268"/>
              </w:tabs>
              <w:jc w:val="center"/>
              <w:rPr>
                <w:rFonts w:cs="宋体"/>
                <w:bCs/>
                <w:szCs w:val="21"/>
              </w:rPr>
            </w:pPr>
            <w:r>
              <w:rPr>
                <w:rFonts w:cs="宋体"/>
                <w:bCs/>
                <w:szCs w:val="21"/>
              </w:rPr>
              <w:t>钻井废水产生量</w:t>
            </w:r>
          </w:p>
        </w:tc>
        <w:tc>
          <w:tcPr>
            <w:tcW w:w="931" w:type="pct"/>
            <w:vAlign w:val="center"/>
          </w:tcPr>
          <w:p w:rsidR="00EE4502" w:rsidRDefault="00FD45A3">
            <w:pPr>
              <w:tabs>
                <w:tab w:val="left" w:pos="2268"/>
              </w:tabs>
              <w:jc w:val="center"/>
              <w:rPr>
                <w:rFonts w:cs="宋体"/>
                <w:bCs/>
                <w:szCs w:val="21"/>
              </w:rPr>
            </w:pPr>
            <w:r>
              <w:rPr>
                <w:rFonts w:cs="宋体"/>
                <w:bCs/>
                <w:szCs w:val="21"/>
              </w:rPr>
              <w:t>t/100m</w:t>
            </w:r>
            <w:r>
              <w:rPr>
                <w:rFonts w:cs="宋体"/>
                <w:bCs/>
                <w:szCs w:val="21"/>
              </w:rPr>
              <w:t>标准进尺</w:t>
            </w:r>
          </w:p>
        </w:tc>
        <w:tc>
          <w:tcPr>
            <w:tcW w:w="322" w:type="pct"/>
            <w:vAlign w:val="center"/>
          </w:tcPr>
          <w:p w:rsidR="00EE4502" w:rsidRDefault="00FD45A3">
            <w:pPr>
              <w:jc w:val="center"/>
              <w:rPr>
                <w:szCs w:val="21"/>
              </w:rPr>
            </w:pPr>
            <w:r>
              <w:rPr>
                <w:szCs w:val="21"/>
              </w:rPr>
              <w:t>10</w:t>
            </w:r>
          </w:p>
        </w:tc>
        <w:tc>
          <w:tcPr>
            <w:tcW w:w="803" w:type="pct"/>
            <w:vAlign w:val="center"/>
          </w:tcPr>
          <w:p w:rsidR="00EE4502" w:rsidRDefault="00FD45A3">
            <w:pPr>
              <w:tabs>
                <w:tab w:val="left" w:pos="2268"/>
              </w:tabs>
              <w:jc w:val="center"/>
              <w:rPr>
                <w:rFonts w:cs="宋体"/>
                <w:bCs/>
                <w:szCs w:val="21"/>
              </w:rPr>
            </w:pPr>
            <w:r>
              <w:rPr>
                <w:rFonts w:cs="宋体"/>
                <w:bCs/>
                <w:szCs w:val="21"/>
              </w:rPr>
              <w:t>甲类区：</w:t>
            </w:r>
            <w:r>
              <w:rPr>
                <w:rFonts w:cs="宋体"/>
                <w:bCs/>
                <w:szCs w:val="21"/>
              </w:rPr>
              <w:t>≤30</w:t>
            </w:r>
          </w:p>
          <w:p w:rsidR="00EE4502" w:rsidRDefault="00FD45A3">
            <w:pPr>
              <w:tabs>
                <w:tab w:val="left" w:pos="2268"/>
              </w:tabs>
              <w:jc w:val="center"/>
              <w:rPr>
                <w:rFonts w:cs="宋体"/>
                <w:bCs/>
                <w:szCs w:val="21"/>
              </w:rPr>
            </w:pPr>
            <w:r>
              <w:rPr>
                <w:rFonts w:cs="宋体"/>
                <w:bCs/>
                <w:szCs w:val="21"/>
              </w:rPr>
              <w:t>乙类区：</w:t>
            </w:r>
            <w:r>
              <w:rPr>
                <w:rFonts w:cs="宋体"/>
                <w:bCs/>
                <w:szCs w:val="21"/>
              </w:rPr>
              <w:t>≤35</w:t>
            </w:r>
          </w:p>
        </w:tc>
        <w:tc>
          <w:tcPr>
            <w:tcW w:w="401" w:type="pct"/>
            <w:gridSpan w:val="2"/>
            <w:vAlign w:val="center"/>
          </w:tcPr>
          <w:p w:rsidR="00EE4502" w:rsidRDefault="00FD45A3">
            <w:pPr>
              <w:tabs>
                <w:tab w:val="left" w:pos="2268"/>
              </w:tabs>
              <w:jc w:val="center"/>
              <w:rPr>
                <w:rFonts w:cs="宋体"/>
                <w:bCs/>
                <w:szCs w:val="21"/>
              </w:rPr>
            </w:pPr>
            <w:r>
              <w:rPr>
                <w:rFonts w:cs="宋体"/>
                <w:bCs/>
                <w:szCs w:val="21"/>
              </w:rPr>
              <w:t>≤35</w:t>
            </w:r>
          </w:p>
        </w:tc>
        <w:tc>
          <w:tcPr>
            <w:tcW w:w="541" w:type="pct"/>
            <w:vAlign w:val="center"/>
          </w:tcPr>
          <w:p w:rsidR="00EE4502" w:rsidRDefault="00FD45A3">
            <w:pPr>
              <w:tabs>
                <w:tab w:val="left" w:pos="2268"/>
              </w:tabs>
              <w:jc w:val="center"/>
              <w:rPr>
                <w:rFonts w:cs="宋体"/>
                <w:bCs/>
                <w:szCs w:val="21"/>
              </w:rPr>
            </w:pPr>
            <w:r>
              <w:rPr>
                <w:rFonts w:cs="宋体"/>
                <w:bCs/>
                <w:szCs w:val="21"/>
              </w:rPr>
              <w:t>10</w:t>
            </w:r>
          </w:p>
        </w:tc>
      </w:tr>
      <w:tr w:rsidR="00EE4502">
        <w:trPr>
          <w:trHeight w:val="340"/>
        </w:trPr>
        <w:tc>
          <w:tcPr>
            <w:tcW w:w="672" w:type="pct"/>
            <w:vMerge/>
            <w:vAlign w:val="center"/>
          </w:tcPr>
          <w:p w:rsidR="00EE4502" w:rsidRDefault="00EE4502">
            <w:pPr>
              <w:jc w:val="center"/>
              <w:rPr>
                <w:szCs w:val="21"/>
              </w:rPr>
            </w:pPr>
          </w:p>
        </w:tc>
        <w:tc>
          <w:tcPr>
            <w:tcW w:w="464" w:type="pct"/>
            <w:gridSpan w:val="2"/>
            <w:vMerge/>
            <w:vAlign w:val="center"/>
          </w:tcPr>
          <w:p w:rsidR="00EE4502" w:rsidRDefault="00EE4502">
            <w:pPr>
              <w:jc w:val="center"/>
              <w:rPr>
                <w:szCs w:val="21"/>
              </w:rPr>
            </w:pPr>
          </w:p>
        </w:tc>
        <w:tc>
          <w:tcPr>
            <w:tcW w:w="867" w:type="pct"/>
            <w:gridSpan w:val="2"/>
            <w:vAlign w:val="center"/>
          </w:tcPr>
          <w:p w:rsidR="00EE4502" w:rsidRDefault="00FD45A3">
            <w:pPr>
              <w:tabs>
                <w:tab w:val="left" w:pos="2268"/>
              </w:tabs>
              <w:jc w:val="center"/>
              <w:rPr>
                <w:rFonts w:cs="宋体"/>
                <w:bCs/>
                <w:szCs w:val="21"/>
              </w:rPr>
            </w:pPr>
            <w:r>
              <w:rPr>
                <w:rFonts w:cs="宋体"/>
                <w:bCs/>
                <w:szCs w:val="21"/>
              </w:rPr>
              <w:t>废弃钻井液</w:t>
            </w:r>
          </w:p>
          <w:p w:rsidR="00EE4502" w:rsidRDefault="00FD45A3">
            <w:pPr>
              <w:tabs>
                <w:tab w:val="left" w:pos="2268"/>
              </w:tabs>
              <w:jc w:val="center"/>
              <w:rPr>
                <w:rFonts w:cs="宋体"/>
                <w:bCs/>
                <w:szCs w:val="21"/>
              </w:rPr>
            </w:pPr>
            <w:r>
              <w:rPr>
                <w:rFonts w:cs="宋体"/>
                <w:bCs/>
                <w:szCs w:val="21"/>
              </w:rPr>
              <w:t>产生量</w:t>
            </w:r>
          </w:p>
        </w:tc>
        <w:tc>
          <w:tcPr>
            <w:tcW w:w="931" w:type="pct"/>
            <w:vAlign w:val="center"/>
          </w:tcPr>
          <w:p w:rsidR="00EE4502" w:rsidRDefault="00FD45A3">
            <w:pPr>
              <w:jc w:val="center"/>
              <w:rPr>
                <w:bCs/>
                <w:szCs w:val="21"/>
              </w:rPr>
            </w:pPr>
            <w:r>
              <w:rPr>
                <w:rFonts w:hint="eastAsia"/>
                <w:bCs/>
                <w:szCs w:val="21"/>
              </w:rPr>
              <w:t>m</w:t>
            </w:r>
            <w:r>
              <w:rPr>
                <w:rFonts w:hint="eastAsia"/>
                <w:bCs/>
                <w:szCs w:val="21"/>
              </w:rPr>
              <w:t>³</w:t>
            </w:r>
            <w:r>
              <w:rPr>
                <w:bCs/>
                <w:szCs w:val="21"/>
              </w:rPr>
              <w:t>/100m</w:t>
            </w:r>
            <w:r>
              <w:rPr>
                <w:bCs/>
                <w:szCs w:val="21"/>
              </w:rPr>
              <w:t>标准进尺</w:t>
            </w:r>
          </w:p>
        </w:tc>
        <w:tc>
          <w:tcPr>
            <w:tcW w:w="322" w:type="pct"/>
            <w:vAlign w:val="center"/>
          </w:tcPr>
          <w:p w:rsidR="00EE4502" w:rsidRDefault="00FD45A3">
            <w:pPr>
              <w:jc w:val="center"/>
              <w:rPr>
                <w:szCs w:val="21"/>
              </w:rPr>
            </w:pPr>
            <w:r>
              <w:rPr>
                <w:szCs w:val="21"/>
              </w:rPr>
              <w:t>10</w:t>
            </w:r>
          </w:p>
        </w:tc>
        <w:tc>
          <w:tcPr>
            <w:tcW w:w="803" w:type="pct"/>
            <w:vAlign w:val="center"/>
          </w:tcPr>
          <w:p w:rsidR="00EE4502" w:rsidRDefault="00FD45A3">
            <w:pPr>
              <w:tabs>
                <w:tab w:val="left" w:pos="2268"/>
              </w:tabs>
              <w:jc w:val="center"/>
              <w:rPr>
                <w:rFonts w:cs="宋体"/>
                <w:bCs/>
                <w:szCs w:val="21"/>
              </w:rPr>
            </w:pPr>
            <w:r>
              <w:rPr>
                <w:rFonts w:cs="宋体"/>
                <w:bCs/>
                <w:szCs w:val="21"/>
              </w:rPr>
              <w:t>≤10</w:t>
            </w:r>
          </w:p>
        </w:tc>
        <w:tc>
          <w:tcPr>
            <w:tcW w:w="401" w:type="pct"/>
            <w:gridSpan w:val="2"/>
            <w:vAlign w:val="center"/>
          </w:tcPr>
          <w:p w:rsidR="00EE4502" w:rsidRDefault="00FD45A3">
            <w:pPr>
              <w:tabs>
                <w:tab w:val="left" w:pos="2268"/>
              </w:tabs>
              <w:jc w:val="center"/>
              <w:rPr>
                <w:rFonts w:cs="宋体"/>
                <w:bCs/>
                <w:szCs w:val="21"/>
              </w:rPr>
            </w:pPr>
            <w:r>
              <w:rPr>
                <w:rFonts w:cs="宋体"/>
                <w:bCs/>
                <w:szCs w:val="21"/>
              </w:rPr>
              <w:t>≤10</w:t>
            </w:r>
          </w:p>
        </w:tc>
        <w:tc>
          <w:tcPr>
            <w:tcW w:w="541" w:type="pct"/>
            <w:vAlign w:val="center"/>
          </w:tcPr>
          <w:p w:rsidR="00EE4502" w:rsidRDefault="00FD45A3">
            <w:pPr>
              <w:tabs>
                <w:tab w:val="left" w:pos="2268"/>
              </w:tabs>
              <w:jc w:val="center"/>
              <w:rPr>
                <w:rFonts w:cs="宋体"/>
                <w:bCs/>
                <w:szCs w:val="21"/>
              </w:rPr>
            </w:pPr>
            <w:r>
              <w:rPr>
                <w:rFonts w:cs="宋体"/>
                <w:bCs/>
                <w:szCs w:val="21"/>
              </w:rPr>
              <w:t>10</w:t>
            </w:r>
          </w:p>
        </w:tc>
      </w:tr>
      <w:tr w:rsidR="00EE4502">
        <w:trPr>
          <w:trHeight w:val="340"/>
        </w:trPr>
        <w:tc>
          <w:tcPr>
            <w:tcW w:w="672" w:type="pct"/>
            <w:vMerge/>
            <w:vAlign w:val="center"/>
          </w:tcPr>
          <w:p w:rsidR="00EE4502" w:rsidRDefault="00EE4502">
            <w:pPr>
              <w:jc w:val="center"/>
              <w:rPr>
                <w:szCs w:val="21"/>
              </w:rPr>
            </w:pPr>
          </w:p>
        </w:tc>
        <w:tc>
          <w:tcPr>
            <w:tcW w:w="464" w:type="pct"/>
            <w:gridSpan w:val="2"/>
            <w:vMerge/>
            <w:vAlign w:val="center"/>
          </w:tcPr>
          <w:p w:rsidR="00EE4502" w:rsidRDefault="00EE4502">
            <w:pPr>
              <w:jc w:val="center"/>
              <w:rPr>
                <w:szCs w:val="21"/>
              </w:rPr>
            </w:pPr>
          </w:p>
        </w:tc>
        <w:tc>
          <w:tcPr>
            <w:tcW w:w="867" w:type="pct"/>
            <w:gridSpan w:val="2"/>
            <w:vAlign w:val="center"/>
          </w:tcPr>
          <w:p w:rsidR="00EE4502" w:rsidRDefault="00FD45A3">
            <w:pPr>
              <w:tabs>
                <w:tab w:val="left" w:pos="2268"/>
              </w:tabs>
              <w:jc w:val="center"/>
              <w:rPr>
                <w:rFonts w:cs="宋体"/>
                <w:bCs/>
                <w:szCs w:val="21"/>
              </w:rPr>
            </w:pPr>
            <w:r>
              <w:rPr>
                <w:rFonts w:cs="宋体"/>
                <w:bCs/>
                <w:szCs w:val="21"/>
              </w:rPr>
              <w:t>柴油机烟气</w:t>
            </w:r>
          </w:p>
        </w:tc>
        <w:tc>
          <w:tcPr>
            <w:tcW w:w="931" w:type="pct"/>
            <w:vAlign w:val="center"/>
          </w:tcPr>
          <w:p w:rsidR="00EE4502" w:rsidRDefault="00FD45A3">
            <w:pPr>
              <w:jc w:val="center"/>
              <w:rPr>
                <w:bCs/>
                <w:szCs w:val="21"/>
              </w:rPr>
            </w:pPr>
            <w:r>
              <w:rPr>
                <w:bCs/>
                <w:szCs w:val="21"/>
              </w:rPr>
              <w:t>-</w:t>
            </w:r>
          </w:p>
        </w:tc>
        <w:tc>
          <w:tcPr>
            <w:tcW w:w="322" w:type="pct"/>
            <w:vAlign w:val="center"/>
          </w:tcPr>
          <w:p w:rsidR="00EE4502" w:rsidRDefault="00FD45A3">
            <w:pPr>
              <w:jc w:val="center"/>
              <w:rPr>
                <w:szCs w:val="21"/>
              </w:rPr>
            </w:pPr>
            <w:r>
              <w:rPr>
                <w:rFonts w:hint="eastAsia"/>
                <w:szCs w:val="21"/>
              </w:rPr>
              <w:t>2</w:t>
            </w:r>
          </w:p>
        </w:tc>
        <w:tc>
          <w:tcPr>
            <w:tcW w:w="803" w:type="pct"/>
            <w:vAlign w:val="center"/>
          </w:tcPr>
          <w:p w:rsidR="00EE4502" w:rsidRDefault="00FD45A3">
            <w:pPr>
              <w:tabs>
                <w:tab w:val="left" w:pos="2268"/>
              </w:tabs>
              <w:jc w:val="center"/>
              <w:rPr>
                <w:rFonts w:cs="宋体"/>
                <w:bCs/>
                <w:szCs w:val="21"/>
              </w:rPr>
            </w:pPr>
            <w:r>
              <w:rPr>
                <w:rFonts w:cs="宋体"/>
                <w:bCs/>
                <w:szCs w:val="21"/>
              </w:rPr>
              <w:t>符合排放标准要求</w:t>
            </w:r>
          </w:p>
        </w:tc>
        <w:tc>
          <w:tcPr>
            <w:tcW w:w="401" w:type="pct"/>
            <w:gridSpan w:val="2"/>
            <w:vAlign w:val="center"/>
          </w:tcPr>
          <w:p w:rsidR="00EE4502" w:rsidRDefault="00FD45A3">
            <w:pPr>
              <w:tabs>
                <w:tab w:val="left" w:pos="2268"/>
              </w:tabs>
              <w:jc w:val="center"/>
              <w:rPr>
                <w:rFonts w:cs="宋体"/>
                <w:bCs/>
                <w:szCs w:val="21"/>
              </w:rPr>
            </w:pPr>
            <w:r>
              <w:rPr>
                <w:rFonts w:cs="宋体"/>
                <w:bCs/>
                <w:szCs w:val="21"/>
              </w:rPr>
              <w:t>符合</w:t>
            </w:r>
          </w:p>
        </w:tc>
        <w:tc>
          <w:tcPr>
            <w:tcW w:w="541" w:type="pct"/>
            <w:vAlign w:val="center"/>
          </w:tcPr>
          <w:p w:rsidR="00EE4502" w:rsidRDefault="00FD45A3">
            <w:pPr>
              <w:tabs>
                <w:tab w:val="left" w:pos="2268"/>
              </w:tabs>
              <w:jc w:val="center"/>
              <w:rPr>
                <w:rFonts w:cs="宋体"/>
                <w:bCs/>
                <w:szCs w:val="21"/>
              </w:rPr>
            </w:pPr>
            <w:r>
              <w:rPr>
                <w:rFonts w:cs="宋体"/>
                <w:bCs/>
                <w:szCs w:val="21"/>
              </w:rPr>
              <w:t>2</w:t>
            </w:r>
          </w:p>
        </w:tc>
      </w:tr>
      <w:tr w:rsidR="00EE4502">
        <w:trPr>
          <w:trHeight w:val="340"/>
        </w:trPr>
        <w:tc>
          <w:tcPr>
            <w:tcW w:w="672" w:type="pct"/>
            <w:vMerge/>
            <w:vAlign w:val="center"/>
          </w:tcPr>
          <w:p w:rsidR="00EE4502" w:rsidRDefault="00EE4502">
            <w:pPr>
              <w:jc w:val="center"/>
              <w:rPr>
                <w:szCs w:val="21"/>
              </w:rPr>
            </w:pPr>
          </w:p>
        </w:tc>
        <w:tc>
          <w:tcPr>
            <w:tcW w:w="464" w:type="pct"/>
            <w:gridSpan w:val="2"/>
            <w:vMerge/>
            <w:vAlign w:val="center"/>
          </w:tcPr>
          <w:p w:rsidR="00EE4502" w:rsidRDefault="00EE4502">
            <w:pPr>
              <w:jc w:val="center"/>
              <w:rPr>
                <w:szCs w:val="21"/>
              </w:rPr>
            </w:pPr>
          </w:p>
        </w:tc>
        <w:tc>
          <w:tcPr>
            <w:tcW w:w="867" w:type="pct"/>
            <w:gridSpan w:val="2"/>
            <w:vAlign w:val="center"/>
          </w:tcPr>
          <w:p w:rsidR="00EE4502" w:rsidRDefault="00FD45A3">
            <w:pPr>
              <w:tabs>
                <w:tab w:val="left" w:pos="2268"/>
              </w:tabs>
              <w:jc w:val="center"/>
              <w:rPr>
                <w:rFonts w:cs="宋体"/>
                <w:bCs/>
                <w:szCs w:val="21"/>
              </w:rPr>
            </w:pPr>
            <w:r>
              <w:rPr>
                <w:rFonts w:cs="宋体" w:hint="eastAsia"/>
                <w:bCs/>
                <w:szCs w:val="21"/>
              </w:rPr>
              <w:t>噪声</w:t>
            </w:r>
          </w:p>
        </w:tc>
        <w:tc>
          <w:tcPr>
            <w:tcW w:w="931" w:type="pct"/>
            <w:vAlign w:val="center"/>
          </w:tcPr>
          <w:p w:rsidR="00EE4502" w:rsidRDefault="00EE4502">
            <w:pPr>
              <w:jc w:val="center"/>
              <w:rPr>
                <w:bCs/>
                <w:szCs w:val="21"/>
              </w:rPr>
            </w:pPr>
          </w:p>
        </w:tc>
        <w:tc>
          <w:tcPr>
            <w:tcW w:w="322" w:type="pct"/>
            <w:vAlign w:val="center"/>
          </w:tcPr>
          <w:p w:rsidR="00EE4502" w:rsidRDefault="00FD45A3">
            <w:pPr>
              <w:jc w:val="center"/>
              <w:rPr>
                <w:szCs w:val="21"/>
              </w:rPr>
            </w:pPr>
            <w:r>
              <w:rPr>
                <w:rFonts w:hint="eastAsia"/>
                <w:szCs w:val="21"/>
              </w:rPr>
              <w:t>3</w:t>
            </w:r>
          </w:p>
        </w:tc>
        <w:tc>
          <w:tcPr>
            <w:tcW w:w="803" w:type="pct"/>
            <w:vAlign w:val="center"/>
          </w:tcPr>
          <w:p w:rsidR="00EE4502" w:rsidRDefault="00FD45A3">
            <w:pPr>
              <w:tabs>
                <w:tab w:val="left" w:pos="2268"/>
              </w:tabs>
              <w:jc w:val="center"/>
              <w:rPr>
                <w:rFonts w:cs="宋体"/>
                <w:bCs/>
                <w:szCs w:val="21"/>
              </w:rPr>
            </w:pPr>
            <w:r>
              <w:rPr>
                <w:rFonts w:cs="宋体"/>
                <w:bCs/>
                <w:szCs w:val="21"/>
              </w:rPr>
              <w:t>符合排放标准要求</w:t>
            </w:r>
          </w:p>
        </w:tc>
        <w:tc>
          <w:tcPr>
            <w:tcW w:w="401" w:type="pct"/>
            <w:gridSpan w:val="2"/>
            <w:vAlign w:val="center"/>
          </w:tcPr>
          <w:p w:rsidR="00EE4502" w:rsidRDefault="00FD45A3">
            <w:pPr>
              <w:tabs>
                <w:tab w:val="left" w:pos="2268"/>
              </w:tabs>
              <w:jc w:val="center"/>
              <w:rPr>
                <w:rFonts w:cs="宋体"/>
                <w:bCs/>
                <w:szCs w:val="21"/>
              </w:rPr>
            </w:pPr>
            <w:r>
              <w:rPr>
                <w:rFonts w:cs="宋体"/>
                <w:bCs/>
                <w:szCs w:val="21"/>
              </w:rPr>
              <w:t>符合</w:t>
            </w:r>
          </w:p>
        </w:tc>
        <w:tc>
          <w:tcPr>
            <w:tcW w:w="541" w:type="pct"/>
            <w:vAlign w:val="center"/>
          </w:tcPr>
          <w:p w:rsidR="00EE4502" w:rsidRDefault="00FD45A3">
            <w:pPr>
              <w:tabs>
                <w:tab w:val="left" w:pos="2268"/>
              </w:tabs>
              <w:jc w:val="center"/>
              <w:rPr>
                <w:rFonts w:cs="宋体"/>
                <w:bCs/>
                <w:szCs w:val="21"/>
              </w:rPr>
            </w:pPr>
            <w:r>
              <w:rPr>
                <w:rFonts w:cs="宋体" w:hint="eastAsia"/>
                <w:bCs/>
                <w:szCs w:val="21"/>
              </w:rPr>
              <w:t>3</w:t>
            </w:r>
          </w:p>
        </w:tc>
      </w:tr>
      <w:tr w:rsidR="00EE4502">
        <w:trPr>
          <w:trHeight w:val="340"/>
        </w:trPr>
        <w:tc>
          <w:tcPr>
            <w:tcW w:w="5000" w:type="pct"/>
            <w:gridSpan w:val="11"/>
            <w:vAlign w:val="center"/>
          </w:tcPr>
          <w:p w:rsidR="00EE4502" w:rsidRDefault="00FD45A3">
            <w:pPr>
              <w:tabs>
                <w:tab w:val="left" w:pos="2268"/>
              </w:tabs>
              <w:jc w:val="center"/>
              <w:rPr>
                <w:rFonts w:cs="宋体"/>
                <w:szCs w:val="21"/>
              </w:rPr>
            </w:pPr>
            <w:r>
              <w:rPr>
                <w:rFonts w:cs="宋体"/>
                <w:szCs w:val="21"/>
              </w:rPr>
              <w:t>定性指标</w:t>
            </w:r>
          </w:p>
        </w:tc>
      </w:tr>
      <w:tr w:rsidR="00EE4502">
        <w:trPr>
          <w:trHeight w:val="340"/>
        </w:trPr>
        <w:tc>
          <w:tcPr>
            <w:tcW w:w="857" w:type="pct"/>
            <w:gridSpan w:val="2"/>
            <w:vAlign w:val="center"/>
          </w:tcPr>
          <w:p w:rsidR="00EE4502" w:rsidRDefault="00FD45A3">
            <w:pPr>
              <w:tabs>
                <w:tab w:val="left" w:pos="2268"/>
              </w:tabs>
              <w:jc w:val="center"/>
              <w:rPr>
                <w:rFonts w:cs="宋体"/>
                <w:bCs/>
                <w:szCs w:val="21"/>
              </w:rPr>
            </w:pPr>
            <w:r>
              <w:rPr>
                <w:rFonts w:cs="宋体"/>
                <w:bCs/>
                <w:szCs w:val="21"/>
              </w:rPr>
              <w:t>一级指标</w:t>
            </w:r>
          </w:p>
        </w:tc>
        <w:tc>
          <w:tcPr>
            <w:tcW w:w="307" w:type="pct"/>
            <w:gridSpan w:val="2"/>
            <w:vAlign w:val="center"/>
          </w:tcPr>
          <w:p w:rsidR="00EE4502" w:rsidRDefault="00FD45A3">
            <w:pPr>
              <w:tabs>
                <w:tab w:val="left" w:pos="2268"/>
              </w:tabs>
              <w:jc w:val="center"/>
              <w:rPr>
                <w:rFonts w:cs="宋体"/>
                <w:bCs/>
                <w:szCs w:val="21"/>
              </w:rPr>
            </w:pPr>
            <w:r>
              <w:rPr>
                <w:rFonts w:cs="宋体"/>
                <w:bCs/>
                <w:szCs w:val="21"/>
              </w:rPr>
              <w:t>权重值</w:t>
            </w:r>
          </w:p>
        </w:tc>
        <w:tc>
          <w:tcPr>
            <w:tcW w:w="2091" w:type="pct"/>
            <w:gridSpan w:val="3"/>
            <w:vAlign w:val="center"/>
          </w:tcPr>
          <w:p w:rsidR="00EE4502" w:rsidRDefault="00FD45A3">
            <w:pPr>
              <w:tabs>
                <w:tab w:val="left" w:pos="2268"/>
              </w:tabs>
              <w:jc w:val="center"/>
              <w:rPr>
                <w:rFonts w:cs="宋体"/>
                <w:bCs/>
                <w:szCs w:val="21"/>
              </w:rPr>
            </w:pPr>
            <w:r>
              <w:rPr>
                <w:rFonts w:cs="宋体"/>
                <w:bCs/>
                <w:szCs w:val="21"/>
              </w:rPr>
              <w:t>二级指标</w:t>
            </w:r>
          </w:p>
        </w:tc>
        <w:tc>
          <w:tcPr>
            <w:tcW w:w="945" w:type="pct"/>
            <w:gridSpan w:val="2"/>
            <w:vAlign w:val="center"/>
          </w:tcPr>
          <w:p w:rsidR="00EE4502" w:rsidRDefault="00FD45A3">
            <w:pPr>
              <w:jc w:val="center"/>
              <w:rPr>
                <w:bCs/>
                <w:szCs w:val="21"/>
              </w:rPr>
            </w:pPr>
            <w:r>
              <w:rPr>
                <w:bCs/>
                <w:szCs w:val="21"/>
              </w:rPr>
              <w:t>指标分值</w:t>
            </w:r>
          </w:p>
        </w:tc>
        <w:tc>
          <w:tcPr>
            <w:tcW w:w="799" w:type="pct"/>
            <w:gridSpan w:val="2"/>
            <w:vAlign w:val="center"/>
          </w:tcPr>
          <w:p w:rsidR="00EE4502" w:rsidRDefault="00FD45A3">
            <w:pPr>
              <w:jc w:val="center"/>
              <w:rPr>
                <w:bCs/>
                <w:szCs w:val="21"/>
              </w:rPr>
            </w:pPr>
            <w:r>
              <w:rPr>
                <w:rFonts w:hint="eastAsia"/>
                <w:bCs/>
                <w:szCs w:val="21"/>
              </w:rPr>
              <w:t>本工程</w:t>
            </w:r>
            <w:r>
              <w:rPr>
                <w:bCs/>
                <w:szCs w:val="21"/>
              </w:rPr>
              <w:t>评价得分</w:t>
            </w:r>
          </w:p>
        </w:tc>
      </w:tr>
      <w:tr w:rsidR="00EE4502">
        <w:trPr>
          <w:trHeight w:val="340"/>
        </w:trPr>
        <w:tc>
          <w:tcPr>
            <w:tcW w:w="857" w:type="pct"/>
            <w:gridSpan w:val="2"/>
            <w:vAlign w:val="center"/>
          </w:tcPr>
          <w:p w:rsidR="00EE4502" w:rsidRDefault="00FD45A3">
            <w:pPr>
              <w:tabs>
                <w:tab w:val="left" w:pos="2268"/>
              </w:tabs>
              <w:jc w:val="center"/>
              <w:rPr>
                <w:rFonts w:cs="宋体"/>
                <w:bCs/>
                <w:szCs w:val="21"/>
              </w:rPr>
            </w:pPr>
            <w:r>
              <w:rPr>
                <w:rFonts w:cs="宋体"/>
                <w:bCs/>
                <w:szCs w:val="21"/>
              </w:rPr>
              <w:t>（</w:t>
            </w:r>
            <w:r>
              <w:rPr>
                <w:rFonts w:cs="宋体"/>
                <w:bCs/>
                <w:szCs w:val="21"/>
              </w:rPr>
              <w:t>1</w:t>
            </w:r>
            <w:r>
              <w:rPr>
                <w:rFonts w:cs="宋体"/>
                <w:bCs/>
                <w:szCs w:val="21"/>
              </w:rPr>
              <w:t>）原辅材料</w:t>
            </w:r>
          </w:p>
        </w:tc>
        <w:tc>
          <w:tcPr>
            <w:tcW w:w="307" w:type="pct"/>
            <w:gridSpan w:val="2"/>
            <w:vAlign w:val="center"/>
          </w:tcPr>
          <w:p w:rsidR="00EE4502" w:rsidRDefault="00FD45A3">
            <w:pPr>
              <w:tabs>
                <w:tab w:val="left" w:pos="2268"/>
              </w:tabs>
              <w:jc w:val="center"/>
              <w:rPr>
                <w:rFonts w:cs="宋体"/>
                <w:bCs/>
                <w:szCs w:val="21"/>
              </w:rPr>
            </w:pPr>
            <w:r>
              <w:rPr>
                <w:rFonts w:cs="宋体"/>
                <w:bCs/>
                <w:szCs w:val="21"/>
              </w:rPr>
              <w:t>15</w:t>
            </w:r>
          </w:p>
        </w:tc>
        <w:tc>
          <w:tcPr>
            <w:tcW w:w="838" w:type="pct"/>
            <w:vAlign w:val="center"/>
          </w:tcPr>
          <w:p w:rsidR="00EE4502" w:rsidRDefault="00FD45A3">
            <w:pPr>
              <w:tabs>
                <w:tab w:val="left" w:pos="2268"/>
              </w:tabs>
              <w:jc w:val="center"/>
              <w:rPr>
                <w:rFonts w:cs="宋体"/>
                <w:bCs/>
                <w:szCs w:val="21"/>
              </w:rPr>
            </w:pPr>
            <w:r>
              <w:rPr>
                <w:rFonts w:cs="宋体"/>
                <w:bCs/>
                <w:szCs w:val="21"/>
              </w:rPr>
              <w:t>钻井液消毒</w:t>
            </w:r>
          </w:p>
        </w:tc>
        <w:tc>
          <w:tcPr>
            <w:tcW w:w="1253" w:type="pct"/>
            <w:gridSpan w:val="2"/>
            <w:vAlign w:val="center"/>
          </w:tcPr>
          <w:p w:rsidR="00EE4502" w:rsidRDefault="00FD45A3">
            <w:pPr>
              <w:tabs>
                <w:tab w:val="left" w:pos="2268"/>
              </w:tabs>
              <w:jc w:val="center"/>
              <w:rPr>
                <w:rFonts w:cs="宋体"/>
                <w:bCs/>
                <w:szCs w:val="21"/>
              </w:rPr>
            </w:pPr>
            <w:r>
              <w:rPr>
                <w:rFonts w:cs="宋体"/>
                <w:bCs/>
                <w:szCs w:val="21"/>
              </w:rPr>
              <w:t>可生物降解或无毒钻井液</w:t>
            </w:r>
          </w:p>
        </w:tc>
        <w:tc>
          <w:tcPr>
            <w:tcW w:w="945" w:type="pct"/>
            <w:gridSpan w:val="2"/>
            <w:vAlign w:val="center"/>
          </w:tcPr>
          <w:p w:rsidR="00EE4502" w:rsidRDefault="00FD45A3">
            <w:pPr>
              <w:jc w:val="center"/>
              <w:rPr>
                <w:bCs/>
                <w:szCs w:val="21"/>
              </w:rPr>
            </w:pPr>
            <w:r>
              <w:rPr>
                <w:bCs/>
                <w:szCs w:val="21"/>
              </w:rPr>
              <w:t>15</w:t>
            </w:r>
          </w:p>
        </w:tc>
        <w:tc>
          <w:tcPr>
            <w:tcW w:w="799" w:type="pct"/>
            <w:gridSpan w:val="2"/>
            <w:vAlign w:val="center"/>
          </w:tcPr>
          <w:p w:rsidR="00EE4502" w:rsidRDefault="00FD45A3">
            <w:pPr>
              <w:jc w:val="center"/>
              <w:rPr>
                <w:bCs/>
                <w:szCs w:val="21"/>
              </w:rPr>
            </w:pPr>
            <w:r>
              <w:rPr>
                <w:bCs/>
                <w:szCs w:val="21"/>
              </w:rPr>
              <w:t>15</w:t>
            </w:r>
          </w:p>
        </w:tc>
      </w:tr>
      <w:tr w:rsidR="00EE4502">
        <w:trPr>
          <w:trHeight w:val="340"/>
        </w:trPr>
        <w:tc>
          <w:tcPr>
            <w:tcW w:w="857" w:type="pct"/>
            <w:gridSpan w:val="2"/>
            <w:vMerge w:val="restart"/>
            <w:vAlign w:val="center"/>
          </w:tcPr>
          <w:p w:rsidR="00EE4502" w:rsidRDefault="00FD45A3">
            <w:pPr>
              <w:tabs>
                <w:tab w:val="left" w:pos="2268"/>
              </w:tabs>
              <w:jc w:val="center"/>
              <w:rPr>
                <w:rFonts w:cs="宋体"/>
                <w:bCs/>
                <w:szCs w:val="21"/>
              </w:rPr>
            </w:pPr>
            <w:r>
              <w:rPr>
                <w:rFonts w:cs="宋体"/>
                <w:bCs/>
                <w:szCs w:val="21"/>
              </w:rPr>
              <w:t>（</w:t>
            </w:r>
            <w:r>
              <w:rPr>
                <w:rFonts w:cs="宋体"/>
                <w:bCs/>
                <w:szCs w:val="21"/>
              </w:rPr>
              <w:t>2</w:t>
            </w:r>
            <w:r>
              <w:rPr>
                <w:rFonts w:cs="宋体"/>
                <w:bCs/>
                <w:szCs w:val="21"/>
              </w:rPr>
              <w:t>）生产工艺及设备要求</w:t>
            </w:r>
          </w:p>
        </w:tc>
        <w:tc>
          <w:tcPr>
            <w:tcW w:w="307" w:type="pct"/>
            <w:gridSpan w:val="2"/>
            <w:vMerge w:val="restart"/>
            <w:vAlign w:val="center"/>
          </w:tcPr>
          <w:p w:rsidR="00EE4502" w:rsidRDefault="00FD45A3">
            <w:pPr>
              <w:tabs>
                <w:tab w:val="left" w:pos="2268"/>
              </w:tabs>
              <w:jc w:val="center"/>
              <w:rPr>
                <w:rFonts w:cs="宋体"/>
                <w:bCs/>
                <w:szCs w:val="21"/>
              </w:rPr>
            </w:pPr>
            <w:r>
              <w:rPr>
                <w:rFonts w:cs="宋体" w:hint="eastAsia"/>
                <w:bCs/>
                <w:szCs w:val="21"/>
              </w:rPr>
              <w:t>4</w:t>
            </w:r>
            <w:r>
              <w:rPr>
                <w:rFonts w:cs="宋体"/>
                <w:bCs/>
                <w:szCs w:val="21"/>
              </w:rPr>
              <w:t>0</w:t>
            </w:r>
          </w:p>
        </w:tc>
        <w:tc>
          <w:tcPr>
            <w:tcW w:w="838" w:type="pct"/>
            <w:vAlign w:val="center"/>
          </w:tcPr>
          <w:p w:rsidR="00EE4502" w:rsidRDefault="00FD45A3">
            <w:pPr>
              <w:tabs>
                <w:tab w:val="left" w:pos="2268"/>
              </w:tabs>
              <w:jc w:val="center"/>
              <w:rPr>
                <w:rFonts w:cs="宋体"/>
                <w:bCs/>
                <w:szCs w:val="21"/>
              </w:rPr>
            </w:pPr>
            <w:r>
              <w:rPr>
                <w:rFonts w:cs="宋体"/>
                <w:bCs/>
                <w:szCs w:val="21"/>
              </w:rPr>
              <w:t>钻井设备先进性</w:t>
            </w:r>
          </w:p>
        </w:tc>
        <w:tc>
          <w:tcPr>
            <w:tcW w:w="1253" w:type="pct"/>
            <w:gridSpan w:val="2"/>
            <w:vAlign w:val="center"/>
          </w:tcPr>
          <w:p w:rsidR="00EE4502" w:rsidRDefault="00FD45A3">
            <w:pPr>
              <w:tabs>
                <w:tab w:val="left" w:pos="2268"/>
              </w:tabs>
              <w:jc w:val="center"/>
              <w:rPr>
                <w:rFonts w:cs="宋体"/>
                <w:bCs/>
                <w:szCs w:val="21"/>
              </w:rPr>
            </w:pPr>
            <w:r>
              <w:rPr>
                <w:rFonts w:cs="宋体"/>
                <w:bCs/>
                <w:szCs w:val="21"/>
              </w:rPr>
              <w:t>国内领先</w:t>
            </w:r>
          </w:p>
        </w:tc>
        <w:tc>
          <w:tcPr>
            <w:tcW w:w="945" w:type="pct"/>
            <w:gridSpan w:val="2"/>
            <w:vAlign w:val="center"/>
          </w:tcPr>
          <w:p w:rsidR="00EE4502" w:rsidRDefault="00FD45A3">
            <w:pPr>
              <w:jc w:val="center"/>
              <w:rPr>
                <w:bCs/>
                <w:szCs w:val="21"/>
              </w:rPr>
            </w:pPr>
            <w:r>
              <w:rPr>
                <w:rFonts w:hint="eastAsia"/>
                <w:bCs/>
                <w:szCs w:val="21"/>
              </w:rPr>
              <w:t>8</w:t>
            </w:r>
          </w:p>
        </w:tc>
        <w:tc>
          <w:tcPr>
            <w:tcW w:w="799" w:type="pct"/>
            <w:gridSpan w:val="2"/>
            <w:vAlign w:val="center"/>
          </w:tcPr>
          <w:p w:rsidR="00EE4502" w:rsidRDefault="00FD45A3">
            <w:pPr>
              <w:jc w:val="center"/>
              <w:rPr>
                <w:bCs/>
                <w:szCs w:val="21"/>
              </w:rPr>
            </w:pPr>
            <w:r>
              <w:rPr>
                <w:rFonts w:hint="eastAsia"/>
                <w:bCs/>
                <w:szCs w:val="21"/>
              </w:rPr>
              <w:t>8</w:t>
            </w:r>
          </w:p>
        </w:tc>
      </w:tr>
      <w:tr w:rsidR="00EE4502">
        <w:trPr>
          <w:trHeight w:val="340"/>
        </w:trPr>
        <w:tc>
          <w:tcPr>
            <w:tcW w:w="857" w:type="pct"/>
            <w:gridSpan w:val="2"/>
            <w:vMerge/>
            <w:vAlign w:val="center"/>
          </w:tcPr>
          <w:p w:rsidR="00EE4502" w:rsidRDefault="00EE4502">
            <w:pPr>
              <w:tabs>
                <w:tab w:val="left" w:pos="2268"/>
              </w:tabs>
              <w:jc w:val="center"/>
              <w:rPr>
                <w:rFonts w:cs="宋体"/>
                <w:bCs/>
                <w:szCs w:val="21"/>
              </w:rPr>
            </w:pPr>
          </w:p>
        </w:tc>
        <w:tc>
          <w:tcPr>
            <w:tcW w:w="307" w:type="pct"/>
            <w:gridSpan w:val="2"/>
            <w:vMerge/>
            <w:vAlign w:val="center"/>
          </w:tcPr>
          <w:p w:rsidR="00EE4502" w:rsidRDefault="00EE4502">
            <w:pPr>
              <w:tabs>
                <w:tab w:val="left" w:pos="2268"/>
              </w:tabs>
              <w:jc w:val="center"/>
              <w:rPr>
                <w:rFonts w:cs="宋体"/>
                <w:bCs/>
                <w:szCs w:val="21"/>
              </w:rPr>
            </w:pPr>
          </w:p>
        </w:tc>
        <w:tc>
          <w:tcPr>
            <w:tcW w:w="838" w:type="pct"/>
            <w:vAlign w:val="center"/>
          </w:tcPr>
          <w:p w:rsidR="00EE4502" w:rsidRDefault="00FD45A3">
            <w:pPr>
              <w:tabs>
                <w:tab w:val="left" w:pos="2268"/>
              </w:tabs>
              <w:jc w:val="center"/>
              <w:rPr>
                <w:rFonts w:cs="宋体"/>
                <w:bCs/>
                <w:szCs w:val="21"/>
              </w:rPr>
            </w:pPr>
            <w:r>
              <w:rPr>
                <w:rFonts w:cs="宋体"/>
                <w:bCs/>
                <w:szCs w:val="21"/>
              </w:rPr>
              <w:t>压力平衡技术</w:t>
            </w:r>
          </w:p>
        </w:tc>
        <w:tc>
          <w:tcPr>
            <w:tcW w:w="1253" w:type="pct"/>
            <w:gridSpan w:val="2"/>
            <w:vAlign w:val="center"/>
          </w:tcPr>
          <w:p w:rsidR="00EE4502" w:rsidRDefault="00FD45A3">
            <w:pPr>
              <w:tabs>
                <w:tab w:val="left" w:pos="2268"/>
              </w:tabs>
              <w:jc w:val="center"/>
              <w:rPr>
                <w:rFonts w:cs="宋体"/>
                <w:bCs/>
                <w:szCs w:val="21"/>
              </w:rPr>
            </w:pPr>
            <w:r>
              <w:rPr>
                <w:rFonts w:cs="宋体"/>
                <w:bCs/>
                <w:szCs w:val="21"/>
              </w:rPr>
              <w:t>具备欠平衡技术</w:t>
            </w:r>
          </w:p>
        </w:tc>
        <w:tc>
          <w:tcPr>
            <w:tcW w:w="945" w:type="pct"/>
            <w:gridSpan w:val="2"/>
            <w:vAlign w:val="center"/>
          </w:tcPr>
          <w:p w:rsidR="00EE4502" w:rsidRDefault="00FD45A3">
            <w:pPr>
              <w:jc w:val="center"/>
              <w:rPr>
                <w:bCs/>
                <w:szCs w:val="21"/>
              </w:rPr>
            </w:pPr>
            <w:r>
              <w:rPr>
                <w:bCs/>
                <w:szCs w:val="21"/>
              </w:rPr>
              <w:t>5</w:t>
            </w:r>
          </w:p>
        </w:tc>
        <w:tc>
          <w:tcPr>
            <w:tcW w:w="799" w:type="pct"/>
            <w:gridSpan w:val="2"/>
            <w:vAlign w:val="center"/>
          </w:tcPr>
          <w:p w:rsidR="00EE4502" w:rsidRDefault="00FD45A3">
            <w:pPr>
              <w:jc w:val="center"/>
              <w:rPr>
                <w:bCs/>
                <w:szCs w:val="21"/>
              </w:rPr>
            </w:pPr>
            <w:r>
              <w:rPr>
                <w:bCs/>
                <w:szCs w:val="21"/>
              </w:rPr>
              <w:t>5</w:t>
            </w:r>
          </w:p>
        </w:tc>
      </w:tr>
      <w:tr w:rsidR="00EE4502">
        <w:trPr>
          <w:trHeight w:val="340"/>
        </w:trPr>
        <w:tc>
          <w:tcPr>
            <w:tcW w:w="857" w:type="pct"/>
            <w:gridSpan w:val="2"/>
            <w:vMerge/>
            <w:vAlign w:val="center"/>
          </w:tcPr>
          <w:p w:rsidR="00EE4502" w:rsidRDefault="00EE4502">
            <w:pPr>
              <w:tabs>
                <w:tab w:val="left" w:pos="2268"/>
              </w:tabs>
              <w:jc w:val="center"/>
              <w:rPr>
                <w:rFonts w:cs="宋体"/>
                <w:bCs/>
                <w:szCs w:val="21"/>
              </w:rPr>
            </w:pPr>
          </w:p>
        </w:tc>
        <w:tc>
          <w:tcPr>
            <w:tcW w:w="307" w:type="pct"/>
            <w:gridSpan w:val="2"/>
            <w:vMerge/>
            <w:vAlign w:val="center"/>
          </w:tcPr>
          <w:p w:rsidR="00EE4502" w:rsidRDefault="00EE4502">
            <w:pPr>
              <w:tabs>
                <w:tab w:val="left" w:pos="2268"/>
              </w:tabs>
              <w:jc w:val="center"/>
              <w:rPr>
                <w:rFonts w:cs="宋体"/>
                <w:bCs/>
                <w:szCs w:val="21"/>
              </w:rPr>
            </w:pPr>
          </w:p>
        </w:tc>
        <w:tc>
          <w:tcPr>
            <w:tcW w:w="838" w:type="pct"/>
            <w:vAlign w:val="center"/>
          </w:tcPr>
          <w:p w:rsidR="00EE4502" w:rsidRDefault="00FD45A3">
            <w:pPr>
              <w:tabs>
                <w:tab w:val="left" w:pos="2268"/>
              </w:tabs>
              <w:jc w:val="center"/>
              <w:rPr>
                <w:rFonts w:cs="宋体"/>
                <w:bCs/>
                <w:szCs w:val="21"/>
              </w:rPr>
            </w:pPr>
            <w:r>
              <w:rPr>
                <w:rFonts w:cs="宋体"/>
                <w:bCs/>
                <w:szCs w:val="21"/>
              </w:rPr>
              <w:t>钻井液收集设施完整性</w:t>
            </w:r>
          </w:p>
        </w:tc>
        <w:tc>
          <w:tcPr>
            <w:tcW w:w="1253" w:type="pct"/>
            <w:gridSpan w:val="2"/>
            <w:vAlign w:val="center"/>
          </w:tcPr>
          <w:p w:rsidR="00EE4502" w:rsidRDefault="00FD45A3">
            <w:pPr>
              <w:tabs>
                <w:tab w:val="left" w:pos="2268"/>
              </w:tabs>
              <w:jc w:val="center"/>
              <w:rPr>
                <w:rFonts w:cs="宋体"/>
                <w:bCs/>
                <w:szCs w:val="21"/>
              </w:rPr>
            </w:pPr>
            <w:r>
              <w:rPr>
                <w:rFonts w:cs="宋体"/>
                <w:bCs/>
                <w:szCs w:val="21"/>
              </w:rPr>
              <w:t>配有收集设施，且使钻井液不落地</w:t>
            </w:r>
          </w:p>
        </w:tc>
        <w:tc>
          <w:tcPr>
            <w:tcW w:w="945" w:type="pct"/>
            <w:gridSpan w:val="2"/>
            <w:vAlign w:val="center"/>
          </w:tcPr>
          <w:p w:rsidR="00EE4502" w:rsidRDefault="00FD45A3">
            <w:pPr>
              <w:jc w:val="center"/>
              <w:rPr>
                <w:bCs/>
                <w:szCs w:val="21"/>
              </w:rPr>
            </w:pPr>
            <w:r>
              <w:rPr>
                <w:bCs/>
                <w:szCs w:val="21"/>
              </w:rPr>
              <w:t>5</w:t>
            </w:r>
          </w:p>
        </w:tc>
        <w:tc>
          <w:tcPr>
            <w:tcW w:w="799" w:type="pct"/>
            <w:gridSpan w:val="2"/>
            <w:vAlign w:val="center"/>
          </w:tcPr>
          <w:p w:rsidR="00EE4502" w:rsidRDefault="00FD45A3">
            <w:pPr>
              <w:jc w:val="center"/>
              <w:rPr>
                <w:bCs/>
                <w:szCs w:val="21"/>
              </w:rPr>
            </w:pPr>
            <w:r>
              <w:rPr>
                <w:bCs/>
                <w:szCs w:val="21"/>
              </w:rPr>
              <w:t>5</w:t>
            </w:r>
          </w:p>
        </w:tc>
      </w:tr>
      <w:tr w:rsidR="00EE4502">
        <w:trPr>
          <w:trHeight w:val="340"/>
        </w:trPr>
        <w:tc>
          <w:tcPr>
            <w:tcW w:w="857" w:type="pct"/>
            <w:gridSpan w:val="2"/>
            <w:vMerge/>
            <w:vAlign w:val="center"/>
          </w:tcPr>
          <w:p w:rsidR="00EE4502" w:rsidRDefault="00EE4502">
            <w:pPr>
              <w:tabs>
                <w:tab w:val="left" w:pos="2268"/>
              </w:tabs>
              <w:jc w:val="center"/>
              <w:rPr>
                <w:rFonts w:cs="宋体"/>
                <w:bCs/>
                <w:szCs w:val="21"/>
              </w:rPr>
            </w:pPr>
          </w:p>
        </w:tc>
        <w:tc>
          <w:tcPr>
            <w:tcW w:w="307" w:type="pct"/>
            <w:gridSpan w:val="2"/>
            <w:vMerge/>
            <w:vAlign w:val="center"/>
          </w:tcPr>
          <w:p w:rsidR="00EE4502" w:rsidRDefault="00EE4502">
            <w:pPr>
              <w:tabs>
                <w:tab w:val="left" w:pos="2268"/>
              </w:tabs>
              <w:jc w:val="center"/>
              <w:rPr>
                <w:rFonts w:cs="宋体"/>
                <w:bCs/>
                <w:szCs w:val="21"/>
              </w:rPr>
            </w:pPr>
          </w:p>
        </w:tc>
        <w:tc>
          <w:tcPr>
            <w:tcW w:w="838" w:type="pct"/>
            <w:vAlign w:val="center"/>
          </w:tcPr>
          <w:p w:rsidR="00EE4502" w:rsidRDefault="00FD45A3">
            <w:pPr>
              <w:tabs>
                <w:tab w:val="left" w:pos="2268"/>
              </w:tabs>
              <w:jc w:val="center"/>
              <w:rPr>
                <w:rFonts w:cs="宋体"/>
                <w:bCs/>
                <w:szCs w:val="21"/>
              </w:rPr>
            </w:pPr>
            <w:r>
              <w:rPr>
                <w:rFonts w:cs="宋体"/>
                <w:bCs/>
                <w:szCs w:val="21"/>
              </w:rPr>
              <w:t>固控设备完整性</w:t>
            </w:r>
          </w:p>
        </w:tc>
        <w:tc>
          <w:tcPr>
            <w:tcW w:w="1253" w:type="pct"/>
            <w:gridSpan w:val="2"/>
            <w:vAlign w:val="center"/>
          </w:tcPr>
          <w:p w:rsidR="00EE4502" w:rsidRDefault="00FD45A3">
            <w:pPr>
              <w:tabs>
                <w:tab w:val="left" w:pos="2268"/>
              </w:tabs>
              <w:jc w:val="center"/>
              <w:rPr>
                <w:rFonts w:cs="宋体"/>
                <w:bCs/>
                <w:szCs w:val="21"/>
              </w:rPr>
            </w:pPr>
            <w:r>
              <w:rPr>
                <w:rFonts w:cs="宋体"/>
                <w:bCs/>
                <w:szCs w:val="21"/>
              </w:rPr>
              <w:t>配备振动筛、处理器、除砂器、离心机等固控设备</w:t>
            </w:r>
          </w:p>
        </w:tc>
        <w:tc>
          <w:tcPr>
            <w:tcW w:w="945" w:type="pct"/>
            <w:gridSpan w:val="2"/>
            <w:vAlign w:val="center"/>
          </w:tcPr>
          <w:p w:rsidR="00EE4502" w:rsidRDefault="00FD45A3">
            <w:pPr>
              <w:jc w:val="center"/>
              <w:rPr>
                <w:bCs/>
                <w:szCs w:val="21"/>
              </w:rPr>
            </w:pPr>
            <w:r>
              <w:rPr>
                <w:bCs/>
                <w:szCs w:val="21"/>
              </w:rPr>
              <w:t>5</w:t>
            </w:r>
          </w:p>
        </w:tc>
        <w:tc>
          <w:tcPr>
            <w:tcW w:w="799" w:type="pct"/>
            <w:gridSpan w:val="2"/>
            <w:vAlign w:val="center"/>
          </w:tcPr>
          <w:p w:rsidR="00EE4502" w:rsidRDefault="00FD45A3">
            <w:pPr>
              <w:jc w:val="center"/>
              <w:rPr>
                <w:bCs/>
                <w:szCs w:val="21"/>
              </w:rPr>
            </w:pPr>
            <w:r>
              <w:rPr>
                <w:bCs/>
                <w:szCs w:val="21"/>
              </w:rPr>
              <w:t>5</w:t>
            </w:r>
          </w:p>
        </w:tc>
      </w:tr>
      <w:tr w:rsidR="00EE4502">
        <w:trPr>
          <w:trHeight w:val="340"/>
        </w:trPr>
        <w:tc>
          <w:tcPr>
            <w:tcW w:w="857" w:type="pct"/>
            <w:gridSpan w:val="2"/>
            <w:vMerge/>
            <w:vAlign w:val="center"/>
          </w:tcPr>
          <w:p w:rsidR="00EE4502" w:rsidRDefault="00EE4502">
            <w:pPr>
              <w:tabs>
                <w:tab w:val="left" w:pos="2268"/>
              </w:tabs>
              <w:jc w:val="center"/>
              <w:rPr>
                <w:rFonts w:cs="宋体"/>
                <w:bCs/>
                <w:szCs w:val="21"/>
              </w:rPr>
            </w:pPr>
          </w:p>
        </w:tc>
        <w:tc>
          <w:tcPr>
            <w:tcW w:w="307" w:type="pct"/>
            <w:gridSpan w:val="2"/>
            <w:vMerge/>
            <w:vAlign w:val="center"/>
          </w:tcPr>
          <w:p w:rsidR="00EE4502" w:rsidRDefault="00EE4502">
            <w:pPr>
              <w:tabs>
                <w:tab w:val="left" w:pos="2268"/>
              </w:tabs>
              <w:jc w:val="center"/>
              <w:rPr>
                <w:rFonts w:cs="宋体"/>
                <w:bCs/>
                <w:szCs w:val="21"/>
              </w:rPr>
            </w:pPr>
          </w:p>
        </w:tc>
        <w:tc>
          <w:tcPr>
            <w:tcW w:w="838" w:type="pct"/>
            <w:vAlign w:val="center"/>
          </w:tcPr>
          <w:p w:rsidR="00EE4502" w:rsidRDefault="00FD45A3">
            <w:pPr>
              <w:tabs>
                <w:tab w:val="left" w:pos="2268"/>
              </w:tabs>
              <w:jc w:val="center"/>
              <w:rPr>
                <w:rFonts w:cs="宋体"/>
                <w:bCs/>
                <w:szCs w:val="21"/>
              </w:rPr>
            </w:pPr>
            <w:r>
              <w:rPr>
                <w:rFonts w:cs="宋体"/>
                <w:bCs/>
                <w:szCs w:val="21"/>
              </w:rPr>
              <w:t>固井质量</w:t>
            </w:r>
          </w:p>
        </w:tc>
        <w:tc>
          <w:tcPr>
            <w:tcW w:w="1253" w:type="pct"/>
            <w:gridSpan w:val="2"/>
            <w:vAlign w:val="center"/>
          </w:tcPr>
          <w:p w:rsidR="00EE4502" w:rsidRDefault="00FD45A3">
            <w:pPr>
              <w:tabs>
                <w:tab w:val="left" w:pos="2268"/>
              </w:tabs>
              <w:jc w:val="center"/>
              <w:rPr>
                <w:rFonts w:cs="宋体"/>
                <w:bCs/>
                <w:szCs w:val="21"/>
              </w:rPr>
            </w:pPr>
            <w:r>
              <w:rPr>
                <w:rFonts w:cs="宋体"/>
                <w:bCs/>
                <w:szCs w:val="21"/>
              </w:rPr>
              <w:t>固井质量合格</w:t>
            </w:r>
          </w:p>
        </w:tc>
        <w:tc>
          <w:tcPr>
            <w:tcW w:w="945" w:type="pct"/>
            <w:gridSpan w:val="2"/>
            <w:vAlign w:val="center"/>
          </w:tcPr>
          <w:p w:rsidR="00EE4502" w:rsidRDefault="00FD45A3">
            <w:pPr>
              <w:jc w:val="center"/>
              <w:rPr>
                <w:bCs/>
                <w:szCs w:val="21"/>
              </w:rPr>
            </w:pPr>
            <w:r>
              <w:rPr>
                <w:bCs/>
                <w:szCs w:val="21"/>
              </w:rPr>
              <w:t>5</w:t>
            </w:r>
          </w:p>
        </w:tc>
        <w:tc>
          <w:tcPr>
            <w:tcW w:w="799" w:type="pct"/>
            <w:gridSpan w:val="2"/>
            <w:vAlign w:val="center"/>
          </w:tcPr>
          <w:p w:rsidR="00EE4502" w:rsidRDefault="00FD45A3">
            <w:pPr>
              <w:jc w:val="center"/>
              <w:rPr>
                <w:bCs/>
                <w:szCs w:val="21"/>
              </w:rPr>
            </w:pPr>
            <w:r>
              <w:rPr>
                <w:bCs/>
                <w:szCs w:val="21"/>
              </w:rPr>
              <w:t>5</w:t>
            </w:r>
          </w:p>
        </w:tc>
      </w:tr>
      <w:tr w:rsidR="00EE4502">
        <w:trPr>
          <w:trHeight w:val="340"/>
        </w:trPr>
        <w:tc>
          <w:tcPr>
            <w:tcW w:w="857" w:type="pct"/>
            <w:gridSpan w:val="2"/>
            <w:vMerge/>
            <w:vAlign w:val="center"/>
          </w:tcPr>
          <w:p w:rsidR="00EE4502" w:rsidRDefault="00EE4502">
            <w:pPr>
              <w:tabs>
                <w:tab w:val="left" w:pos="2268"/>
              </w:tabs>
              <w:jc w:val="center"/>
              <w:rPr>
                <w:rFonts w:cs="宋体"/>
                <w:bCs/>
                <w:szCs w:val="21"/>
              </w:rPr>
            </w:pPr>
          </w:p>
        </w:tc>
        <w:tc>
          <w:tcPr>
            <w:tcW w:w="307" w:type="pct"/>
            <w:gridSpan w:val="2"/>
            <w:vMerge/>
            <w:vAlign w:val="center"/>
          </w:tcPr>
          <w:p w:rsidR="00EE4502" w:rsidRDefault="00EE4502">
            <w:pPr>
              <w:tabs>
                <w:tab w:val="left" w:pos="2268"/>
              </w:tabs>
              <w:jc w:val="center"/>
              <w:rPr>
                <w:rFonts w:cs="宋体"/>
                <w:bCs/>
                <w:szCs w:val="21"/>
              </w:rPr>
            </w:pPr>
          </w:p>
        </w:tc>
        <w:tc>
          <w:tcPr>
            <w:tcW w:w="838" w:type="pct"/>
            <w:vAlign w:val="center"/>
          </w:tcPr>
          <w:p w:rsidR="00EE4502" w:rsidRDefault="00FD45A3">
            <w:pPr>
              <w:tabs>
                <w:tab w:val="left" w:pos="2268"/>
              </w:tabs>
              <w:jc w:val="center"/>
              <w:rPr>
                <w:rFonts w:cs="宋体"/>
                <w:bCs/>
                <w:szCs w:val="21"/>
              </w:rPr>
            </w:pPr>
            <w:r>
              <w:rPr>
                <w:rFonts w:cs="宋体"/>
                <w:bCs/>
                <w:szCs w:val="21"/>
              </w:rPr>
              <w:t>钻井效率</w:t>
            </w:r>
          </w:p>
        </w:tc>
        <w:tc>
          <w:tcPr>
            <w:tcW w:w="1253" w:type="pct"/>
            <w:gridSpan w:val="2"/>
            <w:vAlign w:val="center"/>
          </w:tcPr>
          <w:p w:rsidR="00EE4502" w:rsidRDefault="00FD45A3">
            <w:pPr>
              <w:tabs>
                <w:tab w:val="left" w:pos="2268"/>
              </w:tabs>
              <w:jc w:val="center"/>
              <w:rPr>
                <w:rFonts w:cs="宋体"/>
                <w:bCs/>
                <w:szCs w:val="21"/>
              </w:rPr>
            </w:pPr>
            <w:r>
              <w:rPr>
                <w:rFonts w:cs="宋体"/>
                <w:bCs/>
                <w:szCs w:val="21"/>
              </w:rPr>
              <w:t>钻井效率合格</w:t>
            </w:r>
          </w:p>
        </w:tc>
        <w:tc>
          <w:tcPr>
            <w:tcW w:w="945" w:type="pct"/>
            <w:gridSpan w:val="2"/>
            <w:vAlign w:val="center"/>
          </w:tcPr>
          <w:p w:rsidR="00EE4502" w:rsidRDefault="00FD45A3">
            <w:pPr>
              <w:jc w:val="center"/>
              <w:rPr>
                <w:bCs/>
                <w:szCs w:val="21"/>
              </w:rPr>
            </w:pPr>
            <w:r>
              <w:rPr>
                <w:rFonts w:hint="eastAsia"/>
                <w:bCs/>
                <w:szCs w:val="21"/>
              </w:rPr>
              <w:t>7</w:t>
            </w:r>
          </w:p>
        </w:tc>
        <w:tc>
          <w:tcPr>
            <w:tcW w:w="799" w:type="pct"/>
            <w:gridSpan w:val="2"/>
            <w:vAlign w:val="center"/>
          </w:tcPr>
          <w:p w:rsidR="00EE4502" w:rsidRDefault="00FD45A3">
            <w:pPr>
              <w:jc w:val="center"/>
              <w:rPr>
                <w:bCs/>
                <w:szCs w:val="21"/>
              </w:rPr>
            </w:pPr>
            <w:r>
              <w:rPr>
                <w:rFonts w:hint="eastAsia"/>
                <w:bCs/>
                <w:szCs w:val="21"/>
              </w:rPr>
              <w:t>7</w:t>
            </w:r>
          </w:p>
        </w:tc>
      </w:tr>
      <w:tr w:rsidR="00EE4502">
        <w:trPr>
          <w:trHeight w:val="340"/>
        </w:trPr>
        <w:tc>
          <w:tcPr>
            <w:tcW w:w="857" w:type="pct"/>
            <w:gridSpan w:val="2"/>
            <w:vMerge/>
            <w:vAlign w:val="center"/>
          </w:tcPr>
          <w:p w:rsidR="00EE4502" w:rsidRDefault="00EE4502">
            <w:pPr>
              <w:tabs>
                <w:tab w:val="left" w:pos="2268"/>
              </w:tabs>
              <w:jc w:val="center"/>
              <w:rPr>
                <w:rFonts w:cs="宋体"/>
                <w:bCs/>
                <w:szCs w:val="21"/>
              </w:rPr>
            </w:pPr>
          </w:p>
        </w:tc>
        <w:tc>
          <w:tcPr>
            <w:tcW w:w="307" w:type="pct"/>
            <w:gridSpan w:val="2"/>
            <w:vMerge/>
            <w:vAlign w:val="center"/>
          </w:tcPr>
          <w:p w:rsidR="00EE4502" w:rsidRDefault="00EE4502">
            <w:pPr>
              <w:tabs>
                <w:tab w:val="left" w:pos="2268"/>
              </w:tabs>
              <w:jc w:val="center"/>
              <w:rPr>
                <w:rFonts w:cs="宋体"/>
                <w:bCs/>
                <w:szCs w:val="21"/>
              </w:rPr>
            </w:pPr>
          </w:p>
        </w:tc>
        <w:tc>
          <w:tcPr>
            <w:tcW w:w="838" w:type="pct"/>
            <w:vAlign w:val="center"/>
          </w:tcPr>
          <w:p w:rsidR="00EE4502" w:rsidRDefault="00FD45A3">
            <w:pPr>
              <w:tabs>
                <w:tab w:val="left" w:pos="2268"/>
              </w:tabs>
              <w:jc w:val="center"/>
              <w:rPr>
                <w:rFonts w:cs="宋体"/>
                <w:bCs/>
                <w:szCs w:val="21"/>
              </w:rPr>
            </w:pPr>
            <w:r>
              <w:rPr>
                <w:rFonts w:cs="宋体"/>
                <w:bCs/>
                <w:szCs w:val="21"/>
              </w:rPr>
              <w:t>井控措施有效性</w:t>
            </w:r>
          </w:p>
        </w:tc>
        <w:tc>
          <w:tcPr>
            <w:tcW w:w="1253" w:type="pct"/>
            <w:gridSpan w:val="2"/>
            <w:vAlign w:val="center"/>
          </w:tcPr>
          <w:p w:rsidR="00EE4502" w:rsidRDefault="00FD45A3">
            <w:pPr>
              <w:tabs>
                <w:tab w:val="left" w:pos="2268"/>
              </w:tabs>
              <w:jc w:val="center"/>
              <w:rPr>
                <w:rFonts w:cs="宋体"/>
                <w:bCs/>
                <w:szCs w:val="21"/>
              </w:rPr>
            </w:pPr>
            <w:r>
              <w:rPr>
                <w:rFonts w:cs="宋体"/>
                <w:bCs/>
                <w:szCs w:val="21"/>
              </w:rPr>
              <w:t>井控措施有效</w:t>
            </w:r>
          </w:p>
        </w:tc>
        <w:tc>
          <w:tcPr>
            <w:tcW w:w="945" w:type="pct"/>
            <w:gridSpan w:val="2"/>
            <w:vAlign w:val="center"/>
          </w:tcPr>
          <w:p w:rsidR="00EE4502" w:rsidRDefault="00FD45A3">
            <w:pPr>
              <w:jc w:val="center"/>
              <w:rPr>
                <w:bCs/>
                <w:szCs w:val="21"/>
              </w:rPr>
            </w:pPr>
            <w:r>
              <w:rPr>
                <w:bCs/>
                <w:szCs w:val="21"/>
              </w:rPr>
              <w:t>5</w:t>
            </w:r>
          </w:p>
        </w:tc>
        <w:tc>
          <w:tcPr>
            <w:tcW w:w="799" w:type="pct"/>
            <w:gridSpan w:val="2"/>
            <w:vAlign w:val="center"/>
          </w:tcPr>
          <w:p w:rsidR="00EE4502" w:rsidRDefault="00FD45A3">
            <w:pPr>
              <w:jc w:val="center"/>
              <w:rPr>
                <w:bCs/>
                <w:szCs w:val="21"/>
              </w:rPr>
            </w:pPr>
            <w:r>
              <w:rPr>
                <w:bCs/>
                <w:szCs w:val="21"/>
              </w:rPr>
              <w:t>5</w:t>
            </w:r>
          </w:p>
        </w:tc>
      </w:tr>
      <w:tr w:rsidR="00EE4502">
        <w:trPr>
          <w:trHeight w:val="340"/>
        </w:trPr>
        <w:tc>
          <w:tcPr>
            <w:tcW w:w="857" w:type="pct"/>
            <w:gridSpan w:val="2"/>
            <w:vAlign w:val="center"/>
          </w:tcPr>
          <w:p w:rsidR="00EE4502" w:rsidRDefault="00FD45A3">
            <w:pPr>
              <w:tabs>
                <w:tab w:val="left" w:pos="2268"/>
              </w:tabs>
              <w:jc w:val="center"/>
              <w:rPr>
                <w:rFonts w:cs="宋体"/>
                <w:bCs/>
                <w:szCs w:val="21"/>
              </w:rPr>
            </w:pPr>
            <w:r>
              <w:rPr>
                <w:rFonts w:cs="宋体"/>
                <w:bCs/>
                <w:szCs w:val="21"/>
              </w:rPr>
              <w:t>（</w:t>
            </w:r>
            <w:r>
              <w:rPr>
                <w:rFonts w:cs="宋体"/>
                <w:bCs/>
                <w:szCs w:val="21"/>
              </w:rPr>
              <w:t>3</w:t>
            </w:r>
            <w:r>
              <w:rPr>
                <w:rFonts w:cs="宋体"/>
                <w:bCs/>
                <w:szCs w:val="21"/>
              </w:rPr>
              <w:t>）符合国家政策的生产规模</w:t>
            </w:r>
          </w:p>
        </w:tc>
        <w:tc>
          <w:tcPr>
            <w:tcW w:w="307" w:type="pct"/>
            <w:gridSpan w:val="2"/>
            <w:vAlign w:val="center"/>
          </w:tcPr>
          <w:p w:rsidR="00EE4502" w:rsidRDefault="00FD45A3">
            <w:pPr>
              <w:tabs>
                <w:tab w:val="left" w:pos="2268"/>
              </w:tabs>
              <w:jc w:val="center"/>
              <w:rPr>
                <w:rFonts w:cs="宋体"/>
                <w:bCs/>
                <w:szCs w:val="21"/>
              </w:rPr>
            </w:pPr>
            <w:r>
              <w:rPr>
                <w:rFonts w:cs="宋体" w:hint="eastAsia"/>
                <w:bCs/>
                <w:szCs w:val="21"/>
              </w:rPr>
              <w:t>10</w:t>
            </w:r>
          </w:p>
        </w:tc>
        <w:tc>
          <w:tcPr>
            <w:tcW w:w="838" w:type="pct"/>
            <w:vAlign w:val="center"/>
          </w:tcPr>
          <w:p w:rsidR="00EE4502" w:rsidRDefault="00FD45A3">
            <w:pPr>
              <w:tabs>
                <w:tab w:val="left" w:pos="2268"/>
              </w:tabs>
              <w:jc w:val="center"/>
              <w:rPr>
                <w:rFonts w:cs="宋体"/>
                <w:bCs/>
                <w:szCs w:val="21"/>
              </w:rPr>
            </w:pPr>
            <w:r>
              <w:rPr>
                <w:rFonts w:cs="宋体"/>
                <w:bCs/>
                <w:szCs w:val="21"/>
              </w:rPr>
              <w:t>符合国家政策</w:t>
            </w:r>
          </w:p>
        </w:tc>
        <w:tc>
          <w:tcPr>
            <w:tcW w:w="1253" w:type="pct"/>
            <w:gridSpan w:val="2"/>
            <w:vAlign w:val="center"/>
          </w:tcPr>
          <w:p w:rsidR="00EE4502" w:rsidRDefault="00FD45A3">
            <w:pPr>
              <w:tabs>
                <w:tab w:val="left" w:pos="2268"/>
              </w:tabs>
              <w:jc w:val="center"/>
              <w:rPr>
                <w:rFonts w:cs="宋体"/>
                <w:bCs/>
                <w:szCs w:val="21"/>
              </w:rPr>
            </w:pPr>
            <w:r>
              <w:rPr>
                <w:rFonts w:cs="宋体"/>
                <w:bCs/>
                <w:szCs w:val="21"/>
              </w:rPr>
              <w:t>符合国家政策</w:t>
            </w:r>
          </w:p>
        </w:tc>
        <w:tc>
          <w:tcPr>
            <w:tcW w:w="945" w:type="pct"/>
            <w:gridSpan w:val="2"/>
            <w:vAlign w:val="center"/>
          </w:tcPr>
          <w:p w:rsidR="00EE4502" w:rsidRDefault="00FD45A3">
            <w:pPr>
              <w:jc w:val="center"/>
              <w:rPr>
                <w:bCs/>
                <w:szCs w:val="21"/>
              </w:rPr>
            </w:pPr>
            <w:r>
              <w:rPr>
                <w:rFonts w:hint="eastAsia"/>
                <w:bCs/>
                <w:szCs w:val="21"/>
              </w:rPr>
              <w:t>10</w:t>
            </w:r>
          </w:p>
        </w:tc>
        <w:tc>
          <w:tcPr>
            <w:tcW w:w="799" w:type="pct"/>
            <w:gridSpan w:val="2"/>
            <w:vAlign w:val="center"/>
          </w:tcPr>
          <w:p w:rsidR="00EE4502" w:rsidRDefault="00FD45A3">
            <w:pPr>
              <w:jc w:val="center"/>
              <w:rPr>
                <w:bCs/>
                <w:szCs w:val="21"/>
              </w:rPr>
            </w:pPr>
            <w:r>
              <w:rPr>
                <w:rFonts w:hint="eastAsia"/>
                <w:bCs/>
                <w:szCs w:val="21"/>
              </w:rPr>
              <w:t>10</w:t>
            </w:r>
          </w:p>
        </w:tc>
      </w:tr>
      <w:tr w:rsidR="00EE4502">
        <w:trPr>
          <w:trHeight w:val="340"/>
        </w:trPr>
        <w:tc>
          <w:tcPr>
            <w:tcW w:w="857" w:type="pct"/>
            <w:gridSpan w:val="2"/>
            <w:vMerge w:val="restart"/>
            <w:vAlign w:val="center"/>
          </w:tcPr>
          <w:p w:rsidR="00EE4502" w:rsidRDefault="00FD45A3">
            <w:pPr>
              <w:tabs>
                <w:tab w:val="left" w:pos="2268"/>
              </w:tabs>
              <w:jc w:val="center"/>
              <w:rPr>
                <w:rFonts w:cs="宋体"/>
                <w:bCs/>
                <w:szCs w:val="21"/>
              </w:rPr>
            </w:pPr>
            <w:r>
              <w:rPr>
                <w:rFonts w:cs="宋体"/>
                <w:bCs/>
                <w:szCs w:val="21"/>
              </w:rPr>
              <w:t>（</w:t>
            </w:r>
            <w:r>
              <w:rPr>
                <w:rFonts w:cs="宋体" w:hint="eastAsia"/>
                <w:bCs/>
                <w:szCs w:val="21"/>
              </w:rPr>
              <w:t>4</w:t>
            </w:r>
            <w:r>
              <w:rPr>
                <w:rFonts w:cs="宋体"/>
                <w:bCs/>
                <w:szCs w:val="21"/>
              </w:rPr>
              <w:t>）管理体系建设及清洁生产审核</w:t>
            </w:r>
          </w:p>
        </w:tc>
        <w:tc>
          <w:tcPr>
            <w:tcW w:w="307" w:type="pct"/>
            <w:gridSpan w:val="2"/>
            <w:vMerge w:val="restart"/>
            <w:vAlign w:val="center"/>
          </w:tcPr>
          <w:p w:rsidR="00EE4502" w:rsidRDefault="00FD45A3">
            <w:pPr>
              <w:tabs>
                <w:tab w:val="left" w:pos="2268"/>
              </w:tabs>
              <w:jc w:val="center"/>
              <w:rPr>
                <w:rFonts w:cs="宋体"/>
                <w:bCs/>
                <w:szCs w:val="21"/>
              </w:rPr>
            </w:pPr>
            <w:r>
              <w:rPr>
                <w:rFonts w:cs="宋体" w:hint="eastAsia"/>
                <w:bCs/>
                <w:szCs w:val="21"/>
              </w:rPr>
              <w:t>20</w:t>
            </w:r>
          </w:p>
        </w:tc>
        <w:tc>
          <w:tcPr>
            <w:tcW w:w="2091" w:type="pct"/>
            <w:gridSpan w:val="3"/>
            <w:vAlign w:val="center"/>
          </w:tcPr>
          <w:p w:rsidR="00EE4502" w:rsidRDefault="00FD45A3">
            <w:pPr>
              <w:tabs>
                <w:tab w:val="left" w:pos="2268"/>
              </w:tabs>
              <w:jc w:val="center"/>
              <w:rPr>
                <w:rFonts w:cs="宋体"/>
                <w:bCs/>
                <w:szCs w:val="21"/>
              </w:rPr>
            </w:pPr>
            <w:r>
              <w:rPr>
                <w:rFonts w:cs="宋体"/>
                <w:bCs/>
                <w:szCs w:val="21"/>
              </w:rPr>
              <w:t>建立</w:t>
            </w:r>
            <w:r>
              <w:rPr>
                <w:rFonts w:cs="宋体"/>
                <w:bCs/>
                <w:szCs w:val="21"/>
              </w:rPr>
              <w:t>HSE</w:t>
            </w:r>
            <w:r>
              <w:rPr>
                <w:rFonts w:cs="宋体"/>
                <w:bCs/>
                <w:szCs w:val="21"/>
              </w:rPr>
              <w:t>管理体系并通过认证</w:t>
            </w:r>
          </w:p>
        </w:tc>
        <w:tc>
          <w:tcPr>
            <w:tcW w:w="945" w:type="pct"/>
            <w:gridSpan w:val="2"/>
            <w:vAlign w:val="center"/>
          </w:tcPr>
          <w:p w:rsidR="00EE4502" w:rsidRDefault="00FD45A3">
            <w:pPr>
              <w:jc w:val="center"/>
              <w:rPr>
                <w:bCs/>
                <w:szCs w:val="21"/>
              </w:rPr>
            </w:pPr>
            <w:r>
              <w:rPr>
                <w:bCs/>
                <w:szCs w:val="21"/>
              </w:rPr>
              <w:t>10</w:t>
            </w:r>
          </w:p>
        </w:tc>
        <w:tc>
          <w:tcPr>
            <w:tcW w:w="799" w:type="pct"/>
            <w:gridSpan w:val="2"/>
            <w:vAlign w:val="center"/>
          </w:tcPr>
          <w:p w:rsidR="00EE4502" w:rsidRDefault="00FD45A3">
            <w:pPr>
              <w:jc w:val="center"/>
              <w:rPr>
                <w:bCs/>
                <w:szCs w:val="21"/>
              </w:rPr>
            </w:pPr>
            <w:r>
              <w:rPr>
                <w:bCs/>
                <w:szCs w:val="21"/>
              </w:rPr>
              <w:t>10</w:t>
            </w:r>
          </w:p>
        </w:tc>
      </w:tr>
      <w:tr w:rsidR="00EE4502">
        <w:trPr>
          <w:trHeight w:val="340"/>
        </w:trPr>
        <w:tc>
          <w:tcPr>
            <w:tcW w:w="857" w:type="pct"/>
            <w:gridSpan w:val="2"/>
            <w:vMerge/>
            <w:vAlign w:val="center"/>
          </w:tcPr>
          <w:p w:rsidR="00EE4502" w:rsidRDefault="00EE4502">
            <w:pPr>
              <w:tabs>
                <w:tab w:val="left" w:pos="2268"/>
              </w:tabs>
              <w:jc w:val="center"/>
              <w:rPr>
                <w:rFonts w:cs="宋体"/>
                <w:bCs/>
                <w:szCs w:val="21"/>
              </w:rPr>
            </w:pPr>
          </w:p>
        </w:tc>
        <w:tc>
          <w:tcPr>
            <w:tcW w:w="307" w:type="pct"/>
            <w:gridSpan w:val="2"/>
            <w:vMerge/>
            <w:vAlign w:val="center"/>
          </w:tcPr>
          <w:p w:rsidR="00EE4502" w:rsidRDefault="00EE4502">
            <w:pPr>
              <w:tabs>
                <w:tab w:val="left" w:pos="2268"/>
              </w:tabs>
              <w:jc w:val="center"/>
              <w:rPr>
                <w:rFonts w:cs="宋体"/>
                <w:bCs/>
                <w:szCs w:val="21"/>
              </w:rPr>
            </w:pPr>
          </w:p>
        </w:tc>
        <w:tc>
          <w:tcPr>
            <w:tcW w:w="2091" w:type="pct"/>
            <w:gridSpan w:val="3"/>
            <w:vAlign w:val="center"/>
          </w:tcPr>
          <w:p w:rsidR="00EE4502" w:rsidRDefault="00FD45A3">
            <w:pPr>
              <w:tabs>
                <w:tab w:val="left" w:pos="2268"/>
              </w:tabs>
              <w:jc w:val="center"/>
              <w:rPr>
                <w:rFonts w:cs="宋体"/>
                <w:bCs/>
                <w:szCs w:val="21"/>
              </w:rPr>
            </w:pPr>
            <w:r>
              <w:rPr>
                <w:rFonts w:cs="宋体"/>
                <w:bCs/>
                <w:szCs w:val="21"/>
              </w:rPr>
              <w:t>开展清洁生产审核</w:t>
            </w:r>
          </w:p>
        </w:tc>
        <w:tc>
          <w:tcPr>
            <w:tcW w:w="945" w:type="pct"/>
            <w:gridSpan w:val="2"/>
            <w:vAlign w:val="center"/>
          </w:tcPr>
          <w:p w:rsidR="00EE4502" w:rsidRDefault="00FD45A3">
            <w:pPr>
              <w:jc w:val="center"/>
              <w:rPr>
                <w:bCs/>
                <w:szCs w:val="21"/>
              </w:rPr>
            </w:pPr>
            <w:r>
              <w:rPr>
                <w:rFonts w:hint="eastAsia"/>
                <w:bCs/>
                <w:szCs w:val="21"/>
              </w:rPr>
              <w:t>1</w:t>
            </w:r>
            <w:r>
              <w:rPr>
                <w:bCs/>
                <w:szCs w:val="21"/>
              </w:rPr>
              <w:t>0</w:t>
            </w:r>
          </w:p>
        </w:tc>
        <w:tc>
          <w:tcPr>
            <w:tcW w:w="799" w:type="pct"/>
            <w:gridSpan w:val="2"/>
            <w:vAlign w:val="center"/>
          </w:tcPr>
          <w:p w:rsidR="00EE4502" w:rsidRDefault="00FD45A3">
            <w:pPr>
              <w:jc w:val="center"/>
              <w:rPr>
                <w:bCs/>
                <w:szCs w:val="21"/>
              </w:rPr>
            </w:pPr>
            <w:r>
              <w:rPr>
                <w:rFonts w:hint="eastAsia"/>
                <w:bCs/>
                <w:szCs w:val="21"/>
              </w:rPr>
              <w:t>1</w:t>
            </w:r>
            <w:r>
              <w:rPr>
                <w:bCs/>
                <w:szCs w:val="21"/>
              </w:rPr>
              <w:t>0</w:t>
            </w:r>
          </w:p>
        </w:tc>
      </w:tr>
      <w:tr w:rsidR="00EE4502">
        <w:trPr>
          <w:trHeight w:val="340"/>
        </w:trPr>
        <w:tc>
          <w:tcPr>
            <w:tcW w:w="857" w:type="pct"/>
            <w:gridSpan w:val="2"/>
            <w:vMerge w:val="restart"/>
            <w:vAlign w:val="center"/>
          </w:tcPr>
          <w:p w:rsidR="00EE4502" w:rsidRDefault="00FD45A3">
            <w:pPr>
              <w:tabs>
                <w:tab w:val="left" w:pos="2268"/>
              </w:tabs>
              <w:jc w:val="center"/>
              <w:rPr>
                <w:rFonts w:cs="宋体"/>
                <w:bCs/>
                <w:szCs w:val="21"/>
              </w:rPr>
            </w:pPr>
            <w:r>
              <w:rPr>
                <w:rFonts w:cs="宋体"/>
                <w:bCs/>
                <w:szCs w:val="21"/>
              </w:rPr>
              <w:t>（</w:t>
            </w:r>
            <w:r>
              <w:rPr>
                <w:rFonts w:cs="宋体" w:hint="eastAsia"/>
                <w:bCs/>
                <w:szCs w:val="21"/>
              </w:rPr>
              <w:t>5</w:t>
            </w:r>
            <w:r>
              <w:rPr>
                <w:rFonts w:cs="宋体"/>
                <w:bCs/>
                <w:szCs w:val="21"/>
              </w:rPr>
              <w:t>）贯彻执行环境保护法规符合性</w:t>
            </w:r>
          </w:p>
        </w:tc>
        <w:tc>
          <w:tcPr>
            <w:tcW w:w="307" w:type="pct"/>
            <w:gridSpan w:val="2"/>
            <w:vMerge w:val="restart"/>
            <w:vAlign w:val="center"/>
          </w:tcPr>
          <w:p w:rsidR="00EE4502" w:rsidRDefault="00FD45A3">
            <w:pPr>
              <w:tabs>
                <w:tab w:val="left" w:pos="2268"/>
              </w:tabs>
              <w:jc w:val="center"/>
              <w:rPr>
                <w:rFonts w:cs="宋体"/>
                <w:bCs/>
                <w:szCs w:val="21"/>
              </w:rPr>
            </w:pPr>
            <w:r>
              <w:rPr>
                <w:rFonts w:cs="宋体"/>
                <w:bCs/>
                <w:szCs w:val="21"/>
              </w:rPr>
              <w:t>15</w:t>
            </w:r>
          </w:p>
        </w:tc>
        <w:tc>
          <w:tcPr>
            <w:tcW w:w="2091" w:type="pct"/>
            <w:gridSpan w:val="3"/>
            <w:vAlign w:val="center"/>
          </w:tcPr>
          <w:p w:rsidR="00EE4502" w:rsidRDefault="00FD45A3">
            <w:pPr>
              <w:jc w:val="center"/>
              <w:rPr>
                <w:bCs/>
                <w:szCs w:val="21"/>
              </w:rPr>
            </w:pPr>
            <w:r>
              <w:rPr>
                <w:rFonts w:hint="eastAsia"/>
                <w:bCs/>
                <w:szCs w:val="21"/>
              </w:rPr>
              <w:t>建设项目环保“三同时”执行情况</w:t>
            </w:r>
          </w:p>
        </w:tc>
        <w:tc>
          <w:tcPr>
            <w:tcW w:w="945" w:type="pct"/>
            <w:gridSpan w:val="2"/>
            <w:vAlign w:val="center"/>
          </w:tcPr>
          <w:p w:rsidR="00EE4502" w:rsidRDefault="00FD45A3">
            <w:pPr>
              <w:jc w:val="center"/>
              <w:rPr>
                <w:bCs/>
                <w:szCs w:val="21"/>
              </w:rPr>
            </w:pPr>
            <w:r>
              <w:rPr>
                <w:rFonts w:hint="eastAsia"/>
                <w:bCs/>
                <w:szCs w:val="21"/>
              </w:rPr>
              <w:t>5</w:t>
            </w:r>
          </w:p>
        </w:tc>
        <w:tc>
          <w:tcPr>
            <w:tcW w:w="799" w:type="pct"/>
            <w:gridSpan w:val="2"/>
            <w:vAlign w:val="center"/>
          </w:tcPr>
          <w:p w:rsidR="00EE4502" w:rsidRDefault="00FD45A3">
            <w:pPr>
              <w:jc w:val="center"/>
              <w:rPr>
                <w:bCs/>
                <w:szCs w:val="21"/>
              </w:rPr>
            </w:pPr>
            <w:r>
              <w:rPr>
                <w:rFonts w:hint="eastAsia"/>
                <w:bCs/>
                <w:szCs w:val="21"/>
              </w:rPr>
              <w:t>5</w:t>
            </w:r>
          </w:p>
        </w:tc>
      </w:tr>
      <w:tr w:rsidR="00EE4502">
        <w:trPr>
          <w:trHeight w:val="340"/>
        </w:trPr>
        <w:tc>
          <w:tcPr>
            <w:tcW w:w="857" w:type="pct"/>
            <w:gridSpan w:val="2"/>
            <w:vMerge/>
            <w:vAlign w:val="center"/>
          </w:tcPr>
          <w:p w:rsidR="00EE4502" w:rsidRDefault="00EE4502">
            <w:pPr>
              <w:tabs>
                <w:tab w:val="left" w:pos="2268"/>
              </w:tabs>
              <w:jc w:val="center"/>
              <w:rPr>
                <w:rFonts w:cs="宋体"/>
                <w:bCs/>
                <w:szCs w:val="21"/>
              </w:rPr>
            </w:pPr>
          </w:p>
        </w:tc>
        <w:tc>
          <w:tcPr>
            <w:tcW w:w="307" w:type="pct"/>
            <w:gridSpan w:val="2"/>
            <w:vMerge/>
            <w:vAlign w:val="center"/>
          </w:tcPr>
          <w:p w:rsidR="00EE4502" w:rsidRDefault="00EE4502">
            <w:pPr>
              <w:tabs>
                <w:tab w:val="left" w:pos="2268"/>
              </w:tabs>
              <w:jc w:val="center"/>
              <w:rPr>
                <w:rFonts w:cs="宋体"/>
                <w:bCs/>
                <w:szCs w:val="21"/>
              </w:rPr>
            </w:pPr>
          </w:p>
        </w:tc>
        <w:tc>
          <w:tcPr>
            <w:tcW w:w="2091" w:type="pct"/>
            <w:gridSpan w:val="3"/>
            <w:vAlign w:val="center"/>
          </w:tcPr>
          <w:p w:rsidR="00EE4502" w:rsidRDefault="00FD45A3">
            <w:pPr>
              <w:jc w:val="center"/>
              <w:rPr>
                <w:bCs/>
                <w:szCs w:val="21"/>
              </w:rPr>
            </w:pPr>
            <w:r>
              <w:rPr>
                <w:rFonts w:hint="eastAsia"/>
                <w:bCs/>
                <w:szCs w:val="21"/>
              </w:rPr>
              <w:t>建设项目环境影响评价制度执行情况</w:t>
            </w:r>
          </w:p>
        </w:tc>
        <w:tc>
          <w:tcPr>
            <w:tcW w:w="945" w:type="pct"/>
            <w:gridSpan w:val="2"/>
            <w:vAlign w:val="center"/>
          </w:tcPr>
          <w:p w:rsidR="00EE4502" w:rsidRDefault="00FD45A3">
            <w:pPr>
              <w:jc w:val="center"/>
              <w:rPr>
                <w:bCs/>
                <w:szCs w:val="21"/>
              </w:rPr>
            </w:pPr>
            <w:r>
              <w:rPr>
                <w:bCs/>
                <w:szCs w:val="21"/>
              </w:rPr>
              <w:t>5</w:t>
            </w:r>
          </w:p>
        </w:tc>
        <w:tc>
          <w:tcPr>
            <w:tcW w:w="799" w:type="pct"/>
            <w:gridSpan w:val="2"/>
            <w:vAlign w:val="center"/>
          </w:tcPr>
          <w:p w:rsidR="00EE4502" w:rsidRDefault="00FD45A3">
            <w:pPr>
              <w:jc w:val="center"/>
              <w:rPr>
                <w:bCs/>
                <w:szCs w:val="21"/>
              </w:rPr>
            </w:pPr>
            <w:r>
              <w:rPr>
                <w:bCs/>
                <w:szCs w:val="21"/>
              </w:rPr>
              <w:t>5</w:t>
            </w:r>
          </w:p>
        </w:tc>
      </w:tr>
      <w:tr w:rsidR="00EE4502">
        <w:trPr>
          <w:trHeight w:val="340"/>
        </w:trPr>
        <w:tc>
          <w:tcPr>
            <w:tcW w:w="857" w:type="pct"/>
            <w:gridSpan w:val="2"/>
            <w:vMerge/>
            <w:vAlign w:val="center"/>
          </w:tcPr>
          <w:p w:rsidR="00EE4502" w:rsidRDefault="00EE4502">
            <w:pPr>
              <w:tabs>
                <w:tab w:val="left" w:pos="2268"/>
              </w:tabs>
              <w:jc w:val="center"/>
              <w:rPr>
                <w:rFonts w:cs="宋体"/>
                <w:bCs/>
                <w:szCs w:val="21"/>
              </w:rPr>
            </w:pPr>
          </w:p>
        </w:tc>
        <w:tc>
          <w:tcPr>
            <w:tcW w:w="307" w:type="pct"/>
            <w:gridSpan w:val="2"/>
            <w:vMerge/>
            <w:vAlign w:val="center"/>
          </w:tcPr>
          <w:p w:rsidR="00EE4502" w:rsidRDefault="00EE4502">
            <w:pPr>
              <w:tabs>
                <w:tab w:val="left" w:pos="2268"/>
              </w:tabs>
              <w:jc w:val="center"/>
              <w:rPr>
                <w:rFonts w:cs="宋体"/>
                <w:bCs/>
                <w:szCs w:val="21"/>
              </w:rPr>
            </w:pPr>
          </w:p>
        </w:tc>
        <w:tc>
          <w:tcPr>
            <w:tcW w:w="2091" w:type="pct"/>
            <w:gridSpan w:val="3"/>
            <w:vAlign w:val="center"/>
          </w:tcPr>
          <w:p w:rsidR="00EE4502" w:rsidRDefault="00FD45A3">
            <w:pPr>
              <w:jc w:val="center"/>
              <w:rPr>
                <w:bCs/>
                <w:szCs w:val="21"/>
              </w:rPr>
            </w:pPr>
            <w:r>
              <w:rPr>
                <w:rFonts w:hint="eastAsia"/>
                <w:bCs/>
                <w:szCs w:val="21"/>
              </w:rPr>
              <w:t>污染物排放总量控制与减排措施情况</w:t>
            </w:r>
          </w:p>
        </w:tc>
        <w:tc>
          <w:tcPr>
            <w:tcW w:w="945" w:type="pct"/>
            <w:gridSpan w:val="2"/>
            <w:vAlign w:val="center"/>
          </w:tcPr>
          <w:p w:rsidR="00EE4502" w:rsidRDefault="00FD45A3">
            <w:pPr>
              <w:jc w:val="center"/>
              <w:rPr>
                <w:bCs/>
                <w:szCs w:val="21"/>
              </w:rPr>
            </w:pPr>
            <w:r>
              <w:rPr>
                <w:bCs/>
                <w:szCs w:val="21"/>
              </w:rPr>
              <w:t>5</w:t>
            </w:r>
          </w:p>
        </w:tc>
        <w:tc>
          <w:tcPr>
            <w:tcW w:w="799" w:type="pct"/>
            <w:gridSpan w:val="2"/>
            <w:vAlign w:val="center"/>
          </w:tcPr>
          <w:p w:rsidR="00EE4502" w:rsidRDefault="00FD45A3">
            <w:pPr>
              <w:jc w:val="center"/>
              <w:rPr>
                <w:bCs/>
                <w:szCs w:val="21"/>
              </w:rPr>
            </w:pPr>
            <w:r>
              <w:rPr>
                <w:bCs/>
                <w:szCs w:val="21"/>
              </w:rPr>
              <w:t>5</w:t>
            </w:r>
          </w:p>
        </w:tc>
      </w:tr>
    </w:tbl>
    <w:p w:rsidR="00EE4502" w:rsidRDefault="00EE4502">
      <w:pPr>
        <w:jc w:val="center"/>
        <w:rPr>
          <w:sz w:val="18"/>
          <w:szCs w:val="18"/>
        </w:rPr>
      </w:pPr>
    </w:p>
    <w:p w:rsidR="00EE4502" w:rsidRDefault="00FD45A3">
      <w:pPr>
        <w:spacing w:line="360" w:lineRule="auto"/>
        <w:jc w:val="center"/>
        <w:rPr>
          <w:rFonts w:eastAsia="黑体"/>
          <w:bCs/>
          <w:lang w:val="zh-CN"/>
        </w:rPr>
      </w:pPr>
      <w:r>
        <w:rPr>
          <w:rFonts w:eastAsia="黑体"/>
          <w:bCs/>
          <w:lang w:val="zh-CN"/>
        </w:rPr>
        <w:t>表</w:t>
      </w:r>
      <w:r>
        <w:rPr>
          <w:rFonts w:eastAsia="黑体" w:hint="eastAsia"/>
          <w:bCs/>
          <w:lang w:val="zh-CN"/>
        </w:rPr>
        <w:t>3-</w:t>
      </w:r>
      <w:r>
        <w:rPr>
          <w:rFonts w:eastAsia="黑体" w:hint="eastAsia"/>
          <w:bCs/>
        </w:rPr>
        <w:t>4-17</w:t>
      </w:r>
      <w:r>
        <w:rPr>
          <w:rFonts w:eastAsia="黑体"/>
          <w:bCs/>
          <w:lang w:val="zh-CN"/>
        </w:rPr>
        <w:t xml:space="preserve">  </w:t>
      </w:r>
      <w:r>
        <w:rPr>
          <w:rFonts w:eastAsia="黑体"/>
          <w:bCs/>
          <w:lang w:val="zh-CN"/>
        </w:rPr>
        <w:t>井下作业定量和定性评价指标项目、权重及基准值</w:t>
      </w:r>
    </w:p>
    <w:tbl>
      <w:tblPr>
        <w:tblW w:w="5000" w:type="pct"/>
        <w:jc w:val="center"/>
        <w:tblBorders>
          <w:top w:val="single" w:sz="8" w:space="0" w:color="auto"/>
          <w:bottom w:val="single" w:sz="8" w:space="0" w:color="auto"/>
          <w:insideH w:val="single" w:sz="8" w:space="0" w:color="auto"/>
          <w:insideV w:val="single" w:sz="8" w:space="0" w:color="auto"/>
        </w:tblBorders>
        <w:tblLook w:val="04A0" w:firstRow="1" w:lastRow="0" w:firstColumn="1" w:lastColumn="0" w:noHBand="0" w:noVBand="1"/>
      </w:tblPr>
      <w:tblGrid>
        <w:gridCol w:w="1214"/>
        <w:gridCol w:w="862"/>
        <w:gridCol w:w="1706"/>
        <w:gridCol w:w="579"/>
        <w:gridCol w:w="820"/>
        <w:gridCol w:w="769"/>
        <w:gridCol w:w="1149"/>
        <w:gridCol w:w="779"/>
        <w:gridCol w:w="644"/>
      </w:tblGrid>
      <w:tr w:rsidR="00EE4502">
        <w:trPr>
          <w:trHeight w:val="340"/>
          <w:tblHeader/>
          <w:jc w:val="center"/>
        </w:trPr>
        <w:tc>
          <w:tcPr>
            <w:tcW w:w="5000" w:type="pct"/>
            <w:gridSpan w:val="9"/>
            <w:vAlign w:val="center"/>
          </w:tcPr>
          <w:p w:rsidR="00EE4502" w:rsidRDefault="00FD45A3">
            <w:pPr>
              <w:jc w:val="center"/>
              <w:rPr>
                <w:bCs/>
                <w:szCs w:val="21"/>
              </w:rPr>
            </w:pPr>
            <w:r>
              <w:rPr>
                <w:bCs/>
                <w:szCs w:val="21"/>
              </w:rPr>
              <w:t>定量指标</w:t>
            </w:r>
          </w:p>
        </w:tc>
      </w:tr>
      <w:tr w:rsidR="00EE4502">
        <w:trPr>
          <w:trHeight w:val="340"/>
          <w:tblHeader/>
          <w:jc w:val="center"/>
        </w:trPr>
        <w:tc>
          <w:tcPr>
            <w:tcW w:w="712" w:type="pct"/>
            <w:vAlign w:val="center"/>
          </w:tcPr>
          <w:p w:rsidR="00EE4502" w:rsidRDefault="00FD45A3">
            <w:pPr>
              <w:jc w:val="center"/>
              <w:rPr>
                <w:bCs/>
                <w:szCs w:val="21"/>
              </w:rPr>
            </w:pPr>
            <w:r>
              <w:rPr>
                <w:bCs/>
                <w:szCs w:val="21"/>
              </w:rPr>
              <w:t>一级指标</w:t>
            </w:r>
          </w:p>
        </w:tc>
        <w:tc>
          <w:tcPr>
            <w:tcW w:w="506" w:type="pct"/>
            <w:vAlign w:val="center"/>
          </w:tcPr>
          <w:p w:rsidR="00EE4502" w:rsidRDefault="00FD45A3">
            <w:pPr>
              <w:jc w:val="center"/>
              <w:rPr>
                <w:bCs/>
                <w:szCs w:val="21"/>
              </w:rPr>
            </w:pPr>
            <w:r>
              <w:rPr>
                <w:bCs/>
                <w:szCs w:val="21"/>
              </w:rPr>
              <w:t>权重值</w:t>
            </w:r>
          </w:p>
        </w:tc>
        <w:tc>
          <w:tcPr>
            <w:tcW w:w="1001" w:type="pct"/>
            <w:vAlign w:val="center"/>
          </w:tcPr>
          <w:p w:rsidR="00EE4502" w:rsidRDefault="00FD45A3">
            <w:pPr>
              <w:jc w:val="center"/>
              <w:rPr>
                <w:bCs/>
                <w:szCs w:val="21"/>
              </w:rPr>
            </w:pPr>
            <w:r>
              <w:rPr>
                <w:bCs/>
                <w:szCs w:val="21"/>
              </w:rPr>
              <w:t>二级指标</w:t>
            </w:r>
          </w:p>
        </w:tc>
        <w:tc>
          <w:tcPr>
            <w:tcW w:w="821" w:type="pct"/>
            <w:gridSpan w:val="2"/>
            <w:vAlign w:val="center"/>
          </w:tcPr>
          <w:p w:rsidR="00EE4502" w:rsidRDefault="00FD45A3">
            <w:pPr>
              <w:jc w:val="center"/>
              <w:rPr>
                <w:bCs/>
                <w:szCs w:val="21"/>
              </w:rPr>
            </w:pPr>
            <w:r>
              <w:rPr>
                <w:bCs/>
                <w:szCs w:val="21"/>
              </w:rPr>
              <w:t>单位</w:t>
            </w:r>
          </w:p>
        </w:tc>
        <w:tc>
          <w:tcPr>
            <w:tcW w:w="451" w:type="pct"/>
            <w:vAlign w:val="center"/>
          </w:tcPr>
          <w:p w:rsidR="00EE4502" w:rsidRDefault="00FD45A3">
            <w:pPr>
              <w:jc w:val="center"/>
              <w:rPr>
                <w:bCs/>
                <w:szCs w:val="21"/>
              </w:rPr>
            </w:pPr>
            <w:r>
              <w:rPr>
                <w:bCs/>
                <w:szCs w:val="21"/>
              </w:rPr>
              <w:t>权重值</w:t>
            </w:r>
          </w:p>
        </w:tc>
        <w:tc>
          <w:tcPr>
            <w:tcW w:w="674" w:type="pct"/>
            <w:vAlign w:val="center"/>
          </w:tcPr>
          <w:p w:rsidR="00EE4502" w:rsidRDefault="00FD45A3">
            <w:pPr>
              <w:jc w:val="center"/>
              <w:rPr>
                <w:bCs/>
                <w:szCs w:val="21"/>
              </w:rPr>
            </w:pPr>
            <w:r>
              <w:rPr>
                <w:bCs/>
                <w:szCs w:val="21"/>
              </w:rPr>
              <w:t>评价</w:t>
            </w:r>
          </w:p>
          <w:p w:rsidR="00EE4502" w:rsidRDefault="00FD45A3">
            <w:pPr>
              <w:jc w:val="center"/>
              <w:rPr>
                <w:bCs/>
                <w:szCs w:val="21"/>
              </w:rPr>
            </w:pPr>
            <w:r>
              <w:rPr>
                <w:bCs/>
                <w:szCs w:val="21"/>
              </w:rPr>
              <w:t>基准值</w:t>
            </w:r>
          </w:p>
        </w:tc>
        <w:tc>
          <w:tcPr>
            <w:tcW w:w="457" w:type="pct"/>
            <w:vAlign w:val="center"/>
          </w:tcPr>
          <w:p w:rsidR="00EE4502" w:rsidRDefault="00FD45A3">
            <w:pPr>
              <w:jc w:val="center"/>
              <w:rPr>
                <w:bCs/>
                <w:szCs w:val="21"/>
              </w:rPr>
            </w:pPr>
            <w:r>
              <w:rPr>
                <w:bCs/>
                <w:szCs w:val="21"/>
              </w:rPr>
              <w:t>实际值</w:t>
            </w:r>
          </w:p>
        </w:tc>
        <w:tc>
          <w:tcPr>
            <w:tcW w:w="378" w:type="pct"/>
            <w:vAlign w:val="center"/>
          </w:tcPr>
          <w:p w:rsidR="00EE4502" w:rsidRDefault="00FD45A3">
            <w:pPr>
              <w:jc w:val="center"/>
              <w:rPr>
                <w:bCs/>
                <w:szCs w:val="21"/>
              </w:rPr>
            </w:pPr>
            <w:r>
              <w:rPr>
                <w:bCs/>
                <w:szCs w:val="21"/>
              </w:rPr>
              <w:t>得分</w:t>
            </w:r>
          </w:p>
        </w:tc>
      </w:tr>
      <w:tr w:rsidR="00EE4502">
        <w:trPr>
          <w:trHeight w:val="340"/>
          <w:jc w:val="center"/>
        </w:trPr>
        <w:tc>
          <w:tcPr>
            <w:tcW w:w="712" w:type="pct"/>
            <w:vMerge w:val="restart"/>
            <w:vAlign w:val="center"/>
          </w:tcPr>
          <w:p w:rsidR="00EE4502" w:rsidRDefault="00FD45A3">
            <w:pPr>
              <w:jc w:val="center"/>
              <w:rPr>
                <w:bCs/>
                <w:szCs w:val="21"/>
              </w:rPr>
            </w:pPr>
            <w:r>
              <w:rPr>
                <w:bCs/>
                <w:szCs w:val="21"/>
              </w:rPr>
              <w:t>（</w:t>
            </w:r>
            <w:r>
              <w:rPr>
                <w:bCs/>
                <w:szCs w:val="21"/>
              </w:rPr>
              <w:t>1</w:t>
            </w:r>
            <w:r>
              <w:rPr>
                <w:bCs/>
                <w:szCs w:val="21"/>
              </w:rPr>
              <w:t>）资源与能源消耗指标</w:t>
            </w:r>
          </w:p>
        </w:tc>
        <w:tc>
          <w:tcPr>
            <w:tcW w:w="506" w:type="pct"/>
            <w:vMerge w:val="restart"/>
            <w:vAlign w:val="center"/>
          </w:tcPr>
          <w:p w:rsidR="00EE4502" w:rsidRDefault="00FD45A3">
            <w:pPr>
              <w:jc w:val="center"/>
              <w:rPr>
                <w:bCs/>
                <w:szCs w:val="21"/>
              </w:rPr>
            </w:pPr>
            <w:r>
              <w:rPr>
                <w:rFonts w:hint="eastAsia"/>
                <w:bCs/>
                <w:szCs w:val="21"/>
              </w:rPr>
              <w:t>25</w:t>
            </w:r>
          </w:p>
        </w:tc>
        <w:tc>
          <w:tcPr>
            <w:tcW w:w="1001" w:type="pct"/>
            <w:vAlign w:val="center"/>
          </w:tcPr>
          <w:p w:rsidR="00EE4502" w:rsidRDefault="00FD45A3">
            <w:pPr>
              <w:jc w:val="center"/>
              <w:rPr>
                <w:bCs/>
                <w:szCs w:val="21"/>
              </w:rPr>
            </w:pPr>
            <w:r>
              <w:rPr>
                <w:rFonts w:hint="eastAsia"/>
                <w:bCs/>
                <w:szCs w:val="21"/>
              </w:rPr>
              <w:t>占地面积</w:t>
            </w:r>
          </w:p>
        </w:tc>
        <w:tc>
          <w:tcPr>
            <w:tcW w:w="821" w:type="pct"/>
            <w:gridSpan w:val="2"/>
            <w:vAlign w:val="center"/>
          </w:tcPr>
          <w:p w:rsidR="00EE4502" w:rsidRDefault="00EE4502">
            <w:pPr>
              <w:jc w:val="center"/>
              <w:rPr>
                <w:bCs/>
                <w:szCs w:val="21"/>
              </w:rPr>
            </w:pPr>
          </w:p>
        </w:tc>
        <w:tc>
          <w:tcPr>
            <w:tcW w:w="451" w:type="pct"/>
            <w:vAlign w:val="center"/>
          </w:tcPr>
          <w:p w:rsidR="00EE4502" w:rsidRDefault="00FD45A3">
            <w:pPr>
              <w:jc w:val="center"/>
              <w:rPr>
                <w:bCs/>
                <w:szCs w:val="21"/>
              </w:rPr>
            </w:pPr>
            <w:r>
              <w:rPr>
                <w:rFonts w:hint="eastAsia"/>
                <w:bCs/>
                <w:szCs w:val="21"/>
              </w:rPr>
              <w:t>5</w:t>
            </w:r>
          </w:p>
        </w:tc>
        <w:tc>
          <w:tcPr>
            <w:tcW w:w="674" w:type="pct"/>
            <w:vAlign w:val="center"/>
          </w:tcPr>
          <w:p w:rsidR="00EE4502" w:rsidRDefault="00FD45A3">
            <w:pPr>
              <w:jc w:val="center"/>
              <w:rPr>
                <w:bCs/>
                <w:szCs w:val="21"/>
              </w:rPr>
            </w:pPr>
            <w:r>
              <w:rPr>
                <w:bCs/>
                <w:szCs w:val="21"/>
              </w:rPr>
              <w:t>≤5.0</w:t>
            </w:r>
          </w:p>
        </w:tc>
        <w:tc>
          <w:tcPr>
            <w:tcW w:w="457" w:type="pct"/>
            <w:vAlign w:val="center"/>
          </w:tcPr>
          <w:p w:rsidR="00EE4502" w:rsidRDefault="00FD45A3">
            <w:pPr>
              <w:jc w:val="center"/>
              <w:rPr>
                <w:bCs/>
                <w:szCs w:val="21"/>
              </w:rPr>
            </w:pPr>
            <w:r>
              <w:rPr>
                <w:rFonts w:hint="eastAsia"/>
                <w:bCs/>
                <w:szCs w:val="21"/>
              </w:rPr>
              <w:t>符合行业标准要求</w:t>
            </w:r>
          </w:p>
        </w:tc>
        <w:tc>
          <w:tcPr>
            <w:tcW w:w="378" w:type="pct"/>
            <w:vAlign w:val="center"/>
          </w:tcPr>
          <w:p w:rsidR="00EE4502" w:rsidRDefault="00FD45A3">
            <w:pPr>
              <w:jc w:val="center"/>
              <w:rPr>
                <w:bCs/>
                <w:szCs w:val="21"/>
              </w:rPr>
            </w:pPr>
            <w:r>
              <w:rPr>
                <w:rFonts w:hint="eastAsia"/>
                <w:bCs/>
                <w:szCs w:val="21"/>
              </w:rPr>
              <w:t>5</w:t>
            </w:r>
          </w:p>
        </w:tc>
      </w:tr>
      <w:tr w:rsidR="00EE4502">
        <w:trPr>
          <w:trHeight w:val="340"/>
          <w:jc w:val="center"/>
        </w:trPr>
        <w:tc>
          <w:tcPr>
            <w:tcW w:w="712" w:type="pct"/>
            <w:vMerge/>
            <w:vAlign w:val="center"/>
          </w:tcPr>
          <w:p w:rsidR="00EE4502" w:rsidRDefault="00EE4502">
            <w:pPr>
              <w:jc w:val="center"/>
              <w:rPr>
                <w:bCs/>
                <w:szCs w:val="21"/>
              </w:rPr>
            </w:pPr>
          </w:p>
        </w:tc>
        <w:tc>
          <w:tcPr>
            <w:tcW w:w="506" w:type="pct"/>
            <w:vMerge/>
            <w:vAlign w:val="center"/>
          </w:tcPr>
          <w:p w:rsidR="00EE4502" w:rsidRDefault="00EE4502">
            <w:pPr>
              <w:jc w:val="center"/>
              <w:rPr>
                <w:bCs/>
                <w:szCs w:val="21"/>
              </w:rPr>
            </w:pPr>
          </w:p>
        </w:tc>
        <w:tc>
          <w:tcPr>
            <w:tcW w:w="1001" w:type="pct"/>
            <w:vAlign w:val="center"/>
          </w:tcPr>
          <w:p w:rsidR="00EE4502" w:rsidRDefault="00FD45A3">
            <w:pPr>
              <w:jc w:val="center"/>
              <w:rPr>
                <w:bCs/>
                <w:szCs w:val="21"/>
              </w:rPr>
            </w:pPr>
            <w:r>
              <w:rPr>
                <w:rFonts w:hint="eastAsia"/>
                <w:bCs/>
                <w:szCs w:val="21"/>
              </w:rPr>
              <w:t>洗井液消耗</w:t>
            </w:r>
          </w:p>
        </w:tc>
        <w:tc>
          <w:tcPr>
            <w:tcW w:w="821" w:type="pct"/>
            <w:gridSpan w:val="2"/>
            <w:vAlign w:val="center"/>
          </w:tcPr>
          <w:p w:rsidR="00EE4502" w:rsidRDefault="00FD45A3">
            <w:pPr>
              <w:jc w:val="center"/>
              <w:rPr>
                <w:bCs/>
                <w:szCs w:val="21"/>
              </w:rPr>
            </w:pPr>
            <w:r>
              <w:rPr>
                <w:rFonts w:hint="eastAsia"/>
                <w:bCs/>
                <w:szCs w:val="21"/>
              </w:rPr>
              <w:t>m</w:t>
            </w:r>
            <w:r>
              <w:rPr>
                <w:rFonts w:hint="eastAsia"/>
                <w:bCs/>
                <w:szCs w:val="21"/>
              </w:rPr>
              <w:t>³</w:t>
            </w:r>
            <w:r>
              <w:rPr>
                <w:bCs/>
                <w:szCs w:val="21"/>
              </w:rPr>
              <w:t>/</w:t>
            </w:r>
            <w:r>
              <w:rPr>
                <w:bCs/>
                <w:szCs w:val="21"/>
              </w:rPr>
              <w:t>井次</w:t>
            </w:r>
          </w:p>
        </w:tc>
        <w:tc>
          <w:tcPr>
            <w:tcW w:w="451" w:type="pct"/>
            <w:vAlign w:val="center"/>
          </w:tcPr>
          <w:p w:rsidR="00EE4502" w:rsidRDefault="00FD45A3">
            <w:pPr>
              <w:jc w:val="center"/>
              <w:rPr>
                <w:bCs/>
                <w:szCs w:val="21"/>
              </w:rPr>
            </w:pPr>
            <w:r>
              <w:rPr>
                <w:bCs/>
                <w:szCs w:val="21"/>
              </w:rPr>
              <w:t>10</w:t>
            </w:r>
          </w:p>
        </w:tc>
        <w:tc>
          <w:tcPr>
            <w:tcW w:w="674" w:type="pct"/>
            <w:vAlign w:val="center"/>
          </w:tcPr>
          <w:p w:rsidR="00EE4502" w:rsidRDefault="00FD45A3">
            <w:pPr>
              <w:jc w:val="center"/>
              <w:rPr>
                <w:bCs/>
                <w:szCs w:val="21"/>
              </w:rPr>
            </w:pPr>
            <w:r>
              <w:rPr>
                <w:bCs/>
                <w:szCs w:val="21"/>
              </w:rPr>
              <w:t>≤5.0</w:t>
            </w:r>
          </w:p>
        </w:tc>
        <w:tc>
          <w:tcPr>
            <w:tcW w:w="457" w:type="pct"/>
            <w:vAlign w:val="center"/>
          </w:tcPr>
          <w:p w:rsidR="00EE4502" w:rsidRDefault="00EE4502">
            <w:pPr>
              <w:jc w:val="center"/>
              <w:rPr>
                <w:bCs/>
                <w:szCs w:val="21"/>
              </w:rPr>
            </w:pPr>
          </w:p>
        </w:tc>
        <w:tc>
          <w:tcPr>
            <w:tcW w:w="378" w:type="pct"/>
            <w:vAlign w:val="center"/>
          </w:tcPr>
          <w:p w:rsidR="00EE4502" w:rsidRDefault="00FD45A3">
            <w:pPr>
              <w:jc w:val="center"/>
              <w:rPr>
                <w:bCs/>
                <w:szCs w:val="21"/>
              </w:rPr>
            </w:pPr>
            <w:r>
              <w:rPr>
                <w:bCs/>
                <w:szCs w:val="21"/>
              </w:rPr>
              <w:t>10</w:t>
            </w:r>
          </w:p>
        </w:tc>
      </w:tr>
      <w:tr w:rsidR="00EE4502">
        <w:trPr>
          <w:trHeight w:val="340"/>
          <w:jc w:val="center"/>
        </w:trPr>
        <w:tc>
          <w:tcPr>
            <w:tcW w:w="712" w:type="pct"/>
            <w:vMerge/>
            <w:vAlign w:val="center"/>
          </w:tcPr>
          <w:p w:rsidR="00EE4502" w:rsidRDefault="00EE4502">
            <w:pPr>
              <w:jc w:val="center"/>
              <w:rPr>
                <w:bCs/>
                <w:szCs w:val="21"/>
              </w:rPr>
            </w:pPr>
          </w:p>
        </w:tc>
        <w:tc>
          <w:tcPr>
            <w:tcW w:w="506" w:type="pct"/>
            <w:vMerge/>
            <w:vAlign w:val="center"/>
          </w:tcPr>
          <w:p w:rsidR="00EE4502" w:rsidRDefault="00EE4502">
            <w:pPr>
              <w:jc w:val="center"/>
              <w:rPr>
                <w:bCs/>
                <w:szCs w:val="21"/>
              </w:rPr>
            </w:pPr>
          </w:p>
        </w:tc>
        <w:tc>
          <w:tcPr>
            <w:tcW w:w="1001" w:type="pct"/>
            <w:vAlign w:val="center"/>
          </w:tcPr>
          <w:p w:rsidR="00EE4502" w:rsidRDefault="00FD45A3">
            <w:pPr>
              <w:jc w:val="center"/>
              <w:rPr>
                <w:bCs/>
                <w:szCs w:val="21"/>
              </w:rPr>
            </w:pPr>
            <w:r>
              <w:rPr>
                <w:rFonts w:hint="eastAsia"/>
                <w:bCs/>
                <w:szCs w:val="21"/>
              </w:rPr>
              <w:t>新鲜水消耗</w:t>
            </w:r>
          </w:p>
        </w:tc>
        <w:tc>
          <w:tcPr>
            <w:tcW w:w="821" w:type="pct"/>
            <w:gridSpan w:val="2"/>
            <w:vAlign w:val="center"/>
          </w:tcPr>
          <w:p w:rsidR="00EE4502" w:rsidRDefault="00FD45A3">
            <w:pPr>
              <w:jc w:val="center"/>
              <w:rPr>
                <w:bCs/>
                <w:szCs w:val="21"/>
              </w:rPr>
            </w:pPr>
            <w:r>
              <w:rPr>
                <w:rFonts w:hint="eastAsia"/>
                <w:bCs/>
                <w:szCs w:val="21"/>
              </w:rPr>
              <w:t>m</w:t>
            </w:r>
            <w:r>
              <w:rPr>
                <w:rFonts w:hint="eastAsia"/>
                <w:bCs/>
                <w:szCs w:val="21"/>
              </w:rPr>
              <w:t>³</w:t>
            </w:r>
            <w:r>
              <w:rPr>
                <w:bCs/>
                <w:szCs w:val="21"/>
              </w:rPr>
              <w:t>/</w:t>
            </w:r>
            <w:r>
              <w:rPr>
                <w:bCs/>
                <w:szCs w:val="21"/>
              </w:rPr>
              <w:t>井次</w:t>
            </w:r>
          </w:p>
        </w:tc>
        <w:tc>
          <w:tcPr>
            <w:tcW w:w="451" w:type="pct"/>
            <w:vAlign w:val="center"/>
          </w:tcPr>
          <w:p w:rsidR="00EE4502" w:rsidRDefault="00FD45A3">
            <w:pPr>
              <w:jc w:val="center"/>
              <w:rPr>
                <w:bCs/>
                <w:szCs w:val="21"/>
              </w:rPr>
            </w:pPr>
            <w:r>
              <w:rPr>
                <w:bCs/>
                <w:szCs w:val="21"/>
              </w:rPr>
              <w:t>10</w:t>
            </w:r>
          </w:p>
        </w:tc>
        <w:tc>
          <w:tcPr>
            <w:tcW w:w="674" w:type="pct"/>
            <w:vAlign w:val="center"/>
          </w:tcPr>
          <w:p w:rsidR="00EE4502" w:rsidRDefault="00FD45A3">
            <w:pPr>
              <w:jc w:val="center"/>
              <w:rPr>
                <w:bCs/>
                <w:szCs w:val="21"/>
              </w:rPr>
            </w:pPr>
            <w:r>
              <w:rPr>
                <w:bCs/>
                <w:szCs w:val="21"/>
              </w:rPr>
              <w:t>行业基</w:t>
            </w:r>
          </w:p>
          <w:p w:rsidR="00EE4502" w:rsidRDefault="00FD45A3">
            <w:pPr>
              <w:jc w:val="center"/>
              <w:rPr>
                <w:bCs/>
                <w:szCs w:val="21"/>
              </w:rPr>
            </w:pPr>
            <w:r>
              <w:rPr>
                <w:bCs/>
                <w:szCs w:val="21"/>
              </w:rPr>
              <w:t>本水平</w:t>
            </w:r>
          </w:p>
        </w:tc>
        <w:tc>
          <w:tcPr>
            <w:tcW w:w="457" w:type="pct"/>
            <w:vAlign w:val="center"/>
          </w:tcPr>
          <w:p w:rsidR="00EE4502" w:rsidRDefault="00EE4502">
            <w:pPr>
              <w:jc w:val="center"/>
              <w:rPr>
                <w:bCs/>
                <w:szCs w:val="21"/>
              </w:rPr>
            </w:pPr>
          </w:p>
        </w:tc>
        <w:tc>
          <w:tcPr>
            <w:tcW w:w="378" w:type="pct"/>
            <w:vAlign w:val="center"/>
          </w:tcPr>
          <w:p w:rsidR="00EE4502" w:rsidRDefault="00FD45A3">
            <w:pPr>
              <w:jc w:val="center"/>
              <w:rPr>
                <w:bCs/>
                <w:szCs w:val="21"/>
              </w:rPr>
            </w:pPr>
            <w:r>
              <w:rPr>
                <w:rFonts w:hint="eastAsia"/>
                <w:bCs/>
                <w:szCs w:val="21"/>
              </w:rPr>
              <w:t>/</w:t>
            </w:r>
          </w:p>
        </w:tc>
      </w:tr>
      <w:tr w:rsidR="00EE4502">
        <w:trPr>
          <w:trHeight w:val="340"/>
          <w:jc w:val="center"/>
        </w:trPr>
        <w:tc>
          <w:tcPr>
            <w:tcW w:w="712" w:type="pct"/>
            <w:vAlign w:val="center"/>
          </w:tcPr>
          <w:p w:rsidR="00EE4502" w:rsidRDefault="00FD45A3">
            <w:pPr>
              <w:jc w:val="center"/>
              <w:rPr>
                <w:bCs/>
                <w:szCs w:val="21"/>
              </w:rPr>
            </w:pPr>
            <w:r>
              <w:rPr>
                <w:bCs/>
                <w:szCs w:val="21"/>
              </w:rPr>
              <w:t>（</w:t>
            </w:r>
            <w:r>
              <w:rPr>
                <w:bCs/>
                <w:szCs w:val="21"/>
              </w:rPr>
              <w:t>2</w:t>
            </w:r>
            <w:r>
              <w:rPr>
                <w:bCs/>
                <w:szCs w:val="21"/>
              </w:rPr>
              <w:t>）生产技术特征指标</w:t>
            </w:r>
          </w:p>
        </w:tc>
        <w:tc>
          <w:tcPr>
            <w:tcW w:w="506" w:type="pct"/>
            <w:vAlign w:val="center"/>
          </w:tcPr>
          <w:p w:rsidR="00EE4502" w:rsidRDefault="00FD45A3">
            <w:pPr>
              <w:jc w:val="center"/>
              <w:rPr>
                <w:bCs/>
                <w:szCs w:val="21"/>
              </w:rPr>
            </w:pPr>
            <w:r>
              <w:rPr>
                <w:bCs/>
                <w:szCs w:val="21"/>
              </w:rPr>
              <w:t>2</w:t>
            </w:r>
            <w:r>
              <w:rPr>
                <w:rFonts w:hint="eastAsia"/>
                <w:bCs/>
                <w:szCs w:val="21"/>
              </w:rPr>
              <w:t>5</w:t>
            </w:r>
          </w:p>
        </w:tc>
        <w:tc>
          <w:tcPr>
            <w:tcW w:w="1001" w:type="pct"/>
            <w:vAlign w:val="center"/>
          </w:tcPr>
          <w:p w:rsidR="00EE4502" w:rsidRDefault="00FD45A3">
            <w:pPr>
              <w:jc w:val="center"/>
              <w:rPr>
                <w:bCs/>
                <w:szCs w:val="21"/>
              </w:rPr>
            </w:pPr>
            <w:r>
              <w:rPr>
                <w:bCs/>
                <w:szCs w:val="21"/>
              </w:rPr>
              <w:t>压裂放喷返排入罐率</w:t>
            </w:r>
          </w:p>
        </w:tc>
        <w:tc>
          <w:tcPr>
            <w:tcW w:w="821" w:type="pct"/>
            <w:gridSpan w:val="2"/>
            <w:vAlign w:val="center"/>
          </w:tcPr>
          <w:p w:rsidR="00EE4502" w:rsidRDefault="00FD45A3">
            <w:pPr>
              <w:jc w:val="center"/>
              <w:rPr>
                <w:bCs/>
                <w:szCs w:val="21"/>
              </w:rPr>
            </w:pPr>
            <w:r>
              <w:rPr>
                <w:bCs/>
                <w:szCs w:val="21"/>
              </w:rPr>
              <w:t>％</w:t>
            </w:r>
          </w:p>
        </w:tc>
        <w:tc>
          <w:tcPr>
            <w:tcW w:w="451" w:type="pct"/>
            <w:vAlign w:val="center"/>
          </w:tcPr>
          <w:p w:rsidR="00EE4502" w:rsidRDefault="00FD45A3">
            <w:pPr>
              <w:jc w:val="center"/>
              <w:rPr>
                <w:bCs/>
                <w:szCs w:val="21"/>
              </w:rPr>
            </w:pPr>
            <w:r>
              <w:rPr>
                <w:rFonts w:hint="eastAsia"/>
                <w:bCs/>
                <w:szCs w:val="21"/>
              </w:rPr>
              <w:t>25</w:t>
            </w:r>
          </w:p>
        </w:tc>
        <w:tc>
          <w:tcPr>
            <w:tcW w:w="674" w:type="pct"/>
            <w:vAlign w:val="center"/>
          </w:tcPr>
          <w:p w:rsidR="00EE4502" w:rsidRDefault="00FD45A3">
            <w:pPr>
              <w:jc w:val="center"/>
              <w:rPr>
                <w:bCs/>
                <w:szCs w:val="21"/>
              </w:rPr>
            </w:pPr>
            <w:r>
              <w:rPr>
                <w:bCs/>
                <w:szCs w:val="21"/>
              </w:rPr>
              <w:t>100</w:t>
            </w:r>
          </w:p>
        </w:tc>
        <w:tc>
          <w:tcPr>
            <w:tcW w:w="457" w:type="pct"/>
            <w:vAlign w:val="center"/>
          </w:tcPr>
          <w:p w:rsidR="00EE4502" w:rsidRDefault="00FD45A3">
            <w:pPr>
              <w:jc w:val="center"/>
              <w:rPr>
                <w:bCs/>
                <w:szCs w:val="21"/>
              </w:rPr>
            </w:pPr>
            <w:r>
              <w:rPr>
                <w:bCs/>
                <w:szCs w:val="21"/>
              </w:rPr>
              <w:t>100</w:t>
            </w:r>
          </w:p>
        </w:tc>
        <w:tc>
          <w:tcPr>
            <w:tcW w:w="378" w:type="pct"/>
            <w:vAlign w:val="center"/>
          </w:tcPr>
          <w:p w:rsidR="00EE4502" w:rsidRDefault="00FD45A3">
            <w:pPr>
              <w:jc w:val="center"/>
              <w:rPr>
                <w:bCs/>
                <w:szCs w:val="21"/>
              </w:rPr>
            </w:pPr>
            <w:r>
              <w:rPr>
                <w:rFonts w:hint="eastAsia"/>
                <w:bCs/>
                <w:szCs w:val="21"/>
              </w:rPr>
              <w:t>25</w:t>
            </w:r>
          </w:p>
        </w:tc>
      </w:tr>
      <w:tr w:rsidR="00EE4502">
        <w:trPr>
          <w:trHeight w:val="340"/>
          <w:jc w:val="center"/>
        </w:trPr>
        <w:tc>
          <w:tcPr>
            <w:tcW w:w="712" w:type="pct"/>
            <w:vMerge w:val="restart"/>
            <w:vAlign w:val="center"/>
          </w:tcPr>
          <w:p w:rsidR="00EE4502" w:rsidRDefault="00FD45A3">
            <w:pPr>
              <w:jc w:val="center"/>
              <w:rPr>
                <w:bCs/>
                <w:szCs w:val="21"/>
              </w:rPr>
            </w:pPr>
            <w:r>
              <w:rPr>
                <w:bCs/>
                <w:szCs w:val="21"/>
              </w:rPr>
              <w:t>（</w:t>
            </w:r>
            <w:r>
              <w:rPr>
                <w:bCs/>
                <w:szCs w:val="21"/>
              </w:rPr>
              <w:t>3</w:t>
            </w:r>
            <w:r>
              <w:rPr>
                <w:bCs/>
                <w:szCs w:val="21"/>
              </w:rPr>
              <w:t>）资源综合利用指标</w:t>
            </w:r>
          </w:p>
        </w:tc>
        <w:tc>
          <w:tcPr>
            <w:tcW w:w="506" w:type="pct"/>
            <w:vMerge w:val="restart"/>
            <w:vAlign w:val="center"/>
          </w:tcPr>
          <w:p w:rsidR="00EE4502" w:rsidRDefault="00FD45A3">
            <w:pPr>
              <w:jc w:val="center"/>
              <w:rPr>
                <w:bCs/>
                <w:szCs w:val="21"/>
              </w:rPr>
            </w:pPr>
            <w:r>
              <w:rPr>
                <w:bCs/>
                <w:szCs w:val="21"/>
              </w:rPr>
              <w:t>2</w:t>
            </w:r>
            <w:r>
              <w:rPr>
                <w:rFonts w:hint="eastAsia"/>
                <w:bCs/>
                <w:szCs w:val="21"/>
              </w:rPr>
              <w:t>5</w:t>
            </w:r>
          </w:p>
        </w:tc>
        <w:tc>
          <w:tcPr>
            <w:tcW w:w="1001" w:type="pct"/>
            <w:vAlign w:val="center"/>
          </w:tcPr>
          <w:p w:rsidR="00EE4502" w:rsidRDefault="00FD45A3">
            <w:pPr>
              <w:jc w:val="center"/>
              <w:rPr>
                <w:bCs/>
                <w:szCs w:val="21"/>
              </w:rPr>
            </w:pPr>
            <w:r>
              <w:rPr>
                <w:rFonts w:hint="eastAsia"/>
                <w:bCs/>
                <w:szCs w:val="21"/>
              </w:rPr>
              <w:t>落地原油回收利用率</w:t>
            </w:r>
          </w:p>
        </w:tc>
        <w:tc>
          <w:tcPr>
            <w:tcW w:w="821" w:type="pct"/>
            <w:gridSpan w:val="2"/>
            <w:vAlign w:val="center"/>
          </w:tcPr>
          <w:p w:rsidR="00EE4502" w:rsidRDefault="00FD45A3">
            <w:pPr>
              <w:jc w:val="center"/>
              <w:rPr>
                <w:bCs/>
                <w:szCs w:val="21"/>
              </w:rPr>
            </w:pPr>
            <w:r>
              <w:rPr>
                <w:bCs/>
                <w:szCs w:val="21"/>
              </w:rPr>
              <w:t>％</w:t>
            </w:r>
          </w:p>
        </w:tc>
        <w:tc>
          <w:tcPr>
            <w:tcW w:w="451" w:type="pct"/>
            <w:vAlign w:val="center"/>
          </w:tcPr>
          <w:p w:rsidR="00EE4502" w:rsidRDefault="00FD45A3">
            <w:pPr>
              <w:jc w:val="center"/>
              <w:rPr>
                <w:bCs/>
                <w:szCs w:val="21"/>
              </w:rPr>
            </w:pPr>
            <w:r>
              <w:rPr>
                <w:rFonts w:hint="eastAsia"/>
                <w:bCs/>
                <w:szCs w:val="21"/>
              </w:rPr>
              <w:t>8</w:t>
            </w:r>
          </w:p>
        </w:tc>
        <w:tc>
          <w:tcPr>
            <w:tcW w:w="674" w:type="pct"/>
            <w:vAlign w:val="center"/>
          </w:tcPr>
          <w:p w:rsidR="00EE4502" w:rsidRDefault="00FD45A3">
            <w:pPr>
              <w:jc w:val="center"/>
              <w:rPr>
                <w:bCs/>
                <w:szCs w:val="21"/>
              </w:rPr>
            </w:pPr>
            <w:r>
              <w:rPr>
                <w:bCs/>
                <w:szCs w:val="21"/>
              </w:rPr>
              <w:t>100</w:t>
            </w:r>
          </w:p>
        </w:tc>
        <w:tc>
          <w:tcPr>
            <w:tcW w:w="457" w:type="pct"/>
            <w:vAlign w:val="center"/>
          </w:tcPr>
          <w:p w:rsidR="00EE4502" w:rsidRDefault="00FD45A3">
            <w:pPr>
              <w:jc w:val="center"/>
              <w:rPr>
                <w:bCs/>
                <w:szCs w:val="21"/>
              </w:rPr>
            </w:pPr>
            <w:r>
              <w:rPr>
                <w:bCs/>
                <w:szCs w:val="21"/>
              </w:rPr>
              <w:t>100</w:t>
            </w:r>
          </w:p>
        </w:tc>
        <w:tc>
          <w:tcPr>
            <w:tcW w:w="378" w:type="pct"/>
            <w:vAlign w:val="center"/>
          </w:tcPr>
          <w:p w:rsidR="00EE4502" w:rsidRDefault="00FD45A3">
            <w:pPr>
              <w:jc w:val="center"/>
              <w:rPr>
                <w:bCs/>
                <w:szCs w:val="21"/>
              </w:rPr>
            </w:pPr>
            <w:r>
              <w:rPr>
                <w:rFonts w:hint="eastAsia"/>
                <w:bCs/>
                <w:szCs w:val="21"/>
              </w:rPr>
              <w:t>8</w:t>
            </w:r>
          </w:p>
        </w:tc>
      </w:tr>
      <w:tr w:rsidR="00EE4502">
        <w:trPr>
          <w:trHeight w:val="340"/>
          <w:jc w:val="center"/>
        </w:trPr>
        <w:tc>
          <w:tcPr>
            <w:tcW w:w="712" w:type="pct"/>
            <w:vMerge/>
            <w:vAlign w:val="center"/>
          </w:tcPr>
          <w:p w:rsidR="00EE4502" w:rsidRDefault="00EE4502">
            <w:pPr>
              <w:jc w:val="center"/>
              <w:rPr>
                <w:bCs/>
                <w:szCs w:val="21"/>
              </w:rPr>
            </w:pPr>
          </w:p>
        </w:tc>
        <w:tc>
          <w:tcPr>
            <w:tcW w:w="506" w:type="pct"/>
            <w:vMerge/>
            <w:vAlign w:val="center"/>
          </w:tcPr>
          <w:p w:rsidR="00EE4502" w:rsidRDefault="00EE4502">
            <w:pPr>
              <w:jc w:val="center"/>
              <w:rPr>
                <w:bCs/>
                <w:szCs w:val="21"/>
              </w:rPr>
            </w:pPr>
          </w:p>
        </w:tc>
        <w:tc>
          <w:tcPr>
            <w:tcW w:w="1001" w:type="pct"/>
            <w:vAlign w:val="center"/>
          </w:tcPr>
          <w:p w:rsidR="00EE4502" w:rsidRDefault="00FD45A3">
            <w:pPr>
              <w:jc w:val="center"/>
              <w:rPr>
                <w:bCs/>
                <w:szCs w:val="21"/>
              </w:rPr>
            </w:pPr>
            <w:r>
              <w:rPr>
                <w:rFonts w:hint="eastAsia"/>
                <w:bCs/>
                <w:szCs w:val="21"/>
              </w:rPr>
              <w:t>生产过程排出物利用率</w:t>
            </w:r>
          </w:p>
        </w:tc>
        <w:tc>
          <w:tcPr>
            <w:tcW w:w="821" w:type="pct"/>
            <w:gridSpan w:val="2"/>
            <w:vAlign w:val="center"/>
          </w:tcPr>
          <w:p w:rsidR="00EE4502" w:rsidRDefault="00FD45A3">
            <w:pPr>
              <w:jc w:val="center"/>
              <w:rPr>
                <w:bCs/>
                <w:szCs w:val="21"/>
              </w:rPr>
            </w:pPr>
            <w:r>
              <w:rPr>
                <w:bCs/>
                <w:szCs w:val="21"/>
              </w:rPr>
              <w:t>％</w:t>
            </w:r>
          </w:p>
        </w:tc>
        <w:tc>
          <w:tcPr>
            <w:tcW w:w="451" w:type="pct"/>
            <w:vAlign w:val="center"/>
          </w:tcPr>
          <w:p w:rsidR="00EE4502" w:rsidRDefault="00FD45A3">
            <w:pPr>
              <w:jc w:val="center"/>
              <w:rPr>
                <w:bCs/>
                <w:szCs w:val="21"/>
              </w:rPr>
            </w:pPr>
            <w:r>
              <w:rPr>
                <w:rFonts w:hint="eastAsia"/>
                <w:bCs/>
                <w:szCs w:val="21"/>
              </w:rPr>
              <w:t>9</w:t>
            </w:r>
          </w:p>
        </w:tc>
        <w:tc>
          <w:tcPr>
            <w:tcW w:w="674" w:type="pct"/>
            <w:vAlign w:val="center"/>
          </w:tcPr>
          <w:p w:rsidR="00EE4502" w:rsidRDefault="00FD45A3">
            <w:pPr>
              <w:jc w:val="center"/>
              <w:rPr>
                <w:bCs/>
                <w:szCs w:val="21"/>
              </w:rPr>
            </w:pPr>
            <w:r>
              <w:rPr>
                <w:bCs/>
                <w:szCs w:val="21"/>
              </w:rPr>
              <w:t>100</w:t>
            </w:r>
          </w:p>
        </w:tc>
        <w:tc>
          <w:tcPr>
            <w:tcW w:w="457" w:type="pct"/>
            <w:vAlign w:val="center"/>
          </w:tcPr>
          <w:p w:rsidR="00EE4502" w:rsidRDefault="00FD45A3">
            <w:pPr>
              <w:jc w:val="center"/>
              <w:rPr>
                <w:bCs/>
                <w:szCs w:val="21"/>
              </w:rPr>
            </w:pPr>
            <w:r>
              <w:rPr>
                <w:bCs/>
                <w:szCs w:val="21"/>
              </w:rPr>
              <w:t>100</w:t>
            </w:r>
          </w:p>
        </w:tc>
        <w:tc>
          <w:tcPr>
            <w:tcW w:w="378" w:type="pct"/>
            <w:vAlign w:val="center"/>
          </w:tcPr>
          <w:p w:rsidR="00EE4502" w:rsidRDefault="00FD45A3">
            <w:pPr>
              <w:jc w:val="center"/>
              <w:rPr>
                <w:bCs/>
                <w:szCs w:val="21"/>
              </w:rPr>
            </w:pPr>
            <w:r>
              <w:rPr>
                <w:rFonts w:hint="eastAsia"/>
                <w:bCs/>
                <w:szCs w:val="21"/>
              </w:rPr>
              <w:t>9</w:t>
            </w:r>
          </w:p>
        </w:tc>
      </w:tr>
      <w:tr w:rsidR="00EE4502">
        <w:trPr>
          <w:trHeight w:val="340"/>
          <w:jc w:val="center"/>
        </w:trPr>
        <w:tc>
          <w:tcPr>
            <w:tcW w:w="712" w:type="pct"/>
            <w:vMerge/>
            <w:vAlign w:val="center"/>
          </w:tcPr>
          <w:p w:rsidR="00EE4502" w:rsidRDefault="00EE4502">
            <w:pPr>
              <w:jc w:val="center"/>
              <w:rPr>
                <w:bCs/>
                <w:szCs w:val="21"/>
              </w:rPr>
            </w:pPr>
          </w:p>
        </w:tc>
        <w:tc>
          <w:tcPr>
            <w:tcW w:w="506" w:type="pct"/>
            <w:vMerge/>
            <w:vAlign w:val="center"/>
          </w:tcPr>
          <w:p w:rsidR="00EE4502" w:rsidRDefault="00EE4502">
            <w:pPr>
              <w:jc w:val="center"/>
              <w:rPr>
                <w:bCs/>
                <w:szCs w:val="21"/>
              </w:rPr>
            </w:pPr>
          </w:p>
        </w:tc>
        <w:tc>
          <w:tcPr>
            <w:tcW w:w="1001" w:type="pct"/>
            <w:vAlign w:val="center"/>
          </w:tcPr>
          <w:p w:rsidR="00EE4502" w:rsidRDefault="00FD45A3">
            <w:pPr>
              <w:jc w:val="center"/>
              <w:rPr>
                <w:bCs/>
                <w:szCs w:val="21"/>
              </w:rPr>
            </w:pPr>
            <w:r>
              <w:rPr>
                <w:rFonts w:hint="eastAsia"/>
                <w:bCs/>
                <w:szCs w:val="21"/>
              </w:rPr>
              <w:t>剩余作业液回收率</w:t>
            </w:r>
          </w:p>
        </w:tc>
        <w:tc>
          <w:tcPr>
            <w:tcW w:w="821" w:type="pct"/>
            <w:gridSpan w:val="2"/>
            <w:vAlign w:val="center"/>
          </w:tcPr>
          <w:p w:rsidR="00EE4502" w:rsidRDefault="00FD45A3">
            <w:pPr>
              <w:jc w:val="center"/>
              <w:rPr>
                <w:bCs/>
                <w:szCs w:val="21"/>
              </w:rPr>
            </w:pPr>
            <w:r>
              <w:rPr>
                <w:bCs/>
                <w:szCs w:val="21"/>
              </w:rPr>
              <w:t>％</w:t>
            </w:r>
          </w:p>
        </w:tc>
        <w:tc>
          <w:tcPr>
            <w:tcW w:w="451" w:type="pct"/>
            <w:vAlign w:val="center"/>
          </w:tcPr>
          <w:p w:rsidR="00EE4502" w:rsidRDefault="00FD45A3">
            <w:pPr>
              <w:jc w:val="center"/>
              <w:rPr>
                <w:bCs/>
                <w:szCs w:val="21"/>
              </w:rPr>
            </w:pPr>
            <w:r>
              <w:rPr>
                <w:rFonts w:hint="eastAsia"/>
                <w:bCs/>
                <w:szCs w:val="21"/>
              </w:rPr>
              <w:t>8</w:t>
            </w:r>
          </w:p>
        </w:tc>
        <w:tc>
          <w:tcPr>
            <w:tcW w:w="674" w:type="pct"/>
            <w:vAlign w:val="center"/>
          </w:tcPr>
          <w:p w:rsidR="00EE4502" w:rsidRDefault="00FD45A3">
            <w:pPr>
              <w:jc w:val="center"/>
              <w:rPr>
                <w:bCs/>
                <w:szCs w:val="21"/>
              </w:rPr>
            </w:pPr>
            <w:r>
              <w:rPr>
                <w:bCs/>
                <w:szCs w:val="21"/>
              </w:rPr>
              <w:t>100</w:t>
            </w:r>
          </w:p>
        </w:tc>
        <w:tc>
          <w:tcPr>
            <w:tcW w:w="457" w:type="pct"/>
            <w:vAlign w:val="center"/>
          </w:tcPr>
          <w:p w:rsidR="00EE4502" w:rsidRDefault="00FD45A3">
            <w:pPr>
              <w:jc w:val="center"/>
              <w:rPr>
                <w:bCs/>
                <w:szCs w:val="21"/>
              </w:rPr>
            </w:pPr>
            <w:r>
              <w:rPr>
                <w:bCs/>
                <w:szCs w:val="21"/>
              </w:rPr>
              <w:t>100</w:t>
            </w:r>
          </w:p>
        </w:tc>
        <w:tc>
          <w:tcPr>
            <w:tcW w:w="378" w:type="pct"/>
            <w:vAlign w:val="center"/>
          </w:tcPr>
          <w:p w:rsidR="00EE4502" w:rsidRDefault="00FD45A3">
            <w:pPr>
              <w:jc w:val="center"/>
              <w:rPr>
                <w:bCs/>
                <w:szCs w:val="21"/>
              </w:rPr>
            </w:pPr>
            <w:r>
              <w:rPr>
                <w:rFonts w:hint="eastAsia"/>
                <w:bCs/>
                <w:szCs w:val="21"/>
              </w:rPr>
              <w:t>8</w:t>
            </w:r>
          </w:p>
        </w:tc>
      </w:tr>
      <w:tr w:rsidR="00EE4502">
        <w:trPr>
          <w:trHeight w:val="340"/>
          <w:jc w:val="center"/>
        </w:trPr>
        <w:tc>
          <w:tcPr>
            <w:tcW w:w="712" w:type="pct"/>
            <w:vMerge w:val="restart"/>
            <w:vAlign w:val="center"/>
          </w:tcPr>
          <w:p w:rsidR="00EE4502" w:rsidRDefault="00FD45A3">
            <w:pPr>
              <w:jc w:val="center"/>
              <w:rPr>
                <w:bCs/>
                <w:szCs w:val="21"/>
              </w:rPr>
            </w:pPr>
            <w:r>
              <w:rPr>
                <w:bCs/>
                <w:szCs w:val="21"/>
              </w:rPr>
              <w:t>（</w:t>
            </w:r>
            <w:r>
              <w:rPr>
                <w:bCs/>
                <w:szCs w:val="21"/>
              </w:rPr>
              <w:t>4</w:t>
            </w:r>
            <w:r>
              <w:rPr>
                <w:bCs/>
                <w:szCs w:val="21"/>
              </w:rPr>
              <w:t>）污染物产生指标</w:t>
            </w:r>
          </w:p>
        </w:tc>
        <w:tc>
          <w:tcPr>
            <w:tcW w:w="506" w:type="pct"/>
            <w:vMerge w:val="restart"/>
            <w:vAlign w:val="center"/>
          </w:tcPr>
          <w:p w:rsidR="00EE4502" w:rsidRDefault="00FD45A3">
            <w:pPr>
              <w:jc w:val="center"/>
              <w:rPr>
                <w:bCs/>
                <w:szCs w:val="21"/>
              </w:rPr>
            </w:pPr>
            <w:r>
              <w:rPr>
                <w:rFonts w:hint="eastAsia"/>
                <w:bCs/>
                <w:szCs w:val="21"/>
              </w:rPr>
              <w:t>25</w:t>
            </w:r>
          </w:p>
        </w:tc>
        <w:tc>
          <w:tcPr>
            <w:tcW w:w="1001" w:type="pct"/>
            <w:vAlign w:val="center"/>
          </w:tcPr>
          <w:p w:rsidR="00EE4502" w:rsidRDefault="00FD45A3">
            <w:pPr>
              <w:jc w:val="center"/>
              <w:rPr>
                <w:bCs/>
                <w:szCs w:val="21"/>
              </w:rPr>
            </w:pPr>
            <w:r>
              <w:rPr>
                <w:rFonts w:hint="eastAsia"/>
                <w:bCs/>
                <w:szCs w:val="21"/>
              </w:rPr>
              <w:t>废弃洗井液</w:t>
            </w:r>
          </w:p>
        </w:tc>
        <w:tc>
          <w:tcPr>
            <w:tcW w:w="821" w:type="pct"/>
            <w:gridSpan w:val="2"/>
            <w:vAlign w:val="center"/>
          </w:tcPr>
          <w:p w:rsidR="00EE4502" w:rsidRDefault="00FD45A3">
            <w:pPr>
              <w:jc w:val="center"/>
              <w:rPr>
                <w:bCs/>
                <w:szCs w:val="21"/>
              </w:rPr>
            </w:pPr>
            <w:r>
              <w:rPr>
                <w:rFonts w:hint="eastAsia"/>
                <w:bCs/>
                <w:szCs w:val="21"/>
              </w:rPr>
              <w:t>m</w:t>
            </w:r>
            <w:r>
              <w:rPr>
                <w:rFonts w:hint="eastAsia"/>
                <w:bCs/>
                <w:szCs w:val="21"/>
              </w:rPr>
              <w:t>³</w:t>
            </w:r>
            <w:r>
              <w:rPr>
                <w:bCs/>
                <w:szCs w:val="21"/>
              </w:rPr>
              <w:t>/</w:t>
            </w:r>
            <w:r>
              <w:rPr>
                <w:bCs/>
                <w:szCs w:val="21"/>
              </w:rPr>
              <w:t>井次</w:t>
            </w:r>
          </w:p>
        </w:tc>
        <w:tc>
          <w:tcPr>
            <w:tcW w:w="451" w:type="pct"/>
            <w:vAlign w:val="center"/>
          </w:tcPr>
          <w:p w:rsidR="00EE4502" w:rsidRDefault="00FD45A3">
            <w:pPr>
              <w:jc w:val="center"/>
              <w:rPr>
                <w:bCs/>
                <w:szCs w:val="21"/>
              </w:rPr>
            </w:pPr>
            <w:r>
              <w:rPr>
                <w:rFonts w:hint="eastAsia"/>
                <w:bCs/>
                <w:szCs w:val="21"/>
              </w:rPr>
              <w:t>5</w:t>
            </w:r>
          </w:p>
        </w:tc>
        <w:tc>
          <w:tcPr>
            <w:tcW w:w="674" w:type="pct"/>
            <w:vAlign w:val="center"/>
          </w:tcPr>
          <w:p w:rsidR="00EE4502" w:rsidRDefault="00FD45A3">
            <w:pPr>
              <w:jc w:val="center"/>
              <w:rPr>
                <w:bCs/>
                <w:szCs w:val="21"/>
              </w:rPr>
            </w:pPr>
            <w:r>
              <w:rPr>
                <w:bCs/>
                <w:szCs w:val="21"/>
              </w:rPr>
              <w:t>≤3.0</w:t>
            </w:r>
          </w:p>
        </w:tc>
        <w:tc>
          <w:tcPr>
            <w:tcW w:w="457" w:type="pct"/>
            <w:vAlign w:val="center"/>
          </w:tcPr>
          <w:p w:rsidR="00EE4502" w:rsidRDefault="00FD45A3">
            <w:pPr>
              <w:jc w:val="center"/>
              <w:rPr>
                <w:bCs/>
                <w:szCs w:val="21"/>
              </w:rPr>
            </w:pPr>
            <w:r>
              <w:rPr>
                <w:rFonts w:hint="eastAsia"/>
                <w:bCs/>
                <w:szCs w:val="21"/>
              </w:rPr>
              <w:t>100</w:t>
            </w:r>
          </w:p>
        </w:tc>
        <w:tc>
          <w:tcPr>
            <w:tcW w:w="378" w:type="pct"/>
            <w:vAlign w:val="center"/>
          </w:tcPr>
          <w:p w:rsidR="00EE4502" w:rsidRDefault="00FD45A3">
            <w:pPr>
              <w:jc w:val="center"/>
              <w:rPr>
                <w:bCs/>
                <w:szCs w:val="21"/>
              </w:rPr>
            </w:pPr>
            <w:r>
              <w:rPr>
                <w:rFonts w:hint="eastAsia"/>
                <w:bCs/>
                <w:szCs w:val="21"/>
              </w:rPr>
              <w:t>5</w:t>
            </w:r>
          </w:p>
        </w:tc>
      </w:tr>
      <w:tr w:rsidR="00EE4502">
        <w:trPr>
          <w:trHeight w:val="340"/>
          <w:jc w:val="center"/>
        </w:trPr>
        <w:tc>
          <w:tcPr>
            <w:tcW w:w="712" w:type="pct"/>
            <w:vMerge/>
            <w:vAlign w:val="center"/>
          </w:tcPr>
          <w:p w:rsidR="00EE4502" w:rsidRDefault="00EE4502">
            <w:pPr>
              <w:jc w:val="center"/>
              <w:rPr>
                <w:bCs/>
                <w:szCs w:val="21"/>
              </w:rPr>
            </w:pPr>
          </w:p>
        </w:tc>
        <w:tc>
          <w:tcPr>
            <w:tcW w:w="506" w:type="pct"/>
            <w:vMerge/>
            <w:vAlign w:val="center"/>
          </w:tcPr>
          <w:p w:rsidR="00EE4502" w:rsidRDefault="00EE4502">
            <w:pPr>
              <w:jc w:val="center"/>
              <w:rPr>
                <w:bCs/>
                <w:szCs w:val="21"/>
              </w:rPr>
            </w:pPr>
          </w:p>
        </w:tc>
        <w:tc>
          <w:tcPr>
            <w:tcW w:w="1001" w:type="pct"/>
            <w:vAlign w:val="center"/>
          </w:tcPr>
          <w:p w:rsidR="00EE4502" w:rsidRDefault="00FD45A3">
            <w:pPr>
              <w:jc w:val="center"/>
              <w:rPr>
                <w:bCs/>
                <w:szCs w:val="21"/>
              </w:rPr>
            </w:pPr>
            <w:r>
              <w:rPr>
                <w:rFonts w:hint="eastAsia"/>
                <w:bCs/>
                <w:szCs w:val="21"/>
              </w:rPr>
              <w:t>修井废水</w:t>
            </w:r>
          </w:p>
        </w:tc>
        <w:tc>
          <w:tcPr>
            <w:tcW w:w="821" w:type="pct"/>
            <w:gridSpan w:val="2"/>
            <w:vAlign w:val="center"/>
          </w:tcPr>
          <w:p w:rsidR="00EE4502" w:rsidRDefault="00FD45A3">
            <w:pPr>
              <w:jc w:val="center"/>
              <w:rPr>
                <w:bCs/>
                <w:szCs w:val="21"/>
              </w:rPr>
            </w:pPr>
            <w:r>
              <w:rPr>
                <w:bCs/>
                <w:szCs w:val="21"/>
              </w:rPr>
              <w:t>kg/</w:t>
            </w:r>
            <w:r>
              <w:rPr>
                <w:bCs/>
                <w:szCs w:val="21"/>
              </w:rPr>
              <w:t>井次</w:t>
            </w:r>
          </w:p>
        </w:tc>
        <w:tc>
          <w:tcPr>
            <w:tcW w:w="451" w:type="pct"/>
            <w:vAlign w:val="center"/>
          </w:tcPr>
          <w:p w:rsidR="00EE4502" w:rsidRDefault="00FD45A3">
            <w:pPr>
              <w:jc w:val="center"/>
              <w:rPr>
                <w:bCs/>
                <w:szCs w:val="21"/>
              </w:rPr>
            </w:pPr>
            <w:r>
              <w:rPr>
                <w:bCs/>
                <w:szCs w:val="21"/>
              </w:rPr>
              <w:t>5</w:t>
            </w:r>
          </w:p>
        </w:tc>
        <w:tc>
          <w:tcPr>
            <w:tcW w:w="674" w:type="pct"/>
            <w:vAlign w:val="center"/>
          </w:tcPr>
          <w:p w:rsidR="00EE4502" w:rsidRDefault="00EE4502">
            <w:pPr>
              <w:jc w:val="center"/>
              <w:rPr>
                <w:bCs/>
                <w:szCs w:val="21"/>
              </w:rPr>
            </w:pPr>
          </w:p>
        </w:tc>
        <w:tc>
          <w:tcPr>
            <w:tcW w:w="457" w:type="pct"/>
            <w:vAlign w:val="center"/>
          </w:tcPr>
          <w:p w:rsidR="00EE4502" w:rsidRDefault="00FD45A3">
            <w:pPr>
              <w:jc w:val="center"/>
              <w:rPr>
                <w:bCs/>
                <w:szCs w:val="21"/>
              </w:rPr>
            </w:pPr>
            <w:r>
              <w:rPr>
                <w:rFonts w:hint="eastAsia"/>
                <w:bCs/>
                <w:szCs w:val="21"/>
              </w:rPr>
              <w:t>/</w:t>
            </w:r>
          </w:p>
        </w:tc>
        <w:tc>
          <w:tcPr>
            <w:tcW w:w="378" w:type="pct"/>
            <w:vAlign w:val="center"/>
          </w:tcPr>
          <w:p w:rsidR="00EE4502" w:rsidRDefault="00FD45A3">
            <w:pPr>
              <w:jc w:val="center"/>
              <w:rPr>
                <w:bCs/>
                <w:szCs w:val="21"/>
              </w:rPr>
            </w:pPr>
            <w:r>
              <w:rPr>
                <w:bCs/>
                <w:szCs w:val="21"/>
              </w:rPr>
              <w:t>5</w:t>
            </w:r>
          </w:p>
        </w:tc>
      </w:tr>
      <w:tr w:rsidR="00EE4502">
        <w:trPr>
          <w:trHeight w:val="340"/>
          <w:jc w:val="center"/>
        </w:trPr>
        <w:tc>
          <w:tcPr>
            <w:tcW w:w="712" w:type="pct"/>
            <w:vMerge/>
            <w:vAlign w:val="center"/>
          </w:tcPr>
          <w:p w:rsidR="00EE4502" w:rsidRDefault="00EE4502">
            <w:pPr>
              <w:jc w:val="center"/>
              <w:rPr>
                <w:bCs/>
                <w:szCs w:val="21"/>
              </w:rPr>
            </w:pPr>
          </w:p>
        </w:tc>
        <w:tc>
          <w:tcPr>
            <w:tcW w:w="506" w:type="pct"/>
            <w:vMerge/>
            <w:vAlign w:val="center"/>
          </w:tcPr>
          <w:p w:rsidR="00EE4502" w:rsidRDefault="00EE4502">
            <w:pPr>
              <w:jc w:val="center"/>
              <w:rPr>
                <w:bCs/>
                <w:szCs w:val="21"/>
              </w:rPr>
            </w:pPr>
          </w:p>
        </w:tc>
        <w:tc>
          <w:tcPr>
            <w:tcW w:w="1001" w:type="pct"/>
            <w:vAlign w:val="center"/>
          </w:tcPr>
          <w:p w:rsidR="00EE4502" w:rsidRDefault="00FD45A3">
            <w:pPr>
              <w:jc w:val="center"/>
              <w:rPr>
                <w:bCs/>
                <w:szCs w:val="21"/>
              </w:rPr>
            </w:pPr>
            <w:r>
              <w:rPr>
                <w:rFonts w:hint="eastAsia"/>
                <w:bCs/>
                <w:szCs w:val="21"/>
              </w:rPr>
              <w:t>废气</w:t>
            </w:r>
          </w:p>
        </w:tc>
        <w:tc>
          <w:tcPr>
            <w:tcW w:w="821" w:type="pct"/>
            <w:gridSpan w:val="2"/>
            <w:vAlign w:val="center"/>
          </w:tcPr>
          <w:p w:rsidR="00EE4502" w:rsidRDefault="00FD45A3">
            <w:pPr>
              <w:jc w:val="center"/>
              <w:rPr>
                <w:bCs/>
                <w:szCs w:val="21"/>
              </w:rPr>
            </w:pPr>
            <w:r>
              <w:rPr>
                <w:bCs/>
                <w:szCs w:val="21"/>
              </w:rPr>
              <w:t>kg/</w:t>
            </w:r>
            <w:r>
              <w:rPr>
                <w:bCs/>
                <w:szCs w:val="21"/>
              </w:rPr>
              <w:t>井次</w:t>
            </w:r>
          </w:p>
        </w:tc>
        <w:tc>
          <w:tcPr>
            <w:tcW w:w="451" w:type="pct"/>
            <w:vAlign w:val="center"/>
          </w:tcPr>
          <w:p w:rsidR="00EE4502" w:rsidRDefault="00FD45A3">
            <w:pPr>
              <w:jc w:val="center"/>
              <w:rPr>
                <w:bCs/>
                <w:szCs w:val="21"/>
              </w:rPr>
            </w:pPr>
            <w:r>
              <w:rPr>
                <w:bCs/>
                <w:szCs w:val="21"/>
              </w:rPr>
              <w:t>5</w:t>
            </w:r>
          </w:p>
        </w:tc>
        <w:tc>
          <w:tcPr>
            <w:tcW w:w="674" w:type="pct"/>
            <w:vAlign w:val="center"/>
          </w:tcPr>
          <w:p w:rsidR="00EE4502" w:rsidRDefault="00EE4502">
            <w:pPr>
              <w:jc w:val="center"/>
              <w:rPr>
                <w:bCs/>
                <w:szCs w:val="21"/>
              </w:rPr>
            </w:pPr>
          </w:p>
        </w:tc>
        <w:tc>
          <w:tcPr>
            <w:tcW w:w="457" w:type="pct"/>
            <w:vAlign w:val="center"/>
          </w:tcPr>
          <w:p w:rsidR="00EE4502" w:rsidRDefault="00FD45A3">
            <w:pPr>
              <w:jc w:val="center"/>
              <w:rPr>
                <w:bCs/>
                <w:szCs w:val="21"/>
              </w:rPr>
            </w:pPr>
            <w:r>
              <w:rPr>
                <w:rFonts w:hint="eastAsia"/>
                <w:bCs/>
                <w:szCs w:val="21"/>
              </w:rPr>
              <w:t>/</w:t>
            </w:r>
          </w:p>
        </w:tc>
        <w:tc>
          <w:tcPr>
            <w:tcW w:w="378" w:type="pct"/>
            <w:vAlign w:val="center"/>
          </w:tcPr>
          <w:p w:rsidR="00EE4502" w:rsidRDefault="00FD45A3">
            <w:pPr>
              <w:jc w:val="center"/>
              <w:rPr>
                <w:bCs/>
                <w:szCs w:val="21"/>
              </w:rPr>
            </w:pPr>
            <w:r>
              <w:rPr>
                <w:bCs/>
                <w:szCs w:val="21"/>
              </w:rPr>
              <w:t>5</w:t>
            </w:r>
          </w:p>
        </w:tc>
      </w:tr>
      <w:tr w:rsidR="00EE4502">
        <w:trPr>
          <w:trHeight w:val="340"/>
          <w:jc w:val="center"/>
        </w:trPr>
        <w:tc>
          <w:tcPr>
            <w:tcW w:w="712" w:type="pct"/>
            <w:vMerge/>
            <w:vAlign w:val="center"/>
          </w:tcPr>
          <w:p w:rsidR="00EE4502" w:rsidRDefault="00EE4502">
            <w:pPr>
              <w:jc w:val="center"/>
              <w:rPr>
                <w:bCs/>
                <w:szCs w:val="21"/>
              </w:rPr>
            </w:pPr>
          </w:p>
        </w:tc>
        <w:tc>
          <w:tcPr>
            <w:tcW w:w="506" w:type="pct"/>
            <w:vMerge/>
            <w:vAlign w:val="center"/>
          </w:tcPr>
          <w:p w:rsidR="00EE4502" w:rsidRDefault="00EE4502">
            <w:pPr>
              <w:jc w:val="center"/>
              <w:rPr>
                <w:bCs/>
                <w:szCs w:val="21"/>
              </w:rPr>
            </w:pPr>
          </w:p>
        </w:tc>
        <w:tc>
          <w:tcPr>
            <w:tcW w:w="1001" w:type="pct"/>
            <w:vMerge w:val="restart"/>
            <w:vAlign w:val="center"/>
          </w:tcPr>
          <w:p w:rsidR="00EE4502" w:rsidRDefault="00FD45A3">
            <w:pPr>
              <w:tabs>
                <w:tab w:val="left" w:pos="2268"/>
              </w:tabs>
              <w:jc w:val="center"/>
              <w:rPr>
                <w:rFonts w:cs="宋体"/>
                <w:bCs/>
                <w:szCs w:val="21"/>
              </w:rPr>
            </w:pPr>
            <w:r>
              <w:rPr>
                <w:rFonts w:cs="宋体" w:hint="eastAsia"/>
                <w:bCs/>
                <w:szCs w:val="21"/>
              </w:rPr>
              <w:t>油泥</w:t>
            </w:r>
          </w:p>
        </w:tc>
        <w:tc>
          <w:tcPr>
            <w:tcW w:w="821" w:type="pct"/>
            <w:gridSpan w:val="2"/>
            <w:vMerge w:val="restart"/>
            <w:vAlign w:val="center"/>
          </w:tcPr>
          <w:p w:rsidR="00EE4502" w:rsidRDefault="00FD45A3">
            <w:pPr>
              <w:jc w:val="center"/>
              <w:rPr>
                <w:bCs/>
                <w:szCs w:val="21"/>
              </w:rPr>
            </w:pPr>
            <w:r>
              <w:rPr>
                <w:bCs/>
                <w:szCs w:val="21"/>
              </w:rPr>
              <w:t>kg/</w:t>
            </w:r>
            <w:r>
              <w:rPr>
                <w:bCs/>
                <w:szCs w:val="21"/>
              </w:rPr>
              <w:t>井次</w:t>
            </w:r>
          </w:p>
        </w:tc>
        <w:tc>
          <w:tcPr>
            <w:tcW w:w="451" w:type="pct"/>
            <w:vMerge w:val="restart"/>
            <w:vAlign w:val="center"/>
          </w:tcPr>
          <w:p w:rsidR="00EE4502" w:rsidRDefault="00FD45A3">
            <w:pPr>
              <w:jc w:val="center"/>
              <w:rPr>
                <w:bCs/>
                <w:szCs w:val="21"/>
              </w:rPr>
            </w:pPr>
            <w:r>
              <w:rPr>
                <w:bCs/>
                <w:szCs w:val="21"/>
              </w:rPr>
              <w:t>5</w:t>
            </w:r>
          </w:p>
        </w:tc>
        <w:tc>
          <w:tcPr>
            <w:tcW w:w="674" w:type="pct"/>
            <w:vAlign w:val="center"/>
          </w:tcPr>
          <w:p w:rsidR="00EE4502" w:rsidRDefault="00FD45A3">
            <w:pPr>
              <w:jc w:val="center"/>
              <w:rPr>
                <w:bCs/>
                <w:szCs w:val="21"/>
              </w:rPr>
            </w:pPr>
            <w:r>
              <w:rPr>
                <w:bCs/>
                <w:szCs w:val="21"/>
              </w:rPr>
              <w:t>甲类区</w:t>
            </w:r>
            <w:r>
              <w:rPr>
                <w:bCs/>
                <w:szCs w:val="21"/>
              </w:rPr>
              <w:t>≤50</w:t>
            </w:r>
          </w:p>
        </w:tc>
        <w:tc>
          <w:tcPr>
            <w:tcW w:w="457" w:type="pct"/>
            <w:vMerge w:val="restart"/>
            <w:vAlign w:val="center"/>
          </w:tcPr>
          <w:p w:rsidR="00EE4502" w:rsidRDefault="00FD45A3">
            <w:pPr>
              <w:jc w:val="center"/>
              <w:rPr>
                <w:bCs/>
                <w:szCs w:val="21"/>
              </w:rPr>
            </w:pPr>
            <w:r>
              <w:rPr>
                <w:rFonts w:hint="eastAsia"/>
                <w:bCs/>
                <w:szCs w:val="21"/>
              </w:rPr>
              <w:t>/</w:t>
            </w:r>
          </w:p>
        </w:tc>
        <w:tc>
          <w:tcPr>
            <w:tcW w:w="378" w:type="pct"/>
            <w:vMerge w:val="restart"/>
            <w:vAlign w:val="center"/>
          </w:tcPr>
          <w:p w:rsidR="00EE4502" w:rsidRDefault="00FD45A3">
            <w:pPr>
              <w:jc w:val="center"/>
              <w:rPr>
                <w:bCs/>
                <w:szCs w:val="21"/>
              </w:rPr>
            </w:pPr>
            <w:r>
              <w:rPr>
                <w:bCs/>
                <w:szCs w:val="21"/>
              </w:rPr>
              <w:t>5</w:t>
            </w:r>
          </w:p>
        </w:tc>
      </w:tr>
      <w:tr w:rsidR="00EE4502">
        <w:trPr>
          <w:trHeight w:val="340"/>
          <w:jc w:val="center"/>
        </w:trPr>
        <w:tc>
          <w:tcPr>
            <w:tcW w:w="712" w:type="pct"/>
            <w:vMerge/>
            <w:vAlign w:val="center"/>
          </w:tcPr>
          <w:p w:rsidR="00EE4502" w:rsidRDefault="00EE4502">
            <w:pPr>
              <w:jc w:val="center"/>
              <w:rPr>
                <w:bCs/>
                <w:szCs w:val="21"/>
              </w:rPr>
            </w:pPr>
          </w:p>
        </w:tc>
        <w:tc>
          <w:tcPr>
            <w:tcW w:w="506" w:type="pct"/>
            <w:vMerge/>
            <w:vAlign w:val="center"/>
          </w:tcPr>
          <w:p w:rsidR="00EE4502" w:rsidRDefault="00EE4502">
            <w:pPr>
              <w:jc w:val="center"/>
              <w:rPr>
                <w:bCs/>
                <w:szCs w:val="21"/>
              </w:rPr>
            </w:pPr>
          </w:p>
        </w:tc>
        <w:tc>
          <w:tcPr>
            <w:tcW w:w="1001" w:type="pct"/>
            <w:vMerge/>
            <w:vAlign w:val="center"/>
          </w:tcPr>
          <w:p w:rsidR="00EE4502" w:rsidRDefault="00EE4502">
            <w:pPr>
              <w:jc w:val="center"/>
              <w:rPr>
                <w:bCs/>
                <w:szCs w:val="21"/>
              </w:rPr>
            </w:pPr>
          </w:p>
        </w:tc>
        <w:tc>
          <w:tcPr>
            <w:tcW w:w="821" w:type="pct"/>
            <w:gridSpan w:val="2"/>
            <w:vMerge/>
            <w:vAlign w:val="center"/>
          </w:tcPr>
          <w:p w:rsidR="00EE4502" w:rsidRDefault="00EE4502">
            <w:pPr>
              <w:jc w:val="center"/>
              <w:rPr>
                <w:bCs/>
                <w:szCs w:val="21"/>
              </w:rPr>
            </w:pPr>
          </w:p>
        </w:tc>
        <w:tc>
          <w:tcPr>
            <w:tcW w:w="451" w:type="pct"/>
            <w:vMerge/>
            <w:vAlign w:val="center"/>
          </w:tcPr>
          <w:p w:rsidR="00EE4502" w:rsidRDefault="00EE4502">
            <w:pPr>
              <w:jc w:val="center"/>
              <w:rPr>
                <w:bCs/>
                <w:szCs w:val="21"/>
              </w:rPr>
            </w:pPr>
          </w:p>
        </w:tc>
        <w:tc>
          <w:tcPr>
            <w:tcW w:w="674" w:type="pct"/>
            <w:vAlign w:val="center"/>
          </w:tcPr>
          <w:p w:rsidR="00EE4502" w:rsidRDefault="00FD45A3">
            <w:pPr>
              <w:jc w:val="center"/>
              <w:rPr>
                <w:bCs/>
                <w:szCs w:val="21"/>
              </w:rPr>
            </w:pPr>
            <w:r>
              <w:rPr>
                <w:bCs/>
                <w:szCs w:val="21"/>
              </w:rPr>
              <w:t>已类区</w:t>
            </w:r>
            <w:r>
              <w:rPr>
                <w:bCs/>
                <w:szCs w:val="21"/>
              </w:rPr>
              <w:t>≤70</w:t>
            </w:r>
          </w:p>
        </w:tc>
        <w:tc>
          <w:tcPr>
            <w:tcW w:w="457" w:type="pct"/>
            <w:vMerge/>
            <w:vAlign w:val="center"/>
          </w:tcPr>
          <w:p w:rsidR="00EE4502" w:rsidRDefault="00EE4502">
            <w:pPr>
              <w:jc w:val="center"/>
              <w:rPr>
                <w:bCs/>
                <w:szCs w:val="21"/>
              </w:rPr>
            </w:pPr>
          </w:p>
        </w:tc>
        <w:tc>
          <w:tcPr>
            <w:tcW w:w="378" w:type="pct"/>
            <w:vMerge/>
            <w:vAlign w:val="center"/>
          </w:tcPr>
          <w:p w:rsidR="00EE4502" w:rsidRDefault="00EE4502">
            <w:pPr>
              <w:jc w:val="center"/>
              <w:rPr>
                <w:bCs/>
                <w:szCs w:val="21"/>
              </w:rPr>
            </w:pPr>
          </w:p>
        </w:tc>
      </w:tr>
      <w:tr w:rsidR="00EE4502">
        <w:trPr>
          <w:trHeight w:val="340"/>
          <w:jc w:val="center"/>
        </w:trPr>
        <w:tc>
          <w:tcPr>
            <w:tcW w:w="712" w:type="pct"/>
            <w:vMerge/>
            <w:vAlign w:val="center"/>
          </w:tcPr>
          <w:p w:rsidR="00EE4502" w:rsidRDefault="00EE4502">
            <w:pPr>
              <w:jc w:val="center"/>
              <w:rPr>
                <w:bCs/>
                <w:szCs w:val="21"/>
              </w:rPr>
            </w:pPr>
          </w:p>
        </w:tc>
        <w:tc>
          <w:tcPr>
            <w:tcW w:w="506" w:type="pct"/>
            <w:vMerge/>
            <w:vAlign w:val="center"/>
          </w:tcPr>
          <w:p w:rsidR="00EE4502" w:rsidRDefault="00EE4502">
            <w:pPr>
              <w:jc w:val="center"/>
              <w:rPr>
                <w:bCs/>
                <w:szCs w:val="21"/>
              </w:rPr>
            </w:pPr>
          </w:p>
        </w:tc>
        <w:tc>
          <w:tcPr>
            <w:tcW w:w="1001" w:type="pct"/>
            <w:vAlign w:val="center"/>
          </w:tcPr>
          <w:p w:rsidR="00EE4502" w:rsidRDefault="00FD45A3">
            <w:pPr>
              <w:jc w:val="center"/>
              <w:rPr>
                <w:bCs/>
                <w:szCs w:val="21"/>
              </w:rPr>
            </w:pPr>
            <w:r>
              <w:rPr>
                <w:bCs/>
                <w:szCs w:val="21"/>
              </w:rPr>
              <w:t>一般固体废物（生活垃圾）</w:t>
            </w:r>
          </w:p>
        </w:tc>
        <w:tc>
          <w:tcPr>
            <w:tcW w:w="821" w:type="pct"/>
            <w:gridSpan w:val="2"/>
            <w:vAlign w:val="center"/>
          </w:tcPr>
          <w:p w:rsidR="00EE4502" w:rsidRDefault="00FD45A3">
            <w:pPr>
              <w:jc w:val="center"/>
              <w:rPr>
                <w:bCs/>
                <w:szCs w:val="21"/>
              </w:rPr>
            </w:pPr>
            <w:r>
              <w:rPr>
                <w:bCs/>
                <w:szCs w:val="21"/>
              </w:rPr>
              <w:t>kg/</w:t>
            </w:r>
            <w:r>
              <w:rPr>
                <w:bCs/>
                <w:szCs w:val="21"/>
              </w:rPr>
              <w:t>井次</w:t>
            </w:r>
          </w:p>
        </w:tc>
        <w:tc>
          <w:tcPr>
            <w:tcW w:w="451" w:type="pct"/>
            <w:vAlign w:val="center"/>
          </w:tcPr>
          <w:p w:rsidR="00EE4502" w:rsidRDefault="00FD45A3">
            <w:pPr>
              <w:jc w:val="center"/>
              <w:rPr>
                <w:bCs/>
                <w:szCs w:val="21"/>
              </w:rPr>
            </w:pPr>
            <w:r>
              <w:rPr>
                <w:bCs/>
                <w:szCs w:val="21"/>
              </w:rPr>
              <w:t>5</w:t>
            </w:r>
          </w:p>
        </w:tc>
        <w:tc>
          <w:tcPr>
            <w:tcW w:w="674" w:type="pct"/>
            <w:vAlign w:val="center"/>
          </w:tcPr>
          <w:p w:rsidR="00EE4502" w:rsidRDefault="00FD45A3">
            <w:pPr>
              <w:jc w:val="center"/>
              <w:rPr>
                <w:bCs/>
                <w:szCs w:val="21"/>
              </w:rPr>
            </w:pPr>
            <w:r>
              <w:rPr>
                <w:bCs/>
                <w:szCs w:val="21"/>
              </w:rPr>
              <w:t>-</w:t>
            </w:r>
          </w:p>
        </w:tc>
        <w:tc>
          <w:tcPr>
            <w:tcW w:w="457" w:type="pct"/>
            <w:vAlign w:val="center"/>
          </w:tcPr>
          <w:p w:rsidR="00EE4502" w:rsidRDefault="00FD45A3">
            <w:pPr>
              <w:jc w:val="center"/>
              <w:rPr>
                <w:bCs/>
                <w:szCs w:val="21"/>
              </w:rPr>
            </w:pPr>
            <w:r>
              <w:rPr>
                <w:rFonts w:hint="eastAsia"/>
                <w:bCs/>
                <w:szCs w:val="21"/>
              </w:rPr>
              <w:t>/</w:t>
            </w:r>
          </w:p>
        </w:tc>
        <w:tc>
          <w:tcPr>
            <w:tcW w:w="378" w:type="pct"/>
            <w:vAlign w:val="center"/>
          </w:tcPr>
          <w:p w:rsidR="00EE4502" w:rsidRDefault="00FD45A3">
            <w:pPr>
              <w:jc w:val="center"/>
              <w:rPr>
                <w:bCs/>
                <w:szCs w:val="21"/>
              </w:rPr>
            </w:pPr>
            <w:r>
              <w:rPr>
                <w:bCs/>
                <w:szCs w:val="21"/>
              </w:rPr>
              <w:t>5</w:t>
            </w:r>
          </w:p>
        </w:tc>
      </w:tr>
      <w:tr w:rsidR="00EE4502">
        <w:trPr>
          <w:trHeight w:val="340"/>
          <w:jc w:val="center"/>
        </w:trPr>
        <w:tc>
          <w:tcPr>
            <w:tcW w:w="5000" w:type="pct"/>
            <w:gridSpan w:val="9"/>
            <w:vAlign w:val="center"/>
          </w:tcPr>
          <w:p w:rsidR="00EE4502" w:rsidRDefault="00FD45A3">
            <w:pPr>
              <w:jc w:val="center"/>
              <w:rPr>
                <w:bCs/>
                <w:szCs w:val="21"/>
              </w:rPr>
            </w:pPr>
            <w:r>
              <w:rPr>
                <w:bCs/>
                <w:szCs w:val="21"/>
              </w:rPr>
              <w:t>定性指标</w:t>
            </w:r>
          </w:p>
        </w:tc>
      </w:tr>
      <w:tr w:rsidR="00EE4502">
        <w:trPr>
          <w:trHeight w:val="340"/>
          <w:jc w:val="center"/>
        </w:trPr>
        <w:tc>
          <w:tcPr>
            <w:tcW w:w="712" w:type="pct"/>
            <w:vAlign w:val="center"/>
          </w:tcPr>
          <w:p w:rsidR="00EE4502" w:rsidRDefault="00FD45A3">
            <w:pPr>
              <w:jc w:val="center"/>
              <w:rPr>
                <w:bCs/>
                <w:szCs w:val="21"/>
              </w:rPr>
            </w:pPr>
            <w:r>
              <w:rPr>
                <w:bCs/>
                <w:szCs w:val="21"/>
              </w:rPr>
              <w:t>一级指标</w:t>
            </w:r>
          </w:p>
        </w:tc>
        <w:tc>
          <w:tcPr>
            <w:tcW w:w="506" w:type="pct"/>
            <w:vAlign w:val="center"/>
          </w:tcPr>
          <w:p w:rsidR="00EE4502" w:rsidRDefault="00FD45A3">
            <w:pPr>
              <w:jc w:val="center"/>
              <w:rPr>
                <w:bCs/>
                <w:szCs w:val="21"/>
              </w:rPr>
            </w:pPr>
            <w:r>
              <w:rPr>
                <w:bCs/>
                <w:szCs w:val="21"/>
              </w:rPr>
              <w:t>权重值</w:t>
            </w:r>
          </w:p>
        </w:tc>
        <w:tc>
          <w:tcPr>
            <w:tcW w:w="2273" w:type="pct"/>
            <w:gridSpan w:val="4"/>
            <w:vAlign w:val="center"/>
          </w:tcPr>
          <w:p w:rsidR="00EE4502" w:rsidRDefault="00FD45A3">
            <w:pPr>
              <w:jc w:val="center"/>
              <w:rPr>
                <w:bCs/>
                <w:szCs w:val="21"/>
              </w:rPr>
            </w:pPr>
            <w:r>
              <w:rPr>
                <w:bCs/>
                <w:szCs w:val="21"/>
              </w:rPr>
              <w:t>二级指标</w:t>
            </w:r>
          </w:p>
        </w:tc>
        <w:tc>
          <w:tcPr>
            <w:tcW w:w="674" w:type="pct"/>
            <w:vAlign w:val="center"/>
          </w:tcPr>
          <w:p w:rsidR="00EE4502" w:rsidRDefault="00FD45A3">
            <w:pPr>
              <w:jc w:val="center"/>
              <w:rPr>
                <w:bCs/>
                <w:szCs w:val="21"/>
              </w:rPr>
            </w:pPr>
            <w:r>
              <w:rPr>
                <w:bCs/>
                <w:szCs w:val="21"/>
              </w:rPr>
              <w:t>指标分值</w:t>
            </w:r>
          </w:p>
        </w:tc>
        <w:tc>
          <w:tcPr>
            <w:tcW w:w="835" w:type="pct"/>
            <w:gridSpan w:val="2"/>
            <w:vAlign w:val="center"/>
          </w:tcPr>
          <w:p w:rsidR="00EE4502" w:rsidRDefault="00FD45A3">
            <w:pPr>
              <w:jc w:val="center"/>
              <w:rPr>
                <w:bCs/>
                <w:szCs w:val="21"/>
              </w:rPr>
            </w:pPr>
            <w:r>
              <w:rPr>
                <w:bCs/>
                <w:szCs w:val="21"/>
              </w:rPr>
              <w:t>得分</w:t>
            </w:r>
          </w:p>
        </w:tc>
      </w:tr>
      <w:tr w:rsidR="00EE4502">
        <w:trPr>
          <w:trHeight w:val="340"/>
          <w:jc w:val="center"/>
        </w:trPr>
        <w:tc>
          <w:tcPr>
            <w:tcW w:w="712" w:type="pct"/>
            <w:vAlign w:val="center"/>
          </w:tcPr>
          <w:p w:rsidR="00EE4502" w:rsidRDefault="00FD45A3">
            <w:pPr>
              <w:jc w:val="center"/>
              <w:rPr>
                <w:bCs/>
                <w:szCs w:val="21"/>
              </w:rPr>
            </w:pPr>
            <w:r>
              <w:rPr>
                <w:rFonts w:hint="eastAsia"/>
                <w:bCs/>
                <w:szCs w:val="21"/>
              </w:rPr>
              <w:t>（</w:t>
            </w:r>
            <w:r>
              <w:rPr>
                <w:rFonts w:hint="eastAsia"/>
                <w:bCs/>
                <w:szCs w:val="21"/>
              </w:rPr>
              <w:t>1</w:t>
            </w:r>
            <w:r>
              <w:rPr>
                <w:rFonts w:hint="eastAsia"/>
                <w:bCs/>
                <w:szCs w:val="21"/>
              </w:rPr>
              <w:t>）原辅材料</w:t>
            </w:r>
          </w:p>
        </w:tc>
        <w:tc>
          <w:tcPr>
            <w:tcW w:w="506" w:type="pct"/>
            <w:vAlign w:val="center"/>
          </w:tcPr>
          <w:p w:rsidR="00EE4502" w:rsidRDefault="00FD45A3">
            <w:pPr>
              <w:jc w:val="center"/>
              <w:rPr>
                <w:bCs/>
                <w:szCs w:val="21"/>
              </w:rPr>
            </w:pPr>
            <w:r>
              <w:rPr>
                <w:rFonts w:hint="eastAsia"/>
                <w:bCs/>
                <w:szCs w:val="21"/>
              </w:rPr>
              <w:t>15</w:t>
            </w:r>
          </w:p>
        </w:tc>
        <w:tc>
          <w:tcPr>
            <w:tcW w:w="2273" w:type="pct"/>
            <w:gridSpan w:val="4"/>
            <w:vAlign w:val="center"/>
          </w:tcPr>
          <w:p w:rsidR="00EE4502" w:rsidRDefault="00FD45A3">
            <w:pPr>
              <w:rPr>
                <w:bCs/>
                <w:szCs w:val="21"/>
              </w:rPr>
            </w:pPr>
            <w:r>
              <w:rPr>
                <w:rFonts w:hint="eastAsia"/>
                <w:bCs/>
                <w:szCs w:val="21"/>
              </w:rPr>
              <w:t>洗井液的毒性</w:t>
            </w:r>
          </w:p>
        </w:tc>
        <w:tc>
          <w:tcPr>
            <w:tcW w:w="674" w:type="pct"/>
            <w:vAlign w:val="center"/>
          </w:tcPr>
          <w:p w:rsidR="00EE4502" w:rsidRDefault="00FD45A3">
            <w:pPr>
              <w:jc w:val="center"/>
              <w:rPr>
                <w:bCs/>
                <w:szCs w:val="21"/>
              </w:rPr>
            </w:pPr>
            <w:r>
              <w:rPr>
                <w:rFonts w:hint="eastAsia"/>
                <w:bCs/>
                <w:szCs w:val="21"/>
              </w:rPr>
              <w:t>15</w:t>
            </w:r>
          </w:p>
        </w:tc>
        <w:tc>
          <w:tcPr>
            <w:tcW w:w="835" w:type="pct"/>
            <w:gridSpan w:val="2"/>
            <w:vAlign w:val="center"/>
          </w:tcPr>
          <w:p w:rsidR="00EE4502" w:rsidRDefault="00FD45A3">
            <w:pPr>
              <w:jc w:val="center"/>
              <w:rPr>
                <w:bCs/>
                <w:szCs w:val="21"/>
              </w:rPr>
            </w:pPr>
            <w:r>
              <w:rPr>
                <w:rFonts w:hint="eastAsia"/>
                <w:bCs/>
                <w:szCs w:val="21"/>
              </w:rPr>
              <w:t>15</w:t>
            </w:r>
          </w:p>
        </w:tc>
      </w:tr>
      <w:tr w:rsidR="00EE4502">
        <w:trPr>
          <w:trHeight w:val="340"/>
          <w:jc w:val="center"/>
        </w:trPr>
        <w:tc>
          <w:tcPr>
            <w:tcW w:w="712" w:type="pct"/>
            <w:vMerge w:val="restart"/>
            <w:vAlign w:val="center"/>
          </w:tcPr>
          <w:p w:rsidR="00EE4502" w:rsidRDefault="00FD45A3">
            <w:pPr>
              <w:jc w:val="center"/>
              <w:rPr>
                <w:bCs/>
                <w:szCs w:val="21"/>
              </w:rPr>
            </w:pPr>
            <w:r>
              <w:rPr>
                <w:bCs/>
                <w:szCs w:val="21"/>
              </w:rPr>
              <w:t>（</w:t>
            </w:r>
            <w:r>
              <w:rPr>
                <w:rFonts w:hint="eastAsia"/>
                <w:bCs/>
                <w:szCs w:val="21"/>
              </w:rPr>
              <w:t>2</w:t>
            </w:r>
            <w:r>
              <w:rPr>
                <w:bCs/>
                <w:szCs w:val="21"/>
              </w:rPr>
              <w:t>）生产</w:t>
            </w:r>
            <w:r>
              <w:rPr>
                <w:bCs/>
                <w:szCs w:val="21"/>
              </w:rPr>
              <w:lastRenderedPageBreak/>
              <w:t>工艺及设备要求</w:t>
            </w:r>
          </w:p>
        </w:tc>
        <w:tc>
          <w:tcPr>
            <w:tcW w:w="506" w:type="pct"/>
            <w:vMerge w:val="restart"/>
            <w:vAlign w:val="center"/>
          </w:tcPr>
          <w:p w:rsidR="00EE4502" w:rsidRDefault="00FD45A3">
            <w:pPr>
              <w:jc w:val="center"/>
              <w:rPr>
                <w:bCs/>
                <w:szCs w:val="21"/>
              </w:rPr>
            </w:pPr>
            <w:r>
              <w:rPr>
                <w:bCs/>
                <w:szCs w:val="21"/>
              </w:rPr>
              <w:lastRenderedPageBreak/>
              <w:t>40</w:t>
            </w:r>
          </w:p>
        </w:tc>
        <w:tc>
          <w:tcPr>
            <w:tcW w:w="1341" w:type="pct"/>
            <w:gridSpan w:val="2"/>
            <w:vAlign w:val="center"/>
          </w:tcPr>
          <w:p w:rsidR="00EE4502" w:rsidRDefault="00FD45A3">
            <w:pPr>
              <w:tabs>
                <w:tab w:val="left" w:pos="2268"/>
              </w:tabs>
              <w:jc w:val="center"/>
              <w:rPr>
                <w:rFonts w:cs="宋体"/>
                <w:bCs/>
                <w:szCs w:val="21"/>
              </w:rPr>
            </w:pPr>
            <w:r>
              <w:rPr>
                <w:rFonts w:cs="宋体"/>
                <w:bCs/>
                <w:szCs w:val="21"/>
              </w:rPr>
              <w:t>防喷措施</w:t>
            </w:r>
          </w:p>
        </w:tc>
        <w:tc>
          <w:tcPr>
            <w:tcW w:w="932" w:type="pct"/>
            <w:gridSpan w:val="2"/>
            <w:vAlign w:val="center"/>
          </w:tcPr>
          <w:p w:rsidR="00EE4502" w:rsidRDefault="00FD45A3">
            <w:pPr>
              <w:tabs>
                <w:tab w:val="left" w:pos="2268"/>
              </w:tabs>
              <w:jc w:val="center"/>
              <w:rPr>
                <w:rFonts w:cs="宋体"/>
                <w:bCs/>
                <w:szCs w:val="21"/>
              </w:rPr>
            </w:pPr>
            <w:r>
              <w:rPr>
                <w:rFonts w:cs="宋体"/>
                <w:bCs/>
                <w:szCs w:val="21"/>
              </w:rPr>
              <w:t>具备</w:t>
            </w:r>
          </w:p>
        </w:tc>
        <w:tc>
          <w:tcPr>
            <w:tcW w:w="674" w:type="pct"/>
            <w:vAlign w:val="center"/>
          </w:tcPr>
          <w:p w:rsidR="00EE4502" w:rsidRDefault="00FD45A3">
            <w:pPr>
              <w:jc w:val="center"/>
              <w:rPr>
                <w:bCs/>
                <w:kern w:val="0"/>
                <w:szCs w:val="21"/>
              </w:rPr>
            </w:pPr>
            <w:r>
              <w:rPr>
                <w:rFonts w:hint="eastAsia"/>
                <w:bCs/>
                <w:szCs w:val="21"/>
              </w:rPr>
              <w:t>7</w:t>
            </w:r>
          </w:p>
        </w:tc>
        <w:tc>
          <w:tcPr>
            <w:tcW w:w="835" w:type="pct"/>
            <w:gridSpan w:val="2"/>
            <w:vAlign w:val="center"/>
          </w:tcPr>
          <w:p w:rsidR="00EE4502" w:rsidRDefault="00FD45A3">
            <w:pPr>
              <w:jc w:val="center"/>
              <w:rPr>
                <w:bCs/>
                <w:kern w:val="0"/>
                <w:szCs w:val="21"/>
              </w:rPr>
            </w:pPr>
            <w:r>
              <w:rPr>
                <w:rFonts w:hint="eastAsia"/>
                <w:bCs/>
                <w:szCs w:val="21"/>
              </w:rPr>
              <w:t>7</w:t>
            </w:r>
          </w:p>
        </w:tc>
      </w:tr>
      <w:tr w:rsidR="00EE4502">
        <w:trPr>
          <w:trHeight w:val="340"/>
          <w:jc w:val="center"/>
        </w:trPr>
        <w:tc>
          <w:tcPr>
            <w:tcW w:w="712" w:type="pct"/>
            <w:vMerge/>
            <w:vAlign w:val="center"/>
          </w:tcPr>
          <w:p w:rsidR="00EE4502" w:rsidRDefault="00EE4502">
            <w:pPr>
              <w:jc w:val="center"/>
              <w:rPr>
                <w:bCs/>
                <w:szCs w:val="21"/>
              </w:rPr>
            </w:pPr>
          </w:p>
        </w:tc>
        <w:tc>
          <w:tcPr>
            <w:tcW w:w="506" w:type="pct"/>
            <w:vMerge/>
            <w:vAlign w:val="center"/>
          </w:tcPr>
          <w:p w:rsidR="00EE4502" w:rsidRDefault="00EE4502">
            <w:pPr>
              <w:jc w:val="center"/>
              <w:rPr>
                <w:bCs/>
                <w:szCs w:val="21"/>
              </w:rPr>
            </w:pPr>
          </w:p>
        </w:tc>
        <w:tc>
          <w:tcPr>
            <w:tcW w:w="1341" w:type="pct"/>
            <w:gridSpan w:val="2"/>
            <w:vAlign w:val="center"/>
          </w:tcPr>
          <w:p w:rsidR="00EE4502" w:rsidRDefault="00FD45A3">
            <w:pPr>
              <w:tabs>
                <w:tab w:val="left" w:pos="2268"/>
              </w:tabs>
              <w:jc w:val="center"/>
              <w:rPr>
                <w:rFonts w:cs="宋体"/>
                <w:bCs/>
                <w:szCs w:val="21"/>
              </w:rPr>
            </w:pPr>
            <w:r>
              <w:rPr>
                <w:rFonts w:cs="宋体"/>
                <w:bCs/>
                <w:szCs w:val="21"/>
              </w:rPr>
              <w:t>地面管线防刺防漏措施</w:t>
            </w:r>
          </w:p>
        </w:tc>
        <w:tc>
          <w:tcPr>
            <w:tcW w:w="932" w:type="pct"/>
            <w:gridSpan w:val="2"/>
            <w:vAlign w:val="center"/>
          </w:tcPr>
          <w:p w:rsidR="00EE4502" w:rsidRDefault="00FD45A3">
            <w:pPr>
              <w:tabs>
                <w:tab w:val="left" w:pos="2268"/>
              </w:tabs>
              <w:jc w:val="center"/>
              <w:rPr>
                <w:rFonts w:cs="宋体"/>
                <w:bCs/>
                <w:szCs w:val="21"/>
              </w:rPr>
            </w:pPr>
            <w:r>
              <w:rPr>
                <w:rFonts w:cs="宋体"/>
                <w:bCs/>
                <w:szCs w:val="21"/>
              </w:rPr>
              <w:t>按标准试压</w:t>
            </w:r>
          </w:p>
        </w:tc>
        <w:tc>
          <w:tcPr>
            <w:tcW w:w="674" w:type="pct"/>
            <w:vAlign w:val="center"/>
          </w:tcPr>
          <w:p w:rsidR="00EE4502" w:rsidRDefault="00FD45A3">
            <w:pPr>
              <w:jc w:val="center"/>
              <w:rPr>
                <w:bCs/>
                <w:szCs w:val="21"/>
              </w:rPr>
            </w:pPr>
            <w:r>
              <w:rPr>
                <w:rFonts w:hint="eastAsia"/>
                <w:bCs/>
                <w:szCs w:val="21"/>
              </w:rPr>
              <w:t>6</w:t>
            </w:r>
          </w:p>
        </w:tc>
        <w:tc>
          <w:tcPr>
            <w:tcW w:w="835" w:type="pct"/>
            <w:gridSpan w:val="2"/>
            <w:vAlign w:val="center"/>
          </w:tcPr>
          <w:p w:rsidR="00EE4502" w:rsidRDefault="00FD45A3">
            <w:pPr>
              <w:jc w:val="center"/>
              <w:rPr>
                <w:bCs/>
                <w:szCs w:val="21"/>
              </w:rPr>
            </w:pPr>
            <w:r>
              <w:rPr>
                <w:rFonts w:hint="eastAsia"/>
                <w:bCs/>
                <w:szCs w:val="21"/>
              </w:rPr>
              <w:t>6</w:t>
            </w:r>
          </w:p>
        </w:tc>
      </w:tr>
      <w:tr w:rsidR="00EE4502">
        <w:trPr>
          <w:trHeight w:val="340"/>
          <w:jc w:val="center"/>
        </w:trPr>
        <w:tc>
          <w:tcPr>
            <w:tcW w:w="712" w:type="pct"/>
            <w:vMerge/>
            <w:vAlign w:val="center"/>
          </w:tcPr>
          <w:p w:rsidR="00EE4502" w:rsidRDefault="00EE4502">
            <w:pPr>
              <w:jc w:val="center"/>
              <w:rPr>
                <w:bCs/>
                <w:szCs w:val="21"/>
              </w:rPr>
            </w:pPr>
          </w:p>
        </w:tc>
        <w:tc>
          <w:tcPr>
            <w:tcW w:w="506" w:type="pct"/>
            <w:vMerge/>
            <w:vAlign w:val="center"/>
          </w:tcPr>
          <w:p w:rsidR="00EE4502" w:rsidRDefault="00EE4502">
            <w:pPr>
              <w:jc w:val="center"/>
              <w:rPr>
                <w:bCs/>
                <w:szCs w:val="21"/>
              </w:rPr>
            </w:pPr>
          </w:p>
        </w:tc>
        <w:tc>
          <w:tcPr>
            <w:tcW w:w="1341" w:type="pct"/>
            <w:gridSpan w:val="2"/>
            <w:vAlign w:val="center"/>
          </w:tcPr>
          <w:p w:rsidR="00EE4502" w:rsidRDefault="00FD45A3">
            <w:pPr>
              <w:tabs>
                <w:tab w:val="left" w:pos="2268"/>
              </w:tabs>
              <w:jc w:val="center"/>
              <w:rPr>
                <w:rFonts w:cs="宋体"/>
                <w:bCs/>
                <w:szCs w:val="21"/>
              </w:rPr>
            </w:pPr>
            <w:r>
              <w:rPr>
                <w:rFonts w:cs="宋体"/>
                <w:bCs/>
                <w:szCs w:val="21"/>
              </w:rPr>
              <w:t>防溢设备（防溢池设置）</w:t>
            </w:r>
          </w:p>
        </w:tc>
        <w:tc>
          <w:tcPr>
            <w:tcW w:w="932" w:type="pct"/>
            <w:gridSpan w:val="2"/>
            <w:vAlign w:val="center"/>
          </w:tcPr>
          <w:p w:rsidR="00EE4502" w:rsidRDefault="00FD45A3">
            <w:pPr>
              <w:tabs>
                <w:tab w:val="left" w:pos="2268"/>
              </w:tabs>
              <w:jc w:val="center"/>
              <w:rPr>
                <w:rFonts w:cs="宋体"/>
                <w:bCs/>
                <w:szCs w:val="21"/>
              </w:rPr>
            </w:pPr>
            <w:r>
              <w:rPr>
                <w:rFonts w:cs="宋体"/>
                <w:bCs/>
                <w:szCs w:val="21"/>
              </w:rPr>
              <w:t>具备</w:t>
            </w:r>
          </w:p>
        </w:tc>
        <w:tc>
          <w:tcPr>
            <w:tcW w:w="674" w:type="pct"/>
            <w:vAlign w:val="center"/>
          </w:tcPr>
          <w:p w:rsidR="00EE4502" w:rsidRDefault="00FD45A3">
            <w:pPr>
              <w:jc w:val="center"/>
              <w:rPr>
                <w:bCs/>
                <w:szCs w:val="21"/>
              </w:rPr>
            </w:pPr>
            <w:r>
              <w:rPr>
                <w:rFonts w:hint="eastAsia"/>
                <w:bCs/>
                <w:szCs w:val="21"/>
              </w:rPr>
              <w:t>6</w:t>
            </w:r>
          </w:p>
        </w:tc>
        <w:tc>
          <w:tcPr>
            <w:tcW w:w="835" w:type="pct"/>
            <w:gridSpan w:val="2"/>
            <w:vAlign w:val="center"/>
          </w:tcPr>
          <w:p w:rsidR="00EE4502" w:rsidRDefault="00FD45A3">
            <w:pPr>
              <w:jc w:val="center"/>
              <w:rPr>
                <w:bCs/>
                <w:szCs w:val="21"/>
              </w:rPr>
            </w:pPr>
            <w:r>
              <w:rPr>
                <w:rFonts w:hint="eastAsia"/>
                <w:bCs/>
                <w:szCs w:val="21"/>
              </w:rPr>
              <w:t>6</w:t>
            </w:r>
          </w:p>
        </w:tc>
      </w:tr>
      <w:tr w:rsidR="00EE4502">
        <w:trPr>
          <w:trHeight w:val="340"/>
          <w:jc w:val="center"/>
        </w:trPr>
        <w:tc>
          <w:tcPr>
            <w:tcW w:w="712" w:type="pct"/>
            <w:vMerge/>
            <w:vAlign w:val="center"/>
          </w:tcPr>
          <w:p w:rsidR="00EE4502" w:rsidRDefault="00EE4502">
            <w:pPr>
              <w:jc w:val="center"/>
              <w:rPr>
                <w:bCs/>
                <w:szCs w:val="21"/>
              </w:rPr>
            </w:pPr>
          </w:p>
        </w:tc>
        <w:tc>
          <w:tcPr>
            <w:tcW w:w="506" w:type="pct"/>
            <w:vMerge/>
            <w:vAlign w:val="center"/>
          </w:tcPr>
          <w:p w:rsidR="00EE4502" w:rsidRDefault="00EE4502">
            <w:pPr>
              <w:jc w:val="center"/>
              <w:rPr>
                <w:bCs/>
                <w:szCs w:val="21"/>
              </w:rPr>
            </w:pPr>
          </w:p>
        </w:tc>
        <w:tc>
          <w:tcPr>
            <w:tcW w:w="1341" w:type="pct"/>
            <w:gridSpan w:val="2"/>
            <w:vAlign w:val="center"/>
          </w:tcPr>
          <w:p w:rsidR="00EE4502" w:rsidRDefault="00FD45A3">
            <w:pPr>
              <w:tabs>
                <w:tab w:val="left" w:pos="2268"/>
              </w:tabs>
              <w:jc w:val="center"/>
              <w:rPr>
                <w:rFonts w:cs="宋体"/>
                <w:bCs/>
                <w:szCs w:val="21"/>
              </w:rPr>
            </w:pPr>
            <w:r>
              <w:rPr>
                <w:rFonts w:cs="宋体"/>
                <w:bCs/>
                <w:szCs w:val="21"/>
              </w:rPr>
              <w:t>防渗范围</w:t>
            </w:r>
          </w:p>
        </w:tc>
        <w:tc>
          <w:tcPr>
            <w:tcW w:w="932" w:type="pct"/>
            <w:gridSpan w:val="2"/>
            <w:vAlign w:val="center"/>
          </w:tcPr>
          <w:p w:rsidR="00EE4502" w:rsidRDefault="00FD45A3">
            <w:pPr>
              <w:tabs>
                <w:tab w:val="left" w:pos="2268"/>
              </w:tabs>
              <w:jc w:val="center"/>
              <w:rPr>
                <w:rFonts w:cs="宋体"/>
                <w:bCs/>
                <w:szCs w:val="21"/>
              </w:rPr>
            </w:pPr>
            <w:r>
              <w:rPr>
                <w:rFonts w:cs="宋体"/>
                <w:bCs/>
                <w:szCs w:val="21"/>
              </w:rPr>
              <w:t>废水、使用液、原油等可能落地处</w:t>
            </w:r>
          </w:p>
        </w:tc>
        <w:tc>
          <w:tcPr>
            <w:tcW w:w="674" w:type="pct"/>
            <w:vAlign w:val="center"/>
          </w:tcPr>
          <w:p w:rsidR="00EE4502" w:rsidRDefault="00FD45A3">
            <w:pPr>
              <w:jc w:val="center"/>
              <w:rPr>
                <w:bCs/>
                <w:szCs w:val="21"/>
              </w:rPr>
            </w:pPr>
            <w:r>
              <w:rPr>
                <w:rFonts w:hint="eastAsia"/>
                <w:bCs/>
                <w:kern w:val="0"/>
                <w:szCs w:val="21"/>
              </w:rPr>
              <w:t>5</w:t>
            </w:r>
          </w:p>
        </w:tc>
        <w:tc>
          <w:tcPr>
            <w:tcW w:w="835" w:type="pct"/>
            <w:gridSpan w:val="2"/>
            <w:vAlign w:val="center"/>
          </w:tcPr>
          <w:p w:rsidR="00EE4502" w:rsidRDefault="00FD45A3">
            <w:pPr>
              <w:jc w:val="center"/>
              <w:rPr>
                <w:bCs/>
                <w:szCs w:val="21"/>
              </w:rPr>
            </w:pPr>
            <w:r>
              <w:rPr>
                <w:rFonts w:hint="eastAsia"/>
                <w:bCs/>
                <w:kern w:val="0"/>
                <w:szCs w:val="21"/>
              </w:rPr>
              <w:t>5</w:t>
            </w:r>
          </w:p>
        </w:tc>
      </w:tr>
      <w:tr w:rsidR="00EE4502">
        <w:trPr>
          <w:trHeight w:val="340"/>
          <w:jc w:val="center"/>
        </w:trPr>
        <w:tc>
          <w:tcPr>
            <w:tcW w:w="712" w:type="pct"/>
            <w:vMerge/>
            <w:vAlign w:val="center"/>
          </w:tcPr>
          <w:p w:rsidR="00EE4502" w:rsidRDefault="00EE4502">
            <w:pPr>
              <w:jc w:val="center"/>
              <w:rPr>
                <w:bCs/>
                <w:szCs w:val="21"/>
              </w:rPr>
            </w:pPr>
          </w:p>
        </w:tc>
        <w:tc>
          <w:tcPr>
            <w:tcW w:w="506" w:type="pct"/>
            <w:vMerge/>
            <w:vAlign w:val="center"/>
          </w:tcPr>
          <w:p w:rsidR="00EE4502" w:rsidRDefault="00EE4502">
            <w:pPr>
              <w:jc w:val="center"/>
              <w:rPr>
                <w:bCs/>
                <w:szCs w:val="21"/>
              </w:rPr>
            </w:pPr>
          </w:p>
        </w:tc>
        <w:tc>
          <w:tcPr>
            <w:tcW w:w="1341" w:type="pct"/>
            <w:gridSpan w:val="2"/>
            <w:vAlign w:val="center"/>
          </w:tcPr>
          <w:p w:rsidR="00EE4502" w:rsidRDefault="00FD45A3">
            <w:pPr>
              <w:tabs>
                <w:tab w:val="left" w:pos="2268"/>
              </w:tabs>
              <w:jc w:val="center"/>
              <w:rPr>
                <w:rFonts w:cs="宋体"/>
                <w:bCs/>
                <w:szCs w:val="21"/>
              </w:rPr>
            </w:pPr>
            <w:r>
              <w:rPr>
                <w:rFonts w:cs="宋体"/>
                <w:bCs/>
                <w:szCs w:val="21"/>
              </w:rPr>
              <w:t>作业废液污染控制措施</w:t>
            </w:r>
          </w:p>
        </w:tc>
        <w:tc>
          <w:tcPr>
            <w:tcW w:w="932" w:type="pct"/>
            <w:gridSpan w:val="2"/>
            <w:vAlign w:val="center"/>
          </w:tcPr>
          <w:p w:rsidR="00EE4502" w:rsidRDefault="00FD45A3">
            <w:pPr>
              <w:jc w:val="center"/>
              <w:rPr>
                <w:bCs/>
                <w:szCs w:val="21"/>
              </w:rPr>
            </w:pPr>
            <w:r>
              <w:rPr>
                <w:bCs/>
                <w:szCs w:val="21"/>
              </w:rPr>
              <w:t>集中回收处理</w:t>
            </w:r>
          </w:p>
        </w:tc>
        <w:tc>
          <w:tcPr>
            <w:tcW w:w="674" w:type="pct"/>
            <w:vAlign w:val="center"/>
          </w:tcPr>
          <w:p w:rsidR="00EE4502" w:rsidRDefault="00FD45A3">
            <w:pPr>
              <w:jc w:val="center"/>
              <w:rPr>
                <w:bCs/>
                <w:szCs w:val="21"/>
              </w:rPr>
            </w:pPr>
            <w:r>
              <w:rPr>
                <w:rFonts w:hint="eastAsia"/>
                <w:bCs/>
                <w:szCs w:val="21"/>
              </w:rPr>
              <w:t>8</w:t>
            </w:r>
          </w:p>
        </w:tc>
        <w:tc>
          <w:tcPr>
            <w:tcW w:w="835" w:type="pct"/>
            <w:gridSpan w:val="2"/>
            <w:vAlign w:val="center"/>
          </w:tcPr>
          <w:p w:rsidR="00EE4502" w:rsidRDefault="00FD45A3">
            <w:pPr>
              <w:jc w:val="center"/>
              <w:rPr>
                <w:bCs/>
                <w:szCs w:val="21"/>
              </w:rPr>
            </w:pPr>
            <w:r>
              <w:rPr>
                <w:rFonts w:hint="eastAsia"/>
                <w:bCs/>
                <w:szCs w:val="21"/>
              </w:rPr>
              <w:t>8</w:t>
            </w:r>
          </w:p>
        </w:tc>
      </w:tr>
      <w:tr w:rsidR="00EE4502">
        <w:trPr>
          <w:trHeight w:val="340"/>
          <w:jc w:val="center"/>
        </w:trPr>
        <w:tc>
          <w:tcPr>
            <w:tcW w:w="712" w:type="pct"/>
            <w:vMerge/>
            <w:vAlign w:val="center"/>
          </w:tcPr>
          <w:p w:rsidR="00EE4502" w:rsidRDefault="00EE4502">
            <w:pPr>
              <w:jc w:val="center"/>
              <w:rPr>
                <w:bCs/>
                <w:szCs w:val="21"/>
              </w:rPr>
            </w:pPr>
          </w:p>
        </w:tc>
        <w:tc>
          <w:tcPr>
            <w:tcW w:w="506" w:type="pct"/>
            <w:vMerge/>
            <w:vAlign w:val="center"/>
          </w:tcPr>
          <w:p w:rsidR="00EE4502" w:rsidRDefault="00EE4502">
            <w:pPr>
              <w:jc w:val="center"/>
              <w:rPr>
                <w:bCs/>
                <w:szCs w:val="21"/>
              </w:rPr>
            </w:pPr>
          </w:p>
        </w:tc>
        <w:tc>
          <w:tcPr>
            <w:tcW w:w="1341" w:type="pct"/>
            <w:gridSpan w:val="2"/>
            <w:vAlign w:val="center"/>
          </w:tcPr>
          <w:p w:rsidR="00EE4502" w:rsidRDefault="00FD45A3">
            <w:pPr>
              <w:jc w:val="center"/>
              <w:rPr>
                <w:bCs/>
                <w:szCs w:val="21"/>
              </w:rPr>
            </w:pPr>
            <w:r>
              <w:rPr>
                <w:bCs/>
                <w:szCs w:val="21"/>
              </w:rPr>
              <w:t>防止落地原油产生措施</w:t>
            </w:r>
          </w:p>
        </w:tc>
        <w:tc>
          <w:tcPr>
            <w:tcW w:w="932" w:type="pct"/>
            <w:gridSpan w:val="2"/>
            <w:vAlign w:val="center"/>
          </w:tcPr>
          <w:p w:rsidR="00EE4502" w:rsidRDefault="00FD45A3">
            <w:pPr>
              <w:jc w:val="center"/>
              <w:rPr>
                <w:bCs/>
                <w:szCs w:val="21"/>
              </w:rPr>
            </w:pPr>
            <w:r>
              <w:rPr>
                <w:bCs/>
                <w:szCs w:val="21"/>
              </w:rPr>
              <w:t>具备原油回收设施</w:t>
            </w:r>
          </w:p>
        </w:tc>
        <w:tc>
          <w:tcPr>
            <w:tcW w:w="674" w:type="pct"/>
            <w:vAlign w:val="center"/>
          </w:tcPr>
          <w:p w:rsidR="00EE4502" w:rsidRDefault="00FD45A3">
            <w:pPr>
              <w:jc w:val="center"/>
              <w:rPr>
                <w:bCs/>
                <w:szCs w:val="21"/>
              </w:rPr>
            </w:pPr>
            <w:r>
              <w:rPr>
                <w:rFonts w:hint="eastAsia"/>
                <w:bCs/>
                <w:szCs w:val="21"/>
              </w:rPr>
              <w:t>8</w:t>
            </w:r>
          </w:p>
        </w:tc>
        <w:tc>
          <w:tcPr>
            <w:tcW w:w="835" w:type="pct"/>
            <w:gridSpan w:val="2"/>
            <w:vAlign w:val="center"/>
          </w:tcPr>
          <w:p w:rsidR="00EE4502" w:rsidRDefault="00FD45A3">
            <w:pPr>
              <w:jc w:val="center"/>
              <w:rPr>
                <w:bCs/>
                <w:szCs w:val="21"/>
              </w:rPr>
            </w:pPr>
            <w:r>
              <w:rPr>
                <w:rFonts w:hint="eastAsia"/>
                <w:bCs/>
                <w:szCs w:val="21"/>
              </w:rPr>
              <w:t>8</w:t>
            </w:r>
          </w:p>
        </w:tc>
      </w:tr>
      <w:tr w:rsidR="00EE4502">
        <w:trPr>
          <w:trHeight w:val="340"/>
          <w:jc w:val="center"/>
        </w:trPr>
        <w:tc>
          <w:tcPr>
            <w:tcW w:w="712" w:type="pct"/>
            <w:vAlign w:val="center"/>
          </w:tcPr>
          <w:p w:rsidR="00EE4502" w:rsidRDefault="00FD45A3">
            <w:pPr>
              <w:jc w:val="center"/>
              <w:rPr>
                <w:bCs/>
                <w:szCs w:val="21"/>
              </w:rPr>
            </w:pPr>
            <w:r>
              <w:rPr>
                <w:bCs/>
                <w:szCs w:val="21"/>
              </w:rPr>
              <w:t>（</w:t>
            </w:r>
            <w:r>
              <w:rPr>
                <w:rFonts w:hint="eastAsia"/>
                <w:bCs/>
                <w:szCs w:val="21"/>
              </w:rPr>
              <w:t>3</w:t>
            </w:r>
            <w:r>
              <w:rPr>
                <w:bCs/>
                <w:szCs w:val="21"/>
              </w:rPr>
              <w:t>）</w:t>
            </w:r>
            <w:r>
              <w:rPr>
                <w:rFonts w:hint="eastAsia"/>
                <w:bCs/>
                <w:szCs w:val="21"/>
              </w:rPr>
              <w:t>符合国家政策的生产规模</w:t>
            </w:r>
          </w:p>
        </w:tc>
        <w:tc>
          <w:tcPr>
            <w:tcW w:w="506" w:type="pct"/>
            <w:vAlign w:val="center"/>
          </w:tcPr>
          <w:p w:rsidR="00EE4502" w:rsidRDefault="00FD45A3">
            <w:pPr>
              <w:jc w:val="center"/>
              <w:rPr>
                <w:bCs/>
                <w:szCs w:val="21"/>
              </w:rPr>
            </w:pPr>
            <w:r>
              <w:rPr>
                <w:rFonts w:hint="eastAsia"/>
                <w:bCs/>
                <w:szCs w:val="21"/>
              </w:rPr>
              <w:t>10</w:t>
            </w:r>
          </w:p>
        </w:tc>
        <w:tc>
          <w:tcPr>
            <w:tcW w:w="1341" w:type="pct"/>
            <w:gridSpan w:val="2"/>
            <w:vAlign w:val="center"/>
          </w:tcPr>
          <w:p w:rsidR="00EE4502" w:rsidRDefault="00FD45A3">
            <w:pPr>
              <w:tabs>
                <w:tab w:val="left" w:pos="2268"/>
              </w:tabs>
              <w:jc w:val="center"/>
              <w:rPr>
                <w:rFonts w:cs="宋体"/>
                <w:bCs/>
                <w:szCs w:val="21"/>
              </w:rPr>
            </w:pPr>
            <w:r>
              <w:rPr>
                <w:rFonts w:cs="宋体"/>
                <w:bCs/>
                <w:szCs w:val="21"/>
              </w:rPr>
              <w:t>符合国家政策</w:t>
            </w:r>
          </w:p>
        </w:tc>
        <w:tc>
          <w:tcPr>
            <w:tcW w:w="932" w:type="pct"/>
            <w:gridSpan w:val="2"/>
            <w:vAlign w:val="center"/>
          </w:tcPr>
          <w:p w:rsidR="00EE4502" w:rsidRDefault="00FD45A3">
            <w:pPr>
              <w:tabs>
                <w:tab w:val="left" w:pos="2268"/>
              </w:tabs>
              <w:jc w:val="center"/>
              <w:rPr>
                <w:rFonts w:cs="宋体"/>
                <w:bCs/>
                <w:szCs w:val="21"/>
              </w:rPr>
            </w:pPr>
            <w:r>
              <w:rPr>
                <w:rFonts w:cs="宋体"/>
                <w:bCs/>
                <w:szCs w:val="21"/>
              </w:rPr>
              <w:t>符合国家政策</w:t>
            </w:r>
          </w:p>
        </w:tc>
        <w:tc>
          <w:tcPr>
            <w:tcW w:w="674" w:type="pct"/>
            <w:vAlign w:val="center"/>
          </w:tcPr>
          <w:p w:rsidR="00EE4502" w:rsidRDefault="00FD45A3">
            <w:pPr>
              <w:jc w:val="center"/>
              <w:rPr>
                <w:bCs/>
                <w:szCs w:val="21"/>
              </w:rPr>
            </w:pPr>
            <w:r>
              <w:rPr>
                <w:rFonts w:hint="eastAsia"/>
                <w:bCs/>
                <w:szCs w:val="21"/>
              </w:rPr>
              <w:t>10</w:t>
            </w:r>
          </w:p>
        </w:tc>
        <w:tc>
          <w:tcPr>
            <w:tcW w:w="835" w:type="pct"/>
            <w:gridSpan w:val="2"/>
            <w:vAlign w:val="center"/>
          </w:tcPr>
          <w:p w:rsidR="00EE4502" w:rsidRDefault="00FD45A3">
            <w:pPr>
              <w:jc w:val="center"/>
              <w:rPr>
                <w:bCs/>
                <w:szCs w:val="21"/>
              </w:rPr>
            </w:pPr>
            <w:r>
              <w:rPr>
                <w:rFonts w:hint="eastAsia"/>
                <w:bCs/>
                <w:szCs w:val="21"/>
              </w:rPr>
              <w:t>10</w:t>
            </w:r>
          </w:p>
        </w:tc>
      </w:tr>
      <w:tr w:rsidR="00EE4502">
        <w:trPr>
          <w:trHeight w:val="340"/>
          <w:jc w:val="center"/>
        </w:trPr>
        <w:tc>
          <w:tcPr>
            <w:tcW w:w="712" w:type="pct"/>
            <w:vMerge w:val="restart"/>
            <w:vAlign w:val="center"/>
          </w:tcPr>
          <w:p w:rsidR="00EE4502" w:rsidRDefault="00FD45A3">
            <w:pPr>
              <w:jc w:val="center"/>
              <w:rPr>
                <w:bCs/>
                <w:szCs w:val="21"/>
              </w:rPr>
            </w:pPr>
            <w:r>
              <w:rPr>
                <w:bCs/>
                <w:szCs w:val="21"/>
              </w:rPr>
              <w:t>（</w:t>
            </w:r>
            <w:r>
              <w:rPr>
                <w:rFonts w:hint="eastAsia"/>
                <w:bCs/>
                <w:szCs w:val="21"/>
              </w:rPr>
              <w:t>4</w:t>
            </w:r>
            <w:r>
              <w:rPr>
                <w:bCs/>
                <w:szCs w:val="21"/>
              </w:rPr>
              <w:t>）环境管理体系建设及清洁生产审核</w:t>
            </w:r>
          </w:p>
        </w:tc>
        <w:tc>
          <w:tcPr>
            <w:tcW w:w="506" w:type="pct"/>
            <w:vMerge w:val="restart"/>
            <w:vAlign w:val="center"/>
          </w:tcPr>
          <w:p w:rsidR="00EE4502" w:rsidRDefault="00FD45A3">
            <w:pPr>
              <w:jc w:val="center"/>
              <w:rPr>
                <w:bCs/>
                <w:szCs w:val="21"/>
              </w:rPr>
            </w:pPr>
            <w:r>
              <w:rPr>
                <w:rFonts w:hint="eastAsia"/>
                <w:bCs/>
                <w:szCs w:val="21"/>
              </w:rPr>
              <w:t>2</w:t>
            </w:r>
            <w:r>
              <w:rPr>
                <w:bCs/>
                <w:szCs w:val="21"/>
              </w:rPr>
              <w:t>0</w:t>
            </w:r>
          </w:p>
        </w:tc>
        <w:tc>
          <w:tcPr>
            <w:tcW w:w="2273" w:type="pct"/>
            <w:gridSpan w:val="4"/>
            <w:vAlign w:val="center"/>
          </w:tcPr>
          <w:p w:rsidR="00EE4502" w:rsidRDefault="00FD45A3">
            <w:pPr>
              <w:jc w:val="center"/>
              <w:rPr>
                <w:bCs/>
                <w:szCs w:val="21"/>
              </w:rPr>
            </w:pPr>
            <w:r>
              <w:rPr>
                <w:bCs/>
                <w:szCs w:val="21"/>
              </w:rPr>
              <w:t>建立</w:t>
            </w:r>
            <w:r>
              <w:rPr>
                <w:bCs/>
                <w:szCs w:val="21"/>
              </w:rPr>
              <w:t>HSE</w:t>
            </w:r>
            <w:r>
              <w:rPr>
                <w:bCs/>
                <w:szCs w:val="21"/>
              </w:rPr>
              <w:t>管理体系并通过认证</w:t>
            </w:r>
          </w:p>
        </w:tc>
        <w:tc>
          <w:tcPr>
            <w:tcW w:w="674" w:type="pct"/>
            <w:vAlign w:val="center"/>
          </w:tcPr>
          <w:p w:rsidR="00EE4502" w:rsidRDefault="00FD45A3">
            <w:pPr>
              <w:jc w:val="center"/>
              <w:rPr>
                <w:bCs/>
                <w:szCs w:val="21"/>
              </w:rPr>
            </w:pPr>
            <w:r>
              <w:rPr>
                <w:bCs/>
                <w:szCs w:val="21"/>
              </w:rPr>
              <w:t>15</w:t>
            </w:r>
          </w:p>
        </w:tc>
        <w:tc>
          <w:tcPr>
            <w:tcW w:w="835" w:type="pct"/>
            <w:gridSpan w:val="2"/>
            <w:vAlign w:val="center"/>
          </w:tcPr>
          <w:p w:rsidR="00EE4502" w:rsidRDefault="00FD45A3">
            <w:pPr>
              <w:jc w:val="center"/>
              <w:rPr>
                <w:bCs/>
                <w:szCs w:val="21"/>
              </w:rPr>
            </w:pPr>
            <w:r>
              <w:rPr>
                <w:bCs/>
                <w:szCs w:val="21"/>
              </w:rPr>
              <w:t>15</w:t>
            </w:r>
          </w:p>
        </w:tc>
      </w:tr>
      <w:tr w:rsidR="00EE4502">
        <w:trPr>
          <w:trHeight w:val="340"/>
          <w:jc w:val="center"/>
        </w:trPr>
        <w:tc>
          <w:tcPr>
            <w:tcW w:w="712" w:type="pct"/>
            <w:vMerge/>
            <w:vAlign w:val="center"/>
          </w:tcPr>
          <w:p w:rsidR="00EE4502" w:rsidRDefault="00EE4502">
            <w:pPr>
              <w:jc w:val="center"/>
              <w:rPr>
                <w:bCs/>
                <w:szCs w:val="21"/>
              </w:rPr>
            </w:pPr>
          </w:p>
        </w:tc>
        <w:tc>
          <w:tcPr>
            <w:tcW w:w="506" w:type="pct"/>
            <w:vMerge/>
            <w:vAlign w:val="center"/>
          </w:tcPr>
          <w:p w:rsidR="00EE4502" w:rsidRDefault="00EE4502">
            <w:pPr>
              <w:jc w:val="center"/>
              <w:rPr>
                <w:bCs/>
                <w:szCs w:val="21"/>
              </w:rPr>
            </w:pPr>
          </w:p>
        </w:tc>
        <w:tc>
          <w:tcPr>
            <w:tcW w:w="2273" w:type="pct"/>
            <w:gridSpan w:val="4"/>
            <w:vAlign w:val="center"/>
          </w:tcPr>
          <w:p w:rsidR="00EE4502" w:rsidRDefault="00FD45A3">
            <w:pPr>
              <w:jc w:val="center"/>
              <w:rPr>
                <w:bCs/>
                <w:szCs w:val="21"/>
              </w:rPr>
            </w:pPr>
            <w:r>
              <w:rPr>
                <w:bCs/>
                <w:szCs w:val="21"/>
              </w:rPr>
              <w:t>开展清洁生产审核</w:t>
            </w:r>
          </w:p>
        </w:tc>
        <w:tc>
          <w:tcPr>
            <w:tcW w:w="674" w:type="pct"/>
            <w:vAlign w:val="center"/>
          </w:tcPr>
          <w:p w:rsidR="00EE4502" w:rsidRDefault="00FD45A3">
            <w:pPr>
              <w:jc w:val="center"/>
              <w:rPr>
                <w:bCs/>
                <w:szCs w:val="21"/>
              </w:rPr>
            </w:pPr>
            <w:r>
              <w:rPr>
                <w:rFonts w:hint="eastAsia"/>
                <w:bCs/>
                <w:szCs w:val="21"/>
              </w:rPr>
              <w:t>5</w:t>
            </w:r>
          </w:p>
        </w:tc>
        <w:tc>
          <w:tcPr>
            <w:tcW w:w="835" w:type="pct"/>
            <w:gridSpan w:val="2"/>
            <w:vAlign w:val="center"/>
          </w:tcPr>
          <w:p w:rsidR="00EE4502" w:rsidRDefault="00FD45A3">
            <w:pPr>
              <w:jc w:val="center"/>
              <w:rPr>
                <w:bCs/>
                <w:szCs w:val="21"/>
              </w:rPr>
            </w:pPr>
            <w:r>
              <w:rPr>
                <w:rFonts w:hint="eastAsia"/>
                <w:bCs/>
                <w:szCs w:val="21"/>
              </w:rPr>
              <w:t>5</w:t>
            </w:r>
          </w:p>
        </w:tc>
      </w:tr>
      <w:tr w:rsidR="00EE4502">
        <w:trPr>
          <w:trHeight w:val="340"/>
          <w:jc w:val="center"/>
        </w:trPr>
        <w:tc>
          <w:tcPr>
            <w:tcW w:w="712" w:type="pct"/>
            <w:vAlign w:val="center"/>
          </w:tcPr>
          <w:p w:rsidR="00EE4502" w:rsidRDefault="00FD45A3">
            <w:pPr>
              <w:jc w:val="center"/>
              <w:rPr>
                <w:bCs/>
                <w:szCs w:val="21"/>
              </w:rPr>
            </w:pPr>
            <w:r>
              <w:rPr>
                <w:bCs/>
                <w:szCs w:val="21"/>
              </w:rPr>
              <w:t>（</w:t>
            </w:r>
            <w:r>
              <w:rPr>
                <w:rFonts w:hint="eastAsia"/>
                <w:bCs/>
                <w:szCs w:val="21"/>
              </w:rPr>
              <w:t>5</w:t>
            </w:r>
            <w:r>
              <w:rPr>
                <w:bCs/>
                <w:szCs w:val="21"/>
              </w:rPr>
              <w:t>）贯彻执行环境保护法规的符合性</w:t>
            </w:r>
          </w:p>
        </w:tc>
        <w:tc>
          <w:tcPr>
            <w:tcW w:w="506" w:type="pct"/>
            <w:vAlign w:val="center"/>
          </w:tcPr>
          <w:p w:rsidR="00EE4502" w:rsidRDefault="00FD45A3">
            <w:pPr>
              <w:jc w:val="center"/>
              <w:rPr>
                <w:bCs/>
                <w:szCs w:val="21"/>
              </w:rPr>
            </w:pPr>
            <w:r>
              <w:rPr>
                <w:rFonts w:hint="eastAsia"/>
                <w:bCs/>
                <w:szCs w:val="21"/>
              </w:rPr>
              <w:t>15</w:t>
            </w:r>
          </w:p>
        </w:tc>
        <w:tc>
          <w:tcPr>
            <w:tcW w:w="2273" w:type="pct"/>
            <w:gridSpan w:val="4"/>
            <w:vAlign w:val="center"/>
          </w:tcPr>
          <w:p w:rsidR="00EE4502" w:rsidRDefault="00FD45A3">
            <w:pPr>
              <w:jc w:val="center"/>
              <w:rPr>
                <w:bCs/>
                <w:szCs w:val="21"/>
              </w:rPr>
            </w:pPr>
            <w:r>
              <w:rPr>
                <w:bCs/>
                <w:szCs w:val="21"/>
              </w:rPr>
              <w:t>满足</w:t>
            </w:r>
            <w:r>
              <w:rPr>
                <w:rFonts w:hint="eastAsia"/>
                <w:bCs/>
                <w:szCs w:val="21"/>
              </w:rPr>
              <w:t>污染物排放总量控制与减排措施情况</w:t>
            </w:r>
          </w:p>
        </w:tc>
        <w:tc>
          <w:tcPr>
            <w:tcW w:w="674" w:type="pct"/>
            <w:vAlign w:val="center"/>
          </w:tcPr>
          <w:p w:rsidR="00EE4502" w:rsidRDefault="00FD45A3">
            <w:pPr>
              <w:jc w:val="center"/>
              <w:rPr>
                <w:bCs/>
                <w:szCs w:val="21"/>
              </w:rPr>
            </w:pPr>
            <w:r>
              <w:rPr>
                <w:rFonts w:hint="eastAsia"/>
                <w:bCs/>
                <w:szCs w:val="21"/>
              </w:rPr>
              <w:t>15</w:t>
            </w:r>
          </w:p>
        </w:tc>
        <w:tc>
          <w:tcPr>
            <w:tcW w:w="835" w:type="pct"/>
            <w:gridSpan w:val="2"/>
            <w:vAlign w:val="center"/>
          </w:tcPr>
          <w:p w:rsidR="00EE4502" w:rsidRDefault="00FD45A3">
            <w:pPr>
              <w:jc w:val="center"/>
              <w:rPr>
                <w:bCs/>
                <w:szCs w:val="21"/>
              </w:rPr>
            </w:pPr>
            <w:r>
              <w:rPr>
                <w:rFonts w:hint="eastAsia"/>
                <w:bCs/>
                <w:szCs w:val="21"/>
              </w:rPr>
              <w:t>15</w:t>
            </w:r>
          </w:p>
        </w:tc>
      </w:tr>
    </w:tbl>
    <w:p w:rsidR="00EE4502" w:rsidRDefault="00EE4502">
      <w:pPr>
        <w:jc w:val="center"/>
        <w:rPr>
          <w:sz w:val="18"/>
          <w:szCs w:val="18"/>
        </w:rPr>
      </w:pPr>
    </w:p>
    <w:p w:rsidR="00EE4502" w:rsidRDefault="00FD45A3">
      <w:pPr>
        <w:spacing w:line="360" w:lineRule="auto"/>
        <w:jc w:val="center"/>
        <w:rPr>
          <w:rFonts w:eastAsia="黑体"/>
          <w:bCs/>
          <w:lang w:val="zh-CN"/>
        </w:rPr>
      </w:pPr>
      <w:r>
        <w:rPr>
          <w:rFonts w:eastAsia="黑体"/>
          <w:bCs/>
          <w:lang w:val="zh-CN"/>
        </w:rPr>
        <w:t>表</w:t>
      </w:r>
      <w:r>
        <w:rPr>
          <w:rFonts w:eastAsia="黑体" w:hint="eastAsia"/>
          <w:bCs/>
        </w:rPr>
        <w:t>3-</w:t>
      </w:r>
      <w:r>
        <w:rPr>
          <w:rFonts w:eastAsia="黑体" w:hint="eastAsia"/>
          <w:bCs/>
        </w:rPr>
        <w:t>4-18</w:t>
      </w:r>
      <w:r>
        <w:rPr>
          <w:rFonts w:eastAsia="黑体"/>
          <w:bCs/>
          <w:lang w:val="zh-CN"/>
        </w:rPr>
        <w:t xml:space="preserve">  </w:t>
      </w:r>
      <w:r>
        <w:rPr>
          <w:rFonts w:eastAsia="黑体"/>
          <w:bCs/>
          <w:lang w:val="zh-CN"/>
        </w:rPr>
        <w:t>采油（气）作业定量和定性评价指标项目、权重及基准值</w:t>
      </w:r>
    </w:p>
    <w:tbl>
      <w:tblPr>
        <w:tblW w:w="5000" w:type="pct"/>
        <w:tblInd w:w="-28" w:type="dxa"/>
        <w:tblBorders>
          <w:top w:val="single" w:sz="8" w:space="0" w:color="auto"/>
          <w:bottom w:val="single" w:sz="8" w:space="0" w:color="auto"/>
          <w:insideH w:val="single" w:sz="8" w:space="0" w:color="auto"/>
          <w:insideV w:val="single" w:sz="8" w:space="0" w:color="auto"/>
        </w:tblBorders>
        <w:tblCellMar>
          <w:left w:w="28" w:type="dxa"/>
          <w:right w:w="28" w:type="dxa"/>
        </w:tblCellMar>
        <w:tblLook w:val="04A0" w:firstRow="1" w:lastRow="0" w:firstColumn="1" w:lastColumn="0" w:noHBand="0" w:noVBand="1"/>
      </w:tblPr>
      <w:tblGrid>
        <w:gridCol w:w="1436"/>
        <w:gridCol w:w="738"/>
        <w:gridCol w:w="1606"/>
        <w:gridCol w:w="838"/>
        <w:gridCol w:w="789"/>
        <w:gridCol w:w="1301"/>
        <w:gridCol w:w="930"/>
        <w:gridCol w:w="724"/>
      </w:tblGrid>
      <w:tr w:rsidR="00EE4502">
        <w:trPr>
          <w:trHeight w:val="340"/>
        </w:trPr>
        <w:tc>
          <w:tcPr>
            <w:tcW w:w="5000" w:type="pct"/>
            <w:gridSpan w:val="8"/>
            <w:vAlign w:val="center"/>
          </w:tcPr>
          <w:p w:rsidR="00EE4502" w:rsidRDefault="00FD45A3">
            <w:pPr>
              <w:jc w:val="center"/>
              <w:rPr>
                <w:bCs/>
                <w:szCs w:val="21"/>
              </w:rPr>
            </w:pPr>
            <w:bookmarkStart w:id="189" w:name="_Hlk186811797"/>
            <w:r>
              <w:rPr>
                <w:bCs/>
                <w:szCs w:val="21"/>
              </w:rPr>
              <w:t>定量指标</w:t>
            </w:r>
          </w:p>
        </w:tc>
      </w:tr>
      <w:tr w:rsidR="00EE4502">
        <w:trPr>
          <w:trHeight w:val="340"/>
        </w:trPr>
        <w:tc>
          <w:tcPr>
            <w:tcW w:w="859" w:type="pct"/>
            <w:vAlign w:val="center"/>
          </w:tcPr>
          <w:p w:rsidR="00EE4502" w:rsidRDefault="00FD45A3">
            <w:pPr>
              <w:jc w:val="center"/>
              <w:rPr>
                <w:bCs/>
                <w:szCs w:val="21"/>
              </w:rPr>
            </w:pPr>
            <w:r>
              <w:rPr>
                <w:bCs/>
                <w:szCs w:val="21"/>
              </w:rPr>
              <w:t>一级指标</w:t>
            </w:r>
          </w:p>
        </w:tc>
        <w:tc>
          <w:tcPr>
            <w:tcW w:w="441" w:type="pct"/>
            <w:vAlign w:val="center"/>
          </w:tcPr>
          <w:p w:rsidR="00EE4502" w:rsidRDefault="00FD45A3">
            <w:pPr>
              <w:jc w:val="center"/>
              <w:rPr>
                <w:bCs/>
                <w:szCs w:val="21"/>
              </w:rPr>
            </w:pPr>
            <w:r>
              <w:rPr>
                <w:bCs/>
                <w:szCs w:val="21"/>
              </w:rPr>
              <w:t>权重值</w:t>
            </w:r>
          </w:p>
        </w:tc>
        <w:tc>
          <w:tcPr>
            <w:tcW w:w="960" w:type="pct"/>
            <w:vAlign w:val="center"/>
          </w:tcPr>
          <w:p w:rsidR="00EE4502" w:rsidRDefault="00FD45A3">
            <w:pPr>
              <w:jc w:val="center"/>
              <w:rPr>
                <w:bCs/>
                <w:szCs w:val="21"/>
              </w:rPr>
            </w:pPr>
            <w:r>
              <w:rPr>
                <w:bCs/>
                <w:szCs w:val="21"/>
              </w:rPr>
              <w:t>二级指标</w:t>
            </w:r>
          </w:p>
        </w:tc>
        <w:tc>
          <w:tcPr>
            <w:tcW w:w="501" w:type="pct"/>
            <w:vAlign w:val="center"/>
          </w:tcPr>
          <w:p w:rsidR="00EE4502" w:rsidRDefault="00FD45A3">
            <w:pPr>
              <w:jc w:val="center"/>
              <w:rPr>
                <w:bCs/>
                <w:szCs w:val="21"/>
              </w:rPr>
            </w:pPr>
            <w:r>
              <w:rPr>
                <w:bCs/>
                <w:szCs w:val="21"/>
              </w:rPr>
              <w:t>单位</w:t>
            </w:r>
          </w:p>
        </w:tc>
        <w:tc>
          <w:tcPr>
            <w:tcW w:w="472" w:type="pct"/>
            <w:vAlign w:val="center"/>
          </w:tcPr>
          <w:p w:rsidR="00EE4502" w:rsidRDefault="00FD45A3">
            <w:pPr>
              <w:jc w:val="center"/>
              <w:rPr>
                <w:bCs/>
                <w:szCs w:val="21"/>
              </w:rPr>
            </w:pPr>
            <w:r>
              <w:rPr>
                <w:bCs/>
                <w:szCs w:val="21"/>
              </w:rPr>
              <w:t>权重值</w:t>
            </w:r>
          </w:p>
        </w:tc>
        <w:tc>
          <w:tcPr>
            <w:tcW w:w="778" w:type="pct"/>
            <w:vAlign w:val="center"/>
          </w:tcPr>
          <w:p w:rsidR="00EE4502" w:rsidRDefault="00FD45A3">
            <w:pPr>
              <w:jc w:val="center"/>
              <w:rPr>
                <w:bCs/>
                <w:szCs w:val="21"/>
              </w:rPr>
            </w:pPr>
            <w:r>
              <w:rPr>
                <w:bCs/>
                <w:szCs w:val="21"/>
              </w:rPr>
              <w:t>评价基准值</w:t>
            </w:r>
          </w:p>
        </w:tc>
        <w:tc>
          <w:tcPr>
            <w:tcW w:w="556" w:type="pct"/>
            <w:vAlign w:val="center"/>
          </w:tcPr>
          <w:p w:rsidR="00EE4502" w:rsidRDefault="00FD45A3">
            <w:pPr>
              <w:jc w:val="center"/>
              <w:rPr>
                <w:bCs/>
                <w:szCs w:val="21"/>
              </w:rPr>
            </w:pPr>
            <w:r>
              <w:rPr>
                <w:bCs/>
                <w:szCs w:val="21"/>
              </w:rPr>
              <w:t>实际值</w:t>
            </w:r>
          </w:p>
        </w:tc>
        <w:tc>
          <w:tcPr>
            <w:tcW w:w="433" w:type="pct"/>
            <w:vAlign w:val="center"/>
          </w:tcPr>
          <w:p w:rsidR="00EE4502" w:rsidRDefault="00FD45A3">
            <w:pPr>
              <w:jc w:val="center"/>
              <w:rPr>
                <w:bCs/>
                <w:szCs w:val="21"/>
              </w:rPr>
            </w:pPr>
            <w:r>
              <w:rPr>
                <w:bCs/>
                <w:szCs w:val="21"/>
              </w:rPr>
              <w:t>得分</w:t>
            </w:r>
          </w:p>
        </w:tc>
      </w:tr>
      <w:tr w:rsidR="00EE4502">
        <w:trPr>
          <w:trHeight w:val="340"/>
        </w:trPr>
        <w:tc>
          <w:tcPr>
            <w:tcW w:w="859" w:type="pct"/>
            <w:vAlign w:val="center"/>
          </w:tcPr>
          <w:p w:rsidR="00EE4502" w:rsidRDefault="00FD45A3">
            <w:pPr>
              <w:jc w:val="center"/>
              <w:rPr>
                <w:bCs/>
                <w:szCs w:val="21"/>
              </w:rPr>
            </w:pPr>
            <w:r>
              <w:rPr>
                <w:bCs/>
                <w:szCs w:val="21"/>
              </w:rPr>
              <w:t>（</w:t>
            </w:r>
            <w:r>
              <w:rPr>
                <w:bCs/>
                <w:szCs w:val="21"/>
              </w:rPr>
              <w:t>1</w:t>
            </w:r>
            <w:r>
              <w:rPr>
                <w:bCs/>
                <w:szCs w:val="21"/>
              </w:rPr>
              <w:t>）资源和能源消耗指标</w:t>
            </w:r>
          </w:p>
        </w:tc>
        <w:tc>
          <w:tcPr>
            <w:tcW w:w="441" w:type="pct"/>
            <w:vAlign w:val="center"/>
          </w:tcPr>
          <w:p w:rsidR="00EE4502" w:rsidRDefault="00FD45A3">
            <w:pPr>
              <w:jc w:val="center"/>
              <w:rPr>
                <w:bCs/>
                <w:szCs w:val="21"/>
              </w:rPr>
            </w:pPr>
            <w:r>
              <w:rPr>
                <w:rFonts w:hint="eastAsia"/>
                <w:bCs/>
                <w:szCs w:val="21"/>
              </w:rPr>
              <w:t>25</w:t>
            </w:r>
          </w:p>
        </w:tc>
        <w:tc>
          <w:tcPr>
            <w:tcW w:w="960" w:type="pct"/>
            <w:vAlign w:val="center"/>
          </w:tcPr>
          <w:p w:rsidR="00EE4502" w:rsidRDefault="00FD45A3">
            <w:pPr>
              <w:jc w:val="center"/>
              <w:rPr>
                <w:bCs/>
                <w:szCs w:val="21"/>
              </w:rPr>
            </w:pPr>
            <w:r>
              <w:rPr>
                <w:rFonts w:hint="eastAsia"/>
                <w:bCs/>
                <w:szCs w:val="21"/>
              </w:rPr>
              <w:t>吨采出液</w:t>
            </w:r>
            <w:r>
              <w:rPr>
                <w:bCs/>
                <w:szCs w:val="21"/>
              </w:rPr>
              <w:t>综合能耗</w:t>
            </w:r>
          </w:p>
        </w:tc>
        <w:tc>
          <w:tcPr>
            <w:tcW w:w="501" w:type="pct"/>
            <w:vAlign w:val="center"/>
          </w:tcPr>
          <w:p w:rsidR="00EE4502" w:rsidRDefault="00FD45A3">
            <w:pPr>
              <w:jc w:val="center"/>
              <w:rPr>
                <w:bCs/>
                <w:szCs w:val="21"/>
              </w:rPr>
            </w:pPr>
            <w:r>
              <w:rPr>
                <w:bCs/>
                <w:szCs w:val="21"/>
              </w:rPr>
              <w:t>kg</w:t>
            </w:r>
            <w:r>
              <w:rPr>
                <w:bCs/>
                <w:szCs w:val="21"/>
              </w:rPr>
              <w:t>标煤</w:t>
            </w:r>
            <w:r>
              <w:rPr>
                <w:bCs/>
                <w:szCs w:val="21"/>
              </w:rPr>
              <w:t>/t</w:t>
            </w:r>
          </w:p>
          <w:p w:rsidR="00EE4502" w:rsidRDefault="00FD45A3">
            <w:pPr>
              <w:jc w:val="center"/>
              <w:rPr>
                <w:bCs/>
                <w:szCs w:val="21"/>
              </w:rPr>
            </w:pPr>
            <w:r>
              <w:rPr>
                <w:bCs/>
                <w:szCs w:val="21"/>
              </w:rPr>
              <w:t>采出液</w:t>
            </w:r>
          </w:p>
        </w:tc>
        <w:tc>
          <w:tcPr>
            <w:tcW w:w="472" w:type="pct"/>
            <w:vAlign w:val="center"/>
          </w:tcPr>
          <w:p w:rsidR="00EE4502" w:rsidRDefault="00FD45A3">
            <w:pPr>
              <w:jc w:val="center"/>
              <w:rPr>
                <w:bCs/>
                <w:szCs w:val="21"/>
              </w:rPr>
            </w:pPr>
            <w:r>
              <w:rPr>
                <w:rFonts w:hint="eastAsia"/>
                <w:bCs/>
                <w:szCs w:val="21"/>
              </w:rPr>
              <w:t>25</w:t>
            </w:r>
          </w:p>
        </w:tc>
        <w:tc>
          <w:tcPr>
            <w:tcW w:w="778" w:type="pct"/>
            <w:vAlign w:val="center"/>
          </w:tcPr>
          <w:p w:rsidR="00EE4502" w:rsidRDefault="00FD45A3">
            <w:pPr>
              <w:jc w:val="center"/>
              <w:rPr>
                <w:bCs/>
                <w:szCs w:val="21"/>
              </w:rPr>
            </w:pPr>
            <w:r>
              <w:rPr>
                <w:bCs/>
                <w:szCs w:val="21"/>
              </w:rPr>
              <w:t>稠油</w:t>
            </w:r>
            <w:r>
              <w:rPr>
                <w:bCs/>
                <w:szCs w:val="21"/>
              </w:rPr>
              <w:t>≤160</w:t>
            </w:r>
          </w:p>
        </w:tc>
        <w:tc>
          <w:tcPr>
            <w:tcW w:w="556" w:type="pct"/>
            <w:vAlign w:val="center"/>
          </w:tcPr>
          <w:p w:rsidR="00EE4502" w:rsidRDefault="00FD45A3">
            <w:pPr>
              <w:jc w:val="center"/>
              <w:rPr>
                <w:bCs/>
                <w:szCs w:val="21"/>
              </w:rPr>
            </w:pPr>
            <w:r>
              <w:rPr>
                <w:bCs/>
                <w:szCs w:val="21"/>
              </w:rPr>
              <w:t>≤160</w:t>
            </w:r>
          </w:p>
        </w:tc>
        <w:tc>
          <w:tcPr>
            <w:tcW w:w="433" w:type="pct"/>
            <w:vAlign w:val="center"/>
          </w:tcPr>
          <w:p w:rsidR="00EE4502" w:rsidRDefault="00FD45A3">
            <w:pPr>
              <w:jc w:val="center"/>
              <w:rPr>
                <w:bCs/>
                <w:szCs w:val="21"/>
              </w:rPr>
            </w:pPr>
            <w:r>
              <w:rPr>
                <w:rFonts w:hint="eastAsia"/>
                <w:bCs/>
                <w:szCs w:val="21"/>
              </w:rPr>
              <w:t>25</w:t>
            </w:r>
          </w:p>
        </w:tc>
      </w:tr>
      <w:tr w:rsidR="00EE4502">
        <w:trPr>
          <w:trHeight w:val="340"/>
        </w:trPr>
        <w:tc>
          <w:tcPr>
            <w:tcW w:w="859" w:type="pct"/>
            <w:vAlign w:val="center"/>
          </w:tcPr>
          <w:p w:rsidR="00EE4502" w:rsidRDefault="00FD45A3">
            <w:pPr>
              <w:jc w:val="center"/>
              <w:rPr>
                <w:bCs/>
                <w:szCs w:val="21"/>
              </w:rPr>
            </w:pPr>
            <w:r>
              <w:rPr>
                <w:bCs/>
                <w:szCs w:val="21"/>
              </w:rPr>
              <w:t>（</w:t>
            </w:r>
            <w:r>
              <w:rPr>
                <w:bCs/>
                <w:szCs w:val="21"/>
              </w:rPr>
              <w:t>2</w:t>
            </w:r>
            <w:r>
              <w:rPr>
                <w:bCs/>
                <w:szCs w:val="21"/>
              </w:rPr>
              <w:t>）</w:t>
            </w:r>
            <w:r>
              <w:rPr>
                <w:rFonts w:hint="eastAsia"/>
                <w:bCs/>
                <w:szCs w:val="21"/>
              </w:rPr>
              <w:t>生产技术特征指标</w:t>
            </w:r>
          </w:p>
        </w:tc>
        <w:tc>
          <w:tcPr>
            <w:tcW w:w="441" w:type="pct"/>
            <w:vAlign w:val="center"/>
          </w:tcPr>
          <w:p w:rsidR="00EE4502" w:rsidRDefault="00FD45A3">
            <w:pPr>
              <w:jc w:val="center"/>
              <w:rPr>
                <w:bCs/>
                <w:szCs w:val="21"/>
              </w:rPr>
            </w:pPr>
            <w:r>
              <w:rPr>
                <w:rFonts w:hint="eastAsia"/>
                <w:bCs/>
                <w:szCs w:val="21"/>
              </w:rPr>
              <w:t>30</w:t>
            </w:r>
          </w:p>
        </w:tc>
        <w:tc>
          <w:tcPr>
            <w:tcW w:w="960" w:type="pct"/>
            <w:vAlign w:val="center"/>
          </w:tcPr>
          <w:p w:rsidR="00EE4502" w:rsidRDefault="00EE4502">
            <w:pPr>
              <w:jc w:val="center"/>
              <w:rPr>
                <w:bCs/>
                <w:szCs w:val="21"/>
              </w:rPr>
            </w:pPr>
          </w:p>
        </w:tc>
        <w:tc>
          <w:tcPr>
            <w:tcW w:w="501" w:type="pct"/>
            <w:vAlign w:val="center"/>
          </w:tcPr>
          <w:p w:rsidR="00EE4502" w:rsidRDefault="00EE4502">
            <w:pPr>
              <w:jc w:val="center"/>
              <w:rPr>
                <w:bCs/>
                <w:szCs w:val="21"/>
              </w:rPr>
            </w:pPr>
          </w:p>
        </w:tc>
        <w:tc>
          <w:tcPr>
            <w:tcW w:w="472" w:type="pct"/>
            <w:vAlign w:val="center"/>
          </w:tcPr>
          <w:p w:rsidR="00EE4502" w:rsidRDefault="00EE4502">
            <w:pPr>
              <w:jc w:val="center"/>
              <w:rPr>
                <w:bCs/>
                <w:szCs w:val="21"/>
              </w:rPr>
            </w:pPr>
          </w:p>
        </w:tc>
        <w:tc>
          <w:tcPr>
            <w:tcW w:w="778" w:type="pct"/>
            <w:vAlign w:val="center"/>
          </w:tcPr>
          <w:p w:rsidR="00EE4502" w:rsidRDefault="00EE4502">
            <w:pPr>
              <w:jc w:val="center"/>
              <w:rPr>
                <w:bCs/>
                <w:szCs w:val="21"/>
              </w:rPr>
            </w:pPr>
          </w:p>
        </w:tc>
        <w:tc>
          <w:tcPr>
            <w:tcW w:w="556" w:type="pct"/>
            <w:vAlign w:val="center"/>
          </w:tcPr>
          <w:p w:rsidR="00EE4502" w:rsidRDefault="00FD45A3">
            <w:pPr>
              <w:jc w:val="center"/>
              <w:rPr>
                <w:bCs/>
                <w:szCs w:val="21"/>
              </w:rPr>
            </w:pPr>
            <w:r>
              <w:rPr>
                <w:rFonts w:hint="eastAsia"/>
                <w:bCs/>
                <w:szCs w:val="21"/>
              </w:rPr>
              <w:t>符合</w:t>
            </w:r>
          </w:p>
        </w:tc>
        <w:tc>
          <w:tcPr>
            <w:tcW w:w="433" w:type="pct"/>
            <w:vAlign w:val="center"/>
          </w:tcPr>
          <w:p w:rsidR="00EE4502" w:rsidRDefault="00FD45A3">
            <w:pPr>
              <w:jc w:val="center"/>
              <w:rPr>
                <w:bCs/>
                <w:szCs w:val="21"/>
              </w:rPr>
            </w:pPr>
            <w:r>
              <w:rPr>
                <w:rFonts w:hint="eastAsia"/>
                <w:bCs/>
                <w:szCs w:val="21"/>
              </w:rPr>
              <w:t>30</w:t>
            </w:r>
          </w:p>
        </w:tc>
      </w:tr>
      <w:tr w:rsidR="00EE4502">
        <w:trPr>
          <w:trHeight w:val="340"/>
        </w:trPr>
        <w:tc>
          <w:tcPr>
            <w:tcW w:w="859" w:type="pct"/>
            <w:vMerge w:val="restart"/>
            <w:vAlign w:val="center"/>
          </w:tcPr>
          <w:p w:rsidR="00EE4502" w:rsidRDefault="00FD45A3">
            <w:pPr>
              <w:jc w:val="center"/>
              <w:rPr>
                <w:bCs/>
                <w:szCs w:val="21"/>
              </w:rPr>
            </w:pPr>
            <w:r>
              <w:rPr>
                <w:bCs/>
                <w:szCs w:val="21"/>
              </w:rPr>
              <w:t>（</w:t>
            </w:r>
            <w:r>
              <w:rPr>
                <w:bCs/>
                <w:szCs w:val="21"/>
              </w:rPr>
              <w:t>3</w:t>
            </w:r>
            <w:r>
              <w:rPr>
                <w:bCs/>
                <w:szCs w:val="21"/>
              </w:rPr>
              <w:t>）资源综合利用指标</w:t>
            </w:r>
          </w:p>
        </w:tc>
        <w:tc>
          <w:tcPr>
            <w:tcW w:w="441" w:type="pct"/>
            <w:vMerge w:val="restart"/>
            <w:vAlign w:val="center"/>
          </w:tcPr>
          <w:p w:rsidR="00EE4502" w:rsidRDefault="00FD45A3">
            <w:pPr>
              <w:jc w:val="center"/>
              <w:rPr>
                <w:bCs/>
                <w:szCs w:val="21"/>
              </w:rPr>
            </w:pPr>
            <w:r>
              <w:rPr>
                <w:rFonts w:hint="eastAsia"/>
                <w:bCs/>
                <w:szCs w:val="21"/>
              </w:rPr>
              <w:t>25</w:t>
            </w:r>
          </w:p>
        </w:tc>
        <w:tc>
          <w:tcPr>
            <w:tcW w:w="960" w:type="pct"/>
            <w:vAlign w:val="center"/>
          </w:tcPr>
          <w:p w:rsidR="00EE4502" w:rsidRDefault="00FD45A3">
            <w:pPr>
              <w:jc w:val="center"/>
              <w:rPr>
                <w:bCs/>
                <w:szCs w:val="21"/>
              </w:rPr>
            </w:pPr>
            <w:r>
              <w:rPr>
                <w:bCs/>
                <w:szCs w:val="21"/>
              </w:rPr>
              <w:t>余热余能利用率</w:t>
            </w:r>
          </w:p>
        </w:tc>
        <w:tc>
          <w:tcPr>
            <w:tcW w:w="501" w:type="pct"/>
            <w:vAlign w:val="center"/>
          </w:tcPr>
          <w:p w:rsidR="00EE4502" w:rsidRDefault="00FD45A3">
            <w:pPr>
              <w:jc w:val="center"/>
              <w:rPr>
                <w:bCs/>
                <w:szCs w:val="21"/>
              </w:rPr>
            </w:pPr>
            <w:r>
              <w:rPr>
                <w:bCs/>
                <w:szCs w:val="21"/>
              </w:rPr>
              <w:t>%</w:t>
            </w:r>
          </w:p>
        </w:tc>
        <w:tc>
          <w:tcPr>
            <w:tcW w:w="472" w:type="pct"/>
            <w:vAlign w:val="center"/>
          </w:tcPr>
          <w:p w:rsidR="00EE4502" w:rsidRDefault="00FD45A3">
            <w:pPr>
              <w:jc w:val="center"/>
              <w:rPr>
                <w:bCs/>
                <w:szCs w:val="21"/>
              </w:rPr>
            </w:pPr>
            <w:r>
              <w:rPr>
                <w:rFonts w:hint="eastAsia"/>
                <w:bCs/>
                <w:szCs w:val="21"/>
              </w:rPr>
              <w:t>5</w:t>
            </w:r>
          </w:p>
        </w:tc>
        <w:tc>
          <w:tcPr>
            <w:tcW w:w="778" w:type="pct"/>
            <w:vAlign w:val="center"/>
          </w:tcPr>
          <w:p w:rsidR="00EE4502" w:rsidRDefault="00EE4502">
            <w:pPr>
              <w:jc w:val="center"/>
              <w:rPr>
                <w:bCs/>
                <w:szCs w:val="21"/>
              </w:rPr>
            </w:pPr>
          </w:p>
        </w:tc>
        <w:tc>
          <w:tcPr>
            <w:tcW w:w="556" w:type="pct"/>
            <w:vAlign w:val="center"/>
          </w:tcPr>
          <w:p w:rsidR="00EE4502" w:rsidRDefault="00FD45A3">
            <w:pPr>
              <w:jc w:val="center"/>
              <w:rPr>
                <w:bCs/>
                <w:szCs w:val="21"/>
              </w:rPr>
            </w:pPr>
            <w:r>
              <w:rPr>
                <w:bCs/>
                <w:szCs w:val="21"/>
              </w:rPr>
              <w:t>/</w:t>
            </w:r>
          </w:p>
        </w:tc>
        <w:tc>
          <w:tcPr>
            <w:tcW w:w="433" w:type="pct"/>
            <w:vAlign w:val="center"/>
          </w:tcPr>
          <w:p w:rsidR="00EE4502" w:rsidRDefault="00FD45A3">
            <w:pPr>
              <w:jc w:val="center"/>
              <w:rPr>
                <w:bCs/>
                <w:szCs w:val="21"/>
              </w:rPr>
            </w:pPr>
            <w:r>
              <w:rPr>
                <w:bCs/>
                <w:szCs w:val="21"/>
              </w:rPr>
              <w:t>/</w:t>
            </w:r>
          </w:p>
        </w:tc>
      </w:tr>
      <w:tr w:rsidR="00EE4502">
        <w:trPr>
          <w:trHeight w:val="340"/>
        </w:trPr>
        <w:tc>
          <w:tcPr>
            <w:tcW w:w="859" w:type="pct"/>
            <w:vMerge/>
            <w:vAlign w:val="center"/>
          </w:tcPr>
          <w:p w:rsidR="00EE4502" w:rsidRDefault="00EE4502">
            <w:pPr>
              <w:jc w:val="center"/>
              <w:rPr>
                <w:bCs/>
                <w:szCs w:val="21"/>
              </w:rPr>
            </w:pPr>
          </w:p>
        </w:tc>
        <w:tc>
          <w:tcPr>
            <w:tcW w:w="441" w:type="pct"/>
            <w:vMerge/>
            <w:vAlign w:val="center"/>
          </w:tcPr>
          <w:p w:rsidR="00EE4502" w:rsidRDefault="00EE4502">
            <w:pPr>
              <w:jc w:val="center"/>
              <w:rPr>
                <w:bCs/>
                <w:szCs w:val="21"/>
              </w:rPr>
            </w:pPr>
          </w:p>
        </w:tc>
        <w:tc>
          <w:tcPr>
            <w:tcW w:w="960" w:type="pct"/>
            <w:vAlign w:val="center"/>
          </w:tcPr>
          <w:p w:rsidR="00EE4502" w:rsidRDefault="00FD45A3">
            <w:pPr>
              <w:jc w:val="center"/>
              <w:rPr>
                <w:bCs/>
                <w:szCs w:val="21"/>
              </w:rPr>
            </w:pPr>
            <w:r>
              <w:rPr>
                <w:bCs/>
                <w:szCs w:val="21"/>
              </w:rPr>
              <w:t>油井伴生气</w:t>
            </w:r>
          </w:p>
          <w:p w:rsidR="00EE4502" w:rsidRDefault="00FD45A3">
            <w:pPr>
              <w:jc w:val="center"/>
              <w:rPr>
                <w:bCs/>
                <w:szCs w:val="21"/>
              </w:rPr>
            </w:pPr>
            <w:r>
              <w:rPr>
                <w:bCs/>
                <w:szCs w:val="21"/>
              </w:rPr>
              <w:t>回收利用率</w:t>
            </w:r>
          </w:p>
        </w:tc>
        <w:tc>
          <w:tcPr>
            <w:tcW w:w="501" w:type="pct"/>
            <w:vAlign w:val="center"/>
          </w:tcPr>
          <w:p w:rsidR="00EE4502" w:rsidRDefault="00FD45A3">
            <w:pPr>
              <w:jc w:val="center"/>
              <w:rPr>
                <w:bCs/>
                <w:szCs w:val="21"/>
              </w:rPr>
            </w:pPr>
            <w:r>
              <w:rPr>
                <w:bCs/>
                <w:szCs w:val="21"/>
              </w:rPr>
              <w:t>%</w:t>
            </w:r>
          </w:p>
        </w:tc>
        <w:tc>
          <w:tcPr>
            <w:tcW w:w="472" w:type="pct"/>
            <w:vAlign w:val="center"/>
          </w:tcPr>
          <w:p w:rsidR="00EE4502" w:rsidRDefault="00FD45A3">
            <w:pPr>
              <w:jc w:val="center"/>
              <w:rPr>
                <w:bCs/>
                <w:szCs w:val="21"/>
              </w:rPr>
            </w:pPr>
            <w:r>
              <w:rPr>
                <w:bCs/>
                <w:szCs w:val="21"/>
              </w:rPr>
              <w:t>10</w:t>
            </w:r>
          </w:p>
        </w:tc>
        <w:tc>
          <w:tcPr>
            <w:tcW w:w="778" w:type="pct"/>
            <w:vAlign w:val="center"/>
          </w:tcPr>
          <w:p w:rsidR="00EE4502" w:rsidRDefault="00FD45A3">
            <w:pPr>
              <w:jc w:val="center"/>
              <w:rPr>
                <w:bCs/>
                <w:szCs w:val="21"/>
              </w:rPr>
            </w:pPr>
            <w:r>
              <w:rPr>
                <w:bCs/>
                <w:szCs w:val="21"/>
              </w:rPr>
              <w:t>≥80</w:t>
            </w:r>
          </w:p>
        </w:tc>
        <w:tc>
          <w:tcPr>
            <w:tcW w:w="556" w:type="pct"/>
            <w:vAlign w:val="center"/>
          </w:tcPr>
          <w:p w:rsidR="00EE4502" w:rsidRDefault="00FD45A3">
            <w:pPr>
              <w:jc w:val="center"/>
              <w:rPr>
                <w:bCs/>
                <w:szCs w:val="21"/>
              </w:rPr>
            </w:pPr>
            <w:r>
              <w:rPr>
                <w:bCs/>
                <w:szCs w:val="21"/>
              </w:rPr>
              <w:t>/</w:t>
            </w:r>
          </w:p>
        </w:tc>
        <w:tc>
          <w:tcPr>
            <w:tcW w:w="433" w:type="pct"/>
            <w:vAlign w:val="center"/>
          </w:tcPr>
          <w:p w:rsidR="00EE4502" w:rsidRDefault="00FD45A3">
            <w:pPr>
              <w:jc w:val="center"/>
              <w:rPr>
                <w:bCs/>
                <w:szCs w:val="21"/>
              </w:rPr>
            </w:pPr>
            <w:r>
              <w:rPr>
                <w:bCs/>
                <w:szCs w:val="21"/>
              </w:rPr>
              <w:t>/</w:t>
            </w:r>
          </w:p>
        </w:tc>
      </w:tr>
      <w:tr w:rsidR="00EE4502">
        <w:trPr>
          <w:trHeight w:val="340"/>
        </w:trPr>
        <w:tc>
          <w:tcPr>
            <w:tcW w:w="859" w:type="pct"/>
            <w:vMerge/>
            <w:vAlign w:val="center"/>
          </w:tcPr>
          <w:p w:rsidR="00EE4502" w:rsidRDefault="00EE4502">
            <w:pPr>
              <w:jc w:val="center"/>
              <w:rPr>
                <w:bCs/>
                <w:szCs w:val="21"/>
              </w:rPr>
            </w:pPr>
          </w:p>
        </w:tc>
        <w:tc>
          <w:tcPr>
            <w:tcW w:w="441" w:type="pct"/>
            <w:vMerge/>
            <w:vAlign w:val="center"/>
          </w:tcPr>
          <w:p w:rsidR="00EE4502" w:rsidRDefault="00EE4502">
            <w:pPr>
              <w:jc w:val="center"/>
              <w:rPr>
                <w:bCs/>
                <w:szCs w:val="21"/>
              </w:rPr>
            </w:pPr>
          </w:p>
        </w:tc>
        <w:tc>
          <w:tcPr>
            <w:tcW w:w="960" w:type="pct"/>
            <w:vAlign w:val="center"/>
          </w:tcPr>
          <w:p w:rsidR="00EE4502" w:rsidRDefault="00FD45A3">
            <w:pPr>
              <w:jc w:val="center"/>
              <w:rPr>
                <w:bCs/>
                <w:szCs w:val="21"/>
              </w:rPr>
            </w:pPr>
            <w:r>
              <w:rPr>
                <w:bCs/>
                <w:szCs w:val="21"/>
              </w:rPr>
              <w:t>含油污泥</w:t>
            </w:r>
          </w:p>
          <w:p w:rsidR="00EE4502" w:rsidRDefault="00FD45A3">
            <w:pPr>
              <w:jc w:val="center"/>
              <w:rPr>
                <w:bCs/>
                <w:szCs w:val="21"/>
              </w:rPr>
            </w:pPr>
            <w:r>
              <w:rPr>
                <w:bCs/>
                <w:szCs w:val="21"/>
              </w:rPr>
              <w:t>资源化利用率</w:t>
            </w:r>
          </w:p>
        </w:tc>
        <w:tc>
          <w:tcPr>
            <w:tcW w:w="501" w:type="pct"/>
            <w:vAlign w:val="center"/>
          </w:tcPr>
          <w:p w:rsidR="00EE4502" w:rsidRDefault="00FD45A3">
            <w:pPr>
              <w:jc w:val="center"/>
              <w:rPr>
                <w:bCs/>
                <w:szCs w:val="21"/>
              </w:rPr>
            </w:pPr>
            <w:r>
              <w:rPr>
                <w:bCs/>
                <w:szCs w:val="21"/>
              </w:rPr>
              <w:t>%</w:t>
            </w:r>
          </w:p>
        </w:tc>
        <w:tc>
          <w:tcPr>
            <w:tcW w:w="472" w:type="pct"/>
            <w:vAlign w:val="center"/>
          </w:tcPr>
          <w:p w:rsidR="00EE4502" w:rsidRDefault="00FD45A3">
            <w:pPr>
              <w:jc w:val="center"/>
              <w:rPr>
                <w:bCs/>
                <w:szCs w:val="21"/>
              </w:rPr>
            </w:pPr>
            <w:r>
              <w:rPr>
                <w:bCs/>
                <w:szCs w:val="21"/>
              </w:rPr>
              <w:t>10</w:t>
            </w:r>
          </w:p>
        </w:tc>
        <w:tc>
          <w:tcPr>
            <w:tcW w:w="778" w:type="pct"/>
            <w:vAlign w:val="center"/>
          </w:tcPr>
          <w:p w:rsidR="00EE4502" w:rsidRDefault="00EE4502">
            <w:pPr>
              <w:jc w:val="center"/>
              <w:rPr>
                <w:bCs/>
                <w:szCs w:val="21"/>
              </w:rPr>
            </w:pPr>
          </w:p>
        </w:tc>
        <w:tc>
          <w:tcPr>
            <w:tcW w:w="556" w:type="pct"/>
            <w:vAlign w:val="center"/>
          </w:tcPr>
          <w:p w:rsidR="00EE4502" w:rsidRDefault="00FD45A3">
            <w:pPr>
              <w:jc w:val="center"/>
              <w:rPr>
                <w:bCs/>
                <w:szCs w:val="21"/>
              </w:rPr>
            </w:pPr>
            <w:r>
              <w:rPr>
                <w:bCs/>
                <w:szCs w:val="21"/>
              </w:rPr>
              <w:t>100</w:t>
            </w:r>
          </w:p>
        </w:tc>
        <w:tc>
          <w:tcPr>
            <w:tcW w:w="433" w:type="pct"/>
            <w:vAlign w:val="center"/>
          </w:tcPr>
          <w:p w:rsidR="00EE4502" w:rsidRDefault="00FD45A3">
            <w:pPr>
              <w:jc w:val="center"/>
              <w:rPr>
                <w:bCs/>
                <w:szCs w:val="21"/>
              </w:rPr>
            </w:pPr>
            <w:r>
              <w:rPr>
                <w:rFonts w:hint="eastAsia"/>
                <w:bCs/>
                <w:szCs w:val="21"/>
              </w:rPr>
              <w:t>10</w:t>
            </w:r>
          </w:p>
        </w:tc>
      </w:tr>
      <w:tr w:rsidR="00EE4502">
        <w:trPr>
          <w:trHeight w:val="340"/>
        </w:trPr>
        <w:tc>
          <w:tcPr>
            <w:tcW w:w="859" w:type="pct"/>
            <w:vMerge w:val="restart"/>
            <w:vAlign w:val="center"/>
          </w:tcPr>
          <w:p w:rsidR="00EE4502" w:rsidRDefault="00FD45A3">
            <w:pPr>
              <w:jc w:val="center"/>
              <w:rPr>
                <w:bCs/>
                <w:szCs w:val="21"/>
              </w:rPr>
            </w:pPr>
            <w:r>
              <w:rPr>
                <w:bCs/>
                <w:szCs w:val="21"/>
              </w:rPr>
              <w:t>（</w:t>
            </w:r>
            <w:r>
              <w:rPr>
                <w:rFonts w:hint="eastAsia"/>
                <w:bCs/>
                <w:szCs w:val="21"/>
              </w:rPr>
              <w:t>4</w:t>
            </w:r>
            <w:r>
              <w:rPr>
                <w:bCs/>
                <w:szCs w:val="21"/>
              </w:rPr>
              <w:t>）污染物产生指标</w:t>
            </w:r>
          </w:p>
        </w:tc>
        <w:tc>
          <w:tcPr>
            <w:tcW w:w="441" w:type="pct"/>
            <w:vMerge w:val="restart"/>
            <w:vAlign w:val="center"/>
          </w:tcPr>
          <w:p w:rsidR="00EE4502" w:rsidRDefault="00FD45A3">
            <w:pPr>
              <w:jc w:val="center"/>
              <w:rPr>
                <w:bCs/>
                <w:szCs w:val="21"/>
              </w:rPr>
            </w:pPr>
            <w:r>
              <w:rPr>
                <w:rFonts w:hint="eastAsia"/>
                <w:bCs/>
                <w:szCs w:val="21"/>
              </w:rPr>
              <w:t>2</w:t>
            </w:r>
            <w:r>
              <w:rPr>
                <w:bCs/>
                <w:szCs w:val="21"/>
              </w:rPr>
              <w:t>0</w:t>
            </w:r>
          </w:p>
        </w:tc>
        <w:tc>
          <w:tcPr>
            <w:tcW w:w="960" w:type="pct"/>
            <w:vAlign w:val="center"/>
          </w:tcPr>
          <w:p w:rsidR="00EE4502" w:rsidRDefault="00FD45A3">
            <w:pPr>
              <w:jc w:val="center"/>
              <w:rPr>
                <w:bCs/>
                <w:szCs w:val="21"/>
              </w:rPr>
            </w:pPr>
            <w:r>
              <w:rPr>
                <w:bCs/>
                <w:szCs w:val="21"/>
              </w:rPr>
              <w:t>落地原油回收率</w:t>
            </w:r>
          </w:p>
        </w:tc>
        <w:tc>
          <w:tcPr>
            <w:tcW w:w="501" w:type="pct"/>
            <w:vAlign w:val="center"/>
          </w:tcPr>
          <w:p w:rsidR="00EE4502" w:rsidRDefault="00FD45A3">
            <w:pPr>
              <w:jc w:val="center"/>
              <w:rPr>
                <w:bCs/>
                <w:szCs w:val="21"/>
              </w:rPr>
            </w:pPr>
            <w:r>
              <w:rPr>
                <w:bCs/>
                <w:szCs w:val="21"/>
              </w:rPr>
              <w:t>%</w:t>
            </w:r>
          </w:p>
        </w:tc>
        <w:tc>
          <w:tcPr>
            <w:tcW w:w="472" w:type="pct"/>
            <w:vAlign w:val="center"/>
          </w:tcPr>
          <w:p w:rsidR="00EE4502" w:rsidRDefault="00FD45A3">
            <w:pPr>
              <w:jc w:val="center"/>
              <w:rPr>
                <w:bCs/>
                <w:szCs w:val="21"/>
              </w:rPr>
            </w:pPr>
            <w:r>
              <w:rPr>
                <w:rFonts w:hint="eastAsia"/>
                <w:bCs/>
                <w:szCs w:val="21"/>
              </w:rPr>
              <w:t>5</w:t>
            </w:r>
          </w:p>
        </w:tc>
        <w:tc>
          <w:tcPr>
            <w:tcW w:w="778" w:type="pct"/>
            <w:vAlign w:val="center"/>
          </w:tcPr>
          <w:p w:rsidR="00EE4502" w:rsidRDefault="00EE4502">
            <w:pPr>
              <w:jc w:val="center"/>
              <w:rPr>
                <w:bCs/>
                <w:szCs w:val="21"/>
              </w:rPr>
            </w:pPr>
          </w:p>
        </w:tc>
        <w:tc>
          <w:tcPr>
            <w:tcW w:w="556" w:type="pct"/>
            <w:vAlign w:val="center"/>
          </w:tcPr>
          <w:p w:rsidR="00EE4502" w:rsidRDefault="00FD45A3">
            <w:pPr>
              <w:jc w:val="center"/>
              <w:rPr>
                <w:bCs/>
                <w:szCs w:val="21"/>
              </w:rPr>
            </w:pPr>
            <w:r>
              <w:rPr>
                <w:bCs/>
                <w:szCs w:val="21"/>
              </w:rPr>
              <w:t>100</w:t>
            </w:r>
          </w:p>
        </w:tc>
        <w:tc>
          <w:tcPr>
            <w:tcW w:w="433" w:type="pct"/>
            <w:vAlign w:val="center"/>
          </w:tcPr>
          <w:p w:rsidR="00EE4502" w:rsidRDefault="00FD45A3">
            <w:pPr>
              <w:jc w:val="center"/>
              <w:rPr>
                <w:bCs/>
                <w:szCs w:val="21"/>
              </w:rPr>
            </w:pPr>
            <w:r>
              <w:rPr>
                <w:rFonts w:hint="eastAsia"/>
                <w:bCs/>
                <w:szCs w:val="21"/>
              </w:rPr>
              <w:t>5</w:t>
            </w:r>
          </w:p>
        </w:tc>
      </w:tr>
      <w:tr w:rsidR="00EE4502">
        <w:trPr>
          <w:trHeight w:val="340"/>
        </w:trPr>
        <w:tc>
          <w:tcPr>
            <w:tcW w:w="859" w:type="pct"/>
            <w:vMerge/>
            <w:vAlign w:val="center"/>
          </w:tcPr>
          <w:p w:rsidR="00EE4502" w:rsidRDefault="00EE4502">
            <w:pPr>
              <w:jc w:val="center"/>
              <w:rPr>
                <w:bCs/>
                <w:szCs w:val="21"/>
              </w:rPr>
            </w:pPr>
          </w:p>
        </w:tc>
        <w:tc>
          <w:tcPr>
            <w:tcW w:w="441" w:type="pct"/>
            <w:vMerge/>
            <w:vAlign w:val="center"/>
          </w:tcPr>
          <w:p w:rsidR="00EE4502" w:rsidRDefault="00EE4502">
            <w:pPr>
              <w:jc w:val="center"/>
              <w:rPr>
                <w:bCs/>
                <w:szCs w:val="21"/>
              </w:rPr>
            </w:pPr>
          </w:p>
        </w:tc>
        <w:tc>
          <w:tcPr>
            <w:tcW w:w="960" w:type="pct"/>
            <w:vAlign w:val="center"/>
          </w:tcPr>
          <w:p w:rsidR="00EE4502" w:rsidRDefault="00FD45A3">
            <w:pPr>
              <w:jc w:val="center"/>
              <w:rPr>
                <w:bCs/>
                <w:szCs w:val="21"/>
              </w:rPr>
            </w:pPr>
            <w:r>
              <w:rPr>
                <w:bCs/>
                <w:szCs w:val="21"/>
              </w:rPr>
              <w:t>采油废水回用率</w:t>
            </w:r>
          </w:p>
        </w:tc>
        <w:tc>
          <w:tcPr>
            <w:tcW w:w="501" w:type="pct"/>
            <w:vAlign w:val="center"/>
          </w:tcPr>
          <w:p w:rsidR="00EE4502" w:rsidRDefault="00FD45A3">
            <w:pPr>
              <w:jc w:val="center"/>
              <w:rPr>
                <w:bCs/>
                <w:szCs w:val="21"/>
              </w:rPr>
            </w:pPr>
            <w:r>
              <w:rPr>
                <w:bCs/>
                <w:szCs w:val="21"/>
              </w:rPr>
              <w:t>%</w:t>
            </w:r>
          </w:p>
        </w:tc>
        <w:tc>
          <w:tcPr>
            <w:tcW w:w="472" w:type="pct"/>
            <w:vAlign w:val="center"/>
          </w:tcPr>
          <w:p w:rsidR="00EE4502" w:rsidRDefault="00FD45A3">
            <w:pPr>
              <w:jc w:val="center"/>
              <w:rPr>
                <w:bCs/>
                <w:szCs w:val="21"/>
              </w:rPr>
            </w:pPr>
            <w:r>
              <w:rPr>
                <w:rFonts w:hint="eastAsia"/>
                <w:bCs/>
                <w:szCs w:val="21"/>
              </w:rPr>
              <w:t>5</w:t>
            </w:r>
          </w:p>
        </w:tc>
        <w:tc>
          <w:tcPr>
            <w:tcW w:w="778" w:type="pct"/>
            <w:vAlign w:val="center"/>
          </w:tcPr>
          <w:p w:rsidR="00EE4502" w:rsidRDefault="00FD45A3">
            <w:pPr>
              <w:jc w:val="center"/>
              <w:rPr>
                <w:bCs/>
                <w:szCs w:val="21"/>
              </w:rPr>
            </w:pPr>
            <w:r>
              <w:rPr>
                <w:bCs/>
                <w:szCs w:val="21"/>
              </w:rPr>
              <w:t>≥60</w:t>
            </w:r>
          </w:p>
        </w:tc>
        <w:tc>
          <w:tcPr>
            <w:tcW w:w="556" w:type="pct"/>
            <w:vAlign w:val="center"/>
          </w:tcPr>
          <w:p w:rsidR="00EE4502" w:rsidRDefault="00FD45A3">
            <w:pPr>
              <w:jc w:val="center"/>
              <w:rPr>
                <w:bCs/>
                <w:szCs w:val="21"/>
              </w:rPr>
            </w:pPr>
            <w:r>
              <w:rPr>
                <w:bCs/>
                <w:szCs w:val="21"/>
              </w:rPr>
              <w:t>100</w:t>
            </w:r>
          </w:p>
        </w:tc>
        <w:tc>
          <w:tcPr>
            <w:tcW w:w="433" w:type="pct"/>
            <w:vAlign w:val="center"/>
          </w:tcPr>
          <w:p w:rsidR="00EE4502" w:rsidRDefault="00FD45A3">
            <w:pPr>
              <w:jc w:val="center"/>
              <w:rPr>
                <w:bCs/>
                <w:szCs w:val="21"/>
              </w:rPr>
            </w:pPr>
            <w:r>
              <w:rPr>
                <w:rFonts w:hint="eastAsia"/>
                <w:bCs/>
                <w:szCs w:val="21"/>
              </w:rPr>
              <w:t>5</w:t>
            </w:r>
          </w:p>
        </w:tc>
      </w:tr>
      <w:tr w:rsidR="00EE4502">
        <w:trPr>
          <w:trHeight w:val="340"/>
        </w:trPr>
        <w:tc>
          <w:tcPr>
            <w:tcW w:w="859" w:type="pct"/>
            <w:vMerge/>
            <w:vAlign w:val="center"/>
          </w:tcPr>
          <w:p w:rsidR="00EE4502" w:rsidRDefault="00EE4502">
            <w:pPr>
              <w:jc w:val="center"/>
              <w:rPr>
                <w:bCs/>
                <w:szCs w:val="21"/>
              </w:rPr>
            </w:pPr>
          </w:p>
        </w:tc>
        <w:tc>
          <w:tcPr>
            <w:tcW w:w="441" w:type="pct"/>
            <w:vMerge/>
            <w:vAlign w:val="center"/>
          </w:tcPr>
          <w:p w:rsidR="00EE4502" w:rsidRDefault="00EE4502">
            <w:pPr>
              <w:jc w:val="center"/>
              <w:rPr>
                <w:bCs/>
                <w:szCs w:val="21"/>
              </w:rPr>
            </w:pPr>
          </w:p>
        </w:tc>
        <w:tc>
          <w:tcPr>
            <w:tcW w:w="960" w:type="pct"/>
            <w:vAlign w:val="center"/>
          </w:tcPr>
          <w:p w:rsidR="00EE4502" w:rsidRDefault="00FD45A3">
            <w:pPr>
              <w:jc w:val="center"/>
              <w:rPr>
                <w:bCs/>
                <w:szCs w:val="21"/>
              </w:rPr>
            </w:pPr>
            <w:r>
              <w:rPr>
                <w:bCs/>
                <w:szCs w:val="21"/>
              </w:rPr>
              <w:t>油井伴生气</w:t>
            </w:r>
          </w:p>
          <w:p w:rsidR="00EE4502" w:rsidRDefault="00FD45A3">
            <w:pPr>
              <w:jc w:val="center"/>
              <w:rPr>
                <w:bCs/>
                <w:szCs w:val="21"/>
              </w:rPr>
            </w:pPr>
            <w:r>
              <w:rPr>
                <w:bCs/>
                <w:szCs w:val="21"/>
              </w:rPr>
              <w:t>外排率</w:t>
            </w:r>
          </w:p>
        </w:tc>
        <w:tc>
          <w:tcPr>
            <w:tcW w:w="501" w:type="pct"/>
            <w:vAlign w:val="center"/>
          </w:tcPr>
          <w:p w:rsidR="00EE4502" w:rsidRDefault="00FD45A3">
            <w:pPr>
              <w:jc w:val="center"/>
              <w:rPr>
                <w:bCs/>
                <w:szCs w:val="21"/>
              </w:rPr>
            </w:pPr>
            <w:r>
              <w:rPr>
                <w:bCs/>
                <w:szCs w:val="21"/>
              </w:rPr>
              <w:t>%</w:t>
            </w:r>
          </w:p>
        </w:tc>
        <w:tc>
          <w:tcPr>
            <w:tcW w:w="472" w:type="pct"/>
            <w:vAlign w:val="center"/>
          </w:tcPr>
          <w:p w:rsidR="00EE4502" w:rsidRDefault="00FD45A3">
            <w:pPr>
              <w:jc w:val="center"/>
              <w:rPr>
                <w:bCs/>
                <w:szCs w:val="21"/>
              </w:rPr>
            </w:pPr>
            <w:r>
              <w:rPr>
                <w:rFonts w:hint="eastAsia"/>
                <w:bCs/>
                <w:szCs w:val="21"/>
              </w:rPr>
              <w:t>5</w:t>
            </w:r>
          </w:p>
        </w:tc>
        <w:tc>
          <w:tcPr>
            <w:tcW w:w="778" w:type="pct"/>
            <w:vAlign w:val="center"/>
          </w:tcPr>
          <w:p w:rsidR="00EE4502" w:rsidRDefault="00FD45A3">
            <w:pPr>
              <w:jc w:val="center"/>
              <w:rPr>
                <w:bCs/>
                <w:szCs w:val="21"/>
              </w:rPr>
            </w:pPr>
            <w:r>
              <w:rPr>
                <w:bCs/>
                <w:szCs w:val="21"/>
              </w:rPr>
              <w:t>≤20</w:t>
            </w:r>
          </w:p>
        </w:tc>
        <w:tc>
          <w:tcPr>
            <w:tcW w:w="556" w:type="pct"/>
            <w:vAlign w:val="center"/>
          </w:tcPr>
          <w:p w:rsidR="00EE4502" w:rsidRDefault="00FD45A3">
            <w:pPr>
              <w:jc w:val="center"/>
              <w:rPr>
                <w:bCs/>
                <w:szCs w:val="21"/>
              </w:rPr>
            </w:pPr>
            <w:r>
              <w:rPr>
                <w:bCs/>
                <w:szCs w:val="21"/>
              </w:rPr>
              <w:t>0</w:t>
            </w:r>
          </w:p>
        </w:tc>
        <w:tc>
          <w:tcPr>
            <w:tcW w:w="433" w:type="pct"/>
            <w:vAlign w:val="center"/>
          </w:tcPr>
          <w:p w:rsidR="00EE4502" w:rsidRDefault="00FD45A3">
            <w:pPr>
              <w:jc w:val="center"/>
              <w:rPr>
                <w:bCs/>
                <w:szCs w:val="21"/>
              </w:rPr>
            </w:pPr>
            <w:r>
              <w:rPr>
                <w:rFonts w:hint="eastAsia"/>
                <w:bCs/>
                <w:szCs w:val="21"/>
              </w:rPr>
              <w:t>5</w:t>
            </w:r>
          </w:p>
        </w:tc>
      </w:tr>
      <w:tr w:rsidR="00EE4502">
        <w:trPr>
          <w:trHeight w:val="340"/>
        </w:trPr>
        <w:tc>
          <w:tcPr>
            <w:tcW w:w="859" w:type="pct"/>
            <w:vMerge/>
            <w:vAlign w:val="center"/>
          </w:tcPr>
          <w:p w:rsidR="00EE4502" w:rsidRDefault="00EE4502">
            <w:pPr>
              <w:jc w:val="center"/>
              <w:rPr>
                <w:bCs/>
                <w:szCs w:val="21"/>
              </w:rPr>
            </w:pPr>
          </w:p>
        </w:tc>
        <w:tc>
          <w:tcPr>
            <w:tcW w:w="441" w:type="pct"/>
            <w:vMerge/>
            <w:vAlign w:val="center"/>
          </w:tcPr>
          <w:p w:rsidR="00EE4502" w:rsidRDefault="00EE4502">
            <w:pPr>
              <w:jc w:val="center"/>
              <w:rPr>
                <w:bCs/>
                <w:szCs w:val="21"/>
              </w:rPr>
            </w:pPr>
          </w:p>
        </w:tc>
        <w:tc>
          <w:tcPr>
            <w:tcW w:w="960" w:type="pct"/>
            <w:vAlign w:val="center"/>
          </w:tcPr>
          <w:p w:rsidR="00EE4502" w:rsidRDefault="00FD45A3">
            <w:pPr>
              <w:jc w:val="center"/>
              <w:rPr>
                <w:bCs/>
                <w:szCs w:val="21"/>
              </w:rPr>
            </w:pPr>
            <w:r>
              <w:rPr>
                <w:rFonts w:hint="eastAsia"/>
                <w:bCs/>
                <w:szCs w:val="21"/>
              </w:rPr>
              <w:t>采出废水达标排放率</w:t>
            </w:r>
          </w:p>
        </w:tc>
        <w:tc>
          <w:tcPr>
            <w:tcW w:w="501" w:type="pct"/>
            <w:vAlign w:val="center"/>
          </w:tcPr>
          <w:p w:rsidR="00EE4502" w:rsidRDefault="00FD45A3">
            <w:pPr>
              <w:jc w:val="center"/>
              <w:rPr>
                <w:bCs/>
                <w:szCs w:val="21"/>
              </w:rPr>
            </w:pPr>
            <w:r>
              <w:rPr>
                <w:rFonts w:hint="eastAsia"/>
                <w:bCs/>
                <w:szCs w:val="21"/>
              </w:rPr>
              <w:t>％</w:t>
            </w:r>
          </w:p>
        </w:tc>
        <w:tc>
          <w:tcPr>
            <w:tcW w:w="472" w:type="pct"/>
            <w:vAlign w:val="center"/>
          </w:tcPr>
          <w:p w:rsidR="00EE4502" w:rsidRDefault="00FD45A3">
            <w:pPr>
              <w:jc w:val="center"/>
              <w:rPr>
                <w:bCs/>
                <w:szCs w:val="21"/>
              </w:rPr>
            </w:pPr>
            <w:r>
              <w:rPr>
                <w:rFonts w:hint="eastAsia"/>
                <w:bCs/>
                <w:szCs w:val="21"/>
              </w:rPr>
              <w:t>5</w:t>
            </w:r>
          </w:p>
        </w:tc>
        <w:tc>
          <w:tcPr>
            <w:tcW w:w="778" w:type="pct"/>
            <w:vAlign w:val="center"/>
          </w:tcPr>
          <w:p w:rsidR="00EE4502" w:rsidRDefault="00FD45A3">
            <w:pPr>
              <w:jc w:val="center"/>
              <w:rPr>
                <w:bCs/>
                <w:szCs w:val="21"/>
              </w:rPr>
            </w:pPr>
            <w:r>
              <w:rPr>
                <w:rFonts w:hint="eastAsia"/>
                <w:bCs/>
                <w:szCs w:val="21"/>
              </w:rPr>
              <w:t>100</w:t>
            </w:r>
          </w:p>
        </w:tc>
        <w:tc>
          <w:tcPr>
            <w:tcW w:w="556" w:type="pct"/>
            <w:vAlign w:val="center"/>
          </w:tcPr>
          <w:p w:rsidR="00EE4502" w:rsidRDefault="00EE4502">
            <w:pPr>
              <w:jc w:val="center"/>
              <w:rPr>
                <w:bCs/>
                <w:szCs w:val="21"/>
              </w:rPr>
            </w:pPr>
          </w:p>
        </w:tc>
        <w:tc>
          <w:tcPr>
            <w:tcW w:w="433" w:type="pct"/>
            <w:vAlign w:val="center"/>
          </w:tcPr>
          <w:p w:rsidR="00EE4502" w:rsidRDefault="00FD45A3">
            <w:pPr>
              <w:jc w:val="center"/>
              <w:rPr>
                <w:bCs/>
                <w:szCs w:val="21"/>
              </w:rPr>
            </w:pPr>
            <w:r>
              <w:rPr>
                <w:rFonts w:hint="eastAsia"/>
                <w:bCs/>
                <w:szCs w:val="21"/>
              </w:rPr>
              <w:t>5</w:t>
            </w:r>
          </w:p>
        </w:tc>
      </w:tr>
      <w:tr w:rsidR="00EE4502">
        <w:trPr>
          <w:trHeight w:val="340"/>
        </w:trPr>
        <w:tc>
          <w:tcPr>
            <w:tcW w:w="5000" w:type="pct"/>
            <w:gridSpan w:val="8"/>
            <w:vAlign w:val="center"/>
          </w:tcPr>
          <w:p w:rsidR="00EE4502" w:rsidRDefault="00FD45A3">
            <w:pPr>
              <w:jc w:val="center"/>
              <w:rPr>
                <w:bCs/>
                <w:szCs w:val="21"/>
              </w:rPr>
            </w:pPr>
            <w:r>
              <w:rPr>
                <w:bCs/>
                <w:szCs w:val="21"/>
              </w:rPr>
              <w:t>定性指标</w:t>
            </w:r>
          </w:p>
        </w:tc>
      </w:tr>
      <w:tr w:rsidR="00EE4502">
        <w:trPr>
          <w:trHeight w:val="340"/>
        </w:trPr>
        <w:tc>
          <w:tcPr>
            <w:tcW w:w="859" w:type="pct"/>
            <w:vAlign w:val="center"/>
          </w:tcPr>
          <w:p w:rsidR="00EE4502" w:rsidRDefault="00FD45A3">
            <w:pPr>
              <w:jc w:val="center"/>
              <w:rPr>
                <w:bCs/>
                <w:szCs w:val="21"/>
              </w:rPr>
            </w:pPr>
            <w:r>
              <w:rPr>
                <w:bCs/>
                <w:szCs w:val="21"/>
              </w:rPr>
              <w:lastRenderedPageBreak/>
              <w:t>一级指标</w:t>
            </w:r>
          </w:p>
        </w:tc>
        <w:tc>
          <w:tcPr>
            <w:tcW w:w="441" w:type="pct"/>
            <w:vAlign w:val="center"/>
          </w:tcPr>
          <w:p w:rsidR="00EE4502" w:rsidRDefault="00FD45A3">
            <w:pPr>
              <w:jc w:val="center"/>
              <w:rPr>
                <w:bCs/>
                <w:szCs w:val="21"/>
              </w:rPr>
            </w:pPr>
            <w:r>
              <w:rPr>
                <w:bCs/>
                <w:szCs w:val="21"/>
              </w:rPr>
              <w:t>权重值</w:t>
            </w:r>
          </w:p>
        </w:tc>
        <w:tc>
          <w:tcPr>
            <w:tcW w:w="2711" w:type="pct"/>
            <w:gridSpan w:val="4"/>
            <w:vAlign w:val="center"/>
          </w:tcPr>
          <w:p w:rsidR="00EE4502" w:rsidRDefault="00FD45A3">
            <w:pPr>
              <w:jc w:val="center"/>
              <w:rPr>
                <w:bCs/>
                <w:szCs w:val="21"/>
              </w:rPr>
            </w:pPr>
            <w:r>
              <w:rPr>
                <w:bCs/>
                <w:szCs w:val="21"/>
              </w:rPr>
              <w:t>二级指标</w:t>
            </w:r>
          </w:p>
        </w:tc>
        <w:tc>
          <w:tcPr>
            <w:tcW w:w="556" w:type="pct"/>
            <w:vAlign w:val="center"/>
          </w:tcPr>
          <w:p w:rsidR="00EE4502" w:rsidRDefault="00FD45A3">
            <w:pPr>
              <w:jc w:val="center"/>
              <w:rPr>
                <w:bCs/>
                <w:szCs w:val="21"/>
              </w:rPr>
            </w:pPr>
            <w:r>
              <w:rPr>
                <w:bCs/>
                <w:szCs w:val="21"/>
              </w:rPr>
              <w:t>指标分值</w:t>
            </w:r>
          </w:p>
        </w:tc>
        <w:tc>
          <w:tcPr>
            <w:tcW w:w="433" w:type="pct"/>
            <w:vAlign w:val="center"/>
          </w:tcPr>
          <w:p w:rsidR="00EE4502" w:rsidRDefault="00FD45A3">
            <w:pPr>
              <w:jc w:val="center"/>
              <w:rPr>
                <w:bCs/>
                <w:szCs w:val="21"/>
              </w:rPr>
            </w:pPr>
            <w:r>
              <w:rPr>
                <w:bCs/>
                <w:szCs w:val="21"/>
              </w:rPr>
              <w:t>得分</w:t>
            </w:r>
          </w:p>
        </w:tc>
      </w:tr>
      <w:tr w:rsidR="00EE4502">
        <w:trPr>
          <w:trHeight w:val="340"/>
        </w:trPr>
        <w:tc>
          <w:tcPr>
            <w:tcW w:w="859" w:type="pct"/>
            <w:vAlign w:val="center"/>
          </w:tcPr>
          <w:p w:rsidR="00EE4502" w:rsidRDefault="00FD45A3">
            <w:pPr>
              <w:jc w:val="center"/>
              <w:rPr>
                <w:bCs/>
                <w:szCs w:val="21"/>
              </w:rPr>
            </w:pPr>
            <w:r>
              <w:rPr>
                <w:bCs/>
                <w:szCs w:val="21"/>
              </w:rPr>
              <w:t>（</w:t>
            </w:r>
            <w:r>
              <w:rPr>
                <w:bCs/>
                <w:szCs w:val="21"/>
              </w:rPr>
              <w:t>1</w:t>
            </w:r>
            <w:r>
              <w:rPr>
                <w:bCs/>
                <w:szCs w:val="21"/>
              </w:rPr>
              <w:t>）</w:t>
            </w:r>
            <w:r>
              <w:rPr>
                <w:rFonts w:hint="eastAsia"/>
                <w:bCs/>
                <w:szCs w:val="21"/>
              </w:rPr>
              <w:t>原辅材料</w:t>
            </w:r>
          </w:p>
        </w:tc>
        <w:tc>
          <w:tcPr>
            <w:tcW w:w="441" w:type="pct"/>
            <w:vAlign w:val="center"/>
          </w:tcPr>
          <w:p w:rsidR="00EE4502" w:rsidRDefault="00FD45A3">
            <w:pPr>
              <w:jc w:val="center"/>
              <w:rPr>
                <w:bCs/>
                <w:szCs w:val="21"/>
              </w:rPr>
            </w:pPr>
            <w:r>
              <w:rPr>
                <w:rFonts w:hint="eastAsia"/>
                <w:bCs/>
                <w:szCs w:val="21"/>
              </w:rPr>
              <w:t>15</w:t>
            </w:r>
          </w:p>
        </w:tc>
        <w:tc>
          <w:tcPr>
            <w:tcW w:w="2711" w:type="pct"/>
            <w:gridSpan w:val="4"/>
            <w:vAlign w:val="center"/>
          </w:tcPr>
          <w:p w:rsidR="00EE4502" w:rsidRDefault="00FD45A3">
            <w:pPr>
              <w:jc w:val="center"/>
              <w:rPr>
                <w:bCs/>
                <w:szCs w:val="21"/>
              </w:rPr>
            </w:pPr>
            <w:r>
              <w:rPr>
                <w:rFonts w:hint="eastAsia"/>
                <w:bCs/>
                <w:szCs w:val="21"/>
              </w:rPr>
              <w:t>注水水质</w:t>
            </w:r>
          </w:p>
        </w:tc>
        <w:tc>
          <w:tcPr>
            <w:tcW w:w="556" w:type="pct"/>
            <w:vAlign w:val="center"/>
          </w:tcPr>
          <w:p w:rsidR="00EE4502" w:rsidRDefault="00FD45A3">
            <w:pPr>
              <w:jc w:val="center"/>
              <w:rPr>
                <w:bCs/>
                <w:szCs w:val="21"/>
              </w:rPr>
            </w:pPr>
            <w:r>
              <w:rPr>
                <w:rFonts w:hint="eastAsia"/>
                <w:bCs/>
                <w:szCs w:val="21"/>
              </w:rPr>
              <w:t>10</w:t>
            </w:r>
          </w:p>
        </w:tc>
        <w:tc>
          <w:tcPr>
            <w:tcW w:w="433" w:type="pct"/>
            <w:vAlign w:val="center"/>
          </w:tcPr>
          <w:p w:rsidR="00EE4502" w:rsidRDefault="00FD45A3">
            <w:pPr>
              <w:jc w:val="center"/>
              <w:rPr>
                <w:bCs/>
                <w:szCs w:val="21"/>
              </w:rPr>
            </w:pPr>
            <w:r>
              <w:rPr>
                <w:rFonts w:hint="eastAsia"/>
                <w:bCs/>
                <w:szCs w:val="21"/>
              </w:rPr>
              <w:t>10</w:t>
            </w:r>
          </w:p>
        </w:tc>
      </w:tr>
      <w:tr w:rsidR="00EE4502">
        <w:trPr>
          <w:trHeight w:val="340"/>
        </w:trPr>
        <w:tc>
          <w:tcPr>
            <w:tcW w:w="859" w:type="pct"/>
            <w:vMerge w:val="restart"/>
            <w:vAlign w:val="center"/>
          </w:tcPr>
          <w:p w:rsidR="00EE4502" w:rsidRDefault="00FD45A3">
            <w:pPr>
              <w:jc w:val="center"/>
              <w:rPr>
                <w:bCs/>
                <w:szCs w:val="21"/>
              </w:rPr>
            </w:pPr>
            <w:r>
              <w:rPr>
                <w:bCs/>
                <w:szCs w:val="21"/>
              </w:rPr>
              <w:t>（</w:t>
            </w:r>
            <w:r>
              <w:rPr>
                <w:rFonts w:hint="eastAsia"/>
                <w:bCs/>
                <w:szCs w:val="21"/>
              </w:rPr>
              <w:t>2</w:t>
            </w:r>
            <w:r>
              <w:rPr>
                <w:bCs/>
                <w:szCs w:val="21"/>
              </w:rPr>
              <w:t>）生产工艺及设备要求</w:t>
            </w:r>
          </w:p>
        </w:tc>
        <w:tc>
          <w:tcPr>
            <w:tcW w:w="441" w:type="pct"/>
            <w:vMerge w:val="restart"/>
            <w:vAlign w:val="center"/>
          </w:tcPr>
          <w:p w:rsidR="00EE4502" w:rsidRDefault="00FD45A3">
            <w:pPr>
              <w:jc w:val="center"/>
              <w:rPr>
                <w:bCs/>
                <w:szCs w:val="21"/>
              </w:rPr>
            </w:pPr>
            <w:r>
              <w:rPr>
                <w:rFonts w:hint="eastAsia"/>
                <w:bCs/>
                <w:szCs w:val="21"/>
              </w:rPr>
              <w:t>3</w:t>
            </w:r>
            <w:r>
              <w:rPr>
                <w:bCs/>
                <w:szCs w:val="21"/>
              </w:rPr>
              <w:t>5</w:t>
            </w:r>
          </w:p>
        </w:tc>
        <w:tc>
          <w:tcPr>
            <w:tcW w:w="960" w:type="pct"/>
            <w:vAlign w:val="center"/>
          </w:tcPr>
          <w:p w:rsidR="00EE4502" w:rsidRDefault="00FD45A3">
            <w:pPr>
              <w:jc w:val="center"/>
              <w:rPr>
                <w:bCs/>
                <w:szCs w:val="21"/>
              </w:rPr>
            </w:pPr>
            <w:r>
              <w:rPr>
                <w:bCs/>
                <w:szCs w:val="21"/>
              </w:rPr>
              <w:t>井筒质量</w:t>
            </w:r>
          </w:p>
        </w:tc>
        <w:tc>
          <w:tcPr>
            <w:tcW w:w="1751" w:type="pct"/>
            <w:gridSpan w:val="3"/>
            <w:vAlign w:val="center"/>
          </w:tcPr>
          <w:p w:rsidR="00EE4502" w:rsidRDefault="00FD45A3">
            <w:pPr>
              <w:jc w:val="center"/>
              <w:rPr>
                <w:bCs/>
                <w:szCs w:val="21"/>
              </w:rPr>
            </w:pPr>
            <w:r>
              <w:rPr>
                <w:bCs/>
                <w:szCs w:val="21"/>
              </w:rPr>
              <w:t>井筒设施完好</w:t>
            </w:r>
          </w:p>
        </w:tc>
        <w:tc>
          <w:tcPr>
            <w:tcW w:w="556" w:type="pct"/>
            <w:vAlign w:val="center"/>
          </w:tcPr>
          <w:p w:rsidR="00EE4502" w:rsidRDefault="00FD45A3">
            <w:pPr>
              <w:jc w:val="center"/>
              <w:rPr>
                <w:bCs/>
                <w:kern w:val="0"/>
                <w:szCs w:val="21"/>
              </w:rPr>
            </w:pPr>
            <w:r>
              <w:rPr>
                <w:rFonts w:hint="eastAsia"/>
                <w:bCs/>
                <w:kern w:val="0"/>
                <w:szCs w:val="21"/>
              </w:rPr>
              <w:t>5</w:t>
            </w:r>
          </w:p>
        </w:tc>
        <w:tc>
          <w:tcPr>
            <w:tcW w:w="433" w:type="pct"/>
            <w:vAlign w:val="center"/>
          </w:tcPr>
          <w:p w:rsidR="00EE4502" w:rsidRDefault="00FD45A3">
            <w:pPr>
              <w:jc w:val="center"/>
              <w:rPr>
                <w:bCs/>
                <w:kern w:val="0"/>
                <w:szCs w:val="21"/>
              </w:rPr>
            </w:pPr>
            <w:r>
              <w:rPr>
                <w:rFonts w:hint="eastAsia"/>
                <w:bCs/>
                <w:kern w:val="0"/>
                <w:szCs w:val="21"/>
              </w:rPr>
              <w:t>5</w:t>
            </w:r>
          </w:p>
        </w:tc>
      </w:tr>
      <w:tr w:rsidR="00EE4502">
        <w:trPr>
          <w:trHeight w:val="340"/>
        </w:trPr>
        <w:tc>
          <w:tcPr>
            <w:tcW w:w="859" w:type="pct"/>
            <w:vMerge/>
            <w:vAlign w:val="center"/>
          </w:tcPr>
          <w:p w:rsidR="00EE4502" w:rsidRDefault="00EE4502">
            <w:pPr>
              <w:jc w:val="center"/>
              <w:rPr>
                <w:bCs/>
                <w:szCs w:val="21"/>
              </w:rPr>
            </w:pPr>
          </w:p>
        </w:tc>
        <w:tc>
          <w:tcPr>
            <w:tcW w:w="441" w:type="pct"/>
            <w:vMerge/>
            <w:vAlign w:val="center"/>
          </w:tcPr>
          <w:p w:rsidR="00EE4502" w:rsidRDefault="00EE4502">
            <w:pPr>
              <w:jc w:val="center"/>
              <w:rPr>
                <w:bCs/>
                <w:szCs w:val="21"/>
              </w:rPr>
            </w:pPr>
          </w:p>
        </w:tc>
        <w:tc>
          <w:tcPr>
            <w:tcW w:w="960" w:type="pct"/>
            <w:vAlign w:val="center"/>
          </w:tcPr>
          <w:p w:rsidR="00EE4502" w:rsidRDefault="00FD45A3">
            <w:pPr>
              <w:jc w:val="center"/>
              <w:rPr>
                <w:bCs/>
                <w:szCs w:val="21"/>
              </w:rPr>
            </w:pPr>
            <w:r>
              <w:rPr>
                <w:bCs/>
                <w:szCs w:val="21"/>
              </w:rPr>
              <w:t>采气过程醇回收设施</w:t>
            </w:r>
          </w:p>
        </w:tc>
        <w:tc>
          <w:tcPr>
            <w:tcW w:w="1751" w:type="pct"/>
            <w:gridSpan w:val="3"/>
            <w:vAlign w:val="center"/>
          </w:tcPr>
          <w:p w:rsidR="00EE4502" w:rsidRDefault="00FD45A3">
            <w:pPr>
              <w:jc w:val="center"/>
              <w:rPr>
                <w:bCs/>
                <w:szCs w:val="21"/>
              </w:rPr>
            </w:pPr>
            <w:r>
              <w:rPr>
                <w:bCs/>
                <w:szCs w:val="21"/>
              </w:rPr>
              <w:t>套管气回收装置</w:t>
            </w:r>
          </w:p>
        </w:tc>
        <w:tc>
          <w:tcPr>
            <w:tcW w:w="556" w:type="pct"/>
            <w:vAlign w:val="center"/>
          </w:tcPr>
          <w:p w:rsidR="00EE4502" w:rsidRDefault="00FD45A3">
            <w:pPr>
              <w:jc w:val="center"/>
              <w:rPr>
                <w:bCs/>
                <w:szCs w:val="21"/>
              </w:rPr>
            </w:pPr>
            <w:r>
              <w:rPr>
                <w:rFonts w:hint="eastAsia"/>
                <w:bCs/>
                <w:szCs w:val="21"/>
              </w:rPr>
              <w:t>5</w:t>
            </w:r>
          </w:p>
        </w:tc>
        <w:tc>
          <w:tcPr>
            <w:tcW w:w="433" w:type="pct"/>
            <w:vAlign w:val="center"/>
          </w:tcPr>
          <w:p w:rsidR="00EE4502" w:rsidRDefault="00FD45A3">
            <w:pPr>
              <w:jc w:val="center"/>
              <w:rPr>
                <w:bCs/>
                <w:szCs w:val="21"/>
              </w:rPr>
            </w:pPr>
            <w:r>
              <w:rPr>
                <w:rFonts w:hint="eastAsia"/>
                <w:bCs/>
                <w:szCs w:val="21"/>
              </w:rPr>
              <w:t>5</w:t>
            </w:r>
          </w:p>
        </w:tc>
      </w:tr>
      <w:tr w:rsidR="00EE4502">
        <w:trPr>
          <w:trHeight w:val="340"/>
        </w:trPr>
        <w:tc>
          <w:tcPr>
            <w:tcW w:w="859" w:type="pct"/>
            <w:vMerge/>
            <w:vAlign w:val="center"/>
          </w:tcPr>
          <w:p w:rsidR="00EE4502" w:rsidRDefault="00EE4502">
            <w:pPr>
              <w:jc w:val="center"/>
              <w:rPr>
                <w:bCs/>
                <w:szCs w:val="21"/>
              </w:rPr>
            </w:pPr>
          </w:p>
        </w:tc>
        <w:tc>
          <w:tcPr>
            <w:tcW w:w="441" w:type="pct"/>
            <w:vMerge/>
            <w:vAlign w:val="center"/>
          </w:tcPr>
          <w:p w:rsidR="00EE4502" w:rsidRDefault="00EE4502">
            <w:pPr>
              <w:jc w:val="center"/>
              <w:rPr>
                <w:bCs/>
                <w:szCs w:val="21"/>
              </w:rPr>
            </w:pPr>
          </w:p>
        </w:tc>
        <w:tc>
          <w:tcPr>
            <w:tcW w:w="960" w:type="pct"/>
            <w:vAlign w:val="center"/>
          </w:tcPr>
          <w:p w:rsidR="00EE4502" w:rsidRDefault="00FD45A3">
            <w:pPr>
              <w:jc w:val="center"/>
              <w:rPr>
                <w:bCs/>
                <w:szCs w:val="21"/>
              </w:rPr>
            </w:pPr>
            <w:r>
              <w:rPr>
                <w:bCs/>
                <w:szCs w:val="21"/>
              </w:rPr>
              <w:t>天然气净化设施</w:t>
            </w:r>
          </w:p>
        </w:tc>
        <w:tc>
          <w:tcPr>
            <w:tcW w:w="1751" w:type="pct"/>
            <w:gridSpan w:val="3"/>
            <w:vAlign w:val="center"/>
          </w:tcPr>
          <w:p w:rsidR="00EE4502" w:rsidRDefault="00FD45A3">
            <w:pPr>
              <w:jc w:val="center"/>
              <w:rPr>
                <w:bCs/>
                <w:szCs w:val="21"/>
              </w:rPr>
            </w:pPr>
            <w:r>
              <w:rPr>
                <w:bCs/>
                <w:szCs w:val="21"/>
              </w:rPr>
              <w:t>防止落地原油产生措施</w:t>
            </w:r>
          </w:p>
        </w:tc>
        <w:tc>
          <w:tcPr>
            <w:tcW w:w="556" w:type="pct"/>
            <w:vAlign w:val="center"/>
          </w:tcPr>
          <w:p w:rsidR="00EE4502" w:rsidRDefault="00FD45A3">
            <w:pPr>
              <w:jc w:val="center"/>
              <w:rPr>
                <w:bCs/>
                <w:szCs w:val="21"/>
              </w:rPr>
            </w:pPr>
            <w:r>
              <w:rPr>
                <w:rFonts w:hint="eastAsia"/>
                <w:bCs/>
                <w:szCs w:val="21"/>
              </w:rPr>
              <w:t>5</w:t>
            </w:r>
          </w:p>
        </w:tc>
        <w:tc>
          <w:tcPr>
            <w:tcW w:w="433" w:type="pct"/>
            <w:vAlign w:val="center"/>
          </w:tcPr>
          <w:p w:rsidR="00EE4502" w:rsidRDefault="00FD45A3">
            <w:pPr>
              <w:jc w:val="center"/>
              <w:rPr>
                <w:bCs/>
                <w:szCs w:val="21"/>
              </w:rPr>
            </w:pPr>
            <w:r>
              <w:rPr>
                <w:rFonts w:hint="eastAsia"/>
                <w:bCs/>
                <w:szCs w:val="21"/>
              </w:rPr>
              <w:t>5</w:t>
            </w:r>
          </w:p>
        </w:tc>
      </w:tr>
      <w:tr w:rsidR="00EE4502">
        <w:trPr>
          <w:trHeight w:val="340"/>
        </w:trPr>
        <w:tc>
          <w:tcPr>
            <w:tcW w:w="859" w:type="pct"/>
            <w:vMerge/>
            <w:vAlign w:val="center"/>
          </w:tcPr>
          <w:p w:rsidR="00EE4502" w:rsidRDefault="00EE4502">
            <w:pPr>
              <w:jc w:val="center"/>
              <w:rPr>
                <w:bCs/>
                <w:szCs w:val="21"/>
              </w:rPr>
            </w:pPr>
          </w:p>
        </w:tc>
        <w:tc>
          <w:tcPr>
            <w:tcW w:w="441" w:type="pct"/>
            <w:vMerge/>
            <w:vAlign w:val="center"/>
          </w:tcPr>
          <w:p w:rsidR="00EE4502" w:rsidRDefault="00EE4502">
            <w:pPr>
              <w:jc w:val="center"/>
              <w:rPr>
                <w:bCs/>
                <w:szCs w:val="21"/>
              </w:rPr>
            </w:pPr>
          </w:p>
        </w:tc>
        <w:tc>
          <w:tcPr>
            <w:tcW w:w="960" w:type="pct"/>
            <w:vAlign w:val="center"/>
          </w:tcPr>
          <w:p w:rsidR="00EE4502" w:rsidRDefault="00FD45A3">
            <w:pPr>
              <w:jc w:val="center"/>
              <w:rPr>
                <w:bCs/>
                <w:szCs w:val="21"/>
              </w:rPr>
            </w:pPr>
            <w:r>
              <w:rPr>
                <w:bCs/>
                <w:szCs w:val="21"/>
              </w:rPr>
              <w:t>集输流程</w:t>
            </w:r>
          </w:p>
        </w:tc>
        <w:tc>
          <w:tcPr>
            <w:tcW w:w="1751" w:type="pct"/>
            <w:gridSpan w:val="3"/>
            <w:vAlign w:val="center"/>
          </w:tcPr>
          <w:p w:rsidR="00EE4502" w:rsidRDefault="00FD45A3">
            <w:pPr>
              <w:jc w:val="center"/>
              <w:rPr>
                <w:bCs/>
                <w:szCs w:val="21"/>
              </w:rPr>
            </w:pPr>
            <w:r>
              <w:rPr>
                <w:bCs/>
                <w:szCs w:val="21"/>
              </w:rPr>
              <w:t>全密闭流程</w:t>
            </w:r>
          </w:p>
          <w:p w:rsidR="00EE4502" w:rsidRDefault="00FD45A3">
            <w:pPr>
              <w:jc w:val="center"/>
              <w:rPr>
                <w:bCs/>
                <w:szCs w:val="21"/>
              </w:rPr>
            </w:pPr>
            <w:r>
              <w:rPr>
                <w:bCs/>
                <w:szCs w:val="21"/>
              </w:rPr>
              <w:t>并具有油气回收装置</w:t>
            </w:r>
          </w:p>
        </w:tc>
        <w:tc>
          <w:tcPr>
            <w:tcW w:w="556" w:type="pct"/>
            <w:vAlign w:val="center"/>
          </w:tcPr>
          <w:p w:rsidR="00EE4502" w:rsidRDefault="00FD45A3">
            <w:pPr>
              <w:jc w:val="center"/>
              <w:rPr>
                <w:bCs/>
                <w:szCs w:val="21"/>
              </w:rPr>
            </w:pPr>
            <w:r>
              <w:rPr>
                <w:rFonts w:hint="eastAsia"/>
                <w:bCs/>
                <w:szCs w:val="21"/>
              </w:rPr>
              <w:t>5</w:t>
            </w:r>
          </w:p>
        </w:tc>
        <w:tc>
          <w:tcPr>
            <w:tcW w:w="433" w:type="pct"/>
            <w:vAlign w:val="center"/>
          </w:tcPr>
          <w:p w:rsidR="00EE4502" w:rsidRDefault="00FD45A3">
            <w:pPr>
              <w:jc w:val="center"/>
              <w:rPr>
                <w:bCs/>
                <w:szCs w:val="21"/>
              </w:rPr>
            </w:pPr>
            <w:r>
              <w:rPr>
                <w:rFonts w:hint="eastAsia"/>
                <w:bCs/>
                <w:szCs w:val="21"/>
              </w:rPr>
              <w:t>5</w:t>
            </w:r>
          </w:p>
        </w:tc>
      </w:tr>
      <w:tr w:rsidR="00EE4502">
        <w:trPr>
          <w:trHeight w:val="340"/>
        </w:trPr>
        <w:tc>
          <w:tcPr>
            <w:tcW w:w="859" w:type="pct"/>
            <w:vMerge/>
            <w:vAlign w:val="center"/>
          </w:tcPr>
          <w:p w:rsidR="00EE4502" w:rsidRDefault="00EE4502">
            <w:pPr>
              <w:jc w:val="center"/>
              <w:rPr>
                <w:bCs/>
                <w:szCs w:val="21"/>
              </w:rPr>
            </w:pPr>
          </w:p>
        </w:tc>
        <w:tc>
          <w:tcPr>
            <w:tcW w:w="441" w:type="pct"/>
            <w:vMerge/>
            <w:vAlign w:val="center"/>
          </w:tcPr>
          <w:p w:rsidR="00EE4502" w:rsidRDefault="00EE4502">
            <w:pPr>
              <w:jc w:val="center"/>
              <w:rPr>
                <w:bCs/>
                <w:szCs w:val="21"/>
              </w:rPr>
            </w:pPr>
          </w:p>
        </w:tc>
        <w:tc>
          <w:tcPr>
            <w:tcW w:w="960" w:type="pct"/>
            <w:vAlign w:val="center"/>
          </w:tcPr>
          <w:p w:rsidR="00EE4502" w:rsidRDefault="00FD45A3">
            <w:pPr>
              <w:jc w:val="center"/>
              <w:rPr>
                <w:bCs/>
                <w:szCs w:val="21"/>
              </w:rPr>
            </w:pPr>
            <w:r>
              <w:rPr>
                <w:bCs/>
                <w:szCs w:val="21"/>
              </w:rPr>
              <w:t>采油方式</w:t>
            </w:r>
          </w:p>
        </w:tc>
        <w:tc>
          <w:tcPr>
            <w:tcW w:w="1751" w:type="pct"/>
            <w:gridSpan w:val="3"/>
            <w:vAlign w:val="center"/>
          </w:tcPr>
          <w:p w:rsidR="00EE4502" w:rsidRDefault="00FD45A3">
            <w:pPr>
              <w:jc w:val="center"/>
              <w:rPr>
                <w:bCs/>
                <w:szCs w:val="21"/>
              </w:rPr>
            </w:pPr>
            <w:r>
              <w:rPr>
                <w:bCs/>
                <w:szCs w:val="21"/>
              </w:rPr>
              <w:t>采油方式经过综合评价确定</w:t>
            </w:r>
          </w:p>
        </w:tc>
        <w:tc>
          <w:tcPr>
            <w:tcW w:w="556" w:type="pct"/>
            <w:vAlign w:val="center"/>
          </w:tcPr>
          <w:p w:rsidR="00EE4502" w:rsidRDefault="00FD45A3">
            <w:pPr>
              <w:jc w:val="center"/>
              <w:rPr>
                <w:bCs/>
                <w:szCs w:val="21"/>
              </w:rPr>
            </w:pPr>
            <w:r>
              <w:rPr>
                <w:rFonts w:hint="eastAsia"/>
                <w:bCs/>
                <w:szCs w:val="21"/>
              </w:rPr>
              <w:t>5</w:t>
            </w:r>
          </w:p>
        </w:tc>
        <w:tc>
          <w:tcPr>
            <w:tcW w:w="433" w:type="pct"/>
            <w:vAlign w:val="center"/>
          </w:tcPr>
          <w:p w:rsidR="00EE4502" w:rsidRDefault="00FD45A3">
            <w:pPr>
              <w:jc w:val="center"/>
              <w:rPr>
                <w:bCs/>
                <w:szCs w:val="21"/>
              </w:rPr>
            </w:pPr>
            <w:r>
              <w:rPr>
                <w:rFonts w:hint="eastAsia"/>
                <w:bCs/>
                <w:szCs w:val="21"/>
              </w:rPr>
              <w:t>5</w:t>
            </w:r>
          </w:p>
        </w:tc>
      </w:tr>
      <w:tr w:rsidR="00EE4502">
        <w:trPr>
          <w:trHeight w:val="340"/>
        </w:trPr>
        <w:tc>
          <w:tcPr>
            <w:tcW w:w="859" w:type="pct"/>
            <w:vMerge/>
            <w:vAlign w:val="center"/>
          </w:tcPr>
          <w:p w:rsidR="00EE4502" w:rsidRDefault="00EE4502">
            <w:pPr>
              <w:jc w:val="center"/>
              <w:rPr>
                <w:bCs/>
                <w:szCs w:val="21"/>
              </w:rPr>
            </w:pPr>
          </w:p>
        </w:tc>
        <w:tc>
          <w:tcPr>
            <w:tcW w:w="441" w:type="pct"/>
            <w:vMerge/>
            <w:vAlign w:val="center"/>
          </w:tcPr>
          <w:p w:rsidR="00EE4502" w:rsidRDefault="00EE4502">
            <w:pPr>
              <w:jc w:val="center"/>
              <w:rPr>
                <w:bCs/>
                <w:szCs w:val="21"/>
              </w:rPr>
            </w:pPr>
          </w:p>
        </w:tc>
        <w:tc>
          <w:tcPr>
            <w:tcW w:w="960" w:type="pct"/>
            <w:vAlign w:val="center"/>
          </w:tcPr>
          <w:p w:rsidR="00EE4502" w:rsidRDefault="00FD45A3">
            <w:pPr>
              <w:jc w:val="center"/>
              <w:rPr>
                <w:bCs/>
                <w:szCs w:val="21"/>
              </w:rPr>
            </w:pPr>
            <w:r>
              <w:rPr>
                <w:rFonts w:hint="eastAsia"/>
                <w:bCs/>
                <w:szCs w:val="21"/>
              </w:rPr>
              <w:t>套管气回收装置</w:t>
            </w:r>
          </w:p>
        </w:tc>
        <w:tc>
          <w:tcPr>
            <w:tcW w:w="1751" w:type="pct"/>
            <w:gridSpan w:val="3"/>
            <w:vAlign w:val="center"/>
          </w:tcPr>
          <w:p w:rsidR="00EE4502" w:rsidRDefault="00FD45A3">
            <w:pPr>
              <w:jc w:val="center"/>
              <w:rPr>
                <w:bCs/>
                <w:szCs w:val="21"/>
              </w:rPr>
            </w:pPr>
            <w:r>
              <w:rPr>
                <w:rFonts w:hint="eastAsia"/>
                <w:bCs/>
                <w:szCs w:val="21"/>
              </w:rPr>
              <w:t>套管气回收装置</w:t>
            </w:r>
          </w:p>
        </w:tc>
        <w:tc>
          <w:tcPr>
            <w:tcW w:w="556" w:type="pct"/>
            <w:vAlign w:val="center"/>
          </w:tcPr>
          <w:p w:rsidR="00EE4502" w:rsidRDefault="00FD45A3">
            <w:pPr>
              <w:jc w:val="center"/>
              <w:rPr>
                <w:bCs/>
                <w:szCs w:val="21"/>
              </w:rPr>
            </w:pPr>
            <w:r>
              <w:rPr>
                <w:rFonts w:hint="eastAsia"/>
                <w:bCs/>
                <w:szCs w:val="21"/>
              </w:rPr>
              <w:t>5</w:t>
            </w:r>
          </w:p>
        </w:tc>
        <w:tc>
          <w:tcPr>
            <w:tcW w:w="433" w:type="pct"/>
            <w:vAlign w:val="center"/>
          </w:tcPr>
          <w:p w:rsidR="00EE4502" w:rsidRDefault="00FD45A3">
            <w:pPr>
              <w:jc w:val="center"/>
              <w:rPr>
                <w:bCs/>
                <w:szCs w:val="21"/>
              </w:rPr>
            </w:pPr>
            <w:r>
              <w:rPr>
                <w:rFonts w:hint="eastAsia"/>
                <w:bCs/>
                <w:szCs w:val="21"/>
              </w:rPr>
              <w:t>5</w:t>
            </w:r>
          </w:p>
        </w:tc>
      </w:tr>
      <w:tr w:rsidR="00EE4502">
        <w:trPr>
          <w:trHeight w:val="340"/>
        </w:trPr>
        <w:tc>
          <w:tcPr>
            <w:tcW w:w="859" w:type="pct"/>
            <w:vMerge/>
            <w:vAlign w:val="center"/>
          </w:tcPr>
          <w:p w:rsidR="00EE4502" w:rsidRDefault="00EE4502">
            <w:pPr>
              <w:jc w:val="center"/>
              <w:rPr>
                <w:bCs/>
                <w:szCs w:val="21"/>
              </w:rPr>
            </w:pPr>
          </w:p>
        </w:tc>
        <w:tc>
          <w:tcPr>
            <w:tcW w:w="441" w:type="pct"/>
            <w:vMerge/>
            <w:vAlign w:val="center"/>
          </w:tcPr>
          <w:p w:rsidR="00EE4502" w:rsidRDefault="00EE4502">
            <w:pPr>
              <w:jc w:val="center"/>
              <w:rPr>
                <w:bCs/>
                <w:szCs w:val="21"/>
              </w:rPr>
            </w:pPr>
          </w:p>
        </w:tc>
        <w:tc>
          <w:tcPr>
            <w:tcW w:w="960" w:type="pct"/>
            <w:vAlign w:val="center"/>
          </w:tcPr>
          <w:p w:rsidR="00EE4502" w:rsidRDefault="00FD45A3">
            <w:pPr>
              <w:jc w:val="center"/>
              <w:rPr>
                <w:bCs/>
                <w:szCs w:val="21"/>
              </w:rPr>
            </w:pPr>
            <w:r>
              <w:rPr>
                <w:rFonts w:hint="eastAsia"/>
                <w:bCs/>
                <w:szCs w:val="21"/>
              </w:rPr>
              <w:t>防止落地原油产生措施</w:t>
            </w:r>
          </w:p>
        </w:tc>
        <w:tc>
          <w:tcPr>
            <w:tcW w:w="1751" w:type="pct"/>
            <w:gridSpan w:val="3"/>
            <w:vAlign w:val="center"/>
          </w:tcPr>
          <w:p w:rsidR="00EE4502" w:rsidRDefault="00FD45A3">
            <w:pPr>
              <w:jc w:val="center"/>
              <w:rPr>
                <w:bCs/>
                <w:szCs w:val="21"/>
              </w:rPr>
            </w:pPr>
            <w:r>
              <w:rPr>
                <w:rFonts w:hint="eastAsia"/>
                <w:bCs/>
                <w:szCs w:val="21"/>
              </w:rPr>
              <w:t>防止落地原油产生措施</w:t>
            </w:r>
          </w:p>
        </w:tc>
        <w:tc>
          <w:tcPr>
            <w:tcW w:w="556" w:type="pct"/>
            <w:vAlign w:val="center"/>
          </w:tcPr>
          <w:p w:rsidR="00EE4502" w:rsidRDefault="00FD45A3">
            <w:pPr>
              <w:jc w:val="center"/>
              <w:rPr>
                <w:bCs/>
                <w:szCs w:val="21"/>
              </w:rPr>
            </w:pPr>
            <w:r>
              <w:rPr>
                <w:rFonts w:hint="eastAsia"/>
                <w:bCs/>
                <w:szCs w:val="21"/>
              </w:rPr>
              <w:t>5</w:t>
            </w:r>
          </w:p>
        </w:tc>
        <w:tc>
          <w:tcPr>
            <w:tcW w:w="433" w:type="pct"/>
            <w:vAlign w:val="center"/>
          </w:tcPr>
          <w:p w:rsidR="00EE4502" w:rsidRDefault="00FD45A3">
            <w:pPr>
              <w:jc w:val="center"/>
              <w:rPr>
                <w:bCs/>
                <w:szCs w:val="21"/>
              </w:rPr>
            </w:pPr>
            <w:r>
              <w:rPr>
                <w:rFonts w:hint="eastAsia"/>
                <w:bCs/>
                <w:szCs w:val="21"/>
              </w:rPr>
              <w:t>5</w:t>
            </w:r>
          </w:p>
        </w:tc>
      </w:tr>
      <w:tr w:rsidR="00EE4502">
        <w:trPr>
          <w:trHeight w:val="340"/>
        </w:trPr>
        <w:tc>
          <w:tcPr>
            <w:tcW w:w="859" w:type="pct"/>
            <w:vAlign w:val="center"/>
          </w:tcPr>
          <w:p w:rsidR="00EE4502" w:rsidRDefault="00FD45A3">
            <w:pPr>
              <w:jc w:val="center"/>
              <w:rPr>
                <w:bCs/>
                <w:szCs w:val="21"/>
              </w:rPr>
            </w:pPr>
            <w:r>
              <w:rPr>
                <w:bCs/>
                <w:szCs w:val="21"/>
              </w:rPr>
              <w:t>（</w:t>
            </w:r>
            <w:r>
              <w:rPr>
                <w:rFonts w:hint="eastAsia"/>
                <w:bCs/>
                <w:szCs w:val="21"/>
              </w:rPr>
              <w:t>3</w:t>
            </w:r>
            <w:r>
              <w:rPr>
                <w:bCs/>
                <w:szCs w:val="21"/>
              </w:rPr>
              <w:t>）</w:t>
            </w:r>
            <w:r>
              <w:rPr>
                <w:rFonts w:hint="eastAsia"/>
                <w:bCs/>
                <w:szCs w:val="21"/>
              </w:rPr>
              <w:t>符合国家政策的生产规模</w:t>
            </w:r>
          </w:p>
        </w:tc>
        <w:tc>
          <w:tcPr>
            <w:tcW w:w="441" w:type="pct"/>
            <w:vAlign w:val="center"/>
          </w:tcPr>
          <w:p w:rsidR="00EE4502" w:rsidRDefault="00FD45A3">
            <w:pPr>
              <w:jc w:val="center"/>
              <w:rPr>
                <w:bCs/>
                <w:szCs w:val="21"/>
              </w:rPr>
            </w:pPr>
            <w:r>
              <w:rPr>
                <w:rFonts w:hint="eastAsia"/>
                <w:bCs/>
                <w:szCs w:val="21"/>
              </w:rPr>
              <w:t>10</w:t>
            </w:r>
          </w:p>
        </w:tc>
        <w:tc>
          <w:tcPr>
            <w:tcW w:w="960" w:type="pct"/>
            <w:vAlign w:val="center"/>
          </w:tcPr>
          <w:p w:rsidR="00EE4502" w:rsidRDefault="00FD45A3">
            <w:pPr>
              <w:tabs>
                <w:tab w:val="left" w:pos="2268"/>
              </w:tabs>
              <w:jc w:val="center"/>
              <w:rPr>
                <w:rFonts w:cs="宋体"/>
                <w:bCs/>
                <w:szCs w:val="21"/>
              </w:rPr>
            </w:pPr>
            <w:r>
              <w:rPr>
                <w:rFonts w:cs="宋体"/>
                <w:bCs/>
                <w:szCs w:val="21"/>
              </w:rPr>
              <w:t>符合国家政策</w:t>
            </w:r>
          </w:p>
        </w:tc>
        <w:tc>
          <w:tcPr>
            <w:tcW w:w="1751" w:type="pct"/>
            <w:gridSpan w:val="3"/>
            <w:vAlign w:val="center"/>
          </w:tcPr>
          <w:p w:rsidR="00EE4502" w:rsidRDefault="00FD45A3">
            <w:pPr>
              <w:tabs>
                <w:tab w:val="left" w:pos="2268"/>
              </w:tabs>
              <w:jc w:val="center"/>
              <w:rPr>
                <w:rFonts w:cs="宋体"/>
                <w:bCs/>
                <w:szCs w:val="21"/>
              </w:rPr>
            </w:pPr>
            <w:r>
              <w:rPr>
                <w:rFonts w:cs="宋体"/>
                <w:bCs/>
                <w:szCs w:val="21"/>
              </w:rPr>
              <w:t>符合国家政策</w:t>
            </w:r>
          </w:p>
        </w:tc>
        <w:tc>
          <w:tcPr>
            <w:tcW w:w="556" w:type="pct"/>
            <w:vAlign w:val="center"/>
          </w:tcPr>
          <w:p w:rsidR="00EE4502" w:rsidRDefault="00FD45A3">
            <w:pPr>
              <w:jc w:val="center"/>
              <w:rPr>
                <w:bCs/>
                <w:szCs w:val="21"/>
              </w:rPr>
            </w:pPr>
            <w:r>
              <w:rPr>
                <w:rFonts w:hint="eastAsia"/>
                <w:bCs/>
                <w:szCs w:val="21"/>
              </w:rPr>
              <w:t>10</w:t>
            </w:r>
          </w:p>
        </w:tc>
        <w:tc>
          <w:tcPr>
            <w:tcW w:w="433" w:type="pct"/>
            <w:vAlign w:val="center"/>
          </w:tcPr>
          <w:p w:rsidR="00EE4502" w:rsidRDefault="00FD45A3">
            <w:pPr>
              <w:jc w:val="center"/>
              <w:rPr>
                <w:bCs/>
                <w:szCs w:val="21"/>
              </w:rPr>
            </w:pPr>
            <w:r>
              <w:rPr>
                <w:rFonts w:hint="eastAsia"/>
                <w:bCs/>
                <w:szCs w:val="21"/>
              </w:rPr>
              <w:t>10</w:t>
            </w:r>
          </w:p>
        </w:tc>
      </w:tr>
      <w:tr w:rsidR="00EE4502">
        <w:trPr>
          <w:trHeight w:val="340"/>
        </w:trPr>
        <w:tc>
          <w:tcPr>
            <w:tcW w:w="859" w:type="pct"/>
            <w:vMerge w:val="restart"/>
            <w:vAlign w:val="center"/>
          </w:tcPr>
          <w:p w:rsidR="00EE4502" w:rsidRDefault="00FD45A3">
            <w:pPr>
              <w:jc w:val="center"/>
              <w:rPr>
                <w:bCs/>
                <w:szCs w:val="21"/>
              </w:rPr>
            </w:pPr>
            <w:r>
              <w:rPr>
                <w:bCs/>
                <w:szCs w:val="21"/>
              </w:rPr>
              <w:t>（</w:t>
            </w:r>
            <w:r>
              <w:rPr>
                <w:rFonts w:hint="eastAsia"/>
                <w:bCs/>
                <w:szCs w:val="21"/>
              </w:rPr>
              <w:t>4</w:t>
            </w:r>
            <w:r>
              <w:rPr>
                <w:bCs/>
                <w:szCs w:val="21"/>
              </w:rPr>
              <w:t>）环境管理体系建设及清洁生产审核</w:t>
            </w:r>
          </w:p>
        </w:tc>
        <w:tc>
          <w:tcPr>
            <w:tcW w:w="441" w:type="pct"/>
            <w:vMerge w:val="restart"/>
            <w:vAlign w:val="center"/>
          </w:tcPr>
          <w:p w:rsidR="00EE4502" w:rsidRDefault="00FD45A3">
            <w:pPr>
              <w:jc w:val="center"/>
              <w:rPr>
                <w:bCs/>
                <w:szCs w:val="21"/>
              </w:rPr>
            </w:pPr>
            <w:r>
              <w:rPr>
                <w:rFonts w:hint="eastAsia"/>
                <w:bCs/>
                <w:szCs w:val="21"/>
              </w:rPr>
              <w:t>20</w:t>
            </w:r>
          </w:p>
        </w:tc>
        <w:tc>
          <w:tcPr>
            <w:tcW w:w="2711" w:type="pct"/>
            <w:gridSpan w:val="4"/>
            <w:vAlign w:val="center"/>
          </w:tcPr>
          <w:p w:rsidR="00EE4502" w:rsidRDefault="00FD45A3">
            <w:pPr>
              <w:jc w:val="center"/>
              <w:rPr>
                <w:bCs/>
                <w:szCs w:val="21"/>
              </w:rPr>
            </w:pPr>
            <w:r>
              <w:rPr>
                <w:bCs/>
                <w:szCs w:val="21"/>
              </w:rPr>
              <w:t>建立</w:t>
            </w:r>
            <w:r>
              <w:rPr>
                <w:bCs/>
                <w:szCs w:val="21"/>
              </w:rPr>
              <w:t>HSE</w:t>
            </w:r>
            <w:r>
              <w:rPr>
                <w:bCs/>
                <w:szCs w:val="21"/>
              </w:rPr>
              <w:t>管理体系并通过认证</w:t>
            </w:r>
          </w:p>
        </w:tc>
        <w:tc>
          <w:tcPr>
            <w:tcW w:w="556" w:type="pct"/>
            <w:vAlign w:val="center"/>
          </w:tcPr>
          <w:p w:rsidR="00EE4502" w:rsidRDefault="00FD45A3">
            <w:pPr>
              <w:jc w:val="center"/>
              <w:rPr>
                <w:bCs/>
                <w:szCs w:val="21"/>
              </w:rPr>
            </w:pPr>
            <w:r>
              <w:rPr>
                <w:bCs/>
                <w:szCs w:val="21"/>
              </w:rPr>
              <w:t>10</w:t>
            </w:r>
          </w:p>
        </w:tc>
        <w:tc>
          <w:tcPr>
            <w:tcW w:w="433" w:type="pct"/>
            <w:vAlign w:val="center"/>
          </w:tcPr>
          <w:p w:rsidR="00EE4502" w:rsidRDefault="00FD45A3">
            <w:pPr>
              <w:jc w:val="center"/>
              <w:rPr>
                <w:bCs/>
                <w:szCs w:val="21"/>
              </w:rPr>
            </w:pPr>
            <w:r>
              <w:rPr>
                <w:bCs/>
                <w:szCs w:val="21"/>
              </w:rPr>
              <w:t>10</w:t>
            </w:r>
          </w:p>
        </w:tc>
      </w:tr>
      <w:tr w:rsidR="00EE4502">
        <w:trPr>
          <w:trHeight w:val="340"/>
        </w:trPr>
        <w:tc>
          <w:tcPr>
            <w:tcW w:w="859" w:type="pct"/>
            <w:vMerge/>
            <w:vAlign w:val="center"/>
          </w:tcPr>
          <w:p w:rsidR="00EE4502" w:rsidRDefault="00EE4502">
            <w:pPr>
              <w:jc w:val="center"/>
              <w:rPr>
                <w:bCs/>
                <w:szCs w:val="21"/>
              </w:rPr>
            </w:pPr>
          </w:p>
        </w:tc>
        <w:tc>
          <w:tcPr>
            <w:tcW w:w="441" w:type="pct"/>
            <w:vMerge/>
            <w:vAlign w:val="center"/>
          </w:tcPr>
          <w:p w:rsidR="00EE4502" w:rsidRDefault="00EE4502">
            <w:pPr>
              <w:jc w:val="center"/>
              <w:rPr>
                <w:bCs/>
                <w:szCs w:val="21"/>
              </w:rPr>
            </w:pPr>
          </w:p>
        </w:tc>
        <w:tc>
          <w:tcPr>
            <w:tcW w:w="2711" w:type="pct"/>
            <w:gridSpan w:val="4"/>
            <w:vAlign w:val="center"/>
          </w:tcPr>
          <w:p w:rsidR="00EE4502" w:rsidRDefault="00FD45A3">
            <w:pPr>
              <w:jc w:val="center"/>
              <w:rPr>
                <w:bCs/>
                <w:szCs w:val="21"/>
              </w:rPr>
            </w:pPr>
            <w:r>
              <w:rPr>
                <w:bCs/>
                <w:szCs w:val="21"/>
              </w:rPr>
              <w:t>开展清洁生产审核，并通过验收</w:t>
            </w:r>
          </w:p>
        </w:tc>
        <w:tc>
          <w:tcPr>
            <w:tcW w:w="556" w:type="pct"/>
            <w:vAlign w:val="center"/>
          </w:tcPr>
          <w:p w:rsidR="00EE4502" w:rsidRDefault="00FD45A3">
            <w:pPr>
              <w:jc w:val="center"/>
              <w:rPr>
                <w:bCs/>
                <w:szCs w:val="21"/>
              </w:rPr>
            </w:pPr>
            <w:r>
              <w:rPr>
                <w:bCs/>
                <w:szCs w:val="21"/>
              </w:rPr>
              <w:t>20</w:t>
            </w:r>
          </w:p>
        </w:tc>
        <w:tc>
          <w:tcPr>
            <w:tcW w:w="433" w:type="pct"/>
            <w:vAlign w:val="center"/>
          </w:tcPr>
          <w:p w:rsidR="00EE4502" w:rsidRDefault="00FD45A3">
            <w:pPr>
              <w:jc w:val="center"/>
              <w:rPr>
                <w:bCs/>
                <w:szCs w:val="21"/>
              </w:rPr>
            </w:pPr>
            <w:r>
              <w:rPr>
                <w:bCs/>
                <w:szCs w:val="21"/>
              </w:rPr>
              <w:t>20</w:t>
            </w:r>
          </w:p>
        </w:tc>
      </w:tr>
      <w:tr w:rsidR="00EE4502">
        <w:trPr>
          <w:trHeight w:val="340"/>
        </w:trPr>
        <w:tc>
          <w:tcPr>
            <w:tcW w:w="859" w:type="pct"/>
            <w:vMerge w:val="restart"/>
            <w:vAlign w:val="center"/>
          </w:tcPr>
          <w:p w:rsidR="00EE4502" w:rsidRDefault="00FD45A3">
            <w:pPr>
              <w:jc w:val="center"/>
              <w:rPr>
                <w:bCs/>
                <w:szCs w:val="21"/>
              </w:rPr>
            </w:pPr>
            <w:r>
              <w:rPr>
                <w:bCs/>
                <w:szCs w:val="21"/>
              </w:rPr>
              <w:t>（</w:t>
            </w:r>
            <w:r>
              <w:rPr>
                <w:rFonts w:hint="eastAsia"/>
                <w:bCs/>
                <w:szCs w:val="21"/>
              </w:rPr>
              <w:t>5</w:t>
            </w:r>
            <w:r>
              <w:rPr>
                <w:bCs/>
                <w:szCs w:val="21"/>
              </w:rPr>
              <w:t>）贯彻执行环境保护政策法规的执行情况</w:t>
            </w:r>
          </w:p>
        </w:tc>
        <w:tc>
          <w:tcPr>
            <w:tcW w:w="441" w:type="pct"/>
            <w:vMerge w:val="restart"/>
            <w:vAlign w:val="center"/>
          </w:tcPr>
          <w:p w:rsidR="00EE4502" w:rsidRDefault="00FD45A3">
            <w:pPr>
              <w:jc w:val="center"/>
              <w:rPr>
                <w:bCs/>
                <w:szCs w:val="21"/>
              </w:rPr>
            </w:pPr>
            <w:r>
              <w:rPr>
                <w:bCs/>
                <w:szCs w:val="21"/>
              </w:rPr>
              <w:t>20</w:t>
            </w:r>
          </w:p>
        </w:tc>
        <w:tc>
          <w:tcPr>
            <w:tcW w:w="2711" w:type="pct"/>
            <w:gridSpan w:val="4"/>
            <w:vAlign w:val="center"/>
          </w:tcPr>
          <w:p w:rsidR="00EE4502" w:rsidRDefault="00FD45A3">
            <w:pPr>
              <w:jc w:val="center"/>
              <w:rPr>
                <w:bCs/>
                <w:szCs w:val="21"/>
              </w:rPr>
            </w:pPr>
            <w:r>
              <w:rPr>
                <w:bCs/>
                <w:szCs w:val="21"/>
              </w:rPr>
              <w:t>建设项目环保</w:t>
            </w:r>
            <w:r>
              <w:rPr>
                <w:bCs/>
                <w:szCs w:val="21"/>
              </w:rPr>
              <w:t>“</w:t>
            </w:r>
            <w:r>
              <w:rPr>
                <w:bCs/>
                <w:szCs w:val="21"/>
              </w:rPr>
              <w:t>三同时</w:t>
            </w:r>
            <w:r>
              <w:rPr>
                <w:bCs/>
                <w:szCs w:val="21"/>
              </w:rPr>
              <w:t>”</w:t>
            </w:r>
            <w:r>
              <w:rPr>
                <w:bCs/>
                <w:szCs w:val="21"/>
              </w:rPr>
              <w:t>制度执行情况</w:t>
            </w:r>
          </w:p>
        </w:tc>
        <w:tc>
          <w:tcPr>
            <w:tcW w:w="556" w:type="pct"/>
            <w:vAlign w:val="center"/>
          </w:tcPr>
          <w:p w:rsidR="00EE4502" w:rsidRDefault="00FD45A3">
            <w:pPr>
              <w:jc w:val="center"/>
              <w:rPr>
                <w:bCs/>
                <w:szCs w:val="21"/>
              </w:rPr>
            </w:pPr>
            <w:r>
              <w:rPr>
                <w:bCs/>
                <w:szCs w:val="21"/>
              </w:rPr>
              <w:t>5</w:t>
            </w:r>
          </w:p>
        </w:tc>
        <w:tc>
          <w:tcPr>
            <w:tcW w:w="433" w:type="pct"/>
            <w:vAlign w:val="center"/>
          </w:tcPr>
          <w:p w:rsidR="00EE4502" w:rsidRDefault="00FD45A3">
            <w:pPr>
              <w:jc w:val="center"/>
              <w:rPr>
                <w:bCs/>
                <w:szCs w:val="21"/>
              </w:rPr>
            </w:pPr>
            <w:r>
              <w:rPr>
                <w:bCs/>
                <w:szCs w:val="21"/>
              </w:rPr>
              <w:t>5</w:t>
            </w:r>
          </w:p>
        </w:tc>
      </w:tr>
      <w:tr w:rsidR="00EE4502">
        <w:trPr>
          <w:trHeight w:val="340"/>
        </w:trPr>
        <w:tc>
          <w:tcPr>
            <w:tcW w:w="859" w:type="pct"/>
            <w:vMerge/>
            <w:vAlign w:val="center"/>
          </w:tcPr>
          <w:p w:rsidR="00EE4502" w:rsidRDefault="00EE4502">
            <w:pPr>
              <w:jc w:val="center"/>
              <w:rPr>
                <w:bCs/>
                <w:szCs w:val="21"/>
              </w:rPr>
            </w:pPr>
          </w:p>
        </w:tc>
        <w:tc>
          <w:tcPr>
            <w:tcW w:w="441" w:type="pct"/>
            <w:vMerge/>
            <w:vAlign w:val="center"/>
          </w:tcPr>
          <w:p w:rsidR="00EE4502" w:rsidRDefault="00EE4502">
            <w:pPr>
              <w:jc w:val="center"/>
              <w:rPr>
                <w:bCs/>
                <w:szCs w:val="21"/>
              </w:rPr>
            </w:pPr>
          </w:p>
        </w:tc>
        <w:tc>
          <w:tcPr>
            <w:tcW w:w="2711" w:type="pct"/>
            <w:gridSpan w:val="4"/>
            <w:vAlign w:val="center"/>
          </w:tcPr>
          <w:p w:rsidR="00EE4502" w:rsidRDefault="00FD45A3">
            <w:pPr>
              <w:jc w:val="center"/>
              <w:rPr>
                <w:bCs/>
                <w:szCs w:val="21"/>
              </w:rPr>
            </w:pPr>
            <w:r>
              <w:rPr>
                <w:bCs/>
                <w:szCs w:val="21"/>
              </w:rPr>
              <w:t>建设项目环境影响评价制度执行情况</w:t>
            </w:r>
          </w:p>
        </w:tc>
        <w:tc>
          <w:tcPr>
            <w:tcW w:w="556" w:type="pct"/>
            <w:vAlign w:val="center"/>
          </w:tcPr>
          <w:p w:rsidR="00EE4502" w:rsidRDefault="00FD45A3">
            <w:pPr>
              <w:jc w:val="center"/>
              <w:rPr>
                <w:bCs/>
                <w:szCs w:val="21"/>
              </w:rPr>
            </w:pPr>
            <w:r>
              <w:rPr>
                <w:bCs/>
                <w:szCs w:val="21"/>
              </w:rPr>
              <w:t>5</w:t>
            </w:r>
          </w:p>
        </w:tc>
        <w:tc>
          <w:tcPr>
            <w:tcW w:w="433" w:type="pct"/>
            <w:vAlign w:val="center"/>
          </w:tcPr>
          <w:p w:rsidR="00EE4502" w:rsidRDefault="00FD45A3">
            <w:pPr>
              <w:jc w:val="center"/>
              <w:rPr>
                <w:bCs/>
                <w:szCs w:val="21"/>
              </w:rPr>
            </w:pPr>
            <w:r>
              <w:rPr>
                <w:bCs/>
                <w:szCs w:val="21"/>
              </w:rPr>
              <w:t>5</w:t>
            </w:r>
          </w:p>
        </w:tc>
      </w:tr>
      <w:tr w:rsidR="00EE4502">
        <w:trPr>
          <w:trHeight w:val="340"/>
        </w:trPr>
        <w:tc>
          <w:tcPr>
            <w:tcW w:w="859" w:type="pct"/>
            <w:vMerge/>
            <w:vAlign w:val="center"/>
          </w:tcPr>
          <w:p w:rsidR="00EE4502" w:rsidRDefault="00EE4502">
            <w:pPr>
              <w:jc w:val="center"/>
              <w:rPr>
                <w:bCs/>
                <w:szCs w:val="21"/>
              </w:rPr>
            </w:pPr>
          </w:p>
        </w:tc>
        <w:tc>
          <w:tcPr>
            <w:tcW w:w="441" w:type="pct"/>
            <w:vMerge/>
            <w:vAlign w:val="center"/>
          </w:tcPr>
          <w:p w:rsidR="00EE4502" w:rsidRDefault="00EE4502">
            <w:pPr>
              <w:jc w:val="center"/>
              <w:rPr>
                <w:bCs/>
                <w:szCs w:val="21"/>
              </w:rPr>
            </w:pPr>
          </w:p>
        </w:tc>
        <w:tc>
          <w:tcPr>
            <w:tcW w:w="2711" w:type="pct"/>
            <w:gridSpan w:val="4"/>
            <w:vAlign w:val="center"/>
          </w:tcPr>
          <w:p w:rsidR="00EE4502" w:rsidRDefault="00FD45A3">
            <w:pPr>
              <w:jc w:val="center"/>
              <w:rPr>
                <w:bCs/>
                <w:szCs w:val="21"/>
              </w:rPr>
            </w:pPr>
            <w:r>
              <w:rPr>
                <w:bCs/>
                <w:szCs w:val="21"/>
              </w:rPr>
              <w:t>老污染源限期治理项目完成情况</w:t>
            </w:r>
          </w:p>
        </w:tc>
        <w:tc>
          <w:tcPr>
            <w:tcW w:w="556" w:type="pct"/>
            <w:vAlign w:val="center"/>
          </w:tcPr>
          <w:p w:rsidR="00EE4502" w:rsidRDefault="00FD45A3">
            <w:pPr>
              <w:jc w:val="center"/>
              <w:rPr>
                <w:bCs/>
                <w:szCs w:val="21"/>
              </w:rPr>
            </w:pPr>
            <w:r>
              <w:rPr>
                <w:bCs/>
                <w:szCs w:val="21"/>
              </w:rPr>
              <w:t>5</w:t>
            </w:r>
          </w:p>
        </w:tc>
        <w:tc>
          <w:tcPr>
            <w:tcW w:w="433" w:type="pct"/>
            <w:vAlign w:val="center"/>
          </w:tcPr>
          <w:p w:rsidR="00EE4502" w:rsidRDefault="00FD45A3">
            <w:pPr>
              <w:jc w:val="center"/>
              <w:rPr>
                <w:bCs/>
                <w:szCs w:val="21"/>
              </w:rPr>
            </w:pPr>
            <w:r>
              <w:rPr>
                <w:bCs/>
                <w:szCs w:val="21"/>
              </w:rPr>
              <w:t>5</w:t>
            </w:r>
          </w:p>
        </w:tc>
      </w:tr>
      <w:tr w:rsidR="00EE4502">
        <w:trPr>
          <w:trHeight w:val="340"/>
        </w:trPr>
        <w:tc>
          <w:tcPr>
            <w:tcW w:w="859" w:type="pct"/>
            <w:vMerge/>
            <w:vAlign w:val="center"/>
          </w:tcPr>
          <w:p w:rsidR="00EE4502" w:rsidRDefault="00EE4502">
            <w:pPr>
              <w:jc w:val="center"/>
              <w:rPr>
                <w:bCs/>
                <w:szCs w:val="21"/>
              </w:rPr>
            </w:pPr>
          </w:p>
        </w:tc>
        <w:tc>
          <w:tcPr>
            <w:tcW w:w="441" w:type="pct"/>
            <w:vMerge/>
            <w:vAlign w:val="center"/>
          </w:tcPr>
          <w:p w:rsidR="00EE4502" w:rsidRDefault="00EE4502">
            <w:pPr>
              <w:jc w:val="center"/>
              <w:rPr>
                <w:bCs/>
                <w:szCs w:val="21"/>
              </w:rPr>
            </w:pPr>
          </w:p>
        </w:tc>
        <w:tc>
          <w:tcPr>
            <w:tcW w:w="2711" w:type="pct"/>
            <w:gridSpan w:val="4"/>
            <w:vAlign w:val="center"/>
          </w:tcPr>
          <w:p w:rsidR="00EE4502" w:rsidRDefault="00FD45A3">
            <w:pPr>
              <w:jc w:val="center"/>
              <w:rPr>
                <w:bCs/>
                <w:szCs w:val="21"/>
              </w:rPr>
            </w:pPr>
            <w:r>
              <w:rPr>
                <w:bCs/>
                <w:szCs w:val="21"/>
              </w:rPr>
              <w:t>污染物排放总量控制与减排指标完成情况</w:t>
            </w:r>
          </w:p>
        </w:tc>
        <w:tc>
          <w:tcPr>
            <w:tcW w:w="556" w:type="pct"/>
            <w:vAlign w:val="center"/>
          </w:tcPr>
          <w:p w:rsidR="00EE4502" w:rsidRDefault="00FD45A3">
            <w:pPr>
              <w:jc w:val="center"/>
              <w:rPr>
                <w:bCs/>
                <w:szCs w:val="21"/>
              </w:rPr>
            </w:pPr>
            <w:r>
              <w:rPr>
                <w:bCs/>
                <w:szCs w:val="21"/>
              </w:rPr>
              <w:t>5</w:t>
            </w:r>
          </w:p>
        </w:tc>
        <w:tc>
          <w:tcPr>
            <w:tcW w:w="433" w:type="pct"/>
            <w:vAlign w:val="center"/>
          </w:tcPr>
          <w:p w:rsidR="00EE4502" w:rsidRDefault="00FD45A3">
            <w:pPr>
              <w:jc w:val="center"/>
              <w:rPr>
                <w:bCs/>
                <w:szCs w:val="21"/>
              </w:rPr>
            </w:pPr>
            <w:r>
              <w:rPr>
                <w:bCs/>
                <w:szCs w:val="21"/>
              </w:rPr>
              <w:t>5</w:t>
            </w:r>
          </w:p>
        </w:tc>
      </w:tr>
      <w:bookmarkEnd w:id="189"/>
    </w:tbl>
    <w:p w:rsidR="00EE4502" w:rsidRDefault="00EE4502">
      <w:pPr>
        <w:jc w:val="center"/>
        <w:rPr>
          <w:sz w:val="18"/>
          <w:szCs w:val="18"/>
        </w:rPr>
      </w:pPr>
    </w:p>
    <w:p w:rsidR="00EE4502" w:rsidRDefault="00FD45A3">
      <w:pPr>
        <w:spacing w:line="360" w:lineRule="auto"/>
        <w:ind w:firstLineChars="200" w:firstLine="480"/>
        <w:rPr>
          <w:bCs/>
          <w:kern w:val="24"/>
          <w:sz w:val="24"/>
          <w:szCs w:val="26"/>
        </w:rPr>
      </w:pPr>
      <w:r>
        <w:rPr>
          <w:rFonts w:hAnsi="宋体"/>
          <w:bCs/>
          <w:kern w:val="24"/>
          <w:sz w:val="24"/>
          <w:szCs w:val="26"/>
        </w:rPr>
        <w:t>（</w:t>
      </w:r>
      <w:r>
        <w:rPr>
          <w:bCs/>
          <w:kern w:val="24"/>
          <w:sz w:val="24"/>
          <w:szCs w:val="26"/>
        </w:rPr>
        <w:t>2</w:t>
      </w:r>
      <w:r>
        <w:rPr>
          <w:rFonts w:hAnsi="宋体"/>
          <w:bCs/>
          <w:kern w:val="24"/>
          <w:sz w:val="24"/>
          <w:szCs w:val="26"/>
        </w:rPr>
        <w:t>）评价指标体系计算</w:t>
      </w:r>
    </w:p>
    <w:p w:rsidR="00EE4502" w:rsidRDefault="00FD45A3">
      <w:pPr>
        <w:spacing w:line="360" w:lineRule="auto"/>
        <w:ind w:firstLineChars="200" w:firstLine="480"/>
        <w:rPr>
          <w:bCs/>
          <w:kern w:val="24"/>
          <w:sz w:val="24"/>
          <w:szCs w:val="26"/>
        </w:rPr>
      </w:pPr>
      <w:r>
        <w:rPr>
          <w:rFonts w:ascii="宋体" w:hAnsi="宋体"/>
          <w:bCs/>
          <w:kern w:val="24"/>
          <w:sz w:val="24"/>
          <w:szCs w:val="26"/>
        </w:rPr>
        <w:t>①</w:t>
      </w:r>
      <w:r>
        <w:rPr>
          <w:rFonts w:hAnsi="宋体"/>
          <w:bCs/>
          <w:kern w:val="24"/>
          <w:sz w:val="24"/>
          <w:szCs w:val="26"/>
        </w:rPr>
        <w:t>定量评价指标的考核评分计算</w:t>
      </w:r>
    </w:p>
    <w:p w:rsidR="00EE4502" w:rsidRDefault="00FD45A3">
      <w:pPr>
        <w:spacing w:line="360" w:lineRule="auto"/>
        <w:ind w:firstLineChars="200" w:firstLine="480"/>
        <w:rPr>
          <w:bCs/>
          <w:kern w:val="24"/>
          <w:sz w:val="24"/>
          <w:szCs w:val="26"/>
        </w:rPr>
      </w:pPr>
      <w:r>
        <w:rPr>
          <w:rFonts w:hAnsi="宋体"/>
          <w:bCs/>
          <w:kern w:val="24"/>
          <w:sz w:val="24"/>
          <w:szCs w:val="26"/>
        </w:rPr>
        <w:t>定量评价考核总分值的计算公式为：</w:t>
      </w:r>
    </w:p>
    <w:p w:rsidR="00EE4502" w:rsidRDefault="00FD45A3" w:rsidP="003F4A18">
      <w:pPr>
        <w:spacing w:line="360" w:lineRule="auto"/>
        <w:ind w:firstLineChars="884" w:firstLine="2122"/>
        <w:rPr>
          <w:bCs/>
          <w:kern w:val="24"/>
          <w:sz w:val="24"/>
          <w:szCs w:val="26"/>
        </w:rPr>
      </w:pPr>
      <w:r>
        <w:rPr>
          <w:bCs/>
          <w:noProof/>
          <w:kern w:val="24"/>
          <w:sz w:val="24"/>
          <w:szCs w:val="26"/>
        </w:rPr>
        <w:drawing>
          <wp:inline distT="0" distB="0" distL="0" distR="0">
            <wp:extent cx="1028700" cy="485775"/>
            <wp:effectExtent l="0" t="0" r="0" b="8255"/>
            <wp:docPr id="6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028700" cy="485775"/>
                    </a:xfrm>
                    <a:prstGeom prst="rect">
                      <a:avLst/>
                    </a:prstGeom>
                    <a:noFill/>
                    <a:ln>
                      <a:noFill/>
                    </a:ln>
                  </pic:spPr>
                </pic:pic>
              </a:graphicData>
            </a:graphic>
          </wp:inline>
        </w:drawing>
      </w:r>
    </w:p>
    <w:p w:rsidR="00EE4502" w:rsidRDefault="00FD45A3">
      <w:pPr>
        <w:spacing w:line="360" w:lineRule="auto"/>
        <w:ind w:firstLineChars="200" w:firstLine="480"/>
        <w:rPr>
          <w:bCs/>
          <w:kern w:val="24"/>
          <w:sz w:val="24"/>
          <w:szCs w:val="26"/>
        </w:rPr>
      </w:pPr>
      <w:r>
        <w:rPr>
          <w:rFonts w:hAnsi="宋体"/>
          <w:bCs/>
          <w:kern w:val="24"/>
          <w:sz w:val="24"/>
          <w:szCs w:val="26"/>
        </w:rPr>
        <w:t>式中：</w:t>
      </w:r>
      <w:r>
        <w:rPr>
          <w:bCs/>
          <w:kern w:val="24"/>
          <w:sz w:val="24"/>
          <w:szCs w:val="26"/>
        </w:rPr>
        <w:t>P1—</w:t>
      </w:r>
      <w:r>
        <w:rPr>
          <w:rFonts w:hAnsi="宋体"/>
          <w:bCs/>
          <w:kern w:val="24"/>
          <w:sz w:val="24"/>
          <w:szCs w:val="26"/>
        </w:rPr>
        <w:t>定量评价考核总分值；</w:t>
      </w:r>
    </w:p>
    <w:p w:rsidR="00EE4502" w:rsidRDefault="00FD45A3">
      <w:pPr>
        <w:spacing w:line="360" w:lineRule="auto"/>
        <w:ind w:firstLineChars="466" w:firstLine="1118"/>
        <w:rPr>
          <w:bCs/>
          <w:kern w:val="24"/>
          <w:sz w:val="24"/>
          <w:szCs w:val="26"/>
        </w:rPr>
      </w:pPr>
      <w:r>
        <w:rPr>
          <w:bCs/>
          <w:kern w:val="24"/>
          <w:sz w:val="24"/>
          <w:szCs w:val="26"/>
        </w:rPr>
        <w:t>n—</w:t>
      </w:r>
      <w:r>
        <w:rPr>
          <w:rFonts w:hAnsi="宋体"/>
          <w:bCs/>
          <w:kern w:val="24"/>
          <w:sz w:val="24"/>
          <w:szCs w:val="26"/>
        </w:rPr>
        <w:t>参与定量评价考核的二级指标项目总数；</w:t>
      </w:r>
    </w:p>
    <w:p w:rsidR="00EE4502" w:rsidRDefault="00FD45A3">
      <w:pPr>
        <w:spacing w:line="360" w:lineRule="auto"/>
        <w:ind w:firstLineChars="466" w:firstLine="1118"/>
        <w:rPr>
          <w:bCs/>
          <w:kern w:val="24"/>
          <w:sz w:val="24"/>
          <w:szCs w:val="26"/>
        </w:rPr>
      </w:pPr>
      <w:r>
        <w:rPr>
          <w:bCs/>
          <w:kern w:val="24"/>
          <w:sz w:val="24"/>
          <w:szCs w:val="26"/>
        </w:rPr>
        <w:t>S</w:t>
      </w:r>
      <w:r>
        <w:rPr>
          <w:bCs/>
          <w:kern w:val="24"/>
          <w:sz w:val="24"/>
          <w:szCs w:val="26"/>
          <w:vertAlign w:val="subscript"/>
        </w:rPr>
        <w:t>i</w:t>
      </w:r>
      <w:r>
        <w:rPr>
          <w:bCs/>
          <w:kern w:val="24"/>
          <w:sz w:val="24"/>
          <w:szCs w:val="26"/>
        </w:rPr>
        <w:t>—</w:t>
      </w:r>
      <w:r>
        <w:rPr>
          <w:rFonts w:hAnsi="宋体"/>
          <w:bCs/>
          <w:kern w:val="24"/>
          <w:sz w:val="24"/>
          <w:szCs w:val="26"/>
        </w:rPr>
        <w:t>第</w:t>
      </w:r>
      <w:r>
        <w:rPr>
          <w:bCs/>
          <w:kern w:val="24"/>
          <w:sz w:val="24"/>
          <w:szCs w:val="26"/>
        </w:rPr>
        <w:t>i</w:t>
      </w:r>
      <w:r>
        <w:rPr>
          <w:rFonts w:hAnsi="宋体"/>
          <w:bCs/>
          <w:kern w:val="24"/>
          <w:sz w:val="24"/>
          <w:szCs w:val="26"/>
        </w:rPr>
        <w:t>项评价指标的单项评价指数；</w:t>
      </w:r>
    </w:p>
    <w:p w:rsidR="00EE4502" w:rsidRDefault="00FD45A3">
      <w:pPr>
        <w:spacing w:line="360" w:lineRule="auto"/>
        <w:ind w:firstLineChars="466" w:firstLine="1118"/>
        <w:rPr>
          <w:bCs/>
          <w:kern w:val="24"/>
          <w:sz w:val="24"/>
          <w:szCs w:val="26"/>
        </w:rPr>
      </w:pPr>
      <w:r>
        <w:rPr>
          <w:bCs/>
          <w:kern w:val="24"/>
          <w:sz w:val="24"/>
          <w:szCs w:val="26"/>
        </w:rPr>
        <w:t>K</w:t>
      </w:r>
      <w:r>
        <w:rPr>
          <w:bCs/>
          <w:kern w:val="24"/>
          <w:sz w:val="24"/>
          <w:szCs w:val="26"/>
          <w:vertAlign w:val="subscript"/>
        </w:rPr>
        <w:t>i</w:t>
      </w:r>
      <w:r>
        <w:rPr>
          <w:bCs/>
          <w:kern w:val="24"/>
          <w:sz w:val="24"/>
          <w:szCs w:val="26"/>
        </w:rPr>
        <w:t>—</w:t>
      </w:r>
      <w:r>
        <w:rPr>
          <w:rFonts w:hAnsi="宋体"/>
          <w:bCs/>
          <w:kern w:val="24"/>
          <w:sz w:val="24"/>
          <w:szCs w:val="26"/>
        </w:rPr>
        <w:t>第</w:t>
      </w:r>
      <w:r>
        <w:rPr>
          <w:bCs/>
          <w:kern w:val="24"/>
          <w:sz w:val="24"/>
          <w:szCs w:val="26"/>
        </w:rPr>
        <w:t>i</w:t>
      </w:r>
      <w:r>
        <w:rPr>
          <w:rFonts w:hAnsi="宋体"/>
          <w:bCs/>
          <w:kern w:val="24"/>
          <w:sz w:val="24"/>
          <w:szCs w:val="26"/>
        </w:rPr>
        <w:t>项评价指标的权重值。</w:t>
      </w:r>
    </w:p>
    <w:p w:rsidR="00EE4502" w:rsidRDefault="00FD45A3">
      <w:pPr>
        <w:spacing w:line="360" w:lineRule="auto"/>
        <w:ind w:firstLineChars="200" w:firstLine="480"/>
        <w:rPr>
          <w:bCs/>
          <w:kern w:val="24"/>
          <w:sz w:val="24"/>
          <w:szCs w:val="26"/>
        </w:rPr>
      </w:pPr>
      <w:r>
        <w:rPr>
          <w:rFonts w:hAnsi="宋体"/>
          <w:bCs/>
          <w:kern w:val="24"/>
          <w:sz w:val="24"/>
          <w:szCs w:val="26"/>
        </w:rPr>
        <w:t>若某项一级指标中实际参与定量评价考核的二级指标项目数少于该一级指标所含全部二级指标项目数（由于该企业没有与某二级指标相关的生产设施所造成的缺项）时，在计算中应将这类一级指标所属各二级指标的权重值均予以相应修正，修正后各相应二级指标的权重值以</w:t>
      </w:r>
      <w:r>
        <w:rPr>
          <w:bCs/>
          <w:kern w:val="24"/>
          <w:sz w:val="24"/>
          <w:szCs w:val="26"/>
        </w:rPr>
        <w:t>K</w:t>
      </w:r>
      <w:r>
        <w:rPr>
          <w:bCs/>
          <w:kern w:val="24"/>
          <w:sz w:val="24"/>
          <w:szCs w:val="26"/>
          <w:vertAlign w:val="subscript"/>
        </w:rPr>
        <w:t>i</w:t>
      </w:r>
      <w:r>
        <w:rPr>
          <w:bCs/>
          <w:kern w:val="24"/>
          <w:sz w:val="24"/>
          <w:szCs w:val="26"/>
        </w:rPr>
        <w:t>′</w:t>
      </w:r>
      <w:r>
        <w:rPr>
          <w:rFonts w:hAnsi="宋体"/>
          <w:bCs/>
          <w:kern w:val="24"/>
          <w:sz w:val="24"/>
          <w:szCs w:val="26"/>
        </w:rPr>
        <w:t>表示：</w:t>
      </w:r>
    </w:p>
    <w:p w:rsidR="00EE4502" w:rsidRDefault="00FD45A3">
      <w:pPr>
        <w:spacing w:line="360" w:lineRule="auto"/>
        <w:jc w:val="center"/>
        <w:rPr>
          <w:bCs/>
          <w:kern w:val="24"/>
          <w:sz w:val="24"/>
          <w:szCs w:val="26"/>
        </w:rPr>
      </w:pPr>
      <w:r>
        <w:rPr>
          <w:bCs/>
          <w:noProof/>
          <w:kern w:val="24"/>
          <w:sz w:val="24"/>
          <w:szCs w:val="26"/>
        </w:rPr>
        <w:drawing>
          <wp:inline distT="0" distB="0" distL="0" distR="0">
            <wp:extent cx="1019175" cy="371475"/>
            <wp:effectExtent l="0" t="0" r="9525" b="8890"/>
            <wp:docPr id="68"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5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019175" cy="371475"/>
                    </a:xfrm>
                    <a:prstGeom prst="rect">
                      <a:avLst/>
                    </a:prstGeom>
                    <a:noFill/>
                    <a:ln>
                      <a:noFill/>
                    </a:ln>
                  </pic:spPr>
                </pic:pic>
              </a:graphicData>
            </a:graphic>
          </wp:inline>
        </w:drawing>
      </w:r>
    </w:p>
    <w:p w:rsidR="00EE4502" w:rsidRDefault="00FD45A3">
      <w:pPr>
        <w:spacing w:line="360" w:lineRule="auto"/>
        <w:ind w:firstLineChars="200" w:firstLine="480"/>
        <w:rPr>
          <w:bCs/>
          <w:kern w:val="24"/>
          <w:sz w:val="24"/>
          <w:szCs w:val="26"/>
        </w:rPr>
      </w:pPr>
      <w:r>
        <w:rPr>
          <w:rFonts w:hAnsi="宋体"/>
          <w:bCs/>
          <w:kern w:val="24"/>
          <w:sz w:val="24"/>
          <w:szCs w:val="26"/>
        </w:rPr>
        <w:lastRenderedPageBreak/>
        <w:t>式中：</w:t>
      </w:r>
      <w:r>
        <w:rPr>
          <w:bCs/>
          <w:kern w:val="24"/>
          <w:sz w:val="24"/>
          <w:szCs w:val="26"/>
        </w:rPr>
        <w:t>A</w:t>
      </w:r>
      <w:r>
        <w:rPr>
          <w:bCs/>
          <w:kern w:val="24"/>
          <w:sz w:val="24"/>
          <w:szCs w:val="26"/>
          <w:vertAlign w:val="subscript"/>
        </w:rPr>
        <w:t>j</w:t>
      </w:r>
      <w:r>
        <w:rPr>
          <w:bCs/>
          <w:kern w:val="24"/>
          <w:sz w:val="24"/>
          <w:szCs w:val="26"/>
        </w:rPr>
        <w:t>—</w:t>
      </w:r>
      <w:r>
        <w:rPr>
          <w:rFonts w:hAnsi="宋体"/>
          <w:bCs/>
          <w:kern w:val="24"/>
          <w:sz w:val="24"/>
          <w:szCs w:val="26"/>
        </w:rPr>
        <w:t>第</w:t>
      </w:r>
      <w:r>
        <w:rPr>
          <w:bCs/>
          <w:kern w:val="24"/>
          <w:sz w:val="24"/>
          <w:szCs w:val="26"/>
        </w:rPr>
        <w:t>j</w:t>
      </w:r>
      <w:r>
        <w:rPr>
          <w:rFonts w:hAnsi="宋体"/>
          <w:bCs/>
          <w:kern w:val="24"/>
          <w:sz w:val="24"/>
          <w:szCs w:val="26"/>
        </w:rPr>
        <w:t>项一级指标中，各二级指标权重值的修正系数。</w:t>
      </w:r>
      <w:r>
        <w:rPr>
          <w:bCs/>
          <w:kern w:val="24"/>
          <w:sz w:val="24"/>
          <w:szCs w:val="26"/>
        </w:rPr>
        <w:t>A</w:t>
      </w:r>
      <w:r>
        <w:rPr>
          <w:bCs/>
          <w:kern w:val="24"/>
          <w:sz w:val="24"/>
          <w:szCs w:val="26"/>
          <w:vertAlign w:val="subscript"/>
        </w:rPr>
        <w:t>j</w:t>
      </w:r>
      <w:r>
        <w:rPr>
          <w:bCs/>
          <w:kern w:val="24"/>
          <w:sz w:val="24"/>
          <w:szCs w:val="26"/>
        </w:rPr>
        <w:t>=A</w:t>
      </w:r>
      <w:r>
        <w:rPr>
          <w:bCs/>
          <w:kern w:val="24"/>
          <w:sz w:val="24"/>
          <w:szCs w:val="26"/>
          <w:vertAlign w:val="subscript"/>
        </w:rPr>
        <w:t>1</w:t>
      </w:r>
      <w:r>
        <w:rPr>
          <w:bCs/>
          <w:kern w:val="24"/>
          <w:sz w:val="24"/>
          <w:szCs w:val="26"/>
        </w:rPr>
        <w:t>/A</w:t>
      </w:r>
      <w:r>
        <w:rPr>
          <w:bCs/>
          <w:kern w:val="24"/>
          <w:sz w:val="24"/>
          <w:szCs w:val="26"/>
          <w:vertAlign w:val="subscript"/>
        </w:rPr>
        <w:t>2</w:t>
      </w:r>
      <w:r>
        <w:rPr>
          <w:rFonts w:hAnsi="宋体"/>
          <w:bCs/>
          <w:kern w:val="24"/>
          <w:sz w:val="24"/>
          <w:szCs w:val="26"/>
        </w:rPr>
        <w:t>。</w:t>
      </w:r>
      <w:r>
        <w:rPr>
          <w:bCs/>
          <w:kern w:val="24"/>
          <w:sz w:val="24"/>
          <w:szCs w:val="26"/>
        </w:rPr>
        <w:t>A</w:t>
      </w:r>
      <w:r>
        <w:rPr>
          <w:bCs/>
          <w:kern w:val="24"/>
          <w:sz w:val="24"/>
          <w:szCs w:val="26"/>
          <w:vertAlign w:val="subscript"/>
        </w:rPr>
        <w:t>1</w:t>
      </w:r>
      <w:r>
        <w:rPr>
          <w:rFonts w:hAnsi="宋体"/>
          <w:bCs/>
          <w:kern w:val="24"/>
          <w:sz w:val="24"/>
          <w:szCs w:val="26"/>
        </w:rPr>
        <w:t>为第</w:t>
      </w:r>
      <w:r>
        <w:rPr>
          <w:bCs/>
          <w:kern w:val="24"/>
          <w:sz w:val="24"/>
          <w:szCs w:val="26"/>
        </w:rPr>
        <w:t>j</w:t>
      </w:r>
      <w:r>
        <w:rPr>
          <w:rFonts w:hAnsi="宋体"/>
          <w:bCs/>
          <w:kern w:val="24"/>
          <w:sz w:val="24"/>
          <w:szCs w:val="26"/>
        </w:rPr>
        <w:t>项一级指标的权重值；</w:t>
      </w:r>
      <w:r>
        <w:rPr>
          <w:bCs/>
          <w:kern w:val="24"/>
          <w:sz w:val="24"/>
          <w:szCs w:val="26"/>
        </w:rPr>
        <w:t>A</w:t>
      </w:r>
      <w:r>
        <w:rPr>
          <w:bCs/>
          <w:kern w:val="24"/>
          <w:sz w:val="24"/>
          <w:szCs w:val="26"/>
          <w:vertAlign w:val="subscript"/>
        </w:rPr>
        <w:t>2</w:t>
      </w:r>
      <w:r>
        <w:rPr>
          <w:rFonts w:hAnsi="宋体"/>
          <w:bCs/>
          <w:kern w:val="24"/>
          <w:sz w:val="24"/>
          <w:szCs w:val="26"/>
        </w:rPr>
        <w:t>为实际参与考核的属于该一级指标的各二级指标权重值之和。</w:t>
      </w:r>
    </w:p>
    <w:p w:rsidR="00EE4502" w:rsidRDefault="00FD45A3">
      <w:pPr>
        <w:spacing w:line="360" w:lineRule="auto"/>
        <w:ind w:firstLineChars="200" w:firstLine="480"/>
        <w:rPr>
          <w:bCs/>
          <w:kern w:val="24"/>
          <w:sz w:val="24"/>
          <w:szCs w:val="26"/>
        </w:rPr>
      </w:pPr>
      <w:r>
        <w:rPr>
          <w:rFonts w:ascii="宋体" w:hAnsi="宋体"/>
          <w:bCs/>
          <w:kern w:val="24"/>
          <w:sz w:val="24"/>
          <w:szCs w:val="26"/>
        </w:rPr>
        <w:t>②</w:t>
      </w:r>
      <w:r>
        <w:rPr>
          <w:bCs/>
          <w:kern w:val="24"/>
          <w:sz w:val="24"/>
          <w:szCs w:val="26"/>
        </w:rPr>
        <w:t xml:space="preserve"> </w:t>
      </w:r>
      <w:r>
        <w:rPr>
          <w:rFonts w:hAnsi="宋体"/>
          <w:bCs/>
          <w:kern w:val="24"/>
          <w:sz w:val="24"/>
          <w:szCs w:val="26"/>
        </w:rPr>
        <w:t>定性评价指标的考核评分计算</w:t>
      </w:r>
    </w:p>
    <w:p w:rsidR="00EE4502" w:rsidRDefault="00FD45A3">
      <w:pPr>
        <w:spacing w:line="360" w:lineRule="auto"/>
        <w:ind w:firstLineChars="200" w:firstLine="480"/>
        <w:rPr>
          <w:bCs/>
          <w:kern w:val="24"/>
          <w:sz w:val="24"/>
          <w:szCs w:val="26"/>
        </w:rPr>
      </w:pPr>
      <w:r>
        <w:rPr>
          <w:rFonts w:hAnsi="宋体"/>
          <w:bCs/>
          <w:kern w:val="24"/>
          <w:sz w:val="24"/>
          <w:szCs w:val="26"/>
        </w:rPr>
        <w:t>定性评价指标考核总分值的计算公式为：</w:t>
      </w:r>
    </w:p>
    <w:p w:rsidR="00EE4502" w:rsidRDefault="00FD45A3">
      <w:pPr>
        <w:spacing w:line="360" w:lineRule="auto"/>
        <w:jc w:val="center"/>
        <w:rPr>
          <w:bCs/>
          <w:kern w:val="24"/>
          <w:sz w:val="24"/>
          <w:szCs w:val="26"/>
        </w:rPr>
      </w:pPr>
      <w:r>
        <w:rPr>
          <w:bCs/>
          <w:noProof/>
          <w:kern w:val="24"/>
          <w:sz w:val="24"/>
          <w:szCs w:val="26"/>
        </w:rPr>
        <w:drawing>
          <wp:inline distT="0" distB="0" distL="0" distR="0">
            <wp:extent cx="723900" cy="457200"/>
            <wp:effectExtent l="0" t="0" r="0" b="0"/>
            <wp:docPr id="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723900" cy="457200"/>
                    </a:xfrm>
                    <a:prstGeom prst="rect">
                      <a:avLst/>
                    </a:prstGeom>
                    <a:noFill/>
                    <a:ln>
                      <a:noFill/>
                    </a:ln>
                  </pic:spPr>
                </pic:pic>
              </a:graphicData>
            </a:graphic>
          </wp:inline>
        </w:drawing>
      </w:r>
    </w:p>
    <w:p w:rsidR="00EE4502" w:rsidRDefault="00FD45A3">
      <w:pPr>
        <w:spacing w:line="360" w:lineRule="auto"/>
        <w:ind w:firstLineChars="200" w:firstLine="480"/>
        <w:rPr>
          <w:bCs/>
          <w:kern w:val="24"/>
          <w:sz w:val="24"/>
          <w:szCs w:val="26"/>
        </w:rPr>
      </w:pPr>
      <w:r>
        <w:rPr>
          <w:rFonts w:hAnsi="宋体"/>
          <w:bCs/>
          <w:kern w:val="24"/>
          <w:sz w:val="24"/>
          <w:szCs w:val="26"/>
        </w:rPr>
        <w:t>式中：</w:t>
      </w:r>
      <w:r>
        <w:rPr>
          <w:bCs/>
          <w:kern w:val="24"/>
          <w:sz w:val="24"/>
          <w:szCs w:val="26"/>
        </w:rPr>
        <w:t>P</w:t>
      </w:r>
      <w:r>
        <w:rPr>
          <w:bCs/>
          <w:kern w:val="24"/>
          <w:sz w:val="24"/>
          <w:szCs w:val="26"/>
          <w:vertAlign w:val="subscript"/>
        </w:rPr>
        <w:t>2</w:t>
      </w:r>
      <w:r>
        <w:rPr>
          <w:bCs/>
          <w:kern w:val="24"/>
          <w:sz w:val="24"/>
          <w:szCs w:val="26"/>
        </w:rPr>
        <w:t>—</w:t>
      </w:r>
      <w:r>
        <w:rPr>
          <w:rFonts w:hAnsi="宋体"/>
          <w:bCs/>
          <w:kern w:val="24"/>
          <w:sz w:val="24"/>
          <w:szCs w:val="26"/>
        </w:rPr>
        <w:t>定性评价二级指标考核总分值；</w:t>
      </w:r>
    </w:p>
    <w:p w:rsidR="00EE4502" w:rsidRDefault="00FD45A3">
      <w:pPr>
        <w:spacing w:line="360" w:lineRule="auto"/>
        <w:ind w:firstLineChars="466" w:firstLine="1118"/>
        <w:rPr>
          <w:bCs/>
          <w:kern w:val="24"/>
          <w:sz w:val="24"/>
          <w:szCs w:val="26"/>
        </w:rPr>
      </w:pPr>
      <w:r>
        <w:rPr>
          <w:bCs/>
          <w:kern w:val="24"/>
          <w:sz w:val="24"/>
          <w:szCs w:val="26"/>
        </w:rPr>
        <w:t>F</w:t>
      </w:r>
      <w:r>
        <w:rPr>
          <w:bCs/>
          <w:kern w:val="24"/>
          <w:sz w:val="24"/>
          <w:szCs w:val="26"/>
          <w:vertAlign w:val="subscript"/>
        </w:rPr>
        <w:t>i</w:t>
      </w:r>
      <w:r>
        <w:rPr>
          <w:bCs/>
          <w:kern w:val="24"/>
          <w:sz w:val="24"/>
          <w:szCs w:val="26"/>
        </w:rPr>
        <w:t>—</w:t>
      </w:r>
      <w:r>
        <w:rPr>
          <w:rFonts w:hAnsi="宋体"/>
          <w:bCs/>
          <w:kern w:val="24"/>
          <w:sz w:val="24"/>
          <w:szCs w:val="26"/>
        </w:rPr>
        <w:t>定性评价指标体系中第</w:t>
      </w:r>
      <w:r>
        <w:rPr>
          <w:bCs/>
          <w:kern w:val="24"/>
          <w:sz w:val="24"/>
          <w:szCs w:val="26"/>
        </w:rPr>
        <w:t>i</w:t>
      </w:r>
      <w:r>
        <w:rPr>
          <w:rFonts w:hAnsi="宋体"/>
          <w:bCs/>
          <w:kern w:val="24"/>
          <w:sz w:val="24"/>
          <w:szCs w:val="26"/>
        </w:rPr>
        <w:t>项二级指标的得分值；</w:t>
      </w:r>
    </w:p>
    <w:p w:rsidR="00EE4502" w:rsidRDefault="00FD45A3">
      <w:pPr>
        <w:spacing w:line="360" w:lineRule="auto"/>
        <w:ind w:firstLineChars="466" w:firstLine="1118"/>
        <w:rPr>
          <w:bCs/>
          <w:kern w:val="24"/>
          <w:sz w:val="24"/>
          <w:szCs w:val="26"/>
        </w:rPr>
      </w:pPr>
      <w:r>
        <w:rPr>
          <w:bCs/>
          <w:kern w:val="24"/>
          <w:sz w:val="24"/>
          <w:szCs w:val="26"/>
        </w:rPr>
        <w:t>n—</w:t>
      </w:r>
      <w:r>
        <w:rPr>
          <w:rFonts w:hAnsi="宋体"/>
          <w:bCs/>
          <w:kern w:val="24"/>
          <w:sz w:val="24"/>
          <w:szCs w:val="26"/>
        </w:rPr>
        <w:t>参与考核的定性评价二级指标的项目总数。</w:t>
      </w:r>
    </w:p>
    <w:p w:rsidR="00EE4502" w:rsidRDefault="00FD45A3">
      <w:pPr>
        <w:spacing w:line="360" w:lineRule="auto"/>
        <w:ind w:firstLineChars="200" w:firstLine="480"/>
        <w:rPr>
          <w:bCs/>
          <w:kern w:val="24"/>
          <w:sz w:val="24"/>
          <w:szCs w:val="26"/>
        </w:rPr>
      </w:pPr>
      <w:r>
        <w:rPr>
          <w:rFonts w:ascii="宋体" w:hAnsi="宋体"/>
          <w:bCs/>
          <w:kern w:val="24"/>
          <w:sz w:val="24"/>
          <w:szCs w:val="26"/>
        </w:rPr>
        <w:t>③</w:t>
      </w:r>
      <w:r>
        <w:rPr>
          <w:rFonts w:hAnsi="宋体"/>
          <w:bCs/>
          <w:kern w:val="24"/>
          <w:sz w:val="24"/>
          <w:szCs w:val="26"/>
        </w:rPr>
        <w:t>综合评价指数考核评分计算</w:t>
      </w:r>
    </w:p>
    <w:p w:rsidR="00EE4502" w:rsidRDefault="00FD45A3">
      <w:pPr>
        <w:spacing w:line="360" w:lineRule="auto"/>
        <w:ind w:firstLineChars="200" w:firstLine="480"/>
        <w:rPr>
          <w:bCs/>
          <w:kern w:val="24"/>
          <w:sz w:val="24"/>
          <w:szCs w:val="26"/>
        </w:rPr>
      </w:pPr>
      <w:r>
        <w:rPr>
          <w:rFonts w:hAnsi="宋体"/>
          <w:bCs/>
          <w:kern w:val="24"/>
          <w:sz w:val="24"/>
          <w:szCs w:val="26"/>
        </w:rPr>
        <w:t>为了综合考核油气勘探开发企业清洁生产的总体水平，在对该企业进行定量和定性评价考核评分的基础上，将这两类指标的考核得分按不同权重（以定量评价指标为主，以定性评价指标为辅）予以综合，得出该企业的清洁生产综合评价指数。</w:t>
      </w:r>
    </w:p>
    <w:p w:rsidR="00EE4502" w:rsidRDefault="00FD45A3">
      <w:pPr>
        <w:spacing w:line="360" w:lineRule="auto"/>
        <w:ind w:firstLineChars="200" w:firstLine="480"/>
        <w:rPr>
          <w:bCs/>
          <w:kern w:val="24"/>
          <w:sz w:val="24"/>
          <w:szCs w:val="26"/>
        </w:rPr>
      </w:pPr>
      <w:r>
        <w:rPr>
          <w:rFonts w:hAnsi="宋体"/>
          <w:bCs/>
          <w:kern w:val="24"/>
          <w:sz w:val="24"/>
          <w:szCs w:val="26"/>
        </w:rPr>
        <w:t>综合评价指数计算公式为：</w:t>
      </w:r>
    </w:p>
    <w:p w:rsidR="00EE4502" w:rsidRDefault="00FD45A3">
      <w:pPr>
        <w:spacing w:line="360" w:lineRule="auto"/>
        <w:jc w:val="center"/>
        <w:rPr>
          <w:bCs/>
          <w:kern w:val="24"/>
          <w:sz w:val="24"/>
          <w:szCs w:val="26"/>
        </w:rPr>
      </w:pPr>
      <w:r>
        <w:rPr>
          <w:bCs/>
          <w:kern w:val="24"/>
          <w:sz w:val="24"/>
          <w:szCs w:val="26"/>
        </w:rPr>
        <w:t>P=0.6P</w:t>
      </w:r>
      <w:r>
        <w:rPr>
          <w:bCs/>
          <w:kern w:val="24"/>
          <w:sz w:val="24"/>
          <w:szCs w:val="26"/>
          <w:vertAlign w:val="subscript"/>
        </w:rPr>
        <w:t>1</w:t>
      </w:r>
      <w:r>
        <w:rPr>
          <w:bCs/>
          <w:kern w:val="24"/>
          <w:sz w:val="24"/>
          <w:szCs w:val="26"/>
        </w:rPr>
        <w:t>+0.4P</w:t>
      </w:r>
      <w:r>
        <w:rPr>
          <w:bCs/>
          <w:kern w:val="24"/>
          <w:sz w:val="24"/>
          <w:szCs w:val="26"/>
          <w:vertAlign w:val="subscript"/>
        </w:rPr>
        <w:t>2</w:t>
      </w:r>
      <w:r>
        <w:rPr>
          <w:bCs/>
          <w:kern w:val="24"/>
          <w:sz w:val="24"/>
          <w:szCs w:val="26"/>
        </w:rPr>
        <w:fldChar w:fldCharType="begin"/>
      </w:r>
      <w:r>
        <w:rPr>
          <w:bCs/>
          <w:kern w:val="24"/>
          <w:sz w:val="24"/>
          <w:szCs w:val="26"/>
        </w:rPr>
        <w:instrText xml:space="preserve"> P=0.6P1+0.4P2  \* MERGEFORMAT </w:instrText>
      </w:r>
      <w:r>
        <w:rPr>
          <w:bCs/>
          <w:kern w:val="24"/>
          <w:sz w:val="24"/>
          <w:szCs w:val="26"/>
        </w:rPr>
        <w:fldChar w:fldCharType="end"/>
      </w:r>
    </w:p>
    <w:p w:rsidR="00EE4502" w:rsidRDefault="00FD45A3">
      <w:pPr>
        <w:spacing w:line="360" w:lineRule="auto"/>
        <w:ind w:firstLineChars="200" w:firstLine="480"/>
        <w:rPr>
          <w:bCs/>
          <w:kern w:val="24"/>
          <w:sz w:val="24"/>
          <w:szCs w:val="26"/>
        </w:rPr>
      </w:pPr>
      <w:r>
        <w:rPr>
          <w:rFonts w:hAnsi="宋体"/>
          <w:bCs/>
          <w:kern w:val="24"/>
          <w:sz w:val="24"/>
          <w:szCs w:val="26"/>
        </w:rPr>
        <w:t>式中：</w:t>
      </w:r>
      <w:r>
        <w:rPr>
          <w:bCs/>
          <w:kern w:val="24"/>
          <w:sz w:val="24"/>
          <w:szCs w:val="26"/>
        </w:rPr>
        <w:t>P—</w:t>
      </w:r>
      <w:r>
        <w:rPr>
          <w:rFonts w:hAnsi="宋体"/>
          <w:bCs/>
          <w:kern w:val="24"/>
          <w:sz w:val="24"/>
          <w:szCs w:val="26"/>
        </w:rPr>
        <w:t>清洁生产综合评价指数；</w:t>
      </w:r>
    </w:p>
    <w:p w:rsidR="00EE4502" w:rsidRDefault="00FD45A3">
      <w:pPr>
        <w:spacing w:line="360" w:lineRule="auto"/>
        <w:ind w:firstLineChars="466" w:firstLine="1118"/>
        <w:rPr>
          <w:bCs/>
          <w:kern w:val="24"/>
          <w:sz w:val="24"/>
          <w:szCs w:val="26"/>
        </w:rPr>
      </w:pPr>
      <w:r>
        <w:rPr>
          <w:bCs/>
          <w:kern w:val="24"/>
          <w:sz w:val="24"/>
          <w:szCs w:val="26"/>
        </w:rPr>
        <w:t>P</w:t>
      </w:r>
      <w:r>
        <w:rPr>
          <w:bCs/>
          <w:kern w:val="24"/>
          <w:sz w:val="24"/>
          <w:szCs w:val="26"/>
          <w:vertAlign w:val="subscript"/>
        </w:rPr>
        <w:t>1</w:t>
      </w:r>
      <w:r>
        <w:rPr>
          <w:bCs/>
          <w:kern w:val="24"/>
          <w:sz w:val="24"/>
          <w:szCs w:val="26"/>
        </w:rPr>
        <w:t>—</w:t>
      </w:r>
      <w:r>
        <w:rPr>
          <w:rFonts w:hAnsi="宋体"/>
          <w:bCs/>
          <w:kern w:val="24"/>
          <w:sz w:val="24"/>
          <w:szCs w:val="26"/>
        </w:rPr>
        <w:t>定量评价指标考核总分值；</w:t>
      </w:r>
    </w:p>
    <w:p w:rsidR="00EE4502" w:rsidRDefault="00FD45A3">
      <w:pPr>
        <w:spacing w:line="360" w:lineRule="auto"/>
        <w:ind w:firstLineChars="466" w:firstLine="1118"/>
        <w:rPr>
          <w:bCs/>
          <w:kern w:val="24"/>
          <w:sz w:val="24"/>
          <w:szCs w:val="26"/>
        </w:rPr>
      </w:pPr>
      <w:r>
        <w:rPr>
          <w:bCs/>
          <w:kern w:val="24"/>
          <w:sz w:val="24"/>
          <w:szCs w:val="26"/>
        </w:rPr>
        <w:t>P</w:t>
      </w:r>
      <w:r>
        <w:rPr>
          <w:bCs/>
          <w:kern w:val="24"/>
          <w:sz w:val="24"/>
          <w:szCs w:val="26"/>
          <w:vertAlign w:val="subscript"/>
        </w:rPr>
        <w:t>2</w:t>
      </w:r>
      <w:r>
        <w:rPr>
          <w:bCs/>
          <w:kern w:val="24"/>
          <w:sz w:val="24"/>
          <w:szCs w:val="26"/>
        </w:rPr>
        <w:t>—</w:t>
      </w:r>
      <w:r>
        <w:rPr>
          <w:rFonts w:hAnsi="宋体"/>
          <w:bCs/>
          <w:kern w:val="24"/>
          <w:sz w:val="24"/>
          <w:szCs w:val="26"/>
        </w:rPr>
        <w:t>定性评价指标考核总分值。</w:t>
      </w:r>
    </w:p>
    <w:p w:rsidR="00EE4502" w:rsidRDefault="00FD45A3">
      <w:pPr>
        <w:spacing w:line="360" w:lineRule="auto"/>
        <w:ind w:firstLineChars="200" w:firstLine="480"/>
        <w:rPr>
          <w:rFonts w:hAnsi="宋体"/>
          <w:bCs/>
          <w:kern w:val="24"/>
          <w:sz w:val="24"/>
          <w:szCs w:val="26"/>
        </w:rPr>
      </w:pPr>
      <w:r>
        <w:rPr>
          <w:rFonts w:hAnsi="宋体"/>
          <w:bCs/>
          <w:kern w:val="24"/>
          <w:sz w:val="24"/>
          <w:szCs w:val="26"/>
        </w:rPr>
        <w:t>根据目前我国石油和天然气开采行业的实际情况，不同等级的清洁生产企业的综合评价指标见表</w:t>
      </w:r>
      <w:r>
        <w:rPr>
          <w:rFonts w:hint="eastAsia"/>
          <w:bCs/>
          <w:kern w:val="24"/>
          <w:sz w:val="24"/>
          <w:szCs w:val="26"/>
        </w:rPr>
        <w:t>3-</w:t>
      </w:r>
      <w:r>
        <w:rPr>
          <w:rFonts w:hint="eastAsia"/>
          <w:bCs/>
          <w:kern w:val="24"/>
          <w:sz w:val="24"/>
          <w:szCs w:val="26"/>
        </w:rPr>
        <w:t>4-19</w:t>
      </w:r>
      <w:r>
        <w:rPr>
          <w:rFonts w:hAnsi="宋体"/>
          <w:bCs/>
          <w:kern w:val="24"/>
          <w:sz w:val="24"/>
          <w:szCs w:val="26"/>
        </w:rPr>
        <w:t>。</w:t>
      </w:r>
    </w:p>
    <w:p w:rsidR="00EE4502" w:rsidRDefault="00FD45A3">
      <w:pPr>
        <w:spacing w:line="360" w:lineRule="auto"/>
        <w:jc w:val="center"/>
        <w:textAlignment w:val="baseline"/>
        <w:rPr>
          <w:rFonts w:eastAsia="黑体"/>
          <w:bCs/>
          <w:lang w:val="zh-CN"/>
        </w:rPr>
      </w:pPr>
      <w:r>
        <w:rPr>
          <w:rFonts w:eastAsia="黑体"/>
          <w:bCs/>
          <w:lang w:val="zh-CN"/>
        </w:rPr>
        <w:t>表</w:t>
      </w:r>
      <w:r>
        <w:rPr>
          <w:rFonts w:eastAsia="黑体" w:hint="eastAsia"/>
          <w:bCs/>
          <w:lang w:val="zh-CN"/>
        </w:rPr>
        <w:t>3-</w:t>
      </w:r>
      <w:r>
        <w:rPr>
          <w:rFonts w:eastAsia="黑体" w:hint="eastAsia"/>
          <w:bCs/>
        </w:rPr>
        <w:t>4-19</w:t>
      </w:r>
      <w:r>
        <w:rPr>
          <w:rFonts w:eastAsia="黑体"/>
          <w:bCs/>
          <w:lang w:val="zh-CN"/>
        </w:rPr>
        <w:t xml:space="preserve">  </w:t>
      </w:r>
      <w:r>
        <w:rPr>
          <w:rFonts w:eastAsia="黑体"/>
          <w:bCs/>
          <w:lang w:val="zh-CN"/>
        </w:rPr>
        <w:t>石油和天然气开采行业不同等级清洁生产企业综合评价指数</w:t>
      </w:r>
    </w:p>
    <w:tbl>
      <w:tblPr>
        <w:tblW w:w="4999" w:type="pct"/>
        <w:jc w:val="center"/>
        <w:tblBorders>
          <w:top w:val="single" w:sz="8" w:space="0" w:color="auto"/>
          <w:bottom w:val="single" w:sz="8" w:space="0" w:color="auto"/>
          <w:insideH w:val="single" w:sz="8" w:space="0" w:color="auto"/>
          <w:insideV w:val="single" w:sz="8" w:space="0" w:color="auto"/>
        </w:tblBorders>
        <w:tblLook w:val="04A0" w:firstRow="1" w:lastRow="0" w:firstColumn="1" w:lastColumn="0" w:noHBand="0" w:noVBand="1"/>
      </w:tblPr>
      <w:tblGrid>
        <w:gridCol w:w="3834"/>
        <w:gridCol w:w="4686"/>
      </w:tblGrid>
      <w:tr w:rsidR="00EE4502">
        <w:trPr>
          <w:trHeight w:val="340"/>
          <w:tblHeader/>
          <w:jc w:val="center"/>
        </w:trPr>
        <w:tc>
          <w:tcPr>
            <w:tcW w:w="2250" w:type="pct"/>
            <w:vAlign w:val="center"/>
          </w:tcPr>
          <w:p w:rsidR="00EE4502" w:rsidRDefault="00FD45A3">
            <w:pPr>
              <w:jc w:val="center"/>
              <w:rPr>
                <w:bCs/>
                <w:sz w:val="18"/>
                <w:szCs w:val="18"/>
              </w:rPr>
            </w:pPr>
            <w:r>
              <w:rPr>
                <w:bCs/>
                <w:sz w:val="18"/>
                <w:szCs w:val="18"/>
              </w:rPr>
              <w:t>清洁生产企业等级</w:t>
            </w:r>
          </w:p>
        </w:tc>
        <w:tc>
          <w:tcPr>
            <w:tcW w:w="2749" w:type="pct"/>
            <w:vAlign w:val="center"/>
          </w:tcPr>
          <w:p w:rsidR="00EE4502" w:rsidRDefault="00FD45A3">
            <w:pPr>
              <w:jc w:val="center"/>
              <w:rPr>
                <w:bCs/>
                <w:sz w:val="18"/>
                <w:szCs w:val="18"/>
              </w:rPr>
            </w:pPr>
            <w:r>
              <w:rPr>
                <w:bCs/>
                <w:sz w:val="18"/>
                <w:szCs w:val="18"/>
              </w:rPr>
              <w:t>清洁生产综合评价指数</w:t>
            </w:r>
          </w:p>
        </w:tc>
      </w:tr>
      <w:tr w:rsidR="00EE4502">
        <w:trPr>
          <w:trHeight w:val="340"/>
          <w:tblHeader/>
          <w:jc w:val="center"/>
        </w:trPr>
        <w:tc>
          <w:tcPr>
            <w:tcW w:w="2250" w:type="pct"/>
            <w:vAlign w:val="center"/>
          </w:tcPr>
          <w:p w:rsidR="00EE4502" w:rsidRDefault="00FD45A3">
            <w:pPr>
              <w:jc w:val="center"/>
              <w:rPr>
                <w:bCs/>
                <w:sz w:val="18"/>
                <w:szCs w:val="18"/>
              </w:rPr>
            </w:pPr>
            <w:r>
              <w:rPr>
                <w:bCs/>
                <w:sz w:val="18"/>
                <w:szCs w:val="18"/>
              </w:rPr>
              <w:t>清洁生产先进企业</w:t>
            </w:r>
          </w:p>
        </w:tc>
        <w:tc>
          <w:tcPr>
            <w:tcW w:w="2749" w:type="pct"/>
            <w:vAlign w:val="center"/>
          </w:tcPr>
          <w:p w:rsidR="00EE4502" w:rsidRDefault="00FD45A3">
            <w:pPr>
              <w:jc w:val="center"/>
              <w:rPr>
                <w:bCs/>
                <w:sz w:val="18"/>
                <w:szCs w:val="18"/>
              </w:rPr>
            </w:pPr>
            <w:r>
              <w:rPr>
                <w:bCs/>
                <w:sz w:val="18"/>
                <w:szCs w:val="18"/>
              </w:rPr>
              <w:t>P≥90</w:t>
            </w:r>
          </w:p>
        </w:tc>
      </w:tr>
      <w:tr w:rsidR="00EE4502">
        <w:trPr>
          <w:trHeight w:val="340"/>
          <w:tblHeader/>
          <w:jc w:val="center"/>
        </w:trPr>
        <w:tc>
          <w:tcPr>
            <w:tcW w:w="2250" w:type="pct"/>
            <w:vAlign w:val="center"/>
          </w:tcPr>
          <w:p w:rsidR="00EE4502" w:rsidRDefault="00FD45A3">
            <w:pPr>
              <w:jc w:val="center"/>
              <w:rPr>
                <w:bCs/>
                <w:sz w:val="18"/>
                <w:szCs w:val="18"/>
              </w:rPr>
            </w:pPr>
            <w:r>
              <w:rPr>
                <w:bCs/>
                <w:sz w:val="18"/>
                <w:szCs w:val="18"/>
              </w:rPr>
              <w:t>清洁生产企业</w:t>
            </w:r>
          </w:p>
        </w:tc>
        <w:tc>
          <w:tcPr>
            <w:tcW w:w="2749" w:type="pct"/>
            <w:vAlign w:val="center"/>
          </w:tcPr>
          <w:p w:rsidR="00EE4502" w:rsidRDefault="00FD45A3">
            <w:pPr>
              <w:jc w:val="center"/>
              <w:rPr>
                <w:bCs/>
                <w:sz w:val="18"/>
                <w:szCs w:val="18"/>
              </w:rPr>
            </w:pPr>
            <w:r>
              <w:rPr>
                <w:bCs/>
                <w:sz w:val="18"/>
                <w:szCs w:val="18"/>
              </w:rPr>
              <w:t>75≤P</w:t>
            </w:r>
            <w:r>
              <w:rPr>
                <w:bCs/>
                <w:sz w:val="18"/>
                <w:szCs w:val="18"/>
              </w:rPr>
              <w:t>＜</w:t>
            </w:r>
            <w:r>
              <w:rPr>
                <w:bCs/>
                <w:sz w:val="18"/>
                <w:szCs w:val="18"/>
              </w:rPr>
              <w:t>90</w:t>
            </w:r>
          </w:p>
        </w:tc>
      </w:tr>
    </w:tbl>
    <w:p w:rsidR="00EE4502" w:rsidRDefault="00EE4502">
      <w:pPr>
        <w:jc w:val="center"/>
        <w:rPr>
          <w:sz w:val="18"/>
          <w:szCs w:val="18"/>
        </w:rPr>
      </w:pPr>
    </w:p>
    <w:p w:rsidR="00EE4502" w:rsidRDefault="00FD45A3">
      <w:pPr>
        <w:spacing w:line="360" w:lineRule="auto"/>
        <w:ind w:firstLineChars="200" w:firstLine="480"/>
        <w:rPr>
          <w:rFonts w:hAnsi="宋体"/>
          <w:bCs/>
          <w:kern w:val="24"/>
          <w:sz w:val="24"/>
          <w:szCs w:val="26"/>
        </w:rPr>
      </w:pPr>
      <w:r>
        <w:rPr>
          <w:rFonts w:hAnsi="宋体"/>
          <w:bCs/>
          <w:kern w:val="24"/>
          <w:sz w:val="24"/>
          <w:szCs w:val="26"/>
        </w:rPr>
        <w:t>由上表计算得出：</w:t>
      </w:r>
    </w:p>
    <w:p w:rsidR="00EE4502" w:rsidRDefault="00FD45A3">
      <w:pPr>
        <w:spacing w:line="360" w:lineRule="auto"/>
        <w:ind w:firstLineChars="200" w:firstLine="480"/>
        <w:rPr>
          <w:rFonts w:hAnsi="宋体"/>
          <w:bCs/>
          <w:kern w:val="24"/>
          <w:sz w:val="24"/>
          <w:szCs w:val="26"/>
        </w:rPr>
      </w:pPr>
      <w:r>
        <w:rPr>
          <w:rFonts w:hAnsi="宋体"/>
          <w:bCs/>
          <w:kern w:val="24"/>
          <w:sz w:val="24"/>
          <w:szCs w:val="26"/>
        </w:rPr>
        <w:t>——</w:t>
      </w:r>
      <w:r>
        <w:rPr>
          <w:rFonts w:hAnsi="宋体" w:hint="eastAsia"/>
          <w:bCs/>
          <w:kern w:val="24"/>
          <w:sz w:val="24"/>
          <w:szCs w:val="26"/>
        </w:rPr>
        <w:t>钻井</w:t>
      </w:r>
      <w:r>
        <w:rPr>
          <w:rFonts w:hAnsi="宋体"/>
          <w:bCs/>
          <w:kern w:val="24"/>
          <w:sz w:val="24"/>
          <w:szCs w:val="26"/>
        </w:rPr>
        <w:t>作业：定量指标</w:t>
      </w:r>
      <w:r>
        <w:rPr>
          <w:rFonts w:hAnsi="宋体"/>
          <w:bCs/>
          <w:kern w:val="24"/>
          <w:sz w:val="24"/>
          <w:szCs w:val="26"/>
        </w:rPr>
        <w:t>100</w:t>
      </w:r>
      <w:r>
        <w:rPr>
          <w:rFonts w:hAnsi="宋体"/>
          <w:bCs/>
          <w:kern w:val="24"/>
          <w:sz w:val="24"/>
          <w:szCs w:val="26"/>
        </w:rPr>
        <w:t>分，定性指标</w:t>
      </w:r>
      <w:r>
        <w:rPr>
          <w:rFonts w:hAnsi="宋体"/>
          <w:bCs/>
          <w:kern w:val="24"/>
          <w:sz w:val="24"/>
          <w:szCs w:val="26"/>
        </w:rPr>
        <w:t>100</w:t>
      </w:r>
      <w:r>
        <w:rPr>
          <w:rFonts w:hAnsi="宋体"/>
          <w:bCs/>
          <w:kern w:val="24"/>
          <w:sz w:val="24"/>
          <w:szCs w:val="26"/>
        </w:rPr>
        <w:t>分，综合评价指数</w:t>
      </w:r>
      <w:r>
        <w:rPr>
          <w:rFonts w:hAnsi="宋体"/>
          <w:bCs/>
          <w:kern w:val="24"/>
          <w:sz w:val="24"/>
          <w:szCs w:val="26"/>
        </w:rPr>
        <w:t>100</w:t>
      </w:r>
      <w:r>
        <w:rPr>
          <w:rFonts w:hAnsi="宋体"/>
          <w:bCs/>
          <w:kern w:val="24"/>
          <w:sz w:val="24"/>
          <w:szCs w:val="26"/>
        </w:rPr>
        <w:t>分。清洁生产企业等级为：清洁生产先进企业。</w:t>
      </w:r>
    </w:p>
    <w:p w:rsidR="00EE4502" w:rsidRDefault="00FD45A3">
      <w:pPr>
        <w:spacing w:line="360" w:lineRule="auto"/>
        <w:ind w:firstLineChars="200" w:firstLine="480"/>
        <w:rPr>
          <w:rFonts w:hAnsi="宋体"/>
          <w:bCs/>
          <w:kern w:val="24"/>
          <w:sz w:val="24"/>
          <w:szCs w:val="26"/>
        </w:rPr>
      </w:pPr>
      <w:r>
        <w:rPr>
          <w:rFonts w:hAnsi="宋体"/>
          <w:bCs/>
          <w:kern w:val="24"/>
          <w:sz w:val="24"/>
          <w:szCs w:val="26"/>
        </w:rPr>
        <w:t>——</w:t>
      </w:r>
      <w:r>
        <w:rPr>
          <w:rFonts w:hAnsi="宋体"/>
          <w:bCs/>
          <w:kern w:val="24"/>
          <w:sz w:val="24"/>
          <w:szCs w:val="26"/>
        </w:rPr>
        <w:t>井下作业：定量指标</w:t>
      </w:r>
      <w:r>
        <w:rPr>
          <w:rFonts w:hAnsi="宋体"/>
          <w:bCs/>
          <w:kern w:val="24"/>
          <w:sz w:val="24"/>
          <w:szCs w:val="26"/>
        </w:rPr>
        <w:t>90</w:t>
      </w:r>
      <w:r>
        <w:rPr>
          <w:rFonts w:hAnsi="宋体"/>
          <w:bCs/>
          <w:kern w:val="24"/>
          <w:sz w:val="24"/>
          <w:szCs w:val="26"/>
        </w:rPr>
        <w:t>分，定性指标</w:t>
      </w:r>
      <w:r>
        <w:rPr>
          <w:rFonts w:hAnsi="宋体"/>
          <w:bCs/>
          <w:kern w:val="24"/>
          <w:sz w:val="24"/>
          <w:szCs w:val="26"/>
        </w:rPr>
        <w:t>100</w:t>
      </w:r>
      <w:r>
        <w:rPr>
          <w:rFonts w:hAnsi="宋体"/>
          <w:bCs/>
          <w:kern w:val="24"/>
          <w:sz w:val="24"/>
          <w:szCs w:val="26"/>
        </w:rPr>
        <w:t>分，综合评价指数</w:t>
      </w:r>
      <w:r>
        <w:rPr>
          <w:rFonts w:hAnsi="宋体"/>
          <w:bCs/>
          <w:kern w:val="24"/>
          <w:sz w:val="24"/>
          <w:szCs w:val="26"/>
        </w:rPr>
        <w:t>94</w:t>
      </w:r>
      <w:r>
        <w:rPr>
          <w:rFonts w:hAnsi="宋体"/>
          <w:bCs/>
          <w:kern w:val="24"/>
          <w:sz w:val="24"/>
          <w:szCs w:val="26"/>
        </w:rPr>
        <w:t>分。清</w:t>
      </w:r>
      <w:r>
        <w:rPr>
          <w:rFonts w:hAnsi="宋体"/>
          <w:bCs/>
          <w:kern w:val="24"/>
          <w:sz w:val="24"/>
          <w:szCs w:val="26"/>
        </w:rPr>
        <w:lastRenderedPageBreak/>
        <w:t>洁生产企业等级为：清洁生产先进企业。</w:t>
      </w:r>
    </w:p>
    <w:p w:rsidR="00EE4502" w:rsidRDefault="00FD45A3">
      <w:pPr>
        <w:spacing w:line="360" w:lineRule="auto"/>
        <w:ind w:firstLineChars="200" w:firstLine="480"/>
        <w:rPr>
          <w:rFonts w:hAnsi="宋体"/>
          <w:bCs/>
          <w:kern w:val="24"/>
          <w:sz w:val="24"/>
          <w:szCs w:val="26"/>
        </w:rPr>
      </w:pPr>
      <w:r>
        <w:rPr>
          <w:rFonts w:hAnsi="宋体"/>
          <w:bCs/>
          <w:kern w:val="24"/>
          <w:sz w:val="24"/>
          <w:szCs w:val="26"/>
        </w:rPr>
        <w:t>——</w:t>
      </w:r>
      <w:r>
        <w:rPr>
          <w:rFonts w:hAnsi="宋体"/>
          <w:bCs/>
          <w:kern w:val="24"/>
          <w:sz w:val="24"/>
          <w:szCs w:val="26"/>
        </w:rPr>
        <w:t>采油和集输：定量指标</w:t>
      </w:r>
      <w:r>
        <w:rPr>
          <w:rFonts w:hAnsi="宋体" w:hint="eastAsia"/>
          <w:bCs/>
          <w:kern w:val="24"/>
          <w:sz w:val="24"/>
          <w:szCs w:val="26"/>
        </w:rPr>
        <w:t>85</w:t>
      </w:r>
      <w:r>
        <w:rPr>
          <w:rFonts w:hAnsi="宋体"/>
          <w:bCs/>
          <w:kern w:val="24"/>
          <w:sz w:val="24"/>
          <w:szCs w:val="26"/>
        </w:rPr>
        <w:t>分，定性指标</w:t>
      </w:r>
      <w:r>
        <w:rPr>
          <w:rFonts w:hAnsi="宋体" w:hint="eastAsia"/>
          <w:bCs/>
          <w:kern w:val="24"/>
          <w:sz w:val="24"/>
          <w:szCs w:val="26"/>
        </w:rPr>
        <w:t>100</w:t>
      </w:r>
      <w:r>
        <w:rPr>
          <w:rFonts w:hAnsi="宋体"/>
          <w:bCs/>
          <w:kern w:val="24"/>
          <w:sz w:val="24"/>
          <w:szCs w:val="26"/>
        </w:rPr>
        <w:t>分，综合评价指数</w:t>
      </w:r>
      <w:r>
        <w:rPr>
          <w:rFonts w:hAnsi="宋体"/>
          <w:bCs/>
          <w:kern w:val="24"/>
          <w:sz w:val="24"/>
          <w:szCs w:val="26"/>
        </w:rPr>
        <w:t>9</w:t>
      </w:r>
      <w:r>
        <w:rPr>
          <w:rFonts w:hAnsi="宋体" w:hint="eastAsia"/>
          <w:bCs/>
          <w:kern w:val="24"/>
          <w:sz w:val="24"/>
          <w:szCs w:val="26"/>
        </w:rPr>
        <w:t>1</w:t>
      </w:r>
      <w:r>
        <w:rPr>
          <w:rFonts w:hAnsi="宋体"/>
          <w:bCs/>
          <w:kern w:val="24"/>
          <w:sz w:val="24"/>
          <w:szCs w:val="26"/>
        </w:rPr>
        <w:t>分。清洁生产企业等级为：清洁生产先进企业。</w:t>
      </w:r>
    </w:p>
    <w:p w:rsidR="00EE4502" w:rsidRDefault="00FD45A3">
      <w:pPr>
        <w:spacing w:line="360" w:lineRule="auto"/>
        <w:ind w:firstLine="420"/>
        <w:rPr>
          <w:rFonts w:eastAsia="黑体"/>
          <w:bCs/>
          <w:lang w:val="zh-CN"/>
        </w:rPr>
      </w:pPr>
      <w:r>
        <w:rPr>
          <w:rFonts w:hAnsi="宋体"/>
          <w:bCs/>
          <w:kern w:val="24"/>
          <w:sz w:val="24"/>
          <w:szCs w:val="26"/>
        </w:rPr>
        <w:t>综上，本工程清洁生产企业等级为：清洁生产先进企业</w:t>
      </w:r>
      <w:r>
        <w:rPr>
          <w:rFonts w:hAnsi="宋体" w:hint="eastAsia"/>
          <w:bCs/>
          <w:kern w:val="24"/>
          <w:sz w:val="24"/>
          <w:szCs w:val="26"/>
        </w:rPr>
        <w:t>。</w:t>
      </w:r>
    </w:p>
    <w:p w:rsidR="00EE4502" w:rsidRDefault="00FD45A3">
      <w:pPr>
        <w:pStyle w:val="41"/>
        <w:numPr>
          <w:ilvl w:val="0"/>
          <w:numId w:val="37"/>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bCs w:val="0"/>
          <w:sz w:val="24"/>
          <w:szCs w:val="24"/>
        </w:rPr>
        <w:t>清洁生产水平结论</w:t>
      </w:r>
    </w:p>
    <w:p w:rsidR="00EE4502" w:rsidRDefault="00FD45A3">
      <w:pPr>
        <w:spacing w:line="360" w:lineRule="auto"/>
        <w:ind w:firstLine="522"/>
        <w:rPr>
          <w:sz w:val="24"/>
        </w:rPr>
      </w:pPr>
      <w:r>
        <w:rPr>
          <w:sz w:val="24"/>
        </w:rPr>
        <w:t>通过以上分析可以看出，本工程无论是在生产工艺、设备的先进性、合理性，还是在原材料及能量的利用以及生产管理和员工的素质提高等各方面均考虑了清洁生产的要求，将清洁生产的技术运用到了开发生产的全过程中。特别是该工程注重源头控制污染物的产生量和废物的重复利用，充分利用了能源和资源，尽量减少或消除了污染物的产生，并使废物在生产过程中转化为可用资源，最大限度的降低了工程对环境造成的污染。</w:t>
      </w:r>
    </w:p>
    <w:p w:rsidR="00EE4502" w:rsidRDefault="00FD45A3">
      <w:pPr>
        <w:spacing w:line="360" w:lineRule="auto"/>
        <w:ind w:firstLine="522"/>
        <w:rPr>
          <w:sz w:val="24"/>
        </w:rPr>
      </w:pPr>
      <w:r>
        <w:rPr>
          <w:sz w:val="24"/>
        </w:rPr>
        <w:t>因此，本工程属于清洁生产先进水平</w:t>
      </w:r>
      <w:r>
        <w:rPr>
          <w:rFonts w:hint="eastAsia"/>
          <w:sz w:val="24"/>
        </w:rPr>
        <w:t>。</w:t>
      </w:r>
    </w:p>
    <w:p w:rsidR="00EE4502" w:rsidRDefault="00FD45A3">
      <w:pPr>
        <w:pStyle w:val="33"/>
        <w:numPr>
          <w:ilvl w:val="2"/>
          <w:numId w:val="30"/>
        </w:numPr>
        <w:spacing w:line="360" w:lineRule="auto"/>
        <w:rPr>
          <w:spacing w:val="0"/>
          <w:sz w:val="24"/>
          <w:szCs w:val="24"/>
        </w:rPr>
      </w:pPr>
      <w:r>
        <w:rPr>
          <w:rFonts w:hint="eastAsia"/>
          <w:spacing w:val="0"/>
          <w:sz w:val="24"/>
          <w:szCs w:val="24"/>
        </w:rPr>
        <w:t>污染物排放“三本账”</w:t>
      </w:r>
    </w:p>
    <w:p w:rsidR="00EE4502" w:rsidRDefault="00FD45A3">
      <w:pPr>
        <w:spacing w:line="360" w:lineRule="auto"/>
        <w:ind w:firstLine="522"/>
        <w:rPr>
          <w:sz w:val="24"/>
        </w:rPr>
      </w:pPr>
      <w:r>
        <w:rPr>
          <w:rFonts w:hint="eastAsia"/>
          <w:sz w:val="24"/>
        </w:rPr>
        <w:t>本工程投产后污染物变化情况见下表。</w:t>
      </w:r>
    </w:p>
    <w:p w:rsidR="00EE4502" w:rsidRDefault="00FD45A3">
      <w:pPr>
        <w:spacing w:line="360" w:lineRule="auto"/>
        <w:jc w:val="center"/>
        <w:rPr>
          <w:rFonts w:ascii="黑体" w:eastAsia="黑体" w:hAnsi="黑体" w:cs="黑体"/>
          <w:szCs w:val="21"/>
        </w:rPr>
      </w:pPr>
      <w:r>
        <w:rPr>
          <w:rFonts w:ascii="黑体" w:eastAsia="黑体" w:hAnsi="黑体" w:cs="黑体" w:hint="eastAsia"/>
          <w:szCs w:val="21"/>
        </w:rPr>
        <w:t>表</w:t>
      </w:r>
      <w:r>
        <w:rPr>
          <w:rFonts w:ascii="黑体" w:eastAsia="黑体" w:hAnsi="黑体" w:cs="黑体" w:hint="eastAsia"/>
          <w:szCs w:val="21"/>
        </w:rPr>
        <w:t xml:space="preserve">3-4-20  </w:t>
      </w:r>
      <w:r>
        <w:rPr>
          <w:rFonts w:ascii="黑体" w:eastAsia="黑体" w:hAnsi="黑体" w:cs="黑体" w:hint="eastAsia"/>
          <w:szCs w:val="21"/>
        </w:rPr>
        <w:t>拟建项目投产后排</w:t>
      </w:r>
      <w:r>
        <w:rPr>
          <w:rFonts w:ascii="黑体" w:eastAsia="黑体" w:hAnsi="黑体" w:cs="黑体" w:hint="eastAsia"/>
          <w:szCs w:val="21"/>
        </w:rPr>
        <w:t>61</w:t>
      </w:r>
      <w:r>
        <w:rPr>
          <w:rFonts w:ascii="黑体" w:eastAsia="黑体" w:hAnsi="黑体" w:cs="黑体" w:hint="eastAsia"/>
          <w:szCs w:val="21"/>
        </w:rPr>
        <w:t>块污染物排放“三本账”一览表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468"/>
        <w:gridCol w:w="1532"/>
        <w:gridCol w:w="913"/>
        <w:gridCol w:w="811"/>
        <w:gridCol w:w="1119"/>
        <w:gridCol w:w="1014"/>
        <w:gridCol w:w="1327"/>
        <w:gridCol w:w="912"/>
      </w:tblGrid>
      <w:tr w:rsidR="00EE4502">
        <w:trPr>
          <w:trHeight w:val="340"/>
          <w:jc w:val="center"/>
        </w:trPr>
        <w:tc>
          <w:tcPr>
            <w:tcW w:w="1449" w:type="pct"/>
            <w:gridSpan w:val="3"/>
            <w:vAlign w:val="center"/>
          </w:tcPr>
          <w:p w:rsidR="00EE4502" w:rsidRDefault="00FD45A3">
            <w:pPr>
              <w:jc w:val="center"/>
              <w:textAlignment w:val="center"/>
              <w:rPr>
                <w:szCs w:val="21"/>
              </w:rPr>
            </w:pPr>
            <w:r>
              <w:rPr>
                <w:szCs w:val="21"/>
              </w:rPr>
              <w:t>项目</w:t>
            </w:r>
          </w:p>
        </w:tc>
        <w:tc>
          <w:tcPr>
            <w:tcW w:w="544" w:type="pct"/>
            <w:shd w:val="clear" w:color="auto" w:fill="auto"/>
            <w:vAlign w:val="center"/>
          </w:tcPr>
          <w:p w:rsidR="00EE4502" w:rsidRDefault="00FD45A3">
            <w:pPr>
              <w:jc w:val="center"/>
              <w:textAlignment w:val="center"/>
              <w:rPr>
                <w:szCs w:val="21"/>
              </w:rPr>
            </w:pPr>
            <w:r>
              <w:rPr>
                <w:szCs w:val="21"/>
              </w:rPr>
              <w:t>现有工程排放量</w:t>
            </w:r>
          </w:p>
        </w:tc>
        <w:tc>
          <w:tcPr>
            <w:tcW w:w="484" w:type="pct"/>
            <w:shd w:val="clear" w:color="auto" w:fill="auto"/>
            <w:vAlign w:val="center"/>
          </w:tcPr>
          <w:p w:rsidR="00EE4502" w:rsidRDefault="00FD45A3">
            <w:pPr>
              <w:jc w:val="center"/>
              <w:textAlignment w:val="center"/>
              <w:rPr>
                <w:szCs w:val="21"/>
              </w:rPr>
            </w:pPr>
            <w:r>
              <w:rPr>
                <w:szCs w:val="21"/>
              </w:rPr>
              <w:t>在建工程排放量</w:t>
            </w:r>
          </w:p>
        </w:tc>
        <w:tc>
          <w:tcPr>
            <w:tcW w:w="665" w:type="pct"/>
            <w:vAlign w:val="center"/>
          </w:tcPr>
          <w:p w:rsidR="00EE4502" w:rsidRDefault="00FD45A3">
            <w:pPr>
              <w:jc w:val="center"/>
              <w:textAlignment w:val="center"/>
              <w:rPr>
                <w:szCs w:val="21"/>
              </w:rPr>
            </w:pPr>
            <w:r>
              <w:rPr>
                <w:szCs w:val="21"/>
              </w:rPr>
              <w:t>拟建项目排放量</w:t>
            </w:r>
          </w:p>
        </w:tc>
        <w:tc>
          <w:tcPr>
            <w:tcW w:w="603" w:type="pct"/>
            <w:shd w:val="clear" w:color="auto" w:fill="auto"/>
            <w:vAlign w:val="center"/>
          </w:tcPr>
          <w:p w:rsidR="00EE4502" w:rsidRDefault="00FD45A3">
            <w:pPr>
              <w:jc w:val="center"/>
              <w:textAlignment w:val="center"/>
              <w:rPr>
                <w:szCs w:val="21"/>
              </w:rPr>
            </w:pPr>
            <w:r>
              <w:rPr>
                <w:szCs w:val="21"/>
              </w:rPr>
              <w:t>工程以新带老削减量</w:t>
            </w:r>
          </w:p>
        </w:tc>
        <w:tc>
          <w:tcPr>
            <w:tcW w:w="787" w:type="pct"/>
            <w:shd w:val="clear" w:color="auto" w:fill="auto"/>
            <w:vAlign w:val="center"/>
          </w:tcPr>
          <w:p w:rsidR="00EE4502" w:rsidRDefault="00FD45A3">
            <w:pPr>
              <w:jc w:val="center"/>
              <w:textAlignment w:val="center"/>
              <w:rPr>
                <w:szCs w:val="21"/>
              </w:rPr>
            </w:pPr>
            <w:r>
              <w:rPr>
                <w:szCs w:val="21"/>
              </w:rPr>
              <w:t>拟建项目投产后污染物排放总量</w:t>
            </w:r>
          </w:p>
        </w:tc>
        <w:tc>
          <w:tcPr>
            <w:tcW w:w="468" w:type="pct"/>
            <w:shd w:val="clear" w:color="auto" w:fill="auto"/>
            <w:vAlign w:val="center"/>
          </w:tcPr>
          <w:p w:rsidR="00EE4502" w:rsidRDefault="00FD45A3">
            <w:pPr>
              <w:jc w:val="center"/>
              <w:textAlignment w:val="center"/>
              <w:rPr>
                <w:szCs w:val="21"/>
              </w:rPr>
            </w:pPr>
            <w:r>
              <w:rPr>
                <w:szCs w:val="21"/>
              </w:rPr>
              <w:t>排放增减量</w:t>
            </w:r>
          </w:p>
        </w:tc>
      </w:tr>
      <w:tr w:rsidR="00EE4502">
        <w:trPr>
          <w:trHeight w:val="340"/>
          <w:jc w:val="center"/>
        </w:trPr>
        <w:tc>
          <w:tcPr>
            <w:tcW w:w="259" w:type="pct"/>
            <w:vMerge w:val="restart"/>
            <w:vAlign w:val="center"/>
          </w:tcPr>
          <w:p w:rsidR="00EE4502" w:rsidRDefault="00FD45A3">
            <w:pPr>
              <w:jc w:val="center"/>
              <w:textAlignment w:val="center"/>
              <w:rPr>
                <w:szCs w:val="21"/>
              </w:rPr>
            </w:pPr>
            <w:r>
              <w:rPr>
                <w:szCs w:val="21"/>
              </w:rPr>
              <w:t>废气</w:t>
            </w:r>
          </w:p>
        </w:tc>
        <w:tc>
          <w:tcPr>
            <w:tcW w:w="283" w:type="pct"/>
            <w:vMerge w:val="restart"/>
            <w:vAlign w:val="center"/>
          </w:tcPr>
          <w:p w:rsidR="00EE4502" w:rsidRDefault="00FD45A3">
            <w:pPr>
              <w:jc w:val="center"/>
              <w:textAlignment w:val="center"/>
              <w:rPr>
                <w:szCs w:val="21"/>
              </w:rPr>
            </w:pPr>
            <w:r>
              <w:rPr>
                <w:szCs w:val="21"/>
              </w:rPr>
              <w:t>有组织</w:t>
            </w:r>
          </w:p>
        </w:tc>
        <w:tc>
          <w:tcPr>
            <w:tcW w:w="907" w:type="pct"/>
            <w:shd w:val="clear" w:color="auto" w:fill="auto"/>
            <w:vAlign w:val="center"/>
          </w:tcPr>
          <w:p w:rsidR="00EE4502" w:rsidRDefault="00FD45A3">
            <w:pPr>
              <w:jc w:val="center"/>
              <w:textAlignment w:val="center"/>
              <w:rPr>
                <w:szCs w:val="21"/>
              </w:rPr>
            </w:pPr>
            <w:r>
              <w:rPr>
                <w:szCs w:val="21"/>
              </w:rPr>
              <w:t>SO</w:t>
            </w:r>
            <w:r>
              <w:rPr>
                <w:szCs w:val="21"/>
                <w:vertAlign w:val="subscript"/>
              </w:rPr>
              <w:t>2</w:t>
            </w:r>
            <w:r>
              <w:rPr>
                <w:szCs w:val="21"/>
              </w:rPr>
              <w:t>（</w:t>
            </w:r>
            <w:r>
              <w:rPr>
                <w:szCs w:val="21"/>
              </w:rPr>
              <w:t>t/a</w:t>
            </w:r>
            <w:r>
              <w:rPr>
                <w:szCs w:val="21"/>
              </w:rPr>
              <w:t>）</w:t>
            </w:r>
          </w:p>
        </w:tc>
        <w:tc>
          <w:tcPr>
            <w:tcW w:w="544" w:type="pct"/>
            <w:vAlign w:val="center"/>
          </w:tcPr>
          <w:p w:rsidR="00EE4502" w:rsidRDefault="00FD45A3">
            <w:pPr>
              <w:jc w:val="center"/>
              <w:rPr>
                <w:szCs w:val="21"/>
              </w:rPr>
            </w:pPr>
            <w:r>
              <w:rPr>
                <w:rFonts w:hint="eastAsia"/>
                <w:szCs w:val="21"/>
              </w:rPr>
              <w:t>0</w:t>
            </w:r>
          </w:p>
        </w:tc>
        <w:tc>
          <w:tcPr>
            <w:tcW w:w="484" w:type="pct"/>
            <w:shd w:val="clear" w:color="auto" w:fill="auto"/>
            <w:vAlign w:val="center"/>
          </w:tcPr>
          <w:p w:rsidR="00EE4502" w:rsidRDefault="00FD45A3">
            <w:pPr>
              <w:jc w:val="center"/>
              <w:rPr>
                <w:szCs w:val="21"/>
              </w:rPr>
            </w:pPr>
            <w:r>
              <w:rPr>
                <w:rFonts w:hint="eastAsia"/>
                <w:szCs w:val="21"/>
              </w:rPr>
              <w:t>0</w:t>
            </w:r>
          </w:p>
        </w:tc>
        <w:tc>
          <w:tcPr>
            <w:tcW w:w="665" w:type="pct"/>
            <w:shd w:val="clear" w:color="auto" w:fill="auto"/>
            <w:vAlign w:val="center"/>
          </w:tcPr>
          <w:p w:rsidR="00EE4502" w:rsidRDefault="00FD45A3">
            <w:pPr>
              <w:jc w:val="center"/>
              <w:textAlignment w:val="center"/>
              <w:rPr>
                <w:szCs w:val="21"/>
              </w:rPr>
            </w:pPr>
            <w:r>
              <w:rPr>
                <w:rFonts w:hint="eastAsia"/>
                <w:szCs w:val="21"/>
              </w:rPr>
              <w:t>0</w:t>
            </w:r>
          </w:p>
        </w:tc>
        <w:tc>
          <w:tcPr>
            <w:tcW w:w="603" w:type="pct"/>
            <w:shd w:val="clear" w:color="auto" w:fill="auto"/>
            <w:vAlign w:val="center"/>
          </w:tcPr>
          <w:p w:rsidR="00EE4502" w:rsidRDefault="00FD45A3">
            <w:pPr>
              <w:jc w:val="center"/>
              <w:textAlignment w:val="center"/>
              <w:rPr>
                <w:szCs w:val="21"/>
              </w:rPr>
            </w:pPr>
            <w:r>
              <w:rPr>
                <w:rFonts w:hint="eastAsia"/>
                <w:szCs w:val="21"/>
              </w:rPr>
              <w:t>0</w:t>
            </w:r>
          </w:p>
        </w:tc>
        <w:tc>
          <w:tcPr>
            <w:tcW w:w="787" w:type="pct"/>
            <w:shd w:val="clear" w:color="auto" w:fill="auto"/>
            <w:vAlign w:val="center"/>
          </w:tcPr>
          <w:p w:rsidR="00EE4502" w:rsidRDefault="00FD45A3">
            <w:pPr>
              <w:jc w:val="center"/>
              <w:rPr>
                <w:kern w:val="0"/>
                <w:szCs w:val="21"/>
              </w:rPr>
            </w:pPr>
            <w:r>
              <w:rPr>
                <w:rFonts w:hint="eastAsia"/>
                <w:kern w:val="0"/>
                <w:szCs w:val="21"/>
              </w:rPr>
              <w:t>0</w:t>
            </w:r>
          </w:p>
        </w:tc>
        <w:tc>
          <w:tcPr>
            <w:tcW w:w="468" w:type="pct"/>
            <w:shd w:val="clear" w:color="auto" w:fill="auto"/>
            <w:vAlign w:val="center"/>
          </w:tcPr>
          <w:p w:rsidR="00EE4502" w:rsidRDefault="00FD45A3">
            <w:pPr>
              <w:jc w:val="center"/>
              <w:textAlignment w:val="center"/>
              <w:rPr>
                <w:szCs w:val="21"/>
              </w:rPr>
            </w:pPr>
            <w:r>
              <w:rPr>
                <w:rFonts w:hint="eastAsia"/>
                <w:szCs w:val="21"/>
              </w:rPr>
              <w:t>0</w:t>
            </w:r>
          </w:p>
        </w:tc>
      </w:tr>
      <w:tr w:rsidR="00EE4502">
        <w:trPr>
          <w:trHeight w:val="340"/>
          <w:jc w:val="center"/>
        </w:trPr>
        <w:tc>
          <w:tcPr>
            <w:tcW w:w="259" w:type="pct"/>
            <w:vMerge/>
            <w:vAlign w:val="center"/>
          </w:tcPr>
          <w:p w:rsidR="00EE4502" w:rsidRDefault="00EE4502">
            <w:pPr>
              <w:jc w:val="center"/>
              <w:textAlignment w:val="center"/>
              <w:rPr>
                <w:szCs w:val="21"/>
              </w:rPr>
            </w:pPr>
          </w:p>
        </w:tc>
        <w:tc>
          <w:tcPr>
            <w:tcW w:w="283" w:type="pct"/>
            <w:vMerge/>
            <w:vAlign w:val="center"/>
          </w:tcPr>
          <w:p w:rsidR="00EE4502" w:rsidRDefault="00EE4502">
            <w:pPr>
              <w:jc w:val="center"/>
              <w:textAlignment w:val="center"/>
              <w:rPr>
                <w:szCs w:val="21"/>
              </w:rPr>
            </w:pPr>
          </w:p>
        </w:tc>
        <w:tc>
          <w:tcPr>
            <w:tcW w:w="907" w:type="pct"/>
            <w:shd w:val="clear" w:color="auto" w:fill="auto"/>
            <w:vAlign w:val="center"/>
          </w:tcPr>
          <w:p w:rsidR="00EE4502" w:rsidRDefault="00FD45A3">
            <w:pPr>
              <w:jc w:val="center"/>
              <w:textAlignment w:val="center"/>
              <w:rPr>
                <w:szCs w:val="21"/>
              </w:rPr>
            </w:pPr>
            <w:r>
              <w:rPr>
                <w:szCs w:val="21"/>
              </w:rPr>
              <w:t>颗粒物（</w:t>
            </w:r>
            <w:r>
              <w:rPr>
                <w:szCs w:val="21"/>
              </w:rPr>
              <w:t>t/a</w:t>
            </w:r>
            <w:r>
              <w:rPr>
                <w:szCs w:val="21"/>
              </w:rPr>
              <w:t>）</w:t>
            </w:r>
          </w:p>
        </w:tc>
        <w:tc>
          <w:tcPr>
            <w:tcW w:w="544" w:type="pct"/>
            <w:vAlign w:val="center"/>
          </w:tcPr>
          <w:p w:rsidR="00EE4502" w:rsidRDefault="00FD45A3">
            <w:pPr>
              <w:jc w:val="center"/>
              <w:rPr>
                <w:szCs w:val="21"/>
              </w:rPr>
            </w:pPr>
            <w:r>
              <w:rPr>
                <w:rFonts w:hint="eastAsia"/>
                <w:szCs w:val="21"/>
              </w:rPr>
              <w:t>0</w:t>
            </w:r>
          </w:p>
        </w:tc>
        <w:tc>
          <w:tcPr>
            <w:tcW w:w="484" w:type="pct"/>
            <w:shd w:val="clear" w:color="auto" w:fill="auto"/>
            <w:vAlign w:val="center"/>
          </w:tcPr>
          <w:p w:rsidR="00EE4502" w:rsidRDefault="00FD45A3">
            <w:pPr>
              <w:jc w:val="center"/>
              <w:rPr>
                <w:szCs w:val="21"/>
              </w:rPr>
            </w:pPr>
            <w:r>
              <w:rPr>
                <w:rFonts w:hint="eastAsia"/>
                <w:szCs w:val="21"/>
              </w:rPr>
              <w:t>0</w:t>
            </w:r>
          </w:p>
        </w:tc>
        <w:tc>
          <w:tcPr>
            <w:tcW w:w="665" w:type="pct"/>
            <w:shd w:val="clear" w:color="auto" w:fill="auto"/>
            <w:vAlign w:val="center"/>
          </w:tcPr>
          <w:p w:rsidR="00EE4502" w:rsidRDefault="00FD45A3">
            <w:pPr>
              <w:jc w:val="center"/>
              <w:textAlignment w:val="center"/>
              <w:rPr>
                <w:szCs w:val="21"/>
              </w:rPr>
            </w:pPr>
            <w:r>
              <w:rPr>
                <w:rFonts w:hint="eastAsia"/>
                <w:szCs w:val="21"/>
              </w:rPr>
              <w:t>0</w:t>
            </w:r>
          </w:p>
        </w:tc>
        <w:tc>
          <w:tcPr>
            <w:tcW w:w="603" w:type="pct"/>
            <w:shd w:val="clear" w:color="auto" w:fill="auto"/>
            <w:vAlign w:val="center"/>
          </w:tcPr>
          <w:p w:rsidR="00EE4502" w:rsidRDefault="00FD45A3">
            <w:pPr>
              <w:jc w:val="center"/>
              <w:textAlignment w:val="center"/>
              <w:rPr>
                <w:szCs w:val="21"/>
              </w:rPr>
            </w:pPr>
            <w:r>
              <w:rPr>
                <w:rFonts w:hint="eastAsia"/>
                <w:szCs w:val="21"/>
              </w:rPr>
              <w:t>0</w:t>
            </w:r>
          </w:p>
        </w:tc>
        <w:tc>
          <w:tcPr>
            <w:tcW w:w="787" w:type="pct"/>
            <w:shd w:val="clear" w:color="auto" w:fill="auto"/>
            <w:vAlign w:val="center"/>
          </w:tcPr>
          <w:p w:rsidR="00EE4502" w:rsidRDefault="00FD45A3">
            <w:pPr>
              <w:jc w:val="center"/>
              <w:rPr>
                <w:kern w:val="0"/>
                <w:szCs w:val="21"/>
              </w:rPr>
            </w:pPr>
            <w:r>
              <w:rPr>
                <w:rFonts w:hint="eastAsia"/>
                <w:kern w:val="0"/>
                <w:szCs w:val="21"/>
              </w:rPr>
              <w:t>0</w:t>
            </w:r>
          </w:p>
        </w:tc>
        <w:tc>
          <w:tcPr>
            <w:tcW w:w="468" w:type="pct"/>
            <w:shd w:val="clear" w:color="auto" w:fill="auto"/>
            <w:vAlign w:val="center"/>
          </w:tcPr>
          <w:p w:rsidR="00EE4502" w:rsidRDefault="00FD45A3">
            <w:pPr>
              <w:jc w:val="center"/>
              <w:textAlignment w:val="center"/>
              <w:rPr>
                <w:szCs w:val="21"/>
              </w:rPr>
            </w:pPr>
            <w:r>
              <w:rPr>
                <w:rFonts w:hint="eastAsia"/>
                <w:szCs w:val="21"/>
              </w:rPr>
              <w:t>0</w:t>
            </w:r>
          </w:p>
        </w:tc>
      </w:tr>
      <w:tr w:rsidR="00EE4502">
        <w:trPr>
          <w:trHeight w:val="340"/>
          <w:jc w:val="center"/>
        </w:trPr>
        <w:tc>
          <w:tcPr>
            <w:tcW w:w="259" w:type="pct"/>
            <w:vMerge/>
            <w:vAlign w:val="center"/>
          </w:tcPr>
          <w:p w:rsidR="00EE4502" w:rsidRDefault="00EE4502">
            <w:pPr>
              <w:jc w:val="center"/>
              <w:textAlignment w:val="center"/>
              <w:rPr>
                <w:szCs w:val="21"/>
              </w:rPr>
            </w:pPr>
          </w:p>
        </w:tc>
        <w:tc>
          <w:tcPr>
            <w:tcW w:w="283" w:type="pct"/>
            <w:vMerge/>
            <w:vAlign w:val="center"/>
          </w:tcPr>
          <w:p w:rsidR="00EE4502" w:rsidRDefault="00EE4502">
            <w:pPr>
              <w:jc w:val="center"/>
              <w:textAlignment w:val="center"/>
              <w:rPr>
                <w:szCs w:val="21"/>
              </w:rPr>
            </w:pPr>
          </w:p>
        </w:tc>
        <w:tc>
          <w:tcPr>
            <w:tcW w:w="907" w:type="pct"/>
            <w:shd w:val="clear" w:color="auto" w:fill="auto"/>
            <w:vAlign w:val="center"/>
          </w:tcPr>
          <w:p w:rsidR="00EE4502" w:rsidRDefault="00FD45A3">
            <w:pPr>
              <w:jc w:val="center"/>
              <w:textAlignment w:val="center"/>
              <w:rPr>
                <w:szCs w:val="21"/>
              </w:rPr>
            </w:pPr>
            <w:r>
              <w:rPr>
                <w:szCs w:val="21"/>
              </w:rPr>
              <w:t>NO</w:t>
            </w:r>
            <w:r>
              <w:rPr>
                <w:szCs w:val="21"/>
                <w:vertAlign w:val="subscript"/>
              </w:rPr>
              <w:t>x</w:t>
            </w:r>
            <w:r>
              <w:rPr>
                <w:szCs w:val="21"/>
              </w:rPr>
              <w:t>（</w:t>
            </w:r>
            <w:r>
              <w:rPr>
                <w:szCs w:val="21"/>
              </w:rPr>
              <w:t>t/a</w:t>
            </w:r>
            <w:r>
              <w:rPr>
                <w:szCs w:val="21"/>
              </w:rPr>
              <w:t>）</w:t>
            </w:r>
          </w:p>
        </w:tc>
        <w:tc>
          <w:tcPr>
            <w:tcW w:w="544" w:type="pct"/>
            <w:vAlign w:val="center"/>
          </w:tcPr>
          <w:p w:rsidR="00EE4502" w:rsidRDefault="00FD45A3">
            <w:pPr>
              <w:jc w:val="center"/>
              <w:rPr>
                <w:szCs w:val="21"/>
              </w:rPr>
            </w:pPr>
            <w:r>
              <w:rPr>
                <w:rFonts w:hint="eastAsia"/>
                <w:szCs w:val="21"/>
              </w:rPr>
              <w:t>0</w:t>
            </w:r>
          </w:p>
        </w:tc>
        <w:tc>
          <w:tcPr>
            <w:tcW w:w="484" w:type="pct"/>
            <w:shd w:val="clear" w:color="auto" w:fill="auto"/>
            <w:vAlign w:val="center"/>
          </w:tcPr>
          <w:p w:rsidR="00EE4502" w:rsidRDefault="00FD45A3">
            <w:pPr>
              <w:jc w:val="center"/>
              <w:rPr>
                <w:szCs w:val="21"/>
              </w:rPr>
            </w:pPr>
            <w:r>
              <w:rPr>
                <w:rFonts w:hint="eastAsia"/>
                <w:szCs w:val="21"/>
              </w:rPr>
              <w:t>0</w:t>
            </w:r>
          </w:p>
        </w:tc>
        <w:tc>
          <w:tcPr>
            <w:tcW w:w="665" w:type="pct"/>
            <w:shd w:val="clear" w:color="auto" w:fill="auto"/>
            <w:vAlign w:val="center"/>
          </w:tcPr>
          <w:p w:rsidR="00EE4502" w:rsidRDefault="00FD45A3">
            <w:pPr>
              <w:jc w:val="center"/>
              <w:textAlignment w:val="center"/>
              <w:rPr>
                <w:szCs w:val="21"/>
              </w:rPr>
            </w:pPr>
            <w:r>
              <w:rPr>
                <w:rFonts w:hint="eastAsia"/>
                <w:szCs w:val="21"/>
              </w:rPr>
              <w:t>0</w:t>
            </w:r>
          </w:p>
        </w:tc>
        <w:tc>
          <w:tcPr>
            <w:tcW w:w="603" w:type="pct"/>
            <w:shd w:val="clear" w:color="auto" w:fill="auto"/>
            <w:vAlign w:val="center"/>
          </w:tcPr>
          <w:p w:rsidR="00EE4502" w:rsidRDefault="00FD45A3">
            <w:pPr>
              <w:jc w:val="center"/>
              <w:textAlignment w:val="center"/>
              <w:rPr>
                <w:szCs w:val="21"/>
              </w:rPr>
            </w:pPr>
            <w:r>
              <w:rPr>
                <w:rFonts w:hint="eastAsia"/>
                <w:szCs w:val="21"/>
              </w:rPr>
              <w:t>0</w:t>
            </w:r>
          </w:p>
        </w:tc>
        <w:tc>
          <w:tcPr>
            <w:tcW w:w="787" w:type="pct"/>
            <w:shd w:val="clear" w:color="auto" w:fill="auto"/>
            <w:vAlign w:val="center"/>
          </w:tcPr>
          <w:p w:rsidR="00EE4502" w:rsidRDefault="00FD45A3">
            <w:pPr>
              <w:jc w:val="center"/>
              <w:rPr>
                <w:kern w:val="0"/>
                <w:szCs w:val="21"/>
              </w:rPr>
            </w:pPr>
            <w:r>
              <w:rPr>
                <w:rFonts w:hint="eastAsia"/>
                <w:kern w:val="0"/>
                <w:szCs w:val="21"/>
              </w:rPr>
              <w:t>0</w:t>
            </w:r>
          </w:p>
        </w:tc>
        <w:tc>
          <w:tcPr>
            <w:tcW w:w="468" w:type="pct"/>
            <w:shd w:val="clear" w:color="auto" w:fill="auto"/>
            <w:vAlign w:val="center"/>
          </w:tcPr>
          <w:p w:rsidR="00EE4502" w:rsidRDefault="00FD45A3">
            <w:pPr>
              <w:jc w:val="center"/>
              <w:textAlignment w:val="center"/>
              <w:rPr>
                <w:szCs w:val="21"/>
              </w:rPr>
            </w:pPr>
            <w:r>
              <w:rPr>
                <w:rFonts w:hint="eastAsia"/>
                <w:szCs w:val="21"/>
              </w:rPr>
              <w:t>0</w:t>
            </w:r>
          </w:p>
        </w:tc>
      </w:tr>
      <w:tr w:rsidR="00EE4502">
        <w:trPr>
          <w:trHeight w:val="340"/>
          <w:jc w:val="center"/>
        </w:trPr>
        <w:tc>
          <w:tcPr>
            <w:tcW w:w="259" w:type="pct"/>
            <w:vMerge/>
            <w:vAlign w:val="center"/>
          </w:tcPr>
          <w:p w:rsidR="00EE4502" w:rsidRDefault="00EE4502">
            <w:pPr>
              <w:jc w:val="center"/>
              <w:textAlignment w:val="center"/>
              <w:rPr>
                <w:szCs w:val="21"/>
              </w:rPr>
            </w:pPr>
          </w:p>
        </w:tc>
        <w:tc>
          <w:tcPr>
            <w:tcW w:w="283" w:type="pct"/>
            <w:vAlign w:val="center"/>
          </w:tcPr>
          <w:p w:rsidR="00EE4502" w:rsidRDefault="00FD45A3">
            <w:pPr>
              <w:jc w:val="center"/>
              <w:textAlignment w:val="center"/>
              <w:rPr>
                <w:szCs w:val="21"/>
              </w:rPr>
            </w:pPr>
            <w:r>
              <w:rPr>
                <w:szCs w:val="21"/>
              </w:rPr>
              <w:t>无组织</w:t>
            </w:r>
          </w:p>
        </w:tc>
        <w:tc>
          <w:tcPr>
            <w:tcW w:w="907" w:type="pct"/>
            <w:shd w:val="clear" w:color="auto" w:fill="auto"/>
            <w:vAlign w:val="center"/>
          </w:tcPr>
          <w:p w:rsidR="00EE4502" w:rsidRDefault="00FD45A3">
            <w:pPr>
              <w:jc w:val="center"/>
              <w:textAlignment w:val="center"/>
              <w:rPr>
                <w:szCs w:val="21"/>
              </w:rPr>
            </w:pPr>
            <w:r>
              <w:rPr>
                <w:szCs w:val="21"/>
              </w:rPr>
              <w:t>非甲烷总烃（</w:t>
            </w:r>
            <w:r>
              <w:rPr>
                <w:szCs w:val="21"/>
              </w:rPr>
              <w:t>t/a</w:t>
            </w:r>
            <w:r>
              <w:rPr>
                <w:szCs w:val="21"/>
              </w:rPr>
              <w:t>）</w:t>
            </w:r>
          </w:p>
        </w:tc>
        <w:tc>
          <w:tcPr>
            <w:tcW w:w="544" w:type="pct"/>
            <w:shd w:val="clear" w:color="auto" w:fill="auto"/>
            <w:vAlign w:val="center"/>
          </w:tcPr>
          <w:p w:rsidR="00EE4502" w:rsidRDefault="00FD45A3">
            <w:pPr>
              <w:jc w:val="center"/>
              <w:rPr>
                <w:szCs w:val="21"/>
              </w:rPr>
            </w:pPr>
            <w:r>
              <w:rPr>
                <w:szCs w:val="21"/>
              </w:rPr>
              <w:t>3.0875</w:t>
            </w:r>
          </w:p>
        </w:tc>
        <w:tc>
          <w:tcPr>
            <w:tcW w:w="484" w:type="pct"/>
            <w:shd w:val="clear" w:color="auto" w:fill="auto"/>
            <w:vAlign w:val="center"/>
          </w:tcPr>
          <w:p w:rsidR="00EE4502" w:rsidRDefault="00FD45A3">
            <w:pPr>
              <w:jc w:val="center"/>
              <w:rPr>
                <w:szCs w:val="21"/>
              </w:rPr>
            </w:pPr>
            <w:r>
              <w:rPr>
                <w:rFonts w:hint="eastAsia"/>
                <w:szCs w:val="21"/>
              </w:rPr>
              <w:t>0</w:t>
            </w:r>
          </w:p>
        </w:tc>
        <w:tc>
          <w:tcPr>
            <w:tcW w:w="665" w:type="pct"/>
            <w:shd w:val="clear" w:color="auto" w:fill="auto"/>
            <w:vAlign w:val="center"/>
          </w:tcPr>
          <w:p w:rsidR="00EE4502" w:rsidRDefault="00FD45A3">
            <w:pPr>
              <w:jc w:val="center"/>
              <w:textAlignment w:val="center"/>
              <w:rPr>
                <w:szCs w:val="21"/>
              </w:rPr>
            </w:pPr>
            <w:r>
              <w:rPr>
                <w:szCs w:val="21"/>
              </w:rPr>
              <w:t>2.893</w:t>
            </w:r>
            <w:r>
              <w:rPr>
                <w:rFonts w:hint="eastAsia"/>
                <w:szCs w:val="21"/>
              </w:rPr>
              <w:t>0</w:t>
            </w:r>
          </w:p>
        </w:tc>
        <w:tc>
          <w:tcPr>
            <w:tcW w:w="603" w:type="pct"/>
            <w:shd w:val="clear" w:color="auto" w:fill="auto"/>
            <w:vAlign w:val="center"/>
          </w:tcPr>
          <w:p w:rsidR="00EE4502" w:rsidRDefault="00FD45A3">
            <w:pPr>
              <w:jc w:val="center"/>
              <w:textAlignment w:val="center"/>
              <w:rPr>
                <w:szCs w:val="21"/>
              </w:rPr>
            </w:pPr>
            <w:r>
              <w:rPr>
                <w:rFonts w:hint="eastAsia"/>
                <w:szCs w:val="21"/>
              </w:rPr>
              <w:t>0</w:t>
            </w:r>
          </w:p>
        </w:tc>
        <w:tc>
          <w:tcPr>
            <w:tcW w:w="787" w:type="pct"/>
            <w:shd w:val="clear" w:color="auto" w:fill="auto"/>
            <w:vAlign w:val="center"/>
          </w:tcPr>
          <w:p w:rsidR="00EE4502" w:rsidRDefault="00FD45A3">
            <w:pPr>
              <w:widowControl/>
              <w:jc w:val="center"/>
              <w:rPr>
                <w:szCs w:val="21"/>
              </w:rPr>
            </w:pPr>
            <w:r>
              <w:rPr>
                <w:rFonts w:hint="eastAsia"/>
                <w:szCs w:val="21"/>
              </w:rPr>
              <w:t>5.9805</w:t>
            </w:r>
          </w:p>
        </w:tc>
        <w:tc>
          <w:tcPr>
            <w:tcW w:w="468" w:type="pct"/>
            <w:shd w:val="clear" w:color="auto" w:fill="auto"/>
            <w:vAlign w:val="center"/>
          </w:tcPr>
          <w:p w:rsidR="00EE4502" w:rsidRDefault="00FD45A3">
            <w:pPr>
              <w:jc w:val="center"/>
              <w:textAlignment w:val="center"/>
              <w:rPr>
                <w:szCs w:val="21"/>
              </w:rPr>
            </w:pPr>
            <w:r>
              <w:rPr>
                <w:rFonts w:hint="eastAsia"/>
                <w:szCs w:val="21"/>
              </w:rPr>
              <w:t>+</w:t>
            </w:r>
            <w:r>
              <w:rPr>
                <w:szCs w:val="21"/>
              </w:rPr>
              <w:t>2.8930</w:t>
            </w:r>
          </w:p>
        </w:tc>
      </w:tr>
      <w:tr w:rsidR="00EE4502">
        <w:trPr>
          <w:trHeight w:val="340"/>
          <w:jc w:val="center"/>
        </w:trPr>
        <w:tc>
          <w:tcPr>
            <w:tcW w:w="542" w:type="pct"/>
            <w:gridSpan w:val="2"/>
            <w:vAlign w:val="center"/>
          </w:tcPr>
          <w:p w:rsidR="00EE4502" w:rsidRDefault="00FD45A3">
            <w:pPr>
              <w:jc w:val="center"/>
              <w:textAlignment w:val="center"/>
              <w:rPr>
                <w:szCs w:val="21"/>
              </w:rPr>
            </w:pPr>
            <w:r>
              <w:rPr>
                <w:szCs w:val="21"/>
              </w:rPr>
              <w:t>废水</w:t>
            </w:r>
          </w:p>
        </w:tc>
        <w:tc>
          <w:tcPr>
            <w:tcW w:w="907" w:type="pct"/>
            <w:shd w:val="clear" w:color="auto" w:fill="auto"/>
            <w:vAlign w:val="center"/>
          </w:tcPr>
          <w:p w:rsidR="00EE4502" w:rsidRDefault="00FD45A3">
            <w:pPr>
              <w:jc w:val="center"/>
              <w:textAlignment w:val="center"/>
              <w:rPr>
                <w:szCs w:val="21"/>
              </w:rPr>
            </w:pPr>
            <w:r>
              <w:rPr>
                <w:szCs w:val="21"/>
              </w:rPr>
              <w:t>——</w:t>
            </w:r>
          </w:p>
        </w:tc>
        <w:tc>
          <w:tcPr>
            <w:tcW w:w="544" w:type="pct"/>
            <w:shd w:val="clear" w:color="auto" w:fill="auto"/>
            <w:vAlign w:val="center"/>
          </w:tcPr>
          <w:p w:rsidR="00EE4502" w:rsidRDefault="00FD45A3">
            <w:pPr>
              <w:jc w:val="center"/>
              <w:textAlignment w:val="center"/>
              <w:rPr>
                <w:szCs w:val="21"/>
              </w:rPr>
            </w:pPr>
            <w:r>
              <w:rPr>
                <w:szCs w:val="21"/>
              </w:rPr>
              <w:t>0</w:t>
            </w:r>
          </w:p>
        </w:tc>
        <w:tc>
          <w:tcPr>
            <w:tcW w:w="484" w:type="pct"/>
            <w:shd w:val="clear" w:color="auto" w:fill="auto"/>
            <w:vAlign w:val="center"/>
          </w:tcPr>
          <w:p w:rsidR="00EE4502" w:rsidRDefault="00FD45A3">
            <w:pPr>
              <w:jc w:val="center"/>
              <w:textAlignment w:val="center"/>
              <w:rPr>
                <w:szCs w:val="21"/>
              </w:rPr>
            </w:pPr>
            <w:r>
              <w:rPr>
                <w:szCs w:val="21"/>
              </w:rPr>
              <w:t>0</w:t>
            </w:r>
          </w:p>
        </w:tc>
        <w:tc>
          <w:tcPr>
            <w:tcW w:w="665" w:type="pct"/>
            <w:shd w:val="clear" w:color="auto" w:fill="auto"/>
            <w:vAlign w:val="center"/>
          </w:tcPr>
          <w:p w:rsidR="00EE4502" w:rsidRDefault="00FD45A3">
            <w:pPr>
              <w:jc w:val="center"/>
              <w:textAlignment w:val="center"/>
              <w:rPr>
                <w:szCs w:val="21"/>
              </w:rPr>
            </w:pPr>
            <w:r>
              <w:rPr>
                <w:szCs w:val="21"/>
              </w:rPr>
              <w:t>0</w:t>
            </w:r>
          </w:p>
        </w:tc>
        <w:tc>
          <w:tcPr>
            <w:tcW w:w="603" w:type="pct"/>
            <w:shd w:val="clear" w:color="auto" w:fill="auto"/>
            <w:vAlign w:val="center"/>
          </w:tcPr>
          <w:p w:rsidR="00EE4502" w:rsidRDefault="00FD45A3">
            <w:pPr>
              <w:jc w:val="center"/>
              <w:textAlignment w:val="center"/>
              <w:rPr>
                <w:szCs w:val="21"/>
              </w:rPr>
            </w:pPr>
            <w:r>
              <w:rPr>
                <w:szCs w:val="21"/>
              </w:rPr>
              <w:t>0</w:t>
            </w:r>
          </w:p>
        </w:tc>
        <w:tc>
          <w:tcPr>
            <w:tcW w:w="787" w:type="pct"/>
            <w:shd w:val="clear" w:color="auto" w:fill="auto"/>
            <w:vAlign w:val="center"/>
          </w:tcPr>
          <w:p w:rsidR="00EE4502" w:rsidRDefault="00FD45A3">
            <w:pPr>
              <w:jc w:val="center"/>
              <w:textAlignment w:val="center"/>
              <w:rPr>
                <w:szCs w:val="21"/>
              </w:rPr>
            </w:pPr>
            <w:r>
              <w:rPr>
                <w:szCs w:val="21"/>
              </w:rPr>
              <w:t>0</w:t>
            </w:r>
          </w:p>
        </w:tc>
        <w:tc>
          <w:tcPr>
            <w:tcW w:w="468" w:type="pct"/>
            <w:shd w:val="clear" w:color="auto" w:fill="auto"/>
            <w:vAlign w:val="center"/>
          </w:tcPr>
          <w:p w:rsidR="00EE4502" w:rsidRDefault="00FD45A3">
            <w:pPr>
              <w:jc w:val="center"/>
              <w:textAlignment w:val="center"/>
              <w:rPr>
                <w:szCs w:val="21"/>
              </w:rPr>
            </w:pPr>
            <w:r>
              <w:rPr>
                <w:szCs w:val="21"/>
              </w:rPr>
              <w:t>0</w:t>
            </w:r>
          </w:p>
        </w:tc>
      </w:tr>
      <w:tr w:rsidR="00EE4502">
        <w:trPr>
          <w:trHeight w:val="340"/>
          <w:jc w:val="center"/>
        </w:trPr>
        <w:tc>
          <w:tcPr>
            <w:tcW w:w="542" w:type="pct"/>
            <w:gridSpan w:val="2"/>
            <w:vAlign w:val="center"/>
          </w:tcPr>
          <w:p w:rsidR="00EE4502" w:rsidRDefault="00FD45A3">
            <w:pPr>
              <w:jc w:val="center"/>
              <w:textAlignment w:val="center"/>
              <w:rPr>
                <w:szCs w:val="21"/>
              </w:rPr>
            </w:pPr>
            <w:r>
              <w:rPr>
                <w:szCs w:val="21"/>
              </w:rPr>
              <w:t>固体废物</w:t>
            </w:r>
          </w:p>
        </w:tc>
        <w:tc>
          <w:tcPr>
            <w:tcW w:w="907" w:type="pct"/>
            <w:shd w:val="clear" w:color="auto" w:fill="auto"/>
            <w:vAlign w:val="center"/>
          </w:tcPr>
          <w:p w:rsidR="00EE4502" w:rsidRDefault="00FD45A3">
            <w:pPr>
              <w:jc w:val="center"/>
              <w:textAlignment w:val="center"/>
              <w:rPr>
                <w:szCs w:val="21"/>
              </w:rPr>
            </w:pPr>
            <w:r>
              <w:rPr>
                <w:szCs w:val="21"/>
              </w:rPr>
              <w:t>——</w:t>
            </w:r>
          </w:p>
        </w:tc>
        <w:tc>
          <w:tcPr>
            <w:tcW w:w="544" w:type="pct"/>
            <w:shd w:val="clear" w:color="auto" w:fill="auto"/>
            <w:vAlign w:val="center"/>
          </w:tcPr>
          <w:p w:rsidR="00EE4502" w:rsidRDefault="00FD45A3">
            <w:pPr>
              <w:jc w:val="center"/>
              <w:textAlignment w:val="center"/>
              <w:rPr>
                <w:szCs w:val="21"/>
              </w:rPr>
            </w:pPr>
            <w:r>
              <w:rPr>
                <w:szCs w:val="21"/>
              </w:rPr>
              <w:t>0</w:t>
            </w:r>
          </w:p>
        </w:tc>
        <w:tc>
          <w:tcPr>
            <w:tcW w:w="484" w:type="pct"/>
            <w:shd w:val="clear" w:color="auto" w:fill="auto"/>
            <w:vAlign w:val="center"/>
          </w:tcPr>
          <w:p w:rsidR="00EE4502" w:rsidRDefault="00FD45A3">
            <w:pPr>
              <w:jc w:val="center"/>
              <w:textAlignment w:val="center"/>
              <w:rPr>
                <w:szCs w:val="21"/>
              </w:rPr>
            </w:pPr>
            <w:r>
              <w:rPr>
                <w:szCs w:val="21"/>
              </w:rPr>
              <w:t>0</w:t>
            </w:r>
          </w:p>
        </w:tc>
        <w:tc>
          <w:tcPr>
            <w:tcW w:w="665" w:type="pct"/>
            <w:shd w:val="clear" w:color="auto" w:fill="auto"/>
            <w:vAlign w:val="center"/>
          </w:tcPr>
          <w:p w:rsidR="00EE4502" w:rsidRDefault="00FD45A3">
            <w:pPr>
              <w:jc w:val="center"/>
              <w:textAlignment w:val="center"/>
              <w:rPr>
                <w:szCs w:val="21"/>
              </w:rPr>
            </w:pPr>
            <w:r>
              <w:rPr>
                <w:szCs w:val="21"/>
              </w:rPr>
              <w:t>0</w:t>
            </w:r>
          </w:p>
        </w:tc>
        <w:tc>
          <w:tcPr>
            <w:tcW w:w="603" w:type="pct"/>
            <w:shd w:val="clear" w:color="auto" w:fill="auto"/>
            <w:vAlign w:val="center"/>
          </w:tcPr>
          <w:p w:rsidR="00EE4502" w:rsidRDefault="00FD45A3">
            <w:pPr>
              <w:jc w:val="center"/>
              <w:textAlignment w:val="center"/>
              <w:rPr>
                <w:szCs w:val="21"/>
              </w:rPr>
            </w:pPr>
            <w:r>
              <w:rPr>
                <w:szCs w:val="21"/>
              </w:rPr>
              <w:t>0</w:t>
            </w:r>
          </w:p>
        </w:tc>
        <w:tc>
          <w:tcPr>
            <w:tcW w:w="787" w:type="pct"/>
            <w:shd w:val="clear" w:color="auto" w:fill="auto"/>
            <w:vAlign w:val="center"/>
          </w:tcPr>
          <w:p w:rsidR="00EE4502" w:rsidRDefault="00FD45A3">
            <w:pPr>
              <w:jc w:val="center"/>
              <w:textAlignment w:val="center"/>
              <w:rPr>
                <w:szCs w:val="21"/>
              </w:rPr>
            </w:pPr>
            <w:r>
              <w:rPr>
                <w:szCs w:val="21"/>
              </w:rPr>
              <w:t>0</w:t>
            </w:r>
          </w:p>
        </w:tc>
        <w:tc>
          <w:tcPr>
            <w:tcW w:w="468" w:type="pct"/>
            <w:shd w:val="clear" w:color="auto" w:fill="auto"/>
            <w:vAlign w:val="center"/>
          </w:tcPr>
          <w:p w:rsidR="00EE4502" w:rsidRDefault="00FD45A3">
            <w:pPr>
              <w:jc w:val="center"/>
              <w:textAlignment w:val="center"/>
              <w:rPr>
                <w:szCs w:val="21"/>
              </w:rPr>
            </w:pPr>
            <w:r>
              <w:rPr>
                <w:szCs w:val="21"/>
              </w:rPr>
              <w:t>0</w:t>
            </w:r>
          </w:p>
        </w:tc>
      </w:tr>
    </w:tbl>
    <w:p w:rsidR="00EE4502" w:rsidRDefault="00FD45A3" w:rsidP="003F4A18">
      <w:pPr>
        <w:pStyle w:val="33"/>
        <w:numPr>
          <w:ilvl w:val="2"/>
          <w:numId w:val="30"/>
        </w:numPr>
        <w:spacing w:beforeLines="50" w:before="120" w:line="360" w:lineRule="auto"/>
        <w:rPr>
          <w:spacing w:val="0"/>
          <w:sz w:val="24"/>
          <w:szCs w:val="24"/>
        </w:rPr>
      </w:pPr>
      <w:r>
        <w:rPr>
          <w:rFonts w:hint="eastAsia"/>
          <w:spacing w:val="0"/>
          <w:sz w:val="24"/>
          <w:szCs w:val="24"/>
        </w:rPr>
        <w:t>污染物排放总量控制</w:t>
      </w:r>
    </w:p>
    <w:bookmarkEnd w:id="184"/>
    <w:bookmarkEnd w:id="185"/>
    <w:bookmarkEnd w:id="186"/>
    <w:bookmarkEnd w:id="187"/>
    <w:bookmarkEnd w:id="188"/>
    <w:p w:rsidR="00EE4502" w:rsidRDefault="00FD45A3">
      <w:pPr>
        <w:spacing w:line="360" w:lineRule="auto"/>
        <w:ind w:firstLine="522"/>
        <w:rPr>
          <w:sz w:val="24"/>
        </w:rPr>
      </w:pPr>
      <w:r>
        <w:rPr>
          <w:sz w:val="24"/>
        </w:rPr>
        <w:t>根据国家</w:t>
      </w:r>
      <w:r>
        <w:rPr>
          <w:rFonts w:hint="eastAsia"/>
          <w:sz w:val="24"/>
        </w:rPr>
        <w:t>“</w:t>
      </w:r>
      <w:r>
        <w:rPr>
          <w:sz w:val="24"/>
        </w:rPr>
        <w:t>十四五</w:t>
      </w:r>
      <w:r>
        <w:rPr>
          <w:rFonts w:hint="eastAsia"/>
          <w:sz w:val="24"/>
        </w:rPr>
        <w:t>”</w:t>
      </w:r>
      <w:r>
        <w:rPr>
          <w:sz w:val="24"/>
        </w:rPr>
        <w:t>污染物排放总量控制要求，污染物排放总量控制因子如下：</w:t>
      </w:r>
    </w:p>
    <w:p w:rsidR="00EE4502" w:rsidRDefault="00FD45A3">
      <w:pPr>
        <w:spacing w:line="360" w:lineRule="auto"/>
        <w:ind w:firstLine="522"/>
        <w:rPr>
          <w:sz w:val="24"/>
        </w:rPr>
      </w:pPr>
      <w:r>
        <w:rPr>
          <w:sz w:val="24"/>
        </w:rPr>
        <w:t>废气污染物：</w:t>
      </w:r>
      <w:r>
        <w:rPr>
          <w:sz w:val="24"/>
        </w:rPr>
        <w:t>NO</w:t>
      </w:r>
      <w:r>
        <w:rPr>
          <w:sz w:val="24"/>
          <w:vertAlign w:val="subscript"/>
        </w:rPr>
        <w:t>X</w:t>
      </w:r>
      <w:r>
        <w:rPr>
          <w:sz w:val="24"/>
        </w:rPr>
        <w:t>、</w:t>
      </w:r>
      <w:r>
        <w:rPr>
          <w:sz w:val="24"/>
        </w:rPr>
        <w:t>VOCs</w:t>
      </w:r>
      <w:r>
        <w:rPr>
          <w:sz w:val="24"/>
        </w:rPr>
        <w:t>。</w:t>
      </w:r>
    </w:p>
    <w:p w:rsidR="00EE4502" w:rsidRDefault="00FD45A3">
      <w:pPr>
        <w:spacing w:line="360" w:lineRule="auto"/>
        <w:ind w:firstLine="522"/>
        <w:rPr>
          <w:sz w:val="24"/>
        </w:rPr>
      </w:pPr>
      <w:r>
        <w:rPr>
          <w:sz w:val="24"/>
        </w:rPr>
        <w:t>废水污染物：</w:t>
      </w:r>
      <w:r>
        <w:rPr>
          <w:sz w:val="24"/>
        </w:rPr>
        <w:t>COD</w:t>
      </w:r>
      <w:r>
        <w:rPr>
          <w:sz w:val="24"/>
        </w:rPr>
        <w:t>、</w:t>
      </w:r>
      <w:r>
        <w:rPr>
          <w:sz w:val="24"/>
        </w:rPr>
        <w:t>NH</w:t>
      </w:r>
      <w:r>
        <w:rPr>
          <w:sz w:val="24"/>
          <w:vertAlign w:val="subscript"/>
        </w:rPr>
        <w:t>3</w:t>
      </w:r>
      <w:r>
        <w:rPr>
          <w:sz w:val="24"/>
        </w:rPr>
        <w:t>-N</w:t>
      </w:r>
      <w:r>
        <w:rPr>
          <w:sz w:val="24"/>
        </w:rPr>
        <w:t>。</w:t>
      </w:r>
    </w:p>
    <w:p w:rsidR="00EE4502" w:rsidRDefault="00FD45A3">
      <w:pPr>
        <w:spacing w:line="360" w:lineRule="auto"/>
        <w:ind w:firstLine="522"/>
        <w:rPr>
          <w:sz w:val="24"/>
        </w:rPr>
      </w:pPr>
      <w:r>
        <w:rPr>
          <w:sz w:val="24"/>
        </w:rPr>
        <w:t>根据项目建设运营特点，</w:t>
      </w:r>
      <w:r>
        <w:rPr>
          <w:rFonts w:hint="eastAsia"/>
          <w:sz w:val="24"/>
        </w:rPr>
        <w:t>本工程</w:t>
      </w:r>
      <w:r>
        <w:rPr>
          <w:rFonts w:hint="eastAsia"/>
          <w:sz w:val="24"/>
        </w:rPr>
        <w:t>油气集输过程中</w:t>
      </w:r>
      <w:r>
        <w:rPr>
          <w:rFonts w:hint="eastAsia"/>
          <w:sz w:val="24"/>
        </w:rPr>
        <w:t>NMHC</w:t>
      </w:r>
      <w:r>
        <w:rPr>
          <w:rFonts w:hint="eastAsia"/>
          <w:sz w:val="24"/>
        </w:rPr>
        <w:t>的无组织排放量为</w:t>
      </w:r>
      <w:r>
        <w:rPr>
          <w:rFonts w:hint="eastAsia"/>
          <w:sz w:val="24"/>
        </w:rPr>
        <w:lastRenderedPageBreak/>
        <w:t>2.893</w:t>
      </w:r>
      <w:r>
        <w:rPr>
          <w:rFonts w:hint="eastAsia"/>
          <w:sz w:val="24"/>
        </w:rPr>
        <w:t>t/a</w:t>
      </w:r>
      <w:r>
        <w:rPr>
          <w:rFonts w:hint="eastAsia"/>
          <w:sz w:val="24"/>
        </w:rPr>
        <w:t>，</w:t>
      </w:r>
      <w:r>
        <w:rPr>
          <w:sz w:val="24"/>
        </w:rPr>
        <w:t>不涉及</w:t>
      </w:r>
      <w:r>
        <w:rPr>
          <w:sz w:val="24"/>
        </w:rPr>
        <w:t>VOCs</w:t>
      </w:r>
      <w:r>
        <w:rPr>
          <w:sz w:val="24"/>
        </w:rPr>
        <w:t>有组织排放。运营期产生的采出水、井下作业废水</w:t>
      </w:r>
      <w:r>
        <w:rPr>
          <w:rFonts w:hint="eastAsia"/>
          <w:sz w:val="24"/>
        </w:rPr>
        <w:t>均</w:t>
      </w:r>
      <w:r>
        <w:rPr>
          <w:sz w:val="24"/>
        </w:rPr>
        <w:t>不外排。</w:t>
      </w:r>
    </w:p>
    <w:p w:rsidR="00EE4502" w:rsidRDefault="00FD45A3">
      <w:pPr>
        <w:spacing w:line="360" w:lineRule="auto"/>
        <w:ind w:firstLine="522"/>
        <w:rPr>
          <w:sz w:val="24"/>
        </w:rPr>
      </w:pPr>
      <w:r>
        <w:rPr>
          <w:sz w:val="24"/>
        </w:rPr>
        <w:t>因此，</w:t>
      </w:r>
      <w:r>
        <w:rPr>
          <w:rFonts w:hint="eastAsia"/>
          <w:sz w:val="24"/>
        </w:rPr>
        <w:t>本工程</w:t>
      </w:r>
      <w:r>
        <w:rPr>
          <w:rFonts w:hint="eastAsia"/>
          <w:sz w:val="24"/>
        </w:rPr>
        <w:t>不涉及废水、废气污染物总量控制指标</w:t>
      </w:r>
      <w:r>
        <w:rPr>
          <w:sz w:val="24"/>
        </w:rPr>
        <w:t>。</w:t>
      </w:r>
    </w:p>
    <w:p w:rsidR="00EE4502" w:rsidRDefault="00FD45A3">
      <w:pPr>
        <w:pStyle w:val="22"/>
        <w:numPr>
          <w:ilvl w:val="1"/>
          <w:numId w:val="30"/>
        </w:numPr>
        <w:rPr>
          <w:spacing w:val="0"/>
          <w:w w:val="100"/>
        </w:rPr>
      </w:pPr>
      <w:bookmarkStart w:id="190" w:name="_Hlt85095379"/>
      <w:bookmarkStart w:id="191" w:name="_Toc22401"/>
      <w:bookmarkStart w:id="192" w:name="_Toc63645931"/>
      <w:bookmarkStart w:id="193" w:name="_Toc69099954"/>
      <w:bookmarkStart w:id="194" w:name="_Toc69097408"/>
      <w:bookmarkStart w:id="195" w:name="_Toc6427011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90"/>
      <w:r>
        <w:rPr>
          <w:rFonts w:hint="eastAsia"/>
          <w:spacing w:val="0"/>
          <w:w w:val="100"/>
        </w:rPr>
        <w:t>相关政策法规、规划符合性分析</w:t>
      </w:r>
      <w:bookmarkEnd w:id="191"/>
    </w:p>
    <w:p w:rsidR="00EE4502" w:rsidRDefault="00FD45A3">
      <w:pPr>
        <w:pStyle w:val="33"/>
        <w:numPr>
          <w:ilvl w:val="2"/>
          <w:numId w:val="30"/>
        </w:numPr>
        <w:spacing w:line="360" w:lineRule="auto"/>
        <w:ind w:left="0" w:firstLine="0"/>
        <w:rPr>
          <w:spacing w:val="0"/>
          <w:sz w:val="24"/>
          <w:szCs w:val="24"/>
        </w:rPr>
      </w:pPr>
      <w:r>
        <w:rPr>
          <w:rFonts w:hint="eastAsia"/>
          <w:spacing w:val="0"/>
          <w:sz w:val="24"/>
          <w:szCs w:val="24"/>
        </w:rPr>
        <w:t>产业政策符合性分析</w:t>
      </w:r>
    </w:p>
    <w:p w:rsidR="00EE4502" w:rsidRDefault="00FD45A3">
      <w:pPr>
        <w:tabs>
          <w:tab w:val="left" w:pos="720"/>
        </w:tabs>
        <w:autoSpaceDE w:val="0"/>
        <w:autoSpaceDN w:val="0"/>
        <w:spacing w:line="360" w:lineRule="auto"/>
        <w:ind w:right="17" w:firstLineChars="200" w:firstLine="480"/>
        <w:rPr>
          <w:sz w:val="24"/>
        </w:rPr>
      </w:pPr>
      <w:r>
        <w:rPr>
          <w:rFonts w:hint="eastAsia"/>
          <w:sz w:val="24"/>
        </w:rPr>
        <w:t>（</w:t>
      </w:r>
      <w:r>
        <w:rPr>
          <w:rFonts w:hint="eastAsia"/>
          <w:sz w:val="24"/>
        </w:rPr>
        <w:t>1</w:t>
      </w:r>
      <w:r>
        <w:rPr>
          <w:rFonts w:hint="eastAsia"/>
          <w:sz w:val="24"/>
        </w:rPr>
        <w:t>）</w:t>
      </w:r>
      <w:r>
        <w:rPr>
          <w:rFonts w:hint="eastAsia"/>
          <w:sz w:val="24"/>
        </w:rPr>
        <w:t>与《石油天然气开采业污染防治技术政策》符合性分析</w:t>
      </w:r>
    </w:p>
    <w:p w:rsidR="00EE4502" w:rsidRDefault="00FD45A3">
      <w:pPr>
        <w:tabs>
          <w:tab w:val="left" w:pos="720"/>
        </w:tabs>
        <w:autoSpaceDE w:val="0"/>
        <w:autoSpaceDN w:val="0"/>
        <w:spacing w:line="360" w:lineRule="auto"/>
        <w:ind w:right="17" w:firstLineChars="200" w:firstLine="480"/>
        <w:rPr>
          <w:sz w:val="24"/>
        </w:rPr>
      </w:pPr>
      <w:r>
        <w:rPr>
          <w:sz w:val="24"/>
        </w:rPr>
        <w:t>《石油天然气开采业污染防治技术政策》提出：</w:t>
      </w:r>
      <w:r>
        <w:rPr>
          <w:sz w:val="24"/>
        </w:rPr>
        <w:t>“</w:t>
      </w:r>
      <w:r>
        <w:rPr>
          <w:sz w:val="24"/>
        </w:rPr>
        <w:t>到</w:t>
      </w:r>
      <w:r>
        <w:rPr>
          <w:sz w:val="24"/>
        </w:rPr>
        <w:t>2015</w:t>
      </w:r>
      <w:r>
        <w:rPr>
          <w:sz w:val="24"/>
        </w:rPr>
        <w:t>年末，行业新、改、扩建项目均采用清洁生产工艺和技术，工业废水回用率达到</w:t>
      </w:r>
      <w:r>
        <w:rPr>
          <w:sz w:val="24"/>
        </w:rPr>
        <w:t>90%</w:t>
      </w:r>
      <w:r>
        <w:rPr>
          <w:sz w:val="24"/>
        </w:rPr>
        <w:t>以上，工业固体废物资源化及无害化处理处置率达到</w:t>
      </w:r>
      <w:r>
        <w:rPr>
          <w:sz w:val="24"/>
        </w:rPr>
        <w:t>100%</w:t>
      </w:r>
      <w:r>
        <w:rPr>
          <w:sz w:val="24"/>
        </w:rPr>
        <w:t>；落地原油应及时回收，落地原油回收率应达到</w:t>
      </w:r>
      <w:r>
        <w:rPr>
          <w:sz w:val="24"/>
        </w:rPr>
        <w:t>100%</w:t>
      </w:r>
      <w:r>
        <w:rPr>
          <w:sz w:val="24"/>
        </w:rPr>
        <w:t>；油气田建设宜布置丛式井组，采用多分支井、水平井、小孔钻井、空气钻井等钻井技术，以减少废物产生和占地</w:t>
      </w:r>
      <w:r>
        <w:rPr>
          <w:sz w:val="24"/>
        </w:rPr>
        <w:t>”</w:t>
      </w:r>
      <w:r>
        <w:rPr>
          <w:sz w:val="24"/>
        </w:rPr>
        <w:t>。</w:t>
      </w:r>
    </w:p>
    <w:p w:rsidR="00EE4502" w:rsidRDefault="00FD45A3">
      <w:pPr>
        <w:tabs>
          <w:tab w:val="left" w:pos="720"/>
        </w:tabs>
        <w:autoSpaceDE w:val="0"/>
        <w:autoSpaceDN w:val="0"/>
        <w:spacing w:line="360" w:lineRule="auto"/>
        <w:ind w:right="17" w:firstLineChars="200" w:firstLine="480"/>
        <w:rPr>
          <w:sz w:val="24"/>
        </w:rPr>
      </w:pPr>
      <w:r>
        <w:rPr>
          <w:rFonts w:hint="eastAsia"/>
          <w:sz w:val="24"/>
        </w:rPr>
        <w:t>本工程</w:t>
      </w:r>
      <w:r>
        <w:rPr>
          <w:sz w:val="24"/>
        </w:rPr>
        <w:t>采出水</w:t>
      </w:r>
      <w:r>
        <w:rPr>
          <w:rFonts w:hint="eastAsia"/>
          <w:sz w:val="24"/>
        </w:rPr>
        <w:t>和井下作业废水均</w:t>
      </w:r>
      <w:r>
        <w:rPr>
          <w:sz w:val="24"/>
        </w:rPr>
        <w:t>由</w:t>
      </w:r>
      <w:r>
        <w:rPr>
          <w:rFonts w:hint="eastAsia"/>
          <w:sz w:val="24"/>
        </w:rPr>
        <w:t>春风二号联合站</w:t>
      </w:r>
      <w:r>
        <w:rPr>
          <w:sz w:val="24"/>
        </w:rPr>
        <w:t>污水处理系统</w:t>
      </w:r>
      <w:r>
        <w:rPr>
          <w:rFonts w:hint="eastAsia"/>
          <w:sz w:val="24"/>
        </w:rPr>
        <w:t>处理</w:t>
      </w:r>
      <w:r>
        <w:rPr>
          <w:sz w:val="24"/>
        </w:rPr>
        <w:t>达标后回注地层，满足工业废水回用率达到</w:t>
      </w:r>
      <w:r>
        <w:rPr>
          <w:sz w:val="24"/>
        </w:rPr>
        <w:t>90%</w:t>
      </w:r>
      <w:r>
        <w:rPr>
          <w:sz w:val="24"/>
        </w:rPr>
        <w:t>以上要求；井下作业时带罐回收</w:t>
      </w:r>
      <w:r>
        <w:rPr>
          <w:rFonts w:hint="eastAsia"/>
          <w:sz w:val="24"/>
        </w:rPr>
        <w:t>落地油</w:t>
      </w:r>
      <w:r>
        <w:rPr>
          <w:sz w:val="24"/>
        </w:rPr>
        <w:t>，满足落地原油回收率达到</w:t>
      </w:r>
      <w:r>
        <w:rPr>
          <w:sz w:val="24"/>
        </w:rPr>
        <w:t>100%</w:t>
      </w:r>
      <w:r>
        <w:rPr>
          <w:sz w:val="24"/>
        </w:rPr>
        <w:t>；</w:t>
      </w:r>
      <w:r>
        <w:rPr>
          <w:sz w:val="24"/>
        </w:rPr>
        <w:t>钻井泥浆</w:t>
      </w:r>
      <w:r>
        <w:rPr>
          <w:rFonts w:hint="eastAsia"/>
          <w:sz w:val="24"/>
        </w:rPr>
        <w:t>、岩屑</w:t>
      </w:r>
      <w:r>
        <w:rPr>
          <w:sz w:val="24"/>
        </w:rPr>
        <w:t>采用不落地回收技术，及时委托有资质单位进行回收处理，满足工业固体废物资源化及无害化处理处置率达到</w:t>
      </w:r>
      <w:r>
        <w:rPr>
          <w:sz w:val="24"/>
        </w:rPr>
        <w:t>100%</w:t>
      </w:r>
      <w:r>
        <w:rPr>
          <w:sz w:val="24"/>
        </w:rPr>
        <w:t>要求。因此，</w:t>
      </w:r>
      <w:r>
        <w:rPr>
          <w:rFonts w:hint="eastAsia"/>
          <w:sz w:val="24"/>
        </w:rPr>
        <w:t>本工程</w:t>
      </w:r>
      <w:r>
        <w:rPr>
          <w:sz w:val="24"/>
        </w:rPr>
        <w:t>建设符合《石油天然气开采业污染防治技术政策》要求。</w:t>
      </w:r>
    </w:p>
    <w:p w:rsidR="00EE4502" w:rsidRDefault="00FD45A3">
      <w:pPr>
        <w:tabs>
          <w:tab w:val="left" w:pos="720"/>
        </w:tabs>
        <w:autoSpaceDE w:val="0"/>
        <w:autoSpaceDN w:val="0"/>
        <w:spacing w:line="360" w:lineRule="auto"/>
        <w:ind w:right="17" w:firstLineChars="200" w:firstLine="480"/>
        <w:rPr>
          <w:sz w:val="24"/>
        </w:rPr>
      </w:pPr>
      <w:r>
        <w:rPr>
          <w:rFonts w:hint="eastAsia"/>
          <w:sz w:val="24"/>
        </w:rPr>
        <w:t>（</w:t>
      </w:r>
      <w:r>
        <w:rPr>
          <w:rFonts w:hint="eastAsia"/>
          <w:sz w:val="24"/>
        </w:rPr>
        <w:t>2</w:t>
      </w:r>
      <w:r>
        <w:rPr>
          <w:rFonts w:hint="eastAsia"/>
          <w:sz w:val="24"/>
        </w:rPr>
        <w:t>）与《挥发性有机物（</w:t>
      </w:r>
      <w:r>
        <w:rPr>
          <w:rFonts w:hint="eastAsia"/>
          <w:sz w:val="24"/>
        </w:rPr>
        <w:t>VOCs</w:t>
      </w:r>
      <w:r>
        <w:rPr>
          <w:rFonts w:hint="eastAsia"/>
          <w:sz w:val="24"/>
        </w:rPr>
        <w:t>）污染防治技术政策》符合性分析</w:t>
      </w:r>
    </w:p>
    <w:p w:rsidR="00EE4502" w:rsidRDefault="00FD45A3">
      <w:pPr>
        <w:spacing w:line="360" w:lineRule="auto"/>
        <w:ind w:firstLine="480"/>
        <w:rPr>
          <w:sz w:val="24"/>
        </w:rPr>
      </w:pPr>
      <w:r>
        <w:rPr>
          <w:sz w:val="24"/>
        </w:rPr>
        <w:t>《挥发性有机物（</w:t>
      </w:r>
      <w:r>
        <w:rPr>
          <w:sz w:val="24"/>
        </w:rPr>
        <w:t>VOCs</w:t>
      </w:r>
      <w:r>
        <w:rPr>
          <w:sz w:val="24"/>
        </w:rPr>
        <w:t>）污染防治技术政策》提出：</w:t>
      </w:r>
      <w:r>
        <w:rPr>
          <w:rFonts w:hint="eastAsia"/>
          <w:sz w:val="24"/>
        </w:rPr>
        <w:t>“</w:t>
      </w:r>
      <w:r>
        <w:rPr>
          <w:sz w:val="24"/>
        </w:rPr>
        <w:t>对泵、压缩机、阀门、法兰等易发生泄漏的设备与管线组件，制定泄漏检测与修复（</w:t>
      </w:r>
      <w:r>
        <w:rPr>
          <w:sz w:val="24"/>
        </w:rPr>
        <w:t>LDAR</w:t>
      </w:r>
      <w:r>
        <w:rPr>
          <w:sz w:val="24"/>
        </w:rPr>
        <w:t>）计划，定期检测、及时修复，防止或减少跑、冒、滴、漏现象。</w:t>
      </w:r>
      <w:r>
        <w:rPr>
          <w:rFonts w:hint="eastAsia"/>
          <w:sz w:val="24"/>
        </w:rPr>
        <w:t>”</w:t>
      </w:r>
    </w:p>
    <w:p w:rsidR="00EE4502" w:rsidRDefault="00FD45A3">
      <w:pPr>
        <w:spacing w:line="360" w:lineRule="auto"/>
        <w:ind w:firstLine="480"/>
        <w:rPr>
          <w:sz w:val="24"/>
        </w:rPr>
      </w:pPr>
      <w:r>
        <w:rPr>
          <w:sz w:val="24"/>
        </w:rPr>
        <w:t>中石化新疆新春石油开发有限责任公司</w:t>
      </w:r>
      <w:r>
        <w:rPr>
          <w:rFonts w:hint="eastAsia"/>
          <w:sz w:val="24"/>
        </w:rPr>
        <w:t>按时</w:t>
      </w:r>
      <w:r>
        <w:rPr>
          <w:sz w:val="24"/>
        </w:rPr>
        <w:t>开展</w:t>
      </w:r>
      <w:r>
        <w:rPr>
          <w:sz w:val="24"/>
        </w:rPr>
        <w:t>LDAR</w:t>
      </w:r>
      <w:r>
        <w:rPr>
          <w:sz w:val="24"/>
        </w:rPr>
        <w:t>工作，本</w:t>
      </w:r>
      <w:r>
        <w:rPr>
          <w:rFonts w:hint="eastAsia"/>
          <w:sz w:val="24"/>
        </w:rPr>
        <w:t>环评</w:t>
      </w:r>
      <w:r>
        <w:rPr>
          <w:sz w:val="24"/>
        </w:rPr>
        <w:t>提</w:t>
      </w:r>
      <w:r>
        <w:rPr>
          <w:sz w:val="24"/>
        </w:rPr>
        <w:t>出项目</w:t>
      </w:r>
      <w:r>
        <w:rPr>
          <w:rFonts w:hint="eastAsia"/>
          <w:sz w:val="24"/>
        </w:rPr>
        <w:t>运营期</w:t>
      </w:r>
      <w:r>
        <w:rPr>
          <w:sz w:val="24"/>
        </w:rPr>
        <w:t>间，应按照《挥发性有机物（</w:t>
      </w:r>
      <w:r>
        <w:rPr>
          <w:sz w:val="24"/>
        </w:rPr>
        <w:t>VOCs</w:t>
      </w:r>
      <w:r>
        <w:rPr>
          <w:sz w:val="24"/>
        </w:rPr>
        <w:t>）污染防治技术政策》要求，持续加强物料储存、转移、输送过程中</w:t>
      </w:r>
      <w:r>
        <w:rPr>
          <w:sz w:val="24"/>
        </w:rPr>
        <w:t>VOCs</w:t>
      </w:r>
      <w:r>
        <w:rPr>
          <w:sz w:val="24"/>
        </w:rPr>
        <w:t>排放、泄露、收集处理等控制措施，符合《挥发性有机物（</w:t>
      </w:r>
      <w:r>
        <w:rPr>
          <w:sz w:val="24"/>
        </w:rPr>
        <w:t>VOCs</w:t>
      </w:r>
      <w:r>
        <w:rPr>
          <w:sz w:val="24"/>
        </w:rPr>
        <w:t>）污染防治技术政策》中相关要求。</w:t>
      </w:r>
    </w:p>
    <w:p w:rsidR="00EE4502" w:rsidRDefault="00FD45A3">
      <w:pPr>
        <w:tabs>
          <w:tab w:val="left" w:pos="720"/>
        </w:tabs>
        <w:autoSpaceDE w:val="0"/>
        <w:autoSpaceDN w:val="0"/>
        <w:spacing w:line="360" w:lineRule="auto"/>
        <w:ind w:right="17" w:firstLineChars="200" w:firstLine="480"/>
        <w:rPr>
          <w:sz w:val="24"/>
        </w:rPr>
      </w:pPr>
      <w:r>
        <w:rPr>
          <w:rFonts w:hint="eastAsia"/>
          <w:sz w:val="24"/>
        </w:rPr>
        <w:t>（</w:t>
      </w:r>
      <w:r>
        <w:rPr>
          <w:rFonts w:hint="eastAsia"/>
          <w:sz w:val="24"/>
        </w:rPr>
        <w:t>3</w:t>
      </w:r>
      <w:r>
        <w:rPr>
          <w:rFonts w:hint="eastAsia"/>
          <w:sz w:val="24"/>
        </w:rPr>
        <w:t>）与《关于进一步加强石油天然气行业环境影响评价的通知》的符合性分析</w:t>
      </w:r>
    </w:p>
    <w:p w:rsidR="00EE4502" w:rsidRDefault="00FD45A3">
      <w:pPr>
        <w:spacing w:line="360" w:lineRule="auto"/>
        <w:ind w:firstLine="480"/>
        <w:rPr>
          <w:sz w:val="24"/>
        </w:rPr>
      </w:pPr>
      <w:r>
        <w:rPr>
          <w:sz w:val="24"/>
        </w:rPr>
        <w:t>根据《关于进一步加强石油天然气行业环境影响评价的通知》（环办环评函〔</w:t>
      </w:r>
      <w:r>
        <w:rPr>
          <w:sz w:val="24"/>
        </w:rPr>
        <w:t>2019</w:t>
      </w:r>
      <w:r>
        <w:rPr>
          <w:sz w:val="24"/>
        </w:rPr>
        <w:t>〕</w:t>
      </w:r>
      <w:r>
        <w:rPr>
          <w:sz w:val="24"/>
        </w:rPr>
        <w:t>910</w:t>
      </w:r>
      <w:r>
        <w:rPr>
          <w:sz w:val="24"/>
        </w:rPr>
        <w:t>号）：</w:t>
      </w:r>
      <w:r>
        <w:rPr>
          <w:sz w:val="24"/>
        </w:rPr>
        <w:t>“</w:t>
      </w:r>
      <w:r>
        <w:rPr>
          <w:sz w:val="24"/>
        </w:rPr>
        <w:t>编制油气开发相关专项规划，应当依法同步编制规划环境影响报告书，报送生态环境主管部门依法召集审查；在相关行业污染控制标准发</w:t>
      </w:r>
      <w:r>
        <w:rPr>
          <w:sz w:val="24"/>
        </w:rPr>
        <w:lastRenderedPageBreak/>
        <w:t>布前，回注的开采废水</w:t>
      </w:r>
      <w:r>
        <w:rPr>
          <w:sz w:val="24"/>
        </w:rPr>
        <w:t>应当经处理并符合</w:t>
      </w:r>
      <w:r>
        <w:rPr>
          <w:rFonts w:hint="eastAsia"/>
          <w:sz w:val="24"/>
        </w:rPr>
        <w:t>《碎屑岩油藏注水水质指标技术要求及分析方法》（</w:t>
      </w:r>
      <w:r>
        <w:rPr>
          <w:rFonts w:hint="eastAsia"/>
          <w:sz w:val="24"/>
        </w:rPr>
        <w:t>SY/T 5329-2022</w:t>
      </w:r>
      <w:r>
        <w:rPr>
          <w:rFonts w:hint="eastAsia"/>
          <w:sz w:val="24"/>
        </w:rPr>
        <w:t>）</w:t>
      </w:r>
      <w:r>
        <w:rPr>
          <w:sz w:val="24"/>
        </w:rPr>
        <w:t>等相关标准要求后回注，同步采取切实可行措施防治污染；陆地油气开采项目的建设单位应当对挥发性有机物液体储存和装载损失、废水液面逸散、设备与管线组件泄漏、非正常工况等挥发性有机物无组织排放源进行有效管控，通过采取设备密闭、废气有效收集及配套高效末端处理设施等措施，有效控制挥发性有机物和恶臭气体无组织排放；建设单位或生产经营单位按规定开展建设项目竣工环境保护验收，并录入全国建设项目竣工环境保护验收信息平台。施工期应当尽量减少施工占地、缩短施工时间、选择合理施工方式、落实环境敏感区管控要求以及其他生态环境保护措施，</w:t>
      </w:r>
      <w:r>
        <w:rPr>
          <w:sz w:val="24"/>
        </w:rPr>
        <w:t>降低生态环境影响。选用低噪声设备，避免噪声扰民。施工结束后，应当及时落实环评提出的生态保护措施。油气长输管道及油气田内部集输管道应当优先避让环境敏感区，并从穿越位置、穿越方式、施工场地设置、管线工艺设计、环境风险防范等方面进行深入论证。高度关注项目安全事故带来的环境风险，尽量远离沿线居民。油气企业应当加强风险防控，按规定编制突发环境事件应急预案，报所在地生态环境主管部门备案。</w:t>
      </w:r>
      <w:r>
        <w:rPr>
          <w:sz w:val="24"/>
        </w:rPr>
        <w:t>”</w:t>
      </w:r>
    </w:p>
    <w:p w:rsidR="00EE4502" w:rsidRDefault="00FD45A3">
      <w:pPr>
        <w:spacing w:line="360" w:lineRule="auto"/>
        <w:ind w:firstLine="480"/>
        <w:rPr>
          <w:sz w:val="24"/>
        </w:rPr>
      </w:pPr>
      <w:r>
        <w:rPr>
          <w:sz w:val="24"/>
        </w:rPr>
        <w:t>中石化新疆新春石油开发有限责任公司已</w:t>
      </w:r>
      <w:r>
        <w:rPr>
          <w:rFonts w:hint="eastAsia"/>
          <w:sz w:val="24"/>
        </w:rPr>
        <w:t>编制</w:t>
      </w:r>
      <w:r>
        <w:rPr>
          <w:sz w:val="24"/>
        </w:rPr>
        <w:t>新春公司产能建设</w:t>
      </w:r>
      <w:r>
        <w:rPr>
          <w:rFonts w:hint="eastAsia"/>
          <w:sz w:val="24"/>
        </w:rPr>
        <w:t>“</w:t>
      </w:r>
      <w:r>
        <w:rPr>
          <w:sz w:val="24"/>
        </w:rPr>
        <w:t>十四五</w:t>
      </w:r>
      <w:r>
        <w:rPr>
          <w:rFonts w:hint="eastAsia"/>
          <w:sz w:val="24"/>
        </w:rPr>
        <w:t>”</w:t>
      </w:r>
      <w:r>
        <w:rPr>
          <w:sz w:val="24"/>
        </w:rPr>
        <w:t>规划</w:t>
      </w:r>
      <w:r>
        <w:rPr>
          <w:rFonts w:hint="eastAsia"/>
          <w:sz w:val="24"/>
        </w:rPr>
        <w:t>及</w:t>
      </w:r>
      <w:r>
        <w:rPr>
          <w:sz w:val="24"/>
        </w:rPr>
        <w:t>规划环境影响报告书</w:t>
      </w:r>
      <w:r>
        <w:rPr>
          <w:rFonts w:hint="eastAsia"/>
          <w:sz w:val="24"/>
        </w:rPr>
        <w:t>。</w:t>
      </w:r>
      <w:r>
        <w:rPr>
          <w:rFonts w:hint="eastAsia"/>
          <w:sz w:val="24"/>
        </w:rPr>
        <w:t>本工程</w:t>
      </w:r>
      <w:r>
        <w:rPr>
          <w:sz w:val="24"/>
        </w:rPr>
        <w:t>采出水依托</w:t>
      </w:r>
      <w:r>
        <w:rPr>
          <w:rFonts w:hint="eastAsia"/>
          <w:sz w:val="24"/>
        </w:rPr>
        <w:t>春风二号联合站</w:t>
      </w:r>
      <w:r>
        <w:rPr>
          <w:sz w:val="24"/>
        </w:rPr>
        <w:t>处理达标</w:t>
      </w:r>
      <w:r>
        <w:rPr>
          <w:sz w:val="24"/>
        </w:rPr>
        <w:t>后回注地层，采用密闭集输等措施控制无组织排放，中石化新疆新春石油开发有限责任公司针对油田在施工期和运营期可能发生的各种环境风险事故，制定了详细的风险事故应急预案，当事件一旦发生时可迅速加以控制，使危害和损失降低到尽可能低的程度；</w:t>
      </w:r>
      <w:r>
        <w:rPr>
          <w:rFonts w:hint="eastAsia"/>
          <w:sz w:val="24"/>
        </w:rPr>
        <w:t>本工程</w:t>
      </w:r>
      <w:r>
        <w:rPr>
          <w:rFonts w:hint="eastAsia"/>
          <w:sz w:val="24"/>
        </w:rPr>
        <w:t>后续根据《关于进一步加强石油天然气行业环境影响评价的通知》（环办环评函〔</w:t>
      </w:r>
      <w:r>
        <w:rPr>
          <w:rFonts w:hint="eastAsia"/>
          <w:sz w:val="24"/>
        </w:rPr>
        <w:t>2019</w:t>
      </w:r>
      <w:r>
        <w:rPr>
          <w:rFonts w:hint="eastAsia"/>
          <w:sz w:val="24"/>
        </w:rPr>
        <w:t>〕</w:t>
      </w:r>
      <w:r>
        <w:rPr>
          <w:rFonts w:hint="eastAsia"/>
          <w:sz w:val="24"/>
        </w:rPr>
        <w:t>910</w:t>
      </w:r>
      <w:r>
        <w:rPr>
          <w:rFonts w:hint="eastAsia"/>
          <w:sz w:val="24"/>
        </w:rPr>
        <w:t>）号）中相关要求，按规定开展建设项目竣工环境保护验收，并录入全国建设项目竣工环境保护验收信息平台。</w:t>
      </w:r>
      <w:r>
        <w:rPr>
          <w:rFonts w:hint="eastAsia"/>
          <w:sz w:val="24"/>
        </w:rPr>
        <w:t>本工程</w:t>
      </w:r>
      <w:r>
        <w:rPr>
          <w:sz w:val="24"/>
        </w:rPr>
        <w:t>报告中已提出施工过程中严格控制作业带，减少施工占地的措施，要求施工结束后及时进行恢复清</w:t>
      </w:r>
      <w:r>
        <w:rPr>
          <w:sz w:val="24"/>
        </w:rPr>
        <w:t>理，落实报告中提出的生态保护措施，避免对区域生态环境造成影响；</w:t>
      </w:r>
      <w:r>
        <w:rPr>
          <w:rFonts w:hint="eastAsia"/>
          <w:sz w:val="24"/>
        </w:rPr>
        <w:t>本工程</w:t>
      </w:r>
      <w:r>
        <w:rPr>
          <w:sz w:val="24"/>
        </w:rPr>
        <w:t>原油集输管线采取埋地敷设方式，敷设管线未穿越红线，不在生态保护红线范围内，且周边无居民区分布；中石化新疆新春石油开发有限责任公司制定有《中石化新疆新春石油开发有限责任公司突发环境事件应急预案》并进行了备案，后续应根据</w:t>
      </w:r>
      <w:r>
        <w:rPr>
          <w:rFonts w:hint="eastAsia"/>
          <w:sz w:val="24"/>
        </w:rPr>
        <w:t>本工程</w:t>
      </w:r>
      <w:r>
        <w:rPr>
          <w:sz w:val="24"/>
        </w:rPr>
        <w:t>生产过</w:t>
      </w:r>
      <w:r>
        <w:rPr>
          <w:rFonts w:hint="eastAsia"/>
          <w:sz w:val="24"/>
        </w:rPr>
        <w:t>程中</w:t>
      </w:r>
      <w:r>
        <w:rPr>
          <w:sz w:val="24"/>
        </w:rPr>
        <w:t>存在的风险事故类型，完善现有的突发环境事件应急预案。综上，</w:t>
      </w:r>
      <w:r>
        <w:rPr>
          <w:rFonts w:hint="eastAsia"/>
          <w:sz w:val="24"/>
        </w:rPr>
        <w:t>本工程</w:t>
      </w:r>
      <w:r>
        <w:rPr>
          <w:sz w:val="24"/>
        </w:rPr>
        <w:t>符合《关于进一步加强石油天然气行业环境影响评价的通</w:t>
      </w:r>
      <w:r>
        <w:rPr>
          <w:sz w:val="24"/>
        </w:rPr>
        <w:lastRenderedPageBreak/>
        <w:t>知》（环办环评函〔</w:t>
      </w:r>
      <w:r>
        <w:rPr>
          <w:sz w:val="24"/>
        </w:rPr>
        <w:t>2019</w:t>
      </w:r>
      <w:r>
        <w:rPr>
          <w:sz w:val="24"/>
        </w:rPr>
        <w:t>〕</w:t>
      </w:r>
      <w:r>
        <w:rPr>
          <w:sz w:val="24"/>
        </w:rPr>
        <w:t>910</w:t>
      </w:r>
      <w:r>
        <w:rPr>
          <w:sz w:val="24"/>
        </w:rPr>
        <w:t>号）相关要求。</w:t>
      </w:r>
    </w:p>
    <w:p w:rsidR="00EE4502" w:rsidRDefault="00FD45A3">
      <w:pPr>
        <w:tabs>
          <w:tab w:val="left" w:pos="720"/>
        </w:tabs>
        <w:autoSpaceDE w:val="0"/>
        <w:autoSpaceDN w:val="0"/>
        <w:spacing w:line="360" w:lineRule="auto"/>
        <w:ind w:right="17" w:firstLineChars="200" w:firstLine="480"/>
        <w:rPr>
          <w:sz w:val="24"/>
        </w:rPr>
      </w:pPr>
      <w:r>
        <w:rPr>
          <w:rFonts w:hint="eastAsia"/>
          <w:sz w:val="24"/>
        </w:rPr>
        <w:t>（</w:t>
      </w:r>
      <w:r>
        <w:rPr>
          <w:rFonts w:hint="eastAsia"/>
          <w:sz w:val="24"/>
        </w:rPr>
        <w:t>4</w:t>
      </w:r>
      <w:r>
        <w:rPr>
          <w:rFonts w:hint="eastAsia"/>
          <w:sz w:val="24"/>
        </w:rPr>
        <w:t>）与《关于进一步加强和规范油气田开发项目环境</w:t>
      </w:r>
      <w:r>
        <w:rPr>
          <w:rFonts w:hint="eastAsia"/>
          <w:sz w:val="24"/>
        </w:rPr>
        <w:t>保护管理工作的通知》符合性分析</w:t>
      </w:r>
    </w:p>
    <w:p w:rsidR="00EE4502" w:rsidRDefault="00FD45A3">
      <w:pPr>
        <w:spacing w:line="360" w:lineRule="auto"/>
        <w:jc w:val="center"/>
        <w:rPr>
          <w:rFonts w:eastAsia="黑体"/>
          <w:bCs/>
          <w:lang w:val="zh-CN"/>
        </w:rPr>
      </w:pPr>
      <w:r>
        <w:rPr>
          <w:rFonts w:eastAsia="黑体"/>
          <w:bCs/>
          <w:lang w:val="zh-CN"/>
        </w:rPr>
        <w:t>表</w:t>
      </w:r>
      <w:r>
        <w:rPr>
          <w:rFonts w:eastAsia="黑体" w:hint="eastAsia"/>
          <w:bCs/>
          <w:lang w:val="zh-CN"/>
        </w:rPr>
        <w:t>3-</w:t>
      </w:r>
      <w:r>
        <w:rPr>
          <w:rFonts w:eastAsia="黑体" w:hint="eastAsia"/>
          <w:bCs/>
        </w:rPr>
        <w:t>5</w:t>
      </w:r>
      <w:r>
        <w:rPr>
          <w:rFonts w:eastAsia="黑体" w:hint="eastAsia"/>
          <w:bCs/>
          <w:lang w:val="zh-CN"/>
        </w:rPr>
        <w:t>-1</w:t>
      </w:r>
      <w:r>
        <w:rPr>
          <w:rFonts w:eastAsia="黑体"/>
          <w:bCs/>
          <w:lang w:val="zh-CN"/>
        </w:rPr>
        <w:t xml:space="preserve">  </w:t>
      </w:r>
      <w:r>
        <w:rPr>
          <w:rFonts w:eastAsia="黑体"/>
          <w:bCs/>
          <w:lang w:val="zh-CN"/>
        </w:rPr>
        <w:t>与</w:t>
      </w:r>
      <w:r>
        <w:rPr>
          <w:rFonts w:eastAsia="黑体" w:hint="eastAsia"/>
          <w:bCs/>
          <w:lang w:val="zh-CN"/>
        </w:rPr>
        <w:t>“</w:t>
      </w:r>
      <w:r>
        <w:rPr>
          <w:rFonts w:eastAsia="黑体"/>
          <w:bCs/>
          <w:lang w:val="zh-CN"/>
        </w:rPr>
        <w:t>新环发</w:t>
      </w:r>
      <w:r>
        <w:rPr>
          <w:rFonts w:eastAsia="黑体" w:hint="eastAsia"/>
          <w:bCs/>
          <w:lang w:val="zh-CN"/>
        </w:rPr>
        <w:t>﹝</w:t>
      </w:r>
      <w:r>
        <w:rPr>
          <w:rFonts w:eastAsia="黑体" w:hint="eastAsia"/>
          <w:bCs/>
          <w:lang w:val="zh-CN"/>
        </w:rPr>
        <w:t>2018</w:t>
      </w:r>
      <w:r>
        <w:rPr>
          <w:rFonts w:eastAsia="黑体" w:hint="eastAsia"/>
          <w:bCs/>
          <w:lang w:val="zh-CN"/>
        </w:rPr>
        <w:t>﹞</w:t>
      </w:r>
      <w:r>
        <w:rPr>
          <w:rFonts w:eastAsia="黑体"/>
          <w:bCs/>
          <w:lang w:val="zh-CN"/>
        </w:rPr>
        <w:t>133</w:t>
      </w:r>
      <w:r>
        <w:rPr>
          <w:rFonts w:eastAsia="黑体"/>
          <w:bCs/>
          <w:lang w:val="zh-CN"/>
        </w:rPr>
        <w:t>号</w:t>
      </w:r>
      <w:r>
        <w:rPr>
          <w:rFonts w:eastAsia="黑体" w:hint="eastAsia"/>
          <w:bCs/>
          <w:lang w:val="zh-CN"/>
        </w:rPr>
        <w:t>”</w:t>
      </w:r>
      <w:r>
        <w:rPr>
          <w:rFonts w:eastAsia="黑体"/>
          <w:bCs/>
          <w:lang w:val="zh-CN"/>
        </w:rPr>
        <w:t>符合性分析</w:t>
      </w:r>
    </w:p>
    <w:tbl>
      <w:tblPr>
        <w:tblW w:w="5000" w:type="pct"/>
        <w:tblBorders>
          <w:top w:val="single" w:sz="8" w:space="0" w:color="auto"/>
          <w:bottom w:val="single" w:sz="8" w:space="0" w:color="auto"/>
          <w:insideH w:val="single" w:sz="8" w:space="0" w:color="auto"/>
          <w:insideV w:val="single" w:sz="8" w:space="0" w:color="auto"/>
        </w:tblBorders>
        <w:tblLook w:val="04A0" w:firstRow="1" w:lastRow="0" w:firstColumn="1" w:lastColumn="0" w:noHBand="0" w:noVBand="1"/>
      </w:tblPr>
      <w:tblGrid>
        <w:gridCol w:w="725"/>
        <w:gridCol w:w="4793"/>
        <w:gridCol w:w="2017"/>
        <w:gridCol w:w="771"/>
      </w:tblGrid>
      <w:tr w:rsidR="00EE4502">
        <w:trPr>
          <w:trHeight w:val="339"/>
        </w:trPr>
        <w:tc>
          <w:tcPr>
            <w:tcW w:w="3322" w:type="pct"/>
            <w:gridSpan w:val="2"/>
            <w:tcMar>
              <w:left w:w="0" w:type="dxa"/>
              <w:right w:w="0" w:type="dxa"/>
            </w:tcMar>
            <w:vAlign w:val="center"/>
          </w:tcPr>
          <w:p w:rsidR="00EE4502" w:rsidRDefault="00FD45A3">
            <w:pPr>
              <w:pStyle w:val="TableParagraph"/>
              <w:jc w:val="center"/>
              <w:rPr>
                <w:rFonts w:ascii="Times New Roman" w:cs="Times New Roman"/>
                <w:snapToGrid w:val="0"/>
                <w:kern w:val="0"/>
                <w:szCs w:val="21"/>
              </w:rPr>
            </w:pPr>
            <w:r>
              <w:rPr>
                <w:rFonts w:ascii="Times New Roman" w:cs="Times New Roman"/>
                <w:snapToGrid w:val="0"/>
                <w:kern w:val="0"/>
                <w:szCs w:val="21"/>
              </w:rPr>
              <w:t>《石油天然气开采业污染防治技术政策》中相关规定</w:t>
            </w:r>
          </w:p>
        </w:tc>
        <w:tc>
          <w:tcPr>
            <w:tcW w:w="1214" w:type="pct"/>
            <w:tcMar>
              <w:left w:w="0" w:type="dxa"/>
              <w:right w:w="0" w:type="dxa"/>
            </w:tcMar>
            <w:vAlign w:val="center"/>
          </w:tcPr>
          <w:p w:rsidR="00EE4502" w:rsidRDefault="00FD45A3">
            <w:pPr>
              <w:pStyle w:val="TableParagraph"/>
              <w:jc w:val="center"/>
              <w:rPr>
                <w:rFonts w:ascii="Times New Roman" w:cs="Times New Roman"/>
                <w:snapToGrid w:val="0"/>
                <w:kern w:val="0"/>
                <w:szCs w:val="21"/>
              </w:rPr>
            </w:pPr>
            <w:r>
              <w:rPr>
                <w:rFonts w:ascii="Times New Roman" w:cs="Times New Roman" w:hint="eastAsia"/>
                <w:snapToGrid w:val="0"/>
                <w:kern w:val="0"/>
                <w:szCs w:val="21"/>
              </w:rPr>
              <w:t>本工程</w:t>
            </w:r>
          </w:p>
        </w:tc>
        <w:tc>
          <w:tcPr>
            <w:tcW w:w="464" w:type="pct"/>
            <w:tcMar>
              <w:left w:w="0" w:type="dxa"/>
              <w:right w:w="0" w:type="dxa"/>
            </w:tcMar>
            <w:vAlign w:val="center"/>
          </w:tcPr>
          <w:p w:rsidR="00EE4502" w:rsidRDefault="00FD45A3">
            <w:pPr>
              <w:pStyle w:val="TableParagraph"/>
              <w:jc w:val="center"/>
              <w:rPr>
                <w:rFonts w:ascii="Times New Roman" w:cs="Times New Roman"/>
                <w:snapToGrid w:val="0"/>
                <w:kern w:val="0"/>
                <w:szCs w:val="21"/>
              </w:rPr>
            </w:pPr>
            <w:r>
              <w:rPr>
                <w:rFonts w:ascii="Times New Roman" w:cs="Times New Roman"/>
                <w:snapToGrid w:val="0"/>
                <w:kern w:val="0"/>
                <w:szCs w:val="21"/>
              </w:rPr>
              <w:t>相符性</w:t>
            </w:r>
          </w:p>
          <w:p w:rsidR="00EE4502" w:rsidRDefault="00FD45A3">
            <w:pPr>
              <w:pStyle w:val="TableParagraph"/>
              <w:jc w:val="center"/>
              <w:rPr>
                <w:rFonts w:ascii="Times New Roman" w:cs="Times New Roman"/>
                <w:snapToGrid w:val="0"/>
                <w:kern w:val="0"/>
                <w:szCs w:val="21"/>
              </w:rPr>
            </w:pPr>
            <w:r>
              <w:rPr>
                <w:rFonts w:ascii="Times New Roman" w:cs="Times New Roman"/>
                <w:snapToGrid w:val="0"/>
                <w:kern w:val="0"/>
                <w:szCs w:val="21"/>
              </w:rPr>
              <w:t>分析</w:t>
            </w:r>
          </w:p>
        </w:tc>
      </w:tr>
      <w:tr w:rsidR="00EE4502">
        <w:trPr>
          <w:trHeight w:val="339"/>
        </w:trPr>
        <w:tc>
          <w:tcPr>
            <w:tcW w:w="437" w:type="pct"/>
            <w:tcMar>
              <w:left w:w="0" w:type="dxa"/>
              <w:right w:w="0" w:type="dxa"/>
            </w:tcMar>
            <w:vAlign w:val="center"/>
          </w:tcPr>
          <w:p w:rsidR="00EE4502" w:rsidRDefault="00FD45A3">
            <w:pPr>
              <w:pStyle w:val="TableParagraph"/>
              <w:rPr>
                <w:rFonts w:ascii="Times New Roman" w:cs="Times New Roman"/>
                <w:snapToGrid w:val="0"/>
                <w:kern w:val="0"/>
                <w:szCs w:val="21"/>
              </w:rPr>
            </w:pPr>
            <w:r>
              <w:rPr>
                <w:rFonts w:ascii="Times New Roman" w:cs="Times New Roman"/>
                <w:snapToGrid w:val="0"/>
                <w:kern w:val="0"/>
                <w:szCs w:val="21"/>
              </w:rPr>
              <w:t>一、明确环境保护责任，规范油气田开发行为</w:t>
            </w:r>
          </w:p>
        </w:tc>
        <w:tc>
          <w:tcPr>
            <w:tcW w:w="2885" w:type="pct"/>
            <w:vAlign w:val="center"/>
          </w:tcPr>
          <w:p w:rsidR="00EE4502" w:rsidRDefault="00FD45A3">
            <w:pPr>
              <w:pStyle w:val="TableParagraph"/>
              <w:rPr>
                <w:rFonts w:ascii="Times New Roman" w:cs="Times New Roman"/>
                <w:snapToGrid w:val="0"/>
                <w:kern w:val="0"/>
                <w:szCs w:val="21"/>
              </w:rPr>
            </w:pPr>
            <w:r>
              <w:rPr>
                <w:rFonts w:ascii="Times New Roman" w:cs="Times New Roman"/>
                <w:snapToGrid w:val="0"/>
                <w:kern w:val="0"/>
                <w:szCs w:val="21"/>
              </w:rPr>
              <w:t>（二）严格落实油气田开发项目环评等级及权限。各油气田</w:t>
            </w:r>
            <w:r>
              <w:rPr>
                <w:rFonts w:ascii="Times New Roman" w:cs="Times New Roman" w:hint="eastAsia"/>
                <w:snapToGrid w:val="0"/>
                <w:kern w:val="0"/>
                <w:szCs w:val="21"/>
              </w:rPr>
              <w:t>开</w:t>
            </w:r>
            <w:r>
              <w:rPr>
                <w:rFonts w:ascii="Times New Roman" w:cs="Times New Roman"/>
                <w:snapToGrid w:val="0"/>
                <w:kern w:val="0"/>
                <w:szCs w:val="21"/>
              </w:rPr>
              <w:t>发业主单位认真梳理区域内油气开发现状，明确环境影响已评价和开发范围（即老区块）、未评价和开发范围（即新区块）的范围坐标，整理形成油气田开发情况</w:t>
            </w:r>
            <w:r>
              <w:rPr>
                <w:rFonts w:ascii="Times New Roman" w:cs="Times New Roman"/>
                <w:snapToGrid w:val="0"/>
                <w:kern w:val="0"/>
                <w:szCs w:val="21"/>
              </w:rPr>
              <w:t>“</w:t>
            </w:r>
            <w:r>
              <w:rPr>
                <w:rFonts w:ascii="Times New Roman" w:cs="Times New Roman"/>
                <w:snapToGrid w:val="0"/>
                <w:kern w:val="0"/>
                <w:szCs w:val="21"/>
              </w:rPr>
              <w:t>一张图</w:t>
            </w:r>
            <w:r>
              <w:rPr>
                <w:rFonts w:ascii="Times New Roman" w:cs="Times New Roman"/>
                <w:snapToGrid w:val="0"/>
                <w:kern w:val="0"/>
                <w:szCs w:val="21"/>
              </w:rPr>
              <w:t>”</w:t>
            </w:r>
            <w:r>
              <w:rPr>
                <w:rFonts w:ascii="Times New Roman" w:cs="Times New Roman"/>
                <w:snapToGrid w:val="0"/>
                <w:kern w:val="0"/>
                <w:szCs w:val="21"/>
              </w:rPr>
              <w:t>报我厅环境影响评价处，凡属于环境影响评价文件批复区域内新增油气田开发建设行为，其增层开采、加密建井等均按照老区块开发建设编制环评文件，报地州市环保局审批；凡属于环境影响评价文件批复未涉及区域内的开发建设行为均按照新区块编报环评文件。未提交</w:t>
            </w:r>
            <w:r>
              <w:rPr>
                <w:rFonts w:ascii="Times New Roman" w:cs="Times New Roman"/>
                <w:snapToGrid w:val="0"/>
                <w:kern w:val="0"/>
                <w:szCs w:val="21"/>
              </w:rPr>
              <w:t>“</w:t>
            </w:r>
            <w:r>
              <w:rPr>
                <w:rFonts w:ascii="Times New Roman" w:cs="Times New Roman"/>
                <w:snapToGrid w:val="0"/>
                <w:kern w:val="0"/>
                <w:szCs w:val="21"/>
              </w:rPr>
              <w:t>一张图</w:t>
            </w:r>
            <w:r>
              <w:rPr>
                <w:rFonts w:ascii="Times New Roman" w:cs="Times New Roman"/>
                <w:snapToGrid w:val="0"/>
                <w:kern w:val="0"/>
                <w:szCs w:val="21"/>
              </w:rPr>
              <w:t>”</w:t>
            </w:r>
            <w:r>
              <w:rPr>
                <w:rFonts w:ascii="Times New Roman" w:cs="Times New Roman"/>
                <w:snapToGrid w:val="0"/>
                <w:kern w:val="0"/>
                <w:szCs w:val="21"/>
              </w:rPr>
              <w:t>的单位我厅暂不予受理其新申请项目环境影响评价审批文件。</w:t>
            </w:r>
          </w:p>
        </w:tc>
        <w:tc>
          <w:tcPr>
            <w:tcW w:w="1214" w:type="pct"/>
            <w:tcMar>
              <w:left w:w="0" w:type="dxa"/>
              <w:right w:w="0" w:type="dxa"/>
            </w:tcMar>
            <w:vAlign w:val="center"/>
          </w:tcPr>
          <w:p w:rsidR="00EE4502" w:rsidRDefault="00FD45A3">
            <w:pPr>
              <w:pStyle w:val="TableParagraph"/>
              <w:rPr>
                <w:rFonts w:ascii="Times New Roman" w:cs="Times New Roman"/>
                <w:snapToGrid w:val="0"/>
                <w:kern w:val="0"/>
                <w:szCs w:val="21"/>
              </w:rPr>
            </w:pPr>
            <w:r>
              <w:rPr>
                <w:rFonts w:ascii="Times New Roman" w:cs="Times New Roman"/>
                <w:snapToGrid w:val="0"/>
                <w:kern w:val="0"/>
                <w:szCs w:val="21"/>
              </w:rPr>
              <w:t>春风油田整理形成了油气田开发情况</w:t>
            </w:r>
            <w:r>
              <w:rPr>
                <w:rFonts w:ascii="Times New Roman" w:cs="Times New Roman" w:hint="eastAsia"/>
                <w:snapToGrid w:val="0"/>
                <w:kern w:val="0"/>
                <w:szCs w:val="21"/>
              </w:rPr>
              <w:t>“</w:t>
            </w:r>
            <w:r>
              <w:rPr>
                <w:rFonts w:ascii="Times New Roman" w:cs="Times New Roman"/>
                <w:snapToGrid w:val="0"/>
                <w:kern w:val="0"/>
                <w:szCs w:val="21"/>
              </w:rPr>
              <w:t>一张图</w:t>
            </w:r>
            <w:r>
              <w:rPr>
                <w:rFonts w:ascii="Times New Roman" w:cs="Times New Roman" w:hint="eastAsia"/>
                <w:snapToGrid w:val="0"/>
                <w:kern w:val="0"/>
                <w:szCs w:val="21"/>
              </w:rPr>
              <w:t>”</w:t>
            </w:r>
            <w:r>
              <w:rPr>
                <w:rFonts w:ascii="Times New Roman" w:cs="Times New Roman"/>
                <w:snapToGrid w:val="0"/>
                <w:kern w:val="0"/>
                <w:szCs w:val="21"/>
              </w:rPr>
              <w:t>，并向原自治区</w:t>
            </w:r>
            <w:r>
              <w:rPr>
                <w:rFonts w:ascii="Times New Roman" w:cs="Times New Roman"/>
                <w:snapToGrid w:val="0"/>
                <w:kern w:val="0"/>
                <w:szCs w:val="21"/>
              </w:rPr>
              <w:t>环保厅环境影响评价处进行了提交。</w:t>
            </w:r>
          </w:p>
          <w:p w:rsidR="00EE4502" w:rsidRDefault="00FD45A3">
            <w:pPr>
              <w:pStyle w:val="TableParagraph"/>
              <w:rPr>
                <w:rFonts w:ascii="Times New Roman" w:cs="Times New Roman"/>
                <w:snapToGrid w:val="0"/>
                <w:kern w:val="0"/>
                <w:szCs w:val="21"/>
              </w:rPr>
            </w:pPr>
            <w:r>
              <w:rPr>
                <w:rFonts w:ascii="Times New Roman" w:cs="Times New Roman" w:hint="eastAsia"/>
                <w:snapToGrid w:val="0"/>
                <w:kern w:val="0"/>
                <w:szCs w:val="21"/>
              </w:rPr>
              <w:t>本工程</w:t>
            </w:r>
            <w:r>
              <w:rPr>
                <w:rFonts w:ascii="Times New Roman" w:cs="Times New Roman" w:hint="eastAsia"/>
                <w:snapToGrid w:val="0"/>
                <w:kern w:val="0"/>
                <w:szCs w:val="21"/>
              </w:rPr>
              <w:t>位于</w:t>
            </w:r>
            <w:r>
              <w:rPr>
                <w:rFonts w:ascii="Times New Roman" w:cs="Times New Roman"/>
                <w:snapToGrid w:val="0"/>
                <w:kern w:val="0"/>
                <w:szCs w:val="21"/>
              </w:rPr>
              <w:t>春风油田开发情况</w:t>
            </w:r>
            <w:r>
              <w:rPr>
                <w:rFonts w:ascii="Times New Roman" w:cs="Times New Roman" w:hint="eastAsia"/>
                <w:snapToGrid w:val="0"/>
                <w:kern w:val="0"/>
                <w:szCs w:val="21"/>
              </w:rPr>
              <w:t>“</w:t>
            </w:r>
            <w:r>
              <w:rPr>
                <w:rFonts w:ascii="Times New Roman" w:cs="Times New Roman"/>
                <w:snapToGrid w:val="0"/>
                <w:kern w:val="0"/>
                <w:szCs w:val="21"/>
              </w:rPr>
              <w:t>一张图</w:t>
            </w:r>
            <w:r>
              <w:rPr>
                <w:rFonts w:ascii="Times New Roman" w:cs="Times New Roman" w:hint="eastAsia"/>
                <w:snapToGrid w:val="0"/>
                <w:kern w:val="0"/>
                <w:szCs w:val="21"/>
              </w:rPr>
              <w:t>”</w:t>
            </w:r>
            <w:r>
              <w:rPr>
                <w:rFonts w:ascii="Times New Roman" w:cs="Times New Roman" w:hint="eastAsia"/>
                <w:snapToGrid w:val="0"/>
                <w:kern w:val="0"/>
                <w:szCs w:val="21"/>
              </w:rPr>
              <w:t>内</w:t>
            </w:r>
          </w:p>
        </w:tc>
        <w:tc>
          <w:tcPr>
            <w:tcW w:w="464" w:type="pct"/>
            <w:tcMar>
              <w:left w:w="0" w:type="dxa"/>
              <w:right w:w="0" w:type="dxa"/>
            </w:tcMar>
            <w:vAlign w:val="center"/>
          </w:tcPr>
          <w:p w:rsidR="00EE4502" w:rsidRDefault="00FD45A3">
            <w:pPr>
              <w:pStyle w:val="TableParagraph"/>
              <w:jc w:val="center"/>
              <w:rPr>
                <w:rFonts w:ascii="Times New Roman" w:cs="Times New Roman"/>
                <w:snapToGrid w:val="0"/>
                <w:kern w:val="0"/>
                <w:szCs w:val="21"/>
              </w:rPr>
            </w:pPr>
            <w:r>
              <w:rPr>
                <w:rFonts w:ascii="Times New Roman" w:cs="Times New Roman"/>
                <w:snapToGrid w:val="0"/>
                <w:kern w:val="0"/>
                <w:szCs w:val="21"/>
              </w:rPr>
              <w:t>符合</w:t>
            </w:r>
          </w:p>
        </w:tc>
      </w:tr>
      <w:tr w:rsidR="00EE4502">
        <w:trPr>
          <w:trHeight w:val="339"/>
        </w:trPr>
        <w:tc>
          <w:tcPr>
            <w:tcW w:w="437" w:type="pct"/>
            <w:vMerge w:val="restart"/>
            <w:tcMar>
              <w:left w:w="0" w:type="dxa"/>
              <w:right w:w="0" w:type="dxa"/>
            </w:tcMar>
            <w:vAlign w:val="center"/>
          </w:tcPr>
          <w:p w:rsidR="00EE4502" w:rsidRDefault="00FD45A3">
            <w:pPr>
              <w:pStyle w:val="TableParagraph"/>
              <w:rPr>
                <w:rFonts w:ascii="Times New Roman" w:cs="Times New Roman"/>
                <w:snapToGrid w:val="0"/>
                <w:kern w:val="0"/>
                <w:szCs w:val="21"/>
              </w:rPr>
            </w:pPr>
            <w:r>
              <w:rPr>
                <w:rFonts w:ascii="Times New Roman" w:cs="Times New Roman"/>
                <w:snapToGrid w:val="0"/>
                <w:kern w:val="0"/>
                <w:szCs w:val="21"/>
              </w:rPr>
              <w:t>二、严格落实环境保护</w:t>
            </w:r>
            <w:r>
              <w:rPr>
                <w:rFonts w:ascii="Times New Roman" w:cs="Times New Roman"/>
                <w:snapToGrid w:val="0"/>
                <w:kern w:val="0"/>
                <w:szCs w:val="21"/>
              </w:rPr>
              <w:t>“</w:t>
            </w:r>
            <w:r>
              <w:rPr>
                <w:rFonts w:ascii="Times New Roman" w:cs="Times New Roman"/>
                <w:snapToGrid w:val="0"/>
                <w:kern w:val="0"/>
                <w:szCs w:val="21"/>
              </w:rPr>
              <w:t>三同时</w:t>
            </w:r>
            <w:r>
              <w:rPr>
                <w:rFonts w:ascii="Times New Roman" w:cs="Times New Roman"/>
                <w:snapToGrid w:val="0"/>
                <w:kern w:val="0"/>
                <w:szCs w:val="21"/>
              </w:rPr>
              <w:t>”</w:t>
            </w:r>
            <w:r>
              <w:rPr>
                <w:rFonts w:ascii="Times New Roman" w:cs="Times New Roman"/>
                <w:snapToGrid w:val="0"/>
                <w:kern w:val="0"/>
                <w:szCs w:val="21"/>
              </w:rPr>
              <w:t>制度</w:t>
            </w:r>
          </w:p>
        </w:tc>
        <w:tc>
          <w:tcPr>
            <w:tcW w:w="2885" w:type="pct"/>
            <w:vAlign w:val="center"/>
          </w:tcPr>
          <w:p w:rsidR="00EE4502" w:rsidRDefault="00FD45A3">
            <w:pPr>
              <w:pStyle w:val="TableParagraph"/>
              <w:rPr>
                <w:rFonts w:ascii="Times New Roman" w:cs="Times New Roman"/>
                <w:snapToGrid w:val="0"/>
                <w:kern w:val="0"/>
                <w:szCs w:val="21"/>
              </w:rPr>
            </w:pPr>
            <w:r>
              <w:rPr>
                <w:rFonts w:ascii="Times New Roman" w:cs="Times New Roman"/>
                <w:snapToGrid w:val="0"/>
                <w:kern w:val="0"/>
                <w:szCs w:val="21"/>
              </w:rPr>
              <w:t>（一）针对部分油气田开发企业存在的</w:t>
            </w:r>
            <w:r>
              <w:rPr>
                <w:rFonts w:ascii="Times New Roman" w:cs="Times New Roman"/>
                <w:snapToGrid w:val="0"/>
                <w:kern w:val="0"/>
                <w:szCs w:val="21"/>
              </w:rPr>
              <w:t>“</w:t>
            </w:r>
            <w:r>
              <w:rPr>
                <w:rFonts w:ascii="Times New Roman" w:cs="Times New Roman"/>
                <w:snapToGrid w:val="0"/>
                <w:kern w:val="0"/>
                <w:szCs w:val="21"/>
              </w:rPr>
              <w:t>边建边投、未验先投</w:t>
            </w:r>
            <w:r>
              <w:rPr>
                <w:rFonts w:ascii="Times New Roman" w:cs="Times New Roman"/>
                <w:snapToGrid w:val="0"/>
                <w:kern w:val="0"/>
                <w:szCs w:val="21"/>
              </w:rPr>
              <w:t>”</w:t>
            </w:r>
            <w:r>
              <w:rPr>
                <w:rFonts w:ascii="Times New Roman" w:cs="Times New Roman"/>
                <w:snapToGrid w:val="0"/>
                <w:kern w:val="0"/>
                <w:szCs w:val="21"/>
              </w:rPr>
              <w:t>环境违法行为开展专项清理。各油气田开发业主单位高度重视，认真开展自查，清理违法行为，对自查中存在</w:t>
            </w:r>
            <w:r>
              <w:rPr>
                <w:rFonts w:ascii="Times New Roman" w:cs="Times New Roman"/>
                <w:snapToGrid w:val="0"/>
                <w:kern w:val="0"/>
                <w:szCs w:val="21"/>
              </w:rPr>
              <w:t>“</w:t>
            </w:r>
            <w:r>
              <w:rPr>
                <w:rFonts w:ascii="Times New Roman" w:cs="Times New Roman"/>
                <w:snapToGrid w:val="0"/>
                <w:kern w:val="0"/>
                <w:szCs w:val="21"/>
              </w:rPr>
              <w:t>未批先建、未验先投</w:t>
            </w:r>
            <w:r>
              <w:rPr>
                <w:rFonts w:ascii="Times New Roman" w:cs="Times New Roman"/>
                <w:snapToGrid w:val="0"/>
                <w:kern w:val="0"/>
                <w:szCs w:val="21"/>
              </w:rPr>
              <w:t>”</w:t>
            </w:r>
            <w:r>
              <w:rPr>
                <w:rFonts w:ascii="Times New Roman" w:cs="Times New Roman"/>
                <w:snapToGrid w:val="0"/>
                <w:kern w:val="0"/>
                <w:szCs w:val="21"/>
              </w:rPr>
              <w:t>环保违法行为的项目，主动接受行政处罚，尽快完善环保手续；确属</w:t>
            </w:r>
            <w:r>
              <w:rPr>
                <w:rFonts w:ascii="Times New Roman" w:cs="Times New Roman"/>
                <w:snapToGrid w:val="0"/>
                <w:kern w:val="0"/>
                <w:szCs w:val="21"/>
              </w:rPr>
              <w:t>“</w:t>
            </w:r>
            <w:r>
              <w:rPr>
                <w:rFonts w:ascii="Times New Roman" w:cs="Times New Roman"/>
                <w:snapToGrid w:val="0"/>
                <w:kern w:val="0"/>
                <w:szCs w:val="21"/>
              </w:rPr>
              <w:t>分期建设</w:t>
            </w:r>
            <w:r>
              <w:rPr>
                <w:rFonts w:ascii="Times New Roman" w:cs="Times New Roman"/>
                <w:snapToGrid w:val="0"/>
                <w:kern w:val="0"/>
                <w:szCs w:val="21"/>
              </w:rPr>
              <w:t>”</w:t>
            </w:r>
            <w:r>
              <w:rPr>
                <w:rFonts w:ascii="Times New Roman" w:cs="Times New Roman"/>
                <w:snapToGrid w:val="0"/>
                <w:kern w:val="0"/>
                <w:szCs w:val="21"/>
              </w:rPr>
              <w:t>的，应制定实施分期建设、分期</w:t>
            </w:r>
            <w:r>
              <w:rPr>
                <w:rFonts w:ascii="Times New Roman" w:cs="Times New Roman" w:hint="eastAsia"/>
                <w:snapToGrid w:val="0"/>
                <w:kern w:val="0"/>
                <w:szCs w:val="21"/>
              </w:rPr>
              <w:t>竣工</w:t>
            </w:r>
            <w:r>
              <w:rPr>
                <w:rFonts w:ascii="Times New Roman" w:cs="Times New Roman"/>
                <w:snapToGrid w:val="0"/>
                <w:kern w:val="0"/>
                <w:szCs w:val="21"/>
              </w:rPr>
              <w:t>环保验收的整改方案，严格落实各项环境保护措施，依规合法生产运营。整改方案须明确整改完成竣工环境保护验收时间，已投产项目原则上须于</w:t>
            </w:r>
            <w:r>
              <w:rPr>
                <w:rFonts w:ascii="Times New Roman" w:cs="Times New Roman"/>
                <w:snapToGrid w:val="0"/>
                <w:kern w:val="0"/>
                <w:szCs w:val="21"/>
              </w:rPr>
              <w:t>3</w:t>
            </w:r>
            <w:r>
              <w:rPr>
                <w:rFonts w:ascii="Times New Roman" w:cs="Times New Roman"/>
                <w:snapToGrid w:val="0"/>
                <w:kern w:val="0"/>
                <w:szCs w:val="21"/>
              </w:rPr>
              <w:t>个月内完成竣工环境保护验收。自查报告和整改方案及开发建设及环评范围</w:t>
            </w:r>
            <w:r>
              <w:rPr>
                <w:rFonts w:ascii="Times New Roman" w:cs="Times New Roman"/>
                <w:snapToGrid w:val="0"/>
                <w:kern w:val="0"/>
                <w:szCs w:val="21"/>
              </w:rPr>
              <w:t>“</w:t>
            </w:r>
            <w:r>
              <w:rPr>
                <w:rFonts w:ascii="Times New Roman" w:cs="Times New Roman"/>
                <w:snapToGrid w:val="0"/>
                <w:kern w:val="0"/>
                <w:szCs w:val="21"/>
              </w:rPr>
              <w:t>一张图</w:t>
            </w:r>
            <w:r>
              <w:rPr>
                <w:rFonts w:ascii="Times New Roman" w:cs="Times New Roman"/>
                <w:snapToGrid w:val="0"/>
                <w:kern w:val="0"/>
                <w:szCs w:val="21"/>
              </w:rPr>
              <w:t>”</w:t>
            </w:r>
            <w:r>
              <w:rPr>
                <w:rFonts w:ascii="Times New Roman" w:cs="Times New Roman"/>
                <w:snapToGrid w:val="0"/>
                <w:kern w:val="0"/>
                <w:szCs w:val="21"/>
              </w:rPr>
              <w:t>于</w:t>
            </w:r>
            <w:r>
              <w:rPr>
                <w:rFonts w:ascii="Times New Roman" w:cs="Times New Roman"/>
                <w:snapToGrid w:val="0"/>
                <w:kern w:val="0"/>
                <w:szCs w:val="21"/>
              </w:rPr>
              <w:t>9</w:t>
            </w:r>
            <w:r>
              <w:rPr>
                <w:rFonts w:ascii="Times New Roman" w:cs="Times New Roman"/>
                <w:snapToGrid w:val="0"/>
                <w:kern w:val="0"/>
                <w:szCs w:val="21"/>
              </w:rPr>
              <w:t>月</w:t>
            </w:r>
            <w:r>
              <w:rPr>
                <w:rFonts w:ascii="Times New Roman" w:cs="Times New Roman"/>
                <w:snapToGrid w:val="0"/>
                <w:kern w:val="0"/>
                <w:szCs w:val="21"/>
              </w:rPr>
              <w:t>30</w:t>
            </w:r>
            <w:r>
              <w:rPr>
                <w:rFonts w:ascii="Times New Roman" w:cs="Times New Roman"/>
                <w:snapToGrid w:val="0"/>
                <w:kern w:val="0"/>
                <w:szCs w:val="21"/>
              </w:rPr>
              <w:t>日前同步上报。</w:t>
            </w:r>
          </w:p>
        </w:tc>
        <w:tc>
          <w:tcPr>
            <w:tcW w:w="1214" w:type="pct"/>
            <w:tcMar>
              <w:left w:w="0" w:type="dxa"/>
              <w:right w:w="0" w:type="dxa"/>
            </w:tcMar>
            <w:vAlign w:val="center"/>
          </w:tcPr>
          <w:p w:rsidR="00EE4502" w:rsidRDefault="00FD45A3">
            <w:pPr>
              <w:pStyle w:val="TableParagraph"/>
              <w:rPr>
                <w:rFonts w:ascii="Times New Roman" w:cs="Times New Roman"/>
                <w:snapToGrid w:val="0"/>
                <w:kern w:val="0"/>
                <w:szCs w:val="21"/>
              </w:rPr>
            </w:pPr>
            <w:r>
              <w:rPr>
                <w:rFonts w:ascii="Times New Roman" w:cs="Times New Roman"/>
                <w:snapToGrid w:val="0"/>
                <w:kern w:val="0"/>
                <w:szCs w:val="21"/>
              </w:rPr>
              <w:t>春风油田按要求上报了自查报告、整改方案及开发建设及环评范围</w:t>
            </w:r>
            <w:r>
              <w:rPr>
                <w:rFonts w:ascii="Times New Roman" w:cs="Times New Roman" w:hint="eastAsia"/>
                <w:snapToGrid w:val="0"/>
                <w:kern w:val="0"/>
                <w:szCs w:val="21"/>
              </w:rPr>
              <w:t>“</w:t>
            </w:r>
            <w:r>
              <w:rPr>
                <w:rFonts w:ascii="Times New Roman" w:cs="Times New Roman"/>
                <w:snapToGrid w:val="0"/>
                <w:kern w:val="0"/>
                <w:szCs w:val="21"/>
              </w:rPr>
              <w:t>一张图</w:t>
            </w:r>
            <w:r>
              <w:rPr>
                <w:rFonts w:ascii="Times New Roman" w:cs="Times New Roman" w:hint="eastAsia"/>
                <w:snapToGrid w:val="0"/>
                <w:kern w:val="0"/>
                <w:szCs w:val="21"/>
              </w:rPr>
              <w:t>”</w:t>
            </w:r>
          </w:p>
        </w:tc>
        <w:tc>
          <w:tcPr>
            <w:tcW w:w="464" w:type="pct"/>
            <w:tcMar>
              <w:left w:w="0" w:type="dxa"/>
              <w:right w:w="0" w:type="dxa"/>
            </w:tcMar>
            <w:vAlign w:val="center"/>
          </w:tcPr>
          <w:p w:rsidR="00EE4502" w:rsidRDefault="00FD45A3">
            <w:pPr>
              <w:pStyle w:val="TableParagraph"/>
              <w:jc w:val="center"/>
              <w:rPr>
                <w:rFonts w:ascii="Times New Roman" w:cs="Times New Roman"/>
                <w:snapToGrid w:val="0"/>
                <w:kern w:val="0"/>
                <w:szCs w:val="21"/>
              </w:rPr>
            </w:pPr>
            <w:r>
              <w:rPr>
                <w:rFonts w:ascii="Times New Roman" w:cs="Times New Roman"/>
                <w:snapToGrid w:val="0"/>
                <w:kern w:val="0"/>
                <w:szCs w:val="21"/>
              </w:rPr>
              <w:t>符合</w:t>
            </w:r>
          </w:p>
        </w:tc>
      </w:tr>
      <w:tr w:rsidR="00EE4502">
        <w:trPr>
          <w:trHeight w:val="339"/>
        </w:trPr>
        <w:tc>
          <w:tcPr>
            <w:tcW w:w="437" w:type="pct"/>
            <w:vMerge/>
            <w:tcMar>
              <w:left w:w="0" w:type="dxa"/>
              <w:right w:w="0" w:type="dxa"/>
            </w:tcMar>
            <w:vAlign w:val="center"/>
          </w:tcPr>
          <w:p w:rsidR="00EE4502" w:rsidRDefault="00EE4502">
            <w:pPr>
              <w:pStyle w:val="TableParagraph"/>
              <w:rPr>
                <w:rFonts w:ascii="Times New Roman" w:cs="Times New Roman"/>
                <w:snapToGrid w:val="0"/>
                <w:kern w:val="0"/>
                <w:szCs w:val="21"/>
              </w:rPr>
            </w:pPr>
          </w:p>
        </w:tc>
        <w:tc>
          <w:tcPr>
            <w:tcW w:w="2885" w:type="pct"/>
            <w:vAlign w:val="center"/>
          </w:tcPr>
          <w:p w:rsidR="00EE4502" w:rsidRDefault="00FD45A3">
            <w:pPr>
              <w:pStyle w:val="TableParagraph"/>
              <w:rPr>
                <w:rFonts w:ascii="Times New Roman" w:cs="Times New Roman"/>
                <w:snapToGrid w:val="0"/>
                <w:kern w:val="0"/>
                <w:szCs w:val="21"/>
              </w:rPr>
            </w:pPr>
            <w:r>
              <w:rPr>
                <w:rFonts w:ascii="Times New Roman" w:cs="Times New Roman"/>
                <w:snapToGrid w:val="0"/>
                <w:kern w:val="0"/>
                <w:szCs w:val="21"/>
              </w:rPr>
              <w:t>（二）对属于整体开发的油气田开发区域，支持以整体开发建设项目报批环评文件，并结合油气田开发特点明确分期开发建设、分期投产的范围、时限及产能规模等，根据时限安排进行竣工环境保护验收和投运，从源头预防和杜绝违反</w:t>
            </w:r>
            <w:r>
              <w:rPr>
                <w:rFonts w:ascii="Times New Roman" w:cs="Times New Roman"/>
                <w:snapToGrid w:val="0"/>
                <w:kern w:val="0"/>
                <w:szCs w:val="21"/>
              </w:rPr>
              <w:t>“</w:t>
            </w:r>
            <w:r>
              <w:rPr>
                <w:rFonts w:ascii="Times New Roman" w:cs="Times New Roman"/>
                <w:snapToGrid w:val="0"/>
                <w:kern w:val="0"/>
                <w:szCs w:val="21"/>
              </w:rPr>
              <w:t>三同时</w:t>
            </w:r>
            <w:r>
              <w:rPr>
                <w:rFonts w:ascii="Times New Roman" w:cs="Times New Roman"/>
                <w:snapToGrid w:val="0"/>
                <w:kern w:val="0"/>
                <w:szCs w:val="21"/>
              </w:rPr>
              <w:t>”</w:t>
            </w:r>
            <w:r>
              <w:rPr>
                <w:rFonts w:ascii="Times New Roman" w:cs="Times New Roman"/>
                <w:snapToGrid w:val="0"/>
                <w:kern w:val="0"/>
                <w:szCs w:val="21"/>
              </w:rPr>
              <w:t>制度的环保违法行为。</w:t>
            </w:r>
          </w:p>
        </w:tc>
        <w:tc>
          <w:tcPr>
            <w:tcW w:w="1214" w:type="pct"/>
            <w:tcMar>
              <w:left w:w="0" w:type="dxa"/>
              <w:right w:w="0" w:type="dxa"/>
            </w:tcMar>
            <w:vAlign w:val="center"/>
          </w:tcPr>
          <w:p w:rsidR="00EE4502" w:rsidRDefault="00FD45A3">
            <w:pPr>
              <w:pStyle w:val="TableParagraph"/>
              <w:rPr>
                <w:rFonts w:ascii="Times New Roman" w:cs="Times New Roman"/>
                <w:snapToGrid w:val="0"/>
                <w:kern w:val="0"/>
                <w:szCs w:val="21"/>
              </w:rPr>
            </w:pPr>
            <w:r>
              <w:rPr>
                <w:rFonts w:ascii="Times New Roman" w:cs="Times New Roman"/>
                <w:snapToGrid w:val="0"/>
                <w:kern w:val="0"/>
                <w:szCs w:val="21"/>
              </w:rPr>
              <w:t>春风油田各建设项目均按相关规范和要求严格执行了</w:t>
            </w:r>
            <w:r>
              <w:rPr>
                <w:rFonts w:ascii="Times New Roman" w:cs="Times New Roman" w:hint="eastAsia"/>
                <w:snapToGrid w:val="0"/>
                <w:kern w:val="0"/>
                <w:szCs w:val="21"/>
              </w:rPr>
              <w:t>“</w:t>
            </w:r>
            <w:r>
              <w:rPr>
                <w:rFonts w:ascii="Times New Roman" w:cs="Times New Roman"/>
                <w:snapToGrid w:val="0"/>
                <w:kern w:val="0"/>
                <w:szCs w:val="21"/>
              </w:rPr>
              <w:t>环境影响评价</w:t>
            </w:r>
            <w:r>
              <w:rPr>
                <w:rFonts w:ascii="Times New Roman" w:cs="Times New Roman" w:hint="eastAsia"/>
                <w:snapToGrid w:val="0"/>
                <w:kern w:val="0"/>
                <w:szCs w:val="21"/>
              </w:rPr>
              <w:t>”“</w:t>
            </w:r>
            <w:r>
              <w:rPr>
                <w:rFonts w:ascii="Times New Roman" w:cs="Times New Roman"/>
                <w:snapToGrid w:val="0"/>
                <w:kern w:val="0"/>
                <w:szCs w:val="21"/>
              </w:rPr>
              <w:t>竣工环境保护验收</w:t>
            </w:r>
            <w:r>
              <w:rPr>
                <w:rFonts w:ascii="Times New Roman" w:cs="Times New Roman" w:hint="eastAsia"/>
                <w:snapToGrid w:val="0"/>
                <w:kern w:val="0"/>
                <w:szCs w:val="21"/>
              </w:rPr>
              <w:t>”“</w:t>
            </w:r>
            <w:r>
              <w:rPr>
                <w:rFonts w:ascii="Times New Roman" w:cs="Times New Roman"/>
                <w:snapToGrid w:val="0"/>
                <w:kern w:val="0"/>
                <w:szCs w:val="21"/>
              </w:rPr>
              <w:t>三同时</w:t>
            </w:r>
            <w:r>
              <w:rPr>
                <w:rFonts w:ascii="Times New Roman" w:cs="Times New Roman" w:hint="eastAsia"/>
                <w:snapToGrid w:val="0"/>
                <w:kern w:val="0"/>
                <w:szCs w:val="21"/>
              </w:rPr>
              <w:t>”</w:t>
            </w:r>
            <w:r>
              <w:rPr>
                <w:rFonts w:ascii="Times New Roman" w:cs="Times New Roman"/>
                <w:snapToGrid w:val="0"/>
                <w:kern w:val="0"/>
                <w:szCs w:val="21"/>
              </w:rPr>
              <w:t>制度。</w:t>
            </w:r>
          </w:p>
          <w:p w:rsidR="00EE4502" w:rsidRDefault="00FD45A3">
            <w:pPr>
              <w:pStyle w:val="TableParagraph"/>
              <w:rPr>
                <w:rFonts w:ascii="Times New Roman" w:cs="Times New Roman"/>
                <w:snapToGrid w:val="0"/>
                <w:kern w:val="0"/>
                <w:szCs w:val="21"/>
              </w:rPr>
            </w:pPr>
            <w:r>
              <w:rPr>
                <w:rFonts w:ascii="Times New Roman" w:cs="Times New Roman" w:hint="eastAsia"/>
                <w:snapToGrid w:val="0"/>
                <w:kern w:val="0"/>
                <w:szCs w:val="21"/>
              </w:rPr>
              <w:t>本工程</w:t>
            </w:r>
            <w:r>
              <w:rPr>
                <w:rFonts w:ascii="Times New Roman" w:cs="Times New Roman"/>
                <w:snapToGrid w:val="0"/>
                <w:kern w:val="0"/>
                <w:szCs w:val="21"/>
              </w:rPr>
              <w:t>严格执行</w:t>
            </w:r>
            <w:r>
              <w:rPr>
                <w:rFonts w:ascii="Times New Roman" w:cs="Times New Roman" w:hint="eastAsia"/>
                <w:snapToGrid w:val="0"/>
                <w:kern w:val="0"/>
                <w:szCs w:val="21"/>
              </w:rPr>
              <w:t>“</w:t>
            </w:r>
            <w:r>
              <w:rPr>
                <w:rFonts w:ascii="Times New Roman" w:cs="Times New Roman"/>
                <w:snapToGrid w:val="0"/>
                <w:kern w:val="0"/>
                <w:szCs w:val="21"/>
              </w:rPr>
              <w:t>环境影响评价</w:t>
            </w:r>
            <w:r>
              <w:rPr>
                <w:rFonts w:ascii="Times New Roman" w:cs="Times New Roman" w:hint="eastAsia"/>
                <w:snapToGrid w:val="0"/>
                <w:kern w:val="0"/>
                <w:szCs w:val="21"/>
              </w:rPr>
              <w:t>”</w:t>
            </w:r>
            <w:r>
              <w:rPr>
                <w:rFonts w:ascii="Times New Roman" w:cs="Times New Roman"/>
                <w:snapToGrid w:val="0"/>
                <w:kern w:val="0"/>
                <w:szCs w:val="21"/>
              </w:rPr>
              <w:t>制度。</w:t>
            </w:r>
          </w:p>
        </w:tc>
        <w:tc>
          <w:tcPr>
            <w:tcW w:w="464" w:type="pct"/>
            <w:tcMar>
              <w:left w:w="0" w:type="dxa"/>
              <w:right w:w="0" w:type="dxa"/>
            </w:tcMar>
            <w:vAlign w:val="center"/>
          </w:tcPr>
          <w:p w:rsidR="00EE4502" w:rsidRDefault="00FD45A3">
            <w:pPr>
              <w:pStyle w:val="TableParagraph"/>
              <w:jc w:val="center"/>
              <w:rPr>
                <w:rFonts w:ascii="Times New Roman" w:cs="Times New Roman"/>
                <w:snapToGrid w:val="0"/>
                <w:kern w:val="0"/>
                <w:szCs w:val="21"/>
              </w:rPr>
            </w:pPr>
            <w:r>
              <w:rPr>
                <w:rFonts w:ascii="Times New Roman" w:cs="Times New Roman"/>
                <w:snapToGrid w:val="0"/>
                <w:kern w:val="0"/>
                <w:szCs w:val="21"/>
              </w:rPr>
              <w:t>符合</w:t>
            </w:r>
          </w:p>
        </w:tc>
      </w:tr>
      <w:tr w:rsidR="00EE4502">
        <w:trPr>
          <w:trHeight w:val="339"/>
        </w:trPr>
        <w:tc>
          <w:tcPr>
            <w:tcW w:w="437" w:type="pct"/>
            <w:tcMar>
              <w:left w:w="0" w:type="dxa"/>
              <w:right w:w="0" w:type="dxa"/>
            </w:tcMar>
            <w:vAlign w:val="center"/>
          </w:tcPr>
          <w:p w:rsidR="00EE4502" w:rsidRDefault="00FD45A3">
            <w:pPr>
              <w:pStyle w:val="TableParagraph"/>
              <w:rPr>
                <w:rFonts w:ascii="Times New Roman" w:cs="Times New Roman"/>
                <w:snapToGrid w:val="0"/>
                <w:kern w:val="0"/>
                <w:szCs w:val="21"/>
              </w:rPr>
            </w:pPr>
            <w:r>
              <w:rPr>
                <w:rFonts w:ascii="Times New Roman" w:cs="Times New Roman"/>
                <w:snapToGrid w:val="0"/>
                <w:kern w:val="0"/>
                <w:szCs w:val="21"/>
              </w:rPr>
              <w:t>三、开展环境影响后评价工作</w:t>
            </w:r>
          </w:p>
        </w:tc>
        <w:tc>
          <w:tcPr>
            <w:tcW w:w="2885" w:type="pct"/>
            <w:vAlign w:val="center"/>
          </w:tcPr>
          <w:p w:rsidR="00EE4502" w:rsidRDefault="00FD45A3">
            <w:pPr>
              <w:pStyle w:val="TableParagraph"/>
              <w:rPr>
                <w:rFonts w:ascii="Times New Roman" w:cs="Times New Roman"/>
                <w:snapToGrid w:val="0"/>
                <w:kern w:val="0"/>
                <w:szCs w:val="21"/>
              </w:rPr>
            </w:pPr>
            <w:r>
              <w:rPr>
                <w:rFonts w:ascii="Times New Roman" w:cs="Times New Roman"/>
                <w:snapToGrid w:val="0"/>
                <w:kern w:val="0"/>
                <w:szCs w:val="21"/>
              </w:rPr>
              <w:t>严格落实《建设项目环境影响后评价管理办法</w:t>
            </w:r>
            <w:r>
              <w:rPr>
                <w:rFonts w:ascii="Times New Roman" w:cs="Times New Roman" w:hint="eastAsia"/>
                <w:snapToGrid w:val="0"/>
                <w:kern w:val="0"/>
                <w:szCs w:val="21"/>
              </w:rPr>
              <w:t>（</w:t>
            </w:r>
            <w:r>
              <w:rPr>
                <w:rFonts w:ascii="Times New Roman" w:cs="Times New Roman"/>
                <w:snapToGrid w:val="0"/>
                <w:kern w:val="0"/>
                <w:szCs w:val="21"/>
              </w:rPr>
              <w:t>试行</w:t>
            </w:r>
            <w:r>
              <w:rPr>
                <w:rFonts w:ascii="Times New Roman" w:cs="Times New Roman" w:hint="eastAsia"/>
                <w:snapToGrid w:val="0"/>
                <w:kern w:val="0"/>
                <w:szCs w:val="21"/>
              </w:rPr>
              <w:t>）</w:t>
            </w:r>
            <w:r>
              <w:rPr>
                <w:rFonts w:ascii="Times New Roman" w:cs="Times New Roman"/>
                <w:snapToGrid w:val="0"/>
                <w:kern w:val="0"/>
                <w:szCs w:val="21"/>
              </w:rPr>
              <w:t>》要求。各油气田开发业主单位对区域内通过环境影响评价审批并通过环境保护设施竣工验收</w:t>
            </w:r>
            <w:r>
              <w:rPr>
                <w:rFonts w:ascii="Times New Roman" w:cs="Times New Roman" w:hint="eastAsia"/>
                <w:snapToGrid w:val="0"/>
                <w:kern w:val="0"/>
                <w:szCs w:val="21"/>
              </w:rPr>
              <w:t>且</w:t>
            </w:r>
            <w:r>
              <w:rPr>
                <w:rFonts w:ascii="Times New Roman" w:cs="Times New Roman"/>
                <w:snapToGrid w:val="0"/>
                <w:kern w:val="0"/>
                <w:szCs w:val="21"/>
              </w:rPr>
              <w:t>稳定运行满</w:t>
            </w:r>
            <w:r>
              <w:rPr>
                <w:rFonts w:ascii="Times New Roman" w:cs="Times New Roman"/>
                <w:snapToGrid w:val="0"/>
                <w:kern w:val="0"/>
                <w:szCs w:val="21"/>
              </w:rPr>
              <w:t>5</w:t>
            </w:r>
            <w:r>
              <w:rPr>
                <w:rFonts w:ascii="Times New Roman" w:cs="Times New Roman"/>
                <w:snapToGrid w:val="0"/>
                <w:kern w:val="0"/>
                <w:szCs w:val="21"/>
              </w:rPr>
              <w:t>年的建设项目，须组织开展环境影响后评价工作，对项目实际产生的环境影响以及污染防治、生态保护和风险防范措施的有效性进行跟踪监测和验证评价，对存在问题提出补救方案或者改进措施，不断完善和提高建设项目环境影响评价的有效性，切实落实各项环境保护措施，推动油气田开发建设绿色高质量发展。</w:t>
            </w:r>
          </w:p>
        </w:tc>
        <w:tc>
          <w:tcPr>
            <w:tcW w:w="1214" w:type="pct"/>
            <w:tcMar>
              <w:left w:w="0" w:type="dxa"/>
              <w:right w:w="0" w:type="dxa"/>
            </w:tcMar>
            <w:vAlign w:val="center"/>
          </w:tcPr>
          <w:p w:rsidR="00EE4502" w:rsidRDefault="00FD45A3">
            <w:pPr>
              <w:pStyle w:val="TableParagraph"/>
              <w:rPr>
                <w:rFonts w:ascii="Times New Roman" w:cs="Times New Roman"/>
                <w:snapToGrid w:val="0"/>
                <w:kern w:val="0"/>
                <w:szCs w:val="21"/>
              </w:rPr>
            </w:pPr>
            <w:r>
              <w:rPr>
                <w:rFonts w:ascii="Times New Roman" w:cs="Times New Roman"/>
                <w:snapToGrid w:val="0"/>
                <w:kern w:val="0"/>
                <w:szCs w:val="21"/>
              </w:rPr>
              <w:t>春风油田已按要求编制了《春风油田环境影响后评价报告书》，并于</w:t>
            </w:r>
            <w:r>
              <w:rPr>
                <w:rFonts w:ascii="Times New Roman" w:cs="Times New Roman"/>
                <w:snapToGrid w:val="0"/>
                <w:kern w:val="0"/>
                <w:szCs w:val="21"/>
              </w:rPr>
              <w:t>2022</w:t>
            </w:r>
            <w:r>
              <w:rPr>
                <w:rFonts w:ascii="Times New Roman" w:cs="Times New Roman"/>
                <w:snapToGrid w:val="0"/>
                <w:kern w:val="0"/>
                <w:szCs w:val="21"/>
              </w:rPr>
              <w:t>年</w:t>
            </w:r>
            <w:r>
              <w:rPr>
                <w:rFonts w:ascii="Times New Roman" w:cs="Times New Roman"/>
                <w:snapToGrid w:val="0"/>
                <w:kern w:val="0"/>
                <w:szCs w:val="21"/>
              </w:rPr>
              <w:t>3</w:t>
            </w:r>
            <w:r>
              <w:rPr>
                <w:rFonts w:ascii="Times New Roman" w:cs="Times New Roman"/>
                <w:snapToGrid w:val="0"/>
                <w:kern w:val="0"/>
                <w:szCs w:val="21"/>
              </w:rPr>
              <w:t>月</w:t>
            </w:r>
            <w:r>
              <w:rPr>
                <w:rFonts w:ascii="Times New Roman" w:cs="Times New Roman"/>
                <w:snapToGrid w:val="0"/>
                <w:kern w:val="0"/>
                <w:szCs w:val="21"/>
              </w:rPr>
              <w:t>24</w:t>
            </w:r>
            <w:r>
              <w:rPr>
                <w:rFonts w:ascii="Times New Roman" w:cs="Times New Roman"/>
                <w:snapToGrid w:val="0"/>
                <w:kern w:val="0"/>
                <w:szCs w:val="21"/>
              </w:rPr>
              <w:t>日取得了自治区生态环境厅的备案</w:t>
            </w:r>
            <w:r>
              <w:rPr>
                <w:rFonts w:ascii="Times New Roman" w:cs="Times New Roman" w:hint="eastAsia"/>
                <w:snapToGrid w:val="0"/>
                <w:kern w:val="0"/>
                <w:szCs w:val="21"/>
              </w:rPr>
              <w:t>“</w:t>
            </w:r>
            <w:r>
              <w:rPr>
                <w:rFonts w:ascii="Times New Roman" w:cs="Times New Roman"/>
                <w:snapToGrid w:val="0"/>
                <w:kern w:val="0"/>
                <w:szCs w:val="21"/>
              </w:rPr>
              <w:t>新环环评函</w:t>
            </w:r>
            <w:r>
              <w:rPr>
                <w:rFonts w:ascii="Times New Roman" w:cs="Times New Roman" w:hint="eastAsia"/>
                <w:snapToGrid w:val="0"/>
                <w:kern w:val="0"/>
                <w:szCs w:val="21"/>
              </w:rPr>
              <w:t>﹝</w:t>
            </w:r>
            <w:r>
              <w:rPr>
                <w:rFonts w:ascii="Times New Roman" w:cs="Times New Roman" w:hint="eastAsia"/>
                <w:snapToGrid w:val="0"/>
                <w:kern w:val="0"/>
                <w:szCs w:val="21"/>
              </w:rPr>
              <w:t>2022</w:t>
            </w:r>
            <w:r>
              <w:rPr>
                <w:rFonts w:ascii="Times New Roman" w:cs="Times New Roman" w:hint="eastAsia"/>
                <w:snapToGrid w:val="0"/>
                <w:kern w:val="0"/>
                <w:szCs w:val="21"/>
              </w:rPr>
              <w:t>﹞</w:t>
            </w:r>
            <w:r>
              <w:rPr>
                <w:rFonts w:ascii="Times New Roman" w:cs="Times New Roman"/>
                <w:snapToGrid w:val="0"/>
                <w:kern w:val="0"/>
                <w:szCs w:val="21"/>
              </w:rPr>
              <w:t>221</w:t>
            </w:r>
            <w:r>
              <w:rPr>
                <w:rFonts w:ascii="Times New Roman" w:cs="Times New Roman"/>
                <w:snapToGrid w:val="0"/>
                <w:kern w:val="0"/>
                <w:szCs w:val="21"/>
              </w:rPr>
              <w:t>号</w:t>
            </w:r>
            <w:r>
              <w:rPr>
                <w:rFonts w:ascii="Times New Roman" w:cs="Times New Roman" w:hint="eastAsia"/>
                <w:snapToGrid w:val="0"/>
                <w:kern w:val="0"/>
                <w:szCs w:val="21"/>
              </w:rPr>
              <w:t>”</w:t>
            </w:r>
          </w:p>
        </w:tc>
        <w:tc>
          <w:tcPr>
            <w:tcW w:w="464" w:type="pct"/>
            <w:tcMar>
              <w:left w:w="0" w:type="dxa"/>
              <w:right w:w="0" w:type="dxa"/>
            </w:tcMar>
            <w:vAlign w:val="center"/>
          </w:tcPr>
          <w:p w:rsidR="00EE4502" w:rsidRDefault="00FD45A3">
            <w:pPr>
              <w:pStyle w:val="TableParagraph"/>
              <w:jc w:val="center"/>
              <w:rPr>
                <w:rFonts w:ascii="Times New Roman" w:cs="Times New Roman"/>
                <w:snapToGrid w:val="0"/>
                <w:kern w:val="0"/>
                <w:szCs w:val="21"/>
              </w:rPr>
            </w:pPr>
            <w:r>
              <w:rPr>
                <w:rFonts w:ascii="Times New Roman" w:cs="Times New Roman"/>
                <w:snapToGrid w:val="0"/>
                <w:kern w:val="0"/>
                <w:szCs w:val="21"/>
              </w:rPr>
              <w:t>符合</w:t>
            </w:r>
          </w:p>
        </w:tc>
      </w:tr>
    </w:tbl>
    <w:p w:rsidR="00EE4502" w:rsidRDefault="00EE4502">
      <w:pPr>
        <w:jc w:val="center"/>
        <w:rPr>
          <w:sz w:val="18"/>
          <w:szCs w:val="18"/>
        </w:rPr>
      </w:pPr>
    </w:p>
    <w:p w:rsidR="00EE4502" w:rsidRDefault="00FD45A3">
      <w:pPr>
        <w:spacing w:line="360" w:lineRule="auto"/>
        <w:ind w:firstLine="480"/>
        <w:rPr>
          <w:sz w:val="24"/>
        </w:rPr>
      </w:pPr>
      <w:r>
        <w:rPr>
          <w:sz w:val="24"/>
        </w:rPr>
        <w:lastRenderedPageBreak/>
        <w:t>由上表相符性分析可知，</w:t>
      </w:r>
      <w:r>
        <w:rPr>
          <w:rFonts w:hint="eastAsia"/>
          <w:sz w:val="24"/>
        </w:rPr>
        <w:t>本工程</w:t>
      </w:r>
      <w:r>
        <w:rPr>
          <w:sz w:val="24"/>
        </w:rPr>
        <w:t>建设符合《关于进一步加强和规范油气田开发项目环境保护管理工作的通知》（新环发</w:t>
      </w:r>
      <w:r>
        <w:rPr>
          <w:rFonts w:hint="eastAsia"/>
          <w:sz w:val="24"/>
        </w:rPr>
        <w:t>﹝</w:t>
      </w:r>
      <w:r>
        <w:rPr>
          <w:rFonts w:hint="eastAsia"/>
          <w:sz w:val="24"/>
        </w:rPr>
        <w:t>2018</w:t>
      </w:r>
      <w:r>
        <w:rPr>
          <w:rFonts w:hint="eastAsia"/>
          <w:sz w:val="24"/>
        </w:rPr>
        <w:t>﹞</w:t>
      </w:r>
      <w:r>
        <w:rPr>
          <w:sz w:val="24"/>
        </w:rPr>
        <w:t>133</w:t>
      </w:r>
      <w:r>
        <w:rPr>
          <w:sz w:val="24"/>
        </w:rPr>
        <w:t>号）中的相关规定。</w:t>
      </w:r>
    </w:p>
    <w:p w:rsidR="00EE4502" w:rsidRDefault="00FD45A3">
      <w:pPr>
        <w:tabs>
          <w:tab w:val="left" w:pos="720"/>
        </w:tabs>
        <w:autoSpaceDE w:val="0"/>
        <w:autoSpaceDN w:val="0"/>
        <w:spacing w:line="360" w:lineRule="auto"/>
        <w:ind w:right="17" w:firstLineChars="200" w:firstLine="480"/>
        <w:rPr>
          <w:sz w:val="24"/>
        </w:rPr>
      </w:pPr>
      <w:r>
        <w:rPr>
          <w:rFonts w:hint="eastAsia"/>
          <w:sz w:val="24"/>
        </w:rPr>
        <w:t>（</w:t>
      </w:r>
      <w:r>
        <w:rPr>
          <w:rFonts w:hint="eastAsia"/>
          <w:sz w:val="24"/>
        </w:rPr>
        <w:t>5</w:t>
      </w:r>
      <w:r>
        <w:rPr>
          <w:rFonts w:hint="eastAsia"/>
          <w:sz w:val="24"/>
        </w:rPr>
        <w:t>）与《陆上石油天然气开采业绿色矿山建设规范》（</w:t>
      </w:r>
      <w:r>
        <w:rPr>
          <w:rFonts w:hint="eastAsia"/>
          <w:sz w:val="24"/>
        </w:rPr>
        <w:t>DZ/T 0317-2018</w:t>
      </w:r>
      <w:r>
        <w:rPr>
          <w:rFonts w:hint="eastAsia"/>
          <w:sz w:val="24"/>
        </w:rPr>
        <w:t>）符合性分析</w:t>
      </w:r>
    </w:p>
    <w:p w:rsidR="00EE4502" w:rsidRDefault="00FD45A3">
      <w:pPr>
        <w:spacing w:line="360" w:lineRule="auto"/>
        <w:jc w:val="center"/>
        <w:rPr>
          <w:rFonts w:eastAsia="黑体"/>
          <w:bCs/>
          <w:lang w:val="zh-CN"/>
        </w:rPr>
      </w:pPr>
      <w:r>
        <w:rPr>
          <w:rFonts w:eastAsia="黑体"/>
          <w:bCs/>
          <w:lang w:val="zh-CN"/>
        </w:rPr>
        <w:t>表</w:t>
      </w:r>
      <w:r>
        <w:rPr>
          <w:rFonts w:eastAsia="黑体" w:hint="eastAsia"/>
          <w:bCs/>
          <w:lang w:val="zh-CN"/>
        </w:rPr>
        <w:t>3-</w:t>
      </w:r>
      <w:r>
        <w:rPr>
          <w:rFonts w:eastAsia="黑体" w:hint="eastAsia"/>
          <w:bCs/>
        </w:rPr>
        <w:t>5</w:t>
      </w:r>
      <w:r>
        <w:rPr>
          <w:rFonts w:eastAsia="黑体" w:hint="eastAsia"/>
          <w:bCs/>
          <w:lang w:val="zh-CN"/>
        </w:rPr>
        <w:t>-</w:t>
      </w:r>
      <w:r>
        <w:rPr>
          <w:rFonts w:eastAsia="黑体" w:hint="eastAsia"/>
          <w:bCs/>
        </w:rPr>
        <w:t>2</w:t>
      </w:r>
      <w:r>
        <w:rPr>
          <w:rFonts w:eastAsia="黑体" w:hint="eastAsia"/>
          <w:bCs/>
        </w:rPr>
        <w:t xml:space="preserve"> </w:t>
      </w:r>
      <w:r>
        <w:rPr>
          <w:rFonts w:eastAsia="黑体"/>
          <w:bCs/>
          <w:lang w:val="zh-CN"/>
        </w:rPr>
        <w:t xml:space="preserve"> </w:t>
      </w:r>
      <w:r>
        <w:rPr>
          <w:rFonts w:eastAsia="黑体" w:hint="eastAsia"/>
          <w:bCs/>
          <w:lang w:val="zh-CN"/>
        </w:rPr>
        <w:t xml:space="preserve"> </w:t>
      </w:r>
      <w:r>
        <w:rPr>
          <w:rFonts w:eastAsia="黑体" w:hint="eastAsia"/>
          <w:bCs/>
          <w:lang w:val="zh-CN"/>
        </w:rPr>
        <w:t>与《陆上石油天然气开采业绿色矿山建设规范》（</w:t>
      </w:r>
      <w:r>
        <w:rPr>
          <w:rFonts w:eastAsia="黑体" w:hint="eastAsia"/>
          <w:bCs/>
          <w:lang w:val="zh-CN"/>
        </w:rPr>
        <w:t>DZ/T0317-2018</w:t>
      </w:r>
      <w:r>
        <w:rPr>
          <w:rFonts w:eastAsia="黑体" w:hint="eastAsia"/>
          <w:bCs/>
          <w:lang w:val="zh-CN"/>
        </w:rPr>
        <w:t>）相符性分析</w:t>
      </w:r>
    </w:p>
    <w:tbl>
      <w:tblPr>
        <w:tblW w:w="5000" w:type="pct"/>
        <w:tblBorders>
          <w:top w:val="single" w:sz="8" w:space="0" w:color="000000"/>
          <w:bottom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513"/>
        <w:gridCol w:w="703"/>
        <w:gridCol w:w="3540"/>
        <w:gridCol w:w="2751"/>
        <w:gridCol w:w="799"/>
      </w:tblGrid>
      <w:tr w:rsidR="00EE4502">
        <w:trPr>
          <w:trHeight w:val="340"/>
        </w:trPr>
        <w:tc>
          <w:tcPr>
            <w:tcW w:w="308" w:type="pct"/>
            <w:vAlign w:val="center"/>
          </w:tcPr>
          <w:p w:rsidR="00EE4502" w:rsidRDefault="00FD45A3">
            <w:pPr>
              <w:pStyle w:val="TableParagraph"/>
              <w:jc w:val="center"/>
              <w:rPr>
                <w:rFonts w:ascii="Times New Roman" w:hAnsi="Times New Roman" w:cs="Times New Roman"/>
                <w:snapToGrid w:val="0"/>
                <w:kern w:val="0"/>
                <w:szCs w:val="21"/>
              </w:rPr>
            </w:pPr>
            <w:r>
              <w:rPr>
                <w:rFonts w:ascii="Times New Roman" w:cs="Times New Roman"/>
                <w:snapToGrid w:val="0"/>
                <w:kern w:val="0"/>
                <w:szCs w:val="21"/>
              </w:rPr>
              <w:t>序号</w:t>
            </w:r>
          </w:p>
        </w:tc>
        <w:tc>
          <w:tcPr>
            <w:tcW w:w="2554" w:type="pct"/>
            <w:gridSpan w:val="2"/>
            <w:vAlign w:val="center"/>
          </w:tcPr>
          <w:p w:rsidR="00EE4502" w:rsidRDefault="00FD45A3">
            <w:pPr>
              <w:pStyle w:val="TableParagraph"/>
              <w:jc w:val="center"/>
              <w:rPr>
                <w:rFonts w:ascii="Times New Roman" w:hAnsi="Times New Roman" w:cs="Times New Roman"/>
                <w:snapToGrid w:val="0"/>
                <w:kern w:val="0"/>
                <w:szCs w:val="21"/>
              </w:rPr>
            </w:pPr>
            <w:r>
              <w:rPr>
                <w:rFonts w:ascii="Times New Roman" w:cs="Times New Roman"/>
                <w:snapToGrid w:val="0"/>
                <w:kern w:val="0"/>
                <w:szCs w:val="21"/>
              </w:rPr>
              <w:t>规范内容</w:t>
            </w:r>
          </w:p>
        </w:tc>
        <w:tc>
          <w:tcPr>
            <w:tcW w:w="1656" w:type="pct"/>
            <w:vAlign w:val="center"/>
          </w:tcPr>
          <w:p w:rsidR="00EE4502" w:rsidRDefault="00FD45A3">
            <w:pPr>
              <w:pStyle w:val="TableParagraph"/>
              <w:jc w:val="center"/>
              <w:rPr>
                <w:rFonts w:ascii="Times New Roman" w:hAnsi="Times New Roman" w:cs="Times New Roman"/>
                <w:snapToGrid w:val="0"/>
                <w:kern w:val="0"/>
                <w:szCs w:val="21"/>
              </w:rPr>
            </w:pPr>
            <w:r>
              <w:rPr>
                <w:rFonts w:hint="eastAsia"/>
                <w:snapToGrid w:val="0"/>
                <w:szCs w:val="21"/>
              </w:rPr>
              <w:t>本工程</w:t>
            </w:r>
          </w:p>
        </w:tc>
        <w:tc>
          <w:tcPr>
            <w:tcW w:w="481" w:type="pct"/>
            <w:vAlign w:val="center"/>
          </w:tcPr>
          <w:p w:rsidR="00EE4502" w:rsidRDefault="00FD45A3">
            <w:pPr>
              <w:pStyle w:val="TableParagraph"/>
              <w:jc w:val="center"/>
              <w:rPr>
                <w:rFonts w:ascii="Times New Roman" w:hAnsi="Times New Roman" w:cs="Times New Roman"/>
                <w:snapToGrid w:val="0"/>
                <w:kern w:val="0"/>
                <w:szCs w:val="21"/>
              </w:rPr>
            </w:pPr>
            <w:r>
              <w:rPr>
                <w:rFonts w:ascii="Times New Roman" w:cs="Times New Roman"/>
                <w:snapToGrid w:val="0"/>
                <w:kern w:val="0"/>
                <w:szCs w:val="21"/>
              </w:rPr>
              <w:t>是否相符</w:t>
            </w:r>
          </w:p>
        </w:tc>
      </w:tr>
      <w:tr w:rsidR="00EE4502">
        <w:trPr>
          <w:trHeight w:val="340"/>
        </w:trPr>
        <w:tc>
          <w:tcPr>
            <w:tcW w:w="308" w:type="pct"/>
            <w:vAlign w:val="center"/>
          </w:tcPr>
          <w:p w:rsidR="00EE4502" w:rsidRDefault="00FD45A3">
            <w:pPr>
              <w:pStyle w:val="TableParagraph"/>
              <w:jc w:val="center"/>
              <w:rPr>
                <w:rFonts w:ascii="Times New Roman" w:hAnsi="Times New Roman" w:cs="Times New Roman"/>
                <w:snapToGrid w:val="0"/>
                <w:kern w:val="0"/>
                <w:szCs w:val="21"/>
              </w:rPr>
            </w:pPr>
            <w:r>
              <w:rPr>
                <w:rFonts w:ascii="Times New Roman" w:hAnsi="Times New Roman" w:cs="Times New Roman"/>
                <w:snapToGrid w:val="0"/>
                <w:kern w:val="0"/>
                <w:szCs w:val="21"/>
              </w:rPr>
              <w:t>1</w:t>
            </w:r>
          </w:p>
        </w:tc>
        <w:tc>
          <w:tcPr>
            <w:tcW w:w="423" w:type="pct"/>
            <w:vAlign w:val="center"/>
          </w:tcPr>
          <w:p w:rsidR="00EE4502" w:rsidRDefault="00FD45A3">
            <w:pPr>
              <w:pStyle w:val="TableParagraph"/>
              <w:jc w:val="center"/>
              <w:rPr>
                <w:rFonts w:ascii="Times New Roman" w:hAnsi="Times New Roman" w:cs="Times New Roman"/>
                <w:snapToGrid w:val="0"/>
                <w:kern w:val="0"/>
                <w:szCs w:val="21"/>
              </w:rPr>
            </w:pPr>
            <w:r>
              <w:rPr>
                <w:rFonts w:ascii="Times New Roman" w:cs="Times New Roman"/>
                <w:snapToGrid w:val="0"/>
                <w:kern w:val="0"/>
                <w:szCs w:val="21"/>
              </w:rPr>
              <w:t>总则</w:t>
            </w:r>
          </w:p>
        </w:tc>
        <w:tc>
          <w:tcPr>
            <w:tcW w:w="2130" w:type="pct"/>
            <w:vAlign w:val="center"/>
          </w:tcPr>
          <w:p w:rsidR="00EE4502" w:rsidRDefault="00FD45A3">
            <w:pPr>
              <w:pStyle w:val="TableParagraph"/>
              <w:rPr>
                <w:rFonts w:ascii="Times New Roman" w:hAnsi="Times New Roman" w:cs="Times New Roman"/>
                <w:snapToGrid w:val="0"/>
                <w:kern w:val="0"/>
                <w:szCs w:val="21"/>
              </w:rPr>
            </w:pPr>
            <w:r>
              <w:rPr>
                <w:rFonts w:ascii="Times New Roman" w:cs="Times New Roman"/>
                <w:snapToGrid w:val="0"/>
                <w:kern w:val="0"/>
                <w:szCs w:val="21"/>
              </w:rPr>
              <w:t>矿山企业应遵守国家法律法规和相关产业政策，依法办矿</w:t>
            </w:r>
          </w:p>
        </w:tc>
        <w:tc>
          <w:tcPr>
            <w:tcW w:w="1656" w:type="pct"/>
            <w:vAlign w:val="center"/>
          </w:tcPr>
          <w:p w:rsidR="00EE4502" w:rsidRDefault="00FD45A3">
            <w:pPr>
              <w:pStyle w:val="TableParagraph"/>
              <w:rPr>
                <w:rFonts w:ascii="Times New Roman" w:hAnsi="Times New Roman" w:cs="Times New Roman"/>
                <w:snapToGrid w:val="0"/>
                <w:kern w:val="0"/>
                <w:szCs w:val="21"/>
              </w:rPr>
            </w:pPr>
            <w:r>
              <w:rPr>
                <w:rFonts w:hint="eastAsia"/>
                <w:snapToGrid w:val="0"/>
                <w:szCs w:val="21"/>
              </w:rPr>
              <w:t>本工程</w:t>
            </w:r>
            <w:r>
              <w:rPr>
                <w:rFonts w:ascii="Times New Roman" w:cs="Times New Roman"/>
                <w:snapToGrid w:val="0"/>
                <w:kern w:val="0"/>
                <w:szCs w:val="21"/>
              </w:rPr>
              <w:t>符合国家产业政策，依法办理</w:t>
            </w:r>
            <w:r>
              <w:rPr>
                <w:snapToGrid w:val="0"/>
                <w:szCs w:val="21"/>
              </w:rPr>
              <w:t>了</w:t>
            </w:r>
            <w:r>
              <w:rPr>
                <w:rFonts w:ascii="Times New Roman" w:cs="Times New Roman"/>
                <w:snapToGrid w:val="0"/>
                <w:kern w:val="0"/>
                <w:szCs w:val="21"/>
              </w:rPr>
              <w:t>相关勘探开发手续</w:t>
            </w:r>
          </w:p>
        </w:tc>
        <w:tc>
          <w:tcPr>
            <w:tcW w:w="481" w:type="pct"/>
            <w:vAlign w:val="center"/>
          </w:tcPr>
          <w:p w:rsidR="00EE4502" w:rsidRDefault="00FD45A3">
            <w:pPr>
              <w:pStyle w:val="TableParagraph"/>
              <w:jc w:val="center"/>
              <w:rPr>
                <w:rFonts w:ascii="Times New Roman" w:hAnsi="Times New Roman" w:cs="Times New Roman"/>
                <w:snapToGrid w:val="0"/>
                <w:kern w:val="0"/>
                <w:szCs w:val="21"/>
              </w:rPr>
            </w:pPr>
            <w:r>
              <w:rPr>
                <w:rFonts w:ascii="Times New Roman" w:cs="Times New Roman"/>
                <w:snapToGrid w:val="0"/>
                <w:kern w:val="0"/>
                <w:szCs w:val="21"/>
              </w:rPr>
              <w:t>符合</w:t>
            </w:r>
          </w:p>
        </w:tc>
      </w:tr>
      <w:tr w:rsidR="00EE4502">
        <w:trPr>
          <w:trHeight w:val="340"/>
        </w:trPr>
        <w:tc>
          <w:tcPr>
            <w:tcW w:w="308" w:type="pct"/>
            <w:vAlign w:val="center"/>
          </w:tcPr>
          <w:p w:rsidR="00EE4502" w:rsidRDefault="00FD45A3">
            <w:pPr>
              <w:pStyle w:val="TableParagraph"/>
              <w:jc w:val="center"/>
              <w:rPr>
                <w:rFonts w:ascii="Times New Roman" w:hAnsi="Times New Roman" w:cs="Times New Roman"/>
                <w:snapToGrid w:val="0"/>
                <w:kern w:val="0"/>
                <w:szCs w:val="21"/>
              </w:rPr>
            </w:pPr>
            <w:r>
              <w:rPr>
                <w:rFonts w:ascii="Times New Roman" w:hAnsi="Times New Roman" w:cs="Times New Roman"/>
                <w:snapToGrid w:val="0"/>
                <w:kern w:val="0"/>
                <w:szCs w:val="21"/>
              </w:rPr>
              <w:t>2</w:t>
            </w:r>
          </w:p>
        </w:tc>
        <w:tc>
          <w:tcPr>
            <w:tcW w:w="423" w:type="pct"/>
            <w:vAlign w:val="center"/>
          </w:tcPr>
          <w:p w:rsidR="00EE4502" w:rsidRDefault="00FD45A3">
            <w:pPr>
              <w:pStyle w:val="TableParagraph"/>
              <w:jc w:val="center"/>
              <w:rPr>
                <w:rFonts w:ascii="Times New Roman" w:hAnsi="Times New Roman" w:cs="Times New Roman"/>
                <w:snapToGrid w:val="0"/>
                <w:kern w:val="0"/>
                <w:szCs w:val="21"/>
              </w:rPr>
            </w:pPr>
            <w:r>
              <w:rPr>
                <w:rFonts w:ascii="Times New Roman" w:cs="Times New Roman"/>
                <w:snapToGrid w:val="0"/>
                <w:kern w:val="0"/>
                <w:szCs w:val="21"/>
              </w:rPr>
              <w:t>基本要求</w:t>
            </w:r>
          </w:p>
        </w:tc>
        <w:tc>
          <w:tcPr>
            <w:tcW w:w="2130" w:type="pct"/>
            <w:vAlign w:val="center"/>
          </w:tcPr>
          <w:p w:rsidR="00EE4502" w:rsidRDefault="00FD45A3">
            <w:pPr>
              <w:pStyle w:val="TableParagraph"/>
              <w:rPr>
                <w:rFonts w:ascii="Times New Roman" w:hAnsi="Times New Roman" w:cs="Times New Roman"/>
                <w:snapToGrid w:val="0"/>
                <w:kern w:val="0"/>
                <w:szCs w:val="21"/>
              </w:rPr>
            </w:pPr>
            <w:r>
              <w:rPr>
                <w:rFonts w:ascii="Times New Roman" w:cs="Times New Roman"/>
                <w:snapToGrid w:val="0"/>
                <w:kern w:val="0"/>
                <w:szCs w:val="21"/>
              </w:rPr>
              <w:t>矿区功能分区布局合理，生产、运输和储存等管理规范有序</w:t>
            </w:r>
          </w:p>
        </w:tc>
        <w:tc>
          <w:tcPr>
            <w:tcW w:w="1656" w:type="pct"/>
            <w:vAlign w:val="center"/>
          </w:tcPr>
          <w:p w:rsidR="00EE4502" w:rsidRDefault="00FD45A3">
            <w:pPr>
              <w:pStyle w:val="TableParagraph"/>
              <w:rPr>
                <w:rFonts w:ascii="Times New Roman" w:hAnsi="Times New Roman" w:cs="Times New Roman"/>
                <w:snapToGrid w:val="0"/>
                <w:kern w:val="0"/>
                <w:szCs w:val="21"/>
              </w:rPr>
            </w:pPr>
            <w:r>
              <w:rPr>
                <w:rFonts w:ascii="Times New Roman" w:cs="Times New Roman"/>
                <w:snapToGrid w:val="0"/>
                <w:kern w:val="0"/>
                <w:szCs w:val="21"/>
              </w:rPr>
              <w:t>功能分区清晰、合理，各分区均按照</w:t>
            </w:r>
            <w:r>
              <w:rPr>
                <w:rFonts w:ascii="Times New Roman" w:hAnsi="Times New Roman" w:cs="Times New Roman"/>
                <w:snapToGrid w:val="0"/>
                <w:kern w:val="0"/>
                <w:szCs w:val="21"/>
              </w:rPr>
              <w:t>HSE</w:t>
            </w:r>
            <w:r>
              <w:rPr>
                <w:rFonts w:ascii="Times New Roman" w:cs="Times New Roman"/>
                <w:snapToGrid w:val="0"/>
                <w:kern w:val="0"/>
                <w:szCs w:val="21"/>
              </w:rPr>
              <w:t>要求规范管理</w:t>
            </w:r>
          </w:p>
        </w:tc>
        <w:tc>
          <w:tcPr>
            <w:tcW w:w="481" w:type="pct"/>
            <w:vAlign w:val="center"/>
          </w:tcPr>
          <w:p w:rsidR="00EE4502" w:rsidRDefault="00FD45A3">
            <w:pPr>
              <w:pStyle w:val="TableParagraph"/>
              <w:jc w:val="center"/>
              <w:rPr>
                <w:rFonts w:ascii="Times New Roman" w:hAnsi="Times New Roman" w:cs="Times New Roman"/>
                <w:snapToGrid w:val="0"/>
                <w:kern w:val="0"/>
                <w:szCs w:val="21"/>
              </w:rPr>
            </w:pPr>
            <w:r>
              <w:rPr>
                <w:rFonts w:ascii="Times New Roman" w:cs="Times New Roman"/>
                <w:snapToGrid w:val="0"/>
                <w:kern w:val="0"/>
                <w:szCs w:val="21"/>
              </w:rPr>
              <w:t>符合</w:t>
            </w:r>
          </w:p>
        </w:tc>
      </w:tr>
      <w:tr w:rsidR="00EE4502">
        <w:trPr>
          <w:trHeight w:val="340"/>
        </w:trPr>
        <w:tc>
          <w:tcPr>
            <w:tcW w:w="308" w:type="pct"/>
            <w:vMerge w:val="restart"/>
            <w:vAlign w:val="center"/>
          </w:tcPr>
          <w:p w:rsidR="00EE4502" w:rsidRDefault="00FD45A3">
            <w:pPr>
              <w:pStyle w:val="TableParagraph"/>
              <w:jc w:val="center"/>
              <w:rPr>
                <w:rFonts w:ascii="Times New Roman" w:hAnsi="Times New Roman" w:cs="Times New Roman"/>
                <w:snapToGrid w:val="0"/>
                <w:kern w:val="0"/>
                <w:szCs w:val="21"/>
              </w:rPr>
            </w:pPr>
            <w:r>
              <w:rPr>
                <w:rFonts w:ascii="Times New Roman" w:hAnsi="Times New Roman" w:cs="Times New Roman"/>
                <w:snapToGrid w:val="0"/>
                <w:kern w:val="0"/>
                <w:szCs w:val="21"/>
              </w:rPr>
              <w:t>3</w:t>
            </w:r>
          </w:p>
        </w:tc>
        <w:tc>
          <w:tcPr>
            <w:tcW w:w="423" w:type="pct"/>
            <w:vMerge w:val="restart"/>
            <w:vAlign w:val="center"/>
          </w:tcPr>
          <w:p w:rsidR="00EE4502" w:rsidRDefault="00FD45A3">
            <w:pPr>
              <w:pStyle w:val="TableParagraph"/>
              <w:jc w:val="center"/>
              <w:rPr>
                <w:rFonts w:ascii="Times New Roman" w:hAnsi="Times New Roman" w:cs="Times New Roman"/>
                <w:snapToGrid w:val="0"/>
                <w:kern w:val="0"/>
                <w:szCs w:val="21"/>
              </w:rPr>
            </w:pPr>
            <w:r>
              <w:rPr>
                <w:rFonts w:ascii="Times New Roman" w:cs="Times New Roman"/>
                <w:snapToGrid w:val="0"/>
                <w:kern w:val="0"/>
                <w:szCs w:val="21"/>
              </w:rPr>
              <w:t>矿容矿貌</w:t>
            </w:r>
          </w:p>
        </w:tc>
        <w:tc>
          <w:tcPr>
            <w:tcW w:w="2130" w:type="pct"/>
            <w:vMerge w:val="restart"/>
            <w:vAlign w:val="center"/>
          </w:tcPr>
          <w:p w:rsidR="00EE4502" w:rsidRDefault="00FD45A3">
            <w:pPr>
              <w:pStyle w:val="TableParagraph"/>
              <w:autoSpaceDE w:val="0"/>
              <w:autoSpaceDN w:val="0"/>
              <w:rPr>
                <w:rFonts w:ascii="Times New Roman" w:hAnsi="Times New Roman" w:cs="Times New Roman"/>
                <w:snapToGrid w:val="0"/>
                <w:kern w:val="0"/>
                <w:szCs w:val="21"/>
              </w:rPr>
            </w:pPr>
            <w:r>
              <w:rPr>
                <w:rFonts w:ascii="Times New Roman" w:cs="Times New Roman"/>
                <w:snapToGrid w:val="0"/>
                <w:kern w:val="0"/>
                <w:szCs w:val="21"/>
              </w:rPr>
              <w:t>矿区按生产区、管理区、生活区等功能区，应运行有序，管理规范矿区地面道路、供水、供电、卫生、环保等基础配套设施完善，道路平整规范，标识清晰、标牌统一。在生产区设置操作提示牌、说明牌、线路示意图等标识牌</w:t>
            </w:r>
          </w:p>
        </w:tc>
        <w:tc>
          <w:tcPr>
            <w:tcW w:w="1656" w:type="pct"/>
            <w:vMerge w:val="restart"/>
            <w:vAlign w:val="center"/>
          </w:tcPr>
          <w:p w:rsidR="00EE4502" w:rsidRDefault="00FD45A3">
            <w:pPr>
              <w:pStyle w:val="TableParagraph"/>
              <w:autoSpaceDE w:val="0"/>
              <w:autoSpaceDN w:val="0"/>
              <w:rPr>
                <w:rFonts w:ascii="Times New Roman" w:hAnsi="Times New Roman" w:cs="Times New Roman"/>
                <w:snapToGrid w:val="0"/>
                <w:kern w:val="0"/>
                <w:szCs w:val="21"/>
              </w:rPr>
            </w:pPr>
            <w:r>
              <w:rPr>
                <w:rFonts w:ascii="Times New Roman" w:cs="Times New Roman"/>
                <w:snapToGrid w:val="0"/>
                <w:kern w:val="0"/>
                <w:szCs w:val="21"/>
              </w:rPr>
              <w:t>各分区运行有序，按照</w:t>
            </w:r>
            <w:r>
              <w:rPr>
                <w:rFonts w:ascii="Times New Roman" w:hAnsi="Times New Roman" w:cs="Times New Roman"/>
                <w:snapToGrid w:val="0"/>
                <w:kern w:val="0"/>
                <w:szCs w:val="21"/>
              </w:rPr>
              <w:t>HSE</w:t>
            </w:r>
            <w:r>
              <w:rPr>
                <w:rFonts w:ascii="Times New Roman" w:cs="Times New Roman"/>
                <w:snapToGrid w:val="0"/>
                <w:kern w:val="0"/>
                <w:szCs w:val="21"/>
              </w:rPr>
              <w:t>要求规范管理</w:t>
            </w:r>
            <w:r>
              <w:rPr>
                <w:rFonts w:hint="eastAsia"/>
                <w:snapToGrid w:val="0"/>
                <w:szCs w:val="21"/>
              </w:rPr>
              <w:t>排</w:t>
            </w:r>
            <w:r>
              <w:rPr>
                <w:rFonts w:hint="eastAsia"/>
                <w:snapToGrid w:val="0"/>
                <w:szCs w:val="21"/>
              </w:rPr>
              <w:t>61</w:t>
            </w:r>
            <w:r>
              <w:rPr>
                <w:rFonts w:hint="eastAsia"/>
                <w:snapToGrid w:val="0"/>
                <w:szCs w:val="21"/>
              </w:rPr>
              <w:t>块</w:t>
            </w:r>
            <w:r>
              <w:rPr>
                <w:rFonts w:ascii="Times New Roman" w:cs="Times New Roman"/>
                <w:snapToGrid w:val="0"/>
                <w:kern w:val="0"/>
                <w:szCs w:val="21"/>
              </w:rPr>
              <w:t>井区各项供水、供电、依托环保基础设施较为完善；道路、生产区均设置有各类操作提示牌、说明牌、警示牌等</w:t>
            </w:r>
          </w:p>
        </w:tc>
        <w:tc>
          <w:tcPr>
            <w:tcW w:w="481" w:type="pct"/>
            <w:vAlign w:val="center"/>
          </w:tcPr>
          <w:p w:rsidR="00EE4502" w:rsidRDefault="00FD45A3">
            <w:pPr>
              <w:pStyle w:val="TableParagraph"/>
              <w:jc w:val="center"/>
              <w:rPr>
                <w:rFonts w:ascii="Times New Roman" w:hAnsi="Times New Roman" w:cs="Times New Roman"/>
                <w:snapToGrid w:val="0"/>
                <w:kern w:val="0"/>
                <w:szCs w:val="21"/>
              </w:rPr>
            </w:pPr>
            <w:r>
              <w:rPr>
                <w:rFonts w:ascii="Times New Roman" w:cs="Times New Roman"/>
                <w:snapToGrid w:val="0"/>
                <w:kern w:val="0"/>
                <w:szCs w:val="21"/>
              </w:rPr>
              <w:t>符合</w:t>
            </w:r>
          </w:p>
        </w:tc>
      </w:tr>
      <w:tr w:rsidR="00EE4502">
        <w:trPr>
          <w:trHeight w:val="340"/>
        </w:trPr>
        <w:tc>
          <w:tcPr>
            <w:tcW w:w="308" w:type="pct"/>
            <w:vMerge/>
            <w:vAlign w:val="center"/>
          </w:tcPr>
          <w:p w:rsidR="00EE4502" w:rsidRDefault="00EE4502">
            <w:pPr>
              <w:pStyle w:val="TableParagraph"/>
              <w:jc w:val="center"/>
              <w:rPr>
                <w:rFonts w:ascii="Times New Roman" w:hAnsi="Times New Roman" w:cs="Times New Roman"/>
                <w:snapToGrid w:val="0"/>
                <w:kern w:val="0"/>
                <w:szCs w:val="21"/>
              </w:rPr>
            </w:pPr>
          </w:p>
        </w:tc>
        <w:tc>
          <w:tcPr>
            <w:tcW w:w="423" w:type="pct"/>
            <w:vMerge/>
            <w:vAlign w:val="center"/>
          </w:tcPr>
          <w:p w:rsidR="00EE4502" w:rsidRDefault="00EE4502">
            <w:pPr>
              <w:pStyle w:val="TableParagraph"/>
              <w:jc w:val="center"/>
              <w:rPr>
                <w:rFonts w:ascii="Times New Roman" w:hAnsi="Times New Roman" w:cs="Times New Roman"/>
                <w:snapToGrid w:val="0"/>
                <w:kern w:val="0"/>
                <w:szCs w:val="21"/>
              </w:rPr>
            </w:pPr>
          </w:p>
        </w:tc>
        <w:tc>
          <w:tcPr>
            <w:tcW w:w="2130" w:type="pct"/>
            <w:vMerge/>
            <w:vAlign w:val="center"/>
          </w:tcPr>
          <w:p w:rsidR="00EE4502" w:rsidRDefault="00EE4502">
            <w:pPr>
              <w:pStyle w:val="TableParagraph"/>
              <w:rPr>
                <w:rFonts w:ascii="Times New Roman" w:hAnsi="Times New Roman" w:cs="Times New Roman"/>
                <w:snapToGrid w:val="0"/>
                <w:kern w:val="0"/>
                <w:szCs w:val="21"/>
              </w:rPr>
            </w:pPr>
          </w:p>
        </w:tc>
        <w:tc>
          <w:tcPr>
            <w:tcW w:w="1656" w:type="pct"/>
            <w:vMerge/>
            <w:vAlign w:val="center"/>
          </w:tcPr>
          <w:p w:rsidR="00EE4502" w:rsidRDefault="00EE4502">
            <w:pPr>
              <w:pStyle w:val="TableParagraph"/>
              <w:rPr>
                <w:rFonts w:ascii="Times New Roman" w:hAnsi="Times New Roman" w:cs="Times New Roman"/>
                <w:snapToGrid w:val="0"/>
                <w:kern w:val="0"/>
                <w:szCs w:val="21"/>
              </w:rPr>
            </w:pPr>
          </w:p>
        </w:tc>
        <w:tc>
          <w:tcPr>
            <w:tcW w:w="481" w:type="pct"/>
            <w:vAlign w:val="center"/>
          </w:tcPr>
          <w:p w:rsidR="00EE4502" w:rsidRDefault="00FD45A3">
            <w:pPr>
              <w:pStyle w:val="TableParagraph"/>
              <w:jc w:val="center"/>
              <w:rPr>
                <w:rFonts w:ascii="Times New Roman" w:hAnsi="Times New Roman" w:cs="Times New Roman"/>
                <w:snapToGrid w:val="0"/>
                <w:kern w:val="0"/>
                <w:szCs w:val="21"/>
              </w:rPr>
            </w:pPr>
            <w:r>
              <w:rPr>
                <w:rFonts w:ascii="Times New Roman" w:cs="Times New Roman"/>
                <w:snapToGrid w:val="0"/>
                <w:kern w:val="0"/>
                <w:szCs w:val="21"/>
              </w:rPr>
              <w:t>符合</w:t>
            </w:r>
          </w:p>
        </w:tc>
      </w:tr>
      <w:tr w:rsidR="00EE4502">
        <w:trPr>
          <w:trHeight w:val="340"/>
        </w:trPr>
        <w:tc>
          <w:tcPr>
            <w:tcW w:w="308" w:type="pct"/>
            <w:vMerge w:val="restart"/>
            <w:vAlign w:val="center"/>
          </w:tcPr>
          <w:p w:rsidR="00EE4502" w:rsidRDefault="00FD45A3">
            <w:pPr>
              <w:pStyle w:val="TableParagraph"/>
              <w:jc w:val="center"/>
              <w:rPr>
                <w:rFonts w:ascii="Times New Roman" w:hAnsi="Times New Roman" w:cs="Times New Roman"/>
                <w:snapToGrid w:val="0"/>
                <w:kern w:val="0"/>
                <w:szCs w:val="21"/>
              </w:rPr>
            </w:pPr>
            <w:r>
              <w:rPr>
                <w:rFonts w:ascii="Times New Roman" w:hAnsi="Times New Roman" w:cs="Times New Roman"/>
                <w:snapToGrid w:val="0"/>
                <w:kern w:val="0"/>
                <w:szCs w:val="21"/>
              </w:rPr>
              <w:t>4</w:t>
            </w:r>
          </w:p>
        </w:tc>
        <w:tc>
          <w:tcPr>
            <w:tcW w:w="423" w:type="pct"/>
            <w:vMerge w:val="restart"/>
            <w:vAlign w:val="center"/>
          </w:tcPr>
          <w:p w:rsidR="00EE4502" w:rsidRDefault="00FD45A3">
            <w:pPr>
              <w:pStyle w:val="TableParagraph"/>
              <w:jc w:val="center"/>
              <w:rPr>
                <w:rFonts w:ascii="Times New Roman" w:hAnsi="Times New Roman" w:cs="Times New Roman"/>
                <w:snapToGrid w:val="0"/>
                <w:kern w:val="0"/>
                <w:szCs w:val="21"/>
              </w:rPr>
            </w:pPr>
            <w:r>
              <w:rPr>
                <w:rFonts w:ascii="Times New Roman" w:cs="Times New Roman"/>
                <w:snapToGrid w:val="0"/>
                <w:kern w:val="0"/>
                <w:szCs w:val="21"/>
              </w:rPr>
              <w:t>资源开发方式</w:t>
            </w:r>
          </w:p>
        </w:tc>
        <w:tc>
          <w:tcPr>
            <w:tcW w:w="2130" w:type="pct"/>
            <w:vAlign w:val="center"/>
          </w:tcPr>
          <w:p w:rsidR="00EE4502" w:rsidRDefault="00FD45A3">
            <w:pPr>
              <w:pStyle w:val="TableParagraph"/>
              <w:rPr>
                <w:rFonts w:ascii="Times New Roman" w:hAnsi="Times New Roman" w:cs="Times New Roman"/>
                <w:snapToGrid w:val="0"/>
                <w:kern w:val="0"/>
                <w:szCs w:val="21"/>
              </w:rPr>
            </w:pPr>
            <w:r>
              <w:rPr>
                <w:rFonts w:ascii="Times New Roman" w:cs="Times New Roman"/>
                <w:snapToGrid w:val="0"/>
                <w:kern w:val="0"/>
                <w:szCs w:val="21"/>
              </w:rPr>
              <w:t>因矿制宜选择开采工艺和装备，符合清洁生产要求</w:t>
            </w:r>
          </w:p>
        </w:tc>
        <w:tc>
          <w:tcPr>
            <w:tcW w:w="1656" w:type="pct"/>
            <w:vAlign w:val="center"/>
          </w:tcPr>
          <w:p w:rsidR="00EE4502" w:rsidRDefault="00FD45A3">
            <w:pPr>
              <w:pStyle w:val="TableParagraph"/>
              <w:rPr>
                <w:rFonts w:ascii="Times New Roman" w:hAnsi="Times New Roman" w:cs="Times New Roman"/>
                <w:snapToGrid w:val="0"/>
                <w:kern w:val="0"/>
                <w:szCs w:val="21"/>
              </w:rPr>
            </w:pPr>
            <w:r>
              <w:rPr>
                <w:rFonts w:ascii="Times New Roman" w:cs="Times New Roman"/>
                <w:snapToGrid w:val="0"/>
                <w:kern w:val="0"/>
                <w:szCs w:val="21"/>
              </w:rPr>
              <w:t>根据矿区油藏地质情况，选用适宜的开采工艺及装备，符合清洁生产要求</w:t>
            </w:r>
          </w:p>
        </w:tc>
        <w:tc>
          <w:tcPr>
            <w:tcW w:w="481" w:type="pct"/>
            <w:vAlign w:val="center"/>
          </w:tcPr>
          <w:p w:rsidR="00EE4502" w:rsidRDefault="00FD45A3">
            <w:pPr>
              <w:pStyle w:val="TableParagraph"/>
              <w:jc w:val="center"/>
              <w:rPr>
                <w:rFonts w:ascii="Times New Roman" w:hAnsi="Times New Roman" w:cs="Times New Roman"/>
                <w:snapToGrid w:val="0"/>
                <w:kern w:val="0"/>
                <w:szCs w:val="21"/>
              </w:rPr>
            </w:pPr>
            <w:r>
              <w:rPr>
                <w:rFonts w:ascii="Times New Roman" w:cs="Times New Roman"/>
                <w:snapToGrid w:val="0"/>
                <w:kern w:val="0"/>
                <w:szCs w:val="21"/>
              </w:rPr>
              <w:t>符合</w:t>
            </w:r>
          </w:p>
        </w:tc>
      </w:tr>
      <w:tr w:rsidR="00EE4502">
        <w:trPr>
          <w:trHeight w:val="340"/>
        </w:trPr>
        <w:tc>
          <w:tcPr>
            <w:tcW w:w="308" w:type="pct"/>
            <w:vMerge/>
            <w:vAlign w:val="center"/>
          </w:tcPr>
          <w:p w:rsidR="00EE4502" w:rsidRDefault="00EE4502">
            <w:pPr>
              <w:pStyle w:val="TableParagraph"/>
              <w:jc w:val="center"/>
              <w:rPr>
                <w:rFonts w:ascii="Times New Roman" w:hAnsi="Times New Roman" w:cs="Times New Roman"/>
                <w:snapToGrid w:val="0"/>
                <w:kern w:val="0"/>
                <w:szCs w:val="21"/>
              </w:rPr>
            </w:pPr>
          </w:p>
        </w:tc>
        <w:tc>
          <w:tcPr>
            <w:tcW w:w="423" w:type="pct"/>
            <w:vMerge/>
            <w:vAlign w:val="center"/>
          </w:tcPr>
          <w:p w:rsidR="00EE4502" w:rsidRDefault="00EE4502">
            <w:pPr>
              <w:pStyle w:val="TableParagraph"/>
              <w:jc w:val="center"/>
              <w:rPr>
                <w:rFonts w:ascii="Times New Roman" w:hAnsi="Times New Roman" w:cs="Times New Roman"/>
                <w:snapToGrid w:val="0"/>
                <w:kern w:val="0"/>
                <w:szCs w:val="21"/>
              </w:rPr>
            </w:pPr>
          </w:p>
        </w:tc>
        <w:tc>
          <w:tcPr>
            <w:tcW w:w="2130" w:type="pct"/>
            <w:vAlign w:val="center"/>
          </w:tcPr>
          <w:p w:rsidR="00EE4502" w:rsidRDefault="00FD45A3">
            <w:pPr>
              <w:pStyle w:val="TableParagraph"/>
              <w:rPr>
                <w:rFonts w:ascii="Times New Roman" w:hAnsi="Times New Roman" w:cs="Times New Roman"/>
                <w:snapToGrid w:val="0"/>
                <w:kern w:val="0"/>
                <w:szCs w:val="21"/>
              </w:rPr>
            </w:pPr>
            <w:r>
              <w:rPr>
                <w:rFonts w:ascii="Times New Roman" w:cs="Times New Roman"/>
                <w:snapToGrid w:val="0"/>
                <w:kern w:val="0"/>
                <w:szCs w:val="21"/>
              </w:rPr>
              <w:t>贯彻</w:t>
            </w:r>
            <w:r>
              <w:rPr>
                <w:rFonts w:ascii="Times New Roman" w:hAnsi="Times New Roman" w:cs="Times New Roman"/>
                <w:snapToGrid w:val="0"/>
                <w:kern w:val="0"/>
                <w:szCs w:val="21"/>
              </w:rPr>
              <w:t>“</w:t>
            </w:r>
            <w:r>
              <w:rPr>
                <w:rFonts w:ascii="Times New Roman" w:cs="Times New Roman"/>
                <w:snapToGrid w:val="0"/>
                <w:kern w:val="0"/>
                <w:szCs w:val="21"/>
              </w:rPr>
              <w:t>边开采、边治理、边恢复</w:t>
            </w:r>
            <w:r>
              <w:rPr>
                <w:rFonts w:ascii="Times New Roman" w:hAnsi="Times New Roman" w:cs="Times New Roman"/>
                <w:snapToGrid w:val="0"/>
                <w:kern w:val="0"/>
                <w:szCs w:val="21"/>
              </w:rPr>
              <w:t>”</w:t>
            </w:r>
            <w:r>
              <w:rPr>
                <w:rFonts w:ascii="Times New Roman" w:cs="Times New Roman"/>
                <w:snapToGrid w:val="0"/>
                <w:kern w:val="0"/>
                <w:szCs w:val="21"/>
              </w:rPr>
              <w:t>的原则，及时治理恢复矿区地质环境</w:t>
            </w:r>
          </w:p>
        </w:tc>
        <w:tc>
          <w:tcPr>
            <w:tcW w:w="1656" w:type="pct"/>
            <w:vAlign w:val="center"/>
          </w:tcPr>
          <w:p w:rsidR="00EE4502" w:rsidRDefault="00FD45A3">
            <w:pPr>
              <w:pStyle w:val="TableParagraph"/>
              <w:rPr>
                <w:rFonts w:ascii="Times New Roman" w:hAnsi="Times New Roman" w:cs="Times New Roman"/>
                <w:snapToGrid w:val="0"/>
                <w:kern w:val="0"/>
                <w:szCs w:val="21"/>
              </w:rPr>
            </w:pPr>
            <w:r>
              <w:rPr>
                <w:rFonts w:ascii="Times New Roman" w:cs="Times New Roman"/>
                <w:snapToGrid w:val="0"/>
                <w:kern w:val="0"/>
                <w:szCs w:val="21"/>
              </w:rPr>
              <w:t>边开采，边治理，施工期临时用地及时平整、恢复</w:t>
            </w:r>
          </w:p>
        </w:tc>
        <w:tc>
          <w:tcPr>
            <w:tcW w:w="481" w:type="pct"/>
            <w:vAlign w:val="center"/>
          </w:tcPr>
          <w:p w:rsidR="00EE4502" w:rsidRDefault="00FD45A3">
            <w:pPr>
              <w:pStyle w:val="TableParagraph"/>
              <w:jc w:val="center"/>
              <w:rPr>
                <w:rFonts w:ascii="Times New Roman" w:hAnsi="Times New Roman" w:cs="Times New Roman"/>
                <w:snapToGrid w:val="0"/>
                <w:kern w:val="0"/>
                <w:szCs w:val="21"/>
              </w:rPr>
            </w:pPr>
            <w:r>
              <w:rPr>
                <w:rFonts w:ascii="Times New Roman" w:cs="Times New Roman"/>
                <w:snapToGrid w:val="0"/>
                <w:kern w:val="0"/>
                <w:szCs w:val="21"/>
              </w:rPr>
              <w:t>符合</w:t>
            </w:r>
          </w:p>
        </w:tc>
      </w:tr>
      <w:tr w:rsidR="00EE4502">
        <w:trPr>
          <w:trHeight w:val="340"/>
        </w:trPr>
        <w:tc>
          <w:tcPr>
            <w:tcW w:w="308" w:type="pct"/>
            <w:vMerge w:val="restart"/>
            <w:vAlign w:val="center"/>
          </w:tcPr>
          <w:p w:rsidR="00EE4502" w:rsidRDefault="00FD45A3">
            <w:pPr>
              <w:pStyle w:val="TableParagraph"/>
              <w:jc w:val="center"/>
              <w:rPr>
                <w:rFonts w:ascii="Times New Roman" w:hAnsi="Times New Roman" w:cs="Times New Roman"/>
                <w:snapToGrid w:val="0"/>
                <w:kern w:val="0"/>
                <w:szCs w:val="21"/>
              </w:rPr>
            </w:pPr>
            <w:r>
              <w:rPr>
                <w:rFonts w:ascii="Times New Roman" w:hAnsi="Times New Roman" w:cs="Times New Roman"/>
                <w:snapToGrid w:val="0"/>
                <w:kern w:val="0"/>
                <w:szCs w:val="21"/>
              </w:rPr>
              <w:t>5</w:t>
            </w:r>
          </w:p>
        </w:tc>
        <w:tc>
          <w:tcPr>
            <w:tcW w:w="423" w:type="pct"/>
            <w:vMerge w:val="restart"/>
            <w:vAlign w:val="center"/>
          </w:tcPr>
          <w:p w:rsidR="00EE4502" w:rsidRDefault="00FD45A3">
            <w:pPr>
              <w:pStyle w:val="TableParagraph"/>
              <w:jc w:val="center"/>
              <w:rPr>
                <w:rFonts w:ascii="Times New Roman" w:hAnsi="Times New Roman" w:cs="Times New Roman"/>
                <w:snapToGrid w:val="0"/>
                <w:kern w:val="0"/>
                <w:szCs w:val="21"/>
              </w:rPr>
            </w:pPr>
            <w:r>
              <w:rPr>
                <w:rFonts w:ascii="Times New Roman" w:cs="Times New Roman"/>
                <w:snapToGrid w:val="0"/>
                <w:kern w:val="0"/>
                <w:szCs w:val="21"/>
              </w:rPr>
              <w:t>绿色开发</w:t>
            </w:r>
          </w:p>
        </w:tc>
        <w:tc>
          <w:tcPr>
            <w:tcW w:w="2130" w:type="pct"/>
            <w:vAlign w:val="center"/>
          </w:tcPr>
          <w:p w:rsidR="00EE4502" w:rsidRDefault="00FD45A3">
            <w:pPr>
              <w:pStyle w:val="TableParagraph"/>
              <w:rPr>
                <w:rFonts w:ascii="Times New Roman" w:hAnsi="Times New Roman" w:cs="Times New Roman"/>
                <w:snapToGrid w:val="0"/>
                <w:kern w:val="0"/>
                <w:szCs w:val="21"/>
              </w:rPr>
            </w:pPr>
            <w:r>
              <w:rPr>
                <w:rFonts w:ascii="Times New Roman" w:cs="Times New Roman"/>
                <w:snapToGrid w:val="0"/>
                <w:kern w:val="0"/>
                <w:szCs w:val="21"/>
              </w:rPr>
              <w:t>应遵循油气资源赋存状况，生态环境特征等条件，科学合理地确定开发方案，选择与油气藏类型相适应的先进开采技术和工艺，推广使用成熟、先进的技术装备，严禁使用国家明文规定的限制和淘汰的技术工艺及装备</w:t>
            </w:r>
          </w:p>
        </w:tc>
        <w:tc>
          <w:tcPr>
            <w:tcW w:w="1656" w:type="pct"/>
            <w:vAlign w:val="center"/>
          </w:tcPr>
          <w:p w:rsidR="00EE4502" w:rsidRDefault="00FD45A3">
            <w:pPr>
              <w:pStyle w:val="TableParagraph"/>
              <w:rPr>
                <w:rFonts w:ascii="Times New Roman" w:hAnsi="Times New Roman" w:cs="Times New Roman"/>
                <w:snapToGrid w:val="0"/>
                <w:kern w:val="0"/>
                <w:szCs w:val="21"/>
              </w:rPr>
            </w:pPr>
            <w:r>
              <w:rPr>
                <w:rFonts w:ascii="Times New Roman" w:cs="Times New Roman"/>
                <w:snapToGrid w:val="0"/>
                <w:kern w:val="0"/>
                <w:szCs w:val="21"/>
              </w:rPr>
              <w:t>根据油气藏勘探情况及地质特征，合理制定区块开发方案，选用先进的开采工艺和技术，未使用淘汰的技术工艺及装备</w:t>
            </w:r>
          </w:p>
        </w:tc>
        <w:tc>
          <w:tcPr>
            <w:tcW w:w="481" w:type="pct"/>
            <w:vAlign w:val="center"/>
          </w:tcPr>
          <w:p w:rsidR="00EE4502" w:rsidRDefault="00FD45A3">
            <w:pPr>
              <w:pStyle w:val="TableParagraph"/>
              <w:jc w:val="center"/>
              <w:rPr>
                <w:rFonts w:ascii="Times New Roman" w:hAnsi="Times New Roman" w:cs="Times New Roman"/>
                <w:snapToGrid w:val="0"/>
                <w:kern w:val="0"/>
                <w:szCs w:val="21"/>
              </w:rPr>
            </w:pPr>
            <w:r>
              <w:rPr>
                <w:rFonts w:ascii="Times New Roman" w:cs="Times New Roman"/>
                <w:snapToGrid w:val="0"/>
                <w:kern w:val="0"/>
                <w:szCs w:val="21"/>
              </w:rPr>
              <w:t>符合</w:t>
            </w:r>
          </w:p>
        </w:tc>
      </w:tr>
      <w:tr w:rsidR="00EE4502">
        <w:trPr>
          <w:trHeight w:val="340"/>
        </w:trPr>
        <w:tc>
          <w:tcPr>
            <w:tcW w:w="308" w:type="pct"/>
            <w:vMerge/>
            <w:vAlign w:val="center"/>
          </w:tcPr>
          <w:p w:rsidR="00EE4502" w:rsidRDefault="00EE4502">
            <w:pPr>
              <w:pStyle w:val="TableParagraph"/>
              <w:jc w:val="center"/>
              <w:rPr>
                <w:rFonts w:ascii="Times New Roman" w:hAnsi="Times New Roman" w:cs="Times New Roman"/>
                <w:snapToGrid w:val="0"/>
                <w:kern w:val="0"/>
                <w:szCs w:val="21"/>
              </w:rPr>
            </w:pPr>
          </w:p>
        </w:tc>
        <w:tc>
          <w:tcPr>
            <w:tcW w:w="423" w:type="pct"/>
            <w:vMerge/>
            <w:vAlign w:val="center"/>
          </w:tcPr>
          <w:p w:rsidR="00EE4502" w:rsidRDefault="00EE4502">
            <w:pPr>
              <w:pStyle w:val="TableParagraph"/>
              <w:jc w:val="center"/>
              <w:rPr>
                <w:rFonts w:ascii="Times New Roman" w:hAnsi="Times New Roman" w:cs="Times New Roman"/>
                <w:snapToGrid w:val="0"/>
                <w:kern w:val="0"/>
                <w:szCs w:val="21"/>
              </w:rPr>
            </w:pPr>
          </w:p>
        </w:tc>
        <w:tc>
          <w:tcPr>
            <w:tcW w:w="2130" w:type="pct"/>
            <w:vAlign w:val="center"/>
          </w:tcPr>
          <w:p w:rsidR="00EE4502" w:rsidRDefault="00FD45A3">
            <w:pPr>
              <w:pStyle w:val="TableParagraph"/>
              <w:rPr>
                <w:rFonts w:ascii="Times New Roman" w:hAnsi="Times New Roman" w:cs="Times New Roman"/>
                <w:snapToGrid w:val="0"/>
                <w:kern w:val="0"/>
                <w:szCs w:val="21"/>
              </w:rPr>
            </w:pPr>
            <w:r>
              <w:rPr>
                <w:rFonts w:ascii="Times New Roman" w:cs="Times New Roman"/>
                <w:snapToGrid w:val="0"/>
                <w:kern w:val="0"/>
                <w:szCs w:val="21"/>
              </w:rPr>
              <w:t>合理确定场址、站址、管网、路网建设占地规模</w:t>
            </w:r>
          </w:p>
        </w:tc>
        <w:tc>
          <w:tcPr>
            <w:tcW w:w="1656" w:type="pct"/>
            <w:vAlign w:val="center"/>
          </w:tcPr>
          <w:p w:rsidR="00EE4502" w:rsidRDefault="00FD45A3">
            <w:pPr>
              <w:pStyle w:val="TableParagraph"/>
              <w:rPr>
                <w:rFonts w:ascii="Times New Roman" w:hAnsi="Times New Roman" w:cs="Times New Roman"/>
                <w:snapToGrid w:val="0"/>
                <w:kern w:val="0"/>
                <w:szCs w:val="21"/>
              </w:rPr>
            </w:pPr>
            <w:r>
              <w:rPr>
                <w:rFonts w:ascii="Times New Roman" w:cs="Times New Roman"/>
                <w:snapToGrid w:val="0"/>
                <w:kern w:val="0"/>
                <w:szCs w:val="21"/>
              </w:rPr>
              <w:t>根据油气藏分布及环境情况合理布置各井场、站场、道路、集输管线的分布，合理确定占地规模，不扰动占地范围外土地</w:t>
            </w:r>
          </w:p>
        </w:tc>
        <w:tc>
          <w:tcPr>
            <w:tcW w:w="481" w:type="pct"/>
            <w:vAlign w:val="center"/>
          </w:tcPr>
          <w:p w:rsidR="00EE4502" w:rsidRDefault="00FD45A3">
            <w:pPr>
              <w:pStyle w:val="TableParagraph"/>
              <w:jc w:val="center"/>
              <w:rPr>
                <w:rFonts w:ascii="Times New Roman" w:hAnsi="Times New Roman" w:cs="Times New Roman"/>
                <w:snapToGrid w:val="0"/>
                <w:kern w:val="0"/>
                <w:szCs w:val="21"/>
              </w:rPr>
            </w:pPr>
            <w:r>
              <w:rPr>
                <w:rFonts w:ascii="Times New Roman" w:cs="Times New Roman"/>
                <w:snapToGrid w:val="0"/>
                <w:kern w:val="0"/>
                <w:szCs w:val="21"/>
              </w:rPr>
              <w:t>符合</w:t>
            </w:r>
          </w:p>
        </w:tc>
      </w:tr>
      <w:tr w:rsidR="00EE4502">
        <w:trPr>
          <w:trHeight w:val="340"/>
        </w:trPr>
        <w:tc>
          <w:tcPr>
            <w:tcW w:w="308" w:type="pct"/>
            <w:vMerge/>
            <w:vAlign w:val="center"/>
          </w:tcPr>
          <w:p w:rsidR="00EE4502" w:rsidRDefault="00EE4502">
            <w:pPr>
              <w:pStyle w:val="TableParagraph"/>
              <w:jc w:val="center"/>
              <w:rPr>
                <w:rFonts w:ascii="Times New Roman" w:hAnsi="Times New Roman" w:cs="Times New Roman"/>
                <w:snapToGrid w:val="0"/>
                <w:kern w:val="0"/>
                <w:szCs w:val="21"/>
              </w:rPr>
            </w:pPr>
          </w:p>
        </w:tc>
        <w:tc>
          <w:tcPr>
            <w:tcW w:w="423" w:type="pct"/>
            <w:vMerge/>
            <w:vAlign w:val="center"/>
          </w:tcPr>
          <w:p w:rsidR="00EE4502" w:rsidRDefault="00EE4502">
            <w:pPr>
              <w:pStyle w:val="TableParagraph"/>
              <w:jc w:val="center"/>
              <w:rPr>
                <w:rFonts w:ascii="Times New Roman" w:hAnsi="Times New Roman" w:cs="Times New Roman"/>
                <w:snapToGrid w:val="0"/>
                <w:kern w:val="0"/>
                <w:szCs w:val="21"/>
              </w:rPr>
            </w:pPr>
          </w:p>
        </w:tc>
        <w:tc>
          <w:tcPr>
            <w:tcW w:w="2130" w:type="pct"/>
            <w:vAlign w:val="center"/>
          </w:tcPr>
          <w:p w:rsidR="00EE4502" w:rsidRDefault="00FD45A3">
            <w:pPr>
              <w:pStyle w:val="TableParagraph"/>
              <w:rPr>
                <w:rFonts w:ascii="Times New Roman" w:hAnsi="Times New Roman" w:cs="Times New Roman"/>
                <w:snapToGrid w:val="0"/>
                <w:kern w:val="0"/>
                <w:szCs w:val="21"/>
              </w:rPr>
            </w:pPr>
            <w:r>
              <w:rPr>
                <w:rFonts w:ascii="Times New Roman" w:cs="Times New Roman"/>
                <w:snapToGrid w:val="0"/>
                <w:kern w:val="0"/>
                <w:szCs w:val="21"/>
              </w:rPr>
              <w:t>实施绿色钻井技术体系，科学选择钻井方式、环境友好型钻井液及井控措施，配套完善的固控系统，及时妥善处置钻井泥浆</w:t>
            </w:r>
          </w:p>
        </w:tc>
        <w:tc>
          <w:tcPr>
            <w:tcW w:w="1656" w:type="pct"/>
            <w:vAlign w:val="center"/>
          </w:tcPr>
          <w:p w:rsidR="00EE4502" w:rsidRDefault="00FD45A3">
            <w:pPr>
              <w:pStyle w:val="TableParagraph"/>
              <w:rPr>
                <w:rFonts w:ascii="Times New Roman" w:hAnsi="Times New Roman" w:cs="Times New Roman"/>
                <w:snapToGrid w:val="0"/>
                <w:kern w:val="0"/>
                <w:szCs w:val="21"/>
              </w:rPr>
            </w:pPr>
            <w:r>
              <w:rPr>
                <w:rFonts w:ascii="Times New Roman" w:cs="Times New Roman"/>
                <w:snapToGrid w:val="0"/>
                <w:kern w:val="0"/>
                <w:szCs w:val="21"/>
              </w:rPr>
              <w:t>钻井期间采用环境友好型水基钻井液；钻井期配备了完善的固井设施；钻井采用泥浆不落地工艺，钻井泥浆循环使用</w:t>
            </w:r>
          </w:p>
        </w:tc>
        <w:tc>
          <w:tcPr>
            <w:tcW w:w="481" w:type="pct"/>
            <w:vAlign w:val="center"/>
          </w:tcPr>
          <w:p w:rsidR="00EE4502" w:rsidRDefault="00FD45A3">
            <w:pPr>
              <w:pStyle w:val="TableParagraph"/>
              <w:jc w:val="center"/>
              <w:rPr>
                <w:rFonts w:ascii="Times New Roman" w:hAnsi="Times New Roman" w:cs="Times New Roman"/>
                <w:snapToGrid w:val="0"/>
                <w:kern w:val="0"/>
                <w:szCs w:val="21"/>
              </w:rPr>
            </w:pPr>
            <w:r>
              <w:rPr>
                <w:rFonts w:ascii="Times New Roman" w:cs="Times New Roman"/>
                <w:snapToGrid w:val="0"/>
                <w:kern w:val="0"/>
                <w:szCs w:val="21"/>
              </w:rPr>
              <w:t>符合</w:t>
            </w:r>
          </w:p>
        </w:tc>
      </w:tr>
      <w:tr w:rsidR="00EE4502">
        <w:trPr>
          <w:trHeight w:val="340"/>
        </w:trPr>
        <w:tc>
          <w:tcPr>
            <w:tcW w:w="308" w:type="pct"/>
            <w:vMerge/>
            <w:vAlign w:val="center"/>
          </w:tcPr>
          <w:p w:rsidR="00EE4502" w:rsidRDefault="00EE4502">
            <w:pPr>
              <w:pStyle w:val="TableParagraph"/>
              <w:jc w:val="center"/>
              <w:rPr>
                <w:rFonts w:ascii="Times New Roman" w:hAnsi="Times New Roman" w:cs="Times New Roman"/>
                <w:snapToGrid w:val="0"/>
                <w:kern w:val="0"/>
                <w:szCs w:val="21"/>
              </w:rPr>
            </w:pPr>
          </w:p>
        </w:tc>
        <w:tc>
          <w:tcPr>
            <w:tcW w:w="423" w:type="pct"/>
            <w:vMerge/>
            <w:vAlign w:val="center"/>
          </w:tcPr>
          <w:p w:rsidR="00EE4502" w:rsidRDefault="00EE4502">
            <w:pPr>
              <w:pStyle w:val="TableParagraph"/>
              <w:jc w:val="center"/>
              <w:rPr>
                <w:rFonts w:ascii="Times New Roman" w:hAnsi="Times New Roman" w:cs="Times New Roman"/>
                <w:snapToGrid w:val="0"/>
                <w:kern w:val="0"/>
                <w:szCs w:val="21"/>
              </w:rPr>
            </w:pPr>
          </w:p>
        </w:tc>
        <w:tc>
          <w:tcPr>
            <w:tcW w:w="2130" w:type="pct"/>
            <w:vAlign w:val="center"/>
          </w:tcPr>
          <w:p w:rsidR="00EE4502" w:rsidRDefault="00FD45A3">
            <w:pPr>
              <w:pStyle w:val="TableParagraph"/>
              <w:rPr>
                <w:rFonts w:ascii="Times New Roman" w:hAnsi="Times New Roman" w:cs="Times New Roman"/>
                <w:snapToGrid w:val="0"/>
                <w:kern w:val="0"/>
                <w:szCs w:val="21"/>
              </w:rPr>
            </w:pPr>
            <w:r>
              <w:rPr>
                <w:rFonts w:ascii="Times New Roman" w:cs="Times New Roman"/>
                <w:snapToGrid w:val="0"/>
                <w:kern w:val="0"/>
                <w:szCs w:val="21"/>
              </w:rPr>
              <w:t>对伴生有硫化氢气体的油气藏，硫化氢气体含量未达到工业综合利用要求的，应采取有效的处置方案</w:t>
            </w:r>
          </w:p>
        </w:tc>
        <w:tc>
          <w:tcPr>
            <w:tcW w:w="1656" w:type="pct"/>
            <w:vAlign w:val="center"/>
          </w:tcPr>
          <w:p w:rsidR="00EE4502" w:rsidRDefault="00FD45A3">
            <w:pPr>
              <w:pStyle w:val="TableParagraph"/>
              <w:rPr>
                <w:rFonts w:ascii="Times New Roman" w:hAnsi="Times New Roman" w:cs="Times New Roman"/>
                <w:snapToGrid w:val="0"/>
                <w:kern w:val="0"/>
                <w:szCs w:val="21"/>
              </w:rPr>
            </w:pPr>
            <w:r>
              <w:rPr>
                <w:rFonts w:ascii="Times New Roman" w:cs="Times New Roman" w:hint="eastAsia"/>
                <w:snapToGrid w:val="0"/>
                <w:kern w:val="0"/>
                <w:szCs w:val="21"/>
              </w:rPr>
              <w:t>本工程</w:t>
            </w:r>
            <w:r>
              <w:rPr>
                <w:snapToGrid w:val="0"/>
                <w:szCs w:val="21"/>
              </w:rPr>
              <w:t>属于稠油开采，</w:t>
            </w:r>
            <w:r>
              <w:rPr>
                <w:rFonts w:hint="eastAsia"/>
                <w:snapToGrid w:val="0"/>
                <w:szCs w:val="21"/>
              </w:rPr>
              <w:t>不产生</w:t>
            </w:r>
            <w:r>
              <w:rPr>
                <w:snapToGrid w:val="0"/>
                <w:szCs w:val="21"/>
              </w:rPr>
              <w:t>硫化氢气体</w:t>
            </w:r>
          </w:p>
        </w:tc>
        <w:tc>
          <w:tcPr>
            <w:tcW w:w="481" w:type="pct"/>
            <w:vAlign w:val="center"/>
          </w:tcPr>
          <w:p w:rsidR="00EE4502" w:rsidRDefault="00FD45A3">
            <w:pPr>
              <w:pStyle w:val="TableParagraph"/>
              <w:jc w:val="center"/>
              <w:rPr>
                <w:rFonts w:ascii="Times New Roman" w:hAnsi="Times New Roman" w:cs="Times New Roman"/>
                <w:snapToGrid w:val="0"/>
                <w:kern w:val="0"/>
                <w:szCs w:val="21"/>
              </w:rPr>
            </w:pPr>
            <w:r>
              <w:rPr>
                <w:rFonts w:ascii="Times New Roman" w:cs="Times New Roman"/>
                <w:snapToGrid w:val="0"/>
                <w:kern w:val="0"/>
                <w:szCs w:val="21"/>
              </w:rPr>
              <w:t>符合</w:t>
            </w:r>
          </w:p>
        </w:tc>
      </w:tr>
      <w:tr w:rsidR="00EE4502">
        <w:trPr>
          <w:trHeight w:val="340"/>
        </w:trPr>
        <w:tc>
          <w:tcPr>
            <w:tcW w:w="308" w:type="pct"/>
            <w:vAlign w:val="center"/>
          </w:tcPr>
          <w:p w:rsidR="00EE4502" w:rsidRDefault="00FD45A3">
            <w:pPr>
              <w:pStyle w:val="TableParagraph"/>
              <w:jc w:val="center"/>
              <w:rPr>
                <w:rFonts w:ascii="Times New Roman" w:hAnsi="Times New Roman" w:cs="Times New Roman"/>
                <w:snapToGrid w:val="0"/>
                <w:kern w:val="0"/>
                <w:szCs w:val="21"/>
              </w:rPr>
            </w:pPr>
            <w:r>
              <w:rPr>
                <w:rFonts w:ascii="Times New Roman" w:hAnsi="Times New Roman" w:cs="Times New Roman"/>
                <w:snapToGrid w:val="0"/>
                <w:kern w:val="0"/>
                <w:szCs w:val="21"/>
              </w:rPr>
              <w:t>6</w:t>
            </w:r>
          </w:p>
        </w:tc>
        <w:tc>
          <w:tcPr>
            <w:tcW w:w="423" w:type="pct"/>
            <w:vAlign w:val="center"/>
          </w:tcPr>
          <w:p w:rsidR="00EE4502" w:rsidRDefault="00FD45A3">
            <w:pPr>
              <w:pStyle w:val="TableParagraph"/>
              <w:jc w:val="center"/>
              <w:rPr>
                <w:rFonts w:ascii="Times New Roman" w:hAnsi="Times New Roman" w:cs="Times New Roman"/>
                <w:snapToGrid w:val="0"/>
                <w:kern w:val="0"/>
                <w:szCs w:val="21"/>
              </w:rPr>
            </w:pPr>
            <w:r>
              <w:rPr>
                <w:rFonts w:ascii="Times New Roman" w:cs="Times New Roman"/>
                <w:snapToGrid w:val="0"/>
                <w:kern w:val="0"/>
                <w:szCs w:val="21"/>
              </w:rPr>
              <w:t>矿区生态环境保护</w:t>
            </w:r>
          </w:p>
        </w:tc>
        <w:tc>
          <w:tcPr>
            <w:tcW w:w="2130" w:type="pct"/>
            <w:vAlign w:val="center"/>
          </w:tcPr>
          <w:p w:rsidR="00EE4502" w:rsidRDefault="00FD45A3">
            <w:pPr>
              <w:pStyle w:val="TableParagraph"/>
              <w:rPr>
                <w:rFonts w:ascii="Times New Roman" w:hAnsi="Times New Roman" w:cs="Times New Roman"/>
                <w:snapToGrid w:val="0"/>
                <w:kern w:val="0"/>
                <w:szCs w:val="21"/>
              </w:rPr>
            </w:pPr>
            <w:r>
              <w:rPr>
                <w:rFonts w:ascii="Times New Roman" w:cs="Times New Roman"/>
                <w:snapToGrid w:val="0"/>
                <w:kern w:val="0"/>
                <w:szCs w:val="21"/>
              </w:rPr>
              <w:t>认真落实矿山地质环境保护与土地复垦方案的要求；</w:t>
            </w:r>
            <w:r>
              <w:rPr>
                <w:rFonts w:ascii="Times New Roman" w:cs="Times New Roman" w:hint="eastAsia"/>
                <w:snapToGrid w:val="0"/>
                <w:kern w:val="0"/>
                <w:szCs w:val="21"/>
              </w:rPr>
              <w:t>对</w:t>
            </w:r>
            <w:r>
              <w:rPr>
                <w:rFonts w:ascii="Times New Roman" w:cs="Times New Roman"/>
                <w:snapToGrid w:val="0"/>
                <w:kern w:val="0"/>
                <w:szCs w:val="21"/>
              </w:rPr>
              <w:t>矿区及周边生态环境进行监测监控，积极配合属地政府</w:t>
            </w:r>
            <w:r>
              <w:rPr>
                <w:rFonts w:ascii="Times New Roman" w:cs="Times New Roman" w:hint="eastAsia"/>
                <w:snapToGrid w:val="0"/>
                <w:kern w:val="0"/>
                <w:szCs w:val="21"/>
              </w:rPr>
              <w:t>生态环境部</w:t>
            </w:r>
            <w:r>
              <w:rPr>
                <w:rFonts w:ascii="Times New Roman" w:cs="Times New Roman"/>
                <w:snapToGrid w:val="0"/>
                <w:kern w:val="0"/>
                <w:szCs w:val="21"/>
              </w:rPr>
              <w:t>门的工作</w:t>
            </w:r>
          </w:p>
        </w:tc>
        <w:tc>
          <w:tcPr>
            <w:tcW w:w="1656" w:type="pct"/>
            <w:vAlign w:val="center"/>
          </w:tcPr>
          <w:p w:rsidR="00EE4502" w:rsidRDefault="00FD45A3">
            <w:pPr>
              <w:pStyle w:val="TableParagraph"/>
              <w:rPr>
                <w:rFonts w:ascii="Times New Roman" w:hAnsi="Times New Roman" w:cs="Times New Roman"/>
                <w:snapToGrid w:val="0"/>
                <w:kern w:val="0"/>
                <w:szCs w:val="21"/>
              </w:rPr>
            </w:pPr>
            <w:r>
              <w:rPr>
                <w:rFonts w:ascii="Times New Roman" w:cs="Times New Roman" w:hint="eastAsia"/>
                <w:snapToGrid w:val="0"/>
                <w:kern w:val="0"/>
                <w:szCs w:val="21"/>
              </w:rPr>
              <w:t>本工程</w:t>
            </w:r>
            <w:r>
              <w:rPr>
                <w:rFonts w:ascii="Times New Roman" w:cs="Times New Roman"/>
                <w:snapToGrid w:val="0"/>
                <w:kern w:val="0"/>
                <w:szCs w:val="21"/>
              </w:rPr>
              <w:t>施工期、运营期、退役期</w:t>
            </w:r>
            <w:r>
              <w:rPr>
                <w:snapToGrid w:val="0"/>
                <w:szCs w:val="21"/>
              </w:rPr>
              <w:t>均严格</w:t>
            </w:r>
            <w:r>
              <w:rPr>
                <w:rFonts w:ascii="Times New Roman" w:cs="Times New Roman"/>
                <w:snapToGrid w:val="0"/>
                <w:kern w:val="0"/>
                <w:szCs w:val="21"/>
              </w:rPr>
              <w:t>落实各项环境保护和生态恢复措施；制定了运营期环境监测方案，建设单位积极配合各级生态环境主管部门监督管理</w:t>
            </w:r>
          </w:p>
        </w:tc>
        <w:tc>
          <w:tcPr>
            <w:tcW w:w="481" w:type="pct"/>
            <w:vAlign w:val="center"/>
          </w:tcPr>
          <w:p w:rsidR="00EE4502" w:rsidRDefault="00FD45A3">
            <w:pPr>
              <w:pStyle w:val="TableParagraph"/>
              <w:jc w:val="center"/>
              <w:rPr>
                <w:rFonts w:ascii="Times New Roman" w:hAnsi="Times New Roman" w:cs="Times New Roman"/>
                <w:snapToGrid w:val="0"/>
                <w:kern w:val="0"/>
                <w:szCs w:val="21"/>
              </w:rPr>
            </w:pPr>
            <w:r>
              <w:rPr>
                <w:rFonts w:ascii="Times New Roman" w:cs="Times New Roman"/>
                <w:snapToGrid w:val="0"/>
                <w:kern w:val="0"/>
                <w:szCs w:val="21"/>
              </w:rPr>
              <w:t>符合</w:t>
            </w:r>
          </w:p>
        </w:tc>
      </w:tr>
      <w:tr w:rsidR="00EE4502">
        <w:trPr>
          <w:trHeight w:val="1000"/>
        </w:trPr>
        <w:tc>
          <w:tcPr>
            <w:tcW w:w="308" w:type="pct"/>
            <w:vMerge w:val="restart"/>
            <w:vAlign w:val="center"/>
          </w:tcPr>
          <w:p w:rsidR="00EE4502" w:rsidRDefault="00FD45A3">
            <w:pPr>
              <w:pStyle w:val="TableParagraph"/>
              <w:jc w:val="center"/>
              <w:rPr>
                <w:rFonts w:ascii="Times New Roman" w:hAnsi="Times New Roman" w:cs="Times New Roman"/>
                <w:snapToGrid w:val="0"/>
                <w:kern w:val="0"/>
                <w:szCs w:val="21"/>
              </w:rPr>
            </w:pPr>
            <w:r>
              <w:rPr>
                <w:rFonts w:ascii="Times New Roman" w:hAnsi="Times New Roman" w:cs="Times New Roman"/>
                <w:snapToGrid w:val="0"/>
                <w:kern w:val="0"/>
                <w:szCs w:val="21"/>
              </w:rPr>
              <w:lastRenderedPageBreak/>
              <w:t>7</w:t>
            </w:r>
          </w:p>
        </w:tc>
        <w:tc>
          <w:tcPr>
            <w:tcW w:w="423" w:type="pct"/>
            <w:vMerge w:val="restart"/>
            <w:vAlign w:val="center"/>
          </w:tcPr>
          <w:p w:rsidR="00EE4502" w:rsidRDefault="00FD45A3">
            <w:pPr>
              <w:pStyle w:val="TableParagraph"/>
              <w:jc w:val="center"/>
              <w:rPr>
                <w:rFonts w:ascii="Times New Roman" w:hAnsi="Times New Roman" w:cs="Times New Roman"/>
                <w:snapToGrid w:val="0"/>
                <w:kern w:val="0"/>
                <w:szCs w:val="21"/>
              </w:rPr>
            </w:pPr>
            <w:r>
              <w:rPr>
                <w:rFonts w:ascii="Times New Roman" w:cs="Times New Roman"/>
                <w:snapToGrid w:val="0"/>
                <w:kern w:val="0"/>
                <w:szCs w:val="21"/>
              </w:rPr>
              <w:t>资源综合利用</w:t>
            </w:r>
          </w:p>
        </w:tc>
        <w:tc>
          <w:tcPr>
            <w:tcW w:w="2130" w:type="pct"/>
            <w:vAlign w:val="center"/>
          </w:tcPr>
          <w:p w:rsidR="00EE4502" w:rsidRDefault="00FD45A3">
            <w:pPr>
              <w:pStyle w:val="TableParagraph"/>
              <w:autoSpaceDE w:val="0"/>
              <w:autoSpaceDN w:val="0"/>
              <w:rPr>
                <w:rFonts w:ascii="Times New Roman" w:hAnsi="Times New Roman" w:cs="Times New Roman"/>
                <w:snapToGrid w:val="0"/>
                <w:kern w:val="0"/>
                <w:szCs w:val="21"/>
              </w:rPr>
            </w:pPr>
            <w:r>
              <w:rPr>
                <w:rFonts w:ascii="Times New Roman" w:cs="Times New Roman"/>
                <w:snapToGrid w:val="0"/>
                <w:kern w:val="0"/>
                <w:szCs w:val="21"/>
              </w:rPr>
              <w:t>按照减量化、再利用、资源化的原则，综合开发利用油气藏共伴生资源，综合利用固体废弃物，废水等，发展循环经济</w:t>
            </w:r>
          </w:p>
        </w:tc>
        <w:tc>
          <w:tcPr>
            <w:tcW w:w="1656" w:type="pct"/>
            <w:vAlign w:val="center"/>
          </w:tcPr>
          <w:p w:rsidR="00EE4502" w:rsidRDefault="00FD45A3">
            <w:pPr>
              <w:pStyle w:val="TableParagraph"/>
              <w:autoSpaceDE w:val="0"/>
              <w:autoSpaceDN w:val="0"/>
              <w:rPr>
                <w:rFonts w:ascii="Times New Roman" w:hAnsi="Times New Roman" w:cs="Times New Roman"/>
                <w:snapToGrid w:val="0"/>
                <w:kern w:val="0"/>
                <w:szCs w:val="21"/>
              </w:rPr>
            </w:pPr>
            <w:r>
              <w:rPr>
                <w:rFonts w:ascii="Times New Roman" w:cs="Times New Roman"/>
                <w:snapToGrid w:val="0"/>
                <w:kern w:val="0"/>
                <w:szCs w:val="21"/>
              </w:rPr>
              <w:t>采出水、井下作业废水均处理达标后回注油藏，不外排；</w:t>
            </w:r>
            <w:r>
              <w:rPr>
                <w:rFonts w:ascii="Times New Roman" w:cs="Times New Roman" w:hint="eastAsia"/>
                <w:snapToGrid w:val="0"/>
                <w:kern w:val="0"/>
                <w:szCs w:val="21"/>
              </w:rPr>
              <w:t>落地油、废防渗布</w:t>
            </w:r>
            <w:r>
              <w:rPr>
                <w:rFonts w:ascii="Times New Roman" w:cs="Times New Roman"/>
                <w:snapToGrid w:val="0"/>
                <w:kern w:val="0"/>
                <w:szCs w:val="21"/>
              </w:rPr>
              <w:t>等均交由有资质的单位无害化处置</w:t>
            </w:r>
          </w:p>
        </w:tc>
        <w:tc>
          <w:tcPr>
            <w:tcW w:w="481" w:type="pct"/>
            <w:vAlign w:val="center"/>
          </w:tcPr>
          <w:p w:rsidR="00EE4502" w:rsidRDefault="00FD45A3">
            <w:pPr>
              <w:pStyle w:val="TableParagraph"/>
              <w:jc w:val="center"/>
              <w:rPr>
                <w:rFonts w:ascii="Times New Roman" w:hAnsi="Times New Roman" w:cs="Times New Roman"/>
                <w:snapToGrid w:val="0"/>
                <w:kern w:val="0"/>
                <w:szCs w:val="21"/>
              </w:rPr>
            </w:pPr>
            <w:r>
              <w:rPr>
                <w:rFonts w:ascii="Times New Roman" w:cs="Times New Roman"/>
                <w:snapToGrid w:val="0"/>
                <w:kern w:val="0"/>
                <w:szCs w:val="21"/>
              </w:rPr>
              <w:t>符合</w:t>
            </w:r>
          </w:p>
        </w:tc>
      </w:tr>
      <w:tr w:rsidR="00EE4502">
        <w:trPr>
          <w:trHeight w:val="1050"/>
        </w:trPr>
        <w:tc>
          <w:tcPr>
            <w:tcW w:w="308" w:type="pct"/>
            <w:vMerge/>
            <w:vAlign w:val="center"/>
          </w:tcPr>
          <w:p w:rsidR="00EE4502" w:rsidRDefault="00EE4502">
            <w:pPr>
              <w:jc w:val="center"/>
              <w:rPr>
                <w:snapToGrid w:val="0"/>
                <w:szCs w:val="21"/>
              </w:rPr>
            </w:pPr>
          </w:p>
        </w:tc>
        <w:tc>
          <w:tcPr>
            <w:tcW w:w="423" w:type="pct"/>
            <w:vMerge/>
            <w:vAlign w:val="center"/>
          </w:tcPr>
          <w:p w:rsidR="00EE4502" w:rsidRDefault="00EE4502">
            <w:pPr>
              <w:jc w:val="center"/>
              <w:rPr>
                <w:snapToGrid w:val="0"/>
                <w:szCs w:val="21"/>
              </w:rPr>
            </w:pPr>
          </w:p>
        </w:tc>
        <w:tc>
          <w:tcPr>
            <w:tcW w:w="2130" w:type="pct"/>
            <w:vAlign w:val="center"/>
          </w:tcPr>
          <w:p w:rsidR="00EE4502" w:rsidRDefault="00FD45A3">
            <w:pPr>
              <w:pStyle w:val="TableParagraph"/>
              <w:autoSpaceDE w:val="0"/>
              <w:autoSpaceDN w:val="0"/>
              <w:rPr>
                <w:snapToGrid w:val="0"/>
                <w:szCs w:val="21"/>
              </w:rPr>
            </w:pPr>
            <w:r>
              <w:rPr>
                <w:rFonts w:ascii="Times New Roman" w:cs="Times New Roman"/>
                <w:snapToGrid w:val="0"/>
                <w:kern w:val="0"/>
                <w:szCs w:val="21"/>
              </w:rPr>
              <w:t>中高渗透油藏伴生气综合利用指标不低于</w:t>
            </w:r>
            <w:r>
              <w:rPr>
                <w:rFonts w:ascii="Times New Roman" w:hAnsi="Times New Roman" w:cs="Times New Roman"/>
                <w:snapToGrid w:val="0"/>
                <w:kern w:val="0"/>
                <w:szCs w:val="21"/>
              </w:rPr>
              <w:t>90%</w:t>
            </w:r>
            <w:r>
              <w:rPr>
                <w:rFonts w:ascii="Times New Roman" w:cs="Times New Roman"/>
                <w:snapToGrid w:val="0"/>
                <w:kern w:val="0"/>
                <w:szCs w:val="21"/>
              </w:rPr>
              <w:t>，低渗透</w:t>
            </w:r>
            <w:r>
              <w:rPr>
                <w:rFonts w:ascii="Times New Roman" w:cs="Times New Roman" w:hint="eastAsia"/>
                <w:snapToGrid w:val="0"/>
                <w:kern w:val="0"/>
                <w:szCs w:val="21"/>
              </w:rPr>
              <w:t>－</w:t>
            </w:r>
            <w:r>
              <w:rPr>
                <w:rFonts w:ascii="Times New Roman" w:cs="Times New Roman"/>
                <w:snapToGrid w:val="0"/>
                <w:kern w:val="0"/>
                <w:szCs w:val="21"/>
              </w:rPr>
              <w:t>特低渗透油藏不低于</w:t>
            </w:r>
            <w:r>
              <w:rPr>
                <w:rFonts w:ascii="Times New Roman" w:hAnsi="Times New Roman" w:cs="Times New Roman"/>
                <w:snapToGrid w:val="0"/>
                <w:kern w:val="0"/>
                <w:szCs w:val="21"/>
              </w:rPr>
              <w:t>70%</w:t>
            </w:r>
          </w:p>
        </w:tc>
        <w:tc>
          <w:tcPr>
            <w:tcW w:w="1656" w:type="pct"/>
            <w:vAlign w:val="center"/>
          </w:tcPr>
          <w:p w:rsidR="00EE4502" w:rsidRDefault="00FD45A3">
            <w:pPr>
              <w:pStyle w:val="TableParagraph"/>
              <w:rPr>
                <w:snapToGrid w:val="0"/>
                <w:szCs w:val="21"/>
              </w:rPr>
            </w:pPr>
            <w:r>
              <w:rPr>
                <w:rFonts w:ascii="Times New Roman" w:cs="Times New Roman" w:hint="eastAsia"/>
                <w:snapToGrid w:val="0"/>
                <w:kern w:val="0"/>
                <w:szCs w:val="21"/>
              </w:rPr>
              <w:t>本工程</w:t>
            </w:r>
            <w:r>
              <w:rPr>
                <w:rFonts w:ascii="Times New Roman" w:cs="Times New Roman"/>
                <w:snapToGrid w:val="0"/>
                <w:kern w:val="0"/>
                <w:szCs w:val="21"/>
              </w:rPr>
              <w:t>属于</w:t>
            </w:r>
            <w:r>
              <w:rPr>
                <w:snapToGrid w:val="0"/>
                <w:szCs w:val="21"/>
              </w:rPr>
              <w:t>稠油开采，无伴生气产生，亦</w:t>
            </w:r>
            <w:r>
              <w:rPr>
                <w:rFonts w:hint="eastAsia"/>
                <w:snapToGrid w:val="0"/>
                <w:szCs w:val="21"/>
              </w:rPr>
              <w:t>不产生</w:t>
            </w:r>
            <w:r>
              <w:rPr>
                <w:snapToGrid w:val="0"/>
                <w:szCs w:val="21"/>
              </w:rPr>
              <w:t>硫化氢气体</w:t>
            </w:r>
          </w:p>
        </w:tc>
        <w:tc>
          <w:tcPr>
            <w:tcW w:w="481" w:type="pct"/>
            <w:vAlign w:val="center"/>
          </w:tcPr>
          <w:p w:rsidR="00EE4502" w:rsidRDefault="00FD45A3">
            <w:pPr>
              <w:jc w:val="center"/>
              <w:rPr>
                <w:snapToGrid w:val="0"/>
                <w:szCs w:val="21"/>
              </w:rPr>
            </w:pPr>
            <w:r>
              <w:rPr>
                <w:rFonts w:hAnsi="宋体"/>
                <w:snapToGrid w:val="0"/>
                <w:kern w:val="0"/>
                <w:szCs w:val="21"/>
              </w:rPr>
              <w:t>符合</w:t>
            </w:r>
          </w:p>
        </w:tc>
      </w:tr>
      <w:tr w:rsidR="00EE4502">
        <w:trPr>
          <w:trHeight w:val="340"/>
        </w:trPr>
        <w:tc>
          <w:tcPr>
            <w:tcW w:w="308" w:type="pct"/>
            <w:vMerge w:val="restart"/>
            <w:vAlign w:val="center"/>
          </w:tcPr>
          <w:p w:rsidR="00EE4502" w:rsidRDefault="00FD45A3">
            <w:pPr>
              <w:pStyle w:val="TableParagraph"/>
              <w:jc w:val="center"/>
              <w:rPr>
                <w:rFonts w:ascii="Times New Roman" w:hAnsi="Times New Roman" w:cs="Times New Roman"/>
                <w:snapToGrid w:val="0"/>
                <w:kern w:val="0"/>
                <w:szCs w:val="21"/>
              </w:rPr>
            </w:pPr>
            <w:r>
              <w:rPr>
                <w:rFonts w:ascii="Times New Roman" w:hAnsi="Times New Roman" w:cs="Times New Roman"/>
                <w:snapToGrid w:val="0"/>
                <w:kern w:val="0"/>
                <w:szCs w:val="21"/>
              </w:rPr>
              <w:t>8</w:t>
            </w:r>
          </w:p>
        </w:tc>
        <w:tc>
          <w:tcPr>
            <w:tcW w:w="423" w:type="pct"/>
            <w:vMerge w:val="restart"/>
            <w:vAlign w:val="center"/>
          </w:tcPr>
          <w:p w:rsidR="00EE4502" w:rsidRDefault="00FD45A3">
            <w:pPr>
              <w:pStyle w:val="TableParagraph"/>
              <w:jc w:val="center"/>
              <w:rPr>
                <w:rFonts w:ascii="Times New Roman" w:hAnsi="Times New Roman" w:cs="Times New Roman"/>
                <w:snapToGrid w:val="0"/>
                <w:kern w:val="0"/>
                <w:szCs w:val="21"/>
              </w:rPr>
            </w:pPr>
            <w:r>
              <w:rPr>
                <w:rFonts w:ascii="Times New Roman" w:cs="Times New Roman"/>
                <w:snapToGrid w:val="0"/>
                <w:kern w:val="0"/>
                <w:szCs w:val="21"/>
              </w:rPr>
              <w:t>节能减排</w:t>
            </w:r>
          </w:p>
        </w:tc>
        <w:tc>
          <w:tcPr>
            <w:tcW w:w="2130" w:type="pct"/>
            <w:vAlign w:val="center"/>
          </w:tcPr>
          <w:p w:rsidR="00EE4502" w:rsidRDefault="00FD45A3">
            <w:pPr>
              <w:pStyle w:val="TableParagraph"/>
              <w:rPr>
                <w:rFonts w:ascii="Times New Roman" w:hAnsi="Times New Roman" w:cs="Times New Roman"/>
                <w:snapToGrid w:val="0"/>
                <w:kern w:val="0"/>
                <w:szCs w:val="21"/>
              </w:rPr>
            </w:pPr>
            <w:r>
              <w:rPr>
                <w:rFonts w:ascii="Times New Roman" w:hAnsi="Times New Roman" w:cs="Times New Roman"/>
                <w:snapToGrid w:val="0"/>
                <w:kern w:val="0"/>
                <w:szCs w:val="21"/>
              </w:rPr>
              <w:t>“</w:t>
            </w:r>
            <w:r>
              <w:rPr>
                <w:rFonts w:ascii="Times New Roman" w:cs="Times New Roman"/>
                <w:snapToGrid w:val="0"/>
                <w:kern w:val="0"/>
                <w:szCs w:val="21"/>
              </w:rPr>
              <w:t>三废</w:t>
            </w:r>
            <w:r>
              <w:rPr>
                <w:rFonts w:ascii="Times New Roman" w:hAnsi="Times New Roman" w:cs="Times New Roman"/>
                <w:snapToGrid w:val="0"/>
                <w:kern w:val="0"/>
                <w:szCs w:val="21"/>
              </w:rPr>
              <w:t>”</w:t>
            </w:r>
            <w:r>
              <w:rPr>
                <w:rFonts w:ascii="Times New Roman" w:cs="Times New Roman"/>
                <w:snapToGrid w:val="0"/>
                <w:kern w:val="0"/>
                <w:szCs w:val="21"/>
              </w:rPr>
              <w:t>排放符合</w:t>
            </w:r>
            <w:r>
              <w:rPr>
                <w:rFonts w:ascii="Times New Roman" w:cs="Times New Roman" w:hint="eastAsia"/>
                <w:snapToGrid w:val="0"/>
                <w:kern w:val="0"/>
                <w:szCs w:val="21"/>
              </w:rPr>
              <w:t>生态环境部</w:t>
            </w:r>
            <w:r>
              <w:rPr>
                <w:rFonts w:ascii="Times New Roman" w:cs="Times New Roman"/>
                <w:snapToGrid w:val="0"/>
                <w:kern w:val="0"/>
                <w:szCs w:val="21"/>
              </w:rPr>
              <w:t>门的有关标准、规定和要求</w:t>
            </w:r>
          </w:p>
        </w:tc>
        <w:tc>
          <w:tcPr>
            <w:tcW w:w="1656" w:type="pct"/>
            <w:vAlign w:val="center"/>
          </w:tcPr>
          <w:p w:rsidR="00EE4502" w:rsidRDefault="00FD45A3">
            <w:pPr>
              <w:pStyle w:val="TableParagraph"/>
              <w:rPr>
                <w:rFonts w:ascii="Times New Roman" w:hAnsi="Times New Roman" w:cs="Times New Roman"/>
                <w:snapToGrid w:val="0"/>
                <w:kern w:val="0"/>
                <w:szCs w:val="21"/>
              </w:rPr>
            </w:pPr>
            <w:r>
              <w:rPr>
                <w:rFonts w:ascii="Times New Roman" w:cs="Times New Roman"/>
                <w:snapToGrid w:val="0"/>
                <w:kern w:val="0"/>
                <w:szCs w:val="21"/>
              </w:rPr>
              <w:t>各类污染物排放符合环境保护</w:t>
            </w:r>
          </w:p>
          <w:p w:rsidR="00EE4502" w:rsidRDefault="00FD45A3">
            <w:pPr>
              <w:pStyle w:val="TableParagraph"/>
              <w:rPr>
                <w:rFonts w:ascii="Times New Roman" w:hAnsi="Times New Roman" w:cs="Times New Roman"/>
                <w:snapToGrid w:val="0"/>
                <w:kern w:val="0"/>
                <w:szCs w:val="21"/>
              </w:rPr>
            </w:pPr>
            <w:r>
              <w:rPr>
                <w:rFonts w:ascii="Times New Roman" w:cs="Times New Roman"/>
                <w:snapToGrid w:val="0"/>
                <w:kern w:val="0"/>
                <w:szCs w:val="21"/>
              </w:rPr>
              <w:t>标准</w:t>
            </w:r>
          </w:p>
        </w:tc>
        <w:tc>
          <w:tcPr>
            <w:tcW w:w="481" w:type="pct"/>
            <w:vAlign w:val="center"/>
          </w:tcPr>
          <w:p w:rsidR="00EE4502" w:rsidRDefault="00FD45A3">
            <w:pPr>
              <w:pStyle w:val="TableParagraph"/>
              <w:jc w:val="center"/>
              <w:rPr>
                <w:rFonts w:ascii="Times New Roman" w:hAnsi="Times New Roman" w:cs="Times New Roman"/>
                <w:snapToGrid w:val="0"/>
                <w:kern w:val="0"/>
                <w:szCs w:val="21"/>
              </w:rPr>
            </w:pPr>
            <w:r>
              <w:rPr>
                <w:rFonts w:ascii="Times New Roman" w:cs="Times New Roman"/>
                <w:snapToGrid w:val="0"/>
                <w:kern w:val="0"/>
                <w:szCs w:val="21"/>
              </w:rPr>
              <w:t>符合</w:t>
            </w:r>
          </w:p>
        </w:tc>
      </w:tr>
      <w:tr w:rsidR="00EE4502">
        <w:trPr>
          <w:trHeight w:val="1075"/>
        </w:trPr>
        <w:tc>
          <w:tcPr>
            <w:tcW w:w="308" w:type="pct"/>
            <w:vMerge/>
            <w:vAlign w:val="center"/>
          </w:tcPr>
          <w:p w:rsidR="00EE4502" w:rsidRDefault="00EE4502">
            <w:pPr>
              <w:pStyle w:val="TableParagraph"/>
              <w:jc w:val="center"/>
              <w:rPr>
                <w:rFonts w:ascii="Times New Roman" w:hAnsi="Times New Roman" w:cs="Times New Roman"/>
                <w:snapToGrid w:val="0"/>
                <w:kern w:val="0"/>
                <w:szCs w:val="21"/>
              </w:rPr>
            </w:pPr>
          </w:p>
        </w:tc>
        <w:tc>
          <w:tcPr>
            <w:tcW w:w="423" w:type="pct"/>
            <w:vMerge/>
            <w:vAlign w:val="center"/>
          </w:tcPr>
          <w:p w:rsidR="00EE4502" w:rsidRDefault="00EE4502">
            <w:pPr>
              <w:pStyle w:val="TableParagraph"/>
              <w:jc w:val="center"/>
              <w:rPr>
                <w:rFonts w:ascii="Times New Roman" w:hAnsi="Times New Roman" w:cs="Times New Roman"/>
                <w:snapToGrid w:val="0"/>
                <w:kern w:val="0"/>
                <w:szCs w:val="21"/>
              </w:rPr>
            </w:pPr>
          </w:p>
        </w:tc>
        <w:tc>
          <w:tcPr>
            <w:tcW w:w="2130" w:type="pct"/>
            <w:vAlign w:val="center"/>
          </w:tcPr>
          <w:p w:rsidR="00EE4502" w:rsidRDefault="00FD45A3">
            <w:pPr>
              <w:pStyle w:val="TableParagraph"/>
              <w:autoSpaceDE w:val="0"/>
              <w:autoSpaceDN w:val="0"/>
              <w:rPr>
                <w:rFonts w:ascii="Times New Roman" w:hAnsi="Times New Roman" w:cs="Times New Roman"/>
                <w:snapToGrid w:val="0"/>
                <w:kern w:val="0"/>
                <w:szCs w:val="21"/>
              </w:rPr>
            </w:pPr>
            <w:r>
              <w:rPr>
                <w:rFonts w:ascii="Times New Roman" w:cs="Times New Roman"/>
                <w:snapToGrid w:val="0"/>
                <w:kern w:val="0"/>
                <w:szCs w:val="21"/>
              </w:rPr>
              <w:t>生产主要环境选用高效节能的新技术、新工艺、新设备和新材料，及时淘汰高能耗、高污染、低效率的工艺和装备</w:t>
            </w:r>
          </w:p>
        </w:tc>
        <w:tc>
          <w:tcPr>
            <w:tcW w:w="1656" w:type="pct"/>
            <w:vAlign w:val="center"/>
          </w:tcPr>
          <w:p w:rsidR="00EE4502" w:rsidRDefault="00FD45A3">
            <w:pPr>
              <w:pStyle w:val="TableParagraph"/>
              <w:autoSpaceDE w:val="0"/>
              <w:autoSpaceDN w:val="0"/>
              <w:rPr>
                <w:rFonts w:ascii="Times New Roman" w:hAnsi="Times New Roman" w:cs="Times New Roman"/>
                <w:snapToGrid w:val="0"/>
                <w:kern w:val="0"/>
                <w:szCs w:val="21"/>
              </w:rPr>
            </w:pPr>
            <w:r>
              <w:rPr>
                <w:rFonts w:ascii="Times New Roman" w:cs="Times New Roman"/>
                <w:snapToGrid w:val="0"/>
                <w:kern w:val="0"/>
                <w:szCs w:val="21"/>
              </w:rPr>
              <w:t>选用了先进的工艺、设备，未使用淘汰的、高污染的工艺和装备</w:t>
            </w:r>
          </w:p>
        </w:tc>
        <w:tc>
          <w:tcPr>
            <w:tcW w:w="481" w:type="pct"/>
            <w:vAlign w:val="center"/>
          </w:tcPr>
          <w:p w:rsidR="00EE4502" w:rsidRDefault="00FD45A3">
            <w:pPr>
              <w:pStyle w:val="TableParagraph"/>
              <w:jc w:val="center"/>
              <w:rPr>
                <w:rFonts w:ascii="Times New Roman" w:hAnsi="Times New Roman" w:cs="Times New Roman"/>
                <w:snapToGrid w:val="0"/>
                <w:kern w:val="0"/>
                <w:szCs w:val="21"/>
              </w:rPr>
            </w:pPr>
            <w:r>
              <w:rPr>
                <w:rFonts w:ascii="Times New Roman" w:cs="Times New Roman"/>
                <w:snapToGrid w:val="0"/>
                <w:kern w:val="0"/>
                <w:szCs w:val="21"/>
              </w:rPr>
              <w:t>符合</w:t>
            </w:r>
          </w:p>
        </w:tc>
      </w:tr>
      <w:tr w:rsidR="00EE4502">
        <w:trPr>
          <w:trHeight w:val="1435"/>
        </w:trPr>
        <w:tc>
          <w:tcPr>
            <w:tcW w:w="308" w:type="pct"/>
            <w:vMerge/>
            <w:vAlign w:val="center"/>
          </w:tcPr>
          <w:p w:rsidR="00EE4502" w:rsidRDefault="00EE4502">
            <w:pPr>
              <w:pStyle w:val="TableParagraph"/>
              <w:jc w:val="center"/>
              <w:rPr>
                <w:rFonts w:ascii="Times New Roman" w:hAnsi="Times New Roman" w:cs="Times New Roman"/>
                <w:snapToGrid w:val="0"/>
                <w:kern w:val="0"/>
                <w:szCs w:val="21"/>
              </w:rPr>
            </w:pPr>
          </w:p>
        </w:tc>
        <w:tc>
          <w:tcPr>
            <w:tcW w:w="423" w:type="pct"/>
            <w:vMerge/>
            <w:vAlign w:val="center"/>
          </w:tcPr>
          <w:p w:rsidR="00EE4502" w:rsidRDefault="00EE4502">
            <w:pPr>
              <w:pStyle w:val="TableParagraph"/>
              <w:jc w:val="center"/>
              <w:rPr>
                <w:rFonts w:ascii="Times New Roman" w:hAnsi="Times New Roman" w:cs="Times New Roman"/>
                <w:snapToGrid w:val="0"/>
                <w:kern w:val="0"/>
                <w:szCs w:val="21"/>
              </w:rPr>
            </w:pPr>
          </w:p>
        </w:tc>
        <w:tc>
          <w:tcPr>
            <w:tcW w:w="2130" w:type="pct"/>
            <w:vAlign w:val="center"/>
          </w:tcPr>
          <w:p w:rsidR="00EE4502" w:rsidRDefault="00FD45A3">
            <w:pPr>
              <w:pStyle w:val="TableParagraph"/>
              <w:rPr>
                <w:rFonts w:ascii="Times New Roman" w:hAnsi="Times New Roman" w:cs="Times New Roman"/>
                <w:snapToGrid w:val="0"/>
                <w:kern w:val="0"/>
                <w:szCs w:val="21"/>
              </w:rPr>
            </w:pPr>
            <w:r>
              <w:rPr>
                <w:rFonts w:ascii="Times New Roman" w:cs="Times New Roman"/>
                <w:snapToGrid w:val="0"/>
                <w:kern w:val="0"/>
                <w:szCs w:val="21"/>
              </w:rPr>
              <w:t>废液、废气、固体废物分类管理，并清洁化、无害化处置，处置率应达到</w:t>
            </w:r>
            <w:r>
              <w:rPr>
                <w:rFonts w:ascii="Times New Roman" w:hAnsi="Times New Roman" w:cs="Times New Roman"/>
                <w:snapToGrid w:val="0"/>
                <w:kern w:val="0"/>
                <w:szCs w:val="21"/>
              </w:rPr>
              <w:t>100%</w:t>
            </w:r>
          </w:p>
        </w:tc>
        <w:tc>
          <w:tcPr>
            <w:tcW w:w="1656" w:type="pct"/>
            <w:vAlign w:val="center"/>
          </w:tcPr>
          <w:p w:rsidR="00EE4502" w:rsidRDefault="00FD45A3">
            <w:pPr>
              <w:pStyle w:val="TableParagraph"/>
              <w:autoSpaceDE w:val="0"/>
              <w:autoSpaceDN w:val="0"/>
              <w:rPr>
                <w:rFonts w:ascii="Times New Roman" w:hAnsi="Times New Roman" w:cs="Times New Roman"/>
                <w:snapToGrid w:val="0"/>
                <w:kern w:val="0"/>
                <w:szCs w:val="21"/>
              </w:rPr>
            </w:pPr>
            <w:r>
              <w:rPr>
                <w:rFonts w:ascii="Times New Roman" w:cs="Times New Roman" w:hint="eastAsia"/>
                <w:snapToGrid w:val="0"/>
                <w:kern w:val="0"/>
                <w:szCs w:val="21"/>
              </w:rPr>
              <w:t>废气</w:t>
            </w:r>
            <w:r>
              <w:rPr>
                <w:rFonts w:ascii="Times New Roman" w:cs="Times New Roman"/>
                <w:snapToGrid w:val="0"/>
                <w:kern w:val="0"/>
                <w:szCs w:val="21"/>
              </w:rPr>
              <w:t>达标排放；采出水、井下作业废水均处理达标后回注，不外排；</w:t>
            </w:r>
            <w:r>
              <w:rPr>
                <w:rFonts w:ascii="Times New Roman" w:cs="Times New Roman" w:hint="eastAsia"/>
                <w:snapToGrid w:val="0"/>
                <w:kern w:val="0"/>
                <w:szCs w:val="21"/>
              </w:rPr>
              <w:t>落地油</w:t>
            </w:r>
            <w:r>
              <w:rPr>
                <w:rFonts w:ascii="Times New Roman" w:cs="Times New Roman"/>
                <w:snapToGrid w:val="0"/>
                <w:kern w:val="0"/>
                <w:szCs w:val="21"/>
              </w:rPr>
              <w:t>等均交由有资质的单位无害化处置，处置率</w:t>
            </w:r>
            <w:r>
              <w:rPr>
                <w:rFonts w:ascii="Times New Roman" w:hAnsi="Times New Roman" w:cs="Times New Roman"/>
                <w:snapToGrid w:val="0"/>
                <w:kern w:val="0"/>
                <w:szCs w:val="21"/>
              </w:rPr>
              <w:t>100%</w:t>
            </w:r>
          </w:p>
        </w:tc>
        <w:tc>
          <w:tcPr>
            <w:tcW w:w="481" w:type="pct"/>
            <w:vAlign w:val="center"/>
          </w:tcPr>
          <w:p w:rsidR="00EE4502" w:rsidRDefault="00FD45A3">
            <w:pPr>
              <w:pStyle w:val="TableParagraph"/>
              <w:jc w:val="center"/>
              <w:rPr>
                <w:rFonts w:ascii="Times New Roman" w:hAnsi="Times New Roman" w:cs="Times New Roman"/>
                <w:snapToGrid w:val="0"/>
                <w:kern w:val="0"/>
                <w:szCs w:val="21"/>
              </w:rPr>
            </w:pPr>
            <w:r>
              <w:rPr>
                <w:rFonts w:ascii="Times New Roman" w:cs="Times New Roman"/>
                <w:snapToGrid w:val="0"/>
                <w:kern w:val="0"/>
                <w:szCs w:val="21"/>
              </w:rPr>
              <w:t>符合</w:t>
            </w:r>
          </w:p>
        </w:tc>
      </w:tr>
      <w:tr w:rsidR="00EE4502">
        <w:trPr>
          <w:trHeight w:val="340"/>
        </w:trPr>
        <w:tc>
          <w:tcPr>
            <w:tcW w:w="308" w:type="pct"/>
            <w:vMerge/>
            <w:vAlign w:val="center"/>
          </w:tcPr>
          <w:p w:rsidR="00EE4502" w:rsidRDefault="00EE4502">
            <w:pPr>
              <w:pStyle w:val="TableParagraph"/>
              <w:jc w:val="center"/>
              <w:rPr>
                <w:rFonts w:ascii="Times New Roman" w:hAnsi="Times New Roman" w:cs="Times New Roman"/>
                <w:snapToGrid w:val="0"/>
                <w:kern w:val="0"/>
                <w:szCs w:val="21"/>
              </w:rPr>
            </w:pPr>
          </w:p>
        </w:tc>
        <w:tc>
          <w:tcPr>
            <w:tcW w:w="423" w:type="pct"/>
            <w:vMerge/>
            <w:vAlign w:val="center"/>
          </w:tcPr>
          <w:p w:rsidR="00EE4502" w:rsidRDefault="00EE4502">
            <w:pPr>
              <w:pStyle w:val="TableParagraph"/>
              <w:jc w:val="center"/>
              <w:rPr>
                <w:rFonts w:ascii="Times New Roman" w:hAnsi="Times New Roman" w:cs="Times New Roman"/>
                <w:snapToGrid w:val="0"/>
                <w:kern w:val="0"/>
                <w:szCs w:val="21"/>
              </w:rPr>
            </w:pPr>
          </w:p>
        </w:tc>
        <w:tc>
          <w:tcPr>
            <w:tcW w:w="2130" w:type="pct"/>
            <w:vAlign w:val="center"/>
          </w:tcPr>
          <w:p w:rsidR="00EE4502" w:rsidRDefault="00FD45A3">
            <w:pPr>
              <w:pStyle w:val="TableParagraph"/>
              <w:rPr>
                <w:rFonts w:ascii="Times New Roman" w:hAnsi="Times New Roman" w:cs="Times New Roman"/>
                <w:snapToGrid w:val="0"/>
                <w:kern w:val="0"/>
                <w:szCs w:val="21"/>
              </w:rPr>
            </w:pPr>
            <w:r>
              <w:rPr>
                <w:rFonts w:ascii="Times New Roman" w:cs="Times New Roman"/>
                <w:snapToGrid w:val="0"/>
                <w:kern w:val="0"/>
                <w:szCs w:val="21"/>
              </w:rPr>
              <w:t>油气开采过程中产生的落地原油应及时全部回收</w:t>
            </w:r>
          </w:p>
        </w:tc>
        <w:tc>
          <w:tcPr>
            <w:tcW w:w="1656" w:type="pct"/>
            <w:vAlign w:val="center"/>
          </w:tcPr>
          <w:p w:rsidR="00EE4502" w:rsidRDefault="00FD45A3">
            <w:pPr>
              <w:pStyle w:val="TableParagraph"/>
              <w:rPr>
                <w:rFonts w:ascii="Times New Roman" w:hAnsi="Times New Roman" w:cs="Times New Roman"/>
                <w:snapToGrid w:val="0"/>
                <w:kern w:val="0"/>
                <w:szCs w:val="21"/>
              </w:rPr>
            </w:pPr>
            <w:r>
              <w:rPr>
                <w:rFonts w:ascii="Times New Roman" w:cs="Times New Roman"/>
                <w:snapToGrid w:val="0"/>
                <w:kern w:val="0"/>
                <w:szCs w:val="21"/>
              </w:rPr>
              <w:t>落地油</w:t>
            </w:r>
            <w:r>
              <w:rPr>
                <w:rFonts w:ascii="Times New Roman" w:hAnsi="Times New Roman" w:cs="Times New Roman"/>
                <w:snapToGrid w:val="0"/>
                <w:kern w:val="0"/>
                <w:szCs w:val="21"/>
              </w:rPr>
              <w:t>100%</w:t>
            </w:r>
            <w:r>
              <w:rPr>
                <w:rFonts w:ascii="Times New Roman" w:cs="Times New Roman"/>
                <w:snapToGrid w:val="0"/>
                <w:kern w:val="0"/>
                <w:szCs w:val="21"/>
              </w:rPr>
              <w:t>回收</w:t>
            </w:r>
          </w:p>
        </w:tc>
        <w:tc>
          <w:tcPr>
            <w:tcW w:w="481" w:type="pct"/>
            <w:vAlign w:val="center"/>
          </w:tcPr>
          <w:p w:rsidR="00EE4502" w:rsidRDefault="00FD45A3">
            <w:pPr>
              <w:pStyle w:val="TableParagraph"/>
              <w:jc w:val="center"/>
              <w:rPr>
                <w:rFonts w:ascii="Times New Roman" w:hAnsi="Times New Roman" w:cs="Times New Roman"/>
                <w:snapToGrid w:val="0"/>
                <w:kern w:val="0"/>
                <w:szCs w:val="21"/>
              </w:rPr>
            </w:pPr>
            <w:r>
              <w:rPr>
                <w:rFonts w:ascii="Times New Roman" w:cs="Times New Roman"/>
                <w:snapToGrid w:val="0"/>
                <w:kern w:val="0"/>
                <w:szCs w:val="21"/>
              </w:rPr>
              <w:t>符合</w:t>
            </w:r>
          </w:p>
        </w:tc>
      </w:tr>
      <w:tr w:rsidR="00EE4502">
        <w:trPr>
          <w:trHeight w:val="340"/>
        </w:trPr>
        <w:tc>
          <w:tcPr>
            <w:tcW w:w="308" w:type="pct"/>
            <w:vMerge/>
            <w:vAlign w:val="center"/>
          </w:tcPr>
          <w:p w:rsidR="00EE4502" w:rsidRDefault="00EE4502">
            <w:pPr>
              <w:pStyle w:val="TableParagraph"/>
              <w:jc w:val="center"/>
              <w:rPr>
                <w:rFonts w:ascii="Times New Roman" w:hAnsi="Times New Roman" w:cs="Times New Roman"/>
                <w:snapToGrid w:val="0"/>
                <w:kern w:val="0"/>
                <w:szCs w:val="21"/>
              </w:rPr>
            </w:pPr>
          </w:p>
        </w:tc>
        <w:tc>
          <w:tcPr>
            <w:tcW w:w="423" w:type="pct"/>
            <w:vMerge/>
            <w:vAlign w:val="center"/>
          </w:tcPr>
          <w:p w:rsidR="00EE4502" w:rsidRDefault="00EE4502">
            <w:pPr>
              <w:pStyle w:val="TableParagraph"/>
              <w:jc w:val="center"/>
              <w:rPr>
                <w:rFonts w:ascii="Times New Roman" w:hAnsi="Times New Roman" w:cs="Times New Roman"/>
                <w:snapToGrid w:val="0"/>
                <w:kern w:val="0"/>
                <w:szCs w:val="21"/>
              </w:rPr>
            </w:pPr>
          </w:p>
        </w:tc>
        <w:tc>
          <w:tcPr>
            <w:tcW w:w="2130" w:type="pct"/>
            <w:vAlign w:val="center"/>
          </w:tcPr>
          <w:p w:rsidR="00EE4502" w:rsidRDefault="00FD45A3">
            <w:pPr>
              <w:pStyle w:val="TableParagraph"/>
              <w:rPr>
                <w:rFonts w:ascii="Times New Roman" w:hAnsi="Times New Roman" w:cs="Times New Roman"/>
                <w:snapToGrid w:val="0"/>
                <w:kern w:val="0"/>
                <w:szCs w:val="21"/>
              </w:rPr>
            </w:pPr>
            <w:r>
              <w:rPr>
                <w:rFonts w:ascii="Times New Roman" w:cs="Times New Roman"/>
                <w:snapToGrid w:val="0"/>
                <w:kern w:val="0"/>
                <w:szCs w:val="21"/>
              </w:rPr>
              <w:t>油气开采过程中产生的含油污泥，采取技术措施进行原油回收处理和利用</w:t>
            </w:r>
          </w:p>
        </w:tc>
        <w:tc>
          <w:tcPr>
            <w:tcW w:w="1656" w:type="pct"/>
            <w:vAlign w:val="center"/>
          </w:tcPr>
          <w:p w:rsidR="00EE4502" w:rsidRDefault="00FD45A3">
            <w:pPr>
              <w:pStyle w:val="TableParagraph"/>
              <w:rPr>
                <w:rFonts w:ascii="Times New Roman" w:hAnsi="Times New Roman" w:cs="Times New Roman"/>
                <w:snapToGrid w:val="0"/>
                <w:kern w:val="0"/>
                <w:szCs w:val="21"/>
              </w:rPr>
            </w:pPr>
            <w:r>
              <w:rPr>
                <w:rFonts w:ascii="Times New Roman" w:cs="Times New Roman"/>
                <w:snapToGrid w:val="0"/>
                <w:kern w:val="0"/>
                <w:szCs w:val="21"/>
              </w:rPr>
              <w:t>落地油</w:t>
            </w:r>
            <w:r>
              <w:rPr>
                <w:rFonts w:ascii="Times New Roman" w:hAnsi="Times New Roman" w:cs="Times New Roman"/>
                <w:snapToGrid w:val="0"/>
                <w:kern w:val="0"/>
                <w:szCs w:val="21"/>
              </w:rPr>
              <w:t>100%</w:t>
            </w:r>
            <w:r>
              <w:rPr>
                <w:rFonts w:ascii="Times New Roman" w:cs="Times New Roman"/>
                <w:snapToGrid w:val="0"/>
                <w:kern w:val="0"/>
                <w:szCs w:val="21"/>
              </w:rPr>
              <w:t>回收，运营期油泥均回收再利用</w:t>
            </w:r>
          </w:p>
        </w:tc>
        <w:tc>
          <w:tcPr>
            <w:tcW w:w="481" w:type="pct"/>
            <w:vAlign w:val="center"/>
          </w:tcPr>
          <w:p w:rsidR="00EE4502" w:rsidRDefault="00FD45A3">
            <w:pPr>
              <w:pStyle w:val="TableParagraph"/>
              <w:jc w:val="center"/>
              <w:rPr>
                <w:rFonts w:ascii="Times New Roman" w:hAnsi="Times New Roman" w:cs="Times New Roman"/>
                <w:snapToGrid w:val="0"/>
                <w:kern w:val="0"/>
                <w:szCs w:val="21"/>
              </w:rPr>
            </w:pPr>
            <w:r>
              <w:rPr>
                <w:rFonts w:ascii="Times New Roman" w:cs="Times New Roman"/>
                <w:snapToGrid w:val="0"/>
                <w:kern w:val="0"/>
                <w:szCs w:val="21"/>
              </w:rPr>
              <w:t>符合</w:t>
            </w:r>
          </w:p>
        </w:tc>
      </w:tr>
    </w:tbl>
    <w:p w:rsidR="00EE4502" w:rsidRDefault="00EE4502">
      <w:pPr>
        <w:jc w:val="center"/>
      </w:pPr>
    </w:p>
    <w:p w:rsidR="00EE4502" w:rsidRDefault="00FD45A3">
      <w:pPr>
        <w:spacing w:line="360" w:lineRule="auto"/>
        <w:ind w:firstLine="480"/>
        <w:rPr>
          <w:sz w:val="24"/>
        </w:rPr>
      </w:pPr>
      <w:r>
        <w:rPr>
          <w:sz w:val="24"/>
        </w:rPr>
        <w:t>由上表相符性分析可知，</w:t>
      </w:r>
      <w:r>
        <w:rPr>
          <w:rFonts w:hint="eastAsia"/>
          <w:sz w:val="24"/>
        </w:rPr>
        <w:t>本工程</w:t>
      </w:r>
      <w:r>
        <w:rPr>
          <w:sz w:val="24"/>
        </w:rPr>
        <w:t>建设符合《陆上石油天然气开采业绿色矿山建设规范》（</w:t>
      </w:r>
      <w:r>
        <w:rPr>
          <w:sz w:val="24"/>
        </w:rPr>
        <w:t>DZ/T0317-2018</w:t>
      </w:r>
      <w:r>
        <w:rPr>
          <w:sz w:val="24"/>
        </w:rPr>
        <w:t>）中的相关要求，且根据新春公司于</w:t>
      </w:r>
      <w:r>
        <w:rPr>
          <w:sz w:val="24"/>
        </w:rPr>
        <w:t>2018</w:t>
      </w:r>
      <w:r>
        <w:rPr>
          <w:sz w:val="24"/>
        </w:rPr>
        <w:t>年通过了绿色矿山创建验收，于</w:t>
      </w:r>
      <w:r>
        <w:rPr>
          <w:sz w:val="24"/>
        </w:rPr>
        <w:t>2019</w:t>
      </w:r>
      <w:r>
        <w:rPr>
          <w:sz w:val="24"/>
        </w:rPr>
        <w:t>年通过中石化集团公司绿色企业创建验收。</w:t>
      </w:r>
    </w:p>
    <w:p w:rsidR="00EE4502" w:rsidRDefault="00FD45A3">
      <w:pPr>
        <w:tabs>
          <w:tab w:val="left" w:pos="720"/>
        </w:tabs>
        <w:autoSpaceDE w:val="0"/>
        <w:autoSpaceDN w:val="0"/>
        <w:spacing w:line="360" w:lineRule="auto"/>
        <w:ind w:right="17" w:firstLineChars="200" w:firstLine="480"/>
        <w:rPr>
          <w:sz w:val="24"/>
        </w:rPr>
      </w:pPr>
      <w:r>
        <w:rPr>
          <w:rFonts w:hint="eastAsia"/>
          <w:sz w:val="24"/>
        </w:rPr>
        <w:t>（</w:t>
      </w:r>
      <w:r>
        <w:rPr>
          <w:rFonts w:hint="eastAsia"/>
          <w:sz w:val="24"/>
        </w:rPr>
        <w:t>6</w:t>
      </w:r>
      <w:r>
        <w:rPr>
          <w:rFonts w:hint="eastAsia"/>
          <w:sz w:val="24"/>
        </w:rPr>
        <w:t>）与《国家级公益林管理办法》符合性分析</w:t>
      </w:r>
    </w:p>
    <w:p w:rsidR="00EE4502" w:rsidRDefault="00FD45A3">
      <w:pPr>
        <w:spacing w:line="360" w:lineRule="auto"/>
        <w:ind w:firstLine="480"/>
        <w:rPr>
          <w:sz w:val="24"/>
        </w:rPr>
      </w:pPr>
      <w:r>
        <w:rPr>
          <w:sz w:val="24"/>
        </w:rPr>
        <w:t>根据《国家级公益林管理办法》（林资发〔</w:t>
      </w:r>
      <w:r>
        <w:rPr>
          <w:sz w:val="24"/>
        </w:rPr>
        <w:t>2017</w:t>
      </w:r>
      <w:r>
        <w:rPr>
          <w:sz w:val="24"/>
        </w:rPr>
        <w:t>〕</w:t>
      </w:r>
      <w:r>
        <w:rPr>
          <w:sz w:val="24"/>
        </w:rPr>
        <w:t>34</w:t>
      </w:r>
      <w:r>
        <w:rPr>
          <w:sz w:val="24"/>
        </w:rPr>
        <w:t>号）第十二条规定：</w:t>
      </w:r>
      <w:r>
        <w:rPr>
          <w:rFonts w:hint="eastAsia"/>
          <w:sz w:val="24"/>
        </w:rPr>
        <w:t>“</w:t>
      </w:r>
      <w:r>
        <w:rPr>
          <w:sz w:val="24"/>
        </w:rPr>
        <w:t>一级国家级公益林原则上不得开展生产经营活动，严禁打枝、采脂、割漆、剥树皮、掘根等行为。国有一级国家级公益林，不得开展任何</w:t>
      </w:r>
      <w:r>
        <w:rPr>
          <w:sz w:val="24"/>
        </w:rPr>
        <w:t>形式的生产经营活动。</w:t>
      </w:r>
      <w:r>
        <w:rPr>
          <w:rFonts w:hint="eastAsia"/>
          <w:sz w:val="24"/>
        </w:rPr>
        <w:t>”</w:t>
      </w:r>
      <w:r>
        <w:rPr>
          <w:sz w:val="24"/>
        </w:rPr>
        <w:t>第十三条规定</w:t>
      </w:r>
      <w:r>
        <w:rPr>
          <w:rFonts w:hint="eastAsia"/>
          <w:sz w:val="24"/>
        </w:rPr>
        <w:t>“</w:t>
      </w:r>
      <w:r>
        <w:rPr>
          <w:sz w:val="24"/>
        </w:rPr>
        <w:t>二级国家级公益林在不影响整体森林生态系统功能发挥的前提下，可以按照第十二条第三款相关技术规程的规定开展抚育和更新性质的采伐。在不破坏森林植被的前提下，可以合理利用其林地资源，适度开展林下种植养殖和森林游憩等非木质资源开发与利用，科学发展林下经济。</w:t>
      </w:r>
      <w:r>
        <w:rPr>
          <w:rFonts w:hint="eastAsia"/>
          <w:sz w:val="24"/>
        </w:rPr>
        <w:t>”</w:t>
      </w:r>
    </w:p>
    <w:p w:rsidR="00EE4502" w:rsidRDefault="00FD45A3">
      <w:pPr>
        <w:spacing w:line="360" w:lineRule="auto"/>
        <w:ind w:firstLine="480"/>
        <w:rPr>
          <w:sz w:val="24"/>
        </w:rPr>
      </w:pPr>
      <w:r>
        <w:rPr>
          <w:rFonts w:hint="eastAsia"/>
          <w:sz w:val="24"/>
        </w:rPr>
        <w:t>本工程</w:t>
      </w:r>
      <w:r>
        <w:rPr>
          <w:rFonts w:hint="eastAsia"/>
          <w:sz w:val="24"/>
        </w:rPr>
        <w:t>占地及评价范围内涉及</w:t>
      </w:r>
      <w:r>
        <w:rPr>
          <w:rFonts w:hint="eastAsia"/>
          <w:sz w:val="24"/>
        </w:rPr>
        <w:t>国家二级公益林及</w:t>
      </w:r>
      <w:r>
        <w:rPr>
          <w:rFonts w:hint="eastAsia"/>
          <w:sz w:val="24"/>
        </w:rPr>
        <w:t>地方公益林，建设单位</w:t>
      </w:r>
      <w:r>
        <w:rPr>
          <w:sz w:val="24"/>
        </w:rPr>
        <w:t>施工期间按照《新疆维吾尔自治区国家级公益林管护办法》</w:t>
      </w:r>
      <w:r>
        <w:rPr>
          <w:rFonts w:hint="eastAsia"/>
          <w:sz w:val="24"/>
        </w:rPr>
        <w:t>办理相关手续后，再进行开工建设</w:t>
      </w:r>
      <w:r>
        <w:rPr>
          <w:sz w:val="24"/>
        </w:rPr>
        <w:t>。</w:t>
      </w:r>
      <w:r>
        <w:rPr>
          <w:rFonts w:hint="eastAsia"/>
          <w:sz w:val="24"/>
        </w:rPr>
        <w:t>本工程</w:t>
      </w:r>
      <w:r>
        <w:rPr>
          <w:rFonts w:hint="eastAsia"/>
          <w:sz w:val="24"/>
        </w:rPr>
        <w:t>符合《国家级公益林管理办法》规定。</w:t>
      </w:r>
    </w:p>
    <w:p w:rsidR="00EE4502" w:rsidRDefault="00FD45A3">
      <w:pPr>
        <w:tabs>
          <w:tab w:val="left" w:pos="720"/>
        </w:tabs>
        <w:autoSpaceDE w:val="0"/>
        <w:autoSpaceDN w:val="0"/>
        <w:spacing w:line="360" w:lineRule="auto"/>
        <w:ind w:right="17" w:firstLineChars="200" w:firstLine="480"/>
        <w:rPr>
          <w:sz w:val="24"/>
        </w:rPr>
      </w:pPr>
      <w:r>
        <w:rPr>
          <w:rFonts w:hint="eastAsia"/>
          <w:sz w:val="24"/>
        </w:rPr>
        <w:t>（</w:t>
      </w:r>
      <w:r>
        <w:rPr>
          <w:rFonts w:hint="eastAsia"/>
          <w:sz w:val="24"/>
        </w:rPr>
        <w:t>7</w:t>
      </w:r>
      <w:r>
        <w:rPr>
          <w:rFonts w:hint="eastAsia"/>
          <w:sz w:val="24"/>
        </w:rPr>
        <w:t>）与《空气质量持续改善行动计划》符合性分析</w:t>
      </w:r>
    </w:p>
    <w:p w:rsidR="00EE4502" w:rsidRDefault="00FD45A3">
      <w:pPr>
        <w:spacing w:line="360" w:lineRule="auto"/>
        <w:ind w:firstLine="480"/>
        <w:rPr>
          <w:sz w:val="24"/>
        </w:rPr>
      </w:pPr>
      <w:r>
        <w:rPr>
          <w:sz w:val="24"/>
        </w:rPr>
        <w:lastRenderedPageBreak/>
        <w:t>根据《</w:t>
      </w:r>
      <w:r>
        <w:rPr>
          <w:rFonts w:hint="eastAsia"/>
          <w:sz w:val="24"/>
        </w:rPr>
        <w:t>空气质量持续改善行动计划</w:t>
      </w:r>
      <w:r>
        <w:rPr>
          <w:sz w:val="24"/>
        </w:rPr>
        <w:t>》（</w:t>
      </w:r>
      <w:r>
        <w:rPr>
          <w:rFonts w:hint="eastAsia"/>
          <w:sz w:val="24"/>
        </w:rPr>
        <w:t>国</w:t>
      </w:r>
      <w:r>
        <w:rPr>
          <w:sz w:val="24"/>
        </w:rPr>
        <w:t>发〔</w:t>
      </w:r>
      <w:r>
        <w:rPr>
          <w:sz w:val="24"/>
        </w:rPr>
        <w:t>20</w:t>
      </w:r>
      <w:r>
        <w:rPr>
          <w:rFonts w:hint="eastAsia"/>
          <w:sz w:val="24"/>
        </w:rPr>
        <w:t>23</w:t>
      </w:r>
      <w:r>
        <w:rPr>
          <w:sz w:val="24"/>
        </w:rPr>
        <w:t>〕</w:t>
      </w:r>
      <w:r>
        <w:rPr>
          <w:rFonts w:hint="eastAsia"/>
          <w:sz w:val="24"/>
        </w:rPr>
        <w:t>2</w:t>
      </w:r>
      <w:r>
        <w:rPr>
          <w:sz w:val="24"/>
        </w:rPr>
        <w:t>4</w:t>
      </w:r>
      <w:r>
        <w:rPr>
          <w:sz w:val="24"/>
        </w:rPr>
        <w:t>号）</w:t>
      </w:r>
      <w:r>
        <w:rPr>
          <w:rFonts w:hint="eastAsia"/>
          <w:sz w:val="24"/>
        </w:rPr>
        <w:t>，第六条中提出“</w:t>
      </w:r>
      <w:r>
        <w:rPr>
          <w:sz w:val="24"/>
        </w:rPr>
        <w:t>强化</w:t>
      </w:r>
      <w:r>
        <w:rPr>
          <w:sz w:val="24"/>
        </w:rPr>
        <w:t>VOCs</w:t>
      </w:r>
      <w:r>
        <w:rPr>
          <w:sz w:val="24"/>
        </w:rPr>
        <w:t>全流程、全环节综合治理。鼓励储罐使用低泄漏的呼吸阀、紧急泄压阀，定期开展密封性检测。汽车罐车推广使用密封式快速接头。污水处理场所高浓度有机废气要单独收集处理；含</w:t>
      </w:r>
      <w:r>
        <w:rPr>
          <w:sz w:val="24"/>
        </w:rPr>
        <w:t>VOCs</w:t>
      </w:r>
      <w:r>
        <w:rPr>
          <w:sz w:val="24"/>
        </w:rPr>
        <w:t>有机废水储罐、装置区集水井（池）有机废气要密闭收集处理。重点区域石化、化工行业集中的城市和重点工业园区，</w:t>
      </w:r>
      <w:r>
        <w:rPr>
          <w:sz w:val="24"/>
        </w:rPr>
        <w:t>2024</w:t>
      </w:r>
      <w:r>
        <w:rPr>
          <w:sz w:val="24"/>
        </w:rPr>
        <w:t>年年底前建立统一的泄漏检测与修复信息管理平台。企业开停工、检维修期间，及时收集处理退料、清洗、吹扫等作</w:t>
      </w:r>
      <w:r>
        <w:rPr>
          <w:sz w:val="24"/>
        </w:rPr>
        <w:t>业产生的</w:t>
      </w:r>
      <w:r>
        <w:rPr>
          <w:sz w:val="24"/>
        </w:rPr>
        <w:t>VOCs</w:t>
      </w:r>
      <w:r>
        <w:rPr>
          <w:sz w:val="24"/>
        </w:rPr>
        <w:t>废气。企业不得将火炬燃烧装置作为日常</w:t>
      </w:r>
      <w:r>
        <w:rPr>
          <w:rFonts w:hint="eastAsia"/>
          <w:sz w:val="24"/>
        </w:rPr>
        <w:t>大气污染治理</w:t>
      </w:r>
      <w:r>
        <w:rPr>
          <w:sz w:val="24"/>
        </w:rPr>
        <w:t>设施。</w:t>
      </w:r>
      <w:r>
        <w:rPr>
          <w:rFonts w:hint="eastAsia"/>
          <w:sz w:val="24"/>
        </w:rPr>
        <w:t>”</w:t>
      </w:r>
    </w:p>
    <w:p w:rsidR="00EE4502" w:rsidRDefault="00FD45A3">
      <w:pPr>
        <w:spacing w:line="360" w:lineRule="auto"/>
        <w:ind w:firstLine="480"/>
        <w:rPr>
          <w:sz w:val="24"/>
        </w:rPr>
      </w:pPr>
      <w:r>
        <w:rPr>
          <w:rFonts w:hint="eastAsia"/>
          <w:sz w:val="24"/>
        </w:rPr>
        <w:t>本工程</w:t>
      </w:r>
      <w:r>
        <w:rPr>
          <w:sz w:val="24"/>
        </w:rPr>
        <w:t>VOCs</w:t>
      </w:r>
      <w:r>
        <w:rPr>
          <w:rFonts w:hint="eastAsia"/>
          <w:sz w:val="24"/>
        </w:rPr>
        <w:t>主要产生于原油开采和集输环节，本工程均采用密闭集输工艺，选用先进的生产工艺及设备，在正常生产情况下有效地减少非甲烷总烃逸散排放。</w:t>
      </w:r>
      <w:r>
        <w:rPr>
          <w:rFonts w:hint="eastAsia"/>
          <w:sz w:val="24"/>
        </w:rPr>
        <w:t>本工程</w:t>
      </w:r>
      <w:r>
        <w:rPr>
          <w:rFonts w:hint="eastAsia"/>
          <w:sz w:val="24"/>
        </w:rPr>
        <w:t>符合</w:t>
      </w:r>
      <w:r>
        <w:rPr>
          <w:sz w:val="24"/>
        </w:rPr>
        <w:t>《</w:t>
      </w:r>
      <w:r>
        <w:rPr>
          <w:rFonts w:hint="eastAsia"/>
          <w:sz w:val="24"/>
        </w:rPr>
        <w:t>空气质量持续改善行动计划</w:t>
      </w:r>
      <w:r>
        <w:rPr>
          <w:sz w:val="24"/>
        </w:rPr>
        <w:t>》</w:t>
      </w:r>
      <w:r>
        <w:rPr>
          <w:rFonts w:hint="eastAsia"/>
          <w:sz w:val="24"/>
        </w:rPr>
        <w:t>相关要求。</w:t>
      </w:r>
    </w:p>
    <w:p w:rsidR="00EE4502" w:rsidRDefault="00FD45A3">
      <w:pPr>
        <w:pStyle w:val="33"/>
        <w:numPr>
          <w:ilvl w:val="2"/>
          <w:numId w:val="30"/>
        </w:numPr>
        <w:spacing w:line="360" w:lineRule="auto"/>
        <w:ind w:left="0" w:firstLine="0"/>
        <w:rPr>
          <w:spacing w:val="0"/>
          <w:sz w:val="24"/>
          <w:szCs w:val="24"/>
        </w:rPr>
      </w:pPr>
      <w:r>
        <w:rPr>
          <w:rFonts w:hint="eastAsia"/>
          <w:spacing w:val="0"/>
          <w:sz w:val="24"/>
          <w:szCs w:val="24"/>
        </w:rPr>
        <w:t>相关法规、政策、规范、规划符合性分析</w:t>
      </w:r>
    </w:p>
    <w:p w:rsidR="00EE4502" w:rsidRDefault="00FD45A3">
      <w:pPr>
        <w:tabs>
          <w:tab w:val="left" w:pos="720"/>
        </w:tabs>
        <w:autoSpaceDE w:val="0"/>
        <w:autoSpaceDN w:val="0"/>
        <w:spacing w:line="360" w:lineRule="auto"/>
        <w:ind w:right="17" w:firstLineChars="200" w:firstLine="480"/>
        <w:rPr>
          <w:sz w:val="24"/>
        </w:rPr>
      </w:pPr>
      <w:r>
        <w:rPr>
          <w:rFonts w:hint="eastAsia"/>
          <w:sz w:val="24"/>
        </w:rPr>
        <w:t>（</w:t>
      </w:r>
      <w:r>
        <w:rPr>
          <w:rFonts w:hint="eastAsia"/>
          <w:sz w:val="24"/>
        </w:rPr>
        <w:t>1</w:t>
      </w:r>
      <w:r>
        <w:rPr>
          <w:rFonts w:hint="eastAsia"/>
          <w:sz w:val="24"/>
        </w:rPr>
        <w:t>）与《新疆维吾尔自治区国民经济和社会发展第十四个五年规划和</w:t>
      </w:r>
      <w:r>
        <w:rPr>
          <w:rFonts w:hint="eastAsia"/>
          <w:sz w:val="24"/>
        </w:rPr>
        <w:t>2035</w:t>
      </w:r>
      <w:r>
        <w:rPr>
          <w:rFonts w:hint="eastAsia"/>
          <w:sz w:val="24"/>
        </w:rPr>
        <w:t>年远景目标纲要》相符性分析</w:t>
      </w:r>
    </w:p>
    <w:p w:rsidR="00EE4502" w:rsidRDefault="00FD45A3">
      <w:pPr>
        <w:tabs>
          <w:tab w:val="left" w:pos="720"/>
        </w:tabs>
        <w:autoSpaceDE w:val="0"/>
        <w:autoSpaceDN w:val="0"/>
        <w:spacing w:line="360" w:lineRule="auto"/>
        <w:ind w:firstLineChars="200" w:firstLine="480"/>
        <w:rPr>
          <w:sz w:val="24"/>
        </w:rPr>
      </w:pPr>
      <w:r>
        <w:rPr>
          <w:rFonts w:hint="eastAsia"/>
          <w:sz w:val="24"/>
        </w:rPr>
        <w:t>《新疆维吾尔自治区国民经济和社会发展第十四个五年规划和</w:t>
      </w:r>
      <w:r>
        <w:rPr>
          <w:rFonts w:hint="eastAsia"/>
          <w:sz w:val="24"/>
        </w:rPr>
        <w:t>2035</w:t>
      </w:r>
      <w:r>
        <w:rPr>
          <w:rFonts w:hint="eastAsia"/>
          <w:sz w:val="24"/>
        </w:rPr>
        <w:t>年远景目标纲要》提出，按照“建设国家大型油气生产</w:t>
      </w:r>
      <w:r>
        <w:rPr>
          <w:rFonts w:hint="eastAsia"/>
          <w:sz w:val="24"/>
        </w:rPr>
        <w:t>加工和储备基地。加大准噶尔、吐哈、塔里木三大盆地油气勘探开发力度，提高新疆在油气资源开发利用转化过程中的参与度”。本工程属于准噶尔盆地油气基地，符合《新疆维吾尔自治区国民经济和社会发展第十四个五年规划和</w:t>
      </w:r>
      <w:r>
        <w:rPr>
          <w:rFonts w:hint="eastAsia"/>
          <w:sz w:val="24"/>
        </w:rPr>
        <w:t>2035</w:t>
      </w:r>
      <w:r>
        <w:rPr>
          <w:rFonts w:hint="eastAsia"/>
          <w:sz w:val="24"/>
        </w:rPr>
        <w:t>年远景目标纲要》的要求。</w:t>
      </w:r>
    </w:p>
    <w:p w:rsidR="00EE4502" w:rsidRDefault="00FD45A3">
      <w:pPr>
        <w:tabs>
          <w:tab w:val="left" w:pos="720"/>
        </w:tabs>
        <w:autoSpaceDE w:val="0"/>
        <w:autoSpaceDN w:val="0"/>
        <w:spacing w:line="360" w:lineRule="auto"/>
        <w:ind w:right="17" w:firstLineChars="200" w:firstLine="480"/>
        <w:rPr>
          <w:sz w:val="24"/>
        </w:rPr>
      </w:pPr>
      <w:r>
        <w:rPr>
          <w:rFonts w:hint="eastAsia"/>
          <w:sz w:val="24"/>
        </w:rPr>
        <w:t>（</w:t>
      </w:r>
      <w:r>
        <w:rPr>
          <w:rFonts w:hint="eastAsia"/>
          <w:sz w:val="24"/>
        </w:rPr>
        <w:t>2</w:t>
      </w:r>
      <w:r>
        <w:rPr>
          <w:rFonts w:hint="eastAsia"/>
          <w:sz w:val="24"/>
        </w:rPr>
        <w:t>）与《新疆生产建设兵团国民经济和社会发展第十四个五年规划和</w:t>
      </w:r>
      <w:r>
        <w:rPr>
          <w:rFonts w:hint="eastAsia"/>
          <w:sz w:val="24"/>
        </w:rPr>
        <w:t>2035</w:t>
      </w:r>
      <w:r>
        <w:rPr>
          <w:rFonts w:hint="eastAsia"/>
          <w:sz w:val="24"/>
        </w:rPr>
        <w:t>年远景目标纲要》相符性分析</w:t>
      </w:r>
    </w:p>
    <w:p w:rsidR="00EE4502" w:rsidRDefault="00FD45A3">
      <w:pPr>
        <w:tabs>
          <w:tab w:val="left" w:pos="720"/>
        </w:tabs>
        <w:autoSpaceDE w:val="0"/>
        <w:autoSpaceDN w:val="0"/>
        <w:spacing w:line="360" w:lineRule="auto"/>
        <w:ind w:right="17" w:firstLineChars="200" w:firstLine="480"/>
        <w:rPr>
          <w:sz w:val="24"/>
        </w:rPr>
      </w:pPr>
      <w:r>
        <w:rPr>
          <w:sz w:val="24"/>
        </w:rPr>
        <w:t>《新疆生产建设兵团国民经济和社会发展第十四个五年规划和</w:t>
      </w:r>
      <w:r>
        <w:rPr>
          <w:sz w:val="24"/>
        </w:rPr>
        <w:t>2035</w:t>
      </w:r>
      <w:r>
        <w:rPr>
          <w:sz w:val="24"/>
        </w:rPr>
        <w:t>年远景目标纲要》提出</w:t>
      </w:r>
      <w:r>
        <w:rPr>
          <w:rFonts w:hint="eastAsia"/>
          <w:sz w:val="24"/>
        </w:rPr>
        <w:t>“</w:t>
      </w:r>
      <w:r>
        <w:rPr>
          <w:sz w:val="24"/>
        </w:rPr>
        <w:t>加大油气勘探开发力度。推动油气勘探开发在兵团辖区内扎根落户，弥补兵团油气生产短板，力争实现油气</w:t>
      </w:r>
      <w:r>
        <w:rPr>
          <w:sz w:val="24"/>
        </w:rPr>
        <w:t>供给增储上产。完善油气管网输配设施。加快石油天然气管网建设，充分利用现有原油、成品油管道，优化长输高压管线、城市次高压管线和园区中低压管线配套，形成兵团油气管道</w:t>
      </w:r>
      <w:r>
        <w:rPr>
          <w:sz w:val="24"/>
        </w:rPr>
        <w:t>“</w:t>
      </w:r>
      <w:r>
        <w:rPr>
          <w:sz w:val="24"/>
        </w:rPr>
        <w:t>由点成线</w:t>
      </w:r>
      <w:r>
        <w:rPr>
          <w:sz w:val="24"/>
        </w:rPr>
        <w:t>”</w:t>
      </w:r>
      <w:r>
        <w:rPr>
          <w:sz w:val="24"/>
        </w:rPr>
        <w:t>的配置格局</w:t>
      </w:r>
      <w:r>
        <w:rPr>
          <w:rFonts w:hint="eastAsia"/>
          <w:sz w:val="24"/>
        </w:rPr>
        <w:t>”</w:t>
      </w:r>
      <w:r>
        <w:rPr>
          <w:sz w:val="24"/>
        </w:rPr>
        <w:t>。</w:t>
      </w:r>
    </w:p>
    <w:p w:rsidR="00EE4502" w:rsidRDefault="00FD45A3">
      <w:pPr>
        <w:tabs>
          <w:tab w:val="left" w:pos="720"/>
        </w:tabs>
        <w:autoSpaceDE w:val="0"/>
        <w:autoSpaceDN w:val="0"/>
        <w:spacing w:line="360" w:lineRule="auto"/>
        <w:ind w:right="17" w:firstLineChars="200" w:firstLine="480"/>
        <w:rPr>
          <w:sz w:val="24"/>
        </w:rPr>
      </w:pPr>
      <w:r>
        <w:rPr>
          <w:rFonts w:hint="eastAsia"/>
          <w:sz w:val="24"/>
        </w:rPr>
        <w:t>本工程</w:t>
      </w:r>
      <w:r>
        <w:rPr>
          <w:sz w:val="24"/>
        </w:rPr>
        <w:t>属于新春公司石油勘探开发项目，</w:t>
      </w:r>
      <w:r>
        <w:rPr>
          <w:rFonts w:hint="eastAsia"/>
          <w:sz w:val="24"/>
        </w:rPr>
        <w:t>本工程</w:t>
      </w:r>
      <w:r>
        <w:rPr>
          <w:sz w:val="24"/>
        </w:rPr>
        <w:t>的实施可加大第七师区域内的油气开发力度，推动油气开发在第七师辖区内扎根落户，可有效弥补兵团油气生产短板，符合《规划》中要求。</w:t>
      </w:r>
    </w:p>
    <w:p w:rsidR="00EE4502" w:rsidRDefault="00FD45A3">
      <w:pPr>
        <w:tabs>
          <w:tab w:val="left" w:pos="720"/>
        </w:tabs>
        <w:autoSpaceDE w:val="0"/>
        <w:autoSpaceDN w:val="0"/>
        <w:spacing w:line="360" w:lineRule="auto"/>
        <w:ind w:right="17" w:firstLineChars="200" w:firstLine="480"/>
        <w:rPr>
          <w:sz w:val="24"/>
        </w:rPr>
      </w:pPr>
      <w:r>
        <w:rPr>
          <w:rFonts w:hint="eastAsia"/>
          <w:sz w:val="24"/>
        </w:rPr>
        <w:lastRenderedPageBreak/>
        <w:t>（</w:t>
      </w:r>
      <w:r>
        <w:rPr>
          <w:rFonts w:hint="eastAsia"/>
          <w:sz w:val="24"/>
        </w:rPr>
        <w:t>3</w:t>
      </w:r>
      <w:r>
        <w:rPr>
          <w:rFonts w:hint="eastAsia"/>
          <w:sz w:val="24"/>
        </w:rPr>
        <w:t>）与《克拉玛依市国民经济和社会发展第十四个五年规划和</w:t>
      </w:r>
      <w:r>
        <w:rPr>
          <w:rFonts w:hint="eastAsia"/>
          <w:sz w:val="24"/>
        </w:rPr>
        <w:t>2035</w:t>
      </w:r>
      <w:r>
        <w:rPr>
          <w:rFonts w:hint="eastAsia"/>
          <w:sz w:val="24"/>
        </w:rPr>
        <w:t>年远景目标纲要》相符性分析</w:t>
      </w:r>
    </w:p>
    <w:p w:rsidR="00EE4502" w:rsidRDefault="00FD45A3">
      <w:pPr>
        <w:tabs>
          <w:tab w:val="left" w:pos="720"/>
        </w:tabs>
        <w:autoSpaceDE w:val="0"/>
        <w:autoSpaceDN w:val="0"/>
        <w:spacing w:line="360" w:lineRule="auto"/>
        <w:ind w:firstLineChars="200" w:firstLine="480"/>
        <w:rPr>
          <w:sz w:val="24"/>
        </w:rPr>
      </w:pPr>
      <w:r>
        <w:rPr>
          <w:rFonts w:hint="eastAsia"/>
          <w:sz w:val="24"/>
        </w:rPr>
        <w:t>规划中提出：进一步加大常规油气、页岩油、油砂等资源的勘探开发力度</w:t>
      </w:r>
      <w:r>
        <w:rPr>
          <w:rFonts w:hint="eastAsia"/>
          <w:sz w:val="24"/>
        </w:rPr>
        <w:t>。提高勘探开发技术与效率，扩大勘探区域；积极争取中石油集团调整增加新要油田排产计划。建设新疆油田大数据分析平台，加强新疆油田油气生产物联网示范工程，加快数字油田应用能力产品化，打造智能油田。推进能源综合改革试点工作，推动克拉玛依当地企业参与油气开采，促进地方经济发展。</w:t>
      </w:r>
    </w:p>
    <w:p w:rsidR="00EE4502" w:rsidRDefault="00FD45A3">
      <w:pPr>
        <w:tabs>
          <w:tab w:val="left" w:pos="720"/>
        </w:tabs>
        <w:autoSpaceDE w:val="0"/>
        <w:autoSpaceDN w:val="0"/>
        <w:spacing w:line="360" w:lineRule="auto"/>
        <w:ind w:firstLineChars="200" w:firstLine="480"/>
        <w:rPr>
          <w:sz w:val="24"/>
        </w:rPr>
      </w:pPr>
      <w:r>
        <w:rPr>
          <w:rFonts w:hint="eastAsia"/>
          <w:sz w:val="24"/>
        </w:rPr>
        <w:t>本工程采油部分主体位于克拉玛依市境内，属常规油气开发，符合《克拉玛依市国民经济和社会发展第十四个五年规划和</w:t>
      </w:r>
      <w:r>
        <w:rPr>
          <w:rFonts w:hint="eastAsia"/>
          <w:sz w:val="24"/>
        </w:rPr>
        <w:t>2035</w:t>
      </w:r>
      <w:r>
        <w:rPr>
          <w:rFonts w:hint="eastAsia"/>
          <w:sz w:val="24"/>
        </w:rPr>
        <w:t>年远景目标纲要》的要求。</w:t>
      </w:r>
    </w:p>
    <w:p w:rsidR="00EE4502" w:rsidRDefault="00FD45A3">
      <w:pPr>
        <w:tabs>
          <w:tab w:val="left" w:pos="720"/>
        </w:tabs>
        <w:autoSpaceDE w:val="0"/>
        <w:autoSpaceDN w:val="0"/>
        <w:spacing w:line="360" w:lineRule="auto"/>
        <w:ind w:right="17" w:firstLineChars="200" w:firstLine="480"/>
        <w:rPr>
          <w:sz w:val="24"/>
        </w:rPr>
      </w:pPr>
      <w:r>
        <w:rPr>
          <w:rFonts w:hint="eastAsia"/>
          <w:sz w:val="24"/>
        </w:rPr>
        <w:t>（</w:t>
      </w:r>
      <w:r>
        <w:rPr>
          <w:rFonts w:hint="eastAsia"/>
          <w:sz w:val="24"/>
        </w:rPr>
        <w:t>4</w:t>
      </w:r>
      <w:r>
        <w:rPr>
          <w:rFonts w:hint="eastAsia"/>
          <w:sz w:val="24"/>
        </w:rPr>
        <w:t>）与《新疆生产建设兵团第七师胡杨河市国民经济和社会发展第十四个五年规划和</w:t>
      </w:r>
      <w:r>
        <w:rPr>
          <w:rFonts w:hint="eastAsia"/>
          <w:sz w:val="24"/>
        </w:rPr>
        <w:t>2035</w:t>
      </w:r>
      <w:r>
        <w:rPr>
          <w:rFonts w:hint="eastAsia"/>
          <w:sz w:val="24"/>
        </w:rPr>
        <w:t>年远景目标纲要》相符性分析</w:t>
      </w:r>
    </w:p>
    <w:p w:rsidR="00EE4502" w:rsidRDefault="00FD45A3">
      <w:pPr>
        <w:tabs>
          <w:tab w:val="left" w:pos="720"/>
        </w:tabs>
        <w:autoSpaceDE w:val="0"/>
        <w:autoSpaceDN w:val="0"/>
        <w:spacing w:line="360" w:lineRule="auto"/>
        <w:ind w:right="17" w:firstLineChars="200" w:firstLine="480"/>
        <w:rPr>
          <w:bCs/>
          <w:sz w:val="24"/>
        </w:rPr>
      </w:pPr>
      <w:r>
        <w:rPr>
          <w:bCs/>
          <w:sz w:val="24"/>
        </w:rPr>
        <w:t>《新疆生产建设兵团第七师胡杨河市国民经济和社会发展第十四个五年规划和</w:t>
      </w:r>
      <w:r>
        <w:rPr>
          <w:bCs/>
          <w:sz w:val="24"/>
        </w:rPr>
        <w:t>2035</w:t>
      </w:r>
      <w:r>
        <w:rPr>
          <w:bCs/>
          <w:sz w:val="24"/>
        </w:rPr>
        <w:t>年远景目标纲要》在</w:t>
      </w:r>
      <w:r>
        <w:rPr>
          <w:rFonts w:hint="eastAsia"/>
          <w:bCs/>
          <w:sz w:val="24"/>
        </w:rPr>
        <w:t>“</w:t>
      </w:r>
      <w:r>
        <w:rPr>
          <w:bCs/>
          <w:sz w:val="24"/>
        </w:rPr>
        <w:t>加强能源保障能力建设</w:t>
      </w:r>
      <w:r>
        <w:rPr>
          <w:rFonts w:hint="eastAsia"/>
          <w:bCs/>
          <w:sz w:val="24"/>
        </w:rPr>
        <w:t>”</w:t>
      </w:r>
      <w:r>
        <w:rPr>
          <w:bCs/>
          <w:sz w:val="24"/>
        </w:rPr>
        <w:t>中指出</w:t>
      </w:r>
      <w:r>
        <w:rPr>
          <w:rFonts w:hint="eastAsia"/>
          <w:bCs/>
          <w:sz w:val="24"/>
        </w:rPr>
        <w:t>“</w:t>
      </w:r>
      <w:r>
        <w:rPr>
          <w:bCs/>
          <w:sz w:val="24"/>
        </w:rPr>
        <w:t>加强油气保障能力建设。鼓励引导新疆油田、胜利油田、河南油田稳妥开发辖区内油气资源，指导</w:t>
      </w:r>
      <w:r>
        <w:rPr>
          <w:bCs/>
          <w:sz w:val="24"/>
        </w:rPr>
        <w:t>123</w:t>
      </w:r>
      <w:r>
        <w:rPr>
          <w:bCs/>
          <w:sz w:val="24"/>
        </w:rPr>
        <w:t>团、</w:t>
      </w:r>
      <w:r>
        <w:rPr>
          <w:bCs/>
          <w:sz w:val="24"/>
        </w:rPr>
        <w:t>128</w:t>
      </w:r>
      <w:r>
        <w:rPr>
          <w:bCs/>
          <w:sz w:val="24"/>
        </w:rPr>
        <w:t>团、</w:t>
      </w:r>
      <w:r>
        <w:rPr>
          <w:bCs/>
          <w:sz w:val="24"/>
        </w:rPr>
        <w:t>137</w:t>
      </w:r>
      <w:r>
        <w:rPr>
          <w:bCs/>
          <w:sz w:val="24"/>
        </w:rPr>
        <w:t>团等重点油区团场安全稳定开采，推进七师胜利新春油田新增</w:t>
      </w:r>
      <w:r>
        <w:rPr>
          <w:bCs/>
          <w:sz w:val="24"/>
        </w:rPr>
        <w:t>66</w:t>
      </w:r>
      <w:r>
        <w:rPr>
          <w:bCs/>
          <w:sz w:val="24"/>
        </w:rPr>
        <w:t>口油井投产步伐，保障石油上游稳定供应水平。</w:t>
      </w:r>
      <w:r>
        <w:rPr>
          <w:rFonts w:hint="eastAsia"/>
          <w:bCs/>
          <w:sz w:val="24"/>
        </w:rPr>
        <w:t>”</w:t>
      </w:r>
    </w:p>
    <w:p w:rsidR="00EE4502" w:rsidRDefault="00FD45A3">
      <w:pPr>
        <w:tabs>
          <w:tab w:val="left" w:pos="720"/>
        </w:tabs>
        <w:autoSpaceDE w:val="0"/>
        <w:autoSpaceDN w:val="0"/>
        <w:spacing w:line="360" w:lineRule="auto"/>
        <w:ind w:right="17" w:firstLineChars="200" w:firstLine="480"/>
        <w:rPr>
          <w:bCs/>
          <w:sz w:val="24"/>
        </w:rPr>
      </w:pPr>
      <w:r>
        <w:rPr>
          <w:rFonts w:hint="eastAsia"/>
          <w:bCs/>
          <w:sz w:val="24"/>
        </w:rPr>
        <w:t>本工程属于新春公司石油勘探开发项目</w:t>
      </w:r>
      <w:r>
        <w:rPr>
          <w:bCs/>
          <w:sz w:val="24"/>
        </w:rPr>
        <w:t>，满足《规划》中油气保障</w:t>
      </w:r>
      <w:r>
        <w:rPr>
          <w:bCs/>
          <w:sz w:val="24"/>
        </w:rPr>
        <w:t>能力建设的要求，符合《规划》。</w:t>
      </w:r>
    </w:p>
    <w:p w:rsidR="00EE4502" w:rsidRDefault="00FD45A3">
      <w:pPr>
        <w:tabs>
          <w:tab w:val="left" w:pos="720"/>
        </w:tabs>
        <w:autoSpaceDE w:val="0"/>
        <w:autoSpaceDN w:val="0"/>
        <w:spacing w:line="360" w:lineRule="auto"/>
        <w:ind w:right="17" w:firstLineChars="200" w:firstLine="480"/>
        <w:rPr>
          <w:sz w:val="24"/>
        </w:rPr>
      </w:pPr>
      <w:r>
        <w:rPr>
          <w:rFonts w:hint="eastAsia"/>
          <w:sz w:val="24"/>
        </w:rPr>
        <w:t>（</w:t>
      </w:r>
      <w:r>
        <w:rPr>
          <w:rFonts w:hint="eastAsia"/>
          <w:sz w:val="24"/>
        </w:rPr>
        <w:t>5</w:t>
      </w:r>
      <w:r>
        <w:rPr>
          <w:rFonts w:hint="eastAsia"/>
          <w:sz w:val="24"/>
        </w:rPr>
        <w:t>）与《新疆生态环境保护“十四五”规划》相符性分析</w:t>
      </w:r>
    </w:p>
    <w:p w:rsidR="00EE4502" w:rsidRDefault="00FD45A3">
      <w:pPr>
        <w:tabs>
          <w:tab w:val="left" w:pos="720"/>
        </w:tabs>
        <w:autoSpaceDE w:val="0"/>
        <w:autoSpaceDN w:val="0"/>
        <w:spacing w:line="360" w:lineRule="auto"/>
        <w:ind w:firstLineChars="200" w:firstLine="480"/>
        <w:rPr>
          <w:sz w:val="24"/>
        </w:rPr>
      </w:pPr>
      <w:r>
        <w:rPr>
          <w:rFonts w:hint="eastAsia"/>
          <w:sz w:val="24"/>
        </w:rPr>
        <w:t>《新疆生态环境保护“十四五”规划》提出，坚决遏制“两高”项目盲目发展，严格执行能源、矿产资源开发自治区人民政府“一支笔”审批制度、环境保护“一票否决”制度，落实“三线一单”生态环境分区管控要求，守住生态保护红线、环境质量底线和资源利用上线，实施生态环境准入清单管控。本工程采油部分主体位于克拉玛依市境内，属常规油气开发项目，不属于“两高”项目以及不符合产业准入标准和政策的落后项目，符合克拉玛依市生态环境分区管控要求。因此，本</w:t>
      </w:r>
      <w:r>
        <w:rPr>
          <w:rFonts w:hint="eastAsia"/>
          <w:sz w:val="24"/>
        </w:rPr>
        <w:t>工程符合《新疆生态环境保护“十四五”规划》要求。</w:t>
      </w:r>
    </w:p>
    <w:p w:rsidR="00EE4502" w:rsidRDefault="00FD45A3">
      <w:pPr>
        <w:tabs>
          <w:tab w:val="left" w:pos="720"/>
        </w:tabs>
        <w:autoSpaceDE w:val="0"/>
        <w:autoSpaceDN w:val="0"/>
        <w:spacing w:line="360" w:lineRule="auto"/>
        <w:ind w:right="17" w:firstLineChars="200" w:firstLine="480"/>
        <w:rPr>
          <w:sz w:val="24"/>
        </w:rPr>
      </w:pPr>
      <w:r>
        <w:rPr>
          <w:rFonts w:hint="eastAsia"/>
          <w:sz w:val="24"/>
        </w:rPr>
        <w:t>（</w:t>
      </w:r>
      <w:r>
        <w:rPr>
          <w:rFonts w:hint="eastAsia"/>
          <w:sz w:val="24"/>
        </w:rPr>
        <w:t>6</w:t>
      </w:r>
      <w:r>
        <w:rPr>
          <w:rFonts w:hint="eastAsia"/>
          <w:sz w:val="24"/>
        </w:rPr>
        <w:t>）与《新疆生产建设兵团“十四五”生态环境保护规划》相符性分析</w:t>
      </w:r>
    </w:p>
    <w:p w:rsidR="00EE4502" w:rsidRDefault="00FD45A3">
      <w:pPr>
        <w:tabs>
          <w:tab w:val="left" w:pos="720"/>
        </w:tabs>
        <w:autoSpaceDE w:val="0"/>
        <w:autoSpaceDN w:val="0"/>
        <w:spacing w:line="360" w:lineRule="auto"/>
        <w:ind w:right="17" w:firstLineChars="200" w:firstLine="480"/>
        <w:rPr>
          <w:bCs/>
          <w:sz w:val="24"/>
        </w:rPr>
      </w:pPr>
      <w:r>
        <w:rPr>
          <w:bCs/>
          <w:sz w:val="24"/>
        </w:rPr>
        <w:t>《新疆生产建设兵团</w:t>
      </w:r>
      <w:r>
        <w:rPr>
          <w:rFonts w:hint="eastAsia"/>
          <w:bCs/>
          <w:sz w:val="24"/>
        </w:rPr>
        <w:t>“</w:t>
      </w:r>
      <w:r>
        <w:rPr>
          <w:bCs/>
          <w:sz w:val="24"/>
        </w:rPr>
        <w:t>十四五</w:t>
      </w:r>
      <w:r>
        <w:rPr>
          <w:rFonts w:hint="eastAsia"/>
          <w:bCs/>
          <w:sz w:val="24"/>
        </w:rPr>
        <w:t>”</w:t>
      </w:r>
      <w:r>
        <w:rPr>
          <w:bCs/>
          <w:sz w:val="24"/>
        </w:rPr>
        <w:t>生态环境保护规划》提出</w:t>
      </w:r>
      <w:r>
        <w:rPr>
          <w:rFonts w:hint="eastAsia"/>
          <w:bCs/>
          <w:sz w:val="24"/>
        </w:rPr>
        <w:t>“</w:t>
      </w:r>
      <w:r>
        <w:rPr>
          <w:bCs/>
          <w:sz w:val="24"/>
        </w:rPr>
        <w:t>严格环境准入，推动工业绿色转型。建立以</w:t>
      </w:r>
      <w:r>
        <w:rPr>
          <w:rFonts w:hint="eastAsia"/>
          <w:bCs/>
          <w:sz w:val="24"/>
        </w:rPr>
        <w:t>“</w:t>
      </w:r>
      <w:r>
        <w:rPr>
          <w:bCs/>
          <w:sz w:val="24"/>
        </w:rPr>
        <w:t>三线一单</w:t>
      </w:r>
      <w:r>
        <w:rPr>
          <w:rFonts w:hint="eastAsia"/>
          <w:bCs/>
          <w:sz w:val="24"/>
        </w:rPr>
        <w:t>”</w:t>
      </w:r>
      <w:r>
        <w:rPr>
          <w:bCs/>
          <w:sz w:val="24"/>
        </w:rPr>
        <w:t>为核心全覆盖的生态环境分区管控体系，完善管控单元环境准入清单，深化高耗能、高排放项目环境准入及管控要求，建</w:t>
      </w:r>
      <w:r>
        <w:rPr>
          <w:bCs/>
          <w:sz w:val="24"/>
        </w:rPr>
        <w:lastRenderedPageBreak/>
        <w:t>立动态更新和调整机制。加强</w:t>
      </w:r>
      <w:r>
        <w:rPr>
          <w:rFonts w:hint="eastAsia"/>
          <w:bCs/>
          <w:sz w:val="24"/>
        </w:rPr>
        <w:t>“</w:t>
      </w:r>
      <w:r>
        <w:rPr>
          <w:bCs/>
          <w:sz w:val="24"/>
        </w:rPr>
        <w:t>三线一单</w:t>
      </w:r>
      <w:r>
        <w:rPr>
          <w:rFonts w:hint="eastAsia"/>
          <w:bCs/>
          <w:sz w:val="24"/>
        </w:rPr>
        <w:t>”</w:t>
      </w:r>
      <w:r>
        <w:rPr>
          <w:bCs/>
          <w:sz w:val="24"/>
        </w:rPr>
        <w:t>在政策制定、环境准入、园区管理、执法监管等方面的应用</w:t>
      </w:r>
      <w:r>
        <w:rPr>
          <w:rFonts w:hint="eastAsia"/>
          <w:bCs/>
          <w:sz w:val="24"/>
        </w:rPr>
        <w:t>”</w:t>
      </w:r>
      <w:r>
        <w:rPr>
          <w:bCs/>
          <w:sz w:val="24"/>
        </w:rPr>
        <w:t>。</w:t>
      </w:r>
    </w:p>
    <w:p w:rsidR="00EE4502" w:rsidRDefault="00FD45A3">
      <w:pPr>
        <w:tabs>
          <w:tab w:val="left" w:pos="720"/>
        </w:tabs>
        <w:autoSpaceDE w:val="0"/>
        <w:autoSpaceDN w:val="0"/>
        <w:spacing w:line="360" w:lineRule="auto"/>
        <w:ind w:right="17" w:firstLineChars="200" w:firstLine="480"/>
        <w:rPr>
          <w:bCs/>
          <w:sz w:val="24"/>
        </w:rPr>
      </w:pPr>
      <w:r>
        <w:rPr>
          <w:rFonts w:hint="eastAsia"/>
          <w:bCs/>
          <w:sz w:val="24"/>
        </w:rPr>
        <w:t>本工程</w:t>
      </w:r>
      <w:r>
        <w:rPr>
          <w:bCs/>
          <w:sz w:val="24"/>
        </w:rPr>
        <w:t>为陆地石油开采项目，不属于</w:t>
      </w:r>
      <w:r>
        <w:rPr>
          <w:rFonts w:hint="eastAsia"/>
          <w:bCs/>
          <w:sz w:val="24"/>
        </w:rPr>
        <w:t>“</w:t>
      </w:r>
      <w:r>
        <w:rPr>
          <w:bCs/>
          <w:sz w:val="24"/>
        </w:rPr>
        <w:t>两高</w:t>
      </w:r>
      <w:r>
        <w:rPr>
          <w:rFonts w:hint="eastAsia"/>
          <w:bCs/>
          <w:sz w:val="24"/>
        </w:rPr>
        <w:t>”</w:t>
      </w:r>
      <w:r>
        <w:rPr>
          <w:bCs/>
          <w:sz w:val="24"/>
        </w:rPr>
        <w:t>项目以及不符合产业准入标准和政策的落后项目，符合第七</w:t>
      </w:r>
      <w:r>
        <w:rPr>
          <w:bCs/>
          <w:sz w:val="24"/>
        </w:rPr>
        <w:t>师胡杨河市生态环境分区管控要求。因此，</w:t>
      </w:r>
      <w:r>
        <w:rPr>
          <w:rFonts w:hint="eastAsia"/>
          <w:bCs/>
          <w:sz w:val="24"/>
        </w:rPr>
        <w:t>本工程</w:t>
      </w:r>
      <w:r>
        <w:rPr>
          <w:bCs/>
          <w:sz w:val="24"/>
        </w:rPr>
        <w:t>符合《新疆生产建设兵团</w:t>
      </w:r>
      <w:r>
        <w:rPr>
          <w:rFonts w:hint="eastAsia"/>
          <w:bCs/>
          <w:sz w:val="24"/>
        </w:rPr>
        <w:t>“</w:t>
      </w:r>
      <w:r>
        <w:rPr>
          <w:bCs/>
          <w:sz w:val="24"/>
        </w:rPr>
        <w:t>十四五</w:t>
      </w:r>
      <w:r>
        <w:rPr>
          <w:rFonts w:hint="eastAsia"/>
          <w:bCs/>
          <w:sz w:val="24"/>
        </w:rPr>
        <w:t>”</w:t>
      </w:r>
      <w:r>
        <w:rPr>
          <w:bCs/>
          <w:sz w:val="24"/>
        </w:rPr>
        <w:t>生态环境保护规划》要求。</w:t>
      </w:r>
    </w:p>
    <w:p w:rsidR="00EE4502" w:rsidRDefault="00FD45A3">
      <w:pPr>
        <w:tabs>
          <w:tab w:val="left" w:pos="720"/>
        </w:tabs>
        <w:autoSpaceDE w:val="0"/>
        <w:autoSpaceDN w:val="0"/>
        <w:spacing w:line="360" w:lineRule="auto"/>
        <w:ind w:right="17" w:firstLineChars="200" w:firstLine="480"/>
        <w:rPr>
          <w:sz w:val="24"/>
        </w:rPr>
      </w:pPr>
      <w:r>
        <w:rPr>
          <w:rFonts w:hint="eastAsia"/>
          <w:sz w:val="24"/>
        </w:rPr>
        <w:t>（</w:t>
      </w:r>
      <w:r>
        <w:rPr>
          <w:rFonts w:hint="eastAsia"/>
          <w:sz w:val="24"/>
        </w:rPr>
        <w:t>7</w:t>
      </w:r>
      <w:r>
        <w:rPr>
          <w:rFonts w:hint="eastAsia"/>
          <w:sz w:val="24"/>
        </w:rPr>
        <w:t>）与《新疆维吾尔自治区主体功能区规划》相符性分析</w:t>
      </w:r>
    </w:p>
    <w:p w:rsidR="00EE4502" w:rsidRDefault="00FD45A3">
      <w:pPr>
        <w:tabs>
          <w:tab w:val="left" w:pos="720"/>
        </w:tabs>
        <w:autoSpaceDE w:val="0"/>
        <w:autoSpaceDN w:val="0"/>
        <w:spacing w:line="360" w:lineRule="auto"/>
        <w:ind w:firstLineChars="200" w:firstLine="480"/>
        <w:rPr>
          <w:sz w:val="24"/>
        </w:rPr>
      </w:pPr>
      <w:r>
        <w:rPr>
          <w:rFonts w:hint="eastAsia"/>
          <w:sz w:val="24"/>
        </w:rPr>
        <w:t>《新疆维吾尔自治区主体功能区规划》以《全国主体功能区规划》为依据，结合新疆实际编制的第一个国土空间开发规划，是战略性、基础性、约束性的规划。该规划将新疆国土空间分为重点开发区域、限制开发区域和禁止开发区域三类主体功能区，按层级分为国家和省级两个层面。重点开发区域是指有一定经济基础，资源环境承载能力较强，发展潜力较大，集聚人口和经济条件较好，从而应该重点进行工业化城镇化开发的城市化地区，主要包括天山南北坡城市或城区以及县市城关镇或重要工业园区，共涉及</w:t>
      </w:r>
      <w:r>
        <w:rPr>
          <w:rFonts w:hint="eastAsia"/>
          <w:sz w:val="24"/>
        </w:rPr>
        <w:t>59</w:t>
      </w:r>
      <w:r>
        <w:rPr>
          <w:rFonts w:hint="eastAsia"/>
          <w:sz w:val="24"/>
        </w:rPr>
        <w:t>个县市。限制开发区域是指关系国家农产品供给安全和生态安全</w:t>
      </w:r>
      <w:r>
        <w:rPr>
          <w:rFonts w:hint="eastAsia"/>
          <w:sz w:val="24"/>
        </w:rPr>
        <w:t>，不应该或不适宜进行大规模、高强度工业化城镇化开发的农产品主产区和重点生态功能区。其中农产品主产区分布在天山南北坡</w:t>
      </w:r>
      <w:r>
        <w:rPr>
          <w:rFonts w:hint="eastAsia"/>
          <w:sz w:val="24"/>
        </w:rPr>
        <w:t>23</w:t>
      </w:r>
      <w:r>
        <w:rPr>
          <w:rFonts w:hint="eastAsia"/>
          <w:sz w:val="24"/>
        </w:rPr>
        <w:t>个县市，重点生态功能区涉及</w:t>
      </w:r>
      <w:r>
        <w:rPr>
          <w:rFonts w:hint="eastAsia"/>
          <w:sz w:val="24"/>
        </w:rPr>
        <w:t>53</w:t>
      </w:r>
      <w:r>
        <w:rPr>
          <w:rFonts w:hint="eastAsia"/>
          <w:sz w:val="24"/>
        </w:rPr>
        <w:t>个县市。禁止开发区域是指依法设立的各级各类自然文化资源保护区域，以及其他禁止进行工业化城镇化开发、需要特殊保护的重点生态功能区，国家和自治区层面禁止开发区域共</w:t>
      </w:r>
      <w:r>
        <w:rPr>
          <w:rFonts w:hint="eastAsia"/>
          <w:sz w:val="24"/>
        </w:rPr>
        <w:t>107</w:t>
      </w:r>
      <w:r>
        <w:rPr>
          <w:rFonts w:hint="eastAsia"/>
          <w:sz w:val="24"/>
        </w:rPr>
        <w:t>处。</w:t>
      </w:r>
    </w:p>
    <w:p w:rsidR="00EE4502" w:rsidRDefault="00FD45A3">
      <w:pPr>
        <w:tabs>
          <w:tab w:val="left" w:pos="720"/>
        </w:tabs>
        <w:autoSpaceDE w:val="0"/>
        <w:autoSpaceDN w:val="0"/>
        <w:spacing w:line="360" w:lineRule="auto"/>
        <w:ind w:firstLineChars="200" w:firstLine="480"/>
        <w:rPr>
          <w:sz w:val="24"/>
        </w:rPr>
      </w:pPr>
      <w:r>
        <w:rPr>
          <w:rFonts w:hint="eastAsia"/>
          <w:sz w:val="24"/>
        </w:rPr>
        <w:t>本工程采油部分主体位于克拉玛依市境内，属常规油气开发项目，属于重点开发区域，本工程建设符合《新疆维吾尔自治区主体功能区规划》。</w:t>
      </w:r>
    </w:p>
    <w:p w:rsidR="00EE4502" w:rsidRDefault="00FD45A3">
      <w:pPr>
        <w:tabs>
          <w:tab w:val="left" w:pos="720"/>
        </w:tabs>
        <w:autoSpaceDE w:val="0"/>
        <w:autoSpaceDN w:val="0"/>
        <w:spacing w:line="360" w:lineRule="auto"/>
        <w:ind w:right="17" w:firstLineChars="200" w:firstLine="480"/>
        <w:rPr>
          <w:sz w:val="24"/>
        </w:rPr>
      </w:pPr>
      <w:r>
        <w:rPr>
          <w:rFonts w:hint="eastAsia"/>
          <w:sz w:val="24"/>
        </w:rPr>
        <w:t>（</w:t>
      </w:r>
      <w:r>
        <w:rPr>
          <w:rFonts w:hint="eastAsia"/>
          <w:sz w:val="24"/>
        </w:rPr>
        <w:t>8</w:t>
      </w:r>
      <w:r>
        <w:rPr>
          <w:rFonts w:hint="eastAsia"/>
          <w:sz w:val="24"/>
        </w:rPr>
        <w:t>）与《新疆生产建设兵团主体功能区划》相符性分析</w:t>
      </w:r>
    </w:p>
    <w:p w:rsidR="00EE4502" w:rsidRDefault="00FD45A3">
      <w:pPr>
        <w:tabs>
          <w:tab w:val="left" w:pos="720"/>
        </w:tabs>
        <w:autoSpaceDE w:val="0"/>
        <w:autoSpaceDN w:val="0"/>
        <w:spacing w:line="360" w:lineRule="auto"/>
        <w:ind w:right="17" w:firstLineChars="200" w:firstLine="480"/>
        <w:rPr>
          <w:bCs/>
          <w:sz w:val="24"/>
        </w:rPr>
      </w:pPr>
      <w:r>
        <w:rPr>
          <w:bCs/>
          <w:sz w:val="24"/>
        </w:rPr>
        <w:t>根据《新疆生产</w:t>
      </w:r>
      <w:r>
        <w:rPr>
          <w:bCs/>
          <w:sz w:val="24"/>
        </w:rPr>
        <w:t>建设兵团主体功能区规划》，该规划将兵团国土空间分为重点开发区域、限制开发区域（包括农产品主产区和重点生态功能区）和禁止开发区域三类主体功能区。重点开发区域是指重点进行城镇化工业化开发的城镇化区域，包括：国家层面重点开发区域</w:t>
      </w:r>
      <w:r>
        <w:rPr>
          <w:bCs/>
          <w:sz w:val="24"/>
        </w:rPr>
        <w:t>——</w:t>
      </w:r>
      <w:r>
        <w:rPr>
          <w:bCs/>
          <w:sz w:val="24"/>
        </w:rPr>
        <w:t>天山北坡垦区，涉及</w:t>
      </w:r>
      <w:r>
        <w:rPr>
          <w:bCs/>
          <w:sz w:val="24"/>
        </w:rPr>
        <w:t>2</w:t>
      </w:r>
      <w:r>
        <w:rPr>
          <w:bCs/>
          <w:sz w:val="24"/>
        </w:rPr>
        <w:t>个市、</w:t>
      </w:r>
      <w:r>
        <w:rPr>
          <w:bCs/>
          <w:sz w:val="24"/>
        </w:rPr>
        <w:t>6</w:t>
      </w:r>
      <w:r>
        <w:rPr>
          <w:bCs/>
          <w:sz w:val="24"/>
        </w:rPr>
        <w:t>个师部城区、</w:t>
      </w:r>
      <w:r>
        <w:rPr>
          <w:bCs/>
          <w:sz w:val="24"/>
        </w:rPr>
        <w:t>9</w:t>
      </w:r>
      <w:r>
        <w:rPr>
          <w:bCs/>
          <w:sz w:val="24"/>
        </w:rPr>
        <w:t>个团场、</w:t>
      </w:r>
      <w:r>
        <w:rPr>
          <w:bCs/>
          <w:sz w:val="24"/>
        </w:rPr>
        <w:t>6</w:t>
      </w:r>
      <w:r>
        <w:rPr>
          <w:bCs/>
          <w:sz w:val="24"/>
        </w:rPr>
        <w:t>个团场场部、兵团直属单位和霍尔果斯经济开发区兵团分区；兵团层面重点开发区域</w:t>
      </w:r>
      <w:r>
        <w:rPr>
          <w:bCs/>
          <w:sz w:val="24"/>
        </w:rPr>
        <w:t>——</w:t>
      </w:r>
      <w:r>
        <w:rPr>
          <w:bCs/>
          <w:sz w:val="24"/>
        </w:rPr>
        <w:t>天山南坡垦区，涉及</w:t>
      </w:r>
      <w:r>
        <w:rPr>
          <w:bCs/>
          <w:sz w:val="24"/>
        </w:rPr>
        <w:t>2</w:t>
      </w:r>
      <w:r>
        <w:rPr>
          <w:bCs/>
          <w:sz w:val="24"/>
        </w:rPr>
        <w:t>个市城区、</w:t>
      </w:r>
      <w:r>
        <w:rPr>
          <w:bCs/>
          <w:sz w:val="24"/>
        </w:rPr>
        <w:t>4</w:t>
      </w:r>
      <w:r>
        <w:rPr>
          <w:bCs/>
          <w:sz w:val="24"/>
        </w:rPr>
        <w:t>个师部城区和喀什经济开发区兵团分区。限制开发区域（农产品主产区）是指限制进行大规模、高强度城镇化工业开发的农产品主产区，主要</w:t>
      </w:r>
      <w:r>
        <w:rPr>
          <w:bCs/>
          <w:sz w:val="24"/>
        </w:rPr>
        <w:t>为天山北坡农产品主产区和天山南坡农产品主产区，共涉及</w:t>
      </w:r>
      <w:r>
        <w:rPr>
          <w:bCs/>
          <w:sz w:val="24"/>
        </w:rPr>
        <w:t>126</w:t>
      </w:r>
      <w:r>
        <w:rPr>
          <w:bCs/>
          <w:sz w:val="24"/>
        </w:rPr>
        <w:t>个团场和</w:t>
      </w:r>
      <w:r>
        <w:rPr>
          <w:bCs/>
          <w:sz w:val="24"/>
        </w:rPr>
        <w:t>3</w:t>
      </w:r>
      <w:r>
        <w:rPr>
          <w:bCs/>
          <w:sz w:val="24"/>
        </w:rPr>
        <w:t>个单位；限制开发区域（重点生态功能区）是指限</w:t>
      </w:r>
      <w:r>
        <w:rPr>
          <w:bCs/>
          <w:sz w:val="24"/>
        </w:rPr>
        <w:lastRenderedPageBreak/>
        <w:t>制进行大规模、高强度城镇化工业开发的重点生态功能区，包括国家层面的重点生态功能区（涉及</w:t>
      </w:r>
      <w:r>
        <w:rPr>
          <w:bCs/>
          <w:sz w:val="24"/>
        </w:rPr>
        <w:t>2</w:t>
      </w:r>
      <w:r>
        <w:rPr>
          <w:bCs/>
          <w:sz w:val="24"/>
        </w:rPr>
        <w:t>个市、</w:t>
      </w:r>
      <w:r>
        <w:rPr>
          <w:bCs/>
          <w:sz w:val="24"/>
        </w:rPr>
        <w:t>33</w:t>
      </w:r>
      <w:r>
        <w:rPr>
          <w:bCs/>
          <w:sz w:val="24"/>
        </w:rPr>
        <w:t>个团场、</w:t>
      </w:r>
      <w:r>
        <w:rPr>
          <w:bCs/>
          <w:sz w:val="24"/>
        </w:rPr>
        <w:t>1</w:t>
      </w:r>
      <w:r>
        <w:rPr>
          <w:bCs/>
          <w:sz w:val="24"/>
        </w:rPr>
        <w:t>个单位）和兵团层面重点生态功能区（涉及</w:t>
      </w:r>
      <w:r>
        <w:rPr>
          <w:bCs/>
          <w:sz w:val="24"/>
        </w:rPr>
        <w:t>8</w:t>
      </w:r>
      <w:r>
        <w:rPr>
          <w:bCs/>
          <w:sz w:val="24"/>
        </w:rPr>
        <w:t>个团场、</w:t>
      </w:r>
      <w:r>
        <w:rPr>
          <w:bCs/>
          <w:sz w:val="24"/>
        </w:rPr>
        <w:t>1</w:t>
      </w:r>
      <w:r>
        <w:rPr>
          <w:bCs/>
          <w:sz w:val="24"/>
        </w:rPr>
        <w:t>个师部）。</w:t>
      </w:r>
    </w:p>
    <w:p w:rsidR="00EE4502" w:rsidRDefault="00FD45A3">
      <w:pPr>
        <w:tabs>
          <w:tab w:val="left" w:pos="720"/>
        </w:tabs>
        <w:autoSpaceDE w:val="0"/>
        <w:autoSpaceDN w:val="0"/>
        <w:spacing w:line="360" w:lineRule="auto"/>
        <w:ind w:right="17" w:firstLineChars="200" w:firstLine="480"/>
        <w:rPr>
          <w:bCs/>
          <w:sz w:val="24"/>
        </w:rPr>
      </w:pPr>
      <w:r>
        <w:rPr>
          <w:rFonts w:hint="eastAsia"/>
          <w:bCs/>
          <w:sz w:val="24"/>
        </w:rPr>
        <w:t>本工程</w:t>
      </w:r>
      <w:r>
        <w:rPr>
          <w:rFonts w:hint="eastAsia"/>
          <w:bCs/>
          <w:sz w:val="24"/>
        </w:rPr>
        <w:t>油气开发配套的注水部分所在区域</w:t>
      </w:r>
      <w:r>
        <w:rPr>
          <w:bCs/>
          <w:sz w:val="24"/>
        </w:rPr>
        <w:t>行政区隶属</w:t>
      </w:r>
      <w:r>
        <w:rPr>
          <w:rFonts w:hint="eastAsia"/>
          <w:bCs/>
          <w:sz w:val="24"/>
        </w:rPr>
        <w:t>第七师胡杨河市</w:t>
      </w:r>
      <w:r>
        <w:rPr>
          <w:bCs/>
          <w:sz w:val="24"/>
        </w:rPr>
        <w:t>，不属于《新疆生产建设兵团主体功能区规划》中的限制开发区域（农产品主产区），其功能定位为</w:t>
      </w:r>
      <w:r>
        <w:rPr>
          <w:rFonts w:hint="eastAsia"/>
          <w:bCs/>
          <w:sz w:val="24"/>
        </w:rPr>
        <w:t>“</w:t>
      </w:r>
      <w:r>
        <w:rPr>
          <w:bCs/>
          <w:sz w:val="24"/>
        </w:rPr>
        <w:t>保障农产品供给安全的区域，全国现代农业示范基地、节水灌溉示范推广基地和农业机械化推广基地，职工群众安居乐业的家园，屯垦戍边新型团场建设的示范区</w:t>
      </w:r>
      <w:r>
        <w:rPr>
          <w:rFonts w:hint="eastAsia"/>
          <w:bCs/>
          <w:sz w:val="24"/>
        </w:rPr>
        <w:t>”</w:t>
      </w:r>
      <w:r>
        <w:rPr>
          <w:bCs/>
          <w:sz w:val="24"/>
        </w:rPr>
        <w:t>，</w:t>
      </w:r>
      <w:r>
        <w:rPr>
          <w:rFonts w:hint="eastAsia"/>
          <w:bCs/>
          <w:sz w:val="24"/>
        </w:rPr>
        <w:t>本工程</w:t>
      </w:r>
      <w:r>
        <w:rPr>
          <w:rFonts w:hint="eastAsia"/>
          <w:bCs/>
          <w:sz w:val="24"/>
        </w:rPr>
        <w:t>涉及占地为</w:t>
      </w:r>
      <w:r>
        <w:rPr>
          <w:rFonts w:hint="eastAsia"/>
          <w:bCs/>
          <w:sz w:val="24"/>
        </w:rPr>
        <w:t>第七师水浇地</w:t>
      </w:r>
      <w:r>
        <w:rPr>
          <w:rFonts w:hint="eastAsia"/>
          <w:bCs/>
          <w:sz w:val="24"/>
        </w:rPr>
        <w:t>和</w:t>
      </w:r>
      <w:r>
        <w:rPr>
          <w:rFonts w:hint="eastAsia"/>
          <w:bCs/>
          <w:sz w:val="24"/>
        </w:rPr>
        <w:t>盐碱地，工程</w:t>
      </w:r>
      <w:r>
        <w:rPr>
          <w:rFonts w:hint="eastAsia"/>
          <w:bCs/>
          <w:sz w:val="24"/>
        </w:rPr>
        <w:t>的建设</w:t>
      </w:r>
      <w:r>
        <w:rPr>
          <w:bCs/>
          <w:sz w:val="24"/>
        </w:rPr>
        <w:t>对现代农业影响</w:t>
      </w:r>
      <w:r>
        <w:rPr>
          <w:rFonts w:hint="eastAsia"/>
          <w:bCs/>
          <w:sz w:val="24"/>
        </w:rPr>
        <w:t>较小</w:t>
      </w:r>
      <w:r>
        <w:rPr>
          <w:bCs/>
          <w:sz w:val="24"/>
        </w:rPr>
        <w:t>，</w:t>
      </w:r>
      <w:r>
        <w:rPr>
          <w:rFonts w:hint="eastAsia"/>
          <w:bCs/>
          <w:sz w:val="24"/>
        </w:rPr>
        <w:t>不涉及第七师永久基本农田</w:t>
      </w:r>
      <w:r>
        <w:rPr>
          <w:rFonts w:hint="eastAsia"/>
          <w:bCs/>
          <w:sz w:val="24"/>
        </w:rPr>
        <w:t>，</w:t>
      </w:r>
      <w:r>
        <w:rPr>
          <w:bCs/>
          <w:sz w:val="24"/>
        </w:rPr>
        <w:t>符合保障农产品供给安全要求的同时，还可带动当地经济发展和人员就业，因此，项目建设符合《新疆生产建设兵团主体功能区规划》</w:t>
      </w:r>
      <w:r>
        <w:rPr>
          <w:rFonts w:hint="eastAsia"/>
          <w:bCs/>
          <w:sz w:val="24"/>
        </w:rPr>
        <w:t>。</w:t>
      </w:r>
    </w:p>
    <w:p w:rsidR="00EE4502" w:rsidRDefault="00FD45A3">
      <w:pPr>
        <w:tabs>
          <w:tab w:val="left" w:pos="720"/>
        </w:tabs>
        <w:autoSpaceDE w:val="0"/>
        <w:autoSpaceDN w:val="0"/>
        <w:spacing w:line="360" w:lineRule="auto"/>
        <w:ind w:right="17" w:firstLineChars="200" w:firstLine="480"/>
        <w:rPr>
          <w:bCs/>
          <w:sz w:val="24"/>
        </w:rPr>
      </w:pPr>
      <w:r>
        <w:rPr>
          <w:rFonts w:hint="eastAsia"/>
          <w:bCs/>
          <w:sz w:val="24"/>
        </w:rPr>
        <w:t>（</w:t>
      </w:r>
      <w:r>
        <w:rPr>
          <w:rFonts w:hint="eastAsia"/>
          <w:bCs/>
          <w:sz w:val="24"/>
        </w:rPr>
        <w:t>9</w:t>
      </w:r>
      <w:r>
        <w:rPr>
          <w:rFonts w:hint="eastAsia"/>
          <w:bCs/>
          <w:sz w:val="24"/>
        </w:rPr>
        <w:t>）与《克拉玛依市国土空间总体规划</w:t>
      </w:r>
      <w:r>
        <w:rPr>
          <w:rFonts w:hint="eastAsia"/>
          <w:bCs/>
          <w:sz w:val="24"/>
        </w:rPr>
        <w:t>(2021-2035</w:t>
      </w:r>
      <w:r>
        <w:rPr>
          <w:rFonts w:hint="eastAsia"/>
          <w:bCs/>
          <w:sz w:val="24"/>
        </w:rPr>
        <w:t>年</w:t>
      </w:r>
      <w:r>
        <w:rPr>
          <w:rFonts w:hint="eastAsia"/>
          <w:bCs/>
          <w:sz w:val="24"/>
        </w:rPr>
        <w:t>)</w:t>
      </w:r>
      <w:r>
        <w:rPr>
          <w:rFonts w:hint="eastAsia"/>
          <w:bCs/>
          <w:sz w:val="24"/>
        </w:rPr>
        <w:t>》符合分析</w:t>
      </w:r>
    </w:p>
    <w:p w:rsidR="00EE4502" w:rsidRDefault="00FD45A3">
      <w:pPr>
        <w:tabs>
          <w:tab w:val="left" w:pos="720"/>
        </w:tabs>
        <w:autoSpaceDE w:val="0"/>
        <w:autoSpaceDN w:val="0"/>
        <w:spacing w:line="360" w:lineRule="auto"/>
        <w:ind w:right="17" w:firstLineChars="200" w:firstLine="480"/>
        <w:rPr>
          <w:bCs/>
          <w:sz w:val="24"/>
        </w:rPr>
      </w:pPr>
      <w:r>
        <w:rPr>
          <w:rFonts w:hint="eastAsia"/>
          <w:bCs/>
          <w:sz w:val="24"/>
        </w:rPr>
        <w:t>按照国家及自治区安排部署，克拉玛依市组织编制了《克拉玛依市国土空间总体规划（</w:t>
      </w:r>
      <w:r>
        <w:rPr>
          <w:rFonts w:hint="eastAsia"/>
          <w:bCs/>
          <w:sz w:val="24"/>
        </w:rPr>
        <w:t>2</w:t>
      </w:r>
      <w:r>
        <w:rPr>
          <w:rFonts w:hint="eastAsia"/>
          <w:bCs/>
          <w:sz w:val="24"/>
        </w:rPr>
        <w:t>021-2035</w:t>
      </w:r>
      <w:r>
        <w:rPr>
          <w:rFonts w:hint="eastAsia"/>
          <w:bCs/>
          <w:sz w:val="24"/>
        </w:rPr>
        <w:t>年）》，从战略目标、区域协同、总体格局、农业空间、生态空间、城镇空间、能源空间、支撑要素、中心城区及实施保障等</w:t>
      </w:r>
      <w:r>
        <w:rPr>
          <w:rFonts w:hint="eastAsia"/>
          <w:bCs/>
          <w:sz w:val="24"/>
        </w:rPr>
        <w:t>10</w:t>
      </w:r>
      <w:r>
        <w:rPr>
          <w:rFonts w:hint="eastAsia"/>
          <w:bCs/>
          <w:sz w:val="24"/>
        </w:rPr>
        <w:t>个方面，系统全面地谋划了未来</w:t>
      </w:r>
      <w:r>
        <w:rPr>
          <w:rFonts w:hint="eastAsia"/>
          <w:bCs/>
          <w:sz w:val="24"/>
        </w:rPr>
        <w:t>15</w:t>
      </w:r>
      <w:r>
        <w:rPr>
          <w:rFonts w:hint="eastAsia"/>
          <w:bCs/>
          <w:sz w:val="24"/>
        </w:rPr>
        <w:t>年的发展蓝图。基于克拉玛依显著的能源优势，完备的石油石化产业链，纵跨丝绸之路中通道、北通道，辐射北疆城市和口岸的区位，提出“国际能源城</w:t>
      </w:r>
      <w:r>
        <w:rPr>
          <w:rFonts w:hint="eastAsia"/>
          <w:bCs/>
          <w:sz w:val="24"/>
        </w:rPr>
        <w:t xml:space="preserve"> </w:t>
      </w:r>
      <w:r>
        <w:rPr>
          <w:rFonts w:hint="eastAsia"/>
          <w:bCs/>
          <w:sz w:val="24"/>
        </w:rPr>
        <w:t>丝路新枢纽”的战略目标，协同乌鲁木齐都市圈共同促进天山北坡城镇群建设。构建“</w:t>
      </w:r>
      <w:r>
        <w:rPr>
          <w:rFonts w:hint="eastAsia"/>
          <w:bCs/>
          <w:sz w:val="24"/>
        </w:rPr>
        <w:t>3+1</w:t>
      </w:r>
      <w:r>
        <w:rPr>
          <w:rFonts w:hint="eastAsia"/>
          <w:bCs/>
          <w:sz w:val="24"/>
        </w:rPr>
        <w:t>”特色空间管控体系，在永久基本农田、生态保护红线及城镇开发边界三条刚性控制线之外，创新划定油气生产区，大力保障油气生产的地域空间。优</w:t>
      </w:r>
      <w:r>
        <w:rPr>
          <w:rFonts w:hint="eastAsia"/>
          <w:bCs/>
          <w:sz w:val="24"/>
        </w:rPr>
        <w:t>化农业空间格局，推进农业农村现代化发展，努力构建“一核、四园、五大基地、八大重点产业”的农业发展空间格局。构建以重要生态片区为基础、生态廊道为纽带，串联山水林田湖草自然资源的自然生态网络，形成“三屏六廊多片多点”的生态安全格局。依据克拉玛依市功能定位、地域空间和产业发展，规划“一轴一核多通道”的城镇发展格局，做好重点项目的落地保障，大力推动“五城一区”建设。</w:t>
      </w:r>
      <w:r>
        <w:rPr>
          <w:rFonts w:hint="eastAsia"/>
          <w:bCs/>
          <w:sz w:val="24"/>
        </w:rPr>
        <w:t>经初步核查，本工程均在克拉玛依市永久基本农田、生态保护红线及城镇开发边界三条刚性控制线之外，属于“大力保障油气生产的地域空间”范畴内，工程的建设符合《克</w:t>
      </w:r>
      <w:r>
        <w:rPr>
          <w:rFonts w:hint="eastAsia"/>
          <w:bCs/>
          <w:sz w:val="24"/>
        </w:rPr>
        <w:t>拉玛依市国土空间总体规划</w:t>
      </w:r>
      <w:r>
        <w:rPr>
          <w:rFonts w:hint="eastAsia"/>
          <w:bCs/>
          <w:sz w:val="24"/>
        </w:rPr>
        <w:t>(2021-2035</w:t>
      </w:r>
      <w:r>
        <w:rPr>
          <w:rFonts w:hint="eastAsia"/>
          <w:bCs/>
          <w:sz w:val="24"/>
        </w:rPr>
        <w:t>年</w:t>
      </w:r>
      <w:r>
        <w:rPr>
          <w:rFonts w:hint="eastAsia"/>
          <w:bCs/>
          <w:sz w:val="24"/>
        </w:rPr>
        <w:t>)</w:t>
      </w:r>
      <w:r>
        <w:rPr>
          <w:rFonts w:hint="eastAsia"/>
          <w:bCs/>
          <w:sz w:val="24"/>
        </w:rPr>
        <w:t>》。</w:t>
      </w:r>
    </w:p>
    <w:p w:rsidR="00EE4502" w:rsidRDefault="00FD45A3">
      <w:pPr>
        <w:tabs>
          <w:tab w:val="left" w:pos="720"/>
        </w:tabs>
        <w:autoSpaceDE w:val="0"/>
        <w:autoSpaceDN w:val="0"/>
        <w:spacing w:line="360" w:lineRule="auto"/>
        <w:ind w:right="17" w:firstLineChars="200" w:firstLine="480"/>
        <w:rPr>
          <w:sz w:val="24"/>
        </w:rPr>
      </w:pPr>
      <w:r>
        <w:rPr>
          <w:rFonts w:hint="eastAsia"/>
          <w:sz w:val="24"/>
        </w:rPr>
        <w:t>（</w:t>
      </w:r>
      <w:r>
        <w:rPr>
          <w:rFonts w:hint="eastAsia"/>
          <w:sz w:val="24"/>
        </w:rPr>
        <w:t>10</w:t>
      </w:r>
      <w:r>
        <w:rPr>
          <w:rFonts w:hint="eastAsia"/>
          <w:sz w:val="24"/>
        </w:rPr>
        <w:t>）与《中石化新疆新春石油开发有限责任公司“十四五”规划》相符性</w:t>
      </w:r>
      <w:r>
        <w:rPr>
          <w:rFonts w:hint="eastAsia"/>
          <w:sz w:val="24"/>
        </w:rPr>
        <w:lastRenderedPageBreak/>
        <w:t>分析</w:t>
      </w:r>
    </w:p>
    <w:p w:rsidR="00EE4502" w:rsidRDefault="00FD45A3">
      <w:pPr>
        <w:spacing w:line="360" w:lineRule="auto"/>
        <w:ind w:firstLine="480"/>
        <w:rPr>
          <w:sz w:val="24"/>
        </w:rPr>
      </w:pPr>
      <w:r>
        <w:rPr>
          <w:sz w:val="24"/>
        </w:rPr>
        <w:t>新春公司</w:t>
      </w:r>
      <w:r>
        <w:rPr>
          <w:rFonts w:hint="eastAsia"/>
          <w:sz w:val="24"/>
        </w:rPr>
        <w:t>“</w:t>
      </w:r>
      <w:r>
        <w:rPr>
          <w:sz w:val="24"/>
        </w:rPr>
        <w:t>十四五</w:t>
      </w:r>
      <w:r>
        <w:rPr>
          <w:rFonts w:hint="eastAsia"/>
          <w:sz w:val="24"/>
        </w:rPr>
        <w:t>”</w:t>
      </w:r>
      <w:r>
        <w:rPr>
          <w:sz w:val="24"/>
        </w:rPr>
        <w:t>规划范围主要为准西老区（春风油田）、准中新区（沙窝地油田、征沙村油田、永进油田、董家海子油田）和准北新区（阿拉德油田、春晖油田）。</w:t>
      </w:r>
      <w:r>
        <w:rPr>
          <w:sz w:val="24"/>
        </w:rPr>
        <w:t>2021-2025</w:t>
      </w:r>
      <w:r>
        <w:rPr>
          <w:sz w:val="24"/>
        </w:rPr>
        <w:t>年是新春公司加快发展阶段，</w:t>
      </w:r>
      <w:r>
        <w:rPr>
          <w:rFonts w:hint="eastAsia"/>
          <w:sz w:val="24"/>
        </w:rPr>
        <w:t>新春公司</w:t>
      </w:r>
      <w:r>
        <w:rPr>
          <w:sz w:val="24"/>
        </w:rPr>
        <w:t>地面工程以安全环保、提质增效为目标，地面系统总体能力满足</w:t>
      </w:r>
      <w:r>
        <w:rPr>
          <w:sz w:val="24"/>
        </w:rPr>
        <w:t>“</w:t>
      </w:r>
      <w:r>
        <w:rPr>
          <w:sz w:val="24"/>
        </w:rPr>
        <w:t>十四五</w:t>
      </w:r>
      <w:r>
        <w:rPr>
          <w:sz w:val="24"/>
        </w:rPr>
        <w:t>”</w:t>
      </w:r>
      <w:r>
        <w:rPr>
          <w:sz w:val="24"/>
        </w:rPr>
        <w:t>期间新区沙窝地油田区块、征沙村油田区块、永进油田区块、董家海子油田区块、阿拉德油田、春晖油田建产，春风油田老区百万吨稳</w:t>
      </w:r>
      <w:r>
        <w:rPr>
          <w:sz w:val="24"/>
        </w:rPr>
        <w:t>产的需要，数字化、标准化等指标达到集团公司先进水平。</w:t>
      </w:r>
      <w:r>
        <w:rPr>
          <w:rFonts w:hint="eastAsia"/>
          <w:sz w:val="24"/>
        </w:rPr>
        <w:t>其中，</w:t>
      </w:r>
      <w:r>
        <w:rPr>
          <w:sz w:val="24"/>
        </w:rPr>
        <w:t>准西老区油井产量递减较快，</w:t>
      </w:r>
      <w:r>
        <w:rPr>
          <w:rFonts w:hint="eastAsia"/>
          <w:sz w:val="24"/>
        </w:rPr>
        <w:t>“</w:t>
      </w:r>
      <w:r>
        <w:rPr>
          <w:sz w:val="24"/>
        </w:rPr>
        <w:t>十四五</w:t>
      </w:r>
      <w:r>
        <w:rPr>
          <w:rFonts w:hint="eastAsia"/>
          <w:sz w:val="24"/>
        </w:rPr>
        <w:t>”</w:t>
      </w:r>
      <w:r>
        <w:rPr>
          <w:sz w:val="24"/>
        </w:rPr>
        <w:t>期间，为确保完成准西老区稳产任务，</w:t>
      </w:r>
      <w:r>
        <w:rPr>
          <w:rFonts w:hint="eastAsia"/>
          <w:sz w:val="24"/>
        </w:rPr>
        <w:t>在</w:t>
      </w:r>
      <w:r>
        <w:rPr>
          <w:rFonts w:hint="eastAsia"/>
          <w:sz w:val="24"/>
        </w:rPr>
        <w:t>准西老区</w:t>
      </w:r>
      <w:r>
        <w:rPr>
          <w:rFonts w:hint="eastAsia"/>
          <w:sz w:val="24"/>
        </w:rPr>
        <w:t>内持续开展滚动开发，本工程排</w:t>
      </w:r>
      <w:r>
        <w:rPr>
          <w:rFonts w:hint="eastAsia"/>
          <w:sz w:val="24"/>
        </w:rPr>
        <w:t>61</w:t>
      </w:r>
      <w:r>
        <w:rPr>
          <w:rFonts w:hint="eastAsia"/>
          <w:sz w:val="24"/>
        </w:rPr>
        <w:t>区块即为准西老区内的新开发区块</w:t>
      </w:r>
      <w:r>
        <w:rPr>
          <w:sz w:val="24"/>
        </w:rPr>
        <w:t>。</w:t>
      </w:r>
    </w:p>
    <w:p w:rsidR="00EE4502" w:rsidRDefault="00FD45A3">
      <w:pPr>
        <w:spacing w:line="360" w:lineRule="auto"/>
        <w:ind w:firstLine="480"/>
        <w:rPr>
          <w:sz w:val="24"/>
        </w:rPr>
      </w:pPr>
      <w:r>
        <w:rPr>
          <w:sz w:val="24"/>
        </w:rPr>
        <w:t>春风油田稠油吞吐开发井均采用西部稠油标准化设计</w:t>
      </w:r>
      <w:r>
        <w:rPr>
          <w:rFonts w:hint="eastAsia"/>
          <w:sz w:val="24"/>
        </w:rPr>
        <w:t>“</w:t>
      </w:r>
      <w:r>
        <w:rPr>
          <w:sz w:val="24"/>
        </w:rPr>
        <w:t>功图计量、掺蒸汽串接流程</w:t>
      </w:r>
      <w:r>
        <w:rPr>
          <w:rFonts w:hint="eastAsia"/>
          <w:sz w:val="24"/>
        </w:rPr>
        <w:t>”</w:t>
      </w:r>
      <w:r>
        <w:rPr>
          <w:sz w:val="24"/>
        </w:rPr>
        <w:t>模式，油井产液串接进入油井附近已建增压站，最终输送至联合站处理。春风油田稠油吞吐开发区块注汽任务遵循满足最大注汽半径的区块依托已建注汽站，超出最大注汽半径的区块建设半固定燃气注汽锅炉供汽原则。</w:t>
      </w:r>
    </w:p>
    <w:p w:rsidR="00EE4502" w:rsidRDefault="00FD45A3">
      <w:pPr>
        <w:spacing w:line="360" w:lineRule="auto"/>
        <w:ind w:firstLine="480"/>
        <w:rPr>
          <w:sz w:val="24"/>
        </w:rPr>
      </w:pPr>
      <w:r>
        <w:rPr>
          <w:rFonts w:hint="eastAsia"/>
          <w:sz w:val="24"/>
        </w:rPr>
        <w:t>本工程采油部分主体位于克拉玛依市境内，属</w:t>
      </w:r>
      <w:r>
        <w:rPr>
          <w:rFonts w:hint="eastAsia"/>
          <w:sz w:val="24"/>
        </w:rPr>
        <w:t>常规油气开发；</w:t>
      </w:r>
      <w:r>
        <w:rPr>
          <w:rFonts w:hint="eastAsia"/>
          <w:sz w:val="24"/>
        </w:rPr>
        <w:t>注水部分</w:t>
      </w:r>
      <w:r>
        <w:rPr>
          <w:sz w:val="24"/>
        </w:rPr>
        <w:t>在第七师辖区的春风油田内进行开发，</w:t>
      </w:r>
      <w:r>
        <w:rPr>
          <w:rFonts w:hint="eastAsia"/>
          <w:sz w:val="24"/>
        </w:rPr>
        <w:t>属常规油气开发</w:t>
      </w:r>
      <w:r>
        <w:rPr>
          <w:rFonts w:hint="eastAsia"/>
          <w:sz w:val="24"/>
        </w:rPr>
        <w:t>配套项目；均</w:t>
      </w:r>
      <w:r>
        <w:rPr>
          <w:sz w:val="24"/>
        </w:rPr>
        <w:t>属于《中石化新疆新春石油开发有限责任公司</w:t>
      </w:r>
      <w:r>
        <w:rPr>
          <w:rFonts w:hint="eastAsia"/>
          <w:sz w:val="24"/>
        </w:rPr>
        <w:t>“</w:t>
      </w:r>
      <w:r>
        <w:rPr>
          <w:sz w:val="24"/>
        </w:rPr>
        <w:t>十四五</w:t>
      </w:r>
      <w:r>
        <w:rPr>
          <w:rFonts w:hint="eastAsia"/>
          <w:sz w:val="24"/>
        </w:rPr>
        <w:t>”</w:t>
      </w:r>
      <w:r>
        <w:rPr>
          <w:sz w:val="24"/>
        </w:rPr>
        <w:t>规划》中的准西老区（春风油田）开发范围内，符合规划目标，且本次新增油井部署范围、新钻油井开发指标预测、集输方式等均基于规划中关于春风油田的规划方案进一步设计，因此，</w:t>
      </w:r>
      <w:r>
        <w:rPr>
          <w:rFonts w:hint="eastAsia"/>
          <w:sz w:val="24"/>
        </w:rPr>
        <w:t>本工程</w:t>
      </w:r>
      <w:r>
        <w:rPr>
          <w:sz w:val="24"/>
        </w:rPr>
        <w:t>符合规划。</w:t>
      </w:r>
    </w:p>
    <w:p w:rsidR="00EE4502" w:rsidRDefault="00FD45A3">
      <w:pPr>
        <w:tabs>
          <w:tab w:val="left" w:pos="720"/>
        </w:tabs>
        <w:autoSpaceDE w:val="0"/>
        <w:autoSpaceDN w:val="0"/>
        <w:spacing w:line="360" w:lineRule="auto"/>
        <w:ind w:right="17" w:firstLineChars="200" w:firstLine="480"/>
        <w:rPr>
          <w:sz w:val="24"/>
        </w:rPr>
      </w:pPr>
      <w:r>
        <w:rPr>
          <w:rFonts w:hint="eastAsia"/>
          <w:sz w:val="24"/>
        </w:rPr>
        <w:t>（</w:t>
      </w:r>
      <w:r>
        <w:rPr>
          <w:rFonts w:hint="eastAsia"/>
          <w:sz w:val="24"/>
        </w:rPr>
        <w:t>11</w:t>
      </w:r>
      <w:r>
        <w:rPr>
          <w:rFonts w:hint="eastAsia"/>
          <w:sz w:val="24"/>
        </w:rPr>
        <w:t>）与《中石化新疆新春石油开发有限责任公司“十四五”规划》环评及审查意见相符性分析</w:t>
      </w:r>
    </w:p>
    <w:p w:rsidR="00EE4502" w:rsidRDefault="00FD45A3">
      <w:pPr>
        <w:spacing w:line="360" w:lineRule="auto"/>
        <w:jc w:val="center"/>
        <w:rPr>
          <w:rFonts w:eastAsia="黑体"/>
          <w:bCs/>
          <w:lang w:val="zh-CN"/>
        </w:rPr>
      </w:pPr>
      <w:r>
        <w:rPr>
          <w:rFonts w:eastAsia="黑体"/>
          <w:bCs/>
          <w:lang w:val="zh-CN"/>
        </w:rPr>
        <w:t>表</w:t>
      </w:r>
      <w:r>
        <w:rPr>
          <w:rFonts w:eastAsia="黑体" w:hint="eastAsia"/>
          <w:bCs/>
        </w:rPr>
        <w:t>3-5-3</w:t>
      </w:r>
      <w:r>
        <w:rPr>
          <w:rFonts w:eastAsia="黑体" w:hint="eastAsia"/>
          <w:bCs/>
        </w:rPr>
        <w:t xml:space="preserve">  </w:t>
      </w:r>
      <w:r>
        <w:rPr>
          <w:rFonts w:eastAsia="黑体"/>
          <w:bCs/>
          <w:lang w:val="zh-CN"/>
        </w:rPr>
        <w:t>与</w:t>
      </w:r>
      <w:r>
        <w:rPr>
          <w:rFonts w:eastAsia="黑体" w:hint="eastAsia"/>
          <w:bCs/>
          <w:lang w:val="zh-CN"/>
        </w:rPr>
        <w:t>规划</w:t>
      </w:r>
      <w:r>
        <w:rPr>
          <w:rFonts w:eastAsia="黑体"/>
          <w:bCs/>
        </w:rPr>
        <w:t>环评</w:t>
      </w:r>
      <w:r>
        <w:rPr>
          <w:rFonts w:eastAsia="黑体" w:hint="eastAsia"/>
          <w:bCs/>
        </w:rPr>
        <w:t>及</w:t>
      </w:r>
      <w:r>
        <w:rPr>
          <w:rFonts w:eastAsia="黑体"/>
          <w:bCs/>
        </w:rPr>
        <w:t>环评审查意见</w:t>
      </w:r>
      <w:r>
        <w:rPr>
          <w:rFonts w:eastAsia="黑体"/>
          <w:bCs/>
          <w:lang w:val="zh-CN"/>
        </w:rPr>
        <w:t>符合性分析</w:t>
      </w:r>
    </w:p>
    <w:tbl>
      <w:tblPr>
        <w:tblW w:w="5000"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359"/>
        <w:gridCol w:w="4206"/>
        <w:gridCol w:w="2340"/>
        <w:gridCol w:w="617"/>
      </w:tblGrid>
      <w:tr w:rsidR="00EE4502">
        <w:trPr>
          <w:trHeight w:val="340"/>
          <w:jc w:val="center"/>
        </w:trPr>
        <w:tc>
          <w:tcPr>
            <w:tcW w:w="797" w:type="pct"/>
            <w:vAlign w:val="center"/>
          </w:tcPr>
          <w:p w:rsidR="00EE4502" w:rsidRDefault="00FD45A3">
            <w:pPr>
              <w:spacing w:line="0" w:lineRule="atLeast"/>
              <w:jc w:val="center"/>
              <w:rPr>
                <w:szCs w:val="21"/>
              </w:rPr>
            </w:pPr>
            <w:r>
              <w:rPr>
                <w:szCs w:val="21"/>
              </w:rPr>
              <w:t>文件名称</w:t>
            </w:r>
          </w:p>
        </w:tc>
        <w:tc>
          <w:tcPr>
            <w:tcW w:w="2467" w:type="pct"/>
            <w:vAlign w:val="center"/>
          </w:tcPr>
          <w:p w:rsidR="00EE4502" w:rsidRDefault="00FD45A3">
            <w:pPr>
              <w:spacing w:line="0" w:lineRule="atLeast"/>
              <w:jc w:val="center"/>
              <w:rPr>
                <w:szCs w:val="21"/>
              </w:rPr>
            </w:pPr>
            <w:r>
              <w:rPr>
                <w:szCs w:val="21"/>
              </w:rPr>
              <w:t>规划要求</w:t>
            </w:r>
          </w:p>
        </w:tc>
        <w:tc>
          <w:tcPr>
            <w:tcW w:w="1373" w:type="pct"/>
            <w:vAlign w:val="center"/>
          </w:tcPr>
          <w:p w:rsidR="00EE4502" w:rsidRDefault="00FD45A3">
            <w:pPr>
              <w:spacing w:line="0" w:lineRule="atLeast"/>
              <w:jc w:val="center"/>
              <w:rPr>
                <w:szCs w:val="21"/>
              </w:rPr>
            </w:pPr>
            <w:r>
              <w:rPr>
                <w:szCs w:val="21"/>
              </w:rPr>
              <w:t>本工程</w:t>
            </w:r>
          </w:p>
        </w:tc>
        <w:tc>
          <w:tcPr>
            <w:tcW w:w="362" w:type="pct"/>
            <w:vAlign w:val="center"/>
          </w:tcPr>
          <w:p w:rsidR="00EE4502" w:rsidRDefault="00FD45A3">
            <w:pPr>
              <w:spacing w:line="0" w:lineRule="atLeast"/>
              <w:jc w:val="center"/>
              <w:rPr>
                <w:szCs w:val="21"/>
              </w:rPr>
            </w:pPr>
            <w:r>
              <w:rPr>
                <w:szCs w:val="21"/>
              </w:rPr>
              <w:t>符合性</w:t>
            </w:r>
          </w:p>
        </w:tc>
      </w:tr>
      <w:tr w:rsidR="00EE4502">
        <w:trPr>
          <w:trHeight w:val="340"/>
          <w:jc w:val="center"/>
        </w:trPr>
        <w:tc>
          <w:tcPr>
            <w:tcW w:w="797" w:type="pct"/>
            <w:vAlign w:val="center"/>
          </w:tcPr>
          <w:p w:rsidR="00EE4502" w:rsidRDefault="00FD45A3">
            <w:pPr>
              <w:spacing w:line="0" w:lineRule="atLeast"/>
              <w:jc w:val="center"/>
              <w:rPr>
                <w:szCs w:val="21"/>
              </w:rPr>
            </w:pPr>
            <w:r>
              <w:rPr>
                <w:szCs w:val="21"/>
              </w:rPr>
              <w:t>《中石化新疆新春石油开发有限责任公司</w:t>
            </w:r>
            <w:r>
              <w:rPr>
                <w:szCs w:val="21"/>
              </w:rPr>
              <w:t>“</w:t>
            </w:r>
            <w:r>
              <w:rPr>
                <w:szCs w:val="21"/>
              </w:rPr>
              <w:t>十四五</w:t>
            </w:r>
            <w:r>
              <w:rPr>
                <w:szCs w:val="21"/>
              </w:rPr>
              <w:t>”</w:t>
            </w:r>
            <w:r>
              <w:rPr>
                <w:szCs w:val="21"/>
              </w:rPr>
              <w:t>规划》环评</w:t>
            </w:r>
          </w:p>
        </w:tc>
        <w:tc>
          <w:tcPr>
            <w:tcW w:w="2467" w:type="pct"/>
            <w:vAlign w:val="center"/>
          </w:tcPr>
          <w:p w:rsidR="00EE4502" w:rsidRDefault="00FD45A3">
            <w:pPr>
              <w:spacing w:line="0" w:lineRule="atLeast"/>
              <w:rPr>
                <w:szCs w:val="21"/>
              </w:rPr>
            </w:pPr>
            <w:r>
              <w:rPr>
                <w:rFonts w:hint="eastAsia"/>
                <w:szCs w:val="21"/>
              </w:rPr>
              <w:t>新春公司“十四五”规划范围主要为准西老区（春风油田）、准中新区（沙窝地油田、征沙村油田、永进油田、董家海子油田）和准北新区（阿拉德油田、春晖油田）</w:t>
            </w:r>
          </w:p>
        </w:tc>
        <w:tc>
          <w:tcPr>
            <w:tcW w:w="1373" w:type="pct"/>
            <w:vAlign w:val="center"/>
          </w:tcPr>
          <w:p w:rsidR="00EE4502" w:rsidRDefault="00FD45A3">
            <w:pPr>
              <w:spacing w:line="0" w:lineRule="atLeast"/>
              <w:rPr>
                <w:szCs w:val="21"/>
              </w:rPr>
            </w:pPr>
            <w:r>
              <w:rPr>
                <w:szCs w:val="21"/>
              </w:rPr>
              <w:t>本工程属于规划中春风油田内容，符合</w:t>
            </w:r>
            <w:r>
              <w:rPr>
                <w:bCs/>
                <w:szCs w:val="21"/>
              </w:rPr>
              <w:t>中石化新疆新春石油开发有限责任公司</w:t>
            </w:r>
            <w:r>
              <w:rPr>
                <w:szCs w:val="21"/>
              </w:rPr>
              <w:t>发展规划要求</w:t>
            </w:r>
          </w:p>
        </w:tc>
        <w:tc>
          <w:tcPr>
            <w:tcW w:w="362" w:type="pct"/>
            <w:vAlign w:val="center"/>
          </w:tcPr>
          <w:p w:rsidR="00EE4502" w:rsidRDefault="00FD45A3">
            <w:pPr>
              <w:spacing w:line="0" w:lineRule="atLeast"/>
              <w:jc w:val="center"/>
              <w:rPr>
                <w:szCs w:val="21"/>
              </w:rPr>
            </w:pPr>
            <w:r>
              <w:rPr>
                <w:szCs w:val="21"/>
              </w:rPr>
              <w:t>符合</w:t>
            </w:r>
          </w:p>
        </w:tc>
      </w:tr>
      <w:tr w:rsidR="00EE4502">
        <w:trPr>
          <w:trHeight w:val="340"/>
          <w:jc w:val="center"/>
        </w:trPr>
        <w:tc>
          <w:tcPr>
            <w:tcW w:w="797" w:type="pct"/>
            <w:vMerge w:val="restart"/>
            <w:vAlign w:val="center"/>
          </w:tcPr>
          <w:p w:rsidR="00EE4502" w:rsidRDefault="00FD45A3">
            <w:pPr>
              <w:spacing w:line="0" w:lineRule="atLeast"/>
              <w:jc w:val="center"/>
              <w:rPr>
                <w:szCs w:val="21"/>
              </w:rPr>
            </w:pPr>
            <w:r>
              <w:rPr>
                <w:spacing w:val="-10"/>
                <w:szCs w:val="21"/>
              </w:rPr>
              <w:t>《关于</w:t>
            </w:r>
            <w:r>
              <w:rPr>
                <w:rFonts w:hint="eastAsia"/>
                <w:spacing w:val="-10"/>
                <w:szCs w:val="21"/>
              </w:rPr>
              <w:t>〈</w:t>
            </w:r>
            <w:r>
              <w:rPr>
                <w:spacing w:val="-10"/>
                <w:szCs w:val="21"/>
              </w:rPr>
              <w:t>中石化新疆新春石</w:t>
            </w:r>
            <w:r>
              <w:rPr>
                <w:spacing w:val="-10"/>
                <w:szCs w:val="21"/>
              </w:rPr>
              <w:lastRenderedPageBreak/>
              <w:t>油开发有限责任公司</w:t>
            </w:r>
            <w:r>
              <w:rPr>
                <w:spacing w:val="-10"/>
                <w:szCs w:val="21"/>
              </w:rPr>
              <w:t>“</w:t>
            </w:r>
            <w:r>
              <w:rPr>
                <w:spacing w:val="-10"/>
                <w:szCs w:val="21"/>
              </w:rPr>
              <w:t>十四五</w:t>
            </w:r>
            <w:r>
              <w:rPr>
                <w:spacing w:val="-10"/>
                <w:szCs w:val="21"/>
              </w:rPr>
              <w:t>”</w:t>
            </w:r>
            <w:r>
              <w:rPr>
                <w:spacing w:val="-10"/>
                <w:szCs w:val="21"/>
              </w:rPr>
              <w:t>规划环境影响报告书</w:t>
            </w:r>
            <w:r>
              <w:rPr>
                <w:rFonts w:hint="eastAsia"/>
                <w:spacing w:val="-10"/>
                <w:szCs w:val="21"/>
              </w:rPr>
              <w:t>〉</w:t>
            </w:r>
            <w:r>
              <w:rPr>
                <w:spacing w:val="-10"/>
                <w:szCs w:val="21"/>
              </w:rPr>
              <w:t>的审查意见》（新环审〔</w:t>
            </w:r>
            <w:r>
              <w:rPr>
                <w:spacing w:val="-10"/>
                <w:szCs w:val="21"/>
              </w:rPr>
              <w:t>2022</w:t>
            </w:r>
            <w:r>
              <w:rPr>
                <w:spacing w:val="-10"/>
                <w:szCs w:val="21"/>
              </w:rPr>
              <w:t>〕</w:t>
            </w:r>
            <w:r>
              <w:rPr>
                <w:spacing w:val="-10"/>
                <w:szCs w:val="21"/>
              </w:rPr>
              <w:t>244</w:t>
            </w:r>
            <w:r>
              <w:rPr>
                <w:spacing w:val="-10"/>
                <w:szCs w:val="21"/>
              </w:rPr>
              <w:t>号）</w:t>
            </w:r>
          </w:p>
        </w:tc>
        <w:tc>
          <w:tcPr>
            <w:tcW w:w="2467" w:type="pct"/>
            <w:vAlign w:val="center"/>
          </w:tcPr>
          <w:p w:rsidR="00EE4502" w:rsidRDefault="00FD45A3">
            <w:pPr>
              <w:spacing w:line="0" w:lineRule="atLeast"/>
              <w:rPr>
                <w:szCs w:val="21"/>
              </w:rPr>
            </w:pPr>
            <w:r>
              <w:rPr>
                <w:szCs w:val="21"/>
              </w:rPr>
              <w:lastRenderedPageBreak/>
              <w:t>（一）严守生态保护红线，加强空间管控。坚持以习近平生态文明思想为指导，严守生</w:t>
            </w:r>
            <w:r>
              <w:rPr>
                <w:szCs w:val="21"/>
              </w:rPr>
              <w:lastRenderedPageBreak/>
              <w:t>态保护红线，严格维护区域主导生态功能，积极推动绿色发展，促进人与自然和谐共生。主动对接国土空间规划，进一步做好与</w:t>
            </w:r>
            <w:r>
              <w:rPr>
                <w:szCs w:val="21"/>
              </w:rPr>
              <w:t>“</w:t>
            </w:r>
            <w:r>
              <w:rPr>
                <w:szCs w:val="21"/>
              </w:rPr>
              <w:t>三线一单</w:t>
            </w:r>
            <w:r>
              <w:rPr>
                <w:szCs w:val="21"/>
              </w:rPr>
              <w:t>”</w:t>
            </w:r>
            <w:r>
              <w:rPr>
                <w:szCs w:val="21"/>
              </w:rPr>
              <w:t>生态环境分区管控方案、主体功能区划、生态功能区划等有关要求的有序衔接和细化分解，严格落实各项生态环境保护要求，协同推进石油天然气开发和生态环境保护相协调，切实维护区域生态系统的完整性和稳定性。加强规划区内环境敏感区和重要环境保护目标的生态环境保护工作，开展项目环评时应将油气开发对环境敏感区影响作为重点评价内容，</w:t>
            </w:r>
            <w:r>
              <w:rPr>
                <w:szCs w:val="21"/>
              </w:rPr>
              <w:t>并采取合理、有效的保护措施，确保规划涉及环境敏感区和重要环境保护目标不因油气开发而造成环境污染和生态破坏</w:t>
            </w:r>
          </w:p>
        </w:tc>
        <w:tc>
          <w:tcPr>
            <w:tcW w:w="1373" w:type="pct"/>
            <w:vAlign w:val="center"/>
          </w:tcPr>
          <w:p w:rsidR="00EE4502" w:rsidRDefault="00FD45A3">
            <w:pPr>
              <w:spacing w:line="0" w:lineRule="atLeast"/>
              <w:rPr>
                <w:szCs w:val="21"/>
              </w:rPr>
            </w:pPr>
            <w:r>
              <w:rPr>
                <w:szCs w:val="21"/>
              </w:rPr>
              <w:lastRenderedPageBreak/>
              <w:t>本工程</w:t>
            </w:r>
            <w:r>
              <w:rPr>
                <w:rFonts w:hint="eastAsia"/>
                <w:szCs w:val="21"/>
              </w:rPr>
              <w:t>位于一般管控单元，</w:t>
            </w:r>
            <w:r>
              <w:rPr>
                <w:szCs w:val="21"/>
              </w:rPr>
              <w:t>不涉及生态保护红</w:t>
            </w:r>
            <w:r>
              <w:rPr>
                <w:szCs w:val="21"/>
              </w:rPr>
              <w:lastRenderedPageBreak/>
              <w:t>线，符合克拉玛依市及第七师胡杨河市生态环境分区管控要求、主体功能区划、生态功能区划等。报告中对区内的公益林等影响作为重点评价内容，并提出了合理、有效的保护措施，确保环境保护目标不因油气开发而造成环境污染和生态破坏</w:t>
            </w:r>
          </w:p>
        </w:tc>
        <w:tc>
          <w:tcPr>
            <w:tcW w:w="362" w:type="pct"/>
            <w:vAlign w:val="center"/>
          </w:tcPr>
          <w:p w:rsidR="00EE4502" w:rsidRDefault="00FD45A3">
            <w:pPr>
              <w:spacing w:line="0" w:lineRule="atLeast"/>
              <w:jc w:val="center"/>
              <w:rPr>
                <w:szCs w:val="21"/>
              </w:rPr>
            </w:pPr>
            <w:r>
              <w:rPr>
                <w:szCs w:val="21"/>
              </w:rPr>
              <w:lastRenderedPageBreak/>
              <w:t>符合</w:t>
            </w:r>
          </w:p>
        </w:tc>
      </w:tr>
      <w:tr w:rsidR="00EE4502">
        <w:trPr>
          <w:trHeight w:val="340"/>
          <w:jc w:val="center"/>
        </w:trPr>
        <w:tc>
          <w:tcPr>
            <w:tcW w:w="797" w:type="pct"/>
            <w:vMerge/>
            <w:vAlign w:val="center"/>
          </w:tcPr>
          <w:p w:rsidR="00EE4502" w:rsidRDefault="00EE4502">
            <w:pPr>
              <w:spacing w:line="0" w:lineRule="atLeast"/>
              <w:jc w:val="center"/>
              <w:rPr>
                <w:spacing w:val="-10"/>
                <w:szCs w:val="21"/>
              </w:rPr>
            </w:pPr>
          </w:p>
        </w:tc>
        <w:tc>
          <w:tcPr>
            <w:tcW w:w="2467" w:type="pct"/>
            <w:vAlign w:val="center"/>
          </w:tcPr>
          <w:p w:rsidR="00EE4502" w:rsidRDefault="00FD45A3">
            <w:pPr>
              <w:spacing w:line="0" w:lineRule="atLeast"/>
              <w:rPr>
                <w:szCs w:val="21"/>
              </w:rPr>
            </w:pPr>
            <w:r>
              <w:rPr>
                <w:rFonts w:hint="eastAsia"/>
                <w:szCs w:val="21"/>
              </w:rPr>
              <w:t>（</w:t>
            </w:r>
            <w:r>
              <w:rPr>
                <w:szCs w:val="21"/>
              </w:rPr>
              <w:t>二）合理确定开发方案，优化开发布局。根据区域主体功能定位，结合区域资源环境特征、生态保护红线等相关管控要求，依据生态环境影响评价结果，从穿越位置、穿越方式、施工场地设置、管线工艺设计、环境风险防范等方面对规划建设油气长输管道工程及油气田内部集输管道工程选址选线提出要求。规划区与魔鬼城风景名胜区、玛纳斯河流域中上游湿地省级</w:t>
            </w:r>
            <w:r>
              <w:rPr>
                <w:szCs w:val="21"/>
              </w:rPr>
              <w:t xml:space="preserve"> </w:t>
            </w:r>
            <w:r>
              <w:rPr>
                <w:rFonts w:hint="eastAsia"/>
                <w:szCs w:val="21"/>
              </w:rPr>
              <w:t>（</w:t>
            </w:r>
            <w:r>
              <w:rPr>
                <w:szCs w:val="21"/>
              </w:rPr>
              <w:t>兵团</w:t>
            </w:r>
            <w:r>
              <w:rPr>
                <w:rFonts w:hint="eastAsia"/>
                <w:szCs w:val="21"/>
              </w:rPr>
              <w:t>）</w:t>
            </w:r>
            <w:r>
              <w:rPr>
                <w:szCs w:val="21"/>
              </w:rPr>
              <w:t>自然保护区、一级公益林分布区、准噶尔盆地南缘土地沙化防控与防风固沙生态保护红线区等环境敏感区重叠区域划为油气资源禁止开发区并及时向自然资源部门申请调整油气资源采矿权许可区域范围，规</w:t>
            </w:r>
            <w:r>
              <w:rPr>
                <w:szCs w:val="21"/>
              </w:rPr>
              <w:t>划区与二级公益林分布区重叠区域油气资源开发需符合林草管理部门的要求并积极采取无害开采工艺，减轻对开发区域环境的影响，规划布设的井场、站场工程与规划区内的地表水体和引水工程之间应设置合理的保护距离</w:t>
            </w:r>
            <w:r>
              <w:rPr>
                <w:rFonts w:hint="eastAsia"/>
                <w:szCs w:val="21"/>
              </w:rPr>
              <w:t>；</w:t>
            </w:r>
          </w:p>
          <w:p w:rsidR="00EE4502" w:rsidRDefault="00FD45A3">
            <w:pPr>
              <w:spacing w:line="0" w:lineRule="atLeast"/>
              <w:rPr>
                <w:szCs w:val="21"/>
              </w:rPr>
            </w:pPr>
            <w:r>
              <w:rPr>
                <w:szCs w:val="21"/>
              </w:rPr>
              <w:t>进一步优化石油天然气开采规模、开发布局和建设时序，优先避让环境敏感区，远离居民区。总结石油天然气开发过程对生态环境影响和保护经验，及时进行优化调整</w:t>
            </w:r>
            <w:r>
              <w:rPr>
                <w:rFonts w:hint="eastAsia"/>
                <w:szCs w:val="21"/>
              </w:rPr>
              <w:t>；</w:t>
            </w:r>
          </w:p>
        </w:tc>
        <w:tc>
          <w:tcPr>
            <w:tcW w:w="1373" w:type="pct"/>
            <w:vAlign w:val="center"/>
          </w:tcPr>
          <w:p w:rsidR="00EE4502" w:rsidRDefault="00FD45A3">
            <w:pPr>
              <w:spacing w:line="0" w:lineRule="atLeast"/>
              <w:rPr>
                <w:szCs w:val="21"/>
              </w:rPr>
            </w:pPr>
            <w:r>
              <w:rPr>
                <w:rFonts w:hint="eastAsia"/>
                <w:szCs w:val="21"/>
              </w:rPr>
              <w:t>本工程开发方案合理，已优化开发布局；本工程不涉及风景名胜区、湿气自然保护区、一级</w:t>
            </w:r>
            <w:r>
              <w:rPr>
                <w:rFonts w:hint="eastAsia"/>
                <w:szCs w:val="21"/>
              </w:rPr>
              <w:t>林地</w:t>
            </w:r>
            <w:r>
              <w:rPr>
                <w:rFonts w:hint="eastAsia"/>
                <w:szCs w:val="21"/>
              </w:rPr>
              <w:t>和生态保护红线等区域，本工程建设区域位于采矿许可区域范围内；</w:t>
            </w:r>
          </w:p>
          <w:p w:rsidR="00EE4502" w:rsidRDefault="00FD45A3">
            <w:pPr>
              <w:spacing w:line="0" w:lineRule="atLeast"/>
              <w:rPr>
                <w:szCs w:val="21"/>
              </w:rPr>
            </w:pPr>
            <w:r>
              <w:rPr>
                <w:szCs w:val="21"/>
              </w:rPr>
              <w:t>本工程</w:t>
            </w:r>
            <w:r>
              <w:rPr>
                <w:rFonts w:hint="eastAsia"/>
                <w:szCs w:val="21"/>
              </w:rPr>
              <w:t>建设占用部分</w:t>
            </w:r>
            <w:r>
              <w:rPr>
                <w:rFonts w:hint="eastAsia"/>
                <w:szCs w:val="21"/>
              </w:rPr>
              <w:t>国家二级公益林</w:t>
            </w:r>
            <w:r>
              <w:rPr>
                <w:rFonts w:hint="eastAsia"/>
                <w:szCs w:val="21"/>
              </w:rPr>
              <w:t>、</w:t>
            </w:r>
            <w:r>
              <w:rPr>
                <w:rFonts w:hint="eastAsia"/>
                <w:szCs w:val="21"/>
              </w:rPr>
              <w:t>地方公益林</w:t>
            </w:r>
            <w:r>
              <w:rPr>
                <w:rFonts w:hint="eastAsia"/>
                <w:szCs w:val="21"/>
              </w:rPr>
              <w:t>，</w:t>
            </w:r>
            <w:r>
              <w:rPr>
                <w:rFonts w:hint="eastAsia"/>
                <w:szCs w:val="21"/>
              </w:rPr>
              <w:t>须</w:t>
            </w:r>
            <w:r>
              <w:rPr>
                <w:rFonts w:hint="eastAsia"/>
                <w:szCs w:val="21"/>
              </w:rPr>
              <w:t>按林草管理部门要求办理相关手续</w:t>
            </w:r>
            <w:r>
              <w:rPr>
                <w:rFonts w:hint="eastAsia"/>
                <w:szCs w:val="21"/>
              </w:rPr>
              <w:t>方可开工</w:t>
            </w:r>
            <w:r>
              <w:rPr>
                <w:rFonts w:hint="eastAsia"/>
                <w:szCs w:val="21"/>
              </w:rPr>
              <w:t>，项目采取无害开采工艺</w:t>
            </w:r>
            <w:r>
              <w:rPr>
                <w:szCs w:val="21"/>
              </w:rPr>
              <w:t>，</w:t>
            </w:r>
            <w:r>
              <w:rPr>
                <w:rFonts w:hint="eastAsia"/>
                <w:szCs w:val="21"/>
              </w:rPr>
              <w:t>严格执行生态保护措施，</w:t>
            </w:r>
            <w:r>
              <w:rPr>
                <w:szCs w:val="21"/>
              </w:rPr>
              <w:t>减缓了对生态环境的影响</w:t>
            </w:r>
            <w:r>
              <w:rPr>
                <w:rFonts w:hint="eastAsia"/>
                <w:szCs w:val="21"/>
              </w:rPr>
              <w:t>；</w:t>
            </w:r>
          </w:p>
        </w:tc>
        <w:tc>
          <w:tcPr>
            <w:tcW w:w="362" w:type="pct"/>
            <w:vAlign w:val="center"/>
          </w:tcPr>
          <w:p w:rsidR="00EE4502" w:rsidRDefault="00FD45A3">
            <w:pPr>
              <w:spacing w:line="0" w:lineRule="atLeast"/>
              <w:jc w:val="center"/>
              <w:rPr>
                <w:szCs w:val="21"/>
              </w:rPr>
            </w:pPr>
            <w:r>
              <w:rPr>
                <w:szCs w:val="21"/>
              </w:rPr>
              <w:t>符合</w:t>
            </w:r>
          </w:p>
        </w:tc>
      </w:tr>
      <w:tr w:rsidR="00EE4502">
        <w:trPr>
          <w:trHeight w:val="340"/>
          <w:jc w:val="center"/>
        </w:trPr>
        <w:tc>
          <w:tcPr>
            <w:tcW w:w="797" w:type="pct"/>
            <w:vMerge/>
            <w:vAlign w:val="center"/>
          </w:tcPr>
          <w:p w:rsidR="00EE4502" w:rsidRDefault="00EE4502">
            <w:pPr>
              <w:spacing w:line="0" w:lineRule="atLeast"/>
              <w:jc w:val="center"/>
              <w:rPr>
                <w:spacing w:val="-10"/>
                <w:szCs w:val="21"/>
              </w:rPr>
            </w:pPr>
          </w:p>
        </w:tc>
        <w:tc>
          <w:tcPr>
            <w:tcW w:w="2467" w:type="pct"/>
            <w:vAlign w:val="center"/>
          </w:tcPr>
          <w:p w:rsidR="00EE4502" w:rsidRDefault="00FD45A3">
            <w:pPr>
              <w:spacing w:line="0" w:lineRule="atLeast"/>
              <w:rPr>
                <w:szCs w:val="21"/>
              </w:rPr>
            </w:pPr>
            <w:r>
              <w:rPr>
                <w:rFonts w:hint="eastAsia"/>
                <w:szCs w:val="21"/>
              </w:rPr>
              <w:t>（</w:t>
            </w:r>
            <w:r>
              <w:rPr>
                <w:szCs w:val="21"/>
              </w:rPr>
              <w:t>三</w:t>
            </w:r>
            <w:r>
              <w:rPr>
                <w:rFonts w:hint="eastAsia"/>
                <w:szCs w:val="21"/>
              </w:rPr>
              <w:t>）</w:t>
            </w:r>
            <w:r>
              <w:rPr>
                <w:szCs w:val="21"/>
              </w:rPr>
              <w:t>严格生态环境保护，强化各类污染物防治。针对规划实施可能出现的累积性、长期性生态环境问题，采取积极有效的生态复垦和生态恢复措施，确保实现《报告书》提出的各项生态恢复治理要求，有效减缓规划区生态环境退化趋势。根据油气开采产业政策和生态环境保护政策要求，严格落实资源环境指标要求，进一步控制污染物排放以及能源消耗水平，对油气开采产生的废弃油基泥浆、含油钻屑及其他固体废物，提出减量化的源头控制措施、资源化的利用路径、无害化的处理要求，按照国家和地方有关固体废物的管理规定进行处置，提高废弃油基泥浆和含油钻屑及其处理产物</w:t>
            </w:r>
            <w:r>
              <w:rPr>
                <w:szCs w:val="21"/>
              </w:rPr>
              <w:t>的综合利用率。</w:t>
            </w:r>
            <w:r>
              <w:rPr>
                <w:szCs w:val="21"/>
              </w:rPr>
              <w:lastRenderedPageBreak/>
              <w:t>根据油气开采产业政策和生态环境保护政策要求，严格落实资源环境指标要求，进一步控制污染物排放以及能源消耗水平。油气开采、输送、储存、净化等过程及非正常工况应加强挥发性有机物等污染物排放控制，确保满足区域环境空气质量要求。加强开采废水污染控制，涉及回注的应经处理满足《碎屑岩油藏注水水质推荐指标及分析方法》</w:t>
            </w:r>
            <w:r>
              <w:rPr>
                <w:rFonts w:hint="eastAsia"/>
                <w:szCs w:val="21"/>
              </w:rPr>
              <w:t>（</w:t>
            </w:r>
            <w:r>
              <w:rPr>
                <w:szCs w:val="21"/>
              </w:rPr>
              <w:t>SY/T5329</w:t>
            </w:r>
            <w:r>
              <w:rPr>
                <w:rFonts w:hint="eastAsia"/>
                <w:szCs w:val="21"/>
              </w:rPr>
              <w:t>）</w:t>
            </w:r>
            <w:r>
              <w:rPr>
                <w:szCs w:val="21"/>
              </w:rPr>
              <w:t>等相关标准要求，采取切实可行的地下水污染防治和监控措施，防止造成地下水污染。油气开采过程中产生的固体废物应当遵循减量化、资源化、无害化原则，合规处置。加强伴生气、落地油、采出水</w:t>
            </w:r>
            <w:r>
              <w:rPr>
                <w:szCs w:val="21"/>
              </w:rPr>
              <w:t>等回收利用，提高综合利用水平</w:t>
            </w:r>
          </w:p>
        </w:tc>
        <w:tc>
          <w:tcPr>
            <w:tcW w:w="1373" w:type="pct"/>
            <w:vAlign w:val="center"/>
          </w:tcPr>
          <w:p w:rsidR="00EE4502" w:rsidRDefault="00FD45A3">
            <w:pPr>
              <w:spacing w:line="0" w:lineRule="atLeast"/>
              <w:rPr>
                <w:szCs w:val="21"/>
              </w:rPr>
            </w:pPr>
            <w:r>
              <w:rPr>
                <w:szCs w:val="21"/>
              </w:rPr>
              <w:lastRenderedPageBreak/>
              <w:t>本工程建设占用土地资源相对区域资源利用较少，土地资源消耗符合要求。项目用水量较少，施工废水、生活污水等进行综合利用，节约了水资源；输送采用密闭集输，可减少</w:t>
            </w:r>
            <w:r>
              <w:rPr>
                <w:rFonts w:hint="eastAsia"/>
                <w:szCs w:val="21"/>
              </w:rPr>
              <w:t>大气</w:t>
            </w:r>
            <w:r>
              <w:rPr>
                <w:szCs w:val="21"/>
              </w:rPr>
              <w:t>污染物的排放，实现污染物达标排放；能源利用均在区域负荷范围内，消耗未超出区域负荷上限。项目运营期油气处理和采出水、井下作业</w:t>
            </w:r>
            <w:r>
              <w:rPr>
                <w:szCs w:val="21"/>
              </w:rPr>
              <w:lastRenderedPageBreak/>
              <w:t>废水依托</w:t>
            </w:r>
            <w:r>
              <w:rPr>
                <w:rFonts w:hint="eastAsia"/>
                <w:szCs w:val="21"/>
              </w:rPr>
              <w:t>已建</w:t>
            </w:r>
            <w:r>
              <w:rPr>
                <w:szCs w:val="21"/>
              </w:rPr>
              <w:t>联合站处理，处理满足《碎屑岩油藏注水水质指标技术要求及分析方法》（</w:t>
            </w:r>
            <w:r>
              <w:rPr>
                <w:szCs w:val="21"/>
              </w:rPr>
              <w:t>SY/T5329-2022</w:t>
            </w:r>
            <w:r>
              <w:rPr>
                <w:rFonts w:hint="eastAsia"/>
                <w:szCs w:val="21"/>
              </w:rPr>
              <w:t>）</w:t>
            </w:r>
            <w:r>
              <w:rPr>
                <w:szCs w:val="21"/>
              </w:rPr>
              <w:t>后回注地下，提出了切实可行的地下水污染防治和监控措施；项目建设和运营期间产生的固废首先考虑综合利</w:t>
            </w:r>
            <w:r>
              <w:rPr>
                <w:szCs w:val="21"/>
              </w:rPr>
              <w:t>用，不能利用的均进行合规处置</w:t>
            </w:r>
          </w:p>
        </w:tc>
        <w:tc>
          <w:tcPr>
            <w:tcW w:w="362" w:type="pct"/>
            <w:vAlign w:val="center"/>
          </w:tcPr>
          <w:p w:rsidR="00EE4502" w:rsidRDefault="00FD45A3">
            <w:pPr>
              <w:spacing w:line="0" w:lineRule="atLeast"/>
              <w:jc w:val="center"/>
              <w:rPr>
                <w:szCs w:val="21"/>
              </w:rPr>
            </w:pPr>
            <w:r>
              <w:rPr>
                <w:szCs w:val="21"/>
              </w:rPr>
              <w:lastRenderedPageBreak/>
              <w:t>符合</w:t>
            </w:r>
          </w:p>
        </w:tc>
      </w:tr>
      <w:tr w:rsidR="00EE4502">
        <w:trPr>
          <w:trHeight w:val="340"/>
          <w:jc w:val="center"/>
        </w:trPr>
        <w:tc>
          <w:tcPr>
            <w:tcW w:w="797" w:type="pct"/>
            <w:vMerge/>
            <w:vAlign w:val="center"/>
          </w:tcPr>
          <w:p w:rsidR="00EE4502" w:rsidRDefault="00EE4502">
            <w:pPr>
              <w:spacing w:line="0" w:lineRule="atLeast"/>
              <w:jc w:val="center"/>
              <w:rPr>
                <w:spacing w:val="-10"/>
                <w:szCs w:val="21"/>
              </w:rPr>
            </w:pPr>
          </w:p>
        </w:tc>
        <w:tc>
          <w:tcPr>
            <w:tcW w:w="2467" w:type="pct"/>
            <w:vAlign w:val="center"/>
          </w:tcPr>
          <w:p w:rsidR="00EE4502" w:rsidRDefault="00FD45A3">
            <w:pPr>
              <w:spacing w:line="0" w:lineRule="atLeast"/>
              <w:rPr>
                <w:szCs w:val="21"/>
              </w:rPr>
            </w:pPr>
            <w:r>
              <w:rPr>
                <w:rFonts w:hint="eastAsia"/>
                <w:szCs w:val="21"/>
              </w:rPr>
              <w:t>（</w:t>
            </w:r>
            <w:r>
              <w:rPr>
                <w:szCs w:val="21"/>
              </w:rPr>
              <w:t>四）加强生态环境系统治理，维护生态安全。坚持节约优先、保护优先、自然恢复为主，统筹推进山水林田湖草沙一体化保护和系统治理，守住自然生态安全边界。严格控制油气田开发扰动范围，加大生态治理力度，结合油气开采绿色矿山建设等相关要求，落实各项生态环境保护措施，保障区域生态功能不退化。油气开发应同步制定并落实生态保护和修复方案，综合考虑防沙治沙等相关要求，因地制宜开展生态恢复治理工作</w:t>
            </w:r>
          </w:p>
        </w:tc>
        <w:tc>
          <w:tcPr>
            <w:tcW w:w="1373" w:type="pct"/>
            <w:vAlign w:val="center"/>
          </w:tcPr>
          <w:p w:rsidR="00EE4502" w:rsidRDefault="00FD45A3">
            <w:pPr>
              <w:spacing w:line="0" w:lineRule="atLeast"/>
              <w:rPr>
                <w:szCs w:val="21"/>
              </w:rPr>
            </w:pPr>
            <w:r>
              <w:rPr>
                <w:szCs w:val="21"/>
              </w:rPr>
              <w:t>本工程严格控制占地面积，项目建设过程中落实各项生态环境保护措施，并在施工结束后因地制宜开展生</w:t>
            </w:r>
            <w:r>
              <w:rPr>
                <w:szCs w:val="21"/>
              </w:rPr>
              <w:t>态恢复及治理，保障区域生态功能不退化</w:t>
            </w:r>
          </w:p>
        </w:tc>
        <w:tc>
          <w:tcPr>
            <w:tcW w:w="362" w:type="pct"/>
            <w:vAlign w:val="center"/>
          </w:tcPr>
          <w:p w:rsidR="00EE4502" w:rsidRDefault="00FD45A3">
            <w:pPr>
              <w:spacing w:line="0" w:lineRule="atLeast"/>
              <w:jc w:val="center"/>
              <w:rPr>
                <w:szCs w:val="21"/>
              </w:rPr>
            </w:pPr>
            <w:r>
              <w:rPr>
                <w:szCs w:val="21"/>
              </w:rPr>
              <w:t>符合</w:t>
            </w:r>
          </w:p>
        </w:tc>
      </w:tr>
      <w:tr w:rsidR="00EE4502">
        <w:trPr>
          <w:trHeight w:val="340"/>
          <w:jc w:val="center"/>
        </w:trPr>
        <w:tc>
          <w:tcPr>
            <w:tcW w:w="797" w:type="pct"/>
            <w:vMerge/>
            <w:vAlign w:val="center"/>
          </w:tcPr>
          <w:p w:rsidR="00EE4502" w:rsidRDefault="00EE4502">
            <w:pPr>
              <w:spacing w:line="0" w:lineRule="atLeast"/>
              <w:jc w:val="center"/>
              <w:rPr>
                <w:spacing w:val="-10"/>
                <w:szCs w:val="21"/>
              </w:rPr>
            </w:pPr>
          </w:p>
        </w:tc>
        <w:tc>
          <w:tcPr>
            <w:tcW w:w="2467" w:type="pct"/>
            <w:vAlign w:val="center"/>
          </w:tcPr>
          <w:p w:rsidR="00EE4502" w:rsidRDefault="00FD45A3">
            <w:pPr>
              <w:spacing w:line="0" w:lineRule="atLeast"/>
              <w:rPr>
                <w:szCs w:val="21"/>
              </w:rPr>
            </w:pPr>
            <w:r>
              <w:rPr>
                <w:rFonts w:hint="eastAsia"/>
                <w:szCs w:val="21"/>
              </w:rPr>
              <w:t>（</w:t>
            </w:r>
            <w:r>
              <w:rPr>
                <w:szCs w:val="21"/>
              </w:rPr>
              <w:t>五</w:t>
            </w:r>
            <w:r>
              <w:rPr>
                <w:rFonts w:hint="eastAsia"/>
                <w:szCs w:val="21"/>
              </w:rPr>
              <w:t>）</w:t>
            </w:r>
            <w:r>
              <w:rPr>
                <w:szCs w:val="21"/>
              </w:rPr>
              <w:t>加强规划区现有环境问题治理，严格落实《报告书》提出的现有环境问题的整改要求。按照标准规范要求恢复现有废弃场地生态环境，及时恢复公益林区域历史遗留临时占地遗迹。完善现有重点场站、储罐、装卸区密封点</w:t>
            </w:r>
            <w:r>
              <w:rPr>
                <w:szCs w:val="21"/>
              </w:rPr>
              <w:t xml:space="preserve"> VOCs </w:t>
            </w:r>
            <w:r>
              <w:rPr>
                <w:szCs w:val="21"/>
              </w:rPr>
              <w:t>控制和管理措施按照相关标准规定频次开展</w:t>
            </w:r>
            <w:r>
              <w:rPr>
                <w:szCs w:val="21"/>
              </w:rPr>
              <w:t xml:space="preserve"> VOCs </w:t>
            </w:r>
            <w:r>
              <w:rPr>
                <w:szCs w:val="21"/>
              </w:rPr>
              <w:t>泄漏检测与修复工作。建立并加强与政府及周边企事业单位的联动机制，继续加强各类管线的环保隐患治理工程，以进一步降低管线刺漏等风险事故的发生频率。细化完善环境管理制度，加大基层环保队伍建设，加强针对性培训。</w:t>
            </w:r>
            <w:r>
              <w:rPr>
                <w:szCs w:val="21"/>
              </w:rPr>
              <w:t>积极通过开展清洁生产审核等方式提高油气开发清洁生产水平。按照国家及自治区关于建设绿色油气田的政策规定与标准规范要求，加强规划区油气资源开发的环保技术工艺装备升级换代加大油气开发区域生态环境综合治理力度，激发油气资源开发企业绿色发展的内生动力，推动区域生态环境持续健康发展</w:t>
            </w:r>
          </w:p>
        </w:tc>
        <w:tc>
          <w:tcPr>
            <w:tcW w:w="1373" w:type="pct"/>
            <w:vAlign w:val="center"/>
          </w:tcPr>
          <w:p w:rsidR="00EE4502" w:rsidRDefault="00FD45A3">
            <w:pPr>
              <w:spacing w:line="0" w:lineRule="atLeast"/>
              <w:rPr>
                <w:szCs w:val="21"/>
              </w:rPr>
            </w:pPr>
            <w:r>
              <w:rPr>
                <w:szCs w:val="21"/>
              </w:rPr>
              <w:t>春风油田后续按照规划相关要求，加快关停井场生态恢复，积极开展清洁生产审核，并响应国家、自治区相关要求，按照国家及自治区关于建设绿色油气田的政策规定与标准规范要求，加强区块内油气资源开发的环保技术工艺装备升级换代加大油气开发区域生态环境综合治</w:t>
            </w:r>
            <w:r>
              <w:rPr>
                <w:szCs w:val="21"/>
              </w:rPr>
              <w:t>理力度，激发油气资源开发企业绿色发展的内生动力，推动区域生态环境持续健康发展</w:t>
            </w:r>
          </w:p>
        </w:tc>
        <w:tc>
          <w:tcPr>
            <w:tcW w:w="362" w:type="pct"/>
            <w:vAlign w:val="center"/>
          </w:tcPr>
          <w:p w:rsidR="00EE4502" w:rsidRDefault="00FD45A3">
            <w:pPr>
              <w:spacing w:line="0" w:lineRule="atLeast"/>
              <w:jc w:val="center"/>
              <w:rPr>
                <w:szCs w:val="21"/>
              </w:rPr>
            </w:pPr>
            <w:r>
              <w:rPr>
                <w:szCs w:val="21"/>
              </w:rPr>
              <w:t>符合</w:t>
            </w:r>
          </w:p>
        </w:tc>
      </w:tr>
      <w:tr w:rsidR="00EE4502">
        <w:trPr>
          <w:trHeight w:val="340"/>
          <w:jc w:val="center"/>
        </w:trPr>
        <w:tc>
          <w:tcPr>
            <w:tcW w:w="797" w:type="pct"/>
            <w:vMerge/>
            <w:vAlign w:val="center"/>
          </w:tcPr>
          <w:p w:rsidR="00EE4502" w:rsidRDefault="00EE4502">
            <w:pPr>
              <w:spacing w:line="0" w:lineRule="atLeast"/>
              <w:jc w:val="center"/>
              <w:rPr>
                <w:spacing w:val="-10"/>
                <w:szCs w:val="21"/>
              </w:rPr>
            </w:pPr>
          </w:p>
        </w:tc>
        <w:tc>
          <w:tcPr>
            <w:tcW w:w="2467" w:type="pct"/>
            <w:vAlign w:val="center"/>
          </w:tcPr>
          <w:p w:rsidR="00EE4502" w:rsidRDefault="00FD45A3">
            <w:pPr>
              <w:spacing w:line="0" w:lineRule="atLeast"/>
              <w:rPr>
                <w:szCs w:val="21"/>
              </w:rPr>
            </w:pPr>
            <w:r>
              <w:rPr>
                <w:rFonts w:hint="eastAsia"/>
                <w:szCs w:val="21"/>
              </w:rPr>
              <w:t>（</w:t>
            </w:r>
            <w:r>
              <w:rPr>
                <w:szCs w:val="21"/>
              </w:rPr>
              <w:t>六</w:t>
            </w:r>
            <w:r>
              <w:rPr>
                <w:rFonts w:hint="eastAsia"/>
                <w:szCs w:val="21"/>
              </w:rPr>
              <w:t>）</w:t>
            </w:r>
            <w:r>
              <w:rPr>
                <w:szCs w:val="21"/>
              </w:rPr>
              <w:t>加强油气开发事中事后环境管理。油气企业应切实落实生态环境保护主体责任，进一步健全生态环境管理和应急管理体系，确保各项生态环境保护和应急防控措施落实到位。建立环境空气、水环境、土壤环境、生态等监测体系，开展长期跟踪监测。根据监测结果，及时优化开发方案，并采取有效</w:t>
            </w:r>
            <w:r>
              <w:rPr>
                <w:szCs w:val="21"/>
              </w:rPr>
              <w:lastRenderedPageBreak/>
              <w:t>的生态环境保护措施</w:t>
            </w:r>
          </w:p>
        </w:tc>
        <w:tc>
          <w:tcPr>
            <w:tcW w:w="1373" w:type="pct"/>
            <w:vAlign w:val="center"/>
          </w:tcPr>
          <w:p w:rsidR="00EE4502" w:rsidRDefault="00FD45A3">
            <w:pPr>
              <w:spacing w:line="0" w:lineRule="atLeast"/>
              <w:rPr>
                <w:szCs w:val="21"/>
              </w:rPr>
            </w:pPr>
            <w:r>
              <w:rPr>
                <w:szCs w:val="21"/>
              </w:rPr>
              <w:lastRenderedPageBreak/>
              <w:t>春风油田定期开展后评价工作，现已初步建立了环境空气、水环境、土壤环境等监测体系，后续需进一步加强生态监测，根据监测结果，及时优化开发方案和环</w:t>
            </w:r>
            <w:r>
              <w:rPr>
                <w:szCs w:val="21"/>
              </w:rPr>
              <w:lastRenderedPageBreak/>
              <w:t>保措施</w:t>
            </w:r>
          </w:p>
        </w:tc>
        <w:tc>
          <w:tcPr>
            <w:tcW w:w="362" w:type="pct"/>
            <w:vAlign w:val="center"/>
          </w:tcPr>
          <w:p w:rsidR="00EE4502" w:rsidRDefault="00FD45A3">
            <w:pPr>
              <w:spacing w:line="0" w:lineRule="atLeast"/>
              <w:jc w:val="center"/>
              <w:rPr>
                <w:szCs w:val="21"/>
              </w:rPr>
            </w:pPr>
            <w:r>
              <w:rPr>
                <w:szCs w:val="21"/>
              </w:rPr>
              <w:lastRenderedPageBreak/>
              <w:t>符合</w:t>
            </w:r>
          </w:p>
        </w:tc>
      </w:tr>
      <w:tr w:rsidR="00EE4502">
        <w:trPr>
          <w:trHeight w:val="340"/>
          <w:jc w:val="center"/>
        </w:trPr>
        <w:tc>
          <w:tcPr>
            <w:tcW w:w="797" w:type="pct"/>
            <w:vMerge/>
            <w:vAlign w:val="center"/>
          </w:tcPr>
          <w:p w:rsidR="00EE4502" w:rsidRDefault="00EE4502">
            <w:pPr>
              <w:spacing w:line="0" w:lineRule="atLeast"/>
              <w:jc w:val="center"/>
              <w:rPr>
                <w:spacing w:val="-10"/>
                <w:szCs w:val="21"/>
              </w:rPr>
            </w:pPr>
          </w:p>
        </w:tc>
        <w:tc>
          <w:tcPr>
            <w:tcW w:w="2467" w:type="pct"/>
            <w:vAlign w:val="center"/>
          </w:tcPr>
          <w:p w:rsidR="00EE4502" w:rsidRDefault="00FD45A3">
            <w:pPr>
              <w:spacing w:line="0" w:lineRule="atLeast"/>
              <w:rPr>
                <w:szCs w:val="21"/>
              </w:rPr>
            </w:pPr>
            <w:r>
              <w:rPr>
                <w:rFonts w:hint="eastAsia"/>
                <w:szCs w:val="21"/>
              </w:rPr>
              <w:t>（七）</w:t>
            </w:r>
            <w:r>
              <w:rPr>
                <w:szCs w:val="21"/>
              </w:rPr>
              <w:t>建立畅通的公众参与平台，及时解决公众提出的环境问题，满足公众合理的环保诉求</w:t>
            </w:r>
            <w:r>
              <w:rPr>
                <w:rFonts w:hint="eastAsia"/>
                <w:szCs w:val="21"/>
              </w:rPr>
              <w:t>；</w:t>
            </w:r>
            <w:r>
              <w:rPr>
                <w:szCs w:val="21"/>
              </w:rPr>
              <w:t>定期发布环境信息，并主动接受社会监督</w:t>
            </w:r>
          </w:p>
        </w:tc>
        <w:tc>
          <w:tcPr>
            <w:tcW w:w="1373" w:type="pct"/>
            <w:vAlign w:val="center"/>
          </w:tcPr>
          <w:p w:rsidR="00EE4502" w:rsidRDefault="00FD45A3">
            <w:pPr>
              <w:spacing w:line="0" w:lineRule="atLeast"/>
              <w:rPr>
                <w:szCs w:val="21"/>
              </w:rPr>
            </w:pPr>
            <w:r>
              <w:rPr>
                <w:szCs w:val="21"/>
              </w:rPr>
              <w:t>企业按照环境影响评价公众参与办法等有关要求，主动公开了油气开采项目环境信息</w:t>
            </w:r>
          </w:p>
        </w:tc>
        <w:tc>
          <w:tcPr>
            <w:tcW w:w="362" w:type="pct"/>
            <w:vAlign w:val="center"/>
          </w:tcPr>
          <w:p w:rsidR="00EE4502" w:rsidRDefault="00FD45A3">
            <w:pPr>
              <w:spacing w:line="0" w:lineRule="atLeast"/>
              <w:jc w:val="center"/>
              <w:rPr>
                <w:szCs w:val="21"/>
              </w:rPr>
            </w:pPr>
            <w:r>
              <w:rPr>
                <w:szCs w:val="21"/>
              </w:rPr>
              <w:t>符合</w:t>
            </w:r>
          </w:p>
        </w:tc>
      </w:tr>
      <w:tr w:rsidR="00EE4502">
        <w:trPr>
          <w:trHeight w:val="340"/>
          <w:jc w:val="center"/>
        </w:trPr>
        <w:tc>
          <w:tcPr>
            <w:tcW w:w="797" w:type="pct"/>
            <w:vMerge/>
            <w:vAlign w:val="center"/>
          </w:tcPr>
          <w:p w:rsidR="00EE4502" w:rsidRDefault="00EE4502">
            <w:pPr>
              <w:spacing w:line="0" w:lineRule="atLeast"/>
              <w:jc w:val="center"/>
              <w:rPr>
                <w:spacing w:val="-10"/>
                <w:szCs w:val="21"/>
              </w:rPr>
            </w:pPr>
          </w:p>
        </w:tc>
        <w:tc>
          <w:tcPr>
            <w:tcW w:w="2467" w:type="pct"/>
            <w:vAlign w:val="center"/>
          </w:tcPr>
          <w:p w:rsidR="00EE4502" w:rsidRDefault="00FD45A3">
            <w:pPr>
              <w:spacing w:line="0" w:lineRule="atLeast"/>
              <w:rPr>
                <w:szCs w:val="21"/>
              </w:rPr>
            </w:pPr>
            <w:r>
              <w:rPr>
                <w:szCs w:val="21"/>
              </w:rPr>
              <w:t>（八）规划所包含的建设项目应结合《报告书》提出的相关要求做好环境影响评价工作，重点调查生态、地下水、土壤等环境敏感目标分布情况，论证环境保护措施有效</w:t>
            </w:r>
            <w:r>
              <w:rPr>
                <w:szCs w:val="21"/>
              </w:rPr>
              <w:t>性；在规划区域内新建、扩建、技术改造的建设项目，区域环境现状调查、污染源现状调查等评价内容可以适当简化</w:t>
            </w:r>
          </w:p>
        </w:tc>
        <w:tc>
          <w:tcPr>
            <w:tcW w:w="1373" w:type="pct"/>
            <w:vAlign w:val="center"/>
          </w:tcPr>
          <w:p w:rsidR="00EE4502" w:rsidRDefault="00FD45A3">
            <w:pPr>
              <w:spacing w:line="0" w:lineRule="atLeast"/>
              <w:rPr>
                <w:szCs w:val="21"/>
              </w:rPr>
            </w:pPr>
            <w:r>
              <w:rPr>
                <w:szCs w:val="21"/>
              </w:rPr>
              <w:t>本次评价结合规划环境影响报告书开展了生态、地下水、土壤的调查，论证了环保措施有效性，对区域环境调查中污染源现状调查进行了适当简化</w:t>
            </w:r>
          </w:p>
        </w:tc>
        <w:tc>
          <w:tcPr>
            <w:tcW w:w="362" w:type="pct"/>
            <w:vAlign w:val="center"/>
          </w:tcPr>
          <w:p w:rsidR="00EE4502" w:rsidRDefault="00FD45A3">
            <w:pPr>
              <w:spacing w:line="0" w:lineRule="atLeast"/>
              <w:jc w:val="center"/>
              <w:rPr>
                <w:szCs w:val="21"/>
              </w:rPr>
            </w:pPr>
            <w:r>
              <w:rPr>
                <w:szCs w:val="21"/>
              </w:rPr>
              <w:t>符合</w:t>
            </w:r>
          </w:p>
        </w:tc>
      </w:tr>
    </w:tbl>
    <w:p w:rsidR="00EE4502" w:rsidRDefault="00FD45A3">
      <w:pPr>
        <w:pStyle w:val="33"/>
        <w:numPr>
          <w:ilvl w:val="2"/>
          <w:numId w:val="30"/>
        </w:numPr>
        <w:spacing w:line="360" w:lineRule="auto"/>
        <w:ind w:left="0" w:firstLine="0"/>
        <w:rPr>
          <w:spacing w:val="0"/>
          <w:sz w:val="24"/>
          <w:szCs w:val="24"/>
        </w:rPr>
      </w:pPr>
      <w:r>
        <w:rPr>
          <w:rFonts w:hint="eastAsia"/>
          <w:spacing w:val="0"/>
          <w:sz w:val="24"/>
          <w:szCs w:val="24"/>
        </w:rPr>
        <w:t>生态环境分区管控符合性分析</w:t>
      </w:r>
    </w:p>
    <w:p w:rsidR="00EE4502" w:rsidRDefault="00FD45A3">
      <w:pPr>
        <w:tabs>
          <w:tab w:val="left" w:pos="720"/>
        </w:tabs>
        <w:autoSpaceDE w:val="0"/>
        <w:autoSpaceDN w:val="0"/>
        <w:spacing w:line="360" w:lineRule="auto"/>
        <w:ind w:right="17" w:firstLineChars="200" w:firstLine="480"/>
        <w:rPr>
          <w:bCs/>
          <w:sz w:val="24"/>
        </w:rPr>
      </w:pPr>
      <w:r>
        <w:rPr>
          <w:rFonts w:hint="eastAsia"/>
          <w:bCs/>
          <w:sz w:val="24"/>
        </w:rPr>
        <w:t>根据《克拉玛依市“三线一单”生态环境分区管控方案（</w:t>
      </w:r>
      <w:r>
        <w:rPr>
          <w:rFonts w:hint="eastAsia"/>
          <w:bCs/>
          <w:sz w:val="24"/>
        </w:rPr>
        <w:t>2023</w:t>
      </w:r>
      <w:r>
        <w:rPr>
          <w:rFonts w:hint="eastAsia"/>
          <w:bCs/>
          <w:sz w:val="24"/>
        </w:rPr>
        <w:t>版）》（新克政发〔</w:t>
      </w:r>
      <w:r>
        <w:rPr>
          <w:rFonts w:hint="eastAsia"/>
          <w:bCs/>
          <w:sz w:val="24"/>
        </w:rPr>
        <w:t>2024</w:t>
      </w:r>
      <w:r>
        <w:rPr>
          <w:rFonts w:hint="eastAsia"/>
          <w:bCs/>
          <w:sz w:val="24"/>
        </w:rPr>
        <w:t>〕</w:t>
      </w:r>
      <w:r>
        <w:rPr>
          <w:rFonts w:hint="eastAsia"/>
          <w:bCs/>
          <w:sz w:val="24"/>
        </w:rPr>
        <w:t>22</w:t>
      </w:r>
      <w:r>
        <w:rPr>
          <w:rFonts w:hint="eastAsia"/>
          <w:bCs/>
          <w:sz w:val="24"/>
        </w:rPr>
        <w:t>号）、《第七师胡杨河市“三线一单”生态环境分区管控方案》（师市发﹝</w:t>
      </w:r>
      <w:r>
        <w:rPr>
          <w:rFonts w:hint="eastAsia"/>
          <w:bCs/>
          <w:sz w:val="24"/>
        </w:rPr>
        <w:t>2021</w:t>
      </w:r>
      <w:r>
        <w:rPr>
          <w:rFonts w:hint="eastAsia"/>
          <w:bCs/>
          <w:sz w:val="24"/>
        </w:rPr>
        <w:t>﹞</w:t>
      </w:r>
      <w:r>
        <w:rPr>
          <w:rFonts w:hint="eastAsia"/>
          <w:bCs/>
          <w:sz w:val="24"/>
        </w:rPr>
        <w:t>8</w:t>
      </w:r>
      <w:r>
        <w:rPr>
          <w:rFonts w:hint="eastAsia"/>
          <w:bCs/>
          <w:sz w:val="24"/>
        </w:rPr>
        <w:t>号）以及新疆生产建设兵团</w:t>
      </w:r>
      <w:r>
        <w:rPr>
          <w:rFonts w:hint="eastAsia"/>
          <w:bCs/>
          <w:sz w:val="24"/>
        </w:rPr>
        <w:t>2023</w:t>
      </w:r>
      <w:r>
        <w:rPr>
          <w:rFonts w:hint="eastAsia"/>
          <w:bCs/>
          <w:sz w:val="24"/>
        </w:rPr>
        <w:t>年度生态环境分区管控动态更新成果，本工程所在区域涉及“克拉玛依区环境一般管控单元</w:t>
      </w:r>
      <w:r>
        <w:rPr>
          <w:rFonts w:hint="eastAsia"/>
          <w:bCs/>
          <w:sz w:val="24"/>
        </w:rPr>
        <w:t>04</w:t>
      </w:r>
      <w:r>
        <w:rPr>
          <w:rFonts w:hint="eastAsia"/>
          <w:bCs/>
          <w:sz w:val="24"/>
        </w:rPr>
        <w:t>（</w:t>
      </w:r>
      <w:r>
        <w:rPr>
          <w:rFonts w:hint="eastAsia"/>
          <w:bCs/>
          <w:sz w:val="24"/>
        </w:rPr>
        <w:t>ZH65020330004</w:t>
      </w:r>
      <w:r>
        <w:rPr>
          <w:rFonts w:hint="eastAsia"/>
          <w:bCs/>
          <w:sz w:val="24"/>
        </w:rPr>
        <w:t>）”“胡杨河市</w:t>
      </w:r>
      <w:r>
        <w:rPr>
          <w:rFonts w:hint="eastAsia"/>
          <w:bCs/>
          <w:sz w:val="24"/>
        </w:rPr>
        <w:t>128</w:t>
      </w:r>
      <w:r>
        <w:rPr>
          <w:rFonts w:hint="eastAsia"/>
          <w:bCs/>
          <w:sz w:val="24"/>
        </w:rPr>
        <w:t>团重点管控单元（</w:t>
      </w:r>
      <w:r>
        <w:rPr>
          <w:rFonts w:hint="eastAsia"/>
          <w:bCs/>
          <w:sz w:val="24"/>
        </w:rPr>
        <w:t>ZH65901020003</w:t>
      </w:r>
      <w:r>
        <w:rPr>
          <w:rFonts w:hint="eastAsia"/>
          <w:bCs/>
          <w:sz w:val="24"/>
        </w:rPr>
        <w:t>）”。</w:t>
      </w:r>
    </w:p>
    <w:p w:rsidR="00EE4502" w:rsidRDefault="00FD45A3">
      <w:pPr>
        <w:tabs>
          <w:tab w:val="left" w:pos="720"/>
        </w:tabs>
        <w:autoSpaceDE w:val="0"/>
        <w:autoSpaceDN w:val="0"/>
        <w:spacing w:line="360" w:lineRule="auto"/>
        <w:ind w:right="17" w:firstLineChars="200" w:firstLine="480"/>
        <w:rPr>
          <w:bCs/>
          <w:sz w:val="24"/>
        </w:rPr>
      </w:pPr>
      <w:r>
        <w:rPr>
          <w:rFonts w:hint="eastAsia"/>
          <w:bCs/>
          <w:sz w:val="24"/>
        </w:rPr>
        <w:t>本</w:t>
      </w:r>
      <w:r>
        <w:rPr>
          <w:rFonts w:hint="eastAsia"/>
          <w:bCs/>
          <w:sz w:val="24"/>
        </w:rPr>
        <w:t>工程</w:t>
      </w:r>
      <w:r>
        <w:rPr>
          <w:rFonts w:hint="eastAsia"/>
          <w:bCs/>
          <w:sz w:val="24"/>
        </w:rPr>
        <w:t>与生态环境分区管控</w:t>
      </w:r>
      <w:r>
        <w:rPr>
          <w:rFonts w:hint="eastAsia"/>
          <w:bCs/>
          <w:sz w:val="24"/>
        </w:rPr>
        <w:t>单元</w:t>
      </w:r>
      <w:r>
        <w:rPr>
          <w:rFonts w:hint="eastAsia"/>
          <w:bCs/>
          <w:sz w:val="24"/>
        </w:rPr>
        <w:t>的符合性分析分别见表</w:t>
      </w:r>
      <w:r>
        <w:rPr>
          <w:rFonts w:hint="eastAsia"/>
          <w:bCs/>
          <w:sz w:val="24"/>
        </w:rPr>
        <w:t>3</w:t>
      </w:r>
      <w:r>
        <w:rPr>
          <w:rFonts w:hint="eastAsia"/>
          <w:bCs/>
          <w:sz w:val="24"/>
        </w:rPr>
        <w:t>-5</w:t>
      </w:r>
      <w:r>
        <w:rPr>
          <w:rFonts w:hint="eastAsia"/>
          <w:bCs/>
          <w:sz w:val="24"/>
        </w:rPr>
        <w:t>-</w:t>
      </w:r>
      <w:r>
        <w:rPr>
          <w:rFonts w:hint="eastAsia"/>
          <w:bCs/>
          <w:sz w:val="24"/>
        </w:rPr>
        <w:t>4</w:t>
      </w:r>
      <w:r>
        <w:rPr>
          <w:rFonts w:hint="eastAsia"/>
          <w:bCs/>
          <w:sz w:val="24"/>
        </w:rPr>
        <w:t>、</w:t>
      </w:r>
      <w:r>
        <w:rPr>
          <w:rFonts w:hint="eastAsia"/>
          <w:bCs/>
          <w:sz w:val="24"/>
        </w:rPr>
        <w:t>图</w:t>
      </w:r>
      <w:r>
        <w:rPr>
          <w:rFonts w:hint="eastAsia"/>
          <w:bCs/>
          <w:sz w:val="24"/>
        </w:rPr>
        <w:t>3</w:t>
      </w:r>
      <w:r>
        <w:rPr>
          <w:rFonts w:hint="eastAsia"/>
          <w:bCs/>
          <w:sz w:val="24"/>
        </w:rPr>
        <w:t>-5</w:t>
      </w:r>
      <w:r>
        <w:rPr>
          <w:rFonts w:hint="eastAsia"/>
          <w:bCs/>
          <w:sz w:val="24"/>
        </w:rPr>
        <w:t>-1</w:t>
      </w:r>
      <w:r>
        <w:rPr>
          <w:rFonts w:hint="eastAsia"/>
          <w:bCs/>
          <w:sz w:val="24"/>
        </w:rPr>
        <w:t>、</w:t>
      </w:r>
      <w:r>
        <w:rPr>
          <w:rFonts w:hint="eastAsia"/>
          <w:bCs/>
          <w:sz w:val="24"/>
        </w:rPr>
        <w:t>图</w:t>
      </w:r>
      <w:r>
        <w:rPr>
          <w:rFonts w:hint="eastAsia"/>
          <w:bCs/>
          <w:sz w:val="24"/>
        </w:rPr>
        <w:t>3</w:t>
      </w:r>
      <w:r>
        <w:rPr>
          <w:rFonts w:hint="eastAsia"/>
          <w:bCs/>
          <w:sz w:val="24"/>
        </w:rPr>
        <w:t>-5</w:t>
      </w:r>
      <w:r>
        <w:rPr>
          <w:rFonts w:hint="eastAsia"/>
          <w:bCs/>
          <w:sz w:val="24"/>
        </w:rPr>
        <w:t>-2</w:t>
      </w:r>
      <w:r>
        <w:rPr>
          <w:rFonts w:hint="eastAsia"/>
          <w:bCs/>
          <w:sz w:val="24"/>
        </w:rPr>
        <w:t>。</w:t>
      </w:r>
    </w:p>
    <w:p w:rsidR="00EE4502" w:rsidRDefault="00FD45A3">
      <w:pPr>
        <w:tabs>
          <w:tab w:val="left" w:pos="720"/>
        </w:tabs>
        <w:autoSpaceDE w:val="0"/>
        <w:autoSpaceDN w:val="0"/>
        <w:spacing w:line="360" w:lineRule="auto"/>
        <w:ind w:right="17" w:firstLineChars="200" w:firstLine="480"/>
        <w:rPr>
          <w:bCs/>
          <w:sz w:val="24"/>
        </w:rPr>
      </w:pPr>
      <w:r>
        <w:rPr>
          <w:rFonts w:hint="eastAsia"/>
          <w:bCs/>
          <w:sz w:val="24"/>
        </w:rPr>
        <w:t>根据分析结果，本</w:t>
      </w:r>
      <w:r>
        <w:rPr>
          <w:rFonts w:hint="eastAsia"/>
          <w:bCs/>
          <w:sz w:val="24"/>
        </w:rPr>
        <w:t>工程</w:t>
      </w:r>
      <w:r>
        <w:rPr>
          <w:rFonts w:hint="eastAsia"/>
          <w:bCs/>
          <w:sz w:val="24"/>
        </w:rPr>
        <w:t>建设符合生态环境分区</w:t>
      </w:r>
      <w:r>
        <w:rPr>
          <w:rFonts w:hint="eastAsia"/>
          <w:bCs/>
          <w:sz w:val="24"/>
        </w:rPr>
        <w:t>管控单元</w:t>
      </w:r>
      <w:r>
        <w:rPr>
          <w:rFonts w:hint="eastAsia"/>
          <w:bCs/>
          <w:sz w:val="24"/>
        </w:rPr>
        <w:t>的</w:t>
      </w:r>
      <w:r>
        <w:rPr>
          <w:rFonts w:hint="eastAsia"/>
          <w:bCs/>
          <w:sz w:val="24"/>
        </w:rPr>
        <w:t>要求</w:t>
      </w:r>
      <w:r>
        <w:rPr>
          <w:rFonts w:hint="eastAsia"/>
          <w:bCs/>
          <w:sz w:val="24"/>
        </w:rPr>
        <w:t>。</w:t>
      </w:r>
    </w:p>
    <w:p w:rsidR="00EE4502" w:rsidRDefault="00FD45A3">
      <w:pPr>
        <w:widowControl/>
        <w:spacing w:line="360" w:lineRule="auto"/>
        <w:jc w:val="center"/>
        <w:rPr>
          <w:rFonts w:ascii="黑体" w:eastAsia="黑体" w:hAnsi="黑体" w:cs="黑体"/>
          <w:bCs/>
          <w:kern w:val="0"/>
          <w:szCs w:val="21"/>
          <w:lang w:bidi="ar"/>
        </w:rPr>
      </w:pPr>
      <w:r>
        <w:rPr>
          <w:rFonts w:ascii="黑体" w:eastAsia="黑体" w:hAnsi="黑体" w:cs="黑体" w:hint="eastAsia"/>
          <w:bCs/>
          <w:kern w:val="0"/>
          <w:szCs w:val="21"/>
          <w:lang w:bidi="ar"/>
        </w:rPr>
        <w:t>表</w:t>
      </w:r>
      <w:r>
        <w:rPr>
          <w:rFonts w:ascii="黑体" w:eastAsia="黑体" w:hAnsi="黑体" w:cs="黑体" w:hint="eastAsia"/>
          <w:bCs/>
          <w:kern w:val="0"/>
          <w:szCs w:val="21"/>
          <w:lang w:bidi="ar"/>
        </w:rPr>
        <w:t xml:space="preserve">3-5-4  </w:t>
      </w:r>
      <w:r>
        <w:rPr>
          <w:rFonts w:ascii="黑体" w:eastAsia="黑体" w:hAnsi="黑体" w:cs="黑体" w:hint="eastAsia"/>
          <w:bCs/>
          <w:kern w:val="0"/>
          <w:szCs w:val="21"/>
          <w:lang w:bidi="ar"/>
        </w:rPr>
        <w:t>本工程与环境管控单元符合性分析一览表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652"/>
        <w:gridCol w:w="2135"/>
        <w:gridCol w:w="1561"/>
        <w:gridCol w:w="2256"/>
        <w:gridCol w:w="915"/>
      </w:tblGrid>
      <w:tr w:rsidR="00EE4502">
        <w:trPr>
          <w:trHeight w:val="20"/>
          <w:jc w:val="center"/>
        </w:trPr>
        <w:tc>
          <w:tcPr>
            <w:tcW w:w="969" w:type="pct"/>
            <w:vAlign w:val="center"/>
          </w:tcPr>
          <w:p w:rsidR="00EE4502" w:rsidRDefault="00FD45A3">
            <w:pPr>
              <w:jc w:val="center"/>
              <w:rPr>
                <w:b/>
                <w:kern w:val="0"/>
                <w:szCs w:val="21"/>
              </w:rPr>
            </w:pPr>
            <w:r>
              <w:rPr>
                <w:rFonts w:cs="宋体" w:hint="eastAsia"/>
                <w:b/>
                <w:kern w:val="0"/>
                <w:szCs w:val="21"/>
              </w:rPr>
              <w:t>①</w:t>
            </w:r>
            <w:r>
              <w:rPr>
                <w:rFonts w:cs="宋体" w:hint="eastAsia"/>
                <w:b/>
                <w:kern w:val="0"/>
                <w:szCs w:val="21"/>
              </w:rPr>
              <w:t>单元编码</w:t>
            </w:r>
          </w:p>
        </w:tc>
        <w:tc>
          <w:tcPr>
            <w:tcW w:w="1253" w:type="pct"/>
            <w:vAlign w:val="center"/>
          </w:tcPr>
          <w:p w:rsidR="00EE4502" w:rsidRDefault="00FD45A3">
            <w:pPr>
              <w:jc w:val="center"/>
              <w:rPr>
                <w:b/>
                <w:kern w:val="0"/>
                <w:szCs w:val="21"/>
              </w:rPr>
            </w:pPr>
            <w:r>
              <w:rPr>
                <w:rFonts w:cs="宋体" w:hint="eastAsia"/>
                <w:b/>
                <w:kern w:val="0"/>
                <w:szCs w:val="21"/>
              </w:rPr>
              <w:t>单元名称</w:t>
            </w:r>
          </w:p>
        </w:tc>
        <w:tc>
          <w:tcPr>
            <w:tcW w:w="915" w:type="pct"/>
            <w:vAlign w:val="center"/>
          </w:tcPr>
          <w:p w:rsidR="00EE4502" w:rsidRDefault="00FD45A3">
            <w:pPr>
              <w:jc w:val="center"/>
              <w:rPr>
                <w:b/>
                <w:kern w:val="0"/>
                <w:szCs w:val="21"/>
              </w:rPr>
            </w:pPr>
            <w:r>
              <w:rPr>
                <w:rFonts w:cs="宋体" w:hint="eastAsia"/>
                <w:b/>
                <w:kern w:val="0"/>
                <w:szCs w:val="21"/>
              </w:rPr>
              <w:t>单元属性</w:t>
            </w:r>
          </w:p>
        </w:tc>
        <w:tc>
          <w:tcPr>
            <w:tcW w:w="1324" w:type="pct"/>
            <w:vAlign w:val="center"/>
          </w:tcPr>
          <w:p w:rsidR="00EE4502" w:rsidRDefault="00FD45A3">
            <w:pPr>
              <w:jc w:val="center"/>
              <w:rPr>
                <w:b/>
                <w:kern w:val="0"/>
                <w:szCs w:val="21"/>
              </w:rPr>
            </w:pPr>
            <w:r>
              <w:rPr>
                <w:rFonts w:cs="宋体" w:hint="eastAsia"/>
                <w:b/>
                <w:kern w:val="0"/>
                <w:szCs w:val="21"/>
              </w:rPr>
              <w:t>单元特征</w:t>
            </w:r>
          </w:p>
        </w:tc>
        <w:tc>
          <w:tcPr>
            <w:tcW w:w="537" w:type="pct"/>
            <w:vAlign w:val="center"/>
          </w:tcPr>
          <w:p w:rsidR="00EE4502" w:rsidRDefault="00FD45A3">
            <w:pPr>
              <w:jc w:val="center"/>
              <w:rPr>
                <w:b/>
                <w:kern w:val="0"/>
                <w:szCs w:val="21"/>
              </w:rPr>
            </w:pPr>
            <w:r>
              <w:rPr>
                <w:rFonts w:cs="宋体" w:hint="eastAsia"/>
                <w:b/>
                <w:kern w:val="0"/>
                <w:szCs w:val="21"/>
              </w:rPr>
              <w:t>环境要素属性</w:t>
            </w:r>
          </w:p>
        </w:tc>
      </w:tr>
      <w:tr w:rsidR="00EE4502">
        <w:trPr>
          <w:trHeight w:val="20"/>
          <w:jc w:val="center"/>
        </w:trPr>
        <w:tc>
          <w:tcPr>
            <w:tcW w:w="969" w:type="pct"/>
            <w:vAlign w:val="center"/>
          </w:tcPr>
          <w:p w:rsidR="00EE4502" w:rsidRDefault="00FD45A3">
            <w:pPr>
              <w:jc w:val="center"/>
              <w:rPr>
                <w:bCs/>
                <w:kern w:val="0"/>
                <w:szCs w:val="21"/>
              </w:rPr>
            </w:pPr>
            <w:r>
              <w:rPr>
                <w:bCs/>
                <w:kern w:val="0"/>
                <w:szCs w:val="21"/>
              </w:rPr>
              <w:t>ZH65020330004</w:t>
            </w:r>
          </w:p>
        </w:tc>
        <w:tc>
          <w:tcPr>
            <w:tcW w:w="1253" w:type="pct"/>
            <w:vAlign w:val="center"/>
          </w:tcPr>
          <w:p w:rsidR="00EE4502" w:rsidRDefault="00FD45A3">
            <w:pPr>
              <w:jc w:val="center"/>
              <w:rPr>
                <w:bCs/>
                <w:kern w:val="0"/>
                <w:szCs w:val="21"/>
              </w:rPr>
            </w:pPr>
            <w:r>
              <w:rPr>
                <w:bCs/>
                <w:kern w:val="0"/>
                <w:szCs w:val="21"/>
              </w:rPr>
              <w:t>克拉玛依区环境一般管控单元</w:t>
            </w:r>
            <w:r>
              <w:rPr>
                <w:bCs/>
                <w:kern w:val="0"/>
                <w:szCs w:val="21"/>
              </w:rPr>
              <w:t>04</w:t>
            </w:r>
          </w:p>
        </w:tc>
        <w:tc>
          <w:tcPr>
            <w:tcW w:w="915" w:type="pct"/>
            <w:vAlign w:val="center"/>
          </w:tcPr>
          <w:p w:rsidR="00EE4502" w:rsidRDefault="00FD45A3">
            <w:pPr>
              <w:jc w:val="center"/>
              <w:rPr>
                <w:bCs/>
                <w:kern w:val="0"/>
                <w:szCs w:val="21"/>
              </w:rPr>
            </w:pPr>
            <w:r>
              <w:rPr>
                <w:bCs/>
                <w:kern w:val="0"/>
                <w:szCs w:val="21"/>
              </w:rPr>
              <w:t>一般管控单元</w:t>
            </w:r>
          </w:p>
        </w:tc>
        <w:tc>
          <w:tcPr>
            <w:tcW w:w="1324" w:type="pct"/>
            <w:vAlign w:val="center"/>
          </w:tcPr>
          <w:p w:rsidR="00EE4502" w:rsidRDefault="00FD45A3">
            <w:pPr>
              <w:jc w:val="center"/>
              <w:rPr>
                <w:bCs/>
                <w:kern w:val="0"/>
                <w:szCs w:val="21"/>
              </w:rPr>
            </w:pPr>
            <w:r>
              <w:rPr>
                <w:bCs/>
                <w:kern w:val="0"/>
                <w:szCs w:val="21"/>
              </w:rPr>
              <w:t>克拉玛依区乡镇区域</w:t>
            </w:r>
          </w:p>
        </w:tc>
        <w:tc>
          <w:tcPr>
            <w:tcW w:w="537" w:type="pct"/>
            <w:vAlign w:val="center"/>
          </w:tcPr>
          <w:p w:rsidR="00EE4502" w:rsidRDefault="00FD45A3">
            <w:pPr>
              <w:jc w:val="center"/>
              <w:rPr>
                <w:bCs/>
                <w:kern w:val="0"/>
                <w:szCs w:val="21"/>
              </w:rPr>
            </w:pPr>
            <w:r>
              <w:rPr>
                <w:rFonts w:hint="eastAsia"/>
                <w:bCs/>
                <w:kern w:val="0"/>
                <w:szCs w:val="21"/>
              </w:rPr>
              <w:t>未利用地等</w:t>
            </w:r>
          </w:p>
        </w:tc>
      </w:tr>
      <w:tr w:rsidR="00EE4502">
        <w:trPr>
          <w:trHeight w:val="20"/>
          <w:jc w:val="center"/>
        </w:trPr>
        <w:tc>
          <w:tcPr>
            <w:tcW w:w="969" w:type="pct"/>
            <w:vAlign w:val="center"/>
          </w:tcPr>
          <w:p w:rsidR="00EE4502" w:rsidRDefault="00FD45A3">
            <w:pPr>
              <w:jc w:val="center"/>
              <w:rPr>
                <w:b/>
                <w:kern w:val="0"/>
                <w:szCs w:val="21"/>
              </w:rPr>
            </w:pPr>
            <w:r>
              <w:rPr>
                <w:rFonts w:cs="宋体" w:hint="eastAsia"/>
                <w:b/>
                <w:kern w:val="0"/>
                <w:szCs w:val="21"/>
              </w:rPr>
              <w:t>维度</w:t>
            </w:r>
          </w:p>
        </w:tc>
        <w:tc>
          <w:tcPr>
            <w:tcW w:w="1253" w:type="pct"/>
            <w:vAlign w:val="center"/>
          </w:tcPr>
          <w:p w:rsidR="00EE4502" w:rsidRDefault="00FD45A3">
            <w:pPr>
              <w:jc w:val="center"/>
              <w:rPr>
                <w:b/>
                <w:kern w:val="0"/>
                <w:szCs w:val="21"/>
              </w:rPr>
            </w:pPr>
            <w:r>
              <w:rPr>
                <w:rFonts w:cs="宋体" w:hint="eastAsia"/>
                <w:b/>
                <w:kern w:val="0"/>
                <w:szCs w:val="21"/>
              </w:rPr>
              <w:t>管控要求</w:t>
            </w:r>
          </w:p>
        </w:tc>
        <w:tc>
          <w:tcPr>
            <w:tcW w:w="2240" w:type="pct"/>
            <w:gridSpan w:val="2"/>
            <w:vAlign w:val="center"/>
          </w:tcPr>
          <w:p w:rsidR="00EE4502" w:rsidRDefault="00FD45A3">
            <w:pPr>
              <w:jc w:val="center"/>
              <w:rPr>
                <w:rFonts w:cs="宋体"/>
                <w:b/>
                <w:kern w:val="0"/>
                <w:szCs w:val="21"/>
              </w:rPr>
            </w:pPr>
            <w:r>
              <w:rPr>
                <w:rFonts w:cs="宋体" w:hint="eastAsia"/>
                <w:b/>
                <w:kern w:val="0"/>
                <w:szCs w:val="21"/>
              </w:rPr>
              <w:t>本</w:t>
            </w:r>
            <w:r>
              <w:rPr>
                <w:rFonts w:cs="宋体" w:hint="eastAsia"/>
                <w:b/>
                <w:kern w:val="0"/>
                <w:szCs w:val="21"/>
              </w:rPr>
              <w:t>工程</w:t>
            </w:r>
          </w:p>
        </w:tc>
        <w:tc>
          <w:tcPr>
            <w:tcW w:w="537" w:type="pct"/>
            <w:vAlign w:val="center"/>
          </w:tcPr>
          <w:p w:rsidR="00EE4502" w:rsidRDefault="00FD45A3">
            <w:pPr>
              <w:jc w:val="center"/>
              <w:rPr>
                <w:b/>
                <w:kern w:val="0"/>
                <w:szCs w:val="21"/>
              </w:rPr>
            </w:pPr>
            <w:r>
              <w:rPr>
                <w:rFonts w:cs="宋体" w:hint="eastAsia"/>
                <w:b/>
                <w:kern w:val="0"/>
                <w:szCs w:val="21"/>
              </w:rPr>
              <w:t>符合性</w:t>
            </w:r>
          </w:p>
        </w:tc>
      </w:tr>
      <w:tr w:rsidR="00EE4502">
        <w:trPr>
          <w:trHeight w:val="20"/>
          <w:jc w:val="center"/>
        </w:trPr>
        <w:tc>
          <w:tcPr>
            <w:tcW w:w="969" w:type="pct"/>
            <w:vAlign w:val="center"/>
          </w:tcPr>
          <w:p w:rsidR="00EE4502" w:rsidRDefault="00FD45A3">
            <w:pPr>
              <w:jc w:val="center"/>
              <w:rPr>
                <w:rFonts w:cs="宋体"/>
                <w:b/>
                <w:kern w:val="0"/>
                <w:szCs w:val="21"/>
              </w:rPr>
            </w:pPr>
            <w:r>
              <w:rPr>
                <w:rFonts w:cs="宋体" w:hint="eastAsia"/>
                <w:bCs/>
                <w:kern w:val="0"/>
                <w:szCs w:val="21"/>
              </w:rPr>
              <w:t>空间布局约束</w:t>
            </w:r>
          </w:p>
        </w:tc>
        <w:tc>
          <w:tcPr>
            <w:tcW w:w="1253" w:type="pct"/>
            <w:vAlign w:val="center"/>
          </w:tcPr>
          <w:p w:rsidR="00EE4502" w:rsidRDefault="00FD45A3">
            <w:pPr>
              <w:rPr>
                <w:rFonts w:cs="宋体"/>
                <w:bCs/>
                <w:kern w:val="0"/>
                <w:szCs w:val="21"/>
              </w:rPr>
            </w:pPr>
            <w:r>
              <w:rPr>
                <w:rFonts w:cs="宋体" w:hint="eastAsia"/>
                <w:bCs/>
                <w:kern w:val="0"/>
                <w:szCs w:val="21"/>
              </w:rPr>
              <w:t>（</w:t>
            </w:r>
            <w:r>
              <w:rPr>
                <w:rFonts w:cs="宋体" w:hint="eastAsia"/>
                <w:bCs/>
                <w:kern w:val="0"/>
                <w:szCs w:val="21"/>
              </w:rPr>
              <w:t>1</w:t>
            </w:r>
            <w:r>
              <w:rPr>
                <w:rFonts w:cs="宋体" w:hint="eastAsia"/>
                <w:bCs/>
                <w:kern w:val="0"/>
                <w:szCs w:val="21"/>
              </w:rPr>
              <w:t>）</w:t>
            </w:r>
            <w:r>
              <w:rPr>
                <w:rFonts w:cs="宋体" w:hint="eastAsia"/>
                <w:bCs/>
                <w:kern w:val="0"/>
                <w:szCs w:val="21"/>
              </w:rPr>
              <w:t>执行克拉玛依市总体管控要求中空间布局约束要求。</w:t>
            </w:r>
          </w:p>
          <w:p w:rsidR="00EE4502" w:rsidRDefault="00FD45A3">
            <w:pPr>
              <w:rPr>
                <w:rFonts w:cs="宋体"/>
                <w:bCs/>
                <w:kern w:val="0"/>
                <w:szCs w:val="21"/>
              </w:rPr>
            </w:pPr>
            <w:r>
              <w:rPr>
                <w:rFonts w:cs="宋体" w:hint="eastAsia"/>
                <w:bCs/>
                <w:kern w:val="0"/>
                <w:szCs w:val="21"/>
              </w:rPr>
              <w:t>（</w:t>
            </w:r>
            <w:r>
              <w:rPr>
                <w:rFonts w:cs="宋体" w:hint="eastAsia"/>
                <w:bCs/>
                <w:kern w:val="0"/>
                <w:szCs w:val="21"/>
              </w:rPr>
              <w:t>2</w:t>
            </w:r>
            <w:r>
              <w:rPr>
                <w:rFonts w:cs="宋体" w:hint="eastAsia"/>
                <w:bCs/>
                <w:kern w:val="0"/>
                <w:szCs w:val="21"/>
              </w:rPr>
              <w:t>）</w:t>
            </w:r>
            <w:r>
              <w:rPr>
                <w:rFonts w:cs="宋体" w:hint="eastAsia"/>
                <w:bCs/>
                <w:kern w:val="0"/>
                <w:szCs w:val="21"/>
              </w:rPr>
              <w:t>执行克拉玛依市一般管控单元分类管控要求中空间布局约束的相应管控要求</w:t>
            </w:r>
            <w:r>
              <w:rPr>
                <w:rFonts w:cs="宋体" w:hint="eastAsia"/>
                <w:bCs/>
                <w:kern w:val="0"/>
                <w:szCs w:val="21"/>
              </w:rPr>
              <w:t>。</w:t>
            </w:r>
          </w:p>
        </w:tc>
        <w:tc>
          <w:tcPr>
            <w:tcW w:w="2240" w:type="pct"/>
            <w:gridSpan w:val="2"/>
            <w:vAlign w:val="center"/>
          </w:tcPr>
          <w:p w:rsidR="00EE4502" w:rsidRDefault="00FD45A3">
            <w:pPr>
              <w:rPr>
                <w:rFonts w:cs="宋体"/>
                <w:bCs/>
                <w:kern w:val="0"/>
                <w:szCs w:val="21"/>
              </w:rPr>
            </w:pPr>
            <w:r>
              <w:rPr>
                <w:rFonts w:cs="宋体" w:hint="eastAsia"/>
                <w:bCs/>
                <w:kern w:val="0"/>
                <w:szCs w:val="21"/>
              </w:rPr>
              <w:t>（</w:t>
            </w:r>
            <w:r>
              <w:rPr>
                <w:rFonts w:cs="宋体" w:hint="eastAsia"/>
                <w:bCs/>
                <w:kern w:val="0"/>
                <w:szCs w:val="21"/>
              </w:rPr>
              <w:t>1</w:t>
            </w:r>
            <w:r>
              <w:rPr>
                <w:rFonts w:cs="宋体" w:hint="eastAsia"/>
                <w:bCs/>
                <w:kern w:val="0"/>
                <w:szCs w:val="21"/>
              </w:rPr>
              <w:t>）本工程属于《产业结构调整指导目录》中的“鼓励类”项目，不涉及“两高”项目、不涉及克拉玛依市基本农田，符合</w:t>
            </w:r>
            <w:r>
              <w:rPr>
                <w:rFonts w:cs="宋体"/>
                <w:bCs/>
                <w:kern w:val="0"/>
                <w:szCs w:val="21"/>
              </w:rPr>
              <w:t>克拉玛依市总体管控要求中空间布局约束要求</w:t>
            </w:r>
            <w:r>
              <w:rPr>
                <w:rFonts w:cs="宋体" w:hint="eastAsia"/>
                <w:bCs/>
                <w:kern w:val="0"/>
                <w:szCs w:val="21"/>
              </w:rPr>
              <w:t>；</w:t>
            </w:r>
          </w:p>
          <w:p w:rsidR="00EE4502" w:rsidRDefault="00FD45A3">
            <w:pPr>
              <w:rPr>
                <w:rFonts w:cs="宋体"/>
                <w:bCs/>
                <w:kern w:val="0"/>
                <w:szCs w:val="21"/>
              </w:rPr>
            </w:pPr>
            <w:r>
              <w:rPr>
                <w:rFonts w:cs="宋体" w:hint="eastAsia"/>
                <w:bCs/>
                <w:kern w:val="0"/>
                <w:szCs w:val="21"/>
              </w:rPr>
              <w:t>（</w:t>
            </w:r>
            <w:r>
              <w:rPr>
                <w:rFonts w:cs="宋体" w:hint="eastAsia"/>
                <w:bCs/>
                <w:kern w:val="0"/>
                <w:szCs w:val="21"/>
              </w:rPr>
              <w:t>2</w:t>
            </w:r>
            <w:r>
              <w:rPr>
                <w:rFonts w:cs="宋体" w:hint="eastAsia"/>
                <w:bCs/>
                <w:kern w:val="0"/>
                <w:szCs w:val="21"/>
              </w:rPr>
              <w:t>）本工程不涉及畜禽养殖，不涉及克拉玛依市农田占用，符合克拉玛依市一般管控单元分类管控要求中空间布局约束的相应管控要求；</w:t>
            </w:r>
          </w:p>
        </w:tc>
        <w:tc>
          <w:tcPr>
            <w:tcW w:w="537" w:type="pct"/>
            <w:vAlign w:val="center"/>
          </w:tcPr>
          <w:p w:rsidR="00EE4502" w:rsidRDefault="00FD45A3">
            <w:pPr>
              <w:jc w:val="center"/>
              <w:rPr>
                <w:rFonts w:cs="宋体"/>
                <w:bCs/>
                <w:kern w:val="0"/>
                <w:szCs w:val="21"/>
              </w:rPr>
            </w:pPr>
            <w:r>
              <w:rPr>
                <w:rFonts w:cs="宋体" w:hint="eastAsia"/>
                <w:bCs/>
                <w:kern w:val="0"/>
                <w:szCs w:val="21"/>
              </w:rPr>
              <w:t>符合</w:t>
            </w:r>
          </w:p>
        </w:tc>
      </w:tr>
      <w:tr w:rsidR="00EE4502">
        <w:trPr>
          <w:trHeight w:val="20"/>
          <w:jc w:val="center"/>
        </w:trPr>
        <w:tc>
          <w:tcPr>
            <w:tcW w:w="969" w:type="pct"/>
            <w:vAlign w:val="center"/>
          </w:tcPr>
          <w:p w:rsidR="00EE4502" w:rsidRDefault="00FD45A3">
            <w:pPr>
              <w:jc w:val="center"/>
              <w:rPr>
                <w:bCs/>
                <w:kern w:val="0"/>
                <w:szCs w:val="21"/>
              </w:rPr>
            </w:pPr>
            <w:r>
              <w:rPr>
                <w:rFonts w:cs="宋体" w:hint="eastAsia"/>
                <w:bCs/>
                <w:kern w:val="0"/>
                <w:szCs w:val="21"/>
              </w:rPr>
              <w:t>污染物排放管控</w:t>
            </w:r>
          </w:p>
        </w:tc>
        <w:tc>
          <w:tcPr>
            <w:tcW w:w="1253" w:type="pct"/>
            <w:vAlign w:val="center"/>
          </w:tcPr>
          <w:p w:rsidR="00EE4502" w:rsidRDefault="00FD45A3">
            <w:pPr>
              <w:rPr>
                <w:rFonts w:cs="宋体"/>
                <w:bCs/>
                <w:kern w:val="0"/>
                <w:szCs w:val="21"/>
              </w:rPr>
            </w:pPr>
            <w:r>
              <w:rPr>
                <w:rFonts w:cs="宋体" w:hint="eastAsia"/>
                <w:bCs/>
                <w:kern w:val="0"/>
                <w:szCs w:val="21"/>
              </w:rPr>
              <w:t>（</w:t>
            </w:r>
            <w:r>
              <w:rPr>
                <w:rFonts w:cs="宋体" w:hint="eastAsia"/>
                <w:bCs/>
                <w:kern w:val="0"/>
                <w:szCs w:val="21"/>
              </w:rPr>
              <w:t>1</w:t>
            </w:r>
            <w:r>
              <w:rPr>
                <w:rFonts w:cs="宋体" w:hint="eastAsia"/>
                <w:bCs/>
                <w:kern w:val="0"/>
                <w:szCs w:val="21"/>
              </w:rPr>
              <w:t>）</w:t>
            </w:r>
            <w:r>
              <w:rPr>
                <w:rFonts w:cs="宋体" w:hint="eastAsia"/>
                <w:bCs/>
                <w:kern w:val="0"/>
                <w:szCs w:val="21"/>
              </w:rPr>
              <w:t>执行克拉玛依市总体管控要求中污染物排放管控要求。</w:t>
            </w:r>
          </w:p>
          <w:p w:rsidR="00EE4502" w:rsidRDefault="00FD45A3">
            <w:pPr>
              <w:rPr>
                <w:rFonts w:cs="宋体"/>
                <w:bCs/>
                <w:kern w:val="0"/>
                <w:szCs w:val="21"/>
              </w:rPr>
            </w:pPr>
            <w:r>
              <w:rPr>
                <w:rFonts w:cs="宋体" w:hint="eastAsia"/>
                <w:bCs/>
                <w:kern w:val="0"/>
                <w:szCs w:val="21"/>
              </w:rPr>
              <w:t>（</w:t>
            </w:r>
            <w:r>
              <w:rPr>
                <w:rFonts w:cs="宋体" w:hint="eastAsia"/>
                <w:bCs/>
                <w:kern w:val="0"/>
                <w:szCs w:val="21"/>
              </w:rPr>
              <w:t>2</w:t>
            </w:r>
            <w:r>
              <w:rPr>
                <w:rFonts w:cs="宋体" w:hint="eastAsia"/>
                <w:bCs/>
                <w:kern w:val="0"/>
                <w:szCs w:val="21"/>
              </w:rPr>
              <w:t>）</w:t>
            </w:r>
            <w:r>
              <w:rPr>
                <w:rFonts w:cs="宋体" w:hint="eastAsia"/>
                <w:bCs/>
                <w:kern w:val="0"/>
                <w:szCs w:val="21"/>
              </w:rPr>
              <w:t>执行克拉玛依市一般管控单元分类管控要求中污染物排放</w:t>
            </w:r>
            <w:r>
              <w:rPr>
                <w:rFonts w:cs="宋体" w:hint="eastAsia"/>
                <w:bCs/>
                <w:kern w:val="0"/>
                <w:szCs w:val="21"/>
              </w:rPr>
              <w:lastRenderedPageBreak/>
              <w:t>管控的相应管控要求。</w:t>
            </w:r>
          </w:p>
        </w:tc>
        <w:tc>
          <w:tcPr>
            <w:tcW w:w="2240" w:type="pct"/>
            <w:gridSpan w:val="2"/>
            <w:vAlign w:val="center"/>
          </w:tcPr>
          <w:p w:rsidR="00EE4502" w:rsidRDefault="00FD45A3">
            <w:pPr>
              <w:rPr>
                <w:rFonts w:cs="宋体"/>
                <w:bCs/>
                <w:kern w:val="0"/>
                <w:szCs w:val="21"/>
              </w:rPr>
            </w:pPr>
            <w:r>
              <w:rPr>
                <w:rFonts w:cs="宋体" w:hint="eastAsia"/>
                <w:bCs/>
                <w:kern w:val="0"/>
                <w:szCs w:val="21"/>
              </w:rPr>
              <w:lastRenderedPageBreak/>
              <w:t>（</w:t>
            </w:r>
            <w:r>
              <w:rPr>
                <w:rFonts w:cs="宋体" w:hint="eastAsia"/>
                <w:bCs/>
                <w:kern w:val="0"/>
                <w:szCs w:val="21"/>
              </w:rPr>
              <w:t>1</w:t>
            </w:r>
            <w:r>
              <w:rPr>
                <w:rFonts w:cs="宋体" w:hint="eastAsia"/>
                <w:bCs/>
                <w:kern w:val="0"/>
                <w:szCs w:val="21"/>
              </w:rPr>
              <w:t>）本工程为陆地石油开采项目，不在总体管控要求中的重点行业之列；运营期中石</w:t>
            </w:r>
            <w:r>
              <w:rPr>
                <w:rFonts w:cs="宋体" w:hint="eastAsia"/>
                <w:bCs/>
                <w:kern w:val="0"/>
                <w:szCs w:val="21"/>
              </w:rPr>
              <w:t>化新疆新春石油开发有限责任公司按时开展</w:t>
            </w:r>
            <w:r>
              <w:rPr>
                <w:rFonts w:cs="宋体" w:hint="eastAsia"/>
                <w:bCs/>
                <w:kern w:val="0"/>
                <w:szCs w:val="21"/>
              </w:rPr>
              <w:t>LDAR</w:t>
            </w:r>
            <w:r>
              <w:rPr>
                <w:rFonts w:cs="宋体" w:hint="eastAsia"/>
                <w:bCs/>
                <w:kern w:val="0"/>
                <w:szCs w:val="21"/>
              </w:rPr>
              <w:t>工作，持续加强物料储存、转移、输送过程中</w:t>
            </w:r>
            <w:r>
              <w:rPr>
                <w:rFonts w:cs="宋体" w:hint="eastAsia"/>
                <w:bCs/>
                <w:kern w:val="0"/>
                <w:szCs w:val="21"/>
              </w:rPr>
              <w:t>VOCs</w:t>
            </w:r>
            <w:r>
              <w:rPr>
                <w:rFonts w:cs="宋体" w:hint="eastAsia"/>
                <w:bCs/>
                <w:kern w:val="0"/>
                <w:szCs w:val="21"/>
              </w:rPr>
              <w:t>排放、泄露、收集处理等控制措施；废水、固</w:t>
            </w:r>
            <w:r>
              <w:rPr>
                <w:rFonts w:cs="宋体" w:hint="eastAsia"/>
                <w:bCs/>
                <w:kern w:val="0"/>
                <w:szCs w:val="21"/>
              </w:rPr>
              <w:lastRenderedPageBreak/>
              <w:t>废等均进行无害化处理和资源化利用；符合克拉玛依市总体管控要求中污染物排放管控要求；</w:t>
            </w:r>
          </w:p>
          <w:p w:rsidR="00EE4502" w:rsidRDefault="00FD45A3">
            <w:pPr>
              <w:rPr>
                <w:rFonts w:cs="宋体"/>
                <w:bCs/>
                <w:kern w:val="0"/>
                <w:szCs w:val="21"/>
              </w:rPr>
            </w:pPr>
            <w:r>
              <w:rPr>
                <w:rFonts w:cs="宋体" w:hint="eastAsia"/>
                <w:bCs/>
                <w:kern w:val="0"/>
                <w:szCs w:val="21"/>
              </w:rPr>
              <w:t>（</w:t>
            </w:r>
            <w:r>
              <w:rPr>
                <w:rFonts w:cs="宋体" w:hint="eastAsia"/>
                <w:bCs/>
                <w:kern w:val="0"/>
                <w:szCs w:val="21"/>
              </w:rPr>
              <w:t>2</w:t>
            </w:r>
            <w:r>
              <w:rPr>
                <w:rFonts w:cs="宋体" w:hint="eastAsia"/>
                <w:bCs/>
                <w:kern w:val="0"/>
                <w:szCs w:val="21"/>
              </w:rPr>
              <w:t>）本工程不涉及农业面源污染；</w:t>
            </w:r>
          </w:p>
        </w:tc>
        <w:tc>
          <w:tcPr>
            <w:tcW w:w="537" w:type="pct"/>
            <w:vAlign w:val="center"/>
          </w:tcPr>
          <w:p w:rsidR="00EE4502" w:rsidRDefault="00FD45A3">
            <w:pPr>
              <w:jc w:val="center"/>
              <w:rPr>
                <w:rFonts w:cs="宋体"/>
                <w:bCs/>
                <w:kern w:val="0"/>
                <w:szCs w:val="21"/>
              </w:rPr>
            </w:pPr>
            <w:r>
              <w:rPr>
                <w:rFonts w:cs="宋体" w:hint="eastAsia"/>
                <w:bCs/>
                <w:kern w:val="0"/>
                <w:szCs w:val="21"/>
              </w:rPr>
              <w:lastRenderedPageBreak/>
              <w:t>符合</w:t>
            </w:r>
          </w:p>
        </w:tc>
      </w:tr>
      <w:tr w:rsidR="00EE4502">
        <w:trPr>
          <w:trHeight w:val="20"/>
          <w:jc w:val="center"/>
        </w:trPr>
        <w:tc>
          <w:tcPr>
            <w:tcW w:w="969" w:type="pct"/>
            <w:vAlign w:val="center"/>
          </w:tcPr>
          <w:p w:rsidR="00EE4502" w:rsidRDefault="00FD45A3">
            <w:pPr>
              <w:jc w:val="center"/>
              <w:rPr>
                <w:bCs/>
                <w:kern w:val="0"/>
                <w:szCs w:val="21"/>
              </w:rPr>
            </w:pPr>
            <w:r>
              <w:rPr>
                <w:rFonts w:hint="eastAsia"/>
                <w:bCs/>
                <w:kern w:val="0"/>
                <w:szCs w:val="21"/>
              </w:rPr>
              <w:lastRenderedPageBreak/>
              <w:t>环境风险防控</w:t>
            </w:r>
          </w:p>
        </w:tc>
        <w:tc>
          <w:tcPr>
            <w:tcW w:w="1253" w:type="pct"/>
            <w:vAlign w:val="center"/>
          </w:tcPr>
          <w:p w:rsidR="00EE4502" w:rsidRDefault="00FD45A3">
            <w:pPr>
              <w:rPr>
                <w:rFonts w:cs="宋体"/>
                <w:bCs/>
                <w:kern w:val="0"/>
                <w:szCs w:val="21"/>
              </w:rPr>
            </w:pPr>
            <w:r>
              <w:rPr>
                <w:rFonts w:cs="宋体" w:hint="eastAsia"/>
                <w:bCs/>
                <w:kern w:val="0"/>
                <w:szCs w:val="21"/>
              </w:rPr>
              <w:t>（</w:t>
            </w:r>
            <w:r>
              <w:rPr>
                <w:rFonts w:cs="宋体" w:hint="eastAsia"/>
                <w:bCs/>
                <w:kern w:val="0"/>
                <w:szCs w:val="21"/>
              </w:rPr>
              <w:t>1</w:t>
            </w:r>
            <w:r>
              <w:rPr>
                <w:rFonts w:cs="宋体" w:hint="eastAsia"/>
                <w:bCs/>
                <w:kern w:val="0"/>
                <w:szCs w:val="21"/>
              </w:rPr>
              <w:t>）</w:t>
            </w:r>
            <w:r>
              <w:rPr>
                <w:rFonts w:cs="宋体" w:hint="eastAsia"/>
                <w:bCs/>
                <w:kern w:val="0"/>
                <w:szCs w:val="21"/>
              </w:rPr>
              <w:t>执行克拉玛依市总体管控要求中环境风险防控要求。</w:t>
            </w:r>
          </w:p>
          <w:p w:rsidR="00EE4502" w:rsidRDefault="00FD45A3">
            <w:pPr>
              <w:rPr>
                <w:rFonts w:cs="宋体"/>
                <w:bCs/>
                <w:kern w:val="0"/>
                <w:szCs w:val="21"/>
              </w:rPr>
            </w:pPr>
            <w:r>
              <w:rPr>
                <w:rFonts w:cs="宋体" w:hint="eastAsia"/>
                <w:bCs/>
                <w:kern w:val="0"/>
                <w:szCs w:val="21"/>
              </w:rPr>
              <w:t>（</w:t>
            </w:r>
            <w:r>
              <w:rPr>
                <w:rFonts w:cs="宋体" w:hint="eastAsia"/>
                <w:bCs/>
                <w:kern w:val="0"/>
                <w:szCs w:val="21"/>
              </w:rPr>
              <w:t>2</w:t>
            </w:r>
            <w:r>
              <w:rPr>
                <w:rFonts w:cs="宋体" w:hint="eastAsia"/>
                <w:bCs/>
                <w:kern w:val="0"/>
                <w:szCs w:val="21"/>
              </w:rPr>
              <w:t>）</w:t>
            </w:r>
            <w:r>
              <w:rPr>
                <w:rFonts w:cs="宋体" w:hint="eastAsia"/>
                <w:bCs/>
                <w:kern w:val="0"/>
                <w:szCs w:val="21"/>
              </w:rPr>
              <w:t>执行克拉玛依市一般管控单元分类管控要求中环境风险防控的相应管控要求。</w:t>
            </w:r>
          </w:p>
        </w:tc>
        <w:tc>
          <w:tcPr>
            <w:tcW w:w="2240" w:type="pct"/>
            <w:gridSpan w:val="2"/>
            <w:vAlign w:val="center"/>
          </w:tcPr>
          <w:p w:rsidR="00EE4502" w:rsidRDefault="00FD45A3">
            <w:pPr>
              <w:rPr>
                <w:rFonts w:cs="宋体"/>
                <w:bCs/>
                <w:kern w:val="0"/>
                <w:szCs w:val="21"/>
              </w:rPr>
            </w:pPr>
            <w:r>
              <w:rPr>
                <w:rFonts w:cs="宋体" w:hint="eastAsia"/>
                <w:bCs/>
                <w:kern w:val="0"/>
                <w:szCs w:val="21"/>
              </w:rPr>
              <w:t>（</w:t>
            </w:r>
            <w:r>
              <w:rPr>
                <w:rFonts w:cs="宋体" w:hint="eastAsia"/>
                <w:bCs/>
                <w:kern w:val="0"/>
                <w:szCs w:val="21"/>
              </w:rPr>
              <w:t>1</w:t>
            </w:r>
            <w:r>
              <w:rPr>
                <w:rFonts w:cs="宋体" w:hint="eastAsia"/>
                <w:bCs/>
                <w:kern w:val="0"/>
                <w:szCs w:val="21"/>
              </w:rPr>
              <w:t>）本工程不涉及集中式饮用水水源地，工程建成后采用油气密闭集输工艺，不涉及拉油等危险品运输；中石化新疆新春石油开发有限责任公司制定有《中石化新疆新春石油开发有限责任公司突发环境事件应急预案》并进行了备案，后续根据本工程生产过程中存在的风险事故类型，完善现有的突发环境事件应急预案；钻井过程中采用“泥浆不落地系统”，废水、固废等均进行无害化处理和资源化利用，对区域土壤产生污染的风险较小；符合克拉玛依市总体管控要求中环境风险防控要求；</w:t>
            </w:r>
          </w:p>
          <w:p w:rsidR="00EE4502" w:rsidRDefault="00FD45A3">
            <w:pPr>
              <w:rPr>
                <w:rFonts w:cs="宋体"/>
                <w:bCs/>
                <w:kern w:val="0"/>
                <w:szCs w:val="21"/>
              </w:rPr>
            </w:pPr>
            <w:r>
              <w:rPr>
                <w:rFonts w:cs="宋体" w:hint="eastAsia"/>
                <w:bCs/>
                <w:kern w:val="0"/>
                <w:szCs w:val="21"/>
              </w:rPr>
              <w:t>（</w:t>
            </w:r>
            <w:r>
              <w:rPr>
                <w:rFonts w:cs="宋体" w:hint="eastAsia"/>
                <w:bCs/>
                <w:kern w:val="0"/>
                <w:szCs w:val="21"/>
              </w:rPr>
              <w:t>2</w:t>
            </w:r>
            <w:r>
              <w:rPr>
                <w:rFonts w:cs="宋体" w:hint="eastAsia"/>
                <w:bCs/>
                <w:kern w:val="0"/>
                <w:szCs w:val="21"/>
              </w:rPr>
              <w:t>）本工程所在区域涉及国家二级公益林、地方公益林，施工期、运营期、退役期要</w:t>
            </w:r>
            <w:r>
              <w:rPr>
                <w:rFonts w:cs="宋体" w:hint="eastAsia"/>
                <w:bCs/>
                <w:kern w:val="0"/>
                <w:szCs w:val="21"/>
              </w:rPr>
              <w:t>求加强生态公益林保护，防止水土流失，符合克拉玛依市一般管控单元分类管控要求中环境风险防控的相应管控要求；</w:t>
            </w:r>
          </w:p>
        </w:tc>
        <w:tc>
          <w:tcPr>
            <w:tcW w:w="537" w:type="pct"/>
            <w:vAlign w:val="center"/>
          </w:tcPr>
          <w:p w:rsidR="00EE4502" w:rsidRDefault="00FD45A3">
            <w:pPr>
              <w:jc w:val="center"/>
              <w:rPr>
                <w:rFonts w:cs="宋体"/>
                <w:bCs/>
                <w:kern w:val="0"/>
                <w:szCs w:val="21"/>
              </w:rPr>
            </w:pPr>
            <w:r>
              <w:rPr>
                <w:rFonts w:cs="宋体" w:hint="eastAsia"/>
                <w:bCs/>
                <w:kern w:val="0"/>
                <w:szCs w:val="21"/>
              </w:rPr>
              <w:t>符合</w:t>
            </w:r>
          </w:p>
        </w:tc>
      </w:tr>
      <w:tr w:rsidR="00EE4502">
        <w:trPr>
          <w:trHeight w:val="20"/>
          <w:jc w:val="center"/>
        </w:trPr>
        <w:tc>
          <w:tcPr>
            <w:tcW w:w="969" w:type="pct"/>
            <w:vAlign w:val="center"/>
          </w:tcPr>
          <w:p w:rsidR="00EE4502" w:rsidRDefault="00FD45A3">
            <w:pPr>
              <w:jc w:val="center"/>
              <w:rPr>
                <w:bCs/>
                <w:kern w:val="0"/>
                <w:szCs w:val="21"/>
              </w:rPr>
            </w:pPr>
            <w:r>
              <w:rPr>
                <w:rFonts w:hint="eastAsia"/>
                <w:bCs/>
                <w:kern w:val="0"/>
                <w:szCs w:val="21"/>
              </w:rPr>
              <w:t>资源利用效率</w:t>
            </w:r>
          </w:p>
        </w:tc>
        <w:tc>
          <w:tcPr>
            <w:tcW w:w="1253" w:type="pct"/>
            <w:vAlign w:val="center"/>
          </w:tcPr>
          <w:p w:rsidR="00EE4502" w:rsidRDefault="00FD45A3">
            <w:pPr>
              <w:rPr>
                <w:rFonts w:cs="宋体"/>
                <w:bCs/>
                <w:kern w:val="0"/>
                <w:szCs w:val="21"/>
              </w:rPr>
            </w:pPr>
            <w:r>
              <w:rPr>
                <w:rFonts w:cs="宋体" w:hint="eastAsia"/>
                <w:bCs/>
                <w:kern w:val="0"/>
                <w:szCs w:val="21"/>
              </w:rPr>
              <w:t>（</w:t>
            </w:r>
            <w:r>
              <w:rPr>
                <w:rFonts w:cs="宋体" w:hint="eastAsia"/>
                <w:bCs/>
                <w:kern w:val="0"/>
                <w:szCs w:val="21"/>
              </w:rPr>
              <w:t>1</w:t>
            </w:r>
            <w:r>
              <w:rPr>
                <w:rFonts w:cs="宋体" w:hint="eastAsia"/>
                <w:bCs/>
                <w:kern w:val="0"/>
                <w:szCs w:val="21"/>
              </w:rPr>
              <w:t>）</w:t>
            </w:r>
            <w:r>
              <w:rPr>
                <w:rFonts w:cs="宋体" w:hint="eastAsia"/>
                <w:bCs/>
                <w:kern w:val="0"/>
                <w:szCs w:val="21"/>
              </w:rPr>
              <w:t>执行克拉玛依市总体管控要求中资源开发利用要求。</w:t>
            </w:r>
          </w:p>
          <w:p w:rsidR="00EE4502" w:rsidRDefault="00FD45A3">
            <w:pPr>
              <w:rPr>
                <w:rFonts w:cs="宋体"/>
                <w:bCs/>
                <w:kern w:val="0"/>
                <w:szCs w:val="21"/>
              </w:rPr>
            </w:pPr>
            <w:r>
              <w:rPr>
                <w:rFonts w:cs="宋体" w:hint="eastAsia"/>
                <w:bCs/>
                <w:kern w:val="0"/>
                <w:szCs w:val="21"/>
              </w:rPr>
              <w:t>（</w:t>
            </w:r>
            <w:r>
              <w:rPr>
                <w:rFonts w:cs="宋体" w:hint="eastAsia"/>
                <w:bCs/>
                <w:kern w:val="0"/>
                <w:szCs w:val="21"/>
              </w:rPr>
              <w:t>2</w:t>
            </w:r>
            <w:r>
              <w:rPr>
                <w:rFonts w:cs="宋体" w:hint="eastAsia"/>
                <w:bCs/>
                <w:kern w:val="0"/>
                <w:szCs w:val="21"/>
              </w:rPr>
              <w:t>）</w:t>
            </w:r>
            <w:r>
              <w:rPr>
                <w:rFonts w:cs="宋体" w:hint="eastAsia"/>
                <w:bCs/>
                <w:kern w:val="0"/>
                <w:szCs w:val="21"/>
              </w:rPr>
              <w:t>执行克拉玛依市一般管控单元分类管控要求中资源开发利用的相应管控要求。</w:t>
            </w:r>
          </w:p>
        </w:tc>
        <w:tc>
          <w:tcPr>
            <w:tcW w:w="2240" w:type="pct"/>
            <w:gridSpan w:val="2"/>
            <w:vAlign w:val="center"/>
          </w:tcPr>
          <w:p w:rsidR="00EE4502" w:rsidRDefault="00FD45A3">
            <w:pPr>
              <w:rPr>
                <w:rFonts w:cs="宋体"/>
                <w:bCs/>
                <w:kern w:val="0"/>
                <w:szCs w:val="21"/>
              </w:rPr>
            </w:pPr>
            <w:r>
              <w:rPr>
                <w:rFonts w:cs="宋体" w:hint="eastAsia"/>
                <w:bCs/>
                <w:kern w:val="0"/>
                <w:szCs w:val="21"/>
              </w:rPr>
              <w:t>（</w:t>
            </w:r>
            <w:r>
              <w:rPr>
                <w:rFonts w:cs="宋体" w:hint="eastAsia"/>
                <w:bCs/>
                <w:kern w:val="0"/>
                <w:szCs w:val="21"/>
              </w:rPr>
              <w:t>1</w:t>
            </w:r>
            <w:r>
              <w:rPr>
                <w:rFonts w:cs="宋体" w:hint="eastAsia"/>
                <w:bCs/>
                <w:kern w:val="0"/>
                <w:szCs w:val="21"/>
              </w:rPr>
              <w:t>）本工程不涉及用水总量指标，不涉及地下水开采，新增征地符合克拉玛依市国土空间规划的相关要求，符合克拉玛依市总体管控要求中资源开发利用要求；</w:t>
            </w:r>
          </w:p>
          <w:p w:rsidR="00EE4502" w:rsidRDefault="00FD45A3">
            <w:pPr>
              <w:rPr>
                <w:rFonts w:cs="宋体"/>
                <w:bCs/>
                <w:kern w:val="0"/>
                <w:szCs w:val="21"/>
              </w:rPr>
            </w:pPr>
            <w:r>
              <w:rPr>
                <w:rFonts w:cs="宋体" w:hint="eastAsia"/>
                <w:bCs/>
                <w:kern w:val="0"/>
                <w:szCs w:val="21"/>
              </w:rPr>
              <w:t>（</w:t>
            </w:r>
            <w:r>
              <w:rPr>
                <w:rFonts w:cs="宋体" w:hint="eastAsia"/>
                <w:bCs/>
                <w:kern w:val="0"/>
                <w:szCs w:val="21"/>
              </w:rPr>
              <w:t>2</w:t>
            </w:r>
            <w:r>
              <w:rPr>
                <w:rFonts w:cs="宋体" w:hint="eastAsia"/>
                <w:bCs/>
                <w:kern w:val="0"/>
                <w:szCs w:val="21"/>
              </w:rPr>
              <w:t>）本工程不涉及克拉玛依市农用地的占用，工程属于陆地石油开采项目，新增原油产能</w:t>
            </w:r>
            <w:r>
              <w:rPr>
                <w:rFonts w:cs="宋体" w:hint="eastAsia"/>
                <w:bCs/>
                <w:kern w:val="0"/>
                <w:szCs w:val="21"/>
              </w:rPr>
              <w:t>3</w:t>
            </w:r>
            <w:r>
              <w:rPr>
                <w:rFonts w:cs="宋体" w:hint="eastAsia"/>
                <w:bCs/>
                <w:kern w:val="0"/>
                <w:szCs w:val="21"/>
              </w:rPr>
              <w:t>万</w:t>
            </w:r>
            <w:r>
              <w:rPr>
                <w:rFonts w:cs="宋体" w:hint="eastAsia"/>
                <w:bCs/>
                <w:kern w:val="0"/>
                <w:szCs w:val="21"/>
              </w:rPr>
              <w:t>t/a</w:t>
            </w:r>
            <w:r>
              <w:rPr>
                <w:rFonts w:cs="宋体" w:hint="eastAsia"/>
                <w:bCs/>
                <w:kern w:val="0"/>
                <w:szCs w:val="21"/>
              </w:rPr>
              <w:t>，井口采出物在</w:t>
            </w:r>
            <w:r>
              <w:rPr>
                <w:rFonts w:cs="宋体" w:hint="eastAsia"/>
                <w:bCs/>
                <w:kern w:val="0"/>
                <w:szCs w:val="21"/>
              </w:rPr>
              <w:t>1#</w:t>
            </w:r>
            <w:r>
              <w:rPr>
                <w:rFonts w:cs="宋体" w:hint="eastAsia"/>
                <w:bCs/>
                <w:kern w:val="0"/>
                <w:szCs w:val="21"/>
              </w:rPr>
              <w:t>增压站三相分离后，分离出的伴生气管输至</w:t>
            </w:r>
            <w:r>
              <w:rPr>
                <w:rFonts w:cs="宋体" w:hint="eastAsia"/>
                <w:bCs/>
                <w:kern w:val="0"/>
                <w:szCs w:val="21"/>
              </w:rPr>
              <w:t>6#</w:t>
            </w:r>
            <w:r>
              <w:rPr>
                <w:rFonts w:cs="宋体" w:hint="eastAsia"/>
                <w:bCs/>
                <w:kern w:val="0"/>
                <w:szCs w:val="21"/>
              </w:rPr>
              <w:t>注汽站掺烧，节约燃煤，分出采出水供排</w:t>
            </w:r>
            <w:r>
              <w:rPr>
                <w:rFonts w:cs="宋体" w:hint="eastAsia"/>
                <w:bCs/>
                <w:kern w:val="0"/>
                <w:szCs w:val="21"/>
              </w:rPr>
              <w:t>61</w:t>
            </w:r>
            <w:r>
              <w:rPr>
                <w:rFonts w:cs="宋体" w:hint="eastAsia"/>
                <w:bCs/>
                <w:kern w:val="0"/>
                <w:szCs w:val="21"/>
              </w:rPr>
              <w:t>区块油井生产；符合克拉玛依市一般管控单元分类管控要求中资源开发利用的相应管控要求；</w:t>
            </w:r>
          </w:p>
        </w:tc>
        <w:tc>
          <w:tcPr>
            <w:tcW w:w="537" w:type="pct"/>
            <w:vAlign w:val="center"/>
          </w:tcPr>
          <w:p w:rsidR="00EE4502" w:rsidRDefault="00FD45A3">
            <w:pPr>
              <w:jc w:val="center"/>
              <w:rPr>
                <w:rFonts w:cs="宋体"/>
                <w:bCs/>
                <w:kern w:val="0"/>
                <w:szCs w:val="21"/>
              </w:rPr>
            </w:pPr>
            <w:r>
              <w:rPr>
                <w:rFonts w:cs="宋体" w:hint="eastAsia"/>
                <w:bCs/>
                <w:kern w:val="0"/>
                <w:szCs w:val="21"/>
              </w:rPr>
              <w:t>符合</w:t>
            </w:r>
          </w:p>
        </w:tc>
      </w:tr>
      <w:tr w:rsidR="00EE4502">
        <w:trPr>
          <w:trHeight w:val="20"/>
          <w:jc w:val="center"/>
        </w:trPr>
        <w:tc>
          <w:tcPr>
            <w:tcW w:w="969" w:type="pct"/>
            <w:vAlign w:val="center"/>
          </w:tcPr>
          <w:p w:rsidR="00EE4502" w:rsidRDefault="00FD45A3">
            <w:pPr>
              <w:jc w:val="center"/>
              <w:rPr>
                <w:b/>
                <w:kern w:val="0"/>
                <w:szCs w:val="21"/>
              </w:rPr>
            </w:pPr>
            <w:r>
              <w:rPr>
                <w:rFonts w:cs="宋体" w:hint="eastAsia"/>
                <w:b/>
                <w:kern w:val="0"/>
                <w:szCs w:val="21"/>
              </w:rPr>
              <w:t>②</w:t>
            </w:r>
            <w:r>
              <w:rPr>
                <w:rFonts w:cs="宋体" w:hint="eastAsia"/>
                <w:b/>
                <w:kern w:val="0"/>
                <w:szCs w:val="21"/>
              </w:rPr>
              <w:t>单元编码</w:t>
            </w:r>
          </w:p>
        </w:tc>
        <w:tc>
          <w:tcPr>
            <w:tcW w:w="1253" w:type="pct"/>
            <w:vAlign w:val="center"/>
          </w:tcPr>
          <w:p w:rsidR="00EE4502" w:rsidRDefault="00FD45A3">
            <w:pPr>
              <w:jc w:val="center"/>
              <w:rPr>
                <w:b/>
                <w:kern w:val="0"/>
                <w:szCs w:val="21"/>
              </w:rPr>
            </w:pPr>
            <w:r>
              <w:rPr>
                <w:rFonts w:cs="宋体" w:hint="eastAsia"/>
                <w:b/>
                <w:kern w:val="0"/>
                <w:szCs w:val="21"/>
              </w:rPr>
              <w:t>单元名称</w:t>
            </w:r>
          </w:p>
        </w:tc>
        <w:tc>
          <w:tcPr>
            <w:tcW w:w="915" w:type="pct"/>
            <w:vAlign w:val="center"/>
          </w:tcPr>
          <w:p w:rsidR="00EE4502" w:rsidRDefault="00FD45A3">
            <w:pPr>
              <w:jc w:val="center"/>
              <w:rPr>
                <w:b/>
                <w:kern w:val="0"/>
                <w:szCs w:val="21"/>
              </w:rPr>
            </w:pPr>
            <w:r>
              <w:rPr>
                <w:rFonts w:cs="宋体" w:hint="eastAsia"/>
                <w:b/>
                <w:kern w:val="0"/>
                <w:szCs w:val="21"/>
              </w:rPr>
              <w:t>单元属性</w:t>
            </w:r>
          </w:p>
        </w:tc>
        <w:tc>
          <w:tcPr>
            <w:tcW w:w="1324" w:type="pct"/>
            <w:vAlign w:val="center"/>
          </w:tcPr>
          <w:p w:rsidR="00EE4502" w:rsidRDefault="00FD45A3">
            <w:pPr>
              <w:jc w:val="center"/>
              <w:rPr>
                <w:b/>
                <w:kern w:val="0"/>
                <w:szCs w:val="21"/>
              </w:rPr>
            </w:pPr>
            <w:r>
              <w:rPr>
                <w:rFonts w:cs="宋体" w:hint="eastAsia"/>
                <w:b/>
                <w:kern w:val="0"/>
                <w:szCs w:val="21"/>
              </w:rPr>
              <w:t>单元特征</w:t>
            </w:r>
          </w:p>
        </w:tc>
        <w:tc>
          <w:tcPr>
            <w:tcW w:w="537" w:type="pct"/>
            <w:vAlign w:val="center"/>
          </w:tcPr>
          <w:p w:rsidR="00EE4502" w:rsidRDefault="00FD45A3">
            <w:pPr>
              <w:jc w:val="center"/>
              <w:rPr>
                <w:b/>
                <w:kern w:val="0"/>
                <w:szCs w:val="21"/>
              </w:rPr>
            </w:pPr>
            <w:r>
              <w:rPr>
                <w:rFonts w:cs="宋体" w:hint="eastAsia"/>
                <w:b/>
                <w:kern w:val="0"/>
                <w:szCs w:val="21"/>
              </w:rPr>
              <w:t>环境要素属性</w:t>
            </w:r>
          </w:p>
        </w:tc>
      </w:tr>
      <w:tr w:rsidR="00EE4502">
        <w:trPr>
          <w:trHeight w:val="20"/>
          <w:jc w:val="center"/>
        </w:trPr>
        <w:tc>
          <w:tcPr>
            <w:tcW w:w="969" w:type="pct"/>
            <w:vAlign w:val="center"/>
          </w:tcPr>
          <w:p w:rsidR="00EE4502" w:rsidRDefault="00FD45A3">
            <w:pPr>
              <w:jc w:val="center"/>
              <w:rPr>
                <w:bCs/>
                <w:kern w:val="0"/>
                <w:szCs w:val="21"/>
              </w:rPr>
            </w:pPr>
            <w:r>
              <w:rPr>
                <w:bCs/>
                <w:kern w:val="0"/>
                <w:szCs w:val="21"/>
              </w:rPr>
              <w:t>ZH65901020003</w:t>
            </w:r>
          </w:p>
        </w:tc>
        <w:tc>
          <w:tcPr>
            <w:tcW w:w="1253" w:type="pct"/>
            <w:vAlign w:val="center"/>
          </w:tcPr>
          <w:p w:rsidR="00EE4502" w:rsidRDefault="00FD45A3">
            <w:pPr>
              <w:jc w:val="center"/>
              <w:rPr>
                <w:bCs/>
                <w:kern w:val="0"/>
                <w:szCs w:val="21"/>
              </w:rPr>
            </w:pPr>
            <w:r>
              <w:rPr>
                <w:bCs/>
                <w:kern w:val="0"/>
                <w:szCs w:val="21"/>
              </w:rPr>
              <w:t>胡杨河市</w:t>
            </w:r>
            <w:r>
              <w:rPr>
                <w:bCs/>
                <w:kern w:val="0"/>
                <w:szCs w:val="21"/>
              </w:rPr>
              <w:t>128</w:t>
            </w:r>
            <w:r>
              <w:rPr>
                <w:bCs/>
                <w:kern w:val="0"/>
                <w:szCs w:val="21"/>
              </w:rPr>
              <w:t>团重点管控单元</w:t>
            </w:r>
          </w:p>
        </w:tc>
        <w:tc>
          <w:tcPr>
            <w:tcW w:w="915" w:type="pct"/>
            <w:vAlign w:val="center"/>
          </w:tcPr>
          <w:p w:rsidR="00EE4502" w:rsidRDefault="00FD45A3">
            <w:pPr>
              <w:jc w:val="center"/>
              <w:rPr>
                <w:bCs/>
                <w:kern w:val="0"/>
                <w:szCs w:val="21"/>
              </w:rPr>
            </w:pPr>
            <w:r>
              <w:rPr>
                <w:bCs/>
                <w:kern w:val="0"/>
                <w:szCs w:val="21"/>
              </w:rPr>
              <w:t>重点管控单元</w:t>
            </w:r>
          </w:p>
        </w:tc>
        <w:tc>
          <w:tcPr>
            <w:tcW w:w="1324" w:type="pct"/>
            <w:vAlign w:val="center"/>
          </w:tcPr>
          <w:p w:rsidR="00EE4502" w:rsidRDefault="00FD45A3">
            <w:pPr>
              <w:jc w:val="center"/>
              <w:rPr>
                <w:bCs/>
                <w:kern w:val="0"/>
                <w:szCs w:val="21"/>
              </w:rPr>
            </w:pPr>
            <w:r>
              <w:rPr>
                <w:rFonts w:hint="eastAsia"/>
                <w:bCs/>
                <w:kern w:val="0"/>
                <w:szCs w:val="21"/>
              </w:rPr>
              <w:t>--</w:t>
            </w:r>
          </w:p>
        </w:tc>
        <w:tc>
          <w:tcPr>
            <w:tcW w:w="537" w:type="pct"/>
            <w:vAlign w:val="center"/>
          </w:tcPr>
          <w:p w:rsidR="00EE4502" w:rsidRDefault="00FD45A3">
            <w:pPr>
              <w:jc w:val="center"/>
              <w:rPr>
                <w:bCs/>
                <w:kern w:val="0"/>
                <w:szCs w:val="21"/>
              </w:rPr>
            </w:pPr>
            <w:r>
              <w:rPr>
                <w:rFonts w:hint="eastAsia"/>
                <w:bCs/>
                <w:kern w:val="0"/>
                <w:szCs w:val="21"/>
              </w:rPr>
              <w:t>农用地等</w:t>
            </w:r>
          </w:p>
        </w:tc>
      </w:tr>
      <w:tr w:rsidR="00EE4502">
        <w:trPr>
          <w:trHeight w:val="20"/>
          <w:jc w:val="center"/>
        </w:trPr>
        <w:tc>
          <w:tcPr>
            <w:tcW w:w="969" w:type="pct"/>
            <w:vAlign w:val="center"/>
          </w:tcPr>
          <w:p w:rsidR="00EE4502" w:rsidRDefault="00FD45A3">
            <w:pPr>
              <w:jc w:val="center"/>
              <w:rPr>
                <w:b/>
                <w:kern w:val="0"/>
                <w:szCs w:val="21"/>
              </w:rPr>
            </w:pPr>
            <w:r>
              <w:rPr>
                <w:rFonts w:cs="宋体" w:hint="eastAsia"/>
                <w:b/>
                <w:kern w:val="0"/>
                <w:szCs w:val="21"/>
              </w:rPr>
              <w:t>维度</w:t>
            </w:r>
          </w:p>
        </w:tc>
        <w:tc>
          <w:tcPr>
            <w:tcW w:w="2169" w:type="pct"/>
            <w:gridSpan w:val="2"/>
            <w:vAlign w:val="center"/>
          </w:tcPr>
          <w:p w:rsidR="00EE4502" w:rsidRDefault="00FD45A3">
            <w:pPr>
              <w:jc w:val="center"/>
              <w:rPr>
                <w:b/>
                <w:kern w:val="0"/>
                <w:szCs w:val="21"/>
              </w:rPr>
            </w:pPr>
            <w:r>
              <w:rPr>
                <w:rFonts w:cs="宋体" w:hint="eastAsia"/>
                <w:b/>
                <w:kern w:val="0"/>
                <w:szCs w:val="21"/>
              </w:rPr>
              <w:t>管控要求</w:t>
            </w:r>
          </w:p>
        </w:tc>
        <w:tc>
          <w:tcPr>
            <w:tcW w:w="1324" w:type="pct"/>
            <w:vAlign w:val="center"/>
          </w:tcPr>
          <w:p w:rsidR="00EE4502" w:rsidRDefault="00FD45A3">
            <w:pPr>
              <w:jc w:val="center"/>
              <w:rPr>
                <w:rFonts w:cs="宋体"/>
                <w:b/>
                <w:kern w:val="0"/>
                <w:szCs w:val="21"/>
              </w:rPr>
            </w:pPr>
            <w:r>
              <w:rPr>
                <w:rFonts w:cs="宋体" w:hint="eastAsia"/>
                <w:b/>
                <w:kern w:val="0"/>
                <w:szCs w:val="21"/>
              </w:rPr>
              <w:t>本</w:t>
            </w:r>
            <w:r>
              <w:rPr>
                <w:rFonts w:cs="宋体" w:hint="eastAsia"/>
                <w:b/>
                <w:kern w:val="0"/>
                <w:szCs w:val="21"/>
              </w:rPr>
              <w:t>工程</w:t>
            </w:r>
          </w:p>
        </w:tc>
        <w:tc>
          <w:tcPr>
            <w:tcW w:w="537" w:type="pct"/>
            <w:vAlign w:val="center"/>
          </w:tcPr>
          <w:p w:rsidR="00EE4502" w:rsidRDefault="00FD45A3">
            <w:pPr>
              <w:jc w:val="center"/>
              <w:rPr>
                <w:b/>
                <w:kern w:val="0"/>
                <w:szCs w:val="21"/>
              </w:rPr>
            </w:pPr>
            <w:r>
              <w:rPr>
                <w:rFonts w:cs="宋体" w:hint="eastAsia"/>
                <w:b/>
                <w:kern w:val="0"/>
                <w:szCs w:val="21"/>
              </w:rPr>
              <w:t>符合性</w:t>
            </w:r>
          </w:p>
        </w:tc>
      </w:tr>
      <w:tr w:rsidR="00EE4502">
        <w:trPr>
          <w:trHeight w:val="20"/>
          <w:jc w:val="center"/>
        </w:trPr>
        <w:tc>
          <w:tcPr>
            <w:tcW w:w="969" w:type="pct"/>
            <w:vAlign w:val="center"/>
          </w:tcPr>
          <w:p w:rsidR="00EE4502" w:rsidRDefault="00FD45A3">
            <w:pPr>
              <w:jc w:val="center"/>
              <w:rPr>
                <w:rFonts w:cs="宋体"/>
                <w:b/>
                <w:kern w:val="0"/>
                <w:szCs w:val="21"/>
              </w:rPr>
            </w:pPr>
            <w:r>
              <w:rPr>
                <w:rFonts w:cs="宋体" w:hint="eastAsia"/>
                <w:bCs/>
                <w:kern w:val="0"/>
                <w:szCs w:val="21"/>
              </w:rPr>
              <w:t>空间布局约束</w:t>
            </w:r>
          </w:p>
        </w:tc>
        <w:tc>
          <w:tcPr>
            <w:tcW w:w="2169" w:type="pct"/>
            <w:gridSpan w:val="2"/>
            <w:vAlign w:val="center"/>
          </w:tcPr>
          <w:p w:rsidR="00EE4502" w:rsidRDefault="00FD45A3">
            <w:pPr>
              <w:rPr>
                <w:rFonts w:ascii="宋体" w:hAnsi="宋体" w:cs="宋体"/>
                <w:bCs/>
                <w:kern w:val="0"/>
                <w:szCs w:val="21"/>
                <w:lang w:bidi="ar"/>
              </w:rPr>
            </w:pPr>
            <w:r>
              <w:rPr>
                <w:rFonts w:ascii="宋体" w:hAnsi="宋体" w:cs="宋体" w:hint="eastAsia"/>
                <w:bCs/>
                <w:kern w:val="0"/>
                <w:szCs w:val="21"/>
                <w:lang w:bidi="ar"/>
              </w:rPr>
              <w:t>（</w:t>
            </w:r>
            <w:r>
              <w:rPr>
                <w:rFonts w:ascii="宋体" w:hAnsi="宋体" w:cs="宋体" w:hint="eastAsia"/>
                <w:bCs/>
                <w:kern w:val="0"/>
                <w:szCs w:val="21"/>
                <w:lang w:bidi="ar"/>
              </w:rPr>
              <w:t>1</w:t>
            </w:r>
            <w:r>
              <w:rPr>
                <w:rFonts w:ascii="宋体" w:hAnsi="宋体" w:cs="宋体" w:hint="eastAsia"/>
                <w:bCs/>
                <w:kern w:val="0"/>
                <w:szCs w:val="21"/>
                <w:lang w:bidi="ar"/>
              </w:rPr>
              <w:t>）</w:t>
            </w:r>
            <w:r>
              <w:rPr>
                <w:rFonts w:ascii="宋体" w:hAnsi="宋体" w:cs="宋体" w:hint="eastAsia"/>
                <w:bCs/>
                <w:kern w:val="0"/>
                <w:szCs w:val="21"/>
                <w:lang w:bidi="ar"/>
              </w:rPr>
              <w:t>执行水环境农业污染重点管控区相关要求。</w:t>
            </w:r>
          </w:p>
          <w:p w:rsidR="00EE4502" w:rsidRDefault="00FD45A3">
            <w:pPr>
              <w:rPr>
                <w:rFonts w:ascii="宋体" w:hAnsi="宋体" w:cs="宋体"/>
                <w:bCs/>
                <w:kern w:val="0"/>
                <w:szCs w:val="21"/>
                <w:lang w:bidi="ar"/>
              </w:rPr>
            </w:pPr>
            <w:r>
              <w:rPr>
                <w:rFonts w:ascii="宋体" w:hAnsi="宋体" w:cs="宋体" w:hint="eastAsia"/>
                <w:bCs/>
                <w:kern w:val="0"/>
                <w:szCs w:val="21"/>
                <w:lang w:bidi="ar"/>
              </w:rPr>
              <w:t>（</w:t>
            </w:r>
            <w:r>
              <w:rPr>
                <w:rFonts w:ascii="宋体" w:hAnsi="宋体" w:cs="宋体" w:hint="eastAsia"/>
                <w:bCs/>
                <w:kern w:val="0"/>
                <w:szCs w:val="21"/>
                <w:lang w:bidi="ar"/>
              </w:rPr>
              <w:t>2</w:t>
            </w:r>
            <w:r>
              <w:rPr>
                <w:rFonts w:ascii="宋体" w:hAnsi="宋体" w:cs="宋体" w:hint="eastAsia"/>
                <w:bCs/>
                <w:kern w:val="0"/>
                <w:szCs w:val="21"/>
                <w:lang w:bidi="ar"/>
              </w:rPr>
              <w:t>）</w:t>
            </w:r>
            <w:r>
              <w:rPr>
                <w:rFonts w:ascii="宋体" w:hAnsi="宋体" w:cs="宋体" w:hint="eastAsia"/>
                <w:bCs/>
                <w:kern w:val="0"/>
                <w:szCs w:val="21"/>
                <w:lang w:bidi="ar"/>
              </w:rPr>
              <w:t>加强农田防护林网体系建设，保护基本农田，改造中低产农田和盐碱地，发展设施农业，并改进农业种植技术。</w:t>
            </w:r>
          </w:p>
          <w:p w:rsidR="00EE4502" w:rsidRDefault="00FD45A3">
            <w:pPr>
              <w:rPr>
                <w:rFonts w:cs="宋体"/>
                <w:bCs/>
                <w:kern w:val="0"/>
                <w:szCs w:val="21"/>
              </w:rPr>
            </w:pPr>
            <w:r>
              <w:rPr>
                <w:rFonts w:ascii="宋体" w:hAnsi="宋体" w:cs="宋体" w:hint="eastAsia"/>
                <w:bCs/>
                <w:kern w:val="0"/>
                <w:szCs w:val="21"/>
                <w:lang w:bidi="ar"/>
              </w:rPr>
              <w:t>（</w:t>
            </w:r>
            <w:r>
              <w:rPr>
                <w:rFonts w:ascii="宋体" w:hAnsi="宋体" w:cs="宋体" w:hint="eastAsia"/>
                <w:bCs/>
                <w:kern w:val="0"/>
                <w:szCs w:val="21"/>
                <w:lang w:bidi="ar"/>
              </w:rPr>
              <w:t>3</w:t>
            </w:r>
            <w:r>
              <w:rPr>
                <w:rFonts w:ascii="宋体" w:hAnsi="宋体" w:cs="宋体" w:hint="eastAsia"/>
                <w:bCs/>
                <w:kern w:val="0"/>
                <w:szCs w:val="21"/>
                <w:lang w:bidi="ar"/>
              </w:rPr>
              <w:t>）</w:t>
            </w:r>
            <w:r>
              <w:rPr>
                <w:rFonts w:ascii="宋体" w:hAnsi="宋体" w:cs="宋体" w:hint="eastAsia"/>
                <w:bCs/>
                <w:kern w:val="0"/>
                <w:szCs w:val="21"/>
                <w:lang w:bidi="ar"/>
              </w:rPr>
              <w:t>严格控制非农建设占用耕地</w:t>
            </w:r>
            <w:r>
              <w:rPr>
                <w:rFonts w:ascii="宋体" w:hAnsi="宋体" w:cs="宋体" w:hint="eastAsia"/>
                <w:bCs/>
                <w:kern w:val="0"/>
                <w:szCs w:val="21"/>
                <w:lang w:bidi="ar"/>
              </w:rPr>
              <w:t>，</w:t>
            </w:r>
            <w:r>
              <w:rPr>
                <w:rFonts w:ascii="宋体" w:hAnsi="宋体" w:cs="宋体" w:hint="eastAsia"/>
                <w:bCs/>
                <w:kern w:val="0"/>
                <w:szCs w:val="21"/>
                <w:lang w:bidi="ar"/>
              </w:rPr>
              <w:t>加大对土地整理复垦开发重点区域及重</w:t>
            </w:r>
            <w:r>
              <w:rPr>
                <w:rFonts w:ascii="宋体" w:hAnsi="宋体" w:cs="宋体" w:hint="eastAsia"/>
                <w:bCs/>
                <w:kern w:val="0"/>
                <w:szCs w:val="21"/>
                <w:lang w:bidi="ar"/>
              </w:rPr>
              <w:lastRenderedPageBreak/>
              <w:t>点工程、粮食主产区和基本农田保护区的投</w:t>
            </w:r>
            <w:r>
              <w:rPr>
                <w:rFonts w:ascii="宋体" w:hAnsi="宋体" w:cs="宋体" w:hint="eastAsia"/>
                <w:bCs/>
                <w:kern w:val="0"/>
                <w:szCs w:val="21"/>
                <w:lang w:bidi="ar"/>
              </w:rPr>
              <w:t>入</w:t>
            </w:r>
            <w:r>
              <w:rPr>
                <w:rFonts w:ascii="宋体" w:hAnsi="宋体" w:cs="宋体" w:hint="eastAsia"/>
                <w:bCs/>
                <w:kern w:val="0"/>
                <w:szCs w:val="21"/>
                <w:lang w:bidi="ar"/>
              </w:rPr>
              <w:t>。</w:t>
            </w:r>
          </w:p>
          <w:p w:rsidR="00EE4502" w:rsidRDefault="00FD45A3">
            <w:pPr>
              <w:rPr>
                <w:rFonts w:cs="宋体"/>
                <w:bCs/>
                <w:kern w:val="0"/>
                <w:szCs w:val="21"/>
              </w:rPr>
            </w:pPr>
            <w:r>
              <w:rPr>
                <w:rFonts w:hint="eastAsia"/>
                <w:bCs/>
                <w:kern w:val="0"/>
                <w:szCs w:val="21"/>
                <w:lang w:bidi="ar"/>
              </w:rPr>
              <w:t>（</w:t>
            </w:r>
            <w:r>
              <w:rPr>
                <w:rFonts w:hint="eastAsia"/>
                <w:bCs/>
                <w:kern w:val="0"/>
                <w:szCs w:val="21"/>
                <w:lang w:bidi="ar"/>
              </w:rPr>
              <w:t>4</w:t>
            </w:r>
            <w:r>
              <w:rPr>
                <w:rFonts w:hint="eastAsia"/>
                <w:bCs/>
                <w:kern w:val="0"/>
                <w:szCs w:val="21"/>
                <w:lang w:bidi="ar"/>
              </w:rPr>
              <w:t>）</w:t>
            </w:r>
            <w:r>
              <w:rPr>
                <w:rFonts w:ascii="宋体" w:hAnsi="宋体" w:cs="宋体" w:hint="eastAsia"/>
                <w:bCs/>
                <w:kern w:val="0"/>
                <w:szCs w:val="21"/>
                <w:lang w:bidi="ar"/>
              </w:rPr>
              <w:t>禁止任何单位和个人在基本农田保护区内建窑、建房、建坟、挖砂采</w:t>
            </w:r>
          </w:p>
          <w:p w:rsidR="00EE4502" w:rsidRDefault="00FD45A3">
            <w:pPr>
              <w:rPr>
                <w:rFonts w:cs="宋体"/>
                <w:bCs/>
                <w:kern w:val="0"/>
                <w:szCs w:val="21"/>
              </w:rPr>
            </w:pPr>
            <w:r>
              <w:rPr>
                <w:rFonts w:ascii="宋体" w:hAnsi="宋体" w:cs="宋体" w:hint="eastAsia"/>
                <w:bCs/>
                <w:kern w:val="0"/>
                <w:szCs w:val="21"/>
                <w:lang w:bidi="ar"/>
              </w:rPr>
              <w:t>石、采矿、取土、堆放固体废弃物或者进行其他破坏基本农田的活动。</w:t>
            </w:r>
          </w:p>
        </w:tc>
        <w:tc>
          <w:tcPr>
            <w:tcW w:w="1324" w:type="pct"/>
            <w:vAlign w:val="center"/>
          </w:tcPr>
          <w:p w:rsidR="00EE4502" w:rsidRDefault="00FD45A3">
            <w:pPr>
              <w:rPr>
                <w:rFonts w:cs="宋体"/>
                <w:bCs/>
                <w:kern w:val="0"/>
                <w:szCs w:val="21"/>
              </w:rPr>
            </w:pPr>
            <w:r>
              <w:rPr>
                <w:rFonts w:cs="宋体" w:hint="eastAsia"/>
                <w:bCs/>
                <w:kern w:val="0"/>
                <w:szCs w:val="21"/>
              </w:rPr>
              <w:lastRenderedPageBreak/>
              <w:t>本工程</w:t>
            </w:r>
            <w:r>
              <w:rPr>
                <w:rFonts w:cs="宋体" w:hint="eastAsia"/>
                <w:bCs/>
                <w:kern w:val="0"/>
                <w:szCs w:val="21"/>
              </w:rPr>
              <w:t>3</w:t>
            </w:r>
            <w:r>
              <w:rPr>
                <w:rFonts w:cs="宋体" w:hint="eastAsia"/>
                <w:bCs/>
                <w:kern w:val="0"/>
                <w:szCs w:val="21"/>
              </w:rPr>
              <w:t>口注水井及排</w:t>
            </w:r>
            <w:r>
              <w:rPr>
                <w:rFonts w:cs="宋体" w:hint="eastAsia"/>
                <w:bCs/>
                <w:kern w:val="0"/>
                <w:szCs w:val="21"/>
              </w:rPr>
              <w:t>7</w:t>
            </w:r>
            <w:r>
              <w:rPr>
                <w:rFonts w:cs="宋体" w:hint="eastAsia"/>
                <w:bCs/>
                <w:kern w:val="0"/>
                <w:szCs w:val="21"/>
              </w:rPr>
              <w:t>注水站改造位于本单元，其中</w:t>
            </w:r>
            <w:r>
              <w:rPr>
                <w:rFonts w:cs="宋体" w:hint="eastAsia"/>
                <w:bCs/>
                <w:kern w:val="0"/>
                <w:szCs w:val="21"/>
              </w:rPr>
              <w:t>1</w:t>
            </w:r>
            <w:r>
              <w:rPr>
                <w:rFonts w:cs="宋体" w:hint="eastAsia"/>
                <w:bCs/>
                <w:kern w:val="0"/>
                <w:szCs w:val="21"/>
              </w:rPr>
              <w:t>口注水井涉及新增农用地占用。经初步核查，占用的农用地为一般耕地，不涉及永久</w:t>
            </w:r>
            <w:r>
              <w:rPr>
                <w:rFonts w:cs="宋体" w:hint="eastAsia"/>
                <w:bCs/>
                <w:kern w:val="0"/>
                <w:szCs w:val="21"/>
              </w:rPr>
              <w:t>基本农田。</w:t>
            </w:r>
            <w:r>
              <w:rPr>
                <w:rFonts w:cs="宋体" w:hint="eastAsia"/>
                <w:bCs/>
                <w:kern w:val="0"/>
                <w:szCs w:val="21"/>
              </w:rPr>
              <w:t>3</w:t>
            </w:r>
            <w:r>
              <w:rPr>
                <w:rFonts w:cs="宋体" w:hint="eastAsia"/>
                <w:bCs/>
                <w:kern w:val="0"/>
                <w:szCs w:val="21"/>
              </w:rPr>
              <w:t>口注水井依托区域已</w:t>
            </w:r>
            <w:r>
              <w:rPr>
                <w:rFonts w:cs="宋体" w:hint="eastAsia"/>
                <w:bCs/>
                <w:kern w:val="0"/>
                <w:szCs w:val="21"/>
              </w:rPr>
              <w:lastRenderedPageBreak/>
              <w:t>建注水管网，新建注水管线</w:t>
            </w:r>
            <w:r>
              <w:rPr>
                <w:rFonts w:cs="宋体" w:hint="eastAsia"/>
                <w:bCs/>
                <w:kern w:val="0"/>
                <w:szCs w:val="21"/>
              </w:rPr>
              <w:t>2.05km</w:t>
            </w:r>
            <w:r>
              <w:rPr>
                <w:rFonts w:cs="宋体" w:hint="eastAsia"/>
                <w:bCs/>
                <w:kern w:val="0"/>
                <w:szCs w:val="21"/>
              </w:rPr>
              <w:t>，不涉及农田防护林占用。工程建设过程中严格控制占地面积，严禁向工程周边农田排污；</w:t>
            </w:r>
          </w:p>
        </w:tc>
        <w:tc>
          <w:tcPr>
            <w:tcW w:w="537" w:type="pct"/>
            <w:vAlign w:val="center"/>
          </w:tcPr>
          <w:p w:rsidR="00EE4502" w:rsidRDefault="00FD45A3">
            <w:pPr>
              <w:jc w:val="center"/>
              <w:rPr>
                <w:rFonts w:cs="宋体"/>
                <w:bCs/>
                <w:kern w:val="0"/>
                <w:szCs w:val="21"/>
              </w:rPr>
            </w:pPr>
            <w:r>
              <w:rPr>
                <w:rFonts w:cs="宋体" w:hint="eastAsia"/>
                <w:bCs/>
                <w:kern w:val="0"/>
                <w:szCs w:val="21"/>
              </w:rPr>
              <w:lastRenderedPageBreak/>
              <w:t>符合</w:t>
            </w:r>
          </w:p>
        </w:tc>
      </w:tr>
      <w:tr w:rsidR="00EE4502">
        <w:trPr>
          <w:trHeight w:val="20"/>
          <w:jc w:val="center"/>
        </w:trPr>
        <w:tc>
          <w:tcPr>
            <w:tcW w:w="969" w:type="pct"/>
            <w:vAlign w:val="center"/>
          </w:tcPr>
          <w:p w:rsidR="00EE4502" w:rsidRDefault="00FD45A3">
            <w:pPr>
              <w:jc w:val="center"/>
              <w:rPr>
                <w:bCs/>
                <w:kern w:val="0"/>
                <w:szCs w:val="21"/>
              </w:rPr>
            </w:pPr>
            <w:r>
              <w:rPr>
                <w:rFonts w:cs="宋体" w:hint="eastAsia"/>
                <w:bCs/>
                <w:kern w:val="0"/>
                <w:szCs w:val="21"/>
              </w:rPr>
              <w:lastRenderedPageBreak/>
              <w:t>污染物排放管控</w:t>
            </w:r>
          </w:p>
        </w:tc>
        <w:tc>
          <w:tcPr>
            <w:tcW w:w="2169" w:type="pct"/>
            <w:gridSpan w:val="2"/>
            <w:vAlign w:val="center"/>
          </w:tcPr>
          <w:p w:rsidR="00EE4502" w:rsidRDefault="00FD45A3">
            <w:pPr>
              <w:rPr>
                <w:rFonts w:ascii="宋体" w:hAnsi="宋体" w:cs="宋体"/>
                <w:bCs/>
                <w:kern w:val="0"/>
                <w:szCs w:val="21"/>
                <w:lang w:bidi="ar"/>
              </w:rPr>
            </w:pPr>
            <w:r>
              <w:rPr>
                <w:rFonts w:hint="eastAsia"/>
                <w:bCs/>
                <w:kern w:val="0"/>
                <w:szCs w:val="21"/>
                <w:lang w:bidi="ar"/>
              </w:rPr>
              <w:t>（</w:t>
            </w:r>
            <w:r>
              <w:rPr>
                <w:rFonts w:hint="eastAsia"/>
                <w:bCs/>
                <w:kern w:val="0"/>
                <w:szCs w:val="21"/>
                <w:lang w:bidi="ar"/>
              </w:rPr>
              <w:t>1</w:t>
            </w:r>
            <w:r>
              <w:rPr>
                <w:rFonts w:hint="eastAsia"/>
                <w:bCs/>
                <w:kern w:val="0"/>
                <w:szCs w:val="21"/>
                <w:lang w:bidi="ar"/>
              </w:rPr>
              <w:t>）</w:t>
            </w:r>
            <w:r>
              <w:rPr>
                <w:rFonts w:ascii="宋体" w:hAnsi="宋体" w:cs="宋体" w:hint="eastAsia"/>
                <w:bCs/>
                <w:kern w:val="0"/>
                <w:szCs w:val="21"/>
                <w:lang w:bidi="ar"/>
              </w:rPr>
              <w:t>执行水环境农业污染重点管控区相关要求。</w:t>
            </w:r>
          </w:p>
          <w:p w:rsidR="00EE4502" w:rsidRDefault="00FD45A3">
            <w:pPr>
              <w:rPr>
                <w:rFonts w:cs="宋体"/>
                <w:bCs/>
                <w:kern w:val="0"/>
                <w:szCs w:val="21"/>
              </w:rPr>
            </w:pPr>
            <w:r>
              <w:rPr>
                <w:rFonts w:hint="eastAsia"/>
                <w:bCs/>
                <w:kern w:val="0"/>
                <w:szCs w:val="21"/>
                <w:lang w:bidi="ar"/>
              </w:rPr>
              <w:t>（</w:t>
            </w:r>
            <w:r>
              <w:rPr>
                <w:rFonts w:hint="eastAsia"/>
                <w:bCs/>
                <w:kern w:val="0"/>
                <w:szCs w:val="21"/>
                <w:lang w:bidi="ar"/>
              </w:rPr>
              <w:t>2</w:t>
            </w:r>
            <w:r>
              <w:rPr>
                <w:rFonts w:hint="eastAsia"/>
                <w:bCs/>
                <w:kern w:val="0"/>
                <w:szCs w:val="21"/>
                <w:lang w:bidi="ar"/>
              </w:rPr>
              <w:t>）</w:t>
            </w:r>
            <w:r>
              <w:rPr>
                <w:rFonts w:ascii="宋体" w:hAnsi="宋体" w:cs="宋体" w:hint="eastAsia"/>
                <w:bCs/>
                <w:kern w:val="0"/>
                <w:szCs w:val="21"/>
                <w:lang w:bidi="ar"/>
              </w:rPr>
              <w:t>农田</w:t>
            </w:r>
            <w:r>
              <w:rPr>
                <w:rFonts w:ascii="宋体" w:hAnsi="宋体" w:cs="宋体" w:hint="eastAsia"/>
                <w:bCs/>
                <w:kern w:val="0"/>
                <w:szCs w:val="21"/>
                <w:lang w:bidi="ar"/>
              </w:rPr>
              <w:t>灌溉</w:t>
            </w:r>
            <w:r>
              <w:rPr>
                <w:rFonts w:ascii="宋体" w:hAnsi="宋体" w:cs="宋体" w:hint="eastAsia"/>
                <w:bCs/>
                <w:kern w:val="0"/>
                <w:szCs w:val="21"/>
                <w:lang w:bidi="ar"/>
              </w:rPr>
              <w:t>用水应当符合相应的水质标准，防止污染</w:t>
            </w:r>
            <w:r>
              <w:rPr>
                <w:rFonts w:ascii="宋体" w:hAnsi="宋体" w:cs="宋体" w:hint="eastAsia"/>
                <w:bCs/>
                <w:kern w:val="0"/>
                <w:szCs w:val="21"/>
                <w:lang w:bidi="ar"/>
              </w:rPr>
              <w:t>土壤</w:t>
            </w:r>
            <w:r>
              <w:rPr>
                <w:rFonts w:ascii="宋体" w:hAnsi="宋体" w:cs="宋体" w:hint="eastAsia"/>
                <w:bCs/>
                <w:kern w:val="0"/>
                <w:szCs w:val="21"/>
                <w:lang w:bidi="ar"/>
              </w:rPr>
              <w:t>、地下水和农产品。禁止向农田灌溉渠道排放工业废水或者医疗污水。向农田灌溉渠道排放城镇污水以及未综合利用的</w:t>
            </w:r>
            <w:r>
              <w:rPr>
                <w:rFonts w:ascii="宋体" w:hAnsi="宋体" w:cs="宋体" w:hint="eastAsia"/>
                <w:bCs/>
                <w:kern w:val="0"/>
                <w:szCs w:val="21"/>
                <w:lang w:bidi="ar"/>
              </w:rPr>
              <w:t>畜禽</w:t>
            </w:r>
            <w:r>
              <w:rPr>
                <w:rFonts w:ascii="宋体" w:hAnsi="宋体" w:cs="宋体" w:hint="eastAsia"/>
                <w:bCs/>
                <w:kern w:val="0"/>
                <w:szCs w:val="21"/>
                <w:lang w:bidi="ar"/>
              </w:rPr>
              <w:t>养殖废水</w:t>
            </w:r>
            <w:r>
              <w:rPr>
                <w:rFonts w:ascii="宋体" w:hAnsi="宋体" w:cs="宋体" w:hint="eastAsia"/>
                <w:bCs/>
                <w:kern w:val="0"/>
                <w:szCs w:val="21"/>
                <w:lang w:bidi="ar"/>
              </w:rPr>
              <w:t>、</w:t>
            </w:r>
            <w:r>
              <w:rPr>
                <w:rFonts w:ascii="宋体" w:hAnsi="宋体" w:cs="宋体" w:hint="eastAsia"/>
                <w:bCs/>
                <w:kern w:val="0"/>
                <w:szCs w:val="21"/>
                <w:lang w:bidi="ar"/>
              </w:rPr>
              <w:t>农产品加工废水的，应当保证其下游最近的灌溉取水点的水质符合农田灌溉水质标准。</w:t>
            </w:r>
          </w:p>
        </w:tc>
        <w:tc>
          <w:tcPr>
            <w:tcW w:w="1324" w:type="pct"/>
            <w:vAlign w:val="center"/>
          </w:tcPr>
          <w:p w:rsidR="00EE4502" w:rsidRDefault="00FD45A3">
            <w:pPr>
              <w:rPr>
                <w:rFonts w:cs="宋体"/>
                <w:bCs/>
                <w:kern w:val="0"/>
                <w:szCs w:val="21"/>
              </w:rPr>
            </w:pPr>
            <w:r>
              <w:rPr>
                <w:rFonts w:cs="宋体" w:hint="eastAsia"/>
                <w:bCs/>
                <w:kern w:val="0"/>
                <w:szCs w:val="21"/>
              </w:rPr>
              <w:t>本工程废水均不外排，符合水环境农业污染重点管控区相关要求；</w:t>
            </w:r>
          </w:p>
        </w:tc>
        <w:tc>
          <w:tcPr>
            <w:tcW w:w="537" w:type="pct"/>
            <w:vAlign w:val="center"/>
          </w:tcPr>
          <w:p w:rsidR="00EE4502" w:rsidRDefault="00FD45A3">
            <w:pPr>
              <w:jc w:val="center"/>
              <w:rPr>
                <w:rFonts w:cs="宋体"/>
                <w:bCs/>
                <w:kern w:val="0"/>
                <w:szCs w:val="21"/>
              </w:rPr>
            </w:pPr>
            <w:r>
              <w:rPr>
                <w:rFonts w:cs="宋体" w:hint="eastAsia"/>
                <w:bCs/>
                <w:kern w:val="0"/>
                <w:szCs w:val="21"/>
              </w:rPr>
              <w:t>符合</w:t>
            </w:r>
          </w:p>
        </w:tc>
      </w:tr>
      <w:tr w:rsidR="00EE4502">
        <w:trPr>
          <w:trHeight w:val="20"/>
          <w:jc w:val="center"/>
        </w:trPr>
        <w:tc>
          <w:tcPr>
            <w:tcW w:w="969" w:type="pct"/>
            <w:vAlign w:val="center"/>
          </w:tcPr>
          <w:p w:rsidR="00EE4502" w:rsidRDefault="00FD45A3">
            <w:pPr>
              <w:jc w:val="center"/>
              <w:rPr>
                <w:bCs/>
                <w:kern w:val="0"/>
                <w:szCs w:val="21"/>
              </w:rPr>
            </w:pPr>
            <w:r>
              <w:rPr>
                <w:rFonts w:hint="eastAsia"/>
                <w:bCs/>
                <w:kern w:val="0"/>
                <w:szCs w:val="21"/>
              </w:rPr>
              <w:t>环境风险防控</w:t>
            </w:r>
          </w:p>
        </w:tc>
        <w:tc>
          <w:tcPr>
            <w:tcW w:w="2169" w:type="pct"/>
            <w:gridSpan w:val="2"/>
            <w:vAlign w:val="center"/>
          </w:tcPr>
          <w:p w:rsidR="00EE4502" w:rsidRDefault="00FD45A3">
            <w:pPr>
              <w:rPr>
                <w:rFonts w:ascii="宋体" w:hAnsi="宋体" w:cs="宋体"/>
                <w:bCs/>
                <w:kern w:val="0"/>
                <w:szCs w:val="21"/>
                <w:lang w:bidi="ar"/>
              </w:rPr>
            </w:pPr>
            <w:r>
              <w:rPr>
                <w:rFonts w:hint="eastAsia"/>
                <w:bCs/>
                <w:kern w:val="0"/>
                <w:szCs w:val="21"/>
                <w:lang w:bidi="ar"/>
              </w:rPr>
              <w:t>（</w:t>
            </w:r>
            <w:r>
              <w:rPr>
                <w:rFonts w:hint="eastAsia"/>
                <w:bCs/>
                <w:kern w:val="0"/>
                <w:szCs w:val="21"/>
                <w:lang w:bidi="ar"/>
              </w:rPr>
              <w:t>1</w:t>
            </w:r>
            <w:r>
              <w:rPr>
                <w:rFonts w:hint="eastAsia"/>
                <w:bCs/>
                <w:kern w:val="0"/>
                <w:szCs w:val="21"/>
                <w:lang w:bidi="ar"/>
              </w:rPr>
              <w:t>）</w:t>
            </w:r>
            <w:r>
              <w:rPr>
                <w:rFonts w:ascii="宋体" w:hAnsi="宋体" w:cs="宋体" w:hint="eastAsia"/>
                <w:bCs/>
                <w:kern w:val="0"/>
                <w:szCs w:val="21"/>
                <w:lang w:bidi="ar"/>
              </w:rPr>
              <w:t>对耕地面积减少或土壤环境质量下降的团场要进行预警提醒，并依法采取环评限批等限制性措施。</w:t>
            </w:r>
          </w:p>
          <w:p w:rsidR="00EE4502" w:rsidRDefault="00FD45A3">
            <w:pPr>
              <w:rPr>
                <w:rFonts w:cs="宋体"/>
                <w:bCs/>
                <w:kern w:val="0"/>
                <w:szCs w:val="21"/>
              </w:rPr>
            </w:pPr>
            <w:r>
              <w:rPr>
                <w:rFonts w:ascii="宋体" w:hAnsi="宋体" w:cs="宋体" w:hint="eastAsia"/>
                <w:bCs/>
                <w:kern w:val="0"/>
                <w:szCs w:val="21"/>
                <w:lang w:bidi="ar"/>
              </w:rPr>
              <w:t>（</w:t>
            </w:r>
            <w:r>
              <w:rPr>
                <w:rFonts w:ascii="宋体" w:hAnsi="宋体" w:cs="宋体" w:hint="eastAsia"/>
                <w:bCs/>
                <w:kern w:val="0"/>
                <w:szCs w:val="21"/>
                <w:lang w:bidi="ar"/>
              </w:rPr>
              <w:t>2</w:t>
            </w:r>
            <w:r>
              <w:rPr>
                <w:rFonts w:ascii="宋体" w:hAnsi="宋体" w:cs="宋体" w:hint="eastAsia"/>
                <w:bCs/>
                <w:kern w:val="0"/>
                <w:szCs w:val="21"/>
                <w:lang w:bidi="ar"/>
              </w:rPr>
              <w:t>）</w:t>
            </w:r>
            <w:r>
              <w:rPr>
                <w:rFonts w:ascii="宋体" w:hAnsi="宋体" w:cs="宋体" w:hint="eastAsia"/>
                <w:bCs/>
                <w:kern w:val="0"/>
                <w:szCs w:val="21"/>
                <w:lang w:bidi="ar"/>
              </w:rPr>
              <w:t>对威胁地下水、饮用水水源安全的耕地，制定环境风险管控方案，并落实有关措施</w:t>
            </w:r>
            <w:r>
              <w:rPr>
                <w:rFonts w:ascii="宋体" w:hAnsi="宋体" w:cs="宋体" w:hint="eastAsia"/>
                <w:bCs/>
                <w:kern w:val="0"/>
                <w:szCs w:val="21"/>
                <w:lang w:bidi="ar"/>
              </w:rPr>
              <w:t>。</w:t>
            </w:r>
          </w:p>
        </w:tc>
        <w:tc>
          <w:tcPr>
            <w:tcW w:w="1324" w:type="pct"/>
            <w:vAlign w:val="center"/>
          </w:tcPr>
          <w:p w:rsidR="00EE4502" w:rsidRDefault="00FD45A3">
            <w:pPr>
              <w:rPr>
                <w:rFonts w:cs="宋体"/>
                <w:bCs/>
                <w:kern w:val="0"/>
                <w:szCs w:val="21"/>
              </w:rPr>
            </w:pPr>
            <w:r>
              <w:rPr>
                <w:rFonts w:cs="宋体" w:hint="eastAsia"/>
                <w:bCs/>
                <w:kern w:val="0"/>
                <w:szCs w:val="21"/>
              </w:rPr>
              <w:t>本工程所在团场目前未收到耕地面积减少及土壤环境质量下降的预警；</w:t>
            </w:r>
          </w:p>
        </w:tc>
        <w:tc>
          <w:tcPr>
            <w:tcW w:w="537" w:type="pct"/>
            <w:vAlign w:val="center"/>
          </w:tcPr>
          <w:p w:rsidR="00EE4502" w:rsidRDefault="00FD45A3">
            <w:pPr>
              <w:jc w:val="center"/>
              <w:rPr>
                <w:rFonts w:cs="宋体"/>
                <w:bCs/>
                <w:kern w:val="0"/>
                <w:szCs w:val="21"/>
              </w:rPr>
            </w:pPr>
            <w:r>
              <w:rPr>
                <w:rFonts w:cs="宋体" w:hint="eastAsia"/>
                <w:bCs/>
                <w:kern w:val="0"/>
                <w:szCs w:val="21"/>
              </w:rPr>
              <w:t>符合</w:t>
            </w:r>
          </w:p>
        </w:tc>
      </w:tr>
      <w:tr w:rsidR="00EE4502">
        <w:trPr>
          <w:trHeight w:val="20"/>
          <w:jc w:val="center"/>
        </w:trPr>
        <w:tc>
          <w:tcPr>
            <w:tcW w:w="969" w:type="pct"/>
            <w:vAlign w:val="center"/>
          </w:tcPr>
          <w:p w:rsidR="00EE4502" w:rsidRDefault="00FD45A3">
            <w:pPr>
              <w:jc w:val="center"/>
              <w:rPr>
                <w:bCs/>
                <w:kern w:val="0"/>
                <w:szCs w:val="21"/>
              </w:rPr>
            </w:pPr>
            <w:r>
              <w:rPr>
                <w:rFonts w:hint="eastAsia"/>
                <w:bCs/>
                <w:kern w:val="0"/>
                <w:szCs w:val="21"/>
              </w:rPr>
              <w:t>资源利用效率</w:t>
            </w:r>
          </w:p>
        </w:tc>
        <w:tc>
          <w:tcPr>
            <w:tcW w:w="2169" w:type="pct"/>
            <w:gridSpan w:val="2"/>
            <w:vAlign w:val="center"/>
          </w:tcPr>
          <w:p w:rsidR="00EE4502" w:rsidRDefault="00FD45A3">
            <w:pPr>
              <w:rPr>
                <w:rFonts w:ascii="宋体" w:hAnsi="宋体" w:cs="宋体"/>
                <w:bCs/>
                <w:kern w:val="0"/>
                <w:szCs w:val="21"/>
                <w:lang w:bidi="ar"/>
              </w:rPr>
            </w:pPr>
            <w:r>
              <w:rPr>
                <w:rFonts w:hint="eastAsia"/>
                <w:bCs/>
                <w:kern w:val="0"/>
                <w:szCs w:val="21"/>
                <w:lang w:bidi="ar"/>
              </w:rPr>
              <w:t>（</w:t>
            </w:r>
            <w:r>
              <w:rPr>
                <w:rFonts w:hint="eastAsia"/>
                <w:bCs/>
                <w:kern w:val="0"/>
                <w:szCs w:val="21"/>
                <w:lang w:bidi="ar"/>
              </w:rPr>
              <w:t>1</w:t>
            </w:r>
            <w:r>
              <w:rPr>
                <w:rFonts w:hint="eastAsia"/>
                <w:bCs/>
                <w:kern w:val="0"/>
                <w:szCs w:val="21"/>
                <w:lang w:bidi="ar"/>
              </w:rPr>
              <w:t>）</w:t>
            </w:r>
            <w:r>
              <w:rPr>
                <w:rFonts w:ascii="宋体" w:hAnsi="宋体" w:cs="宋体" w:hint="eastAsia"/>
                <w:bCs/>
                <w:kern w:val="0"/>
                <w:szCs w:val="21"/>
                <w:lang w:bidi="ar"/>
              </w:rPr>
              <w:t>推行秸秆还田、增施有机肥、少耕免耕、粮豆轮作、化肥农药减量、农膜减量与回收利用等措施，切实保护耕地土壤环境质量。</w:t>
            </w:r>
          </w:p>
          <w:p w:rsidR="00EE4502" w:rsidRDefault="00FD45A3">
            <w:pPr>
              <w:rPr>
                <w:rFonts w:cs="宋体"/>
                <w:bCs/>
                <w:kern w:val="0"/>
                <w:szCs w:val="21"/>
              </w:rPr>
            </w:pPr>
            <w:r>
              <w:rPr>
                <w:rFonts w:ascii="宋体" w:hAnsi="宋体" w:cs="宋体" w:hint="eastAsia"/>
                <w:bCs/>
                <w:kern w:val="0"/>
                <w:szCs w:val="21"/>
                <w:lang w:bidi="ar"/>
              </w:rPr>
              <w:t>（</w:t>
            </w:r>
            <w:r>
              <w:rPr>
                <w:rFonts w:ascii="宋体" w:hAnsi="宋体" w:cs="宋体" w:hint="eastAsia"/>
                <w:bCs/>
                <w:kern w:val="0"/>
                <w:szCs w:val="21"/>
                <w:lang w:bidi="ar"/>
              </w:rPr>
              <w:t>2</w:t>
            </w:r>
            <w:r>
              <w:rPr>
                <w:rFonts w:ascii="宋体" w:hAnsi="宋体" w:cs="宋体" w:hint="eastAsia"/>
                <w:bCs/>
                <w:kern w:val="0"/>
                <w:szCs w:val="21"/>
                <w:lang w:bidi="ar"/>
              </w:rPr>
              <w:t>）</w:t>
            </w:r>
            <w:r>
              <w:rPr>
                <w:rFonts w:ascii="宋体" w:hAnsi="宋体" w:cs="宋体" w:hint="eastAsia"/>
                <w:bCs/>
                <w:kern w:val="0"/>
                <w:szCs w:val="21"/>
                <w:lang w:bidi="ar"/>
              </w:rPr>
              <w:t>大力推进规模化高效节水灌溉，推广农作物节水抗旱技术。建立灌区墒情测报网络，提高农业用水效率</w:t>
            </w:r>
            <w:r>
              <w:rPr>
                <w:rFonts w:ascii="宋体" w:hAnsi="宋体" w:cs="宋体" w:hint="eastAsia"/>
                <w:bCs/>
                <w:kern w:val="0"/>
                <w:szCs w:val="21"/>
                <w:lang w:bidi="ar"/>
              </w:rPr>
              <w:t>，</w:t>
            </w:r>
            <w:r>
              <w:rPr>
                <w:rFonts w:ascii="宋体" w:hAnsi="宋体" w:cs="宋体" w:hint="eastAsia"/>
                <w:bCs/>
                <w:kern w:val="0"/>
                <w:szCs w:val="21"/>
                <w:lang w:bidi="ar"/>
              </w:rPr>
              <w:t>降低农业用水比重</w:t>
            </w:r>
            <w:r>
              <w:rPr>
                <w:rFonts w:ascii="宋体" w:hAnsi="宋体" w:cs="宋体" w:hint="eastAsia"/>
                <w:bCs/>
                <w:kern w:val="0"/>
                <w:szCs w:val="21"/>
                <w:lang w:bidi="ar"/>
              </w:rPr>
              <w:t>。</w:t>
            </w:r>
          </w:p>
        </w:tc>
        <w:tc>
          <w:tcPr>
            <w:tcW w:w="1324" w:type="pct"/>
            <w:vAlign w:val="center"/>
          </w:tcPr>
          <w:p w:rsidR="00EE4502" w:rsidRDefault="00FD45A3">
            <w:pPr>
              <w:rPr>
                <w:rFonts w:cs="宋体"/>
                <w:bCs/>
                <w:kern w:val="0"/>
                <w:szCs w:val="21"/>
              </w:rPr>
            </w:pPr>
            <w:r>
              <w:rPr>
                <w:rFonts w:cs="宋体" w:hint="eastAsia"/>
                <w:bCs/>
                <w:kern w:val="0"/>
                <w:szCs w:val="21"/>
              </w:rPr>
              <w:t>本工程为陆地石油开采项目，不涉及农业工程；工程建设期间管线试压水循环利用后用于场地洒水降尘；</w:t>
            </w:r>
          </w:p>
        </w:tc>
        <w:tc>
          <w:tcPr>
            <w:tcW w:w="537" w:type="pct"/>
            <w:vAlign w:val="center"/>
          </w:tcPr>
          <w:p w:rsidR="00EE4502" w:rsidRDefault="00FD45A3">
            <w:pPr>
              <w:jc w:val="center"/>
              <w:rPr>
                <w:rFonts w:cs="宋体"/>
                <w:bCs/>
                <w:kern w:val="0"/>
                <w:szCs w:val="21"/>
              </w:rPr>
            </w:pPr>
            <w:r>
              <w:rPr>
                <w:rFonts w:cs="宋体" w:hint="eastAsia"/>
                <w:bCs/>
                <w:kern w:val="0"/>
                <w:szCs w:val="21"/>
              </w:rPr>
              <w:t>符合</w:t>
            </w:r>
          </w:p>
        </w:tc>
      </w:tr>
    </w:tbl>
    <w:p w:rsidR="00EE4502" w:rsidRDefault="00EE4502">
      <w:pPr>
        <w:tabs>
          <w:tab w:val="left" w:pos="720"/>
        </w:tabs>
        <w:autoSpaceDE w:val="0"/>
        <w:autoSpaceDN w:val="0"/>
        <w:spacing w:line="360" w:lineRule="auto"/>
        <w:ind w:right="17" w:firstLineChars="200" w:firstLine="480"/>
        <w:rPr>
          <w:bCs/>
          <w:sz w:val="24"/>
        </w:rPr>
      </w:pPr>
    </w:p>
    <w:p w:rsidR="00EE4502" w:rsidRDefault="00EE4502">
      <w:pPr>
        <w:tabs>
          <w:tab w:val="left" w:pos="720"/>
        </w:tabs>
        <w:autoSpaceDE w:val="0"/>
        <w:autoSpaceDN w:val="0"/>
        <w:spacing w:line="360" w:lineRule="auto"/>
        <w:ind w:right="17" w:firstLineChars="200" w:firstLine="480"/>
        <w:jc w:val="left"/>
        <w:rPr>
          <w:bCs/>
          <w:sz w:val="24"/>
        </w:rPr>
        <w:sectPr w:rsidR="00EE4502">
          <w:footerReference w:type="default" r:id="rId24"/>
          <w:pgSz w:w="11906" w:h="16838"/>
          <w:pgMar w:top="1440" w:right="1800" w:bottom="1440" w:left="1800" w:header="850" w:footer="850" w:gutter="0"/>
          <w:pgNumType w:fmt="numberInDash"/>
          <w:cols w:space="720"/>
          <w:docGrid w:linePitch="326"/>
        </w:sectPr>
      </w:pPr>
    </w:p>
    <w:p w:rsidR="00EE4502" w:rsidRDefault="00FD45A3">
      <w:pPr>
        <w:pStyle w:val="22"/>
        <w:numPr>
          <w:ilvl w:val="1"/>
          <w:numId w:val="30"/>
        </w:numPr>
        <w:rPr>
          <w:spacing w:val="0"/>
          <w:w w:val="100"/>
        </w:rPr>
      </w:pPr>
      <w:bookmarkStart w:id="196" w:name="_Toc10067"/>
      <w:r>
        <w:rPr>
          <w:rFonts w:hint="eastAsia"/>
          <w:spacing w:val="0"/>
          <w:w w:val="100"/>
        </w:rPr>
        <w:lastRenderedPageBreak/>
        <w:t>选址合理性</w:t>
      </w:r>
      <w:r>
        <w:rPr>
          <w:spacing w:val="0"/>
          <w:w w:val="100"/>
        </w:rPr>
        <w:t>分析</w:t>
      </w:r>
      <w:bookmarkEnd w:id="196"/>
    </w:p>
    <w:p w:rsidR="00EE4502" w:rsidRDefault="00FD45A3">
      <w:pPr>
        <w:widowControl/>
        <w:spacing w:line="332" w:lineRule="auto"/>
        <w:ind w:firstLine="480"/>
        <w:rPr>
          <w:sz w:val="24"/>
        </w:rPr>
      </w:pPr>
      <w:r>
        <w:rPr>
          <w:sz w:val="24"/>
        </w:rPr>
        <w:t>春风油田</w:t>
      </w:r>
      <w:r>
        <w:rPr>
          <w:rFonts w:hint="eastAsia"/>
          <w:sz w:val="24"/>
        </w:rPr>
        <w:t>排</w:t>
      </w:r>
      <w:r>
        <w:rPr>
          <w:rFonts w:hint="eastAsia"/>
          <w:sz w:val="24"/>
        </w:rPr>
        <w:t>61</w:t>
      </w:r>
      <w:r>
        <w:rPr>
          <w:rFonts w:hint="eastAsia"/>
          <w:sz w:val="24"/>
        </w:rPr>
        <w:t>块</w:t>
      </w:r>
      <w:r>
        <w:rPr>
          <w:sz w:val="24"/>
        </w:rPr>
        <w:t>产能建设工程共</w:t>
      </w:r>
      <w:r>
        <w:rPr>
          <w:rFonts w:hint="eastAsia"/>
          <w:sz w:val="24"/>
        </w:rPr>
        <w:t>部署</w:t>
      </w:r>
      <w:r>
        <w:rPr>
          <w:rFonts w:hint="eastAsia"/>
          <w:sz w:val="24"/>
        </w:rPr>
        <w:t>22</w:t>
      </w:r>
      <w:r>
        <w:rPr>
          <w:rFonts w:hint="eastAsia"/>
          <w:sz w:val="24"/>
        </w:rPr>
        <w:t>口井，其中新建采油井场</w:t>
      </w:r>
      <w:r>
        <w:rPr>
          <w:rFonts w:hint="eastAsia"/>
          <w:sz w:val="24"/>
        </w:rPr>
        <w:t>9</w:t>
      </w:r>
      <w:r>
        <w:rPr>
          <w:rFonts w:hint="eastAsia"/>
          <w:sz w:val="24"/>
        </w:rPr>
        <w:t>座（双井同台井场</w:t>
      </w:r>
      <w:r>
        <w:rPr>
          <w:rFonts w:hint="eastAsia"/>
          <w:sz w:val="24"/>
        </w:rPr>
        <w:t>6</w:t>
      </w:r>
      <w:r>
        <w:rPr>
          <w:rFonts w:hint="eastAsia"/>
          <w:sz w:val="24"/>
        </w:rPr>
        <w:t>座、单井井场</w:t>
      </w:r>
      <w:r>
        <w:rPr>
          <w:rFonts w:hint="eastAsia"/>
          <w:sz w:val="24"/>
        </w:rPr>
        <w:t>1</w:t>
      </w:r>
      <w:r>
        <w:rPr>
          <w:rFonts w:hint="eastAsia"/>
          <w:sz w:val="24"/>
        </w:rPr>
        <w:t>座、老井合建</w:t>
      </w:r>
      <w:r>
        <w:rPr>
          <w:rFonts w:hint="eastAsia"/>
          <w:sz w:val="24"/>
        </w:rPr>
        <w:t>2</w:t>
      </w:r>
      <w:r>
        <w:rPr>
          <w:rFonts w:hint="eastAsia"/>
          <w:sz w:val="24"/>
        </w:rPr>
        <w:t>座），新建注水单井井场</w:t>
      </w:r>
      <w:r>
        <w:rPr>
          <w:rFonts w:hint="eastAsia"/>
          <w:sz w:val="24"/>
        </w:rPr>
        <w:t>3</w:t>
      </w:r>
      <w:r>
        <w:rPr>
          <w:rFonts w:hint="eastAsia"/>
          <w:sz w:val="24"/>
        </w:rPr>
        <w:t>座，老井利用</w:t>
      </w:r>
      <w:r>
        <w:rPr>
          <w:rFonts w:hint="eastAsia"/>
          <w:sz w:val="24"/>
        </w:rPr>
        <w:t>4</w:t>
      </w:r>
      <w:r>
        <w:rPr>
          <w:rFonts w:hint="eastAsia"/>
          <w:sz w:val="24"/>
        </w:rPr>
        <w:t>口（试采井</w:t>
      </w:r>
      <w:r>
        <w:rPr>
          <w:rFonts w:hint="eastAsia"/>
          <w:sz w:val="24"/>
        </w:rPr>
        <w:t>3</w:t>
      </w:r>
      <w:r>
        <w:rPr>
          <w:rFonts w:hint="eastAsia"/>
          <w:sz w:val="24"/>
        </w:rPr>
        <w:t>口、回注井</w:t>
      </w:r>
      <w:r>
        <w:rPr>
          <w:rFonts w:hint="eastAsia"/>
          <w:sz w:val="24"/>
        </w:rPr>
        <w:t>1</w:t>
      </w:r>
      <w:r>
        <w:rPr>
          <w:rFonts w:hint="eastAsia"/>
          <w:sz w:val="24"/>
        </w:rPr>
        <w:t>口）</w:t>
      </w:r>
      <w:r>
        <w:rPr>
          <w:sz w:val="24"/>
        </w:rPr>
        <w:t>。</w:t>
      </w:r>
      <w:r>
        <w:rPr>
          <w:rFonts w:hint="eastAsia"/>
          <w:sz w:val="24"/>
        </w:rPr>
        <w:t>动用地质储量</w:t>
      </w:r>
      <w:r>
        <w:rPr>
          <w:rFonts w:hint="eastAsia"/>
          <w:sz w:val="24"/>
        </w:rPr>
        <w:t>325.8</w:t>
      </w:r>
      <w:r>
        <w:rPr>
          <w:rFonts w:hint="eastAsia"/>
          <w:sz w:val="24"/>
        </w:rPr>
        <w:t>×</w:t>
      </w:r>
      <w:r>
        <w:rPr>
          <w:rFonts w:hint="eastAsia"/>
          <w:sz w:val="24"/>
        </w:rPr>
        <w:t>10</w:t>
      </w:r>
      <w:r>
        <w:rPr>
          <w:rFonts w:hint="eastAsia"/>
          <w:sz w:val="24"/>
          <w:vertAlign w:val="superscript"/>
        </w:rPr>
        <w:t>4</w:t>
      </w:r>
      <w:r>
        <w:rPr>
          <w:rFonts w:hint="eastAsia"/>
          <w:sz w:val="24"/>
        </w:rPr>
        <w:t>t</w:t>
      </w:r>
      <w:r>
        <w:rPr>
          <w:rFonts w:hint="eastAsia"/>
          <w:sz w:val="24"/>
        </w:rPr>
        <w:t>。新油井平均单井产量</w:t>
      </w:r>
      <w:r>
        <w:rPr>
          <w:rFonts w:hint="eastAsia"/>
          <w:sz w:val="24"/>
        </w:rPr>
        <w:t>5.6</w:t>
      </w:r>
      <w:r>
        <w:rPr>
          <w:sz w:val="24"/>
        </w:rPr>
        <w:t>t/d</w:t>
      </w:r>
      <w:r>
        <w:rPr>
          <w:rFonts w:hint="eastAsia"/>
          <w:sz w:val="24"/>
        </w:rPr>
        <w:t>，新建产能</w:t>
      </w:r>
      <w:r>
        <w:rPr>
          <w:rFonts w:hint="eastAsia"/>
          <w:sz w:val="24"/>
        </w:rPr>
        <w:t>3</w:t>
      </w:r>
      <w:r>
        <w:rPr>
          <w:rFonts w:hint="eastAsia"/>
          <w:sz w:val="24"/>
        </w:rPr>
        <w:t>万</w:t>
      </w:r>
      <w:r>
        <w:rPr>
          <w:rFonts w:hint="eastAsia"/>
          <w:sz w:val="24"/>
        </w:rPr>
        <w:t>t</w:t>
      </w:r>
      <w:r>
        <w:rPr>
          <w:sz w:val="24"/>
        </w:rPr>
        <w:t>/a</w:t>
      </w:r>
      <w:r>
        <w:rPr>
          <w:bCs/>
          <w:sz w:val="24"/>
        </w:rPr>
        <w:t>，</w:t>
      </w:r>
      <w:r>
        <w:rPr>
          <w:rFonts w:hint="eastAsia"/>
          <w:bCs/>
          <w:sz w:val="24"/>
        </w:rPr>
        <w:t>开发</w:t>
      </w:r>
      <w:r>
        <w:rPr>
          <w:rFonts w:hint="eastAsia"/>
          <w:bCs/>
          <w:sz w:val="24"/>
        </w:rPr>
        <w:t>10</w:t>
      </w:r>
      <w:r>
        <w:rPr>
          <w:rFonts w:hint="eastAsia"/>
          <w:bCs/>
          <w:sz w:val="24"/>
        </w:rPr>
        <w:t>年累积产</w:t>
      </w:r>
      <w:r>
        <w:rPr>
          <w:bCs/>
          <w:sz w:val="24"/>
        </w:rPr>
        <w:t>油</w:t>
      </w:r>
      <w:r>
        <w:rPr>
          <w:rFonts w:hint="eastAsia"/>
          <w:bCs/>
          <w:sz w:val="24"/>
        </w:rPr>
        <w:t>16.87</w:t>
      </w:r>
      <w:r>
        <w:rPr>
          <w:bCs/>
          <w:sz w:val="24"/>
        </w:rPr>
        <w:t>×10</w:t>
      </w:r>
      <w:r>
        <w:rPr>
          <w:bCs/>
          <w:sz w:val="24"/>
          <w:vertAlign w:val="superscript"/>
        </w:rPr>
        <w:t>4</w:t>
      </w:r>
      <w:r>
        <w:rPr>
          <w:bCs/>
          <w:sz w:val="24"/>
        </w:rPr>
        <w:t>t</w:t>
      </w:r>
      <w:r>
        <w:rPr>
          <w:bCs/>
          <w:sz w:val="24"/>
        </w:rPr>
        <w:t>，</w:t>
      </w:r>
      <w:r>
        <w:rPr>
          <w:sz w:val="24"/>
        </w:rPr>
        <w:t>采出程度</w:t>
      </w:r>
      <w:r>
        <w:rPr>
          <w:rFonts w:hint="eastAsia"/>
          <w:sz w:val="24"/>
        </w:rPr>
        <w:t>5.2</w:t>
      </w:r>
      <w:r>
        <w:rPr>
          <w:sz w:val="24"/>
        </w:rPr>
        <w:t>%</w:t>
      </w:r>
      <w:r>
        <w:rPr>
          <w:bCs/>
          <w:sz w:val="24"/>
        </w:rPr>
        <w:t>。</w:t>
      </w:r>
    </w:p>
    <w:p w:rsidR="00EE4502" w:rsidRDefault="00FD45A3">
      <w:pPr>
        <w:spacing w:line="360" w:lineRule="auto"/>
        <w:ind w:firstLineChars="200" w:firstLine="480"/>
        <w:rPr>
          <w:sz w:val="24"/>
        </w:rPr>
      </w:pPr>
      <w:r>
        <w:rPr>
          <w:sz w:val="24"/>
        </w:rPr>
        <w:t>（</w:t>
      </w:r>
      <w:r>
        <w:rPr>
          <w:sz w:val="24"/>
        </w:rPr>
        <w:t>1</w:t>
      </w:r>
      <w:r>
        <w:rPr>
          <w:sz w:val="24"/>
        </w:rPr>
        <w:t>）</w:t>
      </w:r>
      <w:r>
        <w:rPr>
          <w:rFonts w:hint="eastAsia"/>
          <w:sz w:val="24"/>
        </w:rPr>
        <w:t>井场</w:t>
      </w:r>
      <w:r>
        <w:rPr>
          <w:sz w:val="24"/>
        </w:rPr>
        <w:t>选址分析</w:t>
      </w:r>
    </w:p>
    <w:p w:rsidR="00EE4502" w:rsidRDefault="00FD45A3">
      <w:pPr>
        <w:spacing w:line="360" w:lineRule="auto"/>
        <w:ind w:firstLineChars="200" w:firstLine="480"/>
        <w:rPr>
          <w:sz w:val="24"/>
        </w:rPr>
      </w:pPr>
      <w:r>
        <w:rPr>
          <w:rFonts w:hint="eastAsia"/>
          <w:sz w:val="24"/>
        </w:rPr>
        <w:t>本工程建设符合《石油天然气开采业污染防治技术政策》中相关要求，根据现场调查，拟建项目内无水源涵养区、地下水源、饮用水源、自然保护区、风景名胜区、森林公园、重要湿地及人群密集区等生态敏感区，符合</w:t>
      </w:r>
      <w:r>
        <w:rPr>
          <w:rFonts w:hint="eastAsia"/>
          <w:sz w:val="24"/>
        </w:rPr>
        <w:t>克拉玛依</w:t>
      </w:r>
      <w:r>
        <w:rPr>
          <w:rFonts w:hint="eastAsia"/>
          <w:sz w:val="24"/>
        </w:rPr>
        <w:t>市及第七师胡杨河市生态环境分区管控要求、符合相关</w:t>
      </w:r>
      <w:r>
        <w:rPr>
          <w:rFonts w:hint="eastAsia"/>
          <w:sz w:val="24"/>
        </w:rPr>
        <w:t>环保规划要求，无重大环境制约因素。本工程土地利用类型主要为灌木林地</w:t>
      </w:r>
      <w:r>
        <w:rPr>
          <w:rFonts w:hint="eastAsia"/>
          <w:sz w:val="24"/>
        </w:rPr>
        <w:t>、</w:t>
      </w:r>
      <w:r>
        <w:rPr>
          <w:rFonts w:hint="eastAsia"/>
          <w:sz w:val="24"/>
        </w:rPr>
        <w:t>其他草地、水浇地、盐碱地等</w:t>
      </w:r>
      <w:r>
        <w:rPr>
          <w:rFonts w:hint="eastAsia"/>
          <w:sz w:val="24"/>
        </w:rPr>
        <w:t>，林地为国家二级公益林</w:t>
      </w:r>
      <w:r>
        <w:rPr>
          <w:rFonts w:hint="eastAsia"/>
          <w:sz w:val="24"/>
        </w:rPr>
        <w:t>、</w:t>
      </w:r>
      <w:r>
        <w:rPr>
          <w:rFonts w:hint="eastAsia"/>
          <w:sz w:val="24"/>
        </w:rPr>
        <w:t>地方公益林</w:t>
      </w:r>
      <w:r>
        <w:rPr>
          <w:rFonts w:hint="eastAsia"/>
          <w:sz w:val="24"/>
        </w:rPr>
        <w:t>。</w:t>
      </w:r>
    </w:p>
    <w:p w:rsidR="00EE4502" w:rsidRDefault="00FD45A3">
      <w:pPr>
        <w:spacing w:line="360" w:lineRule="auto"/>
        <w:ind w:firstLineChars="200" w:firstLine="480"/>
        <w:rPr>
          <w:sz w:val="24"/>
        </w:rPr>
      </w:pPr>
      <w:r>
        <w:rPr>
          <w:rFonts w:hint="eastAsia"/>
          <w:sz w:val="24"/>
        </w:rPr>
        <w:t>本工程在选址、选线过程中注意避让植被盖度高的区域，尽量减少对植被的生态扰动；运营期废气主要为油井开采过程中排放的无组织挥发烃类，产生的</w:t>
      </w:r>
      <w:r>
        <w:rPr>
          <w:rFonts w:hint="eastAsia"/>
          <w:sz w:val="24"/>
        </w:rPr>
        <w:t>废气</w:t>
      </w:r>
      <w:r>
        <w:rPr>
          <w:rFonts w:hint="eastAsia"/>
          <w:sz w:val="24"/>
        </w:rPr>
        <w:t>为持续的长期影响，工程区域空旷，工程实施后不会对周围环境产生明显影响；产生废水不外排，固体废物全部实现妥善处理，综上所述，本工程建成后，工程所在区域的环境功能不会发生改变，对环境的影响属于可接受</w:t>
      </w:r>
      <w:r>
        <w:rPr>
          <w:rFonts w:hint="eastAsia"/>
          <w:sz w:val="24"/>
        </w:rPr>
        <w:t>的范围，工程的选址、选线从生态环境角度为合理可行。</w:t>
      </w:r>
    </w:p>
    <w:p w:rsidR="00EE4502" w:rsidRDefault="00EE4502">
      <w:pPr>
        <w:spacing w:line="360" w:lineRule="auto"/>
        <w:ind w:firstLineChars="200" w:firstLine="480"/>
        <w:rPr>
          <w:sz w:val="24"/>
        </w:rPr>
        <w:sectPr w:rsidR="00EE4502">
          <w:pgSz w:w="11906" w:h="16838"/>
          <w:pgMar w:top="1440" w:right="1800" w:bottom="1440" w:left="1800" w:header="850" w:footer="850" w:gutter="0"/>
          <w:pgNumType w:fmt="numberInDash"/>
          <w:cols w:space="720"/>
          <w:docGrid w:linePitch="326"/>
        </w:sectPr>
      </w:pPr>
    </w:p>
    <w:p w:rsidR="00EE4502" w:rsidRDefault="00FD45A3">
      <w:pPr>
        <w:pStyle w:val="12"/>
        <w:numPr>
          <w:ilvl w:val="0"/>
          <w:numId w:val="30"/>
        </w:numPr>
        <w:spacing w:before="0" w:after="0" w:line="360" w:lineRule="auto"/>
        <w:ind w:left="0" w:firstLine="0"/>
        <w:rPr>
          <w:b w:val="0"/>
          <w:szCs w:val="30"/>
        </w:rPr>
      </w:pPr>
      <w:bookmarkStart w:id="197" w:name="_Toc32536"/>
      <w:r>
        <w:rPr>
          <w:b w:val="0"/>
          <w:szCs w:val="30"/>
        </w:rPr>
        <w:lastRenderedPageBreak/>
        <w:t>环境质量现状调查与评价</w:t>
      </w:r>
      <w:bookmarkEnd w:id="197"/>
    </w:p>
    <w:p w:rsidR="00EE4502" w:rsidRDefault="00FD45A3">
      <w:pPr>
        <w:pStyle w:val="22"/>
        <w:numPr>
          <w:ilvl w:val="1"/>
          <w:numId w:val="30"/>
        </w:numPr>
        <w:rPr>
          <w:spacing w:val="0"/>
          <w:w w:val="100"/>
        </w:rPr>
      </w:pPr>
      <w:bookmarkStart w:id="198" w:name="_Toc19978"/>
      <w:r>
        <w:rPr>
          <w:spacing w:val="0"/>
          <w:w w:val="100"/>
        </w:rPr>
        <w:t>自然环境概况</w:t>
      </w:r>
      <w:bookmarkEnd w:id="198"/>
    </w:p>
    <w:p w:rsidR="00EE4502" w:rsidRDefault="00FD45A3">
      <w:pPr>
        <w:pStyle w:val="33"/>
        <w:numPr>
          <w:ilvl w:val="2"/>
          <w:numId w:val="30"/>
        </w:numPr>
        <w:spacing w:line="360" w:lineRule="auto"/>
        <w:ind w:left="0" w:firstLine="0"/>
        <w:rPr>
          <w:spacing w:val="0"/>
          <w:sz w:val="24"/>
          <w:szCs w:val="24"/>
        </w:rPr>
      </w:pPr>
      <w:r>
        <w:rPr>
          <w:spacing w:val="0"/>
          <w:sz w:val="24"/>
          <w:szCs w:val="24"/>
        </w:rPr>
        <w:t>地理位置</w:t>
      </w:r>
    </w:p>
    <w:p w:rsidR="00EE4502" w:rsidRDefault="00FD45A3">
      <w:pPr>
        <w:spacing w:line="360" w:lineRule="auto"/>
        <w:ind w:firstLineChars="221" w:firstLine="530"/>
        <w:rPr>
          <w:bCs/>
          <w:sz w:val="24"/>
        </w:rPr>
      </w:pPr>
      <w:r>
        <w:rPr>
          <w:rFonts w:hint="eastAsia"/>
          <w:bCs/>
          <w:sz w:val="24"/>
        </w:rPr>
        <w:t>本工程所在区域地跨克拉玛依市及第七师胡杨河市。</w:t>
      </w:r>
    </w:p>
    <w:p w:rsidR="00EE4502" w:rsidRDefault="00FD45A3">
      <w:pPr>
        <w:spacing w:line="360" w:lineRule="auto"/>
        <w:ind w:firstLineChars="221" w:firstLine="530"/>
        <w:rPr>
          <w:bCs/>
          <w:sz w:val="24"/>
        </w:rPr>
      </w:pPr>
      <w:r>
        <w:rPr>
          <w:rFonts w:hint="eastAsia"/>
          <w:bCs/>
          <w:sz w:val="24"/>
        </w:rPr>
        <w:t>克拉玛依市地处准噶尔盆地西缘，西北傍扎依尔山，南依天山北麓，东濒古尔班通古特沙漠。北部、东北部与和布克赛尔蒙古自治县相接；西面与乌苏市和托里县毗邻；东南面与沙湾市相接；南边奎屯市把独山子区隔开，使这个区成为克拉玛依市的一块飞地。克拉玛依市下辖克拉玛依、独山子、白碱滩、乌尔禾</w:t>
      </w:r>
      <w:r>
        <w:rPr>
          <w:rFonts w:hint="eastAsia"/>
          <w:bCs/>
          <w:sz w:val="24"/>
        </w:rPr>
        <w:t>4</w:t>
      </w:r>
      <w:r>
        <w:rPr>
          <w:rFonts w:hint="eastAsia"/>
          <w:bCs/>
          <w:sz w:val="24"/>
        </w:rPr>
        <w:t>个行政区。全市呈南北长（最长处</w:t>
      </w:r>
      <w:r>
        <w:rPr>
          <w:rFonts w:hint="eastAsia"/>
          <w:bCs/>
          <w:sz w:val="24"/>
        </w:rPr>
        <w:t>240km</w:t>
      </w:r>
      <w:r>
        <w:rPr>
          <w:rFonts w:hint="eastAsia"/>
          <w:bCs/>
          <w:sz w:val="24"/>
        </w:rPr>
        <w:t>）、东西窄（最宽处</w:t>
      </w:r>
      <w:r>
        <w:rPr>
          <w:rFonts w:hint="eastAsia"/>
          <w:bCs/>
          <w:sz w:val="24"/>
        </w:rPr>
        <w:t>110km</w:t>
      </w:r>
      <w:r>
        <w:rPr>
          <w:rFonts w:hint="eastAsia"/>
          <w:bCs/>
          <w:sz w:val="24"/>
        </w:rPr>
        <w:t>）的斜长条状，总面积</w:t>
      </w:r>
      <w:r>
        <w:rPr>
          <w:rFonts w:hint="eastAsia"/>
          <w:bCs/>
          <w:sz w:val="24"/>
        </w:rPr>
        <w:t>9500km</w:t>
      </w:r>
      <w:r>
        <w:rPr>
          <w:rFonts w:hint="eastAsia"/>
          <w:bCs/>
          <w:sz w:val="24"/>
          <w:vertAlign w:val="superscript"/>
        </w:rPr>
        <w:t>2</w:t>
      </w:r>
      <w:r>
        <w:rPr>
          <w:rFonts w:hint="eastAsia"/>
          <w:bCs/>
          <w:sz w:val="24"/>
        </w:rPr>
        <w:t>。海拔介于</w:t>
      </w:r>
      <w:r>
        <w:rPr>
          <w:rFonts w:hint="eastAsia"/>
          <w:bCs/>
          <w:sz w:val="24"/>
        </w:rPr>
        <w:t>250</w:t>
      </w:r>
      <w:r>
        <w:rPr>
          <w:rFonts w:hint="eastAsia"/>
          <w:bCs/>
          <w:sz w:val="24"/>
        </w:rPr>
        <w:t>～</w:t>
      </w:r>
      <w:r>
        <w:rPr>
          <w:rFonts w:hint="eastAsia"/>
          <w:bCs/>
          <w:sz w:val="24"/>
        </w:rPr>
        <w:t>500m</w:t>
      </w:r>
      <w:r>
        <w:rPr>
          <w:rFonts w:hint="eastAsia"/>
          <w:bCs/>
          <w:sz w:val="24"/>
        </w:rPr>
        <w:t>之间。中心城区距乌鲁木齐公路里程</w:t>
      </w:r>
      <w:r>
        <w:rPr>
          <w:rFonts w:hint="eastAsia"/>
          <w:bCs/>
          <w:sz w:val="24"/>
        </w:rPr>
        <w:t>312km</w:t>
      </w:r>
      <w:r>
        <w:rPr>
          <w:rFonts w:hint="eastAsia"/>
          <w:bCs/>
          <w:sz w:val="24"/>
        </w:rPr>
        <w:t>，直线距离</w:t>
      </w:r>
      <w:r>
        <w:rPr>
          <w:rFonts w:hint="eastAsia"/>
          <w:bCs/>
          <w:sz w:val="24"/>
        </w:rPr>
        <w:t>280km</w:t>
      </w:r>
      <w:r>
        <w:rPr>
          <w:rFonts w:hint="eastAsia"/>
          <w:bCs/>
          <w:sz w:val="24"/>
        </w:rPr>
        <w:t>；距北京公路里程</w:t>
      </w:r>
      <w:r>
        <w:rPr>
          <w:rFonts w:hint="eastAsia"/>
          <w:bCs/>
          <w:sz w:val="24"/>
        </w:rPr>
        <w:t>4086km</w:t>
      </w:r>
      <w:r>
        <w:rPr>
          <w:rFonts w:hint="eastAsia"/>
          <w:bCs/>
          <w:sz w:val="24"/>
        </w:rPr>
        <w:t>，直线距离</w:t>
      </w:r>
      <w:r>
        <w:rPr>
          <w:rFonts w:hint="eastAsia"/>
          <w:bCs/>
          <w:sz w:val="24"/>
        </w:rPr>
        <w:t>2600</w:t>
      </w:r>
      <w:r>
        <w:rPr>
          <w:rFonts w:hint="eastAsia"/>
          <w:bCs/>
          <w:sz w:val="24"/>
        </w:rPr>
        <w:t>km</w:t>
      </w:r>
      <w:r>
        <w:rPr>
          <w:rFonts w:hint="eastAsia"/>
          <w:bCs/>
          <w:sz w:val="24"/>
        </w:rPr>
        <w:t>。独山子距中心城区</w:t>
      </w:r>
      <w:r>
        <w:rPr>
          <w:rFonts w:hint="eastAsia"/>
          <w:bCs/>
          <w:sz w:val="24"/>
        </w:rPr>
        <w:t>150km</w:t>
      </w:r>
      <w:r>
        <w:rPr>
          <w:rFonts w:hint="eastAsia"/>
          <w:bCs/>
          <w:sz w:val="24"/>
        </w:rPr>
        <w:t>。</w:t>
      </w:r>
    </w:p>
    <w:p w:rsidR="00EE4502" w:rsidRDefault="00FD45A3">
      <w:pPr>
        <w:spacing w:line="360" w:lineRule="auto"/>
        <w:ind w:firstLineChars="221" w:firstLine="530"/>
        <w:rPr>
          <w:bCs/>
          <w:sz w:val="24"/>
        </w:rPr>
      </w:pPr>
      <w:r>
        <w:rPr>
          <w:rFonts w:hint="eastAsia"/>
          <w:bCs/>
          <w:sz w:val="24"/>
        </w:rPr>
        <w:t>第七师位于准噶尔盆地西南部的奎屯河流域，南面天山，北接库尔班通古特沙漠。第七师境域分布在新疆维吾尔自治区的奎屯市、乌苏市、克拉玛依市及沙湾市、和布克赛尔蒙古自治县境内。师部驻地胡杨河为全师政治、经济、文化中心。七师</w:t>
      </w:r>
      <w:r>
        <w:rPr>
          <w:rFonts w:hint="eastAsia"/>
          <w:bCs/>
          <w:sz w:val="24"/>
        </w:rPr>
        <w:t>128</w:t>
      </w:r>
      <w:r>
        <w:rPr>
          <w:rFonts w:hint="eastAsia"/>
          <w:bCs/>
          <w:sz w:val="24"/>
        </w:rPr>
        <w:t>团位于新疆维吾尔自治区乌苏市和克拉玛依市境内。在准噶尔盆地西南部，天山北麓奎屯河下游冲积平原和加依尔山（俗称北山）南麓水系冲积平原的交汇处。地处乌苏市东北部，独克公路</w:t>
      </w:r>
      <w:r>
        <w:rPr>
          <w:rFonts w:hint="eastAsia"/>
          <w:bCs/>
          <w:sz w:val="24"/>
        </w:rPr>
        <w:t>61</w:t>
      </w:r>
      <w:r>
        <w:rPr>
          <w:rFonts w:hint="eastAsia"/>
          <w:bCs/>
          <w:sz w:val="24"/>
        </w:rPr>
        <w:t>～</w:t>
      </w:r>
      <w:r>
        <w:rPr>
          <w:rFonts w:hint="eastAsia"/>
          <w:bCs/>
          <w:sz w:val="24"/>
        </w:rPr>
        <w:t>90km</w:t>
      </w:r>
      <w:r>
        <w:rPr>
          <w:rFonts w:hint="eastAsia"/>
          <w:bCs/>
          <w:sz w:val="24"/>
        </w:rPr>
        <w:t>之间。东西横跨克拉玛依市和乌苏市，以</w:t>
      </w:r>
      <w:r>
        <w:rPr>
          <w:rFonts w:hint="eastAsia"/>
          <w:bCs/>
          <w:sz w:val="24"/>
        </w:rPr>
        <w:t>128</w:t>
      </w:r>
      <w:r>
        <w:rPr>
          <w:rFonts w:hint="eastAsia"/>
          <w:bCs/>
          <w:sz w:val="24"/>
        </w:rPr>
        <w:t>团四支渠为界，东部属克拉玛依市辖区。以东与</w:t>
      </w:r>
      <w:r>
        <w:rPr>
          <w:rFonts w:hint="eastAsia"/>
          <w:bCs/>
          <w:sz w:val="24"/>
        </w:rPr>
        <w:t>129</w:t>
      </w:r>
      <w:r>
        <w:rPr>
          <w:rFonts w:hint="eastAsia"/>
          <w:bCs/>
          <w:sz w:val="24"/>
        </w:rPr>
        <w:t>团为邻，以西与</w:t>
      </w:r>
      <w:r>
        <w:rPr>
          <w:rFonts w:hint="eastAsia"/>
          <w:bCs/>
          <w:sz w:val="24"/>
        </w:rPr>
        <w:t>123</w:t>
      </w:r>
      <w:r>
        <w:rPr>
          <w:rFonts w:hint="eastAsia"/>
          <w:bCs/>
          <w:sz w:val="24"/>
        </w:rPr>
        <w:t>团</w:t>
      </w:r>
      <w:r>
        <w:rPr>
          <w:rFonts w:hint="eastAsia"/>
          <w:bCs/>
          <w:sz w:val="24"/>
        </w:rPr>
        <w:t>为邻。</w:t>
      </w:r>
    </w:p>
    <w:p w:rsidR="00EE4502" w:rsidRDefault="00FD45A3">
      <w:pPr>
        <w:spacing w:line="360" w:lineRule="auto"/>
        <w:ind w:firstLineChars="221" w:firstLine="530"/>
        <w:rPr>
          <w:bCs/>
          <w:sz w:val="24"/>
        </w:rPr>
      </w:pPr>
      <w:r>
        <w:rPr>
          <w:rFonts w:hint="eastAsia"/>
          <w:bCs/>
          <w:sz w:val="24"/>
        </w:rPr>
        <w:t>其中，工程新建的春风油田排</w:t>
      </w:r>
      <w:r>
        <w:rPr>
          <w:rFonts w:hint="eastAsia"/>
          <w:bCs/>
          <w:sz w:val="24"/>
        </w:rPr>
        <w:t>61</w:t>
      </w:r>
      <w:r>
        <w:rPr>
          <w:rFonts w:hint="eastAsia"/>
          <w:bCs/>
          <w:sz w:val="24"/>
        </w:rPr>
        <w:t>块所在区域行政区划隶属于新疆维吾尔自治区克拉玛依市克拉玛依区，距离市区约</w:t>
      </w:r>
      <w:r>
        <w:rPr>
          <w:rFonts w:hint="eastAsia"/>
          <w:bCs/>
          <w:sz w:val="24"/>
        </w:rPr>
        <w:t>65km</w:t>
      </w:r>
      <w:r>
        <w:rPr>
          <w:rFonts w:hint="eastAsia"/>
          <w:bCs/>
          <w:sz w:val="24"/>
        </w:rPr>
        <w:t>，位于</w:t>
      </w:r>
      <w:r>
        <w:rPr>
          <w:rFonts w:hint="eastAsia"/>
          <w:bCs/>
          <w:sz w:val="24"/>
        </w:rPr>
        <w:t>217</w:t>
      </w:r>
      <w:r>
        <w:rPr>
          <w:rFonts w:hint="eastAsia"/>
          <w:bCs/>
          <w:sz w:val="24"/>
        </w:rPr>
        <w:t>国道东侧，南邻排</w:t>
      </w:r>
      <w:r>
        <w:rPr>
          <w:rFonts w:hint="eastAsia"/>
          <w:bCs/>
          <w:sz w:val="24"/>
        </w:rPr>
        <w:t>612</w:t>
      </w:r>
      <w:r>
        <w:rPr>
          <w:rFonts w:hint="eastAsia"/>
          <w:bCs/>
          <w:sz w:val="24"/>
        </w:rPr>
        <w:t>区块，东邻排</w:t>
      </w:r>
      <w:r>
        <w:rPr>
          <w:rFonts w:hint="eastAsia"/>
          <w:bCs/>
          <w:sz w:val="24"/>
        </w:rPr>
        <w:t>66</w:t>
      </w:r>
      <w:r>
        <w:rPr>
          <w:rFonts w:hint="eastAsia"/>
          <w:bCs/>
          <w:sz w:val="24"/>
        </w:rPr>
        <w:t>区块，隶属于采油管理三区管辖，区块距离春风二号联合站约</w:t>
      </w:r>
      <w:r>
        <w:rPr>
          <w:rFonts w:hint="eastAsia"/>
          <w:bCs/>
          <w:sz w:val="24"/>
        </w:rPr>
        <w:t>7.8km</w:t>
      </w:r>
      <w:r>
        <w:rPr>
          <w:rFonts w:hint="eastAsia"/>
          <w:bCs/>
          <w:sz w:val="24"/>
        </w:rPr>
        <w:t>；</w:t>
      </w:r>
      <w:r>
        <w:rPr>
          <w:rFonts w:hint="eastAsia"/>
          <w:bCs/>
          <w:sz w:val="24"/>
        </w:rPr>
        <w:t>3</w:t>
      </w:r>
      <w:r>
        <w:rPr>
          <w:rFonts w:hint="eastAsia"/>
          <w:bCs/>
          <w:sz w:val="24"/>
        </w:rPr>
        <w:t>口注水井及排</w:t>
      </w:r>
      <w:r>
        <w:rPr>
          <w:rFonts w:hint="eastAsia"/>
          <w:bCs/>
          <w:sz w:val="24"/>
        </w:rPr>
        <w:t>7</w:t>
      </w:r>
      <w:r>
        <w:rPr>
          <w:rFonts w:hint="eastAsia"/>
          <w:bCs/>
          <w:sz w:val="24"/>
        </w:rPr>
        <w:t>注水站所在区域行政区划隶属于新疆生产建设兵团第七师胡杨河市，隶属于春风油田采油管理一区管辖。工程区地理位置见图</w:t>
      </w:r>
      <w:r>
        <w:rPr>
          <w:rFonts w:hint="eastAsia"/>
          <w:bCs/>
          <w:sz w:val="24"/>
        </w:rPr>
        <w:t>3-3-1</w:t>
      </w:r>
      <w:r>
        <w:rPr>
          <w:rFonts w:hint="eastAsia"/>
          <w:bCs/>
          <w:sz w:val="24"/>
        </w:rPr>
        <w:t>。</w:t>
      </w:r>
    </w:p>
    <w:p w:rsidR="00EE4502" w:rsidRDefault="00FD45A3">
      <w:pPr>
        <w:pStyle w:val="33"/>
        <w:numPr>
          <w:ilvl w:val="2"/>
          <w:numId w:val="30"/>
        </w:numPr>
        <w:spacing w:line="360" w:lineRule="auto"/>
        <w:ind w:left="0" w:firstLine="0"/>
        <w:rPr>
          <w:spacing w:val="0"/>
          <w:sz w:val="24"/>
          <w:szCs w:val="24"/>
        </w:rPr>
      </w:pPr>
      <w:r>
        <w:rPr>
          <w:spacing w:val="0"/>
          <w:sz w:val="24"/>
          <w:szCs w:val="24"/>
        </w:rPr>
        <w:t>地形地貌</w:t>
      </w:r>
    </w:p>
    <w:p w:rsidR="00EE4502" w:rsidRDefault="00FD45A3">
      <w:pPr>
        <w:spacing w:line="360" w:lineRule="auto"/>
        <w:ind w:firstLineChars="200" w:firstLine="480"/>
        <w:rPr>
          <w:sz w:val="24"/>
        </w:rPr>
      </w:pPr>
      <w:r>
        <w:rPr>
          <w:rFonts w:hint="eastAsia"/>
          <w:sz w:val="24"/>
        </w:rPr>
        <w:t>工程地处准噶尔盆地西北缘的冲洪积扇前倾斜平原地带，总的地貌特征比较单一，多为广阔平坦的戈壁滩，地表覆盖有厚薄中等的砾石、沙、沙土</w:t>
      </w:r>
      <w:r>
        <w:rPr>
          <w:rFonts w:hint="eastAsia"/>
          <w:sz w:val="24"/>
        </w:rPr>
        <w:t>等，部分地区及近山冲沟内可见中生界地层出露，属戈壁倾斜平原景观。市区西北缘是加</w:t>
      </w:r>
      <w:r>
        <w:rPr>
          <w:rFonts w:hint="eastAsia"/>
          <w:sz w:val="24"/>
        </w:rPr>
        <w:lastRenderedPageBreak/>
        <w:t>依尔山，山脉由北向南，海拔为</w:t>
      </w:r>
      <w:r>
        <w:rPr>
          <w:rFonts w:hint="eastAsia"/>
          <w:sz w:val="24"/>
        </w:rPr>
        <w:t>600-800m</w:t>
      </w:r>
      <w:r>
        <w:rPr>
          <w:rFonts w:hint="eastAsia"/>
          <w:sz w:val="24"/>
        </w:rPr>
        <w:t>，山体矮小，由构造剥蚀山及丘陵地形组成。山上无常流水，仅在暴雨期间形成暂时性洪水，并由短暂洪流积水造就一些“白板地”。市区位于山脉与盆地之间的漫坡上，其东南面是古玛纳斯河冲积、湖积形成的茫茫戈壁平原，一直延伸到准噶尔盆地中部的沙漠区。戈壁滩上散落着许多沙丘、沙垄和沙包，其上覆盖着荒漠植被，市区东北部的平原由于长期的强烈风蚀及暴雨冲刷，形成了古城废址似的“魔鬼城”的独特景观。</w:t>
      </w:r>
    </w:p>
    <w:p w:rsidR="00EE4502" w:rsidRDefault="00FD45A3">
      <w:pPr>
        <w:spacing w:line="360" w:lineRule="auto"/>
        <w:ind w:firstLineChars="200" w:firstLine="480"/>
        <w:rPr>
          <w:sz w:val="24"/>
        </w:rPr>
      </w:pPr>
      <w:r>
        <w:rPr>
          <w:rFonts w:hint="eastAsia"/>
          <w:sz w:val="24"/>
        </w:rPr>
        <w:t>本工程位于新</w:t>
      </w:r>
      <w:r>
        <w:rPr>
          <w:rFonts w:hint="eastAsia"/>
          <w:sz w:val="24"/>
        </w:rPr>
        <w:t>疆准噶尔盆地西缘，该区地面海拔</w:t>
      </w:r>
      <w:r>
        <w:rPr>
          <w:rFonts w:hint="eastAsia"/>
          <w:sz w:val="24"/>
        </w:rPr>
        <w:t>290m</w:t>
      </w:r>
      <w:r>
        <w:rPr>
          <w:rFonts w:hint="eastAsia"/>
          <w:sz w:val="24"/>
        </w:rPr>
        <w:t>左右，区内植被稀疏，无地表水，地貌类型为冲积平原，工程区地势平坦</w:t>
      </w:r>
      <w:r>
        <w:rPr>
          <w:sz w:val="24"/>
        </w:rPr>
        <w:t>。</w:t>
      </w:r>
    </w:p>
    <w:p w:rsidR="00EE4502" w:rsidRDefault="00FD45A3">
      <w:pPr>
        <w:pStyle w:val="33"/>
        <w:numPr>
          <w:ilvl w:val="2"/>
          <w:numId w:val="30"/>
        </w:numPr>
        <w:spacing w:line="360" w:lineRule="auto"/>
        <w:ind w:left="0" w:firstLine="0"/>
        <w:rPr>
          <w:spacing w:val="0"/>
          <w:sz w:val="24"/>
          <w:szCs w:val="24"/>
        </w:rPr>
      </w:pPr>
      <w:r>
        <w:rPr>
          <w:spacing w:val="0"/>
          <w:sz w:val="24"/>
          <w:szCs w:val="24"/>
        </w:rPr>
        <w:t>气候气象</w:t>
      </w:r>
    </w:p>
    <w:p w:rsidR="00EE4502" w:rsidRDefault="00FD45A3">
      <w:pPr>
        <w:spacing w:line="360" w:lineRule="auto"/>
        <w:ind w:rightChars="-13" w:right="-27" w:firstLineChars="200" w:firstLine="480"/>
        <w:rPr>
          <w:sz w:val="24"/>
        </w:rPr>
      </w:pPr>
      <w:r>
        <w:rPr>
          <w:rFonts w:hint="eastAsia"/>
          <w:sz w:val="24"/>
        </w:rPr>
        <w:t>工程区</w:t>
      </w:r>
      <w:r>
        <w:rPr>
          <w:rFonts w:hint="eastAsia"/>
          <w:sz w:val="24"/>
        </w:rPr>
        <w:t>地处欧亚大陆腹地，远离海洋的地理位置及特殊的地形、地貌，形成极为典型的北温带干旱大陆性气候。气温变化剧烈，夏季炎热，干燥少雨，雨多为阵雨。冬季严寒，多阴雪天气，是寒潮多发季节。春、秋两季为过渡期，换季不明显。春季多风，气温上升快，但极不稳定，时有倒春寒出现，历年造成灾害性的大风多出现在春季，大风常伴有沙尘暴。</w:t>
      </w:r>
    </w:p>
    <w:p w:rsidR="00EE4502" w:rsidRDefault="00FD45A3">
      <w:pPr>
        <w:spacing w:line="360" w:lineRule="auto"/>
        <w:ind w:rightChars="-13" w:right="-27" w:firstLineChars="200" w:firstLine="480"/>
        <w:rPr>
          <w:sz w:val="24"/>
        </w:rPr>
      </w:pPr>
      <w:r>
        <w:rPr>
          <w:rFonts w:hint="eastAsia"/>
          <w:sz w:val="24"/>
        </w:rPr>
        <w:t>克拉玛依市降水量年际变化大，近几十年来的统计资料显示，降水量最多的年份是</w:t>
      </w:r>
      <w:r>
        <w:rPr>
          <w:rFonts w:hint="eastAsia"/>
          <w:sz w:val="24"/>
        </w:rPr>
        <w:t>196</w:t>
      </w:r>
      <w:r>
        <w:rPr>
          <w:rFonts w:hint="eastAsia"/>
          <w:sz w:val="24"/>
        </w:rPr>
        <w:t>0</w:t>
      </w:r>
      <w:r>
        <w:rPr>
          <w:rFonts w:hint="eastAsia"/>
          <w:sz w:val="24"/>
        </w:rPr>
        <w:t>年，达</w:t>
      </w:r>
      <w:r>
        <w:rPr>
          <w:rFonts w:hint="eastAsia"/>
          <w:sz w:val="24"/>
        </w:rPr>
        <w:t xml:space="preserve"> 227.4mm</w:t>
      </w:r>
      <w:r>
        <w:rPr>
          <w:rFonts w:hint="eastAsia"/>
          <w:sz w:val="24"/>
        </w:rPr>
        <w:t>，为多年平均降水量的</w:t>
      </w:r>
      <w:r>
        <w:rPr>
          <w:rFonts w:hint="eastAsia"/>
          <w:sz w:val="24"/>
        </w:rPr>
        <w:t>240</w:t>
      </w:r>
      <w:r>
        <w:rPr>
          <w:rFonts w:hint="eastAsia"/>
          <w:sz w:val="24"/>
        </w:rPr>
        <w:t>％；降水量最少的</w:t>
      </w:r>
      <w:r>
        <w:rPr>
          <w:rFonts w:hint="eastAsia"/>
          <w:sz w:val="24"/>
        </w:rPr>
        <w:t>1962</w:t>
      </w:r>
      <w:r>
        <w:rPr>
          <w:rFonts w:hint="eastAsia"/>
          <w:sz w:val="24"/>
        </w:rPr>
        <w:t>年，为</w:t>
      </w:r>
      <w:r>
        <w:rPr>
          <w:rFonts w:hint="eastAsia"/>
          <w:sz w:val="24"/>
        </w:rPr>
        <w:t>58.5mm</w:t>
      </w:r>
      <w:r>
        <w:rPr>
          <w:rFonts w:hint="eastAsia"/>
          <w:sz w:val="24"/>
        </w:rPr>
        <w:t>，仅占多年平均降水量的</w:t>
      </w:r>
      <w:r>
        <w:rPr>
          <w:rFonts w:hint="eastAsia"/>
          <w:sz w:val="24"/>
        </w:rPr>
        <w:t>61.8</w:t>
      </w:r>
      <w:r>
        <w:rPr>
          <w:rFonts w:hint="eastAsia"/>
          <w:sz w:val="24"/>
        </w:rPr>
        <w:t>％。降水量年际变率大，既是大陆性气候特征之一，也是自然条件中不利因素之一。</w:t>
      </w:r>
    </w:p>
    <w:p w:rsidR="00EE4502" w:rsidRDefault="00FD45A3">
      <w:pPr>
        <w:spacing w:line="360" w:lineRule="auto"/>
        <w:ind w:rightChars="-13" w:right="-27" w:firstLineChars="200" w:firstLine="480"/>
        <w:rPr>
          <w:sz w:val="24"/>
        </w:rPr>
      </w:pPr>
      <w:r>
        <w:rPr>
          <w:rFonts w:hint="eastAsia"/>
          <w:sz w:val="24"/>
        </w:rPr>
        <w:t>克拉玛依是全国有名多风地区，风多且大，风力活动频繁。大风春季最多，秋季次之，夏季由于冷空气势力减弱，大风较少。冬季冷空气下沉，存在较强逆温；全年主导风向西北风。气象资料见表</w:t>
      </w:r>
      <w:r>
        <w:rPr>
          <w:rFonts w:hint="eastAsia"/>
          <w:sz w:val="24"/>
        </w:rPr>
        <w:t>4</w:t>
      </w:r>
      <w:r>
        <w:rPr>
          <w:rFonts w:hint="eastAsia"/>
          <w:sz w:val="24"/>
        </w:rPr>
        <w:t>-</w:t>
      </w:r>
      <w:r>
        <w:rPr>
          <w:rFonts w:hint="eastAsia"/>
          <w:sz w:val="24"/>
        </w:rPr>
        <w:t>1-</w:t>
      </w:r>
      <w:r>
        <w:rPr>
          <w:rFonts w:hint="eastAsia"/>
          <w:sz w:val="24"/>
        </w:rPr>
        <w:t>1</w:t>
      </w:r>
      <w:r>
        <w:rPr>
          <w:rFonts w:hint="eastAsia"/>
          <w:sz w:val="24"/>
        </w:rPr>
        <w:t>。</w:t>
      </w:r>
    </w:p>
    <w:p w:rsidR="00EE4502" w:rsidRDefault="00FD45A3">
      <w:pPr>
        <w:spacing w:line="360" w:lineRule="auto"/>
        <w:jc w:val="center"/>
        <w:rPr>
          <w:rFonts w:ascii="黑体" w:eastAsia="黑体" w:hAnsi="黑体" w:cs="黑体"/>
          <w:szCs w:val="21"/>
        </w:rPr>
      </w:pPr>
      <w:r>
        <w:rPr>
          <w:rFonts w:ascii="黑体" w:eastAsia="黑体" w:hAnsi="黑体" w:cs="黑体" w:hint="eastAsia"/>
          <w:szCs w:val="21"/>
        </w:rPr>
        <w:t>表</w:t>
      </w:r>
      <w:r>
        <w:rPr>
          <w:rFonts w:ascii="黑体" w:eastAsia="黑体" w:hAnsi="黑体" w:cs="黑体" w:hint="eastAsia"/>
          <w:szCs w:val="21"/>
        </w:rPr>
        <w:t>4</w:t>
      </w:r>
      <w:r>
        <w:rPr>
          <w:rFonts w:ascii="黑体" w:eastAsia="黑体" w:hAnsi="黑体" w:cs="黑体" w:hint="eastAsia"/>
          <w:szCs w:val="21"/>
        </w:rPr>
        <w:t>-</w:t>
      </w:r>
      <w:r>
        <w:rPr>
          <w:rFonts w:ascii="黑体" w:eastAsia="黑体" w:hAnsi="黑体" w:cs="黑体" w:hint="eastAsia"/>
          <w:szCs w:val="21"/>
        </w:rPr>
        <w:t>1-</w:t>
      </w:r>
      <w:r>
        <w:rPr>
          <w:rFonts w:ascii="黑体" w:eastAsia="黑体" w:hAnsi="黑体" w:cs="黑体" w:hint="eastAsia"/>
          <w:szCs w:val="21"/>
        </w:rPr>
        <w:t>1</w:t>
      </w:r>
      <w:r>
        <w:rPr>
          <w:rFonts w:ascii="黑体" w:eastAsia="黑体" w:hAnsi="黑体" w:cs="黑体" w:hint="eastAsia"/>
          <w:szCs w:val="21"/>
        </w:rPr>
        <w:t xml:space="preserve">     </w:t>
      </w:r>
      <w:r>
        <w:rPr>
          <w:rFonts w:ascii="黑体" w:eastAsia="黑体" w:hAnsi="黑体" w:cs="黑体" w:hint="eastAsia"/>
          <w:szCs w:val="21"/>
        </w:rPr>
        <w:t>评价区域气象资料</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5"/>
        <w:gridCol w:w="2613"/>
        <w:gridCol w:w="2254"/>
        <w:gridCol w:w="2258"/>
      </w:tblGrid>
      <w:tr w:rsidR="00EE4502">
        <w:trPr>
          <w:trHeight w:hRule="exact" w:val="454"/>
          <w:tblHeader/>
        </w:trPr>
        <w:tc>
          <w:tcPr>
            <w:tcW w:w="819" w:type="pct"/>
            <w:vAlign w:val="center"/>
          </w:tcPr>
          <w:p w:rsidR="00EE4502" w:rsidRDefault="00FD45A3">
            <w:pPr>
              <w:jc w:val="center"/>
              <w:rPr>
                <w:szCs w:val="21"/>
              </w:rPr>
            </w:pPr>
            <w:r>
              <w:rPr>
                <w:szCs w:val="21"/>
              </w:rPr>
              <w:t>序号</w:t>
            </w:r>
          </w:p>
        </w:tc>
        <w:tc>
          <w:tcPr>
            <w:tcW w:w="1533" w:type="pct"/>
            <w:vAlign w:val="center"/>
          </w:tcPr>
          <w:p w:rsidR="00EE4502" w:rsidRDefault="00FD45A3">
            <w:pPr>
              <w:jc w:val="center"/>
              <w:rPr>
                <w:szCs w:val="21"/>
              </w:rPr>
            </w:pPr>
            <w:r>
              <w:rPr>
                <w:szCs w:val="21"/>
              </w:rPr>
              <w:t>项目</w:t>
            </w:r>
          </w:p>
        </w:tc>
        <w:tc>
          <w:tcPr>
            <w:tcW w:w="1322" w:type="pct"/>
            <w:vAlign w:val="center"/>
          </w:tcPr>
          <w:p w:rsidR="00EE4502" w:rsidRDefault="00FD45A3">
            <w:pPr>
              <w:jc w:val="center"/>
              <w:rPr>
                <w:szCs w:val="21"/>
              </w:rPr>
            </w:pPr>
            <w:r>
              <w:rPr>
                <w:szCs w:val="21"/>
              </w:rPr>
              <w:t>单位</w:t>
            </w:r>
          </w:p>
        </w:tc>
        <w:tc>
          <w:tcPr>
            <w:tcW w:w="1324" w:type="pct"/>
            <w:vAlign w:val="center"/>
          </w:tcPr>
          <w:p w:rsidR="00EE4502" w:rsidRDefault="00FD45A3">
            <w:pPr>
              <w:jc w:val="center"/>
              <w:rPr>
                <w:szCs w:val="21"/>
              </w:rPr>
            </w:pPr>
            <w:r>
              <w:rPr>
                <w:szCs w:val="21"/>
              </w:rPr>
              <w:t>数值</w:t>
            </w:r>
          </w:p>
        </w:tc>
      </w:tr>
      <w:tr w:rsidR="00EE4502">
        <w:trPr>
          <w:trHeight w:hRule="exact" w:val="454"/>
        </w:trPr>
        <w:tc>
          <w:tcPr>
            <w:tcW w:w="819" w:type="pct"/>
            <w:vAlign w:val="center"/>
          </w:tcPr>
          <w:p w:rsidR="00EE4502" w:rsidRDefault="00FD45A3">
            <w:pPr>
              <w:jc w:val="center"/>
              <w:rPr>
                <w:szCs w:val="21"/>
              </w:rPr>
            </w:pPr>
            <w:r>
              <w:rPr>
                <w:szCs w:val="21"/>
              </w:rPr>
              <w:t>1</w:t>
            </w:r>
          </w:p>
        </w:tc>
        <w:tc>
          <w:tcPr>
            <w:tcW w:w="1533" w:type="pct"/>
            <w:vAlign w:val="center"/>
          </w:tcPr>
          <w:p w:rsidR="00EE4502" w:rsidRDefault="00FD45A3">
            <w:pPr>
              <w:jc w:val="center"/>
              <w:rPr>
                <w:szCs w:val="21"/>
              </w:rPr>
            </w:pPr>
            <w:r>
              <w:rPr>
                <w:szCs w:val="21"/>
              </w:rPr>
              <w:t>最热月平均气温</w:t>
            </w:r>
            <w:r>
              <w:rPr>
                <w:rFonts w:hint="eastAsia"/>
                <w:szCs w:val="21"/>
              </w:rPr>
              <w:t>（</w:t>
            </w:r>
            <w:r>
              <w:rPr>
                <w:szCs w:val="21"/>
              </w:rPr>
              <w:t>7</w:t>
            </w:r>
            <w:r>
              <w:rPr>
                <w:szCs w:val="21"/>
              </w:rPr>
              <w:t>月</w:t>
            </w:r>
            <w:r>
              <w:rPr>
                <w:rFonts w:hint="eastAsia"/>
                <w:szCs w:val="21"/>
              </w:rPr>
              <w:t>）</w:t>
            </w:r>
          </w:p>
        </w:tc>
        <w:tc>
          <w:tcPr>
            <w:tcW w:w="1322" w:type="pct"/>
            <w:vAlign w:val="center"/>
          </w:tcPr>
          <w:p w:rsidR="00EE4502" w:rsidRDefault="00FD45A3">
            <w:pPr>
              <w:jc w:val="center"/>
              <w:rPr>
                <w:szCs w:val="21"/>
              </w:rPr>
            </w:pPr>
            <w:r>
              <w:rPr>
                <w:szCs w:val="21"/>
              </w:rPr>
              <w:t>℃</w:t>
            </w:r>
          </w:p>
        </w:tc>
        <w:tc>
          <w:tcPr>
            <w:tcW w:w="1324" w:type="pct"/>
            <w:vAlign w:val="center"/>
          </w:tcPr>
          <w:p w:rsidR="00EE4502" w:rsidRDefault="00FD45A3">
            <w:pPr>
              <w:jc w:val="center"/>
              <w:rPr>
                <w:szCs w:val="21"/>
              </w:rPr>
            </w:pPr>
            <w:r>
              <w:rPr>
                <w:szCs w:val="21"/>
              </w:rPr>
              <w:t>27.4</w:t>
            </w:r>
          </w:p>
        </w:tc>
      </w:tr>
      <w:tr w:rsidR="00EE4502">
        <w:trPr>
          <w:trHeight w:hRule="exact" w:val="454"/>
        </w:trPr>
        <w:tc>
          <w:tcPr>
            <w:tcW w:w="819" w:type="pct"/>
            <w:vAlign w:val="center"/>
          </w:tcPr>
          <w:p w:rsidR="00EE4502" w:rsidRDefault="00FD45A3">
            <w:pPr>
              <w:jc w:val="center"/>
              <w:rPr>
                <w:szCs w:val="21"/>
              </w:rPr>
            </w:pPr>
            <w:r>
              <w:rPr>
                <w:szCs w:val="21"/>
              </w:rPr>
              <w:t>2</w:t>
            </w:r>
          </w:p>
        </w:tc>
        <w:tc>
          <w:tcPr>
            <w:tcW w:w="1533" w:type="pct"/>
            <w:vAlign w:val="center"/>
          </w:tcPr>
          <w:p w:rsidR="00EE4502" w:rsidRDefault="00FD45A3">
            <w:pPr>
              <w:jc w:val="center"/>
              <w:rPr>
                <w:szCs w:val="21"/>
              </w:rPr>
            </w:pPr>
            <w:r>
              <w:rPr>
                <w:szCs w:val="21"/>
              </w:rPr>
              <w:t>最冷月平均气温</w:t>
            </w:r>
            <w:r>
              <w:rPr>
                <w:rFonts w:hint="eastAsia"/>
                <w:szCs w:val="21"/>
              </w:rPr>
              <w:t>（</w:t>
            </w:r>
            <w:r>
              <w:rPr>
                <w:szCs w:val="21"/>
              </w:rPr>
              <w:t>1</w:t>
            </w:r>
            <w:r>
              <w:rPr>
                <w:szCs w:val="21"/>
              </w:rPr>
              <w:t>月</w:t>
            </w:r>
            <w:r>
              <w:rPr>
                <w:rFonts w:hint="eastAsia"/>
                <w:szCs w:val="21"/>
              </w:rPr>
              <w:t>）</w:t>
            </w:r>
          </w:p>
        </w:tc>
        <w:tc>
          <w:tcPr>
            <w:tcW w:w="1322" w:type="pct"/>
            <w:vAlign w:val="center"/>
          </w:tcPr>
          <w:p w:rsidR="00EE4502" w:rsidRDefault="00FD45A3">
            <w:pPr>
              <w:jc w:val="center"/>
              <w:rPr>
                <w:szCs w:val="21"/>
              </w:rPr>
            </w:pPr>
            <w:r>
              <w:rPr>
                <w:szCs w:val="21"/>
              </w:rPr>
              <w:t>℃</w:t>
            </w:r>
          </w:p>
        </w:tc>
        <w:tc>
          <w:tcPr>
            <w:tcW w:w="1324" w:type="pct"/>
            <w:vAlign w:val="center"/>
          </w:tcPr>
          <w:p w:rsidR="00EE4502" w:rsidRDefault="00FD45A3">
            <w:pPr>
              <w:jc w:val="center"/>
              <w:rPr>
                <w:szCs w:val="21"/>
              </w:rPr>
            </w:pPr>
            <w:r>
              <w:rPr>
                <w:szCs w:val="21"/>
              </w:rPr>
              <w:t>-16.7</w:t>
            </w:r>
          </w:p>
        </w:tc>
      </w:tr>
      <w:tr w:rsidR="00EE4502">
        <w:trPr>
          <w:trHeight w:hRule="exact" w:val="454"/>
        </w:trPr>
        <w:tc>
          <w:tcPr>
            <w:tcW w:w="819" w:type="pct"/>
            <w:vAlign w:val="center"/>
          </w:tcPr>
          <w:p w:rsidR="00EE4502" w:rsidRDefault="00FD45A3">
            <w:pPr>
              <w:jc w:val="center"/>
              <w:rPr>
                <w:szCs w:val="21"/>
              </w:rPr>
            </w:pPr>
            <w:r>
              <w:rPr>
                <w:szCs w:val="21"/>
              </w:rPr>
              <w:t>3</w:t>
            </w:r>
          </w:p>
        </w:tc>
        <w:tc>
          <w:tcPr>
            <w:tcW w:w="1533" w:type="pct"/>
            <w:vAlign w:val="center"/>
          </w:tcPr>
          <w:p w:rsidR="00EE4502" w:rsidRDefault="00FD45A3">
            <w:pPr>
              <w:jc w:val="center"/>
              <w:rPr>
                <w:szCs w:val="21"/>
              </w:rPr>
            </w:pPr>
            <w:r>
              <w:rPr>
                <w:szCs w:val="21"/>
              </w:rPr>
              <w:t>极端最高气温</w:t>
            </w:r>
          </w:p>
        </w:tc>
        <w:tc>
          <w:tcPr>
            <w:tcW w:w="1322" w:type="pct"/>
            <w:vAlign w:val="center"/>
          </w:tcPr>
          <w:p w:rsidR="00EE4502" w:rsidRDefault="00FD45A3">
            <w:pPr>
              <w:jc w:val="center"/>
              <w:rPr>
                <w:szCs w:val="21"/>
              </w:rPr>
            </w:pPr>
            <w:r>
              <w:rPr>
                <w:szCs w:val="21"/>
              </w:rPr>
              <w:t>℃</w:t>
            </w:r>
          </w:p>
        </w:tc>
        <w:tc>
          <w:tcPr>
            <w:tcW w:w="1324" w:type="pct"/>
            <w:vAlign w:val="center"/>
          </w:tcPr>
          <w:p w:rsidR="00EE4502" w:rsidRDefault="00FD45A3">
            <w:pPr>
              <w:jc w:val="center"/>
              <w:rPr>
                <w:szCs w:val="21"/>
              </w:rPr>
            </w:pPr>
            <w:r>
              <w:rPr>
                <w:szCs w:val="21"/>
              </w:rPr>
              <w:t>43.8</w:t>
            </w:r>
          </w:p>
        </w:tc>
      </w:tr>
      <w:tr w:rsidR="00EE4502">
        <w:trPr>
          <w:trHeight w:hRule="exact" w:val="454"/>
        </w:trPr>
        <w:tc>
          <w:tcPr>
            <w:tcW w:w="819" w:type="pct"/>
            <w:vAlign w:val="center"/>
          </w:tcPr>
          <w:p w:rsidR="00EE4502" w:rsidRDefault="00FD45A3">
            <w:pPr>
              <w:jc w:val="center"/>
              <w:rPr>
                <w:szCs w:val="21"/>
              </w:rPr>
            </w:pPr>
            <w:r>
              <w:rPr>
                <w:szCs w:val="21"/>
              </w:rPr>
              <w:t>4</w:t>
            </w:r>
          </w:p>
        </w:tc>
        <w:tc>
          <w:tcPr>
            <w:tcW w:w="1533" w:type="pct"/>
            <w:vAlign w:val="center"/>
          </w:tcPr>
          <w:p w:rsidR="00EE4502" w:rsidRDefault="00FD45A3">
            <w:pPr>
              <w:jc w:val="center"/>
              <w:rPr>
                <w:szCs w:val="21"/>
              </w:rPr>
            </w:pPr>
            <w:r>
              <w:rPr>
                <w:szCs w:val="21"/>
              </w:rPr>
              <w:t>极端最低气温</w:t>
            </w:r>
          </w:p>
        </w:tc>
        <w:tc>
          <w:tcPr>
            <w:tcW w:w="1322" w:type="pct"/>
            <w:vAlign w:val="center"/>
          </w:tcPr>
          <w:p w:rsidR="00EE4502" w:rsidRDefault="00FD45A3">
            <w:pPr>
              <w:jc w:val="center"/>
              <w:rPr>
                <w:szCs w:val="21"/>
              </w:rPr>
            </w:pPr>
            <w:r>
              <w:rPr>
                <w:szCs w:val="21"/>
              </w:rPr>
              <w:t>℃</w:t>
            </w:r>
          </w:p>
        </w:tc>
        <w:tc>
          <w:tcPr>
            <w:tcW w:w="1324" w:type="pct"/>
            <w:vAlign w:val="center"/>
          </w:tcPr>
          <w:p w:rsidR="00EE4502" w:rsidRDefault="00FD45A3">
            <w:pPr>
              <w:jc w:val="center"/>
              <w:rPr>
                <w:szCs w:val="21"/>
              </w:rPr>
            </w:pPr>
            <w:r>
              <w:rPr>
                <w:szCs w:val="21"/>
              </w:rPr>
              <w:t>-40.2</w:t>
            </w:r>
          </w:p>
        </w:tc>
      </w:tr>
      <w:tr w:rsidR="00EE4502">
        <w:trPr>
          <w:trHeight w:hRule="exact" w:val="454"/>
        </w:trPr>
        <w:tc>
          <w:tcPr>
            <w:tcW w:w="819" w:type="pct"/>
            <w:vAlign w:val="center"/>
          </w:tcPr>
          <w:p w:rsidR="00EE4502" w:rsidRDefault="00FD45A3">
            <w:pPr>
              <w:jc w:val="center"/>
              <w:rPr>
                <w:szCs w:val="21"/>
              </w:rPr>
            </w:pPr>
            <w:r>
              <w:rPr>
                <w:szCs w:val="21"/>
              </w:rPr>
              <w:t>5</w:t>
            </w:r>
          </w:p>
        </w:tc>
        <w:tc>
          <w:tcPr>
            <w:tcW w:w="1533" w:type="pct"/>
            <w:vAlign w:val="center"/>
          </w:tcPr>
          <w:p w:rsidR="00EE4502" w:rsidRDefault="00FD45A3">
            <w:pPr>
              <w:jc w:val="center"/>
              <w:rPr>
                <w:szCs w:val="21"/>
              </w:rPr>
            </w:pPr>
            <w:r>
              <w:rPr>
                <w:szCs w:val="21"/>
              </w:rPr>
              <w:t>年平均气温</w:t>
            </w:r>
          </w:p>
        </w:tc>
        <w:tc>
          <w:tcPr>
            <w:tcW w:w="1322" w:type="pct"/>
            <w:vAlign w:val="center"/>
          </w:tcPr>
          <w:p w:rsidR="00EE4502" w:rsidRDefault="00FD45A3">
            <w:pPr>
              <w:jc w:val="center"/>
              <w:rPr>
                <w:szCs w:val="21"/>
              </w:rPr>
            </w:pPr>
            <w:r>
              <w:rPr>
                <w:szCs w:val="21"/>
              </w:rPr>
              <w:t>℃</w:t>
            </w:r>
          </w:p>
        </w:tc>
        <w:tc>
          <w:tcPr>
            <w:tcW w:w="1324" w:type="pct"/>
            <w:vAlign w:val="center"/>
          </w:tcPr>
          <w:p w:rsidR="00EE4502" w:rsidRDefault="00FD45A3">
            <w:pPr>
              <w:jc w:val="center"/>
              <w:rPr>
                <w:szCs w:val="21"/>
              </w:rPr>
            </w:pPr>
            <w:r>
              <w:rPr>
                <w:szCs w:val="21"/>
              </w:rPr>
              <w:t>8.4</w:t>
            </w:r>
          </w:p>
        </w:tc>
      </w:tr>
      <w:tr w:rsidR="00EE4502">
        <w:trPr>
          <w:trHeight w:hRule="exact" w:val="454"/>
        </w:trPr>
        <w:tc>
          <w:tcPr>
            <w:tcW w:w="819" w:type="pct"/>
            <w:vAlign w:val="center"/>
          </w:tcPr>
          <w:p w:rsidR="00EE4502" w:rsidRDefault="00FD45A3">
            <w:pPr>
              <w:jc w:val="center"/>
              <w:rPr>
                <w:szCs w:val="21"/>
              </w:rPr>
            </w:pPr>
            <w:r>
              <w:rPr>
                <w:szCs w:val="21"/>
              </w:rPr>
              <w:t>6</w:t>
            </w:r>
          </w:p>
        </w:tc>
        <w:tc>
          <w:tcPr>
            <w:tcW w:w="1533" w:type="pct"/>
            <w:vAlign w:val="center"/>
          </w:tcPr>
          <w:p w:rsidR="00EE4502" w:rsidRDefault="00FD45A3">
            <w:pPr>
              <w:widowControl/>
              <w:jc w:val="center"/>
              <w:rPr>
                <w:szCs w:val="21"/>
              </w:rPr>
            </w:pPr>
            <w:r>
              <w:rPr>
                <w:szCs w:val="21"/>
              </w:rPr>
              <w:t>年平均大风日</w:t>
            </w:r>
          </w:p>
        </w:tc>
        <w:tc>
          <w:tcPr>
            <w:tcW w:w="1322" w:type="pct"/>
            <w:vAlign w:val="center"/>
          </w:tcPr>
          <w:p w:rsidR="00EE4502" w:rsidRDefault="00FD45A3">
            <w:pPr>
              <w:widowControl/>
              <w:jc w:val="center"/>
              <w:rPr>
                <w:szCs w:val="21"/>
              </w:rPr>
            </w:pPr>
            <w:r>
              <w:rPr>
                <w:szCs w:val="21"/>
              </w:rPr>
              <w:t>天</w:t>
            </w:r>
          </w:p>
        </w:tc>
        <w:tc>
          <w:tcPr>
            <w:tcW w:w="1324" w:type="pct"/>
            <w:vAlign w:val="center"/>
          </w:tcPr>
          <w:p w:rsidR="00EE4502" w:rsidRDefault="00FD45A3">
            <w:pPr>
              <w:widowControl/>
              <w:jc w:val="center"/>
              <w:rPr>
                <w:szCs w:val="21"/>
              </w:rPr>
            </w:pPr>
            <w:r>
              <w:rPr>
                <w:szCs w:val="21"/>
              </w:rPr>
              <w:t>76.0</w:t>
            </w:r>
          </w:p>
        </w:tc>
      </w:tr>
      <w:tr w:rsidR="00EE4502">
        <w:trPr>
          <w:trHeight w:hRule="exact" w:val="454"/>
        </w:trPr>
        <w:tc>
          <w:tcPr>
            <w:tcW w:w="819" w:type="pct"/>
            <w:vAlign w:val="center"/>
          </w:tcPr>
          <w:p w:rsidR="00EE4502" w:rsidRDefault="00FD45A3">
            <w:pPr>
              <w:jc w:val="center"/>
              <w:rPr>
                <w:szCs w:val="21"/>
              </w:rPr>
            </w:pPr>
            <w:r>
              <w:rPr>
                <w:szCs w:val="21"/>
              </w:rPr>
              <w:t>7</w:t>
            </w:r>
          </w:p>
        </w:tc>
        <w:tc>
          <w:tcPr>
            <w:tcW w:w="1533" w:type="pct"/>
            <w:vAlign w:val="center"/>
          </w:tcPr>
          <w:p w:rsidR="00EE4502" w:rsidRDefault="00FD45A3">
            <w:pPr>
              <w:widowControl/>
              <w:jc w:val="center"/>
              <w:rPr>
                <w:szCs w:val="21"/>
              </w:rPr>
            </w:pPr>
            <w:r>
              <w:rPr>
                <w:szCs w:val="21"/>
              </w:rPr>
              <w:t>最大风速</w:t>
            </w:r>
          </w:p>
        </w:tc>
        <w:tc>
          <w:tcPr>
            <w:tcW w:w="1322" w:type="pct"/>
            <w:vAlign w:val="center"/>
          </w:tcPr>
          <w:p w:rsidR="00EE4502" w:rsidRDefault="00FD45A3">
            <w:pPr>
              <w:widowControl/>
              <w:jc w:val="center"/>
              <w:rPr>
                <w:szCs w:val="21"/>
              </w:rPr>
            </w:pPr>
            <w:r>
              <w:rPr>
                <w:szCs w:val="21"/>
              </w:rPr>
              <w:t>m/s</w:t>
            </w:r>
          </w:p>
        </w:tc>
        <w:tc>
          <w:tcPr>
            <w:tcW w:w="1324" w:type="pct"/>
            <w:vAlign w:val="center"/>
          </w:tcPr>
          <w:p w:rsidR="00EE4502" w:rsidRDefault="00FD45A3">
            <w:pPr>
              <w:widowControl/>
              <w:jc w:val="center"/>
              <w:rPr>
                <w:szCs w:val="21"/>
              </w:rPr>
            </w:pPr>
            <w:r>
              <w:rPr>
                <w:szCs w:val="21"/>
              </w:rPr>
              <w:t>30.3</w:t>
            </w:r>
          </w:p>
        </w:tc>
      </w:tr>
      <w:tr w:rsidR="00EE4502">
        <w:trPr>
          <w:trHeight w:hRule="exact" w:val="454"/>
        </w:trPr>
        <w:tc>
          <w:tcPr>
            <w:tcW w:w="819" w:type="pct"/>
            <w:vAlign w:val="center"/>
          </w:tcPr>
          <w:p w:rsidR="00EE4502" w:rsidRDefault="00FD45A3">
            <w:pPr>
              <w:jc w:val="center"/>
              <w:rPr>
                <w:szCs w:val="21"/>
              </w:rPr>
            </w:pPr>
            <w:r>
              <w:rPr>
                <w:szCs w:val="21"/>
              </w:rPr>
              <w:lastRenderedPageBreak/>
              <w:t>8</w:t>
            </w:r>
          </w:p>
        </w:tc>
        <w:tc>
          <w:tcPr>
            <w:tcW w:w="1533" w:type="pct"/>
            <w:vAlign w:val="center"/>
          </w:tcPr>
          <w:p w:rsidR="00EE4502" w:rsidRDefault="00FD45A3">
            <w:pPr>
              <w:widowControl/>
              <w:jc w:val="center"/>
              <w:rPr>
                <w:szCs w:val="21"/>
              </w:rPr>
            </w:pPr>
            <w:r>
              <w:rPr>
                <w:szCs w:val="21"/>
              </w:rPr>
              <w:t>冬季平均风速</w:t>
            </w:r>
          </w:p>
        </w:tc>
        <w:tc>
          <w:tcPr>
            <w:tcW w:w="1322" w:type="pct"/>
            <w:vAlign w:val="center"/>
          </w:tcPr>
          <w:p w:rsidR="00EE4502" w:rsidRDefault="00FD45A3">
            <w:pPr>
              <w:widowControl/>
              <w:jc w:val="center"/>
              <w:rPr>
                <w:szCs w:val="21"/>
              </w:rPr>
            </w:pPr>
            <w:r>
              <w:rPr>
                <w:szCs w:val="21"/>
              </w:rPr>
              <w:t>m/s</w:t>
            </w:r>
          </w:p>
        </w:tc>
        <w:tc>
          <w:tcPr>
            <w:tcW w:w="1324" w:type="pct"/>
            <w:vAlign w:val="center"/>
          </w:tcPr>
          <w:p w:rsidR="00EE4502" w:rsidRDefault="00FD45A3">
            <w:pPr>
              <w:widowControl/>
              <w:jc w:val="center"/>
              <w:rPr>
                <w:szCs w:val="21"/>
              </w:rPr>
            </w:pPr>
            <w:r>
              <w:rPr>
                <w:szCs w:val="21"/>
              </w:rPr>
              <w:t>1.5</w:t>
            </w:r>
          </w:p>
        </w:tc>
      </w:tr>
      <w:tr w:rsidR="00EE4502">
        <w:trPr>
          <w:trHeight w:hRule="exact" w:val="454"/>
        </w:trPr>
        <w:tc>
          <w:tcPr>
            <w:tcW w:w="819" w:type="pct"/>
            <w:vAlign w:val="center"/>
          </w:tcPr>
          <w:p w:rsidR="00EE4502" w:rsidRDefault="00FD45A3">
            <w:pPr>
              <w:jc w:val="center"/>
              <w:rPr>
                <w:szCs w:val="21"/>
              </w:rPr>
            </w:pPr>
            <w:r>
              <w:rPr>
                <w:szCs w:val="21"/>
              </w:rPr>
              <w:t>9</w:t>
            </w:r>
          </w:p>
        </w:tc>
        <w:tc>
          <w:tcPr>
            <w:tcW w:w="1533" w:type="pct"/>
            <w:vAlign w:val="center"/>
          </w:tcPr>
          <w:p w:rsidR="00EE4502" w:rsidRDefault="00FD45A3">
            <w:pPr>
              <w:widowControl/>
              <w:jc w:val="center"/>
              <w:rPr>
                <w:szCs w:val="21"/>
              </w:rPr>
            </w:pPr>
            <w:r>
              <w:rPr>
                <w:szCs w:val="21"/>
              </w:rPr>
              <w:t>年平均风速</w:t>
            </w:r>
          </w:p>
        </w:tc>
        <w:tc>
          <w:tcPr>
            <w:tcW w:w="1322" w:type="pct"/>
            <w:vAlign w:val="center"/>
          </w:tcPr>
          <w:p w:rsidR="00EE4502" w:rsidRDefault="00FD45A3">
            <w:pPr>
              <w:widowControl/>
              <w:jc w:val="center"/>
              <w:rPr>
                <w:szCs w:val="21"/>
              </w:rPr>
            </w:pPr>
            <w:r>
              <w:rPr>
                <w:szCs w:val="21"/>
              </w:rPr>
              <w:t>m/s</w:t>
            </w:r>
          </w:p>
        </w:tc>
        <w:tc>
          <w:tcPr>
            <w:tcW w:w="1324" w:type="pct"/>
            <w:vAlign w:val="center"/>
          </w:tcPr>
          <w:p w:rsidR="00EE4502" w:rsidRDefault="00FD45A3">
            <w:pPr>
              <w:widowControl/>
              <w:jc w:val="center"/>
              <w:rPr>
                <w:szCs w:val="21"/>
              </w:rPr>
            </w:pPr>
            <w:r>
              <w:rPr>
                <w:szCs w:val="21"/>
              </w:rPr>
              <w:t>2.54</w:t>
            </w:r>
          </w:p>
        </w:tc>
      </w:tr>
      <w:tr w:rsidR="00EE4502">
        <w:trPr>
          <w:trHeight w:hRule="exact" w:val="454"/>
        </w:trPr>
        <w:tc>
          <w:tcPr>
            <w:tcW w:w="819" w:type="pct"/>
            <w:vAlign w:val="center"/>
          </w:tcPr>
          <w:p w:rsidR="00EE4502" w:rsidRDefault="00FD45A3">
            <w:pPr>
              <w:jc w:val="center"/>
              <w:rPr>
                <w:szCs w:val="21"/>
              </w:rPr>
            </w:pPr>
            <w:r>
              <w:rPr>
                <w:szCs w:val="21"/>
              </w:rPr>
              <w:t>10</w:t>
            </w:r>
          </w:p>
        </w:tc>
        <w:tc>
          <w:tcPr>
            <w:tcW w:w="1533" w:type="pct"/>
            <w:vAlign w:val="center"/>
          </w:tcPr>
          <w:p w:rsidR="00EE4502" w:rsidRDefault="00FD45A3">
            <w:pPr>
              <w:widowControl/>
              <w:jc w:val="center"/>
              <w:rPr>
                <w:szCs w:val="21"/>
              </w:rPr>
            </w:pPr>
            <w:r>
              <w:rPr>
                <w:szCs w:val="21"/>
              </w:rPr>
              <w:t>风向</w:t>
            </w:r>
          </w:p>
        </w:tc>
        <w:tc>
          <w:tcPr>
            <w:tcW w:w="1322" w:type="pct"/>
            <w:vAlign w:val="center"/>
          </w:tcPr>
          <w:p w:rsidR="00EE4502" w:rsidRDefault="00FD45A3">
            <w:pPr>
              <w:widowControl/>
              <w:jc w:val="center"/>
              <w:rPr>
                <w:szCs w:val="21"/>
              </w:rPr>
            </w:pPr>
            <w:r>
              <w:rPr>
                <w:szCs w:val="21"/>
              </w:rPr>
              <w:t>－</w:t>
            </w:r>
          </w:p>
        </w:tc>
        <w:tc>
          <w:tcPr>
            <w:tcW w:w="1324" w:type="pct"/>
            <w:vAlign w:val="center"/>
          </w:tcPr>
          <w:p w:rsidR="00EE4502" w:rsidRDefault="00FD45A3">
            <w:pPr>
              <w:widowControl/>
              <w:jc w:val="center"/>
              <w:rPr>
                <w:szCs w:val="21"/>
              </w:rPr>
            </w:pPr>
            <w:r>
              <w:rPr>
                <w:szCs w:val="21"/>
              </w:rPr>
              <w:t>NW</w:t>
            </w:r>
          </w:p>
        </w:tc>
      </w:tr>
      <w:tr w:rsidR="00EE4502">
        <w:trPr>
          <w:trHeight w:hRule="exact" w:val="454"/>
        </w:trPr>
        <w:tc>
          <w:tcPr>
            <w:tcW w:w="819" w:type="pct"/>
            <w:vAlign w:val="center"/>
          </w:tcPr>
          <w:p w:rsidR="00EE4502" w:rsidRDefault="00FD45A3">
            <w:pPr>
              <w:jc w:val="center"/>
              <w:rPr>
                <w:szCs w:val="21"/>
              </w:rPr>
            </w:pPr>
            <w:r>
              <w:rPr>
                <w:szCs w:val="21"/>
              </w:rPr>
              <w:t>11</w:t>
            </w:r>
          </w:p>
        </w:tc>
        <w:tc>
          <w:tcPr>
            <w:tcW w:w="1533" w:type="pct"/>
            <w:vAlign w:val="center"/>
          </w:tcPr>
          <w:p w:rsidR="00EE4502" w:rsidRDefault="00FD45A3">
            <w:pPr>
              <w:widowControl/>
              <w:jc w:val="center"/>
              <w:rPr>
                <w:szCs w:val="21"/>
              </w:rPr>
            </w:pPr>
            <w:r>
              <w:rPr>
                <w:rFonts w:hint="eastAsia"/>
                <w:szCs w:val="21"/>
              </w:rPr>
              <w:t>平均年降水量</w:t>
            </w:r>
          </w:p>
        </w:tc>
        <w:tc>
          <w:tcPr>
            <w:tcW w:w="1322" w:type="pct"/>
            <w:vAlign w:val="center"/>
          </w:tcPr>
          <w:p w:rsidR="00EE4502" w:rsidRDefault="00FD45A3">
            <w:pPr>
              <w:widowControl/>
              <w:jc w:val="center"/>
              <w:rPr>
                <w:szCs w:val="21"/>
              </w:rPr>
            </w:pPr>
            <w:r>
              <w:rPr>
                <w:szCs w:val="21"/>
              </w:rPr>
              <w:t>mm</w:t>
            </w:r>
          </w:p>
        </w:tc>
        <w:tc>
          <w:tcPr>
            <w:tcW w:w="1324" w:type="pct"/>
            <w:vAlign w:val="center"/>
          </w:tcPr>
          <w:p w:rsidR="00EE4502" w:rsidRDefault="00FD45A3">
            <w:pPr>
              <w:widowControl/>
              <w:jc w:val="center"/>
              <w:rPr>
                <w:szCs w:val="21"/>
              </w:rPr>
            </w:pPr>
            <w:r>
              <w:rPr>
                <w:szCs w:val="21"/>
              </w:rPr>
              <w:t>96.4</w:t>
            </w:r>
          </w:p>
        </w:tc>
      </w:tr>
      <w:tr w:rsidR="00EE4502">
        <w:trPr>
          <w:trHeight w:hRule="exact" w:val="454"/>
        </w:trPr>
        <w:tc>
          <w:tcPr>
            <w:tcW w:w="819" w:type="pct"/>
            <w:vAlign w:val="center"/>
          </w:tcPr>
          <w:p w:rsidR="00EE4502" w:rsidRDefault="00FD45A3">
            <w:pPr>
              <w:jc w:val="center"/>
              <w:rPr>
                <w:szCs w:val="21"/>
              </w:rPr>
            </w:pPr>
            <w:r>
              <w:rPr>
                <w:szCs w:val="21"/>
              </w:rPr>
              <w:t>12</w:t>
            </w:r>
          </w:p>
        </w:tc>
        <w:tc>
          <w:tcPr>
            <w:tcW w:w="1533" w:type="pct"/>
            <w:vAlign w:val="center"/>
          </w:tcPr>
          <w:p w:rsidR="00EE4502" w:rsidRDefault="00FD45A3">
            <w:pPr>
              <w:widowControl/>
              <w:jc w:val="center"/>
              <w:rPr>
                <w:szCs w:val="21"/>
              </w:rPr>
            </w:pPr>
            <w:r>
              <w:rPr>
                <w:szCs w:val="21"/>
              </w:rPr>
              <w:t>历年最大降水量</w:t>
            </w:r>
          </w:p>
        </w:tc>
        <w:tc>
          <w:tcPr>
            <w:tcW w:w="1322" w:type="pct"/>
            <w:vAlign w:val="center"/>
          </w:tcPr>
          <w:p w:rsidR="00EE4502" w:rsidRDefault="00FD45A3">
            <w:pPr>
              <w:widowControl/>
              <w:jc w:val="center"/>
              <w:rPr>
                <w:szCs w:val="21"/>
              </w:rPr>
            </w:pPr>
            <w:r>
              <w:rPr>
                <w:szCs w:val="21"/>
              </w:rPr>
              <w:t>mm</w:t>
            </w:r>
          </w:p>
        </w:tc>
        <w:tc>
          <w:tcPr>
            <w:tcW w:w="1324" w:type="pct"/>
            <w:vAlign w:val="center"/>
          </w:tcPr>
          <w:p w:rsidR="00EE4502" w:rsidRDefault="00FD45A3">
            <w:pPr>
              <w:widowControl/>
              <w:jc w:val="center"/>
              <w:rPr>
                <w:szCs w:val="21"/>
              </w:rPr>
            </w:pPr>
            <w:r>
              <w:rPr>
                <w:szCs w:val="21"/>
              </w:rPr>
              <w:t>227.3</w:t>
            </w:r>
          </w:p>
        </w:tc>
      </w:tr>
      <w:tr w:rsidR="00EE4502">
        <w:trPr>
          <w:trHeight w:hRule="exact" w:val="454"/>
        </w:trPr>
        <w:tc>
          <w:tcPr>
            <w:tcW w:w="819" w:type="pct"/>
            <w:vAlign w:val="center"/>
          </w:tcPr>
          <w:p w:rsidR="00EE4502" w:rsidRDefault="00FD45A3">
            <w:pPr>
              <w:jc w:val="center"/>
              <w:rPr>
                <w:szCs w:val="21"/>
              </w:rPr>
            </w:pPr>
            <w:r>
              <w:rPr>
                <w:szCs w:val="21"/>
              </w:rPr>
              <w:t>13</w:t>
            </w:r>
          </w:p>
        </w:tc>
        <w:tc>
          <w:tcPr>
            <w:tcW w:w="1533" w:type="pct"/>
            <w:vAlign w:val="center"/>
          </w:tcPr>
          <w:p w:rsidR="00EE4502" w:rsidRDefault="00FD45A3">
            <w:pPr>
              <w:widowControl/>
              <w:jc w:val="center"/>
              <w:rPr>
                <w:szCs w:val="21"/>
              </w:rPr>
            </w:pPr>
            <w:r>
              <w:rPr>
                <w:szCs w:val="21"/>
              </w:rPr>
              <w:t>历年平均蒸发量</w:t>
            </w:r>
          </w:p>
        </w:tc>
        <w:tc>
          <w:tcPr>
            <w:tcW w:w="1322" w:type="pct"/>
            <w:vAlign w:val="center"/>
          </w:tcPr>
          <w:p w:rsidR="00EE4502" w:rsidRDefault="00FD45A3">
            <w:pPr>
              <w:widowControl/>
              <w:jc w:val="center"/>
              <w:rPr>
                <w:szCs w:val="21"/>
              </w:rPr>
            </w:pPr>
            <w:r>
              <w:rPr>
                <w:szCs w:val="21"/>
              </w:rPr>
              <w:t>mm</w:t>
            </w:r>
          </w:p>
        </w:tc>
        <w:tc>
          <w:tcPr>
            <w:tcW w:w="1324" w:type="pct"/>
            <w:vAlign w:val="center"/>
          </w:tcPr>
          <w:p w:rsidR="00EE4502" w:rsidRDefault="00FD45A3">
            <w:pPr>
              <w:widowControl/>
              <w:jc w:val="center"/>
              <w:rPr>
                <w:szCs w:val="21"/>
              </w:rPr>
            </w:pPr>
            <w:r>
              <w:rPr>
                <w:szCs w:val="21"/>
              </w:rPr>
              <w:t>3445.2</w:t>
            </w:r>
          </w:p>
        </w:tc>
      </w:tr>
      <w:tr w:rsidR="00EE4502">
        <w:trPr>
          <w:trHeight w:hRule="exact" w:val="454"/>
        </w:trPr>
        <w:tc>
          <w:tcPr>
            <w:tcW w:w="819" w:type="pct"/>
            <w:vAlign w:val="center"/>
          </w:tcPr>
          <w:p w:rsidR="00EE4502" w:rsidRDefault="00FD45A3">
            <w:pPr>
              <w:jc w:val="center"/>
              <w:rPr>
                <w:szCs w:val="21"/>
              </w:rPr>
            </w:pPr>
            <w:r>
              <w:rPr>
                <w:szCs w:val="21"/>
              </w:rPr>
              <w:t>14</w:t>
            </w:r>
          </w:p>
        </w:tc>
        <w:tc>
          <w:tcPr>
            <w:tcW w:w="1533" w:type="pct"/>
            <w:vAlign w:val="center"/>
          </w:tcPr>
          <w:p w:rsidR="00EE4502" w:rsidRDefault="00FD45A3">
            <w:pPr>
              <w:widowControl/>
              <w:jc w:val="center"/>
              <w:rPr>
                <w:szCs w:val="21"/>
              </w:rPr>
            </w:pPr>
            <w:r>
              <w:rPr>
                <w:szCs w:val="21"/>
              </w:rPr>
              <w:t>年降水量天数平均值</w:t>
            </w:r>
          </w:p>
        </w:tc>
        <w:tc>
          <w:tcPr>
            <w:tcW w:w="1322" w:type="pct"/>
            <w:vAlign w:val="center"/>
          </w:tcPr>
          <w:p w:rsidR="00EE4502" w:rsidRDefault="00FD45A3">
            <w:pPr>
              <w:widowControl/>
              <w:jc w:val="center"/>
              <w:rPr>
                <w:szCs w:val="21"/>
              </w:rPr>
            </w:pPr>
            <w:r>
              <w:rPr>
                <w:szCs w:val="21"/>
              </w:rPr>
              <w:t>日</w:t>
            </w:r>
          </w:p>
        </w:tc>
        <w:tc>
          <w:tcPr>
            <w:tcW w:w="1324" w:type="pct"/>
            <w:vAlign w:val="center"/>
          </w:tcPr>
          <w:p w:rsidR="00EE4502" w:rsidRDefault="00FD45A3">
            <w:pPr>
              <w:widowControl/>
              <w:jc w:val="center"/>
              <w:rPr>
                <w:szCs w:val="21"/>
              </w:rPr>
            </w:pPr>
            <w:r>
              <w:rPr>
                <w:szCs w:val="21"/>
              </w:rPr>
              <w:t>68.0</w:t>
            </w:r>
          </w:p>
        </w:tc>
      </w:tr>
      <w:tr w:rsidR="00EE4502">
        <w:trPr>
          <w:trHeight w:hRule="exact" w:val="454"/>
        </w:trPr>
        <w:tc>
          <w:tcPr>
            <w:tcW w:w="819" w:type="pct"/>
            <w:vAlign w:val="center"/>
          </w:tcPr>
          <w:p w:rsidR="00EE4502" w:rsidRDefault="00FD45A3">
            <w:pPr>
              <w:jc w:val="center"/>
              <w:rPr>
                <w:szCs w:val="21"/>
              </w:rPr>
            </w:pPr>
            <w:r>
              <w:rPr>
                <w:szCs w:val="21"/>
              </w:rPr>
              <w:t>15</w:t>
            </w:r>
          </w:p>
        </w:tc>
        <w:tc>
          <w:tcPr>
            <w:tcW w:w="1533" w:type="pct"/>
            <w:vAlign w:val="center"/>
          </w:tcPr>
          <w:p w:rsidR="00EE4502" w:rsidRDefault="00FD45A3">
            <w:pPr>
              <w:widowControl/>
              <w:jc w:val="center"/>
              <w:rPr>
                <w:szCs w:val="21"/>
              </w:rPr>
            </w:pPr>
            <w:r>
              <w:rPr>
                <w:szCs w:val="21"/>
              </w:rPr>
              <w:t>年降水极值天数</w:t>
            </w:r>
          </w:p>
        </w:tc>
        <w:tc>
          <w:tcPr>
            <w:tcW w:w="1322" w:type="pct"/>
            <w:vAlign w:val="center"/>
          </w:tcPr>
          <w:p w:rsidR="00EE4502" w:rsidRDefault="00FD45A3">
            <w:pPr>
              <w:widowControl/>
              <w:jc w:val="center"/>
              <w:rPr>
                <w:szCs w:val="21"/>
              </w:rPr>
            </w:pPr>
            <w:r>
              <w:rPr>
                <w:szCs w:val="21"/>
              </w:rPr>
              <w:t>日</w:t>
            </w:r>
          </w:p>
        </w:tc>
        <w:tc>
          <w:tcPr>
            <w:tcW w:w="1324" w:type="pct"/>
            <w:vAlign w:val="center"/>
          </w:tcPr>
          <w:p w:rsidR="00EE4502" w:rsidRDefault="00FD45A3">
            <w:pPr>
              <w:widowControl/>
              <w:jc w:val="center"/>
              <w:rPr>
                <w:szCs w:val="21"/>
              </w:rPr>
            </w:pPr>
            <w:r>
              <w:rPr>
                <w:szCs w:val="21"/>
              </w:rPr>
              <w:t>101.0</w:t>
            </w:r>
          </w:p>
        </w:tc>
      </w:tr>
      <w:tr w:rsidR="00EE4502">
        <w:trPr>
          <w:trHeight w:hRule="exact" w:val="454"/>
        </w:trPr>
        <w:tc>
          <w:tcPr>
            <w:tcW w:w="819" w:type="pct"/>
            <w:vAlign w:val="center"/>
          </w:tcPr>
          <w:p w:rsidR="00EE4502" w:rsidRDefault="00FD45A3">
            <w:pPr>
              <w:jc w:val="center"/>
              <w:rPr>
                <w:szCs w:val="21"/>
              </w:rPr>
            </w:pPr>
            <w:r>
              <w:rPr>
                <w:szCs w:val="21"/>
              </w:rPr>
              <w:t>16</w:t>
            </w:r>
          </w:p>
        </w:tc>
        <w:tc>
          <w:tcPr>
            <w:tcW w:w="1533" w:type="pct"/>
            <w:vAlign w:val="center"/>
          </w:tcPr>
          <w:p w:rsidR="00EE4502" w:rsidRDefault="00FD45A3">
            <w:pPr>
              <w:widowControl/>
              <w:jc w:val="center"/>
              <w:rPr>
                <w:szCs w:val="21"/>
              </w:rPr>
            </w:pPr>
            <w:r>
              <w:rPr>
                <w:szCs w:val="21"/>
              </w:rPr>
              <w:t>最大积雪厚度</w:t>
            </w:r>
          </w:p>
        </w:tc>
        <w:tc>
          <w:tcPr>
            <w:tcW w:w="1322" w:type="pct"/>
            <w:vAlign w:val="center"/>
          </w:tcPr>
          <w:p w:rsidR="00EE4502" w:rsidRDefault="00FD45A3">
            <w:pPr>
              <w:widowControl/>
              <w:jc w:val="center"/>
              <w:rPr>
                <w:szCs w:val="21"/>
              </w:rPr>
            </w:pPr>
            <w:r>
              <w:rPr>
                <w:szCs w:val="21"/>
              </w:rPr>
              <w:t>mm</w:t>
            </w:r>
          </w:p>
        </w:tc>
        <w:tc>
          <w:tcPr>
            <w:tcW w:w="1324" w:type="pct"/>
            <w:vAlign w:val="center"/>
          </w:tcPr>
          <w:p w:rsidR="00EE4502" w:rsidRDefault="00FD45A3">
            <w:pPr>
              <w:widowControl/>
              <w:jc w:val="center"/>
              <w:rPr>
                <w:szCs w:val="21"/>
              </w:rPr>
            </w:pPr>
            <w:r>
              <w:rPr>
                <w:szCs w:val="21"/>
              </w:rPr>
              <w:t>250.0</w:t>
            </w:r>
          </w:p>
        </w:tc>
      </w:tr>
      <w:tr w:rsidR="00EE4502">
        <w:trPr>
          <w:trHeight w:hRule="exact" w:val="454"/>
        </w:trPr>
        <w:tc>
          <w:tcPr>
            <w:tcW w:w="819" w:type="pct"/>
            <w:vAlign w:val="center"/>
          </w:tcPr>
          <w:p w:rsidR="00EE4502" w:rsidRDefault="00FD45A3">
            <w:pPr>
              <w:jc w:val="center"/>
              <w:rPr>
                <w:szCs w:val="21"/>
              </w:rPr>
            </w:pPr>
            <w:r>
              <w:rPr>
                <w:szCs w:val="21"/>
              </w:rPr>
              <w:t>17</w:t>
            </w:r>
          </w:p>
        </w:tc>
        <w:tc>
          <w:tcPr>
            <w:tcW w:w="1533" w:type="pct"/>
            <w:vAlign w:val="center"/>
          </w:tcPr>
          <w:p w:rsidR="00EE4502" w:rsidRDefault="00FD45A3">
            <w:pPr>
              <w:widowControl/>
              <w:jc w:val="center"/>
              <w:rPr>
                <w:szCs w:val="21"/>
              </w:rPr>
            </w:pPr>
            <w:r>
              <w:rPr>
                <w:szCs w:val="21"/>
              </w:rPr>
              <w:t>冻土深度</w:t>
            </w:r>
          </w:p>
        </w:tc>
        <w:tc>
          <w:tcPr>
            <w:tcW w:w="1322" w:type="pct"/>
            <w:vAlign w:val="center"/>
          </w:tcPr>
          <w:p w:rsidR="00EE4502" w:rsidRDefault="00FD45A3">
            <w:pPr>
              <w:widowControl/>
              <w:jc w:val="center"/>
              <w:rPr>
                <w:szCs w:val="21"/>
              </w:rPr>
            </w:pPr>
            <w:r>
              <w:rPr>
                <w:szCs w:val="21"/>
              </w:rPr>
              <w:t>cm</w:t>
            </w:r>
          </w:p>
        </w:tc>
        <w:tc>
          <w:tcPr>
            <w:tcW w:w="1324" w:type="pct"/>
            <w:vAlign w:val="center"/>
          </w:tcPr>
          <w:p w:rsidR="00EE4502" w:rsidRDefault="00FD45A3">
            <w:pPr>
              <w:widowControl/>
              <w:jc w:val="center"/>
              <w:rPr>
                <w:szCs w:val="21"/>
              </w:rPr>
            </w:pPr>
            <w:r>
              <w:rPr>
                <w:szCs w:val="21"/>
              </w:rPr>
              <w:t>180.4</w:t>
            </w:r>
          </w:p>
        </w:tc>
      </w:tr>
    </w:tbl>
    <w:p w:rsidR="00EE4502" w:rsidRDefault="00FD45A3">
      <w:pPr>
        <w:spacing w:line="360" w:lineRule="auto"/>
        <w:ind w:firstLineChars="200" w:firstLine="480"/>
        <w:rPr>
          <w:sz w:val="24"/>
        </w:rPr>
      </w:pPr>
      <w:r>
        <w:rPr>
          <w:sz w:val="24"/>
        </w:rPr>
        <w:t>第七师位于北天山北坡和准噶尔西部山区均因受西风气流和山区</w:t>
      </w:r>
      <w:r>
        <w:rPr>
          <w:rFonts w:hint="eastAsia"/>
          <w:sz w:val="24"/>
        </w:rPr>
        <w:t>潮湿</w:t>
      </w:r>
      <w:r>
        <w:rPr>
          <w:sz w:val="24"/>
        </w:rPr>
        <w:t>气候影响，年降水量达</w:t>
      </w:r>
      <w:r>
        <w:rPr>
          <w:sz w:val="24"/>
        </w:rPr>
        <w:t>400</w:t>
      </w:r>
      <w:r>
        <w:rPr>
          <w:sz w:val="24"/>
        </w:rPr>
        <w:t>～</w:t>
      </w:r>
      <w:r>
        <w:rPr>
          <w:sz w:val="24"/>
        </w:rPr>
        <w:t>600mm</w:t>
      </w:r>
      <w:r>
        <w:rPr>
          <w:sz w:val="24"/>
        </w:rPr>
        <w:t>，最大</w:t>
      </w:r>
      <w:r>
        <w:rPr>
          <w:rFonts w:hint="eastAsia"/>
          <w:sz w:val="24"/>
        </w:rPr>
        <w:t>降水量</w:t>
      </w:r>
      <w:r>
        <w:rPr>
          <w:sz w:val="24"/>
        </w:rPr>
        <w:t>高达</w:t>
      </w:r>
      <w:r>
        <w:rPr>
          <w:sz w:val="24"/>
        </w:rPr>
        <w:t>800mm</w:t>
      </w:r>
      <w:r>
        <w:rPr>
          <w:sz w:val="24"/>
        </w:rPr>
        <w:t>。坡面径流丰富，岩石风化成土作用强烈。河流下切深，多成</w:t>
      </w:r>
      <w:r>
        <w:rPr>
          <w:sz w:val="24"/>
        </w:rPr>
        <w:t>V</w:t>
      </w:r>
      <w:r>
        <w:rPr>
          <w:sz w:val="24"/>
        </w:rPr>
        <w:t>形谷。年平均风速为</w:t>
      </w:r>
      <w:r>
        <w:rPr>
          <w:sz w:val="24"/>
        </w:rPr>
        <w:t>1.8</w:t>
      </w:r>
      <w:r>
        <w:rPr>
          <w:sz w:val="24"/>
        </w:rPr>
        <w:t>～</w:t>
      </w:r>
      <w:r>
        <w:rPr>
          <w:sz w:val="24"/>
        </w:rPr>
        <w:t>3.2m/s</w:t>
      </w:r>
      <w:r>
        <w:rPr>
          <w:sz w:val="24"/>
        </w:rPr>
        <w:t>。</w:t>
      </w:r>
      <w:r>
        <w:rPr>
          <w:sz w:val="24"/>
        </w:rPr>
        <w:t>4</w:t>
      </w:r>
      <w:r>
        <w:rPr>
          <w:sz w:val="24"/>
        </w:rPr>
        <w:t>～</w:t>
      </w:r>
      <w:r>
        <w:rPr>
          <w:sz w:val="24"/>
        </w:rPr>
        <w:t>6</w:t>
      </w:r>
      <w:r>
        <w:rPr>
          <w:sz w:val="24"/>
        </w:rPr>
        <w:t>月平均每天都有</w:t>
      </w:r>
      <w:r>
        <w:rPr>
          <w:sz w:val="24"/>
        </w:rPr>
        <w:t>3m/s</w:t>
      </w:r>
      <w:r>
        <w:rPr>
          <w:sz w:val="24"/>
        </w:rPr>
        <w:t>以上的风，是风能开发最佳季节。日最低气温</w:t>
      </w:r>
      <w:r>
        <w:rPr>
          <w:sz w:val="24"/>
        </w:rPr>
        <w:t>≤0℃</w:t>
      </w:r>
      <w:r>
        <w:rPr>
          <w:sz w:val="24"/>
        </w:rPr>
        <w:t>的初霜冻日，一般在九月下旬出现，最南边的高泉初霜到来较晚，一般在十月中旬出现。终霜期则相反，越往北越晚。各地年蒸发最大，在</w:t>
      </w:r>
      <w:r>
        <w:rPr>
          <w:sz w:val="24"/>
        </w:rPr>
        <w:t>1710</w:t>
      </w:r>
      <w:r>
        <w:rPr>
          <w:sz w:val="24"/>
        </w:rPr>
        <w:t>～</w:t>
      </w:r>
      <w:r>
        <w:rPr>
          <w:sz w:val="24"/>
        </w:rPr>
        <w:t>2118mm</w:t>
      </w:r>
      <w:r>
        <w:rPr>
          <w:sz w:val="24"/>
        </w:rPr>
        <w:t>之间</w:t>
      </w:r>
      <w:r>
        <w:rPr>
          <w:sz w:val="24"/>
        </w:rPr>
        <w:t>，分别为年降水量的</w:t>
      </w:r>
      <w:r>
        <w:rPr>
          <w:sz w:val="24"/>
        </w:rPr>
        <w:t>12.9</w:t>
      </w:r>
      <w:r>
        <w:rPr>
          <w:sz w:val="24"/>
        </w:rPr>
        <w:t>～</w:t>
      </w:r>
      <w:r>
        <w:rPr>
          <w:sz w:val="24"/>
        </w:rPr>
        <w:t>31.5</w:t>
      </w:r>
      <w:r>
        <w:rPr>
          <w:sz w:val="24"/>
        </w:rPr>
        <w:t>倍。年蒸发量的变化规律是：气温升高的</w:t>
      </w:r>
      <w:r>
        <w:rPr>
          <w:sz w:val="24"/>
        </w:rPr>
        <w:t>4</w:t>
      </w:r>
      <w:r>
        <w:rPr>
          <w:sz w:val="24"/>
        </w:rPr>
        <w:t>～</w:t>
      </w:r>
      <w:r>
        <w:rPr>
          <w:sz w:val="24"/>
        </w:rPr>
        <w:t>10</w:t>
      </w:r>
      <w:r>
        <w:rPr>
          <w:sz w:val="24"/>
        </w:rPr>
        <w:t>月蒸发量大于气温低的</w:t>
      </w:r>
      <w:r>
        <w:rPr>
          <w:sz w:val="24"/>
        </w:rPr>
        <w:t>11</w:t>
      </w:r>
      <w:r>
        <w:rPr>
          <w:sz w:val="24"/>
        </w:rPr>
        <w:t>月至翌年</w:t>
      </w:r>
      <w:r>
        <w:rPr>
          <w:sz w:val="24"/>
        </w:rPr>
        <w:t>3</w:t>
      </w:r>
      <w:r>
        <w:rPr>
          <w:sz w:val="24"/>
        </w:rPr>
        <w:t>月，平原区大于山区，盆地内的沙漠戈壁大于植被茂密区，山区积雪分布多因</w:t>
      </w:r>
      <w:r>
        <w:rPr>
          <w:rFonts w:hint="eastAsia"/>
          <w:sz w:val="24"/>
        </w:rPr>
        <w:t>海拔</w:t>
      </w:r>
      <w:r>
        <w:rPr>
          <w:sz w:val="24"/>
        </w:rPr>
        <w:t>而异。</w:t>
      </w:r>
    </w:p>
    <w:p w:rsidR="00EE4502" w:rsidRDefault="00FD45A3">
      <w:pPr>
        <w:pStyle w:val="33"/>
        <w:numPr>
          <w:ilvl w:val="2"/>
          <w:numId w:val="30"/>
        </w:numPr>
        <w:spacing w:line="360" w:lineRule="auto"/>
        <w:ind w:left="0" w:firstLine="0"/>
        <w:rPr>
          <w:spacing w:val="0"/>
          <w:sz w:val="24"/>
          <w:szCs w:val="24"/>
        </w:rPr>
      </w:pPr>
      <w:r>
        <w:rPr>
          <w:spacing w:val="0"/>
          <w:sz w:val="24"/>
          <w:szCs w:val="24"/>
        </w:rPr>
        <w:t>水文地质条件</w:t>
      </w:r>
    </w:p>
    <w:p w:rsidR="00EE4502" w:rsidRDefault="00FD45A3">
      <w:pPr>
        <w:pStyle w:val="41"/>
        <w:numPr>
          <w:ilvl w:val="3"/>
          <w:numId w:val="30"/>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bCs w:val="0"/>
          <w:sz w:val="24"/>
          <w:szCs w:val="24"/>
        </w:rPr>
        <w:t>水文</w:t>
      </w:r>
    </w:p>
    <w:p w:rsidR="00EE4502" w:rsidRDefault="00FD45A3">
      <w:pPr>
        <w:spacing w:line="360" w:lineRule="auto"/>
        <w:ind w:firstLineChars="200" w:firstLine="480"/>
        <w:rPr>
          <w:sz w:val="24"/>
        </w:rPr>
      </w:pPr>
      <w:r>
        <w:rPr>
          <w:rFonts w:hint="eastAsia"/>
          <w:sz w:val="24"/>
        </w:rPr>
        <w:t>本工程区周围无地表水体。克拉玛依市属资源性缺水地区，长期以来主要以引用地表水为主，开采部分地下水作为补充。流入境内的河流主要有</w:t>
      </w:r>
      <w:r>
        <w:rPr>
          <w:rFonts w:hint="eastAsia"/>
          <w:sz w:val="24"/>
        </w:rPr>
        <w:t>5</w:t>
      </w:r>
      <w:r>
        <w:rPr>
          <w:rFonts w:hint="eastAsia"/>
          <w:sz w:val="24"/>
        </w:rPr>
        <w:t>条，依次为白杨河、玛纳斯河、克拉苏河、达尔布图河和奎屯河，均为内陆河流，河水的补给来源主要为雪融水、降雨和少量裂隙水。地表水可引用年总径流量为</w:t>
      </w:r>
      <w:r>
        <w:rPr>
          <w:rFonts w:hint="eastAsia"/>
          <w:sz w:val="24"/>
        </w:rPr>
        <w:t>2.21</w:t>
      </w:r>
      <w:r>
        <w:rPr>
          <w:rFonts w:hint="eastAsia"/>
          <w:sz w:val="24"/>
        </w:rPr>
        <w:t>亿</w:t>
      </w:r>
      <w:r>
        <w:rPr>
          <w:rFonts w:hint="eastAsia"/>
          <w:sz w:val="24"/>
        </w:rPr>
        <w:t>m</w:t>
      </w:r>
      <w:r>
        <w:rPr>
          <w:rFonts w:hint="eastAsia"/>
          <w:sz w:val="24"/>
          <w:vertAlign w:val="superscript"/>
        </w:rPr>
        <w:t>3</w:t>
      </w:r>
      <w:r>
        <w:rPr>
          <w:rFonts w:hint="eastAsia"/>
          <w:sz w:val="24"/>
        </w:rPr>
        <w:t>。</w:t>
      </w:r>
    </w:p>
    <w:p w:rsidR="00EE4502" w:rsidRDefault="00FD45A3">
      <w:pPr>
        <w:spacing w:line="360" w:lineRule="auto"/>
        <w:ind w:firstLineChars="200" w:firstLine="480"/>
        <w:rPr>
          <w:sz w:val="24"/>
        </w:rPr>
      </w:pPr>
      <w:r>
        <w:rPr>
          <w:rFonts w:hint="eastAsia"/>
          <w:sz w:val="24"/>
        </w:rPr>
        <w:t>克拉玛依市多年平均地下水总补给量为</w:t>
      </w:r>
      <w:r>
        <w:rPr>
          <w:rFonts w:hint="eastAsia"/>
          <w:sz w:val="24"/>
        </w:rPr>
        <w:t>4.14</w:t>
      </w:r>
      <w:r>
        <w:rPr>
          <w:rFonts w:hint="eastAsia"/>
          <w:sz w:val="24"/>
        </w:rPr>
        <w:t>亿</w:t>
      </w:r>
      <w:r>
        <w:rPr>
          <w:rFonts w:hint="eastAsia"/>
          <w:sz w:val="24"/>
        </w:rPr>
        <w:t>m</w:t>
      </w:r>
      <w:r>
        <w:rPr>
          <w:rFonts w:hint="eastAsia"/>
          <w:sz w:val="24"/>
          <w:vertAlign w:val="superscript"/>
        </w:rPr>
        <w:t>3</w:t>
      </w:r>
      <w:r>
        <w:rPr>
          <w:rFonts w:hint="eastAsia"/>
          <w:sz w:val="24"/>
        </w:rPr>
        <w:t>，其中淡水资源量</w:t>
      </w:r>
      <w:r>
        <w:rPr>
          <w:rFonts w:hint="eastAsia"/>
          <w:sz w:val="24"/>
        </w:rPr>
        <w:t>2.59</w:t>
      </w:r>
      <w:r>
        <w:rPr>
          <w:rFonts w:hint="eastAsia"/>
          <w:sz w:val="24"/>
        </w:rPr>
        <w:t>亿</w:t>
      </w:r>
      <w:r>
        <w:rPr>
          <w:rFonts w:hint="eastAsia"/>
          <w:sz w:val="24"/>
        </w:rPr>
        <w:t>m</w:t>
      </w:r>
      <w:r>
        <w:rPr>
          <w:rFonts w:hint="eastAsia"/>
          <w:sz w:val="24"/>
          <w:vertAlign w:val="superscript"/>
        </w:rPr>
        <w:t>3</w:t>
      </w:r>
      <w:r>
        <w:rPr>
          <w:rFonts w:hint="eastAsia"/>
          <w:sz w:val="24"/>
        </w:rPr>
        <w:t>/a</w:t>
      </w:r>
      <w:r>
        <w:rPr>
          <w:rFonts w:hint="eastAsia"/>
          <w:sz w:val="24"/>
        </w:rPr>
        <w:t>，可开采储量为</w:t>
      </w:r>
      <w:r>
        <w:rPr>
          <w:rFonts w:hint="eastAsia"/>
          <w:sz w:val="24"/>
        </w:rPr>
        <w:t>1.82</w:t>
      </w:r>
      <w:r>
        <w:rPr>
          <w:rFonts w:hint="eastAsia"/>
          <w:sz w:val="24"/>
        </w:rPr>
        <w:t>亿</w:t>
      </w:r>
      <w:r>
        <w:rPr>
          <w:rFonts w:hint="eastAsia"/>
          <w:sz w:val="24"/>
        </w:rPr>
        <w:t>m</w:t>
      </w:r>
      <w:r>
        <w:rPr>
          <w:rFonts w:hint="eastAsia"/>
          <w:sz w:val="24"/>
          <w:vertAlign w:val="superscript"/>
        </w:rPr>
        <w:t>3</w:t>
      </w:r>
      <w:r>
        <w:rPr>
          <w:rFonts w:hint="eastAsia"/>
          <w:sz w:val="24"/>
        </w:rPr>
        <w:t>/a</w:t>
      </w:r>
      <w:r>
        <w:rPr>
          <w:rFonts w:hint="eastAsia"/>
          <w:sz w:val="24"/>
        </w:rPr>
        <w:t>。目前克拉玛依市境内已开采地下水源主要有百口泉地下水和独山子区南洼地第二水源，总开采量约为</w:t>
      </w:r>
      <w:r>
        <w:rPr>
          <w:rFonts w:hint="eastAsia"/>
          <w:sz w:val="24"/>
        </w:rPr>
        <w:t>4100</w:t>
      </w:r>
      <w:r>
        <w:rPr>
          <w:rFonts w:hint="eastAsia"/>
          <w:sz w:val="24"/>
        </w:rPr>
        <w:t>万</w:t>
      </w:r>
      <w:r>
        <w:rPr>
          <w:rFonts w:hint="eastAsia"/>
          <w:sz w:val="24"/>
        </w:rPr>
        <w:t>m</w:t>
      </w:r>
      <w:r>
        <w:rPr>
          <w:rFonts w:hint="eastAsia"/>
          <w:sz w:val="24"/>
          <w:vertAlign w:val="superscript"/>
        </w:rPr>
        <w:t>3</w:t>
      </w:r>
      <w:r>
        <w:rPr>
          <w:rFonts w:hint="eastAsia"/>
          <w:sz w:val="24"/>
        </w:rPr>
        <w:t>/a</w:t>
      </w:r>
      <w:r>
        <w:rPr>
          <w:rFonts w:hint="eastAsia"/>
          <w:sz w:val="24"/>
        </w:rPr>
        <w:t>。</w:t>
      </w:r>
    </w:p>
    <w:p w:rsidR="00EE4502" w:rsidRDefault="00FD45A3">
      <w:pPr>
        <w:spacing w:line="360" w:lineRule="auto"/>
        <w:ind w:firstLineChars="200" w:firstLine="480"/>
        <w:rPr>
          <w:sz w:val="24"/>
        </w:rPr>
      </w:pPr>
      <w:r>
        <w:rPr>
          <w:sz w:val="24"/>
        </w:rPr>
        <w:lastRenderedPageBreak/>
        <w:t>第七师从东到西，有奎屯河、四棵树河、古尔图河，北部有白杨河。四条河流均为季节性河流，可供农业灌溉和水力发电。另有源于山区的主要起汇积水和供牧畜饮水作用的上述四河的上游支流及和布克河、克尔根达斯河和察汗鄂博河的支流河沟共</w:t>
      </w:r>
      <w:r>
        <w:rPr>
          <w:sz w:val="24"/>
        </w:rPr>
        <w:t>22</w:t>
      </w:r>
      <w:r>
        <w:rPr>
          <w:sz w:val="24"/>
        </w:rPr>
        <w:t>条。</w:t>
      </w:r>
    </w:p>
    <w:p w:rsidR="00EE4502" w:rsidRDefault="00FD45A3">
      <w:pPr>
        <w:spacing w:line="360" w:lineRule="auto"/>
        <w:ind w:firstLineChars="200" w:firstLine="480"/>
        <w:rPr>
          <w:sz w:val="24"/>
        </w:rPr>
      </w:pPr>
      <w:r>
        <w:rPr>
          <w:sz w:val="24"/>
        </w:rPr>
        <w:t>河流共同特点：</w:t>
      </w:r>
    </w:p>
    <w:p w:rsidR="00EE4502" w:rsidRDefault="00FD45A3">
      <w:pPr>
        <w:spacing w:line="360" w:lineRule="auto"/>
        <w:ind w:firstLineChars="200" w:firstLine="480"/>
        <w:rPr>
          <w:sz w:val="24"/>
        </w:rPr>
      </w:pPr>
      <w:r>
        <w:rPr>
          <w:sz w:val="24"/>
        </w:rPr>
        <w:t>（</w:t>
      </w:r>
      <w:r>
        <w:rPr>
          <w:sz w:val="24"/>
        </w:rPr>
        <w:t>1</w:t>
      </w:r>
      <w:r>
        <w:rPr>
          <w:sz w:val="24"/>
        </w:rPr>
        <w:t>）均为内陆河。除奎屯河水系各支流发源于北天山北坡之外，其余都发源于准噶尔西部山地。其归宿都是流入准噶尔盆地或</w:t>
      </w:r>
      <w:r>
        <w:rPr>
          <w:rFonts w:hint="eastAsia"/>
          <w:sz w:val="24"/>
        </w:rPr>
        <w:t>山间</w:t>
      </w:r>
      <w:r>
        <w:rPr>
          <w:sz w:val="24"/>
        </w:rPr>
        <w:t>封闭盆地的低洼处。</w:t>
      </w:r>
    </w:p>
    <w:p w:rsidR="00EE4502" w:rsidRDefault="00FD45A3">
      <w:pPr>
        <w:spacing w:line="360" w:lineRule="auto"/>
        <w:ind w:firstLineChars="200" w:firstLine="480"/>
        <w:rPr>
          <w:sz w:val="24"/>
        </w:rPr>
      </w:pPr>
      <w:r>
        <w:rPr>
          <w:sz w:val="24"/>
        </w:rPr>
        <w:t>（</w:t>
      </w:r>
      <w:r>
        <w:rPr>
          <w:sz w:val="24"/>
        </w:rPr>
        <w:t>2</w:t>
      </w:r>
      <w:r>
        <w:rPr>
          <w:sz w:val="24"/>
        </w:rPr>
        <w:t>）河流的水源来自山区冰川和积雪融化水及大量降雨。源于萨吾尔山的河沟水源来自山泉和降水。以山口为界，河流一般可分为径流形成区和散失区。上游（山区河道）因降水多，引水少，是径流形成汇集区。出山后，河水被大量引到灌区，加之山前平原区地面平坦，</w:t>
      </w:r>
      <w:r>
        <w:rPr>
          <w:rFonts w:hint="eastAsia"/>
          <w:sz w:val="24"/>
        </w:rPr>
        <w:t>径流</w:t>
      </w:r>
      <w:r>
        <w:rPr>
          <w:sz w:val="24"/>
        </w:rPr>
        <w:t>缓慢，下渗量大，降水稀少，蒸发强烈。故平原不能形成径流，河流的中下游都是径流散失区。</w:t>
      </w:r>
    </w:p>
    <w:p w:rsidR="00EE4502" w:rsidRDefault="00FD45A3">
      <w:pPr>
        <w:spacing w:line="360" w:lineRule="auto"/>
        <w:ind w:firstLineChars="200" w:firstLine="480"/>
        <w:rPr>
          <w:sz w:val="24"/>
        </w:rPr>
      </w:pPr>
      <w:r>
        <w:rPr>
          <w:sz w:val="24"/>
        </w:rPr>
        <w:t>（</w:t>
      </w:r>
      <w:r>
        <w:rPr>
          <w:sz w:val="24"/>
        </w:rPr>
        <w:t>3</w:t>
      </w:r>
      <w:r>
        <w:rPr>
          <w:sz w:val="24"/>
        </w:rPr>
        <w:t>）河流条数多，水量少，流程短，冰封时上述河</w:t>
      </w:r>
      <w:r>
        <w:rPr>
          <w:sz w:val="24"/>
        </w:rPr>
        <w:t>流除</w:t>
      </w:r>
      <w:r>
        <w:rPr>
          <w:sz w:val="24"/>
        </w:rPr>
        <w:t>4</w:t>
      </w:r>
      <w:r>
        <w:rPr>
          <w:sz w:val="24"/>
        </w:rPr>
        <w:t>条年径流量超过</w:t>
      </w:r>
      <w:r>
        <w:rPr>
          <w:sz w:val="24"/>
        </w:rPr>
        <w:t>1.2</w:t>
      </w:r>
      <w:r>
        <w:rPr>
          <w:sz w:val="24"/>
        </w:rPr>
        <w:t>亿</w:t>
      </w:r>
      <w:r>
        <w:rPr>
          <w:sz w:val="24"/>
        </w:rPr>
        <w:t>m³</w:t>
      </w:r>
      <w:r>
        <w:rPr>
          <w:sz w:val="24"/>
        </w:rPr>
        <w:t>外，其余均在</w:t>
      </w:r>
      <w:r>
        <w:rPr>
          <w:sz w:val="24"/>
        </w:rPr>
        <w:t>0.9</w:t>
      </w:r>
      <w:r>
        <w:rPr>
          <w:sz w:val="24"/>
        </w:rPr>
        <w:t>亿</w:t>
      </w:r>
      <w:r>
        <w:rPr>
          <w:sz w:val="24"/>
        </w:rPr>
        <w:t>m³</w:t>
      </w:r>
      <w:r>
        <w:rPr>
          <w:sz w:val="24"/>
        </w:rPr>
        <w:t>以下，冰封时和枯水季常断流。山区因河道纵坡降大河床窄，</w:t>
      </w:r>
      <w:r>
        <w:rPr>
          <w:sz w:val="24"/>
        </w:rPr>
        <w:t>“V”</w:t>
      </w:r>
      <w:r>
        <w:rPr>
          <w:sz w:val="24"/>
        </w:rPr>
        <w:t>型谷底存水浅，故上游都是时令河沟。中游多因山洪冲运到河床大量石块和流砂淤积，使河面变得宽浅，河水易被大量蒸发和下渗，使中游也出现枯水期河水断流。下游多因引水灌溉农田，或修拦截水的水库、引水渠等工程，使河水量大减而断流。</w:t>
      </w:r>
    </w:p>
    <w:p w:rsidR="00EE4502" w:rsidRDefault="00FD45A3">
      <w:pPr>
        <w:spacing w:line="360" w:lineRule="auto"/>
        <w:ind w:firstLineChars="200" w:firstLine="480"/>
        <w:rPr>
          <w:sz w:val="24"/>
        </w:rPr>
      </w:pPr>
      <w:r>
        <w:rPr>
          <w:sz w:val="24"/>
        </w:rPr>
        <w:t>（</w:t>
      </w:r>
      <w:r>
        <w:rPr>
          <w:sz w:val="24"/>
        </w:rPr>
        <w:t>4</w:t>
      </w:r>
      <w:r>
        <w:rPr>
          <w:sz w:val="24"/>
        </w:rPr>
        <w:t>）灌区河道来水较稳定，奎屯河最大年份来水是最小年份来水的</w:t>
      </w:r>
      <w:r>
        <w:rPr>
          <w:sz w:val="24"/>
        </w:rPr>
        <w:t>1.48</w:t>
      </w:r>
      <w:r>
        <w:rPr>
          <w:sz w:val="24"/>
        </w:rPr>
        <w:t>倍，但河流的来水量有地区间分布不平衡和年度内季节性分配不均。奎屯河水系的年径流量多年平均为</w:t>
      </w:r>
      <w:r>
        <w:rPr>
          <w:sz w:val="24"/>
        </w:rPr>
        <w:t>12.252</w:t>
      </w:r>
      <w:r>
        <w:rPr>
          <w:sz w:val="24"/>
        </w:rPr>
        <w:t>亿</w:t>
      </w:r>
      <w:r>
        <w:rPr>
          <w:sz w:val="24"/>
        </w:rPr>
        <w:t>m³</w:t>
      </w:r>
      <w:r>
        <w:rPr>
          <w:sz w:val="24"/>
        </w:rPr>
        <w:t>，占了总年径流量</w:t>
      </w:r>
      <w:r>
        <w:rPr>
          <w:sz w:val="24"/>
        </w:rPr>
        <w:t>91.l%</w:t>
      </w:r>
      <w:r>
        <w:rPr>
          <w:sz w:val="24"/>
        </w:rPr>
        <w:t>。而</w:t>
      </w:r>
      <w:r>
        <w:rPr>
          <w:rFonts w:hint="eastAsia"/>
          <w:sz w:val="24"/>
        </w:rPr>
        <w:t>白杨河</w:t>
      </w:r>
      <w:r>
        <w:rPr>
          <w:sz w:val="24"/>
        </w:rPr>
        <w:t>仅</w:t>
      </w:r>
      <w:r>
        <w:rPr>
          <w:sz w:val="24"/>
        </w:rPr>
        <w:t>1.20</w:t>
      </w:r>
      <w:r>
        <w:rPr>
          <w:sz w:val="24"/>
        </w:rPr>
        <w:t>亿</w:t>
      </w:r>
      <w:r>
        <w:rPr>
          <w:sz w:val="24"/>
        </w:rPr>
        <w:t>m³</w:t>
      </w:r>
      <w:r>
        <w:rPr>
          <w:sz w:val="24"/>
        </w:rPr>
        <w:t>。据多年观测四条河</w:t>
      </w:r>
      <w:r>
        <w:rPr>
          <w:sz w:val="24"/>
        </w:rPr>
        <w:t>l</w:t>
      </w:r>
      <w:r>
        <w:rPr>
          <w:sz w:val="24"/>
        </w:rPr>
        <w:t>～</w:t>
      </w:r>
      <w:r>
        <w:rPr>
          <w:sz w:val="24"/>
        </w:rPr>
        <w:t>5</w:t>
      </w:r>
      <w:r>
        <w:rPr>
          <w:sz w:val="24"/>
        </w:rPr>
        <w:t>月、</w:t>
      </w:r>
      <w:r>
        <w:rPr>
          <w:sz w:val="24"/>
        </w:rPr>
        <w:t>6</w:t>
      </w:r>
      <w:r>
        <w:rPr>
          <w:sz w:val="24"/>
        </w:rPr>
        <w:t>～</w:t>
      </w:r>
      <w:r>
        <w:rPr>
          <w:sz w:val="24"/>
        </w:rPr>
        <w:t>8</w:t>
      </w:r>
      <w:r>
        <w:rPr>
          <w:sz w:val="24"/>
        </w:rPr>
        <w:t>月、</w:t>
      </w:r>
      <w:r>
        <w:rPr>
          <w:sz w:val="24"/>
        </w:rPr>
        <w:t>9</w:t>
      </w:r>
      <w:r>
        <w:rPr>
          <w:sz w:val="24"/>
        </w:rPr>
        <w:t>～</w:t>
      </w:r>
      <w:r>
        <w:rPr>
          <w:sz w:val="24"/>
        </w:rPr>
        <w:t>12</w:t>
      </w:r>
      <w:r>
        <w:rPr>
          <w:sz w:val="24"/>
        </w:rPr>
        <w:t>月的来水量分别占全年来水的总量的</w:t>
      </w:r>
      <w:r>
        <w:rPr>
          <w:sz w:val="24"/>
        </w:rPr>
        <w:t>18</w:t>
      </w:r>
      <w:r>
        <w:rPr>
          <w:sz w:val="24"/>
        </w:rPr>
        <w:t>％、</w:t>
      </w:r>
      <w:r>
        <w:rPr>
          <w:sz w:val="24"/>
        </w:rPr>
        <w:t>59%</w:t>
      </w:r>
      <w:r>
        <w:rPr>
          <w:sz w:val="24"/>
        </w:rPr>
        <w:t>、</w:t>
      </w:r>
      <w:r>
        <w:rPr>
          <w:sz w:val="24"/>
        </w:rPr>
        <w:t>23%</w:t>
      </w:r>
      <w:r>
        <w:rPr>
          <w:sz w:val="24"/>
        </w:rPr>
        <w:t>。可见</w:t>
      </w:r>
      <w:r>
        <w:rPr>
          <w:sz w:val="24"/>
        </w:rPr>
        <w:t>6</w:t>
      </w:r>
      <w:r>
        <w:rPr>
          <w:sz w:val="24"/>
        </w:rPr>
        <w:t>～</w:t>
      </w:r>
      <w:r>
        <w:rPr>
          <w:sz w:val="24"/>
        </w:rPr>
        <w:t>8</w:t>
      </w:r>
      <w:r>
        <w:rPr>
          <w:sz w:val="24"/>
        </w:rPr>
        <w:t>月三个月的来水比重大。据国家水年鉴资料，四条河流多年平均的年输沙量为</w:t>
      </w:r>
      <w:r>
        <w:rPr>
          <w:sz w:val="24"/>
        </w:rPr>
        <w:t>41.778kg/s</w:t>
      </w:r>
      <w:r>
        <w:rPr>
          <w:sz w:val="24"/>
        </w:rPr>
        <w:t>，平均年输沙量为</w:t>
      </w:r>
      <w:r>
        <w:rPr>
          <w:sz w:val="24"/>
        </w:rPr>
        <w:t>131.9</w:t>
      </w:r>
      <w:r>
        <w:rPr>
          <w:sz w:val="24"/>
        </w:rPr>
        <w:t>万</w:t>
      </w:r>
      <w:r>
        <w:rPr>
          <w:sz w:val="24"/>
        </w:rPr>
        <w:t>t</w:t>
      </w:r>
      <w:r>
        <w:rPr>
          <w:sz w:val="24"/>
        </w:rPr>
        <w:t>，侵蚀模数为</w:t>
      </w:r>
      <w:r>
        <w:rPr>
          <w:sz w:val="24"/>
        </w:rPr>
        <w:t>189.5t/m</w:t>
      </w:r>
      <w:r>
        <w:rPr>
          <w:sz w:val="24"/>
          <w:vertAlign w:val="superscript"/>
        </w:rPr>
        <w:t>2</w:t>
      </w:r>
      <w:r>
        <w:rPr>
          <w:sz w:val="24"/>
        </w:rPr>
        <w:t>。</w:t>
      </w:r>
    </w:p>
    <w:p w:rsidR="00EE4502" w:rsidRDefault="00FD45A3">
      <w:pPr>
        <w:pStyle w:val="afc"/>
        <w:spacing w:line="360" w:lineRule="auto"/>
        <w:ind w:firstLine="480"/>
        <w:rPr>
          <w:rFonts w:ascii="Times New Roman" w:eastAsia="宋体" w:hAnsi="Times New Roman"/>
          <w:color w:val="auto"/>
          <w:spacing w:val="0"/>
          <w:sz w:val="24"/>
          <w:szCs w:val="24"/>
        </w:rPr>
      </w:pPr>
      <w:r>
        <w:rPr>
          <w:rFonts w:ascii="Times New Roman" w:eastAsia="宋体" w:hAnsi="Times New Roman"/>
          <w:color w:val="auto"/>
          <w:spacing w:val="0"/>
          <w:sz w:val="24"/>
          <w:szCs w:val="24"/>
        </w:rPr>
        <w:t>奎屯河发源于依连哈比尔尕山北坡海拔</w:t>
      </w:r>
      <w:r>
        <w:rPr>
          <w:rFonts w:ascii="Times New Roman" w:eastAsia="宋体" w:hAnsi="Times New Roman"/>
          <w:color w:val="auto"/>
          <w:spacing w:val="0"/>
          <w:sz w:val="24"/>
          <w:szCs w:val="24"/>
        </w:rPr>
        <w:t>2800</w:t>
      </w:r>
      <w:r>
        <w:rPr>
          <w:rFonts w:ascii="Times New Roman" w:eastAsia="宋体" w:hAnsi="Times New Roman"/>
          <w:color w:val="auto"/>
          <w:spacing w:val="0"/>
          <w:sz w:val="24"/>
          <w:szCs w:val="24"/>
        </w:rPr>
        <w:t>～</w:t>
      </w:r>
      <w:r>
        <w:rPr>
          <w:rFonts w:ascii="Times New Roman" w:eastAsia="宋体" w:hAnsi="Times New Roman"/>
          <w:color w:val="auto"/>
          <w:spacing w:val="0"/>
          <w:sz w:val="24"/>
          <w:szCs w:val="24"/>
        </w:rPr>
        <w:t>3600m</w:t>
      </w:r>
      <w:r>
        <w:rPr>
          <w:rFonts w:ascii="Times New Roman" w:eastAsia="宋体" w:hAnsi="Times New Roman"/>
          <w:color w:val="auto"/>
          <w:spacing w:val="0"/>
          <w:sz w:val="24"/>
          <w:szCs w:val="24"/>
        </w:rPr>
        <w:t>的山区。由南向北经</w:t>
      </w:r>
      <w:r>
        <w:rPr>
          <w:rFonts w:ascii="Times New Roman" w:eastAsia="宋体" w:hAnsi="Times New Roman"/>
          <w:color w:val="auto"/>
          <w:spacing w:val="0"/>
          <w:sz w:val="24"/>
          <w:szCs w:val="24"/>
        </w:rPr>
        <w:t>131</w:t>
      </w:r>
      <w:r>
        <w:rPr>
          <w:rFonts w:ascii="Times New Roman" w:eastAsia="宋体" w:hAnsi="Times New Roman"/>
          <w:color w:val="auto"/>
          <w:spacing w:val="0"/>
          <w:sz w:val="24"/>
          <w:szCs w:val="24"/>
        </w:rPr>
        <w:t>团山区牧场，乌苏巴音沟牧场，</w:t>
      </w:r>
      <w:r>
        <w:rPr>
          <w:rFonts w:ascii="Times New Roman" w:eastAsia="宋体" w:hAnsi="Times New Roman"/>
          <w:color w:val="auto"/>
          <w:spacing w:val="0"/>
          <w:sz w:val="24"/>
          <w:szCs w:val="24"/>
        </w:rPr>
        <w:t>36145</w:t>
      </w:r>
      <w:r>
        <w:rPr>
          <w:rFonts w:ascii="Times New Roman" w:eastAsia="宋体" w:hAnsi="Times New Roman"/>
          <w:color w:val="auto"/>
          <w:spacing w:val="0"/>
          <w:sz w:val="24"/>
          <w:szCs w:val="24"/>
        </w:rPr>
        <w:t>部队，在独山子矿区出山后流入准噶尔盆地区，在乌伊公路奎屯河大桥处沿</w:t>
      </w:r>
      <w:r>
        <w:rPr>
          <w:rFonts w:ascii="Times New Roman" w:eastAsia="宋体" w:hAnsi="Times New Roman"/>
          <w:color w:val="auto"/>
          <w:spacing w:val="0"/>
          <w:sz w:val="24"/>
          <w:szCs w:val="24"/>
        </w:rPr>
        <w:t>131</w:t>
      </w:r>
      <w:r>
        <w:rPr>
          <w:rFonts w:ascii="Times New Roman" w:eastAsia="宋体" w:hAnsi="Times New Roman"/>
          <w:color w:val="auto"/>
          <w:spacing w:val="0"/>
          <w:sz w:val="24"/>
          <w:szCs w:val="24"/>
        </w:rPr>
        <w:t>团西缘向</w:t>
      </w:r>
      <w:r>
        <w:rPr>
          <w:rFonts w:ascii="Times New Roman" w:eastAsia="宋体" w:hAnsi="Times New Roman"/>
          <w:color w:val="auto"/>
          <w:spacing w:val="0"/>
          <w:sz w:val="24"/>
          <w:szCs w:val="24"/>
        </w:rPr>
        <w:t>北流，经乌苏良种场、九间楼和皇宫乡、头台乡，沿</w:t>
      </w:r>
      <w:r>
        <w:rPr>
          <w:rFonts w:ascii="Times New Roman" w:eastAsia="宋体" w:hAnsi="Times New Roman"/>
          <w:color w:val="auto"/>
          <w:spacing w:val="0"/>
          <w:sz w:val="24"/>
          <w:szCs w:val="24"/>
        </w:rPr>
        <w:t>130</w:t>
      </w:r>
      <w:r>
        <w:rPr>
          <w:rFonts w:ascii="Times New Roman" w:eastAsia="宋体" w:hAnsi="Times New Roman"/>
          <w:color w:val="auto"/>
          <w:spacing w:val="0"/>
          <w:sz w:val="24"/>
          <w:szCs w:val="24"/>
        </w:rPr>
        <w:t>团西北流入奎屯水库，再沿</w:t>
      </w:r>
      <w:r>
        <w:rPr>
          <w:rFonts w:ascii="Times New Roman" w:eastAsia="宋体" w:hAnsi="Times New Roman"/>
          <w:color w:val="auto"/>
          <w:spacing w:val="0"/>
          <w:sz w:val="24"/>
          <w:szCs w:val="24"/>
        </w:rPr>
        <w:t>125</w:t>
      </w:r>
      <w:r>
        <w:rPr>
          <w:rFonts w:ascii="Times New Roman" w:eastAsia="宋体" w:hAnsi="Times New Roman"/>
          <w:color w:val="auto"/>
          <w:spacing w:val="0"/>
          <w:sz w:val="24"/>
          <w:szCs w:val="24"/>
        </w:rPr>
        <w:t>团东缘向北，经乌苏车排子乡向西北，沿</w:t>
      </w:r>
      <w:r>
        <w:rPr>
          <w:rFonts w:ascii="Times New Roman" w:eastAsia="宋体" w:hAnsi="Times New Roman"/>
          <w:color w:val="auto"/>
          <w:spacing w:val="0"/>
          <w:sz w:val="24"/>
          <w:szCs w:val="24"/>
        </w:rPr>
        <w:t>123</w:t>
      </w:r>
      <w:r>
        <w:rPr>
          <w:rFonts w:ascii="Times New Roman" w:eastAsia="宋体" w:hAnsi="Times New Roman"/>
          <w:color w:val="auto"/>
          <w:spacing w:val="0"/>
          <w:sz w:val="24"/>
          <w:szCs w:val="24"/>
        </w:rPr>
        <w:t>团和</w:t>
      </w:r>
      <w:r>
        <w:rPr>
          <w:rFonts w:ascii="Times New Roman" w:eastAsia="宋体" w:hAnsi="Times New Roman"/>
          <w:color w:val="auto"/>
          <w:spacing w:val="0"/>
          <w:sz w:val="24"/>
          <w:szCs w:val="24"/>
        </w:rPr>
        <w:t>127</w:t>
      </w:r>
      <w:r>
        <w:rPr>
          <w:rFonts w:ascii="Times New Roman" w:eastAsia="宋体" w:hAnsi="Times New Roman"/>
          <w:color w:val="auto"/>
          <w:spacing w:val="0"/>
          <w:sz w:val="24"/>
          <w:szCs w:val="24"/>
        </w:rPr>
        <w:t>团西南缘及</w:t>
      </w:r>
      <w:r>
        <w:rPr>
          <w:rFonts w:ascii="Times New Roman" w:eastAsia="宋体" w:hAnsi="Times New Roman"/>
          <w:color w:val="auto"/>
          <w:spacing w:val="0"/>
          <w:sz w:val="24"/>
          <w:szCs w:val="24"/>
        </w:rPr>
        <w:t>126</w:t>
      </w:r>
      <w:r>
        <w:rPr>
          <w:rFonts w:ascii="Times New Roman" w:eastAsia="宋体" w:hAnsi="Times New Roman"/>
          <w:color w:val="auto"/>
          <w:spacing w:val="0"/>
          <w:sz w:val="24"/>
          <w:szCs w:val="24"/>
        </w:rPr>
        <w:t>团南缘向西流经乌苏石桥乡</w:t>
      </w:r>
      <w:r>
        <w:rPr>
          <w:rFonts w:ascii="Times New Roman" w:eastAsia="宋体" w:hAnsi="Times New Roman"/>
          <w:color w:val="auto"/>
          <w:spacing w:val="0"/>
          <w:sz w:val="24"/>
          <w:szCs w:val="24"/>
        </w:rPr>
        <w:lastRenderedPageBreak/>
        <w:t>甘家湖林场，甘家湖牧场，在五道泉处进入精河县东北经散德克库木大沙漠</w:t>
      </w:r>
      <w:r>
        <w:rPr>
          <w:rFonts w:ascii="Times New Roman" w:eastAsia="宋体" w:hAnsi="Times New Roman" w:hint="eastAsia"/>
          <w:color w:val="auto"/>
          <w:spacing w:val="0"/>
          <w:sz w:val="24"/>
          <w:szCs w:val="24"/>
        </w:rPr>
        <w:t>流入</w:t>
      </w:r>
      <w:r>
        <w:rPr>
          <w:rFonts w:ascii="Times New Roman" w:eastAsia="宋体" w:hAnsi="Times New Roman"/>
          <w:color w:val="auto"/>
          <w:spacing w:val="0"/>
          <w:sz w:val="24"/>
          <w:szCs w:val="24"/>
        </w:rPr>
        <w:t>艾比湖</w:t>
      </w:r>
      <w:r>
        <w:rPr>
          <w:rFonts w:ascii="Times New Roman" w:eastAsia="宋体" w:hAnsi="Times New Roman" w:hint="eastAsia"/>
          <w:color w:val="auto"/>
          <w:spacing w:val="0"/>
          <w:sz w:val="24"/>
          <w:szCs w:val="24"/>
        </w:rPr>
        <w:t>，</w:t>
      </w:r>
      <w:r>
        <w:rPr>
          <w:rFonts w:ascii="Times New Roman" w:eastAsia="宋体" w:hAnsi="Times New Roman"/>
          <w:color w:val="auto"/>
          <w:spacing w:val="0"/>
          <w:sz w:val="24"/>
          <w:szCs w:val="24"/>
        </w:rPr>
        <w:t>全长</w:t>
      </w:r>
      <w:r>
        <w:rPr>
          <w:rFonts w:ascii="Times New Roman" w:eastAsia="宋体" w:hAnsi="Times New Roman"/>
          <w:color w:val="auto"/>
          <w:spacing w:val="0"/>
          <w:sz w:val="24"/>
          <w:szCs w:val="24"/>
        </w:rPr>
        <w:t>359.6km</w:t>
      </w:r>
      <w:r>
        <w:rPr>
          <w:rFonts w:ascii="Times New Roman" w:eastAsia="宋体" w:hAnsi="Times New Roman"/>
          <w:color w:val="auto"/>
          <w:spacing w:val="0"/>
          <w:sz w:val="24"/>
          <w:szCs w:val="24"/>
        </w:rPr>
        <w:t>，其中流经第七师垦区河长</w:t>
      </w:r>
      <w:r>
        <w:rPr>
          <w:rFonts w:ascii="Times New Roman" w:eastAsia="宋体" w:hAnsi="Times New Roman"/>
          <w:color w:val="auto"/>
          <w:spacing w:val="0"/>
          <w:sz w:val="24"/>
          <w:szCs w:val="24"/>
        </w:rPr>
        <w:t xml:space="preserve">84.0km </w:t>
      </w:r>
      <w:r>
        <w:rPr>
          <w:rFonts w:ascii="Times New Roman" w:eastAsia="宋体" w:hAnsi="Times New Roman"/>
          <w:color w:val="auto"/>
          <w:spacing w:val="0"/>
          <w:sz w:val="24"/>
          <w:szCs w:val="24"/>
        </w:rPr>
        <w:t>（不包括天山区草牧场的河道），是第七师辖区内最长的河流。</w:t>
      </w:r>
    </w:p>
    <w:p w:rsidR="00EE4502" w:rsidRDefault="00FD45A3">
      <w:pPr>
        <w:pStyle w:val="afc"/>
        <w:spacing w:line="360" w:lineRule="auto"/>
        <w:ind w:firstLine="480"/>
        <w:rPr>
          <w:rFonts w:ascii="Times New Roman" w:eastAsia="宋体" w:hAnsi="Times New Roman"/>
          <w:color w:val="auto"/>
          <w:spacing w:val="0"/>
          <w:sz w:val="24"/>
          <w:szCs w:val="24"/>
        </w:rPr>
      </w:pPr>
      <w:r>
        <w:rPr>
          <w:rFonts w:ascii="Times New Roman" w:eastAsia="宋体" w:hAnsi="Times New Roman" w:hint="eastAsia"/>
          <w:color w:val="auto"/>
          <w:spacing w:val="0"/>
          <w:sz w:val="24"/>
          <w:szCs w:val="24"/>
        </w:rPr>
        <w:t>本工程地表水评价范围内无地表径流。</w:t>
      </w:r>
    </w:p>
    <w:p w:rsidR="00EE4502" w:rsidRDefault="00FD45A3">
      <w:pPr>
        <w:pStyle w:val="41"/>
        <w:numPr>
          <w:ilvl w:val="3"/>
          <w:numId w:val="30"/>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bCs w:val="0"/>
          <w:sz w:val="24"/>
          <w:szCs w:val="24"/>
        </w:rPr>
        <w:t>地质</w:t>
      </w:r>
    </w:p>
    <w:p w:rsidR="00EE4502" w:rsidRDefault="00FD45A3">
      <w:pPr>
        <w:spacing w:line="360" w:lineRule="auto"/>
        <w:ind w:firstLineChars="200" w:firstLine="480"/>
        <w:rPr>
          <w:sz w:val="24"/>
        </w:rPr>
      </w:pPr>
      <w:r>
        <w:rPr>
          <w:rFonts w:hint="eastAsia"/>
          <w:sz w:val="24"/>
        </w:rPr>
        <w:t>春风油田构造位置位于车排子凸起的东部，区域构造上属于准噶尔盆地西部隆起的次一级构造单元，本工程位于春风油</w:t>
      </w:r>
      <w:r>
        <w:rPr>
          <w:rFonts w:hint="eastAsia"/>
          <w:sz w:val="24"/>
        </w:rPr>
        <w:t>田西北部。地层经钻井揭示，春风油田自下而上发育上古生界石炭系基岩、中生界侏罗系、白垩系吐谷鲁群组、新生界新近系沙湾组、塔西河组和独山子组以及第四系西域组。据区域背景资料，经地震、钻井资料证实，各层系之间为角度不整合接触，侏罗系地层直接覆盖在石炭系基岩之上</w:t>
      </w:r>
      <w:r>
        <w:rPr>
          <w:rFonts w:hint="eastAsia"/>
          <w:sz w:val="24"/>
        </w:rPr>
        <w:t>。</w:t>
      </w:r>
    </w:p>
    <w:p w:rsidR="00EE4502" w:rsidRDefault="00FD45A3">
      <w:pPr>
        <w:spacing w:line="360" w:lineRule="auto"/>
        <w:ind w:firstLineChars="200" w:firstLine="480"/>
        <w:rPr>
          <w:sz w:val="24"/>
        </w:rPr>
      </w:pPr>
      <w:r>
        <w:rPr>
          <w:rFonts w:hint="eastAsia"/>
          <w:sz w:val="24"/>
        </w:rPr>
        <w:t>第七师</w:t>
      </w:r>
      <w:r>
        <w:rPr>
          <w:sz w:val="24"/>
        </w:rPr>
        <w:t>主要依靠奎屯河水。地下水矿化度较高，达</w:t>
      </w:r>
      <w:r>
        <w:rPr>
          <w:sz w:val="24"/>
        </w:rPr>
        <w:t>2-50g/L</w:t>
      </w:r>
      <w:r>
        <w:rPr>
          <w:sz w:val="24"/>
        </w:rPr>
        <w:t>。深层承压水在</w:t>
      </w:r>
      <w:r>
        <w:rPr>
          <w:sz w:val="24"/>
        </w:rPr>
        <w:t>128</w:t>
      </w:r>
      <w:r>
        <w:rPr>
          <w:sz w:val="24"/>
        </w:rPr>
        <w:t>团属于富水性较弱的承压自流水亚区，现有</w:t>
      </w:r>
      <w:r>
        <w:rPr>
          <w:sz w:val="24"/>
        </w:rPr>
        <w:t>25</w:t>
      </w:r>
      <w:r>
        <w:rPr>
          <w:sz w:val="24"/>
        </w:rPr>
        <w:t>眼流井，流量只有</w:t>
      </w:r>
      <w:r>
        <w:rPr>
          <w:sz w:val="24"/>
        </w:rPr>
        <w:t>1-4m³/s</w:t>
      </w:r>
      <w:r>
        <w:rPr>
          <w:sz w:val="24"/>
        </w:rPr>
        <w:t>，不仅流量小，而且含氟、砷等有害元素较多。项目场地地下水为第四系松散岩类孔隙潜水，水位埋深</w:t>
      </w:r>
      <w:r>
        <w:rPr>
          <w:bCs/>
          <w:kern w:val="0"/>
          <w:sz w:val="24"/>
        </w:rPr>
        <w:t>170</w:t>
      </w:r>
      <w:r>
        <w:rPr>
          <w:kern w:val="0"/>
          <w:sz w:val="24"/>
        </w:rPr>
        <w:t>~</w:t>
      </w:r>
      <w:r>
        <w:rPr>
          <w:bCs/>
          <w:kern w:val="0"/>
          <w:sz w:val="24"/>
        </w:rPr>
        <w:t>240</w:t>
      </w:r>
      <w:r>
        <w:rPr>
          <w:sz w:val="24"/>
        </w:rPr>
        <w:t>m</w:t>
      </w:r>
      <w:r>
        <w:rPr>
          <w:sz w:val="24"/>
        </w:rPr>
        <w:t>，场地地下水位年变幅约</w:t>
      </w:r>
      <w:r>
        <w:rPr>
          <w:sz w:val="24"/>
        </w:rPr>
        <w:t>±0.5m</w:t>
      </w:r>
      <w:r>
        <w:rPr>
          <w:sz w:val="24"/>
        </w:rPr>
        <w:t>，地下水主要由河渠侧向、田间入渗、冰雪融水和大气降水为补给源，以蒸发和蒸腾为主要排泄方式。根据区域水文地质图可知，</w:t>
      </w:r>
      <w:r>
        <w:rPr>
          <w:rFonts w:hint="eastAsia"/>
          <w:sz w:val="24"/>
        </w:rPr>
        <w:t>工程区</w:t>
      </w:r>
      <w:r>
        <w:rPr>
          <w:sz w:val="24"/>
        </w:rPr>
        <w:t>地下水流向不明显，地下水流向总体上由南流向北。</w:t>
      </w:r>
    </w:p>
    <w:p w:rsidR="00EE4502" w:rsidRDefault="00FD45A3">
      <w:pPr>
        <w:pStyle w:val="22"/>
        <w:numPr>
          <w:ilvl w:val="1"/>
          <w:numId w:val="30"/>
        </w:numPr>
        <w:rPr>
          <w:spacing w:val="0"/>
          <w:w w:val="100"/>
        </w:rPr>
      </w:pPr>
      <w:bookmarkStart w:id="199" w:name="_Toc5128"/>
      <w:r>
        <w:rPr>
          <w:spacing w:val="0"/>
          <w:w w:val="100"/>
        </w:rPr>
        <w:t>生态环境现状与评价</w:t>
      </w:r>
      <w:bookmarkEnd w:id="199"/>
    </w:p>
    <w:p w:rsidR="00EE4502" w:rsidRDefault="00FD45A3">
      <w:pPr>
        <w:pStyle w:val="33"/>
        <w:numPr>
          <w:ilvl w:val="2"/>
          <w:numId w:val="30"/>
        </w:numPr>
        <w:spacing w:line="360" w:lineRule="auto"/>
        <w:ind w:left="0" w:firstLine="0"/>
        <w:rPr>
          <w:spacing w:val="0"/>
          <w:sz w:val="24"/>
          <w:szCs w:val="24"/>
        </w:rPr>
      </w:pPr>
      <w:r>
        <w:rPr>
          <w:spacing w:val="0"/>
          <w:sz w:val="24"/>
          <w:szCs w:val="24"/>
        </w:rPr>
        <w:t>区域生态功能区划</w:t>
      </w:r>
      <w:r>
        <w:rPr>
          <w:spacing w:val="0"/>
          <w:sz w:val="24"/>
          <w:szCs w:val="24"/>
        </w:rPr>
        <w:t xml:space="preserve"> </w:t>
      </w:r>
    </w:p>
    <w:p w:rsidR="00EE4502" w:rsidRDefault="00FD45A3">
      <w:pPr>
        <w:spacing w:line="360" w:lineRule="auto"/>
        <w:ind w:firstLineChars="200" w:firstLine="480"/>
        <w:rPr>
          <w:sz w:val="24"/>
        </w:rPr>
      </w:pPr>
      <w:r>
        <w:rPr>
          <w:rFonts w:hint="eastAsia"/>
          <w:sz w:val="24"/>
        </w:rPr>
        <w:t>本工程位于准噶尔盆地南部，行政区划隶属克拉玛依市及第七师胡杨河市，工程分布在中石化春风油田矿权内。</w:t>
      </w:r>
    </w:p>
    <w:p w:rsidR="00EE4502" w:rsidRDefault="00FD45A3">
      <w:pPr>
        <w:spacing w:line="360" w:lineRule="auto"/>
        <w:ind w:firstLineChars="200" w:firstLine="480"/>
        <w:rPr>
          <w:sz w:val="24"/>
        </w:rPr>
      </w:pPr>
      <w:r>
        <w:rPr>
          <w:rFonts w:hint="eastAsia"/>
          <w:sz w:val="24"/>
        </w:rPr>
        <w:t>根据《新疆生态功能区划》，工程区北部采油部分所在区域属于“克拉玛依石油工业基地环境保护生态功能区”，</w:t>
      </w:r>
      <w:r>
        <w:rPr>
          <w:rFonts w:hint="eastAsia"/>
          <w:sz w:val="24"/>
        </w:rPr>
        <w:t>南部注水部分所在区域属于“乌苏</w:t>
      </w:r>
      <w:r>
        <w:rPr>
          <w:rFonts w:hint="eastAsia"/>
          <w:sz w:val="24"/>
        </w:rPr>
        <w:t>-</w:t>
      </w:r>
      <w:r>
        <w:rPr>
          <w:rFonts w:hint="eastAsia"/>
          <w:sz w:val="24"/>
        </w:rPr>
        <w:t>石河子</w:t>
      </w:r>
      <w:r>
        <w:rPr>
          <w:rFonts w:hint="eastAsia"/>
          <w:sz w:val="24"/>
        </w:rPr>
        <w:t>-</w:t>
      </w:r>
      <w:r>
        <w:rPr>
          <w:rFonts w:hint="eastAsia"/>
          <w:sz w:val="24"/>
        </w:rPr>
        <w:t>昌吉城镇与绿洲农业生态功能区”</w:t>
      </w:r>
      <w:r>
        <w:rPr>
          <w:rFonts w:hint="eastAsia"/>
          <w:sz w:val="24"/>
        </w:rPr>
        <w:t>。</w:t>
      </w:r>
    </w:p>
    <w:p w:rsidR="00EE4502" w:rsidRDefault="00FD45A3">
      <w:pPr>
        <w:spacing w:line="360" w:lineRule="auto"/>
        <w:ind w:firstLineChars="200" w:firstLine="480"/>
        <w:rPr>
          <w:sz w:val="24"/>
        </w:rPr>
      </w:pPr>
      <w:r>
        <w:rPr>
          <w:rFonts w:hint="eastAsia"/>
          <w:sz w:val="24"/>
        </w:rPr>
        <w:t>根据《新疆生产建设兵团生态功能区划》，本工程南部注水部分所在区域属于“六、七、八师奎屯</w:t>
      </w:r>
      <w:r>
        <w:rPr>
          <w:rFonts w:hint="eastAsia"/>
          <w:sz w:val="24"/>
        </w:rPr>
        <w:t>-</w:t>
      </w:r>
      <w:r>
        <w:rPr>
          <w:rFonts w:hint="eastAsia"/>
          <w:sz w:val="24"/>
        </w:rPr>
        <w:t>石河子</w:t>
      </w:r>
      <w:r>
        <w:rPr>
          <w:rFonts w:hint="eastAsia"/>
          <w:sz w:val="24"/>
        </w:rPr>
        <w:t>-</w:t>
      </w:r>
      <w:r>
        <w:rPr>
          <w:rFonts w:hint="eastAsia"/>
          <w:sz w:val="24"/>
        </w:rPr>
        <w:t>五家渠城镇与绿洲生态功能区”</w:t>
      </w:r>
      <w:r>
        <w:rPr>
          <w:sz w:val="24"/>
        </w:rPr>
        <w:t>。</w:t>
      </w:r>
    </w:p>
    <w:p w:rsidR="00EE4502" w:rsidRDefault="00FD45A3">
      <w:pPr>
        <w:spacing w:line="360" w:lineRule="auto"/>
        <w:ind w:firstLineChars="200" w:firstLine="480"/>
        <w:rPr>
          <w:sz w:val="24"/>
        </w:rPr>
      </w:pPr>
      <w:r>
        <w:rPr>
          <w:sz w:val="24"/>
        </w:rPr>
        <w:t>拟建</w:t>
      </w:r>
      <w:r>
        <w:rPr>
          <w:rFonts w:hint="eastAsia"/>
          <w:sz w:val="24"/>
        </w:rPr>
        <w:t>工程区</w:t>
      </w:r>
      <w:r>
        <w:rPr>
          <w:sz w:val="24"/>
        </w:rPr>
        <w:t>所在区域生态功能区划具体见表</w:t>
      </w:r>
      <w:r>
        <w:rPr>
          <w:sz w:val="24"/>
        </w:rPr>
        <w:t>4-</w:t>
      </w:r>
      <w:r>
        <w:rPr>
          <w:rFonts w:hint="eastAsia"/>
          <w:sz w:val="24"/>
        </w:rPr>
        <w:t>2</w:t>
      </w:r>
      <w:r>
        <w:rPr>
          <w:sz w:val="24"/>
        </w:rPr>
        <w:t>-1</w:t>
      </w:r>
      <w:r>
        <w:rPr>
          <w:rFonts w:hint="eastAsia"/>
          <w:sz w:val="24"/>
        </w:rPr>
        <w:t>、表</w:t>
      </w:r>
      <w:r>
        <w:rPr>
          <w:rFonts w:hint="eastAsia"/>
          <w:sz w:val="24"/>
        </w:rPr>
        <w:t>4-</w:t>
      </w:r>
      <w:r>
        <w:rPr>
          <w:rFonts w:hint="eastAsia"/>
          <w:sz w:val="24"/>
        </w:rPr>
        <w:t>2</w:t>
      </w:r>
      <w:r>
        <w:rPr>
          <w:rFonts w:hint="eastAsia"/>
          <w:sz w:val="24"/>
        </w:rPr>
        <w:t>-</w:t>
      </w:r>
      <w:r>
        <w:rPr>
          <w:rFonts w:hint="eastAsia"/>
          <w:sz w:val="24"/>
        </w:rPr>
        <w:t>2</w:t>
      </w:r>
      <w:r>
        <w:rPr>
          <w:sz w:val="24"/>
        </w:rPr>
        <w:t>。</w:t>
      </w:r>
    </w:p>
    <w:p w:rsidR="00EE4502" w:rsidRDefault="00FD45A3">
      <w:pPr>
        <w:spacing w:line="360" w:lineRule="auto"/>
        <w:jc w:val="center"/>
        <w:rPr>
          <w:sz w:val="24"/>
        </w:rPr>
      </w:pPr>
      <w:r>
        <w:rPr>
          <w:rFonts w:ascii="黑体" w:eastAsia="黑体" w:hAnsi="黑体" w:cs="黑体" w:hint="eastAsia"/>
          <w:szCs w:val="21"/>
        </w:rPr>
        <w:t>表</w:t>
      </w:r>
      <w:r>
        <w:rPr>
          <w:rFonts w:ascii="黑体" w:eastAsia="黑体" w:hAnsi="黑体" w:cs="黑体" w:hint="eastAsia"/>
          <w:szCs w:val="21"/>
        </w:rPr>
        <w:t xml:space="preserve">4-2-1  </w:t>
      </w:r>
      <w:r>
        <w:rPr>
          <w:rFonts w:ascii="黑体" w:eastAsia="黑体" w:hAnsi="黑体" w:cs="黑体" w:hint="eastAsia"/>
          <w:szCs w:val="21"/>
        </w:rPr>
        <w:t>工程区生态功能区划表（《新疆生态功能区划》）</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
        <w:gridCol w:w="685"/>
        <w:gridCol w:w="3667"/>
        <w:gridCol w:w="3668"/>
      </w:tblGrid>
      <w:tr w:rsidR="00EE4502">
        <w:trPr>
          <w:trHeight w:val="397"/>
          <w:jc w:val="center"/>
        </w:trPr>
        <w:tc>
          <w:tcPr>
            <w:tcW w:w="292" w:type="pct"/>
            <w:vMerge w:val="restart"/>
            <w:vAlign w:val="center"/>
          </w:tcPr>
          <w:p w:rsidR="00EE4502" w:rsidRDefault="00FD45A3">
            <w:pPr>
              <w:widowControl/>
              <w:jc w:val="center"/>
              <w:rPr>
                <w:kern w:val="0"/>
                <w:szCs w:val="18"/>
              </w:rPr>
            </w:pPr>
            <w:r>
              <w:rPr>
                <w:kern w:val="0"/>
                <w:szCs w:val="18"/>
              </w:rPr>
              <w:lastRenderedPageBreak/>
              <w:t>生态功能分区单元</w:t>
            </w:r>
          </w:p>
        </w:tc>
        <w:tc>
          <w:tcPr>
            <w:tcW w:w="401" w:type="pct"/>
            <w:vAlign w:val="center"/>
          </w:tcPr>
          <w:p w:rsidR="00EE4502" w:rsidRDefault="00FD45A3">
            <w:pPr>
              <w:widowControl/>
              <w:jc w:val="center"/>
              <w:rPr>
                <w:kern w:val="0"/>
                <w:szCs w:val="18"/>
              </w:rPr>
            </w:pPr>
            <w:r>
              <w:rPr>
                <w:kern w:val="0"/>
                <w:szCs w:val="18"/>
              </w:rPr>
              <w:t>生态区</w:t>
            </w:r>
          </w:p>
        </w:tc>
        <w:tc>
          <w:tcPr>
            <w:tcW w:w="4305" w:type="pct"/>
            <w:gridSpan w:val="2"/>
            <w:vAlign w:val="center"/>
          </w:tcPr>
          <w:p w:rsidR="00EE4502" w:rsidRDefault="00FD45A3">
            <w:pPr>
              <w:widowControl/>
              <w:jc w:val="center"/>
              <w:rPr>
                <w:kern w:val="0"/>
                <w:szCs w:val="18"/>
              </w:rPr>
            </w:pPr>
            <w:r>
              <w:rPr>
                <w:rFonts w:hint="eastAsia"/>
                <w:kern w:val="0"/>
                <w:szCs w:val="18"/>
              </w:rPr>
              <w:t>II</w:t>
            </w:r>
            <w:r>
              <w:rPr>
                <w:kern w:val="0"/>
                <w:szCs w:val="18"/>
              </w:rPr>
              <w:t>准噶尔盆地温性荒漠与绿洲农业生态区</w:t>
            </w:r>
          </w:p>
        </w:tc>
      </w:tr>
      <w:tr w:rsidR="00EE4502">
        <w:trPr>
          <w:trHeight w:val="397"/>
          <w:jc w:val="center"/>
        </w:trPr>
        <w:tc>
          <w:tcPr>
            <w:tcW w:w="292" w:type="pct"/>
            <w:vMerge/>
            <w:vAlign w:val="center"/>
          </w:tcPr>
          <w:p w:rsidR="00EE4502" w:rsidRDefault="00EE4502">
            <w:pPr>
              <w:widowControl/>
              <w:jc w:val="center"/>
              <w:rPr>
                <w:kern w:val="0"/>
                <w:szCs w:val="18"/>
              </w:rPr>
            </w:pPr>
          </w:p>
        </w:tc>
        <w:tc>
          <w:tcPr>
            <w:tcW w:w="401" w:type="pct"/>
            <w:vAlign w:val="center"/>
          </w:tcPr>
          <w:p w:rsidR="00EE4502" w:rsidRDefault="00FD45A3">
            <w:pPr>
              <w:widowControl/>
              <w:jc w:val="center"/>
              <w:rPr>
                <w:kern w:val="0"/>
                <w:szCs w:val="18"/>
              </w:rPr>
            </w:pPr>
            <w:r>
              <w:rPr>
                <w:kern w:val="0"/>
                <w:szCs w:val="18"/>
              </w:rPr>
              <w:t>生态亚区</w:t>
            </w:r>
          </w:p>
        </w:tc>
        <w:tc>
          <w:tcPr>
            <w:tcW w:w="2152" w:type="pct"/>
            <w:vAlign w:val="center"/>
          </w:tcPr>
          <w:p w:rsidR="00EE4502" w:rsidRDefault="00FD45A3">
            <w:pPr>
              <w:widowControl/>
              <w:jc w:val="center"/>
              <w:rPr>
                <w:kern w:val="0"/>
                <w:szCs w:val="18"/>
              </w:rPr>
            </w:pPr>
            <w:r>
              <w:rPr>
                <w:rFonts w:hint="eastAsia"/>
                <w:kern w:val="0"/>
                <w:szCs w:val="18"/>
              </w:rPr>
              <w:t>II</w:t>
            </w:r>
            <w:r>
              <w:rPr>
                <w:rFonts w:hint="eastAsia"/>
                <w:kern w:val="0"/>
                <w:szCs w:val="18"/>
                <w:vertAlign w:val="subscript"/>
              </w:rPr>
              <w:t>1</w:t>
            </w:r>
            <w:r>
              <w:rPr>
                <w:kern w:val="0"/>
                <w:szCs w:val="18"/>
              </w:rPr>
              <w:t>准噶尔盆地西部荒漠及绿洲农业生态亚区</w:t>
            </w:r>
          </w:p>
        </w:tc>
        <w:tc>
          <w:tcPr>
            <w:tcW w:w="2152" w:type="pct"/>
            <w:vAlign w:val="center"/>
          </w:tcPr>
          <w:p w:rsidR="00EE4502" w:rsidRDefault="00FD45A3">
            <w:pPr>
              <w:widowControl/>
              <w:jc w:val="center"/>
              <w:rPr>
                <w:kern w:val="0"/>
                <w:szCs w:val="18"/>
              </w:rPr>
            </w:pPr>
            <w:r>
              <w:rPr>
                <w:kern w:val="0"/>
                <w:szCs w:val="18"/>
              </w:rPr>
              <w:t>II</w:t>
            </w:r>
            <w:r>
              <w:rPr>
                <w:rFonts w:hint="eastAsia"/>
                <w:kern w:val="0"/>
                <w:szCs w:val="18"/>
                <w:vertAlign w:val="subscript"/>
              </w:rPr>
              <w:t>5</w:t>
            </w:r>
            <w:r>
              <w:rPr>
                <w:kern w:val="0"/>
                <w:szCs w:val="18"/>
              </w:rPr>
              <w:t>准噶尔盆地南部荒漠绿洲农业生态亚区</w:t>
            </w:r>
          </w:p>
        </w:tc>
      </w:tr>
      <w:tr w:rsidR="00EE4502">
        <w:trPr>
          <w:trHeight w:val="397"/>
          <w:jc w:val="center"/>
        </w:trPr>
        <w:tc>
          <w:tcPr>
            <w:tcW w:w="292" w:type="pct"/>
            <w:vMerge/>
            <w:vAlign w:val="center"/>
          </w:tcPr>
          <w:p w:rsidR="00EE4502" w:rsidRDefault="00EE4502">
            <w:pPr>
              <w:widowControl/>
              <w:jc w:val="center"/>
              <w:rPr>
                <w:kern w:val="0"/>
                <w:szCs w:val="18"/>
              </w:rPr>
            </w:pPr>
          </w:p>
        </w:tc>
        <w:tc>
          <w:tcPr>
            <w:tcW w:w="401" w:type="pct"/>
            <w:vAlign w:val="center"/>
          </w:tcPr>
          <w:p w:rsidR="00EE4502" w:rsidRDefault="00FD45A3">
            <w:pPr>
              <w:widowControl/>
              <w:jc w:val="center"/>
              <w:rPr>
                <w:kern w:val="0"/>
                <w:szCs w:val="18"/>
              </w:rPr>
            </w:pPr>
            <w:r>
              <w:rPr>
                <w:kern w:val="0"/>
                <w:szCs w:val="18"/>
              </w:rPr>
              <w:t>生态功能区</w:t>
            </w:r>
          </w:p>
        </w:tc>
        <w:tc>
          <w:tcPr>
            <w:tcW w:w="2152" w:type="pct"/>
            <w:vAlign w:val="center"/>
          </w:tcPr>
          <w:p w:rsidR="00EE4502" w:rsidRDefault="00FD45A3">
            <w:pPr>
              <w:widowControl/>
              <w:jc w:val="center"/>
              <w:rPr>
                <w:kern w:val="0"/>
                <w:szCs w:val="18"/>
              </w:rPr>
            </w:pPr>
            <w:r>
              <w:rPr>
                <w:rFonts w:hint="eastAsia"/>
                <w:kern w:val="0"/>
                <w:szCs w:val="18"/>
              </w:rPr>
              <w:t>17.</w:t>
            </w:r>
            <w:r>
              <w:rPr>
                <w:kern w:val="0"/>
                <w:szCs w:val="18"/>
              </w:rPr>
              <w:t>克拉玛依石油工业基地环境保护生态功能区</w:t>
            </w:r>
          </w:p>
        </w:tc>
        <w:tc>
          <w:tcPr>
            <w:tcW w:w="2152" w:type="pct"/>
            <w:vAlign w:val="center"/>
          </w:tcPr>
          <w:p w:rsidR="00EE4502" w:rsidRDefault="00FD45A3">
            <w:pPr>
              <w:widowControl/>
              <w:jc w:val="center"/>
              <w:rPr>
                <w:kern w:val="0"/>
                <w:szCs w:val="18"/>
              </w:rPr>
            </w:pPr>
            <w:r>
              <w:rPr>
                <w:rFonts w:hint="eastAsia"/>
                <w:kern w:val="0"/>
                <w:szCs w:val="18"/>
              </w:rPr>
              <w:t>26.</w:t>
            </w:r>
            <w:r>
              <w:rPr>
                <w:rFonts w:hint="eastAsia"/>
                <w:kern w:val="0"/>
                <w:szCs w:val="18"/>
              </w:rPr>
              <w:t>乌苏</w:t>
            </w:r>
            <w:r>
              <w:rPr>
                <w:rFonts w:hint="eastAsia"/>
                <w:kern w:val="0"/>
                <w:szCs w:val="18"/>
              </w:rPr>
              <w:t>-</w:t>
            </w:r>
            <w:r>
              <w:rPr>
                <w:rFonts w:hint="eastAsia"/>
                <w:kern w:val="0"/>
                <w:szCs w:val="18"/>
              </w:rPr>
              <w:t>石河子</w:t>
            </w:r>
            <w:r>
              <w:rPr>
                <w:rFonts w:hint="eastAsia"/>
                <w:kern w:val="0"/>
                <w:szCs w:val="18"/>
              </w:rPr>
              <w:t>-</w:t>
            </w:r>
            <w:r>
              <w:rPr>
                <w:rFonts w:hint="eastAsia"/>
                <w:kern w:val="0"/>
                <w:szCs w:val="18"/>
              </w:rPr>
              <w:t>昌吉城镇与绿洲农业生态功能区</w:t>
            </w:r>
          </w:p>
        </w:tc>
      </w:tr>
      <w:tr w:rsidR="00EE4502">
        <w:trPr>
          <w:trHeight w:val="397"/>
          <w:jc w:val="center"/>
        </w:trPr>
        <w:tc>
          <w:tcPr>
            <w:tcW w:w="694" w:type="pct"/>
            <w:gridSpan w:val="2"/>
            <w:vAlign w:val="center"/>
          </w:tcPr>
          <w:p w:rsidR="00EE4502" w:rsidRDefault="00FD45A3">
            <w:pPr>
              <w:widowControl/>
              <w:jc w:val="center"/>
              <w:rPr>
                <w:kern w:val="0"/>
                <w:szCs w:val="18"/>
              </w:rPr>
            </w:pPr>
            <w:r>
              <w:rPr>
                <w:kern w:val="0"/>
                <w:szCs w:val="18"/>
              </w:rPr>
              <w:t>主要生态服务功能</w:t>
            </w:r>
          </w:p>
        </w:tc>
        <w:tc>
          <w:tcPr>
            <w:tcW w:w="2152" w:type="pct"/>
            <w:vAlign w:val="center"/>
          </w:tcPr>
          <w:p w:rsidR="00EE4502" w:rsidRDefault="00FD45A3">
            <w:pPr>
              <w:widowControl/>
              <w:jc w:val="center"/>
              <w:rPr>
                <w:kern w:val="0"/>
                <w:szCs w:val="18"/>
              </w:rPr>
            </w:pPr>
            <w:r>
              <w:rPr>
                <w:kern w:val="0"/>
                <w:szCs w:val="18"/>
              </w:rPr>
              <w:t>石油工业产品、人居环境、荒漠化控制</w:t>
            </w:r>
          </w:p>
        </w:tc>
        <w:tc>
          <w:tcPr>
            <w:tcW w:w="2152" w:type="pct"/>
            <w:vAlign w:val="center"/>
          </w:tcPr>
          <w:p w:rsidR="00EE4502" w:rsidRDefault="00FD45A3">
            <w:pPr>
              <w:widowControl/>
              <w:jc w:val="center"/>
              <w:rPr>
                <w:kern w:val="0"/>
                <w:szCs w:val="18"/>
              </w:rPr>
            </w:pPr>
            <w:r>
              <w:rPr>
                <w:rFonts w:hint="eastAsia"/>
                <w:kern w:val="0"/>
                <w:szCs w:val="18"/>
              </w:rPr>
              <w:t>工农畜产品生产、人居环境、荒漠化控制</w:t>
            </w:r>
          </w:p>
        </w:tc>
      </w:tr>
      <w:tr w:rsidR="00EE4502">
        <w:trPr>
          <w:trHeight w:val="397"/>
          <w:jc w:val="center"/>
        </w:trPr>
        <w:tc>
          <w:tcPr>
            <w:tcW w:w="694" w:type="pct"/>
            <w:gridSpan w:val="2"/>
            <w:vAlign w:val="center"/>
          </w:tcPr>
          <w:p w:rsidR="00EE4502" w:rsidRDefault="00FD45A3">
            <w:pPr>
              <w:widowControl/>
              <w:jc w:val="center"/>
              <w:rPr>
                <w:kern w:val="0"/>
                <w:szCs w:val="18"/>
              </w:rPr>
            </w:pPr>
            <w:r>
              <w:rPr>
                <w:kern w:val="0"/>
                <w:szCs w:val="18"/>
              </w:rPr>
              <w:t>主要生态环境问题</w:t>
            </w:r>
          </w:p>
        </w:tc>
        <w:tc>
          <w:tcPr>
            <w:tcW w:w="2152" w:type="pct"/>
            <w:vAlign w:val="center"/>
          </w:tcPr>
          <w:p w:rsidR="00EE4502" w:rsidRDefault="00FD45A3">
            <w:pPr>
              <w:widowControl/>
              <w:jc w:val="center"/>
              <w:rPr>
                <w:kern w:val="0"/>
                <w:szCs w:val="18"/>
              </w:rPr>
            </w:pPr>
            <w:r>
              <w:rPr>
                <w:kern w:val="0"/>
                <w:szCs w:val="18"/>
              </w:rPr>
              <w:t>工业污染，土地盐渍化和沼泽化、风沙危害</w:t>
            </w:r>
          </w:p>
        </w:tc>
        <w:tc>
          <w:tcPr>
            <w:tcW w:w="2152" w:type="pct"/>
            <w:vAlign w:val="center"/>
          </w:tcPr>
          <w:p w:rsidR="00EE4502" w:rsidRDefault="00FD45A3">
            <w:pPr>
              <w:widowControl/>
              <w:jc w:val="center"/>
              <w:rPr>
                <w:kern w:val="0"/>
                <w:szCs w:val="18"/>
              </w:rPr>
            </w:pPr>
            <w:r>
              <w:rPr>
                <w:rFonts w:hint="eastAsia"/>
                <w:kern w:val="0"/>
                <w:szCs w:val="18"/>
              </w:rPr>
              <w:t>地下水超采、荒漠植被退化、土地荒漠化与盐渍化、大气和水质及土壤污染、良田减少、绿洲外围受到沙漠化威胁</w:t>
            </w:r>
          </w:p>
        </w:tc>
      </w:tr>
      <w:tr w:rsidR="00EE4502">
        <w:trPr>
          <w:trHeight w:val="397"/>
          <w:jc w:val="center"/>
        </w:trPr>
        <w:tc>
          <w:tcPr>
            <w:tcW w:w="694" w:type="pct"/>
            <w:gridSpan w:val="2"/>
            <w:vAlign w:val="center"/>
          </w:tcPr>
          <w:p w:rsidR="00EE4502" w:rsidRDefault="00FD45A3">
            <w:pPr>
              <w:widowControl/>
              <w:jc w:val="center"/>
              <w:rPr>
                <w:kern w:val="0"/>
                <w:szCs w:val="18"/>
              </w:rPr>
            </w:pPr>
            <w:r>
              <w:rPr>
                <w:kern w:val="0"/>
                <w:szCs w:val="18"/>
              </w:rPr>
              <w:t>生态敏感因子敏感程度</w:t>
            </w:r>
          </w:p>
        </w:tc>
        <w:tc>
          <w:tcPr>
            <w:tcW w:w="2152" w:type="pct"/>
            <w:vAlign w:val="center"/>
          </w:tcPr>
          <w:p w:rsidR="00EE4502" w:rsidRDefault="00FD45A3">
            <w:pPr>
              <w:widowControl/>
              <w:jc w:val="center"/>
              <w:rPr>
                <w:kern w:val="0"/>
                <w:szCs w:val="18"/>
              </w:rPr>
            </w:pPr>
            <w:r>
              <w:rPr>
                <w:kern w:val="0"/>
                <w:szCs w:val="18"/>
              </w:rPr>
              <w:t>土地沙漠化轻度敏感，土壤侵蚀极度敏感</w:t>
            </w:r>
          </w:p>
        </w:tc>
        <w:tc>
          <w:tcPr>
            <w:tcW w:w="2152" w:type="pct"/>
            <w:vAlign w:val="center"/>
          </w:tcPr>
          <w:p w:rsidR="00EE4502" w:rsidRDefault="00FD45A3">
            <w:pPr>
              <w:widowControl/>
              <w:jc w:val="center"/>
              <w:rPr>
                <w:kern w:val="0"/>
                <w:szCs w:val="18"/>
              </w:rPr>
            </w:pPr>
            <w:r>
              <w:rPr>
                <w:rFonts w:hint="eastAsia"/>
                <w:kern w:val="0"/>
                <w:szCs w:val="18"/>
              </w:rPr>
              <w:t>生物多样性及其生境中度敏感，土壤盐渍化轻度敏感</w:t>
            </w:r>
          </w:p>
        </w:tc>
      </w:tr>
      <w:tr w:rsidR="00EE4502">
        <w:trPr>
          <w:trHeight w:val="397"/>
          <w:jc w:val="center"/>
        </w:trPr>
        <w:tc>
          <w:tcPr>
            <w:tcW w:w="694" w:type="pct"/>
            <w:gridSpan w:val="2"/>
            <w:vAlign w:val="center"/>
          </w:tcPr>
          <w:p w:rsidR="00EE4502" w:rsidRDefault="00FD45A3">
            <w:pPr>
              <w:widowControl/>
              <w:jc w:val="center"/>
              <w:rPr>
                <w:kern w:val="0"/>
                <w:szCs w:val="18"/>
              </w:rPr>
            </w:pPr>
            <w:r>
              <w:rPr>
                <w:kern w:val="0"/>
                <w:szCs w:val="18"/>
              </w:rPr>
              <w:t>主要保护目标</w:t>
            </w:r>
          </w:p>
        </w:tc>
        <w:tc>
          <w:tcPr>
            <w:tcW w:w="2152" w:type="pct"/>
            <w:vAlign w:val="center"/>
          </w:tcPr>
          <w:p w:rsidR="00EE4502" w:rsidRDefault="00FD45A3">
            <w:pPr>
              <w:widowControl/>
              <w:jc w:val="center"/>
              <w:rPr>
                <w:kern w:val="0"/>
                <w:szCs w:val="18"/>
              </w:rPr>
            </w:pPr>
            <w:r>
              <w:rPr>
                <w:kern w:val="0"/>
                <w:szCs w:val="18"/>
              </w:rPr>
              <w:t>改善城市生产生活环境，保护荒漠植被</w:t>
            </w:r>
          </w:p>
        </w:tc>
        <w:tc>
          <w:tcPr>
            <w:tcW w:w="2152" w:type="pct"/>
            <w:vAlign w:val="center"/>
          </w:tcPr>
          <w:p w:rsidR="00EE4502" w:rsidRDefault="00FD45A3">
            <w:pPr>
              <w:widowControl/>
              <w:jc w:val="center"/>
              <w:rPr>
                <w:kern w:val="0"/>
                <w:szCs w:val="18"/>
              </w:rPr>
            </w:pPr>
            <w:r>
              <w:rPr>
                <w:rFonts w:hint="eastAsia"/>
                <w:kern w:val="0"/>
                <w:szCs w:val="18"/>
              </w:rPr>
              <w:t>保护绿洲农田、保护城市大气和水环境质量、保护荒漠植被、保护农田土壤环境质量</w:t>
            </w:r>
          </w:p>
        </w:tc>
      </w:tr>
      <w:tr w:rsidR="00EE4502">
        <w:trPr>
          <w:trHeight w:val="397"/>
          <w:jc w:val="center"/>
        </w:trPr>
        <w:tc>
          <w:tcPr>
            <w:tcW w:w="694" w:type="pct"/>
            <w:gridSpan w:val="2"/>
            <w:vAlign w:val="center"/>
          </w:tcPr>
          <w:p w:rsidR="00EE4502" w:rsidRDefault="00FD45A3">
            <w:pPr>
              <w:widowControl/>
              <w:jc w:val="center"/>
              <w:rPr>
                <w:kern w:val="0"/>
                <w:szCs w:val="18"/>
              </w:rPr>
            </w:pPr>
            <w:r>
              <w:rPr>
                <w:kern w:val="0"/>
                <w:szCs w:val="18"/>
              </w:rPr>
              <w:t>主要保护措施</w:t>
            </w:r>
          </w:p>
        </w:tc>
        <w:tc>
          <w:tcPr>
            <w:tcW w:w="2152" w:type="pct"/>
            <w:vAlign w:val="center"/>
          </w:tcPr>
          <w:p w:rsidR="00EE4502" w:rsidRDefault="00FD45A3">
            <w:pPr>
              <w:widowControl/>
              <w:jc w:val="center"/>
              <w:rPr>
                <w:kern w:val="0"/>
                <w:szCs w:val="18"/>
              </w:rPr>
            </w:pPr>
            <w:r>
              <w:rPr>
                <w:kern w:val="0"/>
                <w:szCs w:val="18"/>
              </w:rPr>
              <w:t>加强污染治理、废弃物资源化利用、完善城市防护林体系、扩大城市绿地面积、加强油区植被保护和管理</w:t>
            </w:r>
          </w:p>
        </w:tc>
        <w:tc>
          <w:tcPr>
            <w:tcW w:w="2152" w:type="pct"/>
            <w:vAlign w:val="center"/>
          </w:tcPr>
          <w:p w:rsidR="00EE4502" w:rsidRDefault="00FD45A3">
            <w:pPr>
              <w:widowControl/>
              <w:jc w:val="center"/>
              <w:rPr>
                <w:kern w:val="0"/>
                <w:szCs w:val="18"/>
              </w:rPr>
            </w:pPr>
            <w:r>
              <w:rPr>
                <w:rFonts w:hint="eastAsia"/>
                <w:kern w:val="0"/>
                <w:szCs w:val="18"/>
              </w:rPr>
              <w:t>节水灌溉、严格控制地下水开采、污染物达标排放、提高城镇建设规划水平、控制城镇建设用地、荒漠草场禁牧休牧、完善防护林体系、加强农田投入品的使用管理</w:t>
            </w:r>
          </w:p>
        </w:tc>
      </w:tr>
      <w:tr w:rsidR="00EE4502">
        <w:trPr>
          <w:trHeight w:val="397"/>
          <w:jc w:val="center"/>
        </w:trPr>
        <w:tc>
          <w:tcPr>
            <w:tcW w:w="694" w:type="pct"/>
            <w:gridSpan w:val="2"/>
            <w:vAlign w:val="center"/>
          </w:tcPr>
          <w:p w:rsidR="00EE4502" w:rsidRDefault="00FD45A3">
            <w:pPr>
              <w:widowControl/>
              <w:jc w:val="center"/>
              <w:rPr>
                <w:kern w:val="0"/>
                <w:szCs w:val="18"/>
              </w:rPr>
            </w:pPr>
            <w:r>
              <w:rPr>
                <w:kern w:val="0"/>
                <w:szCs w:val="18"/>
              </w:rPr>
              <w:t>适宜发展方向</w:t>
            </w:r>
          </w:p>
        </w:tc>
        <w:tc>
          <w:tcPr>
            <w:tcW w:w="2152" w:type="pct"/>
            <w:vAlign w:val="center"/>
          </w:tcPr>
          <w:p w:rsidR="00EE4502" w:rsidRDefault="00FD45A3">
            <w:pPr>
              <w:widowControl/>
              <w:jc w:val="center"/>
              <w:rPr>
                <w:kern w:val="0"/>
                <w:szCs w:val="18"/>
              </w:rPr>
            </w:pPr>
            <w:r>
              <w:rPr>
                <w:kern w:val="0"/>
                <w:szCs w:val="18"/>
              </w:rPr>
              <w:t>建设现代化石油工业基地和良好的人居环境，实现经济、社会、环境和谐与健康发展</w:t>
            </w:r>
          </w:p>
        </w:tc>
        <w:tc>
          <w:tcPr>
            <w:tcW w:w="2152" w:type="pct"/>
            <w:vAlign w:val="center"/>
          </w:tcPr>
          <w:p w:rsidR="00EE4502" w:rsidRDefault="00FD45A3">
            <w:pPr>
              <w:widowControl/>
              <w:jc w:val="center"/>
              <w:rPr>
                <w:kern w:val="0"/>
                <w:szCs w:val="18"/>
              </w:rPr>
            </w:pPr>
            <w:r>
              <w:rPr>
                <w:rFonts w:hint="eastAsia"/>
                <w:kern w:val="0"/>
                <w:szCs w:val="18"/>
              </w:rPr>
              <w:t>发展优质高效农牧业，美化城市环境，建设健康、稳定的城市生态系统与人居环境</w:t>
            </w:r>
          </w:p>
        </w:tc>
      </w:tr>
    </w:tbl>
    <w:p w:rsidR="00EE4502" w:rsidRDefault="00FD45A3">
      <w:pPr>
        <w:spacing w:line="360" w:lineRule="auto"/>
        <w:ind w:firstLine="482"/>
        <w:rPr>
          <w:sz w:val="24"/>
        </w:rPr>
      </w:pPr>
      <w:r>
        <w:rPr>
          <w:rFonts w:hint="eastAsia"/>
          <w:sz w:val="24"/>
          <w:lang w:val="zh-CN"/>
        </w:rPr>
        <w:t>由表可知，工程</w:t>
      </w:r>
      <w:r>
        <w:rPr>
          <w:rFonts w:hint="eastAsia"/>
          <w:sz w:val="24"/>
        </w:rPr>
        <w:t>排</w:t>
      </w:r>
      <w:r>
        <w:rPr>
          <w:rFonts w:hint="eastAsia"/>
          <w:sz w:val="24"/>
        </w:rPr>
        <w:t>61</w:t>
      </w:r>
      <w:r>
        <w:rPr>
          <w:rFonts w:hint="eastAsia"/>
          <w:sz w:val="24"/>
        </w:rPr>
        <w:t>块</w:t>
      </w:r>
      <w:r>
        <w:rPr>
          <w:rFonts w:hint="eastAsia"/>
          <w:sz w:val="24"/>
          <w:lang w:val="zh-CN"/>
        </w:rPr>
        <w:t>所在的克拉玛依石油工业基地环境保护生态功能区主要生态服务功能为“石油工业产品、人居环境、荒漠化控制”。本工程属于陆地石油开采类项目，符合区域生态服务功能。</w:t>
      </w:r>
      <w:r>
        <w:rPr>
          <w:rFonts w:hint="eastAsia"/>
          <w:sz w:val="24"/>
        </w:rPr>
        <w:t>工程注水部分所在的乌苏</w:t>
      </w:r>
      <w:r>
        <w:rPr>
          <w:rFonts w:hint="eastAsia"/>
          <w:sz w:val="24"/>
        </w:rPr>
        <w:t>-</w:t>
      </w:r>
      <w:r>
        <w:rPr>
          <w:rFonts w:hint="eastAsia"/>
          <w:sz w:val="24"/>
        </w:rPr>
        <w:t>石河子</w:t>
      </w:r>
      <w:r>
        <w:rPr>
          <w:rFonts w:hint="eastAsia"/>
          <w:sz w:val="24"/>
        </w:rPr>
        <w:t>-</w:t>
      </w:r>
      <w:r>
        <w:rPr>
          <w:rFonts w:hint="eastAsia"/>
          <w:sz w:val="24"/>
        </w:rPr>
        <w:t>昌吉城镇与绿洲农业生态功能区主要生态服务功能为“工农畜产品生产、人居环境、荒漠化控制”；本工程严格控制占地，注水管线就近搭接区域已建注水管网，对区域工农畜产品生产、人居环境的影响较小。</w:t>
      </w:r>
    </w:p>
    <w:p w:rsidR="00EE4502" w:rsidRDefault="00FD45A3">
      <w:pPr>
        <w:spacing w:line="360" w:lineRule="auto"/>
        <w:jc w:val="center"/>
        <w:rPr>
          <w:rFonts w:eastAsia="黑体"/>
          <w:bCs/>
          <w:lang w:val="zh-CN"/>
        </w:rPr>
      </w:pPr>
      <w:r>
        <w:rPr>
          <w:rFonts w:eastAsia="黑体"/>
          <w:bCs/>
          <w:lang w:val="zh-CN"/>
        </w:rPr>
        <w:t>表</w:t>
      </w:r>
      <w:r>
        <w:rPr>
          <w:rFonts w:eastAsia="黑体" w:hint="eastAsia"/>
          <w:bCs/>
        </w:rPr>
        <w:t>4</w:t>
      </w:r>
      <w:r>
        <w:rPr>
          <w:rFonts w:eastAsia="黑体"/>
          <w:bCs/>
        </w:rPr>
        <w:t>-</w:t>
      </w:r>
      <w:r>
        <w:rPr>
          <w:rFonts w:eastAsia="黑体" w:hint="eastAsia"/>
          <w:bCs/>
        </w:rPr>
        <w:t>2</w:t>
      </w:r>
      <w:r>
        <w:rPr>
          <w:rFonts w:eastAsia="黑体"/>
          <w:bCs/>
        </w:rPr>
        <w:t>-</w:t>
      </w:r>
      <w:r>
        <w:rPr>
          <w:rFonts w:eastAsia="黑体" w:hint="eastAsia"/>
          <w:bCs/>
        </w:rPr>
        <w:t>2</w:t>
      </w:r>
      <w:r>
        <w:rPr>
          <w:rFonts w:eastAsia="黑体"/>
          <w:bCs/>
          <w:lang w:val="zh-CN"/>
        </w:rPr>
        <w:t xml:space="preserve">  </w:t>
      </w:r>
      <w:r>
        <w:rPr>
          <w:rFonts w:eastAsia="黑体" w:hint="eastAsia"/>
          <w:bCs/>
          <w:lang w:val="zh-CN"/>
        </w:rPr>
        <w:t>工程区</w:t>
      </w:r>
      <w:r>
        <w:rPr>
          <w:rFonts w:eastAsia="黑体"/>
          <w:bCs/>
          <w:lang w:val="zh-CN"/>
        </w:rPr>
        <w:t>生态功能区划简表</w:t>
      </w:r>
      <w:r>
        <w:rPr>
          <w:rFonts w:eastAsia="黑体" w:hint="eastAsia"/>
          <w:bCs/>
          <w:lang w:val="zh-CN"/>
        </w:rPr>
        <w:t>（</w:t>
      </w:r>
      <w:r>
        <w:rPr>
          <w:rFonts w:eastAsia="黑体" w:hint="eastAsia"/>
          <w:bCs/>
        </w:rPr>
        <w:t>《新疆生产建设兵团生态功能区划》</w:t>
      </w:r>
      <w:r>
        <w:rPr>
          <w:rFonts w:eastAsia="黑体" w:hint="eastAsia"/>
          <w:bCs/>
          <w:lang w:val="zh-CN"/>
        </w:rPr>
        <w:t>）</w:t>
      </w:r>
    </w:p>
    <w:tbl>
      <w:tblPr>
        <w:tblW w:w="48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926"/>
        <w:gridCol w:w="859"/>
        <w:gridCol w:w="751"/>
        <w:gridCol w:w="749"/>
        <w:gridCol w:w="1064"/>
        <w:gridCol w:w="926"/>
        <w:gridCol w:w="1243"/>
        <w:gridCol w:w="1105"/>
      </w:tblGrid>
      <w:tr w:rsidR="00EE4502">
        <w:trPr>
          <w:trHeight w:val="340"/>
          <w:jc w:val="center"/>
        </w:trPr>
        <w:tc>
          <w:tcPr>
            <w:tcW w:w="1444" w:type="pct"/>
            <w:gridSpan w:val="3"/>
            <w:vAlign w:val="center"/>
          </w:tcPr>
          <w:p w:rsidR="00EE4502" w:rsidRDefault="00FD45A3">
            <w:pPr>
              <w:jc w:val="center"/>
              <w:rPr>
                <w:szCs w:val="21"/>
              </w:rPr>
            </w:pPr>
            <w:r>
              <w:rPr>
                <w:szCs w:val="21"/>
              </w:rPr>
              <w:t>生态功能分区单元</w:t>
            </w:r>
          </w:p>
        </w:tc>
        <w:tc>
          <w:tcPr>
            <w:tcW w:w="457" w:type="pct"/>
            <w:vMerge w:val="restart"/>
            <w:vAlign w:val="center"/>
          </w:tcPr>
          <w:p w:rsidR="00EE4502" w:rsidRDefault="00FD45A3">
            <w:pPr>
              <w:jc w:val="center"/>
              <w:rPr>
                <w:szCs w:val="21"/>
              </w:rPr>
            </w:pPr>
            <w:r>
              <w:rPr>
                <w:szCs w:val="21"/>
              </w:rPr>
              <w:t>隶属师团场</w:t>
            </w:r>
          </w:p>
        </w:tc>
        <w:tc>
          <w:tcPr>
            <w:tcW w:w="456" w:type="pct"/>
            <w:vMerge w:val="restart"/>
            <w:vAlign w:val="center"/>
          </w:tcPr>
          <w:p w:rsidR="00EE4502" w:rsidRDefault="00FD45A3">
            <w:pPr>
              <w:jc w:val="center"/>
              <w:rPr>
                <w:szCs w:val="21"/>
              </w:rPr>
            </w:pPr>
            <w:r>
              <w:rPr>
                <w:szCs w:val="21"/>
              </w:rPr>
              <w:t>主要生态服务功能</w:t>
            </w:r>
          </w:p>
        </w:tc>
        <w:tc>
          <w:tcPr>
            <w:tcW w:w="647" w:type="pct"/>
            <w:vMerge w:val="restart"/>
            <w:vAlign w:val="center"/>
          </w:tcPr>
          <w:p w:rsidR="00EE4502" w:rsidRDefault="00FD45A3">
            <w:pPr>
              <w:jc w:val="center"/>
              <w:rPr>
                <w:szCs w:val="21"/>
              </w:rPr>
            </w:pPr>
            <w:r>
              <w:rPr>
                <w:szCs w:val="21"/>
              </w:rPr>
              <w:t>主要生态环境问题</w:t>
            </w:r>
          </w:p>
        </w:tc>
        <w:tc>
          <w:tcPr>
            <w:tcW w:w="563" w:type="pct"/>
            <w:vMerge w:val="restart"/>
            <w:vAlign w:val="center"/>
          </w:tcPr>
          <w:p w:rsidR="00EE4502" w:rsidRDefault="00FD45A3">
            <w:pPr>
              <w:jc w:val="center"/>
              <w:rPr>
                <w:szCs w:val="21"/>
              </w:rPr>
            </w:pPr>
            <w:r>
              <w:rPr>
                <w:szCs w:val="21"/>
              </w:rPr>
              <w:t>保护目标</w:t>
            </w:r>
          </w:p>
        </w:tc>
        <w:tc>
          <w:tcPr>
            <w:tcW w:w="756" w:type="pct"/>
            <w:vMerge w:val="restart"/>
            <w:vAlign w:val="center"/>
          </w:tcPr>
          <w:p w:rsidR="00EE4502" w:rsidRDefault="00FD45A3">
            <w:pPr>
              <w:jc w:val="center"/>
              <w:rPr>
                <w:szCs w:val="21"/>
              </w:rPr>
            </w:pPr>
            <w:r>
              <w:rPr>
                <w:szCs w:val="21"/>
              </w:rPr>
              <w:t>保护措施</w:t>
            </w:r>
          </w:p>
        </w:tc>
        <w:tc>
          <w:tcPr>
            <w:tcW w:w="672" w:type="pct"/>
            <w:vMerge w:val="restart"/>
            <w:vAlign w:val="center"/>
          </w:tcPr>
          <w:p w:rsidR="00EE4502" w:rsidRDefault="00FD45A3">
            <w:pPr>
              <w:jc w:val="center"/>
              <w:rPr>
                <w:szCs w:val="21"/>
              </w:rPr>
            </w:pPr>
            <w:r>
              <w:rPr>
                <w:szCs w:val="21"/>
              </w:rPr>
              <w:t>主要发展方向</w:t>
            </w:r>
          </w:p>
        </w:tc>
      </w:tr>
      <w:tr w:rsidR="00EE4502">
        <w:trPr>
          <w:trHeight w:val="340"/>
          <w:jc w:val="center"/>
        </w:trPr>
        <w:tc>
          <w:tcPr>
            <w:tcW w:w="359" w:type="pct"/>
            <w:vAlign w:val="center"/>
          </w:tcPr>
          <w:p w:rsidR="00EE4502" w:rsidRDefault="00FD45A3">
            <w:pPr>
              <w:jc w:val="center"/>
              <w:rPr>
                <w:szCs w:val="21"/>
              </w:rPr>
            </w:pPr>
            <w:r>
              <w:rPr>
                <w:szCs w:val="21"/>
              </w:rPr>
              <w:t>生态区</w:t>
            </w:r>
          </w:p>
        </w:tc>
        <w:tc>
          <w:tcPr>
            <w:tcW w:w="563" w:type="pct"/>
            <w:vAlign w:val="center"/>
          </w:tcPr>
          <w:p w:rsidR="00EE4502" w:rsidRDefault="00FD45A3">
            <w:pPr>
              <w:jc w:val="center"/>
              <w:rPr>
                <w:szCs w:val="21"/>
              </w:rPr>
            </w:pPr>
            <w:r>
              <w:rPr>
                <w:szCs w:val="21"/>
              </w:rPr>
              <w:t>生态亚区</w:t>
            </w:r>
          </w:p>
        </w:tc>
        <w:tc>
          <w:tcPr>
            <w:tcW w:w="521" w:type="pct"/>
            <w:vAlign w:val="center"/>
          </w:tcPr>
          <w:p w:rsidR="00EE4502" w:rsidRDefault="00FD45A3">
            <w:pPr>
              <w:jc w:val="center"/>
              <w:rPr>
                <w:szCs w:val="21"/>
              </w:rPr>
            </w:pPr>
            <w:r>
              <w:rPr>
                <w:szCs w:val="21"/>
              </w:rPr>
              <w:t>生态功能区</w:t>
            </w:r>
          </w:p>
        </w:tc>
        <w:tc>
          <w:tcPr>
            <w:tcW w:w="457" w:type="pct"/>
            <w:vMerge/>
            <w:vAlign w:val="center"/>
          </w:tcPr>
          <w:p w:rsidR="00EE4502" w:rsidRDefault="00EE4502">
            <w:pPr>
              <w:jc w:val="center"/>
              <w:rPr>
                <w:szCs w:val="21"/>
              </w:rPr>
            </w:pPr>
          </w:p>
        </w:tc>
        <w:tc>
          <w:tcPr>
            <w:tcW w:w="456" w:type="pct"/>
            <w:vMerge/>
            <w:vAlign w:val="center"/>
          </w:tcPr>
          <w:p w:rsidR="00EE4502" w:rsidRDefault="00EE4502">
            <w:pPr>
              <w:jc w:val="center"/>
              <w:rPr>
                <w:szCs w:val="21"/>
              </w:rPr>
            </w:pPr>
          </w:p>
        </w:tc>
        <w:tc>
          <w:tcPr>
            <w:tcW w:w="647" w:type="pct"/>
            <w:vMerge/>
            <w:vAlign w:val="center"/>
          </w:tcPr>
          <w:p w:rsidR="00EE4502" w:rsidRDefault="00EE4502">
            <w:pPr>
              <w:jc w:val="center"/>
              <w:rPr>
                <w:szCs w:val="21"/>
              </w:rPr>
            </w:pPr>
          </w:p>
        </w:tc>
        <w:tc>
          <w:tcPr>
            <w:tcW w:w="563" w:type="pct"/>
            <w:vMerge/>
            <w:vAlign w:val="center"/>
          </w:tcPr>
          <w:p w:rsidR="00EE4502" w:rsidRDefault="00EE4502">
            <w:pPr>
              <w:jc w:val="center"/>
              <w:rPr>
                <w:szCs w:val="21"/>
              </w:rPr>
            </w:pPr>
          </w:p>
        </w:tc>
        <w:tc>
          <w:tcPr>
            <w:tcW w:w="756" w:type="pct"/>
            <w:vMerge/>
            <w:vAlign w:val="center"/>
          </w:tcPr>
          <w:p w:rsidR="00EE4502" w:rsidRDefault="00EE4502">
            <w:pPr>
              <w:jc w:val="center"/>
              <w:rPr>
                <w:szCs w:val="21"/>
              </w:rPr>
            </w:pPr>
          </w:p>
        </w:tc>
        <w:tc>
          <w:tcPr>
            <w:tcW w:w="672" w:type="pct"/>
            <w:vMerge/>
            <w:vAlign w:val="center"/>
          </w:tcPr>
          <w:p w:rsidR="00EE4502" w:rsidRDefault="00EE4502">
            <w:pPr>
              <w:jc w:val="center"/>
              <w:rPr>
                <w:szCs w:val="21"/>
              </w:rPr>
            </w:pPr>
          </w:p>
        </w:tc>
      </w:tr>
      <w:tr w:rsidR="00EE4502">
        <w:trPr>
          <w:trHeight w:val="340"/>
          <w:jc w:val="center"/>
        </w:trPr>
        <w:tc>
          <w:tcPr>
            <w:tcW w:w="359" w:type="pct"/>
            <w:vAlign w:val="center"/>
          </w:tcPr>
          <w:p w:rsidR="00EE4502" w:rsidRDefault="00FD45A3">
            <w:pPr>
              <w:jc w:val="center"/>
              <w:rPr>
                <w:szCs w:val="21"/>
              </w:rPr>
            </w:pPr>
            <w:r>
              <w:rPr>
                <w:rFonts w:ascii="宋体" w:hAnsi="宋体" w:cs="宋体" w:hint="eastAsia"/>
                <w:bCs/>
                <w:szCs w:val="21"/>
              </w:rPr>
              <w:t>Ⅱ</w:t>
            </w:r>
            <w:r>
              <w:rPr>
                <w:bCs/>
                <w:szCs w:val="21"/>
              </w:rPr>
              <w:t>兵团准噶尔</w:t>
            </w:r>
            <w:r>
              <w:rPr>
                <w:bCs/>
                <w:szCs w:val="21"/>
              </w:rPr>
              <w:lastRenderedPageBreak/>
              <w:t>盆地温带干旱荒漠与绿洲生态区</w:t>
            </w:r>
          </w:p>
        </w:tc>
        <w:tc>
          <w:tcPr>
            <w:tcW w:w="563" w:type="pct"/>
            <w:vAlign w:val="center"/>
          </w:tcPr>
          <w:p w:rsidR="00EE4502" w:rsidRDefault="00FD45A3">
            <w:pPr>
              <w:jc w:val="center"/>
              <w:rPr>
                <w:szCs w:val="21"/>
              </w:rPr>
            </w:pPr>
            <w:r>
              <w:rPr>
                <w:rFonts w:ascii="宋体" w:hAnsi="宋体" w:cs="宋体" w:hint="eastAsia"/>
                <w:szCs w:val="21"/>
              </w:rPr>
              <w:lastRenderedPageBreak/>
              <w:t>Ⅱ</w:t>
            </w:r>
            <w:r>
              <w:rPr>
                <w:szCs w:val="21"/>
              </w:rPr>
              <w:t>3</w:t>
            </w:r>
            <w:r>
              <w:rPr>
                <w:szCs w:val="21"/>
              </w:rPr>
              <w:t>六、七、八、十二师准噶尔盆地南部灌</w:t>
            </w:r>
            <w:r>
              <w:rPr>
                <w:szCs w:val="21"/>
              </w:rPr>
              <w:lastRenderedPageBreak/>
              <w:t>木、半灌木荒漠、绿洲农业生态亚区</w:t>
            </w:r>
          </w:p>
        </w:tc>
        <w:tc>
          <w:tcPr>
            <w:tcW w:w="521" w:type="pct"/>
            <w:vAlign w:val="center"/>
          </w:tcPr>
          <w:p w:rsidR="00EE4502" w:rsidRDefault="00FD45A3">
            <w:pPr>
              <w:jc w:val="center"/>
              <w:rPr>
                <w:szCs w:val="21"/>
              </w:rPr>
            </w:pPr>
            <w:r>
              <w:rPr>
                <w:szCs w:val="21"/>
              </w:rPr>
              <w:lastRenderedPageBreak/>
              <w:t xml:space="preserve">11. </w:t>
            </w:r>
            <w:r>
              <w:rPr>
                <w:szCs w:val="21"/>
              </w:rPr>
              <w:t>六、七、八师奎屯</w:t>
            </w:r>
            <w:r>
              <w:rPr>
                <w:szCs w:val="21"/>
              </w:rPr>
              <w:t>—</w:t>
            </w:r>
            <w:r>
              <w:rPr>
                <w:szCs w:val="21"/>
              </w:rPr>
              <w:t>石河子</w:t>
            </w:r>
            <w:r>
              <w:rPr>
                <w:szCs w:val="21"/>
              </w:rPr>
              <w:t>—</w:t>
            </w:r>
            <w:r>
              <w:rPr>
                <w:szCs w:val="21"/>
              </w:rPr>
              <w:t>五家渠</w:t>
            </w:r>
            <w:r>
              <w:rPr>
                <w:szCs w:val="21"/>
              </w:rPr>
              <w:lastRenderedPageBreak/>
              <w:t>城镇与绿洲生态功能区</w:t>
            </w:r>
          </w:p>
        </w:tc>
        <w:tc>
          <w:tcPr>
            <w:tcW w:w="457" w:type="pct"/>
            <w:vAlign w:val="center"/>
          </w:tcPr>
          <w:p w:rsidR="00EE4502" w:rsidRDefault="00FD45A3">
            <w:pPr>
              <w:jc w:val="center"/>
              <w:rPr>
                <w:szCs w:val="21"/>
              </w:rPr>
            </w:pPr>
            <w:r>
              <w:rPr>
                <w:szCs w:val="21"/>
              </w:rPr>
              <w:lastRenderedPageBreak/>
              <w:t>农七师、农八师、农六师西线、中</w:t>
            </w:r>
            <w:r>
              <w:rPr>
                <w:szCs w:val="21"/>
              </w:rPr>
              <w:lastRenderedPageBreak/>
              <w:t>线垦区</w:t>
            </w:r>
          </w:p>
        </w:tc>
        <w:tc>
          <w:tcPr>
            <w:tcW w:w="456" w:type="pct"/>
            <w:vAlign w:val="center"/>
          </w:tcPr>
          <w:p w:rsidR="00EE4502" w:rsidRDefault="00FD45A3">
            <w:pPr>
              <w:jc w:val="center"/>
              <w:rPr>
                <w:szCs w:val="21"/>
              </w:rPr>
            </w:pPr>
            <w:r>
              <w:rPr>
                <w:szCs w:val="21"/>
              </w:rPr>
              <w:lastRenderedPageBreak/>
              <w:t>工农畜产品生产、人居环境、荒</w:t>
            </w:r>
            <w:r>
              <w:rPr>
                <w:szCs w:val="21"/>
              </w:rPr>
              <w:lastRenderedPageBreak/>
              <w:t>漠化控制</w:t>
            </w:r>
          </w:p>
        </w:tc>
        <w:tc>
          <w:tcPr>
            <w:tcW w:w="647" w:type="pct"/>
            <w:vAlign w:val="center"/>
          </w:tcPr>
          <w:p w:rsidR="00EE4502" w:rsidRDefault="00FD45A3">
            <w:pPr>
              <w:jc w:val="center"/>
              <w:rPr>
                <w:szCs w:val="21"/>
              </w:rPr>
            </w:pPr>
            <w:r>
              <w:rPr>
                <w:szCs w:val="21"/>
              </w:rPr>
              <w:lastRenderedPageBreak/>
              <w:t>地下水超采、荒漠植被退化、河流萎缩断流、土地</w:t>
            </w:r>
            <w:r>
              <w:rPr>
                <w:szCs w:val="21"/>
              </w:rPr>
              <w:lastRenderedPageBreak/>
              <w:t>荒漠化与盐渍化、工业污染严重、绿洲外围受到沙漠化威胁</w:t>
            </w:r>
          </w:p>
        </w:tc>
        <w:tc>
          <w:tcPr>
            <w:tcW w:w="563" w:type="pct"/>
            <w:vAlign w:val="center"/>
          </w:tcPr>
          <w:p w:rsidR="00EE4502" w:rsidRDefault="00FD45A3">
            <w:pPr>
              <w:jc w:val="center"/>
              <w:rPr>
                <w:szCs w:val="21"/>
              </w:rPr>
            </w:pPr>
            <w:r>
              <w:rPr>
                <w:szCs w:val="21"/>
              </w:rPr>
              <w:lastRenderedPageBreak/>
              <w:t>保护绿洲农田生态系统及农田土壤环境质</w:t>
            </w:r>
            <w:r>
              <w:rPr>
                <w:szCs w:val="21"/>
              </w:rPr>
              <w:lastRenderedPageBreak/>
              <w:t>量、保护城市环境质量、保护荒漠植被</w:t>
            </w:r>
          </w:p>
        </w:tc>
        <w:tc>
          <w:tcPr>
            <w:tcW w:w="756" w:type="pct"/>
            <w:vAlign w:val="center"/>
          </w:tcPr>
          <w:p w:rsidR="00EE4502" w:rsidRDefault="00FD45A3">
            <w:pPr>
              <w:jc w:val="center"/>
              <w:rPr>
                <w:szCs w:val="21"/>
              </w:rPr>
            </w:pPr>
            <w:r>
              <w:rPr>
                <w:szCs w:val="21"/>
              </w:rPr>
              <w:lastRenderedPageBreak/>
              <w:t>节水灌溉、合理控制地下水开采，各类污染物达标排放、提高</w:t>
            </w:r>
            <w:r>
              <w:rPr>
                <w:szCs w:val="21"/>
              </w:rPr>
              <w:lastRenderedPageBreak/>
              <w:t>城市环境质量，保护绿洲外围荒漠植被、完善防护林体系、加强农田投入品的使用管理</w:t>
            </w:r>
          </w:p>
        </w:tc>
        <w:tc>
          <w:tcPr>
            <w:tcW w:w="672" w:type="pct"/>
            <w:vAlign w:val="center"/>
          </w:tcPr>
          <w:p w:rsidR="00EE4502" w:rsidRDefault="00FD45A3">
            <w:pPr>
              <w:jc w:val="center"/>
              <w:rPr>
                <w:szCs w:val="21"/>
              </w:rPr>
            </w:pPr>
            <w:r>
              <w:rPr>
                <w:szCs w:val="21"/>
              </w:rPr>
              <w:lastRenderedPageBreak/>
              <w:t>发展以棉花为主导的优质、高效、特色农业；加快高标</w:t>
            </w:r>
            <w:r>
              <w:rPr>
                <w:szCs w:val="21"/>
              </w:rPr>
              <w:lastRenderedPageBreak/>
              <w:t>准城镇（市）化建设；发展和做强棉纺业、塑化节水器材产业、化工业等重要工业的建设</w:t>
            </w:r>
          </w:p>
        </w:tc>
      </w:tr>
    </w:tbl>
    <w:p w:rsidR="00EE4502" w:rsidRDefault="00FD45A3">
      <w:pPr>
        <w:spacing w:line="360" w:lineRule="auto"/>
        <w:ind w:firstLine="482"/>
      </w:pPr>
      <w:r>
        <w:rPr>
          <w:rFonts w:hint="eastAsia"/>
          <w:sz w:val="24"/>
        </w:rPr>
        <w:lastRenderedPageBreak/>
        <w:t>工程区东北紧邻准噶尔盆地固定、半固定沙漠，南侧接城镇与绿洲，西侧为开发多年的石油工业基地，区域中的梭梭、多枝柽柳等荒漠植被是保护绿洲景观及工业景观的天然屏障。工程所在区域植被主要为芦苇、灌木及农田。工程区不涉及依法划定的自然保护区、饮用水源保护区、风景名胜区、森林公园及其他需要特别保护的环境敏感区。区域开发须做到自然植被及农田的保护，重点关注荒漠化控制、生物多样性维护等工作。</w:t>
      </w:r>
    </w:p>
    <w:p w:rsidR="00EE4502" w:rsidRDefault="00EE4502">
      <w:pPr>
        <w:jc w:val="center"/>
        <w:rPr>
          <w:sz w:val="18"/>
          <w:szCs w:val="18"/>
        </w:rPr>
        <w:sectPr w:rsidR="00EE4502">
          <w:pgSz w:w="11906" w:h="16838"/>
          <w:pgMar w:top="1440" w:right="1800" w:bottom="1440" w:left="1800" w:header="850" w:footer="850" w:gutter="0"/>
          <w:pgNumType w:fmt="numberInDash"/>
          <w:cols w:space="720"/>
          <w:docGrid w:linePitch="326"/>
        </w:sectPr>
      </w:pPr>
    </w:p>
    <w:p w:rsidR="00EE4502" w:rsidRDefault="00EE4502">
      <w:pPr>
        <w:jc w:val="center"/>
        <w:rPr>
          <w:szCs w:val="21"/>
        </w:rPr>
      </w:pPr>
    </w:p>
    <w:p w:rsidR="00EE4502" w:rsidRDefault="00FD45A3">
      <w:pPr>
        <w:pStyle w:val="33"/>
        <w:numPr>
          <w:ilvl w:val="2"/>
          <w:numId w:val="30"/>
        </w:numPr>
        <w:spacing w:line="360" w:lineRule="auto"/>
        <w:ind w:left="0" w:firstLine="0"/>
        <w:rPr>
          <w:spacing w:val="0"/>
          <w:sz w:val="24"/>
          <w:szCs w:val="24"/>
        </w:rPr>
      </w:pPr>
      <w:r>
        <w:rPr>
          <w:rFonts w:hint="eastAsia"/>
          <w:spacing w:val="0"/>
          <w:sz w:val="24"/>
          <w:szCs w:val="24"/>
        </w:rPr>
        <w:t>生态系统类型</w:t>
      </w:r>
    </w:p>
    <w:p w:rsidR="00EE4502" w:rsidRDefault="00FD45A3">
      <w:pPr>
        <w:spacing w:line="360" w:lineRule="auto"/>
        <w:ind w:firstLine="522"/>
        <w:rPr>
          <w:sz w:val="24"/>
        </w:rPr>
      </w:pPr>
      <w:r>
        <w:rPr>
          <w:rFonts w:hint="eastAsia"/>
          <w:sz w:val="24"/>
        </w:rPr>
        <w:t>根据现场调查情况，按照《全国生态状况调查评估技术规范</w:t>
      </w:r>
      <w:r>
        <w:rPr>
          <w:rFonts w:hint="eastAsia"/>
          <w:sz w:val="24"/>
        </w:rPr>
        <w:t xml:space="preserve"> </w:t>
      </w:r>
      <w:r>
        <w:rPr>
          <w:rFonts w:hint="eastAsia"/>
          <w:sz w:val="24"/>
        </w:rPr>
        <w:t>生态系统遥感解译与野外核查》</w:t>
      </w:r>
      <w:r>
        <w:rPr>
          <w:rFonts w:hint="eastAsia"/>
          <w:sz w:val="24"/>
        </w:rPr>
        <w:t>(HJ</w:t>
      </w:r>
      <w:r>
        <w:rPr>
          <w:rFonts w:hint="eastAsia"/>
          <w:sz w:val="24"/>
        </w:rPr>
        <w:t>1166-2021</w:t>
      </w:r>
      <w:r>
        <w:rPr>
          <w:rFonts w:hint="eastAsia"/>
          <w:sz w:val="24"/>
        </w:rPr>
        <w:t>）</w:t>
      </w:r>
      <w:r>
        <w:rPr>
          <w:rFonts w:hint="eastAsia"/>
          <w:sz w:val="24"/>
        </w:rPr>
        <w:t>的分类方法，对评价区生态系统进行分类。调查显示，评价</w:t>
      </w:r>
      <w:r>
        <w:rPr>
          <w:rFonts w:hint="eastAsia"/>
          <w:sz w:val="24"/>
        </w:rPr>
        <w:t>区域北部</w:t>
      </w:r>
      <w:r>
        <w:rPr>
          <w:rFonts w:hint="eastAsia"/>
          <w:sz w:val="24"/>
        </w:rPr>
        <w:t>以</w:t>
      </w:r>
      <w:r>
        <w:rPr>
          <w:rFonts w:hint="eastAsia"/>
          <w:sz w:val="24"/>
        </w:rPr>
        <w:t>自然</w:t>
      </w:r>
      <w:r>
        <w:rPr>
          <w:rFonts w:hint="eastAsia"/>
          <w:sz w:val="24"/>
        </w:rPr>
        <w:t>生态系统为主</w:t>
      </w:r>
      <w:r>
        <w:rPr>
          <w:rFonts w:hint="eastAsia"/>
          <w:sz w:val="24"/>
        </w:rPr>
        <w:t>、</w:t>
      </w:r>
      <w:r>
        <w:rPr>
          <w:rFonts w:hint="eastAsia"/>
          <w:sz w:val="24"/>
        </w:rPr>
        <w:t>南部</w:t>
      </w:r>
      <w:r>
        <w:rPr>
          <w:rFonts w:hint="eastAsia"/>
          <w:sz w:val="24"/>
        </w:rPr>
        <w:t>以</w:t>
      </w:r>
      <w:r>
        <w:rPr>
          <w:rFonts w:hint="eastAsia"/>
          <w:sz w:val="24"/>
        </w:rPr>
        <w:t>人工</w:t>
      </w:r>
      <w:r>
        <w:rPr>
          <w:rFonts w:hint="eastAsia"/>
          <w:sz w:val="24"/>
        </w:rPr>
        <w:t>生态系统</w:t>
      </w:r>
      <w:r>
        <w:rPr>
          <w:rFonts w:hint="eastAsia"/>
          <w:sz w:val="24"/>
        </w:rPr>
        <w:t>为主</w:t>
      </w:r>
      <w:r>
        <w:rPr>
          <w:rFonts w:hint="eastAsia"/>
          <w:sz w:val="24"/>
        </w:rPr>
        <w:t>，区域生态系统结构简单，相嵌分布。具体见</w:t>
      </w:r>
      <w:r>
        <w:rPr>
          <w:sz w:val="24"/>
        </w:rPr>
        <w:t>表</w:t>
      </w:r>
      <w:r>
        <w:rPr>
          <w:sz w:val="24"/>
        </w:rPr>
        <w:t>4-</w:t>
      </w:r>
      <w:r>
        <w:rPr>
          <w:rFonts w:hint="eastAsia"/>
          <w:sz w:val="24"/>
        </w:rPr>
        <w:t>2</w:t>
      </w:r>
      <w:r>
        <w:rPr>
          <w:sz w:val="24"/>
        </w:rPr>
        <w:t>-</w:t>
      </w:r>
      <w:r>
        <w:rPr>
          <w:rFonts w:hint="eastAsia"/>
          <w:sz w:val="24"/>
        </w:rPr>
        <w:t>3</w:t>
      </w:r>
      <w:r>
        <w:rPr>
          <w:rFonts w:hint="eastAsia"/>
          <w:sz w:val="24"/>
        </w:rPr>
        <w:t>、</w:t>
      </w:r>
      <w:r>
        <w:rPr>
          <w:rFonts w:hint="eastAsia"/>
          <w:sz w:val="24"/>
        </w:rPr>
        <w:t>图</w:t>
      </w:r>
      <w:r>
        <w:rPr>
          <w:rFonts w:hint="eastAsia"/>
          <w:sz w:val="24"/>
        </w:rPr>
        <w:t>4</w:t>
      </w:r>
      <w:r>
        <w:rPr>
          <w:rFonts w:hint="eastAsia"/>
          <w:sz w:val="24"/>
        </w:rPr>
        <w:t>-</w:t>
      </w:r>
      <w:r>
        <w:rPr>
          <w:rFonts w:hint="eastAsia"/>
          <w:sz w:val="24"/>
        </w:rPr>
        <w:t>2-</w:t>
      </w:r>
      <w:r>
        <w:rPr>
          <w:rFonts w:hint="eastAsia"/>
          <w:sz w:val="24"/>
        </w:rPr>
        <w:t>3</w:t>
      </w:r>
      <w:r>
        <w:rPr>
          <w:sz w:val="24"/>
        </w:rPr>
        <w:t>。</w:t>
      </w:r>
    </w:p>
    <w:p w:rsidR="00EE4502" w:rsidRDefault="00FD45A3">
      <w:pPr>
        <w:spacing w:line="360" w:lineRule="auto"/>
        <w:jc w:val="center"/>
        <w:rPr>
          <w:rFonts w:eastAsia="黑体"/>
          <w:bCs/>
          <w:lang w:val="zh-CN"/>
        </w:rPr>
      </w:pPr>
      <w:r>
        <w:rPr>
          <w:rFonts w:eastAsia="黑体"/>
          <w:bCs/>
          <w:lang w:val="zh-CN"/>
        </w:rPr>
        <w:t>表</w:t>
      </w:r>
      <w:r>
        <w:rPr>
          <w:rFonts w:eastAsia="黑体"/>
          <w:bCs/>
          <w:lang w:val="zh-CN"/>
        </w:rPr>
        <w:t>4</w:t>
      </w:r>
      <w:r>
        <w:rPr>
          <w:rFonts w:eastAsia="黑体"/>
          <w:bCs/>
        </w:rPr>
        <w:t>-</w:t>
      </w:r>
      <w:r>
        <w:rPr>
          <w:rFonts w:eastAsia="黑体" w:hint="eastAsia"/>
          <w:bCs/>
        </w:rPr>
        <w:t>2-3</w:t>
      </w:r>
      <w:r>
        <w:rPr>
          <w:rFonts w:eastAsia="黑体"/>
          <w:bCs/>
          <w:lang w:val="zh-CN"/>
        </w:rPr>
        <w:t xml:space="preserve">  </w:t>
      </w:r>
      <w:r>
        <w:rPr>
          <w:rFonts w:eastAsia="黑体"/>
          <w:bCs/>
          <w:lang w:val="zh-CN"/>
        </w:rPr>
        <w:t>项目所在区域生态单元表</w:t>
      </w:r>
    </w:p>
    <w:tbl>
      <w:tblPr>
        <w:tblW w:w="5000" w:type="pct"/>
        <w:tblInd w:w="-108" w:type="dxa"/>
        <w:tblBorders>
          <w:top w:val="single" w:sz="8" w:space="0" w:color="auto"/>
          <w:bottom w:val="single" w:sz="8" w:space="0" w:color="auto"/>
          <w:insideH w:val="single" w:sz="8" w:space="0" w:color="auto"/>
          <w:insideV w:val="single" w:sz="8" w:space="0" w:color="auto"/>
        </w:tblBorders>
        <w:tblLook w:val="04A0" w:firstRow="1" w:lastRow="0" w:firstColumn="1" w:lastColumn="0" w:noHBand="0" w:noVBand="1"/>
      </w:tblPr>
      <w:tblGrid>
        <w:gridCol w:w="829"/>
        <w:gridCol w:w="1267"/>
        <w:gridCol w:w="1947"/>
        <w:gridCol w:w="3506"/>
        <w:gridCol w:w="973"/>
      </w:tblGrid>
      <w:tr w:rsidR="00EE4502">
        <w:trPr>
          <w:trHeight w:val="340"/>
          <w:tblHeader/>
        </w:trPr>
        <w:tc>
          <w:tcPr>
            <w:tcW w:w="486" w:type="pct"/>
            <w:vAlign w:val="center"/>
          </w:tcPr>
          <w:p w:rsidR="00EE4502" w:rsidRDefault="00FD45A3">
            <w:pPr>
              <w:jc w:val="center"/>
              <w:rPr>
                <w:sz w:val="18"/>
                <w:szCs w:val="18"/>
              </w:rPr>
            </w:pPr>
            <w:r>
              <w:rPr>
                <w:rFonts w:hint="eastAsia"/>
                <w:sz w:val="18"/>
                <w:szCs w:val="18"/>
              </w:rPr>
              <w:t>工程范围</w:t>
            </w:r>
          </w:p>
        </w:tc>
        <w:tc>
          <w:tcPr>
            <w:tcW w:w="743" w:type="pct"/>
            <w:vAlign w:val="center"/>
          </w:tcPr>
          <w:p w:rsidR="00EE4502" w:rsidRDefault="00FD45A3">
            <w:pPr>
              <w:jc w:val="center"/>
              <w:rPr>
                <w:sz w:val="18"/>
                <w:szCs w:val="18"/>
              </w:rPr>
            </w:pPr>
            <w:r>
              <w:rPr>
                <w:sz w:val="18"/>
                <w:szCs w:val="18"/>
              </w:rPr>
              <w:t>生态单元名称</w:t>
            </w:r>
          </w:p>
        </w:tc>
        <w:tc>
          <w:tcPr>
            <w:tcW w:w="1142" w:type="pct"/>
            <w:vAlign w:val="center"/>
          </w:tcPr>
          <w:p w:rsidR="00EE4502" w:rsidRDefault="00FD45A3">
            <w:pPr>
              <w:jc w:val="center"/>
              <w:rPr>
                <w:sz w:val="18"/>
                <w:szCs w:val="18"/>
              </w:rPr>
            </w:pPr>
            <w:r>
              <w:rPr>
                <w:sz w:val="18"/>
                <w:szCs w:val="18"/>
              </w:rPr>
              <w:t>土地利用类型</w:t>
            </w:r>
          </w:p>
        </w:tc>
        <w:tc>
          <w:tcPr>
            <w:tcW w:w="2056" w:type="pct"/>
            <w:vAlign w:val="center"/>
          </w:tcPr>
          <w:p w:rsidR="00EE4502" w:rsidRDefault="00FD45A3">
            <w:pPr>
              <w:jc w:val="center"/>
              <w:rPr>
                <w:sz w:val="18"/>
                <w:szCs w:val="18"/>
              </w:rPr>
            </w:pPr>
            <w:r>
              <w:rPr>
                <w:sz w:val="18"/>
                <w:szCs w:val="18"/>
              </w:rPr>
              <w:t>主要植被类型</w:t>
            </w:r>
          </w:p>
        </w:tc>
        <w:tc>
          <w:tcPr>
            <w:tcW w:w="571" w:type="pct"/>
            <w:vAlign w:val="center"/>
          </w:tcPr>
          <w:p w:rsidR="00EE4502" w:rsidRDefault="00FD45A3">
            <w:pPr>
              <w:jc w:val="center"/>
              <w:rPr>
                <w:sz w:val="18"/>
                <w:szCs w:val="18"/>
              </w:rPr>
            </w:pPr>
            <w:r>
              <w:rPr>
                <w:sz w:val="18"/>
                <w:szCs w:val="18"/>
              </w:rPr>
              <w:t>土壤类型</w:t>
            </w:r>
          </w:p>
        </w:tc>
      </w:tr>
      <w:tr w:rsidR="00EE4502">
        <w:trPr>
          <w:trHeight w:val="340"/>
          <w:tblHeader/>
        </w:trPr>
        <w:tc>
          <w:tcPr>
            <w:tcW w:w="486" w:type="pct"/>
            <w:vAlign w:val="center"/>
          </w:tcPr>
          <w:p w:rsidR="00EE4502" w:rsidRDefault="00FD45A3">
            <w:pPr>
              <w:jc w:val="center"/>
              <w:rPr>
                <w:sz w:val="18"/>
                <w:szCs w:val="18"/>
              </w:rPr>
            </w:pPr>
            <w:r>
              <w:rPr>
                <w:rFonts w:hint="eastAsia"/>
                <w:sz w:val="18"/>
                <w:szCs w:val="18"/>
              </w:rPr>
              <w:t>排</w:t>
            </w:r>
            <w:r>
              <w:rPr>
                <w:rFonts w:hint="eastAsia"/>
                <w:sz w:val="18"/>
                <w:szCs w:val="18"/>
              </w:rPr>
              <w:t>61</w:t>
            </w:r>
            <w:r>
              <w:rPr>
                <w:rFonts w:hint="eastAsia"/>
                <w:sz w:val="18"/>
                <w:szCs w:val="18"/>
              </w:rPr>
              <w:t>块等工程主体部分</w:t>
            </w:r>
          </w:p>
        </w:tc>
        <w:tc>
          <w:tcPr>
            <w:tcW w:w="743" w:type="pct"/>
            <w:vAlign w:val="center"/>
          </w:tcPr>
          <w:p w:rsidR="00EE4502" w:rsidRDefault="00FD45A3">
            <w:pPr>
              <w:jc w:val="center"/>
              <w:rPr>
                <w:sz w:val="18"/>
                <w:szCs w:val="18"/>
              </w:rPr>
            </w:pPr>
            <w:r>
              <w:rPr>
                <w:rFonts w:hint="eastAsia"/>
                <w:sz w:val="18"/>
                <w:szCs w:val="18"/>
              </w:rPr>
              <w:t>灌丛生态系统</w:t>
            </w:r>
          </w:p>
        </w:tc>
        <w:tc>
          <w:tcPr>
            <w:tcW w:w="1142" w:type="pct"/>
            <w:vAlign w:val="center"/>
          </w:tcPr>
          <w:p w:rsidR="00EE4502" w:rsidRDefault="00FD45A3">
            <w:pPr>
              <w:jc w:val="center"/>
              <w:rPr>
                <w:sz w:val="18"/>
                <w:szCs w:val="18"/>
              </w:rPr>
            </w:pPr>
            <w:r>
              <w:rPr>
                <w:rFonts w:hint="eastAsia"/>
                <w:sz w:val="18"/>
                <w:szCs w:val="18"/>
              </w:rPr>
              <w:t>灌木林地、其他草地</w:t>
            </w:r>
          </w:p>
        </w:tc>
        <w:tc>
          <w:tcPr>
            <w:tcW w:w="2056" w:type="pct"/>
            <w:vAlign w:val="center"/>
          </w:tcPr>
          <w:p w:rsidR="00EE4502" w:rsidRDefault="00FD45A3">
            <w:pPr>
              <w:jc w:val="center"/>
              <w:rPr>
                <w:sz w:val="18"/>
                <w:szCs w:val="18"/>
              </w:rPr>
            </w:pPr>
            <w:r>
              <w:rPr>
                <w:sz w:val="18"/>
                <w:szCs w:val="18"/>
              </w:rPr>
              <w:t>梭梭</w:t>
            </w:r>
            <w:r>
              <w:rPr>
                <w:rFonts w:hint="eastAsia"/>
                <w:sz w:val="18"/>
                <w:szCs w:val="18"/>
              </w:rPr>
              <w:t>、柽柳</w:t>
            </w:r>
            <w:r>
              <w:rPr>
                <w:sz w:val="18"/>
                <w:szCs w:val="18"/>
              </w:rPr>
              <w:t>和琵琶柴等</w:t>
            </w:r>
          </w:p>
        </w:tc>
        <w:tc>
          <w:tcPr>
            <w:tcW w:w="571" w:type="pct"/>
            <w:vAlign w:val="center"/>
          </w:tcPr>
          <w:p w:rsidR="00EE4502" w:rsidRDefault="00FD45A3">
            <w:pPr>
              <w:jc w:val="center"/>
              <w:rPr>
                <w:sz w:val="18"/>
                <w:szCs w:val="18"/>
              </w:rPr>
            </w:pPr>
            <w:r>
              <w:rPr>
                <w:rFonts w:hint="eastAsia"/>
                <w:sz w:val="18"/>
                <w:szCs w:val="18"/>
              </w:rPr>
              <w:t>灰漠土</w:t>
            </w:r>
          </w:p>
        </w:tc>
      </w:tr>
      <w:tr w:rsidR="00EE4502">
        <w:trPr>
          <w:trHeight w:val="340"/>
          <w:tblHeader/>
        </w:trPr>
        <w:tc>
          <w:tcPr>
            <w:tcW w:w="486" w:type="pct"/>
            <w:vAlign w:val="center"/>
          </w:tcPr>
          <w:p w:rsidR="00EE4502" w:rsidRDefault="00FD45A3">
            <w:pPr>
              <w:jc w:val="center"/>
              <w:rPr>
                <w:sz w:val="18"/>
                <w:szCs w:val="18"/>
              </w:rPr>
            </w:pPr>
            <w:r>
              <w:rPr>
                <w:rFonts w:hint="eastAsia"/>
                <w:sz w:val="18"/>
                <w:szCs w:val="18"/>
              </w:rPr>
              <w:t>排</w:t>
            </w:r>
            <w:r>
              <w:rPr>
                <w:rFonts w:hint="eastAsia"/>
                <w:sz w:val="18"/>
                <w:szCs w:val="18"/>
              </w:rPr>
              <w:t>7-</w:t>
            </w:r>
            <w:r>
              <w:rPr>
                <w:rFonts w:hint="eastAsia"/>
                <w:sz w:val="18"/>
                <w:szCs w:val="18"/>
              </w:rPr>
              <w:t>斜</w:t>
            </w:r>
            <w:r>
              <w:rPr>
                <w:rFonts w:hint="eastAsia"/>
                <w:sz w:val="18"/>
                <w:szCs w:val="18"/>
              </w:rPr>
              <w:t>17</w:t>
            </w:r>
          </w:p>
        </w:tc>
        <w:tc>
          <w:tcPr>
            <w:tcW w:w="743" w:type="pct"/>
            <w:vAlign w:val="center"/>
          </w:tcPr>
          <w:p w:rsidR="00EE4502" w:rsidRDefault="00FD45A3">
            <w:pPr>
              <w:jc w:val="center"/>
              <w:rPr>
                <w:sz w:val="18"/>
                <w:szCs w:val="18"/>
              </w:rPr>
            </w:pPr>
            <w:r>
              <w:rPr>
                <w:sz w:val="18"/>
                <w:szCs w:val="18"/>
              </w:rPr>
              <w:t>农田生态系统</w:t>
            </w:r>
          </w:p>
        </w:tc>
        <w:tc>
          <w:tcPr>
            <w:tcW w:w="1142" w:type="pct"/>
            <w:vAlign w:val="center"/>
          </w:tcPr>
          <w:p w:rsidR="00EE4502" w:rsidRDefault="00FD45A3">
            <w:pPr>
              <w:jc w:val="center"/>
              <w:rPr>
                <w:sz w:val="18"/>
                <w:szCs w:val="18"/>
              </w:rPr>
            </w:pPr>
            <w:r>
              <w:rPr>
                <w:sz w:val="18"/>
                <w:szCs w:val="18"/>
              </w:rPr>
              <w:t>水浇地、其他林地</w:t>
            </w:r>
            <w:r>
              <w:rPr>
                <w:rFonts w:hint="eastAsia"/>
                <w:sz w:val="18"/>
                <w:szCs w:val="18"/>
              </w:rPr>
              <w:t>、其他草地、公路用地、</w:t>
            </w:r>
            <w:r>
              <w:rPr>
                <w:sz w:val="18"/>
                <w:szCs w:val="18"/>
              </w:rPr>
              <w:t>盐碱地</w:t>
            </w:r>
          </w:p>
        </w:tc>
        <w:tc>
          <w:tcPr>
            <w:tcW w:w="2056" w:type="pct"/>
            <w:vAlign w:val="center"/>
          </w:tcPr>
          <w:p w:rsidR="00EE4502" w:rsidRDefault="00FD45A3">
            <w:pPr>
              <w:jc w:val="center"/>
              <w:rPr>
                <w:sz w:val="18"/>
                <w:szCs w:val="18"/>
              </w:rPr>
            </w:pPr>
            <w:r>
              <w:rPr>
                <w:rFonts w:hint="eastAsia"/>
                <w:sz w:val="18"/>
                <w:szCs w:val="18"/>
              </w:rPr>
              <w:t>农田</w:t>
            </w:r>
            <w:r>
              <w:rPr>
                <w:sz w:val="18"/>
                <w:szCs w:val="18"/>
              </w:rPr>
              <w:t>主要植被为棉花等人工种植作物，</w:t>
            </w:r>
            <w:r>
              <w:rPr>
                <w:rFonts w:hint="eastAsia"/>
                <w:sz w:val="18"/>
                <w:szCs w:val="18"/>
              </w:rPr>
              <w:t>未利用地植被主要为梭梭和琵琶柴等</w:t>
            </w:r>
          </w:p>
        </w:tc>
        <w:tc>
          <w:tcPr>
            <w:tcW w:w="571" w:type="pct"/>
            <w:vAlign w:val="center"/>
          </w:tcPr>
          <w:p w:rsidR="00EE4502" w:rsidRDefault="00FD45A3">
            <w:pPr>
              <w:jc w:val="center"/>
              <w:rPr>
                <w:sz w:val="18"/>
                <w:szCs w:val="18"/>
              </w:rPr>
            </w:pPr>
            <w:r>
              <w:rPr>
                <w:sz w:val="18"/>
                <w:szCs w:val="18"/>
              </w:rPr>
              <w:t>灰漠土</w:t>
            </w:r>
            <w:r>
              <w:rPr>
                <w:rFonts w:hint="eastAsia"/>
                <w:sz w:val="18"/>
                <w:szCs w:val="18"/>
              </w:rPr>
              <w:t>、</w:t>
            </w:r>
            <w:r>
              <w:rPr>
                <w:sz w:val="18"/>
                <w:szCs w:val="18"/>
              </w:rPr>
              <w:t>潮土</w:t>
            </w:r>
          </w:p>
        </w:tc>
      </w:tr>
      <w:tr w:rsidR="00EE4502">
        <w:trPr>
          <w:trHeight w:val="340"/>
          <w:tblHeader/>
        </w:trPr>
        <w:tc>
          <w:tcPr>
            <w:tcW w:w="486" w:type="pct"/>
            <w:vAlign w:val="center"/>
          </w:tcPr>
          <w:p w:rsidR="00EE4502" w:rsidRDefault="00FD45A3">
            <w:pPr>
              <w:jc w:val="center"/>
              <w:rPr>
                <w:sz w:val="18"/>
                <w:szCs w:val="18"/>
              </w:rPr>
            </w:pPr>
            <w:r>
              <w:rPr>
                <w:rFonts w:hint="eastAsia"/>
                <w:sz w:val="18"/>
                <w:szCs w:val="18"/>
              </w:rPr>
              <w:t>排</w:t>
            </w:r>
            <w:r>
              <w:rPr>
                <w:rFonts w:hint="eastAsia"/>
                <w:sz w:val="18"/>
                <w:szCs w:val="18"/>
              </w:rPr>
              <w:t>71</w:t>
            </w:r>
            <w:r>
              <w:rPr>
                <w:rFonts w:hint="eastAsia"/>
                <w:sz w:val="18"/>
                <w:szCs w:val="18"/>
              </w:rPr>
              <w:t>南部</w:t>
            </w:r>
          </w:p>
        </w:tc>
        <w:tc>
          <w:tcPr>
            <w:tcW w:w="743" w:type="pct"/>
            <w:vAlign w:val="center"/>
          </w:tcPr>
          <w:p w:rsidR="00EE4502" w:rsidRDefault="00FD45A3">
            <w:pPr>
              <w:jc w:val="center"/>
              <w:rPr>
                <w:sz w:val="18"/>
                <w:szCs w:val="18"/>
              </w:rPr>
            </w:pPr>
            <w:r>
              <w:rPr>
                <w:rFonts w:hint="eastAsia"/>
                <w:sz w:val="18"/>
                <w:szCs w:val="18"/>
              </w:rPr>
              <w:t>城镇生态系统</w:t>
            </w:r>
          </w:p>
        </w:tc>
        <w:tc>
          <w:tcPr>
            <w:tcW w:w="1142" w:type="pct"/>
            <w:vAlign w:val="center"/>
          </w:tcPr>
          <w:p w:rsidR="00EE4502" w:rsidRDefault="00FD45A3">
            <w:pPr>
              <w:jc w:val="center"/>
              <w:rPr>
                <w:sz w:val="18"/>
                <w:szCs w:val="18"/>
              </w:rPr>
            </w:pPr>
            <w:r>
              <w:rPr>
                <w:sz w:val="18"/>
                <w:szCs w:val="18"/>
              </w:rPr>
              <w:t>公路用地、盐碱地</w:t>
            </w:r>
          </w:p>
        </w:tc>
        <w:tc>
          <w:tcPr>
            <w:tcW w:w="2056" w:type="pct"/>
            <w:vAlign w:val="center"/>
          </w:tcPr>
          <w:p w:rsidR="00EE4502" w:rsidRDefault="00FD45A3">
            <w:pPr>
              <w:jc w:val="center"/>
              <w:rPr>
                <w:sz w:val="18"/>
                <w:szCs w:val="18"/>
              </w:rPr>
            </w:pPr>
            <w:r>
              <w:rPr>
                <w:rFonts w:hint="eastAsia"/>
                <w:sz w:val="18"/>
                <w:szCs w:val="18"/>
              </w:rPr>
              <w:t>主要为胡杨河经济技术开发区用地为主，自然植被稀疏</w:t>
            </w:r>
          </w:p>
        </w:tc>
        <w:tc>
          <w:tcPr>
            <w:tcW w:w="571" w:type="pct"/>
            <w:vAlign w:val="center"/>
          </w:tcPr>
          <w:p w:rsidR="00EE4502" w:rsidRDefault="00FD45A3">
            <w:pPr>
              <w:jc w:val="center"/>
              <w:rPr>
                <w:sz w:val="18"/>
                <w:szCs w:val="18"/>
              </w:rPr>
            </w:pPr>
            <w:r>
              <w:rPr>
                <w:sz w:val="18"/>
                <w:szCs w:val="18"/>
              </w:rPr>
              <w:t>灰漠土</w:t>
            </w:r>
          </w:p>
        </w:tc>
      </w:tr>
    </w:tbl>
    <w:p w:rsidR="00EE4502" w:rsidRDefault="00EE4502">
      <w:pPr>
        <w:jc w:val="center"/>
      </w:pPr>
    </w:p>
    <w:p w:rsidR="00EE4502" w:rsidRDefault="00FD45A3">
      <w:pPr>
        <w:jc w:val="center"/>
        <w:rPr>
          <w:rFonts w:ascii="黑体" w:eastAsia="黑体" w:hAnsi="黑体" w:cs="黑体"/>
          <w:szCs w:val="21"/>
        </w:rPr>
      </w:pPr>
      <w:r>
        <w:rPr>
          <w:rFonts w:ascii="黑体" w:eastAsia="黑体" w:hAnsi="黑体" w:cs="黑体" w:hint="eastAsia"/>
          <w:szCs w:val="21"/>
        </w:rPr>
        <w:t>图</w:t>
      </w:r>
      <w:r>
        <w:rPr>
          <w:rFonts w:ascii="黑体" w:eastAsia="黑体" w:hAnsi="黑体" w:cs="黑体" w:hint="eastAsia"/>
          <w:szCs w:val="21"/>
        </w:rPr>
        <w:t>4-2-3</w:t>
      </w:r>
      <w:r>
        <w:rPr>
          <w:rFonts w:ascii="黑体" w:eastAsia="黑体" w:hAnsi="黑体" w:cs="黑体" w:hint="eastAsia"/>
          <w:szCs w:val="21"/>
        </w:rPr>
        <w:t xml:space="preserve">  </w:t>
      </w:r>
      <w:r>
        <w:rPr>
          <w:rFonts w:ascii="黑体" w:eastAsia="黑体" w:hAnsi="黑体" w:cs="黑体" w:hint="eastAsia"/>
          <w:szCs w:val="21"/>
        </w:rPr>
        <w:t>生态系统类型图</w:t>
      </w:r>
    </w:p>
    <w:p w:rsidR="00EE4502" w:rsidRDefault="00FD45A3">
      <w:pPr>
        <w:pStyle w:val="33"/>
        <w:numPr>
          <w:ilvl w:val="2"/>
          <w:numId w:val="30"/>
        </w:numPr>
        <w:spacing w:line="360" w:lineRule="auto"/>
        <w:ind w:left="0" w:firstLine="0"/>
        <w:rPr>
          <w:spacing w:val="0"/>
          <w:sz w:val="24"/>
          <w:szCs w:val="24"/>
        </w:rPr>
      </w:pPr>
      <w:r>
        <w:rPr>
          <w:spacing w:val="0"/>
          <w:sz w:val="24"/>
          <w:szCs w:val="24"/>
        </w:rPr>
        <w:t>生态系统结构和特征</w:t>
      </w:r>
    </w:p>
    <w:p w:rsidR="00EE4502" w:rsidRDefault="00FD45A3">
      <w:pPr>
        <w:spacing w:line="360" w:lineRule="auto"/>
        <w:ind w:firstLine="522"/>
        <w:rPr>
          <w:sz w:val="24"/>
        </w:rPr>
      </w:pPr>
      <w:r>
        <w:rPr>
          <w:sz w:val="24"/>
        </w:rPr>
        <w:t>评价区地处准噶尔盆地西南部，该区域为荒漠</w:t>
      </w:r>
      <w:r>
        <w:rPr>
          <w:sz w:val="24"/>
        </w:rPr>
        <w:t>-</w:t>
      </w:r>
      <w:r>
        <w:rPr>
          <w:sz w:val="24"/>
        </w:rPr>
        <w:t>绿洲</w:t>
      </w:r>
      <w:r>
        <w:rPr>
          <w:sz w:val="24"/>
        </w:rPr>
        <w:t>-</w:t>
      </w:r>
      <w:r>
        <w:rPr>
          <w:sz w:val="24"/>
        </w:rPr>
        <w:t>工业基地交错带，</w:t>
      </w:r>
      <w:r>
        <w:rPr>
          <w:rFonts w:hint="eastAsia"/>
          <w:sz w:val="24"/>
        </w:rPr>
        <w:t>海拔</w:t>
      </w:r>
      <w:r>
        <w:rPr>
          <w:sz w:val="24"/>
        </w:rPr>
        <w:t>275~290m</w:t>
      </w:r>
      <w:r>
        <w:rPr>
          <w:sz w:val="24"/>
        </w:rPr>
        <w:t>，地势较为平坦，生态系统的稳定性主要取决于植被、土壤及其复合体的稳定性。评价区域生态环境特点表现为：无明显的地域分异特征；土壤、植被类型单一，主要自然植被类型为梭梭</w:t>
      </w:r>
      <w:r>
        <w:rPr>
          <w:rFonts w:hint="eastAsia"/>
          <w:sz w:val="24"/>
        </w:rPr>
        <w:t>、琵琶柴、驼绒藜</w:t>
      </w:r>
      <w:r>
        <w:rPr>
          <w:sz w:val="24"/>
        </w:rPr>
        <w:t>等植被</w:t>
      </w:r>
      <w:r>
        <w:rPr>
          <w:rFonts w:hint="eastAsia"/>
          <w:sz w:val="24"/>
        </w:rPr>
        <w:t>，主要人工植被为种植的棉花等农作物</w:t>
      </w:r>
      <w:r>
        <w:rPr>
          <w:sz w:val="24"/>
        </w:rPr>
        <w:t>；主要土壤类型为</w:t>
      </w:r>
      <w:r>
        <w:rPr>
          <w:rFonts w:hint="eastAsia"/>
          <w:sz w:val="24"/>
        </w:rPr>
        <w:t>草甸土和</w:t>
      </w:r>
      <w:r>
        <w:rPr>
          <w:sz w:val="24"/>
        </w:rPr>
        <w:t>灰漠土</w:t>
      </w:r>
      <w:r>
        <w:rPr>
          <w:rFonts w:hint="eastAsia"/>
          <w:sz w:val="24"/>
        </w:rPr>
        <w:t xml:space="preserve"> </w:t>
      </w:r>
      <w:r>
        <w:rPr>
          <w:sz w:val="24"/>
        </w:rPr>
        <w:t>；从该区域整体情况来看，生态环境属中度脆弱区。</w:t>
      </w:r>
    </w:p>
    <w:p w:rsidR="00EE4502" w:rsidRDefault="00FD45A3">
      <w:pPr>
        <w:pStyle w:val="33"/>
        <w:numPr>
          <w:ilvl w:val="2"/>
          <w:numId w:val="30"/>
        </w:numPr>
        <w:spacing w:line="360" w:lineRule="auto"/>
        <w:ind w:left="0" w:firstLine="0"/>
        <w:rPr>
          <w:spacing w:val="0"/>
          <w:sz w:val="24"/>
          <w:szCs w:val="24"/>
        </w:rPr>
      </w:pPr>
      <w:r>
        <w:rPr>
          <w:spacing w:val="0"/>
          <w:sz w:val="24"/>
          <w:szCs w:val="24"/>
        </w:rPr>
        <w:t>土地利用类型现状与评价</w:t>
      </w:r>
    </w:p>
    <w:p w:rsidR="00EE4502" w:rsidRDefault="00FD45A3">
      <w:pPr>
        <w:spacing w:line="360" w:lineRule="auto"/>
        <w:ind w:firstLine="522"/>
        <w:rPr>
          <w:sz w:val="24"/>
        </w:rPr>
      </w:pPr>
      <w:r>
        <w:rPr>
          <w:sz w:val="24"/>
        </w:rPr>
        <w:t>参照全国土地利用现状调查技术规程、全国土地利用现状分类系统，根据实地调查和</w:t>
      </w:r>
      <w:r>
        <w:rPr>
          <w:sz w:val="24"/>
        </w:rPr>
        <w:t>Landsat</w:t>
      </w:r>
      <w:r>
        <w:rPr>
          <w:rFonts w:hint="eastAsia"/>
          <w:sz w:val="24"/>
        </w:rPr>
        <w:t>_</w:t>
      </w:r>
      <w:r>
        <w:rPr>
          <w:sz w:val="24"/>
        </w:rPr>
        <w:t>TM</w:t>
      </w:r>
      <w:r>
        <w:rPr>
          <w:sz w:val="24"/>
        </w:rPr>
        <w:t>、</w:t>
      </w:r>
      <w:r>
        <w:rPr>
          <w:sz w:val="24"/>
        </w:rPr>
        <w:t>OLI</w:t>
      </w:r>
      <w:r>
        <w:rPr>
          <w:sz w:val="24"/>
        </w:rPr>
        <w:t>影像数据的解读分类。</w:t>
      </w:r>
      <w:r>
        <w:rPr>
          <w:rFonts w:hint="eastAsia"/>
          <w:sz w:val="24"/>
        </w:rPr>
        <w:t>根据遥感调查结果，采用图形叠加法对评价范围内的生态环境现状进行分析，即将遥感影像与</w:t>
      </w:r>
      <w:r>
        <w:rPr>
          <w:rFonts w:hint="eastAsia"/>
          <w:sz w:val="24"/>
        </w:rPr>
        <w:t>工程</w:t>
      </w:r>
      <w:r>
        <w:rPr>
          <w:rFonts w:hint="eastAsia"/>
          <w:sz w:val="24"/>
        </w:rPr>
        <w:t>进行叠加，根据《土地利用现状分类》（</w:t>
      </w:r>
      <w:r>
        <w:rPr>
          <w:rFonts w:hint="eastAsia"/>
          <w:sz w:val="24"/>
        </w:rPr>
        <w:t>GB/T21010-2017</w:t>
      </w:r>
      <w:r>
        <w:rPr>
          <w:rFonts w:hint="eastAsia"/>
          <w:sz w:val="24"/>
        </w:rPr>
        <w:t>），以确定工程区内的土地利用类型，并统计各类土地利用类型的面积，将成果绘制成土地利用现状图</w:t>
      </w:r>
      <w:r>
        <w:rPr>
          <w:sz w:val="24"/>
        </w:rPr>
        <w:t>。评价区域土地利用现状见表</w:t>
      </w:r>
      <w:r>
        <w:rPr>
          <w:sz w:val="24"/>
        </w:rPr>
        <w:t>4-</w:t>
      </w:r>
      <w:r>
        <w:rPr>
          <w:rFonts w:hint="eastAsia"/>
          <w:sz w:val="24"/>
        </w:rPr>
        <w:t>2</w:t>
      </w:r>
      <w:r>
        <w:rPr>
          <w:sz w:val="24"/>
        </w:rPr>
        <w:t>-</w:t>
      </w:r>
      <w:r>
        <w:rPr>
          <w:rFonts w:hint="eastAsia"/>
          <w:sz w:val="24"/>
        </w:rPr>
        <w:t>4</w:t>
      </w:r>
      <w:r>
        <w:rPr>
          <w:rFonts w:hint="eastAsia"/>
          <w:sz w:val="24"/>
        </w:rPr>
        <w:t>。</w:t>
      </w:r>
    </w:p>
    <w:p w:rsidR="00EE4502" w:rsidRDefault="00FD45A3">
      <w:pPr>
        <w:autoSpaceDE w:val="0"/>
        <w:autoSpaceDN w:val="0"/>
        <w:spacing w:line="360" w:lineRule="auto"/>
        <w:jc w:val="center"/>
        <w:rPr>
          <w:rFonts w:eastAsia="黑体"/>
          <w:szCs w:val="21"/>
        </w:rPr>
      </w:pPr>
      <w:r>
        <w:rPr>
          <w:rFonts w:eastAsia="黑体"/>
          <w:szCs w:val="21"/>
        </w:rPr>
        <w:t>表</w:t>
      </w:r>
      <w:r>
        <w:rPr>
          <w:rFonts w:eastAsia="黑体"/>
          <w:szCs w:val="21"/>
        </w:rPr>
        <w:t>4</w:t>
      </w:r>
      <w:r>
        <w:rPr>
          <w:rFonts w:eastAsia="黑体" w:hint="eastAsia"/>
          <w:szCs w:val="21"/>
        </w:rPr>
        <w:t>-2</w:t>
      </w:r>
      <w:r>
        <w:rPr>
          <w:rFonts w:eastAsia="黑体"/>
          <w:szCs w:val="21"/>
        </w:rPr>
        <w:t>-</w:t>
      </w:r>
      <w:r>
        <w:rPr>
          <w:rFonts w:eastAsia="黑体" w:hint="eastAsia"/>
          <w:szCs w:val="21"/>
        </w:rPr>
        <w:t xml:space="preserve">4  </w:t>
      </w:r>
      <w:r>
        <w:rPr>
          <w:rFonts w:eastAsia="黑体"/>
          <w:szCs w:val="21"/>
        </w:rPr>
        <w:t xml:space="preserve">  </w:t>
      </w:r>
      <w:r>
        <w:rPr>
          <w:rFonts w:eastAsia="黑体"/>
          <w:szCs w:val="21"/>
        </w:rPr>
        <w:t>评价区域土地利用现状一览表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330"/>
        <w:gridCol w:w="1812"/>
        <w:gridCol w:w="2118"/>
        <w:gridCol w:w="2102"/>
      </w:tblGrid>
      <w:tr w:rsidR="00EE4502">
        <w:trPr>
          <w:trHeight w:val="454"/>
          <w:jc w:val="center"/>
        </w:trPr>
        <w:tc>
          <w:tcPr>
            <w:tcW w:w="4142" w:type="dxa"/>
            <w:gridSpan w:val="2"/>
            <w:vAlign w:val="center"/>
          </w:tcPr>
          <w:p w:rsidR="00EE4502" w:rsidRDefault="00FD45A3">
            <w:pPr>
              <w:spacing w:line="240" w:lineRule="exact"/>
              <w:jc w:val="center"/>
              <w:rPr>
                <w:szCs w:val="18"/>
              </w:rPr>
            </w:pPr>
            <w:r>
              <w:rPr>
                <w:szCs w:val="18"/>
              </w:rPr>
              <w:t>土地利用类型</w:t>
            </w:r>
          </w:p>
        </w:tc>
        <w:tc>
          <w:tcPr>
            <w:tcW w:w="2118" w:type="dxa"/>
            <w:vMerge w:val="restart"/>
            <w:vAlign w:val="center"/>
          </w:tcPr>
          <w:p w:rsidR="00EE4502" w:rsidRDefault="00FD45A3">
            <w:pPr>
              <w:spacing w:line="240" w:lineRule="exact"/>
              <w:jc w:val="center"/>
              <w:rPr>
                <w:szCs w:val="18"/>
              </w:rPr>
            </w:pPr>
            <w:r>
              <w:rPr>
                <w:szCs w:val="18"/>
              </w:rPr>
              <w:t>面积</w:t>
            </w:r>
            <w:r>
              <w:rPr>
                <w:rFonts w:hint="eastAsia"/>
                <w:szCs w:val="18"/>
              </w:rPr>
              <w:t>（</w:t>
            </w:r>
            <w:r>
              <w:rPr>
                <w:szCs w:val="18"/>
              </w:rPr>
              <w:t>km</w:t>
            </w:r>
            <w:r>
              <w:rPr>
                <w:szCs w:val="18"/>
                <w:vertAlign w:val="superscript"/>
              </w:rPr>
              <w:t>2</w:t>
            </w:r>
            <w:r>
              <w:rPr>
                <w:rFonts w:hint="eastAsia"/>
                <w:szCs w:val="18"/>
              </w:rPr>
              <w:t>）</w:t>
            </w:r>
          </w:p>
        </w:tc>
        <w:tc>
          <w:tcPr>
            <w:tcW w:w="2102" w:type="dxa"/>
            <w:vMerge w:val="restart"/>
            <w:vAlign w:val="center"/>
          </w:tcPr>
          <w:p w:rsidR="00EE4502" w:rsidRDefault="00FD45A3">
            <w:pPr>
              <w:spacing w:line="240" w:lineRule="exact"/>
              <w:jc w:val="center"/>
              <w:rPr>
                <w:szCs w:val="18"/>
              </w:rPr>
            </w:pPr>
            <w:r>
              <w:rPr>
                <w:szCs w:val="18"/>
              </w:rPr>
              <w:t>比例</w:t>
            </w:r>
            <w:r>
              <w:rPr>
                <w:szCs w:val="18"/>
              </w:rPr>
              <w:t>/%</w:t>
            </w:r>
          </w:p>
        </w:tc>
      </w:tr>
      <w:tr w:rsidR="00EE4502">
        <w:trPr>
          <w:trHeight w:val="454"/>
          <w:jc w:val="center"/>
        </w:trPr>
        <w:tc>
          <w:tcPr>
            <w:tcW w:w="2330" w:type="dxa"/>
            <w:vAlign w:val="center"/>
          </w:tcPr>
          <w:p w:rsidR="00EE4502" w:rsidRDefault="00FD45A3">
            <w:pPr>
              <w:spacing w:line="240" w:lineRule="exact"/>
              <w:jc w:val="center"/>
              <w:rPr>
                <w:szCs w:val="18"/>
              </w:rPr>
            </w:pPr>
            <w:r>
              <w:rPr>
                <w:szCs w:val="18"/>
              </w:rPr>
              <w:lastRenderedPageBreak/>
              <w:t>一级分类</w:t>
            </w:r>
          </w:p>
        </w:tc>
        <w:tc>
          <w:tcPr>
            <w:tcW w:w="1812" w:type="dxa"/>
            <w:vAlign w:val="center"/>
          </w:tcPr>
          <w:p w:rsidR="00EE4502" w:rsidRDefault="00FD45A3">
            <w:pPr>
              <w:spacing w:line="240" w:lineRule="exact"/>
              <w:jc w:val="center"/>
              <w:rPr>
                <w:szCs w:val="18"/>
              </w:rPr>
            </w:pPr>
            <w:r>
              <w:rPr>
                <w:szCs w:val="18"/>
              </w:rPr>
              <w:t>二级分类</w:t>
            </w:r>
          </w:p>
        </w:tc>
        <w:tc>
          <w:tcPr>
            <w:tcW w:w="2118" w:type="dxa"/>
            <w:vMerge/>
            <w:vAlign w:val="center"/>
          </w:tcPr>
          <w:p w:rsidR="00EE4502" w:rsidRDefault="00EE4502">
            <w:pPr>
              <w:spacing w:line="240" w:lineRule="exact"/>
              <w:jc w:val="center"/>
              <w:rPr>
                <w:szCs w:val="18"/>
              </w:rPr>
            </w:pPr>
          </w:p>
        </w:tc>
        <w:tc>
          <w:tcPr>
            <w:tcW w:w="2102" w:type="dxa"/>
            <w:vMerge/>
            <w:vAlign w:val="center"/>
          </w:tcPr>
          <w:p w:rsidR="00EE4502" w:rsidRDefault="00EE4502">
            <w:pPr>
              <w:spacing w:line="240" w:lineRule="exact"/>
              <w:jc w:val="center"/>
              <w:rPr>
                <w:szCs w:val="18"/>
              </w:rPr>
            </w:pPr>
          </w:p>
        </w:tc>
      </w:tr>
      <w:tr w:rsidR="00EE4502">
        <w:trPr>
          <w:trHeight w:val="369"/>
          <w:jc w:val="center"/>
        </w:trPr>
        <w:tc>
          <w:tcPr>
            <w:tcW w:w="2330" w:type="dxa"/>
            <w:vAlign w:val="center"/>
          </w:tcPr>
          <w:p w:rsidR="00EE4502" w:rsidRDefault="00FD45A3">
            <w:pPr>
              <w:spacing w:line="240" w:lineRule="exact"/>
              <w:jc w:val="center"/>
              <w:rPr>
                <w:szCs w:val="18"/>
              </w:rPr>
            </w:pPr>
            <w:r>
              <w:rPr>
                <w:rFonts w:hint="eastAsia"/>
                <w:szCs w:val="18"/>
              </w:rPr>
              <w:t>耕地</w:t>
            </w:r>
          </w:p>
        </w:tc>
        <w:tc>
          <w:tcPr>
            <w:tcW w:w="1812" w:type="dxa"/>
            <w:vAlign w:val="center"/>
          </w:tcPr>
          <w:p w:rsidR="00EE4502" w:rsidRDefault="00FD45A3">
            <w:pPr>
              <w:spacing w:line="240" w:lineRule="exact"/>
              <w:jc w:val="center"/>
              <w:rPr>
                <w:szCs w:val="18"/>
              </w:rPr>
            </w:pPr>
            <w:r>
              <w:rPr>
                <w:rFonts w:hint="eastAsia"/>
                <w:szCs w:val="18"/>
              </w:rPr>
              <w:t>水浇地</w:t>
            </w:r>
          </w:p>
        </w:tc>
        <w:tc>
          <w:tcPr>
            <w:tcW w:w="2118" w:type="dxa"/>
            <w:vAlign w:val="center"/>
          </w:tcPr>
          <w:p w:rsidR="00EE4502" w:rsidRDefault="00FD45A3">
            <w:pPr>
              <w:spacing w:line="240" w:lineRule="exact"/>
              <w:jc w:val="center"/>
              <w:rPr>
                <w:szCs w:val="18"/>
              </w:rPr>
            </w:pPr>
            <w:r>
              <w:rPr>
                <w:rFonts w:hint="eastAsia"/>
                <w:szCs w:val="18"/>
              </w:rPr>
              <w:t>0.22</w:t>
            </w:r>
          </w:p>
        </w:tc>
        <w:tc>
          <w:tcPr>
            <w:tcW w:w="2102" w:type="dxa"/>
            <w:vAlign w:val="center"/>
          </w:tcPr>
          <w:p w:rsidR="00EE4502" w:rsidRDefault="00FD45A3">
            <w:pPr>
              <w:spacing w:line="240" w:lineRule="exact"/>
              <w:jc w:val="center"/>
              <w:rPr>
                <w:szCs w:val="18"/>
              </w:rPr>
            </w:pPr>
            <w:r>
              <w:rPr>
                <w:rFonts w:hint="eastAsia"/>
                <w:szCs w:val="18"/>
              </w:rPr>
              <w:t>0.57</w:t>
            </w:r>
          </w:p>
        </w:tc>
      </w:tr>
      <w:tr w:rsidR="00EE4502">
        <w:trPr>
          <w:trHeight w:val="339"/>
          <w:jc w:val="center"/>
        </w:trPr>
        <w:tc>
          <w:tcPr>
            <w:tcW w:w="2330" w:type="dxa"/>
            <w:vMerge w:val="restart"/>
            <w:vAlign w:val="center"/>
          </w:tcPr>
          <w:p w:rsidR="00EE4502" w:rsidRDefault="00FD45A3">
            <w:pPr>
              <w:spacing w:line="240" w:lineRule="exact"/>
              <w:jc w:val="center"/>
              <w:rPr>
                <w:szCs w:val="18"/>
              </w:rPr>
            </w:pPr>
            <w:r>
              <w:rPr>
                <w:rFonts w:hint="eastAsia"/>
                <w:szCs w:val="18"/>
              </w:rPr>
              <w:t>林地</w:t>
            </w:r>
          </w:p>
        </w:tc>
        <w:tc>
          <w:tcPr>
            <w:tcW w:w="1812" w:type="dxa"/>
            <w:vAlign w:val="center"/>
          </w:tcPr>
          <w:p w:rsidR="00EE4502" w:rsidRDefault="00FD45A3">
            <w:pPr>
              <w:spacing w:line="240" w:lineRule="exact"/>
              <w:jc w:val="center"/>
              <w:rPr>
                <w:szCs w:val="18"/>
              </w:rPr>
            </w:pPr>
            <w:r>
              <w:rPr>
                <w:rFonts w:hint="eastAsia"/>
                <w:szCs w:val="18"/>
              </w:rPr>
              <w:t>乔木林地</w:t>
            </w:r>
          </w:p>
        </w:tc>
        <w:tc>
          <w:tcPr>
            <w:tcW w:w="2118" w:type="dxa"/>
            <w:vAlign w:val="center"/>
          </w:tcPr>
          <w:p w:rsidR="00EE4502" w:rsidRDefault="00FD45A3">
            <w:pPr>
              <w:spacing w:line="240" w:lineRule="exact"/>
              <w:jc w:val="center"/>
              <w:rPr>
                <w:szCs w:val="18"/>
              </w:rPr>
            </w:pPr>
            <w:r>
              <w:rPr>
                <w:rFonts w:hint="eastAsia"/>
                <w:szCs w:val="18"/>
              </w:rPr>
              <w:t>0.58</w:t>
            </w:r>
          </w:p>
        </w:tc>
        <w:tc>
          <w:tcPr>
            <w:tcW w:w="2102" w:type="dxa"/>
            <w:vAlign w:val="center"/>
          </w:tcPr>
          <w:p w:rsidR="00EE4502" w:rsidRDefault="00FD45A3">
            <w:pPr>
              <w:spacing w:line="240" w:lineRule="exact"/>
              <w:jc w:val="center"/>
              <w:rPr>
                <w:szCs w:val="18"/>
              </w:rPr>
            </w:pPr>
            <w:r>
              <w:rPr>
                <w:rFonts w:hint="eastAsia"/>
                <w:szCs w:val="18"/>
              </w:rPr>
              <w:t>1.51</w:t>
            </w:r>
          </w:p>
        </w:tc>
      </w:tr>
      <w:tr w:rsidR="00EE4502">
        <w:trPr>
          <w:trHeight w:val="369"/>
          <w:jc w:val="center"/>
        </w:trPr>
        <w:tc>
          <w:tcPr>
            <w:tcW w:w="2330" w:type="dxa"/>
            <w:vMerge/>
            <w:vAlign w:val="center"/>
          </w:tcPr>
          <w:p w:rsidR="00EE4502" w:rsidRDefault="00EE4502">
            <w:pPr>
              <w:spacing w:line="240" w:lineRule="exact"/>
              <w:jc w:val="center"/>
              <w:rPr>
                <w:szCs w:val="18"/>
              </w:rPr>
            </w:pPr>
          </w:p>
        </w:tc>
        <w:tc>
          <w:tcPr>
            <w:tcW w:w="1812" w:type="dxa"/>
            <w:vAlign w:val="center"/>
          </w:tcPr>
          <w:p w:rsidR="00EE4502" w:rsidRDefault="00FD45A3">
            <w:pPr>
              <w:spacing w:line="240" w:lineRule="exact"/>
              <w:jc w:val="center"/>
              <w:rPr>
                <w:szCs w:val="18"/>
              </w:rPr>
            </w:pPr>
            <w:r>
              <w:rPr>
                <w:rFonts w:hint="eastAsia"/>
                <w:szCs w:val="18"/>
              </w:rPr>
              <w:t>灌木林地</w:t>
            </w:r>
          </w:p>
        </w:tc>
        <w:tc>
          <w:tcPr>
            <w:tcW w:w="2118" w:type="dxa"/>
            <w:vAlign w:val="center"/>
          </w:tcPr>
          <w:p w:rsidR="00EE4502" w:rsidRDefault="00FD45A3">
            <w:pPr>
              <w:spacing w:line="240" w:lineRule="exact"/>
              <w:jc w:val="center"/>
              <w:rPr>
                <w:szCs w:val="18"/>
              </w:rPr>
            </w:pPr>
            <w:r>
              <w:rPr>
                <w:rFonts w:hint="eastAsia"/>
                <w:szCs w:val="18"/>
              </w:rPr>
              <w:t>21.69</w:t>
            </w:r>
          </w:p>
        </w:tc>
        <w:tc>
          <w:tcPr>
            <w:tcW w:w="2102" w:type="dxa"/>
            <w:vAlign w:val="center"/>
          </w:tcPr>
          <w:p w:rsidR="00EE4502" w:rsidRDefault="00FD45A3">
            <w:pPr>
              <w:spacing w:line="240" w:lineRule="exact"/>
              <w:jc w:val="center"/>
              <w:rPr>
                <w:szCs w:val="18"/>
              </w:rPr>
            </w:pPr>
            <w:r>
              <w:rPr>
                <w:rFonts w:hint="eastAsia"/>
                <w:szCs w:val="18"/>
              </w:rPr>
              <w:t>56.36</w:t>
            </w:r>
          </w:p>
        </w:tc>
      </w:tr>
      <w:tr w:rsidR="00EE4502">
        <w:trPr>
          <w:trHeight w:val="454"/>
          <w:jc w:val="center"/>
        </w:trPr>
        <w:tc>
          <w:tcPr>
            <w:tcW w:w="2330" w:type="dxa"/>
            <w:vMerge/>
            <w:vAlign w:val="center"/>
          </w:tcPr>
          <w:p w:rsidR="00EE4502" w:rsidRDefault="00EE4502">
            <w:pPr>
              <w:spacing w:line="240" w:lineRule="exact"/>
              <w:jc w:val="center"/>
              <w:rPr>
                <w:szCs w:val="18"/>
              </w:rPr>
            </w:pPr>
          </w:p>
        </w:tc>
        <w:tc>
          <w:tcPr>
            <w:tcW w:w="1812" w:type="dxa"/>
            <w:vAlign w:val="center"/>
          </w:tcPr>
          <w:p w:rsidR="00EE4502" w:rsidRDefault="00FD45A3">
            <w:pPr>
              <w:spacing w:line="240" w:lineRule="exact"/>
              <w:jc w:val="center"/>
              <w:rPr>
                <w:szCs w:val="18"/>
              </w:rPr>
            </w:pPr>
            <w:r>
              <w:rPr>
                <w:rFonts w:hint="eastAsia"/>
                <w:szCs w:val="18"/>
              </w:rPr>
              <w:t>其他林地</w:t>
            </w:r>
          </w:p>
        </w:tc>
        <w:tc>
          <w:tcPr>
            <w:tcW w:w="2118" w:type="dxa"/>
            <w:vAlign w:val="center"/>
          </w:tcPr>
          <w:p w:rsidR="00EE4502" w:rsidRDefault="00FD45A3">
            <w:pPr>
              <w:spacing w:line="240" w:lineRule="exact"/>
              <w:jc w:val="center"/>
              <w:rPr>
                <w:szCs w:val="18"/>
              </w:rPr>
            </w:pPr>
            <w:r>
              <w:rPr>
                <w:rFonts w:hint="eastAsia"/>
                <w:szCs w:val="18"/>
              </w:rPr>
              <w:t>0.03</w:t>
            </w:r>
          </w:p>
        </w:tc>
        <w:tc>
          <w:tcPr>
            <w:tcW w:w="2102" w:type="dxa"/>
            <w:vAlign w:val="center"/>
          </w:tcPr>
          <w:p w:rsidR="00EE4502" w:rsidRDefault="00FD45A3">
            <w:pPr>
              <w:spacing w:line="240" w:lineRule="exact"/>
              <w:jc w:val="center"/>
              <w:rPr>
                <w:szCs w:val="18"/>
              </w:rPr>
            </w:pPr>
            <w:r>
              <w:rPr>
                <w:rFonts w:hint="eastAsia"/>
                <w:szCs w:val="18"/>
              </w:rPr>
              <w:t>0.07</w:t>
            </w:r>
          </w:p>
        </w:tc>
      </w:tr>
      <w:tr w:rsidR="00EE4502">
        <w:trPr>
          <w:trHeight w:val="454"/>
          <w:jc w:val="center"/>
        </w:trPr>
        <w:tc>
          <w:tcPr>
            <w:tcW w:w="2330" w:type="dxa"/>
            <w:vAlign w:val="center"/>
          </w:tcPr>
          <w:p w:rsidR="00EE4502" w:rsidRDefault="00FD45A3">
            <w:pPr>
              <w:spacing w:line="240" w:lineRule="exact"/>
              <w:jc w:val="center"/>
              <w:rPr>
                <w:szCs w:val="18"/>
              </w:rPr>
            </w:pPr>
            <w:r>
              <w:rPr>
                <w:rFonts w:hint="eastAsia"/>
                <w:szCs w:val="18"/>
              </w:rPr>
              <w:t>草地</w:t>
            </w:r>
          </w:p>
        </w:tc>
        <w:tc>
          <w:tcPr>
            <w:tcW w:w="1812" w:type="dxa"/>
            <w:vAlign w:val="center"/>
          </w:tcPr>
          <w:p w:rsidR="00EE4502" w:rsidRDefault="00FD45A3">
            <w:pPr>
              <w:spacing w:line="240" w:lineRule="exact"/>
              <w:jc w:val="center"/>
              <w:rPr>
                <w:szCs w:val="18"/>
              </w:rPr>
            </w:pPr>
            <w:r>
              <w:rPr>
                <w:rFonts w:hint="eastAsia"/>
                <w:szCs w:val="18"/>
              </w:rPr>
              <w:t>其他草地</w:t>
            </w:r>
          </w:p>
        </w:tc>
        <w:tc>
          <w:tcPr>
            <w:tcW w:w="2118" w:type="dxa"/>
            <w:vAlign w:val="center"/>
          </w:tcPr>
          <w:p w:rsidR="00EE4502" w:rsidRDefault="00FD45A3">
            <w:pPr>
              <w:spacing w:line="240" w:lineRule="exact"/>
              <w:jc w:val="center"/>
              <w:rPr>
                <w:szCs w:val="18"/>
              </w:rPr>
            </w:pPr>
            <w:r>
              <w:rPr>
                <w:rFonts w:hint="eastAsia"/>
                <w:szCs w:val="18"/>
              </w:rPr>
              <w:t>13.15</w:t>
            </w:r>
          </w:p>
        </w:tc>
        <w:tc>
          <w:tcPr>
            <w:tcW w:w="2102" w:type="dxa"/>
            <w:vAlign w:val="center"/>
          </w:tcPr>
          <w:p w:rsidR="00EE4502" w:rsidRDefault="00FD45A3">
            <w:pPr>
              <w:spacing w:line="240" w:lineRule="exact"/>
              <w:jc w:val="center"/>
              <w:rPr>
                <w:szCs w:val="18"/>
              </w:rPr>
            </w:pPr>
            <w:r>
              <w:rPr>
                <w:rFonts w:hint="eastAsia"/>
                <w:szCs w:val="18"/>
              </w:rPr>
              <w:t>34.17</w:t>
            </w:r>
          </w:p>
        </w:tc>
      </w:tr>
      <w:tr w:rsidR="00EE4502">
        <w:trPr>
          <w:trHeight w:val="454"/>
          <w:jc w:val="center"/>
        </w:trPr>
        <w:tc>
          <w:tcPr>
            <w:tcW w:w="2330" w:type="dxa"/>
            <w:vAlign w:val="center"/>
          </w:tcPr>
          <w:p w:rsidR="00EE4502" w:rsidRDefault="00FD45A3">
            <w:pPr>
              <w:spacing w:line="240" w:lineRule="exact"/>
              <w:jc w:val="center"/>
              <w:rPr>
                <w:szCs w:val="18"/>
              </w:rPr>
            </w:pPr>
            <w:r>
              <w:rPr>
                <w:rFonts w:hint="eastAsia"/>
                <w:szCs w:val="18"/>
              </w:rPr>
              <w:t>交通运输用地</w:t>
            </w:r>
          </w:p>
        </w:tc>
        <w:tc>
          <w:tcPr>
            <w:tcW w:w="1812" w:type="dxa"/>
            <w:vAlign w:val="center"/>
          </w:tcPr>
          <w:p w:rsidR="00EE4502" w:rsidRDefault="00FD45A3">
            <w:pPr>
              <w:spacing w:line="240" w:lineRule="exact"/>
              <w:jc w:val="center"/>
              <w:rPr>
                <w:szCs w:val="18"/>
              </w:rPr>
            </w:pPr>
            <w:r>
              <w:rPr>
                <w:rFonts w:hint="eastAsia"/>
                <w:szCs w:val="18"/>
              </w:rPr>
              <w:t>公路用地</w:t>
            </w:r>
          </w:p>
        </w:tc>
        <w:tc>
          <w:tcPr>
            <w:tcW w:w="2118" w:type="dxa"/>
            <w:vAlign w:val="center"/>
          </w:tcPr>
          <w:p w:rsidR="00EE4502" w:rsidRDefault="00FD45A3">
            <w:pPr>
              <w:spacing w:line="240" w:lineRule="exact"/>
              <w:jc w:val="center"/>
              <w:rPr>
                <w:szCs w:val="18"/>
              </w:rPr>
            </w:pPr>
            <w:r>
              <w:rPr>
                <w:rFonts w:hint="eastAsia"/>
                <w:szCs w:val="18"/>
              </w:rPr>
              <w:t>0.16</w:t>
            </w:r>
          </w:p>
        </w:tc>
        <w:tc>
          <w:tcPr>
            <w:tcW w:w="2102" w:type="dxa"/>
            <w:vAlign w:val="center"/>
          </w:tcPr>
          <w:p w:rsidR="00EE4502" w:rsidRDefault="00FD45A3">
            <w:pPr>
              <w:spacing w:line="240" w:lineRule="exact"/>
              <w:jc w:val="center"/>
              <w:rPr>
                <w:szCs w:val="18"/>
              </w:rPr>
            </w:pPr>
            <w:r>
              <w:rPr>
                <w:rFonts w:hint="eastAsia"/>
                <w:szCs w:val="18"/>
              </w:rPr>
              <w:t>0.42</w:t>
            </w:r>
          </w:p>
        </w:tc>
      </w:tr>
      <w:tr w:rsidR="00EE4502">
        <w:trPr>
          <w:trHeight w:val="454"/>
          <w:jc w:val="center"/>
        </w:trPr>
        <w:tc>
          <w:tcPr>
            <w:tcW w:w="2330" w:type="dxa"/>
            <w:vMerge w:val="restart"/>
            <w:vAlign w:val="center"/>
          </w:tcPr>
          <w:p w:rsidR="00EE4502" w:rsidRDefault="00FD45A3">
            <w:pPr>
              <w:spacing w:line="240" w:lineRule="exact"/>
              <w:jc w:val="center"/>
              <w:rPr>
                <w:szCs w:val="18"/>
              </w:rPr>
            </w:pPr>
            <w:r>
              <w:rPr>
                <w:rFonts w:hint="eastAsia"/>
                <w:szCs w:val="18"/>
              </w:rPr>
              <w:t>其他土地</w:t>
            </w:r>
          </w:p>
        </w:tc>
        <w:tc>
          <w:tcPr>
            <w:tcW w:w="1812" w:type="dxa"/>
            <w:vAlign w:val="center"/>
          </w:tcPr>
          <w:p w:rsidR="00EE4502" w:rsidRDefault="00FD45A3">
            <w:pPr>
              <w:spacing w:line="240" w:lineRule="exact"/>
              <w:jc w:val="center"/>
              <w:rPr>
                <w:szCs w:val="18"/>
              </w:rPr>
            </w:pPr>
            <w:r>
              <w:rPr>
                <w:rFonts w:hint="eastAsia"/>
                <w:szCs w:val="18"/>
              </w:rPr>
              <w:t>沙地</w:t>
            </w:r>
          </w:p>
        </w:tc>
        <w:tc>
          <w:tcPr>
            <w:tcW w:w="2118" w:type="dxa"/>
            <w:vAlign w:val="center"/>
          </w:tcPr>
          <w:p w:rsidR="00EE4502" w:rsidRDefault="00FD45A3">
            <w:pPr>
              <w:spacing w:line="240" w:lineRule="exact"/>
              <w:jc w:val="center"/>
              <w:rPr>
                <w:szCs w:val="18"/>
              </w:rPr>
            </w:pPr>
            <w:r>
              <w:rPr>
                <w:rFonts w:hint="eastAsia"/>
                <w:szCs w:val="18"/>
              </w:rPr>
              <w:t>0.02</w:t>
            </w:r>
          </w:p>
        </w:tc>
        <w:tc>
          <w:tcPr>
            <w:tcW w:w="2102" w:type="dxa"/>
            <w:vAlign w:val="center"/>
          </w:tcPr>
          <w:p w:rsidR="00EE4502" w:rsidRDefault="00FD45A3">
            <w:pPr>
              <w:spacing w:line="240" w:lineRule="exact"/>
              <w:jc w:val="center"/>
              <w:rPr>
                <w:szCs w:val="18"/>
              </w:rPr>
            </w:pPr>
            <w:r>
              <w:rPr>
                <w:rFonts w:hint="eastAsia"/>
                <w:szCs w:val="18"/>
              </w:rPr>
              <w:t>0.05</w:t>
            </w:r>
          </w:p>
        </w:tc>
      </w:tr>
      <w:tr w:rsidR="00EE4502">
        <w:trPr>
          <w:trHeight w:val="324"/>
          <w:jc w:val="center"/>
        </w:trPr>
        <w:tc>
          <w:tcPr>
            <w:tcW w:w="2330" w:type="dxa"/>
            <w:vMerge/>
            <w:vAlign w:val="center"/>
          </w:tcPr>
          <w:p w:rsidR="00EE4502" w:rsidRDefault="00EE4502">
            <w:pPr>
              <w:spacing w:line="240" w:lineRule="exact"/>
              <w:jc w:val="center"/>
              <w:rPr>
                <w:szCs w:val="18"/>
              </w:rPr>
            </w:pPr>
          </w:p>
        </w:tc>
        <w:tc>
          <w:tcPr>
            <w:tcW w:w="1812" w:type="dxa"/>
            <w:vAlign w:val="center"/>
          </w:tcPr>
          <w:p w:rsidR="00EE4502" w:rsidRDefault="00FD45A3">
            <w:pPr>
              <w:spacing w:line="240" w:lineRule="exact"/>
              <w:jc w:val="center"/>
              <w:rPr>
                <w:szCs w:val="18"/>
              </w:rPr>
            </w:pPr>
            <w:r>
              <w:rPr>
                <w:rFonts w:hint="eastAsia"/>
                <w:szCs w:val="18"/>
              </w:rPr>
              <w:t>盐碱地</w:t>
            </w:r>
          </w:p>
        </w:tc>
        <w:tc>
          <w:tcPr>
            <w:tcW w:w="2118" w:type="dxa"/>
            <w:vAlign w:val="center"/>
          </w:tcPr>
          <w:p w:rsidR="00EE4502" w:rsidRDefault="00FD45A3">
            <w:pPr>
              <w:spacing w:line="240" w:lineRule="exact"/>
              <w:jc w:val="center"/>
              <w:rPr>
                <w:szCs w:val="18"/>
              </w:rPr>
            </w:pPr>
            <w:r>
              <w:rPr>
                <w:rFonts w:hint="eastAsia"/>
                <w:szCs w:val="18"/>
              </w:rPr>
              <w:t>2.64</w:t>
            </w:r>
          </w:p>
        </w:tc>
        <w:tc>
          <w:tcPr>
            <w:tcW w:w="2102" w:type="dxa"/>
            <w:vAlign w:val="center"/>
          </w:tcPr>
          <w:p w:rsidR="00EE4502" w:rsidRDefault="00FD45A3">
            <w:pPr>
              <w:spacing w:line="240" w:lineRule="exact"/>
              <w:jc w:val="center"/>
              <w:rPr>
                <w:szCs w:val="18"/>
              </w:rPr>
            </w:pPr>
            <w:r>
              <w:rPr>
                <w:rFonts w:hint="eastAsia"/>
                <w:szCs w:val="18"/>
              </w:rPr>
              <w:t>6.85</w:t>
            </w:r>
          </w:p>
        </w:tc>
      </w:tr>
      <w:tr w:rsidR="00EE4502">
        <w:trPr>
          <w:trHeight w:val="349"/>
          <w:jc w:val="center"/>
        </w:trPr>
        <w:tc>
          <w:tcPr>
            <w:tcW w:w="4142" w:type="dxa"/>
            <w:gridSpan w:val="2"/>
            <w:vAlign w:val="center"/>
          </w:tcPr>
          <w:p w:rsidR="00EE4502" w:rsidRDefault="00FD45A3">
            <w:pPr>
              <w:spacing w:line="240" w:lineRule="exact"/>
              <w:jc w:val="center"/>
              <w:rPr>
                <w:szCs w:val="18"/>
              </w:rPr>
            </w:pPr>
            <w:r>
              <w:rPr>
                <w:szCs w:val="18"/>
              </w:rPr>
              <w:t>合计</w:t>
            </w:r>
          </w:p>
        </w:tc>
        <w:tc>
          <w:tcPr>
            <w:tcW w:w="2118" w:type="dxa"/>
            <w:vAlign w:val="center"/>
          </w:tcPr>
          <w:p w:rsidR="00EE4502" w:rsidRDefault="00FD45A3">
            <w:pPr>
              <w:spacing w:line="240" w:lineRule="exact"/>
              <w:jc w:val="center"/>
              <w:rPr>
                <w:szCs w:val="18"/>
              </w:rPr>
            </w:pPr>
            <w:r>
              <w:rPr>
                <w:szCs w:val="18"/>
              </w:rPr>
              <w:t>38.49</w:t>
            </w:r>
          </w:p>
        </w:tc>
        <w:tc>
          <w:tcPr>
            <w:tcW w:w="2102" w:type="dxa"/>
            <w:vAlign w:val="center"/>
          </w:tcPr>
          <w:p w:rsidR="00EE4502" w:rsidRDefault="00FD45A3">
            <w:pPr>
              <w:spacing w:line="240" w:lineRule="exact"/>
              <w:jc w:val="center"/>
              <w:rPr>
                <w:szCs w:val="18"/>
              </w:rPr>
            </w:pPr>
            <w:r>
              <w:rPr>
                <w:rFonts w:hint="eastAsia"/>
                <w:szCs w:val="18"/>
              </w:rPr>
              <w:t>100</w:t>
            </w:r>
          </w:p>
        </w:tc>
      </w:tr>
    </w:tbl>
    <w:p w:rsidR="00EE4502" w:rsidRDefault="00FD45A3">
      <w:pPr>
        <w:spacing w:line="360" w:lineRule="auto"/>
        <w:ind w:firstLine="522"/>
        <w:rPr>
          <w:sz w:val="24"/>
        </w:rPr>
      </w:pPr>
      <w:r>
        <w:rPr>
          <w:rFonts w:hint="eastAsia"/>
          <w:sz w:val="24"/>
        </w:rPr>
        <w:t>由上表可知，生态现状调查范围内土地利用类型涉及耕地</w:t>
      </w:r>
      <w:r>
        <w:rPr>
          <w:rFonts w:hint="eastAsia"/>
          <w:sz w:val="24"/>
        </w:rPr>
        <w:t>、</w:t>
      </w:r>
      <w:r>
        <w:rPr>
          <w:rFonts w:hint="eastAsia"/>
          <w:sz w:val="24"/>
        </w:rPr>
        <w:t>林地</w:t>
      </w:r>
      <w:r>
        <w:rPr>
          <w:rFonts w:hint="eastAsia"/>
          <w:sz w:val="24"/>
        </w:rPr>
        <w:t>、</w:t>
      </w:r>
      <w:r>
        <w:rPr>
          <w:rFonts w:hint="eastAsia"/>
          <w:sz w:val="24"/>
        </w:rPr>
        <w:t>草地</w:t>
      </w:r>
      <w:r>
        <w:rPr>
          <w:rFonts w:hint="eastAsia"/>
          <w:sz w:val="24"/>
        </w:rPr>
        <w:t>、</w:t>
      </w:r>
      <w:r>
        <w:rPr>
          <w:rFonts w:hint="eastAsia"/>
          <w:sz w:val="24"/>
        </w:rPr>
        <w:t>交通运输用地</w:t>
      </w:r>
      <w:r>
        <w:rPr>
          <w:rFonts w:hint="eastAsia"/>
          <w:sz w:val="24"/>
        </w:rPr>
        <w:t>、</w:t>
      </w:r>
      <w:r>
        <w:rPr>
          <w:rFonts w:hint="eastAsia"/>
          <w:sz w:val="24"/>
        </w:rPr>
        <w:t>其他土地</w:t>
      </w:r>
      <w:r>
        <w:rPr>
          <w:rFonts w:hint="eastAsia"/>
          <w:sz w:val="24"/>
        </w:rPr>
        <w:t>等</w:t>
      </w:r>
      <w:r>
        <w:rPr>
          <w:rFonts w:hint="eastAsia"/>
          <w:sz w:val="24"/>
        </w:rPr>
        <w:t>5</w:t>
      </w:r>
      <w:r>
        <w:rPr>
          <w:rFonts w:hint="eastAsia"/>
          <w:sz w:val="24"/>
        </w:rPr>
        <w:t>大类</w:t>
      </w:r>
      <w:r>
        <w:rPr>
          <w:rFonts w:hint="eastAsia"/>
          <w:sz w:val="24"/>
        </w:rPr>
        <w:t>，水浇地、乔木林地、灌木林地、其他林地、其他草地、公路用地、沙地、盐碱地等</w:t>
      </w:r>
      <w:r>
        <w:rPr>
          <w:rFonts w:hint="eastAsia"/>
          <w:sz w:val="24"/>
        </w:rPr>
        <w:t>8</w:t>
      </w:r>
      <w:r>
        <w:rPr>
          <w:rFonts w:hint="eastAsia"/>
          <w:sz w:val="24"/>
        </w:rPr>
        <w:t>小类</w:t>
      </w:r>
      <w:r>
        <w:rPr>
          <w:rFonts w:hint="eastAsia"/>
          <w:sz w:val="24"/>
        </w:rPr>
        <w:t>。</w:t>
      </w:r>
      <w:r>
        <w:rPr>
          <w:rFonts w:hint="eastAsia"/>
          <w:sz w:val="24"/>
        </w:rPr>
        <w:t>其中工程区占地以其他草地和灌木林地为主。</w:t>
      </w:r>
      <w:r>
        <w:rPr>
          <w:rFonts w:hint="eastAsia"/>
          <w:sz w:val="24"/>
        </w:rPr>
        <w:t>工程南部的排</w:t>
      </w:r>
      <w:r>
        <w:rPr>
          <w:rFonts w:hint="eastAsia"/>
          <w:sz w:val="24"/>
        </w:rPr>
        <w:t>7-</w:t>
      </w:r>
      <w:r>
        <w:rPr>
          <w:rFonts w:hint="eastAsia"/>
          <w:sz w:val="24"/>
        </w:rPr>
        <w:t>斜</w:t>
      </w:r>
      <w:r>
        <w:rPr>
          <w:rFonts w:hint="eastAsia"/>
          <w:sz w:val="24"/>
        </w:rPr>
        <w:t>17</w:t>
      </w:r>
      <w:r>
        <w:rPr>
          <w:rFonts w:hint="eastAsia"/>
          <w:sz w:val="24"/>
        </w:rPr>
        <w:t>井位于耕地分布区，地类为水浇地，不属于基本农田。</w:t>
      </w:r>
    </w:p>
    <w:p w:rsidR="00EE4502" w:rsidRDefault="00EE4502">
      <w:pPr>
        <w:spacing w:line="360" w:lineRule="auto"/>
        <w:jc w:val="center"/>
        <w:rPr>
          <w:sz w:val="24"/>
        </w:rPr>
      </w:pPr>
    </w:p>
    <w:p w:rsidR="00EE4502" w:rsidRDefault="00FD45A3" w:rsidP="003F4A18">
      <w:pPr>
        <w:spacing w:afterLines="50" w:after="120"/>
        <w:jc w:val="center"/>
        <w:rPr>
          <w:sz w:val="24"/>
        </w:rPr>
      </w:pPr>
      <w:r>
        <w:rPr>
          <w:rFonts w:ascii="黑体" w:eastAsia="黑体" w:hAnsi="黑体" w:cs="黑体" w:hint="eastAsia"/>
          <w:szCs w:val="21"/>
        </w:rPr>
        <w:t>图</w:t>
      </w:r>
      <w:r>
        <w:rPr>
          <w:rFonts w:ascii="黑体" w:eastAsia="黑体" w:hAnsi="黑体" w:cs="黑体" w:hint="eastAsia"/>
          <w:szCs w:val="21"/>
        </w:rPr>
        <w:t>4-2-</w:t>
      </w:r>
      <w:r>
        <w:rPr>
          <w:rFonts w:ascii="黑体" w:eastAsia="黑体" w:hAnsi="黑体" w:cs="黑体" w:hint="eastAsia"/>
          <w:szCs w:val="21"/>
        </w:rPr>
        <w:t xml:space="preserve">4  </w:t>
      </w:r>
      <w:r>
        <w:rPr>
          <w:rFonts w:ascii="黑体" w:eastAsia="黑体" w:hAnsi="黑体" w:cs="黑体" w:hint="eastAsia"/>
          <w:szCs w:val="21"/>
        </w:rPr>
        <w:t>评价区域土地利用现状图</w:t>
      </w:r>
    </w:p>
    <w:p w:rsidR="00EE4502" w:rsidRDefault="00FD45A3">
      <w:pPr>
        <w:pStyle w:val="33"/>
        <w:numPr>
          <w:ilvl w:val="2"/>
          <w:numId w:val="30"/>
        </w:numPr>
        <w:spacing w:line="360" w:lineRule="auto"/>
        <w:ind w:left="0" w:firstLine="0"/>
        <w:rPr>
          <w:spacing w:val="0"/>
          <w:sz w:val="24"/>
          <w:szCs w:val="24"/>
        </w:rPr>
      </w:pPr>
      <w:bookmarkStart w:id="200" w:name="_Hlk69831783"/>
      <w:r>
        <w:rPr>
          <w:rFonts w:hint="eastAsia"/>
          <w:spacing w:val="0"/>
          <w:sz w:val="24"/>
          <w:szCs w:val="24"/>
        </w:rPr>
        <w:t>植被现状调查与评价</w:t>
      </w:r>
    </w:p>
    <w:p w:rsidR="00EE4502" w:rsidRDefault="00FD45A3">
      <w:pPr>
        <w:spacing w:line="360" w:lineRule="auto"/>
        <w:ind w:firstLine="522"/>
        <w:rPr>
          <w:sz w:val="24"/>
        </w:rPr>
      </w:pPr>
      <w:r>
        <w:rPr>
          <w:rFonts w:hint="eastAsia"/>
          <w:sz w:val="24"/>
        </w:rPr>
        <w:t>（</w:t>
      </w:r>
      <w:r>
        <w:rPr>
          <w:rFonts w:hint="eastAsia"/>
          <w:sz w:val="24"/>
        </w:rPr>
        <w:t>1</w:t>
      </w:r>
      <w:r>
        <w:rPr>
          <w:rFonts w:hint="eastAsia"/>
          <w:sz w:val="24"/>
        </w:rPr>
        <w:t>）评价区域植被区划调查与评价</w:t>
      </w:r>
    </w:p>
    <w:p w:rsidR="00EE4502" w:rsidRDefault="00FD45A3">
      <w:pPr>
        <w:spacing w:line="360" w:lineRule="auto"/>
        <w:ind w:firstLine="522"/>
        <w:rPr>
          <w:sz w:val="24"/>
        </w:rPr>
      </w:pPr>
      <w:r>
        <w:rPr>
          <w:rFonts w:hint="eastAsia"/>
          <w:sz w:val="24"/>
        </w:rPr>
        <w:t>根据新疆植被区划，工程所在地区属于新疆荒漠区、北疆荒漠亚区、准噶尔荒漠省、准噶尔荒漠亚省、玛纳斯湖州。该区域气候极端干旱，但热量丰富。区域地表西部以风沙土为主、中部以灰漠土为主，北部以灰棕漠土为主，植被稀疏，多为旱生、耐盐碱型植被。</w:t>
      </w:r>
    </w:p>
    <w:p w:rsidR="00EE4502" w:rsidRDefault="00FD45A3">
      <w:pPr>
        <w:spacing w:line="360" w:lineRule="auto"/>
        <w:ind w:firstLine="522"/>
        <w:rPr>
          <w:sz w:val="24"/>
        </w:rPr>
      </w:pPr>
      <w:r>
        <w:rPr>
          <w:rFonts w:hint="eastAsia"/>
          <w:sz w:val="24"/>
        </w:rPr>
        <w:t>（</w:t>
      </w:r>
      <w:r>
        <w:rPr>
          <w:rFonts w:hint="eastAsia"/>
          <w:sz w:val="24"/>
        </w:rPr>
        <w:t>2</w:t>
      </w:r>
      <w:r>
        <w:rPr>
          <w:rFonts w:hint="eastAsia"/>
          <w:sz w:val="24"/>
        </w:rPr>
        <w:t>）植被群落调查与评价</w:t>
      </w:r>
    </w:p>
    <w:p w:rsidR="00EE4502" w:rsidRDefault="00FD45A3">
      <w:pPr>
        <w:spacing w:line="360" w:lineRule="auto"/>
        <w:ind w:firstLine="522"/>
        <w:rPr>
          <w:sz w:val="24"/>
        </w:rPr>
      </w:pPr>
      <w:r>
        <w:rPr>
          <w:rFonts w:hint="eastAsia"/>
          <w:sz w:val="24"/>
        </w:rPr>
        <w:t>区域内天然植物种类单一，以旱生、耐盐碱的亚洲中部荒漠成分占优势。主要有藜科的梭梭、假木贼、木碱蓬和驼绒藜；柽柳科的多枝柽柳、琵琶柴。就其区系地理成分而言，有属亚洲中部成分的梭梭，中亚成分的盐节木，总体来说比较简单。从历史成分来看，显示出其古老性，藜科中</w:t>
      </w:r>
      <w:r>
        <w:rPr>
          <w:rFonts w:hint="eastAsia"/>
          <w:sz w:val="24"/>
        </w:rPr>
        <w:t>的梭梭、猪毛菜、盐爪爪等属的一些种均发生于第三纪。</w:t>
      </w:r>
    </w:p>
    <w:p w:rsidR="00EE4502" w:rsidRDefault="00FD45A3">
      <w:pPr>
        <w:spacing w:line="360" w:lineRule="auto"/>
        <w:ind w:firstLine="522"/>
        <w:rPr>
          <w:sz w:val="24"/>
        </w:rPr>
      </w:pPr>
      <w:r>
        <w:rPr>
          <w:rFonts w:hint="eastAsia"/>
          <w:sz w:val="24"/>
        </w:rPr>
        <w:t>评价区域共调查自然植被型组为荒漠植被等</w:t>
      </w:r>
      <w:r>
        <w:rPr>
          <w:rFonts w:hint="eastAsia"/>
          <w:sz w:val="24"/>
        </w:rPr>
        <w:t>1</w:t>
      </w:r>
      <w:r>
        <w:rPr>
          <w:rFonts w:hint="eastAsia"/>
          <w:sz w:val="24"/>
        </w:rPr>
        <w:t>类，植被群系有梭梭</w:t>
      </w:r>
      <w:r>
        <w:rPr>
          <w:rFonts w:hint="eastAsia"/>
          <w:sz w:val="24"/>
        </w:rPr>
        <w:t>-</w:t>
      </w:r>
      <w:r>
        <w:rPr>
          <w:rFonts w:hint="eastAsia"/>
          <w:sz w:val="24"/>
        </w:rPr>
        <w:t>多枝柽柳</w:t>
      </w:r>
      <w:r>
        <w:rPr>
          <w:rFonts w:hint="eastAsia"/>
          <w:sz w:val="24"/>
        </w:rPr>
        <w:t>-</w:t>
      </w:r>
      <w:r>
        <w:rPr>
          <w:rFonts w:hint="eastAsia"/>
          <w:sz w:val="24"/>
        </w:rPr>
        <w:t>琵琶柴群系、梭梭</w:t>
      </w:r>
      <w:r>
        <w:rPr>
          <w:rFonts w:hint="eastAsia"/>
          <w:sz w:val="24"/>
        </w:rPr>
        <w:t>-</w:t>
      </w:r>
      <w:r>
        <w:rPr>
          <w:rFonts w:hint="eastAsia"/>
          <w:sz w:val="24"/>
        </w:rPr>
        <w:t>琵琶柴群系等共计</w:t>
      </w:r>
      <w:r>
        <w:rPr>
          <w:rFonts w:hint="eastAsia"/>
          <w:sz w:val="24"/>
        </w:rPr>
        <w:t>2</w:t>
      </w:r>
      <w:r>
        <w:rPr>
          <w:rFonts w:hint="eastAsia"/>
          <w:sz w:val="24"/>
        </w:rPr>
        <w:t>种，均属于小半灌木荒漠，是新疆荒</w:t>
      </w:r>
      <w:r>
        <w:rPr>
          <w:rFonts w:hint="eastAsia"/>
          <w:sz w:val="24"/>
        </w:rPr>
        <w:lastRenderedPageBreak/>
        <w:t>漠植被中具有重要作用的显域性植被，</w:t>
      </w:r>
      <w:r>
        <w:rPr>
          <w:rFonts w:hint="eastAsia"/>
          <w:sz w:val="24"/>
        </w:rPr>
        <w:t>2</w:t>
      </w:r>
      <w:r>
        <w:rPr>
          <w:rFonts w:hint="eastAsia"/>
          <w:sz w:val="24"/>
        </w:rPr>
        <w:t>种群系分布在整个油田开发区，所适应的土壤为灰漠土等，土壤中含有石膏，机械组成为沙砾质。其中梭梭</w:t>
      </w:r>
      <w:r>
        <w:rPr>
          <w:rFonts w:hint="eastAsia"/>
          <w:sz w:val="24"/>
        </w:rPr>
        <w:t>-</w:t>
      </w:r>
      <w:r>
        <w:rPr>
          <w:rFonts w:hint="eastAsia"/>
          <w:sz w:val="24"/>
        </w:rPr>
        <w:t>多枝柽柳</w:t>
      </w:r>
      <w:r>
        <w:rPr>
          <w:rFonts w:hint="eastAsia"/>
          <w:sz w:val="24"/>
        </w:rPr>
        <w:t>-</w:t>
      </w:r>
      <w:r>
        <w:rPr>
          <w:rFonts w:hint="eastAsia"/>
          <w:sz w:val="24"/>
        </w:rPr>
        <w:t>琵琶柴群系植被盖度较高，多在</w:t>
      </w:r>
      <w:r>
        <w:rPr>
          <w:rFonts w:hint="eastAsia"/>
          <w:sz w:val="24"/>
        </w:rPr>
        <w:t>1</w:t>
      </w:r>
      <w:r>
        <w:rPr>
          <w:rFonts w:hint="eastAsia"/>
          <w:sz w:val="24"/>
        </w:rPr>
        <w:t>0%~30%</w:t>
      </w:r>
      <w:r>
        <w:rPr>
          <w:rFonts w:hint="eastAsia"/>
          <w:sz w:val="24"/>
        </w:rPr>
        <w:t>之间；梭梭</w:t>
      </w:r>
      <w:r>
        <w:rPr>
          <w:rFonts w:hint="eastAsia"/>
          <w:sz w:val="24"/>
        </w:rPr>
        <w:t>-</w:t>
      </w:r>
      <w:r>
        <w:rPr>
          <w:rFonts w:hint="eastAsia"/>
          <w:sz w:val="24"/>
        </w:rPr>
        <w:t>琵琶柴群系植被盖度较地，多在</w:t>
      </w:r>
      <w:r>
        <w:rPr>
          <w:rFonts w:hint="eastAsia"/>
          <w:sz w:val="24"/>
        </w:rPr>
        <w:t>10%~20%</w:t>
      </w:r>
      <w:r>
        <w:rPr>
          <w:rFonts w:hint="eastAsia"/>
          <w:sz w:val="24"/>
        </w:rPr>
        <w:t>之间。群落种类组成单一，优势度较高，优势种主要为梭梭（</w:t>
      </w:r>
      <w:r>
        <w:rPr>
          <w:rFonts w:hint="eastAsia"/>
          <w:i/>
          <w:iCs/>
          <w:sz w:val="24"/>
        </w:rPr>
        <w:t>Haloxylon ammod</w:t>
      </w:r>
      <w:r>
        <w:rPr>
          <w:rFonts w:hint="eastAsia"/>
          <w:i/>
          <w:iCs/>
          <w:sz w:val="24"/>
        </w:rPr>
        <w:t>endron</w:t>
      </w:r>
      <w:r>
        <w:rPr>
          <w:rFonts w:hint="eastAsia"/>
          <w:sz w:val="24"/>
        </w:rPr>
        <w:t>）、多枝柽柳（</w:t>
      </w:r>
      <w:r>
        <w:rPr>
          <w:rFonts w:hint="eastAsia"/>
          <w:i/>
          <w:iCs/>
          <w:sz w:val="24"/>
        </w:rPr>
        <w:t>Tamarix ramosissima</w:t>
      </w:r>
      <w:r>
        <w:rPr>
          <w:rFonts w:hint="eastAsia"/>
          <w:sz w:val="24"/>
        </w:rPr>
        <w:t>）、琵琶柴</w:t>
      </w:r>
      <w:r>
        <w:rPr>
          <w:rFonts w:hint="eastAsia"/>
          <w:sz w:val="24"/>
        </w:rPr>
        <w:t>/</w:t>
      </w:r>
      <w:r>
        <w:rPr>
          <w:rFonts w:hint="eastAsia"/>
          <w:sz w:val="24"/>
        </w:rPr>
        <w:t>红砂（</w:t>
      </w:r>
      <w:r>
        <w:rPr>
          <w:rFonts w:hint="eastAsia"/>
          <w:i/>
          <w:iCs/>
          <w:sz w:val="24"/>
        </w:rPr>
        <w:t>Reaumuria soongorica</w:t>
      </w:r>
      <w:r>
        <w:rPr>
          <w:rFonts w:hint="eastAsia"/>
          <w:sz w:val="24"/>
        </w:rPr>
        <w:t>），伴生种有盐生假木贼（</w:t>
      </w:r>
      <w:r>
        <w:rPr>
          <w:rFonts w:hint="eastAsia"/>
          <w:i/>
          <w:iCs/>
          <w:sz w:val="24"/>
        </w:rPr>
        <w:t>Anabasis articulata</w:t>
      </w:r>
      <w:r>
        <w:rPr>
          <w:rFonts w:hint="eastAsia"/>
          <w:sz w:val="24"/>
        </w:rPr>
        <w:t>）、驼绒藜（</w:t>
      </w:r>
      <w:r>
        <w:rPr>
          <w:rFonts w:hint="eastAsia"/>
          <w:i/>
          <w:iCs/>
          <w:sz w:val="24"/>
        </w:rPr>
        <w:t>Iljinia regelii</w:t>
      </w:r>
      <w:r>
        <w:rPr>
          <w:rFonts w:hint="eastAsia"/>
          <w:sz w:val="24"/>
        </w:rPr>
        <w:t>）、翼果霸王</w:t>
      </w:r>
      <w:r>
        <w:rPr>
          <w:rFonts w:hint="eastAsia"/>
          <w:sz w:val="24"/>
        </w:rPr>
        <w:t>（</w:t>
      </w:r>
      <w:r>
        <w:rPr>
          <w:rFonts w:hint="eastAsia"/>
          <w:i/>
          <w:iCs/>
          <w:sz w:val="24"/>
        </w:rPr>
        <w:t>Zygophyllum pterocarpum</w:t>
      </w:r>
      <w:r>
        <w:rPr>
          <w:rFonts w:hint="eastAsia"/>
          <w:sz w:val="24"/>
        </w:rPr>
        <w:t>)</w:t>
      </w:r>
      <w:r>
        <w:rPr>
          <w:rFonts w:hint="eastAsia"/>
          <w:sz w:val="24"/>
        </w:rPr>
        <w:t>、叉毛蓬</w:t>
      </w:r>
      <w:r>
        <w:rPr>
          <w:rFonts w:hint="eastAsia"/>
          <w:sz w:val="24"/>
        </w:rPr>
        <w:t>（</w:t>
      </w:r>
      <w:r>
        <w:rPr>
          <w:rFonts w:hint="eastAsia"/>
          <w:i/>
          <w:iCs/>
          <w:sz w:val="24"/>
        </w:rPr>
        <w:t>Petrosimonia sibirica</w:t>
      </w:r>
      <w:r>
        <w:rPr>
          <w:rFonts w:hint="eastAsia"/>
          <w:sz w:val="24"/>
        </w:rPr>
        <w:t>)</w:t>
      </w:r>
      <w:r>
        <w:rPr>
          <w:rFonts w:hint="eastAsia"/>
          <w:sz w:val="24"/>
        </w:rPr>
        <w:t>、肥叶碱蓬</w:t>
      </w:r>
      <w:r>
        <w:rPr>
          <w:rFonts w:hint="eastAsia"/>
          <w:sz w:val="24"/>
        </w:rPr>
        <w:t>（</w:t>
      </w:r>
      <w:r>
        <w:rPr>
          <w:rFonts w:hint="eastAsia"/>
          <w:i/>
          <w:iCs/>
          <w:sz w:val="24"/>
        </w:rPr>
        <w:t>Suaeda kossinskyi</w:t>
      </w:r>
      <w:r>
        <w:rPr>
          <w:rFonts w:hint="eastAsia"/>
          <w:sz w:val="24"/>
        </w:rPr>
        <w:t>)</w:t>
      </w:r>
      <w:r>
        <w:rPr>
          <w:rFonts w:hint="eastAsia"/>
          <w:sz w:val="24"/>
        </w:rPr>
        <w:t>、猪毛菜</w:t>
      </w:r>
      <w:r>
        <w:rPr>
          <w:rFonts w:hint="eastAsia"/>
          <w:sz w:val="24"/>
        </w:rPr>
        <w:t>（</w:t>
      </w:r>
      <w:r>
        <w:rPr>
          <w:rFonts w:hint="eastAsia"/>
          <w:i/>
          <w:iCs/>
          <w:sz w:val="24"/>
        </w:rPr>
        <w:t>Salsola spp</w:t>
      </w:r>
      <w:r>
        <w:rPr>
          <w:rFonts w:hint="eastAsia"/>
          <w:i/>
          <w:iCs/>
          <w:sz w:val="24"/>
        </w:rPr>
        <w:t>）</w:t>
      </w:r>
      <w:r>
        <w:rPr>
          <w:rFonts w:hint="eastAsia"/>
          <w:sz w:val="24"/>
        </w:rPr>
        <w:t>等。</w:t>
      </w:r>
    </w:p>
    <w:p w:rsidR="00EE4502" w:rsidRDefault="00FD45A3" w:rsidP="003F4A18">
      <w:pPr>
        <w:spacing w:afterLines="50" w:after="120"/>
        <w:jc w:val="center"/>
        <w:rPr>
          <w:sz w:val="24"/>
        </w:rPr>
      </w:pPr>
      <w:r>
        <w:rPr>
          <w:rFonts w:ascii="黑体" w:eastAsia="黑体" w:hAnsi="黑体" w:cs="黑体" w:hint="eastAsia"/>
          <w:szCs w:val="21"/>
        </w:rPr>
        <w:t>图</w:t>
      </w:r>
      <w:r>
        <w:rPr>
          <w:rFonts w:ascii="黑体" w:eastAsia="黑体" w:hAnsi="黑体" w:cs="黑体" w:hint="eastAsia"/>
          <w:szCs w:val="21"/>
        </w:rPr>
        <w:t>4-2-</w:t>
      </w:r>
      <w:r>
        <w:rPr>
          <w:rFonts w:ascii="黑体" w:eastAsia="黑体" w:hAnsi="黑体" w:cs="黑体" w:hint="eastAsia"/>
          <w:szCs w:val="21"/>
        </w:rPr>
        <w:t xml:space="preserve">5  </w:t>
      </w:r>
      <w:r>
        <w:rPr>
          <w:rFonts w:ascii="黑体" w:eastAsia="黑体" w:hAnsi="黑体" w:cs="黑体" w:hint="eastAsia"/>
          <w:szCs w:val="21"/>
        </w:rPr>
        <w:t>评价区域植被覆盖度解译图</w:t>
      </w:r>
    </w:p>
    <w:p w:rsidR="00EE4502" w:rsidRDefault="00FD45A3">
      <w:pPr>
        <w:spacing w:line="360" w:lineRule="auto"/>
        <w:ind w:firstLine="522"/>
        <w:rPr>
          <w:sz w:val="24"/>
        </w:rPr>
      </w:pPr>
      <w:r>
        <w:rPr>
          <w:rFonts w:hint="eastAsia"/>
          <w:sz w:val="24"/>
        </w:rPr>
        <w:t>（</w:t>
      </w:r>
      <w:r>
        <w:rPr>
          <w:rFonts w:hint="eastAsia"/>
          <w:sz w:val="24"/>
        </w:rPr>
        <w:t>3</w:t>
      </w:r>
      <w:r>
        <w:rPr>
          <w:rFonts w:hint="eastAsia"/>
          <w:sz w:val="24"/>
        </w:rPr>
        <w:t>）评价区植被物种调查与评价</w:t>
      </w:r>
    </w:p>
    <w:p w:rsidR="00EE4502" w:rsidRDefault="00FD45A3">
      <w:pPr>
        <w:spacing w:line="360" w:lineRule="auto"/>
        <w:ind w:firstLine="522"/>
        <w:rPr>
          <w:sz w:val="24"/>
        </w:rPr>
      </w:pPr>
      <w:r>
        <w:rPr>
          <w:rFonts w:hint="eastAsia"/>
          <w:sz w:val="24"/>
        </w:rPr>
        <w:t>评价区域高等植物有</w:t>
      </w:r>
      <w:r>
        <w:rPr>
          <w:rFonts w:hint="eastAsia"/>
          <w:sz w:val="24"/>
        </w:rPr>
        <w:t>19</w:t>
      </w:r>
      <w:r>
        <w:rPr>
          <w:rFonts w:hint="eastAsia"/>
          <w:sz w:val="24"/>
        </w:rPr>
        <w:t>种，优势种为梭梭、多枝柽柳、琵琶柴等，植被覆盖度在</w:t>
      </w:r>
      <w:r>
        <w:rPr>
          <w:rFonts w:hint="eastAsia"/>
          <w:sz w:val="24"/>
        </w:rPr>
        <w:t>10%~30%</w:t>
      </w:r>
      <w:r>
        <w:rPr>
          <w:rFonts w:hint="eastAsia"/>
          <w:sz w:val="24"/>
        </w:rPr>
        <w:t>之间。区域自然植物分布情况见表</w:t>
      </w:r>
      <w:r>
        <w:rPr>
          <w:rFonts w:hint="eastAsia"/>
          <w:sz w:val="24"/>
        </w:rPr>
        <w:t>4-2-5</w:t>
      </w:r>
      <w:r>
        <w:rPr>
          <w:rFonts w:hint="eastAsia"/>
          <w:sz w:val="24"/>
        </w:rPr>
        <w:t>，植被类型见图</w:t>
      </w:r>
      <w:r>
        <w:rPr>
          <w:rFonts w:hint="eastAsia"/>
          <w:sz w:val="24"/>
        </w:rPr>
        <w:t>4-2-</w:t>
      </w:r>
      <w:r>
        <w:rPr>
          <w:rFonts w:hint="eastAsia"/>
          <w:sz w:val="24"/>
        </w:rPr>
        <w:t>6</w:t>
      </w:r>
      <w:r>
        <w:rPr>
          <w:rFonts w:hint="eastAsia"/>
          <w:sz w:val="24"/>
        </w:rPr>
        <w:t>。</w:t>
      </w:r>
    </w:p>
    <w:p w:rsidR="00EE4502" w:rsidRDefault="00EE4502">
      <w:pPr>
        <w:spacing w:line="360" w:lineRule="auto"/>
        <w:jc w:val="center"/>
        <w:rPr>
          <w:sz w:val="24"/>
        </w:rPr>
      </w:pPr>
    </w:p>
    <w:p w:rsidR="00EE4502" w:rsidRDefault="00FD45A3">
      <w:pPr>
        <w:spacing w:line="360" w:lineRule="auto"/>
        <w:jc w:val="center"/>
        <w:rPr>
          <w:sz w:val="24"/>
        </w:rPr>
      </w:pPr>
      <w:r>
        <w:rPr>
          <w:rFonts w:ascii="黑体" w:eastAsia="黑体" w:hAnsi="黑体" w:cs="黑体" w:hint="eastAsia"/>
          <w:szCs w:val="21"/>
        </w:rPr>
        <w:t>图</w:t>
      </w:r>
      <w:r>
        <w:rPr>
          <w:rFonts w:ascii="黑体" w:eastAsia="黑体" w:hAnsi="黑体" w:cs="黑体" w:hint="eastAsia"/>
          <w:szCs w:val="21"/>
        </w:rPr>
        <w:t xml:space="preserve">4-2-6  </w:t>
      </w:r>
      <w:r>
        <w:rPr>
          <w:rFonts w:ascii="黑体" w:eastAsia="黑体" w:hAnsi="黑体" w:cs="黑体" w:hint="eastAsia"/>
          <w:szCs w:val="21"/>
        </w:rPr>
        <w:t>植被类型分布图</w:t>
      </w:r>
    </w:p>
    <w:p w:rsidR="00EE4502" w:rsidRDefault="00FD45A3">
      <w:pPr>
        <w:autoSpaceDE w:val="0"/>
        <w:autoSpaceDN w:val="0"/>
        <w:adjustRightInd w:val="0"/>
        <w:spacing w:line="250" w:lineRule="auto"/>
        <w:jc w:val="center"/>
        <w:rPr>
          <w:rFonts w:ascii="黑体" w:eastAsia="黑体" w:hAnsi="黑体" w:cs="黑体"/>
          <w:bCs/>
          <w:spacing w:val="5"/>
          <w:szCs w:val="21"/>
        </w:rPr>
      </w:pPr>
      <w:r>
        <w:rPr>
          <w:rFonts w:ascii="黑体" w:eastAsia="黑体" w:hAnsi="黑体" w:cs="黑体" w:hint="eastAsia"/>
          <w:bCs/>
          <w:spacing w:val="5"/>
          <w:szCs w:val="21"/>
        </w:rPr>
        <w:t>表</w:t>
      </w:r>
      <w:r>
        <w:rPr>
          <w:rFonts w:ascii="黑体" w:eastAsia="黑体" w:hAnsi="黑体" w:cs="黑体" w:hint="eastAsia"/>
          <w:bCs/>
          <w:spacing w:val="5"/>
          <w:szCs w:val="21"/>
        </w:rPr>
        <w:t>4</w:t>
      </w:r>
      <w:r>
        <w:rPr>
          <w:rFonts w:ascii="黑体" w:eastAsia="黑体" w:hAnsi="黑体" w:cs="黑体" w:hint="eastAsia"/>
          <w:bCs/>
          <w:spacing w:val="5"/>
          <w:szCs w:val="21"/>
        </w:rPr>
        <w:t>-</w:t>
      </w:r>
      <w:r>
        <w:rPr>
          <w:rFonts w:ascii="黑体" w:eastAsia="黑体" w:hAnsi="黑体" w:cs="黑体" w:hint="eastAsia"/>
          <w:bCs/>
          <w:spacing w:val="5"/>
          <w:szCs w:val="21"/>
        </w:rPr>
        <w:t>2</w:t>
      </w:r>
      <w:r>
        <w:rPr>
          <w:rFonts w:ascii="黑体" w:eastAsia="黑体" w:hAnsi="黑体" w:cs="黑体" w:hint="eastAsia"/>
          <w:bCs/>
          <w:spacing w:val="5"/>
          <w:szCs w:val="21"/>
        </w:rPr>
        <w:t>-</w:t>
      </w:r>
      <w:r>
        <w:rPr>
          <w:rFonts w:ascii="黑体" w:eastAsia="黑体" w:hAnsi="黑体" w:cs="黑体" w:hint="eastAsia"/>
          <w:bCs/>
          <w:spacing w:val="5"/>
          <w:szCs w:val="21"/>
        </w:rPr>
        <w:t>5</w:t>
      </w:r>
      <w:r>
        <w:rPr>
          <w:rFonts w:ascii="黑体" w:eastAsia="黑体" w:hAnsi="黑体" w:cs="黑体" w:hint="eastAsia"/>
          <w:bCs/>
          <w:spacing w:val="5"/>
          <w:szCs w:val="21"/>
        </w:rPr>
        <w:t xml:space="preserve">  </w:t>
      </w:r>
      <w:r>
        <w:rPr>
          <w:rFonts w:ascii="黑体" w:eastAsia="黑体" w:hAnsi="黑体" w:cs="黑体" w:hint="eastAsia"/>
          <w:bCs/>
          <w:spacing w:val="5"/>
          <w:szCs w:val="21"/>
        </w:rPr>
        <w:t>区域野生植物</w:t>
      </w:r>
      <w:r>
        <w:rPr>
          <w:rFonts w:ascii="黑体" w:eastAsia="黑体" w:hAnsi="黑体" w:cs="黑体" w:hint="eastAsia"/>
          <w:bCs/>
          <w:spacing w:val="5"/>
          <w:szCs w:val="21"/>
        </w:rPr>
        <w:t>分布</w:t>
      </w:r>
      <w:r>
        <w:rPr>
          <w:rFonts w:ascii="黑体" w:eastAsia="黑体" w:hAnsi="黑体" w:cs="黑体" w:hint="eastAsia"/>
          <w:bCs/>
          <w:spacing w:val="5"/>
          <w:szCs w:val="21"/>
        </w:rPr>
        <w:t>情况一览表</w:t>
      </w:r>
    </w:p>
    <w:tbl>
      <w:tblPr>
        <w:tblW w:w="852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2413"/>
        <w:gridCol w:w="3969"/>
        <w:gridCol w:w="2146"/>
      </w:tblGrid>
      <w:tr w:rsidR="00EE4502">
        <w:trPr>
          <w:cantSplit/>
          <w:trHeight w:val="118"/>
          <w:tblHeader/>
        </w:trPr>
        <w:tc>
          <w:tcPr>
            <w:tcW w:w="2413" w:type="dxa"/>
            <w:vAlign w:val="center"/>
          </w:tcPr>
          <w:p w:rsidR="00EE4502" w:rsidRDefault="00FD45A3">
            <w:pPr>
              <w:widowControl/>
              <w:jc w:val="center"/>
              <w:rPr>
                <w:kern w:val="0"/>
                <w:szCs w:val="21"/>
              </w:rPr>
            </w:pPr>
            <w:r>
              <w:rPr>
                <w:kern w:val="0"/>
                <w:szCs w:val="21"/>
              </w:rPr>
              <w:t>中文名</w:t>
            </w:r>
          </w:p>
        </w:tc>
        <w:tc>
          <w:tcPr>
            <w:tcW w:w="3969" w:type="dxa"/>
            <w:vAlign w:val="center"/>
          </w:tcPr>
          <w:p w:rsidR="00EE4502" w:rsidRDefault="00FD45A3">
            <w:pPr>
              <w:widowControl/>
              <w:jc w:val="center"/>
              <w:rPr>
                <w:kern w:val="0"/>
                <w:szCs w:val="21"/>
              </w:rPr>
            </w:pPr>
            <w:r>
              <w:rPr>
                <w:kern w:val="0"/>
                <w:szCs w:val="21"/>
              </w:rPr>
              <w:t>学名</w:t>
            </w:r>
          </w:p>
        </w:tc>
        <w:tc>
          <w:tcPr>
            <w:tcW w:w="2146" w:type="dxa"/>
            <w:vAlign w:val="center"/>
          </w:tcPr>
          <w:p w:rsidR="00EE4502" w:rsidRDefault="00FD45A3">
            <w:pPr>
              <w:widowControl/>
              <w:jc w:val="center"/>
              <w:rPr>
                <w:kern w:val="0"/>
                <w:szCs w:val="21"/>
              </w:rPr>
            </w:pPr>
            <w:r>
              <w:rPr>
                <w:kern w:val="0"/>
                <w:szCs w:val="21"/>
              </w:rPr>
              <w:t>分布</w:t>
            </w:r>
          </w:p>
        </w:tc>
      </w:tr>
      <w:tr w:rsidR="00EE4502">
        <w:trPr>
          <w:cantSplit/>
          <w:trHeight w:val="118"/>
          <w:tblHeader/>
        </w:trPr>
        <w:tc>
          <w:tcPr>
            <w:tcW w:w="2413" w:type="dxa"/>
            <w:vAlign w:val="center"/>
          </w:tcPr>
          <w:p w:rsidR="00EE4502" w:rsidRDefault="00FD45A3">
            <w:pPr>
              <w:widowControl/>
              <w:jc w:val="center"/>
              <w:rPr>
                <w:kern w:val="0"/>
                <w:szCs w:val="21"/>
              </w:rPr>
            </w:pPr>
            <w:r>
              <w:rPr>
                <w:kern w:val="0"/>
                <w:szCs w:val="21"/>
              </w:rPr>
              <w:t>梭梭</w:t>
            </w:r>
          </w:p>
        </w:tc>
        <w:tc>
          <w:tcPr>
            <w:tcW w:w="3969" w:type="dxa"/>
            <w:vAlign w:val="center"/>
          </w:tcPr>
          <w:p w:rsidR="00EE4502" w:rsidRDefault="00FD45A3">
            <w:pPr>
              <w:widowControl/>
              <w:jc w:val="center"/>
              <w:rPr>
                <w:i/>
                <w:kern w:val="0"/>
                <w:szCs w:val="21"/>
              </w:rPr>
            </w:pPr>
            <w:r>
              <w:rPr>
                <w:i/>
                <w:kern w:val="0"/>
                <w:szCs w:val="21"/>
              </w:rPr>
              <w:t>Haloxylon ammodendron</w:t>
            </w:r>
          </w:p>
        </w:tc>
        <w:tc>
          <w:tcPr>
            <w:tcW w:w="2146" w:type="dxa"/>
            <w:vAlign w:val="center"/>
          </w:tcPr>
          <w:p w:rsidR="00EE4502" w:rsidRDefault="00FD45A3">
            <w:pPr>
              <w:widowControl/>
              <w:jc w:val="center"/>
              <w:rPr>
                <w:b/>
                <w:kern w:val="0"/>
                <w:szCs w:val="21"/>
              </w:rPr>
            </w:pPr>
            <w:r>
              <w:rPr>
                <w:rFonts w:hint="eastAsia"/>
                <w:kern w:val="0"/>
                <w:szCs w:val="21"/>
              </w:rPr>
              <w:t>＋＋</w:t>
            </w:r>
          </w:p>
        </w:tc>
      </w:tr>
      <w:tr w:rsidR="00EE4502">
        <w:trPr>
          <w:cantSplit/>
          <w:trHeight w:val="118"/>
        </w:trPr>
        <w:tc>
          <w:tcPr>
            <w:tcW w:w="2413" w:type="dxa"/>
            <w:vAlign w:val="center"/>
          </w:tcPr>
          <w:p w:rsidR="00EE4502" w:rsidRDefault="00FD45A3">
            <w:pPr>
              <w:widowControl/>
              <w:jc w:val="center"/>
              <w:rPr>
                <w:kern w:val="0"/>
                <w:szCs w:val="21"/>
              </w:rPr>
            </w:pPr>
            <w:r>
              <w:rPr>
                <w:rFonts w:hint="eastAsia"/>
                <w:kern w:val="0"/>
                <w:szCs w:val="21"/>
              </w:rPr>
              <w:t>多枝</w:t>
            </w:r>
            <w:r>
              <w:rPr>
                <w:kern w:val="0"/>
                <w:szCs w:val="21"/>
              </w:rPr>
              <w:t>柽柳</w:t>
            </w:r>
          </w:p>
        </w:tc>
        <w:tc>
          <w:tcPr>
            <w:tcW w:w="3969" w:type="dxa"/>
            <w:vAlign w:val="center"/>
          </w:tcPr>
          <w:p w:rsidR="00EE4502" w:rsidRDefault="00FD45A3">
            <w:pPr>
              <w:widowControl/>
              <w:jc w:val="center"/>
              <w:rPr>
                <w:i/>
                <w:kern w:val="0"/>
                <w:szCs w:val="21"/>
              </w:rPr>
            </w:pPr>
            <w:r>
              <w:rPr>
                <w:rFonts w:hint="eastAsia"/>
                <w:i/>
                <w:kern w:val="0"/>
                <w:szCs w:val="21"/>
              </w:rPr>
              <w:t>Tamarix ramosissima</w:t>
            </w:r>
          </w:p>
        </w:tc>
        <w:tc>
          <w:tcPr>
            <w:tcW w:w="2146" w:type="dxa"/>
            <w:vAlign w:val="center"/>
          </w:tcPr>
          <w:p w:rsidR="00EE4502" w:rsidRDefault="00FD45A3">
            <w:pPr>
              <w:widowControl/>
              <w:jc w:val="center"/>
              <w:rPr>
                <w:kern w:val="0"/>
                <w:szCs w:val="21"/>
              </w:rPr>
            </w:pPr>
            <w:r>
              <w:rPr>
                <w:rFonts w:hint="eastAsia"/>
                <w:bCs/>
                <w:kern w:val="0"/>
                <w:szCs w:val="21"/>
              </w:rPr>
              <w:t>＋＋</w:t>
            </w:r>
          </w:p>
        </w:tc>
      </w:tr>
      <w:tr w:rsidR="00EE4502">
        <w:tc>
          <w:tcPr>
            <w:tcW w:w="2413" w:type="dxa"/>
            <w:vAlign w:val="center"/>
          </w:tcPr>
          <w:p w:rsidR="00EE4502" w:rsidRDefault="00FD45A3">
            <w:pPr>
              <w:widowControl/>
              <w:jc w:val="center"/>
              <w:rPr>
                <w:kern w:val="0"/>
                <w:szCs w:val="21"/>
              </w:rPr>
            </w:pPr>
            <w:r>
              <w:rPr>
                <w:kern w:val="0"/>
                <w:szCs w:val="21"/>
              </w:rPr>
              <w:t>琵琶柴</w:t>
            </w:r>
            <w:r>
              <w:rPr>
                <w:rFonts w:hint="eastAsia"/>
                <w:kern w:val="0"/>
                <w:szCs w:val="21"/>
              </w:rPr>
              <w:t>（红砂）</w:t>
            </w:r>
          </w:p>
        </w:tc>
        <w:tc>
          <w:tcPr>
            <w:tcW w:w="3969" w:type="dxa"/>
            <w:vAlign w:val="center"/>
          </w:tcPr>
          <w:p w:rsidR="00EE4502" w:rsidRDefault="00FD45A3">
            <w:pPr>
              <w:widowControl/>
              <w:jc w:val="center"/>
              <w:rPr>
                <w:i/>
                <w:kern w:val="0"/>
                <w:szCs w:val="21"/>
              </w:rPr>
            </w:pPr>
            <w:r>
              <w:rPr>
                <w:i/>
                <w:kern w:val="0"/>
                <w:szCs w:val="21"/>
              </w:rPr>
              <w:t>Reaumuria soongorica</w:t>
            </w:r>
          </w:p>
        </w:tc>
        <w:tc>
          <w:tcPr>
            <w:tcW w:w="2146" w:type="dxa"/>
            <w:vAlign w:val="center"/>
          </w:tcPr>
          <w:p w:rsidR="00EE4502" w:rsidRDefault="00FD45A3">
            <w:pPr>
              <w:widowControl/>
              <w:jc w:val="center"/>
              <w:rPr>
                <w:kern w:val="0"/>
                <w:szCs w:val="21"/>
              </w:rPr>
            </w:pPr>
            <w:r>
              <w:rPr>
                <w:rFonts w:hint="eastAsia"/>
                <w:kern w:val="0"/>
                <w:szCs w:val="21"/>
              </w:rPr>
              <w:t>＋＋</w:t>
            </w:r>
          </w:p>
        </w:tc>
      </w:tr>
      <w:tr w:rsidR="00EE4502">
        <w:tc>
          <w:tcPr>
            <w:tcW w:w="2413" w:type="dxa"/>
            <w:vAlign w:val="center"/>
          </w:tcPr>
          <w:p w:rsidR="00EE4502" w:rsidRDefault="00FD45A3">
            <w:pPr>
              <w:widowControl/>
              <w:jc w:val="center"/>
              <w:rPr>
                <w:kern w:val="0"/>
                <w:szCs w:val="21"/>
              </w:rPr>
            </w:pPr>
            <w:r>
              <w:rPr>
                <w:kern w:val="0"/>
                <w:szCs w:val="21"/>
              </w:rPr>
              <w:t>盐生假木贼</w:t>
            </w:r>
          </w:p>
        </w:tc>
        <w:tc>
          <w:tcPr>
            <w:tcW w:w="3969" w:type="dxa"/>
            <w:vAlign w:val="center"/>
          </w:tcPr>
          <w:p w:rsidR="00EE4502" w:rsidRDefault="00FD45A3">
            <w:pPr>
              <w:widowControl/>
              <w:jc w:val="center"/>
              <w:rPr>
                <w:i/>
                <w:kern w:val="0"/>
                <w:szCs w:val="21"/>
              </w:rPr>
            </w:pPr>
            <w:r>
              <w:rPr>
                <w:rFonts w:hint="eastAsia"/>
                <w:i/>
                <w:kern w:val="0"/>
                <w:szCs w:val="21"/>
              </w:rPr>
              <w:t>Anabasis articulata</w:t>
            </w:r>
          </w:p>
        </w:tc>
        <w:tc>
          <w:tcPr>
            <w:tcW w:w="2146" w:type="dxa"/>
            <w:vAlign w:val="center"/>
          </w:tcPr>
          <w:p w:rsidR="00EE4502" w:rsidRDefault="00FD45A3">
            <w:pPr>
              <w:widowControl/>
              <w:jc w:val="center"/>
              <w:rPr>
                <w:kern w:val="0"/>
                <w:szCs w:val="21"/>
              </w:rPr>
            </w:pPr>
            <w:r>
              <w:rPr>
                <w:kern w:val="0"/>
                <w:szCs w:val="21"/>
              </w:rPr>
              <w:t>＋＋</w:t>
            </w:r>
          </w:p>
        </w:tc>
      </w:tr>
      <w:tr w:rsidR="00EE4502">
        <w:tc>
          <w:tcPr>
            <w:tcW w:w="2413" w:type="dxa"/>
            <w:vAlign w:val="center"/>
          </w:tcPr>
          <w:p w:rsidR="00EE4502" w:rsidRDefault="00FD45A3">
            <w:pPr>
              <w:widowControl/>
              <w:jc w:val="center"/>
              <w:rPr>
                <w:kern w:val="0"/>
                <w:szCs w:val="21"/>
              </w:rPr>
            </w:pPr>
            <w:r>
              <w:rPr>
                <w:kern w:val="0"/>
                <w:szCs w:val="21"/>
              </w:rPr>
              <w:t>展枝假木贼</w:t>
            </w:r>
          </w:p>
        </w:tc>
        <w:tc>
          <w:tcPr>
            <w:tcW w:w="3969" w:type="dxa"/>
            <w:vAlign w:val="center"/>
          </w:tcPr>
          <w:p w:rsidR="00EE4502" w:rsidRDefault="00FD45A3">
            <w:pPr>
              <w:widowControl/>
              <w:jc w:val="center"/>
              <w:rPr>
                <w:i/>
                <w:kern w:val="0"/>
                <w:szCs w:val="21"/>
              </w:rPr>
            </w:pPr>
            <w:r>
              <w:rPr>
                <w:i/>
                <w:kern w:val="0"/>
                <w:szCs w:val="21"/>
              </w:rPr>
              <w:t>Anabasis truncata</w:t>
            </w:r>
          </w:p>
        </w:tc>
        <w:tc>
          <w:tcPr>
            <w:tcW w:w="2146" w:type="dxa"/>
            <w:vAlign w:val="center"/>
          </w:tcPr>
          <w:p w:rsidR="00EE4502" w:rsidRDefault="00FD45A3">
            <w:pPr>
              <w:widowControl/>
              <w:jc w:val="center"/>
              <w:rPr>
                <w:kern w:val="0"/>
                <w:szCs w:val="21"/>
              </w:rPr>
            </w:pPr>
            <w:r>
              <w:rPr>
                <w:kern w:val="0"/>
                <w:szCs w:val="21"/>
              </w:rPr>
              <w:t>＋</w:t>
            </w:r>
          </w:p>
        </w:tc>
      </w:tr>
      <w:tr w:rsidR="00EE4502">
        <w:tc>
          <w:tcPr>
            <w:tcW w:w="2413" w:type="dxa"/>
            <w:vAlign w:val="center"/>
          </w:tcPr>
          <w:p w:rsidR="00EE4502" w:rsidRDefault="00FD45A3">
            <w:pPr>
              <w:widowControl/>
              <w:jc w:val="center"/>
              <w:rPr>
                <w:kern w:val="0"/>
                <w:szCs w:val="21"/>
              </w:rPr>
            </w:pPr>
            <w:r>
              <w:rPr>
                <w:kern w:val="0"/>
                <w:szCs w:val="21"/>
              </w:rPr>
              <w:t>高枝假木贼</w:t>
            </w:r>
          </w:p>
        </w:tc>
        <w:tc>
          <w:tcPr>
            <w:tcW w:w="3969" w:type="dxa"/>
            <w:vAlign w:val="center"/>
          </w:tcPr>
          <w:p w:rsidR="00EE4502" w:rsidRDefault="00FD45A3">
            <w:pPr>
              <w:widowControl/>
              <w:jc w:val="center"/>
              <w:rPr>
                <w:i/>
                <w:kern w:val="0"/>
                <w:szCs w:val="21"/>
              </w:rPr>
            </w:pPr>
            <w:r>
              <w:rPr>
                <w:i/>
                <w:kern w:val="0"/>
                <w:szCs w:val="21"/>
              </w:rPr>
              <w:t>Anabais elatior</w:t>
            </w:r>
          </w:p>
        </w:tc>
        <w:tc>
          <w:tcPr>
            <w:tcW w:w="2146" w:type="dxa"/>
            <w:vAlign w:val="center"/>
          </w:tcPr>
          <w:p w:rsidR="00EE4502" w:rsidRDefault="00FD45A3">
            <w:pPr>
              <w:widowControl/>
              <w:jc w:val="center"/>
              <w:rPr>
                <w:kern w:val="0"/>
                <w:szCs w:val="21"/>
              </w:rPr>
            </w:pPr>
            <w:r>
              <w:rPr>
                <w:kern w:val="0"/>
                <w:szCs w:val="21"/>
              </w:rPr>
              <w:t>＋</w:t>
            </w:r>
          </w:p>
        </w:tc>
      </w:tr>
      <w:tr w:rsidR="00EE4502">
        <w:tc>
          <w:tcPr>
            <w:tcW w:w="2413" w:type="dxa"/>
            <w:vAlign w:val="center"/>
          </w:tcPr>
          <w:p w:rsidR="00EE4502" w:rsidRDefault="00FD45A3">
            <w:pPr>
              <w:widowControl/>
              <w:jc w:val="center"/>
              <w:rPr>
                <w:kern w:val="0"/>
                <w:szCs w:val="21"/>
              </w:rPr>
            </w:pPr>
            <w:r>
              <w:rPr>
                <w:kern w:val="0"/>
                <w:szCs w:val="21"/>
              </w:rPr>
              <w:t>直立猪毛菜</w:t>
            </w:r>
          </w:p>
        </w:tc>
        <w:tc>
          <w:tcPr>
            <w:tcW w:w="3969" w:type="dxa"/>
            <w:vAlign w:val="center"/>
          </w:tcPr>
          <w:p w:rsidR="00EE4502" w:rsidRDefault="00FD45A3">
            <w:pPr>
              <w:widowControl/>
              <w:jc w:val="center"/>
              <w:rPr>
                <w:i/>
                <w:kern w:val="0"/>
                <w:szCs w:val="21"/>
              </w:rPr>
            </w:pPr>
            <w:r>
              <w:rPr>
                <w:i/>
                <w:kern w:val="0"/>
                <w:szCs w:val="21"/>
              </w:rPr>
              <w:t>Salsola rigida</w:t>
            </w:r>
          </w:p>
        </w:tc>
        <w:tc>
          <w:tcPr>
            <w:tcW w:w="2146" w:type="dxa"/>
            <w:vAlign w:val="center"/>
          </w:tcPr>
          <w:p w:rsidR="00EE4502" w:rsidRDefault="00FD45A3">
            <w:pPr>
              <w:widowControl/>
              <w:jc w:val="center"/>
              <w:rPr>
                <w:kern w:val="0"/>
                <w:szCs w:val="21"/>
              </w:rPr>
            </w:pPr>
            <w:r>
              <w:rPr>
                <w:kern w:val="0"/>
                <w:szCs w:val="21"/>
              </w:rPr>
              <w:t>＋</w:t>
            </w:r>
          </w:p>
        </w:tc>
      </w:tr>
      <w:tr w:rsidR="00EE4502">
        <w:tc>
          <w:tcPr>
            <w:tcW w:w="2413" w:type="dxa"/>
            <w:vAlign w:val="center"/>
          </w:tcPr>
          <w:p w:rsidR="00EE4502" w:rsidRDefault="00FD45A3">
            <w:pPr>
              <w:widowControl/>
              <w:jc w:val="center"/>
              <w:rPr>
                <w:kern w:val="0"/>
                <w:szCs w:val="21"/>
              </w:rPr>
            </w:pPr>
            <w:r>
              <w:rPr>
                <w:kern w:val="0"/>
                <w:szCs w:val="21"/>
              </w:rPr>
              <w:t>骆驼刺</w:t>
            </w:r>
          </w:p>
        </w:tc>
        <w:tc>
          <w:tcPr>
            <w:tcW w:w="3969" w:type="dxa"/>
            <w:vAlign w:val="center"/>
          </w:tcPr>
          <w:p w:rsidR="00EE4502" w:rsidRDefault="00FD45A3">
            <w:pPr>
              <w:widowControl/>
              <w:jc w:val="center"/>
              <w:rPr>
                <w:i/>
                <w:kern w:val="0"/>
                <w:szCs w:val="21"/>
              </w:rPr>
            </w:pPr>
            <w:r>
              <w:rPr>
                <w:i/>
                <w:kern w:val="0"/>
                <w:szCs w:val="21"/>
              </w:rPr>
              <w:t>Karelinia caspia</w:t>
            </w:r>
          </w:p>
        </w:tc>
        <w:tc>
          <w:tcPr>
            <w:tcW w:w="2146" w:type="dxa"/>
            <w:vAlign w:val="center"/>
          </w:tcPr>
          <w:p w:rsidR="00EE4502" w:rsidRDefault="00FD45A3">
            <w:pPr>
              <w:widowControl/>
              <w:jc w:val="center"/>
              <w:rPr>
                <w:kern w:val="0"/>
                <w:szCs w:val="21"/>
              </w:rPr>
            </w:pPr>
            <w:r>
              <w:rPr>
                <w:kern w:val="0"/>
                <w:szCs w:val="21"/>
              </w:rPr>
              <w:t>＋</w:t>
            </w:r>
          </w:p>
        </w:tc>
      </w:tr>
      <w:tr w:rsidR="00EE4502">
        <w:trPr>
          <w:trHeight w:val="205"/>
        </w:trPr>
        <w:tc>
          <w:tcPr>
            <w:tcW w:w="2413" w:type="dxa"/>
            <w:vAlign w:val="center"/>
          </w:tcPr>
          <w:p w:rsidR="00EE4502" w:rsidRDefault="00FD45A3">
            <w:pPr>
              <w:widowControl/>
              <w:jc w:val="center"/>
              <w:rPr>
                <w:kern w:val="0"/>
                <w:szCs w:val="21"/>
              </w:rPr>
            </w:pPr>
            <w:r>
              <w:rPr>
                <w:kern w:val="0"/>
                <w:szCs w:val="21"/>
              </w:rPr>
              <w:t>驼绒藜</w:t>
            </w:r>
          </w:p>
        </w:tc>
        <w:tc>
          <w:tcPr>
            <w:tcW w:w="3969" w:type="dxa"/>
            <w:vAlign w:val="center"/>
          </w:tcPr>
          <w:p w:rsidR="00EE4502" w:rsidRDefault="00FD45A3">
            <w:pPr>
              <w:widowControl/>
              <w:jc w:val="center"/>
              <w:rPr>
                <w:i/>
                <w:kern w:val="0"/>
                <w:szCs w:val="21"/>
              </w:rPr>
            </w:pPr>
            <w:r>
              <w:rPr>
                <w:i/>
                <w:kern w:val="0"/>
                <w:szCs w:val="21"/>
              </w:rPr>
              <w:t>Iljinia regelii</w:t>
            </w:r>
          </w:p>
        </w:tc>
        <w:tc>
          <w:tcPr>
            <w:tcW w:w="2146" w:type="dxa"/>
            <w:vAlign w:val="center"/>
          </w:tcPr>
          <w:p w:rsidR="00EE4502" w:rsidRDefault="00FD45A3">
            <w:pPr>
              <w:widowControl/>
              <w:jc w:val="center"/>
              <w:rPr>
                <w:kern w:val="0"/>
                <w:szCs w:val="21"/>
              </w:rPr>
            </w:pPr>
            <w:r>
              <w:rPr>
                <w:kern w:val="0"/>
                <w:szCs w:val="21"/>
              </w:rPr>
              <w:t>＋</w:t>
            </w:r>
          </w:p>
        </w:tc>
      </w:tr>
      <w:tr w:rsidR="00EE4502">
        <w:trPr>
          <w:trHeight w:val="205"/>
        </w:trPr>
        <w:tc>
          <w:tcPr>
            <w:tcW w:w="2413" w:type="dxa"/>
            <w:vAlign w:val="center"/>
          </w:tcPr>
          <w:p w:rsidR="00EE4502" w:rsidRDefault="00FD45A3">
            <w:pPr>
              <w:widowControl/>
              <w:jc w:val="center"/>
              <w:rPr>
                <w:kern w:val="0"/>
                <w:szCs w:val="21"/>
              </w:rPr>
            </w:pPr>
            <w:r>
              <w:rPr>
                <w:kern w:val="0"/>
                <w:szCs w:val="21"/>
              </w:rPr>
              <w:t>木碱蓬</w:t>
            </w:r>
          </w:p>
        </w:tc>
        <w:tc>
          <w:tcPr>
            <w:tcW w:w="3969" w:type="dxa"/>
            <w:vAlign w:val="center"/>
          </w:tcPr>
          <w:p w:rsidR="00EE4502" w:rsidRDefault="00FD45A3">
            <w:pPr>
              <w:widowControl/>
              <w:jc w:val="center"/>
              <w:rPr>
                <w:i/>
                <w:kern w:val="0"/>
                <w:szCs w:val="21"/>
              </w:rPr>
            </w:pPr>
            <w:r>
              <w:rPr>
                <w:i/>
                <w:kern w:val="0"/>
                <w:szCs w:val="21"/>
              </w:rPr>
              <w:t>Suaeda dendroides</w:t>
            </w:r>
          </w:p>
        </w:tc>
        <w:tc>
          <w:tcPr>
            <w:tcW w:w="2146" w:type="dxa"/>
            <w:vAlign w:val="center"/>
          </w:tcPr>
          <w:p w:rsidR="00EE4502" w:rsidRDefault="00FD45A3">
            <w:pPr>
              <w:widowControl/>
              <w:jc w:val="center"/>
              <w:rPr>
                <w:kern w:val="0"/>
                <w:szCs w:val="21"/>
              </w:rPr>
            </w:pPr>
            <w:r>
              <w:rPr>
                <w:kern w:val="0"/>
                <w:szCs w:val="21"/>
              </w:rPr>
              <w:t>＋</w:t>
            </w:r>
          </w:p>
        </w:tc>
      </w:tr>
      <w:tr w:rsidR="00EE4502">
        <w:trPr>
          <w:trHeight w:val="205"/>
        </w:trPr>
        <w:tc>
          <w:tcPr>
            <w:tcW w:w="2413" w:type="dxa"/>
            <w:vAlign w:val="center"/>
          </w:tcPr>
          <w:p w:rsidR="00EE4502" w:rsidRDefault="00FD45A3">
            <w:pPr>
              <w:widowControl/>
              <w:jc w:val="center"/>
              <w:rPr>
                <w:kern w:val="0"/>
                <w:szCs w:val="21"/>
              </w:rPr>
            </w:pPr>
            <w:r>
              <w:rPr>
                <w:kern w:val="0"/>
                <w:szCs w:val="21"/>
              </w:rPr>
              <w:t>翼果霸王</w:t>
            </w:r>
          </w:p>
        </w:tc>
        <w:tc>
          <w:tcPr>
            <w:tcW w:w="3969" w:type="dxa"/>
            <w:vAlign w:val="center"/>
          </w:tcPr>
          <w:p w:rsidR="00EE4502" w:rsidRDefault="00FD45A3">
            <w:pPr>
              <w:widowControl/>
              <w:jc w:val="center"/>
              <w:rPr>
                <w:i/>
                <w:kern w:val="0"/>
                <w:szCs w:val="21"/>
              </w:rPr>
            </w:pPr>
            <w:r>
              <w:rPr>
                <w:i/>
                <w:kern w:val="0"/>
                <w:szCs w:val="21"/>
              </w:rPr>
              <w:t>Zygophyllum pterocarpum</w:t>
            </w:r>
          </w:p>
        </w:tc>
        <w:tc>
          <w:tcPr>
            <w:tcW w:w="2146" w:type="dxa"/>
            <w:vAlign w:val="center"/>
          </w:tcPr>
          <w:p w:rsidR="00EE4502" w:rsidRDefault="00FD45A3">
            <w:pPr>
              <w:widowControl/>
              <w:jc w:val="center"/>
              <w:rPr>
                <w:kern w:val="0"/>
                <w:szCs w:val="21"/>
              </w:rPr>
            </w:pPr>
            <w:r>
              <w:rPr>
                <w:kern w:val="0"/>
                <w:szCs w:val="21"/>
              </w:rPr>
              <w:t>＋</w:t>
            </w:r>
          </w:p>
        </w:tc>
      </w:tr>
      <w:tr w:rsidR="00EE4502">
        <w:trPr>
          <w:trHeight w:val="205"/>
        </w:trPr>
        <w:tc>
          <w:tcPr>
            <w:tcW w:w="2413" w:type="dxa"/>
            <w:vAlign w:val="center"/>
          </w:tcPr>
          <w:p w:rsidR="00EE4502" w:rsidRDefault="00FD45A3">
            <w:pPr>
              <w:widowControl/>
              <w:jc w:val="center"/>
              <w:rPr>
                <w:kern w:val="0"/>
                <w:szCs w:val="21"/>
              </w:rPr>
            </w:pPr>
            <w:r>
              <w:rPr>
                <w:kern w:val="0"/>
                <w:szCs w:val="21"/>
              </w:rPr>
              <w:t>猪毛菜</w:t>
            </w:r>
          </w:p>
        </w:tc>
        <w:tc>
          <w:tcPr>
            <w:tcW w:w="3969" w:type="dxa"/>
            <w:vAlign w:val="center"/>
          </w:tcPr>
          <w:p w:rsidR="00EE4502" w:rsidRDefault="00FD45A3">
            <w:pPr>
              <w:widowControl/>
              <w:jc w:val="center"/>
              <w:rPr>
                <w:i/>
                <w:kern w:val="0"/>
                <w:szCs w:val="21"/>
              </w:rPr>
            </w:pPr>
            <w:r>
              <w:rPr>
                <w:i/>
                <w:kern w:val="0"/>
                <w:szCs w:val="21"/>
              </w:rPr>
              <w:t>Salsola spp.</w:t>
            </w:r>
          </w:p>
        </w:tc>
        <w:tc>
          <w:tcPr>
            <w:tcW w:w="2146" w:type="dxa"/>
            <w:vAlign w:val="center"/>
          </w:tcPr>
          <w:p w:rsidR="00EE4502" w:rsidRDefault="00FD45A3">
            <w:pPr>
              <w:widowControl/>
              <w:jc w:val="center"/>
              <w:rPr>
                <w:kern w:val="0"/>
                <w:szCs w:val="21"/>
              </w:rPr>
            </w:pPr>
            <w:r>
              <w:rPr>
                <w:kern w:val="0"/>
                <w:szCs w:val="21"/>
              </w:rPr>
              <w:t>＋＋</w:t>
            </w:r>
          </w:p>
        </w:tc>
      </w:tr>
      <w:tr w:rsidR="00EE4502">
        <w:trPr>
          <w:trHeight w:val="205"/>
        </w:trPr>
        <w:tc>
          <w:tcPr>
            <w:tcW w:w="2413" w:type="dxa"/>
            <w:vAlign w:val="center"/>
          </w:tcPr>
          <w:p w:rsidR="00EE4502" w:rsidRDefault="00FD45A3">
            <w:pPr>
              <w:widowControl/>
              <w:jc w:val="center"/>
              <w:rPr>
                <w:kern w:val="0"/>
                <w:szCs w:val="21"/>
              </w:rPr>
            </w:pPr>
            <w:r>
              <w:rPr>
                <w:kern w:val="0"/>
                <w:szCs w:val="21"/>
              </w:rPr>
              <w:t>西伯利亚白刺</w:t>
            </w:r>
          </w:p>
        </w:tc>
        <w:tc>
          <w:tcPr>
            <w:tcW w:w="3969" w:type="dxa"/>
            <w:vAlign w:val="center"/>
          </w:tcPr>
          <w:p w:rsidR="00EE4502" w:rsidRDefault="00FD45A3">
            <w:pPr>
              <w:widowControl/>
              <w:jc w:val="center"/>
              <w:rPr>
                <w:i/>
                <w:kern w:val="0"/>
                <w:szCs w:val="21"/>
              </w:rPr>
            </w:pPr>
            <w:r>
              <w:rPr>
                <w:i/>
                <w:kern w:val="0"/>
                <w:szCs w:val="21"/>
              </w:rPr>
              <w:t>Nitraria sibirixa</w:t>
            </w:r>
          </w:p>
        </w:tc>
        <w:tc>
          <w:tcPr>
            <w:tcW w:w="2146" w:type="dxa"/>
            <w:vAlign w:val="center"/>
          </w:tcPr>
          <w:p w:rsidR="00EE4502" w:rsidRDefault="00FD45A3">
            <w:pPr>
              <w:widowControl/>
              <w:jc w:val="center"/>
              <w:rPr>
                <w:kern w:val="0"/>
                <w:szCs w:val="21"/>
              </w:rPr>
            </w:pPr>
            <w:r>
              <w:rPr>
                <w:kern w:val="0"/>
                <w:szCs w:val="21"/>
              </w:rPr>
              <w:t>＋＋</w:t>
            </w:r>
          </w:p>
        </w:tc>
      </w:tr>
      <w:tr w:rsidR="00EE4502">
        <w:trPr>
          <w:trHeight w:val="205"/>
        </w:trPr>
        <w:tc>
          <w:tcPr>
            <w:tcW w:w="2413" w:type="dxa"/>
            <w:vAlign w:val="center"/>
          </w:tcPr>
          <w:p w:rsidR="00EE4502" w:rsidRDefault="00FD45A3">
            <w:pPr>
              <w:widowControl/>
              <w:jc w:val="center"/>
              <w:rPr>
                <w:kern w:val="0"/>
                <w:szCs w:val="21"/>
              </w:rPr>
            </w:pPr>
            <w:r>
              <w:rPr>
                <w:kern w:val="0"/>
                <w:szCs w:val="21"/>
              </w:rPr>
              <w:t>囊果碱蓬</w:t>
            </w:r>
          </w:p>
        </w:tc>
        <w:tc>
          <w:tcPr>
            <w:tcW w:w="3969" w:type="dxa"/>
            <w:vAlign w:val="center"/>
          </w:tcPr>
          <w:p w:rsidR="00EE4502" w:rsidRDefault="00FD45A3">
            <w:pPr>
              <w:widowControl/>
              <w:jc w:val="center"/>
              <w:rPr>
                <w:i/>
                <w:kern w:val="0"/>
                <w:szCs w:val="21"/>
              </w:rPr>
            </w:pPr>
            <w:r>
              <w:rPr>
                <w:i/>
                <w:kern w:val="0"/>
                <w:szCs w:val="21"/>
              </w:rPr>
              <w:t>Suaeda physophora</w:t>
            </w:r>
          </w:p>
        </w:tc>
        <w:tc>
          <w:tcPr>
            <w:tcW w:w="2146" w:type="dxa"/>
            <w:vAlign w:val="center"/>
          </w:tcPr>
          <w:p w:rsidR="00EE4502" w:rsidRDefault="00FD45A3">
            <w:pPr>
              <w:widowControl/>
              <w:jc w:val="center"/>
              <w:rPr>
                <w:kern w:val="0"/>
                <w:szCs w:val="21"/>
              </w:rPr>
            </w:pPr>
            <w:r>
              <w:rPr>
                <w:kern w:val="0"/>
                <w:szCs w:val="21"/>
              </w:rPr>
              <w:t>＋＋</w:t>
            </w:r>
          </w:p>
        </w:tc>
      </w:tr>
      <w:tr w:rsidR="00EE4502">
        <w:trPr>
          <w:trHeight w:val="205"/>
        </w:trPr>
        <w:tc>
          <w:tcPr>
            <w:tcW w:w="2413" w:type="dxa"/>
            <w:vAlign w:val="center"/>
          </w:tcPr>
          <w:p w:rsidR="00EE4502" w:rsidRDefault="00FD45A3">
            <w:pPr>
              <w:widowControl/>
              <w:jc w:val="center"/>
              <w:rPr>
                <w:kern w:val="0"/>
                <w:szCs w:val="21"/>
              </w:rPr>
            </w:pPr>
            <w:r>
              <w:rPr>
                <w:kern w:val="0"/>
                <w:szCs w:val="21"/>
              </w:rPr>
              <w:t>翅花碱蓬</w:t>
            </w:r>
          </w:p>
        </w:tc>
        <w:tc>
          <w:tcPr>
            <w:tcW w:w="3969" w:type="dxa"/>
            <w:vAlign w:val="center"/>
          </w:tcPr>
          <w:p w:rsidR="00EE4502" w:rsidRDefault="00FD45A3">
            <w:pPr>
              <w:widowControl/>
              <w:jc w:val="center"/>
              <w:rPr>
                <w:i/>
                <w:kern w:val="0"/>
                <w:szCs w:val="21"/>
              </w:rPr>
            </w:pPr>
            <w:r>
              <w:rPr>
                <w:i/>
                <w:kern w:val="0"/>
                <w:szCs w:val="21"/>
              </w:rPr>
              <w:t>Suaeda pterantha</w:t>
            </w:r>
          </w:p>
        </w:tc>
        <w:tc>
          <w:tcPr>
            <w:tcW w:w="2146" w:type="dxa"/>
            <w:vAlign w:val="center"/>
          </w:tcPr>
          <w:p w:rsidR="00EE4502" w:rsidRDefault="00FD45A3">
            <w:pPr>
              <w:widowControl/>
              <w:jc w:val="center"/>
              <w:rPr>
                <w:kern w:val="0"/>
                <w:szCs w:val="21"/>
              </w:rPr>
            </w:pPr>
            <w:r>
              <w:rPr>
                <w:kern w:val="0"/>
                <w:szCs w:val="21"/>
              </w:rPr>
              <w:t>＋＋</w:t>
            </w:r>
          </w:p>
        </w:tc>
      </w:tr>
      <w:tr w:rsidR="00EE4502">
        <w:trPr>
          <w:trHeight w:val="205"/>
        </w:trPr>
        <w:tc>
          <w:tcPr>
            <w:tcW w:w="2413" w:type="dxa"/>
            <w:vAlign w:val="center"/>
          </w:tcPr>
          <w:p w:rsidR="00EE4502" w:rsidRDefault="00FD45A3">
            <w:pPr>
              <w:widowControl/>
              <w:jc w:val="center"/>
              <w:rPr>
                <w:kern w:val="0"/>
                <w:szCs w:val="21"/>
              </w:rPr>
            </w:pPr>
            <w:r>
              <w:rPr>
                <w:kern w:val="0"/>
                <w:szCs w:val="21"/>
              </w:rPr>
              <w:t>肥叶碱蓬</w:t>
            </w:r>
          </w:p>
        </w:tc>
        <w:tc>
          <w:tcPr>
            <w:tcW w:w="3969" w:type="dxa"/>
            <w:vAlign w:val="center"/>
          </w:tcPr>
          <w:p w:rsidR="00EE4502" w:rsidRDefault="00FD45A3">
            <w:pPr>
              <w:widowControl/>
              <w:jc w:val="center"/>
              <w:rPr>
                <w:i/>
                <w:kern w:val="0"/>
                <w:szCs w:val="21"/>
              </w:rPr>
            </w:pPr>
            <w:r>
              <w:rPr>
                <w:i/>
                <w:kern w:val="0"/>
                <w:szCs w:val="21"/>
              </w:rPr>
              <w:t>Suaeda kossinskyi</w:t>
            </w:r>
          </w:p>
        </w:tc>
        <w:tc>
          <w:tcPr>
            <w:tcW w:w="2146" w:type="dxa"/>
            <w:vAlign w:val="center"/>
          </w:tcPr>
          <w:p w:rsidR="00EE4502" w:rsidRDefault="00FD45A3">
            <w:pPr>
              <w:widowControl/>
              <w:jc w:val="center"/>
              <w:rPr>
                <w:kern w:val="0"/>
                <w:szCs w:val="21"/>
              </w:rPr>
            </w:pPr>
            <w:r>
              <w:rPr>
                <w:kern w:val="0"/>
                <w:szCs w:val="21"/>
              </w:rPr>
              <w:t>＋＋</w:t>
            </w:r>
          </w:p>
        </w:tc>
      </w:tr>
      <w:tr w:rsidR="00EE4502">
        <w:trPr>
          <w:trHeight w:val="205"/>
        </w:trPr>
        <w:tc>
          <w:tcPr>
            <w:tcW w:w="2413" w:type="dxa"/>
            <w:vAlign w:val="center"/>
          </w:tcPr>
          <w:p w:rsidR="00EE4502" w:rsidRDefault="00FD45A3">
            <w:pPr>
              <w:widowControl/>
              <w:jc w:val="center"/>
              <w:rPr>
                <w:kern w:val="0"/>
                <w:szCs w:val="21"/>
              </w:rPr>
            </w:pPr>
            <w:r>
              <w:rPr>
                <w:kern w:val="0"/>
                <w:szCs w:val="21"/>
              </w:rPr>
              <w:t>盐爪爪</w:t>
            </w:r>
          </w:p>
        </w:tc>
        <w:tc>
          <w:tcPr>
            <w:tcW w:w="3969" w:type="dxa"/>
            <w:vAlign w:val="center"/>
          </w:tcPr>
          <w:p w:rsidR="00EE4502" w:rsidRDefault="00FD45A3">
            <w:pPr>
              <w:widowControl/>
              <w:jc w:val="center"/>
              <w:rPr>
                <w:i/>
                <w:kern w:val="0"/>
                <w:szCs w:val="21"/>
              </w:rPr>
            </w:pPr>
            <w:r>
              <w:rPr>
                <w:i/>
                <w:kern w:val="0"/>
                <w:szCs w:val="21"/>
              </w:rPr>
              <w:t>Kalidium foliatum</w:t>
            </w:r>
          </w:p>
        </w:tc>
        <w:tc>
          <w:tcPr>
            <w:tcW w:w="2146" w:type="dxa"/>
            <w:vAlign w:val="center"/>
          </w:tcPr>
          <w:p w:rsidR="00EE4502" w:rsidRDefault="00FD45A3">
            <w:pPr>
              <w:widowControl/>
              <w:jc w:val="center"/>
              <w:rPr>
                <w:kern w:val="0"/>
                <w:szCs w:val="21"/>
              </w:rPr>
            </w:pPr>
            <w:r>
              <w:rPr>
                <w:kern w:val="0"/>
                <w:szCs w:val="21"/>
              </w:rPr>
              <w:t>＋</w:t>
            </w:r>
          </w:p>
        </w:tc>
      </w:tr>
      <w:tr w:rsidR="00EE4502">
        <w:trPr>
          <w:trHeight w:val="205"/>
        </w:trPr>
        <w:tc>
          <w:tcPr>
            <w:tcW w:w="2413" w:type="dxa"/>
            <w:vAlign w:val="center"/>
          </w:tcPr>
          <w:p w:rsidR="00EE4502" w:rsidRDefault="00FD45A3">
            <w:pPr>
              <w:widowControl/>
              <w:jc w:val="center"/>
              <w:rPr>
                <w:kern w:val="0"/>
                <w:szCs w:val="21"/>
              </w:rPr>
            </w:pPr>
            <w:r>
              <w:rPr>
                <w:kern w:val="0"/>
                <w:szCs w:val="21"/>
              </w:rPr>
              <w:t>芦苇</w:t>
            </w:r>
          </w:p>
        </w:tc>
        <w:tc>
          <w:tcPr>
            <w:tcW w:w="3969" w:type="dxa"/>
            <w:vAlign w:val="center"/>
          </w:tcPr>
          <w:p w:rsidR="00EE4502" w:rsidRDefault="00FD45A3">
            <w:pPr>
              <w:widowControl/>
              <w:jc w:val="center"/>
              <w:rPr>
                <w:i/>
                <w:kern w:val="0"/>
                <w:szCs w:val="21"/>
              </w:rPr>
            </w:pPr>
            <w:r>
              <w:rPr>
                <w:i/>
                <w:kern w:val="0"/>
                <w:szCs w:val="21"/>
              </w:rPr>
              <w:t>Phrogmites australis</w:t>
            </w:r>
          </w:p>
        </w:tc>
        <w:tc>
          <w:tcPr>
            <w:tcW w:w="2146" w:type="dxa"/>
            <w:vAlign w:val="center"/>
          </w:tcPr>
          <w:p w:rsidR="00EE4502" w:rsidRDefault="00FD45A3">
            <w:pPr>
              <w:widowControl/>
              <w:jc w:val="center"/>
              <w:rPr>
                <w:kern w:val="0"/>
                <w:szCs w:val="21"/>
              </w:rPr>
            </w:pPr>
            <w:r>
              <w:rPr>
                <w:kern w:val="0"/>
                <w:szCs w:val="21"/>
              </w:rPr>
              <w:t>＋</w:t>
            </w:r>
          </w:p>
        </w:tc>
      </w:tr>
      <w:tr w:rsidR="00EE4502">
        <w:trPr>
          <w:trHeight w:val="205"/>
        </w:trPr>
        <w:tc>
          <w:tcPr>
            <w:tcW w:w="2413" w:type="dxa"/>
            <w:vAlign w:val="center"/>
          </w:tcPr>
          <w:p w:rsidR="00EE4502" w:rsidRDefault="00FD45A3">
            <w:pPr>
              <w:widowControl/>
              <w:jc w:val="center"/>
              <w:rPr>
                <w:kern w:val="0"/>
                <w:szCs w:val="21"/>
              </w:rPr>
            </w:pPr>
            <w:r>
              <w:rPr>
                <w:kern w:val="0"/>
                <w:szCs w:val="21"/>
              </w:rPr>
              <w:t>叉毛蓬</w:t>
            </w:r>
          </w:p>
        </w:tc>
        <w:tc>
          <w:tcPr>
            <w:tcW w:w="3969" w:type="dxa"/>
            <w:vAlign w:val="center"/>
          </w:tcPr>
          <w:p w:rsidR="00EE4502" w:rsidRDefault="00FD45A3">
            <w:pPr>
              <w:widowControl/>
              <w:jc w:val="center"/>
              <w:rPr>
                <w:i/>
                <w:kern w:val="0"/>
                <w:szCs w:val="21"/>
              </w:rPr>
            </w:pPr>
            <w:r>
              <w:rPr>
                <w:i/>
                <w:kern w:val="0"/>
                <w:szCs w:val="21"/>
              </w:rPr>
              <w:t>Petrosimonia sibirica</w:t>
            </w:r>
          </w:p>
        </w:tc>
        <w:tc>
          <w:tcPr>
            <w:tcW w:w="2146" w:type="dxa"/>
            <w:vAlign w:val="center"/>
          </w:tcPr>
          <w:p w:rsidR="00EE4502" w:rsidRDefault="00FD45A3">
            <w:pPr>
              <w:widowControl/>
              <w:jc w:val="center"/>
              <w:rPr>
                <w:kern w:val="0"/>
                <w:szCs w:val="21"/>
              </w:rPr>
            </w:pPr>
            <w:r>
              <w:rPr>
                <w:kern w:val="0"/>
                <w:szCs w:val="21"/>
              </w:rPr>
              <w:t>＋</w:t>
            </w:r>
          </w:p>
        </w:tc>
      </w:tr>
    </w:tbl>
    <w:p w:rsidR="00EE4502" w:rsidRDefault="00EE4502">
      <w:pPr>
        <w:spacing w:line="360" w:lineRule="auto"/>
        <w:jc w:val="center"/>
        <w:rPr>
          <w:sz w:val="24"/>
        </w:rPr>
      </w:pPr>
    </w:p>
    <w:p w:rsidR="00EE4502" w:rsidRDefault="00FD45A3">
      <w:pPr>
        <w:spacing w:line="360" w:lineRule="auto"/>
        <w:ind w:firstLineChars="200" w:firstLine="500"/>
        <w:rPr>
          <w:spacing w:val="5"/>
          <w:sz w:val="24"/>
        </w:rPr>
      </w:pPr>
      <w:r>
        <w:rPr>
          <w:rFonts w:hint="eastAsia"/>
          <w:spacing w:val="5"/>
          <w:sz w:val="24"/>
        </w:rPr>
        <w:t>（</w:t>
      </w:r>
      <w:r>
        <w:rPr>
          <w:rFonts w:hint="eastAsia"/>
          <w:spacing w:val="5"/>
          <w:sz w:val="24"/>
        </w:rPr>
        <w:t>4</w:t>
      </w:r>
      <w:r>
        <w:rPr>
          <w:rFonts w:hint="eastAsia"/>
          <w:spacing w:val="5"/>
          <w:sz w:val="24"/>
        </w:rPr>
        <w:t>）样方调查概况</w:t>
      </w:r>
    </w:p>
    <w:p w:rsidR="00EE4502" w:rsidRDefault="00FD45A3">
      <w:pPr>
        <w:spacing w:line="360" w:lineRule="auto"/>
        <w:ind w:firstLineChars="225" w:firstLine="540"/>
        <w:rPr>
          <w:snapToGrid w:val="0"/>
          <w:kern w:val="0"/>
          <w:sz w:val="24"/>
        </w:rPr>
      </w:pPr>
      <w:r>
        <w:rPr>
          <w:rFonts w:hint="eastAsia"/>
          <w:snapToGrid w:val="0"/>
          <w:kern w:val="0"/>
          <w:sz w:val="24"/>
        </w:rPr>
        <w:t>A.</w:t>
      </w:r>
      <w:r>
        <w:rPr>
          <w:rFonts w:hint="eastAsia"/>
          <w:snapToGrid w:val="0"/>
          <w:kern w:val="0"/>
          <w:sz w:val="24"/>
        </w:rPr>
        <w:t>布设原则</w:t>
      </w:r>
    </w:p>
    <w:p w:rsidR="00EE4502" w:rsidRDefault="00FD45A3">
      <w:pPr>
        <w:spacing w:line="360" w:lineRule="auto"/>
        <w:ind w:firstLineChars="225" w:firstLine="540"/>
        <w:rPr>
          <w:snapToGrid w:val="0"/>
          <w:kern w:val="0"/>
          <w:sz w:val="24"/>
        </w:rPr>
      </w:pPr>
      <w:r>
        <w:rPr>
          <w:rFonts w:hint="eastAsia"/>
          <w:snapToGrid w:val="0"/>
          <w:kern w:val="0"/>
          <w:sz w:val="24"/>
        </w:rPr>
        <w:lastRenderedPageBreak/>
        <w:t>为了获取评价区植被类型及其生长状况信息（覆盖度、生物量、分布特征等），评价人员采取了遥感影像解译、实地踏勘、样方分析、查阅资料等多种方法。下面着重说明样方调查情况。</w:t>
      </w:r>
    </w:p>
    <w:p w:rsidR="00EE4502" w:rsidRDefault="00FD45A3">
      <w:pPr>
        <w:spacing w:line="360" w:lineRule="auto"/>
        <w:ind w:firstLineChars="225" w:firstLine="540"/>
        <w:rPr>
          <w:snapToGrid w:val="0"/>
          <w:kern w:val="0"/>
          <w:sz w:val="24"/>
        </w:rPr>
      </w:pPr>
      <w:r>
        <w:rPr>
          <w:rFonts w:hint="eastAsia"/>
          <w:snapToGrid w:val="0"/>
          <w:kern w:val="0"/>
          <w:sz w:val="24"/>
        </w:rPr>
        <w:t>B.</w:t>
      </w:r>
      <w:r>
        <w:rPr>
          <w:rFonts w:hint="eastAsia"/>
          <w:snapToGrid w:val="0"/>
          <w:kern w:val="0"/>
          <w:sz w:val="24"/>
        </w:rPr>
        <w:t>样方调查内容</w:t>
      </w:r>
    </w:p>
    <w:p w:rsidR="00EE4502" w:rsidRDefault="00FD45A3">
      <w:pPr>
        <w:spacing w:line="360" w:lineRule="auto"/>
        <w:ind w:firstLineChars="225" w:firstLine="540"/>
        <w:rPr>
          <w:snapToGrid w:val="0"/>
          <w:kern w:val="0"/>
          <w:sz w:val="24"/>
        </w:rPr>
      </w:pPr>
      <w:r>
        <w:rPr>
          <w:rFonts w:hint="eastAsia"/>
          <w:snapToGrid w:val="0"/>
          <w:kern w:val="0"/>
          <w:sz w:val="24"/>
        </w:rPr>
        <w:t>本项目生态环境影响评价等级为二级，根据《环境影响评价技术导则</w:t>
      </w:r>
      <w:r>
        <w:rPr>
          <w:rFonts w:hint="eastAsia"/>
          <w:snapToGrid w:val="0"/>
          <w:kern w:val="0"/>
          <w:sz w:val="24"/>
        </w:rPr>
        <w:t xml:space="preserve"> </w:t>
      </w:r>
      <w:r>
        <w:rPr>
          <w:rFonts w:hint="eastAsia"/>
          <w:snapToGrid w:val="0"/>
          <w:kern w:val="0"/>
          <w:sz w:val="24"/>
        </w:rPr>
        <w:t>生态影响》（</w:t>
      </w:r>
      <w:r>
        <w:rPr>
          <w:rFonts w:hint="eastAsia"/>
          <w:snapToGrid w:val="0"/>
          <w:kern w:val="0"/>
          <w:sz w:val="24"/>
        </w:rPr>
        <w:t>HJ19-2022</w:t>
      </w:r>
      <w:r>
        <w:rPr>
          <w:rFonts w:hint="eastAsia"/>
          <w:snapToGrid w:val="0"/>
          <w:kern w:val="0"/>
          <w:sz w:val="24"/>
        </w:rPr>
        <w:t>），陆生生态调查根据植物群落类型（宜以群系及以下分类单位为调查单元）设置调查样地，二级评价每种群落类型设置的样方数量不少于</w:t>
      </w:r>
      <w:r>
        <w:rPr>
          <w:rFonts w:hint="eastAsia"/>
          <w:snapToGrid w:val="0"/>
          <w:kern w:val="0"/>
          <w:sz w:val="24"/>
        </w:rPr>
        <w:t>3</w:t>
      </w:r>
      <w:r>
        <w:rPr>
          <w:rFonts w:hint="eastAsia"/>
          <w:snapToGrid w:val="0"/>
          <w:kern w:val="0"/>
          <w:sz w:val="24"/>
        </w:rPr>
        <w:t>个。本评价自然植被实地调查中主要采用样方法。在样方中统计植物种类、群落结构等数据，详细记录样方中的植物种类、盖度、建群种等信息。本次评价范围涉及梭梭</w:t>
      </w:r>
      <w:r>
        <w:rPr>
          <w:rFonts w:hint="eastAsia"/>
          <w:snapToGrid w:val="0"/>
          <w:kern w:val="0"/>
          <w:sz w:val="24"/>
        </w:rPr>
        <w:t>-</w:t>
      </w:r>
      <w:r>
        <w:rPr>
          <w:rFonts w:hint="eastAsia"/>
          <w:snapToGrid w:val="0"/>
          <w:kern w:val="0"/>
          <w:sz w:val="24"/>
        </w:rPr>
        <w:t>多枝柽柳</w:t>
      </w:r>
      <w:r>
        <w:rPr>
          <w:rFonts w:hint="eastAsia"/>
          <w:snapToGrid w:val="0"/>
          <w:kern w:val="0"/>
          <w:sz w:val="24"/>
        </w:rPr>
        <w:t>-</w:t>
      </w:r>
      <w:r>
        <w:rPr>
          <w:rFonts w:hint="eastAsia"/>
          <w:snapToGrid w:val="0"/>
          <w:kern w:val="0"/>
          <w:sz w:val="24"/>
        </w:rPr>
        <w:t>琵琶柴群系、梭梭</w:t>
      </w:r>
      <w:r>
        <w:rPr>
          <w:rFonts w:hint="eastAsia"/>
          <w:snapToGrid w:val="0"/>
          <w:kern w:val="0"/>
          <w:sz w:val="24"/>
        </w:rPr>
        <w:t>-</w:t>
      </w:r>
      <w:r>
        <w:rPr>
          <w:rFonts w:hint="eastAsia"/>
          <w:snapToGrid w:val="0"/>
          <w:kern w:val="0"/>
          <w:sz w:val="24"/>
        </w:rPr>
        <w:t>琵琶柴群系等</w:t>
      </w:r>
      <w:r>
        <w:rPr>
          <w:rFonts w:hint="eastAsia"/>
          <w:snapToGrid w:val="0"/>
          <w:kern w:val="0"/>
          <w:sz w:val="24"/>
        </w:rPr>
        <w:t>2</w:t>
      </w:r>
      <w:r>
        <w:rPr>
          <w:rFonts w:hint="eastAsia"/>
          <w:snapToGrid w:val="0"/>
          <w:kern w:val="0"/>
          <w:sz w:val="24"/>
        </w:rPr>
        <w:t>种植物群落类型，每种类型设置</w:t>
      </w:r>
      <w:r>
        <w:rPr>
          <w:rFonts w:hint="eastAsia"/>
          <w:snapToGrid w:val="0"/>
          <w:kern w:val="0"/>
          <w:sz w:val="24"/>
        </w:rPr>
        <w:t>3</w:t>
      </w:r>
      <w:r>
        <w:rPr>
          <w:rFonts w:hint="eastAsia"/>
          <w:snapToGrid w:val="0"/>
          <w:kern w:val="0"/>
          <w:sz w:val="24"/>
        </w:rPr>
        <w:t>个样方，共调查</w:t>
      </w:r>
      <w:r>
        <w:rPr>
          <w:rFonts w:hint="eastAsia"/>
          <w:snapToGrid w:val="0"/>
          <w:kern w:val="0"/>
          <w:sz w:val="24"/>
        </w:rPr>
        <w:t>6</w:t>
      </w:r>
      <w:r>
        <w:rPr>
          <w:rFonts w:hint="eastAsia"/>
          <w:snapToGrid w:val="0"/>
          <w:kern w:val="0"/>
          <w:sz w:val="24"/>
        </w:rPr>
        <w:t>个样方，布设天然植被调查样方的方法和记录内容如下所述：</w:t>
      </w:r>
    </w:p>
    <w:p w:rsidR="00EE4502" w:rsidRDefault="00FD45A3">
      <w:pPr>
        <w:spacing w:line="360" w:lineRule="auto"/>
        <w:ind w:firstLineChars="225" w:firstLine="540"/>
        <w:rPr>
          <w:snapToGrid w:val="0"/>
          <w:kern w:val="0"/>
          <w:sz w:val="24"/>
        </w:rPr>
      </w:pPr>
      <w:r>
        <w:rPr>
          <w:rFonts w:hint="eastAsia"/>
          <w:snapToGrid w:val="0"/>
          <w:kern w:val="0"/>
          <w:sz w:val="24"/>
        </w:rPr>
        <w:t>①</w:t>
      </w:r>
      <w:r>
        <w:rPr>
          <w:rFonts w:hint="eastAsia"/>
          <w:snapToGrid w:val="0"/>
          <w:kern w:val="0"/>
          <w:sz w:val="24"/>
        </w:rPr>
        <w:t>梭梭</w:t>
      </w:r>
      <w:r>
        <w:rPr>
          <w:rFonts w:hint="eastAsia"/>
          <w:snapToGrid w:val="0"/>
          <w:kern w:val="0"/>
          <w:sz w:val="24"/>
        </w:rPr>
        <w:t>-</w:t>
      </w:r>
      <w:r>
        <w:rPr>
          <w:rFonts w:hint="eastAsia"/>
          <w:snapToGrid w:val="0"/>
          <w:kern w:val="0"/>
          <w:sz w:val="24"/>
        </w:rPr>
        <w:t>琵琶柴群系植被样方调查：设置</w:t>
      </w:r>
      <w:r>
        <w:rPr>
          <w:rFonts w:hint="eastAsia"/>
          <w:snapToGrid w:val="0"/>
          <w:kern w:val="0"/>
          <w:sz w:val="24"/>
        </w:rPr>
        <w:t>10m</w:t>
      </w:r>
      <w:r>
        <w:rPr>
          <w:rFonts w:hint="eastAsia"/>
          <w:snapToGrid w:val="0"/>
          <w:kern w:val="0"/>
          <w:sz w:val="24"/>
        </w:rPr>
        <w:t>×</w:t>
      </w:r>
      <w:r>
        <w:rPr>
          <w:rFonts w:hint="eastAsia"/>
          <w:snapToGrid w:val="0"/>
          <w:kern w:val="0"/>
          <w:sz w:val="24"/>
        </w:rPr>
        <w:t>10m</w:t>
      </w:r>
      <w:r>
        <w:rPr>
          <w:rFonts w:hint="eastAsia"/>
          <w:snapToGrid w:val="0"/>
          <w:kern w:val="0"/>
          <w:sz w:val="24"/>
        </w:rPr>
        <w:t>的植被样方</w:t>
      </w:r>
      <w:r>
        <w:rPr>
          <w:rFonts w:hint="eastAsia"/>
          <w:snapToGrid w:val="0"/>
          <w:kern w:val="0"/>
          <w:sz w:val="24"/>
        </w:rPr>
        <w:t>3</w:t>
      </w:r>
      <w:r>
        <w:rPr>
          <w:rFonts w:hint="eastAsia"/>
          <w:snapToGrid w:val="0"/>
          <w:kern w:val="0"/>
          <w:sz w:val="24"/>
        </w:rPr>
        <w:t>个，记录该样方的坐标和周围地形，同时记录样方内的植物种名称、株数、平均高、各物种盖度、生物量等信息。</w:t>
      </w:r>
    </w:p>
    <w:p w:rsidR="00EE4502" w:rsidRDefault="00FD45A3">
      <w:pPr>
        <w:spacing w:line="360" w:lineRule="auto"/>
        <w:ind w:firstLineChars="225" w:firstLine="540"/>
        <w:rPr>
          <w:snapToGrid w:val="0"/>
          <w:kern w:val="0"/>
          <w:sz w:val="24"/>
        </w:rPr>
      </w:pPr>
      <w:r>
        <w:rPr>
          <w:rFonts w:hint="eastAsia"/>
          <w:snapToGrid w:val="0"/>
          <w:kern w:val="0"/>
          <w:sz w:val="24"/>
        </w:rPr>
        <w:t>②</w:t>
      </w:r>
      <w:r>
        <w:rPr>
          <w:rFonts w:hint="eastAsia"/>
          <w:snapToGrid w:val="0"/>
          <w:kern w:val="0"/>
          <w:sz w:val="24"/>
        </w:rPr>
        <w:t>梭梭</w:t>
      </w:r>
      <w:r>
        <w:rPr>
          <w:rFonts w:hint="eastAsia"/>
          <w:snapToGrid w:val="0"/>
          <w:kern w:val="0"/>
          <w:sz w:val="24"/>
        </w:rPr>
        <w:t>-</w:t>
      </w:r>
      <w:r>
        <w:rPr>
          <w:rFonts w:hint="eastAsia"/>
          <w:snapToGrid w:val="0"/>
          <w:kern w:val="0"/>
          <w:sz w:val="24"/>
        </w:rPr>
        <w:t>多枝柽柳</w:t>
      </w:r>
      <w:r>
        <w:rPr>
          <w:rFonts w:hint="eastAsia"/>
          <w:snapToGrid w:val="0"/>
          <w:kern w:val="0"/>
          <w:sz w:val="24"/>
        </w:rPr>
        <w:t>-</w:t>
      </w:r>
      <w:r>
        <w:rPr>
          <w:rFonts w:hint="eastAsia"/>
          <w:snapToGrid w:val="0"/>
          <w:kern w:val="0"/>
          <w:sz w:val="24"/>
        </w:rPr>
        <w:t>琵琶柴群系植被样方调查：设置</w:t>
      </w:r>
      <w:r>
        <w:rPr>
          <w:rFonts w:hint="eastAsia"/>
          <w:snapToGrid w:val="0"/>
          <w:kern w:val="0"/>
          <w:sz w:val="24"/>
        </w:rPr>
        <w:t>10</w:t>
      </w:r>
      <w:r>
        <w:rPr>
          <w:rFonts w:hint="eastAsia"/>
          <w:snapToGrid w:val="0"/>
          <w:kern w:val="0"/>
          <w:sz w:val="24"/>
        </w:rPr>
        <w:t>m</w:t>
      </w:r>
      <w:r>
        <w:rPr>
          <w:rFonts w:hint="eastAsia"/>
          <w:snapToGrid w:val="0"/>
          <w:kern w:val="0"/>
          <w:sz w:val="24"/>
        </w:rPr>
        <w:t>×</w:t>
      </w:r>
      <w:r>
        <w:rPr>
          <w:rFonts w:hint="eastAsia"/>
          <w:snapToGrid w:val="0"/>
          <w:kern w:val="0"/>
          <w:sz w:val="24"/>
        </w:rPr>
        <w:t>10</w:t>
      </w:r>
      <w:r>
        <w:rPr>
          <w:rFonts w:hint="eastAsia"/>
          <w:snapToGrid w:val="0"/>
          <w:kern w:val="0"/>
          <w:sz w:val="24"/>
        </w:rPr>
        <w:t>m</w:t>
      </w:r>
      <w:r>
        <w:rPr>
          <w:rFonts w:hint="eastAsia"/>
          <w:snapToGrid w:val="0"/>
          <w:kern w:val="0"/>
          <w:sz w:val="24"/>
        </w:rPr>
        <w:t>的植被样方</w:t>
      </w:r>
      <w:r>
        <w:rPr>
          <w:rFonts w:hint="eastAsia"/>
          <w:snapToGrid w:val="0"/>
          <w:kern w:val="0"/>
          <w:sz w:val="24"/>
        </w:rPr>
        <w:t>3</w:t>
      </w:r>
      <w:r>
        <w:rPr>
          <w:rFonts w:hint="eastAsia"/>
          <w:snapToGrid w:val="0"/>
          <w:kern w:val="0"/>
          <w:sz w:val="24"/>
        </w:rPr>
        <w:t>个，记录该样方的坐标和周围地形，同时记录样方内的植物种名称、株数、平均高、各物种盖度、生物量等信息。</w:t>
      </w:r>
    </w:p>
    <w:p w:rsidR="00EE4502" w:rsidRDefault="00EE4502">
      <w:pPr>
        <w:spacing w:line="360" w:lineRule="auto"/>
        <w:ind w:firstLineChars="225" w:firstLine="540"/>
        <w:rPr>
          <w:snapToGrid w:val="0"/>
          <w:kern w:val="0"/>
          <w:sz w:val="24"/>
        </w:rPr>
        <w:sectPr w:rsidR="00EE4502">
          <w:pgSz w:w="11906" w:h="16838"/>
          <w:pgMar w:top="1440" w:right="1800" w:bottom="1440" w:left="1800" w:header="850" w:footer="850" w:gutter="0"/>
          <w:pgNumType w:fmt="numberInDash"/>
          <w:cols w:space="720"/>
          <w:docGrid w:linePitch="326"/>
        </w:sectPr>
      </w:pPr>
    </w:p>
    <w:p w:rsidR="00EE4502" w:rsidRDefault="00FD45A3">
      <w:pPr>
        <w:spacing w:line="360" w:lineRule="auto"/>
        <w:ind w:firstLineChars="225" w:firstLine="540"/>
        <w:rPr>
          <w:snapToGrid w:val="0"/>
          <w:kern w:val="0"/>
          <w:sz w:val="24"/>
        </w:rPr>
      </w:pPr>
      <w:r>
        <w:rPr>
          <w:rFonts w:hint="eastAsia"/>
          <w:snapToGrid w:val="0"/>
          <w:kern w:val="0"/>
          <w:sz w:val="24"/>
        </w:rPr>
        <w:lastRenderedPageBreak/>
        <w:t>C.</w:t>
      </w:r>
      <w:r>
        <w:rPr>
          <w:rFonts w:hint="eastAsia"/>
          <w:snapToGrid w:val="0"/>
          <w:kern w:val="0"/>
          <w:sz w:val="24"/>
        </w:rPr>
        <w:t>样方信息统计</w:t>
      </w:r>
    </w:p>
    <w:p w:rsidR="00EE4502" w:rsidRDefault="00FD45A3">
      <w:pPr>
        <w:spacing w:line="360" w:lineRule="auto"/>
        <w:ind w:firstLineChars="225" w:firstLine="540"/>
        <w:rPr>
          <w:snapToGrid w:val="0"/>
          <w:kern w:val="0"/>
          <w:sz w:val="24"/>
        </w:rPr>
      </w:pPr>
      <w:r>
        <w:rPr>
          <w:rFonts w:hint="eastAsia"/>
          <w:snapToGrid w:val="0"/>
          <w:kern w:val="0"/>
          <w:sz w:val="24"/>
        </w:rPr>
        <w:t>调查过程共做实测和记录样方</w:t>
      </w:r>
      <w:r>
        <w:rPr>
          <w:rFonts w:hint="eastAsia"/>
          <w:snapToGrid w:val="0"/>
          <w:kern w:val="0"/>
          <w:sz w:val="24"/>
        </w:rPr>
        <w:t>6</w:t>
      </w:r>
      <w:r>
        <w:rPr>
          <w:rFonts w:hint="eastAsia"/>
          <w:snapToGrid w:val="0"/>
          <w:kern w:val="0"/>
          <w:sz w:val="24"/>
        </w:rPr>
        <w:t>个，主要样方情况见表</w:t>
      </w:r>
      <w:r>
        <w:rPr>
          <w:rFonts w:hint="eastAsia"/>
          <w:snapToGrid w:val="0"/>
          <w:kern w:val="0"/>
          <w:sz w:val="24"/>
        </w:rPr>
        <w:t>4</w:t>
      </w:r>
      <w:r>
        <w:rPr>
          <w:rFonts w:hint="eastAsia"/>
          <w:snapToGrid w:val="0"/>
          <w:kern w:val="0"/>
          <w:sz w:val="24"/>
        </w:rPr>
        <w:t>-2</w:t>
      </w:r>
      <w:r>
        <w:rPr>
          <w:rFonts w:hint="eastAsia"/>
          <w:snapToGrid w:val="0"/>
          <w:kern w:val="0"/>
          <w:sz w:val="24"/>
        </w:rPr>
        <w:t>-</w:t>
      </w:r>
      <w:r>
        <w:rPr>
          <w:rFonts w:hint="eastAsia"/>
          <w:snapToGrid w:val="0"/>
          <w:kern w:val="0"/>
          <w:sz w:val="24"/>
        </w:rPr>
        <w:t>6~</w:t>
      </w:r>
      <w:r>
        <w:rPr>
          <w:rFonts w:hint="eastAsia"/>
          <w:snapToGrid w:val="0"/>
          <w:kern w:val="0"/>
          <w:sz w:val="24"/>
        </w:rPr>
        <w:t>表</w:t>
      </w:r>
      <w:r>
        <w:rPr>
          <w:rFonts w:hint="eastAsia"/>
          <w:snapToGrid w:val="0"/>
          <w:kern w:val="0"/>
          <w:sz w:val="24"/>
        </w:rPr>
        <w:t>4-2-7</w:t>
      </w:r>
      <w:r>
        <w:rPr>
          <w:rFonts w:hint="eastAsia"/>
          <w:snapToGrid w:val="0"/>
          <w:kern w:val="0"/>
          <w:sz w:val="24"/>
        </w:rPr>
        <w:t>。根据样内和样外记录，结合以往有关研究等资料进行分析，由此</w:t>
      </w:r>
      <w:r>
        <w:rPr>
          <w:rFonts w:hint="eastAsia"/>
          <w:snapToGrid w:val="0"/>
          <w:kern w:val="0"/>
          <w:sz w:val="24"/>
        </w:rPr>
        <w:t>对调查区植被及植物资源状况获得初步认识。</w:t>
      </w:r>
    </w:p>
    <w:p w:rsidR="00EE4502" w:rsidRDefault="00FD45A3">
      <w:pPr>
        <w:spacing w:line="360" w:lineRule="auto"/>
        <w:ind w:firstLineChars="225" w:firstLine="540"/>
        <w:rPr>
          <w:snapToGrid w:val="0"/>
          <w:kern w:val="0"/>
          <w:sz w:val="24"/>
        </w:rPr>
      </w:pPr>
      <w:bookmarkStart w:id="201" w:name="_Hlk128694965"/>
      <w:r>
        <w:rPr>
          <w:rFonts w:hint="eastAsia"/>
          <w:snapToGrid w:val="0"/>
          <w:kern w:val="0"/>
          <w:sz w:val="24"/>
        </w:rPr>
        <w:t>梭梭</w:t>
      </w:r>
      <w:r>
        <w:rPr>
          <w:rFonts w:hint="eastAsia"/>
          <w:snapToGrid w:val="0"/>
          <w:kern w:val="0"/>
          <w:sz w:val="24"/>
        </w:rPr>
        <w:t>-</w:t>
      </w:r>
      <w:r>
        <w:rPr>
          <w:rFonts w:hint="eastAsia"/>
          <w:snapToGrid w:val="0"/>
          <w:kern w:val="0"/>
          <w:sz w:val="24"/>
        </w:rPr>
        <w:t>琵琶柴群系植被样方调查，调查地点：</w:t>
      </w:r>
      <w:r>
        <w:rPr>
          <w:rFonts w:hint="eastAsia"/>
          <w:snapToGrid w:val="0"/>
          <w:kern w:val="0"/>
          <w:sz w:val="24"/>
        </w:rPr>
        <w:t>分别在排</w:t>
      </w:r>
      <w:r>
        <w:rPr>
          <w:rFonts w:hint="eastAsia"/>
          <w:snapToGrid w:val="0"/>
          <w:kern w:val="0"/>
          <w:sz w:val="24"/>
        </w:rPr>
        <w:t>61</w:t>
      </w:r>
      <w:r>
        <w:rPr>
          <w:rFonts w:hint="eastAsia"/>
          <w:snapToGrid w:val="0"/>
          <w:kern w:val="0"/>
          <w:sz w:val="24"/>
        </w:rPr>
        <w:t>块北部、排</w:t>
      </w:r>
      <w:r>
        <w:rPr>
          <w:rFonts w:hint="eastAsia"/>
          <w:snapToGrid w:val="0"/>
          <w:kern w:val="0"/>
          <w:sz w:val="24"/>
        </w:rPr>
        <w:t>61</w:t>
      </w:r>
      <w:r>
        <w:rPr>
          <w:rFonts w:hint="eastAsia"/>
          <w:snapToGrid w:val="0"/>
          <w:kern w:val="0"/>
          <w:sz w:val="24"/>
        </w:rPr>
        <w:t>块东部、排</w:t>
      </w:r>
      <w:r>
        <w:rPr>
          <w:rFonts w:hint="eastAsia"/>
          <w:snapToGrid w:val="0"/>
          <w:kern w:val="0"/>
          <w:sz w:val="24"/>
        </w:rPr>
        <w:t>61</w:t>
      </w:r>
      <w:r>
        <w:rPr>
          <w:rFonts w:hint="eastAsia"/>
          <w:snapToGrid w:val="0"/>
          <w:kern w:val="0"/>
          <w:sz w:val="24"/>
        </w:rPr>
        <w:t>块西部布设样方</w:t>
      </w:r>
      <w:r>
        <w:rPr>
          <w:rFonts w:hint="eastAsia"/>
          <w:snapToGrid w:val="0"/>
          <w:kern w:val="0"/>
          <w:sz w:val="24"/>
        </w:rPr>
        <w:t>，土壤类型：</w:t>
      </w:r>
      <w:r>
        <w:rPr>
          <w:rFonts w:hint="eastAsia"/>
          <w:snapToGrid w:val="0"/>
          <w:kern w:val="0"/>
          <w:sz w:val="24"/>
        </w:rPr>
        <w:t>灰漠土等</w:t>
      </w:r>
      <w:r>
        <w:rPr>
          <w:rFonts w:hint="eastAsia"/>
          <w:snapToGrid w:val="0"/>
          <w:kern w:val="0"/>
          <w:sz w:val="24"/>
        </w:rPr>
        <w:t>；地形地貌为平原，总盖度为</w:t>
      </w:r>
      <w:r>
        <w:rPr>
          <w:rFonts w:hint="eastAsia"/>
          <w:snapToGrid w:val="0"/>
          <w:kern w:val="0"/>
          <w:sz w:val="24"/>
        </w:rPr>
        <w:t>20-</w:t>
      </w:r>
      <w:r>
        <w:rPr>
          <w:rFonts w:hint="eastAsia"/>
          <w:snapToGrid w:val="0"/>
          <w:kern w:val="0"/>
          <w:sz w:val="24"/>
        </w:rPr>
        <w:t>3</w:t>
      </w:r>
      <w:r>
        <w:rPr>
          <w:rFonts w:hint="eastAsia"/>
          <w:snapToGrid w:val="0"/>
          <w:kern w:val="0"/>
          <w:sz w:val="24"/>
        </w:rPr>
        <w:t>0%</w:t>
      </w:r>
      <w:r>
        <w:rPr>
          <w:rFonts w:hint="eastAsia"/>
          <w:snapToGrid w:val="0"/>
          <w:kern w:val="0"/>
          <w:sz w:val="24"/>
        </w:rPr>
        <w:t>。</w:t>
      </w:r>
    </w:p>
    <w:p w:rsidR="00EE4502" w:rsidRDefault="00FD45A3">
      <w:pPr>
        <w:spacing w:line="360" w:lineRule="auto"/>
        <w:ind w:firstLineChars="225" w:firstLine="540"/>
        <w:rPr>
          <w:rFonts w:ascii="仿宋" w:eastAsia="仿宋" w:hAnsi="仿宋" w:cs="仿宋"/>
          <w:snapToGrid w:val="0"/>
          <w:kern w:val="0"/>
          <w:sz w:val="24"/>
        </w:rPr>
      </w:pPr>
      <w:r>
        <w:rPr>
          <w:rFonts w:hint="eastAsia"/>
          <w:snapToGrid w:val="0"/>
          <w:kern w:val="0"/>
          <w:sz w:val="24"/>
        </w:rPr>
        <w:t>样方大小：</w:t>
      </w:r>
      <w:r>
        <w:rPr>
          <w:rFonts w:hint="eastAsia"/>
          <w:snapToGrid w:val="0"/>
          <w:kern w:val="0"/>
          <w:sz w:val="24"/>
        </w:rPr>
        <w:t>10</w:t>
      </w:r>
      <w:r>
        <w:rPr>
          <w:rFonts w:hint="eastAsia"/>
          <w:snapToGrid w:val="0"/>
          <w:kern w:val="0"/>
          <w:sz w:val="24"/>
        </w:rPr>
        <w:t>m</w:t>
      </w:r>
      <w:r>
        <w:rPr>
          <w:rFonts w:hint="eastAsia"/>
          <w:snapToGrid w:val="0"/>
          <w:kern w:val="0"/>
          <w:sz w:val="24"/>
        </w:rPr>
        <w:t>×</w:t>
      </w:r>
      <w:r>
        <w:rPr>
          <w:rFonts w:hint="eastAsia"/>
          <w:snapToGrid w:val="0"/>
          <w:kern w:val="0"/>
          <w:sz w:val="24"/>
        </w:rPr>
        <w:t>10</w:t>
      </w:r>
      <w:r>
        <w:rPr>
          <w:rFonts w:hint="eastAsia"/>
          <w:snapToGrid w:val="0"/>
          <w:kern w:val="0"/>
          <w:sz w:val="24"/>
        </w:rPr>
        <w:t>m</w:t>
      </w:r>
      <w:r>
        <w:rPr>
          <w:rFonts w:hint="eastAsia"/>
          <w:snapToGrid w:val="0"/>
          <w:kern w:val="0"/>
          <w:sz w:val="24"/>
        </w:rPr>
        <w:t>；统计结果见表</w:t>
      </w:r>
      <w:r>
        <w:rPr>
          <w:rFonts w:hint="eastAsia"/>
          <w:snapToGrid w:val="0"/>
          <w:kern w:val="0"/>
          <w:sz w:val="24"/>
        </w:rPr>
        <w:t>4-2-6</w:t>
      </w:r>
      <w:r>
        <w:rPr>
          <w:rFonts w:hint="eastAsia"/>
          <w:snapToGrid w:val="0"/>
          <w:kern w:val="0"/>
          <w:sz w:val="24"/>
        </w:rPr>
        <w:t>。</w:t>
      </w:r>
    </w:p>
    <w:p w:rsidR="00EE4502" w:rsidRDefault="00FD45A3">
      <w:pPr>
        <w:jc w:val="center"/>
        <w:rPr>
          <w:rFonts w:ascii="黑体" w:eastAsia="黑体" w:hAnsi="黑体" w:cs="黑体"/>
          <w:szCs w:val="21"/>
        </w:rPr>
      </w:pPr>
      <w:r>
        <w:rPr>
          <w:rFonts w:ascii="黑体" w:eastAsia="黑体" w:hAnsi="黑体" w:cs="黑体" w:hint="eastAsia"/>
          <w:szCs w:val="21"/>
        </w:rPr>
        <w:t>表</w:t>
      </w:r>
      <w:r>
        <w:rPr>
          <w:rFonts w:ascii="黑体" w:eastAsia="黑体" w:hAnsi="黑体" w:cs="黑体" w:hint="eastAsia"/>
          <w:szCs w:val="21"/>
        </w:rPr>
        <w:t xml:space="preserve">4-2-6  </w:t>
      </w:r>
      <w:r>
        <w:rPr>
          <w:rFonts w:ascii="黑体" w:eastAsia="黑体" w:hAnsi="黑体" w:cs="黑体" w:hint="eastAsia"/>
          <w:szCs w:val="21"/>
        </w:rPr>
        <w:t xml:space="preserve"> </w:t>
      </w:r>
      <w:r>
        <w:rPr>
          <w:rFonts w:ascii="黑体" w:eastAsia="黑体" w:hAnsi="黑体" w:cs="黑体" w:hint="eastAsia"/>
          <w:szCs w:val="21"/>
        </w:rPr>
        <w:t>群系</w:t>
      </w:r>
      <w:r>
        <w:rPr>
          <w:rFonts w:ascii="黑体" w:eastAsia="黑体" w:hAnsi="黑体" w:cs="黑体" w:hint="eastAsia"/>
          <w:szCs w:val="21"/>
        </w:rPr>
        <w:t>1</w:t>
      </w:r>
      <w:r>
        <w:rPr>
          <w:rFonts w:ascii="黑体" w:eastAsia="黑体" w:hAnsi="黑体" w:cs="黑体" w:hint="eastAsia"/>
          <w:szCs w:val="21"/>
        </w:rPr>
        <w:t>植被样方调查统计表</w:t>
      </w:r>
    </w:p>
    <w:tbl>
      <w:tblPr>
        <w:tblpPr w:leftFromText="180" w:rightFromText="180" w:vertAnchor="text" w:tblpXSpec="center" w:tblpY="8"/>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043"/>
        <w:gridCol w:w="2011"/>
        <w:gridCol w:w="150"/>
        <w:gridCol w:w="1396"/>
        <w:gridCol w:w="1219"/>
        <w:gridCol w:w="827"/>
        <w:gridCol w:w="876"/>
      </w:tblGrid>
      <w:tr w:rsidR="00EE4502">
        <w:trPr>
          <w:trHeight w:val="532"/>
          <w:jc w:val="center"/>
        </w:trPr>
        <w:tc>
          <w:tcPr>
            <w:tcW w:w="1199" w:type="pct"/>
            <w:vMerge w:val="restart"/>
            <w:vAlign w:val="center"/>
          </w:tcPr>
          <w:p w:rsidR="00EE4502" w:rsidRDefault="00FD45A3">
            <w:pPr>
              <w:jc w:val="center"/>
              <w:rPr>
                <w:rFonts w:ascii="仿宋" w:eastAsia="仿宋" w:hAnsi="仿宋" w:cs="仿宋"/>
                <w:sz w:val="24"/>
              </w:rPr>
            </w:pPr>
            <w:r>
              <w:rPr>
                <w:rFonts w:ascii="仿宋" w:eastAsia="仿宋" w:hAnsi="仿宋" w:cs="仿宋" w:hint="eastAsia"/>
                <w:sz w:val="24"/>
              </w:rPr>
              <w:t>地点</w:t>
            </w:r>
          </w:p>
        </w:tc>
        <w:tc>
          <w:tcPr>
            <w:tcW w:w="3800" w:type="pct"/>
            <w:gridSpan w:val="6"/>
            <w:vAlign w:val="center"/>
          </w:tcPr>
          <w:p w:rsidR="00EE4502" w:rsidRDefault="00FD45A3">
            <w:pPr>
              <w:jc w:val="center"/>
              <w:rPr>
                <w:rFonts w:ascii="仿宋" w:eastAsia="仿宋" w:hAnsi="仿宋" w:cs="仿宋"/>
                <w:sz w:val="24"/>
              </w:rPr>
            </w:pPr>
            <w:r>
              <w:rPr>
                <w:rFonts w:ascii="仿宋" w:eastAsia="仿宋" w:hAnsi="仿宋" w:cs="仿宋" w:hint="eastAsia"/>
                <w:sz w:val="24"/>
              </w:rPr>
              <w:t>植被生长状况</w:t>
            </w:r>
          </w:p>
        </w:tc>
      </w:tr>
      <w:tr w:rsidR="00EE4502">
        <w:trPr>
          <w:trHeight w:val="482"/>
          <w:jc w:val="center"/>
        </w:trPr>
        <w:tc>
          <w:tcPr>
            <w:tcW w:w="1199" w:type="pct"/>
            <w:vMerge/>
            <w:vAlign w:val="center"/>
          </w:tcPr>
          <w:p w:rsidR="00EE4502" w:rsidRDefault="00EE4502">
            <w:pPr>
              <w:jc w:val="center"/>
              <w:rPr>
                <w:rFonts w:ascii="仿宋" w:eastAsia="仿宋" w:hAnsi="仿宋" w:cs="仿宋"/>
                <w:sz w:val="24"/>
              </w:rPr>
            </w:pPr>
          </w:p>
        </w:tc>
        <w:tc>
          <w:tcPr>
            <w:tcW w:w="1180" w:type="pct"/>
            <w:vAlign w:val="center"/>
          </w:tcPr>
          <w:p w:rsidR="00EE4502" w:rsidRDefault="00FD45A3">
            <w:pPr>
              <w:jc w:val="center"/>
              <w:rPr>
                <w:rFonts w:ascii="仿宋" w:eastAsia="仿宋" w:hAnsi="仿宋" w:cs="仿宋"/>
                <w:sz w:val="24"/>
              </w:rPr>
            </w:pPr>
            <w:r>
              <w:rPr>
                <w:rFonts w:ascii="仿宋" w:eastAsia="仿宋" w:hAnsi="仿宋" w:cs="仿宋" w:hint="eastAsia"/>
                <w:sz w:val="24"/>
              </w:rPr>
              <w:t>种类</w:t>
            </w:r>
          </w:p>
        </w:tc>
        <w:tc>
          <w:tcPr>
            <w:tcW w:w="907" w:type="pct"/>
            <w:gridSpan w:val="2"/>
            <w:vAlign w:val="center"/>
          </w:tcPr>
          <w:p w:rsidR="00EE4502" w:rsidRDefault="00FD45A3">
            <w:pPr>
              <w:jc w:val="center"/>
              <w:rPr>
                <w:rFonts w:ascii="仿宋" w:eastAsia="仿宋" w:hAnsi="仿宋" w:cs="仿宋"/>
                <w:sz w:val="24"/>
              </w:rPr>
            </w:pPr>
            <w:r>
              <w:rPr>
                <w:rFonts w:ascii="仿宋" w:eastAsia="仿宋" w:hAnsi="仿宋" w:cs="仿宋" w:hint="eastAsia"/>
                <w:sz w:val="24"/>
              </w:rPr>
              <w:t>高度（</w:t>
            </w:r>
            <w:r>
              <w:rPr>
                <w:rFonts w:ascii="仿宋" w:eastAsia="仿宋" w:hAnsi="仿宋" w:cs="仿宋" w:hint="eastAsia"/>
                <w:sz w:val="24"/>
              </w:rPr>
              <w:t>cm</w:t>
            </w:r>
            <w:r>
              <w:rPr>
                <w:rFonts w:ascii="仿宋" w:eastAsia="仿宋" w:hAnsi="仿宋" w:cs="仿宋" w:hint="eastAsia"/>
                <w:sz w:val="24"/>
              </w:rPr>
              <w:t>）</w:t>
            </w:r>
          </w:p>
        </w:tc>
        <w:tc>
          <w:tcPr>
            <w:tcW w:w="715" w:type="pct"/>
            <w:vAlign w:val="center"/>
          </w:tcPr>
          <w:p w:rsidR="00EE4502" w:rsidRDefault="00FD45A3">
            <w:pPr>
              <w:jc w:val="center"/>
              <w:rPr>
                <w:rFonts w:ascii="仿宋" w:eastAsia="仿宋" w:hAnsi="仿宋" w:cs="仿宋"/>
                <w:sz w:val="24"/>
              </w:rPr>
            </w:pPr>
            <w:r>
              <w:rPr>
                <w:rFonts w:ascii="仿宋" w:eastAsia="仿宋" w:hAnsi="仿宋" w:cs="仿宋" w:hint="eastAsia"/>
                <w:sz w:val="24"/>
              </w:rPr>
              <w:t>数量</w:t>
            </w:r>
          </w:p>
        </w:tc>
        <w:tc>
          <w:tcPr>
            <w:tcW w:w="485" w:type="pct"/>
            <w:vAlign w:val="center"/>
          </w:tcPr>
          <w:p w:rsidR="00EE4502" w:rsidRDefault="00FD45A3">
            <w:pPr>
              <w:jc w:val="center"/>
              <w:rPr>
                <w:rFonts w:ascii="仿宋" w:eastAsia="仿宋" w:hAnsi="仿宋" w:cs="仿宋"/>
                <w:sz w:val="24"/>
              </w:rPr>
            </w:pPr>
            <w:r>
              <w:rPr>
                <w:rFonts w:ascii="仿宋" w:eastAsia="仿宋" w:hAnsi="仿宋" w:cs="仿宋" w:hint="eastAsia"/>
                <w:sz w:val="24"/>
              </w:rPr>
              <w:t>盖度，</w:t>
            </w:r>
            <w:r>
              <w:rPr>
                <w:rFonts w:ascii="仿宋" w:eastAsia="仿宋" w:hAnsi="仿宋" w:cs="仿宋" w:hint="eastAsia"/>
                <w:sz w:val="24"/>
              </w:rPr>
              <w:t>%</w:t>
            </w:r>
          </w:p>
        </w:tc>
        <w:tc>
          <w:tcPr>
            <w:tcW w:w="512" w:type="pct"/>
            <w:vAlign w:val="center"/>
          </w:tcPr>
          <w:p w:rsidR="00EE4502" w:rsidRDefault="00FD45A3">
            <w:pPr>
              <w:jc w:val="center"/>
              <w:rPr>
                <w:rFonts w:ascii="仿宋" w:eastAsia="仿宋" w:hAnsi="仿宋" w:cs="仿宋"/>
                <w:sz w:val="24"/>
              </w:rPr>
            </w:pPr>
            <w:r>
              <w:rPr>
                <w:rFonts w:ascii="仿宋" w:eastAsia="仿宋" w:hAnsi="仿宋" w:cs="仿宋" w:hint="eastAsia"/>
                <w:sz w:val="24"/>
              </w:rPr>
              <w:t>多度</w:t>
            </w:r>
          </w:p>
        </w:tc>
      </w:tr>
      <w:tr w:rsidR="00EE4502">
        <w:trPr>
          <w:jc w:val="center"/>
        </w:trPr>
        <w:tc>
          <w:tcPr>
            <w:tcW w:w="5000" w:type="pct"/>
            <w:gridSpan w:val="7"/>
            <w:vAlign w:val="center"/>
          </w:tcPr>
          <w:p w:rsidR="00EE4502" w:rsidRDefault="00FD45A3">
            <w:pPr>
              <w:jc w:val="left"/>
              <w:rPr>
                <w:rFonts w:ascii="仿宋" w:eastAsia="仿宋" w:hAnsi="仿宋" w:cs="仿宋"/>
                <w:b/>
                <w:bCs/>
                <w:sz w:val="24"/>
              </w:rPr>
            </w:pPr>
            <w:r>
              <w:rPr>
                <w:rFonts w:ascii="仿宋" w:eastAsia="仿宋" w:hAnsi="仿宋" w:cs="仿宋" w:hint="eastAsia"/>
                <w:b/>
                <w:bCs/>
                <w:sz w:val="24"/>
              </w:rPr>
              <w:t>样方</w:t>
            </w:r>
            <w:r>
              <w:rPr>
                <w:rFonts w:ascii="仿宋" w:eastAsia="仿宋" w:hAnsi="仿宋" w:cs="仿宋" w:hint="eastAsia"/>
                <w:b/>
                <w:bCs/>
                <w:sz w:val="24"/>
              </w:rPr>
              <w:t>1-1</w:t>
            </w:r>
          </w:p>
        </w:tc>
      </w:tr>
      <w:tr w:rsidR="00EE4502">
        <w:trPr>
          <w:jc w:val="center"/>
        </w:trPr>
        <w:tc>
          <w:tcPr>
            <w:tcW w:w="1199" w:type="pct"/>
            <w:vMerge w:val="restart"/>
            <w:vAlign w:val="center"/>
          </w:tcPr>
          <w:p w:rsidR="00EE4502" w:rsidRDefault="00FD45A3">
            <w:pPr>
              <w:jc w:val="center"/>
              <w:rPr>
                <w:rFonts w:ascii="仿宋" w:eastAsia="仿宋" w:hAnsi="仿宋" w:cs="仿宋"/>
                <w:sz w:val="24"/>
              </w:rPr>
            </w:pPr>
            <w:r>
              <w:rPr>
                <w:rFonts w:ascii="仿宋" w:eastAsia="仿宋" w:hAnsi="仿宋" w:cs="仿宋" w:hint="eastAsia"/>
                <w:sz w:val="24"/>
              </w:rPr>
              <w:t>排</w:t>
            </w:r>
            <w:r>
              <w:rPr>
                <w:rFonts w:ascii="仿宋" w:eastAsia="仿宋" w:hAnsi="仿宋" w:cs="仿宋" w:hint="eastAsia"/>
                <w:sz w:val="24"/>
              </w:rPr>
              <w:t>61</w:t>
            </w:r>
            <w:r>
              <w:rPr>
                <w:rFonts w:ascii="仿宋" w:eastAsia="仿宋" w:hAnsi="仿宋" w:cs="仿宋" w:hint="eastAsia"/>
                <w:sz w:val="24"/>
              </w:rPr>
              <w:t>块北部</w:t>
            </w:r>
          </w:p>
        </w:tc>
        <w:tc>
          <w:tcPr>
            <w:tcW w:w="1180" w:type="pct"/>
            <w:vAlign w:val="center"/>
          </w:tcPr>
          <w:p w:rsidR="00EE4502" w:rsidRDefault="00FD45A3">
            <w:pPr>
              <w:jc w:val="center"/>
              <w:rPr>
                <w:rFonts w:ascii="仿宋" w:eastAsia="仿宋" w:hAnsi="仿宋" w:cs="仿宋"/>
                <w:sz w:val="24"/>
              </w:rPr>
            </w:pPr>
            <w:r>
              <w:rPr>
                <w:rFonts w:ascii="仿宋" w:eastAsia="仿宋" w:hAnsi="仿宋" w:cs="仿宋" w:hint="eastAsia"/>
                <w:sz w:val="24"/>
              </w:rPr>
              <w:t>梭梭</w:t>
            </w:r>
          </w:p>
        </w:tc>
        <w:tc>
          <w:tcPr>
            <w:tcW w:w="907" w:type="pct"/>
            <w:gridSpan w:val="2"/>
            <w:vAlign w:val="center"/>
          </w:tcPr>
          <w:p w:rsidR="00EE4502" w:rsidRDefault="00FD45A3">
            <w:pPr>
              <w:jc w:val="center"/>
              <w:rPr>
                <w:rFonts w:ascii="仿宋" w:eastAsia="仿宋" w:hAnsi="仿宋" w:cs="仿宋"/>
                <w:sz w:val="24"/>
              </w:rPr>
            </w:pPr>
            <w:r>
              <w:rPr>
                <w:rFonts w:ascii="仿宋" w:eastAsia="仿宋" w:hAnsi="仿宋" w:cs="仿宋" w:hint="eastAsia"/>
                <w:sz w:val="24"/>
                <w:lang w:bidi="ar"/>
              </w:rPr>
              <w:t>65-185</w:t>
            </w:r>
          </w:p>
        </w:tc>
        <w:tc>
          <w:tcPr>
            <w:tcW w:w="715" w:type="pct"/>
            <w:vAlign w:val="center"/>
          </w:tcPr>
          <w:p w:rsidR="00EE4502" w:rsidRDefault="00FD45A3">
            <w:pPr>
              <w:jc w:val="center"/>
              <w:rPr>
                <w:rFonts w:ascii="仿宋" w:eastAsia="仿宋" w:hAnsi="仿宋" w:cs="仿宋"/>
                <w:sz w:val="24"/>
              </w:rPr>
            </w:pPr>
            <w:r>
              <w:rPr>
                <w:rFonts w:ascii="仿宋" w:eastAsia="仿宋" w:hAnsi="仿宋" w:cs="仿宋" w:hint="eastAsia"/>
                <w:sz w:val="24"/>
                <w:lang w:bidi="ar"/>
              </w:rPr>
              <w:t>6</w:t>
            </w:r>
          </w:p>
        </w:tc>
        <w:tc>
          <w:tcPr>
            <w:tcW w:w="485" w:type="pct"/>
            <w:vAlign w:val="center"/>
          </w:tcPr>
          <w:p w:rsidR="00EE4502" w:rsidRDefault="00FD45A3">
            <w:pPr>
              <w:jc w:val="center"/>
              <w:rPr>
                <w:rFonts w:ascii="仿宋" w:eastAsia="仿宋" w:hAnsi="仿宋" w:cs="仿宋"/>
                <w:sz w:val="24"/>
              </w:rPr>
            </w:pPr>
            <w:r>
              <w:rPr>
                <w:rFonts w:ascii="仿宋" w:eastAsia="仿宋" w:hAnsi="仿宋" w:cs="仿宋" w:hint="eastAsia"/>
                <w:sz w:val="24"/>
                <w:lang w:bidi="ar"/>
              </w:rPr>
              <w:t>15</w:t>
            </w:r>
          </w:p>
        </w:tc>
        <w:tc>
          <w:tcPr>
            <w:tcW w:w="512" w:type="pct"/>
            <w:vAlign w:val="center"/>
          </w:tcPr>
          <w:p w:rsidR="00EE4502" w:rsidRDefault="00FD45A3">
            <w:pPr>
              <w:jc w:val="center"/>
              <w:rPr>
                <w:rFonts w:ascii="仿宋" w:eastAsia="仿宋" w:hAnsi="仿宋" w:cs="仿宋"/>
                <w:sz w:val="24"/>
              </w:rPr>
            </w:pPr>
            <w:r>
              <w:rPr>
                <w:rFonts w:ascii="仿宋" w:eastAsia="仿宋" w:hAnsi="仿宋" w:cs="仿宋" w:hint="eastAsia"/>
                <w:sz w:val="24"/>
                <w:lang w:bidi="ar"/>
              </w:rPr>
              <w:t>Cop1</w:t>
            </w:r>
          </w:p>
        </w:tc>
      </w:tr>
      <w:tr w:rsidR="00EE4502">
        <w:trPr>
          <w:jc w:val="center"/>
        </w:trPr>
        <w:tc>
          <w:tcPr>
            <w:tcW w:w="1199" w:type="pct"/>
            <w:vMerge/>
            <w:vAlign w:val="center"/>
          </w:tcPr>
          <w:p w:rsidR="00EE4502" w:rsidRDefault="00EE4502">
            <w:pPr>
              <w:jc w:val="center"/>
              <w:rPr>
                <w:rFonts w:ascii="仿宋" w:eastAsia="仿宋" w:hAnsi="仿宋" w:cs="仿宋"/>
                <w:sz w:val="24"/>
              </w:rPr>
            </w:pPr>
          </w:p>
        </w:tc>
        <w:tc>
          <w:tcPr>
            <w:tcW w:w="1180" w:type="pct"/>
            <w:vAlign w:val="center"/>
          </w:tcPr>
          <w:p w:rsidR="00EE4502" w:rsidRDefault="00FD45A3">
            <w:pPr>
              <w:jc w:val="center"/>
              <w:rPr>
                <w:rFonts w:ascii="仿宋" w:eastAsia="仿宋" w:hAnsi="仿宋" w:cs="仿宋"/>
                <w:sz w:val="24"/>
              </w:rPr>
            </w:pPr>
            <w:r>
              <w:rPr>
                <w:rFonts w:ascii="仿宋" w:eastAsia="仿宋" w:hAnsi="仿宋" w:cs="仿宋" w:hint="eastAsia"/>
                <w:sz w:val="24"/>
              </w:rPr>
              <w:t>琵琶柴</w:t>
            </w:r>
          </w:p>
        </w:tc>
        <w:tc>
          <w:tcPr>
            <w:tcW w:w="907" w:type="pct"/>
            <w:gridSpan w:val="2"/>
            <w:vAlign w:val="center"/>
          </w:tcPr>
          <w:p w:rsidR="00EE4502" w:rsidRDefault="00FD45A3">
            <w:pPr>
              <w:jc w:val="center"/>
              <w:rPr>
                <w:rFonts w:ascii="仿宋" w:eastAsia="仿宋" w:hAnsi="仿宋" w:cs="仿宋"/>
                <w:sz w:val="24"/>
              </w:rPr>
            </w:pPr>
            <w:r>
              <w:rPr>
                <w:rFonts w:ascii="仿宋" w:eastAsia="仿宋" w:hAnsi="仿宋" w:cs="仿宋" w:hint="eastAsia"/>
                <w:sz w:val="24"/>
              </w:rPr>
              <w:t>20</w:t>
            </w:r>
            <w:r>
              <w:rPr>
                <w:rFonts w:ascii="仿宋" w:eastAsia="仿宋" w:hAnsi="仿宋" w:cs="仿宋" w:hint="eastAsia"/>
                <w:sz w:val="24"/>
              </w:rPr>
              <w:t>-</w:t>
            </w:r>
            <w:r>
              <w:rPr>
                <w:rFonts w:ascii="仿宋" w:eastAsia="仿宋" w:hAnsi="仿宋" w:cs="仿宋" w:hint="eastAsia"/>
                <w:sz w:val="24"/>
              </w:rPr>
              <w:t>30</w:t>
            </w:r>
          </w:p>
        </w:tc>
        <w:tc>
          <w:tcPr>
            <w:tcW w:w="715" w:type="pct"/>
            <w:vAlign w:val="center"/>
          </w:tcPr>
          <w:p w:rsidR="00EE4502" w:rsidRDefault="00FD45A3">
            <w:pPr>
              <w:jc w:val="center"/>
              <w:rPr>
                <w:rFonts w:ascii="仿宋" w:eastAsia="仿宋" w:hAnsi="仿宋" w:cs="仿宋"/>
                <w:sz w:val="24"/>
              </w:rPr>
            </w:pPr>
            <w:r>
              <w:rPr>
                <w:rFonts w:ascii="仿宋" w:eastAsia="仿宋" w:hAnsi="仿宋" w:cs="仿宋" w:hint="eastAsia"/>
                <w:sz w:val="24"/>
              </w:rPr>
              <w:t>11</w:t>
            </w:r>
          </w:p>
        </w:tc>
        <w:tc>
          <w:tcPr>
            <w:tcW w:w="485" w:type="pct"/>
            <w:vAlign w:val="center"/>
          </w:tcPr>
          <w:p w:rsidR="00EE4502" w:rsidRDefault="00FD45A3">
            <w:pPr>
              <w:jc w:val="center"/>
              <w:rPr>
                <w:rFonts w:ascii="仿宋" w:eastAsia="仿宋" w:hAnsi="仿宋" w:cs="仿宋"/>
                <w:sz w:val="24"/>
              </w:rPr>
            </w:pPr>
            <w:r>
              <w:rPr>
                <w:rFonts w:ascii="仿宋" w:eastAsia="仿宋" w:hAnsi="仿宋" w:cs="仿宋" w:hint="eastAsia"/>
                <w:sz w:val="24"/>
              </w:rPr>
              <w:t>8</w:t>
            </w:r>
          </w:p>
        </w:tc>
        <w:tc>
          <w:tcPr>
            <w:tcW w:w="512" w:type="pct"/>
            <w:vAlign w:val="center"/>
          </w:tcPr>
          <w:p w:rsidR="00EE4502" w:rsidRDefault="00FD45A3">
            <w:pPr>
              <w:jc w:val="center"/>
              <w:rPr>
                <w:rFonts w:ascii="仿宋" w:eastAsia="仿宋" w:hAnsi="仿宋" w:cs="仿宋"/>
                <w:sz w:val="24"/>
              </w:rPr>
            </w:pPr>
            <w:r>
              <w:rPr>
                <w:rFonts w:ascii="仿宋" w:eastAsia="仿宋" w:hAnsi="仿宋" w:cs="仿宋" w:hint="eastAsia"/>
                <w:sz w:val="24"/>
              </w:rPr>
              <w:t>Sp</w:t>
            </w:r>
          </w:p>
        </w:tc>
      </w:tr>
      <w:tr w:rsidR="00EE4502">
        <w:trPr>
          <w:jc w:val="center"/>
        </w:trPr>
        <w:tc>
          <w:tcPr>
            <w:tcW w:w="1199" w:type="pct"/>
            <w:vMerge/>
            <w:vAlign w:val="center"/>
          </w:tcPr>
          <w:p w:rsidR="00EE4502" w:rsidRDefault="00EE4502">
            <w:pPr>
              <w:jc w:val="center"/>
              <w:rPr>
                <w:rFonts w:ascii="仿宋" w:eastAsia="仿宋" w:hAnsi="仿宋" w:cs="仿宋"/>
                <w:sz w:val="24"/>
              </w:rPr>
            </w:pPr>
          </w:p>
        </w:tc>
        <w:tc>
          <w:tcPr>
            <w:tcW w:w="1180" w:type="pct"/>
            <w:vAlign w:val="center"/>
          </w:tcPr>
          <w:p w:rsidR="00EE4502" w:rsidRDefault="00FD45A3">
            <w:pPr>
              <w:jc w:val="center"/>
              <w:rPr>
                <w:rFonts w:ascii="仿宋" w:eastAsia="仿宋" w:hAnsi="仿宋" w:cs="仿宋"/>
                <w:sz w:val="24"/>
              </w:rPr>
            </w:pPr>
            <w:r>
              <w:rPr>
                <w:rFonts w:ascii="仿宋" w:eastAsia="仿宋" w:hAnsi="仿宋" w:cs="仿宋"/>
                <w:sz w:val="24"/>
              </w:rPr>
              <w:t>木碱蓬</w:t>
            </w:r>
          </w:p>
        </w:tc>
        <w:tc>
          <w:tcPr>
            <w:tcW w:w="907" w:type="pct"/>
            <w:gridSpan w:val="2"/>
            <w:vAlign w:val="center"/>
          </w:tcPr>
          <w:p w:rsidR="00EE4502" w:rsidRDefault="00FD45A3">
            <w:pPr>
              <w:jc w:val="center"/>
              <w:rPr>
                <w:rFonts w:ascii="仿宋" w:eastAsia="仿宋" w:hAnsi="仿宋" w:cs="仿宋"/>
                <w:sz w:val="24"/>
              </w:rPr>
            </w:pPr>
            <w:r>
              <w:rPr>
                <w:rFonts w:ascii="仿宋" w:eastAsia="仿宋" w:hAnsi="仿宋" w:cs="仿宋" w:hint="eastAsia"/>
                <w:sz w:val="24"/>
              </w:rPr>
              <w:t>35-45</w:t>
            </w:r>
          </w:p>
        </w:tc>
        <w:tc>
          <w:tcPr>
            <w:tcW w:w="715" w:type="pct"/>
            <w:vAlign w:val="center"/>
          </w:tcPr>
          <w:p w:rsidR="00EE4502" w:rsidRDefault="00FD45A3">
            <w:pPr>
              <w:jc w:val="center"/>
              <w:rPr>
                <w:rFonts w:ascii="仿宋" w:eastAsia="仿宋" w:hAnsi="仿宋" w:cs="仿宋"/>
                <w:sz w:val="24"/>
              </w:rPr>
            </w:pPr>
            <w:r>
              <w:rPr>
                <w:rFonts w:ascii="仿宋" w:eastAsia="仿宋" w:hAnsi="仿宋" w:cs="仿宋" w:hint="eastAsia"/>
                <w:sz w:val="24"/>
              </w:rPr>
              <w:t>3</w:t>
            </w:r>
          </w:p>
        </w:tc>
        <w:tc>
          <w:tcPr>
            <w:tcW w:w="485" w:type="pct"/>
            <w:vAlign w:val="center"/>
          </w:tcPr>
          <w:p w:rsidR="00EE4502" w:rsidRDefault="00FD45A3">
            <w:pPr>
              <w:jc w:val="center"/>
              <w:rPr>
                <w:rFonts w:ascii="仿宋" w:eastAsia="仿宋" w:hAnsi="仿宋" w:cs="仿宋"/>
                <w:sz w:val="24"/>
              </w:rPr>
            </w:pPr>
            <w:r>
              <w:rPr>
                <w:rFonts w:ascii="仿宋" w:eastAsia="仿宋" w:hAnsi="仿宋" w:cs="仿宋" w:hint="eastAsia"/>
                <w:sz w:val="24"/>
              </w:rPr>
              <w:t>2</w:t>
            </w:r>
          </w:p>
        </w:tc>
        <w:tc>
          <w:tcPr>
            <w:tcW w:w="512" w:type="pct"/>
            <w:vAlign w:val="center"/>
          </w:tcPr>
          <w:p w:rsidR="00EE4502" w:rsidRDefault="00FD45A3">
            <w:pPr>
              <w:jc w:val="center"/>
              <w:rPr>
                <w:rFonts w:ascii="仿宋" w:eastAsia="仿宋" w:hAnsi="仿宋" w:cs="仿宋"/>
                <w:sz w:val="24"/>
              </w:rPr>
            </w:pPr>
            <w:r>
              <w:rPr>
                <w:rFonts w:ascii="仿宋" w:eastAsia="仿宋" w:hAnsi="仿宋" w:cs="仿宋" w:hint="eastAsia"/>
                <w:sz w:val="24"/>
              </w:rPr>
              <w:t>UN</w:t>
            </w:r>
          </w:p>
        </w:tc>
      </w:tr>
      <w:tr w:rsidR="00EE4502">
        <w:trPr>
          <w:jc w:val="center"/>
        </w:trPr>
        <w:tc>
          <w:tcPr>
            <w:tcW w:w="5000" w:type="pct"/>
            <w:gridSpan w:val="7"/>
            <w:vAlign w:val="center"/>
          </w:tcPr>
          <w:p w:rsidR="00EE4502" w:rsidRDefault="00FD45A3">
            <w:pPr>
              <w:rPr>
                <w:rFonts w:ascii="仿宋" w:eastAsia="仿宋" w:hAnsi="仿宋" w:cs="仿宋"/>
                <w:b/>
                <w:bCs/>
                <w:sz w:val="24"/>
              </w:rPr>
            </w:pPr>
            <w:r>
              <w:rPr>
                <w:rFonts w:ascii="仿宋" w:eastAsia="仿宋" w:hAnsi="仿宋" w:cs="仿宋" w:hint="eastAsia"/>
                <w:b/>
                <w:bCs/>
                <w:sz w:val="24"/>
              </w:rPr>
              <w:t>样方</w:t>
            </w:r>
            <w:r>
              <w:rPr>
                <w:rFonts w:ascii="仿宋" w:eastAsia="仿宋" w:hAnsi="仿宋" w:cs="仿宋" w:hint="eastAsia"/>
                <w:b/>
                <w:bCs/>
                <w:sz w:val="24"/>
              </w:rPr>
              <w:t>1-2</w:t>
            </w:r>
          </w:p>
        </w:tc>
      </w:tr>
      <w:tr w:rsidR="00EE4502">
        <w:trPr>
          <w:jc w:val="center"/>
        </w:trPr>
        <w:tc>
          <w:tcPr>
            <w:tcW w:w="1199" w:type="pct"/>
            <w:vMerge w:val="restart"/>
            <w:vAlign w:val="center"/>
          </w:tcPr>
          <w:p w:rsidR="00EE4502" w:rsidRDefault="00FD45A3">
            <w:pPr>
              <w:jc w:val="center"/>
              <w:rPr>
                <w:rFonts w:ascii="仿宋" w:eastAsia="仿宋" w:hAnsi="仿宋" w:cs="仿宋"/>
                <w:sz w:val="24"/>
              </w:rPr>
            </w:pPr>
            <w:r>
              <w:rPr>
                <w:rFonts w:ascii="仿宋" w:eastAsia="仿宋" w:hAnsi="仿宋" w:cs="仿宋" w:hint="eastAsia"/>
                <w:sz w:val="24"/>
              </w:rPr>
              <w:t>排</w:t>
            </w:r>
            <w:r>
              <w:rPr>
                <w:rFonts w:ascii="仿宋" w:eastAsia="仿宋" w:hAnsi="仿宋" w:cs="仿宋" w:hint="eastAsia"/>
                <w:sz w:val="24"/>
              </w:rPr>
              <w:t>61</w:t>
            </w:r>
            <w:r>
              <w:rPr>
                <w:rFonts w:ascii="仿宋" w:eastAsia="仿宋" w:hAnsi="仿宋" w:cs="仿宋" w:hint="eastAsia"/>
                <w:sz w:val="24"/>
              </w:rPr>
              <w:t>块东部</w:t>
            </w:r>
          </w:p>
        </w:tc>
        <w:tc>
          <w:tcPr>
            <w:tcW w:w="1180" w:type="pct"/>
            <w:vAlign w:val="center"/>
          </w:tcPr>
          <w:p w:rsidR="00EE4502" w:rsidRDefault="00FD45A3">
            <w:pPr>
              <w:jc w:val="center"/>
              <w:rPr>
                <w:rFonts w:ascii="仿宋" w:eastAsia="仿宋" w:hAnsi="仿宋" w:cs="仿宋"/>
                <w:sz w:val="24"/>
              </w:rPr>
            </w:pPr>
            <w:r>
              <w:rPr>
                <w:rFonts w:ascii="仿宋" w:eastAsia="仿宋" w:hAnsi="仿宋" w:cs="仿宋" w:hint="eastAsia"/>
                <w:sz w:val="24"/>
                <w:lang w:bidi="ar"/>
              </w:rPr>
              <w:t>梭梭</w:t>
            </w:r>
          </w:p>
        </w:tc>
        <w:tc>
          <w:tcPr>
            <w:tcW w:w="907" w:type="pct"/>
            <w:gridSpan w:val="2"/>
            <w:vAlign w:val="center"/>
          </w:tcPr>
          <w:p w:rsidR="00EE4502" w:rsidRDefault="00FD45A3">
            <w:pPr>
              <w:jc w:val="center"/>
              <w:rPr>
                <w:rFonts w:ascii="仿宋" w:eastAsia="仿宋" w:hAnsi="仿宋" w:cs="仿宋"/>
                <w:sz w:val="24"/>
              </w:rPr>
            </w:pPr>
            <w:r>
              <w:rPr>
                <w:rFonts w:ascii="仿宋" w:eastAsia="仿宋" w:hAnsi="仿宋" w:cs="仿宋" w:hint="eastAsia"/>
                <w:sz w:val="24"/>
                <w:lang w:bidi="ar"/>
              </w:rPr>
              <w:t>55-165</w:t>
            </w:r>
          </w:p>
        </w:tc>
        <w:tc>
          <w:tcPr>
            <w:tcW w:w="715" w:type="pct"/>
            <w:vAlign w:val="center"/>
          </w:tcPr>
          <w:p w:rsidR="00EE4502" w:rsidRDefault="00FD45A3">
            <w:pPr>
              <w:jc w:val="center"/>
              <w:rPr>
                <w:rFonts w:ascii="仿宋" w:eastAsia="仿宋" w:hAnsi="仿宋" w:cs="仿宋"/>
                <w:sz w:val="24"/>
              </w:rPr>
            </w:pPr>
            <w:r>
              <w:rPr>
                <w:rFonts w:ascii="仿宋" w:eastAsia="仿宋" w:hAnsi="仿宋" w:cs="仿宋" w:hint="eastAsia"/>
                <w:sz w:val="24"/>
                <w:lang w:bidi="ar"/>
              </w:rPr>
              <w:t>5</w:t>
            </w:r>
          </w:p>
        </w:tc>
        <w:tc>
          <w:tcPr>
            <w:tcW w:w="485" w:type="pct"/>
            <w:vAlign w:val="center"/>
          </w:tcPr>
          <w:p w:rsidR="00EE4502" w:rsidRDefault="00FD45A3">
            <w:pPr>
              <w:jc w:val="center"/>
              <w:rPr>
                <w:rFonts w:ascii="仿宋" w:eastAsia="仿宋" w:hAnsi="仿宋" w:cs="仿宋"/>
                <w:sz w:val="24"/>
              </w:rPr>
            </w:pPr>
            <w:r>
              <w:rPr>
                <w:rFonts w:ascii="仿宋" w:eastAsia="仿宋" w:hAnsi="仿宋" w:cs="仿宋" w:hint="eastAsia"/>
                <w:sz w:val="24"/>
                <w:lang w:bidi="ar"/>
              </w:rPr>
              <w:t>15</w:t>
            </w:r>
          </w:p>
        </w:tc>
        <w:tc>
          <w:tcPr>
            <w:tcW w:w="512" w:type="pct"/>
            <w:vAlign w:val="center"/>
          </w:tcPr>
          <w:p w:rsidR="00EE4502" w:rsidRDefault="00FD45A3">
            <w:pPr>
              <w:jc w:val="center"/>
              <w:rPr>
                <w:rFonts w:ascii="仿宋" w:eastAsia="仿宋" w:hAnsi="仿宋" w:cs="仿宋"/>
                <w:sz w:val="24"/>
              </w:rPr>
            </w:pPr>
            <w:r>
              <w:rPr>
                <w:rFonts w:ascii="仿宋" w:eastAsia="仿宋" w:hAnsi="仿宋" w:cs="仿宋" w:hint="eastAsia"/>
                <w:sz w:val="24"/>
                <w:lang w:bidi="ar"/>
              </w:rPr>
              <w:t>Cop1</w:t>
            </w:r>
          </w:p>
        </w:tc>
      </w:tr>
      <w:tr w:rsidR="00EE4502">
        <w:trPr>
          <w:jc w:val="center"/>
        </w:trPr>
        <w:tc>
          <w:tcPr>
            <w:tcW w:w="1199" w:type="pct"/>
            <w:vMerge/>
            <w:vAlign w:val="center"/>
          </w:tcPr>
          <w:p w:rsidR="00EE4502" w:rsidRDefault="00EE4502">
            <w:pPr>
              <w:jc w:val="center"/>
              <w:rPr>
                <w:rFonts w:ascii="仿宋" w:eastAsia="仿宋" w:hAnsi="仿宋" w:cs="仿宋"/>
                <w:sz w:val="24"/>
              </w:rPr>
            </w:pPr>
          </w:p>
        </w:tc>
        <w:tc>
          <w:tcPr>
            <w:tcW w:w="1180" w:type="pct"/>
            <w:vAlign w:val="center"/>
          </w:tcPr>
          <w:p w:rsidR="00EE4502" w:rsidRDefault="00FD45A3">
            <w:pPr>
              <w:jc w:val="center"/>
              <w:rPr>
                <w:rFonts w:ascii="仿宋" w:eastAsia="仿宋" w:hAnsi="仿宋" w:cs="仿宋"/>
                <w:sz w:val="24"/>
              </w:rPr>
            </w:pPr>
            <w:r>
              <w:rPr>
                <w:rFonts w:ascii="仿宋" w:eastAsia="仿宋" w:hAnsi="仿宋" w:cs="仿宋" w:hint="eastAsia"/>
                <w:sz w:val="24"/>
              </w:rPr>
              <w:t>琵琶柴</w:t>
            </w:r>
          </w:p>
        </w:tc>
        <w:tc>
          <w:tcPr>
            <w:tcW w:w="907" w:type="pct"/>
            <w:gridSpan w:val="2"/>
            <w:vAlign w:val="center"/>
          </w:tcPr>
          <w:p w:rsidR="00EE4502" w:rsidRDefault="00FD45A3">
            <w:pPr>
              <w:jc w:val="center"/>
              <w:rPr>
                <w:rFonts w:ascii="仿宋" w:eastAsia="仿宋" w:hAnsi="仿宋" w:cs="仿宋"/>
                <w:sz w:val="24"/>
              </w:rPr>
            </w:pPr>
            <w:r>
              <w:rPr>
                <w:rFonts w:ascii="仿宋" w:eastAsia="仿宋" w:hAnsi="仿宋" w:cs="仿宋" w:hint="eastAsia"/>
                <w:sz w:val="24"/>
              </w:rPr>
              <w:t>25</w:t>
            </w:r>
            <w:r>
              <w:rPr>
                <w:rFonts w:ascii="仿宋" w:eastAsia="仿宋" w:hAnsi="仿宋" w:cs="仿宋" w:hint="eastAsia"/>
                <w:sz w:val="24"/>
              </w:rPr>
              <w:t>-</w:t>
            </w:r>
            <w:r>
              <w:rPr>
                <w:rFonts w:ascii="仿宋" w:eastAsia="仿宋" w:hAnsi="仿宋" w:cs="仿宋" w:hint="eastAsia"/>
                <w:sz w:val="24"/>
              </w:rPr>
              <w:t>35</w:t>
            </w:r>
          </w:p>
        </w:tc>
        <w:tc>
          <w:tcPr>
            <w:tcW w:w="715" w:type="pct"/>
            <w:vAlign w:val="center"/>
          </w:tcPr>
          <w:p w:rsidR="00EE4502" w:rsidRDefault="00FD45A3">
            <w:pPr>
              <w:jc w:val="center"/>
              <w:rPr>
                <w:rFonts w:ascii="仿宋" w:eastAsia="仿宋" w:hAnsi="仿宋" w:cs="仿宋"/>
                <w:sz w:val="24"/>
              </w:rPr>
            </w:pPr>
            <w:r>
              <w:rPr>
                <w:rFonts w:ascii="仿宋" w:eastAsia="仿宋" w:hAnsi="仿宋" w:cs="仿宋" w:hint="eastAsia"/>
                <w:sz w:val="24"/>
              </w:rPr>
              <w:t>14</w:t>
            </w:r>
          </w:p>
        </w:tc>
        <w:tc>
          <w:tcPr>
            <w:tcW w:w="485" w:type="pct"/>
            <w:vAlign w:val="center"/>
          </w:tcPr>
          <w:p w:rsidR="00EE4502" w:rsidRDefault="00FD45A3">
            <w:pPr>
              <w:jc w:val="center"/>
              <w:rPr>
                <w:rFonts w:ascii="仿宋" w:eastAsia="仿宋" w:hAnsi="仿宋" w:cs="仿宋"/>
                <w:sz w:val="24"/>
              </w:rPr>
            </w:pPr>
            <w:r>
              <w:rPr>
                <w:rFonts w:ascii="仿宋" w:eastAsia="仿宋" w:hAnsi="仿宋" w:cs="仿宋" w:hint="eastAsia"/>
                <w:sz w:val="24"/>
              </w:rPr>
              <w:t>10</w:t>
            </w:r>
          </w:p>
        </w:tc>
        <w:tc>
          <w:tcPr>
            <w:tcW w:w="512" w:type="pct"/>
            <w:vAlign w:val="center"/>
          </w:tcPr>
          <w:p w:rsidR="00EE4502" w:rsidRDefault="00FD45A3">
            <w:pPr>
              <w:jc w:val="center"/>
              <w:rPr>
                <w:rFonts w:ascii="仿宋" w:eastAsia="仿宋" w:hAnsi="仿宋" w:cs="仿宋"/>
                <w:sz w:val="24"/>
              </w:rPr>
            </w:pPr>
            <w:r>
              <w:rPr>
                <w:rFonts w:ascii="仿宋" w:eastAsia="仿宋" w:hAnsi="仿宋" w:cs="仿宋" w:hint="eastAsia"/>
                <w:sz w:val="24"/>
              </w:rPr>
              <w:t>Sp</w:t>
            </w:r>
          </w:p>
        </w:tc>
      </w:tr>
      <w:tr w:rsidR="00EE4502">
        <w:trPr>
          <w:jc w:val="center"/>
        </w:trPr>
        <w:tc>
          <w:tcPr>
            <w:tcW w:w="5000" w:type="pct"/>
            <w:gridSpan w:val="7"/>
            <w:vAlign w:val="center"/>
          </w:tcPr>
          <w:p w:rsidR="00EE4502" w:rsidRDefault="00FD45A3">
            <w:pPr>
              <w:rPr>
                <w:rFonts w:ascii="仿宋" w:eastAsia="仿宋" w:hAnsi="仿宋" w:cs="仿宋"/>
                <w:b/>
                <w:bCs/>
                <w:sz w:val="24"/>
              </w:rPr>
            </w:pPr>
            <w:r>
              <w:rPr>
                <w:rFonts w:ascii="仿宋" w:eastAsia="仿宋" w:hAnsi="仿宋" w:cs="仿宋" w:hint="eastAsia"/>
                <w:b/>
                <w:bCs/>
                <w:sz w:val="24"/>
              </w:rPr>
              <w:t>样方</w:t>
            </w:r>
            <w:r>
              <w:rPr>
                <w:rFonts w:ascii="仿宋" w:eastAsia="仿宋" w:hAnsi="仿宋" w:cs="仿宋" w:hint="eastAsia"/>
                <w:b/>
                <w:bCs/>
                <w:sz w:val="24"/>
              </w:rPr>
              <w:t>1-3</w:t>
            </w:r>
          </w:p>
        </w:tc>
      </w:tr>
      <w:tr w:rsidR="00EE4502">
        <w:trPr>
          <w:jc w:val="center"/>
        </w:trPr>
        <w:tc>
          <w:tcPr>
            <w:tcW w:w="1199" w:type="pct"/>
            <w:vMerge w:val="restart"/>
            <w:vAlign w:val="center"/>
          </w:tcPr>
          <w:p w:rsidR="00EE4502" w:rsidRDefault="00FD45A3">
            <w:pPr>
              <w:jc w:val="center"/>
              <w:rPr>
                <w:rFonts w:ascii="仿宋" w:eastAsia="仿宋" w:hAnsi="仿宋" w:cs="仿宋"/>
                <w:sz w:val="24"/>
              </w:rPr>
            </w:pPr>
            <w:r>
              <w:rPr>
                <w:rFonts w:ascii="仿宋" w:eastAsia="仿宋" w:hAnsi="仿宋" w:cs="仿宋" w:hint="eastAsia"/>
                <w:sz w:val="24"/>
              </w:rPr>
              <w:t>排</w:t>
            </w:r>
            <w:r>
              <w:rPr>
                <w:rFonts w:ascii="仿宋" w:eastAsia="仿宋" w:hAnsi="仿宋" w:cs="仿宋" w:hint="eastAsia"/>
                <w:sz w:val="24"/>
              </w:rPr>
              <w:t>61</w:t>
            </w:r>
            <w:r>
              <w:rPr>
                <w:rFonts w:ascii="仿宋" w:eastAsia="仿宋" w:hAnsi="仿宋" w:cs="仿宋" w:hint="eastAsia"/>
                <w:sz w:val="24"/>
              </w:rPr>
              <w:t>块西部</w:t>
            </w:r>
          </w:p>
        </w:tc>
        <w:tc>
          <w:tcPr>
            <w:tcW w:w="1180" w:type="pct"/>
            <w:vAlign w:val="center"/>
          </w:tcPr>
          <w:p w:rsidR="00EE4502" w:rsidRDefault="00FD45A3">
            <w:pPr>
              <w:jc w:val="center"/>
              <w:rPr>
                <w:rFonts w:ascii="仿宋" w:eastAsia="仿宋" w:hAnsi="仿宋" w:cs="仿宋"/>
                <w:sz w:val="24"/>
              </w:rPr>
            </w:pPr>
            <w:r>
              <w:rPr>
                <w:rFonts w:ascii="仿宋" w:eastAsia="仿宋" w:hAnsi="仿宋" w:cs="仿宋" w:hint="eastAsia"/>
                <w:sz w:val="24"/>
              </w:rPr>
              <w:t>梭梭</w:t>
            </w:r>
          </w:p>
        </w:tc>
        <w:tc>
          <w:tcPr>
            <w:tcW w:w="907" w:type="pct"/>
            <w:gridSpan w:val="2"/>
            <w:vAlign w:val="center"/>
          </w:tcPr>
          <w:p w:rsidR="00EE4502" w:rsidRDefault="00FD45A3">
            <w:pPr>
              <w:jc w:val="center"/>
              <w:rPr>
                <w:rFonts w:ascii="仿宋" w:eastAsia="仿宋" w:hAnsi="仿宋" w:cs="仿宋"/>
                <w:sz w:val="24"/>
              </w:rPr>
            </w:pPr>
            <w:r>
              <w:rPr>
                <w:rFonts w:ascii="仿宋" w:eastAsia="仿宋" w:hAnsi="仿宋" w:cs="仿宋" w:hint="eastAsia"/>
                <w:sz w:val="24"/>
              </w:rPr>
              <w:t>60</w:t>
            </w:r>
            <w:r>
              <w:rPr>
                <w:rFonts w:ascii="仿宋" w:eastAsia="仿宋" w:hAnsi="仿宋" w:cs="仿宋" w:hint="eastAsia"/>
                <w:sz w:val="24"/>
              </w:rPr>
              <w:t>-</w:t>
            </w:r>
            <w:r>
              <w:rPr>
                <w:rFonts w:ascii="仿宋" w:eastAsia="仿宋" w:hAnsi="仿宋" w:cs="仿宋" w:hint="eastAsia"/>
                <w:sz w:val="24"/>
              </w:rPr>
              <w:t>170</w:t>
            </w:r>
          </w:p>
        </w:tc>
        <w:tc>
          <w:tcPr>
            <w:tcW w:w="715" w:type="pct"/>
            <w:vAlign w:val="center"/>
          </w:tcPr>
          <w:p w:rsidR="00EE4502" w:rsidRDefault="00FD45A3">
            <w:pPr>
              <w:jc w:val="center"/>
              <w:rPr>
                <w:rFonts w:ascii="仿宋" w:eastAsia="仿宋" w:hAnsi="仿宋" w:cs="仿宋"/>
                <w:sz w:val="24"/>
              </w:rPr>
            </w:pPr>
            <w:r>
              <w:rPr>
                <w:rFonts w:ascii="仿宋" w:eastAsia="仿宋" w:hAnsi="仿宋" w:cs="仿宋" w:hint="eastAsia"/>
                <w:sz w:val="24"/>
              </w:rPr>
              <w:t>7</w:t>
            </w:r>
          </w:p>
        </w:tc>
        <w:tc>
          <w:tcPr>
            <w:tcW w:w="485" w:type="pct"/>
            <w:vAlign w:val="center"/>
          </w:tcPr>
          <w:p w:rsidR="00EE4502" w:rsidRDefault="00FD45A3">
            <w:pPr>
              <w:jc w:val="center"/>
              <w:rPr>
                <w:rFonts w:ascii="仿宋" w:eastAsia="仿宋" w:hAnsi="仿宋" w:cs="仿宋"/>
                <w:sz w:val="24"/>
              </w:rPr>
            </w:pPr>
            <w:r>
              <w:rPr>
                <w:rFonts w:ascii="仿宋" w:eastAsia="仿宋" w:hAnsi="仿宋" w:cs="仿宋" w:hint="eastAsia"/>
                <w:sz w:val="24"/>
              </w:rPr>
              <w:t>15</w:t>
            </w:r>
          </w:p>
        </w:tc>
        <w:tc>
          <w:tcPr>
            <w:tcW w:w="512" w:type="pct"/>
            <w:vAlign w:val="center"/>
          </w:tcPr>
          <w:p w:rsidR="00EE4502" w:rsidRDefault="00FD45A3">
            <w:pPr>
              <w:jc w:val="center"/>
              <w:rPr>
                <w:rFonts w:ascii="仿宋" w:eastAsia="仿宋" w:hAnsi="仿宋" w:cs="仿宋"/>
                <w:sz w:val="24"/>
              </w:rPr>
            </w:pPr>
            <w:r>
              <w:rPr>
                <w:rFonts w:ascii="仿宋" w:eastAsia="仿宋" w:hAnsi="仿宋" w:cs="仿宋" w:hint="eastAsia"/>
                <w:sz w:val="24"/>
              </w:rPr>
              <w:t>Cop1</w:t>
            </w:r>
          </w:p>
        </w:tc>
      </w:tr>
      <w:tr w:rsidR="00EE4502">
        <w:trPr>
          <w:jc w:val="center"/>
        </w:trPr>
        <w:tc>
          <w:tcPr>
            <w:tcW w:w="1199" w:type="pct"/>
            <w:vMerge/>
            <w:vAlign w:val="center"/>
          </w:tcPr>
          <w:p w:rsidR="00EE4502" w:rsidRDefault="00EE4502">
            <w:pPr>
              <w:jc w:val="center"/>
              <w:rPr>
                <w:rFonts w:ascii="仿宋" w:eastAsia="仿宋" w:hAnsi="仿宋" w:cs="仿宋"/>
                <w:sz w:val="24"/>
              </w:rPr>
            </w:pPr>
          </w:p>
        </w:tc>
        <w:tc>
          <w:tcPr>
            <w:tcW w:w="1180" w:type="pct"/>
            <w:vAlign w:val="center"/>
          </w:tcPr>
          <w:p w:rsidR="00EE4502" w:rsidRDefault="00FD45A3">
            <w:pPr>
              <w:jc w:val="center"/>
              <w:rPr>
                <w:rFonts w:ascii="仿宋" w:eastAsia="仿宋" w:hAnsi="仿宋" w:cs="仿宋"/>
                <w:sz w:val="24"/>
              </w:rPr>
            </w:pPr>
            <w:r>
              <w:rPr>
                <w:rFonts w:ascii="仿宋" w:eastAsia="仿宋" w:hAnsi="仿宋" w:cs="仿宋" w:hint="eastAsia"/>
                <w:sz w:val="24"/>
              </w:rPr>
              <w:t>琵琶柴</w:t>
            </w:r>
          </w:p>
        </w:tc>
        <w:tc>
          <w:tcPr>
            <w:tcW w:w="907" w:type="pct"/>
            <w:gridSpan w:val="2"/>
            <w:vAlign w:val="center"/>
          </w:tcPr>
          <w:p w:rsidR="00EE4502" w:rsidRDefault="00FD45A3">
            <w:pPr>
              <w:jc w:val="center"/>
              <w:rPr>
                <w:rFonts w:ascii="仿宋" w:eastAsia="仿宋" w:hAnsi="仿宋" w:cs="仿宋"/>
                <w:sz w:val="24"/>
              </w:rPr>
            </w:pPr>
            <w:r>
              <w:rPr>
                <w:rFonts w:ascii="仿宋" w:eastAsia="仿宋" w:hAnsi="仿宋" w:cs="仿宋" w:hint="eastAsia"/>
                <w:sz w:val="24"/>
              </w:rPr>
              <w:t>25</w:t>
            </w:r>
            <w:r>
              <w:rPr>
                <w:rFonts w:ascii="仿宋" w:eastAsia="仿宋" w:hAnsi="仿宋" w:cs="仿宋" w:hint="eastAsia"/>
                <w:sz w:val="24"/>
              </w:rPr>
              <w:t>-</w:t>
            </w:r>
            <w:r>
              <w:rPr>
                <w:rFonts w:ascii="仿宋" w:eastAsia="仿宋" w:hAnsi="仿宋" w:cs="仿宋" w:hint="eastAsia"/>
                <w:sz w:val="24"/>
              </w:rPr>
              <w:t>35</w:t>
            </w:r>
          </w:p>
        </w:tc>
        <w:tc>
          <w:tcPr>
            <w:tcW w:w="715" w:type="pct"/>
            <w:vAlign w:val="center"/>
          </w:tcPr>
          <w:p w:rsidR="00EE4502" w:rsidRDefault="00FD45A3">
            <w:pPr>
              <w:jc w:val="center"/>
              <w:rPr>
                <w:rFonts w:ascii="仿宋" w:eastAsia="仿宋" w:hAnsi="仿宋" w:cs="仿宋"/>
                <w:sz w:val="24"/>
              </w:rPr>
            </w:pPr>
            <w:r>
              <w:rPr>
                <w:rFonts w:ascii="仿宋" w:eastAsia="仿宋" w:hAnsi="仿宋" w:cs="仿宋" w:hint="eastAsia"/>
                <w:sz w:val="24"/>
              </w:rPr>
              <w:t>12</w:t>
            </w:r>
          </w:p>
        </w:tc>
        <w:tc>
          <w:tcPr>
            <w:tcW w:w="485" w:type="pct"/>
            <w:vAlign w:val="center"/>
          </w:tcPr>
          <w:p w:rsidR="00EE4502" w:rsidRDefault="00FD45A3">
            <w:pPr>
              <w:jc w:val="center"/>
              <w:rPr>
                <w:rFonts w:ascii="仿宋" w:eastAsia="仿宋" w:hAnsi="仿宋" w:cs="仿宋"/>
                <w:sz w:val="24"/>
              </w:rPr>
            </w:pPr>
            <w:r>
              <w:rPr>
                <w:rFonts w:ascii="仿宋" w:eastAsia="仿宋" w:hAnsi="仿宋" w:cs="仿宋" w:hint="eastAsia"/>
                <w:sz w:val="24"/>
              </w:rPr>
              <w:t>8</w:t>
            </w:r>
          </w:p>
        </w:tc>
        <w:tc>
          <w:tcPr>
            <w:tcW w:w="512" w:type="pct"/>
            <w:vAlign w:val="center"/>
          </w:tcPr>
          <w:p w:rsidR="00EE4502" w:rsidRDefault="00FD45A3">
            <w:pPr>
              <w:jc w:val="center"/>
              <w:rPr>
                <w:rFonts w:ascii="仿宋" w:eastAsia="仿宋" w:hAnsi="仿宋" w:cs="仿宋"/>
                <w:sz w:val="24"/>
              </w:rPr>
            </w:pPr>
            <w:r>
              <w:rPr>
                <w:rFonts w:ascii="仿宋" w:eastAsia="仿宋" w:hAnsi="仿宋" w:cs="仿宋" w:hint="eastAsia"/>
                <w:sz w:val="24"/>
              </w:rPr>
              <w:t>Sp</w:t>
            </w:r>
          </w:p>
        </w:tc>
      </w:tr>
      <w:tr w:rsidR="00EE4502">
        <w:trPr>
          <w:jc w:val="center"/>
        </w:trPr>
        <w:tc>
          <w:tcPr>
            <w:tcW w:w="1199" w:type="pct"/>
            <w:vMerge/>
            <w:vAlign w:val="center"/>
          </w:tcPr>
          <w:p w:rsidR="00EE4502" w:rsidRDefault="00EE4502">
            <w:pPr>
              <w:jc w:val="center"/>
              <w:rPr>
                <w:rFonts w:ascii="仿宋" w:eastAsia="仿宋" w:hAnsi="仿宋" w:cs="仿宋"/>
                <w:sz w:val="24"/>
              </w:rPr>
            </w:pPr>
          </w:p>
        </w:tc>
        <w:tc>
          <w:tcPr>
            <w:tcW w:w="1180" w:type="pct"/>
            <w:vAlign w:val="center"/>
          </w:tcPr>
          <w:p w:rsidR="00EE4502" w:rsidRDefault="00FD45A3">
            <w:pPr>
              <w:jc w:val="center"/>
              <w:rPr>
                <w:rFonts w:ascii="仿宋" w:eastAsia="仿宋" w:hAnsi="仿宋" w:cs="仿宋"/>
                <w:sz w:val="24"/>
              </w:rPr>
            </w:pPr>
            <w:r>
              <w:rPr>
                <w:rFonts w:ascii="仿宋" w:eastAsia="仿宋" w:hAnsi="仿宋" w:cs="仿宋" w:hint="eastAsia"/>
                <w:sz w:val="24"/>
              </w:rPr>
              <w:t>叉毛蓬</w:t>
            </w:r>
          </w:p>
        </w:tc>
        <w:tc>
          <w:tcPr>
            <w:tcW w:w="907" w:type="pct"/>
            <w:gridSpan w:val="2"/>
            <w:vAlign w:val="center"/>
          </w:tcPr>
          <w:p w:rsidR="00EE4502" w:rsidRDefault="00FD45A3">
            <w:pPr>
              <w:jc w:val="center"/>
              <w:rPr>
                <w:rFonts w:ascii="仿宋" w:eastAsia="仿宋" w:hAnsi="仿宋" w:cs="仿宋"/>
                <w:sz w:val="24"/>
              </w:rPr>
            </w:pPr>
            <w:r>
              <w:rPr>
                <w:rFonts w:ascii="仿宋" w:eastAsia="仿宋" w:hAnsi="仿宋" w:cs="仿宋" w:hint="eastAsia"/>
                <w:sz w:val="24"/>
              </w:rPr>
              <w:t>30-40</w:t>
            </w:r>
          </w:p>
        </w:tc>
        <w:tc>
          <w:tcPr>
            <w:tcW w:w="715" w:type="pct"/>
            <w:vAlign w:val="center"/>
          </w:tcPr>
          <w:p w:rsidR="00EE4502" w:rsidRDefault="00FD45A3">
            <w:pPr>
              <w:jc w:val="center"/>
              <w:rPr>
                <w:rFonts w:ascii="仿宋" w:eastAsia="仿宋" w:hAnsi="仿宋" w:cs="仿宋"/>
                <w:sz w:val="24"/>
              </w:rPr>
            </w:pPr>
            <w:r>
              <w:rPr>
                <w:rFonts w:ascii="仿宋" w:eastAsia="仿宋" w:hAnsi="仿宋" w:cs="仿宋" w:hint="eastAsia"/>
                <w:sz w:val="24"/>
              </w:rPr>
              <w:t>3</w:t>
            </w:r>
          </w:p>
        </w:tc>
        <w:tc>
          <w:tcPr>
            <w:tcW w:w="485" w:type="pct"/>
            <w:vAlign w:val="center"/>
          </w:tcPr>
          <w:p w:rsidR="00EE4502" w:rsidRDefault="00FD45A3">
            <w:pPr>
              <w:jc w:val="center"/>
              <w:rPr>
                <w:rFonts w:ascii="仿宋" w:eastAsia="仿宋" w:hAnsi="仿宋" w:cs="仿宋"/>
                <w:sz w:val="24"/>
              </w:rPr>
            </w:pPr>
            <w:r>
              <w:rPr>
                <w:rFonts w:ascii="仿宋" w:eastAsia="仿宋" w:hAnsi="仿宋" w:cs="仿宋" w:hint="eastAsia"/>
                <w:sz w:val="24"/>
              </w:rPr>
              <w:t>2</w:t>
            </w:r>
          </w:p>
        </w:tc>
        <w:tc>
          <w:tcPr>
            <w:tcW w:w="512" w:type="pct"/>
            <w:vAlign w:val="center"/>
          </w:tcPr>
          <w:p w:rsidR="00EE4502" w:rsidRDefault="00FD45A3">
            <w:pPr>
              <w:jc w:val="center"/>
              <w:rPr>
                <w:rFonts w:ascii="仿宋" w:eastAsia="仿宋" w:hAnsi="仿宋" w:cs="仿宋"/>
                <w:sz w:val="24"/>
              </w:rPr>
            </w:pPr>
            <w:r>
              <w:rPr>
                <w:rFonts w:ascii="仿宋" w:eastAsia="仿宋" w:hAnsi="仿宋" w:cs="仿宋" w:hint="eastAsia"/>
                <w:sz w:val="24"/>
              </w:rPr>
              <w:t>Sp</w:t>
            </w:r>
          </w:p>
        </w:tc>
      </w:tr>
      <w:tr w:rsidR="00EE4502">
        <w:trPr>
          <w:trHeight w:val="398"/>
          <w:jc w:val="center"/>
        </w:trPr>
        <w:tc>
          <w:tcPr>
            <w:tcW w:w="2467" w:type="pct"/>
            <w:gridSpan w:val="3"/>
            <w:vAlign w:val="center"/>
          </w:tcPr>
          <w:p w:rsidR="00EE4502" w:rsidRDefault="00EE4502">
            <w:pPr>
              <w:rPr>
                <w:szCs w:val="20"/>
              </w:rPr>
            </w:pPr>
          </w:p>
        </w:tc>
        <w:tc>
          <w:tcPr>
            <w:tcW w:w="2532" w:type="pct"/>
            <w:gridSpan w:val="4"/>
            <w:vAlign w:val="center"/>
          </w:tcPr>
          <w:p w:rsidR="00EE4502" w:rsidRDefault="00EE4502">
            <w:pPr>
              <w:rPr>
                <w:szCs w:val="20"/>
              </w:rPr>
            </w:pPr>
          </w:p>
        </w:tc>
      </w:tr>
    </w:tbl>
    <w:bookmarkEnd w:id="201"/>
    <w:p w:rsidR="00EE4502" w:rsidRDefault="00FD45A3">
      <w:pPr>
        <w:spacing w:line="360" w:lineRule="auto"/>
        <w:ind w:firstLineChars="200" w:firstLine="500"/>
        <w:rPr>
          <w:spacing w:val="5"/>
          <w:sz w:val="24"/>
        </w:rPr>
      </w:pPr>
      <w:r>
        <w:rPr>
          <w:rFonts w:hint="eastAsia"/>
          <w:spacing w:val="5"/>
          <w:sz w:val="24"/>
        </w:rPr>
        <w:t>梭梭</w:t>
      </w:r>
      <w:r>
        <w:rPr>
          <w:rFonts w:hint="eastAsia"/>
          <w:spacing w:val="5"/>
          <w:sz w:val="24"/>
        </w:rPr>
        <w:t>-</w:t>
      </w:r>
      <w:r>
        <w:rPr>
          <w:rFonts w:hint="eastAsia"/>
          <w:spacing w:val="5"/>
          <w:sz w:val="24"/>
        </w:rPr>
        <w:t>多枝柽柳</w:t>
      </w:r>
      <w:r>
        <w:rPr>
          <w:rFonts w:hint="eastAsia"/>
          <w:spacing w:val="5"/>
          <w:sz w:val="24"/>
        </w:rPr>
        <w:t>-</w:t>
      </w:r>
      <w:r>
        <w:rPr>
          <w:rFonts w:hint="eastAsia"/>
          <w:spacing w:val="5"/>
          <w:sz w:val="24"/>
        </w:rPr>
        <w:t>琵琶柴群系植被样方调查，调查地点：分别在排</w:t>
      </w:r>
      <w:r>
        <w:rPr>
          <w:rFonts w:hint="eastAsia"/>
          <w:spacing w:val="5"/>
          <w:sz w:val="24"/>
        </w:rPr>
        <w:t>7-15</w:t>
      </w:r>
      <w:r>
        <w:rPr>
          <w:rFonts w:hint="eastAsia"/>
          <w:spacing w:val="5"/>
          <w:sz w:val="24"/>
        </w:rPr>
        <w:t>北部、排</w:t>
      </w:r>
      <w:r>
        <w:rPr>
          <w:rFonts w:hint="eastAsia"/>
          <w:spacing w:val="5"/>
          <w:sz w:val="24"/>
        </w:rPr>
        <w:t>7-16</w:t>
      </w:r>
      <w:r>
        <w:rPr>
          <w:rFonts w:hint="eastAsia"/>
          <w:spacing w:val="5"/>
          <w:sz w:val="24"/>
        </w:rPr>
        <w:t>东部、排</w:t>
      </w:r>
      <w:r>
        <w:rPr>
          <w:rFonts w:hint="eastAsia"/>
          <w:spacing w:val="5"/>
          <w:sz w:val="24"/>
        </w:rPr>
        <w:t>71</w:t>
      </w:r>
      <w:r>
        <w:rPr>
          <w:rFonts w:hint="eastAsia"/>
          <w:spacing w:val="5"/>
          <w:sz w:val="24"/>
        </w:rPr>
        <w:t>北部</w:t>
      </w:r>
      <w:r>
        <w:rPr>
          <w:rFonts w:hint="eastAsia"/>
          <w:spacing w:val="5"/>
          <w:sz w:val="24"/>
        </w:rPr>
        <w:t>布设样方，土壤类型：灰漠土等；地形地貌为平原，总盖度为</w:t>
      </w:r>
      <w:r>
        <w:rPr>
          <w:rFonts w:hint="eastAsia"/>
          <w:spacing w:val="5"/>
          <w:sz w:val="24"/>
        </w:rPr>
        <w:t>10</w:t>
      </w:r>
      <w:r>
        <w:rPr>
          <w:rFonts w:hint="eastAsia"/>
          <w:spacing w:val="5"/>
          <w:sz w:val="24"/>
        </w:rPr>
        <w:t>-</w:t>
      </w:r>
      <w:r>
        <w:rPr>
          <w:rFonts w:hint="eastAsia"/>
          <w:spacing w:val="5"/>
          <w:sz w:val="24"/>
        </w:rPr>
        <w:t>25</w:t>
      </w:r>
      <w:r>
        <w:rPr>
          <w:rFonts w:hint="eastAsia"/>
          <w:spacing w:val="5"/>
          <w:sz w:val="24"/>
        </w:rPr>
        <w:t>%</w:t>
      </w:r>
      <w:r>
        <w:rPr>
          <w:rFonts w:hint="eastAsia"/>
          <w:spacing w:val="5"/>
          <w:sz w:val="24"/>
        </w:rPr>
        <w:t>。</w:t>
      </w:r>
    </w:p>
    <w:p w:rsidR="00EE4502" w:rsidRDefault="00FD45A3">
      <w:pPr>
        <w:jc w:val="center"/>
        <w:rPr>
          <w:rFonts w:ascii="黑体" w:eastAsia="黑体" w:hAnsi="黑体" w:cs="黑体"/>
          <w:szCs w:val="21"/>
        </w:rPr>
      </w:pPr>
      <w:r>
        <w:rPr>
          <w:rFonts w:ascii="黑体" w:eastAsia="黑体" w:hAnsi="黑体" w:cs="黑体" w:hint="eastAsia"/>
          <w:szCs w:val="21"/>
        </w:rPr>
        <w:t>表</w:t>
      </w:r>
      <w:r>
        <w:rPr>
          <w:rFonts w:ascii="黑体" w:eastAsia="黑体" w:hAnsi="黑体" w:cs="黑体" w:hint="eastAsia"/>
          <w:szCs w:val="21"/>
        </w:rPr>
        <w:t xml:space="preserve">4-2-7  </w:t>
      </w:r>
      <w:r>
        <w:rPr>
          <w:rFonts w:ascii="黑体" w:eastAsia="黑体" w:hAnsi="黑体" w:cs="黑体" w:hint="eastAsia"/>
          <w:szCs w:val="21"/>
        </w:rPr>
        <w:t>群系</w:t>
      </w:r>
      <w:r>
        <w:rPr>
          <w:rFonts w:ascii="黑体" w:eastAsia="黑体" w:hAnsi="黑体" w:cs="黑体" w:hint="eastAsia"/>
          <w:szCs w:val="21"/>
        </w:rPr>
        <w:t>2</w:t>
      </w:r>
      <w:r>
        <w:rPr>
          <w:rFonts w:ascii="黑体" w:eastAsia="黑体" w:hAnsi="黑体" w:cs="黑体" w:hint="eastAsia"/>
          <w:szCs w:val="21"/>
        </w:rPr>
        <w:t>植被样方调查统计表</w:t>
      </w:r>
    </w:p>
    <w:tbl>
      <w:tblPr>
        <w:tblpPr w:leftFromText="180" w:rightFromText="180" w:vertAnchor="text" w:tblpXSpec="center" w:tblpY="8"/>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044"/>
        <w:gridCol w:w="2011"/>
        <w:gridCol w:w="150"/>
        <w:gridCol w:w="1404"/>
        <w:gridCol w:w="1227"/>
        <w:gridCol w:w="827"/>
        <w:gridCol w:w="859"/>
      </w:tblGrid>
      <w:tr w:rsidR="00EE4502">
        <w:trPr>
          <w:tblHeader/>
          <w:jc w:val="center"/>
        </w:trPr>
        <w:tc>
          <w:tcPr>
            <w:tcW w:w="1199" w:type="pct"/>
            <w:vMerge w:val="restart"/>
            <w:vAlign w:val="center"/>
          </w:tcPr>
          <w:p w:rsidR="00EE4502" w:rsidRDefault="00FD45A3">
            <w:pPr>
              <w:jc w:val="center"/>
              <w:rPr>
                <w:rFonts w:ascii="仿宋" w:eastAsia="仿宋" w:hAnsi="仿宋" w:cs="仿宋"/>
                <w:sz w:val="24"/>
              </w:rPr>
            </w:pPr>
            <w:r>
              <w:rPr>
                <w:rFonts w:ascii="仿宋" w:eastAsia="仿宋" w:hAnsi="仿宋" w:cs="仿宋" w:hint="eastAsia"/>
                <w:sz w:val="24"/>
              </w:rPr>
              <w:t>地点</w:t>
            </w:r>
          </w:p>
        </w:tc>
        <w:tc>
          <w:tcPr>
            <w:tcW w:w="3800" w:type="pct"/>
            <w:gridSpan w:val="6"/>
            <w:vAlign w:val="center"/>
          </w:tcPr>
          <w:p w:rsidR="00EE4502" w:rsidRDefault="00FD45A3">
            <w:pPr>
              <w:jc w:val="center"/>
              <w:rPr>
                <w:rFonts w:ascii="仿宋" w:eastAsia="仿宋" w:hAnsi="仿宋" w:cs="仿宋"/>
                <w:sz w:val="24"/>
              </w:rPr>
            </w:pPr>
            <w:r>
              <w:rPr>
                <w:rFonts w:ascii="仿宋" w:eastAsia="仿宋" w:hAnsi="仿宋" w:cs="仿宋" w:hint="eastAsia"/>
                <w:sz w:val="24"/>
              </w:rPr>
              <w:t>植被生长状况</w:t>
            </w:r>
          </w:p>
        </w:tc>
      </w:tr>
      <w:tr w:rsidR="00EE4502">
        <w:trPr>
          <w:tblHeader/>
          <w:jc w:val="center"/>
        </w:trPr>
        <w:tc>
          <w:tcPr>
            <w:tcW w:w="1199" w:type="pct"/>
            <w:vMerge/>
            <w:vAlign w:val="center"/>
          </w:tcPr>
          <w:p w:rsidR="00EE4502" w:rsidRDefault="00EE4502">
            <w:pPr>
              <w:jc w:val="center"/>
              <w:rPr>
                <w:rFonts w:ascii="仿宋" w:eastAsia="仿宋" w:hAnsi="仿宋" w:cs="仿宋"/>
                <w:sz w:val="24"/>
              </w:rPr>
            </w:pPr>
          </w:p>
        </w:tc>
        <w:tc>
          <w:tcPr>
            <w:tcW w:w="1180" w:type="pct"/>
            <w:vAlign w:val="center"/>
          </w:tcPr>
          <w:p w:rsidR="00EE4502" w:rsidRDefault="00FD45A3">
            <w:pPr>
              <w:jc w:val="center"/>
              <w:rPr>
                <w:rFonts w:ascii="仿宋" w:eastAsia="仿宋" w:hAnsi="仿宋" w:cs="仿宋"/>
                <w:sz w:val="24"/>
              </w:rPr>
            </w:pPr>
            <w:r>
              <w:rPr>
                <w:rFonts w:ascii="仿宋" w:eastAsia="仿宋" w:hAnsi="仿宋" w:cs="仿宋" w:hint="eastAsia"/>
                <w:sz w:val="24"/>
              </w:rPr>
              <w:t>种类</w:t>
            </w:r>
          </w:p>
        </w:tc>
        <w:tc>
          <w:tcPr>
            <w:tcW w:w="912" w:type="pct"/>
            <w:gridSpan w:val="2"/>
            <w:vAlign w:val="center"/>
          </w:tcPr>
          <w:p w:rsidR="00EE4502" w:rsidRDefault="00FD45A3">
            <w:pPr>
              <w:jc w:val="center"/>
              <w:rPr>
                <w:rFonts w:ascii="仿宋" w:eastAsia="仿宋" w:hAnsi="仿宋" w:cs="仿宋"/>
                <w:sz w:val="24"/>
              </w:rPr>
            </w:pPr>
            <w:r>
              <w:rPr>
                <w:rFonts w:ascii="仿宋" w:eastAsia="仿宋" w:hAnsi="仿宋" w:cs="仿宋" w:hint="eastAsia"/>
                <w:sz w:val="24"/>
              </w:rPr>
              <w:t>高度（</w:t>
            </w:r>
            <w:r>
              <w:rPr>
                <w:rFonts w:ascii="仿宋" w:eastAsia="仿宋" w:hAnsi="仿宋" w:cs="仿宋" w:hint="eastAsia"/>
                <w:sz w:val="24"/>
              </w:rPr>
              <w:t>cm</w:t>
            </w:r>
            <w:r>
              <w:rPr>
                <w:rFonts w:ascii="仿宋" w:eastAsia="仿宋" w:hAnsi="仿宋" w:cs="仿宋" w:hint="eastAsia"/>
                <w:sz w:val="24"/>
              </w:rPr>
              <w:t>）</w:t>
            </w:r>
          </w:p>
        </w:tc>
        <w:tc>
          <w:tcPr>
            <w:tcW w:w="720" w:type="pct"/>
            <w:vAlign w:val="center"/>
          </w:tcPr>
          <w:p w:rsidR="00EE4502" w:rsidRDefault="00FD45A3">
            <w:pPr>
              <w:jc w:val="center"/>
              <w:rPr>
                <w:rFonts w:ascii="仿宋" w:eastAsia="仿宋" w:hAnsi="仿宋" w:cs="仿宋"/>
                <w:sz w:val="24"/>
              </w:rPr>
            </w:pPr>
            <w:r>
              <w:rPr>
                <w:rFonts w:ascii="仿宋" w:eastAsia="仿宋" w:hAnsi="仿宋" w:cs="仿宋" w:hint="eastAsia"/>
                <w:sz w:val="24"/>
              </w:rPr>
              <w:t>数量</w:t>
            </w:r>
          </w:p>
        </w:tc>
        <w:tc>
          <w:tcPr>
            <w:tcW w:w="485" w:type="pct"/>
            <w:vAlign w:val="center"/>
          </w:tcPr>
          <w:p w:rsidR="00EE4502" w:rsidRDefault="00FD45A3">
            <w:pPr>
              <w:jc w:val="center"/>
              <w:rPr>
                <w:rFonts w:ascii="仿宋" w:eastAsia="仿宋" w:hAnsi="仿宋" w:cs="仿宋"/>
                <w:sz w:val="24"/>
              </w:rPr>
            </w:pPr>
            <w:r>
              <w:rPr>
                <w:rFonts w:ascii="仿宋" w:eastAsia="仿宋" w:hAnsi="仿宋" w:cs="仿宋" w:hint="eastAsia"/>
                <w:sz w:val="24"/>
              </w:rPr>
              <w:t>盖度，</w:t>
            </w:r>
            <w:r>
              <w:rPr>
                <w:rFonts w:ascii="仿宋" w:eastAsia="仿宋" w:hAnsi="仿宋" w:cs="仿宋" w:hint="eastAsia"/>
                <w:sz w:val="24"/>
              </w:rPr>
              <w:t>%</w:t>
            </w:r>
          </w:p>
        </w:tc>
        <w:tc>
          <w:tcPr>
            <w:tcW w:w="502" w:type="pct"/>
            <w:vAlign w:val="center"/>
          </w:tcPr>
          <w:p w:rsidR="00EE4502" w:rsidRDefault="00FD45A3">
            <w:pPr>
              <w:jc w:val="center"/>
              <w:rPr>
                <w:rFonts w:ascii="仿宋" w:eastAsia="仿宋" w:hAnsi="仿宋" w:cs="仿宋"/>
                <w:sz w:val="24"/>
              </w:rPr>
            </w:pPr>
            <w:r>
              <w:rPr>
                <w:rFonts w:ascii="仿宋" w:eastAsia="仿宋" w:hAnsi="仿宋" w:cs="仿宋" w:hint="eastAsia"/>
                <w:sz w:val="24"/>
              </w:rPr>
              <w:t>多度</w:t>
            </w:r>
          </w:p>
        </w:tc>
      </w:tr>
      <w:tr w:rsidR="00EE4502">
        <w:trPr>
          <w:tblHeader/>
          <w:jc w:val="center"/>
        </w:trPr>
        <w:tc>
          <w:tcPr>
            <w:tcW w:w="5000" w:type="pct"/>
            <w:gridSpan w:val="7"/>
            <w:vAlign w:val="center"/>
          </w:tcPr>
          <w:p w:rsidR="00EE4502" w:rsidRDefault="00FD45A3">
            <w:pPr>
              <w:jc w:val="left"/>
              <w:rPr>
                <w:rFonts w:ascii="仿宋" w:eastAsia="仿宋" w:hAnsi="仿宋" w:cs="仿宋"/>
                <w:b/>
                <w:bCs/>
                <w:sz w:val="24"/>
              </w:rPr>
            </w:pPr>
            <w:r>
              <w:rPr>
                <w:rFonts w:ascii="仿宋" w:eastAsia="仿宋" w:hAnsi="仿宋" w:cs="仿宋" w:hint="eastAsia"/>
                <w:b/>
                <w:bCs/>
                <w:sz w:val="24"/>
              </w:rPr>
              <w:t>样方</w:t>
            </w:r>
            <w:r>
              <w:rPr>
                <w:rFonts w:ascii="仿宋" w:eastAsia="仿宋" w:hAnsi="仿宋" w:cs="仿宋" w:hint="eastAsia"/>
                <w:b/>
                <w:bCs/>
                <w:sz w:val="24"/>
              </w:rPr>
              <w:t>2-1</w:t>
            </w:r>
          </w:p>
        </w:tc>
      </w:tr>
      <w:tr w:rsidR="00EE4502">
        <w:trPr>
          <w:tblHeader/>
          <w:jc w:val="center"/>
        </w:trPr>
        <w:tc>
          <w:tcPr>
            <w:tcW w:w="1199" w:type="pct"/>
            <w:vMerge w:val="restart"/>
            <w:vAlign w:val="center"/>
          </w:tcPr>
          <w:p w:rsidR="00EE4502" w:rsidRDefault="00FD45A3">
            <w:pPr>
              <w:jc w:val="center"/>
              <w:rPr>
                <w:rFonts w:ascii="仿宋" w:eastAsia="仿宋" w:hAnsi="仿宋" w:cs="仿宋"/>
                <w:sz w:val="24"/>
              </w:rPr>
            </w:pPr>
            <w:r>
              <w:rPr>
                <w:rFonts w:ascii="仿宋" w:eastAsia="仿宋" w:hAnsi="仿宋" w:cs="仿宋" w:hint="eastAsia"/>
                <w:sz w:val="24"/>
              </w:rPr>
              <w:t>排</w:t>
            </w:r>
            <w:r>
              <w:rPr>
                <w:rFonts w:ascii="仿宋" w:eastAsia="仿宋" w:hAnsi="仿宋" w:cs="仿宋" w:hint="eastAsia"/>
                <w:sz w:val="24"/>
              </w:rPr>
              <w:t>7-15</w:t>
            </w:r>
            <w:r>
              <w:rPr>
                <w:rFonts w:ascii="仿宋" w:eastAsia="仿宋" w:hAnsi="仿宋" w:cs="仿宋" w:hint="eastAsia"/>
                <w:sz w:val="24"/>
              </w:rPr>
              <w:t>北部</w:t>
            </w:r>
          </w:p>
        </w:tc>
        <w:tc>
          <w:tcPr>
            <w:tcW w:w="1180" w:type="pct"/>
            <w:vAlign w:val="center"/>
          </w:tcPr>
          <w:p w:rsidR="00EE4502" w:rsidRDefault="00FD45A3">
            <w:pPr>
              <w:jc w:val="center"/>
              <w:rPr>
                <w:rFonts w:ascii="仿宋" w:eastAsia="仿宋" w:hAnsi="仿宋" w:cs="仿宋"/>
                <w:sz w:val="24"/>
              </w:rPr>
            </w:pPr>
            <w:r>
              <w:rPr>
                <w:rFonts w:ascii="仿宋" w:eastAsia="仿宋" w:hAnsi="仿宋" w:cs="仿宋" w:hint="eastAsia"/>
                <w:sz w:val="24"/>
              </w:rPr>
              <w:t>梭梭</w:t>
            </w:r>
          </w:p>
        </w:tc>
        <w:tc>
          <w:tcPr>
            <w:tcW w:w="912" w:type="pct"/>
            <w:gridSpan w:val="2"/>
            <w:vAlign w:val="center"/>
          </w:tcPr>
          <w:p w:rsidR="00EE4502" w:rsidRDefault="00FD45A3">
            <w:pPr>
              <w:jc w:val="center"/>
              <w:rPr>
                <w:rFonts w:ascii="仿宋" w:eastAsia="仿宋" w:hAnsi="仿宋" w:cs="仿宋"/>
                <w:sz w:val="24"/>
              </w:rPr>
            </w:pPr>
            <w:r>
              <w:rPr>
                <w:rFonts w:ascii="仿宋" w:eastAsia="仿宋" w:hAnsi="仿宋" w:cs="仿宋" w:hint="eastAsia"/>
                <w:sz w:val="24"/>
                <w:lang w:bidi="ar"/>
              </w:rPr>
              <w:t>55-165</w:t>
            </w:r>
          </w:p>
        </w:tc>
        <w:tc>
          <w:tcPr>
            <w:tcW w:w="720" w:type="pct"/>
            <w:vAlign w:val="center"/>
          </w:tcPr>
          <w:p w:rsidR="00EE4502" w:rsidRDefault="00FD45A3">
            <w:pPr>
              <w:jc w:val="center"/>
              <w:rPr>
                <w:rFonts w:ascii="仿宋" w:eastAsia="仿宋" w:hAnsi="仿宋" w:cs="仿宋"/>
                <w:sz w:val="24"/>
              </w:rPr>
            </w:pPr>
            <w:r>
              <w:rPr>
                <w:rFonts w:ascii="仿宋" w:eastAsia="仿宋" w:hAnsi="仿宋" w:cs="仿宋" w:hint="eastAsia"/>
                <w:sz w:val="24"/>
                <w:lang w:bidi="ar"/>
              </w:rPr>
              <w:t>2</w:t>
            </w:r>
          </w:p>
        </w:tc>
        <w:tc>
          <w:tcPr>
            <w:tcW w:w="485" w:type="pct"/>
            <w:vAlign w:val="center"/>
          </w:tcPr>
          <w:p w:rsidR="00EE4502" w:rsidRDefault="00FD45A3">
            <w:pPr>
              <w:jc w:val="center"/>
              <w:rPr>
                <w:rFonts w:ascii="仿宋" w:eastAsia="仿宋" w:hAnsi="仿宋" w:cs="仿宋"/>
                <w:sz w:val="24"/>
              </w:rPr>
            </w:pPr>
            <w:r>
              <w:rPr>
                <w:rFonts w:ascii="仿宋" w:eastAsia="仿宋" w:hAnsi="仿宋" w:cs="仿宋" w:hint="eastAsia"/>
                <w:sz w:val="24"/>
                <w:lang w:bidi="ar"/>
              </w:rPr>
              <w:t>5</w:t>
            </w:r>
          </w:p>
        </w:tc>
        <w:tc>
          <w:tcPr>
            <w:tcW w:w="502" w:type="pct"/>
            <w:vAlign w:val="center"/>
          </w:tcPr>
          <w:p w:rsidR="00EE4502" w:rsidRDefault="00FD45A3">
            <w:pPr>
              <w:jc w:val="center"/>
              <w:rPr>
                <w:rFonts w:ascii="仿宋" w:eastAsia="仿宋" w:hAnsi="仿宋" w:cs="仿宋"/>
                <w:sz w:val="24"/>
              </w:rPr>
            </w:pPr>
            <w:r>
              <w:rPr>
                <w:rFonts w:ascii="仿宋" w:eastAsia="仿宋" w:hAnsi="仿宋" w:cs="仿宋" w:hint="eastAsia"/>
                <w:sz w:val="24"/>
                <w:lang w:bidi="ar"/>
              </w:rPr>
              <w:t>Sp</w:t>
            </w:r>
          </w:p>
        </w:tc>
      </w:tr>
      <w:tr w:rsidR="00EE4502">
        <w:trPr>
          <w:tblHeader/>
          <w:jc w:val="center"/>
        </w:trPr>
        <w:tc>
          <w:tcPr>
            <w:tcW w:w="1199" w:type="pct"/>
            <w:vMerge/>
            <w:vAlign w:val="center"/>
          </w:tcPr>
          <w:p w:rsidR="00EE4502" w:rsidRDefault="00EE4502">
            <w:pPr>
              <w:jc w:val="center"/>
              <w:rPr>
                <w:rFonts w:ascii="仿宋" w:eastAsia="仿宋" w:hAnsi="仿宋" w:cs="仿宋"/>
                <w:sz w:val="24"/>
              </w:rPr>
            </w:pPr>
          </w:p>
        </w:tc>
        <w:tc>
          <w:tcPr>
            <w:tcW w:w="1180" w:type="pct"/>
            <w:vAlign w:val="center"/>
          </w:tcPr>
          <w:p w:rsidR="00EE4502" w:rsidRDefault="00FD45A3">
            <w:pPr>
              <w:jc w:val="center"/>
              <w:rPr>
                <w:rFonts w:ascii="仿宋" w:eastAsia="仿宋" w:hAnsi="仿宋" w:cs="仿宋"/>
                <w:sz w:val="24"/>
              </w:rPr>
            </w:pPr>
            <w:r>
              <w:rPr>
                <w:rFonts w:ascii="仿宋" w:eastAsia="仿宋" w:hAnsi="仿宋" w:cs="仿宋" w:hint="eastAsia"/>
                <w:sz w:val="24"/>
              </w:rPr>
              <w:t>多枝柽柳</w:t>
            </w:r>
          </w:p>
        </w:tc>
        <w:tc>
          <w:tcPr>
            <w:tcW w:w="912" w:type="pct"/>
            <w:gridSpan w:val="2"/>
            <w:vAlign w:val="center"/>
          </w:tcPr>
          <w:p w:rsidR="00EE4502" w:rsidRDefault="00FD45A3">
            <w:pPr>
              <w:jc w:val="center"/>
              <w:rPr>
                <w:rFonts w:ascii="仿宋" w:eastAsia="仿宋" w:hAnsi="仿宋" w:cs="仿宋"/>
                <w:sz w:val="24"/>
              </w:rPr>
            </w:pPr>
            <w:r>
              <w:rPr>
                <w:rFonts w:ascii="仿宋" w:eastAsia="仿宋" w:hAnsi="仿宋" w:cs="仿宋" w:hint="eastAsia"/>
                <w:sz w:val="24"/>
              </w:rPr>
              <w:t>4</w:t>
            </w:r>
            <w:r>
              <w:rPr>
                <w:rFonts w:ascii="仿宋" w:eastAsia="仿宋" w:hAnsi="仿宋" w:cs="仿宋" w:hint="eastAsia"/>
                <w:sz w:val="24"/>
              </w:rPr>
              <w:t>5-1</w:t>
            </w:r>
            <w:r>
              <w:rPr>
                <w:rFonts w:ascii="仿宋" w:eastAsia="仿宋" w:hAnsi="仿宋" w:cs="仿宋" w:hint="eastAsia"/>
                <w:sz w:val="24"/>
              </w:rPr>
              <w:t>1</w:t>
            </w:r>
            <w:r>
              <w:rPr>
                <w:rFonts w:ascii="仿宋" w:eastAsia="仿宋" w:hAnsi="仿宋" w:cs="仿宋" w:hint="eastAsia"/>
                <w:sz w:val="24"/>
              </w:rPr>
              <w:t>0</w:t>
            </w:r>
          </w:p>
        </w:tc>
        <w:tc>
          <w:tcPr>
            <w:tcW w:w="720" w:type="pct"/>
            <w:vAlign w:val="center"/>
          </w:tcPr>
          <w:p w:rsidR="00EE4502" w:rsidRDefault="00FD45A3">
            <w:pPr>
              <w:jc w:val="center"/>
              <w:rPr>
                <w:rFonts w:ascii="仿宋" w:eastAsia="仿宋" w:hAnsi="仿宋" w:cs="仿宋"/>
                <w:sz w:val="24"/>
              </w:rPr>
            </w:pPr>
            <w:r>
              <w:rPr>
                <w:rFonts w:ascii="仿宋" w:eastAsia="仿宋" w:hAnsi="仿宋" w:cs="仿宋" w:hint="eastAsia"/>
                <w:sz w:val="24"/>
              </w:rPr>
              <w:t>8</w:t>
            </w:r>
          </w:p>
        </w:tc>
        <w:tc>
          <w:tcPr>
            <w:tcW w:w="485" w:type="pct"/>
            <w:vAlign w:val="center"/>
          </w:tcPr>
          <w:p w:rsidR="00EE4502" w:rsidRDefault="00FD45A3">
            <w:pPr>
              <w:jc w:val="center"/>
              <w:rPr>
                <w:rFonts w:ascii="仿宋" w:eastAsia="仿宋" w:hAnsi="仿宋" w:cs="仿宋"/>
                <w:sz w:val="24"/>
              </w:rPr>
            </w:pPr>
            <w:r>
              <w:rPr>
                <w:rFonts w:ascii="仿宋" w:eastAsia="仿宋" w:hAnsi="仿宋" w:cs="仿宋" w:hint="eastAsia"/>
                <w:sz w:val="24"/>
              </w:rPr>
              <w:t>15</w:t>
            </w:r>
          </w:p>
        </w:tc>
        <w:tc>
          <w:tcPr>
            <w:tcW w:w="502" w:type="pct"/>
            <w:vAlign w:val="center"/>
          </w:tcPr>
          <w:p w:rsidR="00EE4502" w:rsidRDefault="00FD45A3">
            <w:pPr>
              <w:jc w:val="center"/>
              <w:rPr>
                <w:rFonts w:ascii="仿宋" w:eastAsia="仿宋" w:hAnsi="仿宋" w:cs="仿宋"/>
                <w:sz w:val="24"/>
              </w:rPr>
            </w:pPr>
            <w:r>
              <w:rPr>
                <w:rFonts w:ascii="仿宋" w:eastAsia="仿宋" w:hAnsi="仿宋" w:cs="仿宋" w:hint="eastAsia"/>
                <w:sz w:val="24"/>
              </w:rPr>
              <w:t>Cop1</w:t>
            </w:r>
          </w:p>
        </w:tc>
      </w:tr>
      <w:tr w:rsidR="00EE4502">
        <w:trPr>
          <w:tblHeader/>
          <w:jc w:val="center"/>
        </w:trPr>
        <w:tc>
          <w:tcPr>
            <w:tcW w:w="1199" w:type="pct"/>
            <w:vMerge/>
            <w:vAlign w:val="center"/>
          </w:tcPr>
          <w:p w:rsidR="00EE4502" w:rsidRDefault="00EE4502">
            <w:pPr>
              <w:jc w:val="center"/>
              <w:rPr>
                <w:rFonts w:ascii="仿宋" w:eastAsia="仿宋" w:hAnsi="仿宋" w:cs="仿宋"/>
                <w:sz w:val="24"/>
              </w:rPr>
            </w:pPr>
          </w:p>
        </w:tc>
        <w:tc>
          <w:tcPr>
            <w:tcW w:w="1180" w:type="pct"/>
            <w:vAlign w:val="center"/>
          </w:tcPr>
          <w:p w:rsidR="00EE4502" w:rsidRDefault="00FD45A3">
            <w:pPr>
              <w:jc w:val="center"/>
              <w:rPr>
                <w:rFonts w:ascii="仿宋" w:eastAsia="仿宋" w:hAnsi="仿宋" w:cs="仿宋"/>
                <w:sz w:val="24"/>
              </w:rPr>
            </w:pPr>
            <w:r>
              <w:rPr>
                <w:rFonts w:ascii="仿宋" w:eastAsia="仿宋" w:hAnsi="仿宋" w:cs="仿宋" w:hint="eastAsia"/>
                <w:sz w:val="24"/>
              </w:rPr>
              <w:t>琵琶柴</w:t>
            </w:r>
          </w:p>
        </w:tc>
        <w:tc>
          <w:tcPr>
            <w:tcW w:w="912" w:type="pct"/>
            <w:gridSpan w:val="2"/>
            <w:vAlign w:val="center"/>
          </w:tcPr>
          <w:p w:rsidR="00EE4502" w:rsidRDefault="00FD45A3">
            <w:pPr>
              <w:jc w:val="center"/>
              <w:rPr>
                <w:rFonts w:ascii="仿宋" w:eastAsia="仿宋" w:hAnsi="仿宋" w:cs="仿宋"/>
                <w:sz w:val="24"/>
              </w:rPr>
            </w:pPr>
            <w:r>
              <w:rPr>
                <w:rFonts w:ascii="仿宋" w:eastAsia="仿宋" w:hAnsi="仿宋" w:cs="仿宋" w:hint="eastAsia"/>
                <w:sz w:val="24"/>
              </w:rPr>
              <w:t>22</w:t>
            </w:r>
            <w:r>
              <w:rPr>
                <w:rFonts w:ascii="仿宋" w:eastAsia="仿宋" w:hAnsi="仿宋" w:cs="仿宋" w:hint="eastAsia"/>
                <w:sz w:val="24"/>
              </w:rPr>
              <w:t>-</w:t>
            </w:r>
            <w:r>
              <w:rPr>
                <w:rFonts w:ascii="仿宋" w:eastAsia="仿宋" w:hAnsi="仿宋" w:cs="仿宋" w:hint="eastAsia"/>
                <w:sz w:val="24"/>
              </w:rPr>
              <w:t>28</w:t>
            </w:r>
          </w:p>
        </w:tc>
        <w:tc>
          <w:tcPr>
            <w:tcW w:w="720" w:type="pct"/>
            <w:vAlign w:val="center"/>
          </w:tcPr>
          <w:p w:rsidR="00EE4502" w:rsidRDefault="00FD45A3">
            <w:pPr>
              <w:jc w:val="center"/>
              <w:rPr>
                <w:rFonts w:ascii="仿宋" w:eastAsia="仿宋" w:hAnsi="仿宋" w:cs="仿宋"/>
                <w:sz w:val="24"/>
              </w:rPr>
            </w:pPr>
            <w:r>
              <w:rPr>
                <w:rFonts w:ascii="仿宋" w:eastAsia="仿宋" w:hAnsi="仿宋" w:cs="仿宋" w:hint="eastAsia"/>
                <w:sz w:val="24"/>
              </w:rPr>
              <w:t>5</w:t>
            </w:r>
          </w:p>
        </w:tc>
        <w:tc>
          <w:tcPr>
            <w:tcW w:w="485" w:type="pct"/>
            <w:vAlign w:val="center"/>
          </w:tcPr>
          <w:p w:rsidR="00EE4502" w:rsidRDefault="00FD45A3">
            <w:pPr>
              <w:jc w:val="center"/>
              <w:rPr>
                <w:rFonts w:ascii="仿宋" w:eastAsia="仿宋" w:hAnsi="仿宋" w:cs="仿宋"/>
                <w:sz w:val="24"/>
              </w:rPr>
            </w:pPr>
            <w:r>
              <w:rPr>
                <w:rFonts w:ascii="仿宋" w:eastAsia="仿宋" w:hAnsi="仿宋" w:cs="仿宋" w:hint="eastAsia"/>
                <w:sz w:val="24"/>
              </w:rPr>
              <w:t>3</w:t>
            </w:r>
          </w:p>
        </w:tc>
        <w:tc>
          <w:tcPr>
            <w:tcW w:w="502" w:type="pct"/>
            <w:vAlign w:val="center"/>
          </w:tcPr>
          <w:p w:rsidR="00EE4502" w:rsidRDefault="00FD45A3">
            <w:pPr>
              <w:jc w:val="center"/>
              <w:rPr>
                <w:rFonts w:ascii="仿宋" w:eastAsia="仿宋" w:hAnsi="仿宋" w:cs="仿宋"/>
                <w:sz w:val="24"/>
              </w:rPr>
            </w:pPr>
            <w:r>
              <w:rPr>
                <w:rFonts w:ascii="仿宋" w:eastAsia="仿宋" w:hAnsi="仿宋" w:cs="仿宋" w:hint="eastAsia"/>
                <w:sz w:val="24"/>
              </w:rPr>
              <w:t>Sp</w:t>
            </w:r>
          </w:p>
        </w:tc>
      </w:tr>
      <w:tr w:rsidR="00EE4502">
        <w:trPr>
          <w:tblHeader/>
          <w:jc w:val="center"/>
        </w:trPr>
        <w:tc>
          <w:tcPr>
            <w:tcW w:w="5000" w:type="pct"/>
            <w:gridSpan w:val="7"/>
            <w:vAlign w:val="center"/>
          </w:tcPr>
          <w:p w:rsidR="00EE4502" w:rsidRDefault="00FD45A3">
            <w:pPr>
              <w:rPr>
                <w:rFonts w:ascii="仿宋" w:eastAsia="仿宋" w:hAnsi="仿宋" w:cs="仿宋"/>
                <w:b/>
                <w:bCs/>
                <w:sz w:val="24"/>
              </w:rPr>
            </w:pPr>
            <w:r>
              <w:rPr>
                <w:rFonts w:ascii="仿宋" w:eastAsia="仿宋" w:hAnsi="仿宋" w:cs="仿宋" w:hint="eastAsia"/>
                <w:b/>
                <w:bCs/>
                <w:sz w:val="24"/>
              </w:rPr>
              <w:t>样方</w:t>
            </w:r>
            <w:r>
              <w:rPr>
                <w:rFonts w:ascii="仿宋" w:eastAsia="仿宋" w:hAnsi="仿宋" w:cs="仿宋" w:hint="eastAsia"/>
                <w:b/>
                <w:bCs/>
                <w:sz w:val="24"/>
              </w:rPr>
              <w:t>2-2</w:t>
            </w:r>
          </w:p>
        </w:tc>
      </w:tr>
      <w:tr w:rsidR="00EE4502">
        <w:trPr>
          <w:tblHeader/>
          <w:jc w:val="center"/>
        </w:trPr>
        <w:tc>
          <w:tcPr>
            <w:tcW w:w="1199" w:type="pct"/>
            <w:vMerge w:val="restart"/>
            <w:vAlign w:val="center"/>
          </w:tcPr>
          <w:p w:rsidR="00EE4502" w:rsidRDefault="00FD45A3">
            <w:pPr>
              <w:jc w:val="center"/>
              <w:rPr>
                <w:rFonts w:ascii="仿宋" w:eastAsia="仿宋" w:hAnsi="仿宋" w:cs="仿宋"/>
                <w:sz w:val="24"/>
              </w:rPr>
            </w:pPr>
            <w:r>
              <w:rPr>
                <w:rFonts w:ascii="仿宋" w:eastAsia="仿宋" w:hAnsi="仿宋" w:cs="仿宋" w:hint="eastAsia"/>
                <w:sz w:val="24"/>
              </w:rPr>
              <w:t>排</w:t>
            </w:r>
            <w:r>
              <w:rPr>
                <w:rFonts w:ascii="仿宋" w:eastAsia="仿宋" w:hAnsi="仿宋" w:cs="仿宋" w:hint="eastAsia"/>
                <w:sz w:val="24"/>
              </w:rPr>
              <w:t>7-16</w:t>
            </w:r>
            <w:r>
              <w:rPr>
                <w:rFonts w:ascii="仿宋" w:eastAsia="仿宋" w:hAnsi="仿宋" w:cs="仿宋" w:hint="eastAsia"/>
                <w:sz w:val="24"/>
              </w:rPr>
              <w:t>东部</w:t>
            </w:r>
          </w:p>
        </w:tc>
        <w:tc>
          <w:tcPr>
            <w:tcW w:w="1180" w:type="pct"/>
            <w:vAlign w:val="center"/>
          </w:tcPr>
          <w:p w:rsidR="00EE4502" w:rsidRDefault="00FD45A3">
            <w:pPr>
              <w:jc w:val="center"/>
              <w:rPr>
                <w:rFonts w:ascii="仿宋" w:eastAsia="仿宋" w:hAnsi="仿宋" w:cs="仿宋"/>
                <w:sz w:val="24"/>
              </w:rPr>
            </w:pPr>
            <w:r>
              <w:rPr>
                <w:rFonts w:ascii="仿宋" w:eastAsia="仿宋" w:hAnsi="仿宋" w:cs="仿宋" w:hint="eastAsia"/>
                <w:sz w:val="24"/>
              </w:rPr>
              <w:t>多枝柽柳</w:t>
            </w:r>
          </w:p>
        </w:tc>
        <w:tc>
          <w:tcPr>
            <w:tcW w:w="912" w:type="pct"/>
            <w:gridSpan w:val="2"/>
            <w:vAlign w:val="center"/>
          </w:tcPr>
          <w:p w:rsidR="00EE4502" w:rsidRDefault="00FD45A3">
            <w:pPr>
              <w:jc w:val="center"/>
              <w:rPr>
                <w:rFonts w:ascii="仿宋" w:eastAsia="仿宋" w:hAnsi="仿宋" w:cs="仿宋"/>
                <w:sz w:val="24"/>
              </w:rPr>
            </w:pPr>
            <w:r>
              <w:rPr>
                <w:rFonts w:ascii="仿宋" w:eastAsia="仿宋" w:hAnsi="仿宋" w:cs="仿宋" w:hint="eastAsia"/>
                <w:sz w:val="24"/>
              </w:rPr>
              <w:t>30</w:t>
            </w:r>
            <w:r>
              <w:rPr>
                <w:rFonts w:ascii="仿宋" w:eastAsia="仿宋" w:hAnsi="仿宋" w:cs="仿宋" w:hint="eastAsia"/>
                <w:sz w:val="24"/>
              </w:rPr>
              <w:t>-</w:t>
            </w:r>
            <w:r>
              <w:rPr>
                <w:rFonts w:ascii="仿宋" w:eastAsia="仿宋" w:hAnsi="仿宋" w:cs="仿宋" w:hint="eastAsia"/>
                <w:sz w:val="24"/>
              </w:rPr>
              <w:t>120</w:t>
            </w:r>
          </w:p>
        </w:tc>
        <w:tc>
          <w:tcPr>
            <w:tcW w:w="720" w:type="pct"/>
            <w:vAlign w:val="center"/>
          </w:tcPr>
          <w:p w:rsidR="00EE4502" w:rsidRDefault="00FD45A3">
            <w:pPr>
              <w:jc w:val="center"/>
              <w:rPr>
                <w:rFonts w:ascii="仿宋" w:eastAsia="仿宋" w:hAnsi="仿宋" w:cs="仿宋"/>
                <w:sz w:val="24"/>
              </w:rPr>
            </w:pPr>
            <w:r>
              <w:rPr>
                <w:rFonts w:ascii="仿宋" w:eastAsia="仿宋" w:hAnsi="仿宋" w:cs="仿宋" w:hint="eastAsia"/>
                <w:sz w:val="24"/>
              </w:rPr>
              <w:t>6</w:t>
            </w:r>
          </w:p>
        </w:tc>
        <w:tc>
          <w:tcPr>
            <w:tcW w:w="485" w:type="pct"/>
            <w:vAlign w:val="center"/>
          </w:tcPr>
          <w:p w:rsidR="00EE4502" w:rsidRDefault="00FD45A3">
            <w:pPr>
              <w:jc w:val="center"/>
              <w:rPr>
                <w:rFonts w:ascii="仿宋" w:eastAsia="仿宋" w:hAnsi="仿宋" w:cs="仿宋"/>
                <w:sz w:val="24"/>
              </w:rPr>
            </w:pPr>
            <w:r>
              <w:rPr>
                <w:rFonts w:ascii="仿宋" w:eastAsia="仿宋" w:hAnsi="仿宋" w:cs="仿宋" w:hint="eastAsia"/>
                <w:sz w:val="24"/>
              </w:rPr>
              <w:t>15</w:t>
            </w:r>
          </w:p>
        </w:tc>
        <w:tc>
          <w:tcPr>
            <w:tcW w:w="502" w:type="pct"/>
            <w:vAlign w:val="center"/>
          </w:tcPr>
          <w:p w:rsidR="00EE4502" w:rsidRDefault="00FD45A3">
            <w:pPr>
              <w:jc w:val="center"/>
              <w:rPr>
                <w:rFonts w:ascii="仿宋" w:eastAsia="仿宋" w:hAnsi="仿宋" w:cs="仿宋"/>
                <w:sz w:val="24"/>
              </w:rPr>
            </w:pPr>
            <w:r>
              <w:rPr>
                <w:rFonts w:ascii="仿宋" w:eastAsia="仿宋" w:hAnsi="仿宋" w:cs="仿宋" w:hint="eastAsia"/>
                <w:sz w:val="24"/>
              </w:rPr>
              <w:t>Cop1</w:t>
            </w:r>
          </w:p>
        </w:tc>
      </w:tr>
      <w:tr w:rsidR="00EE4502">
        <w:trPr>
          <w:tblHeader/>
          <w:jc w:val="center"/>
        </w:trPr>
        <w:tc>
          <w:tcPr>
            <w:tcW w:w="1199" w:type="pct"/>
            <w:vMerge/>
            <w:vAlign w:val="center"/>
          </w:tcPr>
          <w:p w:rsidR="00EE4502" w:rsidRDefault="00EE4502">
            <w:pPr>
              <w:jc w:val="center"/>
              <w:rPr>
                <w:rFonts w:ascii="仿宋" w:eastAsia="仿宋" w:hAnsi="仿宋" w:cs="仿宋"/>
                <w:sz w:val="24"/>
              </w:rPr>
            </w:pPr>
          </w:p>
        </w:tc>
        <w:tc>
          <w:tcPr>
            <w:tcW w:w="1180" w:type="pct"/>
            <w:vAlign w:val="center"/>
          </w:tcPr>
          <w:p w:rsidR="00EE4502" w:rsidRDefault="00FD45A3">
            <w:pPr>
              <w:jc w:val="center"/>
              <w:rPr>
                <w:rFonts w:ascii="仿宋" w:eastAsia="仿宋" w:hAnsi="仿宋" w:cs="仿宋"/>
                <w:sz w:val="24"/>
              </w:rPr>
            </w:pPr>
            <w:r>
              <w:rPr>
                <w:rFonts w:ascii="仿宋" w:eastAsia="仿宋" w:hAnsi="仿宋" w:cs="仿宋" w:hint="eastAsia"/>
                <w:sz w:val="24"/>
              </w:rPr>
              <w:t>琵琶柴</w:t>
            </w:r>
          </w:p>
        </w:tc>
        <w:tc>
          <w:tcPr>
            <w:tcW w:w="912" w:type="pct"/>
            <w:gridSpan w:val="2"/>
            <w:vAlign w:val="center"/>
          </w:tcPr>
          <w:p w:rsidR="00EE4502" w:rsidRDefault="00FD45A3">
            <w:pPr>
              <w:jc w:val="center"/>
              <w:rPr>
                <w:rFonts w:ascii="仿宋" w:eastAsia="仿宋" w:hAnsi="仿宋" w:cs="仿宋"/>
                <w:sz w:val="24"/>
              </w:rPr>
            </w:pPr>
            <w:r>
              <w:rPr>
                <w:rFonts w:ascii="仿宋" w:eastAsia="仿宋" w:hAnsi="仿宋" w:cs="仿宋" w:hint="eastAsia"/>
                <w:sz w:val="24"/>
              </w:rPr>
              <w:t>15</w:t>
            </w:r>
            <w:r>
              <w:rPr>
                <w:rFonts w:ascii="仿宋" w:eastAsia="仿宋" w:hAnsi="仿宋" w:cs="仿宋" w:hint="eastAsia"/>
                <w:sz w:val="24"/>
              </w:rPr>
              <w:t>-</w:t>
            </w:r>
            <w:r>
              <w:rPr>
                <w:rFonts w:ascii="仿宋" w:eastAsia="仿宋" w:hAnsi="仿宋" w:cs="仿宋" w:hint="eastAsia"/>
                <w:sz w:val="24"/>
              </w:rPr>
              <w:t>35</w:t>
            </w:r>
          </w:p>
        </w:tc>
        <w:tc>
          <w:tcPr>
            <w:tcW w:w="720" w:type="pct"/>
            <w:vAlign w:val="center"/>
          </w:tcPr>
          <w:p w:rsidR="00EE4502" w:rsidRDefault="00FD45A3">
            <w:pPr>
              <w:jc w:val="center"/>
              <w:rPr>
                <w:rFonts w:ascii="仿宋" w:eastAsia="仿宋" w:hAnsi="仿宋" w:cs="仿宋"/>
                <w:sz w:val="24"/>
              </w:rPr>
            </w:pPr>
            <w:r>
              <w:rPr>
                <w:rFonts w:ascii="仿宋" w:eastAsia="仿宋" w:hAnsi="仿宋" w:cs="仿宋" w:hint="eastAsia"/>
                <w:sz w:val="24"/>
              </w:rPr>
              <w:t>5</w:t>
            </w:r>
          </w:p>
        </w:tc>
        <w:tc>
          <w:tcPr>
            <w:tcW w:w="485" w:type="pct"/>
            <w:vAlign w:val="center"/>
          </w:tcPr>
          <w:p w:rsidR="00EE4502" w:rsidRDefault="00FD45A3">
            <w:pPr>
              <w:jc w:val="center"/>
              <w:rPr>
                <w:rFonts w:ascii="仿宋" w:eastAsia="仿宋" w:hAnsi="仿宋" w:cs="仿宋"/>
                <w:sz w:val="24"/>
              </w:rPr>
            </w:pPr>
            <w:r>
              <w:rPr>
                <w:rFonts w:ascii="仿宋" w:eastAsia="仿宋" w:hAnsi="仿宋" w:cs="仿宋" w:hint="eastAsia"/>
                <w:sz w:val="24"/>
              </w:rPr>
              <w:t>10</w:t>
            </w:r>
          </w:p>
        </w:tc>
        <w:tc>
          <w:tcPr>
            <w:tcW w:w="502" w:type="pct"/>
            <w:vAlign w:val="center"/>
          </w:tcPr>
          <w:p w:rsidR="00EE4502" w:rsidRDefault="00FD45A3">
            <w:pPr>
              <w:jc w:val="center"/>
              <w:rPr>
                <w:rFonts w:ascii="仿宋" w:eastAsia="仿宋" w:hAnsi="仿宋" w:cs="仿宋"/>
                <w:sz w:val="24"/>
              </w:rPr>
            </w:pPr>
            <w:r>
              <w:rPr>
                <w:rFonts w:ascii="仿宋" w:eastAsia="仿宋" w:hAnsi="仿宋" w:cs="仿宋" w:hint="eastAsia"/>
                <w:sz w:val="24"/>
              </w:rPr>
              <w:t>Sp</w:t>
            </w:r>
          </w:p>
        </w:tc>
      </w:tr>
      <w:tr w:rsidR="00EE4502">
        <w:trPr>
          <w:tblHeader/>
          <w:jc w:val="center"/>
        </w:trPr>
        <w:tc>
          <w:tcPr>
            <w:tcW w:w="1199" w:type="pct"/>
            <w:vMerge/>
            <w:vAlign w:val="center"/>
          </w:tcPr>
          <w:p w:rsidR="00EE4502" w:rsidRDefault="00EE4502">
            <w:pPr>
              <w:jc w:val="center"/>
              <w:rPr>
                <w:rFonts w:ascii="仿宋" w:eastAsia="仿宋" w:hAnsi="仿宋" w:cs="仿宋"/>
                <w:sz w:val="24"/>
              </w:rPr>
            </w:pPr>
          </w:p>
        </w:tc>
        <w:tc>
          <w:tcPr>
            <w:tcW w:w="1180" w:type="pct"/>
            <w:vAlign w:val="center"/>
          </w:tcPr>
          <w:p w:rsidR="00EE4502" w:rsidRDefault="00FD45A3">
            <w:pPr>
              <w:jc w:val="center"/>
              <w:rPr>
                <w:rFonts w:ascii="仿宋" w:eastAsia="仿宋" w:hAnsi="仿宋" w:cs="仿宋"/>
                <w:sz w:val="24"/>
              </w:rPr>
            </w:pPr>
            <w:r>
              <w:rPr>
                <w:rFonts w:ascii="仿宋" w:eastAsia="仿宋" w:hAnsi="仿宋" w:cs="仿宋" w:hint="eastAsia"/>
                <w:sz w:val="24"/>
                <w:lang w:bidi="ar"/>
              </w:rPr>
              <w:t>梭梭</w:t>
            </w:r>
          </w:p>
        </w:tc>
        <w:tc>
          <w:tcPr>
            <w:tcW w:w="912" w:type="pct"/>
            <w:gridSpan w:val="2"/>
            <w:vAlign w:val="center"/>
          </w:tcPr>
          <w:p w:rsidR="00EE4502" w:rsidRDefault="00FD45A3">
            <w:pPr>
              <w:jc w:val="center"/>
              <w:rPr>
                <w:rFonts w:ascii="仿宋" w:eastAsia="仿宋" w:hAnsi="仿宋" w:cs="仿宋"/>
                <w:sz w:val="24"/>
              </w:rPr>
            </w:pPr>
            <w:r>
              <w:rPr>
                <w:rFonts w:ascii="仿宋" w:eastAsia="仿宋" w:hAnsi="仿宋" w:cs="仿宋" w:hint="eastAsia"/>
                <w:sz w:val="24"/>
                <w:lang w:bidi="ar"/>
              </w:rPr>
              <w:t>50-150</w:t>
            </w:r>
          </w:p>
        </w:tc>
        <w:tc>
          <w:tcPr>
            <w:tcW w:w="720" w:type="pct"/>
            <w:vAlign w:val="center"/>
          </w:tcPr>
          <w:p w:rsidR="00EE4502" w:rsidRDefault="00FD45A3">
            <w:pPr>
              <w:jc w:val="center"/>
              <w:rPr>
                <w:rFonts w:ascii="仿宋" w:eastAsia="仿宋" w:hAnsi="仿宋" w:cs="仿宋"/>
                <w:sz w:val="24"/>
              </w:rPr>
            </w:pPr>
            <w:r>
              <w:rPr>
                <w:rFonts w:ascii="仿宋" w:eastAsia="仿宋" w:hAnsi="仿宋" w:cs="仿宋" w:hint="eastAsia"/>
                <w:sz w:val="24"/>
                <w:lang w:bidi="ar"/>
              </w:rPr>
              <w:t>2</w:t>
            </w:r>
          </w:p>
        </w:tc>
        <w:tc>
          <w:tcPr>
            <w:tcW w:w="485" w:type="pct"/>
            <w:vAlign w:val="center"/>
          </w:tcPr>
          <w:p w:rsidR="00EE4502" w:rsidRDefault="00FD45A3">
            <w:pPr>
              <w:jc w:val="center"/>
              <w:rPr>
                <w:rFonts w:ascii="仿宋" w:eastAsia="仿宋" w:hAnsi="仿宋" w:cs="仿宋"/>
                <w:sz w:val="24"/>
              </w:rPr>
            </w:pPr>
            <w:r>
              <w:rPr>
                <w:rFonts w:ascii="仿宋" w:eastAsia="仿宋" w:hAnsi="仿宋" w:cs="仿宋" w:hint="eastAsia"/>
                <w:sz w:val="24"/>
                <w:lang w:bidi="ar"/>
              </w:rPr>
              <w:t>7</w:t>
            </w:r>
          </w:p>
        </w:tc>
        <w:tc>
          <w:tcPr>
            <w:tcW w:w="502" w:type="pct"/>
            <w:vAlign w:val="center"/>
          </w:tcPr>
          <w:p w:rsidR="00EE4502" w:rsidRDefault="00FD45A3">
            <w:pPr>
              <w:jc w:val="center"/>
              <w:rPr>
                <w:rFonts w:ascii="仿宋" w:eastAsia="仿宋" w:hAnsi="仿宋" w:cs="仿宋"/>
                <w:sz w:val="24"/>
              </w:rPr>
            </w:pPr>
            <w:r>
              <w:rPr>
                <w:rFonts w:ascii="仿宋" w:eastAsia="仿宋" w:hAnsi="仿宋" w:cs="仿宋" w:hint="eastAsia"/>
                <w:sz w:val="24"/>
                <w:lang w:bidi="ar"/>
              </w:rPr>
              <w:t>Sol</w:t>
            </w:r>
          </w:p>
        </w:tc>
      </w:tr>
      <w:tr w:rsidR="00EE4502">
        <w:trPr>
          <w:tblHeader/>
          <w:jc w:val="center"/>
        </w:trPr>
        <w:tc>
          <w:tcPr>
            <w:tcW w:w="1199" w:type="pct"/>
            <w:vMerge/>
            <w:vAlign w:val="center"/>
          </w:tcPr>
          <w:p w:rsidR="00EE4502" w:rsidRDefault="00EE4502">
            <w:pPr>
              <w:jc w:val="center"/>
              <w:rPr>
                <w:rFonts w:ascii="仿宋" w:eastAsia="仿宋" w:hAnsi="仿宋" w:cs="仿宋"/>
                <w:sz w:val="24"/>
              </w:rPr>
            </w:pPr>
          </w:p>
        </w:tc>
        <w:tc>
          <w:tcPr>
            <w:tcW w:w="1180" w:type="pct"/>
            <w:vAlign w:val="center"/>
          </w:tcPr>
          <w:p w:rsidR="00EE4502" w:rsidRDefault="00FD45A3">
            <w:pPr>
              <w:jc w:val="center"/>
              <w:rPr>
                <w:rFonts w:ascii="仿宋" w:eastAsia="仿宋" w:hAnsi="仿宋" w:cs="仿宋"/>
                <w:sz w:val="24"/>
              </w:rPr>
            </w:pPr>
            <w:r>
              <w:rPr>
                <w:rFonts w:ascii="仿宋" w:eastAsia="仿宋" w:hAnsi="仿宋" w:cs="仿宋" w:hint="eastAsia"/>
                <w:sz w:val="24"/>
              </w:rPr>
              <w:t>盐生假木贼</w:t>
            </w:r>
          </w:p>
        </w:tc>
        <w:tc>
          <w:tcPr>
            <w:tcW w:w="912" w:type="pct"/>
            <w:gridSpan w:val="2"/>
            <w:vAlign w:val="center"/>
          </w:tcPr>
          <w:p w:rsidR="00EE4502" w:rsidRDefault="00FD45A3">
            <w:pPr>
              <w:jc w:val="center"/>
              <w:rPr>
                <w:rFonts w:ascii="仿宋" w:eastAsia="仿宋" w:hAnsi="仿宋" w:cs="仿宋"/>
                <w:sz w:val="24"/>
              </w:rPr>
            </w:pPr>
            <w:r>
              <w:rPr>
                <w:rFonts w:ascii="仿宋" w:eastAsia="仿宋" w:hAnsi="仿宋" w:cs="仿宋" w:hint="eastAsia"/>
                <w:sz w:val="24"/>
              </w:rPr>
              <w:t>18-26</w:t>
            </w:r>
          </w:p>
        </w:tc>
        <w:tc>
          <w:tcPr>
            <w:tcW w:w="720" w:type="pct"/>
            <w:vAlign w:val="center"/>
          </w:tcPr>
          <w:p w:rsidR="00EE4502" w:rsidRDefault="00FD45A3">
            <w:pPr>
              <w:jc w:val="center"/>
              <w:rPr>
                <w:rFonts w:ascii="仿宋" w:eastAsia="仿宋" w:hAnsi="仿宋" w:cs="仿宋"/>
                <w:sz w:val="24"/>
              </w:rPr>
            </w:pPr>
            <w:r>
              <w:rPr>
                <w:rFonts w:ascii="仿宋" w:eastAsia="仿宋" w:hAnsi="仿宋" w:cs="仿宋" w:hint="eastAsia"/>
                <w:sz w:val="24"/>
              </w:rPr>
              <w:t>2</w:t>
            </w:r>
          </w:p>
        </w:tc>
        <w:tc>
          <w:tcPr>
            <w:tcW w:w="485" w:type="pct"/>
            <w:vAlign w:val="center"/>
          </w:tcPr>
          <w:p w:rsidR="00EE4502" w:rsidRDefault="00FD45A3">
            <w:pPr>
              <w:jc w:val="center"/>
              <w:rPr>
                <w:rFonts w:ascii="仿宋" w:eastAsia="仿宋" w:hAnsi="仿宋" w:cs="仿宋"/>
                <w:sz w:val="24"/>
              </w:rPr>
            </w:pPr>
            <w:r>
              <w:rPr>
                <w:rFonts w:ascii="仿宋" w:eastAsia="仿宋" w:hAnsi="仿宋" w:cs="仿宋" w:hint="eastAsia"/>
                <w:sz w:val="24"/>
              </w:rPr>
              <w:t>5</w:t>
            </w:r>
          </w:p>
        </w:tc>
        <w:tc>
          <w:tcPr>
            <w:tcW w:w="502" w:type="pct"/>
            <w:vAlign w:val="center"/>
          </w:tcPr>
          <w:p w:rsidR="00EE4502" w:rsidRDefault="00FD45A3">
            <w:pPr>
              <w:jc w:val="center"/>
              <w:rPr>
                <w:rFonts w:ascii="仿宋" w:eastAsia="仿宋" w:hAnsi="仿宋" w:cs="仿宋"/>
                <w:sz w:val="24"/>
              </w:rPr>
            </w:pPr>
            <w:r>
              <w:rPr>
                <w:rFonts w:ascii="仿宋" w:eastAsia="仿宋" w:hAnsi="仿宋" w:cs="仿宋" w:hint="eastAsia"/>
                <w:sz w:val="24"/>
              </w:rPr>
              <w:t>Un</w:t>
            </w:r>
          </w:p>
        </w:tc>
      </w:tr>
      <w:tr w:rsidR="00EE4502">
        <w:trPr>
          <w:tblHeader/>
          <w:jc w:val="center"/>
        </w:trPr>
        <w:tc>
          <w:tcPr>
            <w:tcW w:w="5000" w:type="pct"/>
            <w:gridSpan w:val="7"/>
            <w:vAlign w:val="center"/>
          </w:tcPr>
          <w:p w:rsidR="00EE4502" w:rsidRDefault="00FD45A3">
            <w:pPr>
              <w:rPr>
                <w:rFonts w:ascii="仿宋" w:eastAsia="仿宋" w:hAnsi="仿宋" w:cs="仿宋"/>
                <w:b/>
                <w:bCs/>
                <w:sz w:val="24"/>
              </w:rPr>
            </w:pPr>
            <w:r>
              <w:rPr>
                <w:rFonts w:ascii="仿宋" w:eastAsia="仿宋" w:hAnsi="仿宋" w:cs="仿宋" w:hint="eastAsia"/>
                <w:b/>
                <w:bCs/>
                <w:sz w:val="24"/>
              </w:rPr>
              <w:t>样方</w:t>
            </w:r>
            <w:r>
              <w:rPr>
                <w:rFonts w:ascii="仿宋" w:eastAsia="仿宋" w:hAnsi="仿宋" w:cs="仿宋" w:hint="eastAsia"/>
                <w:b/>
                <w:bCs/>
                <w:sz w:val="24"/>
              </w:rPr>
              <w:t>2-3</w:t>
            </w:r>
          </w:p>
        </w:tc>
      </w:tr>
      <w:tr w:rsidR="00EE4502">
        <w:trPr>
          <w:tblHeader/>
          <w:jc w:val="center"/>
        </w:trPr>
        <w:tc>
          <w:tcPr>
            <w:tcW w:w="1199" w:type="pct"/>
            <w:vMerge w:val="restart"/>
            <w:vAlign w:val="center"/>
          </w:tcPr>
          <w:p w:rsidR="00EE4502" w:rsidRDefault="00FD45A3">
            <w:pPr>
              <w:jc w:val="center"/>
              <w:rPr>
                <w:rFonts w:ascii="仿宋" w:eastAsia="仿宋" w:hAnsi="仿宋" w:cs="仿宋"/>
                <w:sz w:val="24"/>
              </w:rPr>
            </w:pPr>
            <w:r>
              <w:rPr>
                <w:rFonts w:ascii="仿宋" w:eastAsia="仿宋" w:hAnsi="仿宋" w:cs="仿宋" w:hint="eastAsia"/>
                <w:sz w:val="24"/>
              </w:rPr>
              <w:t>排</w:t>
            </w:r>
            <w:r>
              <w:rPr>
                <w:rFonts w:ascii="仿宋" w:eastAsia="仿宋" w:hAnsi="仿宋" w:cs="仿宋" w:hint="eastAsia"/>
                <w:sz w:val="24"/>
              </w:rPr>
              <w:t>71</w:t>
            </w:r>
            <w:r>
              <w:rPr>
                <w:rFonts w:ascii="仿宋" w:eastAsia="仿宋" w:hAnsi="仿宋" w:cs="仿宋" w:hint="eastAsia"/>
                <w:sz w:val="24"/>
              </w:rPr>
              <w:t>北部</w:t>
            </w:r>
          </w:p>
        </w:tc>
        <w:tc>
          <w:tcPr>
            <w:tcW w:w="1180" w:type="pct"/>
            <w:vAlign w:val="center"/>
          </w:tcPr>
          <w:p w:rsidR="00EE4502" w:rsidRDefault="00FD45A3">
            <w:pPr>
              <w:jc w:val="center"/>
              <w:rPr>
                <w:rFonts w:ascii="仿宋" w:eastAsia="仿宋" w:hAnsi="仿宋" w:cs="仿宋"/>
                <w:sz w:val="24"/>
              </w:rPr>
            </w:pPr>
            <w:r>
              <w:rPr>
                <w:rFonts w:ascii="仿宋" w:eastAsia="仿宋" w:hAnsi="仿宋" w:cs="仿宋" w:hint="eastAsia"/>
                <w:sz w:val="24"/>
              </w:rPr>
              <w:t>多枝柽柳</w:t>
            </w:r>
          </w:p>
        </w:tc>
        <w:tc>
          <w:tcPr>
            <w:tcW w:w="912" w:type="pct"/>
            <w:gridSpan w:val="2"/>
            <w:vAlign w:val="center"/>
          </w:tcPr>
          <w:p w:rsidR="00EE4502" w:rsidRDefault="00FD45A3">
            <w:pPr>
              <w:jc w:val="center"/>
              <w:rPr>
                <w:rFonts w:ascii="仿宋" w:eastAsia="仿宋" w:hAnsi="仿宋" w:cs="仿宋"/>
                <w:sz w:val="24"/>
              </w:rPr>
            </w:pPr>
            <w:r>
              <w:rPr>
                <w:rFonts w:ascii="仿宋" w:eastAsia="仿宋" w:hAnsi="仿宋" w:cs="仿宋" w:hint="eastAsia"/>
                <w:sz w:val="24"/>
              </w:rPr>
              <w:t>45</w:t>
            </w:r>
            <w:r>
              <w:rPr>
                <w:rFonts w:ascii="仿宋" w:eastAsia="仿宋" w:hAnsi="仿宋" w:cs="仿宋" w:hint="eastAsia"/>
                <w:sz w:val="24"/>
              </w:rPr>
              <w:t>-6</w:t>
            </w:r>
            <w:r>
              <w:rPr>
                <w:rFonts w:ascii="仿宋" w:eastAsia="仿宋" w:hAnsi="仿宋" w:cs="仿宋" w:hint="eastAsia"/>
                <w:sz w:val="24"/>
              </w:rPr>
              <w:t>5</w:t>
            </w:r>
          </w:p>
        </w:tc>
        <w:tc>
          <w:tcPr>
            <w:tcW w:w="720" w:type="pct"/>
            <w:vAlign w:val="center"/>
          </w:tcPr>
          <w:p w:rsidR="00EE4502" w:rsidRDefault="00FD45A3">
            <w:pPr>
              <w:jc w:val="center"/>
              <w:rPr>
                <w:rFonts w:ascii="仿宋" w:eastAsia="仿宋" w:hAnsi="仿宋" w:cs="仿宋"/>
                <w:sz w:val="24"/>
              </w:rPr>
            </w:pPr>
            <w:r>
              <w:rPr>
                <w:rFonts w:ascii="仿宋" w:eastAsia="仿宋" w:hAnsi="仿宋" w:cs="仿宋" w:hint="eastAsia"/>
                <w:sz w:val="24"/>
              </w:rPr>
              <w:t>5</w:t>
            </w:r>
          </w:p>
        </w:tc>
        <w:tc>
          <w:tcPr>
            <w:tcW w:w="485" w:type="pct"/>
            <w:vAlign w:val="center"/>
          </w:tcPr>
          <w:p w:rsidR="00EE4502" w:rsidRDefault="00FD45A3">
            <w:pPr>
              <w:jc w:val="center"/>
              <w:rPr>
                <w:rFonts w:ascii="仿宋" w:eastAsia="仿宋" w:hAnsi="仿宋" w:cs="仿宋"/>
                <w:sz w:val="24"/>
              </w:rPr>
            </w:pPr>
            <w:r>
              <w:rPr>
                <w:rFonts w:ascii="仿宋" w:eastAsia="仿宋" w:hAnsi="仿宋" w:cs="仿宋" w:hint="eastAsia"/>
                <w:sz w:val="24"/>
              </w:rPr>
              <w:t>15</w:t>
            </w:r>
          </w:p>
        </w:tc>
        <w:tc>
          <w:tcPr>
            <w:tcW w:w="502" w:type="pct"/>
            <w:vAlign w:val="center"/>
          </w:tcPr>
          <w:p w:rsidR="00EE4502" w:rsidRDefault="00FD45A3">
            <w:pPr>
              <w:jc w:val="center"/>
              <w:rPr>
                <w:rFonts w:ascii="仿宋" w:eastAsia="仿宋" w:hAnsi="仿宋" w:cs="仿宋"/>
                <w:sz w:val="24"/>
              </w:rPr>
            </w:pPr>
            <w:r>
              <w:rPr>
                <w:rFonts w:ascii="仿宋" w:eastAsia="仿宋" w:hAnsi="仿宋" w:cs="仿宋" w:hint="eastAsia"/>
                <w:sz w:val="24"/>
              </w:rPr>
              <w:t>Cop1</w:t>
            </w:r>
          </w:p>
        </w:tc>
      </w:tr>
      <w:tr w:rsidR="00EE4502">
        <w:trPr>
          <w:tblHeader/>
          <w:jc w:val="center"/>
        </w:trPr>
        <w:tc>
          <w:tcPr>
            <w:tcW w:w="1199" w:type="pct"/>
            <w:vMerge/>
            <w:vAlign w:val="center"/>
          </w:tcPr>
          <w:p w:rsidR="00EE4502" w:rsidRDefault="00EE4502">
            <w:pPr>
              <w:jc w:val="center"/>
              <w:rPr>
                <w:rFonts w:ascii="仿宋" w:eastAsia="仿宋" w:hAnsi="仿宋" w:cs="仿宋"/>
                <w:sz w:val="24"/>
              </w:rPr>
            </w:pPr>
          </w:p>
        </w:tc>
        <w:tc>
          <w:tcPr>
            <w:tcW w:w="1180" w:type="pct"/>
            <w:vAlign w:val="center"/>
          </w:tcPr>
          <w:p w:rsidR="00EE4502" w:rsidRDefault="00FD45A3">
            <w:pPr>
              <w:jc w:val="center"/>
              <w:rPr>
                <w:rFonts w:ascii="仿宋" w:eastAsia="仿宋" w:hAnsi="仿宋" w:cs="仿宋"/>
                <w:sz w:val="24"/>
              </w:rPr>
            </w:pPr>
            <w:r>
              <w:rPr>
                <w:rFonts w:ascii="仿宋" w:eastAsia="仿宋" w:hAnsi="仿宋" w:cs="仿宋" w:hint="eastAsia"/>
                <w:sz w:val="24"/>
              </w:rPr>
              <w:t>琵琶柴</w:t>
            </w:r>
          </w:p>
        </w:tc>
        <w:tc>
          <w:tcPr>
            <w:tcW w:w="912" w:type="pct"/>
            <w:gridSpan w:val="2"/>
            <w:vAlign w:val="center"/>
          </w:tcPr>
          <w:p w:rsidR="00EE4502" w:rsidRDefault="00FD45A3">
            <w:pPr>
              <w:jc w:val="center"/>
              <w:rPr>
                <w:rFonts w:ascii="仿宋" w:eastAsia="仿宋" w:hAnsi="仿宋" w:cs="仿宋"/>
                <w:sz w:val="24"/>
              </w:rPr>
            </w:pPr>
            <w:r>
              <w:rPr>
                <w:rFonts w:ascii="仿宋" w:eastAsia="仿宋" w:hAnsi="仿宋" w:cs="仿宋" w:hint="eastAsia"/>
                <w:sz w:val="24"/>
              </w:rPr>
              <w:t>15</w:t>
            </w:r>
            <w:r>
              <w:rPr>
                <w:rFonts w:ascii="仿宋" w:eastAsia="仿宋" w:hAnsi="仿宋" w:cs="仿宋" w:hint="eastAsia"/>
                <w:sz w:val="24"/>
              </w:rPr>
              <w:t>-2</w:t>
            </w:r>
            <w:r>
              <w:rPr>
                <w:rFonts w:ascii="仿宋" w:eastAsia="仿宋" w:hAnsi="仿宋" w:cs="仿宋" w:hint="eastAsia"/>
                <w:sz w:val="24"/>
              </w:rPr>
              <w:t>6</w:t>
            </w:r>
          </w:p>
        </w:tc>
        <w:tc>
          <w:tcPr>
            <w:tcW w:w="720" w:type="pct"/>
            <w:vAlign w:val="center"/>
          </w:tcPr>
          <w:p w:rsidR="00EE4502" w:rsidRDefault="00FD45A3">
            <w:pPr>
              <w:jc w:val="center"/>
              <w:rPr>
                <w:rFonts w:ascii="仿宋" w:eastAsia="仿宋" w:hAnsi="仿宋" w:cs="仿宋"/>
                <w:sz w:val="24"/>
              </w:rPr>
            </w:pPr>
            <w:r>
              <w:rPr>
                <w:rFonts w:ascii="仿宋" w:eastAsia="仿宋" w:hAnsi="仿宋" w:cs="仿宋" w:hint="eastAsia"/>
                <w:sz w:val="24"/>
              </w:rPr>
              <w:t>6</w:t>
            </w:r>
          </w:p>
        </w:tc>
        <w:tc>
          <w:tcPr>
            <w:tcW w:w="485" w:type="pct"/>
            <w:vAlign w:val="center"/>
          </w:tcPr>
          <w:p w:rsidR="00EE4502" w:rsidRDefault="00FD45A3">
            <w:pPr>
              <w:jc w:val="center"/>
              <w:rPr>
                <w:rFonts w:ascii="仿宋" w:eastAsia="仿宋" w:hAnsi="仿宋" w:cs="仿宋"/>
                <w:sz w:val="24"/>
              </w:rPr>
            </w:pPr>
            <w:r>
              <w:rPr>
                <w:rFonts w:ascii="仿宋" w:eastAsia="仿宋" w:hAnsi="仿宋" w:cs="仿宋" w:hint="eastAsia"/>
                <w:sz w:val="24"/>
              </w:rPr>
              <w:t>7</w:t>
            </w:r>
          </w:p>
        </w:tc>
        <w:tc>
          <w:tcPr>
            <w:tcW w:w="502" w:type="pct"/>
            <w:vAlign w:val="center"/>
          </w:tcPr>
          <w:p w:rsidR="00EE4502" w:rsidRDefault="00FD45A3">
            <w:pPr>
              <w:jc w:val="center"/>
              <w:rPr>
                <w:rFonts w:ascii="仿宋" w:eastAsia="仿宋" w:hAnsi="仿宋" w:cs="仿宋"/>
                <w:sz w:val="24"/>
              </w:rPr>
            </w:pPr>
            <w:r>
              <w:rPr>
                <w:rFonts w:ascii="仿宋" w:eastAsia="仿宋" w:hAnsi="仿宋" w:cs="仿宋" w:hint="eastAsia"/>
                <w:sz w:val="24"/>
              </w:rPr>
              <w:t>Sol</w:t>
            </w:r>
          </w:p>
        </w:tc>
      </w:tr>
      <w:tr w:rsidR="00EE4502">
        <w:trPr>
          <w:tblHeader/>
          <w:jc w:val="center"/>
        </w:trPr>
        <w:tc>
          <w:tcPr>
            <w:tcW w:w="1199" w:type="pct"/>
            <w:vMerge/>
            <w:vAlign w:val="center"/>
          </w:tcPr>
          <w:p w:rsidR="00EE4502" w:rsidRDefault="00EE4502">
            <w:pPr>
              <w:jc w:val="center"/>
              <w:rPr>
                <w:rFonts w:ascii="仿宋" w:eastAsia="仿宋" w:hAnsi="仿宋" w:cs="仿宋"/>
                <w:sz w:val="24"/>
              </w:rPr>
            </w:pPr>
          </w:p>
        </w:tc>
        <w:tc>
          <w:tcPr>
            <w:tcW w:w="1180" w:type="pct"/>
            <w:vAlign w:val="center"/>
          </w:tcPr>
          <w:p w:rsidR="00EE4502" w:rsidRDefault="00FD45A3">
            <w:pPr>
              <w:jc w:val="center"/>
              <w:rPr>
                <w:rFonts w:ascii="仿宋" w:eastAsia="仿宋" w:hAnsi="仿宋" w:cs="仿宋"/>
                <w:sz w:val="24"/>
              </w:rPr>
            </w:pPr>
            <w:r>
              <w:rPr>
                <w:rFonts w:ascii="仿宋" w:eastAsia="仿宋" w:hAnsi="仿宋" w:cs="仿宋" w:hint="eastAsia"/>
                <w:sz w:val="24"/>
              </w:rPr>
              <w:t>梭梭</w:t>
            </w:r>
          </w:p>
        </w:tc>
        <w:tc>
          <w:tcPr>
            <w:tcW w:w="912" w:type="pct"/>
            <w:gridSpan w:val="2"/>
            <w:vAlign w:val="center"/>
          </w:tcPr>
          <w:p w:rsidR="00EE4502" w:rsidRDefault="00FD45A3">
            <w:pPr>
              <w:jc w:val="center"/>
              <w:rPr>
                <w:rFonts w:ascii="仿宋" w:eastAsia="仿宋" w:hAnsi="仿宋" w:cs="仿宋"/>
                <w:sz w:val="24"/>
              </w:rPr>
            </w:pPr>
            <w:r>
              <w:rPr>
                <w:rFonts w:ascii="仿宋" w:eastAsia="仿宋" w:hAnsi="仿宋" w:cs="仿宋" w:hint="eastAsia"/>
                <w:sz w:val="24"/>
              </w:rPr>
              <w:t>65</w:t>
            </w:r>
            <w:r>
              <w:rPr>
                <w:rFonts w:ascii="仿宋" w:eastAsia="仿宋" w:hAnsi="仿宋" w:cs="仿宋" w:hint="eastAsia"/>
                <w:sz w:val="24"/>
              </w:rPr>
              <w:t>-</w:t>
            </w:r>
            <w:r>
              <w:rPr>
                <w:rFonts w:ascii="仿宋" w:eastAsia="仿宋" w:hAnsi="仿宋" w:cs="仿宋" w:hint="eastAsia"/>
                <w:sz w:val="24"/>
              </w:rPr>
              <w:t>155</w:t>
            </w:r>
          </w:p>
        </w:tc>
        <w:tc>
          <w:tcPr>
            <w:tcW w:w="720" w:type="pct"/>
            <w:vAlign w:val="center"/>
          </w:tcPr>
          <w:p w:rsidR="00EE4502" w:rsidRDefault="00FD45A3">
            <w:pPr>
              <w:jc w:val="center"/>
              <w:rPr>
                <w:rFonts w:ascii="仿宋" w:eastAsia="仿宋" w:hAnsi="仿宋" w:cs="仿宋"/>
                <w:sz w:val="24"/>
              </w:rPr>
            </w:pPr>
            <w:r>
              <w:rPr>
                <w:rFonts w:ascii="仿宋" w:eastAsia="仿宋" w:hAnsi="仿宋" w:cs="仿宋" w:hint="eastAsia"/>
                <w:sz w:val="24"/>
              </w:rPr>
              <w:t>2</w:t>
            </w:r>
          </w:p>
        </w:tc>
        <w:tc>
          <w:tcPr>
            <w:tcW w:w="485" w:type="pct"/>
            <w:vAlign w:val="center"/>
          </w:tcPr>
          <w:p w:rsidR="00EE4502" w:rsidRDefault="00FD45A3">
            <w:pPr>
              <w:jc w:val="center"/>
              <w:rPr>
                <w:rFonts w:ascii="仿宋" w:eastAsia="仿宋" w:hAnsi="仿宋" w:cs="仿宋"/>
                <w:sz w:val="24"/>
              </w:rPr>
            </w:pPr>
            <w:r>
              <w:rPr>
                <w:rFonts w:ascii="仿宋" w:eastAsia="仿宋" w:hAnsi="仿宋" w:cs="仿宋" w:hint="eastAsia"/>
                <w:sz w:val="24"/>
              </w:rPr>
              <w:t>8</w:t>
            </w:r>
          </w:p>
        </w:tc>
        <w:tc>
          <w:tcPr>
            <w:tcW w:w="502" w:type="pct"/>
            <w:vAlign w:val="center"/>
          </w:tcPr>
          <w:p w:rsidR="00EE4502" w:rsidRDefault="00FD45A3">
            <w:pPr>
              <w:jc w:val="center"/>
              <w:rPr>
                <w:rFonts w:ascii="仿宋" w:eastAsia="仿宋" w:hAnsi="仿宋" w:cs="仿宋"/>
                <w:sz w:val="24"/>
              </w:rPr>
            </w:pPr>
            <w:r>
              <w:rPr>
                <w:rFonts w:ascii="仿宋" w:eastAsia="仿宋" w:hAnsi="仿宋" w:cs="仿宋" w:hint="eastAsia"/>
                <w:sz w:val="24"/>
              </w:rPr>
              <w:t>Sp</w:t>
            </w:r>
          </w:p>
        </w:tc>
      </w:tr>
      <w:tr w:rsidR="00EE4502">
        <w:trPr>
          <w:trHeight w:val="398"/>
          <w:tblHeader/>
          <w:jc w:val="center"/>
        </w:trPr>
        <w:tc>
          <w:tcPr>
            <w:tcW w:w="2467" w:type="pct"/>
            <w:gridSpan w:val="3"/>
            <w:vAlign w:val="center"/>
          </w:tcPr>
          <w:p w:rsidR="00EE4502" w:rsidRDefault="00EE4502">
            <w:pPr>
              <w:rPr>
                <w:szCs w:val="20"/>
              </w:rPr>
            </w:pPr>
          </w:p>
        </w:tc>
        <w:tc>
          <w:tcPr>
            <w:tcW w:w="2532" w:type="pct"/>
            <w:gridSpan w:val="4"/>
            <w:vAlign w:val="center"/>
          </w:tcPr>
          <w:p w:rsidR="00EE4502" w:rsidRDefault="00EE4502">
            <w:pPr>
              <w:rPr>
                <w:szCs w:val="20"/>
              </w:rPr>
            </w:pPr>
          </w:p>
        </w:tc>
      </w:tr>
    </w:tbl>
    <w:p w:rsidR="00EE4502" w:rsidRDefault="00EE4502">
      <w:pPr>
        <w:spacing w:line="360" w:lineRule="auto"/>
        <w:ind w:firstLine="522"/>
        <w:rPr>
          <w:sz w:val="24"/>
        </w:rPr>
      </w:pPr>
    </w:p>
    <w:p w:rsidR="00EE4502" w:rsidRDefault="00FD45A3">
      <w:pPr>
        <w:pStyle w:val="33"/>
        <w:numPr>
          <w:ilvl w:val="2"/>
          <w:numId w:val="30"/>
        </w:numPr>
        <w:spacing w:line="360" w:lineRule="auto"/>
        <w:ind w:left="0" w:firstLine="0"/>
        <w:rPr>
          <w:spacing w:val="0"/>
          <w:sz w:val="24"/>
          <w:szCs w:val="24"/>
        </w:rPr>
      </w:pPr>
      <w:r>
        <w:rPr>
          <w:rFonts w:hint="eastAsia"/>
          <w:spacing w:val="0"/>
          <w:sz w:val="24"/>
          <w:szCs w:val="24"/>
        </w:rPr>
        <w:t>野生动物现状评价</w:t>
      </w:r>
    </w:p>
    <w:p w:rsidR="00EE4502" w:rsidRDefault="00FD45A3">
      <w:pPr>
        <w:spacing w:line="360" w:lineRule="auto"/>
        <w:ind w:firstLineChars="200" w:firstLine="500"/>
        <w:rPr>
          <w:spacing w:val="5"/>
          <w:sz w:val="24"/>
        </w:rPr>
      </w:pPr>
      <w:r>
        <w:rPr>
          <w:rFonts w:hint="eastAsia"/>
          <w:spacing w:val="5"/>
          <w:sz w:val="24"/>
        </w:rPr>
        <w:t>（</w:t>
      </w:r>
      <w:r>
        <w:rPr>
          <w:rFonts w:hint="eastAsia"/>
          <w:spacing w:val="5"/>
          <w:sz w:val="24"/>
        </w:rPr>
        <w:t>1</w:t>
      </w:r>
      <w:r>
        <w:rPr>
          <w:rFonts w:hint="eastAsia"/>
          <w:spacing w:val="5"/>
          <w:sz w:val="24"/>
        </w:rPr>
        <w:t>）野生动物区划</w:t>
      </w:r>
    </w:p>
    <w:p w:rsidR="00EE4502" w:rsidRDefault="00FD45A3">
      <w:pPr>
        <w:spacing w:line="360" w:lineRule="auto"/>
        <w:ind w:firstLineChars="200" w:firstLine="500"/>
        <w:rPr>
          <w:spacing w:val="5"/>
          <w:sz w:val="24"/>
        </w:rPr>
      </w:pPr>
      <w:r>
        <w:rPr>
          <w:rFonts w:hint="eastAsia"/>
          <w:spacing w:val="5"/>
          <w:sz w:val="24"/>
        </w:rPr>
        <w:t>按中国动物地理区划的分级标准，工程区属古北界、中亚亚界、蒙新区、西部荒漠亚区、准噶尔盆地小区。因该区域地处内陆盆地，气候极端干燥，按气候区划为酷热干旱区，野生动物的栖息生境极为单一，主要为荒漠。</w:t>
      </w:r>
    </w:p>
    <w:p w:rsidR="00EE4502" w:rsidRDefault="00FD45A3">
      <w:pPr>
        <w:spacing w:line="360" w:lineRule="auto"/>
        <w:ind w:firstLineChars="200" w:firstLine="500"/>
        <w:rPr>
          <w:spacing w:val="5"/>
          <w:sz w:val="24"/>
        </w:rPr>
      </w:pPr>
      <w:r>
        <w:rPr>
          <w:rFonts w:hint="eastAsia"/>
          <w:spacing w:val="5"/>
          <w:sz w:val="24"/>
        </w:rPr>
        <w:t>（</w:t>
      </w:r>
      <w:r>
        <w:rPr>
          <w:rFonts w:hint="eastAsia"/>
          <w:spacing w:val="5"/>
          <w:sz w:val="24"/>
        </w:rPr>
        <w:t>2</w:t>
      </w:r>
      <w:r>
        <w:rPr>
          <w:rFonts w:hint="eastAsia"/>
          <w:spacing w:val="5"/>
          <w:sz w:val="24"/>
        </w:rPr>
        <w:t>）野生动物类型调查与评价</w:t>
      </w:r>
    </w:p>
    <w:p w:rsidR="00EE4502" w:rsidRDefault="00FD45A3">
      <w:pPr>
        <w:spacing w:line="360" w:lineRule="auto"/>
        <w:ind w:firstLineChars="200" w:firstLine="500"/>
        <w:rPr>
          <w:spacing w:val="5"/>
          <w:sz w:val="24"/>
        </w:rPr>
      </w:pPr>
      <w:r>
        <w:rPr>
          <w:rFonts w:hint="eastAsia"/>
          <w:spacing w:val="5"/>
          <w:sz w:val="24"/>
        </w:rPr>
        <w:t>荒漠区是油田生产的主要区域，植被主要以</w:t>
      </w:r>
      <w:r>
        <w:rPr>
          <w:rFonts w:hint="eastAsia"/>
          <w:spacing w:val="5"/>
          <w:sz w:val="24"/>
        </w:rPr>
        <w:t>梭梭、琵琶柴</w:t>
      </w:r>
      <w:r>
        <w:rPr>
          <w:rFonts w:hint="eastAsia"/>
          <w:spacing w:val="5"/>
          <w:sz w:val="24"/>
        </w:rPr>
        <w:t>为主，多为旱生</w:t>
      </w:r>
      <w:r>
        <w:rPr>
          <w:rFonts w:hint="eastAsia"/>
          <w:spacing w:val="5"/>
          <w:sz w:val="24"/>
        </w:rPr>
        <w:t>耐盐碱</w:t>
      </w:r>
      <w:r>
        <w:rPr>
          <w:rFonts w:hint="eastAsia"/>
          <w:spacing w:val="5"/>
          <w:sz w:val="24"/>
        </w:rPr>
        <w:t>种类。</w:t>
      </w:r>
      <w:r>
        <w:rPr>
          <w:rFonts w:hint="eastAsia"/>
          <w:spacing w:val="5"/>
          <w:sz w:val="24"/>
        </w:rPr>
        <w:t>干旱的</w:t>
      </w:r>
      <w:r>
        <w:rPr>
          <w:rFonts w:hint="eastAsia"/>
          <w:spacing w:val="5"/>
          <w:sz w:val="24"/>
        </w:rPr>
        <w:t>自然环境及地势平坦的地形地貌，导致区域内的主要动物为啮齿动物（荒漠麻</w:t>
      </w:r>
      <w:r>
        <w:rPr>
          <w:rFonts w:hint="eastAsia"/>
          <w:spacing w:val="5"/>
          <w:sz w:val="24"/>
        </w:rPr>
        <w:t>蜥</w:t>
      </w:r>
      <w:r>
        <w:rPr>
          <w:rFonts w:hint="eastAsia"/>
          <w:spacing w:val="5"/>
          <w:sz w:val="24"/>
        </w:rPr>
        <w:t>、快步麻蜥等）及鸟类（小嘴乌鸦、凤头百灵、红尾伯劳等）。</w:t>
      </w:r>
    </w:p>
    <w:p w:rsidR="00EE4502" w:rsidRDefault="00FD45A3">
      <w:pPr>
        <w:spacing w:line="360" w:lineRule="auto"/>
        <w:ind w:firstLineChars="200" w:firstLine="500"/>
        <w:rPr>
          <w:rFonts w:ascii="黑体" w:eastAsia="黑体" w:hAnsi="黑体" w:cs="黑体"/>
          <w:bCs/>
          <w:spacing w:val="5"/>
          <w:szCs w:val="21"/>
        </w:rPr>
      </w:pPr>
      <w:r>
        <w:rPr>
          <w:rFonts w:hint="eastAsia"/>
          <w:spacing w:val="5"/>
          <w:sz w:val="24"/>
        </w:rPr>
        <w:t>工程所在地区内分布的主要野生脊椎动物</w:t>
      </w:r>
      <w:r>
        <w:rPr>
          <w:rFonts w:hint="eastAsia"/>
          <w:spacing w:val="5"/>
          <w:sz w:val="24"/>
        </w:rPr>
        <w:t>17</w:t>
      </w:r>
      <w:r>
        <w:rPr>
          <w:rFonts w:hint="eastAsia"/>
          <w:spacing w:val="5"/>
          <w:sz w:val="24"/>
        </w:rPr>
        <w:t>种，其中爬行类</w:t>
      </w:r>
      <w:r>
        <w:rPr>
          <w:rFonts w:hint="eastAsia"/>
          <w:spacing w:val="5"/>
          <w:sz w:val="24"/>
        </w:rPr>
        <w:t>4</w:t>
      </w:r>
      <w:r>
        <w:rPr>
          <w:rFonts w:hint="eastAsia"/>
          <w:spacing w:val="5"/>
          <w:sz w:val="24"/>
        </w:rPr>
        <w:t>种、鸟类</w:t>
      </w:r>
      <w:r>
        <w:rPr>
          <w:rFonts w:hint="eastAsia"/>
          <w:spacing w:val="5"/>
          <w:sz w:val="24"/>
        </w:rPr>
        <w:t>10</w:t>
      </w:r>
      <w:r>
        <w:rPr>
          <w:rFonts w:hint="eastAsia"/>
          <w:spacing w:val="5"/>
          <w:sz w:val="24"/>
        </w:rPr>
        <w:t>种、哺乳类</w:t>
      </w:r>
      <w:r>
        <w:rPr>
          <w:rFonts w:hint="eastAsia"/>
          <w:spacing w:val="5"/>
          <w:sz w:val="24"/>
        </w:rPr>
        <w:t>3</w:t>
      </w:r>
      <w:r>
        <w:rPr>
          <w:rFonts w:hint="eastAsia"/>
          <w:spacing w:val="5"/>
          <w:sz w:val="24"/>
        </w:rPr>
        <w:t>种。爬行类的蜥蜴、哺乳类的啮齿动物和鸟类是工程区内主要建群种动物，详见表</w:t>
      </w:r>
      <w:r>
        <w:rPr>
          <w:rFonts w:hint="eastAsia"/>
          <w:spacing w:val="5"/>
          <w:sz w:val="24"/>
        </w:rPr>
        <w:t>4-2-</w:t>
      </w:r>
      <w:r>
        <w:rPr>
          <w:rFonts w:hint="eastAsia"/>
          <w:spacing w:val="5"/>
          <w:sz w:val="24"/>
        </w:rPr>
        <w:t>8</w:t>
      </w:r>
      <w:r>
        <w:rPr>
          <w:rFonts w:hint="eastAsia"/>
          <w:spacing w:val="5"/>
          <w:sz w:val="24"/>
        </w:rPr>
        <w:t>。</w:t>
      </w:r>
    </w:p>
    <w:p w:rsidR="00EE4502" w:rsidRDefault="00FD45A3">
      <w:pPr>
        <w:spacing w:line="360" w:lineRule="auto"/>
        <w:jc w:val="center"/>
        <w:rPr>
          <w:spacing w:val="5"/>
          <w:sz w:val="24"/>
        </w:rPr>
      </w:pPr>
      <w:r>
        <w:rPr>
          <w:rFonts w:ascii="黑体" w:eastAsia="黑体" w:hAnsi="黑体" w:cs="黑体" w:hint="eastAsia"/>
          <w:bCs/>
          <w:spacing w:val="5"/>
          <w:szCs w:val="21"/>
        </w:rPr>
        <w:t>表</w:t>
      </w:r>
      <w:r>
        <w:rPr>
          <w:rFonts w:ascii="黑体" w:eastAsia="黑体" w:hAnsi="黑体" w:cs="黑体" w:hint="eastAsia"/>
          <w:bCs/>
          <w:spacing w:val="5"/>
          <w:szCs w:val="21"/>
        </w:rPr>
        <w:t>4-2-</w:t>
      </w:r>
      <w:r>
        <w:rPr>
          <w:rFonts w:ascii="黑体" w:eastAsia="黑体" w:hAnsi="黑体" w:cs="黑体" w:hint="eastAsia"/>
          <w:bCs/>
          <w:spacing w:val="5"/>
          <w:szCs w:val="21"/>
        </w:rPr>
        <w:t>8</w:t>
      </w:r>
      <w:r>
        <w:rPr>
          <w:rFonts w:ascii="黑体" w:eastAsia="黑体" w:hAnsi="黑体" w:cs="黑体" w:hint="eastAsia"/>
          <w:bCs/>
          <w:spacing w:val="5"/>
          <w:szCs w:val="21"/>
        </w:rPr>
        <w:t xml:space="preserve">  </w:t>
      </w:r>
      <w:r>
        <w:rPr>
          <w:rFonts w:ascii="黑体" w:eastAsia="黑体" w:hAnsi="黑体" w:cs="黑体" w:hint="eastAsia"/>
          <w:bCs/>
          <w:spacing w:val="5"/>
          <w:szCs w:val="21"/>
        </w:rPr>
        <w:t>评价</w:t>
      </w:r>
      <w:r>
        <w:rPr>
          <w:rFonts w:ascii="黑体" w:eastAsia="黑体" w:hAnsi="黑体" w:cs="黑体" w:hint="eastAsia"/>
          <w:bCs/>
          <w:spacing w:val="5"/>
          <w:szCs w:val="21"/>
        </w:rPr>
        <w:t>区主要动物种类及分布</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5"/>
        <w:gridCol w:w="2125"/>
        <w:gridCol w:w="3607"/>
        <w:gridCol w:w="923"/>
        <w:gridCol w:w="1238"/>
      </w:tblGrid>
      <w:tr w:rsidR="00EE4502">
        <w:trPr>
          <w:tblHeader/>
          <w:jc w:val="center"/>
        </w:trPr>
        <w:tc>
          <w:tcPr>
            <w:tcW w:w="635" w:type="dxa"/>
            <w:tcBorders>
              <w:left w:val="single" w:sz="4" w:space="0" w:color="auto"/>
            </w:tcBorders>
            <w:vAlign w:val="center"/>
          </w:tcPr>
          <w:p w:rsidR="00EE4502" w:rsidRDefault="00FD45A3">
            <w:pPr>
              <w:jc w:val="center"/>
            </w:pPr>
            <w:r>
              <w:t>序号</w:t>
            </w:r>
          </w:p>
        </w:tc>
        <w:tc>
          <w:tcPr>
            <w:tcW w:w="2125" w:type="dxa"/>
            <w:vAlign w:val="center"/>
          </w:tcPr>
          <w:p w:rsidR="00EE4502" w:rsidRDefault="00FD45A3">
            <w:pPr>
              <w:jc w:val="center"/>
            </w:pPr>
            <w:r>
              <w:t>中</w:t>
            </w:r>
            <w:r>
              <w:t xml:space="preserve">    </w:t>
            </w:r>
            <w:r>
              <w:t>名</w:t>
            </w:r>
          </w:p>
        </w:tc>
        <w:tc>
          <w:tcPr>
            <w:tcW w:w="3607" w:type="dxa"/>
            <w:vAlign w:val="center"/>
          </w:tcPr>
          <w:p w:rsidR="00EE4502" w:rsidRDefault="00FD45A3">
            <w:pPr>
              <w:jc w:val="center"/>
              <w:rPr>
                <w:i/>
              </w:rPr>
            </w:pPr>
            <w:r>
              <w:rPr>
                <w:iCs/>
              </w:rPr>
              <w:t>学</w:t>
            </w:r>
            <w:r>
              <w:rPr>
                <w:iCs/>
              </w:rPr>
              <w:t xml:space="preserve">    </w:t>
            </w:r>
            <w:r>
              <w:rPr>
                <w:iCs/>
              </w:rPr>
              <w:t>名</w:t>
            </w:r>
          </w:p>
        </w:tc>
        <w:tc>
          <w:tcPr>
            <w:tcW w:w="923" w:type="dxa"/>
          </w:tcPr>
          <w:p w:rsidR="00EE4502" w:rsidRDefault="00FD45A3">
            <w:pPr>
              <w:jc w:val="center"/>
            </w:pPr>
            <w:r>
              <w:t>居留</w:t>
            </w:r>
            <w:r>
              <w:t xml:space="preserve">  </w:t>
            </w:r>
            <w:r>
              <w:t>特性</w:t>
            </w:r>
          </w:p>
        </w:tc>
        <w:tc>
          <w:tcPr>
            <w:tcW w:w="1238" w:type="dxa"/>
            <w:tcBorders>
              <w:right w:val="single" w:sz="4" w:space="0" w:color="auto"/>
            </w:tcBorders>
          </w:tcPr>
          <w:p w:rsidR="00EE4502" w:rsidRDefault="00FD45A3">
            <w:pPr>
              <w:jc w:val="center"/>
            </w:pPr>
            <w:r>
              <w:t>分布</w:t>
            </w:r>
          </w:p>
        </w:tc>
      </w:tr>
      <w:tr w:rsidR="00EE4502">
        <w:trPr>
          <w:tblHeader/>
          <w:jc w:val="center"/>
        </w:trPr>
        <w:tc>
          <w:tcPr>
            <w:tcW w:w="6367" w:type="dxa"/>
            <w:gridSpan w:val="3"/>
            <w:tcBorders>
              <w:top w:val="single" w:sz="4" w:space="0" w:color="auto"/>
              <w:left w:val="single" w:sz="4" w:space="0" w:color="auto"/>
            </w:tcBorders>
            <w:vAlign w:val="center"/>
          </w:tcPr>
          <w:p w:rsidR="00EE4502" w:rsidRDefault="00FD45A3">
            <w:pPr>
              <w:jc w:val="center"/>
              <w:rPr>
                <w:i/>
              </w:rPr>
            </w:pPr>
            <w:r>
              <w:rPr>
                <w:i/>
              </w:rPr>
              <w:t>爬行类</w:t>
            </w:r>
          </w:p>
        </w:tc>
        <w:tc>
          <w:tcPr>
            <w:tcW w:w="923" w:type="dxa"/>
            <w:tcBorders>
              <w:top w:val="single" w:sz="4" w:space="0" w:color="auto"/>
            </w:tcBorders>
            <w:vAlign w:val="center"/>
          </w:tcPr>
          <w:p w:rsidR="00EE4502" w:rsidRDefault="00EE4502">
            <w:pPr>
              <w:jc w:val="center"/>
            </w:pPr>
          </w:p>
        </w:tc>
        <w:tc>
          <w:tcPr>
            <w:tcW w:w="1238" w:type="dxa"/>
            <w:tcBorders>
              <w:top w:val="single" w:sz="4" w:space="0" w:color="auto"/>
            </w:tcBorders>
            <w:vAlign w:val="center"/>
          </w:tcPr>
          <w:p w:rsidR="00EE4502" w:rsidRDefault="00EE4502">
            <w:pPr>
              <w:jc w:val="center"/>
            </w:pPr>
          </w:p>
        </w:tc>
      </w:tr>
      <w:tr w:rsidR="00EE4502">
        <w:trPr>
          <w:tblHeader/>
          <w:jc w:val="center"/>
        </w:trPr>
        <w:tc>
          <w:tcPr>
            <w:tcW w:w="635" w:type="dxa"/>
            <w:tcBorders>
              <w:left w:val="single" w:sz="4" w:space="0" w:color="auto"/>
            </w:tcBorders>
            <w:vAlign w:val="center"/>
          </w:tcPr>
          <w:p w:rsidR="00EE4502" w:rsidRDefault="00FD45A3">
            <w:pPr>
              <w:jc w:val="center"/>
            </w:pPr>
            <w:r>
              <w:t>1</w:t>
            </w:r>
          </w:p>
        </w:tc>
        <w:tc>
          <w:tcPr>
            <w:tcW w:w="2125" w:type="dxa"/>
            <w:vAlign w:val="center"/>
          </w:tcPr>
          <w:p w:rsidR="00EE4502" w:rsidRDefault="00FD45A3">
            <w:pPr>
              <w:jc w:val="center"/>
            </w:pPr>
            <w:r>
              <w:t>快步麻蜥</w:t>
            </w:r>
          </w:p>
        </w:tc>
        <w:tc>
          <w:tcPr>
            <w:tcW w:w="3607" w:type="dxa"/>
            <w:vAlign w:val="center"/>
          </w:tcPr>
          <w:p w:rsidR="00EE4502" w:rsidRDefault="00FD45A3">
            <w:pPr>
              <w:jc w:val="center"/>
              <w:rPr>
                <w:i/>
              </w:rPr>
            </w:pPr>
            <w:r>
              <w:rPr>
                <w:i/>
              </w:rPr>
              <w:t>Eremias velox</w:t>
            </w:r>
          </w:p>
        </w:tc>
        <w:tc>
          <w:tcPr>
            <w:tcW w:w="923" w:type="dxa"/>
          </w:tcPr>
          <w:p w:rsidR="00EE4502" w:rsidRDefault="00EE4502">
            <w:pPr>
              <w:jc w:val="center"/>
            </w:pPr>
          </w:p>
        </w:tc>
        <w:tc>
          <w:tcPr>
            <w:tcW w:w="1238" w:type="dxa"/>
            <w:vAlign w:val="center"/>
          </w:tcPr>
          <w:p w:rsidR="00EE4502" w:rsidRDefault="00FD45A3">
            <w:pPr>
              <w:jc w:val="center"/>
            </w:pPr>
            <w:r>
              <w:t>+</w:t>
            </w:r>
          </w:p>
        </w:tc>
      </w:tr>
      <w:tr w:rsidR="00EE4502">
        <w:trPr>
          <w:tblHeader/>
          <w:jc w:val="center"/>
        </w:trPr>
        <w:tc>
          <w:tcPr>
            <w:tcW w:w="635" w:type="dxa"/>
            <w:tcBorders>
              <w:left w:val="single" w:sz="4" w:space="0" w:color="auto"/>
            </w:tcBorders>
            <w:vAlign w:val="center"/>
          </w:tcPr>
          <w:p w:rsidR="00EE4502" w:rsidRDefault="00FD45A3">
            <w:pPr>
              <w:jc w:val="center"/>
            </w:pPr>
            <w:r>
              <w:t>2</w:t>
            </w:r>
          </w:p>
        </w:tc>
        <w:tc>
          <w:tcPr>
            <w:tcW w:w="2125" w:type="dxa"/>
            <w:vAlign w:val="center"/>
          </w:tcPr>
          <w:p w:rsidR="00EE4502" w:rsidRDefault="00FD45A3">
            <w:pPr>
              <w:jc w:val="center"/>
            </w:pPr>
            <w:r>
              <w:t>黄脊游蛇</w:t>
            </w:r>
          </w:p>
        </w:tc>
        <w:tc>
          <w:tcPr>
            <w:tcW w:w="3607" w:type="dxa"/>
            <w:vAlign w:val="center"/>
          </w:tcPr>
          <w:p w:rsidR="00EE4502" w:rsidRDefault="00FD45A3">
            <w:pPr>
              <w:jc w:val="center"/>
              <w:rPr>
                <w:i/>
              </w:rPr>
            </w:pPr>
            <w:r>
              <w:rPr>
                <w:i/>
              </w:rPr>
              <w:t>Coluber spinalis</w:t>
            </w:r>
          </w:p>
        </w:tc>
        <w:tc>
          <w:tcPr>
            <w:tcW w:w="923" w:type="dxa"/>
          </w:tcPr>
          <w:p w:rsidR="00EE4502" w:rsidRDefault="00EE4502">
            <w:pPr>
              <w:jc w:val="center"/>
            </w:pPr>
          </w:p>
        </w:tc>
        <w:tc>
          <w:tcPr>
            <w:tcW w:w="1238" w:type="dxa"/>
            <w:vAlign w:val="center"/>
          </w:tcPr>
          <w:p w:rsidR="00EE4502" w:rsidRDefault="00FD45A3">
            <w:pPr>
              <w:jc w:val="center"/>
            </w:pPr>
            <w:r>
              <w:t>+</w:t>
            </w:r>
          </w:p>
        </w:tc>
      </w:tr>
      <w:tr w:rsidR="00EE4502">
        <w:trPr>
          <w:tblHeader/>
          <w:jc w:val="center"/>
        </w:trPr>
        <w:tc>
          <w:tcPr>
            <w:tcW w:w="635" w:type="dxa"/>
            <w:tcBorders>
              <w:left w:val="single" w:sz="4" w:space="0" w:color="auto"/>
            </w:tcBorders>
            <w:vAlign w:val="center"/>
          </w:tcPr>
          <w:p w:rsidR="00EE4502" w:rsidRDefault="00FD45A3">
            <w:pPr>
              <w:jc w:val="center"/>
            </w:pPr>
            <w:r>
              <w:t>3</w:t>
            </w:r>
          </w:p>
        </w:tc>
        <w:tc>
          <w:tcPr>
            <w:tcW w:w="2125" w:type="dxa"/>
            <w:vAlign w:val="center"/>
          </w:tcPr>
          <w:p w:rsidR="00EE4502" w:rsidRDefault="00FD45A3">
            <w:pPr>
              <w:jc w:val="center"/>
            </w:pPr>
            <w:r>
              <w:t>旱地沙蜥</w:t>
            </w:r>
          </w:p>
        </w:tc>
        <w:tc>
          <w:tcPr>
            <w:tcW w:w="3607" w:type="dxa"/>
            <w:vAlign w:val="center"/>
          </w:tcPr>
          <w:p w:rsidR="00EE4502" w:rsidRDefault="00FD45A3">
            <w:pPr>
              <w:jc w:val="center"/>
              <w:rPr>
                <w:i/>
              </w:rPr>
            </w:pPr>
            <w:r>
              <w:rPr>
                <w:i/>
              </w:rPr>
              <w:t>Phrynocephalus helioseopus</w:t>
            </w:r>
          </w:p>
        </w:tc>
        <w:tc>
          <w:tcPr>
            <w:tcW w:w="923" w:type="dxa"/>
          </w:tcPr>
          <w:p w:rsidR="00EE4502" w:rsidRDefault="00EE4502">
            <w:pPr>
              <w:jc w:val="center"/>
            </w:pPr>
          </w:p>
        </w:tc>
        <w:tc>
          <w:tcPr>
            <w:tcW w:w="1238" w:type="dxa"/>
            <w:vAlign w:val="center"/>
          </w:tcPr>
          <w:p w:rsidR="00EE4502" w:rsidRDefault="00FD45A3">
            <w:pPr>
              <w:jc w:val="center"/>
            </w:pPr>
            <w:r>
              <w:t>+</w:t>
            </w:r>
          </w:p>
        </w:tc>
      </w:tr>
      <w:tr w:rsidR="00EE4502">
        <w:trPr>
          <w:tblHeader/>
          <w:jc w:val="center"/>
        </w:trPr>
        <w:tc>
          <w:tcPr>
            <w:tcW w:w="635" w:type="dxa"/>
            <w:tcBorders>
              <w:left w:val="single" w:sz="4" w:space="0" w:color="auto"/>
            </w:tcBorders>
            <w:vAlign w:val="center"/>
          </w:tcPr>
          <w:p w:rsidR="00EE4502" w:rsidRDefault="00FD45A3">
            <w:pPr>
              <w:jc w:val="center"/>
            </w:pPr>
            <w:r>
              <w:t>4</w:t>
            </w:r>
          </w:p>
        </w:tc>
        <w:tc>
          <w:tcPr>
            <w:tcW w:w="2125" w:type="dxa"/>
            <w:vAlign w:val="center"/>
          </w:tcPr>
          <w:p w:rsidR="00EE4502" w:rsidRDefault="00FD45A3">
            <w:pPr>
              <w:jc w:val="center"/>
            </w:pPr>
            <w:r>
              <w:t>密点麻蜥</w:t>
            </w:r>
          </w:p>
        </w:tc>
        <w:tc>
          <w:tcPr>
            <w:tcW w:w="3607" w:type="dxa"/>
            <w:vAlign w:val="center"/>
          </w:tcPr>
          <w:p w:rsidR="00EE4502" w:rsidRDefault="00FD45A3">
            <w:pPr>
              <w:jc w:val="center"/>
              <w:rPr>
                <w:i/>
              </w:rPr>
            </w:pPr>
            <w:r>
              <w:rPr>
                <w:i/>
              </w:rPr>
              <w:t xml:space="preserve">Eremias </w:t>
            </w:r>
            <w:r>
              <w:rPr>
                <w:i/>
              </w:rPr>
              <w:t>multiocellata</w:t>
            </w:r>
          </w:p>
        </w:tc>
        <w:tc>
          <w:tcPr>
            <w:tcW w:w="923" w:type="dxa"/>
          </w:tcPr>
          <w:p w:rsidR="00EE4502" w:rsidRDefault="00EE4502">
            <w:pPr>
              <w:jc w:val="center"/>
            </w:pPr>
          </w:p>
        </w:tc>
        <w:tc>
          <w:tcPr>
            <w:tcW w:w="1238" w:type="dxa"/>
            <w:vAlign w:val="center"/>
          </w:tcPr>
          <w:p w:rsidR="00EE4502" w:rsidRDefault="00FD45A3">
            <w:pPr>
              <w:jc w:val="center"/>
            </w:pPr>
            <w:r>
              <w:t>+</w:t>
            </w:r>
          </w:p>
        </w:tc>
      </w:tr>
      <w:tr w:rsidR="00EE4502">
        <w:trPr>
          <w:tblHeader/>
          <w:jc w:val="center"/>
        </w:trPr>
        <w:tc>
          <w:tcPr>
            <w:tcW w:w="6367" w:type="dxa"/>
            <w:gridSpan w:val="3"/>
            <w:tcBorders>
              <w:left w:val="single" w:sz="4" w:space="0" w:color="auto"/>
            </w:tcBorders>
            <w:vAlign w:val="center"/>
          </w:tcPr>
          <w:p w:rsidR="00EE4502" w:rsidRDefault="00FD45A3">
            <w:pPr>
              <w:jc w:val="center"/>
              <w:rPr>
                <w:i/>
              </w:rPr>
            </w:pPr>
            <w:r>
              <w:rPr>
                <w:i/>
              </w:rPr>
              <w:t>鸟</w:t>
            </w:r>
            <w:r>
              <w:rPr>
                <w:i/>
              </w:rPr>
              <w:t xml:space="preserve">     </w:t>
            </w:r>
            <w:r>
              <w:rPr>
                <w:i/>
              </w:rPr>
              <w:t>类</w:t>
            </w:r>
          </w:p>
        </w:tc>
        <w:tc>
          <w:tcPr>
            <w:tcW w:w="923" w:type="dxa"/>
            <w:vAlign w:val="center"/>
          </w:tcPr>
          <w:p w:rsidR="00EE4502" w:rsidRDefault="00EE4502">
            <w:pPr>
              <w:jc w:val="center"/>
            </w:pPr>
          </w:p>
        </w:tc>
        <w:tc>
          <w:tcPr>
            <w:tcW w:w="1238" w:type="dxa"/>
            <w:tcBorders>
              <w:right w:val="single" w:sz="4" w:space="0" w:color="auto"/>
            </w:tcBorders>
            <w:vAlign w:val="center"/>
          </w:tcPr>
          <w:p w:rsidR="00EE4502" w:rsidRDefault="00EE4502">
            <w:pPr>
              <w:jc w:val="center"/>
            </w:pPr>
          </w:p>
        </w:tc>
      </w:tr>
      <w:tr w:rsidR="00EE4502">
        <w:trPr>
          <w:tblHeader/>
          <w:jc w:val="center"/>
        </w:trPr>
        <w:tc>
          <w:tcPr>
            <w:tcW w:w="635" w:type="dxa"/>
            <w:tcBorders>
              <w:left w:val="single" w:sz="4" w:space="0" w:color="auto"/>
            </w:tcBorders>
            <w:vAlign w:val="center"/>
          </w:tcPr>
          <w:p w:rsidR="00EE4502" w:rsidRDefault="00FD45A3">
            <w:pPr>
              <w:jc w:val="center"/>
            </w:pPr>
            <w:r>
              <w:t>5</w:t>
            </w:r>
          </w:p>
        </w:tc>
        <w:tc>
          <w:tcPr>
            <w:tcW w:w="2125" w:type="dxa"/>
            <w:vAlign w:val="center"/>
          </w:tcPr>
          <w:p w:rsidR="00EE4502" w:rsidRDefault="00FD45A3">
            <w:pPr>
              <w:jc w:val="center"/>
            </w:pPr>
            <w:r>
              <w:t>石</w:t>
            </w:r>
            <w:r>
              <w:t xml:space="preserve">  </w:t>
            </w:r>
            <w:r>
              <w:t>鸡</w:t>
            </w:r>
          </w:p>
        </w:tc>
        <w:tc>
          <w:tcPr>
            <w:tcW w:w="3607" w:type="dxa"/>
            <w:vAlign w:val="center"/>
          </w:tcPr>
          <w:p w:rsidR="00EE4502" w:rsidRDefault="00FD45A3">
            <w:pPr>
              <w:jc w:val="center"/>
              <w:rPr>
                <w:i/>
              </w:rPr>
            </w:pPr>
            <w:r>
              <w:rPr>
                <w:i/>
              </w:rPr>
              <w:t>Alectoris graeca</w:t>
            </w:r>
          </w:p>
        </w:tc>
        <w:tc>
          <w:tcPr>
            <w:tcW w:w="923" w:type="dxa"/>
          </w:tcPr>
          <w:p w:rsidR="00EE4502" w:rsidRDefault="00FD45A3">
            <w:pPr>
              <w:jc w:val="center"/>
            </w:pPr>
            <w:r>
              <w:t>R</w:t>
            </w:r>
          </w:p>
        </w:tc>
        <w:tc>
          <w:tcPr>
            <w:tcW w:w="1238" w:type="dxa"/>
            <w:vAlign w:val="center"/>
          </w:tcPr>
          <w:p w:rsidR="00EE4502" w:rsidRDefault="00FD45A3">
            <w:pPr>
              <w:jc w:val="center"/>
            </w:pPr>
            <w:r>
              <w:t>++</w:t>
            </w:r>
          </w:p>
        </w:tc>
      </w:tr>
      <w:tr w:rsidR="00EE4502">
        <w:trPr>
          <w:tblHeader/>
          <w:jc w:val="center"/>
        </w:trPr>
        <w:tc>
          <w:tcPr>
            <w:tcW w:w="635" w:type="dxa"/>
            <w:tcBorders>
              <w:left w:val="single" w:sz="4" w:space="0" w:color="auto"/>
            </w:tcBorders>
            <w:vAlign w:val="center"/>
          </w:tcPr>
          <w:p w:rsidR="00EE4502" w:rsidRDefault="00FD45A3">
            <w:pPr>
              <w:jc w:val="center"/>
            </w:pPr>
            <w:r>
              <w:t>6</w:t>
            </w:r>
          </w:p>
        </w:tc>
        <w:tc>
          <w:tcPr>
            <w:tcW w:w="2125" w:type="dxa"/>
            <w:vAlign w:val="center"/>
          </w:tcPr>
          <w:p w:rsidR="00EE4502" w:rsidRDefault="00FD45A3">
            <w:pPr>
              <w:jc w:val="center"/>
            </w:pPr>
            <w:r>
              <w:t>毛脚沙鸡</w:t>
            </w:r>
          </w:p>
        </w:tc>
        <w:tc>
          <w:tcPr>
            <w:tcW w:w="3607" w:type="dxa"/>
            <w:vAlign w:val="center"/>
          </w:tcPr>
          <w:p w:rsidR="00EE4502" w:rsidRDefault="00FD45A3">
            <w:pPr>
              <w:jc w:val="center"/>
              <w:rPr>
                <w:i/>
              </w:rPr>
            </w:pPr>
            <w:r>
              <w:rPr>
                <w:i/>
              </w:rPr>
              <w:t>Syrrhaptes paradoxus</w:t>
            </w:r>
          </w:p>
        </w:tc>
        <w:tc>
          <w:tcPr>
            <w:tcW w:w="923" w:type="dxa"/>
          </w:tcPr>
          <w:p w:rsidR="00EE4502" w:rsidRDefault="00FD45A3">
            <w:pPr>
              <w:jc w:val="center"/>
            </w:pPr>
            <w:r>
              <w:t>R</w:t>
            </w:r>
          </w:p>
        </w:tc>
        <w:tc>
          <w:tcPr>
            <w:tcW w:w="1238" w:type="dxa"/>
            <w:vAlign w:val="center"/>
          </w:tcPr>
          <w:p w:rsidR="00EE4502" w:rsidRDefault="00FD45A3">
            <w:pPr>
              <w:jc w:val="center"/>
            </w:pPr>
            <w:r>
              <w:t>±</w:t>
            </w:r>
          </w:p>
        </w:tc>
      </w:tr>
      <w:tr w:rsidR="00EE4502">
        <w:trPr>
          <w:tblHeader/>
          <w:jc w:val="center"/>
        </w:trPr>
        <w:tc>
          <w:tcPr>
            <w:tcW w:w="635" w:type="dxa"/>
            <w:tcBorders>
              <w:left w:val="single" w:sz="4" w:space="0" w:color="auto"/>
            </w:tcBorders>
            <w:vAlign w:val="center"/>
          </w:tcPr>
          <w:p w:rsidR="00EE4502" w:rsidRDefault="00FD45A3">
            <w:pPr>
              <w:jc w:val="center"/>
            </w:pPr>
            <w:r>
              <w:t>7</w:t>
            </w:r>
          </w:p>
        </w:tc>
        <w:tc>
          <w:tcPr>
            <w:tcW w:w="2125" w:type="dxa"/>
            <w:vAlign w:val="center"/>
          </w:tcPr>
          <w:p w:rsidR="00EE4502" w:rsidRDefault="00FD45A3">
            <w:pPr>
              <w:jc w:val="center"/>
            </w:pPr>
            <w:r>
              <w:t>原</w:t>
            </w:r>
            <w:r>
              <w:t xml:space="preserve">  </w:t>
            </w:r>
            <w:r>
              <w:t>鸽</w:t>
            </w:r>
          </w:p>
        </w:tc>
        <w:tc>
          <w:tcPr>
            <w:tcW w:w="3607" w:type="dxa"/>
            <w:vAlign w:val="center"/>
          </w:tcPr>
          <w:p w:rsidR="00EE4502" w:rsidRDefault="00FD45A3">
            <w:pPr>
              <w:jc w:val="center"/>
              <w:rPr>
                <w:i/>
              </w:rPr>
            </w:pPr>
            <w:r>
              <w:rPr>
                <w:i/>
              </w:rPr>
              <w:t>Columba livia</w:t>
            </w:r>
          </w:p>
        </w:tc>
        <w:tc>
          <w:tcPr>
            <w:tcW w:w="923" w:type="dxa"/>
          </w:tcPr>
          <w:p w:rsidR="00EE4502" w:rsidRDefault="00FD45A3">
            <w:pPr>
              <w:jc w:val="center"/>
            </w:pPr>
            <w:r>
              <w:t>R</w:t>
            </w:r>
          </w:p>
        </w:tc>
        <w:tc>
          <w:tcPr>
            <w:tcW w:w="1238" w:type="dxa"/>
            <w:vAlign w:val="center"/>
          </w:tcPr>
          <w:p w:rsidR="00EE4502" w:rsidRDefault="00FD45A3">
            <w:pPr>
              <w:jc w:val="center"/>
            </w:pPr>
            <w:r>
              <w:t>+</w:t>
            </w:r>
          </w:p>
        </w:tc>
      </w:tr>
      <w:tr w:rsidR="00EE4502">
        <w:trPr>
          <w:tblHeader/>
          <w:jc w:val="center"/>
        </w:trPr>
        <w:tc>
          <w:tcPr>
            <w:tcW w:w="635" w:type="dxa"/>
            <w:tcBorders>
              <w:left w:val="single" w:sz="4" w:space="0" w:color="auto"/>
            </w:tcBorders>
            <w:vAlign w:val="center"/>
          </w:tcPr>
          <w:p w:rsidR="00EE4502" w:rsidRDefault="00FD45A3">
            <w:pPr>
              <w:jc w:val="center"/>
            </w:pPr>
            <w:r>
              <w:t>8</w:t>
            </w:r>
          </w:p>
        </w:tc>
        <w:tc>
          <w:tcPr>
            <w:tcW w:w="2125" w:type="dxa"/>
            <w:vAlign w:val="center"/>
          </w:tcPr>
          <w:p w:rsidR="00EE4502" w:rsidRDefault="00FD45A3">
            <w:pPr>
              <w:jc w:val="center"/>
            </w:pPr>
            <w:r>
              <w:t>角百灵</w:t>
            </w:r>
          </w:p>
        </w:tc>
        <w:tc>
          <w:tcPr>
            <w:tcW w:w="3607" w:type="dxa"/>
            <w:vAlign w:val="center"/>
          </w:tcPr>
          <w:p w:rsidR="00EE4502" w:rsidRDefault="00FD45A3">
            <w:pPr>
              <w:jc w:val="center"/>
              <w:rPr>
                <w:i/>
              </w:rPr>
            </w:pPr>
            <w:r>
              <w:rPr>
                <w:i/>
              </w:rPr>
              <w:t>Eremophila alpestris</w:t>
            </w:r>
          </w:p>
        </w:tc>
        <w:tc>
          <w:tcPr>
            <w:tcW w:w="923" w:type="dxa"/>
          </w:tcPr>
          <w:p w:rsidR="00EE4502" w:rsidRDefault="00FD45A3">
            <w:pPr>
              <w:jc w:val="center"/>
            </w:pPr>
            <w:r>
              <w:t>R</w:t>
            </w:r>
          </w:p>
        </w:tc>
        <w:tc>
          <w:tcPr>
            <w:tcW w:w="1238" w:type="dxa"/>
            <w:vAlign w:val="center"/>
          </w:tcPr>
          <w:p w:rsidR="00EE4502" w:rsidRDefault="00FD45A3">
            <w:pPr>
              <w:jc w:val="center"/>
            </w:pPr>
            <w:r>
              <w:t>+</w:t>
            </w:r>
          </w:p>
        </w:tc>
      </w:tr>
      <w:tr w:rsidR="00EE4502">
        <w:trPr>
          <w:tblHeader/>
          <w:jc w:val="center"/>
        </w:trPr>
        <w:tc>
          <w:tcPr>
            <w:tcW w:w="635" w:type="dxa"/>
            <w:tcBorders>
              <w:left w:val="single" w:sz="4" w:space="0" w:color="auto"/>
            </w:tcBorders>
            <w:vAlign w:val="center"/>
          </w:tcPr>
          <w:p w:rsidR="00EE4502" w:rsidRDefault="00FD45A3">
            <w:pPr>
              <w:jc w:val="center"/>
            </w:pPr>
            <w:r>
              <w:t>9</w:t>
            </w:r>
          </w:p>
        </w:tc>
        <w:tc>
          <w:tcPr>
            <w:tcW w:w="2125" w:type="dxa"/>
            <w:vAlign w:val="center"/>
          </w:tcPr>
          <w:p w:rsidR="00EE4502" w:rsidRDefault="00FD45A3">
            <w:pPr>
              <w:jc w:val="center"/>
            </w:pPr>
            <w:r>
              <w:t>短趾沙百灵</w:t>
            </w:r>
          </w:p>
        </w:tc>
        <w:tc>
          <w:tcPr>
            <w:tcW w:w="3607" w:type="dxa"/>
            <w:vAlign w:val="center"/>
          </w:tcPr>
          <w:p w:rsidR="00EE4502" w:rsidRDefault="00FD45A3">
            <w:pPr>
              <w:jc w:val="center"/>
              <w:rPr>
                <w:i/>
              </w:rPr>
            </w:pPr>
            <w:r>
              <w:rPr>
                <w:i/>
              </w:rPr>
              <w:t>Calandrella cinerea</w:t>
            </w:r>
          </w:p>
        </w:tc>
        <w:tc>
          <w:tcPr>
            <w:tcW w:w="923" w:type="dxa"/>
          </w:tcPr>
          <w:p w:rsidR="00EE4502" w:rsidRDefault="00FD45A3">
            <w:pPr>
              <w:jc w:val="center"/>
            </w:pPr>
            <w:r>
              <w:t>R</w:t>
            </w:r>
          </w:p>
        </w:tc>
        <w:tc>
          <w:tcPr>
            <w:tcW w:w="1238" w:type="dxa"/>
            <w:vAlign w:val="center"/>
          </w:tcPr>
          <w:p w:rsidR="00EE4502" w:rsidRDefault="00FD45A3">
            <w:pPr>
              <w:jc w:val="center"/>
            </w:pPr>
            <w:r>
              <w:t>+</w:t>
            </w:r>
          </w:p>
        </w:tc>
      </w:tr>
      <w:tr w:rsidR="00EE4502">
        <w:trPr>
          <w:tblHeader/>
          <w:jc w:val="center"/>
        </w:trPr>
        <w:tc>
          <w:tcPr>
            <w:tcW w:w="635" w:type="dxa"/>
            <w:tcBorders>
              <w:left w:val="single" w:sz="4" w:space="0" w:color="auto"/>
            </w:tcBorders>
            <w:vAlign w:val="center"/>
          </w:tcPr>
          <w:p w:rsidR="00EE4502" w:rsidRDefault="00FD45A3">
            <w:pPr>
              <w:jc w:val="center"/>
            </w:pPr>
            <w:r>
              <w:t>10</w:t>
            </w:r>
          </w:p>
        </w:tc>
        <w:tc>
          <w:tcPr>
            <w:tcW w:w="2125" w:type="dxa"/>
            <w:vAlign w:val="center"/>
          </w:tcPr>
          <w:p w:rsidR="00EE4502" w:rsidRDefault="00FD45A3">
            <w:pPr>
              <w:jc w:val="center"/>
            </w:pPr>
            <w:r>
              <w:t>小沙百灵</w:t>
            </w:r>
          </w:p>
        </w:tc>
        <w:tc>
          <w:tcPr>
            <w:tcW w:w="3607" w:type="dxa"/>
            <w:vAlign w:val="center"/>
          </w:tcPr>
          <w:p w:rsidR="00EE4502" w:rsidRDefault="00FD45A3">
            <w:pPr>
              <w:jc w:val="center"/>
              <w:rPr>
                <w:i/>
              </w:rPr>
            </w:pPr>
            <w:r>
              <w:rPr>
                <w:i/>
              </w:rPr>
              <w:t>Calandrella</w:t>
            </w:r>
            <w:r>
              <w:rPr>
                <w:i/>
              </w:rPr>
              <w:t xml:space="preserve">　</w:t>
            </w:r>
            <w:r>
              <w:rPr>
                <w:i/>
              </w:rPr>
              <w:t>rufescens</w:t>
            </w:r>
          </w:p>
        </w:tc>
        <w:tc>
          <w:tcPr>
            <w:tcW w:w="923" w:type="dxa"/>
          </w:tcPr>
          <w:p w:rsidR="00EE4502" w:rsidRDefault="00FD45A3">
            <w:pPr>
              <w:jc w:val="center"/>
            </w:pPr>
            <w:r>
              <w:t>R</w:t>
            </w:r>
          </w:p>
        </w:tc>
        <w:tc>
          <w:tcPr>
            <w:tcW w:w="1238" w:type="dxa"/>
            <w:vAlign w:val="center"/>
          </w:tcPr>
          <w:p w:rsidR="00EE4502" w:rsidRDefault="00FD45A3">
            <w:pPr>
              <w:jc w:val="center"/>
            </w:pPr>
            <w:r>
              <w:t>+</w:t>
            </w:r>
          </w:p>
        </w:tc>
      </w:tr>
      <w:tr w:rsidR="00EE4502">
        <w:trPr>
          <w:tblHeader/>
          <w:jc w:val="center"/>
        </w:trPr>
        <w:tc>
          <w:tcPr>
            <w:tcW w:w="635" w:type="dxa"/>
            <w:tcBorders>
              <w:left w:val="single" w:sz="4" w:space="0" w:color="auto"/>
            </w:tcBorders>
            <w:vAlign w:val="center"/>
          </w:tcPr>
          <w:p w:rsidR="00EE4502" w:rsidRDefault="00FD45A3">
            <w:pPr>
              <w:jc w:val="center"/>
            </w:pPr>
            <w:r>
              <w:t>11</w:t>
            </w:r>
          </w:p>
        </w:tc>
        <w:tc>
          <w:tcPr>
            <w:tcW w:w="2125" w:type="dxa"/>
            <w:vAlign w:val="center"/>
          </w:tcPr>
          <w:p w:rsidR="00EE4502" w:rsidRDefault="00FD45A3">
            <w:pPr>
              <w:jc w:val="center"/>
            </w:pPr>
            <w:r>
              <w:t>凤头白灵</w:t>
            </w:r>
          </w:p>
        </w:tc>
        <w:tc>
          <w:tcPr>
            <w:tcW w:w="3607" w:type="dxa"/>
            <w:vAlign w:val="center"/>
          </w:tcPr>
          <w:p w:rsidR="00EE4502" w:rsidRDefault="00FD45A3">
            <w:pPr>
              <w:jc w:val="center"/>
              <w:rPr>
                <w:i/>
              </w:rPr>
            </w:pPr>
            <w:r>
              <w:rPr>
                <w:i/>
              </w:rPr>
              <w:t>Galerida cristata</w:t>
            </w:r>
          </w:p>
        </w:tc>
        <w:tc>
          <w:tcPr>
            <w:tcW w:w="923" w:type="dxa"/>
          </w:tcPr>
          <w:p w:rsidR="00EE4502" w:rsidRDefault="00FD45A3">
            <w:pPr>
              <w:jc w:val="center"/>
            </w:pPr>
            <w:r>
              <w:t>R</w:t>
            </w:r>
          </w:p>
        </w:tc>
        <w:tc>
          <w:tcPr>
            <w:tcW w:w="1238" w:type="dxa"/>
            <w:vAlign w:val="center"/>
          </w:tcPr>
          <w:p w:rsidR="00EE4502" w:rsidRDefault="00FD45A3">
            <w:pPr>
              <w:jc w:val="center"/>
            </w:pPr>
            <w:r>
              <w:t>+</w:t>
            </w:r>
          </w:p>
        </w:tc>
      </w:tr>
      <w:tr w:rsidR="00EE4502">
        <w:trPr>
          <w:tblHeader/>
          <w:jc w:val="center"/>
        </w:trPr>
        <w:tc>
          <w:tcPr>
            <w:tcW w:w="635" w:type="dxa"/>
            <w:tcBorders>
              <w:left w:val="single" w:sz="4" w:space="0" w:color="auto"/>
            </w:tcBorders>
            <w:vAlign w:val="center"/>
          </w:tcPr>
          <w:p w:rsidR="00EE4502" w:rsidRDefault="00FD45A3">
            <w:pPr>
              <w:jc w:val="center"/>
            </w:pPr>
            <w:r>
              <w:lastRenderedPageBreak/>
              <w:t>12</w:t>
            </w:r>
          </w:p>
        </w:tc>
        <w:tc>
          <w:tcPr>
            <w:tcW w:w="2125" w:type="dxa"/>
            <w:vAlign w:val="center"/>
          </w:tcPr>
          <w:p w:rsidR="00EE4502" w:rsidRDefault="00FD45A3">
            <w:pPr>
              <w:jc w:val="center"/>
            </w:pPr>
            <w:r>
              <w:t>毛脚燕</w:t>
            </w:r>
          </w:p>
        </w:tc>
        <w:tc>
          <w:tcPr>
            <w:tcW w:w="3607" w:type="dxa"/>
            <w:vAlign w:val="center"/>
          </w:tcPr>
          <w:p w:rsidR="00EE4502" w:rsidRDefault="00FD45A3">
            <w:pPr>
              <w:jc w:val="center"/>
              <w:rPr>
                <w:i/>
              </w:rPr>
            </w:pPr>
            <w:r>
              <w:rPr>
                <w:i/>
              </w:rPr>
              <w:t>Delichon urbica</w:t>
            </w:r>
          </w:p>
        </w:tc>
        <w:tc>
          <w:tcPr>
            <w:tcW w:w="923" w:type="dxa"/>
          </w:tcPr>
          <w:p w:rsidR="00EE4502" w:rsidRDefault="00FD45A3">
            <w:pPr>
              <w:jc w:val="center"/>
            </w:pPr>
            <w:r>
              <w:t>B</w:t>
            </w:r>
          </w:p>
        </w:tc>
        <w:tc>
          <w:tcPr>
            <w:tcW w:w="1238" w:type="dxa"/>
            <w:vAlign w:val="center"/>
          </w:tcPr>
          <w:p w:rsidR="00EE4502" w:rsidRDefault="00FD45A3">
            <w:pPr>
              <w:jc w:val="center"/>
            </w:pPr>
            <w:r>
              <w:t>+</w:t>
            </w:r>
          </w:p>
        </w:tc>
      </w:tr>
      <w:tr w:rsidR="00EE4502">
        <w:trPr>
          <w:tblHeader/>
          <w:jc w:val="center"/>
        </w:trPr>
        <w:tc>
          <w:tcPr>
            <w:tcW w:w="635" w:type="dxa"/>
            <w:tcBorders>
              <w:left w:val="single" w:sz="4" w:space="0" w:color="auto"/>
            </w:tcBorders>
            <w:vAlign w:val="center"/>
          </w:tcPr>
          <w:p w:rsidR="00EE4502" w:rsidRDefault="00FD45A3">
            <w:pPr>
              <w:jc w:val="center"/>
            </w:pPr>
            <w:r>
              <w:rPr>
                <w:rFonts w:hint="eastAsia"/>
              </w:rPr>
              <w:t>13</w:t>
            </w:r>
          </w:p>
        </w:tc>
        <w:tc>
          <w:tcPr>
            <w:tcW w:w="2125" w:type="dxa"/>
            <w:vAlign w:val="center"/>
          </w:tcPr>
          <w:p w:rsidR="00EE4502" w:rsidRDefault="00FD45A3">
            <w:pPr>
              <w:jc w:val="center"/>
            </w:pPr>
            <w:r>
              <w:t>喜鹊</w:t>
            </w:r>
          </w:p>
        </w:tc>
        <w:tc>
          <w:tcPr>
            <w:tcW w:w="3607" w:type="dxa"/>
            <w:vAlign w:val="center"/>
          </w:tcPr>
          <w:p w:rsidR="00EE4502" w:rsidRDefault="00FD45A3">
            <w:pPr>
              <w:jc w:val="center"/>
              <w:rPr>
                <w:i/>
              </w:rPr>
            </w:pPr>
            <w:r>
              <w:rPr>
                <w:i/>
              </w:rPr>
              <w:t>Pica Pica</w:t>
            </w:r>
          </w:p>
        </w:tc>
        <w:tc>
          <w:tcPr>
            <w:tcW w:w="923" w:type="dxa"/>
          </w:tcPr>
          <w:p w:rsidR="00EE4502" w:rsidRDefault="00FD45A3">
            <w:pPr>
              <w:jc w:val="center"/>
            </w:pPr>
            <w:r>
              <w:t>R</w:t>
            </w:r>
          </w:p>
        </w:tc>
        <w:tc>
          <w:tcPr>
            <w:tcW w:w="1238" w:type="dxa"/>
            <w:vAlign w:val="center"/>
          </w:tcPr>
          <w:p w:rsidR="00EE4502" w:rsidRDefault="00FD45A3">
            <w:pPr>
              <w:jc w:val="center"/>
            </w:pPr>
            <w:r>
              <w:rPr>
                <w:rFonts w:hint="eastAsia"/>
              </w:rPr>
              <w:t>++</w:t>
            </w:r>
          </w:p>
        </w:tc>
      </w:tr>
      <w:tr w:rsidR="00EE4502">
        <w:trPr>
          <w:tblHeader/>
          <w:jc w:val="center"/>
        </w:trPr>
        <w:tc>
          <w:tcPr>
            <w:tcW w:w="635" w:type="dxa"/>
            <w:tcBorders>
              <w:left w:val="single" w:sz="4" w:space="0" w:color="auto"/>
            </w:tcBorders>
            <w:vAlign w:val="center"/>
          </w:tcPr>
          <w:p w:rsidR="00EE4502" w:rsidRDefault="00FD45A3">
            <w:pPr>
              <w:jc w:val="center"/>
            </w:pPr>
            <w:r>
              <w:t>1</w:t>
            </w:r>
            <w:r>
              <w:rPr>
                <w:rFonts w:hint="eastAsia"/>
              </w:rPr>
              <w:t>4</w:t>
            </w:r>
          </w:p>
        </w:tc>
        <w:tc>
          <w:tcPr>
            <w:tcW w:w="2125" w:type="dxa"/>
            <w:vAlign w:val="center"/>
          </w:tcPr>
          <w:p w:rsidR="00EE4502" w:rsidRDefault="00FD45A3">
            <w:pPr>
              <w:jc w:val="center"/>
            </w:pPr>
            <w:r>
              <w:t>云雀</w:t>
            </w:r>
          </w:p>
        </w:tc>
        <w:tc>
          <w:tcPr>
            <w:tcW w:w="3607" w:type="dxa"/>
            <w:vAlign w:val="center"/>
          </w:tcPr>
          <w:p w:rsidR="00EE4502" w:rsidRDefault="00FD45A3">
            <w:pPr>
              <w:jc w:val="center"/>
              <w:rPr>
                <w:i/>
              </w:rPr>
            </w:pPr>
            <w:r>
              <w:rPr>
                <w:i/>
              </w:rPr>
              <w:t>Alauda arvensis</w:t>
            </w:r>
          </w:p>
        </w:tc>
        <w:tc>
          <w:tcPr>
            <w:tcW w:w="923" w:type="dxa"/>
          </w:tcPr>
          <w:p w:rsidR="00EE4502" w:rsidRDefault="00FD45A3">
            <w:pPr>
              <w:jc w:val="center"/>
            </w:pPr>
            <w:r>
              <w:t>B</w:t>
            </w:r>
          </w:p>
        </w:tc>
        <w:tc>
          <w:tcPr>
            <w:tcW w:w="1238" w:type="dxa"/>
            <w:vAlign w:val="center"/>
          </w:tcPr>
          <w:p w:rsidR="00EE4502" w:rsidRDefault="00FD45A3">
            <w:pPr>
              <w:jc w:val="center"/>
            </w:pPr>
            <w:r>
              <w:t>+</w:t>
            </w:r>
          </w:p>
        </w:tc>
      </w:tr>
      <w:tr w:rsidR="00EE4502">
        <w:trPr>
          <w:tblHeader/>
          <w:jc w:val="center"/>
        </w:trPr>
        <w:tc>
          <w:tcPr>
            <w:tcW w:w="6367" w:type="dxa"/>
            <w:gridSpan w:val="3"/>
            <w:tcBorders>
              <w:left w:val="single" w:sz="4" w:space="0" w:color="auto"/>
            </w:tcBorders>
            <w:vAlign w:val="center"/>
          </w:tcPr>
          <w:p w:rsidR="00EE4502" w:rsidRDefault="00FD45A3">
            <w:pPr>
              <w:jc w:val="center"/>
              <w:rPr>
                <w:i/>
              </w:rPr>
            </w:pPr>
            <w:r>
              <w:rPr>
                <w:i/>
              </w:rPr>
              <w:t>哺</w:t>
            </w:r>
            <w:r>
              <w:rPr>
                <w:i/>
              </w:rPr>
              <w:t xml:space="preserve">  </w:t>
            </w:r>
            <w:r>
              <w:rPr>
                <w:i/>
              </w:rPr>
              <w:t>乳</w:t>
            </w:r>
            <w:r>
              <w:rPr>
                <w:i/>
              </w:rPr>
              <w:t xml:space="preserve">  </w:t>
            </w:r>
            <w:r>
              <w:rPr>
                <w:i/>
              </w:rPr>
              <w:t>类</w:t>
            </w:r>
          </w:p>
        </w:tc>
        <w:tc>
          <w:tcPr>
            <w:tcW w:w="923" w:type="dxa"/>
            <w:vAlign w:val="center"/>
          </w:tcPr>
          <w:p w:rsidR="00EE4502" w:rsidRDefault="00EE4502">
            <w:pPr>
              <w:jc w:val="center"/>
            </w:pPr>
          </w:p>
        </w:tc>
        <w:tc>
          <w:tcPr>
            <w:tcW w:w="1238" w:type="dxa"/>
            <w:tcBorders>
              <w:right w:val="single" w:sz="4" w:space="0" w:color="auto"/>
            </w:tcBorders>
            <w:vAlign w:val="center"/>
          </w:tcPr>
          <w:p w:rsidR="00EE4502" w:rsidRDefault="00EE4502">
            <w:pPr>
              <w:jc w:val="center"/>
            </w:pPr>
          </w:p>
        </w:tc>
      </w:tr>
      <w:tr w:rsidR="00EE4502">
        <w:trPr>
          <w:tblHeader/>
          <w:jc w:val="center"/>
        </w:trPr>
        <w:tc>
          <w:tcPr>
            <w:tcW w:w="635" w:type="dxa"/>
            <w:tcBorders>
              <w:left w:val="single" w:sz="4" w:space="0" w:color="auto"/>
            </w:tcBorders>
            <w:vAlign w:val="center"/>
          </w:tcPr>
          <w:p w:rsidR="00EE4502" w:rsidRDefault="00FD45A3">
            <w:pPr>
              <w:jc w:val="center"/>
            </w:pPr>
            <w:r>
              <w:t>15</w:t>
            </w:r>
          </w:p>
        </w:tc>
        <w:tc>
          <w:tcPr>
            <w:tcW w:w="2125" w:type="dxa"/>
            <w:vAlign w:val="center"/>
          </w:tcPr>
          <w:p w:rsidR="00EE4502" w:rsidRDefault="00FD45A3">
            <w:pPr>
              <w:jc w:val="center"/>
            </w:pPr>
            <w:r>
              <w:t>小五趾跳鼠</w:t>
            </w:r>
          </w:p>
        </w:tc>
        <w:tc>
          <w:tcPr>
            <w:tcW w:w="3607" w:type="dxa"/>
            <w:vAlign w:val="center"/>
          </w:tcPr>
          <w:p w:rsidR="00EE4502" w:rsidRDefault="00FD45A3">
            <w:pPr>
              <w:jc w:val="center"/>
              <w:rPr>
                <w:i/>
              </w:rPr>
            </w:pPr>
            <w:r>
              <w:rPr>
                <w:i/>
              </w:rPr>
              <w:t>Allactage elater</w:t>
            </w:r>
          </w:p>
        </w:tc>
        <w:tc>
          <w:tcPr>
            <w:tcW w:w="923" w:type="dxa"/>
          </w:tcPr>
          <w:p w:rsidR="00EE4502" w:rsidRDefault="00EE4502">
            <w:pPr>
              <w:jc w:val="center"/>
            </w:pPr>
          </w:p>
        </w:tc>
        <w:tc>
          <w:tcPr>
            <w:tcW w:w="1238" w:type="dxa"/>
            <w:vAlign w:val="center"/>
          </w:tcPr>
          <w:p w:rsidR="00EE4502" w:rsidRDefault="00FD45A3">
            <w:pPr>
              <w:jc w:val="center"/>
            </w:pPr>
            <w:r>
              <w:t>+</w:t>
            </w:r>
          </w:p>
        </w:tc>
      </w:tr>
      <w:tr w:rsidR="00EE4502">
        <w:trPr>
          <w:tblHeader/>
          <w:jc w:val="center"/>
        </w:trPr>
        <w:tc>
          <w:tcPr>
            <w:tcW w:w="635" w:type="dxa"/>
            <w:tcBorders>
              <w:left w:val="single" w:sz="4" w:space="0" w:color="auto"/>
            </w:tcBorders>
            <w:vAlign w:val="center"/>
          </w:tcPr>
          <w:p w:rsidR="00EE4502" w:rsidRDefault="00FD45A3">
            <w:pPr>
              <w:jc w:val="center"/>
            </w:pPr>
            <w:r>
              <w:t>16</w:t>
            </w:r>
          </w:p>
        </w:tc>
        <w:tc>
          <w:tcPr>
            <w:tcW w:w="2125" w:type="dxa"/>
            <w:vAlign w:val="center"/>
          </w:tcPr>
          <w:p w:rsidR="00EE4502" w:rsidRDefault="00FD45A3">
            <w:pPr>
              <w:jc w:val="center"/>
            </w:pPr>
            <w:r>
              <w:t>子午沙鼠</w:t>
            </w:r>
          </w:p>
        </w:tc>
        <w:tc>
          <w:tcPr>
            <w:tcW w:w="3607" w:type="dxa"/>
            <w:vAlign w:val="center"/>
          </w:tcPr>
          <w:p w:rsidR="00EE4502" w:rsidRDefault="00FD45A3">
            <w:pPr>
              <w:jc w:val="center"/>
              <w:rPr>
                <w:i/>
              </w:rPr>
            </w:pPr>
            <w:r>
              <w:rPr>
                <w:i/>
              </w:rPr>
              <w:t>Meriones meridianus</w:t>
            </w:r>
          </w:p>
        </w:tc>
        <w:tc>
          <w:tcPr>
            <w:tcW w:w="923" w:type="dxa"/>
          </w:tcPr>
          <w:p w:rsidR="00EE4502" w:rsidRDefault="00EE4502">
            <w:pPr>
              <w:jc w:val="center"/>
            </w:pPr>
          </w:p>
        </w:tc>
        <w:tc>
          <w:tcPr>
            <w:tcW w:w="1238" w:type="dxa"/>
            <w:vAlign w:val="center"/>
          </w:tcPr>
          <w:p w:rsidR="00EE4502" w:rsidRDefault="00FD45A3">
            <w:pPr>
              <w:jc w:val="center"/>
            </w:pPr>
            <w:r>
              <w:t>+</w:t>
            </w:r>
          </w:p>
        </w:tc>
      </w:tr>
      <w:tr w:rsidR="00EE4502">
        <w:trPr>
          <w:tblHeader/>
          <w:jc w:val="center"/>
        </w:trPr>
        <w:tc>
          <w:tcPr>
            <w:tcW w:w="635" w:type="dxa"/>
            <w:tcBorders>
              <w:left w:val="single" w:sz="4" w:space="0" w:color="auto"/>
            </w:tcBorders>
            <w:vAlign w:val="center"/>
          </w:tcPr>
          <w:p w:rsidR="00EE4502" w:rsidRDefault="00FD45A3">
            <w:pPr>
              <w:jc w:val="center"/>
            </w:pPr>
            <w:r>
              <w:rPr>
                <w:rFonts w:hint="eastAsia"/>
              </w:rPr>
              <w:t>17</w:t>
            </w:r>
          </w:p>
        </w:tc>
        <w:tc>
          <w:tcPr>
            <w:tcW w:w="2125" w:type="dxa"/>
            <w:vAlign w:val="center"/>
          </w:tcPr>
          <w:p w:rsidR="00EE4502" w:rsidRDefault="00FD45A3">
            <w:pPr>
              <w:jc w:val="center"/>
            </w:pPr>
            <w:r>
              <w:t>大沙鼠</w:t>
            </w:r>
          </w:p>
        </w:tc>
        <w:tc>
          <w:tcPr>
            <w:tcW w:w="3607" w:type="dxa"/>
            <w:vAlign w:val="center"/>
          </w:tcPr>
          <w:p w:rsidR="00EE4502" w:rsidRDefault="00FD45A3">
            <w:pPr>
              <w:jc w:val="center"/>
              <w:rPr>
                <w:i/>
              </w:rPr>
            </w:pPr>
            <w:r>
              <w:rPr>
                <w:i/>
              </w:rPr>
              <w:t>Rhombomys opimus</w:t>
            </w:r>
          </w:p>
        </w:tc>
        <w:tc>
          <w:tcPr>
            <w:tcW w:w="923" w:type="dxa"/>
          </w:tcPr>
          <w:p w:rsidR="00EE4502" w:rsidRDefault="00EE4502">
            <w:pPr>
              <w:jc w:val="center"/>
            </w:pPr>
          </w:p>
        </w:tc>
        <w:tc>
          <w:tcPr>
            <w:tcW w:w="1238" w:type="dxa"/>
            <w:vAlign w:val="center"/>
          </w:tcPr>
          <w:p w:rsidR="00EE4502" w:rsidRDefault="00FD45A3">
            <w:pPr>
              <w:jc w:val="center"/>
            </w:pPr>
            <w:r>
              <w:t>+</w:t>
            </w:r>
          </w:p>
        </w:tc>
      </w:tr>
    </w:tbl>
    <w:p w:rsidR="00EE4502" w:rsidRDefault="00FD45A3">
      <w:pPr>
        <w:spacing w:line="360" w:lineRule="auto"/>
        <w:rPr>
          <w:rFonts w:ascii="楷体" w:eastAsia="楷体" w:hAnsi="楷体" w:cs="楷体"/>
          <w:spacing w:val="5"/>
          <w:szCs w:val="21"/>
        </w:rPr>
      </w:pPr>
      <w:r>
        <w:rPr>
          <w:rFonts w:ascii="楷体" w:eastAsia="楷体" w:hAnsi="楷体" w:cs="楷体" w:hint="eastAsia"/>
          <w:spacing w:val="5"/>
          <w:szCs w:val="21"/>
        </w:rPr>
        <w:t>注：表中</w:t>
      </w:r>
      <w:r>
        <w:rPr>
          <w:rFonts w:ascii="楷体" w:eastAsia="楷体" w:hAnsi="楷体" w:cs="楷体" w:hint="eastAsia"/>
          <w:spacing w:val="5"/>
          <w:szCs w:val="21"/>
        </w:rPr>
        <w:t xml:space="preserve"> R</w:t>
      </w:r>
      <w:r>
        <w:rPr>
          <w:rFonts w:ascii="楷体" w:eastAsia="楷体" w:hAnsi="楷体" w:cs="楷体" w:hint="eastAsia"/>
          <w:spacing w:val="5"/>
          <w:szCs w:val="21"/>
        </w:rPr>
        <w:t>留鸟</w:t>
      </w:r>
      <w:r>
        <w:rPr>
          <w:rFonts w:ascii="楷体" w:eastAsia="楷体" w:hAnsi="楷体" w:cs="楷体" w:hint="eastAsia"/>
          <w:spacing w:val="5"/>
          <w:szCs w:val="21"/>
        </w:rPr>
        <w:t xml:space="preserve"> S</w:t>
      </w:r>
      <w:r>
        <w:rPr>
          <w:rFonts w:ascii="楷体" w:eastAsia="楷体" w:hAnsi="楷体" w:cs="楷体" w:hint="eastAsia"/>
          <w:spacing w:val="5"/>
          <w:szCs w:val="21"/>
        </w:rPr>
        <w:t>夏候鸟</w:t>
      </w:r>
      <w:r>
        <w:rPr>
          <w:rFonts w:ascii="楷体" w:eastAsia="楷体" w:hAnsi="楷体" w:cs="楷体" w:hint="eastAsia"/>
          <w:spacing w:val="5"/>
          <w:szCs w:val="21"/>
        </w:rPr>
        <w:t xml:space="preserve"> B</w:t>
      </w:r>
      <w:r>
        <w:rPr>
          <w:rFonts w:ascii="楷体" w:eastAsia="楷体" w:hAnsi="楷体" w:cs="楷体" w:hint="eastAsia"/>
          <w:spacing w:val="5"/>
          <w:szCs w:val="21"/>
        </w:rPr>
        <w:t>繁殖鸟</w:t>
      </w:r>
      <w:r>
        <w:rPr>
          <w:rFonts w:ascii="楷体" w:eastAsia="楷体" w:hAnsi="楷体" w:cs="楷体" w:hint="eastAsia"/>
          <w:spacing w:val="5"/>
          <w:szCs w:val="21"/>
        </w:rPr>
        <w:t xml:space="preserve"> W</w:t>
      </w:r>
      <w:r>
        <w:rPr>
          <w:rFonts w:ascii="楷体" w:eastAsia="楷体" w:hAnsi="楷体" w:cs="楷体" w:hint="eastAsia"/>
          <w:spacing w:val="5"/>
          <w:szCs w:val="21"/>
        </w:rPr>
        <w:t>冬候鸟</w:t>
      </w:r>
      <w:r>
        <w:rPr>
          <w:rFonts w:ascii="楷体" w:eastAsia="楷体" w:hAnsi="楷体" w:cs="楷体" w:hint="eastAsia"/>
          <w:spacing w:val="5"/>
          <w:szCs w:val="21"/>
        </w:rPr>
        <w:t xml:space="preserve"> T</w:t>
      </w:r>
      <w:r>
        <w:rPr>
          <w:rFonts w:ascii="楷体" w:eastAsia="楷体" w:hAnsi="楷体" w:cs="楷体" w:hint="eastAsia"/>
          <w:spacing w:val="5"/>
          <w:szCs w:val="21"/>
        </w:rPr>
        <w:t>旅鸟</w:t>
      </w:r>
      <w:r>
        <w:rPr>
          <w:rFonts w:ascii="楷体" w:eastAsia="楷体" w:hAnsi="楷体" w:cs="楷体" w:hint="eastAsia"/>
          <w:spacing w:val="5"/>
          <w:szCs w:val="21"/>
        </w:rPr>
        <w:t xml:space="preserve"> ++</w:t>
      </w:r>
      <w:r>
        <w:rPr>
          <w:rFonts w:ascii="楷体" w:eastAsia="楷体" w:hAnsi="楷体" w:cs="楷体" w:hint="eastAsia"/>
          <w:spacing w:val="5"/>
          <w:szCs w:val="21"/>
        </w:rPr>
        <w:t>多见种</w:t>
      </w:r>
      <w:r>
        <w:rPr>
          <w:rFonts w:ascii="楷体" w:eastAsia="楷体" w:hAnsi="楷体" w:cs="楷体" w:hint="eastAsia"/>
          <w:spacing w:val="5"/>
          <w:szCs w:val="21"/>
        </w:rPr>
        <w:t xml:space="preserve"> +</w:t>
      </w:r>
      <w:r>
        <w:rPr>
          <w:rFonts w:ascii="楷体" w:eastAsia="楷体" w:hAnsi="楷体" w:cs="楷体" w:hint="eastAsia"/>
          <w:spacing w:val="5"/>
          <w:szCs w:val="21"/>
        </w:rPr>
        <w:t>常见种</w:t>
      </w:r>
      <w:r>
        <w:rPr>
          <w:rFonts w:ascii="楷体" w:eastAsia="楷体" w:hAnsi="楷体" w:cs="楷体" w:hint="eastAsia"/>
          <w:spacing w:val="5"/>
          <w:szCs w:val="21"/>
        </w:rPr>
        <w:t xml:space="preserve"> </w:t>
      </w:r>
      <w:r>
        <w:rPr>
          <w:rFonts w:ascii="楷体" w:eastAsia="楷体" w:hAnsi="楷体" w:cs="楷体" w:hint="eastAsia"/>
          <w:spacing w:val="5"/>
          <w:szCs w:val="21"/>
        </w:rPr>
        <w:t>±偶见种</w:t>
      </w:r>
    </w:p>
    <w:p w:rsidR="00EE4502" w:rsidRDefault="00FD45A3">
      <w:pPr>
        <w:spacing w:line="360" w:lineRule="auto"/>
        <w:ind w:firstLineChars="200" w:firstLine="500"/>
        <w:rPr>
          <w:spacing w:val="5"/>
          <w:sz w:val="24"/>
        </w:rPr>
      </w:pPr>
      <w:r>
        <w:rPr>
          <w:rFonts w:hint="eastAsia"/>
          <w:spacing w:val="5"/>
          <w:sz w:val="24"/>
        </w:rPr>
        <w:t>由于该油田及周围区域油田的开发建设活动，大量人员、机械的进入，荒漠环境中人类活动频率大幅度增加，使得大型脊椎动物迁至它处生存、繁衍。因此目前在油田开发区内见到这些动物出没的</w:t>
      </w:r>
      <w:r>
        <w:rPr>
          <w:rFonts w:hint="eastAsia"/>
          <w:spacing w:val="5"/>
          <w:sz w:val="24"/>
        </w:rPr>
        <w:t>概率较低</w:t>
      </w:r>
      <w:r>
        <w:rPr>
          <w:rFonts w:hint="eastAsia"/>
          <w:spacing w:val="5"/>
          <w:sz w:val="24"/>
        </w:rPr>
        <w:t>。由于准噶尔盆地</w:t>
      </w:r>
      <w:r>
        <w:rPr>
          <w:rFonts w:hint="eastAsia"/>
          <w:spacing w:val="5"/>
          <w:sz w:val="24"/>
        </w:rPr>
        <w:t>干旱</w:t>
      </w:r>
      <w:r>
        <w:rPr>
          <w:rFonts w:hint="eastAsia"/>
          <w:spacing w:val="5"/>
          <w:sz w:val="24"/>
        </w:rPr>
        <w:t>的气候条件，野生动物分布种类少，没有区域特有种，也无保护动物。</w:t>
      </w:r>
    </w:p>
    <w:p w:rsidR="00EE4502" w:rsidRDefault="00FD45A3">
      <w:pPr>
        <w:spacing w:line="360" w:lineRule="auto"/>
        <w:ind w:firstLineChars="200" w:firstLine="500"/>
        <w:rPr>
          <w:spacing w:val="5"/>
          <w:sz w:val="24"/>
        </w:rPr>
      </w:pPr>
      <w:r>
        <w:rPr>
          <w:rFonts w:hint="eastAsia"/>
          <w:spacing w:val="5"/>
          <w:sz w:val="24"/>
        </w:rPr>
        <w:t>（</w:t>
      </w:r>
      <w:r>
        <w:rPr>
          <w:rFonts w:hint="eastAsia"/>
          <w:spacing w:val="5"/>
          <w:sz w:val="24"/>
        </w:rPr>
        <w:t>3</w:t>
      </w:r>
      <w:r>
        <w:rPr>
          <w:rFonts w:hint="eastAsia"/>
          <w:spacing w:val="5"/>
          <w:sz w:val="24"/>
        </w:rPr>
        <w:t>）</w:t>
      </w:r>
      <w:r>
        <w:rPr>
          <w:rFonts w:hint="eastAsia"/>
          <w:spacing w:val="5"/>
          <w:sz w:val="24"/>
        </w:rPr>
        <w:t>动物</w:t>
      </w:r>
      <w:r>
        <w:rPr>
          <w:rFonts w:hint="eastAsia"/>
          <w:spacing w:val="5"/>
          <w:sz w:val="24"/>
        </w:rPr>
        <w:t>样线调查情况</w:t>
      </w:r>
    </w:p>
    <w:p w:rsidR="00EE4502" w:rsidRDefault="00FD45A3">
      <w:pPr>
        <w:spacing w:line="360" w:lineRule="auto"/>
        <w:ind w:firstLineChars="200" w:firstLine="500"/>
        <w:rPr>
          <w:spacing w:val="5"/>
          <w:sz w:val="24"/>
        </w:rPr>
      </w:pPr>
      <w:r>
        <w:rPr>
          <w:rFonts w:hint="eastAsia"/>
          <w:spacing w:val="5"/>
          <w:sz w:val="24"/>
        </w:rPr>
        <w:t>按照《生物多样性观测技术导则</w:t>
      </w:r>
      <w:r>
        <w:rPr>
          <w:rFonts w:hint="eastAsia"/>
          <w:spacing w:val="5"/>
          <w:sz w:val="24"/>
        </w:rPr>
        <w:t xml:space="preserve"> </w:t>
      </w:r>
      <w:r>
        <w:rPr>
          <w:rFonts w:hint="eastAsia"/>
          <w:spacing w:val="5"/>
          <w:sz w:val="24"/>
        </w:rPr>
        <w:t>陆生哺乳动物（</w:t>
      </w:r>
      <w:r>
        <w:rPr>
          <w:rFonts w:hint="eastAsia"/>
          <w:spacing w:val="5"/>
          <w:sz w:val="24"/>
        </w:rPr>
        <w:t>HJ 710.3-2014</w:t>
      </w:r>
      <w:r>
        <w:rPr>
          <w:rFonts w:hint="eastAsia"/>
          <w:spacing w:val="5"/>
          <w:sz w:val="24"/>
        </w:rPr>
        <w:t>）》《生物多样性观测技术导则</w:t>
      </w:r>
      <w:r>
        <w:rPr>
          <w:rFonts w:hint="eastAsia"/>
          <w:spacing w:val="5"/>
          <w:sz w:val="24"/>
        </w:rPr>
        <w:t xml:space="preserve"> </w:t>
      </w:r>
      <w:r>
        <w:rPr>
          <w:rFonts w:hint="eastAsia"/>
          <w:spacing w:val="5"/>
          <w:sz w:val="24"/>
        </w:rPr>
        <w:t>鸟类（</w:t>
      </w:r>
      <w:r>
        <w:rPr>
          <w:rFonts w:hint="eastAsia"/>
          <w:spacing w:val="5"/>
          <w:sz w:val="24"/>
        </w:rPr>
        <w:t>HJ 710.4-2014</w:t>
      </w:r>
      <w:r>
        <w:rPr>
          <w:rFonts w:hint="eastAsia"/>
          <w:spacing w:val="5"/>
          <w:sz w:val="24"/>
        </w:rPr>
        <w:t>）》《生物多样性观测技术导则</w:t>
      </w:r>
      <w:r>
        <w:rPr>
          <w:rFonts w:hint="eastAsia"/>
          <w:spacing w:val="5"/>
          <w:sz w:val="24"/>
        </w:rPr>
        <w:t xml:space="preserve"> </w:t>
      </w:r>
      <w:r>
        <w:rPr>
          <w:rFonts w:hint="eastAsia"/>
          <w:spacing w:val="5"/>
          <w:sz w:val="24"/>
        </w:rPr>
        <w:t>爬行动物（</w:t>
      </w:r>
      <w:r>
        <w:rPr>
          <w:rFonts w:hint="eastAsia"/>
          <w:spacing w:val="5"/>
          <w:sz w:val="24"/>
        </w:rPr>
        <w:t xml:space="preserve">HJ </w:t>
      </w:r>
      <w:r>
        <w:rPr>
          <w:rFonts w:hint="eastAsia"/>
          <w:spacing w:val="5"/>
          <w:sz w:val="24"/>
        </w:rPr>
        <w:t>710.5-2014</w:t>
      </w:r>
      <w:r>
        <w:rPr>
          <w:rFonts w:hint="eastAsia"/>
          <w:spacing w:val="5"/>
          <w:sz w:val="24"/>
        </w:rPr>
        <w:t>）》《生物多样性观测技术导则</w:t>
      </w:r>
      <w:r>
        <w:rPr>
          <w:rFonts w:hint="eastAsia"/>
          <w:spacing w:val="5"/>
          <w:sz w:val="24"/>
        </w:rPr>
        <w:t xml:space="preserve"> </w:t>
      </w:r>
      <w:r>
        <w:rPr>
          <w:rFonts w:hint="eastAsia"/>
          <w:spacing w:val="5"/>
          <w:sz w:val="24"/>
        </w:rPr>
        <w:t>两栖动物（</w:t>
      </w:r>
      <w:r>
        <w:rPr>
          <w:rFonts w:hint="eastAsia"/>
          <w:spacing w:val="5"/>
          <w:sz w:val="24"/>
        </w:rPr>
        <w:t>HJ 710.6-2014</w:t>
      </w:r>
      <w:r>
        <w:rPr>
          <w:rFonts w:hint="eastAsia"/>
          <w:spacing w:val="5"/>
          <w:sz w:val="24"/>
        </w:rPr>
        <w:t>）》等确定的技术方法，对项目区各类野生动物开展了调查。</w:t>
      </w:r>
    </w:p>
    <w:p w:rsidR="00EE4502" w:rsidRDefault="00FD45A3">
      <w:pPr>
        <w:spacing w:line="360" w:lineRule="auto"/>
        <w:ind w:firstLineChars="200" w:firstLine="500"/>
        <w:rPr>
          <w:spacing w:val="5"/>
          <w:sz w:val="24"/>
        </w:rPr>
      </w:pPr>
      <w:r>
        <w:rPr>
          <w:rFonts w:hint="eastAsia"/>
          <w:spacing w:val="5"/>
          <w:sz w:val="24"/>
        </w:rPr>
        <w:t>野生动物调查主要采用样线法，样线法是指观测者在观测样地内沿着选定的一条线路记录一定空间范围内出现的物种相关信息的方法。由于项目区野生动物生境类型较为简单，有灌丛区、半灌木荒漠区</w:t>
      </w:r>
      <w:r>
        <w:rPr>
          <w:rFonts w:hint="eastAsia"/>
          <w:spacing w:val="5"/>
          <w:sz w:val="24"/>
        </w:rPr>
        <w:t>2</w:t>
      </w:r>
      <w:r>
        <w:rPr>
          <w:rFonts w:hint="eastAsia"/>
          <w:spacing w:val="5"/>
          <w:sz w:val="24"/>
        </w:rPr>
        <w:t>种类型</w:t>
      </w:r>
      <w:r>
        <w:rPr>
          <w:rFonts w:hint="eastAsia"/>
          <w:spacing w:val="5"/>
          <w:sz w:val="24"/>
        </w:rPr>
        <w:t>，本次评价在管道沿线每种生境类型各设置</w:t>
      </w:r>
      <w:r>
        <w:rPr>
          <w:rFonts w:hint="eastAsia"/>
          <w:spacing w:val="5"/>
          <w:sz w:val="24"/>
        </w:rPr>
        <w:t>3</w:t>
      </w:r>
      <w:r>
        <w:rPr>
          <w:rFonts w:hint="eastAsia"/>
          <w:spacing w:val="5"/>
          <w:sz w:val="24"/>
        </w:rPr>
        <w:t>条样线，每条样线</w:t>
      </w:r>
      <w:r>
        <w:rPr>
          <w:rFonts w:hint="eastAsia"/>
          <w:spacing w:val="5"/>
          <w:sz w:val="24"/>
        </w:rPr>
        <w:t>500m</w:t>
      </w:r>
      <w:r>
        <w:rPr>
          <w:rFonts w:hint="eastAsia"/>
          <w:spacing w:val="5"/>
          <w:sz w:val="24"/>
        </w:rPr>
        <w:t>左右，观测时行进速度</w:t>
      </w:r>
      <w:r>
        <w:rPr>
          <w:rFonts w:hint="eastAsia"/>
          <w:spacing w:val="5"/>
          <w:sz w:val="24"/>
        </w:rPr>
        <w:t>1.5-3km/h</w:t>
      </w:r>
      <w:r>
        <w:rPr>
          <w:rFonts w:hint="eastAsia"/>
          <w:spacing w:val="5"/>
          <w:sz w:val="24"/>
        </w:rPr>
        <w:t>。针对一些不容易捕捉的哺乳动物及两栖类动物，借助其遗留下的且易于鉴定的活动痕迹，推测</w:t>
      </w:r>
      <w:r>
        <w:rPr>
          <w:rFonts w:hint="eastAsia"/>
          <w:spacing w:val="5"/>
          <w:sz w:val="24"/>
        </w:rPr>
        <w:t>动物的种类，估算其种类和数量。本次调查发现了一些野生动物的粪便、毛发等痕迹及多处动物巢穴。本次调查使用</w:t>
      </w:r>
      <w:r>
        <w:rPr>
          <w:rFonts w:hint="eastAsia"/>
          <w:spacing w:val="5"/>
          <w:sz w:val="24"/>
        </w:rPr>
        <w:t>8</w:t>
      </w:r>
      <w:r>
        <w:rPr>
          <w:rFonts w:hint="eastAsia"/>
          <w:spacing w:val="5"/>
          <w:sz w:val="24"/>
        </w:rPr>
        <w:t>倍双筒望远镜，观测到的主要为野生鸟类和爬行类。</w:t>
      </w:r>
    </w:p>
    <w:p w:rsidR="00EE4502" w:rsidRDefault="00FD45A3">
      <w:pPr>
        <w:spacing w:line="360" w:lineRule="auto"/>
        <w:ind w:firstLineChars="200" w:firstLine="500"/>
        <w:rPr>
          <w:spacing w:val="5"/>
          <w:sz w:val="24"/>
        </w:rPr>
      </w:pPr>
      <w:r>
        <w:rPr>
          <w:rFonts w:hint="eastAsia"/>
          <w:spacing w:val="5"/>
          <w:sz w:val="24"/>
        </w:rPr>
        <w:t>本次共设置样线</w:t>
      </w:r>
      <w:r>
        <w:rPr>
          <w:rFonts w:hint="eastAsia"/>
          <w:spacing w:val="5"/>
          <w:sz w:val="24"/>
        </w:rPr>
        <w:t>6</w:t>
      </w:r>
      <w:r>
        <w:rPr>
          <w:rFonts w:hint="eastAsia"/>
          <w:spacing w:val="5"/>
          <w:sz w:val="24"/>
        </w:rPr>
        <w:t>条，鸟类共观测到麻雀、</w:t>
      </w:r>
      <w:r>
        <w:rPr>
          <w:rFonts w:hint="eastAsia"/>
          <w:spacing w:val="5"/>
          <w:sz w:val="24"/>
        </w:rPr>
        <w:t>喜鹊</w:t>
      </w:r>
      <w:r>
        <w:rPr>
          <w:rFonts w:hint="eastAsia"/>
          <w:spacing w:val="5"/>
          <w:sz w:val="24"/>
        </w:rPr>
        <w:t>、小沙百灵等</w:t>
      </w:r>
      <w:r>
        <w:rPr>
          <w:rFonts w:hint="eastAsia"/>
          <w:spacing w:val="5"/>
          <w:sz w:val="24"/>
        </w:rPr>
        <w:t>3</w:t>
      </w:r>
      <w:r>
        <w:rPr>
          <w:rFonts w:hint="eastAsia"/>
          <w:spacing w:val="5"/>
          <w:sz w:val="24"/>
        </w:rPr>
        <w:t>种，爬行类动物</w:t>
      </w:r>
      <w:r>
        <w:rPr>
          <w:rFonts w:hint="eastAsia"/>
          <w:spacing w:val="5"/>
          <w:sz w:val="24"/>
        </w:rPr>
        <w:t>有</w:t>
      </w:r>
      <w:r>
        <w:rPr>
          <w:rFonts w:hint="eastAsia"/>
          <w:spacing w:val="5"/>
          <w:sz w:val="24"/>
        </w:rPr>
        <w:t>快步麻蜥、密点麻蜥、子午沙鼠等</w:t>
      </w:r>
      <w:r>
        <w:rPr>
          <w:rFonts w:hint="eastAsia"/>
          <w:spacing w:val="5"/>
          <w:sz w:val="24"/>
        </w:rPr>
        <w:t>3</w:t>
      </w:r>
      <w:r>
        <w:rPr>
          <w:rFonts w:hint="eastAsia"/>
          <w:spacing w:val="5"/>
          <w:sz w:val="24"/>
        </w:rPr>
        <w:t>种。</w:t>
      </w:r>
    </w:p>
    <w:p w:rsidR="00EE4502" w:rsidRDefault="00FD45A3">
      <w:pPr>
        <w:pStyle w:val="33"/>
        <w:numPr>
          <w:ilvl w:val="2"/>
          <w:numId w:val="30"/>
        </w:numPr>
        <w:spacing w:line="360" w:lineRule="auto"/>
        <w:ind w:left="0" w:firstLine="0"/>
        <w:rPr>
          <w:spacing w:val="0"/>
          <w:sz w:val="24"/>
          <w:szCs w:val="24"/>
        </w:rPr>
      </w:pPr>
      <w:r>
        <w:rPr>
          <w:spacing w:val="0"/>
          <w:sz w:val="24"/>
          <w:szCs w:val="24"/>
        </w:rPr>
        <w:t>区域环境敏感目标调查及评价</w:t>
      </w:r>
    </w:p>
    <w:bookmarkEnd w:id="200"/>
    <w:p w:rsidR="00EE4502" w:rsidRDefault="00FD45A3">
      <w:pPr>
        <w:spacing w:line="360" w:lineRule="auto"/>
        <w:ind w:firstLine="522"/>
        <w:rPr>
          <w:sz w:val="24"/>
        </w:rPr>
      </w:pPr>
      <w:r>
        <w:rPr>
          <w:sz w:val="24"/>
        </w:rPr>
        <w:t>环境敏感目标包括需要特殊保护地区、生态敏感与脆弱区等。根据调研，评价范围内环境敏感区主要为</w:t>
      </w:r>
      <w:r>
        <w:rPr>
          <w:rFonts w:hint="eastAsia"/>
          <w:sz w:val="24"/>
        </w:rPr>
        <w:t>公益林</w:t>
      </w:r>
      <w:r>
        <w:rPr>
          <w:sz w:val="24"/>
        </w:rPr>
        <w:t>。</w:t>
      </w:r>
    </w:p>
    <w:p w:rsidR="00EE4502" w:rsidRDefault="00FD45A3">
      <w:pPr>
        <w:spacing w:line="360" w:lineRule="auto"/>
        <w:ind w:firstLine="522"/>
        <w:rPr>
          <w:sz w:val="24"/>
        </w:rPr>
      </w:pPr>
      <w:r>
        <w:rPr>
          <w:rFonts w:hint="eastAsia"/>
          <w:sz w:val="24"/>
        </w:rPr>
        <w:t>公益林是对国土生态安全、生物多样性保护和经济社会可持续发展具有重要作用，以提供森林生态和社会服务产品为主要经营目的的重点防</w:t>
      </w:r>
      <w:r>
        <w:rPr>
          <w:rFonts w:hint="eastAsia"/>
          <w:sz w:val="24"/>
        </w:rPr>
        <w:t>护林和特种用途林。包括水源涵养林、水土保持林、防风固沙林和护岸林、自然保护区的森林</w:t>
      </w:r>
      <w:r>
        <w:rPr>
          <w:rFonts w:hint="eastAsia"/>
          <w:sz w:val="24"/>
        </w:rPr>
        <w:lastRenderedPageBreak/>
        <w:t>和国防林等。</w:t>
      </w:r>
    </w:p>
    <w:p w:rsidR="00EE4502" w:rsidRDefault="00FD45A3">
      <w:pPr>
        <w:spacing w:line="360" w:lineRule="auto"/>
        <w:ind w:firstLine="522"/>
        <w:rPr>
          <w:sz w:val="24"/>
        </w:rPr>
      </w:pPr>
      <w:r>
        <w:rPr>
          <w:rFonts w:hint="eastAsia"/>
          <w:sz w:val="24"/>
        </w:rPr>
        <w:t>本工程拟建区域分布有国家二级公益林，占地涉及国家二级公益林，该区域主要植被为梭梭，无其它保护植物。周围无自然遗迹。</w:t>
      </w:r>
    </w:p>
    <w:p w:rsidR="00EE4502" w:rsidRDefault="00FD45A3">
      <w:pPr>
        <w:spacing w:line="360" w:lineRule="auto"/>
        <w:ind w:firstLine="522"/>
        <w:rPr>
          <w:sz w:val="24"/>
        </w:rPr>
      </w:pPr>
      <w:r>
        <w:rPr>
          <w:rFonts w:hint="eastAsia"/>
          <w:sz w:val="24"/>
        </w:rPr>
        <w:t>区块内的公益林均属于防风固沙林，占用林地的林种主要为梭梭等荒漠灌木植被。评价区属干旱、半干旱荒漠地区，植被组成简单，类型单调，分布稀疏，盖度</w:t>
      </w:r>
      <w:r>
        <w:rPr>
          <w:sz w:val="24"/>
        </w:rPr>
        <w:t>10~30</w:t>
      </w:r>
      <w:r>
        <w:rPr>
          <w:rFonts w:hint="eastAsia"/>
          <w:sz w:val="24"/>
        </w:rPr>
        <w:t>%</w:t>
      </w:r>
      <w:r>
        <w:rPr>
          <w:rFonts w:hint="eastAsia"/>
          <w:sz w:val="24"/>
        </w:rPr>
        <w:t>，建群植物主要由旱生、超旱生的灌木、小灌木、半灌木及一年生草本和中短命植物组成，如梭梭、驼绒藜、琵琶柴等，无蓄积。</w:t>
      </w:r>
    </w:p>
    <w:p w:rsidR="00EE4502" w:rsidRDefault="00FD45A3">
      <w:pPr>
        <w:spacing w:line="360" w:lineRule="auto"/>
        <w:ind w:firstLine="522"/>
        <w:rPr>
          <w:sz w:val="24"/>
        </w:rPr>
      </w:pPr>
      <w:r>
        <w:rPr>
          <w:rFonts w:hint="eastAsia"/>
          <w:sz w:val="24"/>
        </w:rPr>
        <w:t>从公益林保护类型和现有工程开发占</w:t>
      </w:r>
      <w:r>
        <w:rPr>
          <w:rFonts w:hint="eastAsia"/>
          <w:sz w:val="24"/>
        </w:rPr>
        <w:t>地上来看，</w:t>
      </w:r>
      <w:r>
        <w:rPr>
          <w:rFonts w:hint="eastAsia"/>
          <w:sz w:val="24"/>
        </w:rPr>
        <w:t>排</w:t>
      </w:r>
      <w:r>
        <w:rPr>
          <w:rFonts w:hint="eastAsia"/>
          <w:sz w:val="24"/>
        </w:rPr>
        <w:t>61</w:t>
      </w:r>
      <w:r>
        <w:rPr>
          <w:rFonts w:hint="eastAsia"/>
          <w:sz w:val="24"/>
        </w:rPr>
        <w:t>块</w:t>
      </w:r>
      <w:r>
        <w:rPr>
          <w:rFonts w:hint="eastAsia"/>
          <w:sz w:val="24"/>
        </w:rPr>
        <w:t>占地位于国家二级公益林区域内，无法避让，项目永久占地尽量选取植被盖度较低区域，项目井场及管线施工尽量减少临时占地面积。</w:t>
      </w:r>
    </w:p>
    <w:p w:rsidR="00EE4502" w:rsidRDefault="00FD45A3">
      <w:pPr>
        <w:pStyle w:val="33"/>
        <w:numPr>
          <w:ilvl w:val="2"/>
          <w:numId w:val="30"/>
        </w:numPr>
        <w:spacing w:line="360" w:lineRule="auto"/>
        <w:ind w:left="0" w:firstLine="0"/>
        <w:rPr>
          <w:spacing w:val="0"/>
          <w:sz w:val="24"/>
          <w:szCs w:val="24"/>
        </w:rPr>
      </w:pPr>
      <w:r>
        <w:rPr>
          <w:rFonts w:hint="eastAsia"/>
          <w:spacing w:val="0"/>
          <w:sz w:val="24"/>
          <w:szCs w:val="24"/>
        </w:rPr>
        <w:t>水土流失现状调查</w:t>
      </w:r>
    </w:p>
    <w:p w:rsidR="00EE4502" w:rsidRDefault="00FD45A3">
      <w:pPr>
        <w:spacing w:line="360" w:lineRule="auto"/>
        <w:ind w:firstLine="522"/>
        <w:rPr>
          <w:sz w:val="24"/>
        </w:rPr>
      </w:pPr>
      <w:r>
        <w:rPr>
          <w:rFonts w:hint="eastAsia"/>
          <w:sz w:val="24"/>
        </w:rPr>
        <w:t>水土流失重点预防区指水土流失潜在危险较大的区域，水土流失重点治理区指水土流失严重的区域。根据《关于中石化新疆新春石油开发有限责任公司“十四五”规划环境影响报告书的审查意见》（新环审〔</w:t>
      </w:r>
      <w:r>
        <w:rPr>
          <w:rFonts w:hint="eastAsia"/>
          <w:sz w:val="24"/>
        </w:rPr>
        <w:t>2022</w:t>
      </w:r>
      <w:r>
        <w:rPr>
          <w:rFonts w:hint="eastAsia"/>
          <w:sz w:val="24"/>
        </w:rPr>
        <w:t>〕</w:t>
      </w:r>
      <w:r>
        <w:rPr>
          <w:rFonts w:hint="eastAsia"/>
          <w:sz w:val="24"/>
        </w:rPr>
        <w:t>244</w:t>
      </w:r>
      <w:r>
        <w:rPr>
          <w:rFonts w:hint="eastAsia"/>
          <w:sz w:val="24"/>
        </w:rPr>
        <w:t>号）、《新疆维吾尔自治区水土保持规划（</w:t>
      </w:r>
      <w:r>
        <w:rPr>
          <w:rFonts w:hint="eastAsia"/>
          <w:sz w:val="24"/>
        </w:rPr>
        <w:t>2018-2030</w:t>
      </w:r>
      <w:r>
        <w:rPr>
          <w:rFonts w:hint="eastAsia"/>
          <w:sz w:val="24"/>
        </w:rPr>
        <w:t>年）》和新水水保〔</w:t>
      </w:r>
      <w:r>
        <w:rPr>
          <w:rFonts w:hint="eastAsia"/>
          <w:sz w:val="24"/>
        </w:rPr>
        <w:t>2019</w:t>
      </w:r>
      <w:r>
        <w:rPr>
          <w:rFonts w:hint="eastAsia"/>
          <w:sz w:val="24"/>
        </w:rPr>
        <w:t>〕</w:t>
      </w:r>
      <w:r>
        <w:rPr>
          <w:rFonts w:hint="eastAsia"/>
          <w:sz w:val="24"/>
        </w:rPr>
        <w:t>4</w:t>
      </w:r>
      <w:r>
        <w:rPr>
          <w:rFonts w:hint="eastAsia"/>
          <w:sz w:val="24"/>
        </w:rPr>
        <w:t>号文，本工程不在水土流失重点预防区及重点治理区范围内。</w:t>
      </w:r>
    </w:p>
    <w:p w:rsidR="00EE4502" w:rsidRDefault="00FD45A3">
      <w:pPr>
        <w:pStyle w:val="33"/>
        <w:numPr>
          <w:ilvl w:val="2"/>
          <w:numId w:val="30"/>
        </w:numPr>
        <w:spacing w:line="360" w:lineRule="auto"/>
        <w:ind w:left="0" w:firstLine="0"/>
        <w:rPr>
          <w:spacing w:val="0"/>
          <w:sz w:val="24"/>
          <w:szCs w:val="24"/>
        </w:rPr>
      </w:pPr>
      <w:r>
        <w:rPr>
          <w:rFonts w:hint="eastAsia"/>
          <w:spacing w:val="0"/>
          <w:sz w:val="24"/>
          <w:szCs w:val="24"/>
        </w:rPr>
        <w:t>土地沙化现状调查</w:t>
      </w:r>
    </w:p>
    <w:p w:rsidR="00EE4502" w:rsidRDefault="00FD45A3">
      <w:pPr>
        <w:spacing w:line="360" w:lineRule="auto"/>
        <w:ind w:firstLine="522"/>
        <w:rPr>
          <w:sz w:val="24"/>
        </w:rPr>
      </w:pPr>
      <w:r>
        <w:rPr>
          <w:rFonts w:hint="eastAsia"/>
          <w:sz w:val="24"/>
        </w:rPr>
        <w:t>本工程主体内容位于克拉玛依石油工业基地环境保护生态功能区，主要生态功能为工农畜产品生产、人居环境、荒漠化控制。根据《新疆维吾尔自治区防沙治沙规划（</w:t>
      </w:r>
      <w:r>
        <w:rPr>
          <w:rFonts w:hint="eastAsia"/>
          <w:sz w:val="24"/>
        </w:rPr>
        <w:t>2021-2030</w:t>
      </w:r>
      <w:r>
        <w:rPr>
          <w:rFonts w:hint="eastAsia"/>
          <w:sz w:val="24"/>
        </w:rPr>
        <w:t>）》及《新疆第六次沙化监测报告》（新疆维吾尔自治区林业和草原局），本工程所在区域为“有明显沙化趋势的土地”，不在沙化土地分布区。</w:t>
      </w:r>
    </w:p>
    <w:p w:rsidR="00EE4502" w:rsidRDefault="00FD45A3">
      <w:pPr>
        <w:spacing w:line="360" w:lineRule="auto"/>
        <w:jc w:val="center"/>
        <w:rPr>
          <w:rFonts w:ascii="黑体" w:eastAsia="黑体" w:hAnsi="黑体" w:cs="黑体"/>
          <w:szCs w:val="21"/>
        </w:rPr>
      </w:pPr>
      <w:r>
        <w:rPr>
          <w:rFonts w:ascii="黑体" w:eastAsia="黑体" w:hAnsi="黑体" w:cs="黑体" w:hint="eastAsia"/>
          <w:szCs w:val="21"/>
        </w:rPr>
        <w:t>图</w:t>
      </w:r>
      <w:r>
        <w:rPr>
          <w:rFonts w:ascii="黑体" w:eastAsia="黑体" w:hAnsi="黑体" w:cs="黑体" w:hint="eastAsia"/>
          <w:szCs w:val="21"/>
        </w:rPr>
        <w:t xml:space="preserve">4-2-6  </w:t>
      </w:r>
      <w:r>
        <w:rPr>
          <w:rFonts w:ascii="黑体" w:eastAsia="黑体" w:hAnsi="黑体" w:cs="黑体" w:hint="eastAsia"/>
          <w:szCs w:val="21"/>
        </w:rPr>
        <w:t>沙化土地分布图</w:t>
      </w:r>
    </w:p>
    <w:p w:rsidR="00EE4502" w:rsidRDefault="00FD45A3">
      <w:pPr>
        <w:pStyle w:val="33"/>
        <w:numPr>
          <w:ilvl w:val="2"/>
          <w:numId w:val="30"/>
        </w:numPr>
        <w:spacing w:line="360" w:lineRule="auto"/>
        <w:ind w:left="0" w:firstLine="0"/>
        <w:rPr>
          <w:spacing w:val="0"/>
          <w:sz w:val="24"/>
          <w:szCs w:val="24"/>
        </w:rPr>
      </w:pPr>
      <w:r>
        <w:rPr>
          <w:spacing w:val="0"/>
          <w:sz w:val="24"/>
          <w:szCs w:val="24"/>
        </w:rPr>
        <w:t>小结</w:t>
      </w:r>
    </w:p>
    <w:p w:rsidR="00EE4502" w:rsidRDefault="00FD45A3">
      <w:pPr>
        <w:spacing w:line="360" w:lineRule="auto"/>
        <w:ind w:firstLine="522"/>
        <w:rPr>
          <w:sz w:val="24"/>
        </w:rPr>
      </w:pPr>
      <w:r>
        <w:rPr>
          <w:rFonts w:hint="eastAsia"/>
          <w:sz w:val="24"/>
        </w:rPr>
        <w:t>本工程</w:t>
      </w:r>
      <w:r>
        <w:rPr>
          <w:sz w:val="24"/>
        </w:rPr>
        <w:t>地处准噶尔盆地西南部，东北</w:t>
      </w:r>
      <w:r>
        <w:rPr>
          <w:rFonts w:hint="eastAsia"/>
          <w:sz w:val="24"/>
        </w:rPr>
        <w:t>为灌丛区，南部、</w:t>
      </w:r>
      <w:r>
        <w:rPr>
          <w:sz w:val="24"/>
        </w:rPr>
        <w:t>西部接城镇与绿洲，</w:t>
      </w:r>
      <w:r>
        <w:rPr>
          <w:rFonts w:hint="eastAsia"/>
          <w:sz w:val="24"/>
        </w:rPr>
        <w:t>工程区</w:t>
      </w:r>
      <w:r>
        <w:rPr>
          <w:sz w:val="24"/>
        </w:rPr>
        <w:t>为开发多年的石油工业基地，区域中的梭梭、</w:t>
      </w:r>
      <w:r>
        <w:rPr>
          <w:rFonts w:hint="eastAsia"/>
          <w:sz w:val="24"/>
        </w:rPr>
        <w:t>琵琶柴</w:t>
      </w:r>
      <w:r>
        <w:rPr>
          <w:sz w:val="24"/>
        </w:rPr>
        <w:t>等荒漠植被是保护绿洲景观及工业景观的天然屏障。工程评价区无自</w:t>
      </w:r>
      <w:r>
        <w:rPr>
          <w:sz w:val="24"/>
        </w:rPr>
        <w:t>然保护区、风景名胜区、水源保护区等敏感目标，主要生态敏感目标为</w:t>
      </w:r>
      <w:r>
        <w:rPr>
          <w:rFonts w:hint="eastAsia"/>
          <w:sz w:val="24"/>
        </w:rPr>
        <w:t>公益林</w:t>
      </w:r>
      <w:r>
        <w:rPr>
          <w:sz w:val="24"/>
        </w:rPr>
        <w:t>及区域内的动植物。评价区域主要以</w:t>
      </w:r>
      <w:r>
        <w:rPr>
          <w:rFonts w:hint="eastAsia"/>
          <w:sz w:val="24"/>
        </w:rPr>
        <w:t>灌丛</w:t>
      </w:r>
      <w:r>
        <w:rPr>
          <w:sz w:val="24"/>
        </w:rPr>
        <w:t>生态系统为主，生态环境功能区为</w:t>
      </w:r>
      <w:r>
        <w:rPr>
          <w:rFonts w:hint="eastAsia"/>
          <w:sz w:val="24"/>
        </w:rPr>
        <w:t>“克拉玛依石油工业基地环境保护生态功能区”“乌苏</w:t>
      </w:r>
      <w:r>
        <w:rPr>
          <w:rFonts w:hint="eastAsia"/>
          <w:sz w:val="24"/>
        </w:rPr>
        <w:t>-</w:t>
      </w:r>
      <w:r>
        <w:rPr>
          <w:rFonts w:hint="eastAsia"/>
          <w:sz w:val="24"/>
        </w:rPr>
        <w:t>石河子</w:t>
      </w:r>
      <w:r>
        <w:rPr>
          <w:rFonts w:hint="eastAsia"/>
          <w:sz w:val="24"/>
        </w:rPr>
        <w:t>-</w:t>
      </w:r>
      <w:r>
        <w:rPr>
          <w:rFonts w:hint="eastAsia"/>
          <w:sz w:val="24"/>
        </w:rPr>
        <w:t>昌吉城镇与绿洲农业生态功能区”“六、七、八师奎屯</w:t>
      </w:r>
      <w:r>
        <w:rPr>
          <w:rFonts w:hint="eastAsia"/>
          <w:sz w:val="24"/>
        </w:rPr>
        <w:lastRenderedPageBreak/>
        <w:t>-</w:t>
      </w:r>
      <w:r>
        <w:rPr>
          <w:rFonts w:hint="eastAsia"/>
          <w:sz w:val="24"/>
        </w:rPr>
        <w:t>石河子</w:t>
      </w:r>
      <w:r>
        <w:rPr>
          <w:rFonts w:hint="eastAsia"/>
          <w:sz w:val="24"/>
        </w:rPr>
        <w:t>-</w:t>
      </w:r>
      <w:r>
        <w:rPr>
          <w:rFonts w:hint="eastAsia"/>
          <w:sz w:val="24"/>
        </w:rPr>
        <w:t>五家渠城镇与绿洲生态功能区”</w:t>
      </w:r>
      <w:r>
        <w:rPr>
          <w:sz w:val="24"/>
        </w:rPr>
        <w:t>，</w:t>
      </w:r>
      <w:r>
        <w:rPr>
          <w:rFonts w:hint="eastAsia"/>
          <w:sz w:val="24"/>
        </w:rPr>
        <w:t>评价</w:t>
      </w:r>
      <w:r>
        <w:rPr>
          <w:sz w:val="24"/>
        </w:rPr>
        <w:t>区域内土地利用类型以</w:t>
      </w:r>
      <w:r>
        <w:rPr>
          <w:rFonts w:hint="eastAsia"/>
          <w:sz w:val="24"/>
        </w:rPr>
        <w:t>未利用地</w:t>
      </w:r>
      <w:r>
        <w:rPr>
          <w:sz w:val="24"/>
        </w:rPr>
        <w:t>为主，植被以梭梭</w:t>
      </w:r>
      <w:r>
        <w:rPr>
          <w:sz w:val="24"/>
        </w:rPr>
        <w:t>-</w:t>
      </w:r>
      <w:r>
        <w:rPr>
          <w:sz w:val="24"/>
        </w:rPr>
        <w:t>琵琶柴群系植被为主，土壤类型以灰漠土为主，区域土壤现状质量一般、植被种类单一，生态系统稳定性维持在一定水平</w:t>
      </w:r>
      <w:r>
        <w:rPr>
          <w:rFonts w:hint="eastAsia"/>
          <w:sz w:val="24"/>
        </w:rPr>
        <w:t>。</w:t>
      </w:r>
    </w:p>
    <w:p w:rsidR="00EE4502" w:rsidRDefault="00FD45A3">
      <w:pPr>
        <w:pStyle w:val="22"/>
        <w:numPr>
          <w:ilvl w:val="1"/>
          <w:numId w:val="30"/>
        </w:numPr>
        <w:rPr>
          <w:spacing w:val="0"/>
          <w:w w:val="100"/>
        </w:rPr>
      </w:pPr>
      <w:bookmarkStart w:id="202" w:name="_Toc10238"/>
      <w:r>
        <w:rPr>
          <w:spacing w:val="0"/>
          <w:w w:val="100"/>
        </w:rPr>
        <w:t>水环境现状调查与评价</w:t>
      </w:r>
      <w:bookmarkEnd w:id="202"/>
    </w:p>
    <w:p w:rsidR="00EE4502" w:rsidRDefault="00FD45A3">
      <w:pPr>
        <w:pStyle w:val="33"/>
        <w:numPr>
          <w:ilvl w:val="2"/>
          <w:numId w:val="30"/>
        </w:numPr>
        <w:spacing w:line="360" w:lineRule="auto"/>
        <w:ind w:left="0" w:firstLine="0"/>
        <w:rPr>
          <w:spacing w:val="0"/>
          <w:sz w:val="24"/>
          <w:szCs w:val="24"/>
        </w:rPr>
      </w:pPr>
      <w:r>
        <w:rPr>
          <w:spacing w:val="0"/>
          <w:sz w:val="24"/>
          <w:szCs w:val="24"/>
        </w:rPr>
        <w:t>地表水环境质量现状与评价</w:t>
      </w:r>
    </w:p>
    <w:p w:rsidR="00EE4502" w:rsidRDefault="00FD45A3">
      <w:pPr>
        <w:pStyle w:val="af0"/>
        <w:adjustRightInd/>
        <w:ind w:leftChars="8" w:left="17"/>
        <w:rPr>
          <w:rFonts w:ascii="Times New Roman" w:hAnsi="Times New Roman"/>
          <w:szCs w:val="24"/>
        </w:rPr>
      </w:pPr>
      <w:r>
        <w:rPr>
          <w:rFonts w:ascii="Times New Roman" w:hAnsi="Times New Roman" w:hint="eastAsia"/>
          <w:szCs w:val="24"/>
        </w:rPr>
        <w:t>本工程</w:t>
      </w:r>
      <w:r>
        <w:rPr>
          <w:rFonts w:ascii="Times New Roman" w:hAnsi="Times New Roman"/>
          <w:szCs w:val="24"/>
        </w:rPr>
        <w:t>评价范围内无地表水体分布，故不做地表水调查。</w:t>
      </w:r>
    </w:p>
    <w:p w:rsidR="00EE4502" w:rsidRDefault="00FD45A3">
      <w:pPr>
        <w:pStyle w:val="33"/>
        <w:numPr>
          <w:ilvl w:val="2"/>
          <w:numId w:val="30"/>
        </w:numPr>
        <w:spacing w:line="360" w:lineRule="auto"/>
        <w:ind w:left="0" w:firstLine="0"/>
        <w:rPr>
          <w:spacing w:val="0"/>
          <w:sz w:val="24"/>
          <w:szCs w:val="24"/>
        </w:rPr>
      </w:pPr>
      <w:r>
        <w:rPr>
          <w:spacing w:val="0"/>
          <w:sz w:val="24"/>
          <w:szCs w:val="24"/>
        </w:rPr>
        <w:t>地下水环境质量现状与评价</w:t>
      </w:r>
    </w:p>
    <w:p w:rsidR="00EE4502" w:rsidRDefault="00FD45A3">
      <w:pPr>
        <w:pStyle w:val="41"/>
        <w:numPr>
          <w:ilvl w:val="3"/>
          <w:numId w:val="30"/>
        </w:numPr>
        <w:adjustRightInd/>
        <w:snapToGrid/>
        <w:spacing w:beforeLines="0" w:before="0" w:line="360" w:lineRule="auto"/>
        <w:rPr>
          <w:rFonts w:ascii="Times New Roman" w:eastAsia="宋体" w:hAnsi="Times New Roman"/>
          <w:bCs w:val="0"/>
          <w:sz w:val="21"/>
          <w:szCs w:val="21"/>
        </w:rPr>
      </w:pPr>
      <w:r>
        <w:rPr>
          <w:rFonts w:ascii="Times New Roman" w:eastAsia="宋体" w:hAnsi="Times New Roman"/>
          <w:bCs w:val="0"/>
          <w:sz w:val="24"/>
          <w:szCs w:val="24"/>
        </w:rPr>
        <w:t>监测点位的布设</w:t>
      </w:r>
    </w:p>
    <w:p w:rsidR="00EE4502" w:rsidRDefault="00FD45A3">
      <w:pPr>
        <w:pStyle w:val="af0"/>
        <w:adjustRightInd/>
        <w:ind w:firstLineChars="200" w:firstLine="480"/>
        <w:jc w:val="both"/>
        <w:rPr>
          <w:rFonts w:ascii="Times New Roman" w:hAnsi="Times New Roman"/>
          <w:bCs/>
        </w:rPr>
      </w:pPr>
      <w:r>
        <w:rPr>
          <w:rFonts w:ascii="Times New Roman" w:hAnsi="Times New Roman" w:hint="eastAsia"/>
          <w:bCs/>
          <w:szCs w:val="24"/>
        </w:rPr>
        <w:t>本工程地下水评价工作等级为二级，地下水流向由南向北，根据《环境影响技术导则</w:t>
      </w:r>
      <w:r>
        <w:rPr>
          <w:rFonts w:ascii="Times New Roman" w:hAnsi="Times New Roman" w:hint="eastAsia"/>
          <w:bCs/>
          <w:szCs w:val="24"/>
        </w:rPr>
        <w:t xml:space="preserve"> </w:t>
      </w:r>
      <w:r>
        <w:rPr>
          <w:rFonts w:ascii="Times New Roman" w:hAnsi="Times New Roman" w:hint="eastAsia"/>
          <w:bCs/>
          <w:szCs w:val="24"/>
        </w:rPr>
        <w:t>地下水环境》（</w:t>
      </w:r>
      <w:r>
        <w:rPr>
          <w:rFonts w:ascii="Times New Roman" w:hAnsi="Times New Roman" w:hint="eastAsia"/>
          <w:bCs/>
          <w:szCs w:val="24"/>
        </w:rPr>
        <w:t>HJ 610 -2016</w:t>
      </w:r>
      <w:r>
        <w:rPr>
          <w:rFonts w:ascii="Times New Roman" w:hAnsi="Times New Roman" w:hint="eastAsia"/>
          <w:bCs/>
          <w:szCs w:val="24"/>
        </w:rPr>
        <w:t>）要求，本次地下水评价布设</w:t>
      </w:r>
      <w:r>
        <w:rPr>
          <w:rFonts w:ascii="Times New Roman" w:hAnsi="Times New Roman" w:hint="eastAsia"/>
          <w:bCs/>
          <w:szCs w:val="24"/>
        </w:rPr>
        <w:t>5</w:t>
      </w:r>
      <w:r>
        <w:rPr>
          <w:rFonts w:ascii="Times New Roman" w:hAnsi="Times New Roman" w:hint="eastAsia"/>
          <w:bCs/>
          <w:szCs w:val="24"/>
        </w:rPr>
        <w:t>个地下水水质水位监测点及</w:t>
      </w:r>
      <w:r>
        <w:rPr>
          <w:rFonts w:ascii="Times New Roman" w:hAnsi="Times New Roman" w:hint="eastAsia"/>
          <w:bCs/>
          <w:szCs w:val="24"/>
        </w:rPr>
        <w:t>7</w:t>
      </w:r>
      <w:r>
        <w:rPr>
          <w:rFonts w:ascii="Times New Roman" w:hAnsi="Times New Roman" w:hint="eastAsia"/>
          <w:bCs/>
          <w:szCs w:val="24"/>
        </w:rPr>
        <w:t>个水位监测点</w:t>
      </w:r>
      <w:r>
        <w:rPr>
          <w:rFonts w:ascii="Times New Roman" w:hAnsi="Times New Roman" w:hint="eastAsia"/>
          <w:bCs/>
        </w:rPr>
        <w:t>。</w:t>
      </w:r>
    </w:p>
    <w:p w:rsidR="00EE4502" w:rsidRDefault="00FD45A3">
      <w:pPr>
        <w:pStyle w:val="41"/>
        <w:numPr>
          <w:ilvl w:val="3"/>
          <w:numId w:val="30"/>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hint="eastAsia"/>
          <w:bCs w:val="0"/>
          <w:sz w:val="24"/>
          <w:szCs w:val="24"/>
        </w:rPr>
        <w:t>监测时间</w:t>
      </w:r>
    </w:p>
    <w:p w:rsidR="00EE4502" w:rsidRDefault="00FD45A3">
      <w:pPr>
        <w:autoSpaceDE w:val="0"/>
        <w:autoSpaceDN w:val="0"/>
        <w:spacing w:line="360" w:lineRule="auto"/>
        <w:ind w:firstLine="482"/>
        <w:rPr>
          <w:kern w:val="0"/>
          <w:sz w:val="24"/>
          <w:lang w:val="zh-CN"/>
        </w:rPr>
      </w:pPr>
      <w:r>
        <w:rPr>
          <w:rFonts w:hint="eastAsia"/>
          <w:kern w:val="0"/>
          <w:sz w:val="24"/>
          <w:lang w:val="zh-CN"/>
        </w:rPr>
        <w:t>本次地下水监测水质采样时间为</w:t>
      </w:r>
      <w:r>
        <w:rPr>
          <w:rFonts w:hint="eastAsia"/>
          <w:kern w:val="0"/>
          <w:sz w:val="24"/>
          <w:lang w:val="zh-CN"/>
        </w:rPr>
        <w:t>202</w:t>
      </w:r>
      <w:r>
        <w:rPr>
          <w:rFonts w:hint="eastAsia"/>
          <w:kern w:val="0"/>
          <w:sz w:val="24"/>
        </w:rPr>
        <w:t>5</w:t>
      </w:r>
      <w:r>
        <w:rPr>
          <w:rFonts w:hint="eastAsia"/>
          <w:kern w:val="0"/>
          <w:sz w:val="24"/>
          <w:lang w:val="zh-CN"/>
        </w:rPr>
        <w:t>年</w:t>
      </w:r>
      <w:r>
        <w:rPr>
          <w:kern w:val="0"/>
          <w:sz w:val="24"/>
          <w:lang w:val="zh-CN"/>
        </w:rPr>
        <w:t>2</w:t>
      </w:r>
      <w:r>
        <w:rPr>
          <w:rFonts w:hint="eastAsia"/>
          <w:kern w:val="0"/>
          <w:sz w:val="24"/>
          <w:lang w:val="zh-CN"/>
        </w:rPr>
        <w:t>月。</w:t>
      </w:r>
    </w:p>
    <w:p w:rsidR="00EE4502" w:rsidRDefault="00FD45A3">
      <w:pPr>
        <w:pStyle w:val="41"/>
        <w:numPr>
          <w:ilvl w:val="3"/>
          <w:numId w:val="30"/>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bCs w:val="0"/>
          <w:sz w:val="24"/>
          <w:szCs w:val="24"/>
        </w:rPr>
        <w:t>监测项目</w:t>
      </w:r>
    </w:p>
    <w:p w:rsidR="00EE4502" w:rsidRDefault="00FD45A3">
      <w:pPr>
        <w:autoSpaceDE w:val="0"/>
        <w:autoSpaceDN w:val="0"/>
        <w:spacing w:line="360" w:lineRule="auto"/>
        <w:ind w:firstLine="482"/>
        <w:rPr>
          <w:sz w:val="24"/>
        </w:rPr>
      </w:pPr>
      <w:bookmarkStart w:id="203" w:name="OLE_LINK9"/>
      <w:r>
        <w:rPr>
          <w:rFonts w:hint="eastAsia"/>
          <w:kern w:val="0"/>
          <w:sz w:val="24"/>
          <w:lang w:val="zh-CN"/>
        </w:rPr>
        <w:t>p</w:t>
      </w:r>
      <w:r>
        <w:rPr>
          <w:kern w:val="0"/>
          <w:sz w:val="24"/>
          <w:lang w:val="zh-CN"/>
        </w:rPr>
        <w:t>H</w:t>
      </w:r>
      <w:r>
        <w:rPr>
          <w:rFonts w:hint="eastAsia"/>
          <w:kern w:val="0"/>
          <w:sz w:val="24"/>
          <w:lang w:val="zh-CN"/>
        </w:rPr>
        <w:t>值、总硬度、氯化物、挥发酚、氨氮、氰化物、硝酸盐氮、亚硝酸盐氮、氟化物、硫酸盐、石油类、总大肠杆菌、细菌总数、耗氧量、六价铬、铜、砷、镉、硒、铅、汞、碘化物、钠、阴离子表面活性剂、铝、锌、锰、铁、溶解性总固体、三氯甲烷、四氯化碳、苯、甲苯、肉眼可见物、浑浊度、嗅和味、色、</w:t>
      </w:r>
      <w:r>
        <w:rPr>
          <w:rFonts w:hint="eastAsia"/>
          <w:kern w:val="0"/>
          <w:sz w:val="24"/>
          <w:lang w:val="zh-CN"/>
        </w:rPr>
        <w:t>K</w:t>
      </w:r>
      <w:r>
        <w:rPr>
          <w:kern w:val="0"/>
          <w:sz w:val="24"/>
          <w:vertAlign w:val="superscript"/>
          <w:lang w:val="zh-CN"/>
        </w:rPr>
        <w:t>+</w:t>
      </w:r>
      <w:r>
        <w:rPr>
          <w:rFonts w:hint="eastAsia"/>
          <w:kern w:val="0"/>
          <w:sz w:val="24"/>
          <w:lang w:val="zh-CN"/>
        </w:rPr>
        <w:t>、</w:t>
      </w:r>
      <w:r>
        <w:rPr>
          <w:rFonts w:hint="eastAsia"/>
          <w:kern w:val="0"/>
          <w:sz w:val="24"/>
          <w:lang w:val="zh-CN"/>
        </w:rPr>
        <w:t>Na</w:t>
      </w:r>
      <w:r>
        <w:rPr>
          <w:kern w:val="0"/>
          <w:sz w:val="24"/>
          <w:vertAlign w:val="superscript"/>
          <w:lang w:val="zh-CN"/>
        </w:rPr>
        <w:t>+</w:t>
      </w:r>
      <w:r>
        <w:rPr>
          <w:rFonts w:hint="eastAsia"/>
          <w:kern w:val="0"/>
          <w:sz w:val="24"/>
          <w:lang w:val="zh-CN"/>
        </w:rPr>
        <w:t>、</w:t>
      </w:r>
      <w:r>
        <w:rPr>
          <w:rFonts w:hint="eastAsia"/>
          <w:kern w:val="0"/>
          <w:sz w:val="24"/>
          <w:lang w:val="zh-CN"/>
        </w:rPr>
        <w:t>Ca</w:t>
      </w:r>
      <w:r>
        <w:rPr>
          <w:kern w:val="0"/>
          <w:sz w:val="24"/>
          <w:vertAlign w:val="superscript"/>
          <w:lang w:val="zh-CN"/>
        </w:rPr>
        <w:t>2+</w:t>
      </w:r>
      <w:r>
        <w:rPr>
          <w:rFonts w:hint="eastAsia"/>
          <w:kern w:val="0"/>
          <w:sz w:val="24"/>
          <w:lang w:val="zh-CN"/>
        </w:rPr>
        <w:t>、</w:t>
      </w:r>
      <w:r>
        <w:rPr>
          <w:rFonts w:hint="eastAsia"/>
          <w:kern w:val="0"/>
          <w:sz w:val="24"/>
          <w:lang w:val="zh-CN"/>
        </w:rPr>
        <w:t>M</w:t>
      </w:r>
      <w:r>
        <w:rPr>
          <w:kern w:val="0"/>
          <w:sz w:val="24"/>
          <w:lang w:val="zh-CN"/>
        </w:rPr>
        <w:t>g</w:t>
      </w:r>
      <w:r>
        <w:rPr>
          <w:kern w:val="0"/>
          <w:sz w:val="24"/>
          <w:vertAlign w:val="superscript"/>
          <w:lang w:val="zh-CN"/>
        </w:rPr>
        <w:t>2+</w:t>
      </w:r>
      <w:r>
        <w:rPr>
          <w:rFonts w:hint="eastAsia"/>
          <w:kern w:val="0"/>
          <w:sz w:val="24"/>
          <w:lang w:val="zh-CN"/>
        </w:rPr>
        <w:t>、</w:t>
      </w:r>
      <w:r>
        <w:rPr>
          <w:rFonts w:hint="eastAsia"/>
          <w:kern w:val="0"/>
          <w:sz w:val="24"/>
          <w:lang w:val="zh-CN"/>
        </w:rPr>
        <w:t>C</w:t>
      </w:r>
      <w:r>
        <w:rPr>
          <w:kern w:val="0"/>
          <w:sz w:val="24"/>
          <w:lang w:val="zh-CN"/>
        </w:rPr>
        <w:t>O</w:t>
      </w:r>
      <w:r>
        <w:rPr>
          <w:kern w:val="0"/>
          <w:sz w:val="24"/>
          <w:vertAlign w:val="subscript"/>
          <w:lang w:val="zh-CN"/>
        </w:rPr>
        <w:t>3</w:t>
      </w:r>
      <w:r>
        <w:rPr>
          <w:kern w:val="0"/>
          <w:sz w:val="24"/>
          <w:vertAlign w:val="superscript"/>
          <w:lang w:val="zh-CN"/>
        </w:rPr>
        <w:t>2-</w:t>
      </w:r>
      <w:r>
        <w:rPr>
          <w:rFonts w:hint="eastAsia"/>
          <w:kern w:val="0"/>
          <w:sz w:val="24"/>
          <w:lang w:val="zh-CN"/>
        </w:rPr>
        <w:t>、</w:t>
      </w:r>
      <w:r>
        <w:rPr>
          <w:rFonts w:hint="eastAsia"/>
          <w:kern w:val="0"/>
          <w:sz w:val="24"/>
          <w:lang w:val="zh-CN"/>
        </w:rPr>
        <w:t>H</w:t>
      </w:r>
      <w:r>
        <w:rPr>
          <w:kern w:val="0"/>
          <w:sz w:val="24"/>
          <w:lang w:val="zh-CN"/>
        </w:rPr>
        <w:t>CO</w:t>
      </w:r>
      <w:r>
        <w:rPr>
          <w:kern w:val="0"/>
          <w:sz w:val="24"/>
          <w:vertAlign w:val="superscript"/>
          <w:lang w:val="zh-CN"/>
        </w:rPr>
        <w:t>3-</w:t>
      </w:r>
      <w:r>
        <w:rPr>
          <w:rFonts w:hint="eastAsia"/>
          <w:kern w:val="0"/>
          <w:sz w:val="24"/>
          <w:lang w:val="zh-CN"/>
        </w:rPr>
        <w:t>、</w:t>
      </w:r>
      <w:r>
        <w:rPr>
          <w:rFonts w:hint="eastAsia"/>
          <w:kern w:val="0"/>
          <w:sz w:val="24"/>
          <w:lang w:val="zh-CN"/>
        </w:rPr>
        <w:t>Cl</w:t>
      </w:r>
      <w:r>
        <w:rPr>
          <w:kern w:val="0"/>
          <w:sz w:val="24"/>
          <w:vertAlign w:val="superscript"/>
          <w:lang w:val="zh-CN"/>
        </w:rPr>
        <w:t>-</w:t>
      </w:r>
      <w:r>
        <w:rPr>
          <w:rFonts w:hint="eastAsia"/>
          <w:kern w:val="0"/>
          <w:sz w:val="24"/>
          <w:lang w:val="zh-CN"/>
        </w:rPr>
        <w:t>、</w:t>
      </w:r>
      <w:r>
        <w:rPr>
          <w:rFonts w:hint="eastAsia"/>
          <w:kern w:val="0"/>
          <w:sz w:val="24"/>
          <w:lang w:val="zh-CN"/>
        </w:rPr>
        <w:t>S</w:t>
      </w:r>
      <w:r>
        <w:rPr>
          <w:kern w:val="0"/>
          <w:sz w:val="24"/>
          <w:lang w:val="zh-CN"/>
        </w:rPr>
        <w:t>O</w:t>
      </w:r>
      <w:r>
        <w:rPr>
          <w:kern w:val="0"/>
          <w:sz w:val="24"/>
          <w:vertAlign w:val="subscript"/>
          <w:lang w:val="zh-CN"/>
        </w:rPr>
        <w:t>4</w:t>
      </w:r>
      <w:r>
        <w:rPr>
          <w:kern w:val="0"/>
          <w:sz w:val="24"/>
          <w:vertAlign w:val="superscript"/>
          <w:lang w:val="zh-CN"/>
        </w:rPr>
        <w:t>2-</w:t>
      </w:r>
      <w:r>
        <w:rPr>
          <w:rFonts w:hint="eastAsia"/>
          <w:kern w:val="0"/>
          <w:sz w:val="24"/>
          <w:lang w:val="zh-CN"/>
        </w:rPr>
        <w:t>等</w:t>
      </w:r>
      <w:r>
        <w:rPr>
          <w:rFonts w:hint="eastAsia"/>
          <w:kern w:val="0"/>
          <w:sz w:val="24"/>
          <w:lang w:val="zh-CN"/>
        </w:rPr>
        <w:t>4</w:t>
      </w:r>
      <w:r>
        <w:rPr>
          <w:kern w:val="0"/>
          <w:sz w:val="24"/>
          <w:lang w:val="zh-CN"/>
        </w:rPr>
        <w:t>5</w:t>
      </w:r>
      <w:r>
        <w:rPr>
          <w:rFonts w:hint="eastAsia"/>
          <w:kern w:val="0"/>
          <w:sz w:val="24"/>
          <w:lang w:val="zh-CN"/>
        </w:rPr>
        <w:t>项。</w:t>
      </w:r>
    </w:p>
    <w:bookmarkEnd w:id="203"/>
    <w:p w:rsidR="00EE4502" w:rsidRDefault="00FD45A3">
      <w:pPr>
        <w:pStyle w:val="41"/>
        <w:numPr>
          <w:ilvl w:val="3"/>
          <w:numId w:val="30"/>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bCs w:val="0"/>
          <w:sz w:val="24"/>
          <w:szCs w:val="24"/>
        </w:rPr>
        <w:t>评价方法</w:t>
      </w:r>
    </w:p>
    <w:p w:rsidR="00EE4502" w:rsidRDefault="00FD45A3">
      <w:pPr>
        <w:spacing w:line="360" w:lineRule="auto"/>
        <w:ind w:firstLineChars="200" w:firstLine="480"/>
        <w:rPr>
          <w:sz w:val="24"/>
        </w:rPr>
      </w:pPr>
      <w:r>
        <w:rPr>
          <w:sz w:val="24"/>
        </w:rPr>
        <w:t>采用单因子污染指数法对监测结果进行评价。其单项水质参数</w:t>
      </w:r>
      <w:r>
        <w:rPr>
          <w:sz w:val="24"/>
        </w:rPr>
        <w:t>i</w:t>
      </w:r>
      <w:r>
        <w:rPr>
          <w:sz w:val="24"/>
        </w:rPr>
        <w:t>在第</w:t>
      </w:r>
      <w:r>
        <w:rPr>
          <w:sz w:val="24"/>
        </w:rPr>
        <w:t>j</w:t>
      </w:r>
      <w:r>
        <w:rPr>
          <w:sz w:val="24"/>
        </w:rPr>
        <w:t>点的标准指数为：</w:t>
      </w:r>
    </w:p>
    <w:p w:rsidR="00EE4502" w:rsidRDefault="00FD45A3">
      <w:pPr>
        <w:spacing w:line="360" w:lineRule="auto"/>
        <w:jc w:val="center"/>
      </w:pPr>
      <w:r>
        <w:object w:dxaOrig="1875" w:dyaOrig="480">
          <v:shape id="_x0000_i1026" type="#_x0000_t75" style="width:93.75pt;height:24pt" o:ole="">
            <v:imagedata r:id="rId25" o:title=""/>
          </v:shape>
          <o:OLEObject Type="Embed" ProgID="Equation.3" ShapeID="_x0000_i1026" DrawAspect="Content" ObjectID="_1810051726" r:id="rId26"/>
        </w:object>
      </w:r>
    </w:p>
    <w:p w:rsidR="00EE4502" w:rsidRDefault="00FD45A3">
      <w:pPr>
        <w:spacing w:line="360" w:lineRule="auto"/>
        <w:ind w:firstLineChars="200" w:firstLine="480"/>
        <w:rPr>
          <w:sz w:val="24"/>
        </w:rPr>
      </w:pPr>
      <w:r>
        <w:rPr>
          <w:sz w:val="24"/>
        </w:rPr>
        <w:t>对于以评价标准为区间值的水质参数时，其单项指数式为：</w:t>
      </w:r>
    </w:p>
    <w:p w:rsidR="00EE4502" w:rsidRDefault="00FD45A3">
      <w:pPr>
        <w:spacing w:line="360" w:lineRule="auto"/>
        <w:jc w:val="center"/>
      </w:pPr>
      <w:r>
        <w:object w:dxaOrig="3285" w:dyaOrig="1395">
          <v:shape id="_x0000_i1027" type="#_x0000_t75" style="width:164.25pt;height:69.75pt" o:ole="">
            <v:imagedata r:id="rId27" o:title=""/>
          </v:shape>
          <o:OLEObject Type="Embed" ProgID="Equation.3" ShapeID="_x0000_i1027" DrawAspect="Content" ObjectID="_1810051727" r:id="rId28"/>
        </w:object>
      </w:r>
    </w:p>
    <w:p w:rsidR="00EE4502" w:rsidRDefault="00FD45A3">
      <w:pPr>
        <w:spacing w:line="360" w:lineRule="auto"/>
        <w:ind w:firstLineChars="200" w:firstLine="480"/>
        <w:rPr>
          <w:sz w:val="24"/>
        </w:rPr>
      </w:pPr>
      <w:r>
        <w:rPr>
          <w:sz w:val="24"/>
        </w:rPr>
        <w:t>式中</w:t>
      </w:r>
      <w:r>
        <w:rPr>
          <w:rFonts w:hint="eastAsia"/>
          <w:sz w:val="24"/>
        </w:rPr>
        <w:t>：</w:t>
      </w:r>
      <w:r>
        <w:rPr>
          <w:sz w:val="24"/>
        </w:rPr>
        <w:t>S</w:t>
      </w:r>
      <w:r>
        <w:rPr>
          <w:sz w:val="24"/>
          <w:vertAlign w:val="subscript"/>
        </w:rPr>
        <w:t>i</w:t>
      </w:r>
      <w:r>
        <w:rPr>
          <w:sz w:val="24"/>
          <w:vertAlign w:val="subscript"/>
        </w:rPr>
        <w:t>，</w:t>
      </w:r>
      <w:r>
        <w:rPr>
          <w:sz w:val="24"/>
          <w:vertAlign w:val="subscript"/>
        </w:rPr>
        <w:t>j</w:t>
      </w:r>
      <w:r>
        <w:rPr>
          <w:sz w:val="24"/>
        </w:rPr>
        <w:t>——</w:t>
      </w:r>
      <w:r>
        <w:rPr>
          <w:sz w:val="24"/>
        </w:rPr>
        <w:t>某污染物的污染指数；</w:t>
      </w:r>
      <w:r>
        <w:rPr>
          <w:rFonts w:hint="eastAsia"/>
          <w:sz w:val="24"/>
        </w:rPr>
        <w:t xml:space="preserve">        </w:t>
      </w:r>
    </w:p>
    <w:p w:rsidR="00EE4502" w:rsidRDefault="00FD45A3">
      <w:pPr>
        <w:spacing w:line="360" w:lineRule="auto"/>
        <w:ind w:firstLineChars="500" w:firstLine="1200"/>
        <w:rPr>
          <w:sz w:val="24"/>
        </w:rPr>
      </w:pPr>
      <w:r>
        <w:rPr>
          <w:sz w:val="24"/>
        </w:rPr>
        <w:t>C</w:t>
      </w:r>
      <w:r>
        <w:rPr>
          <w:sz w:val="24"/>
          <w:vertAlign w:val="subscript"/>
        </w:rPr>
        <w:t>i</w:t>
      </w:r>
      <w:r>
        <w:rPr>
          <w:sz w:val="24"/>
          <w:vertAlign w:val="subscript"/>
        </w:rPr>
        <w:t>，</w:t>
      </w:r>
      <w:r>
        <w:rPr>
          <w:sz w:val="24"/>
          <w:vertAlign w:val="subscript"/>
        </w:rPr>
        <w:t>j</w:t>
      </w:r>
      <w:r>
        <w:rPr>
          <w:sz w:val="24"/>
        </w:rPr>
        <w:t>——</w:t>
      </w:r>
      <w:r>
        <w:rPr>
          <w:sz w:val="24"/>
        </w:rPr>
        <w:t>某污染物的实测浓度，</w:t>
      </w:r>
      <w:r>
        <w:rPr>
          <w:sz w:val="24"/>
        </w:rPr>
        <w:t>mg/L</w:t>
      </w:r>
      <w:r>
        <w:rPr>
          <w:sz w:val="24"/>
        </w:rPr>
        <w:t>；</w:t>
      </w:r>
    </w:p>
    <w:p w:rsidR="00EE4502" w:rsidRDefault="00FD45A3">
      <w:pPr>
        <w:spacing w:line="360" w:lineRule="auto"/>
        <w:ind w:firstLineChars="500" w:firstLine="1200"/>
        <w:rPr>
          <w:sz w:val="24"/>
        </w:rPr>
      </w:pPr>
      <w:r>
        <w:rPr>
          <w:sz w:val="24"/>
        </w:rPr>
        <w:lastRenderedPageBreak/>
        <w:t>C</w:t>
      </w:r>
      <w:r>
        <w:rPr>
          <w:sz w:val="24"/>
          <w:vertAlign w:val="subscript"/>
        </w:rPr>
        <w:t>si</w:t>
      </w:r>
      <w:r>
        <w:rPr>
          <w:sz w:val="24"/>
        </w:rPr>
        <w:t>——</w:t>
      </w:r>
      <w:r>
        <w:rPr>
          <w:sz w:val="24"/>
        </w:rPr>
        <w:t>某污染物的评价标准，</w:t>
      </w:r>
      <w:r>
        <w:rPr>
          <w:sz w:val="24"/>
        </w:rPr>
        <w:t>mg/L</w:t>
      </w:r>
      <w:r>
        <w:rPr>
          <w:sz w:val="24"/>
        </w:rPr>
        <w:t>；</w:t>
      </w:r>
      <w:r>
        <w:rPr>
          <w:rFonts w:hint="eastAsia"/>
          <w:sz w:val="24"/>
        </w:rPr>
        <w:t xml:space="preserve"> </w:t>
      </w:r>
    </w:p>
    <w:p w:rsidR="00EE4502" w:rsidRDefault="00FD45A3">
      <w:pPr>
        <w:spacing w:line="360" w:lineRule="auto"/>
        <w:ind w:firstLineChars="500" w:firstLine="1200"/>
        <w:rPr>
          <w:sz w:val="24"/>
        </w:rPr>
      </w:pPr>
      <w:r>
        <w:rPr>
          <w:sz w:val="24"/>
        </w:rPr>
        <w:t>S</w:t>
      </w:r>
      <w:r>
        <w:rPr>
          <w:sz w:val="24"/>
          <w:vertAlign w:val="subscript"/>
        </w:rPr>
        <w:t>PH</w:t>
      </w:r>
      <w:r>
        <w:rPr>
          <w:sz w:val="24"/>
          <w:vertAlign w:val="subscript"/>
        </w:rPr>
        <w:t>，</w:t>
      </w:r>
      <w:r>
        <w:rPr>
          <w:sz w:val="24"/>
          <w:vertAlign w:val="subscript"/>
        </w:rPr>
        <w:t>j</w:t>
      </w:r>
      <w:r>
        <w:rPr>
          <w:sz w:val="24"/>
        </w:rPr>
        <w:t>——pH</w:t>
      </w:r>
      <w:r>
        <w:rPr>
          <w:sz w:val="24"/>
        </w:rPr>
        <w:t>标准指数；</w:t>
      </w:r>
    </w:p>
    <w:p w:rsidR="00EE4502" w:rsidRDefault="00FD45A3">
      <w:pPr>
        <w:spacing w:line="360" w:lineRule="auto"/>
        <w:ind w:firstLineChars="500" w:firstLine="1200"/>
        <w:rPr>
          <w:sz w:val="24"/>
        </w:rPr>
      </w:pPr>
      <w:r>
        <w:rPr>
          <w:sz w:val="24"/>
        </w:rPr>
        <w:t>pH</w:t>
      </w:r>
      <w:r>
        <w:rPr>
          <w:sz w:val="24"/>
          <w:vertAlign w:val="subscript"/>
        </w:rPr>
        <w:t>j</w:t>
      </w:r>
      <w:r>
        <w:rPr>
          <w:sz w:val="24"/>
        </w:rPr>
        <w:t>——j</w:t>
      </w:r>
      <w:r>
        <w:rPr>
          <w:sz w:val="24"/>
        </w:rPr>
        <w:t>点实测</w:t>
      </w:r>
      <w:r>
        <w:rPr>
          <w:sz w:val="24"/>
        </w:rPr>
        <w:t>pH</w:t>
      </w:r>
      <w:r>
        <w:rPr>
          <w:sz w:val="24"/>
        </w:rPr>
        <w:t>值；</w:t>
      </w:r>
      <w:r>
        <w:rPr>
          <w:rFonts w:hint="eastAsia"/>
          <w:sz w:val="24"/>
        </w:rPr>
        <w:t xml:space="preserve">            </w:t>
      </w:r>
    </w:p>
    <w:p w:rsidR="00EE4502" w:rsidRDefault="00FD45A3">
      <w:pPr>
        <w:spacing w:line="360" w:lineRule="auto"/>
        <w:ind w:firstLineChars="500" w:firstLine="1200"/>
        <w:rPr>
          <w:sz w:val="24"/>
        </w:rPr>
      </w:pPr>
      <w:r>
        <w:rPr>
          <w:sz w:val="24"/>
        </w:rPr>
        <w:t>pH</w:t>
      </w:r>
      <w:r>
        <w:rPr>
          <w:sz w:val="24"/>
          <w:vertAlign w:val="subscript"/>
        </w:rPr>
        <w:t>sd</w:t>
      </w:r>
      <w:r>
        <w:rPr>
          <w:sz w:val="24"/>
        </w:rPr>
        <w:t>——</w:t>
      </w:r>
      <w:r>
        <w:rPr>
          <w:sz w:val="24"/>
        </w:rPr>
        <w:t>标准中</w:t>
      </w:r>
      <w:r>
        <w:rPr>
          <w:sz w:val="24"/>
        </w:rPr>
        <w:t>pH</w:t>
      </w:r>
      <w:r>
        <w:rPr>
          <w:sz w:val="24"/>
        </w:rPr>
        <w:t>的下限值（</w:t>
      </w:r>
      <w:r>
        <w:rPr>
          <w:sz w:val="24"/>
        </w:rPr>
        <w:t>6.8</w:t>
      </w:r>
      <w:r>
        <w:rPr>
          <w:sz w:val="24"/>
        </w:rPr>
        <w:t>）；</w:t>
      </w:r>
    </w:p>
    <w:p w:rsidR="00EE4502" w:rsidRDefault="00FD45A3">
      <w:pPr>
        <w:spacing w:line="360" w:lineRule="auto"/>
        <w:ind w:firstLineChars="500" w:firstLine="1200"/>
        <w:rPr>
          <w:sz w:val="24"/>
        </w:rPr>
      </w:pPr>
      <w:r>
        <w:rPr>
          <w:sz w:val="24"/>
        </w:rPr>
        <w:t>pH</w:t>
      </w:r>
      <w:r>
        <w:rPr>
          <w:sz w:val="24"/>
          <w:vertAlign w:val="subscript"/>
        </w:rPr>
        <w:t>su</w:t>
      </w:r>
      <w:r>
        <w:rPr>
          <w:sz w:val="24"/>
        </w:rPr>
        <w:t>——</w:t>
      </w:r>
      <w:r>
        <w:rPr>
          <w:sz w:val="24"/>
        </w:rPr>
        <w:t>标准中</w:t>
      </w:r>
      <w:r>
        <w:rPr>
          <w:sz w:val="24"/>
        </w:rPr>
        <w:t>pH</w:t>
      </w:r>
      <w:r>
        <w:rPr>
          <w:sz w:val="24"/>
        </w:rPr>
        <w:t>的上限值（</w:t>
      </w:r>
      <w:r>
        <w:rPr>
          <w:sz w:val="24"/>
        </w:rPr>
        <w:t>8.5</w:t>
      </w:r>
      <w:r>
        <w:rPr>
          <w:sz w:val="24"/>
        </w:rPr>
        <w:t>）。</w:t>
      </w:r>
    </w:p>
    <w:p w:rsidR="00EE4502" w:rsidRDefault="00FD45A3">
      <w:pPr>
        <w:pStyle w:val="41"/>
        <w:numPr>
          <w:ilvl w:val="3"/>
          <w:numId w:val="30"/>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bCs w:val="0"/>
          <w:sz w:val="24"/>
          <w:szCs w:val="24"/>
        </w:rPr>
        <w:t>监测结果及评价</w:t>
      </w:r>
    </w:p>
    <w:p w:rsidR="00EE4502" w:rsidRDefault="00FD45A3">
      <w:pPr>
        <w:spacing w:line="360" w:lineRule="auto"/>
        <w:ind w:firstLineChars="200" w:firstLine="480"/>
        <w:rPr>
          <w:sz w:val="24"/>
        </w:rPr>
        <w:sectPr w:rsidR="00EE4502">
          <w:headerReference w:type="default" r:id="rId29"/>
          <w:footerReference w:type="default" r:id="rId30"/>
          <w:pgSz w:w="11906" w:h="16838"/>
          <w:pgMar w:top="1440" w:right="1800" w:bottom="1440" w:left="1800" w:header="850" w:footer="850" w:gutter="0"/>
          <w:pgNumType w:fmt="numberInDash"/>
          <w:cols w:space="720"/>
          <w:docGrid w:linePitch="326"/>
        </w:sectPr>
      </w:pPr>
      <w:r>
        <w:rPr>
          <w:rFonts w:hint="eastAsia"/>
          <w:sz w:val="24"/>
        </w:rPr>
        <w:t>监测结果见表</w:t>
      </w:r>
      <w:r>
        <w:rPr>
          <w:rFonts w:hint="eastAsia"/>
          <w:sz w:val="24"/>
        </w:rPr>
        <w:t>4-3-2</w:t>
      </w:r>
      <w:r>
        <w:rPr>
          <w:rFonts w:hint="eastAsia"/>
          <w:sz w:val="24"/>
        </w:rPr>
        <w:t>。根据监测结果可以看出，除硫酸盐、氯化物、氟化物、溶解性总固体因子超标外，其他各监测点地下水中的各项监测指标均满足《地下水质量标准》（</w:t>
      </w:r>
      <w:r>
        <w:rPr>
          <w:rFonts w:hint="eastAsia"/>
          <w:sz w:val="24"/>
        </w:rPr>
        <w:t>GB/T14848-2017</w:t>
      </w:r>
      <w:r>
        <w:rPr>
          <w:rFonts w:hint="eastAsia"/>
          <w:sz w:val="24"/>
        </w:rPr>
        <w:t>）Ⅲ类标准要求，石油类均满足《地表水环境质量标准》（</w:t>
      </w:r>
      <w:r>
        <w:rPr>
          <w:rFonts w:hint="eastAsia"/>
          <w:sz w:val="24"/>
        </w:rPr>
        <w:t>GB3838-2002</w:t>
      </w:r>
      <w:r>
        <w:rPr>
          <w:rFonts w:hint="eastAsia"/>
          <w:sz w:val="24"/>
        </w:rPr>
        <w:t>）Ⅲ类标准要求。超标主要原因是由局部自然背景值高所致</w:t>
      </w:r>
      <w:r>
        <w:rPr>
          <w:rFonts w:hint="eastAsia"/>
          <w:sz w:val="24"/>
        </w:rPr>
        <w:t>。</w:t>
      </w:r>
    </w:p>
    <w:p w:rsidR="00EE4502" w:rsidRDefault="00FD45A3">
      <w:pPr>
        <w:pStyle w:val="22"/>
        <w:numPr>
          <w:ilvl w:val="1"/>
          <w:numId w:val="30"/>
        </w:numPr>
        <w:rPr>
          <w:spacing w:val="0"/>
          <w:w w:val="100"/>
        </w:rPr>
      </w:pPr>
      <w:bookmarkStart w:id="204" w:name="_Toc21126"/>
      <w:r>
        <w:rPr>
          <w:spacing w:val="0"/>
          <w:w w:val="100"/>
        </w:rPr>
        <w:lastRenderedPageBreak/>
        <w:t>土壤环境质量现状监测与评价</w:t>
      </w:r>
      <w:bookmarkEnd w:id="204"/>
    </w:p>
    <w:p w:rsidR="00EE4502" w:rsidRDefault="00FD45A3">
      <w:pPr>
        <w:pStyle w:val="33"/>
        <w:numPr>
          <w:ilvl w:val="2"/>
          <w:numId w:val="30"/>
        </w:numPr>
        <w:spacing w:line="360" w:lineRule="auto"/>
        <w:ind w:left="0" w:firstLine="0"/>
        <w:rPr>
          <w:spacing w:val="0"/>
          <w:sz w:val="24"/>
          <w:szCs w:val="24"/>
        </w:rPr>
      </w:pPr>
      <w:r>
        <w:rPr>
          <w:spacing w:val="0"/>
          <w:sz w:val="24"/>
          <w:szCs w:val="24"/>
        </w:rPr>
        <w:t>土壤概况及理化特性</w:t>
      </w:r>
    </w:p>
    <w:p w:rsidR="00EE4502" w:rsidRDefault="00FD45A3">
      <w:pPr>
        <w:spacing w:line="360" w:lineRule="auto"/>
        <w:ind w:firstLine="482"/>
        <w:rPr>
          <w:sz w:val="24"/>
        </w:rPr>
      </w:pPr>
      <w:r>
        <w:rPr>
          <w:rFonts w:hint="eastAsia"/>
          <w:sz w:val="24"/>
        </w:rPr>
        <w:t>（</w:t>
      </w:r>
      <w:r>
        <w:rPr>
          <w:rFonts w:hint="eastAsia"/>
          <w:sz w:val="24"/>
        </w:rPr>
        <w:t>1</w:t>
      </w:r>
      <w:r>
        <w:rPr>
          <w:rFonts w:hint="eastAsia"/>
          <w:sz w:val="24"/>
        </w:rPr>
        <w:t>）区域土壤概况</w:t>
      </w:r>
    </w:p>
    <w:p w:rsidR="00EE4502" w:rsidRDefault="00FD45A3">
      <w:pPr>
        <w:spacing w:line="360" w:lineRule="auto"/>
        <w:ind w:firstLine="522"/>
        <w:rPr>
          <w:sz w:val="24"/>
        </w:rPr>
      </w:pPr>
      <w:r>
        <w:rPr>
          <w:sz w:val="24"/>
        </w:rPr>
        <w:t>根据遥感影像图、新疆维吾尔自治区土壤类型图、《新疆土壤》及现场踏勘结果，评价区位于准噶尔盆地西南部，区域土壤类型较为简单，主要分布有灰漠土</w:t>
      </w:r>
      <w:r>
        <w:rPr>
          <w:rFonts w:hint="eastAsia"/>
          <w:sz w:val="24"/>
        </w:rPr>
        <w:t>、</w:t>
      </w:r>
      <w:r>
        <w:rPr>
          <w:sz w:val="24"/>
        </w:rPr>
        <w:t>草甸土</w:t>
      </w:r>
      <w:r>
        <w:rPr>
          <w:rFonts w:hint="eastAsia"/>
          <w:sz w:val="24"/>
        </w:rPr>
        <w:t>、风沙土和</w:t>
      </w:r>
      <w:r>
        <w:rPr>
          <w:sz w:val="24"/>
        </w:rPr>
        <w:t>潮土，以灰漠土为主。</w:t>
      </w:r>
    </w:p>
    <w:p w:rsidR="00EE4502" w:rsidRDefault="00FD45A3">
      <w:pPr>
        <w:spacing w:line="360" w:lineRule="auto"/>
        <w:ind w:firstLine="522"/>
        <w:rPr>
          <w:sz w:val="24"/>
        </w:rPr>
      </w:pPr>
      <w:r>
        <w:rPr>
          <w:rFonts w:hint="eastAsia"/>
          <w:sz w:val="24"/>
        </w:rPr>
        <w:t>①</w:t>
      </w:r>
      <w:r>
        <w:rPr>
          <w:sz w:val="24"/>
        </w:rPr>
        <w:t>潮土</w:t>
      </w:r>
    </w:p>
    <w:p w:rsidR="00EE4502" w:rsidRDefault="00FD45A3">
      <w:pPr>
        <w:spacing w:line="360" w:lineRule="auto"/>
        <w:ind w:firstLine="522"/>
        <w:rPr>
          <w:sz w:val="24"/>
        </w:rPr>
      </w:pPr>
      <w:r>
        <w:rPr>
          <w:sz w:val="24"/>
        </w:rPr>
        <w:t>潮土是河流沉积物受地下水运动和耕作活动影响而形成的土壤，因有夜潮现象而得名。属半水成土。其主要特征是地势平坦、土层深厚。潮土是发育于富含碳酸盐或不含碳酸盐的河流冲积物土，受地下潜水作用，经过耕作熟化而形成的一种半水成土壤。土壤腐殖积累过程较弱。具有腐殖质层（耕作层）、氧化还原层及母质层等剖面层次，沉积层理明显。潮土主要分布在</w:t>
      </w:r>
      <w:r>
        <w:rPr>
          <w:rFonts w:hint="eastAsia"/>
          <w:sz w:val="24"/>
        </w:rPr>
        <w:t>工程区</w:t>
      </w:r>
      <w:r>
        <w:rPr>
          <w:sz w:val="24"/>
        </w:rPr>
        <w:t>西南部的农田绿洲区。</w:t>
      </w:r>
    </w:p>
    <w:p w:rsidR="00EE4502" w:rsidRDefault="00FD45A3">
      <w:pPr>
        <w:spacing w:line="360" w:lineRule="auto"/>
        <w:ind w:firstLine="522"/>
        <w:rPr>
          <w:sz w:val="24"/>
        </w:rPr>
      </w:pPr>
      <w:r>
        <w:rPr>
          <w:rFonts w:hint="eastAsia"/>
          <w:sz w:val="24"/>
        </w:rPr>
        <w:t>②</w:t>
      </w:r>
      <w:r>
        <w:rPr>
          <w:sz w:val="24"/>
        </w:rPr>
        <w:t>灰漠土</w:t>
      </w:r>
    </w:p>
    <w:p w:rsidR="00EE4502" w:rsidRDefault="00FD45A3">
      <w:pPr>
        <w:spacing w:line="360" w:lineRule="auto"/>
        <w:ind w:firstLine="522"/>
        <w:rPr>
          <w:sz w:val="24"/>
        </w:rPr>
      </w:pPr>
      <w:r>
        <w:rPr>
          <w:sz w:val="24"/>
        </w:rPr>
        <w:t>灰漠土是在干旱荒漠气候条件下，通过微弱的生物积累过程，粘化铁质化过程和微弱淋溶过程的共同作用下形成的。剖面特征：地表具多角裂缝，表土为发育良好的荒漠结皮层，呈浅灰色干面包状，此层以下为淡灰色的片层结构，约</w:t>
      </w:r>
      <w:r>
        <w:rPr>
          <w:sz w:val="24"/>
        </w:rPr>
        <w:t>2~5cm</w:t>
      </w:r>
      <w:r>
        <w:rPr>
          <w:sz w:val="24"/>
        </w:rPr>
        <w:t>厚；第三层为粘化、铁质化过程形成的浅棕色紧密实层，粘粒含量稍高，腐殖质层不明显，有白色斑点或菌丝状的碳酸钙沉积；在</w:t>
      </w:r>
      <w:r>
        <w:rPr>
          <w:sz w:val="24"/>
        </w:rPr>
        <w:t>40cm</w:t>
      </w:r>
      <w:r>
        <w:rPr>
          <w:sz w:val="24"/>
        </w:rPr>
        <w:t>以上，有石膏晶粒出现。灰漠土土壤肥力贫瘠，土壤表层（</w:t>
      </w:r>
      <w:r>
        <w:rPr>
          <w:sz w:val="24"/>
        </w:rPr>
        <w:t>0~10cm</w:t>
      </w:r>
      <w:r>
        <w:rPr>
          <w:sz w:val="24"/>
        </w:rPr>
        <w:t>）有机质含量多低于</w:t>
      </w:r>
      <w:r>
        <w:rPr>
          <w:sz w:val="24"/>
        </w:rPr>
        <w:t>1%</w:t>
      </w:r>
      <w:r>
        <w:rPr>
          <w:sz w:val="24"/>
        </w:rPr>
        <w:t>，全氮量约为</w:t>
      </w:r>
      <w:r>
        <w:rPr>
          <w:sz w:val="24"/>
        </w:rPr>
        <w:t>0.06%</w:t>
      </w:r>
      <w:r>
        <w:rPr>
          <w:sz w:val="24"/>
        </w:rPr>
        <w:t>。通体石灰反应强烈，但表层较弱</w:t>
      </w:r>
      <w:r>
        <w:rPr>
          <w:sz w:val="24"/>
        </w:rPr>
        <w:t>。剖面中下部盐分较上层高，盐分组成以氯化物</w:t>
      </w:r>
      <w:r>
        <w:rPr>
          <w:sz w:val="24"/>
        </w:rPr>
        <w:t>-</w:t>
      </w:r>
      <w:r>
        <w:rPr>
          <w:sz w:val="24"/>
        </w:rPr>
        <w:t>硫酸盐为主，同时表层土壤中氯化物含量较高对地表植被危害较重。</w:t>
      </w:r>
    </w:p>
    <w:p w:rsidR="00EE4502" w:rsidRDefault="00FD45A3">
      <w:pPr>
        <w:spacing w:line="360" w:lineRule="auto"/>
        <w:ind w:firstLine="522"/>
        <w:rPr>
          <w:sz w:val="24"/>
        </w:rPr>
      </w:pPr>
      <w:r>
        <w:rPr>
          <w:rFonts w:hint="eastAsia"/>
          <w:sz w:val="24"/>
        </w:rPr>
        <w:t>③</w:t>
      </w:r>
      <w:r>
        <w:rPr>
          <w:sz w:val="24"/>
        </w:rPr>
        <w:t>草甸土</w:t>
      </w:r>
    </w:p>
    <w:p w:rsidR="00EE4502" w:rsidRDefault="00FD45A3">
      <w:pPr>
        <w:spacing w:line="360" w:lineRule="auto"/>
        <w:ind w:firstLine="522"/>
        <w:rPr>
          <w:sz w:val="24"/>
        </w:rPr>
      </w:pPr>
      <w:r>
        <w:rPr>
          <w:sz w:val="24"/>
        </w:rPr>
        <w:t>发育于地势低平、受地下水或潜水的直接浸润并生长草甸植物的土壤，属半水成土。其主要特征是有机质含量较高，腐殖质层较厚，土壤团粒结构较好，水分比较充分。</w:t>
      </w:r>
    </w:p>
    <w:p w:rsidR="00EE4502" w:rsidRDefault="00FD45A3">
      <w:pPr>
        <w:spacing w:line="360" w:lineRule="auto"/>
        <w:ind w:firstLine="522"/>
        <w:rPr>
          <w:sz w:val="24"/>
        </w:rPr>
      </w:pPr>
      <w:r>
        <w:rPr>
          <w:rFonts w:ascii="宋体" w:hAnsi="宋体" w:hint="eastAsia"/>
          <w:sz w:val="24"/>
        </w:rPr>
        <w:t>④</w:t>
      </w:r>
      <w:r>
        <w:rPr>
          <w:rFonts w:hint="eastAsia"/>
          <w:sz w:val="24"/>
        </w:rPr>
        <w:t>风沙土</w:t>
      </w:r>
    </w:p>
    <w:p w:rsidR="00EE4502" w:rsidRDefault="00FD45A3">
      <w:pPr>
        <w:spacing w:line="360" w:lineRule="auto"/>
        <w:ind w:firstLine="522"/>
        <w:rPr>
          <w:sz w:val="24"/>
        </w:rPr>
      </w:pPr>
      <w:r>
        <w:rPr>
          <w:rFonts w:hint="eastAsia"/>
          <w:sz w:val="24"/>
        </w:rPr>
        <w:t>风沙土是一种发育在风成沙性母质上的土壤，具有质地粗、有机质含量低、盐分高、通透性好、保水保肥能力差等特点。</w:t>
      </w:r>
    </w:p>
    <w:p w:rsidR="00EE4502" w:rsidRDefault="00FD45A3">
      <w:pPr>
        <w:spacing w:line="360" w:lineRule="auto"/>
        <w:ind w:firstLine="522"/>
        <w:rPr>
          <w:sz w:val="24"/>
        </w:rPr>
      </w:pPr>
      <w:r>
        <w:rPr>
          <w:rFonts w:hint="eastAsia"/>
          <w:sz w:val="24"/>
        </w:rPr>
        <w:lastRenderedPageBreak/>
        <w:t>（</w:t>
      </w:r>
      <w:r>
        <w:rPr>
          <w:rFonts w:hint="eastAsia"/>
          <w:sz w:val="24"/>
        </w:rPr>
        <w:t>2</w:t>
      </w:r>
      <w:r>
        <w:rPr>
          <w:rFonts w:hint="eastAsia"/>
          <w:sz w:val="24"/>
        </w:rPr>
        <w:t>）评价区土壤类型及分布</w:t>
      </w:r>
    </w:p>
    <w:p w:rsidR="00EE4502" w:rsidRDefault="00FD45A3">
      <w:pPr>
        <w:spacing w:line="360" w:lineRule="auto"/>
        <w:ind w:firstLine="522"/>
        <w:rPr>
          <w:sz w:val="24"/>
        </w:rPr>
      </w:pPr>
      <w:r>
        <w:rPr>
          <w:rFonts w:hint="eastAsia"/>
          <w:sz w:val="24"/>
        </w:rPr>
        <w:t>本工程</w:t>
      </w:r>
      <w:r>
        <w:rPr>
          <w:rFonts w:hint="eastAsia"/>
          <w:sz w:val="24"/>
        </w:rPr>
        <w:t>评价范围内的土壤类型有灰漠土和草甸土，其中以灰漠土为主。</w:t>
      </w:r>
      <w:r>
        <w:rPr>
          <w:rFonts w:hint="eastAsia"/>
          <w:sz w:val="24"/>
        </w:rPr>
        <w:t>工程区</w:t>
      </w:r>
      <w:r>
        <w:rPr>
          <w:sz w:val="24"/>
        </w:rPr>
        <w:t>土壤类型具体见图</w:t>
      </w:r>
      <w:r>
        <w:rPr>
          <w:sz w:val="24"/>
        </w:rPr>
        <w:t>4-</w:t>
      </w:r>
      <w:r>
        <w:rPr>
          <w:rFonts w:hint="eastAsia"/>
          <w:sz w:val="24"/>
        </w:rPr>
        <w:t>4</w:t>
      </w:r>
      <w:r>
        <w:rPr>
          <w:sz w:val="24"/>
        </w:rPr>
        <w:t>-</w:t>
      </w:r>
      <w:r>
        <w:rPr>
          <w:rFonts w:hint="eastAsia"/>
          <w:sz w:val="24"/>
        </w:rPr>
        <w:t>1</w:t>
      </w:r>
      <w:r>
        <w:rPr>
          <w:rFonts w:hint="eastAsia"/>
          <w:sz w:val="24"/>
        </w:rPr>
        <w:t>。</w:t>
      </w:r>
    </w:p>
    <w:p w:rsidR="00EE4502" w:rsidRDefault="00FD45A3">
      <w:pPr>
        <w:spacing w:line="360" w:lineRule="auto"/>
        <w:ind w:firstLine="482"/>
        <w:rPr>
          <w:sz w:val="24"/>
        </w:rPr>
      </w:pPr>
      <w:r>
        <w:rPr>
          <w:sz w:val="24"/>
        </w:rPr>
        <w:t>（</w:t>
      </w:r>
      <w:r>
        <w:rPr>
          <w:rFonts w:hint="eastAsia"/>
          <w:sz w:val="24"/>
        </w:rPr>
        <w:t>3</w:t>
      </w:r>
      <w:r>
        <w:rPr>
          <w:sz w:val="24"/>
        </w:rPr>
        <w:t>）土壤理化特性调查</w:t>
      </w:r>
    </w:p>
    <w:p w:rsidR="00EE4502" w:rsidRDefault="00FD45A3">
      <w:pPr>
        <w:spacing w:line="360" w:lineRule="auto"/>
        <w:ind w:firstLine="482"/>
        <w:rPr>
          <w:sz w:val="24"/>
        </w:rPr>
      </w:pPr>
      <w:r>
        <w:rPr>
          <w:sz w:val="24"/>
        </w:rPr>
        <w:t>项目为污染影响型项目，根据项目工程分析情况，针对项目占地的土壤理化性质进行分析，主要包括土体结构、土壤结构、土壤质地、阳离子交换量、</w:t>
      </w:r>
      <w:r>
        <w:rPr>
          <w:rFonts w:hint="eastAsia"/>
          <w:sz w:val="24"/>
        </w:rPr>
        <w:t>氧化还原电位</w:t>
      </w:r>
      <w:r>
        <w:rPr>
          <w:sz w:val="24"/>
        </w:rPr>
        <w:t>、饱和导水率、土壤容重、孔隙度等。分析结果如表</w:t>
      </w:r>
      <w:r>
        <w:rPr>
          <w:sz w:val="24"/>
        </w:rPr>
        <w:t>4-</w:t>
      </w:r>
      <w:r>
        <w:rPr>
          <w:rFonts w:hint="eastAsia"/>
          <w:sz w:val="24"/>
        </w:rPr>
        <w:t>4</w:t>
      </w:r>
      <w:r>
        <w:rPr>
          <w:sz w:val="24"/>
        </w:rPr>
        <w:t>-1</w:t>
      </w:r>
      <w:r>
        <w:rPr>
          <w:sz w:val="24"/>
        </w:rPr>
        <w:t>所示。</w:t>
      </w:r>
    </w:p>
    <w:p w:rsidR="00EE4502" w:rsidRDefault="00FD45A3">
      <w:pPr>
        <w:spacing w:line="360" w:lineRule="auto"/>
        <w:jc w:val="center"/>
        <w:rPr>
          <w:rFonts w:eastAsia="黑体"/>
          <w:bCs/>
          <w:lang w:val="zh-CN"/>
        </w:rPr>
      </w:pPr>
      <w:r>
        <w:rPr>
          <w:rFonts w:eastAsia="黑体"/>
          <w:bCs/>
          <w:lang w:val="zh-CN"/>
        </w:rPr>
        <w:t>表</w:t>
      </w:r>
      <w:r>
        <w:rPr>
          <w:rFonts w:eastAsia="黑体"/>
          <w:bCs/>
          <w:lang w:val="zh-CN"/>
        </w:rPr>
        <w:t>4</w:t>
      </w:r>
      <w:r>
        <w:rPr>
          <w:rFonts w:eastAsia="黑体"/>
          <w:bCs/>
        </w:rPr>
        <w:t>-</w:t>
      </w:r>
      <w:r>
        <w:rPr>
          <w:rFonts w:eastAsia="黑体" w:hint="eastAsia"/>
          <w:bCs/>
        </w:rPr>
        <w:t>4</w:t>
      </w:r>
      <w:r>
        <w:rPr>
          <w:rFonts w:eastAsia="黑体"/>
          <w:bCs/>
          <w:lang w:val="zh-CN"/>
        </w:rPr>
        <w:t xml:space="preserve">-1  </w:t>
      </w:r>
      <w:r>
        <w:rPr>
          <w:rFonts w:eastAsia="黑体"/>
          <w:bCs/>
          <w:lang w:val="zh-CN"/>
        </w:rPr>
        <w:t>土壤理化特性调查表</w:t>
      </w:r>
    </w:p>
    <w:p w:rsidR="00EE4502" w:rsidRDefault="00EE4502">
      <w:pPr>
        <w:jc w:val="center"/>
        <w:rPr>
          <w:sz w:val="18"/>
          <w:szCs w:val="18"/>
        </w:rPr>
      </w:pPr>
    </w:p>
    <w:p w:rsidR="00EE4502" w:rsidRDefault="00FD45A3">
      <w:pPr>
        <w:pStyle w:val="33"/>
        <w:numPr>
          <w:ilvl w:val="2"/>
          <w:numId w:val="30"/>
        </w:numPr>
        <w:spacing w:line="360" w:lineRule="auto"/>
        <w:ind w:left="0" w:firstLine="0"/>
        <w:rPr>
          <w:spacing w:val="0"/>
          <w:sz w:val="24"/>
          <w:szCs w:val="24"/>
        </w:rPr>
      </w:pPr>
      <w:r>
        <w:rPr>
          <w:spacing w:val="0"/>
          <w:sz w:val="24"/>
          <w:szCs w:val="24"/>
        </w:rPr>
        <w:t>土壤环境质量现状监测与评价</w:t>
      </w:r>
    </w:p>
    <w:p w:rsidR="00EE4502" w:rsidRDefault="00FD45A3">
      <w:pPr>
        <w:spacing w:line="360" w:lineRule="auto"/>
        <w:ind w:firstLine="482"/>
        <w:rPr>
          <w:sz w:val="24"/>
        </w:rPr>
      </w:pPr>
      <w:r>
        <w:rPr>
          <w:sz w:val="24"/>
        </w:rPr>
        <w:t>根据</w:t>
      </w:r>
      <w:r>
        <w:rPr>
          <w:rFonts w:hint="eastAsia"/>
          <w:sz w:val="24"/>
        </w:rPr>
        <w:t>工程区</w:t>
      </w:r>
      <w:r>
        <w:rPr>
          <w:sz w:val="24"/>
        </w:rPr>
        <w:t>域土壤类型的特点，以及土地利用方式，分为</w:t>
      </w:r>
      <w:r>
        <w:rPr>
          <w:rFonts w:hint="eastAsia"/>
          <w:sz w:val="24"/>
        </w:rPr>
        <w:t>未利用地</w:t>
      </w:r>
      <w:r>
        <w:rPr>
          <w:sz w:val="24"/>
        </w:rPr>
        <w:t>和农用地进行评价。本次评价土壤检测委托</w:t>
      </w:r>
      <w:r>
        <w:rPr>
          <w:rFonts w:hint="eastAsia"/>
          <w:sz w:val="24"/>
        </w:rPr>
        <w:t>新疆钧仪衡环境技术有限公司</w:t>
      </w:r>
      <w:r>
        <w:rPr>
          <w:sz w:val="24"/>
        </w:rPr>
        <w:t>对土壤环境质量现状进行了监测，</w:t>
      </w:r>
      <w:r>
        <w:rPr>
          <w:rFonts w:hint="eastAsia"/>
          <w:sz w:val="24"/>
        </w:rPr>
        <w:t>采样</w:t>
      </w:r>
      <w:r>
        <w:rPr>
          <w:sz w:val="24"/>
        </w:rPr>
        <w:t>时间为</w:t>
      </w:r>
      <w:r>
        <w:rPr>
          <w:sz w:val="24"/>
        </w:rPr>
        <w:t>202</w:t>
      </w:r>
      <w:r>
        <w:rPr>
          <w:rFonts w:hint="eastAsia"/>
          <w:sz w:val="24"/>
        </w:rPr>
        <w:t>5</w:t>
      </w:r>
      <w:r>
        <w:rPr>
          <w:sz w:val="24"/>
        </w:rPr>
        <w:t>年</w:t>
      </w:r>
      <w:r>
        <w:rPr>
          <w:rFonts w:hint="eastAsia"/>
          <w:sz w:val="24"/>
        </w:rPr>
        <w:t>3</w:t>
      </w:r>
      <w:r>
        <w:rPr>
          <w:sz w:val="24"/>
        </w:rPr>
        <w:t>月。</w:t>
      </w:r>
    </w:p>
    <w:p w:rsidR="00EE4502" w:rsidRDefault="00FD45A3">
      <w:pPr>
        <w:spacing w:line="360" w:lineRule="auto"/>
        <w:ind w:firstLine="482"/>
        <w:rPr>
          <w:sz w:val="24"/>
        </w:rPr>
      </w:pPr>
      <w:r>
        <w:rPr>
          <w:sz w:val="24"/>
        </w:rPr>
        <w:t>（</w:t>
      </w:r>
      <w:r>
        <w:rPr>
          <w:sz w:val="24"/>
        </w:rPr>
        <w:t>1</w:t>
      </w:r>
      <w:r>
        <w:rPr>
          <w:sz w:val="24"/>
        </w:rPr>
        <w:t>）监测布点</w:t>
      </w:r>
    </w:p>
    <w:p w:rsidR="00EE4502" w:rsidRDefault="00FD45A3">
      <w:pPr>
        <w:spacing w:line="360" w:lineRule="auto"/>
        <w:ind w:firstLine="482"/>
        <w:rPr>
          <w:sz w:val="24"/>
        </w:rPr>
      </w:pPr>
      <w:r>
        <w:rPr>
          <w:rFonts w:ascii="宋体" w:hAnsi="宋体" w:cs="宋体" w:hint="eastAsia"/>
          <w:sz w:val="24"/>
        </w:rPr>
        <w:t>①</w:t>
      </w:r>
      <w:r>
        <w:rPr>
          <w:sz w:val="24"/>
        </w:rPr>
        <w:t>区块占地范围内</w:t>
      </w:r>
    </w:p>
    <w:p w:rsidR="00EE4502" w:rsidRDefault="00FD45A3">
      <w:pPr>
        <w:spacing w:line="360" w:lineRule="auto"/>
        <w:ind w:firstLine="482"/>
        <w:rPr>
          <w:sz w:val="24"/>
        </w:rPr>
      </w:pPr>
      <w:r>
        <w:rPr>
          <w:rFonts w:hint="eastAsia"/>
          <w:sz w:val="24"/>
        </w:rPr>
        <w:t>工程</w:t>
      </w:r>
      <w:r>
        <w:rPr>
          <w:sz w:val="24"/>
        </w:rPr>
        <w:t>占地范围内的空地上布设</w:t>
      </w:r>
      <w:r>
        <w:rPr>
          <w:sz w:val="24"/>
        </w:rPr>
        <w:t>7</w:t>
      </w:r>
      <w:r>
        <w:rPr>
          <w:sz w:val="24"/>
        </w:rPr>
        <w:t>个</w:t>
      </w:r>
      <w:r>
        <w:rPr>
          <w:rFonts w:hint="eastAsia"/>
          <w:sz w:val="24"/>
        </w:rPr>
        <w:t>土壤检测点</w:t>
      </w:r>
      <w:r>
        <w:rPr>
          <w:sz w:val="24"/>
        </w:rPr>
        <w:t>，其中</w:t>
      </w:r>
      <w:r>
        <w:rPr>
          <w:sz w:val="24"/>
        </w:rPr>
        <w:t>1#</w:t>
      </w:r>
      <w:r>
        <w:rPr>
          <w:sz w:val="24"/>
        </w:rPr>
        <w:t>、</w:t>
      </w:r>
      <w:r>
        <w:rPr>
          <w:sz w:val="24"/>
        </w:rPr>
        <w:t>2#</w:t>
      </w:r>
      <w:r>
        <w:rPr>
          <w:sz w:val="24"/>
        </w:rPr>
        <w:t>、</w:t>
      </w:r>
      <w:r>
        <w:rPr>
          <w:sz w:val="24"/>
        </w:rPr>
        <w:t>3#</w:t>
      </w:r>
      <w:r>
        <w:rPr>
          <w:sz w:val="24"/>
        </w:rPr>
        <w:t>、</w:t>
      </w:r>
      <w:r>
        <w:rPr>
          <w:sz w:val="24"/>
        </w:rPr>
        <w:t>4#</w:t>
      </w:r>
      <w:r>
        <w:rPr>
          <w:sz w:val="24"/>
        </w:rPr>
        <w:t>、</w:t>
      </w:r>
      <w:r>
        <w:rPr>
          <w:sz w:val="24"/>
        </w:rPr>
        <w:t>5#</w:t>
      </w:r>
      <w:r>
        <w:rPr>
          <w:sz w:val="24"/>
        </w:rPr>
        <w:t>为柱状样点；</w:t>
      </w:r>
      <w:r>
        <w:rPr>
          <w:sz w:val="24"/>
        </w:rPr>
        <w:t>6#</w:t>
      </w:r>
      <w:r>
        <w:rPr>
          <w:sz w:val="24"/>
        </w:rPr>
        <w:t>、</w:t>
      </w:r>
      <w:r>
        <w:rPr>
          <w:sz w:val="24"/>
        </w:rPr>
        <w:t>7#</w:t>
      </w:r>
      <w:r>
        <w:rPr>
          <w:sz w:val="24"/>
        </w:rPr>
        <w:t>为表层样点。</w:t>
      </w:r>
    </w:p>
    <w:p w:rsidR="00EE4502" w:rsidRDefault="00FD45A3">
      <w:pPr>
        <w:spacing w:line="360" w:lineRule="auto"/>
        <w:ind w:firstLine="482"/>
        <w:rPr>
          <w:sz w:val="24"/>
        </w:rPr>
      </w:pPr>
      <w:r>
        <w:rPr>
          <w:rFonts w:ascii="宋体" w:hAnsi="宋体" w:cs="宋体" w:hint="eastAsia"/>
          <w:sz w:val="24"/>
        </w:rPr>
        <w:t>②</w:t>
      </w:r>
      <w:r>
        <w:rPr>
          <w:sz w:val="24"/>
        </w:rPr>
        <w:t>区块占地范围外</w:t>
      </w:r>
    </w:p>
    <w:p w:rsidR="00EE4502" w:rsidRDefault="00FD45A3">
      <w:pPr>
        <w:spacing w:line="360" w:lineRule="auto"/>
        <w:ind w:firstLine="482"/>
        <w:rPr>
          <w:sz w:val="24"/>
        </w:rPr>
      </w:pPr>
      <w:r>
        <w:rPr>
          <w:rFonts w:hint="eastAsia"/>
          <w:sz w:val="24"/>
        </w:rPr>
        <w:t>工程</w:t>
      </w:r>
      <w:r>
        <w:rPr>
          <w:sz w:val="24"/>
        </w:rPr>
        <w:t>占地范围外</w:t>
      </w:r>
      <w:r>
        <w:rPr>
          <w:sz w:val="24"/>
        </w:rPr>
        <w:t>1km</w:t>
      </w:r>
      <w:r>
        <w:rPr>
          <w:sz w:val="24"/>
        </w:rPr>
        <w:t>范围内的</w:t>
      </w:r>
      <w:r>
        <w:rPr>
          <w:rFonts w:hint="eastAsia"/>
          <w:sz w:val="24"/>
        </w:rPr>
        <w:t>未利用</w:t>
      </w:r>
      <w:r>
        <w:rPr>
          <w:rFonts w:hint="eastAsia"/>
          <w:sz w:val="24"/>
        </w:rPr>
        <w:t>地</w:t>
      </w:r>
      <w:r>
        <w:rPr>
          <w:rFonts w:hint="eastAsia"/>
          <w:sz w:val="24"/>
        </w:rPr>
        <w:t>及农田共</w:t>
      </w:r>
      <w:r>
        <w:rPr>
          <w:sz w:val="24"/>
        </w:rPr>
        <w:t>布设</w:t>
      </w:r>
      <w:r>
        <w:rPr>
          <w:sz w:val="24"/>
        </w:rPr>
        <w:t>4</w:t>
      </w:r>
      <w:r>
        <w:rPr>
          <w:sz w:val="24"/>
        </w:rPr>
        <w:t>个土壤监测点，取</w:t>
      </w:r>
      <w:r>
        <w:rPr>
          <w:sz w:val="24"/>
        </w:rPr>
        <w:t>4</w:t>
      </w:r>
      <w:r>
        <w:rPr>
          <w:sz w:val="24"/>
        </w:rPr>
        <w:t>个表层样，分别为</w:t>
      </w:r>
      <w:r>
        <w:rPr>
          <w:sz w:val="24"/>
        </w:rPr>
        <w:t>8#</w:t>
      </w:r>
      <w:r>
        <w:rPr>
          <w:sz w:val="24"/>
        </w:rPr>
        <w:t>、</w:t>
      </w:r>
      <w:r>
        <w:rPr>
          <w:sz w:val="24"/>
        </w:rPr>
        <w:t>9#</w:t>
      </w:r>
      <w:r>
        <w:rPr>
          <w:sz w:val="24"/>
        </w:rPr>
        <w:t>、</w:t>
      </w:r>
      <w:r>
        <w:rPr>
          <w:sz w:val="24"/>
        </w:rPr>
        <w:t>10#</w:t>
      </w:r>
      <w:r>
        <w:rPr>
          <w:sz w:val="24"/>
        </w:rPr>
        <w:t>、</w:t>
      </w:r>
      <w:r>
        <w:rPr>
          <w:sz w:val="24"/>
        </w:rPr>
        <w:t>11#</w:t>
      </w:r>
      <w:r>
        <w:rPr>
          <w:sz w:val="24"/>
        </w:rPr>
        <w:t>。</w:t>
      </w:r>
    </w:p>
    <w:p w:rsidR="00EE4502" w:rsidRDefault="00FD45A3">
      <w:pPr>
        <w:spacing w:line="360" w:lineRule="auto"/>
        <w:ind w:firstLine="482"/>
        <w:rPr>
          <w:sz w:val="24"/>
        </w:rPr>
      </w:pPr>
      <w:r>
        <w:rPr>
          <w:sz w:val="24"/>
        </w:rPr>
        <w:t>（</w:t>
      </w:r>
      <w:r>
        <w:rPr>
          <w:sz w:val="24"/>
        </w:rPr>
        <w:t>2</w:t>
      </w:r>
      <w:r>
        <w:rPr>
          <w:sz w:val="24"/>
        </w:rPr>
        <w:t>）监测因子</w:t>
      </w:r>
    </w:p>
    <w:p w:rsidR="00EE4502" w:rsidRDefault="00FD45A3">
      <w:pPr>
        <w:spacing w:line="360" w:lineRule="auto"/>
        <w:ind w:firstLine="482"/>
        <w:rPr>
          <w:sz w:val="24"/>
        </w:rPr>
      </w:pPr>
      <w:r>
        <w:rPr>
          <w:sz w:val="24"/>
        </w:rPr>
        <w:t>土壤监测项目包括</w:t>
      </w:r>
      <w:r>
        <w:rPr>
          <w:rFonts w:hint="eastAsia"/>
          <w:sz w:val="24"/>
        </w:rPr>
        <w:t>基本因子和特征因子。</w:t>
      </w:r>
    </w:p>
    <w:p w:rsidR="00EE4502" w:rsidRDefault="00FD45A3">
      <w:pPr>
        <w:spacing w:line="360" w:lineRule="auto"/>
        <w:ind w:firstLine="482"/>
        <w:rPr>
          <w:sz w:val="24"/>
        </w:rPr>
      </w:pPr>
      <w:r>
        <w:rPr>
          <w:rFonts w:ascii="宋体" w:hAnsi="宋体" w:cs="宋体" w:hint="eastAsia"/>
          <w:sz w:val="24"/>
        </w:rPr>
        <w:t>①</w:t>
      </w:r>
      <w:r>
        <w:rPr>
          <w:sz w:val="24"/>
        </w:rPr>
        <w:t>重金属和无机物：砷、镉、铬、</w:t>
      </w:r>
      <w:r>
        <w:rPr>
          <w:rFonts w:hint="eastAsia"/>
          <w:sz w:val="24"/>
        </w:rPr>
        <w:t>六价铬、</w:t>
      </w:r>
      <w:r>
        <w:rPr>
          <w:sz w:val="24"/>
        </w:rPr>
        <w:t>铜、铅、锌、汞、镍</w:t>
      </w:r>
      <w:r>
        <w:rPr>
          <w:rFonts w:hint="eastAsia"/>
          <w:sz w:val="24"/>
        </w:rPr>
        <w:t>等</w:t>
      </w:r>
      <w:r>
        <w:rPr>
          <w:rFonts w:hint="eastAsia"/>
          <w:sz w:val="24"/>
        </w:rPr>
        <w:t>9</w:t>
      </w:r>
      <w:r>
        <w:rPr>
          <w:rFonts w:hint="eastAsia"/>
          <w:sz w:val="24"/>
        </w:rPr>
        <w:t>项</w:t>
      </w:r>
      <w:r>
        <w:rPr>
          <w:sz w:val="24"/>
        </w:rPr>
        <w:t>；</w:t>
      </w:r>
    </w:p>
    <w:p w:rsidR="00EE4502" w:rsidRDefault="00FD45A3">
      <w:pPr>
        <w:spacing w:line="360" w:lineRule="auto"/>
        <w:ind w:firstLine="482"/>
        <w:rPr>
          <w:sz w:val="24"/>
        </w:rPr>
      </w:pPr>
      <w:r>
        <w:rPr>
          <w:rFonts w:ascii="宋体" w:hAnsi="宋体" w:cs="宋体" w:hint="eastAsia"/>
          <w:sz w:val="24"/>
        </w:rPr>
        <w:t>②</w:t>
      </w:r>
      <w:r>
        <w:rPr>
          <w:rFonts w:hint="eastAsia"/>
          <w:sz w:val="24"/>
        </w:rPr>
        <w:t>挥发性有机物：四氯化碳、氯仿、氯甲烷、</w:t>
      </w:r>
      <w:r>
        <w:rPr>
          <w:rFonts w:hint="eastAsia"/>
          <w:sz w:val="24"/>
        </w:rPr>
        <w:t>1,1-</w:t>
      </w:r>
      <w:r>
        <w:rPr>
          <w:rFonts w:hint="eastAsia"/>
          <w:sz w:val="24"/>
        </w:rPr>
        <w:t>二氯乙烷、</w:t>
      </w:r>
      <w:r>
        <w:rPr>
          <w:rFonts w:hint="eastAsia"/>
          <w:sz w:val="24"/>
        </w:rPr>
        <w:t>1,2-</w:t>
      </w:r>
      <w:r>
        <w:rPr>
          <w:rFonts w:hint="eastAsia"/>
          <w:sz w:val="24"/>
        </w:rPr>
        <w:t>二氯乙烷、</w:t>
      </w:r>
      <w:r>
        <w:rPr>
          <w:rFonts w:hint="eastAsia"/>
          <w:sz w:val="24"/>
        </w:rPr>
        <w:t>1,1-</w:t>
      </w:r>
      <w:r>
        <w:rPr>
          <w:rFonts w:hint="eastAsia"/>
          <w:sz w:val="24"/>
        </w:rPr>
        <w:t>二氯乙烯、顺</w:t>
      </w:r>
      <w:r>
        <w:rPr>
          <w:rFonts w:hint="eastAsia"/>
          <w:sz w:val="24"/>
        </w:rPr>
        <w:t>-1,2-</w:t>
      </w:r>
      <w:r>
        <w:rPr>
          <w:rFonts w:hint="eastAsia"/>
          <w:sz w:val="24"/>
        </w:rPr>
        <w:t>二氯乙烯、反</w:t>
      </w:r>
      <w:r>
        <w:rPr>
          <w:rFonts w:hint="eastAsia"/>
          <w:sz w:val="24"/>
        </w:rPr>
        <w:t>-1,2-</w:t>
      </w:r>
      <w:r>
        <w:rPr>
          <w:rFonts w:hint="eastAsia"/>
          <w:sz w:val="24"/>
        </w:rPr>
        <w:t>二氯乙烯、二氯甲烷、</w:t>
      </w:r>
      <w:r>
        <w:rPr>
          <w:rFonts w:hint="eastAsia"/>
          <w:sz w:val="24"/>
        </w:rPr>
        <w:t>1</w:t>
      </w:r>
      <w:r>
        <w:rPr>
          <w:rFonts w:hint="eastAsia"/>
          <w:sz w:val="24"/>
        </w:rPr>
        <w:t>,2-</w:t>
      </w:r>
      <w:r>
        <w:rPr>
          <w:rFonts w:hint="eastAsia"/>
          <w:sz w:val="24"/>
        </w:rPr>
        <w:t>二氯丙烷、</w:t>
      </w:r>
      <w:r>
        <w:rPr>
          <w:rFonts w:hint="eastAsia"/>
          <w:sz w:val="24"/>
        </w:rPr>
        <w:t>1,1,1,2-</w:t>
      </w:r>
      <w:r>
        <w:rPr>
          <w:rFonts w:hint="eastAsia"/>
          <w:sz w:val="24"/>
        </w:rPr>
        <w:t>四氯乙烷、</w:t>
      </w:r>
      <w:r>
        <w:rPr>
          <w:rFonts w:hint="eastAsia"/>
          <w:sz w:val="24"/>
        </w:rPr>
        <w:t>1,1,2,2-</w:t>
      </w:r>
      <w:r>
        <w:rPr>
          <w:rFonts w:hint="eastAsia"/>
          <w:sz w:val="24"/>
        </w:rPr>
        <w:t>四氯乙烷、四氯乙烯、</w:t>
      </w:r>
      <w:r>
        <w:rPr>
          <w:rFonts w:hint="eastAsia"/>
          <w:sz w:val="24"/>
        </w:rPr>
        <w:t>1,1,1-</w:t>
      </w:r>
      <w:r>
        <w:rPr>
          <w:rFonts w:hint="eastAsia"/>
          <w:sz w:val="24"/>
        </w:rPr>
        <w:t>三氯乙烷、</w:t>
      </w:r>
      <w:r>
        <w:rPr>
          <w:rFonts w:hint="eastAsia"/>
          <w:sz w:val="24"/>
        </w:rPr>
        <w:t>1,1,2-</w:t>
      </w:r>
      <w:r>
        <w:rPr>
          <w:rFonts w:hint="eastAsia"/>
          <w:sz w:val="24"/>
        </w:rPr>
        <w:t>三氯乙烷、三氯乙烯、</w:t>
      </w:r>
      <w:r>
        <w:rPr>
          <w:rFonts w:hint="eastAsia"/>
          <w:sz w:val="24"/>
        </w:rPr>
        <w:t>1,2,3-</w:t>
      </w:r>
      <w:r>
        <w:rPr>
          <w:rFonts w:hint="eastAsia"/>
          <w:sz w:val="24"/>
        </w:rPr>
        <w:t>三氯丙烷、氯乙烯、苯、氯苯、</w:t>
      </w:r>
      <w:r>
        <w:rPr>
          <w:rFonts w:hint="eastAsia"/>
          <w:sz w:val="24"/>
        </w:rPr>
        <w:t>1,2-</w:t>
      </w:r>
      <w:r>
        <w:rPr>
          <w:rFonts w:hint="eastAsia"/>
          <w:sz w:val="24"/>
        </w:rPr>
        <w:t>二氯苯、</w:t>
      </w:r>
      <w:r>
        <w:rPr>
          <w:rFonts w:hint="eastAsia"/>
          <w:sz w:val="24"/>
        </w:rPr>
        <w:t>1,4-</w:t>
      </w:r>
      <w:r>
        <w:rPr>
          <w:rFonts w:hint="eastAsia"/>
          <w:sz w:val="24"/>
        </w:rPr>
        <w:t>二氯苯、乙苯、苯乙烯、甲苯、间二甲苯</w:t>
      </w:r>
      <w:r>
        <w:rPr>
          <w:rFonts w:hint="eastAsia"/>
          <w:sz w:val="24"/>
        </w:rPr>
        <w:t>+</w:t>
      </w:r>
      <w:r>
        <w:rPr>
          <w:rFonts w:hint="eastAsia"/>
          <w:sz w:val="24"/>
        </w:rPr>
        <w:t>对二甲苯、邻二甲苯等</w:t>
      </w:r>
      <w:r>
        <w:rPr>
          <w:rFonts w:hint="eastAsia"/>
          <w:sz w:val="24"/>
        </w:rPr>
        <w:t>27</w:t>
      </w:r>
      <w:r>
        <w:rPr>
          <w:rFonts w:hint="eastAsia"/>
          <w:sz w:val="24"/>
        </w:rPr>
        <w:t>项；</w:t>
      </w:r>
    </w:p>
    <w:p w:rsidR="00EE4502" w:rsidRDefault="00FD45A3">
      <w:pPr>
        <w:spacing w:line="360" w:lineRule="auto"/>
        <w:ind w:firstLine="482"/>
        <w:rPr>
          <w:sz w:val="24"/>
        </w:rPr>
      </w:pPr>
      <w:r>
        <w:rPr>
          <w:rFonts w:hint="eastAsia"/>
          <w:sz w:val="24"/>
        </w:rPr>
        <w:t>③半挥发性有机物：硝基苯、苯胺、</w:t>
      </w:r>
      <w:r>
        <w:rPr>
          <w:sz w:val="24"/>
        </w:rPr>
        <w:t>2-</w:t>
      </w:r>
      <w:r>
        <w:rPr>
          <w:rFonts w:hint="eastAsia"/>
          <w:sz w:val="24"/>
        </w:rPr>
        <w:t>氯酚、苯并</w:t>
      </w:r>
      <w:r>
        <w:rPr>
          <w:sz w:val="24"/>
        </w:rPr>
        <w:t>[a]</w:t>
      </w:r>
      <w:r>
        <w:rPr>
          <w:rFonts w:hint="eastAsia"/>
          <w:sz w:val="24"/>
        </w:rPr>
        <w:t>蒽、苯并</w:t>
      </w:r>
      <w:r>
        <w:rPr>
          <w:sz w:val="24"/>
        </w:rPr>
        <w:t>[a]</w:t>
      </w:r>
      <w:r>
        <w:rPr>
          <w:rFonts w:hint="eastAsia"/>
          <w:sz w:val="24"/>
        </w:rPr>
        <w:t>芘、苯并</w:t>
      </w:r>
      <w:r>
        <w:rPr>
          <w:sz w:val="24"/>
        </w:rPr>
        <w:t>[b]</w:t>
      </w:r>
      <w:r>
        <w:rPr>
          <w:rFonts w:hint="eastAsia"/>
          <w:sz w:val="24"/>
        </w:rPr>
        <w:t>荧蒽、苯并</w:t>
      </w:r>
      <w:r>
        <w:rPr>
          <w:sz w:val="24"/>
        </w:rPr>
        <w:t>[k]</w:t>
      </w:r>
      <w:r>
        <w:rPr>
          <w:rFonts w:hint="eastAsia"/>
          <w:sz w:val="24"/>
        </w:rPr>
        <w:t>荧蒽、䓛、二苯并</w:t>
      </w:r>
      <w:r>
        <w:rPr>
          <w:sz w:val="24"/>
        </w:rPr>
        <w:t>[a, h]</w:t>
      </w:r>
      <w:r>
        <w:rPr>
          <w:rFonts w:hint="eastAsia"/>
          <w:sz w:val="24"/>
        </w:rPr>
        <w:t>蒽、茚并</w:t>
      </w:r>
      <w:r>
        <w:rPr>
          <w:sz w:val="24"/>
        </w:rPr>
        <w:t>[1,2,3-cd]</w:t>
      </w:r>
      <w:r>
        <w:rPr>
          <w:rFonts w:hint="eastAsia"/>
          <w:sz w:val="24"/>
        </w:rPr>
        <w:t>芘、萘等</w:t>
      </w:r>
      <w:r>
        <w:rPr>
          <w:sz w:val="24"/>
        </w:rPr>
        <w:t>11</w:t>
      </w:r>
      <w:r>
        <w:rPr>
          <w:rFonts w:hint="eastAsia"/>
          <w:sz w:val="24"/>
        </w:rPr>
        <w:t>项。</w:t>
      </w:r>
    </w:p>
    <w:p w:rsidR="00EE4502" w:rsidRDefault="00FD45A3">
      <w:pPr>
        <w:spacing w:line="360" w:lineRule="auto"/>
        <w:ind w:firstLine="482"/>
        <w:rPr>
          <w:sz w:val="24"/>
        </w:rPr>
      </w:pPr>
      <w:r>
        <w:rPr>
          <w:rFonts w:ascii="宋体" w:hAnsi="宋体" w:cs="宋体" w:hint="eastAsia"/>
          <w:sz w:val="24"/>
        </w:rPr>
        <w:lastRenderedPageBreak/>
        <w:t>④</w:t>
      </w:r>
      <w:r>
        <w:rPr>
          <w:sz w:val="24"/>
        </w:rPr>
        <w:t>特征因子：</w:t>
      </w:r>
      <w:r>
        <w:rPr>
          <w:rFonts w:hint="eastAsia"/>
          <w:kern w:val="0"/>
          <w:sz w:val="24"/>
          <w:szCs w:val="22"/>
          <w:lang w:val="zh-CN"/>
        </w:rPr>
        <w:t>p</w:t>
      </w:r>
      <w:r>
        <w:rPr>
          <w:kern w:val="0"/>
          <w:sz w:val="24"/>
          <w:szCs w:val="22"/>
          <w:lang w:val="zh-CN"/>
        </w:rPr>
        <w:t>H</w:t>
      </w:r>
      <w:r>
        <w:rPr>
          <w:rFonts w:hint="eastAsia"/>
          <w:kern w:val="0"/>
          <w:sz w:val="24"/>
          <w:szCs w:val="22"/>
          <w:lang w:val="zh-CN"/>
        </w:rPr>
        <w:t>值、石油烃、盐分含量。</w:t>
      </w:r>
    </w:p>
    <w:p w:rsidR="00EE4502" w:rsidRDefault="00FD45A3">
      <w:pPr>
        <w:spacing w:line="360" w:lineRule="auto"/>
        <w:ind w:firstLine="482"/>
        <w:rPr>
          <w:sz w:val="24"/>
        </w:rPr>
      </w:pPr>
      <w:r>
        <w:rPr>
          <w:sz w:val="24"/>
        </w:rPr>
        <w:t>本次土壤环境质量现状监测布置见表</w:t>
      </w:r>
      <w:r>
        <w:rPr>
          <w:sz w:val="24"/>
        </w:rPr>
        <w:t>4-</w:t>
      </w:r>
      <w:r>
        <w:rPr>
          <w:rFonts w:hint="eastAsia"/>
          <w:sz w:val="24"/>
        </w:rPr>
        <w:t>4</w:t>
      </w:r>
      <w:r>
        <w:rPr>
          <w:sz w:val="24"/>
        </w:rPr>
        <w:t>-2</w:t>
      </w:r>
      <w:r>
        <w:rPr>
          <w:sz w:val="24"/>
        </w:rPr>
        <w:t>。</w:t>
      </w:r>
    </w:p>
    <w:p w:rsidR="00EE4502" w:rsidRDefault="00FD45A3">
      <w:pPr>
        <w:spacing w:line="360" w:lineRule="auto"/>
        <w:jc w:val="center"/>
        <w:rPr>
          <w:rFonts w:eastAsia="黑体"/>
          <w:bCs/>
          <w:lang w:val="zh-CN"/>
        </w:rPr>
      </w:pPr>
      <w:r>
        <w:rPr>
          <w:rFonts w:eastAsia="黑体"/>
          <w:bCs/>
          <w:lang w:val="zh-CN"/>
        </w:rPr>
        <w:t>表</w:t>
      </w:r>
      <w:r>
        <w:rPr>
          <w:rFonts w:eastAsia="黑体"/>
          <w:bCs/>
          <w:lang w:val="zh-CN"/>
        </w:rPr>
        <w:t>4</w:t>
      </w:r>
      <w:r>
        <w:rPr>
          <w:rFonts w:eastAsia="黑体"/>
          <w:bCs/>
        </w:rPr>
        <w:t>-</w:t>
      </w:r>
      <w:r>
        <w:rPr>
          <w:rFonts w:eastAsia="黑体" w:hint="eastAsia"/>
          <w:bCs/>
        </w:rPr>
        <w:t>4</w:t>
      </w:r>
      <w:r>
        <w:rPr>
          <w:rFonts w:eastAsia="黑体"/>
          <w:bCs/>
          <w:lang w:val="zh-CN"/>
        </w:rPr>
        <w:t>-</w:t>
      </w:r>
      <w:r>
        <w:rPr>
          <w:rFonts w:eastAsia="黑体"/>
          <w:bCs/>
        </w:rPr>
        <w:t>2</w:t>
      </w:r>
      <w:r>
        <w:rPr>
          <w:rFonts w:eastAsia="黑体"/>
          <w:bCs/>
          <w:lang w:val="zh-CN"/>
        </w:rPr>
        <w:t xml:space="preserve">  </w:t>
      </w:r>
      <w:r>
        <w:rPr>
          <w:rFonts w:eastAsia="黑体"/>
          <w:bCs/>
          <w:lang w:val="zh-CN"/>
        </w:rPr>
        <w:t>土壤监测点位一览表</w:t>
      </w:r>
    </w:p>
    <w:p w:rsidR="00EE4502" w:rsidRDefault="00EE4502">
      <w:pPr>
        <w:jc w:val="center"/>
        <w:rPr>
          <w:sz w:val="18"/>
          <w:szCs w:val="18"/>
        </w:rPr>
      </w:pPr>
    </w:p>
    <w:p w:rsidR="00EE4502" w:rsidRDefault="00FD45A3">
      <w:pPr>
        <w:spacing w:line="360" w:lineRule="auto"/>
        <w:ind w:firstLine="482"/>
        <w:rPr>
          <w:sz w:val="24"/>
        </w:rPr>
      </w:pPr>
      <w:r>
        <w:rPr>
          <w:sz w:val="24"/>
        </w:rPr>
        <w:t>（</w:t>
      </w:r>
      <w:r>
        <w:rPr>
          <w:sz w:val="24"/>
        </w:rPr>
        <w:t>3</w:t>
      </w:r>
      <w:r>
        <w:rPr>
          <w:sz w:val="24"/>
        </w:rPr>
        <w:t>）评价标准和评价方法</w:t>
      </w:r>
    </w:p>
    <w:p w:rsidR="00EE4502" w:rsidRDefault="00FD45A3">
      <w:pPr>
        <w:spacing w:line="360" w:lineRule="auto"/>
        <w:ind w:firstLine="482"/>
        <w:rPr>
          <w:sz w:val="24"/>
        </w:rPr>
      </w:pPr>
      <w:r>
        <w:rPr>
          <w:sz w:val="24"/>
        </w:rPr>
        <w:t>评价标准：区块占地范围内</w:t>
      </w:r>
      <w:r>
        <w:rPr>
          <w:rFonts w:hint="eastAsia"/>
          <w:sz w:val="24"/>
        </w:rPr>
        <w:t>及评价范围外非农用地</w:t>
      </w:r>
      <w:r>
        <w:rPr>
          <w:sz w:val="24"/>
        </w:rPr>
        <w:t>执行《土壤环境质量</w:t>
      </w:r>
      <w:r>
        <w:rPr>
          <w:rFonts w:hint="eastAsia"/>
          <w:sz w:val="24"/>
        </w:rPr>
        <w:t xml:space="preserve"> </w:t>
      </w:r>
      <w:r>
        <w:rPr>
          <w:sz w:val="24"/>
        </w:rPr>
        <w:t>建设用地土壤污染风险控制标准（试行）》（</w:t>
      </w:r>
      <w:r>
        <w:rPr>
          <w:sz w:val="24"/>
        </w:rPr>
        <w:t>GB36600-2018</w:t>
      </w:r>
      <w:r>
        <w:rPr>
          <w:sz w:val="24"/>
        </w:rPr>
        <w:t>）中表</w:t>
      </w:r>
      <w:r>
        <w:rPr>
          <w:sz w:val="24"/>
        </w:rPr>
        <w:t>1</w:t>
      </w:r>
      <w:r>
        <w:rPr>
          <w:sz w:val="24"/>
        </w:rPr>
        <w:t>、</w:t>
      </w:r>
      <w:r>
        <w:rPr>
          <w:sz w:val="24"/>
        </w:rPr>
        <w:t>2</w:t>
      </w:r>
      <w:r>
        <w:rPr>
          <w:sz w:val="24"/>
        </w:rPr>
        <w:t>第二类用地筛选值标准；占地范围外</w:t>
      </w:r>
      <w:r>
        <w:rPr>
          <w:rFonts w:hint="eastAsia"/>
          <w:sz w:val="24"/>
        </w:rPr>
        <w:t>农用地</w:t>
      </w:r>
      <w:r>
        <w:rPr>
          <w:sz w:val="24"/>
        </w:rPr>
        <w:t>执行《土壤环境质量</w:t>
      </w:r>
      <w:r>
        <w:rPr>
          <w:rFonts w:hint="eastAsia"/>
          <w:sz w:val="24"/>
        </w:rPr>
        <w:t xml:space="preserve"> </w:t>
      </w:r>
      <w:r>
        <w:rPr>
          <w:sz w:val="24"/>
        </w:rPr>
        <w:t>农用地土壤污染风险管控标准（试行）》（</w:t>
      </w:r>
      <w:r>
        <w:rPr>
          <w:sz w:val="24"/>
        </w:rPr>
        <w:t>GB15618-2018</w:t>
      </w:r>
      <w:r>
        <w:rPr>
          <w:sz w:val="24"/>
        </w:rPr>
        <w:t>）中表</w:t>
      </w:r>
      <w:r>
        <w:rPr>
          <w:sz w:val="24"/>
        </w:rPr>
        <w:t>1</w:t>
      </w:r>
      <w:r>
        <w:rPr>
          <w:sz w:val="24"/>
        </w:rPr>
        <w:t>农用地风险筛选值标准。</w:t>
      </w:r>
    </w:p>
    <w:p w:rsidR="00EE4502" w:rsidRDefault="00FD45A3">
      <w:pPr>
        <w:spacing w:line="360" w:lineRule="auto"/>
        <w:ind w:firstLine="482"/>
        <w:rPr>
          <w:sz w:val="24"/>
        </w:rPr>
      </w:pPr>
      <w:r>
        <w:rPr>
          <w:sz w:val="24"/>
        </w:rPr>
        <w:t>评价方法：采用与标准值比较法。</w:t>
      </w:r>
    </w:p>
    <w:p w:rsidR="00EE4502" w:rsidRDefault="00FD45A3">
      <w:pPr>
        <w:spacing w:line="360" w:lineRule="auto"/>
        <w:ind w:firstLine="482"/>
        <w:rPr>
          <w:sz w:val="24"/>
        </w:rPr>
      </w:pPr>
      <w:r>
        <w:rPr>
          <w:sz w:val="24"/>
        </w:rPr>
        <w:t>（</w:t>
      </w:r>
      <w:r>
        <w:rPr>
          <w:sz w:val="24"/>
        </w:rPr>
        <w:t>4</w:t>
      </w:r>
      <w:r>
        <w:rPr>
          <w:sz w:val="24"/>
        </w:rPr>
        <w:t>）监测结果与评价</w:t>
      </w:r>
    </w:p>
    <w:p w:rsidR="00EE4502" w:rsidRDefault="00FD45A3">
      <w:pPr>
        <w:spacing w:line="360" w:lineRule="auto"/>
        <w:ind w:firstLine="482"/>
        <w:rPr>
          <w:sz w:val="24"/>
        </w:rPr>
      </w:pPr>
      <w:r>
        <w:rPr>
          <w:sz w:val="24"/>
        </w:rPr>
        <w:t>具体监测及评价结果见表</w:t>
      </w:r>
      <w:r>
        <w:rPr>
          <w:sz w:val="24"/>
        </w:rPr>
        <w:t>4-</w:t>
      </w:r>
      <w:r>
        <w:rPr>
          <w:rFonts w:hint="eastAsia"/>
          <w:sz w:val="24"/>
        </w:rPr>
        <w:t>4</w:t>
      </w:r>
      <w:r>
        <w:rPr>
          <w:sz w:val="24"/>
        </w:rPr>
        <w:t>-3~4-</w:t>
      </w:r>
      <w:r>
        <w:rPr>
          <w:rFonts w:hint="eastAsia"/>
          <w:sz w:val="24"/>
        </w:rPr>
        <w:t>4</w:t>
      </w:r>
      <w:r>
        <w:rPr>
          <w:sz w:val="24"/>
        </w:rPr>
        <w:t>-5</w:t>
      </w:r>
      <w:r>
        <w:rPr>
          <w:rFonts w:hint="eastAsia"/>
          <w:sz w:val="24"/>
        </w:rPr>
        <w:t>，土体结构见表</w:t>
      </w:r>
      <w:r>
        <w:rPr>
          <w:rFonts w:hint="eastAsia"/>
          <w:sz w:val="24"/>
        </w:rPr>
        <w:t>4</w:t>
      </w:r>
      <w:r>
        <w:rPr>
          <w:sz w:val="24"/>
        </w:rPr>
        <w:t>-</w:t>
      </w:r>
      <w:r>
        <w:rPr>
          <w:rFonts w:hint="eastAsia"/>
          <w:sz w:val="24"/>
        </w:rPr>
        <w:t>4</w:t>
      </w:r>
      <w:r>
        <w:rPr>
          <w:sz w:val="24"/>
        </w:rPr>
        <w:t>-6</w:t>
      </w:r>
      <w:r>
        <w:rPr>
          <w:sz w:val="24"/>
        </w:rPr>
        <w:t>。</w:t>
      </w:r>
    </w:p>
    <w:p w:rsidR="00EE4502" w:rsidRDefault="00FD45A3">
      <w:pPr>
        <w:spacing w:line="360" w:lineRule="auto"/>
        <w:ind w:firstLine="482"/>
        <w:rPr>
          <w:sz w:val="24"/>
        </w:rPr>
      </w:pPr>
      <w:r>
        <w:rPr>
          <w:rFonts w:hint="eastAsia"/>
          <w:sz w:val="24"/>
        </w:rPr>
        <w:t>从评价结果可以看出：拟建项目占地范围内各监测点各项指标均满足《土壤环境质量</w:t>
      </w:r>
      <w:r>
        <w:rPr>
          <w:rFonts w:hint="eastAsia"/>
          <w:sz w:val="24"/>
        </w:rPr>
        <w:t xml:space="preserve"> </w:t>
      </w:r>
      <w:r>
        <w:rPr>
          <w:rFonts w:hint="eastAsia"/>
          <w:sz w:val="24"/>
        </w:rPr>
        <w:t>建设用地土壤污染风险控制标准（试行）》（</w:t>
      </w:r>
      <w:r>
        <w:rPr>
          <w:rFonts w:hint="eastAsia"/>
          <w:sz w:val="24"/>
        </w:rPr>
        <w:t>GB36600-2018</w:t>
      </w:r>
      <w:r>
        <w:rPr>
          <w:rFonts w:hint="eastAsia"/>
          <w:sz w:val="24"/>
        </w:rPr>
        <w:t>）中第二类用地筛选值标准；拟建项目占地范围外监测点各项指标均满足《土壤环境质量</w:t>
      </w:r>
      <w:r>
        <w:rPr>
          <w:rFonts w:hint="eastAsia"/>
          <w:sz w:val="24"/>
        </w:rPr>
        <w:t xml:space="preserve"> </w:t>
      </w:r>
      <w:r>
        <w:rPr>
          <w:rFonts w:hint="eastAsia"/>
          <w:sz w:val="24"/>
        </w:rPr>
        <w:t>农用地土壤污染风险管控标准（试行）》（</w:t>
      </w:r>
      <w:r>
        <w:rPr>
          <w:rFonts w:hint="eastAsia"/>
          <w:sz w:val="24"/>
        </w:rPr>
        <w:t>GB15618-2018</w:t>
      </w:r>
      <w:r>
        <w:rPr>
          <w:rFonts w:hint="eastAsia"/>
          <w:sz w:val="24"/>
        </w:rPr>
        <w:t>）中表</w:t>
      </w:r>
      <w:r>
        <w:rPr>
          <w:rFonts w:hint="eastAsia"/>
          <w:sz w:val="24"/>
        </w:rPr>
        <w:t>1</w:t>
      </w:r>
      <w:r>
        <w:rPr>
          <w:rFonts w:hint="eastAsia"/>
          <w:sz w:val="24"/>
        </w:rPr>
        <w:t>农用地风险筛选值标准</w:t>
      </w:r>
      <w:r>
        <w:rPr>
          <w:sz w:val="24"/>
        </w:rPr>
        <w:t>。</w:t>
      </w:r>
    </w:p>
    <w:p w:rsidR="00EE4502" w:rsidRDefault="00FD45A3">
      <w:pPr>
        <w:pStyle w:val="22"/>
        <w:numPr>
          <w:ilvl w:val="1"/>
          <w:numId w:val="30"/>
        </w:numPr>
        <w:rPr>
          <w:spacing w:val="0"/>
          <w:w w:val="100"/>
        </w:rPr>
      </w:pPr>
      <w:bookmarkStart w:id="205" w:name="_Toc10978"/>
      <w:r>
        <w:rPr>
          <w:spacing w:val="0"/>
          <w:w w:val="100"/>
        </w:rPr>
        <w:t>环境空气质量现状调查与评价</w:t>
      </w:r>
      <w:bookmarkEnd w:id="205"/>
    </w:p>
    <w:p w:rsidR="00EE4502" w:rsidRDefault="00FD45A3">
      <w:pPr>
        <w:pStyle w:val="33"/>
        <w:numPr>
          <w:ilvl w:val="2"/>
          <w:numId w:val="30"/>
        </w:numPr>
        <w:spacing w:line="360" w:lineRule="auto"/>
        <w:ind w:left="0" w:firstLine="0"/>
        <w:rPr>
          <w:spacing w:val="0"/>
          <w:sz w:val="24"/>
          <w:szCs w:val="24"/>
        </w:rPr>
      </w:pPr>
      <w:r>
        <w:rPr>
          <w:spacing w:val="0"/>
          <w:sz w:val="24"/>
          <w:szCs w:val="24"/>
        </w:rPr>
        <w:t>环境空气质量达标区判定</w:t>
      </w:r>
    </w:p>
    <w:p w:rsidR="00EE4502" w:rsidRDefault="00FD45A3">
      <w:pPr>
        <w:keepNext/>
        <w:keepLines/>
        <w:numPr>
          <w:ilvl w:val="3"/>
          <w:numId w:val="30"/>
        </w:numPr>
        <w:spacing w:line="360" w:lineRule="auto"/>
        <w:outlineLvl w:val="3"/>
        <w:rPr>
          <w:sz w:val="24"/>
        </w:rPr>
      </w:pPr>
      <w:r>
        <w:rPr>
          <w:rFonts w:hint="eastAsia"/>
          <w:sz w:val="24"/>
        </w:rPr>
        <w:t>区域大气环境质量达标判定</w:t>
      </w:r>
    </w:p>
    <w:p w:rsidR="00EE4502" w:rsidRDefault="00FD45A3">
      <w:pPr>
        <w:spacing w:line="360" w:lineRule="auto"/>
        <w:ind w:firstLineChars="200" w:firstLine="480"/>
        <w:rPr>
          <w:sz w:val="24"/>
        </w:rPr>
      </w:pPr>
      <w:r>
        <w:rPr>
          <w:rFonts w:hint="eastAsia"/>
          <w:sz w:val="24"/>
        </w:rPr>
        <w:t>本工程位于克拉玛依市及第七师胡杨河市，根据《环境影响评价技术导则</w:t>
      </w:r>
      <w:r>
        <w:rPr>
          <w:rFonts w:hint="eastAsia"/>
          <w:sz w:val="24"/>
        </w:rPr>
        <w:t xml:space="preserve"> </w:t>
      </w:r>
      <w:r>
        <w:rPr>
          <w:rFonts w:hint="eastAsia"/>
          <w:sz w:val="24"/>
        </w:rPr>
        <w:t>大气环境》（</w:t>
      </w:r>
      <w:r>
        <w:rPr>
          <w:rFonts w:hint="eastAsia"/>
          <w:sz w:val="24"/>
        </w:rPr>
        <w:t>H.J2.2-2018</w:t>
      </w:r>
      <w:r>
        <w:rPr>
          <w:rFonts w:hint="eastAsia"/>
          <w:sz w:val="24"/>
        </w:rPr>
        <w:t>）中</w:t>
      </w:r>
      <w:r>
        <w:rPr>
          <w:rFonts w:hint="eastAsia"/>
          <w:sz w:val="24"/>
        </w:rPr>
        <w:t>6.2.1.1</w:t>
      </w:r>
      <w:r>
        <w:rPr>
          <w:rFonts w:hint="eastAsia"/>
          <w:sz w:val="24"/>
        </w:rPr>
        <w:t>要求，项目所在区域达标判定，优先采用国家或地方生态环境主管部门公开发布的评价基准年环境质量公告或环境质量报告中的数据或结论。因此，本评价采用生态环境部环境项目评估中心在环境空气质量模型技术支持服务系统公布的</w:t>
      </w:r>
      <w:r>
        <w:rPr>
          <w:rFonts w:hint="eastAsia"/>
          <w:sz w:val="24"/>
        </w:rPr>
        <w:t>2023</w:t>
      </w:r>
      <w:r>
        <w:rPr>
          <w:rFonts w:hint="eastAsia"/>
          <w:sz w:val="24"/>
        </w:rPr>
        <w:t>年对外服务平台中达标区判定数据。根据该数据平台，距离本项目最近的国控点位于克拉玛依市，此国控点与本项目地理位置邻近，所在区域地形、气候条件与本项目所在区域相近，数据具有代表性和有效性。国控点数据及环境空气质量达标区判定详见表</w:t>
      </w:r>
      <w:r>
        <w:rPr>
          <w:sz w:val="24"/>
        </w:rPr>
        <w:t>4-</w:t>
      </w:r>
      <w:r>
        <w:rPr>
          <w:rFonts w:hint="eastAsia"/>
          <w:sz w:val="24"/>
        </w:rPr>
        <w:t>5</w:t>
      </w:r>
      <w:r>
        <w:rPr>
          <w:sz w:val="24"/>
        </w:rPr>
        <w:t>-1</w:t>
      </w:r>
      <w:r>
        <w:rPr>
          <w:sz w:val="24"/>
        </w:rPr>
        <w:t>。</w:t>
      </w:r>
    </w:p>
    <w:p w:rsidR="00EE4502" w:rsidRDefault="00FD45A3">
      <w:pPr>
        <w:spacing w:line="360" w:lineRule="auto"/>
        <w:jc w:val="center"/>
        <w:rPr>
          <w:rFonts w:eastAsia="黑体"/>
          <w:bCs/>
          <w:lang w:val="zh-CN"/>
        </w:rPr>
      </w:pPr>
      <w:r>
        <w:rPr>
          <w:rFonts w:eastAsia="黑体"/>
          <w:bCs/>
          <w:lang w:val="zh-CN"/>
        </w:rPr>
        <w:t>表</w:t>
      </w:r>
      <w:r>
        <w:rPr>
          <w:rFonts w:eastAsia="黑体"/>
          <w:bCs/>
          <w:lang w:val="zh-CN"/>
        </w:rPr>
        <w:t>4</w:t>
      </w:r>
      <w:r>
        <w:rPr>
          <w:rFonts w:eastAsia="黑体"/>
          <w:bCs/>
        </w:rPr>
        <w:t>-</w:t>
      </w:r>
      <w:r>
        <w:rPr>
          <w:rFonts w:eastAsia="黑体" w:hint="eastAsia"/>
          <w:bCs/>
        </w:rPr>
        <w:t>5</w:t>
      </w:r>
      <w:r>
        <w:rPr>
          <w:rFonts w:eastAsia="黑体"/>
          <w:bCs/>
          <w:lang w:val="zh-CN"/>
        </w:rPr>
        <w:t xml:space="preserve">-1  </w:t>
      </w:r>
      <w:r>
        <w:rPr>
          <w:rFonts w:eastAsia="黑体"/>
          <w:bCs/>
          <w:lang w:val="zh-CN"/>
        </w:rPr>
        <w:t>区域空气质量现状评价表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2512"/>
        <w:gridCol w:w="1277"/>
        <w:gridCol w:w="1356"/>
        <w:gridCol w:w="1287"/>
        <w:gridCol w:w="901"/>
      </w:tblGrid>
      <w:tr w:rsidR="00EE4502">
        <w:trPr>
          <w:trHeight w:val="454"/>
        </w:trPr>
        <w:tc>
          <w:tcPr>
            <w:tcW w:w="967" w:type="dxa"/>
            <w:vAlign w:val="center"/>
          </w:tcPr>
          <w:p w:rsidR="00EE4502" w:rsidRDefault="00FD45A3">
            <w:pPr>
              <w:adjustRightInd w:val="0"/>
              <w:snapToGrid w:val="0"/>
              <w:spacing w:line="240" w:lineRule="atLeast"/>
              <w:jc w:val="center"/>
              <w:rPr>
                <w:szCs w:val="21"/>
              </w:rPr>
            </w:pPr>
            <w:r>
              <w:rPr>
                <w:szCs w:val="21"/>
              </w:rPr>
              <w:t>监测因子</w:t>
            </w:r>
          </w:p>
        </w:tc>
        <w:tc>
          <w:tcPr>
            <w:tcW w:w="2512" w:type="dxa"/>
            <w:vAlign w:val="center"/>
          </w:tcPr>
          <w:p w:rsidR="00EE4502" w:rsidRDefault="00FD45A3">
            <w:pPr>
              <w:adjustRightInd w:val="0"/>
              <w:snapToGrid w:val="0"/>
              <w:spacing w:line="240" w:lineRule="atLeast"/>
              <w:jc w:val="center"/>
              <w:rPr>
                <w:szCs w:val="21"/>
              </w:rPr>
            </w:pPr>
            <w:r>
              <w:rPr>
                <w:szCs w:val="21"/>
              </w:rPr>
              <w:t>年评价指标</w:t>
            </w:r>
          </w:p>
        </w:tc>
        <w:tc>
          <w:tcPr>
            <w:tcW w:w="1277" w:type="dxa"/>
            <w:vAlign w:val="center"/>
          </w:tcPr>
          <w:p w:rsidR="00EE4502" w:rsidRDefault="00FD45A3">
            <w:pPr>
              <w:adjustRightInd w:val="0"/>
              <w:snapToGrid w:val="0"/>
              <w:spacing w:line="240" w:lineRule="atLeast"/>
              <w:jc w:val="center"/>
              <w:rPr>
                <w:szCs w:val="21"/>
              </w:rPr>
            </w:pPr>
            <w:r>
              <w:rPr>
                <w:szCs w:val="21"/>
              </w:rPr>
              <w:t>现状浓度</w:t>
            </w:r>
          </w:p>
          <w:p w:rsidR="00EE4502" w:rsidRDefault="00FD45A3">
            <w:pPr>
              <w:adjustRightInd w:val="0"/>
              <w:snapToGrid w:val="0"/>
              <w:spacing w:line="240" w:lineRule="atLeast"/>
              <w:jc w:val="center"/>
              <w:rPr>
                <w:szCs w:val="21"/>
              </w:rPr>
            </w:pPr>
            <w:r>
              <w:rPr>
                <w:szCs w:val="21"/>
              </w:rPr>
              <w:t>（</w:t>
            </w:r>
            <w:r>
              <w:rPr>
                <w:szCs w:val="21"/>
              </w:rPr>
              <w:t>μg/m</w:t>
            </w:r>
            <w:r>
              <w:rPr>
                <w:szCs w:val="21"/>
                <w:vertAlign w:val="superscript"/>
              </w:rPr>
              <w:t>3</w:t>
            </w:r>
            <w:r>
              <w:rPr>
                <w:rFonts w:hint="eastAsia"/>
                <w:szCs w:val="21"/>
                <w:vertAlign w:val="superscript"/>
              </w:rPr>
              <w:t>)</w:t>
            </w:r>
          </w:p>
        </w:tc>
        <w:tc>
          <w:tcPr>
            <w:tcW w:w="1356" w:type="dxa"/>
            <w:vAlign w:val="center"/>
          </w:tcPr>
          <w:p w:rsidR="00EE4502" w:rsidRDefault="00FD45A3">
            <w:pPr>
              <w:adjustRightInd w:val="0"/>
              <w:snapToGrid w:val="0"/>
              <w:spacing w:line="240" w:lineRule="atLeast"/>
              <w:jc w:val="center"/>
              <w:rPr>
                <w:szCs w:val="21"/>
              </w:rPr>
            </w:pPr>
            <w:r>
              <w:rPr>
                <w:szCs w:val="21"/>
              </w:rPr>
              <w:t>标准值</w:t>
            </w:r>
          </w:p>
          <w:p w:rsidR="00EE4502" w:rsidRDefault="00FD45A3">
            <w:pPr>
              <w:adjustRightInd w:val="0"/>
              <w:snapToGrid w:val="0"/>
              <w:spacing w:line="240" w:lineRule="atLeast"/>
              <w:jc w:val="center"/>
              <w:rPr>
                <w:szCs w:val="21"/>
              </w:rPr>
            </w:pPr>
            <w:r>
              <w:rPr>
                <w:szCs w:val="21"/>
              </w:rPr>
              <w:t>（</w:t>
            </w:r>
            <w:r>
              <w:rPr>
                <w:szCs w:val="21"/>
              </w:rPr>
              <w:t>μg/m</w:t>
            </w:r>
            <w:r>
              <w:rPr>
                <w:szCs w:val="21"/>
                <w:vertAlign w:val="superscript"/>
              </w:rPr>
              <w:t>3</w:t>
            </w:r>
            <w:r>
              <w:rPr>
                <w:rFonts w:hint="eastAsia"/>
                <w:szCs w:val="21"/>
                <w:vertAlign w:val="superscript"/>
              </w:rPr>
              <w:t>)</w:t>
            </w:r>
          </w:p>
        </w:tc>
        <w:tc>
          <w:tcPr>
            <w:tcW w:w="1287" w:type="dxa"/>
            <w:vAlign w:val="center"/>
          </w:tcPr>
          <w:p w:rsidR="00EE4502" w:rsidRDefault="00FD45A3">
            <w:pPr>
              <w:adjustRightInd w:val="0"/>
              <w:snapToGrid w:val="0"/>
              <w:spacing w:line="240" w:lineRule="atLeast"/>
              <w:jc w:val="center"/>
              <w:rPr>
                <w:szCs w:val="21"/>
              </w:rPr>
            </w:pPr>
            <w:r>
              <w:rPr>
                <w:szCs w:val="21"/>
              </w:rPr>
              <w:t>占标率（</w:t>
            </w:r>
            <w:r>
              <w:rPr>
                <w:szCs w:val="21"/>
              </w:rPr>
              <w:t>%</w:t>
            </w:r>
            <w:r>
              <w:rPr>
                <w:szCs w:val="21"/>
              </w:rPr>
              <w:t>）</w:t>
            </w:r>
          </w:p>
        </w:tc>
        <w:tc>
          <w:tcPr>
            <w:tcW w:w="901" w:type="dxa"/>
            <w:vAlign w:val="center"/>
          </w:tcPr>
          <w:p w:rsidR="00EE4502" w:rsidRDefault="00FD45A3">
            <w:pPr>
              <w:adjustRightInd w:val="0"/>
              <w:snapToGrid w:val="0"/>
              <w:spacing w:line="240" w:lineRule="atLeast"/>
              <w:jc w:val="center"/>
              <w:rPr>
                <w:szCs w:val="21"/>
              </w:rPr>
            </w:pPr>
            <w:r>
              <w:rPr>
                <w:szCs w:val="21"/>
              </w:rPr>
              <w:t>达标情况</w:t>
            </w:r>
          </w:p>
        </w:tc>
      </w:tr>
      <w:tr w:rsidR="00EE4502">
        <w:trPr>
          <w:trHeight w:val="454"/>
        </w:trPr>
        <w:tc>
          <w:tcPr>
            <w:tcW w:w="967" w:type="dxa"/>
            <w:vAlign w:val="center"/>
          </w:tcPr>
          <w:p w:rsidR="00EE4502" w:rsidRDefault="00FD45A3">
            <w:pPr>
              <w:adjustRightInd w:val="0"/>
              <w:snapToGrid w:val="0"/>
              <w:spacing w:line="240" w:lineRule="atLeast"/>
              <w:jc w:val="center"/>
              <w:rPr>
                <w:szCs w:val="21"/>
              </w:rPr>
            </w:pPr>
            <w:r>
              <w:rPr>
                <w:szCs w:val="21"/>
              </w:rPr>
              <w:lastRenderedPageBreak/>
              <w:t>SO</w:t>
            </w:r>
            <w:r>
              <w:rPr>
                <w:szCs w:val="21"/>
                <w:vertAlign w:val="subscript"/>
              </w:rPr>
              <w:t>2</w:t>
            </w:r>
          </w:p>
        </w:tc>
        <w:tc>
          <w:tcPr>
            <w:tcW w:w="2512" w:type="dxa"/>
            <w:vAlign w:val="center"/>
          </w:tcPr>
          <w:p w:rsidR="00EE4502" w:rsidRDefault="00FD45A3">
            <w:pPr>
              <w:adjustRightInd w:val="0"/>
              <w:snapToGrid w:val="0"/>
              <w:spacing w:line="240" w:lineRule="atLeast"/>
              <w:jc w:val="center"/>
              <w:rPr>
                <w:szCs w:val="21"/>
              </w:rPr>
            </w:pPr>
            <w:r>
              <w:rPr>
                <w:szCs w:val="21"/>
              </w:rPr>
              <w:t>年平均值</w:t>
            </w:r>
          </w:p>
        </w:tc>
        <w:tc>
          <w:tcPr>
            <w:tcW w:w="1277" w:type="dxa"/>
            <w:vAlign w:val="center"/>
          </w:tcPr>
          <w:p w:rsidR="00EE4502" w:rsidRDefault="00FD45A3">
            <w:pPr>
              <w:adjustRightInd w:val="0"/>
              <w:snapToGrid w:val="0"/>
              <w:spacing w:line="240" w:lineRule="atLeast"/>
              <w:jc w:val="center"/>
              <w:rPr>
                <w:szCs w:val="21"/>
              </w:rPr>
            </w:pPr>
            <w:r>
              <w:rPr>
                <w:rFonts w:hint="eastAsia"/>
                <w:szCs w:val="21"/>
              </w:rPr>
              <w:t>7</w:t>
            </w:r>
          </w:p>
        </w:tc>
        <w:tc>
          <w:tcPr>
            <w:tcW w:w="1356" w:type="dxa"/>
            <w:vAlign w:val="center"/>
          </w:tcPr>
          <w:p w:rsidR="00EE4502" w:rsidRDefault="00FD45A3">
            <w:pPr>
              <w:adjustRightInd w:val="0"/>
              <w:snapToGrid w:val="0"/>
              <w:spacing w:line="240" w:lineRule="atLeast"/>
              <w:jc w:val="center"/>
              <w:rPr>
                <w:szCs w:val="21"/>
              </w:rPr>
            </w:pPr>
            <w:r>
              <w:rPr>
                <w:szCs w:val="21"/>
              </w:rPr>
              <w:t>60</w:t>
            </w:r>
          </w:p>
        </w:tc>
        <w:tc>
          <w:tcPr>
            <w:tcW w:w="1287" w:type="dxa"/>
            <w:vAlign w:val="center"/>
          </w:tcPr>
          <w:p w:rsidR="00EE4502" w:rsidRDefault="00FD45A3">
            <w:pPr>
              <w:adjustRightInd w:val="0"/>
              <w:snapToGrid w:val="0"/>
              <w:spacing w:line="240" w:lineRule="atLeast"/>
              <w:jc w:val="center"/>
              <w:rPr>
                <w:szCs w:val="21"/>
              </w:rPr>
            </w:pPr>
            <w:r>
              <w:rPr>
                <w:rFonts w:hint="eastAsia"/>
                <w:szCs w:val="21"/>
              </w:rPr>
              <w:t>12</w:t>
            </w:r>
          </w:p>
        </w:tc>
        <w:tc>
          <w:tcPr>
            <w:tcW w:w="901" w:type="dxa"/>
            <w:vAlign w:val="center"/>
          </w:tcPr>
          <w:p w:rsidR="00EE4502" w:rsidRDefault="00FD45A3">
            <w:pPr>
              <w:adjustRightInd w:val="0"/>
              <w:snapToGrid w:val="0"/>
              <w:spacing w:line="240" w:lineRule="atLeast"/>
              <w:jc w:val="center"/>
              <w:rPr>
                <w:szCs w:val="21"/>
              </w:rPr>
            </w:pPr>
            <w:r>
              <w:rPr>
                <w:szCs w:val="21"/>
              </w:rPr>
              <w:t>达标</w:t>
            </w:r>
          </w:p>
        </w:tc>
      </w:tr>
      <w:tr w:rsidR="00EE4502">
        <w:trPr>
          <w:trHeight w:val="454"/>
        </w:trPr>
        <w:tc>
          <w:tcPr>
            <w:tcW w:w="967" w:type="dxa"/>
            <w:vAlign w:val="center"/>
          </w:tcPr>
          <w:p w:rsidR="00EE4502" w:rsidRDefault="00FD45A3">
            <w:pPr>
              <w:adjustRightInd w:val="0"/>
              <w:snapToGrid w:val="0"/>
              <w:spacing w:line="240" w:lineRule="atLeast"/>
              <w:jc w:val="center"/>
              <w:rPr>
                <w:szCs w:val="21"/>
              </w:rPr>
            </w:pPr>
            <w:r>
              <w:rPr>
                <w:szCs w:val="21"/>
              </w:rPr>
              <w:t>NO</w:t>
            </w:r>
            <w:r>
              <w:rPr>
                <w:szCs w:val="21"/>
                <w:vertAlign w:val="subscript"/>
              </w:rPr>
              <w:t>2</w:t>
            </w:r>
          </w:p>
        </w:tc>
        <w:tc>
          <w:tcPr>
            <w:tcW w:w="2512" w:type="dxa"/>
            <w:vAlign w:val="center"/>
          </w:tcPr>
          <w:p w:rsidR="00EE4502" w:rsidRDefault="00FD45A3">
            <w:pPr>
              <w:adjustRightInd w:val="0"/>
              <w:snapToGrid w:val="0"/>
              <w:spacing w:line="240" w:lineRule="atLeast"/>
              <w:jc w:val="center"/>
              <w:rPr>
                <w:szCs w:val="21"/>
              </w:rPr>
            </w:pPr>
            <w:r>
              <w:rPr>
                <w:szCs w:val="21"/>
              </w:rPr>
              <w:t>年平均值</w:t>
            </w:r>
          </w:p>
        </w:tc>
        <w:tc>
          <w:tcPr>
            <w:tcW w:w="1277" w:type="dxa"/>
            <w:vAlign w:val="center"/>
          </w:tcPr>
          <w:p w:rsidR="00EE4502" w:rsidRDefault="00FD45A3">
            <w:pPr>
              <w:adjustRightInd w:val="0"/>
              <w:snapToGrid w:val="0"/>
              <w:spacing w:line="240" w:lineRule="atLeast"/>
              <w:jc w:val="center"/>
              <w:rPr>
                <w:szCs w:val="21"/>
              </w:rPr>
            </w:pPr>
            <w:r>
              <w:rPr>
                <w:rFonts w:hint="eastAsia"/>
                <w:szCs w:val="21"/>
              </w:rPr>
              <w:t>28</w:t>
            </w:r>
          </w:p>
        </w:tc>
        <w:tc>
          <w:tcPr>
            <w:tcW w:w="1356" w:type="dxa"/>
            <w:vAlign w:val="center"/>
          </w:tcPr>
          <w:p w:rsidR="00EE4502" w:rsidRDefault="00FD45A3">
            <w:pPr>
              <w:adjustRightInd w:val="0"/>
              <w:snapToGrid w:val="0"/>
              <w:spacing w:line="240" w:lineRule="atLeast"/>
              <w:jc w:val="center"/>
              <w:rPr>
                <w:szCs w:val="21"/>
              </w:rPr>
            </w:pPr>
            <w:r>
              <w:rPr>
                <w:szCs w:val="21"/>
              </w:rPr>
              <w:t>40</w:t>
            </w:r>
          </w:p>
        </w:tc>
        <w:tc>
          <w:tcPr>
            <w:tcW w:w="1287" w:type="dxa"/>
            <w:vAlign w:val="center"/>
          </w:tcPr>
          <w:p w:rsidR="00EE4502" w:rsidRDefault="00FD45A3">
            <w:pPr>
              <w:adjustRightInd w:val="0"/>
              <w:snapToGrid w:val="0"/>
              <w:spacing w:line="240" w:lineRule="atLeast"/>
              <w:jc w:val="center"/>
              <w:rPr>
                <w:szCs w:val="21"/>
              </w:rPr>
            </w:pPr>
            <w:r>
              <w:rPr>
                <w:rFonts w:hint="eastAsia"/>
                <w:szCs w:val="21"/>
              </w:rPr>
              <w:t>70</w:t>
            </w:r>
          </w:p>
        </w:tc>
        <w:tc>
          <w:tcPr>
            <w:tcW w:w="901" w:type="dxa"/>
            <w:vAlign w:val="center"/>
          </w:tcPr>
          <w:p w:rsidR="00EE4502" w:rsidRDefault="00FD45A3">
            <w:pPr>
              <w:adjustRightInd w:val="0"/>
              <w:snapToGrid w:val="0"/>
              <w:spacing w:line="240" w:lineRule="atLeast"/>
              <w:jc w:val="center"/>
              <w:rPr>
                <w:szCs w:val="21"/>
              </w:rPr>
            </w:pPr>
            <w:r>
              <w:rPr>
                <w:szCs w:val="21"/>
              </w:rPr>
              <w:t>达标</w:t>
            </w:r>
          </w:p>
        </w:tc>
      </w:tr>
      <w:tr w:rsidR="00EE4502">
        <w:trPr>
          <w:trHeight w:val="454"/>
        </w:trPr>
        <w:tc>
          <w:tcPr>
            <w:tcW w:w="967" w:type="dxa"/>
            <w:vAlign w:val="center"/>
          </w:tcPr>
          <w:p w:rsidR="00EE4502" w:rsidRDefault="00FD45A3">
            <w:pPr>
              <w:adjustRightInd w:val="0"/>
              <w:snapToGrid w:val="0"/>
              <w:spacing w:line="240" w:lineRule="atLeast"/>
              <w:jc w:val="center"/>
              <w:rPr>
                <w:szCs w:val="21"/>
              </w:rPr>
            </w:pPr>
            <w:r>
              <w:rPr>
                <w:szCs w:val="21"/>
              </w:rPr>
              <w:t>PM</w:t>
            </w:r>
            <w:r>
              <w:rPr>
                <w:szCs w:val="21"/>
                <w:vertAlign w:val="subscript"/>
              </w:rPr>
              <w:t>10</w:t>
            </w:r>
          </w:p>
        </w:tc>
        <w:tc>
          <w:tcPr>
            <w:tcW w:w="2512" w:type="dxa"/>
            <w:vAlign w:val="center"/>
          </w:tcPr>
          <w:p w:rsidR="00EE4502" w:rsidRDefault="00FD45A3">
            <w:pPr>
              <w:adjustRightInd w:val="0"/>
              <w:snapToGrid w:val="0"/>
              <w:spacing w:line="240" w:lineRule="atLeast"/>
              <w:jc w:val="center"/>
              <w:rPr>
                <w:szCs w:val="21"/>
              </w:rPr>
            </w:pPr>
            <w:r>
              <w:rPr>
                <w:szCs w:val="21"/>
              </w:rPr>
              <w:t>年平均值</w:t>
            </w:r>
          </w:p>
        </w:tc>
        <w:tc>
          <w:tcPr>
            <w:tcW w:w="1277" w:type="dxa"/>
            <w:vAlign w:val="center"/>
          </w:tcPr>
          <w:p w:rsidR="00EE4502" w:rsidRDefault="00FD45A3">
            <w:pPr>
              <w:adjustRightInd w:val="0"/>
              <w:snapToGrid w:val="0"/>
              <w:spacing w:line="240" w:lineRule="atLeast"/>
              <w:jc w:val="center"/>
              <w:rPr>
                <w:szCs w:val="21"/>
              </w:rPr>
            </w:pPr>
            <w:r>
              <w:rPr>
                <w:rFonts w:hint="eastAsia"/>
                <w:szCs w:val="21"/>
              </w:rPr>
              <w:t>43</w:t>
            </w:r>
          </w:p>
        </w:tc>
        <w:tc>
          <w:tcPr>
            <w:tcW w:w="1356" w:type="dxa"/>
            <w:vAlign w:val="center"/>
          </w:tcPr>
          <w:p w:rsidR="00EE4502" w:rsidRDefault="00FD45A3">
            <w:pPr>
              <w:adjustRightInd w:val="0"/>
              <w:snapToGrid w:val="0"/>
              <w:spacing w:line="240" w:lineRule="atLeast"/>
              <w:jc w:val="center"/>
              <w:rPr>
                <w:szCs w:val="21"/>
              </w:rPr>
            </w:pPr>
            <w:r>
              <w:rPr>
                <w:szCs w:val="21"/>
              </w:rPr>
              <w:t>70</w:t>
            </w:r>
          </w:p>
        </w:tc>
        <w:tc>
          <w:tcPr>
            <w:tcW w:w="1287" w:type="dxa"/>
            <w:vAlign w:val="center"/>
          </w:tcPr>
          <w:p w:rsidR="00EE4502" w:rsidRDefault="00FD45A3">
            <w:pPr>
              <w:adjustRightInd w:val="0"/>
              <w:snapToGrid w:val="0"/>
              <w:spacing w:line="240" w:lineRule="atLeast"/>
              <w:jc w:val="center"/>
              <w:rPr>
                <w:szCs w:val="21"/>
              </w:rPr>
            </w:pPr>
            <w:r>
              <w:rPr>
                <w:rFonts w:hint="eastAsia"/>
                <w:szCs w:val="21"/>
              </w:rPr>
              <w:t>62</w:t>
            </w:r>
          </w:p>
        </w:tc>
        <w:tc>
          <w:tcPr>
            <w:tcW w:w="901" w:type="dxa"/>
            <w:vAlign w:val="center"/>
          </w:tcPr>
          <w:p w:rsidR="00EE4502" w:rsidRDefault="00FD45A3">
            <w:pPr>
              <w:adjustRightInd w:val="0"/>
              <w:snapToGrid w:val="0"/>
              <w:spacing w:line="240" w:lineRule="atLeast"/>
              <w:jc w:val="center"/>
              <w:rPr>
                <w:szCs w:val="21"/>
              </w:rPr>
            </w:pPr>
            <w:r>
              <w:rPr>
                <w:rFonts w:hint="eastAsia"/>
                <w:szCs w:val="21"/>
              </w:rPr>
              <w:t>达标</w:t>
            </w:r>
          </w:p>
        </w:tc>
      </w:tr>
      <w:tr w:rsidR="00EE4502">
        <w:trPr>
          <w:trHeight w:val="454"/>
        </w:trPr>
        <w:tc>
          <w:tcPr>
            <w:tcW w:w="967" w:type="dxa"/>
            <w:vAlign w:val="center"/>
          </w:tcPr>
          <w:p w:rsidR="00EE4502" w:rsidRDefault="00FD45A3">
            <w:pPr>
              <w:adjustRightInd w:val="0"/>
              <w:snapToGrid w:val="0"/>
              <w:spacing w:line="240" w:lineRule="atLeast"/>
              <w:jc w:val="center"/>
              <w:rPr>
                <w:szCs w:val="21"/>
              </w:rPr>
            </w:pPr>
            <w:r>
              <w:rPr>
                <w:szCs w:val="21"/>
              </w:rPr>
              <w:t>PM</w:t>
            </w:r>
            <w:r>
              <w:rPr>
                <w:szCs w:val="21"/>
                <w:vertAlign w:val="subscript"/>
              </w:rPr>
              <w:t>2.5</w:t>
            </w:r>
          </w:p>
        </w:tc>
        <w:tc>
          <w:tcPr>
            <w:tcW w:w="2512" w:type="dxa"/>
            <w:vAlign w:val="center"/>
          </w:tcPr>
          <w:p w:rsidR="00EE4502" w:rsidRDefault="00FD45A3">
            <w:pPr>
              <w:adjustRightInd w:val="0"/>
              <w:snapToGrid w:val="0"/>
              <w:spacing w:line="240" w:lineRule="atLeast"/>
              <w:jc w:val="center"/>
              <w:rPr>
                <w:szCs w:val="21"/>
              </w:rPr>
            </w:pPr>
            <w:r>
              <w:rPr>
                <w:szCs w:val="21"/>
              </w:rPr>
              <w:t>年平均值</w:t>
            </w:r>
          </w:p>
        </w:tc>
        <w:tc>
          <w:tcPr>
            <w:tcW w:w="1277" w:type="dxa"/>
            <w:vAlign w:val="center"/>
          </w:tcPr>
          <w:p w:rsidR="00EE4502" w:rsidRDefault="00FD45A3">
            <w:pPr>
              <w:adjustRightInd w:val="0"/>
              <w:snapToGrid w:val="0"/>
              <w:spacing w:line="240" w:lineRule="atLeast"/>
              <w:jc w:val="center"/>
              <w:rPr>
                <w:szCs w:val="21"/>
              </w:rPr>
            </w:pPr>
            <w:r>
              <w:rPr>
                <w:rFonts w:hint="eastAsia"/>
                <w:szCs w:val="21"/>
              </w:rPr>
              <w:t>22</w:t>
            </w:r>
          </w:p>
        </w:tc>
        <w:tc>
          <w:tcPr>
            <w:tcW w:w="1356" w:type="dxa"/>
            <w:vAlign w:val="center"/>
          </w:tcPr>
          <w:p w:rsidR="00EE4502" w:rsidRDefault="00FD45A3">
            <w:pPr>
              <w:adjustRightInd w:val="0"/>
              <w:snapToGrid w:val="0"/>
              <w:spacing w:line="240" w:lineRule="atLeast"/>
              <w:jc w:val="center"/>
              <w:rPr>
                <w:szCs w:val="21"/>
              </w:rPr>
            </w:pPr>
            <w:r>
              <w:rPr>
                <w:szCs w:val="21"/>
              </w:rPr>
              <w:t>35</w:t>
            </w:r>
          </w:p>
        </w:tc>
        <w:tc>
          <w:tcPr>
            <w:tcW w:w="1287" w:type="dxa"/>
            <w:vAlign w:val="center"/>
          </w:tcPr>
          <w:p w:rsidR="00EE4502" w:rsidRDefault="00FD45A3">
            <w:pPr>
              <w:adjustRightInd w:val="0"/>
              <w:snapToGrid w:val="0"/>
              <w:spacing w:line="240" w:lineRule="atLeast"/>
              <w:jc w:val="center"/>
              <w:rPr>
                <w:szCs w:val="21"/>
              </w:rPr>
            </w:pPr>
            <w:r>
              <w:rPr>
                <w:rFonts w:hint="eastAsia"/>
                <w:szCs w:val="21"/>
              </w:rPr>
              <w:t>63</w:t>
            </w:r>
          </w:p>
        </w:tc>
        <w:tc>
          <w:tcPr>
            <w:tcW w:w="901" w:type="dxa"/>
            <w:vAlign w:val="center"/>
          </w:tcPr>
          <w:p w:rsidR="00EE4502" w:rsidRDefault="00FD45A3">
            <w:pPr>
              <w:adjustRightInd w:val="0"/>
              <w:snapToGrid w:val="0"/>
              <w:spacing w:line="240" w:lineRule="atLeast"/>
              <w:jc w:val="center"/>
              <w:rPr>
                <w:szCs w:val="21"/>
              </w:rPr>
            </w:pPr>
            <w:r>
              <w:rPr>
                <w:rFonts w:hint="eastAsia"/>
                <w:szCs w:val="21"/>
              </w:rPr>
              <w:t>达标</w:t>
            </w:r>
          </w:p>
        </w:tc>
      </w:tr>
      <w:tr w:rsidR="00EE4502">
        <w:trPr>
          <w:trHeight w:val="454"/>
        </w:trPr>
        <w:tc>
          <w:tcPr>
            <w:tcW w:w="967" w:type="dxa"/>
            <w:vAlign w:val="center"/>
          </w:tcPr>
          <w:p w:rsidR="00EE4502" w:rsidRDefault="00FD45A3">
            <w:pPr>
              <w:adjustRightInd w:val="0"/>
              <w:snapToGrid w:val="0"/>
              <w:spacing w:line="240" w:lineRule="atLeast"/>
              <w:jc w:val="center"/>
              <w:rPr>
                <w:szCs w:val="21"/>
              </w:rPr>
            </w:pPr>
            <w:r>
              <w:rPr>
                <w:szCs w:val="21"/>
              </w:rPr>
              <w:t>CO</w:t>
            </w:r>
          </w:p>
        </w:tc>
        <w:tc>
          <w:tcPr>
            <w:tcW w:w="2512" w:type="dxa"/>
            <w:vAlign w:val="center"/>
          </w:tcPr>
          <w:p w:rsidR="00EE4502" w:rsidRDefault="00FD45A3">
            <w:pPr>
              <w:adjustRightInd w:val="0"/>
              <w:snapToGrid w:val="0"/>
              <w:spacing w:line="240" w:lineRule="atLeast"/>
              <w:jc w:val="center"/>
              <w:rPr>
                <w:szCs w:val="21"/>
              </w:rPr>
            </w:pPr>
            <w:r>
              <w:rPr>
                <w:szCs w:val="21"/>
              </w:rPr>
              <w:t>第</w:t>
            </w:r>
            <w:r>
              <w:rPr>
                <w:szCs w:val="21"/>
              </w:rPr>
              <w:t>95</w:t>
            </w:r>
            <w:r>
              <w:rPr>
                <w:szCs w:val="21"/>
              </w:rPr>
              <w:t>百分位数</w:t>
            </w:r>
            <w:r>
              <w:rPr>
                <w:szCs w:val="21"/>
              </w:rPr>
              <w:t>24</w:t>
            </w:r>
            <w:r>
              <w:rPr>
                <w:szCs w:val="21"/>
              </w:rPr>
              <w:t>小时平均</w:t>
            </w:r>
          </w:p>
        </w:tc>
        <w:tc>
          <w:tcPr>
            <w:tcW w:w="1277" w:type="dxa"/>
            <w:vAlign w:val="center"/>
          </w:tcPr>
          <w:p w:rsidR="00EE4502" w:rsidRDefault="00FD45A3">
            <w:pPr>
              <w:adjustRightInd w:val="0"/>
              <w:snapToGrid w:val="0"/>
              <w:spacing w:line="240" w:lineRule="atLeast"/>
              <w:jc w:val="center"/>
              <w:rPr>
                <w:szCs w:val="21"/>
              </w:rPr>
            </w:pPr>
            <w:r>
              <w:rPr>
                <w:szCs w:val="21"/>
              </w:rPr>
              <w:t>1</w:t>
            </w:r>
            <w:r>
              <w:rPr>
                <w:rFonts w:hint="eastAsia"/>
                <w:szCs w:val="21"/>
              </w:rPr>
              <w:t>.0</w:t>
            </w:r>
            <w:r>
              <w:rPr>
                <w:szCs w:val="21"/>
              </w:rPr>
              <w:t>（</w:t>
            </w:r>
            <w:r>
              <w:rPr>
                <w:szCs w:val="21"/>
              </w:rPr>
              <w:t>mg/m</w:t>
            </w:r>
            <w:r>
              <w:rPr>
                <w:szCs w:val="21"/>
                <w:vertAlign w:val="superscript"/>
              </w:rPr>
              <w:t>3</w:t>
            </w:r>
            <w:r>
              <w:rPr>
                <w:rFonts w:hint="eastAsia"/>
                <w:szCs w:val="21"/>
                <w:vertAlign w:val="superscript"/>
              </w:rPr>
              <w:t>)</w:t>
            </w:r>
          </w:p>
        </w:tc>
        <w:tc>
          <w:tcPr>
            <w:tcW w:w="1356" w:type="dxa"/>
            <w:vAlign w:val="center"/>
          </w:tcPr>
          <w:p w:rsidR="00EE4502" w:rsidRDefault="00FD45A3">
            <w:pPr>
              <w:adjustRightInd w:val="0"/>
              <w:snapToGrid w:val="0"/>
              <w:spacing w:line="240" w:lineRule="atLeast"/>
              <w:jc w:val="center"/>
              <w:rPr>
                <w:szCs w:val="21"/>
              </w:rPr>
            </w:pPr>
            <w:r>
              <w:rPr>
                <w:szCs w:val="21"/>
              </w:rPr>
              <w:t>4</w:t>
            </w:r>
            <w:r>
              <w:rPr>
                <w:szCs w:val="21"/>
              </w:rPr>
              <w:t>（</w:t>
            </w:r>
            <w:r>
              <w:rPr>
                <w:szCs w:val="21"/>
              </w:rPr>
              <w:t>mg/m</w:t>
            </w:r>
            <w:r>
              <w:rPr>
                <w:szCs w:val="21"/>
                <w:vertAlign w:val="superscript"/>
              </w:rPr>
              <w:t>3</w:t>
            </w:r>
            <w:r>
              <w:rPr>
                <w:rFonts w:hint="eastAsia"/>
                <w:szCs w:val="21"/>
                <w:vertAlign w:val="superscript"/>
              </w:rPr>
              <w:t>)</w:t>
            </w:r>
          </w:p>
        </w:tc>
        <w:tc>
          <w:tcPr>
            <w:tcW w:w="1287" w:type="dxa"/>
            <w:vAlign w:val="center"/>
          </w:tcPr>
          <w:p w:rsidR="00EE4502" w:rsidRDefault="00FD45A3">
            <w:pPr>
              <w:adjustRightInd w:val="0"/>
              <w:snapToGrid w:val="0"/>
              <w:spacing w:line="240" w:lineRule="atLeast"/>
              <w:jc w:val="center"/>
              <w:rPr>
                <w:szCs w:val="21"/>
              </w:rPr>
            </w:pPr>
            <w:r>
              <w:rPr>
                <w:rFonts w:hint="eastAsia"/>
                <w:szCs w:val="21"/>
              </w:rPr>
              <w:t>25</w:t>
            </w:r>
          </w:p>
        </w:tc>
        <w:tc>
          <w:tcPr>
            <w:tcW w:w="901" w:type="dxa"/>
            <w:vAlign w:val="center"/>
          </w:tcPr>
          <w:p w:rsidR="00EE4502" w:rsidRDefault="00FD45A3">
            <w:pPr>
              <w:adjustRightInd w:val="0"/>
              <w:snapToGrid w:val="0"/>
              <w:spacing w:line="240" w:lineRule="atLeast"/>
              <w:jc w:val="center"/>
              <w:rPr>
                <w:szCs w:val="21"/>
              </w:rPr>
            </w:pPr>
            <w:r>
              <w:rPr>
                <w:szCs w:val="21"/>
              </w:rPr>
              <w:t>达标</w:t>
            </w:r>
          </w:p>
        </w:tc>
      </w:tr>
      <w:tr w:rsidR="00EE4502">
        <w:trPr>
          <w:trHeight w:val="454"/>
        </w:trPr>
        <w:tc>
          <w:tcPr>
            <w:tcW w:w="967" w:type="dxa"/>
            <w:vAlign w:val="center"/>
          </w:tcPr>
          <w:p w:rsidR="00EE4502" w:rsidRDefault="00FD45A3">
            <w:pPr>
              <w:adjustRightInd w:val="0"/>
              <w:snapToGrid w:val="0"/>
              <w:spacing w:line="240" w:lineRule="atLeast"/>
              <w:jc w:val="center"/>
              <w:rPr>
                <w:szCs w:val="21"/>
              </w:rPr>
            </w:pPr>
            <w:r>
              <w:rPr>
                <w:szCs w:val="21"/>
              </w:rPr>
              <w:t>O</w:t>
            </w:r>
            <w:r>
              <w:rPr>
                <w:szCs w:val="21"/>
                <w:vertAlign w:val="subscript"/>
              </w:rPr>
              <w:t>3</w:t>
            </w:r>
          </w:p>
        </w:tc>
        <w:tc>
          <w:tcPr>
            <w:tcW w:w="2512" w:type="dxa"/>
            <w:vAlign w:val="center"/>
          </w:tcPr>
          <w:p w:rsidR="00EE4502" w:rsidRDefault="00FD45A3">
            <w:pPr>
              <w:adjustRightInd w:val="0"/>
              <w:snapToGrid w:val="0"/>
              <w:spacing w:line="240" w:lineRule="atLeast"/>
              <w:jc w:val="center"/>
              <w:rPr>
                <w:szCs w:val="21"/>
              </w:rPr>
            </w:pPr>
            <w:r>
              <w:rPr>
                <w:szCs w:val="21"/>
              </w:rPr>
              <w:t>第</w:t>
            </w:r>
            <w:r>
              <w:rPr>
                <w:szCs w:val="21"/>
              </w:rPr>
              <w:t>90</w:t>
            </w:r>
            <w:r>
              <w:rPr>
                <w:szCs w:val="21"/>
              </w:rPr>
              <w:t>百分位数最大</w:t>
            </w:r>
            <w:r>
              <w:rPr>
                <w:szCs w:val="21"/>
              </w:rPr>
              <w:t>8</w:t>
            </w:r>
            <w:r>
              <w:rPr>
                <w:szCs w:val="21"/>
              </w:rPr>
              <w:t>小时平均</w:t>
            </w:r>
          </w:p>
        </w:tc>
        <w:tc>
          <w:tcPr>
            <w:tcW w:w="1277" w:type="dxa"/>
            <w:vAlign w:val="center"/>
          </w:tcPr>
          <w:p w:rsidR="00EE4502" w:rsidRDefault="00FD45A3">
            <w:pPr>
              <w:adjustRightInd w:val="0"/>
              <w:snapToGrid w:val="0"/>
              <w:spacing w:line="240" w:lineRule="atLeast"/>
              <w:jc w:val="center"/>
              <w:rPr>
                <w:szCs w:val="21"/>
              </w:rPr>
            </w:pPr>
            <w:r>
              <w:rPr>
                <w:rFonts w:hint="eastAsia"/>
                <w:szCs w:val="21"/>
              </w:rPr>
              <w:t>123</w:t>
            </w:r>
          </w:p>
        </w:tc>
        <w:tc>
          <w:tcPr>
            <w:tcW w:w="1356" w:type="dxa"/>
            <w:vAlign w:val="center"/>
          </w:tcPr>
          <w:p w:rsidR="00EE4502" w:rsidRDefault="00FD45A3">
            <w:pPr>
              <w:adjustRightInd w:val="0"/>
              <w:snapToGrid w:val="0"/>
              <w:spacing w:line="240" w:lineRule="atLeast"/>
              <w:jc w:val="center"/>
              <w:rPr>
                <w:szCs w:val="21"/>
              </w:rPr>
            </w:pPr>
            <w:r>
              <w:rPr>
                <w:szCs w:val="21"/>
              </w:rPr>
              <w:t>160</w:t>
            </w:r>
          </w:p>
        </w:tc>
        <w:tc>
          <w:tcPr>
            <w:tcW w:w="1287" w:type="dxa"/>
            <w:vAlign w:val="center"/>
          </w:tcPr>
          <w:p w:rsidR="00EE4502" w:rsidRDefault="00FD45A3">
            <w:pPr>
              <w:adjustRightInd w:val="0"/>
              <w:snapToGrid w:val="0"/>
              <w:spacing w:line="240" w:lineRule="atLeast"/>
              <w:jc w:val="center"/>
              <w:rPr>
                <w:szCs w:val="21"/>
              </w:rPr>
            </w:pPr>
            <w:r>
              <w:rPr>
                <w:rFonts w:hint="eastAsia"/>
                <w:szCs w:val="21"/>
              </w:rPr>
              <w:t>77</w:t>
            </w:r>
          </w:p>
        </w:tc>
        <w:tc>
          <w:tcPr>
            <w:tcW w:w="901" w:type="dxa"/>
            <w:vAlign w:val="center"/>
          </w:tcPr>
          <w:p w:rsidR="00EE4502" w:rsidRDefault="00FD45A3">
            <w:pPr>
              <w:adjustRightInd w:val="0"/>
              <w:snapToGrid w:val="0"/>
              <w:spacing w:line="240" w:lineRule="atLeast"/>
              <w:jc w:val="center"/>
              <w:rPr>
                <w:szCs w:val="21"/>
              </w:rPr>
            </w:pPr>
            <w:r>
              <w:rPr>
                <w:szCs w:val="21"/>
              </w:rPr>
              <w:t>达标</w:t>
            </w:r>
          </w:p>
        </w:tc>
      </w:tr>
    </w:tbl>
    <w:p w:rsidR="00EE4502" w:rsidRDefault="00FD45A3">
      <w:pPr>
        <w:spacing w:line="360" w:lineRule="auto"/>
        <w:ind w:firstLineChars="200" w:firstLine="480"/>
        <w:rPr>
          <w:sz w:val="24"/>
        </w:rPr>
      </w:pPr>
      <w:r>
        <w:rPr>
          <w:sz w:val="24"/>
        </w:rPr>
        <w:t>从表</w:t>
      </w:r>
      <w:r>
        <w:rPr>
          <w:sz w:val="24"/>
        </w:rPr>
        <w:t>4-</w:t>
      </w:r>
      <w:r>
        <w:rPr>
          <w:rFonts w:hint="eastAsia"/>
          <w:sz w:val="24"/>
        </w:rPr>
        <w:t>5</w:t>
      </w:r>
      <w:r>
        <w:rPr>
          <w:sz w:val="24"/>
        </w:rPr>
        <w:t>-1</w:t>
      </w:r>
      <w:r>
        <w:rPr>
          <w:sz w:val="24"/>
        </w:rPr>
        <w:t>可以判定，</w:t>
      </w:r>
      <w:r>
        <w:rPr>
          <w:sz w:val="24"/>
          <w:szCs w:val="22"/>
        </w:rPr>
        <w:t>项目所在区域</w:t>
      </w:r>
      <w:r>
        <w:rPr>
          <w:sz w:val="24"/>
          <w:szCs w:val="22"/>
        </w:rPr>
        <w:t>SO</w:t>
      </w:r>
      <w:r>
        <w:rPr>
          <w:sz w:val="24"/>
          <w:szCs w:val="22"/>
          <w:vertAlign w:val="subscript"/>
        </w:rPr>
        <w:t>2</w:t>
      </w:r>
      <w:r>
        <w:rPr>
          <w:sz w:val="24"/>
          <w:szCs w:val="22"/>
        </w:rPr>
        <w:t>、</w:t>
      </w:r>
      <w:r>
        <w:rPr>
          <w:sz w:val="24"/>
          <w:szCs w:val="22"/>
        </w:rPr>
        <w:t>NO</w:t>
      </w:r>
      <w:r>
        <w:rPr>
          <w:sz w:val="24"/>
          <w:szCs w:val="22"/>
          <w:vertAlign w:val="subscript"/>
        </w:rPr>
        <w:t>2</w:t>
      </w:r>
      <w:r>
        <w:rPr>
          <w:sz w:val="24"/>
          <w:szCs w:val="22"/>
        </w:rPr>
        <w:t>、</w:t>
      </w:r>
      <w:r>
        <w:rPr>
          <w:sz w:val="24"/>
          <w:szCs w:val="22"/>
        </w:rPr>
        <w:t>PM</w:t>
      </w:r>
      <w:r>
        <w:rPr>
          <w:sz w:val="24"/>
          <w:szCs w:val="22"/>
          <w:vertAlign w:val="subscript"/>
        </w:rPr>
        <w:t>2.5</w:t>
      </w:r>
      <w:r>
        <w:rPr>
          <w:sz w:val="24"/>
          <w:szCs w:val="22"/>
        </w:rPr>
        <w:t>、</w:t>
      </w:r>
      <w:r>
        <w:rPr>
          <w:sz w:val="24"/>
          <w:szCs w:val="22"/>
        </w:rPr>
        <w:t>PM</w:t>
      </w:r>
      <w:r>
        <w:rPr>
          <w:sz w:val="24"/>
          <w:szCs w:val="22"/>
          <w:vertAlign w:val="subscript"/>
        </w:rPr>
        <w:t>10</w:t>
      </w:r>
      <w:r>
        <w:rPr>
          <w:sz w:val="24"/>
          <w:szCs w:val="22"/>
        </w:rPr>
        <w:t>年平均浓度及</w:t>
      </w:r>
      <w:r>
        <w:rPr>
          <w:sz w:val="24"/>
          <w:szCs w:val="22"/>
        </w:rPr>
        <w:t>CO</w:t>
      </w:r>
      <w:r>
        <w:rPr>
          <w:sz w:val="24"/>
          <w:szCs w:val="22"/>
        </w:rPr>
        <w:t>、</w:t>
      </w:r>
      <w:r>
        <w:rPr>
          <w:sz w:val="24"/>
          <w:szCs w:val="22"/>
        </w:rPr>
        <w:t>O</w:t>
      </w:r>
      <w:r>
        <w:rPr>
          <w:sz w:val="24"/>
          <w:szCs w:val="22"/>
          <w:vertAlign w:val="subscript"/>
        </w:rPr>
        <w:t>3</w:t>
      </w:r>
      <w:r>
        <w:rPr>
          <w:sz w:val="24"/>
          <w:szCs w:val="22"/>
        </w:rPr>
        <w:t>日平均浓度均满足《环境空气质量标准》（</w:t>
      </w:r>
      <w:r>
        <w:rPr>
          <w:sz w:val="24"/>
          <w:szCs w:val="22"/>
        </w:rPr>
        <w:t>GB3095-2012</w:t>
      </w:r>
      <w:r>
        <w:rPr>
          <w:sz w:val="24"/>
          <w:szCs w:val="22"/>
        </w:rPr>
        <w:t>）的二级标准要求；因此</w:t>
      </w:r>
      <w:r>
        <w:rPr>
          <w:rFonts w:hint="eastAsia"/>
          <w:sz w:val="24"/>
          <w:szCs w:val="22"/>
        </w:rPr>
        <w:t>项目区</w:t>
      </w:r>
      <w:r>
        <w:rPr>
          <w:sz w:val="24"/>
          <w:szCs w:val="22"/>
        </w:rPr>
        <w:t>为环境空气质量达标区</w:t>
      </w:r>
      <w:r>
        <w:rPr>
          <w:rFonts w:hint="eastAsia"/>
          <w:sz w:val="24"/>
        </w:rPr>
        <w:t>。</w:t>
      </w:r>
    </w:p>
    <w:p w:rsidR="00EE4502" w:rsidRDefault="00FD45A3">
      <w:pPr>
        <w:keepNext/>
        <w:keepLines/>
        <w:numPr>
          <w:ilvl w:val="3"/>
          <w:numId w:val="30"/>
        </w:numPr>
        <w:spacing w:line="360" w:lineRule="auto"/>
        <w:outlineLvl w:val="3"/>
        <w:rPr>
          <w:sz w:val="24"/>
        </w:rPr>
      </w:pPr>
      <w:r>
        <w:rPr>
          <w:rFonts w:hint="eastAsia"/>
          <w:sz w:val="24"/>
        </w:rPr>
        <w:t>近五年区域环境质量调查</w:t>
      </w:r>
    </w:p>
    <w:p w:rsidR="00EE4502" w:rsidRDefault="00FD45A3">
      <w:pPr>
        <w:widowControl/>
        <w:spacing w:line="360" w:lineRule="auto"/>
        <w:ind w:firstLineChars="200" w:firstLine="480"/>
        <w:rPr>
          <w:sz w:val="24"/>
          <w:szCs w:val="32"/>
        </w:rPr>
      </w:pPr>
      <w:r>
        <w:rPr>
          <w:sz w:val="24"/>
          <w:szCs w:val="32"/>
        </w:rPr>
        <w:t>根据</w:t>
      </w:r>
      <w:r>
        <w:rPr>
          <w:sz w:val="24"/>
          <w:szCs w:val="32"/>
        </w:rPr>
        <w:t>《环境影响评价技术导则</w:t>
      </w:r>
      <w:r>
        <w:rPr>
          <w:sz w:val="24"/>
          <w:szCs w:val="32"/>
        </w:rPr>
        <w:t xml:space="preserve"> </w:t>
      </w:r>
      <w:r>
        <w:rPr>
          <w:sz w:val="24"/>
          <w:szCs w:val="32"/>
        </w:rPr>
        <w:t>陆地石油天然气开发建设项目》（</w:t>
      </w:r>
      <w:r>
        <w:rPr>
          <w:sz w:val="24"/>
          <w:szCs w:val="32"/>
        </w:rPr>
        <w:t>HJ349-2023</w:t>
      </w:r>
      <w:r>
        <w:rPr>
          <w:sz w:val="24"/>
          <w:szCs w:val="32"/>
        </w:rPr>
        <w:t>）</w:t>
      </w:r>
      <w:r>
        <w:rPr>
          <w:rFonts w:hint="eastAsia"/>
          <w:sz w:val="24"/>
          <w:szCs w:val="32"/>
        </w:rPr>
        <w:t>，滚动开发区块建设项目还应收集近</w:t>
      </w:r>
      <w:r>
        <w:rPr>
          <w:rFonts w:hint="eastAsia"/>
          <w:sz w:val="24"/>
          <w:szCs w:val="32"/>
        </w:rPr>
        <w:t>5</w:t>
      </w:r>
      <w:r>
        <w:rPr>
          <w:rFonts w:hint="eastAsia"/>
          <w:sz w:val="24"/>
          <w:szCs w:val="32"/>
        </w:rPr>
        <w:t>年的区域环境质量资料。</w:t>
      </w:r>
      <w:r>
        <w:rPr>
          <w:sz w:val="24"/>
          <w:szCs w:val="32"/>
        </w:rPr>
        <w:t>本次评价采用</w:t>
      </w:r>
      <w:r>
        <w:rPr>
          <w:sz w:val="24"/>
          <w:szCs w:val="32"/>
        </w:rPr>
        <w:t>201</w:t>
      </w:r>
      <w:r>
        <w:rPr>
          <w:rFonts w:hint="eastAsia"/>
          <w:sz w:val="24"/>
          <w:szCs w:val="32"/>
        </w:rPr>
        <w:t>9</w:t>
      </w:r>
      <w:r>
        <w:rPr>
          <w:sz w:val="24"/>
          <w:szCs w:val="32"/>
        </w:rPr>
        <w:t>年</w:t>
      </w:r>
      <w:r>
        <w:rPr>
          <w:sz w:val="24"/>
          <w:szCs w:val="32"/>
        </w:rPr>
        <w:t>-202</w:t>
      </w:r>
      <w:r>
        <w:rPr>
          <w:rFonts w:hint="eastAsia"/>
          <w:sz w:val="24"/>
          <w:szCs w:val="32"/>
        </w:rPr>
        <w:t>3</w:t>
      </w:r>
      <w:r>
        <w:rPr>
          <w:sz w:val="24"/>
          <w:szCs w:val="32"/>
        </w:rPr>
        <w:t>年</w:t>
      </w:r>
      <w:r>
        <w:rPr>
          <w:rFonts w:hint="eastAsia"/>
          <w:sz w:val="24"/>
          <w:szCs w:val="32"/>
        </w:rPr>
        <w:t>的</w:t>
      </w:r>
      <w:r>
        <w:rPr>
          <w:rFonts w:hint="eastAsia"/>
          <w:sz w:val="24"/>
          <w:szCs w:val="32"/>
        </w:rPr>
        <w:t>克拉玛依市国控点数据</w:t>
      </w:r>
      <w:r>
        <w:rPr>
          <w:sz w:val="24"/>
          <w:szCs w:val="32"/>
        </w:rPr>
        <w:t>，作为项目环境空气现状评价基本污染物</w:t>
      </w:r>
      <w:r>
        <w:rPr>
          <w:sz w:val="24"/>
          <w:szCs w:val="32"/>
        </w:rPr>
        <w:t>SO</w:t>
      </w:r>
      <w:r>
        <w:rPr>
          <w:position w:val="-1"/>
          <w:sz w:val="24"/>
          <w:szCs w:val="32"/>
          <w:vertAlign w:val="subscript"/>
        </w:rPr>
        <w:t>2</w:t>
      </w:r>
      <w:r>
        <w:rPr>
          <w:sz w:val="24"/>
          <w:szCs w:val="32"/>
        </w:rPr>
        <w:t>、</w:t>
      </w:r>
      <w:r>
        <w:rPr>
          <w:sz w:val="24"/>
          <w:szCs w:val="32"/>
        </w:rPr>
        <w:t>NO</w:t>
      </w:r>
      <w:r>
        <w:rPr>
          <w:position w:val="-1"/>
          <w:sz w:val="24"/>
          <w:szCs w:val="32"/>
          <w:vertAlign w:val="subscript"/>
        </w:rPr>
        <w:t>2</w:t>
      </w:r>
      <w:r>
        <w:rPr>
          <w:sz w:val="24"/>
          <w:szCs w:val="32"/>
        </w:rPr>
        <w:t>、</w:t>
      </w:r>
      <w:r>
        <w:rPr>
          <w:sz w:val="24"/>
          <w:szCs w:val="32"/>
        </w:rPr>
        <w:t>PM</w:t>
      </w:r>
      <w:r>
        <w:rPr>
          <w:position w:val="-1"/>
          <w:sz w:val="24"/>
          <w:szCs w:val="32"/>
          <w:vertAlign w:val="subscript"/>
        </w:rPr>
        <w:t>10</w:t>
      </w:r>
      <w:r>
        <w:rPr>
          <w:sz w:val="24"/>
          <w:szCs w:val="32"/>
        </w:rPr>
        <w:t>、</w:t>
      </w:r>
      <w:r>
        <w:rPr>
          <w:sz w:val="24"/>
          <w:szCs w:val="32"/>
        </w:rPr>
        <w:t>PM</w:t>
      </w:r>
      <w:r>
        <w:rPr>
          <w:position w:val="-1"/>
          <w:sz w:val="24"/>
          <w:szCs w:val="32"/>
          <w:vertAlign w:val="subscript"/>
        </w:rPr>
        <w:t>2.5</w:t>
      </w:r>
      <w:r>
        <w:rPr>
          <w:sz w:val="24"/>
          <w:szCs w:val="32"/>
        </w:rPr>
        <w:t>、</w:t>
      </w:r>
      <w:r>
        <w:rPr>
          <w:sz w:val="24"/>
          <w:szCs w:val="32"/>
        </w:rPr>
        <w:t>CO</w:t>
      </w:r>
      <w:r>
        <w:rPr>
          <w:sz w:val="24"/>
          <w:szCs w:val="32"/>
        </w:rPr>
        <w:t>和</w:t>
      </w:r>
      <w:r>
        <w:rPr>
          <w:sz w:val="24"/>
          <w:szCs w:val="32"/>
        </w:rPr>
        <w:t>O</w:t>
      </w:r>
      <w:r>
        <w:rPr>
          <w:position w:val="-1"/>
          <w:sz w:val="24"/>
          <w:szCs w:val="32"/>
          <w:vertAlign w:val="subscript"/>
        </w:rPr>
        <w:t>3</w:t>
      </w:r>
      <w:r>
        <w:rPr>
          <w:sz w:val="24"/>
          <w:szCs w:val="32"/>
        </w:rPr>
        <w:t>的数据来源，详见下表</w:t>
      </w:r>
      <w:r>
        <w:rPr>
          <w:sz w:val="24"/>
          <w:szCs w:val="32"/>
        </w:rPr>
        <w:t>4</w:t>
      </w:r>
      <w:r>
        <w:rPr>
          <w:rFonts w:hint="eastAsia"/>
          <w:sz w:val="24"/>
          <w:szCs w:val="32"/>
        </w:rPr>
        <w:t>-5</w:t>
      </w:r>
      <w:r>
        <w:rPr>
          <w:rFonts w:hint="eastAsia"/>
          <w:sz w:val="24"/>
          <w:szCs w:val="32"/>
        </w:rPr>
        <w:t>-2</w:t>
      </w:r>
      <w:r>
        <w:rPr>
          <w:sz w:val="24"/>
          <w:szCs w:val="32"/>
        </w:rPr>
        <w:t>。</w:t>
      </w:r>
    </w:p>
    <w:p w:rsidR="00EE4502" w:rsidRDefault="00FD45A3">
      <w:pPr>
        <w:widowControl/>
        <w:jc w:val="center"/>
        <w:rPr>
          <w:rFonts w:ascii="黑体" w:eastAsia="黑体" w:hAnsi="黑体" w:cs="黑体"/>
          <w:szCs w:val="21"/>
        </w:rPr>
      </w:pPr>
      <w:r>
        <w:rPr>
          <w:rFonts w:ascii="黑体" w:eastAsia="黑体" w:hAnsi="黑体" w:cs="黑体" w:hint="eastAsia"/>
          <w:szCs w:val="21"/>
        </w:rPr>
        <w:t>表</w:t>
      </w:r>
      <w:r>
        <w:rPr>
          <w:rFonts w:ascii="黑体" w:eastAsia="黑体" w:hAnsi="黑体" w:cs="黑体" w:hint="eastAsia"/>
          <w:szCs w:val="21"/>
        </w:rPr>
        <w:t xml:space="preserve">4.5-2   </w:t>
      </w:r>
      <w:r>
        <w:rPr>
          <w:rFonts w:ascii="黑体" w:eastAsia="黑体" w:hAnsi="黑体" w:cs="黑体" w:hint="eastAsia"/>
          <w:szCs w:val="21"/>
        </w:rPr>
        <w:t>近</w:t>
      </w:r>
      <w:r>
        <w:rPr>
          <w:rFonts w:ascii="黑体" w:eastAsia="黑体" w:hAnsi="黑体" w:cs="黑体" w:hint="eastAsia"/>
          <w:szCs w:val="21"/>
        </w:rPr>
        <w:t>五</w:t>
      </w:r>
      <w:r>
        <w:rPr>
          <w:rFonts w:ascii="黑体" w:eastAsia="黑体" w:hAnsi="黑体" w:cs="黑体" w:hint="eastAsia"/>
          <w:szCs w:val="21"/>
        </w:rPr>
        <w:t>年</w:t>
      </w:r>
      <w:r>
        <w:rPr>
          <w:rFonts w:ascii="黑体" w:eastAsia="黑体" w:hAnsi="黑体" w:cs="黑体" w:hint="eastAsia"/>
          <w:szCs w:val="21"/>
        </w:rPr>
        <w:t>克拉玛依市</w:t>
      </w:r>
      <w:r>
        <w:rPr>
          <w:rFonts w:ascii="黑体" w:eastAsia="黑体" w:hAnsi="黑体" w:cs="黑体" w:hint="eastAsia"/>
          <w:szCs w:val="21"/>
        </w:rPr>
        <w:t>环境空气质量现状变化</w:t>
      </w:r>
      <w:r>
        <w:rPr>
          <w:rFonts w:ascii="黑体" w:eastAsia="黑体" w:hAnsi="黑体" w:cs="黑体" w:hint="eastAsia"/>
          <w:szCs w:val="21"/>
        </w:rPr>
        <w:t xml:space="preserve">  </w:t>
      </w:r>
      <w:r>
        <w:rPr>
          <w:rFonts w:ascii="黑体" w:eastAsia="黑体" w:hAnsi="黑体" w:cs="黑体" w:hint="eastAsia"/>
          <w:szCs w:val="21"/>
        </w:rPr>
        <w:t>单位：</w:t>
      </w:r>
      <w:r>
        <w:rPr>
          <w:rFonts w:ascii="黑体" w:eastAsia="黑体" w:hAnsi="黑体" w:cs="黑体" w:hint="eastAsia"/>
          <w:szCs w:val="21"/>
        </w:rPr>
        <w:t xml:space="preserve"> </w:t>
      </w:r>
      <w:r>
        <w:rPr>
          <w:rFonts w:ascii="黑体" w:eastAsia="黑体" w:hAnsi="黑体" w:cs="黑体" w:hint="eastAsia"/>
          <w:szCs w:val="21"/>
        </w:rPr>
        <w:t>μ</w:t>
      </w:r>
      <w:r>
        <w:rPr>
          <w:rFonts w:ascii="黑体" w:eastAsia="黑体" w:hAnsi="黑体" w:cs="黑体" w:hint="eastAsia"/>
          <w:szCs w:val="21"/>
        </w:rPr>
        <w:t>g/m</w:t>
      </w:r>
      <w:r>
        <w:rPr>
          <w:rFonts w:ascii="黑体" w:eastAsia="黑体" w:hAnsi="黑体" w:cs="黑体" w:hint="eastAsia"/>
          <w:szCs w:val="21"/>
          <w:vertAlign w:val="superscript"/>
        </w:rPr>
        <w:t>3</w:t>
      </w:r>
      <w:r>
        <w:rPr>
          <w:rFonts w:ascii="黑体" w:eastAsia="黑体" w:hAnsi="黑体" w:cs="黑体" w:hint="eastAsia"/>
          <w:szCs w:val="21"/>
        </w:rPr>
        <w:t xml:space="preserve">  </w:t>
      </w:r>
      <w:r>
        <w:rPr>
          <w:rFonts w:ascii="黑体" w:eastAsia="黑体" w:hAnsi="黑体" w:cs="黑体" w:hint="eastAsia"/>
          <w:szCs w:val="21"/>
        </w:rPr>
        <w:t>（</w:t>
      </w:r>
      <w:r>
        <w:rPr>
          <w:rFonts w:ascii="黑体" w:eastAsia="黑体" w:hAnsi="黑体" w:cs="黑体" w:hint="eastAsia"/>
          <w:szCs w:val="21"/>
        </w:rPr>
        <w:t>标注除外</w:t>
      </w:r>
      <w:r>
        <w:rPr>
          <w:rFonts w:ascii="黑体" w:eastAsia="黑体" w:hAnsi="黑体" w:cs="黑体" w:hint="eastAsia"/>
          <w:szCs w:val="21"/>
        </w:rPr>
        <w:t>）</w:t>
      </w:r>
    </w:p>
    <w:tbl>
      <w:tblPr>
        <w:tblW w:w="0" w:type="auto"/>
        <w:tblInd w:w="93" w:type="dxa"/>
        <w:tblLook w:val="04A0" w:firstRow="1" w:lastRow="0" w:firstColumn="1" w:lastColumn="0" w:noHBand="0" w:noVBand="1"/>
      </w:tblPr>
      <w:tblGrid>
        <w:gridCol w:w="784"/>
        <w:gridCol w:w="2470"/>
        <w:gridCol w:w="1262"/>
        <w:gridCol w:w="749"/>
        <w:gridCol w:w="791"/>
        <w:gridCol w:w="791"/>
        <w:gridCol w:w="791"/>
        <w:gridCol w:w="791"/>
      </w:tblGrid>
      <w:tr w:rsidR="00EE4502">
        <w:trPr>
          <w:trHeight w:val="270"/>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E4502" w:rsidRDefault="00FD45A3">
            <w:pPr>
              <w:widowControl/>
              <w:jc w:val="center"/>
              <w:textAlignment w:val="center"/>
              <w:rPr>
                <w:szCs w:val="21"/>
              </w:rPr>
            </w:pPr>
            <w:r>
              <w:rPr>
                <w:szCs w:val="21"/>
                <w:lang w:bidi="ar"/>
              </w:rPr>
              <w:t>污染物</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E4502" w:rsidRDefault="00FD45A3">
            <w:pPr>
              <w:widowControl/>
              <w:jc w:val="center"/>
              <w:textAlignment w:val="center"/>
              <w:rPr>
                <w:szCs w:val="21"/>
              </w:rPr>
            </w:pPr>
            <w:r>
              <w:rPr>
                <w:szCs w:val="21"/>
                <w:lang w:bidi="ar"/>
              </w:rPr>
              <w:t>年评价指标</w:t>
            </w:r>
          </w:p>
        </w:tc>
        <w:tc>
          <w:tcPr>
            <w:tcW w:w="126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E4502" w:rsidRDefault="00FD45A3">
            <w:pPr>
              <w:widowControl/>
              <w:jc w:val="center"/>
              <w:textAlignment w:val="center"/>
              <w:rPr>
                <w:szCs w:val="21"/>
              </w:rPr>
            </w:pPr>
            <w:r>
              <w:rPr>
                <w:szCs w:val="21"/>
                <w:lang w:bidi="ar"/>
              </w:rPr>
              <w:t>二级标准</w:t>
            </w:r>
            <w:r>
              <w:rPr>
                <w:rFonts w:hint="eastAsia"/>
                <w:szCs w:val="21"/>
                <w:lang w:bidi="ar"/>
              </w:rPr>
              <w:t>（</w:t>
            </w:r>
            <w:r>
              <w:rPr>
                <w:szCs w:val="21"/>
                <w:lang w:bidi="ar"/>
              </w:rPr>
              <w:t>μg/m</w:t>
            </w:r>
            <w:r>
              <w:rPr>
                <w:szCs w:val="21"/>
                <w:vertAlign w:val="superscript"/>
                <w:lang w:bidi="ar"/>
              </w:rPr>
              <w:t>3</w:t>
            </w:r>
            <w:r>
              <w:rPr>
                <w:szCs w:val="21"/>
                <w:lang w:bidi="ar"/>
              </w:rPr>
              <w:t>)</w:t>
            </w:r>
          </w:p>
        </w:tc>
        <w:tc>
          <w:tcPr>
            <w:tcW w:w="374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EE4502" w:rsidRDefault="00FD45A3">
            <w:pPr>
              <w:widowControl/>
              <w:jc w:val="center"/>
              <w:textAlignment w:val="center"/>
              <w:rPr>
                <w:szCs w:val="21"/>
              </w:rPr>
            </w:pPr>
            <w:r>
              <w:rPr>
                <w:szCs w:val="21"/>
                <w:lang w:bidi="ar"/>
              </w:rPr>
              <w:t>现状浓度</w:t>
            </w:r>
            <w:r>
              <w:rPr>
                <w:rFonts w:hint="eastAsia"/>
                <w:szCs w:val="21"/>
                <w:lang w:bidi="ar"/>
              </w:rPr>
              <w:t>（</w:t>
            </w:r>
            <w:r>
              <w:rPr>
                <w:szCs w:val="21"/>
                <w:lang w:bidi="ar"/>
              </w:rPr>
              <w:t>μg/m</w:t>
            </w:r>
            <w:r>
              <w:rPr>
                <w:szCs w:val="21"/>
                <w:vertAlign w:val="superscript"/>
                <w:lang w:bidi="ar"/>
              </w:rPr>
              <w:t>3</w:t>
            </w:r>
            <w:r>
              <w:rPr>
                <w:szCs w:val="21"/>
                <w:lang w:bidi="ar"/>
              </w:rPr>
              <w:t>)</w:t>
            </w:r>
          </w:p>
        </w:tc>
      </w:tr>
      <w:tr w:rsidR="00EE4502">
        <w:trPr>
          <w:trHeight w:val="300"/>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rsidR="00EE4502" w:rsidRDefault="00EE4502">
            <w:pPr>
              <w:jc w:val="center"/>
              <w:rPr>
                <w:szCs w:val="21"/>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rsidR="00EE4502" w:rsidRDefault="00EE4502">
            <w:pPr>
              <w:jc w:val="center"/>
              <w:rPr>
                <w:szCs w:val="21"/>
              </w:rPr>
            </w:pPr>
          </w:p>
        </w:tc>
        <w:tc>
          <w:tcPr>
            <w:tcW w:w="12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E4502" w:rsidRDefault="00EE4502">
            <w:pPr>
              <w:jc w:val="center"/>
              <w:rPr>
                <w:szCs w:val="21"/>
              </w:rPr>
            </w:pPr>
          </w:p>
        </w:tc>
        <w:tc>
          <w:tcPr>
            <w:tcW w:w="7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4502" w:rsidRDefault="00FD45A3">
            <w:pPr>
              <w:widowControl/>
              <w:jc w:val="center"/>
              <w:textAlignment w:val="center"/>
              <w:rPr>
                <w:szCs w:val="21"/>
              </w:rPr>
            </w:pPr>
            <w:r>
              <w:rPr>
                <w:kern w:val="0"/>
                <w:szCs w:val="21"/>
                <w:lang w:bidi="ar"/>
              </w:rPr>
              <w:t>2019</w:t>
            </w:r>
            <w:r>
              <w:rPr>
                <w:kern w:val="0"/>
                <w:szCs w:val="21"/>
                <w:lang w:bidi="ar"/>
              </w:rPr>
              <w:t>年</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E4502" w:rsidRDefault="00FD45A3">
            <w:pPr>
              <w:widowControl/>
              <w:jc w:val="center"/>
              <w:textAlignment w:val="center"/>
              <w:rPr>
                <w:szCs w:val="21"/>
              </w:rPr>
            </w:pPr>
            <w:r>
              <w:rPr>
                <w:kern w:val="0"/>
                <w:szCs w:val="21"/>
                <w:lang w:bidi="ar"/>
              </w:rPr>
              <w:t>2020</w:t>
            </w:r>
            <w:r>
              <w:rPr>
                <w:kern w:val="0"/>
                <w:szCs w:val="21"/>
                <w:lang w:bidi="ar"/>
              </w:rPr>
              <w:t>年</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E4502" w:rsidRDefault="00FD45A3">
            <w:pPr>
              <w:widowControl/>
              <w:jc w:val="center"/>
              <w:textAlignment w:val="center"/>
              <w:rPr>
                <w:szCs w:val="21"/>
              </w:rPr>
            </w:pPr>
            <w:r>
              <w:rPr>
                <w:kern w:val="0"/>
                <w:szCs w:val="21"/>
                <w:lang w:bidi="ar"/>
              </w:rPr>
              <w:t>2021</w:t>
            </w:r>
            <w:r>
              <w:rPr>
                <w:kern w:val="0"/>
                <w:szCs w:val="21"/>
                <w:lang w:bidi="ar"/>
              </w:rPr>
              <w:t>年</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E4502" w:rsidRDefault="00FD45A3">
            <w:pPr>
              <w:widowControl/>
              <w:jc w:val="center"/>
              <w:textAlignment w:val="center"/>
              <w:rPr>
                <w:szCs w:val="21"/>
              </w:rPr>
            </w:pPr>
            <w:r>
              <w:rPr>
                <w:kern w:val="0"/>
                <w:szCs w:val="21"/>
                <w:lang w:bidi="ar"/>
              </w:rPr>
              <w:t>2022</w:t>
            </w:r>
            <w:r>
              <w:rPr>
                <w:kern w:val="0"/>
                <w:szCs w:val="21"/>
                <w:lang w:bidi="ar"/>
              </w:rPr>
              <w:t>年</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E4502" w:rsidRDefault="00FD45A3">
            <w:pPr>
              <w:widowControl/>
              <w:jc w:val="center"/>
              <w:textAlignment w:val="center"/>
              <w:rPr>
                <w:szCs w:val="21"/>
              </w:rPr>
            </w:pPr>
            <w:r>
              <w:rPr>
                <w:kern w:val="0"/>
                <w:szCs w:val="21"/>
                <w:lang w:bidi="ar"/>
              </w:rPr>
              <w:t>2023</w:t>
            </w:r>
            <w:r>
              <w:rPr>
                <w:kern w:val="0"/>
                <w:szCs w:val="21"/>
                <w:lang w:bidi="ar"/>
              </w:rPr>
              <w:t>年</w:t>
            </w:r>
          </w:p>
        </w:tc>
      </w:tr>
      <w:tr w:rsidR="00EE4502">
        <w:trPr>
          <w:trHeight w:val="345"/>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E4502" w:rsidRDefault="00FD45A3">
            <w:pPr>
              <w:widowControl/>
              <w:jc w:val="center"/>
              <w:textAlignment w:val="center"/>
              <w:rPr>
                <w:szCs w:val="21"/>
              </w:rPr>
            </w:pPr>
            <w:r>
              <w:rPr>
                <w:kern w:val="0"/>
                <w:szCs w:val="21"/>
                <w:lang w:bidi="ar"/>
              </w:rPr>
              <w:t>PM</w:t>
            </w:r>
            <w:r>
              <w:rPr>
                <w:szCs w:val="21"/>
                <w:vertAlign w:val="subscript"/>
                <w:lang w:bidi="ar"/>
              </w:rPr>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E4502" w:rsidRDefault="00FD45A3">
            <w:pPr>
              <w:widowControl/>
              <w:jc w:val="center"/>
              <w:textAlignment w:val="center"/>
              <w:rPr>
                <w:szCs w:val="21"/>
              </w:rPr>
            </w:pPr>
            <w:r>
              <w:rPr>
                <w:szCs w:val="21"/>
                <w:lang w:bidi="ar"/>
              </w:rPr>
              <w:t>年平均质量浓度</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4502" w:rsidRDefault="00FD45A3">
            <w:pPr>
              <w:widowControl/>
              <w:jc w:val="center"/>
              <w:textAlignment w:val="center"/>
              <w:rPr>
                <w:szCs w:val="21"/>
              </w:rPr>
            </w:pPr>
            <w:r>
              <w:rPr>
                <w:kern w:val="0"/>
                <w:szCs w:val="21"/>
                <w:lang w:bidi="ar"/>
              </w:rPr>
              <w:t>70</w:t>
            </w:r>
          </w:p>
        </w:tc>
        <w:tc>
          <w:tcPr>
            <w:tcW w:w="7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4502" w:rsidRDefault="00FD45A3">
            <w:pPr>
              <w:widowControl/>
              <w:jc w:val="center"/>
              <w:textAlignment w:val="center"/>
              <w:rPr>
                <w:szCs w:val="21"/>
              </w:rPr>
            </w:pPr>
            <w:r>
              <w:rPr>
                <w:kern w:val="0"/>
                <w:szCs w:val="21"/>
                <w:lang w:bidi="ar"/>
              </w:rPr>
              <w:t>59</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E4502" w:rsidRDefault="00FD45A3">
            <w:pPr>
              <w:widowControl/>
              <w:jc w:val="center"/>
              <w:textAlignment w:val="center"/>
              <w:rPr>
                <w:szCs w:val="21"/>
              </w:rPr>
            </w:pPr>
            <w:r>
              <w:rPr>
                <w:kern w:val="0"/>
                <w:szCs w:val="21"/>
                <w:lang w:bidi="ar"/>
              </w:rPr>
              <w:t>54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E4502" w:rsidRDefault="00FD45A3">
            <w:pPr>
              <w:widowControl/>
              <w:jc w:val="center"/>
              <w:textAlignment w:val="center"/>
              <w:rPr>
                <w:szCs w:val="21"/>
              </w:rPr>
            </w:pPr>
            <w:r>
              <w:rPr>
                <w:kern w:val="0"/>
                <w:szCs w:val="21"/>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E4502" w:rsidRDefault="00FD45A3">
            <w:pPr>
              <w:widowControl/>
              <w:jc w:val="center"/>
              <w:textAlignment w:val="center"/>
              <w:rPr>
                <w:szCs w:val="21"/>
              </w:rPr>
            </w:pPr>
            <w:r>
              <w:rPr>
                <w:kern w:val="0"/>
                <w:szCs w:val="21"/>
                <w:lang w:bidi="ar"/>
              </w:rPr>
              <w:t>50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E4502" w:rsidRDefault="00FD45A3">
            <w:pPr>
              <w:widowControl/>
              <w:jc w:val="center"/>
              <w:textAlignment w:val="center"/>
              <w:rPr>
                <w:szCs w:val="21"/>
              </w:rPr>
            </w:pPr>
            <w:r>
              <w:rPr>
                <w:kern w:val="0"/>
                <w:szCs w:val="21"/>
                <w:lang w:bidi="ar"/>
              </w:rPr>
              <w:t>43</w:t>
            </w:r>
          </w:p>
        </w:tc>
      </w:tr>
      <w:tr w:rsidR="00EE4502">
        <w:trPr>
          <w:trHeight w:val="345"/>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E4502" w:rsidRDefault="00FD45A3">
            <w:pPr>
              <w:widowControl/>
              <w:jc w:val="center"/>
              <w:textAlignment w:val="center"/>
              <w:rPr>
                <w:szCs w:val="21"/>
              </w:rPr>
            </w:pPr>
            <w:r>
              <w:rPr>
                <w:kern w:val="0"/>
                <w:szCs w:val="21"/>
                <w:lang w:bidi="ar"/>
              </w:rPr>
              <w:t>PM</w:t>
            </w:r>
            <w:r>
              <w:rPr>
                <w:szCs w:val="21"/>
                <w:vertAlign w:val="subscript"/>
                <w:lang w:bidi="ar"/>
              </w:rPr>
              <w:t>2.5</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E4502" w:rsidRDefault="00FD45A3">
            <w:pPr>
              <w:widowControl/>
              <w:jc w:val="center"/>
              <w:textAlignment w:val="center"/>
              <w:rPr>
                <w:szCs w:val="21"/>
              </w:rPr>
            </w:pPr>
            <w:r>
              <w:rPr>
                <w:szCs w:val="21"/>
                <w:lang w:bidi="ar"/>
              </w:rPr>
              <w:t>年平均质量浓度</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4502" w:rsidRDefault="00FD45A3">
            <w:pPr>
              <w:widowControl/>
              <w:jc w:val="center"/>
              <w:textAlignment w:val="center"/>
              <w:rPr>
                <w:szCs w:val="21"/>
              </w:rPr>
            </w:pPr>
            <w:r>
              <w:rPr>
                <w:kern w:val="0"/>
                <w:szCs w:val="21"/>
                <w:lang w:bidi="ar"/>
              </w:rPr>
              <w:t>35</w:t>
            </w:r>
          </w:p>
        </w:tc>
        <w:tc>
          <w:tcPr>
            <w:tcW w:w="7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4502" w:rsidRDefault="00FD45A3">
            <w:pPr>
              <w:widowControl/>
              <w:jc w:val="center"/>
              <w:textAlignment w:val="center"/>
              <w:rPr>
                <w:szCs w:val="21"/>
              </w:rPr>
            </w:pPr>
            <w:r>
              <w:rPr>
                <w:kern w:val="0"/>
                <w:szCs w:val="21"/>
                <w:lang w:bidi="ar"/>
              </w:rPr>
              <w:t>26</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E4502" w:rsidRDefault="00FD45A3">
            <w:pPr>
              <w:widowControl/>
              <w:jc w:val="center"/>
              <w:textAlignment w:val="center"/>
              <w:rPr>
                <w:szCs w:val="21"/>
              </w:rPr>
            </w:pPr>
            <w:r>
              <w:rPr>
                <w:kern w:val="0"/>
                <w:szCs w:val="21"/>
                <w:lang w:bidi="ar"/>
              </w:rPr>
              <w:t>26</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E4502" w:rsidRDefault="00FD45A3">
            <w:pPr>
              <w:widowControl/>
              <w:jc w:val="center"/>
              <w:textAlignment w:val="center"/>
              <w:rPr>
                <w:szCs w:val="21"/>
              </w:rPr>
            </w:pPr>
            <w:r>
              <w:rPr>
                <w:kern w:val="0"/>
                <w:szCs w:val="21"/>
                <w:lang w:bidi="ar"/>
              </w:rPr>
              <w:t>23</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E4502" w:rsidRDefault="00FD45A3">
            <w:pPr>
              <w:widowControl/>
              <w:jc w:val="center"/>
              <w:textAlignment w:val="center"/>
              <w:rPr>
                <w:szCs w:val="21"/>
              </w:rPr>
            </w:pPr>
            <w:r>
              <w:rPr>
                <w:kern w:val="0"/>
                <w:szCs w:val="21"/>
                <w:lang w:bidi="ar"/>
              </w:rPr>
              <w:t>26</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E4502" w:rsidRDefault="00FD45A3">
            <w:pPr>
              <w:widowControl/>
              <w:jc w:val="center"/>
              <w:textAlignment w:val="center"/>
              <w:rPr>
                <w:szCs w:val="21"/>
              </w:rPr>
            </w:pPr>
            <w:r>
              <w:rPr>
                <w:kern w:val="0"/>
                <w:szCs w:val="21"/>
                <w:lang w:bidi="ar"/>
              </w:rPr>
              <w:t>22</w:t>
            </w:r>
          </w:p>
        </w:tc>
      </w:tr>
      <w:tr w:rsidR="00EE4502">
        <w:trPr>
          <w:trHeight w:val="345"/>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E4502" w:rsidRDefault="00FD45A3">
            <w:pPr>
              <w:widowControl/>
              <w:jc w:val="center"/>
              <w:textAlignment w:val="center"/>
              <w:rPr>
                <w:szCs w:val="21"/>
              </w:rPr>
            </w:pPr>
            <w:r>
              <w:rPr>
                <w:kern w:val="0"/>
                <w:szCs w:val="21"/>
                <w:lang w:bidi="ar"/>
              </w:rPr>
              <w:t>SO</w:t>
            </w:r>
            <w:r>
              <w:rPr>
                <w:szCs w:val="21"/>
                <w:vertAlign w:val="subscript"/>
                <w:lang w:bidi="ar"/>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E4502" w:rsidRDefault="00FD45A3">
            <w:pPr>
              <w:widowControl/>
              <w:jc w:val="center"/>
              <w:textAlignment w:val="center"/>
              <w:rPr>
                <w:szCs w:val="21"/>
              </w:rPr>
            </w:pPr>
            <w:r>
              <w:rPr>
                <w:szCs w:val="21"/>
                <w:lang w:bidi="ar"/>
              </w:rPr>
              <w:t>年平均质量浓度</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4502" w:rsidRDefault="00FD45A3">
            <w:pPr>
              <w:widowControl/>
              <w:jc w:val="center"/>
              <w:textAlignment w:val="center"/>
              <w:rPr>
                <w:szCs w:val="21"/>
              </w:rPr>
            </w:pPr>
            <w:r>
              <w:rPr>
                <w:kern w:val="0"/>
                <w:szCs w:val="21"/>
                <w:lang w:bidi="ar"/>
              </w:rPr>
              <w:t>60</w:t>
            </w:r>
          </w:p>
        </w:tc>
        <w:tc>
          <w:tcPr>
            <w:tcW w:w="7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4502" w:rsidRDefault="00FD45A3">
            <w:pPr>
              <w:widowControl/>
              <w:jc w:val="center"/>
              <w:textAlignment w:val="center"/>
              <w:rPr>
                <w:szCs w:val="21"/>
              </w:rPr>
            </w:pPr>
            <w:r>
              <w:rPr>
                <w:kern w:val="0"/>
                <w:szCs w:val="21"/>
                <w:lang w:bidi="ar"/>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E4502" w:rsidRDefault="00FD45A3">
            <w:pPr>
              <w:widowControl/>
              <w:jc w:val="center"/>
              <w:textAlignment w:val="center"/>
              <w:rPr>
                <w:szCs w:val="21"/>
              </w:rPr>
            </w:pPr>
            <w:r>
              <w:rPr>
                <w:kern w:val="0"/>
                <w:szCs w:val="21"/>
                <w:lang w:bidi="ar"/>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E4502" w:rsidRDefault="00FD45A3">
            <w:pPr>
              <w:widowControl/>
              <w:jc w:val="center"/>
              <w:textAlignment w:val="center"/>
              <w:rPr>
                <w:szCs w:val="21"/>
              </w:rPr>
            </w:pPr>
            <w:r>
              <w:rPr>
                <w:kern w:val="0"/>
                <w:szCs w:val="21"/>
                <w:lang w:bidi="ar"/>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E4502" w:rsidRDefault="00FD45A3">
            <w:pPr>
              <w:widowControl/>
              <w:jc w:val="center"/>
              <w:textAlignment w:val="center"/>
              <w:rPr>
                <w:szCs w:val="21"/>
              </w:rPr>
            </w:pPr>
            <w:r>
              <w:rPr>
                <w:kern w:val="0"/>
                <w:szCs w:val="21"/>
                <w:lang w:bidi="ar"/>
              </w:rPr>
              <w:t>7</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E4502" w:rsidRDefault="00FD45A3">
            <w:pPr>
              <w:widowControl/>
              <w:jc w:val="center"/>
              <w:textAlignment w:val="center"/>
              <w:rPr>
                <w:szCs w:val="21"/>
              </w:rPr>
            </w:pPr>
            <w:r>
              <w:rPr>
                <w:kern w:val="0"/>
                <w:szCs w:val="21"/>
                <w:lang w:bidi="ar"/>
              </w:rPr>
              <w:t>7</w:t>
            </w:r>
          </w:p>
        </w:tc>
      </w:tr>
      <w:tr w:rsidR="00EE4502">
        <w:trPr>
          <w:trHeight w:val="345"/>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E4502" w:rsidRDefault="00FD45A3">
            <w:pPr>
              <w:widowControl/>
              <w:jc w:val="center"/>
              <w:textAlignment w:val="center"/>
              <w:rPr>
                <w:szCs w:val="21"/>
              </w:rPr>
            </w:pPr>
            <w:r>
              <w:rPr>
                <w:kern w:val="0"/>
                <w:szCs w:val="21"/>
                <w:lang w:bidi="ar"/>
              </w:rPr>
              <w:t>NO</w:t>
            </w:r>
            <w:r>
              <w:rPr>
                <w:szCs w:val="21"/>
                <w:vertAlign w:val="subscript"/>
                <w:lang w:bidi="ar"/>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E4502" w:rsidRDefault="00FD45A3">
            <w:pPr>
              <w:widowControl/>
              <w:jc w:val="center"/>
              <w:textAlignment w:val="center"/>
              <w:rPr>
                <w:szCs w:val="21"/>
              </w:rPr>
            </w:pPr>
            <w:r>
              <w:rPr>
                <w:szCs w:val="21"/>
                <w:lang w:bidi="ar"/>
              </w:rPr>
              <w:t>年平均质量浓度</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4502" w:rsidRDefault="00FD45A3">
            <w:pPr>
              <w:widowControl/>
              <w:jc w:val="center"/>
              <w:textAlignment w:val="center"/>
              <w:rPr>
                <w:szCs w:val="21"/>
              </w:rPr>
            </w:pPr>
            <w:r>
              <w:rPr>
                <w:kern w:val="0"/>
                <w:szCs w:val="21"/>
                <w:lang w:bidi="ar"/>
              </w:rPr>
              <w:t>40</w:t>
            </w:r>
          </w:p>
        </w:tc>
        <w:tc>
          <w:tcPr>
            <w:tcW w:w="7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4502" w:rsidRDefault="00FD45A3">
            <w:pPr>
              <w:widowControl/>
              <w:jc w:val="center"/>
              <w:textAlignment w:val="center"/>
              <w:rPr>
                <w:szCs w:val="21"/>
              </w:rPr>
            </w:pPr>
            <w:r>
              <w:rPr>
                <w:kern w:val="0"/>
                <w:szCs w:val="21"/>
                <w:lang w:bidi="ar"/>
              </w:rPr>
              <w:t>25</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E4502" w:rsidRDefault="00FD45A3">
            <w:pPr>
              <w:widowControl/>
              <w:jc w:val="center"/>
              <w:textAlignment w:val="center"/>
              <w:rPr>
                <w:szCs w:val="21"/>
              </w:rPr>
            </w:pPr>
            <w:r>
              <w:rPr>
                <w:kern w:val="0"/>
                <w:szCs w:val="21"/>
                <w:lang w:bidi="ar"/>
              </w:rPr>
              <w:t>21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E4502" w:rsidRDefault="00FD45A3">
            <w:pPr>
              <w:widowControl/>
              <w:jc w:val="center"/>
              <w:textAlignment w:val="center"/>
              <w:rPr>
                <w:szCs w:val="21"/>
              </w:rPr>
            </w:pPr>
            <w:r>
              <w:rPr>
                <w:kern w:val="0"/>
                <w:szCs w:val="21"/>
                <w:lang w:bidi="ar"/>
              </w:rPr>
              <w:t>22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E4502" w:rsidRDefault="00FD45A3">
            <w:pPr>
              <w:widowControl/>
              <w:jc w:val="center"/>
              <w:textAlignment w:val="center"/>
              <w:rPr>
                <w:szCs w:val="21"/>
              </w:rPr>
            </w:pPr>
            <w:r>
              <w:rPr>
                <w:kern w:val="0"/>
                <w:szCs w:val="21"/>
                <w:lang w:bidi="ar"/>
              </w:rPr>
              <w:t>20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E4502" w:rsidRDefault="00FD45A3">
            <w:pPr>
              <w:widowControl/>
              <w:jc w:val="center"/>
              <w:textAlignment w:val="center"/>
              <w:rPr>
                <w:szCs w:val="21"/>
              </w:rPr>
            </w:pPr>
            <w:r>
              <w:rPr>
                <w:kern w:val="0"/>
                <w:szCs w:val="21"/>
                <w:lang w:bidi="ar"/>
              </w:rPr>
              <w:t>28</w:t>
            </w:r>
          </w:p>
        </w:tc>
      </w:tr>
      <w:tr w:rsidR="00EE4502">
        <w:trPr>
          <w:trHeight w:val="285"/>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E4502" w:rsidRDefault="00FD45A3">
            <w:pPr>
              <w:widowControl/>
              <w:jc w:val="center"/>
              <w:textAlignment w:val="center"/>
              <w:rPr>
                <w:szCs w:val="21"/>
              </w:rPr>
            </w:pPr>
            <w:r>
              <w:rPr>
                <w:kern w:val="0"/>
                <w:szCs w:val="21"/>
                <w:lang w:bidi="ar"/>
              </w:rPr>
              <w:t>CO</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E4502" w:rsidRDefault="00FD45A3">
            <w:pPr>
              <w:widowControl/>
              <w:jc w:val="center"/>
              <w:textAlignment w:val="center"/>
              <w:rPr>
                <w:szCs w:val="21"/>
              </w:rPr>
            </w:pPr>
            <w:r>
              <w:rPr>
                <w:szCs w:val="21"/>
                <w:lang w:bidi="ar"/>
              </w:rPr>
              <w:t>日均值第</w:t>
            </w:r>
            <w:r>
              <w:rPr>
                <w:szCs w:val="21"/>
                <w:lang w:bidi="ar"/>
              </w:rPr>
              <w:t>95</w:t>
            </w:r>
            <w:r>
              <w:rPr>
                <w:szCs w:val="21"/>
                <w:lang w:bidi="ar"/>
              </w:rPr>
              <w:t>百分位浓度</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4502" w:rsidRDefault="00FD45A3">
            <w:pPr>
              <w:widowControl/>
              <w:jc w:val="center"/>
              <w:textAlignment w:val="center"/>
              <w:rPr>
                <w:szCs w:val="21"/>
              </w:rPr>
            </w:pPr>
            <w:r>
              <w:rPr>
                <w:kern w:val="0"/>
                <w:szCs w:val="21"/>
                <w:lang w:bidi="ar"/>
              </w:rPr>
              <w:t>4000</w:t>
            </w:r>
          </w:p>
        </w:tc>
        <w:tc>
          <w:tcPr>
            <w:tcW w:w="7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4502" w:rsidRDefault="00FD45A3">
            <w:pPr>
              <w:widowControl/>
              <w:jc w:val="center"/>
              <w:textAlignment w:val="center"/>
              <w:rPr>
                <w:szCs w:val="21"/>
              </w:rPr>
            </w:pPr>
            <w:r>
              <w:rPr>
                <w:kern w:val="0"/>
                <w:szCs w:val="21"/>
                <w:lang w:bidi="ar"/>
              </w:rPr>
              <w:t>1.3</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E4502" w:rsidRDefault="00FD45A3">
            <w:pPr>
              <w:widowControl/>
              <w:jc w:val="center"/>
              <w:textAlignment w:val="center"/>
              <w:rPr>
                <w:szCs w:val="21"/>
              </w:rPr>
            </w:pPr>
            <w:r>
              <w:rPr>
                <w:kern w:val="0"/>
                <w:szCs w:val="21"/>
                <w:lang w:bidi="ar"/>
              </w:rPr>
              <w:t>1.4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E4502" w:rsidRDefault="00FD45A3">
            <w:pPr>
              <w:widowControl/>
              <w:jc w:val="center"/>
              <w:textAlignment w:val="center"/>
              <w:rPr>
                <w:szCs w:val="21"/>
              </w:rPr>
            </w:pPr>
            <w:r>
              <w:rPr>
                <w:kern w:val="0"/>
                <w:szCs w:val="21"/>
                <w:lang w:bidi="ar"/>
              </w:rPr>
              <w:t>1.1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E4502" w:rsidRDefault="00FD45A3">
            <w:pPr>
              <w:widowControl/>
              <w:jc w:val="center"/>
              <w:textAlignment w:val="center"/>
              <w:rPr>
                <w:szCs w:val="21"/>
              </w:rPr>
            </w:pPr>
            <w:r>
              <w:rPr>
                <w:kern w:val="0"/>
                <w:szCs w:val="21"/>
                <w:lang w:bidi="ar"/>
              </w:rPr>
              <w:t>1.2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E4502" w:rsidRDefault="00FD45A3">
            <w:pPr>
              <w:widowControl/>
              <w:jc w:val="center"/>
              <w:textAlignment w:val="center"/>
              <w:rPr>
                <w:szCs w:val="21"/>
              </w:rPr>
            </w:pPr>
            <w:r>
              <w:rPr>
                <w:kern w:val="0"/>
                <w:szCs w:val="21"/>
                <w:lang w:bidi="ar"/>
              </w:rPr>
              <w:t>1</w:t>
            </w:r>
          </w:p>
        </w:tc>
      </w:tr>
      <w:tr w:rsidR="00EE4502">
        <w:trPr>
          <w:trHeight w:val="575"/>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E4502" w:rsidRDefault="00FD45A3">
            <w:pPr>
              <w:widowControl/>
              <w:jc w:val="center"/>
              <w:textAlignment w:val="center"/>
              <w:rPr>
                <w:szCs w:val="21"/>
              </w:rPr>
            </w:pPr>
            <w:r>
              <w:rPr>
                <w:kern w:val="0"/>
                <w:szCs w:val="21"/>
                <w:lang w:bidi="ar"/>
              </w:rPr>
              <w:t>O</w:t>
            </w:r>
            <w:r>
              <w:rPr>
                <w:szCs w:val="21"/>
                <w:vertAlign w:val="subscript"/>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E4502" w:rsidRDefault="00FD45A3">
            <w:pPr>
              <w:widowControl/>
              <w:jc w:val="center"/>
              <w:textAlignment w:val="center"/>
              <w:rPr>
                <w:szCs w:val="21"/>
              </w:rPr>
            </w:pPr>
            <w:r>
              <w:rPr>
                <w:szCs w:val="21"/>
                <w:lang w:bidi="ar"/>
              </w:rPr>
              <w:t>日最大</w:t>
            </w:r>
            <w:r>
              <w:rPr>
                <w:szCs w:val="21"/>
                <w:lang w:bidi="ar"/>
              </w:rPr>
              <w:t>8</w:t>
            </w:r>
            <w:r>
              <w:rPr>
                <w:szCs w:val="21"/>
                <w:lang w:bidi="ar"/>
              </w:rPr>
              <w:t>小时滑动平均第</w:t>
            </w:r>
            <w:r>
              <w:rPr>
                <w:szCs w:val="21"/>
                <w:lang w:bidi="ar"/>
              </w:rPr>
              <w:t>90</w:t>
            </w:r>
            <w:r>
              <w:rPr>
                <w:szCs w:val="21"/>
                <w:lang w:bidi="ar"/>
              </w:rPr>
              <w:t>百分位浓度</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4502" w:rsidRDefault="00FD45A3">
            <w:pPr>
              <w:widowControl/>
              <w:jc w:val="center"/>
              <w:textAlignment w:val="center"/>
              <w:rPr>
                <w:szCs w:val="21"/>
              </w:rPr>
            </w:pPr>
            <w:r>
              <w:rPr>
                <w:kern w:val="0"/>
                <w:szCs w:val="21"/>
                <w:lang w:bidi="ar"/>
              </w:rPr>
              <w:t>160</w:t>
            </w:r>
          </w:p>
        </w:tc>
        <w:tc>
          <w:tcPr>
            <w:tcW w:w="7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4502" w:rsidRDefault="00FD45A3">
            <w:pPr>
              <w:widowControl/>
              <w:jc w:val="center"/>
              <w:textAlignment w:val="center"/>
              <w:rPr>
                <w:szCs w:val="21"/>
              </w:rPr>
            </w:pPr>
            <w:r>
              <w:rPr>
                <w:kern w:val="0"/>
                <w:szCs w:val="21"/>
                <w:lang w:bidi="ar"/>
              </w:rPr>
              <w:t>123</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E4502" w:rsidRDefault="00FD45A3">
            <w:pPr>
              <w:widowControl/>
              <w:jc w:val="center"/>
              <w:textAlignment w:val="center"/>
              <w:rPr>
                <w:szCs w:val="21"/>
              </w:rPr>
            </w:pPr>
            <w:r>
              <w:rPr>
                <w:kern w:val="0"/>
                <w:szCs w:val="21"/>
                <w:lang w:bidi="ar"/>
              </w:rPr>
              <w:t>117</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E4502" w:rsidRDefault="00FD45A3">
            <w:pPr>
              <w:widowControl/>
              <w:jc w:val="center"/>
              <w:textAlignment w:val="center"/>
              <w:rPr>
                <w:szCs w:val="21"/>
              </w:rPr>
            </w:pPr>
            <w:r>
              <w:rPr>
                <w:kern w:val="0"/>
                <w:szCs w:val="21"/>
                <w:lang w:bidi="ar"/>
              </w:rPr>
              <w:t>119</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E4502" w:rsidRDefault="00FD45A3">
            <w:pPr>
              <w:widowControl/>
              <w:jc w:val="center"/>
              <w:textAlignment w:val="center"/>
              <w:rPr>
                <w:szCs w:val="21"/>
              </w:rPr>
            </w:pPr>
            <w:r>
              <w:rPr>
                <w:kern w:val="0"/>
                <w:szCs w:val="21"/>
                <w:lang w:bidi="ar"/>
              </w:rPr>
              <w:t>119</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E4502" w:rsidRDefault="00FD45A3">
            <w:pPr>
              <w:widowControl/>
              <w:jc w:val="center"/>
              <w:textAlignment w:val="center"/>
              <w:rPr>
                <w:szCs w:val="21"/>
              </w:rPr>
            </w:pPr>
            <w:r>
              <w:rPr>
                <w:kern w:val="0"/>
                <w:szCs w:val="21"/>
                <w:lang w:bidi="ar"/>
              </w:rPr>
              <w:t>123</w:t>
            </w:r>
          </w:p>
        </w:tc>
      </w:tr>
    </w:tbl>
    <w:p w:rsidR="00EE4502" w:rsidRDefault="00FD45A3">
      <w:pPr>
        <w:spacing w:line="360" w:lineRule="auto"/>
        <w:ind w:firstLineChars="200" w:firstLine="480"/>
        <w:rPr>
          <w:sz w:val="24"/>
        </w:rPr>
      </w:pPr>
      <w:r>
        <w:rPr>
          <w:sz w:val="24"/>
        </w:rPr>
        <w:t>引用</w:t>
      </w:r>
      <w:r>
        <w:rPr>
          <w:sz w:val="24"/>
        </w:rPr>
        <w:t>201</w:t>
      </w:r>
      <w:r>
        <w:rPr>
          <w:rFonts w:hint="eastAsia"/>
          <w:sz w:val="24"/>
        </w:rPr>
        <w:t>9</w:t>
      </w:r>
      <w:r>
        <w:rPr>
          <w:sz w:val="24"/>
        </w:rPr>
        <w:t>年</w:t>
      </w:r>
      <w:r>
        <w:rPr>
          <w:sz w:val="24"/>
        </w:rPr>
        <w:t>-202</w:t>
      </w:r>
      <w:r>
        <w:rPr>
          <w:rFonts w:hint="eastAsia"/>
          <w:sz w:val="24"/>
        </w:rPr>
        <w:t>3</w:t>
      </w:r>
      <w:r>
        <w:rPr>
          <w:sz w:val="24"/>
        </w:rPr>
        <w:t>年</w:t>
      </w:r>
      <w:r>
        <w:rPr>
          <w:rFonts w:hint="eastAsia"/>
          <w:sz w:val="24"/>
        </w:rPr>
        <w:t>克拉玛依市国控点数据</w:t>
      </w:r>
      <w:r>
        <w:rPr>
          <w:sz w:val="24"/>
        </w:rPr>
        <w:t>分析</w:t>
      </w:r>
      <w:r>
        <w:rPr>
          <w:sz w:val="24"/>
        </w:rPr>
        <w:t>，</w:t>
      </w:r>
      <w:r>
        <w:rPr>
          <w:rFonts w:hint="eastAsia"/>
          <w:sz w:val="24"/>
        </w:rPr>
        <w:t>克拉玛依市</w:t>
      </w:r>
      <w:r>
        <w:rPr>
          <w:sz w:val="24"/>
        </w:rPr>
        <w:t>SO</w:t>
      </w:r>
      <w:r>
        <w:rPr>
          <w:sz w:val="24"/>
          <w:vertAlign w:val="subscript"/>
        </w:rPr>
        <w:t>2</w:t>
      </w:r>
      <w:r>
        <w:rPr>
          <w:sz w:val="24"/>
        </w:rPr>
        <w:t>、</w:t>
      </w:r>
      <w:r>
        <w:rPr>
          <w:sz w:val="24"/>
        </w:rPr>
        <w:t>NO</w:t>
      </w:r>
      <w:r>
        <w:rPr>
          <w:sz w:val="24"/>
          <w:vertAlign w:val="subscript"/>
        </w:rPr>
        <w:t>2</w:t>
      </w:r>
      <w:r>
        <w:rPr>
          <w:sz w:val="24"/>
        </w:rPr>
        <w:t>、</w:t>
      </w:r>
      <w:r>
        <w:rPr>
          <w:sz w:val="24"/>
        </w:rPr>
        <w:t>CO</w:t>
      </w:r>
      <w:r>
        <w:rPr>
          <w:sz w:val="24"/>
        </w:rPr>
        <w:t>、</w:t>
      </w:r>
      <w:r>
        <w:rPr>
          <w:sz w:val="24"/>
        </w:rPr>
        <w:t>O</w:t>
      </w:r>
      <w:r>
        <w:rPr>
          <w:sz w:val="24"/>
          <w:vertAlign w:val="subscript"/>
        </w:rPr>
        <w:t>3</w:t>
      </w:r>
      <w:r>
        <w:rPr>
          <w:sz w:val="24"/>
        </w:rPr>
        <w:t>、</w:t>
      </w:r>
      <w:r>
        <w:rPr>
          <w:sz w:val="24"/>
        </w:rPr>
        <w:t>PM</w:t>
      </w:r>
      <w:r>
        <w:rPr>
          <w:sz w:val="24"/>
          <w:vertAlign w:val="subscript"/>
        </w:rPr>
        <w:t>10</w:t>
      </w:r>
      <w:r>
        <w:rPr>
          <w:sz w:val="24"/>
        </w:rPr>
        <w:t>、</w:t>
      </w:r>
      <w:r>
        <w:rPr>
          <w:sz w:val="24"/>
        </w:rPr>
        <w:t>PM</w:t>
      </w:r>
      <w:r>
        <w:rPr>
          <w:sz w:val="24"/>
          <w:vertAlign w:val="subscript"/>
        </w:rPr>
        <w:t>2.5</w:t>
      </w:r>
      <w:r>
        <w:rPr>
          <w:sz w:val="24"/>
        </w:rPr>
        <w:t>均值可以满足《环境空气质量标准》</w:t>
      </w:r>
      <w:r>
        <w:rPr>
          <w:rFonts w:hint="eastAsia"/>
          <w:sz w:val="24"/>
        </w:rPr>
        <w:t>（</w:t>
      </w:r>
      <w:r>
        <w:rPr>
          <w:sz w:val="24"/>
        </w:rPr>
        <w:t>GB3095-2012</w:t>
      </w:r>
      <w:r>
        <w:rPr>
          <w:rFonts w:hint="eastAsia"/>
          <w:sz w:val="24"/>
        </w:rPr>
        <w:t>）</w:t>
      </w:r>
      <w:r>
        <w:rPr>
          <w:sz w:val="24"/>
        </w:rPr>
        <w:t>中二级浓度限值及其修改单中二级标准。</w:t>
      </w:r>
    </w:p>
    <w:p w:rsidR="00EE4502" w:rsidRDefault="00FD45A3">
      <w:pPr>
        <w:pStyle w:val="33"/>
        <w:numPr>
          <w:ilvl w:val="2"/>
          <w:numId w:val="30"/>
        </w:numPr>
        <w:spacing w:line="360" w:lineRule="auto"/>
        <w:ind w:left="0" w:firstLine="0"/>
        <w:rPr>
          <w:spacing w:val="0"/>
          <w:sz w:val="24"/>
          <w:szCs w:val="24"/>
        </w:rPr>
      </w:pPr>
      <w:r>
        <w:rPr>
          <w:spacing w:val="0"/>
          <w:sz w:val="24"/>
          <w:szCs w:val="24"/>
        </w:rPr>
        <w:t>特征因子补充监测</w:t>
      </w:r>
    </w:p>
    <w:p w:rsidR="00EE4502" w:rsidRDefault="00FD45A3">
      <w:pPr>
        <w:spacing w:line="360" w:lineRule="auto"/>
        <w:ind w:firstLine="420"/>
        <w:jc w:val="left"/>
        <w:textAlignment w:val="baseline"/>
        <w:rPr>
          <w:bCs/>
          <w:kern w:val="0"/>
          <w:sz w:val="24"/>
          <w:szCs w:val="28"/>
        </w:rPr>
      </w:pPr>
      <w:r>
        <w:rPr>
          <w:bCs/>
          <w:kern w:val="0"/>
          <w:sz w:val="24"/>
          <w:szCs w:val="28"/>
        </w:rPr>
        <w:t>（</w:t>
      </w:r>
      <w:r>
        <w:rPr>
          <w:bCs/>
          <w:kern w:val="0"/>
          <w:sz w:val="24"/>
          <w:szCs w:val="28"/>
        </w:rPr>
        <w:t>1</w:t>
      </w:r>
      <w:r>
        <w:rPr>
          <w:bCs/>
          <w:kern w:val="0"/>
          <w:sz w:val="24"/>
          <w:szCs w:val="28"/>
        </w:rPr>
        <w:t>）监测点位</w:t>
      </w:r>
    </w:p>
    <w:p w:rsidR="00EE4502" w:rsidRDefault="00FD45A3">
      <w:pPr>
        <w:spacing w:line="360" w:lineRule="auto"/>
        <w:ind w:firstLine="420"/>
        <w:jc w:val="left"/>
        <w:textAlignment w:val="baseline"/>
        <w:rPr>
          <w:bCs/>
          <w:kern w:val="0"/>
          <w:sz w:val="24"/>
          <w:szCs w:val="28"/>
        </w:rPr>
      </w:pPr>
      <w:r>
        <w:rPr>
          <w:bCs/>
          <w:kern w:val="0"/>
          <w:sz w:val="24"/>
          <w:szCs w:val="28"/>
        </w:rPr>
        <w:t>根据《环境影响评价技术导则</w:t>
      </w:r>
      <w:r>
        <w:rPr>
          <w:bCs/>
          <w:kern w:val="0"/>
          <w:sz w:val="24"/>
          <w:szCs w:val="28"/>
        </w:rPr>
        <w:t xml:space="preserve"> </w:t>
      </w:r>
      <w:r>
        <w:rPr>
          <w:bCs/>
          <w:kern w:val="0"/>
          <w:sz w:val="24"/>
          <w:szCs w:val="28"/>
        </w:rPr>
        <w:t>大气环境》（</w:t>
      </w:r>
      <w:r>
        <w:rPr>
          <w:bCs/>
          <w:kern w:val="0"/>
          <w:sz w:val="24"/>
          <w:szCs w:val="28"/>
        </w:rPr>
        <w:t>HJ2.2-2018</w:t>
      </w:r>
      <w:r>
        <w:rPr>
          <w:bCs/>
          <w:kern w:val="0"/>
          <w:sz w:val="24"/>
          <w:szCs w:val="28"/>
        </w:rPr>
        <w:t>）要求，</w:t>
      </w:r>
      <w:r>
        <w:rPr>
          <w:rFonts w:hint="eastAsia"/>
          <w:bCs/>
          <w:kern w:val="0"/>
          <w:sz w:val="24"/>
          <w:szCs w:val="28"/>
        </w:rPr>
        <w:t>结合项目所在区域地形特点以及当地气象特征，</w:t>
      </w:r>
      <w:r>
        <w:rPr>
          <w:bCs/>
          <w:kern w:val="0"/>
          <w:sz w:val="24"/>
          <w:szCs w:val="28"/>
        </w:rPr>
        <w:t>本次评价</w:t>
      </w:r>
      <w:r>
        <w:rPr>
          <w:rFonts w:hint="eastAsia"/>
          <w:bCs/>
          <w:kern w:val="0"/>
          <w:sz w:val="24"/>
          <w:szCs w:val="28"/>
        </w:rPr>
        <w:t>委托新疆钧仪衡环境技术有限公司</w:t>
      </w:r>
      <w:r>
        <w:rPr>
          <w:bCs/>
          <w:kern w:val="0"/>
          <w:sz w:val="24"/>
          <w:szCs w:val="28"/>
        </w:rPr>
        <w:t>在</w:t>
      </w:r>
      <w:r>
        <w:rPr>
          <w:rFonts w:hint="eastAsia"/>
          <w:bCs/>
          <w:kern w:val="0"/>
          <w:sz w:val="24"/>
          <w:szCs w:val="28"/>
        </w:rPr>
        <w:t>工程区及工程区</w:t>
      </w:r>
      <w:r>
        <w:rPr>
          <w:bCs/>
          <w:kern w:val="0"/>
          <w:sz w:val="24"/>
          <w:szCs w:val="28"/>
        </w:rPr>
        <w:t>下风向</w:t>
      </w:r>
      <w:r>
        <w:rPr>
          <w:rFonts w:hint="eastAsia"/>
          <w:bCs/>
          <w:kern w:val="0"/>
          <w:sz w:val="24"/>
          <w:szCs w:val="28"/>
        </w:rPr>
        <w:t>各</w:t>
      </w:r>
      <w:r>
        <w:rPr>
          <w:bCs/>
          <w:kern w:val="0"/>
          <w:sz w:val="24"/>
          <w:szCs w:val="28"/>
        </w:rPr>
        <w:t>布设</w:t>
      </w:r>
      <w:r>
        <w:rPr>
          <w:bCs/>
          <w:kern w:val="0"/>
          <w:sz w:val="24"/>
          <w:szCs w:val="28"/>
        </w:rPr>
        <w:t>1</w:t>
      </w:r>
      <w:r>
        <w:rPr>
          <w:bCs/>
          <w:kern w:val="0"/>
          <w:sz w:val="24"/>
          <w:szCs w:val="28"/>
        </w:rPr>
        <w:t>个点位对非甲烷总烃</w:t>
      </w:r>
      <w:r>
        <w:rPr>
          <w:rFonts w:hint="eastAsia"/>
          <w:bCs/>
          <w:kern w:val="0"/>
          <w:sz w:val="24"/>
          <w:szCs w:val="28"/>
        </w:rPr>
        <w:t>和硫化氢</w:t>
      </w:r>
      <w:r>
        <w:rPr>
          <w:bCs/>
          <w:kern w:val="0"/>
          <w:sz w:val="24"/>
          <w:szCs w:val="28"/>
        </w:rPr>
        <w:t>进行补充监测。</w:t>
      </w:r>
      <w:r>
        <w:rPr>
          <w:rFonts w:hint="eastAsia"/>
          <w:bCs/>
          <w:kern w:val="0"/>
          <w:sz w:val="24"/>
          <w:szCs w:val="28"/>
        </w:rPr>
        <w:lastRenderedPageBreak/>
        <w:t>具体监测点位见表</w:t>
      </w:r>
      <w:r>
        <w:rPr>
          <w:rFonts w:hint="eastAsia"/>
          <w:bCs/>
          <w:kern w:val="0"/>
          <w:sz w:val="24"/>
          <w:szCs w:val="28"/>
        </w:rPr>
        <w:t>4</w:t>
      </w:r>
      <w:r>
        <w:rPr>
          <w:bCs/>
          <w:kern w:val="0"/>
          <w:sz w:val="24"/>
          <w:szCs w:val="28"/>
        </w:rPr>
        <w:t>-</w:t>
      </w:r>
      <w:r>
        <w:rPr>
          <w:rFonts w:hint="eastAsia"/>
          <w:bCs/>
          <w:kern w:val="0"/>
          <w:sz w:val="24"/>
          <w:szCs w:val="28"/>
        </w:rPr>
        <w:t>5-3</w:t>
      </w:r>
      <w:r>
        <w:rPr>
          <w:bCs/>
          <w:kern w:val="0"/>
          <w:sz w:val="24"/>
          <w:szCs w:val="28"/>
        </w:rPr>
        <w:t>。</w:t>
      </w:r>
    </w:p>
    <w:p w:rsidR="00EE4502" w:rsidRDefault="00FD45A3">
      <w:pPr>
        <w:spacing w:line="360" w:lineRule="auto"/>
        <w:jc w:val="center"/>
        <w:textAlignment w:val="baseline"/>
        <w:rPr>
          <w:rFonts w:eastAsia="黑体"/>
          <w:bCs/>
          <w:kern w:val="0"/>
          <w:szCs w:val="21"/>
        </w:rPr>
      </w:pPr>
      <w:r>
        <w:rPr>
          <w:rFonts w:eastAsia="黑体"/>
          <w:bCs/>
          <w:kern w:val="0"/>
          <w:szCs w:val="21"/>
        </w:rPr>
        <w:t>表</w:t>
      </w:r>
      <w:r>
        <w:rPr>
          <w:rFonts w:eastAsia="黑体"/>
          <w:bCs/>
          <w:kern w:val="0"/>
          <w:szCs w:val="21"/>
        </w:rPr>
        <w:t>4-</w:t>
      </w:r>
      <w:r>
        <w:rPr>
          <w:rFonts w:eastAsia="黑体" w:hint="eastAsia"/>
          <w:bCs/>
          <w:kern w:val="0"/>
          <w:szCs w:val="21"/>
        </w:rPr>
        <w:t>5-3</w:t>
      </w:r>
      <w:r>
        <w:rPr>
          <w:rFonts w:eastAsia="黑体"/>
          <w:bCs/>
          <w:kern w:val="0"/>
          <w:szCs w:val="21"/>
        </w:rPr>
        <w:t xml:space="preserve">  </w:t>
      </w:r>
      <w:r>
        <w:rPr>
          <w:rFonts w:eastAsia="黑体"/>
          <w:bCs/>
          <w:kern w:val="0"/>
          <w:szCs w:val="21"/>
        </w:rPr>
        <w:t>补充监测点位基本信息</w:t>
      </w:r>
    </w:p>
    <w:p w:rsidR="00EE4502" w:rsidRDefault="00FD45A3">
      <w:pPr>
        <w:spacing w:line="360" w:lineRule="auto"/>
        <w:ind w:firstLine="420"/>
        <w:jc w:val="left"/>
        <w:textAlignment w:val="baseline"/>
        <w:rPr>
          <w:bCs/>
          <w:kern w:val="0"/>
          <w:sz w:val="24"/>
          <w:szCs w:val="28"/>
        </w:rPr>
      </w:pPr>
      <w:r>
        <w:rPr>
          <w:bCs/>
          <w:kern w:val="0"/>
          <w:sz w:val="24"/>
          <w:szCs w:val="28"/>
        </w:rPr>
        <w:t>（</w:t>
      </w:r>
      <w:r>
        <w:rPr>
          <w:bCs/>
          <w:kern w:val="0"/>
          <w:sz w:val="24"/>
          <w:szCs w:val="28"/>
        </w:rPr>
        <w:t>2</w:t>
      </w:r>
      <w:r>
        <w:rPr>
          <w:bCs/>
          <w:kern w:val="0"/>
          <w:sz w:val="24"/>
          <w:szCs w:val="28"/>
        </w:rPr>
        <w:t>）监测项目及监测方法</w:t>
      </w:r>
    </w:p>
    <w:p w:rsidR="00EE4502" w:rsidRDefault="00FD45A3">
      <w:pPr>
        <w:spacing w:line="360" w:lineRule="auto"/>
        <w:ind w:firstLine="420"/>
        <w:jc w:val="left"/>
        <w:textAlignment w:val="baseline"/>
        <w:rPr>
          <w:bCs/>
          <w:kern w:val="0"/>
          <w:sz w:val="24"/>
          <w:szCs w:val="28"/>
        </w:rPr>
      </w:pPr>
      <w:r>
        <w:rPr>
          <w:bCs/>
          <w:kern w:val="0"/>
          <w:sz w:val="24"/>
          <w:szCs w:val="28"/>
        </w:rPr>
        <w:t>监测项目：非甲烷总烃</w:t>
      </w:r>
      <w:r>
        <w:rPr>
          <w:rFonts w:hint="eastAsia"/>
          <w:bCs/>
          <w:kern w:val="0"/>
          <w:sz w:val="24"/>
          <w:szCs w:val="28"/>
        </w:rPr>
        <w:t>、硫化氢</w:t>
      </w:r>
      <w:r>
        <w:rPr>
          <w:bCs/>
          <w:kern w:val="0"/>
          <w:sz w:val="24"/>
          <w:szCs w:val="28"/>
        </w:rPr>
        <w:t>。</w:t>
      </w:r>
    </w:p>
    <w:p w:rsidR="00EE4502" w:rsidRDefault="00FD45A3">
      <w:pPr>
        <w:spacing w:line="360" w:lineRule="auto"/>
        <w:ind w:firstLine="420"/>
        <w:jc w:val="left"/>
        <w:textAlignment w:val="baseline"/>
        <w:rPr>
          <w:bCs/>
          <w:kern w:val="0"/>
          <w:sz w:val="24"/>
          <w:szCs w:val="28"/>
        </w:rPr>
      </w:pPr>
      <w:r>
        <w:rPr>
          <w:bCs/>
          <w:kern w:val="0"/>
          <w:sz w:val="24"/>
          <w:szCs w:val="28"/>
        </w:rPr>
        <w:t>监测方法：按国家《环境监测技术规范（大气部分）》的规定执行；分析方法按《空气和废气监测分析方法》的有关规定和要求执行。</w:t>
      </w:r>
      <w:r>
        <w:rPr>
          <w:rFonts w:hint="eastAsia"/>
          <w:bCs/>
          <w:kern w:val="0"/>
          <w:sz w:val="24"/>
          <w:szCs w:val="28"/>
        </w:rPr>
        <w:t>监测时同步记录天气状况、环境气压、环境温度、风力、风速、风向等气象资料。具体分析方法及检出限见表</w:t>
      </w:r>
      <w:r>
        <w:rPr>
          <w:rFonts w:hint="eastAsia"/>
          <w:bCs/>
          <w:kern w:val="0"/>
          <w:sz w:val="24"/>
          <w:szCs w:val="28"/>
        </w:rPr>
        <w:t>4-</w:t>
      </w:r>
      <w:r>
        <w:rPr>
          <w:rFonts w:hint="eastAsia"/>
          <w:bCs/>
          <w:kern w:val="0"/>
          <w:sz w:val="24"/>
          <w:szCs w:val="28"/>
        </w:rPr>
        <w:t>5-4</w:t>
      </w:r>
      <w:r>
        <w:rPr>
          <w:rFonts w:hint="eastAsia"/>
          <w:bCs/>
          <w:kern w:val="0"/>
          <w:sz w:val="24"/>
          <w:szCs w:val="28"/>
        </w:rPr>
        <w:t>。</w:t>
      </w:r>
    </w:p>
    <w:p w:rsidR="00EE4502" w:rsidRDefault="00FD45A3">
      <w:pPr>
        <w:widowControl/>
        <w:tabs>
          <w:tab w:val="left" w:pos="3502"/>
        </w:tabs>
        <w:spacing w:line="360" w:lineRule="auto"/>
        <w:jc w:val="center"/>
        <w:rPr>
          <w:rFonts w:eastAsia="黑体"/>
          <w:kern w:val="0"/>
          <w:szCs w:val="21"/>
        </w:rPr>
      </w:pPr>
      <w:r>
        <w:rPr>
          <w:rFonts w:eastAsia="黑体"/>
          <w:kern w:val="0"/>
          <w:szCs w:val="21"/>
        </w:rPr>
        <w:t>表</w:t>
      </w:r>
      <w:r>
        <w:rPr>
          <w:rFonts w:eastAsia="黑体" w:hint="eastAsia"/>
          <w:kern w:val="0"/>
          <w:szCs w:val="21"/>
        </w:rPr>
        <w:t>4-5-4</w:t>
      </w:r>
      <w:r>
        <w:rPr>
          <w:rFonts w:eastAsia="黑体"/>
          <w:kern w:val="0"/>
          <w:szCs w:val="21"/>
        </w:rPr>
        <w:t xml:space="preserve">  </w:t>
      </w:r>
      <w:r>
        <w:rPr>
          <w:rFonts w:eastAsia="黑体"/>
          <w:kern w:val="0"/>
          <w:szCs w:val="21"/>
        </w:rPr>
        <w:t>监测</w:t>
      </w:r>
      <w:r>
        <w:rPr>
          <w:rFonts w:eastAsia="黑体" w:hint="eastAsia"/>
          <w:kern w:val="0"/>
          <w:szCs w:val="21"/>
        </w:rPr>
        <w:t>项目分析方法</w:t>
      </w:r>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285"/>
        <w:gridCol w:w="4242"/>
        <w:gridCol w:w="1599"/>
        <w:gridCol w:w="1396"/>
      </w:tblGrid>
      <w:tr w:rsidR="00EE4502">
        <w:trPr>
          <w:trHeight w:val="340"/>
        </w:trPr>
        <w:tc>
          <w:tcPr>
            <w:tcW w:w="754" w:type="pct"/>
            <w:vAlign w:val="center"/>
          </w:tcPr>
          <w:p w:rsidR="00EE4502" w:rsidRDefault="00FD45A3">
            <w:pPr>
              <w:jc w:val="center"/>
              <w:rPr>
                <w:sz w:val="18"/>
                <w:szCs w:val="18"/>
              </w:rPr>
            </w:pPr>
            <w:r>
              <w:rPr>
                <w:sz w:val="18"/>
                <w:szCs w:val="18"/>
              </w:rPr>
              <w:t>监测</w:t>
            </w:r>
            <w:r>
              <w:rPr>
                <w:rFonts w:hint="eastAsia"/>
                <w:sz w:val="18"/>
                <w:szCs w:val="18"/>
              </w:rPr>
              <w:t>项目</w:t>
            </w:r>
          </w:p>
        </w:tc>
        <w:tc>
          <w:tcPr>
            <w:tcW w:w="2489" w:type="pct"/>
            <w:vAlign w:val="center"/>
          </w:tcPr>
          <w:p w:rsidR="00EE4502" w:rsidRDefault="00FD45A3">
            <w:pPr>
              <w:jc w:val="center"/>
              <w:rPr>
                <w:sz w:val="18"/>
                <w:szCs w:val="18"/>
              </w:rPr>
            </w:pPr>
            <w:r>
              <w:rPr>
                <w:rFonts w:hint="eastAsia"/>
                <w:sz w:val="18"/>
                <w:szCs w:val="18"/>
              </w:rPr>
              <w:t>分析方法</w:t>
            </w:r>
          </w:p>
        </w:tc>
        <w:tc>
          <w:tcPr>
            <w:tcW w:w="938" w:type="pct"/>
            <w:vAlign w:val="center"/>
          </w:tcPr>
          <w:p w:rsidR="00EE4502" w:rsidRDefault="00FD45A3">
            <w:pPr>
              <w:jc w:val="center"/>
              <w:rPr>
                <w:sz w:val="18"/>
                <w:szCs w:val="18"/>
              </w:rPr>
            </w:pPr>
            <w:r>
              <w:rPr>
                <w:rFonts w:hint="eastAsia"/>
                <w:sz w:val="18"/>
                <w:szCs w:val="18"/>
              </w:rPr>
              <w:t>方法来源</w:t>
            </w:r>
          </w:p>
        </w:tc>
        <w:tc>
          <w:tcPr>
            <w:tcW w:w="819" w:type="pct"/>
            <w:vAlign w:val="center"/>
          </w:tcPr>
          <w:p w:rsidR="00EE4502" w:rsidRDefault="00FD45A3">
            <w:pPr>
              <w:jc w:val="center"/>
              <w:rPr>
                <w:sz w:val="18"/>
                <w:szCs w:val="18"/>
              </w:rPr>
            </w:pPr>
            <w:r>
              <w:rPr>
                <w:rFonts w:hint="eastAsia"/>
                <w:sz w:val="18"/>
                <w:szCs w:val="18"/>
              </w:rPr>
              <w:t>检出限</w:t>
            </w:r>
          </w:p>
        </w:tc>
      </w:tr>
      <w:tr w:rsidR="00EE4502">
        <w:trPr>
          <w:trHeight w:val="340"/>
        </w:trPr>
        <w:tc>
          <w:tcPr>
            <w:tcW w:w="754" w:type="pct"/>
            <w:vAlign w:val="center"/>
          </w:tcPr>
          <w:p w:rsidR="00EE4502" w:rsidRDefault="00FD45A3">
            <w:pPr>
              <w:jc w:val="center"/>
              <w:rPr>
                <w:sz w:val="18"/>
                <w:szCs w:val="18"/>
              </w:rPr>
            </w:pPr>
            <w:r>
              <w:rPr>
                <w:sz w:val="18"/>
                <w:szCs w:val="18"/>
              </w:rPr>
              <w:t>H</w:t>
            </w:r>
            <w:r>
              <w:rPr>
                <w:sz w:val="18"/>
                <w:szCs w:val="18"/>
                <w:vertAlign w:val="subscript"/>
              </w:rPr>
              <w:t>2</w:t>
            </w:r>
            <w:r>
              <w:rPr>
                <w:sz w:val="18"/>
                <w:szCs w:val="18"/>
              </w:rPr>
              <w:t>S</w:t>
            </w:r>
          </w:p>
        </w:tc>
        <w:tc>
          <w:tcPr>
            <w:tcW w:w="2489" w:type="pct"/>
            <w:vAlign w:val="center"/>
          </w:tcPr>
          <w:p w:rsidR="00EE4502" w:rsidRDefault="00FD45A3">
            <w:pPr>
              <w:jc w:val="center"/>
              <w:rPr>
                <w:sz w:val="18"/>
                <w:szCs w:val="18"/>
              </w:rPr>
            </w:pPr>
            <w:r>
              <w:rPr>
                <w:rFonts w:hint="eastAsia"/>
                <w:sz w:val="18"/>
                <w:szCs w:val="18"/>
              </w:rPr>
              <w:t>环境空气</w:t>
            </w:r>
            <w:r>
              <w:rPr>
                <w:rFonts w:hint="eastAsia"/>
                <w:sz w:val="18"/>
                <w:szCs w:val="18"/>
              </w:rPr>
              <w:t xml:space="preserve"> </w:t>
            </w:r>
            <w:r>
              <w:rPr>
                <w:rFonts w:hint="eastAsia"/>
                <w:sz w:val="18"/>
                <w:szCs w:val="18"/>
              </w:rPr>
              <w:t>总烃、甲烷和非甲烷总烃的测定</w:t>
            </w:r>
            <w:r>
              <w:rPr>
                <w:rFonts w:hint="eastAsia"/>
                <w:sz w:val="18"/>
                <w:szCs w:val="18"/>
              </w:rPr>
              <w:t xml:space="preserve"> </w:t>
            </w:r>
            <w:r>
              <w:rPr>
                <w:rFonts w:hint="eastAsia"/>
                <w:sz w:val="18"/>
                <w:szCs w:val="18"/>
              </w:rPr>
              <w:t>直接进样</w:t>
            </w:r>
            <w:r>
              <w:rPr>
                <w:rFonts w:hint="eastAsia"/>
                <w:sz w:val="18"/>
                <w:szCs w:val="18"/>
              </w:rPr>
              <w:t>-</w:t>
            </w:r>
            <w:r>
              <w:rPr>
                <w:rFonts w:hint="eastAsia"/>
                <w:sz w:val="18"/>
                <w:szCs w:val="18"/>
              </w:rPr>
              <w:t>气相色谱法</w:t>
            </w:r>
          </w:p>
        </w:tc>
        <w:tc>
          <w:tcPr>
            <w:tcW w:w="938" w:type="pct"/>
            <w:vAlign w:val="center"/>
          </w:tcPr>
          <w:p w:rsidR="00EE4502" w:rsidRDefault="00FD45A3">
            <w:pPr>
              <w:jc w:val="center"/>
              <w:rPr>
                <w:sz w:val="18"/>
                <w:szCs w:val="18"/>
              </w:rPr>
            </w:pPr>
            <w:r>
              <w:rPr>
                <w:sz w:val="18"/>
                <w:szCs w:val="18"/>
              </w:rPr>
              <w:t>HJ 604-2017</w:t>
            </w:r>
          </w:p>
        </w:tc>
        <w:tc>
          <w:tcPr>
            <w:tcW w:w="819" w:type="pct"/>
            <w:vAlign w:val="center"/>
          </w:tcPr>
          <w:p w:rsidR="00EE4502" w:rsidRDefault="00FD45A3">
            <w:pPr>
              <w:jc w:val="center"/>
              <w:rPr>
                <w:sz w:val="18"/>
                <w:szCs w:val="18"/>
              </w:rPr>
            </w:pPr>
            <w:r>
              <w:rPr>
                <w:sz w:val="18"/>
                <w:szCs w:val="18"/>
              </w:rPr>
              <w:t>0.07mg/m</w:t>
            </w:r>
            <w:r>
              <w:rPr>
                <w:sz w:val="18"/>
                <w:szCs w:val="18"/>
                <w:vertAlign w:val="superscript"/>
              </w:rPr>
              <w:t>3</w:t>
            </w:r>
          </w:p>
        </w:tc>
      </w:tr>
      <w:tr w:rsidR="00EE4502">
        <w:trPr>
          <w:trHeight w:val="340"/>
        </w:trPr>
        <w:tc>
          <w:tcPr>
            <w:tcW w:w="754" w:type="pct"/>
            <w:vAlign w:val="center"/>
          </w:tcPr>
          <w:p w:rsidR="00EE4502" w:rsidRDefault="00FD45A3">
            <w:pPr>
              <w:jc w:val="center"/>
              <w:rPr>
                <w:sz w:val="18"/>
                <w:szCs w:val="18"/>
              </w:rPr>
            </w:pPr>
            <w:r>
              <w:rPr>
                <w:sz w:val="18"/>
                <w:szCs w:val="18"/>
              </w:rPr>
              <w:t>非甲烷总烃</w:t>
            </w:r>
          </w:p>
        </w:tc>
        <w:tc>
          <w:tcPr>
            <w:tcW w:w="2489" w:type="pct"/>
            <w:vAlign w:val="center"/>
          </w:tcPr>
          <w:p w:rsidR="00EE4502" w:rsidRDefault="00FD45A3">
            <w:pPr>
              <w:jc w:val="center"/>
              <w:rPr>
                <w:sz w:val="18"/>
                <w:szCs w:val="18"/>
              </w:rPr>
            </w:pPr>
            <w:r>
              <w:rPr>
                <w:rFonts w:hint="eastAsia"/>
                <w:sz w:val="18"/>
                <w:szCs w:val="18"/>
              </w:rPr>
              <w:t>空气质量</w:t>
            </w:r>
            <w:r>
              <w:rPr>
                <w:rFonts w:hint="eastAsia"/>
                <w:sz w:val="18"/>
                <w:szCs w:val="18"/>
              </w:rPr>
              <w:t xml:space="preserve"> </w:t>
            </w:r>
            <w:r>
              <w:rPr>
                <w:rFonts w:hint="eastAsia"/>
                <w:sz w:val="18"/>
                <w:szCs w:val="18"/>
              </w:rPr>
              <w:t>硫化氢、甲硫醇、甲硫醚和二甲二硫的测定</w:t>
            </w:r>
            <w:r>
              <w:rPr>
                <w:rFonts w:hint="eastAsia"/>
                <w:sz w:val="18"/>
                <w:szCs w:val="18"/>
              </w:rPr>
              <w:t xml:space="preserve"> </w:t>
            </w:r>
            <w:r>
              <w:rPr>
                <w:rFonts w:hint="eastAsia"/>
                <w:sz w:val="18"/>
                <w:szCs w:val="18"/>
              </w:rPr>
              <w:t>气相色谱法</w:t>
            </w:r>
          </w:p>
        </w:tc>
        <w:tc>
          <w:tcPr>
            <w:tcW w:w="938" w:type="pct"/>
            <w:vAlign w:val="center"/>
          </w:tcPr>
          <w:p w:rsidR="00EE4502" w:rsidRDefault="00FD45A3">
            <w:pPr>
              <w:jc w:val="center"/>
              <w:rPr>
                <w:sz w:val="18"/>
                <w:szCs w:val="18"/>
              </w:rPr>
            </w:pPr>
            <w:r>
              <w:rPr>
                <w:sz w:val="18"/>
                <w:szCs w:val="18"/>
              </w:rPr>
              <w:t>GB/T 14678-1993</w:t>
            </w:r>
          </w:p>
        </w:tc>
        <w:tc>
          <w:tcPr>
            <w:tcW w:w="819" w:type="pct"/>
            <w:vAlign w:val="center"/>
          </w:tcPr>
          <w:p w:rsidR="00EE4502" w:rsidRDefault="00FD45A3">
            <w:pPr>
              <w:jc w:val="center"/>
              <w:rPr>
                <w:sz w:val="18"/>
                <w:szCs w:val="18"/>
              </w:rPr>
            </w:pPr>
            <w:r>
              <w:rPr>
                <w:sz w:val="18"/>
                <w:szCs w:val="18"/>
              </w:rPr>
              <w:t>1.0×10</w:t>
            </w:r>
            <w:r>
              <w:rPr>
                <w:sz w:val="18"/>
                <w:szCs w:val="18"/>
                <w:vertAlign w:val="superscript"/>
              </w:rPr>
              <w:t>-3</w:t>
            </w:r>
            <w:r>
              <w:rPr>
                <w:sz w:val="18"/>
                <w:szCs w:val="18"/>
              </w:rPr>
              <w:t>mg/m</w:t>
            </w:r>
            <w:r>
              <w:rPr>
                <w:sz w:val="18"/>
                <w:szCs w:val="18"/>
                <w:vertAlign w:val="superscript"/>
              </w:rPr>
              <w:t>3</w:t>
            </w:r>
          </w:p>
        </w:tc>
      </w:tr>
    </w:tbl>
    <w:p w:rsidR="00EE4502" w:rsidRDefault="00FD45A3">
      <w:pPr>
        <w:spacing w:line="360" w:lineRule="auto"/>
        <w:ind w:firstLine="420"/>
        <w:jc w:val="left"/>
        <w:textAlignment w:val="baseline"/>
        <w:rPr>
          <w:bCs/>
          <w:kern w:val="0"/>
          <w:sz w:val="24"/>
          <w:szCs w:val="28"/>
        </w:rPr>
      </w:pPr>
      <w:r>
        <w:rPr>
          <w:bCs/>
          <w:kern w:val="0"/>
          <w:sz w:val="24"/>
          <w:szCs w:val="28"/>
        </w:rPr>
        <w:t>（</w:t>
      </w:r>
      <w:r>
        <w:rPr>
          <w:bCs/>
          <w:kern w:val="0"/>
          <w:sz w:val="24"/>
          <w:szCs w:val="28"/>
        </w:rPr>
        <w:t>3</w:t>
      </w:r>
      <w:r>
        <w:rPr>
          <w:bCs/>
          <w:kern w:val="0"/>
          <w:sz w:val="24"/>
          <w:szCs w:val="28"/>
        </w:rPr>
        <w:t>）监测时间及频率</w:t>
      </w:r>
    </w:p>
    <w:p w:rsidR="00EE4502" w:rsidRDefault="00FD45A3">
      <w:pPr>
        <w:spacing w:line="360" w:lineRule="auto"/>
        <w:ind w:firstLine="420"/>
        <w:jc w:val="left"/>
        <w:textAlignment w:val="baseline"/>
        <w:rPr>
          <w:bCs/>
          <w:kern w:val="0"/>
          <w:sz w:val="24"/>
          <w:szCs w:val="28"/>
        </w:rPr>
      </w:pPr>
      <w:r>
        <w:rPr>
          <w:bCs/>
          <w:kern w:val="0"/>
          <w:sz w:val="24"/>
          <w:szCs w:val="28"/>
        </w:rPr>
        <w:t>202</w:t>
      </w:r>
      <w:r>
        <w:rPr>
          <w:rFonts w:hint="eastAsia"/>
          <w:bCs/>
          <w:kern w:val="0"/>
          <w:sz w:val="24"/>
          <w:szCs w:val="28"/>
        </w:rPr>
        <w:t>5</w:t>
      </w:r>
      <w:r>
        <w:rPr>
          <w:bCs/>
          <w:kern w:val="0"/>
          <w:sz w:val="24"/>
          <w:szCs w:val="28"/>
        </w:rPr>
        <w:t>年</w:t>
      </w:r>
      <w:r>
        <w:rPr>
          <w:rFonts w:hint="eastAsia"/>
          <w:bCs/>
          <w:kern w:val="0"/>
          <w:sz w:val="24"/>
          <w:szCs w:val="28"/>
        </w:rPr>
        <w:t>2</w:t>
      </w:r>
      <w:r>
        <w:rPr>
          <w:bCs/>
          <w:kern w:val="0"/>
          <w:sz w:val="24"/>
          <w:szCs w:val="28"/>
        </w:rPr>
        <w:t>月连续七天监测，</w:t>
      </w:r>
      <w:r>
        <w:rPr>
          <w:rFonts w:hint="eastAsia"/>
          <w:bCs/>
          <w:kern w:val="0"/>
          <w:sz w:val="24"/>
          <w:szCs w:val="28"/>
        </w:rPr>
        <w:t>监测因子及频次详见表</w:t>
      </w:r>
      <w:r>
        <w:rPr>
          <w:rFonts w:hint="eastAsia"/>
          <w:bCs/>
          <w:kern w:val="0"/>
          <w:sz w:val="24"/>
          <w:szCs w:val="28"/>
        </w:rPr>
        <w:t>4-5-</w:t>
      </w:r>
      <w:r>
        <w:rPr>
          <w:rFonts w:hint="eastAsia"/>
          <w:bCs/>
          <w:kern w:val="0"/>
          <w:sz w:val="24"/>
          <w:szCs w:val="28"/>
        </w:rPr>
        <w:t>5</w:t>
      </w:r>
      <w:r>
        <w:rPr>
          <w:bCs/>
          <w:kern w:val="0"/>
          <w:sz w:val="24"/>
          <w:szCs w:val="28"/>
        </w:rPr>
        <w:t>。</w:t>
      </w:r>
      <w:r>
        <w:rPr>
          <w:rFonts w:hint="eastAsia"/>
          <w:bCs/>
          <w:kern w:val="0"/>
          <w:sz w:val="24"/>
          <w:szCs w:val="28"/>
        </w:rPr>
        <w:t>监测期间同步进行风向、风速、气温及气压等气象要素的观测。</w:t>
      </w:r>
    </w:p>
    <w:p w:rsidR="00EE4502" w:rsidRDefault="00FD45A3">
      <w:pPr>
        <w:widowControl/>
        <w:tabs>
          <w:tab w:val="left" w:pos="3502"/>
        </w:tabs>
        <w:spacing w:line="360" w:lineRule="auto"/>
        <w:jc w:val="center"/>
        <w:rPr>
          <w:rFonts w:eastAsia="黑体"/>
          <w:kern w:val="0"/>
          <w:szCs w:val="21"/>
        </w:rPr>
      </w:pPr>
      <w:r>
        <w:rPr>
          <w:rFonts w:eastAsia="黑体"/>
          <w:kern w:val="0"/>
          <w:szCs w:val="21"/>
        </w:rPr>
        <w:t>表</w:t>
      </w:r>
      <w:r>
        <w:rPr>
          <w:rFonts w:eastAsia="黑体" w:hint="eastAsia"/>
          <w:kern w:val="0"/>
          <w:szCs w:val="21"/>
        </w:rPr>
        <w:t>4-5-</w:t>
      </w:r>
      <w:r>
        <w:rPr>
          <w:rFonts w:eastAsia="黑体" w:hint="eastAsia"/>
          <w:kern w:val="0"/>
          <w:szCs w:val="21"/>
        </w:rPr>
        <w:t>5</w:t>
      </w:r>
      <w:r>
        <w:rPr>
          <w:rFonts w:eastAsia="黑体"/>
          <w:kern w:val="0"/>
          <w:szCs w:val="21"/>
        </w:rPr>
        <w:t xml:space="preserve">  </w:t>
      </w:r>
      <w:r>
        <w:rPr>
          <w:rFonts w:eastAsia="黑体"/>
          <w:kern w:val="0"/>
          <w:szCs w:val="21"/>
        </w:rPr>
        <w:t>监测因子及监测频次</w:t>
      </w:r>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04"/>
        <w:gridCol w:w="1024"/>
        <w:gridCol w:w="2770"/>
        <w:gridCol w:w="3724"/>
      </w:tblGrid>
      <w:tr w:rsidR="00EE4502">
        <w:trPr>
          <w:trHeight w:val="340"/>
        </w:trPr>
        <w:tc>
          <w:tcPr>
            <w:tcW w:w="589" w:type="pct"/>
            <w:vAlign w:val="center"/>
          </w:tcPr>
          <w:p w:rsidR="00EE4502" w:rsidRDefault="00FD45A3">
            <w:pPr>
              <w:jc w:val="center"/>
              <w:rPr>
                <w:sz w:val="18"/>
                <w:szCs w:val="18"/>
              </w:rPr>
            </w:pPr>
            <w:r>
              <w:rPr>
                <w:sz w:val="18"/>
                <w:szCs w:val="18"/>
              </w:rPr>
              <w:t>监测因子</w:t>
            </w:r>
          </w:p>
        </w:tc>
        <w:tc>
          <w:tcPr>
            <w:tcW w:w="601" w:type="pct"/>
            <w:vAlign w:val="center"/>
          </w:tcPr>
          <w:p w:rsidR="00EE4502" w:rsidRDefault="00FD45A3">
            <w:pPr>
              <w:jc w:val="center"/>
              <w:rPr>
                <w:sz w:val="18"/>
                <w:szCs w:val="18"/>
              </w:rPr>
            </w:pPr>
            <w:r>
              <w:rPr>
                <w:sz w:val="18"/>
                <w:szCs w:val="18"/>
              </w:rPr>
              <w:t>监测项目</w:t>
            </w:r>
          </w:p>
        </w:tc>
        <w:tc>
          <w:tcPr>
            <w:tcW w:w="1624" w:type="pct"/>
            <w:vAlign w:val="center"/>
          </w:tcPr>
          <w:p w:rsidR="00EE4502" w:rsidRDefault="00FD45A3">
            <w:pPr>
              <w:jc w:val="center"/>
              <w:rPr>
                <w:sz w:val="18"/>
                <w:szCs w:val="18"/>
              </w:rPr>
            </w:pPr>
            <w:r>
              <w:rPr>
                <w:sz w:val="18"/>
                <w:szCs w:val="18"/>
              </w:rPr>
              <w:t>执行标准</w:t>
            </w:r>
          </w:p>
        </w:tc>
        <w:tc>
          <w:tcPr>
            <w:tcW w:w="2184" w:type="pct"/>
            <w:vAlign w:val="center"/>
          </w:tcPr>
          <w:p w:rsidR="00EE4502" w:rsidRDefault="00FD45A3">
            <w:pPr>
              <w:jc w:val="center"/>
              <w:rPr>
                <w:sz w:val="18"/>
                <w:szCs w:val="18"/>
              </w:rPr>
            </w:pPr>
            <w:r>
              <w:rPr>
                <w:sz w:val="18"/>
                <w:szCs w:val="18"/>
              </w:rPr>
              <w:t>监测时间及频次</w:t>
            </w:r>
          </w:p>
        </w:tc>
      </w:tr>
      <w:tr w:rsidR="00EE4502">
        <w:trPr>
          <w:trHeight w:val="340"/>
        </w:trPr>
        <w:tc>
          <w:tcPr>
            <w:tcW w:w="589" w:type="pct"/>
            <w:vAlign w:val="center"/>
          </w:tcPr>
          <w:p w:rsidR="00EE4502" w:rsidRDefault="00FD45A3">
            <w:pPr>
              <w:jc w:val="center"/>
              <w:rPr>
                <w:sz w:val="18"/>
                <w:szCs w:val="18"/>
              </w:rPr>
            </w:pPr>
            <w:r>
              <w:rPr>
                <w:sz w:val="18"/>
                <w:szCs w:val="18"/>
              </w:rPr>
              <w:t>H</w:t>
            </w:r>
            <w:r>
              <w:rPr>
                <w:sz w:val="18"/>
                <w:szCs w:val="18"/>
                <w:vertAlign w:val="subscript"/>
              </w:rPr>
              <w:t>2</w:t>
            </w:r>
            <w:r>
              <w:rPr>
                <w:sz w:val="18"/>
                <w:szCs w:val="18"/>
              </w:rPr>
              <w:t>S</w:t>
            </w:r>
          </w:p>
        </w:tc>
        <w:tc>
          <w:tcPr>
            <w:tcW w:w="601" w:type="pct"/>
            <w:vAlign w:val="center"/>
          </w:tcPr>
          <w:p w:rsidR="00EE4502" w:rsidRDefault="00FD45A3">
            <w:pPr>
              <w:jc w:val="center"/>
              <w:rPr>
                <w:sz w:val="18"/>
                <w:szCs w:val="18"/>
              </w:rPr>
            </w:pPr>
            <w:r>
              <w:rPr>
                <w:sz w:val="18"/>
                <w:szCs w:val="18"/>
              </w:rPr>
              <w:t>小时均值</w:t>
            </w:r>
          </w:p>
        </w:tc>
        <w:tc>
          <w:tcPr>
            <w:tcW w:w="1624" w:type="pct"/>
            <w:vAlign w:val="center"/>
          </w:tcPr>
          <w:p w:rsidR="00EE4502" w:rsidRDefault="00FD45A3">
            <w:pPr>
              <w:jc w:val="center"/>
              <w:rPr>
                <w:sz w:val="18"/>
                <w:szCs w:val="18"/>
              </w:rPr>
            </w:pPr>
            <w:r>
              <w:rPr>
                <w:rFonts w:hint="eastAsia"/>
                <w:sz w:val="18"/>
                <w:szCs w:val="18"/>
              </w:rPr>
              <w:t>《环境影响评价技术导则</w:t>
            </w:r>
            <w:r>
              <w:rPr>
                <w:rFonts w:hint="eastAsia"/>
                <w:sz w:val="18"/>
                <w:szCs w:val="18"/>
              </w:rPr>
              <w:t xml:space="preserve"> </w:t>
            </w:r>
            <w:r>
              <w:rPr>
                <w:rFonts w:hint="eastAsia"/>
                <w:sz w:val="18"/>
                <w:szCs w:val="18"/>
              </w:rPr>
              <w:t>大气环境》（</w:t>
            </w:r>
            <w:r>
              <w:rPr>
                <w:sz w:val="18"/>
                <w:szCs w:val="18"/>
              </w:rPr>
              <w:t>HJ2.2-2018</w:t>
            </w:r>
            <w:r>
              <w:rPr>
                <w:rFonts w:hint="eastAsia"/>
                <w:sz w:val="18"/>
                <w:szCs w:val="18"/>
              </w:rPr>
              <w:t>）</w:t>
            </w:r>
            <w:r>
              <w:rPr>
                <w:sz w:val="18"/>
                <w:szCs w:val="18"/>
              </w:rPr>
              <w:t>附录</w:t>
            </w:r>
            <w:r>
              <w:rPr>
                <w:sz w:val="18"/>
                <w:szCs w:val="18"/>
              </w:rPr>
              <w:t>D</w:t>
            </w:r>
          </w:p>
        </w:tc>
        <w:tc>
          <w:tcPr>
            <w:tcW w:w="2184" w:type="pct"/>
            <w:vAlign w:val="center"/>
          </w:tcPr>
          <w:p w:rsidR="00EE4502" w:rsidRDefault="00FD45A3">
            <w:pPr>
              <w:jc w:val="center"/>
              <w:rPr>
                <w:sz w:val="18"/>
                <w:szCs w:val="18"/>
              </w:rPr>
            </w:pPr>
            <w:r>
              <w:rPr>
                <w:sz w:val="18"/>
                <w:szCs w:val="18"/>
              </w:rPr>
              <w:t>每日采样</w:t>
            </w:r>
            <w:r>
              <w:rPr>
                <w:sz w:val="18"/>
                <w:szCs w:val="18"/>
              </w:rPr>
              <w:t>4</w:t>
            </w:r>
            <w:r>
              <w:rPr>
                <w:sz w:val="18"/>
                <w:szCs w:val="18"/>
              </w:rPr>
              <w:t>次，采样时间为每天</w:t>
            </w:r>
            <w:r>
              <w:rPr>
                <w:sz w:val="18"/>
                <w:szCs w:val="18"/>
              </w:rPr>
              <w:t>02</w:t>
            </w:r>
            <w:r>
              <w:rPr>
                <w:sz w:val="18"/>
                <w:szCs w:val="18"/>
              </w:rPr>
              <w:t>、</w:t>
            </w:r>
            <w:r>
              <w:rPr>
                <w:sz w:val="18"/>
                <w:szCs w:val="18"/>
              </w:rPr>
              <w:t>08</w:t>
            </w:r>
            <w:r>
              <w:rPr>
                <w:sz w:val="18"/>
                <w:szCs w:val="18"/>
              </w:rPr>
              <w:t>、</w:t>
            </w:r>
            <w:r>
              <w:rPr>
                <w:sz w:val="18"/>
                <w:szCs w:val="18"/>
              </w:rPr>
              <w:t>14</w:t>
            </w:r>
            <w:r>
              <w:rPr>
                <w:sz w:val="18"/>
                <w:szCs w:val="18"/>
              </w:rPr>
              <w:t>、</w:t>
            </w:r>
            <w:r>
              <w:rPr>
                <w:sz w:val="18"/>
                <w:szCs w:val="18"/>
              </w:rPr>
              <w:t>20</w:t>
            </w:r>
            <w:r>
              <w:rPr>
                <w:sz w:val="18"/>
                <w:szCs w:val="18"/>
              </w:rPr>
              <w:t>时，每小时采样时间不少于</w:t>
            </w:r>
            <w:r>
              <w:rPr>
                <w:sz w:val="18"/>
                <w:szCs w:val="18"/>
              </w:rPr>
              <w:t>45min</w:t>
            </w:r>
          </w:p>
        </w:tc>
      </w:tr>
      <w:tr w:rsidR="00EE4502">
        <w:trPr>
          <w:trHeight w:val="340"/>
        </w:trPr>
        <w:tc>
          <w:tcPr>
            <w:tcW w:w="589" w:type="pct"/>
            <w:vAlign w:val="center"/>
          </w:tcPr>
          <w:p w:rsidR="00EE4502" w:rsidRDefault="00FD45A3">
            <w:pPr>
              <w:jc w:val="center"/>
              <w:rPr>
                <w:sz w:val="18"/>
                <w:szCs w:val="18"/>
              </w:rPr>
            </w:pPr>
            <w:r>
              <w:rPr>
                <w:rFonts w:hint="eastAsia"/>
                <w:sz w:val="18"/>
                <w:szCs w:val="18"/>
              </w:rPr>
              <w:t>NMHC</w:t>
            </w:r>
          </w:p>
        </w:tc>
        <w:tc>
          <w:tcPr>
            <w:tcW w:w="601" w:type="pct"/>
            <w:vAlign w:val="center"/>
          </w:tcPr>
          <w:p w:rsidR="00EE4502" w:rsidRDefault="00FD45A3">
            <w:pPr>
              <w:jc w:val="center"/>
              <w:rPr>
                <w:sz w:val="18"/>
                <w:szCs w:val="18"/>
              </w:rPr>
            </w:pPr>
            <w:r>
              <w:rPr>
                <w:sz w:val="18"/>
                <w:szCs w:val="18"/>
              </w:rPr>
              <w:t>小时均值</w:t>
            </w:r>
          </w:p>
        </w:tc>
        <w:tc>
          <w:tcPr>
            <w:tcW w:w="1624" w:type="pct"/>
            <w:vAlign w:val="center"/>
          </w:tcPr>
          <w:p w:rsidR="00EE4502" w:rsidRDefault="00FD45A3">
            <w:pPr>
              <w:jc w:val="center"/>
              <w:rPr>
                <w:sz w:val="18"/>
                <w:szCs w:val="18"/>
              </w:rPr>
            </w:pPr>
            <w:r>
              <w:rPr>
                <w:sz w:val="18"/>
                <w:szCs w:val="18"/>
              </w:rPr>
              <w:t>《大气污染物综合排放标准详解》</w:t>
            </w:r>
          </w:p>
        </w:tc>
        <w:tc>
          <w:tcPr>
            <w:tcW w:w="2184" w:type="pct"/>
            <w:vAlign w:val="center"/>
          </w:tcPr>
          <w:p w:rsidR="00EE4502" w:rsidRDefault="00FD45A3">
            <w:pPr>
              <w:jc w:val="center"/>
              <w:rPr>
                <w:sz w:val="18"/>
                <w:szCs w:val="18"/>
              </w:rPr>
            </w:pPr>
            <w:r>
              <w:rPr>
                <w:sz w:val="18"/>
                <w:szCs w:val="18"/>
              </w:rPr>
              <w:t>每天采样</w:t>
            </w:r>
            <w:r>
              <w:rPr>
                <w:sz w:val="18"/>
                <w:szCs w:val="18"/>
              </w:rPr>
              <w:t>4</w:t>
            </w:r>
            <w:r>
              <w:rPr>
                <w:sz w:val="18"/>
                <w:szCs w:val="18"/>
              </w:rPr>
              <w:t>次，采样时间为每天</w:t>
            </w:r>
            <w:r>
              <w:rPr>
                <w:sz w:val="18"/>
                <w:szCs w:val="18"/>
              </w:rPr>
              <w:t>02</w:t>
            </w:r>
            <w:r>
              <w:rPr>
                <w:sz w:val="18"/>
                <w:szCs w:val="18"/>
              </w:rPr>
              <w:t>、</w:t>
            </w:r>
            <w:r>
              <w:rPr>
                <w:sz w:val="18"/>
                <w:szCs w:val="18"/>
              </w:rPr>
              <w:t>08</w:t>
            </w:r>
            <w:r>
              <w:rPr>
                <w:sz w:val="18"/>
                <w:szCs w:val="18"/>
              </w:rPr>
              <w:t>、</w:t>
            </w:r>
            <w:r>
              <w:rPr>
                <w:sz w:val="18"/>
                <w:szCs w:val="18"/>
              </w:rPr>
              <w:t>14</w:t>
            </w:r>
            <w:r>
              <w:rPr>
                <w:sz w:val="18"/>
                <w:szCs w:val="18"/>
              </w:rPr>
              <w:t>、</w:t>
            </w:r>
            <w:r>
              <w:rPr>
                <w:sz w:val="18"/>
                <w:szCs w:val="18"/>
              </w:rPr>
              <w:t>20</w:t>
            </w:r>
            <w:r>
              <w:rPr>
                <w:sz w:val="18"/>
                <w:szCs w:val="18"/>
              </w:rPr>
              <w:t>时</w:t>
            </w:r>
            <w:r>
              <w:rPr>
                <w:rFonts w:hint="eastAsia"/>
                <w:sz w:val="18"/>
                <w:szCs w:val="18"/>
              </w:rPr>
              <w:t>；</w:t>
            </w:r>
            <w:r>
              <w:rPr>
                <w:sz w:val="18"/>
                <w:szCs w:val="18"/>
              </w:rPr>
              <w:t>注射器或气袋采样，采样体积一般不小于</w:t>
            </w:r>
            <w:r>
              <w:rPr>
                <w:sz w:val="18"/>
                <w:szCs w:val="18"/>
              </w:rPr>
              <w:t>100ml</w:t>
            </w:r>
          </w:p>
        </w:tc>
      </w:tr>
    </w:tbl>
    <w:p w:rsidR="00EE4502" w:rsidRDefault="00FD45A3">
      <w:pPr>
        <w:spacing w:line="360" w:lineRule="auto"/>
        <w:ind w:firstLine="420"/>
        <w:jc w:val="left"/>
        <w:textAlignment w:val="baseline"/>
        <w:rPr>
          <w:bCs/>
          <w:kern w:val="0"/>
          <w:sz w:val="24"/>
          <w:szCs w:val="28"/>
        </w:rPr>
      </w:pPr>
      <w:r>
        <w:rPr>
          <w:bCs/>
          <w:kern w:val="0"/>
          <w:sz w:val="24"/>
          <w:szCs w:val="28"/>
        </w:rPr>
        <w:t>（</w:t>
      </w:r>
      <w:r>
        <w:rPr>
          <w:bCs/>
          <w:kern w:val="0"/>
          <w:sz w:val="24"/>
          <w:szCs w:val="28"/>
        </w:rPr>
        <w:t>4</w:t>
      </w:r>
      <w:r>
        <w:rPr>
          <w:bCs/>
          <w:kern w:val="0"/>
          <w:sz w:val="24"/>
          <w:szCs w:val="28"/>
        </w:rPr>
        <w:t>）评价方法</w:t>
      </w:r>
    </w:p>
    <w:p w:rsidR="00EE4502" w:rsidRDefault="00FD45A3">
      <w:pPr>
        <w:spacing w:line="360" w:lineRule="auto"/>
        <w:ind w:firstLine="420"/>
        <w:jc w:val="left"/>
        <w:textAlignment w:val="baseline"/>
        <w:rPr>
          <w:bCs/>
          <w:kern w:val="0"/>
          <w:sz w:val="24"/>
          <w:szCs w:val="28"/>
        </w:rPr>
      </w:pPr>
      <w:r>
        <w:rPr>
          <w:bCs/>
          <w:kern w:val="0"/>
          <w:sz w:val="24"/>
          <w:szCs w:val="28"/>
        </w:rPr>
        <w:t>选用单项污染指数法进行评价，公式为：</w:t>
      </w:r>
    </w:p>
    <w:p w:rsidR="00EE4502" w:rsidRDefault="00FD45A3">
      <w:pPr>
        <w:spacing w:line="360" w:lineRule="auto"/>
        <w:jc w:val="center"/>
        <w:textAlignment w:val="baseline"/>
        <w:rPr>
          <w:bCs/>
          <w:kern w:val="0"/>
          <w:sz w:val="24"/>
          <w:szCs w:val="28"/>
        </w:rPr>
      </w:pPr>
      <w:r>
        <w:rPr>
          <w:bCs/>
          <w:noProof/>
          <w:kern w:val="0"/>
          <w:sz w:val="24"/>
          <w:szCs w:val="28"/>
        </w:rPr>
        <w:drawing>
          <wp:inline distT="0" distB="0" distL="0" distR="0">
            <wp:extent cx="1228725" cy="495300"/>
            <wp:effectExtent l="0" t="0" r="0" b="0"/>
            <wp:docPr id="84" name="图片 82" descr="C:\Users\hl\AppData\Local\Temp\ksohtml7224\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2" descr="C:\Users\hl\AppData\Local\Temp\ksohtml7224\wps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228725" cy="495300"/>
                    </a:xfrm>
                    <a:prstGeom prst="rect">
                      <a:avLst/>
                    </a:prstGeom>
                    <a:noFill/>
                    <a:ln>
                      <a:noFill/>
                    </a:ln>
                  </pic:spPr>
                </pic:pic>
              </a:graphicData>
            </a:graphic>
          </wp:inline>
        </w:drawing>
      </w:r>
    </w:p>
    <w:p w:rsidR="00EE4502" w:rsidRDefault="00FD45A3">
      <w:pPr>
        <w:spacing w:line="360" w:lineRule="auto"/>
        <w:ind w:firstLine="420"/>
        <w:jc w:val="left"/>
        <w:textAlignment w:val="baseline"/>
        <w:rPr>
          <w:bCs/>
          <w:kern w:val="0"/>
          <w:sz w:val="24"/>
          <w:szCs w:val="28"/>
        </w:rPr>
      </w:pPr>
      <w:r>
        <w:rPr>
          <w:bCs/>
          <w:kern w:val="0"/>
          <w:sz w:val="24"/>
          <w:szCs w:val="28"/>
        </w:rPr>
        <w:t>式中：</w:t>
      </w:r>
      <w:r>
        <w:rPr>
          <w:bCs/>
          <w:kern w:val="0"/>
          <w:sz w:val="24"/>
          <w:szCs w:val="28"/>
        </w:rPr>
        <w:t>Pi——</w:t>
      </w:r>
      <w:r>
        <w:rPr>
          <w:bCs/>
          <w:kern w:val="0"/>
          <w:sz w:val="24"/>
          <w:szCs w:val="28"/>
        </w:rPr>
        <w:t>第</w:t>
      </w:r>
      <w:r>
        <w:rPr>
          <w:bCs/>
          <w:kern w:val="0"/>
          <w:sz w:val="24"/>
          <w:szCs w:val="28"/>
        </w:rPr>
        <w:t>i</w:t>
      </w:r>
      <w:r>
        <w:rPr>
          <w:bCs/>
          <w:kern w:val="0"/>
          <w:sz w:val="24"/>
          <w:szCs w:val="28"/>
        </w:rPr>
        <w:t>个污染物的最大占标百分比，</w:t>
      </w:r>
      <w:r>
        <w:rPr>
          <w:bCs/>
          <w:kern w:val="0"/>
          <w:sz w:val="24"/>
          <w:szCs w:val="28"/>
        </w:rPr>
        <w:t>%</w:t>
      </w:r>
      <w:r>
        <w:rPr>
          <w:bCs/>
          <w:kern w:val="0"/>
          <w:sz w:val="24"/>
          <w:szCs w:val="28"/>
        </w:rPr>
        <w:t>；</w:t>
      </w:r>
    </w:p>
    <w:p w:rsidR="00EE4502" w:rsidRDefault="00FD45A3">
      <w:pPr>
        <w:spacing w:line="360" w:lineRule="auto"/>
        <w:ind w:firstLineChars="500" w:firstLine="1200"/>
        <w:jc w:val="left"/>
        <w:textAlignment w:val="baseline"/>
        <w:rPr>
          <w:bCs/>
          <w:kern w:val="0"/>
          <w:sz w:val="24"/>
          <w:szCs w:val="28"/>
        </w:rPr>
      </w:pPr>
      <w:r>
        <w:rPr>
          <w:bCs/>
          <w:kern w:val="0"/>
          <w:sz w:val="24"/>
          <w:szCs w:val="28"/>
        </w:rPr>
        <w:t>Ci——</w:t>
      </w:r>
      <w:r>
        <w:rPr>
          <w:bCs/>
          <w:kern w:val="0"/>
          <w:sz w:val="24"/>
          <w:szCs w:val="28"/>
        </w:rPr>
        <w:t>第</w:t>
      </w:r>
      <w:r>
        <w:rPr>
          <w:bCs/>
          <w:kern w:val="0"/>
          <w:sz w:val="24"/>
          <w:szCs w:val="28"/>
        </w:rPr>
        <w:t>i</w:t>
      </w:r>
      <w:r>
        <w:rPr>
          <w:bCs/>
          <w:kern w:val="0"/>
          <w:sz w:val="24"/>
          <w:szCs w:val="28"/>
        </w:rPr>
        <w:t>个污染物监测浓度，</w:t>
      </w:r>
      <w:r>
        <w:rPr>
          <w:bCs/>
          <w:kern w:val="0"/>
          <w:sz w:val="24"/>
          <w:szCs w:val="28"/>
        </w:rPr>
        <w:t>μg/m³</w:t>
      </w:r>
      <w:r>
        <w:rPr>
          <w:bCs/>
          <w:kern w:val="0"/>
          <w:sz w:val="24"/>
          <w:szCs w:val="28"/>
        </w:rPr>
        <w:t>；</w:t>
      </w:r>
    </w:p>
    <w:p w:rsidR="00EE4502" w:rsidRDefault="00FD45A3">
      <w:pPr>
        <w:spacing w:line="360" w:lineRule="auto"/>
        <w:ind w:firstLineChars="500" w:firstLine="1200"/>
        <w:jc w:val="left"/>
        <w:textAlignment w:val="baseline"/>
        <w:rPr>
          <w:bCs/>
          <w:kern w:val="0"/>
          <w:sz w:val="24"/>
          <w:szCs w:val="28"/>
        </w:rPr>
      </w:pPr>
      <w:r>
        <w:rPr>
          <w:bCs/>
          <w:kern w:val="0"/>
          <w:sz w:val="24"/>
          <w:szCs w:val="28"/>
        </w:rPr>
        <w:t>Coi——</w:t>
      </w:r>
      <w:r>
        <w:rPr>
          <w:bCs/>
          <w:kern w:val="0"/>
          <w:sz w:val="24"/>
          <w:szCs w:val="28"/>
        </w:rPr>
        <w:t>第</w:t>
      </w:r>
      <w:r>
        <w:rPr>
          <w:bCs/>
          <w:kern w:val="0"/>
          <w:sz w:val="24"/>
          <w:szCs w:val="28"/>
        </w:rPr>
        <w:t>i</w:t>
      </w:r>
      <w:r>
        <w:rPr>
          <w:bCs/>
          <w:kern w:val="0"/>
          <w:sz w:val="24"/>
          <w:szCs w:val="28"/>
        </w:rPr>
        <w:t>个污染物的环境空气质量浓度标准，</w:t>
      </w:r>
      <w:r>
        <w:rPr>
          <w:bCs/>
          <w:kern w:val="0"/>
          <w:sz w:val="24"/>
          <w:szCs w:val="28"/>
        </w:rPr>
        <w:t>μg/m³</w:t>
      </w:r>
      <w:r>
        <w:rPr>
          <w:bCs/>
          <w:kern w:val="0"/>
          <w:sz w:val="24"/>
          <w:szCs w:val="28"/>
        </w:rPr>
        <w:t>。</w:t>
      </w:r>
    </w:p>
    <w:p w:rsidR="00EE4502" w:rsidRDefault="00FD45A3">
      <w:pPr>
        <w:spacing w:line="360" w:lineRule="auto"/>
        <w:ind w:firstLine="420"/>
        <w:jc w:val="left"/>
        <w:textAlignment w:val="baseline"/>
        <w:rPr>
          <w:bCs/>
          <w:kern w:val="0"/>
          <w:sz w:val="24"/>
          <w:szCs w:val="28"/>
        </w:rPr>
      </w:pPr>
      <w:r>
        <w:rPr>
          <w:bCs/>
          <w:kern w:val="0"/>
          <w:sz w:val="24"/>
          <w:szCs w:val="28"/>
        </w:rPr>
        <w:t>（</w:t>
      </w:r>
      <w:r>
        <w:rPr>
          <w:bCs/>
          <w:kern w:val="0"/>
          <w:sz w:val="24"/>
          <w:szCs w:val="28"/>
        </w:rPr>
        <w:t>5</w:t>
      </w:r>
      <w:r>
        <w:rPr>
          <w:bCs/>
          <w:kern w:val="0"/>
          <w:sz w:val="24"/>
          <w:szCs w:val="28"/>
        </w:rPr>
        <w:t>）监测结果及评价统计</w:t>
      </w:r>
    </w:p>
    <w:p w:rsidR="00EE4502" w:rsidRDefault="00FD45A3">
      <w:pPr>
        <w:spacing w:line="360" w:lineRule="auto"/>
        <w:ind w:firstLine="420"/>
        <w:textAlignment w:val="baseline"/>
        <w:rPr>
          <w:bCs/>
          <w:kern w:val="0"/>
          <w:sz w:val="24"/>
          <w:szCs w:val="28"/>
        </w:rPr>
      </w:pPr>
      <w:r>
        <w:rPr>
          <w:bCs/>
          <w:kern w:val="0"/>
          <w:sz w:val="24"/>
          <w:szCs w:val="28"/>
        </w:rPr>
        <w:t>环境空气质量现状监测评价结果统计见表</w:t>
      </w:r>
      <w:r>
        <w:rPr>
          <w:rFonts w:hint="eastAsia"/>
          <w:bCs/>
          <w:kern w:val="0"/>
          <w:sz w:val="24"/>
          <w:szCs w:val="28"/>
        </w:rPr>
        <w:t>4-5-</w:t>
      </w:r>
      <w:r>
        <w:rPr>
          <w:rFonts w:hint="eastAsia"/>
          <w:bCs/>
          <w:kern w:val="0"/>
          <w:sz w:val="24"/>
          <w:szCs w:val="28"/>
        </w:rPr>
        <w:t>6</w:t>
      </w:r>
      <w:r>
        <w:rPr>
          <w:bCs/>
          <w:kern w:val="0"/>
          <w:sz w:val="24"/>
          <w:szCs w:val="28"/>
        </w:rPr>
        <w:t>。</w:t>
      </w:r>
    </w:p>
    <w:p w:rsidR="00EE4502" w:rsidRDefault="00FD45A3">
      <w:pPr>
        <w:spacing w:line="360" w:lineRule="auto"/>
        <w:jc w:val="center"/>
        <w:rPr>
          <w:rFonts w:eastAsia="黑体"/>
          <w:bCs/>
          <w:lang w:val="zh-CN"/>
        </w:rPr>
      </w:pPr>
      <w:r>
        <w:rPr>
          <w:rFonts w:eastAsia="黑体"/>
          <w:bCs/>
          <w:lang w:val="zh-CN"/>
        </w:rPr>
        <w:t>表</w:t>
      </w:r>
      <w:r>
        <w:rPr>
          <w:rFonts w:eastAsia="黑体" w:hint="eastAsia"/>
          <w:bCs/>
          <w:lang w:val="zh-CN"/>
        </w:rPr>
        <w:t>4-5-</w:t>
      </w:r>
      <w:r>
        <w:rPr>
          <w:rFonts w:eastAsia="黑体" w:hint="eastAsia"/>
          <w:bCs/>
        </w:rPr>
        <w:t>6</w:t>
      </w:r>
      <w:r>
        <w:rPr>
          <w:rFonts w:eastAsia="黑体"/>
          <w:bCs/>
          <w:lang w:val="zh-CN"/>
        </w:rPr>
        <w:t xml:space="preserve">  </w:t>
      </w:r>
      <w:r>
        <w:rPr>
          <w:rFonts w:eastAsia="黑体"/>
          <w:bCs/>
          <w:lang w:val="zh-CN"/>
        </w:rPr>
        <w:t>大气环境质量现状监测结果</w:t>
      </w:r>
    </w:p>
    <w:p w:rsidR="00EE4502" w:rsidRDefault="00FD45A3">
      <w:pPr>
        <w:pStyle w:val="af0"/>
        <w:adjustRightInd/>
        <w:ind w:firstLineChars="200" w:firstLine="480"/>
        <w:jc w:val="both"/>
        <w:rPr>
          <w:rFonts w:ascii="Times New Roman" w:hAnsi="Times New Roman"/>
        </w:rPr>
      </w:pPr>
      <w:r>
        <w:rPr>
          <w:rFonts w:ascii="Times New Roman" w:hAnsi="Times New Roman"/>
        </w:rPr>
        <w:t>评价结果表明：监测点的非甲烷总烃满足《大气污染物综合排放标准详解》</w:t>
      </w:r>
      <w:r>
        <w:rPr>
          <w:rFonts w:ascii="Times New Roman" w:hAnsi="Times New Roman"/>
        </w:rPr>
        <w:lastRenderedPageBreak/>
        <w:t>中</w:t>
      </w:r>
      <w:r>
        <w:rPr>
          <w:rFonts w:ascii="Times New Roman" w:hAnsi="Times New Roman"/>
        </w:rPr>
        <w:t>2.0mg/m</w:t>
      </w:r>
      <w:r>
        <w:rPr>
          <w:rFonts w:ascii="Times New Roman" w:hAnsi="Times New Roman"/>
          <w:vertAlign w:val="superscript"/>
        </w:rPr>
        <w:t>3</w:t>
      </w:r>
      <w:r>
        <w:rPr>
          <w:rFonts w:ascii="Times New Roman" w:hAnsi="Times New Roman"/>
        </w:rPr>
        <w:t>的限值要求</w:t>
      </w:r>
      <w:r>
        <w:rPr>
          <w:rFonts w:ascii="Times New Roman" w:hAnsi="Times New Roman" w:hint="eastAsia"/>
        </w:rPr>
        <w:t>；硫化氢满足《环境影响评价技术导则</w:t>
      </w:r>
      <w:r>
        <w:rPr>
          <w:rFonts w:ascii="Times New Roman" w:hAnsi="Times New Roman" w:hint="eastAsia"/>
        </w:rPr>
        <w:t xml:space="preserve"> </w:t>
      </w:r>
      <w:r>
        <w:rPr>
          <w:rFonts w:ascii="Times New Roman" w:hAnsi="Times New Roman" w:hint="eastAsia"/>
        </w:rPr>
        <w:t>大气环境》（</w:t>
      </w:r>
      <w:r>
        <w:rPr>
          <w:rFonts w:ascii="Times New Roman" w:hAnsi="Times New Roman" w:hint="eastAsia"/>
        </w:rPr>
        <w:t>HJ2.2-2018</w:t>
      </w:r>
      <w:r>
        <w:rPr>
          <w:rFonts w:ascii="Times New Roman" w:hAnsi="Times New Roman" w:hint="eastAsia"/>
        </w:rPr>
        <w:t>）附录</w:t>
      </w:r>
      <w:r>
        <w:rPr>
          <w:rFonts w:ascii="Times New Roman" w:hAnsi="Times New Roman" w:hint="eastAsia"/>
        </w:rPr>
        <w:t>D</w:t>
      </w:r>
      <w:r>
        <w:rPr>
          <w:rFonts w:ascii="Times New Roman" w:hAnsi="Times New Roman" w:hint="eastAsia"/>
        </w:rPr>
        <w:t>参考限值</w:t>
      </w:r>
      <w:r>
        <w:rPr>
          <w:rFonts w:ascii="Times New Roman" w:hAnsi="Times New Roman" w:hint="eastAsia"/>
        </w:rPr>
        <w:t>。</w:t>
      </w:r>
    </w:p>
    <w:p w:rsidR="00EE4502" w:rsidRDefault="00FD45A3">
      <w:pPr>
        <w:pStyle w:val="22"/>
        <w:numPr>
          <w:ilvl w:val="1"/>
          <w:numId w:val="30"/>
        </w:numPr>
        <w:rPr>
          <w:spacing w:val="0"/>
          <w:w w:val="100"/>
        </w:rPr>
      </w:pPr>
      <w:bookmarkStart w:id="206" w:name="_Toc14432"/>
      <w:r>
        <w:rPr>
          <w:spacing w:val="0"/>
          <w:w w:val="100"/>
        </w:rPr>
        <w:t>声环境现状调查与评价</w:t>
      </w:r>
      <w:bookmarkEnd w:id="206"/>
    </w:p>
    <w:p w:rsidR="00EE4502" w:rsidRDefault="00FD45A3">
      <w:pPr>
        <w:spacing w:line="360" w:lineRule="auto"/>
        <w:ind w:firstLineChars="200" w:firstLine="480"/>
        <w:rPr>
          <w:sz w:val="24"/>
        </w:rPr>
      </w:pPr>
      <w:r>
        <w:rPr>
          <w:rFonts w:hint="eastAsia"/>
          <w:sz w:val="24"/>
        </w:rPr>
        <w:t>春风油田石炭系排</w:t>
      </w:r>
      <w:r>
        <w:rPr>
          <w:rFonts w:hint="eastAsia"/>
          <w:sz w:val="24"/>
        </w:rPr>
        <w:t>61</w:t>
      </w:r>
      <w:r>
        <w:rPr>
          <w:rFonts w:hint="eastAsia"/>
          <w:sz w:val="24"/>
        </w:rPr>
        <w:t>块产能建设工程所在区域周围空旷，无噪声源，工程区域整体声环境质量良好。本次评价委托新疆钧仪衡环境技术有限公司于</w:t>
      </w:r>
      <w:r>
        <w:rPr>
          <w:rFonts w:hint="eastAsia"/>
          <w:sz w:val="24"/>
        </w:rPr>
        <w:t>2025</w:t>
      </w:r>
      <w:r>
        <w:rPr>
          <w:rFonts w:hint="eastAsia"/>
          <w:sz w:val="24"/>
        </w:rPr>
        <w:t>年</w:t>
      </w:r>
      <w:r>
        <w:rPr>
          <w:rFonts w:hint="eastAsia"/>
          <w:sz w:val="24"/>
        </w:rPr>
        <w:t>2</w:t>
      </w:r>
      <w:r>
        <w:rPr>
          <w:rFonts w:hint="eastAsia"/>
          <w:sz w:val="24"/>
        </w:rPr>
        <w:t>月对工程区周围现状进行了噪声监测，监测仪器为</w:t>
      </w:r>
      <w:r>
        <w:rPr>
          <w:rFonts w:hint="eastAsia"/>
          <w:sz w:val="24"/>
        </w:rPr>
        <w:t>AWA5688</w:t>
      </w:r>
      <w:r>
        <w:rPr>
          <w:rFonts w:hint="eastAsia"/>
          <w:sz w:val="24"/>
        </w:rPr>
        <w:t>多功能声级计，测试方法采用《声环境质量标准》（</w:t>
      </w:r>
      <w:r>
        <w:rPr>
          <w:rFonts w:hint="eastAsia"/>
          <w:sz w:val="24"/>
        </w:rPr>
        <w:t>GB3096-2008</w:t>
      </w:r>
      <w:r>
        <w:rPr>
          <w:rFonts w:hint="eastAsia"/>
          <w:sz w:val="24"/>
        </w:rPr>
        <w:t>）规定进行。监测结果见表</w:t>
      </w:r>
      <w:r>
        <w:rPr>
          <w:rFonts w:hint="eastAsia"/>
          <w:sz w:val="24"/>
        </w:rPr>
        <w:t>4-</w:t>
      </w:r>
      <w:r>
        <w:rPr>
          <w:rFonts w:hint="eastAsia"/>
          <w:sz w:val="24"/>
        </w:rPr>
        <w:t>6</w:t>
      </w:r>
      <w:r>
        <w:rPr>
          <w:rFonts w:hint="eastAsia"/>
          <w:sz w:val="24"/>
        </w:rPr>
        <w:t>-1</w:t>
      </w:r>
      <w:r>
        <w:rPr>
          <w:rFonts w:hint="eastAsia"/>
          <w:sz w:val="24"/>
        </w:rPr>
        <w:t>。</w:t>
      </w:r>
    </w:p>
    <w:p w:rsidR="00EE4502" w:rsidRDefault="00FD45A3">
      <w:pPr>
        <w:spacing w:line="360" w:lineRule="auto"/>
        <w:ind w:firstLineChars="200" w:firstLine="480"/>
        <w:rPr>
          <w:sz w:val="24"/>
        </w:rPr>
      </w:pPr>
      <w:r>
        <w:rPr>
          <w:sz w:val="24"/>
        </w:rPr>
        <w:t>评价标准采用《</w:t>
      </w:r>
      <w:r>
        <w:rPr>
          <w:bCs/>
          <w:sz w:val="24"/>
        </w:rPr>
        <w:t>声环境质量标准》（</w:t>
      </w:r>
      <w:r>
        <w:rPr>
          <w:bCs/>
          <w:sz w:val="24"/>
        </w:rPr>
        <w:t>GB3096-2008</w:t>
      </w:r>
      <w:r>
        <w:rPr>
          <w:bCs/>
          <w:sz w:val="24"/>
        </w:rPr>
        <w:t>）</w:t>
      </w:r>
      <w:r>
        <w:rPr>
          <w:bCs/>
          <w:sz w:val="24"/>
        </w:rPr>
        <w:t>2</w:t>
      </w:r>
      <w:r>
        <w:rPr>
          <w:bCs/>
          <w:sz w:val="24"/>
        </w:rPr>
        <w:t>类标准</w:t>
      </w:r>
      <w:r>
        <w:rPr>
          <w:sz w:val="24"/>
        </w:rPr>
        <w:t>。</w:t>
      </w:r>
    </w:p>
    <w:p w:rsidR="00EE4502" w:rsidRDefault="00FD45A3">
      <w:pPr>
        <w:spacing w:line="360" w:lineRule="auto"/>
        <w:jc w:val="center"/>
        <w:rPr>
          <w:rFonts w:eastAsia="黑体"/>
          <w:bCs/>
          <w:lang w:val="zh-CN"/>
        </w:rPr>
      </w:pPr>
      <w:r>
        <w:rPr>
          <w:rFonts w:eastAsia="黑体"/>
          <w:bCs/>
          <w:lang w:val="zh-CN"/>
        </w:rPr>
        <w:t>表</w:t>
      </w:r>
      <w:r>
        <w:rPr>
          <w:rFonts w:eastAsia="黑体"/>
          <w:bCs/>
          <w:lang w:val="zh-CN"/>
        </w:rPr>
        <w:t>4</w:t>
      </w:r>
      <w:r>
        <w:rPr>
          <w:rFonts w:eastAsia="黑体"/>
          <w:bCs/>
        </w:rPr>
        <w:t>-</w:t>
      </w:r>
      <w:r>
        <w:rPr>
          <w:rFonts w:eastAsia="黑体" w:hint="eastAsia"/>
          <w:bCs/>
        </w:rPr>
        <w:t>6</w:t>
      </w:r>
      <w:r>
        <w:rPr>
          <w:rFonts w:eastAsia="黑体"/>
          <w:bCs/>
          <w:lang w:val="zh-CN"/>
        </w:rPr>
        <w:t xml:space="preserve">-1  </w:t>
      </w:r>
      <w:r>
        <w:rPr>
          <w:rFonts w:eastAsia="黑体"/>
          <w:bCs/>
          <w:lang w:val="zh-CN"/>
        </w:rPr>
        <w:t>声环境监测结果</w:t>
      </w:r>
      <w:r>
        <w:rPr>
          <w:rFonts w:eastAsia="黑体"/>
          <w:bCs/>
          <w:lang w:val="zh-CN"/>
        </w:rPr>
        <w:t xml:space="preserve">    </w:t>
      </w:r>
      <w:r>
        <w:rPr>
          <w:rFonts w:eastAsia="黑体"/>
          <w:bCs/>
          <w:lang w:val="zh-CN"/>
        </w:rPr>
        <w:t>单位：</w:t>
      </w:r>
      <w:r>
        <w:rPr>
          <w:rFonts w:eastAsia="黑体"/>
          <w:bCs/>
          <w:lang w:val="zh-CN"/>
        </w:rPr>
        <w:t>dB</w:t>
      </w:r>
      <w:r>
        <w:rPr>
          <w:rFonts w:eastAsia="黑体"/>
          <w:bCs/>
          <w:lang w:val="zh-CN"/>
        </w:rPr>
        <w:t>（</w:t>
      </w:r>
      <w:r>
        <w:rPr>
          <w:rFonts w:eastAsia="黑体"/>
          <w:bCs/>
          <w:lang w:val="zh-CN"/>
        </w:rPr>
        <w:t>A</w:t>
      </w:r>
      <w:r>
        <w:rPr>
          <w:rFonts w:eastAsia="黑体"/>
          <w:bCs/>
          <w:lang w:val="zh-CN"/>
        </w:rPr>
        <w:t>）</w:t>
      </w:r>
    </w:p>
    <w:p w:rsidR="00EE4502" w:rsidRDefault="00EE4502">
      <w:pPr>
        <w:jc w:val="center"/>
        <w:rPr>
          <w:sz w:val="18"/>
          <w:szCs w:val="18"/>
        </w:rPr>
      </w:pPr>
    </w:p>
    <w:p w:rsidR="00EE4502" w:rsidRDefault="00FD45A3">
      <w:pPr>
        <w:spacing w:line="360" w:lineRule="auto"/>
        <w:ind w:firstLineChars="200" w:firstLine="480"/>
        <w:rPr>
          <w:sz w:val="24"/>
        </w:rPr>
      </w:pPr>
      <w:r>
        <w:rPr>
          <w:rFonts w:hint="eastAsia"/>
          <w:sz w:val="24"/>
        </w:rPr>
        <w:t>从表</w:t>
      </w:r>
      <w:r>
        <w:rPr>
          <w:rFonts w:hint="eastAsia"/>
          <w:sz w:val="24"/>
        </w:rPr>
        <w:t>4-</w:t>
      </w:r>
      <w:r>
        <w:rPr>
          <w:rFonts w:hint="eastAsia"/>
          <w:sz w:val="24"/>
        </w:rPr>
        <w:t>6</w:t>
      </w:r>
      <w:r>
        <w:rPr>
          <w:rFonts w:hint="eastAsia"/>
          <w:sz w:val="24"/>
        </w:rPr>
        <w:t>-1</w:t>
      </w:r>
      <w:r>
        <w:rPr>
          <w:rFonts w:hint="eastAsia"/>
          <w:sz w:val="24"/>
        </w:rPr>
        <w:t>中可以看出，所有监测点位昼、夜连续等效声级均满足《声环境质量标准》</w:t>
      </w:r>
      <w:r>
        <w:rPr>
          <w:rFonts w:hint="eastAsia"/>
          <w:sz w:val="24"/>
        </w:rPr>
        <w:t>（</w:t>
      </w:r>
      <w:r>
        <w:rPr>
          <w:rFonts w:hint="eastAsia"/>
          <w:sz w:val="24"/>
        </w:rPr>
        <w:t>GB3096-2008</w:t>
      </w:r>
      <w:r>
        <w:rPr>
          <w:rFonts w:hint="eastAsia"/>
          <w:sz w:val="24"/>
        </w:rPr>
        <w:t>）中</w:t>
      </w:r>
      <w:r>
        <w:rPr>
          <w:rFonts w:hint="eastAsia"/>
          <w:sz w:val="24"/>
        </w:rPr>
        <w:t>2</w:t>
      </w:r>
      <w:r>
        <w:rPr>
          <w:rFonts w:hint="eastAsia"/>
          <w:sz w:val="24"/>
        </w:rPr>
        <w:t>类区标准限值，本工程拟建工程区周边的声环境质量较好</w:t>
      </w:r>
      <w:r>
        <w:rPr>
          <w:rFonts w:hint="eastAsia"/>
          <w:sz w:val="24"/>
        </w:rPr>
        <w:t>。</w:t>
      </w:r>
    </w:p>
    <w:p w:rsidR="00EE4502" w:rsidRDefault="00EE4502">
      <w:pPr>
        <w:spacing w:line="360" w:lineRule="auto"/>
        <w:ind w:firstLineChars="200" w:firstLine="480"/>
        <w:rPr>
          <w:sz w:val="24"/>
        </w:rPr>
        <w:sectPr w:rsidR="00EE4502">
          <w:headerReference w:type="default" r:id="rId32"/>
          <w:footerReference w:type="default" r:id="rId33"/>
          <w:pgSz w:w="11906" w:h="16838"/>
          <w:pgMar w:top="1440" w:right="1800" w:bottom="1440" w:left="1800" w:header="850" w:footer="850" w:gutter="0"/>
          <w:pgNumType w:fmt="numberInDash"/>
          <w:cols w:space="720"/>
          <w:docGrid w:linePitch="326"/>
        </w:sectPr>
      </w:pPr>
    </w:p>
    <w:p w:rsidR="00EE4502" w:rsidRDefault="00FD45A3">
      <w:pPr>
        <w:pStyle w:val="12"/>
        <w:numPr>
          <w:ilvl w:val="0"/>
          <w:numId w:val="30"/>
        </w:numPr>
        <w:spacing w:before="0" w:after="0" w:line="360" w:lineRule="auto"/>
        <w:ind w:left="0" w:firstLine="0"/>
        <w:rPr>
          <w:b w:val="0"/>
          <w:szCs w:val="30"/>
        </w:rPr>
      </w:pPr>
      <w:bookmarkStart w:id="207" w:name="_Toc12514"/>
      <w:r>
        <w:rPr>
          <w:b w:val="0"/>
          <w:szCs w:val="30"/>
        </w:rPr>
        <w:lastRenderedPageBreak/>
        <w:t>环境影响预测与评价</w:t>
      </w:r>
      <w:bookmarkEnd w:id="207"/>
    </w:p>
    <w:p w:rsidR="00EE4502" w:rsidRDefault="00FD45A3">
      <w:pPr>
        <w:pStyle w:val="22"/>
        <w:numPr>
          <w:ilvl w:val="1"/>
          <w:numId w:val="30"/>
        </w:numPr>
        <w:rPr>
          <w:spacing w:val="0"/>
          <w:w w:val="100"/>
        </w:rPr>
      </w:pPr>
      <w:bookmarkStart w:id="208" w:name="_Toc30299"/>
      <w:r>
        <w:rPr>
          <w:spacing w:val="0"/>
          <w:w w:val="100"/>
        </w:rPr>
        <w:t>生态环境影响</w:t>
      </w:r>
      <w:r>
        <w:rPr>
          <w:rFonts w:hint="eastAsia"/>
          <w:spacing w:val="0"/>
          <w:w w:val="100"/>
        </w:rPr>
        <w:t>分析</w:t>
      </w:r>
      <w:bookmarkEnd w:id="208"/>
    </w:p>
    <w:p w:rsidR="00EE4502" w:rsidRDefault="00FD45A3">
      <w:pPr>
        <w:spacing w:line="360" w:lineRule="auto"/>
        <w:ind w:firstLine="522"/>
        <w:rPr>
          <w:sz w:val="24"/>
        </w:rPr>
      </w:pPr>
      <w:r>
        <w:rPr>
          <w:rFonts w:hint="eastAsia"/>
          <w:sz w:val="24"/>
        </w:rPr>
        <w:t>从本工程特点和所处区域的环境特征出发分析工程建设过程中和工程建成运营中对生态环境影响的特点。</w:t>
      </w:r>
    </w:p>
    <w:p w:rsidR="00EE4502" w:rsidRDefault="00FD45A3">
      <w:pPr>
        <w:spacing w:line="360" w:lineRule="auto"/>
        <w:ind w:firstLine="522"/>
        <w:rPr>
          <w:sz w:val="24"/>
        </w:rPr>
      </w:pPr>
      <w:r>
        <w:rPr>
          <w:rFonts w:hint="eastAsia"/>
          <w:sz w:val="24"/>
        </w:rPr>
        <w:t>（</w:t>
      </w:r>
      <w:r>
        <w:rPr>
          <w:rFonts w:hint="eastAsia"/>
          <w:sz w:val="24"/>
        </w:rPr>
        <w:t>1</w:t>
      </w:r>
      <w:r>
        <w:rPr>
          <w:rFonts w:hint="eastAsia"/>
          <w:sz w:val="24"/>
        </w:rPr>
        <w:t>）油田开发建设工程对生态环境影响具有区域性环境影响特征。</w:t>
      </w:r>
    </w:p>
    <w:p w:rsidR="00EE4502" w:rsidRDefault="00FD45A3">
      <w:pPr>
        <w:spacing w:line="360" w:lineRule="auto"/>
        <w:ind w:firstLine="522"/>
        <w:rPr>
          <w:sz w:val="24"/>
        </w:rPr>
      </w:pPr>
      <w:r>
        <w:rPr>
          <w:rFonts w:hint="eastAsia"/>
          <w:sz w:val="24"/>
        </w:rPr>
        <w:t>（</w:t>
      </w:r>
      <w:r>
        <w:rPr>
          <w:rFonts w:hint="eastAsia"/>
          <w:sz w:val="24"/>
        </w:rPr>
        <w:t>2</w:t>
      </w:r>
      <w:r>
        <w:rPr>
          <w:rFonts w:hint="eastAsia"/>
          <w:sz w:val="24"/>
        </w:rPr>
        <w:t>）在工程开发范围内各具体环境影响组份呈点块状（如井场等）和线状（如集输管线和注汽管线等）分布，在对生态各具体要素（如土壤、植被、野生动物等）产生影响的同时，也对区内原有景观结构和生态体系完整性产生一定影响。</w:t>
      </w:r>
    </w:p>
    <w:p w:rsidR="00EE4502" w:rsidRDefault="00FD45A3">
      <w:pPr>
        <w:spacing w:line="360" w:lineRule="auto"/>
        <w:ind w:firstLine="522"/>
        <w:rPr>
          <w:sz w:val="24"/>
        </w:rPr>
      </w:pPr>
      <w:r>
        <w:rPr>
          <w:rFonts w:hint="eastAsia"/>
          <w:sz w:val="24"/>
        </w:rPr>
        <w:t>（</w:t>
      </w:r>
      <w:r>
        <w:rPr>
          <w:rFonts w:hint="eastAsia"/>
          <w:sz w:val="24"/>
        </w:rPr>
        <w:t>3</w:t>
      </w:r>
      <w:r>
        <w:rPr>
          <w:rFonts w:hint="eastAsia"/>
          <w:sz w:val="24"/>
        </w:rPr>
        <w:t>）影响方式主要发生在施工期，施工结束后可逐步恢复。</w:t>
      </w:r>
    </w:p>
    <w:p w:rsidR="00EE4502" w:rsidRDefault="00FD45A3">
      <w:pPr>
        <w:spacing w:line="360" w:lineRule="auto"/>
        <w:ind w:firstLine="522"/>
        <w:rPr>
          <w:sz w:val="24"/>
        </w:rPr>
      </w:pPr>
      <w:r>
        <w:rPr>
          <w:rFonts w:hint="eastAsia"/>
          <w:sz w:val="24"/>
        </w:rPr>
        <w:t>在干旱荒漠背景下，工程开发建设对区内生态体系稳定性影响的主要途径是地表扰动和植被破坏。</w:t>
      </w:r>
    </w:p>
    <w:p w:rsidR="00EE4502" w:rsidRDefault="00FD45A3">
      <w:pPr>
        <w:spacing w:line="360" w:lineRule="auto"/>
        <w:ind w:firstLine="522"/>
        <w:rPr>
          <w:sz w:val="24"/>
        </w:rPr>
      </w:pPr>
      <w:r>
        <w:rPr>
          <w:rFonts w:hint="eastAsia"/>
          <w:sz w:val="24"/>
        </w:rPr>
        <w:t>油田开发建设过程各个时期对生态环境的影响程度、影响特征和影响时间见表</w:t>
      </w:r>
      <w:r>
        <w:rPr>
          <w:rFonts w:hint="eastAsia"/>
          <w:sz w:val="24"/>
        </w:rPr>
        <w:t>5</w:t>
      </w:r>
      <w:r>
        <w:rPr>
          <w:sz w:val="24"/>
        </w:rPr>
        <w:t>-</w:t>
      </w:r>
      <w:r>
        <w:rPr>
          <w:rFonts w:hint="eastAsia"/>
          <w:sz w:val="24"/>
        </w:rPr>
        <w:t>1-1</w:t>
      </w:r>
      <w:r>
        <w:rPr>
          <w:rFonts w:hint="eastAsia"/>
          <w:sz w:val="24"/>
        </w:rPr>
        <w:t>。</w:t>
      </w:r>
    </w:p>
    <w:p w:rsidR="00EE4502" w:rsidRDefault="00FD45A3">
      <w:pPr>
        <w:spacing w:line="360" w:lineRule="auto"/>
        <w:jc w:val="center"/>
        <w:textAlignment w:val="baseline"/>
        <w:rPr>
          <w:rFonts w:eastAsia="黑体"/>
          <w:kern w:val="0"/>
          <w:szCs w:val="21"/>
        </w:rPr>
      </w:pPr>
      <w:r>
        <w:rPr>
          <w:rFonts w:eastAsia="黑体"/>
          <w:kern w:val="0"/>
          <w:szCs w:val="21"/>
        </w:rPr>
        <w:t>表</w:t>
      </w:r>
      <w:r>
        <w:rPr>
          <w:rFonts w:eastAsia="黑体"/>
          <w:kern w:val="0"/>
          <w:szCs w:val="21"/>
        </w:rPr>
        <w:t xml:space="preserve">5-1-1  </w:t>
      </w:r>
      <w:r>
        <w:rPr>
          <w:rFonts w:eastAsia="黑体"/>
          <w:kern w:val="0"/>
          <w:szCs w:val="21"/>
        </w:rPr>
        <w:t>油田开发建设对生态环境的影响</w:t>
      </w:r>
    </w:p>
    <w:tbl>
      <w:tblPr>
        <w:tblW w:w="4998"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376"/>
        <w:gridCol w:w="1375"/>
        <w:gridCol w:w="1648"/>
        <w:gridCol w:w="2745"/>
        <w:gridCol w:w="1375"/>
      </w:tblGrid>
      <w:tr w:rsidR="00EE4502">
        <w:trPr>
          <w:cantSplit/>
          <w:trHeight w:val="340"/>
          <w:jc w:val="center"/>
        </w:trPr>
        <w:tc>
          <w:tcPr>
            <w:tcW w:w="1614" w:type="pct"/>
            <w:gridSpan w:val="2"/>
            <w:tcBorders>
              <w:tl2br w:val="nil"/>
              <w:tr2bl w:val="nil"/>
            </w:tcBorders>
            <w:vAlign w:val="center"/>
          </w:tcPr>
          <w:p w:rsidR="00EE4502" w:rsidRDefault="00FD45A3">
            <w:pPr>
              <w:jc w:val="center"/>
              <w:rPr>
                <w:sz w:val="18"/>
                <w:szCs w:val="18"/>
              </w:rPr>
            </w:pPr>
            <w:r>
              <w:rPr>
                <w:sz w:val="18"/>
                <w:szCs w:val="18"/>
              </w:rPr>
              <w:t>工程阶段</w:t>
            </w:r>
          </w:p>
        </w:tc>
        <w:tc>
          <w:tcPr>
            <w:tcW w:w="967" w:type="pct"/>
            <w:tcBorders>
              <w:tl2br w:val="nil"/>
              <w:tr2bl w:val="nil"/>
            </w:tcBorders>
            <w:vAlign w:val="center"/>
          </w:tcPr>
          <w:p w:rsidR="00EE4502" w:rsidRDefault="00FD45A3">
            <w:pPr>
              <w:jc w:val="center"/>
              <w:rPr>
                <w:sz w:val="18"/>
                <w:szCs w:val="18"/>
              </w:rPr>
            </w:pPr>
            <w:r>
              <w:rPr>
                <w:sz w:val="18"/>
                <w:szCs w:val="18"/>
              </w:rPr>
              <w:t>勘探期</w:t>
            </w:r>
          </w:p>
        </w:tc>
        <w:tc>
          <w:tcPr>
            <w:tcW w:w="1610" w:type="pct"/>
            <w:tcBorders>
              <w:tl2br w:val="nil"/>
              <w:tr2bl w:val="nil"/>
            </w:tcBorders>
            <w:vAlign w:val="center"/>
          </w:tcPr>
          <w:p w:rsidR="00EE4502" w:rsidRDefault="00FD45A3">
            <w:pPr>
              <w:jc w:val="center"/>
              <w:rPr>
                <w:sz w:val="18"/>
                <w:szCs w:val="18"/>
              </w:rPr>
            </w:pPr>
            <w:r>
              <w:rPr>
                <w:sz w:val="18"/>
                <w:szCs w:val="18"/>
              </w:rPr>
              <w:t>施工期（地面工程）</w:t>
            </w:r>
          </w:p>
        </w:tc>
        <w:tc>
          <w:tcPr>
            <w:tcW w:w="807" w:type="pct"/>
            <w:tcBorders>
              <w:tl2br w:val="nil"/>
              <w:tr2bl w:val="nil"/>
            </w:tcBorders>
            <w:vAlign w:val="center"/>
          </w:tcPr>
          <w:p w:rsidR="00EE4502" w:rsidRDefault="00FD45A3">
            <w:pPr>
              <w:jc w:val="center"/>
              <w:rPr>
                <w:sz w:val="18"/>
                <w:szCs w:val="18"/>
              </w:rPr>
            </w:pPr>
            <w:r>
              <w:rPr>
                <w:sz w:val="18"/>
                <w:szCs w:val="18"/>
              </w:rPr>
              <w:t>运营期</w:t>
            </w:r>
          </w:p>
        </w:tc>
      </w:tr>
      <w:tr w:rsidR="00EE4502">
        <w:trPr>
          <w:cantSplit/>
          <w:trHeight w:val="340"/>
          <w:jc w:val="center"/>
        </w:trPr>
        <w:tc>
          <w:tcPr>
            <w:tcW w:w="807" w:type="pct"/>
            <w:vMerge w:val="restart"/>
            <w:tcBorders>
              <w:tl2br w:val="nil"/>
              <w:tr2bl w:val="nil"/>
            </w:tcBorders>
            <w:vAlign w:val="center"/>
          </w:tcPr>
          <w:p w:rsidR="00EE4502" w:rsidRDefault="00FD45A3">
            <w:pPr>
              <w:jc w:val="center"/>
              <w:rPr>
                <w:sz w:val="18"/>
                <w:szCs w:val="18"/>
              </w:rPr>
            </w:pPr>
            <w:r>
              <w:rPr>
                <w:sz w:val="18"/>
                <w:szCs w:val="18"/>
              </w:rPr>
              <w:t>影响分析</w:t>
            </w:r>
          </w:p>
        </w:tc>
        <w:tc>
          <w:tcPr>
            <w:tcW w:w="807" w:type="pct"/>
            <w:tcBorders>
              <w:tl2br w:val="nil"/>
              <w:tr2bl w:val="nil"/>
            </w:tcBorders>
            <w:vAlign w:val="center"/>
          </w:tcPr>
          <w:p w:rsidR="00EE4502" w:rsidRDefault="00FD45A3">
            <w:pPr>
              <w:jc w:val="center"/>
              <w:rPr>
                <w:sz w:val="18"/>
                <w:szCs w:val="18"/>
              </w:rPr>
            </w:pPr>
            <w:r>
              <w:rPr>
                <w:sz w:val="18"/>
                <w:szCs w:val="18"/>
              </w:rPr>
              <w:t>影响程度</w:t>
            </w:r>
          </w:p>
        </w:tc>
        <w:tc>
          <w:tcPr>
            <w:tcW w:w="967" w:type="pct"/>
            <w:tcBorders>
              <w:tl2br w:val="nil"/>
              <w:tr2bl w:val="nil"/>
            </w:tcBorders>
            <w:vAlign w:val="center"/>
          </w:tcPr>
          <w:p w:rsidR="00EE4502" w:rsidRDefault="00FD45A3">
            <w:pPr>
              <w:jc w:val="center"/>
              <w:rPr>
                <w:sz w:val="18"/>
                <w:szCs w:val="18"/>
              </w:rPr>
            </w:pPr>
            <w:r>
              <w:rPr>
                <w:sz w:val="18"/>
                <w:szCs w:val="18"/>
              </w:rPr>
              <w:t>重</w:t>
            </w:r>
          </w:p>
        </w:tc>
        <w:tc>
          <w:tcPr>
            <w:tcW w:w="1610" w:type="pct"/>
            <w:tcBorders>
              <w:tl2br w:val="nil"/>
              <w:tr2bl w:val="nil"/>
            </w:tcBorders>
            <w:vAlign w:val="center"/>
          </w:tcPr>
          <w:p w:rsidR="00EE4502" w:rsidRDefault="00FD45A3">
            <w:pPr>
              <w:jc w:val="center"/>
              <w:rPr>
                <w:sz w:val="18"/>
                <w:szCs w:val="18"/>
              </w:rPr>
            </w:pPr>
            <w:r>
              <w:rPr>
                <w:sz w:val="18"/>
                <w:szCs w:val="18"/>
              </w:rPr>
              <w:t>重</w:t>
            </w:r>
          </w:p>
        </w:tc>
        <w:tc>
          <w:tcPr>
            <w:tcW w:w="807" w:type="pct"/>
            <w:tcBorders>
              <w:tl2br w:val="nil"/>
              <w:tr2bl w:val="nil"/>
            </w:tcBorders>
            <w:vAlign w:val="center"/>
          </w:tcPr>
          <w:p w:rsidR="00EE4502" w:rsidRDefault="00FD45A3">
            <w:pPr>
              <w:jc w:val="center"/>
              <w:rPr>
                <w:sz w:val="18"/>
                <w:szCs w:val="18"/>
              </w:rPr>
            </w:pPr>
            <w:r>
              <w:rPr>
                <w:sz w:val="18"/>
                <w:szCs w:val="18"/>
              </w:rPr>
              <w:t>轻</w:t>
            </w:r>
          </w:p>
        </w:tc>
      </w:tr>
      <w:tr w:rsidR="00EE4502">
        <w:trPr>
          <w:cantSplit/>
          <w:trHeight w:val="340"/>
          <w:jc w:val="center"/>
        </w:trPr>
        <w:tc>
          <w:tcPr>
            <w:tcW w:w="807" w:type="pct"/>
            <w:vMerge/>
            <w:tcBorders>
              <w:tl2br w:val="nil"/>
              <w:tr2bl w:val="nil"/>
            </w:tcBorders>
            <w:vAlign w:val="center"/>
          </w:tcPr>
          <w:p w:rsidR="00EE4502" w:rsidRDefault="00EE4502">
            <w:pPr>
              <w:jc w:val="center"/>
              <w:rPr>
                <w:sz w:val="18"/>
                <w:szCs w:val="18"/>
              </w:rPr>
            </w:pPr>
          </w:p>
        </w:tc>
        <w:tc>
          <w:tcPr>
            <w:tcW w:w="807" w:type="pct"/>
            <w:tcBorders>
              <w:tl2br w:val="nil"/>
              <w:tr2bl w:val="nil"/>
            </w:tcBorders>
            <w:vAlign w:val="center"/>
          </w:tcPr>
          <w:p w:rsidR="00EE4502" w:rsidRDefault="00FD45A3">
            <w:pPr>
              <w:jc w:val="center"/>
              <w:rPr>
                <w:sz w:val="18"/>
                <w:szCs w:val="18"/>
              </w:rPr>
            </w:pPr>
            <w:r>
              <w:rPr>
                <w:sz w:val="18"/>
                <w:szCs w:val="18"/>
              </w:rPr>
              <w:t>影响特征</w:t>
            </w:r>
          </w:p>
        </w:tc>
        <w:tc>
          <w:tcPr>
            <w:tcW w:w="967" w:type="pct"/>
            <w:tcBorders>
              <w:tl2br w:val="nil"/>
              <w:tr2bl w:val="nil"/>
            </w:tcBorders>
            <w:vAlign w:val="center"/>
          </w:tcPr>
          <w:p w:rsidR="00EE4502" w:rsidRDefault="00FD45A3">
            <w:pPr>
              <w:jc w:val="center"/>
              <w:rPr>
                <w:sz w:val="18"/>
                <w:szCs w:val="18"/>
              </w:rPr>
            </w:pPr>
            <w:r>
              <w:rPr>
                <w:sz w:val="18"/>
                <w:szCs w:val="18"/>
              </w:rPr>
              <w:t>可逆</w:t>
            </w:r>
          </w:p>
        </w:tc>
        <w:tc>
          <w:tcPr>
            <w:tcW w:w="1610" w:type="pct"/>
            <w:tcBorders>
              <w:tl2br w:val="nil"/>
              <w:tr2bl w:val="nil"/>
            </w:tcBorders>
            <w:vAlign w:val="center"/>
          </w:tcPr>
          <w:p w:rsidR="00EE4502" w:rsidRDefault="00FD45A3">
            <w:pPr>
              <w:jc w:val="center"/>
              <w:rPr>
                <w:sz w:val="18"/>
                <w:szCs w:val="18"/>
              </w:rPr>
            </w:pPr>
            <w:r>
              <w:rPr>
                <w:sz w:val="18"/>
                <w:szCs w:val="18"/>
              </w:rPr>
              <w:t>部分可逆</w:t>
            </w:r>
          </w:p>
        </w:tc>
        <w:tc>
          <w:tcPr>
            <w:tcW w:w="807" w:type="pct"/>
            <w:tcBorders>
              <w:tl2br w:val="nil"/>
              <w:tr2bl w:val="nil"/>
            </w:tcBorders>
            <w:vAlign w:val="center"/>
          </w:tcPr>
          <w:p w:rsidR="00EE4502" w:rsidRDefault="00FD45A3">
            <w:pPr>
              <w:jc w:val="center"/>
              <w:rPr>
                <w:sz w:val="18"/>
                <w:szCs w:val="18"/>
              </w:rPr>
            </w:pPr>
            <w:r>
              <w:rPr>
                <w:sz w:val="18"/>
                <w:szCs w:val="18"/>
              </w:rPr>
              <w:t>可逆</w:t>
            </w:r>
          </w:p>
        </w:tc>
      </w:tr>
      <w:tr w:rsidR="00EE4502">
        <w:trPr>
          <w:cantSplit/>
          <w:trHeight w:val="340"/>
          <w:jc w:val="center"/>
        </w:trPr>
        <w:tc>
          <w:tcPr>
            <w:tcW w:w="807" w:type="pct"/>
            <w:vMerge/>
            <w:tcBorders>
              <w:tl2br w:val="nil"/>
              <w:tr2bl w:val="nil"/>
            </w:tcBorders>
            <w:vAlign w:val="center"/>
          </w:tcPr>
          <w:p w:rsidR="00EE4502" w:rsidRDefault="00EE4502">
            <w:pPr>
              <w:jc w:val="center"/>
              <w:rPr>
                <w:sz w:val="18"/>
                <w:szCs w:val="18"/>
              </w:rPr>
            </w:pPr>
          </w:p>
        </w:tc>
        <w:tc>
          <w:tcPr>
            <w:tcW w:w="807" w:type="pct"/>
            <w:tcBorders>
              <w:tl2br w:val="nil"/>
              <w:tr2bl w:val="nil"/>
            </w:tcBorders>
            <w:vAlign w:val="center"/>
          </w:tcPr>
          <w:p w:rsidR="00EE4502" w:rsidRDefault="00FD45A3">
            <w:pPr>
              <w:jc w:val="center"/>
              <w:rPr>
                <w:sz w:val="18"/>
                <w:szCs w:val="18"/>
              </w:rPr>
            </w:pPr>
            <w:r>
              <w:rPr>
                <w:sz w:val="18"/>
                <w:szCs w:val="18"/>
              </w:rPr>
              <w:t>影响时间</w:t>
            </w:r>
          </w:p>
        </w:tc>
        <w:tc>
          <w:tcPr>
            <w:tcW w:w="967" w:type="pct"/>
            <w:tcBorders>
              <w:tl2br w:val="nil"/>
              <w:tr2bl w:val="nil"/>
            </w:tcBorders>
            <w:vAlign w:val="center"/>
          </w:tcPr>
          <w:p w:rsidR="00EE4502" w:rsidRDefault="00FD45A3">
            <w:pPr>
              <w:jc w:val="center"/>
              <w:rPr>
                <w:sz w:val="18"/>
                <w:szCs w:val="18"/>
              </w:rPr>
            </w:pPr>
            <w:r>
              <w:rPr>
                <w:sz w:val="18"/>
                <w:szCs w:val="18"/>
              </w:rPr>
              <w:t>短期</w:t>
            </w:r>
          </w:p>
        </w:tc>
        <w:tc>
          <w:tcPr>
            <w:tcW w:w="1610" w:type="pct"/>
            <w:tcBorders>
              <w:tl2br w:val="nil"/>
              <w:tr2bl w:val="nil"/>
            </w:tcBorders>
            <w:vAlign w:val="center"/>
          </w:tcPr>
          <w:p w:rsidR="00EE4502" w:rsidRDefault="00FD45A3">
            <w:pPr>
              <w:jc w:val="center"/>
              <w:rPr>
                <w:sz w:val="18"/>
                <w:szCs w:val="18"/>
              </w:rPr>
            </w:pPr>
            <w:r>
              <w:rPr>
                <w:sz w:val="18"/>
                <w:szCs w:val="18"/>
              </w:rPr>
              <w:t>中、短期</w:t>
            </w:r>
          </w:p>
        </w:tc>
        <w:tc>
          <w:tcPr>
            <w:tcW w:w="807" w:type="pct"/>
            <w:tcBorders>
              <w:tl2br w:val="nil"/>
              <w:tr2bl w:val="nil"/>
            </w:tcBorders>
            <w:vAlign w:val="center"/>
          </w:tcPr>
          <w:p w:rsidR="00EE4502" w:rsidRDefault="00FD45A3">
            <w:pPr>
              <w:jc w:val="center"/>
              <w:rPr>
                <w:sz w:val="18"/>
                <w:szCs w:val="18"/>
              </w:rPr>
            </w:pPr>
            <w:r>
              <w:rPr>
                <w:sz w:val="18"/>
                <w:szCs w:val="18"/>
              </w:rPr>
              <w:t>短期</w:t>
            </w:r>
          </w:p>
        </w:tc>
      </w:tr>
      <w:tr w:rsidR="00EE4502">
        <w:trPr>
          <w:cantSplit/>
          <w:trHeight w:val="340"/>
          <w:jc w:val="center"/>
        </w:trPr>
        <w:tc>
          <w:tcPr>
            <w:tcW w:w="807" w:type="pct"/>
            <w:vMerge/>
            <w:tcBorders>
              <w:tl2br w:val="nil"/>
              <w:tr2bl w:val="nil"/>
            </w:tcBorders>
            <w:vAlign w:val="center"/>
          </w:tcPr>
          <w:p w:rsidR="00EE4502" w:rsidRDefault="00EE4502">
            <w:pPr>
              <w:jc w:val="center"/>
              <w:rPr>
                <w:sz w:val="18"/>
                <w:szCs w:val="18"/>
              </w:rPr>
            </w:pPr>
          </w:p>
        </w:tc>
        <w:tc>
          <w:tcPr>
            <w:tcW w:w="807" w:type="pct"/>
            <w:tcBorders>
              <w:tl2br w:val="nil"/>
              <w:tr2bl w:val="nil"/>
            </w:tcBorders>
            <w:vAlign w:val="center"/>
          </w:tcPr>
          <w:p w:rsidR="00EE4502" w:rsidRDefault="00FD45A3">
            <w:pPr>
              <w:jc w:val="center"/>
              <w:rPr>
                <w:sz w:val="18"/>
                <w:szCs w:val="18"/>
              </w:rPr>
            </w:pPr>
            <w:r>
              <w:rPr>
                <w:sz w:val="18"/>
                <w:szCs w:val="18"/>
              </w:rPr>
              <w:t>影响范围</w:t>
            </w:r>
          </w:p>
        </w:tc>
        <w:tc>
          <w:tcPr>
            <w:tcW w:w="967" w:type="pct"/>
            <w:tcBorders>
              <w:tl2br w:val="nil"/>
              <w:tr2bl w:val="nil"/>
            </w:tcBorders>
            <w:vAlign w:val="center"/>
          </w:tcPr>
          <w:p w:rsidR="00EE4502" w:rsidRDefault="00FD45A3">
            <w:pPr>
              <w:jc w:val="center"/>
              <w:rPr>
                <w:sz w:val="18"/>
                <w:szCs w:val="18"/>
              </w:rPr>
            </w:pPr>
            <w:r>
              <w:rPr>
                <w:sz w:val="18"/>
                <w:szCs w:val="18"/>
              </w:rPr>
              <w:t>大、不固定</w:t>
            </w:r>
          </w:p>
        </w:tc>
        <w:tc>
          <w:tcPr>
            <w:tcW w:w="1610" w:type="pct"/>
            <w:tcBorders>
              <w:tl2br w:val="nil"/>
              <w:tr2bl w:val="nil"/>
            </w:tcBorders>
            <w:vAlign w:val="center"/>
          </w:tcPr>
          <w:p w:rsidR="00EE4502" w:rsidRDefault="00FD45A3">
            <w:pPr>
              <w:jc w:val="center"/>
              <w:rPr>
                <w:sz w:val="18"/>
                <w:szCs w:val="18"/>
              </w:rPr>
            </w:pPr>
            <w:r>
              <w:rPr>
                <w:sz w:val="18"/>
                <w:szCs w:val="18"/>
              </w:rPr>
              <w:t>大、固定</w:t>
            </w:r>
          </w:p>
        </w:tc>
        <w:tc>
          <w:tcPr>
            <w:tcW w:w="807" w:type="pct"/>
            <w:tcBorders>
              <w:tl2br w:val="nil"/>
              <w:tr2bl w:val="nil"/>
            </w:tcBorders>
            <w:vAlign w:val="center"/>
          </w:tcPr>
          <w:p w:rsidR="00EE4502" w:rsidRDefault="00FD45A3">
            <w:pPr>
              <w:jc w:val="center"/>
              <w:rPr>
                <w:sz w:val="18"/>
                <w:szCs w:val="18"/>
              </w:rPr>
            </w:pPr>
            <w:r>
              <w:rPr>
                <w:sz w:val="18"/>
                <w:szCs w:val="18"/>
              </w:rPr>
              <w:t>小、固定</w:t>
            </w:r>
          </w:p>
        </w:tc>
      </w:tr>
    </w:tbl>
    <w:p w:rsidR="00EE4502" w:rsidRDefault="00EE4502"/>
    <w:p w:rsidR="00EE4502" w:rsidRDefault="00FD45A3">
      <w:pPr>
        <w:pStyle w:val="33"/>
        <w:numPr>
          <w:ilvl w:val="2"/>
          <w:numId w:val="30"/>
        </w:numPr>
        <w:spacing w:line="360" w:lineRule="auto"/>
        <w:ind w:left="0" w:firstLine="0"/>
        <w:rPr>
          <w:spacing w:val="0"/>
          <w:sz w:val="24"/>
          <w:szCs w:val="24"/>
        </w:rPr>
      </w:pPr>
      <w:r>
        <w:rPr>
          <w:rFonts w:hint="eastAsia"/>
          <w:spacing w:val="0"/>
          <w:sz w:val="24"/>
          <w:szCs w:val="24"/>
        </w:rPr>
        <w:t>施工期生态影响分析</w:t>
      </w:r>
    </w:p>
    <w:p w:rsidR="00EE4502" w:rsidRDefault="00FD45A3">
      <w:pPr>
        <w:pStyle w:val="41"/>
        <w:numPr>
          <w:ilvl w:val="3"/>
          <w:numId w:val="30"/>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bCs w:val="0"/>
          <w:sz w:val="24"/>
          <w:szCs w:val="24"/>
        </w:rPr>
        <w:t>工程</w:t>
      </w:r>
      <w:r>
        <w:rPr>
          <w:rFonts w:ascii="Times New Roman" w:eastAsia="宋体" w:hAnsi="Times New Roman" w:hint="eastAsia"/>
          <w:bCs w:val="0"/>
          <w:sz w:val="24"/>
          <w:szCs w:val="24"/>
        </w:rPr>
        <w:t>占地对生态的影响分析</w:t>
      </w:r>
    </w:p>
    <w:p w:rsidR="00EE4502" w:rsidRDefault="00FD45A3">
      <w:pPr>
        <w:spacing w:line="360" w:lineRule="auto"/>
        <w:ind w:firstLine="522"/>
        <w:rPr>
          <w:sz w:val="24"/>
        </w:rPr>
      </w:pPr>
      <w:r>
        <w:rPr>
          <w:rFonts w:hint="eastAsia"/>
          <w:sz w:val="24"/>
        </w:rPr>
        <w:t>（</w:t>
      </w:r>
      <w:r>
        <w:rPr>
          <w:rFonts w:hint="eastAsia"/>
          <w:sz w:val="24"/>
        </w:rPr>
        <w:t>1</w:t>
      </w:r>
      <w:r>
        <w:rPr>
          <w:rFonts w:hint="eastAsia"/>
          <w:sz w:val="24"/>
        </w:rPr>
        <w:t>）井场建设对生态环境的影响</w:t>
      </w:r>
    </w:p>
    <w:p w:rsidR="00EE4502" w:rsidRDefault="00FD45A3">
      <w:pPr>
        <w:spacing w:line="360" w:lineRule="auto"/>
        <w:ind w:firstLine="522"/>
        <w:rPr>
          <w:sz w:val="24"/>
        </w:rPr>
      </w:pPr>
      <w:r>
        <w:rPr>
          <w:rFonts w:hint="eastAsia"/>
          <w:sz w:val="24"/>
        </w:rPr>
        <w:t>本工程部署</w:t>
      </w:r>
      <w:r>
        <w:rPr>
          <w:rFonts w:hint="eastAsia"/>
          <w:sz w:val="24"/>
        </w:rPr>
        <w:t>22</w:t>
      </w:r>
      <w:r>
        <w:rPr>
          <w:rFonts w:hint="eastAsia"/>
          <w:sz w:val="24"/>
        </w:rPr>
        <w:t>口井，其中新钻井</w:t>
      </w:r>
      <w:r>
        <w:rPr>
          <w:rFonts w:hint="eastAsia"/>
          <w:sz w:val="24"/>
        </w:rPr>
        <w:t>18</w:t>
      </w:r>
      <w:r>
        <w:rPr>
          <w:rFonts w:hint="eastAsia"/>
          <w:sz w:val="24"/>
        </w:rPr>
        <w:t>口（含采油井</w:t>
      </w:r>
      <w:r>
        <w:rPr>
          <w:rFonts w:hint="eastAsia"/>
          <w:sz w:val="24"/>
        </w:rPr>
        <w:t>15</w:t>
      </w:r>
      <w:r>
        <w:rPr>
          <w:rFonts w:hint="eastAsia"/>
          <w:sz w:val="24"/>
        </w:rPr>
        <w:t>口、回注井</w:t>
      </w:r>
      <w:r>
        <w:rPr>
          <w:rFonts w:hint="eastAsia"/>
          <w:sz w:val="24"/>
        </w:rPr>
        <w:t>3</w:t>
      </w:r>
      <w:r>
        <w:rPr>
          <w:rFonts w:hint="eastAsia"/>
          <w:sz w:val="24"/>
        </w:rPr>
        <w:t>口）、老井利用</w:t>
      </w:r>
      <w:r>
        <w:rPr>
          <w:rFonts w:hint="eastAsia"/>
          <w:sz w:val="24"/>
        </w:rPr>
        <w:t>4</w:t>
      </w:r>
      <w:r>
        <w:rPr>
          <w:rFonts w:hint="eastAsia"/>
          <w:sz w:val="24"/>
        </w:rPr>
        <w:t>口（含采油井</w:t>
      </w:r>
      <w:r>
        <w:rPr>
          <w:rFonts w:hint="eastAsia"/>
          <w:sz w:val="24"/>
        </w:rPr>
        <w:t>3</w:t>
      </w:r>
      <w:r>
        <w:rPr>
          <w:rFonts w:hint="eastAsia"/>
          <w:sz w:val="24"/>
        </w:rPr>
        <w:t>口、回注井</w:t>
      </w:r>
      <w:r>
        <w:rPr>
          <w:rFonts w:hint="eastAsia"/>
          <w:sz w:val="24"/>
        </w:rPr>
        <w:t>1</w:t>
      </w:r>
      <w:r>
        <w:rPr>
          <w:rFonts w:hint="eastAsia"/>
          <w:sz w:val="24"/>
        </w:rPr>
        <w:t>口）。本工程总占地</w:t>
      </w:r>
      <w:r>
        <w:rPr>
          <w:rFonts w:hint="eastAsia"/>
          <w:sz w:val="24"/>
        </w:rPr>
        <w:t>21.4460</w:t>
      </w:r>
      <w:r>
        <w:rPr>
          <w:rFonts w:hint="eastAsia"/>
          <w:sz w:val="24"/>
        </w:rPr>
        <w:t>h</w:t>
      </w:r>
      <w:r>
        <w:rPr>
          <w:sz w:val="24"/>
        </w:rPr>
        <w:t>m</w:t>
      </w:r>
      <w:r>
        <w:rPr>
          <w:sz w:val="24"/>
          <w:vertAlign w:val="superscript"/>
        </w:rPr>
        <w:t>2</w:t>
      </w:r>
      <w:r>
        <w:rPr>
          <w:rFonts w:hint="eastAsia"/>
          <w:sz w:val="24"/>
        </w:rPr>
        <w:t>，其中永久占地</w:t>
      </w:r>
      <w:r>
        <w:rPr>
          <w:rFonts w:hint="eastAsia"/>
          <w:sz w:val="24"/>
        </w:rPr>
        <w:t>3.4060h</w:t>
      </w:r>
      <w:r>
        <w:rPr>
          <w:sz w:val="24"/>
        </w:rPr>
        <w:t>m</w:t>
      </w:r>
      <w:r>
        <w:rPr>
          <w:sz w:val="24"/>
          <w:vertAlign w:val="superscript"/>
        </w:rPr>
        <w:t>2</w:t>
      </w:r>
      <w:r>
        <w:rPr>
          <w:rFonts w:hint="eastAsia"/>
          <w:sz w:val="24"/>
        </w:rPr>
        <w:t>，临时占地</w:t>
      </w:r>
      <w:r>
        <w:rPr>
          <w:rFonts w:hint="eastAsia"/>
          <w:sz w:val="24"/>
        </w:rPr>
        <w:t>18.0400h</w:t>
      </w:r>
      <w:r>
        <w:rPr>
          <w:sz w:val="24"/>
        </w:rPr>
        <w:t>m</w:t>
      </w:r>
      <w:r>
        <w:rPr>
          <w:sz w:val="24"/>
          <w:vertAlign w:val="superscript"/>
        </w:rPr>
        <w:t>2</w:t>
      </w:r>
      <w:r>
        <w:rPr>
          <w:rFonts w:hint="eastAsia"/>
          <w:sz w:val="24"/>
        </w:rPr>
        <w:t>。占地类型主要为灌木林地</w:t>
      </w:r>
      <w:r>
        <w:rPr>
          <w:rFonts w:hint="eastAsia"/>
          <w:sz w:val="24"/>
        </w:rPr>
        <w:t>、其他草地、水浇地（非基本农田）</w:t>
      </w:r>
      <w:r>
        <w:rPr>
          <w:rFonts w:hint="eastAsia"/>
          <w:sz w:val="24"/>
        </w:rPr>
        <w:t>。</w:t>
      </w:r>
    </w:p>
    <w:p w:rsidR="00EE4502" w:rsidRDefault="00FD45A3">
      <w:pPr>
        <w:spacing w:line="360" w:lineRule="auto"/>
        <w:ind w:firstLine="522"/>
        <w:rPr>
          <w:sz w:val="24"/>
        </w:rPr>
      </w:pPr>
      <w:r>
        <w:rPr>
          <w:rFonts w:hint="eastAsia"/>
          <w:sz w:val="24"/>
        </w:rPr>
        <w:t>本工程施工结束后，永久占地被永久性构筑物代替，这部分占地的土壤类型、土地利用类型和植被类型将发生彻底的改变，永久占地使原先土壤</w:t>
      </w:r>
      <w:r>
        <w:rPr>
          <w:rFonts w:hint="eastAsia"/>
          <w:sz w:val="24"/>
        </w:rPr>
        <w:t>-</w:t>
      </w:r>
      <w:r>
        <w:rPr>
          <w:rFonts w:hint="eastAsia"/>
          <w:sz w:val="24"/>
        </w:rPr>
        <w:t>植被复合体构成的自然地表被各类人工构筑物长期取代；临时占地伴随着永久性占地的</w:t>
      </w:r>
      <w:r>
        <w:rPr>
          <w:rFonts w:hint="eastAsia"/>
          <w:sz w:val="24"/>
        </w:rPr>
        <w:lastRenderedPageBreak/>
        <w:t>工程建设而变化，不可避免地对原有地表造成破坏，使原有土壤</w:t>
      </w:r>
      <w:r>
        <w:rPr>
          <w:rFonts w:hint="eastAsia"/>
          <w:sz w:val="24"/>
        </w:rPr>
        <w:t>-</w:t>
      </w:r>
      <w:r>
        <w:rPr>
          <w:rFonts w:hint="eastAsia"/>
          <w:sz w:val="24"/>
        </w:rPr>
        <w:t>植被自然体系受到影响或瓦解，在扰动结束后，临时占地影响的土壤</w:t>
      </w:r>
      <w:r>
        <w:rPr>
          <w:rFonts w:hint="eastAsia"/>
          <w:sz w:val="24"/>
        </w:rPr>
        <w:t>-</w:t>
      </w:r>
      <w:r>
        <w:rPr>
          <w:rFonts w:hint="eastAsia"/>
          <w:sz w:val="24"/>
        </w:rPr>
        <w:t>植被体系的恢复能力与程度取决于临时占地影响程度的大小及原有生态背景状况。施工活动和工程占地在油区范围内并呈点线状分布，对土壤、植物、野生动物等各生态要素</w:t>
      </w:r>
      <w:r>
        <w:rPr>
          <w:rFonts w:hint="eastAsia"/>
          <w:sz w:val="24"/>
        </w:rPr>
        <w:t>产生不同程度的影响，同时也对原有景观结构和生态系统产生一定程度影响。</w:t>
      </w:r>
    </w:p>
    <w:p w:rsidR="00EE4502" w:rsidRDefault="00FD45A3">
      <w:pPr>
        <w:spacing w:line="360" w:lineRule="auto"/>
        <w:ind w:firstLine="522"/>
        <w:rPr>
          <w:sz w:val="24"/>
        </w:rPr>
      </w:pPr>
      <w:r>
        <w:rPr>
          <w:rFonts w:hint="eastAsia"/>
          <w:sz w:val="24"/>
        </w:rPr>
        <w:t>由于临时占地的扰动、破坏，将增加土壤风蚀量，油田所在区域为稀疏植被分布，植被的防风固沙作用相对较弱。但地表保护层具有很强的防风沙的生态功能，其作用不容忽视。这种盐壳的形成是由于长期风蚀或土壤中的盐碱沉积作用，使地表原有的细砂及细粉物质被吹蚀，由于雨水的作用，使砾石与土层紧密地结合，形成了致密而稳定的保护结构，它保护着地下的细粉物质，对区域由于风蚀引起的水土流失起着很好的抑制作用。由于勘探、钻井机械、运输车辆及施工人员的活动，可使地表盐壳层</w:t>
      </w:r>
      <w:r>
        <w:rPr>
          <w:rFonts w:hint="eastAsia"/>
          <w:sz w:val="24"/>
        </w:rPr>
        <w:t>受到破坏</w:t>
      </w:r>
      <w:r>
        <w:rPr>
          <w:rFonts w:hint="eastAsia"/>
          <w:sz w:val="24"/>
        </w:rPr>
        <w:t>，这些保护层一旦被破坏，又得经过多年的吹蚀，使地表粉细物质全部被吹蚀后才能处于稳定状态。因而在近几年内，区域内的风蚀量会有所增加，影响空气环境质量。</w:t>
      </w:r>
    </w:p>
    <w:p w:rsidR="00EE4502" w:rsidRDefault="00FD45A3">
      <w:pPr>
        <w:spacing w:line="360" w:lineRule="auto"/>
        <w:ind w:firstLine="522"/>
        <w:rPr>
          <w:sz w:val="24"/>
        </w:rPr>
      </w:pPr>
      <w:r>
        <w:rPr>
          <w:rFonts w:hint="eastAsia"/>
          <w:sz w:val="24"/>
        </w:rPr>
        <w:t>当油田转入正常运营后，人群的活动范围缩小，受到破坏的临时占地逐渐得到恢复，工程占地影响也会逐步减弱。</w:t>
      </w:r>
    </w:p>
    <w:p w:rsidR="00EE4502" w:rsidRDefault="00FD45A3">
      <w:pPr>
        <w:pStyle w:val="41"/>
        <w:numPr>
          <w:ilvl w:val="3"/>
          <w:numId w:val="30"/>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bCs w:val="0"/>
          <w:sz w:val="24"/>
          <w:szCs w:val="24"/>
        </w:rPr>
        <w:t>对</w:t>
      </w:r>
      <w:r>
        <w:rPr>
          <w:rFonts w:ascii="Times New Roman" w:eastAsia="宋体" w:hAnsi="Times New Roman" w:hint="eastAsia"/>
          <w:bCs w:val="0"/>
          <w:sz w:val="24"/>
          <w:szCs w:val="24"/>
        </w:rPr>
        <w:t>植被覆盖度及生物损失量</w:t>
      </w:r>
      <w:r>
        <w:rPr>
          <w:rFonts w:ascii="Times New Roman" w:eastAsia="宋体" w:hAnsi="Times New Roman"/>
          <w:bCs w:val="0"/>
          <w:sz w:val="24"/>
          <w:szCs w:val="24"/>
        </w:rPr>
        <w:t>的影响分析</w:t>
      </w:r>
    </w:p>
    <w:p w:rsidR="00EE4502" w:rsidRDefault="00FD45A3">
      <w:pPr>
        <w:spacing w:line="360" w:lineRule="auto"/>
        <w:ind w:firstLine="522"/>
        <w:rPr>
          <w:sz w:val="24"/>
        </w:rPr>
      </w:pPr>
      <w:r>
        <w:rPr>
          <w:rFonts w:hint="eastAsia"/>
          <w:sz w:val="24"/>
        </w:rPr>
        <w:t>工程对植被的影响主要在施工期的占地影响及井区内管道敷设产生的影响、人类活动产生的影响，其次污染物排放也将对植被产生一定的影响。油田经过多年的勘探开发后，现已具备了一定的规模，占用了一定面积的土地，使区域环境内地表永久</w:t>
      </w:r>
      <w:r>
        <w:rPr>
          <w:rFonts w:hint="eastAsia"/>
          <w:sz w:val="24"/>
        </w:rPr>
        <w:t>性构筑物增多。具体的影响方式及影响程度表现在以下几个方面：</w:t>
      </w:r>
    </w:p>
    <w:p w:rsidR="00EE4502" w:rsidRDefault="00FD45A3">
      <w:pPr>
        <w:spacing w:line="360" w:lineRule="auto"/>
        <w:ind w:firstLine="522"/>
        <w:rPr>
          <w:sz w:val="24"/>
        </w:rPr>
      </w:pPr>
      <w:r>
        <w:rPr>
          <w:rFonts w:hint="eastAsia"/>
          <w:sz w:val="24"/>
        </w:rPr>
        <w:t>（</w:t>
      </w:r>
      <w:r>
        <w:rPr>
          <w:rFonts w:hint="eastAsia"/>
          <w:sz w:val="24"/>
        </w:rPr>
        <w:t>1</w:t>
      </w:r>
      <w:r>
        <w:rPr>
          <w:rFonts w:hint="eastAsia"/>
          <w:sz w:val="24"/>
        </w:rPr>
        <w:t>）占地影响</w:t>
      </w:r>
    </w:p>
    <w:p w:rsidR="00EE4502" w:rsidRDefault="00FD45A3">
      <w:pPr>
        <w:spacing w:line="360" w:lineRule="auto"/>
        <w:ind w:firstLine="522"/>
        <w:rPr>
          <w:sz w:val="24"/>
        </w:rPr>
      </w:pPr>
      <w:r>
        <w:rPr>
          <w:rFonts w:hint="eastAsia"/>
          <w:sz w:val="24"/>
        </w:rPr>
        <w:t>本工程</w:t>
      </w:r>
      <w:r>
        <w:rPr>
          <w:rFonts w:hint="eastAsia"/>
          <w:sz w:val="24"/>
        </w:rPr>
        <w:t>投入运营后，其中有永久占地</w:t>
      </w:r>
      <w:r>
        <w:rPr>
          <w:rFonts w:hint="eastAsia"/>
          <w:sz w:val="24"/>
        </w:rPr>
        <w:t>3.4060</w:t>
      </w:r>
      <w:r>
        <w:rPr>
          <w:rFonts w:hint="eastAsia"/>
          <w:sz w:val="24"/>
        </w:rPr>
        <w:t>hm</w:t>
      </w:r>
      <w:r>
        <w:rPr>
          <w:rFonts w:hint="eastAsia"/>
          <w:sz w:val="24"/>
          <w:vertAlign w:val="superscript"/>
        </w:rPr>
        <w:t>2</w:t>
      </w:r>
      <w:r>
        <w:rPr>
          <w:rFonts w:hint="eastAsia"/>
          <w:sz w:val="24"/>
        </w:rPr>
        <w:t>的地表被永久占用，永久占地主要为灌木林地</w:t>
      </w:r>
      <w:r>
        <w:rPr>
          <w:rFonts w:hint="eastAsia"/>
          <w:sz w:val="24"/>
        </w:rPr>
        <w:t>、其他草地、水浇地</w:t>
      </w:r>
      <w:r>
        <w:rPr>
          <w:rFonts w:hint="eastAsia"/>
          <w:sz w:val="24"/>
        </w:rPr>
        <w:t>。地表被各种构筑物或砾石覆盖。施工期地表保护层被破坏，稳定性下降，防止水土流失的能力也随之下降，并且地表植被不复存在。</w:t>
      </w:r>
    </w:p>
    <w:p w:rsidR="00EE4502" w:rsidRDefault="00FD45A3">
      <w:pPr>
        <w:spacing w:line="360" w:lineRule="auto"/>
        <w:ind w:firstLine="522"/>
        <w:rPr>
          <w:sz w:val="24"/>
        </w:rPr>
      </w:pPr>
      <w:r>
        <w:rPr>
          <w:rFonts w:hint="eastAsia"/>
          <w:sz w:val="24"/>
        </w:rPr>
        <w:t>集油管线的建设主要为临时占地，主要为施工对地表植被的扰动和破坏。在管道施工过程中，开挖管沟区将底土翻出，使土体结构几乎完全改变。管沟开挖区域内的植被全部被破坏，其管道两侧的植被则受到不同程度的破坏和影响。项目</w:t>
      </w:r>
      <w:r>
        <w:rPr>
          <w:rFonts w:hint="eastAsia"/>
          <w:sz w:val="24"/>
        </w:rPr>
        <w:t>临时占地面积</w:t>
      </w:r>
      <w:r>
        <w:rPr>
          <w:rFonts w:hint="eastAsia"/>
          <w:sz w:val="24"/>
        </w:rPr>
        <w:t>18.0400hm</w:t>
      </w:r>
      <w:r>
        <w:rPr>
          <w:rFonts w:hint="eastAsia"/>
          <w:sz w:val="24"/>
          <w:vertAlign w:val="superscript"/>
        </w:rPr>
        <w:t>2</w:t>
      </w:r>
      <w:r>
        <w:rPr>
          <w:rFonts w:hint="eastAsia"/>
          <w:sz w:val="24"/>
        </w:rPr>
        <w:t>，主要以</w:t>
      </w:r>
      <w:r>
        <w:rPr>
          <w:rFonts w:hint="eastAsia"/>
          <w:sz w:val="24"/>
        </w:rPr>
        <w:t>灌木林地、其他草地、盐碱地、水浇地</w:t>
      </w:r>
      <w:r>
        <w:rPr>
          <w:rFonts w:hint="eastAsia"/>
          <w:sz w:val="24"/>
        </w:rPr>
        <w:lastRenderedPageBreak/>
        <w:t>（非基本农田）</w:t>
      </w:r>
      <w:r>
        <w:rPr>
          <w:rFonts w:hint="eastAsia"/>
          <w:sz w:val="24"/>
        </w:rPr>
        <w:t>为主。</w:t>
      </w:r>
    </w:p>
    <w:p w:rsidR="00EE4502" w:rsidRDefault="00FD45A3">
      <w:pPr>
        <w:spacing w:line="360" w:lineRule="auto"/>
        <w:ind w:firstLine="522"/>
        <w:rPr>
          <w:sz w:val="24"/>
        </w:rPr>
      </w:pPr>
      <w:r>
        <w:rPr>
          <w:rFonts w:hint="eastAsia"/>
          <w:sz w:val="24"/>
        </w:rPr>
        <w:t>（</w:t>
      </w:r>
      <w:r>
        <w:rPr>
          <w:rFonts w:hint="eastAsia"/>
          <w:sz w:val="24"/>
        </w:rPr>
        <w:t>2</w:t>
      </w:r>
      <w:r>
        <w:rPr>
          <w:rFonts w:hint="eastAsia"/>
          <w:sz w:val="24"/>
        </w:rPr>
        <w:t>）生物量损失</w:t>
      </w:r>
    </w:p>
    <w:p w:rsidR="00EE4502" w:rsidRDefault="00FD45A3">
      <w:pPr>
        <w:spacing w:line="360" w:lineRule="auto"/>
        <w:ind w:firstLineChars="200" w:firstLine="480"/>
        <w:rPr>
          <w:sz w:val="24"/>
        </w:rPr>
      </w:pPr>
      <w:r>
        <w:rPr>
          <w:rFonts w:hint="eastAsia"/>
          <w:sz w:val="24"/>
        </w:rPr>
        <w:t>本工程</w:t>
      </w:r>
      <w:r>
        <w:rPr>
          <w:sz w:val="24"/>
        </w:rPr>
        <w:t>评价区植被覆盖率在</w:t>
      </w:r>
      <w:r>
        <w:rPr>
          <w:rFonts w:hint="eastAsia"/>
          <w:sz w:val="24"/>
        </w:rPr>
        <w:t>10</w:t>
      </w:r>
      <w:r>
        <w:rPr>
          <w:sz w:val="24"/>
        </w:rPr>
        <w:t>%~</w:t>
      </w:r>
      <w:r>
        <w:rPr>
          <w:rFonts w:hint="eastAsia"/>
          <w:sz w:val="24"/>
        </w:rPr>
        <w:t>30</w:t>
      </w:r>
      <w:r>
        <w:rPr>
          <w:sz w:val="24"/>
        </w:rPr>
        <w:t>%</w:t>
      </w:r>
      <w:r>
        <w:rPr>
          <w:sz w:val="24"/>
        </w:rPr>
        <w:t>之间。</w:t>
      </w:r>
      <w:r>
        <w:rPr>
          <w:rFonts w:hint="eastAsia"/>
          <w:sz w:val="24"/>
        </w:rPr>
        <w:t>拟建工程井场和管线永久占地和临时用地都会导致生物量损失。根据国内有关植被生物量和生产力的研究成果，选取评价范围内典型植被种类进行生物量估算，按下式计算：</w:t>
      </w:r>
    </w:p>
    <w:p w:rsidR="00EE4502" w:rsidRDefault="00FD45A3">
      <w:pPr>
        <w:widowControl/>
        <w:jc w:val="center"/>
        <w:rPr>
          <w:sz w:val="24"/>
        </w:rPr>
      </w:pPr>
      <w:r>
        <w:rPr>
          <w:i/>
          <w:iCs/>
          <w:kern w:val="0"/>
          <w:sz w:val="24"/>
          <w:lang w:bidi="ar"/>
        </w:rPr>
        <w:t>Y=S</w:t>
      </w:r>
      <w:r>
        <w:rPr>
          <w:i/>
          <w:iCs/>
          <w:kern w:val="0"/>
          <w:sz w:val="24"/>
          <w:vertAlign w:val="subscript"/>
          <w:lang w:bidi="ar"/>
        </w:rPr>
        <w:t>i</w:t>
      </w:r>
      <w:r>
        <w:rPr>
          <w:i/>
          <w:iCs/>
          <w:kern w:val="0"/>
          <w:sz w:val="24"/>
          <w:lang w:bidi="ar"/>
        </w:rPr>
        <w:t>·W</w:t>
      </w:r>
      <w:r>
        <w:rPr>
          <w:i/>
          <w:iCs/>
          <w:kern w:val="0"/>
          <w:sz w:val="24"/>
          <w:vertAlign w:val="subscript"/>
          <w:lang w:bidi="ar"/>
        </w:rPr>
        <w:t>i</w:t>
      </w:r>
    </w:p>
    <w:p w:rsidR="00EE4502" w:rsidRDefault="00FD45A3">
      <w:pPr>
        <w:spacing w:line="360" w:lineRule="auto"/>
        <w:ind w:firstLine="522"/>
        <w:rPr>
          <w:sz w:val="24"/>
        </w:rPr>
      </w:pPr>
      <w:r>
        <w:rPr>
          <w:rFonts w:hint="eastAsia"/>
          <w:sz w:val="24"/>
        </w:rPr>
        <w:t>式中，</w:t>
      </w:r>
      <w:r>
        <w:rPr>
          <w:rFonts w:hint="eastAsia"/>
          <w:i/>
          <w:iCs/>
          <w:sz w:val="24"/>
        </w:rPr>
        <w:t>Y</w:t>
      </w:r>
      <w:r>
        <w:rPr>
          <w:rFonts w:hint="eastAsia"/>
          <w:sz w:val="24"/>
        </w:rPr>
        <w:t>—永久性生物量损失，</w:t>
      </w:r>
      <w:r>
        <w:rPr>
          <w:rFonts w:hint="eastAsia"/>
          <w:sz w:val="24"/>
        </w:rPr>
        <w:t>kg</w:t>
      </w:r>
      <w:r>
        <w:rPr>
          <w:rFonts w:hint="eastAsia"/>
          <w:sz w:val="24"/>
        </w:rPr>
        <w:t>；</w:t>
      </w:r>
    </w:p>
    <w:p w:rsidR="00EE4502" w:rsidRDefault="00FD45A3">
      <w:pPr>
        <w:spacing w:line="360" w:lineRule="auto"/>
        <w:ind w:firstLineChars="548" w:firstLine="1315"/>
        <w:rPr>
          <w:sz w:val="24"/>
        </w:rPr>
      </w:pPr>
      <w:r>
        <w:rPr>
          <w:rFonts w:hint="eastAsia"/>
          <w:i/>
          <w:iCs/>
          <w:sz w:val="24"/>
        </w:rPr>
        <w:t>S</w:t>
      </w:r>
      <w:r>
        <w:rPr>
          <w:rFonts w:hint="eastAsia"/>
          <w:i/>
          <w:iCs/>
          <w:sz w:val="24"/>
          <w:vertAlign w:val="subscript"/>
        </w:rPr>
        <w:t>i</w:t>
      </w:r>
      <w:r>
        <w:rPr>
          <w:rFonts w:hint="eastAsia"/>
          <w:sz w:val="24"/>
        </w:rPr>
        <w:t>—占地面积，</w:t>
      </w:r>
      <w:r>
        <w:rPr>
          <w:rFonts w:hint="eastAsia"/>
          <w:sz w:val="24"/>
        </w:rPr>
        <w:t>m</w:t>
      </w:r>
      <w:r>
        <w:rPr>
          <w:rFonts w:hint="eastAsia"/>
          <w:sz w:val="24"/>
          <w:vertAlign w:val="superscript"/>
        </w:rPr>
        <w:t>2</w:t>
      </w:r>
      <w:r>
        <w:rPr>
          <w:rFonts w:hint="eastAsia"/>
          <w:sz w:val="24"/>
        </w:rPr>
        <w:t>；</w:t>
      </w:r>
    </w:p>
    <w:p w:rsidR="00EE4502" w:rsidRDefault="00FD45A3">
      <w:pPr>
        <w:spacing w:line="360" w:lineRule="auto"/>
        <w:ind w:firstLineChars="548" w:firstLine="1315"/>
        <w:rPr>
          <w:sz w:val="24"/>
        </w:rPr>
      </w:pPr>
      <w:r>
        <w:rPr>
          <w:rFonts w:hint="eastAsia"/>
          <w:i/>
          <w:iCs/>
          <w:sz w:val="24"/>
        </w:rPr>
        <w:t>W</w:t>
      </w:r>
      <w:r>
        <w:rPr>
          <w:rFonts w:hint="eastAsia"/>
          <w:i/>
          <w:iCs/>
          <w:sz w:val="24"/>
          <w:vertAlign w:val="subscript"/>
        </w:rPr>
        <w:t>i</w:t>
      </w:r>
      <w:r>
        <w:rPr>
          <w:rFonts w:hint="eastAsia"/>
          <w:sz w:val="24"/>
        </w:rPr>
        <w:t>—单位面积生物量，</w:t>
      </w:r>
      <w:r>
        <w:rPr>
          <w:rFonts w:hint="eastAsia"/>
          <w:sz w:val="24"/>
        </w:rPr>
        <w:t>kg/m</w:t>
      </w:r>
      <w:r>
        <w:rPr>
          <w:rFonts w:hint="eastAsia"/>
          <w:sz w:val="24"/>
          <w:vertAlign w:val="superscript"/>
        </w:rPr>
        <w:t>2</w:t>
      </w:r>
      <w:r>
        <w:rPr>
          <w:rFonts w:hint="eastAsia"/>
          <w:sz w:val="24"/>
        </w:rPr>
        <w:t>。</w:t>
      </w:r>
    </w:p>
    <w:p w:rsidR="00EE4502" w:rsidRDefault="00FD45A3">
      <w:pPr>
        <w:spacing w:line="360" w:lineRule="auto"/>
        <w:ind w:firstLine="522"/>
        <w:rPr>
          <w:sz w:val="24"/>
        </w:rPr>
      </w:pPr>
      <w:r>
        <w:rPr>
          <w:rFonts w:hint="eastAsia"/>
          <w:sz w:val="24"/>
        </w:rPr>
        <w:t>根据现场调查及查阅《中国区域植被地上与地下生物量模拟》（生态学报，</w:t>
      </w:r>
      <w:r>
        <w:rPr>
          <w:rFonts w:hint="eastAsia"/>
          <w:sz w:val="24"/>
        </w:rPr>
        <w:t>2016</w:t>
      </w:r>
      <w:r>
        <w:rPr>
          <w:rFonts w:hint="eastAsia"/>
          <w:sz w:val="24"/>
        </w:rPr>
        <w:t>（</w:t>
      </w:r>
      <w:r>
        <w:rPr>
          <w:rFonts w:hint="eastAsia"/>
          <w:sz w:val="24"/>
        </w:rPr>
        <w:t>12</w:t>
      </w:r>
      <w:r>
        <w:rPr>
          <w:rFonts w:hint="eastAsia"/>
          <w:sz w:val="24"/>
        </w:rPr>
        <w:t>：</w:t>
      </w:r>
      <w:r>
        <w:rPr>
          <w:rFonts w:hint="eastAsia"/>
          <w:sz w:val="24"/>
        </w:rPr>
        <w:t>4156-4163</w:t>
      </w:r>
      <w:r>
        <w:rPr>
          <w:rFonts w:hint="eastAsia"/>
          <w:sz w:val="24"/>
        </w:rPr>
        <w:t>）等相关文献资料，区域主要植被为灌木林地，平均生物量为</w:t>
      </w:r>
      <w:r>
        <w:rPr>
          <w:sz w:val="24"/>
        </w:rPr>
        <w:t>2.02</w:t>
      </w:r>
      <w:r>
        <w:rPr>
          <w:rFonts w:hint="eastAsia"/>
          <w:sz w:val="24"/>
        </w:rPr>
        <w:t>t/hm</w:t>
      </w:r>
      <w:r>
        <w:rPr>
          <w:rFonts w:hint="eastAsia"/>
          <w:sz w:val="24"/>
          <w:vertAlign w:val="superscript"/>
        </w:rPr>
        <w:t>2</w:t>
      </w:r>
      <w:r>
        <w:rPr>
          <w:rFonts w:hint="eastAsia"/>
          <w:sz w:val="24"/>
        </w:rPr>
        <w:t>。则项目实施将造成</w:t>
      </w:r>
      <w:r>
        <w:rPr>
          <w:rFonts w:hint="eastAsia"/>
          <w:sz w:val="24"/>
        </w:rPr>
        <w:t>6.9</w:t>
      </w:r>
      <w:r>
        <w:rPr>
          <w:rFonts w:hint="eastAsia"/>
          <w:sz w:val="24"/>
        </w:rPr>
        <w:t>t</w:t>
      </w:r>
      <w:r>
        <w:rPr>
          <w:rFonts w:hint="eastAsia"/>
          <w:sz w:val="24"/>
        </w:rPr>
        <w:t>永久占地生物损失和</w:t>
      </w:r>
      <w:r>
        <w:rPr>
          <w:rFonts w:hint="eastAsia"/>
          <w:sz w:val="24"/>
        </w:rPr>
        <w:t>36.5</w:t>
      </w:r>
      <w:r>
        <w:rPr>
          <w:rFonts w:hint="eastAsia"/>
          <w:sz w:val="24"/>
        </w:rPr>
        <w:t>t</w:t>
      </w:r>
      <w:r>
        <w:rPr>
          <w:rFonts w:hint="eastAsia"/>
          <w:sz w:val="24"/>
        </w:rPr>
        <w:t>临时占地生物损失。新增植被损失主要来自临时占地，通过加强施工管理，认真做好施工结束后的迹地恢复工作，工程建设对植被的环境影响可接受。</w:t>
      </w:r>
    </w:p>
    <w:p w:rsidR="00EE4502" w:rsidRDefault="00FD45A3">
      <w:pPr>
        <w:spacing w:line="360" w:lineRule="auto"/>
        <w:ind w:firstLine="522"/>
        <w:rPr>
          <w:sz w:val="24"/>
        </w:rPr>
      </w:pPr>
      <w:r>
        <w:rPr>
          <w:rFonts w:hint="eastAsia"/>
          <w:sz w:val="24"/>
        </w:rPr>
        <w:t>（</w:t>
      </w:r>
      <w:r>
        <w:rPr>
          <w:rFonts w:hint="eastAsia"/>
          <w:sz w:val="24"/>
        </w:rPr>
        <w:t>3</w:t>
      </w:r>
      <w:r>
        <w:rPr>
          <w:rFonts w:hint="eastAsia"/>
          <w:sz w:val="24"/>
        </w:rPr>
        <w:t>）石油类对植被的影响</w:t>
      </w:r>
    </w:p>
    <w:p w:rsidR="00EE4502" w:rsidRDefault="00FD45A3">
      <w:pPr>
        <w:spacing w:line="360" w:lineRule="auto"/>
        <w:ind w:firstLine="522"/>
        <w:rPr>
          <w:sz w:val="24"/>
        </w:rPr>
      </w:pPr>
      <w:r>
        <w:rPr>
          <w:rFonts w:hint="eastAsia"/>
          <w:sz w:val="24"/>
        </w:rPr>
        <w:t>在油田开发过程中石油类对植被的污染途径主要有两种：一是落地油先污染土壤，改变其结构和性状，使生长其上的植被间接</w:t>
      </w:r>
      <w:r>
        <w:rPr>
          <w:rFonts w:hint="eastAsia"/>
          <w:sz w:val="24"/>
        </w:rPr>
        <w:t>地</w:t>
      </w:r>
      <w:r>
        <w:rPr>
          <w:rFonts w:hint="eastAsia"/>
          <w:sz w:val="24"/>
        </w:rPr>
        <w:t>受到影响；二是</w:t>
      </w:r>
      <w:r>
        <w:rPr>
          <w:rFonts w:hint="eastAsia"/>
          <w:sz w:val="24"/>
        </w:rPr>
        <w:t>钻井及生产过程中不慎将原油溅落在植物体上，影响其生理功能，使植物生长发育受阻，严重时导致植物的死亡。</w:t>
      </w:r>
    </w:p>
    <w:p w:rsidR="00EE4502" w:rsidRDefault="00FD45A3">
      <w:pPr>
        <w:spacing w:line="360" w:lineRule="auto"/>
        <w:ind w:firstLine="522"/>
        <w:rPr>
          <w:sz w:val="24"/>
        </w:rPr>
      </w:pPr>
      <w:r>
        <w:rPr>
          <w:rFonts w:hint="eastAsia"/>
          <w:sz w:val="24"/>
        </w:rPr>
        <w:t>根据对以往油田资料的分析及实地勘察，石油类在土壤中</w:t>
      </w:r>
      <w:r>
        <w:rPr>
          <w:rFonts w:hint="eastAsia"/>
          <w:sz w:val="24"/>
        </w:rPr>
        <w:t xml:space="preserve">0~20cm </w:t>
      </w:r>
      <w:r>
        <w:rPr>
          <w:rFonts w:hint="eastAsia"/>
          <w:sz w:val="24"/>
        </w:rPr>
        <w:t>土层中残留量最大，污染源对植被影响范围在</w:t>
      </w:r>
      <w:r>
        <w:rPr>
          <w:rFonts w:hint="eastAsia"/>
          <w:sz w:val="24"/>
        </w:rPr>
        <w:t>50m</w:t>
      </w:r>
      <w:r>
        <w:rPr>
          <w:rFonts w:hint="eastAsia"/>
          <w:sz w:val="24"/>
        </w:rPr>
        <w:t>左右，</w:t>
      </w:r>
      <w:r>
        <w:rPr>
          <w:rFonts w:hint="eastAsia"/>
          <w:sz w:val="24"/>
        </w:rPr>
        <w:t>50m</w:t>
      </w:r>
      <w:r>
        <w:rPr>
          <w:rFonts w:hint="eastAsia"/>
          <w:sz w:val="24"/>
        </w:rPr>
        <w:t>以外植物体内石油类含量接近背景值，植被生长良好。该区植物极为稀少，所以地表石油类污染不会使植被受到明显伤害。</w:t>
      </w:r>
    </w:p>
    <w:p w:rsidR="00EE4502" w:rsidRDefault="00FD45A3">
      <w:pPr>
        <w:spacing w:line="360" w:lineRule="auto"/>
        <w:ind w:firstLine="522"/>
        <w:rPr>
          <w:sz w:val="24"/>
        </w:rPr>
      </w:pPr>
      <w:r>
        <w:rPr>
          <w:rFonts w:hint="eastAsia"/>
          <w:sz w:val="24"/>
        </w:rPr>
        <w:t>（</w:t>
      </w:r>
      <w:r>
        <w:rPr>
          <w:rFonts w:hint="eastAsia"/>
          <w:sz w:val="24"/>
        </w:rPr>
        <w:t>4</w:t>
      </w:r>
      <w:r>
        <w:rPr>
          <w:rFonts w:hint="eastAsia"/>
          <w:sz w:val="24"/>
        </w:rPr>
        <w:t>）人类活动对植被的影响</w:t>
      </w:r>
    </w:p>
    <w:p w:rsidR="00EE4502" w:rsidRDefault="00FD45A3">
      <w:pPr>
        <w:spacing w:line="360" w:lineRule="auto"/>
        <w:ind w:firstLine="522"/>
        <w:rPr>
          <w:sz w:val="24"/>
        </w:rPr>
      </w:pPr>
      <w:r>
        <w:rPr>
          <w:rFonts w:hint="eastAsia"/>
          <w:sz w:val="24"/>
        </w:rPr>
        <w:t>油田开发建设过程中大量人员、机械进入荒漠区，使</w:t>
      </w:r>
      <w:r>
        <w:rPr>
          <w:rFonts w:hint="eastAsia"/>
          <w:sz w:val="24"/>
        </w:rPr>
        <w:t>荒漠</w:t>
      </w:r>
      <w:r>
        <w:rPr>
          <w:rFonts w:hint="eastAsia"/>
          <w:sz w:val="24"/>
        </w:rPr>
        <w:t>环境中人类活动频率大幅度增加，对植被的影响主要表现在人类和机械对植物的践踏、碾压和砍伐，使原生植被生境发生较大变化。荒漠区单位面积上人口密度的增加将导致工程开发范围内及边缘区域地表土壤被践踏和自然植被覆盖率减少，使工程区域内局部地带沙漠化的可能性增加，从而形成次生沙漠化。由于评价区植被密度较低，植被盖度小，生产区周围植被稀少，因此，人类活动对该区域植被产生的不良影</w:t>
      </w:r>
      <w:r>
        <w:rPr>
          <w:rFonts w:hint="eastAsia"/>
          <w:sz w:val="24"/>
        </w:rPr>
        <w:lastRenderedPageBreak/>
        <w:t>响有限。</w:t>
      </w:r>
    </w:p>
    <w:p w:rsidR="00EE4502" w:rsidRDefault="00FD45A3">
      <w:pPr>
        <w:spacing w:line="360" w:lineRule="auto"/>
        <w:ind w:firstLine="522"/>
        <w:rPr>
          <w:sz w:val="24"/>
        </w:rPr>
      </w:pPr>
      <w:r>
        <w:rPr>
          <w:rFonts w:hint="eastAsia"/>
          <w:sz w:val="24"/>
        </w:rPr>
        <w:t>（</w:t>
      </w:r>
      <w:r>
        <w:rPr>
          <w:rFonts w:hint="eastAsia"/>
          <w:sz w:val="24"/>
        </w:rPr>
        <w:t>5</w:t>
      </w:r>
      <w:r>
        <w:rPr>
          <w:rFonts w:hint="eastAsia"/>
          <w:sz w:val="24"/>
        </w:rPr>
        <w:t>）废气对植被的影响</w:t>
      </w:r>
    </w:p>
    <w:p w:rsidR="00EE4502" w:rsidRDefault="00FD45A3">
      <w:pPr>
        <w:spacing w:line="360" w:lineRule="auto"/>
        <w:ind w:firstLine="522"/>
        <w:rPr>
          <w:sz w:val="24"/>
        </w:rPr>
      </w:pPr>
      <w:r>
        <w:rPr>
          <w:rFonts w:hint="eastAsia"/>
          <w:sz w:val="24"/>
        </w:rPr>
        <w:t>本工程施工期间，大气污染物主要是来自钻机和发电机作用柴油联动机组产生的废气，废气主要包含颗粒物、</w:t>
      </w:r>
      <w:r>
        <w:rPr>
          <w:sz w:val="24"/>
        </w:rPr>
        <w:t>NO</w:t>
      </w:r>
      <w:r>
        <w:rPr>
          <w:sz w:val="24"/>
          <w:vertAlign w:val="subscript"/>
        </w:rPr>
        <w:t>2</w:t>
      </w:r>
      <w:r>
        <w:rPr>
          <w:rFonts w:hint="eastAsia"/>
          <w:sz w:val="24"/>
        </w:rPr>
        <w:t>、</w:t>
      </w:r>
      <w:r>
        <w:rPr>
          <w:rFonts w:hint="eastAsia"/>
          <w:sz w:val="24"/>
        </w:rPr>
        <w:t>S</w:t>
      </w:r>
      <w:r>
        <w:rPr>
          <w:sz w:val="24"/>
        </w:rPr>
        <w:t>O</w:t>
      </w:r>
      <w:r>
        <w:rPr>
          <w:sz w:val="24"/>
          <w:vertAlign w:val="subscript"/>
        </w:rPr>
        <w:t>2</w:t>
      </w:r>
      <w:r>
        <w:rPr>
          <w:rFonts w:hint="eastAsia"/>
          <w:sz w:val="24"/>
        </w:rPr>
        <w:t>、</w:t>
      </w:r>
      <w:r>
        <w:rPr>
          <w:rFonts w:hint="eastAsia"/>
          <w:sz w:val="24"/>
        </w:rPr>
        <w:t>C</w:t>
      </w:r>
      <w:r>
        <w:rPr>
          <w:sz w:val="24"/>
        </w:rPr>
        <w:t>O</w:t>
      </w:r>
      <w:r>
        <w:rPr>
          <w:rFonts w:hint="eastAsia"/>
          <w:sz w:val="24"/>
        </w:rPr>
        <w:t>等，在运营期产生的大气污染物主要有无组织释放的烃类气体等。在这些污染物中对植物产生影响的主要有</w:t>
      </w:r>
      <w:r>
        <w:rPr>
          <w:rFonts w:hint="eastAsia"/>
          <w:sz w:val="24"/>
        </w:rPr>
        <w:t>N</w:t>
      </w:r>
      <w:r>
        <w:rPr>
          <w:sz w:val="24"/>
        </w:rPr>
        <w:t>O</w:t>
      </w:r>
      <w:r>
        <w:rPr>
          <w:sz w:val="24"/>
          <w:vertAlign w:val="subscript"/>
        </w:rPr>
        <w:t>2</w:t>
      </w:r>
      <w:r>
        <w:rPr>
          <w:rFonts w:hint="eastAsia"/>
          <w:sz w:val="24"/>
        </w:rPr>
        <w:t>、</w:t>
      </w:r>
      <w:r>
        <w:rPr>
          <w:rFonts w:hint="eastAsia"/>
          <w:sz w:val="24"/>
        </w:rPr>
        <w:t>S</w:t>
      </w:r>
      <w:r>
        <w:rPr>
          <w:sz w:val="24"/>
        </w:rPr>
        <w:t>O</w:t>
      </w:r>
      <w:r>
        <w:rPr>
          <w:sz w:val="24"/>
          <w:vertAlign w:val="subscript"/>
        </w:rPr>
        <w:t>2</w:t>
      </w:r>
      <w:r>
        <w:rPr>
          <w:rFonts w:hint="eastAsia"/>
          <w:sz w:val="24"/>
        </w:rPr>
        <w:t>以及施工期的扬尘。</w:t>
      </w:r>
    </w:p>
    <w:p w:rsidR="00EE4502" w:rsidRDefault="00FD45A3">
      <w:pPr>
        <w:spacing w:line="360" w:lineRule="auto"/>
        <w:ind w:firstLine="522"/>
        <w:rPr>
          <w:sz w:val="24"/>
        </w:rPr>
      </w:pPr>
      <w:r>
        <w:rPr>
          <w:rFonts w:hint="eastAsia"/>
          <w:sz w:val="24"/>
        </w:rPr>
        <w:t>SO</w:t>
      </w:r>
      <w:r>
        <w:rPr>
          <w:sz w:val="24"/>
          <w:vertAlign w:val="subscript"/>
        </w:rPr>
        <w:t>2</w:t>
      </w:r>
      <w:r>
        <w:rPr>
          <w:rFonts w:hint="eastAsia"/>
          <w:sz w:val="24"/>
        </w:rPr>
        <w:t>可通过叶片气孔进入植物体，形成亚硫酸离子，当它超过植物自净能力时，将会破坏叶肉组织，使叶片水分减少失绿，严重时细胞发生质壁分离，叶片逐渐枯萎，植物慢慢死亡。</w:t>
      </w:r>
    </w:p>
    <w:p w:rsidR="00EE4502" w:rsidRDefault="00FD45A3">
      <w:pPr>
        <w:spacing w:line="360" w:lineRule="auto"/>
        <w:ind w:firstLine="522"/>
        <w:rPr>
          <w:sz w:val="24"/>
        </w:rPr>
      </w:pPr>
      <w:r>
        <w:rPr>
          <w:rFonts w:hint="eastAsia"/>
          <w:sz w:val="24"/>
        </w:rPr>
        <w:t>NO</w:t>
      </w:r>
      <w:r>
        <w:rPr>
          <w:sz w:val="24"/>
          <w:vertAlign w:val="subscript"/>
        </w:rPr>
        <w:t>2</w:t>
      </w:r>
      <w:r>
        <w:rPr>
          <w:rFonts w:hint="eastAsia"/>
          <w:sz w:val="24"/>
        </w:rPr>
        <w:t>对植物的伤害表现在叶肉组织内部的细胞上。植物通过气孔吸收了大气中的氨氧化物，随后污染物由气态变为液态，改变了细胞及其周围的</w:t>
      </w:r>
      <w:r>
        <w:rPr>
          <w:rFonts w:hint="eastAsia"/>
          <w:sz w:val="24"/>
        </w:rPr>
        <w:t>pH</w:t>
      </w:r>
      <w:r>
        <w:rPr>
          <w:rFonts w:hint="eastAsia"/>
          <w:sz w:val="24"/>
        </w:rPr>
        <w:t>值，引起细胞结构变化，光合作用降低，植物的生长活性受到影响。</w:t>
      </w:r>
    </w:p>
    <w:p w:rsidR="00EE4502" w:rsidRDefault="00FD45A3">
      <w:pPr>
        <w:spacing w:line="360" w:lineRule="auto"/>
        <w:ind w:firstLine="522"/>
        <w:rPr>
          <w:sz w:val="24"/>
        </w:rPr>
      </w:pPr>
      <w:r>
        <w:rPr>
          <w:rFonts w:hint="eastAsia"/>
          <w:sz w:val="24"/>
        </w:rPr>
        <w:t>施工期扬尘颗粒物降落</w:t>
      </w:r>
      <w:r>
        <w:rPr>
          <w:rFonts w:hint="eastAsia"/>
          <w:sz w:val="24"/>
        </w:rPr>
        <w:t>在植物叶片表面以干粉尘、泥膜的形式积累、堵塞气孔，导致气体交换减少，叶片温度升高，光合作用下降，叶片黄化萎缩。</w:t>
      </w:r>
    </w:p>
    <w:p w:rsidR="00EE4502" w:rsidRDefault="00FD45A3">
      <w:pPr>
        <w:spacing w:line="360" w:lineRule="auto"/>
        <w:ind w:firstLine="522"/>
        <w:rPr>
          <w:sz w:val="24"/>
        </w:rPr>
      </w:pPr>
      <w:r>
        <w:rPr>
          <w:rFonts w:hint="eastAsia"/>
          <w:sz w:val="24"/>
        </w:rPr>
        <w:t>大气污染物对植物的损害程度还决定于其环境内风、光、温度、土壤和地形特点，油田区夏季白天气温高，气孔易打开，容易吸收有毒物质，因而污染物夏季对植被的危害比冬季大</w:t>
      </w:r>
      <w:r>
        <w:rPr>
          <w:rFonts w:hint="eastAsia"/>
          <w:sz w:val="24"/>
        </w:rPr>
        <w:t>，</w:t>
      </w:r>
      <w:r>
        <w:rPr>
          <w:rFonts w:hint="eastAsia"/>
          <w:sz w:val="24"/>
        </w:rPr>
        <w:t>白天的污染造成的后果比夜间严重。总体来说</w:t>
      </w:r>
      <w:r>
        <w:rPr>
          <w:rFonts w:hint="eastAsia"/>
          <w:sz w:val="24"/>
        </w:rPr>
        <w:t>，</w:t>
      </w:r>
      <w:r>
        <w:rPr>
          <w:rFonts w:hint="eastAsia"/>
          <w:sz w:val="24"/>
        </w:rPr>
        <w:t>多风、少雨、干旱、地形开阔的自然条件使大气污染物易于扩散，工程中污染源比较分散，因此在正常情况下污染物浓度不会太高，大气污染物对植被的影响不大。</w:t>
      </w:r>
    </w:p>
    <w:p w:rsidR="00EE4502" w:rsidRDefault="00FD45A3">
      <w:pPr>
        <w:spacing w:line="360" w:lineRule="auto"/>
        <w:ind w:firstLine="522"/>
        <w:rPr>
          <w:sz w:val="24"/>
        </w:rPr>
      </w:pPr>
      <w:r>
        <w:rPr>
          <w:rFonts w:hint="eastAsia"/>
          <w:sz w:val="24"/>
        </w:rPr>
        <w:t>（</w:t>
      </w:r>
      <w:r>
        <w:rPr>
          <w:rFonts w:hint="eastAsia"/>
          <w:sz w:val="24"/>
        </w:rPr>
        <w:t>6</w:t>
      </w:r>
      <w:r>
        <w:rPr>
          <w:rFonts w:hint="eastAsia"/>
          <w:sz w:val="24"/>
        </w:rPr>
        <w:t>）对区域生物多样性、生态系统结构和功能的影响</w:t>
      </w:r>
    </w:p>
    <w:p w:rsidR="00EE4502" w:rsidRDefault="00FD45A3">
      <w:pPr>
        <w:spacing w:line="360" w:lineRule="auto"/>
        <w:ind w:firstLine="522"/>
        <w:rPr>
          <w:sz w:val="24"/>
        </w:rPr>
      </w:pPr>
      <w:r>
        <w:rPr>
          <w:rFonts w:hint="eastAsia"/>
          <w:sz w:val="24"/>
        </w:rPr>
        <w:t>本</w:t>
      </w:r>
      <w:r>
        <w:rPr>
          <w:rFonts w:hint="eastAsia"/>
          <w:sz w:val="24"/>
        </w:rPr>
        <w:t>工程所在区域植被生境较为稳定，主要植被类型为梭梭、琵琶柴，整个区域植被覆盖度在</w:t>
      </w:r>
      <w:r>
        <w:rPr>
          <w:rFonts w:hint="eastAsia"/>
          <w:sz w:val="24"/>
        </w:rPr>
        <w:t>1</w:t>
      </w:r>
      <w:r>
        <w:rPr>
          <w:sz w:val="24"/>
        </w:rPr>
        <w:t>0</w:t>
      </w:r>
      <w:r>
        <w:rPr>
          <w:rFonts w:hint="eastAsia"/>
          <w:sz w:val="24"/>
        </w:rPr>
        <w:t>%~</w:t>
      </w:r>
      <w:r>
        <w:rPr>
          <w:sz w:val="24"/>
        </w:rPr>
        <w:t>30</w:t>
      </w:r>
      <w:r>
        <w:rPr>
          <w:rFonts w:hint="eastAsia"/>
          <w:sz w:val="24"/>
        </w:rPr>
        <w:t>%</w:t>
      </w:r>
      <w:r>
        <w:rPr>
          <w:rFonts w:hint="eastAsia"/>
          <w:sz w:val="24"/>
        </w:rPr>
        <w:t>之间，工程占地所涉及的植被均为评价区域内的广布种，相对较容易得到恢复，不会造成植被生物多样性的丧失以及生态系统结构和功能的破坏。</w:t>
      </w:r>
    </w:p>
    <w:p w:rsidR="00EE4502" w:rsidRDefault="00FD45A3">
      <w:pPr>
        <w:pStyle w:val="41"/>
        <w:numPr>
          <w:ilvl w:val="3"/>
          <w:numId w:val="30"/>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bCs w:val="0"/>
          <w:sz w:val="24"/>
          <w:szCs w:val="24"/>
        </w:rPr>
        <w:t>对野生动物的影响</w:t>
      </w:r>
      <w:r>
        <w:rPr>
          <w:rFonts w:ascii="Times New Roman" w:eastAsia="宋体" w:hAnsi="Times New Roman" w:hint="eastAsia"/>
          <w:bCs w:val="0"/>
          <w:sz w:val="24"/>
          <w:szCs w:val="24"/>
        </w:rPr>
        <w:t>分析</w:t>
      </w:r>
    </w:p>
    <w:p w:rsidR="00EE4502" w:rsidRDefault="00FD45A3">
      <w:pPr>
        <w:spacing w:line="360" w:lineRule="auto"/>
        <w:ind w:firstLine="522"/>
        <w:rPr>
          <w:sz w:val="24"/>
        </w:rPr>
      </w:pPr>
      <w:r>
        <w:rPr>
          <w:sz w:val="24"/>
        </w:rPr>
        <w:t>油田开发建设对野生动物生存环境、分布范围和种群数量的影响主要分为直接影响和间接影响两个方面。直接影响主要表现为建设工程占地，使野生动物的原始生存环境被破坏或改变；间接影响主要表现为由于植被的减少或污染破坏而引起野生动物食物来源减少。由于评价区域不是动物的唯一栖息地，故</w:t>
      </w:r>
      <w:r>
        <w:rPr>
          <w:sz w:val="24"/>
        </w:rPr>
        <w:t>该建设项目对动物区域性生境不产生明显影响。</w:t>
      </w:r>
    </w:p>
    <w:p w:rsidR="00EE4502" w:rsidRDefault="00FD45A3">
      <w:pPr>
        <w:spacing w:line="360" w:lineRule="auto"/>
        <w:ind w:firstLine="522"/>
        <w:rPr>
          <w:sz w:val="24"/>
        </w:rPr>
      </w:pPr>
      <w:r>
        <w:rPr>
          <w:sz w:val="24"/>
        </w:rPr>
        <w:lastRenderedPageBreak/>
        <w:t>在施工生产过程中，由于油田机械设备的轰鸣声惊扰，大多数野生脊椎动物种类将避行远离，使区域内单位面积上的动物种群数量下降，但此类影响对爬行类和小型啮齿类动物的干扰不大。一些伴人型鸟类如麻雀、乌鸦、喜鹊等，一般在离作业区</w:t>
      </w:r>
      <w:r>
        <w:rPr>
          <w:sz w:val="24"/>
        </w:rPr>
        <w:t>50m</w:t>
      </w:r>
      <w:r>
        <w:rPr>
          <w:sz w:val="24"/>
        </w:rPr>
        <w:t>以远处活动，待无噪声干扰时较常见于人类生活区附近。因此，随着</w:t>
      </w:r>
      <w:r>
        <w:rPr>
          <w:rFonts w:hint="eastAsia"/>
          <w:sz w:val="24"/>
        </w:rPr>
        <w:t>本工程</w:t>
      </w:r>
      <w:r>
        <w:rPr>
          <w:sz w:val="24"/>
        </w:rPr>
        <w:t>钻井建设的各个过程，春风油田内野生动物的种类和数量发生一定的变化，原有的荒漠型鸟类和大型哺乳类将逐渐避开人类活动的干扰迁至其它区域，而常见的伴人型野生动物种类有所增加。</w:t>
      </w:r>
    </w:p>
    <w:p w:rsidR="00EE4502" w:rsidRDefault="00FD45A3">
      <w:pPr>
        <w:spacing w:line="360" w:lineRule="auto"/>
        <w:ind w:firstLine="522"/>
        <w:rPr>
          <w:sz w:val="24"/>
        </w:rPr>
      </w:pPr>
      <w:r>
        <w:rPr>
          <w:sz w:val="24"/>
        </w:rPr>
        <w:t>春风油田已</w:t>
      </w:r>
      <w:r>
        <w:rPr>
          <w:sz w:val="24"/>
        </w:rPr>
        <w:t>开发多年，因而大型的野生脊椎动物早已离开此地，因而此次油田开发所影响的只是一些爬行类和鸟类。</w:t>
      </w:r>
    </w:p>
    <w:p w:rsidR="00EE4502" w:rsidRDefault="00FD45A3">
      <w:pPr>
        <w:pStyle w:val="41"/>
        <w:numPr>
          <w:ilvl w:val="3"/>
          <w:numId w:val="30"/>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bCs w:val="0"/>
          <w:sz w:val="24"/>
          <w:szCs w:val="24"/>
        </w:rPr>
        <w:t>对</w:t>
      </w:r>
      <w:r>
        <w:rPr>
          <w:rFonts w:ascii="Times New Roman" w:eastAsia="宋体" w:hAnsi="Times New Roman" w:hint="eastAsia"/>
          <w:bCs w:val="0"/>
          <w:sz w:val="24"/>
          <w:szCs w:val="24"/>
        </w:rPr>
        <w:t>公益林</w:t>
      </w:r>
      <w:r>
        <w:rPr>
          <w:rFonts w:ascii="Times New Roman" w:eastAsia="宋体" w:hAnsi="Times New Roman"/>
          <w:bCs w:val="0"/>
          <w:sz w:val="24"/>
          <w:szCs w:val="24"/>
        </w:rPr>
        <w:t>的影响分析</w:t>
      </w:r>
    </w:p>
    <w:p w:rsidR="00EE4502" w:rsidRDefault="00FD45A3">
      <w:pPr>
        <w:spacing w:line="360" w:lineRule="auto"/>
        <w:ind w:firstLineChars="200" w:firstLine="480"/>
        <w:rPr>
          <w:sz w:val="24"/>
        </w:rPr>
      </w:pPr>
      <w:r>
        <w:rPr>
          <w:rFonts w:hint="eastAsia"/>
          <w:sz w:val="24"/>
        </w:rPr>
        <w:t>本工程所在区域分布有</w:t>
      </w:r>
      <w:bookmarkStart w:id="209" w:name="OLE_LINK33"/>
      <w:bookmarkStart w:id="210" w:name="OLE_LINK34"/>
      <w:r>
        <w:rPr>
          <w:rFonts w:hint="eastAsia"/>
          <w:sz w:val="24"/>
        </w:rPr>
        <w:t>国家二级</w:t>
      </w:r>
      <w:bookmarkEnd w:id="209"/>
      <w:bookmarkEnd w:id="210"/>
      <w:r>
        <w:rPr>
          <w:rFonts w:hint="eastAsia"/>
          <w:sz w:val="24"/>
        </w:rPr>
        <w:t>公益林，工程建设涉及国家二级公益林，均属于防风固沙林。经核查，本工程井场、管线占用了国家二级公益林。工程临时占地主要为井场、管线施工占地，由于管线所接井场已分布在公益林区内，因此连接井场的管线也无可避免地占用了国家二级公益林，管线如若避绕将进一步增加占用公益林的面积。占用林地类型为灌木林地，林种为</w:t>
      </w:r>
      <w:bookmarkStart w:id="211" w:name="OLE_LINK15"/>
      <w:bookmarkStart w:id="212" w:name="OLE_LINK14"/>
      <w:r>
        <w:rPr>
          <w:rFonts w:hint="eastAsia"/>
          <w:sz w:val="24"/>
        </w:rPr>
        <w:t>梭</w:t>
      </w:r>
      <w:bookmarkEnd w:id="211"/>
      <w:bookmarkEnd w:id="212"/>
      <w:r>
        <w:rPr>
          <w:rFonts w:hint="eastAsia"/>
          <w:sz w:val="24"/>
        </w:rPr>
        <w:t>梭、多枝柽柳、琵琶柴等荒漠灌木植被。评价区属干旱、半干旱荒漠地区，植被组成简单，类型单调，分布稀疏，建群植物主要由</w:t>
      </w:r>
      <w:r>
        <w:rPr>
          <w:rFonts w:hint="eastAsia"/>
          <w:sz w:val="24"/>
        </w:rPr>
        <w:t>旱生</w:t>
      </w:r>
      <w:r>
        <w:rPr>
          <w:rFonts w:hint="eastAsia"/>
          <w:sz w:val="24"/>
        </w:rPr>
        <w:t>灌木、小半灌木等植物组成。建设单位须按照公益林管理办法办理相关用地手续后方可开工。</w:t>
      </w:r>
    </w:p>
    <w:p w:rsidR="00EE4502" w:rsidRDefault="00FD45A3">
      <w:pPr>
        <w:spacing w:line="360" w:lineRule="auto"/>
        <w:ind w:firstLineChars="200" w:firstLine="480"/>
        <w:rPr>
          <w:sz w:val="24"/>
        </w:rPr>
      </w:pPr>
      <w:r>
        <w:rPr>
          <w:rFonts w:hint="eastAsia"/>
          <w:sz w:val="24"/>
        </w:rPr>
        <w:t>管道沿线两侧范围内的林地征用应按照地方有关工程征地补偿标准进行，可研设计中工程征地费用</w:t>
      </w:r>
      <w:r>
        <w:rPr>
          <w:rFonts w:hint="eastAsia"/>
          <w:sz w:val="24"/>
        </w:rPr>
        <w:t>已</w:t>
      </w:r>
      <w:r>
        <w:rPr>
          <w:rFonts w:hint="eastAsia"/>
          <w:sz w:val="24"/>
        </w:rPr>
        <w:t>对上述情况进行了综合考虑。管道施工穿越林地所造成的林业损失既是一次性的，又是永久性的。因此，要求管线在选线设计、施工作业时尽量避开灌木茂密区域，在条件允许时，减少砍伐林木的数量，最大程度地保护沿线的林业生态环境。开挖管沟缩</w:t>
      </w:r>
      <w:r>
        <w:rPr>
          <w:rFonts w:hint="eastAsia"/>
          <w:sz w:val="24"/>
        </w:rPr>
        <w:t>短施工作业范围，应将作业带宽度控制在征地范围内。</w:t>
      </w:r>
    </w:p>
    <w:p w:rsidR="00EE4502" w:rsidRDefault="00FD45A3">
      <w:pPr>
        <w:pStyle w:val="41"/>
        <w:numPr>
          <w:ilvl w:val="3"/>
          <w:numId w:val="30"/>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hint="eastAsia"/>
          <w:bCs w:val="0"/>
          <w:sz w:val="24"/>
          <w:szCs w:val="24"/>
        </w:rPr>
        <w:t>水土流失影响分析</w:t>
      </w:r>
    </w:p>
    <w:p w:rsidR="00EE4502" w:rsidRDefault="00FD45A3">
      <w:pPr>
        <w:spacing w:line="360" w:lineRule="auto"/>
        <w:ind w:firstLine="522"/>
        <w:rPr>
          <w:sz w:val="24"/>
        </w:rPr>
      </w:pPr>
      <w:r>
        <w:rPr>
          <w:rFonts w:hint="eastAsia"/>
          <w:sz w:val="24"/>
        </w:rPr>
        <w:t>本工程</w:t>
      </w:r>
      <w:r>
        <w:rPr>
          <w:rFonts w:hint="eastAsia"/>
          <w:sz w:val="24"/>
        </w:rPr>
        <w:t>建设将破坏地表原有稳定</w:t>
      </w:r>
      <w:r>
        <w:rPr>
          <w:rFonts w:hint="eastAsia"/>
          <w:sz w:val="24"/>
        </w:rPr>
        <w:t>生态结皮</w:t>
      </w:r>
      <w:r>
        <w:rPr>
          <w:rFonts w:hint="eastAsia"/>
          <w:sz w:val="24"/>
        </w:rPr>
        <w:t>层，增大了风蚀量。施工作业范围内的土壤地表表层遭到破坏，下层的粉细物质暴露在地层表面，在风力的作用下，风蚀量会明显加大，这种影响在短时间内不会完全恢复。但随着时间的推移，风蚀量会随着地表新保护层的逐渐形成而减弱。本次要求建设单位严格按照《中华人民共和国防沙治沙法》（</w:t>
      </w:r>
      <w:r>
        <w:rPr>
          <w:rFonts w:hint="eastAsia"/>
          <w:sz w:val="24"/>
        </w:rPr>
        <w:t>2018</w:t>
      </w:r>
      <w:r>
        <w:rPr>
          <w:rFonts w:hint="eastAsia"/>
          <w:sz w:val="24"/>
        </w:rPr>
        <w:t>年</w:t>
      </w:r>
      <w:r>
        <w:rPr>
          <w:rFonts w:hint="eastAsia"/>
          <w:sz w:val="24"/>
        </w:rPr>
        <w:t>10</w:t>
      </w:r>
      <w:r>
        <w:rPr>
          <w:rFonts w:hint="eastAsia"/>
          <w:sz w:val="24"/>
        </w:rPr>
        <w:t>月</w:t>
      </w:r>
      <w:r>
        <w:rPr>
          <w:rFonts w:hint="eastAsia"/>
          <w:sz w:val="24"/>
        </w:rPr>
        <w:t>26</w:t>
      </w:r>
      <w:r>
        <w:rPr>
          <w:rFonts w:hint="eastAsia"/>
          <w:sz w:val="24"/>
        </w:rPr>
        <w:t>日）中有关规定，执行以下措施：</w:t>
      </w:r>
    </w:p>
    <w:p w:rsidR="00EE4502" w:rsidRDefault="00FD45A3">
      <w:pPr>
        <w:spacing w:line="360" w:lineRule="auto"/>
        <w:ind w:firstLine="522"/>
        <w:rPr>
          <w:sz w:val="24"/>
        </w:rPr>
      </w:pPr>
      <w:r>
        <w:rPr>
          <w:rFonts w:hint="eastAsia"/>
          <w:sz w:val="24"/>
        </w:rPr>
        <w:lastRenderedPageBreak/>
        <w:t>①土地临时使用过程中发现土地沙化或者沙化程度加重的，应当及时报告当地人民政府；</w:t>
      </w:r>
    </w:p>
    <w:p w:rsidR="00EE4502" w:rsidRDefault="00FD45A3">
      <w:pPr>
        <w:spacing w:line="360" w:lineRule="auto"/>
        <w:ind w:firstLine="522"/>
        <w:rPr>
          <w:sz w:val="24"/>
        </w:rPr>
      </w:pPr>
      <w:r>
        <w:rPr>
          <w:rFonts w:hint="eastAsia"/>
          <w:sz w:val="24"/>
        </w:rPr>
        <w:t>②大力宣传</w:t>
      </w:r>
      <w:r>
        <w:rPr>
          <w:rFonts w:hint="eastAsia"/>
          <w:sz w:val="24"/>
        </w:rPr>
        <w:t>《中华人民共和国防沙治沙法》（</w:t>
      </w:r>
      <w:r>
        <w:rPr>
          <w:rFonts w:hint="eastAsia"/>
          <w:sz w:val="24"/>
        </w:rPr>
        <w:t>2018</w:t>
      </w:r>
      <w:r>
        <w:rPr>
          <w:rFonts w:hint="eastAsia"/>
          <w:sz w:val="24"/>
        </w:rPr>
        <w:t>年</w:t>
      </w:r>
      <w:r>
        <w:rPr>
          <w:rFonts w:hint="eastAsia"/>
          <w:sz w:val="24"/>
        </w:rPr>
        <w:t>10</w:t>
      </w:r>
      <w:r>
        <w:rPr>
          <w:rFonts w:hint="eastAsia"/>
          <w:sz w:val="24"/>
        </w:rPr>
        <w:t>月</w:t>
      </w:r>
      <w:r>
        <w:rPr>
          <w:rFonts w:hint="eastAsia"/>
          <w:sz w:val="24"/>
        </w:rPr>
        <w:t>26</w:t>
      </w:r>
      <w:r>
        <w:rPr>
          <w:rFonts w:hint="eastAsia"/>
          <w:sz w:val="24"/>
        </w:rPr>
        <w:t>日），使施工人员知法、懂法、守法，自觉保护林草植被，自觉履行防治义务；</w:t>
      </w:r>
    </w:p>
    <w:p w:rsidR="00EE4502" w:rsidRDefault="00FD45A3">
      <w:pPr>
        <w:spacing w:line="360" w:lineRule="auto"/>
        <w:ind w:firstLine="522"/>
        <w:rPr>
          <w:sz w:val="24"/>
        </w:rPr>
      </w:pPr>
      <w:r>
        <w:rPr>
          <w:rFonts w:hint="eastAsia"/>
          <w:sz w:val="24"/>
        </w:rPr>
        <w:t>③禁止在沙化土地上砍挖灌木、药材及其他固沙植物；</w:t>
      </w:r>
    </w:p>
    <w:p w:rsidR="00EE4502" w:rsidRDefault="00FD45A3">
      <w:pPr>
        <w:spacing w:line="360" w:lineRule="auto"/>
        <w:ind w:firstLine="522"/>
        <w:rPr>
          <w:sz w:val="24"/>
        </w:rPr>
      </w:pPr>
      <w:r>
        <w:rPr>
          <w:rFonts w:hint="eastAsia"/>
          <w:sz w:val="24"/>
        </w:rPr>
        <w:t>④施工结束后对占地进行平整，清运现场遗留的污染物，按照正式征地文件的规定对占地进行经济补偿；</w:t>
      </w:r>
    </w:p>
    <w:p w:rsidR="00EE4502" w:rsidRDefault="00FD45A3">
      <w:pPr>
        <w:spacing w:line="360" w:lineRule="auto"/>
        <w:ind w:firstLine="522"/>
        <w:rPr>
          <w:sz w:val="24"/>
        </w:rPr>
      </w:pPr>
      <w:r>
        <w:rPr>
          <w:rFonts w:hint="eastAsia"/>
          <w:sz w:val="24"/>
        </w:rPr>
        <w:t>⑤合理规划与设计井场，减少占地面积；</w:t>
      </w:r>
    </w:p>
    <w:p w:rsidR="00EE4502" w:rsidRDefault="00FD45A3">
      <w:pPr>
        <w:spacing w:line="360" w:lineRule="auto"/>
        <w:ind w:firstLine="522"/>
        <w:rPr>
          <w:sz w:val="24"/>
        </w:rPr>
      </w:pPr>
      <w:r>
        <w:rPr>
          <w:rFonts w:hint="eastAsia"/>
          <w:sz w:val="24"/>
        </w:rPr>
        <w:t>⑥三废无害化处理，保护土壤环境质量；加强管理，措施落实，减少地表扰动与破坏；</w:t>
      </w:r>
    </w:p>
    <w:p w:rsidR="00EE4502" w:rsidRDefault="00FD45A3">
      <w:pPr>
        <w:spacing w:line="360" w:lineRule="auto"/>
        <w:ind w:firstLine="522"/>
        <w:rPr>
          <w:sz w:val="24"/>
        </w:rPr>
      </w:pPr>
      <w:r>
        <w:rPr>
          <w:rFonts w:hint="eastAsia"/>
          <w:sz w:val="24"/>
        </w:rPr>
        <w:t>⑦临时堆土采取土工布遮盖、四周拦挡等临时防护措施，有效防止雨水冲刷；</w:t>
      </w:r>
    </w:p>
    <w:p w:rsidR="00EE4502" w:rsidRDefault="00FD45A3">
      <w:pPr>
        <w:spacing w:line="360" w:lineRule="auto"/>
        <w:ind w:firstLine="522"/>
        <w:rPr>
          <w:sz w:val="24"/>
        </w:rPr>
      </w:pPr>
      <w:r>
        <w:rPr>
          <w:rFonts w:hint="eastAsia"/>
          <w:sz w:val="24"/>
        </w:rPr>
        <w:t>⑧施工结束后，对临时占地及时进行土地整治、植被恢复。施工期是水土流失防治的重点时期，应加强水土保持工作。</w:t>
      </w:r>
    </w:p>
    <w:p w:rsidR="00EE4502" w:rsidRDefault="00FD45A3">
      <w:pPr>
        <w:pStyle w:val="33"/>
        <w:numPr>
          <w:ilvl w:val="2"/>
          <w:numId w:val="30"/>
        </w:numPr>
        <w:spacing w:line="360" w:lineRule="auto"/>
        <w:ind w:left="0" w:firstLine="0"/>
        <w:rPr>
          <w:spacing w:val="0"/>
          <w:sz w:val="24"/>
          <w:szCs w:val="24"/>
        </w:rPr>
      </w:pPr>
      <w:r>
        <w:rPr>
          <w:rFonts w:hint="eastAsia"/>
          <w:spacing w:val="0"/>
          <w:sz w:val="24"/>
          <w:szCs w:val="24"/>
        </w:rPr>
        <w:t>运营期生态影响分析</w:t>
      </w:r>
    </w:p>
    <w:p w:rsidR="00EE4502" w:rsidRDefault="00FD45A3">
      <w:pPr>
        <w:pStyle w:val="41"/>
        <w:numPr>
          <w:ilvl w:val="3"/>
          <w:numId w:val="30"/>
        </w:numPr>
        <w:adjustRightInd/>
        <w:snapToGrid/>
        <w:spacing w:beforeLines="0" w:before="0" w:line="360" w:lineRule="auto"/>
        <w:rPr>
          <w:rFonts w:ascii="Times New Roman" w:eastAsia="宋体" w:hAnsi="Times New Roman"/>
          <w:bCs w:val="0"/>
          <w:sz w:val="24"/>
          <w:szCs w:val="24"/>
        </w:rPr>
      </w:pPr>
      <w:bookmarkStart w:id="213" w:name="OLE_LINK12"/>
      <w:bookmarkStart w:id="214" w:name="OLE_LINK13"/>
      <w:r>
        <w:rPr>
          <w:rFonts w:ascii="Times New Roman" w:eastAsia="宋体" w:hAnsi="Times New Roman"/>
          <w:bCs w:val="0"/>
          <w:sz w:val="24"/>
          <w:szCs w:val="24"/>
        </w:rPr>
        <w:t>对</w:t>
      </w:r>
      <w:r>
        <w:rPr>
          <w:rFonts w:ascii="Times New Roman" w:eastAsia="宋体" w:hAnsi="Times New Roman" w:hint="eastAsia"/>
          <w:bCs w:val="0"/>
          <w:sz w:val="24"/>
          <w:szCs w:val="24"/>
        </w:rPr>
        <w:t>景观</w:t>
      </w:r>
      <w:r>
        <w:rPr>
          <w:rFonts w:ascii="Times New Roman" w:eastAsia="宋体" w:hAnsi="Times New Roman"/>
          <w:bCs w:val="0"/>
          <w:sz w:val="24"/>
          <w:szCs w:val="24"/>
        </w:rPr>
        <w:t>的影响分析</w:t>
      </w:r>
    </w:p>
    <w:p w:rsidR="00EE4502" w:rsidRDefault="00FD45A3">
      <w:pPr>
        <w:spacing w:line="360" w:lineRule="auto"/>
        <w:ind w:firstLine="522"/>
        <w:rPr>
          <w:sz w:val="24"/>
        </w:rPr>
      </w:pPr>
      <w:r>
        <w:rPr>
          <w:sz w:val="24"/>
        </w:rPr>
        <w:t>油田开发前，春风油田</w:t>
      </w:r>
      <w:r>
        <w:rPr>
          <w:rFonts w:hint="eastAsia"/>
          <w:sz w:val="24"/>
        </w:rPr>
        <w:t>排</w:t>
      </w:r>
      <w:r>
        <w:rPr>
          <w:rFonts w:hint="eastAsia"/>
          <w:sz w:val="24"/>
        </w:rPr>
        <w:t>61</w:t>
      </w:r>
      <w:r>
        <w:rPr>
          <w:rFonts w:hint="eastAsia"/>
          <w:sz w:val="24"/>
        </w:rPr>
        <w:t>块</w:t>
      </w:r>
      <w:r>
        <w:rPr>
          <w:rFonts w:hint="eastAsia"/>
          <w:sz w:val="24"/>
        </w:rPr>
        <w:t>区域</w:t>
      </w:r>
      <w:r>
        <w:rPr>
          <w:sz w:val="24"/>
        </w:rPr>
        <w:t>主要为自然生态景观，随油田着开发建设实施，地表植被被破坏，修建人工设施、如井场、集输管线</w:t>
      </w:r>
      <w:r>
        <w:rPr>
          <w:rFonts w:hint="eastAsia"/>
          <w:sz w:val="24"/>
        </w:rPr>
        <w:t>等</w:t>
      </w:r>
      <w:r>
        <w:rPr>
          <w:sz w:val="24"/>
        </w:rPr>
        <w:t>会改变原有地貌、将不同程度地造成项目所在区域的景观格局发生变化。原有的自然生态景观中穿插了井场、集油管线等景观要素，已被人为干扰为主的工业景观所替代，这种斑块的引入，使廊道等人工景观要素和拼块的面积、数量都有很大程度的增加，从而使得景观连接度降低</w:t>
      </w:r>
      <w:r>
        <w:rPr>
          <w:sz w:val="24"/>
        </w:rPr>
        <w:t>，景观异质性也随之发生变化，因此原有系统的抗扰动的能力大大降低，与</w:t>
      </w:r>
      <w:r>
        <w:rPr>
          <w:rFonts w:hint="eastAsia"/>
          <w:sz w:val="24"/>
        </w:rPr>
        <w:t>工程区</w:t>
      </w:r>
      <w:r>
        <w:rPr>
          <w:sz w:val="24"/>
        </w:rPr>
        <w:t>外围的农田景观形成鲜明的对比。</w:t>
      </w:r>
    </w:p>
    <w:bookmarkEnd w:id="213"/>
    <w:bookmarkEnd w:id="214"/>
    <w:p w:rsidR="00EE4502" w:rsidRDefault="00FD45A3">
      <w:pPr>
        <w:pStyle w:val="33"/>
        <w:numPr>
          <w:ilvl w:val="2"/>
          <w:numId w:val="30"/>
        </w:numPr>
        <w:spacing w:line="360" w:lineRule="auto"/>
        <w:ind w:left="0" w:firstLine="0"/>
        <w:rPr>
          <w:spacing w:val="0"/>
          <w:sz w:val="24"/>
        </w:rPr>
      </w:pPr>
      <w:r>
        <w:rPr>
          <w:rFonts w:hint="eastAsia"/>
          <w:spacing w:val="0"/>
          <w:sz w:val="24"/>
        </w:rPr>
        <w:t>退役期生态影响分析</w:t>
      </w:r>
    </w:p>
    <w:p w:rsidR="00EE4502" w:rsidRDefault="00FD45A3">
      <w:pPr>
        <w:spacing w:line="360" w:lineRule="auto"/>
        <w:ind w:firstLine="522"/>
        <w:rPr>
          <w:sz w:val="24"/>
        </w:rPr>
      </w:pPr>
      <w:r>
        <w:rPr>
          <w:rFonts w:hint="eastAsia"/>
          <w:sz w:val="24"/>
        </w:rPr>
        <w:t>退役期内，对完成采油气的废弃井，封堵内外井眼，拆除井口装置，截去地下</w:t>
      </w:r>
      <w:r>
        <w:rPr>
          <w:rFonts w:hint="eastAsia"/>
          <w:sz w:val="24"/>
        </w:rPr>
        <w:t>1m</w:t>
      </w:r>
      <w:r>
        <w:rPr>
          <w:rFonts w:hint="eastAsia"/>
          <w:sz w:val="24"/>
        </w:rPr>
        <w:t>管头，清理场地，清除、填埋各种固体废物。</w:t>
      </w:r>
    </w:p>
    <w:p w:rsidR="00EE4502" w:rsidRDefault="00FD45A3">
      <w:pPr>
        <w:spacing w:line="360" w:lineRule="auto"/>
        <w:ind w:firstLine="522"/>
        <w:rPr>
          <w:sz w:val="24"/>
        </w:rPr>
      </w:pPr>
      <w:r>
        <w:rPr>
          <w:rFonts w:hint="eastAsia"/>
          <w:sz w:val="24"/>
        </w:rPr>
        <w:t>通过采取以上措施，可使退役期生态环境影响降到最低。</w:t>
      </w:r>
    </w:p>
    <w:p w:rsidR="00EE4502" w:rsidRDefault="00FD45A3">
      <w:pPr>
        <w:pStyle w:val="33"/>
        <w:numPr>
          <w:ilvl w:val="2"/>
          <w:numId w:val="30"/>
        </w:numPr>
        <w:spacing w:line="360" w:lineRule="auto"/>
        <w:ind w:left="0" w:firstLine="0"/>
        <w:rPr>
          <w:spacing w:val="0"/>
          <w:sz w:val="24"/>
          <w:szCs w:val="24"/>
        </w:rPr>
      </w:pPr>
      <w:r>
        <w:rPr>
          <w:rFonts w:hint="eastAsia"/>
          <w:spacing w:val="0"/>
          <w:sz w:val="24"/>
          <w:szCs w:val="24"/>
        </w:rPr>
        <w:t>生态影响评价自查表</w:t>
      </w:r>
    </w:p>
    <w:p w:rsidR="00EE4502" w:rsidRDefault="00FD45A3">
      <w:pPr>
        <w:spacing w:line="360" w:lineRule="auto"/>
        <w:ind w:firstLine="522"/>
        <w:rPr>
          <w:sz w:val="24"/>
        </w:rPr>
      </w:pPr>
      <w:r>
        <w:rPr>
          <w:rFonts w:hint="eastAsia"/>
          <w:sz w:val="24"/>
        </w:rPr>
        <w:t>本工程建设区域没有自然保护区、风景名胜区，工程对生态环境的影响主要来自施工期占地的影响，本工程永久占地面积</w:t>
      </w:r>
      <w:r>
        <w:rPr>
          <w:rFonts w:hint="eastAsia"/>
          <w:sz w:val="24"/>
        </w:rPr>
        <w:t>3.4060h</w:t>
      </w:r>
      <w:r>
        <w:rPr>
          <w:rFonts w:hint="eastAsia"/>
          <w:sz w:val="24"/>
        </w:rPr>
        <w:t>m</w:t>
      </w:r>
      <w:r>
        <w:rPr>
          <w:rFonts w:hint="eastAsia"/>
          <w:sz w:val="24"/>
          <w:vertAlign w:val="superscript"/>
        </w:rPr>
        <w:t>2</w:t>
      </w:r>
      <w:r>
        <w:rPr>
          <w:rFonts w:hint="eastAsia"/>
          <w:sz w:val="24"/>
        </w:rPr>
        <w:t>，临时占地面积</w:t>
      </w:r>
      <w:r>
        <w:rPr>
          <w:rFonts w:hint="eastAsia"/>
          <w:sz w:val="24"/>
        </w:rPr>
        <w:lastRenderedPageBreak/>
        <w:t>18.0400h</w:t>
      </w:r>
      <w:r>
        <w:rPr>
          <w:rFonts w:hint="eastAsia"/>
          <w:sz w:val="24"/>
        </w:rPr>
        <w:t>m</w:t>
      </w:r>
      <w:r>
        <w:rPr>
          <w:rFonts w:hint="eastAsia"/>
          <w:sz w:val="24"/>
          <w:vertAlign w:val="superscript"/>
        </w:rPr>
        <w:t>2</w:t>
      </w:r>
      <w:r>
        <w:rPr>
          <w:rFonts w:hint="eastAsia"/>
          <w:sz w:val="24"/>
        </w:rPr>
        <w:t>，地表植被盖度在</w:t>
      </w:r>
      <w:r>
        <w:rPr>
          <w:rFonts w:hint="eastAsia"/>
          <w:sz w:val="24"/>
        </w:rPr>
        <w:t>1</w:t>
      </w:r>
      <w:r>
        <w:rPr>
          <w:sz w:val="24"/>
        </w:rPr>
        <w:t>0%-30%</w:t>
      </w:r>
      <w:r>
        <w:rPr>
          <w:rFonts w:hint="eastAsia"/>
          <w:sz w:val="24"/>
        </w:rPr>
        <w:t>，地表植被为区域广布的荒漠植被，由工程造成的生物量损失较小，不会造成区域的生物多样性下降。</w:t>
      </w:r>
    </w:p>
    <w:p w:rsidR="00EE4502" w:rsidRDefault="00FD45A3">
      <w:pPr>
        <w:spacing w:line="360" w:lineRule="auto"/>
        <w:ind w:firstLine="522"/>
        <w:rPr>
          <w:sz w:val="24"/>
        </w:rPr>
      </w:pPr>
      <w:r>
        <w:rPr>
          <w:rFonts w:hint="eastAsia"/>
          <w:sz w:val="24"/>
        </w:rPr>
        <w:t>由于本区域的野生动物种类少，且经过现有油田设施多年运营后，已经少有大型野生动物在本区域出现，工程对野生动物的影响较小。因此总体上看本工程建设对生态环境影响较小。</w:t>
      </w:r>
    </w:p>
    <w:p w:rsidR="00EE4502" w:rsidRDefault="00FD45A3">
      <w:pPr>
        <w:spacing w:line="360" w:lineRule="auto"/>
        <w:ind w:firstLine="522"/>
        <w:rPr>
          <w:sz w:val="24"/>
        </w:rPr>
      </w:pPr>
      <w:r>
        <w:rPr>
          <w:rFonts w:hint="eastAsia"/>
          <w:sz w:val="24"/>
        </w:rPr>
        <w:t>拟建项目生态环境影响评价自查表见表</w:t>
      </w:r>
      <w:r>
        <w:rPr>
          <w:rFonts w:hint="eastAsia"/>
          <w:sz w:val="24"/>
        </w:rPr>
        <w:t>5</w:t>
      </w:r>
      <w:r>
        <w:rPr>
          <w:sz w:val="24"/>
        </w:rPr>
        <w:t>-</w:t>
      </w:r>
      <w:r>
        <w:rPr>
          <w:rFonts w:hint="eastAsia"/>
          <w:sz w:val="24"/>
        </w:rPr>
        <w:t>1-2</w:t>
      </w:r>
      <w:r>
        <w:rPr>
          <w:rFonts w:hint="eastAsia"/>
          <w:sz w:val="24"/>
        </w:rPr>
        <w:t>。</w:t>
      </w:r>
    </w:p>
    <w:p w:rsidR="00EE4502" w:rsidRDefault="00FD45A3">
      <w:pPr>
        <w:spacing w:line="360" w:lineRule="auto"/>
        <w:jc w:val="center"/>
        <w:textAlignment w:val="baseline"/>
        <w:rPr>
          <w:rFonts w:eastAsia="黑体"/>
          <w:kern w:val="0"/>
          <w:szCs w:val="21"/>
        </w:rPr>
      </w:pPr>
      <w:r>
        <w:rPr>
          <w:rFonts w:eastAsia="黑体"/>
          <w:kern w:val="0"/>
          <w:szCs w:val="21"/>
        </w:rPr>
        <w:t>表</w:t>
      </w:r>
      <w:r>
        <w:rPr>
          <w:rFonts w:eastAsia="黑体"/>
          <w:kern w:val="0"/>
          <w:szCs w:val="21"/>
        </w:rPr>
        <w:t>5-</w:t>
      </w:r>
      <w:r>
        <w:rPr>
          <w:rFonts w:eastAsia="黑体" w:hint="eastAsia"/>
          <w:kern w:val="0"/>
          <w:szCs w:val="21"/>
        </w:rPr>
        <w:t xml:space="preserve">1-2   </w:t>
      </w:r>
      <w:r>
        <w:rPr>
          <w:rFonts w:eastAsia="黑体" w:hint="eastAsia"/>
          <w:kern w:val="0"/>
          <w:szCs w:val="21"/>
        </w:rPr>
        <w:t>生态影响评价自查表</w:t>
      </w:r>
    </w:p>
    <w:tbl>
      <w:tblPr>
        <w:tblW w:w="5000" w:type="pct"/>
        <w:tblBorders>
          <w:top w:val="single" w:sz="8" w:space="0" w:color="000000"/>
          <w:bottom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1029"/>
        <w:gridCol w:w="1457"/>
        <w:gridCol w:w="3615"/>
        <w:gridCol w:w="658"/>
        <w:gridCol w:w="1547"/>
      </w:tblGrid>
      <w:tr w:rsidR="00EE4502">
        <w:trPr>
          <w:trHeight w:val="340"/>
        </w:trPr>
        <w:tc>
          <w:tcPr>
            <w:tcW w:w="1497" w:type="pct"/>
            <w:gridSpan w:val="2"/>
          </w:tcPr>
          <w:p w:rsidR="00EE4502" w:rsidRDefault="00FD45A3">
            <w:pPr>
              <w:adjustRightInd w:val="0"/>
              <w:snapToGrid w:val="0"/>
              <w:spacing w:before="33"/>
              <w:ind w:left="819" w:right="805"/>
              <w:jc w:val="center"/>
              <w:rPr>
                <w:szCs w:val="21"/>
              </w:rPr>
            </w:pPr>
            <w:r>
              <w:rPr>
                <w:rFonts w:hint="eastAsia"/>
                <w:szCs w:val="21"/>
              </w:rPr>
              <w:t>工作内容</w:t>
            </w:r>
          </w:p>
        </w:tc>
        <w:tc>
          <w:tcPr>
            <w:tcW w:w="3502" w:type="pct"/>
            <w:gridSpan w:val="3"/>
          </w:tcPr>
          <w:p w:rsidR="00EE4502" w:rsidRDefault="00FD45A3">
            <w:pPr>
              <w:adjustRightInd w:val="0"/>
              <w:snapToGrid w:val="0"/>
              <w:spacing w:before="33"/>
              <w:ind w:right="3061"/>
              <w:jc w:val="center"/>
              <w:rPr>
                <w:szCs w:val="21"/>
              </w:rPr>
            </w:pPr>
            <w:r>
              <w:rPr>
                <w:rFonts w:hint="eastAsia"/>
                <w:szCs w:val="21"/>
              </w:rPr>
              <w:t xml:space="preserve">                </w:t>
            </w:r>
            <w:r>
              <w:rPr>
                <w:rFonts w:hint="eastAsia"/>
                <w:szCs w:val="21"/>
              </w:rPr>
              <w:t>自查项目</w:t>
            </w:r>
          </w:p>
        </w:tc>
      </w:tr>
      <w:tr w:rsidR="00EE4502">
        <w:trPr>
          <w:trHeight w:val="340"/>
        </w:trPr>
        <w:tc>
          <w:tcPr>
            <w:tcW w:w="620" w:type="pct"/>
            <w:vMerge w:val="restart"/>
            <w:vAlign w:val="center"/>
          </w:tcPr>
          <w:p w:rsidR="00EE4502" w:rsidRDefault="00FD45A3">
            <w:pPr>
              <w:adjustRightInd w:val="0"/>
              <w:snapToGrid w:val="0"/>
              <w:spacing w:before="127"/>
              <w:jc w:val="center"/>
              <w:rPr>
                <w:szCs w:val="21"/>
              </w:rPr>
            </w:pPr>
            <w:r>
              <w:rPr>
                <w:rFonts w:hint="eastAsia"/>
                <w:szCs w:val="21"/>
              </w:rPr>
              <w:t>生态影响识别</w:t>
            </w:r>
          </w:p>
        </w:tc>
        <w:tc>
          <w:tcPr>
            <w:tcW w:w="877" w:type="pct"/>
            <w:vAlign w:val="center"/>
          </w:tcPr>
          <w:p w:rsidR="00EE4502" w:rsidRDefault="00FD45A3">
            <w:pPr>
              <w:adjustRightInd w:val="0"/>
              <w:snapToGrid w:val="0"/>
              <w:ind w:left="153" w:right="126"/>
              <w:jc w:val="center"/>
              <w:rPr>
                <w:szCs w:val="21"/>
              </w:rPr>
            </w:pPr>
            <w:r>
              <w:rPr>
                <w:rFonts w:hint="eastAsia"/>
                <w:szCs w:val="21"/>
              </w:rPr>
              <w:t>生态保护目标</w:t>
            </w:r>
          </w:p>
        </w:tc>
        <w:tc>
          <w:tcPr>
            <w:tcW w:w="3502" w:type="pct"/>
            <w:gridSpan w:val="3"/>
          </w:tcPr>
          <w:p w:rsidR="00EE4502" w:rsidRDefault="00FD45A3">
            <w:pPr>
              <w:adjustRightInd w:val="0"/>
              <w:snapToGrid w:val="0"/>
              <w:spacing w:before="30"/>
              <w:ind w:left="117" w:right="74"/>
              <w:rPr>
                <w:szCs w:val="21"/>
              </w:rPr>
            </w:pPr>
            <w:r>
              <w:rPr>
                <w:rFonts w:hint="eastAsia"/>
                <w:szCs w:val="21"/>
              </w:rPr>
              <w:t>重要物种□；国家公园□；自然保护区□；自然公园□；世界自然遗产□；生态保护红线□；重要生境□；其他具有重要生态功能、对保护生物多样性具有重要意义的区域□；其他</w:t>
            </w:r>
            <w:r>
              <w:rPr>
                <w:rFonts w:hint="eastAsia"/>
                <w:szCs w:val="21"/>
              </w:rPr>
              <w:t>☑</w:t>
            </w:r>
          </w:p>
        </w:tc>
      </w:tr>
      <w:tr w:rsidR="00EE4502">
        <w:trPr>
          <w:trHeight w:val="340"/>
        </w:trPr>
        <w:tc>
          <w:tcPr>
            <w:tcW w:w="620" w:type="pct"/>
            <w:vMerge/>
            <w:vAlign w:val="center"/>
          </w:tcPr>
          <w:p w:rsidR="00EE4502" w:rsidRDefault="00EE4502">
            <w:pPr>
              <w:widowControl/>
              <w:adjustRightInd w:val="0"/>
              <w:snapToGrid w:val="0"/>
              <w:rPr>
                <w:rFonts w:ascii="宋体" w:hAnsi="宋体"/>
                <w:szCs w:val="21"/>
              </w:rPr>
            </w:pPr>
          </w:p>
        </w:tc>
        <w:tc>
          <w:tcPr>
            <w:tcW w:w="877" w:type="pct"/>
          </w:tcPr>
          <w:p w:rsidR="00EE4502" w:rsidRDefault="00FD45A3">
            <w:pPr>
              <w:adjustRightInd w:val="0"/>
              <w:snapToGrid w:val="0"/>
              <w:spacing w:before="31"/>
              <w:ind w:left="153" w:right="126"/>
              <w:jc w:val="center"/>
              <w:rPr>
                <w:szCs w:val="21"/>
              </w:rPr>
            </w:pPr>
            <w:r>
              <w:rPr>
                <w:rFonts w:hint="eastAsia"/>
                <w:szCs w:val="21"/>
              </w:rPr>
              <w:t>影响方式</w:t>
            </w:r>
          </w:p>
        </w:tc>
        <w:tc>
          <w:tcPr>
            <w:tcW w:w="3502" w:type="pct"/>
            <w:gridSpan w:val="3"/>
          </w:tcPr>
          <w:p w:rsidR="00EE4502" w:rsidRDefault="00FD45A3">
            <w:pPr>
              <w:adjustRightInd w:val="0"/>
              <w:snapToGrid w:val="0"/>
              <w:spacing w:before="31"/>
              <w:ind w:left="117"/>
              <w:rPr>
                <w:szCs w:val="21"/>
              </w:rPr>
            </w:pPr>
            <w:r>
              <w:rPr>
                <w:rFonts w:hint="eastAsia"/>
                <w:szCs w:val="21"/>
              </w:rPr>
              <w:t>工程占用□；施工活动干扰</w:t>
            </w:r>
            <w:r>
              <w:rPr>
                <w:rFonts w:hint="eastAsia"/>
                <w:szCs w:val="21"/>
              </w:rPr>
              <w:t>☑</w:t>
            </w:r>
            <w:r>
              <w:rPr>
                <w:rFonts w:hint="eastAsia"/>
                <w:szCs w:val="21"/>
              </w:rPr>
              <w:t>；改变环境条件□；其他</w:t>
            </w:r>
            <w:r>
              <w:rPr>
                <w:rFonts w:hint="eastAsia"/>
                <w:szCs w:val="21"/>
              </w:rPr>
              <w:t>☑</w:t>
            </w:r>
          </w:p>
        </w:tc>
      </w:tr>
      <w:tr w:rsidR="00EE4502">
        <w:trPr>
          <w:trHeight w:val="340"/>
        </w:trPr>
        <w:tc>
          <w:tcPr>
            <w:tcW w:w="620" w:type="pct"/>
            <w:vMerge/>
            <w:vAlign w:val="center"/>
          </w:tcPr>
          <w:p w:rsidR="00EE4502" w:rsidRDefault="00EE4502">
            <w:pPr>
              <w:widowControl/>
              <w:adjustRightInd w:val="0"/>
              <w:snapToGrid w:val="0"/>
              <w:rPr>
                <w:rFonts w:ascii="宋体" w:hAnsi="宋体"/>
                <w:szCs w:val="21"/>
              </w:rPr>
            </w:pPr>
          </w:p>
        </w:tc>
        <w:tc>
          <w:tcPr>
            <w:tcW w:w="877" w:type="pct"/>
            <w:vAlign w:val="center"/>
          </w:tcPr>
          <w:p w:rsidR="00EE4502" w:rsidRDefault="00FD45A3">
            <w:pPr>
              <w:adjustRightInd w:val="0"/>
              <w:snapToGrid w:val="0"/>
              <w:jc w:val="center"/>
              <w:rPr>
                <w:szCs w:val="21"/>
              </w:rPr>
            </w:pPr>
            <w:r>
              <w:rPr>
                <w:rFonts w:hint="eastAsia"/>
                <w:szCs w:val="21"/>
              </w:rPr>
              <w:t>评价因子</w:t>
            </w:r>
          </w:p>
        </w:tc>
        <w:tc>
          <w:tcPr>
            <w:tcW w:w="3502" w:type="pct"/>
            <w:gridSpan w:val="3"/>
          </w:tcPr>
          <w:p w:rsidR="00EE4502" w:rsidRDefault="00FD45A3">
            <w:pPr>
              <w:adjustRightInd w:val="0"/>
              <w:snapToGrid w:val="0"/>
              <w:spacing w:before="36"/>
              <w:ind w:left="117"/>
              <w:rPr>
                <w:szCs w:val="21"/>
              </w:rPr>
            </w:pPr>
            <w:r>
              <w:rPr>
                <w:rFonts w:hint="eastAsia"/>
                <w:szCs w:val="21"/>
              </w:rPr>
              <w:t>物种☑（分布范围、种群数量、种群结构、行为等）</w:t>
            </w:r>
          </w:p>
          <w:p w:rsidR="00EE4502" w:rsidRDefault="00FD45A3">
            <w:pPr>
              <w:adjustRightInd w:val="0"/>
              <w:snapToGrid w:val="0"/>
              <w:spacing w:before="36"/>
              <w:ind w:left="117"/>
              <w:rPr>
                <w:szCs w:val="21"/>
              </w:rPr>
            </w:pPr>
            <w:r>
              <w:rPr>
                <w:rFonts w:hint="eastAsia"/>
                <w:szCs w:val="21"/>
              </w:rPr>
              <w:t>生境☑（生境面积、质量</w:t>
            </w:r>
            <w:r>
              <w:rPr>
                <w:rFonts w:hint="eastAsia"/>
                <w:szCs w:val="21"/>
              </w:rPr>
              <w:t xml:space="preserve">                      </w:t>
            </w:r>
            <w:r>
              <w:rPr>
                <w:rFonts w:hint="eastAsia"/>
                <w:szCs w:val="21"/>
              </w:rPr>
              <w:t>）</w:t>
            </w:r>
          </w:p>
          <w:p w:rsidR="00EE4502" w:rsidRDefault="00FD45A3">
            <w:pPr>
              <w:adjustRightInd w:val="0"/>
              <w:snapToGrid w:val="0"/>
              <w:spacing w:before="36"/>
              <w:ind w:left="117"/>
              <w:rPr>
                <w:szCs w:val="21"/>
              </w:rPr>
            </w:pPr>
            <w:r>
              <w:rPr>
                <w:rFonts w:hint="eastAsia"/>
                <w:szCs w:val="21"/>
              </w:rPr>
              <w:t>生物群落☑（物种组成、群落结构等</w:t>
            </w:r>
            <w:r>
              <w:rPr>
                <w:rFonts w:hint="eastAsia"/>
                <w:szCs w:val="21"/>
              </w:rPr>
              <w:t xml:space="preserve">            </w:t>
            </w:r>
            <w:r>
              <w:rPr>
                <w:rFonts w:hint="eastAsia"/>
                <w:szCs w:val="21"/>
              </w:rPr>
              <w:t>）</w:t>
            </w:r>
          </w:p>
          <w:p w:rsidR="00EE4502" w:rsidRDefault="00FD45A3">
            <w:pPr>
              <w:adjustRightInd w:val="0"/>
              <w:snapToGrid w:val="0"/>
              <w:spacing w:before="36"/>
              <w:ind w:left="117"/>
              <w:rPr>
                <w:szCs w:val="21"/>
              </w:rPr>
            </w:pPr>
            <w:r>
              <w:rPr>
                <w:rFonts w:hint="eastAsia"/>
                <w:szCs w:val="21"/>
              </w:rPr>
              <w:t>生态系统☑（植被覆盖度、生态系统功能等</w:t>
            </w:r>
            <w:r>
              <w:rPr>
                <w:rFonts w:hint="eastAsia"/>
                <w:szCs w:val="21"/>
              </w:rPr>
              <w:t xml:space="preserve">      </w:t>
            </w:r>
            <w:r>
              <w:rPr>
                <w:rFonts w:hint="eastAsia"/>
                <w:szCs w:val="21"/>
              </w:rPr>
              <w:t>）</w:t>
            </w:r>
          </w:p>
          <w:p w:rsidR="00EE4502" w:rsidRDefault="00FD45A3">
            <w:pPr>
              <w:adjustRightInd w:val="0"/>
              <w:snapToGrid w:val="0"/>
              <w:spacing w:before="36"/>
              <w:ind w:left="117"/>
              <w:rPr>
                <w:szCs w:val="21"/>
              </w:rPr>
            </w:pPr>
            <w:r>
              <w:rPr>
                <w:rFonts w:hint="eastAsia"/>
                <w:szCs w:val="21"/>
              </w:rPr>
              <w:t>生物多样性☑（物种丰富度、优势度等</w:t>
            </w:r>
            <w:r>
              <w:rPr>
                <w:rFonts w:hint="eastAsia"/>
                <w:szCs w:val="21"/>
              </w:rPr>
              <w:t xml:space="preserve">          </w:t>
            </w:r>
            <w:r>
              <w:rPr>
                <w:rFonts w:hint="eastAsia"/>
                <w:szCs w:val="21"/>
              </w:rPr>
              <w:t>）</w:t>
            </w:r>
          </w:p>
          <w:p w:rsidR="00EE4502" w:rsidRDefault="00FD45A3">
            <w:pPr>
              <w:adjustRightInd w:val="0"/>
              <w:snapToGrid w:val="0"/>
              <w:spacing w:before="36"/>
              <w:ind w:left="117"/>
              <w:rPr>
                <w:szCs w:val="21"/>
              </w:rPr>
            </w:pPr>
            <w:r>
              <w:rPr>
                <w:rFonts w:hint="eastAsia"/>
                <w:szCs w:val="21"/>
              </w:rPr>
              <w:t>生态敏感区□（</w:t>
            </w:r>
            <w:r>
              <w:rPr>
                <w:rFonts w:hint="eastAsia"/>
                <w:szCs w:val="21"/>
              </w:rPr>
              <w:t xml:space="preserve">                              </w:t>
            </w:r>
            <w:r>
              <w:rPr>
                <w:rFonts w:hint="eastAsia"/>
                <w:szCs w:val="21"/>
              </w:rPr>
              <w:t>）</w:t>
            </w:r>
          </w:p>
          <w:p w:rsidR="00EE4502" w:rsidRDefault="00FD45A3">
            <w:pPr>
              <w:adjustRightInd w:val="0"/>
              <w:snapToGrid w:val="0"/>
              <w:spacing w:before="36"/>
              <w:ind w:left="117"/>
              <w:rPr>
                <w:szCs w:val="21"/>
              </w:rPr>
            </w:pPr>
            <w:r>
              <w:rPr>
                <w:rFonts w:hint="eastAsia"/>
                <w:szCs w:val="21"/>
              </w:rPr>
              <w:t>自然景观☑（景观多样性、完整性</w:t>
            </w:r>
            <w:r>
              <w:rPr>
                <w:rFonts w:hint="eastAsia"/>
                <w:szCs w:val="21"/>
              </w:rPr>
              <w:t xml:space="preserve">              </w:t>
            </w:r>
            <w:r>
              <w:rPr>
                <w:rFonts w:hint="eastAsia"/>
                <w:szCs w:val="21"/>
              </w:rPr>
              <w:t>）</w:t>
            </w:r>
          </w:p>
          <w:p w:rsidR="00EE4502" w:rsidRDefault="00FD45A3">
            <w:pPr>
              <w:adjustRightInd w:val="0"/>
              <w:snapToGrid w:val="0"/>
              <w:spacing w:before="36"/>
              <w:ind w:left="117"/>
              <w:rPr>
                <w:szCs w:val="21"/>
              </w:rPr>
            </w:pPr>
            <w:r>
              <w:rPr>
                <w:rFonts w:hint="eastAsia"/>
                <w:szCs w:val="21"/>
              </w:rPr>
              <w:t>自然遗迹□（</w:t>
            </w:r>
            <w:r>
              <w:rPr>
                <w:rFonts w:hint="eastAsia"/>
                <w:szCs w:val="21"/>
              </w:rPr>
              <w:t xml:space="preserve">                                </w:t>
            </w:r>
            <w:r>
              <w:rPr>
                <w:rFonts w:hint="eastAsia"/>
                <w:szCs w:val="21"/>
              </w:rPr>
              <w:t>）</w:t>
            </w:r>
          </w:p>
          <w:p w:rsidR="00EE4502" w:rsidRDefault="00FD45A3">
            <w:pPr>
              <w:adjustRightInd w:val="0"/>
              <w:snapToGrid w:val="0"/>
              <w:spacing w:before="36"/>
              <w:ind w:left="117"/>
              <w:rPr>
                <w:szCs w:val="21"/>
              </w:rPr>
            </w:pPr>
            <w:r>
              <w:rPr>
                <w:rFonts w:hint="eastAsia"/>
                <w:szCs w:val="21"/>
              </w:rPr>
              <w:t>其他☑（水土流失等</w:t>
            </w:r>
            <w:r>
              <w:rPr>
                <w:rFonts w:hint="eastAsia"/>
                <w:szCs w:val="21"/>
              </w:rPr>
              <w:t xml:space="preserve">                          </w:t>
            </w:r>
            <w:r>
              <w:rPr>
                <w:rFonts w:hint="eastAsia"/>
                <w:szCs w:val="21"/>
              </w:rPr>
              <w:t>）</w:t>
            </w:r>
          </w:p>
        </w:tc>
      </w:tr>
      <w:tr w:rsidR="00EE4502">
        <w:trPr>
          <w:trHeight w:val="340"/>
        </w:trPr>
        <w:tc>
          <w:tcPr>
            <w:tcW w:w="1497" w:type="pct"/>
            <w:gridSpan w:val="2"/>
          </w:tcPr>
          <w:p w:rsidR="00EE4502" w:rsidRDefault="00FD45A3">
            <w:pPr>
              <w:adjustRightInd w:val="0"/>
              <w:snapToGrid w:val="0"/>
              <w:spacing w:before="31"/>
              <w:ind w:left="819" w:right="805"/>
              <w:jc w:val="center"/>
              <w:rPr>
                <w:szCs w:val="21"/>
              </w:rPr>
            </w:pPr>
            <w:r>
              <w:rPr>
                <w:rFonts w:hint="eastAsia"/>
                <w:szCs w:val="21"/>
              </w:rPr>
              <w:t>评价等级</w:t>
            </w:r>
          </w:p>
        </w:tc>
        <w:tc>
          <w:tcPr>
            <w:tcW w:w="2176" w:type="pct"/>
          </w:tcPr>
          <w:p w:rsidR="00EE4502" w:rsidRDefault="00FD45A3">
            <w:pPr>
              <w:adjustRightInd w:val="0"/>
              <w:snapToGrid w:val="0"/>
              <w:spacing w:before="31"/>
              <w:ind w:left="117"/>
              <w:rPr>
                <w:szCs w:val="21"/>
              </w:rPr>
            </w:pPr>
            <w:r>
              <w:rPr>
                <w:rFonts w:hint="eastAsia"/>
                <w:szCs w:val="21"/>
              </w:rPr>
              <w:t>一级□</w:t>
            </w:r>
            <w:r>
              <w:rPr>
                <w:rFonts w:hint="eastAsia"/>
                <w:szCs w:val="21"/>
              </w:rPr>
              <w:tab/>
            </w:r>
            <w:r>
              <w:rPr>
                <w:rFonts w:hint="eastAsia"/>
                <w:szCs w:val="21"/>
              </w:rPr>
              <w:t>二级</w:t>
            </w:r>
            <w:r>
              <w:rPr>
                <w:rFonts w:hint="eastAsia"/>
                <w:szCs w:val="21"/>
              </w:rPr>
              <w:t>☑</w:t>
            </w:r>
            <w:r>
              <w:rPr>
                <w:rFonts w:hint="eastAsia"/>
                <w:szCs w:val="21"/>
              </w:rPr>
              <w:tab/>
            </w:r>
            <w:r>
              <w:rPr>
                <w:rFonts w:hint="eastAsia"/>
                <w:szCs w:val="21"/>
              </w:rPr>
              <w:t>三级□</w:t>
            </w:r>
          </w:p>
        </w:tc>
        <w:tc>
          <w:tcPr>
            <w:tcW w:w="1326" w:type="pct"/>
            <w:gridSpan w:val="2"/>
          </w:tcPr>
          <w:p w:rsidR="00EE4502" w:rsidRDefault="00FD45A3">
            <w:pPr>
              <w:adjustRightInd w:val="0"/>
              <w:snapToGrid w:val="0"/>
              <w:spacing w:before="31"/>
              <w:ind w:left="42"/>
              <w:rPr>
                <w:szCs w:val="21"/>
              </w:rPr>
            </w:pPr>
            <w:r>
              <w:rPr>
                <w:rFonts w:hint="eastAsia"/>
                <w:szCs w:val="21"/>
              </w:rPr>
              <w:t>生态影响简单分析□</w:t>
            </w:r>
          </w:p>
        </w:tc>
      </w:tr>
      <w:tr w:rsidR="00EE4502">
        <w:trPr>
          <w:trHeight w:val="340"/>
        </w:trPr>
        <w:tc>
          <w:tcPr>
            <w:tcW w:w="1497" w:type="pct"/>
            <w:gridSpan w:val="2"/>
          </w:tcPr>
          <w:p w:rsidR="00EE4502" w:rsidRDefault="00FD45A3">
            <w:pPr>
              <w:adjustRightInd w:val="0"/>
              <w:snapToGrid w:val="0"/>
              <w:spacing w:before="31"/>
              <w:ind w:left="819" w:right="805"/>
              <w:jc w:val="center"/>
              <w:rPr>
                <w:szCs w:val="21"/>
              </w:rPr>
            </w:pPr>
            <w:r>
              <w:rPr>
                <w:rFonts w:hint="eastAsia"/>
                <w:szCs w:val="21"/>
              </w:rPr>
              <w:t>评价范围</w:t>
            </w:r>
          </w:p>
        </w:tc>
        <w:tc>
          <w:tcPr>
            <w:tcW w:w="2572" w:type="pct"/>
            <w:gridSpan w:val="2"/>
          </w:tcPr>
          <w:p w:rsidR="00EE4502" w:rsidRDefault="00FD45A3">
            <w:pPr>
              <w:adjustRightInd w:val="0"/>
              <w:snapToGrid w:val="0"/>
              <w:spacing w:before="31"/>
              <w:ind w:left="117"/>
              <w:rPr>
                <w:szCs w:val="21"/>
              </w:rPr>
            </w:pPr>
            <w:r>
              <w:rPr>
                <w:rFonts w:hint="eastAsia"/>
                <w:szCs w:val="21"/>
              </w:rPr>
              <w:t>陆域面积</w:t>
            </w:r>
            <w:r>
              <w:rPr>
                <w:rFonts w:hint="eastAsia"/>
                <w:spacing w:val="-92"/>
                <w:szCs w:val="21"/>
              </w:rPr>
              <w:t>：</w:t>
            </w:r>
            <w:r>
              <w:rPr>
                <w:rFonts w:hint="eastAsia"/>
                <w:szCs w:val="21"/>
              </w:rPr>
              <w:t>（</w:t>
            </w:r>
            <w:r>
              <w:rPr>
                <w:rFonts w:hint="eastAsia"/>
                <w:szCs w:val="21"/>
              </w:rPr>
              <w:t xml:space="preserve"> 38.49 </w:t>
            </w:r>
            <w:r>
              <w:rPr>
                <w:rFonts w:hint="eastAsia"/>
                <w:szCs w:val="21"/>
              </w:rPr>
              <w:t>）</w:t>
            </w:r>
            <w:r>
              <w:rPr>
                <w:spacing w:val="-2"/>
                <w:szCs w:val="21"/>
              </w:rPr>
              <w:t>k</w:t>
            </w:r>
            <w:r>
              <w:rPr>
                <w:spacing w:val="-4"/>
                <w:szCs w:val="21"/>
              </w:rPr>
              <w:t>m</w:t>
            </w:r>
            <w:r>
              <w:rPr>
                <w:szCs w:val="21"/>
                <w:vertAlign w:val="superscript"/>
              </w:rPr>
              <w:t>2</w:t>
            </w:r>
            <w:r>
              <w:rPr>
                <w:rFonts w:hint="eastAsia"/>
                <w:szCs w:val="21"/>
              </w:rPr>
              <w:t>；水</w:t>
            </w:r>
            <w:r>
              <w:rPr>
                <w:rFonts w:hint="eastAsia"/>
                <w:spacing w:val="2"/>
                <w:szCs w:val="21"/>
              </w:rPr>
              <w:t>域</w:t>
            </w:r>
            <w:r>
              <w:rPr>
                <w:rFonts w:hint="eastAsia"/>
                <w:szCs w:val="21"/>
              </w:rPr>
              <w:t>面积</w:t>
            </w:r>
            <w:r>
              <w:rPr>
                <w:rFonts w:hint="eastAsia"/>
                <w:spacing w:val="-92"/>
                <w:szCs w:val="21"/>
              </w:rPr>
              <w:t>：（</w:t>
            </w:r>
            <w:r>
              <w:rPr>
                <w:rFonts w:hint="eastAsia"/>
                <w:szCs w:val="21"/>
              </w:rPr>
              <w:t xml:space="preserve">  </w:t>
            </w:r>
            <w:r>
              <w:rPr>
                <w:rFonts w:hint="eastAsia"/>
                <w:szCs w:val="21"/>
              </w:rPr>
              <w:t>）</w:t>
            </w:r>
            <w:r>
              <w:rPr>
                <w:szCs w:val="21"/>
              </w:rPr>
              <w:t>km</w:t>
            </w:r>
            <w:r>
              <w:rPr>
                <w:szCs w:val="21"/>
                <w:vertAlign w:val="superscript"/>
              </w:rPr>
              <w:t>2</w:t>
            </w:r>
          </w:p>
        </w:tc>
        <w:tc>
          <w:tcPr>
            <w:tcW w:w="930" w:type="pct"/>
          </w:tcPr>
          <w:p w:rsidR="00EE4502" w:rsidRDefault="00EE4502">
            <w:pPr>
              <w:adjustRightInd w:val="0"/>
              <w:snapToGrid w:val="0"/>
              <w:rPr>
                <w:szCs w:val="21"/>
              </w:rPr>
            </w:pPr>
          </w:p>
        </w:tc>
      </w:tr>
      <w:tr w:rsidR="00EE4502">
        <w:trPr>
          <w:trHeight w:val="340"/>
        </w:trPr>
        <w:tc>
          <w:tcPr>
            <w:tcW w:w="620" w:type="pct"/>
            <w:vMerge w:val="restart"/>
            <w:vAlign w:val="center"/>
          </w:tcPr>
          <w:p w:rsidR="00EE4502" w:rsidRDefault="00FD45A3">
            <w:pPr>
              <w:adjustRightInd w:val="0"/>
              <w:snapToGrid w:val="0"/>
              <w:jc w:val="center"/>
              <w:rPr>
                <w:szCs w:val="21"/>
              </w:rPr>
            </w:pPr>
            <w:r>
              <w:rPr>
                <w:rFonts w:hint="eastAsia"/>
                <w:spacing w:val="-5"/>
                <w:szCs w:val="21"/>
              </w:rPr>
              <w:t>生态现状</w:t>
            </w:r>
            <w:r>
              <w:rPr>
                <w:rFonts w:hint="eastAsia"/>
                <w:szCs w:val="21"/>
              </w:rPr>
              <w:t>调查与评价</w:t>
            </w:r>
          </w:p>
        </w:tc>
        <w:tc>
          <w:tcPr>
            <w:tcW w:w="877" w:type="pct"/>
          </w:tcPr>
          <w:p w:rsidR="00EE4502" w:rsidRDefault="00FD45A3">
            <w:pPr>
              <w:adjustRightInd w:val="0"/>
              <w:snapToGrid w:val="0"/>
              <w:spacing w:before="148"/>
              <w:ind w:left="153" w:right="126"/>
              <w:jc w:val="center"/>
              <w:rPr>
                <w:szCs w:val="21"/>
              </w:rPr>
            </w:pPr>
            <w:r>
              <w:rPr>
                <w:rFonts w:hint="eastAsia"/>
                <w:szCs w:val="21"/>
              </w:rPr>
              <w:t>调查方法</w:t>
            </w:r>
          </w:p>
        </w:tc>
        <w:tc>
          <w:tcPr>
            <w:tcW w:w="3502" w:type="pct"/>
            <w:gridSpan w:val="3"/>
          </w:tcPr>
          <w:p w:rsidR="00EE4502" w:rsidRDefault="00FD45A3">
            <w:pPr>
              <w:adjustRightInd w:val="0"/>
              <w:snapToGrid w:val="0"/>
              <w:spacing w:before="33"/>
              <w:ind w:left="117" w:right="74"/>
              <w:rPr>
                <w:szCs w:val="21"/>
              </w:rPr>
            </w:pPr>
            <w:r>
              <w:rPr>
                <w:rFonts w:hint="eastAsia"/>
                <w:szCs w:val="21"/>
              </w:rPr>
              <w:t>资料收集</w:t>
            </w:r>
            <w:r>
              <w:rPr>
                <w:rFonts w:hint="eastAsia"/>
                <w:szCs w:val="21"/>
              </w:rPr>
              <w:t>☑</w:t>
            </w:r>
            <w:r>
              <w:rPr>
                <w:rFonts w:hint="eastAsia"/>
                <w:szCs w:val="21"/>
              </w:rPr>
              <w:t>；遥感调查□；调查样方、样线</w:t>
            </w:r>
            <w:r>
              <w:rPr>
                <w:rFonts w:hint="eastAsia"/>
                <w:szCs w:val="21"/>
              </w:rPr>
              <w:t>☑</w:t>
            </w:r>
            <w:r>
              <w:rPr>
                <w:rFonts w:hint="eastAsia"/>
                <w:szCs w:val="21"/>
              </w:rPr>
              <w:t>；调查点位、断面</w:t>
            </w:r>
            <w:r>
              <w:rPr>
                <w:rFonts w:hint="eastAsia"/>
                <w:szCs w:val="21"/>
              </w:rPr>
              <w:t>□</w:t>
            </w:r>
            <w:r>
              <w:rPr>
                <w:rFonts w:hint="eastAsia"/>
                <w:szCs w:val="21"/>
              </w:rPr>
              <w:t>；专家和公众咨询法□；其他</w:t>
            </w:r>
            <w:r>
              <w:rPr>
                <w:rFonts w:hint="eastAsia"/>
                <w:szCs w:val="21"/>
              </w:rPr>
              <w:t>☑</w:t>
            </w:r>
          </w:p>
        </w:tc>
      </w:tr>
      <w:tr w:rsidR="00EE4502">
        <w:trPr>
          <w:trHeight w:val="340"/>
        </w:trPr>
        <w:tc>
          <w:tcPr>
            <w:tcW w:w="620" w:type="pct"/>
            <w:vMerge/>
            <w:vAlign w:val="center"/>
          </w:tcPr>
          <w:p w:rsidR="00EE4502" w:rsidRDefault="00EE4502">
            <w:pPr>
              <w:widowControl/>
              <w:adjustRightInd w:val="0"/>
              <w:snapToGrid w:val="0"/>
              <w:rPr>
                <w:rFonts w:ascii="宋体" w:hAnsi="宋体"/>
                <w:szCs w:val="21"/>
              </w:rPr>
            </w:pPr>
          </w:p>
        </w:tc>
        <w:tc>
          <w:tcPr>
            <w:tcW w:w="877" w:type="pct"/>
          </w:tcPr>
          <w:p w:rsidR="00EE4502" w:rsidRDefault="00FD45A3">
            <w:pPr>
              <w:adjustRightInd w:val="0"/>
              <w:snapToGrid w:val="0"/>
              <w:ind w:left="153" w:right="126"/>
              <w:jc w:val="center"/>
              <w:rPr>
                <w:szCs w:val="21"/>
              </w:rPr>
            </w:pPr>
            <w:r>
              <w:rPr>
                <w:rFonts w:hint="eastAsia"/>
                <w:szCs w:val="21"/>
              </w:rPr>
              <w:t>调查时间</w:t>
            </w:r>
          </w:p>
        </w:tc>
        <w:tc>
          <w:tcPr>
            <w:tcW w:w="3502" w:type="pct"/>
            <w:gridSpan w:val="3"/>
          </w:tcPr>
          <w:p w:rsidR="00EE4502" w:rsidRPr="003F4A18" w:rsidRDefault="00FD45A3">
            <w:pPr>
              <w:jc w:val="center"/>
              <w:rPr>
                <w:szCs w:val="18"/>
              </w:rPr>
            </w:pPr>
            <w:r>
              <w:rPr>
                <w:szCs w:val="18"/>
                <w:lang w:val="zh-CN"/>
              </w:rPr>
              <w:t>春季</w:t>
            </w:r>
            <w:r w:rsidRPr="003F4A18">
              <w:rPr>
                <w:rFonts w:hint="eastAsia"/>
                <w:szCs w:val="18"/>
              </w:rPr>
              <w:t>□</w:t>
            </w:r>
            <w:r w:rsidRPr="003F4A18">
              <w:rPr>
                <w:szCs w:val="18"/>
              </w:rPr>
              <w:t>；</w:t>
            </w:r>
            <w:r>
              <w:rPr>
                <w:szCs w:val="18"/>
                <w:lang w:val="zh-CN"/>
              </w:rPr>
              <w:t>夏季</w:t>
            </w:r>
            <w:r w:rsidRPr="003F4A18">
              <w:rPr>
                <w:rFonts w:hint="eastAsia"/>
                <w:szCs w:val="18"/>
              </w:rPr>
              <w:t>☑</w:t>
            </w:r>
            <w:r w:rsidRPr="003F4A18">
              <w:rPr>
                <w:szCs w:val="18"/>
              </w:rPr>
              <w:t>；</w:t>
            </w:r>
            <w:r>
              <w:rPr>
                <w:szCs w:val="18"/>
                <w:lang w:val="zh-CN"/>
              </w:rPr>
              <w:t>秋季</w:t>
            </w:r>
            <w:r w:rsidRPr="003F4A18">
              <w:rPr>
                <w:rFonts w:hint="eastAsia"/>
                <w:szCs w:val="18"/>
              </w:rPr>
              <w:t>□</w:t>
            </w:r>
            <w:r w:rsidRPr="003F4A18">
              <w:rPr>
                <w:szCs w:val="18"/>
              </w:rPr>
              <w:t>；</w:t>
            </w:r>
            <w:r>
              <w:rPr>
                <w:szCs w:val="18"/>
                <w:lang w:val="zh-CN"/>
              </w:rPr>
              <w:t>冬季</w:t>
            </w:r>
            <w:r w:rsidRPr="003F4A18">
              <w:rPr>
                <w:rFonts w:hint="eastAsia"/>
                <w:szCs w:val="18"/>
              </w:rPr>
              <w:t>□</w:t>
            </w:r>
          </w:p>
          <w:p w:rsidR="00EE4502" w:rsidRDefault="00FD45A3">
            <w:pPr>
              <w:jc w:val="center"/>
              <w:rPr>
                <w:szCs w:val="21"/>
              </w:rPr>
            </w:pPr>
            <w:r>
              <w:rPr>
                <w:szCs w:val="18"/>
                <w:lang w:val="zh-CN"/>
              </w:rPr>
              <w:t>丰水期</w:t>
            </w:r>
            <w:r w:rsidRPr="003F4A18">
              <w:rPr>
                <w:rFonts w:hint="eastAsia"/>
                <w:szCs w:val="18"/>
              </w:rPr>
              <w:t>□</w:t>
            </w:r>
            <w:r w:rsidRPr="003F4A18">
              <w:rPr>
                <w:szCs w:val="18"/>
              </w:rPr>
              <w:t>；</w:t>
            </w:r>
            <w:r>
              <w:rPr>
                <w:szCs w:val="18"/>
                <w:lang w:val="zh-CN"/>
              </w:rPr>
              <w:t>枯水期</w:t>
            </w:r>
            <w:r w:rsidRPr="003F4A18">
              <w:rPr>
                <w:rFonts w:hint="eastAsia"/>
                <w:szCs w:val="18"/>
              </w:rPr>
              <w:t>□</w:t>
            </w:r>
            <w:r w:rsidRPr="003F4A18">
              <w:rPr>
                <w:szCs w:val="18"/>
              </w:rPr>
              <w:t>；</w:t>
            </w:r>
            <w:r>
              <w:rPr>
                <w:szCs w:val="18"/>
                <w:lang w:val="zh-CN"/>
              </w:rPr>
              <w:t>平水期</w:t>
            </w:r>
            <w:r w:rsidRPr="003F4A18">
              <w:rPr>
                <w:rFonts w:hint="eastAsia"/>
                <w:szCs w:val="18"/>
              </w:rPr>
              <w:t>□</w:t>
            </w:r>
          </w:p>
        </w:tc>
      </w:tr>
      <w:tr w:rsidR="00EE4502">
        <w:trPr>
          <w:trHeight w:val="340"/>
        </w:trPr>
        <w:tc>
          <w:tcPr>
            <w:tcW w:w="620" w:type="pct"/>
            <w:vMerge/>
            <w:vAlign w:val="center"/>
          </w:tcPr>
          <w:p w:rsidR="00EE4502" w:rsidRDefault="00EE4502">
            <w:pPr>
              <w:widowControl/>
              <w:adjustRightInd w:val="0"/>
              <w:snapToGrid w:val="0"/>
              <w:rPr>
                <w:rFonts w:ascii="宋体" w:hAnsi="宋体"/>
                <w:szCs w:val="21"/>
              </w:rPr>
            </w:pPr>
          </w:p>
        </w:tc>
        <w:tc>
          <w:tcPr>
            <w:tcW w:w="877" w:type="pct"/>
          </w:tcPr>
          <w:p w:rsidR="00EE4502" w:rsidRDefault="00FD45A3">
            <w:pPr>
              <w:adjustRightInd w:val="0"/>
              <w:snapToGrid w:val="0"/>
              <w:spacing w:before="31"/>
              <w:ind w:left="264"/>
              <w:rPr>
                <w:szCs w:val="21"/>
              </w:rPr>
            </w:pPr>
            <w:r>
              <w:rPr>
                <w:rFonts w:hint="eastAsia"/>
                <w:szCs w:val="21"/>
              </w:rPr>
              <w:t>所在区域的</w:t>
            </w:r>
          </w:p>
          <w:p w:rsidR="00EE4502" w:rsidRDefault="00FD45A3">
            <w:pPr>
              <w:adjustRightInd w:val="0"/>
              <w:snapToGrid w:val="0"/>
              <w:spacing w:before="36"/>
              <w:ind w:left="353"/>
              <w:rPr>
                <w:szCs w:val="21"/>
              </w:rPr>
            </w:pPr>
            <w:r>
              <w:rPr>
                <w:rFonts w:hint="eastAsia"/>
                <w:szCs w:val="21"/>
              </w:rPr>
              <w:t>生态问题</w:t>
            </w:r>
          </w:p>
        </w:tc>
        <w:tc>
          <w:tcPr>
            <w:tcW w:w="3502" w:type="pct"/>
            <w:gridSpan w:val="3"/>
          </w:tcPr>
          <w:p w:rsidR="00EE4502" w:rsidRDefault="00FD45A3">
            <w:pPr>
              <w:adjustRightInd w:val="0"/>
              <w:snapToGrid w:val="0"/>
              <w:ind w:left="117"/>
              <w:rPr>
                <w:szCs w:val="21"/>
              </w:rPr>
            </w:pPr>
            <w:r>
              <w:rPr>
                <w:rFonts w:hint="eastAsia"/>
                <w:szCs w:val="21"/>
              </w:rPr>
              <w:t>水土流失</w:t>
            </w:r>
            <w:r>
              <w:rPr>
                <w:rFonts w:hint="eastAsia"/>
                <w:szCs w:val="21"/>
              </w:rPr>
              <w:t>☑</w:t>
            </w:r>
            <w:r>
              <w:rPr>
                <w:rFonts w:hint="eastAsia"/>
                <w:szCs w:val="21"/>
              </w:rPr>
              <w:t>；沙漠化□；石漠化□；盐渍化</w:t>
            </w:r>
            <w:r>
              <w:rPr>
                <w:rFonts w:hint="eastAsia"/>
                <w:szCs w:val="21"/>
              </w:rPr>
              <w:t>☑</w:t>
            </w:r>
            <w:r>
              <w:rPr>
                <w:rFonts w:hint="eastAsia"/>
                <w:szCs w:val="21"/>
              </w:rPr>
              <w:t>；生物入侵□；污染危害□；其他</w:t>
            </w:r>
            <w:r>
              <w:rPr>
                <w:rFonts w:hint="eastAsia"/>
                <w:szCs w:val="21"/>
              </w:rPr>
              <w:t>☑</w:t>
            </w:r>
          </w:p>
        </w:tc>
      </w:tr>
      <w:tr w:rsidR="00EE4502">
        <w:trPr>
          <w:trHeight w:val="340"/>
        </w:trPr>
        <w:tc>
          <w:tcPr>
            <w:tcW w:w="620" w:type="pct"/>
            <w:vMerge/>
            <w:vAlign w:val="center"/>
          </w:tcPr>
          <w:p w:rsidR="00EE4502" w:rsidRDefault="00EE4502">
            <w:pPr>
              <w:widowControl/>
              <w:adjustRightInd w:val="0"/>
              <w:snapToGrid w:val="0"/>
              <w:rPr>
                <w:rFonts w:ascii="宋体" w:hAnsi="宋体"/>
                <w:szCs w:val="21"/>
              </w:rPr>
            </w:pPr>
          </w:p>
        </w:tc>
        <w:tc>
          <w:tcPr>
            <w:tcW w:w="877" w:type="pct"/>
          </w:tcPr>
          <w:p w:rsidR="00EE4502" w:rsidRDefault="00FD45A3">
            <w:pPr>
              <w:adjustRightInd w:val="0"/>
              <w:snapToGrid w:val="0"/>
              <w:spacing w:before="148"/>
              <w:ind w:left="153" w:right="126"/>
              <w:jc w:val="center"/>
              <w:rPr>
                <w:szCs w:val="21"/>
              </w:rPr>
            </w:pPr>
            <w:r>
              <w:rPr>
                <w:rFonts w:hint="eastAsia"/>
                <w:szCs w:val="21"/>
              </w:rPr>
              <w:t>评价内容</w:t>
            </w:r>
          </w:p>
        </w:tc>
        <w:tc>
          <w:tcPr>
            <w:tcW w:w="3502" w:type="pct"/>
            <w:gridSpan w:val="3"/>
          </w:tcPr>
          <w:p w:rsidR="00EE4502" w:rsidRDefault="00FD45A3">
            <w:pPr>
              <w:adjustRightInd w:val="0"/>
              <w:snapToGrid w:val="0"/>
              <w:spacing w:before="31"/>
              <w:ind w:left="117" w:right="78"/>
              <w:rPr>
                <w:szCs w:val="21"/>
              </w:rPr>
            </w:pPr>
            <w:r>
              <w:rPr>
                <w:rFonts w:hint="eastAsia"/>
                <w:szCs w:val="21"/>
              </w:rPr>
              <w:t>植被</w:t>
            </w:r>
            <w:r>
              <w:rPr>
                <w:szCs w:val="21"/>
              </w:rPr>
              <w:t>/</w:t>
            </w:r>
            <w:r>
              <w:rPr>
                <w:rFonts w:hint="eastAsia"/>
                <w:szCs w:val="21"/>
              </w:rPr>
              <w:t>植物群落</w:t>
            </w:r>
            <w:r>
              <w:rPr>
                <w:rFonts w:hint="eastAsia"/>
                <w:szCs w:val="21"/>
              </w:rPr>
              <w:t>☑</w:t>
            </w:r>
            <w:r>
              <w:rPr>
                <w:rFonts w:hint="eastAsia"/>
                <w:szCs w:val="21"/>
              </w:rPr>
              <w:t>；土地利用</w:t>
            </w:r>
            <w:r>
              <w:rPr>
                <w:rFonts w:hint="eastAsia"/>
                <w:szCs w:val="21"/>
              </w:rPr>
              <w:t>☑</w:t>
            </w:r>
            <w:r>
              <w:rPr>
                <w:rFonts w:hint="eastAsia"/>
                <w:szCs w:val="21"/>
              </w:rPr>
              <w:t>；生态系统</w:t>
            </w:r>
            <w:r>
              <w:rPr>
                <w:rFonts w:hint="eastAsia"/>
                <w:szCs w:val="21"/>
              </w:rPr>
              <w:t>☑</w:t>
            </w:r>
            <w:r>
              <w:rPr>
                <w:rFonts w:hint="eastAsia"/>
                <w:szCs w:val="21"/>
              </w:rPr>
              <w:t>；生物多样性</w:t>
            </w:r>
            <w:r>
              <w:rPr>
                <w:rFonts w:hint="eastAsia"/>
                <w:szCs w:val="21"/>
              </w:rPr>
              <w:t>☑</w:t>
            </w:r>
            <w:r>
              <w:rPr>
                <w:rFonts w:hint="eastAsia"/>
                <w:szCs w:val="21"/>
              </w:rPr>
              <w:t>；重要物种□；生态敏感区□；其他</w:t>
            </w:r>
            <w:r>
              <w:rPr>
                <w:rFonts w:hint="eastAsia"/>
                <w:szCs w:val="21"/>
              </w:rPr>
              <w:t>☑</w:t>
            </w:r>
          </w:p>
        </w:tc>
      </w:tr>
      <w:tr w:rsidR="00EE4502">
        <w:trPr>
          <w:trHeight w:val="340"/>
        </w:trPr>
        <w:tc>
          <w:tcPr>
            <w:tcW w:w="620" w:type="pct"/>
            <w:vMerge w:val="restart"/>
            <w:vAlign w:val="center"/>
          </w:tcPr>
          <w:p w:rsidR="00EE4502" w:rsidRDefault="00FD45A3">
            <w:pPr>
              <w:adjustRightInd w:val="0"/>
              <w:snapToGrid w:val="0"/>
              <w:spacing w:before="52"/>
              <w:jc w:val="center"/>
              <w:rPr>
                <w:szCs w:val="21"/>
              </w:rPr>
            </w:pPr>
            <w:r>
              <w:rPr>
                <w:rFonts w:hint="eastAsia"/>
                <w:spacing w:val="-5"/>
                <w:szCs w:val="21"/>
              </w:rPr>
              <w:t>生态影响</w:t>
            </w:r>
            <w:r>
              <w:rPr>
                <w:rFonts w:hint="eastAsia"/>
                <w:szCs w:val="21"/>
              </w:rPr>
              <w:t>预测与评价</w:t>
            </w:r>
          </w:p>
        </w:tc>
        <w:tc>
          <w:tcPr>
            <w:tcW w:w="877" w:type="pct"/>
          </w:tcPr>
          <w:p w:rsidR="00EE4502" w:rsidRDefault="00FD45A3">
            <w:pPr>
              <w:adjustRightInd w:val="0"/>
              <w:snapToGrid w:val="0"/>
              <w:spacing w:before="31"/>
              <w:ind w:left="153" w:right="126"/>
              <w:jc w:val="center"/>
              <w:rPr>
                <w:szCs w:val="21"/>
              </w:rPr>
            </w:pPr>
            <w:r>
              <w:rPr>
                <w:rFonts w:hint="eastAsia"/>
                <w:szCs w:val="21"/>
              </w:rPr>
              <w:t>评价方法</w:t>
            </w:r>
          </w:p>
        </w:tc>
        <w:tc>
          <w:tcPr>
            <w:tcW w:w="3502" w:type="pct"/>
            <w:gridSpan w:val="3"/>
          </w:tcPr>
          <w:p w:rsidR="00EE4502" w:rsidRDefault="00FD45A3">
            <w:pPr>
              <w:adjustRightInd w:val="0"/>
              <w:snapToGrid w:val="0"/>
              <w:spacing w:before="31"/>
              <w:ind w:left="117"/>
              <w:rPr>
                <w:szCs w:val="21"/>
              </w:rPr>
            </w:pPr>
            <w:r>
              <w:rPr>
                <w:rFonts w:hint="eastAsia"/>
                <w:szCs w:val="21"/>
              </w:rPr>
              <w:t>定性□；定性和定量</w:t>
            </w:r>
            <w:r>
              <w:rPr>
                <w:rFonts w:hint="eastAsia"/>
                <w:szCs w:val="21"/>
              </w:rPr>
              <w:t>☑</w:t>
            </w:r>
          </w:p>
        </w:tc>
      </w:tr>
      <w:tr w:rsidR="00EE4502">
        <w:trPr>
          <w:trHeight w:val="340"/>
        </w:trPr>
        <w:tc>
          <w:tcPr>
            <w:tcW w:w="620" w:type="pct"/>
            <w:vMerge/>
            <w:vAlign w:val="center"/>
          </w:tcPr>
          <w:p w:rsidR="00EE4502" w:rsidRDefault="00EE4502">
            <w:pPr>
              <w:widowControl/>
              <w:adjustRightInd w:val="0"/>
              <w:snapToGrid w:val="0"/>
              <w:rPr>
                <w:rFonts w:ascii="宋体" w:hAnsi="宋体"/>
                <w:szCs w:val="21"/>
              </w:rPr>
            </w:pPr>
          </w:p>
        </w:tc>
        <w:tc>
          <w:tcPr>
            <w:tcW w:w="877" w:type="pct"/>
          </w:tcPr>
          <w:p w:rsidR="00EE4502" w:rsidRDefault="00FD45A3">
            <w:pPr>
              <w:adjustRightInd w:val="0"/>
              <w:snapToGrid w:val="0"/>
              <w:spacing w:before="146"/>
              <w:ind w:left="153" w:right="126"/>
              <w:jc w:val="center"/>
              <w:rPr>
                <w:szCs w:val="21"/>
              </w:rPr>
            </w:pPr>
            <w:r>
              <w:rPr>
                <w:rFonts w:hint="eastAsia"/>
                <w:szCs w:val="21"/>
              </w:rPr>
              <w:t>评价内容</w:t>
            </w:r>
          </w:p>
        </w:tc>
        <w:tc>
          <w:tcPr>
            <w:tcW w:w="3502" w:type="pct"/>
            <w:gridSpan w:val="3"/>
          </w:tcPr>
          <w:p w:rsidR="00EE4502" w:rsidRDefault="00FD45A3">
            <w:pPr>
              <w:adjustRightInd w:val="0"/>
              <w:snapToGrid w:val="0"/>
              <w:spacing w:before="31"/>
              <w:ind w:left="117" w:right="90"/>
              <w:rPr>
                <w:szCs w:val="21"/>
              </w:rPr>
            </w:pPr>
            <w:r>
              <w:rPr>
                <w:rFonts w:hint="eastAsia"/>
                <w:szCs w:val="21"/>
              </w:rPr>
              <w:t>植被</w:t>
            </w:r>
            <w:r>
              <w:rPr>
                <w:szCs w:val="21"/>
              </w:rPr>
              <w:t>/</w:t>
            </w:r>
            <w:r>
              <w:rPr>
                <w:rFonts w:hint="eastAsia"/>
                <w:szCs w:val="21"/>
              </w:rPr>
              <w:t>植物群落</w:t>
            </w:r>
            <w:r>
              <w:rPr>
                <w:rFonts w:hint="eastAsia"/>
                <w:szCs w:val="21"/>
              </w:rPr>
              <w:t>☑</w:t>
            </w:r>
            <w:r>
              <w:rPr>
                <w:rFonts w:hint="eastAsia"/>
                <w:szCs w:val="21"/>
              </w:rPr>
              <w:t>；土地利用</w:t>
            </w:r>
            <w:r>
              <w:rPr>
                <w:rFonts w:hint="eastAsia"/>
                <w:szCs w:val="21"/>
              </w:rPr>
              <w:t>☑</w:t>
            </w:r>
            <w:r>
              <w:rPr>
                <w:rFonts w:hint="eastAsia"/>
                <w:szCs w:val="21"/>
              </w:rPr>
              <w:t>；生态系统</w:t>
            </w:r>
            <w:r>
              <w:rPr>
                <w:rFonts w:hint="eastAsia"/>
                <w:szCs w:val="21"/>
              </w:rPr>
              <w:t>☑</w:t>
            </w:r>
            <w:r>
              <w:rPr>
                <w:rFonts w:hint="eastAsia"/>
                <w:szCs w:val="21"/>
              </w:rPr>
              <w:t>；生物多样性</w:t>
            </w:r>
            <w:r>
              <w:rPr>
                <w:rFonts w:hint="eastAsia"/>
                <w:szCs w:val="21"/>
              </w:rPr>
              <w:t>☑</w:t>
            </w:r>
            <w:r>
              <w:rPr>
                <w:rFonts w:hint="eastAsia"/>
                <w:szCs w:val="21"/>
              </w:rPr>
              <w:t>；重要物种□；生态敏感区□；生物入侵风险□；其他</w:t>
            </w:r>
            <w:r>
              <w:rPr>
                <w:rFonts w:hint="eastAsia"/>
                <w:szCs w:val="21"/>
              </w:rPr>
              <w:t>☑</w:t>
            </w:r>
          </w:p>
        </w:tc>
      </w:tr>
      <w:tr w:rsidR="00EE4502">
        <w:trPr>
          <w:trHeight w:val="340"/>
        </w:trPr>
        <w:tc>
          <w:tcPr>
            <w:tcW w:w="620" w:type="pct"/>
            <w:vMerge w:val="restart"/>
            <w:vAlign w:val="center"/>
          </w:tcPr>
          <w:p w:rsidR="00EE4502" w:rsidRDefault="00FD45A3">
            <w:pPr>
              <w:adjustRightInd w:val="0"/>
              <w:snapToGrid w:val="0"/>
              <w:jc w:val="center"/>
              <w:rPr>
                <w:szCs w:val="21"/>
              </w:rPr>
            </w:pPr>
            <w:r>
              <w:rPr>
                <w:rFonts w:hint="eastAsia"/>
                <w:szCs w:val="21"/>
              </w:rPr>
              <w:t>生态保护对策措施</w:t>
            </w:r>
          </w:p>
        </w:tc>
        <w:tc>
          <w:tcPr>
            <w:tcW w:w="877" w:type="pct"/>
          </w:tcPr>
          <w:p w:rsidR="00EE4502" w:rsidRDefault="00FD45A3">
            <w:pPr>
              <w:adjustRightInd w:val="0"/>
              <w:snapToGrid w:val="0"/>
              <w:spacing w:before="31"/>
              <w:ind w:left="153" w:right="126"/>
              <w:jc w:val="center"/>
              <w:rPr>
                <w:szCs w:val="21"/>
              </w:rPr>
            </w:pPr>
            <w:r>
              <w:rPr>
                <w:rFonts w:hint="eastAsia"/>
                <w:szCs w:val="21"/>
              </w:rPr>
              <w:t>对策措施</w:t>
            </w:r>
          </w:p>
        </w:tc>
        <w:tc>
          <w:tcPr>
            <w:tcW w:w="3502" w:type="pct"/>
            <w:gridSpan w:val="3"/>
          </w:tcPr>
          <w:p w:rsidR="00EE4502" w:rsidRDefault="00FD45A3">
            <w:pPr>
              <w:adjustRightInd w:val="0"/>
              <w:snapToGrid w:val="0"/>
              <w:spacing w:before="31"/>
              <w:ind w:left="117"/>
              <w:rPr>
                <w:szCs w:val="21"/>
              </w:rPr>
            </w:pPr>
            <w:r>
              <w:rPr>
                <w:rFonts w:hint="eastAsia"/>
                <w:szCs w:val="21"/>
              </w:rPr>
              <w:t>避让□；减缓</w:t>
            </w:r>
            <w:r>
              <w:rPr>
                <w:rFonts w:hint="eastAsia"/>
                <w:szCs w:val="21"/>
              </w:rPr>
              <w:t>☑</w:t>
            </w:r>
            <w:r>
              <w:rPr>
                <w:rFonts w:hint="eastAsia"/>
                <w:szCs w:val="21"/>
              </w:rPr>
              <w:t>；生态修复□；生态补偿□；科研□；其他</w:t>
            </w:r>
            <w:r>
              <w:rPr>
                <w:rFonts w:hint="eastAsia"/>
                <w:szCs w:val="21"/>
              </w:rPr>
              <w:t>☑</w:t>
            </w:r>
          </w:p>
        </w:tc>
      </w:tr>
      <w:tr w:rsidR="00EE4502">
        <w:trPr>
          <w:trHeight w:val="340"/>
        </w:trPr>
        <w:tc>
          <w:tcPr>
            <w:tcW w:w="620" w:type="pct"/>
            <w:vMerge/>
            <w:vAlign w:val="center"/>
          </w:tcPr>
          <w:p w:rsidR="00EE4502" w:rsidRDefault="00EE4502">
            <w:pPr>
              <w:widowControl/>
              <w:adjustRightInd w:val="0"/>
              <w:snapToGrid w:val="0"/>
              <w:rPr>
                <w:rFonts w:ascii="宋体" w:hAnsi="宋体"/>
                <w:szCs w:val="21"/>
              </w:rPr>
            </w:pPr>
          </w:p>
        </w:tc>
        <w:tc>
          <w:tcPr>
            <w:tcW w:w="877" w:type="pct"/>
          </w:tcPr>
          <w:p w:rsidR="00EE4502" w:rsidRDefault="00FD45A3">
            <w:pPr>
              <w:adjustRightInd w:val="0"/>
              <w:snapToGrid w:val="0"/>
              <w:spacing w:before="33"/>
              <w:ind w:left="153" w:right="126"/>
              <w:jc w:val="center"/>
              <w:rPr>
                <w:szCs w:val="21"/>
              </w:rPr>
            </w:pPr>
            <w:r>
              <w:rPr>
                <w:rFonts w:hint="eastAsia"/>
                <w:szCs w:val="21"/>
              </w:rPr>
              <w:t>生态监测计划</w:t>
            </w:r>
          </w:p>
        </w:tc>
        <w:tc>
          <w:tcPr>
            <w:tcW w:w="3502" w:type="pct"/>
            <w:gridSpan w:val="3"/>
          </w:tcPr>
          <w:p w:rsidR="00EE4502" w:rsidRDefault="00FD45A3">
            <w:pPr>
              <w:adjustRightInd w:val="0"/>
              <w:snapToGrid w:val="0"/>
              <w:spacing w:before="33"/>
              <w:ind w:left="117"/>
              <w:rPr>
                <w:szCs w:val="21"/>
              </w:rPr>
            </w:pPr>
            <w:r>
              <w:rPr>
                <w:rFonts w:hint="eastAsia"/>
                <w:szCs w:val="21"/>
              </w:rPr>
              <w:t>全生命周期</w:t>
            </w:r>
            <w:r>
              <w:rPr>
                <w:rFonts w:hint="eastAsia"/>
                <w:szCs w:val="21"/>
              </w:rPr>
              <w:t>☑</w:t>
            </w:r>
            <w:r>
              <w:rPr>
                <w:rFonts w:hint="eastAsia"/>
                <w:szCs w:val="21"/>
              </w:rPr>
              <w:t>；长期跟踪□；常规□；无□</w:t>
            </w:r>
          </w:p>
        </w:tc>
      </w:tr>
      <w:tr w:rsidR="00EE4502">
        <w:trPr>
          <w:trHeight w:val="340"/>
        </w:trPr>
        <w:tc>
          <w:tcPr>
            <w:tcW w:w="620" w:type="pct"/>
            <w:vMerge/>
            <w:vAlign w:val="center"/>
          </w:tcPr>
          <w:p w:rsidR="00EE4502" w:rsidRDefault="00EE4502">
            <w:pPr>
              <w:widowControl/>
              <w:adjustRightInd w:val="0"/>
              <w:snapToGrid w:val="0"/>
              <w:rPr>
                <w:rFonts w:ascii="宋体" w:hAnsi="宋体"/>
                <w:szCs w:val="21"/>
              </w:rPr>
            </w:pPr>
          </w:p>
        </w:tc>
        <w:tc>
          <w:tcPr>
            <w:tcW w:w="877" w:type="pct"/>
          </w:tcPr>
          <w:p w:rsidR="00EE4502" w:rsidRDefault="00FD45A3">
            <w:pPr>
              <w:adjustRightInd w:val="0"/>
              <w:snapToGrid w:val="0"/>
              <w:spacing w:before="31"/>
              <w:ind w:left="153" w:right="126"/>
              <w:jc w:val="center"/>
              <w:rPr>
                <w:szCs w:val="21"/>
              </w:rPr>
            </w:pPr>
            <w:r>
              <w:rPr>
                <w:rFonts w:hint="eastAsia"/>
                <w:szCs w:val="21"/>
              </w:rPr>
              <w:t>环境管理</w:t>
            </w:r>
          </w:p>
        </w:tc>
        <w:tc>
          <w:tcPr>
            <w:tcW w:w="3502" w:type="pct"/>
            <w:gridSpan w:val="3"/>
          </w:tcPr>
          <w:p w:rsidR="00EE4502" w:rsidRDefault="00FD45A3">
            <w:pPr>
              <w:adjustRightInd w:val="0"/>
              <w:snapToGrid w:val="0"/>
              <w:spacing w:before="31"/>
              <w:ind w:left="117"/>
              <w:rPr>
                <w:szCs w:val="21"/>
              </w:rPr>
            </w:pPr>
            <w:r>
              <w:rPr>
                <w:rFonts w:hint="eastAsia"/>
                <w:szCs w:val="21"/>
              </w:rPr>
              <w:t>环境监理</w:t>
            </w:r>
            <w:r>
              <w:rPr>
                <w:rFonts w:hint="eastAsia"/>
                <w:szCs w:val="21"/>
              </w:rPr>
              <w:t>☑</w:t>
            </w:r>
            <w:r>
              <w:rPr>
                <w:rFonts w:hint="eastAsia"/>
                <w:szCs w:val="21"/>
              </w:rPr>
              <w:t>；环境影响后评价</w:t>
            </w:r>
            <w:r>
              <w:rPr>
                <w:rFonts w:hint="eastAsia"/>
                <w:szCs w:val="21"/>
              </w:rPr>
              <w:t>☑</w:t>
            </w:r>
            <w:r>
              <w:rPr>
                <w:rFonts w:hint="eastAsia"/>
                <w:szCs w:val="21"/>
              </w:rPr>
              <w:t>；其他</w:t>
            </w:r>
            <w:r>
              <w:rPr>
                <w:rFonts w:hint="eastAsia"/>
                <w:szCs w:val="21"/>
              </w:rPr>
              <w:t>☑</w:t>
            </w:r>
          </w:p>
        </w:tc>
      </w:tr>
      <w:tr w:rsidR="00EE4502">
        <w:trPr>
          <w:trHeight w:val="340"/>
        </w:trPr>
        <w:tc>
          <w:tcPr>
            <w:tcW w:w="620" w:type="pct"/>
          </w:tcPr>
          <w:p w:rsidR="00EE4502" w:rsidRDefault="00FD45A3">
            <w:pPr>
              <w:adjustRightInd w:val="0"/>
              <w:snapToGrid w:val="0"/>
              <w:spacing w:before="31"/>
              <w:ind w:left="134"/>
              <w:rPr>
                <w:szCs w:val="21"/>
              </w:rPr>
            </w:pPr>
            <w:r>
              <w:rPr>
                <w:rFonts w:hint="eastAsia"/>
                <w:szCs w:val="21"/>
              </w:rPr>
              <w:t>评价结论</w:t>
            </w:r>
          </w:p>
        </w:tc>
        <w:tc>
          <w:tcPr>
            <w:tcW w:w="877" w:type="pct"/>
          </w:tcPr>
          <w:p w:rsidR="00EE4502" w:rsidRDefault="00FD45A3">
            <w:pPr>
              <w:adjustRightInd w:val="0"/>
              <w:snapToGrid w:val="0"/>
              <w:spacing w:before="31"/>
              <w:ind w:left="153" w:right="126"/>
              <w:jc w:val="center"/>
              <w:rPr>
                <w:szCs w:val="21"/>
              </w:rPr>
            </w:pPr>
            <w:r>
              <w:rPr>
                <w:rFonts w:hint="eastAsia"/>
                <w:szCs w:val="21"/>
              </w:rPr>
              <w:t>生态影响</w:t>
            </w:r>
          </w:p>
        </w:tc>
        <w:tc>
          <w:tcPr>
            <w:tcW w:w="3502" w:type="pct"/>
            <w:gridSpan w:val="3"/>
          </w:tcPr>
          <w:p w:rsidR="00EE4502" w:rsidRDefault="00FD45A3">
            <w:pPr>
              <w:adjustRightInd w:val="0"/>
              <w:snapToGrid w:val="0"/>
              <w:spacing w:before="31"/>
              <w:ind w:left="117"/>
              <w:rPr>
                <w:szCs w:val="21"/>
              </w:rPr>
            </w:pPr>
            <w:r>
              <w:rPr>
                <w:rFonts w:hint="eastAsia"/>
                <w:szCs w:val="21"/>
              </w:rPr>
              <w:t>可行</w:t>
            </w:r>
            <w:r>
              <w:rPr>
                <w:rFonts w:hint="eastAsia"/>
                <w:szCs w:val="21"/>
              </w:rPr>
              <w:t>☑</w:t>
            </w:r>
            <w:r>
              <w:rPr>
                <w:rFonts w:hint="eastAsia"/>
                <w:szCs w:val="21"/>
              </w:rPr>
              <w:t>；不可行□</w:t>
            </w:r>
          </w:p>
        </w:tc>
      </w:tr>
      <w:tr w:rsidR="00EE4502">
        <w:trPr>
          <w:trHeight w:val="340"/>
        </w:trPr>
        <w:tc>
          <w:tcPr>
            <w:tcW w:w="5000" w:type="pct"/>
            <w:gridSpan w:val="5"/>
          </w:tcPr>
          <w:p w:rsidR="00EE4502" w:rsidRDefault="00FD45A3">
            <w:pPr>
              <w:adjustRightInd w:val="0"/>
              <w:snapToGrid w:val="0"/>
              <w:spacing w:before="30"/>
              <w:ind w:left="105"/>
              <w:rPr>
                <w:szCs w:val="21"/>
              </w:rPr>
            </w:pPr>
            <w:r>
              <w:rPr>
                <w:rFonts w:hint="eastAsia"/>
                <w:szCs w:val="21"/>
              </w:rPr>
              <w:t>注：“□”为勾选项，可√</w:t>
            </w:r>
            <w:r>
              <w:rPr>
                <w:rFonts w:hint="eastAsia"/>
                <w:spacing w:val="-92"/>
                <w:szCs w:val="21"/>
              </w:rPr>
              <w:t>；“</w:t>
            </w:r>
            <w:r>
              <w:rPr>
                <w:rFonts w:hint="eastAsia"/>
                <w:szCs w:val="21"/>
              </w:rPr>
              <w:t>（</w:t>
            </w:r>
            <w:r>
              <w:rPr>
                <w:rFonts w:hint="eastAsia"/>
                <w:szCs w:val="21"/>
              </w:rPr>
              <w:t xml:space="preserve">    </w:t>
            </w:r>
            <w:r>
              <w:rPr>
                <w:rFonts w:hint="eastAsia"/>
                <w:spacing w:val="-92"/>
                <w:szCs w:val="21"/>
              </w:rPr>
              <w:t>）</w:t>
            </w:r>
            <w:r>
              <w:rPr>
                <w:rFonts w:hint="eastAsia"/>
                <w:szCs w:val="21"/>
              </w:rPr>
              <w:t>”为内容填写项。</w:t>
            </w:r>
          </w:p>
        </w:tc>
      </w:tr>
    </w:tbl>
    <w:p w:rsidR="00EE4502" w:rsidRDefault="00FD45A3">
      <w:pPr>
        <w:pStyle w:val="22"/>
        <w:numPr>
          <w:ilvl w:val="1"/>
          <w:numId w:val="30"/>
        </w:numPr>
        <w:rPr>
          <w:spacing w:val="0"/>
          <w:w w:val="100"/>
        </w:rPr>
      </w:pPr>
      <w:bookmarkStart w:id="215" w:name="_Toc9000"/>
      <w:r>
        <w:rPr>
          <w:rFonts w:hint="eastAsia"/>
          <w:spacing w:val="0"/>
          <w:w w:val="100"/>
        </w:rPr>
        <w:lastRenderedPageBreak/>
        <w:t>地下水</w:t>
      </w:r>
      <w:r>
        <w:rPr>
          <w:spacing w:val="0"/>
          <w:w w:val="100"/>
        </w:rPr>
        <w:t>环境影响分析</w:t>
      </w:r>
      <w:bookmarkEnd w:id="215"/>
    </w:p>
    <w:p w:rsidR="00EE4502" w:rsidRDefault="00FD45A3">
      <w:pPr>
        <w:pStyle w:val="33"/>
        <w:numPr>
          <w:ilvl w:val="2"/>
          <w:numId w:val="30"/>
        </w:numPr>
        <w:spacing w:line="360" w:lineRule="auto"/>
        <w:ind w:left="0" w:firstLine="0"/>
        <w:rPr>
          <w:spacing w:val="0"/>
          <w:sz w:val="24"/>
          <w:szCs w:val="24"/>
        </w:rPr>
      </w:pPr>
      <w:r>
        <w:rPr>
          <w:rFonts w:hint="eastAsia"/>
          <w:spacing w:val="0"/>
          <w:sz w:val="24"/>
          <w:szCs w:val="24"/>
        </w:rPr>
        <w:t>评价区水文地质条件</w:t>
      </w:r>
    </w:p>
    <w:p w:rsidR="00EE4502" w:rsidRDefault="00FD45A3">
      <w:pPr>
        <w:pStyle w:val="41"/>
        <w:numPr>
          <w:ilvl w:val="3"/>
          <w:numId w:val="30"/>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bCs w:val="0"/>
          <w:sz w:val="24"/>
          <w:szCs w:val="24"/>
        </w:rPr>
        <w:t>区域地层概况</w:t>
      </w:r>
    </w:p>
    <w:p w:rsidR="00EE4502" w:rsidRDefault="00FD45A3">
      <w:pPr>
        <w:spacing w:line="360" w:lineRule="auto"/>
        <w:ind w:firstLineChars="200" w:firstLine="480"/>
        <w:rPr>
          <w:kern w:val="21"/>
          <w:sz w:val="24"/>
          <w:szCs w:val="20"/>
        </w:rPr>
      </w:pPr>
      <w:r>
        <w:rPr>
          <w:kern w:val="21"/>
          <w:sz w:val="24"/>
          <w:szCs w:val="20"/>
        </w:rPr>
        <w:t>本工程位于新疆准噶尔盆地西缘，构造位置位于准噶尔盆地西部隆起车排子凸起的东部，区域上属于准噶尔盆地西部隆起的次一级构造单元。</w:t>
      </w:r>
    </w:p>
    <w:p w:rsidR="00EE4502" w:rsidRDefault="00FD45A3">
      <w:pPr>
        <w:spacing w:line="360" w:lineRule="auto"/>
        <w:ind w:firstLineChars="200" w:firstLine="480"/>
        <w:rPr>
          <w:kern w:val="21"/>
          <w:sz w:val="24"/>
          <w:szCs w:val="21"/>
        </w:rPr>
      </w:pPr>
      <w:r>
        <w:rPr>
          <w:kern w:val="21"/>
          <w:sz w:val="24"/>
          <w:szCs w:val="20"/>
        </w:rPr>
        <w:t>区块内自上而下钻遇地层为：新生界第四系西域组、新近系（独山子组、塔西河组、沙湾组），中生界白垩系吐谷鲁群、侏罗系及古生界石炭系（未穿）。据区域背景资料，经地震、钻井资料证实，各层系之间为角度不整合接触，侏罗系地层直接覆盖在石炭系基岩之上</w:t>
      </w:r>
      <w:r>
        <w:rPr>
          <w:kern w:val="21"/>
          <w:sz w:val="24"/>
          <w:szCs w:val="20"/>
        </w:rPr>
        <w:t>。</w:t>
      </w:r>
      <w:r>
        <w:rPr>
          <w:kern w:val="21"/>
          <w:sz w:val="24"/>
          <w:szCs w:val="20"/>
        </w:rPr>
        <w:t>油气主要集中在</w:t>
      </w:r>
      <w:r>
        <w:rPr>
          <w:kern w:val="21"/>
          <w:sz w:val="24"/>
          <w:szCs w:val="20"/>
        </w:rPr>
        <w:t>石炭系</w:t>
      </w:r>
      <w:r>
        <w:rPr>
          <w:kern w:val="21"/>
          <w:sz w:val="24"/>
          <w:szCs w:val="20"/>
        </w:rPr>
        <w:t>顶部的希贝库拉斯组</w:t>
      </w:r>
      <w:r>
        <w:rPr>
          <w:kern w:val="21"/>
          <w:sz w:val="24"/>
          <w:szCs w:val="21"/>
        </w:rPr>
        <w:t>。</w:t>
      </w:r>
    </w:p>
    <w:p w:rsidR="00EE4502" w:rsidRDefault="00FD45A3">
      <w:pPr>
        <w:spacing w:line="360" w:lineRule="auto"/>
        <w:ind w:firstLine="520"/>
        <w:rPr>
          <w:kern w:val="21"/>
          <w:sz w:val="24"/>
          <w:szCs w:val="25"/>
        </w:rPr>
      </w:pPr>
      <w:r>
        <w:rPr>
          <w:kern w:val="21"/>
          <w:sz w:val="24"/>
          <w:szCs w:val="25"/>
        </w:rPr>
        <w:t>地层特征分述如下：</w:t>
      </w:r>
    </w:p>
    <w:p w:rsidR="00EE4502" w:rsidRDefault="00FD45A3">
      <w:pPr>
        <w:spacing w:line="360" w:lineRule="auto"/>
        <w:ind w:firstLine="520"/>
        <w:rPr>
          <w:kern w:val="21"/>
          <w:sz w:val="24"/>
          <w:szCs w:val="25"/>
        </w:rPr>
      </w:pPr>
      <w:r>
        <w:rPr>
          <w:kern w:val="21"/>
          <w:sz w:val="24"/>
          <w:szCs w:val="25"/>
        </w:rPr>
        <w:t>（</w:t>
      </w:r>
      <w:r>
        <w:rPr>
          <w:kern w:val="21"/>
          <w:sz w:val="24"/>
          <w:szCs w:val="25"/>
        </w:rPr>
        <w:t>1</w:t>
      </w:r>
      <w:r>
        <w:rPr>
          <w:kern w:val="21"/>
          <w:sz w:val="24"/>
          <w:szCs w:val="25"/>
        </w:rPr>
        <w:t>）石炭系（</w:t>
      </w:r>
      <w:r>
        <w:rPr>
          <w:kern w:val="21"/>
          <w:sz w:val="24"/>
          <w:szCs w:val="25"/>
        </w:rPr>
        <w:t>C</w:t>
      </w:r>
      <w:r>
        <w:rPr>
          <w:kern w:val="21"/>
          <w:sz w:val="24"/>
          <w:szCs w:val="25"/>
        </w:rPr>
        <w:t>）</w:t>
      </w:r>
    </w:p>
    <w:p w:rsidR="00EE4502" w:rsidRDefault="00FD45A3">
      <w:pPr>
        <w:spacing w:line="360" w:lineRule="auto"/>
        <w:ind w:firstLine="520"/>
        <w:rPr>
          <w:kern w:val="21"/>
          <w:sz w:val="24"/>
          <w:szCs w:val="25"/>
        </w:rPr>
      </w:pPr>
      <w:r>
        <w:rPr>
          <w:kern w:val="21"/>
          <w:sz w:val="24"/>
          <w:szCs w:val="25"/>
        </w:rPr>
        <w:t>本区石炭系地层主要由灰黑色凝灰岩类与变质岩类呈不等厚互层组成，凝灰岩类主要为灰色凝灰质泥岩，深灰色、灰黑色凝灰岩，变质岩类主要为褐红色、棕红色、红褐色变质砂岩，褐红色板岩，红褐色、深灰色、褐色、棕红色片岩，灰黄色、杂色变质粗面岩。</w:t>
      </w:r>
    </w:p>
    <w:p w:rsidR="00EE4502" w:rsidRDefault="00FD45A3">
      <w:pPr>
        <w:spacing w:line="360" w:lineRule="auto"/>
        <w:ind w:firstLine="520"/>
        <w:rPr>
          <w:kern w:val="21"/>
          <w:sz w:val="24"/>
          <w:szCs w:val="25"/>
        </w:rPr>
      </w:pPr>
      <w:r>
        <w:rPr>
          <w:kern w:val="21"/>
          <w:sz w:val="24"/>
          <w:szCs w:val="25"/>
        </w:rPr>
        <w:t>（</w:t>
      </w:r>
      <w:r>
        <w:rPr>
          <w:kern w:val="21"/>
          <w:sz w:val="24"/>
          <w:szCs w:val="25"/>
        </w:rPr>
        <w:t>2</w:t>
      </w:r>
      <w:r>
        <w:rPr>
          <w:kern w:val="21"/>
          <w:sz w:val="24"/>
          <w:szCs w:val="25"/>
        </w:rPr>
        <w:t>）下白垩统吐谷鲁群组（</w:t>
      </w:r>
      <w:r>
        <w:rPr>
          <w:kern w:val="21"/>
          <w:sz w:val="24"/>
          <w:szCs w:val="25"/>
        </w:rPr>
        <w:t>K</w:t>
      </w:r>
      <w:r>
        <w:rPr>
          <w:kern w:val="21"/>
          <w:sz w:val="24"/>
          <w:szCs w:val="25"/>
          <w:vertAlign w:val="subscript"/>
        </w:rPr>
        <w:t>1</w:t>
      </w:r>
      <w:r>
        <w:rPr>
          <w:kern w:val="21"/>
          <w:sz w:val="24"/>
          <w:szCs w:val="25"/>
        </w:rPr>
        <w:t>tg</w:t>
      </w:r>
      <w:r>
        <w:rPr>
          <w:kern w:val="21"/>
          <w:sz w:val="24"/>
          <w:szCs w:val="25"/>
        </w:rPr>
        <w:t>）</w:t>
      </w:r>
    </w:p>
    <w:p w:rsidR="00EE4502" w:rsidRDefault="00FD45A3">
      <w:pPr>
        <w:spacing w:line="360" w:lineRule="auto"/>
        <w:ind w:firstLine="520"/>
        <w:rPr>
          <w:kern w:val="21"/>
          <w:sz w:val="24"/>
          <w:szCs w:val="25"/>
        </w:rPr>
      </w:pPr>
      <w:r>
        <w:rPr>
          <w:kern w:val="21"/>
          <w:sz w:val="24"/>
          <w:szCs w:val="25"/>
        </w:rPr>
        <w:t>本区下白垩统吐谷鲁群组地层厚度</w:t>
      </w:r>
      <w:r>
        <w:rPr>
          <w:kern w:val="21"/>
          <w:sz w:val="24"/>
          <w:szCs w:val="25"/>
        </w:rPr>
        <w:t>49</w:t>
      </w:r>
      <w:r>
        <w:rPr>
          <w:kern w:val="21"/>
          <w:sz w:val="24"/>
          <w:szCs w:val="25"/>
        </w:rPr>
        <w:t>～</w:t>
      </w:r>
      <w:r>
        <w:rPr>
          <w:kern w:val="21"/>
          <w:sz w:val="24"/>
          <w:szCs w:val="25"/>
        </w:rPr>
        <w:t>180m</w:t>
      </w:r>
      <w:r>
        <w:rPr>
          <w:kern w:val="21"/>
          <w:sz w:val="24"/>
          <w:szCs w:val="25"/>
        </w:rPr>
        <w:t>，厚度由南向北、由东向西变薄，但厚度变化不大，南北方向的变化明显小于东西方向的变化。岩性以泥岩为主，夹薄层灰色泥质粉砂岩。</w:t>
      </w:r>
    </w:p>
    <w:p w:rsidR="00EE4502" w:rsidRDefault="00FD45A3">
      <w:pPr>
        <w:spacing w:line="360" w:lineRule="auto"/>
        <w:ind w:firstLine="520"/>
        <w:rPr>
          <w:kern w:val="21"/>
          <w:sz w:val="24"/>
          <w:szCs w:val="25"/>
        </w:rPr>
      </w:pPr>
      <w:r>
        <w:rPr>
          <w:kern w:val="21"/>
          <w:sz w:val="24"/>
          <w:szCs w:val="25"/>
        </w:rPr>
        <w:t>（</w:t>
      </w:r>
      <w:r>
        <w:rPr>
          <w:kern w:val="21"/>
          <w:sz w:val="24"/>
          <w:szCs w:val="25"/>
        </w:rPr>
        <w:t>3</w:t>
      </w:r>
      <w:r>
        <w:rPr>
          <w:rFonts w:hint="eastAsia"/>
          <w:kern w:val="21"/>
          <w:sz w:val="24"/>
          <w:szCs w:val="25"/>
        </w:rPr>
        <w:t>）</w:t>
      </w:r>
      <w:r>
        <w:rPr>
          <w:kern w:val="21"/>
          <w:sz w:val="24"/>
          <w:szCs w:val="25"/>
        </w:rPr>
        <w:t>新近系沙湾组（</w:t>
      </w:r>
      <w:r>
        <w:rPr>
          <w:kern w:val="21"/>
          <w:sz w:val="24"/>
          <w:szCs w:val="25"/>
        </w:rPr>
        <w:t>N</w:t>
      </w:r>
      <w:r>
        <w:rPr>
          <w:kern w:val="21"/>
          <w:sz w:val="24"/>
          <w:szCs w:val="25"/>
          <w:vertAlign w:val="subscript"/>
        </w:rPr>
        <w:t>1</w:t>
      </w:r>
      <w:r>
        <w:rPr>
          <w:kern w:val="21"/>
          <w:sz w:val="24"/>
          <w:szCs w:val="25"/>
        </w:rPr>
        <w:t>s</w:t>
      </w:r>
      <w:r>
        <w:rPr>
          <w:kern w:val="21"/>
          <w:sz w:val="24"/>
          <w:szCs w:val="25"/>
        </w:rPr>
        <w:t>）</w:t>
      </w:r>
    </w:p>
    <w:p w:rsidR="00EE4502" w:rsidRDefault="00FD45A3">
      <w:pPr>
        <w:spacing w:line="360" w:lineRule="auto"/>
        <w:ind w:firstLine="520"/>
        <w:rPr>
          <w:kern w:val="21"/>
          <w:sz w:val="24"/>
          <w:szCs w:val="25"/>
        </w:rPr>
      </w:pPr>
      <w:r>
        <w:rPr>
          <w:kern w:val="21"/>
          <w:sz w:val="24"/>
          <w:szCs w:val="25"/>
        </w:rPr>
        <w:t>本区新近系沙湾组地层厚度</w:t>
      </w:r>
      <w:r>
        <w:rPr>
          <w:kern w:val="21"/>
          <w:sz w:val="24"/>
          <w:szCs w:val="25"/>
        </w:rPr>
        <w:t>90</w:t>
      </w:r>
      <w:r>
        <w:rPr>
          <w:kern w:val="21"/>
          <w:sz w:val="24"/>
          <w:szCs w:val="25"/>
        </w:rPr>
        <w:t>～</w:t>
      </w:r>
      <w:r>
        <w:rPr>
          <w:kern w:val="21"/>
          <w:sz w:val="24"/>
          <w:szCs w:val="25"/>
        </w:rPr>
        <w:t>101m</w:t>
      </w:r>
      <w:r>
        <w:rPr>
          <w:kern w:val="21"/>
          <w:sz w:val="24"/>
          <w:szCs w:val="25"/>
        </w:rPr>
        <w:t>，厚度</w:t>
      </w:r>
      <w:r>
        <w:rPr>
          <w:kern w:val="21"/>
          <w:sz w:val="24"/>
          <w:szCs w:val="25"/>
        </w:rPr>
        <w:t>由南向北、由东向西变薄。沙湾组自下而上分为三段：沙一段、沙二段和沙三段。沙一段底部发育一套底砾岩，中部和顶部为含砾砂岩、砂岩、灰质砂岩、泥质粉砂岩和泥岩的不等厚互层；沙二段在车排子地区南部为泥岩夹薄层细砂岩、含砾细砂岩，北部为红色、灰绿色、浅灰色的泥岩和粉砂质泥岩互层；沙三段在车排子地区南部为泥岩和粉砂质泥岩沉积，北部为大套砾岩，厚度较大，在</w:t>
      </w:r>
      <w:r>
        <w:rPr>
          <w:kern w:val="21"/>
          <w:sz w:val="24"/>
          <w:szCs w:val="25"/>
        </w:rPr>
        <w:t>10m</w:t>
      </w:r>
      <w:r>
        <w:rPr>
          <w:kern w:val="21"/>
          <w:sz w:val="24"/>
          <w:szCs w:val="25"/>
        </w:rPr>
        <w:t>～</w:t>
      </w:r>
      <w:r>
        <w:rPr>
          <w:kern w:val="21"/>
          <w:sz w:val="24"/>
          <w:szCs w:val="25"/>
        </w:rPr>
        <w:t>50m</w:t>
      </w:r>
      <w:r>
        <w:rPr>
          <w:kern w:val="21"/>
          <w:sz w:val="24"/>
          <w:szCs w:val="25"/>
        </w:rPr>
        <w:t>之间。对车排子地区沙一段可以进一步划分，自下而上发育</w:t>
      </w:r>
      <w:r>
        <w:rPr>
          <w:kern w:val="21"/>
          <w:sz w:val="24"/>
          <w:szCs w:val="25"/>
        </w:rPr>
        <w:t>1</w:t>
      </w:r>
      <w:r>
        <w:rPr>
          <w:kern w:val="21"/>
          <w:sz w:val="24"/>
          <w:szCs w:val="25"/>
        </w:rPr>
        <w:t>砂组、</w:t>
      </w:r>
      <w:r>
        <w:rPr>
          <w:kern w:val="21"/>
          <w:sz w:val="24"/>
          <w:szCs w:val="25"/>
        </w:rPr>
        <w:t>2</w:t>
      </w:r>
      <w:r>
        <w:rPr>
          <w:kern w:val="21"/>
          <w:sz w:val="24"/>
          <w:szCs w:val="25"/>
        </w:rPr>
        <w:t>砂组、</w:t>
      </w:r>
      <w:r>
        <w:rPr>
          <w:kern w:val="21"/>
          <w:sz w:val="24"/>
          <w:szCs w:val="25"/>
        </w:rPr>
        <w:t>3</w:t>
      </w:r>
      <w:r>
        <w:rPr>
          <w:kern w:val="21"/>
          <w:sz w:val="24"/>
          <w:szCs w:val="25"/>
        </w:rPr>
        <w:t>砂组。</w:t>
      </w:r>
      <w:r>
        <w:rPr>
          <w:kern w:val="21"/>
          <w:sz w:val="24"/>
          <w:szCs w:val="25"/>
        </w:rPr>
        <w:t>1</w:t>
      </w:r>
      <w:r>
        <w:rPr>
          <w:kern w:val="21"/>
          <w:sz w:val="24"/>
          <w:szCs w:val="25"/>
        </w:rPr>
        <w:t>砂组岩性主要为大套灰色含砾砂岩、砂质砾岩、灰褐色细砂岩，夹绿灰色泥岩，向北砂</w:t>
      </w:r>
      <w:r>
        <w:rPr>
          <w:kern w:val="21"/>
          <w:sz w:val="24"/>
          <w:szCs w:val="25"/>
        </w:rPr>
        <w:t>岩逐渐变薄，泥岩逐渐变厚，北部局部见砾岩；</w:t>
      </w:r>
      <w:r>
        <w:rPr>
          <w:kern w:val="21"/>
          <w:sz w:val="24"/>
          <w:szCs w:val="25"/>
        </w:rPr>
        <w:t>2</w:t>
      </w:r>
      <w:r>
        <w:rPr>
          <w:kern w:val="21"/>
          <w:sz w:val="24"/>
          <w:szCs w:val="25"/>
        </w:rPr>
        <w:t>砂组岩性主要为大套灰褐色细砂岩，灰绿色泥岩，灰色、褐灰色含砾细砂岩，灰色细砂岩；</w:t>
      </w:r>
      <w:r>
        <w:rPr>
          <w:kern w:val="21"/>
          <w:sz w:val="24"/>
          <w:szCs w:val="25"/>
        </w:rPr>
        <w:t>3</w:t>
      </w:r>
      <w:r>
        <w:rPr>
          <w:kern w:val="21"/>
          <w:sz w:val="24"/>
          <w:szCs w:val="25"/>
        </w:rPr>
        <w:t>砂组岩性主要为厚层灰色中、</w:t>
      </w:r>
      <w:r>
        <w:rPr>
          <w:kern w:val="21"/>
          <w:sz w:val="24"/>
          <w:szCs w:val="25"/>
        </w:rPr>
        <w:lastRenderedPageBreak/>
        <w:t>细砂岩、含砾砂岩，夹灰绿色泥岩。</w:t>
      </w:r>
    </w:p>
    <w:p w:rsidR="00EE4502" w:rsidRDefault="00FD45A3">
      <w:pPr>
        <w:spacing w:line="360" w:lineRule="auto"/>
        <w:ind w:firstLine="520"/>
        <w:rPr>
          <w:kern w:val="21"/>
          <w:sz w:val="24"/>
          <w:szCs w:val="25"/>
        </w:rPr>
      </w:pPr>
      <w:r>
        <w:rPr>
          <w:kern w:val="21"/>
          <w:sz w:val="24"/>
          <w:szCs w:val="25"/>
        </w:rPr>
        <w:t>新近系沙湾组与下伏地层呈角度不整合接触，为</w:t>
      </w:r>
      <w:r>
        <w:rPr>
          <w:kern w:val="21"/>
          <w:sz w:val="24"/>
          <w:szCs w:val="25"/>
        </w:rPr>
        <w:t>本工程</w:t>
      </w:r>
      <w:r>
        <w:rPr>
          <w:kern w:val="21"/>
          <w:sz w:val="24"/>
          <w:szCs w:val="25"/>
        </w:rPr>
        <w:t>的主力油层。</w:t>
      </w:r>
    </w:p>
    <w:p w:rsidR="00EE4502" w:rsidRDefault="00FD45A3">
      <w:pPr>
        <w:spacing w:line="360" w:lineRule="auto"/>
        <w:ind w:firstLine="520"/>
        <w:rPr>
          <w:kern w:val="21"/>
          <w:sz w:val="24"/>
          <w:szCs w:val="25"/>
        </w:rPr>
      </w:pPr>
      <w:r>
        <w:rPr>
          <w:kern w:val="21"/>
          <w:sz w:val="24"/>
          <w:szCs w:val="25"/>
        </w:rPr>
        <w:t>（</w:t>
      </w:r>
      <w:r>
        <w:rPr>
          <w:kern w:val="21"/>
          <w:sz w:val="24"/>
          <w:szCs w:val="25"/>
        </w:rPr>
        <w:t>4</w:t>
      </w:r>
      <w:r>
        <w:rPr>
          <w:kern w:val="21"/>
          <w:sz w:val="24"/>
          <w:szCs w:val="25"/>
        </w:rPr>
        <w:t>）新近系塔西河组及以上地层</w:t>
      </w:r>
    </w:p>
    <w:p w:rsidR="00EE4502" w:rsidRDefault="00FD45A3">
      <w:pPr>
        <w:spacing w:line="360" w:lineRule="auto"/>
        <w:ind w:firstLine="520"/>
        <w:rPr>
          <w:kern w:val="21"/>
          <w:sz w:val="24"/>
        </w:rPr>
      </w:pPr>
      <w:r>
        <w:rPr>
          <w:kern w:val="21"/>
          <w:sz w:val="24"/>
          <w:szCs w:val="25"/>
        </w:rPr>
        <w:t>本区新近系塔西河组及以上地层，厚度</w:t>
      </w:r>
      <w:r>
        <w:rPr>
          <w:kern w:val="21"/>
          <w:sz w:val="24"/>
          <w:szCs w:val="25"/>
        </w:rPr>
        <w:t>202</w:t>
      </w:r>
      <w:r>
        <w:rPr>
          <w:kern w:val="21"/>
          <w:sz w:val="24"/>
          <w:szCs w:val="25"/>
        </w:rPr>
        <w:t>～</w:t>
      </w:r>
      <w:r>
        <w:rPr>
          <w:kern w:val="21"/>
          <w:sz w:val="24"/>
          <w:szCs w:val="25"/>
        </w:rPr>
        <w:t>431m</w:t>
      </w:r>
      <w:r>
        <w:rPr>
          <w:kern w:val="21"/>
          <w:sz w:val="24"/>
          <w:szCs w:val="25"/>
        </w:rPr>
        <w:t>，厚度由南向北，由东向西变薄。岩性主要是砂泥岩互层，上部为厚层灰褐色含砾中砂岩、灰色细砂岩与灰色泥岩呈不等厚互层；中下部为黄灰色细砂岩、灰黄色泥岩呈不等厚互层；底部是一套灰褐色砂砾岩</w:t>
      </w:r>
      <w:r>
        <w:rPr>
          <w:kern w:val="21"/>
          <w:sz w:val="24"/>
          <w:szCs w:val="25"/>
        </w:rPr>
        <w:t>，与下伏地层呈平行不整合接触</w:t>
      </w:r>
      <w:r>
        <w:rPr>
          <w:kern w:val="21"/>
          <w:sz w:val="24"/>
        </w:rPr>
        <w:t>。</w:t>
      </w:r>
    </w:p>
    <w:p w:rsidR="00EE4502" w:rsidRDefault="00FD45A3">
      <w:pPr>
        <w:pStyle w:val="41"/>
        <w:numPr>
          <w:ilvl w:val="3"/>
          <w:numId w:val="30"/>
        </w:numPr>
        <w:adjustRightInd/>
        <w:snapToGrid/>
        <w:spacing w:beforeLines="0" w:before="0" w:line="360" w:lineRule="auto"/>
        <w:rPr>
          <w:rFonts w:ascii="Times New Roman" w:eastAsia="宋体" w:hAnsi="Times New Roman"/>
          <w:bCs w:val="0"/>
          <w:kern w:val="21"/>
          <w:sz w:val="24"/>
          <w:szCs w:val="24"/>
        </w:rPr>
      </w:pPr>
      <w:r>
        <w:rPr>
          <w:rFonts w:ascii="Times New Roman" w:eastAsia="宋体" w:hAnsi="Times New Roman"/>
          <w:bCs w:val="0"/>
          <w:kern w:val="21"/>
          <w:sz w:val="24"/>
          <w:szCs w:val="24"/>
        </w:rPr>
        <w:t>区域水文地质概况</w:t>
      </w:r>
    </w:p>
    <w:p w:rsidR="00EE4502" w:rsidRDefault="00FD45A3">
      <w:pPr>
        <w:spacing w:line="360" w:lineRule="auto"/>
        <w:ind w:firstLine="520"/>
        <w:rPr>
          <w:kern w:val="21"/>
          <w:sz w:val="24"/>
        </w:rPr>
      </w:pPr>
      <w:r>
        <w:rPr>
          <w:rFonts w:hint="eastAsia"/>
          <w:kern w:val="21"/>
          <w:sz w:val="24"/>
        </w:rPr>
        <w:t>（</w:t>
      </w:r>
      <w:r>
        <w:rPr>
          <w:rFonts w:hint="eastAsia"/>
          <w:kern w:val="21"/>
          <w:sz w:val="24"/>
        </w:rPr>
        <w:t>1</w:t>
      </w:r>
      <w:r>
        <w:rPr>
          <w:rFonts w:hint="eastAsia"/>
          <w:kern w:val="21"/>
          <w:sz w:val="24"/>
        </w:rPr>
        <w:t>）地下水赋存条件</w:t>
      </w:r>
    </w:p>
    <w:p w:rsidR="00EE4502" w:rsidRDefault="00FD45A3">
      <w:pPr>
        <w:spacing w:line="360" w:lineRule="auto"/>
        <w:ind w:firstLine="520"/>
        <w:rPr>
          <w:kern w:val="21"/>
          <w:sz w:val="24"/>
        </w:rPr>
      </w:pPr>
      <w:r>
        <w:rPr>
          <w:rFonts w:hint="eastAsia"/>
          <w:kern w:val="21"/>
          <w:sz w:val="24"/>
        </w:rPr>
        <w:t>从大地构造上看</w:t>
      </w:r>
      <w:r>
        <w:rPr>
          <w:rFonts w:hint="eastAsia"/>
          <w:kern w:val="21"/>
          <w:sz w:val="24"/>
        </w:rPr>
        <w:t>，</w:t>
      </w:r>
      <w:r>
        <w:rPr>
          <w:rFonts w:hint="eastAsia"/>
          <w:kern w:val="21"/>
          <w:sz w:val="24"/>
        </w:rPr>
        <w:t>克拉玛依所在区域属于山地褶皱带和陆台之间的过渡型地区。无论从地质构造、地貌、第四纪松散沉积、地下水动力学和地球化学作用方向等方面分析</w:t>
      </w:r>
      <w:r>
        <w:rPr>
          <w:rFonts w:hint="eastAsia"/>
          <w:kern w:val="21"/>
          <w:sz w:val="24"/>
        </w:rPr>
        <w:t>，</w:t>
      </w:r>
      <w:r>
        <w:rPr>
          <w:rFonts w:hint="eastAsia"/>
          <w:kern w:val="21"/>
          <w:sz w:val="24"/>
        </w:rPr>
        <w:t>均符合沙漠所占据的巨型山间盆地和山前倾斜平原的水文地质规律。克拉玛依所在区域西部环绕着准格尔西北缘海西褶皱带山系—沙乌尔山、扎衣尔山和乌鲁克萨尔山等</w:t>
      </w:r>
      <w:r>
        <w:rPr>
          <w:rFonts w:hint="eastAsia"/>
          <w:kern w:val="21"/>
          <w:sz w:val="24"/>
        </w:rPr>
        <w:t>，海拔</w:t>
      </w:r>
      <w:r>
        <w:rPr>
          <w:rFonts w:hint="eastAsia"/>
          <w:kern w:val="21"/>
          <w:sz w:val="24"/>
        </w:rPr>
        <w:t>1000-3000m</w:t>
      </w:r>
      <w:r>
        <w:rPr>
          <w:rFonts w:hint="eastAsia"/>
          <w:kern w:val="21"/>
          <w:sz w:val="24"/>
        </w:rPr>
        <w:t>，</w:t>
      </w:r>
      <w:r>
        <w:rPr>
          <w:rFonts w:hint="eastAsia"/>
          <w:kern w:val="21"/>
          <w:sz w:val="24"/>
        </w:rPr>
        <w:t>终年积雪的山峰很少。每年夏季这些高山上融解的雪水沿河谷、溪流向盆地内低洼的平原流泻</w:t>
      </w:r>
      <w:r>
        <w:rPr>
          <w:rFonts w:hint="eastAsia"/>
          <w:kern w:val="21"/>
          <w:sz w:val="24"/>
        </w:rPr>
        <w:t>，</w:t>
      </w:r>
      <w:r>
        <w:rPr>
          <w:rFonts w:hint="eastAsia"/>
          <w:kern w:val="21"/>
          <w:sz w:val="24"/>
        </w:rPr>
        <w:t>成为区内地下径流的主要补给来源</w:t>
      </w:r>
      <w:r>
        <w:rPr>
          <w:rFonts w:hint="eastAsia"/>
          <w:kern w:val="21"/>
          <w:sz w:val="24"/>
        </w:rPr>
        <w:t>，</w:t>
      </w:r>
      <w:r>
        <w:rPr>
          <w:rFonts w:hint="eastAsia"/>
          <w:kern w:val="21"/>
          <w:sz w:val="24"/>
        </w:rPr>
        <w:t>因此地下水的动态受高山冰雪融化季节的控制。同时，这些山脉也像围墙一样阻挡了从北冰洋和大西洋东侵的潮湿气流，对区内大陆性气候有着明显的影响。从历史气象资料可以看出</w:t>
      </w:r>
      <w:r>
        <w:rPr>
          <w:rFonts w:hint="eastAsia"/>
          <w:kern w:val="21"/>
          <w:sz w:val="24"/>
        </w:rPr>
        <w:t>，</w:t>
      </w:r>
      <w:r>
        <w:rPr>
          <w:rFonts w:hint="eastAsia"/>
          <w:kern w:val="21"/>
          <w:sz w:val="24"/>
        </w:rPr>
        <w:t>克拉玛依地区的降水只有西北</w:t>
      </w:r>
      <w:r>
        <w:rPr>
          <w:rFonts w:hint="eastAsia"/>
          <w:kern w:val="21"/>
          <w:sz w:val="24"/>
        </w:rPr>
        <w:t>200km</w:t>
      </w:r>
      <w:r>
        <w:rPr>
          <w:rFonts w:hint="eastAsia"/>
          <w:kern w:val="21"/>
          <w:sz w:val="24"/>
        </w:rPr>
        <w:t>处塔城的</w:t>
      </w:r>
      <w:r>
        <w:rPr>
          <w:rFonts w:hint="eastAsia"/>
          <w:kern w:val="21"/>
          <w:sz w:val="24"/>
        </w:rPr>
        <w:t>1/3.5</w:t>
      </w:r>
      <w:r>
        <w:rPr>
          <w:rFonts w:hint="eastAsia"/>
          <w:kern w:val="21"/>
          <w:sz w:val="24"/>
        </w:rPr>
        <w:t>左右</w:t>
      </w:r>
      <w:r>
        <w:rPr>
          <w:rFonts w:hint="eastAsia"/>
          <w:kern w:val="21"/>
          <w:sz w:val="24"/>
        </w:rPr>
        <w:t>，</w:t>
      </w:r>
      <w:r>
        <w:rPr>
          <w:rFonts w:hint="eastAsia"/>
          <w:kern w:val="21"/>
          <w:sz w:val="24"/>
        </w:rPr>
        <w:t>而年总蒸发量却比塔城高二倍</w:t>
      </w:r>
      <w:r>
        <w:rPr>
          <w:rFonts w:hint="eastAsia"/>
          <w:kern w:val="21"/>
          <w:sz w:val="24"/>
        </w:rPr>
        <w:t>，</w:t>
      </w:r>
      <w:r>
        <w:rPr>
          <w:rFonts w:hint="eastAsia"/>
          <w:kern w:val="21"/>
          <w:sz w:val="24"/>
        </w:rPr>
        <w:t>年平均相对湿度为</w:t>
      </w:r>
      <w:r>
        <w:rPr>
          <w:rFonts w:hint="eastAsia"/>
          <w:kern w:val="21"/>
          <w:sz w:val="24"/>
        </w:rPr>
        <w:t>45%</w:t>
      </w:r>
      <w:r>
        <w:rPr>
          <w:rFonts w:hint="eastAsia"/>
          <w:kern w:val="21"/>
          <w:sz w:val="24"/>
        </w:rPr>
        <w:t>，</w:t>
      </w:r>
      <w:r>
        <w:rPr>
          <w:rFonts w:hint="eastAsia"/>
          <w:kern w:val="21"/>
          <w:sz w:val="24"/>
        </w:rPr>
        <w:t>这显然是受地理环境和地形因素的控制。降水量稀少、空气干燥和强烈的蒸发</w:t>
      </w:r>
      <w:r>
        <w:rPr>
          <w:rFonts w:hint="eastAsia"/>
          <w:kern w:val="21"/>
          <w:sz w:val="24"/>
        </w:rPr>
        <w:t>，</w:t>
      </w:r>
      <w:r>
        <w:rPr>
          <w:rFonts w:hint="eastAsia"/>
          <w:kern w:val="21"/>
          <w:sz w:val="24"/>
        </w:rPr>
        <w:t>决定了本区潜水的贫乏</w:t>
      </w:r>
      <w:r>
        <w:rPr>
          <w:rFonts w:hint="eastAsia"/>
          <w:kern w:val="21"/>
          <w:sz w:val="24"/>
        </w:rPr>
        <w:t>，</w:t>
      </w:r>
      <w:r>
        <w:rPr>
          <w:rFonts w:hint="eastAsia"/>
          <w:kern w:val="21"/>
          <w:sz w:val="24"/>
        </w:rPr>
        <w:t>地球化学作用表现为可溶盐类的富积。克拉玛依范围内</w:t>
      </w:r>
      <w:r>
        <w:rPr>
          <w:rFonts w:hint="eastAsia"/>
          <w:kern w:val="21"/>
          <w:sz w:val="24"/>
        </w:rPr>
        <w:t>，</w:t>
      </w:r>
      <w:r>
        <w:rPr>
          <w:rFonts w:hint="eastAsia"/>
          <w:kern w:val="21"/>
          <w:sz w:val="24"/>
        </w:rPr>
        <w:t>在疏松的第四纪砾石层中潜水很不发育</w:t>
      </w:r>
      <w:r>
        <w:rPr>
          <w:rFonts w:hint="eastAsia"/>
          <w:kern w:val="21"/>
          <w:sz w:val="24"/>
        </w:rPr>
        <w:t>，</w:t>
      </w:r>
      <w:r>
        <w:rPr>
          <w:rFonts w:hint="eastAsia"/>
          <w:kern w:val="21"/>
          <w:sz w:val="24"/>
        </w:rPr>
        <w:t>而只有在离克拉玛依</w:t>
      </w:r>
      <w:r>
        <w:rPr>
          <w:rFonts w:hint="eastAsia"/>
          <w:kern w:val="21"/>
          <w:sz w:val="24"/>
        </w:rPr>
        <w:t>50km</w:t>
      </w:r>
      <w:r>
        <w:rPr>
          <w:rFonts w:hint="eastAsia"/>
          <w:kern w:val="21"/>
          <w:sz w:val="24"/>
        </w:rPr>
        <w:t>左右</w:t>
      </w:r>
      <w:r>
        <w:rPr>
          <w:rFonts w:hint="eastAsia"/>
          <w:kern w:val="21"/>
          <w:sz w:val="24"/>
        </w:rPr>
        <w:t>，</w:t>
      </w:r>
      <w:r>
        <w:rPr>
          <w:rFonts w:hint="eastAsia"/>
          <w:kern w:val="21"/>
          <w:sz w:val="24"/>
        </w:rPr>
        <w:t>靠近玛纳斯河旁中拐、小拐一</w:t>
      </w:r>
      <w:r>
        <w:rPr>
          <w:rFonts w:hint="eastAsia"/>
          <w:kern w:val="21"/>
          <w:sz w:val="24"/>
        </w:rPr>
        <w:t>带的冲积平原内</w:t>
      </w:r>
      <w:r>
        <w:rPr>
          <w:rFonts w:hint="eastAsia"/>
          <w:kern w:val="21"/>
          <w:sz w:val="24"/>
        </w:rPr>
        <w:t>，</w:t>
      </w:r>
      <w:r>
        <w:rPr>
          <w:rFonts w:hint="eastAsia"/>
          <w:kern w:val="21"/>
          <w:sz w:val="24"/>
        </w:rPr>
        <w:t>潜水才有意义。</w:t>
      </w:r>
    </w:p>
    <w:p w:rsidR="00EE4502" w:rsidRDefault="00FD45A3">
      <w:pPr>
        <w:spacing w:line="360" w:lineRule="auto"/>
        <w:ind w:firstLine="520"/>
        <w:rPr>
          <w:kern w:val="21"/>
          <w:sz w:val="24"/>
        </w:rPr>
      </w:pPr>
      <w:r>
        <w:rPr>
          <w:rFonts w:hint="eastAsia"/>
          <w:kern w:val="21"/>
          <w:sz w:val="24"/>
        </w:rPr>
        <w:t>区内地下水类型由地表至深部依次为潜水、多层承压水。地下水富水性较弱，地下水水质表现为潜水水质普遍较差，处于奎屯河冲积平原中深部的承压水水质较好，北部的北山冲积平原承压水水质较差。在水文地质分区上，地下水类型为单层结构的潜水、双层结构的潜水和承压—自流水。含水层岩性为亚砂、砂等，隔水层为粘土和亚粘土。</w:t>
      </w:r>
    </w:p>
    <w:p w:rsidR="00EE4502" w:rsidRDefault="00FD45A3">
      <w:pPr>
        <w:spacing w:line="360" w:lineRule="auto"/>
        <w:ind w:firstLine="520"/>
        <w:rPr>
          <w:kern w:val="21"/>
          <w:sz w:val="24"/>
        </w:rPr>
      </w:pPr>
      <w:r>
        <w:rPr>
          <w:rFonts w:hint="eastAsia"/>
          <w:kern w:val="21"/>
          <w:sz w:val="24"/>
        </w:rPr>
        <w:t>（</w:t>
      </w:r>
      <w:r>
        <w:rPr>
          <w:rFonts w:hint="eastAsia"/>
          <w:kern w:val="21"/>
          <w:sz w:val="24"/>
        </w:rPr>
        <w:t>2</w:t>
      </w:r>
      <w:r>
        <w:rPr>
          <w:rFonts w:hint="eastAsia"/>
          <w:kern w:val="21"/>
          <w:sz w:val="24"/>
        </w:rPr>
        <w:t>）地下水补径排条件</w:t>
      </w:r>
    </w:p>
    <w:p w:rsidR="00EE4502" w:rsidRDefault="00FD45A3">
      <w:pPr>
        <w:spacing w:line="360" w:lineRule="auto"/>
        <w:ind w:firstLine="520"/>
        <w:rPr>
          <w:kern w:val="21"/>
          <w:sz w:val="24"/>
        </w:rPr>
      </w:pPr>
      <w:r>
        <w:rPr>
          <w:rFonts w:hint="eastAsia"/>
          <w:kern w:val="21"/>
          <w:sz w:val="24"/>
        </w:rPr>
        <w:t>区内地下水的补给、径流与排泄受地形地貌、地层岩性、地质构造、水文</w:t>
      </w:r>
      <w:r>
        <w:rPr>
          <w:rFonts w:hint="eastAsia"/>
          <w:kern w:val="21"/>
          <w:sz w:val="24"/>
        </w:rPr>
        <w:lastRenderedPageBreak/>
        <w:t>和气象等因素的制约。从整个区域上看，山区是区内地下水的主要形成区及补给区，山前冲洪积倾斜平</w:t>
      </w:r>
      <w:r>
        <w:rPr>
          <w:rFonts w:hint="eastAsia"/>
          <w:kern w:val="21"/>
          <w:sz w:val="24"/>
        </w:rPr>
        <w:t>原是地下水的主要径流区，盆地或山间谷地沿河地带是地下水的主要排泄区。工程区内地下水接受山区的地下水补给后，在松散岩类的孔隙中大体由准噶尔盆地边缘向盆地腹部径流，流向大体为由西北向东南，在冲洪积扇前缘地带因受透水性差的黏性土层阻挡多以溢出泉的形式排泄与地表，或以侧向地下径流的形式继续向盆地中部细土平原区排泄，最终排泄</w:t>
      </w:r>
      <w:r>
        <w:rPr>
          <w:rFonts w:hint="eastAsia"/>
          <w:kern w:val="21"/>
          <w:sz w:val="24"/>
        </w:rPr>
        <w:t>于</w:t>
      </w:r>
      <w:r>
        <w:rPr>
          <w:rFonts w:hint="eastAsia"/>
          <w:kern w:val="21"/>
          <w:sz w:val="24"/>
        </w:rPr>
        <w:t>盆地最低处的内陆湖泊中。在地下水位埋深浅的地带，地下水通过土壤毛细管上升到地表，而后进入蒸发或者通过植物蒸腾进行排泄。</w:t>
      </w:r>
    </w:p>
    <w:p w:rsidR="00EE4502" w:rsidRDefault="00FD45A3">
      <w:pPr>
        <w:spacing w:line="360" w:lineRule="auto"/>
        <w:ind w:firstLine="520"/>
        <w:rPr>
          <w:kern w:val="21"/>
          <w:sz w:val="24"/>
        </w:rPr>
      </w:pPr>
      <w:r>
        <w:rPr>
          <w:rFonts w:hint="eastAsia"/>
          <w:kern w:val="21"/>
          <w:sz w:val="24"/>
        </w:rPr>
        <w:t>（</w:t>
      </w:r>
      <w:r>
        <w:rPr>
          <w:rFonts w:hint="eastAsia"/>
          <w:kern w:val="21"/>
          <w:sz w:val="24"/>
        </w:rPr>
        <w:t>3</w:t>
      </w:r>
      <w:r>
        <w:rPr>
          <w:rFonts w:hint="eastAsia"/>
          <w:kern w:val="21"/>
          <w:sz w:val="24"/>
        </w:rPr>
        <w:t>）地下水动态</w:t>
      </w:r>
    </w:p>
    <w:p w:rsidR="00EE4502" w:rsidRDefault="00FD45A3">
      <w:pPr>
        <w:spacing w:line="360" w:lineRule="auto"/>
        <w:ind w:firstLine="520"/>
        <w:rPr>
          <w:kern w:val="21"/>
          <w:sz w:val="24"/>
        </w:rPr>
      </w:pPr>
      <w:r>
        <w:rPr>
          <w:rFonts w:hint="eastAsia"/>
          <w:kern w:val="21"/>
          <w:sz w:val="24"/>
        </w:rPr>
        <w:t>平原区地下水动态的变化，除受气候条件中的降水入渗制约外，</w:t>
      </w:r>
      <w:r>
        <w:rPr>
          <w:rFonts w:hint="eastAsia"/>
          <w:kern w:val="21"/>
          <w:sz w:val="24"/>
        </w:rPr>
        <w:t>还受山区河流出山后大量入渗补给地下水，渠系引水和灌溉水入渗补给地下水、盆地中部地下水浅埋区强烈的蒸发浓缩和植物蒸腾以及人工开采地下水等诸多因素的影响。地下水动态的类型除渗入型外，还表现为水文型（即地下水动态变化受地表水影响明显，与地表水动态变化一致）、蒸发型（高温季节蒸发强烈时，地下水位下降，水质浓度变差；低温季节蒸发微弱时，地下水位上升，水质有所变好）和开采型（开采期间地下水位明显下降，非开采期地下水位上升）及其不同组合的混合类型</w:t>
      </w:r>
      <w:r>
        <w:rPr>
          <w:kern w:val="21"/>
          <w:sz w:val="24"/>
        </w:rPr>
        <w:t>。</w:t>
      </w:r>
    </w:p>
    <w:p w:rsidR="00EE4502" w:rsidRDefault="00FD45A3">
      <w:pPr>
        <w:pStyle w:val="41"/>
        <w:numPr>
          <w:ilvl w:val="3"/>
          <w:numId w:val="30"/>
        </w:numPr>
        <w:adjustRightInd/>
        <w:snapToGrid/>
        <w:spacing w:beforeLines="0" w:before="0" w:line="360" w:lineRule="auto"/>
        <w:rPr>
          <w:rFonts w:ascii="Times New Roman" w:eastAsia="宋体" w:hAnsi="Times New Roman"/>
          <w:bCs w:val="0"/>
          <w:kern w:val="21"/>
          <w:sz w:val="24"/>
          <w:szCs w:val="24"/>
        </w:rPr>
      </w:pPr>
      <w:r>
        <w:rPr>
          <w:rFonts w:ascii="Times New Roman" w:eastAsia="宋体" w:hAnsi="Times New Roman"/>
          <w:bCs w:val="0"/>
          <w:kern w:val="21"/>
          <w:sz w:val="24"/>
          <w:szCs w:val="24"/>
        </w:rPr>
        <w:t>评价区水文地质概况</w:t>
      </w:r>
    </w:p>
    <w:p w:rsidR="00EE4502" w:rsidRDefault="00FD45A3">
      <w:pPr>
        <w:spacing w:line="360" w:lineRule="auto"/>
        <w:ind w:firstLineChars="225" w:firstLine="540"/>
        <w:rPr>
          <w:kern w:val="21"/>
          <w:sz w:val="24"/>
          <w:szCs w:val="20"/>
        </w:rPr>
      </w:pPr>
      <w:r>
        <w:rPr>
          <w:kern w:val="21"/>
          <w:sz w:val="24"/>
          <w:szCs w:val="20"/>
        </w:rPr>
        <w:t>（</w:t>
      </w:r>
      <w:r>
        <w:rPr>
          <w:kern w:val="21"/>
          <w:sz w:val="24"/>
          <w:szCs w:val="20"/>
        </w:rPr>
        <w:t>1</w:t>
      </w:r>
      <w:r>
        <w:rPr>
          <w:kern w:val="21"/>
          <w:sz w:val="24"/>
          <w:szCs w:val="20"/>
        </w:rPr>
        <w:t>）地下水分布规律</w:t>
      </w:r>
    </w:p>
    <w:p w:rsidR="00EE4502" w:rsidRDefault="00FD45A3">
      <w:pPr>
        <w:spacing w:line="360" w:lineRule="auto"/>
        <w:ind w:firstLineChars="225" w:firstLine="540"/>
        <w:rPr>
          <w:kern w:val="21"/>
          <w:sz w:val="24"/>
          <w:szCs w:val="20"/>
        </w:rPr>
      </w:pPr>
      <w:r>
        <w:rPr>
          <w:kern w:val="21"/>
          <w:sz w:val="24"/>
          <w:szCs w:val="20"/>
        </w:rPr>
        <w:t>评价区位于冲积平原区，区内地下水的埋藏条件、径流条件及赋存条件在不同部位有不同的特征。总的规律是：纵向上，从西北到东南方向，地形坡度由陡变缓，含水岩组层次由少变多，地下水埋深由深变浅，径流条件由好变差，单位涌水量由小变大，再逐渐变小。</w:t>
      </w:r>
    </w:p>
    <w:p w:rsidR="00EE4502" w:rsidRDefault="00FD45A3">
      <w:pPr>
        <w:spacing w:line="360" w:lineRule="auto"/>
        <w:ind w:firstLineChars="225" w:firstLine="540"/>
        <w:rPr>
          <w:kern w:val="21"/>
          <w:sz w:val="24"/>
          <w:szCs w:val="20"/>
        </w:rPr>
      </w:pPr>
      <w:r>
        <w:rPr>
          <w:kern w:val="21"/>
          <w:sz w:val="24"/>
          <w:szCs w:val="20"/>
        </w:rPr>
        <w:t>（</w:t>
      </w:r>
      <w:r>
        <w:rPr>
          <w:kern w:val="21"/>
          <w:sz w:val="24"/>
          <w:szCs w:val="20"/>
        </w:rPr>
        <w:t>2</w:t>
      </w:r>
      <w:r>
        <w:rPr>
          <w:kern w:val="21"/>
          <w:sz w:val="24"/>
          <w:szCs w:val="20"/>
        </w:rPr>
        <w:t>）地下水类型及富水性</w:t>
      </w:r>
    </w:p>
    <w:p w:rsidR="00EE4502" w:rsidRDefault="00FD45A3">
      <w:pPr>
        <w:spacing w:line="360" w:lineRule="auto"/>
        <w:ind w:firstLineChars="225" w:firstLine="540"/>
        <w:rPr>
          <w:snapToGrid w:val="0"/>
          <w:kern w:val="21"/>
          <w:sz w:val="24"/>
          <w:szCs w:val="20"/>
        </w:rPr>
      </w:pPr>
      <w:r>
        <w:rPr>
          <w:kern w:val="21"/>
          <w:sz w:val="24"/>
          <w:szCs w:val="20"/>
        </w:rPr>
        <w:t>根据前人研究成果，评价区地下水类型按埋藏条件划分，分布有潜水和承压水以及风成沙中零星分布的孔隙水。</w:t>
      </w:r>
      <w:r>
        <w:rPr>
          <w:kern w:val="21"/>
          <w:sz w:val="24"/>
          <w:szCs w:val="20"/>
        </w:rPr>
        <w:t>评价区内</w:t>
      </w:r>
      <w:r>
        <w:rPr>
          <w:snapToGrid w:val="0"/>
          <w:kern w:val="21"/>
          <w:sz w:val="24"/>
          <w:szCs w:val="20"/>
        </w:rPr>
        <w:t>，地下水富水性西南部较东北部强。评价区内地下水为潜水水量中等区，单井涌水量</w:t>
      </w:r>
      <w:r>
        <w:rPr>
          <w:snapToGrid w:val="0"/>
          <w:kern w:val="21"/>
          <w:sz w:val="24"/>
          <w:szCs w:val="20"/>
        </w:rPr>
        <w:t>100-1000m³/d</w:t>
      </w:r>
      <w:r>
        <w:rPr>
          <w:snapToGrid w:val="0"/>
          <w:kern w:val="21"/>
          <w:sz w:val="24"/>
          <w:szCs w:val="20"/>
        </w:rPr>
        <w:t>，潜水位埋藏深度</w:t>
      </w:r>
      <w:r>
        <w:rPr>
          <w:snapToGrid w:val="0"/>
          <w:kern w:val="21"/>
          <w:sz w:val="24"/>
          <w:szCs w:val="20"/>
        </w:rPr>
        <w:t>10m~24m</w:t>
      </w:r>
      <w:r>
        <w:rPr>
          <w:snapToGrid w:val="0"/>
          <w:kern w:val="21"/>
          <w:sz w:val="24"/>
          <w:szCs w:val="20"/>
        </w:rPr>
        <w:t>，潜水含水层岩性为</w:t>
      </w:r>
      <w:r>
        <w:rPr>
          <w:snapToGrid w:val="0"/>
          <w:kern w:val="21"/>
          <w:sz w:val="24"/>
          <w:szCs w:val="20"/>
        </w:rPr>
        <w:t>细砂、粉细</w:t>
      </w:r>
      <w:r>
        <w:rPr>
          <w:snapToGrid w:val="0"/>
          <w:kern w:val="21"/>
          <w:sz w:val="24"/>
          <w:szCs w:val="20"/>
        </w:rPr>
        <w:t>砂</w:t>
      </w:r>
      <w:r>
        <w:rPr>
          <w:snapToGrid w:val="0"/>
          <w:kern w:val="21"/>
          <w:sz w:val="24"/>
          <w:szCs w:val="20"/>
        </w:rPr>
        <w:t>等</w:t>
      </w:r>
      <w:r>
        <w:rPr>
          <w:snapToGrid w:val="0"/>
          <w:kern w:val="21"/>
          <w:sz w:val="24"/>
          <w:szCs w:val="20"/>
        </w:rPr>
        <w:t>，隔水层为粘土和亚粘土，含水层</w:t>
      </w:r>
      <w:r>
        <w:rPr>
          <w:snapToGrid w:val="0"/>
          <w:kern w:val="21"/>
          <w:sz w:val="24"/>
          <w:szCs w:val="20"/>
        </w:rPr>
        <w:t>厚度</w:t>
      </w:r>
      <w:r>
        <w:rPr>
          <w:snapToGrid w:val="0"/>
          <w:kern w:val="21"/>
          <w:sz w:val="24"/>
          <w:szCs w:val="20"/>
        </w:rPr>
        <w:t>5m~15m</w:t>
      </w:r>
      <w:r>
        <w:rPr>
          <w:snapToGrid w:val="0"/>
          <w:kern w:val="21"/>
          <w:sz w:val="24"/>
          <w:szCs w:val="20"/>
        </w:rPr>
        <w:t>不等</w:t>
      </w:r>
      <w:r>
        <w:rPr>
          <w:snapToGrid w:val="0"/>
          <w:kern w:val="21"/>
          <w:sz w:val="24"/>
          <w:szCs w:val="20"/>
        </w:rPr>
        <w:t>；承压水水量中等，单井涌水量</w:t>
      </w:r>
      <w:r>
        <w:rPr>
          <w:snapToGrid w:val="0"/>
          <w:kern w:val="21"/>
          <w:sz w:val="24"/>
          <w:szCs w:val="20"/>
        </w:rPr>
        <w:t>100-1000m³/d</w:t>
      </w:r>
      <w:r>
        <w:rPr>
          <w:snapToGrid w:val="0"/>
          <w:kern w:val="21"/>
          <w:sz w:val="24"/>
          <w:szCs w:val="20"/>
        </w:rPr>
        <w:t>，顶板埋深为</w:t>
      </w:r>
      <w:r>
        <w:rPr>
          <w:snapToGrid w:val="0"/>
          <w:kern w:val="21"/>
          <w:sz w:val="24"/>
          <w:szCs w:val="20"/>
        </w:rPr>
        <w:t>38~50m</w:t>
      </w:r>
      <w:r>
        <w:rPr>
          <w:snapToGrid w:val="0"/>
          <w:kern w:val="21"/>
          <w:sz w:val="24"/>
          <w:szCs w:val="20"/>
        </w:rPr>
        <w:t>，主要承压含水层厚度</w:t>
      </w:r>
      <w:r>
        <w:rPr>
          <w:snapToGrid w:val="0"/>
          <w:kern w:val="21"/>
          <w:sz w:val="24"/>
          <w:szCs w:val="20"/>
        </w:rPr>
        <w:t>5m</w:t>
      </w:r>
      <w:r>
        <w:rPr>
          <w:snapToGrid w:val="0"/>
          <w:kern w:val="21"/>
          <w:sz w:val="24"/>
          <w:szCs w:val="20"/>
        </w:rPr>
        <w:t>~</w:t>
      </w:r>
      <w:r>
        <w:rPr>
          <w:snapToGrid w:val="0"/>
          <w:kern w:val="21"/>
          <w:sz w:val="24"/>
          <w:szCs w:val="20"/>
        </w:rPr>
        <w:t>30</w:t>
      </w:r>
      <w:r>
        <w:rPr>
          <w:snapToGrid w:val="0"/>
          <w:kern w:val="21"/>
          <w:sz w:val="24"/>
          <w:szCs w:val="20"/>
        </w:rPr>
        <w:t>m</w:t>
      </w:r>
      <w:r>
        <w:rPr>
          <w:snapToGrid w:val="0"/>
          <w:kern w:val="21"/>
          <w:sz w:val="24"/>
          <w:szCs w:val="20"/>
        </w:rPr>
        <w:t>不等</w:t>
      </w:r>
      <w:r>
        <w:rPr>
          <w:snapToGrid w:val="0"/>
          <w:kern w:val="21"/>
          <w:sz w:val="24"/>
          <w:szCs w:val="20"/>
        </w:rPr>
        <w:t>。根据区内</w:t>
      </w:r>
      <w:r>
        <w:rPr>
          <w:snapToGrid w:val="0"/>
          <w:kern w:val="21"/>
          <w:sz w:val="24"/>
          <w:szCs w:val="20"/>
        </w:rPr>
        <w:t>历史</w:t>
      </w:r>
      <w:r>
        <w:rPr>
          <w:snapToGrid w:val="0"/>
          <w:kern w:val="21"/>
          <w:sz w:val="24"/>
          <w:szCs w:val="20"/>
        </w:rPr>
        <w:t>钻孔资料，</w:t>
      </w:r>
      <w:r>
        <w:rPr>
          <w:kern w:val="21"/>
          <w:sz w:val="24"/>
          <w:szCs w:val="25"/>
        </w:rPr>
        <w:t>排</w:t>
      </w:r>
      <w:r>
        <w:rPr>
          <w:kern w:val="21"/>
          <w:sz w:val="24"/>
          <w:szCs w:val="25"/>
        </w:rPr>
        <w:lastRenderedPageBreak/>
        <w:t>61</w:t>
      </w:r>
      <w:r>
        <w:rPr>
          <w:kern w:val="21"/>
          <w:sz w:val="24"/>
          <w:szCs w:val="25"/>
        </w:rPr>
        <w:t>块</w:t>
      </w:r>
      <w:r>
        <w:rPr>
          <w:kern w:val="21"/>
          <w:sz w:val="24"/>
          <w:szCs w:val="25"/>
        </w:rPr>
        <w:t>附近的</w:t>
      </w:r>
      <w:r>
        <w:rPr>
          <w:kern w:val="21"/>
          <w:sz w:val="24"/>
          <w:szCs w:val="25"/>
        </w:rPr>
        <w:t>S83</w:t>
      </w:r>
      <w:r>
        <w:rPr>
          <w:kern w:val="21"/>
          <w:sz w:val="24"/>
          <w:szCs w:val="25"/>
        </w:rPr>
        <w:t>井，第四系</w:t>
      </w:r>
      <w:r>
        <w:rPr>
          <w:snapToGrid w:val="0"/>
          <w:kern w:val="21"/>
          <w:sz w:val="24"/>
          <w:szCs w:val="20"/>
        </w:rPr>
        <w:t>含水层</w:t>
      </w:r>
      <w:r>
        <w:rPr>
          <w:kern w:val="21"/>
          <w:sz w:val="24"/>
          <w:szCs w:val="25"/>
        </w:rPr>
        <w:t>岩性为粉细砂，潜水含水层</w:t>
      </w:r>
      <w:r>
        <w:rPr>
          <w:snapToGrid w:val="0"/>
          <w:kern w:val="21"/>
          <w:sz w:val="24"/>
          <w:szCs w:val="20"/>
        </w:rPr>
        <w:t>厚度</w:t>
      </w:r>
      <w:r>
        <w:rPr>
          <w:snapToGrid w:val="0"/>
          <w:kern w:val="21"/>
          <w:sz w:val="24"/>
          <w:szCs w:val="20"/>
        </w:rPr>
        <w:t>5.32m</w:t>
      </w:r>
      <w:r>
        <w:rPr>
          <w:snapToGrid w:val="0"/>
          <w:kern w:val="21"/>
          <w:sz w:val="24"/>
          <w:szCs w:val="20"/>
        </w:rPr>
        <w:t>，</w:t>
      </w:r>
      <w:r>
        <w:rPr>
          <w:kern w:val="21"/>
          <w:sz w:val="24"/>
          <w:szCs w:val="25"/>
        </w:rPr>
        <w:t>渗透系数为</w:t>
      </w:r>
      <w:r>
        <w:rPr>
          <w:kern w:val="21"/>
          <w:sz w:val="24"/>
          <w:szCs w:val="25"/>
        </w:rPr>
        <w:t>18.29m/d</w:t>
      </w:r>
      <w:r>
        <w:rPr>
          <w:kern w:val="21"/>
          <w:sz w:val="24"/>
          <w:szCs w:val="25"/>
        </w:rPr>
        <w:t>，</w:t>
      </w:r>
      <w:r>
        <w:rPr>
          <w:snapToGrid w:val="0"/>
          <w:kern w:val="21"/>
          <w:sz w:val="24"/>
          <w:szCs w:val="20"/>
        </w:rPr>
        <w:t>单井涌水量为</w:t>
      </w:r>
      <w:r>
        <w:rPr>
          <w:snapToGrid w:val="0"/>
          <w:kern w:val="21"/>
          <w:sz w:val="24"/>
          <w:szCs w:val="20"/>
        </w:rPr>
        <w:t>193.2</w:t>
      </w:r>
      <w:r>
        <w:rPr>
          <w:snapToGrid w:val="0"/>
          <w:kern w:val="21"/>
          <w:sz w:val="24"/>
          <w:szCs w:val="20"/>
        </w:rPr>
        <w:t>m³/</w:t>
      </w:r>
      <w:r>
        <w:rPr>
          <w:rFonts w:hint="eastAsia"/>
          <w:snapToGrid w:val="0"/>
          <w:kern w:val="21"/>
          <w:sz w:val="24"/>
          <w:szCs w:val="20"/>
        </w:rPr>
        <w:t>d</w:t>
      </w:r>
      <w:r>
        <w:rPr>
          <w:snapToGrid w:val="0"/>
          <w:kern w:val="21"/>
          <w:sz w:val="24"/>
          <w:szCs w:val="20"/>
        </w:rPr>
        <w:t>，</w:t>
      </w:r>
      <w:r>
        <w:rPr>
          <w:kern w:val="21"/>
          <w:sz w:val="24"/>
          <w:szCs w:val="25"/>
        </w:rPr>
        <w:t>承压含水层</w:t>
      </w:r>
      <w:r>
        <w:rPr>
          <w:snapToGrid w:val="0"/>
          <w:kern w:val="21"/>
          <w:sz w:val="24"/>
          <w:szCs w:val="20"/>
        </w:rPr>
        <w:t>厚度</w:t>
      </w:r>
      <w:r>
        <w:rPr>
          <w:snapToGrid w:val="0"/>
          <w:kern w:val="21"/>
          <w:sz w:val="24"/>
          <w:szCs w:val="20"/>
        </w:rPr>
        <w:t>4.82m</w:t>
      </w:r>
      <w:r>
        <w:rPr>
          <w:snapToGrid w:val="0"/>
          <w:kern w:val="21"/>
          <w:sz w:val="24"/>
          <w:szCs w:val="20"/>
        </w:rPr>
        <w:t>，</w:t>
      </w:r>
      <w:r>
        <w:rPr>
          <w:kern w:val="21"/>
          <w:sz w:val="24"/>
          <w:szCs w:val="25"/>
        </w:rPr>
        <w:t>渗透系数</w:t>
      </w:r>
      <w:r>
        <w:rPr>
          <w:kern w:val="21"/>
          <w:sz w:val="24"/>
          <w:szCs w:val="25"/>
        </w:rPr>
        <w:t>2.86m/d</w:t>
      </w:r>
      <w:r>
        <w:rPr>
          <w:kern w:val="21"/>
          <w:sz w:val="24"/>
          <w:szCs w:val="25"/>
        </w:rPr>
        <w:t>，</w:t>
      </w:r>
      <w:r>
        <w:rPr>
          <w:snapToGrid w:val="0"/>
          <w:kern w:val="21"/>
          <w:sz w:val="24"/>
          <w:szCs w:val="20"/>
        </w:rPr>
        <w:t>单井涌水量为</w:t>
      </w:r>
      <w:r>
        <w:rPr>
          <w:snapToGrid w:val="0"/>
          <w:kern w:val="21"/>
          <w:sz w:val="24"/>
          <w:szCs w:val="20"/>
        </w:rPr>
        <w:t>135.39</w:t>
      </w:r>
      <w:r>
        <w:rPr>
          <w:snapToGrid w:val="0"/>
          <w:kern w:val="21"/>
          <w:sz w:val="24"/>
          <w:szCs w:val="20"/>
        </w:rPr>
        <w:t>m³/d</w:t>
      </w:r>
      <w:r>
        <w:rPr>
          <w:snapToGrid w:val="0"/>
          <w:kern w:val="21"/>
          <w:sz w:val="24"/>
          <w:szCs w:val="20"/>
        </w:rPr>
        <w:t>；</w:t>
      </w:r>
      <w:r>
        <w:rPr>
          <w:kern w:val="21"/>
          <w:sz w:val="24"/>
          <w:szCs w:val="25"/>
        </w:rPr>
        <w:t>排</w:t>
      </w:r>
      <w:r>
        <w:rPr>
          <w:kern w:val="21"/>
          <w:sz w:val="24"/>
          <w:szCs w:val="25"/>
        </w:rPr>
        <w:t>61</w:t>
      </w:r>
      <w:r>
        <w:rPr>
          <w:kern w:val="21"/>
          <w:sz w:val="24"/>
          <w:szCs w:val="25"/>
        </w:rPr>
        <w:t>块</w:t>
      </w:r>
      <w:r>
        <w:rPr>
          <w:kern w:val="21"/>
          <w:sz w:val="24"/>
          <w:szCs w:val="25"/>
        </w:rPr>
        <w:t>西南部的</w:t>
      </w:r>
      <w:r>
        <w:rPr>
          <w:snapToGrid w:val="0"/>
          <w:kern w:val="21"/>
          <w:sz w:val="24"/>
          <w:szCs w:val="20"/>
        </w:rPr>
        <w:t>7</w:t>
      </w:r>
      <w:r>
        <w:rPr>
          <w:snapToGrid w:val="0"/>
          <w:kern w:val="21"/>
          <w:sz w:val="24"/>
          <w:szCs w:val="20"/>
        </w:rPr>
        <w:t>号井，井深</w:t>
      </w:r>
      <w:r>
        <w:rPr>
          <w:snapToGrid w:val="0"/>
          <w:kern w:val="21"/>
          <w:sz w:val="24"/>
          <w:szCs w:val="20"/>
        </w:rPr>
        <w:t>225.39m</w:t>
      </w:r>
      <w:r>
        <w:rPr>
          <w:snapToGrid w:val="0"/>
          <w:kern w:val="21"/>
          <w:sz w:val="24"/>
          <w:szCs w:val="20"/>
        </w:rPr>
        <w:t>，</w:t>
      </w:r>
      <w:r>
        <w:rPr>
          <w:snapToGrid w:val="0"/>
          <w:kern w:val="21"/>
          <w:sz w:val="24"/>
          <w:szCs w:val="20"/>
        </w:rPr>
        <w:t>含水层岩性为细砂，</w:t>
      </w:r>
      <w:r>
        <w:rPr>
          <w:snapToGrid w:val="0"/>
          <w:kern w:val="21"/>
          <w:sz w:val="24"/>
          <w:szCs w:val="20"/>
        </w:rPr>
        <w:t>承压含水层单井涌水量为</w:t>
      </w:r>
      <w:r>
        <w:rPr>
          <w:snapToGrid w:val="0"/>
          <w:kern w:val="21"/>
          <w:sz w:val="24"/>
          <w:szCs w:val="20"/>
        </w:rPr>
        <w:t>318.8m³/d</w:t>
      </w:r>
      <w:r>
        <w:rPr>
          <w:snapToGrid w:val="0"/>
          <w:kern w:val="21"/>
          <w:sz w:val="24"/>
          <w:szCs w:val="20"/>
        </w:rPr>
        <w:t>；</w:t>
      </w:r>
      <w:r>
        <w:rPr>
          <w:snapToGrid w:val="0"/>
          <w:kern w:val="21"/>
          <w:sz w:val="24"/>
          <w:szCs w:val="20"/>
        </w:rPr>
        <w:t>评价区南部的</w:t>
      </w:r>
      <w:r>
        <w:rPr>
          <w:snapToGrid w:val="0"/>
          <w:kern w:val="21"/>
          <w:sz w:val="24"/>
          <w:szCs w:val="20"/>
        </w:rPr>
        <w:t>S39</w:t>
      </w:r>
      <w:r>
        <w:rPr>
          <w:snapToGrid w:val="0"/>
          <w:kern w:val="21"/>
          <w:sz w:val="24"/>
          <w:szCs w:val="20"/>
        </w:rPr>
        <w:t>号井，</w:t>
      </w:r>
      <w:r>
        <w:rPr>
          <w:snapToGrid w:val="0"/>
          <w:kern w:val="21"/>
          <w:sz w:val="24"/>
          <w:szCs w:val="20"/>
        </w:rPr>
        <w:t>潜水含水层</w:t>
      </w:r>
      <w:r>
        <w:rPr>
          <w:snapToGrid w:val="0"/>
          <w:kern w:val="21"/>
          <w:sz w:val="24"/>
          <w:szCs w:val="20"/>
        </w:rPr>
        <w:t>岩性为粉砂，含水层厚度</w:t>
      </w:r>
      <w:r>
        <w:rPr>
          <w:snapToGrid w:val="0"/>
          <w:kern w:val="21"/>
          <w:sz w:val="24"/>
          <w:szCs w:val="20"/>
        </w:rPr>
        <w:t>14.99m</w:t>
      </w:r>
      <w:r>
        <w:rPr>
          <w:snapToGrid w:val="0"/>
          <w:kern w:val="21"/>
          <w:sz w:val="24"/>
          <w:szCs w:val="20"/>
        </w:rPr>
        <w:t>，</w:t>
      </w:r>
      <w:r>
        <w:rPr>
          <w:snapToGrid w:val="0"/>
          <w:kern w:val="21"/>
          <w:sz w:val="24"/>
          <w:szCs w:val="20"/>
        </w:rPr>
        <w:t>单井涌水量</w:t>
      </w:r>
      <w:r>
        <w:rPr>
          <w:snapToGrid w:val="0"/>
          <w:kern w:val="21"/>
          <w:sz w:val="24"/>
          <w:szCs w:val="20"/>
        </w:rPr>
        <w:t>153.02</w:t>
      </w:r>
      <w:r>
        <w:rPr>
          <w:snapToGrid w:val="0"/>
          <w:kern w:val="21"/>
          <w:sz w:val="24"/>
          <w:szCs w:val="20"/>
        </w:rPr>
        <w:t>m³/d</w:t>
      </w:r>
      <w:r>
        <w:rPr>
          <w:snapToGrid w:val="0"/>
          <w:kern w:val="21"/>
          <w:sz w:val="24"/>
          <w:szCs w:val="20"/>
        </w:rPr>
        <w:t>，</w:t>
      </w:r>
      <w:r>
        <w:rPr>
          <w:snapToGrid w:val="0"/>
          <w:kern w:val="21"/>
          <w:sz w:val="24"/>
          <w:szCs w:val="20"/>
        </w:rPr>
        <w:t>渗透系数</w:t>
      </w:r>
      <w:r>
        <w:rPr>
          <w:snapToGrid w:val="0"/>
          <w:kern w:val="21"/>
          <w:sz w:val="24"/>
          <w:szCs w:val="20"/>
        </w:rPr>
        <w:t>2.462m/d</w:t>
      </w:r>
      <w:r>
        <w:rPr>
          <w:snapToGrid w:val="0"/>
          <w:kern w:val="21"/>
          <w:sz w:val="24"/>
          <w:szCs w:val="20"/>
        </w:rPr>
        <w:t>；承压含水层</w:t>
      </w:r>
      <w:r>
        <w:rPr>
          <w:snapToGrid w:val="0"/>
          <w:kern w:val="21"/>
          <w:sz w:val="24"/>
          <w:szCs w:val="20"/>
        </w:rPr>
        <w:t>岩性为细砂，含水层厚度</w:t>
      </w:r>
      <w:r>
        <w:rPr>
          <w:snapToGrid w:val="0"/>
          <w:kern w:val="21"/>
          <w:sz w:val="24"/>
          <w:szCs w:val="20"/>
        </w:rPr>
        <w:t>29.86m</w:t>
      </w:r>
      <w:r>
        <w:rPr>
          <w:snapToGrid w:val="0"/>
          <w:kern w:val="21"/>
          <w:sz w:val="24"/>
          <w:szCs w:val="20"/>
        </w:rPr>
        <w:t>，</w:t>
      </w:r>
      <w:r>
        <w:rPr>
          <w:snapToGrid w:val="0"/>
          <w:kern w:val="21"/>
          <w:sz w:val="24"/>
          <w:szCs w:val="20"/>
        </w:rPr>
        <w:t>单井涌水量为</w:t>
      </w:r>
      <w:r>
        <w:rPr>
          <w:snapToGrid w:val="0"/>
          <w:kern w:val="21"/>
          <w:sz w:val="24"/>
          <w:szCs w:val="20"/>
        </w:rPr>
        <w:t>705.10</w:t>
      </w:r>
      <w:r>
        <w:rPr>
          <w:snapToGrid w:val="0"/>
          <w:kern w:val="21"/>
          <w:sz w:val="24"/>
          <w:szCs w:val="20"/>
        </w:rPr>
        <w:t>m³/d</w:t>
      </w:r>
      <w:r>
        <w:rPr>
          <w:snapToGrid w:val="0"/>
          <w:kern w:val="21"/>
          <w:sz w:val="24"/>
          <w:szCs w:val="20"/>
        </w:rPr>
        <w:t>，</w:t>
      </w:r>
      <w:r>
        <w:rPr>
          <w:snapToGrid w:val="0"/>
          <w:kern w:val="21"/>
          <w:sz w:val="24"/>
          <w:szCs w:val="20"/>
        </w:rPr>
        <w:t>渗透系数</w:t>
      </w:r>
      <w:r>
        <w:rPr>
          <w:snapToGrid w:val="0"/>
          <w:kern w:val="21"/>
          <w:sz w:val="24"/>
          <w:szCs w:val="20"/>
        </w:rPr>
        <w:t>1.387m/d</w:t>
      </w:r>
      <w:r>
        <w:rPr>
          <w:snapToGrid w:val="0"/>
          <w:kern w:val="21"/>
          <w:sz w:val="24"/>
          <w:szCs w:val="20"/>
        </w:rPr>
        <w:t>。</w:t>
      </w:r>
    </w:p>
    <w:p w:rsidR="00EE4502" w:rsidRDefault="00FD45A3">
      <w:pPr>
        <w:widowControl/>
        <w:spacing w:line="360" w:lineRule="auto"/>
        <w:ind w:firstLineChars="200" w:firstLine="480"/>
        <w:rPr>
          <w:spacing w:val="5"/>
          <w:kern w:val="0"/>
          <w:sz w:val="24"/>
        </w:rPr>
      </w:pPr>
      <w:r>
        <w:rPr>
          <w:kern w:val="21"/>
          <w:sz w:val="24"/>
        </w:rPr>
        <w:t>评价区</w:t>
      </w:r>
      <w:r>
        <w:rPr>
          <w:kern w:val="21"/>
          <w:sz w:val="24"/>
        </w:rPr>
        <w:t>水文地质图见图</w:t>
      </w:r>
      <w:r>
        <w:rPr>
          <w:kern w:val="21"/>
          <w:sz w:val="24"/>
        </w:rPr>
        <w:t>5.</w:t>
      </w:r>
      <w:r>
        <w:rPr>
          <w:kern w:val="21"/>
          <w:sz w:val="24"/>
        </w:rPr>
        <w:t>2</w:t>
      </w:r>
      <w:r>
        <w:rPr>
          <w:kern w:val="21"/>
          <w:sz w:val="24"/>
        </w:rPr>
        <w:t>-1</w:t>
      </w:r>
      <w:r>
        <w:rPr>
          <w:kern w:val="21"/>
          <w:sz w:val="24"/>
        </w:rPr>
        <w:t>，</w:t>
      </w:r>
      <w:r>
        <w:rPr>
          <w:kern w:val="21"/>
          <w:sz w:val="24"/>
        </w:rPr>
        <w:t>水文地质剖面图见图</w:t>
      </w:r>
      <w:r>
        <w:rPr>
          <w:kern w:val="21"/>
          <w:sz w:val="24"/>
        </w:rPr>
        <w:t>5.2-2</w:t>
      </w:r>
      <w:r>
        <w:rPr>
          <w:kern w:val="21"/>
          <w:sz w:val="24"/>
        </w:rPr>
        <w:t>。</w:t>
      </w:r>
    </w:p>
    <w:p w:rsidR="00EE4502" w:rsidRDefault="00FD45A3">
      <w:pPr>
        <w:widowControl/>
        <w:spacing w:line="360" w:lineRule="auto"/>
        <w:ind w:firstLineChars="225" w:firstLine="540"/>
        <w:jc w:val="left"/>
        <w:rPr>
          <w:snapToGrid w:val="0"/>
          <w:kern w:val="21"/>
          <w:sz w:val="24"/>
        </w:rPr>
      </w:pPr>
      <w:r>
        <w:rPr>
          <w:snapToGrid w:val="0"/>
          <w:kern w:val="21"/>
          <w:sz w:val="24"/>
        </w:rPr>
        <w:t>（</w:t>
      </w:r>
      <w:r>
        <w:rPr>
          <w:snapToGrid w:val="0"/>
          <w:kern w:val="21"/>
          <w:sz w:val="24"/>
        </w:rPr>
        <w:t>3</w:t>
      </w:r>
      <w:r>
        <w:rPr>
          <w:snapToGrid w:val="0"/>
          <w:kern w:val="21"/>
          <w:sz w:val="24"/>
        </w:rPr>
        <w:t>）地下水补给、径流、排泄条件</w:t>
      </w:r>
    </w:p>
    <w:p w:rsidR="00EE4502" w:rsidRDefault="00FD45A3">
      <w:pPr>
        <w:widowControl/>
        <w:spacing w:line="360" w:lineRule="auto"/>
        <w:ind w:firstLineChars="225" w:firstLine="540"/>
        <w:jc w:val="left"/>
        <w:rPr>
          <w:snapToGrid w:val="0"/>
          <w:kern w:val="21"/>
          <w:sz w:val="24"/>
        </w:rPr>
      </w:pPr>
      <w:r>
        <w:rPr>
          <w:snapToGrid w:val="0"/>
          <w:kern w:val="21"/>
          <w:sz w:val="24"/>
        </w:rPr>
        <w:t>山区在接受大气降水直接渗入补给后，形成地下水，在其强烈的构造断裂、节理、裂隙的控制下，径流、赋存、运移。其中一部分在山区强烈侵蚀切割的沟谷中形成泉水出露，汇入河流以地表径流的方式排泄出山；一部分形成地下潜流，通过沟谷河床的松散堆积物、构造断裂、节理、裂隙</w:t>
      </w:r>
      <w:r>
        <w:rPr>
          <w:rFonts w:hint="eastAsia"/>
          <w:snapToGrid w:val="0"/>
          <w:kern w:val="21"/>
          <w:sz w:val="24"/>
        </w:rPr>
        <w:t>破碎带</w:t>
      </w:r>
      <w:r>
        <w:rPr>
          <w:snapToGrid w:val="0"/>
          <w:kern w:val="21"/>
          <w:sz w:val="24"/>
        </w:rPr>
        <w:t>、发育裂隙孔隙的碎屑岩层，以侧向地下水</w:t>
      </w:r>
      <w:r>
        <w:rPr>
          <w:rFonts w:hint="eastAsia"/>
          <w:snapToGrid w:val="0"/>
          <w:kern w:val="21"/>
          <w:sz w:val="24"/>
        </w:rPr>
        <w:t>径流</w:t>
      </w:r>
      <w:r>
        <w:rPr>
          <w:snapToGrid w:val="0"/>
          <w:kern w:val="21"/>
          <w:sz w:val="24"/>
        </w:rPr>
        <w:t>的方式，向南部山前倾斜平层排泄；而另一部分则通过地表蒸发、植物蒸腾，以垂向的方式排泄回到大气中。尔后，北部山区来的水首先进入评价区的上部，故在该帯，山区地下水以潜流的形式向后缘深藏</w:t>
      </w:r>
      <w:r>
        <w:rPr>
          <w:rFonts w:hint="eastAsia"/>
          <w:snapToGrid w:val="0"/>
          <w:kern w:val="21"/>
          <w:sz w:val="24"/>
        </w:rPr>
        <w:t>带向西部</w:t>
      </w:r>
      <w:r>
        <w:rPr>
          <w:snapToGrid w:val="0"/>
          <w:kern w:val="21"/>
          <w:sz w:val="24"/>
        </w:rPr>
        <w:t>浅藏带径流；地表水则在</w:t>
      </w:r>
      <w:r>
        <w:rPr>
          <w:snapToGrid w:val="0"/>
          <w:kern w:val="21"/>
          <w:sz w:val="24"/>
        </w:rPr>
        <w:t>运移过程中大量渗入补给地下水，一般在平水或枯水期，包古图河在此带除蒸发、植物蒸腾外全部渗失，由于该带第四系含水层和新近系含水层岩性主要为砂砾石层和砂砾岩，孔隙大，渗透强烈，并且其层间隔水层较薄，不稳定，加之该倾斜平原缺乏聚水条件，因此便成为该区地下水径流区。</w:t>
      </w:r>
    </w:p>
    <w:p w:rsidR="00EE4502" w:rsidRDefault="00FD45A3">
      <w:pPr>
        <w:widowControl/>
        <w:spacing w:line="360" w:lineRule="auto"/>
        <w:ind w:firstLineChars="225" w:firstLine="540"/>
        <w:jc w:val="left"/>
        <w:rPr>
          <w:snapToGrid w:val="0"/>
          <w:kern w:val="21"/>
          <w:sz w:val="24"/>
        </w:rPr>
      </w:pPr>
      <w:r>
        <w:rPr>
          <w:snapToGrid w:val="0"/>
          <w:kern w:val="21"/>
          <w:sz w:val="24"/>
        </w:rPr>
        <w:t>在山前倾斜平原下部前缘带，第四系、新近系沉积物渐细，含水层变为双层或多层结构，隔水层厚度变大，且逐渐趋于稳定，</w:t>
      </w:r>
      <w:r>
        <w:rPr>
          <w:snapToGrid w:val="0"/>
          <w:kern w:val="21"/>
          <w:sz w:val="24"/>
        </w:rPr>
        <w:t>评价区水力坡度</w:t>
      </w:r>
      <w:r>
        <w:rPr>
          <w:snapToGrid w:val="0"/>
          <w:kern w:val="21"/>
          <w:sz w:val="24"/>
        </w:rPr>
        <w:t>2‰</w:t>
      </w:r>
      <w:r>
        <w:rPr>
          <w:snapToGrid w:val="0"/>
          <w:kern w:val="21"/>
          <w:sz w:val="24"/>
        </w:rPr>
        <w:t>，</w:t>
      </w:r>
      <w:r>
        <w:rPr>
          <w:snapToGrid w:val="0"/>
          <w:kern w:val="21"/>
          <w:sz w:val="24"/>
        </w:rPr>
        <w:t>上游地下水运移到该带，沿含水层孔隙继续向下游运移至南部沙漠边缘带，主要排泄途径则为垂直蒸发、植物蒸腾及侧向排泄</w:t>
      </w:r>
      <w:r>
        <w:rPr>
          <w:snapToGrid w:val="0"/>
          <w:kern w:val="21"/>
          <w:sz w:val="24"/>
        </w:rPr>
        <w:t>、</w:t>
      </w:r>
      <w:r>
        <w:rPr>
          <w:snapToGrid w:val="0"/>
          <w:kern w:val="21"/>
          <w:sz w:val="24"/>
        </w:rPr>
        <w:t>人工开采</w:t>
      </w:r>
      <w:r>
        <w:rPr>
          <w:snapToGrid w:val="0"/>
          <w:kern w:val="21"/>
          <w:sz w:val="24"/>
        </w:rPr>
        <w:t>。</w:t>
      </w:r>
    </w:p>
    <w:p w:rsidR="00EE4502" w:rsidRDefault="00FD45A3">
      <w:pPr>
        <w:widowControl/>
        <w:spacing w:line="360" w:lineRule="auto"/>
        <w:ind w:firstLineChars="225" w:firstLine="540"/>
        <w:jc w:val="left"/>
        <w:rPr>
          <w:snapToGrid w:val="0"/>
          <w:kern w:val="21"/>
          <w:sz w:val="24"/>
        </w:rPr>
      </w:pPr>
      <w:r>
        <w:rPr>
          <w:snapToGrid w:val="0"/>
          <w:kern w:val="21"/>
          <w:sz w:val="24"/>
        </w:rPr>
        <w:t>（</w:t>
      </w:r>
      <w:r>
        <w:rPr>
          <w:snapToGrid w:val="0"/>
          <w:kern w:val="21"/>
          <w:sz w:val="24"/>
        </w:rPr>
        <w:t>4</w:t>
      </w:r>
      <w:r>
        <w:rPr>
          <w:snapToGrid w:val="0"/>
          <w:kern w:val="21"/>
          <w:sz w:val="24"/>
        </w:rPr>
        <w:t>）地下水</w:t>
      </w:r>
      <w:r>
        <w:rPr>
          <w:snapToGrid w:val="0"/>
          <w:kern w:val="21"/>
          <w:sz w:val="24"/>
        </w:rPr>
        <w:t>动态特征</w:t>
      </w:r>
    </w:p>
    <w:p w:rsidR="00EE4502" w:rsidRDefault="00FD45A3">
      <w:pPr>
        <w:widowControl/>
        <w:spacing w:line="360" w:lineRule="auto"/>
        <w:ind w:firstLineChars="225" w:firstLine="540"/>
        <w:jc w:val="left"/>
        <w:rPr>
          <w:snapToGrid w:val="0"/>
          <w:kern w:val="21"/>
          <w:sz w:val="24"/>
        </w:rPr>
      </w:pPr>
      <w:r>
        <w:rPr>
          <w:snapToGrid w:val="0"/>
          <w:kern w:val="21"/>
          <w:sz w:val="24"/>
        </w:rPr>
        <w:t>根据区内调查资料，评价区地下水动态类型为径流</w:t>
      </w:r>
      <w:r>
        <w:rPr>
          <w:snapToGrid w:val="0"/>
          <w:kern w:val="21"/>
          <w:sz w:val="24"/>
        </w:rPr>
        <w:t>-</w:t>
      </w:r>
      <w:r>
        <w:rPr>
          <w:snapToGrid w:val="0"/>
          <w:kern w:val="21"/>
          <w:sz w:val="24"/>
        </w:rPr>
        <w:t>开采型。其水位动态影响因素主要是径流、人工开采。该区的主要补给源为上游径流，排泄则以人工开采为主。地下水水位动态主要受开采强度的影响，夏季</w:t>
      </w:r>
      <w:r>
        <w:rPr>
          <w:snapToGrid w:val="0"/>
          <w:kern w:val="21"/>
          <w:sz w:val="24"/>
        </w:rPr>
        <w:t>6-9</w:t>
      </w:r>
      <w:r>
        <w:rPr>
          <w:snapToGrid w:val="0"/>
          <w:kern w:val="21"/>
          <w:sz w:val="24"/>
        </w:rPr>
        <w:t>月份，随着用水高峰的来临，开采量增大，水位降低，之后随着开采量的减少，水位又得以恢复。低</w:t>
      </w:r>
      <w:r>
        <w:rPr>
          <w:snapToGrid w:val="0"/>
          <w:kern w:val="21"/>
          <w:sz w:val="24"/>
        </w:rPr>
        <w:lastRenderedPageBreak/>
        <w:t>水位期出现在</w:t>
      </w:r>
      <w:r>
        <w:rPr>
          <w:snapToGrid w:val="0"/>
          <w:kern w:val="21"/>
          <w:sz w:val="24"/>
        </w:rPr>
        <w:t>6-9</w:t>
      </w:r>
      <w:r>
        <w:rPr>
          <w:snapToGrid w:val="0"/>
          <w:kern w:val="21"/>
          <w:sz w:val="24"/>
        </w:rPr>
        <w:t>月份，高水位期出现在翌年</w:t>
      </w:r>
      <w:r>
        <w:rPr>
          <w:snapToGrid w:val="0"/>
          <w:kern w:val="21"/>
          <w:sz w:val="24"/>
        </w:rPr>
        <w:t>2-3</w:t>
      </w:r>
      <w:r>
        <w:rPr>
          <w:snapToGrid w:val="0"/>
          <w:kern w:val="21"/>
          <w:sz w:val="24"/>
        </w:rPr>
        <w:t>月份。动态曲线类型呈单谷、双谷或多谷型，水位年变幅</w:t>
      </w:r>
      <w:r>
        <w:rPr>
          <w:snapToGrid w:val="0"/>
          <w:kern w:val="21"/>
          <w:sz w:val="24"/>
        </w:rPr>
        <w:t>2-10m</w:t>
      </w:r>
      <w:r>
        <w:rPr>
          <w:snapToGrid w:val="0"/>
          <w:kern w:val="21"/>
          <w:sz w:val="24"/>
        </w:rPr>
        <w:t>。</w:t>
      </w:r>
    </w:p>
    <w:p w:rsidR="00EE4502" w:rsidRDefault="00FD45A3">
      <w:pPr>
        <w:widowControl/>
        <w:spacing w:line="360" w:lineRule="auto"/>
        <w:ind w:firstLineChars="225" w:firstLine="540"/>
        <w:jc w:val="left"/>
        <w:rPr>
          <w:snapToGrid w:val="0"/>
          <w:kern w:val="21"/>
          <w:sz w:val="24"/>
        </w:rPr>
      </w:pPr>
      <w:r>
        <w:rPr>
          <w:snapToGrid w:val="0"/>
          <w:kern w:val="21"/>
          <w:sz w:val="24"/>
        </w:rPr>
        <w:t>（</w:t>
      </w:r>
      <w:r>
        <w:rPr>
          <w:snapToGrid w:val="0"/>
          <w:kern w:val="21"/>
          <w:sz w:val="24"/>
        </w:rPr>
        <w:t>5</w:t>
      </w:r>
      <w:r>
        <w:rPr>
          <w:snapToGrid w:val="0"/>
          <w:kern w:val="21"/>
          <w:sz w:val="24"/>
        </w:rPr>
        <w:t>）地下水化学特征</w:t>
      </w:r>
    </w:p>
    <w:p w:rsidR="00EE4502" w:rsidRDefault="00FD45A3">
      <w:pPr>
        <w:widowControl/>
        <w:spacing w:line="360" w:lineRule="auto"/>
        <w:ind w:firstLineChars="225" w:firstLine="540"/>
        <w:jc w:val="left"/>
        <w:rPr>
          <w:snapToGrid w:val="0"/>
          <w:kern w:val="21"/>
          <w:sz w:val="24"/>
        </w:rPr>
      </w:pPr>
      <w:r>
        <w:rPr>
          <w:snapToGrid w:val="0"/>
          <w:kern w:val="21"/>
          <w:sz w:val="24"/>
        </w:rPr>
        <w:t>工程区位于冲积平原区，地势平缓，岩性颗粒细，径流条件差，潜水埋藏相对较浅，</w:t>
      </w:r>
      <w:r>
        <w:rPr>
          <w:snapToGrid w:val="0"/>
          <w:kern w:val="21"/>
          <w:sz w:val="24"/>
        </w:rPr>
        <w:t>当</w:t>
      </w:r>
      <w:r>
        <w:rPr>
          <w:snapToGrid w:val="0"/>
          <w:kern w:val="21"/>
          <w:sz w:val="24"/>
        </w:rPr>
        <w:t>地下水蒸发浓缩作用</w:t>
      </w:r>
      <w:r>
        <w:rPr>
          <w:snapToGrid w:val="0"/>
          <w:kern w:val="21"/>
          <w:sz w:val="24"/>
        </w:rPr>
        <w:t>增</w:t>
      </w:r>
      <w:r>
        <w:rPr>
          <w:snapToGrid w:val="0"/>
          <w:kern w:val="21"/>
          <w:sz w:val="24"/>
        </w:rPr>
        <w:t>强，氯化钠含量</w:t>
      </w:r>
      <w:r>
        <w:rPr>
          <w:snapToGrid w:val="0"/>
          <w:kern w:val="21"/>
          <w:sz w:val="24"/>
        </w:rPr>
        <w:t>增</w:t>
      </w:r>
      <w:r>
        <w:rPr>
          <w:snapToGrid w:val="0"/>
          <w:kern w:val="21"/>
          <w:sz w:val="24"/>
        </w:rPr>
        <w:t>高，在地下水处于滞留状态温度不断</w:t>
      </w:r>
      <w:r>
        <w:rPr>
          <w:rFonts w:hint="eastAsia"/>
          <w:snapToGrid w:val="0"/>
          <w:kern w:val="21"/>
          <w:sz w:val="24"/>
        </w:rPr>
        <w:t>增高</w:t>
      </w:r>
      <w:r>
        <w:rPr>
          <w:snapToGrid w:val="0"/>
          <w:kern w:val="21"/>
          <w:sz w:val="24"/>
        </w:rPr>
        <w:t>的情况下，产生脱碳酸作用，使水中</w:t>
      </w:r>
      <w:r>
        <w:rPr>
          <w:snapToGrid w:val="0"/>
          <w:kern w:val="21"/>
          <w:sz w:val="24"/>
        </w:rPr>
        <w:t>SO</w:t>
      </w:r>
      <w:r>
        <w:rPr>
          <w:snapToGrid w:val="0"/>
          <w:kern w:val="21"/>
          <w:sz w:val="24"/>
          <w:vertAlign w:val="subscript"/>
        </w:rPr>
        <w:t>4</w:t>
      </w:r>
      <w:r>
        <w:rPr>
          <w:snapToGrid w:val="0"/>
          <w:kern w:val="21"/>
          <w:sz w:val="24"/>
          <w:vertAlign w:val="superscript"/>
        </w:rPr>
        <w:t>2-</w:t>
      </w:r>
      <w:r>
        <w:rPr>
          <w:snapToGrid w:val="0"/>
          <w:kern w:val="21"/>
          <w:sz w:val="24"/>
        </w:rPr>
        <w:t>相应</w:t>
      </w:r>
      <w:r>
        <w:rPr>
          <w:rFonts w:hint="eastAsia"/>
          <w:snapToGrid w:val="0"/>
          <w:kern w:val="21"/>
          <w:sz w:val="24"/>
        </w:rPr>
        <w:t>增加</w:t>
      </w:r>
      <w:r>
        <w:rPr>
          <w:snapToGrid w:val="0"/>
          <w:kern w:val="21"/>
          <w:sz w:val="24"/>
        </w:rPr>
        <w:t>，</w:t>
      </w:r>
      <w:r>
        <w:rPr>
          <w:snapToGrid w:val="0"/>
          <w:kern w:val="21"/>
          <w:sz w:val="24"/>
        </w:rPr>
        <w:t>矿化度小于</w:t>
      </w:r>
      <w:r>
        <w:rPr>
          <w:snapToGrid w:val="0"/>
          <w:kern w:val="21"/>
          <w:sz w:val="24"/>
        </w:rPr>
        <w:t>1g/L</w:t>
      </w:r>
      <w:r>
        <w:rPr>
          <w:snapToGrid w:val="0"/>
          <w:kern w:val="21"/>
          <w:sz w:val="24"/>
        </w:rPr>
        <w:t>，</w:t>
      </w:r>
      <w:r>
        <w:rPr>
          <w:snapToGrid w:val="0"/>
          <w:kern w:val="21"/>
          <w:sz w:val="24"/>
        </w:rPr>
        <w:t>水化学类型主要</w:t>
      </w:r>
      <w:r>
        <w:rPr>
          <w:snapToGrid w:val="0"/>
          <w:kern w:val="21"/>
          <w:sz w:val="24"/>
        </w:rPr>
        <w:t>SO</w:t>
      </w:r>
      <w:r>
        <w:rPr>
          <w:snapToGrid w:val="0"/>
          <w:kern w:val="21"/>
          <w:sz w:val="24"/>
          <w:vertAlign w:val="subscript"/>
        </w:rPr>
        <w:t>4</w:t>
      </w:r>
      <w:r>
        <w:rPr>
          <w:snapToGrid w:val="0"/>
          <w:kern w:val="21"/>
          <w:sz w:val="24"/>
          <w:vertAlign w:val="superscript"/>
        </w:rPr>
        <w:t>2-</w:t>
      </w:r>
      <w:r>
        <w:rPr>
          <w:snapToGrid w:val="0"/>
          <w:kern w:val="21"/>
          <w:sz w:val="24"/>
        </w:rPr>
        <w:t>·</w:t>
      </w:r>
      <w:r>
        <w:rPr>
          <w:snapToGrid w:val="0"/>
          <w:kern w:val="21"/>
          <w:sz w:val="24"/>
        </w:rPr>
        <w:t>Cl</w:t>
      </w:r>
      <w:r>
        <w:rPr>
          <w:snapToGrid w:val="0"/>
          <w:kern w:val="21"/>
          <w:sz w:val="24"/>
          <w:vertAlign w:val="superscript"/>
        </w:rPr>
        <w:t>-</w:t>
      </w:r>
      <w:r>
        <w:rPr>
          <w:snapToGrid w:val="0"/>
          <w:kern w:val="21"/>
          <w:sz w:val="24"/>
        </w:rPr>
        <w:t>-Na</w:t>
      </w:r>
      <w:r>
        <w:rPr>
          <w:snapToGrid w:val="0"/>
          <w:kern w:val="21"/>
          <w:sz w:val="24"/>
          <w:vertAlign w:val="superscript"/>
        </w:rPr>
        <w:t>+</w:t>
      </w:r>
      <w:r>
        <w:rPr>
          <w:snapToGrid w:val="0"/>
          <w:kern w:val="21"/>
          <w:sz w:val="24"/>
        </w:rPr>
        <w:t>·</w:t>
      </w:r>
      <w:r>
        <w:rPr>
          <w:snapToGrid w:val="0"/>
          <w:kern w:val="21"/>
          <w:sz w:val="24"/>
        </w:rPr>
        <w:t>Ca</w:t>
      </w:r>
      <w:r>
        <w:rPr>
          <w:snapToGrid w:val="0"/>
          <w:kern w:val="21"/>
          <w:sz w:val="24"/>
          <w:vertAlign w:val="superscript"/>
        </w:rPr>
        <w:t>2+</w:t>
      </w:r>
      <w:r>
        <w:rPr>
          <w:snapToGrid w:val="0"/>
          <w:kern w:val="21"/>
          <w:sz w:val="24"/>
        </w:rPr>
        <w:t>型，向</w:t>
      </w:r>
      <w:r>
        <w:rPr>
          <w:snapToGrid w:val="0"/>
          <w:kern w:val="21"/>
          <w:sz w:val="24"/>
        </w:rPr>
        <w:t>Cl</w:t>
      </w:r>
      <w:r>
        <w:rPr>
          <w:snapToGrid w:val="0"/>
          <w:kern w:val="21"/>
          <w:sz w:val="24"/>
          <w:vertAlign w:val="superscript"/>
        </w:rPr>
        <w:noBreakHyphen/>
      </w:r>
      <w:r>
        <w:rPr>
          <w:snapToGrid w:val="0"/>
          <w:kern w:val="21"/>
          <w:sz w:val="24"/>
        </w:rPr>
        <w:t>·</w:t>
      </w:r>
      <w:r>
        <w:rPr>
          <w:snapToGrid w:val="0"/>
          <w:kern w:val="21"/>
          <w:sz w:val="24"/>
        </w:rPr>
        <w:t>SO</w:t>
      </w:r>
      <w:r>
        <w:rPr>
          <w:snapToGrid w:val="0"/>
          <w:kern w:val="21"/>
          <w:sz w:val="24"/>
          <w:vertAlign w:val="subscript"/>
        </w:rPr>
        <w:t>4</w:t>
      </w:r>
      <w:r>
        <w:rPr>
          <w:snapToGrid w:val="0"/>
          <w:kern w:val="21"/>
          <w:sz w:val="24"/>
          <w:vertAlign w:val="superscript"/>
        </w:rPr>
        <w:t>2-</w:t>
      </w:r>
      <w:r>
        <w:rPr>
          <w:snapToGrid w:val="0"/>
          <w:kern w:val="21"/>
          <w:sz w:val="24"/>
        </w:rPr>
        <w:t>-Na</w:t>
      </w:r>
      <w:r>
        <w:rPr>
          <w:snapToGrid w:val="0"/>
          <w:kern w:val="21"/>
          <w:sz w:val="24"/>
          <w:vertAlign w:val="superscript"/>
        </w:rPr>
        <w:t>+</w:t>
      </w:r>
      <w:r>
        <w:rPr>
          <w:snapToGrid w:val="0"/>
          <w:kern w:val="21"/>
          <w:sz w:val="24"/>
        </w:rPr>
        <w:t>和</w:t>
      </w:r>
      <w:r>
        <w:rPr>
          <w:snapToGrid w:val="0"/>
          <w:kern w:val="21"/>
          <w:sz w:val="24"/>
        </w:rPr>
        <w:t>Cl</w:t>
      </w:r>
      <w:r>
        <w:rPr>
          <w:snapToGrid w:val="0"/>
          <w:kern w:val="21"/>
          <w:sz w:val="24"/>
          <w:vertAlign w:val="superscript"/>
        </w:rPr>
        <w:t>-</w:t>
      </w:r>
      <w:r>
        <w:rPr>
          <w:snapToGrid w:val="0"/>
          <w:kern w:val="21"/>
          <w:sz w:val="24"/>
        </w:rPr>
        <w:t>·</w:t>
      </w:r>
      <w:r>
        <w:rPr>
          <w:snapToGrid w:val="0"/>
          <w:kern w:val="21"/>
          <w:sz w:val="24"/>
        </w:rPr>
        <w:t>Na</w:t>
      </w:r>
      <w:r>
        <w:rPr>
          <w:snapToGrid w:val="0"/>
          <w:kern w:val="21"/>
          <w:sz w:val="24"/>
          <w:vertAlign w:val="superscript"/>
        </w:rPr>
        <w:t>+</w:t>
      </w:r>
      <w:r>
        <w:rPr>
          <w:snapToGrid w:val="0"/>
          <w:kern w:val="21"/>
          <w:sz w:val="24"/>
        </w:rPr>
        <w:t>型水发展。潜水层以下的承压自流水，矿化度皆小于</w:t>
      </w:r>
      <w:r>
        <w:rPr>
          <w:snapToGrid w:val="0"/>
          <w:kern w:val="21"/>
          <w:sz w:val="24"/>
        </w:rPr>
        <w:t>1g/L</w:t>
      </w:r>
      <w:r>
        <w:rPr>
          <w:snapToGrid w:val="0"/>
          <w:kern w:val="21"/>
          <w:sz w:val="24"/>
        </w:rPr>
        <w:t>，水化学类型则较为多样，主要有</w:t>
      </w:r>
      <w:r>
        <w:rPr>
          <w:snapToGrid w:val="0"/>
          <w:kern w:val="21"/>
          <w:sz w:val="24"/>
        </w:rPr>
        <w:t>HCO</w:t>
      </w:r>
      <w:r>
        <w:rPr>
          <w:snapToGrid w:val="0"/>
          <w:kern w:val="21"/>
          <w:sz w:val="24"/>
          <w:vertAlign w:val="subscript"/>
        </w:rPr>
        <w:t>3</w:t>
      </w:r>
      <w:r>
        <w:rPr>
          <w:snapToGrid w:val="0"/>
          <w:kern w:val="21"/>
          <w:sz w:val="24"/>
          <w:vertAlign w:val="superscript"/>
        </w:rPr>
        <w:t>-</w:t>
      </w:r>
      <w:r>
        <w:rPr>
          <w:snapToGrid w:val="0"/>
          <w:kern w:val="21"/>
          <w:sz w:val="24"/>
        </w:rPr>
        <w:t>·</w:t>
      </w:r>
      <w:r>
        <w:rPr>
          <w:snapToGrid w:val="0"/>
          <w:kern w:val="21"/>
          <w:sz w:val="24"/>
        </w:rPr>
        <w:t>SO</w:t>
      </w:r>
      <w:r>
        <w:rPr>
          <w:snapToGrid w:val="0"/>
          <w:kern w:val="21"/>
          <w:sz w:val="24"/>
          <w:vertAlign w:val="subscript"/>
        </w:rPr>
        <w:t>4</w:t>
      </w:r>
      <w:r>
        <w:rPr>
          <w:snapToGrid w:val="0"/>
          <w:kern w:val="21"/>
          <w:sz w:val="24"/>
          <w:vertAlign w:val="superscript"/>
        </w:rPr>
        <w:t>2-</w:t>
      </w:r>
      <w:r>
        <w:rPr>
          <w:snapToGrid w:val="0"/>
          <w:kern w:val="21"/>
          <w:sz w:val="24"/>
        </w:rPr>
        <w:t>-Na</w:t>
      </w:r>
      <w:r>
        <w:rPr>
          <w:snapToGrid w:val="0"/>
          <w:kern w:val="21"/>
          <w:sz w:val="24"/>
          <w:vertAlign w:val="superscript"/>
        </w:rPr>
        <w:t>+</w:t>
      </w:r>
      <w:r>
        <w:rPr>
          <w:snapToGrid w:val="0"/>
          <w:kern w:val="21"/>
          <w:sz w:val="24"/>
        </w:rPr>
        <w:t>，</w:t>
      </w:r>
      <w:r>
        <w:rPr>
          <w:snapToGrid w:val="0"/>
          <w:kern w:val="21"/>
          <w:sz w:val="24"/>
        </w:rPr>
        <w:t>HCO</w:t>
      </w:r>
      <w:r>
        <w:rPr>
          <w:snapToGrid w:val="0"/>
          <w:kern w:val="21"/>
          <w:sz w:val="24"/>
          <w:vertAlign w:val="subscript"/>
        </w:rPr>
        <w:t>3</w:t>
      </w:r>
      <w:r>
        <w:rPr>
          <w:snapToGrid w:val="0"/>
          <w:kern w:val="21"/>
          <w:sz w:val="24"/>
          <w:vertAlign w:val="superscript"/>
        </w:rPr>
        <w:t>-</w:t>
      </w:r>
      <w:r>
        <w:rPr>
          <w:snapToGrid w:val="0"/>
          <w:kern w:val="21"/>
          <w:sz w:val="24"/>
        </w:rPr>
        <w:t>·</w:t>
      </w:r>
      <w:r>
        <w:rPr>
          <w:snapToGrid w:val="0"/>
          <w:kern w:val="21"/>
          <w:sz w:val="24"/>
        </w:rPr>
        <w:t>SO</w:t>
      </w:r>
      <w:r>
        <w:rPr>
          <w:snapToGrid w:val="0"/>
          <w:kern w:val="21"/>
          <w:sz w:val="24"/>
          <w:vertAlign w:val="subscript"/>
        </w:rPr>
        <w:t>4</w:t>
      </w:r>
      <w:r>
        <w:rPr>
          <w:snapToGrid w:val="0"/>
          <w:kern w:val="21"/>
          <w:sz w:val="24"/>
          <w:vertAlign w:val="superscript"/>
        </w:rPr>
        <w:t>2-</w:t>
      </w:r>
      <w:r>
        <w:rPr>
          <w:snapToGrid w:val="0"/>
          <w:kern w:val="21"/>
          <w:sz w:val="24"/>
        </w:rPr>
        <w:t>·</w:t>
      </w:r>
      <w:r>
        <w:rPr>
          <w:snapToGrid w:val="0"/>
          <w:kern w:val="21"/>
          <w:sz w:val="24"/>
        </w:rPr>
        <w:t>Cl</w:t>
      </w:r>
      <w:r>
        <w:rPr>
          <w:snapToGrid w:val="0"/>
          <w:kern w:val="21"/>
          <w:sz w:val="24"/>
          <w:vertAlign w:val="superscript"/>
        </w:rPr>
        <w:t>-</w:t>
      </w:r>
      <w:r>
        <w:rPr>
          <w:snapToGrid w:val="0"/>
          <w:kern w:val="21"/>
          <w:sz w:val="24"/>
        </w:rPr>
        <w:t>-Na</w:t>
      </w:r>
      <w:r>
        <w:rPr>
          <w:snapToGrid w:val="0"/>
          <w:kern w:val="21"/>
          <w:sz w:val="24"/>
          <w:vertAlign w:val="superscript"/>
        </w:rPr>
        <w:t>+</w:t>
      </w:r>
      <w:r>
        <w:rPr>
          <w:snapToGrid w:val="0"/>
          <w:kern w:val="21"/>
          <w:sz w:val="24"/>
        </w:rPr>
        <w:t>，</w:t>
      </w:r>
      <w:r>
        <w:rPr>
          <w:snapToGrid w:val="0"/>
          <w:kern w:val="21"/>
          <w:sz w:val="24"/>
        </w:rPr>
        <w:t>SO</w:t>
      </w:r>
      <w:r>
        <w:rPr>
          <w:snapToGrid w:val="0"/>
          <w:kern w:val="21"/>
          <w:sz w:val="24"/>
          <w:vertAlign w:val="subscript"/>
        </w:rPr>
        <w:t>4</w:t>
      </w:r>
      <w:r>
        <w:rPr>
          <w:snapToGrid w:val="0"/>
          <w:kern w:val="21"/>
          <w:sz w:val="24"/>
          <w:vertAlign w:val="superscript"/>
        </w:rPr>
        <w:t>2-</w:t>
      </w:r>
      <w:r>
        <w:rPr>
          <w:snapToGrid w:val="0"/>
          <w:kern w:val="21"/>
          <w:sz w:val="24"/>
        </w:rPr>
        <w:t>·</w:t>
      </w:r>
      <w:r>
        <w:rPr>
          <w:snapToGrid w:val="0"/>
          <w:kern w:val="21"/>
          <w:sz w:val="24"/>
        </w:rPr>
        <w:t>HCO</w:t>
      </w:r>
      <w:r>
        <w:rPr>
          <w:snapToGrid w:val="0"/>
          <w:kern w:val="21"/>
          <w:sz w:val="24"/>
          <w:vertAlign w:val="subscript"/>
        </w:rPr>
        <w:t>3</w:t>
      </w:r>
      <w:r>
        <w:rPr>
          <w:snapToGrid w:val="0"/>
          <w:kern w:val="21"/>
          <w:sz w:val="24"/>
          <w:vertAlign w:val="superscript"/>
        </w:rPr>
        <w:t>-</w:t>
      </w:r>
      <w:r>
        <w:rPr>
          <w:snapToGrid w:val="0"/>
          <w:kern w:val="21"/>
          <w:sz w:val="24"/>
        </w:rPr>
        <w:t>·</w:t>
      </w:r>
      <w:r>
        <w:rPr>
          <w:snapToGrid w:val="0"/>
          <w:kern w:val="21"/>
          <w:sz w:val="24"/>
        </w:rPr>
        <w:t>Cl</w:t>
      </w:r>
      <w:r>
        <w:rPr>
          <w:snapToGrid w:val="0"/>
          <w:kern w:val="21"/>
          <w:sz w:val="24"/>
          <w:vertAlign w:val="superscript"/>
        </w:rPr>
        <w:t>-</w:t>
      </w:r>
      <w:r>
        <w:rPr>
          <w:snapToGrid w:val="0"/>
          <w:kern w:val="21"/>
          <w:sz w:val="24"/>
        </w:rPr>
        <w:t>-Na</w:t>
      </w:r>
      <w:r>
        <w:rPr>
          <w:snapToGrid w:val="0"/>
          <w:kern w:val="21"/>
          <w:sz w:val="24"/>
          <w:vertAlign w:val="superscript"/>
        </w:rPr>
        <w:t>+</w:t>
      </w:r>
      <w:r>
        <w:rPr>
          <w:snapToGrid w:val="0"/>
          <w:kern w:val="21"/>
          <w:sz w:val="24"/>
        </w:rPr>
        <w:t>和</w:t>
      </w:r>
      <w:r>
        <w:rPr>
          <w:snapToGrid w:val="0"/>
          <w:kern w:val="21"/>
          <w:sz w:val="24"/>
        </w:rPr>
        <w:t>Cl</w:t>
      </w:r>
      <w:r>
        <w:rPr>
          <w:snapToGrid w:val="0"/>
          <w:kern w:val="21"/>
          <w:sz w:val="24"/>
          <w:vertAlign w:val="superscript"/>
        </w:rPr>
        <w:t>-</w:t>
      </w:r>
      <w:r>
        <w:rPr>
          <w:snapToGrid w:val="0"/>
          <w:kern w:val="21"/>
          <w:sz w:val="24"/>
        </w:rPr>
        <w:t>-Ca</w:t>
      </w:r>
      <w:r>
        <w:rPr>
          <w:snapToGrid w:val="0"/>
          <w:kern w:val="21"/>
          <w:sz w:val="24"/>
          <w:vertAlign w:val="superscript"/>
        </w:rPr>
        <w:t>2+</w:t>
      </w:r>
      <w:r>
        <w:rPr>
          <w:snapToGrid w:val="0"/>
          <w:kern w:val="21"/>
          <w:sz w:val="24"/>
        </w:rPr>
        <w:t>·</w:t>
      </w:r>
      <w:r>
        <w:rPr>
          <w:snapToGrid w:val="0"/>
          <w:kern w:val="21"/>
          <w:sz w:val="24"/>
        </w:rPr>
        <w:t>Na</w:t>
      </w:r>
      <w:r>
        <w:rPr>
          <w:snapToGrid w:val="0"/>
          <w:kern w:val="21"/>
          <w:sz w:val="24"/>
          <w:vertAlign w:val="superscript"/>
        </w:rPr>
        <w:t>+</w:t>
      </w:r>
      <w:r>
        <w:rPr>
          <w:snapToGrid w:val="0"/>
          <w:kern w:val="21"/>
          <w:sz w:val="24"/>
        </w:rPr>
        <w:t>型等。</w:t>
      </w:r>
    </w:p>
    <w:p w:rsidR="00EE4502" w:rsidRDefault="00FD45A3">
      <w:pPr>
        <w:widowControl/>
        <w:spacing w:line="360" w:lineRule="auto"/>
        <w:ind w:firstLineChars="225" w:firstLine="540"/>
        <w:jc w:val="left"/>
        <w:rPr>
          <w:snapToGrid w:val="0"/>
          <w:kern w:val="21"/>
          <w:sz w:val="24"/>
        </w:rPr>
      </w:pPr>
      <w:r>
        <w:rPr>
          <w:snapToGrid w:val="0"/>
          <w:kern w:val="21"/>
          <w:sz w:val="24"/>
        </w:rPr>
        <w:t>（</w:t>
      </w:r>
      <w:r>
        <w:rPr>
          <w:snapToGrid w:val="0"/>
          <w:kern w:val="21"/>
          <w:sz w:val="24"/>
        </w:rPr>
        <w:t>6</w:t>
      </w:r>
      <w:r>
        <w:rPr>
          <w:snapToGrid w:val="0"/>
          <w:kern w:val="21"/>
          <w:sz w:val="24"/>
        </w:rPr>
        <w:t>）包气带污染现状调查</w:t>
      </w:r>
    </w:p>
    <w:p w:rsidR="00EE4502" w:rsidRDefault="00FD45A3">
      <w:pPr>
        <w:widowControl/>
        <w:spacing w:line="360" w:lineRule="auto"/>
        <w:ind w:firstLineChars="225" w:firstLine="540"/>
        <w:jc w:val="left"/>
        <w:rPr>
          <w:snapToGrid w:val="0"/>
          <w:kern w:val="21"/>
          <w:sz w:val="24"/>
        </w:rPr>
      </w:pPr>
      <w:r>
        <w:rPr>
          <w:snapToGrid w:val="0"/>
          <w:kern w:val="21"/>
          <w:sz w:val="24"/>
        </w:rPr>
        <w:t>根据历史勘察资料，区内包气带厚度</w:t>
      </w:r>
      <w:r>
        <w:rPr>
          <w:rFonts w:hint="eastAsia"/>
          <w:snapToGrid w:val="0"/>
          <w:kern w:val="21"/>
          <w:sz w:val="24"/>
        </w:rPr>
        <w:t>大于</w:t>
      </w:r>
      <w:r>
        <w:rPr>
          <w:rFonts w:hint="eastAsia"/>
          <w:snapToGrid w:val="0"/>
          <w:kern w:val="21"/>
          <w:sz w:val="24"/>
        </w:rPr>
        <w:t>5</w:t>
      </w:r>
      <w:r>
        <w:rPr>
          <w:snapToGrid w:val="0"/>
          <w:kern w:val="21"/>
          <w:sz w:val="24"/>
        </w:rPr>
        <w:t>m</w:t>
      </w:r>
      <w:r>
        <w:rPr>
          <w:snapToGrid w:val="0"/>
          <w:kern w:val="21"/>
          <w:sz w:val="24"/>
        </w:rPr>
        <w:t>，包气带的岩性为砂层。根据油区内包气带土壤环境质量调查结果，区内包气带的土壤环境质量现状可以满足《土壤环境质量</w:t>
      </w:r>
      <w:r>
        <w:rPr>
          <w:snapToGrid w:val="0"/>
          <w:kern w:val="21"/>
          <w:sz w:val="24"/>
        </w:rPr>
        <w:t xml:space="preserve"> </w:t>
      </w:r>
      <w:r>
        <w:rPr>
          <w:snapToGrid w:val="0"/>
          <w:kern w:val="21"/>
          <w:sz w:val="24"/>
        </w:rPr>
        <w:t>建设用地土壤污染风险管控标准（试行）》（</w:t>
      </w:r>
      <w:r>
        <w:rPr>
          <w:snapToGrid w:val="0"/>
          <w:kern w:val="21"/>
          <w:sz w:val="24"/>
        </w:rPr>
        <w:t>GB36600-2018</w:t>
      </w:r>
      <w:r>
        <w:rPr>
          <w:snapToGrid w:val="0"/>
          <w:kern w:val="21"/>
          <w:sz w:val="24"/>
        </w:rPr>
        <w:t>）第二类用地筛选值。各监测点表层土壤样品中重金属、挥发性及半挥发性有机物、总石油烃污染物检测数值均较小，包气带土壤质量状况良好，未受到油田开发污染。</w:t>
      </w:r>
    </w:p>
    <w:p w:rsidR="00EE4502" w:rsidRDefault="00FD45A3">
      <w:pPr>
        <w:widowControl/>
        <w:spacing w:line="360" w:lineRule="auto"/>
        <w:ind w:firstLineChars="225" w:firstLine="540"/>
        <w:jc w:val="left"/>
        <w:rPr>
          <w:snapToGrid w:val="0"/>
          <w:kern w:val="21"/>
          <w:sz w:val="24"/>
        </w:rPr>
      </w:pPr>
      <w:r>
        <w:rPr>
          <w:snapToGrid w:val="0"/>
          <w:kern w:val="21"/>
          <w:sz w:val="24"/>
        </w:rPr>
        <w:t>（</w:t>
      </w:r>
      <w:r>
        <w:rPr>
          <w:snapToGrid w:val="0"/>
          <w:kern w:val="21"/>
          <w:sz w:val="24"/>
        </w:rPr>
        <w:t>7</w:t>
      </w:r>
      <w:r>
        <w:rPr>
          <w:snapToGrid w:val="0"/>
          <w:kern w:val="21"/>
          <w:sz w:val="24"/>
        </w:rPr>
        <w:t>）评价区地下水开发利用现状与规划</w:t>
      </w:r>
    </w:p>
    <w:p w:rsidR="00EE4502" w:rsidRDefault="00FD45A3">
      <w:pPr>
        <w:widowControl/>
        <w:spacing w:line="360" w:lineRule="auto"/>
        <w:ind w:firstLineChars="225" w:firstLine="540"/>
        <w:jc w:val="left"/>
        <w:rPr>
          <w:kern w:val="21"/>
          <w:sz w:val="24"/>
        </w:rPr>
      </w:pPr>
      <w:r>
        <w:rPr>
          <w:kern w:val="21"/>
          <w:sz w:val="24"/>
        </w:rPr>
        <w:t>根据调查，</w:t>
      </w:r>
      <w:r>
        <w:rPr>
          <w:kern w:val="21"/>
          <w:sz w:val="24"/>
        </w:rPr>
        <w:t>排</w:t>
      </w:r>
      <w:r>
        <w:rPr>
          <w:kern w:val="21"/>
          <w:sz w:val="24"/>
        </w:rPr>
        <w:t>61</w:t>
      </w:r>
      <w:r>
        <w:rPr>
          <w:kern w:val="21"/>
          <w:sz w:val="24"/>
        </w:rPr>
        <w:t>块</w:t>
      </w:r>
      <w:r>
        <w:rPr>
          <w:kern w:val="21"/>
          <w:sz w:val="24"/>
        </w:rPr>
        <w:t>处在人烟稀少的荒漠地带，</w:t>
      </w:r>
      <w:r>
        <w:rPr>
          <w:kern w:val="21"/>
          <w:sz w:val="24"/>
        </w:rPr>
        <w:t>注水区位于南部农田内，</w:t>
      </w:r>
      <w:r>
        <w:rPr>
          <w:kern w:val="21"/>
          <w:sz w:val="24"/>
        </w:rPr>
        <w:t>评价区内地下水主要用于油田生产</w:t>
      </w:r>
      <w:r>
        <w:rPr>
          <w:kern w:val="21"/>
          <w:sz w:val="24"/>
        </w:rPr>
        <w:t>和农田灌溉，</w:t>
      </w:r>
      <w:r>
        <w:rPr>
          <w:snapToGrid w:val="0"/>
          <w:kern w:val="21"/>
          <w:sz w:val="24"/>
        </w:rPr>
        <w:t>无</w:t>
      </w:r>
      <w:r>
        <w:rPr>
          <w:snapToGrid w:val="0"/>
          <w:kern w:val="21"/>
          <w:sz w:val="24"/>
        </w:rPr>
        <w:t>开发利用</w:t>
      </w:r>
      <w:r>
        <w:rPr>
          <w:snapToGrid w:val="0"/>
          <w:kern w:val="21"/>
          <w:sz w:val="24"/>
        </w:rPr>
        <w:t>专项</w:t>
      </w:r>
      <w:r>
        <w:rPr>
          <w:snapToGrid w:val="0"/>
          <w:kern w:val="21"/>
          <w:sz w:val="24"/>
        </w:rPr>
        <w:t>规划</w:t>
      </w:r>
      <w:r>
        <w:rPr>
          <w:snapToGrid w:val="0"/>
          <w:kern w:val="21"/>
          <w:sz w:val="24"/>
        </w:rPr>
        <w:t>。</w:t>
      </w:r>
    </w:p>
    <w:p w:rsidR="00EE4502" w:rsidRDefault="00FD45A3">
      <w:pPr>
        <w:widowControl/>
        <w:spacing w:line="360" w:lineRule="auto"/>
        <w:ind w:firstLineChars="225" w:firstLine="540"/>
        <w:jc w:val="left"/>
        <w:rPr>
          <w:snapToGrid w:val="0"/>
          <w:kern w:val="21"/>
          <w:sz w:val="24"/>
        </w:rPr>
      </w:pPr>
      <w:r>
        <w:rPr>
          <w:snapToGrid w:val="0"/>
          <w:kern w:val="21"/>
          <w:sz w:val="24"/>
        </w:rPr>
        <w:t>（</w:t>
      </w:r>
      <w:r>
        <w:rPr>
          <w:snapToGrid w:val="0"/>
          <w:kern w:val="21"/>
          <w:sz w:val="24"/>
        </w:rPr>
        <w:t>8</w:t>
      </w:r>
      <w:r>
        <w:rPr>
          <w:snapToGrid w:val="0"/>
          <w:kern w:val="21"/>
          <w:sz w:val="24"/>
        </w:rPr>
        <w:t>）</w:t>
      </w:r>
      <w:r>
        <w:rPr>
          <w:snapToGrid w:val="0"/>
          <w:kern w:val="21"/>
          <w:sz w:val="24"/>
        </w:rPr>
        <w:t>区域地下水污染源调查</w:t>
      </w:r>
    </w:p>
    <w:p w:rsidR="00EE4502" w:rsidRDefault="00FD45A3">
      <w:pPr>
        <w:spacing w:line="360" w:lineRule="auto"/>
        <w:ind w:firstLine="520"/>
        <w:rPr>
          <w:kern w:val="21"/>
          <w:sz w:val="24"/>
        </w:rPr>
      </w:pPr>
      <w:r>
        <w:rPr>
          <w:bCs/>
          <w:kern w:val="21"/>
          <w:sz w:val="24"/>
        </w:rPr>
        <w:t>评价区除油田生产设施外，南部分布有少量农田，无其他工业企业污染源。根据区域地下水现状监测结果表明，各监测点中石油类满足《地表水环境质量标准》</w:t>
      </w:r>
      <w:r>
        <w:rPr>
          <w:bCs/>
          <w:kern w:val="21"/>
          <w:sz w:val="24"/>
        </w:rPr>
        <w:t>(GB3838-2002)Ⅲ</w:t>
      </w:r>
      <w:r>
        <w:rPr>
          <w:bCs/>
          <w:kern w:val="21"/>
          <w:sz w:val="24"/>
        </w:rPr>
        <w:t>类标准要求，区内地下水未</w:t>
      </w:r>
      <w:r>
        <w:rPr>
          <w:rFonts w:hint="eastAsia"/>
          <w:bCs/>
          <w:kern w:val="21"/>
          <w:sz w:val="24"/>
        </w:rPr>
        <w:t>受到</w:t>
      </w:r>
      <w:r>
        <w:rPr>
          <w:bCs/>
          <w:kern w:val="21"/>
          <w:sz w:val="24"/>
        </w:rPr>
        <w:t>油田生产影响</w:t>
      </w:r>
      <w:r>
        <w:rPr>
          <w:kern w:val="21"/>
          <w:sz w:val="24"/>
        </w:rPr>
        <w:t>。</w:t>
      </w:r>
    </w:p>
    <w:p w:rsidR="00EE4502" w:rsidRDefault="00FD45A3">
      <w:pPr>
        <w:pStyle w:val="33"/>
        <w:numPr>
          <w:ilvl w:val="2"/>
          <w:numId w:val="30"/>
        </w:numPr>
        <w:spacing w:line="360" w:lineRule="auto"/>
        <w:ind w:left="0" w:firstLine="0"/>
        <w:rPr>
          <w:spacing w:val="0"/>
          <w:kern w:val="21"/>
          <w:sz w:val="24"/>
          <w:szCs w:val="24"/>
        </w:rPr>
      </w:pPr>
      <w:r>
        <w:rPr>
          <w:rFonts w:hint="eastAsia"/>
          <w:spacing w:val="0"/>
          <w:kern w:val="21"/>
          <w:sz w:val="24"/>
          <w:szCs w:val="24"/>
        </w:rPr>
        <w:t>施工</w:t>
      </w:r>
      <w:r>
        <w:rPr>
          <w:spacing w:val="0"/>
          <w:kern w:val="21"/>
          <w:sz w:val="24"/>
          <w:szCs w:val="24"/>
        </w:rPr>
        <w:t>期</w:t>
      </w:r>
      <w:r>
        <w:rPr>
          <w:rFonts w:hint="eastAsia"/>
          <w:spacing w:val="0"/>
          <w:kern w:val="21"/>
          <w:sz w:val="24"/>
          <w:szCs w:val="24"/>
        </w:rPr>
        <w:t>地下水</w:t>
      </w:r>
      <w:r>
        <w:rPr>
          <w:spacing w:val="0"/>
          <w:kern w:val="21"/>
          <w:sz w:val="24"/>
          <w:szCs w:val="24"/>
        </w:rPr>
        <w:t>环境影响分析</w:t>
      </w:r>
    </w:p>
    <w:p w:rsidR="00EE4502" w:rsidRDefault="00FD45A3">
      <w:pPr>
        <w:spacing w:line="360" w:lineRule="auto"/>
        <w:ind w:firstLine="520"/>
        <w:rPr>
          <w:kern w:val="21"/>
          <w:sz w:val="24"/>
        </w:rPr>
      </w:pPr>
      <w:r>
        <w:rPr>
          <w:rFonts w:hint="eastAsia"/>
          <w:kern w:val="21"/>
          <w:sz w:val="24"/>
        </w:rPr>
        <w:t>（</w:t>
      </w:r>
      <w:r>
        <w:rPr>
          <w:rFonts w:hint="eastAsia"/>
          <w:kern w:val="21"/>
          <w:sz w:val="24"/>
        </w:rPr>
        <w:t>1</w:t>
      </w:r>
      <w:r>
        <w:rPr>
          <w:rFonts w:hint="eastAsia"/>
          <w:kern w:val="21"/>
          <w:sz w:val="24"/>
        </w:rPr>
        <w:t>）施工期间废水对地下水影响分析</w:t>
      </w:r>
    </w:p>
    <w:p w:rsidR="00EE4502" w:rsidRDefault="00FD45A3">
      <w:pPr>
        <w:spacing w:line="360" w:lineRule="auto"/>
        <w:ind w:firstLine="520"/>
        <w:rPr>
          <w:kern w:val="21"/>
          <w:sz w:val="24"/>
        </w:rPr>
      </w:pPr>
      <w:r>
        <w:rPr>
          <w:rFonts w:hint="eastAsia"/>
          <w:kern w:val="21"/>
          <w:sz w:val="24"/>
        </w:rPr>
        <w:t>根据工程分析，施工期各类废水、生活污水均不外排，对地下水环境影响很小。</w:t>
      </w:r>
    </w:p>
    <w:p w:rsidR="00EE4502" w:rsidRDefault="00FD45A3">
      <w:pPr>
        <w:spacing w:line="360" w:lineRule="auto"/>
        <w:ind w:firstLine="520"/>
        <w:rPr>
          <w:kern w:val="21"/>
          <w:sz w:val="24"/>
        </w:rPr>
      </w:pPr>
      <w:r>
        <w:rPr>
          <w:rFonts w:hint="eastAsia"/>
          <w:kern w:val="21"/>
          <w:sz w:val="24"/>
        </w:rPr>
        <w:t>（</w:t>
      </w:r>
      <w:r>
        <w:rPr>
          <w:rFonts w:hint="eastAsia"/>
          <w:kern w:val="21"/>
          <w:sz w:val="24"/>
        </w:rPr>
        <w:t>2</w:t>
      </w:r>
      <w:r>
        <w:rPr>
          <w:rFonts w:hint="eastAsia"/>
          <w:kern w:val="21"/>
          <w:sz w:val="24"/>
        </w:rPr>
        <w:t>）钻井过程对地下水影响分析</w:t>
      </w:r>
    </w:p>
    <w:p w:rsidR="00EE4502" w:rsidRDefault="00FD45A3">
      <w:pPr>
        <w:spacing w:line="360" w:lineRule="auto"/>
        <w:ind w:firstLine="520"/>
        <w:rPr>
          <w:kern w:val="21"/>
          <w:sz w:val="24"/>
        </w:rPr>
      </w:pPr>
      <w:r>
        <w:rPr>
          <w:rFonts w:hint="eastAsia"/>
          <w:kern w:val="21"/>
          <w:sz w:val="24"/>
        </w:rPr>
        <w:t>项目钻井过程中采用套管与土壤隔离，并在套管与地层之间注入水泥进行</w:t>
      </w:r>
      <w:r>
        <w:rPr>
          <w:rFonts w:hint="eastAsia"/>
          <w:kern w:val="21"/>
          <w:sz w:val="24"/>
        </w:rPr>
        <w:lastRenderedPageBreak/>
        <w:t>固井，水泥浆返至地面，封隔疏松地层和水层；本项目井身的表层套管的下入深度</w:t>
      </w:r>
      <w:r>
        <w:rPr>
          <w:rFonts w:hint="eastAsia"/>
          <w:kern w:val="21"/>
          <w:sz w:val="24"/>
        </w:rPr>
        <w:t>300m</w:t>
      </w:r>
      <w:r>
        <w:rPr>
          <w:rFonts w:hint="eastAsia"/>
          <w:kern w:val="21"/>
          <w:sz w:val="24"/>
        </w:rPr>
        <w:t>，采用水泥浆进行固井，水泥浆返至地面，可满足本项目的地下水保护需要，可</w:t>
      </w:r>
      <w:r>
        <w:rPr>
          <w:rFonts w:hint="eastAsia"/>
          <w:kern w:val="21"/>
          <w:sz w:val="24"/>
        </w:rPr>
        <w:t>有效地</w:t>
      </w:r>
      <w:r>
        <w:rPr>
          <w:rFonts w:hint="eastAsia"/>
          <w:kern w:val="21"/>
          <w:sz w:val="24"/>
        </w:rPr>
        <w:t>保护地下水环境不受污染。本项目使用水基钻井液，钻井过程中，严格要求套管下入深度等措施，可以有效控制钻井液在地层中的漏失，减轻对地下水环境的影响。由于本项目油藏目的层与地下水处于不同层系，远远超出本区域地下水含水层深度，在施工过程中采用下套管注水泥固井、完井方式进行水泥固井，对含水层进行了固封</w:t>
      </w:r>
      <w:r>
        <w:rPr>
          <w:rFonts w:hint="eastAsia"/>
          <w:kern w:val="21"/>
          <w:sz w:val="24"/>
        </w:rPr>
        <w:t>处理，有效保护地下水层。项目在钻井过程中产生的废水不与当地水体发生水力联系，同时对产生的废水排放进行严格管理，因此基本不会对所在区域水环境产生影响。</w:t>
      </w:r>
    </w:p>
    <w:p w:rsidR="00EE4502" w:rsidRDefault="00FD45A3">
      <w:pPr>
        <w:spacing w:line="360" w:lineRule="auto"/>
        <w:ind w:firstLine="520"/>
        <w:rPr>
          <w:kern w:val="21"/>
          <w:sz w:val="24"/>
        </w:rPr>
      </w:pPr>
      <w:r>
        <w:rPr>
          <w:rFonts w:hint="eastAsia"/>
          <w:kern w:val="21"/>
          <w:sz w:val="24"/>
        </w:rPr>
        <w:t>施工期间钻井井场内的钻井平台、泥浆不落地系统、柴油机、发电机房、材料堆场、柴油罐等均铺设</w:t>
      </w:r>
      <w:r>
        <w:rPr>
          <w:rFonts w:hint="eastAsia"/>
          <w:kern w:val="21"/>
          <w:sz w:val="24"/>
        </w:rPr>
        <w:t>HDPE</w:t>
      </w:r>
      <w:r>
        <w:rPr>
          <w:rFonts w:hint="eastAsia"/>
          <w:kern w:val="21"/>
          <w:sz w:val="24"/>
        </w:rPr>
        <w:t>防渗膜，可对土壤及包气带起到良好的防护。</w:t>
      </w:r>
    </w:p>
    <w:p w:rsidR="00EE4502" w:rsidRDefault="00FD45A3">
      <w:pPr>
        <w:spacing w:line="360" w:lineRule="auto"/>
        <w:ind w:firstLine="520"/>
        <w:rPr>
          <w:kern w:val="21"/>
          <w:sz w:val="24"/>
        </w:rPr>
      </w:pPr>
      <w:r>
        <w:rPr>
          <w:rFonts w:hint="eastAsia"/>
          <w:kern w:val="21"/>
          <w:sz w:val="24"/>
        </w:rPr>
        <w:t>综上，本工程施工期间无废水外排，施工过程中产生的废水和固体废物均得到妥善处理。故施工期对地下水环境的影响很小。在严格执行环境保护措施的前提下，项目施工期废水不会对周围地下水环境产生明显影响。</w:t>
      </w:r>
    </w:p>
    <w:p w:rsidR="00EE4502" w:rsidRDefault="00FD45A3">
      <w:pPr>
        <w:spacing w:line="360" w:lineRule="auto"/>
        <w:ind w:firstLine="520"/>
        <w:rPr>
          <w:kern w:val="21"/>
          <w:sz w:val="24"/>
        </w:rPr>
      </w:pPr>
      <w:r>
        <w:rPr>
          <w:rFonts w:hint="eastAsia"/>
          <w:kern w:val="21"/>
          <w:sz w:val="24"/>
        </w:rPr>
        <w:t>（</w:t>
      </w:r>
      <w:r>
        <w:rPr>
          <w:rFonts w:hint="eastAsia"/>
          <w:kern w:val="21"/>
          <w:sz w:val="24"/>
        </w:rPr>
        <w:t>3</w:t>
      </w:r>
      <w:r>
        <w:rPr>
          <w:rFonts w:hint="eastAsia"/>
          <w:kern w:val="21"/>
          <w:sz w:val="24"/>
        </w:rPr>
        <w:t>）管道施工对地下水影响分析</w:t>
      </w:r>
    </w:p>
    <w:p w:rsidR="00EE4502" w:rsidRDefault="00FD45A3">
      <w:pPr>
        <w:spacing w:line="360" w:lineRule="auto"/>
        <w:ind w:firstLine="520"/>
        <w:rPr>
          <w:kern w:val="21"/>
          <w:sz w:val="24"/>
        </w:rPr>
      </w:pPr>
      <w:r>
        <w:rPr>
          <w:rFonts w:hint="eastAsia"/>
          <w:kern w:val="21"/>
          <w:sz w:val="24"/>
        </w:rPr>
        <w:t>本工程管道全线采用埋地敷设方式，管线埋深一般为管顶覆土深度</w:t>
      </w:r>
      <w:r>
        <w:rPr>
          <w:rFonts w:hint="eastAsia"/>
          <w:kern w:val="21"/>
          <w:sz w:val="24"/>
        </w:rPr>
        <w:t>1.2m</w:t>
      </w:r>
      <w:r>
        <w:rPr>
          <w:rFonts w:hint="eastAsia"/>
          <w:kern w:val="21"/>
          <w:sz w:val="24"/>
        </w:rPr>
        <w:t>，管道敷设工作主要在浅层地表进行，不会直接穿越地下含水层，且施工时间短，影响范围小，只在管线附近几米的范围，对地下水影响极微，管线施工结束就可恢复正常，对地下水影响很小。</w:t>
      </w:r>
    </w:p>
    <w:p w:rsidR="00EE4502" w:rsidRDefault="00FD45A3">
      <w:pPr>
        <w:spacing w:line="360" w:lineRule="auto"/>
        <w:ind w:firstLine="520"/>
        <w:rPr>
          <w:kern w:val="21"/>
          <w:sz w:val="24"/>
        </w:rPr>
      </w:pPr>
      <w:r>
        <w:rPr>
          <w:rFonts w:hint="eastAsia"/>
          <w:kern w:val="21"/>
          <w:sz w:val="24"/>
        </w:rPr>
        <w:t>综上，本工程施工期间无废水外排，施工过程中产生的废水和固体废物均得到妥善处理。故施工期对地下水环境的影响很小。在严格执行环境保护措施的前提下，项目施工期废水不会对周围地下水环境产生明显影响。</w:t>
      </w:r>
    </w:p>
    <w:p w:rsidR="00EE4502" w:rsidRDefault="00FD45A3">
      <w:pPr>
        <w:spacing w:line="360" w:lineRule="auto"/>
        <w:ind w:firstLine="520"/>
        <w:rPr>
          <w:kern w:val="21"/>
          <w:sz w:val="24"/>
        </w:rPr>
      </w:pPr>
      <w:r>
        <w:rPr>
          <w:rFonts w:hint="eastAsia"/>
          <w:kern w:val="21"/>
          <w:sz w:val="24"/>
        </w:rPr>
        <w:t>（</w:t>
      </w:r>
      <w:r>
        <w:rPr>
          <w:rFonts w:hint="eastAsia"/>
          <w:kern w:val="21"/>
          <w:sz w:val="24"/>
        </w:rPr>
        <w:t>4</w:t>
      </w:r>
      <w:r>
        <w:rPr>
          <w:rFonts w:hint="eastAsia"/>
          <w:kern w:val="21"/>
          <w:sz w:val="24"/>
        </w:rPr>
        <w:t>）钻井过程井漏事故泥浆对地下水的影响评价</w:t>
      </w:r>
    </w:p>
    <w:p w:rsidR="00EE4502" w:rsidRDefault="00FD45A3">
      <w:pPr>
        <w:spacing w:line="360" w:lineRule="auto"/>
        <w:ind w:firstLine="520"/>
        <w:rPr>
          <w:kern w:val="21"/>
          <w:sz w:val="24"/>
        </w:rPr>
      </w:pPr>
      <w:r>
        <w:rPr>
          <w:rFonts w:hint="eastAsia"/>
          <w:kern w:val="21"/>
          <w:sz w:val="24"/>
        </w:rPr>
        <w:t>井漏事故对地下水的污染是指在钻井过程</w:t>
      </w:r>
      <w:r>
        <w:rPr>
          <w:rFonts w:hint="eastAsia"/>
          <w:kern w:val="21"/>
          <w:sz w:val="24"/>
        </w:rPr>
        <w:t>中，钻井废水、泥浆漏失于地下水含水层中，造成地下含水层水质污染。就钻井源漏失而言，发生在局部且持续时间较短。</w:t>
      </w:r>
    </w:p>
    <w:p w:rsidR="00EE4502" w:rsidRDefault="00FD45A3">
      <w:pPr>
        <w:spacing w:line="360" w:lineRule="auto"/>
        <w:ind w:firstLine="520"/>
        <w:rPr>
          <w:kern w:val="21"/>
          <w:sz w:val="24"/>
        </w:rPr>
      </w:pPr>
      <w:r>
        <w:rPr>
          <w:rFonts w:hint="eastAsia"/>
          <w:kern w:val="21"/>
          <w:sz w:val="24"/>
        </w:rPr>
        <w:t>拟建项目一开钻井泥浆主要成分为膨润土浆，不含有毒有害物质，一开基本涵盖了可能具有使用功能的地下水，因此拟建项目一开钻井过程不会对可能具备使用功能的地下水造成影响。二开以下井段的施工时，表层套管已完成固井，因此钻井泥浆不会在表层套管范围内漏失，漏失发生在表层套管以下的二开以下</w:t>
      </w:r>
      <w:r>
        <w:rPr>
          <w:rFonts w:hint="eastAsia"/>
          <w:kern w:val="21"/>
          <w:sz w:val="24"/>
        </w:rPr>
        <w:lastRenderedPageBreak/>
        <w:t>井段的范围内，二开以下井段范围内的地层地下水埋深较深，不具备使用功能。</w:t>
      </w:r>
    </w:p>
    <w:p w:rsidR="00EE4502" w:rsidRDefault="00FD45A3">
      <w:pPr>
        <w:spacing w:line="360" w:lineRule="auto"/>
        <w:ind w:firstLine="520"/>
        <w:rPr>
          <w:kern w:val="21"/>
          <w:sz w:val="24"/>
        </w:rPr>
      </w:pPr>
      <w:r>
        <w:rPr>
          <w:rFonts w:hint="eastAsia"/>
          <w:kern w:val="21"/>
          <w:sz w:val="24"/>
        </w:rPr>
        <w:t>井漏主要发生于具有特殊地质结构的油藏区，如具有溶洞、裂隙</w:t>
      </w:r>
      <w:r>
        <w:rPr>
          <w:rFonts w:hint="eastAsia"/>
          <w:kern w:val="21"/>
          <w:sz w:val="24"/>
        </w:rPr>
        <w:t>等不稳定的地层构造区域。春风油田自开发以来，在油气资源勘探过程中未发现不稳定地质因素。另外，施工单位针对井漏制定有完善的应对措施，钻井过程中一旦发现异常，施工单位将立即停钻采取添加桥堵剂、打水泥塞等措施，防止井漏事故的发生，可有效减轻井漏对地下水的影响。井漏事故发生概率较低，拟建项目钻井液采用无毒泥浆，不含重金属等有毒物质，且项目开发区域地下水不具备饮用水功能</w:t>
      </w:r>
      <w:r>
        <w:rPr>
          <w:kern w:val="21"/>
          <w:sz w:val="24"/>
        </w:rPr>
        <w:t>。</w:t>
      </w:r>
    </w:p>
    <w:p w:rsidR="00EE4502" w:rsidRDefault="00FD45A3">
      <w:pPr>
        <w:pStyle w:val="33"/>
        <w:numPr>
          <w:ilvl w:val="2"/>
          <w:numId w:val="30"/>
        </w:numPr>
        <w:spacing w:line="360" w:lineRule="auto"/>
        <w:ind w:left="0" w:firstLine="0"/>
        <w:rPr>
          <w:spacing w:val="0"/>
          <w:sz w:val="24"/>
          <w:szCs w:val="24"/>
        </w:rPr>
      </w:pPr>
      <w:r>
        <w:rPr>
          <w:spacing w:val="0"/>
          <w:sz w:val="24"/>
          <w:szCs w:val="24"/>
        </w:rPr>
        <w:t>运营期地下水环境影响分析</w:t>
      </w:r>
    </w:p>
    <w:p w:rsidR="00EE4502" w:rsidRDefault="00FD45A3">
      <w:pPr>
        <w:pStyle w:val="41"/>
        <w:numPr>
          <w:ilvl w:val="3"/>
          <w:numId w:val="30"/>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hint="eastAsia"/>
          <w:bCs w:val="0"/>
          <w:sz w:val="24"/>
          <w:szCs w:val="24"/>
        </w:rPr>
        <w:t>正常状况下水环境影响</w:t>
      </w:r>
      <w:r>
        <w:rPr>
          <w:rFonts w:ascii="Times New Roman" w:eastAsia="宋体" w:hAnsi="Times New Roman"/>
          <w:bCs w:val="0"/>
          <w:sz w:val="24"/>
          <w:szCs w:val="24"/>
        </w:rPr>
        <w:t>分析</w:t>
      </w:r>
    </w:p>
    <w:p w:rsidR="00EE4502" w:rsidRDefault="00FD45A3">
      <w:pPr>
        <w:spacing w:line="360" w:lineRule="auto"/>
        <w:ind w:firstLineChars="200" w:firstLine="480"/>
        <w:rPr>
          <w:sz w:val="24"/>
          <w:szCs w:val="20"/>
        </w:rPr>
      </w:pPr>
      <w:r>
        <w:rPr>
          <w:sz w:val="24"/>
          <w:szCs w:val="20"/>
        </w:rPr>
        <w:t>（</w:t>
      </w:r>
      <w:r>
        <w:rPr>
          <w:sz w:val="24"/>
          <w:szCs w:val="20"/>
        </w:rPr>
        <w:t>1</w:t>
      </w:r>
      <w:r>
        <w:rPr>
          <w:sz w:val="24"/>
          <w:szCs w:val="20"/>
        </w:rPr>
        <w:t>）废水</w:t>
      </w:r>
    </w:p>
    <w:p w:rsidR="00EE4502" w:rsidRDefault="00FD45A3">
      <w:pPr>
        <w:spacing w:line="360" w:lineRule="auto"/>
        <w:ind w:firstLineChars="200" w:firstLine="480"/>
        <w:rPr>
          <w:sz w:val="24"/>
          <w:szCs w:val="20"/>
        </w:rPr>
      </w:pPr>
      <w:r>
        <w:rPr>
          <w:sz w:val="24"/>
          <w:szCs w:val="20"/>
        </w:rPr>
        <w:t>根据工程分析，本项目产生的各类废水不外排，正常情况下不会对地下水产生污染影响。另外，本项目采出水及井下作业废液经处理达标后</w:t>
      </w:r>
      <w:r>
        <w:rPr>
          <w:sz w:val="24"/>
          <w:szCs w:val="20"/>
        </w:rPr>
        <w:t>综合利用</w:t>
      </w:r>
      <w:r>
        <w:rPr>
          <w:sz w:val="24"/>
          <w:szCs w:val="20"/>
        </w:rPr>
        <w:t>，</w:t>
      </w:r>
      <w:r>
        <w:rPr>
          <w:sz w:val="24"/>
          <w:szCs w:val="20"/>
        </w:rPr>
        <w:t>结合</w:t>
      </w:r>
      <w:r>
        <w:rPr>
          <w:sz w:val="24"/>
          <w:szCs w:val="20"/>
        </w:rPr>
        <w:t>回注井地质和结构资料，回注层与工程所在区域内第四系含水层无水力联系，在正常情况下不会对其产生影响；回注井在钻井过程中进行了固井，在固井质量良好的情况下可以确保井壁不会发生侧漏，有效隔离含水层与井内回注水的交换，有效保护地下水层，可对回注水实现有效封堵。一般不会对区内地下水环境产生影响。</w:t>
      </w:r>
    </w:p>
    <w:p w:rsidR="00EE4502" w:rsidRDefault="00FD45A3">
      <w:pPr>
        <w:spacing w:line="360" w:lineRule="auto"/>
        <w:ind w:firstLineChars="200" w:firstLine="480"/>
        <w:rPr>
          <w:sz w:val="24"/>
          <w:szCs w:val="20"/>
        </w:rPr>
      </w:pPr>
      <w:r>
        <w:rPr>
          <w:sz w:val="24"/>
          <w:szCs w:val="20"/>
        </w:rPr>
        <w:t>（</w:t>
      </w:r>
      <w:r>
        <w:rPr>
          <w:sz w:val="24"/>
          <w:szCs w:val="20"/>
        </w:rPr>
        <w:t>2</w:t>
      </w:r>
      <w:r>
        <w:rPr>
          <w:sz w:val="24"/>
          <w:szCs w:val="20"/>
        </w:rPr>
        <w:t>）油泥（砂）</w:t>
      </w:r>
    </w:p>
    <w:p w:rsidR="00EE4502" w:rsidRDefault="00FD45A3">
      <w:pPr>
        <w:spacing w:line="360" w:lineRule="auto"/>
        <w:ind w:firstLineChars="200" w:firstLine="480"/>
        <w:rPr>
          <w:sz w:val="24"/>
          <w:szCs w:val="20"/>
        </w:rPr>
      </w:pPr>
      <w:r>
        <w:rPr>
          <w:sz w:val="24"/>
          <w:szCs w:val="20"/>
        </w:rPr>
        <w:t>本项目在修井及采油等过程中都可能产生落地油。根据</w:t>
      </w:r>
      <w:r>
        <w:rPr>
          <w:sz w:val="24"/>
          <w:szCs w:val="20"/>
        </w:rPr>
        <w:t>春风油田</w:t>
      </w:r>
      <w:r>
        <w:rPr>
          <w:sz w:val="24"/>
          <w:szCs w:val="20"/>
        </w:rPr>
        <w:t>作业要求，各作</w:t>
      </w:r>
      <w:r>
        <w:rPr>
          <w:sz w:val="24"/>
          <w:szCs w:val="20"/>
        </w:rPr>
        <w:t>业队伍在作业过程中尽可能避免落地油的产生，井下作业必须采用带罐进行，落地油一旦产生须及时、彻底进行回收，井口排出物全部进罐，故基本无落地油产生。在措施落实、管理到位的前提下，可最大限度减少落地油量，故落地油对开发区域地下水的影响很小。</w:t>
      </w:r>
    </w:p>
    <w:p w:rsidR="00EE4502" w:rsidRDefault="00FD45A3">
      <w:pPr>
        <w:spacing w:line="360" w:lineRule="auto"/>
        <w:ind w:firstLineChars="200" w:firstLine="480"/>
        <w:rPr>
          <w:sz w:val="24"/>
          <w:szCs w:val="20"/>
        </w:rPr>
      </w:pPr>
      <w:r>
        <w:rPr>
          <w:sz w:val="24"/>
          <w:szCs w:val="20"/>
        </w:rPr>
        <w:t>（</w:t>
      </w:r>
      <w:r>
        <w:rPr>
          <w:sz w:val="24"/>
          <w:szCs w:val="20"/>
        </w:rPr>
        <w:t>3</w:t>
      </w:r>
      <w:r>
        <w:rPr>
          <w:sz w:val="24"/>
          <w:szCs w:val="20"/>
        </w:rPr>
        <w:t>）输送管线</w:t>
      </w:r>
    </w:p>
    <w:p w:rsidR="00EE4502" w:rsidRDefault="00FD45A3">
      <w:pPr>
        <w:spacing w:line="360" w:lineRule="auto"/>
        <w:ind w:firstLineChars="200" w:firstLine="480"/>
        <w:rPr>
          <w:sz w:val="24"/>
          <w:szCs w:val="20"/>
        </w:rPr>
      </w:pPr>
      <w:r>
        <w:rPr>
          <w:sz w:val="24"/>
          <w:szCs w:val="20"/>
        </w:rPr>
        <w:t>本工程各类管线均是全封闭系统，集输管线采用柔性复合管及无缝钢管，采取严格的防腐防渗措施。本工程顶管埋深</w:t>
      </w:r>
      <w:r>
        <w:rPr>
          <w:sz w:val="24"/>
          <w:szCs w:val="20"/>
        </w:rPr>
        <w:t>1.2m</w:t>
      </w:r>
      <w:r>
        <w:rPr>
          <w:sz w:val="24"/>
          <w:szCs w:val="20"/>
        </w:rPr>
        <w:t>，管线埋设区域的地下水埋深大于</w:t>
      </w:r>
      <w:r>
        <w:rPr>
          <w:sz w:val="24"/>
          <w:szCs w:val="20"/>
        </w:rPr>
        <w:t>4m</w:t>
      </w:r>
      <w:r>
        <w:rPr>
          <w:sz w:val="24"/>
          <w:szCs w:val="20"/>
        </w:rPr>
        <w:t>，正常状况下，输送、储存的介质不会与管线穿越区的地下水水体之间发生联系，不会对区域地下水环境产生污染影响。</w:t>
      </w:r>
    </w:p>
    <w:p w:rsidR="00EE4502" w:rsidRDefault="00FD45A3">
      <w:pPr>
        <w:spacing w:line="360" w:lineRule="auto"/>
        <w:ind w:firstLineChars="200" w:firstLine="480"/>
        <w:rPr>
          <w:sz w:val="24"/>
          <w:szCs w:val="20"/>
        </w:rPr>
      </w:pPr>
      <w:r>
        <w:rPr>
          <w:sz w:val="24"/>
          <w:szCs w:val="20"/>
        </w:rPr>
        <w:t>（</w:t>
      </w:r>
      <w:r>
        <w:rPr>
          <w:sz w:val="24"/>
          <w:szCs w:val="20"/>
        </w:rPr>
        <w:t>4</w:t>
      </w:r>
      <w:r>
        <w:rPr>
          <w:sz w:val="24"/>
          <w:szCs w:val="20"/>
        </w:rPr>
        <w:t>）注</w:t>
      </w:r>
      <w:r>
        <w:rPr>
          <w:sz w:val="24"/>
          <w:szCs w:val="20"/>
        </w:rPr>
        <w:t>水影响分析</w:t>
      </w:r>
    </w:p>
    <w:p w:rsidR="00EE4502" w:rsidRDefault="00FD45A3">
      <w:pPr>
        <w:spacing w:line="360" w:lineRule="auto"/>
        <w:ind w:firstLineChars="200" w:firstLine="480"/>
        <w:rPr>
          <w:sz w:val="24"/>
          <w:szCs w:val="20"/>
        </w:rPr>
      </w:pPr>
      <w:r>
        <w:rPr>
          <w:sz w:val="24"/>
          <w:szCs w:val="20"/>
        </w:rPr>
        <w:lastRenderedPageBreak/>
        <w:t>①</w:t>
      </w:r>
      <w:r>
        <w:rPr>
          <w:sz w:val="24"/>
          <w:szCs w:val="20"/>
        </w:rPr>
        <w:t>注水层位及回注层地质构造</w:t>
      </w:r>
    </w:p>
    <w:p w:rsidR="00EE4502" w:rsidRDefault="00FD45A3">
      <w:pPr>
        <w:spacing w:line="360" w:lineRule="auto"/>
        <w:ind w:firstLineChars="200" w:firstLine="480"/>
        <w:rPr>
          <w:sz w:val="24"/>
          <w:szCs w:val="20"/>
        </w:rPr>
      </w:pPr>
      <w:r>
        <w:rPr>
          <w:sz w:val="24"/>
          <w:szCs w:val="20"/>
        </w:rPr>
        <w:t>油藏地质学中将适宜油气聚集成藏的场所称为</w:t>
      </w:r>
      <w:r>
        <w:rPr>
          <w:sz w:val="24"/>
          <w:szCs w:val="20"/>
        </w:rPr>
        <w:t>“</w:t>
      </w:r>
      <w:r>
        <w:rPr>
          <w:sz w:val="24"/>
          <w:szCs w:val="20"/>
        </w:rPr>
        <w:t>圈闭</w:t>
      </w:r>
      <w:r>
        <w:rPr>
          <w:sz w:val="24"/>
          <w:szCs w:val="20"/>
        </w:rPr>
        <w:t>”</w:t>
      </w:r>
      <w:r>
        <w:rPr>
          <w:sz w:val="24"/>
          <w:szCs w:val="20"/>
        </w:rPr>
        <w:t>。圈闭是油气藏形成的基础，没有适宜于油气富集聚集的圈闭，就不可能形成油气藏。油藏圈闭的形成必须具备以下</w:t>
      </w:r>
      <w:r>
        <w:rPr>
          <w:sz w:val="24"/>
          <w:szCs w:val="20"/>
        </w:rPr>
        <w:t>3</w:t>
      </w:r>
      <w:r>
        <w:rPr>
          <w:sz w:val="24"/>
          <w:szCs w:val="20"/>
        </w:rPr>
        <w:t>个基本要素：</w:t>
      </w:r>
    </w:p>
    <w:p w:rsidR="00EE4502" w:rsidRDefault="00FD45A3">
      <w:pPr>
        <w:spacing w:line="360" w:lineRule="auto"/>
        <w:ind w:firstLineChars="200" w:firstLine="480"/>
        <w:rPr>
          <w:sz w:val="24"/>
          <w:szCs w:val="20"/>
        </w:rPr>
      </w:pPr>
      <w:r>
        <w:rPr>
          <w:sz w:val="24"/>
          <w:szCs w:val="20"/>
        </w:rPr>
        <w:t>1</w:t>
      </w:r>
      <w:r>
        <w:rPr>
          <w:sz w:val="24"/>
          <w:szCs w:val="20"/>
        </w:rPr>
        <w:t>）具备适于油气储集的储集层；</w:t>
      </w:r>
    </w:p>
    <w:p w:rsidR="00EE4502" w:rsidRDefault="00FD45A3">
      <w:pPr>
        <w:spacing w:line="360" w:lineRule="auto"/>
        <w:ind w:firstLineChars="200" w:firstLine="480"/>
        <w:rPr>
          <w:sz w:val="24"/>
          <w:szCs w:val="20"/>
        </w:rPr>
      </w:pPr>
      <w:r>
        <w:rPr>
          <w:sz w:val="24"/>
          <w:szCs w:val="20"/>
        </w:rPr>
        <w:t>2</w:t>
      </w:r>
      <w:r>
        <w:rPr>
          <w:sz w:val="24"/>
          <w:szCs w:val="20"/>
        </w:rPr>
        <w:t>）具备遮盖着储集层，阻止油气向上逸散的盖层；</w:t>
      </w:r>
    </w:p>
    <w:p w:rsidR="00EE4502" w:rsidRDefault="00FD45A3">
      <w:pPr>
        <w:spacing w:line="360" w:lineRule="auto"/>
        <w:ind w:firstLineChars="200" w:firstLine="480"/>
        <w:rPr>
          <w:sz w:val="24"/>
          <w:szCs w:val="20"/>
        </w:rPr>
      </w:pPr>
      <w:r>
        <w:rPr>
          <w:sz w:val="24"/>
          <w:szCs w:val="20"/>
        </w:rPr>
        <w:t>3</w:t>
      </w:r>
      <w:r>
        <w:rPr>
          <w:sz w:val="24"/>
          <w:szCs w:val="20"/>
        </w:rPr>
        <w:t>）具备从各方面阻止油气继续运移，促使油气聚集的遮挡条件，这种遮挡条件可以是盖层本身的弯曲变形，也可以是如断层、岩性变化等阻隔油气横向运移的遮挡条件。</w:t>
      </w:r>
    </w:p>
    <w:p w:rsidR="00EE4502" w:rsidRDefault="00FD45A3">
      <w:pPr>
        <w:spacing w:line="360" w:lineRule="auto"/>
        <w:ind w:firstLineChars="200" w:firstLine="480"/>
        <w:rPr>
          <w:sz w:val="24"/>
        </w:rPr>
      </w:pPr>
      <w:r>
        <w:rPr>
          <w:sz w:val="24"/>
          <w:szCs w:val="20"/>
        </w:rPr>
        <w:t>单井注水规模按</w:t>
      </w:r>
      <w:r>
        <w:rPr>
          <w:sz w:val="24"/>
          <w:szCs w:val="20"/>
        </w:rPr>
        <w:t>500m³/d</w:t>
      </w:r>
      <w:r>
        <w:rPr>
          <w:sz w:val="24"/>
          <w:szCs w:val="20"/>
        </w:rPr>
        <w:t>设计，综合回注井地质资料，回注层沙湾组为春风油</w:t>
      </w:r>
      <w:r>
        <w:rPr>
          <w:sz w:val="24"/>
          <w:szCs w:val="20"/>
        </w:rPr>
        <w:t>田主力油气藏层，根据油藏资料，区块渗透率为</w:t>
      </w:r>
      <w:r>
        <w:rPr>
          <w:sz w:val="24"/>
          <w:szCs w:val="20"/>
        </w:rPr>
        <w:t>4660×10-3μm</w:t>
      </w:r>
      <w:r>
        <w:rPr>
          <w:sz w:val="24"/>
          <w:szCs w:val="20"/>
          <w:vertAlign w:val="superscript"/>
        </w:rPr>
        <w:t>2</w:t>
      </w:r>
      <w:r>
        <w:rPr>
          <w:sz w:val="24"/>
          <w:szCs w:val="20"/>
        </w:rPr>
        <w:t>，由于地层岩性和埋藏深度等条件的制约，注水段地层埋藏深，无现代大气降水和地表水补给的可能，加上受油气、煤炭等沉积环境的影响，水量不大，水质差，无开采价值。所以，回注层中不存在具有开采意义的地下水资源。回注段与项目区所在区域内有供水意义的含水层</w:t>
      </w:r>
      <w:r>
        <w:rPr>
          <w:bCs/>
          <w:spacing w:val="4"/>
          <w:kern w:val="0"/>
          <w:sz w:val="24"/>
        </w:rPr>
        <w:t>无水力联系，在正常情况下不会对其产生影响。上覆</w:t>
      </w:r>
      <w:r>
        <w:rPr>
          <w:kern w:val="0"/>
          <w:sz w:val="24"/>
          <w:szCs w:val="20"/>
        </w:rPr>
        <w:t>沙湾组上部为绿灰色泥岩，中部为灰褐色砂砾岩的水层</w:t>
      </w:r>
      <w:r>
        <w:rPr>
          <w:kern w:val="0"/>
          <w:sz w:val="24"/>
          <w:szCs w:val="20"/>
        </w:rPr>
        <w:t>，</w:t>
      </w:r>
      <w:r>
        <w:rPr>
          <w:kern w:val="0"/>
          <w:sz w:val="24"/>
          <w:szCs w:val="20"/>
        </w:rPr>
        <w:t>中下部发育一套</w:t>
      </w:r>
      <w:r>
        <w:rPr>
          <w:kern w:val="0"/>
          <w:sz w:val="24"/>
          <w:szCs w:val="20"/>
        </w:rPr>
        <w:t>20m</w:t>
      </w:r>
      <w:r>
        <w:rPr>
          <w:kern w:val="0"/>
          <w:sz w:val="24"/>
          <w:szCs w:val="20"/>
        </w:rPr>
        <w:t>左右的绿灰色泥岩，底部发育一套厚约</w:t>
      </w:r>
      <w:r>
        <w:rPr>
          <w:kern w:val="0"/>
          <w:sz w:val="24"/>
          <w:szCs w:val="20"/>
        </w:rPr>
        <w:t>10m</w:t>
      </w:r>
      <w:r>
        <w:rPr>
          <w:kern w:val="0"/>
          <w:sz w:val="24"/>
          <w:szCs w:val="20"/>
        </w:rPr>
        <w:t>的黑褐色含砾砂岩油层，沙湾组</w:t>
      </w:r>
      <w:r>
        <w:rPr>
          <w:bCs/>
          <w:spacing w:val="4"/>
          <w:kern w:val="0"/>
          <w:sz w:val="24"/>
        </w:rPr>
        <w:t>上覆</w:t>
      </w:r>
      <w:r>
        <w:rPr>
          <w:bCs/>
          <w:spacing w:val="4"/>
          <w:kern w:val="0"/>
          <w:sz w:val="24"/>
        </w:rPr>
        <w:t>地层</w:t>
      </w:r>
      <w:r>
        <w:rPr>
          <w:bCs/>
          <w:spacing w:val="4"/>
          <w:kern w:val="0"/>
          <w:sz w:val="24"/>
        </w:rPr>
        <w:t>塔西河组岩性以泥岩为主，夹粒度较细的粉砂岩、泥质粉砂岩，上部以灰黄色泥质岩为主，下部为一套以棕红色泥岩为主的氧化环境下的沉积产物，全区稳定分布，可作为回注层直接封盖层，确保回注污水不破坏</w:t>
      </w:r>
      <w:r>
        <w:rPr>
          <w:bCs/>
          <w:spacing w:val="4"/>
          <w:kern w:val="0"/>
          <w:sz w:val="24"/>
        </w:rPr>
        <w:t>第四系含水层</w:t>
      </w:r>
      <w:r>
        <w:rPr>
          <w:bCs/>
          <w:spacing w:val="4"/>
          <w:kern w:val="0"/>
          <w:sz w:val="24"/>
        </w:rPr>
        <w:t>；</w:t>
      </w:r>
      <w:r>
        <w:rPr>
          <w:bCs/>
          <w:spacing w:val="4"/>
          <w:kern w:val="0"/>
          <w:sz w:val="24"/>
        </w:rPr>
        <w:t>下覆地层厚度</w:t>
      </w:r>
      <w:r>
        <w:rPr>
          <w:bCs/>
          <w:spacing w:val="4"/>
          <w:kern w:val="0"/>
          <w:sz w:val="24"/>
        </w:rPr>
        <w:t>约</w:t>
      </w:r>
      <w:r>
        <w:rPr>
          <w:bCs/>
          <w:spacing w:val="4"/>
          <w:kern w:val="0"/>
          <w:sz w:val="24"/>
        </w:rPr>
        <w:t>300</w:t>
      </w:r>
      <w:r>
        <w:rPr>
          <w:bCs/>
          <w:spacing w:val="4"/>
          <w:kern w:val="0"/>
          <w:sz w:val="24"/>
        </w:rPr>
        <w:t>m</w:t>
      </w:r>
      <w:r>
        <w:rPr>
          <w:bCs/>
          <w:spacing w:val="4"/>
          <w:kern w:val="0"/>
          <w:sz w:val="24"/>
        </w:rPr>
        <w:t>，岩性以泥岩为主，可对回注污水实现有效封堵。</w:t>
      </w:r>
    </w:p>
    <w:p w:rsidR="00EE4502" w:rsidRDefault="00FD45A3">
      <w:pPr>
        <w:widowControl/>
        <w:spacing w:line="360" w:lineRule="auto"/>
        <w:ind w:firstLineChars="200" w:firstLine="480"/>
        <w:jc w:val="left"/>
        <w:rPr>
          <w:kern w:val="0"/>
          <w:sz w:val="24"/>
        </w:rPr>
      </w:pPr>
      <w:r>
        <w:rPr>
          <w:kern w:val="0"/>
          <w:sz w:val="24"/>
        </w:rPr>
        <w:t>②</w:t>
      </w:r>
      <w:r>
        <w:rPr>
          <w:kern w:val="0"/>
          <w:sz w:val="24"/>
        </w:rPr>
        <w:t>注水水质</w:t>
      </w:r>
    </w:p>
    <w:p w:rsidR="00EE4502" w:rsidRDefault="00FD45A3">
      <w:pPr>
        <w:adjustRightInd w:val="0"/>
        <w:snapToGrid w:val="0"/>
        <w:spacing w:line="360" w:lineRule="auto"/>
        <w:ind w:firstLineChars="200" w:firstLine="480"/>
        <w:rPr>
          <w:sz w:val="24"/>
          <w:szCs w:val="20"/>
        </w:rPr>
      </w:pPr>
      <w:r>
        <w:rPr>
          <w:sz w:val="24"/>
          <w:szCs w:val="20"/>
        </w:rPr>
        <w:t>本工程建设注水井</w:t>
      </w:r>
      <w:r>
        <w:rPr>
          <w:sz w:val="24"/>
          <w:szCs w:val="20"/>
        </w:rPr>
        <w:t>3</w:t>
      </w:r>
      <w:r>
        <w:rPr>
          <w:sz w:val="24"/>
          <w:szCs w:val="20"/>
        </w:rPr>
        <w:t>座，回注水来源是经处理达到《碎屑岩油藏注水水质指标技术要求及分析方法》（</w:t>
      </w:r>
      <w:r>
        <w:rPr>
          <w:sz w:val="24"/>
          <w:szCs w:val="20"/>
        </w:rPr>
        <w:t>SY/T5329-2022</w:t>
      </w:r>
      <w:r>
        <w:rPr>
          <w:sz w:val="24"/>
          <w:szCs w:val="20"/>
        </w:rPr>
        <w:t>）中</w:t>
      </w:r>
      <w:r>
        <w:rPr>
          <w:rFonts w:hint="eastAsia"/>
          <w:sz w:val="24"/>
          <w:szCs w:val="20"/>
        </w:rPr>
        <w:t>V</w:t>
      </w:r>
      <w:r>
        <w:rPr>
          <w:rFonts w:hint="eastAsia"/>
          <w:sz w:val="24"/>
          <w:szCs w:val="20"/>
        </w:rPr>
        <w:t>级</w:t>
      </w:r>
      <w:r>
        <w:rPr>
          <w:sz w:val="24"/>
          <w:szCs w:val="20"/>
        </w:rPr>
        <w:t>标准的采出水。</w:t>
      </w:r>
    </w:p>
    <w:p w:rsidR="00EE4502" w:rsidRDefault="00FD45A3">
      <w:pPr>
        <w:adjustRightInd w:val="0"/>
        <w:snapToGrid w:val="0"/>
        <w:spacing w:line="360" w:lineRule="auto"/>
        <w:ind w:firstLineChars="200" w:firstLine="480"/>
        <w:rPr>
          <w:sz w:val="24"/>
        </w:rPr>
      </w:pPr>
      <w:r>
        <w:rPr>
          <w:sz w:val="24"/>
        </w:rPr>
        <w:t>③</w:t>
      </w:r>
      <w:r>
        <w:rPr>
          <w:sz w:val="24"/>
        </w:rPr>
        <w:t>注水井井身结构</w:t>
      </w:r>
    </w:p>
    <w:p w:rsidR="00EE4502" w:rsidRDefault="00FD45A3">
      <w:pPr>
        <w:adjustRightInd w:val="0"/>
        <w:snapToGrid w:val="0"/>
        <w:spacing w:line="360" w:lineRule="auto"/>
        <w:ind w:firstLineChars="200" w:firstLine="480"/>
        <w:rPr>
          <w:sz w:val="24"/>
        </w:rPr>
      </w:pPr>
      <w:r>
        <w:rPr>
          <w:sz w:val="24"/>
        </w:rPr>
        <w:t>各回注井采用二开井身结构，根据注水井井身结构示意图可知，注水井均通过水泥将套管与地层之间进行封闭，上有封隔器完全隔绝采出水回注过程中与非注水层和地下含水层的联系，阻止回注水对非注水层和地下含水层的污染；井底构筑水泥塞，阻止注水向下部地层的渗入；仅井体底部的钢质封闭管壁设置射孔段作为回注水排出钢管之外的通道；地面部分，井口高出地面，设置控制加压装</w:t>
      </w:r>
      <w:r>
        <w:rPr>
          <w:sz w:val="24"/>
        </w:rPr>
        <w:lastRenderedPageBreak/>
        <w:t>置，防止对近地表的地下潜水与地表水的污染。因此，回注地层的采出水，在正常状况下无法跨越抗压强度较高的钢管与水泥阻挡层而涌入非注水层。回注井在钻井过程中进行了固井，在固</w:t>
      </w:r>
      <w:r>
        <w:rPr>
          <w:sz w:val="24"/>
        </w:rPr>
        <w:t>井质量良好的情况下可以确保井壁不会发生侧漏，有效隔离含水层与井内回注水的交换，可对回注水实现有效封堵，故可认为不会对地下水水质产生影响。</w:t>
      </w:r>
    </w:p>
    <w:p w:rsidR="00EE4502" w:rsidRDefault="00FD45A3">
      <w:pPr>
        <w:adjustRightInd w:val="0"/>
        <w:snapToGrid w:val="0"/>
        <w:spacing w:line="360" w:lineRule="auto"/>
        <w:ind w:firstLineChars="200" w:firstLine="480"/>
        <w:rPr>
          <w:sz w:val="24"/>
        </w:rPr>
      </w:pPr>
      <w:r>
        <w:rPr>
          <w:sz w:val="24"/>
        </w:rPr>
        <w:t>综上，按照油气藏形成和赋存的地质构造条件，回注层为春风油田主力油藏层，油层与上部的第四系含水层之间不存在水力联系。因而，从注水层位及回注层地质构造分析，在正常的油田开发过程中，回注到含油层的采出水不会对回注层之外的地下水含水层水质产生影响，有效保护地下水层，满足《关于进一步加强石油天然气行业环境影响评价管理的通知》（环办环评函〔</w:t>
      </w:r>
      <w:r>
        <w:rPr>
          <w:sz w:val="24"/>
        </w:rPr>
        <w:t>2019</w:t>
      </w:r>
      <w:r>
        <w:rPr>
          <w:sz w:val="24"/>
        </w:rPr>
        <w:t>〕</w:t>
      </w:r>
      <w:r>
        <w:rPr>
          <w:sz w:val="24"/>
        </w:rPr>
        <w:t>910</w:t>
      </w:r>
      <w:r>
        <w:rPr>
          <w:sz w:val="24"/>
        </w:rPr>
        <w:t>号）的相关要求。</w:t>
      </w:r>
    </w:p>
    <w:p w:rsidR="00EE4502" w:rsidRDefault="00FD45A3">
      <w:pPr>
        <w:adjustRightInd w:val="0"/>
        <w:snapToGrid w:val="0"/>
        <w:spacing w:line="360" w:lineRule="auto"/>
        <w:ind w:firstLineChars="200" w:firstLine="480"/>
        <w:rPr>
          <w:sz w:val="24"/>
        </w:rPr>
      </w:pPr>
      <w:r>
        <w:rPr>
          <w:sz w:val="24"/>
        </w:rPr>
        <w:t>后期随着注</w:t>
      </w:r>
      <w:r>
        <w:rPr>
          <w:sz w:val="24"/>
        </w:rPr>
        <w:t>水量的不断增加，地层压力也随之不断升高，必须加强检测、观察，避免因水窜层造成地下水的污染。</w:t>
      </w:r>
    </w:p>
    <w:p w:rsidR="00EE4502" w:rsidRDefault="00FD45A3">
      <w:pPr>
        <w:spacing w:line="360" w:lineRule="auto"/>
        <w:ind w:firstLine="522"/>
        <w:rPr>
          <w:sz w:val="24"/>
        </w:rPr>
      </w:pPr>
      <w:r>
        <w:rPr>
          <w:sz w:val="24"/>
        </w:rPr>
        <w:t>综上，正常情况下，本项目的实施对地下水的影响较小</w:t>
      </w:r>
      <w:r>
        <w:rPr>
          <w:rFonts w:hint="eastAsia"/>
          <w:sz w:val="24"/>
        </w:rPr>
        <w:t>。</w:t>
      </w:r>
    </w:p>
    <w:p w:rsidR="00EE4502" w:rsidRDefault="00FD45A3">
      <w:pPr>
        <w:pStyle w:val="41"/>
        <w:numPr>
          <w:ilvl w:val="3"/>
          <w:numId w:val="30"/>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bCs w:val="0"/>
          <w:sz w:val="24"/>
          <w:szCs w:val="24"/>
        </w:rPr>
        <w:t>非正常工况对地下水的影响分析</w:t>
      </w:r>
    </w:p>
    <w:p w:rsidR="00EE4502" w:rsidRDefault="00FD45A3">
      <w:pPr>
        <w:adjustRightInd w:val="0"/>
        <w:snapToGrid w:val="0"/>
        <w:spacing w:line="480" w:lineRule="exact"/>
        <w:ind w:firstLineChars="200" w:firstLine="480"/>
        <w:rPr>
          <w:sz w:val="24"/>
          <w:szCs w:val="20"/>
        </w:rPr>
      </w:pPr>
      <w:r>
        <w:rPr>
          <w:sz w:val="24"/>
          <w:szCs w:val="20"/>
        </w:rPr>
        <w:t>油田工程生产过程中，</w:t>
      </w:r>
      <w:r>
        <w:rPr>
          <w:rFonts w:hint="eastAsia"/>
          <w:sz w:val="24"/>
          <w:szCs w:val="20"/>
        </w:rPr>
        <w:t>各个环节</w:t>
      </w:r>
      <w:r>
        <w:rPr>
          <w:sz w:val="24"/>
          <w:szCs w:val="20"/>
        </w:rPr>
        <w:t>都存在着易燃、易爆、有害物质，除危害工程本身安全外，同时对地下水也构成污染的危险。主要表现因操作失误或处理措施不当而发生的井喷或井漏等工程事故；自然灾害引起的油田污染事故；集输管线、阀组运行过程中，管线腐蚀穿孔，误操作及人为破坏等原因造成的管线破裂使油品泄漏。无论是人为因素还是自然因素所造成的事故，对</w:t>
      </w:r>
      <w:r>
        <w:rPr>
          <w:sz w:val="24"/>
          <w:szCs w:val="20"/>
        </w:rPr>
        <w:t>评价区</w:t>
      </w:r>
      <w:r>
        <w:rPr>
          <w:sz w:val="24"/>
          <w:szCs w:val="20"/>
        </w:rPr>
        <w:t>地下水体均可能产生污染的风险。</w:t>
      </w:r>
    </w:p>
    <w:p w:rsidR="00EE4502" w:rsidRDefault="00FD45A3">
      <w:pPr>
        <w:spacing w:line="360" w:lineRule="auto"/>
        <w:ind w:firstLineChars="200" w:firstLine="480"/>
        <w:rPr>
          <w:sz w:val="24"/>
          <w:szCs w:val="20"/>
        </w:rPr>
      </w:pPr>
      <w:r>
        <w:rPr>
          <w:sz w:val="24"/>
          <w:szCs w:val="20"/>
        </w:rPr>
        <w:t>本项目开</w:t>
      </w:r>
      <w:r>
        <w:rPr>
          <w:sz w:val="24"/>
          <w:szCs w:val="20"/>
        </w:rPr>
        <w:t>发对地下水产生污染的途径主要有两种方式，即渗透污染和穿透污染途径。</w:t>
      </w:r>
    </w:p>
    <w:p w:rsidR="00EE4502" w:rsidRDefault="00FD45A3">
      <w:pPr>
        <w:spacing w:line="360" w:lineRule="auto"/>
        <w:ind w:firstLineChars="200" w:firstLine="480"/>
        <w:rPr>
          <w:sz w:val="24"/>
          <w:szCs w:val="20"/>
        </w:rPr>
      </w:pPr>
      <w:r>
        <w:rPr>
          <w:kern w:val="0"/>
          <w:sz w:val="24"/>
          <w:szCs w:val="21"/>
        </w:rPr>
        <w:t>穿透污染：本工程共部署</w:t>
      </w:r>
      <w:r>
        <w:rPr>
          <w:kern w:val="0"/>
          <w:sz w:val="24"/>
          <w:szCs w:val="21"/>
        </w:rPr>
        <w:t>22</w:t>
      </w:r>
      <w:r>
        <w:rPr>
          <w:kern w:val="0"/>
          <w:sz w:val="24"/>
          <w:szCs w:val="21"/>
        </w:rPr>
        <w:t>口井，其中新建采油井场</w:t>
      </w:r>
      <w:r>
        <w:rPr>
          <w:kern w:val="0"/>
          <w:sz w:val="24"/>
          <w:szCs w:val="21"/>
        </w:rPr>
        <w:t>9</w:t>
      </w:r>
      <w:r>
        <w:rPr>
          <w:kern w:val="0"/>
          <w:sz w:val="24"/>
          <w:szCs w:val="21"/>
        </w:rPr>
        <w:t>座（双井同台井场</w:t>
      </w:r>
      <w:r>
        <w:rPr>
          <w:kern w:val="0"/>
          <w:sz w:val="24"/>
          <w:szCs w:val="21"/>
        </w:rPr>
        <w:t>6</w:t>
      </w:r>
      <w:r>
        <w:rPr>
          <w:kern w:val="0"/>
          <w:sz w:val="24"/>
          <w:szCs w:val="21"/>
        </w:rPr>
        <w:t>座、单井井场</w:t>
      </w:r>
      <w:r>
        <w:rPr>
          <w:kern w:val="0"/>
          <w:sz w:val="24"/>
          <w:szCs w:val="21"/>
        </w:rPr>
        <w:t>1</w:t>
      </w:r>
      <w:r>
        <w:rPr>
          <w:kern w:val="0"/>
          <w:sz w:val="24"/>
          <w:szCs w:val="21"/>
        </w:rPr>
        <w:t>座、老井合建</w:t>
      </w:r>
      <w:r>
        <w:rPr>
          <w:kern w:val="0"/>
          <w:sz w:val="24"/>
          <w:szCs w:val="21"/>
        </w:rPr>
        <w:t>2</w:t>
      </w:r>
      <w:r>
        <w:rPr>
          <w:kern w:val="0"/>
          <w:sz w:val="24"/>
          <w:szCs w:val="21"/>
        </w:rPr>
        <w:t>座），新建注水单井井场</w:t>
      </w:r>
      <w:r>
        <w:rPr>
          <w:kern w:val="0"/>
          <w:sz w:val="24"/>
          <w:szCs w:val="21"/>
        </w:rPr>
        <w:t>3</w:t>
      </w:r>
      <w:r>
        <w:rPr>
          <w:kern w:val="0"/>
          <w:sz w:val="24"/>
          <w:szCs w:val="21"/>
        </w:rPr>
        <w:t>座，老井利用</w:t>
      </w:r>
      <w:r>
        <w:rPr>
          <w:kern w:val="0"/>
          <w:sz w:val="24"/>
          <w:szCs w:val="21"/>
        </w:rPr>
        <w:t>4</w:t>
      </w:r>
      <w:r>
        <w:rPr>
          <w:kern w:val="0"/>
          <w:sz w:val="24"/>
          <w:szCs w:val="21"/>
        </w:rPr>
        <w:t>口（试采井</w:t>
      </w:r>
      <w:r>
        <w:rPr>
          <w:kern w:val="0"/>
          <w:sz w:val="24"/>
          <w:szCs w:val="21"/>
        </w:rPr>
        <w:t>3</w:t>
      </w:r>
      <w:r>
        <w:rPr>
          <w:kern w:val="0"/>
          <w:sz w:val="24"/>
          <w:szCs w:val="21"/>
        </w:rPr>
        <w:t>口、回注井</w:t>
      </w:r>
      <w:r>
        <w:rPr>
          <w:kern w:val="0"/>
          <w:sz w:val="24"/>
          <w:szCs w:val="21"/>
        </w:rPr>
        <w:t>1</w:t>
      </w:r>
      <w:r>
        <w:rPr>
          <w:kern w:val="0"/>
          <w:sz w:val="24"/>
          <w:szCs w:val="21"/>
        </w:rPr>
        <w:t>口）。在注汽、采油及注水过程中，</w:t>
      </w:r>
      <w:r>
        <w:rPr>
          <w:sz w:val="24"/>
          <w:szCs w:val="20"/>
        </w:rPr>
        <w:t>污染物沿着裂隙或孔隙直接到达含水层从而污染地下水的方式称为穿透污染</w:t>
      </w:r>
      <w:r>
        <w:rPr>
          <w:sz w:val="24"/>
          <w:szCs w:val="20"/>
        </w:rPr>
        <w:t>（</w:t>
      </w:r>
      <w:r>
        <w:rPr>
          <w:sz w:val="24"/>
          <w:szCs w:val="20"/>
        </w:rPr>
        <w:t>窜层</w:t>
      </w:r>
      <w:r>
        <w:rPr>
          <w:sz w:val="24"/>
          <w:szCs w:val="20"/>
        </w:rPr>
        <w:t>）</w:t>
      </w:r>
      <w:r>
        <w:rPr>
          <w:sz w:val="24"/>
          <w:szCs w:val="20"/>
        </w:rPr>
        <w:t>。以该种方式污染地下水的主要是固井</w:t>
      </w:r>
      <w:r>
        <w:rPr>
          <w:sz w:val="24"/>
          <w:szCs w:val="20"/>
        </w:rPr>
        <w:t>效果差或套管破损、</w:t>
      </w:r>
      <w:r>
        <w:rPr>
          <w:sz w:val="24"/>
          <w:szCs w:val="20"/>
        </w:rPr>
        <w:t>井壁</w:t>
      </w:r>
      <w:r>
        <w:rPr>
          <w:sz w:val="24"/>
          <w:szCs w:val="20"/>
        </w:rPr>
        <w:t>侧漏等导致生产</w:t>
      </w:r>
      <w:r>
        <w:rPr>
          <w:sz w:val="24"/>
          <w:szCs w:val="20"/>
        </w:rPr>
        <w:t>过程中</w:t>
      </w:r>
      <w:r>
        <w:rPr>
          <w:sz w:val="24"/>
          <w:szCs w:val="20"/>
        </w:rPr>
        <w:t>发生</w:t>
      </w:r>
      <w:r>
        <w:rPr>
          <w:sz w:val="24"/>
          <w:szCs w:val="20"/>
        </w:rPr>
        <w:t>套外返水，采出液在水头压力差的作用下，可能直接进入含水层，发</w:t>
      </w:r>
      <w:r>
        <w:rPr>
          <w:sz w:val="24"/>
          <w:szCs w:val="20"/>
        </w:rPr>
        <w:t>生油水窜层，并在含水层中扩散迁移，污染地下水。由废弃井、套管被腐蚀破坏而污染到地下</w:t>
      </w:r>
      <w:r>
        <w:rPr>
          <w:sz w:val="24"/>
          <w:szCs w:val="20"/>
        </w:rPr>
        <w:lastRenderedPageBreak/>
        <w:t>水的现象，在前期不会发生，待</w:t>
      </w:r>
      <w:r>
        <w:rPr>
          <w:sz w:val="24"/>
          <w:szCs w:val="20"/>
        </w:rPr>
        <w:t>油田</w:t>
      </w:r>
      <w:r>
        <w:rPr>
          <w:sz w:val="24"/>
          <w:szCs w:val="20"/>
        </w:rPr>
        <w:t>开发到中后期时，废弃井、套管被腐蚀破坏，才可能会对地下水有影响：废弃井在长期闲置过程中，在地下各种复合作用下，固井水泥被腐蚀，套管被腐蚀穿孔，加上只封死井口，油气物质失去了释放通道，会通过</w:t>
      </w:r>
      <w:r>
        <w:rPr>
          <w:rFonts w:hint="eastAsia"/>
          <w:sz w:val="24"/>
          <w:szCs w:val="20"/>
        </w:rPr>
        <w:t>径流</w:t>
      </w:r>
      <w:r>
        <w:rPr>
          <w:sz w:val="24"/>
          <w:szCs w:val="20"/>
        </w:rPr>
        <w:t>进入潜水含水层，参与地下水循环。虽然此时油层几乎没有多少压力，原油不大可能进入到含水层污染地下水，但这一现象仍应引起重视。</w:t>
      </w:r>
    </w:p>
    <w:p w:rsidR="00EE4502" w:rsidRDefault="00FD45A3">
      <w:pPr>
        <w:spacing w:line="360" w:lineRule="auto"/>
        <w:ind w:firstLineChars="200" w:firstLine="480"/>
        <w:rPr>
          <w:sz w:val="24"/>
          <w:szCs w:val="20"/>
        </w:rPr>
      </w:pPr>
      <w:r>
        <w:rPr>
          <w:sz w:val="24"/>
          <w:szCs w:val="20"/>
        </w:rPr>
        <w:t>渗透污染：</w:t>
      </w:r>
      <w:r>
        <w:rPr>
          <w:sz w:val="24"/>
          <w:szCs w:val="20"/>
        </w:rPr>
        <w:t>地面及包气带污染物沿着松散的孔隙下渗至含水层致使地下水污染的方式称渗透污</w:t>
      </w:r>
      <w:r>
        <w:rPr>
          <w:sz w:val="24"/>
          <w:szCs w:val="20"/>
        </w:rPr>
        <w:t>染。本项目可能产生的渗透污染主要是井喷、集输管线</w:t>
      </w:r>
      <w:r>
        <w:rPr>
          <w:rFonts w:hint="eastAsia"/>
          <w:sz w:val="24"/>
          <w:szCs w:val="20"/>
        </w:rPr>
        <w:t>泄漏</w:t>
      </w:r>
      <w:r>
        <w:rPr>
          <w:sz w:val="24"/>
          <w:szCs w:val="20"/>
        </w:rPr>
        <w:t>、落地油渗漏等，都是通过包气带渗透到潜水含水层而污染地下水的。包气带厚度愈薄，透水性愈好，就愈造成潜水污染，反之，包气带愈厚、透水性愈差，则其隔污能力就愈强，则潜水污染就愈轻。春风油田排</w:t>
      </w:r>
      <w:r>
        <w:rPr>
          <w:sz w:val="24"/>
          <w:szCs w:val="20"/>
        </w:rPr>
        <w:t>61</w:t>
      </w:r>
      <w:r>
        <w:rPr>
          <w:sz w:val="24"/>
          <w:szCs w:val="20"/>
        </w:rPr>
        <w:t>块所在油田区域属于超稠油，粘度大，在自然条件下基本无外泄井喷可能，根据与油田相关工作人员咨询，在注汽过程中，压力未控制合适的情况下，才有可能出现井喷情况，但发生概率微乎其微。管线与法兰连接处、管线泄漏事故</w:t>
      </w:r>
      <w:r>
        <w:rPr>
          <w:sz w:val="24"/>
          <w:szCs w:val="20"/>
        </w:rPr>
        <w:t>、</w:t>
      </w:r>
      <w:r>
        <w:rPr>
          <w:sz w:val="24"/>
          <w:szCs w:val="20"/>
        </w:rPr>
        <w:t>注水站等站场</w:t>
      </w:r>
      <w:r>
        <w:rPr>
          <w:rFonts w:hint="eastAsia"/>
          <w:sz w:val="24"/>
          <w:szCs w:val="20"/>
        </w:rPr>
        <w:t>泄漏</w:t>
      </w:r>
      <w:r>
        <w:rPr>
          <w:sz w:val="24"/>
          <w:szCs w:val="20"/>
        </w:rPr>
        <w:t>事故等</w:t>
      </w:r>
      <w:r>
        <w:rPr>
          <w:sz w:val="24"/>
          <w:szCs w:val="20"/>
        </w:rPr>
        <w:t>会导致浅部隐蔽性污染源的产生，泄漏的油品下</w:t>
      </w:r>
      <w:r>
        <w:rPr>
          <w:sz w:val="24"/>
          <w:szCs w:val="20"/>
        </w:rPr>
        <w:t>渗而可能导致地下水污染风险的发生。发生泄漏的原因有如下几种：误操作、机械故障、外力作用和腐蚀等，这几种因素的产生都是人为的或人为操控程度很高，发生污染的危害程度也取决于操作人员的处置和控制。泄漏事故会导致浅部隐蔽性污染源的产生，泄漏的油品下渗而可能导致地下水污染风险的发生。通常泄漏事故对地下水环境的影响程度主要取决于原油的物理性质、泄漏方式、多孔介质特征及地下水位埋深等多种因素。由于管线泄漏事故为短期大量排放，污染物的泄漏以地表扩展为主，一般能及时发现，并可很快加以控制，石油烃等污染物在其中迁移的阻滞作用较</w:t>
      </w:r>
      <w:r>
        <w:rPr>
          <w:sz w:val="24"/>
          <w:szCs w:val="20"/>
        </w:rPr>
        <w:t>强，迁移及衰减速度较慢，其影响范围不大，对地下水环境一般不易产生不利影响。</w:t>
      </w:r>
    </w:p>
    <w:p w:rsidR="00EE4502" w:rsidRDefault="00FD45A3">
      <w:pPr>
        <w:spacing w:line="360" w:lineRule="auto"/>
        <w:ind w:firstLineChars="200" w:firstLine="480"/>
        <w:rPr>
          <w:sz w:val="24"/>
          <w:szCs w:val="20"/>
        </w:rPr>
      </w:pPr>
      <w:r>
        <w:rPr>
          <w:sz w:val="24"/>
          <w:szCs w:val="20"/>
        </w:rPr>
        <w:t>污染物进入地下后，污染物向地下水系统的迁移途径为：</w:t>
      </w:r>
    </w:p>
    <w:p w:rsidR="00EE4502" w:rsidRDefault="00FD45A3">
      <w:pPr>
        <w:spacing w:line="360" w:lineRule="auto"/>
        <w:ind w:firstLineChars="200" w:firstLine="480"/>
        <w:rPr>
          <w:sz w:val="24"/>
          <w:szCs w:val="20"/>
        </w:rPr>
      </w:pPr>
      <w:r>
        <w:rPr>
          <w:sz w:val="24"/>
          <w:szCs w:val="20"/>
        </w:rPr>
        <w:t>入渗污染物</w:t>
      </w:r>
      <w:r>
        <w:rPr>
          <w:sz w:val="24"/>
          <w:szCs w:val="20"/>
        </w:rPr>
        <w:t>→</w:t>
      </w:r>
      <w:r>
        <w:rPr>
          <w:sz w:val="24"/>
          <w:szCs w:val="20"/>
        </w:rPr>
        <w:t>表土层</w:t>
      </w:r>
      <w:r>
        <w:rPr>
          <w:sz w:val="24"/>
          <w:szCs w:val="20"/>
        </w:rPr>
        <w:t>→</w:t>
      </w:r>
      <w:r>
        <w:rPr>
          <w:sz w:val="24"/>
          <w:szCs w:val="20"/>
        </w:rPr>
        <w:t>包气带</w:t>
      </w:r>
      <w:r>
        <w:rPr>
          <w:sz w:val="24"/>
          <w:szCs w:val="20"/>
        </w:rPr>
        <w:t>→</w:t>
      </w:r>
      <w:r>
        <w:rPr>
          <w:sz w:val="24"/>
          <w:szCs w:val="20"/>
        </w:rPr>
        <w:t>含水层</w:t>
      </w:r>
      <w:r>
        <w:rPr>
          <w:sz w:val="24"/>
          <w:szCs w:val="20"/>
        </w:rPr>
        <w:t>→</w:t>
      </w:r>
      <w:r>
        <w:rPr>
          <w:sz w:val="24"/>
          <w:szCs w:val="20"/>
        </w:rPr>
        <w:t>迁移</w:t>
      </w:r>
    </w:p>
    <w:p w:rsidR="00EE4502" w:rsidRDefault="00FD45A3">
      <w:pPr>
        <w:spacing w:line="360" w:lineRule="auto"/>
        <w:ind w:firstLineChars="200" w:firstLine="480"/>
        <w:rPr>
          <w:sz w:val="24"/>
          <w:szCs w:val="20"/>
        </w:rPr>
      </w:pPr>
      <w:r>
        <w:rPr>
          <w:sz w:val="24"/>
          <w:szCs w:val="20"/>
        </w:rPr>
        <w:t>为了评价污染物入渗对评价区内地下水水质的影响，故本次地下水环境影响预测采用解析法，针对石油类污染物</w:t>
      </w:r>
      <w:r>
        <w:rPr>
          <w:rFonts w:hint="eastAsia"/>
          <w:sz w:val="24"/>
          <w:szCs w:val="20"/>
        </w:rPr>
        <w:t>进入</w:t>
      </w:r>
      <w:r>
        <w:rPr>
          <w:sz w:val="24"/>
          <w:szCs w:val="20"/>
        </w:rPr>
        <w:t>含水层后的运移进行重点预测、评价。</w:t>
      </w:r>
    </w:p>
    <w:p w:rsidR="00EE4502" w:rsidRDefault="00FD45A3" w:rsidP="003F4A18">
      <w:pPr>
        <w:spacing w:line="360" w:lineRule="auto"/>
        <w:ind w:leftChars="200" w:left="420"/>
        <w:rPr>
          <w:sz w:val="24"/>
          <w:szCs w:val="20"/>
        </w:rPr>
      </w:pPr>
      <w:r>
        <w:rPr>
          <w:sz w:val="24"/>
          <w:szCs w:val="20"/>
        </w:rPr>
        <w:t>结合上述分析，本次评价对非正常状况下的预测情景设置及预测内容如下：</w:t>
      </w:r>
    </w:p>
    <w:p w:rsidR="00EE4502" w:rsidRDefault="00FD45A3">
      <w:pPr>
        <w:spacing w:line="360" w:lineRule="auto"/>
        <w:ind w:firstLineChars="200" w:firstLine="482"/>
        <w:rPr>
          <w:b/>
          <w:bCs/>
          <w:sz w:val="24"/>
          <w:szCs w:val="20"/>
        </w:rPr>
      </w:pPr>
      <w:r>
        <w:rPr>
          <w:b/>
          <w:bCs/>
          <w:sz w:val="24"/>
          <w:szCs w:val="20"/>
        </w:rPr>
        <w:t>（</w:t>
      </w:r>
      <w:r>
        <w:rPr>
          <w:b/>
          <w:bCs/>
          <w:sz w:val="24"/>
          <w:szCs w:val="20"/>
        </w:rPr>
        <w:t>1</w:t>
      </w:r>
      <w:r>
        <w:rPr>
          <w:b/>
          <w:bCs/>
          <w:sz w:val="24"/>
          <w:szCs w:val="20"/>
        </w:rPr>
        <w:t>）情景</w:t>
      </w:r>
      <w:r>
        <w:rPr>
          <w:b/>
          <w:bCs/>
          <w:sz w:val="24"/>
          <w:szCs w:val="20"/>
        </w:rPr>
        <w:t>1</w:t>
      </w:r>
      <w:r>
        <w:rPr>
          <w:b/>
          <w:bCs/>
          <w:sz w:val="24"/>
          <w:szCs w:val="20"/>
        </w:rPr>
        <w:t>：穿透污染（窜层</w:t>
      </w:r>
      <w:r>
        <w:rPr>
          <w:b/>
          <w:bCs/>
          <w:sz w:val="24"/>
          <w:szCs w:val="20"/>
        </w:rPr>
        <w:t>污染</w:t>
      </w:r>
      <w:r>
        <w:rPr>
          <w:b/>
          <w:bCs/>
          <w:sz w:val="24"/>
          <w:szCs w:val="20"/>
        </w:rPr>
        <w:t>）</w:t>
      </w:r>
    </w:p>
    <w:p w:rsidR="00EE4502" w:rsidRDefault="00FD45A3">
      <w:pPr>
        <w:spacing w:line="360" w:lineRule="auto"/>
        <w:ind w:firstLineChars="200" w:firstLine="480"/>
        <w:rPr>
          <w:sz w:val="24"/>
          <w:szCs w:val="20"/>
        </w:rPr>
      </w:pPr>
      <w:r>
        <w:rPr>
          <w:sz w:val="24"/>
          <w:szCs w:val="20"/>
        </w:rPr>
        <w:t>①</w:t>
      </w:r>
      <w:r>
        <w:rPr>
          <w:sz w:val="24"/>
          <w:szCs w:val="20"/>
        </w:rPr>
        <w:t>预测情景</w:t>
      </w:r>
    </w:p>
    <w:p w:rsidR="00EE4502" w:rsidRDefault="00FD45A3">
      <w:pPr>
        <w:spacing w:line="360" w:lineRule="auto"/>
        <w:ind w:firstLineChars="200" w:firstLine="480"/>
        <w:rPr>
          <w:kern w:val="0"/>
          <w:sz w:val="24"/>
        </w:rPr>
      </w:pPr>
      <w:r>
        <w:rPr>
          <w:sz w:val="24"/>
          <w:szCs w:val="20"/>
        </w:rPr>
        <w:t>本次地下水环境影响评价主要考虑最不利的极端情况下，</w:t>
      </w:r>
      <w:r>
        <w:rPr>
          <w:sz w:val="24"/>
          <w:szCs w:val="20"/>
        </w:rPr>
        <w:t>排</w:t>
      </w:r>
      <w:r>
        <w:rPr>
          <w:sz w:val="24"/>
          <w:szCs w:val="20"/>
        </w:rPr>
        <w:t>61</w:t>
      </w:r>
      <w:r>
        <w:rPr>
          <w:sz w:val="24"/>
          <w:szCs w:val="20"/>
        </w:rPr>
        <w:t>块</w:t>
      </w:r>
      <w:r>
        <w:rPr>
          <w:sz w:val="24"/>
          <w:szCs w:val="20"/>
        </w:rPr>
        <w:t>油水窜层</w:t>
      </w:r>
      <w:r>
        <w:rPr>
          <w:sz w:val="24"/>
          <w:szCs w:val="20"/>
        </w:rPr>
        <w:lastRenderedPageBreak/>
        <w:t>后对第四系含水层水质的影响，针对污染物</w:t>
      </w:r>
      <w:r>
        <w:rPr>
          <w:rFonts w:hint="eastAsia"/>
          <w:sz w:val="24"/>
          <w:szCs w:val="20"/>
        </w:rPr>
        <w:t>进入</w:t>
      </w:r>
      <w:r>
        <w:rPr>
          <w:sz w:val="24"/>
          <w:szCs w:val="20"/>
        </w:rPr>
        <w:t>第四系孔隙水含水层后的运移进行重点预测、评价</w:t>
      </w:r>
      <w:r>
        <w:rPr>
          <w:sz w:val="24"/>
          <w:szCs w:val="20"/>
        </w:rPr>
        <w:t>，</w:t>
      </w:r>
      <w:r>
        <w:rPr>
          <w:kern w:val="0"/>
          <w:sz w:val="24"/>
        </w:rPr>
        <w:t>考虑注汽、采油</w:t>
      </w:r>
      <w:r>
        <w:rPr>
          <w:kern w:val="0"/>
          <w:sz w:val="24"/>
        </w:rPr>
        <w:t>、</w:t>
      </w:r>
      <w:r>
        <w:rPr>
          <w:kern w:val="0"/>
          <w:sz w:val="24"/>
        </w:rPr>
        <w:t>注水</w:t>
      </w:r>
      <w:r>
        <w:rPr>
          <w:kern w:val="0"/>
          <w:sz w:val="24"/>
        </w:rPr>
        <w:t>时发生</w:t>
      </w:r>
      <w:r>
        <w:rPr>
          <w:rFonts w:hint="eastAsia"/>
          <w:kern w:val="0"/>
          <w:sz w:val="24"/>
        </w:rPr>
        <w:t>泄漏</w:t>
      </w:r>
      <w:r>
        <w:rPr>
          <w:kern w:val="0"/>
          <w:sz w:val="24"/>
        </w:rPr>
        <w:t>，污染物泄漏为连续排放，发生窜层后，</w:t>
      </w:r>
      <w:r>
        <w:rPr>
          <w:kern w:val="0"/>
          <w:sz w:val="24"/>
        </w:rPr>
        <w:t>若未及时发现，</w:t>
      </w:r>
      <w:r>
        <w:rPr>
          <w:kern w:val="0"/>
          <w:sz w:val="24"/>
        </w:rPr>
        <w:t>工程区内的污染物通过</w:t>
      </w:r>
      <w:r>
        <w:rPr>
          <w:kern w:val="0"/>
          <w:sz w:val="24"/>
        </w:rPr>
        <w:t>空隙</w:t>
      </w:r>
      <w:r>
        <w:rPr>
          <w:kern w:val="0"/>
          <w:sz w:val="24"/>
        </w:rPr>
        <w:t>径流至下游第四系含水层的水质。因此污染物在含水层中的迁移，可将预测情形概化为一维连续</w:t>
      </w:r>
      <w:r>
        <w:rPr>
          <w:rFonts w:hint="eastAsia"/>
          <w:kern w:val="0"/>
          <w:sz w:val="24"/>
        </w:rPr>
        <w:t>泄漏点源</w:t>
      </w:r>
      <w:r>
        <w:rPr>
          <w:kern w:val="0"/>
          <w:sz w:val="24"/>
        </w:rPr>
        <w:t>的水动力弥散问题。</w:t>
      </w:r>
    </w:p>
    <w:p w:rsidR="00EE4502" w:rsidRDefault="00FD45A3">
      <w:pPr>
        <w:spacing w:line="360" w:lineRule="auto"/>
        <w:ind w:firstLineChars="200" w:firstLine="480"/>
        <w:rPr>
          <w:sz w:val="24"/>
          <w:szCs w:val="20"/>
        </w:rPr>
      </w:pPr>
      <w:r>
        <w:rPr>
          <w:sz w:val="24"/>
          <w:szCs w:val="20"/>
        </w:rPr>
        <w:t>②</w:t>
      </w:r>
      <w:r>
        <w:rPr>
          <w:sz w:val="24"/>
          <w:szCs w:val="20"/>
        </w:rPr>
        <w:t>预测方法</w:t>
      </w:r>
    </w:p>
    <w:p w:rsidR="00EE4502" w:rsidRDefault="00FD45A3">
      <w:pPr>
        <w:spacing w:line="360" w:lineRule="auto"/>
        <w:ind w:firstLineChars="200" w:firstLine="480"/>
        <w:rPr>
          <w:sz w:val="24"/>
          <w:szCs w:val="20"/>
        </w:rPr>
      </w:pPr>
      <w:r>
        <w:rPr>
          <w:sz w:val="24"/>
          <w:szCs w:val="20"/>
        </w:rPr>
        <w:t>本项目按</w:t>
      </w:r>
      <w:r>
        <w:rPr>
          <w:sz w:val="24"/>
          <w:szCs w:val="20"/>
        </w:rPr>
        <w:t>I</w:t>
      </w:r>
      <w:r>
        <w:rPr>
          <w:sz w:val="24"/>
          <w:szCs w:val="20"/>
        </w:rPr>
        <w:t>类项目地下水环境影响评价级别为二级，按照《环境影响评价技术导则－地下水环境》</w:t>
      </w:r>
      <w:r>
        <w:rPr>
          <w:sz w:val="24"/>
          <w:szCs w:val="20"/>
        </w:rPr>
        <w:t>(HJ610-2016</w:t>
      </w:r>
      <w:r>
        <w:rPr>
          <w:rFonts w:hint="eastAsia"/>
          <w:sz w:val="24"/>
          <w:szCs w:val="20"/>
        </w:rPr>
        <w:t>）</w:t>
      </w:r>
      <w:r>
        <w:rPr>
          <w:sz w:val="24"/>
          <w:szCs w:val="20"/>
        </w:rPr>
        <w:t>的规定，预测方法可以采用数值法或者解析法，由于评价区水文地质条件较简单、评价区内含水层的基本参数变化很小、污染物的排放对地下水流场没有明显的影响，本报告采用解析法对地下水环境影响进行预测。</w:t>
      </w:r>
    </w:p>
    <w:p w:rsidR="00EE4502" w:rsidRDefault="00FD45A3">
      <w:pPr>
        <w:spacing w:line="360" w:lineRule="auto"/>
        <w:ind w:firstLine="480"/>
        <w:rPr>
          <w:sz w:val="24"/>
          <w:szCs w:val="20"/>
        </w:rPr>
      </w:pPr>
      <w:r>
        <w:rPr>
          <w:rFonts w:hint="eastAsia"/>
          <w:sz w:val="24"/>
          <w:szCs w:val="20"/>
        </w:rPr>
        <w:t>③预测范围及时间</w:t>
      </w:r>
    </w:p>
    <w:p w:rsidR="00EE4502" w:rsidRDefault="00FD45A3">
      <w:pPr>
        <w:spacing w:line="360" w:lineRule="auto"/>
        <w:ind w:firstLine="480"/>
        <w:rPr>
          <w:sz w:val="24"/>
          <w:szCs w:val="20"/>
        </w:rPr>
      </w:pPr>
      <w:r>
        <w:rPr>
          <w:rFonts w:hint="eastAsia"/>
          <w:sz w:val="24"/>
          <w:szCs w:val="20"/>
        </w:rPr>
        <w:t>本次影响预测范围与调查评价范围一致，预测层位为第四系含水层。</w:t>
      </w:r>
    </w:p>
    <w:p w:rsidR="00EE4502" w:rsidRDefault="00FD45A3">
      <w:pPr>
        <w:spacing w:line="360" w:lineRule="auto"/>
        <w:ind w:firstLineChars="200" w:firstLine="500"/>
        <w:rPr>
          <w:sz w:val="24"/>
          <w:szCs w:val="20"/>
        </w:rPr>
      </w:pPr>
      <w:r>
        <w:rPr>
          <w:rFonts w:ascii="宋体" w:hAnsi="Calibri" w:hint="eastAsia"/>
          <w:spacing w:val="5"/>
          <w:sz w:val="24"/>
          <w:szCs w:val="22"/>
        </w:rPr>
        <w:t>根据项目特点，预测时段</w:t>
      </w:r>
      <w:r>
        <w:rPr>
          <w:rFonts w:ascii="宋体" w:hAnsi="Calibri" w:hint="eastAsia"/>
          <w:spacing w:val="5"/>
          <w:sz w:val="24"/>
          <w:szCs w:val="22"/>
        </w:rPr>
        <w:t>选取</w:t>
      </w:r>
      <w:r>
        <w:rPr>
          <w:rFonts w:ascii="宋体" w:hAnsi="Calibri" w:hint="eastAsia"/>
          <w:spacing w:val="5"/>
          <w:sz w:val="24"/>
          <w:szCs w:val="22"/>
        </w:rPr>
        <w:t>污染发生后</w:t>
      </w:r>
      <w:r>
        <w:rPr>
          <w:rFonts w:ascii="宋体" w:hAnsi="Calibri" w:hint="eastAsia"/>
          <w:spacing w:val="5"/>
          <w:sz w:val="24"/>
          <w:szCs w:val="22"/>
        </w:rPr>
        <w:t>1d</w:t>
      </w:r>
      <w:r>
        <w:rPr>
          <w:rFonts w:ascii="宋体" w:hAnsi="Calibri" w:hint="eastAsia"/>
          <w:spacing w:val="5"/>
          <w:sz w:val="24"/>
          <w:szCs w:val="22"/>
        </w:rPr>
        <w:t>、</w:t>
      </w:r>
      <w:r>
        <w:rPr>
          <w:rFonts w:ascii="宋体" w:hAnsi="Calibri"/>
          <w:spacing w:val="5"/>
          <w:sz w:val="24"/>
          <w:szCs w:val="22"/>
        </w:rPr>
        <w:t>100d</w:t>
      </w:r>
      <w:r>
        <w:rPr>
          <w:rFonts w:ascii="宋体" w:hAnsi="Calibri" w:hint="eastAsia"/>
          <w:spacing w:val="5"/>
          <w:sz w:val="24"/>
          <w:szCs w:val="22"/>
        </w:rPr>
        <w:t>、</w:t>
      </w:r>
      <w:r>
        <w:rPr>
          <w:rFonts w:ascii="宋体" w:hAnsi="Calibri"/>
          <w:spacing w:val="5"/>
          <w:sz w:val="24"/>
          <w:szCs w:val="22"/>
        </w:rPr>
        <w:t>1000d</w:t>
      </w:r>
      <w:r>
        <w:rPr>
          <w:rFonts w:ascii="宋体" w:hAnsi="Calibri" w:hint="eastAsia"/>
          <w:spacing w:val="5"/>
          <w:sz w:val="24"/>
          <w:szCs w:val="22"/>
        </w:rPr>
        <w:t>，</w:t>
      </w:r>
      <w:r>
        <w:rPr>
          <w:rFonts w:ascii="宋体" w:hAnsi="Calibri" w:hint="eastAsia"/>
          <w:spacing w:val="5"/>
          <w:sz w:val="24"/>
          <w:szCs w:val="22"/>
        </w:rPr>
        <w:t>5475</w:t>
      </w:r>
      <w:r>
        <w:rPr>
          <w:rFonts w:ascii="宋体" w:hAnsi="Calibri" w:hint="eastAsia"/>
          <w:spacing w:val="5"/>
          <w:sz w:val="24"/>
          <w:szCs w:val="22"/>
        </w:rPr>
        <w:t>d</w:t>
      </w:r>
      <w:r>
        <w:rPr>
          <w:rFonts w:ascii="宋体" w:hAnsi="Calibri" w:hint="eastAsia"/>
          <w:spacing w:val="5"/>
          <w:sz w:val="24"/>
          <w:szCs w:val="22"/>
        </w:rPr>
        <w:t>（</w:t>
      </w:r>
      <w:r>
        <w:rPr>
          <w:rFonts w:ascii="宋体" w:hAnsi="Calibri" w:hint="eastAsia"/>
          <w:spacing w:val="5"/>
          <w:sz w:val="24"/>
          <w:szCs w:val="22"/>
        </w:rPr>
        <w:t>15</w:t>
      </w:r>
      <w:r>
        <w:rPr>
          <w:rFonts w:ascii="宋体" w:hAnsi="Calibri" w:hint="eastAsia"/>
          <w:spacing w:val="5"/>
          <w:sz w:val="24"/>
          <w:szCs w:val="22"/>
        </w:rPr>
        <w:t>年</w:t>
      </w:r>
      <w:r>
        <w:rPr>
          <w:rFonts w:ascii="宋体" w:hAnsi="Calibri" w:hint="eastAsia"/>
          <w:spacing w:val="5"/>
          <w:sz w:val="24"/>
          <w:szCs w:val="22"/>
        </w:rPr>
        <w:t>）</w:t>
      </w:r>
      <w:r>
        <w:rPr>
          <w:rFonts w:ascii="宋体" w:hAnsi="Calibri" w:hint="eastAsia"/>
          <w:spacing w:val="5"/>
          <w:sz w:val="24"/>
          <w:szCs w:val="22"/>
        </w:rPr>
        <w:t>。</w:t>
      </w:r>
    </w:p>
    <w:p w:rsidR="00EE4502" w:rsidRDefault="00FD45A3">
      <w:pPr>
        <w:spacing w:line="360" w:lineRule="auto"/>
        <w:ind w:firstLineChars="200" w:firstLine="480"/>
        <w:rPr>
          <w:sz w:val="24"/>
          <w:szCs w:val="20"/>
        </w:rPr>
      </w:pPr>
      <w:r>
        <w:rPr>
          <w:rFonts w:hint="eastAsia"/>
          <w:sz w:val="24"/>
          <w:szCs w:val="20"/>
        </w:rPr>
        <w:t>④</w:t>
      </w:r>
      <w:r>
        <w:rPr>
          <w:sz w:val="24"/>
          <w:szCs w:val="20"/>
        </w:rPr>
        <w:t>预测因子</w:t>
      </w:r>
    </w:p>
    <w:p w:rsidR="00EE4502" w:rsidRDefault="00FD45A3">
      <w:pPr>
        <w:spacing w:line="360" w:lineRule="auto"/>
        <w:ind w:firstLineChars="200" w:firstLine="480"/>
        <w:rPr>
          <w:sz w:val="24"/>
          <w:szCs w:val="20"/>
        </w:rPr>
      </w:pPr>
      <w:r>
        <w:rPr>
          <w:sz w:val="24"/>
          <w:szCs w:val="20"/>
        </w:rPr>
        <w:t>套管发生泄漏，污染物主要有石油类</w:t>
      </w:r>
      <w:r>
        <w:rPr>
          <w:sz w:val="24"/>
          <w:szCs w:val="20"/>
        </w:rPr>
        <w:t>、</w:t>
      </w:r>
      <w:r>
        <w:rPr>
          <w:sz w:val="24"/>
          <w:szCs w:val="20"/>
        </w:rPr>
        <w:t>耗氧量、氨氮、盐分</w:t>
      </w:r>
      <w:r>
        <w:rPr>
          <w:sz w:val="24"/>
          <w:szCs w:val="20"/>
        </w:rPr>
        <w:t>等污染物。根据《环境影响评价技术导则地下水环境》（</w:t>
      </w:r>
      <w:r>
        <w:rPr>
          <w:sz w:val="24"/>
          <w:szCs w:val="20"/>
        </w:rPr>
        <w:t>HJ610-2016</w:t>
      </w:r>
      <w:r>
        <w:rPr>
          <w:sz w:val="24"/>
          <w:szCs w:val="20"/>
        </w:rPr>
        <w:t>）中情景设置预测因子相关要求，对每一类别中的各项因子采取标准指数法进行排序，分别取标准指数较大的因子作为预测因子。根据</w:t>
      </w:r>
      <w:r>
        <w:rPr>
          <w:sz w:val="24"/>
          <w:szCs w:val="20"/>
        </w:rPr>
        <w:t>采出液</w:t>
      </w:r>
      <w:r>
        <w:rPr>
          <w:sz w:val="24"/>
          <w:szCs w:val="20"/>
        </w:rPr>
        <w:t>污染物特征，本次选取石油类作为预测特征因子。</w:t>
      </w:r>
    </w:p>
    <w:p w:rsidR="00EE4502" w:rsidRDefault="00FD45A3">
      <w:pPr>
        <w:spacing w:line="360" w:lineRule="auto"/>
        <w:ind w:firstLineChars="200" w:firstLine="480"/>
        <w:rPr>
          <w:sz w:val="24"/>
          <w:szCs w:val="20"/>
        </w:rPr>
      </w:pPr>
      <w:r>
        <w:rPr>
          <w:rFonts w:hint="eastAsia"/>
          <w:sz w:val="24"/>
          <w:szCs w:val="20"/>
        </w:rPr>
        <w:t>⑤</w:t>
      </w:r>
      <w:r>
        <w:rPr>
          <w:sz w:val="24"/>
          <w:szCs w:val="20"/>
        </w:rPr>
        <w:t>预测模型</w:t>
      </w:r>
    </w:p>
    <w:p w:rsidR="00EE4502" w:rsidRDefault="00FD45A3">
      <w:pPr>
        <w:spacing w:line="360" w:lineRule="auto"/>
        <w:ind w:firstLineChars="200" w:firstLine="480"/>
        <w:rPr>
          <w:sz w:val="24"/>
          <w:szCs w:val="20"/>
        </w:rPr>
      </w:pPr>
      <w:r>
        <w:rPr>
          <w:sz w:val="24"/>
          <w:szCs w:val="20"/>
        </w:rPr>
        <w:t>本次地下水污染模拟仅考虑污染物随地下水发生对流、弥散作用，对污染物与液体介质</w:t>
      </w:r>
      <w:r>
        <w:rPr>
          <w:rFonts w:hint="eastAsia"/>
          <w:sz w:val="24"/>
          <w:szCs w:val="20"/>
        </w:rPr>
        <w:t>（</w:t>
      </w:r>
      <w:r>
        <w:rPr>
          <w:sz w:val="24"/>
          <w:szCs w:val="20"/>
        </w:rPr>
        <w:t>地下水</w:t>
      </w:r>
      <w:r>
        <w:rPr>
          <w:sz w:val="24"/>
          <w:szCs w:val="20"/>
        </w:rPr>
        <w:t>)</w:t>
      </w:r>
      <w:r>
        <w:rPr>
          <w:sz w:val="24"/>
          <w:szCs w:val="20"/>
        </w:rPr>
        <w:t>、固体介质</w:t>
      </w:r>
      <w:r>
        <w:rPr>
          <w:rFonts w:hint="eastAsia"/>
          <w:sz w:val="24"/>
          <w:szCs w:val="20"/>
        </w:rPr>
        <w:t>（</w:t>
      </w:r>
      <w:r>
        <w:rPr>
          <w:sz w:val="24"/>
          <w:szCs w:val="20"/>
        </w:rPr>
        <w:t>包气带介质和地下水含水介质</w:t>
      </w:r>
      <w:r>
        <w:rPr>
          <w:rFonts w:hint="eastAsia"/>
          <w:sz w:val="24"/>
          <w:szCs w:val="20"/>
        </w:rPr>
        <w:t>）</w:t>
      </w:r>
      <w:r>
        <w:rPr>
          <w:sz w:val="24"/>
          <w:szCs w:val="20"/>
        </w:rPr>
        <w:t>等的化学反应</w:t>
      </w:r>
      <w:r>
        <w:rPr>
          <w:rFonts w:hint="eastAsia"/>
          <w:sz w:val="24"/>
          <w:szCs w:val="20"/>
        </w:rPr>
        <w:t>（</w:t>
      </w:r>
      <w:r>
        <w:rPr>
          <w:sz w:val="24"/>
          <w:szCs w:val="20"/>
        </w:rPr>
        <w:t>如酸碱反应、氧化还原反应、吸附、交换、挥发及生物化学反应</w:t>
      </w:r>
      <w:r>
        <w:rPr>
          <w:rFonts w:hint="eastAsia"/>
          <w:sz w:val="24"/>
          <w:szCs w:val="20"/>
        </w:rPr>
        <w:t>）</w:t>
      </w:r>
      <w:r>
        <w:rPr>
          <w:sz w:val="24"/>
          <w:szCs w:val="20"/>
        </w:rPr>
        <w:t>等可能存在的环境消减因素做保守考虑。这样选择的理由是：</w:t>
      </w:r>
    </w:p>
    <w:p w:rsidR="00EE4502" w:rsidRDefault="00FD45A3">
      <w:pPr>
        <w:spacing w:line="360" w:lineRule="auto"/>
        <w:ind w:firstLineChars="200" w:firstLine="480"/>
        <w:rPr>
          <w:sz w:val="24"/>
          <w:szCs w:val="20"/>
        </w:rPr>
      </w:pPr>
      <w:r>
        <w:rPr>
          <w:sz w:val="24"/>
          <w:szCs w:val="20"/>
        </w:rPr>
        <w:t>1</w:t>
      </w:r>
      <w:r>
        <w:rPr>
          <w:sz w:val="24"/>
          <w:szCs w:val="20"/>
        </w:rPr>
        <w:t>）对</w:t>
      </w:r>
      <w:r>
        <w:rPr>
          <w:sz w:val="24"/>
          <w:szCs w:val="20"/>
        </w:rPr>
        <w:t>于长期持续的污染事件，环境自净作用属于次要因素，而水体的对流、弥散作用是污染物运移的主要因素。</w:t>
      </w:r>
    </w:p>
    <w:p w:rsidR="00EE4502" w:rsidRDefault="00FD45A3">
      <w:pPr>
        <w:spacing w:line="360" w:lineRule="auto"/>
        <w:ind w:firstLineChars="200" w:firstLine="480"/>
        <w:rPr>
          <w:sz w:val="24"/>
          <w:szCs w:val="20"/>
        </w:rPr>
      </w:pPr>
      <w:r>
        <w:rPr>
          <w:sz w:val="24"/>
          <w:szCs w:val="20"/>
        </w:rPr>
        <w:t>2</w:t>
      </w:r>
      <w:r>
        <w:rPr>
          <w:sz w:val="24"/>
          <w:szCs w:val="20"/>
        </w:rPr>
        <w:t>）污染物在地下水中的反应运移非常复杂，物理、化学、微生物等环境自净作用往往会使污染浓度衰减。忽略这些环境自净因素可以模拟出污染的最大</w:t>
      </w:r>
      <w:r>
        <w:rPr>
          <w:rFonts w:hint="eastAsia"/>
          <w:sz w:val="24"/>
          <w:szCs w:val="20"/>
        </w:rPr>
        <w:lastRenderedPageBreak/>
        <w:t>（</w:t>
      </w:r>
      <w:r>
        <w:rPr>
          <w:sz w:val="24"/>
          <w:szCs w:val="20"/>
        </w:rPr>
        <w:t>或潜在</w:t>
      </w:r>
      <w:r>
        <w:rPr>
          <w:rFonts w:hint="eastAsia"/>
          <w:sz w:val="24"/>
          <w:szCs w:val="20"/>
        </w:rPr>
        <w:t>）</w:t>
      </w:r>
      <w:r>
        <w:rPr>
          <w:sz w:val="24"/>
          <w:szCs w:val="20"/>
        </w:rPr>
        <w:t>影响范围，符合保守性评价原则。</w:t>
      </w:r>
    </w:p>
    <w:p w:rsidR="00EE4502" w:rsidRDefault="00FD45A3">
      <w:pPr>
        <w:spacing w:line="360" w:lineRule="auto"/>
        <w:ind w:firstLineChars="200" w:firstLine="480"/>
        <w:rPr>
          <w:sz w:val="24"/>
          <w:szCs w:val="20"/>
        </w:rPr>
      </w:pPr>
      <w:r>
        <w:rPr>
          <w:sz w:val="24"/>
          <w:szCs w:val="20"/>
        </w:rPr>
        <w:t>3</w:t>
      </w:r>
      <w:r>
        <w:rPr>
          <w:sz w:val="24"/>
          <w:szCs w:val="20"/>
        </w:rPr>
        <w:t>）对这些化学、生物化学作用进行精确模拟还属于国际性难题，一些模拟参数还存在很大争议，精确的模拟还需要大量的实验支持。</w:t>
      </w:r>
    </w:p>
    <w:p w:rsidR="00EE4502" w:rsidRDefault="00FD45A3">
      <w:pPr>
        <w:spacing w:line="360" w:lineRule="auto"/>
        <w:ind w:firstLineChars="200" w:firstLine="480"/>
        <w:rPr>
          <w:sz w:val="24"/>
          <w:szCs w:val="20"/>
        </w:rPr>
      </w:pPr>
      <w:r>
        <w:rPr>
          <w:sz w:val="24"/>
          <w:szCs w:val="20"/>
        </w:rPr>
        <w:t>4</w:t>
      </w:r>
      <w:r>
        <w:rPr>
          <w:sz w:val="24"/>
          <w:szCs w:val="20"/>
        </w:rPr>
        <w:t>）在国际上有很多用保守型污染物作为模拟因子的环境质量评价的实例，保守型考虑符合环境评价的思想。</w:t>
      </w:r>
    </w:p>
    <w:p w:rsidR="00EE4502" w:rsidRDefault="00FD45A3">
      <w:pPr>
        <w:spacing w:line="360" w:lineRule="auto"/>
        <w:ind w:firstLineChars="200" w:firstLine="480"/>
        <w:rPr>
          <w:sz w:val="24"/>
          <w:szCs w:val="20"/>
        </w:rPr>
      </w:pPr>
      <w:r>
        <w:rPr>
          <w:sz w:val="24"/>
          <w:szCs w:val="20"/>
        </w:rPr>
        <w:t>污染物在含水层中的迁移</w:t>
      </w:r>
      <w:r>
        <w:rPr>
          <w:sz w:val="24"/>
          <w:szCs w:val="20"/>
        </w:rPr>
        <w:t>，特别是泄露点的连续泄漏，造成的水环境污染会更加严重。本次按照《环境影响评价技术导则</w:t>
      </w:r>
      <w:r>
        <w:rPr>
          <w:sz w:val="24"/>
          <w:szCs w:val="20"/>
        </w:rPr>
        <w:t xml:space="preserve"> </w:t>
      </w:r>
      <w:r>
        <w:rPr>
          <w:sz w:val="24"/>
          <w:szCs w:val="20"/>
        </w:rPr>
        <w:t>地下水环境》（</w:t>
      </w:r>
      <w:r>
        <w:rPr>
          <w:sz w:val="24"/>
          <w:szCs w:val="20"/>
        </w:rPr>
        <w:t>HJ610-2016</w:t>
      </w:r>
      <w:r>
        <w:rPr>
          <w:sz w:val="24"/>
          <w:szCs w:val="20"/>
        </w:rPr>
        <w:t>）附录</w:t>
      </w:r>
      <w:r>
        <w:rPr>
          <w:sz w:val="24"/>
          <w:szCs w:val="20"/>
        </w:rPr>
        <w:t>D</w:t>
      </w:r>
      <w:r>
        <w:rPr>
          <w:sz w:val="24"/>
          <w:szCs w:val="20"/>
        </w:rPr>
        <w:t>中一维无限长多孔介质柱体，一端为定浓度边界预测模型进行预测，计算公式如下：</w:t>
      </w:r>
    </w:p>
    <w:p w:rsidR="00EE4502" w:rsidRDefault="00FD45A3">
      <w:pPr>
        <w:spacing w:line="360" w:lineRule="auto"/>
        <w:ind w:firstLineChars="200" w:firstLine="480"/>
        <w:jc w:val="center"/>
        <w:rPr>
          <w:sz w:val="24"/>
          <w:szCs w:val="20"/>
        </w:rPr>
      </w:pPr>
      <w:r>
        <w:rPr>
          <w:noProof/>
          <w:sz w:val="24"/>
          <w:szCs w:val="20"/>
        </w:rPr>
        <w:drawing>
          <wp:inline distT="0" distB="0" distL="114300" distR="114300">
            <wp:extent cx="2966085" cy="588645"/>
            <wp:effectExtent l="0" t="0" r="5715" b="1905"/>
            <wp:docPr id="4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5"/>
                    <pic:cNvPicPr>
                      <a:picLocks noChangeAspect="1"/>
                    </pic:cNvPicPr>
                  </pic:nvPicPr>
                  <pic:blipFill>
                    <a:blip r:embed="rId34"/>
                    <a:stretch>
                      <a:fillRect/>
                    </a:stretch>
                  </pic:blipFill>
                  <pic:spPr>
                    <a:xfrm>
                      <a:off x="0" y="0"/>
                      <a:ext cx="2966085" cy="588645"/>
                    </a:xfrm>
                    <a:prstGeom prst="rect">
                      <a:avLst/>
                    </a:prstGeom>
                    <a:noFill/>
                    <a:ln>
                      <a:noFill/>
                    </a:ln>
                  </pic:spPr>
                </pic:pic>
              </a:graphicData>
            </a:graphic>
          </wp:inline>
        </w:drawing>
      </w:r>
    </w:p>
    <w:p w:rsidR="00EE4502" w:rsidRDefault="00FD45A3">
      <w:pPr>
        <w:spacing w:line="360" w:lineRule="auto"/>
        <w:ind w:firstLineChars="200" w:firstLine="480"/>
        <w:rPr>
          <w:sz w:val="24"/>
          <w:szCs w:val="20"/>
        </w:rPr>
      </w:pPr>
      <w:r>
        <w:rPr>
          <w:sz w:val="24"/>
          <w:szCs w:val="20"/>
        </w:rPr>
        <w:t>以上式中：</w:t>
      </w:r>
      <w:r>
        <w:rPr>
          <w:i/>
          <w:sz w:val="24"/>
          <w:szCs w:val="20"/>
        </w:rPr>
        <w:t>x</w:t>
      </w:r>
      <w:r>
        <w:rPr>
          <w:sz w:val="24"/>
          <w:szCs w:val="20"/>
        </w:rPr>
        <w:t>—</w:t>
      </w:r>
      <w:r>
        <w:rPr>
          <w:sz w:val="24"/>
          <w:szCs w:val="20"/>
        </w:rPr>
        <w:t>距注入点的距离，</w:t>
      </w:r>
      <w:r>
        <w:rPr>
          <w:sz w:val="24"/>
          <w:szCs w:val="20"/>
        </w:rPr>
        <w:t>m</w:t>
      </w:r>
      <w:r>
        <w:rPr>
          <w:sz w:val="24"/>
          <w:szCs w:val="20"/>
        </w:rPr>
        <w:t>；</w:t>
      </w:r>
    </w:p>
    <w:p w:rsidR="00EE4502" w:rsidRDefault="00FD45A3">
      <w:pPr>
        <w:spacing w:line="360" w:lineRule="auto"/>
        <w:ind w:firstLineChars="200" w:firstLine="480"/>
        <w:rPr>
          <w:sz w:val="24"/>
          <w:szCs w:val="20"/>
        </w:rPr>
      </w:pPr>
      <w:r>
        <w:rPr>
          <w:i/>
          <w:sz w:val="24"/>
          <w:szCs w:val="20"/>
        </w:rPr>
        <w:t>t</w:t>
      </w:r>
      <w:r>
        <w:rPr>
          <w:sz w:val="24"/>
          <w:szCs w:val="20"/>
        </w:rPr>
        <w:t>—</w:t>
      </w:r>
      <w:r>
        <w:rPr>
          <w:sz w:val="24"/>
          <w:szCs w:val="20"/>
        </w:rPr>
        <w:t>时间，</w:t>
      </w:r>
      <w:r>
        <w:rPr>
          <w:sz w:val="24"/>
          <w:szCs w:val="20"/>
        </w:rPr>
        <w:t>d</w:t>
      </w:r>
      <w:r>
        <w:rPr>
          <w:sz w:val="24"/>
          <w:szCs w:val="20"/>
        </w:rPr>
        <w:t>；</w:t>
      </w:r>
    </w:p>
    <w:p w:rsidR="00EE4502" w:rsidRDefault="00FD45A3">
      <w:pPr>
        <w:spacing w:line="360" w:lineRule="auto"/>
        <w:ind w:firstLineChars="200" w:firstLine="480"/>
        <w:rPr>
          <w:sz w:val="24"/>
          <w:szCs w:val="20"/>
        </w:rPr>
      </w:pPr>
      <w:r>
        <w:rPr>
          <w:i/>
          <w:sz w:val="24"/>
          <w:szCs w:val="20"/>
        </w:rPr>
        <w:t>C</w:t>
      </w:r>
      <w:r>
        <w:rPr>
          <w:i/>
          <w:sz w:val="24"/>
          <w:szCs w:val="20"/>
        </w:rPr>
        <w:t>（</w:t>
      </w:r>
      <w:r>
        <w:rPr>
          <w:i/>
          <w:sz w:val="24"/>
          <w:szCs w:val="20"/>
        </w:rPr>
        <w:t>x</w:t>
      </w:r>
      <w:r>
        <w:rPr>
          <w:i/>
          <w:sz w:val="24"/>
          <w:szCs w:val="20"/>
        </w:rPr>
        <w:t>，</w:t>
      </w:r>
      <w:r>
        <w:rPr>
          <w:i/>
          <w:sz w:val="24"/>
          <w:szCs w:val="20"/>
        </w:rPr>
        <w:t>t</w:t>
      </w:r>
      <w:r>
        <w:rPr>
          <w:i/>
          <w:sz w:val="24"/>
          <w:szCs w:val="20"/>
        </w:rPr>
        <w:t>）</w:t>
      </w:r>
      <w:r>
        <w:rPr>
          <w:i/>
          <w:sz w:val="24"/>
          <w:szCs w:val="20"/>
        </w:rPr>
        <w:t>—t</w:t>
      </w:r>
      <w:r>
        <w:rPr>
          <w:sz w:val="24"/>
          <w:szCs w:val="20"/>
        </w:rPr>
        <w:t>时刻</w:t>
      </w:r>
      <w:r>
        <w:rPr>
          <w:i/>
          <w:sz w:val="24"/>
          <w:szCs w:val="20"/>
        </w:rPr>
        <w:t>x</w:t>
      </w:r>
      <w:r>
        <w:rPr>
          <w:sz w:val="24"/>
          <w:szCs w:val="20"/>
        </w:rPr>
        <w:t>处的示踪剂浓度，</w:t>
      </w:r>
      <w:r>
        <w:rPr>
          <w:sz w:val="24"/>
          <w:szCs w:val="20"/>
        </w:rPr>
        <w:t>g/l</w:t>
      </w:r>
      <w:r>
        <w:rPr>
          <w:sz w:val="24"/>
          <w:szCs w:val="20"/>
        </w:rPr>
        <w:t>；</w:t>
      </w:r>
    </w:p>
    <w:p w:rsidR="00EE4502" w:rsidRDefault="00FD45A3">
      <w:pPr>
        <w:spacing w:line="360" w:lineRule="auto"/>
        <w:ind w:firstLineChars="200" w:firstLine="480"/>
        <w:rPr>
          <w:sz w:val="24"/>
          <w:szCs w:val="20"/>
        </w:rPr>
      </w:pPr>
      <w:r>
        <w:rPr>
          <w:i/>
          <w:sz w:val="24"/>
          <w:szCs w:val="20"/>
        </w:rPr>
        <w:t>C</w:t>
      </w:r>
      <w:r>
        <w:rPr>
          <w:i/>
          <w:sz w:val="24"/>
          <w:szCs w:val="20"/>
          <w:vertAlign w:val="subscript"/>
        </w:rPr>
        <w:t>0—</w:t>
      </w:r>
      <w:r>
        <w:rPr>
          <w:sz w:val="24"/>
          <w:szCs w:val="20"/>
          <w:vertAlign w:val="subscript"/>
        </w:rPr>
        <w:t>—</w:t>
      </w:r>
      <w:r>
        <w:rPr>
          <w:sz w:val="24"/>
          <w:szCs w:val="20"/>
        </w:rPr>
        <w:t>注入的示踪剂浓度，</w:t>
      </w:r>
      <w:r>
        <w:rPr>
          <w:sz w:val="24"/>
          <w:szCs w:val="20"/>
        </w:rPr>
        <w:t>g/l</w:t>
      </w:r>
      <w:r>
        <w:rPr>
          <w:sz w:val="24"/>
          <w:szCs w:val="20"/>
        </w:rPr>
        <w:t>；</w:t>
      </w:r>
    </w:p>
    <w:p w:rsidR="00EE4502" w:rsidRDefault="00FD45A3">
      <w:pPr>
        <w:spacing w:line="360" w:lineRule="auto"/>
        <w:ind w:firstLineChars="200" w:firstLine="480"/>
        <w:rPr>
          <w:sz w:val="24"/>
          <w:szCs w:val="20"/>
        </w:rPr>
      </w:pPr>
      <w:r>
        <w:rPr>
          <w:i/>
          <w:sz w:val="24"/>
          <w:szCs w:val="20"/>
        </w:rPr>
        <w:t>u——</w:t>
      </w:r>
      <w:r>
        <w:rPr>
          <w:sz w:val="24"/>
          <w:szCs w:val="20"/>
        </w:rPr>
        <w:t>水流速度，</w:t>
      </w:r>
      <w:r>
        <w:rPr>
          <w:sz w:val="24"/>
          <w:szCs w:val="20"/>
        </w:rPr>
        <w:t>m/d</w:t>
      </w:r>
      <w:r>
        <w:rPr>
          <w:sz w:val="24"/>
          <w:szCs w:val="20"/>
        </w:rPr>
        <w:t>；</w:t>
      </w:r>
    </w:p>
    <w:p w:rsidR="00EE4502" w:rsidRDefault="00FD45A3">
      <w:pPr>
        <w:spacing w:line="360" w:lineRule="auto"/>
        <w:ind w:firstLineChars="200" w:firstLine="480"/>
        <w:rPr>
          <w:sz w:val="24"/>
          <w:szCs w:val="20"/>
        </w:rPr>
      </w:pPr>
      <w:r>
        <w:rPr>
          <w:i/>
          <w:sz w:val="24"/>
          <w:szCs w:val="20"/>
        </w:rPr>
        <w:t>n——</w:t>
      </w:r>
      <w:r>
        <w:rPr>
          <w:sz w:val="24"/>
          <w:szCs w:val="20"/>
        </w:rPr>
        <w:t>有效孔隙度，无量纲；</w:t>
      </w:r>
      <w:r>
        <w:rPr>
          <w:sz w:val="24"/>
          <w:szCs w:val="20"/>
        </w:rPr>
        <w:t xml:space="preserve"> </w:t>
      </w:r>
    </w:p>
    <w:p w:rsidR="00EE4502" w:rsidRDefault="00FD45A3">
      <w:pPr>
        <w:spacing w:line="360" w:lineRule="auto"/>
        <w:ind w:firstLineChars="200" w:firstLine="480"/>
        <w:rPr>
          <w:sz w:val="24"/>
          <w:szCs w:val="20"/>
        </w:rPr>
      </w:pPr>
      <w:r>
        <w:rPr>
          <w:i/>
          <w:sz w:val="24"/>
          <w:szCs w:val="20"/>
        </w:rPr>
        <w:t>D</w:t>
      </w:r>
      <w:r>
        <w:rPr>
          <w:i/>
          <w:sz w:val="24"/>
          <w:szCs w:val="20"/>
          <w:vertAlign w:val="subscript"/>
        </w:rPr>
        <w:t>L</w:t>
      </w:r>
      <w:r>
        <w:rPr>
          <w:sz w:val="24"/>
          <w:szCs w:val="20"/>
        </w:rPr>
        <w:t>—</w:t>
      </w:r>
      <w:r>
        <w:rPr>
          <w:sz w:val="24"/>
          <w:szCs w:val="20"/>
        </w:rPr>
        <w:t>纵向弥散系数，</w:t>
      </w:r>
      <w:r>
        <w:rPr>
          <w:sz w:val="24"/>
          <w:szCs w:val="20"/>
        </w:rPr>
        <w:t>m</w:t>
      </w:r>
      <w:r>
        <w:rPr>
          <w:sz w:val="24"/>
          <w:szCs w:val="20"/>
          <w:vertAlign w:val="superscript"/>
        </w:rPr>
        <w:t>2</w:t>
      </w:r>
      <w:r>
        <w:rPr>
          <w:sz w:val="24"/>
          <w:szCs w:val="20"/>
        </w:rPr>
        <w:t>/d</w:t>
      </w:r>
      <w:r>
        <w:rPr>
          <w:sz w:val="24"/>
          <w:szCs w:val="20"/>
        </w:rPr>
        <w:t>；</w:t>
      </w:r>
    </w:p>
    <w:p w:rsidR="00EE4502" w:rsidRDefault="00FD45A3">
      <w:pPr>
        <w:spacing w:line="360" w:lineRule="auto"/>
        <w:ind w:firstLineChars="200" w:firstLine="480"/>
        <w:rPr>
          <w:sz w:val="24"/>
          <w:szCs w:val="20"/>
        </w:rPr>
      </w:pPr>
      <w:r>
        <w:rPr>
          <w:i/>
          <w:sz w:val="24"/>
          <w:szCs w:val="20"/>
        </w:rPr>
        <w:t>erf</w:t>
      </w:r>
      <w:r>
        <w:rPr>
          <w:sz w:val="24"/>
          <w:szCs w:val="20"/>
        </w:rPr>
        <w:t>c(  )—</w:t>
      </w:r>
      <w:r>
        <w:rPr>
          <w:sz w:val="24"/>
          <w:szCs w:val="20"/>
        </w:rPr>
        <w:t>余误差函数。</w:t>
      </w:r>
    </w:p>
    <w:p w:rsidR="00EE4502" w:rsidRDefault="00FD45A3">
      <w:pPr>
        <w:spacing w:line="360" w:lineRule="auto"/>
        <w:ind w:firstLineChars="200" w:firstLine="480"/>
        <w:rPr>
          <w:sz w:val="24"/>
          <w:szCs w:val="20"/>
        </w:rPr>
      </w:pPr>
      <w:r>
        <w:rPr>
          <w:rFonts w:hint="eastAsia"/>
          <w:sz w:val="24"/>
          <w:szCs w:val="20"/>
        </w:rPr>
        <w:t>⑥</w:t>
      </w:r>
      <w:r>
        <w:rPr>
          <w:sz w:val="24"/>
          <w:szCs w:val="20"/>
        </w:rPr>
        <w:t>预测参数</w:t>
      </w:r>
    </w:p>
    <w:p w:rsidR="00EE4502" w:rsidRDefault="00FD45A3">
      <w:pPr>
        <w:spacing w:line="360" w:lineRule="auto"/>
        <w:ind w:firstLineChars="200" w:firstLine="480"/>
        <w:rPr>
          <w:sz w:val="24"/>
          <w:szCs w:val="20"/>
        </w:rPr>
      </w:pPr>
      <w:r>
        <w:rPr>
          <w:sz w:val="24"/>
          <w:szCs w:val="20"/>
        </w:rPr>
        <w:t>根据区域水文地质条件，评价区内第四系含水层岩性主要为砂。本次评价水文地质参数主要通过油田区域的勘察资料确定。模型中所需参数及来源见表</w:t>
      </w:r>
      <w:r>
        <w:rPr>
          <w:rFonts w:hint="eastAsia"/>
          <w:sz w:val="24"/>
          <w:szCs w:val="20"/>
        </w:rPr>
        <w:t>5</w:t>
      </w:r>
      <w:r>
        <w:rPr>
          <w:rFonts w:hint="eastAsia"/>
          <w:sz w:val="24"/>
          <w:szCs w:val="20"/>
        </w:rPr>
        <w:t>-</w:t>
      </w:r>
      <w:r>
        <w:rPr>
          <w:rFonts w:hint="eastAsia"/>
          <w:sz w:val="24"/>
          <w:szCs w:val="20"/>
        </w:rPr>
        <w:t>2</w:t>
      </w:r>
      <w:r>
        <w:rPr>
          <w:sz w:val="24"/>
          <w:szCs w:val="20"/>
        </w:rPr>
        <w:t>-</w:t>
      </w:r>
      <w:r>
        <w:rPr>
          <w:rFonts w:hint="eastAsia"/>
          <w:sz w:val="24"/>
          <w:szCs w:val="20"/>
        </w:rPr>
        <w:t>1</w:t>
      </w:r>
      <w:r>
        <w:rPr>
          <w:sz w:val="24"/>
          <w:szCs w:val="20"/>
        </w:rPr>
        <w:t>。</w:t>
      </w:r>
    </w:p>
    <w:p w:rsidR="00EE4502" w:rsidRDefault="00FD45A3">
      <w:pPr>
        <w:jc w:val="center"/>
        <w:rPr>
          <w:rFonts w:ascii="黑体" w:eastAsia="黑体" w:hAnsi="黑体" w:cs="黑体"/>
          <w:bCs/>
          <w:spacing w:val="5"/>
          <w:szCs w:val="20"/>
        </w:rPr>
      </w:pPr>
      <w:r>
        <w:rPr>
          <w:rFonts w:ascii="黑体" w:eastAsia="黑体" w:hAnsi="黑体" w:cs="黑体"/>
          <w:bCs/>
          <w:spacing w:val="5"/>
          <w:szCs w:val="20"/>
        </w:rPr>
        <w:t>表</w:t>
      </w:r>
      <w:r>
        <w:rPr>
          <w:rFonts w:ascii="黑体" w:eastAsia="黑体" w:hAnsi="黑体" w:cs="黑体" w:hint="eastAsia"/>
          <w:bCs/>
          <w:spacing w:val="5"/>
          <w:szCs w:val="20"/>
        </w:rPr>
        <w:t>5</w:t>
      </w:r>
      <w:r>
        <w:rPr>
          <w:rFonts w:ascii="黑体" w:eastAsia="黑体" w:hAnsi="黑体" w:cs="黑体" w:hint="eastAsia"/>
          <w:bCs/>
          <w:spacing w:val="5"/>
          <w:szCs w:val="20"/>
        </w:rPr>
        <w:t>-</w:t>
      </w:r>
      <w:r>
        <w:rPr>
          <w:rFonts w:ascii="黑体" w:eastAsia="黑体" w:hAnsi="黑体" w:cs="黑体" w:hint="eastAsia"/>
          <w:bCs/>
          <w:spacing w:val="5"/>
          <w:szCs w:val="20"/>
        </w:rPr>
        <w:t>2</w:t>
      </w:r>
      <w:r>
        <w:rPr>
          <w:rFonts w:ascii="黑体" w:eastAsia="黑体" w:hAnsi="黑体" w:cs="黑体"/>
          <w:bCs/>
          <w:spacing w:val="5"/>
          <w:szCs w:val="20"/>
        </w:rPr>
        <w:t>-</w:t>
      </w:r>
      <w:r>
        <w:rPr>
          <w:rFonts w:ascii="黑体" w:eastAsia="黑体" w:hAnsi="黑体" w:cs="黑体" w:hint="eastAsia"/>
          <w:bCs/>
          <w:spacing w:val="5"/>
          <w:szCs w:val="20"/>
        </w:rPr>
        <w:t>1</w:t>
      </w:r>
      <w:r>
        <w:rPr>
          <w:rFonts w:ascii="黑体" w:eastAsia="黑体" w:hAnsi="黑体" w:cs="黑体"/>
          <w:bCs/>
          <w:spacing w:val="5"/>
          <w:szCs w:val="20"/>
        </w:rPr>
        <w:t xml:space="preserve">   </w:t>
      </w:r>
      <w:r>
        <w:rPr>
          <w:rFonts w:ascii="黑体" w:eastAsia="黑体" w:hAnsi="黑体" w:cs="黑体"/>
          <w:bCs/>
          <w:spacing w:val="5"/>
          <w:szCs w:val="20"/>
        </w:rPr>
        <w:t>水质预测模型所需参数一览表</w:t>
      </w:r>
    </w:p>
    <w:p w:rsidR="00EE4502" w:rsidRDefault="00FD45A3">
      <w:pPr>
        <w:spacing w:line="360" w:lineRule="auto"/>
        <w:ind w:firstLineChars="200" w:firstLine="480"/>
        <w:rPr>
          <w:sz w:val="24"/>
          <w:szCs w:val="20"/>
        </w:rPr>
      </w:pPr>
      <w:r>
        <w:rPr>
          <w:rFonts w:hint="eastAsia"/>
          <w:sz w:val="24"/>
          <w:szCs w:val="20"/>
        </w:rPr>
        <w:t>⑦</w:t>
      </w:r>
      <w:r>
        <w:rPr>
          <w:sz w:val="24"/>
          <w:szCs w:val="20"/>
        </w:rPr>
        <w:t>预测结果与分析</w:t>
      </w:r>
    </w:p>
    <w:p w:rsidR="00EE4502" w:rsidRDefault="00FD45A3">
      <w:pPr>
        <w:spacing w:line="360" w:lineRule="auto"/>
        <w:ind w:firstLineChars="200" w:firstLine="480"/>
        <w:rPr>
          <w:sz w:val="24"/>
          <w:szCs w:val="20"/>
        </w:rPr>
      </w:pPr>
      <w:r>
        <w:rPr>
          <w:sz w:val="24"/>
          <w:szCs w:val="20"/>
        </w:rPr>
        <w:t>将以上确定</w:t>
      </w:r>
      <w:r>
        <w:rPr>
          <w:rFonts w:hint="eastAsia"/>
          <w:sz w:val="24"/>
          <w:szCs w:val="20"/>
        </w:rPr>
        <w:t>的</w:t>
      </w:r>
      <w:r>
        <w:rPr>
          <w:sz w:val="24"/>
          <w:szCs w:val="20"/>
        </w:rPr>
        <w:t>参数代入模型，便可以求出不同时段，在预测情景下，泄露了不同天数（</w:t>
      </w:r>
      <w:r>
        <w:rPr>
          <w:rFonts w:hint="eastAsia"/>
          <w:sz w:val="24"/>
          <w:szCs w:val="20"/>
        </w:rPr>
        <w:t>1</w:t>
      </w:r>
      <w:r>
        <w:rPr>
          <w:rFonts w:hint="eastAsia"/>
          <w:sz w:val="24"/>
          <w:szCs w:val="20"/>
        </w:rPr>
        <w:t>天、</w:t>
      </w:r>
      <w:r>
        <w:rPr>
          <w:sz w:val="24"/>
          <w:szCs w:val="20"/>
        </w:rPr>
        <w:t>100</w:t>
      </w:r>
      <w:r>
        <w:rPr>
          <w:sz w:val="24"/>
          <w:szCs w:val="20"/>
        </w:rPr>
        <w:t>天、</w:t>
      </w:r>
      <w:r>
        <w:rPr>
          <w:sz w:val="24"/>
          <w:szCs w:val="20"/>
        </w:rPr>
        <w:t>1000</w:t>
      </w:r>
      <w:r>
        <w:rPr>
          <w:sz w:val="24"/>
          <w:szCs w:val="20"/>
        </w:rPr>
        <w:t>天、</w:t>
      </w:r>
      <w:r>
        <w:rPr>
          <w:rFonts w:hint="eastAsia"/>
          <w:sz w:val="24"/>
          <w:szCs w:val="20"/>
        </w:rPr>
        <w:t>5475</w:t>
      </w:r>
      <w:r>
        <w:rPr>
          <w:sz w:val="24"/>
          <w:szCs w:val="20"/>
        </w:rPr>
        <w:t>天）时，污染物在含水层不同位置的浓度分布情况。具体见表</w:t>
      </w:r>
      <w:r>
        <w:rPr>
          <w:sz w:val="24"/>
          <w:szCs w:val="20"/>
        </w:rPr>
        <w:t>5</w:t>
      </w:r>
      <w:r>
        <w:rPr>
          <w:rFonts w:hint="eastAsia"/>
          <w:sz w:val="24"/>
          <w:szCs w:val="20"/>
        </w:rPr>
        <w:t>-</w:t>
      </w:r>
      <w:r>
        <w:rPr>
          <w:sz w:val="24"/>
          <w:szCs w:val="20"/>
        </w:rPr>
        <w:t>2-</w:t>
      </w:r>
      <w:r>
        <w:rPr>
          <w:rFonts w:hint="eastAsia"/>
          <w:sz w:val="24"/>
          <w:szCs w:val="20"/>
        </w:rPr>
        <w:t>2</w:t>
      </w:r>
      <w:r>
        <w:rPr>
          <w:sz w:val="24"/>
          <w:szCs w:val="20"/>
        </w:rPr>
        <w:t>、表</w:t>
      </w:r>
      <w:r>
        <w:rPr>
          <w:sz w:val="24"/>
          <w:szCs w:val="20"/>
        </w:rPr>
        <w:t>5</w:t>
      </w:r>
      <w:r>
        <w:rPr>
          <w:rFonts w:hint="eastAsia"/>
          <w:sz w:val="24"/>
          <w:szCs w:val="20"/>
        </w:rPr>
        <w:t>-</w:t>
      </w:r>
      <w:r>
        <w:rPr>
          <w:sz w:val="24"/>
          <w:szCs w:val="20"/>
        </w:rPr>
        <w:t>2-</w:t>
      </w:r>
      <w:r>
        <w:rPr>
          <w:rFonts w:hint="eastAsia"/>
          <w:sz w:val="24"/>
          <w:szCs w:val="20"/>
        </w:rPr>
        <w:t>3</w:t>
      </w:r>
      <w:r>
        <w:rPr>
          <w:sz w:val="24"/>
          <w:szCs w:val="20"/>
        </w:rPr>
        <w:t>，图</w:t>
      </w:r>
      <w:r>
        <w:rPr>
          <w:rFonts w:hint="eastAsia"/>
          <w:sz w:val="24"/>
          <w:szCs w:val="20"/>
        </w:rPr>
        <w:t>5</w:t>
      </w:r>
      <w:r>
        <w:rPr>
          <w:rFonts w:hint="eastAsia"/>
          <w:sz w:val="24"/>
          <w:szCs w:val="20"/>
        </w:rPr>
        <w:t>-</w:t>
      </w:r>
      <w:r>
        <w:rPr>
          <w:rFonts w:hint="eastAsia"/>
          <w:sz w:val="24"/>
          <w:szCs w:val="20"/>
        </w:rPr>
        <w:t>2</w:t>
      </w:r>
      <w:r>
        <w:rPr>
          <w:sz w:val="24"/>
          <w:szCs w:val="20"/>
        </w:rPr>
        <w:t>-</w:t>
      </w:r>
      <w:r>
        <w:rPr>
          <w:sz w:val="24"/>
          <w:szCs w:val="20"/>
        </w:rPr>
        <w:t>3</w:t>
      </w:r>
      <w:r>
        <w:rPr>
          <w:sz w:val="24"/>
          <w:szCs w:val="20"/>
        </w:rPr>
        <w:t>。</w:t>
      </w:r>
    </w:p>
    <w:p w:rsidR="00EE4502" w:rsidRDefault="00FD45A3">
      <w:pPr>
        <w:widowControl/>
        <w:spacing w:line="360" w:lineRule="auto"/>
        <w:ind w:firstLineChars="200" w:firstLine="480"/>
        <w:rPr>
          <w:bCs/>
          <w:spacing w:val="5"/>
          <w:kern w:val="0"/>
          <w:sz w:val="24"/>
          <w:szCs w:val="25"/>
        </w:rPr>
      </w:pPr>
      <w:r>
        <w:rPr>
          <w:kern w:val="0"/>
          <w:sz w:val="24"/>
        </w:rPr>
        <w:t>根据以上预测结果，在本次设定的预测情形下：预测期间，随着时间、距离增加，污染范围也呈增加趋势。石油类浓度在预测</w:t>
      </w:r>
      <w:r>
        <w:rPr>
          <w:rFonts w:hint="eastAsia"/>
          <w:kern w:val="0"/>
          <w:sz w:val="24"/>
        </w:rPr>
        <w:t>1d</w:t>
      </w:r>
      <w:r>
        <w:rPr>
          <w:rFonts w:hint="eastAsia"/>
          <w:kern w:val="0"/>
          <w:sz w:val="24"/>
        </w:rPr>
        <w:t>、</w:t>
      </w:r>
      <w:r>
        <w:rPr>
          <w:kern w:val="0"/>
          <w:sz w:val="24"/>
        </w:rPr>
        <w:t>100d</w:t>
      </w:r>
      <w:r>
        <w:rPr>
          <w:kern w:val="0"/>
          <w:sz w:val="24"/>
        </w:rPr>
        <w:t>、</w:t>
      </w:r>
      <w:r>
        <w:rPr>
          <w:kern w:val="0"/>
          <w:sz w:val="24"/>
        </w:rPr>
        <w:t>1000d</w:t>
      </w:r>
      <w:r>
        <w:rPr>
          <w:kern w:val="0"/>
          <w:sz w:val="24"/>
        </w:rPr>
        <w:t>、</w:t>
      </w:r>
      <w:r>
        <w:rPr>
          <w:rFonts w:hint="eastAsia"/>
          <w:kern w:val="0"/>
          <w:sz w:val="24"/>
        </w:rPr>
        <w:t>5475</w:t>
      </w:r>
      <w:r>
        <w:rPr>
          <w:kern w:val="0"/>
          <w:sz w:val="24"/>
        </w:rPr>
        <w:t>d</w:t>
      </w:r>
      <w:r>
        <w:rPr>
          <w:kern w:val="0"/>
          <w:sz w:val="24"/>
        </w:rPr>
        <w:t>时</w:t>
      </w:r>
      <w:r>
        <w:rPr>
          <w:kern w:val="0"/>
          <w:sz w:val="24"/>
        </w:rPr>
        <w:lastRenderedPageBreak/>
        <w:t>地下水超标距离分别为</w:t>
      </w:r>
      <w:r>
        <w:rPr>
          <w:rFonts w:hint="eastAsia"/>
          <w:kern w:val="0"/>
          <w:sz w:val="24"/>
        </w:rPr>
        <w:t>5.3</w:t>
      </w:r>
      <w:r>
        <w:rPr>
          <w:kern w:val="0"/>
          <w:sz w:val="24"/>
        </w:rPr>
        <w:t>m</w:t>
      </w:r>
      <w:r>
        <w:rPr>
          <w:kern w:val="0"/>
          <w:sz w:val="24"/>
        </w:rPr>
        <w:t>、</w:t>
      </w:r>
      <w:r>
        <w:rPr>
          <w:rFonts w:hint="eastAsia"/>
          <w:kern w:val="0"/>
          <w:sz w:val="24"/>
        </w:rPr>
        <w:t>66m</w:t>
      </w:r>
      <w:r>
        <w:rPr>
          <w:rFonts w:hint="eastAsia"/>
          <w:kern w:val="0"/>
          <w:sz w:val="24"/>
        </w:rPr>
        <w:t>、</w:t>
      </w:r>
      <w:r>
        <w:rPr>
          <w:rFonts w:hint="eastAsia"/>
          <w:kern w:val="0"/>
          <w:sz w:val="24"/>
        </w:rPr>
        <w:t>310</w:t>
      </w:r>
      <w:r>
        <w:rPr>
          <w:kern w:val="0"/>
          <w:sz w:val="24"/>
        </w:rPr>
        <w:t>m</w:t>
      </w:r>
      <w:r>
        <w:rPr>
          <w:kern w:val="0"/>
          <w:sz w:val="24"/>
        </w:rPr>
        <w:t>、</w:t>
      </w:r>
      <w:r>
        <w:rPr>
          <w:rFonts w:hint="eastAsia"/>
          <w:kern w:val="0"/>
          <w:sz w:val="24"/>
        </w:rPr>
        <w:t>1176</w:t>
      </w:r>
      <w:r>
        <w:rPr>
          <w:kern w:val="0"/>
          <w:sz w:val="24"/>
        </w:rPr>
        <w:t>m</w:t>
      </w:r>
      <w:r>
        <w:rPr>
          <w:kern w:val="0"/>
          <w:sz w:val="24"/>
        </w:rPr>
        <w:t>，影响距离分别为</w:t>
      </w:r>
      <w:r>
        <w:rPr>
          <w:rFonts w:hint="eastAsia"/>
          <w:kern w:val="0"/>
          <w:sz w:val="24"/>
        </w:rPr>
        <w:t>6</w:t>
      </w:r>
      <w:r>
        <w:rPr>
          <w:kern w:val="0"/>
          <w:sz w:val="24"/>
        </w:rPr>
        <w:t>m</w:t>
      </w:r>
      <w:r>
        <w:rPr>
          <w:kern w:val="0"/>
          <w:sz w:val="24"/>
        </w:rPr>
        <w:t>、</w:t>
      </w:r>
      <w:r>
        <w:rPr>
          <w:rFonts w:hint="eastAsia"/>
          <w:kern w:val="0"/>
          <w:sz w:val="24"/>
        </w:rPr>
        <w:t>74</w:t>
      </w:r>
      <w:r>
        <w:rPr>
          <w:kern w:val="0"/>
          <w:sz w:val="24"/>
        </w:rPr>
        <w:t>m</w:t>
      </w:r>
      <w:r>
        <w:rPr>
          <w:kern w:val="0"/>
          <w:sz w:val="24"/>
        </w:rPr>
        <w:t>、</w:t>
      </w:r>
      <w:r>
        <w:rPr>
          <w:rFonts w:hint="eastAsia"/>
          <w:kern w:val="0"/>
          <w:sz w:val="24"/>
        </w:rPr>
        <w:t>329</w:t>
      </w:r>
      <w:r>
        <w:rPr>
          <w:kern w:val="0"/>
          <w:sz w:val="24"/>
        </w:rPr>
        <w:t>m</w:t>
      </w:r>
      <w:r>
        <w:rPr>
          <w:rFonts w:hint="eastAsia"/>
          <w:kern w:val="0"/>
          <w:sz w:val="24"/>
        </w:rPr>
        <w:t>、</w:t>
      </w:r>
      <w:r>
        <w:rPr>
          <w:rFonts w:hint="eastAsia"/>
          <w:kern w:val="0"/>
          <w:sz w:val="24"/>
        </w:rPr>
        <w:t>1239m</w:t>
      </w:r>
      <w:r>
        <w:rPr>
          <w:kern w:val="0"/>
          <w:sz w:val="24"/>
        </w:rPr>
        <w:t>，影响范围内无居民饮用水井等敏感点，</w:t>
      </w:r>
      <w:r>
        <w:rPr>
          <w:snapToGrid w:val="0"/>
          <w:spacing w:val="5"/>
          <w:kern w:val="0"/>
          <w:sz w:val="24"/>
        </w:rPr>
        <w:t>污染物的迁移对地下水有一定影响，</w:t>
      </w:r>
      <w:r>
        <w:rPr>
          <w:spacing w:val="5"/>
          <w:sz w:val="24"/>
          <w:szCs w:val="22"/>
        </w:rPr>
        <w:t>其中</w:t>
      </w:r>
      <w:r>
        <w:rPr>
          <w:spacing w:val="5"/>
          <w:sz w:val="24"/>
          <w:szCs w:val="22"/>
        </w:rPr>
        <w:t>1d</w:t>
      </w:r>
      <w:r>
        <w:rPr>
          <w:spacing w:val="5"/>
          <w:sz w:val="24"/>
          <w:szCs w:val="22"/>
        </w:rPr>
        <w:t>的影响范围在厂界内，不会</w:t>
      </w:r>
      <w:r>
        <w:rPr>
          <w:snapToGrid w:val="0"/>
          <w:spacing w:val="5"/>
          <w:kern w:val="0"/>
          <w:sz w:val="24"/>
        </w:rPr>
        <w:t>影响范围到外环境，各时段的预测影响范围均内无居民饮用水井等地下水环境敏感点。</w:t>
      </w:r>
      <w:r>
        <w:rPr>
          <w:spacing w:val="5"/>
          <w:kern w:val="0"/>
          <w:sz w:val="24"/>
          <w:szCs w:val="25"/>
        </w:rPr>
        <w:t>为预防污染的发生和污染源的形成，表层套管严格封闭第四系含水层，定期维护，固井质量应符合要求，废弃井应全部打水泥塞，并经严格的试压以防窜漏污染地下水，尽量避免</w:t>
      </w:r>
      <w:r>
        <w:rPr>
          <w:bCs/>
          <w:spacing w:val="5"/>
          <w:kern w:val="0"/>
          <w:sz w:val="24"/>
          <w:szCs w:val="25"/>
        </w:rPr>
        <w:t>窜层污染到泄漏点周边区域内的地下水。</w:t>
      </w:r>
      <w:r>
        <w:rPr>
          <w:bCs/>
          <w:spacing w:val="5"/>
          <w:kern w:val="0"/>
          <w:sz w:val="24"/>
          <w:szCs w:val="25"/>
        </w:rPr>
        <w:t>在</w:t>
      </w:r>
      <w:r>
        <w:rPr>
          <w:spacing w:val="5"/>
          <w:kern w:val="0"/>
          <w:sz w:val="24"/>
          <w:szCs w:val="25"/>
        </w:rPr>
        <w:t>套损发生后及时采取治理技术</w:t>
      </w:r>
      <w:r>
        <w:rPr>
          <w:spacing w:val="5"/>
          <w:kern w:val="0"/>
          <w:sz w:val="24"/>
          <w:szCs w:val="25"/>
        </w:rPr>
        <w:t>的情况下，窜层对地下水的影响属可接受范围。</w:t>
      </w:r>
    </w:p>
    <w:p w:rsidR="00EE4502" w:rsidRDefault="00FD45A3">
      <w:pPr>
        <w:spacing w:line="360" w:lineRule="auto"/>
        <w:ind w:firstLineChars="200" w:firstLine="480"/>
        <w:rPr>
          <w:sz w:val="24"/>
          <w:szCs w:val="20"/>
        </w:rPr>
      </w:pPr>
      <w:r>
        <w:rPr>
          <w:sz w:val="24"/>
          <w:szCs w:val="20"/>
        </w:rPr>
        <w:t>（</w:t>
      </w:r>
      <w:r>
        <w:rPr>
          <w:sz w:val="24"/>
          <w:szCs w:val="20"/>
        </w:rPr>
        <w:t>2</w:t>
      </w:r>
      <w:r>
        <w:rPr>
          <w:sz w:val="24"/>
          <w:szCs w:val="20"/>
        </w:rPr>
        <w:t>）情景</w:t>
      </w:r>
      <w:r>
        <w:rPr>
          <w:sz w:val="24"/>
          <w:szCs w:val="20"/>
        </w:rPr>
        <w:t>2</w:t>
      </w:r>
      <w:r>
        <w:rPr>
          <w:sz w:val="24"/>
          <w:szCs w:val="20"/>
        </w:rPr>
        <w:t>：渗透污染（</w:t>
      </w:r>
      <w:r>
        <w:rPr>
          <w:rFonts w:hint="eastAsia"/>
          <w:sz w:val="24"/>
          <w:szCs w:val="20"/>
        </w:rPr>
        <w:t>集输管线</w:t>
      </w:r>
      <w:r>
        <w:rPr>
          <w:rFonts w:hint="eastAsia"/>
          <w:sz w:val="24"/>
          <w:szCs w:val="20"/>
        </w:rPr>
        <w:t>泄漏</w:t>
      </w:r>
      <w:r>
        <w:rPr>
          <w:rFonts w:hint="eastAsia"/>
          <w:sz w:val="24"/>
          <w:szCs w:val="20"/>
        </w:rPr>
        <w:t>事故</w:t>
      </w:r>
      <w:r>
        <w:rPr>
          <w:sz w:val="24"/>
          <w:szCs w:val="20"/>
        </w:rPr>
        <w:t>）</w:t>
      </w:r>
    </w:p>
    <w:p w:rsidR="00EE4502" w:rsidRDefault="00FD45A3">
      <w:pPr>
        <w:spacing w:line="360" w:lineRule="auto"/>
        <w:ind w:firstLineChars="200" w:firstLine="480"/>
        <w:rPr>
          <w:sz w:val="24"/>
          <w:szCs w:val="20"/>
        </w:rPr>
      </w:pPr>
      <w:r>
        <w:rPr>
          <w:sz w:val="24"/>
          <w:szCs w:val="20"/>
        </w:rPr>
        <w:t>①</w:t>
      </w:r>
      <w:r>
        <w:rPr>
          <w:sz w:val="24"/>
          <w:szCs w:val="20"/>
        </w:rPr>
        <w:t>预测情景</w:t>
      </w:r>
    </w:p>
    <w:p w:rsidR="00EE4502" w:rsidRDefault="00FD45A3">
      <w:pPr>
        <w:adjustRightInd w:val="0"/>
        <w:snapToGrid w:val="0"/>
        <w:spacing w:line="360" w:lineRule="auto"/>
        <w:ind w:firstLineChars="200" w:firstLine="500"/>
        <w:rPr>
          <w:spacing w:val="5"/>
          <w:sz w:val="24"/>
          <w:szCs w:val="25"/>
        </w:rPr>
      </w:pPr>
      <w:r>
        <w:rPr>
          <w:rFonts w:hint="eastAsia"/>
          <w:spacing w:val="5"/>
          <w:sz w:val="24"/>
          <w:szCs w:val="21"/>
        </w:rPr>
        <w:t>本工程</w:t>
      </w:r>
      <w:r>
        <w:rPr>
          <w:rFonts w:hint="eastAsia"/>
          <w:spacing w:val="5"/>
          <w:sz w:val="24"/>
          <w:szCs w:val="21"/>
        </w:rPr>
        <w:t>集输管线输送的物质主要为</w:t>
      </w:r>
      <w:r>
        <w:rPr>
          <w:rFonts w:hint="eastAsia"/>
          <w:spacing w:val="5"/>
          <w:sz w:val="24"/>
          <w:szCs w:val="21"/>
        </w:rPr>
        <w:t>原油</w:t>
      </w:r>
      <w:r>
        <w:rPr>
          <w:rFonts w:hint="eastAsia"/>
          <w:spacing w:val="5"/>
          <w:sz w:val="24"/>
          <w:szCs w:val="21"/>
        </w:rPr>
        <w:t>，非正常状况下，</w:t>
      </w:r>
      <w:r>
        <w:rPr>
          <w:rFonts w:hint="eastAsia"/>
          <w:spacing w:val="5"/>
          <w:sz w:val="24"/>
          <w:szCs w:val="25"/>
        </w:rPr>
        <w:t>阀门、</w:t>
      </w:r>
      <w:r>
        <w:rPr>
          <w:spacing w:val="5"/>
          <w:sz w:val="24"/>
          <w:szCs w:val="25"/>
        </w:rPr>
        <w:t>集输管线泄漏事故会导致浅部隐蔽性污染源的产生，泄漏的</w:t>
      </w:r>
      <w:r>
        <w:rPr>
          <w:rFonts w:hint="eastAsia"/>
          <w:spacing w:val="5"/>
          <w:sz w:val="24"/>
          <w:szCs w:val="25"/>
        </w:rPr>
        <w:t>原油</w:t>
      </w:r>
      <w:r>
        <w:rPr>
          <w:rFonts w:hint="eastAsia"/>
          <w:spacing w:val="5"/>
          <w:sz w:val="24"/>
          <w:szCs w:val="25"/>
        </w:rPr>
        <w:t>等</w:t>
      </w:r>
      <w:r>
        <w:rPr>
          <w:spacing w:val="5"/>
          <w:sz w:val="24"/>
          <w:szCs w:val="25"/>
        </w:rPr>
        <w:t>下渗而可能导致地下水污染风险的发生。</w:t>
      </w:r>
      <w:r>
        <w:rPr>
          <w:rFonts w:hint="eastAsia"/>
          <w:spacing w:val="5"/>
          <w:sz w:val="24"/>
          <w:szCs w:val="25"/>
        </w:rPr>
        <w:t>设备阀门、管线等</w:t>
      </w:r>
      <w:r>
        <w:rPr>
          <w:spacing w:val="5"/>
          <w:sz w:val="24"/>
          <w:szCs w:val="25"/>
        </w:rPr>
        <w:t>发生泄漏的原因有如下几种：误操作、机械故障、外力作用和腐蚀，这几种因素的产生都是人为的或人为操控程度很高，发生污染的危害程度也取决于操作人员的处置和控制。</w:t>
      </w:r>
    </w:p>
    <w:p w:rsidR="00EE4502" w:rsidRDefault="00FD45A3">
      <w:pPr>
        <w:adjustRightInd w:val="0"/>
        <w:snapToGrid w:val="0"/>
        <w:spacing w:line="360" w:lineRule="auto"/>
        <w:ind w:firstLineChars="200" w:firstLine="500"/>
        <w:rPr>
          <w:spacing w:val="5"/>
          <w:sz w:val="24"/>
          <w:szCs w:val="25"/>
        </w:rPr>
      </w:pPr>
      <w:r>
        <w:rPr>
          <w:rFonts w:ascii="宋体" w:hAnsi="宋体" w:cs="宋体" w:hint="eastAsia"/>
          <w:spacing w:val="5"/>
          <w:sz w:val="24"/>
          <w:szCs w:val="22"/>
        </w:rPr>
        <w:t>综合考虑生产装置设施情况以及所在区域水文地质条件，非正常状况泄漏点设定为：集输管线</w:t>
      </w:r>
      <w:r>
        <w:rPr>
          <w:rFonts w:ascii="宋体" w:hAnsi="宋体" w:cs="宋体" w:hint="eastAsia"/>
          <w:spacing w:val="5"/>
          <w:kern w:val="0"/>
          <w:sz w:val="24"/>
          <w:szCs w:val="22"/>
          <w:lang w:bidi="ar"/>
        </w:rPr>
        <w:t>截面</w:t>
      </w:r>
      <w:r>
        <w:rPr>
          <w:rFonts w:ascii="宋体" w:hAnsi="宋体" w:cs="宋体" w:hint="eastAsia"/>
          <w:spacing w:val="5"/>
          <w:kern w:val="0"/>
          <w:sz w:val="24"/>
          <w:szCs w:val="22"/>
          <w:lang w:bidi="ar"/>
        </w:rPr>
        <w:t>100%</w:t>
      </w:r>
      <w:r>
        <w:rPr>
          <w:rFonts w:ascii="宋体" w:hAnsi="宋体" w:cs="宋体" w:hint="eastAsia"/>
          <w:spacing w:val="5"/>
          <w:kern w:val="0"/>
          <w:sz w:val="24"/>
          <w:szCs w:val="22"/>
          <w:lang w:bidi="ar"/>
        </w:rPr>
        <w:t>断裂</w:t>
      </w:r>
      <w:r>
        <w:rPr>
          <w:rFonts w:ascii="宋体" w:hAnsi="Calibri" w:hint="eastAsia"/>
          <w:spacing w:val="5"/>
          <w:sz w:val="24"/>
          <w:szCs w:val="22"/>
        </w:rPr>
        <w:t>泄漏，如不及时修复，</w:t>
      </w:r>
      <w:r>
        <w:rPr>
          <w:rFonts w:ascii="宋体" w:hAnsi="Calibri" w:hint="eastAsia"/>
          <w:spacing w:val="5"/>
          <w:sz w:val="24"/>
          <w:szCs w:val="22"/>
        </w:rPr>
        <w:t>原油</w:t>
      </w:r>
      <w:r>
        <w:rPr>
          <w:rFonts w:ascii="宋体" w:hAnsi="Calibri" w:hint="eastAsia"/>
          <w:spacing w:val="5"/>
          <w:sz w:val="24"/>
          <w:szCs w:val="22"/>
        </w:rPr>
        <w:t>可能下渗对地下水造成影响。本次评价对非正常状况下</w:t>
      </w:r>
      <w:r>
        <w:rPr>
          <w:rFonts w:ascii="宋体" w:hAnsi="宋体" w:cs="宋体" w:hint="eastAsia"/>
          <w:spacing w:val="5"/>
          <w:sz w:val="24"/>
          <w:szCs w:val="22"/>
        </w:rPr>
        <w:t>集输管线</w:t>
      </w:r>
      <w:r>
        <w:rPr>
          <w:rFonts w:ascii="宋体" w:hAnsi="宋体" w:cs="宋体" w:hint="eastAsia"/>
          <w:spacing w:val="5"/>
          <w:kern w:val="0"/>
          <w:sz w:val="24"/>
          <w:szCs w:val="22"/>
          <w:lang w:bidi="ar"/>
        </w:rPr>
        <w:t>截面</w:t>
      </w:r>
      <w:r>
        <w:rPr>
          <w:rFonts w:ascii="宋体" w:hAnsi="宋体" w:cs="宋体" w:hint="eastAsia"/>
          <w:spacing w:val="5"/>
          <w:kern w:val="0"/>
          <w:sz w:val="24"/>
          <w:szCs w:val="22"/>
          <w:lang w:bidi="ar"/>
        </w:rPr>
        <w:t>100%</w:t>
      </w:r>
      <w:r>
        <w:rPr>
          <w:rFonts w:ascii="宋体" w:hAnsi="宋体" w:cs="宋体" w:hint="eastAsia"/>
          <w:spacing w:val="5"/>
          <w:kern w:val="0"/>
          <w:sz w:val="24"/>
          <w:szCs w:val="22"/>
          <w:lang w:bidi="ar"/>
        </w:rPr>
        <w:t>断裂</w:t>
      </w:r>
      <w:r>
        <w:rPr>
          <w:rFonts w:ascii="宋体" w:hAnsi="Calibri" w:hint="eastAsia"/>
          <w:spacing w:val="5"/>
          <w:sz w:val="24"/>
          <w:szCs w:val="22"/>
        </w:rPr>
        <w:t>泄漏情景运用解析模型进行模拟预测，以评价对地下水环境的影响。</w:t>
      </w:r>
      <w:r>
        <w:rPr>
          <w:rFonts w:hint="eastAsia"/>
          <w:spacing w:val="5"/>
          <w:sz w:val="24"/>
          <w:szCs w:val="25"/>
        </w:rPr>
        <w:t>集输管线两端设有紧急切断阀，一旦检测到异常（如压力骤降、流量突变或泄漏报警），系统会自动触发阀门关闭，迅速切断气液流动，防止泄漏扩散，一般应急响应时间控制在</w:t>
      </w:r>
      <w:r>
        <w:rPr>
          <w:rFonts w:hint="eastAsia"/>
          <w:spacing w:val="5"/>
          <w:sz w:val="24"/>
          <w:szCs w:val="25"/>
        </w:rPr>
        <w:t>10</w:t>
      </w:r>
      <w:r>
        <w:rPr>
          <w:rFonts w:hint="eastAsia"/>
          <w:spacing w:val="5"/>
          <w:sz w:val="24"/>
          <w:szCs w:val="25"/>
        </w:rPr>
        <w:t>分钟以内，本次预测按照</w:t>
      </w:r>
      <w:r>
        <w:rPr>
          <w:rFonts w:hint="eastAsia"/>
          <w:spacing w:val="5"/>
          <w:sz w:val="24"/>
          <w:szCs w:val="25"/>
        </w:rPr>
        <w:t>10</w:t>
      </w:r>
      <w:r>
        <w:rPr>
          <w:rFonts w:hint="eastAsia"/>
          <w:spacing w:val="5"/>
          <w:sz w:val="24"/>
          <w:szCs w:val="25"/>
        </w:rPr>
        <w:t>分钟计算。</w:t>
      </w:r>
    </w:p>
    <w:p w:rsidR="00EE4502" w:rsidRDefault="00FD45A3">
      <w:pPr>
        <w:spacing w:line="360" w:lineRule="auto"/>
        <w:ind w:firstLineChars="200" w:firstLine="480"/>
        <w:rPr>
          <w:sz w:val="24"/>
          <w:szCs w:val="20"/>
        </w:rPr>
      </w:pPr>
      <w:r>
        <w:rPr>
          <w:sz w:val="24"/>
          <w:szCs w:val="20"/>
        </w:rPr>
        <w:t>②</w:t>
      </w:r>
      <w:r>
        <w:rPr>
          <w:sz w:val="24"/>
          <w:szCs w:val="20"/>
        </w:rPr>
        <w:t>预测方法</w:t>
      </w:r>
    </w:p>
    <w:p w:rsidR="00EE4502" w:rsidRDefault="00FD45A3">
      <w:pPr>
        <w:spacing w:line="360" w:lineRule="auto"/>
        <w:ind w:firstLineChars="200" w:firstLine="480"/>
        <w:rPr>
          <w:sz w:val="24"/>
          <w:szCs w:val="20"/>
        </w:rPr>
      </w:pPr>
      <w:r>
        <w:rPr>
          <w:sz w:val="24"/>
          <w:szCs w:val="20"/>
        </w:rPr>
        <w:t>本次评价采用解析法对地下水环境影响进行预测。</w:t>
      </w:r>
    </w:p>
    <w:p w:rsidR="00EE4502" w:rsidRDefault="00FD45A3">
      <w:pPr>
        <w:spacing w:line="360" w:lineRule="auto"/>
        <w:ind w:firstLine="480"/>
        <w:rPr>
          <w:sz w:val="24"/>
          <w:szCs w:val="20"/>
        </w:rPr>
      </w:pPr>
      <w:r>
        <w:rPr>
          <w:rFonts w:hint="eastAsia"/>
          <w:sz w:val="24"/>
          <w:szCs w:val="20"/>
        </w:rPr>
        <w:t>③预测范围及时间</w:t>
      </w:r>
    </w:p>
    <w:p w:rsidR="00EE4502" w:rsidRDefault="00FD45A3">
      <w:pPr>
        <w:spacing w:line="360" w:lineRule="auto"/>
        <w:ind w:firstLine="480"/>
        <w:rPr>
          <w:sz w:val="24"/>
          <w:szCs w:val="20"/>
        </w:rPr>
      </w:pPr>
      <w:r>
        <w:rPr>
          <w:rFonts w:hint="eastAsia"/>
          <w:sz w:val="24"/>
          <w:szCs w:val="20"/>
        </w:rPr>
        <w:t>本次影响预测范围与调查评价范围一致，根据地表渗透污染特点，预测层位为第四系潜水含水层。</w:t>
      </w:r>
    </w:p>
    <w:p w:rsidR="00EE4502" w:rsidRDefault="00FD45A3">
      <w:pPr>
        <w:spacing w:line="360" w:lineRule="auto"/>
        <w:ind w:firstLineChars="200" w:firstLine="500"/>
        <w:rPr>
          <w:rFonts w:ascii="宋体" w:hAnsi="Calibri"/>
          <w:spacing w:val="5"/>
          <w:sz w:val="24"/>
          <w:szCs w:val="22"/>
        </w:rPr>
      </w:pPr>
      <w:r>
        <w:rPr>
          <w:rFonts w:ascii="宋体" w:hAnsi="Calibri" w:hint="eastAsia"/>
          <w:spacing w:val="5"/>
          <w:sz w:val="24"/>
          <w:szCs w:val="22"/>
        </w:rPr>
        <w:t>根据项目特点，预测时段</w:t>
      </w:r>
      <w:r>
        <w:rPr>
          <w:rFonts w:ascii="宋体" w:hAnsi="Calibri" w:hint="eastAsia"/>
          <w:spacing w:val="5"/>
          <w:sz w:val="24"/>
          <w:szCs w:val="22"/>
        </w:rPr>
        <w:t>选取</w:t>
      </w:r>
      <w:r>
        <w:rPr>
          <w:rFonts w:ascii="宋体" w:hAnsi="Calibri" w:hint="eastAsia"/>
          <w:spacing w:val="5"/>
          <w:sz w:val="24"/>
          <w:szCs w:val="22"/>
        </w:rPr>
        <w:t>污染发生后</w:t>
      </w:r>
      <w:r>
        <w:rPr>
          <w:rFonts w:ascii="宋体" w:hAnsi="Calibri" w:hint="eastAsia"/>
          <w:spacing w:val="5"/>
          <w:sz w:val="24"/>
          <w:szCs w:val="22"/>
        </w:rPr>
        <w:t>1d</w:t>
      </w:r>
      <w:r>
        <w:rPr>
          <w:rFonts w:ascii="宋体" w:hAnsi="Calibri" w:hint="eastAsia"/>
          <w:spacing w:val="5"/>
          <w:sz w:val="24"/>
          <w:szCs w:val="22"/>
        </w:rPr>
        <w:t>、</w:t>
      </w:r>
      <w:r>
        <w:rPr>
          <w:rFonts w:ascii="宋体" w:hAnsi="Calibri"/>
          <w:spacing w:val="5"/>
          <w:sz w:val="24"/>
          <w:szCs w:val="22"/>
        </w:rPr>
        <w:t>100d</w:t>
      </w:r>
      <w:r>
        <w:rPr>
          <w:rFonts w:ascii="宋体" w:hAnsi="Calibri" w:hint="eastAsia"/>
          <w:spacing w:val="5"/>
          <w:sz w:val="24"/>
          <w:szCs w:val="22"/>
        </w:rPr>
        <w:t>、</w:t>
      </w:r>
      <w:r>
        <w:rPr>
          <w:rFonts w:ascii="宋体" w:hAnsi="Calibri"/>
          <w:spacing w:val="5"/>
          <w:sz w:val="24"/>
          <w:szCs w:val="22"/>
        </w:rPr>
        <w:t>1000d</w:t>
      </w:r>
      <w:r>
        <w:rPr>
          <w:rFonts w:ascii="宋体" w:hAnsi="Calibri" w:hint="eastAsia"/>
          <w:spacing w:val="5"/>
          <w:sz w:val="24"/>
          <w:szCs w:val="22"/>
        </w:rPr>
        <w:t>，</w:t>
      </w:r>
      <w:r>
        <w:rPr>
          <w:rFonts w:ascii="宋体" w:hAnsi="Calibri" w:hint="eastAsia"/>
          <w:spacing w:val="5"/>
          <w:sz w:val="24"/>
          <w:szCs w:val="22"/>
        </w:rPr>
        <w:t>5475</w:t>
      </w:r>
      <w:r>
        <w:rPr>
          <w:rFonts w:ascii="宋体" w:hAnsi="Calibri" w:hint="eastAsia"/>
          <w:spacing w:val="5"/>
          <w:sz w:val="24"/>
          <w:szCs w:val="22"/>
        </w:rPr>
        <w:t>d</w:t>
      </w:r>
      <w:r>
        <w:rPr>
          <w:rFonts w:ascii="宋体" w:hAnsi="Calibri" w:hint="eastAsia"/>
          <w:spacing w:val="5"/>
          <w:sz w:val="24"/>
          <w:szCs w:val="22"/>
        </w:rPr>
        <w:t>（</w:t>
      </w:r>
      <w:r>
        <w:rPr>
          <w:rFonts w:ascii="宋体" w:hAnsi="Calibri" w:hint="eastAsia"/>
          <w:spacing w:val="5"/>
          <w:sz w:val="24"/>
          <w:szCs w:val="22"/>
        </w:rPr>
        <w:t>15</w:t>
      </w:r>
      <w:r>
        <w:rPr>
          <w:rFonts w:ascii="宋体" w:hAnsi="Calibri" w:hint="eastAsia"/>
          <w:spacing w:val="5"/>
          <w:sz w:val="24"/>
          <w:szCs w:val="22"/>
        </w:rPr>
        <w:t>年</w:t>
      </w:r>
      <w:r>
        <w:rPr>
          <w:rFonts w:ascii="宋体" w:hAnsi="Calibri" w:hint="eastAsia"/>
          <w:spacing w:val="5"/>
          <w:sz w:val="24"/>
          <w:szCs w:val="22"/>
        </w:rPr>
        <w:t>）</w:t>
      </w:r>
      <w:r>
        <w:rPr>
          <w:rFonts w:ascii="宋体" w:hAnsi="Calibri" w:hint="eastAsia"/>
          <w:spacing w:val="5"/>
          <w:sz w:val="24"/>
          <w:szCs w:val="22"/>
        </w:rPr>
        <w:t>。</w:t>
      </w:r>
    </w:p>
    <w:p w:rsidR="00EE4502" w:rsidRDefault="00FD45A3">
      <w:pPr>
        <w:spacing w:line="360" w:lineRule="auto"/>
        <w:ind w:firstLineChars="200" w:firstLine="500"/>
        <w:rPr>
          <w:rFonts w:ascii="宋体" w:hAnsi="Calibri"/>
          <w:spacing w:val="5"/>
          <w:sz w:val="24"/>
          <w:szCs w:val="22"/>
        </w:rPr>
      </w:pPr>
      <w:r>
        <w:rPr>
          <w:rFonts w:ascii="宋体" w:hAnsi="Calibri" w:hint="eastAsia"/>
          <w:spacing w:val="5"/>
          <w:sz w:val="24"/>
          <w:szCs w:val="22"/>
        </w:rPr>
        <w:t>④预测因子</w:t>
      </w:r>
    </w:p>
    <w:p w:rsidR="00EE4502" w:rsidRDefault="00FD45A3">
      <w:pPr>
        <w:spacing w:line="360" w:lineRule="auto"/>
        <w:ind w:firstLineChars="200" w:firstLine="500"/>
        <w:rPr>
          <w:rFonts w:ascii="宋体" w:hAnsi="宋体"/>
          <w:spacing w:val="5"/>
          <w:sz w:val="24"/>
          <w:szCs w:val="22"/>
        </w:rPr>
      </w:pPr>
      <w:r>
        <w:rPr>
          <w:rFonts w:ascii="宋体" w:hAnsi="Calibri" w:hint="eastAsia"/>
          <w:spacing w:val="5"/>
          <w:sz w:val="24"/>
          <w:szCs w:val="22"/>
          <w:lang w:bidi="ar"/>
        </w:rPr>
        <w:lastRenderedPageBreak/>
        <w:t>结合前文分析，集输管线</w:t>
      </w:r>
      <w:r>
        <w:rPr>
          <w:rFonts w:ascii="宋体" w:hAnsi="Calibri" w:hint="eastAsia"/>
          <w:spacing w:val="5"/>
          <w:sz w:val="24"/>
          <w:szCs w:val="22"/>
          <w:lang w:bidi="ar"/>
        </w:rPr>
        <w:t>泄漏</w:t>
      </w:r>
      <w:r>
        <w:rPr>
          <w:rFonts w:ascii="宋体" w:hAnsi="Calibri" w:hint="eastAsia"/>
          <w:spacing w:val="5"/>
          <w:sz w:val="24"/>
          <w:szCs w:val="22"/>
          <w:lang w:bidi="ar"/>
        </w:rPr>
        <w:t>，根据污染指数，</w:t>
      </w:r>
      <w:r>
        <w:rPr>
          <w:rFonts w:ascii="宋体" w:hAnsi="宋体" w:hint="eastAsia"/>
          <w:spacing w:val="5"/>
          <w:sz w:val="24"/>
          <w:szCs w:val="22"/>
        </w:rPr>
        <w:t>选取</w:t>
      </w:r>
      <w:r>
        <w:rPr>
          <w:rFonts w:ascii="宋体" w:hAnsi="宋体" w:hint="eastAsia"/>
          <w:spacing w:val="5"/>
          <w:sz w:val="24"/>
          <w:szCs w:val="22"/>
        </w:rPr>
        <w:t>泄露后影响相对最大的</w:t>
      </w:r>
      <w:r>
        <w:rPr>
          <w:rFonts w:ascii="宋体" w:hAnsi="宋体" w:hint="eastAsia"/>
          <w:spacing w:val="5"/>
          <w:sz w:val="24"/>
          <w:szCs w:val="22"/>
        </w:rPr>
        <w:t>特征污染物石油类作为代表性污染物进行预测。</w:t>
      </w:r>
    </w:p>
    <w:p w:rsidR="00EE4502" w:rsidRDefault="00FD45A3">
      <w:pPr>
        <w:spacing w:line="360" w:lineRule="auto"/>
        <w:ind w:firstLineChars="200" w:firstLine="500"/>
        <w:rPr>
          <w:rFonts w:ascii="宋体" w:hAnsi="宋体"/>
          <w:spacing w:val="5"/>
          <w:sz w:val="24"/>
          <w:szCs w:val="22"/>
        </w:rPr>
      </w:pPr>
      <w:r>
        <w:rPr>
          <w:rFonts w:ascii="宋体" w:hAnsi="宋体" w:hint="eastAsia"/>
          <w:spacing w:val="5"/>
          <w:sz w:val="24"/>
          <w:szCs w:val="22"/>
        </w:rPr>
        <w:t>⑤预测源强</w:t>
      </w:r>
    </w:p>
    <w:p w:rsidR="00EE4502" w:rsidRDefault="00FD45A3">
      <w:pPr>
        <w:spacing w:line="360" w:lineRule="auto"/>
        <w:ind w:firstLineChars="200" w:firstLine="500"/>
        <w:rPr>
          <w:rFonts w:ascii="宋体" w:hAnsi="宋体" w:cs="宋体"/>
          <w:spacing w:val="5"/>
          <w:sz w:val="24"/>
          <w:szCs w:val="22"/>
        </w:rPr>
      </w:pPr>
      <w:r>
        <w:rPr>
          <w:rFonts w:ascii="宋体" w:hAnsi="宋体" w:cs="宋体" w:hint="eastAsia"/>
          <w:spacing w:val="5"/>
          <w:kern w:val="0"/>
          <w:sz w:val="24"/>
          <w:szCs w:val="22"/>
          <w:lang w:bidi="ar"/>
        </w:rPr>
        <w:t>拟建项目自动控制系统采用</w:t>
      </w:r>
      <w:r>
        <w:rPr>
          <w:rFonts w:ascii="宋体" w:hAnsi="宋体" w:cs="宋体" w:hint="eastAsia"/>
          <w:spacing w:val="5"/>
          <w:kern w:val="0"/>
          <w:sz w:val="24"/>
          <w:szCs w:val="22"/>
          <w:lang w:bidi="ar"/>
        </w:rPr>
        <w:t>SCADA</w:t>
      </w:r>
      <w:r>
        <w:rPr>
          <w:rFonts w:ascii="宋体" w:hAnsi="宋体" w:cs="宋体" w:hint="eastAsia"/>
          <w:spacing w:val="5"/>
          <w:kern w:val="0"/>
          <w:sz w:val="24"/>
          <w:szCs w:val="22"/>
          <w:lang w:bidi="ar"/>
        </w:rPr>
        <w:t>系统，系统采用全线调控中心控制级、井场控制级和就地控制级三级控制方式，并对沿线井场及监控阀室实施远距离的数据采集、监视控制、安全保护和统一调度管理。</w:t>
      </w:r>
      <w:r>
        <w:rPr>
          <w:rFonts w:ascii="宋体" w:hAnsi="宋体" w:cs="宋体" w:hint="eastAsia"/>
          <w:spacing w:val="5"/>
          <w:kern w:val="0"/>
          <w:sz w:val="24"/>
          <w:szCs w:val="22"/>
          <w:lang w:bidi="ar"/>
        </w:rPr>
        <w:t xml:space="preserve"> </w:t>
      </w:r>
    </w:p>
    <w:p w:rsidR="00EE4502" w:rsidRDefault="00FD45A3">
      <w:pPr>
        <w:spacing w:line="360" w:lineRule="auto"/>
        <w:ind w:firstLineChars="200" w:firstLine="500"/>
        <w:rPr>
          <w:rFonts w:ascii="宋体" w:hAnsi="宋体" w:cs="宋体"/>
          <w:spacing w:val="5"/>
          <w:sz w:val="24"/>
          <w:szCs w:val="22"/>
        </w:rPr>
      </w:pPr>
      <w:r>
        <w:rPr>
          <w:rFonts w:ascii="宋体" w:hAnsi="宋体" w:cs="宋体" w:hint="eastAsia"/>
          <w:spacing w:val="5"/>
          <w:kern w:val="0"/>
          <w:sz w:val="24"/>
          <w:szCs w:val="22"/>
          <w:lang w:bidi="ar"/>
        </w:rPr>
        <w:t>根据设计资料并结合建设单位多年来同类管道的运营经验，一旦发生漏油事故，管内压力减小，各截断阀可以确保在</w:t>
      </w:r>
      <w:r>
        <w:rPr>
          <w:rFonts w:ascii="宋体" w:hAnsi="宋体" w:cs="宋体" w:hint="eastAsia"/>
          <w:spacing w:val="5"/>
          <w:kern w:val="0"/>
          <w:sz w:val="24"/>
          <w:szCs w:val="22"/>
          <w:lang w:bidi="ar"/>
        </w:rPr>
        <w:t>10min</w:t>
      </w:r>
      <w:r>
        <w:rPr>
          <w:rFonts w:ascii="宋体" w:hAnsi="宋体" w:cs="宋体" w:hint="eastAsia"/>
          <w:spacing w:val="5"/>
          <w:kern w:val="0"/>
          <w:sz w:val="24"/>
          <w:szCs w:val="22"/>
          <w:lang w:bidi="ar"/>
        </w:rPr>
        <w:t>内响应并关闭，管道断裂处油品继续泄漏，当与外界压力平衡时，泄漏终止。本次评价以泄漏事故发生至关闭阀门时间</w:t>
      </w:r>
      <w:r>
        <w:rPr>
          <w:rFonts w:ascii="宋体" w:hAnsi="宋体" w:cs="宋体" w:hint="eastAsia"/>
          <w:spacing w:val="5"/>
          <w:kern w:val="0"/>
          <w:sz w:val="24"/>
          <w:szCs w:val="22"/>
          <w:lang w:bidi="ar"/>
        </w:rPr>
        <w:t>10min</w:t>
      </w:r>
      <w:r>
        <w:rPr>
          <w:rFonts w:ascii="宋体" w:hAnsi="宋体" w:cs="宋体" w:hint="eastAsia"/>
          <w:spacing w:val="5"/>
          <w:kern w:val="0"/>
          <w:sz w:val="24"/>
          <w:szCs w:val="22"/>
          <w:lang w:bidi="ar"/>
        </w:rPr>
        <w:t>考虑。管道泄漏时，选取最不利情形即管道截面</w:t>
      </w:r>
      <w:r>
        <w:rPr>
          <w:rFonts w:ascii="宋体" w:hAnsi="宋体" w:cs="宋体" w:hint="eastAsia"/>
          <w:spacing w:val="5"/>
          <w:kern w:val="0"/>
          <w:sz w:val="24"/>
          <w:szCs w:val="22"/>
          <w:lang w:bidi="ar"/>
        </w:rPr>
        <w:t>100%</w:t>
      </w:r>
      <w:r>
        <w:rPr>
          <w:rFonts w:ascii="宋体" w:hAnsi="宋体" w:cs="宋体" w:hint="eastAsia"/>
          <w:spacing w:val="5"/>
          <w:kern w:val="0"/>
          <w:sz w:val="24"/>
          <w:szCs w:val="22"/>
          <w:lang w:bidi="ar"/>
        </w:rPr>
        <w:t>断裂进行评价。通常按美国矿业管理部</w:t>
      </w:r>
      <w:r>
        <w:rPr>
          <w:rFonts w:ascii="宋体" w:hAnsi="宋体" w:cs="宋体" w:hint="eastAsia"/>
          <w:spacing w:val="5"/>
          <w:kern w:val="0"/>
          <w:sz w:val="24"/>
          <w:szCs w:val="22"/>
          <w:lang w:bidi="ar"/>
        </w:rPr>
        <w:t>（</w:t>
      </w:r>
      <w:r>
        <w:rPr>
          <w:rFonts w:ascii="宋体" w:hAnsi="宋体" w:cs="宋体" w:hint="eastAsia"/>
          <w:spacing w:val="5"/>
          <w:kern w:val="0"/>
          <w:sz w:val="24"/>
          <w:szCs w:val="22"/>
          <w:lang w:bidi="ar"/>
        </w:rPr>
        <w:t>MMS</w:t>
      </w:r>
      <w:r>
        <w:rPr>
          <w:rFonts w:ascii="宋体" w:hAnsi="宋体" w:cs="宋体" w:hint="eastAsia"/>
          <w:spacing w:val="5"/>
          <w:kern w:val="0"/>
          <w:sz w:val="24"/>
          <w:szCs w:val="22"/>
          <w:lang w:bidi="ar"/>
        </w:rPr>
        <w:t>）</w:t>
      </w:r>
      <w:r>
        <w:rPr>
          <w:rFonts w:ascii="宋体" w:hAnsi="宋体" w:cs="宋体" w:hint="eastAsia"/>
          <w:spacing w:val="5"/>
          <w:kern w:val="0"/>
          <w:sz w:val="24"/>
          <w:szCs w:val="22"/>
          <w:lang w:bidi="ar"/>
        </w:rPr>
        <w:t>管道油品泄漏量估算导则</w:t>
      </w:r>
      <w:r>
        <w:rPr>
          <w:rFonts w:ascii="宋体" w:hAnsi="宋体" w:cs="宋体" w:hint="eastAsia"/>
          <w:spacing w:val="5"/>
          <w:kern w:val="0"/>
          <w:sz w:val="24"/>
          <w:szCs w:val="22"/>
          <w:lang w:bidi="ar"/>
        </w:rPr>
        <w:t>（</w:t>
      </w:r>
      <w:r>
        <w:rPr>
          <w:rFonts w:ascii="宋体" w:hAnsi="宋体" w:cs="宋体" w:hint="eastAsia"/>
          <w:spacing w:val="5"/>
          <w:kern w:val="0"/>
          <w:sz w:val="24"/>
          <w:szCs w:val="22"/>
          <w:lang w:bidi="ar"/>
        </w:rPr>
        <w:t>MMS2002-033</w:t>
      </w:r>
      <w:r>
        <w:rPr>
          <w:rFonts w:ascii="宋体" w:hAnsi="宋体" w:cs="宋体" w:hint="eastAsia"/>
          <w:spacing w:val="5"/>
          <w:kern w:val="0"/>
          <w:sz w:val="24"/>
          <w:szCs w:val="22"/>
          <w:lang w:bidi="ar"/>
        </w:rPr>
        <w:t>）</w:t>
      </w:r>
      <w:r>
        <w:rPr>
          <w:rFonts w:ascii="宋体" w:hAnsi="宋体" w:cs="宋体" w:hint="eastAsia"/>
          <w:spacing w:val="5"/>
          <w:kern w:val="0"/>
          <w:sz w:val="24"/>
          <w:szCs w:val="22"/>
          <w:lang w:bidi="ar"/>
        </w:rPr>
        <w:t>给出的估算模式计算</w:t>
      </w:r>
      <w:r>
        <w:rPr>
          <w:rFonts w:ascii="宋体" w:hAnsi="宋体" w:cs="宋体" w:hint="eastAsia"/>
          <w:spacing w:val="5"/>
          <w:kern w:val="0"/>
          <w:sz w:val="24"/>
          <w:szCs w:val="22"/>
          <w:lang w:bidi="ar"/>
        </w:rPr>
        <w:t>原油</w:t>
      </w:r>
      <w:r>
        <w:rPr>
          <w:rFonts w:ascii="宋体" w:hAnsi="宋体" w:cs="宋体" w:hint="eastAsia"/>
          <w:spacing w:val="5"/>
          <w:kern w:val="0"/>
          <w:sz w:val="24"/>
          <w:szCs w:val="22"/>
          <w:lang w:bidi="ar"/>
        </w:rPr>
        <w:t>的泄漏量，该模式由两部分组成，一部分是阀门关闭后至压力平衡前的泄漏量，另一部分是关闭阀门前的泄漏量，两项之和即为总泄漏量，</w:t>
      </w:r>
      <w:r>
        <w:rPr>
          <w:rFonts w:ascii="宋体" w:hAnsi="宋体" w:cs="宋体" w:hint="eastAsia"/>
          <w:spacing w:val="5"/>
          <w:kern w:val="0"/>
          <w:sz w:val="24"/>
          <w:szCs w:val="22"/>
          <w:lang w:bidi="ar"/>
        </w:rPr>
        <w:t>计算式为：</w:t>
      </w:r>
    </w:p>
    <w:p w:rsidR="00EE4502" w:rsidRDefault="00FD45A3">
      <w:pPr>
        <w:spacing w:line="360" w:lineRule="auto"/>
        <w:ind w:firstLineChars="200" w:firstLine="500"/>
        <w:jc w:val="center"/>
        <w:rPr>
          <w:rFonts w:ascii="宋体" w:hAnsi="宋体" w:cs="宋体"/>
          <w:spacing w:val="5"/>
          <w:sz w:val="24"/>
          <w:szCs w:val="22"/>
        </w:rPr>
      </w:pPr>
      <w:r>
        <w:rPr>
          <w:rFonts w:ascii="宋体" w:hAnsi="宋体" w:cs="宋体" w:hint="eastAsia"/>
          <w:spacing w:val="5"/>
          <w:kern w:val="0"/>
          <w:sz w:val="24"/>
          <w:szCs w:val="22"/>
          <w:lang w:bidi="ar"/>
        </w:rPr>
        <w:t>V</w:t>
      </w:r>
      <w:r>
        <w:rPr>
          <w:rFonts w:ascii="宋体" w:hAnsi="宋体" w:cs="宋体" w:hint="eastAsia"/>
          <w:spacing w:val="5"/>
          <w:kern w:val="0"/>
          <w:sz w:val="24"/>
          <w:szCs w:val="22"/>
          <w:vertAlign w:val="subscript"/>
          <w:lang w:bidi="ar"/>
        </w:rPr>
        <w:t>rel</w:t>
      </w:r>
      <w:r>
        <w:rPr>
          <w:rFonts w:ascii="宋体" w:hAnsi="宋体" w:cs="宋体" w:hint="eastAsia"/>
          <w:spacing w:val="5"/>
          <w:kern w:val="0"/>
          <w:sz w:val="24"/>
          <w:szCs w:val="22"/>
          <w:lang w:bidi="ar"/>
        </w:rPr>
        <w:t>=0.1781</w:t>
      </w:r>
      <w:r>
        <w:rPr>
          <w:rFonts w:ascii="宋体" w:hAnsi="宋体" w:cs="宋体" w:hint="eastAsia"/>
          <w:spacing w:val="5"/>
          <w:kern w:val="0"/>
          <w:sz w:val="24"/>
          <w:szCs w:val="22"/>
          <w:lang w:bidi="ar"/>
        </w:rPr>
        <w:t>×</w:t>
      </w:r>
      <w:r>
        <w:rPr>
          <w:rFonts w:ascii="宋体" w:hAnsi="宋体" w:cs="宋体" w:hint="eastAsia"/>
          <w:spacing w:val="5"/>
          <w:kern w:val="0"/>
          <w:sz w:val="24"/>
          <w:szCs w:val="22"/>
          <w:lang w:bidi="ar"/>
        </w:rPr>
        <w:t>V</w:t>
      </w:r>
      <w:r>
        <w:rPr>
          <w:rFonts w:ascii="宋体" w:hAnsi="宋体" w:cs="宋体" w:hint="eastAsia"/>
          <w:spacing w:val="5"/>
          <w:kern w:val="0"/>
          <w:sz w:val="24"/>
          <w:szCs w:val="22"/>
          <w:vertAlign w:val="subscript"/>
          <w:lang w:bidi="ar"/>
        </w:rPr>
        <w:t>pipe</w:t>
      </w:r>
      <w:r>
        <w:rPr>
          <w:rFonts w:ascii="宋体" w:hAnsi="宋体" w:cs="宋体" w:hint="eastAsia"/>
          <w:spacing w:val="5"/>
          <w:kern w:val="0"/>
          <w:sz w:val="24"/>
          <w:szCs w:val="22"/>
          <w:lang w:bidi="ar"/>
        </w:rPr>
        <w:t>×</w:t>
      </w:r>
      <w:r>
        <w:rPr>
          <w:rFonts w:ascii="宋体" w:hAnsi="宋体" w:cs="宋体" w:hint="eastAsia"/>
          <w:spacing w:val="5"/>
          <w:kern w:val="0"/>
          <w:sz w:val="24"/>
          <w:szCs w:val="22"/>
          <w:lang w:bidi="ar"/>
        </w:rPr>
        <w:t xml:space="preserve"> f</w:t>
      </w:r>
      <w:r>
        <w:rPr>
          <w:rFonts w:ascii="宋体" w:hAnsi="宋体" w:cs="宋体" w:hint="eastAsia"/>
          <w:spacing w:val="5"/>
          <w:kern w:val="0"/>
          <w:sz w:val="24"/>
          <w:szCs w:val="22"/>
          <w:vertAlign w:val="subscript"/>
          <w:lang w:bidi="ar"/>
        </w:rPr>
        <w:t>rel</w:t>
      </w:r>
      <w:r>
        <w:rPr>
          <w:rFonts w:ascii="宋体" w:hAnsi="宋体" w:cs="宋体" w:hint="eastAsia"/>
          <w:spacing w:val="5"/>
          <w:kern w:val="0"/>
          <w:sz w:val="24"/>
          <w:szCs w:val="22"/>
          <w:lang w:bidi="ar"/>
        </w:rPr>
        <w:t>×</w:t>
      </w:r>
      <w:r>
        <w:rPr>
          <w:rFonts w:ascii="宋体" w:hAnsi="宋体" w:cs="宋体" w:hint="eastAsia"/>
          <w:spacing w:val="5"/>
          <w:kern w:val="0"/>
          <w:sz w:val="24"/>
          <w:szCs w:val="22"/>
          <w:lang w:bidi="ar"/>
        </w:rPr>
        <w:t>f</w:t>
      </w:r>
      <w:r>
        <w:rPr>
          <w:rFonts w:ascii="宋体" w:hAnsi="宋体" w:cs="宋体" w:hint="eastAsia"/>
          <w:spacing w:val="5"/>
          <w:kern w:val="0"/>
          <w:sz w:val="24"/>
          <w:szCs w:val="22"/>
          <w:vertAlign w:val="subscript"/>
          <w:lang w:bidi="ar"/>
        </w:rPr>
        <w:t>GOR</w:t>
      </w:r>
      <w:r>
        <w:rPr>
          <w:rFonts w:ascii="宋体" w:hAnsi="宋体" w:cs="宋体" w:hint="eastAsia"/>
          <w:spacing w:val="5"/>
          <w:kern w:val="0"/>
          <w:sz w:val="24"/>
          <w:szCs w:val="22"/>
          <w:lang w:bidi="ar"/>
        </w:rPr>
        <w:t>+ V</w:t>
      </w:r>
      <w:r>
        <w:rPr>
          <w:rFonts w:ascii="宋体" w:hAnsi="宋体" w:cs="宋体" w:hint="eastAsia"/>
          <w:spacing w:val="5"/>
          <w:kern w:val="0"/>
          <w:sz w:val="24"/>
          <w:szCs w:val="22"/>
          <w:vertAlign w:val="subscript"/>
          <w:lang w:bidi="ar"/>
        </w:rPr>
        <w:t>pre</w:t>
      </w:r>
      <w:r>
        <w:rPr>
          <w:rFonts w:ascii="宋体" w:hAnsi="宋体" w:cs="宋体" w:hint="eastAsia"/>
          <w:spacing w:val="5"/>
          <w:kern w:val="0"/>
          <w:sz w:val="24"/>
          <w:szCs w:val="22"/>
          <w:vertAlign w:val="subscript"/>
          <w:lang w:bidi="ar"/>
        </w:rPr>
        <w:t>−</w:t>
      </w:r>
      <w:r>
        <w:rPr>
          <w:rFonts w:ascii="宋体" w:hAnsi="宋体" w:cs="宋体" w:hint="eastAsia"/>
          <w:spacing w:val="5"/>
          <w:kern w:val="0"/>
          <w:sz w:val="24"/>
          <w:szCs w:val="22"/>
          <w:vertAlign w:val="subscript"/>
          <w:lang w:bidi="ar"/>
        </w:rPr>
        <w:t>shut</w:t>
      </w:r>
    </w:p>
    <w:p w:rsidR="00EE4502" w:rsidRDefault="00FD45A3">
      <w:pPr>
        <w:spacing w:line="360" w:lineRule="auto"/>
        <w:ind w:firstLineChars="200" w:firstLine="500"/>
        <w:rPr>
          <w:spacing w:val="5"/>
          <w:sz w:val="24"/>
          <w:szCs w:val="22"/>
        </w:rPr>
      </w:pPr>
      <w:r>
        <w:rPr>
          <w:spacing w:val="5"/>
          <w:kern w:val="0"/>
          <w:sz w:val="24"/>
          <w:szCs w:val="22"/>
          <w:lang w:bidi="ar"/>
        </w:rPr>
        <w:t>式中：</w:t>
      </w:r>
      <w:r>
        <w:rPr>
          <w:spacing w:val="5"/>
          <w:kern w:val="0"/>
          <w:sz w:val="24"/>
          <w:szCs w:val="22"/>
          <w:lang w:bidi="ar"/>
        </w:rPr>
        <w:t>V</w:t>
      </w:r>
      <w:r>
        <w:rPr>
          <w:spacing w:val="5"/>
          <w:kern w:val="0"/>
          <w:sz w:val="24"/>
          <w:szCs w:val="22"/>
          <w:vertAlign w:val="subscript"/>
          <w:lang w:bidi="ar"/>
        </w:rPr>
        <w:t>rel</w:t>
      </w:r>
      <w:r>
        <w:rPr>
          <w:spacing w:val="5"/>
          <w:kern w:val="0"/>
          <w:sz w:val="24"/>
          <w:szCs w:val="22"/>
          <w:lang w:bidi="ar"/>
        </w:rPr>
        <w:t>—</w:t>
      </w:r>
      <w:r>
        <w:rPr>
          <w:spacing w:val="5"/>
          <w:kern w:val="0"/>
          <w:sz w:val="24"/>
          <w:szCs w:val="22"/>
          <w:lang w:bidi="ar"/>
        </w:rPr>
        <w:t>集输管线油品泄漏量，</w:t>
      </w:r>
      <w:r>
        <w:rPr>
          <w:spacing w:val="5"/>
          <w:kern w:val="0"/>
          <w:sz w:val="24"/>
          <w:szCs w:val="22"/>
          <w:lang w:bidi="ar"/>
        </w:rPr>
        <w:t>bbl</w:t>
      </w:r>
      <w:r>
        <w:rPr>
          <w:spacing w:val="5"/>
          <w:kern w:val="0"/>
          <w:sz w:val="24"/>
          <w:szCs w:val="22"/>
          <w:lang w:bidi="ar"/>
        </w:rPr>
        <w:t>（</w:t>
      </w:r>
      <w:r>
        <w:rPr>
          <w:spacing w:val="5"/>
          <w:kern w:val="0"/>
          <w:sz w:val="24"/>
          <w:szCs w:val="22"/>
          <w:lang w:bidi="ar"/>
        </w:rPr>
        <w:t>1</w:t>
      </w:r>
      <w:r>
        <w:rPr>
          <w:spacing w:val="5"/>
          <w:kern w:val="0"/>
          <w:sz w:val="24"/>
          <w:szCs w:val="22"/>
          <w:lang w:bidi="ar"/>
        </w:rPr>
        <w:t>桶</w:t>
      </w:r>
      <w:r>
        <w:rPr>
          <w:spacing w:val="5"/>
          <w:kern w:val="0"/>
          <w:sz w:val="24"/>
          <w:szCs w:val="22"/>
          <w:lang w:bidi="ar"/>
        </w:rPr>
        <w:t>=0.14</w:t>
      </w:r>
      <w:r>
        <w:rPr>
          <w:spacing w:val="5"/>
          <w:kern w:val="0"/>
          <w:sz w:val="24"/>
          <w:szCs w:val="22"/>
          <w:lang w:bidi="ar"/>
        </w:rPr>
        <w:t>吨）；</w:t>
      </w:r>
    </w:p>
    <w:p w:rsidR="00EE4502" w:rsidRDefault="00FD45A3">
      <w:pPr>
        <w:spacing w:line="360" w:lineRule="auto"/>
        <w:ind w:firstLineChars="200" w:firstLine="500"/>
        <w:rPr>
          <w:spacing w:val="5"/>
          <w:sz w:val="24"/>
          <w:szCs w:val="22"/>
        </w:rPr>
      </w:pPr>
      <w:r>
        <w:rPr>
          <w:spacing w:val="5"/>
          <w:kern w:val="0"/>
          <w:sz w:val="24"/>
          <w:szCs w:val="22"/>
          <w:lang w:bidi="ar"/>
        </w:rPr>
        <w:t>V</w:t>
      </w:r>
      <w:r>
        <w:rPr>
          <w:spacing w:val="5"/>
          <w:kern w:val="0"/>
          <w:sz w:val="24"/>
          <w:szCs w:val="22"/>
          <w:vertAlign w:val="subscript"/>
          <w:lang w:bidi="ar"/>
        </w:rPr>
        <w:t>pipe</w:t>
      </w:r>
      <w:r>
        <w:rPr>
          <w:spacing w:val="5"/>
          <w:kern w:val="0"/>
          <w:sz w:val="24"/>
          <w:szCs w:val="22"/>
          <w:lang w:bidi="ar"/>
        </w:rPr>
        <w:t>—</w:t>
      </w:r>
      <w:r>
        <w:rPr>
          <w:spacing w:val="5"/>
          <w:kern w:val="0"/>
          <w:sz w:val="24"/>
          <w:szCs w:val="22"/>
          <w:lang w:bidi="ar"/>
        </w:rPr>
        <w:t>管段体积，</w:t>
      </w:r>
      <w:r>
        <w:rPr>
          <w:spacing w:val="5"/>
          <w:kern w:val="0"/>
          <w:sz w:val="24"/>
          <w:szCs w:val="22"/>
          <w:lang w:bidi="ar"/>
        </w:rPr>
        <w:t>ft</w:t>
      </w:r>
      <w:r>
        <w:rPr>
          <w:spacing w:val="5"/>
          <w:kern w:val="0"/>
          <w:sz w:val="24"/>
          <w:szCs w:val="22"/>
          <w:vertAlign w:val="superscript"/>
          <w:lang w:bidi="ar"/>
        </w:rPr>
        <w:t>3</w:t>
      </w:r>
      <w:r>
        <w:rPr>
          <w:spacing w:val="5"/>
          <w:kern w:val="0"/>
          <w:sz w:val="24"/>
          <w:szCs w:val="22"/>
          <w:lang w:bidi="ar"/>
        </w:rPr>
        <w:t>（</w:t>
      </w:r>
      <w:r>
        <w:rPr>
          <w:spacing w:val="5"/>
          <w:kern w:val="0"/>
          <w:sz w:val="24"/>
          <w:szCs w:val="22"/>
          <w:lang w:bidi="ar"/>
        </w:rPr>
        <w:t>1ft</w:t>
      </w:r>
      <w:r>
        <w:rPr>
          <w:spacing w:val="5"/>
          <w:kern w:val="0"/>
          <w:sz w:val="24"/>
          <w:szCs w:val="22"/>
          <w:vertAlign w:val="superscript"/>
          <w:lang w:bidi="ar"/>
        </w:rPr>
        <w:t>3</w:t>
      </w:r>
      <w:r>
        <w:rPr>
          <w:spacing w:val="5"/>
          <w:kern w:val="0"/>
          <w:sz w:val="24"/>
          <w:szCs w:val="22"/>
          <w:lang w:bidi="ar"/>
        </w:rPr>
        <w:t>=0.0283m</w:t>
      </w:r>
      <w:r>
        <w:rPr>
          <w:spacing w:val="5"/>
          <w:kern w:val="0"/>
          <w:sz w:val="24"/>
          <w:szCs w:val="22"/>
          <w:vertAlign w:val="superscript"/>
          <w:lang w:bidi="ar"/>
        </w:rPr>
        <w:t>3</w:t>
      </w:r>
      <w:r>
        <w:rPr>
          <w:spacing w:val="5"/>
          <w:kern w:val="0"/>
          <w:sz w:val="24"/>
          <w:szCs w:val="22"/>
          <w:lang w:bidi="ar"/>
        </w:rPr>
        <w:t>），</w:t>
      </w:r>
      <w:r>
        <w:rPr>
          <w:spacing w:val="5"/>
          <w:kern w:val="0"/>
          <w:sz w:val="24"/>
          <w:szCs w:val="22"/>
          <w:lang w:bidi="ar"/>
        </w:rPr>
        <w:t>根据前文表</w:t>
      </w:r>
      <w:r>
        <w:rPr>
          <w:spacing w:val="5"/>
          <w:kern w:val="0"/>
          <w:sz w:val="24"/>
          <w:szCs w:val="22"/>
          <w:lang w:bidi="ar"/>
        </w:rPr>
        <w:t>2.5-6</w:t>
      </w:r>
      <w:r>
        <w:rPr>
          <w:spacing w:val="5"/>
          <w:kern w:val="0"/>
          <w:sz w:val="24"/>
          <w:szCs w:val="22"/>
          <w:lang w:bidi="ar"/>
        </w:rPr>
        <w:t>，本次建设的集油</w:t>
      </w:r>
      <w:r>
        <w:rPr>
          <w:rFonts w:hint="eastAsia"/>
          <w:spacing w:val="5"/>
          <w:kern w:val="0"/>
          <w:sz w:val="24"/>
          <w:szCs w:val="22"/>
          <w:lang w:bidi="ar"/>
        </w:rPr>
        <w:t>干</w:t>
      </w:r>
      <w:r>
        <w:rPr>
          <w:spacing w:val="5"/>
          <w:kern w:val="0"/>
          <w:sz w:val="24"/>
          <w:szCs w:val="22"/>
          <w:lang w:bidi="ar"/>
        </w:rPr>
        <w:t>线全管径泄漏后影响最大，根据该管线设计参数，</w:t>
      </w:r>
      <w:r>
        <w:rPr>
          <w:rFonts w:hint="eastAsia"/>
          <w:spacing w:val="5"/>
          <w:kern w:val="0"/>
          <w:sz w:val="24"/>
          <w:szCs w:val="22"/>
          <w:lang w:bidi="ar"/>
        </w:rPr>
        <w:t>长度</w:t>
      </w:r>
      <w:r>
        <w:rPr>
          <w:rFonts w:hint="eastAsia"/>
          <w:spacing w:val="5"/>
          <w:kern w:val="0"/>
          <w:sz w:val="24"/>
          <w:szCs w:val="22"/>
          <w:lang w:bidi="ar"/>
        </w:rPr>
        <w:t>4.5k</w:t>
      </w:r>
      <w:r>
        <w:rPr>
          <w:spacing w:val="5"/>
          <w:kern w:val="0"/>
          <w:sz w:val="24"/>
          <w:szCs w:val="22"/>
          <w:lang w:bidi="ar"/>
        </w:rPr>
        <w:t>m</w:t>
      </w:r>
      <w:r>
        <w:rPr>
          <w:rFonts w:hint="eastAsia"/>
          <w:spacing w:val="5"/>
          <w:kern w:val="0"/>
          <w:sz w:val="24"/>
          <w:szCs w:val="22"/>
          <w:lang w:bidi="ar"/>
        </w:rPr>
        <w:t>，直径</w:t>
      </w:r>
      <w:r>
        <w:rPr>
          <w:rFonts w:hint="eastAsia"/>
          <w:spacing w:val="5"/>
          <w:kern w:val="0"/>
          <w:sz w:val="24"/>
          <w:szCs w:val="22"/>
          <w:lang w:bidi="ar"/>
        </w:rPr>
        <w:t>168mm</w:t>
      </w:r>
      <w:r>
        <w:rPr>
          <w:spacing w:val="5"/>
          <w:kern w:val="0"/>
          <w:sz w:val="24"/>
          <w:szCs w:val="22"/>
          <w:lang w:bidi="ar"/>
        </w:rPr>
        <w:t>，</w:t>
      </w:r>
      <w:r>
        <w:rPr>
          <w:spacing w:val="5"/>
          <w:kern w:val="0"/>
          <w:sz w:val="24"/>
          <w:szCs w:val="22"/>
          <w:lang w:bidi="ar"/>
        </w:rPr>
        <w:t>管道体积为</w:t>
      </w:r>
      <w:r>
        <w:rPr>
          <w:rFonts w:hint="eastAsia"/>
          <w:spacing w:val="5"/>
          <w:kern w:val="0"/>
          <w:sz w:val="24"/>
          <w:szCs w:val="22"/>
          <w:lang w:bidi="ar"/>
        </w:rPr>
        <w:t>99.75</w:t>
      </w:r>
      <w:r>
        <w:rPr>
          <w:spacing w:val="5"/>
          <w:kern w:val="0"/>
          <w:sz w:val="24"/>
          <w:szCs w:val="22"/>
          <w:lang w:bidi="ar"/>
        </w:rPr>
        <w:t>m</w:t>
      </w:r>
      <w:r>
        <w:rPr>
          <w:spacing w:val="5"/>
          <w:kern w:val="0"/>
          <w:sz w:val="24"/>
          <w:szCs w:val="22"/>
          <w:vertAlign w:val="superscript"/>
          <w:lang w:bidi="ar"/>
        </w:rPr>
        <w:t>3</w:t>
      </w:r>
      <w:r>
        <w:rPr>
          <w:spacing w:val="5"/>
          <w:kern w:val="0"/>
          <w:sz w:val="24"/>
          <w:szCs w:val="22"/>
          <w:lang w:bidi="ar"/>
        </w:rPr>
        <w:t>；</w:t>
      </w:r>
    </w:p>
    <w:p w:rsidR="00EE4502" w:rsidRDefault="00FD45A3">
      <w:pPr>
        <w:spacing w:line="360" w:lineRule="auto"/>
        <w:ind w:firstLineChars="200" w:firstLine="500"/>
        <w:rPr>
          <w:spacing w:val="5"/>
          <w:sz w:val="24"/>
          <w:szCs w:val="22"/>
        </w:rPr>
      </w:pPr>
      <w:r>
        <w:rPr>
          <w:spacing w:val="5"/>
          <w:kern w:val="0"/>
          <w:sz w:val="24"/>
          <w:szCs w:val="22"/>
          <w:lang w:bidi="ar"/>
        </w:rPr>
        <w:t>f</w:t>
      </w:r>
      <w:r>
        <w:rPr>
          <w:spacing w:val="5"/>
          <w:kern w:val="0"/>
          <w:sz w:val="24"/>
          <w:szCs w:val="22"/>
          <w:vertAlign w:val="subscript"/>
          <w:lang w:bidi="ar"/>
        </w:rPr>
        <w:t>rel</w:t>
      </w:r>
      <w:r>
        <w:rPr>
          <w:spacing w:val="5"/>
          <w:kern w:val="0"/>
          <w:sz w:val="24"/>
          <w:szCs w:val="22"/>
          <w:lang w:bidi="ar"/>
        </w:rPr>
        <w:t>—</w:t>
      </w:r>
      <w:r>
        <w:rPr>
          <w:spacing w:val="5"/>
          <w:kern w:val="0"/>
          <w:sz w:val="24"/>
          <w:szCs w:val="22"/>
          <w:lang w:bidi="ar"/>
        </w:rPr>
        <w:t>最大泄漏率，取</w:t>
      </w:r>
      <w:r>
        <w:rPr>
          <w:spacing w:val="5"/>
          <w:kern w:val="0"/>
          <w:sz w:val="24"/>
          <w:szCs w:val="22"/>
          <w:lang w:bidi="ar"/>
        </w:rPr>
        <w:t>0.2</w:t>
      </w:r>
      <w:r>
        <w:rPr>
          <w:spacing w:val="5"/>
          <w:kern w:val="0"/>
          <w:sz w:val="24"/>
          <w:szCs w:val="22"/>
          <w:lang w:bidi="ar"/>
        </w:rPr>
        <w:t>；</w:t>
      </w:r>
    </w:p>
    <w:p w:rsidR="00EE4502" w:rsidRDefault="00FD45A3">
      <w:pPr>
        <w:spacing w:line="360" w:lineRule="auto"/>
        <w:ind w:firstLineChars="200" w:firstLine="500"/>
        <w:rPr>
          <w:spacing w:val="5"/>
          <w:sz w:val="24"/>
          <w:szCs w:val="22"/>
        </w:rPr>
      </w:pPr>
      <w:r>
        <w:rPr>
          <w:spacing w:val="5"/>
          <w:kern w:val="0"/>
          <w:sz w:val="24"/>
          <w:szCs w:val="22"/>
          <w:lang w:bidi="ar"/>
        </w:rPr>
        <w:t>f</w:t>
      </w:r>
      <w:r>
        <w:rPr>
          <w:spacing w:val="5"/>
          <w:kern w:val="0"/>
          <w:sz w:val="24"/>
          <w:szCs w:val="22"/>
          <w:vertAlign w:val="subscript"/>
          <w:lang w:bidi="ar"/>
        </w:rPr>
        <w:t>GOR</w:t>
      </w:r>
      <w:r>
        <w:rPr>
          <w:spacing w:val="5"/>
          <w:kern w:val="0"/>
          <w:sz w:val="24"/>
          <w:szCs w:val="22"/>
          <w:lang w:bidi="ar"/>
        </w:rPr>
        <w:t>—</w:t>
      </w:r>
      <w:r>
        <w:rPr>
          <w:spacing w:val="5"/>
          <w:kern w:val="0"/>
          <w:sz w:val="24"/>
          <w:szCs w:val="22"/>
          <w:lang w:bidi="ar"/>
        </w:rPr>
        <w:t>压力衰减系数，取</w:t>
      </w:r>
      <w:r>
        <w:rPr>
          <w:spacing w:val="5"/>
          <w:kern w:val="0"/>
          <w:sz w:val="24"/>
          <w:szCs w:val="22"/>
          <w:lang w:bidi="ar"/>
        </w:rPr>
        <w:t>0.2</w:t>
      </w:r>
      <w:r>
        <w:rPr>
          <w:spacing w:val="5"/>
          <w:kern w:val="0"/>
          <w:sz w:val="24"/>
          <w:szCs w:val="22"/>
          <w:lang w:bidi="ar"/>
        </w:rPr>
        <w:t>；</w:t>
      </w:r>
    </w:p>
    <w:p w:rsidR="00EE4502" w:rsidRDefault="00FD45A3">
      <w:pPr>
        <w:spacing w:line="360" w:lineRule="auto"/>
        <w:ind w:firstLineChars="200" w:firstLine="500"/>
        <w:rPr>
          <w:spacing w:val="5"/>
          <w:sz w:val="24"/>
          <w:szCs w:val="22"/>
        </w:rPr>
      </w:pPr>
      <w:r>
        <w:rPr>
          <w:spacing w:val="5"/>
          <w:kern w:val="0"/>
          <w:sz w:val="24"/>
          <w:szCs w:val="22"/>
          <w:lang w:bidi="ar"/>
        </w:rPr>
        <w:t>V</w:t>
      </w:r>
      <w:r>
        <w:rPr>
          <w:spacing w:val="5"/>
          <w:kern w:val="0"/>
          <w:sz w:val="24"/>
          <w:szCs w:val="22"/>
          <w:vertAlign w:val="subscript"/>
          <w:lang w:bidi="ar"/>
        </w:rPr>
        <w:t>pre−shut</w:t>
      </w:r>
      <w:r>
        <w:rPr>
          <w:spacing w:val="5"/>
          <w:kern w:val="0"/>
          <w:sz w:val="24"/>
          <w:szCs w:val="22"/>
          <w:lang w:bidi="ar"/>
        </w:rPr>
        <w:t>—</w:t>
      </w:r>
      <w:r>
        <w:rPr>
          <w:spacing w:val="5"/>
          <w:kern w:val="0"/>
          <w:sz w:val="24"/>
          <w:szCs w:val="22"/>
          <w:lang w:bidi="ar"/>
        </w:rPr>
        <w:t>截断阀关闭前泄漏量，</w:t>
      </w:r>
      <w:r>
        <w:rPr>
          <w:spacing w:val="5"/>
          <w:kern w:val="0"/>
          <w:sz w:val="24"/>
          <w:szCs w:val="22"/>
          <w:lang w:bidi="ar"/>
        </w:rPr>
        <w:t>bbl</w:t>
      </w:r>
      <w:r>
        <w:rPr>
          <w:spacing w:val="5"/>
          <w:kern w:val="0"/>
          <w:sz w:val="24"/>
          <w:szCs w:val="22"/>
          <w:lang w:bidi="ar"/>
        </w:rPr>
        <w:t>。</w:t>
      </w:r>
    </w:p>
    <w:p w:rsidR="00EE4502" w:rsidRDefault="00FD45A3">
      <w:pPr>
        <w:spacing w:line="360" w:lineRule="auto"/>
        <w:ind w:firstLineChars="200" w:firstLine="500"/>
        <w:rPr>
          <w:spacing w:val="5"/>
          <w:kern w:val="0"/>
          <w:sz w:val="24"/>
          <w:szCs w:val="22"/>
          <w:lang w:bidi="ar"/>
        </w:rPr>
      </w:pPr>
      <w:r>
        <w:rPr>
          <w:spacing w:val="5"/>
          <w:kern w:val="0"/>
          <w:sz w:val="24"/>
          <w:szCs w:val="22"/>
          <w:lang w:bidi="ar"/>
        </w:rPr>
        <w:t>截断阀关闭前泄漏量：根据</w:t>
      </w:r>
      <w:r>
        <w:rPr>
          <w:spacing w:val="5"/>
          <w:kern w:val="0"/>
          <w:sz w:val="24"/>
          <w:szCs w:val="22"/>
          <w:lang w:bidi="ar"/>
        </w:rPr>
        <w:t>可研，</w:t>
      </w:r>
      <w:r>
        <w:rPr>
          <w:rFonts w:hint="eastAsia"/>
          <w:spacing w:val="5"/>
          <w:kern w:val="0"/>
          <w:sz w:val="24"/>
          <w:szCs w:val="22"/>
          <w:lang w:bidi="ar"/>
        </w:rPr>
        <w:t>新增输量</w:t>
      </w:r>
      <w:r>
        <w:rPr>
          <w:spacing w:val="5"/>
          <w:kern w:val="0"/>
          <w:sz w:val="24"/>
          <w:szCs w:val="22"/>
          <w:lang w:bidi="ar"/>
        </w:rPr>
        <w:t>按</w:t>
      </w:r>
      <w:r>
        <w:rPr>
          <w:rFonts w:hint="eastAsia"/>
          <w:spacing w:val="5"/>
          <w:kern w:val="0"/>
          <w:sz w:val="24"/>
          <w:szCs w:val="22"/>
          <w:lang w:bidi="ar"/>
        </w:rPr>
        <w:t>150</w:t>
      </w:r>
      <w:r>
        <w:rPr>
          <w:spacing w:val="5"/>
          <w:kern w:val="0"/>
          <w:sz w:val="24"/>
          <w:szCs w:val="22"/>
          <w:lang w:bidi="ar"/>
        </w:rPr>
        <w:t>t/d</w:t>
      </w:r>
      <w:r>
        <w:rPr>
          <w:spacing w:val="5"/>
          <w:kern w:val="0"/>
          <w:sz w:val="24"/>
          <w:szCs w:val="22"/>
          <w:lang w:bidi="ar"/>
        </w:rPr>
        <w:t>计算</w:t>
      </w:r>
      <w:r>
        <w:rPr>
          <w:spacing w:val="5"/>
          <w:kern w:val="0"/>
          <w:sz w:val="24"/>
          <w:szCs w:val="22"/>
          <w:lang w:bidi="ar"/>
        </w:rPr>
        <w:t>，管线发生泄漏时，</w:t>
      </w:r>
      <w:r>
        <w:rPr>
          <w:spacing w:val="5"/>
          <w:kern w:val="0"/>
          <w:sz w:val="24"/>
          <w:szCs w:val="22"/>
          <w:lang w:bidi="ar"/>
        </w:rPr>
        <w:t>10min</w:t>
      </w:r>
      <w:r>
        <w:rPr>
          <w:spacing w:val="5"/>
          <w:kern w:val="0"/>
          <w:sz w:val="24"/>
          <w:szCs w:val="22"/>
          <w:lang w:bidi="ar"/>
        </w:rPr>
        <w:t>内</w:t>
      </w:r>
      <w:r>
        <w:rPr>
          <w:spacing w:val="5"/>
          <w:kern w:val="0"/>
          <w:sz w:val="24"/>
          <w:szCs w:val="22"/>
          <w:lang w:bidi="ar"/>
        </w:rPr>
        <w:t>原油</w:t>
      </w:r>
      <w:r>
        <w:rPr>
          <w:spacing w:val="5"/>
          <w:kern w:val="0"/>
          <w:sz w:val="24"/>
          <w:szCs w:val="22"/>
          <w:lang w:bidi="ar"/>
        </w:rPr>
        <w:t>泄漏量为</w:t>
      </w:r>
      <w:r>
        <w:rPr>
          <w:rFonts w:hint="eastAsia"/>
          <w:spacing w:val="5"/>
          <w:kern w:val="0"/>
          <w:sz w:val="24"/>
          <w:szCs w:val="22"/>
          <w:lang w:bidi="ar"/>
        </w:rPr>
        <w:t>1.04</w:t>
      </w:r>
      <w:r>
        <w:rPr>
          <w:spacing w:val="5"/>
          <w:kern w:val="0"/>
          <w:sz w:val="24"/>
          <w:szCs w:val="22"/>
          <w:lang w:bidi="ar"/>
        </w:rPr>
        <w:t>t</w:t>
      </w:r>
      <w:r>
        <w:rPr>
          <w:spacing w:val="5"/>
          <w:kern w:val="0"/>
          <w:sz w:val="24"/>
          <w:szCs w:val="22"/>
          <w:lang w:bidi="ar"/>
        </w:rPr>
        <w:t>。</w:t>
      </w:r>
    </w:p>
    <w:p w:rsidR="00EE4502" w:rsidRDefault="00FD45A3">
      <w:pPr>
        <w:spacing w:line="360" w:lineRule="auto"/>
        <w:ind w:firstLineChars="200" w:firstLine="500"/>
        <w:rPr>
          <w:spacing w:val="5"/>
          <w:kern w:val="0"/>
          <w:sz w:val="24"/>
          <w:szCs w:val="22"/>
          <w:lang w:bidi="ar"/>
        </w:rPr>
      </w:pPr>
      <w:r>
        <w:rPr>
          <w:spacing w:val="5"/>
          <w:kern w:val="0"/>
          <w:sz w:val="24"/>
          <w:szCs w:val="22"/>
          <w:lang w:bidi="ar"/>
        </w:rPr>
        <w:t>计算可得</w:t>
      </w:r>
      <w:r>
        <w:rPr>
          <w:spacing w:val="5"/>
          <w:kern w:val="0"/>
          <w:sz w:val="24"/>
          <w:szCs w:val="22"/>
          <w:lang w:bidi="ar"/>
        </w:rPr>
        <w:t>阀门关闭后至压力平衡前的泄漏量</w:t>
      </w:r>
      <w:r>
        <w:rPr>
          <w:spacing w:val="5"/>
          <w:kern w:val="0"/>
          <w:sz w:val="24"/>
          <w:szCs w:val="22"/>
          <w:lang w:bidi="ar"/>
        </w:rPr>
        <w:t>为</w:t>
      </w:r>
      <w:r>
        <w:rPr>
          <w:rFonts w:hint="eastAsia"/>
          <w:spacing w:val="5"/>
          <w:kern w:val="0"/>
          <w:sz w:val="24"/>
          <w:szCs w:val="22"/>
          <w:lang w:bidi="ar"/>
        </w:rPr>
        <w:t>25.11</w:t>
      </w:r>
      <w:r>
        <w:rPr>
          <w:spacing w:val="5"/>
          <w:kern w:val="0"/>
          <w:sz w:val="24"/>
          <w:szCs w:val="22"/>
          <w:lang w:bidi="ar"/>
        </w:rPr>
        <w:t>bbl</w:t>
      </w:r>
      <w:r>
        <w:rPr>
          <w:spacing w:val="5"/>
          <w:kern w:val="0"/>
          <w:sz w:val="24"/>
          <w:szCs w:val="22"/>
          <w:lang w:bidi="ar"/>
        </w:rPr>
        <w:t>，合</w:t>
      </w:r>
      <w:r>
        <w:rPr>
          <w:rFonts w:hint="eastAsia"/>
          <w:spacing w:val="5"/>
          <w:kern w:val="0"/>
          <w:sz w:val="24"/>
          <w:szCs w:val="22"/>
          <w:lang w:bidi="ar"/>
        </w:rPr>
        <w:t>3.52</w:t>
      </w:r>
      <w:r>
        <w:rPr>
          <w:spacing w:val="5"/>
          <w:kern w:val="0"/>
          <w:sz w:val="24"/>
          <w:szCs w:val="22"/>
          <w:lang w:bidi="ar"/>
        </w:rPr>
        <w:t>t</w:t>
      </w:r>
      <w:r>
        <w:rPr>
          <w:spacing w:val="5"/>
          <w:kern w:val="0"/>
          <w:sz w:val="24"/>
          <w:szCs w:val="22"/>
          <w:lang w:bidi="ar"/>
        </w:rPr>
        <w:t>。</w:t>
      </w:r>
    </w:p>
    <w:p w:rsidR="00EE4502" w:rsidRDefault="00FD45A3">
      <w:pPr>
        <w:spacing w:line="360" w:lineRule="auto"/>
        <w:ind w:firstLineChars="200" w:firstLine="500"/>
        <w:rPr>
          <w:spacing w:val="5"/>
          <w:kern w:val="0"/>
          <w:sz w:val="24"/>
          <w:szCs w:val="22"/>
          <w:lang w:bidi="ar"/>
        </w:rPr>
      </w:pPr>
      <w:r>
        <w:rPr>
          <w:spacing w:val="5"/>
          <w:sz w:val="24"/>
          <w:szCs w:val="22"/>
        </w:rPr>
        <w:t>则</w:t>
      </w:r>
      <w:r>
        <w:rPr>
          <w:spacing w:val="5"/>
          <w:sz w:val="24"/>
          <w:szCs w:val="22"/>
        </w:rPr>
        <w:t>非正常状况下</w:t>
      </w:r>
      <w:r>
        <w:rPr>
          <w:spacing w:val="5"/>
          <w:kern w:val="0"/>
          <w:sz w:val="24"/>
          <w:szCs w:val="22"/>
          <w:lang w:bidi="ar"/>
        </w:rPr>
        <w:t>，</w:t>
      </w:r>
      <w:r>
        <w:rPr>
          <w:spacing w:val="5"/>
          <w:kern w:val="0"/>
          <w:sz w:val="24"/>
          <w:szCs w:val="22"/>
          <w:lang w:bidi="ar"/>
        </w:rPr>
        <w:t>总</w:t>
      </w:r>
      <w:r>
        <w:rPr>
          <w:spacing w:val="5"/>
          <w:kern w:val="0"/>
          <w:sz w:val="24"/>
          <w:szCs w:val="22"/>
          <w:lang w:bidi="ar"/>
        </w:rPr>
        <w:t>泄漏量为</w:t>
      </w:r>
      <w:r>
        <w:rPr>
          <w:rFonts w:hint="eastAsia"/>
          <w:spacing w:val="5"/>
          <w:kern w:val="0"/>
          <w:sz w:val="24"/>
          <w:szCs w:val="22"/>
          <w:lang w:bidi="ar"/>
        </w:rPr>
        <w:t>4.56</w:t>
      </w:r>
      <w:r>
        <w:rPr>
          <w:spacing w:val="5"/>
          <w:kern w:val="0"/>
          <w:sz w:val="24"/>
          <w:szCs w:val="22"/>
          <w:lang w:bidi="ar"/>
        </w:rPr>
        <w:t>t</w:t>
      </w:r>
      <w:r>
        <w:rPr>
          <w:spacing w:val="5"/>
          <w:kern w:val="0"/>
          <w:sz w:val="24"/>
          <w:szCs w:val="22"/>
          <w:lang w:bidi="ar"/>
        </w:rPr>
        <w:t>。</w:t>
      </w:r>
    </w:p>
    <w:p w:rsidR="00EE4502" w:rsidRDefault="00FD45A3">
      <w:pPr>
        <w:spacing w:line="360" w:lineRule="auto"/>
        <w:ind w:firstLineChars="200" w:firstLine="500"/>
        <w:rPr>
          <w:spacing w:val="5"/>
          <w:sz w:val="24"/>
          <w:szCs w:val="25"/>
        </w:rPr>
      </w:pPr>
      <w:r>
        <w:rPr>
          <w:rFonts w:hint="eastAsia"/>
          <w:spacing w:val="5"/>
          <w:sz w:val="24"/>
          <w:szCs w:val="25"/>
        </w:rPr>
        <w:t>包气带中的土壤颗粒可以通过吸附、分配、离子交换</w:t>
      </w:r>
      <w:r>
        <w:rPr>
          <w:rFonts w:ascii="宋体" w:hAnsi="Calibri" w:hint="eastAsia"/>
          <w:spacing w:val="5"/>
          <w:sz w:val="24"/>
          <w:szCs w:val="25"/>
        </w:rPr>
        <w:t>、</w:t>
      </w:r>
      <w:r>
        <w:rPr>
          <w:rFonts w:ascii="宋体" w:hAnsi="Calibri" w:hint="eastAsia"/>
          <w:spacing w:val="5"/>
          <w:sz w:val="24"/>
          <w:szCs w:val="25"/>
        </w:rPr>
        <w:t>生物作用</w:t>
      </w:r>
      <w:r>
        <w:rPr>
          <w:rFonts w:hint="eastAsia"/>
          <w:spacing w:val="5"/>
          <w:sz w:val="24"/>
          <w:szCs w:val="25"/>
        </w:rPr>
        <w:t>等多种作用机制</w:t>
      </w:r>
      <w:r>
        <w:rPr>
          <w:rFonts w:hint="eastAsia"/>
          <w:spacing w:val="5"/>
          <w:sz w:val="24"/>
          <w:szCs w:val="25"/>
        </w:rPr>
        <w:t>截留</w:t>
      </w:r>
      <w:r>
        <w:rPr>
          <w:rFonts w:hint="eastAsia"/>
          <w:spacing w:val="5"/>
          <w:sz w:val="24"/>
          <w:szCs w:val="25"/>
        </w:rPr>
        <w:t>有机污染物。</w:t>
      </w:r>
      <w:r>
        <w:rPr>
          <w:spacing w:val="5"/>
          <w:kern w:val="0"/>
          <w:sz w:val="24"/>
          <w:szCs w:val="22"/>
        </w:rPr>
        <w:t>根据《采油废水中石油类污染物在土壤中的迁移规律研究》</w:t>
      </w:r>
      <w:r>
        <w:rPr>
          <w:rFonts w:hint="eastAsia"/>
          <w:spacing w:val="5"/>
          <w:kern w:val="0"/>
          <w:sz w:val="24"/>
          <w:szCs w:val="22"/>
        </w:rPr>
        <w:t>等，</w:t>
      </w:r>
      <w:r>
        <w:rPr>
          <w:spacing w:val="5"/>
          <w:kern w:val="0"/>
          <w:sz w:val="24"/>
          <w:szCs w:val="22"/>
        </w:rPr>
        <w:t>污水中的石油类很难在土壤剖面中随水下渗迁移，基本上被截留在</w:t>
      </w:r>
      <w:r>
        <w:rPr>
          <w:spacing w:val="5"/>
          <w:kern w:val="0"/>
          <w:sz w:val="24"/>
          <w:szCs w:val="22"/>
        </w:rPr>
        <w:t>0~10cm</w:t>
      </w:r>
      <w:r>
        <w:rPr>
          <w:spacing w:val="5"/>
          <w:kern w:val="0"/>
          <w:sz w:val="24"/>
          <w:szCs w:val="22"/>
        </w:rPr>
        <w:t>或</w:t>
      </w:r>
      <w:r>
        <w:rPr>
          <w:spacing w:val="5"/>
          <w:kern w:val="0"/>
          <w:sz w:val="24"/>
          <w:szCs w:val="22"/>
        </w:rPr>
        <w:t xml:space="preserve">0 ~20cm </w:t>
      </w:r>
      <w:r>
        <w:rPr>
          <w:spacing w:val="5"/>
          <w:kern w:val="0"/>
          <w:sz w:val="24"/>
          <w:szCs w:val="22"/>
        </w:rPr>
        <w:t>表层土壤中，其中表层</w:t>
      </w:r>
      <w:r>
        <w:rPr>
          <w:spacing w:val="5"/>
          <w:kern w:val="0"/>
          <w:sz w:val="24"/>
          <w:szCs w:val="22"/>
        </w:rPr>
        <w:t>0~5cm</w:t>
      </w:r>
      <w:r>
        <w:rPr>
          <w:spacing w:val="5"/>
          <w:kern w:val="0"/>
          <w:sz w:val="24"/>
          <w:szCs w:val="22"/>
        </w:rPr>
        <w:t>土壤截留了</w:t>
      </w:r>
      <w:r>
        <w:rPr>
          <w:spacing w:val="5"/>
          <w:kern w:val="0"/>
          <w:sz w:val="24"/>
          <w:szCs w:val="22"/>
        </w:rPr>
        <w:t>90%</w:t>
      </w:r>
      <w:r>
        <w:rPr>
          <w:spacing w:val="5"/>
          <w:kern w:val="0"/>
          <w:sz w:val="24"/>
          <w:szCs w:val="22"/>
        </w:rPr>
        <w:t>以</w:t>
      </w:r>
      <w:r>
        <w:rPr>
          <w:spacing w:val="5"/>
          <w:kern w:val="0"/>
          <w:sz w:val="24"/>
          <w:szCs w:val="22"/>
        </w:rPr>
        <w:lastRenderedPageBreak/>
        <w:t>上的输入原油。</w:t>
      </w:r>
      <w:r>
        <w:rPr>
          <w:rFonts w:hint="eastAsia"/>
          <w:spacing w:val="5"/>
          <w:sz w:val="24"/>
          <w:szCs w:val="25"/>
        </w:rPr>
        <w:t>本次</w:t>
      </w:r>
      <w:r>
        <w:rPr>
          <w:spacing w:val="5"/>
          <w:sz w:val="24"/>
          <w:szCs w:val="25"/>
        </w:rPr>
        <w:t>考虑</w:t>
      </w:r>
      <w:r>
        <w:rPr>
          <w:rFonts w:hint="eastAsia"/>
          <w:spacing w:val="5"/>
          <w:sz w:val="24"/>
          <w:szCs w:val="25"/>
        </w:rPr>
        <w:t>较</w:t>
      </w:r>
      <w:r>
        <w:rPr>
          <w:spacing w:val="5"/>
          <w:sz w:val="24"/>
          <w:szCs w:val="25"/>
        </w:rPr>
        <w:t>不利情况，</w:t>
      </w:r>
      <w:r>
        <w:rPr>
          <w:rFonts w:hint="eastAsia"/>
          <w:spacing w:val="5"/>
          <w:sz w:val="24"/>
          <w:szCs w:val="25"/>
        </w:rPr>
        <w:t>按照泄漏的污染物</w:t>
      </w:r>
      <w:r>
        <w:rPr>
          <w:rFonts w:hint="eastAsia"/>
          <w:spacing w:val="5"/>
          <w:sz w:val="24"/>
          <w:szCs w:val="25"/>
        </w:rPr>
        <w:t>10</w:t>
      </w:r>
      <w:r>
        <w:rPr>
          <w:rFonts w:hint="eastAsia"/>
          <w:spacing w:val="5"/>
          <w:sz w:val="24"/>
          <w:szCs w:val="25"/>
        </w:rPr>
        <w:t>％（</w:t>
      </w:r>
      <w:r>
        <w:rPr>
          <w:rFonts w:hint="eastAsia"/>
          <w:spacing w:val="5"/>
          <w:sz w:val="24"/>
          <w:szCs w:val="25"/>
        </w:rPr>
        <w:t>0.456t</w:t>
      </w:r>
      <w:r>
        <w:rPr>
          <w:rFonts w:hint="eastAsia"/>
          <w:spacing w:val="5"/>
          <w:sz w:val="24"/>
          <w:szCs w:val="25"/>
        </w:rPr>
        <w:t>）通过</w:t>
      </w:r>
      <w:r>
        <w:rPr>
          <w:spacing w:val="5"/>
          <w:sz w:val="24"/>
          <w:szCs w:val="25"/>
        </w:rPr>
        <w:t>地表连续入渗通过包气带土壤</w:t>
      </w:r>
      <w:r>
        <w:rPr>
          <w:rFonts w:hint="eastAsia"/>
          <w:spacing w:val="5"/>
          <w:sz w:val="24"/>
          <w:szCs w:val="25"/>
        </w:rPr>
        <w:t>全部</w:t>
      </w:r>
      <w:r>
        <w:rPr>
          <w:spacing w:val="5"/>
          <w:sz w:val="24"/>
          <w:szCs w:val="25"/>
        </w:rPr>
        <w:t>进入到地下水含水层中</w:t>
      </w:r>
      <w:r>
        <w:rPr>
          <w:rFonts w:hint="eastAsia"/>
          <w:spacing w:val="5"/>
          <w:sz w:val="24"/>
          <w:szCs w:val="25"/>
        </w:rPr>
        <w:t>，</w:t>
      </w:r>
      <w:r>
        <w:rPr>
          <w:spacing w:val="5"/>
          <w:sz w:val="24"/>
          <w:szCs w:val="25"/>
        </w:rPr>
        <w:t>针对污染物进入到含水层后的运移进行重点预测、评价。</w:t>
      </w:r>
    </w:p>
    <w:p w:rsidR="00EE4502" w:rsidRDefault="00FD45A3">
      <w:pPr>
        <w:spacing w:line="360" w:lineRule="auto"/>
        <w:ind w:firstLineChars="200" w:firstLine="480"/>
        <w:rPr>
          <w:sz w:val="24"/>
          <w:szCs w:val="20"/>
        </w:rPr>
      </w:pPr>
      <w:r>
        <w:rPr>
          <w:rFonts w:hint="eastAsia"/>
          <w:sz w:val="24"/>
          <w:szCs w:val="20"/>
        </w:rPr>
        <w:t>⑥</w:t>
      </w:r>
      <w:r>
        <w:rPr>
          <w:sz w:val="24"/>
          <w:szCs w:val="20"/>
        </w:rPr>
        <w:t>预测模型</w:t>
      </w:r>
    </w:p>
    <w:p w:rsidR="00EE4502" w:rsidRDefault="00FD45A3">
      <w:pPr>
        <w:spacing w:line="360" w:lineRule="auto"/>
        <w:ind w:firstLineChars="200" w:firstLine="500"/>
        <w:rPr>
          <w:rFonts w:ascii="宋体" w:hAnsi="宋体" w:cs="宋体"/>
          <w:spacing w:val="5"/>
          <w:sz w:val="24"/>
          <w:szCs w:val="22"/>
        </w:rPr>
      </w:pPr>
      <w:r>
        <w:rPr>
          <w:rFonts w:ascii="宋体" w:hAnsi="宋体" w:cs="宋体" w:hint="eastAsia"/>
          <w:spacing w:val="5"/>
          <w:sz w:val="24"/>
          <w:szCs w:val="22"/>
        </w:rPr>
        <w:t>非正常状况下，污染物运移通常可概化为两个相互衔接的过程：①污染物由地表垂直向下穿过包气带进入潜水含水层的过程；②石油类污染物进入潜水含水层后，随地下水流进行迁移的过程。污染物在潜水含水层中随着水流不断扩散，根据</w:t>
      </w:r>
      <w:r>
        <w:rPr>
          <w:rFonts w:ascii="宋体" w:hAnsi="Calibri" w:hint="eastAsia"/>
          <w:spacing w:val="5"/>
          <w:sz w:val="24"/>
          <w:szCs w:val="22"/>
        </w:rPr>
        <w:t>拟建项目</w:t>
      </w:r>
      <w:r>
        <w:rPr>
          <w:rFonts w:ascii="宋体" w:hAnsi="宋体" w:cs="宋体" w:hint="eastAsia"/>
          <w:spacing w:val="5"/>
          <w:sz w:val="24"/>
          <w:szCs w:val="22"/>
        </w:rPr>
        <w:t>非正常状况下污染源排放形式与排放规律，本次模型可概化为一维稳定流动二维水动力弥散问题的瞬时注入污染物</w:t>
      </w:r>
      <w:r>
        <w:rPr>
          <w:rFonts w:ascii="宋体" w:hAnsi="宋体" w:cs="宋体"/>
          <w:spacing w:val="5"/>
          <w:sz w:val="24"/>
          <w:szCs w:val="22"/>
        </w:rPr>
        <w:t>—</w:t>
      </w:r>
      <w:r>
        <w:rPr>
          <w:rFonts w:ascii="宋体" w:hAnsi="宋体" w:cs="宋体" w:hint="eastAsia"/>
          <w:spacing w:val="5"/>
          <w:sz w:val="24"/>
          <w:szCs w:val="22"/>
        </w:rPr>
        <w:t>平面瞬时</w:t>
      </w:r>
      <w:r>
        <w:rPr>
          <w:rFonts w:ascii="宋体" w:hAnsi="宋体" w:hint="eastAsia"/>
          <w:spacing w:val="5"/>
          <w:sz w:val="24"/>
          <w:szCs w:val="22"/>
        </w:rPr>
        <w:t>点源的预测模型，其主要假设条件为：</w:t>
      </w:r>
    </w:p>
    <w:p w:rsidR="00EE4502" w:rsidRDefault="00FD45A3">
      <w:pPr>
        <w:spacing w:line="360" w:lineRule="auto"/>
        <w:ind w:firstLineChars="200" w:firstLine="500"/>
        <w:rPr>
          <w:rFonts w:ascii="宋体" w:hAnsi="宋体" w:cs="宋体"/>
          <w:spacing w:val="5"/>
          <w:sz w:val="24"/>
          <w:szCs w:val="22"/>
        </w:rPr>
      </w:pPr>
      <w:r>
        <w:rPr>
          <w:rFonts w:ascii="宋体" w:hAnsi="宋体" w:cs="宋体" w:hint="eastAsia"/>
          <w:spacing w:val="5"/>
          <w:sz w:val="24"/>
          <w:szCs w:val="22"/>
        </w:rPr>
        <w:t>a.</w:t>
      </w:r>
      <w:r>
        <w:rPr>
          <w:rFonts w:ascii="宋体" w:hAnsi="宋体" w:cs="宋体" w:hint="eastAsia"/>
          <w:spacing w:val="5"/>
          <w:sz w:val="24"/>
          <w:szCs w:val="22"/>
        </w:rPr>
        <w:t>假定含水层等厚，均质，并在平面无限分布，含水层的厚度、宽度和长度比可忽略；</w:t>
      </w:r>
    </w:p>
    <w:p w:rsidR="00EE4502" w:rsidRDefault="00FD45A3">
      <w:pPr>
        <w:spacing w:line="360" w:lineRule="auto"/>
        <w:ind w:firstLineChars="200" w:firstLine="500"/>
        <w:rPr>
          <w:rFonts w:ascii="宋体" w:hAnsi="宋体" w:cs="宋体"/>
          <w:spacing w:val="5"/>
          <w:sz w:val="24"/>
          <w:szCs w:val="22"/>
        </w:rPr>
      </w:pPr>
      <w:r>
        <w:rPr>
          <w:rFonts w:ascii="宋体" w:hAnsi="宋体" w:cs="宋体" w:hint="eastAsia"/>
          <w:spacing w:val="5"/>
          <w:sz w:val="24"/>
          <w:szCs w:val="22"/>
        </w:rPr>
        <w:t>b.</w:t>
      </w:r>
      <w:r>
        <w:rPr>
          <w:rFonts w:ascii="宋体" w:hAnsi="宋体" w:cs="宋体" w:hint="eastAsia"/>
          <w:spacing w:val="5"/>
          <w:sz w:val="24"/>
          <w:szCs w:val="22"/>
        </w:rPr>
        <w:t>假定定量的定浓度的污水，在极短时间内注入整个含水层的厚度范围；</w:t>
      </w:r>
    </w:p>
    <w:p w:rsidR="00EE4502" w:rsidRDefault="00FD45A3">
      <w:pPr>
        <w:spacing w:line="360" w:lineRule="auto"/>
        <w:ind w:firstLineChars="200" w:firstLine="500"/>
        <w:rPr>
          <w:rFonts w:ascii="宋体" w:hAnsi="宋体" w:cs="宋体"/>
          <w:spacing w:val="5"/>
          <w:sz w:val="24"/>
          <w:szCs w:val="22"/>
        </w:rPr>
      </w:pPr>
      <w:r>
        <w:rPr>
          <w:rFonts w:ascii="宋体" w:hAnsi="宋体" w:cs="宋体" w:hint="eastAsia"/>
          <w:spacing w:val="5"/>
          <w:sz w:val="24"/>
          <w:szCs w:val="22"/>
        </w:rPr>
        <w:t>c.</w:t>
      </w:r>
      <w:r>
        <w:rPr>
          <w:rFonts w:ascii="宋体" w:hAnsi="宋体" w:cs="宋体" w:hint="eastAsia"/>
          <w:spacing w:val="5"/>
          <w:sz w:val="24"/>
          <w:szCs w:val="22"/>
        </w:rPr>
        <w:t>污水的注入对含水层内的天然流场不产生影响。</w:t>
      </w:r>
    </w:p>
    <w:p w:rsidR="00EE4502" w:rsidRDefault="00FD45A3">
      <w:pPr>
        <w:spacing w:line="360" w:lineRule="auto"/>
        <w:ind w:firstLineChars="200" w:firstLine="500"/>
        <w:rPr>
          <w:rFonts w:ascii="宋体" w:hAnsi="宋体" w:cs="宋体"/>
          <w:spacing w:val="5"/>
          <w:sz w:val="25"/>
          <w:szCs w:val="25"/>
        </w:rPr>
      </w:pPr>
      <w:r>
        <w:rPr>
          <w:rFonts w:ascii="宋体" w:hAnsi="宋体" w:cs="宋体" w:hint="eastAsia"/>
          <w:spacing w:val="5"/>
          <w:sz w:val="24"/>
          <w:szCs w:val="22"/>
        </w:rPr>
        <w:t>根据《环境影响评价技术导则</w:t>
      </w:r>
      <w:r>
        <w:rPr>
          <w:rFonts w:ascii="宋体" w:hAnsi="宋体" w:cs="宋体" w:hint="eastAsia"/>
          <w:spacing w:val="5"/>
          <w:sz w:val="24"/>
          <w:szCs w:val="22"/>
        </w:rPr>
        <w:t xml:space="preserve"> </w:t>
      </w:r>
      <w:r>
        <w:rPr>
          <w:rFonts w:ascii="宋体" w:hAnsi="宋体" w:cs="宋体" w:hint="eastAsia"/>
          <w:spacing w:val="5"/>
          <w:sz w:val="24"/>
          <w:szCs w:val="22"/>
        </w:rPr>
        <w:t>地下水环境》</w:t>
      </w:r>
      <w:r>
        <w:rPr>
          <w:rFonts w:ascii="宋体" w:hAnsi="宋体" w:cs="宋体" w:hint="eastAsia"/>
          <w:spacing w:val="5"/>
          <w:sz w:val="24"/>
          <w:szCs w:val="22"/>
        </w:rPr>
        <w:t>(HJ610-2016)</w:t>
      </w:r>
      <w:r>
        <w:rPr>
          <w:rFonts w:ascii="宋体" w:hAnsi="宋体" w:cs="宋体" w:hint="eastAsia"/>
          <w:spacing w:val="5"/>
          <w:sz w:val="24"/>
          <w:szCs w:val="22"/>
        </w:rPr>
        <w:t>，一维稳定流动二维水动力弥散问题的瞬时注入示踪剂—平面瞬时点源的预测模型为：</w:t>
      </w:r>
    </w:p>
    <w:p w:rsidR="00EE4502" w:rsidRDefault="00FD45A3" w:rsidP="003F4A18">
      <w:pPr>
        <w:topLinePunct/>
        <w:ind w:firstLineChars="200" w:firstLine="500"/>
        <w:rPr>
          <w:rFonts w:ascii="宋体" w:hAnsi="宋体" w:cs="宋体"/>
          <w:spacing w:val="5"/>
          <w:sz w:val="25"/>
          <w:szCs w:val="25"/>
        </w:rPr>
      </w:pPr>
      <w:r>
        <w:rPr>
          <w:rFonts w:ascii="宋体" w:hAnsi="宋体" w:cs="宋体"/>
          <w:spacing w:val="5"/>
          <w:sz w:val="25"/>
          <w:szCs w:val="25"/>
        </w:rPr>
        <w:pict>
          <v:shape id="_x0000_s1026" type="#_x0000_t75" style="position:absolute;left:0;text-align:left;margin-left:113.05pt;margin-top:11pt;width:204pt;height:38.25pt;z-index:-251648000;mso-width-relative:page;mso-height-relative:page">
            <v:imagedata r:id="rId35" o:title=""/>
          </v:shape>
          <o:OLEObject Type="Embed" ProgID="AutoCAD.Drawing.18" ShapeID="_x0000_s1026" DrawAspect="Content" ObjectID="_1810051735" r:id="rId36"/>
        </w:pict>
      </w:r>
    </w:p>
    <w:p w:rsidR="00EE4502" w:rsidRDefault="00EE4502">
      <w:pPr>
        <w:rPr>
          <w:rFonts w:ascii="宋体" w:hAnsi="宋体" w:cs="宋体"/>
          <w:spacing w:val="5"/>
          <w:sz w:val="25"/>
          <w:szCs w:val="25"/>
        </w:rPr>
      </w:pPr>
    </w:p>
    <w:p w:rsidR="00EE4502" w:rsidRDefault="00FD45A3">
      <w:pPr>
        <w:overflowPunct w:val="0"/>
        <w:spacing w:line="360" w:lineRule="auto"/>
        <w:ind w:firstLineChars="200" w:firstLine="500"/>
        <w:rPr>
          <w:rFonts w:ascii="宋体" w:hAnsi="宋体" w:cs="宋体"/>
          <w:spacing w:val="5"/>
          <w:sz w:val="24"/>
          <w:szCs w:val="22"/>
        </w:rPr>
      </w:pPr>
      <w:r>
        <w:rPr>
          <w:rFonts w:ascii="宋体" w:hAnsi="宋体" w:cs="宋体" w:hint="eastAsia"/>
          <w:spacing w:val="5"/>
          <w:sz w:val="24"/>
          <w:szCs w:val="22"/>
        </w:rPr>
        <w:t>式中：</w:t>
      </w:r>
    </w:p>
    <w:p w:rsidR="00EE4502" w:rsidRDefault="00FD45A3">
      <w:pPr>
        <w:overflowPunct w:val="0"/>
        <w:spacing w:line="360" w:lineRule="auto"/>
        <w:ind w:firstLineChars="200" w:firstLine="500"/>
        <w:rPr>
          <w:rFonts w:ascii="宋体" w:hAnsi="Calibri"/>
          <w:spacing w:val="5"/>
          <w:sz w:val="24"/>
          <w:szCs w:val="22"/>
        </w:rPr>
      </w:pPr>
      <w:r>
        <w:rPr>
          <w:rFonts w:ascii="宋体" w:hAnsi="Calibri" w:hint="eastAsia"/>
          <w:spacing w:val="5"/>
          <w:sz w:val="24"/>
          <w:szCs w:val="22"/>
        </w:rPr>
        <w:t>x</w:t>
      </w:r>
      <w:r>
        <w:rPr>
          <w:rFonts w:ascii="宋体" w:hAnsi="Calibri" w:hint="eastAsia"/>
          <w:spacing w:val="5"/>
          <w:sz w:val="24"/>
          <w:szCs w:val="22"/>
        </w:rPr>
        <w:t>，</w:t>
      </w:r>
      <w:r>
        <w:rPr>
          <w:rFonts w:ascii="宋体" w:hAnsi="Calibri" w:hint="eastAsia"/>
          <w:spacing w:val="5"/>
          <w:sz w:val="24"/>
          <w:szCs w:val="22"/>
        </w:rPr>
        <w:t>y</w:t>
      </w:r>
      <w:r>
        <w:rPr>
          <w:rFonts w:ascii="宋体" w:hAnsi="Calibri" w:hint="eastAsia"/>
          <w:spacing w:val="5"/>
          <w:sz w:val="24"/>
          <w:szCs w:val="22"/>
        </w:rPr>
        <w:t>—计算点处的位置坐标；</w:t>
      </w:r>
    </w:p>
    <w:p w:rsidR="00EE4502" w:rsidRDefault="00FD45A3">
      <w:pPr>
        <w:overflowPunct w:val="0"/>
        <w:spacing w:line="360" w:lineRule="auto"/>
        <w:ind w:firstLineChars="200" w:firstLine="500"/>
        <w:rPr>
          <w:rFonts w:ascii="宋体" w:hAnsi="Calibri"/>
          <w:spacing w:val="5"/>
          <w:sz w:val="24"/>
          <w:szCs w:val="22"/>
        </w:rPr>
      </w:pPr>
      <w:r>
        <w:rPr>
          <w:rFonts w:ascii="宋体" w:hAnsi="Calibri" w:hint="eastAsia"/>
          <w:spacing w:val="5"/>
          <w:sz w:val="24"/>
          <w:szCs w:val="22"/>
        </w:rPr>
        <w:t>t</w:t>
      </w:r>
      <w:r>
        <w:rPr>
          <w:rFonts w:ascii="宋体" w:hAnsi="Calibri" w:hint="eastAsia"/>
          <w:spacing w:val="5"/>
          <w:sz w:val="24"/>
          <w:szCs w:val="22"/>
        </w:rPr>
        <w:t>—时间，</w:t>
      </w:r>
      <w:r>
        <w:rPr>
          <w:rFonts w:ascii="宋体" w:hAnsi="Calibri" w:hint="eastAsia"/>
          <w:spacing w:val="5"/>
          <w:sz w:val="24"/>
          <w:szCs w:val="22"/>
        </w:rPr>
        <w:t>d</w:t>
      </w:r>
      <w:r>
        <w:rPr>
          <w:rFonts w:ascii="宋体" w:hAnsi="Calibri" w:hint="eastAsia"/>
          <w:spacing w:val="5"/>
          <w:sz w:val="24"/>
          <w:szCs w:val="22"/>
        </w:rPr>
        <w:t>；</w:t>
      </w:r>
    </w:p>
    <w:p w:rsidR="00EE4502" w:rsidRDefault="00FD45A3">
      <w:pPr>
        <w:overflowPunct w:val="0"/>
        <w:spacing w:line="360" w:lineRule="auto"/>
        <w:ind w:firstLineChars="200" w:firstLine="500"/>
        <w:rPr>
          <w:rFonts w:ascii="宋体" w:hAnsi="Calibri"/>
          <w:spacing w:val="5"/>
          <w:sz w:val="24"/>
          <w:szCs w:val="22"/>
        </w:rPr>
      </w:pPr>
      <w:r>
        <w:rPr>
          <w:rFonts w:ascii="宋体" w:hAnsi="Calibri" w:hint="eastAsia"/>
          <w:spacing w:val="5"/>
          <w:sz w:val="24"/>
          <w:szCs w:val="22"/>
        </w:rPr>
        <w:t>C(x</w:t>
      </w:r>
      <w:r>
        <w:rPr>
          <w:rFonts w:ascii="宋体" w:hAnsi="Calibri" w:hint="eastAsia"/>
          <w:spacing w:val="5"/>
          <w:sz w:val="24"/>
          <w:szCs w:val="22"/>
        </w:rPr>
        <w:t>，</w:t>
      </w:r>
      <w:r>
        <w:rPr>
          <w:rFonts w:ascii="宋体" w:hAnsi="Calibri" w:hint="eastAsia"/>
          <w:spacing w:val="5"/>
          <w:sz w:val="24"/>
          <w:szCs w:val="22"/>
        </w:rPr>
        <w:t>y</w:t>
      </w:r>
      <w:r>
        <w:rPr>
          <w:rFonts w:ascii="宋体" w:hAnsi="Calibri" w:hint="eastAsia"/>
          <w:spacing w:val="5"/>
          <w:sz w:val="24"/>
          <w:szCs w:val="22"/>
        </w:rPr>
        <w:t>，</w:t>
      </w:r>
      <w:r>
        <w:rPr>
          <w:rFonts w:ascii="宋体" w:hAnsi="Calibri" w:hint="eastAsia"/>
          <w:spacing w:val="5"/>
          <w:sz w:val="24"/>
          <w:szCs w:val="22"/>
        </w:rPr>
        <w:t>t)</w:t>
      </w:r>
      <w:r>
        <w:rPr>
          <w:rFonts w:ascii="宋体" w:hAnsi="Calibri" w:hint="eastAsia"/>
          <w:spacing w:val="5"/>
          <w:sz w:val="24"/>
          <w:szCs w:val="22"/>
        </w:rPr>
        <w:t>—</w:t>
      </w:r>
      <w:r>
        <w:rPr>
          <w:rFonts w:ascii="宋体" w:hAnsi="Calibri" w:hint="eastAsia"/>
          <w:spacing w:val="5"/>
          <w:sz w:val="24"/>
          <w:szCs w:val="22"/>
        </w:rPr>
        <w:t>t</w:t>
      </w:r>
      <w:r>
        <w:rPr>
          <w:rFonts w:ascii="宋体" w:hAnsi="Calibri" w:hint="eastAsia"/>
          <w:spacing w:val="5"/>
          <w:sz w:val="24"/>
          <w:szCs w:val="22"/>
        </w:rPr>
        <w:t>时刻点</w:t>
      </w:r>
      <w:r>
        <w:rPr>
          <w:rFonts w:ascii="宋体" w:hAnsi="Calibri" w:hint="eastAsia"/>
          <w:spacing w:val="5"/>
          <w:sz w:val="24"/>
          <w:szCs w:val="22"/>
        </w:rPr>
        <w:t>x</w:t>
      </w:r>
      <w:r>
        <w:rPr>
          <w:rFonts w:ascii="宋体" w:hAnsi="Calibri" w:hint="eastAsia"/>
          <w:spacing w:val="5"/>
          <w:sz w:val="24"/>
          <w:szCs w:val="22"/>
        </w:rPr>
        <w:t>，</w:t>
      </w:r>
      <w:r>
        <w:rPr>
          <w:rFonts w:ascii="宋体" w:hAnsi="Calibri" w:hint="eastAsia"/>
          <w:spacing w:val="5"/>
          <w:sz w:val="24"/>
          <w:szCs w:val="22"/>
        </w:rPr>
        <w:t>y</w:t>
      </w:r>
      <w:r>
        <w:rPr>
          <w:rFonts w:ascii="宋体" w:hAnsi="Calibri" w:hint="eastAsia"/>
          <w:spacing w:val="5"/>
          <w:sz w:val="24"/>
          <w:szCs w:val="22"/>
        </w:rPr>
        <w:t>处的污染物浓度，</w:t>
      </w:r>
      <w:r>
        <w:rPr>
          <w:rFonts w:ascii="宋体" w:hAnsi="Calibri" w:hint="eastAsia"/>
          <w:spacing w:val="5"/>
          <w:sz w:val="24"/>
          <w:szCs w:val="22"/>
        </w:rPr>
        <w:t>mg/L</w:t>
      </w:r>
      <w:r>
        <w:rPr>
          <w:rFonts w:ascii="宋体" w:hAnsi="Calibri" w:hint="eastAsia"/>
          <w:spacing w:val="5"/>
          <w:sz w:val="24"/>
          <w:szCs w:val="22"/>
        </w:rPr>
        <w:t>；</w:t>
      </w:r>
    </w:p>
    <w:p w:rsidR="00EE4502" w:rsidRDefault="00FD45A3">
      <w:pPr>
        <w:overflowPunct w:val="0"/>
        <w:spacing w:line="360" w:lineRule="auto"/>
        <w:ind w:firstLineChars="200" w:firstLine="500"/>
        <w:rPr>
          <w:rFonts w:ascii="宋体" w:hAnsi="Calibri"/>
          <w:spacing w:val="5"/>
          <w:sz w:val="24"/>
          <w:szCs w:val="22"/>
        </w:rPr>
      </w:pPr>
      <w:r>
        <w:rPr>
          <w:rFonts w:ascii="宋体" w:hAnsi="Calibri" w:hint="eastAsia"/>
          <w:spacing w:val="5"/>
          <w:sz w:val="24"/>
          <w:szCs w:val="22"/>
        </w:rPr>
        <w:t>M</w:t>
      </w:r>
      <w:r>
        <w:rPr>
          <w:rFonts w:ascii="宋体" w:hAnsi="Calibri" w:hint="eastAsia"/>
          <w:spacing w:val="5"/>
          <w:sz w:val="24"/>
          <w:szCs w:val="22"/>
        </w:rPr>
        <w:t>—含水层厚度，</w:t>
      </w:r>
      <w:r>
        <w:rPr>
          <w:rFonts w:ascii="宋体" w:hAnsi="Calibri" w:hint="eastAsia"/>
          <w:spacing w:val="5"/>
          <w:sz w:val="24"/>
          <w:szCs w:val="22"/>
        </w:rPr>
        <w:t>m</w:t>
      </w:r>
      <w:r>
        <w:rPr>
          <w:rFonts w:ascii="宋体" w:hAnsi="Calibri" w:hint="eastAsia"/>
          <w:spacing w:val="5"/>
          <w:sz w:val="24"/>
          <w:szCs w:val="22"/>
        </w:rPr>
        <w:t>；评价区域含水层厚度；</w:t>
      </w:r>
    </w:p>
    <w:p w:rsidR="00EE4502" w:rsidRDefault="00FD45A3">
      <w:pPr>
        <w:overflowPunct w:val="0"/>
        <w:spacing w:line="360" w:lineRule="auto"/>
        <w:ind w:firstLineChars="200" w:firstLine="500"/>
        <w:rPr>
          <w:rFonts w:ascii="宋体" w:hAnsi="Calibri"/>
          <w:spacing w:val="5"/>
          <w:sz w:val="24"/>
          <w:szCs w:val="22"/>
        </w:rPr>
      </w:pPr>
      <w:r>
        <w:rPr>
          <w:rFonts w:ascii="宋体" w:hAnsi="Calibri" w:hint="eastAsia"/>
          <w:spacing w:val="5"/>
          <w:sz w:val="24"/>
          <w:szCs w:val="22"/>
        </w:rPr>
        <w:t>m</w:t>
      </w:r>
      <w:r>
        <w:rPr>
          <w:rFonts w:ascii="宋体" w:hAnsi="Calibri" w:hint="eastAsia"/>
          <w:spacing w:val="5"/>
          <w:sz w:val="24"/>
          <w:szCs w:val="22"/>
          <w:vertAlign w:val="subscript"/>
        </w:rPr>
        <w:t>M</w:t>
      </w:r>
      <w:r>
        <w:rPr>
          <w:rFonts w:ascii="宋体" w:hAnsi="Calibri" w:hint="eastAsia"/>
          <w:spacing w:val="5"/>
          <w:sz w:val="24"/>
          <w:szCs w:val="22"/>
        </w:rPr>
        <w:t>—长度为</w:t>
      </w:r>
      <w:r>
        <w:rPr>
          <w:rFonts w:ascii="宋体" w:hAnsi="Calibri" w:hint="eastAsia"/>
          <w:spacing w:val="5"/>
          <w:sz w:val="24"/>
          <w:szCs w:val="22"/>
        </w:rPr>
        <w:t>M</w:t>
      </w:r>
      <w:r>
        <w:rPr>
          <w:rFonts w:ascii="宋体" w:hAnsi="Calibri" w:hint="eastAsia"/>
          <w:spacing w:val="5"/>
          <w:sz w:val="24"/>
          <w:szCs w:val="22"/>
        </w:rPr>
        <w:t>的线源瞬时注入污染物的质量，</w:t>
      </w:r>
      <w:r>
        <w:rPr>
          <w:rFonts w:ascii="宋体" w:hAnsi="Calibri" w:hint="eastAsia"/>
          <w:spacing w:val="5"/>
          <w:sz w:val="24"/>
          <w:szCs w:val="22"/>
        </w:rPr>
        <w:t>kg</w:t>
      </w:r>
      <w:r>
        <w:rPr>
          <w:rFonts w:ascii="宋体" w:hAnsi="Calibri" w:hint="eastAsia"/>
          <w:spacing w:val="5"/>
          <w:sz w:val="24"/>
          <w:szCs w:val="22"/>
        </w:rPr>
        <w:t>。</w:t>
      </w:r>
    </w:p>
    <w:p w:rsidR="00EE4502" w:rsidRDefault="00FD45A3">
      <w:pPr>
        <w:overflowPunct w:val="0"/>
        <w:spacing w:line="360" w:lineRule="auto"/>
        <w:ind w:firstLineChars="200" w:firstLine="500"/>
        <w:rPr>
          <w:rFonts w:ascii="宋体" w:hAnsi="Calibri"/>
          <w:spacing w:val="5"/>
          <w:sz w:val="24"/>
          <w:szCs w:val="22"/>
        </w:rPr>
      </w:pPr>
      <w:r>
        <w:rPr>
          <w:rFonts w:ascii="宋体" w:hAnsi="宋体"/>
          <w:spacing w:val="5"/>
          <w:sz w:val="24"/>
          <w:szCs w:val="22"/>
        </w:rPr>
        <w:t>u—</w:t>
      </w:r>
      <w:r>
        <w:rPr>
          <w:rFonts w:ascii="宋体" w:hAnsi="宋体" w:hint="eastAsia"/>
          <w:spacing w:val="5"/>
          <w:sz w:val="24"/>
          <w:szCs w:val="22"/>
        </w:rPr>
        <w:t>地下水流速度，</w:t>
      </w:r>
      <w:r>
        <w:rPr>
          <w:rFonts w:ascii="宋体" w:hAnsi="宋体"/>
          <w:spacing w:val="5"/>
          <w:sz w:val="24"/>
          <w:szCs w:val="22"/>
        </w:rPr>
        <w:t>m/d</w:t>
      </w:r>
      <w:r>
        <w:rPr>
          <w:rFonts w:ascii="宋体" w:hAnsi="Calibri" w:hint="eastAsia"/>
          <w:spacing w:val="5"/>
          <w:sz w:val="24"/>
          <w:szCs w:val="22"/>
        </w:rPr>
        <w:t>；</w:t>
      </w:r>
    </w:p>
    <w:p w:rsidR="00EE4502" w:rsidRDefault="00FD45A3">
      <w:pPr>
        <w:overflowPunct w:val="0"/>
        <w:spacing w:line="360" w:lineRule="auto"/>
        <w:ind w:firstLineChars="200" w:firstLine="500"/>
        <w:rPr>
          <w:rFonts w:ascii="宋体" w:hAnsi="Calibri"/>
          <w:spacing w:val="5"/>
          <w:sz w:val="24"/>
          <w:szCs w:val="22"/>
        </w:rPr>
      </w:pPr>
      <w:r>
        <w:rPr>
          <w:rFonts w:ascii="宋体" w:hAnsi="Calibri" w:hint="eastAsia"/>
          <w:spacing w:val="5"/>
          <w:sz w:val="24"/>
          <w:szCs w:val="22"/>
        </w:rPr>
        <w:t>n</w:t>
      </w:r>
      <w:r>
        <w:rPr>
          <w:rFonts w:ascii="宋体" w:hAnsi="Calibri" w:hint="eastAsia"/>
          <w:spacing w:val="5"/>
          <w:sz w:val="24"/>
          <w:szCs w:val="22"/>
        </w:rPr>
        <w:t>—有效孔隙度，无量纲；</w:t>
      </w:r>
    </w:p>
    <w:p w:rsidR="00EE4502" w:rsidRDefault="00FD45A3">
      <w:pPr>
        <w:overflowPunct w:val="0"/>
        <w:spacing w:line="360" w:lineRule="auto"/>
        <w:ind w:firstLineChars="200" w:firstLine="500"/>
        <w:rPr>
          <w:rFonts w:ascii="宋体" w:hAnsi="Calibri"/>
          <w:spacing w:val="5"/>
          <w:sz w:val="24"/>
          <w:szCs w:val="22"/>
        </w:rPr>
      </w:pPr>
      <w:r>
        <w:rPr>
          <w:rFonts w:ascii="宋体" w:hAnsi="Calibri" w:hint="eastAsia"/>
          <w:spacing w:val="5"/>
          <w:sz w:val="24"/>
          <w:szCs w:val="22"/>
        </w:rPr>
        <w:t>D</w:t>
      </w:r>
      <w:r>
        <w:rPr>
          <w:rFonts w:ascii="宋体" w:hAnsi="Calibri" w:hint="eastAsia"/>
          <w:spacing w:val="5"/>
          <w:sz w:val="24"/>
          <w:szCs w:val="22"/>
          <w:vertAlign w:val="subscript"/>
        </w:rPr>
        <w:t>L</w:t>
      </w:r>
      <w:r>
        <w:rPr>
          <w:rFonts w:ascii="宋体" w:hAnsi="Calibri" w:hint="eastAsia"/>
          <w:spacing w:val="5"/>
          <w:sz w:val="24"/>
          <w:szCs w:val="22"/>
        </w:rPr>
        <w:t>—纵向弥散系数，</w:t>
      </w:r>
      <w:r>
        <w:rPr>
          <w:rFonts w:ascii="宋体" w:hAnsi="Calibri" w:hint="eastAsia"/>
          <w:spacing w:val="5"/>
          <w:sz w:val="24"/>
          <w:szCs w:val="22"/>
        </w:rPr>
        <w:t>m</w:t>
      </w:r>
      <w:r>
        <w:rPr>
          <w:rFonts w:ascii="宋体" w:hAnsi="Calibri" w:hint="eastAsia"/>
          <w:spacing w:val="5"/>
          <w:sz w:val="24"/>
          <w:szCs w:val="22"/>
          <w:vertAlign w:val="superscript"/>
        </w:rPr>
        <w:t>2</w:t>
      </w:r>
      <w:r>
        <w:rPr>
          <w:rFonts w:ascii="宋体" w:hAnsi="Calibri" w:hint="eastAsia"/>
          <w:spacing w:val="5"/>
          <w:sz w:val="24"/>
          <w:szCs w:val="22"/>
        </w:rPr>
        <w:t>/d</w:t>
      </w:r>
      <w:r>
        <w:rPr>
          <w:rFonts w:ascii="宋体" w:hAnsi="Calibri" w:hint="eastAsia"/>
          <w:spacing w:val="5"/>
          <w:sz w:val="24"/>
          <w:szCs w:val="22"/>
        </w:rPr>
        <w:t>；</w:t>
      </w:r>
    </w:p>
    <w:p w:rsidR="00EE4502" w:rsidRDefault="00FD45A3">
      <w:pPr>
        <w:overflowPunct w:val="0"/>
        <w:spacing w:line="360" w:lineRule="auto"/>
        <w:ind w:firstLineChars="200" w:firstLine="500"/>
        <w:rPr>
          <w:rFonts w:ascii="宋体" w:hAnsi="Calibri"/>
          <w:spacing w:val="5"/>
          <w:sz w:val="24"/>
          <w:szCs w:val="22"/>
        </w:rPr>
      </w:pPr>
      <w:r>
        <w:rPr>
          <w:rFonts w:ascii="宋体" w:hAnsi="Calibri" w:hint="eastAsia"/>
          <w:spacing w:val="5"/>
          <w:sz w:val="24"/>
          <w:szCs w:val="22"/>
        </w:rPr>
        <w:t>D</w:t>
      </w:r>
      <w:r>
        <w:rPr>
          <w:rFonts w:ascii="宋体" w:hAnsi="Calibri" w:hint="eastAsia"/>
          <w:spacing w:val="5"/>
          <w:sz w:val="24"/>
          <w:szCs w:val="22"/>
          <w:vertAlign w:val="subscript"/>
        </w:rPr>
        <w:t>T</w:t>
      </w:r>
      <w:r>
        <w:rPr>
          <w:rFonts w:ascii="宋体" w:hAnsi="Calibri" w:hint="eastAsia"/>
          <w:spacing w:val="5"/>
          <w:sz w:val="24"/>
          <w:szCs w:val="22"/>
        </w:rPr>
        <w:t>—横向</w:t>
      </w:r>
      <w:r>
        <w:rPr>
          <w:rFonts w:ascii="宋体" w:hAnsi="Calibri" w:hint="eastAsia"/>
          <w:spacing w:val="5"/>
          <w:sz w:val="24"/>
          <w:szCs w:val="22"/>
        </w:rPr>
        <w:t>y</w:t>
      </w:r>
      <w:r>
        <w:rPr>
          <w:rFonts w:ascii="宋体" w:hAnsi="Calibri" w:hint="eastAsia"/>
          <w:spacing w:val="5"/>
          <w:sz w:val="24"/>
          <w:szCs w:val="22"/>
        </w:rPr>
        <w:t>方向的弥散系数，</w:t>
      </w:r>
      <w:r>
        <w:rPr>
          <w:rFonts w:ascii="宋体" w:hAnsi="Calibri" w:hint="eastAsia"/>
          <w:spacing w:val="5"/>
          <w:sz w:val="24"/>
          <w:szCs w:val="22"/>
        </w:rPr>
        <w:t>m</w:t>
      </w:r>
      <w:r>
        <w:rPr>
          <w:rFonts w:ascii="宋体" w:hAnsi="Calibri" w:hint="eastAsia"/>
          <w:spacing w:val="5"/>
          <w:sz w:val="24"/>
          <w:szCs w:val="22"/>
          <w:vertAlign w:val="superscript"/>
        </w:rPr>
        <w:t>2</w:t>
      </w:r>
      <w:r>
        <w:rPr>
          <w:rFonts w:ascii="宋体" w:hAnsi="Calibri" w:hint="eastAsia"/>
          <w:spacing w:val="5"/>
          <w:sz w:val="24"/>
          <w:szCs w:val="22"/>
        </w:rPr>
        <w:t>/d</w:t>
      </w:r>
      <w:r>
        <w:rPr>
          <w:rFonts w:ascii="宋体" w:hAnsi="Calibri" w:hint="eastAsia"/>
          <w:spacing w:val="5"/>
          <w:sz w:val="24"/>
          <w:szCs w:val="22"/>
        </w:rPr>
        <w:t>；</w:t>
      </w:r>
    </w:p>
    <w:p w:rsidR="00EE4502" w:rsidRDefault="00FD45A3">
      <w:pPr>
        <w:overflowPunct w:val="0"/>
        <w:spacing w:line="360" w:lineRule="auto"/>
        <w:ind w:firstLineChars="200" w:firstLine="500"/>
        <w:rPr>
          <w:rFonts w:ascii="宋体" w:hAnsi="Calibri"/>
          <w:spacing w:val="5"/>
          <w:sz w:val="24"/>
          <w:szCs w:val="22"/>
        </w:rPr>
      </w:pPr>
      <w:r>
        <w:rPr>
          <w:rFonts w:ascii="宋体" w:hAnsi="Calibri" w:hint="eastAsia"/>
          <w:spacing w:val="5"/>
          <w:sz w:val="24"/>
          <w:szCs w:val="22"/>
        </w:rPr>
        <w:t>π—圆周率。</w:t>
      </w:r>
    </w:p>
    <w:p w:rsidR="00EE4502" w:rsidRDefault="00FD45A3">
      <w:pPr>
        <w:jc w:val="center"/>
        <w:rPr>
          <w:rFonts w:ascii="黑体" w:eastAsia="黑体" w:hAnsi="黑体" w:cs="黑体"/>
          <w:bCs/>
          <w:spacing w:val="5"/>
          <w:szCs w:val="20"/>
        </w:rPr>
      </w:pPr>
      <w:r>
        <w:rPr>
          <w:rFonts w:ascii="黑体" w:eastAsia="黑体" w:hAnsi="黑体" w:cs="黑体" w:hint="eastAsia"/>
          <w:bCs/>
          <w:spacing w:val="5"/>
          <w:szCs w:val="20"/>
        </w:rPr>
        <w:t>表</w:t>
      </w:r>
      <w:r>
        <w:rPr>
          <w:rFonts w:ascii="黑体" w:eastAsia="黑体" w:hAnsi="黑体" w:cs="黑体" w:hint="eastAsia"/>
          <w:bCs/>
          <w:spacing w:val="5"/>
          <w:szCs w:val="20"/>
        </w:rPr>
        <w:t>5.</w:t>
      </w:r>
      <w:r>
        <w:rPr>
          <w:rFonts w:ascii="黑体" w:eastAsia="黑体" w:hAnsi="黑体" w:cs="黑体" w:hint="eastAsia"/>
          <w:bCs/>
          <w:spacing w:val="5"/>
          <w:szCs w:val="20"/>
        </w:rPr>
        <w:t>2-4</w:t>
      </w:r>
      <w:r>
        <w:rPr>
          <w:rFonts w:ascii="黑体" w:eastAsia="黑体" w:hAnsi="黑体" w:cs="黑体" w:hint="eastAsia"/>
          <w:bCs/>
          <w:spacing w:val="5"/>
          <w:szCs w:val="20"/>
        </w:rPr>
        <w:t xml:space="preserve">   </w:t>
      </w:r>
      <w:r>
        <w:rPr>
          <w:rFonts w:ascii="黑体" w:eastAsia="黑体" w:hAnsi="黑体" w:cs="黑体" w:hint="eastAsia"/>
          <w:bCs/>
          <w:spacing w:val="5"/>
          <w:szCs w:val="20"/>
        </w:rPr>
        <w:t>水质预测模型所需参数一览表</w:t>
      </w:r>
      <w:r>
        <w:rPr>
          <w:rFonts w:ascii="黑体" w:eastAsia="黑体" w:hAnsi="黑体" w:cs="黑体" w:hint="eastAsia"/>
          <w:bCs/>
          <w:spacing w:val="5"/>
          <w:szCs w:val="20"/>
        </w:rPr>
        <w:t>（</w:t>
      </w:r>
      <w:r>
        <w:rPr>
          <w:rFonts w:ascii="黑体" w:eastAsia="黑体" w:hAnsi="黑体" w:cs="黑体" w:hint="eastAsia"/>
          <w:bCs/>
          <w:spacing w:val="5"/>
          <w:szCs w:val="20"/>
        </w:rPr>
        <w:t>情景</w:t>
      </w:r>
      <w:r>
        <w:rPr>
          <w:rFonts w:ascii="黑体" w:eastAsia="黑体" w:hAnsi="黑体" w:cs="黑体" w:hint="eastAsia"/>
          <w:bCs/>
          <w:spacing w:val="5"/>
          <w:szCs w:val="20"/>
        </w:rPr>
        <w:t>2</w:t>
      </w:r>
      <w:r>
        <w:rPr>
          <w:rFonts w:ascii="黑体" w:eastAsia="黑体" w:hAnsi="黑体" w:cs="黑体" w:hint="eastAsia"/>
          <w:bCs/>
          <w:spacing w:val="5"/>
          <w:szCs w:val="20"/>
        </w:rPr>
        <w:t>）</w:t>
      </w:r>
    </w:p>
    <w:p w:rsidR="00EE4502" w:rsidRDefault="00FD45A3">
      <w:pPr>
        <w:spacing w:line="360" w:lineRule="auto"/>
        <w:ind w:firstLineChars="200" w:firstLine="480"/>
        <w:rPr>
          <w:sz w:val="24"/>
          <w:szCs w:val="20"/>
        </w:rPr>
      </w:pPr>
      <w:r>
        <w:rPr>
          <w:sz w:val="24"/>
          <w:szCs w:val="20"/>
        </w:rPr>
        <w:t>⑤</w:t>
      </w:r>
      <w:r>
        <w:rPr>
          <w:sz w:val="24"/>
          <w:szCs w:val="20"/>
        </w:rPr>
        <w:t>预测结果与分析</w:t>
      </w:r>
    </w:p>
    <w:p w:rsidR="00EE4502" w:rsidRDefault="00FD45A3">
      <w:pPr>
        <w:spacing w:line="360" w:lineRule="auto"/>
        <w:ind w:firstLineChars="200" w:firstLine="480"/>
        <w:rPr>
          <w:sz w:val="24"/>
          <w:szCs w:val="20"/>
        </w:rPr>
      </w:pPr>
      <w:r>
        <w:rPr>
          <w:sz w:val="24"/>
          <w:szCs w:val="20"/>
        </w:rPr>
        <w:lastRenderedPageBreak/>
        <w:t>将以上确定</w:t>
      </w:r>
      <w:r>
        <w:rPr>
          <w:rFonts w:hint="eastAsia"/>
          <w:sz w:val="24"/>
          <w:szCs w:val="20"/>
        </w:rPr>
        <w:t>的</w:t>
      </w:r>
      <w:r>
        <w:rPr>
          <w:sz w:val="24"/>
          <w:szCs w:val="20"/>
        </w:rPr>
        <w:t>参数代入模型，便可以求出不同时段，石油类在预测情景下，不同天数（</w:t>
      </w:r>
      <w:r>
        <w:rPr>
          <w:rFonts w:hint="eastAsia"/>
          <w:sz w:val="24"/>
          <w:szCs w:val="20"/>
        </w:rPr>
        <w:t>1d</w:t>
      </w:r>
      <w:r>
        <w:rPr>
          <w:rFonts w:hint="eastAsia"/>
          <w:sz w:val="24"/>
          <w:szCs w:val="20"/>
        </w:rPr>
        <w:t>、</w:t>
      </w:r>
      <w:r>
        <w:rPr>
          <w:sz w:val="24"/>
          <w:szCs w:val="20"/>
        </w:rPr>
        <w:t>100</w:t>
      </w:r>
      <w:r>
        <w:rPr>
          <w:sz w:val="24"/>
          <w:szCs w:val="20"/>
        </w:rPr>
        <w:t>天、</w:t>
      </w:r>
      <w:r>
        <w:rPr>
          <w:sz w:val="24"/>
          <w:szCs w:val="20"/>
        </w:rPr>
        <w:t>1000</w:t>
      </w:r>
      <w:r>
        <w:rPr>
          <w:sz w:val="24"/>
          <w:szCs w:val="20"/>
        </w:rPr>
        <w:t>天、</w:t>
      </w:r>
      <w:r>
        <w:rPr>
          <w:rFonts w:hint="eastAsia"/>
          <w:sz w:val="24"/>
          <w:szCs w:val="20"/>
        </w:rPr>
        <w:t>5475</w:t>
      </w:r>
      <w:r>
        <w:rPr>
          <w:sz w:val="24"/>
          <w:szCs w:val="20"/>
        </w:rPr>
        <w:t>天）时，污染物在含水层不同位置的浓度分布情况。具体见表</w:t>
      </w:r>
      <w:r>
        <w:rPr>
          <w:rFonts w:hint="eastAsia"/>
          <w:sz w:val="24"/>
          <w:szCs w:val="20"/>
        </w:rPr>
        <w:t>5</w:t>
      </w:r>
      <w:r>
        <w:rPr>
          <w:rFonts w:hint="eastAsia"/>
          <w:sz w:val="24"/>
          <w:szCs w:val="20"/>
        </w:rPr>
        <w:t>-</w:t>
      </w:r>
      <w:r>
        <w:rPr>
          <w:rFonts w:hint="eastAsia"/>
          <w:sz w:val="24"/>
          <w:szCs w:val="20"/>
        </w:rPr>
        <w:t>2</w:t>
      </w:r>
      <w:r>
        <w:rPr>
          <w:sz w:val="24"/>
          <w:szCs w:val="20"/>
        </w:rPr>
        <w:t>-</w:t>
      </w:r>
      <w:r>
        <w:rPr>
          <w:rFonts w:hint="eastAsia"/>
          <w:sz w:val="24"/>
          <w:szCs w:val="20"/>
        </w:rPr>
        <w:t>5</w:t>
      </w:r>
      <w:r>
        <w:rPr>
          <w:sz w:val="24"/>
          <w:szCs w:val="20"/>
        </w:rPr>
        <w:t>，图</w:t>
      </w:r>
      <w:r>
        <w:rPr>
          <w:rFonts w:hint="eastAsia"/>
          <w:sz w:val="24"/>
          <w:szCs w:val="20"/>
        </w:rPr>
        <w:t>5</w:t>
      </w:r>
      <w:r>
        <w:rPr>
          <w:rFonts w:hint="eastAsia"/>
          <w:sz w:val="24"/>
          <w:szCs w:val="20"/>
        </w:rPr>
        <w:t>-</w:t>
      </w:r>
      <w:r>
        <w:rPr>
          <w:rFonts w:hint="eastAsia"/>
          <w:sz w:val="24"/>
          <w:szCs w:val="20"/>
        </w:rPr>
        <w:t>2</w:t>
      </w:r>
      <w:r>
        <w:rPr>
          <w:sz w:val="24"/>
          <w:szCs w:val="20"/>
        </w:rPr>
        <w:t>-</w:t>
      </w:r>
      <w:r>
        <w:rPr>
          <w:rFonts w:hint="eastAsia"/>
          <w:sz w:val="24"/>
          <w:szCs w:val="20"/>
        </w:rPr>
        <w:t>4~5</w:t>
      </w:r>
      <w:r>
        <w:rPr>
          <w:rFonts w:hint="eastAsia"/>
          <w:sz w:val="24"/>
          <w:szCs w:val="20"/>
        </w:rPr>
        <w:t>-</w:t>
      </w:r>
      <w:r>
        <w:rPr>
          <w:rFonts w:hint="eastAsia"/>
          <w:sz w:val="24"/>
          <w:szCs w:val="20"/>
        </w:rPr>
        <w:t>2-7</w:t>
      </w:r>
      <w:r>
        <w:rPr>
          <w:sz w:val="24"/>
          <w:szCs w:val="20"/>
        </w:rPr>
        <w:t>。</w:t>
      </w:r>
    </w:p>
    <w:p w:rsidR="00EE4502" w:rsidRDefault="00FD45A3">
      <w:pPr>
        <w:spacing w:line="360" w:lineRule="auto"/>
        <w:ind w:firstLineChars="200" w:firstLine="500"/>
        <w:rPr>
          <w:bCs/>
          <w:spacing w:val="5"/>
          <w:sz w:val="24"/>
        </w:rPr>
      </w:pPr>
      <w:r>
        <w:rPr>
          <w:spacing w:val="5"/>
          <w:sz w:val="24"/>
          <w:szCs w:val="22"/>
        </w:rPr>
        <w:t>根据以上预测结果，</w:t>
      </w:r>
      <w:r>
        <w:rPr>
          <w:spacing w:val="5"/>
          <w:sz w:val="24"/>
          <w:szCs w:val="22"/>
        </w:rPr>
        <w:t>在非正常状况下，污染物进入含水层后，在水动力弥散作用下，瞬时注入的污染物将产生呈椭圆形的污染晕，污染晕中污染物的浓度由中心向四周逐渐降低。随着水动力弥散作用的进行，污染晕将不断沿水流方向运移，污染晕的范围也会发生变化</w:t>
      </w:r>
      <w:r>
        <w:rPr>
          <w:spacing w:val="5"/>
          <w:sz w:val="24"/>
          <w:szCs w:val="22"/>
        </w:rPr>
        <w:t>：</w:t>
      </w:r>
      <w:r>
        <w:rPr>
          <w:spacing w:val="5"/>
          <w:sz w:val="24"/>
        </w:rPr>
        <w:t>当</w:t>
      </w:r>
      <w:r>
        <w:rPr>
          <w:spacing w:val="5"/>
          <w:sz w:val="24"/>
        </w:rPr>
        <w:t>泄漏</w:t>
      </w:r>
      <w:r>
        <w:rPr>
          <w:spacing w:val="5"/>
          <w:sz w:val="24"/>
        </w:rPr>
        <w:t>发生后，在预测期间，随着泄漏后的时间的增加，影响范围呈增加趋势。</w:t>
      </w:r>
      <w:r>
        <w:rPr>
          <w:spacing w:val="5"/>
          <w:sz w:val="24"/>
          <w:szCs w:val="22"/>
        </w:rPr>
        <w:t>污染物泄漏</w:t>
      </w:r>
      <w:r>
        <w:rPr>
          <w:spacing w:val="5"/>
          <w:sz w:val="24"/>
          <w:szCs w:val="22"/>
        </w:rPr>
        <w:t>发生后</w:t>
      </w:r>
      <w:r>
        <w:rPr>
          <w:spacing w:val="5"/>
          <w:sz w:val="24"/>
          <w:szCs w:val="22"/>
        </w:rPr>
        <w:t>1d</w:t>
      </w:r>
      <w:r>
        <w:rPr>
          <w:spacing w:val="5"/>
          <w:sz w:val="24"/>
          <w:szCs w:val="22"/>
        </w:rPr>
        <w:t>、</w:t>
      </w:r>
      <w:r>
        <w:rPr>
          <w:spacing w:val="5"/>
          <w:sz w:val="24"/>
          <w:szCs w:val="22"/>
        </w:rPr>
        <w:t>100d</w:t>
      </w:r>
      <w:r>
        <w:rPr>
          <w:spacing w:val="5"/>
          <w:sz w:val="24"/>
          <w:szCs w:val="22"/>
        </w:rPr>
        <w:t>、</w:t>
      </w:r>
      <w:r>
        <w:rPr>
          <w:spacing w:val="5"/>
          <w:sz w:val="24"/>
          <w:szCs w:val="22"/>
        </w:rPr>
        <w:t>1000d</w:t>
      </w:r>
      <w:r>
        <w:rPr>
          <w:spacing w:val="5"/>
          <w:sz w:val="24"/>
          <w:szCs w:val="22"/>
        </w:rPr>
        <w:t>、</w:t>
      </w:r>
      <w:r>
        <w:rPr>
          <w:spacing w:val="5"/>
          <w:sz w:val="24"/>
          <w:szCs w:val="22"/>
        </w:rPr>
        <w:t>5475d</w:t>
      </w:r>
      <w:r>
        <w:rPr>
          <w:spacing w:val="5"/>
          <w:sz w:val="24"/>
          <w:szCs w:val="22"/>
        </w:rPr>
        <w:t>的</w:t>
      </w:r>
      <w:r>
        <w:rPr>
          <w:rFonts w:hint="eastAsia"/>
          <w:spacing w:val="5"/>
          <w:sz w:val="24"/>
          <w:szCs w:val="22"/>
        </w:rPr>
        <w:t>污染物</w:t>
      </w:r>
      <w:r>
        <w:rPr>
          <w:spacing w:val="5"/>
          <w:sz w:val="24"/>
          <w:szCs w:val="22"/>
        </w:rPr>
        <w:t>超标范围分别为</w:t>
      </w:r>
      <w:r>
        <w:rPr>
          <w:rFonts w:hint="eastAsia"/>
          <w:spacing w:val="5"/>
          <w:sz w:val="24"/>
          <w:szCs w:val="22"/>
        </w:rPr>
        <w:t>82.30</w:t>
      </w:r>
      <w:r>
        <w:rPr>
          <w:spacing w:val="5"/>
          <w:sz w:val="24"/>
          <w:szCs w:val="22"/>
        </w:rPr>
        <w:t>m</w:t>
      </w:r>
      <w:r>
        <w:rPr>
          <w:spacing w:val="5"/>
          <w:sz w:val="24"/>
          <w:szCs w:val="22"/>
          <w:vertAlign w:val="superscript"/>
        </w:rPr>
        <w:t>2</w:t>
      </w:r>
      <w:r>
        <w:rPr>
          <w:spacing w:val="5"/>
          <w:sz w:val="24"/>
          <w:szCs w:val="22"/>
        </w:rPr>
        <w:t>、</w:t>
      </w:r>
      <w:r>
        <w:rPr>
          <w:rFonts w:hint="eastAsia"/>
          <w:spacing w:val="5"/>
          <w:sz w:val="24"/>
          <w:szCs w:val="22"/>
        </w:rPr>
        <w:t>5562.0</w:t>
      </w:r>
      <w:r>
        <w:rPr>
          <w:spacing w:val="5"/>
          <w:sz w:val="24"/>
          <w:szCs w:val="22"/>
        </w:rPr>
        <w:t>m</w:t>
      </w:r>
      <w:r>
        <w:rPr>
          <w:spacing w:val="5"/>
          <w:sz w:val="24"/>
          <w:szCs w:val="22"/>
          <w:vertAlign w:val="superscript"/>
        </w:rPr>
        <w:t>2</w:t>
      </w:r>
      <w:r>
        <w:rPr>
          <w:spacing w:val="5"/>
          <w:sz w:val="24"/>
          <w:szCs w:val="22"/>
        </w:rPr>
        <w:t>、</w:t>
      </w:r>
      <w:r>
        <w:rPr>
          <w:rFonts w:hint="eastAsia"/>
          <w:spacing w:val="5"/>
          <w:sz w:val="24"/>
          <w:szCs w:val="22"/>
        </w:rPr>
        <w:t>42397.80</w:t>
      </w:r>
      <w:r>
        <w:rPr>
          <w:spacing w:val="5"/>
          <w:sz w:val="24"/>
          <w:szCs w:val="22"/>
        </w:rPr>
        <w:t>m</w:t>
      </w:r>
      <w:r>
        <w:rPr>
          <w:spacing w:val="5"/>
          <w:sz w:val="24"/>
          <w:szCs w:val="22"/>
          <w:vertAlign w:val="superscript"/>
        </w:rPr>
        <w:t>2</w:t>
      </w:r>
      <w:r>
        <w:rPr>
          <w:spacing w:val="5"/>
          <w:sz w:val="24"/>
          <w:szCs w:val="22"/>
        </w:rPr>
        <w:t>、</w:t>
      </w:r>
      <w:r>
        <w:rPr>
          <w:rFonts w:hint="eastAsia"/>
          <w:spacing w:val="5"/>
          <w:sz w:val="24"/>
          <w:szCs w:val="22"/>
        </w:rPr>
        <w:t>173512.4</w:t>
      </w:r>
      <w:r>
        <w:rPr>
          <w:spacing w:val="5"/>
          <w:sz w:val="24"/>
          <w:szCs w:val="22"/>
        </w:rPr>
        <w:t>m</w:t>
      </w:r>
      <w:r>
        <w:rPr>
          <w:spacing w:val="5"/>
          <w:sz w:val="24"/>
          <w:szCs w:val="22"/>
          <w:vertAlign w:val="superscript"/>
        </w:rPr>
        <w:t>2</w:t>
      </w:r>
      <w:r>
        <w:rPr>
          <w:spacing w:val="5"/>
          <w:sz w:val="24"/>
          <w:szCs w:val="22"/>
        </w:rPr>
        <w:t>，</w:t>
      </w:r>
      <w:r>
        <w:rPr>
          <w:spacing w:val="5"/>
          <w:sz w:val="24"/>
          <w:szCs w:val="22"/>
        </w:rPr>
        <w:t>影响范围</w:t>
      </w:r>
      <w:r>
        <w:rPr>
          <w:spacing w:val="5"/>
          <w:sz w:val="24"/>
          <w:szCs w:val="22"/>
        </w:rPr>
        <w:t>分别</w:t>
      </w:r>
      <w:r>
        <w:rPr>
          <w:spacing w:val="5"/>
          <w:sz w:val="24"/>
          <w:szCs w:val="22"/>
        </w:rPr>
        <w:t>为</w:t>
      </w:r>
      <w:r>
        <w:rPr>
          <w:rFonts w:hint="eastAsia"/>
          <w:spacing w:val="5"/>
          <w:sz w:val="24"/>
          <w:szCs w:val="22"/>
        </w:rPr>
        <w:t>92.30</w:t>
      </w:r>
      <w:r>
        <w:rPr>
          <w:spacing w:val="5"/>
          <w:sz w:val="24"/>
          <w:szCs w:val="22"/>
        </w:rPr>
        <w:t>m</w:t>
      </w:r>
      <w:r>
        <w:rPr>
          <w:spacing w:val="5"/>
          <w:sz w:val="24"/>
          <w:szCs w:val="22"/>
          <w:vertAlign w:val="superscript"/>
        </w:rPr>
        <w:t>2</w:t>
      </w:r>
      <w:r>
        <w:rPr>
          <w:spacing w:val="5"/>
          <w:sz w:val="24"/>
          <w:szCs w:val="22"/>
        </w:rPr>
        <w:t>、</w:t>
      </w:r>
      <w:r>
        <w:rPr>
          <w:rFonts w:hint="eastAsia"/>
          <w:spacing w:val="5"/>
          <w:sz w:val="24"/>
          <w:szCs w:val="22"/>
        </w:rPr>
        <w:t>6498.00</w:t>
      </w:r>
      <w:r>
        <w:rPr>
          <w:spacing w:val="5"/>
          <w:sz w:val="24"/>
          <w:szCs w:val="22"/>
        </w:rPr>
        <w:t>m</w:t>
      </w:r>
      <w:r>
        <w:rPr>
          <w:spacing w:val="5"/>
          <w:sz w:val="24"/>
          <w:szCs w:val="22"/>
          <w:vertAlign w:val="superscript"/>
        </w:rPr>
        <w:t>2</w:t>
      </w:r>
      <w:r>
        <w:rPr>
          <w:spacing w:val="5"/>
          <w:sz w:val="24"/>
          <w:szCs w:val="22"/>
        </w:rPr>
        <w:t>、</w:t>
      </w:r>
      <w:r>
        <w:rPr>
          <w:rFonts w:hint="eastAsia"/>
          <w:spacing w:val="5"/>
          <w:sz w:val="24"/>
          <w:szCs w:val="22"/>
        </w:rPr>
        <w:t>52200.76</w:t>
      </w:r>
      <w:r>
        <w:rPr>
          <w:spacing w:val="5"/>
          <w:sz w:val="24"/>
          <w:szCs w:val="22"/>
        </w:rPr>
        <w:t>m</w:t>
      </w:r>
      <w:r>
        <w:rPr>
          <w:spacing w:val="5"/>
          <w:sz w:val="24"/>
          <w:szCs w:val="22"/>
          <w:vertAlign w:val="superscript"/>
        </w:rPr>
        <w:t>2</w:t>
      </w:r>
      <w:r>
        <w:rPr>
          <w:spacing w:val="5"/>
          <w:sz w:val="24"/>
          <w:szCs w:val="22"/>
        </w:rPr>
        <w:t>、</w:t>
      </w:r>
      <w:r>
        <w:rPr>
          <w:rFonts w:hint="eastAsia"/>
          <w:spacing w:val="5"/>
          <w:sz w:val="24"/>
          <w:szCs w:val="22"/>
        </w:rPr>
        <w:t>225223.02</w:t>
      </w:r>
      <w:r>
        <w:rPr>
          <w:spacing w:val="5"/>
          <w:sz w:val="24"/>
          <w:szCs w:val="22"/>
        </w:rPr>
        <w:t>m</w:t>
      </w:r>
      <w:r>
        <w:rPr>
          <w:spacing w:val="5"/>
          <w:sz w:val="24"/>
          <w:szCs w:val="22"/>
          <w:vertAlign w:val="superscript"/>
        </w:rPr>
        <w:t>2</w:t>
      </w:r>
      <w:r>
        <w:rPr>
          <w:spacing w:val="5"/>
          <w:sz w:val="24"/>
          <w:szCs w:val="22"/>
        </w:rPr>
        <w:t>，</w:t>
      </w:r>
      <w:r>
        <w:rPr>
          <w:snapToGrid w:val="0"/>
          <w:spacing w:val="5"/>
          <w:kern w:val="0"/>
          <w:sz w:val="24"/>
        </w:rPr>
        <w:t>污染物的迁移对地下水有一定影响，</w:t>
      </w:r>
      <w:r>
        <w:rPr>
          <w:spacing w:val="5"/>
          <w:sz w:val="24"/>
          <w:szCs w:val="22"/>
        </w:rPr>
        <w:t>其中</w:t>
      </w:r>
      <w:r>
        <w:rPr>
          <w:spacing w:val="5"/>
          <w:sz w:val="24"/>
          <w:szCs w:val="22"/>
        </w:rPr>
        <w:t>1d</w:t>
      </w:r>
      <w:r>
        <w:rPr>
          <w:spacing w:val="5"/>
          <w:sz w:val="24"/>
          <w:szCs w:val="22"/>
        </w:rPr>
        <w:t>的影响范围在厂界内，不会</w:t>
      </w:r>
      <w:r>
        <w:rPr>
          <w:snapToGrid w:val="0"/>
          <w:spacing w:val="5"/>
          <w:kern w:val="0"/>
          <w:sz w:val="24"/>
        </w:rPr>
        <w:t>影响范围到外环境，各时段的预测影响范围均内无居民饮用水井等地下水环境敏感点。</w:t>
      </w:r>
    </w:p>
    <w:p w:rsidR="00EE4502" w:rsidRDefault="00FD45A3">
      <w:pPr>
        <w:spacing w:line="360" w:lineRule="auto"/>
        <w:ind w:firstLine="522"/>
        <w:rPr>
          <w:sz w:val="24"/>
        </w:rPr>
      </w:pPr>
      <w:r>
        <w:rPr>
          <w:snapToGrid w:val="0"/>
          <w:spacing w:val="5"/>
          <w:kern w:val="0"/>
          <w:sz w:val="24"/>
        </w:rPr>
        <w:t>本</w:t>
      </w:r>
      <w:r>
        <w:rPr>
          <w:rFonts w:hint="eastAsia"/>
          <w:snapToGrid w:val="0"/>
          <w:spacing w:val="5"/>
          <w:kern w:val="0"/>
          <w:sz w:val="24"/>
        </w:rPr>
        <w:t>工程</w:t>
      </w:r>
      <w:r>
        <w:rPr>
          <w:rFonts w:hint="eastAsia"/>
          <w:snapToGrid w:val="0"/>
          <w:spacing w:val="5"/>
          <w:kern w:val="0"/>
          <w:sz w:val="24"/>
        </w:rPr>
        <w:t>井场、</w:t>
      </w:r>
      <w:r>
        <w:rPr>
          <w:bCs/>
          <w:spacing w:val="5"/>
          <w:sz w:val="24"/>
        </w:rPr>
        <w:t>站场采取</w:t>
      </w:r>
      <w:r>
        <w:rPr>
          <w:bCs/>
          <w:spacing w:val="5"/>
          <w:sz w:val="24"/>
        </w:rPr>
        <w:t>了</w:t>
      </w:r>
      <w:r>
        <w:rPr>
          <w:bCs/>
          <w:spacing w:val="5"/>
          <w:sz w:val="24"/>
        </w:rPr>
        <w:t>必要的防渗措施，</w:t>
      </w:r>
      <w:r>
        <w:rPr>
          <w:snapToGrid w:val="0"/>
          <w:spacing w:val="5"/>
          <w:kern w:val="0"/>
          <w:sz w:val="24"/>
        </w:rPr>
        <w:t>发生</w:t>
      </w:r>
      <w:r>
        <w:rPr>
          <w:rFonts w:hint="eastAsia"/>
          <w:snapToGrid w:val="0"/>
          <w:spacing w:val="5"/>
          <w:kern w:val="0"/>
          <w:sz w:val="24"/>
        </w:rPr>
        <w:t>泄漏</w:t>
      </w:r>
      <w:r>
        <w:rPr>
          <w:snapToGrid w:val="0"/>
          <w:spacing w:val="5"/>
          <w:kern w:val="0"/>
          <w:sz w:val="24"/>
        </w:rPr>
        <w:t>后，建设单位立即采取切断措施并及时组织专门力量进行污染物的清除工作，在最短的时间内清除地面及地下的污染物，避免出现泄露的污染物</w:t>
      </w:r>
      <w:r>
        <w:rPr>
          <w:rFonts w:hint="eastAsia"/>
          <w:snapToGrid w:val="0"/>
          <w:spacing w:val="5"/>
          <w:kern w:val="0"/>
          <w:sz w:val="24"/>
        </w:rPr>
        <w:t>进入</w:t>
      </w:r>
      <w:r>
        <w:rPr>
          <w:snapToGrid w:val="0"/>
          <w:spacing w:val="5"/>
          <w:kern w:val="0"/>
          <w:sz w:val="24"/>
        </w:rPr>
        <w:t>地下水并随地下水中迁移，建设单位和施工单位严格按照</w:t>
      </w:r>
      <w:r>
        <w:rPr>
          <w:spacing w:val="5"/>
          <w:kern w:val="0"/>
          <w:sz w:val="24"/>
        </w:rPr>
        <w:t>“</w:t>
      </w:r>
      <w:r>
        <w:rPr>
          <w:spacing w:val="5"/>
          <w:kern w:val="0"/>
          <w:sz w:val="24"/>
        </w:rPr>
        <w:t>源头控制、过程防控、跟踪监测、应急响应</w:t>
      </w:r>
      <w:r>
        <w:rPr>
          <w:spacing w:val="5"/>
          <w:kern w:val="0"/>
          <w:sz w:val="24"/>
        </w:rPr>
        <w:t>”</w:t>
      </w:r>
      <w:r>
        <w:rPr>
          <w:spacing w:val="5"/>
          <w:kern w:val="0"/>
          <w:sz w:val="24"/>
        </w:rPr>
        <w:t>相结合的原则，采取地下水污染</w:t>
      </w:r>
      <w:r>
        <w:rPr>
          <w:spacing w:val="5"/>
          <w:kern w:val="0"/>
          <w:sz w:val="24"/>
        </w:rPr>
        <w:t>防控</w:t>
      </w:r>
      <w:r>
        <w:rPr>
          <w:spacing w:val="5"/>
          <w:kern w:val="0"/>
          <w:sz w:val="24"/>
        </w:rPr>
        <w:t>措施</w:t>
      </w:r>
      <w:r>
        <w:rPr>
          <w:spacing w:val="5"/>
          <w:kern w:val="0"/>
          <w:sz w:val="24"/>
        </w:rPr>
        <w:t>的情况</w:t>
      </w:r>
      <w:r>
        <w:rPr>
          <w:snapToGrid w:val="0"/>
          <w:spacing w:val="5"/>
          <w:kern w:val="0"/>
          <w:sz w:val="24"/>
        </w:rPr>
        <w:t>，非正常状况下，对地下水的影响属可接受范围</w:t>
      </w:r>
      <w:r>
        <w:rPr>
          <w:sz w:val="24"/>
        </w:rPr>
        <w:t>。</w:t>
      </w:r>
    </w:p>
    <w:p w:rsidR="00EE4502" w:rsidRDefault="00FD45A3">
      <w:pPr>
        <w:pStyle w:val="33"/>
        <w:numPr>
          <w:ilvl w:val="2"/>
          <w:numId w:val="30"/>
        </w:numPr>
        <w:spacing w:line="360" w:lineRule="auto"/>
        <w:ind w:left="0" w:firstLine="0"/>
        <w:rPr>
          <w:spacing w:val="0"/>
          <w:sz w:val="24"/>
          <w:szCs w:val="24"/>
        </w:rPr>
      </w:pPr>
      <w:r>
        <w:rPr>
          <w:rFonts w:hint="eastAsia"/>
          <w:spacing w:val="0"/>
          <w:sz w:val="24"/>
          <w:szCs w:val="24"/>
        </w:rPr>
        <w:t>退役期地下水环境影响分析</w:t>
      </w:r>
    </w:p>
    <w:p w:rsidR="00EE4502" w:rsidRDefault="00FD45A3">
      <w:pPr>
        <w:spacing w:line="360" w:lineRule="auto"/>
        <w:ind w:firstLine="522"/>
        <w:rPr>
          <w:sz w:val="24"/>
        </w:rPr>
      </w:pPr>
      <w:r>
        <w:rPr>
          <w:rFonts w:hint="eastAsia"/>
          <w:sz w:val="24"/>
        </w:rPr>
        <w:t>退役期主要污染源是设备拆除、井场清理产生的扬尘和固体废物等，退役期拆除设备时所用的时间较少，施工人员产生的生活污水量较少，产生的生活污水依托周边生活设施处理，不外排，对环境影响较小。退役期井场拆除采油设备，在作业区铺设防渗材料，施工结束后及时清理场地，对地下水环境影响很小。退役期各采油井均使用水泥灌注进行封井，将井筒与地下水含水层彻底隔离，有效避免了污染物进入地下水含水层造成水质污染。</w:t>
      </w:r>
    </w:p>
    <w:p w:rsidR="00EE4502" w:rsidRDefault="00FD45A3">
      <w:pPr>
        <w:spacing w:line="360" w:lineRule="auto"/>
        <w:ind w:firstLine="522"/>
        <w:rPr>
          <w:sz w:val="24"/>
        </w:rPr>
      </w:pPr>
      <w:r>
        <w:rPr>
          <w:rFonts w:hint="eastAsia"/>
          <w:sz w:val="24"/>
        </w:rPr>
        <w:t>综上，退役期无废水外排，在加强环境管理的情况下，一般</w:t>
      </w:r>
      <w:r>
        <w:rPr>
          <w:rFonts w:hint="eastAsia"/>
          <w:sz w:val="24"/>
        </w:rPr>
        <w:t>不会</w:t>
      </w:r>
      <w:r>
        <w:rPr>
          <w:rFonts w:hint="eastAsia"/>
          <w:sz w:val="24"/>
        </w:rPr>
        <w:t>造成周边地下水环境污染。</w:t>
      </w:r>
    </w:p>
    <w:p w:rsidR="00EE4502" w:rsidRDefault="00FD45A3">
      <w:pPr>
        <w:pStyle w:val="33"/>
        <w:numPr>
          <w:ilvl w:val="2"/>
          <w:numId w:val="30"/>
        </w:numPr>
        <w:spacing w:line="360" w:lineRule="auto"/>
        <w:ind w:left="0" w:firstLine="0"/>
        <w:rPr>
          <w:spacing w:val="0"/>
          <w:sz w:val="24"/>
          <w:szCs w:val="24"/>
        </w:rPr>
      </w:pPr>
      <w:r>
        <w:rPr>
          <w:spacing w:val="0"/>
          <w:sz w:val="24"/>
          <w:szCs w:val="24"/>
        </w:rPr>
        <w:t>水环境影响小结</w:t>
      </w:r>
    </w:p>
    <w:p w:rsidR="00EE4502" w:rsidRDefault="00FD45A3">
      <w:pPr>
        <w:spacing w:line="360" w:lineRule="auto"/>
        <w:ind w:firstLine="522"/>
        <w:rPr>
          <w:sz w:val="24"/>
        </w:rPr>
      </w:pPr>
      <w:r>
        <w:rPr>
          <w:rFonts w:hint="eastAsia"/>
          <w:sz w:val="24"/>
        </w:rPr>
        <w:t>（</w:t>
      </w:r>
      <w:r>
        <w:rPr>
          <w:rFonts w:hint="eastAsia"/>
          <w:sz w:val="24"/>
        </w:rPr>
        <w:t>1</w:t>
      </w:r>
      <w:r>
        <w:rPr>
          <w:rFonts w:hint="eastAsia"/>
          <w:sz w:val="24"/>
        </w:rPr>
        <w:t>）在正常状况下，本项</w:t>
      </w:r>
      <w:r>
        <w:rPr>
          <w:rFonts w:hint="eastAsia"/>
          <w:sz w:val="24"/>
        </w:rPr>
        <w:t>目各阶段的废水均不外排，各类废水及固废均得</w:t>
      </w:r>
      <w:r>
        <w:rPr>
          <w:rFonts w:hint="eastAsia"/>
          <w:sz w:val="24"/>
        </w:rPr>
        <w:lastRenderedPageBreak/>
        <w:t>到了妥善处置，本项目在设计、施工和运行时，严把质量验收关，杜绝因管道材质、制管、防腐涂层、焊接缺陷及运行失误而造成管线泄漏。在生产运行过程中，强化监控手段，定期检查检验，检漏控漏，尽量杜绝事故性排放源的存在，本项目对地下水环境的影响较小；钻井采用了套管，采取固井措施，有效防止了钻井液漏失污染地下水。</w:t>
      </w:r>
    </w:p>
    <w:p w:rsidR="00EE4502" w:rsidRDefault="00FD45A3">
      <w:pPr>
        <w:spacing w:line="360" w:lineRule="auto"/>
        <w:ind w:firstLine="522"/>
        <w:rPr>
          <w:sz w:val="24"/>
        </w:rPr>
      </w:pPr>
      <w:r>
        <w:rPr>
          <w:rFonts w:hint="eastAsia"/>
          <w:sz w:val="24"/>
        </w:rPr>
        <w:t>（</w:t>
      </w:r>
      <w:r>
        <w:rPr>
          <w:rFonts w:hint="eastAsia"/>
          <w:sz w:val="24"/>
        </w:rPr>
        <w:t>2</w:t>
      </w:r>
      <w:r>
        <w:rPr>
          <w:rFonts w:hint="eastAsia"/>
          <w:sz w:val="24"/>
        </w:rPr>
        <w:t>）本次地下水评价，对项目运营期在非正常情况的情景进行了预测分析，结果显示：若发生非正常状况，污染物一旦发生泄漏，将会对项目附近区域地下水造成一定影响，发生事故后建设</w:t>
      </w:r>
      <w:r>
        <w:rPr>
          <w:rFonts w:hint="eastAsia"/>
          <w:sz w:val="24"/>
        </w:rPr>
        <w:t>单位及时启动应急预案，切断废水下渗污染源，采取补救措施，可将地下水环境影响降到最低，对地下水环境产生的影响较小。</w:t>
      </w:r>
    </w:p>
    <w:p w:rsidR="00EE4502" w:rsidRDefault="00FD45A3">
      <w:pPr>
        <w:spacing w:line="360" w:lineRule="auto"/>
        <w:ind w:firstLine="522"/>
        <w:rPr>
          <w:sz w:val="24"/>
        </w:rPr>
      </w:pPr>
      <w:r>
        <w:rPr>
          <w:rFonts w:hint="eastAsia"/>
          <w:sz w:val="24"/>
        </w:rPr>
        <w:t>本项目需采取地下水污染防治措施按照“源头控制、分区防渗、跟踪监测、应急响应”相结合的原则，并定期开展地下水跟踪监测，在严格按照地下水污染防护措施后，本项目对区域地下水环境影响可接受</w:t>
      </w:r>
      <w:r>
        <w:rPr>
          <w:rFonts w:hint="eastAsia"/>
          <w:sz w:val="24"/>
        </w:rPr>
        <w:t>。</w:t>
      </w:r>
    </w:p>
    <w:p w:rsidR="00EE4502" w:rsidRDefault="00FD45A3">
      <w:pPr>
        <w:pStyle w:val="22"/>
        <w:numPr>
          <w:ilvl w:val="1"/>
          <w:numId w:val="30"/>
        </w:numPr>
        <w:rPr>
          <w:spacing w:val="0"/>
          <w:w w:val="100"/>
        </w:rPr>
      </w:pPr>
      <w:bookmarkStart w:id="216" w:name="_Toc18051"/>
      <w:r>
        <w:rPr>
          <w:rFonts w:hint="eastAsia"/>
          <w:spacing w:val="0"/>
          <w:w w:val="100"/>
        </w:rPr>
        <w:t>地表水环境影响评价</w:t>
      </w:r>
      <w:bookmarkEnd w:id="216"/>
    </w:p>
    <w:p w:rsidR="00EE4502" w:rsidRDefault="00FD45A3">
      <w:pPr>
        <w:spacing w:line="360" w:lineRule="auto"/>
        <w:ind w:firstLine="505"/>
        <w:rPr>
          <w:sz w:val="24"/>
        </w:rPr>
      </w:pPr>
      <w:r>
        <w:rPr>
          <w:rFonts w:hint="eastAsia"/>
          <w:sz w:val="24"/>
        </w:rPr>
        <w:t>按照《环境影响评价技术导则</w:t>
      </w:r>
      <w:r>
        <w:rPr>
          <w:rFonts w:hint="eastAsia"/>
          <w:sz w:val="24"/>
        </w:rPr>
        <w:t xml:space="preserve"> </w:t>
      </w:r>
      <w:r>
        <w:rPr>
          <w:rFonts w:hint="eastAsia"/>
          <w:sz w:val="24"/>
        </w:rPr>
        <w:t>地表水环境》</w:t>
      </w:r>
      <w:r>
        <w:rPr>
          <w:rFonts w:hint="eastAsia"/>
          <w:sz w:val="24"/>
        </w:rPr>
        <w:t>(HJ2.3-2018</w:t>
      </w:r>
      <w:r>
        <w:rPr>
          <w:rFonts w:hint="eastAsia"/>
          <w:sz w:val="24"/>
        </w:rPr>
        <w:t>）</w:t>
      </w:r>
      <w:r>
        <w:rPr>
          <w:rFonts w:hint="eastAsia"/>
          <w:sz w:val="24"/>
        </w:rPr>
        <w:t>中表</w:t>
      </w:r>
      <w:r>
        <w:rPr>
          <w:rFonts w:hint="eastAsia"/>
          <w:sz w:val="24"/>
        </w:rPr>
        <w:t>1</w:t>
      </w:r>
      <w:r>
        <w:rPr>
          <w:rFonts w:hint="eastAsia"/>
          <w:sz w:val="24"/>
        </w:rPr>
        <w:t>水污染影响型建设项目评价等级判定，判定本项目地表水环境评价等级为三级</w:t>
      </w:r>
      <w:r>
        <w:rPr>
          <w:rFonts w:hint="eastAsia"/>
          <w:sz w:val="24"/>
        </w:rPr>
        <w:t>B</w:t>
      </w:r>
      <w:r>
        <w:rPr>
          <w:rFonts w:hint="eastAsia"/>
          <w:sz w:val="24"/>
        </w:rPr>
        <w:t>。重点论证项目废水综合利用不外排的可行性和可靠性。</w:t>
      </w:r>
    </w:p>
    <w:p w:rsidR="00EE4502" w:rsidRDefault="00FD45A3">
      <w:pPr>
        <w:keepNext/>
        <w:keepLines/>
        <w:numPr>
          <w:ilvl w:val="2"/>
          <w:numId w:val="30"/>
        </w:numPr>
        <w:spacing w:line="360" w:lineRule="auto"/>
        <w:outlineLvl w:val="2"/>
        <w:rPr>
          <w:rFonts w:eastAsia="黑体"/>
          <w:sz w:val="24"/>
        </w:rPr>
      </w:pPr>
      <w:r>
        <w:rPr>
          <w:rFonts w:eastAsia="黑体" w:hint="eastAsia"/>
          <w:sz w:val="24"/>
        </w:rPr>
        <w:t>施工期地表水环境影响分析</w:t>
      </w:r>
    </w:p>
    <w:p w:rsidR="00EE4502" w:rsidRDefault="00FD45A3">
      <w:pPr>
        <w:spacing w:line="360" w:lineRule="auto"/>
        <w:ind w:firstLine="505"/>
        <w:rPr>
          <w:sz w:val="24"/>
        </w:rPr>
      </w:pPr>
      <w:r>
        <w:rPr>
          <w:rFonts w:hint="eastAsia"/>
          <w:sz w:val="24"/>
        </w:rPr>
        <w:t>在施工期，对地表水环境可能造成影响的污染源为生活污水、管道试压废水、钻井废水。</w:t>
      </w:r>
    </w:p>
    <w:p w:rsidR="00EE4502" w:rsidRDefault="00FD45A3">
      <w:pPr>
        <w:spacing w:line="360" w:lineRule="auto"/>
        <w:ind w:firstLine="505"/>
        <w:rPr>
          <w:sz w:val="24"/>
        </w:rPr>
      </w:pPr>
      <w:r>
        <w:rPr>
          <w:rFonts w:hint="eastAsia"/>
          <w:sz w:val="24"/>
        </w:rPr>
        <w:t>（</w:t>
      </w:r>
      <w:r>
        <w:rPr>
          <w:rFonts w:hint="eastAsia"/>
          <w:sz w:val="24"/>
        </w:rPr>
        <w:t>1</w:t>
      </w:r>
      <w:r>
        <w:rPr>
          <w:rFonts w:hint="eastAsia"/>
          <w:sz w:val="24"/>
        </w:rPr>
        <w:t>）生活污水</w:t>
      </w:r>
    </w:p>
    <w:p w:rsidR="00EE4502" w:rsidRDefault="00FD45A3">
      <w:pPr>
        <w:spacing w:line="360" w:lineRule="auto"/>
        <w:ind w:firstLine="505"/>
        <w:rPr>
          <w:sz w:val="24"/>
        </w:rPr>
      </w:pPr>
      <w:r>
        <w:rPr>
          <w:rFonts w:hint="eastAsia"/>
          <w:sz w:val="24"/>
        </w:rPr>
        <w:t>依托春风油田内钻井队已建的生活区，钻井队生活污水由克拉玛依前山石油工程服务有限公司定期清运，不外排。</w:t>
      </w:r>
    </w:p>
    <w:p w:rsidR="00EE4502" w:rsidRDefault="00FD45A3">
      <w:pPr>
        <w:spacing w:line="360" w:lineRule="auto"/>
        <w:ind w:firstLine="505"/>
        <w:rPr>
          <w:sz w:val="24"/>
        </w:rPr>
      </w:pPr>
      <w:r>
        <w:rPr>
          <w:rFonts w:hint="eastAsia"/>
          <w:sz w:val="24"/>
        </w:rPr>
        <w:t>（</w:t>
      </w:r>
      <w:r>
        <w:rPr>
          <w:rFonts w:hint="eastAsia"/>
          <w:sz w:val="24"/>
        </w:rPr>
        <w:t>2</w:t>
      </w:r>
      <w:r>
        <w:rPr>
          <w:rFonts w:hint="eastAsia"/>
          <w:sz w:val="24"/>
        </w:rPr>
        <w:t>）钻井废水</w:t>
      </w:r>
    </w:p>
    <w:p w:rsidR="00EE4502" w:rsidRDefault="00FD45A3">
      <w:pPr>
        <w:spacing w:line="360" w:lineRule="auto"/>
        <w:ind w:firstLine="505"/>
        <w:rPr>
          <w:sz w:val="24"/>
        </w:rPr>
      </w:pPr>
      <w:r>
        <w:rPr>
          <w:rFonts w:hint="eastAsia"/>
          <w:sz w:val="24"/>
        </w:rPr>
        <w:t>本工程钻井施工过程中采用“钻井废弃物不落地达标处理技术”，钻井废水与钻井泥浆、岩屑一同进入不落地处理系统处理，处理后的液相全部回用于配备钻井液，不外排。本工程钻井采用了套管，采取固井措施，有效防止了钻井液漏失污染地下水；钻井废水由泥浆不落地系统收集，不外排，对水环境影响很小。</w:t>
      </w:r>
    </w:p>
    <w:p w:rsidR="00EE4502" w:rsidRDefault="00FD45A3">
      <w:pPr>
        <w:spacing w:line="360" w:lineRule="auto"/>
        <w:ind w:firstLine="505"/>
        <w:rPr>
          <w:sz w:val="24"/>
        </w:rPr>
      </w:pPr>
      <w:r>
        <w:rPr>
          <w:rFonts w:hint="eastAsia"/>
          <w:sz w:val="24"/>
        </w:rPr>
        <w:t>（</w:t>
      </w:r>
      <w:r>
        <w:rPr>
          <w:rFonts w:hint="eastAsia"/>
          <w:sz w:val="24"/>
        </w:rPr>
        <w:t>3</w:t>
      </w:r>
      <w:r>
        <w:rPr>
          <w:rFonts w:hint="eastAsia"/>
          <w:sz w:val="24"/>
        </w:rPr>
        <w:t>）管道试压废水</w:t>
      </w:r>
    </w:p>
    <w:p w:rsidR="00EE4502" w:rsidRDefault="00FD45A3">
      <w:pPr>
        <w:spacing w:line="360" w:lineRule="auto"/>
        <w:ind w:firstLine="505"/>
        <w:rPr>
          <w:sz w:val="24"/>
        </w:rPr>
      </w:pPr>
      <w:r>
        <w:rPr>
          <w:rFonts w:hint="eastAsia"/>
          <w:sz w:val="24"/>
        </w:rPr>
        <w:t>本项目管道分段试压，一般采用无腐蚀性的清洁水。试压水由管道排出由罐收集后，进入下一段管道循环使用，试压结束沉淀后用于区域洒水降尘，不外排。</w:t>
      </w:r>
    </w:p>
    <w:p w:rsidR="00EE4502" w:rsidRDefault="00FD45A3">
      <w:pPr>
        <w:spacing w:line="360" w:lineRule="auto"/>
        <w:ind w:firstLine="505"/>
        <w:rPr>
          <w:kern w:val="24"/>
          <w:sz w:val="24"/>
        </w:rPr>
      </w:pPr>
      <w:r>
        <w:rPr>
          <w:rFonts w:hint="eastAsia"/>
          <w:kern w:val="24"/>
          <w:sz w:val="24"/>
        </w:rPr>
        <w:lastRenderedPageBreak/>
        <w:t>本项目施工期间废水全部妥善处理，由于项目区附近无地表水体，项目开发建设、运</w:t>
      </w:r>
      <w:r>
        <w:rPr>
          <w:rFonts w:hint="eastAsia"/>
          <w:kern w:val="24"/>
          <w:sz w:val="24"/>
        </w:rPr>
        <w:t>营产生废水也不排入地表水体，因此，本项目在施工期对区域地表水体不产生影响。</w:t>
      </w:r>
    </w:p>
    <w:p w:rsidR="00EE4502" w:rsidRDefault="00FD45A3">
      <w:pPr>
        <w:keepNext/>
        <w:keepLines/>
        <w:numPr>
          <w:ilvl w:val="2"/>
          <w:numId w:val="30"/>
        </w:numPr>
        <w:spacing w:line="360" w:lineRule="auto"/>
        <w:outlineLvl w:val="2"/>
        <w:rPr>
          <w:rFonts w:eastAsia="黑体"/>
          <w:sz w:val="24"/>
        </w:rPr>
      </w:pPr>
      <w:r>
        <w:rPr>
          <w:rFonts w:eastAsia="黑体" w:hint="eastAsia"/>
          <w:sz w:val="24"/>
        </w:rPr>
        <w:t>运营期地表水环境影响评价</w:t>
      </w:r>
    </w:p>
    <w:p w:rsidR="00EE4502" w:rsidRDefault="00FD45A3">
      <w:pPr>
        <w:spacing w:line="360" w:lineRule="auto"/>
        <w:ind w:firstLine="505"/>
        <w:rPr>
          <w:kern w:val="24"/>
          <w:sz w:val="24"/>
        </w:rPr>
      </w:pPr>
      <w:r>
        <w:rPr>
          <w:rFonts w:hint="eastAsia"/>
          <w:kern w:val="24"/>
          <w:sz w:val="24"/>
        </w:rPr>
        <w:t>根据工程分析，本工程运营期产生的废水主要有采出水、井下作业废水。</w:t>
      </w:r>
    </w:p>
    <w:p w:rsidR="00EE4502" w:rsidRDefault="00FD45A3">
      <w:pPr>
        <w:spacing w:line="360" w:lineRule="auto"/>
        <w:ind w:firstLine="505"/>
        <w:rPr>
          <w:kern w:val="24"/>
          <w:sz w:val="24"/>
        </w:rPr>
      </w:pPr>
      <w:r>
        <w:rPr>
          <w:rFonts w:hint="eastAsia"/>
          <w:kern w:val="24"/>
          <w:sz w:val="24"/>
        </w:rPr>
        <w:t>项目生产废水主要为采出水、井下作业废水，主要污染物为石油类、盐类、耗氧量、氨氮、盐分等。采出水、井下作业废水均依托春风二号联合站处理。</w:t>
      </w:r>
    </w:p>
    <w:p w:rsidR="00EE4502" w:rsidRDefault="00FD45A3">
      <w:pPr>
        <w:spacing w:line="360" w:lineRule="auto"/>
        <w:ind w:firstLine="505"/>
        <w:rPr>
          <w:kern w:val="24"/>
          <w:sz w:val="24"/>
        </w:rPr>
      </w:pPr>
      <w:r>
        <w:rPr>
          <w:rFonts w:hint="eastAsia"/>
          <w:kern w:val="24"/>
          <w:sz w:val="24"/>
        </w:rPr>
        <w:t>本工程生产废水依托已运行的春风二号联合站污水处理系统进行处理，经春风二号联合站处理后的采出水，</w:t>
      </w:r>
      <w:r>
        <w:rPr>
          <w:rFonts w:hint="eastAsia"/>
          <w:kern w:val="24"/>
          <w:sz w:val="24"/>
        </w:rPr>
        <w:t>进入</w:t>
      </w:r>
      <w:r>
        <w:rPr>
          <w:rFonts w:hint="eastAsia"/>
          <w:kern w:val="24"/>
          <w:sz w:val="24"/>
        </w:rPr>
        <w:t>春风油田含油污水资源化处理站，经“二级澄清</w:t>
      </w:r>
      <w:r>
        <w:rPr>
          <w:rFonts w:hint="eastAsia"/>
          <w:kern w:val="24"/>
          <w:sz w:val="24"/>
        </w:rPr>
        <w:t>+</w:t>
      </w:r>
      <w:r>
        <w:rPr>
          <w:rFonts w:hint="eastAsia"/>
          <w:kern w:val="24"/>
          <w:sz w:val="24"/>
        </w:rPr>
        <w:t>二级过滤</w:t>
      </w:r>
      <w:r>
        <w:rPr>
          <w:rFonts w:hint="eastAsia"/>
          <w:kern w:val="24"/>
          <w:sz w:val="24"/>
        </w:rPr>
        <w:t>+</w:t>
      </w:r>
      <w:r>
        <w:rPr>
          <w:rFonts w:hint="eastAsia"/>
          <w:kern w:val="24"/>
          <w:sz w:val="24"/>
        </w:rPr>
        <w:t>机械压缩蒸发</w:t>
      </w:r>
      <w:r>
        <w:rPr>
          <w:rFonts w:hint="eastAsia"/>
          <w:kern w:val="24"/>
          <w:sz w:val="24"/>
        </w:rPr>
        <w:t>（</w:t>
      </w:r>
      <w:r>
        <w:rPr>
          <w:rFonts w:hint="eastAsia"/>
          <w:kern w:val="24"/>
          <w:sz w:val="24"/>
        </w:rPr>
        <w:t>MVC)</w:t>
      </w:r>
      <w:r>
        <w:rPr>
          <w:rFonts w:hint="eastAsia"/>
          <w:kern w:val="24"/>
          <w:sz w:val="24"/>
        </w:rPr>
        <w:t>”工艺处理后，满足注汽锅炉进水水质</w:t>
      </w:r>
      <w:r>
        <w:rPr>
          <w:rFonts w:hint="eastAsia"/>
          <w:kern w:val="24"/>
          <w:sz w:val="24"/>
        </w:rPr>
        <w:t>要求后用于注汽用水，多余尾水满足《碎屑岩油藏注水水质指标技术要求及分析方法》（</w:t>
      </w:r>
      <w:r>
        <w:rPr>
          <w:rFonts w:hint="eastAsia"/>
          <w:kern w:val="24"/>
          <w:sz w:val="24"/>
        </w:rPr>
        <w:t>SY/T5329-2022</w:t>
      </w:r>
      <w:r>
        <w:rPr>
          <w:rFonts w:hint="eastAsia"/>
          <w:kern w:val="24"/>
          <w:sz w:val="24"/>
        </w:rPr>
        <w:t>）中回注用水水质标准后进入回注系统，回注油层。二号联合站采出水处理系统设计处理能力</w:t>
      </w:r>
      <w:r>
        <w:rPr>
          <w:rFonts w:hint="eastAsia"/>
          <w:kern w:val="24"/>
          <w:sz w:val="24"/>
        </w:rPr>
        <w:t>10000m</w:t>
      </w:r>
      <w:r>
        <w:rPr>
          <w:rFonts w:hint="eastAsia"/>
          <w:kern w:val="24"/>
          <w:sz w:val="24"/>
        </w:rPr>
        <w:t>³</w:t>
      </w:r>
      <w:r>
        <w:rPr>
          <w:rFonts w:hint="eastAsia"/>
          <w:kern w:val="24"/>
          <w:sz w:val="24"/>
        </w:rPr>
        <w:t>/d</w:t>
      </w:r>
      <w:r>
        <w:rPr>
          <w:rFonts w:hint="eastAsia"/>
          <w:kern w:val="24"/>
          <w:sz w:val="24"/>
        </w:rPr>
        <w:t>，现状处理水量</w:t>
      </w:r>
      <w:r>
        <w:rPr>
          <w:rFonts w:hint="eastAsia"/>
          <w:kern w:val="24"/>
          <w:sz w:val="24"/>
        </w:rPr>
        <w:t>7560m</w:t>
      </w:r>
      <w:r>
        <w:rPr>
          <w:rFonts w:hint="eastAsia"/>
          <w:kern w:val="24"/>
          <w:sz w:val="24"/>
        </w:rPr>
        <w:t>³</w:t>
      </w:r>
      <w:r>
        <w:rPr>
          <w:rFonts w:hint="eastAsia"/>
          <w:kern w:val="24"/>
          <w:sz w:val="24"/>
        </w:rPr>
        <w:t>/d</w:t>
      </w:r>
      <w:r>
        <w:rPr>
          <w:rFonts w:hint="eastAsia"/>
          <w:kern w:val="24"/>
          <w:sz w:val="24"/>
        </w:rPr>
        <w:t>，可满足本项目处理需求。</w:t>
      </w:r>
    </w:p>
    <w:p w:rsidR="00EE4502" w:rsidRDefault="00FD45A3">
      <w:pPr>
        <w:spacing w:line="360" w:lineRule="auto"/>
        <w:ind w:firstLine="505"/>
        <w:rPr>
          <w:kern w:val="24"/>
          <w:sz w:val="24"/>
        </w:rPr>
      </w:pPr>
      <w:r>
        <w:rPr>
          <w:rFonts w:hint="eastAsia"/>
          <w:kern w:val="24"/>
          <w:sz w:val="24"/>
        </w:rPr>
        <w:t>采取上述水污染控制措施后，项目废水不外排，本项目采出水及井下作业废液不会对周边水环境产生影响。水污染控制和水环境影响减缓措施有效，对水环境的影响较小。</w:t>
      </w:r>
    </w:p>
    <w:p w:rsidR="00EE4502" w:rsidRDefault="00FD45A3">
      <w:pPr>
        <w:keepNext/>
        <w:keepLines/>
        <w:numPr>
          <w:ilvl w:val="2"/>
          <w:numId w:val="30"/>
        </w:numPr>
        <w:spacing w:line="360" w:lineRule="auto"/>
        <w:outlineLvl w:val="2"/>
        <w:rPr>
          <w:rFonts w:eastAsia="黑体"/>
          <w:sz w:val="24"/>
        </w:rPr>
      </w:pPr>
      <w:r>
        <w:rPr>
          <w:rFonts w:eastAsia="黑体" w:hint="eastAsia"/>
          <w:sz w:val="24"/>
        </w:rPr>
        <w:t>退役期地表水环境影响分析</w:t>
      </w:r>
    </w:p>
    <w:p w:rsidR="00EE4502" w:rsidRDefault="00FD45A3">
      <w:pPr>
        <w:spacing w:line="360" w:lineRule="auto"/>
        <w:ind w:firstLine="505"/>
        <w:rPr>
          <w:kern w:val="24"/>
          <w:sz w:val="24"/>
        </w:rPr>
      </w:pPr>
      <w:r>
        <w:rPr>
          <w:rFonts w:hint="eastAsia"/>
          <w:kern w:val="24"/>
          <w:sz w:val="24"/>
        </w:rPr>
        <w:t>项目退役期拆除设备、封井和清理井场时，施工时间较短，施工人员产生的生活污水</w:t>
      </w:r>
      <w:r>
        <w:rPr>
          <w:rFonts w:hint="eastAsia"/>
          <w:kern w:val="24"/>
          <w:sz w:val="24"/>
        </w:rPr>
        <w:t>量较少，依托施工区域周边生活设施处理，不外排，对周围水环境影响较小。</w:t>
      </w:r>
    </w:p>
    <w:p w:rsidR="00EE4502" w:rsidRDefault="00FD45A3">
      <w:pPr>
        <w:keepNext/>
        <w:keepLines/>
        <w:numPr>
          <w:ilvl w:val="2"/>
          <w:numId w:val="30"/>
        </w:numPr>
        <w:spacing w:line="360" w:lineRule="auto"/>
        <w:outlineLvl w:val="2"/>
        <w:rPr>
          <w:rFonts w:eastAsia="黑体"/>
          <w:sz w:val="24"/>
        </w:rPr>
      </w:pPr>
      <w:r>
        <w:rPr>
          <w:rFonts w:eastAsia="黑体" w:hint="eastAsia"/>
          <w:sz w:val="24"/>
        </w:rPr>
        <w:t>地表水环境评价结论</w:t>
      </w:r>
    </w:p>
    <w:p w:rsidR="00EE4502" w:rsidRDefault="00FD45A3">
      <w:pPr>
        <w:spacing w:line="360" w:lineRule="auto"/>
        <w:ind w:firstLine="505"/>
        <w:rPr>
          <w:kern w:val="24"/>
          <w:sz w:val="24"/>
        </w:rPr>
      </w:pPr>
      <w:r>
        <w:rPr>
          <w:rFonts w:hint="eastAsia"/>
          <w:kern w:val="24"/>
          <w:sz w:val="24"/>
        </w:rPr>
        <w:t>拟建工程施工期、运营期、退役期产生的各类废水不外排，各类管道输送过程密闭输送，且项目场地及周边临近区域无地表水体分布，因此拟建工程的建设不会对地表水环境产生影响。</w:t>
      </w:r>
    </w:p>
    <w:p w:rsidR="00EE4502" w:rsidRDefault="00FD45A3">
      <w:pPr>
        <w:keepNext/>
        <w:keepLines/>
        <w:numPr>
          <w:ilvl w:val="2"/>
          <w:numId w:val="30"/>
        </w:numPr>
        <w:spacing w:line="360" w:lineRule="auto"/>
        <w:outlineLvl w:val="2"/>
        <w:rPr>
          <w:rFonts w:eastAsia="黑体"/>
          <w:sz w:val="24"/>
        </w:rPr>
      </w:pPr>
      <w:r>
        <w:rPr>
          <w:rFonts w:eastAsia="黑体" w:hint="eastAsia"/>
          <w:sz w:val="24"/>
        </w:rPr>
        <w:t>地表水环境影响评价自查表</w:t>
      </w:r>
    </w:p>
    <w:p w:rsidR="00EE4502" w:rsidRDefault="00FD45A3">
      <w:pPr>
        <w:ind w:firstLine="480"/>
      </w:pPr>
      <w:r>
        <w:t>项目地表水环境影响评价自查表见表</w:t>
      </w:r>
      <w:r>
        <w:t>5</w:t>
      </w:r>
      <w:r>
        <w:rPr>
          <w:rFonts w:hint="eastAsia"/>
        </w:rPr>
        <w:t>-</w:t>
      </w:r>
      <w:r>
        <w:t>3-1</w:t>
      </w:r>
      <w:r>
        <w:t>。</w:t>
      </w:r>
    </w:p>
    <w:p w:rsidR="00EE4502" w:rsidRDefault="00FD45A3">
      <w:pPr>
        <w:jc w:val="center"/>
        <w:rPr>
          <w:rFonts w:eastAsia="黑体"/>
          <w:bCs/>
          <w:spacing w:val="5"/>
          <w:sz w:val="22"/>
          <w:szCs w:val="21"/>
        </w:rPr>
      </w:pPr>
      <w:r>
        <w:rPr>
          <w:rFonts w:eastAsia="黑体"/>
          <w:bCs/>
          <w:spacing w:val="5"/>
          <w:sz w:val="22"/>
          <w:szCs w:val="21"/>
        </w:rPr>
        <w:t>表</w:t>
      </w:r>
      <w:r>
        <w:rPr>
          <w:rFonts w:eastAsia="黑体"/>
          <w:bCs/>
          <w:spacing w:val="5"/>
          <w:sz w:val="22"/>
          <w:szCs w:val="21"/>
        </w:rPr>
        <w:t>5</w:t>
      </w:r>
      <w:r>
        <w:rPr>
          <w:rFonts w:eastAsia="黑体" w:hint="eastAsia"/>
          <w:bCs/>
          <w:spacing w:val="5"/>
          <w:sz w:val="22"/>
          <w:szCs w:val="21"/>
        </w:rPr>
        <w:t>-</w:t>
      </w:r>
      <w:r>
        <w:rPr>
          <w:rFonts w:eastAsia="黑体"/>
          <w:bCs/>
          <w:spacing w:val="5"/>
          <w:sz w:val="22"/>
          <w:szCs w:val="21"/>
        </w:rPr>
        <w:t>3</w:t>
      </w:r>
      <w:r>
        <w:rPr>
          <w:rFonts w:eastAsia="黑体"/>
          <w:bCs/>
          <w:spacing w:val="5"/>
          <w:sz w:val="22"/>
          <w:szCs w:val="21"/>
        </w:rPr>
        <w:t xml:space="preserve">-1      </w:t>
      </w:r>
      <w:r>
        <w:rPr>
          <w:rFonts w:eastAsia="黑体"/>
          <w:bCs/>
          <w:spacing w:val="5"/>
          <w:sz w:val="22"/>
          <w:szCs w:val="21"/>
        </w:rPr>
        <w:t>地表水环境影响评价自查表</w:t>
      </w:r>
    </w:p>
    <w:tbl>
      <w:tblPr>
        <w:tblW w:w="49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12"/>
        <w:gridCol w:w="942"/>
        <w:gridCol w:w="3463"/>
        <w:gridCol w:w="3412"/>
      </w:tblGrid>
      <w:tr w:rsidR="00EE4502">
        <w:trPr>
          <w:trHeight w:val="425"/>
          <w:jc w:val="center"/>
        </w:trPr>
        <w:tc>
          <w:tcPr>
            <w:tcW w:w="872" w:type="pct"/>
            <w:gridSpan w:val="2"/>
            <w:vAlign w:val="center"/>
          </w:tcPr>
          <w:p w:rsidR="00EE4502" w:rsidRDefault="00FD45A3">
            <w:r>
              <w:t>工作内容</w:t>
            </w:r>
          </w:p>
        </w:tc>
        <w:tc>
          <w:tcPr>
            <w:tcW w:w="4127" w:type="pct"/>
            <w:gridSpan w:val="2"/>
            <w:vAlign w:val="center"/>
          </w:tcPr>
          <w:p w:rsidR="00EE4502" w:rsidRDefault="00FD45A3">
            <w:r>
              <w:t>自查项目</w:t>
            </w:r>
          </w:p>
        </w:tc>
      </w:tr>
      <w:tr w:rsidR="00EE4502">
        <w:trPr>
          <w:trHeight w:val="425"/>
          <w:jc w:val="center"/>
        </w:trPr>
        <w:tc>
          <w:tcPr>
            <w:tcW w:w="307" w:type="pct"/>
            <w:vMerge w:val="restart"/>
            <w:vAlign w:val="center"/>
          </w:tcPr>
          <w:p w:rsidR="00EE4502" w:rsidRDefault="00FD45A3">
            <w:r>
              <w:t>影响</w:t>
            </w:r>
            <w:r>
              <w:lastRenderedPageBreak/>
              <w:t>识别</w:t>
            </w:r>
          </w:p>
        </w:tc>
        <w:tc>
          <w:tcPr>
            <w:tcW w:w="564" w:type="pct"/>
            <w:vAlign w:val="center"/>
          </w:tcPr>
          <w:p w:rsidR="00EE4502" w:rsidRDefault="00FD45A3">
            <w:r>
              <w:lastRenderedPageBreak/>
              <w:t>影响类型</w:t>
            </w:r>
          </w:p>
        </w:tc>
        <w:tc>
          <w:tcPr>
            <w:tcW w:w="4127" w:type="pct"/>
            <w:gridSpan w:val="2"/>
            <w:vAlign w:val="center"/>
          </w:tcPr>
          <w:p w:rsidR="00EE4502" w:rsidRDefault="00FD45A3">
            <w:r>
              <w:t>水污染影响型</w:t>
            </w:r>
            <w:r>
              <w:t>☑</w:t>
            </w:r>
            <w:r>
              <w:t>；水文要素影响型</w:t>
            </w:r>
            <w:r>
              <w:t>□</w:t>
            </w:r>
          </w:p>
        </w:tc>
      </w:tr>
      <w:tr w:rsidR="00EE4502">
        <w:trPr>
          <w:trHeight w:val="425"/>
          <w:jc w:val="center"/>
        </w:trPr>
        <w:tc>
          <w:tcPr>
            <w:tcW w:w="307" w:type="pct"/>
            <w:vMerge/>
            <w:vAlign w:val="center"/>
          </w:tcPr>
          <w:p w:rsidR="00EE4502" w:rsidRDefault="00EE4502"/>
        </w:tc>
        <w:tc>
          <w:tcPr>
            <w:tcW w:w="564" w:type="pct"/>
            <w:vAlign w:val="center"/>
          </w:tcPr>
          <w:p w:rsidR="00EE4502" w:rsidRDefault="00FD45A3">
            <w:r>
              <w:t>水环境保护目标</w:t>
            </w:r>
          </w:p>
        </w:tc>
        <w:tc>
          <w:tcPr>
            <w:tcW w:w="4127" w:type="pct"/>
            <w:gridSpan w:val="2"/>
            <w:vAlign w:val="center"/>
          </w:tcPr>
          <w:p w:rsidR="00EE4502" w:rsidRDefault="00FD45A3">
            <w:r>
              <w:t>饮用水水源保护区</w:t>
            </w:r>
            <w:r>
              <w:t>□</w:t>
            </w:r>
            <w:r>
              <w:t>；饮用水取水</w:t>
            </w:r>
            <w:r>
              <w:t>□</w:t>
            </w:r>
            <w:r>
              <w:t>；涉水的自然保护区</w:t>
            </w:r>
            <w:r>
              <w:t>□</w:t>
            </w:r>
            <w:r>
              <w:t>；重要湿地</w:t>
            </w:r>
            <w:r>
              <w:t>□</w:t>
            </w:r>
          </w:p>
          <w:p w:rsidR="00EE4502" w:rsidRDefault="00FD45A3">
            <w:r>
              <w:t>重点保护与珍稀水生生物的栖息地</w:t>
            </w:r>
            <w:r>
              <w:t>□</w:t>
            </w:r>
            <w:r>
              <w:t>；重要水生生物的自然产卵场及索饵场、越冬场和洄游通道、天然渔场等渔业水体</w:t>
            </w:r>
            <w:r>
              <w:t>□</w:t>
            </w:r>
            <w:r>
              <w:t>；涉水的风景名胜区</w:t>
            </w:r>
            <w:r>
              <w:t>□</w:t>
            </w:r>
            <w:r>
              <w:t>；其他</w:t>
            </w:r>
            <w:r>
              <w:sym w:font="Wingdings 2" w:char="00A3"/>
            </w:r>
          </w:p>
        </w:tc>
      </w:tr>
      <w:tr w:rsidR="00EE4502">
        <w:trPr>
          <w:trHeight w:val="425"/>
          <w:jc w:val="center"/>
        </w:trPr>
        <w:tc>
          <w:tcPr>
            <w:tcW w:w="307" w:type="pct"/>
            <w:vMerge/>
            <w:vAlign w:val="center"/>
          </w:tcPr>
          <w:p w:rsidR="00EE4502" w:rsidRDefault="00EE4502"/>
        </w:tc>
        <w:tc>
          <w:tcPr>
            <w:tcW w:w="564" w:type="pct"/>
            <w:vMerge w:val="restart"/>
            <w:vAlign w:val="center"/>
          </w:tcPr>
          <w:p w:rsidR="00EE4502" w:rsidRDefault="00FD45A3">
            <w:r>
              <w:t>影响途径</w:t>
            </w:r>
          </w:p>
        </w:tc>
        <w:tc>
          <w:tcPr>
            <w:tcW w:w="2079" w:type="pct"/>
            <w:vAlign w:val="center"/>
          </w:tcPr>
          <w:p w:rsidR="00EE4502" w:rsidRDefault="00FD45A3">
            <w:r>
              <w:t>水污染影响型</w:t>
            </w:r>
          </w:p>
        </w:tc>
        <w:tc>
          <w:tcPr>
            <w:tcW w:w="2048" w:type="pct"/>
            <w:vAlign w:val="center"/>
          </w:tcPr>
          <w:p w:rsidR="00EE4502" w:rsidRDefault="00FD45A3">
            <w:r>
              <w:t>水文要素影响型</w:t>
            </w:r>
          </w:p>
        </w:tc>
      </w:tr>
      <w:tr w:rsidR="00EE4502">
        <w:trPr>
          <w:trHeight w:val="425"/>
          <w:jc w:val="center"/>
        </w:trPr>
        <w:tc>
          <w:tcPr>
            <w:tcW w:w="307" w:type="pct"/>
            <w:vMerge/>
            <w:vAlign w:val="center"/>
          </w:tcPr>
          <w:p w:rsidR="00EE4502" w:rsidRDefault="00EE4502"/>
        </w:tc>
        <w:tc>
          <w:tcPr>
            <w:tcW w:w="564" w:type="pct"/>
            <w:vMerge/>
            <w:vAlign w:val="center"/>
          </w:tcPr>
          <w:p w:rsidR="00EE4502" w:rsidRDefault="00EE4502"/>
        </w:tc>
        <w:tc>
          <w:tcPr>
            <w:tcW w:w="2079" w:type="pct"/>
            <w:vAlign w:val="center"/>
          </w:tcPr>
          <w:p w:rsidR="00EE4502" w:rsidRDefault="00FD45A3">
            <w:r>
              <w:t>直接排放</w:t>
            </w:r>
            <w:r>
              <w:t>□</w:t>
            </w:r>
            <w:r>
              <w:t>；间接排放</w:t>
            </w:r>
            <w:r>
              <w:t>☑</w:t>
            </w:r>
            <w:r>
              <w:t>；其他</w:t>
            </w:r>
            <w:r>
              <w:t>□</w:t>
            </w:r>
          </w:p>
        </w:tc>
        <w:tc>
          <w:tcPr>
            <w:tcW w:w="2048" w:type="pct"/>
            <w:vAlign w:val="center"/>
          </w:tcPr>
          <w:p w:rsidR="00EE4502" w:rsidRDefault="00FD45A3">
            <w:r>
              <w:t>水温</w:t>
            </w:r>
            <w:r>
              <w:t>□</w:t>
            </w:r>
            <w:r>
              <w:t>；径流</w:t>
            </w:r>
            <w:r>
              <w:t>□</w:t>
            </w:r>
            <w:r>
              <w:t>；水域面积</w:t>
            </w:r>
            <w:r>
              <w:t>□</w:t>
            </w:r>
          </w:p>
        </w:tc>
      </w:tr>
      <w:tr w:rsidR="00EE4502">
        <w:trPr>
          <w:trHeight w:val="1069"/>
          <w:jc w:val="center"/>
        </w:trPr>
        <w:tc>
          <w:tcPr>
            <w:tcW w:w="307" w:type="pct"/>
            <w:vMerge/>
            <w:vAlign w:val="center"/>
          </w:tcPr>
          <w:p w:rsidR="00EE4502" w:rsidRDefault="00EE4502"/>
        </w:tc>
        <w:tc>
          <w:tcPr>
            <w:tcW w:w="564" w:type="pct"/>
            <w:vAlign w:val="center"/>
          </w:tcPr>
          <w:p w:rsidR="00EE4502" w:rsidRDefault="00FD45A3">
            <w:r>
              <w:t>影响因子</w:t>
            </w:r>
          </w:p>
        </w:tc>
        <w:tc>
          <w:tcPr>
            <w:tcW w:w="2079" w:type="pct"/>
            <w:vAlign w:val="center"/>
          </w:tcPr>
          <w:p w:rsidR="00EE4502" w:rsidRDefault="00FD45A3">
            <w:r>
              <w:t>持久性污染物</w:t>
            </w:r>
            <w:r>
              <w:t>□</w:t>
            </w:r>
            <w:r>
              <w:t>；有毒有害污染物</w:t>
            </w:r>
            <w:r>
              <w:t>□</w:t>
            </w:r>
            <w:r>
              <w:t>；非持久性污染物</w:t>
            </w:r>
            <w:r>
              <w:t>□</w:t>
            </w:r>
            <w:r>
              <w:t>；</w:t>
            </w:r>
            <w:r>
              <w:t>pH</w:t>
            </w:r>
            <w:r>
              <w:t>值</w:t>
            </w:r>
            <w:r>
              <w:t>□</w:t>
            </w:r>
            <w:r>
              <w:t>；热污染</w:t>
            </w:r>
            <w:r>
              <w:t>□</w:t>
            </w:r>
            <w:r>
              <w:t>；富营养化</w:t>
            </w:r>
            <w:r>
              <w:t>□</w:t>
            </w:r>
            <w:r>
              <w:t>；其他</w:t>
            </w:r>
            <w:r>
              <w:t>□</w:t>
            </w:r>
          </w:p>
        </w:tc>
        <w:tc>
          <w:tcPr>
            <w:tcW w:w="2048" w:type="pct"/>
            <w:vAlign w:val="center"/>
          </w:tcPr>
          <w:p w:rsidR="00EE4502" w:rsidRDefault="00FD45A3">
            <w:r>
              <w:t>水温</w:t>
            </w:r>
            <w:r>
              <w:t>□</w:t>
            </w:r>
            <w:r>
              <w:t>；水位</w:t>
            </w:r>
            <w:r>
              <w:rPr>
                <w:rFonts w:hint="eastAsia"/>
              </w:rPr>
              <w:t>（</w:t>
            </w:r>
            <w:r>
              <w:t>水深</w:t>
            </w:r>
            <w:r>
              <w:rPr>
                <w:rFonts w:hint="eastAsia"/>
              </w:rPr>
              <w:t>）</w:t>
            </w:r>
            <w:r>
              <w:t>□</w:t>
            </w:r>
            <w:r>
              <w:t>；流速</w:t>
            </w:r>
            <w:r>
              <w:t>□</w:t>
            </w:r>
            <w:r>
              <w:t>；流量</w:t>
            </w:r>
            <w:r>
              <w:t>□</w:t>
            </w:r>
            <w:r>
              <w:t>；其他</w:t>
            </w:r>
            <w:r>
              <w:t>□</w:t>
            </w:r>
          </w:p>
        </w:tc>
      </w:tr>
      <w:tr w:rsidR="00EE4502">
        <w:trPr>
          <w:trHeight w:val="425"/>
          <w:jc w:val="center"/>
        </w:trPr>
        <w:tc>
          <w:tcPr>
            <w:tcW w:w="872" w:type="pct"/>
            <w:gridSpan w:val="2"/>
            <w:vMerge w:val="restart"/>
            <w:vAlign w:val="center"/>
          </w:tcPr>
          <w:p w:rsidR="00EE4502" w:rsidRDefault="00FD45A3">
            <w:r>
              <w:t>评价等级</w:t>
            </w:r>
          </w:p>
        </w:tc>
        <w:tc>
          <w:tcPr>
            <w:tcW w:w="2079" w:type="pct"/>
            <w:vAlign w:val="center"/>
          </w:tcPr>
          <w:p w:rsidR="00EE4502" w:rsidRDefault="00FD45A3">
            <w:r>
              <w:t>水污染影响型</w:t>
            </w:r>
          </w:p>
        </w:tc>
        <w:tc>
          <w:tcPr>
            <w:tcW w:w="2048" w:type="pct"/>
            <w:vAlign w:val="center"/>
          </w:tcPr>
          <w:p w:rsidR="00EE4502" w:rsidRDefault="00FD45A3">
            <w:r>
              <w:t>水文要素影响型</w:t>
            </w:r>
          </w:p>
        </w:tc>
      </w:tr>
      <w:tr w:rsidR="00EE4502">
        <w:trPr>
          <w:trHeight w:val="425"/>
          <w:jc w:val="center"/>
        </w:trPr>
        <w:tc>
          <w:tcPr>
            <w:tcW w:w="872" w:type="pct"/>
            <w:gridSpan w:val="2"/>
            <w:vMerge/>
            <w:vAlign w:val="center"/>
          </w:tcPr>
          <w:p w:rsidR="00EE4502" w:rsidRDefault="00EE4502"/>
        </w:tc>
        <w:tc>
          <w:tcPr>
            <w:tcW w:w="2079" w:type="pct"/>
            <w:vAlign w:val="center"/>
          </w:tcPr>
          <w:p w:rsidR="00EE4502" w:rsidRDefault="00FD45A3">
            <w:r>
              <w:t>一级</w:t>
            </w:r>
            <w:r>
              <w:t>□</w:t>
            </w:r>
            <w:r>
              <w:t>；二级</w:t>
            </w:r>
            <w:r>
              <w:t>□</w:t>
            </w:r>
            <w:r>
              <w:t>；三级</w:t>
            </w:r>
            <w:r>
              <w:t>A□</w:t>
            </w:r>
            <w:r>
              <w:t>；三级</w:t>
            </w:r>
            <w:r>
              <w:t>B☑</w:t>
            </w:r>
          </w:p>
        </w:tc>
        <w:tc>
          <w:tcPr>
            <w:tcW w:w="2048" w:type="pct"/>
            <w:vAlign w:val="center"/>
          </w:tcPr>
          <w:p w:rsidR="00EE4502" w:rsidRDefault="00FD45A3">
            <w:r>
              <w:t>一级</w:t>
            </w:r>
            <w:r>
              <w:t>□</w:t>
            </w:r>
            <w:r>
              <w:t>；二级</w:t>
            </w:r>
            <w:r>
              <w:t>□</w:t>
            </w:r>
            <w:r>
              <w:t>；三级</w:t>
            </w:r>
            <w:r>
              <w:t>□</w:t>
            </w:r>
          </w:p>
        </w:tc>
      </w:tr>
    </w:tbl>
    <w:p w:rsidR="00EE4502" w:rsidRDefault="00EE4502"/>
    <w:p w:rsidR="00EE4502" w:rsidRDefault="00FD45A3">
      <w:pPr>
        <w:pStyle w:val="22"/>
        <w:numPr>
          <w:ilvl w:val="1"/>
          <w:numId w:val="30"/>
        </w:numPr>
        <w:rPr>
          <w:spacing w:val="0"/>
          <w:w w:val="100"/>
        </w:rPr>
      </w:pPr>
      <w:bookmarkStart w:id="217" w:name="_Toc15065"/>
      <w:r>
        <w:rPr>
          <w:spacing w:val="0"/>
          <w:w w:val="100"/>
        </w:rPr>
        <w:t>土壤环境影响预测评价</w:t>
      </w:r>
      <w:bookmarkEnd w:id="217"/>
    </w:p>
    <w:p w:rsidR="00EE4502" w:rsidRDefault="00FD45A3">
      <w:pPr>
        <w:spacing w:line="360" w:lineRule="auto"/>
        <w:ind w:firstLine="520"/>
        <w:rPr>
          <w:sz w:val="24"/>
        </w:rPr>
      </w:pPr>
      <w:r>
        <w:rPr>
          <w:sz w:val="24"/>
        </w:rPr>
        <w:t>油田开发建设主要分为三个阶段，即勘探期、施工期和运营期。每一阶段的建设都会对土壤环境造成不同程度的影响，见表</w:t>
      </w:r>
      <w:r>
        <w:rPr>
          <w:sz w:val="24"/>
        </w:rPr>
        <w:t>5-</w:t>
      </w:r>
      <w:r>
        <w:rPr>
          <w:rFonts w:hint="eastAsia"/>
          <w:sz w:val="24"/>
        </w:rPr>
        <w:t>4</w:t>
      </w:r>
      <w:r>
        <w:rPr>
          <w:sz w:val="24"/>
        </w:rPr>
        <w:t>-1</w:t>
      </w:r>
      <w:r>
        <w:rPr>
          <w:sz w:val="24"/>
        </w:rPr>
        <w:t>。</w:t>
      </w:r>
      <w:r>
        <w:rPr>
          <w:rFonts w:hint="eastAsia"/>
          <w:sz w:val="24"/>
        </w:rPr>
        <w:t>春风油田石炭系排</w:t>
      </w:r>
      <w:r>
        <w:rPr>
          <w:rFonts w:hint="eastAsia"/>
          <w:sz w:val="24"/>
        </w:rPr>
        <w:t>61</w:t>
      </w:r>
      <w:r>
        <w:rPr>
          <w:rFonts w:hint="eastAsia"/>
          <w:sz w:val="24"/>
        </w:rPr>
        <w:t>块产能建设工程</w:t>
      </w:r>
      <w:r>
        <w:rPr>
          <w:sz w:val="24"/>
        </w:rPr>
        <w:t>对土壤环境的影响主要是施工期和运营期的影响。</w:t>
      </w:r>
    </w:p>
    <w:p w:rsidR="00EE4502" w:rsidRDefault="00FD45A3">
      <w:pPr>
        <w:pStyle w:val="Char3e"/>
        <w:snapToGrid/>
        <w:ind w:firstLineChars="0" w:firstLine="0"/>
        <w:jc w:val="center"/>
        <w:rPr>
          <w:rFonts w:ascii="Times New Roman" w:eastAsia="黑体" w:hAnsi="Times New Roman"/>
          <w:b w:val="0"/>
          <w:szCs w:val="21"/>
        </w:rPr>
      </w:pPr>
      <w:r>
        <w:rPr>
          <w:rFonts w:ascii="Times New Roman" w:eastAsia="黑体" w:hAnsi="Times New Roman"/>
          <w:b w:val="0"/>
          <w:szCs w:val="21"/>
        </w:rPr>
        <w:t>表</w:t>
      </w:r>
      <w:r>
        <w:rPr>
          <w:rFonts w:ascii="Times New Roman" w:eastAsia="黑体" w:hAnsi="Times New Roman"/>
          <w:b w:val="0"/>
          <w:szCs w:val="21"/>
        </w:rPr>
        <w:t>5-</w:t>
      </w:r>
      <w:r>
        <w:rPr>
          <w:rFonts w:ascii="Times New Roman" w:eastAsia="黑体" w:hAnsi="Times New Roman" w:hint="eastAsia"/>
          <w:b w:val="0"/>
          <w:szCs w:val="21"/>
        </w:rPr>
        <w:t>4</w:t>
      </w:r>
      <w:r>
        <w:rPr>
          <w:rFonts w:ascii="Times New Roman" w:eastAsia="黑体" w:hAnsi="Times New Roman"/>
          <w:b w:val="0"/>
          <w:szCs w:val="21"/>
        </w:rPr>
        <w:t xml:space="preserve">-1    </w:t>
      </w:r>
      <w:r>
        <w:rPr>
          <w:rFonts w:ascii="Times New Roman" w:eastAsia="黑体" w:hAnsi="Times New Roman" w:hint="eastAsia"/>
          <w:b w:val="0"/>
          <w:szCs w:val="21"/>
        </w:rPr>
        <w:t>春风油田石炭系排</w:t>
      </w:r>
      <w:r>
        <w:rPr>
          <w:rFonts w:ascii="Times New Roman" w:eastAsia="黑体" w:hAnsi="Times New Roman" w:hint="eastAsia"/>
          <w:b w:val="0"/>
          <w:szCs w:val="21"/>
        </w:rPr>
        <w:t>61</w:t>
      </w:r>
      <w:r>
        <w:rPr>
          <w:rFonts w:ascii="Times New Roman" w:eastAsia="黑体" w:hAnsi="Times New Roman" w:hint="eastAsia"/>
          <w:b w:val="0"/>
          <w:szCs w:val="21"/>
        </w:rPr>
        <w:t>块产能建设工程</w:t>
      </w:r>
      <w:r>
        <w:rPr>
          <w:rFonts w:ascii="Times New Roman" w:eastAsia="黑体" w:hAnsi="Times New Roman"/>
          <w:b w:val="0"/>
          <w:szCs w:val="21"/>
        </w:rPr>
        <w:t>对土壤的环境影响分析</w:t>
      </w:r>
    </w:p>
    <w:tbl>
      <w:tblPr>
        <w:tblW w:w="4998" w:type="pct"/>
        <w:jc w:val="center"/>
        <w:tblBorders>
          <w:top w:val="single" w:sz="8" w:space="0" w:color="auto"/>
          <w:bottom w:val="single" w:sz="8" w:space="0" w:color="auto"/>
          <w:insideH w:val="single" w:sz="8" w:space="0" w:color="auto"/>
          <w:insideV w:val="single" w:sz="8" w:space="0" w:color="auto"/>
        </w:tblBorders>
        <w:tblLook w:val="04A0" w:firstRow="1" w:lastRow="0" w:firstColumn="1" w:lastColumn="0" w:noHBand="0" w:noVBand="1"/>
      </w:tblPr>
      <w:tblGrid>
        <w:gridCol w:w="1521"/>
        <w:gridCol w:w="1521"/>
        <w:gridCol w:w="1219"/>
        <w:gridCol w:w="1520"/>
        <w:gridCol w:w="1520"/>
        <w:gridCol w:w="1218"/>
      </w:tblGrid>
      <w:tr w:rsidR="00EE4502">
        <w:trPr>
          <w:trHeight w:val="340"/>
          <w:jc w:val="center"/>
        </w:trPr>
        <w:tc>
          <w:tcPr>
            <w:tcW w:w="1784" w:type="pct"/>
            <w:gridSpan w:val="2"/>
            <w:vMerge w:val="restart"/>
            <w:vAlign w:val="center"/>
          </w:tcPr>
          <w:p w:rsidR="00EE4502" w:rsidRDefault="00FD45A3">
            <w:pPr>
              <w:widowControl/>
              <w:jc w:val="center"/>
              <w:rPr>
                <w:sz w:val="18"/>
                <w:szCs w:val="18"/>
              </w:rPr>
            </w:pPr>
            <w:r>
              <w:rPr>
                <w:sz w:val="18"/>
                <w:szCs w:val="18"/>
              </w:rPr>
              <w:t>工程时段</w:t>
            </w:r>
          </w:p>
          <w:p w:rsidR="00EE4502" w:rsidRDefault="00FD45A3">
            <w:pPr>
              <w:jc w:val="center"/>
              <w:rPr>
                <w:sz w:val="18"/>
                <w:szCs w:val="18"/>
              </w:rPr>
            </w:pPr>
            <w:r>
              <w:rPr>
                <w:sz w:val="18"/>
                <w:szCs w:val="18"/>
              </w:rPr>
              <w:t>影响</w:t>
            </w:r>
          </w:p>
        </w:tc>
        <w:tc>
          <w:tcPr>
            <w:tcW w:w="715" w:type="pct"/>
            <w:vMerge w:val="restart"/>
            <w:vAlign w:val="center"/>
          </w:tcPr>
          <w:p w:rsidR="00EE4502" w:rsidRDefault="00FD45A3">
            <w:pPr>
              <w:jc w:val="center"/>
              <w:rPr>
                <w:sz w:val="18"/>
                <w:szCs w:val="18"/>
              </w:rPr>
            </w:pPr>
            <w:r>
              <w:rPr>
                <w:sz w:val="18"/>
                <w:szCs w:val="18"/>
              </w:rPr>
              <w:t>勘探期</w:t>
            </w:r>
          </w:p>
        </w:tc>
        <w:tc>
          <w:tcPr>
            <w:tcW w:w="1784" w:type="pct"/>
            <w:gridSpan w:val="2"/>
            <w:vAlign w:val="center"/>
          </w:tcPr>
          <w:p w:rsidR="00EE4502" w:rsidRDefault="00FD45A3">
            <w:pPr>
              <w:jc w:val="center"/>
              <w:rPr>
                <w:sz w:val="18"/>
                <w:szCs w:val="18"/>
              </w:rPr>
            </w:pPr>
            <w:r>
              <w:rPr>
                <w:sz w:val="18"/>
                <w:szCs w:val="18"/>
              </w:rPr>
              <w:t>施工期</w:t>
            </w:r>
          </w:p>
        </w:tc>
        <w:tc>
          <w:tcPr>
            <w:tcW w:w="715" w:type="pct"/>
            <w:vMerge w:val="restart"/>
            <w:vAlign w:val="center"/>
          </w:tcPr>
          <w:p w:rsidR="00EE4502" w:rsidRDefault="00FD45A3">
            <w:pPr>
              <w:jc w:val="center"/>
              <w:rPr>
                <w:sz w:val="18"/>
                <w:szCs w:val="18"/>
              </w:rPr>
            </w:pPr>
            <w:r>
              <w:rPr>
                <w:sz w:val="18"/>
                <w:szCs w:val="18"/>
              </w:rPr>
              <w:t>运营期</w:t>
            </w:r>
          </w:p>
        </w:tc>
      </w:tr>
      <w:tr w:rsidR="00EE4502">
        <w:trPr>
          <w:trHeight w:val="340"/>
          <w:jc w:val="center"/>
        </w:trPr>
        <w:tc>
          <w:tcPr>
            <w:tcW w:w="1784" w:type="pct"/>
            <w:gridSpan w:val="2"/>
            <w:vMerge/>
            <w:vAlign w:val="center"/>
          </w:tcPr>
          <w:p w:rsidR="00EE4502" w:rsidRDefault="00EE4502">
            <w:pPr>
              <w:widowControl/>
              <w:jc w:val="center"/>
              <w:rPr>
                <w:sz w:val="18"/>
                <w:szCs w:val="18"/>
              </w:rPr>
            </w:pPr>
          </w:p>
        </w:tc>
        <w:tc>
          <w:tcPr>
            <w:tcW w:w="715" w:type="pct"/>
            <w:vMerge/>
            <w:vAlign w:val="center"/>
          </w:tcPr>
          <w:p w:rsidR="00EE4502" w:rsidRDefault="00EE4502">
            <w:pPr>
              <w:widowControl/>
              <w:jc w:val="center"/>
              <w:rPr>
                <w:sz w:val="18"/>
                <w:szCs w:val="18"/>
              </w:rPr>
            </w:pPr>
          </w:p>
        </w:tc>
        <w:tc>
          <w:tcPr>
            <w:tcW w:w="892" w:type="pct"/>
            <w:vAlign w:val="center"/>
          </w:tcPr>
          <w:p w:rsidR="00EE4502" w:rsidRDefault="00FD45A3">
            <w:pPr>
              <w:jc w:val="center"/>
              <w:rPr>
                <w:sz w:val="18"/>
                <w:szCs w:val="18"/>
              </w:rPr>
            </w:pPr>
            <w:r>
              <w:rPr>
                <w:sz w:val="18"/>
                <w:szCs w:val="18"/>
              </w:rPr>
              <w:t>钻井作业</w:t>
            </w:r>
          </w:p>
        </w:tc>
        <w:tc>
          <w:tcPr>
            <w:tcW w:w="892" w:type="pct"/>
            <w:vAlign w:val="center"/>
          </w:tcPr>
          <w:p w:rsidR="00EE4502" w:rsidRDefault="00FD45A3">
            <w:pPr>
              <w:jc w:val="center"/>
              <w:rPr>
                <w:sz w:val="18"/>
                <w:szCs w:val="18"/>
              </w:rPr>
            </w:pPr>
            <w:r>
              <w:rPr>
                <w:sz w:val="18"/>
                <w:szCs w:val="18"/>
              </w:rPr>
              <w:t>地面工程</w:t>
            </w:r>
          </w:p>
        </w:tc>
        <w:tc>
          <w:tcPr>
            <w:tcW w:w="715" w:type="pct"/>
            <w:vMerge/>
            <w:vAlign w:val="center"/>
          </w:tcPr>
          <w:p w:rsidR="00EE4502" w:rsidRDefault="00EE4502">
            <w:pPr>
              <w:widowControl/>
              <w:jc w:val="center"/>
              <w:rPr>
                <w:sz w:val="18"/>
                <w:szCs w:val="18"/>
              </w:rPr>
            </w:pPr>
          </w:p>
        </w:tc>
      </w:tr>
      <w:tr w:rsidR="00EE4502">
        <w:trPr>
          <w:trHeight w:val="340"/>
          <w:jc w:val="center"/>
        </w:trPr>
        <w:tc>
          <w:tcPr>
            <w:tcW w:w="892" w:type="pct"/>
            <w:vMerge w:val="restart"/>
            <w:vAlign w:val="center"/>
          </w:tcPr>
          <w:p w:rsidR="00EE4502" w:rsidRDefault="00FD45A3">
            <w:pPr>
              <w:jc w:val="center"/>
              <w:rPr>
                <w:sz w:val="18"/>
                <w:szCs w:val="18"/>
              </w:rPr>
            </w:pPr>
            <w:r>
              <w:rPr>
                <w:sz w:val="18"/>
                <w:szCs w:val="18"/>
              </w:rPr>
              <w:t>影响分析</w:t>
            </w:r>
          </w:p>
        </w:tc>
        <w:tc>
          <w:tcPr>
            <w:tcW w:w="892" w:type="pct"/>
            <w:vAlign w:val="center"/>
          </w:tcPr>
          <w:p w:rsidR="00EE4502" w:rsidRDefault="00FD45A3">
            <w:pPr>
              <w:jc w:val="center"/>
              <w:rPr>
                <w:sz w:val="18"/>
                <w:szCs w:val="18"/>
              </w:rPr>
            </w:pPr>
            <w:r>
              <w:rPr>
                <w:sz w:val="18"/>
                <w:szCs w:val="18"/>
              </w:rPr>
              <w:t>影响程度</w:t>
            </w:r>
          </w:p>
        </w:tc>
        <w:tc>
          <w:tcPr>
            <w:tcW w:w="715" w:type="pct"/>
            <w:vAlign w:val="center"/>
          </w:tcPr>
          <w:p w:rsidR="00EE4502" w:rsidRDefault="00FD45A3">
            <w:pPr>
              <w:jc w:val="center"/>
              <w:rPr>
                <w:sz w:val="18"/>
                <w:szCs w:val="18"/>
              </w:rPr>
            </w:pPr>
            <w:r>
              <w:rPr>
                <w:sz w:val="18"/>
                <w:szCs w:val="18"/>
              </w:rPr>
              <w:t>轻</w:t>
            </w:r>
          </w:p>
        </w:tc>
        <w:tc>
          <w:tcPr>
            <w:tcW w:w="892" w:type="pct"/>
            <w:vAlign w:val="center"/>
          </w:tcPr>
          <w:p w:rsidR="00EE4502" w:rsidRDefault="00FD45A3">
            <w:pPr>
              <w:jc w:val="center"/>
              <w:rPr>
                <w:sz w:val="18"/>
                <w:szCs w:val="18"/>
              </w:rPr>
            </w:pPr>
            <w:r>
              <w:rPr>
                <w:sz w:val="18"/>
                <w:szCs w:val="18"/>
              </w:rPr>
              <w:t>轻</w:t>
            </w:r>
          </w:p>
        </w:tc>
        <w:tc>
          <w:tcPr>
            <w:tcW w:w="892" w:type="pct"/>
            <w:vAlign w:val="center"/>
          </w:tcPr>
          <w:p w:rsidR="00EE4502" w:rsidRDefault="00FD45A3">
            <w:pPr>
              <w:jc w:val="center"/>
              <w:rPr>
                <w:sz w:val="18"/>
                <w:szCs w:val="18"/>
              </w:rPr>
            </w:pPr>
            <w:r>
              <w:rPr>
                <w:sz w:val="18"/>
                <w:szCs w:val="18"/>
              </w:rPr>
              <w:t>中</w:t>
            </w:r>
          </w:p>
        </w:tc>
        <w:tc>
          <w:tcPr>
            <w:tcW w:w="715" w:type="pct"/>
            <w:vAlign w:val="center"/>
          </w:tcPr>
          <w:p w:rsidR="00EE4502" w:rsidRDefault="00FD45A3">
            <w:pPr>
              <w:jc w:val="center"/>
              <w:rPr>
                <w:sz w:val="18"/>
                <w:szCs w:val="18"/>
              </w:rPr>
            </w:pPr>
            <w:r>
              <w:rPr>
                <w:sz w:val="18"/>
                <w:szCs w:val="18"/>
              </w:rPr>
              <w:t>轻</w:t>
            </w:r>
          </w:p>
        </w:tc>
      </w:tr>
      <w:tr w:rsidR="00EE4502">
        <w:trPr>
          <w:trHeight w:val="340"/>
          <w:jc w:val="center"/>
        </w:trPr>
        <w:tc>
          <w:tcPr>
            <w:tcW w:w="892" w:type="pct"/>
            <w:vMerge/>
            <w:vAlign w:val="center"/>
          </w:tcPr>
          <w:p w:rsidR="00EE4502" w:rsidRDefault="00EE4502">
            <w:pPr>
              <w:jc w:val="center"/>
              <w:rPr>
                <w:sz w:val="18"/>
                <w:szCs w:val="18"/>
              </w:rPr>
            </w:pPr>
          </w:p>
        </w:tc>
        <w:tc>
          <w:tcPr>
            <w:tcW w:w="892" w:type="pct"/>
            <w:vAlign w:val="center"/>
          </w:tcPr>
          <w:p w:rsidR="00EE4502" w:rsidRDefault="00FD45A3">
            <w:pPr>
              <w:jc w:val="center"/>
              <w:rPr>
                <w:sz w:val="18"/>
                <w:szCs w:val="18"/>
              </w:rPr>
            </w:pPr>
            <w:r>
              <w:rPr>
                <w:sz w:val="18"/>
                <w:szCs w:val="18"/>
              </w:rPr>
              <w:t>影响特征</w:t>
            </w:r>
          </w:p>
        </w:tc>
        <w:tc>
          <w:tcPr>
            <w:tcW w:w="715" w:type="pct"/>
            <w:vAlign w:val="center"/>
          </w:tcPr>
          <w:p w:rsidR="00EE4502" w:rsidRDefault="00FD45A3">
            <w:pPr>
              <w:jc w:val="center"/>
              <w:rPr>
                <w:sz w:val="18"/>
                <w:szCs w:val="18"/>
              </w:rPr>
            </w:pPr>
            <w:r>
              <w:rPr>
                <w:sz w:val="18"/>
                <w:szCs w:val="18"/>
              </w:rPr>
              <w:t>可逆</w:t>
            </w:r>
          </w:p>
        </w:tc>
        <w:tc>
          <w:tcPr>
            <w:tcW w:w="892" w:type="pct"/>
            <w:vAlign w:val="center"/>
          </w:tcPr>
          <w:p w:rsidR="00EE4502" w:rsidRDefault="00FD45A3">
            <w:pPr>
              <w:jc w:val="center"/>
              <w:rPr>
                <w:sz w:val="18"/>
                <w:szCs w:val="18"/>
              </w:rPr>
            </w:pPr>
            <w:r>
              <w:rPr>
                <w:sz w:val="18"/>
                <w:szCs w:val="18"/>
              </w:rPr>
              <w:t>部分可逆</w:t>
            </w:r>
          </w:p>
        </w:tc>
        <w:tc>
          <w:tcPr>
            <w:tcW w:w="892" w:type="pct"/>
            <w:vAlign w:val="center"/>
          </w:tcPr>
          <w:p w:rsidR="00EE4502" w:rsidRDefault="00FD45A3">
            <w:pPr>
              <w:jc w:val="center"/>
              <w:rPr>
                <w:sz w:val="18"/>
                <w:szCs w:val="18"/>
              </w:rPr>
            </w:pPr>
            <w:r>
              <w:rPr>
                <w:sz w:val="18"/>
                <w:szCs w:val="18"/>
              </w:rPr>
              <w:t>部分可逆</w:t>
            </w:r>
          </w:p>
        </w:tc>
        <w:tc>
          <w:tcPr>
            <w:tcW w:w="715" w:type="pct"/>
            <w:vAlign w:val="center"/>
          </w:tcPr>
          <w:p w:rsidR="00EE4502" w:rsidRDefault="00FD45A3">
            <w:pPr>
              <w:jc w:val="center"/>
              <w:rPr>
                <w:sz w:val="18"/>
                <w:szCs w:val="18"/>
              </w:rPr>
            </w:pPr>
            <w:r>
              <w:rPr>
                <w:sz w:val="18"/>
                <w:szCs w:val="18"/>
              </w:rPr>
              <w:t>可逆</w:t>
            </w:r>
          </w:p>
        </w:tc>
      </w:tr>
      <w:tr w:rsidR="00EE4502">
        <w:trPr>
          <w:trHeight w:val="340"/>
          <w:jc w:val="center"/>
        </w:trPr>
        <w:tc>
          <w:tcPr>
            <w:tcW w:w="892" w:type="pct"/>
            <w:vMerge/>
            <w:vAlign w:val="center"/>
          </w:tcPr>
          <w:p w:rsidR="00EE4502" w:rsidRDefault="00EE4502">
            <w:pPr>
              <w:jc w:val="center"/>
              <w:rPr>
                <w:sz w:val="18"/>
                <w:szCs w:val="18"/>
              </w:rPr>
            </w:pPr>
          </w:p>
        </w:tc>
        <w:tc>
          <w:tcPr>
            <w:tcW w:w="892" w:type="pct"/>
            <w:vAlign w:val="center"/>
          </w:tcPr>
          <w:p w:rsidR="00EE4502" w:rsidRDefault="00FD45A3">
            <w:pPr>
              <w:jc w:val="center"/>
              <w:rPr>
                <w:sz w:val="18"/>
                <w:szCs w:val="18"/>
              </w:rPr>
            </w:pPr>
            <w:r>
              <w:rPr>
                <w:sz w:val="18"/>
                <w:szCs w:val="18"/>
              </w:rPr>
              <w:t>影响时间</w:t>
            </w:r>
          </w:p>
        </w:tc>
        <w:tc>
          <w:tcPr>
            <w:tcW w:w="715" w:type="pct"/>
            <w:vAlign w:val="center"/>
          </w:tcPr>
          <w:p w:rsidR="00EE4502" w:rsidRDefault="00FD45A3">
            <w:pPr>
              <w:jc w:val="center"/>
              <w:rPr>
                <w:sz w:val="18"/>
                <w:szCs w:val="18"/>
              </w:rPr>
            </w:pPr>
            <w:r>
              <w:rPr>
                <w:sz w:val="18"/>
                <w:szCs w:val="18"/>
              </w:rPr>
              <w:t>短期</w:t>
            </w:r>
          </w:p>
        </w:tc>
        <w:tc>
          <w:tcPr>
            <w:tcW w:w="892" w:type="pct"/>
            <w:vAlign w:val="center"/>
          </w:tcPr>
          <w:p w:rsidR="00EE4502" w:rsidRDefault="00FD45A3">
            <w:pPr>
              <w:jc w:val="center"/>
              <w:rPr>
                <w:sz w:val="18"/>
                <w:szCs w:val="18"/>
              </w:rPr>
            </w:pPr>
            <w:r>
              <w:rPr>
                <w:sz w:val="18"/>
                <w:szCs w:val="18"/>
              </w:rPr>
              <w:t>短期</w:t>
            </w:r>
          </w:p>
        </w:tc>
        <w:tc>
          <w:tcPr>
            <w:tcW w:w="892" w:type="pct"/>
            <w:vAlign w:val="center"/>
          </w:tcPr>
          <w:p w:rsidR="00EE4502" w:rsidRDefault="00FD45A3">
            <w:pPr>
              <w:jc w:val="center"/>
              <w:rPr>
                <w:sz w:val="18"/>
                <w:szCs w:val="18"/>
              </w:rPr>
            </w:pPr>
            <w:r>
              <w:rPr>
                <w:sz w:val="18"/>
                <w:szCs w:val="18"/>
              </w:rPr>
              <w:t>中期</w:t>
            </w:r>
          </w:p>
        </w:tc>
        <w:tc>
          <w:tcPr>
            <w:tcW w:w="715" w:type="pct"/>
            <w:vAlign w:val="center"/>
          </w:tcPr>
          <w:p w:rsidR="00EE4502" w:rsidRDefault="00FD45A3">
            <w:pPr>
              <w:jc w:val="center"/>
              <w:rPr>
                <w:sz w:val="18"/>
                <w:szCs w:val="18"/>
              </w:rPr>
            </w:pPr>
            <w:r>
              <w:rPr>
                <w:sz w:val="18"/>
                <w:szCs w:val="18"/>
              </w:rPr>
              <w:t>短期</w:t>
            </w:r>
          </w:p>
        </w:tc>
      </w:tr>
    </w:tbl>
    <w:p w:rsidR="00EE4502" w:rsidRDefault="00EE4502">
      <w:pPr>
        <w:jc w:val="center"/>
        <w:rPr>
          <w:b/>
          <w:kern w:val="21"/>
          <w:szCs w:val="21"/>
        </w:rPr>
      </w:pPr>
    </w:p>
    <w:p w:rsidR="00EE4502" w:rsidRDefault="00FD45A3">
      <w:pPr>
        <w:pStyle w:val="33"/>
        <w:numPr>
          <w:ilvl w:val="2"/>
          <w:numId w:val="30"/>
        </w:numPr>
        <w:spacing w:line="360" w:lineRule="auto"/>
        <w:ind w:left="0" w:firstLine="0"/>
        <w:rPr>
          <w:spacing w:val="0"/>
          <w:sz w:val="24"/>
          <w:szCs w:val="24"/>
        </w:rPr>
      </w:pPr>
      <w:r>
        <w:rPr>
          <w:spacing w:val="0"/>
          <w:sz w:val="24"/>
          <w:szCs w:val="24"/>
        </w:rPr>
        <w:t>施工期对土壤环境的影响分析</w:t>
      </w:r>
    </w:p>
    <w:p w:rsidR="00EE4502" w:rsidRDefault="00FD45A3">
      <w:pPr>
        <w:spacing w:line="360" w:lineRule="auto"/>
        <w:ind w:firstLine="522"/>
        <w:rPr>
          <w:sz w:val="24"/>
        </w:rPr>
      </w:pPr>
      <w:r>
        <w:rPr>
          <w:sz w:val="24"/>
        </w:rPr>
        <w:t>（</w:t>
      </w:r>
      <w:r>
        <w:rPr>
          <w:sz w:val="24"/>
        </w:rPr>
        <w:t>1</w:t>
      </w:r>
      <w:r>
        <w:rPr>
          <w:sz w:val="24"/>
        </w:rPr>
        <w:t>）对土地利用格局的影响</w:t>
      </w:r>
    </w:p>
    <w:p w:rsidR="00EE4502" w:rsidRDefault="00FD45A3">
      <w:pPr>
        <w:spacing w:line="360" w:lineRule="auto"/>
        <w:ind w:firstLine="522"/>
        <w:rPr>
          <w:sz w:val="24"/>
        </w:rPr>
      </w:pPr>
      <w:r>
        <w:rPr>
          <w:sz w:val="24"/>
        </w:rPr>
        <w:t>在油田的开发建设工程中对土地占用是对土地利用格局改变的主要影响，土地占用包括临时占地和永久占地，该油田地面工程建设区永久性占地</w:t>
      </w:r>
      <w:r>
        <w:rPr>
          <w:rFonts w:hint="eastAsia"/>
          <w:sz w:val="24"/>
        </w:rPr>
        <w:t>3.4060h</w:t>
      </w:r>
      <w:r>
        <w:rPr>
          <w:sz w:val="24"/>
        </w:rPr>
        <w:t>m</w:t>
      </w:r>
      <w:r>
        <w:rPr>
          <w:sz w:val="24"/>
          <w:vertAlign w:val="superscript"/>
        </w:rPr>
        <w:t>2</w:t>
      </w:r>
      <w:r>
        <w:rPr>
          <w:sz w:val="24"/>
        </w:rPr>
        <w:t>，直接影响区中的临时性占地</w:t>
      </w:r>
      <w:r>
        <w:rPr>
          <w:rFonts w:hint="eastAsia"/>
          <w:sz w:val="24"/>
        </w:rPr>
        <w:t>18.0400h</w:t>
      </w:r>
      <w:r>
        <w:rPr>
          <w:sz w:val="24"/>
        </w:rPr>
        <w:t>m</w:t>
      </w:r>
      <w:r>
        <w:rPr>
          <w:sz w:val="24"/>
          <w:vertAlign w:val="superscript"/>
        </w:rPr>
        <w:t>2</w:t>
      </w:r>
      <w:r>
        <w:rPr>
          <w:sz w:val="24"/>
        </w:rPr>
        <w:t>。土地利用现状</w:t>
      </w:r>
      <w:r>
        <w:rPr>
          <w:rFonts w:hint="eastAsia"/>
          <w:sz w:val="24"/>
        </w:rPr>
        <w:t>涉及</w:t>
      </w:r>
      <w:r>
        <w:rPr>
          <w:rFonts w:hint="eastAsia"/>
          <w:sz w:val="24"/>
        </w:rPr>
        <w:t>灌木</w:t>
      </w:r>
      <w:r>
        <w:rPr>
          <w:rFonts w:hint="eastAsia"/>
          <w:sz w:val="24"/>
        </w:rPr>
        <w:t>林地</w:t>
      </w:r>
      <w:r>
        <w:rPr>
          <w:rFonts w:hint="eastAsia"/>
          <w:sz w:val="24"/>
        </w:rPr>
        <w:t>、其他草地、水浇地、盐碱地等</w:t>
      </w:r>
      <w:r>
        <w:rPr>
          <w:sz w:val="24"/>
        </w:rPr>
        <w:t>，现变更为建设用地，完全改变了原有的土地利用格局，使之成为油田建设用地镶嵌分布的土地利用格局。</w:t>
      </w:r>
    </w:p>
    <w:p w:rsidR="00EE4502" w:rsidRDefault="00FD45A3">
      <w:pPr>
        <w:spacing w:line="360" w:lineRule="auto"/>
        <w:ind w:firstLine="522"/>
        <w:rPr>
          <w:sz w:val="24"/>
        </w:rPr>
      </w:pPr>
      <w:r>
        <w:rPr>
          <w:sz w:val="24"/>
        </w:rPr>
        <w:t>（</w:t>
      </w:r>
      <w:r>
        <w:rPr>
          <w:sz w:val="24"/>
        </w:rPr>
        <w:t>2</w:t>
      </w:r>
      <w:r>
        <w:rPr>
          <w:sz w:val="24"/>
        </w:rPr>
        <w:t>）管线施工的作业带清理</w:t>
      </w:r>
    </w:p>
    <w:p w:rsidR="00EE4502" w:rsidRDefault="00FD45A3">
      <w:pPr>
        <w:spacing w:line="360" w:lineRule="auto"/>
        <w:ind w:firstLine="522"/>
        <w:rPr>
          <w:sz w:val="24"/>
        </w:rPr>
      </w:pPr>
      <w:r>
        <w:rPr>
          <w:sz w:val="24"/>
        </w:rPr>
        <w:t>在</w:t>
      </w:r>
      <w:r>
        <w:rPr>
          <w:rFonts w:hint="eastAsia"/>
          <w:sz w:val="24"/>
        </w:rPr>
        <w:t>本工程</w:t>
      </w:r>
      <w:r>
        <w:rPr>
          <w:sz w:val="24"/>
        </w:rPr>
        <w:t>管线作业带</w:t>
      </w:r>
      <w:r>
        <w:rPr>
          <w:sz w:val="24"/>
        </w:rPr>
        <w:t>8m</w:t>
      </w:r>
      <w:r>
        <w:rPr>
          <w:sz w:val="24"/>
        </w:rPr>
        <w:t>内的土壤均会受到严重扰动和破坏。在施工作业带以外的直接影响区域表现为施工活动中施工机械、车辆碾压、施工人员践踏等对土壤的扰动，改变土壤的紧密度和坚实度，可能造成土壤板结。由于植被被毁，</w:t>
      </w:r>
      <w:r>
        <w:rPr>
          <w:sz w:val="24"/>
        </w:rPr>
        <w:lastRenderedPageBreak/>
        <w:t>土壤表面压实，土壤板结，通透性差，使土壤持水量降低，同时更加剧了土壤的蒸发作用，导致盐碱化加重，严重地段将会变成不毛之地。</w:t>
      </w:r>
    </w:p>
    <w:p w:rsidR="00EE4502" w:rsidRDefault="00FD45A3">
      <w:pPr>
        <w:spacing w:line="360" w:lineRule="auto"/>
        <w:ind w:firstLine="522"/>
        <w:rPr>
          <w:sz w:val="24"/>
        </w:rPr>
      </w:pPr>
      <w:r>
        <w:rPr>
          <w:sz w:val="24"/>
        </w:rPr>
        <w:t>（</w:t>
      </w:r>
      <w:r>
        <w:rPr>
          <w:sz w:val="24"/>
        </w:rPr>
        <w:t>3</w:t>
      </w:r>
      <w:r>
        <w:rPr>
          <w:sz w:val="24"/>
        </w:rPr>
        <w:t>）管线施工、修建对土壤的影响</w:t>
      </w:r>
    </w:p>
    <w:p w:rsidR="00EE4502" w:rsidRDefault="00FD45A3">
      <w:pPr>
        <w:spacing w:line="360" w:lineRule="auto"/>
        <w:ind w:firstLine="522"/>
        <w:rPr>
          <w:sz w:val="24"/>
        </w:rPr>
      </w:pPr>
      <w:r>
        <w:rPr>
          <w:rFonts w:ascii="宋体" w:hAnsi="宋体" w:cs="宋体" w:hint="eastAsia"/>
          <w:sz w:val="24"/>
        </w:rPr>
        <w:t>①</w:t>
      </w:r>
      <w:r>
        <w:rPr>
          <w:sz w:val="24"/>
        </w:rPr>
        <w:t>破坏土壤原有结构。开挖管沟造成的土体扰动将使土壤的结构、组成及理化特性等发生变化，土壤上层的团粒结构一经破坏将需要长时间培育才能恢复和发展，可直接或</w:t>
      </w:r>
      <w:r>
        <w:rPr>
          <w:rFonts w:hint="eastAsia"/>
          <w:sz w:val="24"/>
        </w:rPr>
        <w:t>间接地</w:t>
      </w:r>
      <w:r>
        <w:rPr>
          <w:sz w:val="24"/>
        </w:rPr>
        <w:t>破坏植被及其生长环境，进而影响到恢复植物的生长。</w:t>
      </w:r>
    </w:p>
    <w:p w:rsidR="00EE4502" w:rsidRDefault="00FD45A3">
      <w:pPr>
        <w:spacing w:line="360" w:lineRule="auto"/>
        <w:ind w:firstLine="522"/>
        <w:rPr>
          <w:sz w:val="24"/>
        </w:rPr>
      </w:pPr>
      <w:r>
        <w:rPr>
          <w:rFonts w:ascii="宋体" w:hAnsi="宋体" w:cs="宋体" w:hint="eastAsia"/>
          <w:sz w:val="24"/>
        </w:rPr>
        <w:t>②</w:t>
      </w:r>
      <w:r>
        <w:rPr>
          <w:sz w:val="24"/>
        </w:rPr>
        <w:t>改变土壤质地。上层和下层土壤的质地不尽相同，管沟下挖回填改变了土壤层次和质地。管道埋没后的回填，一般难以恢复其原有的紧实度。表层过松时降水易造成水分下渗，使土层明显下陷形成凹沟。过紧实时，会影响植物根系的下扎。管道施工期间，车辆和重型机械也会造成管道两侧表层过于紧实，影响植物的生长恢复。但这种影响在油田转入运营期后会逐步减弱，并随着人工固沙措施的实施逐渐得到控制。</w:t>
      </w:r>
    </w:p>
    <w:p w:rsidR="00EE4502" w:rsidRDefault="00FD45A3">
      <w:pPr>
        <w:spacing w:line="360" w:lineRule="auto"/>
        <w:ind w:firstLine="522"/>
        <w:rPr>
          <w:sz w:val="24"/>
        </w:rPr>
      </w:pPr>
      <w:r>
        <w:rPr>
          <w:rFonts w:ascii="宋体" w:hAnsi="宋体" w:cs="宋体" w:hint="eastAsia"/>
          <w:sz w:val="24"/>
        </w:rPr>
        <w:t>③</w:t>
      </w:r>
      <w:r>
        <w:rPr>
          <w:sz w:val="24"/>
        </w:rPr>
        <w:t>对土壤理化性质影响。在施工中由于打乱土层，改变土壤容重，地表植被受到破坏，使得表层填筑物对</w:t>
      </w:r>
      <w:r>
        <w:rPr>
          <w:sz w:val="24"/>
        </w:rPr>
        <w:t>太阳热能的吸收量增加。类比调查资料表明：管道在</w:t>
      </w:r>
      <w:r>
        <w:rPr>
          <w:rFonts w:hint="eastAsia"/>
          <w:sz w:val="24"/>
        </w:rPr>
        <w:t>运营期</w:t>
      </w:r>
      <w:r>
        <w:rPr>
          <w:sz w:val="24"/>
        </w:rPr>
        <w:t>间，地表土壤温度较相邻地段高出</w:t>
      </w:r>
      <w:r>
        <w:rPr>
          <w:sz w:val="24"/>
        </w:rPr>
        <w:t>1-3℃</w:t>
      </w:r>
      <w:r>
        <w:rPr>
          <w:sz w:val="24"/>
        </w:rPr>
        <w:t>，蒸发量加大，土壤水分减少，冬季土表积雪提前融化，将可能形成一条明显的沟带。</w:t>
      </w:r>
    </w:p>
    <w:p w:rsidR="00EE4502" w:rsidRDefault="00FD45A3">
      <w:pPr>
        <w:spacing w:line="360" w:lineRule="auto"/>
        <w:ind w:firstLine="522"/>
        <w:rPr>
          <w:sz w:val="24"/>
        </w:rPr>
      </w:pPr>
      <w:r>
        <w:rPr>
          <w:rFonts w:ascii="宋体" w:hAnsi="宋体" w:cs="宋体" w:hint="eastAsia"/>
          <w:sz w:val="24"/>
        </w:rPr>
        <w:t>④</w:t>
      </w:r>
      <w:r>
        <w:rPr>
          <w:sz w:val="24"/>
        </w:rPr>
        <w:t>管道施工弃土也对生态环境造成一定的影响，弃土主要</w:t>
      </w:r>
      <w:r>
        <w:rPr>
          <w:rFonts w:hint="eastAsia"/>
          <w:sz w:val="24"/>
        </w:rPr>
        <w:t>来自</w:t>
      </w:r>
      <w:r>
        <w:rPr>
          <w:sz w:val="24"/>
        </w:rPr>
        <w:t>敷设管道本身置换的土方和开挖造成的土壤松散回填后剩余的土方。由于</w:t>
      </w:r>
      <w:r>
        <w:rPr>
          <w:rFonts w:hint="eastAsia"/>
          <w:sz w:val="24"/>
        </w:rPr>
        <w:t>本工程</w:t>
      </w:r>
      <w:r>
        <w:rPr>
          <w:sz w:val="24"/>
        </w:rPr>
        <w:t>地处平原，且施工要求回填土高出地面</w:t>
      </w:r>
      <w:r>
        <w:rPr>
          <w:sz w:val="24"/>
        </w:rPr>
        <w:t>0.3m</w:t>
      </w:r>
      <w:r>
        <w:rPr>
          <w:sz w:val="24"/>
        </w:rPr>
        <w:t>，所以基本上能够做到挖填平衡，其影响不大。</w:t>
      </w:r>
    </w:p>
    <w:p w:rsidR="00EE4502" w:rsidRDefault="00FD45A3">
      <w:pPr>
        <w:spacing w:line="360" w:lineRule="auto"/>
        <w:ind w:firstLine="522"/>
        <w:rPr>
          <w:sz w:val="24"/>
        </w:rPr>
      </w:pPr>
      <w:r>
        <w:rPr>
          <w:rFonts w:ascii="宋体" w:hAnsi="宋体" w:cs="宋体" w:hint="eastAsia"/>
          <w:sz w:val="24"/>
        </w:rPr>
        <w:t>⑤</w:t>
      </w:r>
      <w:r>
        <w:rPr>
          <w:sz w:val="24"/>
        </w:rPr>
        <w:t>土壤污染</w:t>
      </w:r>
      <w:r>
        <w:rPr>
          <w:sz w:val="24"/>
        </w:rPr>
        <w:t xml:space="preserve"> </w:t>
      </w:r>
    </w:p>
    <w:p w:rsidR="00EE4502" w:rsidRDefault="00FD45A3">
      <w:pPr>
        <w:spacing w:line="360" w:lineRule="auto"/>
        <w:ind w:firstLine="522"/>
        <w:rPr>
          <w:sz w:val="24"/>
        </w:rPr>
      </w:pPr>
      <w:r>
        <w:rPr>
          <w:sz w:val="24"/>
        </w:rPr>
        <w:t>施工过程中将产生施工垃圾、生活垃圾以及焊渣、废弃外涂层涂料等废物。这些固体垃圾可能含有难于分解的物质，如不妥善管理，回填</w:t>
      </w:r>
      <w:r>
        <w:rPr>
          <w:sz w:val="24"/>
        </w:rPr>
        <w:t>入土，将影响土壤质量，进而影响植被正常生长。</w:t>
      </w:r>
    </w:p>
    <w:p w:rsidR="00EE4502" w:rsidRDefault="00FD45A3">
      <w:pPr>
        <w:spacing w:line="360" w:lineRule="auto"/>
        <w:ind w:firstLine="522"/>
        <w:rPr>
          <w:sz w:val="24"/>
        </w:rPr>
      </w:pPr>
      <w:r>
        <w:rPr>
          <w:sz w:val="24"/>
        </w:rPr>
        <w:t>（</w:t>
      </w:r>
      <w:r>
        <w:rPr>
          <w:sz w:val="24"/>
        </w:rPr>
        <w:t>4</w:t>
      </w:r>
      <w:r>
        <w:rPr>
          <w:sz w:val="24"/>
        </w:rPr>
        <w:t>）工程对土壤沙化的影响</w:t>
      </w:r>
    </w:p>
    <w:p w:rsidR="00EE4502" w:rsidRDefault="00FD45A3">
      <w:pPr>
        <w:spacing w:line="360" w:lineRule="auto"/>
        <w:ind w:firstLine="522"/>
        <w:rPr>
          <w:sz w:val="24"/>
        </w:rPr>
      </w:pPr>
      <w:r>
        <w:rPr>
          <w:sz w:val="24"/>
        </w:rPr>
        <w:t>管道施工活动可能破坏地表保护层，土壤表层受干扰强烈，降低农田地表稳定性，在风蚀的作用下，有可能加快该区域荒漠化进程。</w:t>
      </w:r>
    </w:p>
    <w:p w:rsidR="00EE4502" w:rsidRDefault="00FD45A3">
      <w:pPr>
        <w:spacing w:line="360" w:lineRule="auto"/>
        <w:ind w:firstLine="522"/>
        <w:rPr>
          <w:sz w:val="24"/>
        </w:rPr>
      </w:pPr>
      <w:r>
        <w:rPr>
          <w:sz w:val="24"/>
        </w:rPr>
        <w:t>（</w:t>
      </w:r>
      <w:r>
        <w:rPr>
          <w:sz w:val="24"/>
        </w:rPr>
        <w:t>5</w:t>
      </w:r>
      <w:r>
        <w:rPr>
          <w:sz w:val="24"/>
        </w:rPr>
        <w:t>）固体废物常年堆积在土地上，会通过自然扩散和雨水冲刷渗入土壤。土壤具有同化代谢外界输入物质的能力，当污染物负荷超过土壤迁移转化能力破坏土壤的原来平衡时，会发生土壤污染。只要做好在管道外层保温材料的包扎、防护涂层的抹刷等脱落的难以分解的固体废物的清除工作，项目所在区域不会因</w:t>
      </w:r>
      <w:r>
        <w:rPr>
          <w:sz w:val="24"/>
        </w:rPr>
        <w:lastRenderedPageBreak/>
        <w:t>项目的建设而发生土壤污染。</w:t>
      </w:r>
    </w:p>
    <w:p w:rsidR="00EE4502" w:rsidRDefault="00FD45A3">
      <w:pPr>
        <w:spacing w:line="360" w:lineRule="auto"/>
        <w:ind w:firstLine="522"/>
        <w:rPr>
          <w:sz w:val="26"/>
          <w:szCs w:val="26"/>
        </w:rPr>
      </w:pPr>
      <w:r>
        <w:rPr>
          <w:rFonts w:hint="eastAsia"/>
          <w:sz w:val="24"/>
        </w:rPr>
        <w:t>本工程</w:t>
      </w:r>
      <w:r>
        <w:rPr>
          <w:sz w:val="24"/>
        </w:rPr>
        <w:t>采用密闭集</w:t>
      </w:r>
      <w:r>
        <w:rPr>
          <w:sz w:val="24"/>
        </w:rPr>
        <w:t>输工艺，正常工况下无废水及固废等污染物外排，不会造成土壤环境污染。如果发生管线泄漏等事故，泄漏的原油会对土壤环境产生一定的影响，泄漏的石油覆盖于地表可使土壤透气性下降、土壤理化性状发生变化。泄漏的油品如果进入土壤，从而使土壤质地、结构发生改变，影响到土地功能，进而影响荒漠植被的生长。根据环境风险分析可知，</w:t>
      </w:r>
      <w:r>
        <w:rPr>
          <w:rFonts w:hint="eastAsia"/>
          <w:sz w:val="24"/>
        </w:rPr>
        <w:t>本工程</w:t>
      </w:r>
      <w:r>
        <w:rPr>
          <w:sz w:val="24"/>
        </w:rPr>
        <w:t>风险潜势很低，发生泄漏事故的可能性很小，且发生事故后及时采取相应的治理措施，将受污染的土壤及时收集、处理，不会对土壤环境产生明显影响。根据新疆油田多年来实际运行情况，类比其他油田开发区块，油气开采项目</w:t>
      </w:r>
      <w:r>
        <w:rPr>
          <w:sz w:val="24"/>
        </w:rPr>
        <w:t>对土壤环境质量基本不会造成不良影响。</w:t>
      </w:r>
    </w:p>
    <w:p w:rsidR="00EE4502" w:rsidRDefault="00FD45A3">
      <w:pPr>
        <w:pStyle w:val="33"/>
        <w:numPr>
          <w:ilvl w:val="2"/>
          <w:numId w:val="30"/>
        </w:numPr>
        <w:spacing w:line="360" w:lineRule="auto"/>
        <w:ind w:left="0" w:firstLine="0"/>
        <w:rPr>
          <w:spacing w:val="0"/>
          <w:sz w:val="24"/>
          <w:szCs w:val="24"/>
        </w:rPr>
      </w:pPr>
      <w:r>
        <w:rPr>
          <w:spacing w:val="0"/>
          <w:sz w:val="24"/>
          <w:szCs w:val="24"/>
        </w:rPr>
        <w:t>运营期对土壤环境的影响</w:t>
      </w:r>
    </w:p>
    <w:p w:rsidR="00EE4502" w:rsidRDefault="00FD45A3">
      <w:pPr>
        <w:spacing w:line="360" w:lineRule="auto"/>
        <w:ind w:firstLine="520"/>
        <w:rPr>
          <w:sz w:val="24"/>
        </w:rPr>
      </w:pPr>
      <w:r>
        <w:rPr>
          <w:sz w:val="24"/>
        </w:rPr>
        <w:t>根据油田开发设计方案，整个工艺采用全密闭流程，但在钻井、洗井、试油和修井等生产过程中，难以避免存在一定的</w:t>
      </w:r>
      <w:r>
        <w:rPr>
          <w:sz w:val="24"/>
        </w:rPr>
        <w:t>“</w:t>
      </w:r>
      <w:r>
        <w:rPr>
          <w:sz w:val="24"/>
        </w:rPr>
        <w:t>三废</w:t>
      </w:r>
      <w:r>
        <w:rPr>
          <w:sz w:val="24"/>
        </w:rPr>
        <w:t>”</w:t>
      </w:r>
      <w:r>
        <w:rPr>
          <w:sz w:val="24"/>
        </w:rPr>
        <w:t>排放。污染土壤环境的主要污染物为石油类，在油田的勘探和钻井采油过程中可能造成成品油或原油泄漏污染，如油井溅泄、储罐</w:t>
      </w:r>
      <w:r>
        <w:rPr>
          <w:rFonts w:hint="eastAsia"/>
          <w:sz w:val="24"/>
        </w:rPr>
        <w:t>泄漏</w:t>
      </w:r>
      <w:r>
        <w:rPr>
          <w:sz w:val="24"/>
        </w:rPr>
        <w:t>、管道溢漏等环境风险事故等，均可导致土壤受到不同程度的污染影响。</w:t>
      </w:r>
    </w:p>
    <w:p w:rsidR="00EE4502" w:rsidRDefault="00FD45A3">
      <w:pPr>
        <w:spacing w:line="360" w:lineRule="auto"/>
        <w:ind w:firstLine="520"/>
        <w:rPr>
          <w:sz w:val="24"/>
        </w:rPr>
      </w:pPr>
      <w:r>
        <w:rPr>
          <w:rFonts w:hint="eastAsia"/>
          <w:sz w:val="24"/>
        </w:rPr>
        <w:t>本工程</w:t>
      </w:r>
      <w:r>
        <w:rPr>
          <w:sz w:val="24"/>
        </w:rPr>
        <w:t>土壤影响类型途径见表</w:t>
      </w:r>
      <w:r>
        <w:rPr>
          <w:sz w:val="24"/>
        </w:rPr>
        <w:t>5-</w:t>
      </w:r>
      <w:r>
        <w:rPr>
          <w:rFonts w:hint="eastAsia"/>
          <w:sz w:val="24"/>
        </w:rPr>
        <w:t>4</w:t>
      </w:r>
      <w:r>
        <w:rPr>
          <w:sz w:val="24"/>
        </w:rPr>
        <w:t>-2</w:t>
      </w:r>
      <w:r>
        <w:rPr>
          <w:sz w:val="24"/>
        </w:rPr>
        <w:t>，影响因子见表</w:t>
      </w:r>
      <w:r>
        <w:rPr>
          <w:sz w:val="24"/>
        </w:rPr>
        <w:t>5-</w:t>
      </w:r>
      <w:r>
        <w:rPr>
          <w:rFonts w:hint="eastAsia"/>
          <w:sz w:val="24"/>
        </w:rPr>
        <w:t>4</w:t>
      </w:r>
      <w:r>
        <w:rPr>
          <w:sz w:val="24"/>
        </w:rPr>
        <w:t>-3</w:t>
      </w:r>
      <w:r>
        <w:rPr>
          <w:sz w:val="24"/>
        </w:rPr>
        <w:t>。</w:t>
      </w:r>
    </w:p>
    <w:p w:rsidR="00EE4502" w:rsidRDefault="00FD45A3">
      <w:pPr>
        <w:pStyle w:val="Char3e"/>
        <w:snapToGrid/>
        <w:ind w:firstLineChars="0" w:firstLine="0"/>
        <w:jc w:val="center"/>
        <w:rPr>
          <w:rFonts w:ascii="Times New Roman" w:eastAsia="黑体" w:hAnsi="Times New Roman"/>
          <w:b w:val="0"/>
          <w:szCs w:val="21"/>
        </w:rPr>
      </w:pPr>
      <w:r>
        <w:rPr>
          <w:rFonts w:ascii="Times New Roman" w:eastAsia="黑体" w:hAnsi="Times New Roman"/>
          <w:b w:val="0"/>
          <w:szCs w:val="21"/>
        </w:rPr>
        <w:t>表</w:t>
      </w:r>
      <w:r>
        <w:rPr>
          <w:rFonts w:ascii="Times New Roman" w:eastAsia="黑体" w:hAnsi="Times New Roman"/>
          <w:b w:val="0"/>
          <w:szCs w:val="21"/>
        </w:rPr>
        <w:t>5-</w:t>
      </w:r>
      <w:r>
        <w:rPr>
          <w:rFonts w:ascii="Times New Roman" w:eastAsia="黑体" w:hAnsi="Times New Roman" w:hint="eastAsia"/>
          <w:b w:val="0"/>
          <w:szCs w:val="21"/>
        </w:rPr>
        <w:t>4</w:t>
      </w:r>
      <w:r>
        <w:rPr>
          <w:rFonts w:ascii="Times New Roman" w:eastAsia="黑体" w:hAnsi="Times New Roman"/>
          <w:b w:val="0"/>
          <w:szCs w:val="21"/>
        </w:rPr>
        <w:t xml:space="preserve">-2    </w:t>
      </w:r>
      <w:r>
        <w:rPr>
          <w:rFonts w:ascii="Times New Roman" w:eastAsia="黑体" w:hAnsi="Times New Roman"/>
          <w:b w:val="0"/>
          <w:szCs w:val="21"/>
        </w:rPr>
        <w:t>建设项目土壤环境影响类型与影响</w:t>
      </w:r>
      <w:r>
        <w:rPr>
          <w:rFonts w:ascii="Times New Roman" w:eastAsia="黑体" w:hAnsi="Times New Roman" w:hint="eastAsia"/>
          <w:b w:val="0"/>
          <w:szCs w:val="21"/>
        </w:rPr>
        <w:t>途径</w:t>
      </w:r>
      <w:r>
        <w:rPr>
          <w:rFonts w:ascii="Times New Roman" w:eastAsia="黑体" w:hAnsi="Times New Roman"/>
          <w:b w:val="0"/>
          <w:szCs w:val="21"/>
        </w:rPr>
        <w:t>表</w:t>
      </w:r>
    </w:p>
    <w:tbl>
      <w:tblPr>
        <w:tblW w:w="4999" w:type="pct"/>
        <w:jc w:val="center"/>
        <w:tblBorders>
          <w:top w:val="single" w:sz="8" w:space="0" w:color="auto"/>
          <w:bottom w:val="single" w:sz="8" w:space="0" w:color="auto"/>
          <w:insideH w:val="single" w:sz="8" w:space="0" w:color="auto"/>
          <w:insideV w:val="single" w:sz="8" w:space="0" w:color="auto"/>
        </w:tblBorders>
        <w:tblLook w:val="04A0" w:firstRow="1" w:lastRow="0" w:firstColumn="1" w:lastColumn="0" w:noHBand="0" w:noVBand="1"/>
      </w:tblPr>
      <w:tblGrid>
        <w:gridCol w:w="1674"/>
        <w:gridCol w:w="1845"/>
        <w:gridCol w:w="1903"/>
        <w:gridCol w:w="1903"/>
        <w:gridCol w:w="1195"/>
      </w:tblGrid>
      <w:tr w:rsidR="00EE4502">
        <w:trPr>
          <w:trHeight w:val="340"/>
          <w:jc w:val="center"/>
        </w:trPr>
        <w:tc>
          <w:tcPr>
            <w:tcW w:w="982" w:type="pct"/>
            <w:vMerge w:val="restart"/>
            <w:vAlign w:val="center"/>
          </w:tcPr>
          <w:p w:rsidR="00EE4502" w:rsidRDefault="00FD45A3">
            <w:pPr>
              <w:jc w:val="center"/>
              <w:rPr>
                <w:sz w:val="18"/>
                <w:szCs w:val="18"/>
              </w:rPr>
            </w:pPr>
            <w:r>
              <w:rPr>
                <w:sz w:val="18"/>
                <w:szCs w:val="18"/>
              </w:rPr>
              <w:t>不同时段</w:t>
            </w:r>
          </w:p>
        </w:tc>
        <w:tc>
          <w:tcPr>
            <w:tcW w:w="4017" w:type="pct"/>
            <w:gridSpan w:val="4"/>
            <w:vAlign w:val="center"/>
          </w:tcPr>
          <w:p w:rsidR="00EE4502" w:rsidRDefault="00FD45A3">
            <w:pPr>
              <w:jc w:val="center"/>
              <w:rPr>
                <w:sz w:val="18"/>
                <w:szCs w:val="18"/>
              </w:rPr>
            </w:pPr>
            <w:r>
              <w:rPr>
                <w:sz w:val="18"/>
                <w:szCs w:val="18"/>
              </w:rPr>
              <w:t>污染影响型</w:t>
            </w:r>
          </w:p>
        </w:tc>
      </w:tr>
      <w:tr w:rsidR="00EE4502">
        <w:trPr>
          <w:trHeight w:val="340"/>
          <w:jc w:val="center"/>
        </w:trPr>
        <w:tc>
          <w:tcPr>
            <w:tcW w:w="982" w:type="pct"/>
            <w:vMerge/>
            <w:vAlign w:val="center"/>
          </w:tcPr>
          <w:p w:rsidR="00EE4502" w:rsidRDefault="00EE4502">
            <w:pPr>
              <w:jc w:val="center"/>
              <w:rPr>
                <w:sz w:val="18"/>
                <w:szCs w:val="18"/>
              </w:rPr>
            </w:pPr>
          </w:p>
        </w:tc>
        <w:tc>
          <w:tcPr>
            <w:tcW w:w="1082" w:type="pct"/>
            <w:vAlign w:val="center"/>
          </w:tcPr>
          <w:p w:rsidR="00EE4502" w:rsidRDefault="00FD45A3">
            <w:pPr>
              <w:jc w:val="center"/>
              <w:rPr>
                <w:sz w:val="18"/>
                <w:szCs w:val="18"/>
              </w:rPr>
            </w:pPr>
            <w:r>
              <w:rPr>
                <w:sz w:val="18"/>
                <w:szCs w:val="18"/>
              </w:rPr>
              <w:t>大气沉降</w:t>
            </w:r>
          </w:p>
        </w:tc>
        <w:tc>
          <w:tcPr>
            <w:tcW w:w="1117" w:type="pct"/>
            <w:vAlign w:val="center"/>
          </w:tcPr>
          <w:p w:rsidR="00EE4502" w:rsidRDefault="00FD45A3">
            <w:pPr>
              <w:jc w:val="center"/>
              <w:rPr>
                <w:sz w:val="18"/>
                <w:szCs w:val="18"/>
              </w:rPr>
            </w:pPr>
            <w:r>
              <w:rPr>
                <w:sz w:val="18"/>
                <w:szCs w:val="18"/>
              </w:rPr>
              <w:t>地面漫流</w:t>
            </w:r>
          </w:p>
        </w:tc>
        <w:tc>
          <w:tcPr>
            <w:tcW w:w="1117" w:type="pct"/>
            <w:vAlign w:val="center"/>
          </w:tcPr>
          <w:p w:rsidR="00EE4502" w:rsidRDefault="00FD45A3">
            <w:pPr>
              <w:jc w:val="center"/>
              <w:rPr>
                <w:sz w:val="18"/>
                <w:szCs w:val="18"/>
              </w:rPr>
            </w:pPr>
            <w:r>
              <w:rPr>
                <w:sz w:val="18"/>
                <w:szCs w:val="18"/>
              </w:rPr>
              <w:t>垂直入渗</w:t>
            </w:r>
          </w:p>
        </w:tc>
        <w:tc>
          <w:tcPr>
            <w:tcW w:w="699" w:type="pct"/>
            <w:vAlign w:val="center"/>
          </w:tcPr>
          <w:p w:rsidR="00EE4502" w:rsidRDefault="00FD45A3">
            <w:pPr>
              <w:jc w:val="center"/>
              <w:rPr>
                <w:sz w:val="18"/>
                <w:szCs w:val="18"/>
              </w:rPr>
            </w:pPr>
            <w:r>
              <w:rPr>
                <w:sz w:val="18"/>
                <w:szCs w:val="18"/>
              </w:rPr>
              <w:t>其他</w:t>
            </w:r>
          </w:p>
        </w:tc>
      </w:tr>
      <w:tr w:rsidR="00EE4502">
        <w:trPr>
          <w:trHeight w:val="340"/>
          <w:jc w:val="center"/>
        </w:trPr>
        <w:tc>
          <w:tcPr>
            <w:tcW w:w="982" w:type="pct"/>
            <w:vAlign w:val="center"/>
          </w:tcPr>
          <w:p w:rsidR="00EE4502" w:rsidRDefault="00FD45A3">
            <w:pPr>
              <w:jc w:val="center"/>
              <w:rPr>
                <w:sz w:val="18"/>
                <w:szCs w:val="18"/>
              </w:rPr>
            </w:pPr>
            <w:r>
              <w:rPr>
                <w:sz w:val="18"/>
                <w:szCs w:val="18"/>
              </w:rPr>
              <w:t>施工期</w:t>
            </w:r>
          </w:p>
        </w:tc>
        <w:tc>
          <w:tcPr>
            <w:tcW w:w="1082" w:type="pct"/>
            <w:vAlign w:val="center"/>
          </w:tcPr>
          <w:p w:rsidR="00EE4502" w:rsidRDefault="00FD45A3">
            <w:pPr>
              <w:jc w:val="center"/>
              <w:rPr>
                <w:sz w:val="18"/>
                <w:szCs w:val="18"/>
              </w:rPr>
            </w:pPr>
            <w:r>
              <w:rPr>
                <w:sz w:val="18"/>
                <w:szCs w:val="18"/>
              </w:rPr>
              <w:t>/</w:t>
            </w:r>
          </w:p>
        </w:tc>
        <w:tc>
          <w:tcPr>
            <w:tcW w:w="1117" w:type="pct"/>
            <w:vAlign w:val="center"/>
          </w:tcPr>
          <w:p w:rsidR="00EE4502" w:rsidRDefault="00FD45A3">
            <w:pPr>
              <w:jc w:val="center"/>
              <w:rPr>
                <w:sz w:val="18"/>
                <w:szCs w:val="18"/>
              </w:rPr>
            </w:pPr>
            <w:r>
              <w:rPr>
                <w:sz w:val="18"/>
                <w:szCs w:val="18"/>
              </w:rPr>
              <w:t>/</w:t>
            </w:r>
          </w:p>
        </w:tc>
        <w:tc>
          <w:tcPr>
            <w:tcW w:w="1117" w:type="pct"/>
            <w:vAlign w:val="center"/>
          </w:tcPr>
          <w:p w:rsidR="00EE4502" w:rsidRDefault="00FD45A3">
            <w:pPr>
              <w:jc w:val="center"/>
              <w:rPr>
                <w:sz w:val="18"/>
                <w:szCs w:val="18"/>
              </w:rPr>
            </w:pPr>
            <w:r>
              <w:rPr>
                <w:sz w:val="18"/>
                <w:szCs w:val="18"/>
              </w:rPr>
              <w:t>√</w:t>
            </w:r>
          </w:p>
        </w:tc>
        <w:tc>
          <w:tcPr>
            <w:tcW w:w="699" w:type="pct"/>
            <w:vAlign w:val="center"/>
          </w:tcPr>
          <w:p w:rsidR="00EE4502" w:rsidRDefault="00FD45A3">
            <w:pPr>
              <w:jc w:val="center"/>
              <w:rPr>
                <w:sz w:val="18"/>
                <w:szCs w:val="18"/>
              </w:rPr>
            </w:pPr>
            <w:r>
              <w:rPr>
                <w:sz w:val="18"/>
                <w:szCs w:val="18"/>
              </w:rPr>
              <w:t>/</w:t>
            </w:r>
          </w:p>
        </w:tc>
      </w:tr>
      <w:tr w:rsidR="00EE4502">
        <w:trPr>
          <w:trHeight w:val="340"/>
          <w:jc w:val="center"/>
        </w:trPr>
        <w:tc>
          <w:tcPr>
            <w:tcW w:w="982" w:type="pct"/>
            <w:vAlign w:val="center"/>
          </w:tcPr>
          <w:p w:rsidR="00EE4502" w:rsidRDefault="00FD45A3">
            <w:pPr>
              <w:jc w:val="center"/>
              <w:rPr>
                <w:sz w:val="18"/>
                <w:szCs w:val="18"/>
              </w:rPr>
            </w:pPr>
            <w:r>
              <w:rPr>
                <w:sz w:val="18"/>
                <w:szCs w:val="18"/>
              </w:rPr>
              <w:t>运营期</w:t>
            </w:r>
          </w:p>
        </w:tc>
        <w:tc>
          <w:tcPr>
            <w:tcW w:w="1082" w:type="pct"/>
            <w:vAlign w:val="center"/>
          </w:tcPr>
          <w:p w:rsidR="00EE4502" w:rsidRDefault="00FD45A3">
            <w:pPr>
              <w:jc w:val="center"/>
              <w:rPr>
                <w:sz w:val="18"/>
                <w:szCs w:val="18"/>
              </w:rPr>
            </w:pPr>
            <w:r>
              <w:rPr>
                <w:sz w:val="18"/>
                <w:szCs w:val="18"/>
              </w:rPr>
              <w:t>/</w:t>
            </w:r>
          </w:p>
        </w:tc>
        <w:tc>
          <w:tcPr>
            <w:tcW w:w="1117" w:type="pct"/>
            <w:vAlign w:val="center"/>
          </w:tcPr>
          <w:p w:rsidR="00EE4502" w:rsidRDefault="00FD45A3">
            <w:pPr>
              <w:jc w:val="center"/>
              <w:rPr>
                <w:sz w:val="18"/>
                <w:szCs w:val="18"/>
              </w:rPr>
            </w:pPr>
            <w:r>
              <w:rPr>
                <w:sz w:val="18"/>
                <w:szCs w:val="18"/>
              </w:rPr>
              <w:t>/</w:t>
            </w:r>
          </w:p>
        </w:tc>
        <w:tc>
          <w:tcPr>
            <w:tcW w:w="1117" w:type="pct"/>
            <w:vAlign w:val="center"/>
          </w:tcPr>
          <w:p w:rsidR="00EE4502" w:rsidRDefault="00FD45A3">
            <w:pPr>
              <w:jc w:val="center"/>
              <w:rPr>
                <w:sz w:val="18"/>
                <w:szCs w:val="18"/>
              </w:rPr>
            </w:pPr>
            <w:r>
              <w:rPr>
                <w:sz w:val="18"/>
                <w:szCs w:val="18"/>
              </w:rPr>
              <w:t>√</w:t>
            </w:r>
          </w:p>
        </w:tc>
        <w:tc>
          <w:tcPr>
            <w:tcW w:w="699" w:type="pct"/>
            <w:vAlign w:val="center"/>
          </w:tcPr>
          <w:p w:rsidR="00EE4502" w:rsidRDefault="00FD45A3">
            <w:pPr>
              <w:jc w:val="center"/>
              <w:rPr>
                <w:sz w:val="18"/>
                <w:szCs w:val="18"/>
              </w:rPr>
            </w:pPr>
            <w:r>
              <w:rPr>
                <w:sz w:val="18"/>
                <w:szCs w:val="18"/>
              </w:rPr>
              <w:t>/</w:t>
            </w:r>
          </w:p>
        </w:tc>
      </w:tr>
      <w:tr w:rsidR="00EE4502">
        <w:trPr>
          <w:trHeight w:val="340"/>
          <w:jc w:val="center"/>
        </w:trPr>
        <w:tc>
          <w:tcPr>
            <w:tcW w:w="982" w:type="pct"/>
            <w:vAlign w:val="center"/>
          </w:tcPr>
          <w:p w:rsidR="00EE4502" w:rsidRDefault="00FD45A3">
            <w:pPr>
              <w:jc w:val="center"/>
              <w:rPr>
                <w:sz w:val="18"/>
                <w:szCs w:val="18"/>
              </w:rPr>
            </w:pPr>
            <w:r>
              <w:rPr>
                <w:sz w:val="18"/>
                <w:szCs w:val="18"/>
              </w:rPr>
              <w:t>服务期满后</w:t>
            </w:r>
          </w:p>
        </w:tc>
        <w:tc>
          <w:tcPr>
            <w:tcW w:w="1082" w:type="pct"/>
            <w:vAlign w:val="center"/>
          </w:tcPr>
          <w:p w:rsidR="00EE4502" w:rsidRDefault="00FD45A3">
            <w:pPr>
              <w:jc w:val="center"/>
              <w:rPr>
                <w:sz w:val="18"/>
                <w:szCs w:val="18"/>
              </w:rPr>
            </w:pPr>
            <w:r>
              <w:rPr>
                <w:sz w:val="18"/>
                <w:szCs w:val="18"/>
              </w:rPr>
              <w:t>/</w:t>
            </w:r>
          </w:p>
        </w:tc>
        <w:tc>
          <w:tcPr>
            <w:tcW w:w="1117" w:type="pct"/>
            <w:vAlign w:val="center"/>
          </w:tcPr>
          <w:p w:rsidR="00EE4502" w:rsidRDefault="00FD45A3">
            <w:pPr>
              <w:jc w:val="center"/>
              <w:rPr>
                <w:sz w:val="18"/>
                <w:szCs w:val="18"/>
              </w:rPr>
            </w:pPr>
            <w:r>
              <w:rPr>
                <w:sz w:val="18"/>
                <w:szCs w:val="18"/>
              </w:rPr>
              <w:t>/</w:t>
            </w:r>
          </w:p>
        </w:tc>
        <w:tc>
          <w:tcPr>
            <w:tcW w:w="1117" w:type="pct"/>
            <w:vAlign w:val="center"/>
          </w:tcPr>
          <w:p w:rsidR="00EE4502" w:rsidRDefault="00FD45A3">
            <w:pPr>
              <w:jc w:val="center"/>
              <w:rPr>
                <w:sz w:val="18"/>
                <w:szCs w:val="18"/>
              </w:rPr>
            </w:pPr>
            <w:r>
              <w:rPr>
                <w:sz w:val="18"/>
                <w:szCs w:val="18"/>
              </w:rPr>
              <w:t>/</w:t>
            </w:r>
          </w:p>
        </w:tc>
        <w:tc>
          <w:tcPr>
            <w:tcW w:w="699" w:type="pct"/>
            <w:vAlign w:val="center"/>
          </w:tcPr>
          <w:p w:rsidR="00EE4502" w:rsidRDefault="00FD45A3">
            <w:pPr>
              <w:jc w:val="center"/>
              <w:rPr>
                <w:sz w:val="18"/>
                <w:szCs w:val="18"/>
              </w:rPr>
            </w:pPr>
            <w:r>
              <w:rPr>
                <w:sz w:val="18"/>
                <w:szCs w:val="18"/>
              </w:rPr>
              <w:t>/</w:t>
            </w:r>
          </w:p>
        </w:tc>
      </w:tr>
    </w:tbl>
    <w:p w:rsidR="00EE4502" w:rsidRDefault="00EE4502">
      <w:pPr>
        <w:jc w:val="center"/>
        <w:rPr>
          <w:b/>
          <w:kern w:val="21"/>
          <w:szCs w:val="21"/>
        </w:rPr>
      </w:pPr>
    </w:p>
    <w:p w:rsidR="00EE4502" w:rsidRDefault="00FD45A3">
      <w:pPr>
        <w:pStyle w:val="Char3e"/>
        <w:snapToGrid/>
        <w:ind w:firstLineChars="0" w:firstLine="0"/>
        <w:jc w:val="center"/>
        <w:rPr>
          <w:rFonts w:ascii="Times New Roman" w:eastAsia="黑体" w:hAnsi="Times New Roman"/>
          <w:b w:val="0"/>
          <w:szCs w:val="21"/>
        </w:rPr>
      </w:pPr>
      <w:r>
        <w:rPr>
          <w:rFonts w:ascii="Times New Roman" w:eastAsia="黑体" w:hAnsi="Times New Roman"/>
          <w:b w:val="0"/>
          <w:szCs w:val="21"/>
        </w:rPr>
        <w:t>表</w:t>
      </w:r>
      <w:r>
        <w:rPr>
          <w:rFonts w:ascii="Times New Roman" w:eastAsia="黑体" w:hAnsi="Times New Roman"/>
          <w:b w:val="0"/>
          <w:szCs w:val="21"/>
        </w:rPr>
        <w:t>5-</w:t>
      </w:r>
      <w:r>
        <w:rPr>
          <w:rFonts w:ascii="Times New Roman" w:eastAsia="黑体" w:hAnsi="Times New Roman" w:hint="eastAsia"/>
          <w:b w:val="0"/>
          <w:szCs w:val="21"/>
        </w:rPr>
        <w:t>4</w:t>
      </w:r>
      <w:r>
        <w:rPr>
          <w:rFonts w:ascii="Times New Roman" w:eastAsia="黑体" w:hAnsi="Times New Roman"/>
          <w:b w:val="0"/>
          <w:szCs w:val="21"/>
        </w:rPr>
        <w:t xml:space="preserve">-3    </w:t>
      </w:r>
      <w:r>
        <w:rPr>
          <w:rFonts w:ascii="Times New Roman" w:eastAsia="黑体" w:hAnsi="Times New Roman"/>
          <w:b w:val="0"/>
          <w:szCs w:val="21"/>
        </w:rPr>
        <w:t>污染影响型建设项目土壤环境影响源及影响因子识别表</w:t>
      </w:r>
    </w:p>
    <w:tbl>
      <w:tblPr>
        <w:tblW w:w="4998" w:type="pct"/>
        <w:jc w:val="center"/>
        <w:tblBorders>
          <w:top w:val="single" w:sz="8" w:space="0" w:color="auto"/>
          <w:bottom w:val="single" w:sz="8" w:space="0" w:color="auto"/>
          <w:insideH w:val="single" w:sz="8" w:space="0" w:color="auto"/>
          <w:insideV w:val="single" w:sz="8" w:space="0" w:color="auto"/>
        </w:tblBorders>
        <w:tblLook w:val="04A0" w:firstRow="1" w:lastRow="0" w:firstColumn="1" w:lastColumn="0" w:noHBand="0" w:noVBand="1"/>
      </w:tblPr>
      <w:tblGrid>
        <w:gridCol w:w="4367"/>
        <w:gridCol w:w="1153"/>
        <w:gridCol w:w="1153"/>
        <w:gridCol w:w="1153"/>
        <w:gridCol w:w="693"/>
      </w:tblGrid>
      <w:tr w:rsidR="00EE4502">
        <w:trPr>
          <w:trHeight w:val="340"/>
          <w:jc w:val="center"/>
        </w:trPr>
        <w:tc>
          <w:tcPr>
            <w:tcW w:w="2561" w:type="pct"/>
            <w:vAlign w:val="center"/>
          </w:tcPr>
          <w:p w:rsidR="00EE4502" w:rsidRDefault="00FD45A3">
            <w:pPr>
              <w:jc w:val="center"/>
              <w:rPr>
                <w:bCs/>
                <w:sz w:val="18"/>
                <w:szCs w:val="18"/>
              </w:rPr>
            </w:pPr>
            <w:r>
              <w:rPr>
                <w:bCs/>
                <w:sz w:val="18"/>
                <w:szCs w:val="18"/>
              </w:rPr>
              <w:t>污染源</w:t>
            </w:r>
          </w:p>
        </w:tc>
        <w:tc>
          <w:tcPr>
            <w:tcW w:w="676" w:type="pct"/>
            <w:vAlign w:val="center"/>
          </w:tcPr>
          <w:p w:rsidR="00EE4502" w:rsidRDefault="00FD45A3">
            <w:pPr>
              <w:jc w:val="center"/>
              <w:rPr>
                <w:bCs/>
                <w:sz w:val="18"/>
                <w:szCs w:val="18"/>
              </w:rPr>
            </w:pPr>
            <w:r>
              <w:rPr>
                <w:bCs/>
                <w:sz w:val="18"/>
                <w:szCs w:val="18"/>
              </w:rPr>
              <w:t>工艺流程</w:t>
            </w:r>
          </w:p>
        </w:tc>
        <w:tc>
          <w:tcPr>
            <w:tcW w:w="676" w:type="pct"/>
            <w:vAlign w:val="center"/>
          </w:tcPr>
          <w:p w:rsidR="00EE4502" w:rsidRDefault="00FD45A3">
            <w:pPr>
              <w:jc w:val="center"/>
              <w:rPr>
                <w:bCs/>
                <w:sz w:val="18"/>
                <w:szCs w:val="18"/>
              </w:rPr>
            </w:pPr>
            <w:r>
              <w:rPr>
                <w:bCs/>
                <w:sz w:val="18"/>
                <w:szCs w:val="18"/>
              </w:rPr>
              <w:t>污染途径</w:t>
            </w:r>
          </w:p>
        </w:tc>
        <w:tc>
          <w:tcPr>
            <w:tcW w:w="676" w:type="pct"/>
            <w:vAlign w:val="center"/>
          </w:tcPr>
          <w:p w:rsidR="00EE4502" w:rsidRDefault="00FD45A3">
            <w:pPr>
              <w:jc w:val="center"/>
              <w:rPr>
                <w:bCs/>
                <w:sz w:val="18"/>
                <w:szCs w:val="18"/>
              </w:rPr>
            </w:pPr>
            <w:r>
              <w:rPr>
                <w:bCs/>
                <w:sz w:val="18"/>
                <w:szCs w:val="18"/>
              </w:rPr>
              <w:t>特征因子</w:t>
            </w:r>
          </w:p>
        </w:tc>
        <w:tc>
          <w:tcPr>
            <w:tcW w:w="407" w:type="pct"/>
            <w:vAlign w:val="center"/>
          </w:tcPr>
          <w:p w:rsidR="00EE4502" w:rsidRDefault="00FD45A3">
            <w:pPr>
              <w:jc w:val="center"/>
              <w:rPr>
                <w:bCs/>
                <w:sz w:val="18"/>
                <w:szCs w:val="18"/>
              </w:rPr>
            </w:pPr>
            <w:r>
              <w:rPr>
                <w:bCs/>
                <w:sz w:val="18"/>
                <w:szCs w:val="18"/>
              </w:rPr>
              <w:t>备注</w:t>
            </w:r>
          </w:p>
        </w:tc>
      </w:tr>
      <w:tr w:rsidR="00EE4502">
        <w:trPr>
          <w:trHeight w:val="340"/>
          <w:jc w:val="center"/>
        </w:trPr>
        <w:tc>
          <w:tcPr>
            <w:tcW w:w="2561" w:type="pct"/>
            <w:vAlign w:val="center"/>
          </w:tcPr>
          <w:p w:rsidR="00EE4502" w:rsidRDefault="00FD45A3">
            <w:pPr>
              <w:jc w:val="center"/>
              <w:rPr>
                <w:sz w:val="18"/>
                <w:szCs w:val="18"/>
              </w:rPr>
            </w:pPr>
            <w:r>
              <w:rPr>
                <w:rFonts w:hint="eastAsia"/>
                <w:sz w:val="18"/>
                <w:szCs w:val="18"/>
              </w:rPr>
              <w:t>井喷的落地油、井下作业废水、</w:t>
            </w:r>
            <w:r>
              <w:rPr>
                <w:sz w:val="18"/>
                <w:szCs w:val="18"/>
              </w:rPr>
              <w:t>输油管线</w:t>
            </w:r>
          </w:p>
        </w:tc>
        <w:tc>
          <w:tcPr>
            <w:tcW w:w="676" w:type="pct"/>
            <w:vAlign w:val="center"/>
          </w:tcPr>
          <w:p w:rsidR="00EE4502" w:rsidRDefault="00FD45A3">
            <w:pPr>
              <w:jc w:val="center"/>
              <w:rPr>
                <w:sz w:val="18"/>
                <w:szCs w:val="18"/>
              </w:rPr>
            </w:pPr>
            <w:r>
              <w:rPr>
                <w:sz w:val="18"/>
                <w:szCs w:val="18"/>
              </w:rPr>
              <w:t>/</w:t>
            </w:r>
          </w:p>
        </w:tc>
        <w:tc>
          <w:tcPr>
            <w:tcW w:w="676" w:type="pct"/>
            <w:vAlign w:val="center"/>
          </w:tcPr>
          <w:p w:rsidR="00EE4502" w:rsidRDefault="00FD45A3">
            <w:pPr>
              <w:jc w:val="center"/>
              <w:rPr>
                <w:sz w:val="18"/>
                <w:szCs w:val="18"/>
              </w:rPr>
            </w:pPr>
            <w:r>
              <w:rPr>
                <w:sz w:val="18"/>
                <w:szCs w:val="18"/>
              </w:rPr>
              <w:t>垂直入渗</w:t>
            </w:r>
          </w:p>
        </w:tc>
        <w:tc>
          <w:tcPr>
            <w:tcW w:w="676" w:type="pct"/>
            <w:vAlign w:val="center"/>
          </w:tcPr>
          <w:p w:rsidR="00EE4502" w:rsidRDefault="00FD45A3">
            <w:pPr>
              <w:jc w:val="center"/>
              <w:rPr>
                <w:sz w:val="18"/>
                <w:szCs w:val="18"/>
              </w:rPr>
            </w:pPr>
            <w:r>
              <w:rPr>
                <w:sz w:val="18"/>
                <w:szCs w:val="18"/>
              </w:rPr>
              <w:t>石油类</w:t>
            </w:r>
          </w:p>
        </w:tc>
        <w:tc>
          <w:tcPr>
            <w:tcW w:w="407" w:type="pct"/>
            <w:vAlign w:val="center"/>
          </w:tcPr>
          <w:p w:rsidR="00EE4502" w:rsidRDefault="00FD45A3">
            <w:pPr>
              <w:jc w:val="center"/>
              <w:rPr>
                <w:sz w:val="18"/>
                <w:szCs w:val="18"/>
              </w:rPr>
            </w:pPr>
            <w:r>
              <w:rPr>
                <w:sz w:val="18"/>
                <w:szCs w:val="18"/>
              </w:rPr>
              <w:t>/</w:t>
            </w:r>
          </w:p>
        </w:tc>
      </w:tr>
    </w:tbl>
    <w:p w:rsidR="00EE4502" w:rsidRDefault="00EE4502">
      <w:pPr>
        <w:jc w:val="center"/>
        <w:rPr>
          <w:b/>
          <w:kern w:val="21"/>
          <w:szCs w:val="21"/>
        </w:rPr>
      </w:pPr>
    </w:p>
    <w:p w:rsidR="00EE4502" w:rsidRDefault="00FD45A3">
      <w:pPr>
        <w:spacing w:line="360" w:lineRule="auto"/>
        <w:ind w:firstLine="520"/>
        <w:rPr>
          <w:sz w:val="24"/>
        </w:rPr>
      </w:pPr>
      <w:r>
        <w:rPr>
          <w:sz w:val="24"/>
        </w:rPr>
        <w:t>根据建设项目对土壤环境可能产生的影响主要为管线</w:t>
      </w:r>
      <w:r>
        <w:rPr>
          <w:rFonts w:hint="eastAsia"/>
          <w:sz w:val="24"/>
        </w:rPr>
        <w:t>油品泄漏</w:t>
      </w:r>
      <w:r>
        <w:rPr>
          <w:sz w:val="24"/>
        </w:rPr>
        <w:t>，垂直下渗造成的土壤污染。故将</w:t>
      </w:r>
      <w:r>
        <w:rPr>
          <w:rFonts w:hint="eastAsia"/>
          <w:sz w:val="24"/>
        </w:rPr>
        <w:t>本工程</w:t>
      </w:r>
      <w:r>
        <w:rPr>
          <w:sz w:val="24"/>
        </w:rPr>
        <w:t>土壤环境影响类型划分为污染影响型，主要影响方式为垂直下渗。</w:t>
      </w:r>
    </w:p>
    <w:p w:rsidR="00EE4502" w:rsidRDefault="00FD45A3">
      <w:pPr>
        <w:spacing w:line="360" w:lineRule="auto"/>
        <w:ind w:firstLine="520"/>
        <w:rPr>
          <w:sz w:val="24"/>
        </w:rPr>
      </w:pPr>
      <w:r>
        <w:rPr>
          <w:sz w:val="24"/>
        </w:rPr>
        <w:t>（</w:t>
      </w:r>
      <w:r>
        <w:rPr>
          <w:sz w:val="24"/>
        </w:rPr>
        <w:t>2</w:t>
      </w:r>
      <w:r>
        <w:rPr>
          <w:sz w:val="24"/>
        </w:rPr>
        <w:t>）正常状况下对土壤环境的影响分析</w:t>
      </w:r>
    </w:p>
    <w:p w:rsidR="00EE4502" w:rsidRDefault="00FD45A3">
      <w:pPr>
        <w:spacing w:line="360" w:lineRule="auto"/>
        <w:ind w:firstLine="520"/>
        <w:rPr>
          <w:sz w:val="24"/>
        </w:rPr>
      </w:pPr>
      <w:r>
        <w:rPr>
          <w:rFonts w:hint="eastAsia"/>
          <w:sz w:val="24"/>
        </w:rPr>
        <w:lastRenderedPageBreak/>
        <w:t>本工程</w:t>
      </w:r>
      <w:r>
        <w:rPr>
          <w:sz w:val="24"/>
        </w:rPr>
        <w:t>污染土壤的途径主要为原油输送过程中发生跑冒滴漏，渗入土壤对土壤产生影响。</w:t>
      </w:r>
      <w:r>
        <w:rPr>
          <w:rFonts w:hint="eastAsia"/>
          <w:sz w:val="24"/>
        </w:rPr>
        <w:t>正常</w:t>
      </w:r>
      <w:r>
        <w:rPr>
          <w:sz w:val="24"/>
        </w:rPr>
        <w:t>生产过程中液体物料配置均为全密闭管路连接，不会出现溢出和</w:t>
      </w:r>
      <w:r>
        <w:rPr>
          <w:rFonts w:hint="eastAsia"/>
          <w:sz w:val="24"/>
        </w:rPr>
        <w:t>泄漏</w:t>
      </w:r>
      <w:r>
        <w:rPr>
          <w:sz w:val="24"/>
        </w:rPr>
        <w:t>情况</w:t>
      </w:r>
      <w:r>
        <w:rPr>
          <w:rFonts w:hint="eastAsia"/>
          <w:sz w:val="24"/>
        </w:rPr>
        <w:t>。</w:t>
      </w:r>
    </w:p>
    <w:p w:rsidR="00EE4502" w:rsidRDefault="00FD45A3">
      <w:pPr>
        <w:spacing w:line="360" w:lineRule="auto"/>
        <w:ind w:firstLine="520"/>
        <w:rPr>
          <w:sz w:val="24"/>
        </w:rPr>
      </w:pPr>
      <w:r>
        <w:rPr>
          <w:sz w:val="24"/>
        </w:rPr>
        <w:t>（</w:t>
      </w:r>
      <w:r>
        <w:rPr>
          <w:sz w:val="24"/>
        </w:rPr>
        <w:t>3</w:t>
      </w:r>
      <w:r>
        <w:rPr>
          <w:sz w:val="24"/>
        </w:rPr>
        <w:t>）非正常状况下对土壤环境的影响分析</w:t>
      </w:r>
    </w:p>
    <w:p w:rsidR="00EE4502" w:rsidRDefault="00FD45A3">
      <w:pPr>
        <w:spacing w:line="360" w:lineRule="auto"/>
        <w:ind w:firstLine="520"/>
        <w:rPr>
          <w:sz w:val="24"/>
        </w:rPr>
      </w:pPr>
      <w:r>
        <w:rPr>
          <w:rFonts w:ascii="宋体" w:hAnsi="宋体" w:cs="宋体" w:hint="eastAsia"/>
          <w:sz w:val="24"/>
        </w:rPr>
        <w:t>①原油泄漏情况分析</w:t>
      </w:r>
    </w:p>
    <w:p w:rsidR="00EE4502" w:rsidRDefault="00FD45A3">
      <w:pPr>
        <w:spacing w:line="360" w:lineRule="auto"/>
        <w:ind w:firstLine="520"/>
        <w:rPr>
          <w:sz w:val="24"/>
        </w:rPr>
      </w:pPr>
      <w:r>
        <w:rPr>
          <w:sz w:val="24"/>
        </w:rPr>
        <w:t>项目</w:t>
      </w:r>
      <w:r>
        <w:rPr>
          <w:rFonts w:hint="eastAsia"/>
          <w:sz w:val="24"/>
        </w:rPr>
        <w:t>运营期</w:t>
      </w:r>
      <w:r>
        <w:rPr>
          <w:sz w:val="24"/>
        </w:rPr>
        <w:t>最有可能对土壤环境造成影响的情况为</w:t>
      </w:r>
      <w:r>
        <w:rPr>
          <w:rFonts w:hint="eastAsia"/>
          <w:sz w:val="24"/>
        </w:rPr>
        <w:t>原油泄漏</w:t>
      </w:r>
      <w:r>
        <w:rPr>
          <w:sz w:val="24"/>
        </w:rPr>
        <w:t>，本次土壤预测考虑为石油类。</w:t>
      </w:r>
    </w:p>
    <w:p w:rsidR="00EE4502" w:rsidRDefault="00FD45A3">
      <w:pPr>
        <w:spacing w:line="360" w:lineRule="auto"/>
        <w:ind w:firstLine="520"/>
        <w:rPr>
          <w:sz w:val="24"/>
        </w:rPr>
      </w:pPr>
      <w:r>
        <w:rPr>
          <w:sz w:val="24"/>
        </w:rPr>
        <w:t>污染物从污染源进入土壤所经过的路径称为土壤污染途径，土壤污染途径是多种多样的。根据工程分析，拟建项目可能对土壤造成污染的途径主要有：发生</w:t>
      </w:r>
      <w:r>
        <w:rPr>
          <w:rFonts w:hint="eastAsia"/>
          <w:sz w:val="24"/>
        </w:rPr>
        <w:t>泄漏</w:t>
      </w:r>
      <w:r>
        <w:rPr>
          <w:sz w:val="24"/>
        </w:rPr>
        <w:t>对土壤造成的影响。工程区内土壤类型主要为</w:t>
      </w:r>
      <w:r>
        <w:rPr>
          <w:rFonts w:hint="eastAsia"/>
          <w:sz w:val="24"/>
        </w:rPr>
        <w:t>潮</w:t>
      </w:r>
      <w:r>
        <w:rPr>
          <w:sz w:val="24"/>
        </w:rPr>
        <w:t>土。</w:t>
      </w:r>
    </w:p>
    <w:p w:rsidR="00EE4502" w:rsidRDefault="00FD45A3">
      <w:pPr>
        <w:spacing w:line="360" w:lineRule="auto"/>
        <w:ind w:firstLine="520"/>
        <w:rPr>
          <w:sz w:val="24"/>
        </w:rPr>
      </w:pPr>
      <w:r>
        <w:rPr>
          <w:sz w:val="24"/>
        </w:rPr>
        <w:t>本次评价采用类比分析法，对污染物进入土</w:t>
      </w:r>
      <w:r>
        <w:rPr>
          <w:sz w:val="24"/>
        </w:rPr>
        <w:t>壤后的石油类含量预测分析。</w:t>
      </w:r>
    </w:p>
    <w:p w:rsidR="00EE4502" w:rsidRDefault="00FD45A3">
      <w:pPr>
        <w:spacing w:line="360" w:lineRule="auto"/>
        <w:ind w:firstLine="520"/>
        <w:rPr>
          <w:sz w:val="24"/>
        </w:rPr>
      </w:pPr>
      <w:r>
        <w:rPr>
          <w:sz w:val="24"/>
        </w:rPr>
        <w:t>本次预测评价因子为石油类。根据《采油废水中石油类污染物在土壤中的迁移规律研究》（岳战林等，</w:t>
      </w:r>
      <w:r>
        <w:rPr>
          <w:sz w:val="24"/>
        </w:rPr>
        <w:t>2009</w:t>
      </w:r>
      <w:r>
        <w:rPr>
          <w:sz w:val="24"/>
        </w:rPr>
        <w:t>），通过实地采集样品和室内模拟实验，重点分析了在</w:t>
      </w:r>
      <w:r>
        <w:rPr>
          <w:rFonts w:hint="eastAsia"/>
          <w:sz w:val="24"/>
        </w:rPr>
        <w:t>潮</w:t>
      </w:r>
      <w:r>
        <w:rPr>
          <w:sz w:val="24"/>
        </w:rPr>
        <w:t>土、</w:t>
      </w:r>
      <w:r>
        <w:rPr>
          <w:rFonts w:hint="eastAsia"/>
          <w:sz w:val="24"/>
        </w:rPr>
        <w:t>灰漠</w:t>
      </w:r>
      <w:r>
        <w:rPr>
          <w:sz w:val="24"/>
        </w:rPr>
        <w:t>土、草甸土等有代表性的土壤类型中，石油类随污水迁移的规律。对于质地粗、吸附能力相对弱的风沙土、漠土，尽管污水下渗速度很快，但土体对石油类污染物仍然具有很强的吸附截留能力。石油对土壤的污染随污水输入的石油类物质主要集中分布在土柱</w:t>
      </w:r>
      <w:r>
        <w:rPr>
          <w:sz w:val="24"/>
        </w:rPr>
        <w:t>0</w:t>
      </w:r>
      <w:r>
        <w:rPr>
          <w:sz w:val="24"/>
        </w:rPr>
        <w:t>～</w:t>
      </w:r>
      <w:r>
        <w:rPr>
          <w:sz w:val="24"/>
        </w:rPr>
        <w:t xml:space="preserve">20 cm </w:t>
      </w:r>
      <w:r>
        <w:rPr>
          <w:sz w:val="24"/>
        </w:rPr>
        <w:t>表层土壤内，其中表层</w:t>
      </w:r>
      <w:r>
        <w:rPr>
          <w:sz w:val="24"/>
        </w:rPr>
        <w:t>0</w:t>
      </w:r>
      <w:r>
        <w:rPr>
          <w:sz w:val="24"/>
        </w:rPr>
        <w:t>～</w:t>
      </w:r>
      <w:r>
        <w:rPr>
          <w:sz w:val="24"/>
        </w:rPr>
        <w:t xml:space="preserve">10 cm </w:t>
      </w:r>
      <w:r>
        <w:rPr>
          <w:sz w:val="24"/>
        </w:rPr>
        <w:t>土壤截留了约</w:t>
      </w:r>
      <w:r>
        <w:rPr>
          <w:sz w:val="24"/>
        </w:rPr>
        <w:t>90 %</w:t>
      </w:r>
      <w:r>
        <w:rPr>
          <w:sz w:val="24"/>
        </w:rPr>
        <w:t>以上的输入原油，高、低浓度污水</w:t>
      </w:r>
      <w:r>
        <w:rPr>
          <w:sz w:val="24"/>
        </w:rPr>
        <w:t>浇灌的结果都是如此，只是</w:t>
      </w:r>
      <w:r>
        <w:rPr>
          <w:sz w:val="24"/>
        </w:rPr>
        <w:t>0</w:t>
      </w:r>
      <w:r>
        <w:rPr>
          <w:sz w:val="24"/>
        </w:rPr>
        <w:t>～</w:t>
      </w:r>
      <w:r>
        <w:rPr>
          <w:sz w:val="24"/>
        </w:rPr>
        <w:t xml:space="preserve">10 cm </w:t>
      </w:r>
      <w:r>
        <w:rPr>
          <w:sz w:val="24"/>
        </w:rPr>
        <w:t>土层的石油类含量绝对数值不同而已。污染物在垂直方向上的超标扩散距离和包气带底部石油类浓度，详见表</w:t>
      </w:r>
      <w:r>
        <w:rPr>
          <w:sz w:val="24"/>
        </w:rPr>
        <w:t>5-</w:t>
      </w:r>
      <w:r>
        <w:rPr>
          <w:rFonts w:hint="eastAsia"/>
          <w:sz w:val="24"/>
        </w:rPr>
        <w:t>4</w:t>
      </w:r>
      <w:r>
        <w:rPr>
          <w:sz w:val="24"/>
        </w:rPr>
        <w:t>-4</w:t>
      </w:r>
      <w:r>
        <w:rPr>
          <w:sz w:val="24"/>
        </w:rPr>
        <w:t>。</w:t>
      </w:r>
    </w:p>
    <w:p w:rsidR="00EE4502" w:rsidRDefault="00FD45A3">
      <w:pPr>
        <w:pStyle w:val="Char3e"/>
        <w:snapToGrid/>
        <w:ind w:firstLineChars="0" w:firstLine="0"/>
        <w:jc w:val="center"/>
        <w:rPr>
          <w:rFonts w:ascii="Times New Roman" w:eastAsia="黑体" w:hAnsi="Times New Roman"/>
          <w:b w:val="0"/>
          <w:szCs w:val="21"/>
        </w:rPr>
      </w:pPr>
      <w:r>
        <w:rPr>
          <w:rFonts w:ascii="Times New Roman" w:eastAsia="黑体" w:hAnsi="Times New Roman"/>
          <w:b w:val="0"/>
          <w:szCs w:val="21"/>
        </w:rPr>
        <w:t>表</w:t>
      </w:r>
      <w:r>
        <w:rPr>
          <w:rFonts w:ascii="Times New Roman" w:eastAsia="黑体" w:hAnsi="Times New Roman"/>
          <w:b w:val="0"/>
          <w:szCs w:val="21"/>
        </w:rPr>
        <w:t>5-</w:t>
      </w:r>
      <w:r>
        <w:rPr>
          <w:rFonts w:ascii="Times New Roman" w:eastAsia="黑体" w:hAnsi="Times New Roman" w:hint="eastAsia"/>
          <w:b w:val="0"/>
          <w:szCs w:val="21"/>
        </w:rPr>
        <w:t>4</w:t>
      </w:r>
      <w:r>
        <w:rPr>
          <w:rFonts w:ascii="Times New Roman" w:eastAsia="黑体" w:hAnsi="Times New Roman"/>
          <w:b w:val="0"/>
          <w:szCs w:val="21"/>
        </w:rPr>
        <w:t xml:space="preserve">-4    </w:t>
      </w:r>
      <w:r>
        <w:rPr>
          <w:rFonts w:ascii="Times New Roman" w:eastAsia="黑体" w:hAnsi="Times New Roman"/>
          <w:b w:val="0"/>
          <w:szCs w:val="21"/>
        </w:rPr>
        <w:t>非正常情况下污染物在非饱和带中的超标扩散距离预测结果表</w:t>
      </w:r>
    </w:p>
    <w:tbl>
      <w:tblPr>
        <w:tblW w:w="5000" w:type="pct"/>
        <w:jc w:val="center"/>
        <w:tblBorders>
          <w:top w:val="single" w:sz="8" w:space="0" w:color="auto"/>
          <w:bottom w:val="single" w:sz="8" w:space="0" w:color="auto"/>
          <w:insideH w:val="single" w:sz="8" w:space="0" w:color="auto"/>
          <w:insideV w:val="single" w:sz="8" w:space="0" w:color="auto"/>
        </w:tblBorders>
        <w:tblLook w:val="04A0" w:firstRow="1" w:lastRow="0" w:firstColumn="1" w:lastColumn="0" w:noHBand="0" w:noVBand="1"/>
      </w:tblPr>
      <w:tblGrid>
        <w:gridCol w:w="4261"/>
        <w:gridCol w:w="4261"/>
      </w:tblGrid>
      <w:tr w:rsidR="00EE4502">
        <w:trPr>
          <w:trHeight w:val="340"/>
          <w:jc w:val="center"/>
        </w:trPr>
        <w:tc>
          <w:tcPr>
            <w:tcW w:w="2500" w:type="pct"/>
            <w:vAlign w:val="center"/>
          </w:tcPr>
          <w:p w:rsidR="00EE4502" w:rsidRDefault="00FD45A3">
            <w:pPr>
              <w:jc w:val="center"/>
              <w:rPr>
                <w:bCs/>
                <w:sz w:val="18"/>
                <w:szCs w:val="18"/>
                <w:lang w:val="zh-CN"/>
              </w:rPr>
            </w:pPr>
            <w:r>
              <w:rPr>
                <w:bCs/>
                <w:sz w:val="18"/>
                <w:szCs w:val="18"/>
                <w:lang w:val="zh-CN"/>
              </w:rPr>
              <w:t>土层深度（</w:t>
            </w:r>
            <w:r>
              <w:rPr>
                <w:bCs/>
                <w:sz w:val="18"/>
                <w:szCs w:val="18"/>
                <w:lang w:val="zh-CN"/>
              </w:rPr>
              <w:t>cm</w:t>
            </w:r>
            <w:r>
              <w:rPr>
                <w:bCs/>
                <w:sz w:val="18"/>
                <w:szCs w:val="18"/>
                <w:lang w:val="zh-CN"/>
              </w:rPr>
              <w:t>）</w:t>
            </w:r>
          </w:p>
        </w:tc>
        <w:tc>
          <w:tcPr>
            <w:tcW w:w="2500" w:type="pct"/>
            <w:vAlign w:val="center"/>
          </w:tcPr>
          <w:p w:rsidR="00EE4502" w:rsidRDefault="00FD45A3">
            <w:pPr>
              <w:jc w:val="center"/>
              <w:rPr>
                <w:bCs/>
                <w:sz w:val="18"/>
                <w:szCs w:val="18"/>
                <w:lang w:val="zh-CN"/>
              </w:rPr>
            </w:pPr>
            <w:r>
              <w:rPr>
                <w:bCs/>
                <w:sz w:val="18"/>
                <w:szCs w:val="18"/>
                <w:lang w:val="zh-CN"/>
              </w:rPr>
              <w:t>含油量（</w:t>
            </w:r>
            <w:r>
              <w:rPr>
                <w:bCs/>
                <w:sz w:val="18"/>
                <w:szCs w:val="18"/>
                <w:lang w:val="zh-CN"/>
              </w:rPr>
              <w:t>mg/kg</w:t>
            </w:r>
            <w:r>
              <w:rPr>
                <w:bCs/>
                <w:sz w:val="18"/>
                <w:szCs w:val="18"/>
                <w:lang w:val="zh-CN"/>
              </w:rPr>
              <w:t>）</w:t>
            </w:r>
          </w:p>
        </w:tc>
      </w:tr>
      <w:tr w:rsidR="00EE4502">
        <w:trPr>
          <w:trHeight w:val="340"/>
          <w:jc w:val="center"/>
        </w:trPr>
        <w:tc>
          <w:tcPr>
            <w:tcW w:w="2500" w:type="pct"/>
            <w:vAlign w:val="center"/>
          </w:tcPr>
          <w:p w:rsidR="00EE4502" w:rsidRDefault="00FD45A3">
            <w:pPr>
              <w:jc w:val="center"/>
              <w:rPr>
                <w:bCs/>
                <w:sz w:val="18"/>
                <w:szCs w:val="18"/>
                <w:lang w:val="zh-CN"/>
              </w:rPr>
            </w:pPr>
            <w:r>
              <w:rPr>
                <w:bCs/>
                <w:sz w:val="18"/>
                <w:szCs w:val="18"/>
                <w:lang w:val="zh-CN"/>
              </w:rPr>
              <w:t>0~5</w:t>
            </w:r>
          </w:p>
        </w:tc>
        <w:tc>
          <w:tcPr>
            <w:tcW w:w="2500" w:type="pct"/>
            <w:vAlign w:val="center"/>
          </w:tcPr>
          <w:p w:rsidR="00EE4502" w:rsidRDefault="00FD45A3">
            <w:pPr>
              <w:jc w:val="center"/>
              <w:rPr>
                <w:bCs/>
                <w:sz w:val="18"/>
                <w:szCs w:val="18"/>
                <w:lang w:val="zh-CN"/>
              </w:rPr>
            </w:pPr>
            <w:r>
              <w:rPr>
                <w:bCs/>
                <w:sz w:val="18"/>
                <w:szCs w:val="18"/>
                <w:lang w:val="zh-CN"/>
              </w:rPr>
              <w:t>12381</w:t>
            </w:r>
          </w:p>
        </w:tc>
      </w:tr>
      <w:tr w:rsidR="00EE4502">
        <w:trPr>
          <w:trHeight w:val="340"/>
          <w:jc w:val="center"/>
        </w:trPr>
        <w:tc>
          <w:tcPr>
            <w:tcW w:w="2500" w:type="pct"/>
            <w:vAlign w:val="center"/>
          </w:tcPr>
          <w:p w:rsidR="00EE4502" w:rsidRDefault="00FD45A3">
            <w:pPr>
              <w:jc w:val="center"/>
              <w:rPr>
                <w:bCs/>
                <w:sz w:val="18"/>
                <w:szCs w:val="18"/>
                <w:lang w:val="zh-CN"/>
              </w:rPr>
            </w:pPr>
            <w:r>
              <w:rPr>
                <w:bCs/>
                <w:sz w:val="18"/>
                <w:szCs w:val="18"/>
                <w:lang w:val="zh-CN"/>
              </w:rPr>
              <w:t>5~10</w:t>
            </w:r>
          </w:p>
        </w:tc>
        <w:tc>
          <w:tcPr>
            <w:tcW w:w="2500" w:type="pct"/>
            <w:vAlign w:val="center"/>
          </w:tcPr>
          <w:p w:rsidR="00EE4502" w:rsidRDefault="00FD45A3">
            <w:pPr>
              <w:jc w:val="center"/>
              <w:rPr>
                <w:bCs/>
                <w:sz w:val="18"/>
                <w:szCs w:val="18"/>
                <w:lang w:val="zh-CN"/>
              </w:rPr>
            </w:pPr>
            <w:r>
              <w:rPr>
                <w:bCs/>
                <w:sz w:val="18"/>
                <w:szCs w:val="18"/>
                <w:lang w:val="zh-CN"/>
              </w:rPr>
              <w:t>1211</w:t>
            </w:r>
          </w:p>
        </w:tc>
      </w:tr>
      <w:tr w:rsidR="00EE4502">
        <w:trPr>
          <w:trHeight w:val="340"/>
          <w:jc w:val="center"/>
        </w:trPr>
        <w:tc>
          <w:tcPr>
            <w:tcW w:w="2500" w:type="pct"/>
            <w:vAlign w:val="center"/>
          </w:tcPr>
          <w:p w:rsidR="00EE4502" w:rsidRDefault="00FD45A3">
            <w:pPr>
              <w:jc w:val="center"/>
              <w:rPr>
                <w:bCs/>
                <w:sz w:val="18"/>
                <w:szCs w:val="18"/>
                <w:lang w:val="zh-CN"/>
              </w:rPr>
            </w:pPr>
            <w:r>
              <w:rPr>
                <w:bCs/>
                <w:sz w:val="18"/>
                <w:szCs w:val="18"/>
                <w:lang w:val="zh-CN"/>
              </w:rPr>
              <w:t>10~20</w:t>
            </w:r>
          </w:p>
        </w:tc>
        <w:tc>
          <w:tcPr>
            <w:tcW w:w="2500" w:type="pct"/>
            <w:vAlign w:val="center"/>
          </w:tcPr>
          <w:p w:rsidR="00EE4502" w:rsidRDefault="00FD45A3">
            <w:pPr>
              <w:jc w:val="center"/>
              <w:rPr>
                <w:bCs/>
                <w:sz w:val="18"/>
                <w:szCs w:val="18"/>
                <w:lang w:val="zh-CN"/>
              </w:rPr>
            </w:pPr>
            <w:r>
              <w:rPr>
                <w:bCs/>
                <w:sz w:val="18"/>
                <w:szCs w:val="18"/>
                <w:lang w:val="zh-CN"/>
              </w:rPr>
              <w:t>8.03</w:t>
            </w:r>
          </w:p>
        </w:tc>
      </w:tr>
      <w:tr w:rsidR="00EE4502">
        <w:trPr>
          <w:trHeight w:val="340"/>
          <w:jc w:val="center"/>
        </w:trPr>
        <w:tc>
          <w:tcPr>
            <w:tcW w:w="2500" w:type="pct"/>
            <w:vAlign w:val="center"/>
          </w:tcPr>
          <w:p w:rsidR="00EE4502" w:rsidRDefault="00FD45A3">
            <w:pPr>
              <w:jc w:val="center"/>
              <w:rPr>
                <w:bCs/>
                <w:sz w:val="18"/>
                <w:szCs w:val="18"/>
                <w:lang w:val="zh-CN"/>
              </w:rPr>
            </w:pPr>
            <w:r>
              <w:rPr>
                <w:bCs/>
                <w:sz w:val="18"/>
                <w:szCs w:val="18"/>
                <w:lang w:val="zh-CN"/>
              </w:rPr>
              <w:t>20~30</w:t>
            </w:r>
          </w:p>
        </w:tc>
        <w:tc>
          <w:tcPr>
            <w:tcW w:w="2500" w:type="pct"/>
            <w:vAlign w:val="center"/>
          </w:tcPr>
          <w:p w:rsidR="00EE4502" w:rsidRDefault="00FD45A3">
            <w:pPr>
              <w:jc w:val="center"/>
              <w:rPr>
                <w:bCs/>
                <w:sz w:val="18"/>
                <w:szCs w:val="18"/>
                <w:lang w:val="zh-CN"/>
              </w:rPr>
            </w:pPr>
            <w:r>
              <w:rPr>
                <w:bCs/>
                <w:sz w:val="18"/>
                <w:szCs w:val="18"/>
                <w:lang w:val="zh-CN"/>
              </w:rPr>
              <w:t>0.00</w:t>
            </w:r>
          </w:p>
        </w:tc>
      </w:tr>
      <w:tr w:rsidR="00EE4502">
        <w:trPr>
          <w:trHeight w:val="340"/>
          <w:jc w:val="center"/>
        </w:trPr>
        <w:tc>
          <w:tcPr>
            <w:tcW w:w="2500" w:type="pct"/>
            <w:vAlign w:val="center"/>
          </w:tcPr>
          <w:p w:rsidR="00EE4502" w:rsidRDefault="00FD45A3">
            <w:pPr>
              <w:jc w:val="center"/>
              <w:rPr>
                <w:bCs/>
                <w:sz w:val="18"/>
                <w:szCs w:val="18"/>
                <w:lang w:val="zh-CN"/>
              </w:rPr>
            </w:pPr>
            <w:r>
              <w:rPr>
                <w:bCs/>
                <w:sz w:val="18"/>
                <w:szCs w:val="18"/>
                <w:lang w:val="zh-CN"/>
              </w:rPr>
              <w:t>30~40</w:t>
            </w:r>
          </w:p>
        </w:tc>
        <w:tc>
          <w:tcPr>
            <w:tcW w:w="2500" w:type="pct"/>
            <w:vAlign w:val="center"/>
          </w:tcPr>
          <w:p w:rsidR="00EE4502" w:rsidRDefault="00FD45A3">
            <w:pPr>
              <w:jc w:val="center"/>
              <w:rPr>
                <w:bCs/>
                <w:sz w:val="18"/>
                <w:szCs w:val="18"/>
                <w:lang w:val="zh-CN"/>
              </w:rPr>
            </w:pPr>
            <w:r>
              <w:rPr>
                <w:bCs/>
                <w:sz w:val="18"/>
                <w:szCs w:val="18"/>
                <w:lang w:val="zh-CN"/>
              </w:rPr>
              <w:t>3.24</w:t>
            </w:r>
          </w:p>
        </w:tc>
      </w:tr>
      <w:tr w:rsidR="00EE4502">
        <w:trPr>
          <w:trHeight w:val="340"/>
          <w:jc w:val="center"/>
        </w:trPr>
        <w:tc>
          <w:tcPr>
            <w:tcW w:w="2500" w:type="pct"/>
            <w:vAlign w:val="center"/>
          </w:tcPr>
          <w:p w:rsidR="00EE4502" w:rsidRDefault="00FD45A3">
            <w:pPr>
              <w:jc w:val="center"/>
              <w:rPr>
                <w:bCs/>
                <w:sz w:val="18"/>
                <w:szCs w:val="18"/>
                <w:lang w:val="zh-CN"/>
              </w:rPr>
            </w:pPr>
            <w:r>
              <w:rPr>
                <w:bCs/>
                <w:sz w:val="18"/>
                <w:szCs w:val="18"/>
                <w:lang w:val="zh-CN"/>
              </w:rPr>
              <w:t>40~50</w:t>
            </w:r>
          </w:p>
        </w:tc>
        <w:tc>
          <w:tcPr>
            <w:tcW w:w="2500" w:type="pct"/>
            <w:vAlign w:val="center"/>
          </w:tcPr>
          <w:p w:rsidR="00EE4502" w:rsidRDefault="00FD45A3">
            <w:pPr>
              <w:jc w:val="center"/>
              <w:rPr>
                <w:bCs/>
                <w:sz w:val="18"/>
                <w:szCs w:val="18"/>
                <w:lang w:val="zh-CN"/>
              </w:rPr>
            </w:pPr>
            <w:r>
              <w:rPr>
                <w:bCs/>
                <w:sz w:val="18"/>
                <w:szCs w:val="18"/>
                <w:lang w:val="zh-CN"/>
              </w:rPr>
              <w:t>0.00</w:t>
            </w:r>
          </w:p>
        </w:tc>
      </w:tr>
      <w:tr w:rsidR="00EE4502">
        <w:trPr>
          <w:trHeight w:val="340"/>
          <w:jc w:val="center"/>
        </w:trPr>
        <w:tc>
          <w:tcPr>
            <w:tcW w:w="2500" w:type="pct"/>
            <w:vAlign w:val="center"/>
          </w:tcPr>
          <w:p w:rsidR="00EE4502" w:rsidRDefault="00FD45A3">
            <w:pPr>
              <w:jc w:val="center"/>
              <w:rPr>
                <w:bCs/>
                <w:sz w:val="18"/>
                <w:szCs w:val="18"/>
                <w:lang w:val="zh-CN"/>
              </w:rPr>
            </w:pPr>
            <w:r>
              <w:rPr>
                <w:bCs/>
                <w:sz w:val="18"/>
                <w:szCs w:val="18"/>
                <w:lang w:val="zh-CN"/>
              </w:rPr>
              <w:t>50~60</w:t>
            </w:r>
          </w:p>
        </w:tc>
        <w:tc>
          <w:tcPr>
            <w:tcW w:w="2500" w:type="pct"/>
            <w:vAlign w:val="center"/>
          </w:tcPr>
          <w:p w:rsidR="00EE4502" w:rsidRDefault="00FD45A3">
            <w:pPr>
              <w:jc w:val="center"/>
              <w:rPr>
                <w:bCs/>
                <w:sz w:val="18"/>
                <w:szCs w:val="18"/>
                <w:lang w:val="zh-CN"/>
              </w:rPr>
            </w:pPr>
            <w:r>
              <w:rPr>
                <w:bCs/>
                <w:sz w:val="18"/>
                <w:szCs w:val="18"/>
                <w:lang w:val="zh-CN"/>
              </w:rPr>
              <w:t>1.03</w:t>
            </w:r>
          </w:p>
        </w:tc>
      </w:tr>
      <w:tr w:rsidR="00EE4502">
        <w:trPr>
          <w:trHeight w:val="340"/>
          <w:jc w:val="center"/>
        </w:trPr>
        <w:tc>
          <w:tcPr>
            <w:tcW w:w="2500" w:type="pct"/>
            <w:vAlign w:val="center"/>
          </w:tcPr>
          <w:p w:rsidR="00EE4502" w:rsidRDefault="00FD45A3">
            <w:pPr>
              <w:jc w:val="center"/>
              <w:rPr>
                <w:bCs/>
                <w:sz w:val="18"/>
                <w:szCs w:val="18"/>
                <w:lang w:val="zh-CN"/>
              </w:rPr>
            </w:pPr>
            <w:r>
              <w:rPr>
                <w:bCs/>
                <w:sz w:val="18"/>
                <w:szCs w:val="18"/>
                <w:lang w:val="zh-CN"/>
              </w:rPr>
              <w:t>60~90</w:t>
            </w:r>
          </w:p>
        </w:tc>
        <w:tc>
          <w:tcPr>
            <w:tcW w:w="2500" w:type="pct"/>
            <w:vAlign w:val="center"/>
          </w:tcPr>
          <w:p w:rsidR="00EE4502" w:rsidRDefault="00FD45A3">
            <w:pPr>
              <w:jc w:val="center"/>
              <w:rPr>
                <w:bCs/>
                <w:sz w:val="18"/>
                <w:szCs w:val="18"/>
                <w:lang w:val="zh-CN"/>
              </w:rPr>
            </w:pPr>
            <w:r>
              <w:rPr>
                <w:bCs/>
                <w:sz w:val="18"/>
                <w:szCs w:val="18"/>
                <w:lang w:val="zh-CN"/>
              </w:rPr>
              <w:t>0.00</w:t>
            </w:r>
          </w:p>
        </w:tc>
      </w:tr>
      <w:tr w:rsidR="00EE4502">
        <w:trPr>
          <w:trHeight w:val="340"/>
          <w:jc w:val="center"/>
        </w:trPr>
        <w:tc>
          <w:tcPr>
            <w:tcW w:w="2500" w:type="pct"/>
            <w:vAlign w:val="center"/>
          </w:tcPr>
          <w:p w:rsidR="00EE4502" w:rsidRDefault="00FD45A3">
            <w:pPr>
              <w:jc w:val="center"/>
              <w:rPr>
                <w:bCs/>
                <w:sz w:val="18"/>
                <w:szCs w:val="18"/>
                <w:lang w:val="zh-CN"/>
              </w:rPr>
            </w:pPr>
            <w:r>
              <w:rPr>
                <w:bCs/>
                <w:sz w:val="18"/>
                <w:szCs w:val="18"/>
                <w:lang w:val="zh-CN"/>
              </w:rPr>
              <w:t>90~120</w:t>
            </w:r>
          </w:p>
        </w:tc>
        <w:tc>
          <w:tcPr>
            <w:tcW w:w="2500" w:type="pct"/>
            <w:vAlign w:val="center"/>
          </w:tcPr>
          <w:p w:rsidR="00EE4502" w:rsidRDefault="00FD45A3">
            <w:pPr>
              <w:jc w:val="center"/>
              <w:rPr>
                <w:bCs/>
                <w:sz w:val="18"/>
                <w:szCs w:val="18"/>
                <w:lang w:val="zh-CN"/>
              </w:rPr>
            </w:pPr>
            <w:r>
              <w:rPr>
                <w:bCs/>
                <w:sz w:val="18"/>
                <w:szCs w:val="18"/>
                <w:lang w:val="zh-CN"/>
              </w:rPr>
              <w:t>0.00</w:t>
            </w:r>
          </w:p>
        </w:tc>
      </w:tr>
      <w:tr w:rsidR="00EE4502">
        <w:trPr>
          <w:trHeight w:val="340"/>
          <w:jc w:val="center"/>
        </w:trPr>
        <w:tc>
          <w:tcPr>
            <w:tcW w:w="2500" w:type="pct"/>
            <w:vAlign w:val="center"/>
          </w:tcPr>
          <w:p w:rsidR="00EE4502" w:rsidRDefault="00FD45A3">
            <w:pPr>
              <w:jc w:val="center"/>
              <w:rPr>
                <w:bCs/>
                <w:sz w:val="18"/>
                <w:szCs w:val="18"/>
                <w:lang w:val="zh-CN"/>
              </w:rPr>
            </w:pPr>
            <w:r>
              <w:rPr>
                <w:bCs/>
                <w:sz w:val="18"/>
                <w:szCs w:val="18"/>
                <w:lang w:val="zh-CN"/>
              </w:rPr>
              <w:t>120~150</w:t>
            </w:r>
          </w:p>
        </w:tc>
        <w:tc>
          <w:tcPr>
            <w:tcW w:w="2500" w:type="pct"/>
            <w:vAlign w:val="center"/>
          </w:tcPr>
          <w:p w:rsidR="00EE4502" w:rsidRDefault="00FD45A3">
            <w:pPr>
              <w:jc w:val="center"/>
              <w:rPr>
                <w:bCs/>
                <w:sz w:val="18"/>
                <w:szCs w:val="18"/>
                <w:lang w:val="zh-CN"/>
              </w:rPr>
            </w:pPr>
            <w:r>
              <w:rPr>
                <w:bCs/>
                <w:sz w:val="18"/>
                <w:szCs w:val="18"/>
                <w:lang w:val="zh-CN"/>
              </w:rPr>
              <w:t>0.00</w:t>
            </w:r>
          </w:p>
        </w:tc>
      </w:tr>
    </w:tbl>
    <w:p w:rsidR="00EE4502" w:rsidRDefault="00EE4502">
      <w:pPr>
        <w:jc w:val="center"/>
        <w:rPr>
          <w:sz w:val="18"/>
          <w:szCs w:val="18"/>
        </w:rPr>
      </w:pPr>
    </w:p>
    <w:p w:rsidR="00EE4502" w:rsidRDefault="00FD45A3">
      <w:pPr>
        <w:spacing w:line="360" w:lineRule="auto"/>
        <w:ind w:firstLine="520"/>
        <w:rPr>
          <w:sz w:val="24"/>
        </w:rPr>
      </w:pPr>
      <w:r>
        <w:rPr>
          <w:sz w:val="24"/>
        </w:rPr>
        <w:lastRenderedPageBreak/>
        <w:t>落地油积存于表层会影响表层土壤通透性，影响土壤养分的释放，降低土壤动物及微生物的活性，使土壤的综合肥力下降，最终影响植物根系的</w:t>
      </w:r>
      <w:r>
        <w:rPr>
          <w:rFonts w:hint="eastAsia"/>
          <w:sz w:val="24"/>
        </w:rPr>
        <w:t>呼吸作用</w:t>
      </w:r>
      <w:r>
        <w:rPr>
          <w:sz w:val="24"/>
        </w:rPr>
        <w:t>和吸收作用。</w:t>
      </w:r>
    </w:p>
    <w:p w:rsidR="00EE4502" w:rsidRDefault="00FD45A3">
      <w:pPr>
        <w:spacing w:line="360" w:lineRule="auto"/>
        <w:ind w:firstLine="520"/>
        <w:rPr>
          <w:sz w:val="24"/>
        </w:rPr>
      </w:pPr>
      <w:r>
        <w:rPr>
          <w:rFonts w:hint="eastAsia"/>
          <w:sz w:val="24"/>
        </w:rPr>
        <w:t>运营期</w:t>
      </w:r>
      <w:r>
        <w:rPr>
          <w:sz w:val="24"/>
        </w:rPr>
        <w:t>须定期检查管道的破损或破裂情况，若发现有破损或破裂部位须及时进行修补。故在项目</w:t>
      </w:r>
      <w:r>
        <w:rPr>
          <w:rFonts w:hint="eastAsia"/>
          <w:sz w:val="24"/>
        </w:rPr>
        <w:t>运营期</w:t>
      </w:r>
      <w:r>
        <w:rPr>
          <w:sz w:val="24"/>
        </w:rPr>
        <w:t>间，需加强管理和监督检查，杜绝非正常情况的发生，避免污染物进入土壤及地下水含水层中。在工程做好防渗、定期监测、严格执行本次环评提出的污染防治措施的前提下</w:t>
      </w:r>
      <w:r>
        <w:rPr>
          <w:rFonts w:hint="eastAsia"/>
          <w:sz w:val="24"/>
        </w:rPr>
        <w:t>本工程</w:t>
      </w:r>
      <w:r>
        <w:rPr>
          <w:sz w:val="24"/>
        </w:rPr>
        <w:t>对土壤环境影响可接受。</w:t>
      </w:r>
    </w:p>
    <w:p w:rsidR="00EE4502" w:rsidRDefault="00FD45A3">
      <w:pPr>
        <w:spacing w:line="360" w:lineRule="auto"/>
        <w:ind w:firstLine="520"/>
        <w:rPr>
          <w:sz w:val="24"/>
        </w:rPr>
      </w:pPr>
      <w:r>
        <w:rPr>
          <w:rFonts w:ascii="宋体" w:hAnsi="宋体" w:cs="宋体" w:hint="eastAsia"/>
          <w:sz w:val="24"/>
        </w:rPr>
        <w:t>②集输管线泄漏情况</w:t>
      </w:r>
    </w:p>
    <w:p w:rsidR="00EE4502" w:rsidRDefault="00FD45A3">
      <w:pPr>
        <w:spacing w:line="360" w:lineRule="auto"/>
        <w:ind w:firstLineChars="200" w:firstLine="480"/>
        <w:rPr>
          <w:sz w:val="24"/>
        </w:rPr>
      </w:pPr>
      <w:r>
        <w:rPr>
          <w:sz w:val="24"/>
        </w:rPr>
        <w:t>考虑事故状态下，</w:t>
      </w:r>
      <w:r>
        <w:rPr>
          <w:rFonts w:hint="eastAsia"/>
          <w:sz w:val="24"/>
        </w:rPr>
        <w:t>井口与</w:t>
      </w:r>
      <w:r>
        <w:rPr>
          <w:sz w:val="24"/>
        </w:rPr>
        <w:t>单井集输管道破裂后，采出液进入表层土壤中，单井集输管道在井场设置有压力和远传信号，当发生管道破裂时，可远程关闭井场，并在</w:t>
      </w:r>
      <w:r>
        <w:rPr>
          <w:sz w:val="24"/>
        </w:rPr>
        <w:t>1h</w:t>
      </w:r>
      <w:r>
        <w:rPr>
          <w:sz w:val="24"/>
        </w:rPr>
        <w:t>内排查到泄漏点并进行紧急封堵。初步估算，发生泄漏到封堵，预计从单井集输管道中泄漏的采出液量为</w:t>
      </w:r>
      <w:r>
        <w:rPr>
          <w:sz w:val="24"/>
        </w:rPr>
        <w:t>1.42m</w:t>
      </w:r>
      <w:r>
        <w:rPr>
          <w:sz w:val="24"/>
          <w:vertAlign w:val="superscript"/>
        </w:rPr>
        <w:t>3</w:t>
      </w:r>
      <w:r>
        <w:rPr>
          <w:sz w:val="24"/>
        </w:rPr>
        <w:t>。采出液中的氯根在</w:t>
      </w:r>
      <w:r>
        <w:rPr>
          <w:sz w:val="24"/>
        </w:rPr>
        <w:t>116678.73mg/L</w:t>
      </w:r>
      <w:r>
        <w:rPr>
          <w:sz w:val="24"/>
        </w:rPr>
        <w:t>，则估算进入土壤中的盐分含量为</w:t>
      </w:r>
      <w:r>
        <w:rPr>
          <w:sz w:val="24"/>
        </w:rPr>
        <w:t>=1.42×116678.73×58.5÷35.5=273028.23g</w:t>
      </w:r>
      <w:r>
        <w:rPr>
          <w:sz w:val="24"/>
        </w:rPr>
        <w:t>。</w:t>
      </w:r>
    </w:p>
    <w:p w:rsidR="00EE4502" w:rsidRDefault="00FD45A3">
      <w:pPr>
        <w:spacing w:line="360" w:lineRule="auto"/>
        <w:ind w:firstLineChars="200" w:firstLine="480"/>
        <w:rPr>
          <w:sz w:val="24"/>
        </w:rPr>
      </w:pPr>
      <w:r>
        <w:rPr>
          <w:sz w:val="24"/>
        </w:rPr>
        <w:t>本次预测采用</w:t>
      </w:r>
      <w:r>
        <w:rPr>
          <w:sz w:val="24"/>
        </w:rPr>
        <w:t xml:space="preserve"> HJ964-2018 </w:t>
      </w:r>
      <w:r>
        <w:rPr>
          <w:sz w:val="24"/>
        </w:rPr>
        <w:t>附录</w:t>
      </w:r>
      <w:r>
        <w:rPr>
          <w:sz w:val="24"/>
        </w:rPr>
        <w:t xml:space="preserve"> E.1.3 </w:t>
      </w:r>
      <w:r>
        <w:rPr>
          <w:sz w:val="24"/>
        </w:rPr>
        <w:t>中预测方法，预测公式如下：</w:t>
      </w:r>
    </w:p>
    <w:p w:rsidR="00EE4502" w:rsidRDefault="00FD45A3">
      <w:pPr>
        <w:spacing w:line="360" w:lineRule="auto"/>
        <w:ind w:firstLineChars="200" w:firstLine="480"/>
        <w:rPr>
          <w:sz w:val="24"/>
        </w:rPr>
      </w:pPr>
      <w:r>
        <w:rPr>
          <w:sz w:val="24"/>
        </w:rPr>
        <w:t>（</w:t>
      </w:r>
      <w:r>
        <w:rPr>
          <w:sz w:val="24"/>
        </w:rPr>
        <w:t>1</w:t>
      </w:r>
      <w:r>
        <w:rPr>
          <w:sz w:val="24"/>
        </w:rPr>
        <w:t>）单位质量土壤中某种物质的增量</w:t>
      </w:r>
    </w:p>
    <w:p w:rsidR="00EE4502" w:rsidRDefault="00FD45A3">
      <w:pPr>
        <w:spacing w:line="360" w:lineRule="auto"/>
        <w:jc w:val="center"/>
        <w:rPr>
          <w:sz w:val="24"/>
        </w:rPr>
      </w:pPr>
      <w:r>
        <w:rPr>
          <w:noProof/>
        </w:rPr>
        <w:drawing>
          <wp:inline distT="0" distB="0" distL="0" distR="0">
            <wp:extent cx="3200400" cy="314325"/>
            <wp:effectExtent l="0" t="0" r="0" b="9525"/>
            <wp:docPr id="130" name="图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3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3200400" cy="314325"/>
                    </a:xfrm>
                    <a:prstGeom prst="rect">
                      <a:avLst/>
                    </a:prstGeom>
                    <a:noFill/>
                    <a:ln>
                      <a:noFill/>
                    </a:ln>
                  </pic:spPr>
                </pic:pic>
              </a:graphicData>
            </a:graphic>
          </wp:inline>
        </w:drawing>
      </w:r>
    </w:p>
    <w:p w:rsidR="00EE4502" w:rsidRDefault="00FD45A3">
      <w:pPr>
        <w:spacing w:line="360" w:lineRule="auto"/>
        <w:ind w:firstLineChars="200" w:firstLine="480"/>
        <w:rPr>
          <w:sz w:val="24"/>
        </w:rPr>
      </w:pPr>
      <w:r>
        <w:rPr>
          <w:sz w:val="24"/>
        </w:rPr>
        <w:t>式中：</w:t>
      </w:r>
      <w:r>
        <w:rPr>
          <w:sz w:val="24"/>
        </w:rPr>
        <w:t>△S</w:t>
      </w:r>
      <w:r>
        <w:rPr>
          <w:rFonts w:hint="eastAsia"/>
          <w:sz w:val="24"/>
        </w:rPr>
        <w:t>—</w:t>
      </w:r>
      <w:r>
        <w:rPr>
          <w:rFonts w:hint="eastAsia"/>
          <w:sz w:val="24"/>
        </w:rPr>
        <w:t>—</w:t>
      </w:r>
      <w:r>
        <w:rPr>
          <w:sz w:val="24"/>
        </w:rPr>
        <w:t>单位质量表层土壤中某种物质的增量，</w:t>
      </w:r>
      <w:r>
        <w:rPr>
          <w:sz w:val="24"/>
        </w:rPr>
        <w:t>g/kg</w:t>
      </w:r>
      <w:r>
        <w:rPr>
          <w:sz w:val="24"/>
        </w:rPr>
        <w:t>；</w:t>
      </w:r>
    </w:p>
    <w:p w:rsidR="00EE4502" w:rsidRDefault="00FD45A3">
      <w:pPr>
        <w:spacing w:line="360" w:lineRule="auto"/>
        <w:ind w:firstLineChars="500" w:firstLine="1200"/>
        <w:rPr>
          <w:sz w:val="24"/>
        </w:rPr>
      </w:pPr>
      <w:r>
        <w:rPr>
          <w:sz w:val="24"/>
        </w:rPr>
        <w:t>Is</w:t>
      </w:r>
      <w:r>
        <w:rPr>
          <w:rFonts w:hint="eastAsia"/>
          <w:sz w:val="24"/>
        </w:rPr>
        <w:t>——</w:t>
      </w:r>
      <w:r>
        <w:rPr>
          <w:sz w:val="24"/>
        </w:rPr>
        <w:t>预测评价范围内单位年份表层土壤中某种物质的输入量，</w:t>
      </w:r>
      <w:r>
        <w:rPr>
          <w:sz w:val="24"/>
        </w:rPr>
        <w:t>g</w:t>
      </w:r>
      <w:r>
        <w:rPr>
          <w:sz w:val="24"/>
        </w:rPr>
        <w:t>；</w:t>
      </w:r>
    </w:p>
    <w:p w:rsidR="00EE4502" w:rsidRDefault="00FD45A3">
      <w:pPr>
        <w:spacing w:line="360" w:lineRule="auto"/>
        <w:ind w:firstLineChars="500" w:firstLine="1200"/>
        <w:rPr>
          <w:sz w:val="24"/>
        </w:rPr>
      </w:pPr>
      <w:r>
        <w:rPr>
          <w:sz w:val="24"/>
        </w:rPr>
        <w:t>Ls</w:t>
      </w:r>
      <w:r>
        <w:rPr>
          <w:rFonts w:hint="eastAsia"/>
          <w:sz w:val="24"/>
        </w:rPr>
        <w:t>——</w:t>
      </w:r>
      <w:r>
        <w:rPr>
          <w:sz w:val="24"/>
        </w:rPr>
        <w:t>预测评价范围内单位年份表层土壤中某种物质经淋溶排出的量，</w:t>
      </w:r>
      <w:r>
        <w:rPr>
          <w:sz w:val="24"/>
        </w:rPr>
        <w:t>g</w:t>
      </w:r>
      <w:r>
        <w:rPr>
          <w:sz w:val="24"/>
        </w:rPr>
        <w:t>；</w:t>
      </w:r>
    </w:p>
    <w:p w:rsidR="00EE4502" w:rsidRDefault="00FD45A3">
      <w:pPr>
        <w:spacing w:line="360" w:lineRule="auto"/>
        <w:ind w:firstLineChars="500" w:firstLine="1200"/>
        <w:rPr>
          <w:sz w:val="24"/>
        </w:rPr>
      </w:pPr>
      <w:r>
        <w:rPr>
          <w:sz w:val="24"/>
        </w:rPr>
        <w:t>Rs</w:t>
      </w:r>
      <w:r>
        <w:rPr>
          <w:rFonts w:hint="eastAsia"/>
          <w:sz w:val="24"/>
        </w:rPr>
        <w:t>——</w:t>
      </w:r>
      <w:r>
        <w:rPr>
          <w:sz w:val="24"/>
        </w:rPr>
        <w:t>预测评价范围内单位年份表层土壤中某种物质经径流排出的量，</w:t>
      </w:r>
      <w:r>
        <w:rPr>
          <w:sz w:val="24"/>
        </w:rPr>
        <w:t>g</w:t>
      </w:r>
      <w:r>
        <w:rPr>
          <w:sz w:val="24"/>
        </w:rPr>
        <w:t>；</w:t>
      </w:r>
    </w:p>
    <w:p w:rsidR="00EE4502" w:rsidRDefault="00FD45A3">
      <w:pPr>
        <w:spacing w:line="360" w:lineRule="auto"/>
        <w:ind w:firstLineChars="500" w:firstLine="1200"/>
        <w:rPr>
          <w:sz w:val="24"/>
        </w:rPr>
      </w:pPr>
      <w:r>
        <w:rPr>
          <w:sz w:val="24"/>
        </w:rPr>
        <w:t>ρb</w:t>
      </w:r>
      <w:r>
        <w:rPr>
          <w:rFonts w:hint="eastAsia"/>
          <w:sz w:val="24"/>
        </w:rPr>
        <w:t>——</w:t>
      </w:r>
      <w:r>
        <w:rPr>
          <w:sz w:val="24"/>
        </w:rPr>
        <w:t>表层土壤容重，</w:t>
      </w:r>
      <w:r>
        <w:rPr>
          <w:sz w:val="24"/>
        </w:rPr>
        <w:t>kg/m</w:t>
      </w:r>
      <w:r>
        <w:rPr>
          <w:sz w:val="24"/>
          <w:vertAlign w:val="superscript"/>
        </w:rPr>
        <w:t>3</w:t>
      </w:r>
      <w:r>
        <w:rPr>
          <w:sz w:val="24"/>
        </w:rPr>
        <w:t>；</w:t>
      </w:r>
    </w:p>
    <w:p w:rsidR="00EE4502" w:rsidRDefault="00FD45A3">
      <w:pPr>
        <w:spacing w:line="360" w:lineRule="auto"/>
        <w:ind w:firstLineChars="500" w:firstLine="1200"/>
        <w:rPr>
          <w:sz w:val="24"/>
        </w:rPr>
      </w:pPr>
      <w:r>
        <w:rPr>
          <w:sz w:val="24"/>
        </w:rPr>
        <w:t>A</w:t>
      </w:r>
      <w:r>
        <w:rPr>
          <w:rFonts w:hint="eastAsia"/>
          <w:sz w:val="24"/>
        </w:rPr>
        <w:t>——</w:t>
      </w:r>
      <w:r>
        <w:rPr>
          <w:sz w:val="24"/>
        </w:rPr>
        <w:t>预测评价范围，</w:t>
      </w:r>
      <w:r>
        <w:rPr>
          <w:sz w:val="24"/>
        </w:rPr>
        <w:t>m</w:t>
      </w:r>
      <w:r>
        <w:rPr>
          <w:sz w:val="24"/>
          <w:vertAlign w:val="superscript"/>
        </w:rPr>
        <w:t>2</w:t>
      </w:r>
      <w:r>
        <w:rPr>
          <w:sz w:val="24"/>
        </w:rPr>
        <w:t>；</w:t>
      </w:r>
    </w:p>
    <w:p w:rsidR="00EE4502" w:rsidRDefault="00FD45A3">
      <w:pPr>
        <w:spacing w:line="360" w:lineRule="auto"/>
        <w:ind w:firstLineChars="500" w:firstLine="1200"/>
        <w:rPr>
          <w:sz w:val="24"/>
        </w:rPr>
      </w:pPr>
      <w:r>
        <w:rPr>
          <w:sz w:val="24"/>
        </w:rPr>
        <w:t>D</w:t>
      </w:r>
      <w:r>
        <w:rPr>
          <w:rFonts w:hint="eastAsia"/>
          <w:sz w:val="24"/>
        </w:rPr>
        <w:t>——</w:t>
      </w:r>
      <w:r>
        <w:rPr>
          <w:sz w:val="24"/>
        </w:rPr>
        <w:t>表层土壤深度，一般取</w:t>
      </w:r>
      <w:r>
        <w:rPr>
          <w:sz w:val="24"/>
        </w:rPr>
        <w:t>0.2m</w:t>
      </w:r>
      <w:r>
        <w:rPr>
          <w:sz w:val="24"/>
        </w:rPr>
        <w:t>，可根据实际情况适当调整；</w:t>
      </w:r>
    </w:p>
    <w:p w:rsidR="00EE4502" w:rsidRDefault="00FD45A3">
      <w:pPr>
        <w:spacing w:line="360" w:lineRule="auto"/>
        <w:ind w:firstLineChars="500" w:firstLine="1200"/>
        <w:rPr>
          <w:sz w:val="24"/>
        </w:rPr>
      </w:pPr>
      <w:r>
        <w:rPr>
          <w:sz w:val="24"/>
        </w:rPr>
        <w:t>n</w:t>
      </w:r>
      <w:r>
        <w:rPr>
          <w:rFonts w:hint="eastAsia"/>
          <w:sz w:val="24"/>
        </w:rPr>
        <w:t>——</w:t>
      </w:r>
      <w:r>
        <w:rPr>
          <w:sz w:val="24"/>
        </w:rPr>
        <w:t>持续年份，</w:t>
      </w:r>
      <w:r>
        <w:rPr>
          <w:sz w:val="24"/>
        </w:rPr>
        <w:t>a</w:t>
      </w:r>
      <w:r>
        <w:rPr>
          <w:sz w:val="24"/>
        </w:rPr>
        <w:t>。</w:t>
      </w:r>
    </w:p>
    <w:p w:rsidR="00EE4502" w:rsidRDefault="00FD45A3">
      <w:pPr>
        <w:spacing w:line="360" w:lineRule="auto"/>
        <w:ind w:firstLineChars="200" w:firstLine="480"/>
        <w:rPr>
          <w:sz w:val="24"/>
        </w:rPr>
      </w:pPr>
      <w:r>
        <w:rPr>
          <w:sz w:val="24"/>
        </w:rPr>
        <w:t>（</w:t>
      </w:r>
      <w:r>
        <w:rPr>
          <w:sz w:val="24"/>
        </w:rPr>
        <w:t>2</w:t>
      </w:r>
      <w:r>
        <w:rPr>
          <w:sz w:val="24"/>
        </w:rPr>
        <w:t>）单位质量土壤中某种物质的预测值</w:t>
      </w:r>
    </w:p>
    <w:p w:rsidR="00EE4502" w:rsidRDefault="00FD45A3">
      <w:pPr>
        <w:spacing w:line="360" w:lineRule="auto"/>
        <w:jc w:val="center"/>
        <w:rPr>
          <w:sz w:val="24"/>
        </w:rPr>
      </w:pPr>
      <w:r>
        <w:rPr>
          <w:sz w:val="24"/>
        </w:rPr>
        <w:t>S=Sb+△S</w:t>
      </w:r>
    </w:p>
    <w:p w:rsidR="00EE4502" w:rsidRDefault="00FD45A3">
      <w:pPr>
        <w:spacing w:line="360" w:lineRule="auto"/>
        <w:ind w:firstLineChars="200" w:firstLine="480"/>
        <w:rPr>
          <w:sz w:val="24"/>
        </w:rPr>
      </w:pPr>
      <w:r>
        <w:rPr>
          <w:sz w:val="24"/>
        </w:rPr>
        <w:t>S</w:t>
      </w:r>
      <w:r>
        <w:rPr>
          <w:rFonts w:hint="eastAsia"/>
          <w:sz w:val="24"/>
        </w:rPr>
        <w:t>——</w:t>
      </w:r>
      <w:r>
        <w:rPr>
          <w:sz w:val="24"/>
        </w:rPr>
        <w:t>单位质量土壤中某种物质的预测值，</w:t>
      </w:r>
      <w:r>
        <w:rPr>
          <w:sz w:val="24"/>
        </w:rPr>
        <w:t>g/kg</w:t>
      </w:r>
      <w:r>
        <w:rPr>
          <w:sz w:val="24"/>
        </w:rPr>
        <w:t>；</w:t>
      </w:r>
    </w:p>
    <w:p w:rsidR="00EE4502" w:rsidRDefault="00FD45A3">
      <w:pPr>
        <w:spacing w:line="360" w:lineRule="auto"/>
        <w:ind w:firstLineChars="200" w:firstLine="480"/>
        <w:rPr>
          <w:sz w:val="24"/>
        </w:rPr>
      </w:pPr>
      <w:r>
        <w:rPr>
          <w:sz w:val="24"/>
        </w:rPr>
        <w:lastRenderedPageBreak/>
        <w:t>Sb</w:t>
      </w:r>
      <w:r>
        <w:rPr>
          <w:rFonts w:hint="eastAsia"/>
          <w:sz w:val="24"/>
        </w:rPr>
        <w:t>——</w:t>
      </w:r>
      <w:r>
        <w:rPr>
          <w:sz w:val="24"/>
        </w:rPr>
        <w:t>单位质量土壤中某种物质的现状值，</w:t>
      </w:r>
      <w:r>
        <w:rPr>
          <w:sz w:val="24"/>
        </w:rPr>
        <w:t>g/kg</w:t>
      </w:r>
      <w:r>
        <w:rPr>
          <w:sz w:val="24"/>
        </w:rPr>
        <w:t>。</w:t>
      </w:r>
    </w:p>
    <w:p w:rsidR="00EE4502" w:rsidRDefault="00FD45A3">
      <w:pPr>
        <w:spacing w:line="360" w:lineRule="auto"/>
        <w:ind w:firstLineChars="200" w:firstLine="480"/>
        <w:rPr>
          <w:sz w:val="24"/>
        </w:rPr>
      </w:pPr>
      <w:r>
        <w:rPr>
          <w:sz w:val="24"/>
        </w:rPr>
        <w:t>项目所处区域气候干燥，年降雨量较小，项目考虑最不利情况，</w:t>
      </w:r>
      <w:r>
        <w:rPr>
          <w:sz w:val="24"/>
        </w:rPr>
        <w:t>Ls</w:t>
      </w:r>
      <w:r>
        <w:rPr>
          <w:sz w:val="24"/>
        </w:rPr>
        <w:t>和</w:t>
      </w:r>
      <w:r>
        <w:rPr>
          <w:sz w:val="24"/>
        </w:rPr>
        <w:t>Rs</w:t>
      </w:r>
      <w:r>
        <w:rPr>
          <w:sz w:val="24"/>
        </w:rPr>
        <w:t>取值均为</w:t>
      </w:r>
      <w:r>
        <w:rPr>
          <w:sz w:val="24"/>
        </w:rPr>
        <w:t>0</w:t>
      </w:r>
      <w:r>
        <w:rPr>
          <w:sz w:val="24"/>
        </w:rPr>
        <w:t>，预测评价范围为以泄漏点为中心</w:t>
      </w:r>
      <w:r>
        <w:rPr>
          <w:sz w:val="24"/>
        </w:rPr>
        <w:t xml:space="preserve">20m×20m </w:t>
      </w:r>
      <w:r>
        <w:rPr>
          <w:sz w:val="24"/>
        </w:rPr>
        <w:t>范围，表层土壤容重根据区域土壤理化特性调查取</w:t>
      </w:r>
      <w:r>
        <w:rPr>
          <w:rFonts w:hint="eastAsia"/>
          <w:sz w:val="24"/>
        </w:rPr>
        <w:t>平均</w:t>
      </w:r>
      <w:r>
        <w:rPr>
          <w:sz w:val="24"/>
        </w:rPr>
        <w:t>值为</w:t>
      </w:r>
      <w:r>
        <w:rPr>
          <w:sz w:val="24"/>
        </w:rPr>
        <w:t>1.63×10</w:t>
      </w:r>
      <w:r>
        <w:rPr>
          <w:sz w:val="24"/>
          <w:vertAlign w:val="superscript"/>
        </w:rPr>
        <w:t>3</w:t>
      </w:r>
      <w:r>
        <w:rPr>
          <w:sz w:val="24"/>
        </w:rPr>
        <w:t>kg/m</w:t>
      </w:r>
      <w:r>
        <w:rPr>
          <w:sz w:val="24"/>
          <w:vertAlign w:val="superscript"/>
        </w:rPr>
        <w:t>3</w:t>
      </w:r>
      <w:r>
        <w:rPr>
          <w:sz w:val="24"/>
        </w:rPr>
        <w:t>，根据区域土壤盐分监测结果，单位质量土壤中盐分含量的现状</w:t>
      </w:r>
      <w:r>
        <w:rPr>
          <w:rFonts w:hint="eastAsia"/>
          <w:sz w:val="24"/>
        </w:rPr>
        <w:t>平均</w:t>
      </w:r>
      <w:r>
        <w:rPr>
          <w:sz w:val="24"/>
        </w:rPr>
        <w:t>值为</w:t>
      </w:r>
      <w:r>
        <w:rPr>
          <w:sz w:val="24"/>
        </w:rPr>
        <w:t>1.953g/kg</w:t>
      </w:r>
      <w:r>
        <w:rPr>
          <w:sz w:val="24"/>
        </w:rPr>
        <w:t>。预测年份为</w:t>
      </w:r>
      <w:r>
        <w:rPr>
          <w:sz w:val="24"/>
        </w:rPr>
        <w:t>0.027a</w:t>
      </w:r>
      <w:r>
        <w:rPr>
          <w:rFonts w:hint="eastAsia"/>
          <w:sz w:val="24"/>
        </w:rPr>
        <w:t>（</w:t>
      </w:r>
      <w:r>
        <w:rPr>
          <w:sz w:val="24"/>
        </w:rPr>
        <w:t>10</w:t>
      </w:r>
      <w:r>
        <w:rPr>
          <w:sz w:val="24"/>
        </w:rPr>
        <w:t>天</w:t>
      </w:r>
      <w:r>
        <w:rPr>
          <w:rFonts w:hint="eastAsia"/>
          <w:sz w:val="24"/>
        </w:rPr>
        <w:t>）</w:t>
      </w:r>
      <w:r>
        <w:rPr>
          <w:sz w:val="24"/>
        </w:rPr>
        <w:t>。</w:t>
      </w:r>
    </w:p>
    <w:p w:rsidR="00EE4502" w:rsidRDefault="00FD45A3">
      <w:pPr>
        <w:spacing w:line="360" w:lineRule="auto"/>
        <w:ind w:firstLineChars="200" w:firstLine="480"/>
        <w:rPr>
          <w:sz w:val="24"/>
        </w:rPr>
      </w:pPr>
      <w:r>
        <w:rPr>
          <w:sz w:val="24"/>
        </w:rPr>
        <w:t>根据上述计算结果，在</w:t>
      </w:r>
      <w:r>
        <w:rPr>
          <w:sz w:val="24"/>
        </w:rPr>
        <w:t>10</w:t>
      </w:r>
      <w:r>
        <w:rPr>
          <w:sz w:val="24"/>
        </w:rPr>
        <w:t>天内，单位质量土壤中盐分含量的增量为</w:t>
      </w:r>
      <w:r>
        <w:rPr>
          <w:sz w:val="24"/>
        </w:rPr>
        <w:t>0.057g/kg</w:t>
      </w:r>
      <w:r>
        <w:rPr>
          <w:sz w:val="24"/>
        </w:rPr>
        <w:t>，叠加现状值后的预测值为</w:t>
      </w:r>
      <w:r>
        <w:rPr>
          <w:sz w:val="24"/>
        </w:rPr>
        <w:t>2.01g/kg</w:t>
      </w:r>
      <w:r>
        <w:rPr>
          <w:sz w:val="24"/>
        </w:rPr>
        <w:t>。</w:t>
      </w:r>
    </w:p>
    <w:p w:rsidR="00EE4502" w:rsidRDefault="00FD45A3">
      <w:pPr>
        <w:spacing w:line="360" w:lineRule="auto"/>
        <w:ind w:firstLineChars="200" w:firstLine="480"/>
        <w:rPr>
          <w:sz w:val="24"/>
        </w:rPr>
      </w:pPr>
      <w:r>
        <w:rPr>
          <w:sz w:val="24"/>
        </w:rPr>
        <w:t>从预测结果可知，发生泄漏后</w:t>
      </w:r>
      <w:r>
        <w:rPr>
          <w:sz w:val="24"/>
        </w:rPr>
        <w:t>，导致泄漏点周边区域土壤中盐分含量有所升高，但在发生泄漏后，油田公司会按照要求将泄漏点周围区域土壤进行清理，且随着雨水淋溶，区域土壤中增加的盐分含量将逐渐降低直至恢复至平均水平。</w:t>
      </w:r>
    </w:p>
    <w:p w:rsidR="00EE4502" w:rsidRDefault="00FD45A3">
      <w:pPr>
        <w:spacing w:line="360" w:lineRule="auto"/>
        <w:ind w:firstLine="520"/>
        <w:rPr>
          <w:sz w:val="24"/>
        </w:rPr>
      </w:pPr>
      <w:r>
        <w:rPr>
          <w:sz w:val="24"/>
        </w:rPr>
        <w:t>综上，</w:t>
      </w:r>
      <w:r>
        <w:rPr>
          <w:rFonts w:hint="eastAsia"/>
          <w:sz w:val="24"/>
        </w:rPr>
        <w:t>本工程</w:t>
      </w:r>
      <w:r>
        <w:rPr>
          <w:sz w:val="24"/>
        </w:rPr>
        <w:t>正常工况下无废水及固废等污染物外排，不会造成土壤环境污染。如果发生井喷及油罐、管线泄漏等事故，泄漏的原油会对土壤环境产生一定的影响，泄漏的石油覆盖于地表可使土壤透气性下降、土壤理化性状发生变化。泄漏的油品如果进入土壤，从而使土壤质地、结构发生改变，影响到土地功能，进而影响地表植被的生长。根据环境风险分析可知，</w:t>
      </w:r>
      <w:r>
        <w:rPr>
          <w:rFonts w:hint="eastAsia"/>
          <w:sz w:val="24"/>
        </w:rPr>
        <w:t>本工程</w:t>
      </w:r>
      <w:r>
        <w:rPr>
          <w:sz w:val="24"/>
        </w:rPr>
        <w:t>风险潜势很低，发生泄漏事故的可能性很小，在做好源头控制、过程防控等措施的前提下，可避免工程项目实施对土壤环境产生污染影响。</w:t>
      </w:r>
    </w:p>
    <w:p w:rsidR="00EE4502" w:rsidRDefault="00FD45A3">
      <w:pPr>
        <w:spacing w:line="360" w:lineRule="auto"/>
        <w:ind w:firstLine="520"/>
        <w:rPr>
          <w:sz w:val="24"/>
        </w:rPr>
      </w:pPr>
      <w:r>
        <w:rPr>
          <w:rFonts w:hint="eastAsia"/>
          <w:sz w:val="24"/>
        </w:rPr>
        <w:t>本工程</w:t>
      </w:r>
      <w:r>
        <w:rPr>
          <w:sz w:val="24"/>
        </w:rPr>
        <w:t>土壤环境影响评价自查表，见表</w:t>
      </w:r>
      <w:r>
        <w:rPr>
          <w:sz w:val="24"/>
        </w:rPr>
        <w:t>5-</w:t>
      </w:r>
      <w:r>
        <w:rPr>
          <w:rFonts w:hint="eastAsia"/>
          <w:sz w:val="24"/>
        </w:rPr>
        <w:t>4</w:t>
      </w:r>
      <w:r>
        <w:rPr>
          <w:sz w:val="24"/>
        </w:rPr>
        <w:t>-5</w:t>
      </w:r>
      <w:r>
        <w:rPr>
          <w:sz w:val="24"/>
        </w:rPr>
        <w:t>。</w:t>
      </w:r>
    </w:p>
    <w:p w:rsidR="00EE4502" w:rsidRDefault="00FD45A3">
      <w:pPr>
        <w:spacing w:line="360" w:lineRule="auto"/>
        <w:jc w:val="center"/>
        <w:rPr>
          <w:sz w:val="24"/>
        </w:rPr>
      </w:pPr>
      <w:r>
        <w:rPr>
          <w:rFonts w:eastAsia="黑体"/>
          <w:szCs w:val="21"/>
        </w:rPr>
        <w:t>表</w:t>
      </w:r>
      <w:r>
        <w:rPr>
          <w:rFonts w:eastAsia="黑体"/>
          <w:szCs w:val="21"/>
        </w:rPr>
        <w:t>5-</w:t>
      </w:r>
      <w:r>
        <w:rPr>
          <w:rFonts w:eastAsia="黑体" w:hint="eastAsia"/>
          <w:szCs w:val="21"/>
        </w:rPr>
        <w:t>4</w:t>
      </w:r>
      <w:r>
        <w:rPr>
          <w:rFonts w:eastAsia="黑体"/>
          <w:szCs w:val="21"/>
        </w:rPr>
        <w:t xml:space="preserve">-5   </w:t>
      </w:r>
      <w:r>
        <w:rPr>
          <w:rFonts w:eastAsia="黑体" w:hint="eastAsia"/>
          <w:szCs w:val="21"/>
        </w:rPr>
        <w:t xml:space="preserve"> </w:t>
      </w:r>
      <w:r>
        <w:rPr>
          <w:rFonts w:eastAsia="黑体"/>
          <w:szCs w:val="21"/>
        </w:rPr>
        <w:t>土壤环境影响评价自查表</w:t>
      </w:r>
    </w:p>
    <w:tbl>
      <w:tblPr>
        <w:tblW w:w="4999" w:type="pct"/>
        <w:jc w:val="center"/>
        <w:tblBorders>
          <w:top w:val="single" w:sz="8" w:space="0" w:color="auto"/>
          <w:bottom w:val="single" w:sz="8" w:space="0" w:color="auto"/>
          <w:insideH w:val="single" w:sz="8" w:space="0" w:color="auto"/>
          <w:insideV w:val="single" w:sz="8" w:space="0" w:color="auto"/>
        </w:tblBorders>
        <w:tblLook w:val="04A0" w:firstRow="1" w:lastRow="0" w:firstColumn="1" w:lastColumn="0" w:noHBand="0" w:noVBand="1"/>
      </w:tblPr>
      <w:tblGrid>
        <w:gridCol w:w="420"/>
        <w:gridCol w:w="1540"/>
        <w:gridCol w:w="1327"/>
        <w:gridCol w:w="421"/>
        <w:gridCol w:w="849"/>
        <w:gridCol w:w="1159"/>
        <w:gridCol w:w="112"/>
        <w:gridCol w:w="1503"/>
        <w:gridCol w:w="1189"/>
      </w:tblGrid>
      <w:tr w:rsidR="00EE4502">
        <w:trPr>
          <w:trHeight w:val="340"/>
          <w:jc w:val="center"/>
        </w:trPr>
        <w:tc>
          <w:tcPr>
            <w:tcW w:w="1149" w:type="pct"/>
            <w:gridSpan w:val="2"/>
            <w:vAlign w:val="center"/>
          </w:tcPr>
          <w:p w:rsidR="00EE4502" w:rsidRDefault="00FD45A3">
            <w:pPr>
              <w:jc w:val="center"/>
              <w:rPr>
                <w:sz w:val="18"/>
                <w:szCs w:val="18"/>
              </w:rPr>
            </w:pPr>
            <w:r>
              <w:rPr>
                <w:sz w:val="18"/>
                <w:szCs w:val="18"/>
              </w:rPr>
              <w:t>工作内容</w:t>
            </w:r>
          </w:p>
        </w:tc>
        <w:tc>
          <w:tcPr>
            <w:tcW w:w="3152" w:type="pct"/>
            <w:gridSpan w:val="6"/>
            <w:vAlign w:val="center"/>
          </w:tcPr>
          <w:p w:rsidR="00EE4502" w:rsidRDefault="00FD45A3">
            <w:pPr>
              <w:jc w:val="center"/>
              <w:rPr>
                <w:sz w:val="18"/>
                <w:szCs w:val="18"/>
              </w:rPr>
            </w:pPr>
            <w:r>
              <w:rPr>
                <w:sz w:val="18"/>
                <w:szCs w:val="18"/>
              </w:rPr>
              <w:t>完成情况</w:t>
            </w:r>
          </w:p>
        </w:tc>
        <w:tc>
          <w:tcPr>
            <w:tcW w:w="698" w:type="pct"/>
            <w:vAlign w:val="center"/>
          </w:tcPr>
          <w:p w:rsidR="00EE4502" w:rsidRDefault="00FD45A3">
            <w:pPr>
              <w:jc w:val="center"/>
              <w:rPr>
                <w:sz w:val="18"/>
                <w:szCs w:val="18"/>
              </w:rPr>
            </w:pPr>
            <w:r>
              <w:rPr>
                <w:sz w:val="18"/>
                <w:szCs w:val="18"/>
              </w:rPr>
              <w:t>备注</w:t>
            </w:r>
          </w:p>
        </w:tc>
      </w:tr>
      <w:tr w:rsidR="00EE4502">
        <w:trPr>
          <w:trHeight w:val="340"/>
          <w:jc w:val="center"/>
        </w:trPr>
        <w:tc>
          <w:tcPr>
            <w:tcW w:w="246" w:type="pct"/>
            <w:vMerge w:val="restart"/>
            <w:vAlign w:val="center"/>
          </w:tcPr>
          <w:p w:rsidR="00EE4502" w:rsidRDefault="00FD45A3">
            <w:pPr>
              <w:jc w:val="center"/>
              <w:rPr>
                <w:sz w:val="18"/>
                <w:szCs w:val="18"/>
              </w:rPr>
            </w:pPr>
            <w:r>
              <w:rPr>
                <w:sz w:val="18"/>
                <w:szCs w:val="18"/>
              </w:rPr>
              <w:t>影</w:t>
            </w:r>
          </w:p>
          <w:p w:rsidR="00EE4502" w:rsidRDefault="00FD45A3">
            <w:pPr>
              <w:jc w:val="center"/>
              <w:rPr>
                <w:sz w:val="18"/>
                <w:szCs w:val="18"/>
              </w:rPr>
            </w:pPr>
            <w:r>
              <w:rPr>
                <w:sz w:val="18"/>
                <w:szCs w:val="18"/>
              </w:rPr>
              <w:t>响</w:t>
            </w:r>
          </w:p>
          <w:p w:rsidR="00EE4502" w:rsidRDefault="00FD45A3">
            <w:pPr>
              <w:jc w:val="center"/>
              <w:rPr>
                <w:sz w:val="18"/>
                <w:szCs w:val="18"/>
              </w:rPr>
            </w:pPr>
            <w:r>
              <w:rPr>
                <w:sz w:val="18"/>
                <w:szCs w:val="18"/>
              </w:rPr>
              <w:t>识</w:t>
            </w:r>
          </w:p>
          <w:p w:rsidR="00EE4502" w:rsidRDefault="00FD45A3">
            <w:pPr>
              <w:jc w:val="center"/>
              <w:rPr>
                <w:sz w:val="18"/>
                <w:szCs w:val="18"/>
              </w:rPr>
            </w:pPr>
            <w:r>
              <w:rPr>
                <w:sz w:val="18"/>
                <w:szCs w:val="18"/>
              </w:rPr>
              <w:t>别</w:t>
            </w:r>
          </w:p>
        </w:tc>
        <w:tc>
          <w:tcPr>
            <w:tcW w:w="902" w:type="pct"/>
            <w:vAlign w:val="center"/>
          </w:tcPr>
          <w:p w:rsidR="00EE4502" w:rsidRDefault="00FD45A3">
            <w:pPr>
              <w:jc w:val="center"/>
              <w:rPr>
                <w:sz w:val="18"/>
                <w:szCs w:val="18"/>
              </w:rPr>
            </w:pPr>
            <w:r>
              <w:rPr>
                <w:sz w:val="18"/>
                <w:szCs w:val="18"/>
              </w:rPr>
              <w:t>影响类型</w:t>
            </w:r>
          </w:p>
        </w:tc>
        <w:tc>
          <w:tcPr>
            <w:tcW w:w="3152" w:type="pct"/>
            <w:gridSpan w:val="6"/>
            <w:vAlign w:val="center"/>
          </w:tcPr>
          <w:p w:rsidR="00EE4502" w:rsidRDefault="00FD45A3">
            <w:pPr>
              <w:jc w:val="center"/>
              <w:rPr>
                <w:sz w:val="18"/>
                <w:szCs w:val="18"/>
              </w:rPr>
            </w:pPr>
            <w:r>
              <w:rPr>
                <w:sz w:val="18"/>
                <w:szCs w:val="18"/>
              </w:rPr>
              <w:t>污染影响型</w:t>
            </w:r>
            <w:r>
              <w:rPr>
                <w:rFonts w:hint="eastAsia"/>
                <w:sz w:val="18"/>
                <w:szCs w:val="18"/>
              </w:rPr>
              <w:t>□</w:t>
            </w:r>
            <w:r>
              <w:rPr>
                <w:sz w:val="18"/>
                <w:szCs w:val="18"/>
              </w:rPr>
              <w:t>；生态影响型</w:t>
            </w:r>
            <w:r>
              <w:rPr>
                <w:rFonts w:hint="eastAsia"/>
                <w:sz w:val="18"/>
                <w:szCs w:val="18"/>
              </w:rPr>
              <w:t>□</w:t>
            </w:r>
            <w:r>
              <w:rPr>
                <w:sz w:val="18"/>
                <w:szCs w:val="18"/>
              </w:rPr>
              <w:t>；两种兼有</w:t>
            </w:r>
            <w:r>
              <w:rPr>
                <w:rFonts w:hint="eastAsia"/>
                <w:sz w:val="18"/>
                <w:szCs w:val="18"/>
              </w:rPr>
              <w:t>☑</w:t>
            </w:r>
          </w:p>
        </w:tc>
        <w:tc>
          <w:tcPr>
            <w:tcW w:w="698" w:type="pct"/>
            <w:vAlign w:val="center"/>
          </w:tcPr>
          <w:p w:rsidR="00EE4502" w:rsidRDefault="00EE4502">
            <w:pPr>
              <w:jc w:val="center"/>
              <w:rPr>
                <w:sz w:val="18"/>
                <w:szCs w:val="18"/>
              </w:rPr>
            </w:pPr>
          </w:p>
        </w:tc>
      </w:tr>
      <w:tr w:rsidR="00EE4502">
        <w:trPr>
          <w:trHeight w:val="340"/>
          <w:jc w:val="center"/>
        </w:trPr>
        <w:tc>
          <w:tcPr>
            <w:tcW w:w="246" w:type="pct"/>
            <w:vMerge/>
            <w:vAlign w:val="center"/>
          </w:tcPr>
          <w:p w:rsidR="00EE4502" w:rsidRDefault="00EE4502">
            <w:pPr>
              <w:widowControl/>
              <w:jc w:val="center"/>
              <w:rPr>
                <w:sz w:val="18"/>
                <w:szCs w:val="18"/>
              </w:rPr>
            </w:pPr>
          </w:p>
        </w:tc>
        <w:tc>
          <w:tcPr>
            <w:tcW w:w="902" w:type="pct"/>
            <w:vAlign w:val="center"/>
          </w:tcPr>
          <w:p w:rsidR="00EE4502" w:rsidRDefault="00FD45A3">
            <w:pPr>
              <w:jc w:val="center"/>
              <w:rPr>
                <w:sz w:val="18"/>
                <w:szCs w:val="18"/>
              </w:rPr>
            </w:pPr>
            <w:r>
              <w:rPr>
                <w:sz w:val="18"/>
                <w:szCs w:val="18"/>
              </w:rPr>
              <w:t>土地利用类型</w:t>
            </w:r>
          </w:p>
        </w:tc>
        <w:tc>
          <w:tcPr>
            <w:tcW w:w="3152" w:type="pct"/>
            <w:gridSpan w:val="6"/>
            <w:vAlign w:val="center"/>
          </w:tcPr>
          <w:p w:rsidR="00EE4502" w:rsidRDefault="00FD45A3">
            <w:pPr>
              <w:jc w:val="center"/>
              <w:rPr>
                <w:sz w:val="18"/>
                <w:szCs w:val="18"/>
              </w:rPr>
            </w:pPr>
            <w:r>
              <w:rPr>
                <w:sz w:val="18"/>
                <w:szCs w:val="18"/>
              </w:rPr>
              <w:t>建设用地</w:t>
            </w:r>
            <w:r>
              <w:rPr>
                <w:rFonts w:hint="eastAsia"/>
                <w:sz w:val="18"/>
                <w:szCs w:val="18"/>
              </w:rPr>
              <w:t>☑</w:t>
            </w:r>
            <w:r>
              <w:rPr>
                <w:sz w:val="18"/>
                <w:szCs w:val="18"/>
              </w:rPr>
              <w:t>；农用地</w:t>
            </w:r>
            <w:r>
              <w:rPr>
                <w:rFonts w:hint="eastAsia"/>
                <w:sz w:val="18"/>
                <w:szCs w:val="18"/>
              </w:rPr>
              <w:t>☑</w:t>
            </w:r>
            <w:r>
              <w:rPr>
                <w:sz w:val="18"/>
                <w:szCs w:val="18"/>
              </w:rPr>
              <w:t>；未利用地</w:t>
            </w:r>
            <w:r>
              <w:rPr>
                <w:rFonts w:hint="eastAsia"/>
                <w:sz w:val="18"/>
                <w:szCs w:val="18"/>
              </w:rPr>
              <w:t>☑</w:t>
            </w:r>
          </w:p>
        </w:tc>
        <w:tc>
          <w:tcPr>
            <w:tcW w:w="698" w:type="pct"/>
            <w:vAlign w:val="center"/>
          </w:tcPr>
          <w:p w:rsidR="00EE4502" w:rsidRDefault="00FD45A3">
            <w:pPr>
              <w:jc w:val="center"/>
              <w:rPr>
                <w:sz w:val="18"/>
                <w:szCs w:val="18"/>
              </w:rPr>
            </w:pPr>
            <w:r>
              <w:rPr>
                <w:sz w:val="18"/>
                <w:szCs w:val="18"/>
              </w:rPr>
              <w:t>土地利用类型图</w:t>
            </w:r>
          </w:p>
        </w:tc>
      </w:tr>
      <w:tr w:rsidR="00EE4502">
        <w:trPr>
          <w:trHeight w:val="340"/>
          <w:jc w:val="center"/>
        </w:trPr>
        <w:tc>
          <w:tcPr>
            <w:tcW w:w="246" w:type="pct"/>
            <w:vMerge/>
            <w:vAlign w:val="center"/>
          </w:tcPr>
          <w:p w:rsidR="00EE4502" w:rsidRDefault="00EE4502">
            <w:pPr>
              <w:widowControl/>
              <w:jc w:val="center"/>
              <w:rPr>
                <w:sz w:val="18"/>
                <w:szCs w:val="18"/>
              </w:rPr>
            </w:pPr>
          </w:p>
        </w:tc>
        <w:tc>
          <w:tcPr>
            <w:tcW w:w="902" w:type="pct"/>
            <w:vAlign w:val="center"/>
          </w:tcPr>
          <w:p w:rsidR="00EE4502" w:rsidRDefault="00FD45A3">
            <w:pPr>
              <w:jc w:val="center"/>
              <w:rPr>
                <w:sz w:val="18"/>
                <w:szCs w:val="18"/>
              </w:rPr>
            </w:pPr>
            <w:r>
              <w:rPr>
                <w:sz w:val="18"/>
                <w:szCs w:val="18"/>
              </w:rPr>
              <w:t>占地规模</w:t>
            </w:r>
          </w:p>
        </w:tc>
        <w:tc>
          <w:tcPr>
            <w:tcW w:w="3152" w:type="pct"/>
            <w:gridSpan w:val="6"/>
            <w:vAlign w:val="center"/>
          </w:tcPr>
          <w:p w:rsidR="00EE4502" w:rsidRDefault="00FD45A3">
            <w:pPr>
              <w:jc w:val="center"/>
              <w:rPr>
                <w:sz w:val="18"/>
                <w:szCs w:val="18"/>
              </w:rPr>
            </w:pPr>
            <w:r>
              <w:rPr>
                <w:sz w:val="18"/>
                <w:szCs w:val="18"/>
              </w:rPr>
              <w:t>（</w:t>
            </w:r>
            <w:r>
              <w:rPr>
                <w:rFonts w:hint="eastAsia"/>
                <w:sz w:val="18"/>
                <w:szCs w:val="18"/>
              </w:rPr>
              <w:t>3.4060)</w:t>
            </w:r>
            <w:r>
              <w:rPr>
                <w:sz w:val="18"/>
                <w:szCs w:val="18"/>
              </w:rPr>
              <w:t>hm</w:t>
            </w:r>
            <w:r>
              <w:rPr>
                <w:sz w:val="18"/>
                <w:szCs w:val="18"/>
                <w:vertAlign w:val="superscript"/>
              </w:rPr>
              <w:t>2</w:t>
            </w:r>
          </w:p>
        </w:tc>
        <w:tc>
          <w:tcPr>
            <w:tcW w:w="698" w:type="pct"/>
            <w:vAlign w:val="center"/>
          </w:tcPr>
          <w:p w:rsidR="00EE4502" w:rsidRDefault="00FD45A3">
            <w:pPr>
              <w:jc w:val="center"/>
              <w:rPr>
                <w:sz w:val="18"/>
                <w:szCs w:val="18"/>
              </w:rPr>
            </w:pPr>
            <w:r>
              <w:rPr>
                <w:sz w:val="18"/>
                <w:szCs w:val="18"/>
              </w:rPr>
              <w:t>-</w:t>
            </w:r>
          </w:p>
        </w:tc>
      </w:tr>
      <w:tr w:rsidR="00EE4502">
        <w:trPr>
          <w:trHeight w:val="340"/>
          <w:jc w:val="center"/>
        </w:trPr>
        <w:tc>
          <w:tcPr>
            <w:tcW w:w="246" w:type="pct"/>
            <w:vMerge/>
            <w:vAlign w:val="center"/>
          </w:tcPr>
          <w:p w:rsidR="00EE4502" w:rsidRDefault="00EE4502">
            <w:pPr>
              <w:widowControl/>
              <w:jc w:val="center"/>
              <w:rPr>
                <w:sz w:val="18"/>
                <w:szCs w:val="18"/>
              </w:rPr>
            </w:pPr>
          </w:p>
        </w:tc>
        <w:tc>
          <w:tcPr>
            <w:tcW w:w="902" w:type="pct"/>
            <w:vAlign w:val="center"/>
          </w:tcPr>
          <w:p w:rsidR="00EE4502" w:rsidRDefault="00FD45A3">
            <w:pPr>
              <w:jc w:val="center"/>
              <w:rPr>
                <w:sz w:val="18"/>
                <w:szCs w:val="18"/>
              </w:rPr>
            </w:pPr>
            <w:r>
              <w:rPr>
                <w:sz w:val="18"/>
                <w:szCs w:val="18"/>
              </w:rPr>
              <w:t>敏感目标信息</w:t>
            </w:r>
          </w:p>
        </w:tc>
        <w:tc>
          <w:tcPr>
            <w:tcW w:w="3152" w:type="pct"/>
            <w:gridSpan w:val="6"/>
            <w:vAlign w:val="center"/>
          </w:tcPr>
          <w:p w:rsidR="00EE4502" w:rsidRDefault="00FD45A3">
            <w:pPr>
              <w:jc w:val="center"/>
              <w:rPr>
                <w:sz w:val="18"/>
                <w:szCs w:val="18"/>
              </w:rPr>
            </w:pPr>
            <w:r>
              <w:rPr>
                <w:rFonts w:hint="eastAsia"/>
                <w:sz w:val="18"/>
                <w:szCs w:val="18"/>
              </w:rPr>
              <w:t>评价范围内公益林</w:t>
            </w:r>
            <w:r>
              <w:rPr>
                <w:rFonts w:hint="eastAsia"/>
                <w:sz w:val="18"/>
                <w:szCs w:val="18"/>
              </w:rPr>
              <w:t>、水浇地</w:t>
            </w:r>
          </w:p>
        </w:tc>
        <w:tc>
          <w:tcPr>
            <w:tcW w:w="698" w:type="pct"/>
            <w:vAlign w:val="center"/>
          </w:tcPr>
          <w:p w:rsidR="00EE4502" w:rsidRDefault="00FD45A3">
            <w:pPr>
              <w:jc w:val="center"/>
              <w:rPr>
                <w:sz w:val="18"/>
                <w:szCs w:val="18"/>
              </w:rPr>
            </w:pPr>
            <w:r>
              <w:rPr>
                <w:sz w:val="18"/>
                <w:szCs w:val="18"/>
              </w:rPr>
              <w:t>-</w:t>
            </w:r>
          </w:p>
        </w:tc>
      </w:tr>
      <w:tr w:rsidR="00EE4502">
        <w:trPr>
          <w:trHeight w:val="340"/>
          <w:jc w:val="center"/>
        </w:trPr>
        <w:tc>
          <w:tcPr>
            <w:tcW w:w="246" w:type="pct"/>
            <w:vMerge/>
            <w:vAlign w:val="center"/>
          </w:tcPr>
          <w:p w:rsidR="00EE4502" w:rsidRDefault="00EE4502">
            <w:pPr>
              <w:widowControl/>
              <w:jc w:val="center"/>
              <w:rPr>
                <w:sz w:val="18"/>
                <w:szCs w:val="18"/>
              </w:rPr>
            </w:pPr>
          </w:p>
        </w:tc>
        <w:tc>
          <w:tcPr>
            <w:tcW w:w="902" w:type="pct"/>
            <w:vAlign w:val="center"/>
          </w:tcPr>
          <w:p w:rsidR="00EE4502" w:rsidRDefault="00FD45A3">
            <w:pPr>
              <w:jc w:val="center"/>
              <w:rPr>
                <w:sz w:val="18"/>
                <w:szCs w:val="18"/>
              </w:rPr>
            </w:pPr>
            <w:r>
              <w:rPr>
                <w:sz w:val="18"/>
                <w:szCs w:val="18"/>
              </w:rPr>
              <w:t>影响途径</w:t>
            </w:r>
          </w:p>
        </w:tc>
        <w:tc>
          <w:tcPr>
            <w:tcW w:w="3152" w:type="pct"/>
            <w:gridSpan w:val="6"/>
            <w:vAlign w:val="center"/>
          </w:tcPr>
          <w:p w:rsidR="00EE4502" w:rsidRDefault="00FD45A3">
            <w:pPr>
              <w:jc w:val="center"/>
              <w:rPr>
                <w:sz w:val="18"/>
                <w:szCs w:val="18"/>
              </w:rPr>
            </w:pPr>
            <w:r>
              <w:rPr>
                <w:sz w:val="18"/>
                <w:szCs w:val="18"/>
              </w:rPr>
              <w:t>大气沉降</w:t>
            </w:r>
            <w:r>
              <w:rPr>
                <w:sz w:val="18"/>
                <w:szCs w:val="18"/>
              </w:rPr>
              <w:t>□</w:t>
            </w:r>
            <w:r>
              <w:rPr>
                <w:sz w:val="18"/>
                <w:szCs w:val="18"/>
              </w:rPr>
              <w:t>；地面漫流</w:t>
            </w:r>
            <w:r>
              <w:rPr>
                <w:sz w:val="18"/>
                <w:szCs w:val="18"/>
              </w:rPr>
              <w:t>□</w:t>
            </w:r>
            <w:r>
              <w:rPr>
                <w:sz w:val="18"/>
                <w:szCs w:val="18"/>
              </w:rPr>
              <w:t>；垂直入渗</w:t>
            </w:r>
            <w:r>
              <w:rPr>
                <w:rFonts w:hint="eastAsia"/>
                <w:sz w:val="18"/>
                <w:szCs w:val="18"/>
              </w:rPr>
              <w:t>☑</w:t>
            </w:r>
            <w:r>
              <w:rPr>
                <w:sz w:val="18"/>
                <w:szCs w:val="18"/>
              </w:rPr>
              <w:t>；地下水位</w:t>
            </w:r>
            <w:r>
              <w:rPr>
                <w:rFonts w:hint="eastAsia"/>
                <w:sz w:val="18"/>
                <w:szCs w:val="18"/>
              </w:rPr>
              <w:t>□</w:t>
            </w:r>
            <w:r>
              <w:rPr>
                <w:sz w:val="18"/>
                <w:szCs w:val="18"/>
              </w:rPr>
              <w:t>；其他（）</w:t>
            </w:r>
          </w:p>
        </w:tc>
        <w:tc>
          <w:tcPr>
            <w:tcW w:w="698" w:type="pct"/>
            <w:vAlign w:val="center"/>
          </w:tcPr>
          <w:p w:rsidR="00EE4502" w:rsidRDefault="00FD45A3">
            <w:pPr>
              <w:jc w:val="center"/>
              <w:rPr>
                <w:sz w:val="18"/>
                <w:szCs w:val="18"/>
              </w:rPr>
            </w:pPr>
            <w:r>
              <w:rPr>
                <w:sz w:val="18"/>
                <w:szCs w:val="18"/>
              </w:rPr>
              <w:t>-</w:t>
            </w:r>
          </w:p>
        </w:tc>
      </w:tr>
      <w:tr w:rsidR="00EE4502">
        <w:trPr>
          <w:trHeight w:val="340"/>
          <w:jc w:val="center"/>
        </w:trPr>
        <w:tc>
          <w:tcPr>
            <w:tcW w:w="246" w:type="pct"/>
            <w:vMerge/>
            <w:vAlign w:val="center"/>
          </w:tcPr>
          <w:p w:rsidR="00EE4502" w:rsidRDefault="00EE4502">
            <w:pPr>
              <w:widowControl/>
              <w:jc w:val="center"/>
              <w:rPr>
                <w:sz w:val="18"/>
                <w:szCs w:val="18"/>
              </w:rPr>
            </w:pPr>
          </w:p>
        </w:tc>
        <w:tc>
          <w:tcPr>
            <w:tcW w:w="902" w:type="pct"/>
            <w:vAlign w:val="center"/>
          </w:tcPr>
          <w:p w:rsidR="00EE4502" w:rsidRDefault="00FD45A3">
            <w:pPr>
              <w:jc w:val="center"/>
              <w:rPr>
                <w:sz w:val="18"/>
                <w:szCs w:val="18"/>
              </w:rPr>
            </w:pPr>
            <w:r>
              <w:rPr>
                <w:sz w:val="18"/>
                <w:szCs w:val="18"/>
              </w:rPr>
              <w:t>全部污染物</w:t>
            </w:r>
          </w:p>
        </w:tc>
        <w:tc>
          <w:tcPr>
            <w:tcW w:w="3152" w:type="pct"/>
            <w:gridSpan w:val="6"/>
            <w:vAlign w:val="center"/>
          </w:tcPr>
          <w:p w:rsidR="00EE4502" w:rsidRDefault="00FD45A3">
            <w:pPr>
              <w:jc w:val="center"/>
              <w:rPr>
                <w:sz w:val="18"/>
                <w:szCs w:val="18"/>
              </w:rPr>
            </w:pPr>
            <w:r>
              <w:rPr>
                <w:sz w:val="18"/>
                <w:szCs w:val="18"/>
              </w:rPr>
              <w:t>石油烃</w:t>
            </w:r>
            <w:r>
              <w:rPr>
                <w:rFonts w:hint="eastAsia"/>
                <w:sz w:val="18"/>
                <w:szCs w:val="18"/>
              </w:rPr>
              <w:t>、盐分含量</w:t>
            </w:r>
          </w:p>
        </w:tc>
        <w:tc>
          <w:tcPr>
            <w:tcW w:w="698" w:type="pct"/>
            <w:vAlign w:val="center"/>
          </w:tcPr>
          <w:p w:rsidR="00EE4502" w:rsidRDefault="00FD45A3">
            <w:pPr>
              <w:jc w:val="center"/>
              <w:rPr>
                <w:sz w:val="18"/>
                <w:szCs w:val="18"/>
              </w:rPr>
            </w:pPr>
            <w:r>
              <w:rPr>
                <w:sz w:val="18"/>
                <w:szCs w:val="18"/>
              </w:rPr>
              <w:t>-</w:t>
            </w:r>
          </w:p>
        </w:tc>
      </w:tr>
      <w:tr w:rsidR="00EE4502">
        <w:trPr>
          <w:trHeight w:val="340"/>
          <w:jc w:val="center"/>
        </w:trPr>
        <w:tc>
          <w:tcPr>
            <w:tcW w:w="246" w:type="pct"/>
            <w:vMerge/>
            <w:vAlign w:val="center"/>
          </w:tcPr>
          <w:p w:rsidR="00EE4502" w:rsidRDefault="00EE4502">
            <w:pPr>
              <w:widowControl/>
              <w:jc w:val="center"/>
              <w:rPr>
                <w:sz w:val="18"/>
                <w:szCs w:val="18"/>
              </w:rPr>
            </w:pPr>
          </w:p>
        </w:tc>
        <w:tc>
          <w:tcPr>
            <w:tcW w:w="902" w:type="pct"/>
            <w:vAlign w:val="center"/>
          </w:tcPr>
          <w:p w:rsidR="00EE4502" w:rsidRDefault="00FD45A3">
            <w:pPr>
              <w:jc w:val="center"/>
              <w:rPr>
                <w:sz w:val="18"/>
                <w:szCs w:val="18"/>
              </w:rPr>
            </w:pPr>
            <w:r>
              <w:rPr>
                <w:sz w:val="18"/>
                <w:szCs w:val="18"/>
              </w:rPr>
              <w:t>特征因子</w:t>
            </w:r>
          </w:p>
        </w:tc>
        <w:tc>
          <w:tcPr>
            <w:tcW w:w="3152" w:type="pct"/>
            <w:gridSpan w:val="6"/>
            <w:vAlign w:val="center"/>
          </w:tcPr>
          <w:p w:rsidR="00EE4502" w:rsidRDefault="00FD45A3">
            <w:pPr>
              <w:jc w:val="center"/>
              <w:rPr>
                <w:sz w:val="18"/>
                <w:szCs w:val="18"/>
              </w:rPr>
            </w:pPr>
            <w:bookmarkStart w:id="218" w:name="OLE_LINK42"/>
            <w:r>
              <w:rPr>
                <w:sz w:val="18"/>
                <w:szCs w:val="18"/>
              </w:rPr>
              <w:t>石油烃</w:t>
            </w:r>
            <w:bookmarkEnd w:id="218"/>
            <w:r>
              <w:rPr>
                <w:rFonts w:hint="eastAsia"/>
                <w:sz w:val="18"/>
                <w:szCs w:val="18"/>
              </w:rPr>
              <w:t>、盐分含量</w:t>
            </w:r>
          </w:p>
        </w:tc>
        <w:tc>
          <w:tcPr>
            <w:tcW w:w="698" w:type="pct"/>
            <w:vAlign w:val="center"/>
          </w:tcPr>
          <w:p w:rsidR="00EE4502" w:rsidRDefault="00FD45A3">
            <w:pPr>
              <w:jc w:val="center"/>
              <w:rPr>
                <w:sz w:val="18"/>
                <w:szCs w:val="18"/>
              </w:rPr>
            </w:pPr>
            <w:r>
              <w:rPr>
                <w:sz w:val="18"/>
                <w:szCs w:val="18"/>
              </w:rPr>
              <w:t>-</w:t>
            </w:r>
          </w:p>
        </w:tc>
      </w:tr>
      <w:tr w:rsidR="00EE4502">
        <w:trPr>
          <w:trHeight w:val="340"/>
          <w:jc w:val="center"/>
        </w:trPr>
        <w:tc>
          <w:tcPr>
            <w:tcW w:w="246" w:type="pct"/>
            <w:vMerge/>
            <w:vAlign w:val="center"/>
          </w:tcPr>
          <w:p w:rsidR="00EE4502" w:rsidRDefault="00EE4502">
            <w:pPr>
              <w:widowControl/>
              <w:jc w:val="center"/>
              <w:rPr>
                <w:sz w:val="18"/>
                <w:szCs w:val="18"/>
              </w:rPr>
            </w:pPr>
          </w:p>
        </w:tc>
        <w:tc>
          <w:tcPr>
            <w:tcW w:w="902" w:type="pct"/>
            <w:vAlign w:val="center"/>
          </w:tcPr>
          <w:p w:rsidR="00EE4502" w:rsidRDefault="00FD45A3">
            <w:pPr>
              <w:jc w:val="center"/>
              <w:rPr>
                <w:sz w:val="18"/>
                <w:szCs w:val="18"/>
              </w:rPr>
            </w:pPr>
            <w:r>
              <w:rPr>
                <w:sz w:val="18"/>
                <w:szCs w:val="18"/>
              </w:rPr>
              <w:t>所属土壤环境影响评价项目类别</w:t>
            </w:r>
          </w:p>
        </w:tc>
        <w:tc>
          <w:tcPr>
            <w:tcW w:w="3152" w:type="pct"/>
            <w:gridSpan w:val="6"/>
            <w:vAlign w:val="center"/>
          </w:tcPr>
          <w:p w:rsidR="00EE4502" w:rsidRDefault="00FD45A3">
            <w:pPr>
              <w:jc w:val="center"/>
              <w:rPr>
                <w:sz w:val="18"/>
                <w:szCs w:val="18"/>
              </w:rPr>
            </w:pPr>
            <w:r>
              <w:rPr>
                <w:sz w:val="18"/>
                <w:szCs w:val="18"/>
              </w:rPr>
              <w:t>Ⅰ</w:t>
            </w:r>
            <w:r>
              <w:rPr>
                <w:sz w:val="18"/>
                <w:szCs w:val="18"/>
              </w:rPr>
              <w:t>类</w:t>
            </w:r>
            <w:r>
              <w:rPr>
                <w:rFonts w:hint="eastAsia"/>
                <w:sz w:val="18"/>
                <w:szCs w:val="18"/>
              </w:rPr>
              <w:t>☑</w:t>
            </w:r>
            <w:r>
              <w:rPr>
                <w:sz w:val="18"/>
                <w:szCs w:val="18"/>
              </w:rPr>
              <w:t>；</w:t>
            </w:r>
            <w:r>
              <w:rPr>
                <w:sz w:val="18"/>
                <w:szCs w:val="18"/>
              </w:rPr>
              <w:t>Ⅱ</w:t>
            </w:r>
            <w:r>
              <w:rPr>
                <w:sz w:val="18"/>
                <w:szCs w:val="18"/>
              </w:rPr>
              <w:t>类</w:t>
            </w:r>
            <w:r>
              <w:rPr>
                <w:sz w:val="18"/>
                <w:szCs w:val="18"/>
              </w:rPr>
              <w:t>□</w:t>
            </w:r>
            <w:r>
              <w:rPr>
                <w:sz w:val="18"/>
                <w:szCs w:val="18"/>
              </w:rPr>
              <w:t>；</w:t>
            </w:r>
            <w:r>
              <w:rPr>
                <w:sz w:val="18"/>
                <w:szCs w:val="18"/>
              </w:rPr>
              <w:t>Ⅲ</w:t>
            </w:r>
            <w:r>
              <w:rPr>
                <w:sz w:val="18"/>
                <w:szCs w:val="18"/>
              </w:rPr>
              <w:t>类</w:t>
            </w:r>
            <w:r>
              <w:rPr>
                <w:sz w:val="18"/>
                <w:szCs w:val="18"/>
              </w:rPr>
              <w:t>□</w:t>
            </w:r>
            <w:r>
              <w:rPr>
                <w:sz w:val="18"/>
                <w:szCs w:val="18"/>
              </w:rPr>
              <w:t>；</w:t>
            </w:r>
            <w:r>
              <w:rPr>
                <w:sz w:val="18"/>
                <w:szCs w:val="18"/>
              </w:rPr>
              <w:t>Ⅳ</w:t>
            </w:r>
            <w:r>
              <w:rPr>
                <w:sz w:val="18"/>
                <w:szCs w:val="18"/>
              </w:rPr>
              <w:t>类</w:t>
            </w:r>
            <w:r>
              <w:rPr>
                <w:sz w:val="18"/>
                <w:szCs w:val="18"/>
              </w:rPr>
              <w:t>□</w:t>
            </w:r>
          </w:p>
        </w:tc>
        <w:tc>
          <w:tcPr>
            <w:tcW w:w="698" w:type="pct"/>
            <w:vAlign w:val="center"/>
          </w:tcPr>
          <w:p w:rsidR="00EE4502" w:rsidRDefault="00FD45A3">
            <w:pPr>
              <w:jc w:val="center"/>
              <w:rPr>
                <w:sz w:val="18"/>
                <w:szCs w:val="18"/>
              </w:rPr>
            </w:pPr>
            <w:r>
              <w:rPr>
                <w:sz w:val="18"/>
                <w:szCs w:val="18"/>
              </w:rPr>
              <w:t>-</w:t>
            </w:r>
          </w:p>
        </w:tc>
      </w:tr>
      <w:tr w:rsidR="00EE4502">
        <w:trPr>
          <w:trHeight w:val="340"/>
          <w:jc w:val="center"/>
        </w:trPr>
        <w:tc>
          <w:tcPr>
            <w:tcW w:w="246" w:type="pct"/>
            <w:vMerge/>
            <w:vAlign w:val="center"/>
          </w:tcPr>
          <w:p w:rsidR="00EE4502" w:rsidRDefault="00EE4502">
            <w:pPr>
              <w:widowControl/>
              <w:jc w:val="center"/>
              <w:rPr>
                <w:sz w:val="18"/>
                <w:szCs w:val="18"/>
              </w:rPr>
            </w:pPr>
          </w:p>
        </w:tc>
        <w:tc>
          <w:tcPr>
            <w:tcW w:w="902" w:type="pct"/>
            <w:vAlign w:val="center"/>
          </w:tcPr>
          <w:p w:rsidR="00EE4502" w:rsidRDefault="00FD45A3">
            <w:pPr>
              <w:jc w:val="center"/>
              <w:rPr>
                <w:sz w:val="18"/>
                <w:szCs w:val="18"/>
              </w:rPr>
            </w:pPr>
            <w:r>
              <w:rPr>
                <w:sz w:val="18"/>
                <w:szCs w:val="18"/>
              </w:rPr>
              <w:t>敏感程度</w:t>
            </w:r>
          </w:p>
        </w:tc>
        <w:tc>
          <w:tcPr>
            <w:tcW w:w="3152" w:type="pct"/>
            <w:gridSpan w:val="6"/>
            <w:vAlign w:val="center"/>
          </w:tcPr>
          <w:p w:rsidR="00EE4502" w:rsidRDefault="00FD45A3">
            <w:pPr>
              <w:jc w:val="center"/>
              <w:rPr>
                <w:sz w:val="18"/>
                <w:szCs w:val="18"/>
              </w:rPr>
            </w:pPr>
            <w:r>
              <w:rPr>
                <w:sz w:val="18"/>
                <w:szCs w:val="18"/>
              </w:rPr>
              <w:t>敏感</w:t>
            </w:r>
            <w:r>
              <w:rPr>
                <w:sz w:val="18"/>
                <w:szCs w:val="18"/>
              </w:rPr>
              <w:t>☑</w:t>
            </w:r>
            <w:r>
              <w:rPr>
                <w:sz w:val="18"/>
                <w:szCs w:val="18"/>
              </w:rPr>
              <w:t>；较敏感</w:t>
            </w:r>
            <w:r>
              <w:rPr>
                <w:sz w:val="18"/>
                <w:szCs w:val="18"/>
              </w:rPr>
              <w:t>□</w:t>
            </w:r>
            <w:r>
              <w:rPr>
                <w:sz w:val="18"/>
                <w:szCs w:val="18"/>
              </w:rPr>
              <w:t>；不敏感</w:t>
            </w:r>
            <w:r>
              <w:rPr>
                <w:sz w:val="18"/>
                <w:szCs w:val="18"/>
              </w:rPr>
              <w:t>□</w:t>
            </w:r>
          </w:p>
        </w:tc>
        <w:tc>
          <w:tcPr>
            <w:tcW w:w="698" w:type="pct"/>
            <w:vAlign w:val="center"/>
          </w:tcPr>
          <w:p w:rsidR="00EE4502" w:rsidRDefault="00FD45A3">
            <w:pPr>
              <w:jc w:val="center"/>
              <w:rPr>
                <w:sz w:val="18"/>
                <w:szCs w:val="18"/>
              </w:rPr>
            </w:pPr>
            <w:r>
              <w:rPr>
                <w:sz w:val="18"/>
                <w:szCs w:val="18"/>
              </w:rPr>
              <w:t>-</w:t>
            </w:r>
          </w:p>
        </w:tc>
      </w:tr>
      <w:tr w:rsidR="00EE4502">
        <w:trPr>
          <w:trHeight w:val="340"/>
          <w:jc w:val="center"/>
        </w:trPr>
        <w:tc>
          <w:tcPr>
            <w:tcW w:w="1149" w:type="pct"/>
            <w:gridSpan w:val="2"/>
            <w:vAlign w:val="center"/>
          </w:tcPr>
          <w:p w:rsidR="00EE4502" w:rsidRDefault="00FD45A3">
            <w:pPr>
              <w:jc w:val="center"/>
              <w:rPr>
                <w:sz w:val="18"/>
                <w:szCs w:val="18"/>
              </w:rPr>
            </w:pPr>
            <w:r>
              <w:rPr>
                <w:sz w:val="18"/>
                <w:szCs w:val="18"/>
              </w:rPr>
              <w:t>评价工作等级</w:t>
            </w:r>
          </w:p>
        </w:tc>
        <w:tc>
          <w:tcPr>
            <w:tcW w:w="3152" w:type="pct"/>
            <w:gridSpan w:val="6"/>
            <w:vAlign w:val="center"/>
          </w:tcPr>
          <w:p w:rsidR="00EE4502" w:rsidRDefault="00FD45A3">
            <w:pPr>
              <w:jc w:val="center"/>
              <w:rPr>
                <w:sz w:val="18"/>
                <w:szCs w:val="18"/>
              </w:rPr>
            </w:pPr>
            <w:r>
              <w:rPr>
                <w:sz w:val="18"/>
                <w:szCs w:val="18"/>
              </w:rPr>
              <w:t>一级</w:t>
            </w:r>
            <w:r>
              <w:rPr>
                <w:sz w:val="18"/>
                <w:szCs w:val="18"/>
              </w:rPr>
              <w:t>☑</w:t>
            </w:r>
            <w:r>
              <w:rPr>
                <w:sz w:val="18"/>
                <w:szCs w:val="18"/>
              </w:rPr>
              <w:t>；二级</w:t>
            </w:r>
            <w:r>
              <w:rPr>
                <w:sz w:val="18"/>
                <w:szCs w:val="18"/>
              </w:rPr>
              <w:t>□</w:t>
            </w:r>
            <w:r>
              <w:rPr>
                <w:sz w:val="18"/>
                <w:szCs w:val="18"/>
              </w:rPr>
              <w:t>；三级</w:t>
            </w:r>
            <w:r>
              <w:rPr>
                <w:sz w:val="18"/>
                <w:szCs w:val="18"/>
              </w:rPr>
              <w:t>□</w:t>
            </w:r>
          </w:p>
        </w:tc>
        <w:tc>
          <w:tcPr>
            <w:tcW w:w="698" w:type="pct"/>
            <w:vAlign w:val="center"/>
          </w:tcPr>
          <w:p w:rsidR="00EE4502" w:rsidRDefault="00FD45A3">
            <w:pPr>
              <w:jc w:val="center"/>
              <w:rPr>
                <w:sz w:val="18"/>
                <w:szCs w:val="18"/>
              </w:rPr>
            </w:pPr>
            <w:r>
              <w:rPr>
                <w:sz w:val="18"/>
                <w:szCs w:val="18"/>
              </w:rPr>
              <w:t>-</w:t>
            </w:r>
          </w:p>
        </w:tc>
      </w:tr>
      <w:tr w:rsidR="00EE4502">
        <w:trPr>
          <w:trHeight w:val="340"/>
          <w:jc w:val="center"/>
        </w:trPr>
        <w:tc>
          <w:tcPr>
            <w:tcW w:w="246" w:type="pct"/>
            <w:vMerge w:val="restart"/>
            <w:vAlign w:val="center"/>
          </w:tcPr>
          <w:p w:rsidR="00EE4502" w:rsidRDefault="00FD45A3">
            <w:pPr>
              <w:jc w:val="center"/>
              <w:rPr>
                <w:sz w:val="18"/>
                <w:szCs w:val="18"/>
              </w:rPr>
            </w:pPr>
            <w:r>
              <w:rPr>
                <w:sz w:val="18"/>
                <w:szCs w:val="18"/>
              </w:rPr>
              <w:t>现状</w:t>
            </w:r>
            <w:r>
              <w:rPr>
                <w:sz w:val="18"/>
                <w:szCs w:val="18"/>
              </w:rPr>
              <w:lastRenderedPageBreak/>
              <w:t>调查内容</w:t>
            </w:r>
          </w:p>
        </w:tc>
        <w:tc>
          <w:tcPr>
            <w:tcW w:w="902" w:type="pct"/>
            <w:vAlign w:val="center"/>
          </w:tcPr>
          <w:p w:rsidR="00EE4502" w:rsidRDefault="00FD45A3">
            <w:pPr>
              <w:jc w:val="center"/>
              <w:rPr>
                <w:sz w:val="18"/>
                <w:szCs w:val="18"/>
              </w:rPr>
            </w:pPr>
            <w:r>
              <w:rPr>
                <w:sz w:val="18"/>
                <w:szCs w:val="18"/>
              </w:rPr>
              <w:lastRenderedPageBreak/>
              <w:t>资料收集</w:t>
            </w:r>
          </w:p>
        </w:tc>
        <w:tc>
          <w:tcPr>
            <w:tcW w:w="3152" w:type="pct"/>
            <w:gridSpan w:val="6"/>
            <w:vAlign w:val="center"/>
          </w:tcPr>
          <w:p w:rsidR="00EE4502" w:rsidRDefault="00FD45A3">
            <w:pPr>
              <w:jc w:val="center"/>
              <w:rPr>
                <w:sz w:val="18"/>
                <w:szCs w:val="18"/>
              </w:rPr>
            </w:pPr>
            <w:r>
              <w:rPr>
                <w:sz w:val="18"/>
                <w:szCs w:val="18"/>
              </w:rPr>
              <w:t>a</w:t>
            </w:r>
            <w:r>
              <w:rPr>
                <w:rFonts w:hint="eastAsia"/>
                <w:sz w:val="18"/>
                <w:szCs w:val="18"/>
              </w:rPr>
              <w:t>)</w:t>
            </w:r>
            <w:r>
              <w:rPr>
                <w:sz w:val="18"/>
                <w:szCs w:val="18"/>
              </w:rPr>
              <w:t>√</w:t>
            </w:r>
            <w:r>
              <w:rPr>
                <w:rFonts w:hint="eastAsia"/>
                <w:sz w:val="18"/>
                <w:szCs w:val="18"/>
              </w:rPr>
              <w:t>;</w:t>
            </w:r>
            <w:r>
              <w:rPr>
                <w:sz w:val="18"/>
                <w:szCs w:val="18"/>
              </w:rPr>
              <w:t>b</w:t>
            </w:r>
            <w:r>
              <w:rPr>
                <w:rFonts w:hint="eastAsia"/>
                <w:sz w:val="18"/>
                <w:szCs w:val="18"/>
              </w:rPr>
              <w:t>)</w:t>
            </w:r>
            <w:r>
              <w:rPr>
                <w:sz w:val="18"/>
                <w:szCs w:val="18"/>
              </w:rPr>
              <w:t>√</w:t>
            </w:r>
            <w:r>
              <w:rPr>
                <w:rFonts w:hint="eastAsia"/>
                <w:sz w:val="18"/>
                <w:szCs w:val="18"/>
              </w:rPr>
              <w:t>;</w:t>
            </w:r>
            <w:r>
              <w:rPr>
                <w:sz w:val="18"/>
                <w:szCs w:val="18"/>
              </w:rPr>
              <w:t>c</w:t>
            </w:r>
            <w:r>
              <w:rPr>
                <w:rFonts w:hint="eastAsia"/>
                <w:sz w:val="18"/>
                <w:szCs w:val="18"/>
              </w:rPr>
              <w:t>)</w:t>
            </w:r>
            <w:r>
              <w:rPr>
                <w:sz w:val="18"/>
                <w:szCs w:val="18"/>
              </w:rPr>
              <w:t>√</w:t>
            </w:r>
            <w:r>
              <w:rPr>
                <w:rFonts w:hint="eastAsia"/>
                <w:sz w:val="18"/>
                <w:szCs w:val="18"/>
              </w:rPr>
              <w:t>;</w:t>
            </w:r>
            <w:r>
              <w:rPr>
                <w:sz w:val="18"/>
                <w:szCs w:val="18"/>
              </w:rPr>
              <w:t>d</w:t>
            </w:r>
            <w:r>
              <w:rPr>
                <w:rFonts w:hint="eastAsia"/>
                <w:sz w:val="18"/>
                <w:szCs w:val="18"/>
              </w:rPr>
              <w:t>)</w:t>
            </w:r>
            <w:r>
              <w:rPr>
                <w:sz w:val="18"/>
                <w:szCs w:val="18"/>
              </w:rPr>
              <w:t>□</w:t>
            </w:r>
          </w:p>
        </w:tc>
        <w:tc>
          <w:tcPr>
            <w:tcW w:w="698" w:type="pct"/>
            <w:vAlign w:val="center"/>
          </w:tcPr>
          <w:p w:rsidR="00EE4502" w:rsidRDefault="00FD45A3">
            <w:pPr>
              <w:jc w:val="center"/>
              <w:rPr>
                <w:sz w:val="18"/>
                <w:szCs w:val="18"/>
              </w:rPr>
            </w:pPr>
            <w:r>
              <w:rPr>
                <w:sz w:val="18"/>
                <w:szCs w:val="18"/>
              </w:rPr>
              <w:t>-</w:t>
            </w:r>
          </w:p>
        </w:tc>
      </w:tr>
      <w:tr w:rsidR="00EE4502">
        <w:trPr>
          <w:trHeight w:val="340"/>
          <w:jc w:val="center"/>
        </w:trPr>
        <w:tc>
          <w:tcPr>
            <w:tcW w:w="246" w:type="pct"/>
            <w:vMerge/>
            <w:vAlign w:val="center"/>
          </w:tcPr>
          <w:p w:rsidR="00EE4502" w:rsidRDefault="00EE4502">
            <w:pPr>
              <w:widowControl/>
              <w:jc w:val="center"/>
              <w:rPr>
                <w:sz w:val="18"/>
                <w:szCs w:val="18"/>
              </w:rPr>
            </w:pPr>
          </w:p>
        </w:tc>
        <w:tc>
          <w:tcPr>
            <w:tcW w:w="902" w:type="pct"/>
            <w:vAlign w:val="center"/>
          </w:tcPr>
          <w:p w:rsidR="00EE4502" w:rsidRDefault="00FD45A3">
            <w:pPr>
              <w:jc w:val="center"/>
              <w:rPr>
                <w:sz w:val="18"/>
                <w:szCs w:val="18"/>
              </w:rPr>
            </w:pPr>
            <w:r>
              <w:rPr>
                <w:sz w:val="18"/>
                <w:szCs w:val="18"/>
              </w:rPr>
              <w:t>理化特性</w:t>
            </w:r>
          </w:p>
        </w:tc>
        <w:tc>
          <w:tcPr>
            <w:tcW w:w="3152" w:type="pct"/>
            <w:gridSpan w:val="6"/>
            <w:vAlign w:val="center"/>
          </w:tcPr>
          <w:p w:rsidR="00EE4502" w:rsidRDefault="00FD45A3">
            <w:pPr>
              <w:jc w:val="center"/>
              <w:rPr>
                <w:sz w:val="18"/>
                <w:szCs w:val="18"/>
              </w:rPr>
            </w:pPr>
            <w:r>
              <w:rPr>
                <w:rFonts w:hint="eastAsia"/>
                <w:sz w:val="18"/>
                <w:szCs w:val="18"/>
              </w:rPr>
              <w:t>见</w:t>
            </w:r>
            <w:r>
              <w:rPr>
                <w:rFonts w:hint="eastAsia"/>
                <w:sz w:val="18"/>
                <w:szCs w:val="18"/>
              </w:rPr>
              <w:t>土壤现状</w:t>
            </w:r>
            <w:r>
              <w:rPr>
                <w:rFonts w:hint="eastAsia"/>
                <w:sz w:val="18"/>
                <w:szCs w:val="18"/>
              </w:rPr>
              <w:t>章节</w:t>
            </w:r>
          </w:p>
        </w:tc>
        <w:tc>
          <w:tcPr>
            <w:tcW w:w="698" w:type="pct"/>
            <w:vAlign w:val="center"/>
          </w:tcPr>
          <w:p w:rsidR="00EE4502" w:rsidRDefault="00FD45A3">
            <w:pPr>
              <w:jc w:val="center"/>
              <w:rPr>
                <w:sz w:val="18"/>
                <w:szCs w:val="18"/>
              </w:rPr>
            </w:pPr>
            <w:r>
              <w:rPr>
                <w:rFonts w:hint="eastAsia"/>
                <w:sz w:val="18"/>
                <w:szCs w:val="18"/>
              </w:rPr>
              <w:t>-</w:t>
            </w:r>
          </w:p>
        </w:tc>
      </w:tr>
      <w:tr w:rsidR="00EE4502">
        <w:trPr>
          <w:trHeight w:val="340"/>
          <w:jc w:val="center"/>
        </w:trPr>
        <w:tc>
          <w:tcPr>
            <w:tcW w:w="246" w:type="pct"/>
            <w:vMerge/>
            <w:vAlign w:val="center"/>
          </w:tcPr>
          <w:p w:rsidR="00EE4502" w:rsidRDefault="00EE4502">
            <w:pPr>
              <w:widowControl/>
              <w:jc w:val="center"/>
              <w:rPr>
                <w:sz w:val="18"/>
                <w:szCs w:val="18"/>
              </w:rPr>
            </w:pPr>
          </w:p>
        </w:tc>
        <w:tc>
          <w:tcPr>
            <w:tcW w:w="902" w:type="pct"/>
            <w:vMerge w:val="restart"/>
            <w:vAlign w:val="center"/>
          </w:tcPr>
          <w:p w:rsidR="00EE4502" w:rsidRDefault="00FD45A3">
            <w:pPr>
              <w:jc w:val="center"/>
              <w:rPr>
                <w:sz w:val="18"/>
                <w:szCs w:val="18"/>
              </w:rPr>
            </w:pPr>
            <w:r>
              <w:rPr>
                <w:sz w:val="18"/>
                <w:szCs w:val="18"/>
              </w:rPr>
              <w:t>现状监测点位</w:t>
            </w:r>
          </w:p>
        </w:tc>
        <w:tc>
          <w:tcPr>
            <w:tcW w:w="779" w:type="pct"/>
            <w:vAlign w:val="center"/>
          </w:tcPr>
          <w:p w:rsidR="00EE4502" w:rsidRDefault="00FD45A3">
            <w:pPr>
              <w:jc w:val="center"/>
              <w:rPr>
                <w:sz w:val="18"/>
                <w:szCs w:val="18"/>
              </w:rPr>
            </w:pPr>
            <w:r>
              <w:rPr>
                <w:sz w:val="18"/>
                <w:szCs w:val="18"/>
              </w:rPr>
              <w:t>项目</w:t>
            </w:r>
          </w:p>
        </w:tc>
        <w:tc>
          <w:tcPr>
            <w:tcW w:w="745" w:type="pct"/>
            <w:gridSpan w:val="2"/>
            <w:vAlign w:val="center"/>
          </w:tcPr>
          <w:p w:rsidR="00EE4502" w:rsidRDefault="00FD45A3">
            <w:pPr>
              <w:jc w:val="center"/>
              <w:rPr>
                <w:sz w:val="18"/>
                <w:szCs w:val="18"/>
              </w:rPr>
            </w:pPr>
            <w:r>
              <w:rPr>
                <w:sz w:val="18"/>
                <w:szCs w:val="18"/>
              </w:rPr>
              <w:t>占地范围内</w:t>
            </w:r>
          </w:p>
        </w:tc>
        <w:tc>
          <w:tcPr>
            <w:tcW w:w="746" w:type="pct"/>
            <w:gridSpan w:val="2"/>
            <w:vAlign w:val="center"/>
          </w:tcPr>
          <w:p w:rsidR="00EE4502" w:rsidRDefault="00FD45A3">
            <w:pPr>
              <w:jc w:val="center"/>
              <w:rPr>
                <w:sz w:val="18"/>
                <w:szCs w:val="18"/>
              </w:rPr>
            </w:pPr>
            <w:r>
              <w:rPr>
                <w:sz w:val="18"/>
                <w:szCs w:val="18"/>
              </w:rPr>
              <w:t>占地范围外</w:t>
            </w:r>
          </w:p>
        </w:tc>
        <w:tc>
          <w:tcPr>
            <w:tcW w:w="880" w:type="pct"/>
            <w:vAlign w:val="center"/>
          </w:tcPr>
          <w:p w:rsidR="00EE4502" w:rsidRDefault="00FD45A3">
            <w:pPr>
              <w:jc w:val="center"/>
              <w:rPr>
                <w:sz w:val="18"/>
                <w:szCs w:val="18"/>
              </w:rPr>
            </w:pPr>
            <w:r>
              <w:rPr>
                <w:sz w:val="18"/>
                <w:szCs w:val="18"/>
              </w:rPr>
              <w:t>深度</w:t>
            </w:r>
          </w:p>
        </w:tc>
        <w:tc>
          <w:tcPr>
            <w:tcW w:w="698" w:type="pct"/>
            <w:vMerge w:val="restart"/>
            <w:vAlign w:val="center"/>
          </w:tcPr>
          <w:p w:rsidR="00EE4502" w:rsidRDefault="00FD45A3">
            <w:pPr>
              <w:jc w:val="center"/>
              <w:rPr>
                <w:sz w:val="18"/>
                <w:szCs w:val="18"/>
              </w:rPr>
            </w:pPr>
            <w:r>
              <w:rPr>
                <w:sz w:val="18"/>
                <w:szCs w:val="18"/>
              </w:rPr>
              <w:t>点位布置图</w:t>
            </w:r>
          </w:p>
        </w:tc>
      </w:tr>
      <w:tr w:rsidR="00EE4502">
        <w:trPr>
          <w:trHeight w:val="340"/>
          <w:jc w:val="center"/>
        </w:trPr>
        <w:tc>
          <w:tcPr>
            <w:tcW w:w="246" w:type="pct"/>
            <w:vMerge/>
            <w:vAlign w:val="center"/>
          </w:tcPr>
          <w:p w:rsidR="00EE4502" w:rsidRDefault="00EE4502">
            <w:pPr>
              <w:widowControl/>
              <w:jc w:val="center"/>
              <w:rPr>
                <w:sz w:val="18"/>
                <w:szCs w:val="18"/>
              </w:rPr>
            </w:pPr>
          </w:p>
        </w:tc>
        <w:tc>
          <w:tcPr>
            <w:tcW w:w="902" w:type="pct"/>
            <w:vMerge/>
            <w:vAlign w:val="center"/>
          </w:tcPr>
          <w:p w:rsidR="00EE4502" w:rsidRDefault="00EE4502">
            <w:pPr>
              <w:widowControl/>
              <w:jc w:val="center"/>
              <w:rPr>
                <w:sz w:val="18"/>
                <w:szCs w:val="18"/>
              </w:rPr>
            </w:pPr>
          </w:p>
        </w:tc>
        <w:tc>
          <w:tcPr>
            <w:tcW w:w="779" w:type="pct"/>
            <w:vAlign w:val="center"/>
          </w:tcPr>
          <w:p w:rsidR="00EE4502" w:rsidRDefault="00FD45A3">
            <w:pPr>
              <w:jc w:val="center"/>
              <w:rPr>
                <w:sz w:val="18"/>
                <w:szCs w:val="18"/>
              </w:rPr>
            </w:pPr>
            <w:r>
              <w:rPr>
                <w:sz w:val="18"/>
                <w:szCs w:val="18"/>
              </w:rPr>
              <w:t>表层样点数</w:t>
            </w:r>
          </w:p>
        </w:tc>
        <w:tc>
          <w:tcPr>
            <w:tcW w:w="745" w:type="pct"/>
            <w:gridSpan w:val="2"/>
            <w:vAlign w:val="center"/>
          </w:tcPr>
          <w:p w:rsidR="00EE4502" w:rsidRDefault="00FD45A3">
            <w:pPr>
              <w:jc w:val="center"/>
              <w:rPr>
                <w:sz w:val="18"/>
                <w:szCs w:val="18"/>
              </w:rPr>
            </w:pPr>
            <w:r>
              <w:rPr>
                <w:sz w:val="18"/>
                <w:szCs w:val="18"/>
              </w:rPr>
              <w:t>2</w:t>
            </w:r>
          </w:p>
        </w:tc>
        <w:tc>
          <w:tcPr>
            <w:tcW w:w="746" w:type="pct"/>
            <w:gridSpan w:val="2"/>
            <w:vAlign w:val="center"/>
          </w:tcPr>
          <w:p w:rsidR="00EE4502" w:rsidRDefault="00FD45A3">
            <w:pPr>
              <w:jc w:val="center"/>
              <w:rPr>
                <w:sz w:val="18"/>
                <w:szCs w:val="18"/>
              </w:rPr>
            </w:pPr>
            <w:r>
              <w:rPr>
                <w:sz w:val="18"/>
                <w:szCs w:val="18"/>
              </w:rPr>
              <w:t>4</w:t>
            </w:r>
          </w:p>
        </w:tc>
        <w:tc>
          <w:tcPr>
            <w:tcW w:w="880" w:type="pct"/>
            <w:vAlign w:val="center"/>
          </w:tcPr>
          <w:p w:rsidR="00EE4502" w:rsidRDefault="00FD45A3">
            <w:pPr>
              <w:jc w:val="center"/>
              <w:rPr>
                <w:sz w:val="18"/>
                <w:szCs w:val="18"/>
              </w:rPr>
            </w:pPr>
            <w:r>
              <w:rPr>
                <w:rFonts w:hint="eastAsia"/>
                <w:sz w:val="18"/>
                <w:szCs w:val="18"/>
              </w:rPr>
              <w:t>0.2</w:t>
            </w:r>
            <w:r>
              <w:rPr>
                <w:sz w:val="18"/>
                <w:szCs w:val="18"/>
              </w:rPr>
              <w:t>m</w:t>
            </w:r>
          </w:p>
        </w:tc>
        <w:tc>
          <w:tcPr>
            <w:tcW w:w="698" w:type="pct"/>
            <w:vMerge/>
            <w:vAlign w:val="center"/>
          </w:tcPr>
          <w:p w:rsidR="00EE4502" w:rsidRDefault="00EE4502">
            <w:pPr>
              <w:widowControl/>
              <w:jc w:val="center"/>
              <w:rPr>
                <w:sz w:val="18"/>
                <w:szCs w:val="18"/>
              </w:rPr>
            </w:pPr>
          </w:p>
        </w:tc>
      </w:tr>
      <w:tr w:rsidR="00EE4502">
        <w:trPr>
          <w:trHeight w:val="340"/>
          <w:jc w:val="center"/>
        </w:trPr>
        <w:tc>
          <w:tcPr>
            <w:tcW w:w="246" w:type="pct"/>
            <w:vMerge/>
            <w:vAlign w:val="center"/>
          </w:tcPr>
          <w:p w:rsidR="00EE4502" w:rsidRDefault="00EE4502">
            <w:pPr>
              <w:widowControl/>
              <w:jc w:val="center"/>
              <w:rPr>
                <w:sz w:val="18"/>
                <w:szCs w:val="18"/>
              </w:rPr>
            </w:pPr>
          </w:p>
        </w:tc>
        <w:tc>
          <w:tcPr>
            <w:tcW w:w="902" w:type="pct"/>
            <w:vMerge/>
            <w:vAlign w:val="center"/>
          </w:tcPr>
          <w:p w:rsidR="00EE4502" w:rsidRDefault="00EE4502">
            <w:pPr>
              <w:widowControl/>
              <w:jc w:val="center"/>
              <w:rPr>
                <w:sz w:val="18"/>
                <w:szCs w:val="18"/>
              </w:rPr>
            </w:pPr>
          </w:p>
        </w:tc>
        <w:tc>
          <w:tcPr>
            <w:tcW w:w="779" w:type="pct"/>
            <w:vAlign w:val="center"/>
          </w:tcPr>
          <w:p w:rsidR="00EE4502" w:rsidRDefault="00FD45A3">
            <w:pPr>
              <w:jc w:val="center"/>
              <w:rPr>
                <w:sz w:val="18"/>
                <w:szCs w:val="18"/>
              </w:rPr>
            </w:pPr>
            <w:r>
              <w:rPr>
                <w:sz w:val="18"/>
                <w:szCs w:val="18"/>
              </w:rPr>
              <w:t>柱状样点数</w:t>
            </w:r>
          </w:p>
        </w:tc>
        <w:tc>
          <w:tcPr>
            <w:tcW w:w="745" w:type="pct"/>
            <w:gridSpan w:val="2"/>
            <w:vAlign w:val="center"/>
          </w:tcPr>
          <w:p w:rsidR="00EE4502" w:rsidRDefault="00FD45A3">
            <w:pPr>
              <w:jc w:val="center"/>
              <w:rPr>
                <w:sz w:val="18"/>
                <w:szCs w:val="18"/>
              </w:rPr>
            </w:pPr>
            <w:r>
              <w:rPr>
                <w:rFonts w:hint="eastAsia"/>
                <w:sz w:val="18"/>
                <w:szCs w:val="18"/>
              </w:rPr>
              <w:t>7</w:t>
            </w:r>
          </w:p>
        </w:tc>
        <w:tc>
          <w:tcPr>
            <w:tcW w:w="746" w:type="pct"/>
            <w:gridSpan w:val="2"/>
            <w:vAlign w:val="center"/>
          </w:tcPr>
          <w:p w:rsidR="00EE4502" w:rsidRDefault="00FD45A3">
            <w:pPr>
              <w:jc w:val="center"/>
              <w:rPr>
                <w:sz w:val="18"/>
                <w:szCs w:val="18"/>
              </w:rPr>
            </w:pPr>
            <w:r>
              <w:rPr>
                <w:sz w:val="18"/>
                <w:szCs w:val="18"/>
              </w:rPr>
              <w:t>0</w:t>
            </w:r>
          </w:p>
        </w:tc>
        <w:tc>
          <w:tcPr>
            <w:tcW w:w="880" w:type="pct"/>
            <w:vAlign w:val="center"/>
          </w:tcPr>
          <w:p w:rsidR="00EE4502" w:rsidRDefault="00FD45A3">
            <w:pPr>
              <w:jc w:val="center"/>
              <w:rPr>
                <w:sz w:val="18"/>
                <w:szCs w:val="18"/>
              </w:rPr>
            </w:pPr>
            <w:r>
              <w:rPr>
                <w:sz w:val="18"/>
                <w:szCs w:val="18"/>
              </w:rPr>
              <w:t>0~0.5m</w:t>
            </w:r>
          </w:p>
          <w:p w:rsidR="00EE4502" w:rsidRDefault="00FD45A3">
            <w:pPr>
              <w:jc w:val="center"/>
              <w:rPr>
                <w:sz w:val="18"/>
                <w:szCs w:val="18"/>
              </w:rPr>
            </w:pPr>
            <w:r>
              <w:rPr>
                <w:sz w:val="18"/>
                <w:szCs w:val="18"/>
              </w:rPr>
              <w:t>0.5~1.5m</w:t>
            </w:r>
          </w:p>
          <w:p w:rsidR="00EE4502" w:rsidRDefault="00FD45A3">
            <w:pPr>
              <w:jc w:val="center"/>
              <w:rPr>
                <w:sz w:val="18"/>
                <w:szCs w:val="18"/>
              </w:rPr>
            </w:pPr>
            <w:r>
              <w:rPr>
                <w:sz w:val="18"/>
                <w:szCs w:val="18"/>
              </w:rPr>
              <w:t>1.5~3m</w:t>
            </w:r>
          </w:p>
        </w:tc>
        <w:tc>
          <w:tcPr>
            <w:tcW w:w="698" w:type="pct"/>
            <w:vMerge/>
            <w:vAlign w:val="center"/>
          </w:tcPr>
          <w:p w:rsidR="00EE4502" w:rsidRDefault="00EE4502">
            <w:pPr>
              <w:widowControl/>
              <w:jc w:val="center"/>
              <w:rPr>
                <w:sz w:val="18"/>
                <w:szCs w:val="18"/>
              </w:rPr>
            </w:pPr>
          </w:p>
        </w:tc>
      </w:tr>
      <w:tr w:rsidR="00EE4502">
        <w:trPr>
          <w:trHeight w:val="340"/>
          <w:jc w:val="center"/>
        </w:trPr>
        <w:tc>
          <w:tcPr>
            <w:tcW w:w="246" w:type="pct"/>
            <w:vMerge/>
            <w:vAlign w:val="center"/>
          </w:tcPr>
          <w:p w:rsidR="00EE4502" w:rsidRDefault="00EE4502">
            <w:pPr>
              <w:widowControl/>
              <w:jc w:val="center"/>
              <w:rPr>
                <w:sz w:val="18"/>
                <w:szCs w:val="18"/>
              </w:rPr>
            </w:pPr>
          </w:p>
        </w:tc>
        <w:tc>
          <w:tcPr>
            <w:tcW w:w="902" w:type="pct"/>
            <w:vAlign w:val="center"/>
          </w:tcPr>
          <w:p w:rsidR="00EE4502" w:rsidRDefault="00FD45A3">
            <w:pPr>
              <w:jc w:val="center"/>
              <w:rPr>
                <w:sz w:val="18"/>
                <w:szCs w:val="18"/>
              </w:rPr>
            </w:pPr>
            <w:r>
              <w:rPr>
                <w:sz w:val="18"/>
                <w:szCs w:val="18"/>
              </w:rPr>
              <w:t>现状监测因子</w:t>
            </w:r>
          </w:p>
        </w:tc>
        <w:tc>
          <w:tcPr>
            <w:tcW w:w="3152" w:type="pct"/>
            <w:gridSpan w:val="6"/>
            <w:vAlign w:val="center"/>
          </w:tcPr>
          <w:p w:rsidR="00EE4502" w:rsidRDefault="00FD45A3">
            <w:pPr>
              <w:jc w:val="center"/>
              <w:rPr>
                <w:sz w:val="18"/>
                <w:szCs w:val="18"/>
              </w:rPr>
            </w:pPr>
            <w:r>
              <w:rPr>
                <w:sz w:val="18"/>
                <w:szCs w:val="18"/>
              </w:rPr>
              <w:t>GB36600-2018</w:t>
            </w:r>
            <w:r>
              <w:rPr>
                <w:sz w:val="18"/>
                <w:szCs w:val="18"/>
              </w:rPr>
              <w:t>中表</w:t>
            </w:r>
            <w:r>
              <w:rPr>
                <w:sz w:val="18"/>
                <w:szCs w:val="18"/>
              </w:rPr>
              <w:t>1</w:t>
            </w:r>
            <w:r>
              <w:rPr>
                <w:sz w:val="18"/>
                <w:szCs w:val="18"/>
              </w:rPr>
              <w:t>基本</w:t>
            </w:r>
            <w:r>
              <w:rPr>
                <w:sz w:val="18"/>
                <w:szCs w:val="18"/>
              </w:rPr>
              <w:t>45</w:t>
            </w:r>
            <w:r>
              <w:rPr>
                <w:sz w:val="18"/>
                <w:szCs w:val="18"/>
              </w:rPr>
              <w:t>项</w:t>
            </w:r>
            <w:r>
              <w:rPr>
                <w:sz w:val="18"/>
                <w:szCs w:val="18"/>
              </w:rPr>
              <w:t>+ pH</w:t>
            </w:r>
            <w:r>
              <w:rPr>
                <w:sz w:val="18"/>
                <w:szCs w:val="18"/>
              </w:rPr>
              <w:t>、石油烃</w:t>
            </w:r>
            <w:r>
              <w:rPr>
                <w:rFonts w:hint="eastAsia"/>
                <w:sz w:val="18"/>
                <w:szCs w:val="18"/>
              </w:rPr>
              <w:t>、全盐量</w:t>
            </w:r>
            <w:r>
              <w:rPr>
                <w:sz w:val="18"/>
                <w:szCs w:val="18"/>
              </w:rPr>
              <w:t>；</w:t>
            </w:r>
          </w:p>
          <w:p w:rsidR="00EE4502" w:rsidRDefault="00FD45A3">
            <w:pPr>
              <w:jc w:val="center"/>
              <w:rPr>
                <w:sz w:val="18"/>
                <w:szCs w:val="18"/>
              </w:rPr>
            </w:pPr>
            <w:r>
              <w:rPr>
                <w:sz w:val="18"/>
                <w:szCs w:val="18"/>
              </w:rPr>
              <w:t>GB15618-2018</w:t>
            </w:r>
            <w:r>
              <w:rPr>
                <w:sz w:val="18"/>
                <w:szCs w:val="18"/>
              </w:rPr>
              <w:t>中基</w:t>
            </w:r>
            <w:r>
              <w:rPr>
                <w:rFonts w:hint="eastAsia"/>
                <w:sz w:val="18"/>
                <w:szCs w:val="18"/>
              </w:rPr>
              <w:t>本工程</w:t>
            </w:r>
            <w:r>
              <w:rPr>
                <w:sz w:val="18"/>
                <w:szCs w:val="18"/>
              </w:rPr>
              <w:t>8</w:t>
            </w:r>
            <w:r>
              <w:rPr>
                <w:sz w:val="18"/>
                <w:szCs w:val="18"/>
              </w:rPr>
              <w:t>项</w:t>
            </w:r>
            <w:r>
              <w:rPr>
                <w:sz w:val="18"/>
                <w:szCs w:val="18"/>
              </w:rPr>
              <w:t>+pH</w:t>
            </w:r>
            <w:r>
              <w:rPr>
                <w:sz w:val="18"/>
                <w:szCs w:val="18"/>
              </w:rPr>
              <w:t>、石油烃</w:t>
            </w:r>
            <w:r>
              <w:rPr>
                <w:rFonts w:hint="eastAsia"/>
                <w:sz w:val="18"/>
                <w:szCs w:val="18"/>
              </w:rPr>
              <w:t>、全盐量</w:t>
            </w:r>
            <w:r>
              <w:rPr>
                <w:sz w:val="18"/>
                <w:szCs w:val="18"/>
              </w:rPr>
              <w:t>。</w:t>
            </w:r>
          </w:p>
        </w:tc>
        <w:tc>
          <w:tcPr>
            <w:tcW w:w="698" w:type="pct"/>
            <w:vAlign w:val="center"/>
          </w:tcPr>
          <w:p w:rsidR="00EE4502" w:rsidRDefault="00FD45A3">
            <w:pPr>
              <w:jc w:val="center"/>
              <w:rPr>
                <w:sz w:val="18"/>
                <w:szCs w:val="18"/>
              </w:rPr>
            </w:pPr>
            <w:r>
              <w:rPr>
                <w:sz w:val="18"/>
                <w:szCs w:val="18"/>
              </w:rPr>
              <w:t>-</w:t>
            </w:r>
          </w:p>
        </w:tc>
      </w:tr>
      <w:tr w:rsidR="00EE4502">
        <w:trPr>
          <w:trHeight w:val="340"/>
          <w:jc w:val="center"/>
        </w:trPr>
        <w:tc>
          <w:tcPr>
            <w:tcW w:w="246" w:type="pct"/>
            <w:vMerge w:val="restart"/>
            <w:vAlign w:val="center"/>
          </w:tcPr>
          <w:p w:rsidR="00EE4502" w:rsidRDefault="00FD45A3">
            <w:pPr>
              <w:jc w:val="center"/>
              <w:rPr>
                <w:sz w:val="18"/>
                <w:szCs w:val="18"/>
              </w:rPr>
            </w:pPr>
            <w:r>
              <w:rPr>
                <w:sz w:val="18"/>
                <w:szCs w:val="18"/>
              </w:rPr>
              <w:t>现状评价</w:t>
            </w:r>
          </w:p>
        </w:tc>
        <w:tc>
          <w:tcPr>
            <w:tcW w:w="902" w:type="pct"/>
            <w:vAlign w:val="center"/>
          </w:tcPr>
          <w:p w:rsidR="00EE4502" w:rsidRDefault="00FD45A3">
            <w:pPr>
              <w:jc w:val="center"/>
              <w:rPr>
                <w:sz w:val="18"/>
                <w:szCs w:val="18"/>
              </w:rPr>
            </w:pPr>
            <w:r>
              <w:rPr>
                <w:sz w:val="18"/>
                <w:szCs w:val="18"/>
              </w:rPr>
              <w:t>评价因子</w:t>
            </w:r>
          </w:p>
        </w:tc>
        <w:tc>
          <w:tcPr>
            <w:tcW w:w="3152" w:type="pct"/>
            <w:gridSpan w:val="6"/>
            <w:vAlign w:val="center"/>
          </w:tcPr>
          <w:p w:rsidR="00EE4502" w:rsidRDefault="00FD45A3">
            <w:pPr>
              <w:jc w:val="center"/>
              <w:rPr>
                <w:sz w:val="18"/>
                <w:szCs w:val="18"/>
              </w:rPr>
            </w:pPr>
            <w:r>
              <w:rPr>
                <w:sz w:val="18"/>
                <w:szCs w:val="18"/>
              </w:rPr>
              <w:t>GB36600-2018</w:t>
            </w:r>
            <w:r>
              <w:rPr>
                <w:sz w:val="18"/>
                <w:szCs w:val="18"/>
              </w:rPr>
              <w:t>中表</w:t>
            </w:r>
            <w:r>
              <w:rPr>
                <w:sz w:val="18"/>
                <w:szCs w:val="18"/>
              </w:rPr>
              <w:t>1</w:t>
            </w:r>
            <w:r>
              <w:rPr>
                <w:sz w:val="18"/>
                <w:szCs w:val="18"/>
              </w:rPr>
              <w:t>基本</w:t>
            </w:r>
            <w:r>
              <w:rPr>
                <w:sz w:val="18"/>
                <w:szCs w:val="18"/>
              </w:rPr>
              <w:t>45</w:t>
            </w:r>
            <w:r>
              <w:rPr>
                <w:sz w:val="18"/>
                <w:szCs w:val="18"/>
              </w:rPr>
              <w:t>项</w:t>
            </w:r>
            <w:r>
              <w:rPr>
                <w:sz w:val="18"/>
                <w:szCs w:val="18"/>
              </w:rPr>
              <w:t>+ pH</w:t>
            </w:r>
            <w:r>
              <w:rPr>
                <w:sz w:val="18"/>
                <w:szCs w:val="18"/>
              </w:rPr>
              <w:t>、石油烃</w:t>
            </w:r>
            <w:r>
              <w:rPr>
                <w:rFonts w:hint="eastAsia"/>
                <w:sz w:val="18"/>
                <w:szCs w:val="18"/>
              </w:rPr>
              <w:t>、全盐量</w:t>
            </w:r>
            <w:r>
              <w:rPr>
                <w:sz w:val="18"/>
                <w:szCs w:val="18"/>
              </w:rPr>
              <w:t>；</w:t>
            </w:r>
          </w:p>
          <w:p w:rsidR="00EE4502" w:rsidRDefault="00FD45A3">
            <w:pPr>
              <w:jc w:val="center"/>
              <w:rPr>
                <w:sz w:val="18"/>
                <w:szCs w:val="18"/>
              </w:rPr>
            </w:pPr>
            <w:r>
              <w:rPr>
                <w:sz w:val="18"/>
                <w:szCs w:val="18"/>
              </w:rPr>
              <w:t>GB15618-2018</w:t>
            </w:r>
            <w:r>
              <w:rPr>
                <w:sz w:val="18"/>
                <w:szCs w:val="18"/>
              </w:rPr>
              <w:t>中基</w:t>
            </w:r>
            <w:r>
              <w:rPr>
                <w:rFonts w:hint="eastAsia"/>
                <w:sz w:val="18"/>
                <w:szCs w:val="18"/>
              </w:rPr>
              <w:t>本工程</w:t>
            </w:r>
            <w:r>
              <w:rPr>
                <w:sz w:val="18"/>
                <w:szCs w:val="18"/>
              </w:rPr>
              <w:t>8</w:t>
            </w:r>
            <w:r>
              <w:rPr>
                <w:sz w:val="18"/>
                <w:szCs w:val="18"/>
              </w:rPr>
              <w:t>项</w:t>
            </w:r>
            <w:r>
              <w:rPr>
                <w:sz w:val="18"/>
                <w:szCs w:val="18"/>
              </w:rPr>
              <w:t>+pH</w:t>
            </w:r>
            <w:r>
              <w:rPr>
                <w:sz w:val="18"/>
                <w:szCs w:val="18"/>
              </w:rPr>
              <w:t>、石油烃</w:t>
            </w:r>
            <w:r>
              <w:rPr>
                <w:rFonts w:hint="eastAsia"/>
                <w:sz w:val="18"/>
                <w:szCs w:val="18"/>
              </w:rPr>
              <w:t>、全盐量</w:t>
            </w:r>
            <w:r>
              <w:rPr>
                <w:sz w:val="18"/>
                <w:szCs w:val="18"/>
              </w:rPr>
              <w:t>。</w:t>
            </w:r>
          </w:p>
        </w:tc>
        <w:tc>
          <w:tcPr>
            <w:tcW w:w="698" w:type="pct"/>
            <w:vAlign w:val="center"/>
          </w:tcPr>
          <w:p w:rsidR="00EE4502" w:rsidRDefault="00FD45A3">
            <w:pPr>
              <w:jc w:val="center"/>
              <w:rPr>
                <w:sz w:val="18"/>
                <w:szCs w:val="18"/>
              </w:rPr>
            </w:pPr>
            <w:r>
              <w:rPr>
                <w:sz w:val="18"/>
                <w:szCs w:val="18"/>
              </w:rPr>
              <w:t>-</w:t>
            </w:r>
          </w:p>
        </w:tc>
      </w:tr>
      <w:tr w:rsidR="00EE4502">
        <w:trPr>
          <w:trHeight w:val="340"/>
          <w:jc w:val="center"/>
        </w:trPr>
        <w:tc>
          <w:tcPr>
            <w:tcW w:w="246" w:type="pct"/>
            <w:vMerge/>
            <w:vAlign w:val="center"/>
          </w:tcPr>
          <w:p w:rsidR="00EE4502" w:rsidRDefault="00EE4502">
            <w:pPr>
              <w:widowControl/>
              <w:jc w:val="center"/>
              <w:rPr>
                <w:sz w:val="18"/>
                <w:szCs w:val="18"/>
              </w:rPr>
            </w:pPr>
          </w:p>
        </w:tc>
        <w:tc>
          <w:tcPr>
            <w:tcW w:w="902" w:type="pct"/>
            <w:vAlign w:val="center"/>
          </w:tcPr>
          <w:p w:rsidR="00EE4502" w:rsidRDefault="00FD45A3">
            <w:pPr>
              <w:jc w:val="center"/>
              <w:rPr>
                <w:sz w:val="18"/>
                <w:szCs w:val="18"/>
              </w:rPr>
            </w:pPr>
            <w:r>
              <w:rPr>
                <w:sz w:val="18"/>
                <w:szCs w:val="18"/>
              </w:rPr>
              <w:t>评价标准</w:t>
            </w:r>
          </w:p>
        </w:tc>
        <w:tc>
          <w:tcPr>
            <w:tcW w:w="3152" w:type="pct"/>
            <w:gridSpan w:val="6"/>
            <w:vAlign w:val="center"/>
          </w:tcPr>
          <w:p w:rsidR="00EE4502" w:rsidRDefault="00FD45A3">
            <w:pPr>
              <w:jc w:val="center"/>
              <w:rPr>
                <w:sz w:val="18"/>
                <w:szCs w:val="18"/>
              </w:rPr>
            </w:pPr>
            <w:r>
              <w:rPr>
                <w:sz w:val="18"/>
                <w:szCs w:val="18"/>
              </w:rPr>
              <w:t>GB15618√</w:t>
            </w:r>
            <w:r>
              <w:rPr>
                <w:sz w:val="18"/>
                <w:szCs w:val="18"/>
              </w:rPr>
              <w:t>；</w:t>
            </w:r>
            <w:r>
              <w:rPr>
                <w:sz w:val="18"/>
                <w:szCs w:val="18"/>
              </w:rPr>
              <w:t>GB36600√</w:t>
            </w:r>
            <w:r>
              <w:rPr>
                <w:sz w:val="18"/>
                <w:szCs w:val="18"/>
              </w:rPr>
              <w:t>；表</w:t>
            </w:r>
            <w:r>
              <w:rPr>
                <w:sz w:val="18"/>
                <w:szCs w:val="18"/>
              </w:rPr>
              <w:t>D.1□</w:t>
            </w:r>
            <w:r>
              <w:rPr>
                <w:sz w:val="18"/>
                <w:szCs w:val="18"/>
              </w:rPr>
              <w:t>；表</w:t>
            </w:r>
            <w:r>
              <w:rPr>
                <w:sz w:val="18"/>
                <w:szCs w:val="18"/>
              </w:rPr>
              <w:t>D.2□</w:t>
            </w:r>
            <w:r>
              <w:rPr>
                <w:sz w:val="18"/>
                <w:szCs w:val="18"/>
              </w:rPr>
              <w:t>；其他（</w:t>
            </w:r>
            <w:r>
              <w:rPr>
                <w:sz w:val="18"/>
                <w:szCs w:val="18"/>
              </w:rPr>
              <w:t xml:space="preserve">  </w:t>
            </w:r>
            <w:r>
              <w:rPr>
                <w:sz w:val="18"/>
                <w:szCs w:val="18"/>
              </w:rPr>
              <w:t>）</w:t>
            </w:r>
          </w:p>
        </w:tc>
        <w:tc>
          <w:tcPr>
            <w:tcW w:w="698" w:type="pct"/>
            <w:vAlign w:val="center"/>
          </w:tcPr>
          <w:p w:rsidR="00EE4502" w:rsidRDefault="00FD45A3">
            <w:pPr>
              <w:jc w:val="center"/>
              <w:rPr>
                <w:sz w:val="18"/>
                <w:szCs w:val="18"/>
              </w:rPr>
            </w:pPr>
            <w:r>
              <w:rPr>
                <w:sz w:val="18"/>
                <w:szCs w:val="18"/>
              </w:rPr>
              <w:t>-</w:t>
            </w:r>
          </w:p>
        </w:tc>
      </w:tr>
      <w:tr w:rsidR="00EE4502">
        <w:trPr>
          <w:trHeight w:val="340"/>
          <w:jc w:val="center"/>
        </w:trPr>
        <w:tc>
          <w:tcPr>
            <w:tcW w:w="246" w:type="pct"/>
            <w:vMerge/>
            <w:vAlign w:val="center"/>
          </w:tcPr>
          <w:p w:rsidR="00EE4502" w:rsidRDefault="00EE4502">
            <w:pPr>
              <w:widowControl/>
              <w:jc w:val="center"/>
              <w:rPr>
                <w:sz w:val="18"/>
                <w:szCs w:val="18"/>
              </w:rPr>
            </w:pPr>
          </w:p>
        </w:tc>
        <w:tc>
          <w:tcPr>
            <w:tcW w:w="902" w:type="pct"/>
            <w:vAlign w:val="center"/>
          </w:tcPr>
          <w:p w:rsidR="00EE4502" w:rsidRDefault="00FD45A3">
            <w:pPr>
              <w:jc w:val="center"/>
              <w:rPr>
                <w:sz w:val="18"/>
                <w:szCs w:val="18"/>
              </w:rPr>
            </w:pPr>
            <w:r>
              <w:rPr>
                <w:sz w:val="18"/>
                <w:szCs w:val="18"/>
              </w:rPr>
              <w:t>现状评价结论</w:t>
            </w:r>
          </w:p>
        </w:tc>
        <w:tc>
          <w:tcPr>
            <w:tcW w:w="3152" w:type="pct"/>
            <w:gridSpan w:val="6"/>
            <w:vAlign w:val="center"/>
          </w:tcPr>
          <w:p w:rsidR="00EE4502" w:rsidRDefault="00FD45A3">
            <w:pPr>
              <w:jc w:val="center"/>
              <w:rPr>
                <w:sz w:val="18"/>
                <w:szCs w:val="18"/>
              </w:rPr>
            </w:pPr>
            <w:r>
              <w:rPr>
                <w:rFonts w:hint="eastAsia"/>
                <w:sz w:val="18"/>
                <w:szCs w:val="18"/>
              </w:rPr>
              <w:t>非农用地各监测点位</w:t>
            </w:r>
            <w:r>
              <w:rPr>
                <w:sz w:val="18"/>
                <w:szCs w:val="18"/>
              </w:rPr>
              <w:t>各项监测因子均满足《土壤环境质量</w:t>
            </w:r>
            <w:r>
              <w:rPr>
                <w:sz w:val="18"/>
                <w:szCs w:val="18"/>
              </w:rPr>
              <w:t xml:space="preserve"> </w:t>
            </w:r>
            <w:r>
              <w:rPr>
                <w:sz w:val="18"/>
                <w:szCs w:val="18"/>
              </w:rPr>
              <w:t>建设用地土壤污染风险管控标准（试行）》（</w:t>
            </w:r>
            <w:r>
              <w:rPr>
                <w:sz w:val="18"/>
                <w:szCs w:val="18"/>
              </w:rPr>
              <w:t>GB36600-2018</w:t>
            </w:r>
            <w:r>
              <w:rPr>
                <w:sz w:val="18"/>
                <w:szCs w:val="18"/>
              </w:rPr>
              <w:t>）第二类用地风险筛选值要求</w:t>
            </w:r>
            <w:r>
              <w:rPr>
                <w:rFonts w:hint="eastAsia"/>
                <w:sz w:val="18"/>
                <w:szCs w:val="18"/>
              </w:rPr>
              <w:t>；农用地监测点位</w:t>
            </w:r>
            <w:r>
              <w:rPr>
                <w:sz w:val="18"/>
                <w:szCs w:val="18"/>
              </w:rPr>
              <w:t>各项监测因子均</w:t>
            </w:r>
            <w:r>
              <w:rPr>
                <w:rFonts w:hint="eastAsia"/>
                <w:sz w:val="18"/>
                <w:szCs w:val="18"/>
              </w:rPr>
              <w:t>、</w:t>
            </w:r>
            <w:r>
              <w:rPr>
                <w:sz w:val="18"/>
                <w:szCs w:val="18"/>
              </w:rPr>
              <w:t>满足《土壤环境质量</w:t>
            </w:r>
            <w:r>
              <w:rPr>
                <w:sz w:val="18"/>
                <w:szCs w:val="18"/>
              </w:rPr>
              <w:t xml:space="preserve"> </w:t>
            </w:r>
            <w:r>
              <w:rPr>
                <w:sz w:val="18"/>
                <w:szCs w:val="18"/>
              </w:rPr>
              <w:t>农用地土壤污染风险管控标准（试行）》（</w:t>
            </w:r>
            <w:r>
              <w:rPr>
                <w:sz w:val="18"/>
                <w:szCs w:val="18"/>
              </w:rPr>
              <w:t>GB15618-2018</w:t>
            </w:r>
            <w:r>
              <w:rPr>
                <w:sz w:val="18"/>
                <w:szCs w:val="18"/>
              </w:rPr>
              <w:t>）筛选值标准要求，</w:t>
            </w:r>
            <w:r>
              <w:rPr>
                <w:rFonts w:hint="eastAsia"/>
                <w:sz w:val="18"/>
                <w:szCs w:val="18"/>
              </w:rPr>
              <w:t>石油烃</w:t>
            </w:r>
            <w:r>
              <w:rPr>
                <w:sz w:val="18"/>
                <w:szCs w:val="18"/>
              </w:rPr>
              <w:t>满足《土壤环境质量</w:t>
            </w:r>
            <w:r>
              <w:rPr>
                <w:sz w:val="18"/>
                <w:szCs w:val="18"/>
              </w:rPr>
              <w:t xml:space="preserve"> </w:t>
            </w:r>
            <w:r>
              <w:rPr>
                <w:sz w:val="18"/>
                <w:szCs w:val="18"/>
              </w:rPr>
              <w:t>建设用地土壤污染风险管控标准（试行）》（</w:t>
            </w:r>
            <w:r>
              <w:rPr>
                <w:sz w:val="18"/>
                <w:szCs w:val="18"/>
              </w:rPr>
              <w:t>GB36600-2018</w:t>
            </w:r>
            <w:r>
              <w:rPr>
                <w:sz w:val="18"/>
                <w:szCs w:val="18"/>
              </w:rPr>
              <w:t>）第二类用地风险筛选值要求。</w:t>
            </w:r>
          </w:p>
        </w:tc>
        <w:tc>
          <w:tcPr>
            <w:tcW w:w="698" w:type="pct"/>
            <w:vAlign w:val="center"/>
          </w:tcPr>
          <w:p w:rsidR="00EE4502" w:rsidRDefault="00FD45A3">
            <w:pPr>
              <w:jc w:val="center"/>
              <w:rPr>
                <w:sz w:val="18"/>
                <w:szCs w:val="18"/>
              </w:rPr>
            </w:pPr>
            <w:r>
              <w:rPr>
                <w:sz w:val="18"/>
                <w:szCs w:val="18"/>
              </w:rPr>
              <w:t>-</w:t>
            </w:r>
          </w:p>
        </w:tc>
      </w:tr>
      <w:tr w:rsidR="00EE4502">
        <w:trPr>
          <w:trHeight w:val="340"/>
          <w:jc w:val="center"/>
        </w:trPr>
        <w:tc>
          <w:tcPr>
            <w:tcW w:w="246" w:type="pct"/>
            <w:vMerge w:val="restart"/>
            <w:vAlign w:val="center"/>
          </w:tcPr>
          <w:p w:rsidR="00EE4502" w:rsidRDefault="00FD45A3">
            <w:pPr>
              <w:jc w:val="center"/>
              <w:rPr>
                <w:sz w:val="18"/>
                <w:szCs w:val="18"/>
              </w:rPr>
            </w:pPr>
            <w:r>
              <w:rPr>
                <w:sz w:val="18"/>
                <w:szCs w:val="18"/>
              </w:rPr>
              <w:t>影响预测</w:t>
            </w:r>
          </w:p>
        </w:tc>
        <w:tc>
          <w:tcPr>
            <w:tcW w:w="902" w:type="pct"/>
            <w:vAlign w:val="center"/>
          </w:tcPr>
          <w:p w:rsidR="00EE4502" w:rsidRDefault="00FD45A3">
            <w:pPr>
              <w:jc w:val="center"/>
              <w:rPr>
                <w:sz w:val="18"/>
                <w:szCs w:val="18"/>
              </w:rPr>
            </w:pPr>
            <w:r>
              <w:rPr>
                <w:sz w:val="18"/>
                <w:szCs w:val="18"/>
              </w:rPr>
              <w:t>预测因子</w:t>
            </w:r>
          </w:p>
        </w:tc>
        <w:tc>
          <w:tcPr>
            <w:tcW w:w="3152" w:type="pct"/>
            <w:gridSpan w:val="6"/>
            <w:vAlign w:val="center"/>
          </w:tcPr>
          <w:p w:rsidR="00EE4502" w:rsidRDefault="00FD45A3">
            <w:pPr>
              <w:jc w:val="center"/>
              <w:rPr>
                <w:sz w:val="18"/>
                <w:szCs w:val="18"/>
              </w:rPr>
            </w:pPr>
            <w:r>
              <w:rPr>
                <w:sz w:val="18"/>
                <w:szCs w:val="18"/>
              </w:rPr>
              <w:t>石油烃</w:t>
            </w:r>
            <w:r>
              <w:rPr>
                <w:rFonts w:hint="eastAsia"/>
                <w:sz w:val="18"/>
                <w:szCs w:val="18"/>
              </w:rPr>
              <w:t>、盐分含量</w:t>
            </w:r>
          </w:p>
        </w:tc>
        <w:tc>
          <w:tcPr>
            <w:tcW w:w="698" w:type="pct"/>
            <w:vAlign w:val="center"/>
          </w:tcPr>
          <w:p w:rsidR="00EE4502" w:rsidRDefault="00FD45A3">
            <w:pPr>
              <w:jc w:val="center"/>
              <w:rPr>
                <w:sz w:val="18"/>
                <w:szCs w:val="18"/>
              </w:rPr>
            </w:pPr>
            <w:r>
              <w:rPr>
                <w:sz w:val="18"/>
                <w:szCs w:val="18"/>
              </w:rPr>
              <w:t>-</w:t>
            </w:r>
          </w:p>
        </w:tc>
      </w:tr>
      <w:tr w:rsidR="00EE4502">
        <w:trPr>
          <w:trHeight w:val="340"/>
          <w:jc w:val="center"/>
        </w:trPr>
        <w:tc>
          <w:tcPr>
            <w:tcW w:w="246" w:type="pct"/>
            <w:vMerge/>
            <w:vAlign w:val="center"/>
          </w:tcPr>
          <w:p w:rsidR="00EE4502" w:rsidRDefault="00EE4502">
            <w:pPr>
              <w:widowControl/>
              <w:jc w:val="center"/>
              <w:rPr>
                <w:sz w:val="18"/>
                <w:szCs w:val="18"/>
              </w:rPr>
            </w:pPr>
          </w:p>
        </w:tc>
        <w:tc>
          <w:tcPr>
            <w:tcW w:w="902" w:type="pct"/>
            <w:vAlign w:val="center"/>
          </w:tcPr>
          <w:p w:rsidR="00EE4502" w:rsidRDefault="00FD45A3">
            <w:pPr>
              <w:jc w:val="center"/>
              <w:rPr>
                <w:sz w:val="18"/>
                <w:szCs w:val="18"/>
              </w:rPr>
            </w:pPr>
            <w:r>
              <w:rPr>
                <w:sz w:val="18"/>
                <w:szCs w:val="18"/>
              </w:rPr>
              <w:t>预测方法</w:t>
            </w:r>
          </w:p>
        </w:tc>
        <w:tc>
          <w:tcPr>
            <w:tcW w:w="3152" w:type="pct"/>
            <w:gridSpan w:val="6"/>
            <w:vAlign w:val="center"/>
          </w:tcPr>
          <w:p w:rsidR="00EE4502" w:rsidRDefault="00FD45A3">
            <w:pPr>
              <w:jc w:val="center"/>
              <w:rPr>
                <w:sz w:val="18"/>
                <w:szCs w:val="18"/>
              </w:rPr>
            </w:pPr>
            <w:r>
              <w:rPr>
                <w:sz w:val="18"/>
                <w:szCs w:val="18"/>
              </w:rPr>
              <w:t>附录</w:t>
            </w:r>
            <w:r>
              <w:rPr>
                <w:sz w:val="18"/>
                <w:szCs w:val="18"/>
              </w:rPr>
              <w:t>E√</w:t>
            </w:r>
            <w:r>
              <w:rPr>
                <w:sz w:val="18"/>
                <w:szCs w:val="18"/>
              </w:rPr>
              <w:t>；附录</w:t>
            </w:r>
            <w:r>
              <w:rPr>
                <w:sz w:val="18"/>
                <w:szCs w:val="18"/>
              </w:rPr>
              <w:t>F□</w:t>
            </w:r>
            <w:r>
              <w:rPr>
                <w:sz w:val="18"/>
                <w:szCs w:val="18"/>
              </w:rPr>
              <w:t>；其他</w:t>
            </w:r>
            <w:r>
              <w:rPr>
                <w:sz w:val="18"/>
                <w:szCs w:val="18"/>
              </w:rPr>
              <w:sym w:font="Wingdings 2" w:char="0052"/>
            </w:r>
          </w:p>
        </w:tc>
        <w:tc>
          <w:tcPr>
            <w:tcW w:w="698" w:type="pct"/>
            <w:vAlign w:val="center"/>
          </w:tcPr>
          <w:p w:rsidR="00EE4502" w:rsidRDefault="00FD45A3">
            <w:pPr>
              <w:jc w:val="center"/>
              <w:rPr>
                <w:sz w:val="18"/>
                <w:szCs w:val="18"/>
              </w:rPr>
            </w:pPr>
            <w:r>
              <w:rPr>
                <w:sz w:val="18"/>
                <w:szCs w:val="18"/>
              </w:rPr>
              <w:t>-</w:t>
            </w:r>
          </w:p>
        </w:tc>
      </w:tr>
      <w:tr w:rsidR="00EE4502">
        <w:trPr>
          <w:trHeight w:val="340"/>
          <w:jc w:val="center"/>
        </w:trPr>
        <w:tc>
          <w:tcPr>
            <w:tcW w:w="246" w:type="pct"/>
            <w:vMerge/>
            <w:vAlign w:val="center"/>
          </w:tcPr>
          <w:p w:rsidR="00EE4502" w:rsidRDefault="00EE4502">
            <w:pPr>
              <w:widowControl/>
              <w:jc w:val="center"/>
              <w:rPr>
                <w:sz w:val="18"/>
                <w:szCs w:val="18"/>
              </w:rPr>
            </w:pPr>
          </w:p>
        </w:tc>
        <w:tc>
          <w:tcPr>
            <w:tcW w:w="902" w:type="pct"/>
            <w:vAlign w:val="center"/>
          </w:tcPr>
          <w:p w:rsidR="00EE4502" w:rsidRDefault="00FD45A3">
            <w:pPr>
              <w:jc w:val="center"/>
              <w:rPr>
                <w:sz w:val="18"/>
                <w:szCs w:val="18"/>
              </w:rPr>
            </w:pPr>
            <w:r>
              <w:rPr>
                <w:sz w:val="18"/>
                <w:szCs w:val="18"/>
              </w:rPr>
              <w:t>预测分析内容</w:t>
            </w:r>
          </w:p>
        </w:tc>
        <w:tc>
          <w:tcPr>
            <w:tcW w:w="3152" w:type="pct"/>
            <w:gridSpan w:val="6"/>
            <w:vAlign w:val="center"/>
          </w:tcPr>
          <w:p w:rsidR="00EE4502" w:rsidRDefault="00FD45A3">
            <w:pPr>
              <w:jc w:val="center"/>
              <w:rPr>
                <w:sz w:val="18"/>
                <w:szCs w:val="18"/>
              </w:rPr>
            </w:pPr>
            <w:r>
              <w:rPr>
                <w:sz w:val="18"/>
                <w:szCs w:val="18"/>
              </w:rPr>
              <w:t>影响范围（</w:t>
            </w:r>
            <w:r>
              <w:rPr>
                <w:rFonts w:hint="eastAsia"/>
                <w:sz w:val="18"/>
                <w:szCs w:val="18"/>
              </w:rPr>
              <w:t>井场周围</w:t>
            </w:r>
            <w:r>
              <w:rPr>
                <w:sz w:val="18"/>
                <w:szCs w:val="18"/>
              </w:rPr>
              <w:t>）</w:t>
            </w:r>
          </w:p>
          <w:p w:rsidR="00EE4502" w:rsidRDefault="00FD45A3">
            <w:pPr>
              <w:jc w:val="center"/>
              <w:rPr>
                <w:sz w:val="18"/>
                <w:szCs w:val="18"/>
              </w:rPr>
            </w:pPr>
            <w:r>
              <w:rPr>
                <w:sz w:val="18"/>
                <w:szCs w:val="18"/>
              </w:rPr>
              <w:t>影响程度（可接受）</w:t>
            </w:r>
          </w:p>
        </w:tc>
        <w:tc>
          <w:tcPr>
            <w:tcW w:w="698" w:type="pct"/>
            <w:vAlign w:val="center"/>
          </w:tcPr>
          <w:p w:rsidR="00EE4502" w:rsidRDefault="00FD45A3">
            <w:pPr>
              <w:jc w:val="center"/>
              <w:rPr>
                <w:sz w:val="18"/>
                <w:szCs w:val="18"/>
              </w:rPr>
            </w:pPr>
            <w:r>
              <w:rPr>
                <w:sz w:val="18"/>
                <w:szCs w:val="18"/>
              </w:rPr>
              <w:t>-</w:t>
            </w:r>
          </w:p>
        </w:tc>
      </w:tr>
      <w:tr w:rsidR="00EE4502">
        <w:trPr>
          <w:trHeight w:val="340"/>
          <w:jc w:val="center"/>
        </w:trPr>
        <w:tc>
          <w:tcPr>
            <w:tcW w:w="246" w:type="pct"/>
            <w:vMerge/>
            <w:vAlign w:val="center"/>
          </w:tcPr>
          <w:p w:rsidR="00EE4502" w:rsidRDefault="00EE4502">
            <w:pPr>
              <w:widowControl/>
              <w:jc w:val="center"/>
              <w:rPr>
                <w:sz w:val="18"/>
                <w:szCs w:val="18"/>
              </w:rPr>
            </w:pPr>
          </w:p>
        </w:tc>
        <w:tc>
          <w:tcPr>
            <w:tcW w:w="902" w:type="pct"/>
            <w:vAlign w:val="center"/>
          </w:tcPr>
          <w:p w:rsidR="00EE4502" w:rsidRDefault="00FD45A3">
            <w:pPr>
              <w:jc w:val="center"/>
              <w:rPr>
                <w:sz w:val="18"/>
                <w:szCs w:val="18"/>
              </w:rPr>
            </w:pPr>
            <w:r>
              <w:rPr>
                <w:sz w:val="18"/>
                <w:szCs w:val="18"/>
              </w:rPr>
              <w:t>预测结论</w:t>
            </w:r>
          </w:p>
        </w:tc>
        <w:tc>
          <w:tcPr>
            <w:tcW w:w="3152" w:type="pct"/>
            <w:gridSpan w:val="6"/>
            <w:vAlign w:val="center"/>
          </w:tcPr>
          <w:p w:rsidR="00EE4502" w:rsidRDefault="00FD45A3">
            <w:pPr>
              <w:jc w:val="center"/>
              <w:rPr>
                <w:sz w:val="18"/>
                <w:szCs w:val="18"/>
              </w:rPr>
            </w:pPr>
            <w:r>
              <w:rPr>
                <w:sz w:val="18"/>
                <w:szCs w:val="18"/>
              </w:rPr>
              <w:t>达标结论：</w:t>
            </w:r>
            <w:r>
              <w:rPr>
                <w:sz w:val="18"/>
                <w:szCs w:val="18"/>
              </w:rPr>
              <w:t>a</w:t>
            </w:r>
            <w:r>
              <w:rPr>
                <w:sz w:val="18"/>
                <w:szCs w:val="18"/>
              </w:rPr>
              <w:t>）</w:t>
            </w:r>
            <w:r>
              <w:rPr>
                <w:sz w:val="18"/>
                <w:szCs w:val="18"/>
              </w:rPr>
              <w:t>□</w:t>
            </w:r>
            <w:r>
              <w:rPr>
                <w:sz w:val="18"/>
                <w:szCs w:val="18"/>
              </w:rPr>
              <w:t>；</w:t>
            </w:r>
            <w:r>
              <w:rPr>
                <w:sz w:val="18"/>
                <w:szCs w:val="18"/>
              </w:rPr>
              <w:t>b</w:t>
            </w:r>
            <w:r>
              <w:rPr>
                <w:sz w:val="18"/>
                <w:szCs w:val="18"/>
              </w:rPr>
              <w:t>）</w:t>
            </w:r>
            <w:r>
              <w:rPr>
                <w:sz w:val="18"/>
                <w:szCs w:val="18"/>
              </w:rPr>
              <w:t>□</w:t>
            </w:r>
            <w:r>
              <w:rPr>
                <w:sz w:val="18"/>
                <w:szCs w:val="18"/>
              </w:rPr>
              <w:t>；</w:t>
            </w:r>
            <w:r>
              <w:rPr>
                <w:sz w:val="18"/>
                <w:szCs w:val="18"/>
              </w:rPr>
              <w:t>c</w:t>
            </w:r>
            <w:r>
              <w:rPr>
                <w:sz w:val="18"/>
                <w:szCs w:val="18"/>
              </w:rPr>
              <w:t>）</w:t>
            </w:r>
            <w:r>
              <w:rPr>
                <w:sz w:val="18"/>
                <w:szCs w:val="18"/>
              </w:rPr>
              <w:t>√</w:t>
            </w:r>
          </w:p>
          <w:p w:rsidR="00EE4502" w:rsidRDefault="00FD45A3">
            <w:pPr>
              <w:jc w:val="center"/>
              <w:rPr>
                <w:sz w:val="18"/>
                <w:szCs w:val="18"/>
              </w:rPr>
            </w:pPr>
            <w:r>
              <w:rPr>
                <w:sz w:val="18"/>
                <w:szCs w:val="18"/>
              </w:rPr>
              <w:t>不达标结论：</w:t>
            </w:r>
            <w:r>
              <w:rPr>
                <w:sz w:val="18"/>
                <w:szCs w:val="18"/>
              </w:rPr>
              <w:t>a</w:t>
            </w:r>
            <w:r>
              <w:rPr>
                <w:sz w:val="18"/>
                <w:szCs w:val="18"/>
              </w:rPr>
              <w:t>）</w:t>
            </w:r>
            <w:r>
              <w:rPr>
                <w:sz w:val="18"/>
                <w:szCs w:val="18"/>
              </w:rPr>
              <w:t>□</w:t>
            </w:r>
            <w:r>
              <w:rPr>
                <w:sz w:val="18"/>
                <w:szCs w:val="18"/>
              </w:rPr>
              <w:t>；</w:t>
            </w:r>
            <w:r>
              <w:rPr>
                <w:sz w:val="18"/>
                <w:szCs w:val="18"/>
              </w:rPr>
              <w:t>b</w:t>
            </w:r>
            <w:r>
              <w:rPr>
                <w:sz w:val="18"/>
                <w:szCs w:val="18"/>
              </w:rPr>
              <w:t>）</w:t>
            </w:r>
            <w:r>
              <w:rPr>
                <w:sz w:val="18"/>
                <w:szCs w:val="18"/>
              </w:rPr>
              <w:t>□</w:t>
            </w:r>
          </w:p>
        </w:tc>
        <w:tc>
          <w:tcPr>
            <w:tcW w:w="698" w:type="pct"/>
            <w:vAlign w:val="center"/>
          </w:tcPr>
          <w:p w:rsidR="00EE4502" w:rsidRDefault="00FD45A3">
            <w:pPr>
              <w:jc w:val="center"/>
              <w:rPr>
                <w:sz w:val="18"/>
                <w:szCs w:val="18"/>
              </w:rPr>
            </w:pPr>
            <w:r>
              <w:rPr>
                <w:sz w:val="18"/>
                <w:szCs w:val="18"/>
              </w:rPr>
              <w:t>-</w:t>
            </w:r>
          </w:p>
        </w:tc>
      </w:tr>
      <w:tr w:rsidR="00EE4502">
        <w:trPr>
          <w:trHeight w:val="340"/>
          <w:jc w:val="center"/>
        </w:trPr>
        <w:tc>
          <w:tcPr>
            <w:tcW w:w="246" w:type="pct"/>
            <w:vMerge w:val="restart"/>
            <w:vAlign w:val="center"/>
          </w:tcPr>
          <w:p w:rsidR="00EE4502" w:rsidRDefault="00FD45A3">
            <w:pPr>
              <w:jc w:val="center"/>
              <w:rPr>
                <w:sz w:val="18"/>
                <w:szCs w:val="18"/>
              </w:rPr>
            </w:pPr>
            <w:r>
              <w:rPr>
                <w:sz w:val="18"/>
                <w:szCs w:val="18"/>
              </w:rPr>
              <w:t>防治措施</w:t>
            </w:r>
          </w:p>
        </w:tc>
        <w:tc>
          <w:tcPr>
            <w:tcW w:w="902" w:type="pct"/>
            <w:vAlign w:val="center"/>
          </w:tcPr>
          <w:p w:rsidR="00EE4502" w:rsidRDefault="00FD45A3">
            <w:pPr>
              <w:jc w:val="center"/>
              <w:rPr>
                <w:sz w:val="18"/>
                <w:szCs w:val="18"/>
              </w:rPr>
            </w:pPr>
            <w:r>
              <w:rPr>
                <w:sz w:val="18"/>
                <w:szCs w:val="18"/>
              </w:rPr>
              <w:t>防控措施</w:t>
            </w:r>
          </w:p>
        </w:tc>
        <w:tc>
          <w:tcPr>
            <w:tcW w:w="3152" w:type="pct"/>
            <w:gridSpan w:val="6"/>
            <w:vAlign w:val="center"/>
          </w:tcPr>
          <w:p w:rsidR="00EE4502" w:rsidRDefault="00FD45A3">
            <w:pPr>
              <w:jc w:val="center"/>
              <w:rPr>
                <w:sz w:val="18"/>
                <w:szCs w:val="18"/>
              </w:rPr>
            </w:pPr>
            <w:r>
              <w:rPr>
                <w:sz w:val="18"/>
                <w:szCs w:val="18"/>
              </w:rPr>
              <w:t>土壤环境质量现状保障</w:t>
            </w:r>
            <w:r>
              <w:rPr>
                <w:sz w:val="18"/>
                <w:szCs w:val="18"/>
              </w:rPr>
              <w:t>□</w:t>
            </w:r>
            <w:r>
              <w:rPr>
                <w:sz w:val="18"/>
                <w:szCs w:val="18"/>
              </w:rPr>
              <w:t>；源头控制</w:t>
            </w:r>
            <w:r>
              <w:rPr>
                <w:sz w:val="18"/>
                <w:szCs w:val="18"/>
              </w:rPr>
              <w:t>√</w:t>
            </w:r>
            <w:r>
              <w:rPr>
                <w:sz w:val="18"/>
                <w:szCs w:val="18"/>
              </w:rPr>
              <w:t>；过程防控</w:t>
            </w:r>
            <w:r>
              <w:rPr>
                <w:sz w:val="18"/>
                <w:szCs w:val="18"/>
              </w:rPr>
              <w:t>√</w:t>
            </w:r>
            <w:r>
              <w:rPr>
                <w:sz w:val="18"/>
                <w:szCs w:val="18"/>
              </w:rPr>
              <w:t>；其他（）</w:t>
            </w:r>
          </w:p>
        </w:tc>
        <w:tc>
          <w:tcPr>
            <w:tcW w:w="698" w:type="pct"/>
            <w:vAlign w:val="center"/>
          </w:tcPr>
          <w:p w:rsidR="00EE4502" w:rsidRDefault="00FD45A3">
            <w:pPr>
              <w:jc w:val="center"/>
              <w:rPr>
                <w:sz w:val="18"/>
                <w:szCs w:val="18"/>
              </w:rPr>
            </w:pPr>
            <w:r>
              <w:rPr>
                <w:sz w:val="18"/>
                <w:szCs w:val="18"/>
              </w:rPr>
              <w:t>-</w:t>
            </w:r>
          </w:p>
        </w:tc>
      </w:tr>
      <w:tr w:rsidR="00EE4502">
        <w:trPr>
          <w:trHeight w:val="340"/>
          <w:jc w:val="center"/>
        </w:trPr>
        <w:tc>
          <w:tcPr>
            <w:tcW w:w="246" w:type="pct"/>
            <w:vMerge/>
            <w:vAlign w:val="center"/>
          </w:tcPr>
          <w:p w:rsidR="00EE4502" w:rsidRDefault="00EE4502">
            <w:pPr>
              <w:widowControl/>
              <w:jc w:val="center"/>
              <w:rPr>
                <w:sz w:val="18"/>
                <w:szCs w:val="18"/>
              </w:rPr>
            </w:pPr>
          </w:p>
        </w:tc>
        <w:tc>
          <w:tcPr>
            <w:tcW w:w="902" w:type="pct"/>
            <w:vMerge w:val="restart"/>
            <w:vAlign w:val="center"/>
          </w:tcPr>
          <w:p w:rsidR="00EE4502" w:rsidRDefault="00FD45A3">
            <w:pPr>
              <w:jc w:val="center"/>
              <w:rPr>
                <w:sz w:val="18"/>
                <w:szCs w:val="18"/>
              </w:rPr>
            </w:pPr>
            <w:r>
              <w:rPr>
                <w:sz w:val="18"/>
                <w:szCs w:val="18"/>
              </w:rPr>
              <w:t>跟踪监测</w:t>
            </w:r>
          </w:p>
        </w:tc>
        <w:tc>
          <w:tcPr>
            <w:tcW w:w="1026" w:type="pct"/>
            <w:gridSpan w:val="2"/>
            <w:vAlign w:val="center"/>
          </w:tcPr>
          <w:p w:rsidR="00EE4502" w:rsidRDefault="00FD45A3">
            <w:pPr>
              <w:jc w:val="center"/>
              <w:rPr>
                <w:sz w:val="18"/>
                <w:szCs w:val="18"/>
              </w:rPr>
            </w:pPr>
            <w:r>
              <w:rPr>
                <w:sz w:val="18"/>
                <w:szCs w:val="18"/>
              </w:rPr>
              <w:t>监测点数</w:t>
            </w:r>
          </w:p>
        </w:tc>
        <w:tc>
          <w:tcPr>
            <w:tcW w:w="1178" w:type="pct"/>
            <w:gridSpan w:val="2"/>
            <w:vAlign w:val="center"/>
          </w:tcPr>
          <w:p w:rsidR="00EE4502" w:rsidRDefault="00FD45A3">
            <w:pPr>
              <w:jc w:val="center"/>
              <w:rPr>
                <w:sz w:val="18"/>
                <w:szCs w:val="18"/>
              </w:rPr>
            </w:pPr>
            <w:r>
              <w:rPr>
                <w:sz w:val="18"/>
                <w:szCs w:val="18"/>
              </w:rPr>
              <w:t>监测指标</w:t>
            </w:r>
          </w:p>
        </w:tc>
        <w:tc>
          <w:tcPr>
            <w:tcW w:w="947" w:type="pct"/>
            <w:gridSpan w:val="2"/>
            <w:vAlign w:val="center"/>
          </w:tcPr>
          <w:p w:rsidR="00EE4502" w:rsidRDefault="00FD45A3">
            <w:pPr>
              <w:jc w:val="center"/>
              <w:rPr>
                <w:sz w:val="18"/>
                <w:szCs w:val="18"/>
              </w:rPr>
            </w:pPr>
            <w:r>
              <w:rPr>
                <w:sz w:val="18"/>
                <w:szCs w:val="18"/>
              </w:rPr>
              <w:t>监测频次</w:t>
            </w:r>
          </w:p>
        </w:tc>
        <w:tc>
          <w:tcPr>
            <w:tcW w:w="698" w:type="pct"/>
            <w:vMerge w:val="restart"/>
            <w:vAlign w:val="center"/>
          </w:tcPr>
          <w:p w:rsidR="00EE4502" w:rsidRDefault="00FD45A3">
            <w:pPr>
              <w:jc w:val="center"/>
              <w:rPr>
                <w:sz w:val="18"/>
                <w:szCs w:val="18"/>
              </w:rPr>
            </w:pPr>
            <w:r>
              <w:rPr>
                <w:sz w:val="18"/>
                <w:szCs w:val="18"/>
              </w:rPr>
              <w:t>-</w:t>
            </w:r>
          </w:p>
        </w:tc>
      </w:tr>
      <w:tr w:rsidR="00EE4502">
        <w:trPr>
          <w:trHeight w:val="340"/>
          <w:jc w:val="center"/>
        </w:trPr>
        <w:tc>
          <w:tcPr>
            <w:tcW w:w="246" w:type="pct"/>
            <w:vMerge/>
            <w:vAlign w:val="center"/>
          </w:tcPr>
          <w:p w:rsidR="00EE4502" w:rsidRDefault="00EE4502">
            <w:pPr>
              <w:widowControl/>
              <w:jc w:val="center"/>
              <w:rPr>
                <w:sz w:val="18"/>
                <w:szCs w:val="18"/>
              </w:rPr>
            </w:pPr>
          </w:p>
        </w:tc>
        <w:tc>
          <w:tcPr>
            <w:tcW w:w="902" w:type="pct"/>
            <w:vMerge/>
            <w:vAlign w:val="center"/>
          </w:tcPr>
          <w:p w:rsidR="00EE4502" w:rsidRDefault="00EE4502">
            <w:pPr>
              <w:widowControl/>
              <w:jc w:val="center"/>
              <w:rPr>
                <w:sz w:val="18"/>
                <w:szCs w:val="18"/>
              </w:rPr>
            </w:pPr>
          </w:p>
        </w:tc>
        <w:tc>
          <w:tcPr>
            <w:tcW w:w="1026" w:type="pct"/>
            <w:gridSpan w:val="2"/>
            <w:vAlign w:val="center"/>
          </w:tcPr>
          <w:p w:rsidR="00EE4502" w:rsidRDefault="00FD45A3">
            <w:pPr>
              <w:jc w:val="center"/>
              <w:rPr>
                <w:sz w:val="18"/>
                <w:szCs w:val="18"/>
              </w:rPr>
            </w:pPr>
            <w:r>
              <w:rPr>
                <w:rFonts w:hint="eastAsia"/>
                <w:sz w:val="18"/>
                <w:szCs w:val="18"/>
              </w:rPr>
              <w:t>3</w:t>
            </w:r>
          </w:p>
        </w:tc>
        <w:tc>
          <w:tcPr>
            <w:tcW w:w="1178" w:type="pct"/>
            <w:gridSpan w:val="2"/>
            <w:vAlign w:val="center"/>
          </w:tcPr>
          <w:p w:rsidR="00EE4502" w:rsidRDefault="00FD45A3">
            <w:pPr>
              <w:jc w:val="center"/>
              <w:rPr>
                <w:sz w:val="18"/>
                <w:szCs w:val="18"/>
              </w:rPr>
            </w:pPr>
            <w:r>
              <w:rPr>
                <w:rFonts w:hint="eastAsia"/>
                <w:sz w:val="18"/>
                <w:szCs w:val="18"/>
              </w:rPr>
              <w:t>石油烃</w:t>
            </w:r>
          </w:p>
        </w:tc>
        <w:tc>
          <w:tcPr>
            <w:tcW w:w="947" w:type="pct"/>
            <w:gridSpan w:val="2"/>
            <w:vAlign w:val="center"/>
          </w:tcPr>
          <w:p w:rsidR="00EE4502" w:rsidRDefault="00FD45A3">
            <w:pPr>
              <w:jc w:val="center"/>
              <w:rPr>
                <w:sz w:val="18"/>
                <w:szCs w:val="18"/>
              </w:rPr>
            </w:pPr>
            <w:r>
              <w:rPr>
                <w:sz w:val="18"/>
                <w:szCs w:val="18"/>
              </w:rPr>
              <w:t>1</w:t>
            </w:r>
            <w:r>
              <w:rPr>
                <w:sz w:val="18"/>
                <w:szCs w:val="18"/>
              </w:rPr>
              <w:t>次</w:t>
            </w:r>
            <w:r>
              <w:rPr>
                <w:sz w:val="18"/>
                <w:szCs w:val="18"/>
              </w:rPr>
              <w:t>/</w:t>
            </w:r>
            <w:r>
              <w:rPr>
                <w:sz w:val="18"/>
                <w:szCs w:val="18"/>
              </w:rPr>
              <w:t>年</w:t>
            </w:r>
          </w:p>
        </w:tc>
        <w:tc>
          <w:tcPr>
            <w:tcW w:w="698" w:type="pct"/>
            <w:vMerge/>
            <w:vAlign w:val="center"/>
          </w:tcPr>
          <w:p w:rsidR="00EE4502" w:rsidRDefault="00EE4502">
            <w:pPr>
              <w:widowControl/>
              <w:jc w:val="center"/>
              <w:rPr>
                <w:sz w:val="18"/>
                <w:szCs w:val="18"/>
              </w:rPr>
            </w:pPr>
          </w:p>
        </w:tc>
      </w:tr>
      <w:tr w:rsidR="00EE4502">
        <w:trPr>
          <w:trHeight w:val="340"/>
          <w:jc w:val="center"/>
        </w:trPr>
        <w:tc>
          <w:tcPr>
            <w:tcW w:w="246" w:type="pct"/>
            <w:vMerge/>
            <w:vAlign w:val="center"/>
          </w:tcPr>
          <w:p w:rsidR="00EE4502" w:rsidRDefault="00EE4502">
            <w:pPr>
              <w:widowControl/>
              <w:jc w:val="center"/>
              <w:rPr>
                <w:sz w:val="18"/>
                <w:szCs w:val="18"/>
              </w:rPr>
            </w:pPr>
          </w:p>
        </w:tc>
        <w:tc>
          <w:tcPr>
            <w:tcW w:w="902" w:type="pct"/>
            <w:vAlign w:val="center"/>
          </w:tcPr>
          <w:p w:rsidR="00EE4502" w:rsidRDefault="00FD45A3">
            <w:pPr>
              <w:jc w:val="center"/>
              <w:rPr>
                <w:sz w:val="18"/>
                <w:szCs w:val="18"/>
              </w:rPr>
            </w:pPr>
            <w:r>
              <w:rPr>
                <w:sz w:val="18"/>
                <w:szCs w:val="18"/>
              </w:rPr>
              <w:t>信息公开指标</w:t>
            </w:r>
          </w:p>
        </w:tc>
        <w:tc>
          <w:tcPr>
            <w:tcW w:w="3152" w:type="pct"/>
            <w:gridSpan w:val="6"/>
            <w:vAlign w:val="center"/>
          </w:tcPr>
          <w:p w:rsidR="00EE4502" w:rsidRDefault="00FD45A3">
            <w:pPr>
              <w:jc w:val="center"/>
              <w:rPr>
                <w:sz w:val="18"/>
                <w:szCs w:val="18"/>
              </w:rPr>
            </w:pPr>
            <w:r>
              <w:rPr>
                <w:sz w:val="18"/>
                <w:szCs w:val="18"/>
              </w:rPr>
              <w:t>常规监测数据应该进行公开</w:t>
            </w:r>
          </w:p>
        </w:tc>
        <w:tc>
          <w:tcPr>
            <w:tcW w:w="698" w:type="pct"/>
            <w:vMerge/>
            <w:vAlign w:val="center"/>
          </w:tcPr>
          <w:p w:rsidR="00EE4502" w:rsidRDefault="00EE4502">
            <w:pPr>
              <w:widowControl/>
              <w:jc w:val="center"/>
              <w:rPr>
                <w:sz w:val="18"/>
                <w:szCs w:val="18"/>
              </w:rPr>
            </w:pPr>
          </w:p>
        </w:tc>
      </w:tr>
      <w:tr w:rsidR="00EE4502">
        <w:trPr>
          <w:trHeight w:val="340"/>
          <w:jc w:val="center"/>
        </w:trPr>
        <w:tc>
          <w:tcPr>
            <w:tcW w:w="1149" w:type="pct"/>
            <w:gridSpan w:val="2"/>
            <w:vAlign w:val="center"/>
          </w:tcPr>
          <w:p w:rsidR="00EE4502" w:rsidRDefault="00FD45A3">
            <w:pPr>
              <w:jc w:val="center"/>
              <w:rPr>
                <w:sz w:val="18"/>
                <w:szCs w:val="18"/>
              </w:rPr>
            </w:pPr>
            <w:r>
              <w:rPr>
                <w:sz w:val="18"/>
                <w:szCs w:val="18"/>
              </w:rPr>
              <w:t>评价结论</w:t>
            </w:r>
          </w:p>
        </w:tc>
        <w:tc>
          <w:tcPr>
            <w:tcW w:w="3152" w:type="pct"/>
            <w:gridSpan w:val="6"/>
            <w:vAlign w:val="center"/>
          </w:tcPr>
          <w:p w:rsidR="00EE4502" w:rsidRDefault="00FD45A3">
            <w:pPr>
              <w:jc w:val="center"/>
              <w:rPr>
                <w:sz w:val="18"/>
                <w:szCs w:val="18"/>
              </w:rPr>
            </w:pPr>
            <w:r>
              <w:rPr>
                <w:rFonts w:hint="eastAsia"/>
                <w:sz w:val="18"/>
                <w:szCs w:val="18"/>
              </w:rPr>
              <w:t>可以接受</w:t>
            </w:r>
            <w:r>
              <w:rPr>
                <w:sz w:val="18"/>
                <w:szCs w:val="18"/>
              </w:rPr>
              <w:t>√</w:t>
            </w:r>
            <w:r>
              <w:rPr>
                <w:rFonts w:hint="eastAsia"/>
                <w:sz w:val="18"/>
                <w:szCs w:val="18"/>
              </w:rPr>
              <w:t>；不可以接受</w:t>
            </w:r>
            <w:r>
              <w:rPr>
                <w:sz w:val="18"/>
                <w:szCs w:val="18"/>
              </w:rPr>
              <w:t>□</w:t>
            </w:r>
          </w:p>
        </w:tc>
        <w:tc>
          <w:tcPr>
            <w:tcW w:w="698" w:type="pct"/>
            <w:vAlign w:val="center"/>
          </w:tcPr>
          <w:p w:rsidR="00EE4502" w:rsidRDefault="00FD45A3">
            <w:pPr>
              <w:jc w:val="center"/>
              <w:rPr>
                <w:sz w:val="18"/>
                <w:szCs w:val="18"/>
              </w:rPr>
            </w:pPr>
            <w:r>
              <w:rPr>
                <w:sz w:val="18"/>
                <w:szCs w:val="18"/>
              </w:rPr>
              <w:t>-</w:t>
            </w:r>
          </w:p>
        </w:tc>
      </w:tr>
    </w:tbl>
    <w:p w:rsidR="00EE4502" w:rsidRDefault="00EE4502">
      <w:pPr>
        <w:jc w:val="center"/>
        <w:rPr>
          <w:b/>
          <w:kern w:val="21"/>
          <w:szCs w:val="21"/>
        </w:rPr>
      </w:pPr>
    </w:p>
    <w:p w:rsidR="00EE4502" w:rsidRDefault="00FD45A3">
      <w:pPr>
        <w:pStyle w:val="22"/>
        <w:numPr>
          <w:ilvl w:val="1"/>
          <w:numId w:val="30"/>
        </w:numPr>
        <w:rPr>
          <w:spacing w:val="0"/>
          <w:w w:val="100"/>
        </w:rPr>
      </w:pPr>
      <w:bookmarkStart w:id="219" w:name="_Toc28565"/>
      <w:r>
        <w:rPr>
          <w:spacing w:val="0"/>
          <w:w w:val="100"/>
        </w:rPr>
        <w:t>环境空气影响分析</w:t>
      </w:r>
      <w:bookmarkEnd w:id="219"/>
    </w:p>
    <w:p w:rsidR="00EE4502" w:rsidRDefault="00FD45A3">
      <w:pPr>
        <w:pStyle w:val="33"/>
        <w:numPr>
          <w:ilvl w:val="2"/>
          <w:numId w:val="30"/>
        </w:numPr>
        <w:spacing w:line="360" w:lineRule="auto"/>
        <w:ind w:left="0" w:firstLine="0"/>
        <w:rPr>
          <w:spacing w:val="0"/>
          <w:sz w:val="24"/>
          <w:szCs w:val="24"/>
        </w:rPr>
      </w:pPr>
      <w:r>
        <w:rPr>
          <w:spacing w:val="0"/>
          <w:sz w:val="24"/>
          <w:szCs w:val="24"/>
        </w:rPr>
        <w:t>施工期环境空气影响分析</w:t>
      </w:r>
    </w:p>
    <w:p w:rsidR="00EE4502" w:rsidRDefault="00FD45A3">
      <w:pPr>
        <w:spacing w:line="360" w:lineRule="auto"/>
        <w:ind w:firstLineChars="200" w:firstLine="480"/>
        <w:rPr>
          <w:sz w:val="24"/>
        </w:rPr>
      </w:pPr>
      <w:r>
        <w:rPr>
          <w:rFonts w:hint="eastAsia"/>
          <w:sz w:val="24"/>
        </w:rPr>
        <w:t>本项目在施工期对环境空气的影响主要来自两个方面：一是施工期钻井过程中产生的废气，主要来自钻机（柴油机）和发电机运转时产生的烟气，其主要污染物为烃类、</w:t>
      </w:r>
      <w:r>
        <w:rPr>
          <w:rFonts w:hint="eastAsia"/>
          <w:sz w:val="24"/>
        </w:rPr>
        <w:t>NOx</w:t>
      </w:r>
      <w:r>
        <w:rPr>
          <w:rFonts w:hint="eastAsia"/>
          <w:sz w:val="24"/>
        </w:rPr>
        <w:t>、</w:t>
      </w:r>
      <w:r>
        <w:rPr>
          <w:rFonts w:hint="eastAsia"/>
          <w:sz w:val="24"/>
        </w:rPr>
        <w:t>CO</w:t>
      </w:r>
      <w:r>
        <w:rPr>
          <w:rFonts w:hint="eastAsia"/>
          <w:sz w:val="24"/>
        </w:rPr>
        <w:t>和</w:t>
      </w:r>
      <w:r>
        <w:rPr>
          <w:rFonts w:hint="eastAsia"/>
          <w:sz w:val="24"/>
        </w:rPr>
        <w:t>SO</w:t>
      </w:r>
      <w:r>
        <w:rPr>
          <w:rFonts w:hint="eastAsia"/>
          <w:sz w:val="24"/>
          <w:vertAlign w:val="subscript"/>
        </w:rPr>
        <w:t>2</w:t>
      </w:r>
      <w:r>
        <w:rPr>
          <w:rFonts w:hint="eastAsia"/>
          <w:sz w:val="24"/>
        </w:rPr>
        <w:t>；二是在管线敷设、道路建设和地面工程建设过程中可能产生扬尘，如细小的建筑材料的飞扬，或土壤被扰动后导致的尘土飞扬</w:t>
      </w:r>
      <w:r>
        <w:rPr>
          <w:sz w:val="24"/>
        </w:rPr>
        <w:t>。</w:t>
      </w:r>
    </w:p>
    <w:p w:rsidR="00EE4502" w:rsidRDefault="00FD45A3">
      <w:pPr>
        <w:pStyle w:val="41"/>
        <w:numPr>
          <w:ilvl w:val="3"/>
          <w:numId w:val="30"/>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hint="eastAsia"/>
          <w:bCs w:val="0"/>
          <w:sz w:val="24"/>
          <w:szCs w:val="24"/>
        </w:rPr>
        <w:t>钻井废气影响分析</w:t>
      </w:r>
    </w:p>
    <w:p w:rsidR="00EE4502" w:rsidRDefault="00FD45A3">
      <w:pPr>
        <w:spacing w:line="360" w:lineRule="auto"/>
        <w:ind w:firstLineChars="200" w:firstLine="480"/>
        <w:rPr>
          <w:sz w:val="24"/>
        </w:rPr>
      </w:pPr>
      <w:r>
        <w:rPr>
          <w:rFonts w:hint="eastAsia"/>
          <w:sz w:val="24"/>
        </w:rPr>
        <w:t>本项目钻（完）井工程基本作业程序包括确定井位、井场准备、钻井、完井和连接生产管线</w:t>
      </w:r>
      <w:r>
        <w:rPr>
          <w:rFonts w:hint="eastAsia"/>
          <w:sz w:val="24"/>
        </w:rPr>
        <w:t>5</w:t>
      </w:r>
      <w:r>
        <w:rPr>
          <w:rFonts w:hint="eastAsia"/>
          <w:sz w:val="24"/>
        </w:rPr>
        <w:t>个主要步骤。</w:t>
      </w:r>
    </w:p>
    <w:p w:rsidR="00EE4502" w:rsidRDefault="00FD45A3">
      <w:pPr>
        <w:spacing w:line="360" w:lineRule="auto"/>
        <w:ind w:firstLineChars="200" w:firstLine="480"/>
        <w:rPr>
          <w:sz w:val="24"/>
        </w:rPr>
      </w:pPr>
      <w:r>
        <w:rPr>
          <w:rFonts w:hint="eastAsia"/>
          <w:sz w:val="24"/>
        </w:rPr>
        <w:t>本工程采用常规钻井工艺。钻进阶段使用的钻机由柴油发电机提供电源，</w:t>
      </w:r>
      <w:r>
        <w:rPr>
          <w:rFonts w:hint="eastAsia"/>
          <w:sz w:val="24"/>
        </w:rPr>
        <w:t>将</w:t>
      </w:r>
      <w:r>
        <w:rPr>
          <w:rFonts w:hint="eastAsia"/>
          <w:sz w:val="24"/>
        </w:rPr>
        <w:t>产生</w:t>
      </w:r>
      <w:r>
        <w:rPr>
          <w:rFonts w:hint="eastAsia"/>
          <w:sz w:val="24"/>
        </w:rPr>
        <w:t>柴油</w:t>
      </w:r>
      <w:r>
        <w:rPr>
          <w:rFonts w:hint="eastAsia"/>
          <w:sz w:val="24"/>
        </w:rPr>
        <w:t>发电机废气。燃料燃烧将向大气中排放废气主要的污染物为烃类、</w:t>
      </w:r>
      <w:r>
        <w:rPr>
          <w:rFonts w:hint="eastAsia"/>
          <w:sz w:val="24"/>
        </w:rPr>
        <w:t>CO</w:t>
      </w:r>
      <w:r>
        <w:rPr>
          <w:rFonts w:hint="eastAsia"/>
          <w:sz w:val="24"/>
        </w:rPr>
        <w:t>、</w:t>
      </w:r>
      <w:r>
        <w:rPr>
          <w:rFonts w:hint="eastAsia"/>
          <w:sz w:val="24"/>
        </w:rPr>
        <w:t>NOx</w:t>
      </w:r>
      <w:r>
        <w:rPr>
          <w:rFonts w:hint="eastAsia"/>
          <w:sz w:val="24"/>
        </w:rPr>
        <w:t>、</w:t>
      </w:r>
      <w:r>
        <w:rPr>
          <w:rFonts w:hint="eastAsia"/>
          <w:sz w:val="24"/>
        </w:rPr>
        <w:t>SO</w:t>
      </w:r>
      <w:r>
        <w:rPr>
          <w:rFonts w:hint="eastAsia"/>
          <w:sz w:val="24"/>
          <w:vertAlign w:val="subscript"/>
        </w:rPr>
        <w:t>2</w:t>
      </w:r>
      <w:r>
        <w:rPr>
          <w:rFonts w:hint="eastAsia"/>
          <w:sz w:val="24"/>
        </w:rPr>
        <w:t>等。</w:t>
      </w:r>
    </w:p>
    <w:p w:rsidR="00EE4502" w:rsidRDefault="00FD45A3">
      <w:pPr>
        <w:spacing w:line="360" w:lineRule="auto"/>
        <w:ind w:firstLineChars="200" w:firstLine="480"/>
        <w:rPr>
          <w:sz w:val="18"/>
          <w:szCs w:val="18"/>
        </w:rPr>
      </w:pPr>
      <w:r>
        <w:rPr>
          <w:rFonts w:hint="eastAsia"/>
          <w:sz w:val="24"/>
        </w:rPr>
        <w:lastRenderedPageBreak/>
        <w:t>钻井作业柴油机烟气排放集中在钻井施工期的短暂时段，且平均日排放量不大，加之大气环境影响评价范围内地域辽阔，扩散条件较好。类比其它相似钻井井场，场界外各项污染物浓度均小于《大气污染物综合排放标准》（</w:t>
      </w:r>
      <w:r>
        <w:rPr>
          <w:rFonts w:hint="eastAsia"/>
          <w:sz w:val="24"/>
        </w:rPr>
        <w:t>GB16297-1996</w:t>
      </w:r>
      <w:r>
        <w:rPr>
          <w:rFonts w:hint="eastAsia"/>
          <w:sz w:val="24"/>
        </w:rPr>
        <w:t>）中新污染源无组织排放监控点浓度限值和</w:t>
      </w:r>
      <w:r>
        <w:rPr>
          <w:rFonts w:hint="eastAsia"/>
          <w:sz w:val="24"/>
        </w:rPr>
        <w:t xml:space="preserve"> </w:t>
      </w:r>
      <w:r>
        <w:rPr>
          <w:rFonts w:hint="eastAsia"/>
          <w:sz w:val="24"/>
        </w:rPr>
        <w:t>《环境空气质量标准》（</w:t>
      </w:r>
      <w:r>
        <w:rPr>
          <w:rFonts w:hint="eastAsia"/>
          <w:sz w:val="24"/>
        </w:rPr>
        <w:t>GB3095-2012</w:t>
      </w:r>
      <w:r>
        <w:rPr>
          <w:rFonts w:hint="eastAsia"/>
          <w:sz w:val="24"/>
        </w:rPr>
        <w:t>）中浓度限值。钻井作业柴油机烟气排放及总烃挥发对周围环境影响较小</w:t>
      </w:r>
      <w:r>
        <w:rPr>
          <w:sz w:val="24"/>
        </w:rPr>
        <w:t>。</w:t>
      </w:r>
    </w:p>
    <w:p w:rsidR="00EE4502" w:rsidRDefault="00FD45A3">
      <w:pPr>
        <w:pStyle w:val="41"/>
        <w:numPr>
          <w:ilvl w:val="3"/>
          <w:numId w:val="30"/>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hint="eastAsia"/>
          <w:bCs w:val="0"/>
          <w:sz w:val="24"/>
          <w:szCs w:val="24"/>
        </w:rPr>
        <w:t>施工期扬尘影响分析</w:t>
      </w:r>
    </w:p>
    <w:p w:rsidR="00EE4502" w:rsidRDefault="00FD45A3">
      <w:pPr>
        <w:spacing w:line="360" w:lineRule="auto"/>
        <w:ind w:firstLine="482"/>
        <w:rPr>
          <w:sz w:val="24"/>
        </w:rPr>
      </w:pPr>
      <w:r>
        <w:rPr>
          <w:rFonts w:hint="eastAsia"/>
          <w:sz w:val="24"/>
        </w:rPr>
        <w:t>（</w:t>
      </w:r>
      <w:r>
        <w:rPr>
          <w:rFonts w:hint="eastAsia"/>
          <w:sz w:val="24"/>
        </w:rPr>
        <w:t>1</w:t>
      </w:r>
      <w:r>
        <w:rPr>
          <w:rFonts w:hint="eastAsia"/>
          <w:sz w:val="24"/>
        </w:rPr>
        <w:t>）运输车辆扬尘的影响分析</w:t>
      </w:r>
    </w:p>
    <w:p w:rsidR="00EE4502" w:rsidRDefault="00FD45A3">
      <w:pPr>
        <w:spacing w:line="360" w:lineRule="auto"/>
        <w:ind w:firstLine="482"/>
        <w:rPr>
          <w:sz w:val="24"/>
        </w:rPr>
      </w:pPr>
      <w:r>
        <w:rPr>
          <w:rFonts w:hint="eastAsia"/>
          <w:sz w:val="24"/>
        </w:rPr>
        <w:t>开发期</w:t>
      </w:r>
      <w:r>
        <w:rPr>
          <w:rFonts w:hint="eastAsia"/>
          <w:sz w:val="24"/>
        </w:rPr>
        <w:t>运输车辆产生扬尘，采用洒水降尘，在施工场地实施每天洒水抑尘作业</w:t>
      </w:r>
      <w:r>
        <w:rPr>
          <w:rFonts w:hint="eastAsia"/>
          <w:sz w:val="24"/>
        </w:rPr>
        <w:t>4~5</w:t>
      </w:r>
      <w:r>
        <w:rPr>
          <w:rFonts w:hint="eastAsia"/>
          <w:sz w:val="24"/>
        </w:rPr>
        <w:t>次，其扬尘造成的污染距离可缩小到</w:t>
      </w:r>
      <w:r>
        <w:rPr>
          <w:rFonts w:hint="eastAsia"/>
          <w:sz w:val="24"/>
        </w:rPr>
        <w:t>20~50m</w:t>
      </w:r>
      <w:r>
        <w:rPr>
          <w:rFonts w:hint="eastAsia"/>
          <w:sz w:val="24"/>
        </w:rPr>
        <w:t>范围，由此车辆产生的扬尘对周围环境影响较小。从影响时间、范围和程度来看，钻井废气对周围大气环境质量影响是有限的。</w:t>
      </w:r>
    </w:p>
    <w:p w:rsidR="00EE4502" w:rsidRDefault="00FD45A3">
      <w:pPr>
        <w:spacing w:line="360" w:lineRule="auto"/>
        <w:ind w:firstLine="482"/>
        <w:rPr>
          <w:sz w:val="24"/>
        </w:rPr>
      </w:pPr>
      <w:r>
        <w:rPr>
          <w:rFonts w:hint="eastAsia"/>
          <w:sz w:val="24"/>
        </w:rPr>
        <w:t>在项目建设前期，由于主要进行钻井，地面建筑、道路等施工，区块内大量出入中型车辆，因此区块内道路主要为砂石路，车辆行驶的扬尘污染较重，要求适当洒水降尘，减轻污染。合理规划、选择最短的运输路线，利用油气田现有公路网络，禁止随意开辟道路，运输车辆应以中、低速行驶，减少车辆行驶动力起尘。</w:t>
      </w:r>
    </w:p>
    <w:p w:rsidR="00EE4502" w:rsidRDefault="00FD45A3">
      <w:pPr>
        <w:spacing w:line="360" w:lineRule="auto"/>
        <w:ind w:firstLine="482"/>
        <w:rPr>
          <w:sz w:val="24"/>
        </w:rPr>
      </w:pPr>
      <w:r>
        <w:rPr>
          <w:rFonts w:hint="eastAsia"/>
          <w:sz w:val="24"/>
        </w:rPr>
        <w:t>（</w:t>
      </w:r>
      <w:r>
        <w:rPr>
          <w:rFonts w:hint="eastAsia"/>
          <w:sz w:val="24"/>
        </w:rPr>
        <w:t>2</w:t>
      </w:r>
      <w:r>
        <w:rPr>
          <w:rFonts w:hint="eastAsia"/>
          <w:sz w:val="24"/>
        </w:rPr>
        <w:t>）地面工程施工过程中扬尘的影响</w:t>
      </w:r>
    </w:p>
    <w:p w:rsidR="00EE4502" w:rsidRDefault="00FD45A3">
      <w:pPr>
        <w:spacing w:line="360" w:lineRule="auto"/>
        <w:ind w:firstLine="482"/>
        <w:rPr>
          <w:sz w:val="24"/>
        </w:rPr>
      </w:pPr>
      <w:r>
        <w:rPr>
          <w:rFonts w:hint="eastAsia"/>
          <w:sz w:val="24"/>
        </w:rPr>
        <w:t>施工扬尘污染主要来自：①管沟、地基、路基开挖、土地平整及地基、路基填筑等施工过程，遇大风天气，会造成粉尘、扬尘等大气污染；②水泥、砂石、混凝土等建筑材料的运输、装卸和仓储过程不可避免会产生一定的泄漏，产生扬尘污染少年；③灰土拌和、混凝土</w:t>
      </w:r>
      <w:r>
        <w:rPr>
          <w:rFonts w:hint="eastAsia"/>
          <w:sz w:val="24"/>
        </w:rPr>
        <w:t>拌合</w:t>
      </w:r>
      <w:r>
        <w:rPr>
          <w:rFonts w:hint="eastAsia"/>
          <w:sz w:val="24"/>
        </w:rPr>
        <w:t>加工都会产生扬尘和粉尘；④物料运输车辆在施工场地运行过程中将产生大量尘土。</w:t>
      </w:r>
    </w:p>
    <w:p w:rsidR="00EE4502" w:rsidRDefault="00FD45A3">
      <w:pPr>
        <w:spacing w:line="360" w:lineRule="auto"/>
        <w:ind w:firstLine="482"/>
        <w:rPr>
          <w:sz w:val="24"/>
        </w:rPr>
      </w:pPr>
      <w:r>
        <w:rPr>
          <w:rFonts w:hint="eastAsia"/>
          <w:sz w:val="24"/>
        </w:rPr>
        <w:t>施工期扬尘最大产生时间将出现在土方开挖阶段，由于该阶段裸露浮土较多，产尘量较大。由于本项目的土方运输量较大，比较容易造成物料沿路撒落后风吹起尘，同时随着大型车辆的行</w:t>
      </w:r>
      <w:r>
        <w:rPr>
          <w:rFonts w:hint="eastAsia"/>
          <w:sz w:val="24"/>
        </w:rPr>
        <w:t>驶和碾压，在工程区内和道路上较易带起扬尘，污染环境。因此必须做到施工现场及场外道路泥土及时清理，减少二次扬尘。</w:t>
      </w:r>
    </w:p>
    <w:p w:rsidR="00EE4502" w:rsidRDefault="00FD45A3">
      <w:pPr>
        <w:spacing w:line="360" w:lineRule="auto"/>
        <w:ind w:firstLine="482"/>
        <w:rPr>
          <w:sz w:val="24"/>
        </w:rPr>
      </w:pPr>
      <w:r>
        <w:rPr>
          <w:rFonts w:hint="eastAsia"/>
          <w:sz w:val="24"/>
        </w:rPr>
        <w:t>项目施工在混合土工序阶段，灰土拌和、混凝土拌和是扬尘的主要来源。必须采取封闭作业或洒水措施，控制扬尘量</w:t>
      </w:r>
      <w:r>
        <w:rPr>
          <w:sz w:val="24"/>
        </w:rPr>
        <w:t>。</w:t>
      </w:r>
    </w:p>
    <w:p w:rsidR="00EE4502" w:rsidRDefault="00FD45A3">
      <w:pPr>
        <w:pStyle w:val="41"/>
        <w:numPr>
          <w:ilvl w:val="3"/>
          <w:numId w:val="30"/>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hint="eastAsia"/>
          <w:bCs w:val="0"/>
          <w:sz w:val="24"/>
          <w:szCs w:val="24"/>
        </w:rPr>
        <w:t>焊接烟气、机械设备和车辆废气</w:t>
      </w:r>
    </w:p>
    <w:p w:rsidR="00EE4502" w:rsidRDefault="00FD45A3">
      <w:pPr>
        <w:spacing w:line="360" w:lineRule="auto"/>
        <w:ind w:firstLine="482"/>
        <w:rPr>
          <w:sz w:val="24"/>
        </w:rPr>
      </w:pPr>
      <w:r>
        <w:rPr>
          <w:rFonts w:hint="eastAsia"/>
          <w:sz w:val="24"/>
        </w:rPr>
        <w:t>在油气田钻井工程和地面工程施工中使用多种燃油机动设备和运输车辆，会</w:t>
      </w:r>
      <w:r>
        <w:rPr>
          <w:rFonts w:hint="eastAsia"/>
          <w:sz w:val="24"/>
        </w:rPr>
        <w:lastRenderedPageBreak/>
        <w:t>产生机械设备和车辆内燃机燃料燃烧废气，其污染物主要有</w:t>
      </w:r>
      <w:r>
        <w:rPr>
          <w:rFonts w:hint="eastAsia"/>
          <w:sz w:val="24"/>
        </w:rPr>
        <w:t>SO</w:t>
      </w:r>
      <w:r>
        <w:rPr>
          <w:rFonts w:hint="eastAsia"/>
          <w:sz w:val="24"/>
          <w:vertAlign w:val="subscript"/>
        </w:rPr>
        <w:t>2</w:t>
      </w:r>
      <w:r>
        <w:rPr>
          <w:rFonts w:hint="eastAsia"/>
          <w:sz w:val="24"/>
        </w:rPr>
        <w:t>、</w:t>
      </w:r>
      <w:r>
        <w:rPr>
          <w:rFonts w:hint="eastAsia"/>
          <w:sz w:val="24"/>
        </w:rPr>
        <w:t>NO</w:t>
      </w:r>
      <w:r>
        <w:rPr>
          <w:rFonts w:hint="eastAsia"/>
          <w:sz w:val="24"/>
        </w:rPr>
        <w:t>x</w:t>
      </w:r>
      <w:r>
        <w:rPr>
          <w:rFonts w:hint="eastAsia"/>
          <w:sz w:val="24"/>
        </w:rPr>
        <w:t>、</w:t>
      </w:r>
      <w:r>
        <w:rPr>
          <w:rFonts w:hint="eastAsia"/>
          <w:sz w:val="24"/>
        </w:rPr>
        <w:t>CmHn</w:t>
      </w:r>
      <w:r>
        <w:rPr>
          <w:rFonts w:hint="eastAsia"/>
          <w:sz w:val="24"/>
        </w:rPr>
        <w:t>等；金属材质管线连接过程中会产生一定量的焊接烟气，污染物主要为颗粒物。施工机械和运输车辆运行时间和管线焊接时间一般都较短，</w:t>
      </w:r>
      <w:r>
        <w:rPr>
          <w:rFonts w:hint="eastAsia"/>
          <w:sz w:val="24"/>
        </w:rPr>
        <w:t>从影响范围和程度来看，焊接烟气、机械设备和车辆废气对周围大气环境的影响是有限的，又因其排放量较小，其对评价区域空气环境产生的影响可为环境所接受。</w:t>
      </w:r>
    </w:p>
    <w:p w:rsidR="00EE4502" w:rsidRDefault="00FD45A3">
      <w:pPr>
        <w:spacing w:line="360" w:lineRule="auto"/>
        <w:ind w:firstLine="482"/>
        <w:rPr>
          <w:sz w:val="24"/>
        </w:rPr>
      </w:pPr>
      <w:r>
        <w:rPr>
          <w:rFonts w:hint="eastAsia"/>
          <w:sz w:val="24"/>
        </w:rPr>
        <w:t>施工前期准备过程中应检修设备和车辆，保证设备正常稳定运行，燃用合格的燃料，设备和车辆不超负荷运行，从而从源头减少设备和车辆废气对环境的影响。</w:t>
      </w:r>
    </w:p>
    <w:p w:rsidR="00EE4502" w:rsidRDefault="00FD45A3">
      <w:pPr>
        <w:pStyle w:val="33"/>
        <w:numPr>
          <w:ilvl w:val="2"/>
          <w:numId w:val="30"/>
        </w:numPr>
        <w:spacing w:line="360" w:lineRule="auto"/>
        <w:ind w:left="0" w:firstLine="0"/>
        <w:rPr>
          <w:spacing w:val="0"/>
          <w:sz w:val="24"/>
          <w:szCs w:val="24"/>
        </w:rPr>
      </w:pPr>
      <w:r>
        <w:rPr>
          <w:spacing w:val="0"/>
          <w:sz w:val="24"/>
          <w:szCs w:val="24"/>
        </w:rPr>
        <w:t>运营期环境空气影响分析</w:t>
      </w:r>
    </w:p>
    <w:p w:rsidR="00EE4502" w:rsidRDefault="00FD45A3">
      <w:pPr>
        <w:pStyle w:val="41"/>
        <w:numPr>
          <w:ilvl w:val="3"/>
          <w:numId w:val="30"/>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bCs w:val="0"/>
          <w:sz w:val="24"/>
          <w:szCs w:val="24"/>
        </w:rPr>
        <w:t>区域地面污染气象特征分析</w:t>
      </w:r>
    </w:p>
    <w:p w:rsidR="00EE4502" w:rsidRDefault="00FD45A3">
      <w:pPr>
        <w:pStyle w:val="afffff7"/>
        <w:rPr>
          <w:color w:val="auto"/>
        </w:rPr>
      </w:pPr>
      <w:r>
        <w:rPr>
          <w:rFonts w:hint="eastAsia"/>
          <w:color w:val="auto"/>
        </w:rPr>
        <w:t>本工程</w:t>
      </w:r>
      <w:r>
        <w:rPr>
          <w:rFonts w:hint="eastAsia"/>
          <w:color w:val="auto"/>
        </w:rPr>
        <w:t>主体内容</w:t>
      </w:r>
      <w:r>
        <w:rPr>
          <w:rFonts w:hint="eastAsia"/>
          <w:color w:val="auto"/>
        </w:rPr>
        <w:t>位于克拉玛依市境内，因此本工程地面污染气象特征根据克拉玛依市常年逐时</w:t>
      </w:r>
      <w:r>
        <w:rPr>
          <w:rFonts w:hint="eastAsia"/>
          <w:color w:val="auto"/>
        </w:rPr>
        <w:t>24</w:t>
      </w:r>
      <w:r>
        <w:rPr>
          <w:rFonts w:hint="eastAsia"/>
          <w:color w:val="auto"/>
        </w:rPr>
        <w:t>次地面观测数据进行统计分析。</w:t>
      </w:r>
    </w:p>
    <w:p w:rsidR="00EE4502" w:rsidRDefault="00FD45A3">
      <w:pPr>
        <w:pStyle w:val="afffff7"/>
        <w:rPr>
          <w:color w:val="auto"/>
        </w:rPr>
      </w:pPr>
      <w:r>
        <w:rPr>
          <w:color w:val="auto"/>
        </w:rPr>
        <w:t>（</w:t>
      </w:r>
      <w:r>
        <w:rPr>
          <w:color w:val="auto"/>
        </w:rPr>
        <w:t>1</w:t>
      </w:r>
      <w:r>
        <w:rPr>
          <w:color w:val="auto"/>
        </w:rPr>
        <w:t>）</w:t>
      </w:r>
      <w:r>
        <w:rPr>
          <w:rFonts w:hint="eastAsia"/>
          <w:color w:val="auto"/>
        </w:rPr>
        <w:t>风速</w:t>
      </w:r>
    </w:p>
    <w:p w:rsidR="00EE4502" w:rsidRDefault="00FD45A3">
      <w:pPr>
        <w:spacing w:line="360" w:lineRule="auto"/>
        <w:ind w:firstLineChars="200" w:firstLine="480"/>
        <w:rPr>
          <w:snapToGrid w:val="0"/>
        </w:rPr>
      </w:pPr>
      <w:r>
        <w:rPr>
          <w:rFonts w:hint="eastAsia"/>
          <w:snapToGrid w:val="0"/>
          <w:sz w:val="24"/>
        </w:rPr>
        <w:t>克拉玛依市全年平均风速为</w:t>
      </w:r>
      <w:r>
        <w:rPr>
          <w:rFonts w:hint="eastAsia"/>
          <w:snapToGrid w:val="0"/>
          <w:sz w:val="24"/>
        </w:rPr>
        <w:t>2.54m/s</w:t>
      </w:r>
      <w:r>
        <w:rPr>
          <w:rFonts w:hint="eastAsia"/>
          <w:snapToGrid w:val="0"/>
          <w:sz w:val="24"/>
        </w:rPr>
        <w:t>，全年各季均以春、夏季平均风速为最大，冬季平均风速最小。区域各月平均风速统计见表</w:t>
      </w:r>
      <w:r>
        <w:rPr>
          <w:rFonts w:hint="eastAsia"/>
          <w:snapToGrid w:val="0"/>
          <w:sz w:val="24"/>
        </w:rPr>
        <w:t>5</w:t>
      </w:r>
      <w:r>
        <w:rPr>
          <w:rFonts w:hint="eastAsia"/>
          <w:snapToGrid w:val="0"/>
          <w:sz w:val="24"/>
        </w:rPr>
        <w:t>-5</w:t>
      </w:r>
      <w:r>
        <w:rPr>
          <w:rFonts w:hint="eastAsia"/>
          <w:snapToGrid w:val="0"/>
          <w:sz w:val="24"/>
        </w:rPr>
        <w:t>-1</w:t>
      </w:r>
      <w:r>
        <w:rPr>
          <w:rFonts w:hint="eastAsia"/>
          <w:snapToGrid w:val="0"/>
          <w:sz w:val="24"/>
        </w:rPr>
        <w:t>。平均风速的全年各月变化曲线见图</w:t>
      </w:r>
      <w:r>
        <w:rPr>
          <w:rFonts w:hint="eastAsia"/>
          <w:snapToGrid w:val="0"/>
          <w:sz w:val="24"/>
        </w:rPr>
        <w:t>5</w:t>
      </w:r>
      <w:r>
        <w:rPr>
          <w:rFonts w:hint="eastAsia"/>
          <w:snapToGrid w:val="0"/>
          <w:sz w:val="24"/>
        </w:rPr>
        <w:t>-5</w:t>
      </w:r>
      <w:r>
        <w:rPr>
          <w:rFonts w:hint="eastAsia"/>
          <w:snapToGrid w:val="0"/>
          <w:sz w:val="24"/>
        </w:rPr>
        <w:t>-1</w:t>
      </w:r>
      <w:r>
        <w:rPr>
          <w:rFonts w:hint="eastAsia"/>
          <w:snapToGrid w:val="0"/>
          <w:sz w:val="24"/>
        </w:rPr>
        <w:t>。</w:t>
      </w:r>
    </w:p>
    <w:p w:rsidR="00EE4502" w:rsidRDefault="00FD45A3">
      <w:pPr>
        <w:widowControl/>
        <w:spacing w:beforeLines="50" w:before="120"/>
        <w:jc w:val="center"/>
        <w:rPr>
          <w:rFonts w:ascii="黑体" w:eastAsia="黑体" w:hAnsi="黑体"/>
          <w:kern w:val="0"/>
          <w:szCs w:val="28"/>
        </w:rPr>
      </w:pPr>
      <w:r>
        <w:rPr>
          <w:rFonts w:ascii="黑体" w:eastAsia="黑体" w:hAnsi="黑体"/>
          <w:kern w:val="0"/>
          <w:szCs w:val="28"/>
        </w:rPr>
        <w:t>表</w:t>
      </w:r>
      <w:r>
        <w:rPr>
          <w:rFonts w:ascii="黑体" w:eastAsia="黑体" w:hAnsi="黑体" w:hint="eastAsia"/>
          <w:kern w:val="0"/>
          <w:szCs w:val="28"/>
        </w:rPr>
        <w:t>5-5</w:t>
      </w:r>
      <w:r>
        <w:rPr>
          <w:rFonts w:ascii="黑体" w:eastAsia="黑体" w:hAnsi="黑体"/>
          <w:kern w:val="0"/>
          <w:szCs w:val="28"/>
        </w:rPr>
        <w:t xml:space="preserve">-1 </w:t>
      </w:r>
      <w:r>
        <w:rPr>
          <w:rFonts w:ascii="黑体" w:eastAsia="黑体" w:hAnsi="黑体" w:hint="eastAsia"/>
          <w:kern w:val="0"/>
          <w:szCs w:val="28"/>
        </w:rPr>
        <w:t>区域各月平均风速统计见表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6"/>
        <w:gridCol w:w="549"/>
        <w:gridCol w:w="551"/>
        <w:gridCol w:w="551"/>
        <w:gridCol w:w="551"/>
        <w:gridCol w:w="551"/>
        <w:gridCol w:w="553"/>
        <w:gridCol w:w="551"/>
        <w:gridCol w:w="553"/>
        <w:gridCol w:w="549"/>
        <w:gridCol w:w="524"/>
        <w:gridCol w:w="662"/>
        <w:gridCol w:w="662"/>
        <w:gridCol w:w="595"/>
      </w:tblGrid>
      <w:tr w:rsidR="00EE4502">
        <w:trPr>
          <w:trHeight w:val="266"/>
          <w:jc w:val="center"/>
        </w:trPr>
        <w:tc>
          <w:tcPr>
            <w:tcW w:w="1126" w:type="dxa"/>
            <w:vMerge w:val="restart"/>
            <w:vAlign w:val="center"/>
          </w:tcPr>
          <w:p w:rsidR="00EE4502" w:rsidRDefault="00FD45A3">
            <w:pPr>
              <w:jc w:val="center"/>
              <w:rPr>
                <w:szCs w:val="21"/>
              </w:rPr>
            </w:pPr>
            <w:r>
              <w:rPr>
                <w:rFonts w:hint="eastAsia"/>
                <w:szCs w:val="21"/>
              </w:rPr>
              <w:t>区域</w:t>
            </w:r>
          </w:p>
        </w:tc>
        <w:tc>
          <w:tcPr>
            <w:tcW w:w="7402" w:type="dxa"/>
            <w:gridSpan w:val="13"/>
            <w:vAlign w:val="center"/>
          </w:tcPr>
          <w:p w:rsidR="00EE4502" w:rsidRDefault="00FD45A3">
            <w:pPr>
              <w:jc w:val="center"/>
              <w:rPr>
                <w:szCs w:val="21"/>
              </w:rPr>
            </w:pPr>
            <w:r>
              <w:rPr>
                <w:rFonts w:hint="eastAsia"/>
                <w:szCs w:val="21"/>
              </w:rPr>
              <w:t>平均风速（</w:t>
            </w:r>
            <w:r>
              <w:rPr>
                <w:rFonts w:hint="eastAsia"/>
                <w:szCs w:val="21"/>
              </w:rPr>
              <w:t>m/s</w:t>
            </w:r>
            <w:r>
              <w:rPr>
                <w:rFonts w:hint="eastAsia"/>
                <w:szCs w:val="21"/>
              </w:rPr>
              <w:t>）</w:t>
            </w:r>
          </w:p>
        </w:tc>
      </w:tr>
      <w:tr w:rsidR="00EE4502">
        <w:trPr>
          <w:trHeight w:val="266"/>
          <w:jc w:val="center"/>
        </w:trPr>
        <w:tc>
          <w:tcPr>
            <w:tcW w:w="1126" w:type="dxa"/>
            <w:vMerge/>
            <w:vAlign w:val="center"/>
          </w:tcPr>
          <w:p w:rsidR="00EE4502" w:rsidRDefault="00EE4502">
            <w:pPr>
              <w:jc w:val="center"/>
              <w:rPr>
                <w:szCs w:val="21"/>
              </w:rPr>
            </w:pPr>
          </w:p>
        </w:tc>
        <w:tc>
          <w:tcPr>
            <w:tcW w:w="549" w:type="dxa"/>
            <w:vAlign w:val="center"/>
          </w:tcPr>
          <w:p w:rsidR="00EE4502" w:rsidRDefault="00FD45A3">
            <w:pPr>
              <w:jc w:val="center"/>
              <w:rPr>
                <w:szCs w:val="21"/>
              </w:rPr>
            </w:pPr>
            <w:r>
              <w:rPr>
                <w:rFonts w:hint="eastAsia"/>
                <w:szCs w:val="21"/>
              </w:rPr>
              <w:t>1</w:t>
            </w:r>
            <w:r>
              <w:rPr>
                <w:rFonts w:hint="eastAsia"/>
                <w:szCs w:val="21"/>
              </w:rPr>
              <w:t>月</w:t>
            </w:r>
          </w:p>
        </w:tc>
        <w:tc>
          <w:tcPr>
            <w:tcW w:w="551" w:type="dxa"/>
            <w:vAlign w:val="center"/>
          </w:tcPr>
          <w:p w:rsidR="00EE4502" w:rsidRDefault="00FD45A3">
            <w:pPr>
              <w:jc w:val="center"/>
              <w:rPr>
                <w:szCs w:val="21"/>
              </w:rPr>
            </w:pPr>
            <w:r>
              <w:rPr>
                <w:rFonts w:hint="eastAsia"/>
                <w:szCs w:val="21"/>
              </w:rPr>
              <w:t>2</w:t>
            </w:r>
            <w:r>
              <w:rPr>
                <w:rFonts w:hint="eastAsia"/>
                <w:szCs w:val="21"/>
              </w:rPr>
              <w:t>月</w:t>
            </w:r>
          </w:p>
        </w:tc>
        <w:tc>
          <w:tcPr>
            <w:tcW w:w="551" w:type="dxa"/>
            <w:vAlign w:val="center"/>
          </w:tcPr>
          <w:p w:rsidR="00EE4502" w:rsidRDefault="00FD45A3">
            <w:pPr>
              <w:jc w:val="center"/>
              <w:rPr>
                <w:szCs w:val="21"/>
              </w:rPr>
            </w:pPr>
            <w:r>
              <w:rPr>
                <w:rFonts w:hint="eastAsia"/>
                <w:szCs w:val="21"/>
              </w:rPr>
              <w:t>3</w:t>
            </w:r>
            <w:r>
              <w:rPr>
                <w:rFonts w:hint="eastAsia"/>
                <w:szCs w:val="21"/>
              </w:rPr>
              <w:t>月</w:t>
            </w:r>
          </w:p>
        </w:tc>
        <w:tc>
          <w:tcPr>
            <w:tcW w:w="551" w:type="dxa"/>
            <w:vAlign w:val="center"/>
          </w:tcPr>
          <w:p w:rsidR="00EE4502" w:rsidRDefault="00FD45A3">
            <w:pPr>
              <w:jc w:val="center"/>
              <w:rPr>
                <w:szCs w:val="21"/>
              </w:rPr>
            </w:pPr>
            <w:r>
              <w:rPr>
                <w:rFonts w:hint="eastAsia"/>
                <w:szCs w:val="21"/>
              </w:rPr>
              <w:t>4</w:t>
            </w:r>
            <w:r>
              <w:rPr>
                <w:rFonts w:hint="eastAsia"/>
                <w:szCs w:val="21"/>
              </w:rPr>
              <w:t>月</w:t>
            </w:r>
          </w:p>
        </w:tc>
        <w:tc>
          <w:tcPr>
            <w:tcW w:w="551" w:type="dxa"/>
            <w:vAlign w:val="center"/>
          </w:tcPr>
          <w:p w:rsidR="00EE4502" w:rsidRDefault="00FD45A3">
            <w:pPr>
              <w:jc w:val="center"/>
              <w:rPr>
                <w:szCs w:val="21"/>
              </w:rPr>
            </w:pPr>
            <w:r>
              <w:rPr>
                <w:rFonts w:hint="eastAsia"/>
                <w:szCs w:val="21"/>
              </w:rPr>
              <w:t>5</w:t>
            </w:r>
            <w:r>
              <w:rPr>
                <w:rFonts w:hint="eastAsia"/>
                <w:szCs w:val="21"/>
              </w:rPr>
              <w:t>月</w:t>
            </w:r>
          </w:p>
        </w:tc>
        <w:tc>
          <w:tcPr>
            <w:tcW w:w="553" w:type="dxa"/>
            <w:vAlign w:val="center"/>
          </w:tcPr>
          <w:p w:rsidR="00EE4502" w:rsidRDefault="00FD45A3">
            <w:pPr>
              <w:jc w:val="center"/>
              <w:rPr>
                <w:szCs w:val="21"/>
              </w:rPr>
            </w:pPr>
            <w:r>
              <w:rPr>
                <w:rFonts w:hint="eastAsia"/>
                <w:szCs w:val="21"/>
              </w:rPr>
              <w:t>6</w:t>
            </w:r>
            <w:r>
              <w:rPr>
                <w:rFonts w:hint="eastAsia"/>
                <w:szCs w:val="21"/>
              </w:rPr>
              <w:t>月</w:t>
            </w:r>
          </w:p>
        </w:tc>
        <w:tc>
          <w:tcPr>
            <w:tcW w:w="551" w:type="dxa"/>
            <w:vAlign w:val="center"/>
          </w:tcPr>
          <w:p w:rsidR="00EE4502" w:rsidRDefault="00FD45A3">
            <w:pPr>
              <w:jc w:val="center"/>
              <w:rPr>
                <w:szCs w:val="21"/>
              </w:rPr>
            </w:pPr>
            <w:r>
              <w:rPr>
                <w:rFonts w:hint="eastAsia"/>
                <w:szCs w:val="21"/>
              </w:rPr>
              <w:t>7</w:t>
            </w:r>
            <w:r>
              <w:rPr>
                <w:rFonts w:hint="eastAsia"/>
                <w:szCs w:val="21"/>
              </w:rPr>
              <w:t>月</w:t>
            </w:r>
          </w:p>
        </w:tc>
        <w:tc>
          <w:tcPr>
            <w:tcW w:w="553" w:type="dxa"/>
            <w:vAlign w:val="center"/>
          </w:tcPr>
          <w:p w:rsidR="00EE4502" w:rsidRDefault="00FD45A3">
            <w:pPr>
              <w:jc w:val="center"/>
              <w:rPr>
                <w:szCs w:val="21"/>
              </w:rPr>
            </w:pPr>
            <w:r>
              <w:rPr>
                <w:rFonts w:hint="eastAsia"/>
                <w:szCs w:val="21"/>
              </w:rPr>
              <w:t>8</w:t>
            </w:r>
            <w:r>
              <w:rPr>
                <w:rFonts w:hint="eastAsia"/>
                <w:szCs w:val="21"/>
              </w:rPr>
              <w:t>月</w:t>
            </w:r>
          </w:p>
        </w:tc>
        <w:tc>
          <w:tcPr>
            <w:tcW w:w="549" w:type="dxa"/>
            <w:vAlign w:val="center"/>
          </w:tcPr>
          <w:p w:rsidR="00EE4502" w:rsidRDefault="00FD45A3">
            <w:pPr>
              <w:jc w:val="center"/>
              <w:rPr>
                <w:szCs w:val="21"/>
              </w:rPr>
            </w:pPr>
            <w:r>
              <w:rPr>
                <w:rFonts w:hint="eastAsia"/>
                <w:szCs w:val="21"/>
              </w:rPr>
              <w:t>9</w:t>
            </w:r>
            <w:r>
              <w:rPr>
                <w:rFonts w:hint="eastAsia"/>
                <w:szCs w:val="21"/>
              </w:rPr>
              <w:t>月</w:t>
            </w:r>
          </w:p>
        </w:tc>
        <w:tc>
          <w:tcPr>
            <w:tcW w:w="524" w:type="dxa"/>
            <w:vAlign w:val="center"/>
          </w:tcPr>
          <w:p w:rsidR="00EE4502" w:rsidRDefault="00FD45A3">
            <w:pPr>
              <w:jc w:val="center"/>
              <w:rPr>
                <w:szCs w:val="21"/>
              </w:rPr>
            </w:pPr>
            <w:r>
              <w:rPr>
                <w:rFonts w:hint="eastAsia"/>
                <w:szCs w:val="21"/>
              </w:rPr>
              <w:t>10</w:t>
            </w:r>
            <w:r>
              <w:rPr>
                <w:rFonts w:hint="eastAsia"/>
                <w:szCs w:val="21"/>
              </w:rPr>
              <w:t>月</w:t>
            </w:r>
          </w:p>
        </w:tc>
        <w:tc>
          <w:tcPr>
            <w:tcW w:w="662" w:type="dxa"/>
            <w:vAlign w:val="center"/>
          </w:tcPr>
          <w:p w:rsidR="00EE4502" w:rsidRDefault="00FD45A3">
            <w:pPr>
              <w:jc w:val="center"/>
              <w:rPr>
                <w:szCs w:val="21"/>
              </w:rPr>
            </w:pPr>
            <w:r>
              <w:rPr>
                <w:rFonts w:hint="eastAsia"/>
                <w:szCs w:val="21"/>
              </w:rPr>
              <w:t>11</w:t>
            </w:r>
            <w:r>
              <w:rPr>
                <w:rFonts w:hint="eastAsia"/>
                <w:szCs w:val="21"/>
              </w:rPr>
              <w:t>月</w:t>
            </w:r>
          </w:p>
        </w:tc>
        <w:tc>
          <w:tcPr>
            <w:tcW w:w="662" w:type="dxa"/>
            <w:vAlign w:val="center"/>
          </w:tcPr>
          <w:p w:rsidR="00EE4502" w:rsidRDefault="00FD45A3">
            <w:pPr>
              <w:jc w:val="center"/>
              <w:rPr>
                <w:szCs w:val="21"/>
              </w:rPr>
            </w:pPr>
            <w:r>
              <w:rPr>
                <w:rFonts w:hint="eastAsia"/>
                <w:szCs w:val="21"/>
              </w:rPr>
              <w:t>12</w:t>
            </w:r>
            <w:r>
              <w:rPr>
                <w:rFonts w:hint="eastAsia"/>
                <w:szCs w:val="21"/>
              </w:rPr>
              <w:t>月</w:t>
            </w:r>
          </w:p>
        </w:tc>
        <w:tc>
          <w:tcPr>
            <w:tcW w:w="595" w:type="dxa"/>
            <w:vAlign w:val="center"/>
          </w:tcPr>
          <w:p w:rsidR="00EE4502" w:rsidRDefault="00FD45A3">
            <w:pPr>
              <w:jc w:val="center"/>
              <w:rPr>
                <w:szCs w:val="21"/>
              </w:rPr>
            </w:pPr>
            <w:r>
              <w:rPr>
                <w:rFonts w:hint="eastAsia"/>
                <w:szCs w:val="21"/>
              </w:rPr>
              <w:t>平均</w:t>
            </w:r>
          </w:p>
        </w:tc>
      </w:tr>
      <w:tr w:rsidR="00EE4502">
        <w:trPr>
          <w:trHeight w:val="266"/>
          <w:jc w:val="center"/>
        </w:trPr>
        <w:tc>
          <w:tcPr>
            <w:tcW w:w="1126" w:type="dxa"/>
            <w:vAlign w:val="center"/>
          </w:tcPr>
          <w:p w:rsidR="00EE4502" w:rsidRDefault="00FD45A3">
            <w:pPr>
              <w:jc w:val="center"/>
              <w:rPr>
                <w:szCs w:val="21"/>
              </w:rPr>
            </w:pPr>
            <w:r>
              <w:rPr>
                <w:rFonts w:hint="eastAsia"/>
                <w:szCs w:val="21"/>
              </w:rPr>
              <w:t>克拉玛依市</w:t>
            </w:r>
          </w:p>
        </w:tc>
        <w:tc>
          <w:tcPr>
            <w:tcW w:w="549" w:type="dxa"/>
            <w:vAlign w:val="center"/>
          </w:tcPr>
          <w:p w:rsidR="00EE4502" w:rsidRDefault="00FD45A3">
            <w:pPr>
              <w:jc w:val="center"/>
              <w:rPr>
                <w:szCs w:val="21"/>
              </w:rPr>
            </w:pPr>
            <w:r>
              <w:rPr>
                <w:rFonts w:hint="eastAsia"/>
                <w:szCs w:val="21"/>
              </w:rPr>
              <w:t>3.37</w:t>
            </w:r>
          </w:p>
        </w:tc>
        <w:tc>
          <w:tcPr>
            <w:tcW w:w="551" w:type="dxa"/>
            <w:vAlign w:val="center"/>
          </w:tcPr>
          <w:p w:rsidR="00EE4502" w:rsidRDefault="00FD45A3">
            <w:pPr>
              <w:jc w:val="center"/>
              <w:rPr>
                <w:szCs w:val="21"/>
              </w:rPr>
            </w:pPr>
            <w:r>
              <w:rPr>
                <w:rFonts w:hint="eastAsia"/>
                <w:szCs w:val="21"/>
              </w:rPr>
              <w:t>2.77</w:t>
            </w:r>
          </w:p>
        </w:tc>
        <w:tc>
          <w:tcPr>
            <w:tcW w:w="551" w:type="dxa"/>
            <w:vAlign w:val="center"/>
          </w:tcPr>
          <w:p w:rsidR="00EE4502" w:rsidRDefault="00FD45A3">
            <w:pPr>
              <w:jc w:val="center"/>
              <w:rPr>
                <w:szCs w:val="21"/>
              </w:rPr>
            </w:pPr>
            <w:r>
              <w:rPr>
                <w:rFonts w:hint="eastAsia"/>
                <w:szCs w:val="21"/>
              </w:rPr>
              <w:t>2.67</w:t>
            </w:r>
          </w:p>
        </w:tc>
        <w:tc>
          <w:tcPr>
            <w:tcW w:w="551" w:type="dxa"/>
            <w:vAlign w:val="center"/>
          </w:tcPr>
          <w:p w:rsidR="00EE4502" w:rsidRDefault="00FD45A3">
            <w:pPr>
              <w:jc w:val="center"/>
              <w:rPr>
                <w:szCs w:val="21"/>
              </w:rPr>
            </w:pPr>
            <w:r>
              <w:rPr>
                <w:rFonts w:hint="eastAsia"/>
                <w:szCs w:val="21"/>
              </w:rPr>
              <w:t>2.53</w:t>
            </w:r>
          </w:p>
        </w:tc>
        <w:tc>
          <w:tcPr>
            <w:tcW w:w="551" w:type="dxa"/>
            <w:vAlign w:val="center"/>
          </w:tcPr>
          <w:p w:rsidR="00EE4502" w:rsidRDefault="00FD45A3">
            <w:pPr>
              <w:jc w:val="center"/>
              <w:rPr>
                <w:szCs w:val="21"/>
              </w:rPr>
            </w:pPr>
            <w:r>
              <w:rPr>
                <w:rFonts w:hint="eastAsia"/>
                <w:szCs w:val="21"/>
              </w:rPr>
              <w:t>2.23</w:t>
            </w:r>
          </w:p>
        </w:tc>
        <w:tc>
          <w:tcPr>
            <w:tcW w:w="553" w:type="dxa"/>
            <w:vAlign w:val="center"/>
          </w:tcPr>
          <w:p w:rsidR="00EE4502" w:rsidRDefault="00FD45A3">
            <w:pPr>
              <w:jc w:val="center"/>
              <w:rPr>
                <w:szCs w:val="21"/>
              </w:rPr>
            </w:pPr>
            <w:r>
              <w:rPr>
                <w:rFonts w:hint="eastAsia"/>
                <w:szCs w:val="21"/>
              </w:rPr>
              <w:t>2.43</w:t>
            </w:r>
          </w:p>
        </w:tc>
        <w:tc>
          <w:tcPr>
            <w:tcW w:w="551" w:type="dxa"/>
            <w:vAlign w:val="center"/>
          </w:tcPr>
          <w:p w:rsidR="00EE4502" w:rsidRDefault="00FD45A3">
            <w:pPr>
              <w:jc w:val="center"/>
              <w:rPr>
                <w:szCs w:val="21"/>
              </w:rPr>
            </w:pPr>
            <w:r>
              <w:rPr>
                <w:rFonts w:hint="eastAsia"/>
                <w:szCs w:val="21"/>
              </w:rPr>
              <w:t>3.30</w:t>
            </w:r>
          </w:p>
        </w:tc>
        <w:tc>
          <w:tcPr>
            <w:tcW w:w="553" w:type="dxa"/>
            <w:vAlign w:val="center"/>
          </w:tcPr>
          <w:p w:rsidR="00EE4502" w:rsidRDefault="00FD45A3">
            <w:pPr>
              <w:jc w:val="center"/>
              <w:rPr>
                <w:szCs w:val="21"/>
              </w:rPr>
            </w:pPr>
            <w:r>
              <w:rPr>
                <w:rFonts w:hint="eastAsia"/>
                <w:szCs w:val="21"/>
              </w:rPr>
              <w:t>3.27</w:t>
            </w:r>
          </w:p>
        </w:tc>
        <w:tc>
          <w:tcPr>
            <w:tcW w:w="549" w:type="dxa"/>
            <w:vAlign w:val="center"/>
          </w:tcPr>
          <w:p w:rsidR="00EE4502" w:rsidRDefault="00FD45A3">
            <w:pPr>
              <w:jc w:val="center"/>
              <w:rPr>
                <w:szCs w:val="21"/>
              </w:rPr>
            </w:pPr>
            <w:r>
              <w:rPr>
                <w:rFonts w:hint="eastAsia"/>
                <w:szCs w:val="21"/>
              </w:rPr>
              <w:t>2.90</w:t>
            </w:r>
          </w:p>
        </w:tc>
        <w:tc>
          <w:tcPr>
            <w:tcW w:w="524" w:type="dxa"/>
            <w:vAlign w:val="center"/>
          </w:tcPr>
          <w:p w:rsidR="00EE4502" w:rsidRDefault="00FD45A3">
            <w:pPr>
              <w:jc w:val="center"/>
              <w:rPr>
                <w:szCs w:val="21"/>
              </w:rPr>
            </w:pPr>
            <w:r>
              <w:rPr>
                <w:rFonts w:hint="eastAsia"/>
                <w:szCs w:val="21"/>
              </w:rPr>
              <w:t>1.63</w:t>
            </w:r>
          </w:p>
        </w:tc>
        <w:tc>
          <w:tcPr>
            <w:tcW w:w="662" w:type="dxa"/>
            <w:vAlign w:val="center"/>
          </w:tcPr>
          <w:p w:rsidR="00EE4502" w:rsidRDefault="00FD45A3">
            <w:pPr>
              <w:jc w:val="center"/>
              <w:rPr>
                <w:szCs w:val="21"/>
              </w:rPr>
            </w:pPr>
            <w:r>
              <w:rPr>
                <w:rFonts w:hint="eastAsia"/>
                <w:szCs w:val="21"/>
              </w:rPr>
              <w:t>1.73</w:t>
            </w:r>
          </w:p>
        </w:tc>
        <w:tc>
          <w:tcPr>
            <w:tcW w:w="662" w:type="dxa"/>
            <w:vAlign w:val="center"/>
          </w:tcPr>
          <w:p w:rsidR="00EE4502" w:rsidRDefault="00FD45A3">
            <w:pPr>
              <w:jc w:val="center"/>
              <w:rPr>
                <w:szCs w:val="21"/>
              </w:rPr>
            </w:pPr>
            <w:r>
              <w:rPr>
                <w:rFonts w:hint="eastAsia"/>
                <w:szCs w:val="21"/>
              </w:rPr>
              <w:t>1.71</w:t>
            </w:r>
          </w:p>
        </w:tc>
        <w:tc>
          <w:tcPr>
            <w:tcW w:w="595" w:type="dxa"/>
            <w:vAlign w:val="center"/>
          </w:tcPr>
          <w:p w:rsidR="00EE4502" w:rsidRDefault="00FD45A3">
            <w:pPr>
              <w:jc w:val="center"/>
              <w:rPr>
                <w:szCs w:val="21"/>
              </w:rPr>
            </w:pPr>
            <w:r>
              <w:rPr>
                <w:rFonts w:hint="eastAsia"/>
                <w:szCs w:val="21"/>
              </w:rPr>
              <w:t>2.54</w:t>
            </w:r>
          </w:p>
        </w:tc>
      </w:tr>
    </w:tbl>
    <w:p w:rsidR="00EE4502" w:rsidRDefault="00EE4502">
      <w:pPr>
        <w:spacing w:line="360" w:lineRule="auto"/>
        <w:jc w:val="center"/>
        <w:rPr>
          <w:snapToGrid w:val="0"/>
        </w:rPr>
      </w:pPr>
    </w:p>
    <w:p w:rsidR="00EE4502" w:rsidRDefault="00FD45A3">
      <w:pPr>
        <w:spacing w:line="360" w:lineRule="auto"/>
        <w:jc w:val="center"/>
        <w:rPr>
          <w:rFonts w:ascii="黑体" w:eastAsia="黑体" w:hAnsi="黑体"/>
          <w:snapToGrid w:val="0"/>
        </w:rPr>
      </w:pPr>
      <w:r>
        <w:rPr>
          <w:rFonts w:ascii="黑体" w:eastAsia="黑体" w:hAnsi="黑体" w:hint="eastAsia"/>
          <w:snapToGrid w:val="0"/>
        </w:rPr>
        <w:t>图</w:t>
      </w:r>
      <w:r>
        <w:rPr>
          <w:rFonts w:ascii="黑体" w:eastAsia="黑体" w:hAnsi="黑体" w:hint="eastAsia"/>
          <w:snapToGrid w:val="0"/>
        </w:rPr>
        <w:t>5</w:t>
      </w:r>
      <w:r>
        <w:rPr>
          <w:rFonts w:ascii="黑体" w:eastAsia="黑体" w:hAnsi="黑体" w:hint="eastAsia"/>
          <w:snapToGrid w:val="0"/>
        </w:rPr>
        <w:t>-5</w:t>
      </w:r>
      <w:r>
        <w:rPr>
          <w:rFonts w:ascii="黑体" w:eastAsia="黑体" w:hAnsi="黑体" w:hint="eastAsia"/>
          <w:snapToGrid w:val="0"/>
        </w:rPr>
        <w:t xml:space="preserve">-1  </w:t>
      </w:r>
      <w:r>
        <w:rPr>
          <w:rFonts w:ascii="黑体" w:eastAsia="黑体" w:hAnsi="黑体" w:hint="eastAsia"/>
          <w:snapToGrid w:val="0"/>
        </w:rPr>
        <w:t>评价区全年各月风速变化曲线</w:t>
      </w:r>
    </w:p>
    <w:p w:rsidR="00EE4502" w:rsidRDefault="00FD45A3">
      <w:pPr>
        <w:spacing w:line="360" w:lineRule="auto"/>
        <w:ind w:firstLineChars="200" w:firstLine="480"/>
        <w:rPr>
          <w:snapToGrid w:val="0"/>
          <w:sz w:val="24"/>
        </w:rPr>
      </w:pPr>
      <w:r>
        <w:rPr>
          <w:rFonts w:hint="eastAsia"/>
          <w:snapToGrid w:val="0"/>
          <w:sz w:val="24"/>
        </w:rPr>
        <w:t>（</w:t>
      </w:r>
      <w:r>
        <w:rPr>
          <w:rFonts w:hint="eastAsia"/>
          <w:snapToGrid w:val="0"/>
          <w:sz w:val="24"/>
        </w:rPr>
        <w:t>2</w:t>
      </w:r>
      <w:r>
        <w:rPr>
          <w:rFonts w:hint="eastAsia"/>
          <w:snapToGrid w:val="0"/>
          <w:sz w:val="24"/>
        </w:rPr>
        <w:t>）风向、风频</w:t>
      </w:r>
    </w:p>
    <w:p w:rsidR="00EE4502" w:rsidRDefault="00FD45A3">
      <w:pPr>
        <w:spacing w:line="360" w:lineRule="auto"/>
        <w:ind w:firstLineChars="200" w:firstLine="480"/>
        <w:rPr>
          <w:snapToGrid w:val="0"/>
          <w:sz w:val="24"/>
        </w:rPr>
      </w:pPr>
      <w:r>
        <w:rPr>
          <w:rFonts w:hint="eastAsia"/>
          <w:snapToGrid w:val="0"/>
          <w:sz w:val="24"/>
        </w:rPr>
        <w:t>大气污染物的传输与扩散受地面风向风速的影响，风向决定了污染物被输送的方向以及被污染区域的方位，而风速的大小则影响大气污染物的扩散稀释速度。一般在风向频率较大的方位其下风向的轴线区域污染物浓度较大。</w:t>
      </w:r>
    </w:p>
    <w:p w:rsidR="00EE4502" w:rsidRDefault="00FD45A3">
      <w:pPr>
        <w:spacing w:line="360" w:lineRule="auto"/>
        <w:ind w:firstLineChars="200" w:firstLine="480"/>
        <w:rPr>
          <w:rFonts w:ascii="黑体" w:eastAsia="黑体" w:hAnsi="黑体"/>
          <w:kern w:val="0"/>
          <w:szCs w:val="28"/>
        </w:rPr>
      </w:pPr>
      <w:r>
        <w:rPr>
          <w:rFonts w:hint="eastAsia"/>
          <w:snapToGrid w:val="0"/>
          <w:sz w:val="24"/>
        </w:rPr>
        <w:t>克拉玛依市全年主导风向为</w:t>
      </w:r>
      <w:r>
        <w:rPr>
          <w:rFonts w:hint="eastAsia"/>
          <w:snapToGrid w:val="0"/>
          <w:sz w:val="24"/>
        </w:rPr>
        <w:t>WNW-NW-NNW</w:t>
      </w:r>
      <w:r>
        <w:rPr>
          <w:rFonts w:hint="eastAsia"/>
          <w:snapToGrid w:val="0"/>
          <w:sz w:val="24"/>
        </w:rPr>
        <w:t>。克拉玛依市各季及全年的风向频率统计情况见表</w:t>
      </w:r>
      <w:r>
        <w:rPr>
          <w:rFonts w:hint="eastAsia"/>
          <w:snapToGrid w:val="0"/>
          <w:sz w:val="24"/>
        </w:rPr>
        <w:t>5</w:t>
      </w:r>
      <w:r>
        <w:rPr>
          <w:rFonts w:hint="eastAsia"/>
          <w:snapToGrid w:val="0"/>
          <w:sz w:val="24"/>
        </w:rPr>
        <w:t>-5</w:t>
      </w:r>
      <w:r>
        <w:rPr>
          <w:rFonts w:hint="eastAsia"/>
          <w:snapToGrid w:val="0"/>
          <w:sz w:val="24"/>
        </w:rPr>
        <w:t>-2</w:t>
      </w:r>
      <w:r>
        <w:rPr>
          <w:rFonts w:hint="eastAsia"/>
          <w:snapToGrid w:val="0"/>
          <w:sz w:val="24"/>
        </w:rPr>
        <w:t>，风向频率玫瑰见图</w:t>
      </w:r>
      <w:r>
        <w:rPr>
          <w:rFonts w:hint="eastAsia"/>
          <w:snapToGrid w:val="0"/>
          <w:sz w:val="24"/>
        </w:rPr>
        <w:t>5-5-2</w:t>
      </w:r>
      <w:r>
        <w:rPr>
          <w:rFonts w:hint="eastAsia"/>
          <w:snapToGrid w:val="0"/>
          <w:sz w:val="24"/>
        </w:rPr>
        <w:t>。</w:t>
      </w:r>
    </w:p>
    <w:p w:rsidR="00EE4502" w:rsidRDefault="00FD45A3">
      <w:pPr>
        <w:widowControl/>
        <w:spacing w:beforeLines="50" w:before="120"/>
        <w:jc w:val="center"/>
        <w:rPr>
          <w:rFonts w:ascii="黑体" w:eastAsia="黑体" w:hAnsi="黑体"/>
          <w:kern w:val="0"/>
          <w:szCs w:val="28"/>
        </w:rPr>
      </w:pPr>
      <w:r>
        <w:rPr>
          <w:rFonts w:ascii="黑体" w:eastAsia="黑体" w:hAnsi="黑体" w:hint="eastAsia"/>
          <w:kern w:val="0"/>
          <w:szCs w:val="28"/>
        </w:rPr>
        <w:t>表</w:t>
      </w:r>
      <w:r>
        <w:rPr>
          <w:rFonts w:ascii="黑体" w:eastAsia="黑体" w:hAnsi="黑体" w:hint="eastAsia"/>
          <w:kern w:val="0"/>
          <w:szCs w:val="28"/>
        </w:rPr>
        <w:t xml:space="preserve">5-5-2  </w:t>
      </w:r>
      <w:r>
        <w:rPr>
          <w:rFonts w:ascii="黑体" w:eastAsia="黑体" w:hAnsi="黑体"/>
          <w:kern w:val="0"/>
          <w:szCs w:val="28"/>
        </w:rPr>
        <w:t xml:space="preserve">      </w:t>
      </w:r>
      <w:r>
        <w:rPr>
          <w:rFonts w:ascii="黑体" w:eastAsia="黑体" w:hAnsi="黑体" w:hint="eastAsia"/>
          <w:kern w:val="0"/>
          <w:szCs w:val="28"/>
        </w:rPr>
        <w:t>克拉玛依市全年及各季风向频率（</w:t>
      </w:r>
      <w:r>
        <w:rPr>
          <w:rFonts w:ascii="黑体" w:eastAsia="黑体" w:hAnsi="黑体" w:hint="eastAsia"/>
          <w:kern w:val="0"/>
          <w:szCs w:val="28"/>
        </w:rPr>
        <w:t>fi)</w:t>
      </w:r>
      <w:r>
        <w:rPr>
          <w:rFonts w:ascii="黑体" w:eastAsia="黑体" w:hAnsi="黑体" w:hint="eastAsia"/>
          <w:kern w:val="0"/>
          <w:szCs w:val="28"/>
        </w:rPr>
        <w:t>、平均风速（</w:t>
      </w:r>
      <w:r>
        <w:rPr>
          <w:rFonts w:ascii="黑体" w:eastAsia="黑体" w:hAnsi="黑体" w:hint="eastAsia"/>
          <w:kern w:val="0"/>
          <w:szCs w:val="28"/>
        </w:rPr>
        <w:t>ui</w:t>
      </w:r>
      <w:r>
        <w:rPr>
          <w:rFonts w:ascii="黑体" w:eastAsia="黑体" w:hAnsi="黑体" w:hint="eastAsia"/>
          <w:kern w:val="0"/>
          <w:szCs w:val="28"/>
        </w:rPr>
        <w:t>）及污染系数（</w:t>
      </w:r>
      <w:r>
        <w:rPr>
          <w:rFonts w:ascii="黑体" w:eastAsia="黑体" w:hAnsi="黑体" w:hint="eastAsia"/>
          <w:kern w:val="0"/>
          <w:szCs w:val="28"/>
        </w:rPr>
        <w:t>ai)</w:t>
      </w:r>
    </w:p>
    <w:p w:rsidR="00EE4502" w:rsidRDefault="00EE4502">
      <w:pPr>
        <w:rPr>
          <w:szCs w:val="20"/>
        </w:rPr>
      </w:pPr>
    </w:p>
    <w:p w:rsidR="00EE4502" w:rsidRDefault="00EE4502">
      <w:pPr>
        <w:jc w:val="center"/>
        <w:rPr>
          <w:szCs w:val="20"/>
        </w:rPr>
      </w:pPr>
    </w:p>
    <w:p w:rsidR="00EE4502" w:rsidRDefault="00FD45A3">
      <w:pPr>
        <w:spacing w:line="360" w:lineRule="auto"/>
        <w:jc w:val="center"/>
        <w:rPr>
          <w:rFonts w:ascii="黑体" w:eastAsia="黑体" w:hAnsi="黑体" w:cs="黑体"/>
          <w:bCs/>
          <w:snapToGrid w:val="0"/>
          <w:szCs w:val="21"/>
        </w:rPr>
      </w:pPr>
      <w:r>
        <w:rPr>
          <w:rFonts w:ascii="黑体" w:eastAsia="黑体" w:hAnsi="黑体" w:cs="黑体" w:hint="eastAsia"/>
          <w:bCs/>
          <w:szCs w:val="21"/>
        </w:rPr>
        <w:lastRenderedPageBreak/>
        <w:t>图</w:t>
      </w:r>
      <w:r>
        <w:rPr>
          <w:rFonts w:ascii="黑体" w:eastAsia="黑体" w:hAnsi="黑体" w:cs="黑体" w:hint="eastAsia"/>
          <w:bCs/>
          <w:szCs w:val="21"/>
        </w:rPr>
        <w:t xml:space="preserve">5-5-2  </w:t>
      </w:r>
      <w:r>
        <w:rPr>
          <w:rFonts w:ascii="黑体" w:eastAsia="黑体" w:hAnsi="黑体" w:cs="黑体" w:hint="eastAsia"/>
          <w:bCs/>
          <w:szCs w:val="21"/>
        </w:rPr>
        <w:t>克拉玛依市全年及各季风向频率玫瑰图</w:t>
      </w:r>
    </w:p>
    <w:p w:rsidR="00EE4502" w:rsidRDefault="00FD45A3">
      <w:pPr>
        <w:tabs>
          <w:tab w:val="left" w:pos="3600"/>
        </w:tabs>
        <w:spacing w:line="360" w:lineRule="auto"/>
        <w:ind w:firstLineChars="200" w:firstLine="480"/>
        <w:rPr>
          <w:sz w:val="24"/>
          <w:szCs w:val="22"/>
        </w:rPr>
      </w:pPr>
      <w:r>
        <w:rPr>
          <w:rFonts w:hint="eastAsia"/>
          <w:sz w:val="24"/>
          <w:szCs w:val="22"/>
        </w:rPr>
        <w:t>（</w:t>
      </w:r>
      <w:r>
        <w:rPr>
          <w:rFonts w:hint="eastAsia"/>
          <w:sz w:val="24"/>
          <w:szCs w:val="22"/>
        </w:rPr>
        <w:t>3</w:t>
      </w:r>
      <w:r>
        <w:rPr>
          <w:rFonts w:hint="eastAsia"/>
          <w:sz w:val="24"/>
          <w:szCs w:val="22"/>
        </w:rPr>
        <w:t>）污染系数</w:t>
      </w:r>
    </w:p>
    <w:p w:rsidR="00EE4502" w:rsidRDefault="00FD45A3">
      <w:pPr>
        <w:tabs>
          <w:tab w:val="left" w:pos="3600"/>
        </w:tabs>
        <w:spacing w:line="360" w:lineRule="auto"/>
        <w:ind w:firstLineChars="200" w:firstLine="480"/>
        <w:rPr>
          <w:sz w:val="24"/>
          <w:szCs w:val="22"/>
        </w:rPr>
      </w:pPr>
      <w:r>
        <w:rPr>
          <w:rFonts w:hint="eastAsia"/>
          <w:sz w:val="24"/>
          <w:szCs w:val="22"/>
        </w:rPr>
        <w:t>污染系数比较全面地反映了风矢（风向、风速）对污染物的输送作用。全年及各季最大污染系数及相应的方位见表</w:t>
      </w:r>
      <w:r>
        <w:rPr>
          <w:rFonts w:hint="eastAsia"/>
          <w:sz w:val="24"/>
          <w:szCs w:val="22"/>
        </w:rPr>
        <w:t>5-5-</w:t>
      </w:r>
      <w:r>
        <w:rPr>
          <w:rFonts w:hint="eastAsia"/>
          <w:sz w:val="24"/>
          <w:szCs w:val="22"/>
        </w:rPr>
        <w:t>3</w:t>
      </w:r>
      <w:r>
        <w:rPr>
          <w:rFonts w:hint="eastAsia"/>
          <w:sz w:val="24"/>
          <w:szCs w:val="22"/>
        </w:rPr>
        <w:t>。</w:t>
      </w:r>
    </w:p>
    <w:p w:rsidR="00EE4502" w:rsidRDefault="00FD45A3">
      <w:pPr>
        <w:widowControl/>
        <w:spacing w:beforeLines="50" w:before="120"/>
        <w:jc w:val="center"/>
        <w:rPr>
          <w:rFonts w:ascii="黑体" w:eastAsia="黑体" w:hAnsi="黑体"/>
          <w:kern w:val="0"/>
          <w:szCs w:val="28"/>
        </w:rPr>
      </w:pPr>
      <w:r>
        <w:rPr>
          <w:rFonts w:ascii="黑体" w:eastAsia="黑体" w:hAnsi="黑体" w:hint="eastAsia"/>
          <w:kern w:val="0"/>
          <w:szCs w:val="28"/>
        </w:rPr>
        <w:t>表</w:t>
      </w:r>
      <w:r>
        <w:rPr>
          <w:rFonts w:ascii="黑体" w:eastAsia="黑体" w:hAnsi="黑体" w:hint="eastAsia"/>
          <w:kern w:val="0"/>
          <w:szCs w:val="28"/>
        </w:rPr>
        <w:t xml:space="preserve">5-5-3           </w:t>
      </w:r>
      <w:r>
        <w:rPr>
          <w:rFonts w:ascii="黑体" w:eastAsia="黑体" w:hAnsi="黑体" w:hint="eastAsia"/>
          <w:kern w:val="0"/>
          <w:szCs w:val="28"/>
        </w:rPr>
        <w:t>各季污染系数最大、最小值及相应的方位</w:t>
      </w:r>
    </w:p>
    <w:p w:rsidR="00EE4502" w:rsidRDefault="00FD45A3">
      <w:pPr>
        <w:spacing w:line="360" w:lineRule="auto"/>
        <w:ind w:firstLineChars="200" w:firstLine="480"/>
        <w:rPr>
          <w:bCs/>
          <w:kern w:val="0"/>
          <w:sz w:val="24"/>
          <w:szCs w:val="20"/>
          <w:lang w:val="zh-CN"/>
        </w:rPr>
      </w:pPr>
      <w:r>
        <w:rPr>
          <w:rFonts w:hint="eastAsia"/>
          <w:sz w:val="24"/>
        </w:rPr>
        <w:t>由表</w:t>
      </w:r>
      <w:r>
        <w:rPr>
          <w:rFonts w:hint="eastAsia"/>
          <w:sz w:val="24"/>
        </w:rPr>
        <w:t>5-5-</w:t>
      </w:r>
      <w:r>
        <w:rPr>
          <w:rFonts w:hint="eastAsia"/>
          <w:sz w:val="24"/>
        </w:rPr>
        <w:t>3</w:t>
      </w:r>
      <w:r>
        <w:rPr>
          <w:rFonts w:hint="eastAsia"/>
          <w:sz w:val="24"/>
        </w:rPr>
        <w:t>可以看出，本工程的大气污染源在</w:t>
      </w:r>
      <w:r>
        <w:rPr>
          <w:rFonts w:hint="eastAsia"/>
          <w:sz w:val="24"/>
        </w:rPr>
        <w:t>NW</w:t>
      </w:r>
      <w:r>
        <w:rPr>
          <w:rFonts w:hint="eastAsia"/>
          <w:sz w:val="24"/>
        </w:rPr>
        <w:t>风向时最易造成污染</w:t>
      </w:r>
      <w:r>
        <w:rPr>
          <w:bCs/>
          <w:kern w:val="0"/>
          <w:sz w:val="24"/>
          <w:szCs w:val="20"/>
          <w:lang w:val="zh-CN"/>
        </w:rPr>
        <w:t>。</w:t>
      </w:r>
    </w:p>
    <w:p w:rsidR="00EE4502" w:rsidRDefault="00FD45A3">
      <w:pPr>
        <w:pStyle w:val="41"/>
        <w:numPr>
          <w:ilvl w:val="3"/>
          <w:numId w:val="30"/>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hint="eastAsia"/>
          <w:bCs w:val="0"/>
          <w:sz w:val="24"/>
          <w:szCs w:val="24"/>
        </w:rPr>
        <w:t>大气环境影响</w:t>
      </w:r>
      <w:r>
        <w:rPr>
          <w:rFonts w:ascii="Times New Roman" w:eastAsia="宋体" w:hAnsi="Times New Roman"/>
          <w:bCs w:val="0"/>
          <w:sz w:val="24"/>
          <w:szCs w:val="24"/>
        </w:rPr>
        <w:t>分析</w:t>
      </w:r>
    </w:p>
    <w:p w:rsidR="00EE4502" w:rsidRDefault="00FD45A3">
      <w:pPr>
        <w:spacing w:line="360" w:lineRule="auto"/>
        <w:ind w:firstLine="482"/>
        <w:rPr>
          <w:sz w:val="24"/>
        </w:rPr>
      </w:pPr>
      <w:r>
        <w:rPr>
          <w:rFonts w:hint="eastAsia"/>
          <w:sz w:val="24"/>
        </w:rPr>
        <w:t>（</w:t>
      </w:r>
      <w:r>
        <w:rPr>
          <w:rFonts w:hint="eastAsia"/>
          <w:sz w:val="24"/>
        </w:rPr>
        <w:t>1</w:t>
      </w:r>
      <w:r>
        <w:rPr>
          <w:rFonts w:hint="eastAsia"/>
          <w:sz w:val="24"/>
        </w:rPr>
        <w:t>）污染源参数</w:t>
      </w:r>
    </w:p>
    <w:p w:rsidR="00EE4502" w:rsidRDefault="00FD45A3">
      <w:pPr>
        <w:spacing w:line="360" w:lineRule="auto"/>
        <w:ind w:firstLineChars="200" w:firstLine="480"/>
        <w:rPr>
          <w:sz w:val="24"/>
          <w:lang w:bidi="ar"/>
        </w:rPr>
      </w:pPr>
      <w:r>
        <w:rPr>
          <w:rFonts w:hint="eastAsia"/>
          <w:sz w:val="24"/>
        </w:rPr>
        <w:t>运营期本工程大气污染物主要为井场、站场、集输过程中的烃类无组织挥发。</w:t>
      </w:r>
      <w:r>
        <w:rPr>
          <w:rFonts w:hint="eastAsia"/>
          <w:sz w:val="24"/>
          <w:lang w:bidi="ar"/>
        </w:rPr>
        <w:t>本次评价选取代表性井场和增压站（点）无组织废气进行预测分析。本工程采油井场布置形式相同，无组织挥发面源源强相同，各井场土地利用类型主要为其他草地和林地，因此本次预测选取</w:t>
      </w:r>
      <w:bookmarkStart w:id="220" w:name="OLE_LINK2"/>
      <w:r>
        <w:rPr>
          <w:rFonts w:hint="eastAsia"/>
          <w:sz w:val="24"/>
          <w:lang w:bidi="ar"/>
        </w:rPr>
        <w:t>排</w:t>
      </w:r>
      <w:r>
        <w:rPr>
          <w:rFonts w:hint="eastAsia"/>
          <w:sz w:val="24"/>
          <w:lang w:bidi="ar"/>
        </w:rPr>
        <w:t>61-</w:t>
      </w:r>
      <w:r>
        <w:rPr>
          <w:rFonts w:hint="eastAsia"/>
          <w:sz w:val="24"/>
          <w:lang w:bidi="ar"/>
        </w:rPr>
        <w:t>平</w:t>
      </w:r>
      <w:r>
        <w:rPr>
          <w:rFonts w:hint="eastAsia"/>
          <w:sz w:val="24"/>
          <w:lang w:bidi="ar"/>
        </w:rPr>
        <w:t>17</w:t>
      </w:r>
      <w:bookmarkEnd w:id="220"/>
      <w:r>
        <w:rPr>
          <w:rFonts w:hint="eastAsia"/>
          <w:sz w:val="24"/>
          <w:lang w:bidi="ar"/>
        </w:rPr>
        <w:t>井场（其他草地）和排</w:t>
      </w:r>
      <w:r>
        <w:rPr>
          <w:rFonts w:hint="eastAsia"/>
          <w:sz w:val="24"/>
          <w:lang w:bidi="ar"/>
        </w:rPr>
        <w:t>61</w:t>
      </w:r>
      <w:r>
        <w:rPr>
          <w:rFonts w:hint="eastAsia"/>
          <w:sz w:val="24"/>
          <w:lang w:bidi="ar"/>
        </w:rPr>
        <w:t>平</w:t>
      </w:r>
      <w:r>
        <w:rPr>
          <w:rFonts w:hint="eastAsia"/>
          <w:sz w:val="24"/>
          <w:lang w:bidi="ar"/>
        </w:rPr>
        <w:t>11</w:t>
      </w:r>
      <w:r>
        <w:rPr>
          <w:rFonts w:hint="eastAsia"/>
          <w:sz w:val="24"/>
          <w:lang w:bidi="ar"/>
        </w:rPr>
        <w:t>井场（林地）进行分析。</w:t>
      </w:r>
    </w:p>
    <w:p w:rsidR="00EE4502" w:rsidRDefault="00FD45A3">
      <w:pPr>
        <w:spacing w:line="360" w:lineRule="auto"/>
        <w:ind w:firstLineChars="200" w:firstLine="480"/>
        <w:rPr>
          <w:sz w:val="24"/>
        </w:rPr>
      </w:pPr>
      <w:r>
        <w:rPr>
          <w:rFonts w:hint="eastAsia"/>
          <w:sz w:val="24"/>
        </w:rPr>
        <w:t>根据《环境影响评价技术导则</w:t>
      </w:r>
      <w:r>
        <w:rPr>
          <w:rFonts w:hint="eastAsia"/>
          <w:sz w:val="24"/>
        </w:rPr>
        <w:t xml:space="preserve"> </w:t>
      </w:r>
      <w:r>
        <w:rPr>
          <w:rFonts w:hint="eastAsia"/>
          <w:sz w:val="24"/>
        </w:rPr>
        <w:t>大气环境》（</w:t>
      </w:r>
      <w:r>
        <w:rPr>
          <w:rFonts w:hint="eastAsia"/>
          <w:sz w:val="24"/>
        </w:rPr>
        <w:t>HJ2.2-2018</w:t>
      </w:r>
      <w:r>
        <w:rPr>
          <w:rFonts w:hint="eastAsia"/>
          <w:sz w:val="24"/>
        </w:rPr>
        <w:t>）中的规定，采用附录</w:t>
      </w:r>
      <w:r>
        <w:rPr>
          <w:rFonts w:hint="eastAsia"/>
          <w:sz w:val="24"/>
        </w:rPr>
        <w:t>A</w:t>
      </w:r>
      <w:r>
        <w:rPr>
          <w:rFonts w:hint="eastAsia"/>
          <w:sz w:val="24"/>
        </w:rPr>
        <w:t>推荐模型中估算模型，选取非甲烷总烃利用导则推荐模式分别计算最大地面浓度占标率。估算模型参数见表</w:t>
      </w:r>
      <w:r>
        <w:rPr>
          <w:rFonts w:hint="eastAsia"/>
          <w:sz w:val="24"/>
        </w:rPr>
        <w:t>5-5-</w:t>
      </w:r>
      <w:r>
        <w:rPr>
          <w:rFonts w:hint="eastAsia"/>
          <w:sz w:val="24"/>
        </w:rPr>
        <w:t>4</w:t>
      </w:r>
      <w:r>
        <w:rPr>
          <w:rFonts w:hint="eastAsia"/>
          <w:sz w:val="24"/>
        </w:rPr>
        <w:t>，污染物排放参数见表</w:t>
      </w:r>
      <w:r>
        <w:rPr>
          <w:rFonts w:hint="eastAsia"/>
          <w:sz w:val="24"/>
        </w:rPr>
        <w:t>5-5-</w:t>
      </w:r>
      <w:r>
        <w:rPr>
          <w:rFonts w:hint="eastAsia"/>
          <w:sz w:val="24"/>
        </w:rPr>
        <w:t>5</w:t>
      </w:r>
      <w:r>
        <w:rPr>
          <w:rFonts w:hint="eastAsia"/>
          <w:sz w:val="24"/>
        </w:rPr>
        <w:t>。</w:t>
      </w:r>
    </w:p>
    <w:p w:rsidR="00EE4502" w:rsidRDefault="00FD45A3">
      <w:pPr>
        <w:jc w:val="center"/>
        <w:rPr>
          <w:rFonts w:eastAsia="黑体"/>
        </w:rPr>
      </w:pPr>
      <w:bookmarkStart w:id="221" w:name="OLE_LINK200"/>
      <w:r>
        <w:rPr>
          <w:rFonts w:eastAsia="黑体"/>
        </w:rPr>
        <w:t>表</w:t>
      </w:r>
      <w:r>
        <w:rPr>
          <w:rFonts w:eastAsia="黑体" w:hint="eastAsia"/>
        </w:rPr>
        <w:t>5-5-</w:t>
      </w:r>
      <w:r>
        <w:rPr>
          <w:rFonts w:eastAsia="黑体" w:hint="eastAsia"/>
        </w:rPr>
        <w:t>4</w:t>
      </w:r>
      <w:r>
        <w:rPr>
          <w:rFonts w:eastAsia="黑体"/>
        </w:rPr>
        <w:t xml:space="preserve">    </w:t>
      </w:r>
      <w:r>
        <w:rPr>
          <w:rFonts w:eastAsia="黑体"/>
        </w:rPr>
        <w:t>估算模型参数表</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906"/>
        <w:gridCol w:w="3196"/>
        <w:gridCol w:w="2198"/>
      </w:tblGrid>
      <w:tr w:rsidR="00EE4502">
        <w:trPr>
          <w:jc w:val="center"/>
        </w:trPr>
        <w:tc>
          <w:tcPr>
            <w:tcW w:w="6102" w:type="dxa"/>
            <w:gridSpan w:val="2"/>
            <w:vAlign w:val="center"/>
          </w:tcPr>
          <w:p w:rsidR="00EE4502" w:rsidRDefault="00FD45A3">
            <w:pPr>
              <w:jc w:val="center"/>
              <w:rPr>
                <w:szCs w:val="18"/>
              </w:rPr>
            </w:pPr>
            <w:r>
              <w:rPr>
                <w:szCs w:val="18"/>
              </w:rPr>
              <w:t>参数</w:t>
            </w:r>
          </w:p>
        </w:tc>
        <w:tc>
          <w:tcPr>
            <w:tcW w:w="2198" w:type="dxa"/>
            <w:vAlign w:val="center"/>
          </w:tcPr>
          <w:p w:rsidR="00EE4502" w:rsidRDefault="00FD45A3">
            <w:pPr>
              <w:jc w:val="center"/>
              <w:rPr>
                <w:szCs w:val="18"/>
              </w:rPr>
            </w:pPr>
            <w:r>
              <w:rPr>
                <w:szCs w:val="18"/>
              </w:rPr>
              <w:t>取值</w:t>
            </w:r>
          </w:p>
        </w:tc>
      </w:tr>
      <w:tr w:rsidR="00EE4502">
        <w:trPr>
          <w:jc w:val="center"/>
        </w:trPr>
        <w:tc>
          <w:tcPr>
            <w:tcW w:w="2906" w:type="dxa"/>
            <w:vMerge w:val="restart"/>
            <w:vAlign w:val="center"/>
          </w:tcPr>
          <w:p w:rsidR="00EE4502" w:rsidRDefault="00FD45A3">
            <w:pPr>
              <w:jc w:val="center"/>
              <w:rPr>
                <w:szCs w:val="18"/>
              </w:rPr>
            </w:pPr>
            <w:r>
              <w:rPr>
                <w:szCs w:val="18"/>
              </w:rPr>
              <w:t>城市</w:t>
            </w:r>
            <w:r>
              <w:rPr>
                <w:szCs w:val="18"/>
              </w:rPr>
              <w:t>/</w:t>
            </w:r>
            <w:r>
              <w:rPr>
                <w:szCs w:val="18"/>
              </w:rPr>
              <w:t>农村选项</w:t>
            </w:r>
          </w:p>
        </w:tc>
        <w:tc>
          <w:tcPr>
            <w:tcW w:w="3196" w:type="dxa"/>
            <w:vAlign w:val="center"/>
          </w:tcPr>
          <w:p w:rsidR="00EE4502" w:rsidRDefault="00FD45A3">
            <w:pPr>
              <w:jc w:val="center"/>
              <w:rPr>
                <w:szCs w:val="18"/>
              </w:rPr>
            </w:pPr>
            <w:r>
              <w:rPr>
                <w:szCs w:val="18"/>
              </w:rPr>
              <w:t>城市</w:t>
            </w:r>
            <w:r>
              <w:rPr>
                <w:szCs w:val="18"/>
              </w:rPr>
              <w:t>/</w:t>
            </w:r>
            <w:r>
              <w:rPr>
                <w:szCs w:val="18"/>
              </w:rPr>
              <w:t>农村</w:t>
            </w:r>
          </w:p>
        </w:tc>
        <w:tc>
          <w:tcPr>
            <w:tcW w:w="2198" w:type="dxa"/>
            <w:vAlign w:val="center"/>
          </w:tcPr>
          <w:p w:rsidR="00EE4502" w:rsidRDefault="00FD45A3">
            <w:pPr>
              <w:jc w:val="center"/>
              <w:rPr>
                <w:szCs w:val="18"/>
              </w:rPr>
            </w:pPr>
            <w:r>
              <w:rPr>
                <w:szCs w:val="18"/>
              </w:rPr>
              <w:t>农村</w:t>
            </w:r>
          </w:p>
        </w:tc>
      </w:tr>
      <w:tr w:rsidR="00EE4502">
        <w:trPr>
          <w:jc w:val="center"/>
        </w:trPr>
        <w:tc>
          <w:tcPr>
            <w:tcW w:w="2906" w:type="dxa"/>
            <w:vMerge/>
            <w:vAlign w:val="center"/>
          </w:tcPr>
          <w:p w:rsidR="00EE4502" w:rsidRDefault="00EE4502">
            <w:pPr>
              <w:jc w:val="center"/>
              <w:rPr>
                <w:szCs w:val="18"/>
              </w:rPr>
            </w:pPr>
          </w:p>
        </w:tc>
        <w:tc>
          <w:tcPr>
            <w:tcW w:w="3196" w:type="dxa"/>
            <w:vAlign w:val="center"/>
          </w:tcPr>
          <w:p w:rsidR="00EE4502" w:rsidRDefault="00FD45A3">
            <w:pPr>
              <w:jc w:val="center"/>
              <w:rPr>
                <w:szCs w:val="18"/>
              </w:rPr>
            </w:pPr>
            <w:r>
              <w:rPr>
                <w:szCs w:val="18"/>
              </w:rPr>
              <w:t>人口数（城市人口数）</w:t>
            </w:r>
          </w:p>
        </w:tc>
        <w:tc>
          <w:tcPr>
            <w:tcW w:w="2198" w:type="dxa"/>
            <w:vAlign w:val="center"/>
          </w:tcPr>
          <w:p w:rsidR="00EE4502" w:rsidRDefault="00FD45A3">
            <w:pPr>
              <w:jc w:val="center"/>
              <w:rPr>
                <w:szCs w:val="18"/>
              </w:rPr>
            </w:pPr>
            <w:r>
              <w:rPr>
                <w:szCs w:val="18"/>
              </w:rPr>
              <w:t>/</w:t>
            </w:r>
          </w:p>
        </w:tc>
      </w:tr>
      <w:tr w:rsidR="00EE4502">
        <w:trPr>
          <w:jc w:val="center"/>
        </w:trPr>
        <w:tc>
          <w:tcPr>
            <w:tcW w:w="6102" w:type="dxa"/>
            <w:gridSpan w:val="2"/>
            <w:vAlign w:val="center"/>
          </w:tcPr>
          <w:p w:rsidR="00EE4502" w:rsidRDefault="00FD45A3">
            <w:pPr>
              <w:jc w:val="center"/>
              <w:rPr>
                <w:szCs w:val="18"/>
              </w:rPr>
            </w:pPr>
            <w:r>
              <w:rPr>
                <w:szCs w:val="18"/>
              </w:rPr>
              <w:t>最高环境温度（</w:t>
            </w:r>
            <w:r>
              <w:rPr>
                <w:szCs w:val="18"/>
              </w:rPr>
              <w:t>°C</w:t>
            </w:r>
            <w:r>
              <w:rPr>
                <w:szCs w:val="18"/>
              </w:rPr>
              <w:t>）</w:t>
            </w:r>
          </w:p>
        </w:tc>
        <w:tc>
          <w:tcPr>
            <w:tcW w:w="2198" w:type="dxa"/>
            <w:vAlign w:val="center"/>
          </w:tcPr>
          <w:p w:rsidR="00EE4502" w:rsidRDefault="00FD45A3">
            <w:pPr>
              <w:jc w:val="center"/>
              <w:rPr>
                <w:szCs w:val="18"/>
              </w:rPr>
            </w:pPr>
            <w:r>
              <w:rPr>
                <w:rFonts w:hint="eastAsia"/>
                <w:szCs w:val="18"/>
              </w:rPr>
              <w:t>43.8</w:t>
            </w:r>
          </w:p>
        </w:tc>
      </w:tr>
      <w:tr w:rsidR="00EE4502">
        <w:trPr>
          <w:jc w:val="center"/>
        </w:trPr>
        <w:tc>
          <w:tcPr>
            <w:tcW w:w="6102" w:type="dxa"/>
            <w:gridSpan w:val="2"/>
            <w:vAlign w:val="center"/>
          </w:tcPr>
          <w:p w:rsidR="00EE4502" w:rsidRDefault="00FD45A3">
            <w:pPr>
              <w:jc w:val="center"/>
              <w:rPr>
                <w:szCs w:val="18"/>
              </w:rPr>
            </w:pPr>
            <w:r>
              <w:rPr>
                <w:szCs w:val="18"/>
              </w:rPr>
              <w:t>最低环境温度（</w:t>
            </w:r>
            <w:r>
              <w:rPr>
                <w:szCs w:val="18"/>
              </w:rPr>
              <w:t>°C</w:t>
            </w:r>
            <w:r>
              <w:rPr>
                <w:szCs w:val="18"/>
              </w:rPr>
              <w:t>）</w:t>
            </w:r>
          </w:p>
        </w:tc>
        <w:tc>
          <w:tcPr>
            <w:tcW w:w="2198" w:type="dxa"/>
            <w:vAlign w:val="center"/>
          </w:tcPr>
          <w:p w:rsidR="00EE4502" w:rsidRDefault="00FD45A3">
            <w:pPr>
              <w:jc w:val="center"/>
              <w:rPr>
                <w:szCs w:val="18"/>
              </w:rPr>
            </w:pPr>
            <w:r>
              <w:rPr>
                <w:szCs w:val="18"/>
              </w:rPr>
              <w:t>-</w:t>
            </w:r>
            <w:r>
              <w:rPr>
                <w:rFonts w:hint="eastAsia"/>
                <w:szCs w:val="18"/>
              </w:rPr>
              <w:t>40.2</w:t>
            </w:r>
          </w:p>
        </w:tc>
      </w:tr>
      <w:tr w:rsidR="00EE4502">
        <w:trPr>
          <w:jc w:val="center"/>
        </w:trPr>
        <w:tc>
          <w:tcPr>
            <w:tcW w:w="6102" w:type="dxa"/>
            <w:gridSpan w:val="2"/>
            <w:vAlign w:val="center"/>
          </w:tcPr>
          <w:p w:rsidR="00EE4502" w:rsidRDefault="00FD45A3">
            <w:pPr>
              <w:jc w:val="center"/>
              <w:rPr>
                <w:szCs w:val="18"/>
              </w:rPr>
            </w:pPr>
            <w:r>
              <w:rPr>
                <w:szCs w:val="18"/>
              </w:rPr>
              <w:t>土地利用类型</w:t>
            </w:r>
          </w:p>
        </w:tc>
        <w:tc>
          <w:tcPr>
            <w:tcW w:w="2198" w:type="dxa"/>
            <w:vAlign w:val="center"/>
          </w:tcPr>
          <w:p w:rsidR="00EE4502" w:rsidRDefault="00FD45A3">
            <w:pPr>
              <w:jc w:val="center"/>
              <w:rPr>
                <w:szCs w:val="18"/>
              </w:rPr>
            </w:pPr>
            <w:r>
              <w:rPr>
                <w:szCs w:val="18"/>
              </w:rPr>
              <w:t>草地</w:t>
            </w:r>
            <w:r>
              <w:rPr>
                <w:szCs w:val="18"/>
              </w:rPr>
              <w:t>/</w:t>
            </w:r>
            <w:r>
              <w:rPr>
                <w:szCs w:val="18"/>
              </w:rPr>
              <w:t>林地</w:t>
            </w:r>
          </w:p>
        </w:tc>
      </w:tr>
      <w:tr w:rsidR="00EE4502">
        <w:trPr>
          <w:jc w:val="center"/>
        </w:trPr>
        <w:tc>
          <w:tcPr>
            <w:tcW w:w="6102" w:type="dxa"/>
            <w:gridSpan w:val="2"/>
            <w:vAlign w:val="center"/>
          </w:tcPr>
          <w:p w:rsidR="00EE4502" w:rsidRDefault="00FD45A3">
            <w:pPr>
              <w:jc w:val="center"/>
              <w:rPr>
                <w:szCs w:val="18"/>
              </w:rPr>
            </w:pPr>
            <w:r>
              <w:rPr>
                <w:szCs w:val="18"/>
              </w:rPr>
              <w:t>区域湿度条件</w:t>
            </w:r>
          </w:p>
        </w:tc>
        <w:tc>
          <w:tcPr>
            <w:tcW w:w="2198" w:type="dxa"/>
            <w:vAlign w:val="center"/>
          </w:tcPr>
          <w:p w:rsidR="00EE4502" w:rsidRDefault="00FD45A3">
            <w:pPr>
              <w:jc w:val="center"/>
              <w:rPr>
                <w:szCs w:val="18"/>
              </w:rPr>
            </w:pPr>
            <w:r>
              <w:rPr>
                <w:szCs w:val="18"/>
              </w:rPr>
              <w:t>干燥</w:t>
            </w:r>
          </w:p>
        </w:tc>
      </w:tr>
      <w:tr w:rsidR="00EE4502">
        <w:trPr>
          <w:jc w:val="center"/>
        </w:trPr>
        <w:tc>
          <w:tcPr>
            <w:tcW w:w="2906" w:type="dxa"/>
            <w:vMerge w:val="restart"/>
            <w:vAlign w:val="center"/>
          </w:tcPr>
          <w:p w:rsidR="00EE4502" w:rsidRDefault="00FD45A3">
            <w:pPr>
              <w:jc w:val="center"/>
              <w:rPr>
                <w:szCs w:val="18"/>
              </w:rPr>
            </w:pPr>
            <w:r>
              <w:rPr>
                <w:szCs w:val="18"/>
              </w:rPr>
              <w:t>是否考虑地形</w:t>
            </w:r>
          </w:p>
        </w:tc>
        <w:tc>
          <w:tcPr>
            <w:tcW w:w="3196" w:type="dxa"/>
            <w:vAlign w:val="center"/>
          </w:tcPr>
          <w:p w:rsidR="00EE4502" w:rsidRDefault="00FD45A3">
            <w:pPr>
              <w:jc w:val="center"/>
              <w:rPr>
                <w:szCs w:val="18"/>
              </w:rPr>
            </w:pPr>
            <w:r>
              <w:rPr>
                <w:szCs w:val="18"/>
              </w:rPr>
              <w:t>考虑地形</w:t>
            </w:r>
          </w:p>
        </w:tc>
        <w:tc>
          <w:tcPr>
            <w:tcW w:w="2198" w:type="dxa"/>
            <w:vAlign w:val="center"/>
          </w:tcPr>
          <w:p w:rsidR="00EE4502" w:rsidRDefault="00FD45A3">
            <w:pPr>
              <w:jc w:val="center"/>
              <w:rPr>
                <w:szCs w:val="18"/>
              </w:rPr>
            </w:pPr>
            <w:r>
              <w:rPr>
                <w:szCs w:val="18"/>
              </w:rPr>
              <w:t>是</w:t>
            </w:r>
          </w:p>
        </w:tc>
      </w:tr>
      <w:tr w:rsidR="00EE4502">
        <w:trPr>
          <w:jc w:val="center"/>
        </w:trPr>
        <w:tc>
          <w:tcPr>
            <w:tcW w:w="2906" w:type="dxa"/>
            <w:vMerge/>
            <w:vAlign w:val="center"/>
          </w:tcPr>
          <w:p w:rsidR="00EE4502" w:rsidRDefault="00EE4502">
            <w:pPr>
              <w:jc w:val="center"/>
              <w:rPr>
                <w:szCs w:val="18"/>
              </w:rPr>
            </w:pPr>
          </w:p>
        </w:tc>
        <w:tc>
          <w:tcPr>
            <w:tcW w:w="3196" w:type="dxa"/>
            <w:vAlign w:val="center"/>
          </w:tcPr>
          <w:p w:rsidR="00EE4502" w:rsidRDefault="00FD45A3">
            <w:pPr>
              <w:jc w:val="center"/>
              <w:rPr>
                <w:szCs w:val="18"/>
              </w:rPr>
            </w:pPr>
            <w:r>
              <w:rPr>
                <w:szCs w:val="18"/>
              </w:rPr>
              <w:t>地形数据分辨率（</w:t>
            </w:r>
            <w:r>
              <w:rPr>
                <w:szCs w:val="18"/>
              </w:rPr>
              <w:t>m</w:t>
            </w:r>
            <w:r>
              <w:rPr>
                <w:szCs w:val="18"/>
              </w:rPr>
              <w:t>）</w:t>
            </w:r>
          </w:p>
        </w:tc>
        <w:tc>
          <w:tcPr>
            <w:tcW w:w="2198" w:type="dxa"/>
            <w:vAlign w:val="center"/>
          </w:tcPr>
          <w:p w:rsidR="00EE4502" w:rsidRDefault="00FD45A3">
            <w:pPr>
              <w:jc w:val="center"/>
              <w:rPr>
                <w:szCs w:val="18"/>
              </w:rPr>
            </w:pPr>
            <w:r>
              <w:rPr>
                <w:szCs w:val="18"/>
              </w:rPr>
              <w:t>90</w:t>
            </w:r>
          </w:p>
        </w:tc>
      </w:tr>
      <w:tr w:rsidR="00EE4502">
        <w:trPr>
          <w:jc w:val="center"/>
        </w:trPr>
        <w:tc>
          <w:tcPr>
            <w:tcW w:w="2906" w:type="dxa"/>
            <w:vMerge w:val="restart"/>
            <w:vAlign w:val="center"/>
          </w:tcPr>
          <w:p w:rsidR="00EE4502" w:rsidRDefault="00FD45A3">
            <w:pPr>
              <w:jc w:val="center"/>
              <w:rPr>
                <w:szCs w:val="18"/>
              </w:rPr>
            </w:pPr>
            <w:r>
              <w:rPr>
                <w:szCs w:val="18"/>
              </w:rPr>
              <w:t>是否考虑海岸线熏烟</w:t>
            </w:r>
          </w:p>
        </w:tc>
        <w:tc>
          <w:tcPr>
            <w:tcW w:w="3196" w:type="dxa"/>
            <w:vAlign w:val="center"/>
          </w:tcPr>
          <w:p w:rsidR="00EE4502" w:rsidRDefault="00FD45A3">
            <w:pPr>
              <w:jc w:val="center"/>
              <w:rPr>
                <w:szCs w:val="18"/>
              </w:rPr>
            </w:pPr>
            <w:r>
              <w:rPr>
                <w:szCs w:val="18"/>
              </w:rPr>
              <w:t>考虑海岸线熏烟</w:t>
            </w:r>
          </w:p>
        </w:tc>
        <w:tc>
          <w:tcPr>
            <w:tcW w:w="2198" w:type="dxa"/>
            <w:vAlign w:val="center"/>
          </w:tcPr>
          <w:p w:rsidR="00EE4502" w:rsidRDefault="00FD45A3">
            <w:pPr>
              <w:jc w:val="center"/>
              <w:rPr>
                <w:szCs w:val="18"/>
              </w:rPr>
            </w:pPr>
            <w:r>
              <w:rPr>
                <w:szCs w:val="18"/>
              </w:rPr>
              <w:t>否</w:t>
            </w:r>
          </w:p>
        </w:tc>
      </w:tr>
      <w:tr w:rsidR="00EE4502">
        <w:trPr>
          <w:trHeight w:val="282"/>
          <w:jc w:val="center"/>
        </w:trPr>
        <w:tc>
          <w:tcPr>
            <w:tcW w:w="2906" w:type="dxa"/>
            <w:vMerge/>
            <w:vAlign w:val="center"/>
          </w:tcPr>
          <w:p w:rsidR="00EE4502" w:rsidRDefault="00EE4502">
            <w:pPr>
              <w:jc w:val="center"/>
              <w:rPr>
                <w:szCs w:val="18"/>
              </w:rPr>
            </w:pPr>
          </w:p>
        </w:tc>
        <w:tc>
          <w:tcPr>
            <w:tcW w:w="3196" w:type="dxa"/>
            <w:vAlign w:val="center"/>
          </w:tcPr>
          <w:p w:rsidR="00EE4502" w:rsidRDefault="00FD45A3">
            <w:pPr>
              <w:jc w:val="center"/>
              <w:rPr>
                <w:szCs w:val="18"/>
              </w:rPr>
            </w:pPr>
            <w:r>
              <w:rPr>
                <w:szCs w:val="18"/>
              </w:rPr>
              <w:t>海岸线距离（</w:t>
            </w:r>
            <w:r>
              <w:rPr>
                <w:szCs w:val="18"/>
              </w:rPr>
              <w:t>km</w:t>
            </w:r>
            <w:r>
              <w:rPr>
                <w:szCs w:val="18"/>
              </w:rPr>
              <w:t>）</w:t>
            </w:r>
          </w:p>
        </w:tc>
        <w:tc>
          <w:tcPr>
            <w:tcW w:w="2198" w:type="dxa"/>
            <w:vAlign w:val="center"/>
          </w:tcPr>
          <w:p w:rsidR="00EE4502" w:rsidRDefault="00FD45A3">
            <w:pPr>
              <w:jc w:val="center"/>
              <w:rPr>
                <w:szCs w:val="18"/>
              </w:rPr>
            </w:pPr>
            <w:r>
              <w:rPr>
                <w:szCs w:val="18"/>
              </w:rPr>
              <w:t>/</w:t>
            </w:r>
          </w:p>
        </w:tc>
      </w:tr>
      <w:tr w:rsidR="00EE4502">
        <w:trPr>
          <w:jc w:val="center"/>
        </w:trPr>
        <w:tc>
          <w:tcPr>
            <w:tcW w:w="2906" w:type="dxa"/>
            <w:vMerge/>
            <w:vAlign w:val="center"/>
          </w:tcPr>
          <w:p w:rsidR="00EE4502" w:rsidRDefault="00EE4502">
            <w:pPr>
              <w:jc w:val="center"/>
              <w:rPr>
                <w:szCs w:val="18"/>
              </w:rPr>
            </w:pPr>
          </w:p>
        </w:tc>
        <w:tc>
          <w:tcPr>
            <w:tcW w:w="3196" w:type="dxa"/>
            <w:vAlign w:val="center"/>
          </w:tcPr>
          <w:p w:rsidR="00EE4502" w:rsidRDefault="00FD45A3">
            <w:pPr>
              <w:jc w:val="center"/>
              <w:rPr>
                <w:szCs w:val="18"/>
              </w:rPr>
            </w:pPr>
            <w:r>
              <w:rPr>
                <w:szCs w:val="18"/>
              </w:rPr>
              <w:t>海岸线方向（</w:t>
            </w:r>
            <w:r>
              <w:rPr>
                <w:szCs w:val="18"/>
                <w:vertAlign w:val="superscript"/>
              </w:rPr>
              <w:t>o</w:t>
            </w:r>
            <w:r>
              <w:rPr>
                <w:szCs w:val="18"/>
              </w:rPr>
              <w:t>）</w:t>
            </w:r>
          </w:p>
        </w:tc>
        <w:tc>
          <w:tcPr>
            <w:tcW w:w="2198" w:type="dxa"/>
            <w:vAlign w:val="center"/>
          </w:tcPr>
          <w:p w:rsidR="00EE4502" w:rsidRDefault="00FD45A3">
            <w:pPr>
              <w:jc w:val="center"/>
              <w:rPr>
                <w:szCs w:val="18"/>
              </w:rPr>
            </w:pPr>
            <w:r>
              <w:rPr>
                <w:szCs w:val="18"/>
              </w:rPr>
              <w:t>/</w:t>
            </w:r>
          </w:p>
        </w:tc>
      </w:tr>
      <w:bookmarkEnd w:id="221"/>
    </w:tbl>
    <w:p w:rsidR="00EE4502" w:rsidRDefault="00EE4502">
      <w:pPr>
        <w:jc w:val="center"/>
        <w:rPr>
          <w:rFonts w:eastAsia="黑体"/>
        </w:rPr>
      </w:pPr>
    </w:p>
    <w:p w:rsidR="00EE4502" w:rsidRDefault="00FD45A3">
      <w:pPr>
        <w:jc w:val="center"/>
        <w:rPr>
          <w:rFonts w:eastAsia="黑体"/>
        </w:rPr>
      </w:pPr>
      <w:r>
        <w:rPr>
          <w:rFonts w:eastAsia="黑体"/>
        </w:rPr>
        <w:t>表</w:t>
      </w:r>
      <w:r>
        <w:rPr>
          <w:rFonts w:eastAsia="黑体" w:hint="eastAsia"/>
        </w:rPr>
        <w:t>5-5-</w:t>
      </w:r>
      <w:r>
        <w:rPr>
          <w:rFonts w:eastAsia="黑体" w:hint="eastAsia"/>
        </w:rPr>
        <w:t>5</w:t>
      </w:r>
      <w:r>
        <w:rPr>
          <w:rFonts w:eastAsia="黑体"/>
        </w:rPr>
        <w:t xml:space="preserve">            </w:t>
      </w:r>
      <w:r>
        <w:rPr>
          <w:rFonts w:eastAsia="黑体"/>
        </w:rPr>
        <w:t>运营期</w:t>
      </w:r>
      <w:r>
        <w:rPr>
          <w:rFonts w:eastAsia="黑体" w:hint="eastAsia"/>
        </w:rPr>
        <w:t>无组织</w:t>
      </w:r>
      <w:r>
        <w:rPr>
          <w:rFonts w:eastAsia="黑体"/>
        </w:rPr>
        <w:t>大气污染物排放参数一览表</w:t>
      </w:r>
    </w:p>
    <w:p w:rsidR="00EE4502" w:rsidRDefault="00EE4502">
      <w:pPr>
        <w:spacing w:line="360" w:lineRule="auto"/>
        <w:rPr>
          <w:sz w:val="24"/>
        </w:rPr>
      </w:pPr>
    </w:p>
    <w:p w:rsidR="00EE4502" w:rsidRDefault="00FD45A3">
      <w:pPr>
        <w:spacing w:line="360" w:lineRule="auto"/>
        <w:ind w:firstLineChars="200" w:firstLine="480"/>
        <w:rPr>
          <w:sz w:val="24"/>
        </w:rPr>
      </w:pPr>
      <w:r>
        <w:rPr>
          <w:rFonts w:hint="eastAsia"/>
          <w:sz w:val="24"/>
        </w:rPr>
        <w:t>（</w:t>
      </w:r>
      <w:r>
        <w:rPr>
          <w:rFonts w:hint="eastAsia"/>
          <w:sz w:val="24"/>
        </w:rPr>
        <w:t>2</w:t>
      </w:r>
      <w:r>
        <w:rPr>
          <w:rFonts w:hint="eastAsia"/>
          <w:sz w:val="24"/>
        </w:rPr>
        <w:t>）预测结果</w:t>
      </w:r>
    </w:p>
    <w:p w:rsidR="00EE4502" w:rsidRDefault="00FD45A3">
      <w:pPr>
        <w:spacing w:line="360" w:lineRule="auto"/>
        <w:ind w:firstLineChars="200" w:firstLine="480"/>
        <w:rPr>
          <w:sz w:val="24"/>
        </w:rPr>
      </w:pPr>
      <w:r>
        <w:rPr>
          <w:rFonts w:hint="eastAsia"/>
          <w:sz w:val="24"/>
        </w:rPr>
        <w:t>本项目代表性井场和站场估算结果见表</w:t>
      </w:r>
      <w:r>
        <w:rPr>
          <w:rFonts w:hint="eastAsia"/>
          <w:sz w:val="24"/>
        </w:rPr>
        <w:t>5-5-</w:t>
      </w:r>
      <w:r>
        <w:rPr>
          <w:rFonts w:hint="eastAsia"/>
          <w:sz w:val="24"/>
        </w:rPr>
        <w:t>6</w:t>
      </w:r>
      <w:r>
        <w:rPr>
          <w:rFonts w:hint="eastAsia"/>
          <w:sz w:val="24"/>
        </w:rPr>
        <w:t>。</w:t>
      </w:r>
    </w:p>
    <w:p w:rsidR="00EE4502" w:rsidRDefault="00FD45A3">
      <w:pPr>
        <w:widowControl/>
        <w:jc w:val="center"/>
        <w:rPr>
          <w:rFonts w:eastAsia="黑体"/>
          <w:kern w:val="0"/>
        </w:rPr>
      </w:pPr>
      <w:r>
        <w:rPr>
          <w:rFonts w:eastAsia="黑体"/>
          <w:kern w:val="0"/>
        </w:rPr>
        <w:t>表</w:t>
      </w:r>
      <w:r>
        <w:rPr>
          <w:rFonts w:eastAsia="黑体" w:hint="eastAsia"/>
          <w:kern w:val="0"/>
        </w:rPr>
        <w:t>5-5-</w:t>
      </w:r>
      <w:r>
        <w:rPr>
          <w:rFonts w:eastAsia="黑体" w:hint="eastAsia"/>
          <w:kern w:val="0"/>
        </w:rPr>
        <w:t>6</w:t>
      </w:r>
      <w:r>
        <w:rPr>
          <w:rFonts w:eastAsia="黑体"/>
          <w:kern w:val="0"/>
        </w:rPr>
        <w:t xml:space="preserve">        </w:t>
      </w:r>
      <w:r>
        <w:rPr>
          <w:rFonts w:eastAsia="黑体" w:hint="eastAsia"/>
          <w:kern w:val="0"/>
        </w:rPr>
        <w:t>无</w:t>
      </w:r>
      <w:r>
        <w:rPr>
          <w:rFonts w:eastAsia="黑体"/>
          <w:kern w:val="0"/>
        </w:rPr>
        <w:t>组织估算模式预测污染物扩散结果</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944"/>
        <w:gridCol w:w="1543"/>
        <w:gridCol w:w="1004"/>
        <w:gridCol w:w="1004"/>
        <w:gridCol w:w="1003"/>
        <w:gridCol w:w="585"/>
        <w:gridCol w:w="1279"/>
      </w:tblGrid>
      <w:tr w:rsidR="00EE4502">
        <w:trPr>
          <w:trHeight w:val="397"/>
          <w:jc w:val="center"/>
        </w:trPr>
        <w:tc>
          <w:tcPr>
            <w:tcW w:w="1161" w:type="pct"/>
            <w:vAlign w:val="center"/>
          </w:tcPr>
          <w:p w:rsidR="00EE4502" w:rsidRDefault="00FD45A3">
            <w:pPr>
              <w:widowControl/>
              <w:autoSpaceDE w:val="0"/>
              <w:autoSpaceDN w:val="0"/>
              <w:spacing w:line="0" w:lineRule="atLeast"/>
              <w:jc w:val="center"/>
              <w:rPr>
                <w:rFonts w:hAnsi="宋体"/>
                <w:spacing w:val="-10"/>
                <w:kern w:val="0"/>
                <w:szCs w:val="21"/>
              </w:rPr>
            </w:pPr>
            <w:r>
              <w:rPr>
                <w:rFonts w:hAnsi="宋体" w:hint="eastAsia"/>
                <w:spacing w:val="-10"/>
                <w:kern w:val="0"/>
                <w:szCs w:val="21"/>
              </w:rPr>
              <w:t>名</w:t>
            </w:r>
            <w:r>
              <w:rPr>
                <w:rFonts w:hAnsi="宋体" w:hint="eastAsia"/>
                <w:spacing w:val="-10"/>
                <w:kern w:val="0"/>
                <w:szCs w:val="21"/>
              </w:rPr>
              <w:t xml:space="preserve">    </w:t>
            </w:r>
            <w:r>
              <w:rPr>
                <w:rFonts w:hAnsi="宋体" w:hint="eastAsia"/>
                <w:spacing w:val="-10"/>
                <w:kern w:val="0"/>
                <w:szCs w:val="21"/>
              </w:rPr>
              <w:t>称</w:t>
            </w:r>
          </w:p>
        </w:tc>
        <w:tc>
          <w:tcPr>
            <w:tcW w:w="921" w:type="pct"/>
            <w:vAlign w:val="center"/>
          </w:tcPr>
          <w:p w:rsidR="00EE4502" w:rsidRDefault="00FD45A3">
            <w:pPr>
              <w:widowControl/>
              <w:autoSpaceDE w:val="0"/>
              <w:autoSpaceDN w:val="0"/>
              <w:spacing w:line="0" w:lineRule="atLeast"/>
              <w:jc w:val="center"/>
              <w:rPr>
                <w:rFonts w:hAnsi="宋体"/>
                <w:spacing w:val="-10"/>
                <w:kern w:val="0"/>
                <w:szCs w:val="21"/>
              </w:rPr>
            </w:pPr>
            <w:r>
              <w:rPr>
                <w:rFonts w:hAnsi="宋体" w:hint="eastAsia"/>
                <w:spacing w:val="-10"/>
                <w:kern w:val="0"/>
                <w:szCs w:val="21"/>
              </w:rPr>
              <w:t>评价因子</w:t>
            </w:r>
          </w:p>
        </w:tc>
        <w:tc>
          <w:tcPr>
            <w:tcW w:w="600" w:type="pct"/>
            <w:vAlign w:val="center"/>
          </w:tcPr>
          <w:p w:rsidR="00EE4502" w:rsidRDefault="00FD45A3">
            <w:pPr>
              <w:widowControl/>
              <w:autoSpaceDE w:val="0"/>
              <w:autoSpaceDN w:val="0"/>
              <w:spacing w:line="0" w:lineRule="atLeast"/>
              <w:jc w:val="center"/>
              <w:rPr>
                <w:rFonts w:hAnsi="宋体"/>
                <w:spacing w:val="-10"/>
                <w:kern w:val="0"/>
                <w:szCs w:val="21"/>
              </w:rPr>
            </w:pPr>
            <w:r>
              <w:rPr>
                <w:rFonts w:hAnsi="宋体" w:hint="eastAsia"/>
                <w:spacing w:val="-10"/>
                <w:kern w:val="0"/>
                <w:szCs w:val="21"/>
              </w:rPr>
              <w:t>C</w:t>
            </w:r>
            <w:r>
              <w:rPr>
                <w:rFonts w:hAnsi="宋体" w:hint="eastAsia"/>
                <w:spacing w:val="-10"/>
                <w:kern w:val="0"/>
                <w:szCs w:val="21"/>
                <w:vertAlign w:val="subscript"/>
              </w:rPr>
              <w:t>i</w:t>
            </w:r>
          </w:p>
        </w:tc>
        <w:tc>
          <w:tcPr>
            <w:tcW w:w="600" w:type="pct"/>
            <w:vAlign w:val="center"/>
          </w:tcPr>
          <w:p w:rsidR="00EE4502" w:rsidRDefault="00FD45A3">
            <w:pPr>
              <w:widowControl/>
              <w:autoSpaceDE w:val="0"/>
              <w:autoSpaceDN w:val="0"/>
              <w:spacing w:line="0" w:lineRule="atLeast"/>
              <w:jc w:val="center"/>
              <w:rPr>
                <w:rFonts w:hAnsi="宋体"/>
                <w:spacing w:val="-10"/>
                <w:kern w:val="0"/>
                <w:szCs w:val="21"/>
              </w:rPr>
            </w:pPr>
            <w:r>
              <w:rPr>
                <w:rFonts w:hAnsi="宋体" w:hint="eastAsia"/>
                <w:spacing w:val="-10"/>
                <w:kern w:val="0"/>
                <w:szCs w:val="21"/>
              </w:rPr>
              <w:t>评价标准</w:t>
            </w:r>
          </w:p>
        </w:tc>
        <w:tc>
          <w:tcPr>
            <w:tcW w:w="600" w:type="pct"/>
            <w:vAlign w:val="center"/>
          </w:tcPr>
          <w:p w:rsidR="00EE4502" w:rsidRDefault="00FD45A3">
            <w:pPr>
              <w:widowControl/>
              <w:autoSpaceDE w:val="0"/>
              <w:autoSpaceDN w:val="0"/>
              <w:spacing w:line="0" w:lineRule="atLeast"/>
              <w:jc w:val="center"/>
              <w:rPr>
                <w:rFonts w:hAnsi="宋体"/>
                <w:spacing w:val="-10"/>
                <w:kern w:val="0"/>
                <w:szCs w:val="21"/>
              </w:rPr>
            </w:pPr>
            <w:r>
              <w:rPr>
                <w:rFonts w:hAnsi="宋体" w:hint="eastAsia"/>
                <w:spacing w:val="-10"/>
                <w:kern w:val="0"/>
                <w:szCs w:val="21"/>
              </w:rPr>
              <w:t>P</w:t>
            </w:r>
            <w:r>
              <w:rPr>
                <w:rFonts w:hAnsi="宋体" w:hint="eastAsia"/>
                <w:spacing w:val="-10"/>
                <w:kern w:val="0"/>
                <w:szCs w:val="21"/>
                <w:vertAlign w:val="subscript"/>
              </w:rPr>
              <w:t>i</w:t>
            </w:r>
          </w:p>
        </w:tc>
        <w:tc>
          <w:tcPr>
            <w:tcW w:w="350" w:type="pct"/>
            <w:vAlign w:val="center"/>
          </w:tcPr>
          <w:p w:rsidR="00EE4502" w:rsidRDefault="00FD45A3">
            <w:pPr>
              <w:widowControl/>
              <w:autoSpaceDE w:val="0"/>
              <w:autoSpaceDN w:val="0"/>
              <w:spacing w:line="0" w:lineRule="atLeast"/>
              <w:jc w:val="center"/>
              <w:rPr>
                <w:rFonts w:hAnsi="宋体"/>
                <w:spacing w:val="-10"/>
                <w:kern w:val="0"/>
                <w:szCs w:val="21"/>
              </w:rPr>
            </w:pPr>
            <w:r>
              <w:rPr>
                <w:rFonts w:hAnsi="宋体" w:hint="eastAsia"/>
                <w:spacing w:val="-10"/>
                <w:kern w:val="0"/>
                <w:szCs w:val="21"/>
              </w:rPr>
              <w:t>P</w:t>
            </w:r>
            <w:r>
              <w:rPr>
                <w:rFonts w:hAnsi="宋体" w:hint="eastAsia"/>
                <w:spacing w:val="-10"/>
                <w:kern w:val="0"/>
                <w:szCs w:val="21"/>
                <w:vertAlign w:val="subscript"/>
              </w:rPr>
              <w:t>max</w:t>
            </w:r>
          </w:p>
        </w:tc>
        <w:tc>
          <w:tcPr>
            <w:tcW w:w="765" w:type="pct"/>
            <w:vAlign w:val="center"/>
          </w:tcPr>
          <w:p w:rsidR="00EE4502" w:rsidRDefault="00FD45A3">
            <w:pPr>
              <w:widowControl/>
              <w:autoSpaceDE w:val="0"/>
              <w:autoSpaceDN w:val="0"/>
              <w:spacing w:line="0" w:lineRule="atLeast"/>
              <w:jc w:val="center"/>
              <w:rPr>
                <w:rFonts w:hAnsi="宋体"/>
                <w:spacing w:val="-10"/>
                <w:kern w:val="0"/>
                <w:szCs w:val="21"/>
              </w:rPr>
            </w:pPr>
            <w:r>
              <w:rPr>
                <w:rFonts w:hAnsi="宋体" w:hint="eastAsia"/>
                <w:spacing w:val="-10"/>
                <w:kern w:val="0"/>
                <w:szCs w:val="21"/>
              </w:rPr>
              <w:t>最大浓度出现距离</w:t>
            </w:r>
          </w:p>
        </w:tc>
      </w:tr>
      <w:tr w:rsidR="00EE4502">
        <w:trPr>
          <w:trHeight w:val="397"/>
          <w:jc w:val="center"/>
        </w:trPr>
        <w:tc>
          <w:tcPr>
            <w:tcW w:w="1161" w:type="pct"/>
            <w:vAlign w:val="center"/>
          </w:tcPr>
          <w:p w:rsidR="00EE4502" w:rsidRDefault="00FD45A3">
            <w:pPr>
              <w:widowControl/>
              <w:autoSpaceDE w:val="0"/>
              <w:autoSpaceDN w:val="0"/>
              <w:spacing w:line="0" w:lineRule="atLeast"/>
              <w:jc w:val="center"/>
              <w:rPr>
                <w:rFonts w:hAnsi="宋体"/>
                <w:spacing w:val="-10"/>
                <w:kern w:val="0"/>
                <w:szCs w:val="21"/>
              </w:rPr>
            </w:pPr>
            <w:r>
              <w:rPr>
                <w:rFonts w:hAnsi="宋体" w:hint="eastAsia"/>
                <w:spacing w:val="-10"/>
                <w:kern w:val="0"/>
                <w:szCs w:val="21"/>
              </w:rPr>
              <w:lastRenderedPageBreak/>
              <w:t>单</w:t>
            </w:r>
            <w:r>
              <w:rPr>
                <w:rFonts w:hAnsi="宋体" w:hint="eastAsia"/>
                <w:spacing w:val="-10"/>
                <w:kern w:val="0"/>
                <w:szCs w:val="21"/>
              </w:rPr>
              <w:t xml:space="preserve">    </w:t>
            </w:r>
            <w:r>
              <w:rPr>
                <w:rFonts w:hAnsi="宋体" w:hint="eastAsia"/>
                <w:spacing w:val="-10"/>
                <w:kern w:val="0"/>
                <w:szCs w:val="21"/>
              </w:rPr>
              <w:t>位</w:t>
            </w:r>
          </w:p>
        </w:tc>
        <w:tc>
          <w:tcPr>
            <w:tcW w:w="921" w:type="pct"/>
            <w:vAlign w:val="center"/>
          </w:tcPr>
          <w:p w:rsidR="00EE4502" w:rsidRDefault="00FD45A3">
            <w:pPr>
              <w:widowControl/>
              <w:autoSpaceDE w:val="0"/>
              <w:autoSpaceDN w:val="0"/>
              <w:spacing w:line="0" w:lineRule="atLeast"/>
              <w:jc w:val="center"/>
              <w:rPr>
                <w:rFonts w:hAnsi="宋体"/>
                <w:spacing w:val="-10"/>
                <w:kern w:val="0"/>
                <w:szCs w:val="21"/>
              </w:rPr>
            </w:pPr>
            <w:r>
              <w:rPr>
                <w:rFonts w:hAnsi="宋体" w:hint="eastAsia"/>
                <w:spacing w:val="-10"/>
                <w:kern w:val="0"/>
                <w:szCs w:val="21"/>
              </w:rPr>
              <w:t>--</w:t>
            </w:r>
          </w:p>
        </w:tc>
        <w:tc>
          <w:tcPr>
            <w:tcW w:w="600" w:type="pct"/>
            <w:vAlign w:val="center"/>
          </w:tcPr>
          <w:p w:rsidR="00EE4502" w:rsidRDefault="00FD45A3">
            <w:pPr>
              <w:widowControl/>
              <w:autoSpaceDE w:val="0"/>
              <w:autoSpaceDN w:val="0"/>
              <w:spacing w:line="0" w:lineRule="atLeast"/>
              <w:jc w:val="center"/>
              <w:rPr>
                <w:rFonts w:hAnsi="宋体"/>
                <w:spacing w:val="-10"/>
                <w:kern w:val="0"/>
                <w:szCs w:val="21"/>
              </w:rPr>
            </w:pPr>
            <w:r>
              <w:rPr>
                <w:rFonts w:hAnsi="宋体"/>
                <w:spacing w:val="-10"/>
                <w:kern w:val="0"/>
                <w:szCs w:val="21"/>
              </w:rPr>
              <w:t>μ</w:t>
            </w:r>
            <w:r>
              <w:rPr>
                <w:rFonts w:hAnsi="宋体" w:hint="eastAsia"/>
                <w:spacing w:val="-10"/>
                <w:kern w:val="0"/>
                <w:szCs w:val="21"/>
              </w:rPr>
              <w:t>g/m</w:t>
            </w:r>
            <w:r>
              <w:rPr>
                <w:rFonts w:hAnsi="宋体" w:hint="eastAsia"/>
                <w:spacing w:val="-10"/>
                <w:kern w:val="0"/>
                <w:szCs w:val="21"/>
                <w:vertAlign w:val="superscript"/>
              </w:rPr>
              <w:t>3</w:t>
            </w:r>
          </w:p>
        </w:tc>
        <w:tc>
          <w:tcPr>
            <w:tcW w:w="600" w:type="pct"/>
            <w:vAlign w:val="center"/>
          </w:tcPr>
          <w:p w:rsidR="00EE4502" w:rsidRDefault="00FD45A3">
            <w:pPr>
              <w:widowControl/>
              <w:autoSpaceDE w:val="0"/>
              <w:autoSpaceDN w:val="0"/>
              <w:spacing w:line="0" w:lineRule="atLeast"/>
              <w:jc w:val="center"/>
              <w:rPr>
                <w:rFonts w:hAnsi="宋体"/>
                <w:spacing w:val="-10"/>
                <w:kern w:val="0"/>
                <w:szCs w:val="21"/>
              </w:rPr>
            </w:pPr>
            <w:r>
              <w:rPr>
                <w:rFonts w:hAnsi="宋体"/>
                <w:spacing w:val="-10"/>
                <w:kern w:val="0"/>
                <w:szCs w:val="21"/>
              </w:rPr>
              <w:t>μ</w:t>
            </w:r>
            <w:r>
              <w:rPr>
                <w:rFonts w:hAnsi="宋体" w:hint="eastAsia"/>
                <w:spacing w:val="-10"/>
                <w:kern w:val="0"/>
                <w:szCs w:val="21"/>
              </w:rPr>
              <w:t>g/m</w:t>
            </w:r>
            <w:r>
              <w:rPr>
                <w:rFonts w:hAnsi="宋体" w:hint="eastAsia"/>
                <w:spacing w:val="-10"/>
                <w:kern w:val="0"/>
                <w:szCs w:val="21"/>
                <w:vertAlign w:val="superscript"/>
              </w:rPr>
              <w:t>3</w:t>
            </w:r>
          </w:p>
        </w:tc>
        <w:tc>
          <w:tcPr>
            <w:tcW w:w="600" w:type="pct"/>
            <w:vAlign w:val="center"/>
          </w:tcPr>
          <w:p w:rsidR="00EE4502" w:rsidRDefault="00FD45A3">
            <w:pPr>
              <w:widowControl/>
              <w:autoSpaceDE w:val="0"/>
              <w:autoSpaceDN w:val="0"/>
              <w:spacing w:line="0" w:lineRule="atLeast"/>
              <w:jc w:val="center"/>
              <w:rPr>
                <w:rFonts w:hAnsi="宋体"/>
                <w:spacing w:val="-10"/>
                <w:kern w:val="0"/>
                <w:szCs w:val="21"/>
              </w:rPr>
            </w:pPr>
            <w:r>
              <w:rPr>
                <w:rFonts w:hAnsi="宋体" w:hint="eastAsia"/>
                <w:spacing w:val="-10"/>
                <w:kern w:val="0"/>
                <w:szCs w:val="21"/>
              </w:rPr>
              <w:t>%</w:t>
            </w:r>
          </w:p>
        </w:tc>
        <w:tc>
          <w:tcPr>
            <w:tcW w:w="350" w:type="pct"/>
            <w:vAlign w:val="center"/>
          </w:tcPr>
          <w:p w:rsidR="00EE4502" w:rsidRDefault="00FD45A3">
            <w:pPr>
              <w:widowControl/>
              <w:autoSpaceDE w:val="0"/>
              <w:autoSpaceDN w:val="0"/>
              <w:spacing w:line="0" w:lineRule="atLeast"/>
              <w:jc w:val="center"/>
              <w:rPr>
                <w:rFonts w:hAnsi="宋体"/>
                <w:spacing w:val="-10"/>
                <w:kern w:val="0"/>
                <w:szCs w:val="21"/>
              </w:rPr>
            </w:pPr>
            <w:r>
              <w:rPr>
                <w:rFonts w:hAnsi="宋体" w:hint="eastAsia"/>
                <w:spacing w:val="-10"/>
                <w:kern w:val="0"/>
                <w:szCs w:val="21"/>
              </w:rPr>
              <w:t>%</w:t>
            </w:r>
          </w:p>
        </w:tc>
        <w:tc>
          <w:tcPr>
            <w:tcW w:w="765" w:type="pct"/>
            <w:vAlign w:val="center"/>
          </w:tcPr>
          <w:p w:rsidR="00EE4502" w:rsidRDefault="00FD45A3">
            <w:pPr>
              <w:widowControl/>
              <w:autoSpaceDE w:val="0"/>
              <w:autoSpaceDN w:val="0"/>
              <w:spacing w:line="0" w:lineRule="atLeast"/>
              <w:jc w:val="center"/>
              <w:rPr>
                <w:rFonts w:hAnsi="宋体"/>
                <w:spacing w:val="-10"/>
                <w:kern w:val="0"/>
                <w:szCs w:val="21"/>
              </w:rPr>
            </w:pPr>
            <w:r>
              <w:rPr>
                <w:rFonts w:hAnsi="宋体" w:hint="eastAsia"/>
                <w:spacing w:val="-10"/>
                <w:kern w:val="0"/>
                <w:szCs w:val="21"/>
              </w:rPr>
              <w:t>m</w:t>
            </w:r>
          </w:p>
        </w:tc>
      </w:tr>
      <w:tr w:rsidR="00EE4502">
        <w:trPr>
          <w:trHeight w:val="397"/>
          <w:jc w:val="center"/>
        </w:trPr>
        <w:tc>
          <w:tcPr>
            <w:tcW w:w="1943" w:type="dxa"/>
            <w:vAlign w:val="center"/>
          </w:tcPr>
          <w:p w:rsidR="00EE4502" w:rsidRDefault="00FD45A3">
            <w:pPr>
              <w:widowControl/>
              <w:adjustRightInd w:val="0"/>
              <w:spacing w:line="0" w:lineRule="atLeast"/>
              <w:jc w:val="center"/>
              <w:rPr>
                <w:rFonts w:hAnsi="宋体"/>
                <w:spacing w:val="-10"/>
                <w:kern w:val="0"/>
                <w:szCs w:val="21"/>
              </w:rPr>
            </w:pPr>
            <w:r>
              <w:rPr>
                <w:rFonts w:ascii="宋体" w:hAnsi="宋体" w:cs="宋体" w:hint="eastAsia"/>
                <w:spacing w:val="-10"/>
                <w:kern w:val="0"/>
                <w:szCs w:val="21"/>
                <w:lang w:bidi="ar"/>
              </w:rPr>
              <w:t>排</w:t>
            </w:r>
            <w:r>
              <w:rPr>
                <w:spacing w:val="-10"/>
                <w:kern w:val="0"/>
                <w:szCs w:val="21"/>
                <w:lang w:bidi="ar"/>
              </w:rPr>
              <w:t>61-</w:t>
            </w:r>
            <w:r>
              <w:rPr>
                <w:rFonts w:ascii="宋体" w:hAnsi="宋体" w:cs="宋体" w:hint="eastAsia"/>
                <w:spacing w:val="-10"/>
                <w:kern w:val="0"/>
                <w:szCs w:val="21"/>
                <w:lang w:bidi="ar"/>
              </w:rPr>
              <w:t>平</w:t>
            </w:r>
            <w:r>
              <w:rPr>
                <w:spacing w:val="-10"/>
                <w:kern w:val="0"/>
                <w:szCs w:val="21"/>
                <w:lang w:bidi="ar"/>
              </w:rPr>
              <w:t>17</w:t>
            </w:r>
            <w:r>
              <w:rPr>
                <w:rFonts w:ascii="宋体" w:hAnsi="宋体" w:cs="宋体" w:hint="eastAsia"/>
                <w:spacing w:val="-10"/>
                <w:kern w:val="0"/>
                <w:szCs w:val="21"/>
                <w:lang w:bidi="ar"/>
              </w:rPr>
              <w:t>井场无组织废气</w:t>
            </w:r>
          </w:p>
        </w:tc>
        <w:tc>
          <w:tcPr>
            <w:tcW w:w="921" w:type="pct"/>
            <w:vAlign w:val="center"/>
          </w:tcPr>
          <w:p w:rsidR="00EE4502" w:rsidRDefault="00FD45A3">
            <w:pPr>
              <w:widowControl/>
              <w:autoSpaceDE w:val="0"/>
              <w:autoSpaceDN w:val="0"/>
              <w:spacing w:line="0" w:lineRule="atLeast"/>
              <w:jc w:val="center"/>
              <w:rPr>
                <w:rFonts w:hAnsi="宋体"/>
                <w:spacing w:val="-10"/>
                <w:kern w:val="0"/>
                <w:szCs w:val="21"/>
              </w:rPr>
            </w:pPr>
            <w:r>
              <w:rPr>
                <w:rFonts w:hAnsi="宋体" w:hint="eastAsia"/>
                <w:spacing w:val="-10"/>
                <w:kern w:val="0"/>
                <w:szCs w:val="21"/>
              </w:rPr>
              <w:t>非甲烷总烃</w:t>
            </w:r>
          </w:p>
        </w:tc>
        <w:tc>
          <w:tcPr>
            <w:tcW w:w="1004" w:type="dxa"/>
            <w:vAlign w:val="center"/>
          </w:tcPr>
          <w:p w:rsidR="00EE4502" w:rsidRDefault="00FD45A3">
            <w:pPr>
              <w:widowControl/>
              <w:autoSpaceDE w:val="0"/>
              <w:autoSpaceDN w:val="0"/>
              <w:spacing w:line="0" w:lineRule="atLeast"/>
              <w:jc w:val="center"/>
              <w:rPr>
                <w:rFonts w:hAnsi="宋体"/>
                <w:spacing w:val="-10"/>
                <w:kern w:val="0"/>
                <w:szCs w:val="21"/>
              </w:rPr>
            </w:pPr>
            <w:r>
              <w:rPr>
                <w:rFonts w:hAnsi="宋体" w:hint="eastAsia"/>
                <w:spacing w:val="-10"/>
                <w:kern w:val="0"/>
                <w:szCs w:val="21"/>
              </w:rPr>
              <w:t>20.993</w:t>
            </w:r>
          </w:p>
        </w:tc>
        <w:tc>
          <w:tcPr>
            <w:tcW w:w="600" w:type="pct"/>
            <w:vAlign w:val="center"/>
          </w:tcPr>
          <w:p w:rsidR="00EE4502" w:rsidRDefault="00FD45A3">
            <w:pPr>
              <w:widowControl/>
              <w:autoSpaceDE w:val="0"/>
              <w:autoSpaceDN w:val="0"/>
              <w:spacing w:line="0" w:lineRule="atLeast"/>
              <w:jc w:val="center"/>
              <w:rPr>
                <w:rFonts w:hAnsi="宋体"/>
                <w:spacing w:val="-10"/>
                <w:kern w:val="0"/>
                <w:szCs w:val="21"/>
              </w:rPr>
            </w:pPr>
            <w:r>
              <w:rPr>
                <w:rFonts w:hAnsi="宋体"/>
                <w:spacing w:val="-10"/>
                <w:kern w:val="0"/>
                <w:szCs w:val="21"/>
              </w:rPr>
              <w:t>20</w:t>
            </w:r>
            <w:r>
              <w:rPr>
                <w:rFonts w:hAnsi="宋体" w:hint="eastAsia"/>
                <w:spacing w:val="-10"/>
                <w:kern w:val="0"/>
                <w:szCs w:val="21"/>
              </w:rPr>
              <w:t>00</w:t>
            </w:r>
          </w:p>
        </w:tc>
        <w:tc>
          <w:tcPr>
            <w:tcW w:w="1004" w:type="dxa"/>
            <w:vAlign w:val="center"/>
          </w:tcPr>
          <w:p w:rsidR="00EE4502" w:rsidRDefault="00FD45A3">
            <w:pPr>
              <w:widowControl/>
              <w:autoSpaceDE w:val="0"/>
              <w:autoSpaceDN w:val="0"/>
              <w:spacing w:line="0" w:lineRule="atLeast"/>
              <w:jc w:val="center"/>
              <w:rPr>
                <w:rFonts w:hAnsi="宋体"/>
                <w:spacing w:val="-10"/>
                <w:kern w:val="0"/>
                <w:szCs w:val="21"/>
              </w:rPr>
            </w:pPr>
            <w:r>
              <w:rPr>
                <w:rFonts w:hAnsi="宋体" w:hint="eastAsia"/>
                <w:spacing w:val="-10"/>
                <w:kern w:val="0"/>
                <w:szCs w:val="21"/>
              </w:rPr>
              <w:t>1.049</w:t>
            </w:r>
          </w:p>
        </w:tc>
        <w:tc>
          <w:tcPr>
            <w:tcW w:w="350" w:type="pct"/>
            <w:vMerge w:val="restart"/>
            <w:vAlign w:val="center"/>
          </w:tcPr>
          <w:p w:rsidR="00EE4502" w:rsidRDefault="00FD45A3">
            <w:pPr>
              <w:widowControl/>
              <w:autoSpaceDE w:val="0"/>
              <w:autoSpaceDN w:val="0"/>
              <w:spacing w:line="0" w:lineRule="atLeast"/>
              <w:jc w:val="center"/>
              <w:rPr>
                <w:rFonts w:hAnsi="宋体"/>
                <w:spacing w:val="-10"/>
                <w:kern w:val="0"/>
                <w:szCs w:val="21"/>
              </w:rPr>
            </w:pPr>
            <w:r>
              <w:rPr>
                <w:rFonts w:hAnsi="宋体" w:hint="eastAsia"/>
                <w:spacing w:val="-10"/>
                <w:kern w:val="0"/>
                <w:szCs w:val="21"/>
              </w:rPr>
              <w:t>1.415</w:t>
            </w:r>
          </w:p>
        </w:tc>
        <w:tc>
          <w:tcPr>
            <w:tcW w:w="765" w:type="pct"/>
            <w:vAlign w:val="center"/>
          </w:tcPr>
          <w:p w:rsidR="00EE4502" w:rsidRDefault="00FD45A3">
            <w:pPr>
              <w:widowControl/>
              <w:autoSpaceDE w:val="0"/>
              <w:autoSpaceDN w:val="0"/>
              <w:spacing w:line="0" w:lineRule="atLeast"/>
              <w:jc w:val="center"/>
              <w:rPr>
                <w:rFonts w:hAnsi="宋体"/>
                <w:spacing w:val="-10"/>
                <w:kern w:val="0"/>
                <w:szCs w:val="21"/>
              </w:rPr>
            </w:pPr>
            <w:r>
              <w:rPr>
                <w:rFonts w:hAnsi="宋体" w:hint="eastAsia"/>
                <w:spacing w:val="-10"/>
                <w:kern w:val="0"/>
                <w:szCs w:val="21"/>
              </w:rPr>
              <w:t>27</w:t>
            </w:r>
          </w:p>
        </w:tc>
      </w:tr>
      <w:tr w:rsidR="00EE4502">
        <w:trPr>
          <w:trHeight w:val="397"/>
          <w:jc w:val="center"/>
        </w:trPr>
        <w:tc>
          <w:tcPr>
            <w:tcW w:w="1943" w:type="dxa"/>
            <w:vAlign w:val="center"/>
          </w:tcPr>
          <w:p w:rsidR="00EE4502" w:rsidRDefault="00FD45A3">
            <w:pPr>
              <w:widowControl/>
              <w:adjustRightInd w:val="0"/>
              <w:spacing w:line="0" w:lineRule="atLeast"/>
              <w:jc w:val="center"/>
              <w:rPr>
                <w:rFonts w:hAnsi="宋体"/>
                <w:snapToGrid w:val="0"/>
                <w:spacing w:val="-10"/>
                <w:kern w:val="0"/>
                <w:szCs w:val="21"/>
              </w:rPr>
            </w:pPr>
            <w:r>
              <w:rPr>
                <w:rFonts w:ascii="宋体" w:hAnsi="宋体" w:cs="宋体" w:hint="eastAsia"/>
                <w:spacing w:val="-10"/>
                <w:kern w:val="0"/>
                <w:szCs w:val="21"/>
                <w:lang w:bidi="ar"/>
              </w:rPr>
              <w:t>排</w:t>
            </w:r>
            <w:r>
              <w:rPr>
                <w:spacing w:val="-10"/>
                <w:kern w:val="0"/>
                <w:szCs w:val="21"/>
                <w:lang w:bidi="ar"/>
              </w:rPr>
              <w:t>61</w:t>
            </w:r>
            <w:r>
              <w:rPr>
                <w:rFonts w:ascii="宋体" w:hAnsi="宋体" w:cs="宋体" w:hint="eastAsia"/>
                <w:spacing w:val="-10"/>
                <w:kern w:val="0"/>
                <w:szCs w:val="21"/>
                <w:lang w:bidi="ar"/>
              </w:rPr>
              <w:t>平</w:t>
            </w:r>
            <w:r>
              <w:rPr>
                <w:spacing w:val="-10"/>
                <w:kern w:val="0"/>
                <w:szCs w:val="21"/>
                <w:lang w:bidi="ar"/>
              </w:rPr>
              <w:t>11</w:t>
            </w:r>
            <w:r>
              <w:rPr>
                <w:rFonts w:ascii="宋体" w:hAnsi="宋体" w:cs="宋体" w:hint="eastAsia"/>
                <w:spacing w:val="-10"/>
                <w:kern w:val="0"/>
                <w:szCs w:val="21"/>
                <w:lang w:bidi="ar"/>
              </w:rPr>
              <w:t>井场无组织废气</w:t>
            </w:r>
          </w:p>
        </w:tc>
        <w:tc>
          <w:tcPr>
            <w:tcW w:w="921" w:type="pct"/>
            <w:vAlign w:val="center"/>
          </w:tcPr>
          <w:p w:rsidR="00EE4502" w:rsidRDefault="00FD45A3">
            <w:pPr>
              <w:widowControl/>
              <w:autoSpaceDE w:val="0"/>
              <w:autoSpaceDN w:val="0"/>
              <w:spacing w:line="0" w:lineRule="atLeast"/>
              <w:jc w:val="center"/>
              <w:rPr>
                <w:rFonts w:hAnsi="宋体"/>
                <w:spacing w:val="-10"/>
                <w:kern w:val="0"/>
                <w:szCs w:val="21"/>
              </w:rPr>
            </w:pPr>
            <w:r>
              <w:rPr>
                <w:rFonts w:hAnsi="宋体" w:hint="eastAsia"/>
                <w:spacing w:val="-10"/>
                <w:kern w:val="0"/>
                <w:szCs w:val="21"/>
              </w:rPr>
              <w:t>非甲烷总烃</w:t>
            </w:r>
          </w:p>
        </w:tc>
        <w:tc>
          <w:tcPr>
            <w:tcW w:w="1004" w:type="dxa"/>
            <w:vAlign w:val="center"/>
          </w:tcPr>
          <w:p w:rsidR="00EE4502" w:rsidRDefault="00FD45A3">
            <w:pPr>
              <w:widowControl/>
              <w:autoSpaceDE w:val="0"/>
              <w:autoSpaceDN w:val="0"/>
              <w:spacing w:line="0" w:lineRule="atLeast"/>
              <w:jc w:val="center"/>
              <w:rPr>
                <w:rFonts w:hAnsi="宋体"/>
                <w:spacing w:val="-10"/>
                <w:kern w:val="0"/>
                <w:szCs w:val="21"/>
              </w:rPr>
            </w:pPr>
            <w:r>
              <w:rPr>
                <w:rFonts w:hAnsi="宋体" w:hint="eastAsia"/>
                <w:spacing w:val="-10"/>
                <w:kern w:val="0"/>
                <w:szCs w:val="21"/>
              </w:rPr>
              <w:t>20.363</w:t>
            </w:r>
          </w:p>
        </w:tc>
        <w:tc>
          <w:tcPr>
            <w:tcW w:w="600" w:type="pct"/>
            <w:vAlign w:val="center"/>
          </w:tcPr>
          <w:p w:rsidR="00EE4502" w:rsidRDefault="00FD45A3">
            <w:pPr>
              <w:widowControl/>
              <w:autoSpaceDE w:val="0"/>
              <w:autoSpaceDN w:val="0"/>
              <w:spacing w:line="0" w:lineRule="atLeast"/>
              <w:jc w:val="center"/>
              <w:rPr>
                <w:rFonts w:hAnsi="宋体"/>
                <w:spacing w:val="-10"/>
                <w:kern w:val="0"/>
                <w:szCs w:val="21"/>
              </w:rPr>
            </w:pPr>
            <w:r>
              <w:rPr>
                <w:rFonts w:hAnsi="宋体"/>
                <w:spacing w:val="-10"/>
                <w:kern w:val="0"/>
                <w:szCs w:val="21"/>
              </w:rPr>
              <w:t>20</w:t>
            </w:r>
            <w:r>
              <w:rPr>
                <w:rFonts w:hAnsi="宋体" w:hint="eastAsia"/>
                <w:spacing w:val="-10"/>
                <w:kern w:val="0"/>
                <w:szCs w:val="21"/>
              </w:rPr>
              <w:t>00</w:t>
            </w:r>
          </w:p>
        </w:tc>
        <w:tc>
          <w:tcPr>
            <w:tcW w:w="1004" w:type="dxa"/>
            <w:vAlign w:val="center"/>
          </w:tcPr>
          <w:p w:rsidR="00EE4502" w:rsidRDefault="00FD45A3">
            <w:pPr>
              <w:widowControl/>
              <w:autoSpaceDE w:val="0"/>
              <w:autoSpaceDN w:val="0"/>
              <w:spacing w:line="0" w:lineRule="atLeast"/>
              <w:jc w:val="center"/>
              <w:rPr>
                <w:rFonts w:hAnsi="宋体"/>
                <w:spacing w:val="-10"/>
                <w:kern w:val="0"/>
                <w:szCs w:val="21"/>
              </w:rPr>
            </w:pPr>
            <w:r>
              <w:rPr>
                <w:rFonts w:hAnsi="宋体" w:hint="eastAsia"/>
                <w:spacing w:val="-10"/>
                <w:kern w:val="0"/>
                <w:szCs w:val="21"/>
              </w:rPr>
              <w:t>1.018</w:t>
            </w:r>
          </w:p>
        </w:tc>
        <w:tc>
          <w:tcPr>
            <w:tcW w:w="350" w:type="pct"/>
            <w:vMerge/>
            <w:vAlign w:val="center"/>
          </w:tcPr>
          <w:p w:rsidR="00EE4502" w:rsidRDefault="00EE4502">
            <w:pPr>
              <w:widowControl/>
              <w:autoSpaceDE w:val="0"/>
              <w:autoSpaceDN w:val="0"/>
              <w:spacing w:line="0" w:lineRule="atLeast"/>
              <w:jc w:val="center"/>
              <w:rPr>
                <w:rFonts w:hAnsi="宋体"/>
                <w:spacing w:val="-10"/>
                <w:kern w:val="0"/>
                <w:szCs w:val="21"/>
              </w:rPr>
            </w:pPr>
          </w:p>
        </w:tc>
        <w:tc>
          <w:tcPr>
            <w:tcW w:w="765" w:type="pct"/>
            <w:vAlign w:val="center"/>
          </w:tcPr>
          <w:p w:rsidR="00EE4502" w:rsidRDefault="00FD45A3">
            <w:pPr>
              <w:widowControl/>
              <w:autoSpaceDE w:val="0"/>
              <w:autoSpaceDN w:val="0"/>
              <w:spacing w:line="0" w:lineRule="atLeast"/>
              <w:jc w:val="center"/>
              <w:rPr>
                <w:rFonts w:hAnsi="宋体"/>
                <w:spacing w:val="-10"/>
                <w:kern w:val="0"/>
                <w:szCs w:val="21"/>
              </w:rPr>
            </w:pPr>
            <w:r>
              <w:rPr>
                <w:rFonts w:hAnsi="宋体" w:hint="eastAsia"/>
                <w:spacing w:val="-10"/>
                <w:kern w:val="0"/>
                <w:szCs w:val="21"/>
              </w:rPr>
              <w:t>27</w:t>
            </w:r>
          </w:p>
        </w:tc>
      </w:tr>
      <w:tr w:rsidR="00EE4502">
        <w:trPr>
          <w:trHeight w:val="397"/>
          <w:jc w:val="center"/>
        </w:trPr>
        <w:tc>
          <w:tcPr>
            <w:tcW w:w="1943" w:type="dxa"/>
            <w:vAlign w:val="center"/>
          </w:tcPr>
          <w:p w:rsidR="00EE4502" w:rsidRDefault="00FD45A3">
            <w:pPr>
              <w:widowControl/>
              <w:adjustRightInd w:val="0"/>
              <w:spacing w:line="0" w:lineRule="atLeast"/>
              <w:jc w:val="center"/>
              <w:rPr>
                <w:rFonts w:hAnsi="宋体"/>
                <w:snapToGrid w:val="0"/>
                <w:spacing w:val="-10"/>
                <w:kern w:val="0"/>
                <w:szCs w:val="21"/>
              </w:rPr>
            </w:pPr>
            <w:r>
              <w:rPr>
                <w:rFonts w:ascii="宋体" w:hAnsi="宋体" w:cs="宋体" w:hint="eastAsia"/>
                <w:spacing w:val="-10"/>
                <w:kern w:val="0"/>
                <w:szCs w:val="21"/>
                <w:lang w:bidi="ar"/>
              </w:rPr>
              <w:t>排</w:t>
            </w:r>
            <w:r>
              <w:rPr>
                <w:spacing w:val="-10"/>
                <w:kern w:val="0"/>
                <w:szCs w:val="21"/>
                <w:lang w:bidi="ar"/>
              </w:rPr>
              <w:t>612-1</w:t>
            </w:r>
            <w:r>
              <w:rPr>
                <w:rFonts w:ascii="宋体" w:hAnsi="宋体" w:cs="宋体" w:hint="eastAsia"/>
                <w:spacing w:val="-10"/>
                <w:kern w:val="0"/>
                <w:szCs w:val="21"/>
                <w:lang w:bidi="ar"/>
              </w:rPr>
              <w:t>增压站</w:t>
            </w:r>
          </w:p>
        </w:tc>
        <w:tc>
          <w:tcPr>
            <w:tcW w:w="921" w:type="pct"/>
            <w:vAlign w:val="center"/>
          </w:tcPr>
          <w:p w:rsidR="00EE4502" w:rsidRDefault="00FD45A3">
            <w:pPr>
              <w:widowControl/>
              <w:autoSpaceDE w:val="0"/>
              <w:autoSpaceDN w:val="0"/>
              <w:spacing w:line="0" w:lineRule="atLeast"/>
              <w:jc w:val="center"/>
              <w:rPr>
                <w:rFonts w:hAnsi="宋体"/>
                <w:spacing w:val="-10"/>
                <w:kern w:val="0"/>
                <w:szCs w:val="21"/>
              </w:rPr>
            </w:pPr>
            <w:r>
              <w:rPr>
                <w:rFonts w:hAnsi="宋体" w:hint="eastAsia"/>
                <w:spacing w:val="-10"/>
                <w:kern w:val="0"/>
                <w:szCs w:val="21"/>
              </w:rPr>
              <w:t>非甲烷总烃</w:t>
            </w:r>
          </w:p>
        </w:tc>
        <w:tc>
          <w:tcPr>
            <w:tcW w:w="600" w:type="pct"/>
            <w:vAlign w:val="center"/>
          </w:tcPr>
          <w:p w:rsidR="00EE4502" w:rsidRDefault="00FD45A3">
            <w:pPr>
              <w:widowControl/>
              <w:autoSpaceDE w:val="0"/>
              <w:autoSpaceDN w:val="0"/>
              <w:spacing w:line="0" w:lineRule="atLeast"/>
              <w:jc w:val="center"/>
              <w:rPr>
                <w:rFonts w:hAnsi="宋体"/>
                <w:spacing w:val="-10"/>
                <w:kern w:val="0"/>
                <w:szCs w:val="21"/>
              </w:rPr>
            </w:pPr>
            <w:r>
              <w:rPr>
                <w:rFonts w:hAnsi="宋体" w:hint="eastAsia"/>
                <w:spacing w:val="-10"/>
                <w:kern w:val="0"/>
                <w:szCs w:val="21"/>
              </w:rPr>
              <w:t>16.324</w:t>
            </w:r>
          </w:p>
        </w:tc>
        <w:tc>
          <w:tcPr>
            <w:tcW w:w="600" w:type="pct"/>
            <w:vAlign w:val="center"/>
          </w:tcPr>
          <w:p w:rsidR="00EE4502" w:rsidRDefault="00FD45A3">
            <w:pPr>
              <w:widowControl/>
              <w:autoSpaceDE w:val="0"/>
              <w:autoSpaceDN w:val="0"/>
              <w:spacing w:line="0" w:lineRule="atLeast"/>
              <w:jc w:val="center"/>
              <w:rPr>
                <w:rFonts w:hAnsi="宋体"/>
                <w:spacing w:val="-10"/>
                <w:kern w:val="0"/>
                <w:szCs w:val="21"/>
              </w:rPr>
            </w:pPr>
            <w:r>
              <w:rPr>
                <w:rFonts w:hAnsi="宋体"/>
                <w:spacing w:val="-10"/>
                <w:kern w:val="0"/>
                <w:szCs w:val="21"/>
              </w:rPr>
              <w:t>20</w:t>
            </w:r>
            <w:r>
              <w:rPr>
                <w:rFonts w:hAnsi="宋体" w:hint="eastAsia"/>
                <w:spacing w:val="-10"/>
                <w:kern w:val="0"/>
                <w:szCs w:val="21"/>
              </w:rPr>
              <w:t>00</w:t>
            </w:r>
          </w:p>
        </w:tc>
        <w:tc>
          <w:tcPr>
            <w:tcW w:w="600" w:type="pct"/>
            <w:vAlign w:val="center"/>
          </w:tcPr>
          <w:p w:rsidR="00EE4502" w:rsidRDefault="00FD45A3">
            <w:pPr>
              <w:widowControl/>
              <w:autoSpaceDE w:val="0"/>
              <w:autoSpaceDN w:val="0"/>
              <w:spacing w:line="0" w:lineRule="atLeast"/>
              <w:jc w:val="center"/>
              <w:rPr>
                <w:rFonts w:hAnsi="宋体"/>
                <w:spacing w:val="-10"/>
                <w:kern w:val="0"/>
                <w:szCs w:val="21"/>
              </w:rPr>
            </w:pPr>
            <w:r>
              <w:rPr>
                <w:rFonts w:hAnsi="宋体" w:hint="eastAsia"/>
                <w:spacing w:val="-10"/>
                <w:kern w:val="0"/>
                <w:szCs w:val="21"/>
              </w:rPr>
              <w:t>0.816</w:t>
            </w:r>
          </w:p>
        </w:tc>
        <w:tc>
          <w:tcPr>
            <w:tcW w:w="350" w:type="pct"/>
            <w:vMerge/>
            <w:vAlign w:val="center"/>
          </w:tcPr>
          <w:p w:rsidR="00EE4502" w:rsidRDefault="00EE4502">
            <w:pPr>
              <w:widowControl/>
              <w:autoSpaceDE w:val="0"/>
              <w:autoSpaceDN w:val="0"/>
              <w:spacing w:line="0" w:lineRule="atLeast"/>
              <w:jc w:val="center"/>
              <w:rPr>
                <w:rFonts w:hAnsi="宋体"/>
                <w:spacing w:val="-10"/>
                <w:kern w:val="0"/>
                <w:szCs w:val="21"/>
              </w:rPr>
            </w:pPr>
          </w:p>
        </w:tc>
        <w:tc>
          <w:tcPr>
            <w:tcW w:w="765" w:type="pct"/>
            <w:vAlign w:val="center"/>
          </w:tcPr>
          <w:p w:rsidR="00EE4502" w:rsidRDefault="00FD45A3">
            <w:pPr>
              <w:widowControl/>
              <w:autoSpaceDE w:val="0"/>
              <w:autoSpaceDN w:val="0"/>
              <w:spacing w:line="0" w:lineRule="atLeast"/>
              <w:jc w:val="center"/>
              <w:rPr>
                <w:rFonts w:hAnsi="宋体"/>
                <w:spacing w:val="-10"/>
                <w:kern w:val="0"/>
                <w:szCs w:val="21"/>
              </w:rPr>
            </w:pPr>
            <w:r>
              <w:rPr>
                <w:rFonts w:hAnsi="宋体" w:hint="eastAsia"/>
                <w:spacing w:val="-10"/>
                <w:kern w:val="0"/>
                <w:szCs w:val="21"/>
              </w:rPr>
              <w:t>26</w:t>
            </w:r>
          </w:p>
        </w:tc>
      </w:tr>
      <w:tr w:rsidR="00EE4502">
        <w:trPr>
          <w:trHeight w:val="397"/>
          <w:jc w:val="center"/>
        </w:trPr>
        <w:tc>
          <w:tcPr>
            <w:tcW w:w="1943" w:type="dxa"/>
            <w:vAlign w:val="center"/>
          </w:tcPr>
          <w:p w:rsidR="00EE4502" w:rsidRDefault="00FD45A3">
            <w:pPr>
              <w:widowControl/>
              <w:adjustRightInd w:val="0"/>
              <w:spacing w:line="0" w:lineRule="atLeast"/>
              <w:jc w:val="center"/>
              <w:rPr>
                <w:rFonts w:hAnsi="宋体"/>
                <w:snapToGrid w:val="0"/>
                <w:spacing w:val="-10"/>
                <w:kern w:val="0"/>
                <w:szCs w:val="21"/>
              </w:rPr>
            </w:pPr>
            <w:r>
              <w:rPr>
                <w:rFonts w:ascii="宋体" w:hAnsi="宋体" w:cs="宋体" w:hint="eastAsia"/>
                <w:szCs w:val="21"/>
                <w:lang w:bidi="ar"/>
              </w:rPr>
              <w:t>新建增压点</w:t>
            </w:r>
          </w:p>
        </w:tc>
        <w:tc>
          <w:tcPr>
            <w:tcW w:w="921" w:type="pct"/>
            <w:vAlign w:val="center"/>
          </w:tcPr>
          <w:p w:rsidR="00EE4502" w:rsidRDefault="00FD45A3">
            <w:pPr>
              <w:widowControl/>
              <w:autoSpaceDE w:val="0"/>
              <w:autoSpaceDN w:val="0"/>
              <w:spacing w:line="0" w:lineRule="atLeast"/>
              <w:jc w:val="center"/>
              <w:rPr>
                <w:rFonts w:hAnsi="宋体"/>
                <w:spacing w:val="-10"/>
                <w:kern w:val="0"/>
                <w:szCs w:val="21"/>
              </w:rPr>
            </w:pPr>
            <w:r>
              <w:rPr>
                <w:rFonts w:hAnsi="宋体" w:hint="eastAsia"/>
                <w:spacing w:val="-10"/>
                <w:kern w:val="0"/>
                <w:szCs w:val="21"/>
              </w:rPr>
              <w:t>非甲烷总烃</w:t>
            </w:r>
          </w:p>
        </w:tc>
        <w:tc>
          <w:tcPr>
            <w:tcW w:w="600" w:type="pct"/>
            <w:vAlign w:val="center"/>
          </w:tcPr>
          <w:p w:rsidR="00EE4502" w:rsidRDefault="00FD45A3">
            <w:pPr>
              <w:widowControl/>
              <w:autoSpaceDE w:val="0"/>
              <w:autoSpaceDN w:val="0"/>
              <w:spacing w:line="0" w:lineRule="atLeast"/>
              <w:jc w:val="center"/>
              <w:rPr>
                <w:rFonts w:hAnsi="宋体"/>
                <w:spacing w:val="-10"/>
                <w:kern w:val="0"/>
                <w:szCs w:val="21"/>
              </w:rPr>
            </w:pPr>
            <w:r>
              <w:rPr>
                <w:rFonts w:hAnsi="宋体" w:hint="eastAsia"/>
                <w:spacing w:val="-10"/>
                <w:kern w:val="0"/>
                <w:szCs w:val="21"/>
              </w:rPr>
              <w:t>28.309</w:t>
            </w:r>
          </w:p>
        </w:tc>
        <w:tc>
          <w:tcPr>
            <w:tcW w:w="600" w:type="pct"/>
            <w:vAlign w:val="center"/>
          </w:tcPr>
          <w:p w:rsidR="00EE4502" w:rsidRDefault="00FD45A3">
            <w:pPr>
              <w:widowControl/>
              <w:autoSpaceDE w:val="0"/>
              <w:autoSpaceDN w:val="0"/>
              <w:spacing w:line="0" w:lineRule="atLeast"/>
              <w:jc w:val="center"/>
              <w:rPr>
                <w:rFonts w:hAnsi="宋体"/>
                <w:spacing w:val="-10"/>
                <w:kern w:val="0"/>
                <w:szCs w:val="21"/>
              </w:rPr>
            </w:pPr>
            <w:r>
              <w:rPr>
                <w:rFonts w:hAnsi="宋体"/>
                <w:spacing w:val="-10"/>
                <w:kern w:val="0"/>
                <w:szCs w:val="21"/>
              </w:rPr>
              <w:t>20</w:t>
            </w:r>
            <w:r>
              <w:rPr>
                <w:rFonts w:hAnsi="宋体" w:hint="eastAsia"/>
                <w:spacing w:val="-10"/>
                <w:kern w:val="0"/>
                <w:szCs w:val="21"/>
              </w:rPr>
              <w:t>00</w:t>
            </w:r>
          </w:p>
        </w:tc>
        <w:tc>
          <w:tcPr>
            <w:tcW w:w="600" w:type="pct"/>
            <w:vAlign w:val="center"/>
          </w:tcPr>
          <w:p w:rsidR="00EE4502" w:rsidRDefault="00FD45A3">
            <w:pPr>
              <w:widowControl/>
              <w:autoSpaceDE w:val="0"/>
              <w:autoSpaceDN w:val="0"/>
              <w:spacing w:line="0" w:lineRule="atLeast"/>
              <w:jc w:val="center"/>
              <w:rPr>
                <w:rFonts w:hAnsi="宋体"/>
                <w:spacing w:val="-10"/>
                <w:kern w:val="0"/>
                <w:szCs w:val="21"/>
              </w:rPr>
            </w:pPr>
            <w:r>
              <w:rPr>
                <w:rFonts w:hAnsi="宋体" w:hint="eastAsia"/>
                <w:spacing w:val="-10"/>
                <w:kern w:val="0"/>
                <w:szCs w:val="21"/>
              </w:rPr>
              <w:t>1.415</w:t>
            </w:r>
          </w:p>
        </w:tc>
        <w:tc>
          <w:tcPr>
            <w:tcW w:w="350" w:type="pct"/>
            <w:vMerge/>
            <w:vAlign w:val="center"/>
          </w:tcPr>
          <w:p w:rsidR="00EE4502" w:rsidRDefault="00EE4502">
            <w:pPr>
              <w:widowControl/>
              <w:autoSpaceDE w:val="0"/>
              <w:autoSpaceDN w:val="0"/>
              <w:spacing w:line="0" w:lineRule="atLeast"/>
              <w:jc w:val="center"/>
              <w:rPr>
                <w:rFonts w:hAnsi="宋体"/>
                <w:spacing w:val="-10"/>
                <w:kern w:val="0"/>
                <w:szCs w:val="21"/>
              </w:rPr>
            </w:pPr>
          </w:p>
        </w:tc>
        <w:tc>
          <w:tcPr>
            <w:tcW w:w="765" w:type="pct"/>
            <w:vAlign w:val="center"/>
          </w:tcPr>
          <w:p w:rsidR="00EE4502" w:rsidRDefault="00FD45A3">
            <w:pPr>
              <w:widowControl/>
              <w:autoSpaceDE w:val="0"/>
              <w:autoSpaceDN w:val="0"/>
              <w:spacing w:line="0" w:lineRule="atLeast"/>
              <w:jc w:val="center"/>
              <w:rPr>
                <w:rFonts w:hAnsi="宋体"/>
                <w:spacing w:val="-10"/>
                <w:kern w:val="0"/>
                <w:szCs w:val="21"/>
              </w:rPr>
            </w:pPr>
            <w:r>
              <w:rPr>
                <w:rFonts w:hAnsi="宋体" w:hint="eastAsia"/>
                <w:spacing w:val="-10"/>
                <w:kern w:val="0"/>
                <w:szCs w:val="21"/>
              </w:rPr>
              <w:t>26</w:t>
            </w:r>
          </w:p>
        </w:tc>
      </w:tr>
    </w:tbl>
    <w:p w:rsidR="00EE4502" w:rsidRDefault="00FD45A3">
      <w:pPr>
        <w:widowControl/>
        <w:spacing w:line="360" w:lineRule="auto"/>
        <w:ind w:firstLineChars="200" w:firstLine="496"/>
        <w:rPr>
          <w:kern w:val="0"/>
          <w:sz w:val="24"/>
          <w:szCs w:val="20"/>
        </w:rPr>
      </w:pPr>
      <w:r>
        <w:rPr>
          <w:spacing w:val="4"/>
          <w:kern w:val="24"/>
          <w:sz w:val="24"/>
          <w:szCs w:val="20"/>
        </w:rPr>
        <w:t>由表</w:t>
      </w:r>
      <w:r>
        <w:rPr>
          <w:spacing w:val="4"/>
          <w:kern w:val="24"/>
          <w:sz w:val="24"/>
          <w:szCs w:val="20"/>
        </w:rPr>
        <w:t>5-5-</w:t>
      </w:r>
      <w:r>
        <w:rPr>
          <w:rFonts w:hint="eastAsia"/>
          <w:spacing w:val="4"/>
          <w:kern w:val="24"/>
          <w:sz w:val="24"/>
          <w:szCs w:val="20"/>
        </w:rPr>
        <w:t>6</w:t>
      </w:r>
      <w:r>
        <w:rPr>
          <w:spacing w:val="4"/>
          <w:kern w:val="24"/>
          <w:sz w:val="24"/>
          <w:szCs w:val="20"/>
        </w:rPr>
        <w:t>可知，</w:t>
      </w:r>
      <w:r>
        <w:rPr>
          <w:spacing w:val="4"/>
          <w:kern w:val="24"/>
          <w:sz w:val="24"/>
          <w:szCs w:val="20"/>
        </w:rPr>
        <w:t>项目废气中非甲烷总烃最大落地浓度为</w:t>
      </w:r>
      <w:r>
        <w:rPr>
          <w:spacing w:val="4"/>
          <w:kern w:val="24"/>
          <w:sz w:val="24"/>
          <w:szCs w:val="20"/>
        </w:rPr>
        <w:t>28.309</w:t>
      </w:r>
      <w:r>
        <w:rPr>
          <w:spacing w:val="4"/>
          <w:kern w:val="24"/>
          <w:sz w:val="24"/>
          <w:szCs w:val="20"/>
        </w:rPr>
        <w:t>μg/m</w:t>
      </w:r>
      <w:r>
        <w:rPr>
          <w:spacing w:val="4"/>
          <w:kern w:val="24"/>
          <w:sz w:val="24"/>
          <w:szCs w:val="20"/>
          <w:vertAlign w:val="superscript"/>
        </w:rPr>
        <w:t>3</w:t>
      </w:r>
      <w:r>
        <w:rPr>
          <w:spacing w:val="4"/>
          <w:kern w:val="24"/>
          <w:sz w:val="24"/>
          <w:szCs w:val="20"/>
        </w:rPr>
        <w:t>、占标率为</w:t>
      </w:r>
      <w:r>
        <w:rPr>
          <w:spacing w:val="4"/>
          <w:kern w:val="24"/>
          <w:sz w:val="24"/>
          <w:szCs w:val="20"/>
        </w:rPr>
        <w:t>1.415</w:t>
      </w:r>
      <w:r>
        <w:rPr>
          <w:spacing w:val="4"/>
          <w:kern w:val="24"/>
          <w:sz w:val="24"/>
          <w:szCs w:val="20"/>
        </w:rPr>
        <w:t>%</w:t>
      </w:r>
      <w:r>
        <w:rPr>
          <w:spacing w:val="4"/>
          <w:kern w:val="24"/>
          <w:sz w:val="24"/>
          <w:szCs w:val="20"/>
        </w:rPr>
        <w:t>。</w:t>
      </w:r>
      <w:r>
        <w:rPr>
          <w:kern w:val="0"/>
          <w:sz w:val="24"/>
          <w:szCs w:val="20"/>
        </w:rPr>
        <w:t>预测结果表明，非甲烷总烃满足《大气污染物综合排放标准详解》</w:t>
      </w:r>
      <w:r>
        <w:rPr>
          <w:kern w:val="0"/>
          <w:sz w:val="24"/>
          <w:szCs w:val="20"/>
        </w:rPr>
        <w:t>2.0mg/m</w:t>
      </w:r>
      <w:r>
        <w:rPr>
          <w:kern w:val="0"/>
          <w:sz w:val="24"/>
          <w:szCs w:val="20"/>
          <w:vertAlign w:val="superscript"/>
        </w:rPr>
        <w:t>3</w:t>
      </w:r>
      <w:r>
        <w:rPr>
          <w:kern w:val="0"/>
          <w:sz w:val="24"/>
          <w:szCs w:val="20"/>
        </w:rPr>
        <w:t>的标准要求。</w:t>
      </w:r>
    </w:p>
    <w:p w:rsidR="00EE4502" w:rsidRDefault="00FD45A3">
      <w:pPr>
        <w:spacing w:line="360" w:lineRule="auto"/>
        <w:ind w:firstLine="482"/>
        <w:rPr>
          <w:sz w:val="24"/>
        </w:rPr>
      </w:pPr>
      <w:r>
        <w:rPr>
          <w:kern w:val="0"/>
          <w:sz w:val="24"/>
        </w:rPr>
        <w:t>本工程大气污染物产生量较少，且工程区大气扩散条件较好，不会使区域环境空气质量发生显著改变，非甲烷总烃无组织排放可以满足《陆上石油天然气开采工业大气污染物排放标准》（</w:t>
      </w:r>
      <w:r>
        <w:rPr>
          <w:kern w:val="0"/>
          <w:sz w:val="24"/>
        </w:rPr>
        <w:t>GB39728-2020</w:t>
      </w:r>
      <w:r>
        <w:rPr>
          <w:kern w:val="0"/>
          <w:sz w:val="24"/>
        </w:rPr>
        <w:t>）厂界无组织排放监控限值</w:t>
      </w:r>
      <w:r>
        <w:rPr>
          <w:kern w:val="0"/>
          <w:sz w:val="24"/>
        </w:rPr>
        <w:t>4.0mg/m</w:t>
      </w:r>
      <w:r>
        <w:rPr>
          <w:kern w:val="0"/>
          <w:sz w:val="24"/>
          <w:vertAlign w:val="superscript"/>
        </w:rPr>
        <w:t>3</w:t>
      </w:r>
      <w:r>
        <w:rPr>
          <w:kern w:val="0"/>
          <w:sz w:val="24"/>
        </w:rPr>
        <w:t>的要求</w:t>
      </w:r>
      <w:r>
        <w:rPr>
          <w:sz w:val="24"/>
        </w:rPr>
        <w:t>。</w:t>
      </w:r>
    </w:p>
    <w:p w:rsidR="00EE4502" w:rsidRDefault="00FD45A3">
      <w:pPr>
        <w:pStyle w:val="41"/>
        <w:numPr>
          <w:ilvl w:val="3"/>
          <w:numId w:val="30"/>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hint="eastAsia"/>
          <w:bCs w:val="0"/>
          <w:sz w:val="24"/>
          <w:szCs w:val="24"/>
        </w:rPr>
        <w:t>大气污染物核算</w:t>
      </w:r>
    </w:p>
    <w:p w:rsidR="00EE4502" w:rsidRDefault="00FD45A3">
      <w:pPr>
        <w:spacing w:line="360" w:lineRule="auto"/>
        <w:ind w:firstLineChars="200" w:firstLine="480"/>
        <w:rPr>
          <w:sz w:val="24"/>
        </w:rPr>
      </w:pPr>
      <w:r>
        <w:rPr>
          <w:rFonts w:hint="eastAsia"/>
          <w:sz w:val="24"/>
        </w:rPr>
        <w:t>本工程</w:t>
      </w:r>
      <w:r>
        <w:rPr>
          <w:rFonts w:hint="eastAsia"/>
          <w:sz w:val="24"/>
        </w:rPr>
        <w:t>运营期</w:t>
      </w:r>
      <w:r>
        <w:rPr>
          <w:rFonts w:hint="eastAsia"/>
          <w:sz w:val="24"/>
        </w:rPr>
        <w:t>大气污染物排放量见表</w:t>
      </w:r>
      <w:r>
        <w:rPr>
          <w:rFonts w:hint="eastAsia"/>
          <w:sz w:val="24"/>
        </w:rPr>
        <w:t>5-5-</w:t>
      </w:r>
      <w:r>
        <w:rPr>
          <w:rFonts w:hint="eastAsia"/>
          <w:sz w:val="24"/>
        </w:rPr>
        <w:t>7</w:t>
      </w:r>
      <w:r>
        <w:rPr>
          <w:rFonts w:hint="eastAsia"/>
          <w:sz w:val="24"/>
        </w:rPr>
        <w:t>。</w:t>
      </w:r>
    </w:p>
    <w:p w:rsidR="00EE4502" w:rsidRDefault="00FD45A3">
      <w:pPr>
        <w:widowControl/>
        <w:jc w:val="center"/>
        <w:rPr>
          <w:rFonts w:eastAsia="黑体"/>
          <w:kern w:val="0"/>
        </w:rPr>
      </w:pPr>
      <w:r>
        <w:rPr>
          <w:rFonts w:eastAsia="黑体"/>
          <w:kern w:val="0"/>
        </w:rPr>
        <w:t>表</w:t>
      </w:r>
      <w:r>
        <w:rPr>
          <w:rFonts w:eastAsia="黑体" w:hint="eastAsia"/>
          <w:kern w:val="0"/>
        </w:rPr>
        <w:t>5-5-</w:t>
      </w:r>
      <w:r>
        <w:rPr>
          <w:rFonts w:eastAsia="黑体" w:hint="eastAsia"/>
          <w:kern w:val="0"/>
        </w:rPr>
        <w:t>7</w:t>
      </w:r>
      <w:r>
        <w:rPr>
          <w:rFonts w:eastAsia="黑体"/>
          <w:kern w:val="0"/>
        </w:rPr>
        <w:t xml:space="preserve">            </w:t>
      </w:r>
      <w:r>
        <w:rPr>
          <w:rFonts w:eastAsia="黑体"/>
          <w:kern w:val="0"/>
        </w:rPr>
        <w:t>本项目大气污染物排放量核算表</w:t>
      </w:r>
    </w:p>
    <w:tbl>
      <w:tblPr>
        <w:tblW w:w="5000"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92"/>
        <w:gridCol w:w="767"/>
        <w:gridCol w:w="905"/>
        <w:gridCol w:w="1101"/>
        <w:gridCol w:w="3197"/>
        <w:gridCol w:w="1104"/>
        <w:gridCol w:w="856"/>
      </w:tblGrid>
      <w:tr w:rsidR="00EE4502">
        <w:trPr>
          <w:trHeight w:val="20"/>
        </w:trPr>
        <w:tc>
          <w:tcPr>
            <w:tcW w:w="347" w:type="pct"/>
            <w:vMerge w:val="restart"/>
            <w:tcBorders>
              <w:top w:val="single" w:sz="2" w:space="0" w:color="auto"/>
              <w:left w:val="single" w:sz="2" w:space="0" w:color="auto"/>
              <w:bottom w:val="single" w:sz="2" w:space="0" w:color="auto"/>
              <w:right w:val="single" w:sz="2" w:space="0" w:color="auto"/>
            </w:tcBorders>
            <w:vAlign w:val="center"/>
          </w:tcPr>
          <w:p w:rsidR="00EE4502" w:rsidRDefault="00FD45A3">
            <w:pPr>
              <w:widowControl/>
              <w:adjustRightInd w:val="0"/>
              <w:snapToGrid w:val="0"/>
              <w:ind w:leftChars="-50" w:left="-105" w:rightChars="-50" w:right="-105"/>
              <w:jc w:val="center"/>
              <w:rPr>
                <w:kern w:val="0"/>
                <w:szCs w:val="21"/>
              </w:rPr>
            </w:pPr>
            <w:r>
              <w:rPr>
                <w:kern w:val="0"/>
                <w:szCs w:val="21"/>
              </w:rPr>
              <w:t>序号</w:t>
            </w:r>
          </w:p>
        </w:tc>
        <w:tc>
          <w:tcPr>
            <w:tcW w:w="450" w:type="pct"/>
            <w:vMerge w:val="restart"/>
            <w:tcBorders>
              <w:top w:val="single" w:sz="2" w:space="0" w:color="auto"/>
              <w:left w:val="single" w:sz="2" w:space="0" w:color="auto"/>
              <w:bottom w:val="single" w:sz="2" w:space="0" w:color="auto"/>
              <w:right w:val="single" w:sz="2" w:space="0" w:color="auto"/>
            </w:tcBorders>
            <w:vAlign w:val="center"/>
          </w:tcPr>
          <w:p w:rsidR="00EE4502" w:rsidRDefault="00FD45A3">
            <w:pPr>
              <w:widowControl/>
              <w:adjustRightInd w:val="0"/>
              <w:snapToGrid w:val="0"/>
              <w:ind w:left="-50" w:right="-50"/>
              <w:jc w:val="center"/>
              <w:rPr>
                <w:kern w:val="0"/>
                <w:szCs w:val="21"/>
              </w:rPr>
            </w:pPr>
            <w:r>
              <w:rPr>
                <w:kern w:val="0"/>
                <w:szCs w:val="21"/>
              </w:rPr>
              <w:t>产污</w:t>
            </w:r>
          </w:p>
          <w:p w:rsidR="00EE4502" w:rsidRDefault="00FD45A3">
            <w:pPr>
              <w:widowControl/>
              <w:adjustRightInd w:val="0"/>
              <w:snapToGrid w:val="0"/>
              <w:ind w:left="-50" w:right="-50"/>
              <w:jc w:val="center"/>
              <w:rPr>
                <w:kern w:val="0"/>
                <w:szCs w:val="21"/>
              </w:rPr>
            </w:pPr>
            <w:r>
              <w:rPr>
                <w:kern w:val="0"/>
                <w:szCs w:val="21"/>
              </w:rPr>
              <w:t>环节</w:t>
            </w:r>
          </w:p>
        </w:tc>
        <w:tc>
          <w:tcPr>
            <w:tcW w:w="531" w:type="pct"/>
            <w:vMerge w:val="restart"/>
            <w:tcBorders>
              <w:top w:val="single" w:sz="2" w:space="0" w:color="auto"/>
              <w:left w:val="single" w:sz="2" w:space="0" w:color="auto"/>
              <w:bottom w:val="single" w:sz="2" w:space="0" w:color="auto"/>
              <w:right w:val="single" w:sz="2" w:space="0" w:color="auto"/>
            </w:tcBorders>
            <w:vAlign w:val="center"/>
          </w:tcPr>
          <w:p w:rsidR="00EE4502" w:rsidRDefault="00FD45A3">
            <w:pPr>
              <w:widowControl/>
              <w:adjustRightInd w:val="0"/>
              <w:snapToGrid w:val="0"/>
              <w:ind w:left="-50" w:right="-50"/>
              <w:jc w:val="center"/>
              <w:rPr>
                <w:kern w:val="0"/>
                <w:szCs w:val="21"/>
              </w:rPr>
            </w:pPr>
            <w:r>
              <w:rPr>
                <w:kern w:val="0"/>
                <w:szCs w:val="21"/>
              </w:rPr>
              <w:t>污染物</w:t>
            </w:r>
          </w:p>
        </w:tc>
        <w:tc>
          <w:tcPr>
            <w:tcW w:w="646" w:type="pct"/>
            <w:vMerge w:val="restart"/>
            <w:tcBorders>
              <w:top w:val="single" w:sz="2" w:space="0" w:color="auto"/>
              <w:left w:val="single" w:sz="2" w:space="0" w:color="auto"/>
              <w:bottom w:val="single" w:sz="2" w:space="0" w:color="auto"/>
              <w:right w:val="single" w:sz="2" w:space="0" w:color="auto"/>
            </w:tcBorders>
            <w:vAlign w:val="center"/>
          </w:tcPr>
          <w:p w:rsidR="00EE4502" w:rsidRDefault="00FD45A3">
            <w:pPr>
              <w:widowControl/>
              <w:adjustRightInd w:val="0"/>
              <w:snapToGrid w:val="0"/>
              <w:ind w:left="-50" w:right="-50"/>
              <w:jc w:val="center"/>
              <w:rPr>
                <w:kern w:val="0"/>
                <w:szCs w:val="21"/>
              </w:rPr>
            </w:pPr>
            <w:r>
              <w:rPr>
                <w:kern w:val="0"/>
                <w:szCs w:val="21"/>
              </w:rPr>
              <w:t>主要污染</w:t>
            </w:r>
          </w:p>
          <w:p w:rsidR="00EE4502" w:rsidRDefault="00FD45A3">
            <w:pPr>
              <w:widowControl/>
              <w:adjustRightInd w:val="0"/>
              <w:snapToGrid w:val="0"/>
              <w:ind w:left="-50" w:right="-50"/>
              <w:jc w:val="center"/>
              <w:rPr>
                <w:kern w:val="0"/>
                <w:szCs w:val="21"/>
              </w:rPr>
            </w:pPr>
            <w:r>
              <w:rPr>
                <w:kern w:val="0"/>
                <w:szCs w:val="21"/>
              </w:rPr>
              <w:t>防治措施</w:t>
            </w:r>
          </w:p>
        </w:tc>
        <w:tc>
          <w:tcPr>
            <w:tcW w:w="2524" w:type="pct"/>
            <w:gridSpan w:val="2"/>
            <w:tcBorders>
              <w:top w:val="single" w:sz="2" w:space="0" w:color="auto"/>
              <w:left w:val="single" w:sz="2" w:space="0" w:color="auto"/>
              <w:bottom w:val="single" w:sz="2" w:space="0" w:color="auto"/>
              <w:right w:val="single" w:sz="2" w:space="0" w:color="auto"/>
            </w:tcBorders>
            <w:vAlign w:val="center"/>
          </w:tcPr>
          <w:p w:rsidR="00EE4502" w:rsidRDefault="00FD45A3">
            <w:pPr>
              <w:widowControl/>
              <w:adjustRightInd w:val="0"/>
              <w:snapToGrid w:val="0"/>
              <w:ind w:left="-50" w:right="-50"/>
              <w:jc w:val="center"/>
              <w:rPr>
                <w:kern w:val="0"/>
                <w:szCs w:val="21"/>
              </w:rPr>
            </w:pPr>
            <w:r>
              <w:rPr>
                <w:kern w:val="0"/>
                <w:szCs w:val="21"/>
              </w:rPr>
              <w:t>国家或地方污染物排放标准</w:t>
            </w:r>
          </w:p>
        </w:tc>
        <w:tc>
          <w:tcPr>
            <w:tcW w:w="500" w:type="pct"/>
            <w:vMerge w:val="restart"/>
            <w:tcBorders>
              <w:top w:val="single" w:sz="2" w:space="0" w:color="auto"/>
              <w:left w:val="single" w:sz="2" w:space="0" w:color="auto"/>
              <w:bottom w:val="single" w:sz="2" w:space="0" w:color="auto"/>
              <w:right w:val="single" w:sz="2" w:space="0" w:color="auto"/>
            </w:tcBorders>
            <w:vAlign w:val="center"/>
          </w:tcPr>
          <w:p w:rsidR="00EE4502" w:rsidRDefault="00FD45A3">
            <w:pPr>
              <w:widowControl/>
              <w:adjustRightInd w:val="0"/>
              <w:snapToGrid w:val="0"/>
              <w:ind w:left="-50" w:right="-50"/>
              <w:jc w:val="center"/>
              <w:rPr>
                <w:kern w:val="0"/>
                <w:szCs w:val="21"/>
              </w:rPr>
            </w:pPr>
            <w:r>
              <w:rPr>
                <w:kern w:val="0"/>
                <w:szCs w:val="21"/>
              </w:rPr>
              <w:t>年排</w:t>
            </w:r>
          </w:p>
          <w:p w:rsidR="00EE4502" w:rsidRDefault="00FD45A3">
            <w:pPr>
              <w:widowControl/>
              <w:adjustRightInd w:val="0"/>
              <w:snapToGrid w:val="0"/>
              <w:ind w:left="-50" w:right="-50"/>
              <w:jc w:val="center"/>
              <w:rPr>
                <w:kern w:val="0"/>
                <w:szCs w:val="21"/>
              </w:rPr>
            </w:pPr>
            <w:r>
              <w:rPr>
                <w:kern w:val="0"/>
                <w:szCs w:val="21"/>
              </w:rPr>
              <w:t>放量</w:t>
            </w:r>
          </w:p>
          <w:p w:rsidR="00EE4502" w:rsidRDefault="00FD45A3">
            <w:pPr>
              <w:widowControl/>
              <w:adjustRightInd w:val="0"/>
              <w:snapToGrid w:val="0"/>
              <w:ind w:left="-50" w:right="-50"/>
              <w:jc w:val="center"/>
              <w:rPr>
                <w:kern w:val="0"/>
                <w:szCs w:val="21"/>
              </w:rPr>
            </w:pPr>
            <w:r>
              <w:rPr>
                <w:kern w:val="0"/>
                <w:szCs w:val="21"/>
              </w:rPr>
              <w:t>（</w:t>
            </w:r>
            <w:r>
              <w:rPr>
                <w:kern w:val="0"/>
                <w:szCs w:val="21"/>
              </w:rPr>
              <w:t>t/a</w:t>
            </w:r>
            <w:r>
              <w:rPr>
                <w:rFonts w:hint="eastAsia"/>
                <w:kern w:val="0"/>
                <w:szCs w:val="21"/>
              </w:rPr>
              <w:t>)</w:t>
            </w:r>
          </w:p>
        </w:tc>
      </w:tr>
      <w:tr w:rsidR="00EE4502">
        <w:trPr>
          <w:trHeight w:val="20"/>
        </w:trPr>
        <w:tc>
          <w:tcPr>
            <w:tcW w:w="0" w:type="auto"/>
            <w:vMerge/>
            <w:tcBorders>
              <w:top w:val="single" w:sz="2" w:space="0" w:color="auto"/>
              <w:left w:val="single" w:sz="2" w:space="0" w:color="auto"/>
              <w:bottom w:val="single" w:sz="2" w:space="0" w:color="auto"/>
              <w:right w:val="single" w:sz="2" w:space="0" w:color="auto"/>
            </w:tcBorders>
            <w:vAlign w:val="center"/>
          </w:tcPr>
          <w:p w:rsidR="00EE4502" w:rsidRDefault="00EE4502">
            <w:pPr>
              <w:widowControl/>
              <w:jc w:val="left"/>
              <w:rPr>
                <w:kern w:val="0"/>
                <w:szCs w:val="21"/>
              </w:rPr>
            </w:pPr>
          </w:p>
        </w:tc>
        <w:tc>
          <w:tcPr>
            <w:tcW w:w="0" w:type="auto"/>
            <w:vMerge/>
            <w:tcBorders>
              <w:top w:val="single" w:sz="2" w:space="0" w:color="auto"/>
              <w:left w:val="single" w:sz="2" w:space="0" w:color="auto"/>
              <w:bottom w:val="single" w:sz="2" w:space="0" w:color="auto"/>
              <w:right w:val="single" w:sz="2" w:space="0" w:color="auto"/>
            </w:tcBorders>
            <w:vAlign w:val="center"/>
          </w:tcPr>
          <w:p w:rsidR="00EE4502" w:rsidRDefault="00EE4502">
            <w:pPr>
              <w:widowControl/>
              <w:jc w:val="left"/>
              <w:rPr>
                <w:kern w:val="0"/>
                <w:szCs w:val="21"/>
              </w:rPr>
            </w:pPr>
          </w:p>
        </w:tc>
        <w:tc>
          <w:tcPr>
            <w:tcW w:w="0" w:type="auto"/>
            <w:vMerge/>
            <w:tcBorders>
              <w:top w:val="single" w:sz="2" w:space="0" w:color="auto"/>
              <w:left w:val="single" w:sz="2" w:space="0" w:color="auto"/>
              <w:bottom w:val="single" w:sz="2" w:space="0" w:color="auto"/>
              <w:right w:val="single" w:sz="2" w:space="0" w:color="auto"/>
            </w:tcBorders>
            <w:vAlign w:val="center"/>
          </w:tcPr>
          <w:p w:rsidR="00EE4502" w:rsidRDefault="00EE4502">
            <w:pPr>
              <w:widowControl/>
              <w:jc w:val="left"/>
              <w:rPr>
                <w:kern w:val="0"/>
                <w:szCs w:val="21"/>
              </w:rPr>
            </w:pPr>
          </w:p>
        </w:tc>
        <w:tc>
          <w:tcPr>
            <w:tcW w:w="0" w:type="auto"/>
            <w:vMerge/>
            <w:tcBorders>
              <w:top w:val="single" w:sz="2" w:space="0" w:color="auto"/>
              <w:left w:val="single" w:sz="2" w:space="0" w:color="auto"/>
              <w:bottom w:val="single" w:sz="2" w:space="0" w:color="auto"/>
              <w:right w:val="single" w:sz="2" w:space="0" w:color="auto"/>
            </w:tcBorders>
            <w:vAlign w:val="center"/>
          </w:tcPr>
          <w:p w:rsidR="00EE4502" w:rsidRDefault="00EE4502">
            <w:pPr>
              <w:widowControl/>
              <w:jc w:val="left"/>
              <w:rPr>
                <w:kern w:val="0"/>
                <w:szCs w:val="21"/>
              </w:rPr>
            </w:pPr>
          </w:p>
        </w:tc>
        <w:tc>
          <w:tcPr>
            <w:tcW w:w="1876" w:type="pct"/>
            <w:tcBorders>
              <w:top w:val="single" w:sz="2" w:space="0" w:color="auto"/>
              <w:left w:val="single" w:sz="2" w:space="0" w:color="auto"/>
              <w:bottom w:val="single" w:sz="2" w:space="0" w:color="auto"/>
              <w:right w:val="single" w:sz="2" w:space="0" w:color="auto"/>
            </w:tcBorders>
            <w:vAlign w:val="center"/>
          </w:tcPr>
          <w:p w:rsidR="00EE4502" w:rsidRDefault="00FD45A3">
            <w:pPr>
              <w:widowControl/>
              <w:adjustRightInd w:val="0"/>
              <w:snapToGrid w:val="0"/>
              <w:ind w:left="-50" w:right="-50"/>
              <w:jc w:val="center"/>
              <w:rPr>
                <w:kern w:val="0"/>
                <w:szCs w:val="21"/>
              </w:rPr>
            </w:pPr>
            <w:r>
              <w:rPr>
                <w:kern w:val="0"/>
                <w:szCs w:val="21"/>
              </w:rPr>
              <w:t>标准名称</w:t>
            </w:r>
          </w:p>
        </w:tc>
        <w:tc>
          <w:tcPr>
            <w:tcW w:w="647" w:type="pct"/>
            <w:tcBorders>
              <w:top w:val="single" w:sz="2" w:space="0" w:color="auto"/>
              <w:left w:val="single" w:sz="2" w:space="0" w:color="auto"/>
              <w:bottom w:val="single" w:sz="2" w:space="0" w:color="auto"/>
              <w:right w:val="single" w:sz="2" w:space="0" w:color="auto"/>
            </w:tcBorders>
            <w:vAlign w:val="center"/>
          </w:tcPr>
          <w:p w:rsidR="00EE4502" w:rsidRDefault="00FD45A3">
            <w:pPr>
              <w:widowControl/>
              <w:adjustRightInd w:val="0"/>
              <w:snapToGrid w:val="0"/>
              <w:ind w:leftChars="-50" w:left="-105" w:rightChars="-50" w:right="-105"/>
              <w:jc w:val="center"/>
              <w:rPr>
                <w:kern w:val="0"/>
                <w:szCs w:val="21"/>
              </w:rPr>
            </w:pPr>
            <w:r>
              <w:rPr>
                <w:kern w:val="0"/>
                <w:szCs w:val="21"/>
              </w:rPr>
              <w:t>浓度限值</w:t>
            </w:r>
          </w:p>
          <w:p w:rsidR="00EE4502" w:rsidRDefault="00FD45A3">
            <w:pPr>
              <w:widowControl/>
              <w:adjustRightInd w:val="0"/>
              <w:snapToGrid w:val="0"/>
              <w:ind w:leftChars="-50" w:left="-105" w:rightChars="-50" w:right="-105"/>
              <w:jc w:val="center"/>
              <w:rPr>
                <w:kern w:val="0"/>
                <w:szCs w:val="21"/>
              </w:rPr>
            </w:pPr>
            <w:r>
              <w:rPr>
                <w:kern w:val="0"/>
                <w:szCs w:val="21"/>
              </w:rPr>
              <w:t>（</w:t>
            </w:r>
            <w:r>
              <w:rPr>
                <w:kern w:val="0"/>
                <w:szCs w:val="21"/>
              </w:rPr>
              <w:t>mg/m</w:t>
            </w:r>
            <w:r>
              <w:rPr>
                <w:kern w:val="0"/>
                <w:szCs w:val="21"/>
                <w:vertAlign w:val="superscript"/>
              </w:rPr>
              <w:t>3</w:t>
            </w:r>
            <w:r>
              <w:rPr>
                <w:rFonts w:hint="eastAsia"/>
                <w:kern w:val="0"/>
                <w:szCs w:val="21"/>
                <w:vertAlign w:val="superscript"/>
              </w:rPr>
              <w:t>)</w:t>
            </w:r>
          </w:p>
        </w:tc>
        <w:tc>
          <w:tcPr>
            <w:tcW w:w="0" w:type="auto"/>
            <w:vMerge/>
            <w:tcBorders>
              <w:top w:val="single" w:sz="2" w:space="0" w:color="auto"/>
              <w:left w:val="single" w:sz="2" w:space="0" w:color="auto"/>
              <w:bottom w:val="single" w:sz="2" w:space="0" w:color="auto"/>
              <w:right w:val="single" w:sz="2" w:space="0" w:color="auto"/>
            </w:tcBorders>
            <w:vAlign w:val="center"/>
          </w:tcPr>
          <w:p w:rsidR="00EE4502" w:rsidRDefault="00EE4502">
            <w:pPr>
              <w:widowControl/>
              <w:jc w:val="left"/>
              <w:rPr>
                <w:kern w:val="0"/>
                <w:szCs w:val="21"/>
              </w:rPr>
            </w:pPr>
          </w:p>
        </w:tc>
      </w:tr>
      <w:tr w:rsidR="00EE4502">
        <w:trPr>
          <w:trHeight w:val="20"/>
        </w:trPr>
        <w:tc>
          <w:tcPr>
            <w:tcW w:w="5000" w:type="pct"/>
            <w:gridSpan w:val="7"/>
            <w:tcBorders>
              <w:top w:val="single" w:sz="2" w:space="0" w:color="auto"/>
              <w:left w:val="single" w:sz="2" w:space="0" w:color="auto"/>
              <w:bottom w:val="single" w:sz="2" w:space="0" w:color="auto"/>
              <w:right w:val="single" w:sz="2" w:space="0" w:color="auto"/>
            </w:tcBorders>
            <w:vAlign w:val="center"/>
          </w:tcPr>
          <w:p w:rsidR="00EE4502" w:rsidRDefault="00FD45A3">
            <w:pPr>
              <w:widowControl/>
              <w:adjustRightInd w:val="0"/>
              <w:snapToGrid w:val="0"/>
              <w:ind w:left="-50" w:right="-50"/>
              <w:jc w:val="center"/>
              <w:rPr>
                <w:kern w:val="0"/>
                <w:szCs w:val="21"/>
              </w:rPr>
            </w:pPr>
            <w:r>
              <w:rPr>
                <w:kern w:val="0"/>
                <w:szCs w:val="21"/>
              </w:rPr>
              <w:t>无组织排放</w:t>
            </w:r>
          </w:p>
        </w:tc>
      </w:tr>
      <w:tr w:rsidR="00EE4502">
        <w:trPr>
          <w:trHeight w:val="20"/>
        </w:trPr>
        <w:tc>
          <w:tcPr>
            <w:tcW w:w="347" w:type="pct"/>
            <w:tcBorders>
              <w:top w:val="single" w:sz="2" w:space="0" w:color="auto"/>
              <w:left w:val="single" w:sz="2" w:space="0" w:color="auto"/>
              <w:bottom w:val="single" w:sz="2" w:space="0" w:color="auto"/>
              <w:right w:val="single" w:sz="2" w:space="0" w:color="auto"/>
            </w:tcBorders>
            <w:vAlign w:val="center"/>
          </w:tcPr>
          <w:p w:rsidR="00EE4502" w:rsidRDefault="00FD45A3">
            <w:pPr>
              <w:widowControl/>
              <w:adjustRightInd w:val="0"/>
              <w:snapToGrid w:val="0"/>
              <w:ind w:left="-50" w:right="-50"/>
              <w:jc w:val="center"/>
              <w:rPr>
                <w:kern w:val="0"/>
                <w:szCs w:val="21"/>
              </w:rPr>
            </w:pPr>
            <w:r>
              <w:rPr>
                <w:kern w:val="0"/>
                <w:szCs w:val="21"/>
              </w:rPr>
              <w:t>2</w:t>
            </w:r>
          </w:p>
        </w:tc>
        <w:tc>
          <w:tcPr>
            <w:tcW w:w="450" w:type="pct"/>
            <w:tcBorders>
              <w:top w:val="single" w:sz="2" w:space="0" w:color="auto"/>
              <w:left w:val="single" w:sz="2" w:space="0" w:color="auto"/>
              <w:bottom w:val="single" w:sz="2" w:space="0" w:color="auto"/>
              <w:right w:val="single" w:sz="2" w:space="0" w:color="auto"/>
            </w:tcBorders>
            <w:vAlign w:val="center"/>
          </w:tcPr>
          <w:p w:rsidR="00EE4502" w:rsidRDefault="00FD45A3">
            <w:pPr>
              <w:widowControl/>
              <w:adjustRightInd w:val="0"/>
              <w:snapToGrid w:val="0"/>
              <w:ind w:left="-50" w:right="-50"/>
              <w:jc w:val="center"/>
              <w:rPr>
                <w:kern w:val="0"/>
                <w:szCs w:val="21"/>
              </w:rPr>
            </w:pPr>
            <w:r>
              <w:rPr>
                <w:kern w:val="0"/>
                <w:szCs w:val="21"/>
              </w:rPr>
              <w:t>井场</w:t>
            </w:r>
            <w:r>
              <w:rPr>
                <w:rFonts w:hint="eastAsia"/>
                <w:kern w:val="0"/>
                <w:szCs w:val="21"/>
              </w:rPr>
              <w:t>、</w:t>
            </w:r>
            <w:r>
              <w:rPr>
                <w:rFonts w:hint="eastAsia"/>
                <w:kern w:val="0"/>
                <w:szCs w:val="21"/>
              </w:rPr>
              <w:t>站场</w:t>
            </w:r>
          </w:p>
        </w:tc>
        <w:tc>
          <w:tcPr>
            <w:tcW w:w="531" w:type="pct"/>
            <w:tcBorders>
              <w:top w:val="single" w:sz="2" w:space="0" w:color="auto"/>
              <w:left w:val="single" w:sz="2" w:space="0" w:color="auto"/>
              <w:bottom w:val="single" w:sz="2" w:space="0" w:color="auto"/>
              <w:right w:val="single" w:sz="2" w:space="0" w:color="auto"/>
            </w:tcBorders>
            <w:vAlign w:val="center"/>
          </w:tcPr>
          <w:p w:rsidR="00EE4502" w:rsidRDefault="00FD45A3">
            <w:pPr>
              <w:widowControl/>
              <w:adjustRightInd w:val="0"/>
              <w:snapToGrid w:val="0"/>
              <w:ind w:left="-50" w:right="-50"/>
              <w:jc w:val="center"/>
              <w:rPr>
                <w:kern w:val="0"/>
                <w:szCs w:val="21"/>
              </w:rPr>
            </w:pPr>
            <w:r>
              <w:rPr>
                <w:rFonts w:hint="eastAsia"/>
                <w:kern w:val="0"/>
                <w:szCs w:val="21"/>
              </w:rPr>
              <w:t>NMHC</w:t>
            </w:r>
          </w:p>
        </w:tc>
        <w:tc>
          <w:tcPr>
            <w:tcW w:w="646" w:type="pct"/>
            <w:tcBorders>
              <w:top w:val="single" w:sz="2" w:space="0" w:color="auto"/>
              <w:left w:val="single" w:sz="2" w:space="0" w:color="auto"/>
              <w:bottom w:val="single" w:sz="2" w:space="0" w:color="auto"/>
              <w:right w:val="single" w:sz="2" w:space="0" w:color="auto"/>
            </w:tcBorders>
            <w:vAlign w:val="center"/>
          </w:tcPr>
          <w:p w:rsidR="00EE4502" w:rsidRDefault="00FD45A3">
            <w:pPr>
              <w:widowControl/>
              <w:adjustRightInd w:val="0"/>
              <w:snapToGrid w:val="0"/>
              <w:ind w:left="-50" w:right="-50"/>
              <w:jc w:val="center"/>
              <w:rPr>
                <w:kern w:val="0"/>
                <w:szCs w:val="21"/>
              </w:rPr>
            </w:pPr>
            <w:r>
              <w:rPr>
                <w:kern w:val="0"/>
                <w:szCs w:val="21"/>
              </w:rPr>
              <w:t>日常维护，做好密闭措施</w:t>
            </w:r>
          </w:p>
        </w:tc>
        <w:tc>
          <w:tcPr>
            <w:tcW w:w="1876" w:type="pct"/>
            <w:tcBorders>
              <w:top w:val="single" w:sz="2" w:space="0" w:color="auto"/>
              <w:left w:val="single" w:sz="2" w:space="0" w:color="auto"/>
              <w:bottom w:val="single" w:sz="2" w:space="0" w:color="auto"/>
              <w:right w:val="single" w:sz="2" w:space="0" w:color="auto"/>
            </w:tcBorders>
            <w:vAlign w:val="center"/>
          </w:tcPr>
          <w:p w:rsidR="00EE4502" w:rsidRDefault="00FD45A3">
            <w:pPr>
              <w:widowControl/>
              <w:adjustRightInd w:val="0"/>
              <w:snapToGrid w:val="0"/>
              <w:ind w:left="-50" w:right="-50"/>
              <w:jc w:val="center"/>
              <w:rPr>
                <w:kern w:val="0"/>
                <w:szCs w:val="21"/>
              </w:rPr>
            </w:pPr>
            <w:r>
              <w:rPr>
                <w:kern w:val="0"/>
                <w:szCs w:val="21"/>
              </w:rPr>
              <w:t>《陆上石油天然气开采工业大气污染物排放标准》（</w:t>
            </w:r>
            <w:r>
              <w:rPr>
                <w:kern w:val="0"/>
                <w:szCs w:val="21"/>
              </w:rPr>
              <w:t>GB39728-2020</w:t>
            </w:r>
            <w:r>
              <w:rPr>
                <w:kern w:val="0"/>
                <w:szCs w:val="21"/>
              </w:rPr>
              <w:t>））</w:t>
            </w:r>
          </w:p>
        </w:tc>
        <w:tc>
          <w:tcPr>
            <w:tcW w:w="647" w:type="pct"/>
            <w:tcBorders>
              <w:top w:val="single" w:sz="2" w:space="0" w:color="auto"/>
              <w:left w:val="single" w:sz="2" w:space="0" w:color="auto"/>
              <w:bottom w:val="single" w:sz="2" w:space="0" w:color="auto"/>
              <w:right w:val="single" w:sz="2" w:space="0" w:color="auto"/>
            </w:tcBorders>
            <w:vAlign w:val="center"/>
          </w:tcPr>
          <w:p w:rsidR="00EE4502" w:rsidRDefault="00FD45A3">
            <w:pPr>
              <w:widowControl/>
              <w:adjustRightInd w:val="0"/>
              <w:snapToGrid w:val="0"/>
              <w:ind w:left="-50" w:right="-50"/>
              <w:jc w:val="center"/>
              <w:rPr>
                <w:kern w:val="0"/>
                <w:szCs w:val="21"/>
              </w:rPr>
            </w:pPr>
            <w:r>
              <w:rPr>
                <w:rFonts w:hint="eastAsia"/>
                <w:kern w:val="0"/>
                <w:szCs w:val="21"/>
              </w:rPr>
              <w:t>厂界</w:t>
            </w:r>
            <w:r>
              <w:rPr>
                <w:kern w:val="0"/>
                <w:szCs w:val="21"/>
              </w:rPr>
              <w:t>外</w:t>
            </w:r>
          </w:p>
          <w:p w:rsidR="00EE4502" w:rsidRDefault="00FD45A3">
            <w:pPr>
              <w:widowControl/>
              <w:adjustRightInd w:val="0"/>
              <w:snapToGrid w:val="0"/>
              <w:ind w:left="-50" w:right="-50"/>
              <w:jc w:val="center"/>
              <w:rPr>
                <w:kern w:val="0"/>
                <w:szCs w:val="21"/>
              </w:rPr>
            </w:pPr>
            <w:r>
              <w:rPr>
                <w:kern w:val="0"/>
                <w:szCs w:val="21"/>
              </w:rPr>
              <w:t>4.0mg/m</w:t>
            </w:r>
            <w:r>
              <w:rPr>
                <w:kern w:val="0"/>
                <w:szCs w:val="21"/>
                <w:vertAlign w:val="superscript"/>
              </w:rPr>
              <w:t>3</w:t>
            </w:r>
          </w:p>
        </w:tc>
        <w:tc>
          <w:tcPr>
            <w:tcW w:w="500" w:type="pct"/>
            <w:tcBorders>
              <w:top w:val="single" w:sz="2" w:space="0" w:color="auto"/>
              <w:left w:val="single" w:sz="2" w:space="0" w:color="auto"/>
              <w:bottom w:val="single" w:sz="2" w:space="0" w:color="auto"/>
              <w:right w:val="single" w:sz="2" w:space="0" w:color="auto"/>
            </w:tcBorders>
            <w:vAlign w:val="center"/>
          </w:tcPr>
          <w:p w:rsidR="00EE4502" w:rsidRDefault="00FD45A3">
            <w:pPr>
              <w:widowControl/>
              <w:adjustRightInd w:val="0"/>
              <w:snapToGrid w:val="0"/>
              <w:ind w:left="-50" w:right="-50"/>
              <w:jc w:val="center"/>
              <w:rPr>
                <w:kern w:val="0"/>
                <w:szCs w:val="21"/>
              </w:rPr>
            </w:pPr>
            <w:r>
              <w:rPr>
                <w:rFonts w:hint="eastAsia"/>
                <w:kern w:val="0"/>
                <w:szCs w:val="21"/>
              </w:rPr>
              <w:t>2.893</w:t>
            </w:r>
          </w:p>
        </w:tc>
      </w:tr>
    </w:tbl>
    <w:p w:rsidR="00EE4502" w:rsidRDefault="00EE4502">
      <w:pPr>
        <w:jc w:val="center"/>
        <w:rPr>
          <w:sz w:val="18"/>
          <w:szCs w:val="18"/>
        </w:rPr>
      </w:pPr>
    </w:p>
    <w:p w:rsidR="00EE4502" w:rsidRDefault="00FD45A3">
      <w:pPr>
        <w:pStyle w:val="33"/>
        <w:numPr>
          <w:ilvl w:val="2"/>
          <w:numId w:val="30"/>
        </w:numPr>
        <w:spacing w:line="360" w:lineRule="auto"/>
        <w:ind w:left="0" w:firstLine="0"/>
        <w:rPr>
          <w:spacing w:val="0"/>
          <w:sz w:val="24"/>
          <w:szCs w:val="24"/>
        </w:rPr>
      </w:pPr>
      <w:r>
        <w:rPr>
          <w:rFonts w:hint="eastAsia"/>
          <w:spacing w:val="0"/>
          <w:sz w:val="24"/>
          <w:szCs w:val="24"/>
        </w:rPr>
        <w:t>退役期</w:t>
      </w:r>
      <w:r>
        <w:rPr>
          <w:spacing w:val="0"/>
          <w:sz w:val="24"/>
          <w:szCs w:val="24"/>
        </w:rPr>
        <w:t>环境空气影响分析</w:t>
      </w:r>
    </w:p>
    <w:p w:rsidR="00EE4502" w:rsidRDefault="00FD45A3">
      <w:pPr>
        <w:spacing w:line="360" w:lineRule="auto"/>
        <w:ind w:firstLine="482"/>
        <w:rPr>
          <w:sz w:val="24"/>
        </w:rPr>
      </w:pPr>
      <w:r>
        <w:rPr>
          <w:rFonts w:hint="eastAsia"/>
          <w:sz w:val="24"/>
        </w:rPr>
        <w:t>油井退役后各种相关辅助工作均停止，采油造成的环境空气污染源将消失，油井停止后将进行一系列清理工作，包括地面设施拆除、封井、井场清理等，将会产生少量扬尘。与当地自然条件导致的风沙相比较，清理过程中扬尘造成的环境影响是暂时的，且该区域内活动人群较少，主要为油田工作人员。</w:t>
      </w:r>
    </w:p>
    <w:p w:rsidR="00EE4502" w:rsidRDefault="00FD45A3">
      <w:pPr>
        <w:pStyle w:val="33"/>
        <w:numPr>
          <w:ilvl w:val="2"/>
          <w:numId w:val="30"/>
        </w:numPr>
        <w:spacing w:line="360" w:lineRule="auto"/>
        <w:ind w:left="0" w:firstLine="0"/>
        <w:rPr>
          <w:spacing w:val="0"/>
          <w:sz w:val="24"/>
          <w:szCs w:val="24"/>
        </w:rPr>
      </w:pPr>
      <w:r>
        <w:rPr>
          <w:rFonts w:hint="eastAsia"/>
          <w:spacing w:val="0"/>
          <w:sz w:val="24"/>
          <w:szCs w:val="24"/>
        </w:rPr>
        <w:t>大气环境影响自查表</w:t>
      </w:r>
    </w:p>
    <w:p w:rsidR="00EE4502" w:rsidRDefault="00FD45A3">
      <w:pPr>
        <w:spacing w:line="360" w:lineRule="auto"/>
        <w:ind w:firstLineChars="211" w:firstLine="506"/>
        <w:rPr>
          <w:rFonts w:eastAsia="黑体"/>
          <w:szCs w:val="21"/>
        </w:rPr>
      </w:pPr>
      <w:r>
        <w:rPr>
          <w:snapToGrid w:val="0"/>
          <w:kern w:val="0"/>
          <w:sz w:val="24"/>
        </w:rPr>
        <w:t>建设项目大气环境影响评价自查表见表</w:t>
      </w:r>
      <w:r>
        <w:rPr>
          <w:rFonts w:hint="eastAsia"/>
          <w:snapToGrid w:val="0"/>
          <w:kern w:val="0"/>
          <w:sz w:val="24"/>
        </w:rPr>
        <w:t>5-5-</w:t>
      </w:r>
      <w:r>
        <w:rPr>
          <w:rFonts w:hint="eastAsia"/>
          <w:snapToGrid w:val="0"/>
          <w:kern w:val="0"/>
          <w:sz w:val="24"/>
        </w:rPr>
        <w:t>8</w:t>
      </w:r>
      <w:r>
        <w:rPr>
          <w:snapToGrid w:val="0"/>
          <w:kern w:val="0"/>
          <w:sz w:val="24"/>
        </w:rPr>
        <w:t>。</w:t>
      </w:r>
    </w:p>
    <w:p w:rsidR="00EE4502" w:rsidRDefault="00FD45A3">
      <w:pPr>
        <w:autoSpaceDE w:val="0"/>
        <w:autoSpaceDN w:val="0"/>
        <w:spacing w:line="360" w:lineRule="auto"/>
        <w:jc w:val="center"/>
        <w:rPr>
          <w:rFonts w:eastAsia="黑体"/>
          <w:szCs w:val="21"/>
        </w:rPr>
      </w:pPr>
      <w:r>
        <w:rPr>
          <w:rFonts w:eastAsia="黑体"/>
          <w:szCs w:val="21"/>
        </w:rPr>
        <w:t>表</w:t>
      </w:r>
      <w:r>
        <w:rPr>
          <w:rFonts w:eastAsia="黑体" w:hint="eastAsia"/>
          <w:szCs w:val="21"/>
        </w:rPr>
        <w:t>5-5-</w:t>
      </w:r>
      <w:r>
        <w:rPr>
          <w:rFonts w:eastAsia="黑体" w:hint="eastAsia"/>
          <w:szCs w:val="21"/>
        </w:rPr>
        <w:t>8</w:t>
      </w:r>
      <w:r>
        <w:rPr>
          <w:rFonts w:eastAsia="黑体" w:hint="eastAsia"/>
          <w:szCs w:val="21"/>
        </w:rPr>
        <w:t xml:space="preserve"> </w:t>
      </w:r>
      <w:r>
        <w:rPr>
          <w:rFonts w:eastAsia="黑体"/>
          <w:szCs w:val="21"/>
        </w:rPr>
        <w:t xml:space="preserve">  </w:t>
      </w:r>
      <w:r>
        <w:rPr>
          <w:rFonts w:eastAsia="黑体"/>
          <w:szCs w:val="21"/>
        </w:rPr>
        <w:t>大气环境影响评价自查表</w:t>
      </w:r>
    </w:p>
    <w:tbl>
      <w:tblPr>
        <w:tblW w:w="5000" w:type="pct"/>
        <w:jc w:val="center"/>
        <w:tblBorders>
          <w:top w:val="single" w:sz="8" w:space="0" w:color="auto"/>
          <w:bottom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719"/>
        <w:gridCol w:w="1478"/>
        <w:gridCol w:w="1022"/>
        <w:gridCol w:w="254"/>
        <w:gridCol w:w="95"/>
        <w:gridCol w:w="231"/>
        <w:gridCol w:w="555"/>
        <w:gridCol w:w="43"/>
        <w:gridCol w:w="256"/>
        <w:gridCol w:w="306"/>
        <w:gridCol w:w="101"/>
        <w:gridCol w:w="43"/>
        <w:gridCol w:w="48"/>
        <w:gridCol w:w="95"/>
        <w:gridCol w:w="272"/>
        <w:gridCol w:w="98"/>
        <w:gridCol w:w="272"/>
        <w:gridCol w:w="189"/>
        <w:gridCol w:w="111"/>
        <w:gridCol w:w="331"/>
        <w:gridCol w:w="281"/>
        <w:gridCol w:w="125"/>
        <w:gridCol w:w="384"/>
        <w:gridCol w:w="444"/>
        <w:gridCol w:w="553"/>
      </w:tblGrid>
      <w:tr w:rsidR="00EE4502">
        <w:trPr>
          <w:trHeight w:val="340"/>
          <w:jc w:val="center"/>
        </w:trPr>
        <w:tc>
          <w:tcPr>
            <w:tcW w:w="1323" w:type="pct"/>
            <w:gridSpan w:val="2"/>
            <w:vAlign w:val="center"/>
          </w:tcPr>
          <w:p w:rsidR="00EE4502" w:rsidRDefault="00FD45A3">
            <w:pPr>
              <w:adjustRightInd w:val="0"/>
              <w:snapToGrid w:val="0"/>
              <w:jc w:val="center"/>
              <w:rPr>
                <w:sz w:val="18"/>
                <w:szCs w:val="18"/>
              </w:rPr>
            </w:pPr>
            <w:r>
              <w:rPr>
                <w:sz w:val="18"/>
                <w:szCs w:val="18"/>
              </w:rPr>
              <w:t>工作内容</w:t>
            </w:r>
          </w:p>
        </w:tc>
        <w:tc>
          <w:tcPr>
            <w:tcW w:w="3677" w:type="pct"/>
            <w:gridSpan w:val="23"/>
            <w:vAlign w:val="center"/>
          </w:tcPr>
          <w:p w:rsidR="00EE4502" w:rsidRDefault="00FD45A3">
            <w:pPr>
              <w:widowControl/>
              <w:adjustRightInd w:val="0"/>
              <w:snapToGrid w:val="0"/>
              <w:jc w:val="center"/>
              <w:rPr>
                <w:sz w:val="18"/>
                <w:szCs w:val="18"/>
              </w:rPr>
            </w:pPr>
            <w:r>
              <w:rPr>
                <w:sz w:val="18"/>
                <w:szCs w:val="18"/>
              </w:rPr>
              <w:t>自查项目</w:t>
            </w:r>
          </w:p>
        </w:tc>
      </w:tr>
      <w:tr w:rsidR="00EE4502">
        <w:trPr>
          <w:trHeight w:val="340"/>
          <w:jc w:val="center"/>
        </w:trPr>
        <w:tc>
          <w:tcPr>
            <w:tcW w:w="433" w:type="pct"/>
            <w:vMerge w:val="restart"/>
            <w:vAlign w:val="center"/>
          </w:tcPr>
          <w:p w:rsidR="00EE4502" w:rsidRDefault="00FD45A3">
            <w:pPr>
              <w:adjustRightInd w:val="0"/>
              <w:snapToGrid w:val="0"/>
              <w:jc w:val="center"/>
              <w:rPr>
                <w:sz w:val="18"/>
                <w:szCs w:val="18"/>
              </w:rPr>
            </w:pPr>
            <w:r>
              <w:rPr>
                <w:sz w:val="18"/>
                <w:szCs w:val="18"/>
              </w:rPr>
              <w:t>评价等级与范围</w:t>
            </w:r>
          </w:p>
        </w:tc>
        <w:tc>
          <w:tcPr>
            <w:tcW w:w="890" w:type="pct"/>
            <w:vAlign w:val="center"/>
          </w:tcPr>
          <w:p w:rsidR="00EE4502" w:rsidRDefault="00FD45A3">
            <w:pPr>
              <w:adjustRightInd w:val="0"/>
              <w:snapToGrid w:val="0"/>
              <w:jc w:val="center"/>
              <w:rPr>
                <w:sz w:val="18"/>
                <w:szCs w:val="18"/>
              </w:rPr>
            </w:pPr>
            <w:r>
              <w:rPr>
                <w:sz w:val="18"/>
                <w:szCs w:val="18"/>
              </w:rPr>
              <w:t>评价等级</w:t>
            </w:r>
          </w:p>
        </w:tc>
        <w:tc>
          <w:tcPr>
            <w:tcW w:w="1298" w:type="pct"/>
            <w:gridSpan w:val="5"/>
            <w:vAlign w:val="center"/>
          </w:tcPr>
          <w:p w:rsidR="00EE4502" w:rsidRDefault="00FD45A3">
            <w:pPr>
              <w:adjustRightInd w:val="0"/>
              <w:snapToGrid w:val="0"/>
              <w:jc w:val="center"/>
              <w:rPr>
                <w:sz w:val="18"/>
                <w:szCs w:val="18"/>
              </w:rPr>
            </w:pPr>
            <w:r>
              <w:rPr>
                <w:sz w:val="18"/>
                <w:szCs w:val="18"/>
              </w:rPr>
              <w:t>一级</w:t>
            </w:r>
            <w:r>
              <w:rPr>
                <w:sz w:val="18"/>
                <w:szCs w:val="18"/>
              </w:rPr>
              <w:sym w:font="Wingdings 2" w:char="00A3"/>
            </w:r>
          </w:p>
        </w:tc>
        <w:tc>
          <w:tcPr>
            <w:tcW w:w="1303" w:type="pct"/>
            <w:gridSpan w:val="13"/>
            <w:vAlign w:val="center"/>
          </w:tcPr>
          <w:p w:rsidR="00EE4502" w:rsidRDefault="00FD45A3">
            <w:pPr>
              <w:adjustRightInd w:val="0"/>
              <w:snapToGrid w:val="0"/>
              <w:jc w:val="center"/>
              <w:rPr>
                <w:sz w:val="18"/>
                <w:szCs w:val="18"/>
              </w:rPr>
            </w:pPr>
            <w:r>
              <w:rPr>
                <w:sz w:val="18"/>
                <w:szCs w:val="18"/>
              </w:rPr>
              <w:t>二级</w:t>
            </w:r>
            <w:r>
              <w:rPr>
                <w:sz w:val="18"/>
                <w:szCs w:val="18"/>
              </w:rPr>
              <w:sym w:font="Wingdings 2" w:char="0052"/>
            </w:r>
          </w:p>
        </w:tc>
        <w:tc>
          <w:tcPr>
            <w:tcW w:w="1076" w:type="pct"/>
            <w:gridSpan w:val="5"/>
            <w:vAlign w:val="center"/>
          </w:tcPr>
          <w:p w:rsidR="00EE4502" w:rsidRDefault="00FD45A3">
            <w:pPr>
              <w:adjustRightInd w:val="0"/>
              <w:snapToGrid w:val="0"/>
              <w:jc w:val="center"/>
              <w:rPr>
                <w:sz w:val="18"/>
                <w:szCs w:val="18"/>
              </w:rPr>
            </w:pPr>
            <w:r>
              <w:rPr>
                <w:sz w:val="18"/>
                <w:szCs w:val="18"/>
              </w:rPr>
              <w:t>三级</w:t>
            </w:r>
            <w:r>
              <w:rPr>
                <w:sz w:val="18"/>
                <w:szCs w:val="18"/>
              </w:rPr>
              <w:sym w:font="Wingdings 2" w:char="00A3"/>
            </w:r>
          </w:p>
        </w:tc>
      </w:tr>
      <w:tr w:rsidR="00EE4502">
        <w:trPr>
          <w:trHeight w:val="340"/>
          <w:jc w:val="center"/>
        </w:trPr>
        <w:tc>
          <w:tcPr>
            <w:tcW w:w="433" w:type="pct"/>
            <w:vMerge/>
            <w:vAlign w:val="center"/>
          </w:tcPr>
          <w:p w:rsidR="00EE4502" w:rsidRDefault="00EE4502">
            <w:pPr>
              <w:adjustRightInd w:val="0"/>
              <w:snapToGrid w:val="0"/>
              <w:jc w:val="center"/>
              <w:rPr>
                <w:sz w:val="18"/>
                <w:szCs w:val="18"/>
              </w:rPr>
            </w:pPr>
          </w:p>
        </w:tc>
        <w:tc>
          <w:tcPr>
            <w:tcW w:w="890" w:type="pct"/>
            <w:vAlign w:val="center"/>
          </w:tcPr>
          <w:p w:rsidR="00EE4502" w:rsidRDefault="00FD45A3">
            <w:pPr>
              <w:adjustRightInd w:val="0"/>
              <w:snapToGrid w:val="0"/>
              <w:jc w:val="center"/>
              <w:rPr>
                <w:sz w:val="18"/>
                <w:szCs w:val="18"/>
              </w:rPr>
            </w:pPr>
            <w:r>
              <w:rPr>
                <w:sz w:val="18"/>
                <w:szCs w:val="18"/>
              </w:rPr>
              <w:t>评价范围</w:t>
            </w:r>
          </w:p>
        </w:tc>
        <w:tc>
          <w:tcPr>
            <w:tcW w:w="1298" w:type="pct"/>
            <w:gridSpan w:val="5"/>
            <w:vAlign w:val="center"/>
          </w:tcPr>
          <w:p w:rsidR="00EE4502" w:rsidRDefault="00FD45A3">
            <w:pPr>
              <w:adjustRightInd w:val="0"/>
              <w:snapToGrid w:val="0"/>
              <w:jc w:val="center"/>
              <w:rPr>
                <w:sz w:val="18"/>
                <w:szCs w:val="18"/>
              </w:rPr>
            </w:pPr>
            <w:r>
              <w:rPr>
                <w:sz w:val="18"/>
                <w:szCs w:val="18"/>
              </w:rPr>
              <w:t>边长</w:t>
            </w:r>
            <w:r>
              <w:rPr>
                <w:sz w:val="18"/>
                <w:szCs w:val="18"/>
              </w:rPr>
              <w:t>=50km</w:t>
            </w:r>
            <w:r>
              <w:rPr>
                <w:sz w:val="18"/>
                <w:szCs w:val="18"/>
              </w:rPr>
              <w:sym w:font="Wingdings 2" w:char="00A3"/>
            </w:r>
          </w:p>
        </w:tc>
        <w:tc>
          <w:tcPr>
            <w:tcW w:w="1303" w:type="pct"/>
            <w:gridSpan w:val="13"/>
            <w:vAlign w:val="center"/>
          </w:tcPr>
          <w:p w:rsidR="00EE4502" w:rsidRDefault="00FD45A3">
            <w:pPr>
              <w:adjustRightInd w:val="0"/>
              <w:snapToGrid w:val="0"/>
              <w:jc w:val="center"/>
              <w:rPr>
                <w:sz w:val="18"/>
                <w:szCs w:val="18"/>
              </w:rPr>
            </w:pPr>
            <w:r>
              <w:rPr>
                <w:sz w:val="18"/>
                <w:szCs w:val="18"/>
              </w:rPr>
              <w:t>边长</w:t>
            </w:r>
            <w:r>
              <w:rPr>
                <w:sz w:val="18"/>
                <w:szCs w:val="18"/>
              </w:rPr>
              <w:t>5~50km</w:t>
            </w:r>
            <w:r>
              <w:rPr>
                <w:sz w:val="18"/>
                <w:szCs w:val="18"/>
              </w:rPr>
              <w:sym w:font="Wingdings 2" w:char="00A3"/>
            </w:r>
          </w:p>
        </w:tc>
        <w:tc>
          <w:tcPr>
            <w:tcW w:w="1076" w:type="pct"/>
            <w:gridSpan w:val="5"/>
            <w:vAlign w:val="center"/>
          </w:tcPr>
          <w:p w:rsidR="00EE4502" w:rsidRDefault="00FD45A3">
            <w:pPr>
              <w:adjustRightInd w:val="0"/>
              <w:snapToGrid w:val="0"/>
              <w:jc w:val="center"/>
              <w:rPr>
                <w:sz w:val="18"/>
                <w:szCs w:val="18"/>
              </w:rPr>
            </w:pPr>
            <w:r>
              <w:rPr>
                <w:sz w:val="18"/>
                <w:szCs w:val="18"/>
              </w:rPr>
              <w:t>边长</w:t>
            </w:r>
            <w:r>
              <w:rPr>
                <w:sz w:val="18"/>
                <w:szCs w:val="18"/>
              </w:rPr>
              <w:t>=5km</w:t>
            </w:r>
            <w:r>
              <w:rPr>
                <w:sz w:val="18"/>
                <w:szCs w:val="18"/>
              </w:rPr>
              <w:sym w:font="Wingdings 2" w:char="0052"/>
            </w:r>
          </w:p>
        </w:tc>
      </w:tr>
      <w:tr w:rsidR="00EE4502">
        <w:trPr>
          <w:trHeight w:val="340"/>
          <w:jc w:val="center"/>
        </w:trPr>
        <w:tc>
          <w:tcPr>
            <w:tcW w:w="433" w:type="pct"/>
            <w:vMerge w:val="restart"/>
            <w:vAlign w:val="center"/>
          </w:tcPr>
          <w:p w:rsidR="00EE4502" w:rsidRDefault="00FD45A3">
            <w:pPr>
              <w:adjustRightInd w:val="0"/>
              <w:snapToGrid w:val="0"/>
              <w:jc w:val="center"/>
              <w:rPr>
                <w:sz w:val="18"/>
                <w:szCs w:val="18"/>
              </w:rPr>
            </w:pPr>
            <w:r>
              <w:rPr>
                <w:sz w:val="18"/>
                <w:szCs w:val="18"/>
              </w:rPr>
              <w:lastRenderedPageBreak/>
              <w:t>评价因子</w:t>
            </w:r>
          </w:p>
        </w:tc>
        <w:tc>
          <w:tcPr>
            <w:tcW w:w="890" w:type="pct"/>
            <w:vAlign w:val="center"/>
          </w:tcPr>
          <w:p w:rsidR="00EE4502" w:rsidRDefault="00FD45A3">
            <w:pPr>
              <w:adjustRightInd w:val="0"/>
              <w:snapToGrid w:val="0"/>
              <w:jc w:val="center"/>
              <w:rPr>
                <w:sz w:val="18"/>
                <w:szCs w:val="18"/>
              </w:rPr>
            </w:pPr>
            <w:r>
              <w:rPr>
                <w:sz w:val="18"/>
                <w:szCs w:val="18"/>
              </w:rPr>
              <w:t>SO</w:t>
            </w:r>
            <w:r>
              <w:rPr>
                <w:sz w:val="18"/>
                <w:szCs w:val="18"/>
                <w:vertAlign w:val="subscript"/>
              </w:rPr>
              <w:t>2</w:t>
            </w:r>
            <w:r>
              <w:rPr>
                <w:sz w:val="18"/>
                <w:szCs w:val="18"/>
              </w:rPr>
              <w:t>+NO</w:t>
            </w:r>
            <w:r>
              <w:rPr>
                <w:sz w:val="18"/>
                <w:szCs w:val="18"/>
                <w:vertAlign w:val="subscript"/>
              </w:rPr>
              <w:t>2</w:t>
            </w:r>
            <w:r>
              <w:rPr>
                <w:sz w:val="18"/>
                <w:szCs w:val="18"/>
              </w:rPr>
              <w:t>排放量</w:t>
            </w:r>
          </w:p>
        </w:tc>
        <w:tc>
          <w:tcPr>
            <w:tcW w:w="1298" w:type="pct"/>
            <w:gridSpan w:val="5"/>
            <w:vAlign w:val="center"/>
          </w:tcPr>
          <w:p w:rsidR="00EE4502" w:rsidRDefault="00FD45A3">
            <w:pPr>
              <w:adjustRightInd w:val="0"/>
              <w:snapToGrid w:val="0"/>
              <w:jc w:val="center"/>
              <w:rPr>
                <w:sz w:val="18"/>
                <w:szCs w:val="18"/>
              </w:rPr>
            </w:pPr>
            <w:r>
              <w:rPr>
                <w:sz w:val="18"/>
                <w:szCs w:val="18"/>
              </w:rPr>
              <w:t>≥2000t/a</w:t>
            </w:r>
            <w:r>
              <w:rPr>
                <w:sz w:val="18"/>
                <w:szCs w:val="18"/>
              </w:rPr>
              <w:sym w:font="Wingdings 2" w:char="00A3"/>
            </w:r>
          </w:p>
        </w:tc>
        <w:tc>
          <w:tcPr>
            <w:tcW w:w="1303" w:type="pct"/>
            <w:gridSpan w:val="13"/>
            <w:vAlign w:val="center"/>
          </w:tcPr>
          <w:p w:rsidR="00EE4502" w:rsidRDefault="00FD45A3">
            <w:pPr>
              <w:adjustRightInd w:val="0"/>
              <w:snapToGrid w:val="0"/>
              <w:jc w:val="center"/>
              <w:rPr>
                <w:sz w:val="18"/>
                <w:szCs w:val="18"/>
              </w:rPr>
            </w:pPr>
            <w:r>
              <w:rPr>
                <w:sz w:val="18"/>
                <w:szCs w:val="18"/>
              </w:rPr>
              <w:t>500~2000t/a</w:t>
            </w:r>
            <w:r>
              <w:rPr>
                <w:sz w:val="18"/>
                <w:szCs w:val="18"/>
              </w:rPr>
              <w:sym w:font="Wingdings 2" w:char="00A3"/>
            </w:r>
          </w:p>
        </w:tc>
        <w:tc>
          <w:tcPr>
            <w:tcW w:w="1076" w:type="pct"/>
            <w:gridSpan w:val="5"/>
            <w:vAlign w:val="center"/>
          </w:tcPr>
          <w:p w:rsidR="00EE4502" w:rsidRDefault="00FD45A3">
            <w:pPr>
              <w:adjustRightInd w:val="0"/>
              <w:snapToGrid w:val="0"/>
              <w:jc w:val="center"/>
              <w:rPr>
                <w:sz w:val="18"/>
                <w:szCs w:val="18"/>
              </w:rPr>
            </w:pPr>
            <w:r>
              <w:rPr>
                <w:rFonts w:hint="eastAsia"/>
                <w:sz w:val="18"/>
                <w:szCs w:val="18"/>
              </w:rPr>
              <w:t>&lt;</w:t>
            </w:r>
            <w:r>
              <w:rPr>
                <w:sz w:val="18"/>
                <w:szCs w:val="18"/>
              </w:rPr>
              <w:t>500t/a</w:t>
            </w:r>
            <w:r>
              <w:rPr>
                <w:sz w:val="18"/>
                <w:szCs w:val="18"/>
              </w:rPr>
              <w:sym w:font="Wingdings 2" w:char="00A3"/>
            </w:r>
          </w:p>
        </w:tc>
      </w:tr>
      <w:tr w:rsidR="00EE4502">
        <w:trPr>
          <w:trHeight w:val="340"/>
          <w:jc w:val="center"/>
        </w:trPr>
        <w:tc>
          <w:tcPr>
            <w:tcW w:w="433" w:type="pct"/>
            <w:vMerge/>
            <w:vAlign w:val="center"/>
          </w:tcPr>
          <w:p w:rsidR="00EE4502" w:rsidRDefault="00EE4502">
            <w:pPr>
              <w:adjustRightInd w:val="0"/>
              <w:snapToGrid w:val="0"/>
              <w:jc w:val="center"/>
              <w:rPr>
                <w:sz w:val="18"/>
                <w:szCs w:val="18"/>
              </w:rPr>
            </w:pPr>
          </w:p>
        </w:tc>
        <w:tc>
          <w:tcPr>
            <w:tcW w:w="890" w:type="pct"/>
            <w:vAlign w:val="center"/>
          </w:tcPr>
          <w:p w:rsidR="00EE4502" w:rsidRDefault="00FD45A3">
            <w:pPr>
              <w:adjustRightInd w:val="0"/>
              <w:snapToGrid w:val="0"/>
              <w:jc w:val="center"/>
              <w:rPr>
                <w:sz w:val="18"/>
                <w:szCs w:val="18"/>
              </w:rPr>
            </w:pPr>
            <w:r>
              <w:rPr>
                <w:sz w:val="18"/>
                <w:szCs w:val="18"/>
              </w:rPr>
              <w:t>评价因子</w:t>
            </w:r>
          </w:p>
        </w:tc>
        <w:tc>
          <w:tcPr>
            <w:tcW w:w="2602" w:type="pct"/>
            <w:gridSpan w:val="18"/>
            <w:vAlign w:val="center"/>
          </w:tcPr>
          <w:p w:rsidR="00EE4502" w:rsidRDefault="00FD45A3">
            <w:pPr>
              <w:widowControl/>
              <w:adjustRightInd w:val="0"/>
              <w:snapToGrid w:val="0"/>
              <w:jc w:val="center"/>
              <w:rPr>
                <w:kern w:val="0"/>
                <w:sz w:val="18"/>
                <w:szCs w:val="18"/>
              </w:rPr>
            </w:pPr>
            <w:r>
              <w:rPr>
                <w:kern w:val="0"/>
                <w:sz w:val="18"/>
                <w:szCs w:val="18"/>
              </w:rPr>
              <w:t>基本污染物（</w:t>
            </w:r>
            <w:r>
              <w:rPr>
                <w:sz w:val="18"/>
                <w:szCs w:val="18"/>
              </w:rPr>
              <w:t>SO</w:t>
            </w:r>
            <w:r>
              <w:rPr>
                <w:sz w:val="18"/>
                <w:szCs w:val="18"/>
                <w:vertAlign w:val="subscript"/>
              </w:rPr>
              <w:t>2</w:t>
            </w:r>
            <w:r>
              <w:rPr>
                <w:sz w:val="18"/>
                <w:szCs w:val="18"/>
              </w:rPr>
              <w:t>、</w:t>
            </w:r>
            <w:r>
              <w:rPr>
                <w:sz w:val="18"/>
                <w:szCs w:val="18"/>
              </w:rPr>
              <w:t>NO</w:t>
            </w:r>
            <w:r>
              <w:rPr>
                <w:sz w:val="18"/>
                <w:szCs w:val="18"/>
                <w:vertAlign w:val="subscript"/>
              </w:rPr>
              <w:t>2</w:t>
            </w:r>
            <w:r>
              <w:rPr>
                <w:sz w:val="18"/>
                <w:szCs w:val="18"/>
              </w:rPr>
              <w:t>、</w:t>
            </w:r>
            <w:r>
              <w:rPr>
                <w:sz w:val="18"/>
                <w:szCs w:val="18"/>
              </w:rPr>
              <w:t>PM</w:t>
            </w:r>
            <w:r>
              <w:rPr>
                <w:sz w:val="18"/>
                <w:szCs w:val="18"/>
                <w:vertAlign w:val="subscript"/>
              </w:rPr>
              <w:t>10</w:t>
            </w:r>
            <w:r>
              <w:rPr>
                <w:sz w:val="18"/>
                <w:szCs w:val="18"/>
              </w:rPr>
              <w:t>、</w:t>
            </w:r>
            <w:r>
              <w:rPr>
                <w:sz w:val="18"/>
                <w:szCs w:val="18"/>
              </w:rPr>
              <w:t>PM</w:t>
            </w:r>
            <w:r>
              <w:rPr>
                <w:sz w:val="18"/>
                <w:szCs w:val="18"/>
                <w:vertAlign w:val="subscript"/>
              </w:rPr>
              <w:t>2.5</w:t>
            </w:r>
            <w:r>
              <w:rPr>
                <w:sz w:val="18"/>
                <w:szCs w:val="18"/>
              </w:rPr>
              <w:t>、</w:t>
            </w:r>
            <w:r>
              <w:rPr>
                <w:sz w:val="18"/>
                <w:szCs w:val="18"/>
              </w:rPr>
              <w:t>CO</w:t>
            </w:r>
            <w:r>
              <w:rPr>
                <w:sz w:val="18"/>
                <w:szCs w:val="18"/>
              </w:rPr>
              <w:t>和</w:t>
            </w:r>
            <w:r>
              <w:rPr>
                <w:sz w:val="18"/>
                <w:szCs w:val="18"/>
              </w:rPr>
              <w:t>O</w:t>
            </w:r>
            <w:r>
              <w:rPr>
                <w:sz w:val="18"/>
                <w:szCs w:val="18"/>
                <w:vertAlign w:val="subscript"/>
              </w:rPr>
              <w:t>3</w:t>
            </w:r>
            <w:r>
              <w:rPr>
                <w:kern w:val="0"/>
                <w:sz w:val="18"/>
                <w:szCs w:val="18"/>
              </w:rPr>
              <w:t>）</w:t>
            </w:r>
          </w:p>
          <w:p w:rsidR="00EE4502" w:rsidRDefault="00FD45A3">
            <w:pPr>
              <w:adjustRightInd w:val="0"/>
              <w:snapToGrid w:val="0"/>
              <w:jc w:val="center"/>
              <w:rPr>
                <w:sz w:val="18"/>
                <w:szCs w:val="18"/>
              </w:rPr>
            </w:pPr>
            <w:r>
              <w:rPr>
                <w:kern w:val="0"/>
                <w:sz w:val="18"/>
                <w:szCs w:val="18"/>
              </w:rPr>
              <w:t>其他污染物（非甲烷总烃、硫化氢）</w:t>
            </w:r>
          </w:p>
        </w:tc>
        <w:tc>
          <w:tcPr>
            <w:tcW w:w="1076" w:type="pct"/>
            <w:gridSpan w:val="5"/>
            <w:vAlign w:val="center"/>
          </w:tcPr>
          <w:p w:rsidR="00EE4502" w:rsidRDefault="00FD45A3">
            <w:pPr>
              <w:adjustRightInd w:val="0"/>
              <w:snapToGrid w:val="0"/>
              <w:jc w:val="center"/>
              <w:rPr>
                <w:sz w:val="18"/>
                <w:szCs w:val="18"/>
              </w:rPr>
            </w:pPr>
            <w:r>
              <w:rPr>
                <w:sz w:val="18"/>
                <w:szCs w:val="18"/>
              </w:rPr>
              <w:t xml:space="preserve">  </w:t>
            </w:r>
            <w:r>
              <w:rPr>
                <w:sz w:val="18"/>
                <w:szCs w:val="18"/>
              </w:rPr>
              <w:t>包括二次</w:t>
            </w:r>
            <w:r>
              <w:rPr>
                <w:sz w:val="18"/>
                <w:szCs w:val="18"/>
              </w:rPr>
              <w:t>PM2.5</w:t>
            </w:r>
            <w:r>
              <w:rPr>
                <w:sz w:val="18"/>
                <w:szCs w:val="18"/>
              </w:rPr>
              <w:sym w:font="Wingdings 2" w:char="00A3"/>
            </w:r>
          </w:p>
          <w:p w:rsidR="00EE4502" w:rsidRDefault="00FD45A3">
            <w:pPr>
              <w:adjustRightInd w:val="0"/>
              <w:snapToGrid w:val="0"/>
              <w:jc w:val="center"/>
              <w:rPr>
                <w:sz w:val="18"/>
                <w:szCs w:val="18"/>
              </w:rPr>
            </w:pPr>
            <w:r>
              <w:rPr>
                <w:sz w:val="18"/>
                <w:szCs w:val="18"/>
              </w:rPr>
              <w:t>不包括二次</w:t>
            </w:r>
            <w:r>
              <w:rPr>
                <w:sz w:val="18"/>
                <w:szCs w:val="18"/>
              </w:rPr>
              <w:t>PM2.5</w:t>
            </w:r>
            <w:r>
              <w:rPr>
                <w:sz w:val="18"/>
                <w:szCs w:val="18"/>
              </w:rPr>
              <w:sym w:font="Wingdings 2" w:char="00A3"/>
            </w:r>
          </w:p>
        </w:tc>
      </w:tr>
      <w:tr w:rsidR="00EE4502">
        <w:trPr>
          <w:trHeight w:val="340"/>
          <w:jc w:val="center"/>
        </w:trPr>
        <w:tc>
          <w:tcPr>
            <w:tcW w:w="433" w:type="pct"/>
            <w:vAlign w:val="center"/>
          </w:tcPr>
          <w:p w:rsidR="00EE4502" w:rsidRDefault="00FD45A3">
            <w:pPr>
              <w:adjustRightInd w:val="0"/>
              <w:snapToGrid w:val="0"/>
              <w:jc w:val="center"/>
              <w:rPr>
                <w:sz w:val="18"/>
                <w:szCs w:val="18"/>
              </w:rPr>
            </w:pPr>
            <w:r>
              <w:rPr>
                <w:sz w:val="18"/>
                <w:szCs w:val="18"/>
              </w:rPr>
              <w:t>评价标准</w:t>
            </w:r>
          </w:p>
        </w:tc>
        <w:tc>
          <w:tcPr>
            <w:tcW w:w="890" w:type="pct"/>
            <w:vAlign w:val="center"/>
          </w:tcPr>
          <w:p w:rsidR="00EE4502" w:rsidRDefault="00FD45A3">
            <w:pPr>
              <w:adjustRightInd w:val="0"/>
              <w:snapToGrid w:val="0"/>
              <w:jc w:val="center"/>
              <w:rPr>
                <w:sz w:val="18"/>
                <w:szCs w:val="18"/>
              </w:rPr>
            </w:pPr>
            <w:r>
              <w:rPr>
                <w:sz w:val="18"/>
                <w:szCs w:val="18"/>
              </w:rPr>
              <w:t>评价标准</w:t>
            </w:r>
          </w:p>
        </w:tc>
        <w:tc>
          <w:tcPr>
            <w:tcW w:w="825" w:type="pct"/>
            <w:gridSpan w:val="3"/>
            <w:vAlign w:val="center"/>
          </w:tcPr>
          <w:p w:rsidR="00EE4502" w:rsidRDefault="00FD45A3">
            <w:pPr>
              <w:adjustRightInd w:val="0"/>
              <w:snapToGrid w:val="0"/>
              <w:jc w:val="center"/>
              <w:rPr>
                <w:sz w:val="18"/>
                <w:szCs w:val="18"/>
              </w:rPr>
            </w:pPr>
            <w:r>
              <w:rPr>
                <w:sz w:val="18"/>
                <w:szCs w:val="18"/>
              </w:rPr>
              <w:t>国家标准</w:t>
            </w:r>
            <w:r>
              <w:rPr>
                <w:sz w:val="18"/>
                <w:szCs w:val="18"/>
              </w:rPr>
              <w:sym w:font="Wingdings 2" w:char="0052"/>
            </w:r>
          </w:p>
        </w:tc>
        <w:tc>
          <w:tcPr>
            <w:tcW w:w="924" w:type="pct"/>
            <w:gridSpan w:val="7"/>
            <w:vAlign w:val="center"/>
          </w:tcPr>
          <w:p w:rsidR="00EE4502" w:rsidRDefault="00FD45A3">
            <w:pPr>
              <w:adjustRightInd w:val="0"/>
              <w:snapToGrid w:val="0"/>
              <w:jc w:val="center"/>
              <w:rPr>
                <w:sz w:val="18"/>
                <w:szCs w:val="18"/>
              </w:rPr>
            </w:pPr>
            <w:r>
              <w:rPr>
                <w:sz w:val="18"/>
                <w:szCs w:val="18"/>
              </w:rPr>
              <w:t>地方标准</w:t>
            </w:r>
            <w:r>
              <w:rPr>
                <w:sz w:val="18"/>
                <w:szCs w:val="18"/>
              </w:rPr>
              <w:sym w:font="Wingdings 2" w:char="00A3"/>
            </w:r>
          </w:p>
        </w:tc>
        <w:tc>
          <w:tcPr>
            <w:tcW w:w="852" w:type="pct"/>
            <w:gridSpan w:val="8"/>
            <w:vAlign w:val="center"/>
          </w:tcPr>
          <w:p w:rsidR="00EE4502" w:rsidRDefault="00FD45A3">
            <w:pPr>
              <w:adjustRightInd w:val="0"/>
              <w:snapToGrid w:val="0"/>
              <w:jc w:val="center"/>
              <w:rPr>
                <w:sz w:val="18"/>
                <w:szCs w:val="18"/>
              </w:rPr>
            </w:pPr>
            <w:r>
              <w:rPr>
                <w:sz w:val="18"/>
                <w:szCs w:val="18"/>
              </w:rPr>
              <w:t>附录</w:t>
            </w:r>
            <w:r>
              <w:rPr>
                <w:sz w:val="18"/>
                <w:szCs w:val="18"/>
              </w:rPr>
              <w:t>D</w:t>
            </w:r>
            <w:r>
              <w:rPr>
                <w:sz w:val="18"/>
                <w:szCs w:val="18"/>
              </w:rPr>
              <w:sym w:font="Wingdings 2" w:char="0052"/>
            </w:r>
          </w:p>
        </w:tc>
        <w:tc>
          <w:tcPr>
            <w:tcW w:w="1076" w:type="pct"/>
            <w:gridSpan w:val="5"/>
            <w:vAlign w:val="center"/>
          </w:tcPr>
          <w:p w:rsidR="00EE4502" w:rsidRDefault="00FD45A3">
            <w:pPr>
              <w:adjustRightInd w:val="0"/>
              <w:snapToGrid w:val="0"/>
              <w:jc w:val="center"/>
              <w:rPr>
                <w:sz w:val="18"/>
                <w:szCs w:val="18"/>
              </w:rPr>
            </w:pPr>
            <w:r>
              <w:rPr>
                <w:sz w:val="18"/>
                <w:szCs w:val="18"/>
              </w:rPr>
              <w:t>其他标准</w:t>
            </w:r>
            <w:r>
              <w:rPr>
                <w:sz w:val="18"/>
                <w:szCs w:val="18"/>
              </w:rPr>
              <w:sym w:font="Wingdings 2" w:char="00A3"/>
            </w:r>
          </w:p>
        </w:tc>
      </w:tr>
      <w:tr w:rsidR="00EE4502">
        <w:trPr>
          <w:trHeight w:val="340"/>
          <w:jc w:val="center"/>
        </w:trPr>
        <w:tc>
          <w:tcPr>
            <w:tcW w:w="433" w:type="pct"/>
            <w:vMerge w:val="restart"/>
            <w:vAlign w:val="center"/>
          </w:tcPr>
          <w:p w:rsidR="00EE4502" w:rsidRDefault="00FD45A3">
            <w:pPr>
              <w:adjustRightInd w:val="0"/>
              <w:snapToGrid w:val="0"/>
              <w:jc w:val="center"/>
              <w:rPr>
                <w:sz w:val="18"/>
                <w:szCs w:val="18"/>
              </w:rPr>
            </w:pPr>
            <w:r>
              <w:rPr>
                <w:sz w:val="18"/>
                <w:szCs w:val="18"/>
              </w:rPr>
              <w:t>现状评价</w:t>
            </w:r>
          </w:p>
        </w:tc>
        <w:tc>
          <w:tcPr>
            <w:tcW w:w="890" w:type="pct"/>
            <w:vAlign w:val="center"/>
          </w:tcPr>
          <w:p w:rsidR="00EE4502" w:rsidRDefault="00FD45A3">
            <w:pPr>
              <w:adjustRightInd w:val="0"/>
              <w:snapToGrid w:val="0"/>
              <w:jc w:val="center"/>
              <w:rPr>
                <w:sz w:val="18"/>
                <w:szCs w:val="18"/>
              </w:rPr>
            </w:pPr>
            <w:r>
              <w:rPr>
                <w:sz w:val="18"/>
                <w:szCs w:val="18"/>
              </w:rPr>
              <w:t>环境功能区</w:t>
            </w:r>
          </w:p>
        </w:tc>
        <w:tc>
          <w:tcPr>
            <w:tcW w:w="1749" w:type="pct"/>
            <w:gridSpan w:val="10"/>
            <w:vAlign w:val="center"/>
          </w:tcPr>
          <w:p w:rsidR="00EE4502" w:rsidRDefault="00FD45A3">
            <w:pPr>
              <w:adjustRightInd w:val="0"/>
              <w:snapToGrid w:val="0"/>
              <w:jc w:val="center"/>
              <w:rPr>
                <w:sz w:val="18"/>
                <w:szCs w:val="18"/>
              </w:rPr>
            </w:pPr>
            <w:r>
              <w:rPr>
                <w:sz w:val="18"/>
                <w:szCs w:val="18"/>
              </w:rPr>
              <w:t>一类区</w:t>
            </w:r>
            <w:r>
              <w:rPr>
                <w:sz w:val="18"/>
                <w:szCs w:val="18"/>
              </w:rPr>
              <w:sym w:font="Wingdings 2" w:char="00A3"/>
            </w:r>
          </w:p>
        </w:tc>
        <w:tc>
          <w:tcPr>
            <w:tcW w:w="852" w:type="pct"/>
            <w:gridSpan w:val="8"/>
            <w:vAlign w:val="center"/>
          </w:tcPr>
          <w:p w:rsidR="00EE4502" w:rsidRDefault="00FD45A3">
            <w:pPr>
              <w:adjustRightInd w:val="0"/>
              <w:snapToGrid w:val="0"/>
              <w:jc w:val="center"/>
              <w:rPr>
                <w:sz w:val="18"/>
                <w:szCs w:val="18"/>
              </w:rPr>
            </w:pPr>
            <w:r>
              <w:rPr>
                <w:sz w:val="18"/>
                <w:szCs w:val="18"/>
              </w:rPr>
              <w:t>二类区</w:t>
            </w:r>
            <w:r>
              <w:rPr>
                <w:sz w:val="18"/>
                <w:szCs w:val="18"/>
              </w:rPr>
              <w:sym w:font="Wingdings 2" w:char="0052"/>
            </w:r>
          </w:p>
        </w:tc>
        <w:tc>
          <w:tcPr>
            <w:tcW w:w="1076" w:type="pct"/>
            <w:gridSpan w:val="5"/>
            <w:vAlign w:val="center"/>
          </w:tcPr>
          <w:p w:rsidR="00EE4502" w:rsidRDefault="00FD45A3">
            <w:pPr>
              <w:adjustRightInd w:val="0"/>
              <w:snapToGrid w:val="0"/>
              <w:jc w:val="center"/>
              <w:rPr>
                <w:sz w:val="18"/>
                <w:szCs w:val="18"/>
              </w:rPr>
            </w:pPr>
            <w:r>
              <w:rPr>
                <w:sz w:val="18"/>
                <w:szCs w:val="18"/>
              </w:rPr>
              <w:t>一类区和二类区</w:t>
            </w:r>
            <w:r>
              <w:rPr>
                <w:sz w:val="18"/>
                <w:szCs w:val="18"/>
              </w:rPr>
              <w:sym w:font="Wingdings 2" w:char="00A3"/>
            </w:r>
          </w:p>
        </w:tc>
      </w:tr>
      <w:tr w:rsidR="00EE4502">
        <w:trPr>
          <w:trHeight w:val="340"/>
          <w:jc w:val="center"/>
        </w:trPr>
        <w:tc>
          <w:tcPr>
            <w:tcW w:w="433" w:type="pct"/>
            <w:vMerge/>
            <w:vAlign w:val="center"/>
          </w:tcPr>
          <w:p w:rsidR="00EE4502" w:rsidRDefault="00EE4502">
            <w:pPr>
              <w:adjustRightInd w:val="0"/>
              <w:snapToGrid w:val="0"/>
              <w:jc w:val="center"/>
              <w:rPr>
                <w:sz w:val="18"/>
                <w:szCs w:val="18"/>
              </w:rPr>
            </w:pPr>
          </w:p>
        </w:tc>
        <w:tc>
          <w:tcPr>
            <w:tcW w:w="890" w:type="pct"/>
            <w:vAlign w:val="center"/>
          </w:tcPr>
          <w:p w:rsidR="00EE4502" w:rsidRDefault="00FD45A3">
            <w:pPr>
              <w:adjustRightInd w:val="0"/>
              <w:snapToGrid w:val="0"/>
              <w:jc w:val="center"/>
              <w:rPr>
                <w:sz w:val="18"/>
                <w:szCs w:val="18"/>
              </w:rPr>
            </w:pPr>
            <w:r>
              <w:rPr>
                <w:sz w:val="18"/>
                <w:szCs w:val="18"/>
              </w:rPr>
              <w:t>评价基准年</w:t>
            </w:r>
          </w:p>
        </w:tc>
        <w:tc>
          <w:tcPr>
            <w:tcW w:w="3677" w:type="pct"/>
            <w:gridSpan w:val="23"/>
            <w:vAlign w:val="center"/>
          </w:tcPr>
          <w:p w:rsidR="00EE4502" w:rsidRDefault="00FD45A3">
            <w:pPr>
              <w:adjustRightInd w:val="0"/>
              <w:snapToGrid w:val="0"/>
              <w:jc w:val="center"/>
              <w:rPr>
                <w:sz w:val="18"/>
                <w:szCs w:val="18"/>
              </w:rPr>
            </w:pPr>
            <w:r>
              <w:rPr>
                <w:sz w:val="18"/>
                <w:szCs w:val="18"/>
              </w:rPr>
              <w:t>（</w:t>
            </w:r>
            <w:r>
              <w:rPr>
                <w:sz w:val="18"/>
                <w:szCs w:val="18"/>
              </w:rPr>
              <w:t>202</w:t>
            </w:r>
            <w:r>
              <w:rPr>
                <w:rFonts w:hint="eastAsia"/>
                <w:sz w:val="18"/>
                <w:szCs w:val="18"/>
              </w:rPr>
              <w:t>3</w:t>
            </w:r>
            <w:r>
              <w:rPr>
                <w:sz w:val="18"/>
                <w:szCs w:val="18"/>
              </w:rPr>
              <w:t>）年</w:t>
            </w:r>
          </w:p>
        </w:tc>
      </w:tr>
      <w:tr w:rsidR="00EE4502">
        <w:trPr>
          <w:trHeight w:val="340"/>
          <w:jc w:val="center"/>
        </w:trPr>
        <w:tc>
          <w:tcPr>
            <w:tcW w:w="433" w:type="pct"/>
            <w:vMerge/>
            <w:vAlign w:val="center"/>
          </w:tcPr>
          <w:p w:rsidR="00EE4502" w:rsidRDefault="00EE4502">
            <w:pPr>
              <w:adjustRightInd w:val="0"/>
              <w:snapToGrid w:val="0"/>
              <w:jc w:val="center"/>
              <w:rPr>
                <w:sz w:val="18"/>
                <w:szCs w:val="18"/>
              </w:rPr>
            </w:pPr>
          </w:p>
        </w:tc>
        <w:tc>
          <w:tcPr>
            <w:tcW w:w="890" w:type="pct"/>
            <w:vAlign w:val="center"/>
          </w:tcPr>
          <w:p w:rsidR="00EE4502" w:rsidRDefault="00FD45A3">
            <w:pPr>
              <w:adjustRightInd w:val="0"/>
              <w:snapToGrid w:val="0"/>
              <w:jc w:val="center"/>
              <w:rPr>
                <w:sz w:val="18"/>
                <w:szCs w:val="18"/>
              </w:rPr>
            </w:pPr>
            <w:r>
              <w:rPr>
                <w:sz w:val="18"/>
                <w:szCs w:val="18"/>
              </w:rPr>
              <w:t>环境空气质量现状调查数据来源</w:t>
            </w:r>
          </w:p>
        </w:tc>
        <w:tc>
          <w:tcPr>
            <w:tcW w:w="1298" w:type="pct"/>
            <w:gridSpan w:val="5"/>
            <w:vAlign w:val="center"/>
          </w:tcPr>
          <w:p w:rsidR="00EE4502" w:rsidRDefault="00FD45A3">
            <w:pPr>
              <w:adjustRightInd w:val="0"/>
              <w:snapToGrid w:val="0"/>
              <w:jc w:val="center"/>
              <w:rPr>
                <w:sz w:val="18"/>
                <w:szCs w:val="18"/>
              </w:rPr>
            </w:pPr>
            <w:r>
              <w:rPr>
                <w:sz w:val="18"/>
                <w:szCs w:val="18"/>
              </w:rPr>
              <w:t>长期例行监测数据</w:t>
            </w:r>
            <w:r>
              <w:rPr>
                <w:sz w:val="18"/>
                <w:szCs w:val="18"/>
              </w:rPr>
              <w:sym w:font="Wingdings 2" w:char="00A3"/>
            </w:r>
          </w:p>
        </w:tc>
        <w:tc>
          <w:tcPr>
            <w:tcW w:w="1105" w:type="pct"/>
            <w:gridSpan w:val="12"/>
            <w:vAlign w:val="center"/>
          </w:tcPr>
          <w:p w:rsidR="00EE4502" w:rsidRDefault="00FD45A3">
            <w:pPr>
              <w:adjustRightInd w:val="0"/>
              <w:snapToGrid w:val="0"/>
              <w:jc w:val="center"/>
              <w:rPr>
                <w:sz w:val="18"/>
                <w:szCs w:val="18"/>
              </w:rPr>
            </w:pPr>
            <w:r>
              <w:rPr>
                <w:sz w:val="18"/>
                <w:szCs w:val="18"/>
              </w:rPr>
              <w:t>主管部门发布的数据</w:t>
            </w:r>
            <w:r>
              <w:rPr>
                <w:sz w:val="18"/>
                <w:szCs w:val="18"/>
              </w:rPr>
              <w:sym w:font="Wingdings 2" w:char="0052"/>
            </w:r>
          </w:p>
        </w:tc>
        <w:tc>
          <w:tcPr>
            <w:tcW w:w="1274" w:type="pct"/>
            <w:gridSpan w:val="6"/>
            <w:vAlign w:val="center"/>
          </w:tcPr>
          <w:p w:rsidR="00EE4502" w:rsidRDefault="00FD45A3">
            <w:pPr>
              <w:adjustRightInd w:val="0"/>
              <w:snapToGrid w:val="0"/>
              <w:jc w:val="center"/>
              <w:rPr>
                <w:sz w:val="18"/>
                <w:szCs w:val="18"/>
              </w:rPr>
            </w:pPr>
            <w:r>
              <w:rPr>
                <w:sz w:val="18"/>
                <w:szCs w:val="18"/>
              </w:rPr>
              <w:t>现状补充监测</w:t>
            </w:r>
            <w:r>
              <w:rPr>
                <w:sz w:val="18"/>
                <w:szCs w:val="18"/>
              </w:rPr>
              <w:sym w:font="Wingdings 2" w:char="0052"/>
            </w:r>
          </w:p>
        </w:tc>
      </w:tr>
      <w:tr w:rsidR="00EE4502">
        <w:trPr>
          <w:trHeight w:val="340"/>
          <w:jc w:val="center"/>
        </w:trPr>
        <w:tc>
          <w:tcPr>
            <w:tcW w:w="433" w:type="pct"/>
            <w:vMerge/>
            <w:vAlign w:val="center"/>
          </w:tcPr>
          <w:p w:rsidR="00EE4502" w:rsidRDefault="00EE4502">
            <w:pPr>
              <w:adjustRightInd w:val="0"/>
              <w:snapToGrid w:val="0"/>
              <w:jc w:val="center"/>
              <w:rPr>
                <w:sz w:val="18"/>
                <w:szCs w:val="18"/>
              </w:rPr>
            </w:pPr>
          </w:p>
        </w:tc>
        <w:tc>
          <w:tcPr>
            <w:tcW w:w="890" w:type="pct"/>
            <w:vAlign w:val="center"/>
          </w:tcPr>
          <w:p w:rsidR="00EE4502" w:rsidRDefault="00FD45A3">
            <w:pPr>
              <w:adjustRightInd w:val="0"/>
              <w:snapToGrid w:val="0"/>
              <w:jc w:val="center"/>
              <w:rPr>
                <w:sz w:val="18"/>
                <w:szCs w:val="18"/>
              </w:rPr>
            </w:pPr>
            <w:r>
              <w:rPr>
                <w:sz w:val="18"/>
                <w:szCs w:val="18"/>
              </w:rPr>
              <w:t>现状评价</w:t>
            </w:r>
          </w:p>
        </w:tc>
        <w:tc>
          <w:tcPr>
            <w:tcW w:w="1723" w:type="pct"/>
            <w:gridSpan w:val="9"/>
            <w:vAlign w:val="center"/>
          </w:tcPr>
          <w:p w:rsidR="00EE4502" w:rsidRDefault="00FD45A3">
            <w:pPr>
              <w:adjustRightInd w:val="0"/>
              <w:snapToGrid w:val="0"/>
              <w:jc w:val="center"/>
              <w:rPr>
                <w:sz w:val="18"/>
                <w:szCs w:val="18"/>
              </w:rPr>
            </w:pPr>
            <w:r>
              <w:rPr>
                <w:sz w:val="18"/>
                <w:szCs w:val="18"/>
              </w:rPr>
              <w:t>达标区</w:t>
            </w:r>
            <w:r>
              <w:rPr>
                <w:sz w:val="18"/>
                <w:szCs w:val="18"/>
              </w:rPr>
              <w:sym w:font="Wingdings 2" w:char="0052"/>
            </w:r>
          </w:p>
        </w:tc>
        <w:tc>
          <w:tcPr>
            <w:tcW w:w="1954" w:type="pct"/>
            <w:gridSpan w:val="14"/>
            <w:vAlign w:val="center"/>
          </w:tcPr>
          <w:p w:rsidR="00EE4502" w:rsidRDefault="00FD45A3">
            <w:pPr>
              <w:adjustRightInd w:val="0"/>
              <w:snapToGrid w:val="0"/>
              <w:jc w:val="center"/>
              <w:rPr>
                <w:sz w:val="18"/>
                <w:szCs w:val="18"/>
              </w:rPr>
            </w:pPr>
            <w:r>
              <w:rPr>
                <w:sz w:val="18"/>
                <w:szCs w:val="18"/>
              </w:rPr>
              <w:t>不达标区</w:t>
            </w:r>
            <w:r>
              <w:rPr>
                <w:sz w:val="18"/>
                <w:szCs w:val="18"/>
              </w:rPr>
              <w:sym w:font="Wingdings 2" w:char="00A3"/>
            </w:r>
          </w:p>
        </w:tc>
      </w:tr>
      <w:tr w:rsidR="00EE4502">
        <w:trPr>
          <w:trHeight w:val="340"/>
          <w:jc w:val="center"/>
        </w:trPr>
        <w:tc>
          <w:tcPr>
            <w:tcW w:w="433" w:type="pct"/>
            <w:vAlign w:val="center"/>
          </w:tcPr>
          <w:p w:rsidR="00EE4502" w:rsidRDefault="00FD45A3">
            <w:pPr>
              <w:adjustRightInd w:val="0"/>
              <w:snapToGrid w:val="0"/>
              <w:jc w:val="center"/>
              <w:rPr>
                <w:sz w:val="18"/>
                <w:szCs w:val="18"/>
              </w:rPr>
            </w:pPr>
            <w:r>
              <w:rPr>
                <w:sz w:val="18"/>
                <w:szCs w:val="18"/>
              </w:rPr>
              <w:t>污染源</w:t>
            </w:r>
          </w:p>
          <w:p w:rsidR="00EE4502" w:rsidRDefault="00FD45A3">
            <w:pPr>
              <w:adjustRightInd w:val="0"/>
              <w:snapToGrid w:val="0"/>
              <w:jc w:val="center"/>
              <w:rPr>
                <w:sz w:val="18"/>
                <w:szCs w:val="18"/>
              </w:rPr>
            </w:pPr>
            <w:r>
              <w:rPr>
                <w:sz w:val="18"/>
                <w:szCs w:val="18"/>
              </w:rPr>
              <w:t>调查</w:t>
            </w:r>
          </w:p>
        </w:tc>
        <w:tc>
          <w:tcPr>
            <w:tcW w:w="890" w:type="pct"/>
            <w:vAlign w:val="center"/>
          </w:tcPr>
          <w:p w:rsidR="00EE4502" w:rsidRDefault="00FD45A3">
            <w:pPr>
              <w:adjustRightInd w:val="0"/>
              <w:snapToGrid w:val="0"/>
              <w:jc w:val="center"/>
              <w:rPr>
                <w:sz w:val="18"/>
                <w:szCs w:val="18"/>
              </w:rPr>
            </w:pPr>
            <w:r>
              <w:rPr>
                <w:sz w:val="18"/>
                <w:szCs w:val="18"/>
              </w:rPr>
              <w:t>调查内容</w:t>
            </w:r>
          </w:p>
        </w:tc>
        <w:tc>
          <w:tcPr>
            <w:tcW w:w="1324" w:type="pct"/>
            <w:gridSpan w:val="6"/>
            <w:vAlign w:val="center"/>
          </w:tcPr>
          <w:p w:rsidR="00EE4502" w:rsidRDefault="00FD45A3">
            <w:pPr>
              <w:adjustRightInd w:val="0"/>
              <w:snapToGrid w:val="0"/>
              <w:jc w:val="center"/>
              <w:rPr>
                <w:sz w:val="18"/>
                <w:szCs w:val="18"/>
              </w:rPr>
            </w:pPr>
            <w:r>
              <w:rPr>
                <w:rFonts w:hint="eastAsia"/>
                <w:sz w:val="18"/>
                <w:szCs w:val="18"/>
              </w:rPr>
              <w:t>本工程</w:t>
            </w:r>
            <w:r>
              <w:rPr>
                <w:sz w:val="18"/>
                <w:szCs w:val="18"/>
              </w:rPr>
              <w:t>正常排放源</w:t>
            </w:r>
            <w:r>
              <w:rPr>
                <w:sz w:val="18"/>
                <w:szCs w:val="18"/>
              </w:rPr>
              <w:sym w:font="Wingdings 2" w:char="0052"/>
            </w:r>
          </w:p>
          <w:p w:rsidR="00EE4502" w:rsidRDefault="00FD45A3">
            <w:pPr>
              <w:adjustRightInd w:val="0"/>
              <w:snapToGrid w:val="0"/>
              <w:jc w:val="center"/>
              <w:rPr>
                <w:sz w:val="18"/>
                <w:szCs w:val="18"/>
              </w:rPr>
            </w:pPr>
            <w:r>
              <w:rPr>
                <w:rFonts w:hint="eastAsia"/>
                <w:sz w:val="18"/>
                <w:szCs w:val="18"/>
              </w:rPr>
              <w:t>本工程</w:t>
            </w:r>
            <w:r>
              <w:rPr>
                <w:sz w:val="18"/>
                <w:szCs w:val="18"/>
              </w:rPr>
              <w:t>非正常排放源</w:t>
            </w:r>
            <w:r>
              <w:rPr>
                <w:sz w:val="18"/>
                <w:szCs w:val="18"/>
              </w:rPr>
              <w:sym w:font="Wingdings 2" w:char="00A3"/>
            </w:r>
          </w:p>
          <w:p w:rsidR="00EE4502" w:rsidRDefault="00FD45A3">
            <w:pPr>
              <w:adjustRightInd w:val="0"/>
              <w:snapToGrid w:val="0"/>
              <w:jc w:val="center"/>
              <w:rPr>
                <w:sz w:val="18"/>
                <w:szCs w:val="18"/>
              </w:rPr>
            </w:pPr>
            <w:r>
              <w:rPr>
                <w:sz w:val="18"/>
                <w:szCs w:val="18"/>
              </w:rPr>
              <w:t>现有污染源</w:t>
            </w:r>
            <w:r>
              <w:rPr>
                <w:sz w:val="18"/>
                <w:szCs w:val="18"/>
              </w:rPr>
              <w:sym w:font="Wingdings 2" w:char="00A3"/>
            </w:r>
          </w:p>
        </w:tc>
        <w:tc>
          <w:tcPr>
            <w:tcW w:w="734" w:type="pct"/>
            <w:gridSpan w:val="8"/>
            <w:vAlign w:val="center"/>
          </w:tcPr>
          <w:p w:rsidR="00EE4502" w:rsidRDefault="00FD45A3">
            <w:pPr>
              <w:adjustRightInd w:val="0"/>
              <w:snapToGrid w:val="0"/>
              <w:jc w:val="center"/>
              <w:rPr>
                <w:sz w:val="18"/>
                <w:szCs w:val="18"/>
              </w:rPr>
            </w:pPr>
            <w:r>
              <w:rPr>
                <w:sz w:val="18"/>
                <w:szCs w:val="18"/>
              </w:rPr>
              <w:t>拟替代的污染源</w:t>
            </w:r>
            <w:r>
              <w:rPr>
                <w:sz w:val="18"/>
                <w:szCs w:val="18"/>
              </w:rPr>
              <w:sym w:font="Wingdings 2" w:char="00A3"/>
            </w:r>
          </w:p>
        </w:tc>
        <w:tc>
          <w:tcPr>
            <w:tcW w:w="1019" w:type="pct"/>
            <w:gridSpan w:val="7"/>
            <w:vAlign w:val="center"/>
          </w:tcPr>
          <w:p w:rsidR="00EE4502" w:rsidRDefault="00FD45A3">
            <w:pPr>
              <w:adjustRightInd w:val="0"/>
              <w:snapToGrid w:val="0"/>
              <w:jc w:val="center"/>
              <w:rPr>
                <w:sz w:val="18"/>
                <w:szCs w:val="18"/>
              </w:rPr>
            </w:pPr>
            <w:r>
              <w:rPr>
                <w:sz w:val="18"/>
                <w:szCs w:val="18"/>
              </w:rPr>
              <w:t>其他在建、拟建项目污染源</w:t>
            </w:r>
            <w:r>
              <w:rPr>
                <w:sz w:val="18"/>
                <w:szCs w:val="18"/>
              </w:rPr>
              <w:sym w:font="Wingdings 2" w:char="0052"/>
            </w:r>
          </w:p>
        </w:tc>
        <w:tc>
          <w:tcPr>
            <w:tcW w:w="601" w:type="pct"/>
            <w:gridSpan w:val="2"/>
            <w:vAlign w:val="center"/>
          </w:tcPr>
          <w:p w:rsidR="00EE4502" w:rsidRDefault="00FD45A3">
            <w:pPr>
              <w:adjustRightInd w:val="0"/>
              <w:snapToGrid w:val="0"/>
              <w:jc w:val="center"/>
              <w:rPr>
                <w:sz w:val="18"/>
                <w:szCs w:val="18"/>
              </w:rPr>
            </w:pPr>
            <w:r>
              <w:rPr>
                <w:sz w:val="18"/>
                <w:szCs w:val="18"/>
              </w:rPr>
              <w:t>区域污染源</w:t>
            </w:r>
            <w:r>
              <w:rPr>
                <w:sz w:val="18"/>
                <w:szCs w:val="18"/>
              </w:rPr>
              <w:sym w:font="Wingdings 2" w:char="00A3"/>
            </w:r>
          </w:p>
        </w:tc>
      </w:tr>
      <w:tr w:rsidR="00EE4502">
        <w:trPr>
          <w:trHeight w:val="340"/>
          <w:jc w:val="center"/>
        </w:trPr>
        <w:tc>
          <w:tcPr>
            <w:tcW w:w="433" w:type="pct"/>
            <w:vMerge w:val="restart"/>
            <w:vAlign w:val="center"/>
          </w:tcPr>
          <w:p w:rsidR="00EE4502" w:rsidRDefault="00FD45A3">
            <w:pPr>
              <w:adjustRightInd w:val="0"/>
              <w:snapToGrid w:val="0"/>
              <w:jc w:val="center"/>
              <w:rPr>
                <w:sz w:val="18"/>
                <w:szCs w:val="18"/>
              </w:rPr>
            </w:pPr>
            <w:r>
              <w:rPr>
                <w:sz w:val="18"/>
                <w:szCs w:val="18"/>
              </w:rPr>
              <w:t>大气环境影响预测与评价</w:t>
            </w:r>
          </w:p>
        </w:tc>
        <w:tc>
          <w:tcPr>
            <w:tcW w:w="890" w:type="pct"/>
            <w:vAlign w:val="center"/>
          </w:tcPr>
          <w:p w:rsidR="00EE4502" w:rsidRDefault="00FD45A3">
            <w:pPr>
              <w:adjustRightInd w:val="0"/>
              <w:snapToGrid w:val="0"/>
              <w:jc w:val="center"/>
              <w:rPr>
                <w:sz w:val="18"/>
                <w:szCs w:val="18"/>
              </w:rPr>
            </w:pPr>
            <w:r>
              <w:rPr>
                <w:sz w:val="18"/>
                <w:szCs w:val="18"/>
              </w:rPr>
              <w:t>预测模型</w:t>
            </w:r>
          </w:p>
        </w:tc>
        <w:tc>
          <w:tcPr>
            <w:tcW w:w="615" w:type="pct"/>
            <w:vAlign w:val="center"/>
          </w:tcPr>
          <w:p w:rsidR="00EE4502" w:rsidRDefault="00FD45A3">
            <w:pPr>
              <w:adjustRightInd w:val="0"/>
              <w:snapToGrid w:val="0"/>
              <w:jc w:val="center"/>
              <w:rPr>
                <w:sz w:val="18"/>
                <w:szCs w:val="18"/>
              </w:rPr>
            </w:pPr>
            <w:r>
              <w:rPr>
                <w:sz w:val="18"/>
                <w:szCs w:val="18"/>
              </w:rPr>
              <w:t>AERMOD</w:t>
            </w:r>
          </w:p>
          <w:p w:rsidR="00EE4502" w:rsidRDefault="00FD45A3">
            <w:pPr>
              <w:adjustRightInd w:val="0"/>
              <w:snapToGrid w:val="0"/>
              <w:jc w:val="center"/>
              <w:rPr>
                <w:sz w:val="18"/>
                <w:szCs w:val="18"/>
              </w:rPr>
            </w:pPr>
            <w:r>
              <w:rPr>
                <w:sz w:val="18"/>
                <w:szCs w:val="18"/>
              </w:rPr>
              <w:sym w:font="Wingdings 2" w:char="00A3"/>
            </w:r>
          </w:p>
        </w:tc>
        <w:tc>
          <w:tcPr>
            <w:tcW w:w="349" w:type="pct"/>
            <w:gridSpan w:val="3"/>
            <w:vAlign w:val="center"/>
          </w:tcPr>
          <w:p w:rsidR="00EE4502" w:rsidRDefault="00FD45A3">
            <w:pPr>
              <w:adjustRightInd w:val="0"/>
              <w:snapToGrid w:val="0"/>
              <w:jc w:val="center"/>
              <w:rPr>
                <w:sz w:val="18"/>
                <w:szCs w:val="18"/>
              </w:rPr>
            </w:pPr>
            <w:r>
              <w:rPr>
                <w:sz w:val="18"/>
                <w:szCs w:val="18"/>
              </w:rPr>
              <w:t>ADMS</w:t>
            </w:r>
          </w:p>
          <w:p w:rsidR="00EE4502" w:rsidRDefault="00FD45A3">
            <w:pPr>
              <w:adjustRightInd w:val="0"/>
              <w:snapToGrid w:val="0"/>
              <w:jc w:val="center"/>
              <w:rPr>
                <w:sz w:val="18"/>
                <w:szCs w:val="18"/>
              </w:rPr>
            </w:pPr>
            <w:r>
              <w:rPr>
                <w:sz w:val="18"/>
                <w:szCs w:val="18"/>
              </w:rPr>
              <w:sym w:font="Wingdings 2" w:char="00A3"/>
            </w:r>
          </w:p>
        </w:tc>
        <w:tc>
          <w:tcPr>
            <w:tcW w:w="698" w:type="pct"/>
            <w:gridSpan w:val="4"/>
            <w:vAlign w:val="center"/>
          </w:tcPr>
          <w:p w:rsidR="00EE4502" w:rsidRDefault="00FD45A3">
            <w:pPr>
              <w:adjustRightInd w:val="0"/>
              <w:snapToGrid w:val="0"/>
              <w:jc w:val="center"/>
              <w:rPr>
                <w:sz w:val="18"/>
                <w:szCs w:val="18"/>
              </w:rPr>
            </w:pPr>
            <w:r>
              <w:rPr>
                <w:sz w:val="18"/>
                <w:szCs w:val="18"/>
              </w:rPr>
              <w:t>AUSTAL2000</w:t>
            </w:r>
          </w:p>
          <w:p w:rsidR="00EE4502" w:rsidRDefault="00FD45A3">
            <w:pPr>
              <w:adjustRightInd w:val="0"/>
              <w:snapToGrid w:val="0"/>
              <w:jc w:val="center"/>
              <w:rPr>
                <w:sz w:val="18"/>
                <w:szCs w:val="18"/>
              </w:rPr>
            </w:pPr>
            <w:r>
              <w:rPr>
                <w:sz w:val="18"/>
                <w:szCs w:val="18"/>
              </w:rPr>
              <w:sym w:font="Wingdings 2" w:char="00A3"/>
            </w:r>
          </w:p>
        </w:tc>
        <w:tc>
          <w:tcPr>
            <w:tcW w:w="674" w:type="pct"/>
            <w:gridSpan w:val="8"/>
            <w:vAlign w:val="center"/>
          </w:tcPr>
          <w:p w:rsidR="00EE4502" w:rsidRDefault="00FD45A3">
            <w:pPr>
              <w:adjustRightInd w:val="0"/>
              <w:snapToGrid w:val="0"/>
              <w:jc w:val="center"/>
              <w:rPr>
                <w:sz w:val="18"/>
                <w:szCs w:val="18"/>
              </w:rPr>
            </w:pPr>
            <w:r>
              <w:rPr>
                <w:sz w:val="18"/>
                <w:szCs w:val="18"/>
              </w:rPr>
              <w:t>EDMS/AEDT</w:t>
            </w:r>
          </w:p>
          <w:p w:rsidR="00EE4502" w:rsidRDefault="00FD45A3">
            <w:pPr>
              <w:adjustRightInd w:val="0"/>
              <w:snapToGrid w:val="0"/>
              <w:jc w:val="center"/>
              <w:rPr>
                <w:sz w:val="18"/>
                <w:szCs w:val="18"/>
              </w:rPr>
            </w:pPr>
            <w:r>
              <w:rPr>
                <w:sz w:val="18"/>
                <w:szCs w:val="18"/>
              </w:rPr>
              <w:sym w:font="Wingdings 2" w:char="00A3"/>
            </w:r>
          </w:p>
        </w:tc>
        <w:tc>
          <w:tcPr>
            <w:tcW w:w="510" w:type="pct"/>
            <w:gridSpan w:val="4"/>
            <w:vAlign w:val="center"/>
          </w:tcPr>
          <w:p w:rsidR="00EE4502" w:rsidRDefault="00FD45A3">
            <w:pPr>
              <w:adjustRightInd w:val="0"/>
              <w:snapToGrid w:val="0"/>
              <w:jc w:val="center"/>
              <w:rPr>
                <w:sz w:val="18"/>
                <w:szCs w:val="18"/>
              </w:rPr>
            </w:pPr>
            <w:r>
              <w:rPr>
                <w:sz w:val="18"/>
                <w:szCs w:val="18"/>
              </w:rPr>
              <w:t>CALPUFF</w:t>
            </w:r>
          </w:p>
          <w:p w:rsidR="00EE4502" w:rsidRDefault="00FD45A3">
            <w:pPr>
              <w:adjustRightInd w:val="0"/>
              <w:snapToGrid w:val="0"/>
              <w:jc w:val="center"/>
              <w:rPr>
                <w:sz w:val="18"/>
                <w:szCs w:val="18"/>
              </w:rPr>
            </w:pPr>
            <w:r>
              <w:rPr>
                <w:sz w:val="18"/>
                <w:szCs w:val="18"/>
              </w:rPr>
              <w:sym w:font="Wingdings 2" w:char="00A3"/>
            </w:r>
          </w:p>
        </w:tc>
        <w:tc>
          <w:tcPr>
            <w:tcW w:w="498" w:type="pct"/>
            <w:gridSpan w:val="2"/>
            <w:vAlign w:val="center"/>
          </w:tcPr>
          <w:p w:rsidR="00EE4502" w:rsidRDefault="00FD45A3">
            <w:pPr>
              <w:adjustRightInd w:val="0"/>
              <w:snapToGrid w:val="0"/>
              <w:jc w:val="center"/>
              <w:rPr>
                <w:sz w:val="18"/>
                <w:szCs w:val="18"/>
              </w:rPr>
            </w:pPr>
            <w:r>
              <w:rPr>
                <w:sz w:val="18"/>
                <w:szCs w:val="18"/>
              </w:rPr>
              <w:t>网络模型</w:t>
            </w:r>
          </w:p>
          <w:p w:rsidR="00EE4502" w:rsidRDefault="00FD45A3">
            <w:pPr>
              <w:adjustRightInd w:val="0"/>
              <w:snapToGrid w:val="0"/>
              <w:jc w:val="center"/>
              <w:rPr>
                <w:sz w:val="18"/>
                <w:szCs w:val="18"/>
              </w:rPr>
            </w:pPr>
            <w:r>
              <w:rPr>
                <w:sz w:val="18"/>
                <w:szCs w:val="18"/>
              </w:rPr>
              <w:sym w:font="Wingdings 2" w:char="00A3"/>
            </w:r>
          </w:p>
        </w:tc>
        <w:tc>
          <w:tcPr>
            <w:tcW w:w="333" w:type="pct"/>
            <w:vAlign w:val="center"/>
          </w:tcPr>
          <w:p w:rsidR="00EE4502" w:rsidRDefault="00FD45A3">
            <w:pPr>
              <w:adjustRightInd w:val="0"/>
              <w:snapToGrid w:val="0"/>
              <w:jc w:val="center"/>
              <w:rPr>
                <w:sz w:val="18"/>
                <w:szCs w:val="18"/>
              </w:rPr>
            </w:pPr>
            <w:r>
              <w:rPr>
                <w:sz w:val="18"/>
                <w:szCs w:val="18"/>
              </w:rPr>
              <w:t>其他</w:t>
            </w:r>
          </w:p>
          <w:p w:rsidR="00EE4502" w:rsidRDefault="00FD45A3">
            <w:pPr>
              <w:adjustRightInd w:val="0"/>
              <w:snapToGrid w:val="0"/>
              <w:jc w:val="center"/>
              <w:rPr>
                <w:sz w:val="18"/>
                <w:szCs w:val="18"/>
              </w:rPr>
            </w:pPr>
            <w:r>
              <w:rPr>
                <w:sz w:val="18"/>
                <w:szCs w:val="18"/>
              </w:rPr>
              <w:sym w:font="Wingdings 2" w:char="0052"/>
            </w:r>
          </w:p>
        </w:tc>
      </w:tr>
      <w:tr w:rsidR="00EE4502">
        <w:trPr>
          <w:trHeight w:val="340"/>
          <w:jc w:val="center"/>
        </w:trPr>
        <w:tc>
          <w:tcPr>
            <w:tcW w:w="433" w:type="pct"/>
            <w:vMerge/>
            <w:vAlign w:val="center"/>
          </w:tcPr>
          <w:p w:rsidR="00EE4502" w:rsidRDefault="00EE4502">
            <w:pPr>
              <w:adjustRightInd w:val="0"/>
              <w:snapToGrid w:val="0"/>
              <w:jc w:val="center"/>
              <w:rPr>
                <w:sz w:val="18"/>
                <w:szCs w:val="18"/>
              </w:rPr>
            </w:pPr>
          </w:p>
        </w:tc>
        <w:tc>
          <w:tcPr>
            <w:tcW w:w="890" w:type="pct"/>
            <w:vAlign w:val="center"/>
          </w:tcPr>
          <w:p w:rsidR="00EE4502" w:rsidRDefault="00FD45A3">
            <w:pPr>
              <w:adjustRightInd w:val="0"/>
              <w:snapToGrid w:val="0"/>
              <w:jc w:val="center"/>
              <w:rPr>
                <w:sz w:val="18"/>
                <w:szCs w:val="18"/>
              </w:rPr>
            </w:pPr>
            <w:r>
              <w:rPr>
                <w:sz w:val="18"/>
                <w:szCs w:val="18"/>
              </w:rPr>
              <w:t>预测范围</w:t>
            </w:r>
          </w:p>
        </w:tc>
        <w:tc>
          <w:tcPr>
            <w:tcW w:w="1298" w:type="pct"/>
            <w:gridSpan w:val="5"/>
            <w:vAlign w:val="center"/>
          </w:tcPr>
          <w:p w:rsidR="00EE4502" w:rsidRDefault="00FD45A3">
            <w:pPr>
              <w:adjustRightInd w:val="0"/>
              <w:snapToGrid w:val="0"/>
              <w:jc w:val="center"/>
              <w:rPr>
                <w:sz w:val="18"/>
                <w:szCs w:val="18"/>
              </w:rPr>
            </w:pPr>
            <w:r>
              <w:rPr>
                <w:sz w:val="18"/>
                <w:szCs w:val="18"/>
              </w:rPr>
              <w:t>边长</w:t>
            </w:r>
            <w:r>
              <w:rPr>
                <w:sz w:val="18"/>
                <w:szCs w:val="18"/>
              </w:rPr>
              <w:t>≥50km</w:t>
            </w:r>
            <w:r>
              <w:rPr>
                <w:sz w:val="18"/>
                <w:szCs w:val="18"/>
              </w:rPr>
              <w:sym w:font="Wingdings 2" w:char="00A3"/>
            </w:r>
          </w:p>
        </w:tc>
        <w:tc>
          <w:tcPr>
            <w:tcW w:w="1105" w:type="pct"/>
            <w:gridSpan w:val="12"/>
            <w:vAlign w:val="center"/>
          </w:tcPr>
          <w:p w:rsidR="00EE4502" w:rsidRDefault="00FD45A3">
            <w:pPr>
              <w:adjustRightInd w:val="0"/>
              <w:snapToGrid w:val="0"/>
              <w:jc w:val="center"/>
              <w:rPr>
                <w:sz w:val="18"/>
                <w:szCs w:val="18"/>
              </w:rPr>
            </w:pPr>
            <w:r>
              <w:rPr>
                <w:sz w:val="18"/>
                <w:szCs w:val="18"/>
              </w:rPr>
              <w:t>边长</w:t>
            </w:r>
            <w:r>
              <w:rPr>
                <w:sz w:val="18"/>
                <w:szCs w:val="18"/>
              </w:rPr>
              <w:t>5~50km</w:t>
            </w:r>
            <w:r>
              <w:rPr>
                <w:sz w:val="18"/>
                <w:szCs w:val="18"/>
              </w:rPr>
              <w:sym w:font="Wingdings 2" w:char="00A3"/>
            </w:r>
          </w:p>
        </w:tc>
        <w:tc>
          <w:tcPr>
            <w:tcW w:w="1274" w:type="pct"/>
            <w:gridSpan w:val="6"/>
            <w:vAlign w:val="center"/>
          </w:tcPr>
          <w:p w:rsidR="00EE4502" w:rsidRDefault="00FD45A3">
            <w:pPr>
              <w:adjustRightInd w:val="0"/>
              <w:snapToGrid w:val="0"/>
              <w:jc w:val="center"/>
              <w:rPr>
                <w:sz w:val="18"/>
                <w:szCs w:val="18"/>
              </w:rPr>
            </w:pPr>
            <w:r>
              <w:rPr>
                <w:sz w:val="18"/>
                <w:szCs w:val="18"/>
              </w:rPr>
              <w:t>边长</w:t>
            </w:r>
            <w:r>
              <w:rPr>
                <w:sz w:val="18"/>
                <w:szCs w:val="18"/>
              </w:rPr>
              <w:t>=5km</w:t>
            </w:r>
            <w:r>
              <w:rPr>
                <w:sz w:val="18"/>
                <w:szCs w:val="18"/>
              </w:rPr>
              <w:sym w:font="Wingdings 2" w:char="0052"/>
            </w:r>
          </w:p>
        </w:tc>
      </w:tr>
      <w:tr w:rsidR="00EE4502">
        <w:trPr>
          <w:trHeight w:val="340"/>
          <w:jc w:val="center"/>
        </w:trPr>
        <w:tc>
          <w:tcPr>
            <w:tcW w:w="433" w:type="pct"/>
            <w:vMerge/>
            <w:vAlign w:val="center"/>
          </w:tcPr>
          <w:p w:rsidR="00EE4502" w:rsidRDefault="00EE4502">
            <w:pPr>
              <w:adjustRightInd w:val="0"/>
              <w:snapToGrid w:val="0"/>
              <w:jc w:val="center"/>
              <w:rPr>
                <w:sz w:val="18"/>
                <w:szCs w:val="18"/>
              </w:rPr>
            </w:pPr>
          </w:p>
        </w:tc>
        <w:tc>
          <w:tcPr>
            <w:tcW w:w="890" w:type="pct"/>
            <w:vAlign w:val="center"/>
          </w:tcPr>
          <w:p w:rsidR="00EE4502" w:rsidRDefault="00FD45A3">
            <w:pPr>
              <w:adjustRightInd w:val="0"/>
              <w:snapToGrid w:val="0"/>
              <w:jc w:val="center"/>
              <w:rPr>
                <w:sz w:val="18"/>
                <w:szCs w:val="18"/>
              </w:rPr>
            </w:pPr>
            <w:r>
              <w:rPr>
                <w:sz w:val="18"/>
                <w:szCs w:val="18"/>
              </w:rPr>
              <w:t>预测因子</w:t>
            </w:r>
          </w:p>
        </w:tc>
        <w:tc>
          <w:tcPr>
            <w:tcW w:w="1999" w:type="pct"/>
            <w:gridSpan w:val="13"/>
            <w:vAlign w:val="center"/>
          </w:tcPr>
          <w:p w:rsidR="00EE4502" w:rsidRDefault="00FD45A3">
            <w:pPr>
              <w:adjustRightInd w:val="0"/>
              <w:snapToGrid w:val="0"/>
              <w:jc w:val="center"/>
              <w:rPr>
                <w:sz w:val="18"/>
                <w:szCs w:val="18"/>
              </w:rPr>
            </w:pPr>
            <w:r>
              <w:rPr>
                <w:sz w:val="18"/>
                <w:szCs w:val="18"/>
              </w:rPr>
              <w:t>预测因子（非甲烷总烃）</w:t>
            </w:r>
          </w:p>
        </w:tc>
        <w:tc>
          <w:tcPr>
            <w:tcW w:w="1678" w:type="pct"/>
            <w:gridSpan w:val="10"/>
            <w:vAlign w:val="center"/>
          </w:tcPr>
          <w:p w:rsidR="00EE4502" w:rsidRDefault="00FD45A3">
            <w:pPr>
              <w:adjustRightInd w:val="0"/>
              <w:snapToGrid w:val="0"/>
              <w:jc w:val="center"/>
              <w:rPr>
                <w:sz w:val="18"/>
                <w:szCs w:val="18"/>
              </w:rPr>
            </w:pPr>
            <w:r>
              <w:rPr>
                <w:sz w:val="18"/>
                <w:szCs w:val="18"/>
              </w:rPr>
              <w:t xml:space="preserve">  </w:t>
            </w:r>
            <w:r>
              <w:rPr>
                <w:sz w:val="18"/>
                <w:szCs w:val="18"/>
              </w:rPr>
              <w:t>包括二次</w:t>
            </w:r>
            <w:r>
              <w:rPr>
                <w:sz w:val="18"/>
                <w:szCs w:val="18"/>
              </w:rPr>
              <w:t>PM</w:t>
            </w:r>
            <w:r>
              <w:rPr>
                <w:sz w:val="18"/>
                <w:szCs w:val="18"/>
                <w:vertAlign w:val="subscript"/>
              </w:rPr>
              <w:t>2.5</w:t>
            </w:r>
            <w:r>
              <w:rPr>
                <w:sz w:val="18"/>
                <w:szCs w:val="18"/>
              </w:rPr>
              <w:sym w:font="Wingdings 2" w:char="00A3"/>
            </w:r>
          </w:p>
          <w:p w:rsidR="00EE4502" w:rsidRDefault="00FD45A3">
            <w:pPr>
              <w:adjustRightInd w:val="0"/>
              <w:snapToGrid w:val="0"/>
              <w:jc w:val="center"/>
              <w:rPr>
                <w:sz w:val="18"/>
                <w:szCs w:val="18"/>
              </w:rPr>
            </w:pPr>
            <w:r>
              <w:rPr>
                <w:sz w:val="18"/>
                <w:szCs w:val="18"/>
              </w:rPr>
              <w:t>不包括二次</w:t>
            </w:r>
            <w:r>
              <w:rPr>
                <w:sz w:val="18"/>
                <w:szCs w:val="18"/>
              </w:rPr>
              <w:t>PM</w:t>
            </w:r>
            <w:r>
              <w:rPr>
                <w:sz w:val="18"/>
                <w:szCs w:val="18"/>
                <w:vertAlign w:val="subscript"/>
              </w:rPr>
              <w:t>2.5</w:t>
            </w:r>
            <w:r>
              <w:rPr>
                <w:sz w:val="18"/>
                <w:szCs w:val="18"/>
              </w:rPr>
              <w:sym w:font="Wingdings 2" w:char="00A3"/>
            </w:r>
          </w:p>
        </w:tc>
      </w:tr>
      <w:tr w:rsidR="00EE4502">
        <w:trPr>
          <w:trHeight w:val="340"/>
          <w:jc w:val="center"/>
        </w:trPr>
        <w:tc>
          <w:tcPr>
            <w:tcW w:w="433" w:type="pct"/>
            <w:vMerge/>
            <w:vAlign w:val="center"/>
          </w:tcPr>
          <w:p w:rsidR="00EE4502" w:rsidRDefault="00EE4502">
            <w:pPr>
              <w:adjustRightInd w:val="0"/>
              <w:snapToGrid w:val="0"/>
              <w:jc w:val="center"/>
              <w:rPr>
                <w:sz w:val="18"/>
                <w:szCs w:val="18"/>
              </w:rPr>
            </w:pPr>
          </w:p>
        </w:tc>
        <w:tc>
          <w:tcPr>
            <w:tcW w:w="890" w:type="pct"/>
            <w:vAlign w:val="center"/>
          </w:tcPr>
          <w:p w:rsidR="00EE4502" w:rsidRDefault="00FD45A3">
            <w:pPr>
              <w:adjustRightInd w:val="0"/>
              <w:snapToGrid w:val="0"/>
              <w:jc w:val="center"/>
              <w:rPr>
                <w:sz w:val="18"/>
                <w:szCs w:val="18"/>
              </w:rPr>
            </w:pPr>
            <w:r>
              <w:rPr>
                <w:sz w:val="18"/>
                <w:szCs w:val="18"/>
              </w:rPr>
              <w:t>正常排放短期浓度贡献值</w:t>
            </w:r>
          </w:p>
        </w:tc>
        <w:tc>
          <w:tcPr>
            <w:tcW w:w="1999" w:type="pct"/>
            <w:gridSpan w:val="13"/>
            <w:vAlign w:val="center"/>
          </w:tcPr>
          <w:p w:rsidR="00EE4502" w:rsidRDefault="00FD45A3">
            <w:pPr>
              <w:adjustRightInd w:val="0"/>
              <w:snapToGrid w:val="0"/>
              <w:jc w:val="center"/>
              <w:rPr>
                <w:sz w:val="18"/>
                <w:szCs w:val="18"/>
              </w:rPr>
            </w:pPr>
            <w:r>
              <w:rPr>
                <w:sz w:val="18"/>
                <w:szCs w:val="18"/>
              </w:rPr>
              <w:t>C</w:t>
            </w:r>
            <w:r>
              <w:rPr>
                <w:rFonts w:hint="eastAsia"/>
                <w:sz w:val="18"/>
                <w:szCs w:val="18"/>
              </w:rPr>
              <w:t>本工程</w:t>
            </w:r>
            <w:r>
              <w:rPr>
                <w:sz w:val="18"/>
                <w:szCs w:val="18"/>
              </w:rPr>
              <w:t>最大占标率</w:t>
            </w:r>
            <w:r>
              <w:rPr>
                <w:sz w:val="18"/>
                <w:szCs w:val="18"/>
              </w:rPr>
              <w:t>≤100%</w:t>
            </w:r>
            <w:r>
              <w:rPr>
                <w:sz w:val="18"/>
                <w:szCs w:val="18"/>
              </w:rPr>
              <w:sym w:font="Wingdings 2" w:char="0052"/>
            </w:r>
          </w:p>
        </w:tc>
        <w:tc>
          <w:tcPr>
            <w:tcW w:w="1678" w:type="pct"/>
            <w:gridSpan w:val="10"/>
            <w:vAlign w:val="center"/>
          </w:tcPr>
          <w:p w:rsidR="00EE4502" w:rsidRDefault="00FD45A3">
            <w:pPr>
              <w:adjustRightInd w:val="0"/>
              <w:snapToGrid w:val="0"/>
              <w:jc w:val="center"/>
              <w:rPr>
                <w:sz w:val="18"/>
                <w:szCs w:val="18"/>
              </w:rPr>
            </w:pPr>
            <w:r>
              <w:rPr>
                <w:sz w:val="18"/>
                <w:szCs w:val="18"/>
              </w:rPr>
              <w:t>C</w:t>
            </w:r>
            <w:r>
              <w:rPr>
                <w:rFonts w:hint="eastAsia"/>
                <w:sz w:val="18"/>
                <w:szCs w:val="18"/>
              </w:rPr>
              <w:t>本工程</w:t>
            </w:r>
            <w:r>
              <w:rPr>
                <w:sz w:val="18"/>
                <w:szCs w:val="18"/>
              </w:rPr>
              <w:t>最大占标率＞</w:t>
            </w:r>
            <w:r>
              <w:rPr>
                <w:sz w:val="18"/>
                <w:szCs w:val="18"/>
              </w:rPr>
              <w:t>100%</w:t>
            </w:r>
            <w:r>
              <w:rPr>
                <w:sz w:val="18"/>
                <w:szCs w:val="18"/>
              </w:rPr>
              <w:sym w:font="Wingdings 2" w:char="00A3"/>
            </w:r>
          </w:p>
        </w:tc>
      </w:tr>
      <w:tr w:rsidR="00EE4502">
        <w:trPr>
          <w:trHeight w:val="340"/>
          <w:jc w:val="center"/>
        </w:trPr>
        <w:tc>
          <w:tcPr>
            <w:tcW w:w="433" w:type="pct"/>
            <w:vMerge/>
            <w:vAlign w:val="center"/>
          </w:tcPr>
          <w:p w:rsidR="00EE4502" w:rsidRDefault="00EE4502">
            <w:pPr>
              <w:adjustRightInd w:val="0"/>
              <w:snapToGrid w:val="0"/>
              <w:jc w:val="center"/>
              <w:rPr>
                <w:sz w:val="18"/>
                <w:szCs w:val="18"/>
              </w:rPr>
            </w:pPr>
          </w:p>
        </w:tc>
        <w:tc>
          <w:tcPr>
            <w:tcW w:w="890" w:type="pct"/>
            <w:vMerge w:val="restart"/>
            <w:vAlign w:val="center"/>
          </w:tcPr>
          <w:p w:rsidR="00EE4502" w:rsidRDefault="00FD45A3">
            <w:pPr>
              <w:adjustRightInd w:val="0"/>
              <w:snapToGrid w:val="0"/>
              <w:jc w:val="center"/>
              <w:rPr>
                <w:sz w:val="18"/>
                <w:szCs w:val="18"/>
              </w:rPr>
            </w:pPr>
            <w:r>
              <w:rPr>
                <w:sz w:val="18"/>
                <w:szCs w:val="18"/>
              </w:rPr>
              <w:t>正常排放年均浓度贡献值</w:t>
            </w:r>
          </w:p>
        </w:tc>
        <w:tc>
          <w:tcPr>
            <w:tcW w:w="615" w:type="pct"/>
            <w:vAlign w:val="center"/>
          </w:tcPr>
          <w:p w:rsidR="00EE4502" w:rsidRDefault="00FD45A3">
            <w:pPr>
              <w:adjustRightInd w:val="0"/>
              <w:snapToGrid w:val="0"/>
              <w:jc w:val="center"/>
              <w:rPr>
                <w:sz w:val="18"/>
                <w:szCs w:val="18"/>
              </w:rPr>
            </w:pPr>
            <w:r>
              <w:rPr>
                <w:sz w:val="18"/>
                <w:szCs w:val="18"/>
              </w:rPr>
              <w:t>一类区</w:t>
            </w:r>
          </w:p>
        </w:tc>
        <w:tc>
          <w:tcPr>
            <w:tcW w:w="1384" w:type="pct"/>
            <w:gridSpan w:val="12"/>
            <w:vAlign w:val="center"/>
          </w:tcPr>
          <w:p w:rsidR="00EE4502" w:rsidRDefault="00FD45A3">
            <w:pPr>
              <w:adjustRightInd w:val="0"/>
              <w:snapToGrid w:val="0"/>
              <w:jc w:val="center"/>
              <w:rPr>
                <w:sz w:val="18"/>
                <w:szCs w:val="18"/>
              </w:rPr>
            </w:pPr>
            <w:r>
              <w:rPr>
                <w:sz w:val="18"/>
                <w:szCs w:val="18"/>
              </w:rPr>
              <w:t>C</w:t>
            </w:r>
            <w:r>
              <w:rPr>
                <w:rFonts w:hint="eastAsia"/>
                <w:sz w:val="18"/>
                <w:szCs w:val="18"/>
              </w:rPr>
              <w:t>本工程</w:t>
            </w:r>
            <w:r>
              <w:rPr>
                <w:sz w:val="18"/>
                <w:szCs w:val="18"/>
              </w:rPr>
              <w:t>最大占标率</w:t>
            </w:r>
            <w:r>
              <w:rPr>
                <w:sz w:val="18"/>
                <w:szCs w:val="18"/>
              </w:rPr>
              <w:t>≤10%</w:t>
            </w:r>
            <w:r>
              <w:rPr>
                <w:sz w:val="18"/>
                <w:szCs w:val="18"/>
              </w:rPr>
              <w:sym w:font="Wingdings 2" w:char="00A3"/>
            </w:r>
          </w:p>
        </w:tc>
        <w:tc>
          <w:tcPr>
            <w:tcW w:w="1678" w:type="pct"/>
            <w:gridSpan w:val="10"/>
            <w:vAlign w:val="center"/>
          </w:tcPr>
          <w:p w:rsidR="00EE4502" w:rsidRDefault="00FD45A3">
            <w:pPr>
              <w:adjustRightInd w:val="0"/>
              <w:snapToGrid w:val="0"/>
              <w:jc w:val="center"/>
              <w:rPr>
                <w:sz w:val="18"/>
                <w:szCs w:val="18"/>
              </w:rPr>
            </w:pPr>
            <w:r>
              <w:rPr>
                <w:sz w:val="18"/>
                <w:szCs w:val="18"/>
              </w:rPr>
              <w:t>C</w:t>
            </w:r>
            <w:r>
              <w:rPr>
                <w:rFonts w:hint="eastAsia"/>
                <w:sz w:val="18"/>
                <w:szCs w:val="18"/>
              </w:rPr>
              <w:t>本工程</w:t>
            </w:r>
            <w:r>
              <w:rPr>
                <w:sz w:val="18"/>
                <w:szCs w:val="18"/>
              </w:rPr>
              <w:t>最大占标率＞</w:t>
            </w:r>
            <w:r>
              <w:rPr>
                <w:sz w:val="18"/>
                <w:szCs w:val="18"/>
              </w:rPr>
              <w:t>10%</w:t>
            </w:r>
            <w:r>
              <w:rPr>
                <w:sz w:val="18"/>
                <w:szCs w:val="18"/>
              </w:rPr>
              <w:sym w:font="Wingdings 2" w:char="00A3"/>
            </w:r>
          </w:p>
        </w:tc>
      </w:tr>
      <w:tr w:rsidR="00EE4502">
        <w:trPr>
          <w:trHeight w:val="340"/>
          <w:jc w:val="center"/>
        </w:trPr>
        <w:tc>
          <w:tcPr>
            <w:tcW w:w="433" w:type="pct"/>
            <w:vMerge/>
            <w:vAlign w:val="center"/>
          </w:tcPr>
          <w:p w:rsidR="00EE4502" w:rsidRDefault="00EE4502">
            <w:pPr>
              <w:adjustRightInd w:val="0"/>
              <w:snapToGrid w:val="0"/>
              <w:jc w:val="center"/>
              <w:rPr>
                <w:sz w:val="18"/>
                <w:szCs w:val="18"/>
              </w:rPr>
            </w:pPr>
          </w:p>
        </w:tc>
        <w:tc>
          <w:tcPr>
            <w:tcW w:w="890" w:type="pct"/>
            <w:vMerge/>
            <w:vAlign w:val="center"/>
          </w:tcPr>
          <w:p w:rsidR="00EE4502" w:rsidRDefault="00EE4502">
            <w:pPr>
              <w:adjustRightInd w:val="0"/>
              <w:snapToGrid w:val="0"/>
              <w:jc w:val="center"/>
              <w:rPr>
                <w:sz w:val="18"/>
                <w:szCs w:val="18"/>
              </w:rPr>
            </w:pPr>
          </w:p>
        </w:tc>
        <w:tc>
          <w:tcPr>
            <w:tcW w:w="615" w:type="pct"/>
            <w:vAlign w:val="center"/>
          </w:tcPr>
          <w:p w:rsidR="00EE4502" w:rsidRDefault="00FD45A3">
            <w:pPr>
              <w:adjustRightInd w:val="0"/>
              <w:snapToGrid w:val="0"/>
              <w:jc w:val="center"/>
              <w:rPr>
                <w:sz w:val="18"/>
                <w:szCs w:val="18"/>
              </w:rPr>
            </w:pPr>
            <w:r>
              <w:rPr>
                <w:sz w:val="18"/>
                <w:szCs w:val="18"/>
              </w:rPr>
              <w:t>二类区</w:t>
            </w:r>
          </w:p>
        </w:tc>
        <w:tc>
          <w:tcPr>
            <w:tcW w:w="1384" w:type="pct"/>
            <w:gridSpan w:val="12"/>
            <w:vAlign w:val="center"/>
          </w:tcPr>
          <w:p w:rsidR="00EE4502" w:rsidRDefault="00FD45A3">
            <w:pPr>
              <w:adjustRightInd w:val="0"/>
              <w:snapToGrid w:val="0"/>
              <w:jc w:val="center"/>
              <w:rPr>
                <w:sz w:val="18"/>
                <w:szCs w:val="18"/>
              </w:rPr>
            </w:pPr>
            <w:r>
              <w:rPr>
                <w:sz w:val="18"/>
                <w:szCs w:val="18"/>
              </w:rPr>
              <w:t>C</w:t>
            </w:r>
            <w:r>
              <w:rPr>
                <w:rFonts w:hint="eastAsia"/>
                <w:sz w:val="18"/>
                <w:szCs w:val="18"/>
              </w:rPr>
              <w:t>本工程</w:t>
            </w:r>
            <w:r>
              <w:rPr>
                <w:sz w:val="18"/>
                <w:szCs w:val="18"/>
              </w:rPr>
              <w:t>最大占标率</w:t>
            </w:r>
            <w:r>
              <w:rPr>
                <w:sz w:val="18"/>
                <w:szCs w:val="18"/>
              </w:rPr>
              <w:t>≤30%</w:t>
            </w:r>
            <w:r>
              <w:rPr>
                <w:sz w:val="18"/>
                <w:szCs w:val="18"/>
              </w:rPr>
              <w:sym w:font="Wingdings 2" w:char="0052"/>
            </w:r>
          </w:p>
        </w:tc>
        <w:tc>
          <w:tcPr>
            <w:tcW w:w="1678" w:type="pct"/>
            <w:gridSpan w:val="10"/>
            <w:vAlign w:val="center"/>
          </w:tcPr>
          <w:p w:rsidR="00EE4502" w:rsidRDefault="00FD45A3">
            <w:pPr>
              <w:adjustRightInd w:val="0"/>
              <w:snapToGrid w:val="0"/>
              <w:jc w:val="center"/>
              <w:rPr>
                <w:sz w:val="18"/>
                <w:szCs w:val="18"/>
              </w:rPr>
            </w:pPr>
            <w:r>
              <w:rPr>
                <w:sz w:val="18"/>
                <w:szCs w:val="18"/>
              </w:rPr>
              <w:t>C</w:t>
            </w:r>
            <w:r>
              <w:rPr>
                <w:rFonts w:hint="eastAsia"/>
                <w:sz w:val="18"/>
                <w:szCs w:val="18"/>
              </w:rPr>
              <w:t>本工程</w:t>
            </w:r>
            <w:r>
              <w:rPr>
                <w:sz w:val="18"/>
                <w:szCs w:val="18"/>
              </w:rPr>
              <w:t>最大占标率＞</w:t>
            </w:r>
            <w:r>
              <w:rPr>
                <w:sz w:val="18"/>
                <w:szCs w:val="18"/>
              </w:rPr>
              <w:t>30%</w:t>
            </w:r>
            <w:r>
              <w:rPr>
                <w:sz w:val="18"/>
                <w:szCs w:val="18"/>
              </w:rPr>
              <w:sym w:font="Wingdings 2" w:char="00A3"/>
            </w:r>
          </w:p>
        </w:tc>
      </w:tr>
      <w:tr w:rsidR="00EE4502">
        <w:trPr>
          <w:trHeight w:val="340"/>
          <w:jc w:val="center"/>
        </w:trPr>
        <w:tc>
          <w:tcPr>
            <w:tcW w:w="433" w:type="pct"/>
            <w:vMerge/>
            <w:vAlign w:val="center"/>
          </w:tcPr>
          <w:p w:rsidR="00EE4502" w:rsidRDefault="00EE4502">
            <w:pPr>
              <w:adjustRightInd w:val="0"/>
              <w:snapToGrid w:val="0"/>
              <w:jc w:val="center"/>
              <w:rPr>
                <w:sz w:val="18"/>
                <w:szCs w:val="18"/>
              </w:rPr>
            </w:pPr>
          </w:p>
        </w:tc>
        <w:tc>
          <w:tcPr>
            <w:tcW w:w="890" w:type="pct"/>
            <w:vAlign w:val="center"/>
          </w:tcPr>
          <w:p w:rsidR="00EE4502" w:rsidRDefault="00FD45A3">
            <w:pPr>
              <w:adjustRightInd w:val="0"/>
              <w:snapToGrid w:val="0"/>
              <w:jc w:val="center"/>
              <w:rPr>
                <w:sz w:val="18"/>
                <w:szCs w:val="18"/>
              </w:rPr>
            </w:pPr>
            <w:r>
              <w:rPr>
                <w:sz w:val="18"/>
                <w:szCs w:val="18"/>
              </w:rPr>
              <w:t>非正常排放</w:t>
            </w:r>
            <w:r>
              <w:rPr>
                <w:sz w:val="18"/>
                <w:szCs w:val="18"/>
              </w:rPr>
              <w:t>1h</w:t>
            </w:r>
            <w:r>
              <w:rPr>
                <w:sz w:val="18"/>
                <w:szCs w:val="18"/>
              </w:rPr>
              <w:t>浓度贡献值</w:t>
            </w:r>
          </w:p>
        </w:tc>
        <w:tc>
          <w:tcPr>
            <w:tcW w:w="768" w:type="pct"/>
            <w:gridSpan w:val="2"/>
            <w:vAlign w:val="center"/>
          </w:tcPr>
          <w:p w:rsidR="00EE4502" w:rsidRDefault="00FD45A3">
            <w:pPr>
              <w:adjustRightInd w:val="0"/>
              <w:snapToGrid w:val="0"/>
              <w:jc w:val="center"/>
              <w:rPr>
                <w:sz w:val="18"/>
                <w:szCs w:val="18"/>
              </w:rPr>
            </w:pPr>
            <w:r>
              <w:rPr>
                <w:sz w:val="18"/>
                <w:szCs w:val="18"/>
              </w:rPr>
              <w:t>非正常持续时长（</w:t>
            </w:r>
            <w:r>
              <w:rPr>
                <w:rFonts w:hint="eastAsia"/>
                <w:sz w:val="18"/>
                <w:szCs w:val="18"/>
              </w:rPr>
              <w:t xml:space="preserve"> </w:t>
            </w:r>
            <w:r>
              <w:rPr>
                <w:sz w:val="18"/>
                <w:szCs w:val="18"/>
              </w:rPr>
              <w:t>）</w:t>
            </w:r>
            <w:r>
              <w:rPr>
                <w:sz w:val="18"/>
                <w:szCs w:val="18"/>
              </w:rPr>
              <w:t>h</w:t>
            </w:r>
          </w:p>
        </w:tc>
        <w:tc>
          <w:tcPr>
            <w:tcW w:w="1454" w:type="pct"/>
            <w:gridSpan w:val="13"/>
            <w:vAlign w:val="center"/>
          </w:tcPr>
          <w:p w:rsidR="00EE4502" w:rsidRDefault="00FD45A3">
            <w:pPr>
              <w:adjustRightInd w:val="0"/>
              <w:snapToGrid w:val="0"/>
              <w:jc w:val="center"/>
              <w:rPr>
                <w:sz w:val="18"/>
                <w:szCs w:val="18"/>
              </w:rPr>
            </w:pPr>
            <w:r>
              <w:rPr>
                <w:sz w:val="18"/>
                <w:szCs w:val="18"/>
              </w:rPr>
              <w:t>C</w:t>
            </w:r>
            <w:r>
              <w:rPr>
                <w:sz w:val="18"/>
                <w:szCs w:val="18"/>
              </w:rPr>
              <w:t>非正常最大占标率</w:t>
            </w:r>
            <w:r>
              <w:rPr>
                <w:sz w:val="18"/>
                <w:szCs w:val="18"/>
              </w:rPr>
              <w:t>≤100%</w:t>
            </w:r>
            <w:r>
              <w:rPr>
                <w:sz w:val="18"/>
                <w:szCs w:val="18"/>
              </w:rPr>
              <w:sym w:font="Wingdings 2" w:char="00A3"/>
            </w:r>
          </w:p>
        </w:tc>
        <w:tc>
          <w:tcPr>
            <w:tcW w:w="1456" w:type="pct"/>
            <w:gridSpan w:val="8"/>
            <w:vAlign w:val="center"/>
          </w:tcPr>
          <w:p w:rsidR="00EE4502" w:rsidRDefault="00FD45A3">
            <w:pPr>
              <w:adjustRightInd w:val="0"/>
              <w:snapToGrid w:val="0"/>
              <w:jc w:val="center"/>
              <w:rPr>
                <w:sz w:val="18"/>
                <w:szCs w:val="18"/>
              </w:rPr>
            </w:pPr>
            <w:r>
              <w:rPr>
                <w:sz w:val="18"/>
                <w:szCs w:val="18"/>
              </w:rPr>
              <w:t>C</w:t>
            </w:r>
            <w:r>
              <w:rPr>
                <w:sz w:val="18"/>
                <w:szCs w:val="18"/>
              </w:rPr>
              <w:t>非正常最大占标率＞</w:t>
            </w:r>
            <w:r>
              <w:rPr>
                <w:sz w:val="18"/>
                <w:szCs w:val="18"/>
              </w:rPr>
              <w:t>100%</w:t>
            </w:r>
            <w:r>
              <w:rPr>
                <w:sz w:val="18"/>
                <w:szCs w:val="18"/>
              </w:rPr>
              <w:sym w:font="Wingdings 2" w:char="00A3"/>
            </w:r>
          </w:p>
        </w:tc>
      </w:tr>
      <w:tr w:rsidR="00EE4502">
        <w:trPr>
          <w:trHeight w:val="340"/>
          <w:jc w:val="center"/>
        </w:trPr>
        <w:tc>
          <w:tcPr>
            <w:tcW w:w="433" w:type="pct"/>
            <w:vMerge/>
            <w:vAlign w:val="center"/>
          </w:tcPr>
          <w:p w:rsidR="00EE4502" w:rsidRDefault="00EE4502">
            <w:pPr>
              <w:adjustRightInd w:val="0"/>
              <w:snapToGrid w:val="0"/>
              <w:jc w:val="center"/>
              <w:rPr>
                <w:sz w:val="18"/>
                <w:szCs w:val="18"/>
              </w:rPr>
            </w:pPr>
          </w:p>
        </w:tc>
        <w:tc>
          <w:tcPr>
            <w:tcW w:w="890" w:type="pct"/>
            <w:vAlign w:val="center"/>
          </w:tcPr>
          <w:p w:rsidR="00EE4502" w:rsidRDefault="00FD45A3">
            <w:pPr>
              <w:adjustRightInd w:val="0"/>
              <w:snapToGrid w:val="0"/>
              <w:jc w:val="center"/>
              <w:rPr>
                <w:sz w:val="18"/>
                <w:szCs w:val="18"/>
              </w:rPr>
            </w:pPr>
            <w:r>
              <w:rPr>
                <w:sz w:val="18"/>
                <w:szCs w:val="18"/>
              </w:rPr>
              <w:t>保证率日平均浓度和年平均浓度叠加值</w:t>
            </w:r>
          </w:p>
        </w:tc>
        <w:tc>
          <w:tcPr>
            <w:tcW w:w="1778" w:type="pct"/>
            <w:gridSpan w:val="11"/>
            <w:vAlign w:val="center"/>
          </w:tcPr>
          <w:p w:rsidR="00EE4502" w:rsidRDefault="00FD45A3">
            <w:pPr>
              <w:adjustRightInd w:val="0"/>
              <w:snapToGrid w:val="0"/>
              <w:jc w:val="center"/>
              <w:rPr>
                <w:sz w:val="18"/>
                <w:szCs w:val="18"/>
              </w:rPr>
            </w:pPr>
            <w:r>
              <w:rPr>
                <w:sz w:val="18"/>
                <w:szCs w:val="18"/>
              </w:rPr>
              <w:t>C</w:t>
            </w:r>
            <w:r>
              <w:rPr>
                <w:sz w:val="18"/>
                <w:szCs w:val="18"/>
              </w:rPr>
              <w:t>叠加达标</w:t>
            </w:r>
            <w:r>
              <w:rPr>
                <w:sz w:val="18"/>
                <w:szCs w:val="18"/>
              </w:rPr>
              <w:sym w:font="Wingdings 2" w:char="0052"/>
            </w:r>
          </w:p>
        </w:tc>
        <w:tc>
          <w:tcPr>
            <w:tcW w:w="1899" w:type="pct"/>
            <w:gridSpan w:val="12"/>
            <w:vAlign w:val="center"/>
          </w:tcPr>
          <w:p w:rsidR="00EE4502" w:rsidRDefault="00FD45A3">
            <w:pPr>
              <w:adjustRightInd w:val="0"/>
              <w:snapToGrid w:val="0"/>
              <w:jc w:val="center"/>
              <w:rPr>
                <w:sz w:val="18"/>
                <w:szCs w:val="18"/>
              </w:rPr>
            </w:pPr>
            <w:r>
              <w:rPr>
                <w:sz w:val="18"/>
                <w:szCs w:val="18"/>
              </w:rPr>
              <w:t>C</w:t>
            </w:r>
            <w:r>
              <w:rPr>
                <w:sz w:val="18"/>
                <w:szCs w:val="18"/>
              </w:rPr>
              <w:t>叠加不达标</w:t>
            </w:r>
            <w:r>
              <w:rPr>
                <w:sz w:val="18"/>
                <w:szCs w:val="18"/>
              </w:rPr>
              <w:sym w:font="Wingdings 2" w:char="00A3"/>
            </w:r>
          </w:p>
        </w:tc>
      </w:tr>
      <w:tr w:rsidR="00EE4502">
        <w:trPr>
          <w:trHeight w:val="340"/>
          <w:jc w:val="center"/>
        </w:trPr>
        <w:tc>
          <w:tcPr>
            <w:tcW w:w="433" w:type="pct"/>
            <w:vMerge/>
            <w:vAlign w:val="center"/>
          </w:tcPr>
          <w:p w:rsidR="00EE4502" w:rsidRDefault="00EE4502">
            <w:pPr>
              <w:adjustRightInd w:val="0"/>
              <w:snapToGrid w:val="0"/>
              <w:jc w:val="center"/>
              <w:rPr>
                <w:sz w:val="18"/>
                <w:szCs w:val="18"/>
              </w:rPr>
            </w:pPr>
          </w:p>
        </w:tc>
        <w:tc>
          <w:tcPr>
            <w:tcW w:w="890" w:type="pct"/>
            <w:vAlign w:val="center"/>
          </w:tcPr>
          <w:p w:rsidR="00EE4502" w:rsidRDefault="00FD45A3">
            <w:pPr>
              <w:adjustRightInd w:val="0"/>
              <w:snapToGrid w:val="0"/>
              <w:jc w:val="center"/>
              <w:rPr>
                <w:sz w:val="18"/>
                <w:szCs w:val="18"/>
              </w:rPr>
            </w:pPr>
            <w:r>
              <w:rPr>
                <w:sz w:val="18"/>
                <w:szCs w:val="18"/>
              </w:rPr>
              <w:t>区域环境质量的整体变化情况</w:t>
            </w:r>
          </w:p>
        </w:tc>
        <w:tc>
          <w:tcPr>
            <w:tcW w:w="1778" w:type="pct"/>
            <w:gridSpan w:val="11"/>
            <w:vAlign w:val="center"/>
          </w:tcPr>
          <w:p w:rsidR="00EE4502" w:rsidRDefault="00FD45A3">
            <w:pPr>
              <w:adjustRightInd w:val="0"/>
              <w:snapToGrid w:val="0"/>
              <w:jc w:val="center"/>
              <w:rPr>
                <w:sz w:val="18"/>
                <w:szCs w:val="18"/>
              </w:rPr>
            </w:pPr>
            <w:r>
              <w:rPr>
                <w:sz w:val="18"/>
                <w:szCs w:val="18"/>
              </w:rPr>
              <w:t>k≤-20%</w:t>
            </w:r>
            <w:r>
              <w:rPr>
                <w:sz w:val="18"/>
                <w:szCs w:val="18"/>
              </w:rPr>
              <w:sym w:font="Wingdings 2" w:char="00A3"/>
            </w:r>
          </w:p>
        </w:tc>
        <w:tc>
          <w:tcPr>
            <w:tcW w:w="1899" w:type="pct"/>
            <w:gridSpan w:val="12"/>
            <w:vAlign w:val="center"/>
          </w:tcPr>
          <w:p w:rsidR="00EE4502" w:rsidRDefault="00FD45A3">
            <w:pPr>
              <w:adjustRightInd w:val="0"/>
              <w:snapToGrid w:val="0"/>
              <w:jc w:val="center"/>
              <w:rPr>
                <w:sz w:val="18"/>
                <w:szCs w:val="18"/>
              </w:rPr>
            </w:pPr>
            <w:r>
              <w:rPr>
                <w:sz w:val="18"/>
                <w:szCs w:val="18"/>
              </w:rPr>
              <w:t>k</w:t>
            </w:r>
            <w:r>
              <w:rPr>
                <w:rFonts w:hint="eastAsia"/>
                <w:sz w:val="18"/>
                <w:szCs w:val="18"/>
              </w:rPr>
              <w:t>&gt;</w:t>
            </w:r>
            <w:r>
              <w:rPr>
                <w:sz w:val="18"/>
                <w:szCs w:val="18"/>
              </w:rPr>
              <w:t>-20%</w:t>
            </w:r>
            <w:r>
              <w:rPr>
                <w:sz w:val="18"/>
                <w:szCs w:val="18"/>
              </w:rPr>
              <w:sym w:font="Wingdings 2" w:char="00A3"/>
            </w:r>
          </w:p>
        </w:tc>
      </w:tr>
      <w:tr w:rsidR="00EE4502">
        <w:trPr>
          <w:trHeight w:val="340"/>
          <w:jc w:val="center"/>
        </w:trPr>
        <w:tc>
          <w:tcPr>
            <w:tcW w:w="433" w:type="pct"/>
            <w:vMerge w:val="restart"/>
            <w:vAlign w:val="center"/>
          </w:tcPr>
          <w:p w:rsidR="00EE4502" w:rsidRDefault="00FD45A3">
            <w:pPr>
              <w:adjustRightInd w:val="0"/>
              <w:snapToGrid w:val="0"/>
              <w:jc w:val="center"/>
              <w:rPr>
                <w:sz w:val="18"/>
                <w:szCs w:val="18"/>
              </w:rPr>
            </w:pPr>
            <w:r>
              <w:rPr>
                <w:sz w:val="18"/>
                <w:szCs w:val="18"/>
              </w:rPr>
              <w:t>环境监测计划</w:t>
            </w:r>
          </w:p>
        </w:tc>
        <w:tc>
          <w:tcPr>
            <w:tcW w:w="890" w:type="pct"/>
            <w:vAlign w:val="center"/>
          </w:tcPr>
          <w:p w:rsidR="00EE4502" w:rsidRDefault="00FD45A3">
            <w:pPr>
              <w:adjustRightInd w:val="0"/>
              <w:snapToGrid w:val="0"/>
              <w:jc w:val="center"/>
              <w:rPr>
                <w:sz w:val="18"/>
                <w:szCs w:val="18"/>
              </w:rPr>
            </w:pPr>
            <w:r>
              <w:rPr>
                <w:sz w:val="18"/>
                <w:szCs w:val="18"/>
              </w:rPr>
              <w:t>污染源监测</w:t>
            </w:r>
          </w:p>
        </w:tc>
        <w:tc>
          <w:tcPr>
            <w:tcW w:w="1478" w:type="pct"/>
            <w:gridSpan w:val="7"/>
            <w:vAlign w:val="center"/>
          </w:tcPr>
          <w:p w:rsidR="00EE4502" w:rsidRDefault="00FD45A3">
            <w:pPr>
              <w:adjustRightInd w:val="0"/>
              <w:snapToGrid w:val="0"/>
              <w:jc w:val="center"/>
              <w:rPr>
                <w:sz w:val="18"/>
                <w:szCs w:val="18"/>
              </w:rPr>
            </w:pPr>
            <w:r>
              <w:rPr>
                <w:sz w:val="18"/>
                <w:szCs w:val="18"/>
              </w:rPr>
              <w:t>监测因子（非甲烷总烃）</w:t>
            </w:r>
          </w:p>
        </w:tc>
        <w:tc>
          <w:tcPr>
            <w:tcW w:w="1598" w:type="pct"/>
            <w:gridSpan w:val="14"/>
            <w:vAlign w:val="center"/>
          </w:tcPr>
          <w:p w:rsidR="00EE4502" w:rsidRDefault="00FD45A3">
            <w:pPr>
              <w:adjustRightInd w:val="0"/>
              <w:snapToGrid w:val="0"/>
              <w:jc w:val="center"/>
              <w:rPr>
                <w:sz w:val="18"/>
                <w:szCs w:val="18"/>
              </w:rPr>
            </w:pPr>
            <w:r>
              <w:rPr>
                <w:sz w:val="18"/>
                <w:szCs w:val="18"/>
              </w:rPr>
              <w:t>有组织废气监测</w:t>
            </w:r>
            <w:r>
              <w:rPr>
                <w:sz w:val="18"/>
                <w:szCs w:val="18"/>
              </w:rPr>
              <w:sym w:font="Wingdings 2" w:char="00A3"/>
            </w:r>
          </w:p>
          <w:p w:rsidR="00EE4502" w:rsidRDefault="00FD45A3">
            <w:pPr>
              <w:adjustRightInd w:val="0"/>
              <w:snapToGrid w:val="0"/>
              <w:jc w:val="center"/>
              <w:rPr>
                <w:sz w:val="18"/>
                <w:szCs w:val="18"/>
              </w:rPr>
            </w:pPr>
            <w:r>
              <w:rPr>
                <w:sz w:val="18"/>
                <w:szCs w:val="18"/>
              </w:rPr>
              <w:t>无组织废气监测</w:t>
            </w:r>
            <w:r>
              <w:rPr>
                <w:sz w:val="18"/>
                <w:szCs w:val="18"/>
              </w:rPr>
              <w:sym w:font="Wingdings 2" w:char="0052"/>
            </w:r>
          </w:p>
        </w:tc>
        <w:tc>
          <w:tcPr>
            <w:tcW w:w="601" w:type="pct"/>
            <w:gridSpan w:val="2"/>
            <w:vAlign w:val="center"/>
          </w:tcPr>
          <w:p w:rsidR="00EE4502" w:rsidRDefault="00FD45A3">
            <w:pPr>
              <w:adjustRightInd w:val="0"/>
              <w:snapToGrid w:val="0"/>
              <w:jc w:val="center"/>
              <w:rPr>
                <w:sz w:val="18"/>
                <w:szCs w:val="18"/>
              </w:rPr>
            </w:pPr>
            <w:r>
              <w:rPr>
                <w:sz w:val="18"/>
                <w:szCs w:val="18"/>
              </w:rPr>
              <w:t>无监测</w:t>
            </w:r>
            <w:r>
              <w:rPr>
                <w:sz w:val="18"/>
                <w:szCs w:val="18"/>
              </w:rPr>
              <w:sym w:font="Wingdings 2" w:char="00A3"/>
            </w:r>
          </w:p>
        </w:tc>
      </w:tr>
      <w:tr w:rsidR="00EE4502">
        <w:trPr>
          <w:trHeight w:val="340"/>
          <w:jc w:val="center"/>
        </w:trPr>
        <w:tc>
          <w:tcPr>
            <w:tcW w:w="433" w:type="pct"/>
            <w:vMerge/>
            <w:vAlign w:val="center"/>
          </w:tcPr>
          <w:p w:rsidR="00EE4502" w:rsidRDefault="00EE4502">
            <w:pPr>
              <w:adjustRightInd w:val="0"/>
              <w:snapToGrid w:val="0"/>
              <w:jc w:val="center"/>
              <w:rPr>
                <w:sz w:val="18"/>
                <w:szCs w:val="18"/>
              </w:rPr>
            </w:pPr>
          </w:p>
        </w:tc>
        <w:tc>
          <w:tcPr>
            <w:tcW w:w="890" w:type="pct"/>
            <w:vAlign w:val="center"/>
          </w:tcPr>
          <w:p w:rsidR="00EE4502" w:rsidRDefault="00FD45A3">
            <w:pPr>
              <w:adjustRightInd w:val="0"/>
              <w:snapToGrid w:val="0"/>
              <w:jc w:val="center"/>
              <w:rPr>
                <w:sz w:val="18"/>
                <w:szCs w:val="18"/>
              </w:rPr>
            </w:pPr>
            <w:r>
              <w:rPr>
                <w:sz w:val="18"/>
                <w:szCs w:val="18"/>
              </w:rPr>
              <w:t>环境质量监测</w:t>
            </w:r>
          </w:p>
        </w:tc>
        <w:tc>
          <w:tcPr>
            <w:tcW w:w="1478" w:type="pct"/>
            <w:gridSpan w:val="7"/>
            <w:vAlign w:val="center"/>
          </w:tcPr>
          <w:p w:rsidR="00EE4502" w:rsidRDefault="00FD45A3">
            <w:pPr>
              <w:adjustRightInd w:val="0"/>
              <w:snapToGrid w:val="0"/>
              <w:jc w:val="center"/>
              <w:rPr>
                <w:sz w:val="18"/>
                <w:szCs w:val="18"/>
              </w:rPr>
            </w:pPr>
            <w:r>
              <w:rPr>
                <w:sz w:val="18"/>
                <w:szCs w:val="18"/>
              </w:rPr>
              <w:t>监测因子（）</w:t>
            </w:r>
          </w:p>
        </w:tc>
        <w:tc>
          <w:tcPr>
            <w:tcW w:w="1598" w:type="pct"/>
            <w:gridSpan w:val="14"/>
            <w:vAlign w:val="center"/>
          </w:tcPr>
          <w:p w:rsidR="00EE4502" w:rsidRDefault="00FD45A3">
            <w:pPr>
              <w:adjustRightInd w:val="0"/>
              <w:snapToGrid w:val="0"/>
              <w:jc w:val="center"/>
              <w:rPr>
                <w:sz w:val="18"/>
                <w:szCs w:val="18"/>
              </w:rPr>
            </w:pPr>
            <w:r>
              <w:rPr>
                <w:sz w:val="18"/>
                <w:szCs w:val="18"/>
              </w:rPr>
              <w:t>监测点位数（）</w:t>
            </w:r>
          </w:p>
        </w:tc>
        <w:tc>
          <w:tcPr>
            <w:tcW w:w="601" w:type="pct"/>
            <w:gridSpan w:val="2"/>
            <w:vAlign w:val="center"/>
          </w:tcPr>
          <w:p w:rsidR="00EE4502" w:rsidRDefault="00FD45A3">
            <w:pPr>
              <w:adjustRightInd w:val="0"/>
              <w:snapToGrid w:val="0"/>
              <w:jc w:val="center"/>
              <w:rPr>
                <w:sz w:val="18"/>
                <w:szCs w:val="18"/>
              </w:rPr>
            </w:pPr>
            <w:r>
              <w:rPr>
                <w:sz w:val="18"/>
                <w:szCs w:val="18"/>
              </w:rPr>
              <w:t>无监测</w:t>
            </w:r>
            <w:r>
              <w:rPr>
                <w:sz w:val="18"/>
                <w:szCs w:val="18"/>
              </w:rPr>
              <w:sym w:font="Wingdings 2" w:char="00A3"/>
            </w:r>
          </w:p>
        </w:tc>
      </w:tr>
      <w:tr w:rsidR="00EE4502">
        <w:trPr>
          <w:trHeight w:val="340"/>
          <w:jc w:val="center"/>
        </w:trPr>
        <w:tc>
          <w:tcPr>
            <w:tcW w:w="433" w:type="pct"/>
            <w:vMerge w:val="restart"/>
            <w:vAlign w:val="center"/>
          </w:tcPr>
          <w:p w:rsidR="00EE4502" w:rsidRDefault="00FD45A3">
            <w:pPr>
              <w:adjustRightInd w:val="0"/>
              <w:snapToGrid w:val="0"/>
              <w:jc w:val="center"/>
              <w:rPr>
                <w:sz w:val="18"/>
                <w:szCs w:val="18"/>
              </w:rPr>
            </w:pPr>
            <w:r>
              <w:rPr>
                <w:sz w:val="18"/>
                <w:szCs w:val="18"/>
              </w:rPr>
              <w:t>评价结论</w:t>
            </w:r>
          </w:p>
        </w:tc>
        <w:tc>
          <w:tcPr>
            <w:tcW w:w="890" w:type="pct"/>
            <w:vAlign w:val="center"/>
          </w:tcPr>
          <w:p w:rsidR="00EE4502" w:rsidRDefault="00FD45A3">
            <w:pPr>
              <w:adjustRightInd w:val="0"/>
              <w:snapToGrid w:val="0"/>
              <w:jc w:val="center"/>
              <w:rPr>
                <w:sz w:val="18"/>
                <w:szCs w:val="18"/>
              </w:rPr>
            </w:pPr>
            <w:r>
              <w:rPr>
                <w:sz w:val="18"/>
                <w:szCs w:val="18"/>
              </w:rPr>
              <w:t>环境影响</w:t>
            </w:r>
          </w:p>
        </w:tc>
        <w:tc>
          <w:tcPr>
            <w:tcW w:w="3677" w:type="pct"/>
            <w:gridSpan w:val="23"/>
            <w:vAlign w:val="center"/>
          </w:tcPr>
          <w:p w:rsidR="00EE4502" w:rsidRDefault="00FD45A3">
            <w:pPr>
              <w:adjustRightInd w:val="0"/>
              <w:snapToGrid w:val="0"/>
              <w:jc w:val="center"/>
              <w:rPr>
                <w:sz w:val="18"/>
                <w:szCs w:val="18"/>
              </w:rPr>
            </w:pPr>
            <w:r>
              <w:rPr>
                <w:sz w:val="18"/>
                <w:szCs w:val="18"/>
              </w:rPr>
              <w:t>可以接受</w:t>
            </w:r>
            <w:r>
              <w:rPr>
                <w:sz w:val="18"/>
                <w:szCs w:val="18"/>
              </w:rPr>
              <w:sym w:font="Wingdings 2" w:char="0052"/>
            </w:r>
            <w:r>
              <w:rPr>
                <w:sz w:val="18"/>
                <w:szCs w:val="18"/>
              </w:rPr>
              <w:t xml:space="preserve">         </w:t>
            </w:r>
            <w:r>
              <w:rPr>
                <w:sz w:val="18"/>
                <w:szCs w:val="18"/>
              </w:rPr>
              <w:t>不可以接受</w:t>
            </w:r>
            <w:r>
              <w:rPr>
                <w:sz w:val="18"/>
                <w:szCs w:val="18"/>
              </w:rPr>
              <w:sym w:font="Wingdings 2" w:char="00A3"/>
            </w:r>
          </w:p>
        </w:tc>
      </w:tr>
      <w:tr w:rsidR="00EE4502">
        <w:trPr>
          <w:trHeight w:val="340"/>
          <w:jc w:val="center"/>
        </w:trPr>
        <w:tc>
          <w:tcPr>
            <w:tcW w:w="433" w:type="pct"/>
            <w:vMerge/>
            <w:vAlign w:val="center"/>
          </w:tcPr>
          <w:p w:rsidR="00EE4502" w:rsidRDefault="00EE4502">
            <w:pPr>
              <w:adjustRightInd w:val="0"/>
              <w:snapToGrid w:val="0"/>
              <w:jc w:val="center"/>
              <w:rPr>
                <w:sz w:val="18"/>
                <w:szCs w:val="18"/>
              </w:rPr>
            </w:pPr>
          </w:p>
        </w:tc>
        <w:tc>
          <w:tcPr>
            <w:tcW w:w="890" w:type="pct"/>
            <w:vAlign w:val="center"/>
          </w:tcPr>
          <w:p w:rsidR="00EE4502" w:rsidRDefault="00FD45A3">
            <w:pPr>
              <w:adjustRightInd w:val="0"/>
              <w:snapToGrid w:val="0"/>
              <w:jc w:val="center"/>
              <w:rPr>
                <w:sz w:val="18"/>
                <w:szCs w:val="18"/>
              </w:rPr>
            </w:pPr>
            <w:r>
              <w:rPr>
                <w:sz w:val="18"/>
                <w:szCs w:val="18"/>
              </w:rPr>
              <w:t>大气环境防护距离</w:t>
            </w:r>
          </w:p>
        </w:tc>
        <w:tc>
          <w:tcPr>
            <w:tcW w:w="3677" w:type="pct"/>
            <w:gridSpan w:val="23"/>
            <w:vAlign w:val="center"/>
          </w:tcPr>
          <w:p w:rsidR="00EE4502" w:rsidRDefault="00FD45A3">
            <w:pPr>
              <w:adjustRightInd w:val="0"/>
              <w:snapToGrid w:val="0"/>
              <w:jc w:val="center"/>
              <w:rPr>
                <w:sz w:val="18"/>
                <w:szCs w:val="18"/>
              </w:rPr>
            </w:pPr>
            <w:r>
              <w:rPr>
                <w:sz w:val="18"/>
                <w:szCs w:val="18"/>
              </w:rPr>
              <w:t>距（</w:t>
            </w:r>
            <w:r>
              <w:rPr>
                <w:sz w:val="18"/>
                <w:szCs w:val="18"/>
              </w:rPr>
              <w:t>-</w:t>
            </w:r>
            <w:r>
              <w:rPr>
                <w:sz w:val="18"/>
                <w:szCs w:val="18"/>
              </w:rPr>
              <w:t>）厂界最远（</w:t>
            </w:r>
            <w:r>
              <w:rPr>
                <w:sz w:val="18"/>
                <w:szCs w:val="18"/>
              </w:rPr>
              <w:t>0</w:t>
            </w:r>
            <w:r>
              <w:rPr>
                <w:sz w:val="18"/>
                <w:szCs w:val="18"/>
              </w:rPr>
              <w:t>）</w:t>
            </w:r>
            <w:r>
              <w:rPr>
                <w:sz w:val="18"/>
                <w:szCs w:val="18"/>
              </w:rPr>
              <w:t>m</w:t>
            </w:r>
          </w:p>
        </w:tc>
      </w:tr>
      <w:tr w:rsidR="00EE4502">
        <w:trPr>
          <w:trHeight w:val="340"/>
          <w:jc w:val="center"/>
        </w:trPr>
        <w:tc>
          <w:tcPr>
            <w:tcW w:w="433" w:type="pct"/>
            <w:vMerge/>
            <w:vAlign w:val="center"/>
          </w:tcPr>
          <w:p w:rsidR="00EE4502" w:rsidRDefault="00EE4502">
            <w:pPr>
              <w:adjustRightInd w:val="0"/>
              <w:snapToGrid w:val="0"/>
              <w:jc w:val="center"/>
              <w:rPr>
                <w:sz w:val="18"/>
                <w:szCs w:val="18"/>
              </w:rPr>
            </w:pPr>
          </w:p>
        </w:tc>
        <w:tc>
          <w:tcPr>
            <w:tcW w:w="890" w:type="pct"/>
            <w:vAlign w:val="center"/>
          </w:tcPr>
          <w:p w:rsidR="00EE4502" w:rsidRDefault="00FD45A3">
            <w:pPr>
              <w:adjustRightInd w:val="0"/>
              <w:snapToGrid w:val="0"/>
              <w:jc w:val="center"/>
              <w:rPr>
                <w:sz w:val="18"/>
                <w:szCs w:val="18"/>
              </w:rPr>
            </w:pPr>
            <w:r>
              <w:rPr>
                <w:sz w:val="18"/>
                <w:szCs w:val="18"/>
              </w:rPr>
              <w:t>污染源年排放量</w:t>
            </w:r>
          </w:p>
        </w:tc>
        <w:tc>
          <w:tcPr>
            <w:tcW w:w="964" w:type="pct"/>
            <w:gridSpan w:val="4"/>
            <w:vAlign w:val="center"/>
          </w:tcPr>
          <w:p w:rsidR="00EE4502" w:rsidRDefault="00FD45A3">
            <w:pPr>
              <w:adjustRightInd w:val="0"/>
              <w:snapToGrid w:val="0"/>
              <w:jc w:val="center"/>
              <w:rPr>
                <w:sz w:val="18"/>
                <w:szCs w:val="18"/>
              </w:rPr>
            </w:pPr>
            <w:r>
              <w:rPr>
                <w:sz w:val="18"/>
                <w:szCs w:val="18"/>
              </w:rPr>
              <w:t>SO</w:t>
            </w:r>
            <w:r>
              <w:rPr>
                <w:sz w:val="18"/>
                <w:szCs w:val="18"/>
                <w:vertAlign w:val="subscript"/>
              </w:rPr>
              <w:t>2</w:t>
            </w:r>
            <w:r>
              <w:rPr>
                <w:sz w:val="18"/>
                <w:szCs w:val="18"/>
              </w:rPr>
              <w:t>：</w:t>
            </w:r>
            <w:r>
              <w:rPr>
                <w:rFonts w:hint="eastAsia"/>
                <w:sz w:val="18"/>
                <w:szCs w:val="18"/>
              </w:rPr>
              <w:t>（</w:t>
            </w:r>
            <w:r>
              <w:rPr>
                <w:sz w:val="18"/>
                <w:szCs w:val="18"/>
              </w:rPr>
              <w:t xml:space="preserve">  </w:t>
            </w:r>
            <w:r>
              <w:rPr>
                <w:rFonts w:hint="eastAsia"/>
                <w:sz w:val="18"/>
                <w:szCs w:val="18"/>
              </w:rPr>
              <w:t>)</w:t>
            </w:r>
            <w:r>
              <w:rPr>
                <w:sz w:val="18"/>
                <w:szCs w:val="18"/>
              </w:rPr>
              <w:t>t/a</w:t>
            </w:r>
          </w:p>
        </w:tc>
        <w:tc>
          <w:tcPr>
            <w:tcW w:w="871" w:type="pct"/>
            <w:gridSpan w:val="8"/>
            <w:vAlign w:val="center"/>
          </w:tcPr>
          <w:p w:rsidR="00EE4502" w:rsidRDefault="00FD45A3">
            <w:pPr>
              <w:adjustRightInd w:val="0"/>
              <w:snapToGrid w:val="0"/>
              <w:jc w:val="center"/>
              <w:rPr>
                <w:sz w:val="18"/>
                <w:szCs w:val="18"/>
              </w:rPr>
            </w:pPr>
            <w:r>
              <w:rPr>
                <w:sz w:val="18"/>
                <w:szCs w:val="18"/>
              </w:rPr>
              <w:t>NO</w:t>
            </w:r>
            <w:r>
              <w:rPr>
                <w:sz w:val="18"/>
                <w:szCs w:val="18"/>
                <w:vertAlign w:val="subscript"/>
              </w:rPr>
              <w:t>X</w:t>
            </w:r>
            <w:r>
              <w:rPr>
                <w:sz w:val="18"/>
                <w:szCs w:val="18"/>
              </w:rPr>
              <w:t>：</w:t>
            </w:r>
            <w:r>
              <w:rPr>
                <w:rFonts w:hint="eastAsia"/>
                <w:sz w:val="18"/>
                <w:szCs w:val="18"/>
              </w:rPr>
              <w:t>（</w:t>
            </w:r>
            <w:r>
              <w:rPr>
                <w:sz w:val="18"/>
                <w:szCs w:val="18"/>
              </w:rPr>
              <w:t xml:space="preserve">  </w:t>
            </w:r>
            <w:r>
              <w:rPr>
                <w:rFonts w:hint="eastAsia"/>
                <w:sz w:val="18"/>
                <w:szCs w:val="18"/>
              </w:rPr>
              <w:t>)</w:t>
            </w:r>
            <w:r>
              <w:rPr>
                <w:sz w:val="18"/>
                <w:szCs w:val="18"/>
              </w:rPr>
              <w:t>t/a</w:t>
            </w:r>
          </w:p>
        </w:tc>
        <w:tc>
          <w:tcPr>
            <w:tcW w:w="936" w:type="pct"/>
            <w:gridSpan w:val="7"/>
            <w:vAlign w:val="center"/>
          </w:tcPr>
          <w:p w:rsidR="00EE4502" w:rsidRDefault="00FD45A3">
            <w:pPr>
              <w:adjustRightInd w:val="0"/>
              <w:snapToGrid w:val="0"/>
              <w:jc w:val="center"/>
              <w:rPr>
                <w:sz w:val="18"/>
                <w:szCs w:val="18"/>
              </w:rPr>
            </w:pPr>
            <w:r>
              <w:rPr>
                <w:sz w:val="18"/>
                <w:szCs w:val="18"/>
              </w:rPr>
              <w:t>颗粒物：</w:t>
            </w:r>
            <w:r>
              <w:rPr>
                <w:rFonts w:hint="eastAsia"/>
                <w:sz w:val="18"/>
                <w:szCs w:val="18"/>
              </w:rPr>
              <w:t>（</w:t>
            </w:r>
            <w:r>
              <w:rPr>
                <w:sz w:val="18"/>
                <w:szCs w:val="18"/>
              </w:rPr>
              <w:t xml:space="preserve">  </w:t>
            </w:r>
            <w:r>
              <w:rPr>
                <w:rFonts w:hint="eastAsia"/>
                <w:sz w:val="18"/>
                <w:szCs w:val="18"/>
              </w:rPr>
              <w:t>）</w:t>
            </w:r>
            <w:r>
              <w:rPr>
                <w:sz w:val="18"/>
                <w:szCs w:val="18"/>
              </w:rPr>
              <w:t>t/a</w:t>
            </w:r>
          </w:p>
        </w:tc>
        <w:tc>
          <w:tcPr>
            <w:tcW w:w="906" w:type="pct"/>
            <w:gridSpan w:val="4"/>
            <w:vAlign w:val="center"/>
          </w:tcPr>
          <w:p w:rsidR="00EE4502" w:rsidRDefault="00FD45A3">
            <w:pPr>
              <w:adjustRightInd w:val="0"/>
              <w:snapToGrid w:val="0"/>
              <w:jc w:val="center"/>
              <w:rPr>
                <w:sz w:val="18"/>
                <w:szCs w:val="18"/>
              </w:rPr>
            </w:pPr>
            <w:r>
              <w:rPr>
                <w:sz w:val="18"/>
                <w:szCs w:val="18"/>
              </w:rPr>
              <w:t>VOC</w:t>
            </w:r>
            <w:r>
              <w:rPr>
                <w:rFonts w:hint="eastAsia"/>
                <w:sz w:val="18"/>
                <w:szCs w:val="18"/>
              </w:rPr>
              <w:t>s</w:t>
            </w:r>
            <w:r>
              <w:rPr>
                <w:sz w:val="18"/>
                <w:szCs w:val="18"/>
              </w:rPr>
              <w:t>：</w:t>
            </w:r>
            <w:r>
              <w:rPr>
                <w:rFonts w:hint="eastAsia"/>
                <w:sz w:val="18"/>
                <w:szCs w:val="18"/>
              </w:rPr>
              <w:t>（</w:t>
            </w:r>
            <w:r>
              <w:rPr>
                <w:rFonts w:hint="eastAsia"/>
                <w:sz w:val="18"/>
                <w:szCs w:val="18"/>
              </w:rPr>
              <w:t>2.893</w:t>
            </w:r>
            <w:r>
              <w:rPr>
                <w:rFonts w:hint="eastAsia"/>
                <w:sz w:val="18"/>
                <w:szCs w:val="18"/>
              </w:rPr>
              <w:t>)</w:t>
            </w:r>
            <w:r>
              <w:rPr>
                <w:sz w:val="18"/>
                <w:szCs w:val="18"/>
              </w:rPr>
              <w:t>t/a</w:t>
            </w:r>
          </w:p>
        </w:tc>
      </w:tr>
    </w:tbl>
    <w:p w:rsidR="00EE4502" w:rsidRDefault="00EE4502"/>
    <w:p w:rsidR="00EE4502" w:rsidRDefault="00FD45A3">
      <w:pPr>
        <w:pStyle w:val="22"/>
        <w:numPr>
          <w:ilvl w:val="1"/>
          <w:numId w:val="30"/>
        </w:numPr>
        <w:rPr>
          <w:spacing w:val="0"/>
          <w:w w:val="100"/>
        </w:rPr>
      </w:pPr>
      <w:bookmarkStart w:id="222" w:name="_Toc21850"/>
      <w:r>
        <w:rPr>
          <w:spacing w:val="0"/>
          <w:w w:val="100"/>
        </w:rPr>
        <w:t>声环境影响分析</w:t>
      </w:r>
      <w:bookmarkEnd w:id="222"/>
    </w:p>
    <w:p w:rsidR="00EE4502" w:rsidRDefault="00FD45A3">
      <w:pPr>
        <w:spacing w:line="360" w:lineRule="auto"/>
        <w:ind w:firstLine="505"/>
        <w:rPr>
          <w:sz w:val="24"/>
        </w:rPr>
      </w:pPr>
      <w:r>
        <w:rPr>
          <w:rFonts w:hint="eastAsia"/>
          <w:sz w:val="24"/>
        </w:rPr>
        <w:t>春风油田石炭系排</w:t>
      </w:r>
      <w:r>
        <w:rPr>
          <w:rFonts w:hint="eastAsia"/>
          <w:sz w:val="24"/>
        </w:rPr>
        <w:t>61</w:t>
      </w:r>
      <w:r>
        <w:rPr>
          <w:rFonts w:hint="eastAsia"/>
          <w:sz w:val="24"/>
        </w:rPr>
        <w:t>块产能建设工程</w:t>
      </w:r>
      <w:r>
        <w:rPr>
          <w:sz w:val="24"/>
        </w:rPr>
        <w:t>建设过程中的噪声源主要分为建设施工期噪声和生产运营期噪声两部分。施工期间管线敷设、部分地面工程及钻井施工过程中施工机械和车辆等是主要的噪声源。这些声源对环境的影响是暂时的，影响时间短；生产运营期即油田的生产过程的噪声主要以站场的各类机泵噪声为主，对环境的影响周期较长，贯穿于整个运营期。</w:t>
      </w:r>
    </w:p>
    <w:p w:rsidR="00EE4502" w:rsidRDefault="00FD45A3">
      <w:pPr>
        <w:pStyle w:val="33"/>
        <w:numPr>
          <w:ilvl w:val="2"/>
          <w:numId w:val="30"/>
        </w:numPr>
        <w:spacing w:line="360" w:lineRule="auto"/>
        <w:ind w:left="0" w:firstLine="0"/>
        <w:rPr>
          <w:spacing w:val="0"/>
          <w:sz w:val="24"/>
          <w:szCs w:val="24"/>
        </w:rPr>
      </w:pPr>
      <w:r>
        <w:rPr>
          <w:spacing w:val="0"/>
          <w:sz w:val="24"/>
          <w:szCs w:val="24"/>
        </w:rPr>
        <w:t>施工期声环境影响分析</w:t>
      </w:r>
    </w:p>
    <w:p w:rsidR="00EE4502" w:rsidRDefault="00FD45A3">
      <w:pPr>
        <w:spacing w:line="360" w:lineRule="auto"/>
        <w:ind w:firstLine="522"/>
        <w:rPr>
          <w:sz w:val="24"/>
        </w:rPr>
      </w:pPr>
      <w:r>
        <w:rPr>
          <w:rFonts w:hint="eastAsia"/>
          <w:sz w:val="24"/>
        </w:rPr>
        <w:t>根据春风油田其它井区的钻井资料，钻井井场边界附近（</w:t>
      </w:r>
      <w:r>
        <w:rPr>
          <w:rFonts w:hint="eastAsia"/>
          <w:sz w:val="24"/>
        </w:rPr>
        <w:t>1m</w:t>
      </w:r>
      <w:r>
        <w:rPr>
          <w:rFonts w:hint="eastAsia"/>
          <w:sz w:val="24"/>
        </w:rPr>
        <w:t>处）昼夜间噪</w:t>
      </w:r>
      <w:r>
        <w:rPr>
          <w:rFonts w:hint="eastAsia"/>
          <w:sz w:val="24"/>
        </w:rPr>
        <w:lastRenderedPageBreak/>
        <w:t>声均值按</w:t>
      </w:r>
      <w:r>
        <w:rPr>
          <w:rFonts w:hint="eastAsia"/>
          <w:sz w:val="24"/>
        </w:rPr>
        <w:t>79dB</w:t>
      </w:r>
      <w:r>
        <w:rPr>
          <w:rFonts w:hint="eastAsia"/>
          <w:sz w:val="24"/>
        </w:rPr>
        <w:t>（</w:t>
      </w:r>
      <w:r>
        <w:rPr>
          <w:rFonts w:hint="eastAsia"/>
          <w:sz w:val="24"/>
        </w:rPr>
        <w:t>A</w:t>
      </w:r>
      <w:r>
        <w:rPr>
          <w:rFonts w:hint="eastAsia"/>
          <w:sz w:val="24"/>
        </w:rPr>
        <w:t>）计。根据《环境影响评价技术导则</w:t>
      </w:r>
      <w:r>
        <w:rPr>
          <w:rFonts w:hint="eastAsia"/>
          <w:sz w:val="24"/>
        </w:rPr>
        <w:t xml:space="preserve"> </w:t>
      </w:r>
      <w:r>
        <w:rPr>
          <w:rFonts w:hint="eastAsia"/>
          <w:sz w:val="24"/>
        </w:rPr>
        <w:t>声环境》（</w:t>
      </w:r>
      <w:r>
        <w:rPr>
          <w:rFonts w:hint="eastAsia"/>
          <w:sz w:val="24"/>
        </w:rPr>
        <w:t>H</w:t>
      </w:r>
      <w:r>
        <w:rPr>
          <w:sz w:val="24"/>
        </w:rPr>
        <w:t>J2.4-2021</w:t>
      </w:r>
      <w:r>
        <w:rPr>
          <w:rFonts w:hint="eastAsia"/>
          <w:sz w:val="24"/>
        </w:rPr>
        <w:t>），采用室外传播声级衰减模式预测钻井噪声对周围环境的影响，其衰减的基本公式如下：</w:t>
      </w:r>
    </w:p>
    <w:p w:rsidR="00EE4502" w:rsidRDefault="00FD45A3">
      <w:pPr>
        <w:spacing w:line="360" w:lineRule="auto"/>
        <w:jc w:val="center"/>
        <w:rPr>
          <w:sz w:val="24"/>
        </w:rPr>
      </w:pPr>
      <m:oMathPara>
        <m:oMath>
          <m:sSub>
            <m:sSubPr>
              <m:ctrlPr>
                <w:rPr>
                  <w:rFonts w:ascii="Cambria Math" w:hAnsi="Cambria Math"/>
                  <w:sz w:val="24"/>
                </w:rPr>
              </m:ctrlPr>
            </m:sSubPr>
            <m:e>
              <m:r>
                <w:rPr>
                  <w:rFonts w:ascii="Cambria Math" w:hAnsi="Cambria Math"/>
                  <w:sz w:val="24"/>
                </w:rPr>
                <m:t>L</m:t>
              </m:r>
            </m:e>
            <m:sub>
              <m:r>
                <w:rPr>
                  <w:rFonts w:ascii="Cambria Math" w:hAnsi="Cambria Math"/>
                  <w:sz w:val="24"/>
                </w:rPr>
                <m:t>P</m:t>
              </m:r>
            </m:sub>
          </m:sSub>
          <m:d>
            <m:dPr>
              <m:ctrlPr>
                <w:rPr>
                  <w:rFonts w:ascii="Cambria Math" w:hAnsi="Cambria Math"/>
                  <w:sz w:val="24"/>
                </w:rPr>
              </m:ctrlPr>
            </m:dPr>
            <m:e>
              <m:r>
                <w:rPr>
                  <w:rFonts w:ascii="Cambria Math" w:hAnsi="Cambria Math"/>
                  <w:sz w:val="24"/>
                </w:rPr>
                <m:t>r</m:t>
              </m:r>
            </m:e>
          </m:d>
          <m:r>
            <m:rPr>
              <m:sty m:val="p"/>
            </m:rPr>
            <w:rPr>
              <w:rFonts w:ascii="Cambria Math" w:hAnsi="Cambria Math"/>
              <w:sz w:val="24"/>
            </w:rPr>
            <m:t>=</m:t>
          </m:r>
          <m:sSub>
            <m:sSubPr>
              <m:ctrlPr>
                <w:rPr>
                  <w:rFonts w:ascii="Cambria Math" w:hAnsi="Cambria Math"/>
                  <w:sz w:val="24"/>
                </w:rPr>
              </m:ctrlPr>
            </m:sSubPr>
            <m:e>
              <m:r>
                <w:rPr>
                  <w:rFonts w:ascii="Cambria Math" w:hAnsi="Cambria Math"/>
                  <w:sz w:val="24"/>
                </w:rPr>
                <m:t>L</m:t>
              </m:r>
            </m:e>
            <m:sub>
              <m:r>
                <w:rPr>
                  <w:rFonts w:ascii="Cambria Math" w:hAnsi="Cambria Math"/>
                  <w:sz w:val="24"/>
                </w:rPr>
                <m:t>p</m:t>
              </m:r>
            </m:sub>
          </m:sSub>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r</m:t>
                  </m:r>
                </m:e>
                <m:sub>
                  <m:r>
                    <w:rPr>
                      <w:rFonts w:ascii="Cambria Math" w:hAnsi="Cambria Math"/>
                      <w:sz w:val="24"/>
                    </w:rPr>
                    <m:t>0</m:t>
                  </m:r>
                </m:sub>
              </m:sSub>
            </m:e>
          </m:d>
          <m:r>
            <w:rPr>
              <w:rFonts w:ascii="Cambria Math" w:hAnsi="Cambria Math"/>
              <w:sz w:val="24"/>
            </w:rPr>
            <m:t>-</m:t>
          </m:r>
          <m:r>
            <w:rPr>
              <w:rFonts w:ascii="Cambria Math" w:hAnsi="Cambria Math"/>
              <w:sz w:val="24"/>
            </w:rPr>
            <m:t>20</m:t>
          </m:r>
          <m:r>
            <w:rPr>
              <w:rFonts w:ascii="Cambria Math" w:hAnsi="Cambria Math"/>
              <w:sz w:val="24"/>
            </w:rPr>
            <m:t>lg</m:t>
          </m:r>
          <m:d>
            <m:dPr>
              <m:ctrlPr>
                <w:rPr>
                  <w:rFonts w:ascii="Cambria Math" w:hAnsi="Cambria Math"/>
                  <w:i/>
                  <w:sz w:val="24"/>
                </w:rPr>
              </m:ctrlPr>
            </m:dPr>
            <m:e>
              <m:f>
                <m:fPr>
                  <m:ctrlPr>
                    <w:rPr>
                      <w:rFonts w:ascii="Cambria Math" w:hAnsi="Cambria Math"/>
                      <w:i/>
                      <w:sz w:val="24"/>
                    </w:rPr>
                  </m:ctrlPr>
                </m:fPr>
                <m:num>
                  <m:r>
                    <w:rPr>
                      <w:rFonts w:ascii="Cambria Math" w:hAnsi="Cambria Math"/>
                      <w:sz w:val="24"/>
                    </w:rPr>
                    <m:t>r</m:t>
                  </m:r>
                </m:num>
                <m:den>
                  <m:sSub>
                    <m:sSubPr>
                      <m:ctrlPr>
                        <w:rPr>
                          <w:rFonts w:ascii="Cambria Math" w:hAnsi="Cambria Math"/>
                          <w:i/>
                          <w:sz w:val="24"/>
                        </w:rPr>
                      </m:ctrlPr>
                    </m:sSubPr>
                    <m:e>
                      <m:r>
                        <w:rPr>
                          <w:rFonts w:ascii="Cambria Math" w:hAnsi="Cambria Math"/>
                          <w:sz w:val="24"/>
                        </w:rPr>
                        <m:t>r</m:t>
                      </m:r>
                    </m:e>
                    <m:sub>
                      <m:r>
                        <w:rPr>
                          <w:rFonts w:ascii="Cambria Math" w:hAnsi="Cambria Math"/>
                          <w:sz w:val="24"/>
                        </w:rPr>
                        <m:t>0</m:t>
                      </m:r>
                    </m:sub>
                  </m:sSub>
                </m:den>
              </m:f>
            </m:e>
          </m:d>
        </m:oMath>
      </m:oMathPara>
    </w:p>
    <w:p w:rsidR="00EE4502" w:rsidRDefault="00FD45A3">
      <w:pPr>
        <w:spacing w:line="360" w:lineRule="auto"/>
        <w:ind w:firstLine="522"/>
        <w:rPr>
          <w:sz w:val="24"/>
        </w:rPr>
      </w:pPr>
      <w:r>
        <w:rPr>
          <w:rFonts w:hint="eastAsia"/>
          <w:sz w:val="24"/>
        </w:rPr>
        <w:t>式中：</w:t>
      </w:r>
      <w:bookmarkStart w:id="223" w:name="OLE_LINK38"/>
      <w:r>
        <w:rPr>
          <w:sz w:val="24"/>
        </w:rPr>
        <w:t>Lp</w:t>
      </w:r>
      <w:r>
        <w:rPr>
          <w:rFonts w:hint="eastAsia"/>
          <w:sz w:val="24"/>
        </w:rPr>
        <w:t>（</w:t>
      </w:r>
      <w:r>
        <w:rPr>
          <w:rFonts w:hint="eastAsia"/>
          <w:sz w:val="24"/>
        </w:rPr>
        <w:t>r</w:t>
      </w:r>
      <w:r>
        <w:rPr>
          <w:rFonts w:hint="eastAsia"/>
          <w:sz w:val="24"/>
        </w:rPr>
        <w:t>）——</w:t>
      </w:r>
      <w:bookmarkEnd w:id="223"/>
      <w:r>
        <w:rPr>
          <w:rFonts w:hint="eastAsia"/>
          <w:sz w:val="24"/>
        </w:rPr>
        <w:t>预测点处声压级，</w:t>
      </w:r>
      <w:r>
        <w:rPr>
          <w:rFonts w:hint="eastAsia"/>
          <w:sz w:val="24"/>
        </w:rPr>
        <w:t>d</w:t>
      </w:r>
      <w:r>
        <w:rPr>
          <w:sz w:val="24"/>
        </w:rPr>
        <w:t>B</w:t>
      </w:r>
      <w:r>
        <w:rPr>
          <w:rFonts w:hint="eastAsia"/>
          <w:sz w:val="24"/>
        </w:rPr>
        <w:t>；</w:t>
      </w:r>
    </w:p>
    <w:p w:rsidR="00EE4502" w:rsidRDefault="00FD45A3">
      <w:pPr>
        <w:spacing w:line="360" w:lineRule="auto"/>
        <w:ind w:firstLine="522"/>
        <w:rPr>
          <w:sz w:val="24"/>
        </w:rPr>
      </w:pPr>
      <w:r>
        <w:rPr>
          <w:rFonts w:hint="eastAsia"/>
          <w:sz w:val="24"/>
        </w:rPr>
        <w:t xml:space="preserve"> </w:t>
      </w:r>
      <w:r>
        <w:rPr>
          <w:sz w:val="24"/>
        </w:rPr>
        <w:t xml:space="preserve">     Lp</w:t>
      </w:r>
      <w:r>
        <w:rPr>
          <w:rFonts w:hint="eastAsia"/>
          <w:sz w:val="24"/>
        </w:rPr>
        <w:t>（</w:t>
      </w:r>
      <w:r>
        <w:rPr>
          <w:rFonts w:hint="eastAsia"/>
          <w:sz w:val="24"/>
        </w:rPr>
        <w:t>r</w:t>
      </w:r>
      <w:r>
        <w:rPr>
          <w:sz w:val="24"/>
          <w:vertAlign w:val="subscript"/>
        </w:rPr>
        <w:t>0</w:t>
      </w:r>
      <w:r>
        <w:rPr>
          <w:rFonts w:hint="eastAsia"/>
          <w:sz w:val="24"/>
        </w:rPr>
        <w:t>）——参考位置</w:t>
      </w:r>
      <w:r>
        <w:rPr>
          <w:rFonts w:hint="eastAsia"/>
          <w:sz w:val="24"/>
        </w:rPr>
        <w:t>r</w:t>
      </w:r>
      <w:r>
        <w:rPr>
          <w:sz w:val="24"/>
          <w:vertAlign w:val="subscript"/>
        </w:rPr>
        <w:t>0</w:t>
      </w:r>
      <w:r>
        <w:rPr>
          <w:rFonts w:hint="eastAsia"/>
          <w:sz w:val="24"/>
        </w:rPr>
        <w:t>处的声压级，</w:t>
      </w:r>
      <w:r>
        <w:rPr>
          <w:rFonts w:hint="eastAsia"/>
          <w:sz w:val="24"/>
        </w:rPr>
        <w:t>d</w:t>
      </w:r>
      <w:r>
        <w:rPr>
          <w:sz w:val="24"/>
        </w:rPr>
        <w:t>B</w:t>
      </w:r>
      <w:r>
        <w:rPr>
          <w:rFonts w:hint="eastAsia"/>
          <w:sz w:val="24"/>
        </w:rPr>
        <w:t>；</w:t>
      </w:r>
    </w:p>
    <w:p w:rsidR="00EE4502" w:rsidRDefault="00FD45A3">
      <w:pPr>
        <w:spacing w:line="360" w:lineRule="auto"/>
        <w:ind w:firstLine="522"/>
        <w:rPr>
          <w:sz w:val="24"/>
        </w:rPr>
      </w:pPr>
      <w:r>
        <w:rPr>
          <w:rFonts w:hint="eastAsia"/>
          <w:sz w:val="24"/>
        </w:rPr>
        <w:t xml:space="preserve"> </w:t>
      </w:r>
      <w:r>
        <w:rPr>
          <w:sz w:val="24"/>
        </w:rPr>
        <w:t xml:space="preserve">     r</w:t>
      </w:r>
      <w:r>
        <w:rPr>
          <w:rFonts w:hint="eastAsia"/>
          <w:sz w:val="24"/>
        </w:rPr>
        <w:t>——预测点距声源的距离；</w:t>
      </w:r>
    </w:p>
    <w:p w:rsidR="00EE4502" w:rsidRDefault="00FD45A3">
      <w:pPr>
        <w:spacing w:line="360" w:lineRule="auto"/>
        <w:ind w:firstLine="522"/>
        <w:rPr>
          <w:sz w:val="24"/>
        </w:rPr>
      </w:pPr>
      <w:r>
        <w:rPr>
          <w:rFonts w:hint="eastAsia"/>
          <w:sz w:val="24"/>
        </w:rPr>
        <w:t xml:space="preserve"> </w:t>
      </w:r>
      <w:r>
        <w:rPr>
          <w:sz w:val="24"/>
        </w:rPr>
        <w:t xml:space="preserve">     r</w:t>
      </w:r>
      <w:r>
        <w:rPr>
          <w:sz w:val="24"/>
          <w:vertAlign w:val="subscript"/>
        </w:rPr>
        <w:t>0</w:t>
      </w:r>
      <w:r>
        <w:rPr>
          <w:rFonts w:hint="eastAsia"/>
          <w:sz w:val="24"/>
        </w:rPr>
        <w:t>——参考位置距声源的距离。</w:t>
      </w:r>
    </w:p>
    <w:p w:rsidR="00EE4502" w:rsidRDefault="00FD45A3">
      <w:pPr>
        <w:spacing w:line="360" w:lineRule="auto"/>
        <w:ind w:firstLine="522"/>
        <w:rPr>
          <w:sz w:val="24"/>
        </w:rPr>
      </w:pPr>
      <w:r>
        <w:rPr>
          <w:rFonts w:hint="eastAsia"/>
          <w:sz w:val="24"/>
        </w:rPr>
        <w:t>钻井过程噪声影响据此进行预测。根据施工机具噪声源强，利用衰减模式预测出距离井场场界不同距离处的噪声预测值见表</w:t>
      </w:r>
      <w:r>
        <w:rPr>
          <w:rFonts w:hint="eastAsia"/>
          <w:sz w:val="24"/>
        </w:rPr>
        <w:t>5-</w:t>
      </w:r>
      <w:r>
        <w:rPr>
          <w:rFonts w:hint="eastAsia"/>
          <w:sz w:val="24"/>
        </w:rPr>
        <w:t>6</w:t>
      </w:r>
      <w:r>
        <w:rPr>
          <w:rFonts w:hint="eastAsia"/>
          <w:sz w:val="24"/>
        </w:rPr>
        <w:t>-</w:t>
      </w:r>
      <w:r>
        <w:rPr>
          <w:sz w:val="24"/>
        </w:rPr>
        <w:t>1</w:t>
      </w:r>
      <w:r>
        <w:rPr>
          <w:rFonts w:hint="eastAsia"/>
          <w:sz w:val="24"/>
        </w:rPr>
        <w:t>中。</w:t>
      </w:r>
    </w:p>
    <w:p w:rsidR="00EE4502" w:rsidRDefault="00FD45A3">
      <w:pPr>
        <w:pStyle w:val="Char3e"/>
        <w:snapToGrid/>
        <w:ind w:firstLineChars="0" w:firstLine="0"/>
        <w:jc w:val="center"/>
        <w:rPr>
          <w:rFonts w:ascii="Times New Roman" w:eastAsia="黑体" w:hAnsi="Times New Roman"/>
          <w:b w:val="0"/>
          <w:szCs w:val="21"/>
        </w:rPr>
      </w:pPr>
      <w:r>
        <w:rPr>
          <w:rFonts w:ascii="Times New Roman" w:eastAsia="黑体" w:hAnsi="Times New Roman"/>
          <w:b w:val="0"/>
          <w:szCs w:val="21"/>
        </w:rPr>
        <w:t>表</w:t>
      </w:r>
      <w:r>
        <w:rPr>
          <w:rFonts w:ascii="Times New Roman" w:eastAsia="黑体" w:hAnsi="Times New Roman"/>
          <w:b w:val="0"/>
          <w:szCs w:val="21"/>
        </w:rPr>
        <w:t>5-</w:t>
      </w:r>
      <w:r>
        <w:rPr>
          <w:rFonts w:ascii="Times New Roman" w:eastAsia="黑体" w:hAnsi="Times New Roman" w:hint="eastAsia"/>
          <w:b w:val="0"/>
          <w:szCs w:val="21"/>
        </w:rPr>
        <w:t>6</w:t>
      </w:r>
      <w:r>
        <w:rPr>
          <w:rFonts w:ascii="Times New Roman" w:eastAsia="黑体" w:hAnsi="Times New Roman"/>
          <w:b w:val="0"/>
          <w:szCs w:val="21"/>
        </w:rPr>
        <w:t xml:space="preserve">-1  </w:t>
      </w:r>
      <w:r>
        <w:rPr>
          <w:rFonts w:ascii="Times New Roman" w:eastAsia="黑体" w:hAnsi="Times New Roman"/>
          <w:b w:val="0"/>
          <w:szCs w:val="21"/>
        </w:rPr>
        <w:t>距井场场界不同距离处的噪声预测值</w:t>
      </w:r>
    </w:p>
    <w:tbl>
      <w:tblPr>
        <w:tblW w:w="4996" w:type="pct"/>
        <w:jc w:val="center"/>
        <w:tblBorders>
          <w:top w:val="single" w:sz="8" w:space="0" w:color="auto"/>
          <w:bottom w:val="single" w:sz="8" w:space="0" w:color="auto"/>
          <w:insideH w:val="single" w:sz="8" w:space="0" w:color="auto"/>
          <w:insideV w:val="single" w:sz="8" w:space="0" w:color="auto"/>
        </w:tblBorders>
        <w:tblCellMar>
          <w:left w:w="11" w:type="dxa"/>
          <w:right w:w="11" w:type="dxa"/>
        </w:tblCellMar>
        <w:tblLook w:val="04A0" w:firstRow="1" w:lastRow="0" w:firstColumn="1" w:lastColumn="0" w:noHBand="0" w:noVBand="1"/>
      </w:tblPr>
      <w:tblGrid>
        <w:gridCol w:w="1797"/>
        <w:gridCol w:w="387"/>
        <w:gridCol w:w="520"/>
        <w:gridCol w:w="572"/>
        <w:gridCol w:w="636"/>
        <w:gridCol w:w="639"/>
        <w:gridCol w:w="639"/>
        <w:gridCol w:w="641"/>
        <w:gridCol w:w="641"/>
        <w:gridCol w:w="641"/>
        <w:gridCol w:w="641"/>
        <w:gridCol w:w="567"/>
      </w:tblGrid>
      <w:tr w:rsidR="00EE4502">
        <w:trPr>
          <w:trHeight w:val="340"/>
          <w:jc w:val="center"/>
        </w:trPr>
        <w:tc>
          <w:tcPr>
            <w:tcW w:w="1078" w:type="pct"/>
            <w:vAlign w:val="center"/>
          </w:tcPr>
          <w:p w:rsidR="00EE4502" w:rsidRDefault="00FD45A3">
            <w:pPr>
              <w:jc w:val="center"/>
              <w:rPr>
                <w:sz w:val="18"/>
                <w:szCs w:val="18"/>
              </w:rPr>
            </w:pPr>
            <w:r>
              <w:rPr>
                <w:sz w:val="18"/>
                <w:szCs w:val="18"/>
              </w:rPr>
              <w:t>离井场场界距离（</w:t>
            </w:r>
            <w:r>
              <w:rPr>
                <w:sz w:val="18"/>
                <w:szCs w:val="18"/>
              </w:rPr>
              <w:t>m</w:t>
            </w:r>
            <w:r>
              <w:rPr>
                <w:sz w:val="18"/>
                <w:szCs w:val="18"/>
              </w:rPr>
              <w:t>）</w:t>
            </w:r>
          </w:p>
        </w:tc>
        <w:tc>
          <w:tcPr>
            <w:tcW w:w="232" w:type="pct"/>
            <w:vAlign w:val="center"/>
          </w:tcPr>
          <w:p w:rsidR="00EE4502" w:rsidRDefault="00FD45A3">
            <w:pPr>
              <w:jc w:val="center"/>
              <w:rPr>
                <w:sz w:val="18"/>
                <w:szCs w:val="18"/>
              </w:rPr>
            </w:pPr>
            <w:r>
              <w:rPr>
                <w:sz w:val="18"/>
                <w:szCs w:val="18"/>
              </w:rPr>
              <w:t>1</w:t>
            </w:r>
          </w:p>
        </w:tc>
        <w:tc>
          <w:tcPr>
            <w:tcW w:w="312" w:type="pct"/>
            <w:vAlign w:val="center"/>
          </w:tcPr>
          <w:p w:rsidR="00EE4502" w:rsidRDefault="00FD45A3">
            <w:pPr>
              <w:jc w:val="center"/>
              <w:rPr>
                <w:sz w:val="18"/>
                <w:szCs w:val="18"/>
              </w:rPr>
            </w:pPr>
            <w:r>
              <w:rPr>
                <w:sz w:val="18"/>
                <w:szCs w:val="18"/>
              </w:rPr>
              <w:t>10</w:t>
            </w:r>
          </w:p>
        </w:tc>
        <w:tc>
          <w:tcPr>
            <w:tcW w:w="343" w:type="pct"/>
            <w:vAlign w:val="center"/>
          </w:tcPr>
          <w:p w:rsidR="00EE4502" w:rsidRDefault="00FD45A3">
            <w:pPr>
              <w:jc w:val="center"/>
              <w:rPr>
                <w:sz w:val="18"/>
                <w:szCs w:val="18"/>
              </w:rPr>
            </w:pPr>
            <w:r>
              <w:rPr>
                <w:sz w:val="18"/>
                <w:szCs w:val="18"/>
              </w:rPr>
              <w:t>30</w:t>
            </w:r>
          </w:p>
        </w:tc>
        <w:tc>
          <w:tcPr>
            <w:tcW w:w="382" w:type="pct"/>
            <w:vAlign w:val="center"/>
          </w:tcPr>
          <w:p w:rsidR="00EE4502" w:rsidRDefault="00FD45A3">
            <w:pPr>
              <w:jc w:val="center"/>
              <w:rPr>
                <w:sz w:val="18"/>
                <w:szCs w:val="18"/>
              </w:rPr>
            </w:pPr>
            <w:r>
              <w:rPr>
                <w:sz w:val="18"/>
                <w:szCs w:val="18"/>
              </w:rPr>
              <w:t>50</w:t>
            </w:r>
          </w:p>
        </w:tc>
        <w:tc>
          <w:tcPr>
            <w:tcW w:w="384" w:type="pct"/>
            <w:vAlign w:val="center"/>
          </w:tcPr>
          <w:p w:rsidR="00EE4502" w:rsidRDefault="00FD45A3">
            <w:pPr>
              <w:jc w:val="center"/>
              <w:rPr>
                <w:sz w:val="18"/>
                <w:szCs w:val="18"/>
              </w:rPr>
            </w:pPr>
            <w:r>
              <w:rPr>
                <w:sz w:val="18"/>
                <w:szCs w:val="18"/>
              </w:rPr>
              <w:t>70</w:t>
            </w:r>
          </w:p>
        </w:tc>
        <w:tc>
          <w:tcPr>
            <w:tcW w:w="384" w:type="pct"/>
            <w:vAlign w:val="center"/>
          </w:tcPr>
          <w:p w:rsidR="00EE4502" w:rsidRDefault="00FD45A3">
            <w:pPr>
              <w:jc w:val="center"/>
              <w:rPr>
                <w:sz w:val="18"/>
                <w:szCs w:val="18"/>
              </w:rPr>
            </w:pPr>
            <w:r>
              <w:rPr>
                <w:sz w:val="18"/>
                <w:szCs w:val="18"/>
              </w:rPr>
              <w:t>100</w:t>
            </w:r>
          </w:p>
        </w:tc>
        <w:tc>
          <w:tcPr>
            <w:tcW w:w="385" w:type="pct"/>
            <w:vAlign w:val="center"/>
          </w:tcPr>
          <w:p w:rsidR="00EE4502" w:rsidRDefault="00FD45A3">
            <w:pPr>
              <w:jc w:val="center"/>
              <w:rPr>
                <w:sz w:val="18"/>
                <w:szCs w:val="18"/>
              </w:rPr>
            </w:pPr>
            <w:r>
              <w:rPr>
                <w:sz w:val="18"/>
                <w:szCs w:val="18"/>
              </w:rPr>
              <w:t>120</w:t>
            </w:r>
          </w:p>
        </w:tc>
        <w:tc>
          <w:tcPr>
            <w:tcW w:w="385" w:type="pct"/>
            <w:vAlign w:val="center"/>
          </w:tcPr>
          <w:p w:rsidR="00EE4502" w:rsidRDefault="00FD45A3">
            <w:pPr>
              <w:jc w:val="center"/>
              <w:rPr>
                <w:sz w:val="18"/>
                <w:szCs w:val="18"/>
              </w:rPr>
            </w:pPr>
            <w:r>
              <w:rPr>
                <w:sz w:val="18"/>
                <w:szCs w:val="18"/>
              </w:rPr>
              <w:t>170</w:t>
            </w:r>
          </w:p>
        </w:tc>
        <w:tc>
          <w:tcPr>
            <w:tcW w:w="385" w:type="pct"/>
            <w:vAlign w:val="center"/>
          </w:tcPr>
          <w:p w:rsidR="00EE4502" w:rsidRDefault="00FD45A3">
            <w:pPr>
              <w:jc w:val="center"/>
              <w:rPr>
                <w:sz w:val="18"/>
                <w:szCs w:val="18"/>
              </w:rPr>
            </w:pPr>
            <w:r>
              <w:rPr>
                <w:sz w:val="18"/>
                <w:szCs w:val="18"/>
              </w:rPr>
              <w:t>220</w:t>
            </w:r>
          </w:p>
        </w:tc>
        <w:tc>
          <w:tcPr>
            <w:tcW w:w="385" w:type="pct"/>
            <w:vAlign w:val="center"/>
          </w:tcPr>
          <w:p w:rsidR="00EE4502" w:rsidRDefault="00FD45A3">
            <w:pPr>
              <w:jc w:val="center"/>
              <w:rPr>
                <w:sz w:val="18"/>
                <w:szCs w:val="18"/>
              </w:rPr>
            </w:pPr>
            <w:r>
              <w:rPr>
                <w:sz w:val="18"/>
                <w:szCs w:val="18"/>
              </w:rPr>
              <w:t>270</w:t>
            </w:r>
          </w:p>
        </w:tc>
        <w:tc>
          <w:tcPr>
            <w:tcW w:w="341" w:type="pct"/>
            <w:vAlign w:val="center"/>
          </w:tcPr>
          <w:p w:rsidR="00EE4502" w:rsidRDefault="00FD45A3">
            <w:pPr>
              <w:jc w:val="center"/>
              <w:rPr>
                <w:sz w:val="18"/>
                <w:szCs w:val="18"/>
              </w:rPr>
            </w:pPr>
            <w:r>
              <w:rPr>
                <w:sz w:val="18"/>
                <w:szCs w:val="18"/>
              </w:rPr>
              <w:t>370</w:t>
            </w:r>
          </w:p>
        </w:tc>
      </w:tr>
      <w:tr w:rsidR="00EE4502">
        <w:trPr>
          <w:trHeight w:val="340"/>
          <w:jc w:val="center"/>
        </w:trPr>
        <w:tc>
          <w:tcPr>
            <w:tcW w:w="1078" w:type="pct"/>
            <w:vAlign w:val="center"/>
          </w:tcPr>
          <w:p w:rsidR="00EE4502" w:rsidRDefault="00FD45A3">
            <w:pPr>
              <w:jc w:val="center"/>
              <w:rPr>
                <w:sz w:val="18"/>
                <w:szCs w:val="18"/>
              </w:rPr>
            </w:pPr>
            <w:r>
              <w:rPr>
                <w:sz w:val="18"/>
                <w:szCs w:val="18"/>
              </w:rPr>
              <w:t>噪声值（</w:t>
            </w:r>
            <w:r>
              <w:rPr>
                <w:sz w:val="18"/>
                <w:szCs w:val="18"/>
              </w:rPr>
              <w:t>dB</w:t>
            </w:r>
            <w:r>
              <w:rPr>
                <w:sz w:val="18"/>
                <w:szCs w:val="18"/>
              </w:rPr>
              <w:t>（</w:t>
            </w:r>
            <w:r>
              <w:rPr>
                <w:sz w:val="18"/>
                <w:szCs w:val="18"/>
              </w:rPr>
              <w:t>A</w:t>
            </w:r>
            <w:r>
              <w:rPr>
                <w:sz w:val="18"/>
                <w:szCs w:val="18"/>
              </w:rPr>
              <w:t>）</w:t>
            </w:r>
          </w:p>
        </w:tc>
        <w:tc>
          <w:tcPr>
            <w:tcW w:w="232" w:type="pct"/>
            <w:vAlign w:val="center"/>
          </w:tcPr>
          <w:p w:rsidR="00EE4502" w:rsidRDefault="00FD45A3">
            <w:pPr>
              <w:jc w:val="center"/>
              <w:rPr>
                <w:sz w:val="18"/>
                <w:szCs w:val="18"/>
              </w:rPr>
            </w:pPr>
            <w:r>
              <w:rPr>
                <w:sz w:val="18"/>
                <w:szCs w:val="18"/>
              </w:rPr>
              <w:t>79</w:t>
            </w:r>
          </w:p>
        </w:tc>
        <w:tc>
          <w:tcPr>
            <w:tcW w:w="312" w:type="pct"/>
            <w:vAlign w:val="center"/>
          </w:tcPr>
          <w:p w:rsidR="00EE4502" w:rsidRDefault="00FD45A3">
            <w:pPr>
              <w:jc w:val="center"/>
              <w:rPr>
                <w:sz w:val="18"/>
                <w:szCs w:val="18"/>
              </w:rPr>
            </w:pPr>
            <w:r>
              <w:rPr>
                <w:sz w:val="18"/>
                <w:szCs w:val="18"/>
              </w:rPr>
              <w:t>59</w:t>
            </w:r>
          </w:p>
        </w:tc>
        <w:tc>
          <w:tcPr>
            <w:tcW w:w="343" w:type="pct"/>
            <w:vAlign w:val="center"/>
          </w:tcPr>
          <w:p w:rsidR="00EE4502" w:rsidRDefault="00FD45A3">
            <w:pPr>
              <w:jc w:val="center"/>
              <w:rPr>
                <w:sz w:val="18"/>
                <w:szCs w:val="18"/>
              </w:rPr>
            </w:pPr>
            <w:r>
              <w:rPr>
                <w:sz w:val="18"/>
                <w:szCs w:val="18"/>
              </w:rPr>
              <w:t>49.5</w:t>
            </w:r>
          </w:p>
        </w:tc>
        <w:tc>
          <w:tcPr>
            <w:tcW w:w="382" w:type="pct"/>
            <w:vAlign w:val="center"/>
          </w:tcPr>
          <w:p w:rsidR="00EE4502" w:rsidRDefault="00FD45A3">
            <w:pPr>
              <w:jc w:val="center"/>
              <w:rPr>
                <w:sz w:val="18"/>
                <w:szCs w:val="18"/>
              </w:rPr>
            </w:pPr>
            <w:r>
              <w:rPr>
                <w:sz w:val="18"/>
                <w:szCs w:val="18"/>
              </w:rPr>
              <w:t>45.0</w:t>
            </w:r>
          </w:p>
        </w:tc>
        <w:tc>
          <w:tcPr>
            <w:tcW w:w="384" w:type="pct"/>
            <w:vAlign w:val="center"/>
          </w:tcPr>
          <w:p w:rsidR="00EE4502" w:rsidRDefault="00FD45A3">
            <w:pPr>
              <w:jc w:val="center"/>
              <w:rPr>
                <w:sz w:val="18"/>
                <w:szCs w:val="18"/>
              </w:rPr>
            </w:pPr>
            <w:r>
              <w:rPr>
                <w:sz w:val="18"/>
                <w:szCs w:val="18"/>
              </w:rPr>
              <w:t>42.1</w:t>
            </w:r>
          </w:p>
        </w:tc>
        <w:tc>
          <w:tcPr>
            <w:tcW w:w="384" w:type="pct"/>
            <w:vAlign w:val="center"/>
          </w:tcPr>
          <w:p w:rsidR="00EE4502" w:rsidRDefault="00FD45A3">
            <w:pPr>
              <w:jc w:val="center"/>
              <w:rPr>
                <w:sz w:val="18"/>
                <w:szCs w:val="18"/>
              </w:rPr>
            </w:pPr>
            <w:r>
              <w:rPr>
                <w:sz w:val="18"/>
                <w:szCs w:val="18"/>
              </w:rPr>
              <w:t>39</w:t>
            </w:r>
          </w:p>
        </w:tc>
        <w:tc>
          <w:tcPr>
            <w:tcW w:w="385" w:type="pct"/>
            <w:vAlign w:val="center"/>
          </w:tcPr>
          <w:p w:rsidR="00EE4502" w:rsidRDefault="00FD45A3">
            <w:pPr>
              <w:jc w:val="center"/>
              <w:rPr>
                <w:sz w:val="18"/>
                <w:szCs w:val="18"/>
              </w:rPr>
            </w:pPr>
            <w:r>
              <w:rPr>
                <w:sz w:val="18"/>
                <w:szCs w:val="18"/>
              </w:rPr>
              <w:t>37.4</w:t>
            </w:r>
          </w:p>
        </w:tc>
        <w:tc>
          <w:tcPr>
            <w:tcW w:w="385" w:type="pct"/>
            <w:vAlign w:val="center"/>
          </w:tcPr>
          <w:p w:rsidR="00EE4502" w:rsidRDefault="00FD45A3">
            <w:pPr>
              <w:jc w:val="center"/>
              <w:rPr>
                <w:sz w:val="18"/>
                <w:szCs w:val="18"/>
              </w:rPr>
            </w:pPr>
            <w:r>
              <w:rPr>
                <w:sz w:val="18"/>
                <w:szCs w:val="18"/>
              </w:rPr>
              <w:t>34.4</w:t>
            </w:r>
          </w:p>
        </w:tc>
        <w:tc>
          <w:tcPr>
            <w:tcW w:w="385" w:type="pct"/>
            <w:vAlign w:val="center"/>
          </w:tcPr>
          <w:p w:rsidR="00EE4502" w:rsidRDefault="00FD45A3">
            <w:pPr>
              <w:jc w:val="center"/>
              <w:rPr>
                <w:sz w:val="18"/>
                <w:szCs w:val="18"/>
              </w:rPr>
            </w:pPr>
            <w:r>
              <w:rPr>
                <w:sz w:val="18"/>
                <w:szCs w:val="18"/>
              </w:rPr>
              <w:t>32.1</w:t>
            </w:r>
          </w:p>
        </w:tc>
        <w:tc>
          <w:tcPr>
            <w:tcW w:w="385" w:type="pct"/>
            <w:vAlign w:val="center"/>
          </w:tcPr>
          <w:p w:rsidR="00EE4502" w:rsidRDefault="00FD45A3">
            <w:pPr>
              <w:jc w:val="center"/>
              <w:rPr>
                <w:sz w:val="18"/>
                <w:szCs w:val="18"/>
              </w:rPr>
            </w:pPr>
            <w:r>
              <w:rPr>
                <w:sz w:val="18"/>
                <w:szCs w:val="18"/>
              </w:rPr>
              <w:t>30.4</w:t>
            </w:r>
          </w:p>
        </w:tc>
        <w:tc>
          <w:tcPr>
            <w:tcW w:w="341" w:type="pct"/>
            <w:vAlign w:val="center"/>
          </w:tcPr>
          <w:p w:rsidR="00EE4502" w:rsidRDefault="00FD45A3">
            <w:pPr>
              <w:jc w:val="center"/>
              <w:rPr>
                <w:sz w:val="18"/>
                <w:szCs w:val="18"/>
              </w:rPr>
            </w:pPr>
            <w:r>
              <w:rPr>
                <w:sz w:val="18"/>
                <w:szCs w:val="18"/>
              </w:rPr>
              <w:t>27.6</w:t>
            </w:r>
          </w:p>
        </w:tc>
      </w:tr>
    </w:tbl>
    <w:p w:rsidR="00EE4502" w:rsidRDefault="00EE4502">
      <w:pPr>
        <w:jc w:val="center"/>
        <w:rPr>
          <w:sz w:val="18"/>
          <w:szCs w:val="18"/>
        </w:rPr>
      </w:pPr>
    </w:p>
    <w:p w:rsidR="00EE4502" w:rsidRDefault="00FD45A3">
      <w:pPr>
        <w:spacing w:line="360" w:lineRule="auto"/>
        <w:ind w:firstLine="522"/>
        <w:rPr>
          <w:sz w:val="24"/>
        </w:rPr>
      </w:pPr>
      <w:r>
        <w:rPr>
          <w:sz w:val="24"/>
        </w:rPr>
        <w:t>从钻井噪声预测结果可以看出，钻井过程中所产生的噪声会对周围一定范围内造成影响。钻井井场边界附近（</w:t>
      </w:r>
      <w:r>
        <w:rPr>
          <w:sz w:val="24"/>
        </w:rPr>
        <w:t>1m</w:t>
      </w:r>
      <w:r>
        <w:rPr>
          <w:sz w:val="24"/>
        </w:rPr>
        <w:t>处）昼夜间噪声为</w:t>
      </w:r>
      <w:r>
        <w:rPr>
          <w:sz w:val="24"/>
        </w:rPr>
        <w:t>79dB</w:t>
      </w:r>
      <w:r>
        <w:rPr>
          <w:sz w:val="24"/>
        </w:rPr>
        <w:t>（</w:t>
      </w:r>
      <w:r>
        <w:rPr>
          <w:sz w:val="24"/>
        </w:rPr>
        <w:t>A</w:t>
      </w:r>
      <w:r>
        <w:rPr>
          <w:sz w:val="24"/>
        </w:rPr>
        <w:t>）左右，超出建筑施工场界噪声限值（昼间</w:t>
      </w:r>
      <w:r>
        <w:rPr>
          <w:sz w:val="24"/>
        </w:rPr>
        <w:t>70dB</w:t>
      </w:r>
      <w:r>
        <w:rPr>
          <w:sz w:val="24"/>
        </w:rPr>
        <w:t>（</w:t>
      </w:r>
      <w:r>
        <w:rPr>
          <w:sz w:val="24"/>
        </w:rPr>
        <w:t>A</w:t>
      </w:r>
      <w:r>
        <w:rPr>
          <w:sz w:val="24"/>
        </w:rPr>
        <w:t>）的要求。施工噪声经过距离衰减后，在距井场场界</w:t>
      </w:r>
      <w:r>
        <w:rPr>
          <w:sz w:val="24"/>
        </w:rPr>
        <w:t>10m</w:t>
      </w:r>
      <w:r>
        <w:rPr>
          <w:sz w:val="24"/>
        </w:rPr>
        <w:t>处的噪声级为</w:t>
      </w:r>
      <w:r>
        <w:rPr>
          <w:sz w:val="24"/>
        </w:rPr>
        <w:t>59dB</w:t>
      </w:r>
      <w:r>
        <w:rPr>
          <w:sz w:val="24"/>
        </w:rPr>
        <w:t>（</w:t>
      </w:r>
      <w:r>
        <w:rPr>
          <w:sz w:val="24"/>
        </w:rPr>
        <w:t>A</w:t>
      </w:r>
      <w:r>
        <w:rPr>
          <w:sz w:val="24"/>
        </w:rPr>
        <w:t>），能够满足</w:t>
      </w:r>
      <w:r>
        <w:rPr>
          <w:rFonts w:hint="eastAsia"/>
          <w:sz w:val="24"/>
        </w:rPr>
        <w:t>《建筑施工场界环境噪声排放标准》（</w:t>
      </w:r>
      <w:r>
        <w:rPr>
          <w:rFonts w:hint="eastAsia"/>
          <w:sz w:val="24"/>
        </w:rPr>
        <w:t>G</w:t>
      </w:r>
      <w:r>
        <w:rPr>
          <w:sz w:val="24"/>
        </w:rPr>
        <w:t>B12523-2011</w:t>
      </w:r>
      <w:r>
        <w:rPr>
          <w:rFonts w:hint="eastAsia"/>
          <w:sz w:val="24"/>
        </w:rPr>
        <w:t>）</w:t>
      </w:r>
      <w:r>
        <w:rPr>
          <w:sz w:val="24"/>
        </w:rPr>
        <w:t>的要求。钻井过程为临时性的工程，噪声源为不固定源，对局部环境的影响是暂时的，工程完工后噪声源就不复存在</w:t>
      </w:r>
      <w:r>
        <w:rPr>
          <w:rFonts w:hint="eastAsia"/>
          <w:sz w:val="24"/>
        </w:rPr>
        <w:t>；另外，项目评价范围内无声环境保护目标，钻井产生的噪声对周边环境影响较小</w:t>
      </w:r>
      <w:r>
        <w:rPr>
          <w:sz w:val="24"/>
        </w:rPr>
        <w:t>。</w:t>
      </w:r>
    </w:p>
    <w:p w:rsidR="00EE4502" w:rsidRDefault="00FD45A3">
      <w:pPr>
        <w:spacing w:line="360" w:lineRule="auto"/>
        <w:ind w:firstLine="522"/>
        <w:rPr>
          <w:sz w:val="24"/>
        </w:rPr>
      </w:pPr>
      <w:r>
        <w:rPr>
          <w:sz w:val="24"/>
        </w:rPr>
        <w:t>（</w:t>
      </w:r>
      <w:r>
        <w:rPr>
          <w:sz w:val="24"/>
        </w:rPr>
        <w:t>2</w:t>
      </w:r>
      <w:r>
        <w:rPr>
          <w:sz w:val="24"/>
        </w:rPr>
        <w:t>）地面工程声环境影响分析</w:t>
      </w:r>
    </w:p>
    <w:p w:rsidR="00EE4502" w:rsidRDefault="00FD45A3">
      <w:pPr>
        <w:spacing w:line="360" w:lineRule="auto"/>
        <w:ind w:firstLine="522"/>
        <w:rPr>
          <w:sz w:val="24"/>
        </w:rPr>
      </w:pPr>
      <w:r>
        <w:rPr>
          <w:rFonts w:hint="eastAsia"/>
          <w:sz w:val="24"/>
        </w:rPr>
        <w:t>本工程</w:t>
      </w:r>
      <w:r>
        <w:rPr>
          <w:sz w:val="24"/>
        </w:rPr>
        <w:t>地面工程在建设施工过程中，由于运输、平整场地、管沟开挖及回填、建筑物修建等要使用各种车辆和机械，其产生的噪声对施工区周围的环境将产生一定的影响。</w:t>
      </w:r>
    </w:p>
    <w:p w:rsidR="00EE4502" w:rsidRDefault="00FD45A3">
      <w:pPr>
        <w:spacing w:line="360" w:lineRule="auto"/>
        <w:ind w:firstLine="522"/>
        <w:rPr>
          <w:sz w:val="24"/>
        </w:rPr>
      </w:pPr>
      <w:r>
        <w:rPr>
          <w:sz w:val="24"/>
        </w:rPr>
        <w:t>管线敷设、地面工程建设过程中主要施工机械在不同距离的噪声影响水平类比调查结果具体见表</w:t>
      </w:r>
      <w:r>
        <w:rPr>
          <w:sz w:val="24"/>
        </w:rPr>
        <w:t>5-</w:t>
      </w:r>
      <w:r>
        <w:rPr>
          <w:rFonts w:hint="eastAsia"/>
          <w:sz w:val="24"/>
        </w:rPr>
        <w:t>6</w:t>
      </w:r>
      <w:r>
        <w:rPr>
          <w:sz w:val="24"/>
        </w:rPr>
        <w:t>-</w:t>
      </w:r>
      <w:r>
        <w:rPr>
          <w:sz w:val="24"/>
        </w:rPr>
        <w:t>2</w:t>
      </w:r>
      <w:r>
        <w:rPr>
          <w:sz w:val="24"/>
        </w:rPr>
        <w:t>。</w:t>
      </w:r>
    </w:p>
    <w:p w:rsidR="00EE4502" w:rsidRDefault="00FD45A3">
      <w:pPr>
        <w:pStyle w:val="Char3e"/>
        <w:snapToGrid/>
        <w:ind w:firstLineChars="0" w:firstLine="0"/>
        <w:jc w:val="center"/>
        <w:rPr>
          <w:rFonts w:ascii="Times New Roman" w:eastAsia="黑体" w:hAnsi="Times New Roman"/>
          <w:b w:val="0"/>
          <w:szCs w:val="21"/>
        </w:rPr>
      </w:pPr>
      <w:r>
        <w:rPr>
          <w:rFonts w:ascii="Times New Roman" w:eastAsia="黑体" w:hAnsi="Times New Roman"/>
          <w:b w:val="0"/>
          <w:szCs w:val="21"/>
        </w:rPr>
        <w:t>表</w:t>
      </w:r>
      <w:r>
        <w:rPr>
          <w:rFonts w:ascii="Times New Roman" w:eastAsia="黑体" w:hAnsi="Times New Roman"/>
          <w:b w:val="0"/>
          <w:szCs w:val="21"/>
        </w:rPr>
        <w:t>5-</w:t>
      </w:r>
      <w:r>
        <w:rPr>
          <w:rFonts w:ascii="Times New Roman" w:eastAsia="黑体" w:hAnsi="Times New Roman" w:hint="eastAsia"/>
          <w:b w:val="0"/>
          <w:szCs w:val="21"/>
        </w:rPr>
        <w:t>6</w:t>
      </w:r>
      <w:r>
        <w:rPr>
          <w:rFonts w:ascii="Times New Roman" w:eastAsia="黑体" w:hAnsi="Times New Roman"/>
          <w:b w:val="0"/>
          <w:szCs w:val="21"/>
        </w:rPr>
        <w:t xml:space="preserve">-2   </w:t>
      </w:r>
      <w:r>
        <w:rPr>
          <w:rFonts w:ascii="Times New Roman" w:eastAsia="黑体" w:hAnsi="Times New Roman"/>
          <w:b w:val="0"/>
          <w:szCs w:val="21"/>
        </w:rPr>
        <w:t>施工主要机械噪声值</w:t>
      </w:r>
    </w:p>
    <w:tbl>
      <w:tblPr>
        <w:tblW w:w="4999" w:type="pct"/>
        <w:jc w:val="center"/>
        <w:tblBorders>
          <w:top w:val="single" w:sz="8" w:space="0" w:color="auto"/>
          <w:bottom w:val="single" w:sz="8" w:space="0" w:color="auto"/>
          <w:insideH w:val="single" w:sz="8" w:space="0" w:color="auto"/>
          <w:insideV w:val="single" w:sz="8" w:space="0" w:color="auto"/>
        </w:tblBorders>
        <w:tblLook w:val="04A0" w:firstRow="1" w:lastRow="0" w:firstColumn="1" w:lastColumn="0" w:noHBand="0" w:noVBand="1"/>
      </w:tblPr>
      <w:tblGrid>
        <w:gridCol w:w="1535"/>
        <w:gridCol w:w="1745"/>
        <w:gridCol w:w="1745"/>
        <w:gridCol w:w="1745"/>
        <w:gridCol w:w="1750"/>
      </w:tblGrid>
      <w:tr w:rsidR="00EE4502">
        <w:trPr>
          <w:trHeight w:val="340"/>
          <w:jc w:val="center"/>
        </w:trPr>
        <w:tc>
          <w:tcPr>
            <w:tcW w:w="900" w:type="pct"/>
            <w:vMerge w:val="restart"/>
            <w:vAlign w:val="center"/>
          </w:tcPr>
          <w:p w:rsidR="00EE4502" w:rsidRDefault="00FD45A3">
            <w:pPr>
              <w:jc w:val="center"/>
              <w:rPr>
                <w:sz w:val="18"/>
                <w:szCs w:val="18"/>
              </w:rPr>
            </w:pPr>
            <w:r>
              <w:rPr>
                <w:sz w:val="18"/>
                <w:szCs w:val="18"/>
              </w:rPr>
              <w:t>机械名称</w:t>
            </w:r>
          </w:p>
        </w:tc>
        <w:tc>
          <w:tcPr>
            <w:tcW w:w="4099" w:type="pct"/>
            <w:gridSpan w:val="4"/>
            <w:vAlign w:val="center"/>
          </w:tcPr>
          <w:p w:rsidR="00EE4502" w:rsidRDefault="00FD45A3">
            <w:pPr>
              <w:jc w:val="center"/>
              <w:rPr>
                <w:sz w:val="18"/>
                <w:szCs w:val="18"/>
              </w:rPr>
            </w:pPr>
            <w:r>
              <w:rPr>
                <w:sz w:val="18"/>
                <w:szCs w:val="18"/>
              </w:rPr>
              <w:t>离施工点不同距离处的噪声强度（</w:t>
            </w:r>
            <w:r>
              <w:rPr>
                <w:sz w:val="18"/>
                <w:szCs w:val="18"/>
              </w:rPr>
              <w:t>dB</w:t>
            </w:r>
            <w:r>
              <w:rPr>
                <w:sz w:val="18"/>
                <w:szCs w:val="18"/>
              </w:rPr>
              <w:t>（</w:t>
            </w:r>
            <w:r>
              <w:rPr>
                <w:sz w:val="18"/>
                <w:szCs w:val="18"/>
              </w:rPr>
              <w:t>A</w:t>
            </w:r>
            <w:r>
              <w:rPr>
                <w:sz w:val="18"/>
                <w:szCs w:val="18"/>
              </w:rPr>
              <w:t>）</w:t>
            </w:r>
          </w:p>
        </w:tc>
      </w:tr>
      <w:tr w:rsidR="00EE4502">
        <w:trPr>
          <w:trHeight w:val="340"/>
          <w:jc w:val="center"/>
        </w:trPr>
        <w:tc>
          <w:tcPr>
            <w:tcW w:w="900" w:type="pct"/>
            <w:vMerge/>
            <w:vAlign w:val="center"/>
          </w:tcPr>
          <w:p w:rsidR="00EE4502" w:rsidRDefault="00EE4502">
            <w:pPr>
              <w:jc w:val="center"/>
              <w:rPr>
                <w:sz w:val="18"/>
                <w:szCs w:val="18"/>
              </w:rPr>
            </w:pPr>
          </w:p>
        </w:tc>
        <w:tc>
          <w:tcPr>
            <w:tcW w:w="1024" w:type="pct"/>
            <w:vAlign w:val="center"/>
          </w:tcPr>
          <w:p w:rsidR="00EE4502" w:rsidRDefault="00FD45A3">
            <w:pPr>
              <w:jc w:val="center"/>
              <w:rPr>
                <w:sz w:val="18"/>
                <w:szCs w:val="18"/>
              </w:rPr>
            </w:pPr>
            <w:r>
              <w:rPr>
                <w:sz w:val="18"/>
                <w:szCs w:val="18"/>
              </w:rPr>
              <w:t>5m</w:t>
            </w:r>
          </w:p>
        </w:tc>
        <w:tc>
          <w:tcPr>
            <w:tcW w:w="1024" w:type="pct"/>
            <w:vAlign w:val="center"/>
          </w:tcPr>
          <w:p w:rsidR="00EE4502" w:rsidRDefault="00FD45A3">
            <w:pPr>
              <w:jc w:val="center"/>
              <w:rPr>
                <w:sz w:val="18"/>
                <w:szCs w:val="18"/>
              </w:rPr>
            </w:pPr>
            <w:r>
              <w:rPr>
                <w:sz w:val="18"/>
                <w:szCs w:val="18"/>
              </w:rPr>
              <w:t>50m</w:t>
            </w:r>
          </w:p>
        </w:tc>
        <w:tc>
          <w:tcPr>
            <w:tcW w:w="1024" w:type="pct"/>
            <w:vAlign w:val="center"/>
          </w:tcPr>
          <w:p w:rsidR="00EE4502" w:rsidRDefault="00FD45A3">
            <w:pPr>
              <w:jc w:val="center"/>
              <w:rPr>
                <w:sz w:val="18"/>
                <w:szCs w:val="18"/>
              </w:rPr>
            </w:pPr>
            <w:r>
              <w:rPr>
                <w:sz w:val="18"/>
                <w:szCs w:val="18"/>
              </w:rPr>
              <w:t>100m</w:t>
            </w:r>
          </w:p>
        </w:tc>
        <w:tc>
          <w:tcPr>
            <w:tcW w:w="1027" w:type="pct"/>
            <w:vAlign w:val="center"/>
          </w:tcPr>
          <w:p w:rsidR="00EE4502" w:rsidRDefault="00FD45A3">
            <w:pPr>
              <w:jc w:val="center"/>
              <w:rPr>
                <w:sz w:val="18"/>
                <w:szCs w:val="18"/>
              </w:rPr>
            </w:pPr>
            <w:r>
              <w:rPr>
                <w:sz w:val="18"/>
                <w:szCs w:val="18"/>
              </w:rPr>
              <w:t>150m</w:t>
            </w:r>
          </w:p>
        </w:tc>
      </w:tr>
      <w:tr w:rsidR="00EE4502">
        <w:trPr>
          <w:trHeight w:val="340"/>
          <w:jc w:val="center"/>
        </w:trPr>
        <w:tc>
          <w:tcPr>
            <w:tcW w:w="900" w:type="pct"/>
            <w:vAlign w:val="center"/>
          </w:tcPr>
          <w:p w:rsidR="00EE4502" w:rsidRDefault="00FD45A3">
            <w:pPr>
              <w:jc w:val="center"/>
              <w:rPr>
                <w:sz w:val="18"/>
                <w:szCs w:val="18"/>
              </w:rPr>
            </w:pPr>
            <w:r>
              <w:rPr>
                <w:sz w:val="18"/>
                <w:szCs w:val="18"/>
              </w:rPr>
              <w:t>推土机</w:t>
            </w:r>
          </w:p>
        </w:tc>
        <w:tc>
          <w:tcPr>
            <w:tcW w:w="1024" w:type="pct"/>
            <w:vAlign w:val="center"/>
          </w:tcPr>
          <w:p w:rsidR="00EE4502" w:rsidRDefault="00FD45A3">
            <w:pPr>
              <w:jc w:val="center"/>
              <w:rPr>
                <w:sz w:val="18"/>
                <w:szCs w:val="18"/>
              </w:rPr>
            </w:pPr>
            <w:r>
              <w:rPr>
                <w:sz w:val="18"/>
                <w:szCs w:val="18"/>
              </w:rPr>
              <w:t>90</w:t>
            </w:r>
          </w:p>
        </w:tc>
        <w:tc>
          <w:tcPr>
            <w:tcW w:w="1024" w:type="pct"/>
            <w:vAlign w:val="center"/>
          </w:tcPr>
          <w:p w:rsidR="00EE4502" w:rsidRDefault="00FD45A3">
            <w:pPr>
              <w:jc w:val="center"/>
              <w:rPr>
                <w:sz w:val="18"/>
                <w:szCs w:val="18"/>
              </w:rPr>
            </w:pPr>
            <w:r>
              <w:rPr>
                <w:sz w:val="18"/>
                <w:szCs w:val="18"/>
              </w:rPr>
              <w:t>70.5</w:t>
            </w:r>
          </w:p>
        </w:tc>
        <w:tc>
          <w:tcPr>
            <w:tcW w:w="1024" w:type="pct"/>
            <w:vAlign w:val="center"/>
          </w:tcPr>
          <w:p w:rsidR="00EE4502" w:rsidRDefault="00FD45A3">
            <w:pPr>
              <w:jc w:val="center"/>
              <w:rPr>
                <w:sz w:val="18"/>
                <w:szCs w:val="18"/>
              </w:rPr>
            </w:pPr>
            <w:r>
              <w:rPr>
                <w:sz w:val="18"/>
                <w:szCs w:val="18"/>
              </w:rPr>
              <w:t>63.5</w:t>
            </w:r>
          </w:p>
        </w:tc>
        <w:tc>
          <w:tcPr>
            <w:tcW w:w="1027" w:type="pct"/>
            <w:vAlign w:val="center"/>
          </w:tcPr>
          <w:p w:rsidR="00EE4502" w:rsidRDefault="00FD45A3">
            <w:pPr>
              <w:jc w:val="center"/>
              <w:rPr>
                <w:sz w:val="18"/>
                <w:szCs w:val="18"/>
              </w:rPr>
            </w:pPr>
            <w:r>
              <w:rPr>
                <w:sz w:val="18"/>
                <w:szCs w:val="18"/>
              </w:rPr>
              <w:t>61.5</w:t>
            </w:r>
          </w:p>
        </w:tc>
      </w:tr>
      <w:tr w:rsidR="00EE4502">
        <w:trPr>
          <w:trHeight w:val="340"/>
          <w:jc w:val="center"/>
        </w:trPr>
        <w:tc>
          <w:tcPr>
            <w:tcW w:w="900" w:type="pct"/>
            <w:vAlign w:val="center"/>
          </w:tcPr>
          <w:p w:rsidR="00EE4502" w:rsidRDefault="00FD45A3">
            <w:pPr>
              <w:jc w:val="center"/>
              <w:rPr>
                <w:sz w:val="18"/>
                <w:szCs w:val="18"/>
              </w:rPr>
            </w:pPr>
            <w:r>
              <w:rPr>
                <w:sz w:val="18"/>
                <w:szCs w:val="18"/>
              </w:rPr>
              <w:lastRenderedPageBreak/>
              <w:t>挖掘机</w:t>
            </w:r>
          </w:p>
        </w:tc>
        <w:tc>
          <w:tcPr>
            <w:tcW w:w="1024" w:type="pct"/>
            <w:vAlign w:val="center"/>
          </w:tcPr>
          <w:p w:rsidR="00EE4502" w:rsidRDefault="00FD45A3">
            <w:pPr>
              <w:jc w:val="center"/>
              <w:rPr>
                <w:sz w:val="18"/>
                <w:szCs w:val="18"/>
              </w:rPr>
            </w:pPr>
            <w:r>
              <w:rPr>
                <w:sz w:val="18"/>
                <w:szCs w:val="18"/>
              </w:rPr>
              <w:t>84</w:t>
            </w:r>
          </w:p>
        </w:tc>
        <w:tc>
          <w:tcPr>
            <w:tcW w:w="1024" w:type="pct"/>
            <w:vAlign w:val="center"/>
          </w:tcPr>
          <w:p w:rsidR="00EE4502" w:rsidRDefault="00FD45A3">
            <w:pPr>
              <w:jc w:val="center"/>
              <w:rPr>
                <w:sz w:val="18"/>
                <w:szCs w:val="18"/>
              </w:rPr>
            </w:pPr>
            <w:r>
              <w:rPr>
                <w:sz w:val="18"/>
                <w:szCs w:val="18"/>
              </w:rPr>
              <w:t>69.0</w:t>
            </w:r>
          </w:p>
        </w:tc>
        <w:tc>
          <w:tcPr>
            <w:tcW w:w="1024" w:type="pct"/>
            <w:vAlign w:val="center"/>
          </w:tcPr>
          <w:p w:rsidR="00EE4502" w:rsidRDefault="00FD45A3">
            <w:pPr>
              <w:jc w:val="center"/>
              <w:rPr>
                <w:sz w:val="18"/>
                <w:szCs w:val="18"/>
              </w:rPr>
            </w:pPr>
            <w:r>
              <w:rPr>
                <w:sz w:val="18"/>
                <w:szCs w:val="18"/>
              </w:rPr>
              <w:t>58.0</w:t>
            </w:r>
          </w:p>
        </w:tc>
        <w:tc>
          <w:tcPr>
            <w:tcW w:w="1027" w:type="pct"/>
            <w:vAlign w:val="center"/>
          </w:tcPr>
          <w:p w:rsidR="00EE4502" w:rsidRDefault="00FD45A3">
            <w:pPr>
              <w:jc w:val="center"/>
              <w:rPr>
                <w:sz w:val="18"/>
                <w:szCs w:val="18"/>
              </w:rPr>
            </w:pPr>
            <w:r>
              <w:rPr>
                <w:sz w:val="18"/>
                <w:szCs w:val="18"/>
              </w:rPr>
              <w:t>54.5</w:t>
            </w:r>
          </w:p>
        </w:tc>
      </w:tr>
      <w:tr w:rsidR="00EE4502">
        <w:trPr>
          <w:trHeight w:val="340"/>
          <w:jc w:val="center"/>
        </w:trPr>
        <w:tc>
          <w:tcPr>
            <w:tcW w:w="900" w:type="pct"/>
            <w:vAlign w:val="center"/>
          </w:tcPr>
          <w:p w:rsidR="00EE4502" w:rsidRDefault="00FD45A3">
            <w:pPr>
              <w:jc w:val="center"/>
              <w:rPr>
                <w:sz w:val="18"/>
                <w:szCs w:val="18"/>
              </w:rPr>
            </w:pPr>
            <w:r>
              <w:rPr>
                <w:sz w:val="18"/>
                <w:szCs w:val="18"/>
              </w:rPr>
              <w:t>电焊机</w:t>
            </w:r>
          </w:p>
        </w:tc>
        <w:tc>
          <w:tcPr>
            <w:tcW w:w="1024" w:type="pct"/>
            <w:vAlign w:val="center"/>
          </w:tcPr>
          <w:p w:rsidR="00EE4502" w:rsidRDefault="00FD45A3">
            <w:pPr>
              <w:jc w:val="center"/>
              <w:rPr>
                <w:sz w:val="18"/>
                <w:szCs w:val="18"/>
              </w:rPr>
            </w:pPr>
            <w:r>
              <w:rPr>
                <w:sz w:val="18"/>
                <w:szCs w:val="18"/>
              </w:rPr>
              <w:t>90</w:t>
            </w:r>
          </w:p>
        </w:tc>
        <w:tc>
          <w:tcPr>
            <w:tcW w:w="1024" w:type="pct"/>
            <w:vAlign w:val="center"/>
          </w:tcPr>
          <w:p w:rsidR="00EE4502" w:rsidRDefault="00FD45A3">
            <w:pPr>
              <w:jc w:val="center"/>
              <w:rPr>
                <w:sz w:val="18"/>
                <w:szCs w:val="18"/>
              </w:rPr>
            </w:pPr>
            <w:r>
              <w:rPr>
                <w:sz w:val="18"/>
                <w:szCs w:val="18"/>
              </w:rPr>
              <w:t>70.5</w:t>
            </w:r>
          </w:p>
        </w:tc>
        <w:tc>
          <w:tcPr>
            <w:tcW w:w="1024" w:type="pct"/>
            <w:vAlign w:val="center"/>
          </w:tcPr>
          <w:p w:rsidR="00EE4502" w:rsidRDefault="00FD45A3">
            <w:pPr>
              <w:jc w:val="center"/>
              <w:rPr>
                <w:sz w:val="18"/>
                <w:szCs w:val="18"/>
              </w:rPr>
            </w:pPr>
            <w:r>
              <w:rPr>
                <w:sz w:val="18"/>
                <w:szCs w:val="18"/>
              </w:rPr>
              <w:t>63.5</w:t>
            </w:r>
          </w:p>
        </w:tc>
        <w:tc>
          <w:tcPr>
            <w:tcW w:w="1027" w:type="pct"/>
            <w:vAlign w:val="center"/>
          </w:tcPr>
          <w:p w:rsidR="00EE4502" w:rsidRDefault="00FD45A3">
            <w:pPr>
              <w:jc w:val="center"/>
              <w:rPr>
                <w:sz w:val="18"/>
                <w:szCs w:val="18"/>
              </w:rPr>
            </w:pPr>
            <w:r>
              <w:rPr>
                <w:sz w:val="18"/>
                <w:szCs w:val="18"/>
              </w:rPr>
              <w:t>61.5</w:t>
            </w:r>
          </w:p>
        </w:tc>
      </w:tr>
    </w:tbl>
    <w:p w:rsidR="00EE4502" w:rsidRDefault="00EE4502">
      <w:pPr>
        <w:jc w:val="center"/>
        <w:rPr>
          <w:sz w:val="18"/>
          <w:szCs w:val="18"/>
        </w:rPr>
      </w:pPr>
    </w:p>
    <w:p w:rsidR="00EE4502" w:rsidRDefault="00FD45A3">
      <w:pPr>
        <w:spacing w:line="360" w:lineRule="auto"/>
        <w:ind w:firstLine="522"/>
        <w:rPr>
          <w:sz w:val="24"/>
        </w:rPr>
      </w:pPr>
      <w:r>
        <w:rPr>
          <w:sz w:val="24"/>
        </w:rPr>
        <w:t>通过类比分析可知，运输、平整场地、管沟开挖及回填、建筑物修建等过程中，昼间施工场界</w:t>
      </w:r>
      <w:r>
        <w:rPr>
          <w:sz w:val="24"/>
        </w:rPr>
        <w:t>100m</w:t>
      </w:r>
      <w:r>
        <w:rPr>
          <w:sz w:val="24"/>
        </w:rPr>
        <w:t>以外均不超过建筑施工场界环境噪声排放限值（昼间</w:t>
      </w:r>
      <w:r>
        <w:rPr>
          <w:sz w:val="24"/>
        </w:rPr>
        <w:t>70dB</w:t>
      </w:r>
      <w:r>
        <w:rPr>
          <w:sz w:val="24"/>
        </w:rPr>
        <w:t>（</w:t>
      </w:r>
      <w:r>
        <w:rPr>
          <w:sz w:val="24"/>
        </w:rPr>
        <w:t>A</w:t>
      </w:r>
      <w:r>
        <w:rPr>
          <w:sz w:val="24"/>
        </w:rPr>
        <w:t>），而在夜间则会超标（夜间</w:t>
      </w:r>
      <w:r>
        <w:rPr>
          <w:sz w:val="24"/>
        </w:rPr>
        <w:t>55dB</w:t>
      </w:r>
      <w:r>
        <w:rPr>
          <w:sz w:val="24"/>
        </w:rPr>
        <w:t>（</w:t>
      </w:r>
      <w:r>
        <w:rPr>
          <w:sz w:val="24"/>
        </w:rPr>
        <w:t>A</w:t>
      </w:r>
      <w:r>
        <w:rPr>
          <w:sz w:val="24"/>
        </w:rPr>
        <w:t>）。施工期的这些噪声源均为暂时性的，只在短时期对局部环境和施工人员造成影响，待施工结束后这种影响也随之消失。</w:t>
      </w:r>
    </w:p>
    <w:p w:rsidR="00EE4502" w:rsidRDefault="00FD45A3">
      <w:pPr>
        <w:pStyle w:val="33"/>
        <w:numPr>
          <w:ilvl w:val="2"/>
          <w:numId w:val="30"/>
        </w:numPr>
        <w:spacing w:line="360" w:lineRule="auto"/>
        <w:ind w:left="0" w:firstLine="0"/>
        <w:rPr>
          <w:spacing w:val="0"/>
          <w:sz w:val="24"/>
          <w:szCs w:val="24"/>
        </w:rPr>
      </w:pPr>
      <w:r>
        <w:rPr>
          <w:spacing w:val="0"/>
          <w:sz w:val="24"/>
          <w:szCs w:val="24"/>
        </w:rPr>
        <w:t>运营期声环境影响分析</w:t>
      </w:r>
    </w:p>
    <w:p w:rsidR="00EE4502" w:rsidRDefault="00FD45A3">
      <w:pPr>
        <w:pStyle w:val="41"/>
        <w:numPr>
          <w:ilvl w:val="3"/>
          <w:numId w:val="30"/>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hint="eastAsia"/>
          <w:bCs w:val="0"/>
          <w:sz w:val="24"/>
          <w:szCs w:val="24"/>
        </w:rPr>
        <w:t>噪声源参数</w:t>
      </w:r>
    </w:p>
    <w:p w:rsidR="00EE4502" w:rsidRDefault="00FD45A3">
      <w:pPr>
        <w:spacing w:line="360" w:lineRule="auto"/>
        <w:ind w:firstLine="522"/>
        <w:rPr>
          <w:sz w:val="24"/>
        </w:rPr>
      </w:pPr>
      <w:r>
        <w:rPr>
          <w:rFonts w:hint="eastAsia"/>
          <w:sz w:val="24"/>
        </w:rPr>
        <w:t>春风油田石炭系排</w:t>
      </w:r>
      <w:r>
        <w:rPr>
          <w:rFonts w:hint="eastAsia"/>
          <w:sz w:val="24"/>
        </w:rPr>
        <w:t>61</w:t>
      </w:r>
      <w:r>
        <w:rPr>
          <w:rFonts w:hint="eastAsia"/>
          <w:sz w:val="24"/>
        </w:rPr>
        <w:t>块产能建设工程</w:t>
      </w:r>
      <w:r>
        <w:rPr>
          <w:rFonts w:hint="eastAsia"/>
          <w:sz w:val="24"/>
        </w:rPr>
        <w:t>噪声源主要有采油井</w:t>
      </w:r>
      <w:r>
        <w:rPr>
          <w:sz w:val="24"/>
        </w:rPr>
        <w:t>。根据设备源强资料调查结果，各噪声源噪声值见表</w:t>
      </w:r>
      <w:r>
        <w:rPr>
          <w:sz w:val="24"/>
        </w:rPr>
        <w:t>5-</w:t>
      </w:r>
      <w:r>
        <w:rPr>
          <w:rFonts w:hint="eastAsia"/>
          <w:sz w:val="24"/>
        </w:rPr>
        <w:t>6</w:t>
      </w:r>
      <w:r>
        <w:rPr>
          <w:sz w:val="24"/>
        </w:rPr>
        <w:t>-3</w:t>
      </w:r>
      <w:r>
        <w:rPr>
          <w:rFonts w:hint="eastAsia"/>
          <w:sz w:val="24"/>
        </w:rPr>
        <w:t>、表</w:t>
      </w:r>
      <w:r>
        <w:rPr>
          <w:rFonts w:hint="eastAsia"/>
          <w:sz w:val="24"/>
        </w:rPr>
        <w:t>5</w:t>
      </w:r>
      <w:r>
        <w:rPr>
          <w:sz w:val="24"/>
        </w:rPr>
        <w:t>-</w:t>
      </w:r>
      <w:r>
        <w:rPr>
          <w:rFonts w:hint="eastAsia"/>
          <w:sz w:val="24"/>
        </w:rPr>
        <w:t>6</w:t>
      </w:r>
      <w:r>
        <w:rPr>
          <w:sz w:val="24"/>
        </w:rPr>
        <w:t>-4</w:t>
      </w:r>
      <w:r>
        <w:rPr>
          <w:rFonts w:hint="eastAsia"/>
          <w:sz w:val="24"/>
        </w:rPr>
        <w:t>。</w:t>
      </w:r>
    </w:p>
    <w:p w:rsidR="00EE4502" w:rsidRDefault="00FD45A3">
      <w:pPr>
        <w:pStyle w:val="Char3e"/>
        <w:snapToGrid/>
        <w:ind w:firstLineChars="0" w:firstLine="0"/>
        <w:jc w:val="center"/>
        <w:rPr>
          <w:rFonts w:ascii="Times New Roman" w:eastAsia="黑体" w:hAnsi="Times New Roman"/>
          <w:b w:val="0"/>
          <w:szCs w:val="21"/>
        </w:rPr>
      </w:pPr>
      <w:r>
        <w:rPr>
          <w:rFonts w:ascii="Times New Roman" w:eastAsia="黑体" w:hAnsi="Times New Roman"/>
          <w:b w:val="0"/>
          <w:szCs w:val="21"/>
        </w:rPr>
        <w:t>表</w:t>
      </w:r>
      <w:r>
        <w:rPr>
          <w:rFonts w:ascii="Times New Roman" w:eastAsia="黑体" w:hAnsi="Times New Roman"/>
          <w:b w:val="0"/>
          <w:szCs w:val="21"/>
        </w:rPr>
        <w:t>5-</w:t>
      </w:r>
      <w:r>
        <w:rPr>
          <w:rFonts w:ascii="Times New Roman" w:eastAsia="黑体" w:hAnsi="Times New Roman" w:hint="eastAsia"/>
          <w:b w:val="0"/>
          <w:szCs w:val="21"/>
        </w:rPr>
        <w:t>6</w:t>
      </w:r>
      <w:r>
        <w:rPr>
          <w:rFonts w:ascii="Times New Roman" w:eastAsia="黑体" w:hAnsi="Times New Roman"/>
          <w:b w:val="0"/>
          <w:szCs w:val="21"/>
        </w:rPr>
        <w:t xml:space="preserve">-3  </w:t>
      </w:r>
      <w:r>
        <w:rPr>
          <w:rFonts w:ascii="Times New Roman" w:eastAsia="黑体" w:hAnsi="Times New Roman"/>
          <w:b w:val="0"/>
          <w:szCs w:val="21"/>
        </w:rPr>
        <w:t>站场主要发声设备源强</w:t>
      </w:r>
      <w:r>
        <w:rPr>
          <w:rFonts w:ascii="Times New Roman" w:eastAsia="黑体" w:hAnsi="Times New Roman"/>
          <w:b w:val="0"/>
          <w:szCs w:val="21"/>
        </w:rPr>
        <w:t xml:space="preserve">  </w:t>
      </w:r>
      <w:r>
        <w:rPr>
          <w:rFonts w:ascii="Times New Roman" w:eastAsia="黑体" w:hAnsi="Times New Roman"/>
          <w:b w:val="0"/>
          <w:szCs w:val="21"/>
        </w:rPr>
        <w:t>单位：</w:t>
      </w:r>
      <w:r>
        <w:rPr>
          <w:rFonts w:ascii="Times New Roman" w:eastAsia="黑体" w:hAnsi="Times New Roman"/>
          <w:b w:val="0"/>
          <w:szCs w:val="21"/>
        </w:rPr>
        <w:t>dB</w:t>
      </w:r>
      <w:r>
        <w:rPr>
          <w:rFonts w:ascii="Times New Roman" w:eastAsia="黑体" w:hAnsi="Times New Roman"/>
          <w:b w:val="0"/>
          <w:szCs w:val="21"/>
        </w:rPr>
        <w:t>（</w:t>
      </w:r>
      <w:r>
        <w:rPr>
          <w:rFonts w:ascii="Times New Roman" w:eastAsia="黑体" w:hAnsi="Times New Roman"/>
          <w:b w:val="0"/>
          <w:szCs w:val="21"/>
        </w:rPr>
        <w:t>A</w:t>
      </w:r>
      <w:r>
        <w:rPr>
          <w:rFonts w:ascii="Times New Roman" w:eastAsia="黑体" w:hAnsi="Times New Roman"/>
          <w:b w:val="0"/>
          <w:szCs w:val="21"/>
        </w:rPr>
        <w:t>）</w:t>
      </w:r>
    </w:p>
    <w:p w:rsidR="00EE4502" w:rsidRDefault="00EE4502">
      <w:pPr>
        <w:jc w:val="center"/>
        <w:rPr>
          <w:sz w:val="18"/>
          <w:szCs w:val="18"/>
        </w:rPr>
      </w:pPr>
    </w:p>
    <w:p w:rsidR="00EE4502" w:rsidRDefault="00FD45A3">
      <w:pPr>
        <w:pStyle w:val="Char3e"/>
        <w:snapToGrid/>
        <w:ind w:firstLineChars="0" w:firstLine="0"/>
        <w:jc w:val="center"/>
        <w:rPr>
          <w:rFonts w:ascii="Times New Roman" w:eastAsia="黑体" w:hAnsi="Times New Roman"/>
          <w:b w:val="0"/>
          <w:szCs w:val="21"/>
        </w:rPr>
      </w:pPr>
      <w:r>
        <w:rPr>
          <w:rFonts w:ascii="Times New Roman" w:eastAsia="黑体" w:hAnsi="Times New Roman"/>
          <w:b w:val="0"/>
          <w:szCs w:val="21"/>
        </w:rPr>
        <w:t>表</w:t>
      </w:r>
      <w:r>
        <w:rPr>
          <w:rFonts w:ascii="Times New Roman" w:eastAsia="黑体" w:hAnsi="Times New Roman"/>
          <w:b w:val="0"/>
          <w:szCs w:val="21"/>
        </w:rPr>
        <w:t>5-</w:t>
      </w:r>
      <w:r>
        <w:rPr>
          <w:rFonts w:ascii="Times New Roman" w:eastAsia="黑体" w:hAnsi="Times New Roman" w:hint="eastAsia"/>
          <w:b w:val="0"/>
          <w:szCs w:val="21"/>
        </w:rPr>
        <w:t>6</w:t>
      </w:r>
      <w:r>
        <w:rPr>
          <w:rFonts w:ascii="Times New Roman" w:eastAsia="黑体" w:hAnsi="Times New Roman"/>
          <w:b w:val="0"/>
          <w:szCs w:val="21"/>
        </w:rPr>
        <w:t xml:space="preserve">-4  </w:t>
      </w:r>
      <w:r>
        <w:rPr>
          <w:rFonts w:ascii="Times New Roman" w:eastAsia="黑体" w:hAnsi="Times New Roman"/>
          <w:b w:val="0"/>
          <w:szCs w:val="21"/>
        </w:rPr>
        <w:t>站场主要发声设备源强</w:t>
      </w:r>
      <w:r>
        <w:rPr>
          <w:rFonts w:ascii="Times New Roman" w:eastAsia="黑体" w:hAnsi="Times New Roman"/>
          <w:b w:val="0"/>
          <w:szCs w:val="21"/>
        </w:rPr>
        <w:t xml:space="preserve">  </w:t>
      </w:r>
      <w:r>
        <w:rPr>
          <w:rFonts w:ascii="Times New Roman" w:eastAsia="黑体" w:hAnsi="Times New Roman"/>
          <w:b w:val="0"/>
          <w:szCs w:val="21"/>
        </w:rPr>
        <w:t>单位：</w:t>
      </w:r>
      <w:r>
        <w:rPr>
          <w:rFonts w:ascii="Times New Roman" w:eastAsia="黑体" w:hAnsi="Times New Roman"/>
          <w:b w:val="0"/>
          <w:szCs w:val="21"/>
        </w:rPr>
        <w:t>dB</w:t>
      </w:r>
      <w:r>
        <w:rPr>
          <w:rFonts w:ascii="Times New Roman" w:eastAsia="黑体" w:hAnsi="Times New Roman"/>
          <w:b w:val="0"/>
          <w:szCs w:val="21"/>
        </w:rPr>
        <w:t>（</w:t>
      </w:r>
      <w:r>
        <w:rPr>
          <w:rFonts w:ascii="Times New Roman" w:eastAsia="黑体" w:hAnsi="Times New Roman"/>
          <w:b w:val="0"/>
          <w:szCs w:val="21"/>
        </w:rPr>
        <w:t>A</w:t>
      </w:r>
      <w:r>
        <w:rPr>
          <w:rFonts w:ascii="Times New Roman" w:eastAsia="黑体" w:hAnsi="Times New Roman"/>
          <w:b w:val="0"/>
          <w:szCs w:val="21"/>
        </w:rPr>
        <w:t>）</w:t>
      </w:r>
    </w:p>
    <w:p w:rsidR="00EE4502" w:rsidRDefault="00EE4502">
      <w:pPr>
        <w:jc w:val="center"/>
        <w:rPr>
          <w:sz w:val="18"/>
          <w:szCs w:val="18"/>
        </w:rPr>
      </w:pPr>
    </w:p>
    <w:p w:rsidR="00EE4502" w:rsidRDefault="00FD45A3">
      <w:pPr>
        <w:pStyle w:val="41"/>
        <w:numPr>
          <w:ilvl w:val="3"/>
          <w:numId w:val="30"/>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hint="eastAsia"/>
          <w:bCs w:val="0"/>
          <w:sz w:val="24"/>
          <w:szCs w:val="24"/>
        </w:rPr>
        <w:t>预测模式</w:t>
      </w:r>
    </w:p>
    <w:p w:rsidR="00EE4502" w:rsidRDefault="00FD45A3">
      <w:pPr>
        <w:adjustRightInd w:val="0"/>
        <w:snapToGrid w:val="0"/>
        <w:spacing w:line="360" w:lineRule="auto"/>
        <w:ind w:firstLineChars="200" w:firstLine="480"/>
        <w:rPr>
          <w:sz w:val="24"/>
        </w:rPr>
      </w:pPr>
      <w:r>
        <w:rPr>
          <w:rFonts w:hint="eastAsia"/>
          <w:sz w:val="24"/>
        </w:rPr>
        <w:t>影响声波从声源到受声点传播的因素有很多，它们主要包括几何发散、大气吸收、地面效应、屏障屏蔽及其他多方面效应，其中对声波的传播影响最大的是与声源到受声点的距离有关的几何发散，即声波随距离的衰减。</w:t>
      </w:r>
    </w:p>
    <w:p w:rsidR="00EE4502" w:rsidRDefault="00FD45A3">
      <w:pPr>
        <w:adjustRightInd w:val="0"/>
        <w:snapToGrid w:val="0"/>
        <w:spacing w:line="360" w:lineRule="auto"/>
        <w:ind w:firstLineChars="200" w:firstLine="480"/>
        <w:rPr>
          <w:sz w:val="24"/>
        </w:rPr>
      </w:pPr>
      <w:r>
        <w:rPr>
          <w:rFonts w:hint="eastAsia"/>
          <w:sz w:val="24"/>
        </w:rPr>
        <w:t>（</w:t>
      </w:r>
      <w:r>
        <w:rPr>
          <w:rFonts w:hint="eastAsia"/>
          <w:sz w:val="24"/>
        </w:rPr>
        <w:t>1</w:t>
      </w:r>
      <w:r>
        <w:rPr>
          <w:rFonts w:hint="eastAsia"/>
          <w:sz w:val="24"/>
        </w:rPr>
        <w:t>）根据声源声功率级或参考位置处的声压级、户外声传播衰减，计算预测点的声级，计算公式如下：</w:t>
      </w:r>
    </w:p>
    <w:p w:rsidR="00EE4502" w:rsidRDefault="00FD45A3">
      <w:pPr>
        <w:adjustRightInd w:val="0"/>
        <w:snapToGrid w:val="0"/>
        <w:spacing w:line="360" w:lineRule="auto"/>
        <w:jc w:val="center"/>
        <w:rPr>
          <w:sz w:val="24"/>
        </w:rPr>
      </w:pPr>
      <m:oMathPara>
        <m:oMath>
          <m:sSub>
            <m:sSubPr>
              <m:ctrlPr>
                <w:rPr>
                  <w:rFonts w:ascii="Cambria Math" w:hAnsi="Cambria Math"/>
                  <w:sz w:val="24"/>
                </w:rPr>
              </m:ctrlPr>
            </m:sSubPr>
            <m:e>
              <m:r>
                <w:rPr>
                  <w:rFonts w:ascii="Cambria Math" w:hAnsi="Cambria Math"/>
                  <w:sz w:val="24"/>
                </w:rPr>
                <m:t>L</m:t>
              </m:r>
            </m:e>
            <m:sub>
              <m:r>
                <w:rPr>
                  <w:rFonts w:ascii="Cambria Math" w:hAnsi="Cambria Math"/>
                  <w:sz w:val="24"/>
                </w:rPr>
                <m:t>p</m:t>
              </m:r>
            </m:sub>
          </m:sSub>
          <m:d>
            <m:dPr>
              <m:ctrlPr>
                <w:rPr>
                  <w:rFonts w:ascii="Cambria Math" w:hAnsi="Cambria Math"/>
                  <w:sz w:val="24"/>
                </w:rPr>
              </m:ctrlPr>
            </m:dPr>
            <m:e>
              <m:r>
                <w:rPr>
                  <w:rFonts w:ascii="Cambria Math" w:hAnsi="Cambria Math" w:hint="eastAsia"/>
                  <w:sz w:val="24"/>
                </w:rPr>
                <m:t>r</m:t>
              </m:r>
            </m:e>
          </m:d>
          <m:r>
            <m:rPr>
              <m:sty m:val="p"/>
            </m:rPr>
            <w:rPr>
              <w:rFonts w:ascii="Cambria Math" w:hAnsi="Cambria Math"/>
              <w:sz w:val="24"/>
            </w:rPr>
            <m:t>=</m:t>
          </m:r>
          <m:sSub>
            <m:sSubPr>
              <m:ctrlPr>
                <w:rPr>
                  <w:rFonts w:ascii="Cambria Math" w:hAnsi="Cambria Math"/>
                  <w:sz w:val="24"/>
                </w:rPr>
              </m:ctrlPr>
            </m:sSubPr>
            <m:e>
              <m:r>
                <w:rPr>
                  <w:rFonts w:ascii="Cambria Math" w:hAnsi="Cambria Math"/>
                  <w:sz w:val="24"/>
                </w:rPr>
                <m:t>L</m:t>
              </m:r>
            </m:e>
            <m:sub>
              <m:r>
                <w:rPr>
                  <w:rFonts w:ascii="Cambria Math" w:hAnsi="Cambria Math" w:hint="eastAsia"/>
                  <w:sz w:val="24"/>
                </w:rPr>
                <m:t>w</m:t>
              </m:r>
            </m:sub>
          </m:sSub>
          <m:r>
            <w:rPr>
              <w:rFonts w:ascii="Cambria Math" w:hAnsi="Cambria Math"/>
              <w:sz w:val="24"/>
            </w:rPr>
            <m:t>+</m:t>
          </m:r>
          <m:sSub>
            <m:sSubPr>
              <m:ctrlPr>
                <w:rPr>
                  <w:rFonts w:ascii="Cambria Math" w:hAnsi="Cambria Math"/>
                  <w:i/>
                  <w:sz w:val="24"/>
                </w:rPr>
              </m:ctrlPr>
            </m:sSubPr>
            <m:e>
              <m:r>
                <w:rPr>
                  <w:rFonts w:ascii="Cambria Math" w:hAnsi="Cambria Math"/>
                  <w:sz w:val="24"/>
                </w:rPr>
                <m:t>D</m:t>
              </m:r>
            </m:e>
            <m:sub>
              <m:r>
                <w:rPr>
                  <w:rFonts w:ascii="Cambria Math" w:hAnsi="Cambria Math"/>
                  <w:sz w:val="24"/>
                </w:rPr>
                <m:t>C</m:t>
              </m:r>
            </m:sub>
          </m:sSub>
          <m:r>
            <w:rPr>
              <w:rFonts w:ascii="Cambria Math" w:hAnsi="Cambria Math"/>
              <w:sz w:val="24"/>
            </w:rPr>
            <m:t>-</m:t>
          </m:r>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A</m:t>
                  </m:r>
                </m:e>
                <m:sub>
                  <m:r>
                    <w:rPr>
                      <w:rFonts w:ascii="Cambria Math" w:hAnsi="Cambria Math"/>
                      <w:sz w:val="24"/>
                    </w:rPr>
                    <m:t>div</m:t>
                  </m:r>
                </m:sub>
              </m:sSub>
              <m:r>
                <w:rPr>
                  <w:rFonts w:ascii="Cambria Math" w:hAnsi="Cambria Math"/>
                  <w:sz w:val="24"/>
                </w:rPr>
                <m:t>+</m:t>
              </m:r>
              <m:sSub>
                <m:sSubPr>
                  <m:ctrlPr>
                    <w:rPr>
                      <w:rFonts w:ascii="Cambria Math" w:hAnsi="Cambria Math"/>
                      <w:i/>
                      <w:sz w:val="24"/>
                    </w:rPr>
                  </m:ctrlPr>
                </m:sSubPr>
                <m:e>
                  <m:r>
                    <w:rPr>
                      <w:rFonts w:ascii="Cambria Math" w:hAnsi="Cambria Math"/>
                      <w:sz w:val="24"/>
                    </w:rPr>
                    <m:t>A</m:t>
                  </m:r>
                </m:e>
                <m:sub>
                  <m:r>
                    <w:rPr>
                      <w:rFonts w:ascii="Cambria Math" w:hAnsi="Cambria Math"/>
                      <w:sz w:val="24"/>
                    </w:rPr>
                    <m:t>atm</m:t>
                  </m:r>
                </m:sub>
              </m:sSub>
              <m:r>
                <w:rPr>
                  <w:rFonts w:ascii="Cambria Math" w:hAnsi="Cambria Math"/>
                  <w:sz w:val="24"/>
                </w:rPr>
                <m:t>+</m:t>
              </m:r>
              <m:sSub>
                <m:sSubPr>
                  <m:ctrlPr>
                    <w:rPr>
                      <w:rFonts w:ascii="Cambria Math" w:hAnsi="Cambria Math"/>
                      <w:i/>
                      <w:sz w:val="24"/>
                    </w:rPr>
                  </m:ctrlPr>
                </m:sSubPr>
                <m:e>
                  <m:r>
                    <w:rPr>
                      <w:rFonts w:ascii="Cambria Math" w:hAnsi="Cambria Math"/>
                      <w:sz w:val="24"/>
                    </w:rPr>
                    <m:t>A</m:t>
                  </m:r>
                </m:e>
                <m:sub>
                  <m:r>
                    <w:rPr>
                      <w:rFonts w:ascii="Cambria Math" w:hAnsi="Cambria Math"/>
                      <w:sz w:val="24"/>
                    </w:rPr>
                    <m:t>gr</m:t>
                  </m:r>
                </m:sub>
              </m:sSub>
              <m:r>
                <w:rPr>
                  <w:rFonts w:ascii="Cambria Math" w:hAnsi="Cambria Math"/>
                  <w:sz w:val="24"/>
                </w:rPr>
                <m:t>+</m:t>
              </m:r>
              <m:sSub>
                <m:sSubPr>
                  <m:ctrlPr>
                    <w:rPr>
                      <w:rFonts w:ascii="Cambria Math" w:hAnsi="Cambria Math"/>
                      <w:i/>
                      <w:sz w:val="24"/>
                    </w:rPr>
                  </m:ctrlPr>
                </m:sSubPr>
                <m:e>
                  <m:r>
                    <w:rPr>
                      <w:rFonts w:ascii="Cambria Math" w:hAnsi="Cambria Math"/>
                      <w:sz w:val="24"/>
                    </w:rPr>
                    <m:t>A</m:t>
                  </m:r>
                </m:e>
                <m:sub>
                  <m:r>
                    <w:rPr>
                      <w:rFonts w:ascii="Cambria Math" w:hAnsi="Cambria Math"/>
                      <w:sz w:val="24"/>
                    </w:rPr>
                    <m:t>bar</m:t>
                  </m:r>
                </m:sub>
              </m:sSub>
              <m:r>
                <w:rPr>
                  <w:rFonts w:ascii="Cambria Math" w:hAnsi="Cambria Math"/>
                  <w:sz w:val="24"/>
                </w:rPr>
                <m:t>+</m:t>
              </m:r>
              <m:sSub>
                <m:sSubPr>
                  <m:ctrlPr>
                    <w:rPr>
                      <w:rFonts w:ascii="Cambria Math" w:hAnsi="Cambria Math"/>
                      <w:i/>
                      <w:sz w:val="24"/>
                    </w:rPr>
                  </m:ctrlPr>
                </m:sSubPr>
                <m:e>
                  <m:r>
                    <w:rPr>
                      <w:rFonts w:ascii="Cambria Math" w:hAnsi="Cambria Math"/>
                      <w:sz w:val="24"/>
                    </w:rPr>
                    <m:t>A</m:t>
                  </m:r>
                </m:e>
                <m:sub>
                  <m:r>
                    <w:rPr>
                      <w:rFonts w:ascii="Cambria Math" w:hAnsi="Cambria Math"/>
                      <w:sz w:val="24"/>
                    </w:rPr>
                    <m:t>misc</m:t>
                  </m:r>
                </m:sub>
              </m:sSub>
            </m:e>
          </m:d>
        </m:oMath>
      </m:oMathPara>
    </w:p>
    <w:p w:rsidR="00EE4502" w:rsidRDefault="00FD45A3">
      <w:pPr>
        <w:widowControl/>
        <w:spacing w:line="360" w:lineRule="auto"/>
        <w:ind w:firstLineChars="200" w:firstLine="480"/>
        <w:rPr>
          <w:kern w:val="0"/>
          <w:sz w:val="24"/>
        </w:rPr>
      </w:pPr>
      <w:r>
        <w:rPr>
          <w:kern w:val="0"/>
          <w:sz w:val="24"/>
        </w:rPr>
        <w:t>式中：</w:t>
      </w:r>
      <w:r>
        <w:rPr>
          <w:kern w:val="0"/>
          <w:sz w:val="24"/>
        </w:rPr>
        <w:t>L</w:t>
      </w:r>
      <w:r>
        <w:rPr>
          <w:kern w:val="0"/>
          <w:sz w:val="24"/>
          <w:vertAlign w:val="subscript"/>
        </w:rPr>
        <w:t>p</w:t>
      </w:r>
      <w:r>
        <w:rPr>
          <w:kern w:val="0"/>
          <w:sz w:val="24"/>
        </w:rPr>
        <w:t xml:space="preserve">(r) </w:t>
      </w:r>
      <w:r>
        <w:rPr>
          <w:kern w:val="0"/>
          <w:sz w:val="24"/>
        </w:rPr>
        <w:t>——</w:t>
      </w:r>
      <w:r>
        <w:rPr>
          <w:kern w:val="0"/>
          <w:sz w:val="24"/>
        </w:rPr>
        <w:t>预测点处声压级，</w:t>
      </w:r>
      <w:r>
        <w:rPr>
          <w:kern w:val="0"/>
          <w:sz w:val="24"/>
        </w:rPr>
        <w:t>dB</w:t>
      </w:r>
      <w:r>
        <w:rPr>
          <w:kern w:val="0"/>
          <w:sz w:val="24"/>
        </w:rPr>
        <w:t>；</w:t>
      </w:r>
    </w:p>
    <w:p w:rsidR="00EE4502" w:rsidRDefault="00FD45A3">
      <w:pPr>
        <w:spacing w:line="360" w:lineRule="auto"/>
        <w:ind w:firstLineChars="500" w:firstLine="1200"/>
        <w:rPr>
          <w:sz w:val="24"/>
        </w:rPr>
      </w:pPr>
      <w:r>
        <w:rPr>
          <w:sz w:val="24"/>
        </w:rPr>
        <w:object w:dxaOrig="315" w:dyaOrig="360">
          <v:shape id="_x0000_i1028" type="#_x0000_t75" style="width:15.75pt;height:18pt" o:ole="">
            <v:imagedata r:id="rId38" o:title=""/>
          </v:shape>
          <o:OLEObject Type="Embed" ProgID="Equation.3" ShapeID="_x0000_i1028" DrawAspect="Content" ObjectID="_1810051728" r:id="rId39"/>
        </w:object>
      </w:r>
      <w:r>
        <w:rPr>
          <w:kern w:val="0"/>
          <w:sz w:val="24"/>
        </w:rPr>
        <w:t>——</w:t>
      </w:r>
      <w:r>
        <w:rPr>
          <w:rFonts w:hint="eastAsia"/>
          <w:sz w:val="24"/>
        </w:rPr>
        <w:t>由点声源产生的声功率级（</w:t>
      </w:r>
      <w:r>
        <w:rPr>
          <w:rFonts w:hint="eastAsia"/>
          <w:sz w:val="24"/>
        </w:rPr>
        <w:t>A</w:t>
      </w:r>
      <w:r>
        <w:rPr>
          <w:rFonts w:hint="eastAsia"/>
          <w:sz w:val="24"/>
        </w:rPr>
        <w:t>计权或倍频带）</w:t>
      </w:r>
      <w:r>
        <w:rPr>
          <w:sz w:val="24"/>
        </w:rPr>
        <w:t>，</w:t>
      </w:r>
      <w:r>
        <w:rPr>
          <w:sz w:val="24"/>
        </w:rPr>
        <w:t>dB</w:t>
      </w:r>
      <w:r>
        <w:rPr>
          <w:sz w:val="24"/>
        </w:rPr>
        <w:t>；</w:t>
      </w:r>
    </w:p>
    <w:p w:rsidR="00EE4502" w:rsidRDefault="00FD45A3">
      <w:pPr>
        <w:spacing w:line="360" w:lineRule="auto"/>
        <w:ind w:firstLineChars="500" w:firstLine="1200"/>
        <w:rPr>
          <w:sz w:val="24"/>
        </w:rPr>
      </w:pPr>
      <w:r>
        <w:rPr>
          <w:sz w:val="24"/>
        </w:rPr>
        <w:object w:dxaOrig="315" w:dyaOrig="360">
          <v:shape id="_x0000_i1029" type="#_x0000_t75" style="width:15.75pt;height:18pt" o:ole="">
            <v:imagedata r:id="rId40" o:title=""/>
          </v:shape>
          <o:OLEObject Type="Embed" ProgID="Equation.3" ShapeID="_x0000_i1029" DrawAspect="Content" ObjectID="_1810051729" r:id="rId41"/>
        </w:object>
      </w:r>
      <w:r>
        <w:rPr>
          <w:kern w:val="0"/>
          <w:sz w:val="24"/>
        </w:rPr>
        <w:t>——</w:t>
      </w:r>
      <w:r>
        <w:rPr>
          <w:sz w:val="24"/>
        </w:rPr>
        <w:t>指向性校正，</w:t>
      </w:r>
      <w:r>
        <w:rPr>
          <w:sz w:val="24"/>
        </w:rPr>
        <w:t>dB</w:t>
      </w:r>
      <w:r>
        <w:rPr>
          <w:sz w:val="24"/>
        </w:rPr>
        <w:t>；</w:t>
      </w:r>
    </w:p>
    <w:p w:rsidR="00EE4502" w:rsidRDefault="00FD45A3">
      <w:pPr>
        <w:spacing w:line="360" w:lineRule="auto"/>
        <w:ind w:firstLineChars="200" w:firstLine="480"/>
        <w:rPr>
          <w:sz w:val="24"/>
        </w:rPr>
      </w:pPr>
      <w:r>
        <w:rPr>
          <w:sz w:val="24"/>
        </w:rPr>
        <w:t xml:space="preserve">      </w:t>
      </w:r>
      <w:r>
        <w:rPr>
          <w:sz w:val="24"/>
        </w:rPr>
        <w:object w:dxaOrig="420" w:dyaOrig="360">
          <v:shape id="_x0000_i1030" type="#_x0000_t75" style="width:21pt;height:18pt" o:ole="">
            <v:imagedata r:id="rId42" o:title=""/>
          </v:shape>
          <o:OLEObject Type="Embed" ProgID="Equation.3" ShapeID="_x0000_i1030" DrawAspect="Content" ObjectID="_1810051730" r:id="rId43"/>
        </w:object>
      </w:r>
      <w:r>
        <w:rPr>
          <w:kern w:val="0"/>
          <w:sz w:val="24"/>
        </w:rPr>
        <w:t>——</w:t>
      </w:r>
      <w:r>
        <w:rPr>
          <w:sz w:val="24"/>
        </w:rPr>
        <w:t>几何发散引起的衰减，</w:t>
      </w:r>
      <w:r>
        <w:rPr>
          <w:sz w:val="24"/>
        </w:rPr>
        <w:t>dB</w:t>
      </w:r>
      <w:r>
        <w:rPr>
          <w:sz w:val="24"/>
        </w:rPr>
        <w:t>；</w:t>
      </w:r>
    </w:p>
    <w:p w:rsidR="00EE4502" w:rsidRDefault="00FD45A3">
      <w:pPr>
        <w:spacing w:line="360" w:lineRule="auto"/>
        <w:ind w:firstLineChars="200" w:firstLine="480"/>
        <w:rPr>
          <w:sz w:val="24"/>
        </w:rPr>
      </w:pPr>
      <w:r>
        <w:rPr>
          <w:sz w:val="24"/>
        </w:rPr>
        <w:t xml:space="preserve">      </w:t>
      </w:r>
      <w:r>
        <w:rPr>
          <w:sz w:val="24"/>
        </w:rPr>
        <w:object w:dxaOrig="375" w:dyaOrig="405">
          <v:shape id="_x0000_i1031" type="#_x0000_t75" style="width:18.75pt;height:20.25pt" o:ole="">
            <v:imagedata r:id="rId44" o:title=""/>
          </v:shape>
          <o:OLEObject Type="Embed" ProgID="Equation.3" ShapeID="_x0000_i1031" DrawAspect="Content" ObjectID="_1810051731" r:id="rId45"/>
        </w:object>
      </w:r>
      <w:r>
        <w:rPr>
          <w:kern w:val="0"/>
          <w:sz w:val="24"/>
        </w:rPr>
        <w:t>——</w:t>
      </w:r>
      <w:r>
        <w:rPr>
          <w:sz w:val="24"/>
        </w:rPr>
        <w:t>地面效应引起的衰减，</w:t>
      </w:r>
      <w:r>
        <w:rPr>
          <w:sz w:val="24"/>
        </w:rPr>
        <w:t>dB</w:t>
      </w:r>
      <w:r>
        <w:rPr>
          <w:sz w:val="24"/>
        </w:rPr>
        <w:t>；</w:t>
      </w:r>
    </w:p>
    <w:p w:rsidR="00EE4502" w:rsidRDefault="00FD45A3">
      <w:pPr>
        <w:spacing w:line="360" w:lineRule="auto"/>
        <w:ind w:firstLineChars="200" w:firstLine="480"/>
        <w:rPr>
          <w:sz w:val="24"/>
        </w:rPr>
      </w:pPr>
      <w:r>
        <w:rPr>
          <w:sz w:val="24"/>
        </w:rPr>
        <w:t xml:space="preserve">      </w:t>
      </w:r>
      <w:r>
        <w:rPr>
          <w:sz w:val="24"/>
        </w:rPr>
        <w:object w:dxaOrig="435" w:dyaOrig="360">
          <v:shape id="_x0000_i1032" type="#_x0000_t75" style="width:21.75pt;height:18pt" o:ole="">
            <v:imagedata r:id="rId46" o:title=""/>
          </v:shape>
          <o:OLEObject Type="Embed" ProgID="Equation.3" ShapeID="_x0000_i1032" DrawAspect="Content" ObjectID="_1810051732" r:id="rId47"/>
        </w:object>
      </w:r>
      <w:r>
        <w:rPr>
          <w:kern w:val="0"/>
          <w:sz w:val="24"/>
        </w:rPr>
        <w:t>——</w:t>
      </w:r>
      <w:r>
        <w:rPr>
          <w:sz w:val="24"/>
        </w:rPr>
        <w:t>大气吸收引起的衰减，</w:t>
      </w:r>
      <w:r>
        <w:rPr>
          <w:sz w:val="24"/>
        </w:rPr>
        <w:t>dB</w:t>
      </w:r>
      <w:r>
        <w:rPr>
          <w:sz w:val="24"/>
        </w:rPr>
        <w:t>；</w:t>
      </w:r>
    </w:p>
    <w:p w:rsidR="00EE4502" w:rsidRDefault="00FD45A3">
      <w:pPr>
        <w:spacing w:line="360" w:lineRule="auto"/>
        <w:ind w:firstLineChars="500" w:firstLine="1200"/>
        <w:rPr>
          <w:sz w:val="24"/>
        </w:rPr>
      </w:pPr>
      <w:r>
        <w:rPr>
          <w:sz w:val="24"/>
        </w:rPr>
        <w:object w:dxaOrig="435" w:dyaOrig="360">
          <v:shape id="_x0000_i1033" type="#_x0000_t75" style="width:21.75pt;height:18pt" o:ole="">
            <v:imagedata r:id="rId48" o:title=""/>
          </v:shape>
          <o:OLEObject Type="Embed" ProgID="Equation.3" ShapeID="_x0000_i1033" DrawAspect="Content" ObjectID="_1810051733" r:id="rId49"/>
        </w:object>
      </w:r>
      <w:r>
        <w:rPr>
          <w:kern w:val="0"/>
          <w:sz w:val="24"/>
        </w:rPr>
        <w:t>——</w:t>
      </w:r>
      <w:r>
        <w:rPr>
          <w:rFonts w:hint="eastAsia"/>
          <w:kern w:val="0"/>
          <w:sz w:val="24"/>
        </w:rPr>
        <w:t>障碍物</w:t>
      </w:r>
      <w:r>
        <w:rPr>
          <w:sz w:val="24"/>
        </w:rPr>
        <w:t>屏障引起的衰减，</w:t>
      </w:r>
      <w:r>
        <w:rPr>
          <w:sz w:val="24"/>
        </w:rPr>
        <w:t>dB</w:t>
      </w:r>
      <w:r>
        <w:rPr>
          <w:sz w:val="24"/>
        </w:rPr>
        <w:t>；</w:t>
      </w:r>
    </w:p>
    <w:p w:rsidR="00EE4502" w:rsidRDefault="00FD45A3">
      <w:pPr>
        <w:spacing w:line="360" w:lineRule="auto"/>
        <w:ind w:firstLineChars="500" w:firstLine="1200"/>
        <w:rPr>
          <w:sz w:val="24"/>
        </w:rPr>
      </w:pPr>
      <w:r>
        <w:rPr>
          <w:sz w:val="24"/>
        </w:rPr>
        <w:object w:dxaOrig="495" w:dyaOrig="360">
          <v:shape id="_x0000_i1034" type="#_x0000_t75" style="width:24.75pt;height:18pt" o:ole="">
            <v:imagedata r:id="rId50" o:title=""/>
          </v:shape>
          <o:OLEObject Type="Embed" ProgID="Equation.3" ShapeID="_x0000_i1034" DrawAspect="Content" ObjectID="_1810051734" r:id="rId51"/>
        </w:object>
      </w:r>
      <w:r>
        <w:rPr>
          <w:kern w:val="0"/>
          <w:sz w:val="24"/>
        </w:rPr>
        <w:t>——</w:t>
      </w:r>
      <w:r>
        <w:rPr>
          <w:sz w:val="24"/>
        </w:rPr>
        <w:t>其他多方面效应引起的衰减，</w:t>
      </w:r>
      <w:r>
        <w:rPr>
          <w:sz w:val="24"/>
        </w:rPr>
        <w:t>dB</w:t>
      </w:r>
      <w:r>
        <w:rPr>
          <w:sz w:val="24"/>
        </w:rPr>
        <w:t>。</w:t>
      </w:r>
    </w:p>
    <w:p w:rsidR="00EE4502" w:rsidRDefault="00FD45A3">
      <w:pPr>
        <w:adjustRightInd w:val="0"/>
        <w:snapToGrid w:val="0"/>
        <w:spacing w:line="360" w:lineRule="auto"/>
        <w:ind w:firstLineChars="200" w:firstLine="480"/>
        <w:rPr>
          <w:sz w:val="24"/>
        </w:rPr>
      </w:pPr>
      <w:r>
        <w:rPr>
          <w:rFonts w:hint="eastAsia"/>
          <w:sz w:val="24"/>
        </w:rPr>
        <w:t>（</w:t>
      </w:r>
      <w:r>
        <w:rPr>
          <w:rFonts w:hint="eastAsia"/>
          <w:sz w:val="24"/>
        </w:rPr>
        <w:t>2</w:t>
      </w:r>
      <w:r>
        <w:rPr>
          <w:rFonts w:hint="eastAsia"/>
          <w:sz w:val="24"/>
        </w:rPr>
        <w:t>）室内声源等效室外声源声功率级计算方法</w:t>
      </w:r>
    </w:p>
    <w:p w:rsidR="00EE4502" w:rsidRDefault="00FD45A3">
      <w:pPr>
        <w:adjustRightInd w:val="0"/>
        <w:snapToGrid w:val="0"/>
        <w:spacing w:line="360" w:lineRule="auto"/>
        <w:ind w:firstLineChars="200" w:firstLine="480"/>
        <w:rPr>
          <w:sz w:val="24"/>
        </w:rPr>
      </w:pPr>
      <w:r>
        <w:rPr>
          <w:rFonts w:ascii="宋体" w:hAnsi="宋体" w:cs="宋体" w:hint="eastAsia"/>
          <w:sz w:val="24"/>
        </w:rPr>
        <w:t>①</w:t>
      </w:r>
      <w:r>
        <w:rPr>
          <w:sz w:val="24"/>
        </w:rPr>
        <w:t>室内声源靠近围护结构处产生的倍频带声压级或</w:t>
      </w:r>
      <w:r>
        <w:rPr>
          <w:sz w:val="24"/>
        </w:rPr>
        <w:t>A</w:t>
      </w:r>
      <w:r>
        <w:rPr>
          <w:sz w:val="24"/>
        </w:rPr>
        <w:t>声级按下式计算。</w:t>
      </w:r>
    </w:p>
    <w:p w:rsidR="00EE4502" w:rsidRDefault="00FD45A3">
      <w:pPr>
        <w:adjustRightInd w:val="0"/>
        <w:snapToGrid w:val="0"/>
        <w:spacing w:line="360" w:lineRule="auto"/>
        <w:ind w:firstLineChars="200" w:firstLine="420"/>
        <w:jc w:val="center"/>
      </w:pPr>
      <m:oMathPara>
        <m:oMath>
          <m:sSub>
            <m:sSubPr>
              <m:ctrlPr>
                <w:rPr>
                  <w:rFonts w:ascii="Cambria Math" w:hAnsi="Cambria Math"/>
                </w:rPr>
              </m:ctrlPr>
            </m:sSubPr>
            <m:e>
              <m:r>
                <w:rPr>
                  <w:rFonts w:ascii="Cambria Math" w:hAnsi="Cambria Math"/>
                </w:rPr>
                <m:t>L</m:t>
              </m:r>
            </m:e>
            <m:sub>
              <m:r>
                <w:rPr>
                  <w:rFonts w:ascii="Cambria Math" w:hAnsi="Cambria Math"/>
                </w:rPr>
                <m:t>p</m:t>
              </m:r>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w</m:t>
              </m:r>
            </m:sub>
          </m:sSub>
          <m:r>
            <w:rPr>
              <w:rFonts w:ascii="Cambria Math" w:hAnsi="Cambria Math"/>
            </w:rPr>
            <m:t>+10</m:t>
          </m:r>
          <m:r>
            <w:rPr>
              <w:rFonts w:ascii="Cambria Math" w:hAnsi="Cambria Math"/>
            </w:rPr>
            <m:t>lg</m:t>
          </m:r>
          <m:d>
            <m:dPr>
              <m:ctrlPr>
                <w:rPr>
                  <w:rFonts w:ascii="Cambria Math" w:hAnsi="Cambria Math"/>
                  <w:i/>
                </w:rPr>
              </m:ctrlPr>
            </m:dPr>
            <m:e>
              <m:f>
                <m:fPr>
                  <m:ctrlPr>
                    <w:rPr>
                      <w:rFonts w:ascii="Cambria Math" w:hAnsi="Cambria Math"/>
                      <w:i/>
                    </w:rPr>
                  </m:ctrlPr>
                </m:fPr>
                <m:num>
                  <m:r>
                    <w:rPr>
                      <w:rFonts w:ascii="Cambria Math" w:hAnsi="Cambria Math"/>
                    </w:rPr>
                    <m:t>Q</m:t>
                  </m:r>
                </m:num>
                <m:den>
                  <m:r>
                    <w:rPr>
                      <w:rFonts w:ascii="Cambria Math" w:hAnsi="Cambria Math"/>
                    </w:rPr>
                    <m:t>4</m:t>
                  </m:r>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R</m:t>
                  </m:r>
                </m:den>
              </m:f>
            </m:e>
          </m:d>
        </m:oMath>
      </m:oMathPara>
    </w:p>
    <w:p w:rsidR="00EE4502" w:rsidRDefault="00FD45A3">
      <w:pPr>
        <w:adjustRightInd w:val="0"/>
        <w:snapToGrid w:val="0"/>
        <w:spacing w:line="360" w:lineRule="auto"/>
        <w:ind w:firstLineChars="200" w:firstLine="480"/>
        <w:rPr>
          <w:sz w:val="24"/>
        </w:rPr>
      </w:pPr>
      <w:r>
        <w:rPr>
          <w:sz w:val="24"/>
        </w:rPr>
        <w:t>式中：</w:t>
      </w:r>
      <m:oMath>
        <m:sSub>
          <m:sSubPr>
            <m:ctrlPr>
              <w:rPr>
                <w:rFonts w:ascii="Cambria Math" w:hAnsi="Cambria Math"/>
              </w:rPr>
            </m:ctrlPr>
          </m:sSubPr>
          <m:e>
            <m:r>
              <w:rPr>
                <w:rFonts w:ascii="Cambria Math" w:hAnsi="Cambria Math"/>
              </w:rPr>
              <m:t>L</m:t>
            </m:r>
          </m:e>
          <m:sub>
            <m:r>
              <w:rPr>
                <w:rFonts w:ascii="Cambria Math" w:hAnsi="Cambria Math"/>
              </w:rPr>
              <m:t>p</m:t>
            </m:r>
            <m:r>
              <w:rPr>
                <w:rFonts w:ascii="Cambria Math" w:hAnsi="Cambria Math"/>
              </w:rPr>
              <m:t>1</m:t>
            </m:r>
          </m:sub>
        </m:sSub>
      </m:oMath>
      <w:r>
        <w:rPr>
          <w:kern w:val="0"/>
          <w:sz w:val="24"/>
        </w:rPr>
        <w:t>——</w:t>
      </w:r>
      <w:r>
        <w:rPr>
          <w:rFonts w:hint="eastAsia"/>
          <w:sz w:val="24"/>
        </w:rPr>
        <w:t>靠近开口处（或窗口）室内某倍频带的声压级或</w:t>
      </w:r>
      <w:r>
        <w:rPr>
          <w:rFonts w:hint="eastAsia"/>
          <w:sz w:val="24"/>
        </w:rPr>
        <w:t>A</w:t>
      </w:r>
      <w:r>
        <w:rPr>
          <w:rFonts w:hint="eastAsia"/>
          <w:sz w:val="24"/>
        </w:rPr>
        <w:t>声级</w:t>
      </w:r>
      <w:r>
        <w:rPr>
          <w:sz w:val="24"/>
        </w:rPr>
        <w:t>，</w:t>
      </w:r>
      <w:r>
        <w:rPr>
          <w:sz w:val="24"/>
        </w:rPr>
        <w:t>dB</w:t>
      </w:r>
      <w:r>
        <w:rPr>
          <w:sz w:val="24"/>
        </w:rPr>
        <w:t>；</w:t>
      </w:r>
      <w:r>
        <w:rPr>
          <w:sz w:val="24"/>
        </w:rPr>
        <w:t xml:space="preserve"> </w:t>
      </w:r>
    </w:p>
    <w:p w:rsidR="00EE4502" w:rsidRDefault="00FD45A3">
      <w:pPr>
        <w:adjustRightInd w:val="0"/>
        <w:snapToGrid w:val="0"/>
        <w:spacing w:line="360" w:lineRule="auto"/>
        <w:ind w:firstLineChars="600" w:firstLine="1260"/>
        <w:rPr>
          <w:sz w:val="24"/>
        </w:rPr>
      </w:pPr>
      <m:oMath>
        <m:sSub>
          <m:sSubPr>
            <m:ctrlPr>
              <w:rPr>
                <w:rFonts w:ascii="Cambria Math" w:hAnsi="Cambria Math"/>
              </w:rPr>
            </m:ctrlPr>
          </m:sSubPr>
          <m:e>
            <m:r>
              <w:rPr>
                <w:rFonts w:ascii="Cambria Math" w:hAnsi="Cambria Math"/>
              </w:rPr>
              <m:t>L</m:t>
            </m:r>
          </m:e>
          <m:sub>
            <m:r>
              <w:rPr>
                <w:rFonts w:ascii="Cambria Math" w:hAnsi="Cambria Math"/>
              </w:rPr>
              <m:t>w</m:t>
            </m:r>
          </m:sub>
        </m:sSub>
      </m:oMath>
      <w:r>
        <w:rPr>
          <w:kern w:val="0"/>
          <w:sz w:val="24"/>
        </w:rPr>
        <w:t>——</w:t>
      </w:r>
      <w:r>
        <w:rPr>
          <w:rFonts w:hint="eastAsia"/>
          <w:kern w:val="0"/>
          <w:sz w:val="24"/>
        </w:rPr>
        <w:t>点声源声功率级（</w:t>
      </w:r>
      <w:r>
        <w:rPr>
          <w:rFonts w:hint="eastAsia"/>
          <w:kern w:val="0"/>
          <w:sz w:val="24"/>
        </w:rPr>
        <w:t>A</w:t>
      </w:r>
      <w:r>
        <w:rPr>
          <w:rFonts w:hint="eastAsia"/>
          <w:kern w:val="0"/>
          <w:sz w:val="24"/>
        </w:rPr>
        <w:t>计权或倍频带）</w:t>
      </w:r>
      <w:r>
        <w:rPr>
          <w:sz w:val="24"/>
        </w:rPr>
        <w:t>，</w:t>
      </w:r>
      <w:r>
        <w:rPr>
          <w:sz w:val="24"/>
        </w:rPr>
        <w:t>dB</w:t>
      </w:r>
      <w:r>
        <w:rPr>
          <w:sz w:val="24"/>
        </w:rPr>
        <w:t>；</w:t>
      </w:r>
    </w:p>
    <w:p w:rsidR="00EE4502" w:rsidRDefault="00FD45A3">
      <w:pPr>
        <w:adjustRightInd w:val="0"/>
        <w:snapToGrid w:val="0"/>
        <w:spacing w:line="360" w:lineRule="auto"/>
        <w:ind w:firstLineChars="550" w:firstLine="1320"/>
        <w:rPr>
          <w:sz w:val="24"/>
        </w:rPr>
      </w:pPr>
      <w:r>
        <w:rPr>
          <w:sz w:val="24"/>
        </w:rPr>
        <w:t>Q</w:t>
      </w:r>
      <w:r>
        <w:rPr>
          <w:kern w:val="0"/>
          <w:sz w:val="24"/>
        </w:rPr>
        <w:t>——</w:t>
      </w:r>
      <w:r>
        <w:rPr>
          <w:rFonts w:hint="eastAsia"/>
          <w:kern w:val="0"/>
          <w:sz w:val="24"/>
        </w:rPr>
        <w:t>指向性因数</w:t>
      </w:r>
      <w:r>
        <w:rPr>
          <w:sz w:val="24"/>
        </w:rPr>
        <w:t>；</w:t>
      </w:r>
    </w:p>
    <w:p w:rsidR="00EE4502" w:rsidRDefault="00FD45A3">
      <w:pPr>
        <w:adjustRightInd w:val="0"/>
        <w:snapToGrid w:val="0"/>
        <w:spacing w:line="360" w:lineRule="auto"/>
        <w:ind w:firstLineChars="550" w:firstLine="1320"/>
        <w:rPr>
          <w:kern w:val="0"/>
          <w:sz w:val="24"/>
        </w:rPr>
      </w:pPr>
      <w:r>
        <w:rPr>
          <w:sz w:val="24"/>
        </w:rPr>
        <w:t>R</w:t>
      </w:r>
      <w:r>
        <w:rPr>
          <w:kern w:val="0"/>
          <w:sz w:val="24"/>
        </w:rPr>
        <w:t>——</w:t>
      </w:r>
      <w:r>
        <w:rPr>
          <w:kern w:val="0"/>
          <w:sz w:val="24"/>
        </w:rPr>
        <w:t>房间常数；</w:t>
      </w:r>
      <w:r>
        <w:rPr>
          <w:kern w:val="0"/>
          <w:sz w:val="24"/>
        </w:rPr>
        <w:t>R=Sα/</w:t>
      </w:r>
      <w:r>
        <w:rPr>
          <w:kern w:val="0"/>
          <w:sz w:val="24"/>
        </w:rPr>
        <w:t>（</w:t>
      </w:r>
      <w:r>
        <w:rPr>
          <w:kern w:val="0"/>
          <w:sz w:val="24"/>
        </w:rPr>
        <w:t>1-α</w:t>
      </w:r>
      <w:r>
        <w:rPr>
          <w:kern w:val="0"/>
          <w:sz w:val="24"/>
        </w:rPr>
        <w:t>），</w:t>
      </w:r>
      <w:r>
        <w:rPr>
          <w:kern w:val="0"/>
          <w:sz w:val="24"/>
        </w:rPr>
        <w:t>S</w:t>
      </w:r>
      <w:r>
        <w:rPr>
          <w:kern w:val="0"/>
          <w:sz w:val="24"/>
        </w:rPr>
        <w:t>为房间内表面积，</w:t>
      </w:r>
      <w:r>
        <w:rPr>
          <w:kern w:val="0"/>
          <w:sz w:val="24"/>
        </w:rPr>
        <w:t>m2</w:t>
      </w:r>
      <w:r>
        <w:rPr>
          <w:kern w:val="0"/>
          <w:sz w:val="24"/>
        </w:rPr>
        <w:t>，</w:t>
      </w:r>
      <w:r>
        <w:rPr>
          <w:kern w:val="0"/>
          <w:sz w:val="24"/>
        </w:rPr>
        <w:t>α</w:t>
      </w:r>
      <w:r>
        <w:rPr>
          <w:kern w:val="0"/>
          <w:sz w:val="24"/>
        </w:rPr>
        <w:t>为平均吸声系数；</w:t>
      </w:r>
    </w:p>
    <w:p w:rsidR="00EE4502" w:rsidRDefault="00FD45A3">
      <w:pPr>
        <w:adjustRightInd w:val="0"/>
        <w:snapToGrid w:val="0"/>
        <w:spacing w:line="360" w:lineRule="auto"/>
        <w:ind w:firstLineChars="550" w:firstLine="1320"/>
        <w:rPr>
          <w:sz w:val="24"/>
        </w:rPr>
      </w:pPr>
      <w:r>
        <w:rPr>
          <w:rFonts w:hint="eastAsia"/>
          <w:kern w:val="0"/>
          <w:sz w:val="24"/>
        </w:rPr>
        <w:t>r</w:t>
      </w:r>
      <w:r>
        <w:rPr>
          <w:kern w:val="0"/>
          <w:sz w:val="24"/>
        </w:rPr>
        <w:t>——</w:t>
      </w:r>
      <w:r>
        <w:rPr>
          <w:rFonts w:hint="eastAsia"/>
          <w:kern w:val="0"/>
          <w:sz w:val="24"/>
        </w:rPr>
        <w:t>声源到靠近围护结构某点处的距离，</w:t>
      </w:r>
      <w:r>
        <w:rPr>
          <w:rFonts w:hint="eastAsia"/>
          <w:kern w:val="0"/>
          <w:sz w:val="24"/>
        </w:rPr>
        <w:t>m</w:t>
      </w:r>
      <w:r>
        <w:rPr>
          <w:rFonts w:hint="eastAsia"/>
          <w:kern w:val="0"/>
          <w:sz w:val="24"/>
        </w:rPr>
        <w:t>。</w:t>
      </w:r>
    </w:p>
    <w:p w:rsidR="00EE4502" w:rsidRDefault="00FD45A3">
      <w:pPr>
        <w:widowControl/>
        <w:snapToGrid w:val="0"/>
        <w:spacing w:line="360" w:lineRule="auto"/>
        <w:ind w:firstLineChars="200" w:firstLine="480"/>
        <w:rPr>
          <w:sz w:val="24"/>
        </w:rPr>
      </w:pPr>
      <w:r>
        <w:rPr>
          <w:rFonts w:ascii="宋体" w:hAnsi="宋体" w:hint="eastAsia"/>
          <w:sz w:val="24"/>
        </w:rPr>
        <w:t>②</w:t>
      </w:r>
      <w:r>
        <w:rPr>
          <w:rFonts w:hint="eastAsia"/>
          <w:sz w:val="24"/>
        </w:rPr>
        <w:t>所有室内声源在围护结构处产生的</w:t>
      </w:r>
      <w:r>
        <w:rPr>
          <w:rFonts w:hint="eastAsia"/>
          <w:sz w:val="24"/>
        </w:rPr>
        <w:t>i</w:t>
      </w:r>
      <w:r>
        <w:rPr>
          <w:rFonts w:hint="eastAsia"/>
          <w:sz w:val="24"/>
        </w:rPr>
        <w:t>倍频带加声压级按下式计算。</w:t>
      </w:r>
    </w:p>
    <w:p w:rsidR="00EE4502" w:rsidRDefault="00FD45A3">
      <w:pPr>
        <w:widowControl/>
        <w:snapToGrid w:val="0"/>
        <w:spacing w:line="360" w:lineRule="auto"/>
        <w:jc w:val="center"/>
        <w:rPr>
          <w:sz w:val="24"/>
        </w:rPr>
      </w:pPr>
      <m:oMathPara>
        <m:oMath>
          <m:sSub>
            <m:sSubPr>
              <m:ctrlPr>
                <w:rPr>
                  <w:rFonts w:ascii="Cambria Math" w:hAnsi="Cambria Math"/>
                  <w:sz w:val="24"/>
                </w:rPr>
              </m:ctrlPr>
            </m:sSubPr>
            <m:e>
              <m:r>
                <w:rPr>
                  <w:rFonts w:ascii="Cambria Math" w:hAnsi="Cambria Math"/>
                  <w:sz w:val="24"/>
                </w:rPr>
                <m:t>L</m:t>
              </m:r>
            </m:e>
            <m:sub>
              <m:r>
                <w:rPr>
                  <w:rFonts w:ascii="Cambria Math" w:hAnsi="Cambria Math"/>
                  <w:sz w:val="24"/>
                </w:rPr>
                <m:t>p</m:t>
              </m:r>
              <m:r>
                <w:rPr>
                  <w:rFonts w:ascii="Cambria Math" w:hAnsi="Cambria Math"/>
                  <w:sz w:val="24"/>
                </w:rPr>
                <m:t>1</m:t>
              </m:r>
              <m:r>
                <w:rPr>
                  <w:rFonts w:ascii="Cambria Math" w:hAnsi="Cambria Math"/>
                  <w:sz w:val="24"/>
                </w:rPr>
                <m:t>i</m:t>
              </m:r>
            </m:sub>
          </m:sSub>
          <m:d>
            <m:dPr>
              <m:ctrlPr>
                <w:rPr>
                  <w:rFonts w:ascii="Cambria Math" w:hAnsi="Cambria Math"/>
                  <w:sz w:val="24"/>
                </w:rPr>
              </m:ctrlPr>
            </m:dPr>
            <m:e>
              <m:r>
                <w:rPr>
                  <w:rFonts w:ascii="Cambria Math" w:hAnsi="Cambria Math"/>
                  <w:sz w:val="24"/>
                </w:rPr>
                <m:t>T</m:t>
              </m:r>
            </m:e>
          </m:d>
          <m:r>
            <m:rPr>
              <m:sty m:val="p"/>
            </m:rPr>
            <w:rPr>
              <w:rFonts w:ascii="Cambria Math" w:hAnsi="Cambria Math"/>
              <w:sz w:val="24"/>
            </w:rPr>
            <m:t>=10lg</m:t>
          </m:r>
          <m:d>
            <m:dPr>
              <m:ctrlPr>
                <w:rPr>
                  <w:rFonts w:ascii="Cambria Math" w:hAnsi="Cambria Math"/>
                  <w:sz w:val="24"/>
                </w:rPr>
              </m:ctrlPr>
            </m:dPr>
            <m:e>
              <m:nary>
                <m:naryPr>
                  <m:chr m:val="∑"/>
                  <m:limLoc m:val="undOvr"/>
                  <m:ctrlPr>
                    <w:rPr>
                      <w:rFonts w:ascii="Cambria Math" w:hAnsi="Cambria Math"/>
                      <w:i/>
                      <w:sz w:val="24"/>
                    </w:rPr>
                  </m:ctrlPr>
                </m:naryPr>
                <m:sub>
                  <m:r>
                    <w:rPr>
                      <w:rFonts w:ascii="Cambria Math" w:hAnsi="Cambria Math"/>
                      <w:sz w:val="24"/>
                    </w:rPr>
                    <m:t>j</m:t>
                  </m:r>
                  <m:r>
                    <w:rPr>
                      <w:rFonts w:ascii="Cambria Math" w:hAnsi="Cambria Math"/>
                      <w:sz w:val="24"/>
                    </w:rPr>
                    <m:t>=1</m:t>
                  </m:r>
                </m:sub>
                <m:sup>
                  <m:r>
                    <w:rPr>
                      <w:rFonts w:ascii="Cambria Math" w:hAnsi="Cambria Math"/>
                      <w:sz w:val="24"/>
                    </w:rPr>
                    <m:t>N</m:t>
                  </m:r>
                </m:sup>
                <m:e>
                  <m:sSup>
                    <m:sSupPr>
                      <m:ctrlPr>
                        <w:rPr>
                          <w:rFonts w:ascii="Cambria Math" w:hAnsi="Cambria Math"/>
                          <w:i/>
                          <w:sz w:val="24"/>
                        </w:rPr>
                      </m:ctrlPr>
                    </m:sSupPr>
                    <m:e>
                      <m:r>
                        <w:rPr>
                          <w:rFonts w:ascii="Cambria Math" w:hAnsi="Cambria Math"/>
                          <w:sz w:val="24"/>
                        </w:rPr>
                        <m:t>10</m:t>
                      </m:r>
                    </m:e>
                    <m:sup>
                      <m:sSub>
                        <m:sSubPr>
                          <m:ctrlPr>
                            <w:rPr>
                              <w:rFonts w:ascii="Cambria Math" w:hAnsi="Cambria Math"/>
                              <w:i/>
                              <w:sz w:val="24"/>
                            </w:rPr>
                          </m:ctrlPr>
                        </m:sSubPr>
                        <m:e>
                          <m:r>
                            <w:rPr>
                              <w:rFonts w:ascii="Cambria Math" w:hAnsi="Cambria Math"/>
                              <w:sz w:val="24"/>
                            </w:rPr>
                            <m:t>0.1</m:t>
                          </m:r>
                          <m:r>
                            <w:rPr>
                              <w:rFonts w:ascii="Cambria Math" w:hAnsi="Cambria Math"/>
                              <w:sz w:val="24"/>
                            </w:rPr>
                            <m:t>L</m:t>
                          </m:r>
                        </m:e>
                        <m:sub>
                          <m:r>
                            <w:rPr>
                              <w:rFonts w:ascii="Cambria Math" w:hAnsi="Cambria Math"/>
                              <w:sz w:val="24"/>
                            </w:rPr>
                            <m:t>p</m:t>
                          </m:r>
                          <m:r>
                            <w:rPr>
                              <w:rFonts w:ascii="Cambria Math" w:hAnsi="Cambria Math"/>
                              <w:sz w:val="24"/>
                            </w:rPr>
                            <m:t>1</m:t>
                          </m:r>
                          <m:r>
                            <w:rPr>
                              <w:rFonts w:ascii="Cambria Math" w:hAnsi="Cambria Math"/>
                              <w:sz w:val="24"/>
                            </w:rPr>
                            <m:t>ij</m:t>
                          </m:r>
                        </m:sub>
                      </m:sSub>
                    </m:sup>
                  </m:sSup>
                </m:e>
              </m:nary>
            </m:e>
          </m:d>
        </m:oMath>
      </m:oMathPara>
    </w:p>
    <w:p w:rsidR="00EE4502" w:rsidRDefault="00FD45A3">
      <w:pPr>
        <w:widowControl/>
        <w:spacing w:line="360" w:lineRule="auto"/>
        <w:ind w:firstLineChars="200" w:firstLine="480"/>
        <w:rPr>
          <w:kern w:val="0"/>
          <w:sz w:val="24"/>
        </w:rPr>
      </w:pPr>
      <w:r>
        <w:rPr>
          <w:rFonts w:hint="eastAsia"/>
          <w:sz w:val="24"/>
        </w:rPr>
        <w:t>式中：</w:t>
      </w:r>
      <m:oMath>
        <m:sSub>
          <m:sSubPr>
            <m:ctrlPr>
              <w:rPr>
                <w:rFonts w:ascii="Cambria Math" w:hAnsi="Cambria Math"/>
                <w:sz w:val="24"/>
              </w:rPr>
            </m:ctrlPr>
          </m:sSubPr>
          <m:e>
            <m:r>
              <w:rPr>
                <w:rFonts w:ascii="Cambria Math" w:hAnsi="Cambria Math"/>
                <w:sz w:val="24"/>
              </w:rPr>
              <m:t>L</m:t>
            </m:r>
          </m:e>
          <m:sub>
            <m:r>
              <w:rPr>
                <w:rFonts w:ascii="Cambria Math" w:hAnsi="Cambria Math"/>
                <w:sz w:val="24"/>
              </w:rPr>
              <m:t>p</m:t>
            </m:r>
            <m:r>
              <w:rPr>
                <w:rFonts w:ascii="Cambria Math" w:hAnsi="Cambria Math"/>
                <w:sz w:val="24"/>
              </w:rPr>
              <m:t>1</m:t>
            </m:r>
            <m:r>
              <w:rPr>
                <w:rFonts w:ascii="Cambria Math" w:hAnsi="Cambria Math"/>
                <w:sz w:val="24"/>
              </w:rPr>
              <m:t>i</m:t>
            </m:r>
          </m:sub>
        </m:sSub>
        <m:d>
          <m:dPr>
            <m:ctrlPr>
              <w:rPr>
                <w:rFonts w:ascii="Cambria Math" w:hAnsi="Cambria Math"/>
                <w:sz w:val="24"/>
              </w:rPr>
            </m:ctrlPr>
          </m:dPr>
          <m:e>
            <m:r>
              <w:rPr>
                <w:rFonts w:ascii="Cambria Math" w:hAnsi="Cambria Math"/>
                <w:sz w:val="24"/>
              </w:rPr>
              <m:t>T</m:t>
            </m:r>
          </m:e>
        </m:d>
      </m:oMath>
      <w:r>
        <w:rPr>
          <w:kern w:val="0"/>
          <w:sz w:val="24"/>
        </w:rPr>
        <w:t>——</w:t>
      </w:r>
      <w:r>
        <w:rPr>
          <w:rFonts w:hint="eastAsia"/>
          <w:kern w:val="0"/>
          <w:sz w:val="24"/>
        </w:rPr>
        <w:t>靠近围护结构处室内</w:t>
      </w:r>
      <w:r>
        <w:rPr>
          <w:rFonts w:hint="eastAsia"/>
          <w:kern w:val="0"/>
          <w:sz w:val="24"/>
        </w:rPr>
        <w:t xml:space="preserve">N </w:t>
      </w:r>
      <w:r>
        <w:rPr>
          <w:rFonts w:hint="eastAsia"/>
          <w:kern w:val="0"/>
          <w:sz w:val="24"/>
        </w:rPr>
        <w:t>个声源</w:t>
      </w:r>
      <w:r>
        <w:rPr>
          <w:rFonts w:hint="eastAsia"/>
          <w:kern w:val="0"/>
          <w:sz w:val="24"/>
        </w:rPr>
        <w:t xml:space="preserve">i </w:t>
      </w:r>
      <w:r>
        <w:rPr>
          <w:rFonts w:hint="eastAsia"/>
          <w:kern w:val="0"/>
          <w:sz w:val="24"/>
        </w:rPr>
        <w:t>倍频带的叠加声压级，</w:t>
      </w:r>
      <w:r>
        <w:rPr>
          <w:rFonts w:hint="eastAsia"/>
          <w:kern w:val="0"/>
          <w:sz w:val="24"/>
        </w:rPr>
        <w:t>dB</w:t>
      </w:r>
      <w:r>
        <w:rPr>
          <w:rFonts w:hint="eastAsia"/>
          <w:kern w:val="0"/>
          <w:sz w:val="24"/>
        </w:rPr>
        <w:t>；</w:t>
      </w:r>
    </w:p>
    <w:p w:rsidR="00EE4502" w:rsidRDefault="00FD45A3">
      <w:pPr>
        <w:widowControl/>
        <w:spacing w:line="360" w:lineRule="auto"/>
        <w:ind w:firstLineChars="200" w:firstLine="480"/>
        <w:rPr>
          <w:kern w:val="0"/>
          <w:sz w:val="24"/>
        </w:rPr>
      </w:pPr>
      <w:r>
        <w:rPr>
          <w:rFonts w:hint="eastAsia"/>
          <w:sz w:val="24"/>
        </w:rPr>
        <w:t xml:space="preserve"> </w:t>
      </w:r>
      <w:r>
        <w:rPr>
          <w:sz w:val="24"/>
        </w:rPr>
        <w:t xml:space="preserve">     </w:t>
      </w:r>
      <m:oMath>
        <m:sSub>
          <m:sSubPr>
            <m:ctrlPr>
              <w:rPr>
                <w:rFonts w:ascii="Cambria Math" w:hAnsi="Cambria Math"/>
                <w:i/>
                <w:sz w:val="24"/>
              </w:rPr>
            </m:ctrlPr>
          </m:sSubPr>
          <m:e>
            <m:r>
              <w:rPr>
                <w:rFonts w:ascii="Cambria Math" w:hAnsi="Cambria Math"/>
                <w:sz w:val="24"/>
              </w:rPr>
              <m:t>L</m:t>
            </m:r>
          </m:e>
          <m:sub>
            <m:r>
              <w:rPr>
                <w:rFonts w:ascii="Cambria Math" w:hAnsi="Cambria Math"/>
                <w:sz w:val="24"/>
              </w:rPr>
              <m:t>p</m:t>
            </m:r>
            <m:r>
              <w:rPr>
                <w:rFonts w:ascii="Cambria Math" w:hAnsi="Cambria Math"/>
                <w:sz w:val="24"/>
              </w:rPr>
              <m:t>1</m:t>
            </m:r>
            <m:r>
              <w:rPr>
                <w:rFonts w:ascii="Cambria Math" w:hAnsi="Cambria Math"/>
                <w:sz w:val="24"/>
              </w:rPr>
              <m:t>ij</m:t>
            </m:r>
          </m:sub>
        </m:sSub>
      </m:oMath>
      <w:r>
        <w:rPr>
          <w:kern w:val="0"/>
          <w:sz w:val="24"/>
        </w:rPr>
        <w:t>——</w:t>
      </w:r>
      <w:r>
        <w:rPr>
          <w:rFonts w:hint="eastAsia"/>
          <w:kern w:val="0"/>
          <w:sz w:val="24"/>
        </w:rPr>
        <w:t>室内</w:t>
      </w:r>
      <w:r>
        <w:rPr>
          <w:rFonts w:hint="eastAsia"/>
          <w:kern w:val="0"/>
          <w:sz w:val="24"/>
        </w:rPr>
        <w:t xml:space="preserve">j </w:t>
      </w:r>
      <w:r>
        <w:rPr>
          <w:rFonts w:hint="eastAsia"/>
          <w:kern w:val="0"/>
          <w:sz w:val="24"/>
        </w:rPr>
        <w:t>声源</w:t>
      </w:r>
      <w:r>
        <w:rPr>
          <w:rFonts w:hint="eastAsia"/>
          <w:kern w:val="0"/>
          <w:sz w:val="24"/>
        </w:rPr>
        <w:t xml:space="preserve">i </w:t>
      </w:r>
      <w:r>
        <w:rPr>
          <w:rFonts w:hint="eastAsia"/>
          <w:kern w:val="0"/>
          <w:sz w:val="24"/>
        </w:rPr>
        <w:t>倍频带的声压级，</w:t>
      </w:r>
      <w:r>
        <w:rPr>
          <w:rFonts w:hint="eastAsia"/>
          <w:kern w:val="0"/>
          <w:sz w:val="24"/>
        </w:rPr>
        <w:t>dB</w:t>
      </w:r>
      <w:r>
        <w:rPr>
          <w:rFonts w:hint="eastAsia"/>
          <w:kern w:val="0"/>
          <w:sz w:val="24"/>
        </w:rPr>
        <w:t>；</w:t>
      </w:r>
    </w:p>
    <w:p w:rsidR="00EE4502" w:rsidRDefault="00FD45A3">
      <w:pPr>
        <w:widowControl/>
        <w:spacing w:line="360" w:lineRule="auto"/>
        <w:ind w:firstLineChars="200" w:firstLine="480"/>
        <w:rPr>
          <w:kern w:val="0"/>
          <w:sz w:val="24"/>
        </w:rPr>
      </w:pPr>
      <w:r>
        <w:rPr>
          <w:rFonts w:hint="eastAsia"/>
          <w:sz w:val="24"/>
        </w:rPr>
        <w:t xml:space="preserve"> </w:t>
      </w:r>
      <w:r>
        <w:rPr>
          <w:sz w:val="24"/>
        </w:rPr>
        <w:t xml:space="preserve">     N</w:t>
      </w:r>
      <w:r>
        <w:rPr>
          <w:kern w:val="0"/>
          <w:sz w:val="24"/>
        </w:rPr>
        <w:t>——</w:t>
      </w:r>
      <w:r>
        <w:rPr>
          <w:rFonts w:hint="eastAsia"/>
          <w:kern w:val="0"/>
          <w:sz w:val="24"/>
        </w:rPr>
        <w:t>室内声源总数。</w:t>
      </w:r>
    </w:p>
    <w:p w:rsidR="00EE4502" w:rsidRDefault="00FD45A3">
      <w:pPr>
        <w:widowControl/>
        <w:spacing w:line="360" w:lineRule="auto"/>
        <w:ind w:firstLineChars="200" w:firstLine="480"/>
        <w:rPr>
          <w:sz w:val="24"/>
        </w:rPr>
      </w:pPr>
      <w:r>
        <w:rPr>
          <w:rFonts w:ascii="宋体" w:hAnsi="宋体" w:hint="eastAsia"/>
          <w:sz w:val="24"/>
        </w:rPr>
        <w:t>③</w:t>
      </w:r>
      <w:r>
        <w:rPr>
          <w:rFonts w:hint="eastAsia"/>
          <w:sz w:val="24"/>
        </w:rPr>
        <w:t>靠近室外围护结构处的声压级按下式计算。</w:t>
      </w:r>
    </w:p>
    <w:p w:rsidR="00EE4502" w:rsidRDefault="00FD45A3">
      <w:pPr>
        <w:widowControl/>
        <w:spacing w:line="360" w:lineRule="auto"/>
        <w:jc w:val="center"/>
        <w:rPr>
          <w:sz w:val="24"/>
        </w:rPr>
      </w:pPr>
      <m:oMathPara>
        <m:oMath>
          <m:sSub>
            <m:sSubPr>
              <m:ctrlPr>
                <w:rPr>
                  <w:rFonts w:ascii="Cambria Math" w:hAnsi="Cambria Math"/>
                  <w:sz w:val="24"/>
                </w:rPr>
              </m:ctrlPr>
            </m:sSubPr>
            <m:e>
              <m:r>
                <w:rPr>
                  <w:rFonts w:ascii="Cambria Math" w:hAnsi="Cambria Math"/>
                  <w:sz w:val="24"/>
                </w:rPr>
                <m:t>L</m:t>
              </m:r>
            </m:e>
            <m:sub>
              <m:r>
                <w:rPr>
                  <w:rFonts w:ascii="Cambria Math" w:hAnsi="Cambria Math"/>
                  <w:sz w:val="24"/>
                </w:rPr>
                <m:t>p</m:t>
              </m:r>
              <m:r>
                <w:rPr>
                  <w:rFonts w:ascii="Cambria Math" w:hAnsi="Cambria Math"/>
                  <w:sz w:val="24"/>
                </w:rPr>
                <m:t>2</m:t>
              </m:r>
              <m:r>
                <w:rPr>
                  <w:rFonts w:ascii="Cambria Math" w:hAnsi="Cambria Math"/>
                  <w:sz w:val="24"/>
                </w:rPr>
                <m:t>i</m:t>
              </m:r>
            </m:sub>
          </m:sSub>
          <m:d>
            <m:dPr>
              <m:ctrlPr>
                <w:rPr>
                  <w:rFonts w:ascii="Cambria Math" w:hAnsi="Cambria Math"/>
                  <w:sz w:val="24"/>
                </w:rPr>
              </m:ctrlPr>
            </m:dPr>
            <m:e>
              <m:r>
                <w:rPr>
                  <w:rFonts w:ascii="Cambria Math" w:hAnsi="Cambria Math"/>
                  <w:sz w:val="24"/>
                </w:rPr>
                <m:t>T</m:t>
              </m:r>
            </m:e>
          </m:d>
          <m:r>
            <m:rPr>
              <m:sty m:val="p"/>
            </m:rPr>
            <w:rPr>
              <w:rFonts w:ascii="Cambria Math" w:hAnsi="Cambria Math"/>
              <w:sz w:val="24"/>
            </w:rPr>
            <m:t>=</m:t>
          </m:r>
          <m:sSub>
            <m:sSubPr>
              <m:ctrlPr>
                <w:rPr>
                  <w:rFonts w:ascii="Cambria Math" w:hAnsi="Cambria Math"/>
                  <w:sz w:val="24"/>
                </w:rPr>
              </m:ctrlPr>
            </m:sSubPr>
            <m:e>
              <m:r>
                <w:rPr>
                  <w:rFonts w:ascii="Cambria Math" w:hAnsi="Cambria Math"/>
                  <w:sz w:val="24"/>
                </w:rPr>
                <m:t>L</m:t>
              </m:r>
            </m:e>
            <m:sub>
              <m:r>
                <w:rPr>
                  <w:rFonts w:ascii="Cambria Math" w:hAnsi="Cambria Math"/>
                  <w:sz w:val="24"/>
                </w:rPr>
                <m:t>p</m:t>
              </m:r>
              <m:r>
                <w:rPr>
                  <w:rFonts w:ascii="Cambria Math" w:hAnsi="Cambria Math"/>
                  <w:sz w:val="24"/>
                </w:rPr>
                <m:t>1</m:t>
              </m:r>
              <m:r>
                <w:rPr>
                  <w:rFonts w:ascii="Cambria Math" w:hAnsi="Cambria Math"/>
                  <w:sz w:val="24"/>
                </w:rPr>
                <m:t>i</m:t>
              </m:r>
            </m:sub>
          </m:sSub>
          <m:d>
            <m:dPr>
              <m:ctrlPr>
                <w:rPr>
                  <w:rFonts w:ascii="Cambria Math" w:hAnsi="Cambria Math"/>
                  <w:i/>
                  <w:sz w:val="24"/>
                </w:rPr>
              </m:ctrlPr>
            </m:dPr>
            <m:e>
              <m:r>
                <w:rPr>
                  <w:rFonts w:ascii="Cambria Math" w:hAnsi="Cambria Math"/>
                  <w:sz w:val="24"/>
                </w:rPr>
                <m:t>T</m:t>
              </m:r>
            </m:e>
          </m:d>
          <m:r>
            <w:rPr>
              <w:rFonts w:ascii="Cambria Math" w:hAnsi="Cambria Math"/>
              <w:sz w:val="24"/>
            </w:rPr>
            <m:t>-</m:t>
          </m:r>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TL</m:t>
                  </m:r>
                </m:e>
                <m:sub>
                  <m:r>
                    <w:rPr>
                      <w:rFonts w:ascii="Cambria Math" w:hAnsi="Cambria Math"/>
                      <w:sz w:val="24"/>
                    </w:rPr>
                    <m:t>i</m:t>
                  </m:r>
                </m:sub>
              </m:sSub>
              <m:r>
                <w:rPr>
                  <w:rFonts w:ascii="Cambria Math" w:hAnsi="Cambria Math"/>
                  <w:sz w:val="24"/>
                </w:rPr>
                <m:t>+6</m:t>
              </m:r>
            </m:e>
          </m:d>
        </m:oMath>
      </m:oMathPara>
    </w:p>
    <w:p w:rsidR="00EE4502" w:rsidRDefault="00FD45A3">
      <w:pPr>
        <w:widowControl/>
        <w:spacing w:line="360" w:lineRule="auto"/>
        <w:ind w:firstLineChars="200" w:firstLine="480"/>
        <w:rPr>
          <w:kern w:val="0"/>
          <w:sz w:val="24"/>
        </w:rPr>
      </w:pPr>
      <w:r>
        <w:rPr>
          <w:rFonts w:hint="eastAsia"/>
          <w:sz w:val="24"/>
        </w:rPr>
        <w:t>式中：</w:t>
      </w:r>
      <m:oMath>
        <m:sSub>
          <m:sSubPr>
            <m:ctrlPr>
              <w:rPr>
                <w:rFonts w:ascii="Cambria Math" w:hAnsi="Cambria Math"/>
                <w:sz w:val="24"/>
              </w:rPr>
            </m:ctrlPr>
          </m:sSubPr>
          <m:e>
            <m:r>
              <w:rPr>
                <w:rFonts w:ascii="Cambria Math" w:hAnsi="Cambria Math"/>
                <w:sz w:val="24"/>
              </w:rPr>
              <m:t>L</m:t>
            </m:r>
          </m:e>
          <m:sub>
            <m:r>
              <w:rPr>
                <w:rFonts w:ascii="Cambria Math" w:hAnsi="Cambria Math"/>
                <w:sz w:val="24"/>
              </w:rPr>
              <m:t>p</m:t>
            </m:r>
            <m:r>
              <w:rPr>
                <w:rFonts w:ascii="Cambria Math" w:hAnsi="Cambria Math"/>
                <w:sz w:val="24"/>
              </w:rPr>
              <m:t>2</m:t>
            </m:r>
            <m:r>
              <w:rPr>
                <w:rFonts w:ascii="Cambria Math" w:hAnsi="Cambria Math"/>
                <w:sz w:val="24"/>
              </w:rPr>
              <m:t>i</m:t>
            </m:r>
          </m:sub>
        </m:sSub>
        <m:d>
          <m:dPr>
            <m:ctrlPr>
              <w:rPr>
                <w:rFonts w:ascii="Cambria Math" w:hAnsi="Cambria Math"/>
                <w:sz w:val="24"/>
              </w:rPr>
            </m:ctrlPr>
          </m:dPr>
          <m:e>
            <m:r>
              <w:rPr>
                <w:rFonts w:ascii="Cambria Math" w:hAnsi="Cambria Math"/>
                <w:sz w:val="24"/>
              </w:rPr>
              <m:t>T</m:t>
            </m:r>
          </m:e>
        </m:d>
      </m:oMath>
      <w:r>
        <w:rPr>
          <w:kern w:val="0"/>
          <w:sz w:val="24"/>
        </w:rPr>
        <w:t>——</w:t>
      </w:r>
      <w:r>
        <w:rPr>
          <w:rFonts w:hint="eastAsia"/>
          <w:kern w:val="0"/>
          <w:sz w:val="24"/>
        </w:rPr>
        <w:t>靠近围护结构处室外</w:t>
      </w:r>
      <w:r>
        <w:rPr>
          <w:rFonts w:hint="eastAsia"/>
          <w:kern w:val="0"/>
          <w:sz w:val="24"/>
        </w:rPr>
        <w:t xml:space="preserve">N </w:t>
      </w:r>
      <w:r>
        <w:rPr>
          <w:rFonts w:hint="eastAsia"/>
          <w:kern w:val="0"/>
          <w:sz w:val="24"/>
        </w:rPr>
        <w:t>个声源</w:t>
      </w:r>
      <w:r>
        <w:rPr>
          <w:rFonts w:hint="eastAsia"/>
          <w:kern w:val="0"/>
          <w:sz w:val="24"/>
        </w:rPr>
        <w:t>i</w:t>
      </w:r>
      <w:r>
        <w:rPr>
          <w:rFonts w:hint="eastAsia"/>
          <w:kern w:val="0"/>
          <w:sz w:val="24"/>
        </w:rPr>
        <w:t>倍频带的叠加声压级，</w:t>
      </w:r>
      <w:r>
        <w:rPr>
          <w:rFonts w:hint="eastAsia"/>
          <w:kern w:val="0"/>
          <w:sz w:val="24"/>
        </w:rPr>
        <w:t>dB</w:t>
      </w:r>
      <w:r>
        <w:rPr>
          <w:rFonts w:hint="eastAsia"/>
          <w:kern w:val="0"/>
          <w:sz w:val="24"/>
        </w:rPr>
        <w:t>；</w:t>
      </w:r>
    </w:p>
    <w:p w:rsidR="00EE4502" w:rsidRDefault="00FD45A3">
      <w:pPr>
        <w:widowControl/>
        <w:spacing w:line="360" w:lineRule="auto"/>
        <w:ind w:firstLineChars="200" w:firstLine="480"/>
        <w:rPr>
          <w:kern w:val="0"/>
          <w:sz w:val="24"/>
        </w:rPr>
      </w:pPr>
      <w:r>
        <w:rPr>
          <w:rFonts w:hint="eastAsia"/>
          <w:sz w:val="24"/>
        </w:rPr>
        <w:t xml:space="preserve"> </w:t>
      </w:r>
      <w:r>
        <w:rPr>
          <w:sz w:val="24"/>
        </w:rPr>
        <w:t xml:space="preserve">     </w:t>
      </w:r>
      <m:oMath>
        <m:sSub>
          <m:sSubPr>
            <m:ctrlPr>
              <w:rPr>
                <w:rFonts w:ascii="Cambria Math" w:hAnsi="Cambria Math"/>
                <w:sz w:val="24"/>
              </w:rPr>
            </m:ctrlPr>
          </m:sSubPr>
          <m:e>
            <m:r>
              <w:rPr>
                <w:rFonts w:ascii="Cambria Math" w:hAnsi="Cambria Math"/>
                <w:sz w:val="24"/>
              </w:rPr>
              <m:t>L</m:t>
            </m:r>
          </m:e>
          <m:sub>
            <m:r>
              <w:rPr>
                <w:rFonts w:ascii="Cambria Math" w:hAnsi="Cambria Math"/>
                <w:sz w:val="24"/>
              </w:rPr>
              <m:t>p</m:t>
            </m:r>
            <m:r>
              <w:rPr>
                <w:rFonts w:ascii="Cambria Math" w:hAnsi="Cambria Math"/>
                <w:sz w:val="24"/>
              </w:rPr>
              <m:t>1</m:t>
            </m:r>
            <m:r>
              <w:rPr>
                <w:rFonts w:ascii="Cambria Math" w:hAnsi="Cambria Math"/>
                <w:sz w:val="24"/>
              </w:rPr>
              <m:t>i</m:t>
            </m:r>
          </m:sub>
        </m:sSub>
        <m:d>
          <m:dPr>
            <m:ctrlPr>
              <w:rPr>
                <w:rFonts w:ascii="Cambria Math" w:hAnsi="Cambria Math"/>
                <w:i/>
                <w:sz w:val="24"/>
              </w:rPr>
            </m:ctrlPr>
          </m:dPr>
          <m:e>
            <m:r>
              <w:rPr>
                <w:rFonts w:ascii="Cambria Math" w:hAnsi="Cambria Math"/>
                <w:sz w:val="24"/>
              </w:rPr>
              <m:t>T</m:t>
            </m:r>
          </m:e>
        </m:d>
      </m:oMath>
      <w:r>
        <w:rPr>
          <w:kern w:val="0"/>
          <w:sz w:val="24"/>
        </w:rPr>
        <w:t>——</w:t>
      </w:r>
      <w:r>
        <w:rPr>
          <w:rFonts w:hint="eastAsia"/>
          <w:kern w:val="0"/>
          <w:sz w:val="24"/>
        </w:rPr>
        <w:t>靠近围护结构处室内</w:t>
      </w:r>
      <w:r>
        <w:rPr>
          <w:rFonts w:hint="eastAsia"/>
          <w:kern w:val="0"/>
          <w:sz w:val="24"/>
        </w:rPr>
        <w:t xml:space="preserve">N </w:t>
      </w:r>
      <w:r>
        <w:rPr>
          <w:rFonts w:hint="eastAsia"/>
          <w:kern w:val="0"/>
          <w:sz w:val="24"/>
        </w:rPr>
        <w:t>个声源</w:t>
      </w:r>
      <w:r>
        <w:rPr>
          <w:rFonts w:hint="eastAsia"/>
          <w:kern w:val="0"/>
          <w:sz w:val="24"/>
        </w:rPr>
        <w:t xml:space="preserve">i </w:t>
      </w:r>
      <w:r>
        <w:rPr>
          <w:rFonts w:hint="eastAsia"/>
          <w:kern w:val="0"/>
          <w:sz w:val="24"/>
        </w:rPr>
        <w:t>倍频带的叠加声压级，</w:t>
      </w:r>
      <w:r>
        <w:rPr>
          <w:rFonts w:hint="eastAsia"/>
          <w:kern w:val="0"/>
          <w:sz w:val="24"/>
        </w:rPr>
        <w:t>dB</w:t>
      </w:r>
      <w:r>
        <w:rPr>
          <w:rFonts w:hint="eastAsia"/>
          <w:kern w:val="0"/>
          <w:sz w:val="24"/>
        </w:rPr>
        <w:t>；</w:t>
      </w:r>
    </w:p>
    <w:p w:rsidR="00EE4502" w:rsidRDefault="00FD45A3">
      <w:pPr>
        <w:widowControl/>
        <w:spacing w:line="360" w:lineRule="auto"/>
        <w:ind w:firstLineChars="200" w:firstLine="480"/>
        <w:rPr>
          <w:kern w:val="0"/>
          <w:sz w:val="24"/>
        </w:rPr>
      </w:pPr>
      <w:r>
        <w:rPr>
          <w:rFonts w:hint="eastAsia"/>
          <w:sz w:val="24"/>
        </w:rPr>
        <w:t xml:space="preserve"> </w:t>
      </w:r>
      <w:r>
        <w:rPr>
          <w:sz w:val="24"/>
        </w:rPr>
        <w:t xml:space="preserve">     </w:t>
      </w:r>
      <m:oMath>
        <m:sSub>
          <m:sSubPr>
            <m:ctrlPr>
              <w:rPr>
                <w:rFonts w:ascii="Cambria Math" w:hAnsi="Cambria Math"/>
                <w:i/>
                <w:sz w:val="24"/>
              </w:rPr>
            </m:ctrlPr>
          </m:sSubPr>
          <m:e>
            <m:r>
              <w:rPr>
                <w:rFonts w:ascii="Cambria Math" w:hAnsi="Cambria Math"/>
                <w:sz w:val="24"/>
              </w:rPr>
              <m:t>TL</m:t>
            </m:r>
          </m:e>
          <m:sub>
            <m:r>
              <w:rPr>
                <w:rFonts w:ascii="Cambria Math" w:hAnsi="Cambria Math"/>
                <w:sz w:val="24"/>
              </w:rPr>
              <m:t>i</m:t>
            </m:r>
          </m:sub>
        </m:sSub>
      </m:oMath>
      <w:r>
        <w:rPr>
          <w:kern w:val="0"/>
          <w:sz w:val="24"/>
        </w:rPr>
        <w:t>——</w:t>
      </w:r>
      <w:r>
        <w:rPr>
          <w:rFonts w:hint="eastAsia"/>
          <w:kern w:val="0"/>
          <w:sz w:val="24"/>
        </w:rPr>
        <w:t>围护结构</w:t>
      </w:r>
      <w:r>
        <w:rPr>
          <w:rFonts w:hint="eastAsia"/>
          <w:kern w:val="0"/>
          <w:sz w:val="24"/>
        </w:rPr>
        <w:t xml:space="preserve">i </w:t>
      </w:r>
      <w:r>
        <w:rPr>
          <w:rFonts w:hint="eastAsia"/>
          <w:kern w:val="0"/>
          <w:sz w:val="24"/>
        </w:rPr>
        <w:t>倍频带的隔声量，</w:t>
      </w:r>
      <w:r>
        <w:rPr>
          <w:rFonts w:hint="eastAsia"/>
          <w:kern w:val="0"/>
          <w:sz w:val="24"/>
        </w:rPr>
        <w:t>dB</w:t>
      </w:r>
      <w:r>
        <w:rPr>
          <w:rFonts w:hint="eastAsia"/>
          <w:kern w:val="0"/>
          <w:sz w:val="24"/>
        </w:rPr>
        <w:t>。</w:t>
      </w:r>
    </w:p>
    <w:p w:rsidR="00EE4502" w:rsidRDefault="00FD45A3">
      <w:pPr>
        <w:widowControl/>
        <w:spacing w:line="360" w:lineRule="auto"/>
        <w:ind w:firstLineChars="200" w:firstLine="480"/>
        <w:rPr>
          <w:sz w:val="24"/>
        </w:rPr>
      </w:pPr>
      <w:r>
        <w:rPr>
          <w:rFonts w:ascii="宋体" w:hAnsi="宋体" w:hint="eastAsia"/>
          <w:sz w:val="24"/>
        </w:rPr>
        <w:t>③</w:t>
      </w:r>
      <w:r>
        <w:rPr>
          <w:rFonts w:hint="eastAsia"/>
          <w:sz w:val="24"/>
        </w:rPr>
        <w:t>将室外声源的声压级和透过面积换算成等效的室外</w:t>
      </w:r>
      <w:r>
        <w:rPr>
          <w:rFonts w:hint="eastAsia"/>
          <w:sz w:val="24"/>
        </w:rPr>
        <w:t>声源</w:t>
      </w:r>
      <w:r>
        <w:rPr>
          <w:rFonts w:hint="eastAsia"/>
          <w:sz w:val="24"/>
        </w:rPr>
        <w:t>，计算</w:t>
      </w:r>
      <w:r>
        <w:rPr>
          <w:rFonts w:hint="eastAsia"/>
          <w:sz w:val="24"/>
        </w:rPr>
        <w:t>出</w:t>
      </w:r>
      <w:r>
        <w:rPr>
          <w:rFonts w:hint="eastAsia"/>
          <w:sz w:val="24"/>
        </w:rPr>
        <w:t>中心位置位于透声面积（</w:t>
      </w:r>
      <w:r>
        <w:rPr>
          <w:rFonts w:hint="eastAsia"/>
          <w:sz w:val="24"/>
        </w:rPr>
        <w:t>S</w:t>
      </w:r>
      <w:r>
        <w:rPr>
          <w:rFonts w:hint="eastAsia"/>
          <w:sz w:val="24"/>
        </w:rPr>
        <w:t>）处的等效</w:t>
      </w:r>
      <w:r>
        <w:rPr>
          <w:rFonts w:hint="eastAsia"/>
          <w:sz w:val="24"/>
        </w:rPr>
        <w:t>声源</w:t>
      </w:r>
      <w:r>
        <w:rPr>
          <w:rFonts w:hint="eastAsia"/>
          <w:sz w:val="24"/>
        </w:rPr>
        <w:t>的倍频带声功率级，按下式计算。</w:t>
      </w:r>
    </w:p>
    <w:p w:rsidR="00EE4502" w:rsidRDefault="00FD45A3">
      <w:pPr>
        <w:widowControl/>
        <w:spacing w:line="360" w:lineRule="auto"/>
        <w:jc w:val="center"/>
        <w:rPr>
          <w:sz w:val="24"/>
        </w:rPr>
      </w:pPr>
      <m:oMathPara>
        <m:oMath>
          <m:sSub>
            <m:sSubPr>
              <m:ctrlPr>
                <w:rPr>
                  <w:rFonts w:ascii="Cambria Math" w:hAnsi="Cambria Math"/>
                  <w:sz w:val="24"/>
                </w:rPr>
              </m:ctrlPr>
            </m:sSubPr>
            <m:e>
              <m:r>
                <w:rPr>
                  <w:rFonts w:ascii="Cambria Math" w:hAnsi="Cambria Math"/>
                  <w:sz w:val="24"/>
                </w:rPr>
                <m:t>L</m:t>
              </m:r>
            </m:e>
            <m:sub>
              <m:r>
                <w:rPr>
                  <w:rFonts w:ascii="Cambria Math" w:hAnsi="Cambria Math"/>
                  <w:sz w:val="24"/>
                </w:rPr>
                <m:t>w</m:t>
              </m:r>
            </m:sub>
          </m:sSub>
          <m:r>
            <m:rPr>
              <m:sty m:val="p"/>
            </m:rPr>
            <w:rPr>
              <w:rFonts w:ascii="Cambria Math" w:hAnsi="Cambria Math"/>
              <w:sz w:val="24"/>
            </w:rPr>
            <m:t>=</m:t>
          </m:r>
          <m:sSub>
            <m:sSubPr>
              <m:ctrlPr>
                <w:rPr>
                  <w:rFonts w:ascii="Cambria Math" w:hAnsi="Cambria Math"/>
                  <w:sz w:val="24"/>
                </w:rPr>
              </m:ctrlPr>
            </m:sSubPr>
            <m:e>
              <m:r>
                <w:rPr>
                  <w:rFonts w:ascii="Cambria Math" w:hAnsi="Cambria Math"/>
                  <w:sz w:val="24"/>
                </w:rPr>
                <m:t>L</m:t>
              </m:r>
            </m:e>
            <m:sub>
              <m:r>
                <w:rPr>
                  <w:rFonts w:ascii="Cambria Math" w:hAnsi="Cambria Math"/>
                  <w:sz w:val="24"/>
                </w:rPr>
                <m:t>p</m:t>
              </m:r>
              <m:r>
                <w:rPr>
                  <w:rFonts w:ascii="Cambria Math" w:hAnsi="Cambria Math"/>
                  <w:sz w:val="24"/>
                </w:rPr>
                <m:t>2</m:t>
              </m:r>
            </m:sub>
          </m:sSub>
          <m:d>
            <m:dPr>
              <m:ctrlPr>
                <w:rPr>
                  <w:rFonts w:ascii="Cambria Math" w:hAnsi="Cambria Math"/>
                  <w:i/>
                  <w:sz w:val="24"/>
                </w:rPr>
              </m:ctrlPr>
            </m:dPr>
            <m:e>
              <m:r>
                <w:rPr>
                  <w:rFonts w:ascii="Cambria Math" w:hAnsi="Cambria Math"/>
                  <w:sz w:val="24"/>
                </w:rPr>
                <m:t>T</m:t>
              </m:r>
            </m:e>
          </m:d>
          <m:r>
            <w:rPr>
              <w:rFonts w:ascii="Cambria Math" w:hAnsi="Cambria Math"/>
              <w:sz w:val="24"/>
            </w:rPr>
            <m:t>+10</m:t>
          </m:r>
          <m:r>
            <w:rPr>
              <w:rFonts w:ascii="Cambria Math" w:hAnsi="Cambria Math"/>
              <w:sz w:val="24"/>
            </w:rPr>
            <m:t>lgS</m:t>
          </m:r>
        </m:oMath>
      </m:oMathPara>
    </w:p>
    <w:p w:rsidR="00EE4502" w:rsidRDefault="00FD45A3">
      <w:pPr>
        <w:widowControl/>
        <w:spacing w:line="360" w:lineRule="auto"/>
        <w:ind w:firstLineChars="200" w:firstLine="480"/>
        <w:rPr>
          <w:sz w:val="24"/>
        </w:rPr>
      </w:pPr>
      <w:r>
        <w:rPr>
          <w:rFonts w:hint="eastAsia"/>
          <w:sz w:val="24"/>
        </w:rPr>
        <w:t>式中：</w:t>
      </w:r>
      <m:oMath>
        <m:sSub>
          <m:sSubPr>
            <m:ctrlPr>
              <w:rPr>
                <w:rFonts w:ascii="Cambria Math" w:hAnsi="Cambria Math"/>
                <w:sz w:val="24"/>
              </w:rPr>
            </m:ctrlPr>
          </m:sSubPr>
          <m:e>
            <m:r>
              <w:rPr>
                <w:rFonts w:ascii="Cambria Math" w:hAnsi="Cambria Math"/>
                <w:sz w:val="24"/>
              </w:rPr>
              <m:t>L</m:t>
            </m:r>
          </m:e>
          <m:sub>
            <m:r>
              <w:rPr>
                <w:rFonts w:ascii="Cambria Math" w:hAnsi="Cambria Math"/>
                <w:sz w:val="24"/>
              </w:rPr>
              <m:t>w</m:t>
            </m:r>
          </m:sub>
        </m:sSub>
      </m:oMath>
      <w:r>
        <w:rPr>
          <w:kern w:val="0"/>
          <w:sz w:val="24"/>
        </w:rPr>
        <w:t>——</w:t>
      </w:r>
      <w:r>
        <w:rPr>
          <w:rFonts w:hint="eastAsia"/>
          <w:kern w:val="0"/>
          <w:sz w:val="24"/>
        </w:rPr>
        <w:t>中心位置位于透声面积（</w:t>
      </w:r>
      <w:r>
        <w:rPr>
          <w:rFonts w:hint="eastAsia"/>
          <w:kern w:val="0"/>
          <w:sz w:val="24"/>
        </w:rPr>
        <w:t>S</w:t>
      </w:r>
      <w:r>
        <w:rPr>
          <w:rFonts w:hint="eastAsia"/>
          <w:kern w:val="0"/>
          <w:sz w:val="24"/>
        </w:rPr>
        <w:t>）处的等效声源的倍频带声功率级，</w:t>
      </w:r>
      <w:r>
        <w:rPr>
          <w:rFonts w:hint="eastAsia"/>
          <w:kern w:val="0"/>
          <w:sz w:val="24"/>
        </w:rPr>
        <w:t>dB</w:t>
      </w:r>
      <w:r>
        <w:rPr>
          <w:rFonts w:hint="eastAsia"/>
          <w:kern w:val="0"/>
          <w:sz w:val="24"/>
        </w:rPr>
        <w:t>；</w:t>
      </w:r>
    </w:p>
    <w:p w:rsidR="00EE4502" w:rsidRDefault="00FD45A3">
      <w:pPr>
        <w:widowControl/>
        <w:spacing w:line="360" w:lineRule="auto"/>
        <w:ind w:firstLineChars="200" w:firstLine="480"/>
        <w:rPr>
          <w:sz w:val="24"/>
        </w:rPr>
      </w:pPr>
      <w:r>
        <w:rPr>
          <w:rFonts w:hint="eastAsia"/>
          <w:sz w:val="24"/>
        </w:rPr>
        <w:lastRenderedPageBreak/>
        <w:t xml:space="preserve"> </w:t>
      </w:r>
      <w:r>
        <w:rPr>
          <w:sz w:val="24"/>
        </w:rPr>
        <w:t xml:space="preserve">     </w:t>
      </w:r>
      <m:oMath>
        <m:sSub>
          <m:sSubPr>
            <m:ctrlPr>
              <w:rPr>
                <w:rFonts w:ascii="Cambria Math" w:hAnsi="Cambria Math"/>
                <w:sz w:val="24"/>
              </w:rPr>
            </m:ctrlPr>
          </m:sSubPr>
          <m:e>
            <m:r>
              <w:rPr>
                <w:rFonts w:ascii="Cambria Math" w:hAnsi="Cambria Math"/>
                <w:sz w:val="24"/>
              </w:rPr>
              <m:t>L</m:t>
            </m:r>
          </m:e>
          <m:sub>
            <m:r>
              <w:rPr>
                <w:rFonts w:ascii="Cambria Math" w:hAnsi="Cambria Math"/>
                <w:sz w:val="24"/>
              </w:rPr>
              <m:t>p</m:t>
            </m:r>
            <m:r>
              <w:rPr>
                <w:rFonts w:ascii="Cambria Math" w:hAnsi="Cambria Math"/>
                <w:sz w:val="24"/>
              </w:rPr>
              <m:t>2</m:t>
            </m:r>
          </m:sub>
        </m:sSub>
        <m:d>
          <m:dPr>
            <m:ctrlPr>
              <w:rPr>
                <w:rFonts w:ascii="Cambria Math" w:hAnsi="Cambria Math"/>
                <w:i/>
                <w:sz w:val="24"/>
              </w:rPr>
            </m:ctrlPr>
          </m:dPr>
          <m:e>
            <m:r>
              <w:rPr>
                <w:rFonts w:ascii="Cambria Math" w:hAnsi="Cambria Math"/>
                <w:sz w:val="24"/>
              </w:rPr>
              <m:t>T</m:t>
            </m:r>
          </m:e>
        </m:d>
      </m:oMath>
      <w:r>
        <w:rPr>
          <w:kern w:val="0"/>
          <w:sz w:val="24"/>
        </w:rPr>
        <w:t>——</w:t>
      </w:r>
      <w:r>
        <w:rPr>
          <w:rFonts w:hint="eastAsia"/>
          <w:kern w:val="0"/>
          <w:sz w:val="24"/>
        </w:rPr>
        <w:t>靠近围护结构处室外声源的声压级，</w:t>
      </w:r>
      <w:r>
        <w:rPr>
          <w:rFonts w:hint="eastAsia"/>
          <w:kern w:val="0"/>
          <w:sz w:val="24"/>
        </w:rPr>
        <w:t>dB</w:t>
      </w:r>
      <w:r>
        <w:rPr>
          <w:rFonts w:hint="eastAsia"/>
          <w:kern w:val="0"/>
          <w:sz w:val="24"/>
        </w:rPr>
        <w:t>；</w:t>
      </w:r>
    </w:p>
    <w:p w:rsidR="00EE4502" w:rsidRDefault="00FD45A3">
      <w:pPr>
        <w:widowControl/>
        <w:spacing w:line="360" w:lineRule="auto"/>
        <w:ind w:firstLineChars="200" w:firstLine="480"/>
        <w:rPr>
          <w:kern w:val="0"/>
          <w:sz w:val="24"/>
        </w:rPr>
      </w:pPr>
      <w:r>
        <w:rPr>
          <w:rFonts w:hint="eastAsia"/>
          <w:sz w:val="24"/>
        </w:rPr>
        <w:t xml:space="preserve"> </w:t>
      </w:r>
      <w:r>
        <w:rPr>
          <w:sz w:val="24"/>
        </w:rPr>
        <w:t xml:space="preserve">     </w:t>
      </w:r>
      <m:oMath>
        <m:r>
          <w:rPr>
            <w:rFonts w:ascii="Cambria Math" w:hAnsi="Cambria Math"/>
            <w:sz w:val="24"/>
          </w:rPr>
          <m:t>S</m:t>
        </m:r>
      </m:oMath>
      <w:r>
        <w:rPr>
          <w:kern w:val="0"/>
          <w:sz w:val="24"/>
        </w:rPr>
        <w:t>——</w:t>
      </w:r>
      <w:r>
        <w:rPr>
          <w:rFonts w:hint="eastAsia"/>
          <w:kern w:val="0"/>
          <w:sz w:val="24"/>
        </w:rPr>
        <w:t>透声面积，</w:t>
      </w:r>
      <w:r>
        <w:rPr>
          <w:rFonts w:hint="eastAsia"/>
          <w:kern w:val="0"/>
          <w:sz w:val="24"/>
        </w:rPr>
        <w:t>m</w:t>
      </w:r>
      <w:r>
        <w:rPr>
          <w:rFonts w:hint="eastAsia"/>
          <w:kern w:val="0"/>
          <w:sz w:val="24"/>
          <w:vertAlign w:val="superscript"/>
        </w:rPr>
        <w:t>2</w:t>
      </w:r>
      <w:r>
        <w:rPr>
          <w:rFonts w:hint="eastAsia"/>
          <w:kern w:val="0"/>
          <w:sz w:val="24"/>
        </w:rPr>
        <w:t>。</w:t>
      </w:r>
    </w:p>
    <w:p w:rsidR="00EE4502" w:rsidRDefault="00FD45A3">
      <w:pPr>
        <w:widowControl/>
        <w:spacing w:line="360" w:lineRule="auto"/>
        <w:ind w:firstLineChars="200" w:firstLine="480"/>
        <w:rPr>
          <w:sz w:val="24"/>
        </w:rPr>
      </w:pPr>
      <w:r>
        <w:rPr>
          <w:rFonts w:ascii="宋体" w:hAnsi="宋体" w:hint="eastAsia"/>
          <w:sz w:val="24"/>
        </w:rPr>
        <w:t>④</w:t>
      </w:r>
      <w:r>
        <w:rPr>
          <w:rFonts w:hint="eastAsia"/>
          <w:sz w:val="24"/>
        </w:rPr>
        <w:t>然后按室外声源预测方法计算预测点处的</w:t>
      </w:r>
      <w:r>
        <w:rPr>
          <w:rFonts w:hint="eastAsia"/>
          <w:sz w:val="24"/>
        </w:rPr>
        <w:t>A</w:t>
      </w:r>
      <w:r>
        <w:rPr>
          <w:rFonts w:hint="eastAsia"/>
          <w:sz w:val="24"/>
        </w:rPr>
        <w:t>声级。</w:t>
      </w:r>
    </w:p>
    <w:p w:rsidR="00EE4502" w:rsidRDefault="00FD45A3">
      <w:pPr>
        <w:widowControl/>
        <w:snapToGrid w:val="0"/>
        <w:spacing w:line="360" w:lineRule="auto"/>
        <w:ind w:firstLineChars="200" w:firstLine="480"/>
        <w:rPr>
          <w:sz w:val="24"/>
        </w:rPr>
      </w:pPr>
      <w:r>
        <w:rPr>
          <w:rFonts w:hint="eastAsia"/>
          <w:sz w:val="24"/>
        </w:rPr>
        <w:t>本次评价预测井场噪声源对场界四周噪声的贡献值，车浅</w:t>
      </w:r>
      <w:r>
        <w:rPr>
          <w:rFonts w:hint="eastAsia"/>
          <w:sz w:val="24"/>
        </w:rPr>
        <w:t>1</w:t>
      </w:r>
      <w:r>
        <w:rPr>
          <w:sz w:val="24"/>
        </w:rPr>
        <w:t>-13</w:t>
      </w:r>
      <w:r>
        <w:rPr>
          <w:rFonts w:hint="eastAsia"/>
          <w:sz w:val="24"/>
        </w:rPr>
        <w:t>增压点噪声源对场界四周噪声的贡献值。</w:t>
      </w:r>
    </w:p>
    <w:p w:rsidR="00EE4502" w:rsidRDefault="00FD45A3">
      <w:pPr>
        <w:pStyle w:val="41"/>
        <w:numPr>
          <w:ilvl w:val="3"/>
          <w:numId w:val="30"/>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hint="eastAsia"/>
          <w:bCs w:val="0"/>
          <w:sz w:val="24"/>
          <w:szCs w:val="24"/>
        </w:rPr>
        <w:t>预测结果及评价</w:t>
      </w:r>
    </w:p>
    <w:p w:rsidR="00EE4502" w:rsidRDefault="00FD45A3">
      <w:pPr>
        <w:widowControl/>
        <w:snapToGrid w:val="0"/>
        <w:spacing w:line="360" w:lineRule="auto"/>
        <w:ind w:firstLineChars="200" w:firstLine="480"/>
        <w:rPr>
          <w:sz w:val="24"/>
        </w:rPr>
      </w:pPr>
      <w:r>
        <w:rPr>
          <w:rFonts w:hint="eastAsia"/>
          <w:sz w:val="24"/>
        </w:rPr>
        <w:t>根据噪声预测参数及预测模式，结合井场及增压点的平面布局，主要噪声设备的噪声级状况，噪声源到各预测点的距离，通过计算，本工程采油井、增加点对场界四周的贡献声级值见表</w:t>
      </w:r>
      <w:r>
        <w:rPr>
          <w:rFonts w:hint="eastAsia"/>
          <w:sz w:val="24"/>
        </w:rPr>
        <w:t>5</w:t>
      </w:r>
      <w:r>
        <w:rPr>
          <w:sz w:val="24"/>
        </w:rPr>
        <w:t>-</w:t>
      </w:r>
      <w:r>
        <w:rPr>
          <w:rFonts w:hint="eastAsia"/>
          <w:sz w:val="24"/>
        </w:rPr>
        <w:t>6</w:t>
      </w:r>
      <w:r>
        <w:rPr>
          <w:sz w:val="24"/>
        </w:rPr>
        <w:t>-5</w:t>
      </w:r>
      <w:r>
        <w:rPr>
          <w:rFonts w:hint="eastAsia"/>
          <w:sz w:val="24"/>
        </w:rPr>
        <w:t>、表</w:t>
      </w:r>
      <w:r>
        <w:rPr>
          <w:rFonts w:hint="eastAsia"/>
          <w:sz w:val="24"/>
        </w:rPr>
        <w:t>5</w:t>
      </w:r>
      <w:r>
        <w:rPr>
          <w:sz w:val="24"/>
        </w:rPr>
        <w:t>-</w:t>
      </w:r>
      <w:r>
        <w:rPr>
          <w:rFonts w:hint="eastAsia"/>
          <w:sz w:val="24"/>
        </w:rPr>
        <w:t>6</w:t>
      </w:r>
      <w:r>
        <w:rPr>
          <w:sz w:val="24"/>
        </w:rPr>
        <w:t>-6</w:t>
      </w:r>
      <w:r>
        <w:rPr>
          <w:rFonts w:hint="eastAsia"/>
          <w:sz w:val="24"/>
        </w:rPr>
        <w:t>。</w:t>
      </w:r>
    </w:p>
    <w:p w:rsidR="00EE4502" w:rsidRDefault="00FD45A3">
      <w:pPr>
        <w:pStyle w:val="Char3e"/>
        <w:snapToGrid/>
        <w:ind w:firstLineChars="0" w:firstLine="0"/>
        <w:jc w:val="center"/>
        <w:rPr>
          <w:rFonts w:ascii="Times New Roman" w:hAnsi="Times New Roman"/>
          <w:b w:val="0"/>
          <w:sz w:val="24"/>
        </w:rPr>
      </w:pPr>
      <w:r>
        <w:rPr>
          <w:rFonts w:ascii="Times New Roman" w:eastAsia="黑体" w:hAnsi="Times New Roman"/>
          <w:b w:val="0"/>
          <w:szCs w:val="21"/>
        </w:rPr>
        <w:t>表</w:t>
      </w:r>
      <w:r>
        <w:rPr>
          <w:rFonts w:ascii="Times New Roman" w:eastAsia="黑体" w:hAnsi="Times New Roman"/>
          <w:b w:val="0"/>
          <w:szCs w:val="21"/>
        </w:rPr>
        <w:t>5-</w:t>
      </w:r>
      <w:r>
        <w:rPr>
          <w:rFonts w:ascii="Times New Roman" w:eastAsia="黑体" w:hAnsi="Times New Roman" w:hint="eastAsia"/>
          <w:b w:val="0"/>
          <w:szCs w:val="21"/>
        </w:rPr>
        <w:t>6</w:t>
      </w:r>
      <w:r>
        <w:rPr>
          <w:rFonts w:ascii="Times New Roman" w:eastAsia="黑体" w:hAnsi="Times New Roman"/>
          <w:b w:val="0"/>
          <w:szCs w:val="21"/>
        </w:rPr>
        <w:t xml:space="preserve">-5  </w:t>
      </w:r>
      <w:r>
        <w:rPr>
          <w:rFonts w:ascii="Times New Roman" w:eastAsia="黑体" w:hAnsi="Times New Roman" w:hint="eastAsia"/>
          <w:b w:val="0"/>
          <w:szCs w:val="21"/>
        </w:rPr>
        <w:t>井场噪声预测结果一览表</w:t>
      </w:r>
      <w:r>
        <w:rPr>
          <w:rFonts w:ascii="Times New Roman" w:eastAsia="黑体" w:hAnsi="Times New Roman" w:hint="eastAsia"/>
          <w:b w:val="0"/>
          <w:szCs w:val="21"/>
        </w:rPr>
        <w:t xml:space="preserve"> </w:t>
      </w:r>
      <w:r>
        <w:rPr>
          <w:rFonts w:ascii="Times New Roman" w:eastAsia="黑体" w:hAnsi="Times New Roman"/>
          <w:b w:val="0"/>
          <w:szCs w:val="21"/>
        </w:rPr>
        <w:t xml:space="preserve"> </w:t>
      </w:r>
      <w:r>
        <w:rPr>
          <w:rFonts w:ascii="Times New Roman" w:eastAsia="黑体" w:hAnsi="Times New Roman" w:hint="eastAsia"/>
          <w:b w:val="0"/>
          <w:szCs w:val="21"/>
        </w:rPr>
        <w:t>单位：</w:t>
      </w:r>
      <w:r>
        <w:rPr>
          <w:rFonts w:ascii="Times New Roman" w:eastAsia="黑体" w:hAnsi="Times New Roman" w:hint="eastAsia"/>
          <w:b w:val="0"/>
          <w:szCs w:val="21"/>
        </w:rPr>
        <w:t>d</w:t>
      </w:r>
      <w:r>
        <w:rPr>
          <w:rFonts w:ascii="Times New Roman" w:eastAsia="黑体" w:hAnsi="Times New Roman"/>
          <w:b w:val="0"/>
          <w:szCs w:val="21"/>
        </w:rPr>
        <w:t>B(A)</w:t>
      </w:r>
    </w:p>
    <w:p w:rsidR="00EE4502" w:rsidRDefault="00EE4502">
      <w:pPr>
        <w:jc w:val="center"/>
        <w:rPr>
          <w:sz w:val="18"/>
          <w:szCs w:val="18"/>
        </w:rPr>
      </w:pPr>
    </w:p>
    <w:p w:rsidR="00EE4502" w:rsidRDefault="00FD45A3">
      <w:pPr>
        <w:pStyle w:val="Char3e"/>
        <w:snapToGrid/>
        <w:ind w:firstLineChars="0" w:firstLine="0"/>
        <w:jc w:val="center"/>
        <w:rPr>
          <w:rFonts w:ascii="Times New Roman" w:hAnsi="Times New Roman"/>
          <w:b w:val="0"/>
          <w:sz w:val="24"/>
        </w:rPr>
      </w:pPr>
      <w:r>
        <w:rPr>
          <w:rFonts w:ascii="Times New Roman" w:eastAsia="黑体" w:hAnsi="Times New Roman"/>
          <w:b w:val="0"/>
          <w:szCs w:val="21"/>
        </w:rPr>
        <w:t>表</w:t>
      </w:r>
      <w:r>
        <w:rPr>
          <w:rFonts w:ascii="Times New Roman" w:eastAsia="黑体" w:hAnsi="Times New Roman"/>
          <w:b w:val="0"/>
          <w:szCs w:val="21"/>
        </w:rPr>
        <w:t>5-</w:t>
      </w:r>
      <w:r>
        <w:rPr>
          <w:rFonts w:ascii="Times New Roman" w:eastAsia="黑体" w:hAnsi="Times New Roman" w:hint="eastAsia"/>
          <w:b w:val="0"/>
          <w:szCs w:val="21"/>
        </w:rPr>
        <w:t>6</w:t>
      </w:r>
      <w:r>
        <w:rPr>
          <w:rFonts w:ascii="Times New Roman" w:eastAsia="黑体" w:hAnsi="Times New Roman"/>
          <w:b w:val="0"/>
          <w:szCs w:val="21"/>
        </w:rPr>
        <w:t xml:space="preserve">-6  </w:t>
      </w:r>
      <w:r>
        <w:rPr>
          <w:rFonts w:ascii="Times New Roman" w:eastAsia="黑体" w:hAnsi="Times New Roman" w:hint="eastAsia"/>
          <w:b w:val="0"/>
          <w:szCs w:val="21"/>
        </w:rPr>
        <w:t>增压点噪声预测结果一览表</w:t>
      </w:r>
      <w:r>
        <w:rPr>
          <w:rFonts w:ascii="Times New Roman" w:eastAsia="黑体" w:hAnsi="Times New Roman" w:hint="eastAsia"/>
          <w:b w:val="0"/>
          <w:szCs w:val="21"/>
        </w:rPr>
        <w:t xml:space="preserve"> </w:t>
      </w:r>
      <w:r>
        <w:rPr>
          <w:rFonts w:ascii="Times New Roman" w:eastAsia="黑体" w:hAnsi="Times New Roman"/>
          <w:b w:val="0"/>
          <w:szCs w:val="21"/>
        </w:rPr>
        <w:t xml:space="preserve"> </w:t>
      </w:r>
      <w:r>
        <w:rPr>
          <w:rFonts w:ascii="Times New Roman" w:eastAsia="黑体" w:hAnsi="Times New Roman" w:hint="eastAsia"/>
          <w:b w:val="0"/>
          <w:szCs w:val="21"/>
        </w:rPr>
        <w:t>单位：</w:t>
      </w:r>
      <w:r>
        <w:rPr>
          <w:rFonts w:ascii="Times New Roman" w:eastAsia="黑体" w:hAnsi="Times New Roman" w:hint="eastAsia"/>
          <w:b w:val="0"/>
          <w:szCs w:val="21"/>
        </w:rPr>
        <w:t>d</w:t>
      </w:r>
      <w:r>
        <w:rPr>
          <w:rFonts w:ascii="Times New Roman" w:eastAsia="黑体" w:hAnsi="Times New Roman"/>
          <w:b w:val="0"/>
          <w:szCs w:val="21"/>
        </w:rPr>
        <w:t>B(A)</w:t>
      </w:r>
    </w:p>
    <w:p w:rsidR="00EE4502" w:rsidRDefault="00EE4502">
      <w:pPr>
        <w:jc w:val="center"/>
        <w:rPr>
          <w:sz w:val="15"/>
          <w:szCs w:val="15"/>
        </w:rPr>
      </w:pPr>
    </w:p>
    <w:p w:rsidR="00EE4502" w:rsidRDefault="00FD45A3">
      <w:pPr>
        <w:spacing w:line="360" w:lineRule="auto"/>
        <w:ind w:firstLine="522"/>
        <w:rPr>
          <w:sz w:val="24"/>
        </w:rPr>
      </w:pPr>
      <w:r>
        <w:rPr>
          <w:rFonts w:hint="eastAsia"/>
          <w:sz w:val="24"/>
        </w:rPr>
        <w:t>根据预测结果</w:t>
      </w:r>
      <w:r>
        <w:rPr>
          <w:sz w:val="24"/>
        </w:rPr>
        <w:t>，</w:t>
      </w:r>
      <w:r>
        <w:rPr>
          <w:rFonts w:hint="eastAsia"/>
          <w:sz w:val="24"/>
        </w:rPr>
        <w:t>采油井场噪声源对厂界昼间和夜间噪声贡献值为</w:t>
      </w:r>
      <w:bookmarkStart w:id="224" w:name="OLE_LINK41"/>
      <w:r>
        <w:rPr>
          <w:rFonts w:hint="eastAsia"/>
          <w:sz w:val="24"/>
        </w:rPr>
        <w:t>4</w:t>
      </w:r>
      <w:r>
        <w:rPr>
          <w:sz w:val="24"/>
        </w:rPr>
        <w:t>1.5~4</w:t>
      </w:r>
      <w:r>
        <w:rPr>
          <w:rFonts w:hint="eastAsia"/>
          <w:sz w:val="24"/>
        </w:rPr>
        <w:t>1.8</w:t>
      </w:r>
      <w:r>
        <w:rPr>
          <w:sz w:val="24"/>
        </w:rPr>
        <w:t>dB</w:t>
      </w:r>
      <w:r>
        <w:rPr>
          <w:rFonts w:hint="eastAsia"/>
          <w:sz w:val="24"/>
        </w:rPr>
        <w:t>（</w:t>
      </w:r>
      <w:r>
        <w:rPr>
          <w:rFonts w:hint="eastAsia"/>
          <w:sz w:val="24"/>
        </w:rPr>
        <w:t>A</w:t>
      </w:r>
      <w:r>
        <w:rPr>
          <w:rFonts w:hint="eastAsia"/>
          <w:sz w:val="24"/>
        </w:rPr>
        <w:t>）</w:t>
      </w:r>
      <w:r>
        <w:rPr>
          <w:sz w:val="24"/>
        </w:rPr>
        <w:t>，能够满足《工业企业厂界环境噪声排放标准》（</w:t>
      </w:r>
      <w:r>
        <w:rPr>
          <w:sz w:val="24"/>
        </w:rPr>
        <w:t>GB12348-2008</w:t>
      </w:r>
      <w:r>
        <w:rPr>
          <w:sz w:val="24"/>
        </w:rPr>
        <w:t>）中</w:t>
      </w:r>
      <w:r>
        <w:rPr>
          <w:sz w:val="24"/>
        </w:rPr>
        <w:t>2</w:t>
      </w:r>
      <w:r>
        <w:rPr>
          <w:sz w:val="24"/>
        </w:rPr>
        <w:t>类标准的要求</w:t>
      </w:r>
      <w:r>
        <w:rPr>
          <w:rFonts w:hint="eastAsia"/>
          <w:sz w:val="24"/>
        </w:rPr>
        <w:t>；</w:t>
      </w:r>
      <w:bookmarkEnd w:id="224"/>
      <w:r>
        <w:rPr>
          <w:rFonts w:hint="eastAsia"/>
          <w:sz w:val="24"/>
        </w:rPr>
        <w:t>增压点对场界昼间和夜间噪声贡献值为</w:t>
      </w:r>
      <w:r>
        <w:rPr>
          <w:sz w:val="24"/>
        </w:rPr>
        <w:t>3</w:t>
      </w:r>
      <w:r>
        <w:rPr>
          <w:rFonts w:hint="eastAsia"/>
          <w:sz w:val="24"/>
        </w:rPr>
        <w:t>9</w:t>
      </w:r>
      <w:r>
        <w:rPr>
          <w:sz w:val="24"/>
        </w:rPr>
        <w:t>.3~</w:t>
      </w:r>
      <w:r>
        <w:rPr>
          <w:rFonts w:hint="eastAsia"/>
          <w:sz w:val="24"/>
        </w:rPr>
        <w:t>40.5</w:t>
      </w:r>
      <w:r>
        <w:rPr>
          <w:sz w:val="24"/>
        </w:rPr>
        <w:t>dB</w:t>
      </w:r>
      <w:r>
        <w:rPr>
          <w:rFonts w:hint="eastAsia"/>
          <w:sz w:val="24"/>
        </w:rPr>
        <w:t>（</w:t>
      </w:r>
      <w:r>
        <w:rPr>
          <w:rFonts w:hint="eastAsia"/>
          <w:sz w:val="24"/>
        </w:rPr>
        <w:t>A</w:t>
      </w:r>
      <w:r>
        <w:rPr>
          <w:rFonts w:hint="eastAsia"/>
          <w:sz w:val="24"/>
        </w:rPr>
        <w:t>）</w:t>
      </w:r>
      <w:r>
        <w:rPr>
          <w:sz w:val="24"/>
        </w:rPr>
        <w:t>，能够满足《工业企业厂界环境噪声排放标准》（</w:t>
      </w:r>
      <w:r>
        <w:rPr>
          <w:sz w:val="24"/>
        </w:rPr>
        <w:t>GB12348-2008</w:t>
      </w:r>
      <w:r>
        <w:rPr>
          <w:sz w:val="24"/>
        </w:rPr>
        <w:t>）中</w:t>
      </w:r>
      <w:r>
        <w:rPr>
          <w:sz w:val="24"/>
        </w:rPr>
        <w:t>2</w:t>
      </w:r>
      <w:r>
        <w:rPr>
          <w:sz w:val="24"/>
        </w:rPr>
        <w:t>类标准的要求</w:t>
      </w:r>
      <w:r>
        <w:rPr>
          <w:rFonts w:hint="eastAsia"/>
          <w:sz w:val="24"/>
        </w:rPr>
        <w:t>。项目</w:t>
      </w:r>
      <w:r>
        <w:rPr>
          <w:sz w:val="24"/>
        </w:rPr>
        <w:t>所在地较为空旷，</w:t>
      </w:r>
      <w:r>
        <w:rPr>
          <w:rFonts w:hint="eastAsia"/>
          <w:sz w:val="24"/>
        </w:rPr>
        <w:t>周围</w:t>
      </w:r>
      <w:r>
        <w:rPr>
          <w:rFonts w:hint="eastAsia"/>
          <w:sz w:val="24"/>
        </w:rPr>
        <w:t>200m</w:t>
      </w:r>
      <w:r>
        <w:rPr>
          <w:rFonts w:hint="eastAsia"/>
          <w:sz w:val="24"/>
        </w:rPr>
        <w:t>范围内无声环境敏感点，</w:t>
      </w:r>
      <w:r>
        <w:rPr>
          <w:sz w:val="24"/>
        </w:rPr>
        <w:t>因此对周围环境的影响较小。</w:t>
      </w:r>
    </w:p>
    <w:p w:rsidR="00EE4502" w:rsidRDefault="00FD45A3">
      <w:pPr>
        <w:pStyle w:val="33"/>
        <w:numPr>
          <w:ilvl w:val="2"/>
          <w:numId w:val="30"/>
        </w:numPr>
        <w:spacing w:line="360" w:lineRule="auto"/>
        <w:ind w:left="0" w:firstLine="0"/>
        <w:rPr>
          <w:spacing w:val="0"/>
          <w:sz w:val="24"/>
          <w:szCs w:val="24"/>
        </w:rPr>
      </w:pPr>
      <w:r>
        <w:rPr>
          <w:rFonts w:hint="eastAsia"/>
          <w:spacing w:val="0"/>
          <w:sz w:val="24"/>
          <w:szCs w:val="24"/>
        </w:rPr>
        <w:t>退役期</w:t>
      </w:r>
      <w:r>
        <w:rPr>
          <w:spacing w:val="0"/>
          <w:sz w:val="24"/>
          <w:szCs w:val="24"/>
        </w:rPr>
        <w:t>声环境影响分析</w:t>
      </w:r>
    </w:p>
    <w:p w:rsidR="00EE4502" w:rsidRDefault="00FD45A3">
      <w:pPr>
        <w:spacing w:line="360" w:lineRule="auto"/>
        <w:ind w:firstLine="493"/>
        <w:rPr>
          <w:kern w:val="28"/>
          <w:sz w:val="24"/>
        </w:rPr>
      </w:pPr>
      <w:r>
        <w:rPr>
          <w:rFonts w:hint="eastAsia"/>
          <w:sz w:val="24"/>
        </w:rPr>
        <w:t>春风油田石炭系排</w:t>
      </w:r>
      <w:r>
        <w:rPr>
          <w:rFonts w:hint="eastAsia"/>
          <w:sz w:val="24"/>
        </w:rPr>
        <w:t>61</w:t>
      </w:r>
      <w:r>
        <w:rPr>
          <w:rFonts w:hint="eastAsia"/>
          <w:sz w:val="24"/>
        </w:rPr>
        <w:t>块产能建设工程</w:t>
      </w:r>
      <w:r>
        <w:rPr>
          <w:sz w:val="24"/>
        </w:rPr>
        <w:t>服务期满后</w:t>
      </w:r>
      <w:r>
        <w:rPr>
          <w:rFonts w:hint="eastAsia"/>
          <w:sz w:val="24"/>
        </w:rPr>
        <w:t>退役</w:t>
      </w:r>
      <w:r>
        <w:rPr>
          <w:sz w:val="24"/>
        </w:rPr>
        <w:t>，由于井架拆除过程中会产生一定的施工噪声，施工噪声主要可分为机械噪声、施工作业噪声和施工车辆噪声。机械噪声主要由施工机械所造成，如挖土</w:t>
      </w:r>
      <w:r>
        <w:rPr>
          <w:rFonts w:hint="eastAsia"/>
          <w:sz w:val="24"/>
        </w:rPr>
        <w:t>机</w:t>
      </w:r>
      <w:r>
        <w:rPr>
          <w:sz w:val="24"/>
        </w:rPr>
        <w:t>、升降机等，多为点声源；施工作业噪声主要指一些零星的敲打声、装卸车辆的撞击声、拆卸模板的撞击声等，多为瞬时噪声。施工噪声在空旷地带的传播距离较远，影响范围可达</w:t>
      </w:r>
      <w:r>
        <w:rPr>
          <w:sz w:val="24"/>
        </w:rPr>
        <w:t>200m</w:t>
      </w:r>
      <w:r>
        <w:rPr>
          <w:sz w:val="24"/>
        </w:rPr>
        <w:t>。</w:t>
      </w:r>
      <w:r>
        <w:rPr>
          <w:rFonts w:hint="eastAsia"/>
          <w:sz w:val="24"/>
        </w:rPr>
        <w:t>本工程</w:t>
      </w:r>
      <w:r>
        <w:rPr>
          <w:sz w:val="24"/>
        </w:rPr>
        <w:t>拟选场区较为空旷，项目施工对场区周围声环境质量影响不大。</w:t>
      </w:r>
    </w:p>
    <w:p w:rsidR="00EE4502" w:rsidRDefault="00FD45A3">
      <w:pPr>
        <w:pStyle w:val="33"/>
        <w:numPr>
          <w:ilvl w:val="2"/>
          <w:numId w:val="30"/>
        </w:numPr>
        <w:spacing w:line="360" w:lineRule="auto"/>
        <w:ind w:left="0" w:firstLine="0"/>
        <w:rPr>
          <w:spacing w:val="0"/>
          <w:sz w:val="24"/>
          <w:szCs w:val="24"/>
        </w:rPr>
      </w:pPr>
      <w:r>
        <w:rPr>
          <w:rFonts w:hint="eastAsia"/>
          <w:spacing w:val="0"/>
          <w:sz w:val="24"/>
          <w:szCs w:val="24"/>
        </w:rPr>
        <w:t>声环境评价自查表</w:t>
      </w:r>
    </w:p>
    <w:p w:rsidR="00EE4502" w:rsidRDefault="00FD45A3">
      <w:pPr>
        <w:widowControl/>
        <w:spacing w:line="360" w:lineRule="auto"/>
        <w:ind w:firstLineChars="200" w:firstLine="480"/>
        <w:jc w:val="left"/>
        <w:rPr>
          <w:sz w:val="24"/>
        </w:rPr>
      </w:pPr>
      <w:r>
        <w:rPr>
          <w:rFonts w:hint="eastAsia"/>
          <w:sz w:val="24"/>
        </w:rPr>
        <w:t>本工程</w:t>
      </w:r>
      <w:r>
        <w:rPr>
          <w:rFonts w:hint="eastAsia"/>
          <w:sz w:val="24"/>
        </w:rPr>
        <w:t>声环境影响评价自查表</w:t>
      </w:r>
      <w:r>
        <w:rPr>
          <w:sz w:val="24"/>
        </w:rPr>
        <w:t>见表</w:t>
      </w:r>
      <w:r>
        <w:rPr>
          <w:sz w:val="24"/>
        </w:rPr>
        <w:t>5-</w:t>
      </w:r>
      <w:r>
        <w:rPr>
          <w:rFonts w:hint="eastAsia"/>
          <w:sz w:val="24"/>
        </w:rPr>
        <w:t>6</w:t>
      </w:r>
      <w:r>
        <w:rPr>
          <w:rFonts w:hint="eastAsia"/>
          <w:sz w:val="24"/>
        </w:rPr>
        <w:t>-</w:t>
      </w:r>
      <w:r>
        <w:rPr>
          <w:sz w:val="24"/>
        </w:rPr>
        <w:t>7</w:t>
      </w:r>
      <w:r>
        <w:rPr>
          <w:sz w:val="24"/>
        </w:rPr>
        <w:t>。</w:t>
      </w:r>
    </w:p>
    <w:p w:rsidR="00EE4502" w:rsidRDefault="00FD45A3">
      <w:pPr>
        <w:spacing w:line="360" w:lineRule="auto"/>
        <w:jc w:val="center"/>
        <w:rPr>
          <w:rFonts w:eastAsia="黑体"/>
          <w:szCs w:val="21"/>
        </w:rPr>
      </w:pPr>
      <w:r>
        <w:rPr>
          <w:rFonts w:eastAsia="黑体"/>
          <w:szCs w:val="21"/>
        </w:rPr>
        <w:t>表</w:t>
      </w:r>
      <w:r>
        <w:rPr>
          <w:rFonts w:eastAsia="黑体"/>
          <w:szCs w:val="21"/>
        </w:rPr>
        <w:t>5-</w:t>
      </w:r>
      <w:r>
        <w:rPr>
          <w:rFonts w:eastAsia="黑体" w:hint="eastAsia"/>
          <w:szCs w:val="21"/>
        </w:rPr>
        <w:t>6</w:t>
      </w:r>
      <w:r>
        <w:rPr>
          <w:rFonts w:eastAsia="黑体"/>
          <w:szCs w:val="21"/>
        </w:rPr>
        <w:t xml:space="preserve">-7  </w:t>
      </w:r>
      <w:r>
        <w:rPr>
          <w:rFonts w:eastAsia="黑体" w:hint="eastAsia"/>
          <w:szCs w:val="21"/>
        </w:rPr>
        <w:t>声环境影响评价自查</w:t>
      </w:r>
      <w:r>
        <w:rPr>
          <w:rFonts w:eastAsia="黑体"/>
          <w:szCs w:val="21"/>
        </w:rPr>
        <w:t>表</w:t>
      </w:r>
    </w:p>
    <w:tbl>
      <w:tblPr>
        <w:tblW w:w="5000" w:type="pct"/>
        <w:tblBorders>
          <w:top w:val="single" w:sz="8" w:space="0" w:color="000000"/>
          <w:bottom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925"/>
        <w:gridCol w:w="1306"/>
        <w:gridCol w:w="1007"/>
        <w:gridCol w:w="508"/>
        <w:gridCol w:w="291"/>
        <w:gridCol w:w="219"/>
        <w:gridCol w:w="988"/>
        <w:gridCol w:w="626"/>
        <w:gridCol w:w="414"/>
        <w:gridCol w:w="507"/>
        <w:gridCol w:w="470"/>
        <w:gridCol w:w="1045"/>
      </w:tblGrid>
      <w:tr w:rsidR="00EE4502">
        <w:trPr>
          <w:trHeight w:val="340"/>
        </w:trPr>
        <w:tc>
          <w:tcPr>
            <w:tcW w:w="1343" w:type="pct"/>
            <w:gridSpan w:val="2"/>
            <w:vAlign w:val="center"/>
          </w:tcPr>
          <w:p w:rsidR="00EE4502" w:rsidRDefault="00FD45A3">
            <w:pPr>
              <w:jc w:val="center"/>
              <w:rPr>
                <w:sz w:val="18"/>
                <w:szCs w:val="18"/>
              </w:rPr>
            </w:pPr>
            <w:r>
              <w:rPr>
                <w:rFonts w:hint="eastAsia"/>
                <w:sz w:val="18"/>
                <w:szCs w:val="18"/>
              </w:rPr>
              <w:t>工作内容</w:t>
            </w:r>
          </w:p>
        </w:tc>
        <w:tc>
          <w:tcPr>
            <w:tcW w:w="3656" w:type="pct"/>
            <w:gridSpan w:val="10"/>
            <w:vAlign w:val="center"/>
          </w:tcPr>
          <w:p w:rsidR="00EE4502" w:rsidRDefault="00FD45A3">
            <w:pPr>
              <w:jc w:val="center"/>
              <w:rPr>
                <w:sz w:val="18"/>
                <w:szCs w:val="18"/>
              </w:rPr>
            </w:pPr>
            <w:r>
              <w:rPr>
                <w:rFonts w:hint="eastAsia"/>
                <w:sz w:val="18"/>
                <w:szCs w:val="18"/>
              </w:rPr>
              <w:t>自查项目</w:t>
            </w:r>
          </w:p>
        </w:tc>
      </w:tr>
      <w:tr w:rsidR="00EE4502">
        <w:trPr>
          <w:trHeight w:val="340"/>
        </w:trPr>
        <w:tc>
          <w:tcPr>
            <w:tcW w:w="557" w:type="pct"/>
            <w:vMerge w:val="restart"/>
            <w:vAlign w:val="center"/>
          </w:tcPr>
          <w:p w:rsidR="00EE4502" w:rsidRDefault="00FD45A3">
            <w:pPr>
              <w:jc w:val="center"/>
              <w:rPr>
                <w:sz w:val="18"/>
                <w:szCs w:val="18"/>
              </w:rPr>
            </w:pPr>
            <w:r>
              <w:rPr>
                <w:rFonts w:hint="eastAsia"/>
                <w:sz w:val="18"/>
                <w:szCs w:val="18"/>
              </w:rPr>
              <w:t>评价等级与范围</w:t>
            </w:r>
          </w:p>
        </w:tc>
        <w:tc>
          <w:tcPr>
            <w:tcW w:w="785" w:type="pct"/>
            <w:vAlign w:val="center"/>
          </w:tcPr>
          <w:p w:rsidR="00EE4502" w:rsidRDefault="00FD45A3">
            <w:pPr>
              <w:jc w:val="center"/>
              <w:rPr>
                <w:sz w:val="18"/>
                <w:szCs w:val="18"/>
              </w:rPr>
            </w:pPr>
            <w:r>
              <w:rPr>
                <w:rFonts w:hint="eastAsia"/>
                <w:sz w:val="18"/>
                <w:szCs w:val="18"/>
              </w:rPr>
              <w:t>评价等级</w:t>
            </w:r>
          </w:p>
        </w:tc>
        <w:tc>
          <w:tcPr>
            <w:tcW w:w="3656" w:type="pct"/>
            <w:gridSpan w:val="10"/>
            <w:vAlign w:val="center"/>
          </w:tcPr>
          <w:p w:rsidR="00EE4502" w:rsidRDefault="00FD45A3">
            <w:pPr>
              <w:jc w:val="center"/>
              <w:rPr>
                <w:sz w:val="18"/>
                <w:szCs w:val="18"/>
              </w:rPr>
            </w:pPr>
            <w:r>
              <w:rPr>
                <w:rFonts w:hint="eastAsia"/>
                <w:sz w:val="18"/>
                <w:szCs w:val="18"/>
              </w:rPr>
              <w:t>一级□</w:t>
            </w:r>
            <w:r>
              <w:rPr>
                <w:rFonts w:hint="eastAsia"/>
                <w:sz w:val="18"/>
                <w:szCs w:val="18"/>
              </w:rPr>
              <w:t xml:space="preserve">   </w:t>
            </w:r>
            <w:r>
              <w:rPr>
                <w:rFonts w:hint="eastAsia"/>
                <w:sz w:val="18"/>
                <w:szCs w:val="18"/>
              </w:rPr>
              <w:t>二级√</w:t>
            </w:r>
            <w:r>
              <w:rPr>
                <w:rFonts w:hint="eastAsia"/>
                <w:sz w:val="18"/>
                <w:szCs w:val="18"/>
              </w:rPr>
              <w:t xml:space="preserve">    </w:t>
            </w:r>
            <w:r>
              <w:rPr>
                <w:rFonts w:hint="eastAsia"/>
                <w:sz w:val="18"/>
                <w:szCs w:val="18"/>
              </w:rPr>
              <w:t>三级□</w:t>
            </w:r>
          </w:p>
        </w:tc>
      </w:tr>
      <w:tr w:rsidR="00EE4502">
        <w:trPr>
          <w:trHeight w:val="340"/>
        </w:trPr>
        <w:tc>
          <w:tcPr>
            <w:tcW w:w="557" w:type="pct"/>
            <w:vMerge/>
            <w:vAlign w:val="center"/>
          </w:tcPr>
          <w:p w:rsidR="00EE4502" w:rsidRDefault="00EE4502">
            <w:pPr>
              <w:widowControl/>
              <w:jc w:val="center"/>
              <w:rPr>
                <w:rFonts w:ascii="宋体" w:hAnsi="宋体"/>
                <w:sz w:val="18"/>
                <w:szCs w:val="18"/>
              </w:rPr>
            </w:pPr>
          </w:p>
        </w:tc>
        <w:tc>
          <w:tcPr>
            <w:tcW w:w="785" w:type="pct"/>
            <w:vAlign w:val="center"/>
          </w:tcPr>
          <w:p w:rsidR="00EE4502" w:rsidRDefault="00FD45A3">
            <w:pPr>
              <w:jc w:val="center"/>
              <w:rPr>
                <w:sz w:val="18"/>
                <w:szCs w:val="18"/>
              </w:rPr>
            </w:pPr>
            <w:r>
              <w:rPr>
                <w:rFonts w:hint="eastAsia"/>
                <w:sz w:val="18"/>
                <w:szCs w:val="18"/>
              </w:rPr>
              <w:t>评价范围</w:t>
            </w:r>
          </w:p>
        </w:tc>
        <w:tc>
          <w:tcPr>
            <w:tcW w:w="3656" w:type="pct"/>
            <w:gridSpan w:val="10"/>
            <w:vAlign w:val="center"/>
          </w:tcPr>
          <w:p w:rsidR="00EE4502" w:rsidRDefault="00FD45A3">
            <w:pPr>
              <w:jc w:val="center"/>
              <w:rPr>
                <w:sz w:val="18"/>
                <w:szCs w:val="18"/>
              </w:rPr>
            </w:pPr>
            <w:r>
              <w:rPr>
                <w:sz w:val="18"/>
                <w:szCs w:val="18"/>
              </w:rPr>
              <w:t>200m</w:t>
            </w:r>
            <w:r>
              <w:rPr>
                <w:rFonts w:hint="eastAsia"/>
                <w:sz w:val="18"/>
                <w:szCs w:val="18"/>
              </w:rPr>
              <w:t>√</w:t>
            </w:r>
            <w:r>
              <w:rPr>
                <w:rFonts w:hint="eastAsia"/>
                <w:sz w:val="18"/>
                <w:szCs w:val="18"/>
              </w:rPr>
              <w:t xml:space="preserve">      </w:t>
            </w:r>
            <w:r>
              <w:rPr>
                <w:rFonts w:hint="eastAsia"/>
                <w:sz w:val="18"/>
                <w:szCs w:val="18"/>
              </w:rPr>
              <w:t>大于</w:t>
            </w:r>
            <w:r>
              <w:rPr>
                <w:sz w:val="18"/>
                <w:szCs w:val="18"/>
              </w:rPr>
              <w:t>200 m</w:t>
            </w:r>
            <w:r>
              <w:rPr>
                <w:rFonts w:hint="eastAsia"/>
                <w:sz w:val="18"/>
                <w:szCs w:val="18"/>
              </w:rPr>
              <w:t>□</w:t>
            </w:r>
            <w:r>
              <w:rPr>
                <w:rFonts w:hint="eastAsia"/>
                <w:sz w:val="18"/>
                <w:szCs w:val="18"/>
              </w:rPr>
              <w:t xml:space="preserve">      </w:t>
            </w:r>
            <w:r>
              <w:rPr>
                <w:rFonts w:hint="eastAsia"/>
                <w:sz w:val="18"/>
                <w:szCs w:val="18"/>
              </w:rPr>
              <w:t>小于</w:t>
            </w:r>
            <w:r>
              <w:rPr>
                <w:sz w:val="18"/>
                <w:szCs w:val="18"/>
              </w:rPr>
              <w:t>200 m</w:t>
            </w:r>
            <w:r>
              <w:rPr>
                <w:rFonts w:hint="eastAsia"/>
                <w:sz w:val="18"/>
                <w:szCs w:val="18"/>
              </w:rPr>
              <w:t>□</w:t>
            </w:r>
          </w:p>
        </w:tc>
      </w:tr>
      <w:tr w:rsidR="00EE4502">
        <w:trPr>
          <w:trHeight w:val="340"/>
        </w:trPr>
        <w:tc>
          <w:tcPr>
            <w:tcW w:w="557" w:type="pct"/>
            <w:vAlign w:val="center"/>
          </w:tcPr>
          <w:p w:rsidR="00EE4502" w:rsidRDefault="00FD45A3">
            <w:pPr>
              <w:jc w:val="center"/>
              <w:rPr>
                <w:sz w:val="18"/>
                <w:szCs w:val="18"/>
              </w:rPr>
            </w:pPr>
            <w:r>
              <w:rPr>
                <w:rFonts w:hint="eastAsia"/>
                <w:sz w:val="18"/>
                <w:szCs w:val="18"/>
              </w:rPr>
              <w:lastRenderedPageBreak/>
              <w:t>评价因子</w:t>
            </w:r>
          </w:p>
        </w:tc>
        <w:tc>
          <w:tcPr>
            <w:tcW w:w="785" w:type="pct"/>
            <w:vAlign w:val="center"/>
          </w:tcPr>
          <w:p w:rsidR="00EE4502" w:rsidRDefault="00FD45A3">
            <w:pPr>
              <w:jc w:val="center"/>
              <w:rPr>
                <w:sz w:val="18"/>
                <w:szCs w:val="18"/>
              </w:rPr>
            </w:pPr>
            <w:r>
              <w:rPr>
                <w:rFonts w:hint="eastAsia"/>
                <w:sz w:val="18"/>
                <w:szCs w:val="18"/>
              </w:rPr>
              <w:t>评价因子</w:t>
            </w:r>
          </w:p>
        </w:tc>
        <w:tc>
          <w:tcPr>
            <w:tcW w:w="1219" w:type="pct"/>
            <w:gridSpan w:val="4"/>
            <w:vAlign w:val="center"/>
          </w:tcPr>
          <w:p w:rsidR="00EE4502" w:rsidRDefault="00FD45A3">
            <w:pPr>
              <w:jc w:val="center"/>
              <w:rPr>
                <w:sz w:val="18"/>
                <w:szCs w:val="18"/>
              </w:rPr>
            </w:pPr>
            <w:r>
              <w:rPr>
                <w:rFonts w:hint="eastAsia"/>
                <w:sz w:val="18"/>
                <w:szCs w:val="18"/>
              </w:rPr>
              <w:t>等效连续</w:t>
            </w:r>
            <w:r>
              <w:rPr>
                <w:rFonts w:hint="eastAsia"/>
                <w:sz w:val="18"/>
                <w:szCs w:val="18"/>
              </w:rPr>
              <w:t xml:space="preserve"> </w:t>
            </w:r>
            <w:r>
              <w:rPr>
                <w:sz w:val="18"/>
                <w:szCs w:val="18"/>
              </w:rPr>
              <w:t xml:space="preserve">A </w:t>
            </w:r>
            <w:r>
              <w:rPr>
                <w:rFonts w:hint="eastAsia"/>
                <w:sz w:val="18"/>
                <w:szCs w:val="18"/>
              </w:rPr>
              <w:t>声级√</w:t>
            </w:r>
          </w:p>
        </w:tc>
        <w:tc>
          <w:tcPr>
            <w:tcW w:w="972" w:type="pct"/>
            <w:gridSpan w:val="2"/>
            <w:vAlign w:val="center"/>
          </w:tcPr>
          <w:p w:rsidR="00EE4502" w:rsidRDefault="00FD45A3">
            <w:pPr>
              <w:jc w:val="center"/>
              <w:rPr>
                <w:sz w:val="18"/>
                <w:szCs w:val="18"/>
              </w:rPr>
            </w:pPr>
            <w:r>
              <w:rPr>
                <w:rFonts w:hint="eastAsia"/>
                <w:sz w:val="18"/>
                <w:szCs w:val="18"/>
              </w:rPr>
              <w:t>最大</w:t>
            </w:r>
            <w:r>
              <w:rPr>
                <w:rFonts w:hint="eastAsia"/>
                <w:sz w:val="18"/>
                <w:szCs w:val="18"/>
              </w:rPr>
              <w:t xml:space="preserve"> </w:t>
            </w:r>
            <w:r>
              <w:rPr>
                <w:sz w:val="18"/>
                <w:szCs w:val="18"/>
              </w:rPr>
              <w:t xml:space="preserve">A </w:t>
            </w:r>
            <w:r>
              <w:rPr>
                <w:rFonts w:hint="eastAsia"/>
                <w:sz w:val="18"/>
                <w:szCs w:val="18"/>
              </w:rPr>
              <w:t>声级□</w:t>
            </w:r>
          </w:p>
        </w:tc>
        <w:tc>
          <w:tcPr>
            <w:tcW w:w="1464" w:type="pct"/>
            <w:gridSpan w:val="4"/>
            <w:vAlign w:val="center"/>
          </w:tcPr>
          <w:p w:rsidR="00EE4502" w:rsidRDefault="00FD45A3">
            <w:pPr>
              <w:jc w:val="center"/>
              <w:rPr>
                <w:sz w:val="18"/>
                <w:szCs w:val="18"/>
              </w:rPr>
            </w:pPr>
            <w:r>
              <w:rPr>
                <w:rFonts w:hint="eastAsia"/>
                <w:sz w:val="18"/>
                <w:szCs w:val="18"/>
              </w:rPr>
              <w:t>计权等效连续感觉噪声级□</w:t>
            </w:r>
          </w:p>
        </w:tc>
      </w:tr>
      <w:tr w:rsidR="00EE4502">
        <w:trPr>
          <w:trHeight w:val="340"/>
        </w:trPr>
        <w:tc>
          <w:tcPr>
            <w:tcW w:w="557" w:type="pct"/>
            <w:vAlign w:val="center"/>
          </w:tcPr>
          <w:p w:rsidR="00EE4502" w:rsidRDefault="00FD45A3">
            <w:pPr>
              <w:jc w:val="center"/>
              <w:rPr>
                <w:sz w:val="18"/>
                <w:szCs w:val="18"/>
              </w:rPr>
            </w:pPr>
            <w:r>
              <w:rPr>
                <w:rFonts w:hint="eastAsia"/>
                <w:sz w:val="18"/>
                <w:szCs w:val="18"/>
              </w:rPr>
              <w:t>评价标准</w:t>
            </w:r>
          </w:p>
        </w:tc>
        <w:tc>
          <w:tcPr>
            <w:tcW w:w="785" w:type="pct"/>
            <w:vAlign w:val="center"/>
          </w:tcPr>
          <w:p w:rsidR="00EE4502" w:rsidRDefault="00FD45A3">
            <w:pPr>
              <w:jc w:val="center"/>
              <w:rPr>
                <w:sz w:val="18"/>
                <w:szCs w:val="18"/>
              </w:rPr>
            </w:pPr>
            <w:r>
              <w:rPr>
                <w:rFonts w:hint="eastAsia"/>
                <w:sz w:val="18"/>
                <w:szCs w:val="18"/>
              </w:rPr>
              <w:t>评价标准</w:t>
            </w:r>
          </w:p>
        </w:tc>
        <w:tc>
          <w:tcPr>
            <w:tcW w:w="1219" w:type="pct"/>
            <w:gridSpan w:val="4"/>
            <w:vAlign w:val="center"/>
          </w:tcPr>
          <w:p w:rsidR="00EE4502" w:rsidRDefault="00FD45A3">
            <w:pPr>
              <w:jc w:val="center"/>
              <w:rPr>
                <w:sz w:val="18"/>
                <w:szCs w:val="18"/>
              </w:rPr>
            </w:pPr>
            <w:r>
              <w:rPr>
                <w:rFonts w:hint="eastAsia"/>
                <w:sz w:val="18"/>
                <w:szCs w:val="18"/>
              </w:rPr>
              <w:t>国家标准√</w:t>
            </w:r>
          </w:p>
        </w:tc>
        <w:tc>
          <w:tcPr>
            <w:tcW w:w="1221" w:type="pct"/>
            <w:gridSpan w:val="3"/>
            <w:vAlign w:val="center"/>
          </w:tcPr>
          <w:p w:rsidR="00EE4502" w:rsidRDefault="00FD45A3">
            <w:pPr>
              <w:jc w:val="center"/>
              <w:rPr>
                <w:sz w:val="18"/>
                <w:szCs w:val="18"/>
              </w:rPr>
            </w:pPr>
            <w:r>
              <w:rPr>
                <w:rFonts w:hint="eastAsia"/>
                <w:sz w:val="18"/>
                <w:szCs w:val="18"/>
              </w:rPr>
              <w:t>地方标准□</w:t>
            </w:r>
          </w:p>
        </w:tc>
        <w:tc>
          <w:tcPr>
            <w:tcW w:w="1215" w:type="pct"/>
            <w:gridSpan w:val="3"/>
            <w:vAlign w:val="center"/>
          </w:tcPr>
          <w:p w:rsidR="00EE4502" w:rsidRDefault="00FD45A3">
            <w:pPr>
              <w:jc w:val="center"/>
              <w:rPr>
                <w:sz w:val="18"/>
                <w:szCs w:val="18"/>
              </w:rPr>
            </w:pPr>
            <w:r>
              <w:rPr>
                <w:rFonts w:hint="eastAsia"/>
                <w:sz w:val="18"/>
                <w:szCs w:val="18"/>
              </w:rPr>
              <w:t>国外标准□</w:t>
            </w:r>
          </w:p>
        </w:tc>
      </w:tr>
      <w:tr w:rsidR="00EE4502">
        <w:trPr>
          <w:trHeight w:val="340"/>
        </w:trPr>
        <w:tc>
          <w:tcPr>
            <w:tcW w:w="557" w:type="pct"/>
            <w:vMerge w:val="restart"/>
            <w:vAlign w:val="center"/>
          </w:tcPr>
          <w:p w:rsidR="00EE4502" w:rsidRDefault="00FD45A3">
            <w:pPr>
              <w:jc w:val="center"/>
              <w:rPr>
                <w:sz w:val="18"/>
                <w:szCs w:val="18"/>
              </w:rPr>
            </w:pPr>
            <w:r>
              <w:rPr>
                <w:rFonts w:hint="eastAsia"/>
                <w:sz w:val="18"/>
                <w:szCs w:val="18"/>
              </w:rPr>
              <w:t>现状评价</w:t>
            </w:r>
          </w:p>
        </w:tc>
        <w:tc>
          <w:tcPr>
            <w:tcW w:w="785" w:type="pct"/>
            <w:vAlign w:val="center"/>
          </w:tcPr>
          <w:p w:rsidR="00EE4502" w:rsidRDefault="00FD45A3">
            <w:pPr>
              <w:jc w:val="center"/>
              <w:rPr>
                <w:sz w:val="18"/>
                <w:szCs w:val="18"/>
              </w:rPr>
            </w:pPr>
            <w:r>
              <w:rPr>
                <w:rFonts w:hint="eastAsia"/>
                <w:sz w:val="18"/>
                <w:szCs w:val="18"/>
              </w:rPr>
              <w:t>环境功能区</w:t>
            </w:r>
          </w:p>
        </w:tc>
        <w:tc>
          <w:tcPr>
            <w:tcW w:w="606" w:type="pct"/>
            <w:vAlign w:val="center"/>
          </w:tcPr>
          <w:p w:rsidR="00EE4502" w:rsidRDefault="00FD45A3">
            <w:pPr>
              <w:jc w:val="center"/>
              <w:rPr>
                <w:sz w:val="18"/>
                <w:szCs w:val="18"/>
              </w:rPr>
            </w:pPr>
            <w:r>
              <w:rPr>
                <w:sz w:val="18"/>
                <w:szCs w:val="18"/>
              </w:rPr>
              <w:t xml:space="preserve">0 </w:t>
            </w:r>
            <w:r>
              <w:rPr>
                <w:rFonts w:hint="eastAsia"/>
                <w:sz w:val="18"/>
                <w:szCs w:val="18"/>
              </w:rPr>
              <w:t>类区□</w:t>
            </w:r>
          </w:p>
        </w:tc>
        <w:tc>
          <w:tcPr>
            <w:tcW w:w="612" w:type="pct"/>
            <w:gridSpan w:val="3"/>
            <w:vAlign w:val="center"/>
          </w:tcPr>
          <w:p w:rsidR="00EE4502" w:rsidRDefault="00FD45A3">
            <w:pPr>
              <w:jc w:val="center"/>
              <w:rPr>
                <w:sz w:val="18"/>
                <w:szCs w:val="18"/>
              </w:rPr>
            </w:pPr>
            <w:r>
              <w:rPr>
                <w:sz w:val="18"/>
                <w:szCs w:val="18"/>
              </w:rPr>
              <w:t xml:space="preserve">1 </w:t>
            </w:r>
            <w:r>
              <w:rPr>
                <w:rFonts w:hint="eastAsia"/>
                <w:sz w:val="18"/>
                <w:szCs w:val="18"/>
              </w:rPr>
              <w:t>类区□</w:t>
            </w:r>
          </w:p>
        </w:tc>
        <w:tc>
          <w:tcPr>
            <w:tcW w:w="595" w:type="pct"/>
            <w:vAlign w:val="center"/>
          </w:tcPr>
          <w:p w:rsidR="00EE4502" w:rsidRDefault="00FD45A3">
            <w:pPr>
              <w:jc w:val="center"/>
              <w:rPr>
                <w:sz w:val="18"/>
                <w:szCs w:val="18"/>
              </w:rPr>
            </w:pPr>
            <w:r>
              <w:rPr>
                <w:sz w:val="18"/>
                <w:szCs w:val="18"/>
              </w:rPr>
              <w:t xml:space="preserve">2 </w:t>
            </w:r>
            <w:r>
              <w:rPr>
                <w:rFonts w:hint="eastAsia"/>
                <w:sz w:val="18"/>
                <w:szCs w:val="18"/>
              </w:rPr>
              <w:t>类区√</w:t>
            </w:r>
          </w:p>
        </w:tc>
        <w:tc>
          <w:tcPr>
            <w:tcW w:w="626" w:type="pct"/>
            <w:gridSpan w:val="2"/>
            <w:vAlign w:val="center"/>
          </w:tcPr>
          <w:p w:rsidR="00EE4502" w:rsidRDefault="00FD45A3">
            <w:pPr>
              <w:jc w:val="center"/>
              <w:rPr>
                <w:sz w:val="18"/>
                <w:szCs w:val="18"/>
              </w:rPr>
            </w:pPr>
            <w:r>
              <w:rPr>
                <w:sz w:val="18"/>
                <w:szCs w:val="18"/>
              </w:rPr>
              <w:t xml:space="preserve">3 </w:t>
            </w:r>
            <w:r>
              <w:rPr>
                <w:rFonts w:hint="eastAsia"/>
                <w:sz w:val="18"/>
                <w:szCs w:val="18"/>
              </w:rPr>
              <w:t>类区□</w:t>
            </w:r>
          </w:p>
        </w:tc>
        <w:tc>
          <w:tcPr>
            <w:tcW w:w="588" w:type="pct"/>
            <w:gridSpan w:val="2"/>
            <w:vAlign w:val="center"/>
          </w:tcPr>
          <w:p w:rsidR="00EE4502" w:rsidRDefault="00FD45A3">
            <w:pPr>
              <w:jc w:val="center"/>
              <w:rPr>
                <w:sz w:val="18"/>
                <w:szCs w:val="18"/>
              </w:rPr>
            </w:pPr>
            <w:r>
              <w:rPr>
                <w:sz w:val="18"/>
                <w:szCs w:val="18"/>
              </w:rPr>
              <w:t xml:space="preserve">4a </w:t>
            </w:r>
            <w:r>
              <w:rPr>
                <w:rFonts w:hint="eastAsia"/>
                <w:sz w:val="18"/>
                <w:szCs w:val="18"/>
              </w:rPr>
              <w:t>类区□</w:t>
            </w:r>
          </w:p>
        </w:tc>
        <w:tc>
          <w:tcPr>
            <w:tcW w:w="626" w:type="pct"/>
            <w:vAlign w:val="center"/>
          </w:tcPr>
          <w:p w:rsidR="00EE4502" w:rsidRDefault="00FD45A3">
            <w:pPr>
              <w:jc w:val="center"/>
              <w:rPr>
                <w:sz w:val="18"/>
                <w:szCs w:val="18"/>
              </w:rPr>
            </w:pPr>
            <w:r>
              <w:rPr>
                <w:sz w:val="18"/>
                <w:szCs w:val="18"/>
              </w:rPr>
              <w:t xml:space="preserve">4b </w:t>
            </w:r>
            <w:r>
              <w:rPr>
                <w:rFonts w:hint="eastAsia"/>
                <w:sz w:val="18"/>
                <w:szCs w:val="18"/>
              </w:rPr>
              <w:t>类区□</w:t>
            </w:r>
          </w:p>
        </w:tc>
      </w:tr>
      <w:tr w:rsidR="00EE4502">
        <w:trPr>
          <w:trHeight w:val="340"/>
        </w:trPr>
        <w:tc>
          <w:tcPr>
            <w:tcW w:w="557" w:type="pct"/>
            <w:vMerge/>
            <w:vAlign w:val="center"/>
          </w:tcPr>
          <w:p w:rsidR="00EE4502" w:rsidRDefault="00EE4502">
            <w:pPr>
              <w:widowControl/>
              <w:jc w:val="center"/>
              <w:rPr>
                <w:rFonts w:ascii="宋体" w:hAnsi="宋体"/>
                <w:sz w:val="18"/>
                <w:szCs w:val="18"/>
              </w:rPr>
            </w:pPr>
          </w:p>
        </w:tc>
        <w:tc>
          <w:tcPr>
            <w:tcW w:w="785" w:type="pct"/>
            <w:vAlign w:val="center"/>
          </w:tcPr>
          <w:p w:rsidR="00EE4502" w:rsidRDefault="00FD45A3">
            <w:pPr>
              <w:jc w:val="center"/>
              <w:rPr>
                <w:sz w:val="18"/>
                <w:szCs w:val="18"/>
              </w:rPr>
            </w:pPr>
            <w:r>
              <w:rPr>
                <w:rFonts w:hint="eastAsia"/>
                <w:sz w:val="18"/>
                <w:szCs w:val="18"/>
              </w:rPr>
              <w:t>评价年度</w:t>
            </w:r>
          </w:p>
        </w:tc>
        <w:tc>
          <w:tcPr>
            <w:tcW w:w="912" w:type="pct"/>
            <w:gridSpan w:val="2"/>
            <w:vAlign w:val="center"/>
          </w:tcPr>
          <w:p w:rsidR="00EE4502" w:rsidRDefault="00FD45A3">
            <w:pPr>
              <w:jc w:val="center"/>
              <w:rPr>
                <w:sz w:val="18"/>
                <w:szCs w:val="18"/>
              </w:rPr>
            </w:pPr>
            <w:r>
              <w:rPr>
                <w:rFonts w:hint="eastAsia"/>
                <w:sz w:val="18"/>
                <w:szCs w:val="18"/>
              </w:rPr>
              <w:t>初期□</w:t>
            </w:r>
          </w:p>
        </w:tc>
        <w:tc>
          <w:tcPr>
            <w:tcW w:w="902" w:type="pct"/>
            <w:gridSpan w:val="3"/>
            <w:vAlign w:val="center"/>
          </w:tcPr>
          <w:p w:rsidR="00EE4502" w:rsidRDefault="00FD45A3">
            <w:pPr>
              <w:jc w:val="center"/>
              <w:rPr>
                <w:sz w:val="18"/>
                <w:szCs w:val="18"/>
              </w:rPr>
            </w:pPr>
            <w:r>
              <w:rPr>
                <w:rFonts w:hint="eastAsia"/>
                <w:sz w:val="18"/>
                <w:szCs w:val="18"/>
              </w:rPr>
              <w:t>近期√</w:t>
            </w:r>
          </w:p>
        </w:tc>
        <w:tc>
          <w:tcPr>
            <w:tcW w:w="931" w:type="pct"/>
            <w:gridSpan w:val="3"/>
            <w:vAlign w:val="center"/>
          </w:tcPr>
          <w:p w:rsidR="00EE4502" w:rsidRDefault="00FD45A3">
            <w:pPr>
              <w:jc w:val="center"/>
              <w:rPr>
                <w:sz w:val="18"/>
                <w:szCs w:val="18"/>
              </w:rPr>
            </w:pPr>
            <w:r>
              <w:rPr>
                <w:rFonts w:hint="eastAsia"/>
                <w:sz w:val="18"/>
                <w:szCs w:val="18"/>
              </w:rPr>
              <w:t>中期□</w:t>
            </w:r>
          </w:p>
        </w:tc>
        <w:tc>
          <w:tcPr>
            <w:tcW w:w="909" w:type="pct"/>
            <w:gridSpan w:val="2"/>
            <w:vAlign w:val="center"/>
          </w:tcPr>
          <w:p w:rsidR="00EE4502" w:rsidRDefault="00FD45A3">
            <w:pPr>
              <w:jc w:val="center"/>
              <w:rPr>
                <w:sz w:val="18"/>
                <w:szCs w:val="18"/>
              </w:rPr>
            </w:pPr>
            <w:r>
              <w:rPr>
                <w:rFonts w:hint="eastAsia"/>
                <w:sz w:val="18"/>
                <w:szCs w:val="18"/>
              </w:rPr>
              <w:t>远期□</w:t>
            </w:r>
          </w:p>
        </w:tc>
      </w:tr>
      <w:tr w:rsidR="00EE4502">
        <w:trPr>
          <w:trHeight w:val="340"/>
        </w:trPr>
        <w:tc>
          <w:tcPr>
            <w:tcW w:w="557" w:type="pct"/>
            <w:vMerge/>
            <w:vAlign w:val="center"/>
          </w:tcPr>
          <w:p w:rsidR="00EE4502" w:rsidRDefault="00EE4502">
            <w:pPr>
              <w:widowControl/>
              <w:jc w:val="center"/>
              <w:rPr>
                <w:rFonts w:ascii="宋体" w:hAnsi="宋体"/>
                <w:sz w:val="18"/>
                <w:szCs w:val="18"/>
              </w:rPr>
            </w:pPr>
          </w:p>
        </w:tc>
        <w:tc>
          <w:tcPr>
            <w:tcW w:w="785" w:type="pct"/>
            <w:vAlign w:val="center"/>
          </w:tcPr>
          <w:p w:rsidR="00EE4502" w:rsidRDefault="00FD45A3">
            <w:pPr>
              <w:jc w:val="center"/>
              <w:rPr>
                <w:sz w:val="18"/>
                <w:szCs w:val="18"/>
              </w:rPr>
            </w:pPr>
            <w:r>
              <w:rPr>
                <w:rFonts w:hint="eastAsia"/>
                <w:sz w:val="18"/>
                <w:szCs w:val="18"/>
              </w:rPr>
              <w:t>现状调查方法</w:t>
            </w:r>
          </w:p>
        </w:tc>
        <w:tc>
          <w:tcPr>
            <w:tcW w:w="3656" w:type="pct"/>
            <w:gridSpan w:val="10"/>
            <w:vAlign w:val="center"/>
          </w:tcPr>
          <w:p w:rsidR="00EE4502" w:rsidRDefault="00FD45A3">
            <w:pPr>
              <w:jc w:val="center"/>
              <w:rPr>
                <w:sz w:val="18"/>
                <w:szCs w:val="18"/>
              </w:rPr>
            </w:pPr>
            <w:r>
              <w:rPr>
                <w:rFonts w:hint="eastAsia"/>
                <w:sz w:val="18"/>
                <w:szCs w:val="18"/>
              </w:rPr>
              <w:t>现场实测法√</w:t>
            </w:r>
            <w:r>
              <w:rPr>
                <w:rFonts w:hint="eastAsia"/>
                <w:sz w:val="18"/>
                <w:szCs w:val="18"/>
              </w:rPr>
              <w:t xml:space="preserve">    </w:t>
            </w:r>
            <w:r>
              <w:rPr>
                <w:rFonts w:hint="eastAsia"/>
                <w:sz w:val="18"/>
                <w:szCs w:val="18"/>
              </w:rPr>
              <w:t>现场实测加模型计算法□</w:t>
            </w:r>
            <w:r>
              <w:rPr>
                <w:rFonts w:hint="eastAsia"/>
                <w:sz w:val="18"/>
                <w:szCs w:val="18"/>
              </w:rPr>
              <w:t xml:space="preserve">    </w:t>
            </w:r>
            <w:r>
              <w:rPr>
                <w:rFonts w:hint="eastAsia"/>
                <w:sz w:val="18"/>
                <w:szCs w:val="18"/>
              </w:rPr>
              <w:t>收集资料□</w:t>
            </w:r>
          </w:p>
        </w:tc>
      </w:tr>
      <w:tr w:rsidR="00EE4502">
        <w:trPr>
          <w:trHeight w:val="340"/>
        </w:trPr>
        <w:tc>
          <w:tcPr>
            <w:tcW w:w="557" w:type="pct"/>
            <w:vMerge/>
            <w:vAlign w:val="center"/>
          </w:tcPr>
          <w:p w:rsidR="00EE4502" w:rsidRDefault="00EE4502">
            <w:pPr>
              <w:widowControl/>
              <w:jc w:val="center"/>
              <w:rPr>
                <w:rFonts w:ascii="宋体" w:hAnsi="宋体"/>
                <w:sz w:val="18"/>
                <w:szCs w:val="18"/>
              </w:rPr>
            </w:pPr>
          </w:p>
        </w:tc>
        <w:tc>
          <w:tcPr>
            <w:tcW w:w="785" w:type="pct"/>
            <w:vAlign w:val="center"/>
          </w:tcPr>
          <w:p w:rsidR="00EE4502" w:rsidRDefault="00FD45A3">
            <w:pPr>
              <w:jc w:val="center"/>
              <w:rPr>
                <w:sz w:val="18"/>
                <w:szCs w:val="18"/>
              </w:rPr>
            </w:pPr>
            <w:r>
              <w:rPr>
                <w:rFonts w:hint="eastAsia"/>
                <w:sz w:val="18"/>
                <w:szCs w:val="18"/>
              </w:rPr>
              <w:t>现状评价</w:t>
            </w:r>
          </w:p>
        </w:tc>
        <w:tc>
          <w:tcPr>
            <w:tcW w:w="1087" w:type="pct"/>
            <w:gridSpan w:val="3"/>
            <w:vAlign w:val="center"/>
          </w:tcPr>
          <w:p w:rsidR="00EE4502" w:rsidRDefault="00FD45A3">
            <w:pPr>
              <w:jc w:val="center"/>
              <w:rPr>
                <w:sz w:val="18"/>
                <w:szCs w:val="18"/>
              </w:rPr>
            </w:pPr>
            <w:r>
              <w:rPr>
                <w:rFonts w:hint="eastAsia"/>
                <w:sz w:val="18"/>
                <w:szCs w:val="18"/>
              </w:rPr>
              <w:t>达标百分比</w:t>
            </w:r>
          </w:p>
        </w:tc>
        <w:tc>
          <w:tcPr>
            <w:tcW w:w="2568" w:type="pct"/>
            <w:gridSpan w:val="7"/>
            <w:vAlign w:val="center"/>
          </w:tcPr>
          <w:p w:rsidR="00EE4502" w:rsidRDefault="00FD45A3">
            <w:pPr>
              <w:jc w:val="center"/>
              <w:rPr>
                <w:sz w:val="18"/>
                <w:szCs w:val="18"/>
              </w:rPr>
            </w:pPr>
            <w:r>
              <w:rPr>
                <w:rFonts w:hint="eastAsia"/>
                <w:sz w:val="18"/>
                <w:szCs w:val="18"/>
              </w:rPr>
              <w:t>100%</w:t>
            </w:r>
          </w:p>
        </w:tc>
      </w:tr>
      <w:tr w:rsidR="00EE4502">
        <w:trPr>
          <w:trHeight w:val="340"/>
        </w:trPr>
        <w:tc>
          <w:tcPr>
            <w:tcW w:w="557" w:type="pct"/>
            <w:vAlign w:val="center"/>
          </w:tcPr>
          <w:p w:rsidR="00EE4502" w:rsidRDefault="00FD45A3">
            <w:pPr>
              <w:jc w:val="center"/>
              <w:rPr>
                <w:sz w:val="18"/>
                <w:szCs w:val="18"/>
              </w:rPr>
            </w:pPr>
            <w:r>
              <w:rPr>
                <w:rFonts w:hint="eastAsia"/>
                <w:sz w:val="18"/>
                <w:szCs w:val="18"/>
              </w:rPr>
              <w:t>噪声源调查</w:t>
            </w:r>
          </w:p>
        </w:tc>
        <w:tc>
          <w:tcPr>
            <w:tcW w:w="785" w:type="pct"/>
            <w:vAlign w:val="center"/>
          </w:tcPr>
          <w:p w:rsidR="00EE4502" w:rsidRDefault="00FD45A3">
            <w:pPr>
              <w:jc w:val="center"/>
              <w:rPr>
                <w:sz w:val="18"/>
                <w:szCs w:val="18"/>
              </w:rPr>
            </w:pPr>
            <w:r>
              <w:rPr>
                <w:rFonts w:hint="eastAsia"/>
                <w:sz w:val="18"/>
                <w:szCs w:val="18"/>
              </w:rPr>
              <w:t>噪声源调查方法</w:t>
            </w:r>
          </w:p>
        </w:tc>
        <w:tc>
          <w:tcPr>
            <w:tcW w:w="3656" w:type="pct"/>
            <w:gridSpan w:val="10"/>
            <w:vAlign w:val="center"/>
          </w:tcPr>
          <w:p w:rsidR="00EE4502" w:rsidRDefault="00FD45A3">
            <w:pPr>
              <w:jc w:val="center"/>
              <w:rPr>
                <w:sz w:val="18"/>
                <w:szCs w:val="18"/>
              </w:rPr>
            </w:pPr>
            <w:r>
              <w:rPr>
                <w:rFonts w:hint="eastAsia"/>
                <w:sz w:val="18"/>
                <w:szCs w:val="18"/>
              </w:rPr>
              <w:t>现场实测□</w:t>
            </w:r>
            <w:r>
              <w:rPr>
                <w:rFonts w:hint="eastAsia"/>
                <w:sz w:val="18"/>
                <w:szCs w:val="18"/>
              </w:rPr>
              <w:t xml:space="preserve">    </w:t>
            </w:r>
            <w:r>
              <w:rPr>
                <w:rFonts w:hint="eastAsia"/>
                <w:sz w:val="18"/>
                <w:szCs w:val="18"/>
              </w:rPr>
              <w:t>已有资料√</w:t>
            </w:r>
            <w:r>
              <w:rPr>
                <w:rFonts w:hint="eastAsia"/>
                <w:sz w:val="18"/>
                <w:szCs w:val="18"/>
              </w:rPr>
              <w:t xml:space="preserve">    </w:t>
            </w:r>
            <w:r>
              <w:rPr>
                <w:rFonts w:hint="eastAsia"/>
                <w:sz w:val="18"/>
                <w:szCs w:val="18"/>
              </w:rPr>
              <w:t>研究成果□</w:t>
            </w:r>
          </w:p>
        </w:tc>
      </w:tr>
      <w:tr w:rsidR="00EE4502">
        <w:trPr>
          <w:trHeight w:val="340"/>
        </w:trPr>
        <w:tc>
          <w:tcPr>
            <w:tcW w:w="557" w:type="pct"/>
            <w:vMerge w:val="restart"/>
            <w:vAlign w:val="center"/>
          </w:tcPr>
          <w:p w:rsidR="00EE4502" w:rsidRDefault="00FD45A3">
            <w:pPr>
              <w:jc w:val="center"/>
              <w:rPr>
                <w:sz w:val="18"/>
                <w:szCs w:val="18"/>
              </w:rPr>
            </w:pPr>
            <w:r>
              <w:rPr>
                <w:rFonts w:hint="eastAsia"/>
                <w:sz w:val="18"/>
                <w:szCs w:val="18"/>
              </w:rPr>
              <w:t>声环境影响预测与评价</w:t>
            </w:r>
          </w:p>
        </w:tc>
        <w:tc>
          <w:tcPr>
            <w:tcW w:w="785" w:type="pct"/>
            <w:vAlign w:val="center"/>
          </w:tcPr>
          <w:p w:rsidR="00EE4502" w:rsidRDefault="00FD45A3">
            <w:pPr>
              <w:jc w:val="center"/>
              <w:rPr>
                <w:sz w:val="18"/>
                <w:szCs w:val="18"/>
              </w:rPr>
            </w:pPr>
            <w:r>
              <w:rPr>
                <w:rFonts w:hint="eastAsia"/>
                <w:sz w:val="18"/>
                <w:szCs w:val="18"/>
              </w:rPr>
              <w:t>预测模型</w:t>
            </w:r>
          </w:p>
        </w:tc>
        <w:tc>
          <w:tcPr>
            <w:tcW w:w="3656" w:type="pct"/>
            <w:gridSpan w:val="10"/>
            <w:vAlign w:val="center"/>
          </w:tcPr>
          <w:p w:rsidR="00EE4502" w:rsidRDefault="00FD45A3">
            <w:pPr>
              <w:jc w:val="center"/>
              <w:rPr>
                <w:sz w:val="18"/>
                <w:szCs w:val="18"/>
              </w:rPr>
            </w:pPr>
            <w:r>
              <w:rPr>
                <w:rFonts w:hint="eastAsia"/>
                <w:sz w:val="18"/>
                <w:szCs w:val="18"/>
              </w:rPr>
              <w:t>导则推荐模型√</w:t>
            </w:r>
            <w:r>
              <w:rPr>
                <w:rFonts w:hint="eastAsia"/>
                <w:sz w:val="18"/>
                <w:szCs w:val="18"/>
              </w:rPr>
              <w:t xml:space="preserve">           </w:t>
            </w:r>
            <w:r>
              <w:rPr>
                <w:rFonts w:hint="eastAsia"/>
                <w:sz w:val="18"/>
                <w:szCs w:val="18"/>
              </w:rPr>
              <w:t>其他□</w:t>
            </w:r>
          </w:p>
        </w:tc>
      </w:tr>
      <w:tr w:rsidR="00EE4502">
        <w:trPr>
          <w:trHeight w:val="340"/>
        </w:trPr>
        <w:tc>
          <w:tcPr>
            <w:tcW w:w="557" w:type="pct"/>
            <w:vMerge/>
            <w:vAlign w:val="center"/>
          </w:tcPr>
          <w:p w:rsidR="00EE4502" w:rsidRDefault="00EE4502">
            <w:pPr>
              <w:widowControl/>
              <w:jc w:val="center"/>
              <w:rPr>
                <w:rFonts w:ascii="宋体" w:hAnsi="宋体"/>
                <w:sz w:val="18"/>
                <w:szCs w:val="18"/>
              </w:rPr>
            </w:pPr>
          </w:p>
        </w:tc>
        <w:tc>
          <w:tcPr>
            <w:tcW w:w="785" w:type="pct"/>
            <w:vAlign w:val="center"/>
          </w:tcPr>
          <w:p w:rsidR="00EE4502" w:rsidRDefault="00FD45A3">
            <w:pPr>
              <w:jc w:val="center"/>
              <w:rPr>
                <w:sz w:val="18"/>
                <w:szCs w:val="18"/>
              </w:rPr>
            </w:pPr>
            <w:r>
              <w:rPr>
                <w:rFonts w:hint="eastAsia"/>
                <w:sz w:val="18"/>
                <w:szCs w:val="18"/>
              </w:rPr>
              <w:t>预测范围</w:t>
            </w:r>
          </w:p>
        </w:tc>
        <w:tc>
          <w:tcPr>
            <w:tcW w:w="3656" w:type="pct"/>
            <w:gridSpan w:val="10"/>
            <w:vAlign w:val="center"/>
          </w:tcPr>
          <w:p w:rsidR="00EE4502" w:rsidRDefault="00FD45A3">
            <w:pPr>
              <w:jc w:val="center"/>
              <w:rPr>
                <w:sz w:val="18"/>
                <w:szCs w:val="18"/>
              </w:rPr>
            </w:pPr>
            <w:r>
              <w:rPr>
                <w:sz w:val="18"/>
                <w:szCs w:val="18"/>
              </w:rPr>
              <w:t>200 m</w:t>
            </w:r>
            <w:r>
              <w:rPr>
                <w:rFonts w:hint="eastAsia"/>
                <w:sz w:val="18"/>
                <w:szCs w:val="18"/>
              </w:rPr>
              <w:t>√</w:t>
            </w:r>
            <w:r>
              <w:rPr>
                <w:rFonts w:hint="eastAsia"/>
                <w:sz w:val="18"/>
                <w:szCs w:val="18"/>
              </w:rPr>
              <w:t xml:space="preserve">       </w:t>
            </w:r>
            <w:r>
              <w:rPr>
                <w:rFonts w:hint="eastAsia"/>
                <w:sz w:val="18"/>
                <w:szCs w:val="18"/>
              </w:rPr>
              <w:t>大于</w:t>
            </w:r>
            <w:r>
              <w:rPr>
                <w:rFonts w:hint="eastAsia"/>
                <w:sz w:val="18"/>
                <w:szCs w:val="18"/>
              </w:rPr>
              <w:t xml:space="preserve"> </w:t>
            </w:r>
            <w:r>
              <w:rPr>
                <w:sz w:val="18"/>
                <w:szCs w:val="18"/>
              </w:rPr>
              <w:t>200 m</w:t>
            </w:r>
            <w:r>
              <w:rPr>
                <w:rFonts w:hint="eastAsia"/>
                <w:sz w:val="18"/>
                <w:szCs w:val="18"/>
              </w:rPr>
              <w:t>□</w:t>
            </w:r>
            <w:r>
              <w:rPr>
                <w:rFonts w:hint="eastAsia"/>
                <w:sz w:val="18"/>
                <w:szCs w:val="18"/>
              </w:rPr>
              <w:t xml:space="preserve">       </w:t>
            </w:r>
            <w:r>
              <w:rPr>
                <w:rFonts w:hint="eastAsia"/>
                <w:sz w:val="18"/>
                <w:szCs w:val="18"/>
              </w:rPr>
              <w:t>小于</w:t>
            </w:r>
            <w:r>
              <w:rPr>
                <w:rFonts w:hint="eastAsia"/>
                <w:sz w:val="18"/>
                <w:szCs w:val="18"/>
              </w:rPr>
              <w:t xml:space="preserve"> </w:t>
            </w:r>
            <w:r>
              <w:rPr>
                <w:sz w:val="18"/>
                <w:szCs w:val="18"/>
              </w:rPr>
              <w:t>200 m</w:t>
            </w:r>
            <w:r>
              <w:rPr>
                <w:rFonts w:hint="eastAsia"/>
                <w:sz w:val="18"/>
                <w:szCs w:val="18"/>
              </w:rPr>
              <w:t>□</w:t>
            </w:r>
          </w:p>
        </w:tc>
      </w:tr>
      <w:tr w:rsidR="00EE4502">
        <w:trPr>
          <w:trHeight w:val="340"/>
        </w:trPr>
        <w:tc>
          <w:tcPr>
            <w:tcW w:w="557" w:type="pct"/>
            <w:vMerge/>
            <w:vAlign w:val="center"/>
          </w:tcPr>
          <w:p w:rsidR="00EE4502" w:rsidRDefault="00EE4502">
            <w:pPr>
              <w:widowControl/>
              <w:jc w:val="center"/>
              <w:rPr>
                <w:rFonts w:ascii="宋体" w:hAnsi="宋体"/>
                <w:sz w:val="18"/>
                <w:szCs w:val="18"/>
              </w:rPr>
            </w:pPr>
          </w:p>
        </w:tc>
        <w:tc>
          <w:tcPr>
            <w:tcW w:w="785" w:type="pct"/>
            <w:vAlign w:val="center"/>
          </w:tcPr>
          <w:p w:rsidR="00EE4502" w:rsidRDefault="00FD45A3">
            <w:pPr>
              <w:jc w:val="center"/>
              <w:rPr>
                <w:sz w:val="18"/>
                <w:szCs w:val="18"/>
              </w:rPr>
            </w:pPr>
            <w:r>
              <w:rPr>
                <w:rFonts w:hint="eastAsia"/>
                <w:sz w:val="18"/>
                <w:szCs w:val="18"/>
              </w:rPr>
              <w:t>预测因子</w:t>
            </w:r>
          </w:p>
        </w:tc>
        <w:tc>
          <w:tcPr>
            <w:tcW w:w="3656" w:type="pct"/>
            <w:gridSpan w:val="10"/>
            <w:vAlign w:val="center"/>
          </w:tcPr>
          <w:p w:rsidR="00EE4502" w:rsidRDefault="00FD45A3">
            <w:pPr>
              <w:jc w:val="center"/>
              <w:rPr>
                <w:sz w:val="18"/>
                <w:szCs w:val="18"/>
              </w:rPr>
            </w:pPr>
            <w:r>
              <w:rPr>
                <w:rFonts w:hint="eastAsia"/>
                <w:sz w:val="18"/>
                <w:szCs w:val="18"/>
              </w:rPr>
              <w:t>等效连续</w:t>
            </w:r>
            <w:r>
              <w:rPr>
                <w:rFonts w:hint="eastAsia"/>
                <w:sz w:val="18"/>
                <w:szCs w:val="18"/>
              </w:rPr>
              <w:t xml:space="preserve"> </w:t>
            </w:r>
            <w:r>
              <w:rPr>
                <w:sz w:val="18"/>
                <w:szCs w:val="18"/>
              </w:rPr>
              <w:t xml:space="preserve">A </w:t>
            </w:r>
            <w:r>
              <w:rPr>
                <w:rFonts w:hint="eastAsia"/>
                <w:sz w:val="18"/>
                <w:szCs w:val="18"/>
              </w:rPr>
              <w:t>声级√</w:t>
            </w:r>
            <w:r>
              <w:rPr>
                <w:rFonts w:hint="eastAsia"/>
                <w:sz w:val="18"/>
                <w:szCs w:val="18"/>
              </w:rPr>
              <w:t xml:space="preserve">    </w:t>
            </w:r>
            <w:r>
              <w:rPr>
                <w:rFonts w:hint="eastAsia"/>
                <w:sz w:val="18"/>
                <w:szCs w:val="18"/>
              </w:rPr>
              <w:t>最大</w:t>
            </w:r>
            <w:r>
              <w:rPr>
                <w:rFonts w:hint="eastAsia"/>
                <w:sz w:val="18"/>
                <w:szCs w:val="18"/>
              </w:rPr>
              <w:t xml:space="preserve"> </w:t>
            </w:r>
            <w:r>
              <w:rPr>
                <w:sz w:val="18"/>
                <w:szCs w:val="18"/>
              </w:rPr>
              <w:t xml:space="preserve">A </w:t>
            </w:r>
            <w:r>
              <w:rPr>
                <w:rFonts w:hint="eastAsia"/>
                <w:sz w:val="18"/>
                <w:szCs w:val="18"/>
              </w:rPr>
              <w:t>声级□</w:t>
            </w:r>
            <w:r>
              <w:rPr>
                <w:rFonts w:hint="eastAsia"/>
                <w:sz w:val="18"/>
                <w:szCs w:val="18"/>
              </w:rPr>
              <w:t xml:space="preserve">    </w:t>
            </w:r>
            <w:r>
              <w:rPr>
                <w:rFonts w:hint="eastAsia"/>
                <w:sz w:val="18"/>
                <w:szCs w:val="18"/>
              </w:rPr>
              <w:t>计权等效连续感觉噪声级□</w:t>
            </w:r>
          </w:p>
        </w:tc>
      </w:tr>
      <w:tr w:rsidR="00EE4502">
        <w:trPr>
          <w:trHeight w:val="340"/>
        </w:trPr>
        <w:tc>
          <w:tcPr>
            <w:tcW w:w="557" w:type="pct"/>
            <w:vMerge/>
            <w:vAlign w:val="center"/>
          </w:tcPr>
          <w:p w:rsidR="00EE4502" w:rsidRDefault="00EE4502">
            <w:pPr>
              <w:widowControl/>
              <w:jc w:val="center"/>
              <w:rPr>
                <w:rFonts w:ascii="宋体" w:hAnsi="宋体"/>
                <w:sz w:val="18"/>
                <w:szCs w:val="18"/>
              </w:rPr>
            </w:pPr>
          </w:p>
        </w:tc>
        <w:tc>
          <w:tcPr>
            <w:tcW w:w="785" w:type="pct"/>
            <w:vAlign w:val="center"/>
          </w:tcPr>
          <w:p w:rsidR="00EE4502" w:rsidRDefault="00FD45A3">
            <w:pPr>
              <w:jc w:val="center"/>
              <w:rPr>
                <w:sz w:val="18"/>
                <w:szCs w:val="18"/>
              </w:rPr>
            </w:pPr>
            <w:r>
              <w:rPr>
                <w:rFonts w:hint="eastAsia"/>
                <w:sz w:val="18"/>
                <w:szCs w:val="18"/>
              </w:rPr>
              <w:t>厂界噪声贡献值</w:t>
            </w:r>
          </w:p>
        </w:tc>
        <w:tc>
          <w:tcPr>
            <w:tcW w:w="3656" w:type="pct"/>
            <w:gridSpan w:val="10"/>
            <w:vAlign w:val="center"/>
          </w:tcPr>
          <w:p w:rsidR="00EE4502" w:rsidRDefault="00FD45A3">
            <w:pPr>
              <w:jc w:val="center"/>
              <w:rPr>
                <w:sz w:val="18"/>
                <w:szCs w:val="18"/>
              </w:rPr>
            </w:pPr>
            <w:r>
              <w:rPr>
                <w:rFonts w:hint="eastAsia"/>
                <w:sz w:val="18"/>
                <w:szCs w:val="18"/>
              </w:rPr>
              <w:t>达标√</w:t>
            </w:r>
            <w:r>
              <w:rPr>
                <w:rFonts w:hint="eastAsia"/>
                <w:sz w:val="18"/>
                <w:szCs w:val="18"/>
              </w:rPr>
              <w:t xml:space="preserve">       </w:t>
            </w:r>
            <w:r>
              <w:rPr>
                <w:rFonts w:hint="eastAsia"/>
                <w:sz w:val="18"/>
                <w:szCs w:val="18"/>
              </w:rPr>
              <w:t>不达标□</w:t>
            </w:r>
          </w:p>
        </w:tc>
      </w:tr>
      <w:tr w:rsidR="00EE4502">
        <w:trPr>
          <w:trHeight w:val="340"/>
        </w:trPr>
        <w:tc>
          <w:tcPr>
            <w:tcW w:w="557" w:type="pct"/>
            <w:vMerge/>
            <w:vAlign w:val="center"/>
          </w:tcPr>
          <w:p w:rsidR="00EE4502" w:rsidRDefault="00EE4502">
            <w:pPr>
              <w:widowControl/>
              <w:jc w:val="center"/>
              <w:rPr>
                <w:rFonts w:ascii="宋体" w:hAnsi="宋体"/>
                <w:sz w:val="18"/>
                <w:szCs w:val="18"/>
              </w:rPr>
            </w:pPr>
          </w:p>
        </w:tc>
        <w:tc>
          <w:tcPr>
            <w:tcW w:w="785" w:type="pct"/>
            <w:vAlign w:val="center"/>
          </w:tcPr>
          <w:p w:rsidR="00EE4502" w:rsidRDefault="00FD45A3">
            <w:pPr>
              <w:jc w:val="center"/>
              <w:rPr>
                <w:sz w:val="18"/>
                <w:szCs w:val="18"/>
              </w:rPr>
            </w:pPr>
            <w:r>
              <w:rPr>
                <w:rFonts w:hint="eastAsia"/>
                <w:sz w:val="18"/>
                <w:szCs w:val="18"/>
              </w:rPr>
              <w:t>声环境保护目标处噪声值</w:t>
            </w:r>
          </w:p>
        </w:tc>
        <w:tc>
          <w:tcPr>
            <w:tcW w:w="3656" w:type="pct"/>
            <w:gridSpan w:val="10"/>
            <w:vAlign w:val="center"/>
          </w:tcPr>
          <w:p w:rsidR="00EE4502" w:rsidRDefault="00FD45A3">
            <w:pPr>
              <w:jc w:val="center"/>
              <w:rPr>
                <w:sz w:val="18"/>
                <w:szCs w:val="18"/>
              </w:rPr>
            </w:pPr>
            <w:r>
              <w:rPr>
                <w:rFonts w:hint="eastAsia"/>
                <w:sz w:val="18"/>
                <w:szCs w:val="18"/>
              </w:rPr>
              <w:t>达标□</w:t>
            </w:r>
            <w:r>
              <w:rPr>
                <w:rFonts w:hint="eastAsia"/>
                <w:sz w:val="18"/>
                <w:szCs w:val="18"/>
              </w:rPr>
              <w:t xml:space="preserve">       </w:t>
            </w:r>
            <w:r>
              <w:rPr>
                <w:rFonts w:hint="eastAsia"/>
                <w:sz w:val="18"/>
                <w:szCs w:val="18"/>
              </w:rPr>
              <w:t>不达标□</w:t>
            </w:r>
          </w:p>
        </w:tc>
      </w:tr>
      <w:tr w:rsidR="00EE4502">
        <w:trPr>
          <w:trHeight w:val="340"/>
        </w:trPr>
        <w:tc>
          <w:tcPr>
            <w:tcW w:w="557" w:type="pct"/>
            <w:vMerge w:val="restart"/>
            <w:vAlign w:val="center"/>
          </w:tcPr>
          <w:p w:rsidR="00EE4502" w:rsidRDefault="00FD45A3">
            <w:pPr>
              <w:jc w:val="center"/>
              <w:rPr>
                <w:sz w:val="18"/>
                <w:szCs w:val="18"/>
              </w:rPr>
            </w:pPr>
            <w:r>
              <w:rPr>
                <w:rFonts w:hint="eastAsia"/>
                <w:sz w:val="18"/>
                <w:szCs w:val="18"/>
              </w:rPr>
              <w:t>环境监测计划</w:t>
            </w:r>
          </w:p>
        </w:tc>
        <w:tc>
          <w:tcPr>
            <w:tcW w:w="785" w:type="pct"/>
            <w:vAlign w:val="center"/>
          </w:tcPr>
          <w:p w:rsidR="00EE4502" w:rsidRDefault="00FD45A3">
            <w:pPr>
              <w:jc w:val="center"/>
              <w:rPr>
                <w:sz w:val="18"/>
                <w:szCs w:val="18"/>
              </w:rPr>
            </w:pPr>
            <w:r>
              <w:rPr>
                <w:rFonts w:hint="eastAsia"/>
                <w:sz w:val="18"/>
                <w:szCs w:val="18"/>
              </w:rPr>
              <w:t>排放监测</w:t>
            </w:r>
          </w:p>
        </w:tc>
        <w:tc>
          <w:tcPr>
            <w:tcW w:w="3656" w:type="pct"/>
            <w:gridSpan w:val="10"/>
            <w:vAlign w:val="center"/>
          </w:tcPr>
          <w:p w:rsidR="00EE4502" w:rsidRDefault="00FD45A3">
            <w:pPr>
              <w:jc w:val="center"/>
              <w:rPr>
                <w:sz w:val="18"/>
                <w:szCs w:val="18"/>
              </w:rPr>
            </w:pPr>
            <w:r>
              <w:rPr>
                <w:rFonts w:hint="eastAsia"/>
                <w:sz w:val="18"/>
                <w:szCs w:val="18"/>
              </w:rPr>
              <w:t>厂界监测√</w:t>
            </w:r>
            <w:r>
              <w:rPr>
                <w:rFonts w:hint="eastAsia"/>
                <w:sz w:val="18"/>
                <w:szCs w:val="18"/>
              </w:rPr>
              <w:t xml:space="preserve">   </w:t>
            </w:r>
            <w:r>
              <w:rPr>
                <w:rFonts w:hint="eastAsia"/>
                <w:sz w:val="18"/>
                <w:szCs w:val="18"/>
              </w:rPr>
              <w:t>固定位置监测□</w:t>
            </w:r>
            <w:r>
              <w:rPr>
                <w:rFonts w:hint="eastAsia"/>
                <w:sz w:val="18"/>
                <w:szCs w:val="18"/>
              </w:rPr>
              <w:t xml:space="preserve">   </w:t>
            </w:r>
            <w:r>
              <w:rPr>
                <w:rFonts w:hint="eastAsia"/>
                <w:sz w:val="18"/>
                <w:szCs w:val="18"/>
              </w:rPr>
              <w:t>自动监测□</w:t>
            </w:r>
            <w:r>
              <w:rPr>
                <w:rFonts w:hint="eastAsia"/>
                <w:sz w:val="18"/>
                <w:szCs w:val="18"/>
              </w:rPr>
              <w:t xml:space="preserve">    </w:t>
            </w:r>
            <w:r>
              <w:rPr>
                <w:rFonts w:hint="eastAsia"/>
                <w:sz w:val="18"/>
                <w:szCs w:val="18"/>
              </w:rPr>
              <w:t>手动监测□</w:t>
            </w:r>
            <w:r>
              <w:rPr>
                <w:rFonts w:hint="eastAsia"/>
                <w:sz w:val="18"/>
                <w:szCs w:val="18"/>
              </w:rPr>
              <w:t xml:space="preserve">    </w:t>
            </w:r>
            <w:r>
              <w:rPr>
                <w:rFonts w:hint="eastAsia"/>
                <w:sz w:val="18"/>
                <w:szCs w:val="18"/>
              </w:rPr>
              <w:t>无监测□</w:t>
            </w:r>
          </w:p>
        </w:tc>
      </w:tr>
      <w:tr w:rsidR="00EE4502">
        <w:trPr>
          <w:trHeight w:val="340"/>
        </w:trPr>
        <w:tc>
          <w:tcPr>
            <w:tcW w:w="557" w:type="pct"/>
            <w:vMerge/>
            <w:vAlign w:val="center"/>
          </w:tcPr>
          <w:p w:rsidR="00EE4502" w:rsidRDefault="00EE4502">
            <w:pPr>
              <w:widowControl/>
              <w:jc w:val="center"/>
              <w:rPr>
                <w:rFonts w:ascii="宋体" w:hAnsi="宋体"/>
                <w:sz w:val="18"/>
                <w:szCs w:val="18"/>
              </w:rPr>
            </w:pPr>
          </w:p>
        </w:tc>
        <w:tc>
          <w:tcPr>
            <w:tcW w:w="785" w:type="pct"/>
            <w:vAlign w:val="center"/>
          </w:tcPr>
          <w:p w:rsidR="00EE4502" w:rsidRDefault="00FD45A3">
            <w:pPr>
              <w:jc w:val="center"/>
              <w:rPr>
                <w:sz w:val="18"/>
                <w:szCs w:val="18"/>
              </w:rPr>
            </w:pPr>
            <w:r>
              <w:rPr>
                <w:rFonts w:hint="eastAsia"/>
                <w:sz w:val="18"/>
                <w:szCs w:val="18"/>
              </w:rPr>
              <w:t>声环境保护目标处噪声监测</w:t>
            </w:r>
          </w:p>
        </w:tc>
        <w:tc>
          <w:tcPr>
            <w:tcW w:w="1814" w:type="pct"/>
            <w:gridSpan w:val="5"/>
            <w:vAlign w:val="center"/>
          </w:tcPr>
          <w:p w:rsidR="00EE4502" w:rsidRDefault="00FD45A3">
            <w:pPr>
              <w:jc w:val="center"/>
              <w:rPr>
                <w:sz w:val="18"/>
                <w:szCs w:val="18"/>
              </w:rPr>
            </w:pPr>
            <w:r>
              <w:rPr>
                <w:rFonts w:hint="eastAsia"/>
                <w:sz w:val="18"/>
                <w:szCs w:val="18"/>
              </w:rPr>
              <w:t>监测因子：（</w:t>
            </w:r>
            <w:r>
              <w:rPr>
                <w:rFonts w:hint="eastAsia"/>
                <w:sz w:val="18"/>
                <w:szCs w:val="18"/>
              </w:rPr>
              <w:tab/>
            </w:r>
            <w:r>
              <w:rPr>
                <w:rFonts w:hint="eastAsia"/>
                <w:sz w:val="18"/>
                <w:szCs w:val="18"/>
              </w:rPr>
              <w:t>）</w:t>
            </w:r>
          </w:p>
        </w:tc>
        <w:tc>
          <w:tcPr>
            <w:tcW w:w="1214" w:type="pct"/>
            <w:gridSpan w:val="4"/>
            <w:vAlign w:val="center"/>
          </w:tcPr>
          <w:p w:rsidR="00EE4502" w:rsidRDefault="00FD45A3">
            <w:pPr>
              <w:jc w:val="center"/>
              <w:rPr>
                <w:sz w:val="18"/>
                <w:szCs w:val="18"/>
              </w:rPr>
            </w:pPr>
            <w:r>
              <w:rPr>
                <w:rFonts w:hint="eastAsia"/>
                <w:sz w:val="18"/>
                <w:szCs w:val="18"/>
              </w:rPr>
              <w:t>监测点位数（</w:t>
            </w:r>
            <w:r>
              <w:rPr>
                <w:rFonts w:hint="eastAsia"/>
                <w:sz w:val="18"/>
                <w:szCs w:val="18"/>
              </w:rPr>
              <w:tab/>
            </w:r>
            <w:r>
              <w:rPr>
                <w:rFonts w:hint="eastAsia"/>
                <w:sz w:val="18"/>
                <w:szCs w:val="18"/>
              </w:rPr>
              <w:t>）</w:t>
            </w:r>
          </w:p>
        </w:tc>
        <w:tc>
          <w:tcPr>
            <w:tcW w:w="626" w:type="pct"/>
            <w:vAlign w:val="center"/>
          </w:tcPr>
          <w:p w:rsidR="00EE4502" w:rsidRDefault="00FD45A3">
            <w:pPr>
              <w:jc w:val="center"/>
              <w:rPr>
                <w:sz w:val="18"/>
                <w:szCs w:val="18"/>
              </w:rPr>
            </w:pPr>
            <w:r>
              <w:rPr>
                <w:rFonts w:hint="eastAsia"/>
                <w:sz w:val="18"/>
                <w:szCs w:val="18"/>
              </w:rPr>
              <w:t>无监测□</w:t>
            </w:r>
          </w:p>
        </w:tc>
      </w:tr>
      <w:tr w:rsidR="00EE4502">
        <w:trPr>
          <w:trHeight w:val="340"/>
        </w:trPr>
        <w:tc>
          <w:tcPr>
            <w:tcW w:w="557" w:type="pct"/>
            <w:vAlign w:val="center"/>
          </w:tcPr>
          <w:p w:rsidR="00EE4502" w:rsidRDefault="00FD45A3">
            <w:pPr>
              <w:jc w:val="center"/>
              <w:rPr>
                <w:sz w:val="18"/>
                <w:szCs w:val="18"/>
              </w:rPr>
            </w:pPr>
            <w:r>
              <w:rPr>
                <w:rFonts w:hint="eastAsia"/>
                <w:sz w:val="18"/>
                <w:szCs w:val="18"/>
              </w:rPr>
              <w:t>评价结论</w:t>
            </w:r>
          </w:p>
        </w:tc>
        <w:tc>
          <w:tcPr>
            <w:tcW w:w="785" w:type="pct"/>
            <w:vAlign w:val="center"/>
          </w:tcPr>
          <w:p w:rsidR="00EE4502" w:rsidRDefault="00FD45A3">
            <w:pPr>
              <w:jc w:val="center"/>
              <w:rPr>
                <w:sz w:val="18"/>
                <w:szCs w:val="18"/>
              </w:rPr>
            </w:pPr>
            <w:r>
              <w:rPr>
                <w:rFonts w:hint="eastAsia"/>
                <w:sz w:val="18"/>
                <w:szCs w:val="18"/>
              </w:rPr>
              <w:t>环境影响</w:t>
            </w:r>
          </w:p>
        </w:tc>
        <w:tc>
          <w:tcPr>
            <w:tcW w:w="3656" w:type="pct"/>
            <w:gridSpan w:val="10"/>
            <w:vAlign w:val="center"/>
          </w:tcPr>
          <w:p w:rsidR="00EE4502" w:rsidRDefault="00FD45A3">
            <w:pPr>
              <w:jc w:val="center"/>
              <w:rPr>
                <w:sz w:val="18"/>
                <w:szCs w:val="18"/>
              </w:rPr>
            </w:pPr>
            <w:r>
              <w:rPr>
                <w:rFonts w:hint="eastAsia"/>
                <w:sz w:val="18"/>
                <w:szCs w:val="18"/>
              </w:rPr>
              <w:t>可行√</w:t>
            </w:r>
            <w:r>
              <w:rPr>
                <w:rFonts w:hint="eastAsia"/>
                <w:sz w:val="18"/>
                <w:szCs w:val="18"/>
              </w:rPr>
              <w:tab/>
            </w:r>
            <w:r>
              <w:rPr>
                <w:rFonts w:hint="eastAsia"/>
                <w:sz w:val="18"/>
                <w:szCs w:val="18"/>
              </w:rPr>
              <w:t>不可行□</w:t>
            </w:r>
          </w:p>
        </w:tc>
      </w:tr>
      <w:tr w:rsidR="00EE4502">
        <w:trPr>
          <w:trHeight w:val="340"/>
        </w:trPr>
        <w:tc>
          <w:tcPr>
            <w:tcW w:w="5000" w:type="pct"/>
            <w:gridSpan w:val="12"/>
            <w:vAlign w:val="center"/>
          </w:tcPr>
          <w:p w:rsidR="00EE4502" w:rsidRDefault="00FD45A3">
            <w:pPr>
              <w:rPr>
                <w:sz w:val="18"/>
                <w:szCs w:val="18"/>
              </w:rPr>
            </w:pPr>
            <w:r>
              <w:rPr>
                <w:rFonts w:hint="eastAsia"/>
                <w:sz w:val="18"/>
                <w:szCs w:val="18"/>
              </w:rPr>
              <w:t>注：“□”为勾选项，可√；</w:t>
            </w:r>
            <w:r>
              <w:rPr>
                <w:rFonts w:hint="eastAsia"/>
                <w:sz w:val="18"/>
                <w:szCs w:val="18"/>
              </w:rPr>
              <w:t>“</w:t>
            </w:r>
            <w:r>
              <w:rPr>
                <w:rFonts w:hint="eastAsia"/>
                <w:sz w:val="18"/>
                <w:szCs w:val="18"/>
              </w:rPr>
              <w:t>（</w:t>
            </w:r>
            <w:r>
              <w:rPr>
                <w:rFonts w:hint="eastAsia"/>
                <w:sz w:val="18"/>
                <w:szCs w:val="18"/>
              </w:rPr>
              <w:t xml:space="preserve"> </w:t>
            </w:r>
            <w:r>
              <w:rPr>
                <w:rFonts w:hint="eastAsia"/>
                <w:sz w:val="18"/>
                <w:szCs w:val="18"/>
              </w:rPr>
              <w:t>）”为内容填写项。</w:t>
            </w:r>
          </w:p>
        </w:tc>
      </w:tr>
    </w:tbl>
    <w:p w:rsidR="00EE4502" w:rsidRDefault="00EE4502">
      <w:pPr>
        <w:jc w:val="center"/>
        <w:rPr>
          <w:sz w:val="18"/>
          <w:szCs w:val="18"/>
        </w:rPr>
      </w:pPr>
    </w:p>
    <w:p w:rsidR="00EE4502" w:rsidRDefault="00FD45A3">
      <w:pPr>
        <w:pStyle w:val="22"/>
        <w:numPr>
          <w:ilvl w:val="1"/>
          <w:numId w:val="30"/>
        </w:numPr>
        <w:rPr>
          <w:spacing w:val="0"/>
          <w:w w:val="100"/>
        </w:rPr>
      </w:pPr>
      <w:bookmarkStart w:id="225" w:name="_Toc11405"/>
      <w:r>
        <w:rPr>
          <w:spacing w:val="0"/>
          <w:w w:val="100"/>
        </w:rPr>
        <w:t>固体废物影响分析</w:t>
      </w:r>
      <w:bookmarkEnd w:id="225"/>
    </w:p>
    <w:p w:rsidR="00EE4502" w:rsidRDefault="00FD45A3">
      <w:pPr>
        <w:pStyle w:val="33"/>
        <w:numPr>
          <w:ilvl w:val="2"/>
          <w:numId w:val="30"/>
        </w:numPr>
        <w:spacing w:line="360" w:lineRule="auto"/>
        <w:ind w:left="0" w:firstLine="0"/>
        <w:rPr>
          <w:spacing w:val="0"/>
          <w:sz w:val="24"/>
          <w:szCs w:val="24"/>
        </w:rPr>
      </w:pPr>
      <w:r>
        <w:rPr>
          <w:rFonts w:hint="eastAsia"/>
          <w:spacing w:val="0"/>
          <w:sz w:val="24"/>
          <w:szCs w:val="24"/>
        </w:rPr>
        <w:t>施工</w:t>
      </w:r>
      <w:r>
        <w:rPr>
          <w:spacing w:val="0"/>
          <w:sz w:val="24"/>
          <w:szCs w:val="24"/>
        </w:rPr>
        <w:t>期固废影响分析</w:t>
      </w:r>
    </w:p>
    <w:p w:rsidR="00EE4502" w:rsidRDefault="00FD45A3">
      <w:pPr>
        <w:spacing w:line="360" w:lineRule="auto"/>
        <w:ind w:firstLineChars="211" w:firstLine="506"/>
        <w:rPr>
          <w:sz w:val="24"/>
        </w:rPr>
      </w:pPr>
      <w:r>
        <w:rPr>
          <w:rFonts w:hint="eastAsia"/>
          <w:sz w:val="24"/>
        </w:rPr>
        <w:t>本工程</w:t>
      </w:r>
      <w:r>
        <w:rPr>
          <w:rFonts w:hint="eastAsia"/>
          <w:sz w:val="24"/>
        </w:rPr>
        <w:t>施工</w:t>
      </w:r>
      <w:r>
        <w:rPr>
          <w:sz w:val="24"/>
        </w:rPr>
        <w:t>期产生的固体废物主要为</w:t>
      </w:r>
      <w:r>
        <w:rPr>
          <w:rFonts w:hint="eastAsia"/>
          <w:sz w:val="24"/>
        </w:rPr>
        <w:t>钻井等</w:t>
      </w:r>
      <w:r>
        <w:rPr>
          <w:sz w:val="24"/>
        </w:rPr>
        <w:t>施工过程中废弃钻井泥浆、岩屑、焊接及吹扫废渣、生活垃圾、废机油、设备废弃包装、废烧碱包装袋等。</w:t>
      </w:r>
    </w:p>
    <w:p w:rsidR="00EE4502" w:rsidRDefault="00FD45A3">
      <w:pPr>
        <w:spacing w:line="360" w:lineRule="auto"/>
        <w:ind w:left="-28" w:firstLineChars="211" w:firstLine="506"/>
        <w:rPr>
          <w:sz w:val="24"/>
        </w:rPr>
      </w:pPr>
      <w:r>
        <w:rPr>
          <w:rFonts w:hint="eastAsia"/>
          <w:sz w:val="24"/>
        </w:rPr>
        <w:t>（</w:t>
      </w:r>
      <w:r>
        <w:rPr>
          <w:rFonts w:hint="eastAsia"/>
          <w:sz w:val="24"/>
        </w:rPr>
        <w:t>1</w:t>
      </w:r>
      <w:r>
        <w:rPr>
          <w:rFonts w:hint="eastAsia"/>
          <w:sz w:val="24"/>
        </w:rPr>
        <w:t>）</w:t>
      </w:r>
      <w:r>
        <w:rPr>
          <w:sz w:val="24"/>
        </w:rPr>
        <w:t>废弃钻井泥浆、岩屑</w:t>
      </w:r>
    </w:p>
    <w:p w:rsidR="00EE4502" w:rsidRDefault="00FD45A3">
      <w:pPr>
        <w:spacing w:line="360" w:lineRule="auto"/>
        <w:ind w:firstLineChars="211" w:firstLine="506"/>
        <w:rPr>
          <w:sz w:val="24"/>
        </w:rPr>
      </w:pPr>
      <w:r>
        <w:rPr>
          <w:rFonts w:hint="eastAsia"/>
          <w:sz w:val="24"/>
        </w:rPr>
        <w:t>春风油田石炭系排</w:t>
      </w:r>
      <w:r>
        <w:rPr>
          <w:rFonts w:hint="eastAsia"/>
          <w:sz w:val="24"/>
        </w:rPr>
        <w:t>61</w:t>
      </w:r>
      <w:r>
        <w:rPr>
          <w:rFonts w:hint="eastAsia"/>
          <w:sz w:val="24"/>
        </w:rPr>
        <w:t>块产能建设工程</w:t>
      </w:r>
      <w:r>
        <w:rPr>
          <w:sz w:val="24"/>
        </w:rPr>
        <w:t>部署新钻井</w:t>
      </w:r>
      <w:r>
        <w:rPr>
          <w:rFonts w:hint="eastAsia"/>
          <w:sz w:val="24"/>
        </w:rPr>
        <w:t>18</w:t>
      </w:r>
      <w:r>
        <w:rPr>
          <w:rFonts w:hint="eastAsia"/>
          <w:sz w:val="24"/>
        </w:rPr>
        <w:t>口</w:t>
      </w:r>
      <w:r>
        <w:rPr>
          <w:sz w:val="24"/>
        </w:rPr>
        <w:t>，产生的泥浆量约</w:t>
      </w:r>
      <w:r>
        <w:rPr>
          <w:rFonts w:hint="eastAsia"/>
          <w:sz w:val="24"/>
        </w:rPr>
        <w:t>5607</w:t>
      </w:r>
      <w:r>
        <w:rPr>
          <w:sz w:val="24"/>
        </w:rPr>
        <w:t>m³</w:t>
      </w:r>
      <w:r>
        <w:rPr>
          <w:rFonts w:hint="eastAsia"/>
          <w:sz w:val="24"/>
        </w:rPr>
        <w:t>，</w:t>
      </w:r>
      <w:r>
        <w:rPr>
          <w:sz w:val="24"/>
        </w:rPr>
        <w:t>钻井岩屑产生量约</w:t>
      </w:r>
      <w:r>
        <w:rPr>
          <w:rFonts w:hint="eastAsia"/>
          <w:sz w:val="24"/>
        </w:rPr>
        <w:t>2316.88</w:t>
      </w:r>
      <w:r>
        <w:rPr>
          <w:sz w:val="24"/>
        </w:rPr>
        <w:t>m³</w:t>
      </w:r>
      <w:r>
        <w:rPr>
          <w:sz w:val="24"/>
        </w:rPr>
        <w:t>。本次</w:t>
      </w:r>
      <w:r>
        <w:rPr>
          <w:rFonts w:hint="eastAsia"/>
          <w:sz w:val="24"/>
        </w:rPr>
        <w:t>18</w:t>
      </w:r>
      <w:r>
        <w:rPr>
          <w:rFonts w:hint="eastAsia"/>
          <w:sz w:val="24"/>
        </w:rPr>
        <w:t>口</w:t>
      </w:r>
      <w:r>
        <w:rPr>
          <w:sz w:val="24"/>
        </w:rPr>
        <w:t>新钻井在施工过程中采用</w:t>
      </w:r>
      <w:r>
        <w:rPr>
          <w:rFonts w:hint="eastAsia"/>
          <w:sz w:val="24"/>
        </w:rPr>
        <w:t>“</w:t>
      </w:r>
      <w:r>
        <w:rPr>
          <w:sz w:val="24"/>
        </w:rPr>
        <w:t>钻井废弃物不落地达标处理技术</w:t>
      </w:r>
      <w:r>
        <w:rPr>
          <w:rFonts w:hint="eastAsia"/>
          <w:sz w:val="24"/>
        </w:rPr>
        <w:t>”</w:t>
      </w:r>
      <w:r>
        <w:rPr>
          <w:sz w:val="24"/>
        </w:rPr>
        <w:t>，井场不设防渗泥浆池，在钻井井台每处旁放置</w:t>
      </w:r>
      <w:r>
        <w:rPr>
          <w:sz w:val="24"/>
        </w:rPr>
        <w:t>25</w:t>
      </w:r>
      <w:r>
        <w:rPr>
          <w:rFonts w:hint="eastAsia"/>
          <w:sz w:val="24"/>
        </w:rPr>
        <w:t>m</w:t>
      </w:r>
      <w:r>
        <w:rPr>
          <w:rFonts w:hint="eastAsia"/>
          <w:sz w:val="24"/>
        </w:rPr>
        <w:t>³</w:t>
      </w:r>
      <w:r>
        <w:rPr>
          <w:sz w:val="24"/>
        </w:rPr>
        <w:t>钢制罐一个存放钻井泥浆，产生的钻井废弃泥浆定期集中拉运至</w:t>
      </w:r>
      <w:r>
        <w:rPr>
          <w:rFonts w:hint="eastAsia"/>
          <w:sz w:val="24"/>
        </w:rPr>
        <w:t>克拉玛依前山石油工程服务有限公司</w:t>
      </w:r>
      <w:r>
        <w:rPr>
          <w:sz w:val="24"/>
        </w:rPr>
        <w:t>进行处理，</w:t>
      </w:r>
      <w:r>
        <w:rPr>
          <w:rFonts w:hint="eastAsia"/>
          <w:sz w:val="24"/>
        </w:rPr>
        <w:t>分离后的固相按《油气田钻井固体废物综合利用污染控制要求》（</w:t>
      </w:r>
      <w:r>
        <w:rPr>
          <w:rFonts w:hint="eastAsia"/>
          <w:sz w:val="24"/>
        </w:rPr>
        <w:t>DB65/T3997-2017</w:t>
      </w:r>
      <w:r>
        <w:rPr>
          <w:rFonts w:hint="eastAsia"/>
          <w:sz w:val="24"/>
        </w:rPr>
        <w:t>）及环评批复要求处理达标后进行综合利用。</w:t>
      </w:r>
    </w:p>
    <w:p w:rsidR="00EE4502" w:rsidRDefault="00FD45A3">
      <w:pPr>
        <w:spacing w:line="360" w:lineRule="auto"/>
        <w:ind w:firstLineChars="211" w:firstLine="506"/>
        <w:rPr>
          <w:sz w:val="24"/>
        </w:rPr>
      </w:pPr>
      <w:r>
        <w:rPr>
          <w:rFonts w:hint="eastAsia"/>
          <w:sz w:val="24"/>
        </w:rPr>
        <w:t>克拉玛依前山石油工程服务有限公司</w:t>
      </w:r>
      <w:r>
        <w:rPr>
          <w:sz w:val="24"/>
        </w:rPr>
        <w:t>2</w:t>
      </w:r>
      <w:r>
        <w:rPr>
          <w:sz w:val="24"/>
        </w:rPr>
        <w:t>万</w:t>
      </w:r>
      <w:r>
        <w:rPr>
          <w:sz w:val="24"/>
        </w:rPr>
        <w:t>t/a</w:t>
      </w:r>
      <w:r>
        <w:rPr>
          <w:sz w:val="24"/>
        </w:rPr>
        <w:t>废弃钻井泥浆处理项目位于第七师</w:t>
      </w:r>
      <w:r>
        <w:rPr>
          <w:sz w:val="24"/>
        </w:rPr>
        <w:t>128</w:t>
      </w:r>
      <w:r>
        <w:rPr>
          <w:sz w:val="24"/>
        </w:rPr>
        <w:t>团工业园内，于</w:t>
      </w:r>
      <w:r>
        <w:rPr>
          <w:sz w:val="24"/>
        </w:rPr>
        <w:t>2016</w:t>
      </w:r>
      <w:r>
        <w:rPr>
          <w:sz w:val="24"/>
        </w:rPr>
        <w:t>年</w:t>
      </w:r>
      <w:r>
        <w:rPr>
          <w:sz w:val="24"/>
        </w:rPr>
        <w:t>1</w:t>
      </w:r>
      <w:r>
        <w:rPr>
          <w:sz w:val="24"/>
        </w:rPr>
        <w:t>0</w:t>
      </w:r>
      <w:r>
        <w:rPr>
          <w:sz w:val="24"/>
        </w:rPr>
        <w:t>月</w:t>
      </w:r>
      <w:r>
        <w:rPr>
          <w:sz w:val="24"/>
        </w:rPr>
        <w:t>13</w:t>
      </w:r>
      <w:r>
        <w:rPr>
          <w:sz w:val="24"/>
        </w:rPr>
        <w:t>日取得原新疆生产建设兵团第七师环保局批复（师环审</w:t>
      </w:r>
      <w:r>
        <w:rPr>
          <w:rFonts w:hint="eastAsia"/>
          <w:sz w:val="24"/>
        </w:rPr>
        <w:t>〔</w:t>
      </w:r>
      <w:r>
        <w:rPr>
          <w:sz w:val="24"/>
        </w:rPr>
        <w:t>2016</w:t>
      </w:r>
      <w:r>
        <w:rPr>
          <w:rFonts w:hint="eastAsia"/>
          <w:sz w:val="24"/>
        </w:rPr>
        <w:t>〕</w:t>
      </w:r>
      <w:r>
        <w:rPr>
          <w:sz w:val="24"/>
        </w:rPr>
        <w:t>114</w:t>
      </w:r>
      <w:r>
        <w:rPr>
          <w:sz w:val="24"/>
        </w:rPr>
        <w:t>号），于</w:t>
      </w:r>
      <w:r>
        <w:rPr>
          <w:sz w:val="24"/>
        </w:rPr>
        <w:t>2019</w:t>
      </w:r>
      <w:r>
        <w:rPr>
          <w:sz w:val="24"/>
        </w:rPr>
        <w:t>年</w:t>
      </w:r>
      <w:r>
        <w:rPr>
          <w:sz w:val="24"/>
        </w:rPr>
        <w:t>3</w:t>
      </w:r>
      <w:r>
        <w:rPr>
          <w:sz w:val="24"/>
        </w:rPr>
        <w:t>月</w:t>
      </w:r>
      <w:r>
        <w:rPr>
          <w:sz w:val="24"/>
        </w:rPr>
        <w:t>30</w:t>
      </w:r>
      <w:r>
        <w:rPr>
          <w:sz w:val="24"/>
        </w:rPr>
        <w:t>日取得原新疆生产建设兵团第七师环保局竣工环境保护验收意见（师环验</w:t>
      </w:r>
      <w:r>
        <w:rPr>
          <w:rFonts w:hint="eastAsia"/>
          <w:sz w:val="24"/>
        </w:rPr>
        <w:t>〔</w:t>
      </w:r>
      <w:r>
        <w:rPr>
          <w:sz w:val="24"/>
        </w:rPr>
        <w:t>2019</w:t>
      </w:r>
      <w:r>
        <w:rPr>
          <w:rFonts w:hint="eastAsia"/>
          <w:sz w:val="24"/>
        </w:rPr>
        <w:t>〕</w:t>
      </w:r>
      <w:r>
        <w:rPr>
          <w:sz w:val="24"/>
        </w:rPr>
        <w:t>24</w:t>
      </w:r>
      <w:r>
        <w:rPr>
          <w:sz w:val="24"/>
        </w:rPr>
        <w:t>号）。处理工艺</w:t>
      </w:r>
      <w:r>
        <w:rPr>
          <w:sz w:val="24"/>
        </w:rPr>
        <w:lastRenderedPageBreak/>
        <w:t>为回收暂存处理</w:t>
      </w:r>
      <w:r>
        <w:rPr>
          <w:sz w:val="24"/>
        </w:rPr>
        <w:t>—</w:t>
      </w:r>
      <w:r>
        <w:rPr>
          <w:sz w:val="24"/>
        </w:rPr>
        <w:t>机械分离</w:t>
      </w:r>
      <w:r>
        <w:rPr>
          <w:sz w:val="24"/>
        </w:rPr>
        <w:t>—</w:t>
      </w:r>
      <w:r>
        <w:rPr>
          <w:sz w:val="24"/>
        </w:rPr>
        <w:t>絮凝沉淀</w:t>
      </w:r>
      <w:r>
        <w:rPr>
          <w:sz w:val="24"/>
        </w:rPr>
        <w:t>—</w:t>
      </w:r>
      <w:r>
        <w:rPr>
          <w:sz w:val="24"/>
        </w:rPr>
        <w:t>机械压滤。</w:t>
      </w:r>
    </w:p>
    <w:p w:rsidR="00EE4502" w:rsidRDefault="00FD45A3">
      <w:pPr>
        <w:spacing w:line="360" w:lineRule="auto"/>
        <w:ind w:firstLineChars="211" w:firstLine="506"/>
        <w:rPr>
          <w:sz w:val="24"/>
        </w:rPr>
      </w:pPr>
      <w:r>
        <w:rPr>
          <w:sz w:val="24"/>
        </w:rPr>
        <w:t>综上，</w:t>
      </w:r>
      <w:r>
        <w:rPr>
          <w:rFonts w:hint="eastAsia"/>
          <w:sz w:val="24"/>
        </w:rPr>
        <w:t>本工程</w:t>
      </w:r>
      <w:r>
        <w:rPr>
          <w:sz w:val="24"/>
        </w:rPr>
        <w:t>钻井废弃物</w:t>
      </w:r>
      <w:r>
        <w:rPr>
          <w:rFonts w:hint="eastAsia"/>
          <w:sz w:val="24"/>
        </w:rPr>
        <w:t>依托克拉玛依前山石油工程服务有限公司进行处理，得到的</w:t>
      </w:r>
      <w:r>
        <w:rPr>
          <w:sz w:val="24"/>
        </w:rPr>
        <w:t>固</w:t>
      </w:r>
      <w:r>
        <w:rPr>
          <w:rFonts w:hint="eastAsia"/>
          <w:sz w:val="24"/>
        </w:rPr>
        <w:t>相</w:t>
      </w:r>
      <w:r>
        <w:rPr>
          <w:sz w:val="24"/>
        </w:rPr>
        <w:t>经检测满足《油气田钻井固体废物综合利用污染控制要求》（</w:t>
      </w:r>
      <w:r>
        <w:rPr>
          <w:sz w:val="24"/>
        </w:rPr>
        <w:t>DB</w:t>
      </w:r>
      <w:r>
        <w:rPr>
          <w:rFonts w:hint="eastAsia"/>
          <w:sz w:val="24"/>
        </w:rPr>
        <w:t xml:space="preserve"> </w:t>
      </w:r>
      <w:r>
        <w:rPr>
          <w:sz w:val="24"/>
        </w:rPr>
        <w:t>65/T3997-2017</w:t>
      </w:r>
      <w:r>
        <w:rPr>
          <w:rFonts w:hint="eastAsia"/>
          <w:sz w:val="24"/>
        </w:rPr>
        <w:t>）</w:t>
      </w:r>
      <w:r>
        <w:rPr>
          <w:sz w:val="24"/>
        </w:rPr>
        <w:t>中综合利用污染物限值要求后</w:t>
      </w:r>
      <w:r>
        <w:rPr>
          <w:rFonts w:hint="eastAsia"/>
          <w:sz w:val="24"/>
        </w:rPr>
        <w:t>综合利用</w:t>
      </w:r>
      <w:r>
        <w:rPr>
          <w:sz w:val="24"/>
        </w:rPr>
        <w:t>。经核查，</w:t>
      </w:r>
      <w:r>
        <w:rPr>
          <w:rFonts w:hint="eastAsia"/>
          <w:sz w:val="24"/>
        </w:rPr>
        <w:t>目前克拉玛依前山石油工程服务有限公司</w:t>
      </w:r>
      <w:r>
        <w:rPr>
          <w:sz w:val="24"/>
        </w:rPr>
        <w:t>202</w:t>
      </w:r>
      <w:r>
        <w:rPr>
          <w:rFonts w:hint="eastAsia"/>
          <w:sz w:val="24"/>
        </w:rPr>
        <w:t>2</w:t>
      </w:r>
      <w:r>
        <w:rPr>
          <w:sz w:val="24"/>
        </w:rPr>
        <w:t>年已处理达标的钻井泥浆主要</w:t>
      </w:r>
      <w:r>
        <w:rPr>
          <w:rFonts w:hint="eastAsia"/>
          <w:sz w:val="24"/>
        </w:rPr>
        <w:t>用来</w:t>
      </w:r>
      <w:r>
        <w:rPr>
          <w:sz w:val="24"/>
        </w:rPr>
        <w:t>铺垫春风油田各区块新钻井井场、进场道路。</w:t>
      </w:r>
    </w:p>
    <w:p w:rsidR="00EE4502" w:rsidRDefault="00FD45A3">
      <w:pPr>
        <w:spacing w:line="360" w:lineRule="auto"/>
        <w:ind w:firstLineChars="211" w:firstLine="506"/>
        <w:rPr>
          <w:sz w:val="24"/>
        </w:rPr>
      </w:pPr>
      <w:r>
        <w:rPr>
          <w:sz w:val="24"/>
        </w:rPr>
        <w:t>（</w:t>
      </w:r>
      <w:r>
        <w:rPr>
          <w:rFonts w:hint="eastAsia"/>
          <w:sz w:val="24"/>
        </w:rPr>
        <w:t>2</w:t>
      </w:r>
      <w:r>
        <w:rPr>
          <w:sz w:val="24"/>
        </w:rPr>
        <w:t>）焊接及吹扫废渣</w:t>
      </w:r>
    </w:p>
    <w:p w:rsidR="00EE4502" w:rsidRDefault="00FD45A3">
      <w:pPr>
        <w:spacing w:line="360" w:lineRule="auto"/>
        <w:ind w:firstLineChars="211" w:firstLine="506"/>
        <w:rPr>
          <w:sz w:val="24"/>
        </w:rPr>
      </w:pPr>
      <w:r>
        <w:rPr>
          <w:sz w:val="24"/>
        </w:rPr>
        <w:t>管道焊接、补口、吹扫时会产生焊渣、边角料等废料，属于一般工业固体废物，收集后送至</w:t>
      </w:r>
      <w:r>
        <w:rPr>
          <w:rFonts w:hint="eastAsia"/>
          <w:sz w:val="24"/>
        </w:rPr>
        <w:t>胡杨河经济技术开发区</w:t>
      </w:r>
      <w:r>
        <w:rPr>
          <w:sz w:val="24"/>
        </w:rPr>
        <w:t>一般固体废物填埋场处置。</w:t>
      </w:r>
    </w:p>
    <w:p w:rsidR="00EE4502" w:rsidRDefault="00FD45A3">
      <w:pPr>
        <w:spacing w:line="360" w:lineRule="auto"/>
        <w:ind w:firstLineChars="211" w:firstLine="506"/>
        <w:rPr>
          <w:sz w:val="24"/>
        </w:rPr>
      </w:pPr>
      <w:r>
        <w:rPr>
          <w:sz w:val="24"/>
        </w:rPr>
        <w:t>（</w:t>
      </w:r>
      <w:r>
        <w:rPr>
          <w:rFonts w:hint="eastAsia"/>
          <w:sz w:val="24"/>
        </w:rPr>
        <w:t>3</w:t>
      </w:r>
      <w:r>
        <w:rPr>
          <w:sz w:val="24"/>
        </w:rPr>
        <w:t>）设备废弃包装</w:t>
      </w:r>
    </w:p>
    <w:p w:rsidR="00EE4502" w:rsidRDefault="00FD45A3">
      <w:pPr>
        <w:spacing w:line="360" w:lineRule="auto"/>
        <w:ind w:firstLineChars="211" w:firstLine="506"/>
        <w:rPr>
          <w:sz w:val="24"/>
        </w:rPr>
      </w:pPr>
      <w:r>
        <w:rPr>
          <w:sz w:val="24"/>
        </w:rPr>
        <w:t>设备废弃包装主要来源于设备包装废弃物，类比春风油田多年钻井井场施工经验，设备废弃包装等包装袋产生量约为</w:t>
      </w:r>
      <w:r>
        <w:rPr>
          <w:sz w:val="24"/>
        </w:rPr>
        <w:t>0.02t/</w:t>
      </w:r>
      <w:r>
        <w:rPr>
          <w:sz w:val="24"/>
        </w:rPr>
        <w:t>井，收集后送至</w:t>
      </w:r>
      <w:r>
        <w:rPr>
          <w:rFonts w:hint="eastAsia"/>
          <w:sz w:val="24"/>
        </w:rPr>
        <w:t>胡杨河经济技术开发区</w:t>
      </w:r>
      <w:r>
        <w:rPr>
          <w:sz w:val="24"/>
        </w:rPr>
        <w:t>一般固体废物填埋场处置。</w:t>
      </w:r>
    </w:p>
    <w:p w:rsidR="00EE4502" w:rsidRDefault="00FD45A3">
      <w:pPr>
        <w:spacing w:line="360" w:lineRule="auto"/>
        <w:ind w:leftChars="200" w:left="420"/>
        <w:rPr>
          <w:sz w:val="24"/>
        </w:rPr>
      </w:pPr>
      <w:r>
        <w:rPr>
          <w:sz w:val="24"/>
        </w:rPr>
        <w:t>（</w:t>
      </w:r>
      <w:r>
        <w:rPr>
          <w:rFonts w:hint="eastAsia"/>
          <w:sz w:val="24"/>
        </w:rPr>
        <w:t>4</w:t>
      </w:r>
      <w:r>
        <w:rPr>
          <w:sz w:val="24"/>
        </w:rPr>
        <w:t>）废机油</w:t>
      </w:r>
    </w:p>
    <w:p w:rsidR="00EE4502" w:rsidRDefault="00FD45A3">
      <w:pPr>
        <w:spacing w:line="360" w:lineRule="auto"/>
        <w:ind w:left="-28" w:firstLineChars="211" w:firstLine="506"/>
        <w:rPr>
          <w:sz w:val="24"/>
        </w:rPr>
      </w:pPr>
      <w:r>
        <w:rPr>
          <w:sz w:val="24"/>
        </w:rPr>
        <w:t>废机油主要为现场简单维修设备产生，按照《国家危险废物名录》（</w:t>
      </w:r>
      <w:r>
        <w:rPr>
          <w:sz w:val="24"/>
        </w:rPr>
        <w:t>2025</w:t>
      </w:r>
      <w:r>
        <w:rPr>
          <w:sz w:val="24"/>
        </w:rPr>
        <w:t>年版），废机油属</w:t>
      </w:r>
      <w:r>
        <w:rPr>
          <w:sz w:val="24"/>
        </w:rPr>
        <w:t>于危险废物（</w:t>
      </w:r>
      <w:r>
        <w:rPr>
          <w:sz w:val="24"/>
        </w:rPr>
        <w:t>HW08 900-2</w:t>
      </w:r>
      <w:r>
        <w:rPr>
          <w:rFonts w:hint="eastAsia"/>
          <w:sz w:val="24"/>
        </w:rPr>
        <w:t>14</w:t>
      </w:r>
      <w:r>
        <w:rPr>
          <w:sz w:val="24"/>
        </w:rPr>
        <w:t>-08</w:t>
      </w:r>
      <w:r>
        <w:rPr>
          <w:sz w:val="24"/>
        </w:rPr>
        <w:t>），单口井产生量约为</w:t>
      </w:r>
      <w:r>
        <w:rPr>
          <w:sz w:val="24"/>
        </w:rPr>
        <w:t>0.5t</w:t>
      </w:r>
      <w:r>
        <w:rPr>
          <w:sz w:val="24"/>
        </w:rPr>
        <w:t>，采用桶装密闭收集，应在线填报危废管理计划、转移要办理电子联单。</w:t>
      </w:r>
    </w:p>
    <w:p w:rsidR="00EE4502" w:rsidRDefault="00FD45A3">
      <w:pPr>
        <w:spacing w:line="360" w:lineRule="auto"/>
        <w:ind w:leftChars="200" w:left="420"/>
        <w:rPr>
          <w:sz w:val="24"/>
        </w:rPr>
      </w:pPr>
      <w:r>
        <w:rPr>
          <w:rFonts w:hint="eastAsia"/>
          <w:sz w:val="24"/>
        </w:rPr>
        <w:t>（</w:t>
      </w:r>
      <w:r>
        <w:rPr>
          <w:rFonts w:hint="eastAsia"/>
          <w:sz w:val="24"/>
        </w:rPr>
        <w:t>5</w:t>
      </w:r>
      <w:r>
        <w:rPr>
          <w:rFonts w:hint="eastAsia"/>
          <w:sz w:val="24"/>
        </w:rPr>
        <w:t>）</w:t>
      </w:r>
      <w:r>
        <w:rPr>
          <w:sz w:val="24"/>
        </w:rPr>
        <w:t>废烧碱包装袋</w:t>
      </w:r>
    </w:p>
    <w:p w:rsidR="00EE4502" w:rsidRDefault="00FD45A3">
      <w:pPr>
        <w:spacing w:line="360" w:lineRule="auto"/>
        <w:ind w:firstLineChars="211" w:firstLine="506"/>
        <w:rPr>
          <w:sz w:val="24"/>
        </w:rPr>
      </w:pPr>
      <w:r>
        <w:rPr>
          <w:rFonts w:hint="eastAsia"/>
          <w:sz w:val="24"/>
        </w:rPr>
        <w:t>钻井中</w:t>
      </w:r>
      <w:r>
        <w:rPr>
          <w:sz w:val="24"/>
        </w:rPr>
        <w:t>废烧碱包装袋预计产生量</w:t>
      </w:r>
      <w:r>
        <w:rPr>
          <w:rFonts w:hint="eastAsia"/>
          <w:sz w:val="24"/>
        </w:rPr>
        <w:t>1.8</w:t>
      </w:r>
      <w:r>
        <w:rPr>
          <w:sz w:val="24"/>
        </w:rPr>
        <w:t>t/a</w:t>
      </w:r>
      <w:r>
        <w:rPr>
          <w:sz w:val="24"/>
        </w:rPr>
        <w:t>，</w:t>
      </w:r>
      <w:r>
        <w:rPr>
          <w:rFonts w:hint="eastAsia"/>
          <w:sz w:val="24"/>
        </w:rPr>
        <w:t>收集后委托有危废处置资质的单位拉运处置</w:t>
      </w:r>
      <w:r>
        <w:rPr>
          <w:rFonts w:hint="eastAsia"/>
          <w:sz w:val="24"/>
        </w:rPr>
        <w:t>。</w:t>
      </w:r>
    </w:p>
    <w:p w:rsidR="00EE4502" w:rsidRDefault="00FD45A3">
      <w:pPr>
        <w:spacing w:line="360" w:lineRule="auto"/>
        <w:ind w:firstLineChars="211" w:firstLine="506"/>
        <w:rPr>
          <w:sz w:val="24"/>
        </w:rPr>
      </w:pPr>
      <w:r>
        <w:rPr>
          <w:sz w:val="24"/>
        </w:rPr>
        <w:t>（</w:t>
      </w:r>
      <w:r>
        <w:rPr>
          <w:rFonts w:hint="eastAsia"/>
          <w:sz w:val="24"/>
        </w:rPr>
        <w:t>6</w:t>
      </w:r>
      <w:r>
        <w:rPr>
          <w:sz w:val="24"/>
        </w:rPr>
        <w:t>）生活垃圾</w:t>
      </w:r>
    </w:p>
    <w:p w:rsidR="00EE4502" w:rsidRDefault="00FD45A3">
      <w:pPr>
        <w:spacing w:line="360" w:lineRule="auto"/>
        <w:ind w:firstLineChars="211" w:firstLine="506"/>
        <w:rPr>
          <w:sz w:val="24"/>
        </w:rPr>
      </w:pPr>
      <w:r>
        <w:rPr>
          <w:sz w:val="24"/>
        </w:rPr>
        <w:t>施工期生活垃圾在每个井台</w:t>
      </w:r>
      <w:r>
        <w:rPr>
          <w:rFonts w:hint="eastAsia"/>
          <w:sz w:val="24"/>
        </w:rPr>
        <w:t>处</w:t>
      </w:r>
      <w:r>
        <w:rPr>
          <w:sz w:val="24"/>
        </w:rPr>
        <w:t>设置垃圾收集箱统一收集，生活垃圾集中后运往</w:t>
      </w:r>
      <w:r>
        <w:rPr>
          <w:sz w:val="24"/>
        </w:rPr>
        <w:t>128</w:t>
      </w:r>
      <w:r>
        <w:rPr>
          <w:sz w:val="24"/>
        </w:rPr>
        <w:t>团垃圾填埋场填埋处理。</w:t>
      </w:r>
    </w:p>
    <w:p w:rsidR="00EE4502" w:rsidRDefault="00FD45A3">
      <w:pPr>
        <w:pStyle w:val="33"/>
        <w:numPr>
          <w:ilvl w:val="2"/>
          <w:numId w:val="30"/>
        </w:numPr>
        <w:spacing w:line="360" w:lineRule="auto"/>
        <w:ind w:left="0" w:firstLine="0"/>
        <w:rPr>
          <w:spacing w:val="0"/>
          <w:sz w:val="24"/>
          <w:szCs w:val="24"/>
        </w:rPr>
      </w:pPr>
      <w:r>
        <w:rPr>
          <w:spacing w:val="0"/>
          <w:sz w:val="24"/>
          <w:szCs w:val="24"/>
        </w:rPr>
        <w:t>运营期固废影响分析</w:t>
      </w:r>
    </w:p>
    <w:p w:rsidR="00EE4502" w:rsidRDefault="00FD45A3">
      <w:pPr>
        <w:pStyle w:val="41"/>
        <w:numPr>
          <w:ilvl w:val="3"/>
          <w:numId w:val="30"/>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bCs w:val="0"/>
          <w:sz w:val="24"/>
          <w:szCs w:val="24"/>
        </w:rPr>
        <w:t>危险废物产生种类及数量</w:t>
      </w:r>
    </w:p>
    <w:p w:rsidR="00EE4502" w:rsidRDefault="00FD45A3">
      <w:pPr>
        <w:pStyle w:val="Default"/>
        <w:adjustRightInd/>
        <w:spacing w:line="360" w:lineRule="auto"/>
        <w:ind w:firstLineChars="200" w:firstLine="480"/>
        <w:jc w:val="both"/>
        <w:rPr>
          <w:rFonts w:ascii="Times New Roman"/>
          <w:color w:val="auto"/>
        </w:rPr>
      </w:pPr>
      <w:r>
        <w:rPr>
          <w:rFonts w:ascii="Times New Roman" w:hint="eastAsia"/>
          <w:color w:val="auto"/>
        </w:rPr>
        <w:t>本工程</w:t>
      </w:r>
      <w:r>
        <w:rPr>
          <w:rFonts w:ascii="Times New Roman"/>
          <w:color w:val="auto"/>
        </w:rPr>
        <w:t>运营期产生的危险废物主要有落地油、废防渗布、</w:t>
      </w:r>
      <w:r>
        <w:rPr>
          <w:rFonts w:ascii="Times New Roman" w:hint="eastAsia"/>
          <w:color w:val="auto"/>
        </w:rPr>
        <w:t>清管废渣</w:t>
      </w:r>
      <w:r>
        <w:rPr>
          <w:rFonts w:ascii="Times New Roman"/>
          <w:color w:val="auto"/>
        </w:rPr>
        <w:t>、废润滑油等。</w:t>
      </w:r>
    </w:p>
    <w:p w:rsidR="00EE4502" w:rsidRDefault="00FD45A3">
      <w:pPr>
        <w:pStyle w:val="Default"/>
        <w:adjustRightInd/>
        <w:spacing w:line="360" w:lineRule="auto"/>
        <w:ind w:firstLineChars="200" w:firstLine="480"/>
        <w:jc w:val="both"/>
        <w:rPr>
          <w:rFonts w:ascii="Times New Roman"/>
          <w:color w:val="auto"/>
        </w:rPr>
      </w:pPr>
      <w:r>
        <w:rPr>
          <w:rFonts w:ascii="Times New Roman"/>
          <w:color w:val="auto"/>
        </w:rPr>
        <w:t>落地油主要来自突发环境事件和井下作业等。对于突发环境事件产生的落地油（如管线</w:t>
      </w:r>
      <w:r>
        <w:rPr>
          <w:rFonts w:ascii="Times New Roman" w:hint="eastAsia"/>
          <w:color w:val="auto"/>
        </w:rPr>
        <w:t>泄漏</w:t>
      </w:r>
      <w:r>
        <w:rPr>
          <w:rFonts w:ascii="Times New Roman"/>
          <w:color w:val="auto"/>
        </w:rPr>
        <w:t>等），可根据《危险废物豁免管理清单》，按《中石化新疆新春石油开发有限责任公司突发环境事件应急预案》进行运输、利用、处置，不按危</w:t>
      </w:r>
      <w:r>
        <w:rPr>
          <w:rFonts w:ascii="Times New Roman"/>
          <w:color w:val="auto"/>
        </w:rPr>
        <w:lastRenderedPageBreak/>
        <w:t>险废物管理。</w:t>
      </w:r>
      <w:r>
        <w:rPr>
          <w:rFonts w:ascii="Times New Roman" w:hint="eastAsia"/>
          <w:color w:val="auto"/>
        </w:rPr>
        <w:t>本工程</w:t>
      </w:r>
      <w:r>
        <w:rPr>
          <w:rFonts w:ascii="Times New Roman"/>
          <w:color w:val="auto"/>
        </w:rPr>
        <w:t>井下作业时带罐作业，防止产生落地油，井口排出物全部进罐，做到原油</w:t>
      </w:r>
      <w:r>
        <w:rPr>
          <w:rFonts w:ascii="Times New Roman"/>
          <w:color w:val="auto"/>
        </w:rPr>
        <w:t>100%</w:t>
      </w:r>
      <w:r>
        <w:rPr>
          <w:rFonts w:ascii="Times New Roman"/>
          <w:color w:val="auto"/>
        </w:rPr>
        <w:t>回收。落地油统一交由有资质的单位处置，严格按照《危险废物转移管理办法》中的相关要求收集、贮存、运输。</w:t>
      </w:r>
    </w:p>
    <w:p w:rsidR="00EE4502" w:rsidRDefault="00FD45A3">
      <w:pPr>
        <w:pStyle w:val="Default"/>
        <w:adjustRightInd/>
        <w:spacing w:line="360" w:lineRule="auto"/>
        <w:ind w:firstLineChars="200" w:firstLine="480"/>
        <w:jc w:val="both"/>
        <w:rPr>
          <w:rFonts w:ascii="Times New Roman"/>
          <w:color w:val="auto"/>
        </w:rPr>
      </w:pPr>
      <w:r>
        <w:rPr>
          <w:rFonts w:ascii="Times New Roman"/>
          <w:color w:val="auto"/>
        </w:rPr>
        <w:t>废防渗布主要在修井作业过程中产生。修井作业时，作业场地下方铺设防渗布，产生的落地油直接落在防渗布上。含油废防渗材料</w:t>
      </w:r>
      <w:r>
        <w:rPr>
          <w:rFonts w:ascii="Times New Roman"/>
          <w:color w:val="auto"/>
        </w:rPr>
        <w:t>属于危险废物，危废代码为</w:t>
      </w:r>
      <w:r>
        <w:rPr>
          <w:rFonts w:ascii="Times New Roman"/>
          <w:color w:val="auto"/>
        </w:rPr>
        <w:t>HW08</w:t>
      </w:r>
      <w:r>
        <w:rPr>
          <w:rFonts w:ascii="Times New Roman"/>
          <w:color w:val="auto"/>
        </w:rPr>
        <w:t>中</w:t>
      </w:r>
      <w:r>
        <w:rPr>
          <w:rFonts w:ascii="Times New Roman"/>
          <w:color w:val="auto"/>
        </w:rPr>
        <w:t>900-249-08</w:t>
      </w:r>
      <w:r>
        <w:rPr>
          <w:rFonts w:ascii="Times New Roman"/>
          <w:color w:val="auto"/>
        </w:rPr>
        <w:t>其他生产、销售、使用过程中产生的废矿物油及沾染矿物油的废弃包装物。施工作业结束后，将废弃的含油防渗布集中收集，委托具有危险废物运输及处理资质的单位拉运处理，拉运过程中资质单位应使用专车、按照指定的拉运路线。</w:t>
      </w:r>
    </w:p>
    <w:p w:rsidR="00EE4502" w:rsidRDefault="00FD45A3">
      <w:pPr>
        <w:pStyle w:val="Default"/>
        <w:adjustRightInd/>
        <w:spacing w:line="360" w:lineRule="auto"/>
        <w:ind w:firstLineChars="200" w:firstLine="480"/>
        <w:jc w:val="both"/>
        <w:rPr>
          <w:rFonts w:ascii="Times New Roman"/>
          <w:color w:val="auto"/>
        </w:rPr>
      </w:pPr>
      <w:r>
        <w:rPr>
          <w:rFonts w:ascii="Times New Roman" w:hint="eastAsia"/>
          <w:color w:val="auto"/>
        </w:rPr>
        <w:t>清管废渣的主要成分为</w:t>
      </w:r>
      <w:r>
        <w:rPr>
          <w:rFonts w:ascii="Times New Roman" w:hint="eastAsia"/>
          <w:color w:val="auto"/>
        </w:rPr>
        <w:t>SS</w:t>
      </w:r>
      <w:r>
        <w:rPr>
          <w:rFonts w:ascii="Times New Roman" w:hint="eastAsia"/>
          <w:color w:val="auto"/>
        </w:rPr>
        <w:t>和氧化铁等，还含有少量管道中的油，其危险废物类别为</w:t>
      </w:r>
      <w:r>
        <w:rPr>
          <w:rFonts w:ascii="Times New Roman" w:hint="eastAsia"/>
          <w:color w:val="auto"/>
        </w:rPr>
        <w:t>HW08</w:t>
      </w:r>
      <w:r>
        <w:rPr>
          <w:rFonts w:ascii="Times New Roman" w:hint="eastAsia"/>
          <w:color w:val="auto"/>
        </w:rPr>
        <w:t>类危险废物（废物代码：</w:t>
      </w:r>
      <w:r>
        <w:rPr>
          <w:rFonts w:ascii="Times New Roman" w:hint="eastAsia"/>
          <w:color w:val="auto"/>
        </w:rPr>
        <w:t>071-001-08</w:t>
      </w:r>
      <w:r>
        <w:rPr>
          <w:rFonts w:ascii="Times New Roman" w:hint="eastAsia"/>
          <w:color w:val="auto"/>
        </w:rPr>
        <w:t>），严格按危险废物相关技术要求和管理规定进行收集与贮存，委托具有危废处置资质的公司进行处置。</w:t>
      </w:r>
    </w:p>
    <w:p w:rsidR="00EE4502" w:rsidRDefault="00FD45A3">
      <w:pPr>
        <w:pStyle w:val="Default"/>
        <w:adjustRightInd/>
        <w:spacing w:line="360" w:lineRule="auto"/>
        <w:ind w:firstLineChars="200" w:firstLine="480"/>
        <w:jc w:val="both"/>
        <w:rPr>
          <w:rFonts w:ascii="Times New Roman"/>
          <w:color w:val="auto"/>
        </w:rPr>
      </w:pPr>
      <w:r>
        <w:rPr>
          <w:rFonts w:ascii="Times New Roman"/>
          <w:color w:val="auto"/>
        </w:rPr>
        <w:t>废润滑油仅在设备检修维护中产生，</w:t>
      </w:r>
      <w:r>
        <w:rPr>
          <w:rFonts w:ascii="Times New Roman"/>
          <w:color w:val="auto"/>
        </w:rPr>
        <w:t>属于《国家危险废物名录》（</w:t>
      </w:r>
      <w:r>
        <w:rPr>
          <w:rFonts w:ascii="Times New Roman"/>
          <w:color w:val="auto"/>
        </w:rPr>
        <w:t>2025</w:t>
      </w:r>
      <w:r>
        <w:rPr>
          <w:rFonts w:ascii="Times New Roman"/>
          <w:color w:val="auto"/>
        </w:rPr>
        <w:t>本）</w:t>
      </w:r>
      <w:r>
        <w:rPr>
          <w:rFonts w:ascii="Times New Roman"/>
          <w:color w:val="auto"/>
        </w:rPr>
        <w:t>HW08</w:t>
      </w:r>
      <w:r>
        <w:rPr>
          <w:rFonts w:ascii="Times New Roman"/>
          <w:color w:val="auto"/>
        </w:rPr>
        <w:t>类危险废物（</w:t>
      </w:r>
      <w:r>
        <w:rPr>
          <w:rFonts w:ascii="Times New Roman"/>
          <w:color w:val="auto"/>
        </w:rPr>
        <w:t>900-21</w:t>
      </w:r>
      <w:r>
        <w:rPr>
          <w:rFonts w:ascii="Times New Roman" w:hint="eastAsia"/>
          <w:color w:val="auto"/>
        </w:rPr>
        <w:t>7</w:t>
      </w:r>
      <w:r>
        <w:rPr>
          <w:rFonts w:ascii="Times New Roman"/>
          <w:color w:val="auto"/>
        </w:rPr>
        <w:t>-08</w:t>
      </w:r>
      <w:r>
        <w:rPr>
          <w:rFonts w:ascii="Times New Roman"/>
          <w:color w:val="auto"/>
        </w:rPr>
        <w:t>），可交由</w:t>
      </w:r>
      <w:r>
        <w:rPr>
          <w:rFonts w:ascii="Times New Roman" w:hint="eastAsia"/>
          <w:color w:val="auto"/>
        </w:rPr>
        <w:t>联合站综合利用</w:t>
      </w:r>
      <w:r>
        <w:rPr>
          <w:rFonts w:ascii="Times New Roman"/>
          <w:color w:val="auto"/>
        </w:rPr>
        <w:t>处置。</w:t>
      </w:r>
    </w:p>
    <w:p w:rsidR="00EE4502" w:rsidRDefault="00FD45A3">
      <w:pPr>
        <w:pStyle w:val="Default"/>
        <w:adjustRightInd/>
        <w:spacing w:line="360" w:lineRule="auto"/>
        <w:ind w:firstLineChars="200" w:firstLine="480"/>
        <w:jc w:val="both"/>
        <w:rPr>
          <w:rFonts w:ascii="Times New Roman"/>
          <w:color w:val="auto"/>
        </w:rPr>
      </w:pPr>
      <w:r>
        <w:rPr>
          <w:rFonts w:ascii="Times New Roman"/>
          <w:color w:val="auto"/>
        </w:rPr>
        <w:t>根据《危险废物环境管理指南</w:t>
      </w:r>
      <w:r>
        <w:rPr>
          <w:rFonts w:ascii="Times New Roman"/>
          <w:color w:val="auto"/>
        </w:rPr>
        <w:t xml:space="preserve"> </w:t>
      </w:r>
      <w:r>
        <w:rPr>
          <w:rFonts w:ascii="Times New Roman"/>
          <w:color w:val="auto"/>
        </w:rPr>
        <w:t>陆上石油天然气开采》，</w:t>
      </w:r>
      <w:r>
        <w:rPr>
          <w:rFonts w:ascii="Times New Roman" w:hint="eastAsia"/>
          <w:color w:val="auto"/>
        </w:rPr>
        <w:t>本工程</w:t>
      </w:r>
      <w:r>
        <w:rPr>
          <w:rFonts w:ascii="Times New Roman"/>
          <w:color w:val="auto"/>
        </w:rPr>
        <w:t>危险废物类别、</w:t>
      </w:r>
      <w:r>
        <w:rPr>
          <w:rFonts w:ascii="Times New Roman" w:hint="eastAsia"/>
          <w:color w:val="auto"/>
        </w:rPr>
        <w:t>主要成分</w:t>
      </w:r>
      <w:r>
        <w:rPr>
          <w:rFonts w:ascii="Times New Roman"/>
          <w:color w:val="auto"/>
        </w:rPr>
        <w:t>及污染防治措施见表</w:t>
      </w:r>
      <w:r>
        <w:rPr>
          <w:rFonts w:ascii="Times New Roman"/>
          <w:color w:val="auto"/>
        </w:rPr>
        <w:t>5-</w:t>
      </w:r>
      <w:r>
        <w:rPr>
          <w:rFonts w:ascii="Times New Roman" w:hint="eastAsia"/>
          <w:color w:val="auto"/>
        </w:rPr>
        <w:t>7</w:t>
      </w:r>
      <w:r>
        <w:rPr>
          <w:rFonts w:ascii="Times New Roman"/>
          <w:color w:val="auto"/>
        </w:rPr>
        <w:t>-1</w:t>
      </w:r>
      <w:r>
        <w:rPr>
          <w:rFonts w:ascii="Times New Roman"/>
          <w:color w:val="auto"/>
        </w:rPr>
        <w:t>。</w:t>
      </w:r>
    </w:p>
    <w:p w:rsidR="00EE4502" w:rsidRDefault="00FD45A3">
      <w:pPr>
        <w:spacing w:line="360" w:lineRule="auto"/>
        <w:jc w:val="center"/>
        <w:rPr>
          <w:rFonts w:eastAsia="黑体"/>
        </w:rPr>
      </w:pPr>
      <w:r>
        <w:rPr>
          <w:rFonts w:eastAsia="黑体"/>
        </w:rPr>
        <w:t>表</w:t>
      </w:r>
      <w:r>
        <w:rPr>
          <w:rFonts w:eastAsia="黑体"/>
        </w:rPr>
        <w:t>5-</w:t>
      </w:r>
      <w:r>
        <w:rPr>
          <w:rFonts w:eastAsia="黑体" w:hint="eastAsia"/>
        </w:rPr>
        <w:t>7</w:t>
      </w:r>
      <w:r>
        <w:rPr>
          <w:rFonts w:eastAsia="黑体"/>
        </w:rPr>
        <w:t xml:space="preserve">-1     </w:t>
      </w:r>
      <w:r>
        <w:rPr>
          <w:rFonts w:eastAsia="黑体"/>
        </w:rPr>
        <w:t>危险废物产生及处置情况一览表</w:t>
      </w:r>
    </w:p>
    <w:tbl>
      <w:tblPr>
        <w:tblW w:w="5000" w:type="pct"/>
        <w:jc w:val="center"/>
        <w:tblBorders>
          <w:top w:val="single" w:sz="8" w:space="0" w:color="auto"/>
          <w:bottom w:val="single" w:sz="8" w:space="0" w:color="auto"/>
          <w:insideH w:val="single" w:sz="8" w:space="0" w:color="auto"/>
          <w:insideV w:val="single" w:sz="8" w:space="0" w:color="auto"/>
        </w:tblBorders>
        <w:tblLook w:val="04A0" w:firstRow="1" w:lastRow="0" w:firstColumn="1" w:lastColumn="0" w:noHBand="0" w:noVBand="1"/>
      </w:tblPr>
      <w:tblGrid>
        <w:gridCol w:w="437"/>
        <w:gridCol w:w="615"/>
        <w:gridCol w:w="1215"/>
        <w:gridCol w:w="1157"/>
        <w:gridCol w:w="910"/>
        <w:gridCol w:w="614"/>
        <w:gridCol w:w="762"/>
        <w:gridCol w:w="614"/>
        <w:gridCol w:w="523"/>
        <w:gridCol w:w="615"/>
        <w:gridCol w:w="1060"/>
      </w:tblGrid>
      <w:tr w:rsidR="00EE4502">
        <w:trPr>
          <w:trHeight w:val="340"/>
          <w:jc w:val="center"/>
        </w:trPr>
        <w:tc>
          <w:tcPr>
            <w:tcW w:w="256" w:type="pct"/>
            <w:vAlign w:val="center"/>
          </w:tcPr>
          <w:p w:rsidR="00EE4502" w:rsidRDefault="00FD45A3">
            <w:pPr>
              <w:pStyle w:val="ArialGB23121"/>
              <w:spacing w:line="240" w:lineRule="auto"/>
              <w:jc w:val="center"/>
              <w:rPr>
                <w:rFonts w:hAnsi="Times New Roman"/>
                <w:bCs/>
                <w:sz w:val="18"/>
                <w:szCs w:val="18"/>
              </w:rPr>
            </w:pPr>
            <w:r>
              <w:rPr>
                <w:rFonts w:hAnsi="Times New Roman"/>
                <w:bCs/>
                <w:sz w:val="18"/>
                <w:szCs w:val="18"/>
              </w:rPr>
              <w:t>序号</w:t>
            </w:r>
          </w:p>
        </w:tc>
        <w:tc>
          <w:tcPr>
            <w:tcW w:w="361" w:type="pct"/>
            <w:vAlign w:val="center"/>
          </w:tcPr>
          <w:p w:rsidR="00EE4502" w:rsidRDefault="00FD45A3">
            <w:pPr>
              <w:pStyle w:val="ArialGB23121"/>
              <w:spacing w:line="240" w:lineRule="auto"/>
              <w:jc w:val="center"/>
              <w:rPr>
                <w:rFonts w:hAnsi="Times New Roman"/>
                <w:bCs/>
                <w:sz w:val="18"/>
                <w:szCs w:val="18"/>
              </w:rPr>
            </w:pPr>
            <w:r>
              <w:rPr>
                <w:rFonts w:hAnsi="Times New Roman"/>
                <w:bCs/>
                <w:sz w:val="18"/>
                <w:szCs w:val="18"/>
              </w:rPr>
              <w:t>危险废物名称</w:t>
            </w:r>
          </w:p>
        </w:tc>
        <w:tc>
          <w:tcPr>
            <w:tcW w:w="713" w:type="pct"/>
            <w:vAlign w:val="center"/>
          </w:tcPr>
          <w:p w:rsidR="00EE4502" w:rsidRDefault="00FD45A3">
            <w:pPr>
              <w:pStyle w:val="ArialGB23121"/>
              <w:spacing w:line="240" w:lineRule="auto"/>
              <w:jc w:val="center"/>
              <w:rPr>
                <w:rFonts w:hAnsi="Times New Roman"/>
                <w:bCs/>
                <w:sz w:val="18"/>
                <w:szCs w:val="18"/>
              </w:rPr>
            </w:pPr>
            <w:r>
              <w:rPr>
                <w:rFonts w:hAnsi="Times New Roman"/>
                <w:bCs/>
                <w:sz w:val="18"/>
                <w:szCs w:val="18"/>
              </w:rPr>
              <w:t>危险废物类别</w:t>
            </w:r>
          </w:p>
        </w:tc>
        <w:tc>
          <w:tcPr>
            <w:tcW w:w="679" w:type="pct"/>
            <w:vAlign w:val="center"/>
          </w:tcPr>
          <w:p w:rsidR="00EE4502" w:rsidRDefault="00FD45A3">
            <w:pPr>
              <w:pStyle w:val="ArialGB23121"/>
              <w:spacing w:line="240" w:lineRule="auto"/>
              <w:jc w:val="center"/>
              <w:rPr>
                <w:rFonts w:hAnsi="Times New Roman"/>
                <w:bCs/>
                <w:sz w:val="18"/>
                <w:szCs w:val="18"/>
              </w:rPr>
            </w:pPr>
            <w:r>
              <w:rPr>
                <w:rFonts w:hAnsi="Times New Roman"/>
                <w:bCs/>
                <w:sz w:val="18"/>
                <w:szCs w:val="18"/>
              </w:rPr>
              <w:t>危险废物代码</w:t>
            </w:r>
          </w:p>
        </w:tc>
        <w:tc>
          <w:tcPr>
            <w:tcW w:w="534" w:type="pct"/>
            <w:vAlign w:val="center"/>
          </w:tcPr>
          <w:p w:rsidR="00EE4502" w:rsidRDefault="00FD45A3">
            <w:pPr>
              <w:pStyle w:val="ArialGB23121"/>
              <w:spacing w:line="240" w:lineRule="auto"/>
              <w:jc w:val="center"/>
              <w:rPr>
                <w:rFonts w:hAnsi="Times New Roman"/>
                <w:bCs/>
                <w:sz w:val="18"/>
                <w:szCs w:val="18"/>
              </w:rPr>
            </w:pPr>
            <w:r>
              <w:rPr>
                <w:rFonts w:hAnsi="Times New Roman"/>
                <w:bCs/>
                <w:sz w:val="18"/>
                <w:szCs w:val="18"/>
              </w:rPr>
              <w:t>产生量</w:t>
            </w:r>
          </w:p>
        </w:tc>
        <w:tc>
          <w:tcPr>
            <w:tcW w:w="360" w:type="pct"/>
            <w:vAlign w:val="center"/>
          </w:tcPr>
          <w:p w:rsidR="00EE4502" w:rsidRDefault="00FD45A3">
            <w:pPr>
              <w:pStyle w:val="ArialGB23121"/>
              <w:spacing w:line="240" w:lineRule="auto"/>
              <w:jc w:val="center"/>
              <w:rPr>
                <w:rFonts w:hAnsi="Times New Roman"/>
                <w:bCs/>
                <w:sz w:val="18"/>
                <w:szCs w:val="18"/>
              </w:rPr>
            </w:pPr>
            <w:r>
              <w:rPr>
                <w:rFonts w:hAnsi="Times New Roman"/>
                <w:bCs/>
                <w:sz w:val="18"/>
                <w:szCs w:val="18"/>
              </w:rPr>
              <w:t>产生工序</w:t>
            </w:r>
          </w:p>
        </w:tc>
        <w:tc>
          <w:tcPr>
            <w:tcW w:w="447" w:type="pct"/>
            <w:vAlign w:val="center"/>
          </w:tcPr>
          <w:p w:rsidR="00EE4502" w:rsidRDefault="00FD45A3">
            <w:pPr>
              <w:pStyle w:val="ArialGB23121"/>
              <w:spacing w:line="240" w:lineRule="auto"/>
              <w:jc w:val="center"/>
              <w:rPr>
                <w:rFonts w:hAnsi="Times New Roman"/>
                <w:bCs/>
                <w:sz w:val="18"/>
                <w:szCs w:val="18"/>
              </w:rPr>
            </w:pPr>
            <w:r>
              <w:rPr>
                <w:rFonts w:hAnsi="Times New Roman"/>
                <w:bCs/>
                <w:sz w:val="18"/>
                <w:szCs w:val="18"/>
              </w:rPr>
              <w:t>形态</w:t>
            </w:r>
          </w:p>
        </w:tc>
        <w:tc>
          <w:tcPr>
            <w:tcW w:w="360" w:type="pct"/>
            <w:vAlign w:val="center"/>
          </w:tcPr>
          <w:p w:rsidR="00EE4502" w:rsidRDefault="00FD45A3">
            <w:pPr>
              <w:pStyle w:val="ArialGB23121"/>
              <w:spacing w:line="240" w:lineRule="auto"/>
              <w:jc w:val="center"/>
              <w:rPr>
                <w:rFonts w:hAnsi="Times New Roman"/>
                <w:bCs/>
                <w:sz w:val="18"/>
                <w:szCs w:val="18"/>
              </w:rPr>
            </w:pPr>
            <w:r>
              <w:rPr>
                <w:rFonts w:hAnsi="Times New Roman"/>
                <w:bCs/>
                <w:sz w:val="18"/>
                <w:szCs w:val="18"/>
              </w:rPr>
              <w:t>主要危险成分</w:t>
            </w:r>
          </w:p>
        </w:tc>
        <w:tc>
          <w:tcPr>
            <w:tcW w:w="307" w:type="pct"/>
            <w:vAlign w:val="center"/>
          </w:tcPr>
          <w:p w:rsidR="00EE4502" w:rsidRDefault="00FD45A3">
            <w:pPr>
              <w:pStyle w:val="ArialGB23121"/>
              <w:spacing w:line="240" w:lineRule="auto"/>
              <w:jc w:val="center"/>
              <w:rPr>
                <w:rFonts w:hAnsi="Times New Roman"/>
                <w:bCs/>
                <w:sz w:val="18"/>
                <w:szCs w:val="18"/>
              </w:rPr>
            </w:pPr>
            <w:r>
              <w:rPr>
                <w:rFonts w:hAnsi="Times New Roman"/>
                <w:bCs/>
                <w:sz w:val="18"/>
                <w:szCs w:val="18"/>
              </w:rPr>
              <w:t>产废周期</w:t>
            </w:r>
          </w:p>
        </w:tc>
        <w:tc>
          <w:tcPr>
            <w:tcW w:w="361" w:type="pct"/>
            <w:vAlign w:val="center"/>
          </w:tcPr>
          <w:p w:rsidR="00EE4502" w:rsidRDefault="00FD45A3">
            <w:pPr>
              <w:pStyle w:val="ArialGB23121"/>
              <w:spacing w:line="240" w:lineRule="auto"/>
              <w:jc w:val="center"/>
              <w:rPr>
                <w:rFonts w:hAnsi="Times New Roman"/>
                <w:bCs/>
                <w:sz w:val="18"/>
                <w:szCs w:val="18"/>
              </w:rPr>
            </w:pPr>
            <w:r>
              <w:rPr>
                <w:rFonts w:hAnsi="Times New Roman"/>
                <w:bCs/>
                <w:sz w:val="18"/>
                <w:szCs w:val="18"/>
              </w:rPr>
              <w:t>危险特性</w:t>
            </w:r>
          </w:p>
        </w:tc>
        <w:tc>
          <w:tcPr>
            <w:tcW w:w="622" w:type="pct"/>
            <w:vAlign w:val="center"/>
          </w:tcPr>
          <w:p w:rsidR="00EE4502" w:rsidRDefault="00FD45A3">
            <w:pPr>
              <w:pStyle w:val="ArialGB23121"/>
              <w:spacing w:line="240" w:lineRule="auto"/>
              <w:jc w:val="center"/>
              <w:rPr>
                <w:rFonts w:hAnsi="Times New Roman"/>
                <w:bCs/>
                <w:sz w:val="18"/>
                <w:szCs w:val="18"/>
              </w:rPr>
            </w:pPr>
            <w:r>
              <w:rPr>
                <w:rFonts w:hAnsi="Times New Roman"/>
                <w:bCs/>
                <w:sz w:val="18"/>
                <w:szCs w:val="18"/>
              </w:rPr>
              <w:t>污染物防治措施</w:t>
            </w:r>
          </w:p>
        </w:tc>
      </w:tr>
      <w:tr w:rsidR="00EE4502">
        <w:trPr>
          <w:trHeight w:val="340"/>
          <w:jc w:val="center"/>
        </w:trPr>
        <w:tc>
          <w:tcPr>
            <w:tcW w:w="256" w:type="pct"/>
            <w:vAlign w:val="center"/>
          </w:tcPr>
          <w:p w:rsidR="00EE4502" w:rsidRDefault="00FD45A3">
            <w:pPr>
              <w:pStyle w:val="ArialGB23121"/>
              <w:spacing w:line="240" w:lineRule="auto"/>
              <w:jc w:val="center"/>
              <w:rPr>
                <w:rFonts w:hAnsi="Times New Roman"/>
                <w:sz w:val="18"/>
                <w:szCs w:val="18"/>
              </w:rPr>
            </w:pPr>
            <w:r>
              <w:rPr>
                <w:rFonts w:hAnsi="Times New Roman"/>
                <w:sz w:val="18"/>
                <w:szCs w:val="18"/>
              </w:rPr>
              <w:t>1</w:t>
            </w:r>
          </w:p>
        </w:tc>
        <w:tc>
          <w:tcPr>
            <w:tcW w:w="361" w:type="pct"/>
            <w:vAlign w:val="center"/>
          </w:tcPr>
          <w:p w:rsidR="00EE4502" w:rsidRDefault="00FD45A3">
            <w:pPr>
              <w:pStyle w:val="ArialGB23121"/>
              <w:spacing w:line="240" w:lineRule="auto"/>
              <w:jc w:val="center"/>
              <w:rPr>
                <w:rFonts w:hAnsi="Times New Roman"/>
                <w:sz w:val="18"/>
                <w:szCs w:val="18"/>
              </w:rPr>
            </w:pPr>
            <w:r>
              <w:rPr>
                <w:rFonts w:hAnsi="Times New Roman"/>
                <w:sz w:val="18"/>
                <w:szCs w:val="18"/>
              </w:rPr>
              <w:t>落地油</w:t>
            </w:r>
          </w:p>
        </w:tc>
        <w:tc>
          <w:tcPr>
            <w:tcW w:w="713" w:type="pct"/>
            <w:vMerge w:val="restart"/>
            <w:vAlign w:val="center"/>
          </w:tcPr>
          <w:p w:rsidR="00EE4502" w:rsidRDefault="00FD45A3">
            <w:pPr>
              <w:pStyle w:val="ArialGB23121"/>
              <w:spacing w:line="240" w:lineRule="auto"/>
              <w:jc w:val="center"/>
              <w:rPr>
                <w:rFonts w:hAnsi="Times New Roman"/>
                <w:sz w:val="18"/>
                <w:szCs w:val="18"/>
              </w:rPr>
            </w:pPr>
            <w:r>
              <w:rPr>
                <w:rFonts w:hAnsi="Times New Roman"/>
                <w:sz w:val="18"/>
                <w:szCs w:val="18"/>
              </w:rPr>
              <w:t>HW08</w:t>
            </w:r>
            <w:r>
              <w:rPr>
                <w:rFonts w:hAnsi="Times New Roman"/>
                <w:sz w:val="18"/>
                <w:szCs w:val="18"/>
              </w:rPr>
              <w:t>废矿物油与含矿物油废物</w:t>
            </w:r>
          </w:p>
        </w:tc>
        <w:tc>
          <w:tcPr>
            <w:tcW w:w="679" w:type="pct"/>
            <w:vAlign w:val="center"/>
          </w:tcPr>
          <w:p w:rsidR="00EE4502" w:rsidRDefault="00FD45A3">
            <w:pPr>
              <w:pStyle w:val="ArialGB23121"/>
              <w:spacing w:line="240" w:lineRule="auto"/>
              <w:jc w:val="center"/>
              <w:rPr>
                <w:rFonts w:hAnsi="Times New Roman"/>
                <w:sz w:val="18"/>
                <w:szCs w:val="18"/>
              </w:rPr>
            </w:pPr>
            <w:r>
              <w:rPr>
                <w:rFonts w:hAnsi="Times New Roman"/>
                <w:sz w:val="18"/>
                <w:szCs w:val="18"/>
              </w:rPr>
              <w:t>071-001-08</w:t>
            </w:r>
          </w:p>
        </w:tc>
        <w:tc>
          <w:tcPr>
            <w:tcW w:w="534" w:type="pct"/>
            <w:vAlign w:val="center"/>
          </w:tcPr>
          <w:p w:rsidR="00EE4502" w:rsidRDefault="00FD45A3">
            <w:pPr>
              <w:pStyle w:val="ArialGB23121"/>
              <w:spacing w:line="240" w:lineRule="auto"/>
              <w:jc w:val="center"/>
              <w:rPr>
                <w:rFonts w:hAnsi="Times New Roman"/>
                <w:sz w:val="18"/>
                <w:szCs w:val="18"/>
              </w:rPr>
            </w:pPr>
            <w:r>
              <w:rPr>
                <w:rFonts w:hAnsi="Times New Roman"/>
                <w:sz w:val="18"/>
                <w:szCs w:val="18"/>
              </w:rPr>
              <w:t>0.</w:t>
            </w:r>
            <w:r>
              <w:rPr>
                <w:rFonts w:hAnsi="Times New Roman" w:hint="eastAsia"/>
                <w:sz w:val="18"/>
                <w:szCs w:val="18"/>
              </w:rPr>
              <w:t>9</w:t>
            </w:r>
            <w:r>
              <w:rPr>
                <w:rFonts w:hAnsi="Times New Roman"/>
                <w:bCs/>
                <w:sz w:val="18"/>
                <w:szCs w:val="18"/>
              </w:rPr>
              <w:t xml:space="preserve"> t/a</w:t>
            </w:r>
          </w:p>
        </w:tc>
        <w:tc>
          <w:tcPr>
            <w:tcW w:w="360" w:type="pct"/>
            <w:vAlign w:val="center"/>
          </w:tcPr>
          <w:p w:rsidR="00EE4502" w:rsidRDefault="00FD45A3">
            <w:pPr>
              <w:pStyle w:val="ArialGB23121"/>
              <w:spacing w:line="240" w:lineRule="auto"/>
              <w:jc w:val="center"/>
              <w:rPr>
                <w:rFonts w:hAnsi="Times New Roman"/>
                <w:sz w:val="18"/>
                <w:szCs w:val="18"/>
              </w:rPr>
            </w:pPr>
            <w:r>
              <w:rPr>
                <w:rFonts w:hAnsi="Times New Roman"/>
                <w:sz w:val="18"/>
                <w:szCs w:val="18"/>
              </w:rPr>
              <w:t>油井作业</w:t>
            </w:r>
          </w:p>
        </w:tc>
        <w:tc>
          <w:tcPr>
            <w:tcW w:w="447" w:type="pct"/>
            <w:vAlign w:val="center"/>
          </w:tcPr>
          <w:p w:rsidR="00EE4502" w:rsidRDefault="00FD45A3">
            <w:pPr>
              <w:pStyle w:val="ArialGB23121"/>
              <w:spacing w:line="240" w:lineRule="auto"/>
              <w:jc w:val="center"/>
              <w:rPr>
                <w:rFonts w:hAnsi="Times New Roman"/>
                <w:sz w:val="18"/>
                <w:szCs w:val="18"/>
              </w:rPr>
            </w:pPr>
            <w:r>
              <w:rPr>
                <w:rFonts w:hAnsi="Times New Roman"/>
                <w:sz w:val="18"/>
                <w:szCs w:val="18"/>
              </w:rPr>
              <w:t>半固体、固体</w:t>
            </w:r>
          </w:p>
        </w:tc>
        <w:tc>
          <w:tcPr>
            <w:tcW w:w="360" w:type="pct"/>
            <w:vAlign w:val="center"/>
          </w:tcPr>
          <w:p w:rsidR="00EE4502" w:rsidRDefault="00FD45A3">
            <w:pPr>
              <w:jc w:val="center"/>
              <w:rPr>
                <w:sz w:val="18"/>
                <w:szCs w:val="18"/>
              </w:rPr>
            </w:pPr>
            <w:r>
              <w:rPr>
                <w:rFonts w:hint="eastAsia"/>
                <w:sz w:val="18"/>
                <w:szCs w:val="18"/>
              </w:rPr>
              <w:t>废矿物油</w:t>
            </w:r>
          </w:p>
        </w:tc>
        <w:tc>
          <w:tcPr>
            <w:tcW w:w="307" w:type="pct"/>
            <w:vAlign w:val="center"/>
          </w:tcPr>
          <w:p w:rsidR="00EE4502" w:rsidRDefault="00FD45A3">
            <w:pPr>
              <w:pStyle w:val="ArialGB23121"/>
              <w:spacing w:line="240" w:lineRule="auto"/>
              <w:jc w:val="center"/>
              <w:rPr>
                <w:rFonts w:hAnsi="Times New Roman"/>
                <w:sz w:val="18"/>
                <w:szCs w:val="18"/>
              </w:rPr>
            </w:pPr>
            <w:r>
              <w:rPr>
                <w:rFonts w:hAnsi="Times New Roman"/>
                <w:sz w:val="18"/>
                <w:szCs w:val="18"/>
              </w:rPr>
              <w:t>间歇</w:t>
            </w:r>
          </w:p>
        </w:tc>
        <w:tc>
          <w:tcPr>
            <w:tcW w:w="361" w:type="pct"/>
            <w:vAlign w:val="center"/>
          </w:tcPr>
          <w:p w:rsidR="00EE4502" w:rsidRDefault="00FD45A3">
            <w:pPr>
              <w:pStyle w:val="ArialGB23121"/>
              <w:spacing w:line="240" w:lineRule="auto"/>
              <w:jc w:val="center"/>
              <w:rPr>
                <w:rFonts w:hAnsi="Times New Roman"/>
                <w:sz w:val="18"/>
                <w:szCs w:val="18"/>
              </w:rPr>
            </w:pPr>
            <w:r>
              <w:rPr>
                <w:rFonts w:hAnsi="Times New Roman"/>
                <w:sz w:val="18"/>
                <w:szCs w:val="18"/>
              </w:rPr>
              <w:t>T</w:t>
            </w:r>
            <w:r>
              <w:rPr>
                <w:rFonts w:hAnsi="Times New Roman" w:hint="eastAsia"/>
                <w:sz w:val="18"/>
                <w:szCs w:val="18"/>
              </w:rPr>
              <w:t>.</w:t>
            </w:r>
            <w:r>
              <w:rPr>
                <w:rFonts w:hAnsi="Times New Roman"/>
                <w:sz w:val="18"/>
                <w:szCs w:val="18"/>
              </w:rPr>
              <w:t>I</w:t>
            </w:r>
          </w:p>
        </w:tc>
        <w:tc>
          <w:tcPr>
            <w:tcW w:w="622" w:type="pct"/>
            <w:vAlign w:val="center"/>
          </w:tcPr>
          <w:p w:rsidR="00EE4502" w:rsidRDefault="00FD45A3">
            <w:pPr>
              <w:pStyle w:val="ArialGB23121"/>
              <w:spacing w:line="240" w:lineRule="auto"/>
              <w:jc w:val="center"/>
              <w:rPr>
                <w:rFonts w:hAnsi="Times New Roman"/>
                <w:sz w:val="18"/>
                <w:szCs w:val="18"/>
              </w:rPr>
            </w:pPr>
            <w:r>
              <w:rPr>
                <w:rFonts w:hAnsi="Times New Roman" w:hint="eastAsia"/>
                <w:sz w:val="18"/>
                <w:szCs w:val="18"/>
              </w:rPr>
              <w:t>委托有资质单位拉运处理</w:t>
            </w:r>
          </w:p>
        </w:tc>
      </w:tr>
      <w:tr w:rsidR="00EE4502">
        <w:trPr>
          <w:trHeight w:val="340"/>
          <w:jc w:val="center"/>
        </w:trPr>
        <w:tc>
          <w:tcPr>
            <w:tcW w:w="256" w:type="pct"/>
            <w:vAlign w:val="center"/>
          </w:tcPr>
          <w:p w:rsidR="00EE4502" w:rsidRDefault="00FD45A3">
            <w:pPr>
              <w:pStyle w:val="ArialGB23121"/>
              <w:spacing w:line="240" w:lineRule="auto"/>
              <w:jc w:val="center"/>
              <w:rPr>
                <w:rFonts w:hAnsi="Times New Roman"/>
                <w:sz w:val="18"/>
                <w:szCs w:val="18"/>
              </w:rPr>
            </w:pPr>
            <w:r>
              <w:rPr>
                <w:rFonts w:hAnsi="Times New Roman" w:hint="eastAsia"/>
                <w:sz w:val="18"/>
                <w:szCs w:val="18"/>
              </w:rPr>
              <w:t>2</w:t>
            </w:r>
          </w:p>
        </w:tc>
        <w:tc>
          <w:tcPr>
            <w:tcW w:w="361" w:type="pct"/>
            <w:vAlign w:val="center"/>
          </w:tcPr>
          <w:p w:rsidR="00EE4502" w:rsidRDefault="00FD45A3">
            <w:pPr>
              <w:pStyle w:val="ArialGB23121"/>
              <w:spacing w:line="240" w:lineRule="auto"/>
              <w:jc w:val="center"/>
              <w:rPr>
                <w:rFonts w:hAnsi="Times New Roman"/>
                <w:sz w:val="18"/>
                <w:szCs w:val="18"/>
              </w:rPr>
            </w:pPr>
            <w:r>
              <w:rPr>
                <w:rFonts w:hAnsi="Times New Roman"/>
                <w:sz w:val="18"/>
                <w:szCs w:val="18"/>
              </w:rPr>
              <w:t>废防渗布</w:t>
            </w:r>
          </w:p>
        </w:tc>
        <w:tc>
          <w:tcPr>
            <w:tcW w:w="713" w:type="pct"/>
            <w:vMerge/>
            <w:vAlign w:val="center"/>
          </w:tcPr>
          <w:p w:rsidR="00EE4502" w:rsidRDefault="00EE4502">
            <w:pPr>
              <w:pStyle w:val="ArialGB23121"/>
              <w:spacing w:line="240" w:lineRule="auto"/>
              <w:jc w:val="center"/>
              <w:rPr>
                <w:rFonts w:hAnsi="Times New Roman"/>
                <w:sz w:val="18"/>
                <w:szCs w:val="18"/>
              </w:rPr>
            </w:pPr>
          </w:p>
        </w:tc>
        <w:tc>
          <w:tcPr>
            <w:tcW w:w="679" w:type="pct"/>
            <w:vAlign w:val="center"/>
          </w:tcPr>
          <w:p w:rsidR="00EE4502" w:rsidRDefault="00FD45A3">
            <w:pPr>
              <w:pStyle w:val="ArialGB23121"/>
              <w:spacing w:line="240" w:lineRule="auto"/>
              <w:jc w:val="center"/>
              <w:rPr>
                <w:rFonts w:hAnsi="Times New Roman"/>
                <w:sz w:val="18"/>
                <w:szCs w:val="18"/>
              </w:rPr>
            </w:pPr>
            <w:r>
              <w:rPr>
                <w:rFonts w:hAnsi="Times New Roman"/>
                <w:sz w:val="18"/>
                <w:szCs w:val="18"/>
              </w:rPr>
              <w:t>900-249-08</w:t>
            </w:r>
          </w:p>
        </w:tc>
        <w:tc>
          <w:tcPr>
            <w:tcW w:w="534" w:type="pct"/>
            <w:vAlign w:val="center"/>
          </w:tcPr>
          <w:p w:rsidR="00EE4502" w:rsidRDefault="00FD45A3">
            <w:pPr>
              <w:pStyle w:val="ArialGB23121"/>
              <w:spacing w:line="240" w:lineRule="auto"/>
              <w:jc w:val="center"/>
              <w:rPr>
                <w:rFonts w:hAnsi="Times New Roman"/>
                <w:sz w:val="18"/>
                <w:szCs w:val="18"/>
              </w:rPr>
            </w:pPr>
            <w:r>
              <w:rPr>
                <w:rFonts w:hAnsi="Times New Roman"/>
                <w:sz w:val="18"/>
                <w:szCs w:val="18"/>
              </w:rPr>
              <w:t>2.25</w:t>
            </w:r>
            <w:r>
              <w:rPr>
                <w:rFonts w:hAnsi="Times New Roman"/>
                <w:bCs/>
                <w:sz w:val="18"/>
                <w:szCs w:val="18"/>
              </w:rPr>
              <w:t xml:space="preserve"> t/a</w:t>
            </w:r>
          </w:p>
        </w:tc>
        <w:tc>
          <w:tcPr>
            <w:tcW w:w="360" w:type="pct"/>
            <w:vAlign w:val="center"/>
          </w:tcPr>
          <w:p w:rsidR="00EE4502" w:rsidRDefault="00FD45A3">
            <w:pPr>
              <w:pStyle w:val="ArialGB23121"/>
              <w:spacing w:line="240" w:lineRule="auto"/>
              <w:jc w:val="center"/>
              <w:rPr>
                <w:rFonts w:hAnsi="Times New Roman"/>
                <w:sz w:val="18"/>
                <w:szCs w:val="18"/>
              </w:rPr>
            </w:pPr>
            <w:r>
              <w:rPr>
                <w:rFonts w:hAnsi="Times New Roman"/>
                <w:sz w:val="18"/>
                <w:szCs w:val="18"/>
              </w:rPr>
              <w:t>作业</w:t>
            </w:r>
            <w:r>
              <w:rPr>
                <w:rFonts w:hAnsi="Times New Roman" w:hint="eastAsia"/>
                <w:sz w:val="18"/>
                <w:szCs w:val="18"/>
              </w:rPr>
              <w:t>场地清理</w:t>
            </w:r>
          </w:p>
        </w:tc>
        <w:tc>
          <w:tcPr>
            <w:tcW w:w="447" w:type="pct"/>
            <w:vAlign w:val="center"/>
          </w:tcPr>
          <w:p w:rsidR="00EE4502" w:rsidRDefault="00FD45A3">
            <w:pPr>
              <w:pStyle w:val="ArialGB23121"/>
              <w:spacing w:line="240" w:lineRule="auto"/>
              <w:jc w:val="center"/>
              <w:rPr>
                <w:rFonts w:hAnsi="Times New Roman"/>
                <w:sz w:val="18"/>
                <w:szCs w:val="18"/>
              </w:rPr>
            </w:pPr>
            <w:r>
              <w:rPr>
                <w:rFonts w:hAnsi="Times New Roman"/>
                <w:sz w:val="18"/>
                <w:szCs w:val="18"/>
              </w:rPr>
              <w:t>固体</w:t>
            </w:r>
          </w:p>
        </w:tc>
        <w:tc>
          <w:tcPr>
            <w:tcW w:w="360" w:type="pct"/>
            <w:vAlign w:val="center"/>
          </w:tcPr>
          <w:p w:rsidR="00EE4502" w:rsidRDefault="00FD45A3">
            <w:pPr>
              <w:jc w:val="center"/>
              <w:rPr>
                <w:sz w:val="18"/>
                <w:szCs w:val="18"/>
              </w:rPr>
            </w:pPr>
            <w:r>
              <w:rPr>
                <w:rFonts w:hint="eastAsia"/>
                <w:sz w:val="18"/>
                <w:szCs w:val="18"/>
              </w:rPr>
              <w:t>废矿物油</w:t>
            </w:r>
          </w:p>
        </w:tc>
        <w:tc>
          <w:tcPr>
            <w:tcW w:w="307" w:type="pct"/>
            <w:vAlign w:val="center"/>
          </w:tcPr>
          <w:p w:rsidR="00EE4502" w:rsidRDefault="00FD45A3">
            <w:pPr>
              <w:pStyle w:val="ArialGB23121"/>
              <w:spacing w:line="240" w:lineRule="auto"/>
              <w:jc w:val="center"/>
              <w:rPr>
                <w:rFonts w:hAnsi="Times New Roman"/>
                <w:sz w:val="18"/>
                <w:szCs w:val="18"/>
              </w:rPr>
            </w:pPr>
            <w:r>
              <w:rPr>
                <w:rFonts w:hAnsi="Times New Roman"/>
                <w:sz w:val="18"/>
                <w:szCs w:val="18"/>
              </w:rPr>
              <w:t>间歇</w:t>
            </w:r>
          </w:p>
        </w:tc>
        <w:tc>
          <w:tcPr>
            <w:tcW w:w="361" w:type="pct"/>
            <w:vAlign w:val="center"/>
          </w:tcPr>
          <w:p w:rsidR="00EE4502" w:rsidRDefault="00FD45A3">
            <w:pPr>
              <w:pStyle w:val="ArialGB23121"/>
              <w:spacing w:line="240" w:lineRule="auto"/>
              <w:jc w:val="center"/>
              <w:rPr>
                <w:rFonts w:hAnsi="Times New Roman"/>
                <w:sz w:val="18"/>
                <w:szCs w:val="18"/>
              </w:rPr>
            </w:pPr>
            <w:r>
              <w:rPr>
                <w:rFonts w:hAnsi="Times New Roman"/>
                <w:sz w:val="18"/>
                <w:szCs w:val="18"/>
              </w:rPr>
              <w:t>T</w:t>
            </w:r>
            <w:r>
              <w:rPr>
                <w:rFonts w:hAnsi="Times New Roman" w:hint="eastAsia"/>
                <w:sz w:val="18"/>
                <w:szCs w:val="18"/>
              </w:rPr>
              <w:t>.</w:t>
            </w:r>
            <w:r>
              <w:rPr>
                <w:rFonts w:hAnsi="Times New Roman"/>
                <w:sz w:val="18"/>
                <w:szCs w:val="18"/>
              </w:rPr>
              <w:t>I</w:t>
            </w:r>
          </w:p>
        </w:tc>
        <w:tc>
          <w:tcPr>
            <w:tcW w:w="622" w:type="pct"/>
            <w:vAlign w:val="center"/>
          </w:tcPr>
          <w:p w:rsidR="00EE4502" w:rsidRDefault="00FD45A3">
            <w:pPr>
              <w:pStyle w:val="ArialGB23121"/>
              <w:spacing w:line="240" w:lineRule="auto"/>
              <w:jc w:val="center"/>
              <w:rPr>
                <w:rFonts w:hAnsi="Times New Roman"/>
                <w:sz w:val="18"/>
                <w:szCs w:val="18"/>
              </w:rPr>
            </w:pPr>
            <w:r>
              <w:rPr>
                <w:rFonts w:hAnsi="Times New Roman" w:hint="eastAsia"/>
                <w:sz w:val="18"/>
                <w:szCs w:val="18"/>
              </w:rPr>
              <w:t>折叠打包后</w:t>
            </w:r>
            <w:r>
              <w:rPr>
                <w:rFonts w:hAnsi="Times New Roman"/>
                <w:sz w:val="18"/>
                <w:szCs w:val="18"/>
              </w:rPr>
              <w:t>委托有资质单位</w:t>
            </w:r>
            <w:r>
              <w:rPr>
                <w:rFonts w:hAnsi="Times New Roman" w:hint="eastAsia"/>
                <w:sz w:val="18"/>
                <w:szCs w:val="18"/>
              </w:rPr>
              <w:t>拉运处理</w:t>
            </w:r>
          </w:p>
        </w:tc>
      </w:tr>
      <w:tr w:rsidR="00EE4502">
        <w:trPr>
          <w:trHeight w:val="340"/>
          <w:jc w:val="center"/>
        </w:trPr>
        <w:tc>
          <w:tcPr>
            <w:tcW w:w="256" w:type="pct"/>
            <w:vAlign w:val="center"/>
          </w:tcPr>
          <w:p w:rsidR="00EE4502" w:rsidRDefault="00FD45A3">
            <w:pPr>
              <w:pStyle w:val="ArialGB23121"/>
              <w:spacing w:line="240" w:lineRule="auto"/>
              <w:jc w:val="center"/>
              <w:rPr>
                <w:rFonts w:hAnsi="Times New Roman"/>
                <w:sz w:val="18"/>
                <w:szCs w:val="18"/>
              </w:rPr>
            </w:pPr>
            <w:r>
              <w:rPr>
                <w:rFonts w:hAnsi="Times New Roman"/>
                <w:sz w:val="18"/>
                <w:szCs w:val="18"/>
              </w:rPr>
              <w:t>3</w:t>
            </w:r>
          </w:p>
        </w:tc>
        <w:tc>
          <w:tcPr>
            <w:tcW w:w="361" w:type="pct"/>
            <w:vAlign w:val="center"/>
          </w:tcPr>
          <w:p w:rsidR="00EE4502" w:rsidRDefault="00FD45A3">
            <w:pPr>
              <w:pStyle w:val="ArialGB23121"/>
              <w:spacing w:line="240" w:lineRule="auto"/>
              <w:jc w:val="center"/>
              <w:rPr>
                <w:rFonts w:hAnsi="Times New Roman"/>
                <w:sz w:val="18"/>
                <w:szCs w:val="18"/>
              </w:rPr>
            </w:pPr>
            <w:r>
              <w:rPr>
                <w:rFonts w:hAnsi="Times New Roman" w:hint="eastAsia"/>
                <w:sz w:val="18"/>
                <w:szCs w:val="18"/>
              </w:rPr>
              <w:t>清管废渣</w:t>
            </w:r>
          </w:p>
        </w:tc>
        <w:tc>
          <w:tcPr>
            <w:tcW w:w="713" w:type="pct"/>
            <w:vMerge/>
            <w:vAlign w:val="center"/>
          </w:tcPr>
          <w:p w:rsidR="00EE4502" w:rsidRDefault="00EE4502">
            <w:pPr>
              <w:pStyle w:val="ArialGB23121"/>
              <w:spacing w:line="240" w:lineRule="auto"/>
              <w:jc w:val="center"/>
              <w:rPr>
                <w:rFonts w:hAnsi="Times New Roman"/>
                <w:sz w:val="18"/>
                <w:szCs w:val="18"/>
              </w:rPr>
            </w:pPr>
          </w:p>
        </w:tc>
        <w:tc>
          <w:tcPr>
            <w:tcW w:w="679" w:type="pct"/>
            <w:vAlign w:val="center"/>
          </w:tcPr>
          <w:p w:rsidR="00EE4502" w:rsidRDefault="00FD45A3">
            <w:pPr>
              <w:pStyle w:val="ArialGB23121"/>
              <w:spacing w:line="240" w:lineRule="auto"/>
              <w:jc w:val="center"/>
              <w:rPr>
                <w:rFonts w:hAnsi="Times New Roman"/>
                <w:sz w:val="18"/>
                <w:szCs w:val="18"/>
              </w:rPr>
            </w:pPr>
            <w:r>
              <w:rPr>
                <w:rFonts w:hAnsi="Times New Roman"/>
                <w:sz w:val="18"/>
                <w:szCs w:val="18"/>
              </w:rPr>
              <w:t>071-001-08</w:t>
            </w:r>
          </w:p>
        </w:tc>
        <w:tc>
          <w:tcPr>
            <w:tcW w:w="534" w:type="pct"/>
            <w:vAlign w:val="center"/>
          </w:tcPr>
          <w:p w:rsidR="00EE4502" w:rsidRDefault="00FD45A3">
            <w:pPr>
              <w:pStyle w:val="ArialGB23121"/>
              <w:spacing w:line="240" w:lineRule="auto"/>
              <w:jc w:val="center"/>
              <w:rPr>
                <w:rFonts w:hAnsi="Times New Roman"/>
                <w:sz w:val="18"/>
                <w:szCs w:val="18"/>
              </w:rPr>
            </w:pPr>
            <w:r>
              <w:rPr>
                <w:rFonts w:hAnsi="Times New Roman" w:hint="eastAsia"/>
                <w:sz w:val="18"/>
                <w:szCs w:val="18"/>
              </w:rPr>
              <w:t>0.01t/a</w:t>
            </w:r>
            <w:r>
              <w:rPr>
                <w:rFonts w:hAnsi="Times New Roman" w:hint="eastAsia"/>
                <w:sz w:val="18"/>
                <w:szCs w:val="18"/>
              </w:rPr>
              <w:t>（</w:t>
            </w:r>
            <w:r>
              <w:rPr>
                <w:rFonts w:hAnsi="Times New Roman" w:hint="eastAsia"/>
                <w:sz w:val="18"/>
                <w:szCs w:val="18"/>
              </w:rPr>
              <w:t>16 kg/</w:t>
            </w:r>
            <w:r>
              <w:rPr>
                <w:rFonts w:hAnsi="Times New Roman" w:hint="eastAsia"/>
                <w:sz w:val="18"/>
                <w:szCs w:val="18"/>
              </w:rPr>
              <w:t>次）</w:t>
            </w:r>
          </w:p>
        </w:tc>
        <w:tc>
          <w:tcPr>
            <w:tcW w:w="360" w:type="pct"/>
            <w:vAlign w:val="center"/>
          </w:tcPr>
          <w:p w:rsidR="00EE4502" w:rsidRDefault="00FD45A3">
            <w:pPr>
              <w:pStyle w:val="ArialGB23121"/>
              <w:spacing w:line="240" w:lineRule="auto"/>
              <w:jc w:val="center"/>
              <w:rPr>
                <w:rFonts w:hAnsi="Times New Roman"/>
                <w:sz w:val="18"/>
                <w:szCs w:val="18"/>
              </w:rPr>
            </w:pPr>
            <w:r>
              <w:rPr>
                <w:rFonts w:hAnsi="Times New Roman" w:hint="eastAsia"/>
                <w:sz w:val="18"/>
                <w:szCs w:val="18"/>
              </w:rPr>
              <w:t>集输环节</w:t>
            </w:r>
          </w:p>
        </w:tc>
        <w:tc>
          <w:tcPr>
            <w:tcW w:w="447" w:type="pct"/>
            <w:vAlign w:val="center"/>
          </w:tcPr>
          <w:p w:rsidR="00EE4502" w:rsidRDefault="00FD45A3">
            <w:pPr>
              <w:pStyle w:val="ArialGB23121"/>
              <w:spacing w:line="240" w:lineRule="auto"/>
              <w:jc w:val="center"/>
              <w:rPr>
                <w:rFonts w:hAnsi="Times New Roman"/>
                <w:sz w:val="18"/>
                <w:szCs w:val="18"/>
              </w:rPr>
            </w:pPr>
            <w:r>
              <w:rPr>
                <w:rFonts w:hAnsi="Times New Roman" w:hint="eastAsia"/>
                <w:sz w:val="18"/>
                <w:szCs w:val="18"/>
              </w:rPr>
              <w:t>固体</w:t>
            </w:r>
          </w:p>
        </w:tc>
        <w:tc>
          <w:tcPr>
            <w:tcW w:w="360" w:type="pct"/>
            <w:vAlign w:val="center"/>
          </w:tcPr>
          <w:p w:rsidR="00EE4502" w:rsidRDefault="00FD45A3">
            <w:pPr>
              <w:pStyle w:val="ArialGB23121"/>
              <w:spacing w:line="240" w:lineRule="auto"/>
              <w:jc w:val="center"/>
              <w:rPr>
                <w:rFonts w:hAnsi="Times New Roman"/>
                <w:sz w:val="18"/>
                <w:szCs w:val="18"/>
              </w:rPr>
            </w:pPr>
            <w:r>
              <w:rPr>
                <w:rFonts w:hAnsi="Times New Roman" w:hint="eastAsia"/>
                <w:sz w:val="18"/>
                <w:szCs w:val="18"/>
              </w:rPr>
              <w:t>废矿物油</w:t>
            </w:r>
          </w:p>
        </w:tc>
        <w:tc>
          <w:tcPr>
            <w:tcW w:w="307" w:type="pct"/>
            <w:vAlign w:val="center"/>
          </w:tcPr>
          <w:p w:rsidR="00EE4502" w:rsidRDefault="00FD45A3">
            <w:pPr>
              <w:pStyle w:val="ArialGB23121"/>
              <w:spacing w:line="240" w:lineRule="auto"/>
              <w:jc w:val="center"/>
              <w:rPr>
                <w:rFonts w:hAnsi="Times New Roman"/>
                <w:sz w:val="18"/>
                <w:szCs w:val="18"/>
              </w:rPr>
            </w:pPr>
            <w:r>
              <w:rPr>
                <w:rFonts w:hAnsi="Times New Roman"/>
                <w:sz w:val="18"/>
                <w:szCs w:val="18"/>
              </w:rPr>
              <w:t>间歇</w:t>
            </w:r>
          </w:p>
        </w:tc>
        <w:tc>
          <w:tcPr>
            <w:tcW w:w="361" w:type="pct"/>
            <w:vAlign w:val="center"/>
          </w:tcPr>
          <w:p w:rsidR="00EE4502" w:rsidRDefault="00FD45A3">
            <w:pPr>
              <w:pStyle w:val="ArialGB23121"/>
              <w:spacing w:line="240" w:lineRule="auto"/>
              <w:jc w:val="center"/>
              <w:rPr>
                <w:rFonts w:hAnsi="Times New Roman"/>
                <w:sz w:val="18"/>
                <w:szCs w:val="18"/>
              </w:rPr>
            </w:pPr>
            <w:r>
              <w:rPr>
                <w:rFonts w:hAnsi="Times New Roman"/>
                <w:sz w:val="18"/>
                <w:szCs w:val="18"/>
              </w:rPr>
              <w:t>T</w:t>
            </w:r>
            <w:r>
              <w:rPr>
                <w:rFonts w:hAnsi="Times New Roman" w:hint="eastAsia"/>
                <w:sz w:val="18"/>
                <w:szCs w:val="18"/>
              </w:rPr>
              <w:t>.</w:t>
            </w:r>
            <w:r>
              <w:rPr>
                <w:rFonts w:hAnsi="Times New Roman"/>
                <w:sz w:val="18"/>
                <w:szCs w:val="18"/>
              </w:rPr>
              <w:t>I</w:t>
            </w:r>
          </w:p>
        </w:tc>
        <w:tc>
          <w:tcPr>
            <w:tcW w:w="622" w:type="pct"/>
            <w:vAlign w:val="center"/>
          </w:tcPr>
          <w:p w:rsidR="00EE4502" w:rsidRDefault="00FD45A3">
            <w:pPr>
              <w:pStyle w:val="ArialGB23121"/>
              <w:spacing w:line="240" w:lineRule="auto"/>
              <w:jc w:val="center"/>
              <w:rPr>
                <w:rFonts w:hAnsi="Times New Roman"/>
                <w:sz w:val="18"/>
                <w:szCs w:val="18"/>
              </w:rPr>
            </w:pPr>
            <w:r>
              <w:rPr>
                <w:rFonts w:hAnsi="Times New Roman"/>
                <w:sz w:val="18"/>
                <w:szCs w:val="18"/>
              </w:rPr>
              <w:t>委托有资质单位</w:t>
            </w:r>
            <w:r>
              <w:rPr>
                <w:rFonts w:hAnsi="Times New Roman" w:hint="eastAsia"/>
                <w:sz w:val="18"/>
                <w:szCs w:val="18"/>
              </w:rPr>
              <w:t>拉运处理</w:t>
            </w:r>
          </w:p>
        </w:tc>
      </w:tr>
      <w:tr w:rsidR="00EE4502">
        <w:trPr>
          <w:trHeight w:val="340"/>
          <w:jc w:val="center"/>
        </w:trPr>
        <w:tc>
          <w:tcPr>
            <w:tcW w:w="256" w:type="pct"/>
            <w:vAlign w:val="center"/>
          </w:tcPr>
          <w:p w:rsidR="00EE4502" w:rsidRDefault="00FD45A3">
            <w:pPr>
              <w:pStyle w:val="ArialGB23121"/>
              <w:spacing w:line="240" w:lineRule="auto"/>
              <w:jc w:val="center"/>
              <w:rPr>
                <w:rFonts w:hAnsi="Times New Roman"/>
                <w:sz w:val="18"/>
                <w:szCs w:val="18"/>
              </w:rPr>
            </w:pPr>
            <w:r>
              <w:rPr>
                <w:rFonts w:hAnsi="Times New Roman"/>
                <w:sz w:val="18"/>
                <w:szCs w:val="18"/>
              </w:rPr>
              <w:t>4</w:t>
            </w:r>
          </w:p>
        </w:tc>
        <w:tc>
          <w:tcPr>
            <w:tcW w:w="361" w:type="pct"/>
            <w:vAlign w:val="center"/>
          </w:tcPr>
          <w:p w:rsidR="00EE4502" w:rsidRDefault="00FD45A3">
            <w:pPr>
              <w:pStyle w:val="ArialGB23121"/>
              <w:spacing w:line="240" w:lineRule="auto"/>
              <w:jc w:val="center"/>
              <w:rPr>
                <w:rFonts w:hAnsi="Times New Roman"/>
                <w:sz w:val="18"/>
                <w:szCs w:val="18"/>
              </w:rPr>
            </w:pPr>
            <w:r>
              <w:rPr>
                <w:rFonts w:hAnsi="Times New Roman"/>
                <w:sz w:val="18"/>
                <w:szCs w:val="18"/>
              </w:rPr>
              <w:t>废润滑油</w:t>
            </w:r>
          </w:p>
        </w:tc>
        <w:tc>
          <w:tcPr>
            <w:tcW w:w="713" w:type="pct"/>
            <w:vMerge/>
            <w:vAlign w:val="center"/>
          </w:tcPr>
          <w:p w:rsidR="00EE4502" w:rsidRDefault="00EE4502">
            <w:pPr>
              <w:pStyle w:val="ArialGB23121"/>
              <w:spacing w:line="240" w:lineRule="auto"/>
              <w:jc w:val="center"/>
              <w:rPr>
                <w:rFonts w:hAnsi="Times New Roman"/>
                <w:sz w:val="18"/>
                <w:szCs w:val="18"/>
              </w:rPr>
            </w:pPr>
          </w:p>
        </w:tc>
        <w:tc>
          <w:tcPr>
            <w:tcW w:w="679" w:type="pct"/>
            <w:vAlign w:val="center"/>
          </w:tcPr>
          <w:p w:rsidR="00EE4502" w:rsidRDefault="00FD45A3">
            <w:pPr>
              <w:pStyle w:val="ArialGB23121"/>
              <w:spacing w:line="240" w:lineRule="auto"/>
              <w:jc w:val="center"/>
              <w:rPr>
                <w:rFonts w:hAnsi="Times New Roman"/>
                <w:sz w:val="18"/>
                <w:szCs w:val="18"/>
              </w:rPr>
            </w:pPr>
            <w:r>
              <w:rPr>
                <w:rFonts w:hAnsi="Times New Roman"/>
                <w:sz w:val="18"/>
                <w:szCs w:val="18"/>
              </w:rPr>
              <w:t>900-21</w:t>
            </w:r>
            <w:r>
              <w:rPr>
                <w:rFonts w:hAnsi="Times New Roman" w:hint="eastAsia"/>
                <w:sz w:val="18"/>
                <w:szCs w:val="18"/>
              </w:rPr>
              <w:t>7</w:t>
            </w:r>
            <w:r>
              <w:rPr>
                <w:rFonts w:hAnsi="Times New Roman"/>
                <w:sz w:val="18"/>
                <w:szCs w:val="18"/>
              </w:rPr>
              <w:t>-08</w:t>
            </w:r>
          </w:p>
        </w:tc>
        <w:tc>
          <w:tcPr>
            <w:tcW w:w="534" w:type="pct"/>
            <w:vAlign w:val="center"/>
          </w:tcPr>
          <w:p w:rsidR="00EE4502" w:rsidRDefault="00FD45A3">
            <w:pPr>
              <w:pStyle w:val="ArialGB23121"/>
              <w:spacing w:line="240" w:lineRule="auto"/>
              <w:jc w:val="center"/>
              <w:rPr>
                <w:rFonts w:hAnsi="Times New Roman"/>
                <w:sz w:val="18"/>
                <w:szCs w:val="18"/>
              </w:rPr>
            </w:pPr>
            <w:r>
              <w:rPr>
                <w:rFonts w:hAnsi="Times New Roman" w:hint="eastAsia"/>
                <w:sz w:val="18"/>
                <w:szCs w:val="18"/>
              </w:rPr>
              <w:t>1.8</w:t>
            </w:r>
            <w:r>
              <w:rPr>
                <w:rFonts w:hAnsi="Times New Roman"/>
                <w:bCs/>
                <w:sz w:val="18"/>
                <w:szCs w:val="18"/>
              </w:rPr>
              <w:t xml:space="preserve"> t/a</w:t>
            </w:r>
          </w:p>
        </w:tc>
        <w:tc>
          <w:tcPr>
            <w:tcW w:w="360" w:type="pct"/>
            <w:vAlign w:val="center"/>
          </w:tcPr>
          <w:p w:rsidR="00EE4502" w:rsidRDefault="00FD45A3">
            <w:pPr>
              <w:pStyle w:val="ArialGB23121"/>
              <w:spacing w:line="240" w:lineRule="auto"/>
              <w:jc w:val="center"/>
              <w:rPr>
                <w:rFonts w:hAnsi="Times New Roman"/>
                <w:sz w:val="18"/>
                <w:szCs w:val="18"/>
              </w:rPr>
            </w:pPr>
            <w:r>
              <w:rPr>
                <w:rFonts w:hAnsi="Times New Roman"/>
                <w:sz w:val="18"/>
                <w:szCs w:val="18"/>
              </w:rPr>
              <w:t>设备检修</w:t>
            </w:r>
          </w:p>
        </w:tc>
        <w:tc>
          <w:tcPr>
            <w:tcW w:w="447" w:type="pct"/>
            <w:vAlign w:val="center"/>
          </w:tcPr>
          <w:p w:rsidR="00EE4502" w:rsidRDefault="00FD45A3">
            <w:pPr>
              <w:pStyle w:val="ArialGB23121"/>
              <w:spacing w:line="240" w:lineRule="auto"/>
              <w:jc w:val="center"/>
              <w:rPr>
                <w:rFonts w:hAnsi="Times New Roman"/>
                <w:sz w:val="18"/>
                <w:szCs w:val="18"/>
              </w:rPr>
            </w:pPr>
            <w:r>
              <w:rPr>
                <w:rFonts w:hAnsi="Times New Roman"/>
                <w:sz w:val="18"/>
                <w:szCs w:val="18"/>
              </w:rPr>
              <w:t>半固体</w:t>
            </w:r>
          </w:p>
        </w:tc>
        <w:tc>
          <w:tcPr>
            <w:tcW w:w="360" w:type="pct"/>
            <w:vAlign w:val="center"/>
          </w:tcPr>
          <w:p w:rsidR="00EE4502" w:rsidRDefault="00FD45A3">
            <w:pPr>
              <w:pStyle w:val="ArialGB23121"/>
              <w:spacing w:line="240" w:lineRule="auto"/>
              <w:jc w:val="center"/>
              <w:rPr>
                <w:rFonts w:hAnsi="Times New Roman"/>
                <w:sz w:val="18"/>
                <w:szCs w:val="18"/>
              </w:rPr>
            </w:pPr>
            <w:r>
              <w:rPr>
                <w:rFonts w:hAnsi="Times New Roman" w:hint="eastAsia"/>
                <w:sz w:val="18"/>
                <w:szCs w:val="18"/>
              </w:rPr>
              <w:t>废矿物油</w:t>
            </w:r>
          </w:p>
        </w:tc>
        <w:tc>
          <w:tcPr>
            <w:tcW w:w="307" w:type="pct"/>
            <w:vAlign w:val="center"/>
          </w:tcPr>
          <w:p w:rsidR="00EE4502" w:rsidRDefault="00FD45A3">
            <w:pPr>
              <w:pStyle w:val="ArialGB23121"/>
              <w:spacing w:line="240" w:lineRule="auto"/>
              <w:jc w:val="center"/>
              <w:rPr>
                <w:rFonts w:hAnsi="Times New Roman"/>
                <w:sz w:val="18"/>
                <w:szCs w:val="18"/>
              </w:rPr>
            </w:pPr>
            <w:r>
              <w:rPr>
                <w:rFonts w:hAnsi="Times New Roman"/>
                <w:sz w:val="18"/>
                <w:szCs w:val="18"/>
              </w:rPr>
              <w:t>间歇</w:t>
            </w:r>
          </w:p>
        </w:tc>
        <w:tc>
          <w:tcPr>
            <w:tcW w:w="361" w:type="pct"/>
            <w:vAlign w:val="center"/>
          </w:tcPr>
          <w:p w:rsidR="00EE4502" w:rsidRDefault="00FD45A3">
            <w:pPr>
              <w:pStyle w:val="ArialGB23121"/>
              <w:spacing w:line="240" w:lineRule="auto"/>
              <w:jc w:val="center"/>
              <w:rPr>
                <w:rFonts w:hAnsi="Times New Roman"/>
                <w:sz w:val="18"/>
                <w:szCs w:val="18"/>
              </w:rPr>
            </w:pPr>
            <w:r>
              <w:rPr>
                <w:rFonts w:hAnsi="Times New Roman"/>
                <w:sz w:val="18"/>
                <w:szCs w:val="18"/>
              </w:rPr>
              <w:t>T</w:t>
            </w:r>
            <w:r>
              <w:rPr>
                <w:rFonts w:hAnsi="Times New Roman" w:hint="eastAsia"/>
                <w:sz w:val="18"/>
                <w:szCs w:val="18"/>
              </w:rPr>
              <w:t>.</w:t>
            </w:r>
            <w:r>
              <w:rPr>
                <w:rFonts w:hAnsi="Times New Roman"/>
                <w:sz w:val="18"/>
                <w:szCs w:val="18"/>
              </w:rPr>
              <w:t>I</w:t>
            </w:r>
          </w:p>
        </w:tc>
        <w:tc>
          <w:tcPr>
            <w:tcW w:w="622" w:type="pct"/>
            <w:vAlign w:val="center"/>
          </w:tcPr>
          <w:p w:rsidR="00EE4502" w:rsidRDefault="00FD45A3">
            <w:pPr>
              <w:pStyle w:val="ArialGB23121"/>
              <w:spacing w:line="240" w:lineRule="auto"/>
              <w:jc w:val="center"/>
              <w:rPr>
                <w:rFonts w:hAnsi="Times New Roman"/>
                <w:sz w:val="18"/>
                <w:szCs w:val="18"/>
              </w:rPr>
            </w:pPr>
            <w:r>
              <w:rPr>
                <w:rFonts w:hAnsi="Times New Roman" w:hint="eastAsia"/>
                <w:sz w:val="18"/>
                <w:szCs w:val="18"/>
              </w:rPr>
              <w:t>联合站综合利用</w:t>
            </w:r>
          </w:p>
        </w:tc>
      </w:tr>
    </w:tbl>
    <w:p w:rsidR="00EE4502" w:rsidRDefault="00EE4502">
      <w:pPr>
        <w:jc w:val="center"/>
        <w:rPr>
          <w:sz w:val="18"/>
          <w:szCs w:val="18"/>
        </w:rPr>
      </w:pPr>
    </w:p>
    <w:p w:rsidR="00EE4502" w:rsidRDefault="00FD45A3">
      <w:pPr>
        <w:pStyle w:val="41"/>
        <w:numPr>
          <w:ilvl w:val="3"/>
          <w:numId w:val="30"/>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bCs w:val="0"/>
          <w:sz w:val="24"/>
          <w:szCs w:val="24"/>
        </w:rPr>
        <w:t>危险废物环境影响分析</w:t>
      </w:r>
    </w:p>
    <w:p w:rsidR="00EE4502" w:rsidRDefault="00FD45A3">
      <w:pPr>
        <w:pStyle w:val="Default"/>
        <w:adjustRightInd/>
        <w:spacing w:line="360" w:lineRule="auto"/>
        <w:ind w:firstLineChars="200" w:firstLine="480"/>
        <w:rPr>
          <w:rFonts w:ascii="Times New Roman"/>
          <w:color w:val="auto"/>
        </w:rPr>
      </w:pPr>
      <w:r>
        <w:rPr>
          <w:rFonts w:hAnsi="宋体" w:cs="宋体" w:hint="eastAsia"/>
          <w:color w:val="auto"/>
        </w:rPr>
        <w:t>①</w:t>
      </w:r>
      <w:r>
        <w:rPr>
          <w:rFonts w:ascii="Times New Roman"/>
          <w:color w:val="auto"/>
        </w:rPr>
        <w:t>危废收集过程影响分析</w:t>
      </w:r>
    </w:p>
    <w:p w:rsidR="00EE4502" w:rsidRDefault="00FD45A3">
      <w:pPr>
        <w:pStyle w:val="Default"/>
        <w:adjustRightInd/>
        <w:spacing w:line="360" w:lineRule="auto"/>
        <w:ind w:firstLineChars="200" w:firstLine="480"/>
        <w:jc w:val="both"/>
        <w:rPr>
          <w:rFonts w:ascii="Times New Roman"/>
          <w:color w:val="auto"/>
        </w:rPr>
      </w:pPr>
      <w:r>
        <w:rPr>
          <w:rFonts w:ascii="Times New Roman" w:hint="eastAsia"/>
          <w:color w:val="auto"/>
        </w:rPr>
        <w:t>本工程</w:t>
      </w:r>
      <w:r>
        <w:rPr>
          <w:rFonts w:ascii="Times New Roman"/>
          <w:color w:val="auto"/>
        </w:rPr>
        <w:t>产生的危废按照《危险废物收集贮存运输技术规范》（</w:t>
      </w:r>
      <w:r>
        <w:rPr>
          <w:rFonts w:ascii="Times New Roman"/>
          <w:color w:val="auto"/>
        </w:rPr>
        <w:t>HJ2025-2012</w:t>
      </w:r>
      <w:r>
        <w:rPr>
          <w:rFonts w:ascii="Times New Roman"/>
          <w:color w:val="auto"/>
        </w:rPr>
        <w:t>）相关要求进行收集、运输，并按要求填写危险废物的收集记录、转运记录表，并</w:t>
      </w:r>
      <w:r>
        <w:rPr>
          <w:rFonts w:ascii="Times New Roman"/>
          <w:color w:val="auto"/>
        </w:rPr>
        <w:lastRenderedPageBreak/>
        <w:t>将记录表作为危险废物管理的重要档案妥善保存。危险废物在按照规范要求进行危废收集的情况下，对环境的影响很小。</w:t>
      </w:r>
    </w:p>
    <w:p w:rsidR="00EE4502" w:rsidRDefault="00FD45A3">
      <w:pPr>
        <w:pStyle w:val="Default"/>
        <w:adjustRightInd/>
        <w:spacing w:line="360" w:lineRule="auto"/>
        <w:ind w:firstLineChars="200" w:firstLine="480"/>
        <w:rPr>
          <w:rFonts w:ascii="Times New Roman"/>
          <w:color w:val="auto"/>
        </w:rPr>
      </w:pPr>
      <w:r>
        <w:rPr>
          <w:rFonts w:hAnsi="宋体" w:cs="宋体" w:hint="eastAsia"/>
          <w:color w:val="auto"/>
        </w:rPr>
        <w:t>②</w:t>
      </w:r>
      <w:r>
        <w:rPr>
          <w:rFonts w:ascii="Times New Roman"/>
          <w:color w:val="auto"/>
        </w:rPr>
        <w:t>危废运输过程影响分析</w:t>
      </w:r>
    </w:p>
    <w:p w:rsidR="00EE4502" w:rsidRDefault="00FD45A3">
      <w:pPr>
        <w:pStyle w:val="Default"/>
        <w:adjustRightInd/>
        <w:spacing w:line="360" w:lineRule="auto"/>
        <w:ind w:firstLineChars="200" w:firstLine="480"/>
        <w:jc w:val="both"/>
        <w:rPr>
          <w:rFonts w:ascii="Times New Roman"/>
          <w:color w:val="auto"/>
        </w:rPr>
      </w:pPr>
      <w:r>
        <w:rPr>
          <w:rFonts w:ascii="Times New Roman"/>
          <w:color w:val="auto"/>
        </w:rPr>
        <w:t>拟建工程产生的危险废物运输过程由</w:t>
      </w:r>
      <w:r>
        <w:rPr>
          <w:rFonts w:ascii="Times New Roman" w:hint="eastAsia"/>
          <w:color w:val="auto"/>
        </w:rPr>
        <w:t>克拉玛依沃森环保科技有限公司</w:t>
      </w:r>
      <w:r>
        <w:rPr>
          <w:rFonts w:ascii="Times New Roman"/>
          <w:color w:val="auto"/>
        </w:rPr>
        <w:t>运输分公司进行运输，运输过程中全部采用密闭容器收集储存，转运结束后及时对转运路线进行检查和清理，确保无危险废物散落或泄漏在转运路线上，危险废物运输过程符合《危险废物收集</w:t>
      </w:r>
      <w:r>
        <w:rPr>
          <w:rFonts w:ascii="Times New Roman" w:hint="eastAsia"/>
          <w:color w:val="auto"/>
        </w:rPr>
        <w:t xml:space="preserve"> </w:t>
      </w:r>
      <w:r>
        <w:rPr>
          <w:rFonts w:ascii="Times New Roman"/>
          <w:color w:val="auto"/>
        </w:rPr>
        <w:t>贮存</w:t>
      </w:r>
      <w:r>
        <w:rPr>
          <w:rFonts w:ascii="Times New Roman" w:hint="eastAsia"/>
          <w:color w:val="auto"/>
        </w:rPr>
        <w:t xml:space="preserve"> </w:t>
      </w:r>
      <w:r>
        <w:rPr>
          <w:rFonts w:ascii="Times New Roman"/>
          <w:color w:val="auto"/>
        </w:rPr>
        <w:t>运</w:t>
      </w:r>
      <w:r>
        <w:rPr>
          <w:rFonts w:ascii="Times New Roman"/>
          <w:color w:val="auto"/>
        </w:rPr>
        <w:t>输技术规范》（</w:t>
      </w:r>
      <w:r>
        <w:rPr>
          <w:rFonts w:ascii="Times New Roman"/>
          <w:color w:val="auto"/>
        </w:rPr>
        <w:t>HJ</w:t>
      </w:r>
      <w:r>
        <w:rPr>
          <w:rFonts w:ascii="Times New Roman" w:hint="eastAsia"/>
          <w:color w:val="auto"/>
        </w:rPr>
        <w:t xml:space="preserve"> </w:t>
      </w:r>
      <w:r>
        <w:rPr>
          <w:rFonts w:ascii="Times New Roman"/>
          <w:color w:val="auto"/>
        </w:rPr>
        <w:t>2025-2012</w:t>
      </w:r>
      <w:r>
        <w:rPr>
          <w:rFonts w:ascii="Times New Roman"/>
          <w:color w:val="auto"/>
        </w:rPr>
        <w:t>）中的相关要求。</w:t>
      </w:r>
    </w:p>
    <w:p w:rsidR="00EE4502" w:rsidRDefault="00FD45A3">
      <w:pPr>
        <w:pStyle w:val="Default"/>
        <w:adjustRightInd/>
        <w:spacing w:line="360" w:lineRule="auto"/>
        <w:ind w:firstLineChars="200" w:firstLine="480"/>
        <w:jc w:val="both"/>
        <w:rPr>
          <w:rFonts w:ascii="Times New Roman"/>
          <w:color w:val="auto"/>
        </w:rPr>
      </w:pPr>
      <w:r>
        <w:rPr>
          <w:rFonts w:ascii="Times New Roman"/>
          <w:color w:val="auto"/>
        </w:rPr>
        <w:t>综上，</w:t>
      </w:r>
      <w:r>
        <w:rPr>
          <w:rFonts w:ascii="Times New Roman" w:hint="eastAsia"/>
          <w:color w:val="auto"/>
        </w:rPr>
        <w:t>本工程</w:t>
      </w:r>
      <w:r>
        <w:rPr>
          <w:rFonts w:ascii="Times New Roman"/>
          <w:color w:val="auto"/>
        </w:rPr>
        <w:t>产生的危险废物贮存，收集、转移、</w:t>
      </w:r>
      <w:r>
        <w:rPr>
          <w:rFonts w:ascii="Times New Roman" w:hint="eastAsia"/>
          <w:color w:val="auto"/>
        </w:rPr>
        <w:t>运输</w:t>
      </w:r>
      <w:r>
        <w:rPr>
          <w:rFonts w:ascii="Times New Roman"/>
          <w:color w:val="auto"/>
        </w:rPr>
        <w:t>过程中按照《危险废物收集</w:t>
      </w:r>
      <w:r>
        <w:rPr>
          <w:rFonts w:ascii="Times New Roman"/>
          <w:color w:val="auto"/>
        </w:rPr>
        <w:t xml:space="preserve"> </w:t>
      </w:r>
      <w:r>
        <w:rPr>
          <w:rFonts w:ascii="Times New Roman"/>
          <w:color w:val="auto"/>
        </w:rPr>
        <w:t>贮存</w:t>
      </w:r>
      <w:r>
        <w:rPr>
          <w:rFonts w:ascii="Times New Roman"/>
          <w:color w:val="auto"/>
        </w:rPr>
        <w:t xml:space="preserve"> </w:t>
      </w:r>
      <w:r>
        <w:rPr>
          <w:rFonts w:ascii="Times New Roman"/>
          <w:color w:val="auto"/>
        </w:rPr>
        <w:t>运输技术规范》（</w:t>
      </w:r>
      <w:r>
        <w:rPr>
          <w:rFonts w:ascii="Times New Roman"/>
          <w:color w:val="auto"/>
        </w:rPr>
        <w:t>HJ</w:t>
      </w:r>
      <w:r>
        <w:rPr>
          <w:rFonts w:ascii="Times New Roman" w:hint="eastAsia"/>
          <w:color w:val="auto"/>
        </w:rPr>
        <w:t xml:space="preserve"> </w:t>
      </w:r>
      <w:r>
        <w:rPr>
          <w:rFonts w:ascii="Times New Roman"/>
          <w:color w:val="auto"/>
        </w:rPr>
        <w:t>2025-2012</w:t>
      </w:r>
      <w:r>
        <w:rPr>
          <w:rFonts w:ascii="Times New Roman"/>
          <w:color w:val="auto"/>
        </w:rPr>
        <w:t>）和《危险废物转移管理办法》要求进行运输，并由有资质的单位进行处置，对环境的影响很小。</w:t>
      </w:r>
    </w:p>
    <w:p w:rsidR="00EE4502" w:rsidRDefault="00FD45A3">
      <w:pPr>
        <w:pStyle w:val="33"/>
        <w:numPr>
          <w:ilvl w:val="2"/>
          <w:numId w:val="30"/>
        </w:numPr>
        <w:spacing w:line="360" w:lineRule="auto"/>
        <w:ind w:left="0" w:firstLine="0"/>
        <w:rPr>
          <w:spacing w:val="0"/>
          <w:sz w:val="24"/>
          <w:szCs w:val="24"/>
        </w:rPr>
      </w:pPr>
      <w:r>
        <w:rPr>
          <w:rFonts w:hint="eastAsia"/>
          <w:spacing w:val="0"/>
          <w:sz w:val="24"/>
          <w:szCs w:val="24"/>
        </w:rPr>
        <w:t>退役期</w:t>
      </w:r>
      <w:r>
        <w:rPr>
          <w:spacing w:val="0"/>
          <w:sz w:val="24"/>
          <w:szCs w:val="24"/>
        </w:rPr>
        <w:t>固废影响分析</w:t>
      </w:r>
    </w:p>
    <w:p w:rsidR="00EE4502" w:rsidRDefault="00FD45A3">
      <w:pPr>
        <w:spacing w:line="360" w:lineRule="auto"/>
        <w:ind w:firstLine="520"/>
        <w:rPr>
          <w:sz w:val="24"/>
        </w:rPr>
      </w:pPr>
      <w:r>
        <w:rPr>
          <w:rFonts w:hint="eastAsia"/>
          <w:sz w:val="24"/>
        </w:rPr>
        <w:t>春风油田石炭系排</w:t>
      </w:r>
      <w:r>
        <w:rPr>
          <w:rFonts w:hint="eastAsia"/>
          <w:sz w:val="24"/>
        </w:rPr>
        <w:t>61</w:t>
      </w:r>
      <w:r>
        <w:rPr>
          <w:rFonts w:hint="eastAsia"/>
          <w:sz w:val="24"/>
        </w:rPr>
        <w:t>块产能建设工程</w:t>
      </w:r>
      <w:r>
        <w:rPr>
          <w:sz w:val="24"/>
        </w:rPr>
        <w:t>服务期满后，井场拆除的井架、集输设施、井构筑物等为钢制材料，清洗油污后可回收利用。不可回收利用的一般工业固体废物拉运至</w:t>
      </w:r>
      <w:r>
        <w:rPr>
          <w:rFonts w:hint="eastAsia"/>
          <w:sz w:val="24"/>
        </w:rPr>
        <w:t>胡杨河经济技术开发区</w:t>
      </w:r>
      <w:r>
        <w:rPr>
          <w:sz w:val="24"/>
        </w:rPr>
        <w:t>一般固体废物填埋场填埋，含油固废等</w:t>
      </w:r>
      <w:r>
        <w:rPr>
          <w:rFonts w:hint="eastAsia"/>
          <w:sz w:val="24"/>
        </w:rPr>
        <w:t>危险</w:t>
      </w:r>
      <w:r>
        <w:rPr>
          <w:sz w:val="24"/>
        </w:rPr>
        <w:t>废物委托有资质的单位妥善处置。</w:t>
      </w:r>
    </w:p>
    <w:p w:rsidR="00EE4502" w:rsidRDefault="00FD45A3">
      <w:pPr>
        <w:pStyle w:val="33"/>
        <w:numPr>
          <w:ilvl w:val="2"/>
          <w:numId w:val="30"/>
        </w:numPr>
        <w:spacing w:line="360" w:lineRule="auto"/>
        <w:ind w:left="0" w:firstLine="0"/>
        <w:rPr>
          <w:spacing w:val="0"/>
          <w:sz w:val="24"/>
          <w:szCs w:val="24"/>
        </w:rPr>
      </w:pPr>
      <w:r>
        <w:rPr>
          <w:spacing w:val="0"/>
          <w:sz w:val="24"/>
          <w:szCs w:val="24"/>
        </w:rPr>
        <w:t>固废环境影响评价小结</w:t>
      </w:r>
    </w:p>
    <w:p w:rsidR="00EE4502" w:rsidRDefault="00FD45A3">
      <w:pPr>
        <w:spacing w:line="360" w:lineRule="auto"/>
        <w:ind w:firstLine="522"/>
        <w:rPr>
          <w:sz w:val="24"/>
        </w:rPr>
      </w:pPr>
      <w:r>
        <w:rPr>
          <w:rFonts w:hint="eastAsia"/>
          <w:sz w:val="24"/>
        </w:rPr>
        <w:t>本工程</w:t>
      </w:r>
      <w:r>
        <w:rPr>
          <w:sz w:val="24"/>
        </w:rPr>
        <w:t>开发工程施工期和运营期产生的固体废物能够通过有效的途径得到较好</w:t>
      </w:r>
      <w:r>
        <w:rPr>
          <w:rFonts w:hint="eastAsia"/>
          <w:sz w:val="24"/>
        </w:rPr>
        <w:t>地</w:t>
      </w:r>
      <w:r>
        <w:rPr>
          <w:sz w:val="24"/>
        </w:rPr>
        <w:t>处置，对评价区环境的影响较小。</w:t>
      </w:r>
    </w:p>
    <w:p w:rsidR="00EE4502" w:rsidRDefault="00FD45A3">
      <w:pPr>
        <w:pStyle w:val="22"/>
        <w:numPr>
          <w:ilvl w:val="1"/>
          <w:numId w:val="30"/>
        </w:numPr>
        <w:rPr>
          <w:spacing w:val="0"/>
          <w:w w:val="100"/>
        </w:rPr>
      </w:pPr>
      <w:bookmarkStart w:id="226" w:name="_Toc4128"/>
      <w:r>
        <w:rPr>
          <w:rFonts w:hint="eastAsia"/>
          <w:spacing w:val="0"/>
          <w:w w:val="100"/>
        </w:rPr>
        <w:t>环境风险评价</w:t>
      </w:r>
      <w:bookmarkEnd w:id="226"/>
    </w:p>
    <w:p w:rsidR="00EE4502" w:rsidRDefault="00FD45A3">
      <w:pPr>
        <w:spacing w:line="360" w:lineRule="auto"/>
        <w:ind w:firstLineChars="200" w:firstLine="480"/>
        <w:rPr>
          <w:sz w:val="24"/>
        </w:rPr>
      </w:pPr>
      <w:r>
        <w:rPr>
          <w:rFonts w:hint="eastAsia"/>
          <w:sz w:val="24"/>
        </w:rPr>
        <w:t>根据《建设项目环境风险评价技术导则》（</w:t>
      </w:r>
      <w:r>
        <w:rPr>
          <w:rFonts w:hint="eastAsia"/>
          <w:sz w:val="24"/>
        </w:rPr>
        <w:t>HJ169-2018</w:t>
      </w:r>
      <w:r>
        <w:rPr>
          <w:rFonts w:hint="eastAsia"/>
          <w:sz w:val="24"/>
        </w:rPr>
        <w:t>）和原国家环境保护总局《关于防范环境风险加强环境影响评价管理的通知》，项目实施后环境风险评价的基本内容包括风险调查、环境风险潜势初判、风险识别、风险事故情形分析、风险预测与评价、环境风险管理等，其具体如下：</w:t>
      </w:r>
    </w:p>
    <w:p w:rsidR="00EE4502" w:rsidRDefault="00FD45A3">
      <w:pPr>
        <w:spacing w:line="360" w:lineRule="auto"/>
        <w:ind w:firstLineChars="200" w:firstLine="480"/>
        <w:rPr>
          <w:sz w:val="24"/>
        </w:rPr>
      </w:pPr>
      <w:r>
        <w:rPr>
          <w:rFonts w:hint="eastAsia"/>
          <w:sz w:val="24"/>
        </w:rPr>
        <w:t>（</w:t>
      </w:r>
      <w:r>
        <w:rPr>
          <w:rFonts w:hint="eastAsia"/>
          <w:sz w:val="24"/>
        </w:rPr>
        <w:t>1</w:t>
      </w:r>
      <w:r>
        <w:rPr>
          <w:rFonts w:hint="eastAsia"/>
          <w:sz w:val="24"/>
        </w:rPr>
        <w:t>）项目风险调查。在分析建设项目物质及工艺系统危险性和环境敏感性的基础下，</w:t>
      </w:r>
      <w:r>
        <w:rPr>
          <w:rFonts w:hint="eastAsia"/>
          <w:sz w:val="24"/>
        </w:rPr>
        <w:t>进行风险潜势的判断，确定风险评价等级。</w:t>
      </w:r>
    </w:p>
    <w:p w:rsidR="00EE4502" w:rsidRDefault="00FD45A3">
      <w:pPr>
        <w:spacing w:line="360" w:lineRule="auto"/>
        <w:ind w:firstLineChars="200" w:firstLine="480"/>
        <w:rPr>
          <w:sz w:val="24"/>
        </w:rPr>
      </w:pPr>
      <w:r>
        <w:rPr>
          <w:rFonts w:hint="eastAsia"/>
          <w:sz w:val="24"/>
        </w:rPr>
        <w:t>（</w:t>
      </w:r>
      <w:r>
        <w:rPr>
          <w:rFonts w:hint="eastAsia"/>
          <w:sz w:val="24"/>
        </w:rPr>
        <w:t>2</w:t>
      </w:r>
      <w:r>
        <w:rPr>
          <w:rFonts w:hint="eastAsia"/>
          <w:sz w:val="24"/>
        </w:rPr>
        <w:t>）项目风险识别及风险事故情形分析。明确危险物质在生产系统中的主要分布，筛选具有代表性的风险事故情形，合理设定事故源项。</w:t>
      </w:r>
    </w:p>
    <w:p w:rsidR="00EE4502" w:rsidRDefault="00FD45A3">
      <w:pPr>
        <w:spacing w:line="360" w:lineRule="auto"/>
        <w:ind w:firstLineChars="200" w:firstLine="480"/>
        <w:rPr>
          <w:sz w:val="24"/>
        </w:rPr>
      </w:pPr>
      <w:r>
        <w:rPr>
          <w:rFonts w:hint="eastAsia"/>
          <w:sz w:val="24"/>
        </w:rPr>
        <w:t>（</w:t>
      </w:r>
      <w:r>
        <w:rPr>
          <w:rFonts w:hint="eastAsia"/>
          <w:sz w:val="24"/>
        </w:rPr>
        <w:t>3</w:t>
      </w:r>
      <w:r>
        <w:rPr>
          <w:rFonts w:hint="eastAsia"/>
          <w:sz w:val="24"/>
        </w:rPr>
        <w:t>）开展预测评价。各环境要素按确定的评价工作等级分别预测评价，并分析说明环境风险危害范围与程度，提出环境风险防范的基本要求。</w:t>
      </w:r>
    </w:p>
    <w:p w:rsidR="00EE4502" w:rsidRDefault="00FD45A3">
      <w:pPr>
        <w:spacing w:line="360" w:lineRule="auto"/>
        <w:ind w:firstLineChars="200" w:firstLine="480"/>
        <w:rPr>
          <w:sz w:val="24"/>
        </w:rPr>
      </w:pPr>
      <w:r>
        <w:rPr>
          <w:rFonts w:hint="eastAsia"/>
          <w:sz w:val="24"/>
        </w:rPr>
        <w:lastRenderedPageBreak/>
        <w:t>（</w:t>
      </w:r>
      <w:r>
        <w:rPr>
          <w:rFonts w:hint="eastAsia"/>
          <w:sz w:val="24"/>
        </w:rPr>
        <w:t>4</w:t>
      </w:r>
      <w:r>
        <w:rPr>
          <w:rFonts w:hint="eastAsia"/>
          <w:sz w:val="24"/>
        </w:rPr>
        <w:t>）提出环境风险管理对策，明确环境风险防范措施及突发环境事件应急预案编制要求。</w:t>
      </w:r>
    </w:p>
    <w:p w:rsidR="00EE4502" w:rsidRDefault="00FD45A3">
      <w:pPr>
        <w:spacing w:line="360" w:lineRule="auto"/>
        <w:ind w:firstLineChars="200" w:firstLine="480"/>
        <w:rPr>
          <w:sz w:val="24"/>
        </w:rPr>
      </w:pPr>
      <w:r>
        <w:rPr>
          <w:rFonts w:hint="eastAsia"/>
          <w:sz w:val="24"/>
        </w:rPr>
        <w:t>（</w:t>
      </w:r>
      <w:r>
        <w:rPr>
          <w:rFonts w:hint="eastAsia"/>
          <w:sz w:val="24"/>
        </w:rPr>
        <w:t>5</w:t>
      </w:r>
      <w:r>
        <w:rPr>
          <w:rFonts w:hint="eastAsia"/>
          <w:sz w:val="24"/>
        </w:rPr>
        <w:t>）综合环境风险评价过程，给出评价结论与建议。</w:t>
      </w:r>
    </w:p>
    <w:p w:rsidR="00EE4502" w:rsidRDefault="00FD45A3">
      <w:pPr>
        <w:keepNext/>
        <w:keepLines/>
        <w:numPr>
          <w:ilvl w:val="2"/>
          <w:numId w:val="30"/>
        </w:numPr>
        <w:spacing w:line="360" w:lineRule="auto"/>
        <w:outlineLvl w:val="2"/>
        <w:rPr>
          <w:rFonts w:eastAsia="黑体"/>
          <w:sz w:val="24"/>
        </w:rPr>
      </w:pPr>
      <w:r>
        <w:rPr>
          <w:rFonts w:eastAsia="黑体" w:hint="eastAsia"/>
          <w:sz w:val="24"/>
        </w:rPr>
        <w:t>评价工程程序</w:t>
      </w:r>
    </w:p>
    <w:p w:rsidR="00EE4502" w:rsidRDefault="00FD45A3">
      <w:pPr>
        <w:spacing w:line="360" w:lineRule="auto"/>
        <w:ind w:firstLineChars="200" w:firstLine="480"/>
        <w:rPr>
          <w:sz w:val="24"/>
        </w:rPr>
      </w:pPr>
      <w:r>
        <w:rPr>
          <w:sz w:val="24"/>
        </w:rPr>
        <w:t>环境风险评价应以突发性事故导致的危险物质环境急性损害防控为目标，对建设项目的环境风险进行分析、预测和评估，提出环境风险预防、控制、减缓措施，明确环境风险监控及应急建议要求，为建设项目环境风险防控提供科学依据。</w:t>
      </w:r>
    </w:p>
    <w:p w:rsidR="00EE4502" w:rsidRDefault="00FD45A3">
      <w:pPr>
        <w:spacing w:line="360" w:lineRule="auto"/>
        <w:ind w:firstLineChars="200" w:firstLine="480"/>
        <w:rPr>
          <w:sz w:val="24"/>
        </w:rPr>
      </w:pPr>
      <w:r>
        <w:rPr>
          <w:sz w:val="24"/>
        </w:rPr>
        <w:t>其评价工作流程见图</w:t>
      </w:r>
      <w:r>
        <w:rPr>
          <w:rFonts w:hint="eastAsia"/>
          <w:sz w:val="24"/>
        </w:rPr>
        <w:t>5-8</w:t>
      </w:r>
      <w:r>
        <w:rPr>
          <w:sz w:val="24"/>
        </w:rPr>
        <w:t>-1</w:t>
      </w:r>
      <w:r>
        <w:rPr>
          <w:sz w:val="24"/>
        </w:rPr>
        <w:t>。</w:t>
      </w:r>
    </w:p>
    <w:p w:rsidR="00EE4502" w:rsidRDefault="00FD45A3">
      <w:pPr>
        <w:spacing w:line="360" w:lineRule="auto"/>
        <w:jc w:val="center"/>
        <w:rPr>
          <w:rFonts w:eastAsia="黑体" w:hAnsi="黑体"/>
          <w:bCs/>
          <w:sz w:val="24"/>
        </w:rPr>
      </w:pPr>
      <w:bookmarkStart w:id="227" w:name="_Ref70248484"/>
      <w:r>
        <w:rPr>
          <w:rFonts w:eastAsia="黑体" w:hAnsi="黑体" w:hint="eastAsia"/>
          <w:bCs/>
          <w:sz w:val="24"/>
        </w:rPr>
        <w:t>图</w:t>
      </w:r>
      <w:bookmarkEnd w:id="227"/>
      <w:r>
        <w:rPr>
          <w:rFonts w:eastAsia="黑体" w:hAnsi="黑体" w:hint="eastAsia"/>
          <w:bCs/>
          <w:sz w:val="24"/>
        </w:rPr>
        <w:t>5-8</w:t>
      </w:r>
      <w:r>
        <w:rPr>
          <w:rFonts w:eastAsia="黑体" w:hAnsi="黑体" w:hint="eastAsia"/>
          <w:bCs/>
          <w:sz w:val="24"/>
        </w:rPr>
        <w:t xml:space="preserve">-1    </w:t>
      </w:r>
      <w:r>
        <w:rPr>
          <w:rFonts w:eastAsia="黑体" w:hAnsi="黑体" w:hint="eastAsia"/>
          <w:bCs/>
          <w:sz w:val="24"/>
        </w:rPr>
        <w:t>环境风险评价工作程序图</w:t>
      </w:r>
    </w:p>
    <w:p w:rsidR="00EE4502" w:rsidRDefault="00FD45A3">
      <w:pPr>
        <w:keepNext/>
        <w:keepLines/>
        <w:numPr>
          <w:ilvl w:val="2"/>
          <w:numId w:val="30"/>
        </w:numPr>
        <w:spacing w:line="360" w:lineRule="auto"/>
        <w:outlineLvl w:val="2"/>
        <w:rPr>
          <w:rFonts w:eastAsia="黑体"/>
          <w:sz w:val="24"/>
        </w:rPr>
      </w:pPr>
      <w:r>
        <w:rPr>
          <w:rFonts w:eastAsia="黑体" w:hint="eastAsia"/>
          <w:sz w:val="24"/>
        </w:rPr>
        <w:t>评价依据</w:t>
      </w:r>
    </w:p>
    <w:p w:rsidR="00EE4502" w:rsidRDefault="00FD45A3">
      <w:pPr>
        <w:spacing w:line="360" w:lineRule="auto"/>
        <w:ind w:rightChars="50" w:right="105" w:firstLineChars="200" w:firstLine="480"/>
        <w:rPr>
          <w:snapToGrid w:val="0"/>
          <w:sz w:val="24"/>
        </w:rPr>
      </w:pPr>
      <w:r>
        <w:rPr>
          <w:rFonts w:hint="eastAsia"/>
          <w:snapToGrid w:val="0"/>
          <w:sz w:val="24"/>
        </w:rPr>
        <w:t>（</w:t>
      </w:r>
      <w:r>
        <w:rPr>
          <w:rFonts w:hint="eastAsia"/>
          <w:snapToGrid w:val="0"/>
          <w:sz w:val="24"/>
        </w:rPr>
        <w:t>1</w:t>
      </w:r>
      <w:r>
        <w:rPr>
          <w:rFonts w:hint="eastAsia"/>
          <w:snapToGrid w:val="0"/>
          <w:sz w:val="24"/>
        </w:rPr>
        <w:t>）突发环境事件风险物质</w:t>
      </w:r>
    </w:p>
    <w:p w:rsidR="00EE4502" w:rsidRDefault="00FD45A3">
      <w:pPr>
        <w:spacing w:line="360" w:lineRule="auto"/>
        <w:ind w:rightChars="50" w:right="105" w:firstLineChars="200" w:firstLine="480"/>
        <w:rPr>
          <w:snapToGrid w:val="0"/>
          <w:sz w:val="24"/>
        </w:rPr>
      </w:pPr>
      <w:r>
        <w:rPr>
          <w:rFonts w:hint="eastAsia"/>
          <w:snapToGrid w:val="0"/>
          <w:sz w:val="24"/>
        </w:rPr>
        <w:t>根据《建设项目环境风险评价技术导则》（</w:t>
      </w:r>
      <w:r>
        <w:rPr>
          <w:rFonts w:hint="eastAsia"/>
          <w:snapToGrid w:val="0"/>
          <w:sz w:val="24"/>
        </w:rPr>
        <w:t>HJ169-2018</w:t>
      </w:r>
      <w:r>
        <w:rPr>
          <w:rFonts w:hint="eastAsia"/>
          <w:snapToGrid w:val="0"/>
          <w:sz w:val="24"/>
        </w:rPr>
        <w:t>）附录</w:t>
      </w:r>
      <w:r>
        <w:rPr>
          <w:rFonts w:hint="eastAsia"/>
          <w:snapToGrid w:val="0"/>
          <w:sz w:val="24"/>
        </w:rPr>
        <w:t>B</w:t>
      </w:r>
      <w:r>
        <w:rPr>
          <w:rFonts w:hint="eastAsia"/>
          <w:snapToGrid w:val="0"/>
          <w:sz w:val="24"/>
        </w:rPr>
        <w:t>，本工程涉及的主要突发环境事件风险物质为原油和伴生气。</w:t>
      </w:r>
    </w:p>
    <w:p w:rsidR="00EE4502" w:rsidRDefault="00FD45A3">
      <w:pPr>
        <w:spacing w:line="360" w:lineRule="auto"/>
        <w:ind w:rightChars="50" w:right="105" w:firstLineChars="200" w:firstLine="480"/>
        <w:rPr>
          <w:snapToGrid w:val="0"/>
          <w:sz w:val="24"/>
        </w:rPr>
      </w:pPr>
      <w:r>
        <w:rPr>
          <w:rFonts w:hint="eastAsia"/>
          <w:snapToGrid w:val="0"/>
          <w:sz w:val="24"/>
        </w:rPr>
        <w:t>（</w:t>
      </w:r>
      <w:r>
        <w:rPr>
          <w:rFonts w:hint="eastAsia"/>
          <w:snapToGrid w:val="0"/>
          <w:sz w:val="24"/>
        </w:rPr>
        <w:t>2</w:t>
      </w:r>
      <w:r>
        <w:rPr>
          <w:rFonts w:hint="eastAsia"/>
          <w:snapToGrid w:val="0"/>
          <w:sz w:val="24"/>
        </w:rPr>
        <w:t>）主要风险源</w:t>
      </w:r>
    </w:p>
    <w:p w:rsidR="00EE4502" w:rsidRDefault="00FD45A3">
      <w:pPr>
        <w:spacing w:line="360" w:lineRule="auto"/>
        <w:ind w:rightChars="50" w:right="105" w:firstLineChars="200" w:firstLine="480"/>
        <w:rPr>
          <w:snapToGrid w:val="0"/>
          <w:sz w:val="24"/>
        </w:rPr>
      </w:pPr>
      <w:r>
        <w:rPr>
          <w:rFonts w:hint="eastAsia"/>
          <w:snapToGrid w:val="0"/>
          <w:sz w:val="24"/>
        </w:rPr>
        <w:t>本工程涉及的主要风险单元为油气开采过程中密闭集输单元</w:t>
      </w:r>
      <w:r>
        <w:rPr>
          <w:rFonts w:hint="eastAsia"/>
          <w:sz w:val="24"/>
        </w:rPr>
        <w:t>。</w:t>
      </w:r>
    </w:p>
    <w:p w:rsidR="00EE4502" w:rsidRDefault="00FD45A3">
      <w:pPr>
        <w:spacing w:line="360" w:lineRule="auto"/>
        <w:ind w:rightChars="50" w:right="105" w:firstLineChars="200" w:firstLine="480"/>
        <w:rPr>
          <w:snapToGrid w:val="0"/>
          <w:sz w:val="24"/>
        </w:rPr>
      </w:pPr>
      <w:r>
        <w:rPr>
          <w:rFonts w:hint="eastAsia"/>
          <w:snapToGrid w:val="0"/>
          <w:sz w:val="24"/>
        </w:rPr>
        <w:t>（</w:t>
      </w:r>
      <w:r>
        <w:rPr>
          <w:rFonts w:hint="eastAsia"/>
          <w:snapToGrid w:val="0"/>
          <w:sz w:val="24"/>
        </w:rPr>
        <w:t>3</w:t>
      </w:r>
      <w:r>
        <w:rPr>
          <w:rFonts w:hint="eastAsia"/>
          <w:snapToGrid w:val="0"/>
          <w:sz w:val="24"/>
        </w:rPr>
        <w:t>）危险物质数量与临界量比值</w:t>
      </w:r>
    </w:p>
    <w:p w:rsidR="00EE4502" w:rsidRDefault="00FD45A3">
      <w:pPr>
        <w:spacing w:line="360" w:lineRule="auto"/>
        <w:ind w:rightChars="50" w:right="105" w:firstLineChars="200" w:firstLine="480"/>
        <w:rPr>
          <w:snapToGrid w:val="0"/>
          <w:sz w:val="24"/>
        </w:rPr>
      </w:pPr>
      <w:r>
        <w:rPr>
          <w:snapToGrid w:val="0"/>
          <w:sz w:val="24"/>
        </w:rPr>
        <w:t>根据《建设项目环境风险评价技术导则》（</w:t>
      </w:r>
      <w:r>
        <w:rPr>
          <w:snapToGrid w:val="0"/>
          <w:sz w:val="24"/>
        </w:rPr>
        <w:t>HJ169-2018</w:t>
      </w:r>
      <w:r>
        <w:rPr>
          <w:snapToGrid w:val="0"/>
          <w:sz w:val="24"/>
        </w:rPr>
        <w:t>）</w:t>
      </w:r>
      <w:r>
        <w:rPr>
          <w:rFonts w:hint="eastAsia"/>
          <w:snapToGrid w:val="0"/>
          <w:sz w:val="24"/>
        </w:rPr>
        <w:t>，危险单元的定义为由一个或多个</w:t>
      </w:r>
      <w:r>
        <w:rPr>
          <w:snapToGrid w:val="0"/>
          <w:sz w:val="24"/>
        </w:rPr>
        <w:t>风险源构成的具有相对独立功能的单元，事故状况下可实现与其他功能单元的分割。本工程</w:t>
      </w:r>
      <w:r>
        <w:rPr>
          <w:bCs/>
          <w:sz w:val="24"/>
        </w:rPr>
        <w:t>集输管线均分段敷设，集油管线总长</w:t>
      </w:r>
      <w:r>
        <w:rPr>
          <w:bCs/>
          <w:sz w:val="24"/>
        </w:rPr>
        <w:t>13.9k</w:t>
      </w:r>
      <w:r>
        <w:rPr>
          <w:bCs/>
          <w:sz w:val="24"/>
        </w:rPr>
        <w:t>m</w:t>
      </w:r>
      <w:r>
        <w:rPr>
          <w:bCs/>
          <w:sz w:val="24"/>
        </w:rPr>
        <w:t>，</w:t>
      </w:r>
      <w:r>
        <w:rPr>
          <w:bCs/>
          <w:sz w:val="24"/>
        </w:rPr>
        <w:t>注汽管线</w:t>
      </w:r>
      <w:r>
        <w:rPr>
          <w:rFonts w:hint="eastAsia"/>
          <w:bCs/>
          <w:sz w:val="24"/>
        </w:rPr>
        <w:t>0.3</w:t>
      </w:r>
      <w:r>
        <w:rPr>
          <w:bCs/>
          <w:sz w:val="24"/>
        </w:rPr>
        <w:t>km</w:t>
      </w:r>
      <w:r>
        <w:rPr>
          <w:bCs/>
          <w:sz w:val="24"/>
        </w:rPr>
        <w:t>，伴生气掺烧管线</w:t>
      </w:r>
      <w:r>
        <w:rPr>
          <w:bCs/>
          <w:sz w:val="24"/>
        </w:rPr>
        <w:t>1.2km</w:t>
      </w:r>
      <w:r>
        <w:rPr>
          <w:bCs/>
          <w:sz w:val="24"/>
        </w:rPr>
        <w:t>。原油密度按照</w:t>
      </w:r>
      <w:r>
        <w:rPr>
          <w:bCs/>
          <w:sz w:val="24"/>
        </w:rPr>
        <w:t>0.9</w:t>
      </w:r>
      <w:r>
        <w:rPr>
          <w:bCs/>
          <w:sz w:val="24"/>
        </w:rPr>
        <w:t>43t</w:t>
      </w:r>
      <w:r>
        <w:rPr>
          <w:bCs/>
          <w:sz w:val="24"/>
        </w:rPr>
        <w:t>/m³</w:t>
      </w:r>
      <w:r>
        <w:rPr>
          <w:bCs/>
          <w:sz w:val="24"/>
        </w:rPr>
        <w:t>，伴生气密度</w:t>
      </w:r>
      <w:r>
        <w:rPr>
          <w:bCs/>
          <w:sz w:val="24"/>
        </w:rPr>
        <w:t>按照</w:t>
      </w:r>
      <w:r>
        <w:rPr>
          <w:bCs/>
          <w:sz w:val="24"/>
        </w:rPr>
        <w:t>0.883kg/m</w:t>
      </w:r>
      <w:r>
        <w:rPr>
          <w:bCs/>
          <w:sz w:val="24"/>
          <w:vertAlign w:val="superscript"/>
        </w:rPr>
        <w:t>3</w:t>
      </w:r>
      <w:r>
        <w:rPr>
          <w:snapToGrid w:val="0"/>
          <w:sz w:val="24"/>
        </w:rPr>
        <w:t>。</w:t>
      </w:r>
    </w:p>
    <w:p w:rsidR="00EE4502" w:rsidRDefault="00FD45A3">
      <w:pPr>
        <w:spacing w:line="360" w:lineRule="auto"/>
        <w:ind w:rightChars="50" w:right="105" w:firstLineChars="200" w:firstLine="480"/>
        <w:rPr>
          <w:sz w:val="24"/>
        </w:rPr>
      </w:pPr>
      <w:r>
        <w:rPr>
          <w:sz w:val="24"/>
        </w:rPr>
        <w:t>根据</w:t>
      </w:r>
      <w:r>
        <w:rPr>
          <w:sz w:val="24"/>
        </w:rPr>
        <w:t>HJ169-2018</w:t>
      </w:r>
      <w:r>
        <w:rPr>
          <w:sz w:val="24"/>
        </w:rPr>
        <w:t>附录</w:t>
      </w:r>
      <w:r>
        <w:rPr>
          <w:sz w:val="24"/>
        </w:rPr>
        <w:t>C</w:t>
      </w:r>
      <w:r>
        <w:rPr>
          <w:sz w:val="24"/>
        </w:rPr>
        <w:t>，按下式计算</w:t>
      </w:r>
      <w:r>
        <w:rPr>
          <w:rFonts w:hint="eastAsia"/>
          <w:sz w:val="24"/>
        </w:rPr>
        <w:t>本工程</w:t>
      </w:r>
      <w:r>
        <w:rPr>
          <w:sz w:val="24"/>
        </w:rPr>
        <w:t>涉及的危险物质总量与其临界量比值（</w:t>
      </w:r>
      <w:r>
        <w:rPr>
          <w:i/>
          <w:sz w:val="24"/>
        </w:rPr>
        <w:t>Q</w:t>
      </w:r>
      <w:r>
        <w:rPr>
          <w:sz w:val="24"/>
        </w:rPr>
        <w:t>）：</w:t>
      </w:r>
    </w:p>
    <w:p w:rsidR="00EE4502" w:rsidRDefault="00FD45A3">
      <w:pPr>
        <w:spacing w:line="360" w:lineRule="auto"/>
        <w:ind w:rightChars="50" w:right="105" w:firstLine="200"/>
        <w:jc w:val="center"/>
        <w:rPr>
          <w:sz w:val="24"/>
        </w:rPr>
      </w:pPr>
      <w:r>
        <w:rPr>
          <w:noProof/>
          <w:sz w:val="24"/>
        </w:rPr>
        <w:drawing>
          <wp:inline distT="0" distB="0" distL="0" distR="0">
            <wp:extent cx="1724025" cy="457200"/>
            <wp:effectExtent l="0" t="0" r="9525" b="0"/>
            <wp:docPr id="135" name="图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29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1724025" cy="457200"/>
                    </a:xfrm>
                    <a:prstGeom prst="rect">
                      <a:avLst/>
                    </a:prstGeom>
                    <a:noFill/>
                    <a:ln>
                      <a:noFill/>
                    </a:ln>
                  </pic:spPr>
                </pic:pic>
              </a:graphicData>
            </a:graphic>
          </wp:inline>
        </w:drawing>
      </w:r>
    </w:p>
    <w:p w:rsidR="00EE4502" w:rsidRDefault="00FD45A3">
      <w:pPr>
        <w:spacing w:line="360" w:lineRule="auto"/>
        <w:ind w:firstLineChars="200" w:firstLine="480"/>
        <w:rPr>
          <w:sz w:val="24"/>
        </w:rPr>
      </w:pPr>
      <w:r>
        <w:rPr>
          <w:sz w:val="24"/>
        </w:rPr>
        <w:t>式中：</w:t>
      </w:r>
      <w:r>
        <w:rPr>
          <w:i/>
          <w:sz w:val="24"/>
        </w:rPr>
        <w:t>q</w:t>
      </w:r>
      <w:r>
        <w:rPr>
          <w:i/>
          <w:sz w:val="24"/>
          <w:vertAlign w:val="subscript"/>
        </w:rPr>
        <w:t>1</w:t>
      </w:r>
      <w:r>
        <w:rPr>
          <w:i/>
          <w:sz w:val="24"/>
        </w:rPr>
        <w:t>，</w:t>
      </w:r>
      <w:r>
        <w:rPr>
          <w:i/>
          <w:sz w:val="24"/>
        </w:rPr>
        <w:t>q</w:t>
      </w:r>
      <w:r>
        <w:rPr>
          <w:i/>
          <w:sz w:val="24"/>
          <w:vertAlign w:val="subscript"/>
        </w:rPr>
        <w:t>2</w:t>
      </w:r>
      <w:r>
        <w:rPr>
          <w:i/>
          <w:sz w:val="24"/>
        </w:rPr>
        <w:t>，</w:t>
      </w:r>
      <w:r>
        <w:rPr>
          <w:i/>
          <w:sz w:val="24"/>
        </w:rPr>
        <w:t>...</w:t>
      </w:r>
      <w:r>
        <w:rPr>
          <w:i/>
          <w:sz w:val="24"/>
        </w:rPr>
        <w:t>，</w:t>
      </w:r>
      <w:r>
        <w:rPr>
          <w:i/>
          <w:sz w:val="24"/>
        </w:rPr>
        <w:t>q</w:t>
      </w:r>
      <w:r>
        <w:rPr>
          <w:i/>
          <w:sz w:val="24"/>
          <w:vertAlign w:val="subscript"/>
        </w:rPr>
        <w:t>n</w:t>
      </w:r>
      <w:r>
        <w:rPr>
          <w:sz w:val="24"/>
        </w:rPr>
        <w:t>——</w:t>
      </w:r>
      <w:r>
        <w:rPr>
          <w:sz w:val="24"/>
        </w:rPr>
        <w:t>每种危险物质的最大存在总量，</w:t>
      </w:r>
      <w:r>
        <w:rPr>
          <w:sz w:val="24"/>
        </w:rPr>
        <w:t>t</w:t>
      </w:r>
      <w:r>
        <w:rPr>
          <w:sz w:val="24"/>
        </w:rPr>
        <w:t>；</w:t>
      </w:r>
    </w:p>
    <w:p w:rsidR="00EE4502" w:rsidRDefault="00FD45A3">
      <w:pPr>
        <w:spacing w:line="360" w:lineRule="auto"/>
        <w:ind w:firstLineChars="500" w:firstLine="1200"/>
        <w:rPr>
          <w:sz w:val="24"/>
        </w:rPr>
      </w:pPr>
      <w:r>
        <w:rPr>
          <w:i/>
          <w:sz w:val="24"/>
        </w:rPr>
        <w:t>Q</w:t>
      </w:r>
      <w:r>
        <w:rPr>
          <w:i/>
          <w:sz w:val="24"/>
          <w:vertAlign w:val="subscript"/>
        </w:rPr>
        <w:t>1</w:t>
      </w:r>
      <w:r>
        <w:rPr>
          <w:i/>
          <w:sz w:val="24"/>
        </w:rPr>
        <w:t>，</w:t>
      </w:r>
      <w:r>
        <w:rPr>
          <w:i/>
          <w:sz w:val="24"/>
        </w:rPr>
        <w:t>Q</w:t>
      </w:r>
      <w:r>
        <w:rPr>
          <w:i/>
          <w:sz w:val="24"/>
          <w:vertAlign w:val="subscript"/>
        </w:rPr>
        <w:t>2</w:t>
      </w:r>
      <w:r>
        <w:rPr>
          <w:i/>
          <w:sz w:val="24"/>
        </w:rPr>
        <w:t>，</w:t>
      </w:r>
      <w:r>
        <w:rPr>
          <w:i/>
          <w:sz w:val="24"/>
        </w:rPr>
        <w:t>...</w:t>
      </w:r>
      <w:r>
        <w:rPr>
          <w:i/>
          <w:sz w:val="24"/>
        </w:rPr>
        <w:t>，</w:t>
      </w:r>
      <w:r>
        <w:rPr>
          <w:i/>
          <w:sz w:val="24"/>
        </w:rPr>
        <w:t>Q</w:t>
      </w:r>
      <w:r>
        <w:rPr>
          <w:i/>
          <w:sz w:val="24"/>
          <w:vertAlign w:val="subscript"/>
        </w:rPr>
        <w:t xml:space="preserve">n </w:t>
      </w:r>
      <w:r>
        <w:rPr>
          <w:sz w:val="24"/>
        </w:rPr>
        <w:t>——</w:t>
      </w:r>
      <w:r>
        <w:rPr>
          <w:sz w:val="24"/>
        </w:rPr>
        <w:t>每种危险物质的临界量，</w:t>
      </w:r>
      <w:r>
        <w:rPr>
          <w:sz w:val="24"/>
        </w:rPr>
        <w:t>t</w:t>
      </w:r>
      <w:r>
        <w:rPr>
          <w:sz w:val="24"/>
        </w:rPr>
        <w:t>。</w:t>
      </w:r>
    </w:p>
    <w:p w:rsidR="00EE4502" w:rsidRDefault="00FD45A3">
      <w:pPr>
        <w:spacing w:line="360" w:lineRule="auto"/>
        <w:ind w:firstLineChars="200" w:firstLine="480"/>
        <w:rPr>
          <w:sz w:val="24"/>
        </w:rPr>
      </w:pPr>
      <w:r>
        <w:rPr>
          <w:sz w:val="24"/>
        </w:rPr>
        <w:t>当</w:t>
      </w:r>
      <w:r>
        <w:rPr>
          <w:i/>
          <w:sz w:val="24"/>
        </w:rPr>
        <w:t>Q</w:t>
      </w:r>
      <w:r>
        <w:rPr>
          <w:sz w:val="24"/>
        </w:rPr>
        <w:t>＜</w:t>
      </w:r>
      <w:r>
        <w:rPr>
          <w:sz w:val="24"/>
        </w:rPr>
        <w:t>1</w:t>
      </w:r>
      <w:r>
        <w:rPr>
          <w:sz w:val="24"/>
        </w:rPr>
        <w:t>时，该项目环境风险潜势为</w:t>
      </w:r>
      <w:r>
        <w:rPr>
          <w:sz w:val="24"/>
        </w:rPr>
        <w:t>Ⅰ</w:t>
      </w:r>
      <w:r>
        <w:rPr>
          <w:sz w:val="24"/>
        </w:rPr>
        <w:t>。当</w:t>
      </w:r>
      <w:r>
        <w:rPr>
          <w:i/>
          <w:sz w:val="24"/>
        </w:rPr>
        <w:t>Q</w:t>
      </w:r>
      <w:r>
        <w:rPr>
          <w:sz w:val="24"/>
        </w:rPr>
        <w:t>≥1</w:t>
      </w:r>
      <w:r>
        <w:rPr>
          <w:sz w:val="24"/>
        </w:rPr>
        <w:t>时，将</w:t>
      </w:r>
      <w:r>
        <w:rPr>
          <w:i/>
          <w:sz w:val="24"/>
        </w:rPr>
        <w:t>Q</w:t>
      </w:r>
      <w:r>
        <w:rPr>
          <w:sz w:val="24"/>
        </w:rPr>
        <w:t>值划分为：（</w:t>
      </w:r>
      <w:r>
        <w:rPr>
          <w:sz w:val="24"/>
        </w:rPr>
        <w:t>1</w:t>
      </w:r>
      <w:r>
        <w:rPr>
          <w:sz w:val="24"/>
        </w:rPr>
        <w:t>）</w:t>
      </w:r>
      <w:r>
        <w:rPr>
          <w:sz w:val="24"/>
        </w:rPr>
        <w:t>1≤</w:t>
      </w:r>
      <w:r>
        <w:rPr>
          <w:i/>
          <w:sz w:val="24"/>
        </w:rPr>
        <w:t>Q</w:t>
      </w:r>
      <w:r>
        <w:rPr>
          <w:sz w:val="24"/>
        </w:rPr>
        <w:t>＜</w:t>
      </w:r>
      <w:r>
        <w:rPr>
          <w:sz w:val="24"/>
        </w:rPr>
        <w:t>10</w:t>
      </w:r>
      <w:r>
        <w:rPr>
          <w:sz w:val="24"/>
        </w:rPr>
        <w:t>；（</w:t>
      </w:r>
      <w:r>
        <w:rPr>
          <w:sz w:val="24"/>
        </w:rPr>
        <w:t>2</w:t>
      </w:r>
      <w:r>
        <w:rPr>
          <w:sz w:val="24"/>
        </w:rPr>
        <w:t>）</w:t>
      </w:r>
      <w:r>
        <w:rPr>
          <w:sz w:val="24"/>
        </w:rPr>
        <w:t>10≤</w:t>
      </w:r>
      <w:r>
        <w:rPr>
          <w:i/>
          <w:sz w:val="24"/>
        </w:rPr>
        <w:t>Q</w:t>
      </w:r>
      <w:r>
        <w:rPr>
          <w:sz w:val="24"/>
        </w:rPr>
        <w:t>＜</w:t>
      </w:r>
      <w:r>
        <w:rPr>
          <w:sz w:val="24"/>
        </w:rPr>
        <w:t>100</w:t>
      </w:r>
      <w:r>
        <w:rPr>
          <w:sz w:val="24"/>
        </w:rPr>
        <w:t>；（</w:t>
      </w:r>
      <w:r>
        <w:rPr>
          <w:sz w:val="24"/>
        </w:rPr>
        <w:t>3</w:t>
      </w:r>
      <w:r>
        <w:rPr>
          <w:sz w:val="24"/>
        </w:rPr>
        <w:t>）</w:t>
      </w:r>
      <w:r>
        <w:rPr>
          <w:i/>
          <w:sz w:val="24"/>
        </w:rPr>
        <w:t>Q</w:t>
      </w:r>
      <w:r>
        <w:rPr>
          <w:sz w:val="24"/>
        </w:rPr>
        <w:t>≥100</w:t>
      </w:r>
      <w:r>
        <w:rPr>
          <w:sz w:val="24"/>
        </w:rPr>
        <w:t>。</w:t>
      </w:r>
    </w:p>
    <w:p w:rsidR="00EE4502" w:rsidRDefault="00FD45A3">
      <w:pPr>
        <w:spacing w:line="360" w:lineRule="auto"/>
        <w:ind w:firstLineChars="200" w:firstLine="480"/>
        <w:rPr>
          <w:sz w:val="24"/>
        </w:rPr>
      </w:pPr>
      <w:r>
        <w:rPr>
          <w:rFonts w:hint="eastAsia"/>
          <w:sz w:val="24"/>
        </w:rPr>
        <w:t>本工程</w:t>
      </w:r>
      <w:r>
        <w:rPr>
          <w:sz w:val="24"/>
        </w:rPr>
        <w:t>的</w:t>
      </w:r>
      <w:r>
        <w:rPr>
          <w:sz w:val="24"/>
        </w:rPr>
        <w:t>Q</w:t>
      </w:r>
      <w:r>
        <w:rPr>
          <w:sz w:val="24"/>
        </w:rPr>
        <w:t>值的确定见下表：</w:t>
      </w:r>
    </w:p>
    <w:p w:rsidR="00EE4502" w:rsidRDefault="00FD45A3">
      <w:pPr>
        <w:spacing w:line="360" w:lineRule="auto"/>
        <w:jc w:val="center"/>
        <w:rPr>
          <w:rFonts w:eastAsia="黑体"/>
          <w:szCs w:val="21"/>
        </w:rPr>
      </w:pPr>
      <w:r>
        <w:rPr>
          <w:rFonts w:eastAsia="黑体"/>
          <w:szCs w:val="21"/>
        </w:rPr>
        <w:lastRenderedPageBreak/>
        <w:t>表</w:t>
      </w:r>
      <w:r>
        <w:rPr>
          <w:rFonts w:eastAsia="黑体" w:hint="eastAsia"/>
          <w:szCs w:val="21"/>
        </w:rPr>
        <w:t>5-8-1</w:t>
      </w:r>
      <w:r>
        <w:rPr>
          <w:rFonts w:eastAsia="黑体"/>
          <w:szCs w:val="21"/>
        </w:rPr>
        <w:t xml:space="preserve">     </w:t>
      </w:r>
      <w:r>
        <w:rPr>
          <w:rFonts w:eastAsia="黑体" w:hint="eastAsia"/>
          <w:szCs w:val="21"/>
        </w:rPr>
        <w:t>本工程</w:t>
      </w:r>
      <w:r>
        <w:rPr>
          <w:rFonts w:eastAsia="黑体"/>
          <w:szCs w:val="21"/>
        </w:rPr>
        <w:t>风险单元</w:t>
      </w:r>
      <w:r>
        <w:rPr>
          <w:rFonts w:eastAsia="黑体"/>
          <w:szCs w:val="21"/>
        </w:rPr>
        <w:t>Q</w:t>
      </w:r>
      <w:r>
        <w:rPr>
          <w:rFonts w:eastAsia="黑体"/>
          <w:szCs w:val="21"/>
        </w:rPr>
        <w:t>值一览表</w:t>
      </w:r>
    </w:p>
    <w:tbl>
      <w:tblPr>
        <w:tblStyle w:val="affd"/>
        <w:tblW w:w="4997" w:type="pct"/>
        <w:jc w:val="center"/>
        <w:tblLook w:val="04A0" w:firstRow="1" w:lastRow="0" w:firstColumn="1" w:lastColumn="0" w:noHBand="0" w:noVBand="1"/>
      </w:tblPr>
      <w:tblGrid>
        <w:gridCol w:w="1299"/>
        <w:gridCol w:w="1081"/>
        <w:gridCol w:w="1139"/>
        <w:gridCol w:w="1268"/>
        <w:gridCol w:w="1106"/>
        <w:gridCol w:w="743"/>
        <w:gridCol w:w="959"/>
        <w:gridCol w:w="922"/>
      </w:tblGrid>
      <w:tr w:rsidR="00EE4502">
        <w:trPr>
          <w:trHeight w:val="340"/>
          <w:tblHeader/>
          <w:jc w:val="center"/>
        </w:trPr>
        <w:tc>
          <w:tcPr>
            <w:tcW w:w="762" w:type="pct"/>
            <w:vAlign w:val="center"/>
          </w:tcPr>
          <w:p w:rsidR="00EE4502" w:rsidRDefault="00FD45A3">
            <w:pPr>
              <w:spacing w:line="221" w:lineRule="auto"/>
              <w:jc w:val="center"/>
            </w:pPr>
            <w:r>
              <w:t>风险单元</w:t>
            </w:r>
          </w:p>
        </w:tc>
        <w:tc>
          <w:tcPr>
            <w:tcW w:w="634" w:type="pct"/>
            <w:vAlign w:val="center"/>
          </w:tcPr>
          <w:p w:rsidR="00EE4502" w:rsidRDefault="00FD45A3">
            <w:pPr>
              <w:spacing w:line="254" w:lineRule="auto"/>
              <w:jc w:val="center"/>
              <w:rPr>
                <w:spacing w:val="-3"/>
              </w:rPr>
            </w:pPr>
            <w:r>
              <w:rPr>
                <w:spacing w:val="-3"/>
              </w:rPr>
              <w:t>管道特性</w:t>
            </w:r>
          </w:p>
        </w:tc>
        <w:tc>
          <w:tcPr>
            <w:tcW w:w="668" w:type="pct"/>
            <w:vAlign w:val="center"/>
          </w:tcPr>
          <w:p w:rsidR="00EE4502" w:rsidRDefault="00FD45A3">
            <w:pPr>
              <w:spacing w:line="254" w:lineRule="auto"/>
              <w:jc w:val="center"/>
            </w:pPr>
            <w:r>
              <w:rPr>
                <w:spacing w:val="-3"/>
              </w:rPr>
              <w:t>危</w:t>
            </w:r>
            <w:r>
              <w:rPr>
                <w:spacing w:val="-2"/>
              </w:rPr>
              <w:t>险物质</w:t>
            </w:r>
            <w:r>
              <w:rPr>
                <w:spacing w:val="-3"/>
              </w:rPr>
              <w:t>名</w:t>
            </w:r>
            <w:r>
              <w:rPr>
                <w:spacing w:val="-2"/>
              </w:rPr>
              <w:t>称</w:t>
            </w:r>
          </w:p>
        </w:tc>
        <w:tc>
          <w:tcPr>
            <w:tcW w:w="744" w:type="pct"/>
            <w:vAlign w:val="center"/>
          </w:tcPr>
          <w:p w:rsidR="00EE4502" w:rsidRDefault="00FD45A3">
            <w:pPr>
              <w:spacing w:line="222" w:lineRule="auto"/>
              <w:jc w:val="center"/>
            </w:pPr>
            <w:r>
              <w:rPr>
                <w:spacing w:val="-8"/>
              </w:rPr>
              <w:t>CAS</w:t>
            </w:r>
            <w:r>
              <w:rPr>
                <w:spacing w:val="-8"/>
              </w:rPr>
              <w:t>号</w:t>
            </w:r>
          </w:p>
        </w:tc>
        <w:tc>
          <w:tcPr>
            <w:tcW w:w="649" w:type="pct"/>
            <w:vAlign w:val="center"/>
          </w:tcPr>
          <w:p w:rsidR="00EE4502" w:rsidRDefault="00FD45A3">
            <w:pPr>
              <w:spacing w:line="251" w:lineRule="auto"/>
              <w:jc w:val="center"/>
            </w:pPr>
            <w:r>
              <w:rPr>
                <w:spacing w:val="-2"/>
              </w:rPr>
              <w:t>最大存</w:t>
            </w:r>
            <w:r>
              <w:rPr>
                <w:spacing w:val="-1"/>
              </w:rPr>
              <w:t>在总量</w:t>
            </w:r>
            <w:r>
              <w:rPr>
                <w:spacing w:val="-1"/>
              </w:rPr>
              <w:t>qn</w:t>
            </w:r>
            <w:r>
              <w:rPr>
                <w:spacing w:val="-2"/>
              </w:rPr>
              <w:t>(</w:t>
            </w:r>
            <w:r>
              <w:rPr>
                <w:spacing w:val="-1"/>
              </w:rPr>
              <w:t>t)</w:t>
            </w:r>
          </w:p>
        </w:tc>
        <w:tc>
          <w:tcPr>
            <w:tcW w:w="436" w:type="pct"/>
            <w:vAlign w:val="center"/>
          </w:tcPr>
          <w:p w:rsidR="00EE4502" w:rsidRDefault="00FD45A3">
            <w:pPr>
              <w:spacing w:line="221" w:lineRule="auto"/>
              <w:jc w:val="center"/>
            </w:pPr>
            <w:r>
              <w:t>临</w:t>
            </w:r>
            <w:r>
              <w:rPr>
                <w:spacing w:val="-13"/>
              </w:rPr>
              <w:t>界</w:t>
            </w:r>
            <w:r>
              <w:rPr>
                <w:spacing w:val="-21"/>
              </w:rPr>
              <w:t>量</w:t>
            </w:r>
            <w:r>
              <w:rPr>
                <w:spacing w:val="-19"/>
              </w:rPr>
              <w:t>Q</w:t>
            </w:r>
            <w:r>
              <w:rPr>
                <w:spacing w:val="-7"/>
              </w:rPr>
              <w:t>(</w:t>
            </w:r>
            <w:r>
              <w:rPr>
                <w:spacing w:val="-6"/>
              </w:rPr>
              <w:t>t</w:t>
            </w:r>
            <w:r>
              <w:t>)</w:t>
            </w:r>
          </w:p>
        </w:tc>
        <w:tc>
          <w:tcPr>
            <w:tcW w:w="563" w:type="pct"/>
            <w:vAlign w:val="center"/>
          </w:tcPr>
          <w:p w:rsidR="00EE4502" w:rsidRDefault="00FD45A3">
            <w:pPr>
              <w:spacing w:line="221" w:lineRule="auto"/>
              <w:jc w:val="center"/>
            </w:pPr>
            <w:r>
              <w:rPr>
                <w:spacing w:val="-3"/>
              </w:rPr>
              <w:t>该</w:t>
            </w:r>
            <w:r>
              <w:rPr>
                <w:spacing w:val="-2"/>
              </w:rPr>
              <w:t>种</w:t>
            </w:r>
            <w:r>
              <w:rPr>
                <w:spacing w:val="-3"/>
              </w:rPr>
              <w:t>危</w:t>
            </w:r>
            <w:r>
              <w:rPr>
                <w:spacing w:val="-2"/>
              </w:rPr>
              <w:t>险</w:t>
            </w:r>
            <w:r>
              <w:rPr>
                <w:spacing w:val="-15"/>
              </w:rPr>
              <w:t>物</w:t>
            </w:r>
            <w:r>
              <w:rPr>
                <w:spacing w:val="-12"/>
              </w:rPr>
              <w:t>质</w:t>
            </w:r>
            <w:r>
              <w:rPr>
                <w:spacing w:val="-12"/>
              </w:rPr>
              <w:t>Q</w:t>
            </w:r>
            <w:r>
              <w:t>值</w:t>
            </w:r>
          </w:p>
        </w:tc>
        <w:tc>
          <w:tcPr>
            <w:tcW w:w="541" w:type="pct"/>
            <w:vAlign w:val="center"/>
          </w:tcPr>
          <w:p w:rsidR="00EE4502" w:rsidRDefault="00FD45A3">
            <w:pPr>
              <w:spacing w:line="221" w:lineRule="auto"/>
              <w:jc w:val="center"/>
            </w:pPr>
            <w:r>
              <w:t>单</w:t>
            </w:r>
            <w:r>
              <w:rPr>
                <w:spacing w:val="-19"/>
              </w:rPr>
              <w:t>元</w:t>
            </w:r>
            <w:r>
              <w:rPr>
                <w:spacing w:val="-18"/>
              </w:rPr>
              <w:t>Q</w:t>
            </w:r>
            <w:r>
              <w:t>值</w:t>
            </w:r>
            <w:r>
              <w:t>Σ</w:t>
            </w:r>
          </w:p>
        </w:tc>
      </w:tr>
      <w:tr w:rsidR="00EE4502">
        <w:trPr>
          <w:trHeight w:val="410"/>
          <w:jc w:val="center"/>
        </w:trPr>
        <w:tc>
          <w:tcPr>
            <w:tcW w:w="762" w:type="pct"/>
            <w:vMerge w:val="restart"/>
            <w:vAlign w:val="center"/>
          </w:tcPr>
          <w:p w:rsidR="00EE4502" w:rsidRDefault="00FD45A3">
            <w:pPr>
              <w:spacing w:line="221" w:lineRule="auto"/>
              <w:jc w:val="center"/>
              <w:rPr>
                <w:spacing w:val="-1"/>
              </w:rPr>
            </w:pPr>
            <w:r>
              <w:rPr>
                <w:spacing w:val="-2"/>
              </w:rPr>
              <w:t>集</w:t>
            </w:r>
            <w:r>
              <w:rPr>
                <w:spacing w:val="-1"/>
              </w:rPr>
              <w:t>油管线</w:t>
            </w:r>
          </w:p>
        </w:tc>
        <w:tc>
          <w:tcPr>
            <w:tcW w:w="634" w:type="pct"/>
            <w:vMerge w:val="restart"/>
            <w:vAlign w:val="center"/>
          </w:tcPr>
          <w:p w:rsidR="00EE4502" w:rsidRDefault="00FD45A3">
            <w:pPr>
              <w:spacing w:line="225" w:lineRule="auto"/>
              <w:jc w:val="center"/>
              <w:rPr>
                <w:spacing w:val="-4"/>
              </w:rPr>
            </w:pPr>
            <w:r>
              <w:rPr>
                <w:spacing w:val="-4"/>
              </w:rPr>
              <w:t>13.9km</w:t>
            </w:r>
          </w:p>
        </w:tc>
        <w:tc>
          <w:tcPr>
            <w:tcW w:w="668" w:type="pct"/>
            <w:vAlign w:val="center"/>
          </w:tcPr>
          <w:p w:rsidR="00EE4502" w:rsidRDefault="00FD45A3">
            <w:pPr>
              <w:spacing w:line="225" w:lineRule="auto"/>
              <w:jc w:val="center"/>
            </w:pPr>
            <w:r>
              <w:rPr>
                <w:spacing w:val="-4"/>
              </w:rPr>
              <w:t>原</w:t>
            </w:r>
            <w:r>
              <w:rPr>
                <w:spacing w:val="-2"/>
              </w:rPr>
              <w:t>油</w:t>
            </w:r>
          </w:p>
        </w:tc>
        <w:tc>
          <w:tcPr>
            <w:tcW w:w="744" w:type="pct"/>
            <w:vAlign w:val="center"/>
          </w:tcPr>
          <w:p w:rsidR="00EE4502" w:rsidRDefault="00FD45A3">
            <w:pPr>
              <w:spacing w:line="226" w:lineRule="auto"/>
              <w:jc w:val="center"/>
            </w:pPr>
            <w:r>
              <w:t>/</w:t>
            </w:r>
          </w:p>
        </w:tc>
        <w:tc>
          <w:tcPr>
            <w:tcW w:w="649" w:type="pct"/>
            <w:vAlign w:val="center"/>
          </w:tcPr>
          <w:p w:rsidR="00EE4502" w:rsidRDefault="00FD45A3">
            <w:pPr>
              <w:widowControl/>
              <w:jc w:val="center"/>
              <w:textAlignment w:val="center"/>
              <w:rPr>
                <w:spacing w:val="-2"/>
              </w:rPr>
            </w:pPr>
            <w:r>
              <w:rPr>
                <w:kern w:val="0"/>
                <w:lang w:bidi="ar"/>
              </w:rPr>
              <w:t>164.25</w:t>
            </w:r>
          </w:p>
        </w:tc>
        <w:tc>
          <w:tcPr>
            <w:tcW w:w="436" w:type="pct"/>
            <w:vAlign w:val="center"/>
          </w:tcPr>
          <w:p w:rsidR="00EE4502" w:rsidRDefault="00FD45A3">
            <w:pPr>
              <w:widowControl/>
              <w:jc w:val="center"/>
              <w:textAlignment w:val="center"/>
              <w:rPr>
                <w:spacing w:val="-2"/>
              </w:rPr>
            </w:pPr>
            <w:r>
              <w:rPr>
                <w:kern w:val="0"/>
                <w:lang w:bidi="ar"/>
              </w:rPr>
              <w:t>2500</w:t>
            </w:r>
          </w:p>
        </w:tc>
        <w:tc>
          <w:tcPr>
            <w:tcW w:w="563" w:type="pct"/>
            <w:vAlign w:val="center"/>
          </w:tcPr>
          <w:p w:rsidR="00EE4502" w:rsidRDefault="00FD45A3">
            <w:pPr>
              <w:widowControl/>
              <w:jc w:val="center"/>
              <w:textAlignment w:val="center"/>
              <w:rPr>
                <w:spacing w:val="-2"/>
              </w:rPr>
            </w:pPr>
            <w:r>
              <w:rPr>
                <w:kern w:val="0"/>
                <w:lang w:bidi="ar"/>
              </w:rPr>
              <w:t>0.</w:t>
            </w:r>
            <w:r>
              <w:rPr>
                <w:kern w:val="0"/>
                <w:lang w:bidi="ar"/>
              </w:rPr>
              <w:t>0657</w:t>
            </w:r>
          </w:p>
        </w:tc>
        <w:tc>
          <w:tcPr>
            <w:tcW w:w="541" w:type="pct"/>
            <w:vMerge w:val="restart"/>
            <w:vAlign w:val="center"/>
          </w:tcPr>
          <w:p w:rsidR="00EE4502" w:rsidRDefault="00FD45A3">
            <w:pPr>
              <w:widowControl/>
              <w:jc w:val="center"/>
              <w:textAlignment w:val="center"/>
            </w:pPr>
            <w:r>
              <w:rPr>
                <w:kern w:val="0"/>
                <w:lang w:bidi="ar"/>
              </w:rPr>
              <w:t>0.088</w:t>
            </w:r>
          </w:p>
        </w:tc>
      </w:tr>
      <w:tr w:rsidR="00EE4502">
        <w:trPr>
          <w:trHeight w:val="410"/>
          <w:jc w:val="center"/>
        </w:trPr>
        <w:tc>
          <w:tcPr>
            <w:tcW w:w="762" w:type="pct"/>
            <w:vMerge/>
            <w:vAlign w:val="center"/>
          </w:tcPr>
          <w:p w:rsidR="00EE4502" w:rsidRDefault="00EE4502">
            <w:pPr>
              <w:spacing w:line="221" w:lineRule="auto"/>
              <w:jc w:val="center"/>
              <w:rPr>
                <w:spacing w:val="-1"/>
              </w:rPr>
            </w:pPr>
          </w:p>
        </w:tc>
        <w:tc>
          <w:tcPr>
            <w:tcW w:w="634" w:type="pct"/>
            <w:vMerge/>
            <w:vAlign w:val="center"/>
          </w:tcPr>
          <w:p w:rsidR="00EE4502" w:rsidRDefault="00EE4502">
            <w:pPr>
              <w:spacing w:line="221" w:lineRule="auto"/>
              <w:jc w:val="center"/>
              <w:rPr>
                <w:spacing w:val="-2"/>
              </w:rPr>
            </w:pPr>
          </w:p>
        </w:tc>
        <w:tc>
          <w:tcPr>
            <w:tcW w:w="668" w:type="pct"/>
            <w:vAlign w:val="center"/>
          </w:tcPr>
          <w:p w:rsidR="00EE4502" w:rsidRDefault="00FD45A3">
            <w:pPr>
              <w:spacing w:line="221" w:lineRule="auto"/>
              <w:jc w:val="center"/>
            </w:pPr>
            <w:r>
              <w:rPr>
                <w:spacing w:val="-2"/>
              </w:rPr>
              <w:t>伴生</w:t>
            </w:r>
            <w:r>
              <w:rPr>
                <w:spacing w:val="-1"/>
              </w:rPr>
              <w:t>气</w:t>
            </w:r>
          </w:p>
        </w:tc>
        <w:tc>
          <w:tcPr>
            <w:tcW w:w="744" w:type="pct"/>
            <w:vAlign w:val="center"/>
          </w:tcPr>
          <w:p w:rsidR="00EE4502" w:rsidRDefault="00FD45A3">
            <w:pPr>
              <w:spacing w:line="183" w:lineRule="auto"/>
              <w:jc w:val="center"/>
            </w:pPr>
            <w:r>
              <w:rPr>
                <w:spacing w:val="-2"/>
              </w:rPr>
              <w:t>6</w:t>
            </w:r>
            <w:r>
              <w:rPr>
                <w:spacing w:val="-1"/>
              </w:rPr>
              <w:t>8476</w:t>
            </w:r>
            <w:r>
              <w:rPr>
                <w:spacing w:val="2"/>
              </w:rPr>
              <w:t>-85-</w:t>
            </w:r>
            <w:r>
              <w:rPr>
                <w:spacing w:val="1"/>
              </w:rPr>
              <w:t>7</w:t>
            </w:r>
          </w:p>
        </w:tc>
        <w:tc>
          <w:tcPr>
            <w:tcW w:w="649" w:type="pct"/>
            <w:vAlign w:val="center"/>
          </w:tcPr>
          <w:p w:rsidR="00EE4502" w:rsidRDefault="00FD45A3">
            <w:pPr>
              <w:widowControl/>
              <w:jc w:val="center"/>
              <w:textAlignment w:val="center"/>
              <w:rPr>
                <w:spacing w:val="-2"/>
              </w:rPr>
            </w:pPr>
            <w:r>
              <w:rPr>
                <w:spacing w:val="-2"/>
              </w:rPr>
              <w:t>0.023</w:t>
            </w:r>
          </w:p>
        </w:tc>
        <w:tc>
          <w:tcPr>
            <w:tcW w:w="436" w:type="pct"/>
            <w:vAlign w:val="center"/>
          </w:tcPr>
          <w:p w:rsidR="00EE4502" w:rsidRDefault="00FD45A3">
            <w:pPr>
              <w:widowControl/>
              <w:jc w:val="center"/>
              <w:textAlignment w:val="center"/>
              <w:rPr>
                <w:spacing w:val="-2"/>
              </w:rPr>
            </w:pPr>
            <w:r>
              <w:rPr>
                <w:kern w:val="0"/>
                <w:lang w:bidi="ar"/>
              </w:rPr>
              <w:t>10</w:t>
            </w:r>
          </w:p>
        </w:tc>
        <w:tc>
          <w:tcPr>
            <w:tcW w:w="563" w:type="pct"/>
            <w:vAlign w:val="center"/>
          </w:tcPr>
          <w:p w:rsidR="00EE4502" w:rsidRDefault="00FD45A3">
            <w:pPr>
              <w:widowControl/>
              <w:jc w:val="center"/>
              <w:textAlignment w:val="center"/>
              <w:rPr>
                <w:spacing w:val="-2"/>
              </w:rPr>
            </w:pPr>
            <w:r>
              <w:rPr>
                <w:kern w:val="0"/>
                <w:lang w:bidi="ar"/>
              </w:rPr>
              <w:t>0.</w:t>
            </w:r>
            <w:r>
              <w:rPr>
                <w:kern w:val="0"/>
                <w:lang w:bidi="ar"/>
              </w:rPr>
              <w:t>0023</w:t>
            </w:r>
          </w:p>
        </w:tc>
        <w:tc>
          <w:tcPr>
            <w:tcW w:w="541" w:type="pct"/>
            <w:vMerge/>
            <w:vAlign w:val="center"/>
          </w:tcPr>
          <w:p w:rsidR="00EE4502" w:rsidRDefault="00EE4502">
            <w:pPr>
              <w:jc w:val="center"/>
              <w:rPr>
                <w:rFonts w:ascii="宋体" w:hAnsi="宋体" w:cs="宋体"/>
              </w:rPr>
            </w:pPr>
          </w:p>
        </w:tc>
      </w:tr>
      <w:tr w:rsidR="00EE4502">
        <w:trPr>
          <w:trHeight w:val="513"/>
          <w:jc w:val="center"/>
        </w:trPr>
        <w:tc>
          <w:tcPr>
            <w:tcW w:w="762" w:type="pct"/>
            <w:vAlign w:val="center"/>
          </w:tcPr>
          <w:p w:rsidR="00EE4502" w:rsidRDefault="00FD45A3">
            <w:pPr>
              <w:jc w:val="center"/>
            </w:pPr>
            <w:r>
              <w:t>注汽管线</w:t>
            </w:r>
          </w:p>
        </w:tc>
        <w:tc>
          <w:tcPr>
            <w:tcW w:w="634" w:type="pct"/>
            <w:vAlign w:val="center"/>
          </w:tcPr>
          <w:p w:rsidR="00EE4502" w:rsidRDefault="00FD45A3">
            <w:pPr>
              <w:widowControl/>
              <w:jc w:val="center"/>
              <w:textAlignment w:val="center"/>
              <w:rPr>
                <w:kern w:val="0"/>
                <w:lang w:bidi="ar"/>
              </w:rPr>
            </w:pPr>
            <w:r>
              <w:rPr>
                <w:rFonts w:hint="eastAsia"/>
                <w:kern w:val="0"/>
                <w:lang w:bidi="ar"/>
              </w:rPr>
              <w:t>0.3</w:t>
            </w:r>
            <w:r>
              <w:rPr>
                <w:kern w:val="0"/>
                <w:lang w:bidi="ar"/>
              </w:rPr>
              <w:t>km</w:t>
            </w:r>
          </w:p>
        </w:tc>
        <w:tc>
          <w:tcPr>
            <w:tcW w:w="668" w:type="pct"/>
            <w:vAlign w:val="center"/>
          </w:tcPr>
          <w:p w:rsidR="00EE4502" w:rsidRDefault="00FD45A3">
            <w:pPr>
              <w:widowControl/>
              <w:jc w:val="center"/>
              <w:textAlignment w:val="center"/>
              <w:rPr>
                <w:kern w:val="0"/>
                <w:lang w:bidi="ar"/>
              </w:rPr>
            </w:pPr>
            <w:r>
              <w:rPr>
                <w:kern w:val="0"/>
                <w:lang w:bidi="ar"/>
              </w:rPr>
              <w:t>伴生气</w:t>
            </w:r>
          </w:p>
        </w:tc>
        <w:tc>
          <w:tcPr>
            <w:tcW w:w="744" w:type="pct"/>
            <w:vAlign w:val="center"/>
          </w:tcPr>
          <w:p w:rsidR="00EE4502" w:rsidRDefault="00FD45A3">
            <w:pPr>
              <w:widowControl/>
              <w:jc w:val="center"/>
              <w:textAlignment w:val="center"/>
              <w:rPr>
                <w:kern w:val="0"/>
                <w:lang w:bidi="ar"/>
              </w:rPr>
            </w:pPr>
            <w:r>
              <w:rPr>
                <w:spacing w:val="-2"/>
              </w:rPr>
              <w:t>6</w:t>
            </w:r>
            <w:r>
              <w:rPr>
                <w:spacing w:val="-1"/>
              </w:rPr>
              <w:t>8476</w:t>
            </w:r>
            <w:r>
              <w:rPr>
                <w:spacing w:val="2"/>
              </w:rPr>
              <w:t>-85-</w:t>
            </w:r>
            <w:r>
              <w:rPr>
                <w:spacing w:val="1"/>
              </w:rPr>
              <w:t>7</w:t>
            </w:r>
          </w:p>
        </w:tc>
        <w:tc>
          <w:tcPr>
            <w:tcW w:w="649" w:type="pct"/>
            <w:vAlign w:val="center"/>
          </w:tcPr>
          <w:p w:rsidR="00EE4502" w:rsidRDefault="00FD45A3">
            <w:pPr>
              <w:widowControl/>
              <w:jc w:val="center"/>
              <w:textAlignment w:val="center"/>
              <w:rPr>
                <w:kern w:val="0"/>
                <w:lang w:bidi="ar"/>
              </w:rPr>
            </w:pPr>
            <w:r>
              <w:rPr>
                <w:kern w:val="0"/>
                <w:lang w:bidi="ar"/>
              </w:rPr>
              <w:t>0.2</w:t>
            </w:r>
          </w:p>
        </w:tc>
        <w:tc>
          <w:tcPr>
            <w:tcW w:w="436" w:type="pct"/>
            <w:vAlign w:val="center"/>
          </w:tcPr>
          <w:p w:rsidR="00EE4502" w:rsidRDefault="00FD45A3">
            <w:pPr>
              <w:widowControl/>
              <w:jc w:val="center"/>
              <w:textAlignment w:val="center"/>
              <w:rPr>
                <w:kern w:val="0"/>
                <w:lang w:bidi="ar"/>
              </w:rPr>
            </w:pPr>
            <w:r>
              <w:rPr>
                <w:kern w:val="0"/>
                <w:lang w:bidi="ar"/>
              </w:rPr>
              <w:t>10</w:t>
            </w:r>
          </w:p>
        </w:tc>
        <w:tc>
          <w:tcPr>
            <w:tcW w:w="563" w:type="pct"/>
            <w:vAlign w:val="center"/>
          </w:tcPr>
          <w:p w:rsidR="00EE4502" w:rsidRDefault="00FD45A3">
            <w:pPr>
              <w:widowControl/>
              <w:jc w:val="center"/>
              <w:textAlignment w:val="center"/>
              <w:rPr>
                <w:kern w:val="0"/>
                <w:lang w:bidi="ar"/>
              </w:rPr>
            </w:pPr>
            <w:r>
              <w:rPr>
                <w:kern w:val="0"/>
                <w:lang w:bidi="ar"/>
              </w:rPr>
              <w:t>0.02</w:t>
            </w:r>
          </w:p>
        </w:tc>
        <w:tc>
          <w:tcPr>
            <w:tcW w:w="541" w:type="pct"/>
            <w:vMerge/>
            <w:vAlign w:val="center"/>
          </w:tcPr>
          <w:p w:rsidR="00EE4502" w:rsidRDefault="00EE4502">
            <w:pPr>
              <w:widowControl/>
              <w:jc w:val="center"/>
              <w:textAlignment w:val="center"/>
              <w:rPr>
                <w:rFonts w:ascii="宋体" w:hAnsi="宋体" w:cs="宋体"/>
                <w:spacing w:val="-1"/>
              </w:rPr>
            </w:pPr>
          </w:p>
        </w:tc>
      </w:tr>
      <w:tr w:rsidR="00EE4502">
        <w:trPr>
          <w:trHeight w:val="513"/>
          <w:jc w:val="center"/>
        </w:trPr>
        <w:tc>
          <w:tcPr>
            <w:tcW w:w="762" w:type="pct"/>
            <w:vAlign w:val="center"/>
          </w:tcPr>
          <w:p w:rsidR="00EE4502" w:rsidRDefault="00FD45A3">
            <w:pPr>
              <w:jc w:val="center"/>
            </w:pPr>
            <w:r>
              <w:t>伴生</w:t>
            </w:r>
            <w:r>
              <w:t>气管线</w:t>
            </w:r>
          </w:p>
        </w:tc>
        <w:tc>
          <w:tcPr>
            <w:tcW w:w="634" w:type="pct"/>
            <w:vAlign w:val="center"/>
          </w:tcPr>
          <w:p w:rsidR="00EE4502" w:rsidRDefault="00FD45A3">
            <w:pPr>
              <w:widowControl/>
              <w:jc w:val="center"/>
              <w:textAlignment w:val="center"/>
              <w:rPr>
                <w:kern w:val="0"/>
                <w:lang w:bidi="ar"/>
              </w:rPr>
            </w:pPr>
            <w:r>
              <w:rPr>
                <w:kern w:val="0"/>
                <w:lang w:bidi="ar"/>
              </w:rPr>
              <w:t>1.2km</w:t>
            </w:r>
          </w:p>
        </w:tc>
        <w:tc>
          <w:tcPr>
            <w:tcW w:w="668" w:type="pct"/>
            <w:vAlign w:val="center"/>
          </w:tcPr>
          <w:p w:rsidR="00EE4502" w:rsidRDefault="00FD45A3">
            <w:pPr>
              <w:widowControl/>
              <w:jc w:val="center"/>
              <w:textAlignment w:val="center"/>
            </w:pPr>
            <w:r>
              <w:rPr>
                <w:kern w:val="0"/>
                <w:lang w:bidi="ar"/>
              </w:rPr>
              <w:t>伴生气</w:t>
            </w:r>
          </w:p>
        </w:tc>
        <w:tc>
          <w:tcPr>
            <w:tcW w:w="744" w:type="pct"/>
            <w:vAlign w:val="center"/>
          </w:tcPr>
          <w:p w:rsidR="00EE4502" w:rsidRDefault="00FD45A3">
            <w:pPr>
              <w:widowControl/>
              <w:jc w:val="center"/>
              <w:textAlignment w:val="center"/>
              <w:rPr>
                <w:kern w:val="0"/>
                <w:lang w:bidi="ar"/>
              </w:rPr>
            </w:pPr>
            <w:r>
              <w:rPr>
                <w:kern w:val="0"/>
                <w:lang w:bidi="ar"/>
              </w:rPr>
              <w:t>68476-85-7</w:t>
            </w:r>
          </w:p>
        </w:tc>
        <w:tc>
          <w:tcPr>
            <w:tcW w:w="649" w:type="pct"/>
            <w:vAlign w:val="center"/>
          </w:tcPr>
          <w:p w:rsidR="00EE4502" w:rsidRDefault="00FD45A3">
            <w:pPr>
              <w:widowControl/>
              <w:jc w:val="center"/>
              <w:textAlignment w:val="center"/>
              <w:rPr>
                <w:kern w:val="0"/>
                <w:lang w:bidi="ar"/>
              </w:rPr>
            </w:pPr>
            <w:r>
              <w:rPr>
                <w:kern w:val="0"/>
                <w:lang w:bidi="ar"/>
              </w:rPr>
              <w:t>0.44</w:t>
            </w:r>
          </w:p>
        </w:tc>
        <w:tc>
          <w:tcPr>
            <w:tcW w:w="436" w:type="pct"/>
            <w:vAlign w:val="center"/>
          </w:tcPr>
          <w:p w:rsidR="00EE4502" w:rsidRDefault="00FD45A3">
            <w:pPr>
              <w:widowControl/>
              <w:jc w:val="center"/>
              <w:textAlignment w:val="center"/>
              <w:rPr>
                <w:kern w:val="0"/>
                <w:lang w:bidi="ar"/>
              </w:rPr>
            </w:pPr>
            <w:r>
              <w:rPr>
                <w:kern w:val="0"/>
                <w:lang w:bidi="ar"/>
              </w:rPr>
              <w:t>10</w:t>
            </w:r>
          </w:p>
        </w:tc>
        <w:tc>
          <w:tcPr>
            <w:tcW w:w="563" w:type="pct"/>
            <w:vAlign w:val="center"/>
          </w:tcPr>
          <w:p w:rsidR="00EE4502" w:rsidRDefault="00FD45A3">
            <w:pPr>
              <w:widowControl/>
              <w:jc w:val="center"/>
              <w:textAlignment w:val="center"/>
              <w:rPr>
                <w:kern w:val="0"/>
                <w:lang w:bidi="ar"/>
              </w:rPr>
            </w:pPr>
            <w:r>
              <w:rPr>
                <w:kern w:val="0"/>
                <w:lang w:bidi="ar"/>
              </w:rPr>
              <w:t>0.</w:t>
            </w:r>
            <w:r>
              <w:rPr>
                <w:kern w:val="0"/>
                <w:lang w:bidi="ar"/>
              </w:rPr>
              <w:t>0.044</w:t>
            </w:r>
          </w:p>
        </w:tc>
        <w:tc>
          <w:tcPr>
            <w:tcW w:w="541" w:type="pct"/>
            <w:vMerge/>
            <w:vAlign w:val="center"/>
          </w:tcPr>
          <w:p w:rsidR="00EE4502" w:rsidRDefault="00EE4502">
            <w:pPr>
              <w:widowControl/>
              <w:jc w:val="center"/>
              <w:textAlignment w:val="center"/>
              <w:rPr>
                <w:rFonts w:ascii="宋体" w:hAnsi="宋体" w:cs="宋体"/>
                <w:spacing w:val="-1"/>
              </w:rPr>
            </w:pPr>
          </w:p>
        </w:tc>
      </w:tr>
    </w:tbl>
    <w:p w:rsidR="00EE4502" w:rsidRDefault="00FD45A3">
      <w:pPr>
        <w:spacing w:line="360" w:lineRule="auto"/>
        <w:ind w:firstLineChars="200" w:firstLine="480"/>
        <w:rPr>
          <w:sz w:val="24"/>
        </w:rPr>
      </w:pPr>
      <w:r>
        <w:rPr>
          <w:rFonts w:hint="eastAsia"/>
          <w:sz w:val="24"/>
        </w:rPr>
        <w:t>根据上表计算结果，本工程</w:t>
      </w:r>
      <w:r>
        <w:rPr>
          <w:rFonts w:hint="eastAsia"/>
          <w:sz w:val="24"/>
        </w:rPr>
        <w:t>Q=0.088</w:t>
      </w:r>
      <w:r>
        <w:rPr>
          <w:rFonts w:hint="eastAsia"/>
          <w:sz w:val="24"/>
        </w:rPr>
        <w:t>，</w:t>
      </w:r>
      <w:r>
        <w:rPr>
          <w:rFonts w:hint="eastAsia"/>
          <w:sz w:val="24"/>
        </w:rPr>
        <w:t>Q</w:t>
      </w:r>
      <w:r>
        <w:rPr>
          <w:rFonts w:hint="eastAsia"/>
          <w:sz w:val="24"/>
        </w:rPr>
        <w:t>＜</w:t>
      </w:r>
      <w:r>
        <w:rPr>
          <w:rFonts w:hint="eastAsia"/>
          <w:sz w:val="24"/>
        </w:rPr>
        <w:t>1</w:t>
      </w:r>
      <w:r>
        <w:rPr>
          <w:rFonts w:hint="eastAsia"/>
          <w:sz w:val="24"/>
        </w:rPr>
        <w:t>，判断项目风险潜势为Ⅰ，根据《建设项目环境风险评价技术导则》（</w:t>
      </w:r>
      <w:r>
        <w:rPr>
          <w:rFonts w:hint="eastAsia"/>
          <w:sz w:val="24"/>
        </w:rPr>
        <w:t>HJ 169-2018</w:t>
      </w:r>
      <w:r>
        <w:rPr>
          <w:rFonts w:hint="eastAsia"/>
          <w:sz w:val="24"/>
        </w:rPr>
        <w:t>）相关要求，本次评价仅对项目可能存在的环境风险进行简单分析</w:t>
      </w:r>
      <w:r>
        <w:rPr>
          <w:sz w:val="24"/>
        </w:rPr>
        <w:t>。</w:t>
      </w:r>
    </w:p>
    <w:p w:rsidR="00EE4502" w:rsidRDefault="00FD45A3">
      <w:pPr>
        <w:keepNext/>
        <w:keepLines/>
        <w:numPr>
          <w:ilvl w:val="2"/>
          <w:numId w:val="30"/>
        </w:numPr>
        <w:spacing w:line="360" w:lineRule="auto"/>
        <w:outlineLvl w:val="2"/>
        <w:rPr>
          <w:rFonts w:eastAsia="黑体"/>
          <w:sz w:val="24"/>
        </w:rPr>
      </w:pPr>
      <w:r>
        <w:rPr>
          <w:rFonts w:eastAsia="黑体" w:hint="eastAsia"/>
          <w:sz w:val="24"/>
        </w:rPr>
        <w:t>环境敏感目标概况</w:t>
      </w:r>
    </w:p>
    <w:p w:rsidR="00EE4502" w:rsidRDefault="00FD45A3">
      <w:pPr>
        <w:spacing w:line="360" w:lineRule="auto"/>
        <w:ind w:firstLineChars="200" w:firstLine="480"/>
      </w:pPr>
      <w:r>
        <w:rPr>
          <w:sz w:val="24"/>
        </w:rPr>
        <w:t>据现场调查，</w:t>
      </w:r>
      <w:r>
        <w:rPr>
          <w:rFonts w:hint="eastAsia"/>
          <w:sz w:val="24"/>
        </w:rPr>
        <w:t>本工程</w:t>
      </w:r>
      <w:r>
        <w:rPr>
          <w:sz w:val="24"/>
        </w:rPr>
        <w:t>环境敏感目标见表</w:t>
      </w:r>
      <w:r>
        <w:rPr>
          <w:rFonts w:hint="eastAsia"/>
          <w:sz w:val="24"/>
        </w:rPr>
        <w:t>2-8-2</w:t>
      </w:r>
      <w:r>
        <w:rPr>
          <w:sz w:val="24"/>
        </w:rPr>
        <w:t>。</w:t>
      </w:r>
    </w:p>
    <w:p w:rsidR="00EE4502" w:rsidRDefault="00FD45A3">
      <w:pPr>
        <w:keepNext/>
        <w:keepLines/>
        <w:numPr>
          <w:ilvl w:val="2"/>
          <w:numId w:val="30"/>
        </w:numPr>
        <w:spacing w:line="360" w:lineRule="auto"/>
        <w:outlineLvl w:val="2"/>
        <w:rPr>
          <w:rFonts w:eastAsia="黑体"/>
          <w:sz w:val="24"/>
        </w:rPr>
      </w:pPr>
      <w:r>
        <w:rPr>
          <w:rFonts w:eastAsia="黑体" w:hint="eastAsia"/>
          <w:sz w:val="24"/>
        </w:rPr>
        <w:t>环境风险识别</w:t>
      </w:r>
    </w:p>
    <w:p w:rsidR="00EE4502" w:rsidRDefault="00FD45A3">
      <w:pPr>
        <w:keepNext/>
        <w:keepLines/>
        <w:numPr>
          <w:ilvl w:val="3"/>
          <w:numId w:val="30"/>
        </w:numPr>
        <w:spacing w:line="360" w:lineRule="auto"/>
        <w:outlineLvl w:val="3"/>
        <w:rPr>
          <w:sz w:val="24"/>
        </w:rPr>
      </w:pPr>
      <w:r>
        <w:rPr>
          <w:rFonts w:hint="eastAsia"/>
          <w:sz w:val="24"/>
        </w:rPr>
        <w:t>危险物质风险识别</w:t>
      </w:r>
    </w:p>
    <w:p w:rsidR="00EE4502" w:rsidRDefault="00FD45A3">
      <w:pPr>
        <w:spacing w:line="360" w:lineRule="auto"/>
        <w:ind w:firstLineChars="200" w:firstLine="480"/>
        <w:rPr>
          <w:sz w:val="24"/>
        </w:rPr>
      </w:pPr>
      <w:r>
        <w:rPr>
          <w:rFonts w:hint="eastAsia"/>
          <w:sz w:val="24"/>
        </w:rPr>
        <w:t>（</w:t>
      </w:r>
      <w:r>
        <w:rPr>
          <w:rFonts w:hint="eastAsia"/>
          <w:sz w:val="24"/>
        </w:rPr>
        <w:t>1</w:t>
      </w:r>
      <w:r>
        <w:rPr>
          <w:rFonts w:hint="eastAsia"/>
          <w:sz w:val="24"/>
        </w:rPr>
        <w:t>）</w:t>
      </w:r>
      <w:r>
        <w:rPr>
          <w:rFonts w:hint="eastAsia"/>
          <w:sz w:val="24"/>
        </w:rPr>
        <w:t>本工程涉及的主要风险物质为原油、伴生气，原油存于集油管线内、伴生气存于注汽管线及伴生气管线。风险物质危险特性和分布见表</w:t>
      </w:r>
      <w:r>
        <w:rPr>
          <w:rFonts w:hint="eastAsia"/>
          <w:sz w:val="24"/>
        </w:rPr>
        <w:t>5-8-</w:t>
      </w:r>
      <w:r>
        <w:rPr>
          <w:rFonts w:hint="eastAsia"/>
          <w:sz w:val="24"/>
        </w:rPr>
        <w:t>2</w:t>
      </w:r>
      <w:r>
        <w:rPr>
          <w:sz w:val="24"/>
        </w:rPr>
        <w:t>。</w:t>
      </w:r>
    </w:p>
    <w:p w:rsidR="00EE4502" w:rsidRDefault="00FD45A3">
      <w:pPr>
        <w:spacing w:line="360" w:lineRule="auto"/>
        <w:jc w:val="center"/>
        <w:rPr>
          <w:rFonts w:eastAsia="黑体"/>
          <w:szCs w:val="21"/>
        </w:rPr>
      </w:pPr>
      <w:r>
        <w:rPr>
          <w:rFonts w:eastAsia="黑体" w:hint="eastAsia"/>
          <w:szCs w:val="21"/>
        </w:rPr>
        <w:t>表</w:t>
      </w:r>
      <w:r>
        <w:rPr>
          <w:rFonts w:eastAsia="黑体" w:hint="eastAsia"/>
          <w:szCs w:val="21"/>
        </w:rPr>
        <w:t>5-8-</w:t>
      </w:r>
      <w:r>
        <w:rPr>
          <w:rFonts w:eastAsia="黑体" w:hint="eastAsia"/>
          <w:szCs w:val="21"/>
        </w:rPr>
        <w:t>2</w:t>
      </w:r>
      <w:r>
        <w:rPr>
          <w:rFonts w:eastAsia="黑体"/>
          <w:szCs w:val="21"/>
        </w:rPr>
        <w:t xml:space="preserve">      </w:t>
      </w:r>
      <w:r>
        <w:rPr>
          <w:rFonts w:eastAsia="黑体"/>
          <w:szCs w:val="21"/>
        </w:rPr>
        <w:t>风险物质危险特性和分布一览表</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64"/>
        <w:gridCol w:w="2373"/>
        <w:gridCol w:w="1620"/>
        <w:gridCol w:w="3500"/>
      </w:tblGrid>
      <w:tr w:rsidR="00EE4502">
        <w:trPr>
          <w:trHeight w:val="340"/>
          <w:jc w:val="center"/>
        </w:trPr>
        <w:tc>
          <w:tcPr>
            <w:tcW w:w="517" w:type="pct"/>
            <w:vAlign w:val="center"/>
          </w:tcPr>
          <w:p w:rsidR="00EE4502" w:rsidRDefault="00FD45A3">
            <w:pPr>
              <w:jc w:val="center"/>
              <w:rPr>
                <w:szCs w:val="21"/>
              </w:rPr>
            </w:pPr>
            <w:r>
              <w:rPr>
                <w:szCs w:val="21"/>
              </w:rPr>
              <w:t>序号</w:t>
            </w:r>
          </w:p>
        </w:tc>
        <w:tc>
          <w:tcPr>
            <w:tcW w:w="1419" w:type="pct"/>
            <w:vAlign w:val="center"/>
          </w:tcPr>
          <w:p w:rsidR="00EE4502" w:rsidRDefault="00FD45A3">
            <w:pPr>
              <w:jc w:val="center"/>
              <w:rPr>
                <w:szCs w:val="21"/>
              </w:rPr>
            </w:pPr>
            <w:r>
              <w:rPr>
                <w:szCs w:val="21"/>
              </w:rPr>
              <w:t>危险物质名称</w:t>
            </w:r>
          </w:p>
        </w:tc>
        <w:tc>
          <w:tcPr>
            <w:tcW w:w="969" w:type="pct"/>
            <w:vAlign w:val="center"/>
          </w:tcPr>
          <w:p w:rsidR="00EE4502" w:rsidRDefault="00FD45A3">
            <w:pPr>
              <w:jc w:val="center"/>
              <w:rPr>
                <w:szCs w:val="21"/>
              </w:rPr>
            </w:pPr>
            <w:r>
              <w:rPr>
                <w:szCs w:val="21"/>
              </w:rPr>
              <w:t>危险特性</w:t>
            </w:r>
          </w:p>
        </w:tc>
        <w:tc>
          <w:tcPr>
            <w:tcW w:w="2093" w:type="pct"/>
            <w:vAlign w:val="center"/>
          </w:tcPr>
          <w:p w:rsidR="00EE4502" w:rsidRDefault="00FD45A3">
            <w:pPr>
              <w:jc w:val="center"/>
              <w:rPr>
                <w:szCs w:val="21"/>
              </w:rPr>
            </w:pPr>
            <w:r>
              <w:rPr>
                <w:szCs w:val="21"/>
              </w:rPr>
              <w:t>分布</w:t>
            </w:r>
          </w:p>
        </w:tc>
      </w:tr>
      <w:tr w:rsidR="00EE4502">
        <w:trPr>
          <w:trHeight w:val="340"/>
          <w:jc w:val="center"/>
        </w:trPr>
        <w:tc>
          <w:tcPr>
            <w:tcW w:w="517" w:type="pct"/>
            <w:vAlign w:val="center"/>
          </w:tcPr>
          <w:p w:rsidR="00EE4502" w:rsidRDefault="00FD45A3">
            <w:pPr>
              <w:jc w:val="center"/>
              <w:rPr>
                <w:szCs w:val="21"/>
              </w:rPr>
            </w:pPr>
            <w:r>
              <w:rPr>
                <w:szCs w:val="21"/>
              </w:rPr>
              <w:t>1</w:t>
            </w:r>
          </w:p>
        </w:tc>
        <w:tc>
          <w:tcPr>
            <w:tcW w:w="1419" w:type="pct"/>
            <w:vAlign w:val="center"/>
          </w:tcPr>
          <w:p w:rsidR="00EE4502" w:rsidRDefault="00FD45A3">
            <w:pPr>
              <w:jc w:val="center"/>
              <w:rPr>
                <w:szCs w:val="21"/>
              </w:rPr>
            </w:pPr>
            <w:r>
              <w:rPr>
                <w:szCs w:val="21"/>
              </w:rPr>
              <w:t>稠油</w:t>
            </w:r>
          </w:p>
        </w:tc>
        <w:tc>
          <w:tcPr>
            <w:tcW w:w="969" w:type="pct"/>
            <w:vAlign w:val="center"/>
          </w:tcPr>
          <w:p w:rsidR="00EE4502" w:rsidRDefault="00FD45A3">
            <w:pPr>
              <w:jc w:val="center"/>
              <w:rPr>
                <w:szCs w:val="21"/>
              </w:rPr>
            </w:pPr>
            <w:r>
              <w:rPr>
                <w:szCs w:val="21"/>
              </w:rPr>
              <w:t>可燃液体</w:t>
            </w:r>
          </w:p>
        </w:tc>
        <w:tc>
          <w:tcPr>
            <w:tcW w:w="2093" w:type="pct"/>
            <w:vAlign w:val="center"/>
          </w:tcPr>
          <w:p w:rsidR="00EE4502" w:rsidRDefault="00FD45A3">
            <w:pPr>
              <w:jc w:val="center"/>
              <w:rPr>
                <w:szCs w:val="21"/>
              </w:rPr>
            </w:pPr>
            <w:r>
              <w:rPr>
                <w:szCs w:val="21"/>
              </w:rPr>
              <w:t>集油管线</w:t>
            </w:r>
          </w:p>
        </w:tc>
      </w:tr>
      <w:tr w:rsidR="00EE4502">
        <w:trPr>
          <w:trHeight w:val="340"/>
          <w:jc w:val="center"/>
        </w:trPr>
        <w:tc>
          <w:tcPr>
            <w:tcW w:w="517" w:type="pct"/>
            <w:vAlign w:val="center"/>
          </w:tcPr>
          <w:p w:rsidR="00EE4502" w:rsidRDefault="00FD45A3">
            <w:pPr>
              <w:jc w:val="center"/>
              <w:rPr>
                <w:szCs w:val="21"/>
              </w:rPr>
            </w:pPr>
            <w:r>
              <w:rPr>
                <w:rFonts w:hint="eastAsia"/>
                <w:szCs w:val="21"/>
              </w:rPr>
              <w:t>2</w:t>
            </w:r>
          </w:p>
        </w:tc>
        <w:tc>
          <w:tcPr>
            <w:tcW w:w="1419" w:type="pct"/>
            <w:vAlign w:val="center"/>
          </w:tcPr>
          <w:p w:rsidR="00EE4502" w:rsidRDefault="00FD45A3">
            <w:pPr>
              <w:jc w:val="center"/>
              <w:rPr>
                <w:szCs w:val="21"/>
              </w:rPr>
            </w:pPr>
            <w:r>
              <w:rPr>
                <w:rFonts w:hint="eastAsia"/>
                <w:szCs w:val="21"/>
              </w:rPr>
              <w:t>伴生气</w:t>
            </w:r>
          </w:p>
        </w:tc>
        <w:tc>
          <w:tcPr>
            <w:tcW w:w="969" w:type="pct"/>
            <w:vAlign w:val="center"/>
          </w:tcPr>
          <w:p w:rsidR="00EE4502" w:rsidRDefault="00FD45A3">
            <w:pPr>
              <w:jc w:val="center"/>
              <w:rPr>
                <w:szCs w:val="21"/>
              </w:rPr>
            </w:pPr>
            <w:r>
              <w:rPr>
                <w:rFonts w:hint="eastAsia"/>
                <w:szCs w:val="21"/>
              </w:rPr>
              <w:t>可燃气体</w:t>
            </w:r>
          </w:p>
        </w:tc>
        <w:tc>
          <w:tcPr>
            <w:tcW w:w="2093" w:type="pct"/>
            <w:vAlign w:val="center"/>
          </w:tcPr>
          <w:p w:rsidR="00EE4502" w:rsidRDefault="00FD45A3">
            <w:pPr>
              <w:jc w:val="center"/>
              <w:rPr>
                <w:szCs w:val="21"/>
              </w:rPr>
            </w:pPr>
            <w:r>
              <w:rPr>
                <w:rFonts w:hint="eastAsia"/>
                <w:szCs w:val="21"/>
              </w:rPr>
              <w:t>注汽管线、伴生气管线</w:t>
            </w:r>
          </w:p>
        </w:tc>
      </w:tr>
    </w:tbl>
    <w:p w:rsidR="00EE4502" w:rsidRDefault="00FD45A3">
      <w:pPr>
        <w:spacing w:line="360" w:lineRule="auto"/>
        <w:ind w:rightChars="50" w:right="105" w:firstLineChars="200" w:firstLine="480"/>
        <w:rPr>
          <w:sz w:val="24"/>
        </w:rPr>
      </w:pPr>
      <w:r>
        <w:rPr>
          <w:rFonts w:hint="eastAsia"/>
          <w:sz w:val="24"/>
        </w:rPr>
        <w:t>①</w:t>
      </w:r>
      <w:r>
        <w:rPr>
          <w:rFonts w:hint="eastAsia"/>
          <w:sz w:val="24"/>
        </w:rPr>
        <w:t>原油</w:t>
      </w:r>
    </w:p>
    <w:p w:rsidR="00EE4502" w:rsidRDefault="00FD45A3">
      <w:pPr>
        <w:spacing w:line="360" w:lineRule="auto"/>
        <w:ind w:rightChars="50" w:right="105" w:firstLineChars="200" w:firstLine="480"/>
        <w:rPr>
          <w:sz w:val="24"/>
        </w:rPr>
      </w:pPr>
      <w:r>
        <w:rPr>
          <w:sz w:val="24"/>
        </w:rPr>
        <w:t>原油理化性质及危险危害特性详见表</w:t>
      </w:r>
      <w:r>
        <w:rPr>
          <w:rFonts w:hint="eastAsia"/>
          <w:sz w:val="24"/>
        </w:rPr>
        <w:t>5-8-</w:t>
      </w:r>
      <w:r>
        <w:rPr>
          <w:rFonts w:hint="eastAsia"/>
          <w:sz w:val="24"/>
        </w:rPr>
        <w:t>3</w:t>
      </w:r>
      <w:r>
        <w:rPr>
          <w:sz w:val="24"/>
        </w:rPr>
        <w:t>。</w:t>
      </w:r>
    </w:p>
    <w:p w:rsidR="00EE4502" w:rsidRDefault="00FD45A3">
      <w:pPr>
        <w:spacing w:line="360" w:lineRule="auto"/>
        <w:jc w:val="center"/>
        <w:rPr>
          <w:rFonts w:eastAsia="黑体"/>
          <w:szCs w:val="21"/>
        </w:rPr>
      </w:pPr>
      <w:r>
        <w:rPr>
          <w:rFonts w:eastAsia="黑体"/>
          <w:szCs w:val="21"/>
        </w:rPr>
        <w:t>表</w:t>
      </w:r>
      <w:r>
        <w:rPr>
          <w:rFonts w:eastAsia="黑体" w:hint="eastAsia"/>
          <w:szCs w:val="21"/>
        </w:rPr>
        <w:t>5-8-</w:t>
      </w:r>
      <w:r>
        <w:rPr>
          <w:rFonts w:eastAsia="黑体" w:hint="eastAsia"/>
          <w:szCs w:val="21"/>
        </w:rPr>
        <w:t>3</w:t>
      </w:r>
      <w:r>
        <w:rPr>
          <w:rFonts w:eastAsia="黑体"/>
          <w:szCs w:val="21"/>
        </w:rPr>
        <w:t xml:space="preserve">    </w:t>
      </w:r>
      <w:r>
        <w:rPr>
          <w:rFonts w:eastAsia="黑体"/>
          <w:szCs w:val="21"/>
        </w:rPr>
        <w:t>原油理化性质、危险危害特性及防护措施表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4A0" w:firstRow="1" w:lastRow="0" w:firstColumn="1" w:lastColumn="0" w:noHBand="0" w:noVBand="1"/>
      </w:tblPr>
      <w:tblGrid>
        <w:gridCol w:w="862"/>
        <w:gridCol w:w="1848"/>
        <w:gridCol w:w="1909"/>
        <w:gridCol w:w="1165"/>
        <w:gridCol w:w="2587"/>
      </w:tblGrid>
      <w:tr w:rsidR="00EE4502">
        <w:trPr>
          <w:trHeight w:val="340"/>
          <w:jc w:val="center"/>
        </w:trPr>
        <w:tc>
          <w:tcPr>
            <w:tcW w:w="514" w:type="pct"/>
            <w:vMerge w:val="restart"/>
            <w:vAlign w:val="center"/>
          </w:tcPr>
          <w:p w:rsidR="00EE4502" w:rsidRDefault="00FD45A3">
            <w:pPr>
              <w:topLinePunct/>
              <w:jc w:val="center"/>
              <w:rPr>
                <w:szCs w:val="21"/>
              </w:rPr>
            </w:pPr>
            <w:r>
              <w:rPr>
                <w:szCs w:val="21"/>
              </w:rPr>
              <w:t>化学品</w:t>
            </w:r>
          </w:p>
          <w:p w:rsidR="00EE4502" w:rsidRDefault="00FD45A3">
            <w:pPr>
              <w:topLinePunct/>
              <w:jc w:val="center"/>
              <w:rPr>
                <w:szCs w:val="21"/>
              </w:rPr>
            </w:pPr>
            <w:r>
              <w:rPr>
                <w:szCs w:val="21"/>
              </w:rPr>
              <w:t>名称</w:t>
            </w:r>
          </w:p>
        </w:tc>
        <w:tc>
          <w:tcPr>
            <w:tcW w:w="1104" w:type="pct"/>
            <w:tcMar>
              <w:top w:w="28" w:type="dxa"/>
              <w:left w:w="57" w:type="dxa"/>
              <w:bottom w:w="28" w:type="dxa"/>
              <w:right w:w="57" w:type="dxa"/>
            </w:tcMar>
            <w:vAlign w:val="center"/>
          </w:tcPr>
          <w:p w:rsidR="00EE4502" w:rsidRDefault="00FD45A3">
            <w:pPr>
              <w:topLinePunct/>
              <w:jc w:val="center"/>
              <w:rPr>
                <w:szCs w:val="21"/>
              </w:rPr>
            </w:pPr>
            <w:r>
              <w:rPr>
                <w:szCs w:val="21"/>
              </w:rPr>
              <w:t>化学品中文名称</w:t>
            </w:r>
          </w:p>
        </w:tc>
        <w:tc>
          <w:tcPr>
            <w:tcW w:w="3380" w:type="pct"/>
            <w:gridSpan w:val="3"/>
            <w:tcMar>
              <w:top w:w="0" w:type="dxa"/>
              <w:left w:w="57" w:type="dxa"/>
              <w:bottom w:w="0" w:type="dxa"/>
              <w:right w:w="57" w:type="dxa"/>
            </w:tcMar>
            <w:vAlign w:val="center"/>
          </w:tcPr>
          <w:p w:rsidR="00EE4502" w:rsidRDefault="00FD45A3">
            <w:pPr>
              <w:topLinePunct/>
              <w:jc w:val="center"/>
              <w:rPr>
                <w:szCs w:val="21"/>
              </w:rPr>
            </w:pPr>
            <w:r>
              <w:rPr>
                <w:szCs w:val="21"/>
              </w:rPr>
              <w:t>原油</w:t>
            </w:r>
          </w:p>
        </w:tc>
      </w:tr>
      <w:tr w:rsidR="00EE4502">
        <w:trPr>
          <w:trHeight w:val="340"/>
          <w:jc w:val="center"/>
        </w:trPr>
        <w:tc>
          <w:tcPr>
            <w:tcW w:w="514" w:type="pct"/>
            <w:vMerge/>
            <w:vAlign w:val="center"/>
          </w:tcPr>
          <w:p w:rsidR="00EE4502" w:rsidRDefault="00EE4502">
            <w:pPr>
              <w:jc w:val="center"/>
              <w:rPr>
                <w:szCs w:val="21"/>
              </w:rPr>
            </w:pPr>
          </w:p>
        </w:tc>
        <w:tc>
          <w:tcPr>
            <w:tcW w:w="1104" w:type="pct"/>
            <w:tcMar>
              <w:top w:w="28" w:type="dxa"/>
              <w:left w:w="57" w:type="dxa"/>
              <w:bottom w:w="28" w:type="dxa"/>
              <w:right w:w="57" w:type="dxa"/>
            </w:tcMar>
            <w:vAlign w:val="center"/>
          </w:tcPr>
          <w:p w:rsidR="00EE4502" w:rsidRDefault="00FD45A3">
            <w:pPr>
              <w:topLinePunct/>
              <w:jc w:val="center"/>
              <w:rPr>
                <w:szCs w:val="21"/>
              </w:rPr>
            </w:pPr>
            <w:r>
              <w:rPr>
                <w:szCs w:val="21"/>
              </w:rPr>
              <w:t>化学品英文名称</w:t>
            </w:r>
          </w:p>
        </w:tc>
        <w:tc>
          <w:tcPr>
            <w:tcW w:w="3380" w:type="pct"/>
            <w:gridSpan w:val="3"/>
            <w:tcMar>
              <w:top w:w="0" w:type="dxa"/>
              <w:left w:w="57" w:type="dxa"/>
              <w:bottom w:w="0" w:type="dxa"/>
              <w:right w:w="57" w:type="dxa"/>
            </w:tcMar>
            <w:vAlign w:val="center"/>
          </w:tcPr>
          <w:p w:rsidR="00EE4502" w:rsidRDefault="00FD45A3">
            <w:pPr>
              <w:topLinePunct/>
              <w:jc w:val="center"/>
              <w:rPr>
                <w:szCs w:val="21"/>
              </w:rPr>
            </w:pPr>
            <w:r>
              <w:rPr>
                <w:szCs w:val="21"/>
              </w:rPr>
              <w:t>Grudl oil</w:t>
            </w:r>
          </w:p>
        </w:tc>
      </w:tr>
      <w:tr w:rsidR="00EE4502">
        <w:trPr>
          <w:trHeight w:val="340"/>
          <w:jc w:val="center"/>
        </w:trPr>
        <w:tc>
          <w:tcPr>
            <w:tcW w:w="514" w:type="pct"/>
            <w:vAlign w:val="center"/>
          </w:tcPr>
          <w:p w:rsidR="00EE4502" w:rsidRDefault="00FD45A3">
            <w:pPr>
              <w:topLinePunct/>
              <w:jc w:val="center"/>
              <w:rPr>
                <w:szCs w:val="21"/>
              </w:rPr>
            </w:pPr>
            <w:r>
              <w:rPr>
                <w:szCs w:val="21"/>
              </w:rPr>
              <w:t>组成</w:t>
            </w:r>
            <w:r>
              <w:rPr>
                <w:szCs w:val="21"/>
              </w:rPr>
              <w:t>/</w:t>
            </w:r>
            <w:r>
              <w:rPr>
                <w:szCs w:val="21"/>
              </w:rPr>
              <w:t>组分信息</w:t>
            </w:r>
          </w:p>
        </w:tc>
        <w:tc>
          <w:tcPr>
            <w:tcW w:w="4485" w:type="pct"/>
            <w:gridSpan w:val="4"/>
            <w:tcMar>
              <w:top w:w="28" w:type="dxa"/>
              <w:left w:w="57" w:type="dxa"/>
              <w:bottom w:w="28" w:type="dxa"/>
              <w:right w:w="57" w:type="dxa"/>
            </w:tcMar>
            <w:vAlign w:val="center"/>
          </w:tcPr>
          <w:p w:rsidR="00EE4502" w:rsidRDefault="00FD45A3">
            <w:pPr>
              <w:topLinePunct/>
              <w:jc w:val="left"/>
              <w:rPr>
                <w:szCs w:val="21"/>
              </w:rPr>
            </w:pPr>
            <w:r>
              <w:rPr>
                <w:szCs w:val="21"/>
              </w:rPr>
              <w:t>烷烃、环烷烃、芳香烃和烯烃等多种液态烃的混合物。主要成分是碳和氢两种元素，分别占</w:t>
            </w:r>
            <w:r>
              <w:rPr>
                <w:szCs w:val="21"/>
              </w:rPr>
              <w:t>83~87%</w:t>
            </w:r>
            <w:r>
              <w:rPr>
                <w:szCs w:val="21"/>
              </w:rPr>
              <w:t>和</w:t>
            </w:r>
            <w:r>
              <w:rPr>
                <w:szCs w:val="21"/>
              </w:rPr>
              <w:t>11~14%</w:t>
            </w:r>
            <w:r>
              <w:rPr>
                <w:szCs w:val="21"/>
              </w:rPr>
              <w:t>；还有少量的硫、氧、氮和微量的磷、砷、钾、钠、钙、镁、镍、铁、钒等元素。</w:t>
            </w:r>
          </w:p>
        </w:tc>
      </w:tr>
      <w:tr w:rsidR="00EE4502">
        <w:trPr>
          <w:trHeight w:val="340"/>
          <w:jc w:val="center"/>
        </w:trPr>
        <w:tc>
          <w:tcPr>
            <w:tcW w:w="514" w:type="pct"/>
            <w:tcMar>
              <w:top w:w="28" w:type="dxa"/>
              <w:left w:w="57" w:type="dxa"/>
              <w:bottom w:w="28" w:type="dxa"/>
              <w:right w:w="57" w:type="dxa"/>
            </w:tcMar>
            <w:vAlign w:val="center"/>
          </w:tcPr>
          <w:p w:rsidR="00EE4502" w:rsidRDefault="00FD45A3">
            <w:pPr>
              <w:topLinePunct/>
              <w:jc w:val="center"/>
              <w:rPr>
                <w:szCs w:val="21"/>
              </w:rPr>
            </w:pPr>
            <w:r>
              <w:rPr>
                <w:szCs w:val="21"/>
              </w:rPr>
              <w:t>危险</w:t>
            </w:r>
          </w:p>
          <w:p w:rsidR="00EE4502" w:rsidRDefault="00FD45A3">
            <w:pPr>
              <w:topLinePunct/>
              <w:jc w:val="center"/>
              <w:rPr>
                <w:szCs w:val="21"/>
              </w:rPr>
            </w:pPr>
            <w:r>
              <w:rPr>
                <w:szCs w:val="21"/>
              </w:rPr>
              <w:t>特性</w:t>
            </w:r>
          </w:p>
        </w:tc>
        <w:tc>
          <w:tcPr>
            <w:tcW w:w="4485" w:type="pct"/>
            <w:gridSpan w:val="4"/>
            <w:tcMar>
              <w:top w:w="28" w:type="dxa"/>
              <w:left w:w="11" w:type="dxa"/>
              <w:bottom w:w="28" w:type="dxa"/>
              <w:right w:w="11" w:type="dxa"/>
            </w:tcMar>
            <w:vAlign w:val="center"/>
          </w:tcPr>
          <w:p w:rsidR="00EE4502" w:rsidRDefault="00FD45A3">
            <w:pPr>
              <w:topLinePunct/>
              <w:jc w:val="left"/>
              <w:rPr>
                <w:szCs w:val="21"/>
              </w:rPr>
            </w:pPr>
            <w:r>
              <w:rPr>
                <w:szCs w:val="21"/>
              </w:rPr>
              <w:t>危险性类别：第</w:t>
            </w:r>
            <w:r>
              <w:rPr>
                <w:szCs w:val="21"/>
              </w:rPr>
              <w:t>3.2</w:t>
            </w:r>
            <w:r>
              <w:rPr>
                <w:szCs w:val="21"/>
              </w:rPr>
              <w:t>类中闪点液体。侵入途径：吸入、食入、经皮吸收。健康危害：液体有强烈刺激性。食入可引起恶心、疼痛和呕吐，引起黏膜水肿和溃疡症状，包括口腔和咽喉灼烧感；较大的剂量可引起恶心、呕吐、麻醉、无力、头晕、呼吸表浅、腹痛、抽搐和意识丧失；可引起心律失常、室颤和心电图改变；可发生中枢神经系统抑制。眼睛接触本品可引起刺激，长期接触引起炎症。皮肤长期或持续接触液体可引起脱脂，伴随干燥、破裂、刺激和皮炎。蒸气对上呼吸道有刺激性。高温时吸入伤害加重。吸入高浓度蒸气的急性影响是肺部刺激症状，包括咳嗽伴有恶心；</w:t>
            </w:r>
            <w:r>
              <w:rPr>
                <w:szCs w:val="21"/>
              </w:rPr>
              <w:lastRenderedPageBreak/>
              <w:t>中</w:t>
            </w:r>
            <w:r>
              <w:rPr>
                <w:szCs w:val="21"/>
              </w:rPr>
              <w:t>枢神经抑制表现为头痛、头晕、兴奋、视力模糊、反应迟钝、疲乏和共济失调。长时间暴露于高浓度蒸气中可导致麻醉、神志不清，甚至昏迷和死亡。吸入高浓度的油雾可引起油性肺炎。慢性影响：长时间接触可引起支气管炎和肺水肿。长期皮肤接触可造成皮肤干燥、皲裂和发红。影响神经系统、骨髓机能等。环境危害：造成大气，河流，湖泊，海洋，土壤等污染。燃爆危险：易燃。遇到高热，火星或火苗极易引起燃烧爆炸。</w:t>
            </w:r>
          </w:p>
        </w:tc>
      </w:tr>
      <w:tr w:rsidR="00EE4502">
        <w:trPr>
          <w:trHeight w:val="340"/>
          <w:jc w:val="center"/>
        </w:trPr>
        <w:tc>
          <w:tcPr>
            <w:tcW w:w="514" w:type="pct"/>
            <w:tcMar>
              <w:top w:w="28" w:type="dxa"/>
              <w:left w:w="57" w:type="dxa"/>
              <w:bottom w:w="28" w:type="dxa"/>
              <w:right w:w="57" w:type="dxa"/>
            </w:tcMar>
            <w:vAlign w:val="center"/>
          </w:tcPr>
          <w:p w:rsidR="00EE4502" w:rsidRDefault="00FD45A3">
            <w:pPr>
              <w:topLinePunct/>
              <w:jc w:val="center"/>
              <w:rPr>
                <w:szCs w:val="21"/>
              </w:rPr>
            </w:pPr>
            <w:r>
              <w:rPr>
                <w:szCs w:val="21"/>
              </w:rPr>
              <w:lastRenderedPageBreak/>
              <w:t>急救</w:t>
            </w:r>
          </w:p>
          <w:p w:rsidR="00EE4502" w:rsidRDefault="00FD45A3">
            <w:pPr>
              <w:topLinePunct/>
              <w:jc w:val="center"/>
              <w:rPr>
                <w:szCs w:val="21"/>
              </w:rPr>
            </w:pPr>
            <w:r>
              <w:rPr>
                <w:szCs w:val="21"/>
              </w:rPr>
              <w:t>措施</w:t>
            </w:r>
          </w:p>
        </w:tc>
        <w:tc>
          <w:tcPr>
            <w:tcW w:w="4485" w:type="pct"/>
            <w:gridSpan w:val="4"/>
            <w:tcMar>
              <w:top w:w="28" w:type="dxa"/>
              <w:left w:w="11" w:type="dxa"/>
              <w:bottom w:w="28" w:type="dxa"/>
              <w:right w:w="11" w:type="dxa"/>
            </w:tcMar>
            <w:vAlign w:val="center"/>
          </w:tcPr>
          <w:p w:rsidR="00EE4502" w:rsidRDefault="00FD45A3">
            <w:pPr>
              <w:topLinePunct/>
              <w:jc w:val="left"/>
              <w:rPr>
                <w:szCs w:val="21"/>
              </w:rPr>
            </w:pPr>
            <w:r>
              <w:rPr>
                <w:szCs w:val="21"/>
              </w:rPr>
              <w:t>皮肤接触：立即脱去污染的衣着，用肥皂水和清水彻底冲洗皮肤。如有不适感，就医。</w:t>
            </w:r>
          </w:p>
          <w:p w:rsidR="00EE4502" w:rsidRDefault="00FD45A3">
            <w:pPr>
              <w:topLinePunct/>
              <w:jc w:val="left"/>
              <w:rPr>
                <w:szCs w:val="21"/>
              </w:rPr>
            </w:pPr>
            <w:r>
              <w:rPr>
                <w:szCs w:val="21"/>
              </w:rPr>
              <w:t>眼睛接触：立即提起眼睑，用大量流动清水或生理盐水冲洗。如有不适感，就医。眼睛受伤后，应由专业人员取出隐形眼镜。</w:t>
            </w:r>
          </w:p>
          <w:p w:rsidR="00EE4502" w:rsidRDefault="00FD45A3">
            <w:pPr>
              <w:topLinePunct/>
              <w:jc w:val="left"/>
              <w:rPr>
                <w:szCs w:val="21"/>
              </w:rPr>
            </w:pPr>
            <w:r>
              <w:rPr>
                <w:szCs w:val="21"/>
              </w:rPr>
              <w:t>吸入：迅速脱离现场至空气新鲜处。静卧、保暖。开始急救前，取出假牙等，防止阻塞气道。保持呼吸道通畅。如呼吸困难，给输氧。呼吸、心跳停止，立即进行心肺复苏术。就医。</w:t>
            </w:r>
          </w:p>
          <w:p w:rsidR="00EE4502" w:rsidRDefault="00FD45A3">
            <w:pPr>
              <w:topLinePunct/>
              <w:jc w:val="left"/>
              <w:rPr>
                <w:szCs w:val="21"/>
              </w:rPr>
            </w:pPr>
            <w:r>
              <w:rPr>
                <w:szCs w:val="21"/>
              </w:rPr>
              <w:t>食入：饮水，禁止催吐。保持呼吸道通畅，防止吸入呕吐物。禁止给嗜睡症状或知觉降低即正在失去知觉的病人服用液体。如有不适感，就医。</w:t>
            </w:r>
          </w:p>
        </w:tc>
      </w:tr>
      <w:tr w:rsidR="00EE4502">
        <w:trPr>
          <w:trHeight w:val="340"/>
          <w:jc w:val="center"/>
        </w:trPr>
        <w:tc>
          <w:tcPr>
            <w:tcW w:w="514" w:type="pct"/>
            <w:tcMar>
              <w:top w:w="28" w:type="dxa"/>
              <w:left w:w="57" w:type="dxa"/>
              <w:bottom w:w="28" w:type="dxa"/>
              <w:right w:w="57" w:type="dxa"/>
            </w:tcMar>
            <w:vAlign w:val="center"/>
          </w:tcPr>
          <w:p w:rsidR="00EE4502" w:rsidRDefault="00FD45A3">
            <w:pPr>
              <w:topLinePunct/>
              <w:jc w:val="center"/>
              <w:rPr>
                <w:szCs w:val="21"/>
              </w:rPr>
            </w:pPr>
            <w:r>
              <w:rPr>
                <w:szCs w:val="21"/>
              </w:rPr>
              <w:t>消防</w:t>
            </w:r>
          </w:p>
          <w:p w:rsidR="00EE4502" w:rsidRDefault="00FD45A3">
            <w:pPr>
              <w:topLinePunct/>
              <w:jc w:val="center"/>
              <w:rPr>
                <w:szCs w:val="21"/>
              </w:rPr>
            </w:pPr>
            <w:r>
              <w:rPr>
                <w:szCs w:val="21"/>
              </w:rPr>
              <w:t>措施</w:t>
            </w:r>
          </w:p>
        </w:tc>
        <w:tc>
          <w:tcPr>
            <w:tcW w:w="4485" w:type="pct"/>
            <w:gridSpan w:val="4"/>
            <w:tcMar>
              <w:top w:w="28" w:type="dxa"/>
              <w:left w:w="11" w:type="dxa"/>
              <w:bottom w:w="28" w:type="dxa"/>
              <w:right w:w="11" w:type="dxa"/>
            </w:tcMar>
            <w:vAlign w:val="center"/>
          </w:tcPr>
          <w:p w:rsidR="00EE4502" w:rsidRDefault="00FD45A3">
            <w:pPr>
              <w:topLinePunct/>
              <w:jc w:val="left"/>
              <w:rPr>
                <w:szCs w:val="21"/>
              </w:rPr>
            </w:pPr>
            <w:r>
              <w:rPr>
                <w:szCs w:val="21"/>
              </w:rPr>
              <w:t>危险特性：易燃，其蒸气与空气可形成爆炸性混合物，遇明火、高热极易燃烧爆炸。与氧化剂能发生强烈反应</w:t>
            </w:r>
            <w:r>
              <w:rPr>
                <w:szCs w:val="21"/>
              </w:rPr>
              <w:t>。流速过快，容易产生和积聚静电。其蒸气比空气重，沿地面扩散并易积存于低洼处，遇火源会着火回燃。</w:t>
            </w:r>
          </w:p>
          <w:p w:rsidR="00EE4502" w:rsidRDefault="00FD45A3">
            <w:pPr>
              <w:topLinePunct/>
              <w:jc w:val="left"/>
              <w:rPr>
                <w:szCs w:val="21"/>
              </w:rPr>
            </w:pPr>
            <w:r>
              <w:rPr>
                <w:szCs w:val="21"/>
              </w:rPr>
              <w:t>有害燃烧产物：一氧化碳、二氧化碳。</w:t>
            </w:r>
          </w:p>
          <w:p w:rsidR="00EE4502" w:rsidRDefault="00FD45A3">
            <w:pPr>
              <w:topLinePunct/>
              <w:jc w:val="left"/>
              <w:rPr>
                <w:szCs w:val="21"/>
              </w:rPr>
            </w:pPr>
            <w:r>
              <w:rPr>
                <w:szCs w:val="21"/>
              </w:rPr>
              <w:t>灭火方法：用泡沫、干粉、二氧化碳、砂土灭火。</w:t>
            </w:r>
          </w:p>
        </w:tc>
      </w:tr>
      <w:tr w:rsidR="00EE4502">
        <w:trPr>
          <w:trHeight w:val="340"/>
          <w:jc w:val="center"/>
        </w:trPr>
        <w:tc>
          <w:tcPr>
            <w:tcW w:w="514" w:type="pct"/>
            <w:tcMar>
              <w:top w:w="28" w:type="dxa"/>
              <w:left w:w="57" w:type="dxa"/>
              <w:bottom w:w="28" w:type="dxa"/>
              <w:right w:w="57" w:type="dxa"/>
            </w:tcMar>
            <w:vAlign w:val="center"/>
          </w:tcPr>
          <w:p w:rsidR="00EE4502" w:rsidRDefault="00FD45A3">
            <w:pPr>
              <w:topLinePunct/>
              <w:jc w:val="center"/>
              <w:rPr>
                <w:szCs w:val="21"/>
              </w:rPr>
            </w:pPr>
            <w:r>
              <w:rPr>
                <w:szCs w:val="21"/>
              </w:rPr>
              <w:t>泄漏应急处理</w:t>
            </w:r>
          </w:p>
        </w:tc>
        <w:tc>
          <w:tcPr>
            <w:tcW w:w="4485" w:type="pct"/>
            <w:gridSpan w:val="4"/>
            <w:tcMar>
              <w:top w:w="28" w:type="dxa"/>
              <w:left w:w="11" w:type="dxa"/>
              <w:bottom w:w="28" w:type="dxa"/>
              <w:right w:w="11" w:type="dxa"/>
            </w:tcMar>
            <w:vAlign w:val="center"/>
          </w:tcPr>
          <w:p w:rsidR="00EE4502" w:rsidRDefault="00FD45A3">
            <w:pPr>
              <w:topLinePunct/>
              <w:jc w:val="left"/>
              <w:rPr>
                <w:szCs w:val="21"/>
              </w:rPr>
            </w:pPr>
            <w:r>
              <w:rPr>
                <w:szCs w:val="21"/>
              </w:rPr>
              <w:t>消除所有点火源。根据液体流动和蒸气扩散的影响区域划定警戒区，无关人员从侧风、上风向撤离至安全区。建议应急处理人员戴正压自给式呼吸器，穿防静电服。作业时使用的所有设备应接地。禁止接触或跨越泄漏物。尽可能切断泄漏源。防止泄漏物进入水体、下水道、地下室或限制性空间。小量</w:t>
            </w:r>
            <w:r>
              <w:rPr>
                <w:rFonts w:hint="eastAsia"/>
                <w:szCs w:val="21"/>
              </w:rPr>
              <w:t>泄漏</w:t>
            </w:r>
            <w:r>
              <w:rPr>
                <w:szCs w:val="21"/>
              </w:rPr>
              <w:t>：用砂土或其他不燃材料吸收。使用洁净的无火花工具收</w:t>
            </w:r>
            <w:r>
              <w:rPr>
                <w:szCs w:val="21"/>
              </w:rPr>
              <w:t>集吸收材料。大量</w:t>
            </w:r>
            <w:r>
              <w:rPr>
                <w:rFonts w:hint="eastAsia"/>
                <w:szCs w:val="21"/>
              </w:rPr>
              <w:t>泄漏</w:t>
            </w:r>
            <w:r>
              <w:rPr>
                <w:szCs w:val="21"/>
              </w:rPr>
              <w:t>：构筑围堤或挖坑收容。用泡沫覆盖，减少蒸发。喷水雾能减少蒸发，但不能降低泄漏物在限制性空间内的易燃性。用防爆泵转移至槽车或专用收集器内。</w:t>
            </w:r>
          </w:p>
        </w:tc>
      </w:tr>
      <w:tr w:rsidR="00EE4502">
        <w:trPr>
          <w:trHeight w:val="340"/>
          <w:jc w:val="center"/>
        </w:trPr>
        <w:tc>
          <w:tcPr>
            <w:tcW w:w="514" w:type="pct"/>
            <w:tcMar>
              <w:top w:w="28" w:type="dxa"/>
              <w:left w:w="57" w:type="dxa"/>
              <w:bottom w:w="28" w:type="dxa"/>
              <w:right w:w="57" w:type="dxa"/>
            </w:tcMar>
            <w:vAlign w:val="center"/>
          </w:tcPr>
          <w:p w:rsidR="00EE4502" w:rsidRDefault="00FD45A3">
            <w:pPr>
              <w:topLinePunct/>
              <w:jc w:val="center"/>
              <w:rPr>
                <w:szCs w:val="21"/>
              </w:rPr>
            </w:pPr>
            <w:r>
              <w:rPr>
                <w:szCs w:val="21"/>
              </w:rPr>
              <w:t>操作处置与储存</w:t>
            </w:r>
          </w:p>
        </w:tc>
        <w:tc>
          <w:tcPr>
            <w:tcW w:w="4485" w:type="pct"/>
            <w:gridSpan w:val="4"/>
            <w:tcMar>
              <w:top w:w="28" w:type="dxa"/>
              <w:left w:w="11" w:type="dxa"/>
              <w:bottom w:w="28" w:type="dxa"/>
              <w:right w:w="11" w:type="dxa"/>
            </w:tcMar>
            <w:vAlign w:val="center"/>
          </w:tcPr>
          <w:p w:rsidR="00EE4502" w:rsidRDefault="00FD45A3">
            <w:pPr>
              <w:topLinePunct/>
              <w:jc w:val="left"/>
              <w:rPr>
                <w:szCs w:val="21"/>
              </w:rPr>
            </w:pPr>
            <w:r>
              <w:rPr>
                <w:szCs w:val="21"/>
              </w:rPr>
              <w:t>操作注意事项：密闭操作，注意通风。操作人员必须经过专门培训，严格遵守操作规程。建议操作人员佩戴过滤式防毒面具，穿防静电工作服。远离火种、热源。工作场所严禁吸烟。使用防爆型的通风系统和设备。防止蒸气泄漏到工作场所空气中。避免与氧化剂接触。灌装时应控制流速，且有接地装置，防止静电积聚。在清除液体和蒸气前不能进行焊接、切割等作业。搬运时要轻装轻卸，防止包装及容器损坏。配备相应品种和数量的消防器材和</w:t>
            </w:r>
            <w:r>
              <w:rPr>
                <w:rFonts w:hint="eastAsia"/>
                <w:szCs w:val="21"/>
              </w:rPr>
              <w:t>泄漏</w:t>
            </w:r>
            <w:r>
              <w:rPr>
                <w:szCs w:val="21"/>
              </w:rPr>
              <w:t>应急处理设备。倒空的容器可能残留有害物。</w:t>
            </w:r>
          </w:p>
          <w:p w:rsidR="00EE4502" w:rsidRDefault="00FD45A3">
            <w:pPr>
              <w:topLinePunct/>
              <w:jc w:val="left"/>
              <w:rPr>
                <w:szCs w:val="21"/>
              </w:rPr>
            </w:pPr>
            <w:r>
              <w:rPr>
                <w:szCs w:val="21"/>
              </w:rPr>
              <w:t>储存注意事项：储存于阴凉、通风的库房。远离火种、热源。库温不宜超过</w:t>
            </w:r>
            <w:r>
              <w:rPr>
                <w:szCs w:val="21"/>
              </w:rPr>
              <w:t>30℃</w:t>
            </w:r>
            <w:r>
              <w:rPr>
                <w:szCs w:val="21"/>
              </w:rPr>
              <w:t>，保持容器密封。应与氧化剂分开存放，切忌混储。采用防爆型照明、通风设备。禁止使用易产生火花的机械设备和工具。储区应备有</w:t>
            </w:r>
            <w:r>
              <w:rPr>
                <w:rFonts w:hint="eastAsia"/>
                <w:szCs w:val="21"/>
              </w:rPr>
              <w:t>泄漏</w:t>
            </w:r>
            <w:r>
              <w:rPr>
                <w:szCs w:val="21"/>
              </w:rPr>
              <w:t>应急处理设备和合适的收容材料。</w:t>
            </w:r>
          </w:p>
        </w:tc>
      </w:tr>
      <w:tr w:rsidR="00EE4502">
        <w:trPr>
          <w:trHeight w:val="340"/>
          <w:jc w:val="center"/>
        </w:trPr>
        <w:tc>
          <w:tcPr>
            <w:tcW w:w="514" w:type="pct"/>
            <w:tcMar>
              <w:top w:w="28" w:type="dxa"/>
              <w:left w:w="57" w:type="dxa"/>
              <w:bottom w:w="28" w:type="dxa"/>
              <w:right w:w="57" w:type="dxa"/>
            </w:tcMar>
            <w:vAlign w:val="center"/>
          </w:tcPr>
          <w:p w:rsidR="00EE4502" w:rsidRDefault="00FD45A3">
            <w:pPr>
              <w:topLinePunct/>
              <w:jc w:val="center"/>
              <w:rPr>
                <w:szCs w:val="21"/>
              </w:rPr>
            </w:pPr>
            <w:r>
              <w:rPr>
                <w:szCs w:val="21"/>
              </w:rPr>
              <w:t>接触控制</w:t>
            </w:r>
            <w:r>
              <w:rPr>
                <w:szCs w:val="21"/>
              </w:rPr>
              <w:t>/</w:t>
            </w:r>
            <w:r>
              <w:rPr>
                <w:szCs w:val="21"/>
              </w:rPr>
              <w:t>个体防护</w:t>
            </w:r>
          </w:p>
        </w:tc>
        <w:tc>
          <w:tcPr>
            <w:tcW w:w="4485" w:type="pct"/>
            <w:gridSpan w:val="4"/>
            <w:tcMar>
              <w:top w:w="28" w:type="dxa"/>
              <w:left w:w="11" w:type="dxa"/>
              <w:bottom w:w="28" w:type="dxa"/>
              <w:right w:w="11" w:type="dxa"/>
            </w:tcMar>
            <w:vAlign w:val="center"/>
          </w:tcPr>
          <w:p w:rsidR="00EE4502" w:rsidRDefault="00FD45A3">
            <w:pPr>
              <w:topLinePunct/>
              <w:jc w:val="left"/>
              <w:rPr>
                <w:szCs w:val="21"/>
              </w:rPr>
            </w:pPr>
            <w:r>
              <w:rPr>
                <w:szCs w:val="21"/>
              </w:rPr>
              <w:t>工程控制：工作现场严禁吸烟，避免长期反复接触，进入罐、限制性空间或其他区作业，须有人监护。</w:t>
            </w:r>
          </w:p>
          <w:p w:rsidR="00EE4502" w:rsidRDefault="00FD45A3">
            <w:pPr>
              <w:topLinePunct/>
              <w:jc w:val="left"/>
              <w:rPr>
                <w:szCs w:val="21"/>
              </w:rPr>
            </w:pPr>
            <w:r>
              <w:rPr>
                <w:szCs w:val="21"/>
              </w:rPr>
              <w:t>呼吸系统防护：一般不需要特殊防护，高浓度接触时可佩戴过滤式防毒面具（半面罩）。</w:t>
            </w:r>
          </w:p>
          <w:p w:rsidR="00EE4502" w:rsidRDefault="00FD45A3">
            <w:pPr>
              <w:topLinePunct/>
              <w:jc w:val="left"/>
              <w:rPr>
                <w:szCs w:val="21"/>
              </w:rPr>
            </w:pPr>
            <w:r>
              <w:rPr>
                <w:szCs w:val="21"/>
              </w:rPr>
              <w:t>眼睛防护：一般不需要特殊防护，但建议在特殊情况下，戴化学安全防护眼镜。</w:t>
            </w:r>
          </w:p>
          <w:p w:rsidR="00EE4502" w:rsidRDefault="00FD45A3">
            <w:pPr>
              <w:topLinePunct/>
              <w:jc w:val="left"/>
              <w:rPr>
                <w:szCs w:val="21"/>
              </w:rPr>
            </w:pPr>
            <w:r>
              <w:rPr>
                <w:szCs w:val="21"/>
              </w:rPr>
              <w:t>身体防护：穿防静电工作服。</w:t>
            </w:r>
          </w:p>
          <w:p w:rsidR="00EE4502" w:rsidRDefault="00FD45A3">
            <w:pPr>
              <w:topLinePunct/>
              <w:jc w:val="left"/>
              <w:rPr>
                <w:szCs w:val="21"/>
              </w:rPr>
            </w:pPr>
            <w:r>
              <w:rPr>
                <w:szCs w:val="21"/>
              </w:rPr>
              <w:t>工程控制：生产过程密闭，加强通风。提供安全淋浴和洗眼设备。</w:t>
            </w:r>
          </w:p>
          <w:p w:rsidR="00EE4502" w:rsidRDefault="00FD45A3">
            <w:pPr>
              <w:topLinePunct/>
              <w:jc w:val="left"/>
              <w:rPr>
                <w:szCs w:val="21"/>
              </w:rPr>
            </w:pPr>
            <w:r>
              <w:rPr>
                <w:szCs w:val="21"/>
              </w:rPr>
              <w:t>手防</w:t>
            </w:r>
            <w:r>
              <w:rPr>
                <w:szCs w:val="21"/>
              </w:rPr>
              <w:t>护：戴一般作业防护手套。</w:t>
            </w:r>
          </w:p>
          <w:p w:rsidR="00EE4502" w:rsidRDefault="00FD45A3">
            <w:pPr>
              <w:topLinePunct/>
              <w:jc w:val="left"/>
              <w:rPr>
                <w:szCs w:val="21"/>
              </w:rPr>
            </w:pPr>
            <w:r>
              <w:rPr>
                <w:szCs w:val="21"/>
              </w:rPr>
              <w:t>其他防护：工作现场禁止吸烟、进食和饮水。工作完毕，淋浴更衣。</w:t>
            </w:r>
          </w:p>
        </w:tc>
      </w:tr>
      <w:tr w:rsidR="00EE4502">
        <w:trPr>
          <w:trHeight w:val="340"/>
          <w:jc w:val="center"/>
        </w:trPr>
        <w:tc>
          <w:tcPr>
            <w:tcW w:w="514" w:type="pct"/>
            <w:vMerge w:val="restart"/>
            <w:tcMar>
              <w:top w:w="28" w:type="dxa"/>
              <w:left w:w="57" w:type="dxa"/>
              <w:bottom w:w="28" w:type="dxa"/>
              <w:right w:w="57" w:type="dxa"/>
            </w:tcMar>
            <w:vAlign w:val="center"/>
          </w:tcPr>
          <w:p w:rsidR="00EE4502" w:rsidRDefault="00FD45A3">
            <w:pPr>
              <w:topLinePunct/>
              <w:jc w:val="center"/>
              <w:rPr>
                <w:szCs w:val="21"/>
              </w:rPr>
            </w:pPr>
            <w:r>
              <w:rPr>
                <w:szCs w:val="21"/>
              </w:rPr>
              <w:t>理化</w:t>
            </w:r>
          </w:p>
          <w:p w:rsidR="00EE4502" w:rsidRDefault="00FD45A3">
            <w:pPr>
              <w:topLinePunct/>
              <w:jc w:val="center"/>
              <w:rPr>
                <w:szCs w:val="21"/>
              </w:rPr>
            </w:pPr>
            <w:r>
              <w:rPr>
                <w:szCs w:val="21"/>
              </w:rPr>
              <w:t>特性</w:t>
            </w:r>
          </w:p>
        </w:tc>
        <w:tc>
          <w:tcPr>
            <w:tcW w:w="1104" w:type="pct"/>
            <w:tcMar>
              <w:top w:w="28" w:type="dxa"/>
              <w:left w:w="11" w:type="dxa"/>
              <w:bottom w:w="28" w:type="dxa"/>
              <w:right w:w="11" w:type="dxa"/>
            </w:tcMar>
            <w:vAlign w:val="center"/>
          </w:tcPr>
          <w:p w:rsidR="00EE4502" w:rsidRDefault="00FD45A3">
            <w:pPr>
              <w:topLinePunct/>
              <w:jc w:val="center"/>
              <w:rPr>
                <w:szCs w:val="21"/>
              </w:rPr>
            </w:pPr>
            <w:r>
              <w:rPr>
                <w:szCs w:val="21"/>
              </w:rPr>
              <w:t>外观与性状</w:t>
            </w:r>
          </w:p>
        </w:tc>
        <w:tc>
          <w:tcPr>
            <w:tcW w:w="1140" w:type="pct"/>
            <w:vAlign w:val="center"/>
          </w:tcPr>
          <w:p w:rsidR="00EE4502" w:rsidRDefault="00FD45A3">
            <w:pPr>
              <w:topLinePunct/>
              <w:jc w:val="center"/>
              <w:rPr>
                <w:szCs w:val="21"/>
              </w:rPr>
            </w:pPr>
            <w:r>
              <w:rPr>
                <w:szCs w:val="21"/>
              </w:rPr>
              <w:t>黑色的可燃性黏稠液体</w:t>
            </w:r>
          </w:p>
        </w:tc>
        <w:tc>
          <w:tcPr>
            <w:tcW w:w="696" w:type="pct"/>
            <w:vAlign w:val="center"/>
          </w:tcPr>
          <w:p w:rsidR="00EE4502" w:rsidRDefault="00FD45A3">
            <w:pPr>
              <w:topLinePunct/>
              <w:jc w:val="center"/>
              <w:rPr>
                <w:szCs w:val="21"/>
              </w:rPr>
            </w:pPr>
            <w:r>
              <w:rPr>
                <w:szCs w:val="21"/>
              </w:rPr>
              <w:t>蒸气压</w:t>
            </w:r>
          </w:p>
        </w:tc>
        <w:tc>
          <w:tcPr>
            <w:tcW w:w="1543" w:type="pct"/>
            <w:vAlign w:val="center"/>
          </w:tcPr>
          <w:p w:rsidR="00EE4502" w:rsidRDefault="00FD45A3">
            <w:pPr>
              <w:topLinePunct/>
              <w:jc w:val="center"/>
              <w:rPr>
                <w:szCs w:val="21"/>
              </w:rPr>
            </w:pPr>
            <w:r>
              <w:rPr>
                <w:szCs w:val="21"/>
              </w:rPr>
              <w:t>无资料</w:t>
            </w:r>
          </w:p>
        </w:tc>
      </w:tr>
      <w:tr w:rsidR="00EE4502">
        <w:trPr>
          <w:trHeight w:val="340"/>
          <w:jc w:val="center"/>
        </w:trPr>
        <w:tc>
          <w:tcPr>
            <w:tcW w:w="514" w:type="pct"/>
            <w:vMerge/>
            <w:vAlign w:val="center"/>
          </w:tcPr>
          <w:p w:rsidR="00EE4502" w:rsidRDefault="00EE4502">
            <w:pPr>
              <w:jc w:val="center"/>
              <w:rPr>
                <w:szCs w:val="21"/>
              </w:rPr>
            </w:pPr>
          </w:p>
        </w:tc>
        <w:tc>
          <w:tcPr>
            <w:tcW w:w="1104" w:type="pct"/>
            <w:tcMar>
              <w:top w:w="28" w:type="dxa"/>
              <w:left w:w="11" w:type="dxa"/>
              <w:bottom w:w="28" w:type="dxa"/>
              <w:right w:w="11" w:type="dxa"/>
            </w:tcMar>
            <w:vAlign w:val="center"/>
          </w:tcPr>
          <w:p w:rsidR="00EE4502" w:rsidRDefault="00FD45A3">
            <w:pPr>
              <w:topLinePunct/>
              <w:jc w:val="center"/>
              <w:rPr>
                <w:szCs w:val="21"/>
              </w:rPr>
            </w:pPr>
            <w:r>
              <w:rPr>
                <w:szCs w:val="21"/>
              </w:rPr>
              <w:t>沸点</w:t>
            </w:r>
          </w:p>
        </w:tc>
        <w:tc>
          <w:tcPr>
            <w:tcW w:w="1140" w:type="pct"/>
            <w:vAlign w:val="center"/>
          </w:tcPr>
          <w:p w:rsidR="00EE4502" w:rsidRDefault="00FD45A3">
            <w:pPr>
              <w:topLinePunct/>
              <w:jc w:val="center"/>
              <w:rPr>
                <w:szCs w:val="21"/>
              </w:rPr>
            </w:pPr>
            <w:r>
              <w:rPr>
                <w:szCs w:val="21"/>
              </w:rPr>
              <w:t>自常温至</w:t>
            </w:r>
            <w:r>
              <w:rPr>
                <w:szCs w:val="21"/>
              </w:rPr>
              <w:t>500℃</w:t>
            </w:r>
            <w:r>
              <w:rPr>
                <w:szCs w:val="21"/>
              </w:rPr>
              <w:t>以上</w:t>
            </w:r>
          </w:p>
        </w:tc>
        <w:tc>
          <w:tcPr>
            <w:tcW w:w="696" w:type="pct"/>
            <w:vAlign w:val="center"/>
          </w:tcPr>
          <w:p w:rsidR="00EE4502" w:rsidRDefault="00FD45A3">
            <w:pPr>
              <w:topLinePunct/>
              <w:jc w:val="center"/>
              <w:rPr>
                <w:szCs w:val="21"/>
              </w:rPr>
            </w:pPr>
            <w:r>
              <w:rPr>
                <w:szCs w:val="21"/>
              </w:rPr>
              <w:t>闪点</w:t>
            </w:r>
          </w:p>
        </w:tc>
        <w:tc>
          <w:tcPr>
            <w:tcW w:w="1543" w:type="pct"/>
            <w:vAlign w:val="center"/>
          </w:tcPr>
          <w:p w:rsidR="00EE4502" w:rsidRDefault="00FD45A3">
            <w:pPr>
              <w:topLinePunct/>
              <w:jc w:val="center"/>
              <w:rPr>
                <w:szCs w:val="21"/>
              </w:rPr>
            </w:pPr>
            <w:r>
              <w:rPr>
                <w:szCs w:val="21"/>
              </w:rPr>
              <w:t>-6~155℃</w:t>
            </w:r>
          </w:p>
        </w:tc>
      </w:tr>
      <w:tr w:rsidR="00EE4502">
        <w:trPr>
          <w:trHeight w:val="340"/>
          <w:jc w:val="center"/>
        </w:trPr>
        <w:tc>
          <w:tcPr>
            <w:tcW w:w="514" w:type="pct"/>
            <w:vMerge/>
            <w:vAlign w:val="center"/>
          </w:tcPr>
          <w:p w:rsidR="00EE4502" w:rsidRDefault="00EE4502">
            <w:pPr>
              <w:jc w:val="center"/>
              <w:rPr>
                <w:szCs w:val="21"/>
              </w:rPr>
            </w:pPr>
          </w:p>
        </w:tc>
        <w:tc>
          <w:tcPr>
            <w:tcW w:w="1104" w:type="pct"/>
            <w:tcMar>
              <w:top w:w="28" w:type="dxa"/>
              <w:left w:w="11" w:type="dxa"/>
              <w:bottom w:w="28" w:type="dxa"/>
              <w:right w:w="11" w:type="dxa"/>
            </w:tcMar>
            <w:vAlign w:val="center"/>
          </w:tcPr>
          <w:p w:rsidR="00EE4502" w:rsidRDefault="00FD45A3">
            <w:pPr>
              <w:topLinePunct/>
              <w:jc w:val="center"/>
              <w:rPr>
                <w:szCs w:val="21"/>
              </w:rPr>
            </w:pPr>
            <w:r>
              <w:rPr>
                <w:szCs w:val="21"/>
              </w:rPr>
              <w:t>熔点</w:t>
            </w:r>
          </w:p>
        </w:tc>
        <w:tc>
          <w:tcPr>
            <w:tcW w:w="1140" w:type="pct"/>
            <w:vAlign w:val="center"/>
          </w:tcPr>
          <w:p w:rsidR="00EE4502" w:rsidRDefault="00FD45A3">
            <w:pPr>
              <w:topLinePunct/>
              <w:jc w:val="center"/>
              <w:rPr>
                <w:szCs w:val="21"/>
              </w:rPr>
            </w:pPr>
            <w:r>
              <w:rPr>
                <w:szCs w:val="21"/>
              </w:rPr>
              <w:t>-60℃</w:t>
            </w:r>
          </w:p>
        </w:tc>
        <w:tc>
          <w:tcPr>
            <w:tcW w:w="696" w:type="pct"/>
            <w:vAlign w:val="center"/>
          </w:tcPr>
          <w:p w:rsidR="00EE4502" w:rsidRDefault="00FD45A3">
            <w:pPr>
              <w:topLinePunct/>
              <w:jc w:val="center"/>
              <w:rPr>
                <w:szCs w:val="21"/>
              </w:rPr>
            </w:pPr>
            <w:r>
              <w:rPr>
                <w:szCs w:val="21"/>
              </w:rPr>
              <w:t>溶解性</w:t>
            </w:r>
          </w:p>
        </w:tc>
        <w:tc>
          <w:tcPr>
            <w:tcW w:w="1543" w:type="pct"/>
            <w:vAlign w:val="center"/>
          </w:tcPr>
          <w:p w:rsidR="00EE4502" w:rsidRDefault="00FD45A3">
            <w:pPr>
              <w:topLinePunct/>
              <w:jc w:val="center"/>
              <w:rPr>
                <w:szCs w:val="21"/>
              </w:rPr>
            </w:pPr>
            <w:r>
              <w:rPr>
                <w:szCs w:val="21"/>
              </w:rPr>
              <w:t>不溶于水，溶于苯、乙醚、三氯甲烷、四氯化碳等有机溶剂</w:t>
            </w:r>
          </w:p>
        </w:tc>
      </w:tr>
      <w:tr w:rsidR="00EE4502">
        <w:trPr>
          <w:trHeight w:val="340"/>
          <w:jc w:val="center"/>
        </w:trPr>
        <w:tc>
          <w:tcPr>
            <w:tcW w:w="514" w:type="pct"/>
            <w:vMerge/>
            <w:vAlign w:val="center"/>
          </w:tcPr>
          <w:p w:rsidR="00EE4502" w:rsidRDefault="00EE4502">
            <w:pPr>
              <w:jc w:val="center"/>
              <w:rPr>
                <w:szCs w:val="21"/>
              </w:rPr>
            </w:pPr>
          </w:p>
        </w:tc>
        <w:tc>
          <w:tcPr>
            <w:tcW w:w="1104" w:type="pct"/>
            <w:tcMar>
              <w:top w:w="28" w:type="dxa"/>
              <w:left w:w="11" w:type="dxa"/>
              <w:bottom w:w="28" w:type="dxa"/>
              <w:right w:w="11" w:type="dxa"/>
            </w:tcMar>
            <w:vAlign w:val="center"/>
          </w:tcPr>
          <w:p w:rsidR="00EE4502" w:rsidRDefault="00FD45A3">
            <w:pPr>
              <w:topLinePunct/>
              <w:jc w:val="center"/>
              <w:rPr>
                <w:szCs w:val="21"/>
              </w:rPr>
            </w:pPr>
            <w:r>
              <w:rPr>
                <w:szCs w:val="21"/>
              </w:rPr>
              <w:t>密度</w:t>
            </w:r>
          </w:p>
        </w:tc>
        <w:tc>
          <w:tcPr>
            <w:tcW w:w="1140" w:type="pct"/>
            <w:vAlign w:val="center"/>
          </w:tcPr>
          <w:p w:rsidR="00EE4502" w:rsidRDefault="00FD45A3">
            <w:pPr>
              <w:topLinePunct/>
              <w:jc w:val="center"/>
              <w:rPr>
                <w:szCs w:val="21"/>
              </w:rPr>
            </w:pPr>
            <w:r>
              <w:rPr>
                <w:szCs w:val="21"/>
              </w:rPr>
              <w:t>相对密度（水</w:t>
            </w:r>
            <w:r>
              <w:rPr>
                <w:szCs w:val="21"/>
              </w:rPr>
              <w:t>=1</w:t>
            </w:r>
            <w:r>
              <w:rPr>
                <w:szCs w:val="21"/>
              </w:rPr>
              <w:t>）</w:t>
            </w:r>
            <w:r>
              <w:rPr>
                <w:szCs w:val="21"/>
              </w:rPr>
              <w:t>0.7365-1.0724 g/c</w:t>
            </w:r>
            <w:r>
              <w:rPr>
                <w:rFonts w:hint="eastAsia"/>
                <w:szCs w:val="21"/>
              </w:rPr>
              <w:t>m</w:t>
            </w:r>
            <w:r>
              <w:rPr>
                <w:rFonts w:hint="eastAsia"/>
                <w:szCs w:val="21"/>
              </w:rPr>
              <w:t>³</w:t>
            </w:r>
          </w:p>
        </w:tc>
        <w:tc>
          <w:tcPr>
            <w:tcW w:w="696" w:type="pct"/>
            <w:vAlign w:val="center"/>
          </w:tcPr>
          <w:p w:rsidR="00EE4502" w:rsidRDefault="00FD45A3">
            <w:pPr>
              <w:topLinePunct/>
              <w:jc w:val="center"/>
              <w:rPr>
                <w:szCs w:val="21"/>
              </w:rPr>
            </w:pPr>
            <w:r>
              <w:rPr>
                <w:szCs w:val="21"/>
              </w:rPr>
              <w:t>稳定性</w:t>
            </w:r>
          </w:p>
        </w:tc>
        <w:tc>
          <w:tcPr>
            <w:tcW w:w="1543" w:type="pct"/>
            <w:vAlign w:val="center"/>
          </w:tcPr>
          <w:p w:rsidR="00EE4502" w:rsidRDefault="00FD45A3">
            <w:pPr>
              <w:topLinePunct/>
              <w:jc w:val="center"/>
              <w:rPr>
                <w:szCs w:val="21"/>
              </w:rPr>
            </w:pPr>
            <w:r>
              <w:rPr>
                <w:szCs w:val="21"/>
              </w:rPr>
              <w:t>稳定</w:t>
            </w:r>
          </w:p>
        </w:tc>
      </w:tr>
      <w:tr w:rsidR="00EE4502">
        <w:trPr>
          <w:trHeight w:val="340"/>
          <w:jc w:val="center"/>
        </w:trPr>
        <w:tc>
          <w:tcPr>
            <w:tcW w:w="514" w:type="pct"/>
            <w:vMerge/>
            <w:vAlign w:val="center"/>
          </w:tcPr>
          <w:p w:rsidR="00EE4502" w:rsidRDefault="00EE4502">
            <w:pPr>
              <w:jc w:val="center"/>
              <w:rPr>
                <w:szCs w:val="21"/>
              </w:rPr>
            </w:pPr>
          </w:p>
        </w:tc>
        <w:tc>
          <w:tcPr>
            <w:tcW w:w="1104" w:type="pct"/>
            <w:tcMar>
              <w:top w:w="28" w:type="dxa"/>
              <w:left w:w="11" w:type="dxa"/>
              <w:bottom w:w="28" w:type="dxa"/>
              <w:right w:w="11" w:type="dxa"/>
            </w:tcMar>
            <w:vAlign w:val="center"/>
          </w:tcPr>
          <w:p w:rsidR="00EE4502" w:rsidRDefault="00FD45A3">
            <w:pPr>
              <w:topLinePunct/>
              <w:jc w:val="center"/>
              <w:rPr>
                <w:szCs w:val="21"/>
              </w:rPr>
            </w:pPr>
            <w:r>
              <w:rPr>
                <w:szCs w:val="21"/>
              </w:rPr>
              <w:t>爆炸极限</w:t>
            </w:r>
          </w:p>
        </w:tc>
        <w:tc>
          <w:tcPr>
            <w:tcW w:w="1140" w:type="pct"/>
            <w:vAlign w:val="center"/>
          </w:tcPr>
          <w:p w:rsidR="00EE4502" w:rsidRDefault="00FD45A3">
            <w:pPr>
              <w:topLinePunct/>
              <w:jc w:val="center"/>
              <w:rPr>
                <w:szCs w:val="21"/>
              </w:rPr>
            </w:pPr>
            <w:r>
              <w:rPr>
                <w:szCs w:val="21"/>
              </w:rPr>
              <w:t>1.1%~8.7%</w:t>
            </w:r>
            <w:r>
              <w:rPr>
                <w:szCs w:val="21"/>
              </w:rPr>
              <w:t>（</w:t>
            </w:r>
            <w:r>
              <w:rPr>
                <w:szCs w:val="21"/>
              </w:rPr>
              <w:t>V%</w:t>
            </w:r>
            <w:r>
              <w:rPr>
                <w:rFonts w:hint="eastAsia"/>
                <w:szCs w:val="21"/>
              </w:rPr>
              <w:t>)</w:t>
            </w:r>
          </w:p>
        </w:tc>
        <w:tc>
          <w:tcPr>
            <w:tcW w:w="696" w:type="pct"/>
            <w:vAlign w:val="center"/>
          </w:tcPr>
          <w:p w:rsidR="00EE4502" w:rsidRDefault="00FD45A3">
            <w:pPr>
              <w:topLinePunct/>
              <w:jc w:val="center"/>
              <w:rPr>
                <w:szCs w:val="21"/>
              </w:rPr>
            </w:pPr>
            <w:r>
              <w:rPr>
                <w:szCs w:val="21"/>
              </w:rPr>
              <w:t>自燃温度</w:t>
            </w:r>
          </w:p>
        </w:tc>
        <w:tc>
          <w:tcPr>
            <w:tcW w:w="1543" w:type="pct"/>
            <w:vAlign w:val="center"/>
          </w:tcPr>
          <w:p w:rsidR="00EE4502" w:rsidRDefault="00FD45A3">
            <w:pPr>
              <w:topLinePunct/>
              <w:jc w:val="center"/>
              <w:rPr>
                <w:szCs w:val="21"/>
              </w:rPr>
            </w:pPr>
            <w:r>
              <w:rPr>
                <w:szCs w:val="21"/>
              </w:rPr>
              <w:t>280℃~380℃</w:t>
            </w:r>
          </w:p>
        </w:tc>
      </w:tr>
      <w:tr w:rsidR="00EE4502">
        <w:trPr>
          <w:trHeight w:val="340"/>
          <w:jc w:val="center"/>
        </w:trPr>
        <w:tc>
          <w:tcPr>
            <w:tcW w:w="514" w:type="pct"/>
            <w:tcMar>
              <w:top w:w="28" w:type="dxa"/>
              <w:left w:w="57" w:type="dxa"/>
              <w:bottom w:w="28" w:type="dxa"/>
              <w:right w:w="57" w:type="dxa"/>
            </w:tcMar>
            <w:vAlign w:val="center"/>
          </w:tcPr>
          <w:p w:rsidR="00EE4502" w:rsidRDefault="00FD45A3">
            <w:pPr>
              <w:topLinePunct/>
              <w:jc w:val="center"/>
              <w:rPr>
                <w:szCs w:val="21"/>
              </w:rPr>
            </w:pPr>
            <w:r>
              <w:rPr>
                <w:szCs w:val="21"/>
              </w:rPr>
              <w:t>稳定性和反应活性</w:t>
            </w:r>
          </w:p>
        </w:tc>
        <w:tc>
          <w:tcPr>
            <w:tcW w:w="4485" w:type="pct"/>
            <w:gridSpan w:val="4"/>
            <w:tcMar>
              <w:top w:w="28" w:type="dxa"/>
              <w:left w:w="11" w:type="dxa"/>
              <w:bottom w:w="28" w:type="dxa"/>
              <w:right w:w="11" w:type="dxa"/>
            </w:tcMar>
            <w:vAlign w:val="center"/>
          </w:tcPr>
          <w:p w:rsidR="00EE4502" w:rsidRDefault="00FD45A3">
            <w:pPr>
              <w:topLinePunct/>
              <w:jc w:val="left"/>
              <w:rPr>
                <w:szCs w:val="21"/>
              </w:rPr>
            </w:pPr>
            <w:r>
              <w:rPr>
                <w:szCs w:val="21"/>
              </w:rPr>
              <w:t>稳定性：稳定。</w:t>
            </w:r>
          </w:p>
          <w:p w:rsidR="00EE4502" w:rsidRDefault="00FD45A3">
            <w:pPr>
              <w:topLinePunct/>
              <w:jc w:val="left"/>
              <w:rPr>
                <w:szCs w:val="21"/>
              </w:rPr>
            </w:pPr>
            <w:r>
              <w:rPr>
                <w:szCs w:val="21"/>
              </w:rPr>
              <w:t>禁配物：氧化剂。</w:t>
            </w:r>
          </w:p>
          <w:p w:rsidR="00EE4502" w:rsidRDefault="00FD45A3">
            <w:pPr>
              <w:topLinePunct/>
              <w:jc w:val="left"/>
              <w:rPr>
                <w:szCs w:val="21"/>
              </w:rPr>
            </w:pPr>
            <w:r>
              <w:rPr>
                <w:szCs w:val="21"/>
              </w:rPr>
              <w:t>避免接触的条件：高热，火源和不相容物质。</w:t>
            </w:r>
          </w:p>
          <w:p w:rsidR="00EE4502" w:rsidRDefault="00FD45A3">
            <w:pPr>
              <w:topLinePunct/>
              <w:jc w:val="left"/>
              <w:rPr>
                <w:szCs w:val="21"/>
              </w:rPr>
            </w:pPr>
            <w:r>
              <w:rPr>
                <w:szCs w:val="21"/>
              </w:rPr>
              <w:t>聚合危害：不聚合。</w:t>
            </w:r>
          </w:p>
          <w:p w:rsidR="00EE4502" w:rsidRDefault="00FD45A3">
            <w:pPr>
              <w:topLinePunct/>
              <w:jc w:val="left"/>
              <w:rPr>
                <w:szCs w:val="21"/>
              </w:rPr>
            </w:pPr>
            <w:r>
              <w:rPr>
                <w:szCs w:val="21"/>
              </w:rPr>
              <w:t>分解产物：一氧化碳、二氧化碳、氮氧化物、硫氧化物等有毒烟雾。</w:t>
            </w:r>
          </w:p>
        </w:tc>
      </w:tr>
      <w:tr w:rsidR="00EE4502">
        <w:trPr>
          <w:trHeight w:val="340"/>
          <w:jc w:val="center"/>
        </w:trPr>
        <w:tc>
          <w:tcPr>
            <w:tcW w:w="514" w:type="pct"/>
            <w:tcMar>
              <w:top w:w="28" w:type="dxa"/>
              <w:left w:w="57" w:type="dxa"/>
              <w:bottom w:w="28" w:type="dxa"/>
              <w:right w:w="57" w:type="dxa"/>
            </w:tcMar>
            <w:vAlign w:val="center"/>
          </w:tcPr>
          <w:p w:rsidR="00EE4502" w:rsidRDefault="00FD45A3">
            <w:pPr>
              <w:topLinePunct/>
              <w:jc w:val="center"/>
              <w:rPr>
                <w:szCs w:val="21"/>
              </w:rPr>
            </w:pPr>
            <w:r>
              <w:rPr>
                <w:szCs w:val="21"/>
              </w:rPr>
              <w:t>毒理学</w:t>
            </w:r>
          </w:p>
          <w:p w:rsidR="00EE4502" w:rsidRDefault="00FD45A3">
            <w:pPr>
              <w:topLinePunct/>
              <w:jc w:val="center"/>
              <w:rPr>
                <w:szCs w:val="21"/>
              </w:rPr>
            </w:pPr>
            <w:r>
              <w:rPr>
                <w:szCs w:val="21"/>
              </w:rPr>
              <w:t>资料</w:t>
            </w:r>
          </w:p>
        </w:tc>
        <w:tc>
          <w:tcPr>
            <w:tcW w:w="4485" w:type="pct"/>
            <w:gridSpan w:val="4"/>
            <w:tcMar>
              <w:top w:w="28" w:type="dxa"/>
              <w:left w:w="11" w:type="dxa"/>
              <w:bottom w:w="28" w:type="dxa"/>
              <w:right w:w="11" w:type="dxa"/>
            </w:tcMar>
            <w:vAlign w:val="center"/>
          </w:tcPr>
          <w:p w:rsidR="00EE4502" w:rsidRDefault="00FD45A3">
            <w:pPr>
              <w:topLinePunct/>
              <w:jc w:val="left"/>
              <w:rPr>
                <w:szCs w:val="21"/>
              </w:rPr>
            </w:pPr>
            <w:r>
              <w:rPr>
                <w:szCs w:val="21"/>
              </w:rPr>
              <w:t>有毒。原油中芳香烃以及杂原子化合物具有一定的毒性。</w:t>
            </w:r>
          </w:p>
          <w:p w:rsidR="00EE4502" w:rsidRDefault="00FD45A3">
            <w:pPr>
              <w:topLinePunct/>
              <w:jc w:val="left"/>
              <w:rPr>
                <w:szCs w:val="21"/>
              </w:rPr>
            </w:pPr>
            <w:r>
              <w:rPr>
                <w:szCs w:val="21"/>
              </w:rPr>
              <w:t>LD50</w:t>
            </w:r>
            <w:r>
              <w:rPr>
                <w:szCs w:val="21"/>
              </w:rPr>
              <w:t>：</w:t>
            </w:r>
            <w:r>
              <w:rPr>
                <w:szCs w:val="21"/>
              </w:rPr>
              <w:t>&gt;4300mg/kg</w:t>
            </w:r>
            <w:r>
              <w:rPr>
                <w:szCs w:val="21"/>
              </w:rPr>
              <w:t>（大鼠经口）</w:t>
            </w:r>
          </w:p>
          <w:p w:rsidR="00EE4502" w:rsidRDefault="00FD45A3">
            <w:pPr>
              <w:topLinePunct/>
              <w:jc w:val="left"/>
              <w:rPr>
                <w:szCs w:val="21"/>
              </w:rPr>
            </w:pPr>
            <w:r>
              <w:rPr>
                <w:szCs w:val="21"/>
              </w:rPr>
              <w:t>LC50</w:t>
            </w:r>
            <w:r>
              <w:rPr>
                <w:szCs w:val="21"/>
              </w:rPr>
              <w:t>：无资料</w:t>
            </w:r>
          </w:p>
        </w:tc>
      </w:tr>
      <w:tr w:rsidR="00EE4502">
        <w:trPr>
          <w:trHeight w:val="340"/>
          <w:jc w:val="center"/>
        </w:trPr>
        <w:tc>
          <w:tcPr>
            <w:tcW w:w="514" w:type="pct"/>
            <w:tcMar>
              <w:top w:w="28" w:type="dxa"/>
              <w:left w:w="57" w:type="dxa"/>
              <w:bottom w:w="28" w:type="dxa"/>
              <w:right w:w="57" w:type="dxa"/>
            </w:tcMar>
            <w:vAlign w:val="center"/>
          </w:tcPr>
          <w:p w:rsidR="00EE4502" w:rsidRDefault="00FD45A3">
            <w:pPr>
              <w:topLinePunct/>
              <w:jc w:val="center"/>
              <w:rPr>
                <w:szCs w:val="21"/>
              </w:rPr>
            </w:pPr>
            <w:r>
              <w:rPr>
                <w:szCs w:val="21"/>
              </w:rPr>
              <w:t>生态学资料</w:t>
            </w:r>
          </w:p>
        </w:tc>
        <w:tc>
          <w:tcPr>
            <w:tcW w:w="4485" w:type="pct"/>
            <w:gridSpan w:val="4"/>
            <w:tcMar>
              <w:top w:w="28" w:type="dxa"/>
              <w:left w:w="11" w:type="dxa"/>
              <w:bottom w:w="28" w:type="dxa"/>
              <w:right w:w="11" w:type="dxa"/>
            </w:tcMar>
            <w:vAlign w:val="center"/>
          </w:tcPr>
          <w:p w:rsidR="00EE4502" w:rsidRDefault="00FD45A3">
            <w:pPr>
              <w:topLinePunct/>
              <w:jc w:val="left"/>
              <w:rPr>
                <w:szCs w:val="21"/>
              </w:rPr>
            </w:pPr>
            <w:r>
              <w:rPr>
                <w:szCs w:val="21"/>
              </w:rPr>
              <w:t>生态毒理毒性：原油中的芳香族化合物以及杂原子具有一定的毒性。</w:t>
            </w:r>
          </w:p>
          <w:p w:rsidR="00EE4502" w:rsidRDefault="00FD45A3">
            <w:pPr>
              <w:topLinePunct/>
              <w:jc w:val="left"/>
              <w:rPr>
                <w:szCs w:val="21"/>
              </w:rPr>
            </w:pPr>
            <w:r>
              <w:rPr>
                <w:szCs w:val="21"/>
              </w:rPr>
              <w:t>生物降解性：自然界中的部分厌氧菌，硫化菌以及部分绿色植物能将原油的大部分物质降解。</w:t>
            </w:r>
          </w:p>
          <w:p w:rsidR="00EE4502" w:rsidRDefault="00FD45A3">
            <w:pPr>
              <w:topLinePunct/>
              <w:jc w:val="left"/>
              <w:rPr>
                <w:szCs w:val="21"/>
              </w:rPr>
            </w:pPr>
            <w:r>
              <w:rPr>
                <w:szCs w:val="21"/>
              </w:rPr>
              <w:t>非生物降解性：原油中的沥青质等高分子物质具有很难</w:t>
            </w:r>
            <w:r>
              <w:rPr>
                <w:rFonts w:hint="eastAsia"/>
                <w:szCs w:val="21"/>
              </w:rPr>
              <w:t>的</w:t>
            </w:r>
            <w:r>
              <w:rPr>
                <w:szCs w:val="21"/>
              </w:rPr>
              <w:t>生物降解性。</w:t>
            </w:r>
          </w:p>
          <w:p w:rsidR="00EE4502" w:rsidRDefault="00FD45A3">
            <w:pPr>
              <w:topLinePunct/>
              <w:jc w:val="left"/>
              <w:rPr>
                <w:szCs w:val="21"/>
              </w:rPr>
            </w:pPr>
            <w:r>
              <w:rPr>
                <w:szCs w:val="21"/>
              </w:rPr>
              <w:t>生物富集或生物积累性：</w:t>
            </w:r>
            <w:r>
              <w:rPr>
                <w:szCs w:val="21"/>
              </w:rPr>
              <w:t>/</w:t>
            </w:r>
            <w:r>
              <w:rPr>
                <w:szCs w:val="21"/>
              </w:rPr>
              <w:t>。</w:t>
            </w:r>
          </w:p>
          <w:p w:rsidR="00EE4502" w:rsidRDefault="00FD45A3">
            <w:pPr>
              <w:topLinePunct/>
              <w:jc w:val="left"/>
              <w:rPr>
                <w:szCs w:val="21"/>
              </w:rPr>
            </w:pPr>
            <w:r>
              <w:rPr>
                <w:szCs w:val="21"/>
              </w:rPr>
              <w:t>其它有害作用：温室气体。应特别注意对地表水、土壤、大气和饮用水的污染。</w:t>
            </w:r>
          </w:p>
        </w:tc>
      </w:tr>
      <w:tr w:rsidR="00EE4502">
        <w:trPr>
          <w:trHeight w:val="340"/>
          <w:jc w:val="center"/>
        </w:trPr>
        <w:tc>
          <w:tcPr>
            <w:tcW w:w="514" w:type="pct"/>
            <w:tcMar>
              <w:top w:w="28" w:type="dxa"/>
              <w:left w:w="57" w:type="dxa"/>
              <w:bottom w:w="28" w:type="dxa"/>
              <w:right w:w="57" w:type="dxa"/>
            </w:tcMar>
            <w:vAlign w:val="center"/>
          </w:tcPr>
          <w:p w:rsidR="00EE4502" w:rsidRDefault="00FD45A3">
            <w:pPr>
              <w:topLinePunct/>
              <w:jc w:val="center"/>
              <w:rPr>
                <w:szCs w:val="21"/>
              </w:rPr>
            </w:pPr>
            <w:r>
              <w:rPr>
                <w:szCs w:val="21"/>
              </w:rPr>
              <w:t>废弃</w:t>
            </w:r>
          </w:p>
          <w:p w:rsidR="00EE4502" w:rsidRDefault="00FD45A3">
            <w:pPr>
              <w:topLinePunct/>
              <w:jc w:val="center"/>
              <w:rPr>
                <w:szCs w:val="21"/>
              </w:rPr>
            </w:pPr>
            <w:r>
              <w:rPr>
                <w:szCs w:val="21"/>
              </w:rPr>
              <w:t>处置</w:t>
            </w:r>
          </w:p>
        </w:tc>
        <w:tc>
          <w:tcPr>
            <w:tcW w:w="4485" w:type="pct"/>
            <w:gridSpan w:val="4"/>
            <w:tcMar>
              <w:top w:w="28" w:type="dxa"/>
              <w:left w:w="11" w:type="dxa"/>
              <w:bottom w:w="28" w:type="dxa"/>
              <w:right w:w="11" w:type="dxa"/>
            </w:tcMar>
            <w:vAlign w:val="center"/>
          </w:tcPr>
          <w:p w:rsidR="00EE4502" w:rsidRDefault="00FD45A3">
            <w:pPr>
              <w:topLinePunct/>
              <w:jc w:val="left"/>
              <w:rPr>
                <w:szCs w:val="21"/>
              </w:rPr>
            </w:pPr>
            <w:r>
              <w:rPr>
                <w:szCs w:val="21"/>
              </w:rPr>
              <w:t>废弃物性质：危险废物。</w:t>
            </w:r>
          </w:p>
          <w:p w:rsidR="00EE4502" w:rsidRDefault="00FD45A3">
            <w:pPr>
              <w:topLinePunct/>
              <w:jc w:val="left"/>
              <w:rPr>
                <w:szCs w:val="21"/>
              </w:rPr>
            </w:pPr>
            <w:r>
              <w:rPr>
                <w:szCs w:val="21"/>
              </w:rPr>
              <w:t>废弃处置方法：若本产品成为废品，必须由取得许可证的专业工厂进行处理。</w:t>
            </w:r>
          </w:p>
          <w:p w:rsidR="00EE4502" w:rsidRDefault="00FD45A3">
            <w:pPr>
              <w:topLinePunct/>
              <w:jc w:val="left"/>
              <w:rPr>
                <w:szCs w:val="21"/>
              </w:rPr>
            </w:pPr>
            <w:r>
              <w:rPr>
                <w:szCs w:val="21"/>
              </w:rPr>
              <w:t>废弃注意事项：处置前应参阅国家和地方有关法规。本产品不可排放</w:t>
            </w:r>
            <w:r>
              <w:rPr>
                <w:rFonts w:hint="eastAsia"/>
                <w:szCs w:val="21"/>
              </w:rPr>
              <w:t>于</w:t>
            </w:r>
            <w:r>
              <w:rPr>
                <w:szCs w:val="21"/>
              </w:rPr>
              <w:t>下水道，河流，湖泊，大海等。</w:t>
            </w:r>
          </w:p>
        </w:tc>
      </w:tr>
      <w:tr w:rsidR="00EE4502">
        <w:trPr>
          <w:trHeight w:val="340"/>
          <w:jc w:val="center"/>
        </w:trPr>
        <w:tc>
          <w:tcPr>
            <w:tcW w:w="514" w:type="pct"/>
            <w:tcMar>
              <w:top w:w="28" w:type="dxa"/>
              <w:left w:w="57" w:type="dxa"/>
              <w:bottom w:w="28" w:type="dxa"/>
              <w:right w:w="57" w:type="dxa"/>
            </w:tcMar>
            <w:vAlign w:val="center"/>
          </w:tcPr>
          <w:p w:rsidR="00EE4502" w:rsidRDefault="00FD45A3">
            <w:pPr>
              <w:topLinePunct/>
              <w:jc w:val="center"/>
              <w:rPr>
                <w:szCs w:val="21"/>
              </w:rPr>
            </w:pPr>
            <w:r>
              <w:rPr>
                <w:szCs w:val="21"/>
              </w:rPr>
              <w:t>运输</w:t>
            </w:r>
          </w:p>
          <w:p w:rsidR="00EE4502" w:rsidRDefault="00FD45A3">
            <w:pPr>
              <w:topLinePunct/>
              <w:jc w:val="center"/>
              <w:rPr>
                <w:szCs w:val="21"/>
              </w:rPr>
            </w:pPr>
            <w:r>
              <w:rPr>
                <w:szCs w:val="21"/>
              </w:rPr>
              <w:t>信息</w:t>
            </w:r>
          </w:p>
        </w:tc>
        <w:tc>
          <w:tcPr>
            <w:tcW w:w="4485" w:type="pct"/>
            <w:gridSpan w:val="4"/>
            <w:tcMar>
              <w:top w:w="28" w:type="dxa"/>
              <w:left w:w="11" w:type="dxa"/>
              <w:bottom w:w="28" w:type="dxa"/>
              <w:right w:w="11" w:type="dxa"/>
            </w:tcMar>
            <w:vAlign w:val="center"/>
          </w:tcPr>
          <w:p w:rsidR="00EE4502" w:rsidRDefault="00FD45A3">
            <w:pPr>
              <w:topLinePunct/>
              <w:jc w:val="left"/>
              <w:rPr>
                <w:szCs w:val="21"/>
              </w:rPr>
            </w:pPr>
            <w:r>
              <w:rPr>
                <w:szCs w:val="21"/>
              </w:rPr>
              <w:t>运输注意事项：环境密封放置，</w:t>
            </w:r>
            <w:r>
              <w:rPr>
                <w:rFonts w:hint="eastAsia"/>
                <w:szCs w:val="21"/>
              </w:rPr>
              <w:t>防止</w:t>
            </w:r>
            <w:r>
              <w:rPr>
                <w:szCs w:val="21"/>
              </w:rPr>
              <w:t>热源和日光暴晒，与强氧化剂隔离。</w:t>
            </w:r>
          </w:p>
        </w:tc>
      </w:tr>
      <w:tr w:rsidR="00EE4502">
        <w:trPr>
          <w:trHeight w:val="340"/>
          <w:jc w:val="center"/>
        </w:trPr>
        <w:tc>
          <w:tcPr>
            <w:tcW w:w="514" w:type="pct"/>
            <w:tcMar>
              <w:top w:w="28" w:type="dxa"/>
              <w:left w:w="57" w:type="dxa"/>
              <w:bottom w:w="28" w:type="dxa"/>
              <w:right w:w="57" w:type="dxa"/>
            </w:tcMar>
            <w:vAlign w:val="center"/>
          </w:tcPr>
          <w:p w:rsidR="00EE4502" w:rsidRDefault="00FD45A3">
            <w:pPr>
              <w:topLinePunct/>
              <w:jc w:val="center"/>
              <w:rPr>
                <w:szCs w:val="21"/>
              </w:rPr>
            </w:pPr>
            <w:r>
              <w:rPr>
                <w:szCs w:val="21"/>
              </w:rPr>
              <w:t>法规</w:t>
            </w:r>
          </w:p>
          <w:p w:rsidR="00EE4502" w:rsidRDefault="00FD45A3">
            <w:pPr>
              <w:topLinePunct/>
              <w:jc w:val="center"/>
              <w:rPr>
                <w:szCs w:val="21"/>
              </w:rPr>
            </w:pPr>
            <w:r>
              <w:rPr>
                <w:szCs w:val="21"/>
              </w:rPr>
              <w:t>信息</w:t>
            </w:r>
          </w:p>
        </w:tc>
        <w:tc>
          <w:tcPr>
            <w:tcW w:w="4485" w:type="pct"/>
            <w:gridSpan w:val="4"/>
            <w:tcMar>
              <w:top w:w="28" w:type="dxa"/>
              <w:left w:w="11" w:type="dxa"/>
              <w:bottom w:w="28" w:type="dxa"/>
              <w:right w:w="11" w:type="dxa"/>
            </w:tcMar>
            <w:vAlign w:val="center"/>
          </w:tcPr>
          <w:p w:rsidR="00EE4502" w:rsidRDefault="00FD45A3">
            <w:pPr>
              <w:topLinePunct/>
              <w:jc w:val="left"/>
              <w:rPr>
                <w:szCs w:val="21"/>
              </w:rPr>
            </w:pPr>
            <w:r>
              <w:rPr>
                <w:szCs w:val="21"/>
              </w:rPr>
              <w:t>《危险化学品安全管理条例》中华人民共和国国务院令第</w:t>
            </w:r>
            <w:r>
              <w:rPr>
                <w:szCs w:val="21"/>
              </w:rPr>
              <w:t>591</w:t>
            </w:r>
            <w:r>
              <w:rPr>
                <w:rFonts w:hint="eastAsia"/>
                <w:szCs w:val="21"/>
              </w:rPr>
              <w:t xml:space="preserve"> </w:t>
            </w:r>
            <w:r>
              <w:rPr>
                <w:szCs w:val="21"/>
              </w:rPr>
              <w:t>号（自</w:t>
            </w:r>
            <w:r>
              <w:rPr>
                <w:szCs w:val="21"/>
              </w:rPr>
              <w:t>2011</w:t>
            </w:r>
            <w:r>
              <w:rPr>
                <w:szCs w:val="21"/>
              </w:rPr>
              <w:t>年</w:t>
            </w:r>
            <w:r>
              <w:rPr>
                <w:szCs w:val="21"/>
              </w:rPr>
              <w:t>12</w:t>
            </w:r>
            <w:r>
              <w:rPr>
                <w:szCs w:val="21"/>
              </w:rPr>
              <w:t>月</w:t>
            </w:r>
            <w:r>
              <w:rPr>
                <w:szCs w:val="21"/>
              </w:rPr>
              <w:t>1</w:t>
            </w:r>
            <w:r>
              <w:rPr>
                <w:szCs w:val="21"/>
              </w:rPr>
              <w:t>日起施行），中华人民共和国国务院令第</w:t>
            </w:r>
            <w:r>
              <w:rPr>
                <w:szCs w:val="21"/>
              </w:rPr>
              <w:t>645</w:t>
            </w:r>
            <w:r>
              <w:rPr>
                <w:szCs w:val="21"/>
              </w:rPr>
              <w:t>号修订（自</w:t>
            </w:r>
            <w:r>
              <w:rPr>
                <w:szCs w:val="21"/>
              </w:rPr>
              <w:t>2013</w:t>
            </w:r>
            <w:r>
              <w:rPr>
                <w:szCs w:val="21"/>
              </w:rPr>
              <w:t>年</w:t>
            </w:r>
            <w:r>
              <w:rPr>
                <w:szCs w:val="21"/>
              </w:rPr>
              <w:t>12</w:t>
            </w:r>
            <w:r>
              <w:rPr>
                <w:szCs w:val="21"/>
              </w:rPr>
              <w:t>月</w:t>
            </w:r>
            <w:r>
              <w:rPr>
                <w:szCs w:val="21"/>
              </w:rPr>
              <w:t>7</w:t>
            </w:r>
            <w:r>
              <w:rPr>
                <w:szCs w:val="21"/>
              </w:rPr>
              <w:t>日起施行）、《危险化学品目录（</w:t>
            </w:r>
            <w:r>
              <w:rPr>
                <w:szCs w:val="21"/>
              </w:rPr>
              <w:t>2015</w:t>
            </w:r>
            <w:r>
              <w:rPr>
                <w:szCs w:val="21"/>
              </w:rPr>
              <w:t>版）》（自</w:t>
            </w:r>
            <w:r>
              <w:rPr>
                <w:szCs w:val="21"/>
              </w:rPr>
              <w:t>2015</w:t>
            </w:r>
            <w:r>
              <w:rPr>
                <w:szCs w:val="21"/>
              </w:rPr>
              <w:t>年</w:t>
            </w:r>
            <w:r>
              <w:rPr>
                <w:szCs w:val="21"/>
              </w:rPr>
              <w:t>5</w:t>
            </w:r>
            <w:r>
              <w:rPr>
                <w:szCs w:val="21"/>
              </w:rPr>
              <w:t>月</w:t>
            </w:r>
            <w:r>
              <w:rPr>
                <w:szCs w:val="21"/>
              </w:rPr>
              <w:t>1</w:t>
            </w:r>
            <w:r>
              <w:rPr>
                <w:szCs w:val="21"/>
              </w:rPr>
              <w:t>日起施行）。</w:t>
            </w:r>
          </w:p>
        </w:tc>
      </w:tr>
      <w:tr w:rsidR="00EE4502">
        <w:trPr>
          <w:trHeight w:val="340"/>
          <w:jc w:val="center"/>
        </w:trPr>
        <w:tc>
          <w:tcPr>
            <w:tcW w:w="514" w:type="pct"/>
            <w:tcMar>
              <w:top w:w="28" w:type="dxa"/>
              <w:left w:w="57" w:type="dxa"/>
              <w:bottom w:w="28" w:type="dxa"/>
              <w:right w:w="57" w:type="dxa"/>
            </w:tcMar>
            <w:vAlign w:val="center"/>
          </w:tcPr>
          <w:p w:rsidR="00EE4502" w:rsidRDefault="00FD45A3">
            <w:pPr>
              <w:topLinePunct/>
              <w:jc w:val="center"/>
              <w:rPr>
                <w:szCs w:val="21"/>
              </w:rPr>
            </w:pPr>
            <w:r>
              <w:rPr>
                <w:szCs w:val="21"/>
              </w:rPr>
              <w:t>其他</w:t>
            </w:r>
          </w:p>
          <w:p w:rsidR="00EE4502" w:rsidRDefault="00FD45A3">
            <w:pPr>
              <w:topLinePunct/>
              <w:jc w:val="center"/>
              <w:rPr>
                <w:bCs/>
                <w:szCs w:val="21"/>
              </w:rPr>
            </w:pPr>
            <w:r>
              <w:rPr>
                <w:szCs w:val="21"/>
              </w:rPr>
              <w:t>信息</w:t>
            </w:r>
          </w:p>
        </w:tc>
        <w:tc>
          <w:tcPr>
            <w:tcW w:w="4485" w:type="pct"/>
            <w:gridSpan w:val="4"/>
            <w:tcMar>
              <w:top w:w="28" w:type="dxa"/>
              <w:left w:w="11" w:type="dxa"/>
              <w:bottom w:w="28" w:type="dxa"/>
              <w:right w:w="11" w:type="dxa"/>
            </w:tcMar>
            <w:vAlign w:val="center"/>
          </w:tcPr>
          <w:p w:rsidR="00EE4502" w:rsidRDefault="00FD45A3">
            <w:pPr>
              <w:topLinePunct/>
              <w:jc w:val="left"/>
              <w:rPr>
                <w:szCs w:val="21"/>
              </w:rPr>
            </w:pPr>
            <w:r>
              <w:rPr>
                <w:szCs w:val="21"/>
              </w:rPr>
              <w:t>表格内数据来源于</w:t>
            </w:r>
            <w:r>
              <w:rPr>
                <w:rFonts w:hint="eastAsia"/>
                <w:szCs w:val="21"/>
              </w:rPr>
              <w:t>本工程</w:t>
            </w:r>
            <w:r>
              <w:rPr>
                <w:szCs w:val="21"/>
              </w:rPr>
              <w:t>方案提供的物料特性数据、《危险化学品目录（</w:t>
            </w:r>
            <w:r>
              <w:rPr>
                <w:szCs w:val="21"/>
              </w:rPr>
              <w:t>2015</w:t>
            </w:r>
            <w:r>
              <w:rPr>
                <w:szCs w:val="21"/>
              </w:rPr>
              <w:t>版）》和《危险化学品安全技术全书》。</w:t>
            </w:r>
          </w:p>
        </w:tc>
      </w:tr>
    </w:tbl>
    <w:p w:rsidR="00EE4502" w:rsidRDefault="00EE4502">
      <w:pPr>
        <w:jc w:val="center"/>
        <w:rPr>
          <w:b/>
          <w:kern w:val="21"/>
          <w:szCs w:val="21"/>
        </w:rPr>
      </w:pPr>
    </w:p>
    <w:p w:rsidR="00EE4502" w:rsidRDefault="00FD45A3">
      <w:pPr>
        <w:spacing w:line="360" w:lineRule="auto"/>
        <w:ind w:firstLineChars="200" w:firstLine="480"/>
        <w:rPr>
          <w:sz w:val="24"/>
          <w:szCs w:val="18"/>
        </w:rPr>
      </w:pPr>
      <w:r>
        <w:rPr>
          <w:sz w:val="24"/>
          <w:szCs w:val="18"/>
        </w:rPr>
        <w:fldChar w:fldCharType="begin"/>
      </w:r>
      <w:r>
        <w:rPr>
          <w:sz w:val="24"/>
          <w:szCs w:val="18"/>
        </w:rPr>
        <w:instrText>= 2 \* GB3</w:instrText>
      </w:r>
      <w:r>
        <w:rPr>
          <w:sz w:val="24"/>
          <w:szCs w:val="18"/>
        </w:rPr>
        <w:fldChar w:fldCharType="separate"/>
      </w:r>
      <w:r>
        <w:rPr>
          <w:rFonts w:ascii="宋体" w:hAnsi="宋体" w:cs="宋体" w:hint="eastAsia"/>
          <w:sz w:val="24"/>
          <w:szCs w:val="18"/>
        </w:rPr>
        <w:t>②</w:t>
      </w:r>
      <w:r>
        <w:rPr>
          <w:sz w:val="24"/>
          <w:szCs w:val="18"/>
        </w:rPr>
        <w:fldChar w:fldCharType="end"/>
      </w:r>
      <w:r>
        <w:rPr>
          <w:sz w:val="24"/>
          <w:szCs w:val="18"/>
        </w:rPr>
        <w:t>天然气</w:t>
      </w:r>
    </w:p>
    <w:p w:rsidR="00EE4502" w:rsidRDefault="00FD45A3">
      <w:pPr>
        <w:spacing w:line="360" w:lineRule="auto"/>
        <w:ind w:firstLineChars="200" w:firstLine="480"/>
        <w:rPr>
          <w:sz w:val="24"/>
          <w:szCs w:val="18"/>
        </w:rPr>
      </w:pPr>
      <w:r>
        <w:rPr>
          <w:sz w:val="24"/>
          <w:szCs w:val="18"/>
        </w:rPr>
        <w:t>按照《石油天然气工程设计防火规范》（</w:t>
      </w:r>
      <w:r>
        <w:rPr>
          <w:sz w:val="24"/>
          <w:szCs w:val="18"/>
        </w:rPr>
        <w:t>GB50183-2015</w:t>
      </w:r>
      <w:r>
        <w:rPr>
          <w:sz w:val="24"/>
          <w:szCs w:val="18"/>
        </w:rPr>
        <w:t>）标准，天然气属于甲</w:t>
      </w:r>
      <w:r>
        <w:rPr>
          <w:sz w:val="24"/>
          <w:szCs w:val="18"/>
        </w:rPr>
        <w:t>B</w:t>
      </w:r>
      <w:r>
        <w:rPr>
          <w:sz w:val="24"/>
          <w:szCs w:val="18"/>
        </w:rPr>
        <w:t>类火灾危险物质。具有易燃性、易爆性、低毒性。</w:t>
      </w:r>
    </w:p>
    <w:p w:rsidR="00EE4502" w:rsidRDefault="00FD45A3">
      <w:pPr>
        <w:spacing w:line="360" w:lineRule="auto"/>
        <w:ind w:firstLineChars="200" w:firstLine="480"/>
        <w:rPr>
          <w:sz w:val="24"/>
          <w:szCs w:val="18"/>
        </w:rPr>
      </w:pPr>
      <w:r>
        <w:rPr>
          <w:sz w:val="24"/>
          <w:szCs w:val="18"/>
        </w:rPr>
        <w:t>易燃性：天然气属于甲类火灾危险物质。天然气常常在作业场所或储存区弥散、扩散或在低洼处聚集，在空气中只需较小的点燃能量就会燃烧，因此具有较大的火灾危险性。</w:t>
      </w:r>
    </w:p>
    <w:p w:rsidR="00EE4502" w:rsidRDefault="00FD45A3">
      <w:pPr>
        <w:spacing w:line="360" w:lineRule="auto"/>
        <w:ind w:firstLineChars="200" w:firstLine="480"/>
        <w:rPr>
          <w:sz w:val="24"/>
          <w:szCs w:val="18"/>
        </w:rPr>
      </w:pPr>
      <w:r>
        <w:rPr>
          <w:sz w:val="24"/>
          <w:szCs w:val="18"/>
        </w:rPr>
        <w:t>易爆性：天然气与空气组成混合气体，其浓度处于一定范围时，连火即发生爆炸。天然气（甲烷）的爆炸极限范围为</w:t>
      </w:r>
      <w:r>
        <w:rPr>
          <w:sz w:val="24"/>
          <w:szCs w:val="18"/>
        </w:rPr>
        <w:t>5~15%</w:t>
      </w:r>
      <w:r>
        <w:rPr>
          <w:sz w:val="24"/>
          <w:szCs w:val="18"/>
        </w:rPr>
        <w:t>，爆炸浓度极限范围愈宽，爆炸下限浓度值越低，物质爆炸危险性就越大。</w:t>
      </w:r>
    </w:p>
    <w:p w:rsidR="00EE4502" w:rsidRDefault="00FD45A3">
      <w:pPr>
        <w:spacing w:line="360" w:lineRule="auto"/>
        <w:ind w:firstLineChars="200" w:firstLine="480"/>
        <w:rPr>
          <w:sz w:val="24"/>
          <w:szCs w:val="18"/>
        </w:rPr>
      </w:pPr>
      <w:r>
        <w:rPr>
          <w:sz w:val="24"/>
          <w:szCs w:val="18"/>
        </w:rPr>
        <w:lastRenderedPageBreak/>
        <w:t>毒性：天然气为烃类混合物，属低毒性物质，但长期接触可导致</w:t>
      </w:r>
      <w:r>
        <w:rPr>
          <w:rFonts w:hint="eastAsia"/>
          <w:sz w:val="24"/>
          <w:szCs w:val="18"/>
        </w:rPr>
        <w:t>神经衰弱综合征</w:t>
      </w:r>
      <w:r>
        <w:rPr>
          <w:sz w:val="24"/>
          <w:szCs w:val="18"/>
        </w:rPr>
        <w:t>。</w:t>
      </w:r>
    </w:p>
    <w:p w:rsidR="00EE4502" w:rsidRDefault="00FD45A3">
      <w:pPr>
        <w:spacing w:line="360" w:lineRule="auto"/>
        <w:ind w:firstLineChars="200" w:firstLine="480"/>
        <w:rPr>
          <w:sz w:val="24"/>
          <w:szCs w:val="18"/>
        </w:rPr>
      </w:pPr>
      <w:r>
        <w:rPr>
          <w:sz w:val="24"/>
          <w:szCs w:val="18"/>
        </w:rPr>
        <w:t>天然气主要成分为甲烷，甲烷属</w:t>
      </w:r>
      <w:r>
        <w:rPr>
          <w:sz w:val="24"/>
          <w:szCs w:val="18"/>
        </w:rPr>
        <w:t>“</w:t>
      </w:r>
      <w:r>
        <w:rPr>
          <w:sz w:val="24"/>
          <w:szCs w:val="18"/>
        </w:rPr>
        <w:t>单纯窒息性</w:t>
      </w:r>
      <w:r>
        <w:rPr>
          <w:sz w:val="24"/>
          <w:szCs w:val="18"/>
        </w:rPr>
        <w:t>”</w:t>
      </w:r>
      <w:r>
        <w:rPr>
          <w:sz w:val="24"/>
          <w:szCs w:val="18"/>
        </w:rPr>
        <w:t>气体，高浓度时因缺氧窒息而引起中毒，当空气中甲烷浓度达到</w:t>
      </w:r>
      <w:r>
        <w:rPr>
          <w:sz w:val="24"/>
          <w:szCs w:val="18"/>
        </w:rPr>
        <w:t>10%</w:t>
      </w:r>
      <w:r>
        <w:rPr>
          <w:sz w:val="24"/>
          <w:szCs w:val="18"/>
        </w:rPr>
        <w:t>时，就使人感到氧气不足；当空气中甲烷浓度达到</w:t>
      </w:r>
      <w:r>
        <w:rPr>
          <w:sz w:val="24"/>
          <w:szCs w:val="18"/>
        </w:rPr>
        <w:t>25~30%</w:t>
      </w:r>
      <w:r>
        <w:rPr>
          <w:sz w:val="24"/>
          <w:szCs w:val="18"/>
        </w:rPr>
        <w:t>时，可引起头痛、头晕、注意力不集中，呼吸和心跳加速、精细动作障碍等；当空气中甲烷浓度达</w:t>
      </w:r>
      <w:r>
        <w:rPr>
          <w:sz w:val="24"/>
          <w:szCs w:val="18"/>
        </w:rPr>
        <w:t>30%</w:t>
      </w:r>
      <w:r>
        <w:rPr>
          <w:sz w:val="24"/>
          <w:szCs w:val="18"/>
        </w:rPr>
        <w:t>以上时可能会因缺氧窒息、昏迷等。</w:t>
      </w:r>
    </w:p>
    <w:p w:rsidR="00EE4502" w:rsidRDefault="00FD45A3">
      <w:pPr>
        <w:spacing w:line="360" w:lineRule="auto"/>
        <w:ind w:firstLineChars="200" w:firstLine="480"/>
        <w:rPr>
          <w:sz w:val="24"/>
          <w:szCs w:val="18"/>
        </w:rPr>
      </w:pPr>
      <w:r>
        <w:rPr>
          <w:sz w:val="24"/>
          <w:szCs w:val="18"/>
        </w:rPr>
        <w:t>其危险性和危害特性见表</w:t>
      </w:r>
      <w:r>
        <w:rPr>
          <w:rFonts w:hint="eastAsia"/>
          <w:sz w:val="24"/>
          <w:szCs w:val="18"/>
        </w:rPr>
        <w:t>5-8-</w:t>
      </w:r>
      <w:r>
        <w:rPr>
          <w:rFonts w:hint="eastAsia"/>
          <w:sz w:val="24"/>
          <w:szCs w:val="18"/>
        </w:rPr>
        <w:t>4</w:t>
      </w:r>
      <w:r>
        <w:rPr>
          <w:sz w:val="24"/>
          <w:szCs w:val="18"/>
        </w:rPr>
        <w:t>。</w:t>
      </w:r>
    </w:p>
    <w:p w:rsidR="00EE4502" w:rsidRDefault="00FD45A3">
      <w:pPr>
        <w:jc w:val="center"/>
        <w:rPr>
          <w:rFonts w:ascii="黑体" w:eastAsia="黑体" w:hAnsi="黑体" w:cs="黑体"/>
          <w:bCs/>
          <w:spacing w:val="4"/>
          <w:sz w:val="22"/>
          <w:szCs w:val="21"/>
        </w:rPr>
      </w:pPr>
      <w:r>
        <w:rPr>
          <w:rFonts w:ascii="黑体" w:eastAsia="黑体" w:hAnsi="黑体" w:cs="黑体" w:hint="eastAsia"/>
          <w:bCs/>
          <w:spacing w:val="4"/>
          <w:sz w:val="22"/>
          <w:szCs w:val="21"/>
        </w:rPr>
        <w:t>表</w:t>
      </w:r>
      <w:r>
        <w:rPr>
          <w:rFonts w:ascii="黑体" w:eastAsia="黑体" w:hAnsi="黑体" w:cs="黑体" w:hint="eastAsia"/>
          <w:bCs/>
          <w:spacing w:val="4"/>
          <w:sz w:val="22"/>
          <w:szCs w:val="21"/>
        </w:rPr>
        <w:t xml:space="preserve">5-8-4       </w:t>
      </w:r>
      <w:r>
        <w:rPr>
          <w:rFonts w:ascii="黑体" w:eastAsia="黑体" w:hAnsi="黑体" w:cs="黑体" w:hint="eastAsia"/>
          <w:bCs/>
          <w:spacing w:val="4"/>
          <w:sz w:val="22"/>
          <w:szCs w:val="21"/>
        </w:rPr>
        <w:t>甲烷的危险性和危害特性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6"/>
        <w:gridCol w:w="1065"/>
        <w:gridCol w:w="2485"/>
        <w:gridCol w:w="2714"/>
        <w:gridCol w:w="856"/>
      </w:tblGrid>
      <w:tr w:rsidR="00EE4502">
        <w:trPr>
          <w:trHeight w:val="340"/>
          <w:jc w:val="center"/>
        </w:trPr>
        <w:tc>
          <w:tcPr>
            <w:tcW w:w="1176" w:type="dxa"/>
            <w:vMerge w:val="restart"/>
            <w:tcBorders>
              <w:tl2br w:val="nil"/>
              <w:tr2bl w:val="nil"/>
            </w:tcBorders>
            <w:vAlign w:val="center"/>
          </w:tcPr>
          <w:p w:rsidR="00EE4502" w:rsidRDefault="00FD45A3">
            <w:pPr>
              <w:ind w:leftChars="-15" w:left="-31" w:rightChars="-15" w:right="-31"/>
              <w:jc w:val="center"/>
              <w:rPr>
                <w:kern w:val="0"/>
                <w:szCs w:val="21"/>
              </w:rPr>
            </w:pPr>
            <w:bookmarkStart w:id="228" w:name="_Hlk69833141"/>
            <w:r>
              <w:rPr>
                <w:kern w:val="0"/>
                <w:szCs w:val="21"/>
              </w:rPr>
              <w:t>毒性及健康危害</w:t>
            </w:r>
          </w:p>
        </w:tc>
        <w:tc>
          <w:tcPr>
            <w:tcW w:w="1065" w:type="dxa"/>
            <w:vMerge w:val="restart"/>
            <w:tcBorders>
              <w:tl2br w:val="nil"/>
              <w:tr2bl w:val="nil"/>
            </w:tcBorders>
            <w:vAlign w:val="center"/>
          </w:tcPr>
          <w:p w:rsidR="00EE4502" w:rsidRDefault="00FD45A3">
            <w:pPr>
              <w:ind w:leftChars="-15" w:left="-31" w:rightChars="-15" w:right="-31"/>
              <w:jc w:val="center"/>
              <w:rPr>
                <w:kern w:val="0"/>
                <w:szCs w:val="21"/>
              </w:rPr>
            </w:pPr>
            <w:r>
              <w:rPr>
                <w:kern w:val="0"/>
                <w:szCs w:val="21"/>
              </w:rPr>
              <w:t>接触限值</w:t>
            </w:r>
          </w:p>
        </w:tc>
        <w:tc>
          <w:tcPr>
            <w:tcW w:w="2485" w:type="dxa"/>
            <w:tcBorders>
              <w:tl2br w:val="nil"/>
              <w:tr2bl w:val="nil"/>
            </w:tcBorders>
            <w:vAlign w:val="center"/>
          </w:tcPr>
          <w:p w:rsidR="00EE4502" w:rsidRDefault="00FD45A3">
            <w:pPr>
              <w:ind w:leftChars="-15" w:left="-31" w:rightChars="-15" w:right="-31"/>
              <w:jc w:val="center"/>
              <w:rPr>
                <w:kern w:val="0"/>
                <w:szCs w:val="21"/>
              </w:rPr>
            </w:pPr>
            <w:r>
              <w:rPr>
                <w:kern w:val="0"/>
                <w:szCs w:val="21"/>
              </w:rPr>
              <w:t>中国</w:t>
            </w:r>
            <w:r>
              <w:rPr>
                <w:kern w:val="0"/>
                <w:szCs w:val="21"/>
              </w:rPr>
              <w:t>MAC</w:t>
            </w:r>
          </w:p>
        </w:tc>
        <w:tc>
          <w:tcPr>
            <w:tcW w:w="3570" w:type="dxa"/>
            <w:gridSpan w:val="2"/>
            <w:tcBorders>
              <w:tl2br w:val="nil"/>
              <w:tr2bl w:val="nil"/>
            </w:tcBorders>
            <w:vAlign w:val="center"/>
          </w:tcPr>
          <w:p w:rsidR="00EE4502" w:rsidRDefault="00FD45A3">
            <w:pPr>
              <w:ind w:leftChars="-15" w:left="-31" w:rightChars="-15" w:right="-31"/>
              <w:jc w:val="center"/>
              <w:rPr>
                <w:kern w:val="0"/>
                <w:szCs w:val="21"/>
              </w:rPr>
            </w:pPr>
            <w:r>
              <w:rPr>
                <w:kern w:val="0"/>
                <w:szCs w:val="21"/>
              </w:rPr>
              <w:t>未制定标准</w:t>
            </w:r>
          </w:p>
        </w:tc>
      </w:tr>
      <w:tr w:rsidR="00EE4502">
        <w:trPr>
          <w:trHeight w:val="340"/>
          <w:jc w:val="center"/>
        </w:trPr>
        <w:tc>
          <w:tcPr>
            <w:tcW w:w="1176" w:type="dxa"/>
            <w:vMerge/>
            <w:tcBorders>
              <w:tl2br w:val="nil"/>
              <w:tr2bl w:val="nil"/>
            </w:tcBorders>
            <w:vAlign w:val="center"/>
          </w:tcPr>
          <w:p w:rsidR="00EE4502" w:rsidRDefault="00EE4502">
            <w:pPr>
              <w:ind w:leftChars="-15" w:left="-31" w:rightChars="-15" w:right="-31"/>
              <w:jc w:val="center"/>
              <w:rPr>
                <w:kern w:val="0"/>
                <w:szCs w:val="21"/>
              </w:rPr>
            </w:pPr>
          </w:p>
        </w:tc>
        <w:tc>
          <w:tcPr>
            <w:tcW w:w="1065" w:type="dxa"/>
            <w:vMerge/>
            <w:tcBorders>
              <w:tl2br w:val="nil"/>
              <w:tr2bl w:val="nil"/>
            </w:tcBorders>
            <w:vAlign w:val="center"/>
          </w:tcPr>
          <w:p w:rsidR="00EE4502" w:rsidRDefault="00EE4502">
            <w:pPr>
              <w:ind w:leftChars="-15" w:left="-31" w:rightChars="-15" w:right="-31"/>
              <w:jc w:val="center"/>
              <w:rPr>
                <w:kern w:val="0"/>
                <w:szCs w:val="21"/>
              </w:rPr>
            </w:pPr>
          </w:p>
        </w:tc>
        <w:tc>
          <w:tcPr>
            <w:tcW w:w="2485" w:type="dxa"/>
            <w:tcBorders>
              <w:tl2br w:val="nil"/>
              <w:tr2bl w:val="nil"/>
            </w:tcBorders>
            <w:vAlign w:val="center"/>
          </w:tcPr>
          <w:p w:rsidR="00EE4502" w:rsidRDefault="00FD45A3">
            <w:pPr>
              <w:ind w:leftChars="-15" w:left="-31" w:rightChars="-15" w:right="-31"/>
              <w:jc w:val="center"/>
              <w:rPr>
                <w:kern w:val="0"/>
                <w:szCs w:val="21"/>
              </w:rPr>
            </w:pPr>
            <w:r>
              <w:rPr>
                <w:kern w:val="0"/>
                <w:szCs w:val="21"/>
              </w:rPr>
              <w:t>前苏联</w:t>
            </w:r>
            <w:r>
              <w:rPr>
                <w:kern w:val="0"/>
                <w:szCs w:val="21"/>
              </w:rPr>
              <w:t>MAC</w:t>
            </w:r>
          </w:p>
        </w:tc>
        <w:tc>
          <w:tcPr>
            <w:tcW w:w="3570" w:type="dxa"/>
            <w:gridSpan w:val="2"/>
            <w:tcBorders>
              <w:tl2br w:val="nil"/>
              <w:tr2bl w:val="nil"/>
            </w:tcBorders>
            <w:vAlign w:val="center"/>
          </w:tcPr>
          <w:p w:rsidR="00EE4502" w:rsidRDefault="00FD45A3">
            <w:pPr>
              <w:ind w:leftChars="-15" w:left="-31" w:rightChars="-15" w:right="-31"/>
              <w:jc w:val="center"/>
              <w:rPr>
                <w:kern w:val="0"/>
                <w:szCs w:val="21"/>
              </w:rPr>
            </w:pPr>
            <w:r>
              <w:rPr>
                <w:kern w:val="0"/>
                <w:szCs w:val="21"/>
              </w:rPr>
              <w:t>300mg/m</w:t>
            </w:r>
            <w:r>
              <w:rPr>
                <w:kern w:val="0"/>
                <w:szCs w:val="21"/>
                <w:vertAlign w:val="superscript"/>
              </w:rPr>
              <w:t>3</w:t>
            </w:r>
          </w:p>
        </w:tc>
      </w:tr>
      <w:tr w:rsidR="00EE4502">
        <w:trPr>
          <w:trHeight w:val="340"/>
          <w:jc w:val="center"/>
        </w:trPr>
        <w:tc>
          <w:tcPr>
            <w:tcW w:w="1176" w:type="dxa"/>
            <w:vMerge/>
            <w:tcBorders>
              <w:tl2br w:val="nil"/>
              <w:tr2bl w:val="nil"/>
            </w:tcBorders>
            <w:vAlign w:val="center"/>
          </w:tcPr>
          <w:p w:rsidR="00EE4502" w:rsidRDefault="00EE4502">
            <w:pPr>
              <w:ind w:leftChars="-15" w:left="-31" w:rightChars="-15" w:right="-31"/>
              <w:jc w:val="center"/>
              <w:rPr>
                <w:kern w:val="0"/>
                <w:szCs w:val="21"/>
              </w:rPr>
            </w:pPr>
          </w:p>
        </w:tc>
        <w:tc>
          <w:tcPr>
            <w:tcW w:w="1065" w:type="dxa"/>
            <w:tcBorders>
              <w:tl2br w:val="nil"/>
              <w:tr2bl w:val="nil"/>
            </w:tcBorders>
            <w:vAlign w:val="center"/>
          </w:tcPr>
          <w:p w:rsidR="00EE4502" w:rsidRDefault="00FD45A3">
            <w:pPr>
              <w:ind w:leftChars="-15" w:left="-31" w:rightChars="-15" w:right="-31"/>
              <w:jc w:val="center"/>
              <w:rPr>
                <w:kern w:val="0"/>
                <w:szCs w:val="21"/>
              </w:rPr>
            </w:pPr>
            <w:r>
              <w:rPr>
                <w:kern w:val="0"/>
                <w:szCs w:val="21"/>
              </w:rPr>
              <w:t>侵入途径</w:t>
            </w:r>
          </w:p>
        </w:tc>
        <w:tc>
          <w:tcPr>
            <w:tcW w:w="6055" w:type="dxa"/>
            <w:gridSpan w:val="3"/>
            <w:tcBorders>
              <w:tl2br w:val="nil"/>
              <w:tr2bl w:val="nil"/>
            </w:tcBorders>
            <w:vAlign w:val="center"/>
          </w:tcPr>
          <w:p w:rsidR="00EE4502" w:rsidRDefault="00FD45A3">
            <w:pPr>
              <w:ind w:leftChars="-15" w:left="-31" w:rightChars="-15" w:right="-31"/>
              <w:jc w:val="center"/>
              <w:rPr>
                <w:kern w:val="0"/>
                <w:szCs w:val="21"/>
              </w:rPr>
            </w:pPr>
            <w:r>
              <w:rPr>
                <w:kern w:val="0"/>
                <w:szCs w:val="21"/>
              </w:rPr>
              <w:t>吸入</w:t>
            </w:r>
          </w:p>
        </w:tc>
      </w:tr>
      <w:tr w:rsidR="00EE4502">
        <w:trPr>
          <w:trHeight w:val="340"/>
          <w:jc w:val="center"/>
        </w:trPr>
        <w:tc>
          <w:tcPr>
            <w:tcW w:w="1176" w:type="dxa"/>
            <w:vMerge/>
            <w:tcBorders>
              <w:tl2br w:val="nil"/>
              <w:tr2bl w:val="nil"/>
            </w:tcBorders>
            <w:vAlign w:val="center"/>
          </w:tcPr>
          <w:p w:rsidR="00EE4502" w:rsidRDefault="00EE4502">
            <w:pPr>
              <w:ind w:leftChars="-15" w:left="-31" w:rightChars="-15" w:right="-31"/>
              <w:jc w:val="center"/>
              <w:rPr>
                <w:kern w:val="0"/>
                <w:szCs w:val="21"/>
              </w:rPr>
            </w:pPr>
          </w:p>
        </w:tc>
        <w:tc>
          <w:tcPr>
            <w:tcW w:w="1065" w:type="dxa"/>
            <w:tcBorders>
              <w:tl2br w:val="nil"/>
              <w:tr2bl w:val="nil"/>
            </w:tcBorders>
            <w:vAlign w:val="center"/>
          </w:tcPr>
          <w:p w:rsidR="00EE4502" w:rsidRDefault="00FD45A3">
            <w:pPr>
              <w:ind w:leftChars="-15" w:left="-31" w:rightChars="-15" w:right="-31"/>
              <w:jc w:val="center"/>
              <w:rPr>
                <w:kern w:val="0"/>
                <w:szCs w:val="21"/>
              </w:rPr>
            </w:pPr>
            <w:r>
              <w:rPr>
                <w:kern w:val="0"/>
                <w:szCs w:val="21"/>
              </w:rPr>
              <w:t>健康危害</w:t>
            </w:r>
          </w:p>
        </w:tc>
        <w:tc>
          <w:tcPr>
            <w:tcW w:w="6055" w:type="dxa"/>
            <w:gridSpan w:val="3"/>
            <w:tcBorders>
              <w:tl2br w:val="nil"/>
              <w:tr2bl w:val="nil"/>
            </w:tcBorders>
            <w:vAlign w:val="center"/>
          </w:tcPr>
          <w:p w:rsidR="00EE4502" w:rsidRDefault="00FD45A3">
            <w:pPr>
              <w:ind w:leftChars="-15" w:left="-31" w:rightChars="-15" w:right="-31"/>
              <w:jc w:val="center"/>
              <w:rPr>
                <w:kern w:val="0"/>
                <w:szCs w:val="21"/>
              </w:rPr>
            </w:pPr>
            <w:r>
              <w:rPr>
                <w:kern w:val="0"/>
                <w:szCs w:val="21"/>
              </w:rPr>
              <w:t>当空气中甲烷浓度达</w:t>
            </w:r>
            <w:r>
              <w:rPr>
                <w:kern w:val="0"/>
                <w:szCs w:val="21"/>
              </w:rPr>
              <w:t>25~30%</w:t>
            </w:r>
            <w:r>
              <w:rPr>
                <w:kern w:val="0"/>
                <w:szCs w:val="21"/>
              </w:rPr>
              <w:t>时，可引起头痛、头晕、乏力、注意力不集中、呼吸和心跳加速等</w:t>
            </w:r>
            <w:r>
              <w:rPr>
                <w:rFonts w:hint="eastAsia"/>
                <w:kern w:val="0"/>
                <w:szCs w:val="21"/>
              </w:rPr>
              <w:t>，</w:t>
            </w:r>
            <w:r>
              <w:rPr>
                <w:kern w:val="0"/>
                <w:szCs w:val="21"/>
              </w:rPr>
              <w:t>当甲烷浓度更高时，可能使人出现窒息、昏迷等</w:t>
            </w:r>
          </w:p>
        </w:tc>
      </w:tr>
      <w:tr w:rsidR="00EE4502">
        <w:trPr>
          <w:trHeight w:val="340"/>
          <w:jc w:val="center"/>
        </w:trPr>
        <w:tc>
          <w:tcPr>
            <w:tcW w:w="1176" w:type="dxa"/>
            <w:vMerge w:val="restart"/>
            <w:tcBorders>
              <w:tl2br w:val="nil"/>
              <w:tr2bl w:val="nil"/>
            </w:tcBorders>
            <w:vAlign w:val="center"/>
          </w:tcPr>
          <w:p w:rsidR="00EE4502" w:rsidRDefault="00FD45A3">
            <w:pPr>
              <w:ind w:leftChars="-15" w:left="-31" w:rightChars="-15" w:right="-31"/>
              <w:jc w:val="center"/>
              <w:rPr>
                <w:kern w:val="0"/>
                <w:szCs w:val="21"/>
              </w:rPr>
            </w:pPr>
            <w:r>
              <w:rPr>
                <w:kern w:val="0"/>
                <w:szCs w:val="21"/>
              </w:rPr>
              <w:t>燃烧</w:t>
            </w:r>
          </w:p>
          <w:p w:rsidR="00EE4502" w:rsidRDefault="00FD45A3">
            <w:pPr>
              <w:ind w:leftChars="-15" w:left="-31" w:rightChars="-15" w:right="-31"/>
              <w:jc w:val="center"/>
              <w:rPr>
                <w:kern w:val="0"/>
                <w:szCs w:val="21"/>
              </w:rPr>
            </w:pPr>
            <w:r>
              <w:rPr>
                <w:kern w:val="0"/>
                <w:szCs w:val="21"/>
              </w:rPr>
              <w:t>爆炸</w:t>
            </w:r>
          </w:p>
          <w:p w:rsidR="00EE4502" w:rsidRDefault="00FD45A3">
            <w:pPr>
              <w:ind w:leftChars="-15" w:left="-31" w:rightChars="-15" w:right="-31"/>
              <w:jc w:val="center"/>
              <w:rPr>
                <w:kern w:val="0"/>
                <w:szCs w:val="21"/>
              </w:rPr>
            </w:pPr>
            <w:r>
              <w:rPr>
                <w:kern w:val="0"/>
                <w:szCs w:val="21"/>
              </w:rPr>
              <w:t>危险</w:t>
            </w:r>
          </w:p>
          <w:p w:rsidR="00EE4502" w:rsidRDefault="00FD45A3">
            <w:pPr>
              <w:ind w:leftChars="-15" w:left="-31" w:rightChars="-15" w:right="-31"/>
              <w:jc w:val="center"/>
              <w:rPr>
                <w:kern w:val="0"/>
                <w:szCs w:val="21"/>
              </w:rPr>
            </w:pPr>
            <w:r>
              <w:rPr>
                <w:kern w:val="0"/>
                <w:szCs w:val="21"/>
              </w:rPr>
              <w:t>性</w:t>
            </w:r>
          </w:p>
        </w:tc>
        <w:tc>
          <w:tcPr>
            <w:tcW w:w="1065" w:type="dxa"/>
            <w:tcBorders>
              <w:tl2br w:val="nil"/>
              <w:tr2bl w:val="nil"/>
            </w:tcBorders>
            <w:vAlign w:val="center"/>
          </w:tcPr>
          <w:p w:rsidR="00EE4502" w:rsidRDefault="00FD45A3">
            <w:pPr>
              <w:ind w:leftChars="-15" w:left="-31" w:rightChars="-15" w:right="-31"/>
              <w:jc w:val="center"/>
              <w:rPr>
                <w:kern w:val="0"/>
                <w:szCs w:val="21"/>
              </w:rPr>
            </w:pPr>
            <w:r>
              <w:rPr>
                <w:kern w:val="0"/>
                <w:szCs w:val="21"/>
              </w:rPr>
              <w:t>燃烧性</w:t>
            </w:r>
          </w:p>
        </w:tc>
        <w:tc>
          <w:tcPr>
            <w:tcW w:w="2485" w:type="dxa"/>
            <w:tcBorders>
              <w:tl2br w:val="nil"/>
              <w:tr2bl w:val="nil"/>
            </w:tcBorders>
            <w:vAlign w:val="center"/>
          </w:tcPr>
          <w:p w:rsidR="00EE4502" w:rsidRDefault="00FD45A3">
            <w:pPr>
              <w:ind w:leftChars="-15" w:left="-31" w:rightChars="-15" w:right="-31"/>
              <w:jc w:val="center"/>
              <w:rPr>
                <w:kern w:val="0"/>
                <w:szCs w:val="21"/>
              </w:rPr>
            </w:pPr>
            <w:r>
              <w:rPr>
                <w:kern w:val="0"/>
                <w:szCs w:val="21"/>
              </w:rPr>
              <w:t>易燃</w:t>
            </w:r>
          </w:p>
        </w:tc>
        <w:tc>
          <w:tcPr>
            <w:tcW w:w="2714" w:type="dxa"/>
            <w:tcBorders>
              <w:tl2br w:val="nil"/>
              <w:tr2bl w:val="nil"/>
            </w:tcBorders>
            <w:vAlign w:val="center"/>
          </w:tcPr>
          <w:p w:rsidR="00EE4502" w:rsidRDefault="00FD45A3">
            <w:pPr>
              <w:ind w:leftChars="-15" w:left="-31" w:rightChars="-15" w:right="-31"/>
              <w:jc w:val="center"/>
              <w:rPr>
                <w:kern w:val="0"/>
                <w:szCs w:val="21"/>
              </w:rPr>
            </w:pPr>
            <w:r>
              <w:rPr>
                <w:rFonts w:hint="eastAsia"/>
                <w:kern w:val="0"/>
                <w:szCs w:val="21"/>
              </w:rPr>
              <w:t>建筑</w:t>
            </w:r>
            <w:r>
              <w:rPr>
                <w:kern w:val="0"/>
                <w:szCs w:val="21"/>
              </w:rPr>
              <w:t>火险等级</w:t>
            </w:r>
          </w:p>
        </w:tc>
        <w:tc>
          <w:tcPr>
            <w:tcW w:w="856" w:type="dxa"/>
            <w:tcBorders>
              <w:tl2br w:val="nil"/>
              <w:tr2bl w:val="nil"/>
            </w:tcBorders>
            <w:vAlign w:val="center"/>
          </w:tcPr>
          <w:p w:rsidR="00EE4502" w:rsidRDefault="00FD45A3">
            <w:pPr>
              <w:ind w:leftChars="-15" w:left="-31" w:rightChars="-15" w:right="-31"/>
              <w:jc w:val="center"/>
              <w:rPr>
                <w:kern w:val="0"/>
                <w:szCs w:val="21"/>
              </w:rPr>
            </w:pPr>
            <w:r>
              <w:rPr>
                <w:kern w:val="0"/>
                <w:szCs w:val="21"/>
              </w:rPr>
              <w:t>甲</w:t>
            </w:r>
          </w:p>
        </w:tc>
      </w:tr>
      <w:tr w:rsidR="00EE4502">
        <w:trPr>
          <w:trHeight w:val="340"/>
          <w:jc w:val="center"/>
        </w:trPr>
        <w:tc>
          <w:tcPr>
            <w:tcW w:w="1176" w:type="dxa"/>
            <w:vMerge/>
            <w:tcBorders>
              <w:tl2br w:val="nil"/>
              <w:tr2bl w:val="nil"/>
            </w:tcBorders>
            <w:vAlign w:val="center"/>
          </w:tcPr>
          <w:p w:rsidR="00EE4502" w:rsidRDefault="00EE4502">
            <w:pPr>
              <w:ind w:leftChars="-15" w:left="-31" w:rightChars="-15" w:right="-31"/>
              <w:jc w:val="center"/>
              <w:rPr>
                <w:kern w:val="0"/>
                <w:szCs w:val="21"/>
              </w:rPr>
            </w:pPr>
          </w:p>
        </w:tc>
        <w:tc>
          <w:tcPr>
            <w:tcW w:w="1065" w:type="dxa"/>
            <w:tcBorders>
              <w:tl2br w:val="nil"/>
              <w:tr2bl w:val="nil"/>
            </w:tcBorders>
            <w:vAlign w:val="center"/>
          </w:tcPr>
          <w:p w:rsidR="00EE4502" w:rsidRDefault="00FD45A3">
            <w:pPr>
              <w:ind w:leftChars="-15" w:left="-31" w:rightChars="-15" w:right="-31"/>
              <w:jc w:val="center"/>
              <w:rPr>
                <w:kern w:val="0"/>
                <w:szCs w:val="21"/>
              </w:rPr>
            </w:pPr>
            <w:r>
              <w:rPr>
                <w:kern w:val="0"/>
                <w:szCs w:val="21"/>
              </w:rPr>
              <w:t>闪点</w:t>
            </w:r>
            <w:r>
              <w:rPr>
                <w:rFonts w:hint="eastAsia"/>
                <w:kern w:val="0"/>
                <w:szCs w:val="21"/>
              </w:rPr>
              <w:t>（</w:t>
            </w:r>
            <w:r>
              <w:rPr>
                <w:rFonts w:ascii="宋体" w:hAnsi="宋体" w:cs="宋体" w:hint="eastAsia"/>
                <w:kern w:val="0"/>
                <w:szCs w:val="21"/>
              </w:rPr>
              <w:t>℃）</w:t>
            </w:r>
          </w:p>
        </w:tc>
        <w:tc>
          <w:tcPr>
            <w:tcW w:w="2485" w:type="dxa"/>
            <w:tcBorders>
              <w:tl2br w:val="nil"/>
              <w:tr2bl w:val="nil"/>
            </w:tcBorders>
            <w:vAlign w:val="center"/>
          </w:tcPr>
          <w:p w:rsidR="00EE4502" w:rsidRDefault="00FD45A3">
            <w:pPr>
              <w:ind w:leftChars="-15" w:left="-31" w:rightChars="-15" w:right="-31"/>
              <w:jc w:val="center"/>
              <w:rPr>
                <w:kern w:val="0"/>
                <w:szCs w:val="21"/>
              </w:rPr>
            </w:pPr>
            <w:r>
              <w:rPr>
                <w:kern w:val="0"/>
                <w:szCs w:val="21"/>
              </w:rPr>
              <w:t>-188</w:t>
            </w:r>
          </w:p>
        </w:tc>
        <w:tc>
          <w:tcPr>
            <w:tcW w:w="2714" w:type="dxa"/>
            <w:tcBorders>
              <w:tl2br w:val="nil"/>
              <w:tr2bl w:val="nil"/>
            </w:tcBorders>
            <w:vAlign w:val="center"/>
          </w:tcPr>
          <w:p w:rsidR="00EE4502" w:rsidRDefault="00FD45A3">
            <w:pPr>
              <w:ind w:leftChars="-15" w:left="-31" w:rightChars="-15" w:right="-31"/>
              <w:jc w:val="center"/>
              <w:rPr>
                <w:kern w:val="0"/>
                <w:szCs w:val="21"/>
              </w:rPr>
            </w:pPr>
            <w:r>
              <w:rPr>
                <w:kern w:val="0"/>
                <w:szCs w:val="21"/>
              </w:rPr>
              <w:t>爆炸下限</w:t>
            </w:r>
            <w:r>
              <w:rPr>
                <w:rFonts w:hint="eastAsia"/>
                <w:kern w:val="0"/>
                <w:szCs w:val="21"/>
              </w:rPr>
              <w:t>（</w:t>
            </w:r>
            <w:r>
              <w:rPr>
                <w:kern w:val="0"/>
                <w:szCs w:val="21"/>
              </w:rPr>
              <w:t>V%</w:t>
            </w:r>
            <w:r>
              <w:rPr>
                <w:rFonts w:hint="eastAsia"/>
                <w:kern w:val="0"/>
                <w:szCs w:val="21"/>
              </w:rPr>
              <w:t>）</w:t>
            </w:r>
          </w:p>
        </w:tc>
        <w:tc>
          <w:tcPr>
            <w:tcW w:w="856" w:type="dxa"/>
            <w:tcBorders>
              <w:tl2br w:val="nil"/>
              <w:tr2bl w:val="nil"/>
            </w:tcBorders>
            <w:vAlign w:val="center"/>
          </w:tcPr>
          <w:p w:rsidR="00EE4502" w:rsidRDefault="00FD45A3">
            <w:pPr>
              <w:ind w:leftChars="-15" w:left="-31" w:rightChars="-15" w:right="-31"/>
              <w:jc w:val="center"/>
              <w:rPr>
                <w:kern w:val="0"/>
                <w:szCs w:val="21"/>
              </w:rPr>
            </w:pPr>
            <w:r>
              <w:rPr>
                <w:kern w:val="0"/>
                <w:szCs w:val="21"/>
              </w:rPr>
              <w:t>5</w:t>
            </w:r>
          </w:p>
        </w:tc>
      </w:tr>
      <w:tr w:rsidR="00EE4502">
        <w:trPr>
          <w:trHeight w:val="340"/>
          <w:jc w:val="center"/>
        </w:trPr>
        <w:tc>
          <w:tcPr>
            <w:tcW w:w="1176" w:type="dxa"/>
            <w:vMerge/>
            <w:tcBorders>
              <w:tl2br w:val="nil"/>
              <w:tr2bl w:val="nil"/>
            </w:tcBorders>
            <w:vAlign w:val="center"/>
          </w:tcPr>
          <w:p w:rsidR="00EE4502" w:rsidRDefault="00EE4502">
            <w:pPr>
              <w:ind w:leftChars="-15" w:left="-31" w:rightChars="-15" w:right="-31"/>
              <w:jc w:val="center"/>
              <w:rPr>
                <w:kern w:val="0"/>
                <w:szCs w:val="21"/>
              </w:rPr>
            </w:pPr>
          </w:p>
        </w:tc>
        <w:tc>
          <w:tcPr>
            <w:tcW w:w="1065" w:type="dxa"/>
            <w:tcBorders>
              <w:tl2br w:val="nil"/>
              <w:tr2bl w:val="nil"/>
            </w:tcBorders>
            <w:vAlign w:val="center"/>
          </w:tcPr>
          <w:p w:rsidR="00EE4502" w:rsidRDefault="00FD45A3">
            <w:pPr>
              <w:ind w:leftChars="-15" w:left="-31" w:rightChars="-15" w:right="-31"/>
              <w:jc w:val="center"/>
              <w:rPr>
                <w:kern w:val="0"/>
                <w:szCs w:val="21"/>
              </w:rPr>
            </w:pPr>
            <w:r>
              <w:rPr>
                <w:kern w:val="0"/>
                <w:szCs w:val="21"/>
              </w:rPr>
              <w:t>自燃温度</w:t>
            </w:r>
            <w:r>
              <w:rPr>
                <w:rFonts w:hint="eastAsia"/>
                <w:kern w:val="0"/>
                <w:szCs w:val="21"/>
              </w:rPr>
              <w:t>（</w:t>
            </w:r>
            <w:r>
              <w:rPr>
                <w:rFonts w:ascii="宋体" w:hAnsi="宋体" w:cs="宋体" w:hint="eastAsia"/>
                <w:kern w:val="0"/>
                <w:szCs w:val="21"/>
              </w:rPr>
              <w:t>℃）</w:t>
            </w:r>
          </w:p>
        </w:tc>
        <w:tc>
          <w:tcPr>
            <w:tcW w:w="2485" w:type="dxa"/>
            <w:tcBorders>
              <w:tl2br w:val="nil"/>
              <w:tr2bl w:val="nil"/>
            </w:tcBorders>
            <w:vAlign w:val="center"/>
          </w:tcPr>
          <w:p w:rsidR="00EE4502" w:rsidRDefault="00FD45A3">
            <w:pPr>
              <w:ind w:leftChars="-15" w:left="-31" w:rightChars="-15" w:right="-31"/>
              <w:jc w:val="center"/>
              <w:rPr>
                <w:kern w:val="0"/>
                <w:szCs w:val="21"/>
              </w:rPr>
            </w:pPr>
            <w:r>
              <w:rPr>
                <w:kern w:val="0"/>
                <w:szCs w:val="21"/>
              </w:rPr>
              <w:t>538</w:t>
            </w:r>
          </w:p>
        </w:tc>
        <w:tc>
          <w:tcPr>
            <w:tcW w:w="2714" w:type="dxa"/>
            <w:tcBorders>
              <w:tl2br w:val="nil"/>
              <w:tr2bl w:val="nil"/>
            </w:tcBorders>
            <w:vAlign w:val="center"/>
          </w:tcPr>
          <w:p w:rsidR="00EE4502" w:rsidRDefault="00FD45A3">
            <w:pPr>
              <w:ind w:leftChars="-15" w:left="-31" w:rightChars="-15" w:right="-31"/>
              <w:jc w:val="center"/>
              <w:rPr>
                <w:kern w:val="0"/>
                <w:szCs w:val="21"/>
              </w:rPr>
            </w:pPr>
            <w:r>
              <w:rPr>
                <w:kern w:val="0"/>
                <w:szCs w:val="21"/>
              </w:rPr>
              <w:t>爆炸上限</w:t>
            </w:r>
            <w:r>
              <w:rPr>
                <w:rFonts w:hint="eastAsia"/>
                <w:kern w:val="0"/>
                <w:szCs w:val="21"/>
              </w:rPr>
              <w:t>（</w:t>
            </w:r>
            <w:r>
              <w:rPr>
                <w:kern w:val="0"/>
                <w:szCs w:val="21"/>
              </w:rPr>
              <w:t>V%</w:t>
            </w:r>
            <w:r>
              <w:rPr>
                <w:rFonts w:hint="eastAsia"/>
                <w:kern w:val="0"/>
                <w:szCs w:val="21"/>
              </w:rPr>
              <w:t>）</w:t>
            </w:r>
          </w:p>
        </w:tc>
        <w:tc>
          <w:tcPr>
            <w:tcW w:w="856" w:type="dxa"/>
            <w:tcBorders>
              <w:tl2br w:val="nil"/>
              <w:tr2bl w:val="nil"/>
            </w:tcBorders>
            <w:vAlign w:val="center"/>
          </w:tcPr>
          <w:p w:rsidR="00EE4502" w:rsidRDefault="00FD45A3">
            <w:pPr>
              <w:ind w:leftChars="-15" w:left="-31" w:rightChars="-15" w:right="-31"/>
              <w:jc w:val="center"/>
              <w:rPr>
                <w:kern w:val="0"/>
                <w:szCs w:val="21"/>
              </w:rPr>
            </w:pPr>
            <w:r>
              <w:rPr>
                <w:kern w:val="0"/>
                <w:szCs w:val="21"/>
              </w:rPr>
              <w:t>15</w:t>
            </w:r>
          </w:p>
        </w:tc>
      </w:tr>
      <w:tr w:rsidR="00EE4502">
        <w:trPr>
          <w:trHeight w:val="887"/>
          <w:jc w:val="center"/>
        </w:trPr>
        <w:tc>
          <w:tcPr>
            <w:tcW w:w="1176" w:type="dxa"/>
            <w:vMerge/>
            <w:tcBorders>
              <w:tl2br w:val="nil"/>
              <w:tr2bl w:val="nil"/>
            </w:tcBorders>
            <w:vAlign w:val="center"/>
          </w:tcPr>
          <w:p w:rsidR="00EE4502" w:rsidRDefault="00EE4502">
            <w:pPr>
              <w:ind w:leftChars="-15" w:left="-31" w:rightChars="-15" w:right="-31"/>
              <w:jc w:val="center"/>
              <w:rPr>
                <w:kern w:val="0"/>
                <w:szCs w:val="21"/>
              </w:rPr>
            </w:pPr>
          </w:p>
        </w:tc>
        <w:tc>
          <w:tcPr>
            <w:tcW w:w="1065" w:type="dxa"/>
            <w:tcBorders>
              <w:tl2br w:val="nil"/>
              <w:tr2bl w:val="nil"/>
            </w:tcBorders>
            <w:vAlign w:val="center"/>
          </w:tcPr>
          <w:p w:rsidR="00EE4502" w:rsidRDefault="00FD45A3">
            <w:pPr>
              <w:ind w:leftChars="-15" w:left="-31" w:rightChars="-15" w:right="-31"/>
              <w:jc w:val="center"/>
              <w:rPr>
                <w:kern w:val="0"/>
                <w:szCs w:val="21"/>
              </w:rPr>
            </w:pPr>
            <w:r>
              <w:rPr>
                <w:kern w:val="0"/>
                <w:szCs w:val="21"/>
              </w:rPr>
              <w:t>危险特性</w:t>
            </w:r>
          </w:p>
        </w:tc>
        <w:tc>
          <w:tcPr>
            <w:tcW w:w="6055" w:type="dxa"/>
            <w:gridSpan w:val="3"/>
            <w:tcBorders>
              <w:tl2br w:val="nil"/>
              <w:tr2bl w:val="nil"/>
            </w:tcBorders>
            <w:vAlign w:val="center"/>
          </w:tcPr>
          <w:p w:rsidR="00EE4502" w:rsidRDefault="00FD45A3">
            <w:pPr>
              <w:ind w:leftChars="-15" w:left="-31" w:rightChars="-15" w:right="-31"/>
              <w:jc w:val="center"/>
              <w:rPr>
                <w:kern w:val="0"/>
                <w:szCs w:val="21"/>
              </w:rPr>
            </w:pPr>
            <w:r>
              <w:rPr>
                <w:kern w:val="0"/>
                <w:szCs w:val="21"/>
              </w:rPr>
              <w:t>甲烷与空气混合能形成爆炸性混合物，当在爆炸极限范围内遇明火、高热能时引起燃烧爆炸</w:t>
            </w:r>
            <w:r>
              <w:rPr>
                <w:rFonts w:hint="eastAsia"/>
                <w:kern w:val="0"/>
                <w:szCs w:val="21"/>
              </w:rPr>
              <w:t>；</w:t>
            </w:r>
            <w:r>
              <w:rPr>
                <w:kern w:val="0"/>
                <w:szCs w:val="21"/>
              </w:rPr>
              <w:t>甲烷若遇高热，容器内压增大，有开裂和爆炸的危险</w:t>
            </w:r>
            <w:r>
              <w:rPr>
                <w:rFonts w:hint="eastAsia"/>
                <w:kern w:val="0"/>
                <w:szCs w:val="21"/>
              </w:rPr>
              <w:t>，</w:t>
            </w:r>
            <w:r>
              <w:rPr>
                <w:kern w:val="0"/>
                <w:szCs w:val="21"/>
              </w:rPr>
              <w:t>甲烷与氟、氯等发生剧烈的化学反应</w:t>
            </w:r>
          </w:p>
        </w:tc>
      </w:tr>
    </w:tbl>
    <w:bookmarkEnd w:id="228"/>
    <w:p w:rsidR="00EE4502" w:rsidRDefault="00FD45A3">
      <w:pPr>
        <w:keepNext/>
        <w:keepLines/>
        <w:numPr>
          <w:ilvl w:val="3"/>
          <w:numId w:val="30"/>
        </w:numPr>
        <w:spacing w:line="360" w:lineRule="auto"/>
        <w:outlineLvl w:val="3"/>
        <w:rPr>
          <w:sz w:val="24"/>
        </w:rPr>
      </w:pPr>
      <w:r>
        <w:rPr>
          <w:rFonts w:hint="eastAsia"/>
          <w:sz w:val="24"/>
        </w:rPr>
        <w:t>井场危险性识别</w:t>
      </w:r>
    </w:p>
    <w:p w:rsidR="00EE4502" w:rsidRDefault="00FD45A3">
      <w:pPr>
        <w:spacing w:line="360" w:lineRule="auto"/>
        <w:ind w:firstLineChars="200" w:firstLine="480"/>
        <w:rPr>
          <w:sz w:val="24"/>
        </w:rPr>
      </w:pPr>
      <w:r>
        <w:rPr>
          <w:sz w:val="24"/>
        </w:rPr>
        <w:t>（</w:t>
      </w:r>
      <w:r>
        <w:rPr>
          <w:sz w:val="24"/>
        </w:rPr>
        <w:t>1</w:t>
      </w:r>
      <w:r>
        <w:rPr>
          <w:sz w:val="24"/>
        </w:rPr>
        <w:t>）井喷事故风险</w:t>
      </w:r>
    </w:p>
    <w:p w:rsidR="00EE4502" w:rsidRDefault="00FD45A3">
      <w:pPr>
        <w:spacing w:line="360" w:lineRule="auto"/>
        <w:ind w:firstLineChars="200" w:firstLine="480"/>
        <w:rPr>
          <w:sz w:val="24"/>
        </w:rPr>
      </w:pPr>
      <w:r>
        <w:rPr>
          <w:rFonts w:hint="eastAsia"/>
          <w:sz w:val="24"/>
        </w:rPr>
        <w:t>井喷为井场常见事故。钻井过程中遇到地下油、水层时，油或水窜进井内的钻井液里，加快了钻井液流动和循环的速度。如果井底压力小于地层压力，地层流体将进入井筒并推动钻井液外溢，即发生溢流。此时，如果对地下油、气压力平衡控制不当，不能及时控制溢流，会造成油、水或其他混合物迅速喷到地面，即发生井喷。井喷会引发原油泄漏及火灾爆炸，对空气环境、水环境及生态环境造成危害，致使人员伤亡、财产损失。本工程主要为稠油开发，稠油粘性大，需要掺稀、注水或注汽开发等，井喷的可能性很小，但也并非绝对不可能，从最不利的角度，本次评价依然将其</w:t>
      </w:r>
      <w:r>
        <w:rPr>
          <w:rFonts w:hint="eastAsia"/>
          <w:sz w:val="24"/>
        </w:rPr>
        <w:t>作为一种风险事故考虑</w:t>
      </w:r>
      <w:r>
        <w:rPr>
          <w:sz w:val="24"/>
        </w:rPr>
        <w:t>。</w:t>
      </w:r>
    </w:p>
    <w:p w:rsidR="00EE4502" w:rsidRDefault="00FD45A3">
      <w:pPr>
        <w:spacing w:line="360" w:lineRule="auto"/>
        <w:ind w:firstLineChars="200" w:firstLine="480"/>
        <w:rPr>
          <w:sz w:val="24"/>
        </w:rPr>
      </w:pPr>
      <w:r>
        <w:rPr>
          <w:sz w:val="24"/>
        </w:rPr>
        <w:t>（</w:t>
      </w:r>
      <w:r>
        <w:rPr>
          <w:sz w:val="24"/>
        </w:rPr>
        <w:t>2</w:t>
      </w:r>
      <w:r>
        <w:rPr>
          <w:sz w:val="24"/>
        </w:rPr>
        <w:t>）井漏事故风险</w:t>
      </w:r>
    </w:p>
    <w:p w:rsidR="00EE4502" w:rsidRDefault="00FD45A3">
      <w:pPr>
        <w:spacing w:line="360" w:lineRule="auto"/>
        <w:ind w:firstLineChars="200" w:firstLine="480"/>
      </w:pPr>
      <w:r>
        <w:rPr>
          <w:rFonts w:hint="eastAsia"/>
          <w:sz w:val="24"/>
        </w:rPr>
        <w:t>钻井施工表层套管下入深度不够或固井质量不好可能引发污染地下水事故，如原油上窜造成地下水污染等</w:t>
      </w:r>
      <w:r>
        <w:rPr>
          <w:sz w:val="24"/>
        </w:rPr>
        <w:t>。</w:t>
      </w:r>
    </w:p>
    <w:p w:rsidR="00EE4502" w:rsidRDefault="00FD45A3">
      <w:pPr>
        <w:keepNext/>
        <w:keepLines/>
        <w:numPr>
          <w:ilvl w:val="3"/>
          <w:numId w:val="30"/>
        </w:numPr>
        <w:spacing w:line="360" w:lineRule="auto"/>
        <w:outlineLvl w:val="3"/>
        <w:rPr>
          <w:sz w:val="24"/>
        </w:rPr>
      </w:pPr>
      <w:r>
        <w:rPr>
          <w:rFonts w:hint="eastAsia"/>
          <w:sz w:val="24"/>
        </w:rPr>
        <w:lastRenderedPageBreak/>
        <w:t>输油管道危险性识别</w:t>
      </w:r>
    </w:p>
    <w:p w:rsidR="00EE4502" w:rsidRDefault="00FD45A3">
      <w:pPr>
        <w:spacing w:line="360" w:lineRule="auto"/>
        <w:ind w:firstLineChars="200" w:firstLine="480"/>
      </w:pPr>
      <w:r>
        <w:rPr>
          <w:rFonts w:hint="eastAsia"/>
          <w:sz w:val="24"/>
        </w:rPr>
        <w:t>管道输送是一种安全可行的输送方式，但存在于环境中的管道会受到各种环境因素的作用，同时管道本身的设计、管材制造、施工、操作运行和管理等各环节都可能存在着缺陷和失误，所有这些因素都可能导致事故的发生。发生的事故主要为管线破裂造成的原油泄漏，直接污染周围土壤，还可能对区域地下水造成污染</w:t>
      </w:r>
      <w:r>
        <w:rPr>
          <w:sz w:val="24"/>
        </w:rPr>
        <w:t>。</w:t>
      </w:r>
    </w:p>
    <w:p w:rsidR="00EE4502" w:rsidRDefault="00FD45A3">
      <w:pPr>
        <w:keepNext/>
        <w:keepLines/>
        <w:numPr>
          <w:ilvl w:val="3"/>
          <w:numId w:val="30"/>
        </w:numPr>
        <w:spacing w:line="360" w:lineRule="auto"/>
        <w:outlineLvl w:val="3"/>
        <w:rPr>
          <w:sz w:val="24"/>
        </w:rPr>
      </w:pPr>
      <w:r>
        <w:rPr>
          <w:rFonts w:hint="eastAsia"/>
          <w:sz w:val="24"/>
        </w:rPr>
        <w:t>风险类型识别</w:t>
      </w:r>
    </w:p>
    <w:p w:rsidR="00EE4502" w:rsidRDefault="00FD45A3">
      <w:pPr>
        <w:spacing w:line="360" w:lineRule="auto"/>
        <w:ind w:firstLineChars="200" w:firstLine="480"/>
        <w:rPr>
          <w:sz w:val="24"/>
        </w:rPr>
      </w:pPr>
      <w:r>
        <w:rPr>
          <w:rFonts w:hint="eastAsia"/>
          <w:sz w:val="24"/>
        </w:rPr>
        <w:t>通过分析本工程可能涉及的危险物质及危险场所及危险特性，本工程可能发生的环境风险主要包括井喷、井漏、油类泄漏、火灾、爆炸等引发的伴生</w:t>
      </w:r>
      <w:r>
        <w:rPr>
          <w:rFonts w:hint="eastAsia"/>
          <w:sz w:val="24"/>
        </w:rPr>
        <w:t>/</w:t>
      </w:r>
      <w:r>
        <w:rPr>
          <w:rFonts w:hint="eastAsia"/>
          <w:sz w:val="24"/>
        </w:rPr>
        <w:t>次生污染物排放。</w:t>
      </w:r>
    </w:p>
    <w:p w:rsidR="00EE4502" w:rsidRDefault="00FD45A3">
      <w:pPr>
        <w:spacing w:line="360" w:lineRule="auto"/>
        <w:ind w:firstLineChars="200" w:firstLine="480"/>
      </w:pPr>
      <w:r>
        <w:rPr>
          <w:rFonts w:hint="eastAsia"/>
          <w:sz w:val="24"/>
        </w:rPr>
        <w:t>运营期管线发生破损造成原油泄漏，会污染土壤和大气，泄漏原油有可能通过包气带渗漏进入地下含水层，污染地下水；泄漏的原油、天然气若遇明火，发生火灾、爆炸，污染大气环境</w:t>
      </w:r>
      <w:r>
        <w:rPr>
          <w:sz w:val="24"/>
        </w:rPr>
        <w:t>。</w:t>
      </w:r>
    </w:p>
    <w:p w:rsidR="00EE4502" w:rsidRDefault="00FD45A3">
      <w:pPr>
        <w:keepNext/>
        <w:keepLines/>
        <w:numPr>
          <w:ilvl w:val="2"/>
          <w:numId w:val="30"/>
        </w:numPr>
        <w:spacing w:line="360" w:lineRule="auto"/>
        <w:outlineLvl w:val="2"/>
        <w:rPr>
          <w:rFonts w:eastAsia="黑体"/>
          <w:sz w:val="24"/>
        </w:rPr>
      </w:pPr>
      <w:r>
        <w:rPr>
          <w:rFonts w:eastAsia="黑体" w:hint="eastAsia"/>
          <w:sz w:val="24"/>
        </w:rPr>
        <w:t>环境风险分析</w:t>
      </w:r>
    </w:p>
    <w:p w:rsidR="00EE4502" w:rsidRDefault="00FD45A3">
      <w:pPr>
        <w:keepNext/>
        <w:keepLines/>
        <w:numPr>
          <w:ilvl w:val="3"/>
          <w:numId w:val="30"/>
        </w:numPr>
        <w:spacing w:line="360" w:lineRule="auto"/>
        <w:outlineLvl w:val="3"/>
        <w:rPr>
          <w:sz w:val="24"/>
        </w:rPr>
      </w:pPr>
      <w:r>
        <w:rPr>
          <w:rFonts w:hint="eastAsia"/>
          <w:sz w:val="24"/>
        </w:rPr>
        <w:t>井喷事故影响分析</w:t>
      </w:r>
    </w:p>
    <w:p w:rsidR="00EE4502" w:rsidRDefault="00FD45A3">
      <w:pPr>
        <w:spacing w:line="360" w:lineRule="auto"/>
        <w:ind w:firstLineChars="200" w:firstLine="480"/>
        <w:rPr>
          <w:sz w:val="24"/>
        </w:rPr>
      </w:pPr>
      <w:r>
        <w:rPr>
          <w:rFonts w:hint="eastAsia"/>
          <w:sz w:val="24"/>
        </w:rPr>
        <w:t>井喷事故一旦发生，大量的原油喷出井口，散落于井场周围，据类比资料显示，井喷范围内土壤表层可见有蜡状的原油喷散物，井喷的影响范围及影响程度较大。由于工程区人烟稀少，所</w:t>
      </w:r>
      <w:r>
        <w:rPr>
          <w:rFonts w:hint="eastAsia"/>
          <w:sz w:val="24"/>
        </w:rPr>
        <w:t>以井喷对人员的伤害有限，对工程区及周边土壤环境、大气环境、地下水产生影响。</w:t>
      </w:r>
    </w:p>
    <w:p w:rsidR="00EE4502" w:rsidRDefault="00FD45A3">
      <w:pPr>
        <w:spacing w:line="360" w:lineRule="auto"/>
        <w:ind w:firstLineChars="200" w:firstLine="480"/>
      </w:pPr>
      <w:r>
        <w:rPr>
          <w:rFonts w:hint="eastAsia"/>
          <w:sz w:val="24"/>
        </w:rPr>
        <w:t>井喷事故发生时对地下水环境的影响主要是原油以面源的形式渗漏进入包气带土壤并污染地下水。污染物迁移途径为地表以下的包气带和含水层，然后随地下水流动而污染地下水。石油类污染物主要聚积在土壤表层</w:t>
      </w:r>
      <w:r>
        <w:rPr>
          <w:rFonts w:hint="eastAsia"/>
          <w:sz w:val="24"/>
        </w:rPr>
        <w:t>1m</w:t>
      </w:r>
      <w:r>
        <w:rPr>
          <w:rFonts w:hint="eastAsia"/>
          <w:sz w:val="24"/>
        </w:rPr>
        <w:t>以内，一般很难渗入到</w:t>
      </w:r>
      <w:r>
        <w:rPr>
          <w:rFonts w:hint="eastAsia"/>
          <w:sz w:val="24"/>
        </w:rPr>
        <w:t>2m</w:t>
      </w:r>
      <w:r>
        <w:rPr>
          <w:rFonts w:hint="eastAsia"/>
          <w:sz w:val="24"/>
        </w:rPr>
        <w:t>以下。同时油田区域气候干旱少雨，不存在大量降水的淋滤作用。因此，井喷事故中的泄漏原油不会进入地下含水层污染地下水</w:t>
      </w:r>
      <w:r>
        <w:rPr>
          <w:sz w:val="24"/>
        </w:rPr>
        <w:t>。</w:t>
      </w:r>
    </w:p>
    <w:p w:rsidR="00EE4502" w:rsidRDefault="00FD45A3">
      <w:pPr>
        <w:keepNext/>
        <w:keepLines/>
        <w:numPr>
          <w:ilvl w:val="3"/>
          <w:numId w:val="30"/>
        </w:numPr>
        <w:spacing w:line="360" w:lineRule="auto"/>
        <w:outlineLvl w:val="3"/>
        <w:rPr>
          <w:sz w:val="24"/>
        </w:rPr>
      </w:pPr>
      <w:r>
        <w:rPr>
          <w:rFonts w:hint="eastAsia"/>
          <w:sz w:val="24"/>
        </w:rPr>
        <w:t>井漏事故影响分析</w:t>
      </w:r>
    </w:p>
    <w:p w:rsidR="00EE4502" w:rsidRDefault="00FD45A3">
      <w:pPr>
        <w:spacing w:line="360" w:lineRule="auto"/>
        <w:ind w:firstLineChars="200" w:firstLine="480"/>
        <w:rPr>
          <w:sz w:val="24"/>
        </w:rPr>
      </w:pPr>
      <w:r>
        <w:rPr>
          <w:rFonts w:hint="eastAsia"/>
          <w:sz w:val="24"/>
        </w:rPr>
        <w:t>井漏事故主要为钻井过程中钻井液漏失和运营期油水窜层。</w:t>
      </w:r>
    </w:p>
    <w:p w:rsidR="00EE4502" w:rsidRDefault="00FD45A3">
      <w:pPr>
        <w:spacing w:line="360" w:lineRule="auto"/>
        <w:ind w:firstLineChars="200" w:firstLine="480"/>
        <w:rPr>
          <w:sz w:val="24"/>
        </w:rPr>
      </w:pPr>
      <w:r>
        <w:rPr>
          <w:rFonts w:hint="eastAsia"/>
          <w:sz w:val="24"/>
        </w:rPr>
        <w:t>井漏事故对地下水的污染是钻井液或者采出液漏失于地下水含水层中，由于钻井液中含</w:t>
      </w:r>
      <w:r>
        <w:rPr>
          <w:rFonts w:hint="eastAsia"/>
          <w:sz w:val="24"/>
        </w:rPr>
        <w:t>Ca</w:t>
      </w:r>
      <w:r>
        <w:rPr>
          <w:rFonts w:hint="eastAsia"/>
          <w:sz w:val="24"/>
        </w:rPr>
        <w:t>、</w:t>
      </w:r>
      <w:r>
        <w:rPr>
          <w:rFonts w:hint="eastAsia"/>
          <w:sz w:val="24"/>
        </w:rPr>
        <w:t>Na</w:t>
      </w:r>
      <w:r>
        <w:rPr>
          <w:rFonts w:hint="eastAsia"/>
          <w:sz w:val="24"/>
        </w:rPr>
        <w:t>等离子，且</w:t>
      </w:r>
      <w:r>
        <w:rPr>
          <w:rFonts w:hint="eastAsia"/>
          <w:sz w:val="24"/>
        </w:rPr>
        <w:t>pH</w:t>
      </w:r>
      <w:r>
        <w:rPr>
          <w:rFonts w:hint="eastAsia"/>
          <w:sz w:val="24"/>
        </w:rPr>
        <w:t>、盐分都很多，采出液中含石油类，均会造成地下含水层水质污染。</w:t>
      </w:r>
    </w:p>
    <w:p w:rsidR="00EE4502" w:rsidRDefault="00FD45A3">
      <w:pPr>
        <w:spacing w:line="360" w:lineRule="auto"/>
        <w:ind w:firstLineChars="200" w:firstLine="480"/>
      </w:pPr>
      <w:r>
        <w:rPr>
          <w:rFonts w:hint="eastAsia"/>
          <w:sz w:val="24"/>
        </w:rPr>
        <w:t>本工程采用套管保护含水层，表层套管完全封闭各含水层，固井水泥均上返</w:t>
      </w:r>
      <w:r>
        <w:rPr>
          <w:rFonts w:hint="eastAsia"/>
          <w:sz w:val="24"/>
        </w:rPr>
        <w:lastRenderedPageBreak/>
        <w:t>地面，这样，在各含水层与井筒间形成双层套管、单层水泥环的保护措施，将事故风险降低到最低</w:t>
      </w:r>
      <w:r>
        <w:rPr>
          <w:sz w:val="24"/>
        </w:rPr>
        <w:t>。</w:t>
      </w:r>
    </w:p>
    <w:p w:rsidR="00EE4502" w:rsidRDefault="00FD45A3">
      <w:pPr>
        <w:keepNext/>
        <w:keepLines/>
        <w:numPr>
          <w:ilvl w:val="3"/>
          <w:numId w:val="30"/>
        </w:numPr>
        <w:spacing w:line="360" w:lineRule="auto"/>
        <w:outlineLvl w:val="3"/>
        <w:rPr>
          <w:sz w:val="24"/>
        </w:rPr>
      </w:pPr>
      <w:r>
        <w:rPr>
          <w:rFonts w:hint="eastAsia"/>
          <w:sz w:val="24"/>
        </w:rPr>
        <w:t>对大气环境的影响分析</w:t>
      </w:r>
    </w:p>
    <w:p w:rsidR="00EE4502" w:rsidRDefault="00FD45A3">
      <w:pPr>
        <w:spacing w:line="360" w:lineRule="auto"/>
        <w:ind w:firstLineChars="200" w:firstLine="480"/>
      </w:pPr>
      <w:r>
        <w:rPr>
          <w:rFonts w:hint="eastAsia"/>
          <w:sz w:val="24"/>
        </w:rPr>
        <w:t>发生井喷、泄漏等事故后，油品进入环境，其中挥发的</w:t>
      </w:r>
      <w:r>
        <w:rPr>
          <w:rFonts w:hint="eastAsia"/>
          <w:sz w:val="24"/>
        </w:rPr>
        <w:t>NMHC</w:t>
      </w:r>
      <w:r>
        <w:rPr>
          <w:rFonts w:hint="eastAsia"/>
          <w:sz w:val="24"/>
        </w:rPr>
        <w:t>可能会对周围环境空气产生影响，若遇明火，可发生火灾、爆炸，火灾、爆炸产生的伴生</w:t>
      </w:r>
      <w:r>
        <w:rPr>
          <w:rFonts w:hint="eastAsia"/>
          <w:sz w:val="24"/>
        </w:rPr>
        <w:t>/</w:t>
      </w:r>
      <w:r>
        <w:rPr>
          <w:rFonts w:hint="eastAsia"/>
          <w:sz w:val="24"/>
        </w:rPr>
        <w:t>次生污染物可能对环境空气产生一定的影</w:t>
      </w:r>
      <w:r>
        <w:rPr>
          <w:rFonts w:hint="eastAsia"/>
          <w:sz w:val="24"/>
        </w:rPr>
        <w:t>响。由于项目所在地域空旷，大气扩散条件较好，发生事故后，及时采取相应的措施，不会对周围环境空气产生明显影响</w:t>
      </w:r>
      <w:r>
        <w:rPr>
          <w:sz w:val="24"/>
        </w:rPr>
        <w:t>。</w:t>
      </w:r>
    </w:p>
    <w:p w:rsidR="00EE4502" w:rsidRDefault="00FD45A3">
      <w:pPr>
        <w:keepNext/>
        <w:keepLines/>
        <w:numPr>
          <w:ilvl w:val="3"/>
          <w:numId w:val="30"/>
        </w:numPr>
        <w:spacing w:line="360" w:lineRule="auto"/>
        <w:outlineLvl w:val="3"/>
        <w:rPr>
          <w:sz w:val="24"/>
        </w:rPr>
      </w:pPr>
      <w:r>
        <w:rPr>
          <w:rFonts w:hint="eastAsia"/>
          <w:sz w:val="24"/>
        </w:rPr>
        <w:t>对地下水的环境影响分析</w:t>
      </w:r>
    </w:p>
    <w:p w:rsidR="00EE4502" w:rsidRDefault="00FD45A3">
      <w:pPr>
        <w:spacing w:line="360" w:lineRule="auto"/>
        <w:ind w:firstLineChars="200" w:firstLine="480"/>
        <w:rPr>
          <w:sz w:val="24"/>
        </w:rPr>
      </w:pPr>
      <w:r>
        <w:rPr>
          <w:rFonts w:hint="eastAsia"/>
          <w:sz w:val="24"/>
        </w:rPr>
        <w:t>（</w:t>
      </w:r>
      <w:r>
        <w:rPr>
          <w:rFonts w:hint="eastAsia"/>
          <w:sz w:val="24"/>
        </w:rPr>
        <w:t>1</w:t>
      </w:r>
      <w:r>
        <w:rPr>
          <w:rFonts w:hint="eastAsia"/>
          <w:sz w:val="24"/>
        </w:rPr>
        <w:t>）输油管道敷设在地表以下，运营期在正常情况下对地下水无影响，只有在发生事故时才可能影响到地下水。输油管道发生事故时，漏油能否对地下水环境产生影响，取决于油在土壤中的迁移转化、地面污染程度以及泄漏点的地质构造。发生泄漏事故后，若及时维修处理，即使有少量的污染物泄漏，也很难通过防渗层渗入包气带。故在正常工况下，加大检修力度，发生泄漏事故及时找到泄漏点，及时维修，并将受污染的土</w:t>
      </w:r>
      <w:r>
        <w:rPr>
          <w:rFonts w:hint="eastAsia"/>
          <w:sz w:val="24"/>
        </w:rPr>
        <w:t>壤全部集中收集，交由有资质的单位进行处理，污染物从源头和末端均得到控制，阻断了污染地下水的通道，污染物不会渗入地下污染地下水体。当泄漏事故不可控时，泄漏的油品经土层渗漏，通过包气带进入含水层。根据《采油废水中石油类污染物在土壤中的迁移规律研究》（岳占林文）中结论：风沙土尽管颗粒较粗、结构较松散、孔隙比较大，但对石油类物质的截留作用是非常显著的，石油类很难在土壤剖面中随水下渗迁移，基本上被截留在</w:t>
      </w:r>
      <w:r>
        <w:rPr>
          <w:rFonts w:hint="eastAsia"/>
          <w:sz w:val="24"/>
        </w:rPr>
        <w:t>0cm</w:t>
      </w:r>
      <w:r>
        <w:rPr>
          <w:rFonts w:hint="eastAsia"/>
          <w:sz w:val="24"/>
        </w:rPr>
        <w:t>～</w:t>
      </w:r>
      <w:r>
        <w:rPr>
          <w:rFonts w:hint="eastAsia"/>
          <w:sz w:val="24"/>
        </w:rPr>
        <w:t>10cm</w:t>
      </w:r>
      <w:r>
        <w:rPr>
          <w:rFonts w:hint="eastAsia"/>
          <w:sz w:val="24"/>
        </w:rPr>
        <w:t>或</w:t>
      </w:r>
      <w:r>
        <w:rPr>
          <w:rFonts w:hint="eastAsia"/>
          <w:sz w:val="24"/>
        </w:rPr>
        <w:t>0cm</w:t>
      </w:r>
      <w:r>
        <w:rPr>
          <w:rFonts w:hint="eastAsia"/>
          <w:sz w:val="24"/>
        </w:rPr>
        <w:t>～</w:t>
      </w:r>
      <w:r>
        <w:rPr>
          <w:rFonts w:hint="eastAsia"/>
          <w:sz w:val="24"/>
        </w:rPr>
        <w:t>20cm</w:t>
      </w:r>
      <w:r>
        <w:rPr>
          <w:rFonts w:hint="eastAsia"/>
          <w:sz w:val="24"/>
        </w:rPr>
        <w:t>表层土壤中，其中表层</w:t>
      </w:r>
      <w:r>
        <w:rPr>
          <w:rFonts w:hint="eastAsia"/>
          <w:sz w:val="24"/>
        </w:rPr>
        <w:t>0cm</w:t>
      </w:r>
      <w:r>
        <w:rPr>
          <w:rFonts w:hint="eastAsia"/>
          <w:sz w:val="24"/>
        </w:rPr>
        <w:t>～</w:t>
      </w:r>
      <w:r>
        <w:rPr>
          <w:rFonts w:hint="eastAsia"/>
          <w:sz w:val="24"/>
        </w:rPr>
        <w:t>5cm</w:t>
      </w:r>
      <w:r>
        <w:rPr>
          <w:rFonts w:hint="eastAsia"/>
          <w:sz w:val="24"/>
        </w:rPr>
        <w:t>土壤截留了</w:t>
      </w:r>
      <w:r>
        <w:rPr>
          <w:rFonts w:hint="eastAsia"/>
          <w:sz w:val="24"/>
        </w:rPr>
        <w:t>90%</w:t>
      </w:r>
      <w:r>
        <w:rPr>
          <w:rFonts w:hint="eastAsia"/>
          <w:sz w:val="24"/>
        </w:rPr>
        <w:t>以上的泄漏原油。因此，即使发生输</w:t>
      </w:r>
      <w:r>
        <w:rPr>
          <w:rFonts w:hint="eastAsia"/>
          <w:sz w:val="24"/>
        </w:rPr>
        <w:t>油管线泄漏事故，做到及时发现、及时处理，彻底清除泄漏油品、被污染的土壤，不会对地下水体环境质量产生大的影响。</w:t>
      </w:r>
    </w:p>
    <w:p w:rsidR="00EE4502" w:rsidRDefault="00FD45A3">
      <w:pPr>
        <w:spacing w:line="360" w:lineRule="auto"/>
        <w:ind w:firstLineChars="200" w:firstLine="480"/>
        <w:rPr>
          <w:sz w:val="24"/>
        </w:rPr>
      </w:pPr>
      <w:r>
        <w:rPr>
          <w:rFonts w:hint="eastAsia"/>
          <w:sz w:val="24"/>
        </w:rPr>
        <w:t>（</w:t>
      </w:r>
      <w:r>
        <w:rPr>
          <w:rFonts w:hint="eastAsia"/>
          <w:sz w:val="24"/>
        </w:rPr>
        <w:t>2</w:t>
      </w:r>
      <w:r>
        <w:rPr>
          <w:rFonts w:hint="eastAsia"/>
          <w:sz w:val="24"/>
        </w:rPr>
        <w:t>）井喷是以面源形式的油品渗漏污染地下水，污染迁移途径为地表以下的包气带和含水层，然后随地下水流动而污染地下水。</w:t>
      </w:r>
    </w:p>
    <w:p w:rsidR="00EE4502" w:rsidRDefault="00FD45A3">
      <w:pPr>
        <w:spacing w:line="360" w:lineRule="auto"/>
        <w:ind w:firstLineChars="200" w:firstLine="480"/>
        <w:rPr>
          <w:sz w:val="24"/>
        </w:rPr>
      </w:pPr>
      <w:r>
        <w:rPr>
          <w:rFonts w:hint="eastAsia"/>
          <w:sz w:val="24"/>
        </w:rPr>
        <w:t>井喷时污染物集中于井口周围地表，可及时发现，采取应急处置措施后，对地下水环境影响较小。同时本工程所在位置地下水埋深较深，较厚包气带会阻隔原油下渗，且石油类在水中的溶解度较小。此外，类比本工程施工期发生井喷污染预测评价结果可知不会对含水层造成持续污染，且井场下游无地下水保护目标，</w:t>
      </w:r>
      <w:r>
        <w:rPr>
          <w:rFonts w:hint="eastAsia"/>
          <w:sz w:val="24"/>
        </w:rPr>
        <w:lastRenderedPageBreak/>
        <w:t>对地下水</w:t>
      </w:r>
      <w:r>
        <w:rPr>
          <w:rFonts w:hint="eastAsia"/>
          <w:sz w:val="24"/>
        </w:rPr>
        <w:t>污染较轻微。</w:t>
      </w:r>
    </w:p>
    <w:p w:rsidR="00EE4502" w:rsidRDefault="00FD45A3">
      <w:pPr>
        <w:spacing w:line="360" w:lineRule="auto"/>
        <w:ind w:firstLineChars="200" w:firstLine="480"/>
      </w:pPr>
      <w:r>
        <w:rPr>
          <w:rFonts w:hint="eastAsia"/>
          <w:sz w:val="24"/>
        </w:rPr>
        <w:t>（</w:t>
      </w:r>
      <w:r>
        <w:rPr>
          <w:rFonts w:hint="eastAsia"/>
          <w:sz w:val="24"/>
        </w:rPr>
        <w:t>3</w:t>
      </w:r>
      <w:r>
        <w:rPr>
          <w:rFonts w:hint="eastAsia"/>
          <w:sz w:val="24"/>
        </w:rPr>
        <w:t>）非正常状况本工程可能对地下水环境造成影响的是油田开发到中后期时，井筒套管被腐蚀破坏，发生油水窜层。但此时油层几乎没有多少压力，原油不大可能进入到含水层污染地下水，此外井筒采用双层套管，表层套管完全封闭各含水层，固井水泥均上返地面，各含水层与井筒间形成双层套管、单层水泥环的保护措施，事故风险较低。但这一现象仍应引起重视，评价区内的废弃井应全部打水泥塞，并经严格的试压以防窜漏污染地下水。</w:t>
      </w:r>
    </w:p>
    <w:p w:rsidR="00EE4502" w:rsidRDefault="00FD45A3">
      <w:pPr>
        <w:keepNext/>
        <w:keepLines/>
        <w:numPr>
          <w:ilvl w:val="3"/>
          <w:numId w:val="30"/>
        </w:numPr>
        <w:spacing w:line="360" w:lineRule="auto"/>
        <w:outlineLvl w:val="3"/>
        <w:rPr>
          <w:sz w:val="24"/>
        </w:rPr>
      </w:pPr>
      <w:r>
        <w:rPr>
          <w:rFonts w:hint="eastAsia"/>
          <w:sz w:val="24"/>
        </w:rPr>
        <w:t>对土壤环境的影响分析</w:t>
      </w:r>
    </w:p>
    <w:p w:rsidR="00EE4502" w:rsidRDefault="00FD45A3">
      <w:pPr>
        <w:spacing w:line="360" w:lineRule="auto"/>
        <w:ind w:firstLineChars="200" w:firstLine="480"/>
        <w:rPr>
          <w:sz w:val="24"/>
        </w:rPr>
      </w:pPr>
      <w:r>
        <w:rPr>
          <w:rFonts w:hint="eastAsia"/>
          <w:sz w:val="24"/>
        </w:rPr>
        <w:t>原油泄漏对土壤环境的影响是比较显著的，泄漏的原油可使土壤透气性下降、土壤理化性状发</w:t>
      </w:r>
      <w:r>
        <w:rPr>
          <w:rFonts w:hint="eastAsia"/>
          <w:sz w:val="24"/>
        </w:rPr>
        <w:t>生变化。泄漏的油品如果进入土壤，从而使土壤质地、结构发生改变，影响到土地功能，进而影响荒漠植被的生长，并可影响局部的生态环境。</w:t>
      </w:r>
    </w:p>
    <w:p w:rsidR="00EE4502" w:rsidRDefault="00FD45A3">
      <w:pPr>
        <w:spacing w:line="360" w:lineRule="auto"/>
        <w:ind w:firstLineChars="200" w:firstLine="480"/>
        <w:rPr>
          <w:sz w:val="24"/>
        </w:rPr>
      </w:pPr>
      <w:r>
        <w:rPr>
          <w:rFonts w:hint="eastAsia"/>
          <w:sz w:val="24"/>
        </w:rPr>
        <w:t>原油发生泄漏时，相当于向土壤中直接注入原油，泄漏的原油进入土壤中后，渗入土壤孔隙，则使土壤透气性和呼吸作用减弱，影响土壤中的微生物生存，造成土壤盐碱化，破坏土壤结构，增加土壤中石油类污染物，造成土地肥力下降，改变土壤的理化性质，影响土壤正常的结构和功能。</w:t>
      </w:r>
    </w:p>
    <w:p w:rsidR="00EE4502" w:rsidRDefault="00FD45A3">
      <w:pPr>
        <w:spacing w:line="360" w:lineRule="auto"/>
        <w:ind w:firstLineChars="200" w:firstLine="480"/>
        <w:rPr>
          <w:sz w:val="24"/>
        </w:rPr>
      </w:pPr>
      <w:r>
        <w:rPr>
          <w:rFonts w:hint="eastAsia"/>
          <w:sz w:val="24"/>
        </w:rPr>
        <w:t>运营期管线破裂，将能回收的原油回收，送春风二号联合站原油处理系统处理，不能回收的以及受污染的土壤集中收集后交由有相应处置资质的单</w:t>
      </w:r>
      <w:r>
        <w:rPr>
          <w:rFonts w:hint="eastAsia"/>
          <w:sz w:val="24"/>
        </w:rPr>
        <w:t>位进行处理。</w:t>
      </w:r>
    </w:p>
    <w:p w:rsidR="00EE4502" w:rsidRDefault="00FD45A3">
      <w:pPr>
        <w:spacing w:line="360" w:lineRule="auto"/>
        <w:ind w:firstLineChars="200" w:firstLine="480"/>
      </w:pPr>
      <w:r>
        <w:rPr>
          <w:rFonts w:hint="eastAsia"/>
          <w:sz w:val="24"/>
        </w:rPr>
        <w:t>综上所述，本工程施工期和运营期发生事故后，及时采取相应的措施，不会对周围土壤环境产生明显影响</w:t>
      </w:r>
      <w:r>
        <w:rPr>
          <w:sz w:val="24"/>
        </w:rPr>
        <w:t>。</w:t>
      </w:r>
    </w:p>
    <w:p w:rsidR="00EE4502" w:rsidRDefault="00FD45A3">
      <w:pPr>
        <w:keepNext/>
        <w:keepLines/>
        <w:numPr>
          <w:ilvl w:val="3"/>
          <w:numId w:val="30"/>
        </w:numPr>
        <w:spacing w:line="360" w:lineRule="auto"/>
        <w:outlineLvl w:val="3"/>
        <w:rPr>
          <w:sz w:val="24"/>
        </w:rPr>
      </w:pPr>
      <w:r>
        <w:rPr>
          <w:rFonts w:hint="eastAsia"/>
          <w:sz w:val="24"/>
        </w:rPr>
        <w:t>对植被的影响分析</w:t>
      </w:r>
    </w:p>
    <w:p w:rsidR="00EE4502" w:rsidRDefault="00FD45A3">
      <w:pPr>
        <w:spacing w:line="360" w:lineRule="auto"/>
        <w:ind w:rightChars="50" w:right="105" w:firstLineChars="200" w:firstLine="480"/>
      </w:pPr>
      <w:r>
        <w:rPr>
          <w:rFonts w:hint="eastAsia"/>
          <w:sz w:val="24"/>
        </w:rPr>
        <w:t>油品泄漏对植被的影响主要分为三种途径，一是泄漏石油直接粘附于植物体阻断植物的光合作用，使植物枯萎、死亡；二是原油污染土壤造成的土壤理性化性状变化间接影响植物生长，严重时会导致植物死亡；三是泄漏的原油中的轻组分挥发，在对空气环境产生影响的同时，也对周围植物产生影响。发生事故后，及时采取相应的措施，不会对周围植被产生明显影响</w:t>
      </w:r>
      <w:r>
        <w:rPr>
          <w:sz w:val="24"/>
        </w:rPr>
        <w:t>。</w:t>
      </w:r>
    </w:p>
    <w:p w:rsidR="00EE4502" w:rsidRDefault="00FD45A3">
      <w:pPr>
        <w:keepNext/>
        <w:keepLines/>
        <w:numPr>
          <w:ilvl w:val="3"/>
          <w:numId w:val="30"/>
        </w:numPr>
        <w:spacing w:line="360" w:lineRule="auto"/>
        <w:outlineLvl w:val="3"/>
        <w:rPr>
          <w:sz w:val="24"/>
        </w:rPr>
      </w:pPr>
      <w:r>
        <w:rPr>
          <w:rFonts w:hint="eastAsia"/>
          <w:sz w:val="24"/>
        </w:rPr>
        <w:t>对公益林、农田的影响分析</w:t>
      </w:r>
    </w:p>
    <w:p w:rsidR="00EE4502" w:rsidRDefault="00FD45A3">
      <w:pPr>
        <w:spacing w:line="360" w:lineRule="auto"/>
        <w:ind w:rightChars="50" w:right="105" w:firstLineChars="200" w:firstLine="480"/>
      </w:pPr>
      <w:r>
        <w:rPr>
          <w:rFonts w:hint="eastAsia"/>
          <w:sz w:val="24"/>
        </w:rPr>
        <w:t>本工程占用国家二级公益林及地方公益林，油品泄漏首先增加周边公益林带土壤、地下水中石油类污染物，造成土地肥力下降和地下水污染；进而原油中的轻组分挥发，在对空气环境产生影响的同时，也对周围植物产生影响，严</w:t>
      </w:r>
      <w:r>
        <w:rPr>
          <w:rFonts w:hint="eastAsia"/>
          <w:sz w:val="24"/>
        </w:rPr>
        <w:lastRenderedPageBreak/>
        <w:t>重时造成公益林、农作物及植被死亡</w:t>
      </w:r>
      <w:r>
        <w:rPr>
          <w:rFonts w:hint="eastAsia"/>
          <w:sz w:val="24"/>
        </w:rPr>
        <w:t>。</w:t>
      </w:r>
    </w:p>
    <w:p w:rsidR="00EE4502" w:rsidRDefault="00FD45A3">
      <w:pPr>
        <w:keepNext/>
        <w:keepLines/>
        <w:numPr>
          <w:ilvl w:val="2"/>
          <w:numId w:val="30"/>
        </w:numPr>
        <w:spacing w:line="360" w:lineRule="auto"/>
        <w:outlineLvl w:val="2"/>
        <w:rPr>
          <w:sz w:val="24"/>
        </w:rPr>
      </w:pPr>
      <w:r>
        <w:rPr>
          <w:rFonts w:eastAsia="黑体" w:hint="eastAsia"/>
          <w:sz w:val="24"/>
        </w:rPr>
        <w:t>环境风险管理措施与对策建议</w:t>
      </w:r>
    </w:p>
    <w:p w:rsidR="00EE4502" w:rsidRDefault="00FD45A3">
      <w:pPr>
        <w:spacing w:line="360" w:lineRule="auto"/>
        <w:ind w:rightChars="50" w:right="105" w:firstLineChars="200" w:firstLine="480"/>
        <w:rPr>
          <w:sz w:val="24"/>
        </w:rPr>
      </w:pPr>
      <w:r>
        <w:rPr>
          <w:rFonts w:hint="eastAsia"/>
          <w:sz w:val="24"/>
        </w:rPr>
        <w:t>各种事故无论是人为因素引起的，还是自然因素所致，都可以采取必要的预防措施，以减少事故的发生或使事故造成的危害降低到最低限度。对于人为因素引起的事故可以通过提高人员技术素质、加强责任心以及采取技术手段和管理手段等方法来避免；而对于自然因素引起的事故则</w:t>
      </w:r>
      <w:r>
        <w:rPr>
          <w:rFonts w:hint="eastAsia"/>
          <w:sz w:val="24"/>
        </w:rPr>
        <w:t>主要靠采取各种措施来预防</w:t>
      </w:r>
      <w:r>
        <w:rPr>
          <w:sz w:val="24"/>
        </w:rPr>
        <w:t>。</w:t>
      </w:r>
    </w:p>
    <w:p w:rsidR="00EE4502" w:rsidRDefault="00FD45A3">
      <w:pPr>
        <w:keepNext/>
        <w:keepLines/>
        <w:numPr>
          <w:ilvl w:val="3"/>
          <w:numId w:val="30"/>
        </w:numPr>
        <w:spacing w:line="360" w:lineRule="auto"/>
        <w:outlineLvl w:val="3"/>
        <w:rPr>
          <w:sz w:val="24"/>
        </w:rPr>
      </w:pPr>
      <w:r>
        <w:rPr>
          <w:rFonts w:hint="eastAsia"/>
          <w:sz w:val="24"/>
        </w:rPr>
        <w:t>钻井、井下作业事故风险预防措施</w:t>
      </w:r>
    </w:p>
    <w:p w:rsidR="00EE4502" w:rsidRDefault="00FD45A3">
      <w:pPr>
        <w:spacing w:line="360" w:lineRule="auto"/>
        <w:ind w:rightChars="50" w:right="105" w:firstLineChars="200" w:firstLine="480"/>
        <w:rPr>
          <w:sz w:val="24"/>
        </w:rPr>
      </w:pPr>
      <w:r>
        <w:rPr>
          <w:rFonts w:hint="eastAsia"/>
          <w:sz w:val="24"/>
        </w:rPr>
        <w:t>（</w:t>
      </w:r>
      <w:r>
        <w:rPr>
          <w:rFonts w:hint="eastAsia"/>
          <w:sz w:val="24"/>
        </w:rPr>
        <w:t>1</w:t>
      </w:r>
      <w:r>
        <w:rPr>
          <w:rFonts w:hint="eastAsia"/>
          <w:sz w:val="24"/>
        </w:rPr>
        <w:t>）设计、生产中采取有效预防措施，严格遵守钻井、井下作业的安全规定，在井口安装防喷器和控制装置，杜绝井喷的发生。</w:t>
      </w:r>
    </w:p>
    <w:p w:rsidR="00EE4502" w:rsidRDefault="00FD45A3">
      <w:pPr>
        <w:spacing w:line="360" w:lineRule="auto"/>
        <w:ind w:rightChars="50" w:right="105" w:firstLineChars="200" w:firstLine="480"/>
        <w:rPr>
          <w:sz w:val="24"/>
        </w:rPr>
      </w:pPr>
      <w:r>
        <w:rPr>
          <w:rFonts w:hint="eastAsia"/>
          <w:sz w:val="24"/>
        </w:rPr>
        <w:t>（</w:t>
      </w:r>
      <w:r>
        <w:rPr>
          <w:rFonts w:hint="eastAsia"/>
          <w:sz w:val="24"/>
        </w:rPr>
        <w:t>2</w:t>
      </w:r>
      <w:r>
        <w:rPr>
          <w:rFonts w:hint="eastAsia"/>
          <w:sz w:val="24"/>
        </w:rPr>
        <w:t>）抓好井场建设，根据气候特点，做好井场的防护规划，钻井泥浆、岩屑一同进入不落地处理系统处理，处理后的液相全部回用于配备钻井液，不外排。待钻井工程结束后由供应商回收或带至下一个钻井井场继续使用。分离后的固相由泥浆不落地单位按《油气田钻井固体废物综合利用污染控制要求》（</w:t>
      </w:r>
      <w:r>
        <w:rPr>
          <w:rFonts w:hint="eastAsia"/>
          <w:sz w:val="24"/>
        </w:rPr>
        <w:t>DB65/T3997-2017</w:t>
      </w:r>
      <w:r>
        <w:rPr>
          <w:rFonts w:hint="eastAsia"/>
          <w:sz w:val="24"/>
        </w:rPr>
        <w:t>）及环评批复要求处理达标后进行综合利用。</w:t>
      </w:r>
    </w:p>
    <w:p w:rsidR="00EE4502" w:rsidRDefault="00FD45A3">
      <w:pPr>
        <w:spacing w:line="360" w:lineRule="auto"/>
        <w:ind w:rightChars="50" w:right="105" w:firstLineChars="200" w:firstLine="480"/>
        <w:rPr>
          <w:sz w:val="24"/>
        </w:rPr>
      </w:pPr>
      <w:r>
        <w:rPr>
          <w:rFonts w:hint="eastAsia"/>
          <w:sz w:val="24"/>
        </w:rPr>
        <w:t>（</w:t>
      </w:r>
      <w:r>
        <w:rPr>
          <w:rFonts w:hint="eastAsia"/>
          <w:sz w:val="24"/>
        </w:rPr>
        <w:t>3</w:t>
      </w:r>
      <w:r>
        <w:rPr>
          <w:rFonts w:hint="eastAsia"/>
          <w:sz w:val="24"/>
        </w:rPr>
        <w:t>）使用的泥浆参数必须符合钻井地质技术的规定要求。</w:t>
      </w:r>
    </w:p>
    <w:p w:rsidR="00EE4502" w:rsidRDefault="00FD45A3">
      <w:pPr>
        <w:spacing w:line="360" w:lineRule="auto"/>
        <w:ind w:rightChars="50" w:right="105" w:firstLineChars="200" w:firstLine="480"/>
        <w:rPr>
          <w:sz w:val="24"/>
        </w:rPr>
      </w:pPr>
      <w:r>
        <w:rPr>
          <w:rFonts w:hint="eastAsia"/>
          <w:sz w:val="24"/>
        </w:rPr>
        <w:t>（</w:t>
      </w:r>
      <w:r>
        <w:rPr>
          <w:rFonts w:hint="eastAsia"/>
          <w:sz w:val="24"/>
        </w:rPr>
        <w:t>4</w:t>
      </w:r>
      <w:r>
        <w:rPr>
          <w:rFonts w:hint="eastAsia"/>
          <w:sz w:val="24"/>
        </w:rPr>
        <w:t>）在钻开油气层前可加重泥浆的密度，使泥浆的液柱压力大于地层压力约</w:t>
      </w:r>
      <w:r>
        <w:rPr>
          <w:rFonts w:hint="eastAsia"/>
          <w:sz w:val="24"/>
        </w:rPr>
        <w:t>3MPa</w:t>
      </w:r>
      <w:r>
        <w:rPr>
          <w:rFonts w:hint="eastAsia"/>
          <w:sz w:val="24"/>
        </w:rPr>
        <w:t>～</w:t>
      </w:r>
      <w:r>
        <w:rPr>
          <w:rFonts w:hint="eastAsia"/>
          <w:sz w:val="24"/>
        </w:rPr>
        <w:t>5MPa</w:t>
      </w:r>
      <w:r>
        <w:rPr>
          <w:rFonts w:hint="eastAsia"/>
          <w:sz w:val="24"/>
        </w:rPr>
        <w:t>，井场的重泥浆储备量必须为井筒</w:t>
      </w:r>
      <w:r>
        <w:rPr>
          <w:rFonts w:hint="eastAsia"/>
          <w:sz w:val="24"/>
        </w:rPr>
        <w:t>容积的</w:t>
      </w:r>
      <w:r>
        <w:rPr>
          <w:rFonts w:hint="eastAsia"/>
          <w:sz w:val="24"/>
        </w:rPr>
        <w:t>1.5</w:t>
      </w:r>
      <w:r>
        <w:rPr>
          <w:rFonts w:hint="eastAsia"/>
          <w:sz w:val="24"/>
        </w:rPr>
        <w:t>～</w:t>
      </w:r>
      <w:r>
        <w:rPr>
          <w:rFonts w:hint="eastAsia"/>
          <w:sz w:val="24"/>
        </w:rPr>
        <w:t>2</w:t>
      </w:r>
      <w:r>
        <w:rPr>
          <w:rFonts w:hint="eastAsia"/>
          <w:sz w:val="24"/>
        </w:rPr>
        <w:t>倍，并且还应储备足够量的泥浆加重剂。</w:t>
      </w:r>
    </w:p>
    <w:p w:rsidR="00EE4502" w:rsidRDefault="00FD45A3">
      <w:pPr>
        <w:spacing w:line="360" w:lineRule="auto"/>
        <w:ind w:rightChars="50" w:right="105" w:firstLineChars="200" w:firstLine="480"/>
        <w:rPr>
          <w:sz w:val="24"/>
        </w:rPr>
      </w:pPr>
      <w:r>
        <w:rPr>
          <w:rFonts w:hint="eastAsia"/>
          <w:sz w:val="24"/>
        </w:rPr>
        <w:t>（</w:t>
      </w:r>
      <w:r>
        <w:rPr>
          <w:rFonts w:hint="eastAsia"/>
          <w:sz w:val="24"/>
        </w:rPr>
        <w:t>5</w:t>
      </w:r>
      <w:r>
        <w:rPr>
          <w:rFonts w:hint="eastAsia"/>
          <w:sz w:val="24"/>
        </w:rPr>
        <w:t>）井控操作实行持证上岗，各岗位的钻井人员有明确的分工，并且应经过井控专业培训。在油气层中钻进，每班进行一次防喷操作演习。</w:t>
      </w:r>
    </w:p>
    <w:p w:rsidR="00EE4502" w:rsidRDefault="00FD45A3">
      <w:pPr>
        <w:spacing w:line="360" w:lineRule="auto"/>
        <w:ind w:rightChars="50" w:right="105" w:firstLineChars="200" w:firstLine="480"/>
        <w:rPr>
          <w:sz w:val="24"/>
        </w:rPr>
      </w:pPr>
      <w:r>
        <w:rPr>
          <w:rFonts w:hint="eastAsia"/>
          <w:sz w:val="24"/>
        </w:rPr>
        <w:t>（</w:t>
      </w:r>
      <w:r>
        <w:rPr>
          <w:rFonts w:hint="eastAsia"/>
          <w:sz w:val="24"/>
        </w:rPr>
        <w:t>6</w:t>
      </w:r>
      <w:r>
        <w:rPr>
          <w:rFonts w:hint="eastAsia"/>
          <w:sz w:val="24"/>
        </w:rPr>
        <w:t>）井场设置明显的禁止烟火标志；井场钻井设备及电器设备、照明灯具符合防火防爆的安全要求，井场安装探照灯，以备井喷时钻台照明。</w:t>
      </w:r>
    </w:p>
    <w:p w:rsidR="00EE4502" w:rsidRDefault="00FD45A3">
      <w:pPr>
        <w:spacing w:line="360" w:lineRule="auto"/>
        <w:ind w:rightChars="50" w:right="105" w:firstLineChars="200" w:firstLine="480"/>
        <w:rPr>
          <w:sz w:val="24"/>
        </w:rPr>
      </w:pPr>
      <w:r>
        <w:rPr>
          <w:rFonts w:hint="eastAsia"/>
          <w:sz w:val="24"/>
        </w:rPr>
        <w:t>（</w:t>
      </w:r>
      <w:r>
        <w:rPr>
          <w:rFonts w:hint="eastAsia"/>
          <w:sz w:val="24"/>
        </w:rPr>
        <w:t>7</w:t>
      </w:r>
      <w:r>
        <w:rPr>
          <w:rFonts w:hint="eastAsia"/>
          <w:sz w:val="24"/>
        </w:rPr>
        <w:t>）按消防规定配备泡沫灭火器、干粉灭火器、消防铁锹和其他消防器材</w:t>
      </w:r>
      <w:r>
        <w:rPr>
          <w:sz w:val="24"/>
        </w:rPr>
        <w:t>。</w:t>
      </w:r>
    </w:p>
    <w:p w:rsidR="00EE4502" w:rsidRDefault="00FD45A3">
      <w:pPr>
        <w:keepNext/>
        <w:keepLines/>
        <w:numPr>
          <w:ilvl w:val="3"/>
          <w:numId w:val="30"/>
        </w:numPr>
        <w:spacing w:line="360" w:lineRule="auto"/>
        <w:outlineLvl w:val="3"/>
        <w:rPr>
          <w:sz w:val="24"/>
        </w:rPr>
      </w:pPr>
      <w:r>
        <w:rPr>
          <w:rFonts w:hint="eastAsia"/>
          <w:sz w:val="24"/>
        </w:rPr>
        <w:t>井喷事故风险预防措施</w:t>
      </w:r>
    </w:p>
    <w:p w:rsidR="00EE4502" w:rsidRDefault="00FD45A3">
      <w:pPr>
        <w:spacing w:line="360" w:lineRule="auto"/>
        <w:ind w:rightChars="50" w:right="105" w:firstLineChars="200" w:firstLine="480"/>
        <w:rPr>
          <w:sz w:val="24"/>
        </w:rPr>
      </w:pPr>
      <w:r>
        <w:rPr>
          <w:rFonts w:hint="eastAsia"/>
          <w:sz w:val="24"/>
        </w:rPr>
        <w:t>施工单位应严格执行石油天然气钻井</w:t>
      </w:r>
      <w:r>
        <w:rPr>
          <w:rFonts w:hint="eastAsia"/>
          <w:sz w:val="24"/>
        </w:rPr>
        <w:t>QHSE</w:t>
      </w:r>
      <w:r>
        <w:rPr>
          <w:rFonts w:hint="eastAsia"/>
          <w:sz w:val="24"/>
        </w:rPr>
        <w:t>管理体系及井控技术标准和规范中的相关规定，并针对工程情况制定具体的可操作</w:t>
      </w:r>
      <w:r>
        <w:rPr>
          <w:rFonts w:hint="eastAsia"/>
          <w:sz w:val="24"/>
        </w:rPr>
        <w:t>的实施方案，主要包括：</w:t>
      </w:r>
    </w:p>
    <w:p w:rsidR="00EE4502" w:rsidRDefault="00FD45A3">
      <w:pPr>
        <w:spacing w:line="360" w:lineRule="auto"/>
        <w:ind w:rightChars="50" w:right="105" w:firstLineChars="200" w:firstLine="480"/>
        <w:rPr>
          <w:sz w:val="24"/>
        </w:rPr>
      </w:pPr>
      <w:r>
        <w:rPr>
          <w:rFonts w:hint="eastAsia"/>
          <w:sz w:val="24"/>
        </w:rPr>
        <w:t>（</w:t>
      </w:r>
      <w:r>
        <w:rPr>
          <w:rFonts w:hint="eastAsia"/>
          <w:sz w:val="24"/>
        </w:rPr>
        <w:t>1</w:t>
      </w:r>
      <w:r>
        <w:rPr>
          <w:rFonts w:hint="eastAsia"/>
          <w:sz w:val="24"/>
        </w:rPr>
        <w:t>）严格执行《石油天然气钻井井控技术规范》，严格执行井控工作管理制度，落实溢流监测岗位、关井操作岗位和钻井队干部</w:t>
      </w:r>
      <w:r>
        <w:rPr>
          <w:rFonts w:hint="eastAsia"/>
          <w:sz w:val="24"/>
        </w:rPr>
        <w:t xml:space="preserve"> 24h </w:t>
      </w:r>
      <w:r>
        <w:rPr>
          <w:rFonts w:hint="eastAsia"/>
          <w:sz w:val="24"/>
        </w:rPr>
        <w:t>值班制度，井控准备工作及应急预案必须经验收合格后，方可钻开油气层。</w:t>
      </w:r>
    </w:p>
    <w:p w:rsidR="00EE4502" w:rsidRDefault="00FD45A3">
      <w:pPr>
        <w:spacing w:line="360" w:lineRule="auto"/>
        <w:ind w:rightChars="50" w:right="105" w:firstLineChars="200" w:firstLine="480"/>
        <w:rPr>
          <w:sz w:val="24"/>
        </w:rPr>
      </w:pPr>
      <w:r>
        <w:rPr>
          <w:rFonts w:hint="eastAsia"/>
          <w:sz w:val="24"/>
        </w:rPr>
        <w:lastRenderedPageBreak/>
        <w:t>（</w:t>
      </w:r>
      <w:r>
        <w:rPr>
          <w:rFonts w:hint="eastAsia"/>
          <w:sz w:val="24"/>
        </w:rPr>
        <w:t>2</w:t>
      </w:r>
      <w:r>
        <w:rPr>
          <w:rFonts w:hint="eastAsia"/>
          <w:sz w:val="24"/>
        </w:rPr>
        <w:t>）钻进中必须在近钻头位置安装钻具回压阀，同时钻台上配备一只与钻具尺寸相符的回压阀。</w:t>
      </w:r>
    </w:p>
    <w:p w:rsidR="00EE4502" w:rsidRDefault="00FD45A3">
      <w:pPr>
        <w:spacing w:line="360" w:lineRule="auto"/>
        <w:ind w:rightChars="50" w:right="105" w:firstLineChars="200" w:firstLine="480"/>
        <w:rPr>
          <w:sz w:val="24"/>
        </w:rPr>
      </w:pPr>
      <w:r>
        <w:rPr>
          <w:rFonts w:hint="eastAsia"/>
          <w:sz w:val="24"/>
        </w:rPr>
        <w:t>（</w:t>
      </w:r>
      <w:r>
        <w:rPr>
          <w:rFonts w:hint="eastAsia"/>
          <w:sz w:val="24"/>
        </w:rPr>
        <w:t>3</w:t>
      </w:r>
      <w:r>
        <w:rPr>
          <w:rFonts w:hint="eastAsia"/>
          <w:sz w:val="24"/>
        </w:rPr>
        <w:t>）认真搞好随钻地层压力的监测工作中，发现地层压力异常、溢流、井涌等情况，应及时关井并调整钻井液密度，同时上报有关部门。</w:t>
      </w:r>
    </w:p>
    <w:p w:rsidR="00EE4502" w:rsidRDefault="00FD45A3">
      <w:pPr>
        <w:spacing w:line="360" w:lineRule="auto"/>
        <w:ind w:rightChars="50" w:right="105" w:firstLineChars="200" w:firstLine="480"/>
        <w:rPr>
          <w:sz w:val="24"/>
        </w:rPr>
      </w:pPr>
      <w:r>
        <w:rPr>
          <w:rFonts w:hint="eastAsia"/>
          <w:sz w:val="24"/>
        </w:rPr>
        <w:t>（</w:t>
      </w:r>
      <w:r>
        <w:rPr>
          <w:rFonts w:hint="eastAsia"/>
          <w:sz w:val="24"/>
        </w:rPr>
        <w:t>4</w:t>
      </w:r>
      <w:r>
        <w:rPr>
          <w:rFonts w:hint="eastAsia"/>
          <w:sz w:val="24"/>
        </w:rPr>
        <w:t>）严格控制起下钻速度，起钻必须按规定灌满钻井液。</w:t>
      </w:r>
    </w:p>
    <w:p w:rsidR="00EE4502" w:rsidRDefault="00FD45A3">
      <w:pPr>
        <w:spacing w:line="360" w:lineRule="auto"/>
        <w:ind w:rightChars="50" w:right="105" w:firstLineChars="200" w:firstLine="480"/>
        <w:rPr>
          <w:sz w:val="24"/>
        </w:rPr>
      </w:pPr>
      <w:r>
        <w:rPr>
          <w:rFonts w:hint="eastAsia"/>
          <w:sz w:val="24"/>
        </w:rPr>
        <w:t>（</w:t>
      </w:r>
      <w:r>
        <w:rPr>
          <w:rFonts w:hint="eastAsia"/>
          <w:sz w:val="24"/>
        </w:rPr>
        <w:t>5</w:t>
      </w:r>
      <w:r>
        <w:rPr>
          <w:rFonts w:hint="eastAsia"/>
          <w:sz w:val="24"/>
        </w:rPr>
        <w:t>）钻进中遇到钻速突然加快、</w:t>
      </w:r>
      <w:r>
        <w:rPr>
          <w:rFonts w:hint="eastAsia"/>
          <w:sz w:val="24"/>
        </w:rPr>
        <w:t>放空、井漏、气测及油气水显示异常等情况，应立即停钻观察，如发生溢流要按规定及时发出报警信号，并按正确的关井程序及时关井，关井试压后迅速实施压井作业。</w:t>
      </w:r>
    </w:p>
    <w:p w:rsidR="00EE4502" w:rsidRDefault="00FD45A3">
      <w:pPr>
        <w:spacing w:line="360" w:lineRule="auto"/>
        <w:ind w:rightChars="50" w:right="105" w:firstLineChars="200" w:firstLine="480"/>
        <w:rPr>
          <w:sz w:val="24"/>
        </w:rPr>
      </w:pPr>
      <w:r>
        <w:rPr>
          <w:rFonts w:hint="eastAsia"/>
          <w:sz w:val="24"/>
        </w:rPr>
        <w:t>（</w:t>
      </w:r>
      <w:r>
        <w:rPr>
          <w:rFonts w:hint="eastAsia"/>
          <w:sz w:val="24"/>
        </w:rPr>
        <w:t>6</w:t>
      </w:r>
      <w:r>
        <w:rPr>
          <w:rFonts w:hint="eastAsia"/>
          <w:sz w:val="24"/>
        </w:rPr>
        <w:t>）发生溢流后，根据关井压力，尽快在井口、地层和套管安全条件下压井，待井内平稳后才恢复钻进。</w:t>
      </w:r>
    </w:p>
    <w:p w:rsidR="00EE4502" w:rsidRDefault="00FD45A3">
      <w:pPr>
        <w:spacing w:line="360" w:lineRule="auto"/>
        <w:ind w:rightChars="50" w:right="105" w:firstLineChars="200" w:firstLine="480"/>
        <w:rPr>
          <w:sz w:val="24"/>
        </w:rPr>
      </w:pPr>
      <w:r>
        <w:rPr>
          <w:rFonts w:hint="eastAsia"/>
          <w:sz w:val="24"/>
        </w:rPr>
        <w:t>（</w:t>
      </w:r>
      <w:r>
        <w:rPr>
          <w:rFonts w:hint="eastAsia"/>
          <w:sz w:val="24"/>
        </w:rPr>
        <w:t>7</w:t>
      </w:r>
      <w:r>
        <w:rPr>
          <w:rFonts w:hint="eastAsia"/>
          <w:sz w:val="24"/>
        </w:rPr>
        <w:t>）设计、生产中采取有效预防措施，严格遵守钻井的安全规定，在井口安装防喷器和控制措施。</w:t>
      </w:r>
    </w:p>
    <w:p w:rsidR="00EE4502" w:rsidRDefault="00FD45A3">
      <w:pPr>
        <w:spacing w:line="360" w:lineRule="auto"/>
        <w:ind w:rightChars="50" w:right="105" w:firstLineChars="200" w:firstLine="480"/>
        <w:rPr>
          <w:sz w:val="24"/>
        </w:rPr>
      </w:pPr>
      <w:r>
        <w:rPr>
          <w:rFonts w:hint="eastAsia"/>
          <w:sz w:val="24"/>
        </w:rPr>
        <w:t>（</w:t>
      </w:r>
      <w:r>
        <w:rPr>
          <w:rFonts w:hint="eastAsia"/>
          <w:sz w:val="24"/>
        </w:rPr>
        <w:t>8</w:t>
      </w:r>
      <w:r>
        <w:rPr>
          <w:rFonts w:hint="eastAsia"/>
          <w:sz w:val="24"/>
        </w:rPr>
        <w:t>）使用的泥浆参数必须符合钻井地质技术的规定要求，泥浆比重和黏度要经常进行检查。严格实施钻井作业规程。</w:t>
      </w:r>
    </w:p>
    <w:p w:rsidR="00EE4502" w:rsidRDefault="00FD45A3">
      <w:pPr>
        <w:spacing w:line="360" w:lineRule="auto"/>
        <w:ind w:rightChars="50" w:right="105" w:firstLineChars="200" w:firstLine="480"/>
        <w:rPr>
          <w:sz w:val="24"/>
        </w:rPr>
      </w:pPr>
      <w:r>
        <w:rPr>
          <w:rFonts w:hint="eastAsia"/>
          <w:sz w:val="24"/>
        </w:rPr>
        <w:t>（</w:t>
      </w:r>
      <w:r>
        <w:rPr>
          <w:rFonts w:hint="eastAsia"/>
          <w:sz w:val="24"/>
        </w:rPr>
        <w:t>9</w:t>
      </w:r>
      <w:r>
        <w:rPr>
          <w:rFonts w:hint="eastAsia"/>
          <w:sz w:val="24"/>
        </w:rPr>
        <w:t>）施工期严格按照防渗要求进行防渗。</w:t>
      </w:r>
    </w:p>
    <w:p w:rsidR="00EE4502" w:rsidRDefault="00FD45A3">
      <w:pPr>
        <w:spacing w:line="360" w:lineRule="auto"/>
        <w:ind w:rightChars="50" w:right="105" w:firstLineChars="200" w:firstLine="480"/>
        <w:rPr>
          <w:sz w:val="24"/>
        </w:rPr>
      </w:pPr>
      <w:r>
        <w:rPr>
          <w:rFonts w:hint="eastAsia"/>
          <w:sz w:val="24"/>
        </w:rPr>
        <w:t>（</w:t>
      </w:r>
      <w:r>
        <w:rPr>
          <w:rFonts w:hint="eastAsia"/>
          <w:sz w:val="24"/>
        </w:rPr>
        <w:t>10</w:t>
      </w:r>
      <w:r>
        <w:rPr>
          <w:rFonts w:hint="eastAsia"/>
          <w:sz w:val="24"/>
        </w:rPr>
        <w:t>）由于输油管道破裂、井喷</w:t>
      </w:r>
      <w:r>
        <w:rPr>
          <w:rFonts w:hint="eastAsia"/>
          <w:sz w:val="24"/>
        </w:rPr>
        <w:t>等环境风险事故发生，产生的含油污泥应及时清除，并清理现场；采用具有防渗漏功能的专用收集桶集中收集，使用专用运输工具，将含油污泥送至新疆锦恒利废矿物油处置有限公司等有资质的单位处置。</w:t>
      </w:r>
    </w:p>
    <w:p w:rsidR="00EE4502" w:rsidRDefault="00FD45A3">
      <w:pPr>
        <w:keepNext/>
        <w:keepLines/>
        <w:numPr>
          <w:ilvl w:val="3"/>
          <w:numId w:val="30"/>
        </w:numPr>
        <w:spacing w:line="360" w:lineRule="auto"/>
        <w:outlineLvl w:val="3"/>
        <w:rPr>
          <w:sz w:val="24"/>
        </w:rPr>
      </w:pPr>
      <w:r>
        <w:rPr>
          <w:rFonts w:hint="eastAsia"/>
          <w:sz w:val="24"/>
        </w:rPr>
        <w:t>窜层污染事故的防范措施</w:t>
      </w:r>
    </w:p>
    <w:p w:rsidR="00EE4502" w:rsidRDefault="00FD45A3">
      <w:pPr>
        <w:spacing w:line="360" w:lineRule="auto"/>
        <w:ind w:rightChars="50" w:right="105" w:firstLineChars="200" w:firstLine="480"/>
        <w:rPr>
          <w:sz w:val="24"/>
        </w:rPr>
      </w:pPr>
      <w:r>
        <w:rPr>
          <w:rFonts w:hint="eastAsia"/>
          <w:sz w:val="24"/>
        </w:rPr>
        <w:t>（</w:t>
      </w:r>
      <w:r>
        <w:rPr>
          <w:rFonts w:hint="eastAsia"/>
          <w:sz w:val="24"/>
        </w:rPr>
        <w:t>1</w:t>
      </w:r>
      <w:r>
        <w:rPr>
          <w:rFonts w:hint="eastAsia"/>
          <w:sz w:val="24"/>
        </w:rPr>
        <w:t>）采用三层套管，水泥返高地面方式进行固井。表层套管完全封闭各含水层，固井水泥均上返地面，这样，在各含水层与井筒间形成套管、单层水泥环的保护措施，将事故风险降低到最低。</w:t>
      </w:r>
    </w:p>
    <w:p w:rsidR="00EE4502" w:rsidRDefault="00FD45A3">
      <w:pPr>
        <w:spacing w:line="360" w:lineRule="auto"/>
        <w:ind w:rightChars="50" w:right="105" w:firstLineChars="200" w:firstLine="480"/>
        <w:rPr>
          <w:sz w:val="24"/>
        </w:rPr>
      </w:pPr>
      <w:r>
        <w:rPr>
          <w:rFonts w:hint="eastAsia"/>
          <w:sz w:val="24"/>
        </w:rPr>
        <w:t>（</w:t>
      </w:r>
      <w:r>
        <w:rPr>
          <w:rFonts w:hint="eastAsia"/>
          <w:sz w:val="24"/>
        </w:rPr>
        <w:t>2</w:t>
      </w:r>
      <w:r>
        <w:rPr>
          <w:rFonts w:hint="eastAsia"/>
          <w:sz w:val="24"/>
        </w:rPr>
        <w:t>）对各层地下水分别设置监测井位，定期对油田开发区各地下水层监测井采样分析，每年采样</w:t>
      </w:r>
      <w:r>
        <w:rPr>
          <w:rFonts w:hint="eastAsia"/>
          <w:sz w:val="24"/>
        </w:rPr>
        <w:t>2</w:t>
      </w:r>
      <w:r>
        <w:rPr>
          <w:rFonts w:hint="eastAsia"/>
          <w:sz w:val="24"/>
        </w:rPr>
        <w:t>次，分析项目为</w:t>
      </w:r>
      <w:r>
        <w:rPr>
          <w:rFonts w:hint="eastAsia"/>
          <w:sz w:val="24"/>
        </w:rPr>
        <w:t>COD</w:t>
      </w:r>
      <w:r>
        <w:rPr>
          <w:rFonts w:hint="eastAsia"/>
          <w:sz w:val="24"/>
        </w:rPr>
        <w:t>、石油类、挥发酚、总硬度、</w:t>
      </w:r>
      <w:r>
        <w:rPr>
          <w:rFonts w:hint="eastAsia"/>
          <w:sz w:val="24"/>
        </w:rPr>
        <w:t>氨氮、硝酸盐氮、溶解性总固体等石油特征指标，根据监测指标的变化趋势，对可能产生的隐蔽污染，做到及时发现，尽早处理。</w:t>
      </w:r>
    </w:p>
    <w:p w:rsidR="00EE4502" w:rsidRDefault="00FD45A3">
      <w:pPr>
        <w:spacing w:line="360" w:lineRule="auto"/>
        <w:ind w:rightChars="50" w:right="105" w:firstLineChars="200" w:firstLine="480"/>
        <w:rPr>
          <w:sz w:val="24"/>
        </w:rPr>
      </w:pPr>
      <w:r>
        <w:rPr>
          <w:rFonts w:hint="eastAsia"/>
          <w:sz w:val="24"/>
        </w:rPr>
        <w:t>（</w:t>
      </w:r>
      <w:r>
        <w:rPr>
          <w:rFonts w:hint="eastAsia"/>
          <w:sz w:val="24"/>
        </w:rPr>
        <w:t>3</w:t>
      </w:r>
      <w:r>
        <w:rPr>
          <w:rFonts w:hint="eastAsia"/>
          <w:sz w:val="24"/>
        </w:rPr>
        <w:t>）及时展开隐蔽污染源调查，查明隐蔽污染源之所在，采取果断措施，截断隐蔽污染源的扩散途径</w:t>
      </w:r>
      <w:r>
        <w:rPr>
          <w:sz w:val="24"/>
        </w:rPr>
        <w:t>。</w:t>
      </w:r>
    </w:p>
    <w:p w:rsidR="00EE4502" w:rsidRDefault="00FD45A3">
      <w:pPr>
        <w:keepNext/>
        <w:keepLines/>
        <w:numPr>
          <w:ilvl w:val="3"/>
          <w:numId w:val="30"/>
        </w:numPr>
        <w:spacing w:line="360" w:lineRule="auto"/>
        <w:outlineLvl w:val="3"/>
        <w:rPr>
          <w:sz w:val="24"/>
        </w:rPr>
      </w:pPr>
      <w:r>
        <w:rPr>
          <w:rFonts w:hint="eastAsia"/>
          <w:sz w:val="24"/>
        </w:rPr>
        <w:lastRenderedPageBreak/>
        <w:t>原油集输事故风险预防措施</w:t>
      </w:r>
    </w:p>
    <w:p w:rsidR="00EE4502" w:rsidRDefault="00FD45A3">
      <w:pPr>
        <w:spacing w:line="360" w:lineRule="auto"/>
        <w:ind w:rightChars="50" w:right="105" w:firstLineChars="200" w:firstLine="480"/>
        <w:rPr>
          <w:sz w:val="24"/>
        </w:rPr>
      </w:pPr>
      <w:r>
        <w:rPr>
          <w:rFonts w:hint="eastAsia"/>
          <w:sz w:val="24"/>
        </w:rPr>
        <w:t>（</w:t>
      </w:r>
      <w:r>
        <w:rPr>
          <w:rFonts w:hint="eastAsia"/>
          <w:sz w:val="24"/>
        </w:rPr>
        <w:t>1</w:t>
      </w:r>
      <w:r>
        <w:rPr>
          <w:rFonts w:hint="eastAsia"/>
          <w:sz w:val="24"/>
        </w:rPr>
        <w:t>）严格按照管道施工、验收等规范进行设计、施工和验收。</w:t>
      </w:r>
    </w:p>
    <w:p w:rsidR="00EE4502" w:rsidRDefault="00FD45A3">
      <w:pPr>
        <w:spacing w:line="360" w:lineRule="auto"/>
        <w:ind w:rightChars="50" w:right="105" w:firstLineChars="200" w:firstLine="480"/>
        <w:rPr>
          <w:sz w:val="24"/>
        </w:rPr>
      </w:pPr>
      <w:r>
        <w:rPr>
          <w:rFonts w:hint="eastAsia"/>
          <w:sz w:val="24"/>
        </w:rPr>
        <w:t>集输管线敷设前，应加强对管材和焊接质量的检查．严禁使用不合格产品。对焊接质量严格检验，防止焊接缺陷造成泄漏事故的发生。</w:t>
      </w:r>
    </w:p>
    <w:p w:rsidR="00EE4502" w:rsidRDefault="00FD45A3">
      <w:pPr>
        <w:spacing w:line="360" w:lineRule="auto"/>
        <w:ind w:rightChars="50" w:right="105" w:firstLineChars="200" w:firstLine="480"/>
        <w:rPr>
          <w:sz w:val="24"/>
        </w:rPr>
      </w:pPr>
      <w:r>
        <w:rPr>
          <w:rFonts w:hint="eastAsia"/>
          <w:sz w:val="24"/>
        </w:rPr>
        <w:t>（</w:t>
      </w:r>
      <w:r>
        <w:rPr>
          <w:rFonts w:hint="eastAsia"/>
          <w:sz w:val="24"/>
        </w:rPr>
        <w:t>2</w:t>
      </w:r>
      <w:r>
        <w:rPr>
          <w:rFonts w:hint="eastAsia"/>
          <w:sz w:val="24"/>
        </w:rPr>
        <w:t>）在集输管线的敷设线路上应设置永久性标志，包括里程桩、转角桩、交叉标志和警示牌等。</w:t>
      </w:r>
    </w:p>
    <w:p w:rsidR="00EE4502" w:rsidRDefault="00FD45A3">
      <w:pPr>
        <w:spacing w:line="360" w:lineRule="auto"/>
        <w:ind w:rightChars="50" w:right="105" w:firstLineChars="200" w:firstLine="480"/>
        <w:rPr>
          <w:sz w:val="24"/>
        </w:rPr>
      </w:pPr>
      <w:r>
        <w:rPr>
          <w:rFonts w:hint="eastAsia"/>
          <w:sz w:val="24"/>
        </w:rPr>
        <w:t>（</w:t>
      </w:r>
      <w:r>
        <w:rPr>
          <w:rFonts w:hint="eastAsia"/>
          <w:sz w:val="24"/>
        </w:rPr>
        <w:t>3</w:t>
      </w:r>
      <w:r>
        <w:rPr>
          <w:rFonts w:hint="eastAsia"/>
          <w:sz w:val="24"/>
        </w:rPr>
        <w:t>）按规定进行设备维修、保养，及时更换易损及老化部件，防止原油泄漏事故的发生。</w:t>
      </w:r>
    </w:p>
    <w:p w:rsidR="00EE4502" w:rsidRDefault="00FD45A3">
      <w:pPr>
        <w:spacing w:line="360" w:lineRule="auto"/>
        <w:ind w:rightChars="50" w:right="105" w:firstLineChars="200" w:firstLine="480"/>
        <w:rPr>
          <w:sz w:val="24"/>
        </w:rPr>
      </w:pPr>
      <w:r>
        <w:rPr>
          <w:rFonts w:hint="eastAsia"/>
          <w:sz w:val="24"/>
        </w:rPr>
        <w:t>（</w:t>
      </w:r>
      <w:r>
        <w:rPr>
          <w:rFonts w:hint="eastAsia"/>
          <w:sz w:val="24"/>
        </w:rPr>
        <w:t>4</w:t>
      </w:r>
      <w:r>
        <w:rPr>
          <w:rFonts w:hint="eastAsia"/>
          <w:sz w:val="24"/>
        </w:rPr>
        <w:t>）加强自动控制系统的管理和控制，严格控制压力平衡。</w:t>
      </w:r>
    </w:p>
    <w:p w:rsidR="00EE4502" w:rsidRDefault="00FD45A3">
      <w:pPr>
        <w:spacing w:line="360" w:lineRule="auto"/>
        <w:ind w:rightChars="50" w:right="105" w:firstLineChars="200" w:firstLine="480"/>
        <w:rPr>
          <w:sz w:val="24"/>
        </w:rPr>
      </w:pPr>
      <w:r>
        <w:rPr>
          <w:rFonts w:hint="eastAsia"/>
          <w:sz w:val="24"/>
        </w:rPr>
        <w:t>（</w:t>
      </w:r>
      <w:r>
        <w:rPr>
          <w:rFonts w:hint="eastAsia"/>
          <w:sz w:val="24"/>
        </w:rPr>
        <w:t>5</w:t>
      </w:r>
      <w:r>
        <w:rPr>
          <w:rFonts w:hint="eastAsia"/>
          <w:sz w:val="24"/>
        </w:rPr>
        <w:t>）完善的环境保护工程，及时清除、处理各种污染物，保持安全设施的完好，杜绝火灾的发生。</w:t>
      </w:r>
    </w:p>
    <w:p w:rsidR="00EE4502" w:rsidRDefault="00FD45A3">
      <w:pPr>
        <w:spacing w:line="360" w:lineRule="auto"/>
        <w:ind w:rightChars="50" w:right="105" w:firstLineChars="200" w:firstLine="480"/>
        <w:rPr>
          <w:sz w:val="24"/>
        </w:rPr>
      </w:pPr>
      <w:r>
        <w:rPr>
          <w:rFonts w:hint="eastAsia"/>
          <w:sz w:val="24"/>
        </w:rPr>
        <w:t>（</w:t>
      </w:r>
      <w:r>
        <w:rPr>
          <w:rFonts w:hint="eastAsia"/>
          <w:sz w:val="24"/>
        </w:rPr>
        <w:t>6</w:t>
      </w:r>
      <w:r>
        <w:rPr>
          <w:rFonts w:hint="eastAsia"/>
          <w:sz w:val="24"/>
        </w:rPr>
        <w:t>）在集输系统运营期间，严格控制输送原油的性质，定期清管，排除管内的积水和污物，以减轻管道内腐蚀；定期对管线进行超声波检查，对壁厚低于规定要求的管段应及时更换，消除爆管的隐患；定期对集输管线上的安全保护设施，如截断阀、安全阀、放空系统等进行检查，使管道在超压时能够得到安全处理，在管</w:t>
      </w:r>
      <w:r>
        <w:rPr>
          <w:rFonts w:hint="eastAsia"/>
          <w:sz w:val="24"/>
        </w:rPr>
        <w:t>道破裂时能够及时截断上下游管段，以减少事故时原油的释放量，使危害影响范围减小到最低程度。</w:t>
      </w:r>
    </w:p>
    <w:p w:rsidR="00EE4502" w:rsidRDefault="00FD45A3">
      <w:pPr>
        <w:spacing w:line="360" w:lineRule="auto"/>
        <w:ind w:rightChars="50" w:right="105" w:firstLineChars="200" w:firstLine="480"/>
        <w:rPr>
          <w:sz w:val="24"/>
        </w:rPr>
      </w:pPr>
      <w:r>
        <w:rPr>
          <w:rFonts w:hint="eastAsia"/>
          <w:sz w:val="24"/>
        </w:rPr>
        <w:t>（</w:t>
      </w:r>
      <w:r>
        <w:rPr>
          <w:rFonts w:hint="eastAsia"/>
          <w:sz w:val="24"/>
        </w:rPr>
        <w:t>7</w:t>
      </w:r>
      <w:r>
        <w:rPr>
          <w:rFonts w:hint="eastAsia"/>
          <w:sz w:val="24"/>
        </w:rPr>
        <w:t>）定期对管线进行巡视，加强管线和警示标志的管理工作。</w:t>
      </w:r>
    </w:p>
    <w:p w:rsidR="00EE4502" w:rsidRDefault="00FD45A3">
      <w:pPr>
        <w:spacing w:line="360" w:lineRule="auto"/>
        <w:ind w:rightChars="50" w:right="105" w:firstLineChars="200" w:firstLine="480"/>
        <w:rPr>
          <w:sz w:val="24"/>
        </w:rPr>
      </w:pPr>
      <w:r>
        <w:rPr>
          <w:rFonts w:hint="eastAsia"/>
          <w:sz w:val="24"/>
        </w:rPr>
        <w:t>（</w:t>
      </w:r>
      <w:r>
        <w:rPr>
          <w:rFonts w:hint="eastAsia"/>
          <w:sz w:val="24"/>
        </w:rPr>
        <w:t>8</w:t>
      </w:r>
      <w:r>
        <w:rPr>
          <w:rFonts w:hint="eastAsia"/>
          <w:sz w:val="24"/>
        </w:rPr>
        <w:t>）严禁在管线两侧各</w:t>
      </w:r>
      <w:r>
        <w:rPr>
          <w:rFonts w:hint="eastAsia"/>
          <w:sz w:val="24"/>
        </w:rPr>
        <w:t>50m</w:t>
      </w:r>
      <w:r>
        <w:rPr>
          <w:rFonts w:hint="eastAsia"/>
          <w:sz w:val="24"/>
        </w:rPr>
        <w:t>范围内修筑工程，在管线上方及近旁严禁动土开挖和修建超过管道负荷的建筑物。</w:t>
      </w:r>
    </w:p>
    <w:p w:rsidR="00EE4502" w:rsidRDefault="00FD45A3">
      <w:pPr>
        <w:spacing w:line="360" w:lineRule="auto"/>
        <w:ind w:rightChars="50" w:right="105" w:firstLineChars="200" w:firstLine="480"/>
        <w:rPr>
          <w:sz w:val="24"/>
        </w:rPr>
      </w:pPr>
      <w:r>
        <w:rPr>
          <w:rFonts w:hint="eastAsia"/>
          <w:sz w:val="24"/>
        </w:rPr>
        <w:t>（</w:t>
      </w:r>
      <w:r>
        <w:rPr>
          <w:rFonts w:hint="eastAsia"/>
          <w:sz w:val="24"/>
        </w:rPr>
        <w:t>9</w:t>
      </w:r>
      <w:r>
        <w:rPr>
          <w:rFonts w:hint="eastAsia"/>
          <w:sz w:val="24"/>
        </w:rPr>
        <w:t>）加强对集输管线沿线重点敏感地段的环保管理，定期进行环境监测</w:t>
      </w:r>
      <w:r>
        <w:rPr>
          <w:sz w:val="24"/>
        </w:rPr>
        <w:t>。</w:t>
      </w:r>
    </w:p>
    <w:p w:rsidR="00EE4502" w:rsidRDefault="00FD45A3">
      <w:pPr>
        <w:keepNext/>
        <w:keepLines/>
        <w:numPr>
          <w:ilvl w:val="3"/>
          <w:numId w:val="30"/>
        </w:numPr>
        <w:spacing w:line="360" w:lineRule="auto"/>
        <w:outlineLvl w:val="3"/>
        <w:rPr>
          <w:sz w:val="24"/>
        </w:rPr>
      </w:pPr>
      <w:r>
        <w:rPr>
          <w:rFonts w:hint="eastAsia"/>
          <w:sz w:val="24"/>
        </w:rPr>
        <w:t>管线安全运行措施</w:t>
      </w:r>
    </w:p>
    <w:p w:rsidR="00EE4502" w:rsidRDefault="00FD45A3">
      <w:pPr>
        <w:spacing w:line="360" w:lineRule="auto"/>
        <w:ind w:rightChars="50" w:right="105" w:firstLineChars="200" w:firstLine="480"/>
        <w:rPr>
          <w:bCs/>
          <w:sz w:val="24"/>
        </w:rPr>
      </w:pPr>
      <w:r>
        <w:rPr>
          <w:bCs/>
          <w:sz w:val="24"/>
        </w:rPr>
        <w:t>为防范管线破裂事故的发生，减轻管线破裂、泄漏事故对环境的影响，采取以下安全环保措施：</w:t>
      </w:r>
    </w:p>
    <w:p w:rsidR="00EE4502" w:rsidRDefault="00FD45A3">
      <w:pPr>
        <w:spacing w:line="360" w:lineRule="auto"/>
        <w:ind w:rightChars="50" w:right="105" w:firstLineChars="200" w:firstLine="480"/>
        <w:rPr>
          <w:bCs/>
          <w:sz w:val="24"/>
        </w:rPr>
      </w:pPr>
      <w:r>
        <w:rPr>
          <w:bCs/>
          <w:sz w:val="24"/>
        </w:rPr>
        <w:t>（</w:t>
      </w:r>
      <w:r>
        <w:rPr>
          <w:bCs/>
          <w:sz w:val="24"/>
        </w:rPr>
        <w:t>1</w:t>
      </w:r>
      <w:r>
        <w:rPr>
          <w:bCs/>
          <w:sz w:val="24"/>
        </w:rPr>
        <w:t>）管线敷设过程中应严格按设计要求进行，确保埋设深度、防腐和保温质量，防止腐蚀管道。管线</w:t>
      </w:r>
      <w:r>
        <w:rPr>
          <w:bCs/>
          <w:sz w:val="24"/>
        </w:rPr>
        <w:t>敷设线路上方设置永久性标志，提醒人们在管线两侧活动，保护管线的安全。</w:t>
      </w:r>
    </w:p>
    <w:p w:rsidR="00EE4502" w:rsidRDefault="00FD45A3">
      <w:pPr>
        <w:spacing w:line="360" w:lineRule="auto"/>
        <w:ind w:rightChars="50" w:right="105" w:firstLineChars="200" w:firstLine="480"/>
        <w:rPr>
          <w:bCs/>
          <w:sz w:val="24"/>
        </w:rPr>
      </w:pPr>
      <w:r>
        <w:rPr>
          <w:bCs/>
          <w:sz w:val="24"/>
        </w:rPr>
        <w:t>（</w:t>
      </w:r>
      <w:r>
        <w:rPr>
          <w:bCs/>
          <w:sz w:val="24"/>
        </w:rPr>
        <w:t>2</w:t>
      </w:r>
      <w:r>
        <w:rPr>
          <w:bCs/>
          <w:sz w:val="24"/>
        </w:rPr>
        <w:t>）机械失效及施工缺陷是导致事故的重要原因之一。根据我国的经验，管道焊接是最关键的工艺，焊接工应接受专门培训，持证上岗。</w:t>
      </w:r>
    </w:p>
    <w:p w:rsidR="00EE4502" w:rsidRDefault="00FD45A3">
      <w:pPr>
        <w:spacing w:line="360" w:lineRule="auto"/>
        <w:ind w:rightChars="50" w:right="105" w:firstLineChars="200" w:firstLine="480"/>
        <w:rPr>
          <w:bCs/>
          <w:sz w:val="24"/>
        </w:rPr>
      </w:pPr>
      <w:r>
        <w:rPr>
          <w:bCs/>
          <w:sz w:val="24"/>
        </w:rPr>
        <w:t>（</w:t>
      </w:r>
      <w:r>
        <w:rPr>
          <w:bCs/>
          <w:sz w:val="24"/>
        </w:rPr>
        <w:t>3</w:t>
      </w:r>
      <w:r>
        <w:rPr>
          <w:bCs/>
          <w:sz w:val="24"/>
        </w:rPr>
        <w:t>）加强职工安全意识教育和安全生产技术培训，制定安全生产操作规程</w:t>
      </w:r>
    </w:p>
    <w:p w:rsidR="00EE4502" w:rsidRDefault="00FD45A3">
      <w:pPr>
        <w:spacing w:line="360" w:lineRule="auto"/>
        <w:ind w:rightChars="50" w:right="105" w:firstLineChars="200" w:firstLine="480"/>
        <w:rPr>
          <w:bCs/>
          <w:sz w:val="24"/>
        </w:rPr>
      </w:pPr>
      <w:r>
        <w:rPr>
          <w:bCs/>
          <w:sz w:val="24"/>
        </w:rPr>
        <w:lastRenderedPageBreak/>
        <w:t>（</w:t>
      </w:r>
      <w:r>
        <w:rPr>
          <w:bCs/>
          <w:sz w:val="24"/>
        </w:rPr>
        <w:t>4</w:t>
      </w:r>
      <w:r>
        <w:rPr>
          <w:bCs/>
          <w:sz w:val="24"/>
        </w:rPr>
        <w:t>）加强日常安全生产监督管理和安全运行检查，对各种设备、管线、油罐、阀门定期进行检查，防止跑、冒、滴、漏，及时巡查管线，消除事故隐患。</w:t>
      </w:r>
    </w:p>
    <w:p w:rsidR="00EE4502" w:rsidRDefault="00FD45A3">
      <w:pPr>
        <w:spacing w:line="360" w:lineRule="auto"/>
        <w:ind w:rightChars="50" w:right="105" w:firstLineChars="200" w:firstLine="480"/>
        <w:rPr>
          <w:bCs/>
          <w:sz w:val="24"/>
        </w:rPr>
      </w:pPr>
      <w:r>
        <w:rPr>
          <w:bCs/>
          <w:sz w:val="24"/>
        </w:rPr>
        <w:t>（</w:t>
      </w:r>
      <w:r>
        <w:rPr>
          <w:bCs/>
          <w:sz w:val="24"/>
        </w:rPr>
        <w:t>5</w:t>
      </w:r>
      <w:r>
        <w:rPr>
          <w:bCs/>
          <w:sz w:val="24"/>
        </w:rPr>
        <w:t>）对集油管线进行定期检查，建议每季度进行一次全线检查，具体方案如下：</w:t>
      </w:r>
    </w:p>
    <w:p w:rsidR="00EE4502" w:rsidRDefault="00FD45A3">
      <w:pPr>
        <w:spacing w:line="360" w:lineRule="auto"/>
        <w:ind w:rightChars="50" w:right="105" w:firstLineChars="200" w:firstLine="480"/>
        <w:rPr>
          <w:bCs/>
          <w:sz w:val="24"/>
        </w:rPr>
      </w:pPr>
      <w:r>
        <w:rPr>
          <w:rFonts w:ascii="宋体" w:hAnsi="宋体" w:cs="宋体" w:hint="eastAsia"/>
          <w:bCs/>
          <w:sz w:val="24"/>
        </w:rPr>
        <w:t>①</w:t>
      </w:r>
      <w:r>
        <w:rPr>
          <w:bCs/>
          <w:sz w:val="24"/>
        </w:rPr>
        <w:t>检查项目</w:t>
      </w:r>
    </w:p>
    <w:p w:rsidR="00EE4502" w:rsidRDefault="00FD45A3">
      <w:pPr>
        <w:spacing w:line="360" w:lineRule="auto"/>
        <w:ind w:rightChars="50" w:right="105" w:firstLineChars="200" w:firstLine="480"/>
        <w:rPr>
          <w:bCs/>
          <w:sz w:val="24"/>
        </w:rPr>
      </w:pPr>
      <w:r>
        <w:rPr>
          <w:bCs/>
          <w:sz w:val="24"/>
        </w:rPr>
        <w:t>泄漏检查：主要检查管子及其</w:t>
      </w:r>
      <w:r>
        <w:rPr>
          <w:bCs/>
          <w:sz w:val="24"/>
        </w:rPr>
        <w:t>它</w:t>
      </w:r>
      <w:r>
        <w:rPr>
          <w:rFonts w:hint="eastAsia"/>
          <w:bCs/>
          <w:sz w:val="24"/>
        </w:rPr>
        <w:t>组</w:t>
      </w:r>
      <w:r>
        <w:rPr>
          <w:bCs/>
          <w:sz w:val="24"/>
        </w:rPr>
        <w:t>件的泄漏情况。</w:t>
      </w:r>
    </w:p>
    <w:p w:rsidR="00EE4502" w:rsidRDefault="00FD45A3">
      <w:pPr>
        <w:spacing w:line="360" w:lineRule="auto"/>
        <w:ind w:rightChars="50" w:right="105" w:firstLineChars="200" w:firstLine="480"/>
        <w:rPr>
          <w:bCs/>
          <w:sz w:val="24"/>
        </w:rPr>
      </w:pPr>
      <w:r>
        <w:rPr>
          <w:bCs/>
          <w:sz w:val="24"/>
        </w:rPr>
        <w:t>防腐层检查：检查防腐层是否完好。</w:t>
      </w:r>
    </w:p>
    <w:p w:rsidR="00EE4502" w:rsidRDefault="00FD45A3">
      <w:pPr>
        <w:spacing w:line="360" w:lineRule="auto"/>
        <w:ind w:rightChars="50" w:right="105" w:firstLineChars="200" w:firstLine="480"/>
        <w:rPr>
          <w:bCs/>
          <w:sz w:val="24"/>
        </w:rPr>
      </w:pPr>
      <w:r>
        <w:rPr>
          <w:bCs/>
          <w:sz w:val="24"/>
        </w:rPr>
        <w:t>振动检查：主要检查管道有无异常振动情况。</w:t>
      </w:r>
    </w:p>
    <w:p w:rsidR="00EE4502" w:rsidRDefault="00FD45A3">
      <w:pPr>
        <w:spacing w:line="360" w:lineRule="auto"/>
        <w:ind w:rightChars="50" w:right="105" w:firstLineChars="200" w:firstLine="480"/>
        <w:rPr>
          <w:bCs/>
          <w:sz w:val="24"/>
        </w:rPr>
      </w:pPr>
      <w:r>
        <w:rPr>
          <w:rFonts w:ascii="宋体" w:hAnsi="宋体" w:cs="宋体" w:hint="eastAsia"/>
          <w:bCs/>
          <w:sz w:val="24"/>
        </w:rPr>
        <w:t>②</w:t>
      </w:r>
      <w:r>
        <w:rPr>
          <w:bCs/>
          <w:sz w:val="24"/>
        </w:rPr>
        <w:t>检查部位</w:t>
      </w:r>
    </w:p>
    <w:p w:rsidR="00EE4502" w:rsidRDefault="00FD45A3">
      <w:pPr>
        <w:spacing w:line="360" w:lineRule="auto"/>
        <w:ind w:rightChars="50" w:right="105" w:firstLineChars="200" w:firstLine="480"/>
        <w:rPr>
          <w:bCs/>
          <w:sz w:val="24"/>
        </w:rPr>
      </w:pPr>
      <w:r>
        <w:rPr>
          <w:bCs/>
          <w:sz w:val="24"/>
        </w:rPr>
        <w:t>泵的出口部位；补偿器、三通、弯头</w:t>
      </w:r>
      <w:r>
        <w:rPr>
          <w:rFonts w:hint="eastAsia"/>
          <w:bCs/>
          <w:sz w:val="24"/>
        </w:rPr>
        <w:t>（</w:t>
      </w:r>
      <w:r>
        <w:rPr>
          <w:bCs/>
          <w:sz w:val="24"/>
        </w:rPr>
        <w:t>弯管</w:t>
      </w:r>
      <w:r>
        <w:rPr>
          <w:rFonts w:hint="eastAsia"/>
          <w:bCs/>
          <w:sz w:val="24"/>
        </w:rPr>
        <w:t>）</w:t>
      </w:r>
      <w:r>
        <w:rPr>
          <w:bCs/>
          <w:sz w:val="24"/>
        </w:rPr>
        <w:t>、大小头、支管连接及介质流动的死角等部位；支吊架损坏部位附近的管道</w:t>
      </w:r>
      <w:r>
        <w:rPr>
          <w:rFonts w:hint="eastAsia"/>
          <w:bCs/>
          <w:sz w:val="24"/>
        </w:rPr>
        <w:t>组</w:t>
      </w:r>
      <w:r>
        <w:rPr>
          <w:bCs/>
          <w:sz w:val="24"/>
        </w:rPr>
        <w:t>件以及焊接接头；处于生产流程要害部位的管段以及与重要装置或设备相连接的管段；工作条件苛刻及承受交变载荷的管段。</w:t>
      </w:r>
    </w:p>
    <w:p w:rsidR="00EE4502" w:rsidRDefault="00FD45A3">
      <w:pPr>
        <w:spacing w:line="360" w:lineRule="auto"/>
        <w:ind w:rightChars="50" w:right="105" w:firstLineChars="200" w:firstLine="480"/>
        <w:rPr>
          <w:bCs/>
          <w:sz w:val="24"/>
        </w:rPr>
      </w:pPr>
      <w:r>
        <w:rPr>
          <w:rFonts w:ascii="宋体" w:hAnsi="宋体" w:cs="宋体" w:hint="eastAsia"/>
          <w:bCs/>
          <w:sz w:val="24"/>
        </w:rPr>
        <w:t>③</w:t>
      </w:r>
      <w:r>
        <w:rPr>
          <w:bCs/>
          <w:sz w:val="24"/>
        </w:rPr>
        <w:t>法兰检查</w:t>
      </w:r>
    </w:p>
    <w:p w:rsidR="00EE4502" w:rsidRDefault="00FD45A3">
      <w:pPr>
        <w:spacing w:line="360" w:lineRule="auto"/>
        <w:ind w:rightChars="50" w:right="105" w:firstLineChars="200" w:firstLine="480"/>
        <w:rPr>
          <w:bCs/>
          <w:sz w:val="24"/>
        </w:rPr>
      </w:pPr>
      <w:r>
        <w:rPr>
          <w:bCs/>
          <w:sz w:val="24"/>
        </w:rPr>
        <w:t>法兰是否偏口，紧固件是否齐全并符合要求，有无松动和腐蚀现象；法兰面是否发生异常翘曲、变形。</w:t>
      </w:r>
    </w:p>
    <w:p w:rsidR="00EE4502" w:rsidRDefault="00FD45A3">
      <w:pPr>
        <w:spacing w:line="360" w:lineRule="auto"/>
        <w:ind w:rightChars="50" w:right="105" w:firstLineChars="200" w:firstLine="480"/>
        <w:rPr>
          <w:bCs/>
          <w:sz w:val="24"/>
        </w:rPr>
      </w:pPr>
      <w:r>
        <w:rPr>
          <w:rFonts w:ascii="宋体" w:hAnsi="宋体" w:cs="宋体" w:hint="eastAsia"/>
          <w:bCs/>
          <w:sz w:val="24"/>
        </w:rPr>
        <w:t>④</w:t>
      </w:r>
      <w:r>
        <w:rPr>
          <w:bCs/>
          <w:sz w:val="24"/>
        </w:rPr>
        <w:t>阀门检查</w:t>
      </w:r>
    </w:p>
    <w:p w:rsidR="00EE4502" w:rsidRDefault="00FD45A3">
      <w:pPr>
        <w:spacing w:line="360" w:lineRule="auto"/>
        <w:ind w:rightChars="50" w:right="105" w:firstLineChars="200" w:firstLine="480"/>
        <w:rPr>
          <w:bCs/>
          <w:sz w:val="24"/>
        </w:rPr>
      </w:pPr>
      <w:r>
        <w:rPr>
          <w:bCs/>
          <w:sz w:val="24"/>
        </w:rPr>
        <w:t>阀门表面是否存在严重腐蚀现象；阀体表面是否有裂纹、严重缩孔等缺陷；阀门连接螺栓是否松动；阀门操作是否灵活。</w:t>
      </w:r>
    </w:p>
    <w:p w:rsidR="00EE4502" w:rsidRDefault="00FD45A3">
      <w:pPr>
        <w:spacing w:line="360" w:lineRule="auto"/>
        <w:ind w:rightChars="50" w:right="105" w:firstLineChars="200" w:firstLine="480"/>
        <w:rPr>
          <w:bCs/>
          <w:sz w:val="24"/>
        </w:rPr>
      </w:pPr>
      <w:r>
        <w:rPr>
          <w:rFonts w:ascii="宋体" w:hAnsi="宋体" w:cs="宋体" w:hint="eastAsia"/>
          <w:bCs/>
          <w:sz w:val="24"/>
        </w:rPr>
        <w:t>⑤</w:t>
      </w:r>
      <w:r>
        <w:rPr>
          <w:bCs/>
          <w:sz w:val="24"/>
        </w:rPr>
        <w:t>管道标识检查</w:t>
      </w:r>
    </w:p>
    <w:p w:rsidR="00EE4502" w:rsidRDefault="00FD45A3">
      <w:pPr>
        <w:spacing w:line="360" w:lineRule="auto"/>
        <w:ind w:rightChars="50" w:right="105" w:firstLineChars="200" w:firstLine="480"/>
        <w:rPr>
          <w:bCs/>
          <w:sz w:val="24"/>
        </w:rPr>
      </w:pPr>
      <w:r>
        <w:rPr>
          <w:bCs/>
          <w:sz w:val="24"/>
        </w:rPr>
        <w:t>检查管道标识是否符合现行国家标准或行业标准的规定。</w:t>
      </w:r>
    </w:p>
    <w:p w:rsidR="00EE4502" w:rsidRDefault="00FD45A3">
      <w:pPr>
        <w:spacing w:line="360" w:lineRule="auto"/>
        <w:ind w:rightChars="50" w:right="105" w:firstLineChars="200" w:firstLine="480"/>
        <w:rPr>
          <w:bCs/>
          <w:sz w:val="24"/>
        </w:rPr>
      </w:pPr>
      <w:r>
        <w:rPr>
          <w:bCs/>
          <w:sz w:val="24"/>
        </w:rPr>
        <w:t>检验发现管道存在异常情况和问题时，由</w:t>
      </w:r>
      <w:r>
        <w:rPr>
          <w:bCs/>
          <w:sz w:val="24"/>
        </w:rPr>
        <w:t>QHSE</w:t>
      </w:r>
      <w:r>
        <w:rPr>
          <w:bCs/>
          <w:sz w:val="24"/>
        </w:rPr>
        <w:t>管理督查部组织有关人员进行分析，查明原因，及时采取整改措施。重大安全隐患应及时报</w:t>
      </w:r>
      <w:r>
        <w:rPr>
          <w:bCs/>
          <w:sz w:val="24"/>
        </w:rPr>
        <w:t>QHSE</w:t>
      </w:r>
      <w:r>
        <w:rPr>
          <w:bCs/>
          <w:sz w:val="24"/>
        </w:rPr>
        <w:t>管理督查部或上级备案。</w:t>
      </w:r>
    </w:p>
    <w:p w:rsidR="00EE4502" w:rsidRDefault="00FD45A3">
      <w:pPr>
        <w:keepNext/>
        <w:keepLines/>
        <w:numPr>
          <w:ilvl w:val="3"/>
          <w:numId w:val="30"/>
        </w:numPr>
        <w:spacing w:line="360" w:lineRule="auto"/>
        <w:outlineLvl w:val="3"/>
        <w:rPr>
          <w:sz w:val="24"/>
        </w:rPr>
      </w:pPr>
      <w:r>
        <w:rPr>
          <w:rFonts w:hint="eastAsia"/>
          <w:sz w:val="24"/>
        </w:rPr>
        <w:t>泄漏事故应急措施</w:t>
      </w:r>
    </w:p>
    <w:p w:rsidR="00EE4502" w:rsidRDefault="00FD45A3">
      <w:pPr>
        <w:spacing w:line="360" w:lineRule="auto"/>
        <w:ind w:rightChars="50" w:right="105" w:firstLineChars="200" w:firstLine="480"/>
        <w:rPr>
          <w:bCs/>
          <w:sz w:val="24"/>
        </w:rPr>
      </w:pPr>
      <w:r>
        <w:rPr>
          <w:rFonts w:hint="eastAsia"/>
          <w:bCs/>
          <w:sz w:val="24"/>
        </w:rPr>
        <w:t>事故风险不可能绝对避免，在预防事故的同时，为可能发生的事故制定应急措施，使事故造成的危害减至最低程度。</w:t>
      </w:r>
    </w:p>
    <w:p w:rsidR="00EE4502" w:rsidRDefault="00FD45A3">
      <w:pPr>
        <w:spacing w:line="360" w:lineRule="auto"/>
        <w:ind w:rightChars="50" w:right="105" w:firstLineChars="200" w:firstLine="480"/>
        <w:rPr>
          <w:bCs/>
          <w:sz w:val="24"/>
        </w:rPr>
      </w:pPr>
      <w:r>
        <w:rPr>
          <w:rFonts w:hint="eastAsia"/>
          <w:bCs/>
          <w:sz w:val="24"/>
        </w:rPr>
        <w:t>①按顺序关井</w:t>
      </w:r>
    </w:p>
    <w:p w:rsidR="00EE4502" w:rsidRDefault="00FD45A3">
      <w:pPr>
        <w:spacing w:line="360" w:lineRule="auto"/>
        <w:ind w:rightChars="50" w:right="105" w:firstLineChars="200" w:firstLine="480"/>
        <w:rPr>
          <w:bCs/>
          <w:sz w:val="24"/>
        </w:rPr>
      </w:pPr>
      <w:r>
        <w:rPr>
          <w:rFonts w:hint="eastAsia"/>
          <w:bCs/>
          <w:sz w:val="24"/>
        </w:rPr>
        <w:t>在油品发生泄漏、管道发生断裂、漏油事故时，按顺序关井。抢修队根据现场情况及时抢修，做好环境污染防范工作，把损失控制在最小范围内。</w:t>
      </w:r>
    </w:p>
    <w:p w:rsidR="00EE4502" w:rsidRDefault="00FD45A3">
      <w:pPr>
        <w:spacing w:line="360" w:lineRule="auto"/>
        <w:ind w:rightChars="50" w:right="105" w:firstLineChars="200" w:firstLine="480"/>
        <w:rPr>
          <w:bCs/>
          <w:sz w:val="24"/>
        </w:rPr>
      </w:pPr>
      <w:r>
        <w:rPr>
          <w:rFonts w:hint="eastAsia"/>
          <w:bCs/>
          <w:sz w:val="24"/>
        </w:rPr>
        <w:lastRenderedPageBreak/>
        <w:t>②回收泄漏采出液</w:t>
      </w:r>
    </w:p>
    <w:p w:rsidR="00EE4502" w:rsidRDefault="00FD45A3">
      <w:pPr>
        <w:spacing w:line="360" w:lineRule="auto"/>
        <w:ind w:rightChars="50" w:right="105" w:firstLineChars="200" w:firstLine="480"/>
        <w:rPr>
          <w:bCs/>
          <w:sz w:val="24"/>
        </w:rPr>
      </w:pPr>
      <w:r>
        <w:rPr>
          <w:rFonts w:hint="eastAsia"/>
          <w:bCs/>
          <w:sz w:val="24"/>
        </w:rPr>
        <w:t>首先限制地表污染的扩大。油受重力和地形的控制，会流向低洼地带，应尽量防止泄漏石油移动。在可能的情况下应进行筑堤，汇集在低洼坑中的地表油，用车及时进行收集，将严重污染的土壤集中收集，由有危废处置资质的公司接收处置处理。</w:t>
      </w:r>
    </w:p>
    <w:p w:rsidR="00EE4502" w:rsidRDefault="00FD45A3">
      <w:pPr>
        <w:keepNext/>
        <w:keepLines/>
        <w:numPr>
          <w:ilvl w:val="3"/>
          <w:numId w:val="30"/>
        </w:numPr>
        <w:spacing w:line="360" w:lineRule="auto"/>
        <w:outlineLvl w:val="3"/>
        <w:rPr>
          <w:sz w:val="24"/>
        </w:rPr>
      </w:pPr>
      <w:r>
        <w:rPr>
          <w:rFonts w:hint="eastAsia"/>
          <w:sz w:val="24"/>
        </w:rPr>
        <w:t>植被保护措施</w:t>
      </w:r>
    </w:p>
    <w:p w:rsidR="00EE4502" w:rsidRDefault="00FD45A3">
      <w:pPr>
        <w:spacing w:line="360" w:lineRule="auto"/>
        <w:ind w:rightChars="50" w:right="105" w:firstLineChars="200" w:firstLine="480"/>
        <w:rPr>
          <w:bCs/>
          <w:sz w:val="24"/>
        </w:rPr>
      </w:pPr>
      <w:r>
        <w:rPr>
          <w:rFonts w:hint="eastAsia"/>
          <w:bCs/>
          <w:sz w:val="24"/>
        </w:rPr>
        <w:t>（</w:t>
      </w:r>
      <w:r>
        <w:rPr>
          <w:rFonts w:hint="eastAsia"/>
          <w:bCs/>
          <w:sz w:val="24"/>
        </w:rPr>
        <w:t>1</w:t>
      </w:r>
      <w:r>
        <w:rPr>
          <w:rFonts w:hint="eastAsia"/>
          <w:bCs/>
          <w:sz w:val="24"/>
        </w:rPr>
        <w:t>）强化责任，实行森林防火领导负责制。应制定防火操作规程，奖罚分明，增强工作人员森林防火责任意识。</w:t>
      </w:r>
    </w:p>
    <w:p w:rsidR="00EE4502" w:rsidRDefault="00FD45A3">
      <w:pPr>
        <w:spacing w:line="360" w:lineRule="auto"/>
        <w:ind w:rightChars="50" w:right="105" w:firstLineChars="200" w:firstLine="480"/>
        <w:rPr>
          <w:bCs/>
          <w:sz w:val="24"/>
        </w:rPr>
      </w:pPr>
      <w:r>
        <w:rPr>
          <w:rFonts w:hint="eastAsia"/>
          <w:bCs/>
          <w:sz w:val="24"/>
        </w:rPr>
        <w:t>（</w:t>
      </w:r>
      <w:r>
        <w:rPr>
          <w:rFonts w:hint="eastAsia"/>
          <w:bCs/>
          <w:sz w:val="24"/>
        </w:rPr>
        <w:t>2</w:t>
      </w:r>
      <w:r>
        <w:rPr>
          <w:rFonts w:hint="eastAsia"/>
          <w:bCs/>
          <w:sz w:val="24"/>
        </w:rPr>
        <w:t>）大力开展宣传教育。应普遍</w:t>
      </w:r>
      <w:r>
        <w:rPr>
          <w:rFonts w:hint="eastAsia"/>
          <w:bCs/>
          <w:sz w:val="24"/>
        </w:rPr>
        <w:t>开展宣传周、宣传月、举办知识竞赛，利用报纸、电视、广播、黑板报、张贴标语等多种形式在各种场合不厌其烦地进行宣传。</w:t>
      </w:r>
    </w:p>
    <w:p w:rsidR="00EE4502" w:rsidRDefault="00FD45A3">
      <w:pPr>
        <w:spacing w:line="360" w:lineRule="auto"/>
        <w:ind w:rightChars="50" w:right="105" w:firstLineChars="200" w:firstLine="480"/>
        <w:rPr>
          <w:bCs/>
          <w:sz w:val="24"/>
        </w:rPr>
      </w:pPr>
      <w:r>
        <w:rPr>
          <w:rFonts w:hint="eastAsia"/>
          <w:bCs/>
          <w:sz w:val="24"/>
        </w:rPr>
        <w:t>（</w:t>
      </w:r>
      <w:r>
        <w:rPr>
          <w:rFonts w:hint="eastAsia"/>
          <w:bCs/>
          <w:sz w:val="24"/>
        </w:rPr>
        <w:t>3</w:t>
      </w:r>
      <w:r>
        <w:rPr>
          <w:rFonts w:hint="eastAsia"/>
          <w:bCs/>
          <w:sz w:val="24"/>
        </w:rPr>
        <w:t>）强化野外火源管理，制定办法，严格要求，加强对工作人员管理，严禁携带火种进入公益林区。</w:t>
      </w:r>
    </w:p>
    <w:p w:rsidR="00EE4502" w:rsidRDefault="00FD45A3">
      <w:pPr>
        <w:keepNext/>
        <w:keepLines/>
        <w:numPr>
          <w:ilvl w:val="3"/>
          <w:numId w:val="30"/>
        </w:numPr>
        <w:spacing w:line="360" w:lineRule="auto"/>
        <w:outlineLvl w:val="3"/>
        <w:rPr>
          <w:sz w:val="24"/>
        </w:rPr>
      </w:pPr>
      <w:r>
        <w:rPr>
          <w:rFonts w:hint="eastAsia"/>
          <w:sz w:val="24"/>
        </w:rPr>
        <w:t>危险废物运输事故风险防范措施</w:t>
      </w:r>
    </w:p>
    <w:p w:rsidR="00EE4502" w:rsidRDefault="00FD45A3">
      <w:pPr>
        <w:spacing w:line="360" w:lineRule="auto"/>
        <w:ind w:rightChars="50" w:right="105" w:firstLineChars="200" w:firstLine="480"/>
        <w:rPr>
          <w:bCs/>
          <w:sz w:val="24"/>
        </w:rPr>
      </w:pPr>
      <w:r>
        <w:rPr>
          <w:rFonts w:hint="eastAsia"/>
          <w:bCs/>
          <w:sz w:val="24"/>
        </w:rPr>
        <w:t>（</w:t>
      </w:r>
      <w:r>
        <w:rPr>
          <w:rFonts w:hint="eastAsia"/>
          <w:bCs/>
          <w:sz w:val="24"/>
        </w:rPr>
        <w:t>1</w:t>
      </w:r>
      <w:r>
        <w:rPr>
          <w:rFonts w:hint="eastAsia"/>
          <w:bCs/>
          <w:sz w:val="24"/>
        </w:rPr>
        <w:t>）危险废物须按照《危险废物收集</w:t>
      </w:r>
      <w:r>
        <w:rPr>
          <w:rFonts w:hint="eastAsia"/>
          <w:bCs/>
          <w:sz w:val="24"/>
        </w:rPr>
        <w:t xml:space="preserve"> </w:t>
      </w:r>
      <w:r>
        <w:rPr>
          <w:rFonts w:hint="eastAsia"/>
          <w:bCs/>
          <w:sz w:val="24"/>
        </w:rPr>
        <w:t>贮存运输技术规范》（</w:t>
      </w:r>
      <w:r>
        <w:rPr>
          <w:rFonts w:hint="eastAsia"/>
          <w:bCs/>
          <w:sz w:val="24"/>
        </w:rPr>
        <w:t>HJ2025-2012</w:t>
      </w:r>
      <w:r>
        <w:rPr>
          <w:rFonts w:hint="eastAsia"/>
          <w:bCs/>
          <w:sz w:val="24"/>
        </w:rPr>
        <w:t>）相关要求，由专业人员进行押运。</w:t>
      </w:r>
    </w:p>
    <w:p w:rsidR="00EE4502" w:rsidRDefault="00FD45A3">
      <w:pPr>
        <w:spacing w:line="360" w:lineRule="auto"/>
        <w:ind w:rightChars="50" w:right="105" w:firstLineChars="200" w:firstLine="480"/>
        <w:rPr>
          <w:bCs/>
          <w:sz w:val="24"/>
        </w:rPr>
      </w:pPr>
      <w:r>
        <w:rPr>
          <w:rFonts w:hint="eastAsia"/>
          <w:bCs/>
          <w:sz w:val="24"/>
        </w:rPr>
        <w:t>（</w:t>
      </w:r>
      <w:r>
        <w:rPr>
          <w:rFonts w:hint="eastAsia"/>
          <w:bCs/>
          <w:sz w:val="24"/>
        </w:rPr>
        <w:t>2</w:t>
      </w:r>
      <w:r>
        <w:rPr>
          <w:rFonts w:hint="eastAsia"/>
          <w:bCs/>
          <w:sz w:val="24"/>
        </w:rPr>
        <w:t>）建设单位与危废资质单位共同研究危险废物运输的有关事宜，运输过程全控制，确保危险废物的运输安全可靠，减少或避免运输过程中的二次污染和可能造成的环境风险。</w:t>
      </w:r>
    </w:p>
    <w:p w:rsidR="00EE4502" w:rsidRDefault="00FD45A3">
      <w:pPr>
        <w:spacing w:line="360" w:lineRule="auto"/>
        <w:ind w:rightChars="50" w:right="105" w:firstLineChars="200" w:firstLine="480"/>
        <w:rPr>
          <w:bCs/>
          <w:sz w:val="24"/>
        </w:rPr>
      </w:pPr>
      <w:r>
        <w:rPr>
          <w:rFonts w:hint="eastAsia"/>
          <w:bCs/>
          <w:sz w:val="24"/>
        </w:rPr>
        <w:t>（</w:t>
      </w:r>
      <w:r>
        <w:rPr>
          <w:rFonts w:hint="eastAsia"/>
          <w:bCs/>
          <w:sz w:val="24"/>
        </w:rPr>
        <w:t>3</w:t>
      </w:r>
      <w:r>
        <w:rPr>
          <w:rFonts w:hint="eastAsia"/>
          <w:bCs/>
          <w:sz w:val="24"/>
        </w:rPr>
        <w:t>）</w:t>
      </w:r>
      <w:r>
        <w:rPr>
          <w:rFonts w:hint="eastAsia"/>
          <w:bCs/>
          <w:sz w:val="24"/>
        </w:rPr>
        <w:t>对于污水、废液等的转运均要制定管理计划，如实记录有关信息，健全资料台账，转移车辆安装定位系统，并保存相关影像资料。</w:t>
      </w:r>
    </w:p>
    <w:p w:rsidR="00EE4502" w:rsidRDefault="00FD45A3">
      <w:pPr>
        <w:spacing w:line="360" w:lineRule="auto"/>
        <w:ind w:rightChars="50" w:right="105" w:firstLineChars="200" w:firstLine="480"/>
        <w:rPr>
          <w:bCs/>
          <w:sz w:val="24"/>
        </w:rPr>
      </w:pPr>
      <w:r>
        <w:rPr>
          <w:rFonts w:hint="eastAsia"/>
          <w:bCs/>
          <w:sz w:val="24"/>
        </w:rPr>
        <w:t>（</w:t>
      </w:r>
      <w:r>
        <w:rPr>
          <w:rFonts w:hint="eastAsia"/>
          <w:bCs/>
          <w:sz w:val="24"/>
        </w:rPr>
        <w:t>4</w:t>
      </w:r>
      <w:r>
        <w:rPr>
          <w:rFonts w:hint="eastAsia"/>
          <w:bCs/>
          <w:sz w:val="24"/>
        </w:rPr>
        <w:t>）出车前须对罐车的罐体、压力表、阀门等安全技术状况进行检查，发现故障排除后方可投入运行。</w:t>
      </w:r>
    </w:p>
    <w:p w:rsidR="00EE4502" w:rsidRDefault="00FD45A3">
      <w:pPr>
        <w:spacing w:line="360" w:lineRule="auto"/>
        <w:ind w:rightChars="50" w:right="105" w:firstLineChars="200" w:firstLine="480"/>
        <w:rPr>
          <w:bCs/>
          <w:sz w:val="24"/>
        </w:rPr>
      </w:pPr>
      <w:r>
        <w:rPr>
          <w:rFonts w:hint="eastAsia"/>
          <w:bCs/>
          <w:sz w:val="24"/>
        </w:rPr>
        <w:t>（</w:t>
      </w:r>
      <w:r>
        <w:rPr>
          <w:rFonts w:hint="eastAsia"/>
          <w:bCs/>
          <w:sz w:val="24"/>
        </w:rPr>
        <w:t>5</w:t>
      </w:r>
      <w:r>
        <w:rPr>
          <w:rFonts w:hint="eastAsia"/>
          <w:bCs/>
          <w:sz w:val="24"/>
        </w:rPr>
        <w:t>）加强各类储罐的日常管理及安全检查，要严格按章操作，废水、废液装车、卸车时，加强管理，避免跑冒滴漏现象，防止发生泄漏等安全事故。</w:t>
      </w:r>
    </w:p>
    <w:p w:rsidR="00EE4502" w:rsidRDefault="00FD45A3">
      <w:pPr>
        <w:spacing w:line="360" w:lineRule="auto"/>
        <w:ind w:rightChars="50" w:right="105" w:firstLineChars="200" w:firstLine="480"/>
        <w:rPr>
          <w:bCs/>
          <w:sz w:val="24"/>
        </w:rPr>
      </w:pPr>
      <w:r>
        <w:rPr>
          <w:rFonts w:hint="eastAsia"/>
          <w:bCs/>
          <w:sz w:val="24"/>
        </w:rPr>
        <w:t>（</w:t>
      </w:r>
      <w:r>
        <w:rPr>
          <w:rFonts w:hint="eastAsia"/>
          <w:bCs/>
          <w:sz w:val="24"/>
        </w:rPr>
        <w:t>6</w:t>
      </w:r>
      <w:r>
        <w:rPr>
          <w:rFonts w:hint="eastAsia"/>
          <w:bCs/>
          <w:sz w:val="24"/>
        </w:rPr>
        <w:t>）运输时提高拉运人员技术素质、加强责任心，严禁废水随意倾倒，贯彻安全驾驶机动车辆的行为规定，严格遵守交通法规，防止发生运输车辆事故。</w:t>
      </w:r>
    </w:p>
    <w:p w:rsidR="00EE4502" w:rsidRDefault="00FD45A3">
      <w:pPr>
        <w:spacing w:line="360" w:lineRule="auto"/>
        <w:ind w:rightChars="50" w:right="105" w:firstLineChars="200" w:firstLine="480"/>
        <w:rPr>
          <w:bCs/>
          <w:sz w:val="24"/>
        </w:rPr>
      </w:pPr>
      <w:r>
        <w:rPr>
          <w:rFonts w:hint="eastAsia"/>
          <w:bCs/>
          <w:sz w:val="24"/>
        </w:rPr>
        <w:t>（</w:t>
      </w:r>
      <w:r>
        <w:rPr>
          <w:rFonts w:hint="eastAsia"/>
          <w:bCs/>
          <w:sz w:val="24"/>
        </w:rPr>
        <w:t>7</w:t>
      </w:r>
      <w:r>
        <w:rPr>
          <w:rFonts w:hint="eastAsia"/>
          <w:bCs/>
          <w:sz w:val="24"/>
        </w:rPr>
        <w:t>）行车途中应勤检查，若有泄</w:t>
      </w:r>
      <w:r>
        <w:rPr>
          <w:rFonts w:hint="eastAsia"/>
          <w:bCs/>
          <w:sz w:val="24"/>
        </w:rPr>
        <w:t>漏，应查找泄漏点，采取相应的应急措施，防止液体继续泄漏，受到污染的土壤要全部回收，委托具有相应危险废物处置资质单位进行处置。</w:t>
      </w:r>
    </w:p>
    <w:p w:rsidR="00EE4502" w:rsidRDefault="00FD45A3">
      <w:pPr>
        <w:keepNext/>
        <w:keepLines/>
        <w:numPr>
          <w:ilvl w:val="3"/>
          <w:numId w:val="30"/>
        </w:numPr>
        <w:spacing w:line="360" w:lineRule="auto"/>
        <w:outlineLvl w:val="3"/>
        <w:rPr>
          <w:sz w:val="24"/>
        </w:rPr>
      </w:pPr>
      <w:r>
        <w:rPr>
          <w:rFonts w:hint="eastAsia"/>
          <w:sz w:val="24"/>
        </w:rPr>
        <w:lastRenderedPageBreak/>
        <w:t>重视和加强管理</w:t>
      </w:r>
    </w:p>
    <w:p w:rsidR="00EE4502" w:rsidRDefault="00FD45A3">
      <w:pPr>
        <w:spacing w:line="360" w:lineRule="auto"/>
        <w:ind w:rightChars="50" w:right="105" w:firstLineChars="200" w:firstLine="480"/>
        <w:rPr>
          <w:sz w:val="24"/>
        </w:rPr>
      </w:pPr>
      <w:r>
        <w:rPr>
          <w:rFonts w:hint="eastAsia"/>
          <w:sz w:val="24"/>
        </w:rPr>
        <w:t>除采取上述安全预防措施外，还应通过提高人员素质，加强责任心教育，完善有关操作条例等方法来防止人为因素引发的事故。</w:t>
      </w:r>
    </w:p>
    <w:p w:rsidR="00EE4502" w:rsidRDefault="00FD45A3">
      <w:pPr>
        <w:spacing w:line="360" w:lineRule="auto"/>
        <w:ind w:rightChars="50" w:right="105" w:firstLineChars="200" w:firstLine="480"/>
        <w:rPr>
          <w:sz w:val="24"/>
        </w:rPr>
      </w:pPr>
      <w:r>
        <w:rPr>
          <w:rFonts w:hint="eastAsia"/>
          <w:sz w:val="24"/>
        </w:rPr>
        <w:t>（</w:t>
      </w:r>
      <w:r>
        <w:rPr>
          <w:rFonts w:hint="eastAsia"/>
          <w:sz w:val="24"/>
        </w:rPr>
        <w:t>1</w:t>
      </w:r>
      <w:r>
        <w:rPr>
          <w:rFonts w:hint="eastAsia"/>
          <w:sz w:val="24"/>
        </w:rPr>
        <w:t>）对生产操作的工人必须培训经考核后上岗，使其了解工艺过程，熟悉操作规程，对各种情况能进行正确判断。</w:t>
      </w:r>
    </w:p>
    <w:p w:rsidR="00EE4502" w:rsidRDefault="00FD45A3">
      <w:pPr>
        <w:spacing w:line="360" w:lineRule="auto"/>
        <w:ind w:rightChars="50" w:right="105" w:firstLineChars="200" w:firstLine="480"/>
        <w:rPr>
          <w:sz w:val="24"/>
        </w:rPr>
      </w:pPr>
      <w:r>
        <w:rPr>
          <w:rFonts w:hint="eastAsia"/>
          <w:sz w:val="24"/>
        </w:rPr>
        <w:t>（</w:t>
      </w:r>
      <w:r>
        <w:rPr>
          <w:rFonts w:hint="eastAsia"/>
          <w:sz w:val="24"/>
        </w:rPr>
        <w:t>2</w:t>
      </w:r>
      <w:r>
        <w:rPr>
          <w:rFonts w:hint="eastAsia"/>
          <w:sz w:val="24"/>
        </w:rPr>
        <w:t>）加强各级干部、职工的风险意识和环境意识教育，增强安全、环保意识。建立健全各种规章制度、规程，使制度落到实处，严格遵守，杜绝违章作业。</w:t>
      </w:r>
    </w:p>
    <w:p w:rsidR="00EE4502" w:rsidRDefault="00FD45A3">
      <w:pPr>
        <w:spacing w:line="360" w:lineRule="auto"/>
        <w:ind w:rightChars="50" w:right="105" w:firstLineChars="200" w:firstLine="480"/>
        <w:rPr>
          <w:sz w:val="24"/>
        </w:rPr>
      </w:pPr>
      <w:r>
        <w:rPr>
          <w:rFonts w:hint="eastAsia"/>
          <w:sz w:val="24"/>
        </w:rPr>
        <w:t>（</w:t>
      </w:r>
      <w:r>
        <w:rPr>
          <w:rFonts w:hint="eastAsia"/>
          <w:sz w:val="24"/>
        </w:rPr>
        <w:t>3</w:t>
      </w:r>
      <w:r>
        <w:rPr>
          <w:rFonts w:hint="eastAsia"/>
          <w:sz w:val="24"/>
        </w:rPr>
        <w:t>）经常对职工进行爱岗教育，使职工安心本职工作，遵守劳动纪律，避免因责任心不强、操作中疏忽大意、擅离职守等原因造成的事故</w:t>
      </w:r>
      <w:r>
        <w:rPr>
          <w:sz w:val="24"/>
        </w:rPr>
        <w:t>。</w:t>
      </w:r>
    </w:p>
    <w:p w:rsidR="00EE4502" w:rsidRDefault="00FD45A3">
      <w:pPr>
        <w:keepNext/>
        <w:keepLines/>
        <w:numPr>
          <w:ilvl w:val="2"/>
          <w:numId w:val="30"/>
        </w:numPr>
        <w:spacing w:line="360" w:lineRule="auto"/>
        <w:outlineLvl w:val="2"/>
        <w:rPr>
          <w:sz w:val="24"/>
        </w:rPr>
      </w:pPr>
      <w:r>
        <w:rPr>
          <w:rFonts w:eastAsia="黑体" w:hint="eastAsia"/>
          <w:sz w:val="24"/>
        </w:rPr>
        <w:t>环境风险应急预案与应急要求</w:t>
      </w:r>
    </w:p>
    <w:p w:rsidR="00EE4502" w:rsidRDefault="00FD45A3">
      <w:pPr>
        <w:spacing w:line="360" w:lineRule="auto"/>
        <w:outlineLvl w:val="3"/>
        <w:rPr>
          <w:sz w:val="24"/>
          <w:szCs w:val="20"/>
        </w:rPr>
      </w:pPr>
      <w:r>
        <w:rPr>
          <w:rFonts w:hint="eastAsia"/>
          <w:sz w:val="24"/>
          <w:szCs w:val="20"/>
        </w:rPr>
        <w:t>5.8.7.1</w:t>
      </w:r>
      <w:r>
        <w:rPr>
          <w:rFonts w:hint="eastAsia"/>
          <w:sz w:val="24"/>
          <w:szCs w:val="20"/>
        </w:rPr>
        <w:t>应急预案</w:t>
      </w:r>
    </w:p>
    <w:p w:rsidR="00EE4502" w:rsidRDefault="00FD45A3">
      <w:pPr>
        <w:spacing w:line="360" w:lineRule="auto"/>
        <w:ind w:firstLineChars="200" w:firstLine="480"/>
        <w:rPr>
          <w:sz w:val="24"/>
          <w:szCs w:val="20"/>
        </w:rPr>
      </w:pPr>
      <w:r>
        <w:rPr>
          <w:rFonts w:hint="eastAsia"/>
          <w:sz w:val="24"/>
          <w:szCs w:val="20"/>
        </w:rPr>
        <w:t>1</w:t>
      </w:r>
      <w:r>
        <w:rPr>
          <w:rFonts w:hint="eastAsia"/>
          <w:sz w:val="24"/>
          <w:szCs w:val="20"/>
        </w:rPr>
        <w:t>）应急预案编制情况</w:t>
      </w:r>
    </w:p>
    <w:p w:rsidR="00EE4502" w:rsidRDefault="00FD45A3">
      <w:pPr>
        <w:spacing w:line="360" w:lineRule="auto"/>
        <w:ind w:firstLineChars="200" w:firstLine="480"/>
        <w:rPr>
          <w:sz w:val="24"/>
        </w:rPr>
      </w:pPr>
      <w:r>
        <w:rPr>
          <w:rFonts w:hint="eastAsia"/>
          <w:sz w:val="24"/>
          <w:szCs w:val="20"/>
        </w:rPr>
        <w:t>本工程建成后由</w:t>
      </w:r>
      <w:r>
        <w:rPr>
          <w:rFonts w:hAnsi="Calibri" w:hint="eastAsia"/>
          <w:sz w:val="24"/>
          <w:szCs w:val="20"/>
        </w:rPr>
        <w:t>中石化新疆新春石油开发有限责任公司</w:t>
      </w:r>
      <w:r>
        <w:rPr>
          <w:rFonts w:hint="eastAsia"/>
          <w:sz w:val="24"/>
          <w:szCs w:val="20"/>
        </w:rPr>
        <w:t>负责运营管理，根据调查，中石化新疆新春石油开发有限责任公司对春风油田开展了风险评估，并根据环境风险评价报告编制相应层次的《突发环境事件应急预案》，并在新疆生产建设兵团第七师生态环境局、克拉玛依市克拉玛依区生态环境局进行备案；根据《关于印发＜企业事业单位突发环境事件应急预案备案管理办法（试行）〉的通知》（环发〔</w:t>
      </w:r>
      <w:r>
        <w:rPr>
          <w:rFonts w:hint="eastAsia"/>
          <w:sz w:val="24"/>
          <w:szCs w:val="20"/>
        </w:rPr>
        <w:t>2015</w:t>
      </w:r>
      <w:r>
        <w:rPr>
          <w:rFonts w:hint="eastAsia"/>
          <w:sz w:val="24"/>
          <w:szCs w:val="20"/>
        </w:rPr>
        <w:t>〕</w:t>
      </w:r>
      <w:r>
        <w:rPr>
          <w:rFonts w:hint="eastAsia"/>
          <w:sz w:val="24"/>
          <w:szCs w:val="20"/>
        </w:rPr>
        <w:t>4</w:t>
      </w:r>
      <w:r>
        <w:rPr>
          <w:rFonts w:hint="eastAsia"/>
          <w:sz w:val="24"/>
          <w:szCs w:val="20"/>
        </w:rPr>
        <w:t>号），本评价建议将本次建设内容突发环境事件应急预案纳入现有突发环境事件应急预案中，对现有突发环境事件应急预案进行必要的完善和补充。待本项目实施后，需将本工程相关内容更新至突发环境事件应急预案</w:t>
      </w:r>
      <w:r>
        <w:rPr>
          <w:rFonts w:hint="eastAsia"/>
          <w:sz w:val="24"/>
          <w:szCs w:val="20"/>
        </w:rPr>
        <w:t>中，并及时备案。</w:t>
      </w:r>
    </w:p>
    <w:p w:rsidR="00EE4502" w:rsidRDefault="00FD45A3">
      <w:pPr>
        <w:spacing w:line="360" w:lineRule="auto"/>
        <w:ind w:firstLineChars="200" w:firstLine="480"/>
        <w:rPr>
          <w:sz w:val="24"/>
        </w:rPr>
      </w:pPr>
      <w:r>
        <w:rPr>
          <w:rFonts w:hint="eastAsia"/>
          <w:sz w:val="24"/>
        </w:rPr>
        <w:t>2</w:t>
      </w:r>
      <w:r>
        <w:rPr>
          <w:sz w:val="24"/>
        </w:rPr>
        <w:t>）应急响应</w:t>
      </w:r>
    </w:p>
    <w:p w:rsidR="00EE4502" w:rsidRDefault="00FD45A3">
      <w:pPr>
        <w:spacing w:line="360" w:lineRule="auto"/>
        <w:ind w:firstLineChars="200" w:firstLine="480"/>
        <w:rPr>
          <w:sz w:val="24"/>
        </w:rPr>
      </w:pPr>
      <w:r>
        <w:rPr>
          <w:sz w:val="24"/>
        </w:rPr>
        <w:t>在油田作业区、</w:t>
      </w:r>
      <w:r>
        <w:rPr>
          <w:rFonts w:hint="eastAsia"/>
          <w:sz w:val="24"/>
        </w:rPr>
        <w:t>克拉玛依市、</w:t>
      </w:r>
      <w:r>
        <w:rPr>
          <w:rFonts w:hint="eastAsia"/>
          <w:sz w:val="24"/>
          <w:szCs w:val="20"/>
        </w:rPr>
        <w:t>第七师胡杨河市</w:t>
      </w:r>
      <w:r>
        <w:rPr>
          <w:sz w:val="24"/>
        </w:rPr>
        <w:t>政府相关部门领导下，建立健全应急体制，落实应急职责，实行分级响应、快速启动、各部门协调配合联动的应急工作责任制，充分发挥各级应急机构的作用。超出本级应急处置能力时，应及时请求上一级应急救援指挥机构启动上一级应急预案。当发生依靠自身力量无法完全解决的突发环境事件时，由应急处置办公室上报油田作业区应急指挥中心，由油田作业区应急指挥中心上报中石化新疆新春石油开发有限责任公司和地方政府值班室，启动预警或响应。</w:t>
      </w:r>
    </w:p>
    <w:p w:rsidR="00EE4502" w:rsidRDefault="00FD45A3">
      <w:pPr>
        <w:spacing w:line="360" w:lineRule="auto"/>
        <w:ind w:firstLineChars="200" w:firstLine="480"/>
        <w:rPr>
          <w:sz w:val="24"/>
        </w:rPr>
      </w:pPr>
      <w:r>
        <w:rPr>
          <w:rFonts w:hint="eastAsia"/>
          <w:sz w:val="24"/>
        </w:rPr>
        <w:lastRenderedPageBreak/>
        <w:t>3</w:t>
      </w:r>
      <w:r>
        <w:rPr>
          <w:sz w:val="24"/>
        </w:rPr>
        <w:t>）应急联动</w:t>
      </w:r>
    </w:p>
    <w:p w:rsidR="00EE4502" w:rsidRDefault="00FD45A3">
      <w:pPr>
        <w:spacing w:line="360" w:lineRule="auto"/>
        <w:ind w:firstLineChars="200" w:firstLine="480"/>
        <w:rPr>
          <w:sz w:val="24"/>
        </w:rPr>
      </w:pPr>
      <w:r>
        <w:rPr>
          <w:sz w:val="24"/>
        </w:rPr>
        <w:t>（</w:t>
      </w:r>
      <w:r>
        <w:rPr>
          <w:sz w:val="24"/>
        </w:rPr>
        <w:t>1</w:t>
      </w:r>
      <w:r>
        <w:rPr>
          <w:sz w:val="24"/>
        </w:rPr>
        <w:t>）建设单位将区域</w:t>
      </w:r>
      <w:r>
        <w:rPr>
          <w:sz w:val="24"/>
        </w:rPr>
        <w:t>地方政府应急预案的各执行及相关部门落实，并予以及时联系，确保发生事故时能够第一时间将事故信息进行反馈，并在发生不可控的重大事故时请求地方政府应急指挥中心采取指挥行动；</w:t>
      </w:r>
    </w:p>
    <w:p w:rsidR="00EE4502" w:rsidRDefault="00FD45A3">
      <w:pPr>
        <w:spacing w:line="360" w:lineRule="auto"/>
        <w:ind w:firstLineChars="200" w:firstLine="480"/>
        <w:rPr>
          <w:sz w:val="24"/>
        </w:rPr>
      </w:pPr>
      <w:r>
        <w:rPr>
          <w:sz w:val="24"/>
        </w:rPr>
        <w:t>（</w:t>
      </w:r>
      <w:r>
        <w:rPr>
          <w:sz w:val="24"/>
        </w:rPr>
        <w:t>2</w:t>
      </w:r>
      <w:r>
        <w:rPr>
          <w:sz w:val="24"/>
        </w:rPr>
        <w:t>）事故发生后，事故点所属的地方政府在接到本项目应急指挥中心的报告后，要第一时间按照</w:t>
      </w:r>
      <w:r>
        <w:rPr>
          <w:sz w:val="24"/>
        </w:rPr>
        <w:t>“</w:t>
      </w:r>
      <w:r>
        <w:rPr>
          <w:sz w:val="24"/>
        </w:rPr>
        <w:t>统一指挥、属地为主、专业处置</w:t>
      </w:r>
      <w:r>
        <w:rPr>
          <w:sz w:val="24"/>
        </w:rPr>
        <w:t>”</w:t>
      </w:r>
      <w:r>
        <w:rPr>
          <w:sz w:val="24"/>
        </w:rPr>
        <w:t>的要求，立即成立由所属各相关部门领导参加的现场指挥部，指挥协调公安、交通、消防、环保和医疗急救等部门应急队伍先期开展警戒、疏散群众、控制现场、救护、抢险等救援行动，控制事态扩大；</w:t>
      </w:r>
    </w:p>
    <w:p w:rsidR="00EE4502" w:rsidRDefault="00FD45A3">
      <w:pPr>
        <w:spacing w:line="360" w:lineRule="auto"/>
        <w:ind w:firstLineChars="200" w:firstLine="480"/>
        <w:rPr>
          <w:sz w:val="24"/>
        </w:rPr>
      </w:pPr>
      <w:r>
        <w:rPr>
          <w:sz w:val="24"/>
        </w:rPr>
        <w:t>（</w:t>
      </w:r>
      <w:r>
        <w:rPr>
          <w:sz w:val="24"/>
        </w:rPr>
        <w:t>3</w:t>
      </w:r>
      <w:r>
        <w:rPr>
          <w:sz w:val="24"/>
        </w:rPr>
        <w:t>）事故发生后，事故点所属的地方政府应急主管部门在接到本项目应急部门的报告后，根据突发公共事件发展态势，组织派遣应急处置队伍，协助事发地做好应急处置工作，并做好启动预案的各项准备工作。公共安全与应急委员会办公室要密切跟踪事件发展态势，掌握事发地应急处置工作情况，及时传达上级领导批示和要求，并做好有关综合协调和督促落实工作；</w:t>
      </w:r>
    </w:p>
    <w:p w:rsidR="00EE4502" w:rsidRDefault="00FD45A3">
      <w:pPr>
        <w:spacing w:line="360" w:lineRule="auto"/>
        <w:ind w:firstLineChars="200" w:firstLine="480"/>
        <w:rPr>
          <w:sz w:val="24"/>
        </w:rPr>
      </w:pPr>
      <w:r>
        <w:rPr>
          <w:sz w:val="24"/>
        </w:rPr>
        <w:t>（</w:t>
      </w:r>
      <w:r>
        <w:rPr>
          <w:sz w:val="24"/>
        </w:rPr>
        <w:t>4</w:t>
      </w:r>
      <w:r>
        <w:rPr>
          <w:sz w:val="24"/>
        </w:rPr>
        <w:t>）发生特别重大事故，采取一般处置措施无法控制和消除其严重危害时，由地方政府请求上级人民政府和有关方面给予支援；</w:t>
      </w:r>
    </w:p>
    <w:p w:rsidR="00EE4502" w:rsidRDefault="00FD45A3">
      <w:pPr>
        <w:spacing w:line="360" w:lineRule="auto"/>
        <w:ind w:firstLineChars="200" w:firstLine="480"/>
        <w:rPr>
          <w:sz w:val="24"/>
        </w:rPr>
      </w:pPr>
      <w:r>
        <w:rPr>
          <w:sz w:val="24"/>
        </w:rPr>
        <w:t>（</w:t>
      </w:r>
      <w:r>
        <w:rPr>
          <w:sz w:val="24"/>
        </w:rPr>
        <w:t>5</w:t>
      </w:r>
      <w:r>
        <w:rPr>
          <w:sz w:val="24"/>
        </w:rPr>
        <w:t>）实施扩大应急时，地方政府有关部门（单位）要及时增加应急处置力量</w:t>
      </w:r>
      <w:r>
        <w:rPr>
          <w:sz w:val="24"/>
        </w:rPr>
        <w:t>，加大技术、装备、物资、资金等保障力度，加强指挥协调，努力控制事态发展；</w:t>
      </w:r>
    </w:p>
    <w:p w:rsidR="00EE4502" w:rsidRDefault="00FD45A3">
      <w:pPr>
        <w:spacing w:line="360" w:lineRule="auto"/>
        <w:ind w:firstLineChars="200" w:firstLine="480"/>
        <w:rPr>
          <w:sz w:val="24"/>
        </w:rPr>
      </w:pPr>
      <w:r>
        <w:rPr>
          <w:sz w:val="24"/>
        </w:rPr>
        <w:t>（</w:t>
      </w:r>
      <w:r>
        <w:rPr>
          <w:sz w:val="24"/>
        </w:rPr>
        <w:t>6</w:t>
      </w:r>
      <w:r>
        <w:rPr>
          <w:sz w:val="24"/>
        </w:rPr>
        <w:t>）确定地方政府各部门到达事故现场最近路线；</w:t>
      </w:r>
    </w:p>
    <w:p w:rsidR="00EE4502" w:rsidRDefault="00FD45A3">
      <w:pPr>
        <w:spacing w:line="360" w:lineRule="auto"/>
        <w:ind w:firstLineChars="200" w:firstLine="480"/>
        <w:rPr>
          <w:sz w:val="24"/>
        </w:rPr>
      </w:pPr>
      <w:r>
        <w:rPr>
          <w:sz w:val="24"/>
        </w:rPr>
        <w:t>（</w:t>
      </w:r>
      <w:r>
        <w:rPr>
          <w:sz w:val="24"/>
        </w:rPr>
        <w:t>7</w:t>
      </w:r>
      <w:r>
        <w:rPr>
          <w:sz w:val="24"/>
        </w:rPr>
        <w:t>）确定应急指挥中心配合地方政府、附近企业单位应急指挥中心的人员责任和任务；</w:t>
      </w:r>
    </w:p>
    <w:p w:rsidR="00EE4502" w:rsidRDefault="00FD45A3">
      <w:pPr>
        <w:spacing w:line="360" w:lineRule="auto"/>
        <w:ind w:firstLineChars="200" w:firstLine="480"/>
        <w:rPr>
          <w:sz w:val="24"/>
        </w:rPr>
      </w:pPr>
      <w:r>
        <w:rPr>
          <w:sz w:val="24"/>
        </w:rPr>
        <w:t>（</w:t>
      </w:r>
      <w:r>
        <w:rPr>
          <w:sz w:val="24"/>
        </w:rPr>
        <w:t>8</w:t>
      </w:r>
      <w:r>
        <w:rPr>
          <w:sz w:val="24"/>
        </w:rPr>
        <w:t>）联系地方公安局，请其协助负责污染区域以及应急反应相关区域的公共安全工作；对污染现场及相关区域的警戒工作；应急反应过程中交通秩序的维护；对污染现场的防火、防爆的监督管理；</w:t>
      </w:r>
    </w:p>
    <w:p w:rsidR="00EE4502" w:rsidRDefault="00FD45A3">
      <w:pPr>
        <w:spacing w:line="360" w:lineRule="auto"/>
        <w:ind w:firstLineChars="200" w:firstLine="480"/>
        <w:rPr>
          <w:sz w:val="24"/>
        </w:rPr>
      </w:pPr>
      <w:r>
        <w:rPr>
          <w:sz w:val="24"/>
        </w:rPr>
        <w:t>（</w:t>
      </w:r>
      <w:r>
        <w:rPr>
          <w:sz w:val="24"/>
        </w:rPr>
        <w:t>9</w:t>
      </w:r>
      <w:r>
        <w:rPr>
          <w:sz w:val="24"/>
        </w:rPr>
        <w:t>）联系地方气象局，请其协助负责为应急反应工作提供及时气象信息及预报信息；</w:t>
      </w:r>
    </w:p>
    <w:p w:rsidR="00EE4502" w:rsidRDefault="00FD45A3">
      <w:pPr>
        <w:spacing w:line="360" w:lineRule="auto"/>
        <w:ind w:firstLineChars="200" w:firstLine="480"/>
        <w:rPr>
          <w:sz w:val="24"/>
        </w:rPr>
      </w:pPr>
      <w:r>
        <w:rPr>
          <w:sz w:val="24"/>
        </w:rPr>
        <w:t>（</w:t>
      </w:r>
      <w:r>
        <w:rPr>
          <w:sz w:val="24"/>
        </w:rPr>
        <w:t>10</w:t>
      </w:r>
      <w:r>
        <w:rPr>
          <w:sz w:val="24"/>
        </w:rPr>
        <w:t>）在进行定期演练时，要配合地方政府应急预案，确定和</w:t>
      </w:r>
      <w:r>
        <w:rPr>
          <w:sz w:val="24"/>
        </w:rPr>
        <w:t>完成在预案中的任务，避免发生重大事故时出现救援冲突和救援遗漏现象；</w:t>
      </w:r>
    </w:p>
    <w:p w:rsidR="00EE4502" w:rsidRDefault="00FD45A3">
      <w:pPr>
        <w:spacing w:line="360" w:lineRule="auto"/>
        <w:ind w:firstLineChars="200" w:firstLine="480"/>
        <w:rPr>
          <w:sz w:val="24"/>
        </w:rPr>
      </w:pPr>
      <w:r>
        <w:rPr>
          <w:sz w:val="24"/>
        </w:rPr>
        <w:t>（</w:t>
      </w:r>
      <w:r>
        <w:rPr>
          <w:sz w:val="24"/>
        </w:rPr>
        <w:t>11</w:t>
      </w:r>
      <w:r>
        <w:rPr>
          <w:sz w:val="24"/>
        </w:rPr>
        <w:t>）将各地方政府的突发公共事件总体应急预案纳入培训学习的安排中，</w:t>
      </w:r>
      <w:r>
        <w:rPr>
          <w:sz w:val="24"/>
        </w:rPr>
        <w:lastRenderedPageBreak/>
        <w:t>并将其列入事故应急演练执行过程中；</w:t>
      </w:r>
    </w:p>
    <w:p w:rsidR="00EE4502" w:rsidRDefault="00FD45A3">
      <w:pPr>
        <w:spacing w:line="360" w:lineRule="auto"/>
        <w:ind w:firstLineChars="200" w:firstLine="480"/>
        <w:rPr>
          <w:sz w:val="24"/>
        </w:rPr>
      </w:pPr>
      <w:r>
        <w:rPr>
          <w:sz w:val="24"/>
        </w:rPr>
        <w:t>（</w:t>
      </w:r>
      <w:r>
        <w:rPr>
          <w:sz w:val="24"/>
        </w:rPr>
        <w:t>12</w:t>
      </w:r>
      <w:r>
        <w:rPr>
          <w:sz w:val="24"/>
        </w:rPr>
        <w:t>）将工程应急预案各执行部门与沿线各地方政府应急预案各执行部门的人员名单、联系方式等明确纳入应急预案当中。</w:t>
      </w:r>
    </w:p>
    <w:p w:rsidR="00EE4502" w:rsidRDefault="00FD45A3">
      <w:pPr>
        <w:spacing w:line="360" w:lineRule="auto"/>
        <w:outlineLvl w:val="3"/>
        <w:rPr>
          <w:sz w:val="24"/>
          <w:szCs w:val="20"/>
        </w:rPr>
      </w:pPr>
      <w:bookmarkStart w:id="229" w:name="_Toc485714378"/>
      <w:r>
        <w:rPr>
          <w:rFonts w:hint="eastAsia"/>
          <w:sz w:val="24"/>
          <w:szCs w:val="20"/>
        </w:rPr>
        <w:t>5.8.7.2</w:t>
      </w:r>
      <w:r>
        <w:rPr>
          <w:sz w:val="24"/>
          <w:szCs w:val="20"/>
        </w:rPr>
        <w:t>应急处置措施</w:t>
      </w:r>
      <w:bookmarkEnd w:id="229"/>
    </w:p>
    <w:p w:rsidR="00EE4502" w:rsidRDefault="00FD45A3">
      <w:pPr>
        <w:spacing w:line="360" w:lineRule="auto"/>
        <w:ind w:firstLineChars="200" w:firstLine="480"/>
        <w:rPr>
          <w:sz w:val="24"/>
          <w:szCs w:val="21"/>
        </w:rPr>
      </w:pPr>
      <w:r>
        <w:rPr>
          <w:sz w:val="24"/>
          <w:szCs w:val="21"/>
        </w:rPr>
        <w:t>1</w:t>
      </w:r>
      <w:r>
        <w:rPr>
          <w:sz w:val="24"/>
          <w:szCs w:val="21"/>
        </w:rPr>
        <w:t>）井喷失控处置措施</w:t>
      </w:r>
    </w:p>
    <w:p w:rsidR="00EE4502" w:rsidRDefault="00FD45A3">
      <w:pPr>
        <w:spacing w:line="360" w:lineRule="auto"/>
        <w:ind w:firstLineChars="200" w:firstLine="480"/>
        <w:rPr>
          <w:sz w:val="24"/>
          <w:szCs w:val="21"/>
        </w:rPr>
      </w:pPr>
      <w:r>
        <w:rPr>
          <w:sz w:val="24"/>
          <w:szCs w:val="21"/>
        </w:rPr>
        <w:t>（</w:t>
      </w:r>
      <w:r>
        <w:rPr>
          <w:sz w:val="24"/>
          <w:szCs w:val="21"/>
        </w:rPr>
        <w:t>1</w:t>
      </w:r>
      <w:r>
        <w:rPr>
          <w:sz w:val="24"/>
          <w:szCs w:val="21"/>
        </w:rPr>
        <w:t>）发出井喷信号，关闭井场范围内的所有引火源；</w:t>
      </w:r>
    </w:p>
    <w:p w:rsidR="00EE4502" w:rsidRDefault="00FD45A3">
      <w:pPr>
        <w:spacing w:line="360" w:lineRule="auto"/>
        <w:ind w:firstLineChars="200" w:firstLine="480"/>
        <w:rPr>
          <w:sz w:val="24"/>
          <w:szCs w:val="21"/>
        </w:rPr>
      </w:pPr>
      <w:r>
        <w:rPr>
          <w:sz w:val="24"/>
          <w:szCs w:val="21"/>
        </w:rPr>
        <w:t>（</w:t>
      </w:r>
      <w:r>
        <w:rPr>
          <w:sz w:val="24"/>
          <w:szCs w:val="21"/>
        </w:rPr>
        <w:t>2</w:t>
      </w:r>
      <w:r>
        <w:rPr>
          <w:sz w:val="24"/>
          <w:szCs w:val="21"/>
        </w:rPr>
        <w:t>）迅速封闭事件现场，撤离无关人员至安全区域；禁止无关人员进入现场，并实行交通管制；禁止外人进入现场，控制事态发展；</w:t>
      </w:r>
    </w:p>
    <w:p w:rsidR="00EE4502" w:rsidRDefault="00FD45A3">
      <w:pPr>
        <w:spacing w:line="360" w:lineRule="auto"/>
        <w:ind w:firstLineChars="200" w:firstLine="480"/>
        <w:rPr>
          <w:sz w:val="24"/>
          <w:szCs w:val="21"/>
        </w:rPr>
      </w:pPr>
      <w:r>
        <w:rPr>
          <w:sz w:val="24"/>
          <w:szCs w:val="21"/>
        </w:rPr>
        <w:t>（</w:t>
      </w:r>
      <w:r>
        <w:rPr>
          <w:sz w:val="24"/>
          <w:szCs w:val="21"/>
        </w:rPr>
        <w:t>3</w:t>
      </w:r>
      <w:r>
        <w:rPr>
          <w:sz w:val="24"/>
          <w:szCs w:val="21"/>
        </w:rPr>
        <w:t>）当</w:t>
      </w:r>
      <w:r>
        <w:rPr>
          <w:sz w:val="24"/>
          <w:szCs w:val="21"/>
        </w:rPr>
        <w:t>井喷伴有可燃气体时，架设足够的防爆通风设备，降低可燃气体浓度；监测有毒有害气体浓度，根据现场风向，协同当地政府疏散现场及周边无关人员；</w:t>
      </w:r>
    </w:p>
    <w:p w:rsidR="00EE4502" w:rsidRDefault="00FD45A3">
      <w:pPr>
        <w:spacing w:line="360" w:lineRule="auto"/>
        <w:ind w:firstLineChars="200" w:firstLine="480"/>
        <w:rPr>
          <w:sz w:val="24"/>
          <w:szCs w:val="21"/>
        </w:rPr>
      </w:pPr>
      <w:r>
        <w:rPr>
          <w:sz w:val="24"/>
          <w:szCs w:val="21"/>
        </w:rPr>
        <w:t>（</w:t>
      </w:r>
      <w:r>
        <w:rPr>
          <w:sz w:val="24"/>
          <w:szCs w:val="21"/>
        </w:rPr>
        <w:t>4</w:t>
      </w:r>
      <w:r>
        <w:rPr>
          <w:sz w:val="24"/>
          <w:szCs w:val="21"/>
        </w:rPr>
        <w:t>）井场四周围堤，迅速开挖排污池并将喷出物引流至排污池，减少环境污染；</w:t>
      </w:r>
    </w:p>
    <w:p w:rsidR="00EE4502" w:rsidRDefault="00FD45A3">
      <w:pPr>
        <w:spacing w:line="360" w:lineRule="auto"/>
        <w:ind w:firstLineChars="200" w:firstLine="480"/>
        <w:rPr>
          <w:sz w:val="24"/>
          <w:szCs w:val="21"/>
        </w:rPr>
      </w:pPr>
      <w:r>
        <w:rPr>
          <w:sz w:val="24"/>
          <w:szCs w:val="21"/>
        </w:rPr>
        <w:t>（</w:t>
      </w:r>
      <w:r>
        <w:rPr>
          <w:sz w:val="24"/>
          <w:szCs w:val="21"/>
        </w:rPr>
        <w:t>5</w:t>
      </w:r>
      <w:r>
        <w:rPr>
          <w:sz w:val="24"/>
          <w:szCs w:val="21"/>
        </w:rPr>
        <w:t>）针对井喷不同情况采取有效抢险措施实施关井；</w:t>
      </w:r>
    </w:p>
    <w:p w:rsidR="00EE4502" w:rsidRDefault="00FD45A3">
      <w:pPr>
        <w:spacing w:line="360" w:lineRule="auto"/>
        <w:ind w:firstLineChars="200" w:firstLine="480"/>
        <w:rPr>
          <w:sz w:val="24"/>
          <w:szCs w:val="21"/>
        </w:rPr>
      </w:pPr>
      <w:r>
        <w:rPr>
          <w:sz w:val="24"/>
          <w:szCs w:val="21"/>
        </w:rPr>
        <w:t>（</w:t>
      </w:r>
      <w:r>
        <w:rPr>
          <w:sz w:val="24"/>
          <w:szCs w:val="21"/>
        </w:rPr>
        <w:t>6</w:t>
      </w:r>
      <w:r>
        <w:rPr>
          <w:sz w:val="24"/>
          <w:szCs w:val="21"/>
        </w:rPr>
        <w:t>）视喷出物种类、数量，结合本区块相关资料，用合适密度的压井液，实施压井作业。施工时，不能在施工现场同时进行可能干扰抢险施工的其他作业。</w:t>
      </w:r>
    </w:p>
    <w:p w:rsidR="00EE4502" w:rsidRDefault="00FD45A3">
      <w:pPr>
        <w:spacing w:line="360" w:lineRule="auto"/>
        <w:ind w:firstLineChars="200" w:firstLine="480"/>
        <w:rPr>
          <w:sz w:val="24"/>
          <w:szCs w:val="21"/>
        </w:rPr>
      </w:pPr>
      <w:r>
        <w:rPr>
          <w:sz w:val="24"/>
          <w:szCs w:val="21"/>
        </w:rPr>
        <w:t>（</w:t>
      </w:r>
      <w:r>
        <w:rPr>
          <w:sz w:val="24"/>
          <w:szCs w:val="21"/>
        </w:rPr>
        <w:t>7</w:t>
      </w:r>
      <w:r>
        <w:rPr>
          <w:sz w:val="24"/>
          <w:szCs w:val="21"/>
        </w:rPr>
        <w:t>）当出现如下情况时，应组织遇险人员紧急撤离。</w:t>
      </w:r>
    </w:p>
    <w:p w:rsidR="00EE4502" w:rsidRDefault="00FD45A3">
      <w:pPr>
        <w:spacing w:line="360" w:lineRule="auto"/>
        <w:ind w:firstLineChars="200" w:firstLine="480"/>
        <w:rPr>
          <w:sz w:val="24"/>
          <w:szCs w:val="21"/>
        </w:rPr>
      </w:pPr>
      <w:r>
        <w:rPr>
          <w:sz w:val="24"/>
          <w:szCs w:val="21"/>
        </w:rPr>
        <w:t>①</w:t>
      </w:r>
      <w:r>
        <w:rPr>
          <w:sz w:val="24"/>
          <w:szCs w:val="21"/>
        </w:rPr>
        <w:t>井喷失控后，经采取措施无效，危及设施及人员生命安全或引起重大火灾无法控制时；</w:t>
      </w:r>
    </w:p>
    <w:p w:rsidR="00EE4502" w:rsidRDefault="00FD45A3">
      <w:pPr>
        <w:spacing w:line="360" w:lineRule="auto"/>
        <w:ind w:firstLineChars="200" w:firstLine="480"/>
        <w:rPr>
          <w:sz w:val="24"/>
          <w:szCs w:val="21"/>
        </w:rPr>
      </w:pPr>
      <w:r>
        <w:rPr>
          <w:sz w:val="24"/>
          <w:szCs w:val="21"/>
        </w:rPr>
        <w:t>②</w:t>
      </w:r>
      <w:r>
        <w:rPr>
          <w:sz w:val="24"/>
          <w:szCs w:val="21"/>
        </w:rPr>
        <w:t>由于各种原因导致设施发生火灾，经采取措施无效，危及设施及人员生命安全时；</w:t>
      </w:r>
    </w:p>
    <w:p w:rsidR="00EE4502" w:rsidRDefault="00FD45A3">
      <w:pPr>
        <w:spacing w:line="360" w:lineRule="auto"/>
        <w:ind w:firstLineChars="200" w:firstLine="480"/>
        <w:rPr>
          <w:sz w:val="24"/>
          <w:szCs w:val="21"/>
        </w:rPr>
      </w:pPr>
      <w:r>
        <w:rPr>
          <w:sz w:val="24"/>
          <w:szCs w:val="21"/>
        </w:rPr>
        <w:t>③</w:t>
      </w:r>
      <w:r>
        <w:rPr>
          <w:sz w:val="24"/>
          <w:szCs w:val="21"/>
        </w:rPr>
        <w:t>由于各种原因导致设施发生爆炸，危及整个设施和人员生命安全时。</w:t>
      </w:r>
    </w:p>
    <w:p w:rsidR="00EE4502" w:rsidRDefault="00FD45A3">
      <w:pPr>
        <w:spacing w:line="360" w:lineRule="auto"/>
        <w:ind w:firstLineChars="200" w:firstLine="480"/>
        <w:rPr>
          <w:sz w:val="24"/>
          <w:szCs w:val="21"/>
        </w:rPr>
      </w:pPr>
      <w:r>
        <w:rPr>
          <w:sz w:val="24"/>
          <w:szCs w:val="21"/>
        </w:rPr>
        <w:t>2</w:t>
      </w:r>
      <w:r>
        <w:rPr>
          <w:sz w:val="24"/>
          <w:szCs w:val="21"/>
        </w:rPr>
        <w:t>）泄漏处置措施</w:t>
      </w:r>
    </w:p>
    <w:p w:rsidR="00EE4502" w:rsidRDefault="00FD45A3">
      <w:pPr>
        <w:spacing w:line="360" w:lineRule="auto"/>
        <w:ind w:firstLineChars="200" w:firstLine="480"/>
        <w:rPr>
          <w:sz w:val="24"/>
          <w:szCs w:val="21"/>
        </w:rPr>
      </w:pPr>
      <w:r>
        <w:rPr>
          <w:sz w:val="24"/>
          <w:szCs w:val="21"/>
        </w:rPr>
        <w:t>（</w:t>
      </w:r>
      <w:r>
        <w:rPr>
          <w:sz w:val="24"/>
          <w:szCs w:val="21"/>
        </w:rPr>
        <w:t>1</w:t>
      </w:r>
      <w:r>
        <w:rPr>
          <w:sz w:val="24"/>
          <w:szCs w:val="21"/>
        </w:rPr>
        <w:t>）管道泄漏</w:t>
      </w:r>
    </w:p>
    <w:p w:rsidR="00EE4502" w:rsidRDefault="00FD45A3">
      <w:pPr>
        <w:spacing w:line="360" w:lineRule="auto"/>
        <w:ind w:firstLineChars="200" w:firstLine="480"/>
        <w:rPr>
          <w:sz w:val="24"/>
          <w:szCs w:val="21"/>
        </w:rPr>
      </w:pPr>
      <w:r>
        <w:rPr>
          <w:sz w:val="24"/>
          <w:szCs w:val="21"/>
        </w:rPr>
        <w:t>①</w:t>
      </w:r>
      <w:r>
        <w:rPr>
          <w:sz w:val="24"/>
          <w:szCs w:val="21"/>
        </w:rPr>
        <w:t>立即停输：切断管道泄漏源，封闭事件现场和危险区域。</w:t>
      </w:r>
    </w:p>
    <w:p w:rsidR="00EE4502" w:rsidRDefault="00FD45A3">
      <w:pPr>
        <w:spacing w:line="360" w:lineRule="auto"/>
        <w:ind w:firstLineChars="200" w:firstLine="480"/>
        <w:rPr>
          <w:sz w:val="24"/>
          <w:szCs w:val="21"/>
        </w:rPr>
      </w:pPr>
      <w:r>
        <w:rPr>
          <w:sz w:val="24"/>
          <w:szCs w:val="21"/>
        </w:rPr>
        <w:t>②</w:t>
      </w:r>
      <w:r>
        <w:rPr>
          <w:sz w:val="24"/>
          <w:szCs w:val="21"/>
        </w:rPr>
        <w:t>限制漏油扩散：根据漏油点位置明确漏油类型（陆地漏油和水中漏油），估算泄漏量，制定现场拦油方案与设施，避免污染面扩大；并对漏油点附近其他管道或电缆采取必要的保护措施。</w:t>
      </w:r>
    </w:p>
    <w:p w:rsidR="00EE4502" w:rsidRDefault="00FD45A3">
      <w:pPr>
        <w:spacing w:line="360" w:lineRule="auto"/>
        <w:ind w:firstLineChars="200" w:firstLine="480"/>
        <w:rPr>
          <w:sz w:val="24"/>
          <w:szCs w:val="21"/>
        </w:rPr>
      </w:pPr>
      <w:r>
        <w:rPr>
          <w:sz w:val="24"/>
          <w:szCs w:val="21"/>
        </w:rPr>
        <w:t>③</w:t>
      </w:r>
      <w:r>
        <w:rPr>
          <w:sz w:val="24"/>
          <w:szCs w:val="21"/>
        </w:rPr>
        <w:t>隔离疏散：立即采取隔离和疏散措施，避免无关人员进入事件发生区域，并合理布置消防和其他救援力量；及时疏散受影响区域附近的居民，并通知停用</w:t>
      </w:r>
      <w:r>
        <w:rPr>
          <w:sz w:val="24"/>
          <w:szCs w:val="21"/>
        </w:rPr>
        <w:lastRenderedPageBreak/>
        <w:t>一切明火。</w:t>
      </w:r>
    </w:p>
    <w:p w:rsidR="00EE4502" w:rsidRDefault="00FD45A3">
      <w:pPr>
        <w:spacing w:line="360" w:lineRule="auto"/>
        <w:ind w:firstLineChars="200" w:firstLine="480"/>
        <w:rPr>
          <w:sz w:val="24"/>
          <w:szCs w:val="21"/>
        </w:rPr>
      </w:pPr>
      <w:r>
        <w:rPr>
          <w:sz w:val="24"/>
          <w:szCs w:val="21"/>
        </w:rPr>
        <w:t>④</w:t>
      </w:r>
      <w:r>
        <w:rPr>
          <w:sz w:val="24"/>
          <w:szCs w:val="21"/>
        </w:rPr>
        <w:t>警戒：管道泄漏初始警戒范围不低于</w:t>
      </w:r>
      <w:r>
        <w:rPr>
          <w:sz w:val="24"/>
          <w:szCs w:val="21"/>
        </w:rPr>
        <w:t>60m</w:t>
      </w:r>
      <w:r>
        <w:rPr>
          <w:sz w:val="24"/>
          <w:szCs w:val="21"/>
        </w:rPr>
        <w:t>，并设置明显警示标识；根据情况决定周边群众疏散的范围。</w:t>
      </w:r>
    </w:p>
    <w:p w:rsidR="00EE4502" w:rsidRDefault="00FD45A3">
      <w:pPr>
        <w:spacing w:line="360" w:lineRule="auto"/>
        <w:ind w:firstLineChars="200" w:firstLine="480"/>
        <w:rPr>
          <w:sz w:val="24"/>
          <w:szCs w:val="21"/>
        </w:rPr>
      </w:pPr>
      <w:r>
        <w:rPr>
          <w:sz w:val="24"/>
          <w:szCs w:val="21"/>
        </w:rPr>
        <w:t>⑤</w:t>
      </w:r>
      <w:r>
        <w:rPr>
          <w:sz w:val="24"/>
          <w:szCs w:val="21"/>
        </w:rPr>
        <w:t>监测：监测组人员携带便携式气体检测仪对泄漏现场可燃气、有毒气体浓度进行检测，提供警戒疏散范围参考依据；对于受限空间作业，还需对氧含量进行检测；加强救援人员的个人防护。</w:t>
      </w:r>
    </w:p>
    <w:p w:rsidR="00EE4502" w:rsidRDefault="00FD45A3">
      <w:pPr>
        <w:spacing w:line="360" w:lineRule="auto"/>
        <w:ind w:firstLineChars="200" w:firstLine="480"/>
        <w:rPr>
          <w:sz w:val="24"/>
        </w:rPr>
      </w:pPr>
      <w:r>
        <w:rPr>
          <w:sz w:val="24"/>
        </w:rPr>
        <w:t>⑥</w:t>
      </w:r>
      <w:r>
        <w:rPr>
          <w:sz w:val="24"/>
        </w:rPr>
        <w:t>救护：迅速将受伤、中毒人员转移到泄漏点上风侧或其他安全地带，现场处置组先期对其进行急救，同时拨打</w:t>
      </w:r>
      <w:r>
        <w:rPr>
          <w:sz w:val="24"/>
        </w:rPr>
        <w:t>急救电话进行报警，送往医院抢救，并根据需要配备医疗救护人员、治疗药物和器材。</w:t>
      </w:r>
    </w:p>
    <w:p w:rsidR="00EE4502" w:rsidRDefault="00FD45A3">
      <w:pPr>
        <w:spacing w:line="360" w:lineRule="auto"/>
        <w:ind w:firstLineChars="200" w:firstLine="480"/>
        <w:rPr>
          <w:sz w:val="24"/>
        </w:rPr>
      </w:pPr>
      <w:r>
        <w:rPr>
          <w:sz w:val="24"/>
        </w:rPr>
        <w:t>⑦</w:t>
      </w:r>
      <w:r>
        <w:rPr>
          <w:sz w:val="24"/>
        </w:rPr>
        <w:t>环境控制：当事件发生区域的可燃物料存量较多时，应尽量采取工艺处理措施，转移可燃物料，切断危险区与外界装置、设施的连通，组织专家组制定方案。</w:t>
      </w:r>
    </w:p>
    <w:p w:rsidR="00EE4502" w:rsidRDefault="00FD45A3">
      <w:pPr>
        <w:spacing w:line="360" w:lineRule="auto"/>
        <w:ind w:firstLineChars="200" w:firstLine="480"/>
        <w:rPr>
          <w:sz w:val="24"/>
        </w:rPr>
      </w:pPr>
      <w:r>
        <w:rPr>
          <w:sz w:val="24"/>
        </w:rPr>
        <w:t>⑧</w:t>
      </w:r>
      <w:r>
        <w:rPr>
          <w:sz w:val="24"/>
        </w:rPr>
        <w:t>联动：配合政府信息发布，与政府现场应急指挥部人员信息互通，跟踪记录现场应急处置过程。</w:t>
      </w:r>
    </w:p>
    <w:p w:rsidR="00EE4502" w:rsidRDefault="00FD45A3">
      <w:pPr>
        <w:spacing w:line="360" w:lineRule="auto"/>
        <w:ind w:firstLineChars="200" w:firstLine="480"/>
        <w:rPr>
          <w:sz w:val="24"/>
        </w:rPr>
      </w:pPr>
      <w:r>
        <w:rPr>
          <w:sz w:val="24"/>
        </w:rPr>
        <w:t>⑨</w:t>
      </w:r>
      <w:r>
        <w:rPr>
          <w:sz w:val="24"/>
        </w:rPr>
        <w:t>物资供应：接收、登记外部进场的救援物资；转送、保管、调配、发放现场救援物资。</w:t>
      </w:r>
    </w:p>
    <w:p w:rsidR="00EE4502" w:rsidRDefault="00FD45A3">
      <w:pPr>
        <w:spacing w:line="360" w:lineRule="auto"/>
        <w:ind w:firstLineChars="200" w:firstLine="480"/>
        <w:rPr>
          <w:sz w:val="24"/>
        </w:rPr>
      </w:pPr>
      <w:r>
        <w:rPr>
          <w:sz w:val="24"/>
        </w:rPr>
        <w:t>⑩</w:t>
      </w:r>
      <w:r>
        <w:rPr>
          <w:sz w:val="24"/>
        </w:rPr>
        <w:t>开挖：开挖作业坑，消防车对开挖现场下方可能存在暗渠的施工过程进行喷打泡沫液等消防监护，以防液压破碎锤或铲斗撞击到石块、预制</w:t>
      </w:r>
      <w:r>
        <w:rPr>
          <w:sz w:val="24"/>
        </w:rPr>
        <w:t>板等坚硬物体产生火花。</w:t>
      </w:r>
    </w:p>
    <w:p w:rsidR="00EE4502" w:rsidRDefault="00FD45A3">
      <w:pPr>
        <w:spacing w:line="360" w:lineRule="auto"/>
        <w:ind w:firstLineChars="200" w:firstLine="480"/>
        <w:rPr>
          <w:sz w:val="24"/>
        </w:rPr>
      </w:pPr>
      <w:r>
        <w:rPr>
          <w:rFonts w:ascii="微软雅黑" w:eastAsia="微软雅黑" w:hAnsi="微软雅黑" w:cs="微软雅黑" w:hint="eastAsia"/>
          <w:sz w:val="24"/>
        </w:rPr>
        <w:t>⑪</w:t>
      </w:r>
      <w:r>
        <w:rPr>
          <w:rFonts w:hint="eastAsia"/>
          <w:sz w:val="24"/>
        </w:rPr>
        <w:t>抢险：对于断裂或大面积撕裂的管道按程序进行封堵、换管等抢修作业；对于油气浓度超标的现场，采取吹扫、泡沫覆盖等进行油气稀释与隔离，确保动火安全。</w:t>
      </w:r>
    </w:p>
    <w:p w:rsidR="00EE4502" w:rsidRDefault="00FD45A3">
      <w:pPr>
        <w:spacing w:line="360" w:lineRule="auto"/>
        <w:ind w:firstLineChars="200" w:firstLine="480"/>
        <w:rPr>
          <w:sz w:val="24"/>
        </w:rPr>
      </w:pPr>
      <w:r>
        <w:rPr>
          <w:rFonts w:ascii="微软雅黑" w:eastAsia="微软雅黑" w:hAnsi="微软雅黑" w:cs="微软雅黑" w:hint="eastAsia"/>
          <w:sz w:val="24"/>
        </w:rPr>
        <w:t>⑫</w:t>
      </w:r>
      <w:r>
        <w:rPr>
          <w:rFonts w:hint="eastAsia"/>
          <w:sz w:val="24"/>
        </w:rPr>
        <w:t>实时技术指导：管道抢修过程中，专家组应根据危险区的危害因素和事件现场发展趋势进行动态评估，及时提出指导意见；当现场失控，危及维抢修人员生命安全时，应立即指挥现场全部人员撤离至安全区域。</w:t>
      </w:r>
    </w:p>
    <w:p w:rsidR="00EE4502" w:rsidRDefault="00FD45A3">
      <w:pPr>
        <w:spacing w:line="360" w:lineRule="auto"/>
        <w:ind w:firstLineChars="200" w:firstLine="480"/>
        <w:rPr>
          <w:sz w:val="24"/>
        </w:rPr>
      </w:pPr>
      <w:r>
        <w:rPr>
          <w:rFonts w:ascii="微软雅黑" w:eastAsia="微软雅黑" w:hAnsi="微软雅黑" w:cs="微软雅黑" w:hint="eastAsia"/>
          <w:sz w:val="24"/>
        </w:rPr>
        <w:t>⑬</w:t>
      </w:r>
      <w:r>
        <w:rPr>
          <w:rFonts w:hint="eastAsia"/>
          <w:sz w:val="24"/>
        </w:rPr>
        <w:t>后勤：统一调配现场车辆，备足一定数量的防爆对讲手机，联系临近宾馆、饭店，提供现场指挥部的交通、通信、食宿等工作、生活保障。</w:t>
      </w:r>
    </w:p>
    <w:p w:rsidR="00EE4502" w:rsidRDefault="00FD45A3">
      <w:pPr>
        <w:spacing w:line="360" w:lineRule="auto"/>
        <w:ind w:firstLineChars="200" w:firstLine="480"/>
        <w:rPr>
          <w:sz w:val="24"/>
        </w:rPr>
      </w:pPr>
      <w:r>
        <w:rPr>
          <w:rFonts w:ascii="微软雅黑" w:eastAsia="微软雅黑" w:hAnsi="微软雅黑" w:cs="微软雅黑" w:hint="eastAsia"/>
          <w:sz w:val="24"/>
        </w:rPr>
        <w:t>⑭</w:t>
      </w:r>
      <w:r>
        <w:rPr>
          <w:rFonts w:hint="eastAsia"/>
          <w:sz w:val="24"/>
        </w:rPr>
        <w:t>危废处置：抢修完毕，及时清</w:t>
      </w:r>
      <w:r>
        <w:rPr>
          <w:rFonts w:hint="eastAsia"/>
          <w:sz w:val="24"/>
        </w:rPr>
        <w:t>理现场，按照法律法规要求，按照事先与地</w:t>
      </w:r>
      <w:r>
        <w:rPr>
          <w:rFonts w:hint="eastAsia"/>
          <w:sz w:val="24"/>
        </w:rPr>
        <w:lastRenderedPageBreak/>
        <w:t>方有处置资质单位签订的危险废物处置协议，对废弃物和污染物进行妥善处置。</w:t>
      </w:r>
    </w:p>
    <w:p w:rsidR="00EE4502" w:rsidRDefault="00FD45A3">
      <w:pPr>
        <w:spacing w:line="360" w:lineRule="auto"/>
        <w:ind w:firstLineChars="200" w:firstLine="480"/>
        <w:rPr>
          <w:sz w:val="24"/>
        </w:rPr>
      </w:pPr>
      <w:r>
        <w:rPr>
          <w:rFonts w:hint="eastAsia"/>
          <w:sz w:val="24"/>
        </w:rPr>
        <w:t>（</w:t>
      </w:r>
      <w:r>
        <w:rPr>
          <w:rFonts w:hint="eastAsia"/>
          <w:sz w:val="24"/>
        </w:rPr>
        <w:t>2</w:t>
      </w:r>
      <w:r>
        <w:rPr>
          <w:sz w:val="24"/>
        </w:rPr>
        <w:t>）火灾爆炸处置措施</w:t>
      </w:r>
    </w:p>
    <w:p w:rsidR="00EE4502" w:rsidRDefault="00FD45A3">
      <w:pPr>
        <w:spacing w:line="360" w:lineRule="auto"/>
        <w:ind w:firstLineChars="200" w:firstLine="480"/>
        <w:rPr>
          <w:sz w:val="24"/>
        </w:rPr>
      </w:pPr>
      <w:r>
        <w:rPr>
          <w:sz w:val="24"/>
        </w:rPr>
        <w:t>当以上泄漏情况引发火灾甚至爆炸时，尽快采取以下措施：</w:t>
      </w:r>
    </w:p>
    <w:p w:rsidR="00EE4502" w:rsidRDefault="00FD45A3">
      <w:pPr>
        <w:spacing w:line="360" w:lineRule="auto"/>
        <w:ind w:firstLineChars="200" w:firstLine="480"/>
        <w:rPr>
          <w:sz w:val="24"/>
        </w:rPr>
      </w:pPr>
      <w:r>
        <w:rPr>
          <w:sz w:val="24"/>
        </w:rPr>
        <w:t>（</w:t>
      </w:r>
      <w:r>
        <w:rPr>
          <w:sz w:val="24"/>
        </w:rPr>
        <w:t>1</w:t>
      </w:r>
      <w:r>
        <w:rPr>
          <w:sz w:val="24"/>
        </w:rPr>
        <w:t>）现场处置组立即阻断引火源，并组织灭火；</w:t>
      </w:r>
    </w:p>
    <w:p w:rsidR="00EE4502" w:rsidRDefault="00FD45A3">
      <w:pPr>
        <w:spacing w:line="360" w:lineRule="auto"/>
        <w:ind w:firstLineChars="200" w:firstLine="480"/>
        <w:rPr>
          <w:sz w:val="24"/>
        </w:rPr>
      </w:pPr>
      <w:r>
        <w:rPr>
          <w:sz w:val="24"/>
        </w:rPr>
        <w:t>（</w:t>
      </w:r>
      <w:r>
        <w:rPr>
          <w:sz w:val="24"/>
        </w:rPr>
        <w:t>2</w:t>
      </w:r>
      <w:r>
        <w:rPr>
          <w:sz w:val="24"/>
        </w:rPr>
        <w:t>）警戒组采取隔离、警戒和疏散措施，避免无关人员进入事发危险区域，并合理布置消防和救援力量；</w:t>
      </w:r>
    </w:p>
    <w:p w:rsidR="00EE4502" w:rsidRDefault="00FD45A3">
      <w:pPr>
        <w:spacing w:line="360" w:lineRule="auto"/>
        <w:ind w:firstLineChars="200" w:firstLine="480"/>
        <w:rPr>
          <w:sz w:val="24"/>
        </w:rPr>
      </w:pPr>
      <w:r>
        <w:rPr>
          <w:sz w:val="24"/>
        </w:rPr>
        <w:t>（</w:t>
      </w:r>
      <w:r>
        <w:rPr>
          <w:sz w:val="24"/>
        </w:rPr>
        <w:t>3</w:t>
      </w:r>
      <w:r>
        <w:rPr>
          <w:sz w:val="24"/>
        </w:rPr>
        <w:t>）现场处置组组织医疗专家对受伤人员进行紧急救治，迅速将受伤、中毒人员送医院抢救，同时保障治疗药物和器材供应；</w:t>
      </w:r>
    </w:p>
    <w:p w:rsidR="00EE4502" w:rsidRDefault="00FD45A3">
      <w:pPr>
        <w:spacing w:line="360" w:lineRule="auto"/>
        <w:ind w:firstLineChars="200" w:firstLine="480"/>
        <w:rPr>
          <w:sz w:val="24"/>
        </w:rPr>
      </w:pPr>
      <w:r>
        <w:rPr>
          <w:sz w:val="24"/>
        </w:rPr>
        <w:t>（</w:t>
      </w:r>
      <w:r>
        <w:rPr>
          <w:sz w:val="24"/>
        </w:rPr>
        <w:t>4</w:t>
      </w:r>
      <w:r>
        <w:rPr>
          <w:sz w:val="24"/>
        </w:rPr>
        <w:t>）根据油气生产设施特点及风向，合理组织扑救工作；在扑救火灾过程中</w:t>
      </w:r>
      <w:r>
        <w:rPr>
          <w:sz w:val="24"/>
        </w:rPr>
        <w:t>，应有足够数量的灭火用水、泡沫液、消防车辆装备，以应对沸溢和喷溅等突发情况；火灾扑救过程中，专家组应根据危险区的危害因素和火灾发展趋势进行动态评估，及时提出灭火指导意见；</w:t>
      </w:r>
    </w:p>
    <w:p w:rsidR="00EE4502" w:rsidRDefault="00FD45A3">
      <w:pPr>
        <w:spacing w:line="360" w:lineRule="auto"/>
        <w:ind w:firstLineChars="200" w:firstLine="480"/>
        <w:rPr>
          <w:sz w:val="24"/>
        </w:rPr>
      </w:pPr>
      <w:r>
        <w:rPr>
          <w:sz w:val="24"/>
        </w:rPr>
        <w:t>（</w:t>
      </w:r>
      <w:r>
        <w:rPr>
          <w:sz w:val="24"/>
        </w:rPr>
        <w:t>5</w:t>
      </w:r>
      <w:r>
        <w:rPr>
          <w:sz w:val="24"/>
        </w:rPr>
        <w:t>）在扑救的同时，采取防泄漏、防扩散控制措施，防止火势蔓延；当重点要害部位可燃物料存量较多时，尽量采取工艺处理措施，转移可燃物料，切断危险区与外界装置、设施的连通，组织专家组和相关技术人员制定方案；对附近受威胁的油气储存设施，及时采取冷却、倒罐、置换、泄压等措施，防止升温、升压而引起次生或衍生火灾爆炸；</w:t>
      </w:r>
    </w:p>
    <w:p w:rsidR="00EE4502" w:rsidRDefault="00FD45A3">
      <w:pPr>
        <w:spacing w:line="360" w:lineRule="auto"/>
        <w:ind w:firstLineChars="200" w:firstLine="480"/>
        <w:rPr>
          <w:sz w:val="24"/>
        </w:rPr>
      </w:pPr>
      <w:r>
        <w:rPr>
          <w:sz w:val="24"/>
        </w:rPr>
        <w:t>（</w:t>
      </w:r>
      <w:r>
        <w:rPr>
          <w:sz w:val="24"/>
        </w:rPr>
        <w:t>6</w:t>
      </w:r>
      <w:r>
        <w:rPr>
          <w:sz w:val="24"/>
        </w:rPr>
        <w:t>）条件允许时，迅速组织抢装井口和压井作业；</w:t>
      </w:r>
    </w:p>
    <w:p w:rsidR="00EE4502" w:rsidRDefault="00FD45A3">
      <w:pPr>
        <w:spacing w:line="360" w:lineRule="auto"/>
        <w:ind w:firstLineChars="200" w:firstLine="480"/>
        <w:rPr>
          <w:sz w:val="24"/>
        </w:rPr>
      </w:pPr>
      <w:r>
        <w:rPr>
          <w:sz w:val="24"/>
        </w:rPr>
        <w:t>（</w:t>
      </w:r>
      <w:r>
        <w:rPr>
          <w:sz w:val="24"/>
        </w:rPr>
        <w:t>7</w:t>
      </w:r>
      <w:r>
        <w:rPr>
          <w:sz w:val="24"/>
        </w:rPr>
        <w:t>）当疏散现场周边大面积人群时，现场应急指挥部应协助当地政府机构做好相关工作；</w:t>
      </w:r>
    </w:p>
    <w:p w:rsidR="00EE4502" w:rsidRDefault="00FD45A3">
      <w:pPr>
        <w:spacing w:line="360" w:lineRule="auto"/>
        <w:ind w:firstLineChars="200" w:firstLine="480"/>
        <w:rPr>
          <w:sz w:val="24"/>
        </w:rPr>
      </w:pPr>
      <w:r>
        <w:rPr>
          <w:sz w:val="24"/>
        </w:rPr>
        <w:t>（</w:t>
      </w:r>
      <w:r>
        <w:rPr>
          <w:sz w:val="24"/>
        </w:rPr>
        <w:t>8</w:t>
      </w:r>
      <w:r>
        <w:rPr>
          <w:sz w:val="24"/>
        </w:rPr>
        <w:t>）灭火完毕后，继续冷却至常温状态，清理火灾现场，组织力量对泄漏管道、设施进行封堵、抢修，同时随时准备利用消防水掩护对泄漏点的封堵抢修作业。</w:t>
      </w:r>
    </w:p>
    <w:p w:rsidR="00EE4502" w:rsidRDefault="00FD45A3">
      <w:pPr>
        <w:spacing w:line="360" w:lineRule="auto"/>
        <w:outlineLvl w:val="3"/>
        <w:rPr>
          <w:sz w:val="24"/>
          <w:szCs w:val="20"/>
        </w:rPr>
      </w:pPr>
      <w:bookmarkStart w:id="230" w:name="_Toc246850810"/>
      <w:bookmarkStart w:id="231" w:name="_Toc250390209"/>
      <w:bookmarkStart w:id="232" w:name="_Toc234054935"/>
      <w:r>
        <w:rPr>
          <w:rFonts w:hint="eastAsia"/>
          <w:sz w:val="24"/>
          <w:szCs w:val="20"/>
        </w:rPr>
        <w:t>5.8.7.3</w:t>
      </w:r>
      <w:r>
        <w:rPr>
          <w:sz w:val="24"/>
          <w:szCs w:val="20"/>
        </w:rPr>
        <w:t>应急物资与装备保障</w:t>
      </w:r>
      <w:bookmarkEnd w:id="230"/>
      <w:bookmarkEnd w:id="231"/>
      <w:bookmarkEnd w:id="232"/>
    </w:p>
    <w:p w:rsidR="00EE4502" w:rsidRDefault="00FD45A3">
      <w:pPr>
        <w:spacing w:line="360" w:lineRule="auto"/>
        <w:ind w:firstLineChars="200" w:firstLine="480"/>
        <w:rPr>
          <w:sz w:val="24"/>
        </w:rPr>
      </w:pPr>
      <w:r>
        <w:rPr>
          <w:sz w:val="24"/>
          <w:szCs w:val="32"/>
        </w:rPr>
        <w:t>本项目应急救援物资与装备保障依托</w:t>
      </w:r>
      <w:r>
        <w:rPr>
          <w:kern w:val="0"/>
          <w:sz w:val="24"/>
          <w:szCs w:val="32"/>
        </w:rPr>
        <w:t>油田作业区</w:t>
      </w:r>
      <w:r>
        <w:rPr>
          <w:sz w:val="24"/>
          <w:szCs w:val="32"/>
        </w:rPr>
        <w:t>现有配备的应急物资及装备，均位于本项目生产区域周边，且应急预案及应急物资均在有效期内，事故状态下可及时拉运到现场用于应急处置，因此，现有应急物资满足本项目需求。</w:t>
      </w:r>
    </w:p>
    <w:p w:rsidR="00EE4502" w:rsidRDefault="00FD45A3">
      <w:pPr>
        <w:spacing w:line="360" w:lineRule="auto"/>
        <w:outlineLvl w:val="3"/>
        <w:rPr>
          <w:sz w:val="24"/>
          <w:szCs w:val="20"/>
        </w:rPr>
      </w:pPr>
      <w:r>
        <w:rPr>
          <w:rFonts w:hint="eastAsia"/>
          <w:sz w:val="24"/>
          <w:szCs w:val="20"/>
        </w:rPr>
        <w:t>5.8.7.4</w:t>
      </w:r>
      <w:r>
        <w:rPr>
          <w:rFonts w:hint="eastAsia"/>
          <w:sz w:val="24"/>
          <w:szCs w:val="20"/>
        </w:rPr>
        <w:t>应急监测计划</w:t>
      </w:r>
    </w:p>
    <w:p w:rsidR="00EE4502" w:rsidRDefault="00FD45A3">
      <w:pPr>
        <w:spacing w:line="360" w:lineRule="auto"/>
        <w:ind w:firstLineChars="200" w:firstLine="480"/>
        <w:rPr>
          <w:sz w:val="24"/>
          <w:szCs w:val="21"/>
        </w:rPr>
      </w:pPr>
      <w:r>
        <w:rPr>
          <w:sz w:val="24"/>
          <w:szCs w:val="21"/>
        </w:rPr>
        <w:t>1</w:t>
      </w:r>
      <w:r>
        <w:rPr>
          <w:sz w:val="24"/>
          <w:szCs w:val="21"/>
        </w:rPr>
        <w:t>）适用范围</w:t>
      </w:r>
    </w:p>
    <w:p w:rsidR="00EE4502" w:rsidRDefault="00FD45A3">
      <w:pPr>
        <w:spacing w:line="360" w:lineRule="auto"/>
        <w:ind w:firstLineChars="200" w:firstLine="480"/>
        <w:rPr>
          <w:sz w:val="24"/>
          <w:szCs w:val="21"/>
        </w:rPr>
      </w:pPr>
      <w:r>
        <w:rPr>
          <w:sz w:val="24"/>
          <w:szCs w:val="21"/>
        </w:rPr>
        <w:t>适用项目范围内发生的环保事故和应急情况的监测。</w:t>
      </w:r>
    </w:p>
    <w:p w:rsidR="00EE4502" w:rsidRDefault="00FD45A3">
      <w:pPr>
        <w:spacing w:line="360" w:lineRule="auto"/>
        <w:ind w:firstLineChars="200" w:firstLine="480"/>
        <w:rPr>
          <w:sz w:val="24"/>
          <w:szCs w:val="21"/>
        </w:rPr>
      </w:pPr>
      <w:r>
        <w:rPr>
          <w:sz w:val="24"/>
          <w:szCs w:val="21"/>
        </w:rPr>
        <w:lastRenderedPageBreak/>
        <w:t>2</w:t>
      </w:r>
      <w:r>
        <w:rPr>
          <w:sz w:val="24"/>
          <w:szCs w:val="21"/>
        </w:rPr>
        <w:t>）应急监测措施</w:t>
      </w:r>
    </w:p>
    <w:p w:rsidR="00EE4502" w:rsidRDefault="00FD45A3">
      <w:pPr>
        <w:spacing w:line="360" w:lineRule="auto"/>
        <w:ind w:firstLineChars="200" w:firstLine="480"/>
        <w:rPr>
          <w:sz w:val="24"/>
          <w:szCs w:val="21"/>
        </w:rPr>
      </w:pPr>
      <w:r>
        <w:rPr>
          <w:sz w:val="24"/>
          <w:szCs w:val="21"/>
        </w:rPr>
        <w:t>（</w:t>
      </w:r>
      <w:r>
        <w:rPr>
          <w:sz w:val="24"/>
          <w:szCs w:val="21"/>
        </w:rPr>
        <w:t>1</w:t>
      </w:r>
      <w:r>
        <w:rPr>
          <w:sz w:val="24"/>
          <w:szCs w:val="21"/>
        </w:rPr>
        <w:t>）环保监测站接到环保事故信息后，根据接报的情况判断可能的污染物质，进行应急准备，并立即组织有关人员，分别进行现场的监测采样和实验室的准备工作。</w:t>
      </w:r>
    </w:p>
    <w:p w:rsidR="00EE4502" w:rsidRDefault="00FD45A3">
      <w:pPr>
        <w:spacing w:line="360" w:lineRule="auto"/>
        <w:ind w:firstLineChars="200" w:firstLine="480"/>
        <w:rPr>
          <w:sz w:val="24"/>
          <w:szCs w:val="21"/>
        </w:rPr>
      </w:pPr>
      <w:r>
        <w:rPr>
          <w:sz w:val="24"/>
          <w:szCs w:val="21"/>
        </w:rPr>
        <w:t>①</w:t>
      </w:r>
      <w:r>
        <w:rPr>
          <w:sz w:val="24"/>
          <w:szCs w:val="21"/>
        </w:rPr>
        <w:t>人员及采样容器准备。技术人员</w:t>
      </w:r>
      <w:r>
        <w:rPr>
          <w:sz w:val="24"/>
          <w:szCs w:val="21"/>
        </w:rPr>
        <w:t>1</w:t>
      </w:r>
      <w:r>
        <w:rPr>
          <w:sz w:val="24"/>
          <w:szCs w:val="21"/>
        </w:rPr>
        <w:t>名、实验室人员</w:t>
      </w:r>
      <w:r>
        <w:rPr>
          <w:sz w:val="24"/>
          <w:szCs w:val="21"/>
        </w:rPr>
        <w:t>1</w:t>
      </w:r>
      <w:r>
        <w:rPr>
          <w:sz w:val="24"/>
          <w:szCs w:val="21"/>
        </w:rPr>
        <w:t>名、采样人员</w:t>
      </w:r>
      <w:r>
        <w:rPr>
          <w:sz w:val="24"/>
          <w:szCs w:val="21"/>
        </w:rPr>
        <w:t>2</w:t>
      </w:r>
      <w:r>
        <w:rPr>
          <w:sz w:val="24"/>
          <w:szCs w:val="21"/>
        </w:rPr>
        <w:t>名，采样容器要备足。</w:t>
      </w:r>
    </w:p>
    <w:p w:rsidR="00EE4502" w:rsidRDefault="00FD45A3">
      <w:pPr>
        <w:spacing w:line="360" w:lineRule="auto"/>
        <w:ind w:firstLineChars="200" w:firstLine="480"/>
        <w:rPr>
          <w:sz w:val="24"/>
          <w:szCs w:val="21"/>
        </w:rPr>
      </w:pPr>
      <w:r>
        <w:rPr>
          <w:sz w:val="24"/>
          <w:szCs w:val="21"/>
        </w:rPr>
        <w:t>②</w:t>
      </w:r>
      <w:r>
        <w:rPr>
          <w:sz w:val="24"/>
          <w:szCs w:val="21"/>
        </w:rPr>
        <w:t>化验室分析人员取样后，应快速、准确的完成样品的分析，出具数据和保存，并保留样品。</w:t>
      </w:r>
    </w:p>
    <w:p w:rsidR="00EE4502" w:rsidRDefault="00FD45A3">
      <w:pPr>
        <w:spacing w:line="360" w:lineRule="auto"/>
        <w:ind w:firstLineChars="200" w:firstLine="480"/>
        <w:rPr>
          <w:sz w:val="24"/>
          <w:szCs w:val="21"/>
        </w:rPr>
      </w:pPr>
      <w:r>
        <w:rPr>
          <w:sz w:val="24"/>
          <w:szCs w:val="21"/>
        </w:rPr>
        <w:t>（</w:t>
      </w:r>
      <w:r>
        <w:rPr>
          <w:sz w:val="24"/>
          <w:szCs w:val="21"/>
        </w:rPr>
        <w:t>2</w:t>
      </w:r>
      <w:r>
        <w:rPr>
          <w:sz w:val="24"/>
          <w:szCs w:val="21"/>
        </w:rPr>
        <w:t>）化验室在接到环境事故信息后，必须在最短时间内到达目的地采样。</w:t>
      </w:r>
    </w:p>
    <w:p w:rsidR="00EE4502" w:rsidRDefault="00FD45A3">
      <w:pPr>
        <w:spacing w:line="360" w:lineRule="auto"/>
        <w:ind w:firstLineChars="200" w:firstLine="480"/>
        <w:rPr>
          <w:sz w:val="24"/>
          <w:szCs w:val="21"/>
        </w:rPr>
      </w:pPr>
      <w:r>
        <w:rPr>
          <w:sz w:val="24"/>
          <w:szCs w:val="21"/>
        </w:rPr>
        <w:t>（</w:t>
      </w:r>
      <w:r>
        <w:rPr>
          <w:sz w:val="24"/>
          <w:szCs w:val="21"/>
        </w:rPr>
        <w:t>3</w:t>
      </w:r>
      <w:r>
        <w:rPr>
          <w:sz w:val="24"/>
          <w:szCs w:val="21"/>
        </w:rPr>
        <w:t>）当对某种污染物</w:t>
      </w:r>
      <w:r>
        <w:rPr>
          <w:sz w:val="24"/>
          <w:szCs w:val="21"/>
        </w:rPr>
        <w:t>缺少监测手段时，安全环保科负责对外请求支援的联系与协调。</w:t>
      </w:r>
    </w:p>
    <w:p w:rsidR="00EE4502" w:rsidRDefault="00FD45A3">
      <w:pPr>
        <w:spacing w:line="360" w:lineRule="auto"/>
        <w:ind w:firstLineChars="200" w:firstLine="480"/>
        <w:rPr>
          <w:sz w:val="24"/>
          <w:szCs w:val="21"/>
        </w:rPr>
      </w:pPr>
      <w:r>
        <w:rPr>
          <w:sz w:val="24"/>
          <w:szCs w:val="21"/>
        </w:rPr>
        <w:t>（</w:t>
      </w:r>
      <w:r>
        <w:rPr>
          <w:sz w:val="24"/>
          <w:szCs w:val="21"/>
        </w:rPr>
        <w:t>4</w:t>
      </w:r>
      <w:r>
        <w:rPr>
          <w:sz w:val="24"/>
          <w:szCs w:val="21"/>
        </w:rPr>
        <w:t>）监测数据可用电话或书面的形式以最快速度上报应急指挥中心。</w:t>
      </w:r>
    </w:p>
    <w:p w:rsidR="00EE4502" w:rsidRDefault="00FD45A3">
      <w:pPr>
        <w:spacing w:line="360" w:lineRule="auto"/>
        <w:ind w:firstLineChars="200" w:firstLine="480"/>
        <w:rPr>
          <w:sz w:val="24"/>
          <w:szCs w:val="21"/>
        </w:rPr>
      </w:pPr>
      <w:r>
        <w:rPr>
          <w:sz w:val="24"/>
          <w:szCs w:val="21"/>
        </w:rPr>
        <w:t>（</w:t>
      </w:r>
      <w:r>
        <w:rPr>
          <w:sz w:val="24"/>
          <w:szCs w:val="21"/>
        </w:rPr>
        <w:t>5</w:t>
      </w:r>
      <w:r>
        <w:rPr>
          <w:sz w:val="24"/>
          <w:szCs w:val="21"/>
        </w:rPr>
        <w:t>）应急监测应做到当事故发生直到事故最终处理终结的全过程监测，其监测频次以满足较少损失和事故处理以及事故发生后的生产恢复的需求。</w:t>
      </w:r>
    </w:p>
    <w:p w:rsidR="00EE4502" w:rsidRDefault="00FD45A3">
      <w:pPr>
        <w:spacing w:line="360" w:lineRule="auto"/>
        <w:ind w:firstLineChars="200" w:firstLine="480"/>
        <w:rPr>
          <w:sz w:val="24"/>
          <w:szCs w:val="21"/>
        </w:rPr>
      </w:pPr>
      <w:r>
        <w:rPr>
          <w:sz w:val="24"/>
          <w:szCs w:val="21"/>
        </w:rPr>
        <w:t>3</w:t>
      </w:r>
      <w:r>
        <w:rPr>
          <w:sz w:val="24"/>
          <w:szCs w:val="21"/>
        </w:rPr>
        <w:t>）应急监测布点原则</w:t>
      </w:r>
    </w:p>
    <w:p w:rsidR="00EE4502" w:rsidRDefault="00FD45A3">
      <w:pPr>
        <w:spacing w:line="360" w:lineRule="auto"/>
        <w:ind w:firstLineChars="200" w:firstLine="480"/>
        <w:rPr>
          <w:sz w:val="24"/>
          <w:szCs w:val="21"/>
        </w:rPr>
      </w:pPr>
      <w:r>
        <w:rPr>
          <w:sz w:val="24"/>
          <w:szCs w:val="21"/>
        </w:rPr>
        <w:t>根据《突发环境事件应急监测技术规范》</w:t>
      </w:r>
      <w:hyperlink r:id="rId53" w:history="1">
        <w:r>
          <w:rPr>
            <w:sz w:val="24"/>
            <w:szCs w:val="21"/>
          </w:rPr>
          <w:t>（</w:t>
        </w:r>
        <w:r>
          <w:rPr>
            <w:sz w:val="24"/>
            <w:szCs w:val="21"/>
          </w:rPr>
          <w:t>HJ</w:t>
        </w:r>
        <w:r>
          <w:rPr>
            <w:sz w:val="24"/>
            <w:szCs w:val="21"/>
          </w:rPr>
          <w:t xml:space="preserve"> 589-2021</w:t>
        </w:r>
        <w:r>
          <w:rPr>
            <w:sz w:val="24"/>
            <w:szCs w:val="21"/>
          </w:rPr>
          <w:t>）</w:t>
        </w:r>
      </w:hyperlink>
      <w:r>
        <w:rPr>
          <w:sz w:val="24"/>
          <w:szCs w:val="21"/>
        </w:rPr>
        <w:t>中</w:t>
      </w:r>
      <w:r>
        <w:rPr>
          <w:sz w:val="24"/>
          <w:szCs w:val="21"/>
        </w:rPr>
        <w:t>6.2.1</w:t>
      </w:r>
      <w:r>
        <w:rPr>
          <w:sz w:val="24"/>
          <w:szCs w:val="21"/>
        </w:rPr>
        <w:t>布点原则，采样断面（点）的设置一般以突发环境事件发生地及可能受影响的环境区域为主，同时应注重人群和生活环境、事件发生地周围重要生态环境保护目标及环境敏感点，重点关注对饮用水水源地、人群活动区域的空气、农田土壤、自然保护区、风景名胜区及其他需要特殊保护的区域的影响，合理设置监测断面（点），判断污染团（带）位置、反映污染变化趋势、了解应急处置效果。</w:t>
      </w:r>
    </w:p>
    <w:p w:rsidR="00EE4502" w:rsidRDefault="00FD45A3">
      <w:pPr>
        <w:spacing w:line="360" w:lineRule="auto"/>
        <w:ind w:firstLineChars="200" w:firstLine="480"/>
        <w:rPr>
          <w:sz w:val="24"/>
          <w:szCs w:val="21"/>
        </w:rPr>
      </w:pPr>
      <w:r>
        <w:rPr>
          <w:sz w:val="24"/>
          <w:szCs w:val="21"/>
        </w:rPr>
        <w:t>应根据突发环境事件应急处置情况动态及时更新调整布设点位。对被突发环境事件所污染的地表水、大气、土壤和地下水应设置对照断面（点）</w:t>
      </w:r>
      <w:r>
        <w:rPr>
          <w:sz w:val="24"/>
          <w:szCs w:val="21"/>
        </w:rPr>
        <w:t>、控制断面（点），对地表水和地下水还应设置削减断面（点），布点要确保能够获取足够的有代表性的信息，同时应考虑采样的安全性和可行性。对突发环境事件固定污染源和移动污染源的应急监测，应根据现场的具体情况布设采样断面（点）。</w:t>
      </w:r>
    </w:p>
    <w:p w:rsidR="00EE4502" w:rsidRDefault="00FD45A3">
      <w:pPr>
        <w:spacing w:line="360" w:lineRule="auto"/>
        <w:ind w:firstLineChars="200" w:firstLine="480"/>
        <w:rPr>
          <w:sz w:val="24"/>
          <w:szCs w:val="21"/>
        </w:rPr>
      </w:pPr>
      <w:r>
        <w:rPr>
          <w:sz w:val="24"/>
          <w:szCs w:val="21"/>
        </w:rPr>
        <w:t>4</w:t>
      </w:r>
      <w:r>
        <w:rPr>
          <w:sz w:val="24"/>
          <w:szCs w:val="21"/>
        </w:rPr>
        <w:t>）应急监测方案</w:t>
      </w:r>
    </w:p>
    <w:p w:rsidR="00EE4502" w:rsidRDefault="00FD45A3">
      <w:pPr>
        <w:spacing w:line="360" w:lineRule="auto"/>
        <w:ind w:firstLineChars="200" w:firstLine="480"/>
        <w:rPr>
          <w:rFonts w:ascii="宋体" w:hAnsi="宋体"/>
          <w:sz w:val="24"/>
          <w:szCs w:val="21"/>
        </w:rPr>
      </w:pPr>
      <w:r>
        <w:rPr>
          <w:sz w:val="24"/>
          <w:szCs w:val="21"/>
        </w:rPr>
        <w:t>本项目环境风险应急监测方案详见</w:t>
      </w:r>
      <w:r>
        <w:rPr>
          <w:rFonts w:hint="eastAsia"/>
          <w:sz w:val="24"/>
          <w:szCs w:val="21"/>
        </w:rPr>
        <w:t>表</w:t>
      </w:r>
      <w:r>
        <w:rPr>
          <w:rFonts w:hint="eastAsia"/>
          <w:sz w:val="24"/>
          <w:szCs w:val="21"/>
        </w:rPr>
        <w:t>5-8-5</w:t>
      </w:r>
      <w:r>
        <w:rPr>
          <w:sz w:val="24"/>
          <w:szCs w:val="21"/>
        </w:rPr>
        <w:t>。</w:t>
      </w:r>
    </w:p>
    <w:p w:rsidR="00EE4502" w:rsidRDefault="00FD45A3">
      <w:pPr>
        <w:widowControl/>
        <w:jc w:val="center"/>
        <w:rPr>
          <w:rFonts w:ascii="黑体" w:eastAsia="黑体" w:hAnsi="黑体" w:cs="黑体"/>
          <w:bCs/>
          <w:spacing w:val="4"/>
          <w:szCs w:val="20"/>
        </w:rPr>
      </w:pPr>
      <w:bookmarkStart w:id="233" w:name="_Ref108428320"/>
      <w:bookmarkStart w:id="234" w:name="_Ref117756454"/>
      <w:bookmarkStart w:id="235" w:name="_Ref38136223"/>
      <w:r>
        <w:rPr>
          <w:rFonts w:ascii="黑体" w:eastAsia="黑体" w:hAnsi="黑体" w:cs="黑体" w:hint="eastAsia"/>
          <w:bCs/>
          <w:spacing w:val="4"/>
          <w:szCs w:val="20"/>
        </w:rPr>
        <w:t>表</w:t>
      </w:r>
      <w:bookmarkEnd w:id="233"/>
      <w:bookmarkEnd w:id="234"/>
      <w:bookmarkEnd w:id="235"/>
      <w:r>
        <w:rPr>
          <w:rFonts w:ascii="黑体" w:eastAsia="黑体" w:hAnsi="黑体" w:cs="黑体" w:hint="eastAsia"/>
          <w:bCs/>
          <w:spacing w:val="4"/>
          <w:szCs w:val="20"/>
        </w:rPr>
        <w:t xml:space="preserve">5-8-5  </w:t>
      </w:r>
      <w:r>
        <w:rPr>
          <w:rFonts w:ascii="黑体" w:eastAsia="黑体" w:hAnsi="黑体" w:cs="黑体" w:hint="eastAsia"/>
          <w:bCs/>
          <w:spacing w:val="4"/>
          <w:szCs w:val="20"/>
        </w:rPr>
        <w:t>风险事故情况下环境应急监测方案一览表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7"/>
        <w:gridCol w:w="479"/>
        <w:gridCol w:w="511"/>
        <w:gridCol w:w="1136"/>
        <w:gridCol w:w="1467"/>
        <w:gridCol w:w="858"/>
        <w:gridCol w:w="2784"/>
        <w:gridCol w:w="654"/>
      </w:tblGrid>
      <w:tr w:rsidR="00EE4502">
        <w:trPr>
          <w:trHeight w:val="340"/>
          <w:tblHeader/>
          <w:jc w:val="center"/>
        </w:trPr>
        <w:tc>
          <w:tcPr>
            <w:tcW w:w="257" w:type="pct"/>
            <w:vAlign w:val="center"/>
          </w:tcPr>
          <w:p w:rsidR="00EE4502" w:rsidRDefault="00FD45A3">
            <w:pPr>
              <w:adjustRightInd w:val="0"/>
              <w:snapToGrid w:val="0"/>
              <w:jc w:val="center"/>
              <w:rPr>
                <w:kern w:val="0"/>
                <w:szCs w:val="21"/>
                <w:lang w:eastAsia="en-US"/>
              </w:rPr>
            </w:pPr>
            <w:r>
              <w:rPr>
                <w:kern w:val="0"/>
                <w:szCs w:val="21"/>
                <w:lang w:eastAsia="en-US"/>
              </w:rPr>
              <w:t>时间</w:t>
            </w:r>
          </w:p>
        </w:tc>
        <w:tc>
          <w:tcPr>
            <w:tcW w:w="288" w:type="pct"/>
            <w:vAlign w:val="center"/>
          </w:tcPr>
          <w:p w:rsidR="00EE4502" w:rsidRDefault="00FD45A3">
            <w:pPr>
              <w:adjustRightInd w:val="0"/>
              <w:snapToGrid w:val="0"/>
              <w:jc w:val="center"/>
              <w:rPr>
                <w:kern w:val="0"/>
                <w:szCs w:val="21"/>
                <w:lang w:eastAsia="en-US"/>
              </w:rPr>
            </w:pPr>
            <w:r>
              <w:rPr>
                <w:kern w:val="0"/>
                <w:szCs w:val="21"/>
                <w:lang w:eastAsia="en-US"/>
              </w:rPr>
              <w:t>监测</w:t>
            </w:r>
          </w:p>
          <w:p w:rsidR="00EE4502" w:rsidRDefault="00FD45A3">
            <w:pPr>
              <w:adjustRightInd w:val="0"/>
              <w:snapToGrid w:val="0"/>
              <w:jc w:val="center"/>
              <w:rPr>
                <w:kern w:val="0"/>
                <w:szCs w:val="21"/>
                <w:lang w:eastAsia="en-US"/>
              </w:rPr>
            </w:pPr>
            <w:r>
              <w:rPr>
                <w:kern w:val="0"/>
                <w:szCs w:val="21"/>
                <w:lang w:eastAsia="en-US"/>
              </w:rPr>
              <w:t>要素</w:t>
            </w:r>
          </w:p>
        </w:tc>
        <w:tc>
          <w:tcPr>
            <w:tcW w:w="990" w:type="pct"/>
            <w:gridSpan w:val="2"/>
            <w:vAlign w:val="center"/>
          </w:tcPr>
          <w:p w:rsidR="00EE4502" w:rsidRDefault="00FD45A3">
            <w:pPr>
              <w:adjustRightInd w:val="0"/>
              <w:snapToGrid w:val="0"/>
              <w:jc w:val="center"/>
              <w:rPr>
                <w:kern w:val="0"/>
                <w:szCs w:val="21"/>
                <w:lang w:eastAsia="en-US"/>
              </w:rPr>
            </w:pPr>
            <w:r>
              <w:rPr>
                <w:kern w:val="0"/>
                <w:szCs w:val="21"/>
                <w:lang w:eastAsia="en-US"/>
              </w:rPr>
              <w:t>监测点位</w:t>
            </w:r>
          </w:p>
        </w:tc>
        <w:tc>
          <w:tcPr>
            <w:tcW w:w="882" w:type="pct"/>
            <w:vAlign w:val="center"/>
          </w:tcPr>
          <w:p w:rsidR="00EE4502" w:rsidRDefault="00FD45A3">
            <w:pPr>
              <w:adjustRightInd w:val="0"/>
              <w:snapToGrid w:val="0"/>
              <w:jc w:val="center"/>
              <w:rPr>
                <w:kern w:val="0"/>
                <w:szCs w:val="21"/>
                <w:lang w:eastAsia="en-US"/>
              </w:rPr>
            </w:pPr>
            <w:r>
              <w:rPr>
                <w:kern w:val="0"/>
                <w:szCs w:val="21"/>
                <w:lang w:eastAsia="en-US"/>
              </w:rPr>
              <w:t>监测项目</w:t>
            </w:r>
          </w:p>
        </w:tc>
        <w:tc>
          <w:tcPr>
            <w:tcW w:w="516" w:type="pct"/>
            <w:vAlign w:val="center"/>
          </w:tcPr>
          <w:p w:rsidR="00EE4502" w:rsidRDefault="00FD45A3">
            <w:pPr>
              <w:adjustRightInd w:val="0"/>
              <w:snapToGrid w:val="0"/>
              <w:jc w:val="center"/>
              <w:rPr>
                <w:kern w:val="0"/>
                <w:szCs w:val="21"/>
                <w:lang w:eastAsia="en-US"/>
              </w:rPr>
            </w:pPr>
            <w:r>
              <w:rPr>
                <w:kern w:val="0"/>
                <w:szCs w:val="21"/>
                <w:lang w:eastAsia="en-US"/>
              </w:rPr>
              <w:t>监测频次</w:t>
            </w:r>
          </w:p>
        </w:tc>
        <w:tc>
          <w:tcPr>
            <w:tcW w:w="1674" w:type="pct"/>
            <w:vAlign w:val="center"/>
          </w:tcPr>
          <w:p w:rsidR="00EE4502" w:rsidRDefault="00FD45A3">
            <w:pPr>
              <w:adjustRightInd w:val="0"/>
              <w:snapToGrid w:val="0"/>
              <w:jc w:val="center"/>
              <w:rPr>
                <w:kern w:val="0"/>
                <w:szCs w:val="21"/>
                <w:lang w:eastAsia="en-US"/>
              </w:rPr>
            </w:pPr>
            <w:r>
              <w:rPr>
                <w:kern w:val="0"/>
                <w:szCs w:val="21"/>
                <w:lang w:eastAsia="en-US"/>
              </w:rPr>
              <w:t>执行标准</w:t>
            </w:r>
          </w:p>
        </w:tc>
        <w:tc>
          <w:tcPr>
            <w:tcW w:w="393" w:type="pct"/>
            <w:vAlign w:val="center"/>
          </w:tcPr>
          <w:p w:rsidR="00EE4502" w:rsidRDefault="00FD45A3">
            <w:pPr>
              <w:adjustRightInd w:val="0"/>
              <w:snapToGrid w:val="0"/>
              <w:jc w:val="center"/>
              <w:rPr>
                <w:kern w:val="0"/>
                <w:szCs w:val="21"/>
                <w:lang w:eastAsia="en-US"/>
              </w:rPr>
            </w:pPr>
            <w:r>
              <w:rPr>
                <w:kern w:val="0"/>
                <w:szCs w:val="21"/>
                <w:lang w:eastAsia="en-US"/>
              </w:rPr>
              <w:t>监测方式</w:t>
            </w:r>
          </w:p>
        </w:tc>
      </w:tr>
      <w:tr w:rsidR="00EE4502">
        <w:trPr>
          <w:trHeight w:val="340"/>
          <w:jc w:val="center"/>
        </w:trPr>
        <w:tc>
          <w:tcPr>
            <w:tcW w:w="257" w:type="pct"/>
            <w:vMerge w:val="restart"/>
            <w:vAlign w:val="center"/>
          </w:tcPr>
          <w:p w:rsidR="00EE4502" w:rsidRDefault="00FD45A3">
            <w:pPr>
              <w:adjustRightInd w:val="0"/>
              <w:snapToGrid w:val="0"/>
              <w:jc w:val="center"/>
              <w:rPr>
                <w:kern w:val="0"/>
                <w:szCs w:val="21"/>
                <w:lang w:eastAsia="en-US"/>
              </w:rPr>
            </w:pPr>
            <w:r>
              <w:rPr>
                <w:kern w:val="0"/>
                <w:szCs w:val="21"/>
                <w:lang w:eastAsia="en-US"/>
              </w:rPr>
              <w:lastRenderedPageBreak/>
              <w:t>环</w:t>
            </w:r>
          </w:p>
          <w:p w:rsidR="00EE4502" w:rsidRDefault="00FD45A3">
            <w:pPr>
              <w:adjustRightInd w:val="0"/>
              <w:snapToGrid w:val="0"/>
              <w:jc w:val="center"/>
              <w:rPr>
                <w:kern w:val="0"/>
                <w:szCs w:val="21"/>
                <w:lang w:eastAsia="en-US"/>
              </w:rPr>
            </w:pPr>
            <w:r>
              <w:rPr>
                <w:kern w:val="0"/>
                <w:szCs w:val="21"/>
                <w:lang w:eastAsia="en-US"/>
              </w:rPr>
              <w:t>境</w:t>
            </w:r>
          </w:p>
          <w:p w:rsidR="00EE4502" w:rsidRDefault="00FD45A3">
            <w:pPr>
              <w:adjustRightInd w:val="0"/>
              <w:snapToGrid w:val="0"/>
              <w:jc w:val="center"/>
              <w:rPr>
                <w:kern w:val="0"/>
                <w:szCs w:val="21"/>
                <w:lang w:eastAsia="en-US"/>
              </w:rPr>
            </w:pPr>
            <w:r>
              <w:rPr>
                <w:kern w:val="0"/>
                <w:szCs w:val="21"/>
                <w:lang w:eastAsia="en-US"/>
              </w:rPr>
              <w:t>风</w:t>
            </w:r>
          </w:p>
          <w:p w:rsidR="00EE4502" w:rsidRDefault="00FD45A3">
            <w:pPr>
              <w:adjustRightInd w:val="0"/>
              <w:snapToGrid w:val="0"/>
              <w:jc w:val="center"/>
              <w:rPr>
                <w:kern w:val="0"/>
                <w:szCs w:val="21"/>
                <w:lang w:eastAsia="en-US"/>
              </w:rPr>
            </w:pPr>
            <w:r>
              <w:rPr>
                <w:kern w:val="0"/>
                <w:szCs w:val="21"/>
                <w:lang w:eastAsia="en-US"/>
              </w:rPr>
              <w:t>险</w:t>
            </w:r>
          </w:p>
          <w:p w:rsidR="00EE4502" w:rsidRDefault="00FD45A3">
            <w:pPr>
              <w:adjustRightInd w:val="0"/>
              <w:snapToGrid w:val="0"/>
              <w:jc w:val="center"/>
              <w:rPr>
                <w:kern w:val="0"/>
                <w:szCs w:val="21"/>
                <w:lang w:eastAsia="en-US"/>
              </w:rPr>
            </w:pPr>
            <w:r>
              <w:rPr>
                <w:kern w:val="0"/>
                <w:szCs w:val="21"/>
                <w:lang w:eastAsia="en-US"/>
              </w:rPr>
              <w:t>事</w:t>
            </w:r>
          </w:p>
          <w:p w:rsidR="00EE4502" w:rsidRDefault="00FD45A3">
            <w:pPr>
              <w:adjustRightInd w:val="0"/>
              <w:snapToGrid w:val="0"/>
              <w:jc w:val="center"/>
              <w:rPr>
                <w:kern w:val="0"/>
                <w:szCs w:val="21"/>
                <w:lang w:eastAsia="en-US"/>
              </w:rPr>
            </w:pPr>
            <w:r>
              <w:rPr>
                <w:kern w:val="0"/>
                <w:szCs w:val="21"/>
                <w:lang w:eastAsia="en-US"/>
              </w:rPr>
              <w:t>故</w:t>
            </w:r>
          </w:p>
        </w:tc>
        <w:tc>
          <w:tcPr>
            <w:tcW w:w="288" w:type="pct"/>
            <w:vMerge w:val="restart"/>
            <w:vAlign w:val="center"/>
          </w:tcPr>
          <w:p w:rsidR="00EE4502" w:rsidRDefault="00FD45A3">
            <w:pPr>
              <w:adjustRightInd w:val="0"/>
              <w:snapToGrid w:val="0"/>
              <w:jc w:val="center"/>
              <w:rPr>
                <w:kern w:val="0"/>
                <w:szCs w:val="21"/>
                <w:lang w:eastAsia="en-US"/>
              </w:rPr>
            </w:pPr>
            <w:r>
              <w:rPr>
                <w:kern w:val="0"/>
                <w:szCs w:val="21"/>
                <w:lang w:eastAsia="en-US"/>
              </w:rPr>
              <w:t>大气</w:t>
            </w:r>
          </w:p>
          <w:p w:rsidR="00EE4502" w:rsidRDefault="00FD45A3">
            <w:pPr>
              <w:adjustRightInd w:val="0"/>
              <w:snapToGrid w:val="0"/>
              <w:jc w:val="center"/>
              <w:rPr>
                <w:kern w:val="0"/>
                <w:szCs w:val="21"/>
                <w:lang w:eastAsia="en-US"/>
              </w:rPr>
            </w:pPr>
            <w:r>
              <w:rPr>
                <w:kern w:val="0"/>
                <w:szCs w:val="21"/>
                <w:lang w:eastAsia="en-US"/>
              </w:rPr>
              <w:t>环境</w:t>
            </w:r>
          </w:p>
        </w:tc>
        <w:tc>
          <w:tcPr>
            <w:tcW w:w="307" w:type="pct"/>
            <w:vAlign w:val="center"/>
          </w:tcPr>
          <w:p w:rsidR="00EE4502" w:rsidRDefault="00FD45A3">
            <w:pPr>
              <w:adjustRightInd w:val="0"/>
              <w:snapToGrid w:val="0"/>
              <w:jc w:val="center"/>
              <w:rPr>
                <w:kern w:val="0"/>
                <w:szCs w:val="21"/>
                <w:lang w:eastAsia="en-US"/>
              </w:rPr>
            </w:pPr>
            <w:r>
              <w:rPr>
                <w:kern w:val="0"/>
                <w:szCs w:val="21"/>
                <w:lang w:eastAsia="en-US"/>
              </w:rPr>
              <w:t>对照断面</w:t>
            </w:r>
          </w:p>
        </w:tc>
        <w:tc>
          <w:tcPr>
            <w:tcW w:w="683" w:type="pct"/>
            <w:vAlign w:val="center"/>
          </w:tcPr>
          <w:p w:rsidR="00EE4502" w:rsidRDefault="00FD45A3">
            <w:pPr>
              <w:adjustRightInd w:val="0"/>
              <w:snapToGrid w:val="0"/>
              <w:jc w:val="center"/>
              <w:rPr>
                <w:kern w:val="0"/>
                <w:szCs w:val="21"/>
                <w:lang w:eastAsia="en-US"/>
              </w:rPr>
            </w:pPr>
            <w:r>
              <w:rPr>
                <w:kern w:val="0"/>
                <w:szCs w:val="21"/>
                <w:lang w:eastAsia="en-US"/>
              </w:rPr>
              <w:t>事故地点上风向</w:t>
            </w:r>
          </w:p>
        </w:tc>
        <w:tc>
          <w:tcPr>
            <w:tcW w:w="882" w:type="pct"/>
            <w:vAlign w:val="center"/>
          </w:tcPr>
          <w:p w:rsidR="00EE4502" w:rsidRDefault="00FD45A3">
            <w:pPr>
              <w:adjustRightInd w:val="0"/>
              <w:snapToGrid w:val="0"/>
              <w:jc w:val="center"/>
              <w:rPr>
                <w:kern w:val="0"/>
                <w:szCs w:val="21"/>
              </w:rPr>
            </w:pPr>
            <w:r>
              <w:rPr>
                <w:kern w:val="0"/>
                <w:szCs w:val="21"/>
              </w:rPr>
              <w:t>非甲烷总烃、一氧化碳</w:t>
            </w:r>
          </w:p>
        </w:tc>
        <w:tc>
          <w:tcPr>
            <w:tcW w:w="516" w:type="pct"/>
            <w:vMerge w:val="restart"/>
            <w:vAlign w:val="center"/>
          </w:tcPr>
          <w:p w:rsidR="00EE4502" w:rsidRDefault="00FD45A3">
            <w:pPr>
              <w:adjustRightInd w:val="0"/>
              <w:snapToGrid w:val="0"/>
              <w:jc w:val="center"/>
              <w:rPr>
                <w:kern w:val="0"/>
                <w:szCs w:val="21"/>
              </w:rPr>
            </w:pPr>
            <w:r>
              <w:rPr>
                <w:kern w:val="0"/>
                <w:szCs w:val="21"/>
              </w:rPr>
              <w:t>事故发生及处理过程中进行实时监测，过后</w:t>
            </w:r>
            <w:r>
              <w:rPr>
                <w:kern w:val="0"/>
                <w:szCs w:val="21"/>
              </w:rPr>
              <w:t>30min</w:t>
            </w:r>
            <w:r>
              <w:rPr>
                <w:kern w:val="0"/>
                <w:szCs w:val="21"/>
              </w:rPr>
              <w:t>一次直至应急结束</w:t>
            </w:r>
          </w:p>
        </w:tc>
        <w:tc>
          <w:tcPr>
            <w:tcW w:w="1674" w:type="pct"/>
            <w:vMerge w:val="restart"/>
            <w:vAlign w:val="center"/>
          </w:tcPr>
          <w:p w:rsidR="00EE4502" w:rsidRDefault="00FD45A3">
            <w:pPr>
              <w:adjustRightInd w:val="0"/>
              <w:snapToGrid w:val="0"/>
              <w:jc w:val="center"/>
              <w:rPr>
                <w:kern w:val="0"/>
                <w:szCs w:val="21"/>
              </w:rPr>
            </w:pPr>
            <w:r>
              <w:rPr>
                <w:kern w:val="0"/>
                <w:szCs w:val="21"/>
              </w:rPr>
              <w:t>一氧化碳执行《环境空气质量标准》（</w:t>
            </w:r>
            <w:r>
              <w:rPr>
                <w:kern w:val="0"/>
                <w:szCs w:val="21"/>
              </w:rPr>
              <w:t>GB 3095-2012</w:t>
            </w:r>
            <w:r>
              <w:rPr>
                <w:kern w:val="0"/>
                <w:szCs w:val="21"/>
              </w:rPr>
              <w:t>）及其修改单（生态环境部公告</w:t>
            </w:r>
            <w:r>
              <w:rPr>
                <w:kern w:val="0"/>
                <w:szCs w:val="21"/>
              </w:rPr>
              <w:t xml:space="preserve"> 2018</w:t>
            </w:r>
            <w:r>
              <w:rPr>
                <w:kern w:val="0"/>
                <w:szCs w:val="21"/>
              </w:rPr>
              <w:t>年第</w:t>
            </w:r>
            <w:r>
              <w:rPr>
                <w:kern w:val="0"/>
                <w:szCs w:val="21"/>
              </w:rPr>
              <w:t>29</w:t>
            </w:r>
            <w:r>
              <w:rPr>
                <w:kern w:val="0"/>
                <w:szCs w:val="21"/>
              </w:rPr>
              <w:t>号）二级标准要求，非甲烷总烃执行《大气污染物综合排放标准详解》（</w:t>
            </w:r>
            <w:r>
              <w:rPr>
                <w:kern w:val="0"/>
                <w:szCs w:val="21"/>
              </w:rPr>
              <w:t>1997</w:t>
            </w:r>
            <w:r>
              <w:rPr>
                <w:kern w:val="0"/>
                <w:szCs w:val="21"/>
              </w:rPr>
              <w:t>年）中推荐值（</w:t>
            </w:r>
            <w:r>
              <w:rPr>
                <w:kern w:val="0"/>
                <w:szCs w:val="21"/>
              </w:rPr>
              <w:t>2.0mg/m</w:t>
            </w:r>
            <w:r>
              <w:rPr>
                <w:kern w:val="0"/>
                <w:szCs w:val="21"/>
                <w:vertAlign w:val="superscript"/>
              </w:rPr>
              <w:t>3</w:t>
            </w:r>
            <w:r>
              <w:rPr>
                <w:kern w:val="0"/>
                <w:szCs w:val="21"/>
              </w:rPr>
              <w:t>）</w:t>
            </w:r>
          </w:p>
        </w:tc>
        <w:tc>
          <w:tcPr>
            <w:tcW w:w="393" w:type="pct"/>
            <w:vMerge w:val="restart"/>
            <w:vAlign w:val="center"/>
          </w:tcPr>
          <w:p w:rsidR="00EE4502" w:rsidRDefault="00FD45A3">
            <w:pPr>
              <w:adjustRightInd w:val="0"/>
              <w:snapToGrid w:val="0"/>
              <w:jc w:val="center"/>
              <w:rPr>
                <w:kern w:val="0"/>
                <w:szCs w:val="21"/>
                <w:lang w:eastAsia="en-US"/>
              </w:rPr>
            </w:pPr>
            <w:r>
              <w:rPr>
                <w:kern w:val="0"/>
                <w:szCs w:val="21"/>
                <w:lang w:eastAsia="en-US"/>
              </w:rPr>
              <w:t>自行监测或委托检测</w:t>
            </w:r>
          </w:p>
        </w:tc>
      </w:tr>
      <w:tr w:rsidR="00EE4502">
        <w:trPr>
          <w:trHeight w:val="340"/>
          <w:jc w:val="center"/>
        </w:trPr>
        <w:tc>
          <w:tcPr>
            <w:tcW w:w="257" w:type="pct"/>
            <w:vMerge/>
            <w:vAlign w:val="center"/>
          </w:tcPr>
          <w:p w:rsidR="00EE4502" w:rsidRDefault="00EE4502">
            <w:pPr>
              <w:adjustRightInd w:val="0"/>
              <w:snapToGrid w:val="0"/>
              <w:jc w:val="center"/>
              <w:rPr>
                <w:kern w:val="0"/>
                <w:szCs w:val="21"/>
                <w:lang w:eastAsia="en-US"/>
              </w:rPr>
            </w:pPr>
          </w:p>
        </w:tc>
        <w:tc>
          <w:tcPr>
            <w:tcW w:w="288" w:type="pct"/>
            <w:vMerge/>
            <w:vAlign w:val="center"/>
          </w:tcPr>
          <w:p w:rsidR="00EE4502" w:rsidRDefault="00EE4502">
            <w:pPr>
              <w:adjustRightInd w:val="0"/>
              <w:snapToGrid w:val="0"/>
              <w:jc w:val="center"/>
              <w:rPr>
                <w:kern w:val="0"/>
                <w:szCs w:val="21"/>
                <w:lang w:eastAsia="en-US"/>
              </w:rPr>
            </w:pPr>
          </w:p>
        </w:tc>
        <w:tc>
          <w:tcPr>
            <w:tcW w:w="307" w:type="pct"/>
            <w:vAlign w:val="center"/>
          </w:tcPr>
          <w:p w:rsidR="00EE4502" w:rsidRDefault="00FD45A3">
            <w:pPr>
              <w:adjustRightInd w:val="0"/>
              <w:snapToGrid w:val="0"/>
              <w:jc w:val="center"/>
              <w:rPr>
                <w:kern w:val="0"/>
                <w:szCs w:val="21"/>
                <w:lang w:eastAsia="en-US"/>
              </w:rPr>
            </w:pPr>
            <w:r>
              <w:rPr>
                <w:kern w:val="0"/>
                <w:szCs w:val="21"/>
                <w:lang w:eastAsia="en-US"/>
              </w:rPr>
              <w:t>控制断面</w:t>
            </w:r>
          </w:p>
        </w:tc>
        <w:tc>
          <w:tcPr>
            <w:tcW w:w="683" w:type="pct"/>
            <w:vAlign w:val="center"/>
          </w:tcPr>
          <w:p w:rsidR="00EE4502" w:rsidRDefault="00FD45A3">
            <w:pPr>
              <w:adjustRightInd w:val="0"/>
              <w:snapToGrid w:val="0"/>
              <w:jc w:val="center"/>
              <w:rPr>
                <w:kern w:val="0"/>
                <w:szCs w:val="21"/>
              </w:rPr>
            </w:pPr>
            <w:r>
              <w:rPr>
                <w:kern w:val="0"/>
                <w:szCs w:val="21"/>
              </w:rPr>
              <w:t>下风向距离较近的敏感点</w:t>
            </w:r>
          </w:p>
        </w:tc>
        <w:tc>
          <w:tcPr>
            <w:tcW w:w="882" w:type="pct"/>
            <w:vAlign w:val="center"/>
          </w:tcPr>
          <w:p w:rsidR="00EE4502" w:rsidRDefault="00FD45A3">
            <w:pPr>
              <w:adjustRightInd w:val="0"/>
              <w:snapToGrid w:val="0"/>
              <w:jc w:val="center"/>
              <w:rPr>
                <w:kern w:val="0"/>
                <w:szCs w:val="21"/>
              </w:rPr>
            </w:pPr>
            <w:r>
              <w:rPr>
                <w:kern w:val="0"/>
                <w:szCs w:val="21"/>
              </w:rPr>
              <w:t>非甲烷总烃、一氧化碳</w:t>
            </w:r>
          </w:p>
        </w:tc>
        <w:tc>
          <w:tcPr>
            <w:tcW w:w="516" w:type="pct"/>
            <w:vMerge/>
            <w:vAlign w:val="center"/>
          </w:tcPr>
          <w:p w:rsidR="00EE4502" w:rsidRDefault="00EE4502">
            <w:pPr>
              <w:adjustRightInd w:val="0"/>
              <w:snapToGrid w:val="0"/>
              <w:jc w:val="center"/>
              <w:rPr>
                <w:kern w:val="0"/>
                <w:szCs w:val="21"/>
              </w:rPr>
            </w:pPr>
          </w:p>
        </w:tc>
        <w:tc>
          <w:tcPr>
            <w:tcW w:w="1674" w:type="pct"/>
            <w:vMerge/>
            <w:vAlign w:val="center"/>
          </w:tcPr>
          <w:p w:rsidR="00EE4502" w:rsidRDefault="00EE4502">
            <w:pPr>
              <w:adjustRightInd w:val="0"/>
              <w:snapToGrid w:val="0"/>
              <w:jc w:val="center"/>
              <w:rPr>
                <w:kern w:val="0"/>
                <w:szCs w:val="21"/>
              </w:rPr>
            </w:pPr>
          </w:p>
        </w:tc>
        <w:tc>
          <w:tcPr>
            <w:tcW w:w="393" w:type="pct"/>
            <w:vMerge/>
            <w:vAlign w:val="center"/>
          </w:tcPr>
          <w:p w:rsidR="00EE4502" w:rsidRDefault="00EE4502">
            <w:pPr>
              <w:adjustRightInd w:val="0"/>
              <w:snapToGrid w:val="0"/>
              <w:jc w:val="center"/>
              <w:rPr>
                <w:kern w:val="0"/>
                <w:szCs w:val="21"/>
              </w:rPr>
            </w:pPr>
          </w:p>
        </w:tc>
      </w:tr>
      <w:tr w:rsidR="00EE4502">
        <w:trPr>
          <w:trHeight w:val="340"/>
          <w:jc w:val="center"/>
        </w:trPr>
        <w:tc>
          <w:tcPr>
            <w:tcW w:w="257" w:type="pct"/>
            <w:vMerge/>
            <w:vAlign w:val="center"/>
          </w:tcPr>
          <w:p w:rsidR="00EE4502" w:rsidRDefault="00EE4502">
            <w:pPr>
              <w:adjustRightInd w:val="0"/>
              <w:snapToGrid w:val="0"/>
              <w:jc w:val="center"/>
              <w:rPr>
                <w:kern w:val="0"/>
                <w:szCs w:val="21"/>
              </w:rPr>
            </w:pPr>
          </w:p>
        </w:tc>
        <w:tc>
          <w:tcPr>
            <w:tcW w:w="288" w:type="pct"/>
            <w:vMerge w:val="restart"/>
            <w:vAlign w:val="center"/>
          </w:tcPr>
          <w:p w:rsidR="00EE4502" w:rsidRDefault="00FD45A3">
            <w:pPr>
              <w:adjustRightInd w:val="0"/>
              <w:snapToGrid w:val="0"/>
              <w:jc w:val="center"/>
              <w:rPr>
                <w:kern w:val="0"/>
                <w:szCs w:val="21"/>
                <w:lang w:eastAsia="en-US"/>
              </w:rPr>
            </w:pPr>
            <w:r>
              <w:rPr>
                <w:kern w:val="0"/>
                <w:szCs w:val="21"/>
                <w:lang w:eastAsia="en-US"/>
              </w:rPr>
              <w:t>土壤环境</w:t>
            </w:r>
          </w:p>
        </w:tc>
        <w:tc>
          <w:tcPr>
            <w:tcW w:w="307" w:type="pct"/>
            <w:vAlign w:val="center"/>
          </w:tcPr>
          <w:p w:rsidR="00EE4502" w:rsidRDefault="00FD45A3">
            <w:pPr>
              <w:adjustRightInd w:val="0"/>
              <w:snapToGrid w:val="0"/>
              <w:jc w:val="center"/>
              <w:rPr>
                <w:kern w:val="0"/>
                <w:szCs w:val="21"/>
                <w:lang w:eastAsia="en-US"/>
              </w:rPr>
            </w:pPr>
            <w:r>
              <w:rPr>
                <w:kern w:val="0"/>
                <w:szCs w:val="21"/>
                <w:lang w:eastAsia="en-US"/>
              </w:rPr>
              <w:t>对照断面</w:t>
            </w:r>
          </w:p>
        </w:tc>
        <w:tc>
          <w:tcPr>
            <w:tcW w:w="683" w:type="pct"/>
            <w:vAlign w:val="center"/>
          </w:tcPr>
          <w:p w:rsidR="00EE4502" w:rsidRDefault="00FD45A3">
            <w:pPr>
              <w:adjustRightInd w:val="0"/>
              <w:snapToGrid w:val="0"/>
              <w:jc w:val="center"/>
              <w:rPr>
                <w:kern w:val="0"/>
                <w:szCs w:val="21"/>
                <w:lang w:eastAsia="en-US"/>
              </w:rPr>
            </w:pPr>
            <w:r>
              <w:rPr>
                <w:kern w:val="0"/>
                <w:szCs w:val="21"/>
                <w:lang w:eastAsia="en-US"/>
              </w:rPr>
              <w:t>污染区附近土壤</w:t>
            </w:r>
          </w:p>
        </w:tc>
        <w:tc>
          <w:tcPr>
            <w:tcW w:w="882" w:type="pct"/>
            <w:vMerge w:val="restart"/>
            <w:vAlign w:val="center"/>
          </w:tcPr>
          <w:p w:rsidR="00EE4502" w:rsidRDefault="00FD45A3">
            <w:pPr>
              <w:adjustRightInd w:val="0"/>
              <w:snapToGrid w:val="0"/>
              <w:jc w:val="center"/>
              <w:rPr>
                <w:kern w:val="0"/>
                <w:szCs w:val="21"/>
              </w:rPr>
            </w:pPr>
            <w:r>
              <w:rPr>
                <w:kern w:val="0"/>
                <w:szCs w:val="21"/>
              </w:rPr>
              <w:t>石油烃类（</w:t>
            </w:r>
            <w:r>
              <w:rPr>
                <w:kern w:val="0"/>
                <w:szCs w:val="21"/>
              </w:rPr>
              <w:t>C</w:t>
            </w:r>
            <w:r>
              <w:rPr>
                <w:kern w:val="0"/>
                <w:szCs w:val="21"/>
                <w:vertAlign w:val="subscript"/>
              </w:rPr>
              <w:t>10</w:t>
            </w:r>
            <w:r>
              <w:rPr>
                <w:kern w:val="0"/>
                <w:szCs w:val="21"/>
              </w:rPr>
              <w:t>～</w:t>
            </w:r>
            <w:r>
              <w:rPr>
                <w:kern w:val="0"/>
                <w:szCs w:val="21"/>
              </w:rPr>
              <w:t>C</w:t>
            </w:r>
            <w:r>
              <w:rPr>
                <w:kern w:val="0"/>
                <w:szCs w:val="21"/>
                <w:vertAlign w:val="subscript"/>
              </w:rPr>
              <w:t>40</w:t>
            </w:r>
            <w:r>
              <w:rPr>
                <w:kern w:val="0"/>
                <w:szCs w:val="21"/>
              </w:rPr>
              <w:t>））</w:t>
            </w:r>
          </w:p>
        </w:tc>
        <w:tc>
          <w:tcPr>
            <w:tcW w:w="516" w:type="pct"/>
            <w:vMerge/>
            <w:vAlign w:val="center"/>
          </w:tcPr>
          <w:p w:rsidR="00EE4502" w:rsidRDefault="00EE4502">
            <w:pPr>
              <w:adjustRightInd w:val="0"/>
              <w:snapToGrid w:val="0"/>
              <w:jc w:val="center"/>
              <w:rPr>
                <w:kern w:val="0"/>
                <w:szCs w:val="21"/>
              </w:rPr>
            </w:pPr>
          </w:p>
        </w:tc>
        <w:tc>
          <w:tcPr>
            <w:tcW w:w="1674" w:type="pct"/>
            <w:vMerge w:val="restart"/>
            <w:vAlign w:val="center"/>
          </w:tcPr>
          <w:p w:rsidR="00EE4502" w:rsidRDefault="00FD45A3">
            <w:pPr>
              <w:adjustRightInd w:val="0"/>
              <w:snapToGrid w:val="0"/>
              <w:jc w:val="center"/>
              <w:rPr>
                <w:kern w:val="0"/>
                <w:szCs w:val="21"/>
              </w:rPr>
            </w:pPr>
            <w:r>
              <w:rPr>
                <w:kern w:val="0"/>
                <w:szCs w:val="21"/>
              </w:rPr>
              <w:t>石油烃（</w:t>
            </w:r>
            <w:r>
              <w:rPr>
                <w:kern w:val="0"/>
                <w:szCs w:val="21"/>
              </w:rPr>
              <w:t>C</w:t>
            </w:r>
            <w:r>
              <w:rPr>
                <w:kern w:val="0"/>
                <w:szCs w:val="21"/>
                <w:vertAlign w:val="subscript"/>
              </w:rPr>
              <w:t>10</w:t>
            </w:r>
            <w:r>
              <w:rPr>
                <w:kern w:val="0"/>
                <w:szCs w:val="21"/>
              </w:rPr>
              <w:t>-C</w:t>
            </w:r>
            <w:r>
              <w:rPr>
                <w:kern w:val="0"/>
                <w:szCs w:val="21"/>
                <w:vertAlign w:val="subscript"/>
              </w:rPr>
              <w:t>40</w:t>
            </w:r>
            <w:r>
              <w:rPr>
                <w:kern w:val="0"/>
                <w:szCs w:val="21"/>
              </w:rPr>
              <w:t>）执行《土壤环境质量</w:t>
            </w:r>
            <w:r>
              <w:rPr>
                <w:kern w:val="0"/>
                <w:szCs w:val="21"/>
              </w:rPr>
              <w:t xml:space="preserve"> </w:t>
            </w:r>
            <w:r>
              <w:rPr>
                <w:kern w:val="0"/>
                <w:szCs w:val="21"/>
              </w:rPr>
              <w:t>建设用地土壤污染风险管控标准（试行）》（</w:t>
            </w:r>
            <w:r>
              <w:rPr>
                <w:kern w:val="0"/>
                <w:szCs w:val="21"/>
              </w:rPr>
              <w:t>GB 36600-2018</w:t>
            </w:r>
            <w:r>
              <w:rPr>
                <w:kern w:val="0"/>
                <w:szCs w:val="21"/>
              </w:rPr>
              <w:t>）中筛选值要求</w:t>
            </w:r>
          </w:p>
        </w:tc>
        <w:tc>
          <w:tcPr>
            <w:tcW w:w="393" w:type="pct"/>
            <w:vMerge/>
            <w:vAlign w:val="center"/>
          </w:tcPr>
          <w:p w:rsidR="00EE4502" w:rsidRDefault="00EE4502">
            <w:pPr>
              <w:adjustRightInd w:val="0"/>
              <w:snapToGrid w:val="0"/>
              <w:jc w:val="center"/>
              <w:rPr>
                <w:kern w:val="0"/>
                <w:szCs w:val="21"/>
              </w:rPr>
            </w:pPr>
          </w:p>
        </w:tc>
      </w:tr>
      <w:tr w:rsidR="00EE4502">
        <w:trPr>
          <w:trHeight w:val="340"/>
          <w:jc w:val="center"/>
        </w:trPr>
        <w:tc>
          <w:tcPr>
            <w:tcW w:w="257" w:type="pct"/>
            <w:vMerge/>
            <w:vAlign w:val="center"/>
          </w:tcPr>
          <w:p w:rsidR="00EE4502" w:rsidRDefault="00EE4502">
            <w:pPr>
              <w:adjustRightInd w:val="0"/>
              <w:snapToGrid w:val="0"/>
              <w:jc w:val="center"/>
              <w:rPr>
                <w:kern w:val="0"/>
                <w:szCs w:val="21"/>
              </w:rPr>
            </w:pPr>
          </w:p>
        </w:tc>
        <w:tc>
          <w:tcPr>
            <w:tcW w:w="288" w:type="pct"/>
            <w:vMerge/>
            <w:vAlign w:val="center"/>
          </w:tcPr>
          <w:p w:rsidR="00EE4502" w:rsidRDefault="00EE4502">
            <w:pPr>
              <w:adjustRightInd w:val="0"/>
              <w:snapToGrid w:val="0"/>
              <w:jc w:val="center"/>
              <w:rPr>
                <w:kern w:val="0"/>
                <w:szCs w:val="21"/>
              </w:rPr>
            </w:pPr>
          </w:p>
        </w:tc>
        <w:tc>
          <w:tcPr>
            <w:tcW w:w="307" w:type="pct"/>
            <w:vAlign w:val="center"/>
          </w:tcPr>
          <w:p w:rsidR="00EE4502" w:rsidRDefault="00FD45A3">
            <w:pPr>
              <w:adjustRightInd w:val="0"/>
              <w:snapToGrid w:val="0"/>
              <w:jc w:val="center"/>
              <w:rPr>
                <w:kern w:val="0"/>
                <w:szCs w:val="21"/>
                <w:lang w:eastAsia="en-US"/>
              </w:rPr>
            </w:pPr>
            <w:r>
              <w:rPr>
                <w:kern w:val="0"/>
                <w:szCs w:val="21"/>
                <w:lang w:eastAsia="en-US"/>
              </w:rPr>
              <w:t>控制断面</w:t>
            </w:r>
          </w:p>
        </w:tc>
        <w:tc>
          <w:tcPr>
            <w:tcW w:w="683" w:type="pct"/>
            <w:vAlign w:val="center"/>
          </w:tcPr>
          <w:p w:rsidR="00EE4502" w:rsidRDefault="00FD45A3">
            <w:pPr>
              <w:adjustRightInd w:val="0"/>
              <w:snapToGrid w:val="0"/>
              <w:jc w:val="center"/>
              <w:rPr>
                <w:kern w:val="0"/>
                <w:szCs w:val="21"/>
                <w:lang w:eastAsia="en-US"/>
              </w:rPr>
            </w:pPr>
            <w:r>
              <w:rPr>
                <w:kern w:val="0"/>
                <w:szCs w:val="21"/>
                <w:lang w:eastAsia="en-US"/>
              </w:rPr>
              <w:t>受污染处土壤</w:t>
            </w:r>
          </w:p>
        </w:tc>
        <w:tc>
          <w:tcPr>
            <w:tcW w:w="882" w:type="pct"/>
            <w:vMerge/>
            <w:vAlign w:val="center"/>
          </w:tcPr>
          <w:p w:rsidR="00EE4502" w:rsidRDefault="00EE4502">
            <w:pPr>
              <w:adjustRightInd w:val="0"/>
              <w:snapToGrid w:val="0"/>
              <w:jc w:val="center"/>
              <w:rPr>
                <w:kern w:val="0"/>
                <w:szCs w:val="21"/>
                <w:lang w:eastAsia="en-US"/>
              </w:rPr>
            </w:pPr>
          </w:p>
        </w:tc>
        <w:tc>
          <w:tcPr>
            <w:tcW w:w="516" w:type="pct"/>
            <w:vMerge/>
            <w:vAlign w:val="center"/>
          </w:tcPr>
          <w:p w:rsidR="00EE4502" w:rsidRDefault="00EE4502">
            <w:pPr>
              <w:adjustRightInd w:val="0"/>
              <w:snapToGrid w:val="0"/>
              <w:jc w:val="center"/>
              <w:rPr>
                <w:kern w:val="0"/>
                <w:szCs w:val="21"/>
                <w:lang w:eastAsia="en-US"/>
              </w:rPr>
            </w:pPr>
          </w:p>
        </w:tc>
        <w:tc>
          <w:tcPr>
            <w:tcW w:w="1674" w:type="pct"/>
            <w:vMerge/>
            <w:vAlign w:val="center"/>
          </w:tcPr>
          <w:p w:rsidR="00EE4502" w:rsidRDefault="00EE4502">
            <w:pPr>
              <w:adjustRightInd w:val="0"/>
              <w:snapToGrid w:val="0"/>
              <w:jc w:val="center"/>
              <w:rPr>
                <w:kern w:val="0"/>
                <w:szCs w:val="21"/>
                <w:lang w:eastAsia="en-US"/>
              </w:rPr>
            </w:pPr>
          </w:p>
        </w:tc>
        <w:tc>
          <w:tcPr>
            <w:tcW w:w="393" w:type="pct"/>
            <w:vMerge/>
            <w:vAlign w:val="center"/>
          </w:tcPr>
          <w:p w:rsidR="00EE4502" w:rsidRDefault="00EE4502">
            <w:pPr>
              <w:adjustRightInd w:val="0"/>
              <w:snapToGrid w:val="0"/>
              <w:jc w:val="center"/>
              <w:rPr>
                <w:kern w:val="0"/>
                <w:szCs w:val="21"/>
                <w:lang w:eastAsia="en-US"/>
              </w:rPr>
            </w:pPr>
          </w:p>
        </w:tc>
      </w:tr>
    </w:tbl>
    <w:p w:rsidR="00EE4502" w:rsidRDefault="00FD45A3">
      <w:pPr>
        <w:adjustRightInd w:val="0"/>
        <w:snapToGrid w:val="0"/>
        <w:textAlignment w:val="center"/>
        <w:rPr>
          <w:rFonts w:ascii="宋体"/>
        </w:rPr>
      </w:pPr>
      <w:r>
        <w:rPr>
          <w:rFonts w:ascii="宋体" w:hint="eastAsia"/>
        </w:rPr>
        <w:t>备注：监测频次主要根据现场污染状况确定。事件刚发生时，监测频次可适当增加，待摸清污染变化规律后，可适当减少监测频次。</w:t>
      </w:r>
    </w:p>
    <w:p w:rsidR="00EE4502" w:rsidRDefault="00FD45A3">
      <w:pPr>
        <w:adjustRightInd w:val="0"/>
        <w:snapToGrid w:val="0"/>
        <w:spacing w:line="331" w:lineRule="auto"/>
        <w:ind w:firstLineChars="200" w:firstLine="480"/>
        <w:rPr>
          <w:sz w:val="24"/>
          <w:szCs w:val="21"/>
        </w:rPr>
      </w:pPr>
      <w:r>
        <w:rPr>
          <w:sz w:val="24"/>
          <w:szCs w:val="21"/>
        </w:rPr>
        <w:t>5</w:t>
      </w:r>
      <w:r>
        <w:rPr>
          <w:sz w:val="24"/>
          <w:szCs w:val="21"/>
        </w:rPr>
        <w:t>）应急监测设施</w:t>
      </w:r>
    </w:p>
    <w:p w:rsidR="00EE4502" w:rsidRDefault="00FD45A3">
      <w:pPr>
        <w:adjustRightInd w:val="0"/>
        <w:snapToGrid w:val="0"/>
        <w:spacing w:line="331" w:lineRule="auto"/>
        <w:ind w:firstLineChars="200" w:firstLine="480"/>
        <w:rPr>
          <w:sz w:val="24"/>
          <w:szCs w:val="21"/>
        </w:rPr>
      </w:pPr>
      <w:r>
        <w:rPr>
          <w:sz w:val="24"/>
          <w:szCs w:val="21"/>
        </w:rPr>
        <w:t>针对风险事故状况下的应急措施，</w:t>
      </w:r>
      <w:r>
        <w:rPr>
          <w:kern w:val="0"/>
          <w:sz w:val="24"/>
        </w:rPr>
        <w:t>石西油田作业区</w:t>
      </w:r>
      <w:r>
        <w:rPr>
          <w:sz w:val="24"/>
          <w:szCs w:val="21"/>
        </w:rPr>
        <w:t>应配备必要的仪器设备，建议设备配置情况见</w:t>
      </w:r>
      <w:bookmarkStart w:id="236" w:name="_Ref38136231"/>
      <w:r>
        <w:rPr>
          <w:rFonts w:hint="eastAsia"/>
          <w:sz w:val="24"/>
          <w:szCs w:val="21"/>
        </w:rPr>
        <w:t>表</w:t>
      </w:r>
      <w:r>
        <w:rPr>
          <w:sz w:val="24"/>
          <w:szCs w:val="21"/>
        </w:rPr>
        <w:t>5-8-</w:t>
      </w:r>
      <w:r>
        <w:rPr>
          <w:rFonts w:hint="eastAsia"/>
          <w:sz w:val="24"/>
          <w:szCs w:val="21"/>
        </w:rPr>
        <w:t>6</w:t>
      </w:r>
      <w:r>
        <w:rPr>
          <w:sz w:val="24"/>
          <w:szCs w:val="21"/>
        </w:rPr>
        <w:t>。</w:t>
      </w:r>
    </w:p>
    <w:bookmarkEnd w:id="236"/>
    <w:p w:rsidR="00EE4502" w:rsidRDefault="00FD45A3">
      <w:pPr>
        <w:widowControl/>
        <w:jc w:val="center"/>
        <w:rPr>
          <w:rFonts w:ascii="黑体" w:eastAsia="黑体" w:hAnsi="黑体" w:cs="黑体"/>
          <w:bCs/>
          <w:spacing w:val="4"/>
          <w:szCs w:val="20"/>
        </w:rPr>
      </w:pPr>
      <w:r>
        <w:rPr>
          <w:rFonts w:ascii="黑体" w:eastAsia="黑体" w:hAnsi="黑体" w:cs="黑体" w:hint="eastAsia"/>
          <w:bCs/>
          <w:spacing w:val="4"/>
          <w:szCs w:val="20"/>
        </w:rPr>
        <w:t>表</w:t>
      </w:r>
      <w:r>
        <w:rPr>
          <w:rFonts w:ascii="黑体" w:eastAsia="黑体" w:hAnsi="黑体" w:cs="黑体" w:hint="eastAsia"/>
          <w:bCs/>
          <w:spacing w:val="4"/>
          <w:szCs w:val="20"/>
        </w:rPr>
        <w:t xml:space="preserve">5-8-6  </w:t>
      </w:r>
      <w:r>
        <w:rPr>
          <w:rFonts w:ascii="黑体" w:eastAsia="黑体" w:hAnsi="黑体" w:cs="黑体" w:hint="eastAsia"/>
          <w:bCs/>
          <w:spacing w:val="4"/>
          <w:szCs w:val="20"/>
        </w:rPr>
        <w:t>应急监测仪器配备情况一览表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
        <w:gridCol w:w="6616"/>
        <w:gridCol w:w="953"/>
      </w:tblGrid>
      <w:tr w:rsidR="00EE4502">
        <w:trPr>
          <w:trHeight w:val="340"/>
          <w:tblHeader/>
          <w:jc w:val="center"/>
        </w:trPr>
        <w:tc>
          <w:tcPr>
            <w:tcW w:w="559" w:type="pct"/>
            <w:shd w:val="clear" w:color="auto" w:fill="auto"/>
            <w:vAlign w:val="center"/>
          </w:tcPr>
          <w:p w:rsidR="00EE4502" w:rsidRDefault="00FD45A3">
            <w:pPr>
              <w:adjustRightInd w:val="0"/>
              <w:snapToGrid w:val="0"/>
              <w:jc w:val="center"/>
              <w:rPr>
                <w:kern w:val="0"/>
                <w:szCs w:val="21"/>
                <w:lang w:eastAsia="en-US"/>
              </w:rPr>
            </w:pPr>
            <w:r>
              <w:rPr>
                <w:kern w:val="0"/>
                <w:szCs w:val="21"/>
                <w:lang w:eastAsia="en-US"/>
              </w:rPr>
              <w:t>序号</w:t>
            </w:r>
          </w:p>
        </w:tc>
        <w:tc>
          <w:tcPr>
            <w:tcW w:w="3882" w:type="pct"/>
            <w:shd w:val="clear" w:color="auto" w:fill="auto"/>
            <w:vAlign w:val="center"/>
          </w:tcPr>
          <w:p w:rsidR="00EE4502" w:rsidRDefault="00FD45A3">
            <w:pPr>
              <w:adjustRightInd w:val="0"/>
              <w:snapToGrid w:val="0"/>
              <w:jc w:val="center"/>
              <w:rPr>
                <w:kern w:val="0"/>
                <w:szCs w:val="21"/>
                <w:lang w:eastAsia="en-US"/>
              </w:rPr>
            </w:pPr>
            <w:r>
              <w:rPr>
                <w:kern w:val="0"/>
                <w:szCs w:val="21"/>
                <w:lang w:eastAsia="en-US"/>
              </w:rPr>
              <w:t>仪器</w:t>
            </w:r>
          </w:p>
        </w:tc>
        <w:tc>
          <w:tcPr>
            <w:tcW w:w="559" w:type="pct"/>
            <w:shd w:val="clear" w:color="auto" w:fill="auto"/>
            <w:vAlign w:val="center"/>
          </w:tcPr>
          <w:p w:rsidR="00EE4502" w:rsidRDefault="00FD45A3">
            <w:pPr>
              <w:adjustRightInd w:val="0"/>
              <w:snapToGrid w:val="0"/>
              <w:jc w:val="center"/>
              <w:rPr>
                <w:kern w:val="0"/>
                <w:szCs w:val="21"/>
                <w:lang w:eastAsia="en-US"/>
              </w:rPr>
            </w:pPr>
            <w:r>
              <w:rPr>
                <w:kern w:val="0"/>
                <w:szCs w:val="21"/>
                <w:lang w:eastAsia="en-US"/>
              </w:rPr>
              <w:t>数量</w:t>
            </w:r>
          </w:p>
        </w:tc>
      </w:tr>
      <w:tr w:rsidR="00EE4502">
        <w:trPr>
          <w:trHeight w:val="340"/>
          <w:jc w:val="center"/>
        </w:trPr>
        <w:tc>
          <w:tcPr>
            <w:tcW w:w="559" w:type="pct"/>
            <w:shd w:val="clear" w:color="auto" w:fill="auto"/>
            <w:vAlign w:val="center"/>
          </w:tcPr>
          <w:p w:rsidR="00EE4502" w:rsidRDefault="00FD45A3">
            <w:pPr>
              <w:adjustRightInd w:val="0"/>
              <w:snapToGrid w:val="0"/>
              <w:jc w:val="center"/>
              <w:rPr>
                <w:kern w:val="0"/>
                <w:szCs w:val="21"/>
                <w:lang w:eastAsia="en-US"/>
              </w:rPr>
            </w:pPr>
            <w:r>
              <w:rPr>
                <w:kern w:val="0"/>
                <w:szCs w:val="21"/>
                <w:lang w:eastAsia="en-US"/>
              </w:rPr>
              <w:t>1</w:t>
            </w:r>
          </w:p>
        </w:tc>
        <w:tc>
          <w:tcPr>
            <w:tcW w:w="3882" w:type="pct"/>
            <w:shd w:val="clear" w:color="auto" w:fill="auto"/>
            <w:vAlign w:val="center"/>
          </w:tcPr>
          <w:p w:rsidR="00EE4502" w:rsidRDefault="00FD45A3">
            <w:pPr>
              <w:adjustRightInd w:val="0"/>
              <w:snapToGrid w:val="0"/>
              <w:jc w:val="center"/>
              <w:rPr>
                <w:kern w:val="0"/>
                <w:szCs w:val="21"/>
              </w:rPr>
            </w:pPr>
            <w:r>
              <w:rPr>
                <w:kern w:val="0"/>
                <w:szCs w:val="21"/>
              </w:rPr>
              <w:t>便携式可燃气体检测仪</w:t>
            </w:r>
          </w:p>
        </w:tc>
        <w:tc>
          <w:tcPr>
            <w:tcW w:w="559" w:type="pct"/>
            <w:shd w:val="clear" w:color="auto" w:fill="auto"/>
            <w:vAlign w:val="center"/>
          </w:tcPr>
          <w:p w:rsidR="00EE4502" w:rsidRDefault="00FD45A3">
            <w:pPr>
              <w:adjustRightInd w:val="0"/>
              <w:snapToGrid w:val="0"/>
              <w:jc w:val="center"/>
              <w:rPr>
                <w:kern w:val="0"/>
                <w:szCs w:val="21"/>
                <w:lang w:eastAsia="en-US"/>
              </w:rPr>
            </w:pPr>
            <w:r>
              <w:rPr>
                <w:kern w:val="0"/>
                <w:szCs w:val="21"/>
                <w:lang w:eastAsia="en-US"/>
              </w:rPr>
              <w:t>2</w:t>
            </w:r>
          </w:p>
        </w:tc>
      </w:tr>
      <w:tr w:rsidR="00EE4502">
        <w:trPr>
          <w:trHeight w:val="340"/>
          <w:jc w:val="center"/>
        </w:trPr>
        <w:tc>
          <w:tcPr>
            <w:tcW w:w="559" w:type="pct"/>
            <w:shd w:val="clear" w:color="auto" w:fill="auto"/>
            <w:vAlign w:val="center"/>
          </w:tcPr>
          <w:p w:rsidR="00EE4502" w:rsidRDefault="00FD45A3">
            <w:pPr>
              <w:adjustRightInd w:val="0"/>
              <w:snapToGrid w:val="0"/>
              <w:jc w:val="center"/>
              <w:rPr>
                <w:kern w:val="0"/>
                <w:szCs w:val="21"/>
                <w:lang w:eastAsia="en-US"/>
              </w:rPr>
            </w:pPr>
            <w:r>
              <w:rPr>
                <w:kern w:val="0"/>
                <w:szCs w:val="21"/>
                <w:lang w:eastAsia="en-US"/>
              </w:rPr>
              <w:t>2</w:t>
            </w:r>
          </w:p>
        </w:tc>
        <w:tc>
          <w:tcPr>
            <w:tcW w:w="3882" w:type="pct"/>
            <w:shd w:val="clear" w:color="auto" w:fill="auto"/>
            <w:vAlign w:val="center"/>
          </w:tcPr>
          <w:p w:rsidR="00EE4502" w:rsidRDefault="00FD45A3">
            <w:pPr>
              <w:adjustRightInd w:val="0"/>
              <w:snapToGrid w:val="0"/>
              <w:jc w:val="center"/>
              <w:rPr>
                <w:kern w:val="0"/>
                <w:szCs w:val="21"/>
                <w:lang w:eastAsia="en-US"/>
              </w:rPr>
            </w:pPr>
            <w:r>
              <w:rPr>
                <w:kern w:val="0"/>
                <w:szCs w:val="21"/>
                <w:lang w:eastAsia="en-US"/>
              </w:rPr>
              <w:t>便携式</w:t>
            </w:r>
            <w:r>
              <w:rPr>
                <w:kern w:val="0"/>
                <w:szCs w:val="21"/>
                <w:lang w:eastAsia="en-US"/>
              </w:rPr>
              <w:t>COD</w:t>
            </w:r>
            <w:r>
              <w:rPr>
                <w:kern w:val="0"/>
                <w:szCs w:val="21"/>
                <w:lang w:eastAsia="en-US"/>
              </w:rPr>
              <w:t>测定仪</w:t>
            </w:r>
          </w:p>
        </w:tc>
        <w:tc>
          <w:tcPr>
            <w:tcW w:w="559" w:type="pct"/>
            <w:shd w:val="clear" w:color="auto" w:fill="auto"/>
            <w:vAlign w:val="center"/>
          </w:tcPr>
          <w:p w:rsidR="00EE4502" w:rsidRDefault="00FD45A3">
            <w:pPr>
              <w:adjustRightInd w:val="0"/>
              <w:snapToGrid w:val="0"/>
              <w:jc w:val="center"/>
              <w:rPr>
                <w:kern w:val="0"/>
                <w:szCs w:val="21"/>
                <w:lang w:eastAsia="en-US"/>
              </w:rPr>
            </w:pPr>
            <w:r>
              <w:rPr>
                <w:kern w:val="0"/>
                <w:szCs w:val="21"/>
                <w:lang w:eastAsia="en-US"/>
              </w:rPr>
              <w:t>1</w:t>
            </w:r>
          </w:p>
        </w:tc>
      </w:tr>
      <w:tr w:rsidR="00EE4502">
        <w:trPr>
          <w:trHeight w:val="340"/>
          <w:jc w:val="center"/>
        </w:trPr>
        <w:tc>
          <w:tcPr>
            <w:tcW w:w="559" w:type="pct"/>
            <w:shd w:val="clear" w:color="auto" w:fill="auto"/>
            <w:vAlign w:val="center"/>
          </w:tcPr>
          <w:p w:rsidR="00EE4502" w:rsidRDefault="00FD45A3">
            <w:pPr>
              <w:adjustRightInd w:val="0"/>
              <w:snapToGrid w:val="0"/>
              <w:jc w:val="center"/>
              <w:rPr>
                <w:kern w:val="0"/>
                <w:szCs w:val="21"/>
                <w:lang w:eastAsia="en-US"/>
              </w:rPr>
            </w:pPr>
            <w:r>
              <w:rPr>
                <w:kern w:val="0"/>
                <w:szCs w:val="21"/>
                <w:lang w:eastAsia="en-US"/>
              </w:rPr>
              <w:t>3</w:t>
            </w:r>
          </w:p>
        </w:tc>
        <w:tc>
          <w:tcPr>
            <w:tcW w:w="3882" w:type="pct"/>
            <w:shd w:val="clear" w:color="auto" w:fill="auto"/>
            <w:vAlign w:val="center"/>
          </w:tcPr>
          <w:p w:rsidR="00EE4502" w:rsidRDefault="00FD45A3">
            <w:pPr>
              <w:adjustRightInd w:val="0"/>
              <w:snapToGrid w:val="0"/>
              <w:jc w:val="center"/>
              <w:rPr>
                <w:kern w:val="0"/>
                <w:szCs w:val="21"/>
                <w:lang w:eastAsia="en-US"/>
              </w:rPr>
            </w:pPr>
            <w:r>
              <w:rPr>
                <w:kern w:val="0"/>
                <w:szCs w:val="21"/>
                <w:lang w:eastAsia="en-US"/>
              </w:rPr>
              <w:t>化学分析试剂</w:t>
            </w:r>
          </w:p>
        </w:tc>
        <w:tc>
          <w:tcPr>
            <w:tcW w:w="559" w:type="pct"/>
            <w:shd w:val="clear" w:color="auto" w:fill="auto"/>
            <w:vAlign w:val="center"/>
          </w:tcPr>
          <w:p w:rsidR="00EE4502" w:rsidRDefault="00FD45A3">
            <w:pPr>
              <w:adjustRightInd w:val="0"/>
              <w:snapToGrid w:val="0"/>
              <w:jc w:val="center"/>
              <w:rPr>
                <w:kern w:val="0"/>
                <w:szCs w:val="21"/>
                <w:lang w:eastAsia="en-US"/>
              </w:rPr>
            </w:pPr>
            <w:r>
              <w:rPr>
                <w:kern w:val="0"/>
                <w:szCs w:val="21"/>
                <w:lang w:eastAsia="en-US"/>
              </w:rPr>
              <w:t>若干</w:t>
            </w:r>
          </w:p>
        </w:tc>
      </w:tr>
      <w:tr w:rsidR="00EE4502">
        <w:trPr>
          <w:trHeight w:val="340"/>
          <w:jc w:val="center"/>
        </w:trPr>
        <w:tc>
          <w:tcPr>
            <w:tcW w:w="559" w:type="pct"/>
            <w:tcBorders>
              <w:top w:val="single" w:sz="4" w:space="0" w:color="auto"/>
              <w:bottom w:val="single" w:sz="4" w:space="0" w:color="auto"/>
              <w:right w:val="single" w:sz="4" w:space="0" w:color="auto"/>
            </w:tcBorders>
            <w:shd w:val="clear" w:color="auto" w:fill="auto"/>
            <w:vAlign w:val="center"/>
          </w:tcPr>
          <w:p w:rsidR="00EE4502" w:rsidRDefault="00FD45A3">
            <w:pPr>
              <w:adjustRightInd w:val="0"/>
              <w:snapToGrid w:val="0"/>
              <w:jc w:val="center"/>
              <w:rPr>
                <w:kern w:val="0"/>
                <w:szCs w:val="21"/>
                <w:lang w:eastAsia="en-US"/>
              </w:rPr>
            </w:pPr>
            <w:r>
              <w:rPr>
                <w:kern w:val="0"/>
                <w:szCs w:val="21"/>
                <w:lang w:eastAsia="en-US"/>
              </w:rPr>
              <w:t>4</w:t>
            </w:r>
          </w:p>
        </w:tc>
        <w:tc>
          <w:tcPr>
            <w:tcW w:w="3882" w:type="pct"/>
            <w:tcBorders>
              <w:top w:val="single" w:sz="4" w:space="0" w:color="auto"/>
              <w:left w:val="single" w:sz="4" w:space="0" w:color="auto"/>
              <w:bottom w:val="single" w:sz="4" w:space="0" w:color="auto"/>
              <w:right w:val="single" w:sz="4" w:space="0" w:color="auto"/>
            </w:tcBorders>
            <w:shd w:val="clear" w:color="auto" w:fill="auto"/>
            <w:vAlign w:val="center"/>
          </w:tcPr>
          <w:p w:rsidR="00EE4502" w:rsidRDefault="00FD45A3">
            <w:pPr>
              <w:adjustRightInd w:val="0"/>
              <w:snapToGrid w:val="0"/>
              <w:jc w:val="center"/>
              <w:rPr>
                <w:kern w:val="0"/>
                <w:szCs w:val="21"/>
              </w:rPr>
            </w:pPr>
            <w:r>
              <w:rPr>
                <w:kern w:val="0"/>
                <w:szCs w:val="21"/>
              </w:rPr>
              <w:t>便携式复合气体检测仪</w:t>
            </w:r>
          </w:p>
        </w:tc>
        <w:tc>
          <w:tcPr>
            <w:tcW w:w="559" w:type="pct"/>
            <w:tcBorders>
              <w:top w:val="single" w:sz="4" w:space="0" w:color="auto"/>
              <w:left w:val="single" w:sz="4" w:space="0" w:color="auto"/>
              <w:bottom w:val="single" w:sz="4" w:space="0" w:color="auto"/>
              <w:right w:val="single" w:sz="4" w:space="0" w:color="auto"/>
            </w:tcBorders>
            <w:shd w:val="clear" w:color="auto" w:fill="auto"/>
            <w:vAlign w:val="center"/>
          </w:tcPr>
          <w:p w:rsidR="00EE4502" w:rsidRDefault="00FD45A3">
            <w:pPr>
              <w:adjustRightInd w:val="0"/>
              <w:snapToGrid w:val="0"/>
              <w:jc w:val="center"/>
              <w:rPr>
                <w:kern w:val="0"/>
                <w:szCs w:val="21"/>
                <w:lang w:eastAsia="en-US"/>
              </w:rPr>
            </w:pPr>
            <w:r>
              <w:rPr>
                <w:kern w:val="0"/>
                <w:szCs w:val="21"/>
                <w:lang w:eastAsia="en-US"/>
              </w:rPr>
              <w:t>1</w:t>
            </w:r>
          </w:p>
        </w:tc>
      </w:tr>
      <w:tr w:rsidR="00EE4502">
        <w:trPr>
          <w:trHeight w:val="340"/>
          <w:jc w:val="center"/>
        </w:trPr>
        <w:tc>
          <w:tcPr>
            <w:tcW w:w="559" w:type="pct"/>
            <w:tcBorders>
              <w:top w:val="single" w:sz="4" w:space="0" w:color="auto"/>
              <w:bottom w:val="single" w:sz="4" w:space="0" w:color="auto"/>
              <w:right w:val="single" w:sz="4" w:space="0" w:color="auto"/>
            </w:tcBorders>
            <w:shd w:val="clear" w:color="auto" w:fill="auto"/>
            <w:vAlign w:val="center"/>
          </w:tcPr>
          <w:p w:rsidR="00EE4502" w:rsidRDefault="00FD45A3">
            <w:pPr>
              <w:adjustRightInd w:val="0"/>
              <w:snapToGrid w:val="0"/>
              <w:jc w:val="center"/>
              <w:rPr>
                <w:kern w:val="0"/>
                <w:szCs w:val="21"/>
                <w:lang w:eastAsia="en-US"/>
              </w:rPr>
            </w:pPr>
            <w:r>
              <w:rPr>
                <w:kern w:val="0"/>
                <w:szCs w:val="21"/>
                <w:lang w:eastAsia="en-US"/>
              </w:rPr>
              <w:t>5</w:t>
            </w:r>
          </w:p>
        </w:tc>
        <w:tc>
          <w:tcPr>
            <w:tcW w:w="3882" w:type="pct"/>
            <w:tcBorders>
              <w:top w:val="single" w:sz="4" w:space="0" w:color="auto"/>
              <w:left w:val="single" w:sz="4" w:space="0" w:color="auto"/>
              <w:bottom w:val="single" w:sz="4" w:space="0" w:color="auto"/>
              <w:right w:val="single" w:sz="4" w:space="0" w:color="auto"/>
            </w:tcBorders>
            <w:shd w:val="clear" w:color="auto" w:fill="auto"/>
            <w:vAlign w:val="center"/>
          </w:tcPr>
          <w:p w:rsidR="00EE4502" w:rsidRDefault="00FD45A3">
            <w:pPr>
              <w:adjustRightInd w:val="0"/>
              <w:snapToGrid w:val="0"/>
              <w:jc w:val="center"/>
              <w:rPr>
                <w:kern w:val="0"/>
                <w:szCs w:val="21"/>
              </w:rPr>
            </w:pPr>
            <w:r>
              <w:rPr>
                <w:kern w:val="0"/>
                <w:szCs w:val="21"/>
              </w:rPr>
              <w:t>便携式复合气体检测仪</w:t>
            </w:r>
          </w:p>
        </w:tc>
        <w:tc>
          <w:tcPr>
            <w:tcW w:w="559" w:type="pct"/>
            <w:tcBorders>
              <w:top w:val="single" w:sz="4" w:space="0" w:color="auto"/>
              <w:left w:val="single" w:sz="4" w:space="0" w:color="auto"/>
              <w:bottom w:val="single" w:sz="4" w:space="0" w:color="auto"/>
              <w:right w:val="single" w:sz="4" w:space="0" w:color="auto"/>
            </w:tcBorders>
            <w:shd w:val="clear" w:color="auto" w:fill="auto"/>
            <w:vAlign w:val="center"/>
          </w:tcPr>
          <w:p w:rsidR="00EE4502" w:rsidRDefault="00FD45A3">
            <w:pPr>
              <w:adjustRightInd w:val="0"/>
              <w:snapToGrid w:val="0"/>
              <w:jc w:val="center"/>
              <w:rPr>
                <w:kern w:val="0"/>
                <w:szCs w:val="21"/>
                <w:lang w:eastAsia="en-US"/>
              </w:rPr>
            </w:pPr>
            <w:r>
              <w:rPr>
                <w:kern w:val="0"/>
                <w:szCs w:val="21"/>
                <w:lang w:eastAsia="en-US"/>
              </w:rPr>
              <w:t>1</w:t>
            </w:r>
          </w:p>
        </w:tc>
      </w:tr>
      <w:tr w:rsidR="00EE4502">
        <w:trPr>
          <w:trHeight w:val="340"/>
          <w:jc w:val="center"/>
        </w:trPr>
        <w:tc>
          <w:tcPr>
            <w:tcW w:w="559" w:type="pct"/>
            <w:tcBorders>
              <w:top w:val="single" w:sz="4" w:space="0" w:color="auto"/>
              <w:bottom w:val="single" w:sz="4" w:space="0" w:color="auto"/>
              <w:right w:val="single" w:sz="4" w:space="0" w:color="auto"/>
            </w:tcBorders>
            <w:shd w:val="clear" w:color="auto" w:fill="auto"/>
            <w:vAlign w:val="center"/>
          </w:tcPr>
          <w:p w:rsidR="00EE4502" w:rsidRDefault="00FD45A3">
            <w:pPr>
              <w:adjustRightInd w:val="0"/>
              <w:snapToGrid w:val="0"/>
              <w:jc w:val="center"/>
              <w:rPr>
                <w:kern w:val="0"/>
                <w:szCs w:val="21"/>
                <w:lang w:eastAsia="en-US"/>
              </w:rPr>
            </w:pPr>
            <w:r>
              <w:rPr>
                <w:kern w:val="0"/>
                <w:szCs w:val="21"/>
                <w:lang w:eastAsia="en-US"/>
              </w:rPr>
              <w:t>6</w:t>
            </w:r>
          </w:p>
        </w:tc>
        <w:tc>
          <w:tcPr>
            <w:tcW w:w="3882" w:type="pct"/>
            <w:tcBorders>
              <w:top w:val="single" w:sz="4" w:space="0" w:color="auto"/>
              <w:left w:val="single" w:sz="4" w:space="0" w:color="auto"/>
              <w:bottom w:val="single" w:sz="4" w:space="0" w:color="auto"/>
              <w:right w:val="single" w:sz="4" w:space="0" w:color="auto"/>
            </w:tcBorders>
            <w:shd w:val="clear" w:color="auto" w:fill="auto"/>
            <w:vAlign w:val="center"/>
          </w:tcPr>
          <w:p w:rsidR="00EE4502" w:rsidRDefault="00FD45A3">
            <w:pPr>
              <w:adjustRightInd w:val="0"/>
              <w:snapToGrid w:val="0"/>
              <w:jc w:val="center"/>
              <w:rPr>
                <w:kern w:val="0"/>
                <w:szCs w:val="21"/>
              </w:rPr>
            </w:pPr>
            <w:r>
              <w:rPr>
                <w:kern w:val="0"/>
                <w:szCs w:val="21"/>
              </w:rPr>
              <w:t>便携式复合气体检测仪</w:t>
            </w:r>
          </w:p>
        </w:tc>
        <w:tc>
          <w:tcPr>
            <w:tcW w:w="559" w:type="pct"/>
            <w:tcBorders>
              <w:top w:val="single" w:sz="4" w:space="0" w:color="auto"/>
              <w:left w:val="single" w:sz="4" w:space="0" w:color="auto"/>
              <w:bottom w:val="single" w:sz="4" w:space="0" w:color="auto"/>
              <w:right w:val="single" w:sz="4" w:space="0" w:color="auto"/>
            </w:tcBorders>
            <w:shd w:val="clear" w:color="auto" w:fill="auto"/>
            <w:vAlign w:val="center"/>
          </w:tcPr>
          <w:p w:rsidR="00EE4502" w:rsidRDefault="00FD45A3">
            <w:pPr>
              <w:adjustRightInd w:val="0"/>
              <w:snapToGrid w:val="0"/>
              <w:jc w:val="center"/>
              <w:rPr>
                <w:kern w:val="0"/>
                <w:szCs w:val="21"/>
                <w:lang w:eastAsia="en-US"/>
              </w:rPr>
            </w:pPr>
            <w:r>
              <w:rPr>
                <w:kern w:val="0"/>
                <w:szCs w:val="21"/>
                <w:lang w:eastAsia="en-US"/>
              </w:rPr>
              <w:t>1</w:t>
            </w:r>
          </w:p>
        </w:tc>
      </w:tr>
      <w:tr w:rsidR="00EE4502">
        <w:trPr>
          <w:trHeight w:val="340"/>
          <w:jc w:val="center"/>
        </w:trPr>
        <w:tc>
          <w:tcPr>
            <w:tcW w:w="559" w:type="pct"/>
            <w:tcBorders>
              <w:top w:val="single" w:sz="4" w:space="0" w:color="auto"/>
              <w:bottom w:val="single" w:sz="4" w:space="0" w:color="auto"/>
              <w:right w:val="single" w:sz="4" w:space="0" w:color="auto"/>
            </w:tcBorders>
            <w:shd w:val="clear" w:color="auto" w:fill="auto"/>
            <w:vAlign w:val="center"/>
          </w:tcPr>
          <w:p w:rsidR="00EE4502" w:rsidRDefault="00FD45A3">
            <w:pPr>
              <w:adjustRightInd w:val="0"/>
              <w:snapToGrid w:val="0"/>
              <w:jc w:val="center"/>
              <w:rPr>
                <w:kern w:val="0"/>
                <w:szCs w:val="21"/>
                <w:lang w:eastAsia="en-US"/>
              </w:rPr>
            </w:pPr>
            <w:r>
              <w:rPr>
                <w:kern w:val="0"/>
                <w:szCs w:val="21"/>
                <w:lang w:eastAsia="en-US"/>
              </w:rPr>
              <w:t>7</w:t>
            </w:r>
          </w:p>
        </w:tc>
        <w:tc>
          <w:tcPr>
            <w:tcW w:w="3882" w:type="pct"/>
            <w:tcBorders>
              <w:top w:val="single" w:sz="4" w:space="0" w:color="auto"/>
              <w:left w:val="single" w:sz="4" w:space="0" w:color="auto"/>
              <w:bottom w:val="single" w:sz="4" w:space="0" w:color="auto"/>
              <w:right w:val="single" w:sz="4" w:space="0" w:color="auto"/>
            </w:tcBorders>
            <w:shd w:val="clear" w:color="auto" w:fill="auto"/>
            <w:vAlign w:val="center"/>
          </w:tcPr>
          <w:p w:rsidR="00EE4502" w:rsidRDefault="00FD45A3">
            <w:pPr>
              <w:adjustRightInd w:val="0"/>
              <w:snapToGrid w:val="0"/>
              <w:jc w:val="center"/>
              <w:rPr>
                <w:kern w:val="0"/>
                <w:szCs w:val="21"/>
              </w:rPr>
            </w:pPr>
            <w:r>
              <w:rPr>
                <w:kern w:val="0"/>
                <w:szCs w:val="21"/>
              </w:rPr>
              <w:t>便携式多功能气体检测仪</w:t>
            </w:r>
          </w:p>
        </w:tc>
        <w:tc>
          <w:tcPr>
            <w:tcW w:w="559" w:type="pct"/>
            <w:tcBorders>
              <w:top w:val="single" w:sz="4" w:space="0" w:color="auto"/>
              <w:left w:val="single" w:sz="4" w:space="0" w:color="auto"/>
              <w:bottom w:val="single" w:sz="4" w:space="0" w:color="auto"/>
              <w:right w:val="single" w:sz="4" w:space="0" w:color="auto"/>
            </w:tcBorders>
            <w:shd w:val="clear" w:color="auto" w:fill="auto"/>
            <w:vAlign w:val="center"/>
          </w:tcPr>
          <w:p w:rsidR="00EE4502" w:rsidRDefault="00FD45A3">
            <w:pPr>
              <w:adjustRightInd w:val="0"/>
              <w:snapToGrid w:val="0"/>
              <w:jc w:val="center"/>
              <w:rPr>
                <w:kern w:val="0"/>
                <w:szCs w:val="21"/>
                <w:lang w:eastAsia="en-US"/>
              </w:rPr>
            </w:pPr>
            <w:r>
              <w:rPr>
                <w:kern w:val="0"/>
                <w:szCs w:val="21"/>
                <w:lang w:eastAsia="en-US"/>
              </w:rPr>
              <w:t>2</w:t>
            </w:r>
          </w:p>
        </w:tc>
      </w:tr>
      <w:tr w:rsidR="00EE4502">
        <w:trPr>
          <w:trHeight w:val="340"/>
          <w:jc w:val="center"/>
        </w:trPr>
        <w:tc>
          <w:tcPr>
            <w:tcW w:w="559" w:type="pct"/>
            <w:tcBorders>
              <w:top w:val="single" w:sz="4" w:space="0" w:color="auto"/>
              <w:bottom w:val="single" w:sz="4" w:space="0" w:color="auto"/>
              <w:right w:val="single" w:sz="4" w:space="0" w:color="auto"/>
            </w:tcBorders>
            <w:shd w:val="clear" w:color="auto" w:fill="auto"/>
            <w:vAlign w:val="center"/>
          </w:tcPr>
          <w:p w:rsidR="00EE4502" w:rsidRDefault="00FD45A3">
            <w:pPr>
              <w:adjustRightInd w:val="0"/>
              <w:snapToGrid w:val="0"/>
              <w:jc w:val="center"/>
              <w:rPr>
                <w:kern w:val="0"/>
                <w:szCs w:val="21"/>
                <w:lang w:eastAsia="en-US"/>
              </w:rPr>
            </w:pPr>
            <w:r>
              <w:rPr>
                <w:kern w:val="0"/>
                <w:szCs w:val="21"/>
                <w:lang w:eastAsia="en-US"/>
              </w:rPr>
              <w:t>8</w:t>
            </w:r>
          </w:p>
        </w:tc>
        <w:tc>
          <w:tcPr>
            <w:tcW w:w="3882" w:type="pct"/>
            <w:tcBorders>
              <w:top w:val="single" w:sz="4" w:space="0" w:color="auto"/>
              <w:left w:val="single" w:sz="4" w:space="0" w:color="auto"/>
              <w:bottom w:val="single" w:sz="4" w:space="0" w:color="auto"/>
              <w:right w:val="single" w:sz="4" w:space="0" w:color="auto"/>
            </w:tcBorders>
            <w:shd w:val="clear" w:color="auto" w:fill="auto"/>
            <w:vAlign w:val="center"/>
          </w:tcPr>
          <w:p w:rsidR="00EE4502" w:rsidRDefault="00FD45A3">
            <w:pPr>
              <w:adjustRightInd w:val="0"/>
              <w:snapToGrid w:val="0"/>
              <w:jc w:val="center"/>
              <w:rPr>
                <w:kern w:val="0"/>
                <w:szCs w:val="21"/>
              </w:rPr>
            </w:pPr>
            <w:r>
              <w:rPr>
                <w:kern w:val="0"/>
                <w:szCs w:val="21"/>
              </w:rPr>
              <w:t>便携式多种气体检测仪</w:t>
            </w:r>
          </w:p>
        </w:tc>
        <w:tc>
          <w:tcPr>
            <w:tcW w:w="559" w:type="pct"/>
            <w:tcBorders>
              <w:top w:val="single" w:sz="4" w:space="0" w:color="auto"/>
              <w:left w:val="single" w:sz="4" w:space="0" w:color="auto"/>
              <w:bottom w:val="single" w:sz="4" w:space="0" w:color="auto"/>
              <w:right w:val="single" w:sz="4" w:space="0" w:color="auto"/>
            </w:tcBorders>
            <w:shd w:val="clear" w:color="auto" w:fill="auto"/>
            <w:vAlign w:val="center"/>
          </w:tcPr>
          <w:p w:rsidR="00EE4502" w:rsidRDefault="00FD45A3">
            <w:pPr>
              <w:adjustRightInd w:val="0"/>
              <w:snapToGrid w:val="0"/>
              <w:jc w:val="center"/>
              <w:rPr>
                <w:kern w:val="0"/>
                <w:szCs w:val="21"/>
                <w:lang w:eastAsia="en-US"/>
              </w:rPr>
            </w:pPr>
            <w:r>
              <w:rPr>
                <w:kern w:val="0"/>
                <w:szCs w:val="21"/>
                <w:lang w:eastAsia="en-US"/>
              </w:rPr>
              <w:t>2</w:t>
            </w:r>
          </w:p>
        </w:tc>
      </w:tr>
      <w:tr w:rsidR="00EE4502">
        <w:trPr>
          <w:trHeight w:val="340"/>
          <w:jc w:val="center"/>
        </w:trPr>
        <w:tc>
          <w:tcPr>
            <w:tcW w:w="559" w:type="pct"/>
            <w:tcBorders>
              <w:top w:val="single" w:sz="4" w:space="0" w:color="auto"/>
              <w:bottom w:val="single" w:sz="4" w:space="0" w:color="auto"/>
              <w:right w:val="single" w:sz="4" w:space="0" w:color="auto"/>
            </w:tcBorders>
            <w:shd w:val="clear" w:color="auto" w:fill="auto"/>
            <w:vAlign w:val="center"/>
          </w:tcPr>
          <w:p w:rsidR="00EE4502" w:rsidRDefault="00FD45A3">
            <w:pPr>
              <w:adjustRightInd w:val="0"/>
              <w:snapToGrid w:val="0"/>
              <w:jc w:val="center"/>
              <w:rPr>
                <w:kern w:val="0"/>
                <w:szCs w:val="21"/>
                <w:lang w:eastAsia="en-US"/>
              </w:rPr>
            </w:pPr>
            <w:r>
              <w:rPr>
                <w:kern w:val="0"/>
                <w:szCs w:val="21"/>
                <w:lang w:eastAsia="en-US"/>
              </w:rPr>
              <w:t>9</w:t>
            </w:r>
          </w:p>
        </w:tc>
        <w:tc>
          <w:tcPr>
            <w:tcW w:w="3882" w:type="pct"/>
            <w:tcBorders>
              <w:top w:val="single" w:sz="4" w:space="0" w:color="auto"/>
              <w:left w:val="single" w:sz="4" w:space="0" w:color="auto"/>
              <w:bottom w:val="single" w:sz="4" w:space="0" w:color="auto"/>
              <w:right w:val="single" w:sz="4" w:space="0" w:color="auto"/>
            </w:tcBorders>
            <w:shd w:val="clear" w:color="auto" w:fill="auto"/>
            <w:vAlign w:val="center"/>
          </w:tcPr>
          <w:p w:rsidR="00EE4502" w:rsidRDefault="00FD45A3">
            <w:pPr>
              <w:adjustRightInd w:val="0"/>
              <w:snapToGrid w:val="0"/>
              <w:jc w:val="center"/>
              <w:rPr>
                <w:kern w:val="0"/>
                <w:szCs w:val="21"/>
              </w:rPr>
            </w:pPr>
            <w:r>
              <w:rPr>
                <w:kern w:val="0"/>
                <w:szCs w:val="21"/>
              </w:rPr>
              <w:t>便携式多功能气体测仪</w:t>
            </w:r>
          </w:p>
        </w:tc>
        <w:tc>
          <w:tcPr>
            <w:tcW w:w="559" w:type="pct"/>
            <w:tcBorders>
              <w:top w:val="single" w:sz="4" w:space="0" w:color="auto"/>
              <w:left w:val="single" w:sz="4" w:space="0" w:color="auto"/>
              <w:bottom w:val="single" w:sz="4" w:space="0" w:color="auto"/>
              <w:right w:val="single" w:sz="4" w:space="0" w:color="auto"/>
            </w:tcBorders>
            <w:shd w:val="clear" w:color="auto" w:fill="auto"/>
            <w:vAlign w:val="center"/>
          </w:tcPr>
          <w:p w:rsidR="00EE4502" w:rsidRDefault="00FD45A3">
            <w:pPr>
              <w:adjustRightInd w:val="0"/>
              <w:snapToGrid w:val="0"/>
              <w:jc w:val="center"/>
              <w:rPr>
                <w:kern w:val="0"/>
                <w:szCs w:val="21"/>
                <w:lang w:eastAsia="en-US"/>
              </w:rPr>
            </w:pPr>
            <w:r>
              <w:rPr>
                <w:kern w:val="0"/>
                <w:szCs w:val="21"/>
                <w:lang w:eastAsia="en-US"/>
              </w:rPr>
              <w:t>1</w:t>
            </w:r>
          </w:p>
        </w:tc>
      </w:tr>
      <w:tr w:rsidR="00EE4502">
        <w:trPr>
          <w:trHeight w:val="340"/>
          <w:jc w:val="center"/>
        </w:trPr>
        <w:tc>
          <w:tcPr>
            <w:tcW w:w="559" w:type="pct"/>
            <w:tcBorders>
              <w:top w:val="single" w:sz="4" w:space="0" w:color="auto"/>
              <w:bottom w:val="single" w:sz="4" w:space="0" w:color="auto"/>
              <w:right w:val="single" w:sz="4" w:space="0" w:color="auto"/>
            </w:tcBorders>
            <w:shd w:val="clear" w:color="auto" w:fill="auto"/>
            <w:vAlign w:val="center"/>
          </w:tcPr>
          <w:p w:rsidR="00EE4502" w:rsidRDefault="00FD45A3">
            <w:pPr>
              <w:adjustRightInd w:val="0"/>
              <w:snapToGrid w:val="0"/>
              <w:jc w:val="center"/>
              <w:rPr>
                <w:kern w:val="0"/>
                <w:szCs w:val="21"/>
                <w:lang w:eastAsia="en-US"/>
              </w:rPr>
            </w:pPr>
            <w:r>
              <w:rPr>
                <w:kern w:val="0"/>
                <w:szCs w:val="21"/>
                <w:lang w:eastAsia="en-US"/>
              </w:rPr>
              <w:t>10</w:t>
            </w:r>
          </w:p>
        </w:tc>
        <w:tc>
          <w:tcPr>
            <w:tcW w:w="3882" w:type="pct"/>
            <w:tcBorders>
              <w:top w:val="single" w:sz="4" w:space="0" w:color="auto"/>
              <w:left w:val="single" w:sz="4" w:space="0" w:color="auto"/>
              <w:bottom w:val="single" w:sz="4" w:space="0" w:color="auto"/>
              <w:right w:val="single" w:sz="4" w:space="0" w:color="auto"/>
            </w:tcBorders>
            <w:shd w:val="clear" w:color="auto" w:fill="auto"/>
            <w:vAlign w:val="center"/>
          </w:tcPr>
          <w:p w:rsidR="00EE4502" w:rsidRDefault="00FD45A3">
            <w:pPr>
              <w:adjustRightInd w:val="0"/>
              <w:snapToGrid w:val="0"/>
              <w:jc w:val="center"/>
              <w:rPr>
                <w:kern w:val="0"/>
                <w:szCs w:val="21"/>
              </w:rPr>
            </w:pPr>
            <w:r>
              <w:rPr>
                <w:kern w:val="0"/>
                <w:szCs w:val="21"/>
              </w:rPr>
              <w:t>便携式硫化氢检测仪</w:t>
            </w:r>
            <w:r>
              <w:rPr>
                <w:kern w:val="0"/>
                <w:szCs w:val="21"/>
              </w:rPr>
              <w:t>BF90</w:t>
            </w:r>
          </w:p>
        </w:tc>
        <w:tc>
          <w:tcPr>
            <w:tcW w:w="559" w:type="pct"/>
            <w:tcBorders>
              <w:top w:val="single" w:sz="4" w:space="0" w:color="auto"/>
              <w:left w:val="single" w:sz="4" w:space="0" w:color="auto"/>
              <w:bottom w:val="single" w:sz="4" w:space="0" w:color="auto"/>
              <w:right w:val="single" w:sz="4" w:space="0" w:color="auto"/>
            </w:tcBorders>
            <w:shd w:val="clear" w:color="auto" w:fill="auto"/>
            <w:vAlign w:val="center"/>
          </w:tcPr>
          <w:p w:rsidR="00EE4502" w:rsidRDefault="00FD45A3">
            <w:pPr>
              <w:adjustRightInd w:val="0"/>
              <w:snapToGrid w:val="0"/>
              <w:jc w:val="center"/>
              <w:rPr>
                <w:kern w:val="0"/>
                <w:szCs w:val="21"/>
                <w:lang w:eastAsia="en-US"/>
              </w:rPr>
            </w:pPr>
            <w:r>
              <w:rPr>
                <w:kern w:val="0"/>
                <w:szCs w:val="21"/>
                <w:lang w:eastAsia="en-US"/>
              </w:rPr>
              <w:t>2</w:t>
            </w:r>
          </w:p>
        </w:tc>
      </w:tr>
      <w:tr w:rsidR="00EE4502">
        <w:trPr>
          <w:trHeight w:val="340"/>
          <w:jc w:val="center"/>
        </w:trPr>
        <w:tc>
          <w:tcPr>
            <w:tcW w:w="559" w:type="pct"/>
            <w:tcBorders>
              <w:top w:val="single" w:sz="4" w:space="0" w:color="auto"/>
              <w:bottom w:val="single" w:sz="4" w:space="0" w:color="auto"/>
              <w:right w:val="single" w:sz="4" w:space="0" w:color="auto"/>
            </w:tcBorders>
            <w:shd w:val="clear" w:color="auto" w:fill="auto"/>
            <w:vAlign w:val="center"/>
          </w:tcPr>
          <w:p w:rsidR="00EE4502" w:rsidRDefault="00FD45A3">
            <w:pPr>
              <w:adjustRightInd w:val="0"/>
              <w:snapToGrid w:val="0"/>
              <w:jc w:val="center"/>
              <w:rPr>
                <w:kern w:val="0"/>
                <w:szCs w:val="21"/>
                <w:lang w:eastAsia="en-US"/>
              </w:rPr>
            </w:pPr>
            <w:r>
              <w:rPr>
                <w:kern w:val="0"/>
                <w:szCs w:val="21"/>
                <w:lang w:eastAsia="en-US"/>
              </w:rPr>
              <w:t>11</w:t>
            </w:r>
          </w:p>
        </w:tc>
        <w:tc>
          <w:tcPr>
            <w:tcW w:w="3882" w:type="pct"/>
            <w:tcBorders>
              <w:top w:val="single" w:sz="4" w:space="0" w:color="auto"/>
              <w:left w:val="single" w:sz="4" w:space="0" w:color="auto"/>
              <w:bottom w:val="single" w:sz="4" w:space="0" w:color="auto"/>
              <w:right w:val="single" w:sz="4" w:space="0" w:color="auto"/>
            </w:tcBorders>
            <w:shd w:val="clear" w:color="auto" w:fill="auto"/>
            <w:vAlign w:val="center"/>
          </w:tcPr>
          <w:p w:rsidR="00EE4502" w:rsidRDefault="00FD45A3">
            <w:pPr>
              <w:adjustRightInd w:val="0"/>
              <w:snapToGrid w:val="0"/>
              <w:jc w:val="center"/>
              <w:rPr>
                <w:kern w:val="0"/>
                <w:szCs w:val="21"/>
              </w:rPr>
            </w:pPr>
            <w:r>
              <w:rPr>
                <w:kern w:val="0"/>
                <w:szCs w:val="21"/>
              </w:rPr>
              <w:t>便携式硫化氢检测仪（含四合一气体检测仪）</w:t>
            </w:r>
          </w:p>
        </w:tc>
        <w:tc>
          <w:tcPr>
            <w:tcW w:w="559" w:type="pct"/>
            <w:tcBorders>
              <w:top w:val="single" w:sz="4" w:space="0" w:color="auto"/>
              <w:left w:val="single" w:sz="4" w:space="0" w:color="auto"/>
              <w:bottom w:val="single" w:sz="4" w:space="0" w:color="auto"/>
              <w:right w:val="single" w:sz="4" w:space="0" w:color="auto"/>
            </w:tcBorders>
            <w:shd w:val="clear" w:color="auto" w:fill="auto"/>
            <w:vAlign w:val="center"/>
          </w:tcPr>
          <w:p w:rsidR="00EE4502" w:rsidRDefault="00FD45A3">
            <w:pPr>
              <w:adjustRightInd w:val="0"/>
              <w:snapToGrid w:val="0"/>
              <w:jc w:val="center"/>
              <w:rPr>
                <w:kern w:val="0"/>
                <w:szCs w:val="21"/>
                <w:lang w:eastAsia="en-US"/>
              </w:rPr>
            </w:pPr>
            <w:r>
              <w:rPr>
                <w:kern w:val="0"/>
                <w:szCs w:val="21"/>
                <w:lang w:eastAsia="en-US"/>
              </w:rPr>
              <w:t>4</w:t>
            </w:r>
          </w:p>
        </w:tc>
      </w:tr>
      <w:tr w:rsidR="00EE4502">
        <w:trPr>
          <w:trHeight w:val="340"/>
          <w:jc w:val="center"/>
        </w:trPr>
        <w:tc>
          <w:tcPr>
            <w:tcW w:w="559" w:type="pct"/>
            <w:tcBorders>
              <w:top w:val="single" w:sz="4" w:space="0" w:color="auto"/>
              <w:bottom w:val="single" w:sz="4" w:space="0" w:color="auto"/>
              <w:right w:val="single" w:sz="4" w:space="0" w:color="auto"/>
            </w:tcBorders>
            <w:shd w:val="clear" w:color="auto" w:fill="auto"/>
            <w:vAlign w:val="center"/>
          </w:tcPr>
          <w:p w:rsidR="00EE4502" w:rsidRDefault="00FD45A3">
            <w:pPr>
              <w:adjustRightInd w:val="0"/>
              <w:snapToGrid w:val="0"/>
              <w:jc w:val="center"/>
              <w:rPr>
                <w:kern w:val="0"/>
                <w:szCs w:val="21"/>
                <w:lang w:eastAsia="en-US"/>
              </w:rPr>
            </w:pPr>
            <w:r>
              <w:rPr>
                <w:kern w:val="0"/>
                <w:szCs w:val="21"/>
                <w:lang w:eastAsia="en-US"/>
              </w:rPr>
              <w:t>12</w:t>
            </w:r>
          </w:p>
        </w:tc>
        <w:tc>
          <w:tcPr>
            <w:tcW w:w="3882" w:type="pct"/>
            <w:tcBorders>
              <w:top w:val="single" w:sz="4" w:space="0" w:color="auto"/>
              <w:left w:val="single" w:sz="4" w:space="0" w:color="auto"/>
              <w:bottom w:val="single" w:sz="4" w:space="0" w:color="auto"/>
              <w:right w:val="single" w:sz="4" w:space="0" w:color="auto"/>
            </w:tcBorders>
            <w:shd w:val="clear" w:color="auto" w:fill="auto"/>
            <w:vAlign w:val="center"/>
          </w:tcPr>
          <w:p w:rsidR="00EE4502" w:rsidRDefault="00FD45A3">
            <w:pPr>
              <w:adjustRightInd w:val="0"/>
              <w:snapToGrid w:val="0"/>
              <w:jc w:val="center"/>
              <w:rPr>
                <w:kern w:val="0"/>
                <w:szCs w:val="21"/>
                <w:lang w:eastAsia="en-US"/>
              </w:rPr>
            </w:pPr>
            <w:r>
              <w:rPr>
                <w:kern w:val="0"/>
                <w:szCs w:val="21"/>
                <w:lang w:eastAsia="en-US"/>
              </w:rPr>
              <w:t>化学分析试剂</w:t>
            </w:r>
          </w:p>
        </w:tc>
        <w:tc>
          <w:tcPr>
            <w:tcW w:w="559" w:type="pct"/>
            <w:tcBorders>
              <w:top w:val="single" w:sz="4" w:space="0" w:color="auto"/>
              <w:left w:val="single" w:sz="4" w:space="0" w:color="auto"/>
              <w:bottom w:val="single" w:sz="4" w:space="0" w:color="auto"/>
              <w:right w:val="single" w:sz="4" w:space="0" w:color="auto"/>
            </w:tcBorders>
            <w:shd w:val="clear" w:color="auto" w:fill="auto"/>
            <w:vAlign w:val="center"/>
          </w:tcPr>
          <w:p w:rsidR="00EE4502" w:rsidRDefault="00FD45A3">
            <w:pPr>
              <w:adjustRightInd w:val="0"/>
              <w:snapToGrid w:val="0"/>
              <w:jc w:val="center"/>
              <w:rPr>
                <w:kern w:val="0"/>
                <w:szCs w:val="21"/>
                <w:lang w:eastAsia="en-US"/>
              </w:rPr>
            </w:pPr>
            <w:r>
              <w:rPr>
                <w:kern w:val="0"/>
                <w:szCs w:val="21"/>
                <w:lang w:eastAsia="en-US"/>
              </w:rPr>
              <w:t>若干</w:t>
            </w:r>
          </w:p>
        </w:tc>
      </w:tr>
    </w:tbl>
    <w:p w:rsidR="00EE4502" w:rsidRDefault="00EE4502">
      <w:pPr>
        <w:adjustRightInd w:val="0"/>
        <w:snapToGrid w:val="0"/>
        <w:spacing w:line="331" w:lineRule="auto"/>
        <w:ind w:firstLineChars="200" w:firstLine="480"/>
        <w:rPr>
          <w:rFonts w:ascii="宋体" w:hAnsi="宋体"/>
          <w:sz w:val="24"/>
        </w:rPr>
      </w:pPr>
    </w:p>
    <w:p w:rsidR="00EE4502" w:rsidRDefault="00FD45A3">
      <w:pPr>
        <w:spacing w:line="360" w:lineRule="auto"/>
        <w:ind w:firstLineChars="200" w:firstLine="480"/>
        <w:rPr>
          <w:sz w:val="24"/>
        </w:rPr>
      </w:pPr>
      <w:r>
        <w:rPr>
          <w:sz w:val="24"/>
        </w:rPr>
        <w:t>6</w:t>
      </w:r>
      <w:r>
        <w:rPr>
          <w:sz w:val="24"/>
        </w:rPr>
        <w:t>）质量保证和质量控制</w:t>
      </w:r>
    </w:p>
    <w:p w:rsidR="00EE4502" w:rsidRDefault="00FD45A3">
      <w:pPr>
        <w:spacing w:line="360" w:lineRule="auto"/>
        <w:ind w:firstLineChars="200" w:firstLine="480"/>
        <w:rPr>
          <w:sz w:val="24"/>
        </w:rPr>
      </w:pPr>
      <w:r>
        <w:rPr>
          <w:sz w:val="24"/>
        </w:rPr>
        <w:t>（</w:t>
      </w:r>
      <w:r>
        <w:rPr>
          <w:sz w:val="24"/>
        </w:rPr>
        <w:t>1</w:t>
      </w:r>
      <w:r>
        <w:rPr>
          <w:sz w:val="24"/>
        </w:rPr>
        <w:t>）采样与现场监测的质量保证及质量控制</w:t>
      </w:r>
    </w:p>
    <w:p w:rsidR="00EE4502" w:rsidRDefault="00FD45A3">
      <w:pPr>
        <w:spacing w:line="360" w:lineRule="auto"/>
        <w:ind w:firstLineChars="200" w:firstLine="480"/>
        <w:rPr>
          <w:sz w:val="24"/>
        </w:rPr>
      </w:pPr>
      <w:r>
        <w:rPr>
          <w:sz w:val="24"/>
        </w:rPr>
        <w:t>①</w:t>
      </w:r>
      <w:r>
        <w:rPr>
          <w:sz w:val="24"/>
        </w:rPr>
        <w:t>采样与现场监测人员应具备相关经验，掌握突发环境事件布点采样技术，熟知采样器具的使用和样品采集、保存、运输条件。若进入危险区域开展采样及现场监测，应经相关部门同意，在保证安全的前提下方可开展工作。</w:t>
      </w:r>
    </w:p>
    <w:p w:rsidR="00EE4502" w:rsidRDefault="00FD45A3">
      <w:pPr>
        <w:spacing w:line="360" w:lineRule="auto"/>
        <w:ind w:firstLineChars="200" w:firstLine="480"/>
        <w:rPr>
          <w:sz w:val="24"/>
        </w:rPr>
      </w:pPr>
      <w:r>
        <w:rPr>
          <w:sz w:val="24"/>
        </w:rPr>
        <w:t>②</w:t>
      </w:r>
      <w:r>
        <w:rPr>
          <w:sz w:val="24"/>
        </w:rPr>
        <w:t>采样和现场监测仪器应进行日常的维护、保养，确保仪器设备保持正常状态，仪器离开实验室前应进行必要的检查。</w:t>
      </w:r>
    </w:p>
    <w:p w:rsidR="00EE4502" w:rsidRDefault="00FD45A3">
      <w:pPr>
        <w:spacing w:line="360" w:lineRule="auto"/>
        <w:ind w:firstLineChars="200" w:firstLine="480"/>
        <w:rPr>
          <w:sz w:val="24"/>
        </w:rPr>
      </w:pPr>
      <w:r>
        <w:rPr>
          <w:sz w:val="24"/>
        </w:rPr>
        <w:lastRenderedPageBreak/>
        <w:t>③</w:t>
      </w:r>
      <w:r>
        <w:rPr>
          <w:sz w:val="24"/>
        </w:rPr>
        <w:t>应急监测时，允许使用便携式仪器和非标准监测分析方法，但应对其得出的结果或结论予以明确表达。</w:t>
      </w:r>
    </w:p>
    <w:p w:rsidR="00EE4502" w:rsidRDefault="00FD45A3">
      <w:pPr>
        <w:spacing w:line="360" w:lineRule="auto"/>
        <w:ind w:firstLineChars="200" w:firstLine="480"/>
        <w:rPr>
          <w:sz w:val="24"/>
        </w:rPr>
      </w:pPr>
      <w:r>
        <w:rPr>
          <w:sz w:val="24"/>
        </w:rPr>
        <w:t>（</w:t>
      </w:r>
      <w:r>
        <w:rPr>
          <w:sz w:val="24"/>
        </w:rPr>
        <w:t>2</w:t>
      </w:r>
      <w:r>
        <w:rPr>
          <w:sz w:val="24"/>
        </w:rPr>
        <w:t>）样品管理的质量保证和质量控制</w:t>
      </w:r>
    </w:p>
    <w:p w:rsidR="00EE4502" w:rsidRDefault="00FD45A3">
      <w:pPr>
        <w:spacing w:line="360" w:lineRule="auto"/>
        <w:ind w:firstLineChars="200" w:firstLine="480"/>
        <w:rPr>
          <w:sz w:val="24"/>
        </w:rPr>
      </w:pPr>
      <w:r>
        <w:rPr>
          <w:sz w:val="24"/>
        </w:rPr>
        <w:t>①</w:t>
      </w:r>
      <w:r>
        <w:rPr>
          <w:sz w:val="24"/>
        </w:rPr>
        <w:t>应保证样品从采集、保存、运输、分析、处置的全过程均有记录，确保样品处在受控状</w:t>
      </w:r>
      <w:r>
        <w:rPr>
          <w:sz w:val="24"/>
        </w:rPr>
        <w:t>态。</w:t>
      </w:r>
    </w:p>
    <w:p w:rsidR="00EE4502" w:rsidRDefault="00FD45A3">
      <w:pPr>
        <w:spacing w:line="360" w:lineRule="auto"/>
        <w:ind w:firstLineChars="200" w:firstLine="480"/>
        <w:rPr>
          <w:sz w:val="24"/>
        </w:rPr>
      </w:pPr>
      <w:r>
        <w:rPr>
          <w:sz w:val="24"/>
        </w:rPr>
        <w:t>②</w:t>
      </w:r>
      <w:r>
        <w:rPr>
          <w:sz w:val="24"/>
        </w:rPr>
        <w:t>样品在采集和运输过程中应防止样品被污染及样品对环境的污染。运输工具应合适，运输中应</w:t>
      </w:r>
      <w:r>
        <w:rPr>
          <w:sz w:val="24"/>
        </w:rPr>
        <w:t xml:space="preserve"> </w:t>
      </w:r>
      <w:r>
        <w:rPr>
          <w:sz w:val="24"/>
        </w:rPr>
        <w:t>采取必要的防震、防雨、防尘、防爆等措施，以保证人员和样品的安全。</w:t>
      </w:r>
    </w:p>
    <w:p w:rsidR="00EE4502" w:rsidRDefault="00FD45A3">
      <w:pPr>
        <w:spacing w:line="360" w:lineRule="auto"/>
        <w:ind w:firstLineChars="200" w:firstLine="480"/>
        <w:rPr>
          <w:sz w:val="24"/>
        </w:rPr>
      </w:pPr>
      <w:r>
        <w:rPr>
          <w:sz w:val="24"/>
        </w:rPr>
        <w:t>（</w:t>
      </w:r>
      <w:r>
        <w:rPr>
          <w:sz w:val="24"/>
        </w:rPr>
        <w:t>3</w:t>
      </w:r>
      <w:r>
        <w:rPr>
          <w:sz w:val="24"/>
        </w:rPr>
        <w:t>）实验室分析的质量保证和质量控制</w:t>
      </w:r>
    </w:p>
    <w:p w:rsidR="00EE4502" w:rsidRDefault="00FD45A3">
      <w:pPr>
        <w:spacing w:line="360" w:lineRule="auto"/>
        <w:ind w:firstLineChars="200" w:firstLine="480"/>
        <w:rPr>
          <w:sz w:val="24"/>
        </w:rPr>
      </w:pPr>
      <w:r>
        <w:rPr>
          <w:sz w:val="24"/>
        </w:rPr>
        <w:t>①</w:t>
      </w:r>
      <w:r>
        <w:rPr>
          <w:sz w:val="24"/>
        </w:rPr>
        <w:t>实验室分析人员应熟练掌握实验室相关分析仪器的操作使用和质量控制措施。</w:t>
      </w:r>
    </w:p>
    <w:p w:rsidR="00EE4502" w:rsidRDefault="00FD45A3">
      <w:pPr>
        <w:spacing w:line="360" w:lineRule="auto"/>
        <w:ind w:firstLineChars="200" w:firstLine="480"/>
        <w:rPr>
          <w:sz w:val="24"/>
        </w:rPr>
      </w:pPr>
      <w:r>
        <w:rPr>
          <w:sz w:val="24"/>
        </w:rPr>
        <w:t>②</w:t>
      </w:r>
      <w:r>
        <w:rPr>
          <w:sz w:val="24"/>
        </w:rPr>
        <w:t>实验室分析仪器应在检定周期或校准有效期内使用，进行日常的维护、保养，确保仪器设备始终保持良好的技术状态。</w:t>
      </w:r>
    </w:p>
    <w:p w:rsidR="00EE4502" w:rsidRDefault="00FD45A3">
      <w:pPr>
        <w:spacing w:line="360" w:lineRule="auto"/>
        <w:ind w:firstLineChars="200" w:firstLine="480"/>
        <w:rPr>
          <w:sz w:val="24"/>
        </w:rPr>
      </w:pPr>
      <w:r>
        <w:rPr>
          <w:sz w:val="24"/>
        </w:rPr>
        <w:t>③</w:t>
      </w:r>
      <w:r>
        <w:rPr>
          <w:sz w:val="24"/>
        </w:rPr>
        <w:t>实验室分析的质量保证措施可参照相关监测技术规范执行。</w:t>
      </w:r>
    </w:p>
    <w:p w:rsidR="00EE4502" w:rsidRDefault="00FD45A3">
      <w:pPr>
        <w:spacing w:line="360" w:lineRule="auto"/>
        <w:ind w:firstLineChars="200" w:firstLine="480"/>
        <w:rPr>
          <w:sz w:val="24"/>
        </w:rPr>
      </w:pPr>
      <w:r>
        <w:rPr>
          <w:sz w:val="24"/>
        </w:rPr>
        <w:t>（</w:t>
      </w:r>
      <w:r>
        <w:rPr>
          <w:sz w:val="24"/>
        </w:rPr>
        <w:t>4</w:t>
      </w:r>
      <w:r>
        <w:rPr>
          <w:sz w:val="24"/>
        </w:rPr>
        <w:t>）应急监测报告的质量保证和质量控制</w:t>
      </w:r>
      <w:r>
        <w:rPr>
          <w:sz w:val="24"/>
        </w:rPr>
        <w:t xml:space="preserve"> </w:t>
      </w:r>
    </w:p>
    <w:p w:rsidR="00EE4502" w:rsidRDefault="00FD45A3">
      <w:pPr>
        <w:spacing w:line="360" w:lineRule="auto"/>
        <w:ind w:firstLineChars="200" w:firstLine="480"/>
        <w:rPr>
          <w:sz w:val="24"/>
        </w:rPr>
      </w:pPr>
      <w:r>
        <w:rPr>
          <w:sz w:val="24"/>
        </w:rPr>
        <w:t>应急监测报告信息要完整，原则上应审核后</w:t>
      </w:r>
      <w:r>
        <w:rPr>
          <w:sz w:val="24"/>
        </w:rPr>
        <w:t>报送。</w:t>
      </w:r>
    </w:p>
    <w:p w:rsidR="00EE4502" w:rsidRDefault="00FD45A3">
      <w:pPr>
        <w:spacing w:line="360" w:lineRule="auto"/>
        <w:ind w:firstLineChars="200" w:firstLine="480"/>
        <w:rPr>
          <w:sz w:val="24"/>
        </w:rPr>
      </w:pPr>
      <w:r>
        <w:rPr>
          <w:sz w:val="24"/>
        </w:rPr>
        <w:t>7</w:t>
      </w:r>
      <w:r>
        <w:rPr>
          <w:sz w:val="24"/>
        </w:rPr>
        <w:t>）数据报送要求</w:t>
      </w:r>
    </w:p>
    <w:p w:rsidR="00EE4502" w:rsidRDefault="00FD45A3">
      <w:pPr>
        <w:spacing w:line="360" w:lineRule="auto"/>
        <w:ind w:firstLineChars="200" w:firstLine="480"/>
        <w:rPr>
          <w:sz w:val="24"/>
        </w:rPr>
      </w:pPr>
      <w:r>
        <w:rPr>
          <w:sz w:val="24"/>
        </w:rPr>
        <w:t>应急监测工作结束后，应编写应急监测总结报告，主要包含事件基本情况、应急监测工作开展情况、经验和不足、报告附件</w:t>
      </w:r>
      <w:r>
        <w:rPr>
          <w:sz w:val="24"/>
        </w:rPr>
        <w:t xml:space="preserve"> 4</w:t>
      </w:r>
      <w:r>
        <w:rPr>
          <w:sz w:val="24"/>
        </w:rPr>
        <w:t>个部分的内容。按当地突发环境事件应急监测预案或应急监测方案要求进行报送。应急监测报告及相关材料应按照相关规定进行保密和归档。</w:t>
      </w:r>
    </w:p>
    <w:p w:rsidR="00EE4502" w:rsidRDefault="00FD45A3">
      <w:pPr>
        <w:spacing w:line="360" w:lineRule="auto"/>
        <w:ind w:firstLineChars="200" w:firstLine="480"/>
        <w:rPr>
          <w:sz w:val="24"/>
        </w:rPr>
      </w:pPr>
      <w:r>
        <w:rPr>
          <w:sz w:val="24"/>
        </w:rPr>
        <w:t>8</w:t>
      </w:r>
      <w:r>
        <w:rPr>
          <w:sz w:val="24"/>
        </w:rPr>
        <w:t>）应急监测终止</w:t>
      </w:r>
    </w:p>
    <w:p w:rsidR="00EE4502" w:rsidRDefault="00FD45A3">
      <w:pPr>
        <w:spacing w:line="360" w:lineRule="auto"/>
        <w:ind w:firstLineChars="200" w:firstLine="480"/>
        <w:rPr>
          <w:sz w:val="24"/>
          <w:szCs w:val="20"/>
        </w:rPr>
      </w:pPr>
      <w:r>
        <w:rPr>
          <w:sz w:val="24"/>
        </w:rPr>
        <w:t>当应急组织指挥机构终止应急响应或批准应急监测终止建议时，方可终止应急监测。</w:t>
      </w:r>
    </w:p>
    <w:p w:rsidR="00EE4502" w:rsidRDefault="00FD45A3">
      <w:pPr>
        <w:keepNext/>
        <w:keepLines/>
        <w:numPr>
          <w:ilvl w:val="2"/>
          <w:numId w:val="30"/>
        </w:numPr>
        <w:spacing w:line="360" w:lineRule="auto"/>
        <w:outlineLvl w:val="2"/>
        <w:rPr>
          <w:rFonts w:eastAsia="黑体"/>
          <w:sz w:val="24"/>
        </w:rPr>
      </w:pPr>
      <w:r>
        <w:rPr>
          <w:rFonts w:eastAsia="黑体" w:hint="eastAsia"/>
          <w:sz w:val="24"/>
        </w:rPr>
        <w:t>风险评价结论</w:t>
      </w:r>
    </w:p>
    <w:p w:rsidR="00EE4502" w:rsidRDefault="00FD45A3">
      <w:pPr>
        <w:spacing w:line="360" w:lineRule="auto"/>
        <w:ind w:rightChars="50" w:right="105" w:firstLineChars="200" w:firstLine="480"/>
        <w:rPr>
          <w:rStyle w:val="EmailStyle506"/>
          <w:rFonts w:ascii="Times New Roman" w:hAnsi="Times New Roman" w:cs="Times New Roman"/>
          <w:sz w:val="24"/>
        </w:rPr>
      </w:pPr>
      <w:r>
        <w:rPr>
          <w:rFonts w:hint="eastAsia"/>
          <w:sz w:val="24"/>
        </w:rPr>
        <w:t>本工程所涉及的危险物质包括原油、伴生气，主要风险单元为密闭集输单元，可能发生的风险事故包括井场事故、管线泄漏。原油发生泄漏时，对土壤、植被、地下水会产生一定的影响，发生事故后，在严格落实本工程提出的风险防范措施的前提下，不会对周围环境产生明显影响；当泄漏事故发生时，及时、彻底清除泄漏油品、被污染的土壤，污染物不会进入地下水中，对地下水水质</w:t>
      </w:r>
      <w:r>
        <w:rPr>
          <w:rFonts w:hint="eastAsia"/>
          <w:sz w:val="24"/>
        </w:rPr>
        <w:lastRenderedPageBreak/>
        <w:t>没有不良影响。做好事故风险防范措施，将事故发生概率减少到最低。综上所述，本工程环境风险程度属于可以防控的。</w:t>
      </w:r>
    </w:p>
    <w:p w:rsidR="00EE4502" w:rsidRDefault="00FD45A3">
      <w:pPr>
        <w:spacing w:line="360" w:lineRule="auto"/>
        <w:ind w:rightChars="50" w:right="105" w:firstLineChars="200" w:firstLine="480"/>
        <w:rPr>
          <w:sz w:val="24"/>
        </w:rPr>
      </w:pPr>
      <w:r>
        <w:rPr>
          <w:rFonts w:hint="eastAsia"/>
          <w:sz w:val="24"/>
        </w:rPr>
        <w:t>本工程</w:t>
      </w:r>
      <w:r>
        <w:rPr>
          <w:sz w:val="24"/>
        </w:rPr>
        <w:t>环境风险简单分析内容表见表</w:t>
      </w:r>
      <w:r>
        <w:rPr>
          <w:rFonts w:hint="eastAsia"/>
          <w:sz w:val="24"/>
        </w:rPr>
        <w:t>5-8-</w:t>
      </w:r>
      <w:r>
        <w:rPr>
          <w:rFonts w:hint="eastAsia"/>
          <w:sz w:val="24"/>
        </w:rPr>
        <w:t>7</w:t>
      </w:r>
      <w:r>
        <w:rPr>
          <w:sz w:val="24"/>
        </w:rPr>
        <w:t>。</w:t>
      </w:r>
    </w:p>
    <w:p w:rsidR="00EE4502" w:rsidRDefault="00FD45A3">
      <w:pPr>
        <w:spacing w:line="360" w:lineRule="auto"/>
        <w:jc w:val="center"/>
        <w:rPr>
          <w:rFonts w:eastAsia="黑体"/>
          <w:szCs w:val="21"/>
        </w:rPr>
      </w:pPr>
      <w:r>
        <w:rPr>
          <w:rFonts w:eastAsia="黑体"/>
          <w:szCs w:val="21"/>
        </w:rPr>
        <w:t>表</w:t>
      </w:r>
      <w:r>
        <w:rPr>
          <w:rFonts w:eastAsia="黑体" w:hint="eastAsia"/>
          <w:szCs w:val="21"/>
        </w:rPr>
        <w:t>5-8-</w:t>
      </w:r>
      <w:r>
        <w:rPr>
          <w:rFonts w:eastAsia="黑体" w:hint="eastAsia"/>
          <w:szCs w:val="21"/>
        </w:rPr>
        <w:t>7</w:t>
      </w:r>
      <w:r>
        <w:rPr>
          <w:rFonts w:eastAsia="黑体"/>
          <w:szCs w:val="21"/>
        </w:rPr>
        <w:t xml:space="preserve">   </w:t>
      </w:r>
      <w:r>
        <w:rPr>
          <w:rFonts w:eastAsia="黑体"/>
          <w:szCs w:val="21"/>
        </w:rPr>
        <w:t xml:space="preserve"> </w:t>
      </w:r>
      <w:r>
        <w:rPr>
          <w:rFonts w:eastAsia="黑体"/>
          <w:szCs w:val="21"/>
        </w:rPr>
        <w:t>环境风险简单分析内容表</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1"/>
        <w:gridCol w:w="1271"/>
        <w:gridCol w:w="2116"/>
        <w:gridCol w:w="1114"/>
        <w:gridCol w:w="2278"/>
      </w:tblGrid>
      <w:tr w:rsidR="00EE4502">
        <w:trPr>
          <w:trHeight w:val="340"/>
          <w:jc w:val="center"/>
        </w:trPr>
        <w:tc>
          <w:tcPr>
            <w:tcW w:w="1021" w:type="pct"/>
            <w:vAlign w:val="center"/>
          </w:tcPr>
          <w:p w:rsidR="00EE4502" w:rsidRDefault="00FD45A3">
            <w:pPr>
              <w:jc w:val="center"/>
              <w:rPr>
                <w:szCs w:val="21"/>
              </w:rPr>
            </w:pPr>
            <w:r>
              <w:rPr>
                <w:szCs w:val="21"/>
              </w:rPr>
              <w:t>建设项目名称</w:t>
            </w:r>
          </w:p>
        </w:tc>
        <w:tc>
          <w:tcPr>
            <w:tcW w:w="3978" w:type="pct"/>
            <w:gridSpan w:val="4"/>
            <w:vAlign w:val="center"/>
          </w:tcPr>
          <w:p w:rsidR="00EE4502" w:rsidRDefault="00FD45A3">
            <w:pPr>
              <w:jc w:val="center"/>
              <w:rPr>
                <w:szCs w:val="21"/>
              </w:rPr>
            </w:pPr>
            <w:r>
              <w:rPr>
                <w:rFonts w:hint="eastAsia"/>
                <w:szCs w:val="21"/>
              </w:rPr>
              <w:t>春风油田石炭系排</w:t>
            </w:r>
            <w:r>
              <w:rPr>
                <w:rFonts w:hint="eastAsia"/>
                <w:szCs w:val="21"/>
              </w:rPr>
              <w:t>61</w:t>
            </w:r>
            <w:r>
              <w:rPr>
                <w:rFonts w:hint="eastAsia"/>
                <w:szCs w:val="21"/>
              </w:rPr>
              <w:t>块产能建设工程</w:t>
            </w:r>
          </w:p>
        </w:tc>
      </w:tr>
      <w:tr w:rsidR="00EE4502">
        <w:trPr>
          <w:trHeight w:val="340"/>
          <w:jc w:val="center"/>
        </w:trPr>
        <w:tc>
          <w:tcPr>
            <w:tcW w:w="1021" w:type="pct"/>
            <w:vAlign w:val="center"/>
          </w:tcPr>
          <w:p w:rsidR="00EE4502" w:rsidRDefault="00FD45A3">
            <w:pPr>
              <w:jc w:val="center"/>
              <w:rPr>
                <w:szCs w:val="21"/>
              </w:rPr>
            </w:pPr>
            <w:r>
              <w:rPr>
                <w:szCs w:val="21"/>
              </w:rPr>
              <w:t>建设地点</w:t>
            </w:r>
          </w:p>
        </w:tc>
        <w:tc>
          <w:tcPr>
            <w:tcW w:w="3978" w:type="pct"/>
            <w:gridSpan w:val="4"/>
            <w:vAlign w:val="center"/>
          </w:tcPr>
          <w:p w:rsidR="00EE4502" w:rsidRDefault="00FD45A3">
            <w:pPr>
              <w:jc w:val="center"/>
              <w:rPr>
                <w:szCs w:val="21"/>
              </w:rPr>
            </w:pPr>
            <w:r>
              <w:rPr>
                <w:szCs w:val="21"/>
              </w:rPr>
              <w:t>克拉玛依市及第七师胡杨河市</w:t>
            </w:r>
          </w:p>
        </w:tc>
      </w:tr>
      <w:tr w:rsidR="00EE4502">
        <w:trPr>
          <w:trHeight w:val="340"/>
          <w:jc w:val="center"/>
        </w:trPr>
        <w:tc>
          <w:tcPr>
            <w:tcW w:w="1021" w:type="pct"/>
            <w:vAlign w:val="center"/>
          </w:tcPr>
          <w:p w:rsidR="00EE4502" w:rsidRDefault="00FD45A3">
            <w:pPr>
              <w:jc w:val="center"/>
              <w:rPr>
                <w:szCs w:val="21"/>
              </w:rPr>
            </w:pPr>
            <w:r>
              <w:rPr>
                <w:szCs w:val="21"/>
              </w:rPr>
              <w:t>区块中心地理坐标</w:t>
            </w:r>
          </w:p>
        </w:tc>
        <w:tc>
          <w:tcPr>
            <w:tcW w:w="746" w:type="pct"/>
            <w:vAlign w:val="center"/>
          </w:tcPr>
          <w:p w:rsidR="00EE4502" w:rsidRDefault="00FD45A3">
            <w:pPr>
              <w:jc w:val="center"/>
              <w:rPr>
                <w:szCs w:val="21"/>
              </w:rPr>
            </w:pPr>
            <w:r>
              <w:rPr>
                <w:szCs w:val="21"/>
              </w:rPr>
              <w:t>经度</w:t>
            </w:r>
          </w:p>
        </w:tc>
        <w:tc>
          <w:tcPr>
            <w:tcW w:w="1242" w:type="pct"/>
            <w:vAlign w:val="center"/>
          </w:tcPr>
          <w:p w:rsidR="00EE4502" w:rsidRDefault="00EE4502">
            <w:pPr>
              <w:jc w:val="center"/>
              <w:rPr>
                <w:szCs w:val="21"/>
              </w:rPr>
            </w:pPr>
          </w:p>
        </w:tc>
        <w:tc>
          <w:tcPr>
            <w:tcW w:w="654" w:type="pct"/>
            <w:vAlign w:val="center"/>
          </w:tcPr>
          <w:p w:rsidR="00EE4502" w:rsidRDefault="00FD45A3">
            <w:pPr>
              <w:jc w:val="center"/>
              <w:rPr>
                <w:szCs w:val="21"/>
              </w:rPr>
            </w:pPr>
            <w:r>
              <w:rPr>
                <w:szCs w:val="21"/>
              </w:rPr>
              <w:t>纬度</w:t>
            </w:r>
          </w:p>
        </w:tc>
        <w:tc>
          <w:tcPr>
            <w:tcW w:w="1335" w:type="pct"/>
            <w:vAlign w:val="center"/>
          </w:tcPr>
          <w:p w:rsidR="00EE4502" w:rsidRDefault="00EE4502">
            <w:pPr>
              <w:jc w:val="center"/>
              <w:rPr>
                <w:szCs w:val="21"/>
              </w:rPr>
            </w:pPr>
          </w:p>
        </w:tc>
      </w:tr>
      <w:tr w:rsidR="00EE4502">
        <w:trPr>
          <w:trHeight w:val="340"/>
          <w:jc w:val="center"/>
        </w:trPr>
        <w:tc>
          <w:tcPr>
            <w:tcW w:w="1021" w:type="pct"/>
            <w:vAlign w:val="center"/>
          </w:tcPr>
          <w:p w:rsidR="00EE4502" w:rsidRDefault="00FD45A3">
            <w:pPr>
              <w:jc w:val="center"/>
              <w:rPr>
                <w:szCs w:val="21"/>
              </w:rPr>
            </w:pPr>
            <w:r>
              <w:rPr>
                <w:szCs w:val="21"/>
              </w:rPr>
              <w:t>主要危险物质及分布</w:t>
            </w:r>
          </w:p>
        </w:tc>
        <w:tc>
          <w:tcPr>
            <w:tcW w:w="3978" w:type="pct"/>
            <w:gridSpan w:val="4"/>
            <w:vAlign w:val="center"/>
          </w:tcPr>
          <w:p w:rsidR="00EE4502" w:rsidRDefault="00FD45A3">
            <w:pPr>
              <w:rPr>
                <w:szCs w:val="21"/>
              </w:rPr>
            </w:pPr>
            <w:r>
              <w:rPr>
                <w:rFonts w:hint="eastAsia"/>
                <w:szCs w:val="21"/>
              </w:rPr>
              <w:t>本工程</w:t>
            </w:r>
            <w:r>
              <w:rPr>
                <w:szCs w:val="21"/>
              </w:rPr>
              <w:t>所涉及的危险物质包括原油</w:t>
            </w:r>
            <w:r>
              <w:rPr>
                <w:rFonts w:hint="eastAsia"/>
                <w:szCs w:val="21"/>
              </w:rPr>
              <w:t>和</w:t>
            </w:r>
            <w:r>
              <w:rPr>
                <w:rFonts w:hint="eastAsia"/>
                <w:szCs w:val="21"/>
              </w:rPr>
              <w:t>伴生气</w:t>
            </w:r>
            <w:r>
              <w:rPr>
                <w:szCs w:val="21"/>
              </w:rPr>
              <w:t>，主要风险单元为密闭集输单元。</w:t>
            </w:r>
          </w:p>
        </w:tc>
      </w:tr>
      <w:tr w:rsidR="00EE4502">
        <w:trPr>
          <w:trHeight w:val="340"/>
          <w:jc w:val="center"/>
        </w:trPr>
        <w:tc>
          <w:tcPr>
            <w:tcW w:w="1021" w:type="pct"/>
            <w:vAlign w:val="center"/>
          </w:tcPr>
          <w:p w:rsidR="00EE4502" w:rsidRDefault="00FD45A3">
            <w:pPr>
              <w:jc w:val="left"/>
              <w:rPr>
                <w:szCs w:val="21"/>
              </w:rPr>
            </w:pPr>
            <w:r>
              <w:rPr>
                <w:szCs w:val="21"/>
              </w:rPr>
              <w:t>环境影响途径及危害后果（大气、地表水、地下水等）</w:t>
            </w:r>
          </w:p>
        </w:tc>
        <w:tc>
          <w:tcPr>
            <w:tcW w:w="3978" w:type="pct"/>
            <w:gridSpan w:val="4"/>
            <w:vAlign w:val="center"/>
          </w:tcPr>
          <w:p w:rsidR="00EE4502" w:rsidRDefault="00FD45A3">
            <w:pPr>
              <w:jc w:val="left"/>
              <w:rPr>
                <w:szCs w:val="21"/>
              </w:rPr>
            </w:pPr>
            <w:r>
              <w:rPr>
                <w:rFonts w:hint="eastAsia"/>
                <w:szCs w:val="21"/>
              </w:rPr>
              <w:t>本项目可能发生的环境风险主要包括井喷、井漏、集油管线泄漏以及原油泄漏后遇明火引发的火灾、爆炸次生污染物等。井喷、集油管线发生泄漏会对大气、土壤、地下水产生的直接影响以及遇明火后发生火灾、爆炸等引发的伴生</w:t>
            </w:r>
            <w:r>
              <w:rPr>
                <w:rFonts w:hint="eastAsia"/>
                <w:szCs w:val="21"/>
              </w:rPr>
              <w:t>/</w:t>
            </w:r>
            <w:r>
              <w:rPr>
                <w:rFonts w:hint="eastAsia"/>
                <w:szCs w:val="21"/>
              </w:rPr>
              <w:t>次生污染物排放。</w:t>
            </w:r>
          </w:p>
        </w:tc>
      </w:tr>
      <w:tr w:rsidR="00EE4502">
        <w:trPr>
          <w:trHeight w:val="340"/>
          <w:jc w:val="center"/>
        </w:trPr>
        <w:tc>
          <w:tcPr>
            <w:tcW w:w="1021" w:type="pct"/>
            <w:vAlign w:val="center"/>
          </w:tcPr>
          <w:p w:rsidR="00EE4502" w:rsidRDefault="00FD45A3">
            <w:pPr>
              <w:jc w:val="left"/>
              <w:rPr>
                <w:szCs w:val="21"/>
              </w:rPr>
            </w:pPr>
            <w:r>
              <w:rPr>
                <w:szCs w:val="21"/>
              </w:rPr>
              <w:t>风险防范措施要求</w:t>
            </w:r>
          </w:p>
        </w:tc>
        <w:tc>
          <w:tcPr>
            <w:tcW w:w="3978" w:type="pct"/>
            <w:gridSpan w:val="4"/>
            <w:vAlign w:val="center"/>
          </w:tcPr>
          <w:p w:rsidR="00EE4502" w:rsidRDefault="00FD45A3">
            <w:pPr>
              <w:jc w:val="left"/>
              <w:rPr>
                <w:szCs w:val="21"/>
              </w:rPr>
            </w:pPr>
            <w:r>
              <w:rPr>
                <w:rFonts w:ascii="宋体" w:hAnsi="宋体" w:cs="宋体" w:hint="eastAsia"/>
                <w:szCs w:val="21"/>
              </w:rPr>
              <w:t>①</w:t>
            </w:r>
            <w:r>
              <w:rPr>
                <w:szCs w:val="21"/>
              </w:rPr>
              <w:t>生产中采取有效预防措施，严格遵守井下作业的安全规定，在井口安装防喷器和控制装置，杜绝井喷的发生；</w:t>
            </w:r>
          </w:p>
          <w:p w:rsidR="00EE4502" w:rsidRDefault="00FD45A3">
            <w:pPr>
              <w:jc w:val="left"/>
              <w:rPr>
                <w:szCs w:val="21"/>
              </w:rPr>
            </w:pPr>
            <w:r>
              <w:rPr>
                <w:rFonts w:ascii="宋体" w:hAnsi="宋体" w:cs="宋体" w:hint="eastAsia"/>
                <w:szCs w:val="21"/>
              </w:rPr>
              <w:t>②</w:t>
            </w:r>
            <w:r>
              <w:rPr>
                <w:szCs w:val="21"/>
              </w:rPr>
              <w:t>制定安全生产方针、政策、计划和各种规范，完善安全管理制度和安全操作规程，建立健全环境管理体系和监测体系，完善各种规章制度标准；</w:t>
            </w:r>
          </w:p>
          <w:p w:rsidR="00EE4502" w:rsidRDefault="00FD45A3">
            <w:pPr>
              <w:jc w:val="left"/>
              <w:rPr>
                <w:szCs w:val="21"/>
              </w:rPr>
            </w:pPr>
            <w:r>
              <w:rPr>
                <w:rFonts w:ascii="宋体" w:hAnsi="宋体" w:cs="宋体" w:hint="eastAsia"/>
                <w:szCs w:val="21"/>
              </w:rPr>
              <w:t>③</w:t>
            </w:r>
            <w:r>
              <w:rPr>
                <w:szCs w:val="21"/>
              </w:rPr>
              <w:t>定期对管线进行巡视，定期进行管道壁厚和防腐情况检测；</w:t>
            </w:r>
          </w:p>
          <w:p w:rsidR="00EE4502" w:rsidRDefault="00FD45A3">
            <w:pPr>
              <w:jc w:val="left"/>
              <w:rPr>
                <w:szCs w:val="21"/>
              </w:rPr>
            </w:pPr>
            <w:r>
              <w:rPr>
                <w:rFonts w:ascii="宋体" w:hAnsi="宋体" w:cs="宋体" w:hint="eastAsia"/>
                <w:szCs w:val="21"/>
              </w:rPr>
              <w:t>④</w:t>
            </w:r>
            <w:r>
              <w:rPr>
                <w:szCs w:val="21"/>
              </w:rPr>
              <w:t>制定环境风险应急预案，定期演练。</w:t>
            </w:r>
          </w:p>
        </w:tc>
      </w:tr>
      <w:tr w:rsidR="00EE4502">
        <w:trPr>
          <w:trHeight w:val="340"/>
          <w:jc w:val="center"/>
        </w:trPr>
        <w:tc>
          <w:tcPr>
            <w:tcW w:w="5000" w:type="pct"/>
            <w:gridSpan w:val="5"/>
            <w:vAlign w:val="center"/>
          </w:tcPr>
          <w:p w:rsidR="00EE4502" w:rsidRDefault="00FD45A3">
            <w:pPr>
              <w:jc w:val="left"/>
              <w:rPr>
                <w:szCs w:val="21"/>
              </w:rPr>
            </w:pPr>
            <w:r>
              <w:rPr>
                <w:szCs w:val="21"/>
              </w:rPr>
              <w:t>结论：</w:t>
            </w:r>
            <w:r>
              <w:rPr>
                <w:rFonts w:hint="eastAsia"/>
                <w:szCs w:val="21"/>
              </w:rPr>
              <w:t>本工程</w:t>
            </w:r>
            <w:r>
              <w:rPr>
                <w:szCs w:val="21"/>
              </w:rPr>
              <w:t>所涉及的危险物质包括原油</w:t>
            </w:r>
            <w:r>
              <w:rPr>
                <w:rFonts w:hint="eastAsia"/>
                <w:szCs w:val="21"/>
              </w:rPr>
              <w:t>和</w:t>
            </w:r>
            <w:r>
              <w:rPr>
                <w:rFonts w:hint="eastAsia"/>
                <w:szCs w:val="21"/>
              </w:rPr>
              <w:t>伴生气</w:t>
            </w:r>
            <w:r>
              <w:rPr>
                <w:szCs w:val="21"/>
              </w:rPr>
              <w:t>，主要风险单元为密闭集输单元，可能发生的风险事故包括井场事故、管线</w:t>
            </w:r>
            <w:r>
              <w:rPr>
                <w:rFonts w:hint="eastAsia"/>
                <w:szCs w:val="21"/>
              </w:rPr>
              <w:t>泄漏</w:t>
            </w:r>
            <w:r>
              <w:rPr>
                <w:szCs w:val="21"/>
              </w:rPr>
              <w:t>。发生泄漏时，对土壤、植被、地下水会产生一定的影响，发生事故后，在严格落实</w:t>
            </w:r>
            <w:r>
              <w:rPr>
                <w:rFonts w:hint="eastAsia"/>
                <w:szCs w:val="21"/>
              </w:rPr>
              <w:t>本工程</w:t>
            </w:r>
            <w:r>
              <w:rPr>
                <w:szCs w:val="21"/>
              </w:rPr>
              <w:t>提出的风险防范措施的前提下，不会对周围环境产生明显影响；当泄漏事故发生时，及时、彻底清除泄漏油品、被污染的土壤，污染物不会进入地下水中，对地下水水质没有不良影响。做好事故风险防范措施，将事故发生概率减少到最低。</w:t>
            </w:r>
          </w:p>
          <w:p w:rsidR="00EE4502" w:rsidRDefault="00FD45A3">
            <w:pPr>
              <w:jc w:val="left"/>
              <w:rPr>
                <w:szCs w:val="21"/>
              </w:rPr>
            </w:pPr>
            <w:r>
              <w:rPr>
                <w:szCs w:val="21"/>
              </w:rPr>
              <w:t>综上所述，</w:t>
            </w:r>
            <w:r>
              <w:rPr>
                <w:rFonts w:hint="eastAsia"/>
                <w:szCs w:val="21"/>
              </w:rPr>
              <w:t>本工</w:t>
            </w:r>
            <w:r>
              <w:rPr>
                <w:rFonts w:hint="eastAsia"/>
                <w:szCs w:val="21"/>
              </w:rPr>
              <w:t>程</w:t>
            </w:r>
            <w:r>
              <w:rPr>
                <w:szCs w:val="21"/>
              </w:rPr>
              <w:t>环境风险程度属于可以防控的。</w:t>
            </w:r>
          </w:p>
        </w:tc>
      </w:tr>
    </w:tbl>
    <w:p w:rsidR="00EE4502" w:rsidRDefault="00EE4502">
      <w:pPr>
        <w:jc w:val="center"/>
        <w:rPr>
          <w:b/>
          <w:kern w:val="21"/>
          <w:szCs w:val="21"/>
        </w:rPr>
      </w:pPr>
    </w:p>
    <w:p w:rsidR="00EE4502" w:rsidRDefault="00EE4502">
      <w:pPr>
        <w:spacing w:line="360" w:lineRule="auto"/>
        <w:ind w:firstLine="522"/>
        <w:rPr>
          <w:sz w:val="24"/>
        </w:rPr>
      </w:pPr>
    </w:p>
    <w:p w:rsidR="00EE4502" w:rsidRDefault="00EE4502">
      <w:pPr>
        <w:spacing w:line="360" w:lineRule="auto"/>
        <w:ind w:firstLine="520"/>
        <w:rPr>
          <w:sz w:val="24"/>
        </w:rPr>
        <w:sectPr w:rsidR="00EE4502">
          <w:headerReference w:type="default" r:id="rId54"/>
          <w:footerReference w:type="default" r:id="rId55"/>
          <w:pgSz w:w="11906" w:h="16838"/>
          <w:pgMar w:top="1440" w:right="1800" w:bottom="1440" w:left="1800" w:header="850" w:footer="850" w:gutter="0"/>
          <w:pgNumType w:fmt="numberInDash"/>
          <w:cols w:space="720"/>
          <w:docGrid w:linePitch="326"/>
        </w:sectPr>
      </w:pPr>
    </w:p>
    <w:p w:rsidR="00EE4502" w:rsidRDefault="00FD45A3">
      <w:pPr>
        <w:pStyle w:val="12"/>
        <w:numPr>
          <w:ilvl w:val="0"/>
          <w:numId w:val="30"/>
        </w:numPr>
        <w:spacing w:before="0" w:after="0" w:line="360" w:lineRule="auto"/>
        <w:ind w:left="0" w:firstLine="0"/>
        <w:rPr>
          <w:b w:val="0"/>
          <w:szCs w:val="30"/>
        </w:rPr>
      </w:pPr>
      <w:bookmarkStart w:id="237" w:name="_Toc25041"/>
      <w:r>
        <w:rPr>
          <w:rFonts w:hint="eastAsia"/>
          <w:b w:val="0"/>
          <w:szCs w:val="30"/>
        </w:rPr>
        <w:lastRenderedPageBreak/>
        <w:t>环境保护措施</w:t>
      </w:r>
      <w:r>
        <w:rPr>
          <w:rFonts w:hint="eastAsia"/>
          <w:b w:val="0"/>
          <w:szCs w:val="30"/>
        </w:rPr>
        <w:t>及</w:t>
      </w:r>
      <w:r>
        <w:rPr>
          <w:rFonts w:hint="eastAsia"/>
          <w:b w:val="0"/>
          <w:szCs w:val="30"/>
        </w:rPr>
        <w:t>可行性论证</w:t>
      </w:r>
      <w:bookmarkEnd w:id="237"/>
    </w:p>
    <w:p w:rsidR="00EE4502" w:rsidRDefault="00FD45A3">
      <w:pPr>
        <w:pStyle w:val="22"/>
        <w:numPr>
          <w:ilvl w:val="1"/>
          <w:numId w:val="30"/>
        </w:numPr>
        <w:rPr>
          <w:spacing w:val="0"/>
          <w:w w:val="100"/>
        </w:rPr>
      </w:pPr>
      <w:bookmarkStart w:id="238" w:name="_Toc4021"/>
      <w:r>
        <w:rPr>
          <w:rFonts w:hint="eastAsia"/>
          <w:spacing w:val="0"/>
          <w:w w:val="100"/>
        </w:rPr>
        <w:t>生态保护措施可行性论证</w:t>
      </w:r>
      <w:bookmarkEnd w:id="238"/>
    </w:p>
    <w:p w:rsidR="00EE4502" w:rsidRDefault="00FD45A3">
      <w:pPr>
        <w:pStyle w:val="33"/>
        <w:numPr>
          <w:ilvl w:val="2"/>
          <w:numId w:val="30"/>
        </w:numPr>
        <w:spacing w:line="360" w:lineRule="auto"/>
        <w:ind w:left="0" w:firstLine="0"/>
        <w:rPr>
          <w:spacing w:val="0"/>
          <w:sz w:val="24"/>
          <w:szCs w:val="24"/>
        </w:rPr>
      </w:pPr>
      <w:r>
        <w:rPr>
          <w:rFonts w:hint="eastAsia"/>
          <w:spacing w:val="0"/>
          <w:sz w:val="24"/>
          <w:szCs w:val="24"/>
        </w:rPr>
        <w:t>施工期</w:t>
      </w:r>
      <w:r>
        <w:rPr>
          <w:spacing w:val="0"/>
          <w:sz w:val="24"/>
          <w:szCs w:val="24"/>
        </w:rPr>
        <w:t>生态环境保护措施</w:t>
      </w:r>
    </w:p>
    <w:p w:rsidR="00EE4502" w:rsidRDefault="00FD45A3">
      <w:pPr>
        <w:pStyle w:val="41"/>
        <w:numPr>
          <w:ilvl w:val="3"/>
          <w:numId w:val="30"/>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bCs w:val="0"/>
          <w:sz w:val="24"/>
          <w:szCs w:val="24"/>
        </w:rPr>
        <w:t>井场工程生态保护措施要求</w:t>
      </w:r>
    </w:p>
    <w:p w:rsidR="00EE4502" w:rsidRDefault="00FD45A3">
      <w:pPr>
        <w:numPr>
          <w:ilvl w:val="0"/>
          <w:numId w:val="38"/>
        </w:numPr>
        <w:spacing w:line="360" w:lineRule="auto"/>
        <w:ind w:firstLine="522"/>
        <w:rPr>
          <w:sz w:val="24"/>
        </w:rPr>
      </w:pPr>
      <w:r>
        <w:rPr>
          <w:sz w:val="24"/>
        </w:rPr>
        <w:t>对油田区域内</w:t>
      </w:r>
      <w:r>
        <w:rPr>
          <w:rFonts w:hint="eastAsia"/>
          <w:sz w:val="24"/>
        </w:rPr>
        <w:t>井场</w:t>
      </w:r>
      <w:r>
        <w:rPr>
          <w:sz w:val="24"/>
        </w:rPr>
        <w:t>占地合理规划，严格控制占地面积，减少扰动面积，减少</w:t>
      </w:r>
      <w:r>
        <w:rPr>
          <w:rFonts w:hint="eastAsia"/>
          <w:sz w:val="24"/>
        </w:rPr>
        <w:t>林地</w:t>
      </w:r>
      <w:r>
        <w:rPr>
          <w:sz w:val="24"/>
        </w:rPr>
        <w:t>的占用。</w:t>
      </w:r>
    </w:p>
    <w:p w:rsidR="00EE4502" w:rsidRDefault="00FD45A3">
      <w:pPr>
        <w:numPr>
          <w:ilvl w:val="0"/>
          <w:numId w:val="38"/>
        </w:numPr>
        <w:spacing w:line="360" w:lineRule="auto"/>
        <w:ind w:firstLine="522"/>
        <w:rPr>
          <w:sz w:val="24"/>
        </w:rPr>
      </w:pPr>
      <w:r>
        <w:rPr>
          <w:rFonts w:hint="eastAsia"/>
          <w:sz w:val="24"/>
        </w:rPr>
        <w:t>钻井过程中严格执行钻井</w:t>
      </w:r>
      <w:r>
        <w:rPr>
          <w:rFonts w:hint="eastAsia"/>
          <w:sz w:val="24"/>
        </w:rPr>
        <w:t>生态环境保护</w:t>
      </w:r>
      <w:r>
        <w:rPr>
          <w:rFonts w:hint="eastAsia"/>
          <w:sz w:val="24"/>
        </w:rPr>
        <w:t>管理规定，岩屑、废弃泥浆处置应符合《油气田含油污泥及钻井固体废物处理处置控制技术规范》（</w:t>
      </w:r>
      <w:r>
        <w:rPr>
          <w:rFonts w:hint="eastAsia"/>
          <w:sz w:val="24"/>
        </w:rPr>
        <w:t>DB65/T3999-2017</w:t>
      </w:r>
      <w:r>
        <w:rPr>
          <w:rFonts w:hint="eastAsia"/>
          <w:sz w:val="24"/>
        </w:rPr>
        <w:t>）要求。采用泥浆不落地技术在井场进行固液分离，分离后的液体回用于钻井液配备，固相交由有资质的单位处置。污油、药品回收利用，防止污水、污油、泥浆、药品的随意乱丢乱放。</w:t>
      </w:r>
    </w:p>
    <w:p w:rsidR="00EE4502" w:rsidRDefault="00FD45A3">
      <w:pPr>
        <w:numPr>
          <w:ilvl w:val="0"/>
          <w:numId w:val="38"/>
        </w:numPr>
        <w:spacing w:line="360" w:lineRule="auto"/>
        <w:ind w:firstLine="522"/>
        <w:rPr>
          <w:sz w:val="24"/>
        </w:rPr>
      </w:pPr>
      <w:r>
        <w:rPr>
          <w:sz w:val="24"/>
        </w:rPr>
        <w:t>加强井区的野生动物保护，对施工人员进行野生动物保护法的宣传教育，严禁施工人员猎杀野生动物。</w:t>
      </w:r>
    </w:p>
    <w:p w:rsidR="00EE4502" w:rsidRDefault="00FD45A3">
      <w:pPr>
        <w:numPr>
          <w:ilvl w:val="0"/>
          <w:numId w:val="38"/>
        </w:numPr>
        <w:spacing w:line="360" w:lineRule="auto"/>
        <w:ind w:firstLine="522"/>
        <w:rPr>
          <w:sz w:val="24"/>
        </w:rPr>
      </w:pPr>
      <w:r>
        <w:rPr>
          <w:rFonts w:hint="eastAsia"/>
          <w:sz w:val="24"/>
        </w:rPr>
        <w:t>尽量减少因施工对植被的破坏，施工前对施工人员进行环保培训，要求施工人员能识别保护植物，井场和管线尽量避开公益林分布区，临时占用基本林地需</w:t>
      </w:r>
      <w:r>
        <w:rPr>
          <w:rFonts w:hint="eastAsia"/>
          <w:sz w:val="24"/>
        </w:rPr>
        <w:t>按要求办理临时占地手续方可开工。禁止采伐工程临时、永久占地外生长的保护植物。施工中大量建筑材料的调运及人员的流动，会增加作业区内的拥挤度，施工区设置明显的作业区域标志，加强管理，把施工作业严格控制在作业区内。本环评要求，井场在施工过程中，严禁对植被碾压破坏。尤其对占有植被的井场，要严格控制扰动面积，施工过程中严格按照施工场地界线范围内施工，并安排专人检查。</w:t>
      </w:r>
    </w:p>
    <w:p w:rsidR="00EE4502" w:rsidRDefault="00FD45A3">
      <w:pPr>
        <w:numPr>
          <w:ilvl w:val="0"/>
          <w:numId w:val="38"/>
        </w:numPr>
        <w:spacing w:line="360" w:lineRule="auto"/>
        <w:ind w:firstLine="522"/>
        <w:rPr>
          <w:sz w:val="24"/>
        </w:rPr>
      </w:pPr>
      <w:r>
        <w:rPr>
          <w:rFonts w:hint="eastAsia"/>
          <w:sz w:val="24"/>
        </w:rPr>
        <w:t>井场施工在开挖地表、平整土地时，临时堆土必须进行拦挡，施工完毕，应尽快整理施工现场。</w:t>
      </w:r>
    </w:p>
    <w:p w:rsidR="00EE4502" w:rsidRDefault="00FD45A3">
      <w:pPr>
        <w:numPr>
          <w:ilvl w:val="0"/>
          <w:numId w:val="38"/>
        </w:numPr>
        <w:spacing w:line="360" w:lineRule="auto"/>
        <w:ind w:firstLine="522"/>
        <w:rPr>
          <w:sz w:val="24"/>
        </w:rPr>
      </w:pPr>
      <w:r>
        <w:rPr>
          <w:rFonts w:hint="eastAsia"/>
          <w:sz w:val="24"/>
        </w:rPr>
        <w:t>对井场地表进行砾石压盖，防止由于地表扰动造成的水土流失。</w:t>
      </w:r>
    </w:p>
    <w:p w:rsidR="00EE4502" w:rsidRDefault="00FD45A3">
      <w:pPr>
        <w:pStyle w:val="41"/>
        <w:numPr>
          <w:ilvl w:val="3"/>
          <w:numId w:val="30"/>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bCs w:val="0"/>
          <w:sz w:val="24"/>
          <w:szCs w:val="24"/>
        </w:rPr>
        <w:t>管线工程生态保护措施要求</w:t>
      </w:r>
    </w:p>
    <w:p w:rsidR="00EE4502" w:rsidRDefault="00FD45A3">
      <w:pPr>
        <w:spacing w:line="360" w:lineRule="auto"/>
        <w:ind w:firstLine="522"/>
        <w:rPr>
          <w:sz w:val="24"/>
        </w:rPr>
      </w:pPr>
      <w:r>
        <w:rPr>
          <w:sz w:val="24"/>
        </w:rPr>
        <w:t>（</w:t>
      </w:r>
      <w:r>
        <w:rPr>
          <w:sz w:val="24"/>
        </w:rPr>
        <w:t>1</w:t>
      </w:r>
      <w:r>
        <w:rPr>
          <w:sz w:val="24"/>
        </w:rPr>
        <w:t>）对油田区域内的临时性占地（集输管线）</w:t>
      </w:r>
      <w:r>
        <w:rPr>
          <w:rFonts w:hint="eastAsia"/>
          <w:sz w:val="24"/>
        </w:rPr>
        <w:t>及永久占地（注汽管线）</w:t>
      </w:r>
      <w:r>
        <w:rPr>
          <w:sz w:val="24"/>
        </w:rPr>
        <w:t>合理规划，严格控制占地面积，尽量避让植被较多的区域。</w:t>
      </w:r>
    </w:p>
    <w:p w:rsidR="00EE4502" w:rsidRDefault="00FD45A3">
      <w:pPr>
        <w:spacing w:line="360" w:lineRule="auto"/>
        <w:ind w:firstLine="522"/>
        <w:rPr>
          <w:sz w:val="24"/>
        </w:rPr>
      </w:pPr>
      <w:r>
        <w:rPr>
          <w:sz w:val="24"/>
        </w:rPr>
        <w:t>（</w:t>
      </w:r>
      <w:r>
        <w:rPr>
          <w:sz w:val="24"/>
        </w:rPr>
        <w:t>2</w:t>
      </w:r>
      <w:r>
        <w:rPr>
          <w:sz w:val="24"/>
        </w:rPr>
        <w:t>）根据地形条件，尽量按地形走向、起伏施工，减少挖填作业量</w:t>
      </w:r>
      <w:r>
        <w:rPr>
          <w:rFonts w:hint="eastAsia"/>
          <w:sz w:val="24"/>
        </w:rPr>
        <w:t>，尽量与道路走向一致，沿道路敷设</w:t>
      </w:r>
      <w:r>
        <w:rPr>
          <w:sz w:val="24"/>
        </w:rPr>
        <w:t>。</w:t>
      </w:r>
    </w:p>
    <w:p w:rsidR="00EE4502" w:rsidRDefault="00FD45A3">
      <w:pPr>
        <w:spacing w:line="360" w:lineRule="auto"/>
        <w:ind w:firstLine="522"/>
        <w:rPr>
          <w:sz w:val="24"/>
        </w:rPr>
      </w:pPr>
      <w:r>
        <w:rPr>
          <w:sz w:val="24"/>
        </w:rPr>
        <w:lastRenderedPageBreak/>
        <w:t>（</w:t>
      </w:r>
      <w:r>
        <w:rPr>
          <w:sz w:val="24"/>
        </w:rPr>
        <w:t>3</w:t>
      </w:r>
      <w:r>
        <w:rPr>
          <w:sz w:val="24"/>
        </w:rPr>
        <w:t>）施工结束后，应恢复地貌原状。施工时对管沟开挖的土壤做分层堆放，分层回填压实，以保护植被生长层，降低对土壤养分的影响，尽快使土壤恢复生产力，同时减少水土流失。</w:t>
      </w:r>
    </w:p>
    <w:p w:rsidR="00EE4502" w:rsidRDefault="00FD45A3">
      <w:pPr>
        <w:spacing w:line="360" w:lineRule="auto"/>
        <w:ind w:firstLine="522"/>
        <w:rPr>
          <w:sz w:val="24"/>
        </w:rPr>
      </w:pPr>
      <w:r>
        <w:rPr>
          <w:sz w:val="24"/>
        </w:rPr>
        <w:t>（</w:t>
      </w:r>
      <w:r>
        <w:rPr>
          <w:sz w:val="24"/>
        </w:rPr>
        <w:t>4</w:t>
      </w:r>
      <w:r>
        <w:rPr>
          <w:sz w:val="24"/>
        </w:rPr>
        <w:t>）对管沟回填后多余的弃土严禁大量集中弃置，应均匀分散在管线中心两侧，并使管沟与周围自然地表形成平滑过渡，</w:t>
      </w:r>
      <w:r>
        <w:rPr>
          <w:sz w:val="24"/>
        </w:rPr>
        <w:t>不得形成汇水环境，防止水土流失。管线所经地段的原始地表存在局部凹地时，若有积水的可能，需采用管沟多余土或借土填高以防地表水汇集。对敷设在较平坦地段的管道，应在地貌恢复后使管沟与附近地表自然过渡，回填土与周围地表坡向保持一致，严禁在管沟两侧有积水环境存在。</w:t>
      </w:r>
    </w:p>
    <w:p w:rsidR="00EE4502" w:rsidRDefault="00FD45A3">
      <w:pPr>
        <w:spacing w:line="360" w:lineRule="auto"/>
        <w:ind w:firstLine="522"/>
        <w:rPr>
          <w:sz w:val="24"/>
        </w:rPr>
      </w:pPr>
      <w:r>
        <w:rPr>
          <w:sz w:val="24"/>
        </w:rPr>
        <w:t>（</w:t>
      </w:r>
      <w:r>
        <w:rPr>
          <w:sz w:val="24"/>
        </w:rPr>
        <w:t>5</w:t>
      </w:r>
      <w:r>
        <w:rPr>
          <w:sz w:val="24"/>
        </w:rPr>
        <w:t>）在施工过程中，应加强施工人员的管理，禁止施工人员破坏沿线地区的生态环境。</w:t>
      </w:r>
    </w:p>
    <w:p w:rsidR="00EE4502" w:rsidRDefault="00FD45A3">
      <w:pPr>
        <w:spacing w:line="360" w:lineRule="auto"/>
        <w:ind w:firstLine="522"/>
        <w:rPr>
          <w:sz w:val="24"/>
        </w:rPr>
      </w:pPr>
      <w:r>
        <w:rPr>
          <w:sz w:val="24"/>
        </w:rPr>
        <w:t>（</w:t>
      </w:r>
      <w:r>
        <w:rPr>
          <w:sz w:val="24"/>
        </w:rPr>
        <w:t>6</w:t>
      </w:r>
      <w:r>
        <w:rPr>
          <w:sz w:val="24"/>
        </w:rPr>
        <w:t>）禁止施工人员对野生动物尤其是珍稀动物的滥捕滥杀，</w:t>
      </w:r>
      <w:r>
        <w:rPr>
          <w:rFonts w:hint="eastAsia"/>
          <w:sz w:val="24"/>
        </w:rPr>
        <w:t>做好</w:t>
      </w:r>
      <w:r>
        <w:rPr>
          <w:sz w:val="24"/>
        </w:rPr>
        <w:t>野生动物的保护工作。</w:t>
      </w:r>
    </w:p>
    <w:p w:rsidR="00EE4502" w:rsidRDefault="00FD45A3">
      <w:pPr>
        <w:spacing w:line="360" w:lineRule="auto"/>
        <w:ind w:firstLine="522"/>
        <w:rPr>
          <w:sz w:val="24"/>
        </w:rPr>
      </w:pPr>
      <w:r>
        <w:rPr>
          <w:rFonts w:hint="eastAsia"/>
          <w:sz w:val="24"/>
        </w:rPr>
        <w:t>本工程</w:t>
      </w:r>
      <w:r>
        <w:rPr>
          <w:rFonts w:hint="eastAsia"/>
          <w:sz w:val="24"/>
        </w:rPr>
        <w:t>管沟开挖及井场管线施工生态环境保护措施平面布置及设计图见图</w:t>
      </w:r>
      <w:r>
        <w:rPr>
          <w:rFonts w:hint="eastAsia"/>
          <w:sz w:val="24"/>
        </w:rPr>
        <w:t>6.1-1</w:t>
      </w:r>
      <w:r>
        <w:rPr>
          <w:rFonts w:hint="eastAsia"/>
          <w:sz w:val="24"/>
        </w:rPr>
        <w:t>。</w:t>
      </w:r>
    </w:p>
    <w:p w:rsidR="00EE4502" w:rsidRDefault="00EE4502">
      <w:pPr>
        <w:spacing w:line="360" w:lineRule="auto"/>
        <w:jc w:val="center"/>
      </w:pPr>
    </w:p>
    <w:p w:rsidR="00EE4502" w:rsidRDefault="00EE4502">
      <w:pPr>
        <w:spacing w:line="360" w:lineRule="auto"/>
        <w:ind w:firstLine="522"/>
        <w:rPr>
          <w:sz w:val="24"/>
        </w:rPr>
        <w:sectPr w:rsidR="00EE4502">
          <w:footerReference w:type="default" r:id="rId56"/>
          <w:pgSz w:w="11906" w:h="16838"/>
          <w:pgMar w:top="1440" w:right="1800" w:bottom="1440" w:left="1800" w:header="850" w:footer="850" w:gutter="0"/>
          <w:pgNumType w:fmt="numberInDash"/>
          <w:cols w:space="720"/>
          <w:docGrid w:linePitch="326"/>
        </w:sectPr>
      </w:pPr>
    </w:p>
    <w:p w:rsidR="00EE4502" w:rsidRDefault="00FD45A3">
      <w:pPr>
        <w:pStyle w:val="41"/>
        <w:numPr>
          <w:ilvl w:val="3"/>
          <w:numId w:val="30"/>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hint="eastAsia"/>
          <w:bCs w:val="0"/>
          <w:sz w:val="24"/>
          <w:szCs w:val="24"/>
        </w:rPr>
        <w:lastRenderedPageBreak/>
        <w:t>敏感区段（公益林）的生态保护措施</w:t>
      </w:r>
    </w:p>
    <w:p w:rsidR="00EE4502" w:rsidRDefault="00FD45A3">
      <w:pPr>
        <w:numPr>
          <w:ilvl w:val="0"/>
          <w:numId w:val="39"/>
        </w:numPr>
        <w:spacing w:line="360" w:lineRule="auto"/>
        <w:ind w:firstLineChars="200" w:firstLine="480"/>
        <w:rPr>
          <w:sz w:val="24"/>
        </w:rPr>
      </w:pPr>
      <w:r>
        <w:rPr>
          <w:rFonts w:hint="eastAsia"/>
          <w:sz w:val="24"/>
        </w:rPr>
        <w:t>井场、管线等工程建设前，应对施工场地周边进行现场调查，</w:t>
      </w:r>
      <w:r>
        <w:rPr>
          <w:sz w:val="24"/>
        </w:rPr>
        <w:t>严格限定施工的工作范围，严禁自行扩大施工用地范围。</w:t>
      </w:r>
    </w:p>
    <w:p w:rsidR="00EE4502" w:rsidRDefault="00FD45A3">
      <w:pPr>
        <w:numPr>
          <w:ilvl w:val="0"/>
          <w:numId w:val="39"/>
        </w:numPr>
        <w:spacing w:line="360" w:lineRule="auto"/>
        <w:ind w:firstLineChars="200" w:firstLine="480"/>
        <w:rPr>
          <w:sz w:val="24"/>
        </w:rPr>
      </w:pPr>
      <w:r>
        <w:rPr>
          <w:sz w:val="24"/>
        </w:rPr>
        <w:t>施工期间应对占地范围外的</w:t>
      </w:r>
      <w:r>
        <w:rPr>
          <w:rFonts w:hint="eastAsia"/>
          <w:sz w:val="24"/>
        </w:rPr>
        <w:t>公益林</w:t>
      </w:r>
      <w:r>
        <w:rPr>
          <w:sz w:val="24"/>
        </w:rPr>
        <w:t>进行管护</w:t>
      </w:r>
      <w:r>
        <w:rPr>
          <w:rFonts w:hint="eastAsia"/>
          <w:sz w:val="24"/>
        </w:rPr>
        <w:t>，并尽量减少对公益林植被的破坏，</w:t>
      </w:r>
      <w:r>
        <w:rPr>
          <w:sz w:val="24"/>
        </w:rPr>
        <w:t>管线施工作业带控制在</w:t>
      </w:r>
      <w:r>
        <w:rPr>
          <w:rFonts w:hint="eastAsia"/>
          <w:sz w:val="24"/>
        </w:rPr>
        <w:t>8</w:t>
      </w:r>
      <w:r>
        <w:rPr>
          <w:sz w:val="24"/>
        </w:rPr>
        <w:t>m</w:t>
      </w:r>
      <w:r>
        <w:rPr>
          <w:sz w:val="24"/>
        </w:rPr>
        <w:t>内。</w:t>
      </w:r>
    </w:p>
    <w:p w:rsidR="00EE4502" w:rsidRDefault="00FD45A3">
      <w:pPr>
        <w:numPr>
          <w:ilvl w:val="0"/>
          <w:numId w:val="39"/>
        </w:numPr>
        <w:spacing w:line="360" w:lineRule="auto"/>
        <w:ind w:firstLineChars="200" w:firstLine="480"/>
        <w:rPr>
          <w:sz w:val="24"/>
        </w:rPr>
      </w:pPr>
      <w:r>
        <w:rPr>
          <w:sz w:val="24"/>
        </w:rPr>
        <w:t>施工过程中，加强施工人员的管理，</w:t>
      </w:r>
      <w:r>
        <w:rPr>
          <w:rFonts w:hint="eastAsia"/>
          <w:sz w:val="24"/>
        </w:rPr>
        <w:t>应对施工区域表土进行剥离，避开农忙季节施工，并对施工后的土地进行复垦；</w:t>
      </w:r>
      <w:r>
        <w:rPr>
          <w:sz w:val="24"/>
        </w:rPr>
        <w:t>禁止施工人员对农作物、野生植被</w:t>
      </w:r>
      <w:r>
        <w:rPr>
          <w:rFonts w:hint="eastAsia"/>
          <w:sz w:val="24"/>
        </w:rPr>
        <w:t>乱砍滥伐</w:t>
      </w:r>
      <w:r>
        <w:rPr>
          <w:sz w:val="24"/>
        </w:rPr>
        <w:t>，严格限制人员的活动范围，保护沿线的生态环境。</w:t>
      </w:r>
    </w:p>
    <w:p w:rsidR="00EE4502" w:rsidRDefault="00FD45A3">
      <w:pPr>
        <w:numPr>
          <w:ilvl w:val="0"/>
          <w:numId w:val="39"/>
        </w:numPr>
        <w:spacing w:line="360" w:lineRule="auto"/>
        <w:ind w:firstLineChars="200" w:firstLine="480"/>
        <w:rPr>
          <w:sz w:val="24"/>
        </w:rPr>
      </w:pPr>
      <w:r>
        <w:rPr>
          <w:sz w:val="24"/>
        </w:rPr>
        <w:t>确保施工人员和车辆在规定范围内作业，尽量减少对作业区周围植被的影响；工程完工后，要对沿线管线占地面积进行调查，尽量恢复，优化原有的自然环境和绿地占有水平。</w:t>
      </w:r>
    </w:p>
    <w:p w:rsidR="00EE4502" w:rsidRDefault="00FD45A3">
      <w:pPr>
        <w:numPr>
          <w:ilvl w:val="0"/>
          <w:numId w:val="39"/>
        </w:numPr>
        <w:spacing w:line="360" w:lineRule="auto"/>
        <w:ind w:firstLineChars="200" w:firstLine="480"/>
        <w:rPr>
          <w:sz w:val="24"/>
        </w:rPr>
      </w:pPr>
      <w:r>
        <w:rPr>
          <w:rFonts w:hint="eastAsia"/>
          <w:sz w:val="24"/>
        </w:rPr>
        <w:t>本工程</w:t>
      </w:r>
      <w:r>
        <w:rPr>
          <w:sz w:val="24"/>
        </w:rPr>
        <w:t>所涉及的永久占地和临时占地都应按有关土地管理办法的要求，报有审批权的政府部门批准。对于永久占地，应纳入地方土地利用规划中，并按有关土地管理部门要求认真执行。</w:t>
      </w:r>
    </w:p>
    <w:p w:rsidR="00EE4502" w:rsidRDefault="00FD45A3">
      <w:pPr>
        <w:numPr>
          <w:ilvl w:val="0"/>
          <w:numId w:val="39"/>
        </w:numPr>
        <w:spacing w:line="360" w:lineRule="auto"/>
        <w:ind w:firstLineChars="200" w:firstLine="480"/>
        <w:rPr>
          <w:sz w:val="24"/>
        </w:rPr>
      </w:pPr>
      <w:r>
        <w:rPr>
          <w:rFonts w:hint="eastAsia"/>
          <w:sz w:val="24"/>
        </w:rPr>
        <w:t>项目在施工时，施工材料在用地红线内堆放，并用抑尘网覆盖等措施；施工完成后做好现场清理及恢复工作，尽可能降低施工对生态系统带来的不利影响。</w:t>
      </w:r>
    </w:p>
    <w:p w:rsidR="00EE4502" w:rsidRDefault="00FD45A3">
      <w:pPr>
        <w:numPr>
          <w:ilvl w:val="0"/>
          <w:numId w:val="39"/>
        </w:numPr>
        <w:spacing w:line="360" w:lineRule="auto"/>
        <w:ind w:firstLineChars="200" w:firstLine="480"/>
        <w:rPr>
          <w:sz w:val="24"/>
        </w:rPr>
      </w:pPr>
      <w:r>
        <w:rPr>
          <w:rFonts w:hint="eastAsia"/>
          <w:sz w:val="24"/>
        </w:rPr>
        <w:t>应当首先对拟占用临时用地进行表土剥离，剥离的表土用于恢复植被。禁止将重金属污染物或者其他有毒有害物质用作回填或者充填材料。</w:t>
      </w:r>
    </w:p>
    <w:p w:rsidR="00EE4502" w:rsidRDefault="00FD45A3">
      <w:pPr>
        <w:numPr>
          <w:ilvl w:val="0"/>
          <w:numId w:val="39"/>
        </w:numPr>
        <w:spacing w:line="360" w:lineRule="auto"/>
        <w:ind w:firstLineChars="200" w:firstLine="480"/>
        <w:rPr>
          <w:sz w:val="24"/>
        </w:rPr>
      </w:pPr>
      <w:r>
        <w:rPr>
          <w:rFonts w:hint="eastAsia"/>
          <w:sz w:val="24"/>
        </w:rPr>
        <w:t>严格落实临时用地恢复责任，临时用地期满后应当拆除临时建（构）筑物，保护土壤质量与生态环境，避免污染土壤和地下水。</w:t>
      </w:r>
    </w:p>
    <w:p w:rsidR="00EE4502" w:rsidRDefault="00FD45A3">
      <w:pPr>
        <w:pStyle w:val="41"/>
        <w:numPr>
          <w:ilvl w:val="3"/>
          <w:numId w:val="30"/>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hint="eastAsia"/>
          <w:bCs w:val="0"/>
          <w:sz w:val="24"/>
          <w:szCs w:val="24"/>
        </w:rPr>
        <w:t>植物保护措施</w:t>
      </w:r>
    </w:p>
    <w:p w:rsidR="00EE4502" w:rsidRDefault="00FD45A3">
      <w:pPr>
        <w:spacing w:line="360" w:lineRule="auto"/>
        <w:ind w:firstLine="522"/>
        <w:rPr>
          <w:sz w:val="24"/>
        </w:rPr>
      </w:pPr>
      <w:r>
        <w:rPr>
          <w:rFonts w:hint="eastAsia"/>
          <w:sz w:val="24"/>
        </w:rPr>
        <w:t>本次提出对区域植物的生态保护措施，具体如下：</w:t>
      </w:r>
    </w:p>
    <w:p w:rsidR="00EE4502" w:rsidRDefault="00FD45A3">
      <w:pPr>
        <w:spacing w:line="360" w:lineRule="auto"/>
        <w:ind w:firstLine="522"/>
        <w:rPr>
          <w:sz w:val="24"/>
        </w:rPr>
      </w:pPr>
      <w:r>
        <w:rPr>
          <w:rFonts w:hint="eastAsia"/>
          <w:sz w:val="24"/>
        </w:rPr>
        <w:t>（</w:t>
      </w:r>
      <w:r>
        <w:rPr>
          <w:rFonts w:hint="eastAsia"/>
          <w:sz w:val="24"/>
        </w:rPr>
        <w:t>1</w:t>
      </w:r>
      <w:r>
        <w:rPr>
          <w:rFonts w:hint="eastAsia"/>
          <w:sz w:val="24"/>
        </w:rPr>
        <w:t>）井场建设前，选址选线阶段应对施工场地周边进行现场调查，原则上应避开植被</w:t>
      </w:r>
      <w:r>
        <w:rPr>
          <w:rFonts w:hint="eastAsia"/>
          <w:sz w:val="24"/>
        </w:rPr>
        <w:t>长势良好、茂密的区域。</w:t>
      </w:r>
    </w:p>
    <w:p w:rsidR="00EE4502" w:rsidRDefault="00FD45A3">
      <w:pPr>
        <w:spacing w:line="360" w:lineRule="auto"/>
        <w:ind w:firstLine="522"/>
        <w:rPr>
          <w:sz w:val="24"/>
        </w:rPr>
      </w:pPr>
      <w:r>
        <w:rPr>
          <w:rFonts w:hint="eastAsia"/>
          <w:sz w:val="24"/>
        </w:rPr>
        <w:t>（</w:t>
      </w:r>
      <w:r>
        <w:rPr>
          <w:rFonts w:hint="eastAsia"/>
          <w:sz w:val="24"/>
        </w:rPr>
        <w:t>2</w:t>
      </w:r>
      <w:r>
        <w:rPr>
          <w:rFonts w:hint="eastAsia"/>
          <w:sz w:val="24"/>
        </w:rPr>
        <w:t>）在遵循避让原则进行选址后，应在设计中明确各井场、站场建设位置及占地面积，施工作业严格按照设计规定的位置进行建设，不得随意改变、调整施工区域。</w:t>
      </w:r>
    </w:p>
    <w:p w:rsidR="00EE4502" w:rsidRDefault="00FD45A3">
      <w:pPr>
        <w:spacing w:line="360" w:lineRule="auto"/>
        <w:ind w:firstLine="522"/>
        <w:rPr>
          <w:sz w:val="24"/>
        </w:rPr>
      </w:pPr>
      <w:r>
        <w:rPr>
          <w:rFonts w:hint="eastAsia"/>
          <w:sz w:val="24"/>
        </w:rPr>
        <w:t>（</w:t>
      </w:r>
      <w:r>
        <w:rPr>
          <w:rFonts w:hint="eastAsia"/>
          <w:sz w:val="24"/>
        </w:rPr>
        <w:t>3</w:t>
      </w:r>
      <w:r>
        <w:rPr>
          <w:rFonts w:hint="eastAsia"/>
          <w:sz w:val="24"/>
        </w:rPr>
        <w:t>）管线选线阶段，应对拟敷设管线的地表情况进行现场调查，尽可能选择植被稀疏或裸地进行工程建设，原则上管线开挖、敷设及道路建设过程尽量避</w:t>
      </w:r>
      <w:r>
        <w:rPr>
          <w:rFonts w:hint="eastAsia"/>
          <w:sz w:val="24"/>
        </w:rPr>
        <w:lastRenderedPageBreak/>
        <w:t>开植被茂密区域，减少因施工造成的植被破坏。严格界定施工活动范围，尽可能缩小施工作业带宽度，减少对地表的碾压。</w:t>
      </w:r>
    </w:p>
    <w:p w:rsidR="00EE4502" w:rsidRDefault="00FD45A3">
      <w:pPr>
        <w:spacing w:line="360" w:lineRule="auto"/>
        <w:ind w:firstLine="522"/>
        <w:rPr>
          <w:sz w:val="24"/>
        </w:rPr>
      </w:pPr>
      <w:r>
        <w:rPr>
          <w:rFonts w:hint="eastAsia"/>
          <w:sz w:val="24"/>
        </w:rPr>
        <w:t>（</w:t>
      </w:r>
      <w:r>
        <w:rPr>
          <w:rFonts w:hint="eastAsia"/>
          <w:sz w:val="24"/>
        </w:rPr>
        <w:t>4</w:t>
      </w:r>
      <w:r>
        <w:rPr>
          <w:rFonts w:hint="eastAsia"/>
          <w:sz w:val="24"/>
        </w:rPr>
        <w:t>）施工过程中严格规定车辆和各类工作人员的活动范围，使之限于在施工区范围内活动，最大限度减少</w:t>
      </w:r>
      <w:r>
        <w:rPr>
          <w:rFonts w:hint="eastAsia"/>
          <w:sz w:val="24"/>
        </w:rPr>
        <w:t>对荒漠植物生存环境的破坏，避免破坏保护植物。</w:t>
      </w:r>
    </w:p>
    <w:p w:rsidR="00EE4502" w:rsidRDefault="00FD45A3">
      <w:pPr>
        <w:spacing w:line="360" w:lineRule="auto"/>
        <w:ind w:firstLine="522"/>
        <w:rPr>
          <w:sz w:val="24"/>
        </w:rPr>
      </w:pPr>
      <w:r>
        <w:rPr>
          <w:rFonts w:hint="eastAsia"/>
          <w:sz w:val="24"/>
        </w:rPr>
        <w:t>（</w:t>
      </w:r>
      <w:r>
        <w:rPr>
          <w:rFonts w:hint="eastAsia"/>
          <w:sz w:val="24"/>
        </w:rPr>
        <w:t>5</w:t>
      </w:r>
      <w:r>
        <w:rPr>
          <w:rFonts w:hint="eastAsia"/>
          <w:sz w:val="24"/>
        </w:rPr>
        <w:t>）严禁破坏占地范围外的植被，对因占地而造成的植被损失，应当按照正式征地文件，按规定进行经济补偿。</w:t>
      </w:r>
    </w:p>
    <w:p w:rsidR="00EE4502" w:rsidRDefault="00FD45A3">
      <w:pPr>
        <w:spacing w:line="360" w:lineRule="auto"/>
        <w:ind w:firstLine="522"/>
        <w:rPr>
          <w:sz w:val="24"/>
        </w:rPr>
      </w:pPr>
      <w:r>
        <w:rPr>
          <w:rFonts w:hint="eastAsia"/>
          <w:sz w:val="24"/>
        </w:rPr>
        <w:t>（</w:t>
      </w:r>
      <w:r>
        <w:rPr>
          <w:rFonts w:hint="eastAsia"/>
          <w:sz w:val="24"/>
        </w:rPr>
        <w:t>6</w:t>
      </w:r>
      <w:r>
        <w:rPr>
          <w:rFonts w:hint="eastAsia"/>
          <w:sz w:val="24"/>
        </w:rPr>
        <w:t>）严格控制和管理车辆及重型机械的运行范围，所有车辆采用“一”字型作业法，避免并行开辟新路，以减少对保护植物的破坏。</w:t>
      </w:r>
    </w:p>
    <w:p w:rsidR="00EE4502" w:rsidRDefault="00FD45A3">
      <w:pPr>
        <w:spacing w:line="360" w:lineRule="auto"/>
        <w:ind w:firstLine="522"/>
        <w:rPr>
          <w:sz w:val="24"/>
        </w:rPr>
      </w:pPr>
      <w:r>
        <w:rPr>
          <w:rFonts w:hint="eastAsia"/>
          <w:sz w:val="24"/>
        </w:rPr>
        <w:t>（</w:t>
      </w:r>
      <w:r>
        <w:rPr>
          <w:rFonts w:hint="eastAsia"/>
          <w:sz w:val="24"/>
        </w:rPr>
        <w:t>7</w:t>
      </w:r>
      <w:r>
        <w:rPr>
          <w:rFonts w:hint="eastAsia"/>
          <w:sz w:val="24"/>
        </w:rPr>
        <w:t>）加强环境保护宣传工作，设置</w:t>
      </w:r>
      <w:r>
        <w:rPr>
          <w:rFonts w:hint="eastAsia"/>
          <w:sz w:val="24"/>
        </w:rPr>
        <w:t>乱砍滥伐</w:t>
      </w:r>
      <w:r>
        <w:rPr>
          <w:rFonts w:hint="eastAsia"/>
          <w:sz w:val="24"/>
        </w:rPr>
        <w:t>警示标志，增强环保意识，特别是对自然荒漠植被的保护。严禁在场地外砍伐植被，尤其是广泛分布在区域内的灌木林地。</w:t>
      </w:r>
    </w:p>
    <w:p w:rsidR="00EE4502" w:rsidRDefault="00FD45A3">
      <w:pPr>
        <w:spacing w:line="360" w:lineRule="auto"/>
        <w:ind w:firstLine="522"/>
        <w:rPr>
          <w:sz w:val="24"/>
        </w:rPr>
      </w:pPr>
      <w:r>
        <w:rPr>
          <w:rFonts w:hint="eastAsia"/>
          <w:sz w:val="24"/>
        </w:rPr>
        <w:t>（</w:t>
      </w:r>
      <w:r>
        <w:rPr>
          <w:rFonts w:hint="eastAsia"/>
          <w:sz w:val="24"/>
        </w:rPr>
        <w:t>8</w:t>
      </w:r>
      <w:r>
        <w:rPr>
          <w:rFonts w:hint="eastAsia"/>
          <w:sz w:val="24"/>
        </w:rPr>
        <w:t>）加强对施工人员和职工的教育，强化保护野生植物的观念，不得随意踩踏野生植物。</w:t>
      </w:r>
    </w:p>
    <w:p w:rsidR="00EE4502" w:rsidRDefault="00FD45A3">
      <w:pPr>
        <w:pStyle w:val="41"/>
        <w:numPr>
          <w:ilvl w:val="3"/>
          <w:numId w:val="30"/>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hint="eastAsia"/>
          <w:bCs w:val="0"/>
          <w:sz w:val="24"/>
          <w:szCs w:val="24"/>
        </w:rPr>
        <w:t>野生动物生态</w:t>
      </w:r>
      <w:r>
        <w:rPr>
          <w:rFonts w:ascii="Times New Roman" w:eastAsia="宋体" w:hAnsi="Times New Roman" w:hint="eastAsia"/>
          <w:bCs w:val="0"/>
          <w:sz w:val="24"/>
          <w:szCs w:val="24"/>
        </w:rPr>
        <w:t>保护措施</w:t>
      </w:r>
    </w:p>
    <w:p w:rsidR="00EE4502" w:rsidRDefault="00FD45A3">
      <w:pPr>
        <w:spacing w:line="360" w:lineRule="auto"/>
        <w:ind w:firstLine="522"/>
        <w:rPr>
          <w:sz w:val="24"/>
        </w:rPr>
      </w:pPr>
      <w:r>
        <w:rPr>
          <w:rFonts w:hint="eastAsia"/>
          <w:sz w:val="24"/>
        </w:rPr>
        <w:t>经调查，项目所在区域气候干燥，为酷热干旱区，野生动物的栖息生境极为单一，周边无国家及自治区级保护动物。避免对其他野生动物的影响，提出如下生态保护要求：</w:t>
      </w:r>
    </w:p>
    <w:p w:rsidR="00EE4502" w:rsidRDefault="00FD45A3">
      <w:pPr>
        <w:spacing w:line="360" w:lineRule="auto"/>
        <w:ind w:firstLine="522"/>
        <w:rPr>
          <w:sz w:val="24"/>
        </w:rPr>
      </w:pPr>
      <w:r>
        <w:rPr>
          <w:rFonts w:hint="eastAsia"/>
          <w:sz w:val="24"/>
        </w:rPr>
        <w:t>（</w:t>
      </w:r>
      <w:r>
        <w:rPr>
          <w:rFonts w:hint="eastAsia"/>
          <w:sz w:val="24"/>
        </w:rPr>
        <w:t>1</w:t>
      </w:r>
      <w:r>
        <w:rPr>
          <w:rFonts w:hint="eastAsia"/>
          <w:sz w:val="24"/>
        </w:rPr>
        <w:t>）设计选线过程中，尽量避开植被较丰富的区域，最大限度避免破坏野生动物的活动场所和生存环境。</w:t>
      </w:r>
    </w:p>
    <w:p w:rsidR="00EE4502" w:rsidRDefault="00FD45A3">
      <w:pPr>
        <w:spacing w:line="360" w:lineRule="auto"/>
        <w:ind w:firstLine="522"/>
        <w:rPr>
          <w:sz w:val="24"/>
        </w:rPr>
      </w:pPr>
      <w:r>
        <w:rPr>
          <w:rFonts w:hint="eastAsia"/>
          <w:sz w:val="24"/>
        </w:rPr>
        <w:t>（</w:t>
      </w:r>
      <w:r>
        <w:rPr>
          <w:rFonts w:hint="eastAsia"/>
          <w:sz w:val="24"/>
        </w:rPr>
        <w:t>2</w:t>
      </w:r>
      <w:r>
        <w:rPr>
          <w:rFonts w:hint="eastAsia"/>
          <w:sz w:val="24"/>
        </w:rPr>
        <w:t>）为了更好</w:t>
      </w:r>
      <w:r>
        <w:rPr>
          <w:rFonts w:hint="eastAsia"/>
          <w:sz w:val="24"/>
        </w:rPr>
        <w:t>地</w:t>
      </w:r>
      <w:r>
        <w:rPr>
          <w:rFonts w:hint="eastAsia"/>
          <w:sz w:val="24"/>
        </w:rPr>
        <w:t>保护野生动物，建设单位在项目实施过程中要严格规定工作人员的活动范围，使之限于在施工作业带范围内活动，尽量不侵扰野生动物的栖息地。</w:t>
      </w:r>
    </w:p>
    <w:p w:rsidR="00EE4502" w:rsidRDefault="00FD45A3">
      <w:pPr>
        <w:spacing w:line="360" w:lineRule="auto"/>
        <w:ind w:firstLine="522"/>
        <w:rPr>
          <w:sz w:val="24"/>
        </w:rPr>
      </w:pPr>
      <w:r>
        <w:rPr>
          <w:rFonts w:hint="eastAsia"/>
          <w:sz w:val="24"/>
        </w:rPr>
        <w:t>（</w:t>
      </w:r>
      <w:r>
        <w:rPr>
          <w:rFonts w:hint="eastAsia"/>
          <w:sz w:val="24"/>
        </w:rPr>
        <w:t>3</w:t>
      </w:r>
      <w:r>
        <w:rPr>
          <w:rFonts w:hint="eastAsia"/>
          <w:sz w:val="24"/>
        </w:rPr>
        <w:t>）对施工人员开展保护野生动物宣传教育工作，强化保护野生动物的观念，禁止施工人员随意惊吓、捕猎、宰杀野生动物。</w:t>
      </w:r>
    </w:p>
    <w:p w:rsidR="00EE4502" w:rsidRDefault="00FD45A3">
      <w:pPr>
        <w:spacing w:line="360" w:lineRule="auto"/>
        <w:ind w:firstLine="522"/>
        <w:rPr>
          <w:sz w:val="24"/>
        </w:rPr>
      </w:pPr>
      <w:r>
        <w:rPr>
          <w:rFonts w:hint="eastAsia"/>
          <w:sz w:val="24"/>
        </w:rPr>
        <w:t>（</w:t>
      </w:r>
      <w:r>
        <w:rPr>
          <w:rFonts w:hint="eastAsia"/>
          <w:sz w:val="24"/>
        </w:rPr>
        <w:t>4</w:t>
      </w:r>
      <w:r>
        <w:rPr>
          <w:rFonts w:hint="eastAsia"/>
          <w:sz w:val="24"/>
        </w:rPr>
        <w:t>）加强管理，确保各生产设施的正常运行，避免强噪声环境的出现，避免对野生动物的惊扰。</w:t>
      </w:r>
    </w:p>
    <w:p w:rsidR="00EE4502" w:rsidRDefault="00FD45A3">
      <w:pPr>
        <w:pStyle w:val="41"/>
        <w:numPr>
          <w:ilvl w:val="3"/>
          <w:numId w:val="30"/>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hint="eastAsia"/>
          <w:bCs w:val="0"/>
          <w:sz w:val="24"/>
          <w:szCs w:val="24"/>
        </w:rPr>
        <w:t>水土保持措施</w:t>
      </w:r>
    </w:p>
    <w:p w:rsidR="00EE4502" w:rsidRDefault="00FD45A3">
      <w:pPr>
        <w:spacing w:line="360" w:lineRule="auto"/>
        <w:ind w:firstLine="522"/>
        <w:rPr>
          <w:sz w:val="24"/>
        </w:rPr>
      </w:pPr>
      <w:r>
        <w:rPr>
          <w:rFonts w:hint="eastAsia"/>
          <w:sz w:val="24"/>
        </w:rPr>
        <w:t>（</w:t>
      </w:r>
      <w:r>
        <w:rPr>
          <w:rFonts w:hint="eastAsia"/>
          <w:sz w:val="24"/>
        </w:rPr>
        <w:t>1</w:t>
      </w:r>
      <w:r>
        <w:rPr>
          <w:rFonts w:hint="eastAsia"/>
          <w:sz w:val="24"/>
        </w:rPr>
        <w:t>）井场</w:t>
      </w:r>
    </w:p>
    <w:p w:rsidR="00EE4502" w:rsidRDefault="00FD45A3">
      <w:pPr>
        <w:spacing w:line="360" w:lineRule="auto"/>
        <w:ind w:firstLine="522"/>
        <w:rPr>
          <w:sz w:val="24"/>
        </w:rPr>
      </w:pPr>
      <w:r>
        <w:rPr>
          <w:rFonts w:hint="eastAsia"/>
          <w:sz w:val="24"/>
        </w:rPr>
        <w:t>①为保护土地资源，在施工前，对井场所处位置进行表土剥离，剥离的表土作为后期生态恢复；在井场周边修筑地边梗；钻井作业结束后，将井场进行平</w:t>
      </w:r>
      <w:r>
        <w:rPr>
          <w:rFonts w:hint="eastAsia"/>
          <w:sz w:val="24"/>
        </w:rPr>
        <w:lastRenderedPageBreak/>
        <w:t>整，并覆土压实覆盖一层砾石（</w:t>
      </w:r>
      <w:r>
        <w:rPr>
          <w:rFonts w:hint="eastAsia"/>
          <w:sz w:val="24"/>
        </w:rPr>
        <w:t>6cm</w:t>
      </w:r>
      <w:r>
        <w:rPr>
          <w:rFonts w:hint="eastAsia"/>
          <w:sz w:val="24"/>
        </w:rPr>
        <w:t>），防止风蚀现象发生。</w:t>
      </w:r>
    </w:p>
    <w:p w:rsidR="00EE4502" w:rsidRDefault="00FD45A3">
      <w:pPr>
        <w:spacing w:line="360" w:lineRule="auto"/>
        <w:ind w:firstLine="522"/>
        <w:rPr>
          <w:sz w:val="24"/>
        </w:rPr>
      </w:pPr>
      <w:r>
        <w:rPr>
          <w:rFonts w:hint="eastAsia"/>
          <w:sz w:val="24"/>
        </w:rPr>
        <w:t>②植物措施：项目采油井口及井场、道路及集输管线在选址选线阶段尽量选择在植被稀少或荒漠的区域布</w:t>
      </w:r>
      <w:r>
        <w:rPr>
          <w:rFonts w:hint="eastAsia"/>
          <w:sz w:val="24"/>
        </w:rPr>
        <w:t>点，采取少占地、少破坏植被的原则，缩小施工范围；工程施工结束后采取自然恢复的方式对区域植被进行恢复。</w:t>
      </w:r>
    </w:p>
    <w:p w:rsidR="00EE4502" w:rsidRDefault="00FD45A3">
      <w:pPr>
        <w:spacing w:line="360" w:lineRule="auto"/>
        <w:ind w:firstLine="522"/>
        <w:rPr>
          <w:sz w:val="24"/>
        </w:rPr>
      </w:pPr>
      <w:r>
        <w:rPr>
          <w:rFonts w:hint="eastAsia"/>
          <w:sz w:val="24"/>
        </w:rPr>
        <w:t>（</w:t>
      </w:r>
      <w:r>
        <w:rPr>
          <w:rFonts w:hint="eastAsia"/>
          <w:sz w:val="24"/>
        </w:rPr>
        <w:t>2</w:t>
      </w:r>
      <w:r>
        <w:rPr>
          <w:rFonts w:hint="eastAsia"/>
          <w:sz w:val="24"/>
        </w:rPr>
        <w:t>）管线</w:t>
      </w:r>
    </w:p>
    <w:p w:rsidR="00EE4502" w:rsidRDefault="00FD45A3">
      <w:pPr>
        <w:spacing w:line="360" w:lineRule="auto"/>
        <w:ind w:firstLine="522"/>
        <w:rPr>
          <w:sz w:val="24"/>
        </w:rPr>
      </w:pPr>
      <w:r>
        <w:rPr>
          <w:rFonts w:hint="eastAsia"/>
          <w:sz w:val="24"/>
        </w:rPr>
        <w:t>本工程</w:t>
      </w:r>
      <w:r>
        <w:rPr>
          <w:rFonts w:hint="eastAsia"/>
          <w:sz w:val="24"/>
        </w:rPr>
        <w:t>水土流失主要发生在施工期，本环评建议对此采用工程措施与植物措施相结合的方式。在工程措施中，要限制施工作业扰动范围，开挖出的土按表层及深层分开堆放。下管后深层土填入下层，表层土覆于上层，然后洒水“封育”。</w:t>
      </w:r>
    </w:p>
    <w:p w:rsidR="00EE4502" w:rsidRDefault="00FD45A3">
      <w:pPr>
        <w:spacing w:line="360" w:lineRule="auto"/>
        <w:ind w:firstLine="522"/>
        <w:rPr>
          <w:sz w:val="24"/>
        </w:rPr>
      </w:pPr>
      <w:r>
        <w:rPr>
          <w:rFonts w:hint="eastAsia"/>
          <w:sz w:val="24"/>
        </w:rPr>
        <w:t>由于管线敷设地面还形成一条高于地面的土埂，因此若供排水与地表天然排水方向垂直，则要分段设排水沟。</w:t>
      </w:r>
    </w:p>
    <w:p w:rsidR="00EE4502" w:rsidRDefault="00FD45A3">
      <w:pPr>
        <w:spacing w:line="360" w:lineRule="auto"/>
        <w:ind w:firstLine="522"/>
        <w:rPr>
          <w:sz w:val="24"/>
        </w:rPr>
      </w:pPr>
      <w:r>
        <w:rPr>
          <w:rFonts w:hint="eastAsia"/>
          <w:sz w:val="24"/>
        </w:rPr>
        <w:t>（</w:t>
      </w:r>
      <w:r>
        <w:rPr>
          <w:rFonts w:hint="eastAsia"/>
          <w:sz w:val="24"/>
        </w:rPr>
        <w:t>3</w:t>
      </w:r>
      <w:r>
        <w:rPr>
          <w:rFonts w:hint="eastAsia"/>
          <w:sz w:val="24"/>
        </w:rPr>
        <w:t>）植物措施草树种优选及质量要求</w:t>
      </w:r>
    </w:p>
    <w:p w:rsidR="00EE4502" w:rsidRDefault="00FD45A3">
      <w:pPr>
        <w:spacing w:line="360" w:lineRule="auto"/>
        <w:ind w:firstLine="522"/>
        <w:rPr>
          <w:sz w:val="24"/>
        </w:rPr>
      </w:pPr>
      <w:r>
        <w:rPr>
          <w:rFonts w:hint="eastAsia"/>
          <w:sz w:val="24"/>
        </w:rPr>
        <w:t>本着“因地制宜、适地适树适草”的原则，根据项目自身特点和所处地区的气候特点，临时占地选择适宜的农作物作为场内恢复绿化。</w:t>
      </w:r>
    </w:p>
    <w:p w:rsidR="00EE4502" w:rsidRDefault="00FD45A3">
      <w:pPr>
        <w:pStyle w:val="33"/>
        <w:numPr>
          <w:ilvl w:val="2"/>
          <w:numId w:val="30"/>
        </w:numPr>
        <w:spacing w:line="360" w:lineRule="auto"/>
        <w:ind w:left="0" w:firstLine="0"/>
        <w:rPr>
          <w:spacing w:val="0"/>
          <w:sz w:val="24"/>
          <w:szCs w:val="24"/>
        </w:rPr>
      </w:pPr>
      <w:r>
        <w:rPr>
          <w:rFonts w:hint="eastAsia"/>
          <w:spacing w:val="0"/>
          <w:sz w:val="24"/>
          <w:szCs w:val="24"/>
        </w:rPr>
        <w:t>运营期</w:t>
      </w:r>
      <w:r>
        <w:rPr>
          <w:spacing w:val="0"/>
          <w:sz w:val="24"/>
          <w:szCs w:val="24"/>
        </w:rPr>
        <w:t>生态保护措施</w:t>
      </w:r>
    </w:p>
    <w:p w:rsidR="00EE4502" w:rsidRDefault="00FD45A3">
      <w:pPr>
        <w:spacing w:line="360" w:lineRule="auto"/>
        <w:ind w:firstLine="522"/>
        <w:rPr>
          <w:sz w:val="24"/>
        </w:rPr>
      </w:pPr>
      <w:r>
        <w:rPr>
          <w:sz w:val="24"/>
        </w:rPr>
        <w:t>（</w:t>
      </w:r>
      <w:r>
        <w:rPr>
          <w:sz w:val="24"/>
        </w:rPr>
        <w:t>1</w:t>
      </w:r>
      <w:r>
        <w:rPr>
          <w:sz w:val="24"/>
        </w:rPr>
        <w:t>）监督和管理措施</w:t>
      </w:r>
    </w:p>
    <w:p w:rsidR="00EE4502" w:rsidRDefault="00FD45A3">
      <w:pPr>
        <w:spacing w:line="360" w:lineRule="auto"/>
        <w:ind w:firstLine="522"/>
        <w:rPr>
          <w:bCs/>
          <w:sz w:val="24"/>
        </w:rPr>
      </w:pPr>
      <w:r>
        <w:rPr>
          <w:rFonts w:ascii="宋体" w:hAnsi="宋体" w:cs="宋体" w:hint="eastAsia"/>
          <w:bCs/>
          <w:sz w:val="24"/>
        </w:rPr>
        <w:t>①</w:t>
      </w:r>
      <w:r>
        <w:rPr>
          <w:bCs/>
          <w:sz w:val="24"/>
        </w:rPr>
        <w:t>针对</w:t>
      </w:r>
      <w:r>
        <w:rPr>
          <w:rFonts w:hint="eastAsia"/>
          <w:bCs/>
          <w:sz w:val="24"/>
        </w:rPr>
        <w:t>本工程</w:t>
      </w:r>
      <w:r>
        <w:rPr>
          <w:bCs/>
          <w:sz w:val="24"/>
        </w:rPr>
        <w:t>的建设，中石化新疆新春石油开发有限责任公司安全环保部负责工程建设及运营期间对生态环境保护工作，落实</w:t>
      </w:r>
      <w:r>
        <w:rPr>
          <w:rFonts w:hint="eastAsia"/>
          <w:bCs/>
          <w:sz w:val="24"/>
        </w:rPr>
        <w:t>本工程</w:t>
      </w:r>
      <w:r>
        <w:rPr>
          <w:bCs/>
          <w:sz w:val="24"/>
        </w:rPr>
        <w:t>环保措施的实施并与各施工单位</w:t>
      </w:r>
      <w:r>
        <w:rPr>
          <w:rFonts w:hint="eastAsia"/>
          <w:bCs/>
          <w:sz w:val="24"/>
        </w:rPr>
        <w:t>签订</w:t>
      </w:r>
      <w:r>
        <w:rPr>
          <w:bCs/>
          <w:sz w:val="24"/>
        </w:rPr>
        <w:t>详细的环境保护协议，明确各方的责任以及奖惩规定。</w:t>
      </w:r>
    </w:p>
    <w:p w:rsidR="00EE4502" w:rsidRDefault="00FD45A3">
      <w:pPr>
        <w:spacing w:line="360" w:lineRule="auto"/>
        <w:ind w:firstLine="522"/>
        <w:rPr>
          <w:bCs/>
          <w:sz w:val="24"/>
        </w:rPr>
      </w:pPr>
      <w:r>
        <w:rPr>
          <w:rFonts w:ascii="宋体" w:hAnsi="宋体" w:cs="宋体" w:hint="eastAsia"/>
          <w:bCs/>
          <w:sz w:val="24"/>
        </w:rPr>
        <w:t>②</w:t>
      </w:r>
      <w:r>
        <w:rPr>
          <w:bCs/>
          <w:sz w:val="24"/>
        </w:rPr>
        <w:t>选择信誉良好、素质较高的施工队伍，保证工程建设的质量，避免因质量问题对环境带来不利影响；同时，通过培训和发放宣传手册强化施工人员的环境保护意识，明确施工人员的行为和奖惩制度。</w:t>
      </w:r>
    </w:p>
    <w:p w:rsidR="00EE4502" w:rsidRDefault="00FD45A3">
      <w:pPr>
        <w:spacing w:line="360" w:lineRule="auto"/>
        <w:ind w:firstLine="522"/>
        <w:rPr>
          <w:bCs/>
          <w:sz w:val="24"/>
        </w:rPr>
      </w:pPr>
      <w:r>
        <w:rPr>
          <w:rFonts w:ascii="宋体" w:hAnsi="宋体" w:cs="宋体" w:hint="eastAsia"/>
          <w:bCs/>
          <w:sz w:val="24"/>
        </w:rPr>
        <w:t>③</w:t>
      </w:r>
      <w:r>
        <w:rPr>
          <w:bCs/>
          <w:sz w:val="24"/>
        </w:rPr>
        <w:t>针对已经发生的破坏生态环境的问题必须认真、及时</w:t>
      </w:r>
      <w:r>
        <w:rPr>
          <w:rFonts w:hint="eastAsia"/>
          <w:bCs/>
          <w:sz w:val="24"/>
        </w:rPr>
        <w:t>地</w:t>
      </w:r>
      <w:r>
        <w:rPr>
          <w:bCs/>
          <w:sz w:val="24"/>
        </w:rPr>
        <w:t>解决，并对正在和即将建设的工程提出具体、可行的整改和防治措施。</w:t>
      </w:r>
    </w:p>
    <w:p w:rsidR="00EE4502" w:rsidRDefault="00FD45A3">
      <w:pPr>
        <w:spacing w:line="360" w:lineRule="auto"/>
        <w:ind w:firstLine="522"/>
        <w:rPr>
          <w:sz w:val="24"/>
        </w:rPr>
      </w:pPr>
      <w:r>
        <w:rPr>
          <w:sz w:val="24"/>
        </w:rPr>
        <w:t>（</w:t>
      </w:r>
      <w:r>
        <w:rPr>
          <w:sz w:val="24"/>
        </w:rPr>
        <w:t>2</w:t>
      </w:r>
      <w:r>
        <w:rPr>
          <w:sz w:val="24"/>
        </w:rPr>
        <w:t>）运营期生态保护措施</w:t>
      </w:r>
    </w:p>
    <w:p w:rsidR="00EE4502" w:rsidRDefault="00FD45A3">
      <w:pPr>
        <w:spacing w:line="360" w:lineRule="auto"/>
        <w:ind w:firstLine="522"/>
        <w:rPr>
          <w:bCs/>
          <w:sz w:val="24"/>
        </w:rPr>
      </w:pPr>
      <w:r>
        <w:rPr>
          <w:rFonts w:ascii="宋体" w:hAnsi="宋体" w:cs="宋体" w:hint="eastAsia"/>
          <w:bCs/>
          <w:sz w:val="24"/>
        </w:rPr>
        <w:t>①</w:t>
      </w:r>
      <w:r>
        <w:rPr>
          <w:bCs/>
          <w:sz w:val="24"/>
        </w:rPr>
        <w:t>加强管理，确保各项环保措施落实。对施工迹地表面</w:t>
      </w:r>
      <w:r>
        <w:rPr>
          <w:sz w:val="24"/>
        </w:rPr>
        <w:t>覆以砾石，以减少风蚀量。</w:t>
      </w:r>
    </w:p>
    <w:p w:rsidR="00EE4502" w:rsidRDefault="00FD45A3">
      <w:pPr>
        <w:spacing w:line="360" w:lineRule="auto"/>
        <w:ind w:firstLine="522"/>
        <w:rPr>
          <w:sz w:val="24"/>
        </w:rPr>
      </w:pPr>
      <w:r>
        <w:rPr>
          <w:rFonts w:ascii="宋体" w:hAnsi="宋体" w:cs="宋体" w:hint="eastAsia"/>
          <w:bCs/>
          <w:sz w:val="24"/>
        </w:rPr>
        <w:t>②</w:t>
      </w:r>
      <w:r>
        <w:rPr>
          <w:sz w:val="24"/>
        </w:rPr>
        <w:t>在道路边、油田区，设置</w:t>
      </w:r>
      <w:r>
        <w:rPr>
          <w:rFonts w:hint="eastAsia"/>
          <w:sz w:val="24"/>
        </w:rPr>
        <w:t>“</w:t>
      </w:r>
      <w:r>
        <w:rPr>
          <w:sz w:val="24"/>
        </w:rPr>
        <w:t>保护生态环境、保护野生动植物</w:t>
      </w:r>
      <w:r>
        <w:rPr>
          <w:rFonts w:hint="eastAsia"/>
          <w:sz w:val="24"/>
        </w:rPr>
        <w:t>”</w:t>
      </w:r>
      <w:r>
        <w:rPr>
          <w:sz w:val="24"/>
        </w:rPr>
        <w:t>等警示牌，并从管理上对作业人员加强宣传教育，切实</w:t>
      </w:r>
      <w:r>
        <w:rPr>
          <w:rFonts w:hint="eastAsia"/>
          <w:sz w:val="24"/>
        </w:rPr>
        <w:t>增强</w:t>
      </w:r>
      <w:r>
        <w:rPr>
          <w:sz w:val="24"/>
        </w:rPr>
        <w:t>保护生态环境的</w:t>
      </w:r>
      <w:r>
        <w:rPr>
          <w:sz w:val="24"/>
        </w:rPr>
        <w:t>意识。</w:t>
      </w:r>
    </w:p>
    <w:p w:rsidR="00EE4502" w:rsidRDefault="00FD45A3">
      <w:pPr>
        <w:spacing w:line="360" w:lineRule="auto"/>
        <w:ind w:firstLine="522"/>
        <w:rPr>
          <w:bCs/>
          <w:sz w:val="24"/>
        </w:rPr>
      </w:pPr>
      <w:r>
        <w:rPr>
          <w:rFonts w:ascii="宋体" w:hAnsi="宋体" w:cs="宋体" w:hint="eastAsia"/>
          <w:bCs/>
          <w:sz w:val="24"/>
        </w:rPr>
        <w:t>③</w:t>
      </w:r>
      <w:r>
        <w:rPr>
          <w:bCs/>
          <w:sz w:val="24"/>
        </w:rPr>
        <w:t>加强对管线、设备的管理和检查，及时发现问题，及时解决，防止泄漏事故的发生；对泄漏的落地油应及时清理，彻底回收，防止污染扩大蔓延。</w:t>
      </w:r>
    </w:p>
    <w:p w:rsidR="00EE4502" w:rsidRDefault="00FD45A3">
      <w:pPr>
        <w:spacing w:line="360" w:lineRule="auto"/>
        <w:ind w:firstLine="522"/>
        <w:rPr>
          <w:bCs/>
          <w:sz w:val="24"/>
        </w:rPr>
      </w:pPr>
      <w:r>
        <w:rPr>
          <w:rFonts w:ascii="宋体" w:hAnsi="宋体" w:cs="宋体" w:hint="eastAsia"/>
          <w:bCs/>
          <w:sz w:val="24"/>
        </w:rPr>
        <w:lastRenderedPageBreak/>
        <w:t>④</w:t>
      </w:r>
      <w:r>
        <w:rPr>
          <w:bCs/>
          <w:sz w:val="24"/>
        </w:rPr>
        <w:t>在管线上方设置各种标志，防止各类施工活动对管线的破坏。</w:t>
      </w:r>
    </w:p>
    <w:p w:rsidR="00EE4502" w:rsidRDefault="00FD45A3">
      <w:pPr>
        <w:spacing w:line="360" w:lineRule="auto"/>
        <w:ind w:firstLine="522"/>
        <w:rPr>
          <w:bCs/>
          <w:sz w:val="24"/>
        </w:rPr>
      </w:pPr>
      <w:r>
        <w:rPr>
          <w:rFonts w:ascii="宋体" w:hAnsi="宋体" w:cs="宋体" w:hint="eastAsia"/>
          <w:bCs/>
          <w:sz w:val="24"/>
        </w:rPr>
        <w:t>⑤</w:t>
      </w:r>
      <w:r>
        <w:rPr>
          <w:bCs/>
          <w:sz w:val="24"/>
        </w:rPr>
        <w:t>为保护管道不受深根系植被的破坏，在对集输管道的日常巡查中，应将管道上覆土壤中会对管道构成破坏的深根系植被及时清理，确保管道的安全运行。</w:t>
      </w:r>
    </w:p>
    <w:p w:rsidR="00EE4502" w:rsidRDefault="00FD45A3">
      <w:pPr>
        <w:spacing w:line="360" w:lineRule="auto"/>
        <w:ind w:firstLine="522"/>
        <w:rPr>
          <w:bCs/>
          <w:sz w:val="24"/>
        </w:rPr>
      </w:pPr>
      <w:r>
        <w:rPr>
          <w:rFonts w:ascii="宋体" w:hAnsi="宋体" w:cs="宋体" w:hint="eastAsia"/>
          <w:bCs/>
          <w:sz w:val="24"/>
        </w:rPr>
        <w:t>⑥</w:t>
      </w:r>
      <w:r>
        <w:rPr>
          <w:bCs/>
          <w:sz w:val="24"/>
        </w:rPr>
        <w:t>管道维修二次开挖回填时，应尽量按原有土壤层次进行回填。</w:t>
      </w:r>
    </w:p>
    <w:p w:rsidR="00EE4502" w:rsidRDefault="00FD45A3">
      <w:pPr>
        <w:spacing w:line="360" w:lineRule="auto"/>
        <w:ind w:firstLine="522"/>
        <w:rPr>
          <w:sz w:val="24"/>
        </w:rPr>
      </w:pPr>
      <w:r>
        <w:rPr>
          <w:rFonts w:ascii="宋体" w:hAnsi="宋体" w:cs="宋体" w:hint="eastAsia"/>
          <w:sz w:val="24"/>
        </w:rPr>
        <w:t>⑦</w:t>
      </w:r>
      <w:r>
        <w:rPr>
          <w:rFonts w:hint="eastAsia"/>
          <w:sz w:val="24"/>
        </w:rPr>
        <w:t>本工程</w:t>
      </w:r>
      <w:r>
        <w:rPr>
          <w:sz w:val="24"/>
        </w:rPr>
        <w:t>事故状态下对生态环境影响较大，因此必须对事故风险严加防范和控制。加强日常生产监督管理和安全运行检查工作，制定安</w:t>
      </w:r>
      <w:r>
        <w:rPr>
          <w:sz w:val="24"/>
        </w:rPr>
        <w:t>全生产操作规程，加强职工安全意识教育和安全生产技术培训。一旦发现事故，及时采取相应补救措施，尽量减少影响和损失。</w:t>
      </w:r>
    </w:p>
    <w:p w:rsidR="00EE4502" w:rsidRDefault="00FD45A3">
      <w:pPr>
        <w:spacing w:line="360" w:lineRule="auto"/>
        <w:ind w:firstLine="522"/>
        <w:rPr>
          <w:sz w:val="24"/>
        </w:rPr>
      </w:pPr>
      <w:r>
        <w:rPr>
          <w:sz w:val="24"/>
        </w:rPr>
        <w:t>（</w:t>
      </w:r>
      <w:r>
        <w:rPr>
          <w:sz w:val="24"/>
        </w:rPr>
        <w:t>3</w:t>
      </w:r>
      <w:r>
        <w:rPr>
          <w:sz w:val="24"/>
        </w:rPr>
        <w:t>）生态修复方案</w:t>
      </w:r>
    </w:p>
    <w:p w:rsidR="00EE4502" w:rsidRDefault="00FD45A3">
      <w:pPr>
        <w:spacing w:line="360" w:lineRule="auto"/>
        <w:ind w:firstLine="522"/>
        <w:rPr>
          <w:bCs/>
          <w:sz w:val="24"/>
        </w:rPr>
      </w:pPr>
      <w:r>
        <w:rPr>
          <w:rFonts w:hint="eastAsia"/>
          <w:bCs/>
          <w:sz w:val="24"/>
        </w:rPr>
        <w:t>①井场生态恢复</w:t>
      </w:r>
    </w:p>
    <w:p w:rsidR="00EE4502" w:rsidRDefault="00FD45A3">
      <w:pPr>
        <w:spacing w:line="360" w:lineRule="auto"/>
        <w:ind w:firstLine="522"/>
        <w:rPr>
          <w:bCs/>
          <w:sz w:val="24"/>
        </w:rPr>
      </w:pPr>
      <w:r>
        <w:rPr>
          <w:rFonts w:hint="eastAsia"/>
          <w:bCs/>
          <w:sz w:val="24"/>
        </w:rPr>
        <w:t>本工程井场永久占地面积</w:t>
      </w:r>
      <w:r>
        <w:rPr>
          <w:rFonts w:hint="eastAsia"/>
          <w:bCs/>
          <w:sz w:val="24"/>
        </w:rPr>
        <w:t>3.4060</w:t>
      </w:r>
      <w:r>
        <w:rPr>
          <w:rFonts w:hint="eastAsia"/>
          <w:bCs/>
          <w:sz w:val="24"/>
        </w:rPr>
        <w:t>hm</w:t>
      </w:r>
      <w:r>
        <w:rPr>
          <w:rFonts w:hint="eastAsia"/>
          <w:bCs/>
          <w:sz w:val="24"/>
          <w:vertAlign w:val="superscript"/>
        </w:rPr>
        <w:t>2</w:t>
      </w:r>
      <w:r>
        <w:rPr>
          <w:rFonts w:hint="eastAsia"/>
          <w:bCs/>
          <w:sz w:val="24"/>
        </w:rPr>
        <w:t>，施工结束初期，对井场永久占地范围内的地表进行硬化，以减少侵蚀量。临时占地范围不具备植被恢复条件的，应采用砂石等材料覆盖临时占地面积，以防止侵蚀加剧。工程施工结束后恢复周边生态环境。井场恢复后的植被覆盖度不应低于区域范围内同类型土地植被覆盖度，植被类型应与原有类型相似、并与周边自然景观协调。不得使用外来有害物种进行井场植</w:t>
      </w:r>
      <w:r>
        <w:rPr>
          <w:rFonts w:hint="eastAsia"/>
          <w:bCs/>
          <w:sz w:val="24"/>
        </w:rPr>
        <w:t>被恢复。</w:t>
      </w:r>
    </w:p>
    <w:p w:rsidR="00EE4502" w:rsidRDefault="00FD45A3">
      <w:pPr>
        <w:spacing w:line="360" w:lineRule="auto"/>
        <w:ind w:firstLine="522"/>
        <w:rPr>
          <w:bCs/>
          <w:sz w:val="24"/>
        </w:rPr>
      </w:pPr>
      <w:r>
        <w:rPr>
          <w:rFonts w:hint="eastAsia"/>
          <w:bCs/>
          <w:sz w:val="24"/>
        </w:rPr>
        <w:t>②管线生态恢复</w:t>
      </w:r>
    </w:p>
    <w:p w:rsidR="00EE4502" w:rsidRDefault="00FD45A3">
      <w:pPr>
        <w:spacing w:line="360" w:lineRule="auto"/>
        <w:ind w:firstLine="522"/>
        <w:rPr>
          <w:bCs/>
          <w:sz w:val="24"/>
        </w:rPr>
      </w:pPr>
      <w:r>
        <w:rPr>
          <w:rFonts w:hint="eastAsia"/>
          <w:bCs/>
          <w:sz w:val="24"/>
        </w:rPr>
        <w:t>本工程新建集油管线</w:t>
      </w:r>
      <w:r>
        <w:rPr>
          <w:rFonts w:hint="eastAsia"/>
          <w:bCs/>
          <w:sz w:val="24"/>
        </w:rPr>
        <w:t>13.9km</w:t>
      </w:r>
      <w:r>
        <w:rPr>
          <w:rFonts w:hint="eastAsia"/>
          <w:bCs/>
          <w:sz w:val="24"/>
        </w:rPr>
        <w:t>、掺水管线</w:t>
      </w:r>
      <w:r>
        <w:rPr>
          <w:rFonts w:hint="eastAsia"/>
          <w:bCs/>
          <w:sz w:val="24"/>
        </w:rPr>
        <w:t>10.3km</w:t>
      </w:r>
      <w:r>
        <w:rPr>
          <w:rFonts w:hint="eastAsia"/>
          <w:bCs/>
          <w:sz w:val="24"/>
        </w:rPr>
        <w:t>、注汽管线</w:t>
      </w:r>
      <w:r>
        <w:rPr>
          <w:rFonts w:hint="eastAsia"/>
          <w:bCs/>
          <w:sz w:val="24"/>
        </w:rPr>
        <w:t>0.3</w:t>
      </w:r>
      <w:r>
        <w:rPr>
          <w:rFonts w:hint="eastAsia"/>
          <w:bCs/>
          <w:sz w:val="24"/>
        </w:rPr>
        <w:t>km</w:t>
      </w:r>
      <w:r>
        <w:rPr>
          <w:rFonts w:hint="eastAsia"/>
          <w:bCs/>
          <w:sz w:val="24"/>
        </w:rPr>
        <w:t>、注水管线</w:t>
      </w:r>
      <w:r>
        <w:rPr>
          <w:rFonts w:hint="eastAsia"/>
          <w:bCs/>
          <w:sz w:val="24"/>
        </w:rPr>
        <w:t>2.05</w:t>
      </w:r>
      <w:r>
        <w:rPr>
          <w:rFonts w:hint="eastAsia"/>
          <w:bCs/>
          <w:sz w:val="24"/>
        </w:rPr>
        <w:t>km</w:t>
      </w:r>
      <w:r>
        <w:rPr>
          <w:rFonts w:hint="eastAsia"/>
          <w:bCs/>
          <w:sz w:val="24"/>
        </w:rPr>
        <w:t>、伴生气掺烧管线</w:t>
      </w:r>
      <w:r>
        <w:rPr>
          <w:rFonts w:hint="eastAsia"/>
          <w:bCs/>
          <w:sz w:val="24"/>
        </w:rPr>
        <w:t>1.2km</w:t>
      </w:r>
      <w:r>
        <w:rPr>
          <w:rFonts w:hint="eastAsia"/>
          <w:bCs/>
          <w:sz w:val="24"/>
        </w:rPr>
        <w:t>；施工过程中注意保护土壤成分和结构。在施工结束后，分层回填管沟，覆土压实，管沟回填后多余土方应作为修路用土，不得随意丢弃。施工结束后应对临时占地内地貌进行恢复，尽可能保持植物原有的生存环境，以利于植被恢复。</w:t>
      </w:r>
    </w:p>
    <w:p w:rsidR="00EE4502" w:rsidRDefault="00FD45A3">
      <w:pPr>
        <w:spacing w:line="360" w:lineRule="auto"/>
        <w:ind w:firstLine="522"/>
        <w:rPr>
          <w:bCs/>
          <w:sz w:val="24"/>
        </w:rPr>
      </w:pPr>
      <w:r>
        <w:rPr>
          <w:rFonts w:hint="eastAsia"/>
          <w:bCs/>
          <w:sz w:val="24"/>
        </w:rPr>
        <w:t>（</w:t>
      </w:r>
      <w:r>
        <w:rPr>
          <w:rFonts w:hint="eastAsia"/>
          <w:bCs/>
          <w:sz w:val="24"/>
        </w:rPr>
        <w:t>4</w:t>
      </w:r>
      <w:r>
        <w:rPr>
          <w:rFonts w:hint="eastAsia"/>
          <w:bCs/>
          <w:sz w:val="24"/>
        </w:rPr>
        <w:t>）植被保护措施</w:t>
      </w:r>
    </w:p>
    <w:p w:rsidR="00EE4502" w:rsidRDefault="00FD45A3">
      <w:pPr>
        <w:spacing w:line="360" w:lineRule="auto"/>
        <w:ind w:firstLine="522"/>
        <w:rPr>
          <w:bCs/>
          <w:sz w:val="24"/>
        </w:rPr>
      </w:pPr>
      <w:r>
        <w:rPr>
          <w:rFonts w:hint="eastAsia"/>
          <w:bCs/>
          <w:sz w:val="24"/>
        </w:rPr>
        <w:t>①在施工时需设置</w:t>
      </w:r>
      <w:r>
        <w:rPr>
          <w:rFonts w:hint="eastAsia"/>
          <w:bCs/>
          <w:sz w:val="24"/>
        </w:rPr>
        <w:t>乱砍滥伐</w:t>
      </w:r>
      <w:r>
        <w:rPr>
          <w:rFonts w:hint="eastAsia"/>
          <w:bCs/>
          <w:sz w:val="24"/>
        </w:rPr>
        <w:t>警示标志、禁止随意碾压植被；</w:t>
      </w:r>
    </w:p>
    <w:p w:rsidR="00EE4502" w:rsidRDefault="00FD45A3">
      <w:pPr>
        <w:spacing w:line="360" w:lineRule="auto"/>
        <w:ind w:firstLine="522"/>
        <w:rPr>
          <w:bCs/>
          <w:sz w:val="24"/>
        </w:rPr>
      </w:pPr>
      <w:r>
        <w:rPr>
          <w:rFonts w:hint="eastAsia"/>
          <w:bCs/>
          <w:sz w:val="24"/>
        </w:rPr>
        <w:t>②尽可能在植被覆盖度高的地段采取人工开挖，降低作业带宽度，减少对植被的破坏；</w:t>
      </w:r>
    </w:p>
    <w:p w:rsidR="00EE4502" w:rsidRDefault="00FD45A3">
      <w:pPr>
        <w:spacing w:line="360" w:lineRule="auto"/>
        <w:ind w:firstLine="522"/>
        <w:rPr>
          <w:bCs/>
          <w:sz w:val="24"/>
        </w:rPr>
      </w:pPr>
      <w:r>
        <w:rPr>
          <w:rFonts w:hint="eastAsia"/>
          <w:bCs/>
          <w:sz w:val="24"/>
        </w:rPr>
        <w:t>③植被覆盖度高的区域，采取分层开挖、分层回填措施，避免破坏区域土壤肥力。</w:t>
      </w:r>
    </w:p>
    <w:p w:rsidR="00EE4502" w:rsidRDefault="00FD45A3">
      <w:pPr>
        <w:spacing w:line="360" w:lineRule="auto"/>
        <w:ind w:firstLine="522"/>
        <w:rPr>
          <w:bCs/>
          <w:sz w:val="24"/>
        </w:rPr>
      </w:pPr>
      <w:r>
        <w:rPr>
          <w:rFonts w:hint="eastAsia"/>
          <w:bCs/>
          <w:sz w:val="24"/>
        </w:rPr>
        <w:t>（</w:t>
      </w:r>
      <w:r>
        <w:rPr>
          <w:rFonts w:hint="eastAsia"/>
          <w:bCs/>
          <w:sz w:val="24"/>
        </w:rPr>
        <w:t>5</w:t>
      </w:r>
      <w:r>
        <w:rPr>
          <w:rFonts w:hint="eastAsia"/>
          <w:bCs/>
          <w:sz w:val="24"/>
        </w:rPr>
        <w:t>）废弃弃土、石、渣及其他地面覆盖处理措施</w:t>
      </w:r>
    </w:p>
    <w:p w:rsidR="00EE4502" w:rsidRDefault="00FD45A3">
      <w:pPr>
        <w:spacing w:line="360" w:lineRule="auto"/>
        <w:ind w:firstLine="522"/>
        <w:rPr>
          <w:bCs/>
          <w:sz w:val="24"/>
        </w:rPr>
      </w:pPr>
      <w:r>
        <w:rPr>
          <w:rFonts w:hint="eastAsia"/>
          <w:bCs/>
          <w:sz w:val="24"/>
        </w:rPr>
        <w:t>井场及道路施工：井场、道路平整后，及时采取砾石压盖，并清理施工场</w:t>
      </w:r>
      <w:r>
        <w:rPr>
          <w:rFonts w:hint="eastAsia"/>
          <w:bCs/>
          <w:sz w:val="24"/>
        </w:rPr>
        <w:lastRenderedPageBreak/>
        <w:t>地。</w:t>
      </w:r>
    </w:p>
    <w:p w:rsidR="00EE4502" w:rsidRDefault="00FD45A3">
      <w:pPr>
        <w:spacing w:line="360" w:lineRule="auto"/>
        <w:ind w:firstLine="522"/>
        <w:rPr>
          <w:bCs/>
          <w:sz w:val="24"/>
        </w:rPr>
      </w:pPr>
      <w:r>
        <w:rPr>
          <w:rFonts w:hint="eastAsia"/>
          <w:bCs/>
          <w:sz w:val="24"/>
        </w:rPr>
        <w:t>管沟开挖：施工土方全部用于管沟回填和井场平整，严禁随意堆置；管沟开挖土方堆存过程中使用防尘网，并定期洒水抑尘；管道工程区管沟回填后需先进行严格的整治，对局部高差较大处，由铲运机铲运土方回填，开挖及回填时应保证地面相对平整，压实度较高的采用推土机的松土器进行耙松；精细平整过程中不仅要保证土体再塑，而且要稳坡固表；管沟分层开挖、分层回填。</w:t>
      </w:r>
    </w:p>
    <w:p w:rsidR="00EE4502" w:rsidRDefault="00FD45A3">
      <w:pPr>
        <w:spacing w:line="360" w:lineRule="auto"/>
        <w:ind w:firstLine="522"/>
        <w:rPr>
          <w:sz w:val="24"/>
        </w:rPr>
      </w:pPr>
      <w:r>
        <w:rPr>
          <w:bCs/>
          <w:sz w:val="24"/>
        </w:rPr>
        <w:t>综上，</w:t>
      </w:r>
      <w:r>
        <w:rPr>
          <w:rFonts w:hint="eastAsia"/>
          <w:bCs/>
          <w:sz w:val="24"/>
        </w:rPr>
        <w:t>本工程</w:t>
      </w:r>
      <w:r>
        <w:rPr>
          <w:bCs/>
          <w:sz w:val="24"/>
        </w:rPr>
        <w:t>运营期采取的生态环境保护措施是可行的。</w:t>
      </w:r>
    </w:p>
    <w:p w:rsidR="00EE4502" w:rsidRDefault="00FD45A3">
      <w:pPr>
        <w:pStyle w:val="33"/>
        <w:numPr>
          <w:ilvl w:val="2"/>
          <w:numId w:val="30"/>
        </w:numPr>
        <w:spacing w:line="360" w:lineRule="auto"/>
        <w:ind w:left="0" w:firstLine="0"/>
        <w:rPr>
          <w:spacing w:val="0"/>
          <w:sz w:val="24"/>
          <w:szCs w:val="24"/>
        </w:rPr>
      </w:pPr>
      <w:r>
        <w:rPr>
          <w:rFonts w:hint="eastAsia"/>
          <w:spacing w:val="0"/>
          <w:sz w:val="24"/>
          <w:szCs w:val="20"/>
        </w:rPr>
        <w:t>退役</w:t>
      </w:r>
      <w:r>
        <w:rPr>
          <w:rFonts w:hint="eastAsia"/>
          <w:spacing w:val="0"/>
          <w:sz w:val="24"/>
          <w:szCs w:val="24"/>
        </w:rPr>
        <w:t>期生态环境保护措施</w:t>
      </w:r>
    </w:p>
    <w:p w:rsidR="00EE4502" w:rsidRDefault="00FD45A3">
      <w:pPr>
        <w:spacing w:line="360" w:lineRule="auto"/>
        <w:ind w:firstLineChars="200" w:firstLine="480"/>
        <w:rPr>
          <w:sz w:val="24"/>
          <w:szCs w:val="20"/>
        </w:rPr>
      </w:pPr>
      <w:r>
        <w:rPr>
          <w:rFonts w:hint="eastAsia"/>
          <w:sz w:val="24"/>
          <w:szCs w:val="20"/>
        </w:rPr>
        <w:t>随着油井开采时间的延长，其储量将逐年降低，最终进入封井期。当开发接近尾声时，各种机械设备将停止使用</w:t>
      </w:r>
      <w:r>
        <w:rPr>
          <w:rFonts w:hint="eastAsia"/>
          <w:sz w:val="24"/>
          <w:szCs w:val="20"/>
        </w:rPr>
        <w:t>，站场和管线等设备设施陆续被拆卸、转移，原有的大气污染物、噪声及固体废物等对环境的影响将会逐渐减弱甚至消失。</w:t>
      </w:r>
    </w:p>
    <w:p w:rsidR="00EE4502" w:rsidRDefault="00FD45A3">
      <w:pPr>
        <w:spacing w:line="360" w:lineRule="auto"/>
        <w:ind w:firstLineChars="200" w:firstLine="480"/>
        <w:rPr>
          <w:sz w:val="24"/>
          <w:szCs w:val="20"/>
        </w:rPr>
      </w:pPr>
      <w:r>
        <w:rPr>
          <w:rFonts w:hint="eastAsia"/>
          <w:sz w:val="24"/>
          <w:szCs w:val="20"/>
        </w:rPr>
        <w:t>退役期按照要求对废弃井（站）场、道路制定生态修复方案并开展设计；对井口进行封堵，并对井场生态恢复至原貌。结合《废弃井封井回填技术指南（试行）》和《矿山生态环境保护与恢复治理技术规范（试行）》，采取的生态恢复措施如下：</w:t>
      </w:r>
    </w:p>
    <w:p w:rsidR="00EE4502" w:rsidRDefault="00FD45A3">
      <w:pPr>
        <w:spacing w:line="360" w:lineRule="auto"/>
        <w:ind w:firstLineChars="200" w:firstLine="480"/>
        <w:rPr>
          <w:sz w:val="24"/>
          <w:szCs w:val="20"/>
        </w:rPr>
      </w:pPr>
      <w:r>
        <w:rPr>
          <w:rFonts w:hint="eastAsia"/>
          <w:sz w:val="24"/>
          <w:szCs w:val="20"/>
        </w:rPr>
        <w:t>（</w:t>
      </w:r>
      <w:r>
        <w:rPr>
          <w:rFonts w:hint="eastAsia"/>
          <w:sz w:val="24"/>
          <w:szCs w:val="20"/>
        </w:rPr>
        <w:t>1</w:t>
      </w:r>
      <w:r>
        <w:rPr>
          <w:rFonts w:hint="eastAsia"/>
          <w:sz w:val="24"/>
          <w:szCs w:val="20"/>
        </w:rPr>
        <w:t>）井场生态恢复治理</w:t>
      </w:r>
    </w:p>
    <w:p w:rsidR="00EE4502" w:rsidRDefault="00FD45A3">
      <w:pPr>
        <w:spacing w:line="360" w:lineRule="auto"/>
        <w:ind w:firstLineChars="200" w:firstLine="480"/>
        <w:rPr>
          <w:sz w:val="24"/>
          <w:szCs w:val="20"/>
        </w:rPr>
      </w:pPr>
      <w:r>
        <w:rPr>
          <w:rFonts w:hint="eastAsia"/>
          <w:sz w:val="24"/>
          <w:szCs w:val="20"/>
        </w:rPr>
        <w:t>①井场生态恢复治理范围</w:t>
      </w:r>
    </w:p>
    <w:p w:rsidR="00EE4502" w:rsidRDefault="00FD45A3">
      <w:pPr>
        <w:spacing w:line="360" w:lineRule="auto"/>
        <w:ind w:firstLineChars="200" w:firstLine="480"/>
        <w:rPr>
          <w:sz w:val="24"/>
          <w:szCs w:val="20"/>
        </w:rPr>
      </w:pPr>
      <w:r>
        <w:rPr>
          <w:rFonts w:hint="eastAsia"/>
          <w:sz w:val="24"/>
          <w:szCs w:val="20"/>
        </w:rPr>
        <w:t>本工程共部署</w:t>
      </w:r>
      <w:r>
        <w:rPr>
          <w:rFonts w:hint="eastAsia"/>
          <w:sz w:val="24"/>
          <w:szCs w:val="20"/>
        </w:rPr>
        <w:t>22</w:t>
      </w:r>
      <w:r>
        <w:rPr>
          <w:rFonts w:hint="eastAsia"/>
          <w:sz w:val="24"/>
          <w:szCs w:val="20"/>
        </w:rPr>
        <w:t>口井，其中新建采油井场</w:t>
      </w:r>
      <w:r>
        <w:rPr>
          <w:rFonts w:hint="eastAsia"/>
          <w:sz w:val="24"/>
          <w:szCs w:val="20"/>
        </w:rPr>
        <w:t>9</w:t>
      </w:r>
      <w:r>
        <w:rPr>
          <w:rFonts w:hint="eastAsia"/>
          <w:sz w:val="24"/>
          <w:szCs w:val="20"/>
        </w:rPr>
        <w:t>座（双井同台井场</w:t>
      </w:r>
      <w:r>
        <w:rPr>
          <w:rFonts w:hint="eastAsia"/>
          <w:sz w:val="24"/>
          <w:szCs w:val="20"/>
        </w:rPr>
        <w:t>6</w:t>
      </w:r>
      <w:r>
        <w:rPr>
          <w:rFonts w:hint="eastAsia"/>
          <w:sz w:val="24"/>
          <w:szCs w:val="20"/>
        </w:rPr>
        <w:t>座、单井井场</w:t>
      </w:r>
      <w:r>
        <w:rPr>
          <w:rFonts w:hint="eastAsia"/>
          <w:sz w:val="24"/>
          <w:szCs w:val="20"/>
        </w:rPr>
        <w:t>1</w:t>
      </w:r>
      <w:r>
        <w:rPr>
          <w:rFonts w:hint="eastAsia"/>
          <w:sz w:val="24"/>
          <w:szCs w:val="20"/>
        </w:rPr>
        <w:t>座、老井合建</w:t>
      </w:r>
      <w:r>
        <w:rPr>
          <w:rFonts w:hint="eastAsia"/>
          <w:sz w:val="24"/>
          <w:szCs w:val="20"/>
        </w:rPr>
        <w:t>2</w:t>
      </w:r>
      <w:r>
        <w:rPr>
          <w:rFonts w:hint="eastAsia"/>
          <w:sz w:val="24"/>
          <w:szCs w:val="20"/>
        </w:rPr>
        <w:t>座），新建注水单井井场</w:t>
      </w:r>
      <w:r>
        <w:rPr>
          <w:rFonts w:hint="eastAsia"/>
          <w:sz w:val="24"/>
          <w:szCs w:val="20"/>
        </w:rPr>
        <w:t>3</w:t>
      </w:r>
      <w:r>
        <w:rPr>
          <w:rFonts w:hint="eastAsia"/>
          <w:sz w:val="24"/>
          <w:szCs w:val="20"/>
        </w:rPr>
        <w:t>座，老井利用</w:t>
      </w:r>
      <w:r>
        <w:rPr>
          <w:rFonts w:hint="eastAsia"/>
          <w:sz w:val="24"/>
          <w:szCs w:val="20"/>
        </w:rPr>
        <w:t>4</w:t>
      </w:r>
      <w:r>
        <w:rPr>
          <w:rFonts w:hint="eastAsia"/>
          <w:sz w:val="24"/>
          <w:szCs w:val="20"/>
        </w:rPr>
        <w:t>口（试采井</w:t>
      </w:r>
      <w:r>
        <w:rPr>
          <w:rFonts w:hint="eastAsia"/>
          <w:sz w:val="24"/>
          <w:szCs w:val="20"/>
        </w:rPr>
        <w:t>3</w:t>
      </w:r>
      <w:r>
        <w:rPr>
          <w:rFonts w:hint="eastAsia"/>
          <w:sz w:val="24"/>
          <w:szCs w:val="20"/>
        </w:rPr>
        <w:t>口、回注井</w:t>
      </w:r>
      <w:r>
        <w:rPr>
          <w:rFonts w:hint="eastAsia"/>
          <w:sz w:val="24"/>
          <w:szCs w:val="20"/>
        </w:rPr>
        <w:t>1</w:t>
      </w:r>
      <w:r>
        <w:rPr>
          <w:rFonts w:hint="eastAsia"/>
          <w:sz w:val="24"/>
          <w:szCs w:val="20"/>
        </w:rPr>
        <w:t>口）。</w:t>
      </w:r>
      <w:r>
        <w:rPr>
          <w:rFonts w:hint="eastAsia"/>
          <w:sz w:val="24"/>
          <w:szCs w:val="20"/>
        </w:rPr>
        <w:t>所有地面工程占地范围均需进行生态环境恢复治理。</w:t>
      </w:r>
    </w:p>
    <w:p w:rsidR="00EE4502" w:rsidRDefault="00FD45A3">
      <w:pPr>
        <w:spacing w:line="360" w:lineRule="auto"/>
        <w:ind w:firstLineChars="200" w:firstLine="480"/>
        <w:rPr>
          <w:sz w:val="24"/>
          <w:szCs w:val="20"/>
        </w:rPr>
      </w:pPr>
      <w:r>
        <w:rPr>
          <w:rFonts w:hint="eastAsia"/>
          <w:sz w:val="24"/>
          <w:szCs w:val="20"/>
        </w:rPr>
        <w:t>②生态环境恢复治理措施</w:t>
      </w:r>
    </w:p>
    <w:p w:rsidR="00EE4502" w:rsidRDefault="00FD45A3">
      <w:pPr>
        <w:spacing w:line="360" w:lineRule="auto"/>
        <w:ind w:firstLineChars="200" w:firstLine="480"/>
        <w:rPr>
          <w:sz w:val="24"/>
          <w:szCs w:val="20"/>
        </w:rPr>
      </w:pPr>
      <w:r>
        <w:rPr>
          <w:rFonts w:hint="eastAsia"/>
          <w:sz w:val="24"/>
          <w:szCs w:val="20"/>
        </w:rPr>
        <w:t>工程施工结束后，应对井场临时占地进行平整，恢复原有地貌。充分利用工程施工前期收集的表土覆盖于井场表层，覆盖厚度根据植被恢复类型和场地用途确定。施工结束初期，对井场永久占地范围内的地表进行硬化，以减少侵蚀量。临时占地范围不具备植被恢复条件的，应采用砂石等材料覆盖临时占地面积，以防止侵蚀加剧。工程施工结束后临时占地内植在自然状态下逐渐得到恢复。井场恢复后的植被覆盖度不应低于区域范围内同类型土地植被覆盖度，植被类型应与原有类型相似、并与周边自然景观协调。不得使用外来有害物种进行井场植被恢复。</w:t>
      </w:r>
    </w:p>
    <w:p w:rsidR="00EE4502" w:rsidRDefault="00FD45A3">
      <w:pPr>
        <w:spacing w:line="360" w:lineRule="auto"/>
        <w:ind w:firstLineChars="200" w:firstLine="480"/>
        <w:rPr>
          <w:sz w:val="24"/>
          <w:szCs w:val="20"/>
        </w:rPr>
      </w:pPr>
      <w:r>
        <w:rPr>
          <w:rFonts w:hint="eastAsia"/>
          <w:sz w:val="24"/>
          <w:szCs w:val="20"/>
        </w:rPr>
        <w:t>（</w:t>
      </w:r>
      <w:r>
        <w:rPr>
          <w:rFonts w:hint="eastAsia"/>
          <w:sz w:val="24"/>
          <w:szCs w:val="20"/>
        </w:rPr>
        <w:t>2</w:t>
      </w:r>
      <w:r>
        <w:rPr>
          <w:rFonts w:hint="eastAsia"/>
          <w:sz w:val="24"/>
          <w:szCs w:val="20"/>
        </w:rPr>
        <w:t>）管线生态恢复</w:t>
      </w:r>
    </w:p>
    <w:p w:rsidR="00EE4502" w:rsidRDefault="00FD45A3">
      <w:pPr>
        <w:spacing w:line="360" w:lineRule="auto"/>
        <w:ind w:firstLineChars="200" w:firstLine="480"/>
        <w:rPr>
          <w:sz w:val="24"/>
          <w:szCs w:val="20"/>
        </w:rPr>
      </w:pPr>
      <w:r>
        <w:rPr>
          <w:rFonts w:hint="eastAsia"/>
          <w:sz w:val="24"/>
          <w:szCs w:val="20"/>
        </w:rPr>
        <w:lastRenderedPageBreak/>
        <w:t>①管线生态恢复治理范围</w:t>
      </w:r>
    </w:p>
    <w:p w:rsidR="00EE4502" w:rsidRDefault="00FD45A3">
      <w:pPr>
        <w:spacing w:line="360" w:lineRule="auto"/>
        <w:ind w:firstLineChars="200" w:firstLine="480"/>
        <w:rPr>
          <w:sz w:val="24"/>
          <w:szCs w:val="20"/>
        </w:rPr>
      </w:pPr>
      <w:r>
        <w:rPr>
          <w:rFonts w:hint="eastAsia"/>
          <w:sz w:val="24"/>
          <w:szCs w:val="20"/>
        </w:rPr>
        <w:t>工程</w:t>
      </w:r>
      <w:r>
        <w:rPr>
          <w:rFonts w:hint="eastAsia"/>
          <w:sz w:val="24"/>
          <w:szCs w:val="20"/>
        </w:rPr>
        <w:t>新建</w:t>
      </w:r>
      <w:r>
        <w:rPr>
          <w:rFonts w:hint="eastAsia"/>
          <w:sz w:val="24"/>
          <w:szCs w:val="20"/>
        </w:rPr>
        <w:t>集油管线</w:t>
      </w:r>
      <w:r>
        <w:rPr>
          <w:rFonts w:hint="eastAsia"/>
          <w:sz w:val="24"/>
          <w:szCs w:val="20"/>
        </w:rPr>
        <w:t>13.9km</w:t>
      </w:r>
      <w:r>
        <w:rPr>
          <w:rFonts w:hint="eastAsia"/>
          <w:sz w:val="24"/>
          <w:szCs w:val="20"/>
        </w:rPr>
        <w:t>、掺水管线</w:t>
      </w:r>
      <w:r>
        <w:rPr>
          <w:rFonts w:hint="eastAsia"/>
          <w:sz w:val="24"/>
          <w:szCs w:val="20"/>
        </w:rPr>
        <w:t>10.3km</w:t>
      </w:r>
      <w:r>
        <w:rPr>
          <w:rFonts w:hint="eastAsia"/>
          <w:sz w:val="24"/>
          <w:szCs w:val="20"/>
        </w:rPr>
        <w:t>、注汽管线</w:t>
      </w:r>
      <w:r>
        <w:rPr>
          <w:rFonts w:hint="eastAsia"/>
          <w:sz w:val="24"/>
          <w:szCs w:val="20"/>
        </w:rPr>
        <w:t>0.3</w:t>
      </w:r>
      <w:r>
        <w:rPr>
          <w:rFonts w:hint="eastAsia"/>
          <w:sz w:val="24"/>
          <w:szCs w:val="20"/>
        </w:rPr>
        <w:t>km</w:t>
      </w:r>
      <w:r>
        <w:rPr>
          <w:rFonts w:hint="eastAsia"/>
          <w:sz w:val="24"/>
          <w:szCs w:val="20"/>
        </w:rPr>
        <w:t>、注水管线</w:t>
      </w:r>
      <w:r>
        <w:rPr>
          <w:rFonts w:hint="eastAsia"/>
          <w:sz w:val="24"/>
          <w:szCs w:val="20"/>
        </w:rPr>
        <w:t>2.05</w:t>
      </w:r>
      <w:r>
        <w:rPr>
          <w:rFonts w:hint="eastAsia"/>
          <w:sz w:val="24"/>
          <w:szCs w:val="20"/>
        </w:rPr>
        <w:t>km</w:t>
      </w:r>
      <w:r>
        <w:rPr>
          <w:rFonts w:hint="eastAsia"/>
          <w:sz w:val="24"/>
          <w:szCs w:val="20"/>
        </w:rPr>
        <w:t>、伴生气掺烧管线</w:t>
      </w:r>
      <w:r>
        <w:rPr>
          <w:rFonts w:hint="eastAsia"/>
          <w:sz w:val="24"/>
          <w:szCs w:val="20"/>
        </w:rPr>
        <w:t>1.2km</w:t>
      </w:r>
      <w:r>
        <w:rPr>
          <w:rFonts w:hint="eastAsia"/>
          <w:sz w:val="24"/>
          <w:szCs w:val="20"/>
        </w:rPr>
        <w:t>，管线施工扰动范围内需进行生态环境恢复治理。</w:t>
      </w:r>
    </w:p>
    <w:p w:rsidR="00EE4502" w:rsidRDefault="00FD45A3">
      <w:pPr>
        <w:spacing w:line="360" w:lineRule="auto"/>
        <w:ind w:firstLineChars="200" w:firstLine="480"/>
        <w:rPr>
          <w:sz w:val="24"/>
          <w:szCs w:val="20"/>
        </w:rPr>
      </w:pPr>
      <w:r>
        <w:rPr>
          <w:rFonts w:hint="eastAsia"/>
          <w:sz w:val="24"/>
          <w:szCs w:val="20"/>
        </w:rPr>
        <w:t>②生态环境恢复治理措施</w:t>
      </w:r>
    </w:p>
    <w:p w:rsidR="00EE4502" w:rsidRDefault="00FD45A3">
      <w:pPr>
        <w:spacing w:line="360" w:lineRule="auto"/>
        <w:ind w:firstLineChars="200" w:firstLine="480"/>
        <w:rPr>
          <w:sz w:val="24"/>
          <w:szCs w:val="20"/>
        </w:rPr>
      </w:pPr>
      <w:r>
        <w:rPr>
          <w:rFonts w:hint="eastAsia"/>
          <w:sz w:val="24"/>
          <w:szCs w:val="20"/>
        </w:rPr>
        <w:t>工程施工过程中应注意保护土壤成分和结构。管道施工作业带宽度控制在</w:t>
      </w:r>
      <w:r>
        <w:rPr>
          <w:rFonts w:hint="eastAsia"/>
          <w:sz w:val="24"/>
          <w:szCs w:val="20"/>
        </w:rPr>
        <w:t>8m</w:t>
      </w:r>
      <w:r>
        <w:rPr>
          <w:rFonts w:hint="eastAsia"/>
          <w:sz w:val="24"/>
          <w:szCs w:val="20"/>
        </w:rPr>
        <w:t>范围内，在施工结束后，分层回填管沟，覆土压实，管沟回填后多余土方应作为修路用土，不得随意丢弃。施工结束后应对临时占地内地貌进行恢复，尽可能保持植物原有的生存环境，以利于植被恢复。</w:t>
      </w:r>
    </w:p>
    <w:p w:rsidR="00EE4502" w:rsidRDefault="00FD45A3">
      <w:pPr>
        <w:spacing w:line="360" w:lineRule="auto"/>
        <w:ind w:firstLineChars="200" w:firstLine="480"/>
        <w:rPr>
          <w:sz w:val="24"/>
          <w:szCs w:val="20"/>
        </w:rPr>
      </w:pPr>
      <w:r>
        <w:rPr>
          <w:rFonts w:hint="eastAsia"/>
          <w:sz w:val="24"/>
          <w:szCs w:val="20"/>
        </w:rPr>
        <w:t>（</w:t>
      </w:r>
      <w:r>
        <w:rPr>
          <w:rFonts w:hint="eastAsia"/>
          <w:sz w:val="24"/>
          <w:szCs w:val="20"/>
        </w:rPr>
        <w:t>3</w:t>
      </w:r>
      <w:r>
        <w:rPr>
          <w:rFonts w:hint="eastAsia"/>
          <w:sz w:val="24"/>
          <w:szCs w:val="20"/>
        </w:rPr>
        <w:t>）植被恢复措施及恢复要求</w:t>
      </w:r>
    </w:p>
    <w:p w:rsidR="00EE4502" w:rsidRDefault="00FD45A3">
      <w:pPr>
        <w:spacing w:line="360" w:lineRule="auto"/>
        <w:ind w:firstLineChars="200" w:firstLine="480"/>
        <w:rPr>
          <w:sz w:val="24"/>
          <w:szCs w:val="20"/>
        </w:rPr>
      </w:pPr>
      <w:r>
        <w:rPr>
          <w:rFonts w:hint="eastAsia"/>
          <w:sz w:val="24"/>
          <w:szCs w:val="20"/>
        </w:rPr>
        <w:t>工程施工结束后，耕地按</w:t>
      </w:r>
      <w:r>
        <w:rPr>
          <w:rFonts w:hint="eastAsia"/>
          <w:sz w:val="24"/>
          <w:szCs w:val="20"/>
        </w:rPr>
        <w:t>照相关部门要求进行恢复，井场恢复后的植被覆盖率不应低于区域范围内同类型土地植被覆盖率，植被类型应</w:t>
      </w:r>
      <w:r>
        <w:rPr>
          <w:rFonts w:hint="eastAsia"/>
          <w:sz w:val="24"/>
          <w:szCs w:val="20"/>
        </w:rPr>
        <w:t>与</w:t>
      </w:r>
      <w:r>
        <w:rPr>
          <w:rFonts w:hint="eastAsia"/>
          <w:sz w:val="24"/>
          <w:szCs w:val="20"/>
        </w:rPr>
        <w:t>原有类型相似，并与周边自然景观协调，不得使用外来有害物种进行井场植被恢复。</w:t>
      </w:r>
    </w:p>
    <w:p w:rsidR="00EE4502" w:rsidRDefault="00FD45A3">
      <w:pPr>
        <w:spacing w:line="360" w:lineRule="auto"/>
        <w:ind w:firstLineChars="200" w:firstLine="480"/>
        <w:rPr>
          <w:sz w:val="24"/>
          <w:szCs w:val="20"/>
        </w:rPr>
      </w:pPr>
      <w:r>
        <w:rPr>
          <w:rFonts w:hint="eastAsia"/>
          <w:sz w:val="24"/>
          <w:szCs w:val="20"/>
        </w:rPr>
        <w:t>（</w:t>
      </w:r>
      <w:r>
        <w:rPr>
          <w:rFonts w:hint="eastAsia"/>
          <w:sz w:val="24"/>
          <w:szCs w:val="20"/>
        </w:rPr>
        <w:t>4</w:t>
      </w:r>
      <w:r>
        <w:rPr>
          <w:rFonts w:hint="eastAsia"/>
          <w:sz w:val="24"/>
          <w:szCs w:val="20"/>
        </w:rPr>
        <w:t>）施工管理要求</w:t>
      </w:r>
    </w:p>
    <w:p w:rsidR="00EE4502" w:rsidRDefault="00FD45A3">
      <w:pPr>
        <w:spacing w:line="360" w:lineRule="auto"/>
        <w:ind w:firstLineChars="200" w:firstLine="480"/>
        <w:rPr>
          <w:sz w:val="24"/>
          <w:szCs w:val="20"/>
        </w:rPr>
      </w:pPr>
      <w:r>
        <w:rPr>
          <w:rFonts w:hint="eastAsia"/>
          <w:sz w:val="24"/>
          <w:szCs w:val="20"/>
        </w:rPr>
        <w:t>各种机动车辆固定线路，禁止随意开便道，扩大扰动范围。封井后要拆除井架、井台，并对井场土地进行平整，清除地面上残留的污染物等。经治理井口装置及相应设施应做到不漏油、不漏气、不漏电，井场无油污、无垃圾。将井场占地范围内的水泥平台和砂砾石路面进行清理，使井场恢复到原有自然状况。封井期井场集输管线维持现状，避免因开挖管线对区</w:t>
      </w:r>
      <w:r>
        <w:rPr>
          <w:rFonts w:hint="eastAsia"/>
          <w:sz w:val="24"/>
          <w:szCs w:val="20"/>
        </w:rPr>
        <w:t>域生态环境造成二次破坏。管线内物质应清空干净，并按要求进行吹扫，确保管线内无残留采出液，管线两端使用盲板封堵。各种机动车辆固定线路，禁止随意开路。井场水泥平台和砂砾石路面维持现状，避免因拆除作业对区域表层土的扰动，引起土地沙化。</w:t>
      </w:r>
    </w:p>
    <w:p w:rsidR="00EE4502" w:rsidRDefault="00FD45A3">
      <w:pPr>
        <w:spacing w:line="360" w:lineRule="auto"/>
        <w:ind w:firstLineChars="200" w:firstLine="480"/>
        <w:rPr>
          <w:sz w:val="24"/>
          <w:szCs w:val="20"/>
        </w:rPr>
      </w:pPr>
      <w:r>
        <w:rPr>
          <w:rFonts w:hint="eastAsia"/>
          <w:sz w:val="24"/>
          <w:szCs w:val="20"/>
        </w:rPr>
        <w:t>另外，通过宣传教育的形式，使施工工作人员对于在</w:t>
      </w:r>
      <w:r>
        <w:rPr>
          <w:rFonts w:hint="eastAsia"/>
          <w:sz w:val="24"/>
          <w:szCs w:val="20"/>
        </w:rPr>
        <w:t>工程区</w:t>
      </w:r>
      <w:r>
        <w:rPr>
          <w:rFonts w:hint="eastAsia"/>
          <w:sz w:val="24"/>
          <w:szCs w:val="20"/>
        </w:rPr>
        <w:t>生存的野生动物及植物有基本的认识与了解。在封井期施工过程中，如遇到保护植物应进行避让，严禁随意踩踏破坏；遇到保护动物时，应主动避让，不得惊扰、伤害野生动物。加强对《中华人民共和国野生动物保护法》及《中华人民共和国野生植物保护条例》</w:t>
      </w:r>
      <w:r>
        <w:rPr>
          <w:rFonts w:hint="eastAsia"/>
          <w:sz w:val="24"/>
          <w:szCs w:val="20"/>
        </w:rPr>
        <w:t>的普及、教育工作，强化保护野生动植物的观念，让施工人员明确破坏保护植物，捕猎、杀害保护动物的法律后果，理解保护野生动植物的重要意义。</w:t>
      </w:r>
    </w:p>
    <w:p w:rsidR="00EE4502" w:rsidRDefault="00FD45A3">
      <w:pPr>
        <w:spacing w:line="360" w:lineRule="auto"/>
        <w:ind w:firstLineChars="200" w:firstLine="480"/>
        <w:rPr>
          <w:sz w:val="24"/>
          <w:szCs w:val="20"/>
        </w:rPr>
      </w:pPr>
      <w:r>
        <w:rPr>
          <w:rFonts w:hint="eastAsia"/>
          <w:sz w:val="24"/>
          <w:szCs w:val="20"/>
        </w:rPr>
        <w:t>通过采取以上生态保护措施，对于减少植被破坏、减缓水土流失、抵制荒漠化发展起到了一定的积极作用，可有效保护脆弱的荒漠生态环境。</w:t>
      </w:r>
    </w:p>
    <w:p w:rsidR="00EE4502" w:rsidRDefault="00FD45A3">
      <w:pPr>
        <w:pStyle w:val="22"/>
        <w:numPr>
          <w:ilvl w:val="1"/>
          <w:numId w:val="30"/>
        </w:numPr>
        <w:rPr>
          <w:spacing w:val="0"/>
          <w:w w:val="100"/>
        </w:rPr>
      </w:pPr>
      <w:bookmarkStart w:id="239" w:name="_Toc5265"/>
      <w:r>
        <w:rPr>
          <w:rFonts w:hint="eastAsia"/>
          <w:spacing w:val="0"/>
          <w:w w:val="100"/>
        </w:rPr>
        <w:lastRenderedPageBreak/>
        <w:t>地下水环境保护措施可行性论证</w:t>
      </w:r>
      <w:bookmarkEnd w:id="239"/>
    </w:p>
    <w:p w:rsidR="00EE4502" w:rsidRDefault="00FD45A3">
      <w:pPr>
        <w:spacing w:line="360" w:lineRule="auto"/>
        <w:ind w:firstLineChars="200" w:firstLine="480"/>
        <w:rPr>
          <w:sz w:val="24"/>
          <w:szCs w:val="20"/>
        </w:rPr>
      </w:pPr>
      <w:r>
        <w:rPr>
          <w:rFonts w:hint="eastAsia"/>
          <w:sz w:val="24"/>
          <w:szCs w:val="20"/>
        </w:rPr>
        <w:t>地下水保护与污染防治按照“源头控制、分区防治、污染监控、应急响应”的原则。运营期要建立健全地下水保护与污染防治的措施与方法；必须采取必要监测制度，一旦发现地下水遭受污染，就应及时采取措施，防微杜渐；尽量减少污染物进入地下含</w:t>
      </w:r>
      <w:r>
        <w:rPr>
          <w:rFonts w:hint="eastAsia"/>
          <w:sz w:val="24"/>
          <w:szCs w:val="20"/>
        </w:rPr>
        <w:t>水层的机会和数量。</w:t>
      </w:r>
    </w:p>
    <w:p w:rsidR="00EE4502" w:rsidRDefault="00FD45A3">
      <w:pPr>
        <w:spacing w:line="360" w:lineRule="auto"/>
        <w:ind w:firstLineChars="200" w:firstLine="480"/>
        <w:rPr>
          <w:sz w:val="24"/>
          <w:szCs w:val="20"/>
        </w:rPr>
      </w:pPr>
      <w:r>
        <w:rPr>
          <w:rFonts w:hint="eastAsia"/>
          <w:sz w:val="24"/>
          <w:szCs w:val="20"/>
        </w:rPr>
        <w:t>针对项目可能发生的地下水污染，地下水污染防治措施按照“源头控制、分区防治、污染监控、应急响应”相结合的原则，从污染物的产生、入渗、扩散、应急响应全阶段进行控制。</w:t>
      </w:r>
    </w:p>
    <w:p w:rsidR="00EE4502" w:rsidRDefault="00FD45A3">
      <w:pPr>
        <w:spacing w:line="360" w:lineRule="auto"/>
        <w:ind w:firstLineChars="200" w:firstLine="480"/>
        <w:rPr>
          <w:sz w:val="24"/>
          <w:szCs w:val="20"/>
        </w:rPr>
      </w:pPr>
      <w:r>
        <w:rPr>
          <w:rFonts w:hint="eastAsia"/>
          <w:sz w:val="24"/>
          <w:szCs w:val="20"/>
        </w:rPr>
        <w:t>源头控制：主要包括在工艺、管道、设备、污水产生及储存构筑物采取相应措施，防止和降低污染物跑、冒、滴、漏，将污染物泄漏的环境风险事故降到最低程度；</w:t>
      </w:r>
    </w:p>
    <w:p w:rsidR="00EE4502" w:rsidRDefault="00FD45A3">
      <w:pPr>
        <w:spacing w:line="360" w:lineRule="auto"/>
        <w:ind w:firstLineChars="200" w:firstLine="480"/>
        <w:rPr>
          <w:sz w:val="24"/>
          <w:szCs w:val="20"/>
        </w:rPr>
      </w:pPr>
      <w:r>
        <w:rPr>
          <w:rFonts w:hint="eastAsia"/>
          <w:sz w:val="24"/>
          <w:szCs w:val="20"/>
        </w:rPr>
        <w:t>分区防治：结合建设场区生产设备、管道、污染物储存等布局，实行重点污染防治区、一般污染防治区和非污染区防渗措施有区别的防渗原则。主要包括生产区地面和设备的防渗措施和泄漏、渗漏污染物收集措施；</w:t>
      </w:r>
    </w:p>
    <w:p w:rsidR="00EE4502" w:rsidRDefault="00FD45A3">
      <w:pPr>
        <w:spacing w:line="360" w:lineRule="auto"/>
        <w:ind w:firstLineChars="200" w:firstLine="480"/>
        <w:rPr>
          <w:sz w:val="24"/>
          <w:szCs w:val="20"/>
        </w:rPr>
      </w:pPr>
      <w:r>
        <w:rPr>
          <w:rFonts w:hint="eastAsia"/>
          <w:sz w:val="24"/>
          <w:szCs w:val="20"/>
        </w:rPr>
        <w:t>污染监控体系：实施覆盖生产区的地下水污染监控系统，包括建立完善的监测制度、配备先进的检测仪器和设备、科学、合理设置地下水污染监控井，及时发现污染、及时控制；</w:t>
      </w:r>
    </w:p>
    <w:p w:rsidR="00EE4502" w:rsidRDefault="00FD45A3">
      <w:pPr>
        <w:spacing w:line="360" w:lineRule="auto"/>
        <w:ind w:firstLineChars="200" w:firstLine="480"/>
        <w:rPr>
          <w:sz w:val="24"/>
          <w:szCs w:val="20"/>
        </w:rPr>
      </w:pPr>
      <w:r>
        <w:rPr>
          <w:rFonts w:hint="eastAsia"/>
          <w:sz w:val="24"/>
          <w:szCs w:val="20"/>
        </w:rPr>
        <w:t>应急响应：包括一旦发现地下水污染事故，立即启动应急预案、采取应急措施控制地下水污染，并使污染得到治理。</w:t>
      </w:r>
    </w:p>
    <w:p w:rsidR="00EE4502" w:rsidRDefault="00FD45A3">
      <w:pPr>
        <w:pStyle w:val="33"/>
        <w:numPr>
          <w:ilvl w:val="2"/>
          <w:numId w:val="30"/>
        </w:numPr>
        <w:spacing w:line="360" w:lineRule="auto"/>
        <w:ind w:left="0" w:firstLine="0"/>
        <w:rPr>
          <w:spacing w:val="0"/>
          <w:sz w:val="24"/>
          <w:szCs w:val="24"/>
        </w:rPr>
      </w:pPr>
      <w:r>
        <w:rPr>
          <w:rFonts w:hint="eastAsia"/>
          <w:spacing w:val="0"/>
          <w:sz w:val="24"/>
          <w:szCs w:val="24"/>
        </w:rPr>
        <w:t>施工期</w:t>
      </w:r>
      <w:r>
        <w:rPr>
          <w:spacing w:val="0"/>
          <w:sz w:val="24"/>
          <w:szCs w:val="24"/>
        </w:rPr>
        <w:t>废水污染防治措施</w:t>
      </w:r>
    </w:p>
    <w:p w:rsidR="00EE4502" w:rsidRDefault="00FD45A3">
      <w:pPr>
        <w:keepNext/>
        <w:keepLines/>
        <w:numPr>
          <w:ilvl w:val="3"/>
          <w:numId w:val="30"/>
        </w:numPr>
        <w:spacing w:line="360" w:lineRule="auto"/>
        <w:outlineLvl w:val="3"/>
        <w:rPr>
          <w:sz w:val="24"/>
        </w:rPr>
      </w:pPr>
      <w:r>
        <w:rPr>
          <w:rFonts w:hint="eastAsia"/>
          <w:sz w:val="24"/>
        </w:rPr>
        <w:t>源头控制措施</w:t>
      </w:r>
    </w:p>
    <w:p w:rsidR="00EE4502" w:rsidRDefault="00FD45A3">
      <w:pPr>
        <w:adjustRightInd w:val="0"/>
        <w:snapToGrid w:val="0"/>
        <w:spacing w:line="331" w:lineRule="auto"/>
        <w:ind w:firstLineChars="200" w:firstLine="500"/>
        <w:rPr>
          <w:spacing w:val="5"/>
          <w:sz w:val="24"/>
          <w:szCs w:val="21"/>
        </w:rPr>
      </w:pPr>
      <w:r>
        <w:rPr>
          <w:spacing w:val="5"/>
          <w:sz w:val="24"/>
          <w:szCs w:val="21"/>
        </w:rPr>
        <w:t>（</w:t>
      </w:r>
      <w:r>
        <w:rPr>
          <w:spacing w:val="5"/>
          <w:sz w:val="24"/>
          <w:szCs w:val="21"/>
        </w:rPr>
        <w:t>1</w:t>
      </w:r>
      <w:r>
        <w:rPr>
          <w:spacing w:val="5"/>
          <w:sz w:val="24"/>
          <w:szCs w:val="21"/>
        </w:rPr>
        <w:t>）禁止使用列入淘汰落后的、耗水量高的工艺、设备和产品名录的设备，或列入限期禁止采用的严重污染水环境的工艺名录和限期禁止生产、销售、进口、使用的严重污染水环境的设备。采取节水措施，提高水的重复利用率：以钻井队为单位，在保证正常作业的情况下，确定各类施工作业条件下的合理用水量，以控制清水用量。动力设备、水刹车等冷却水要循环使用，要安装泥浆泵冷却水循环系统；振动筛的污水循环系统，以减少用清水直接冲洗设备，尽量采用擦洗的方法清洗设备。</w:t>
      </w:r>
    </w:p>
    <w:p w:rsidR="00EE4502" w:rsidRDefault="00FD45A3">
      <w:pPr>
        <w:adjustRightInd w:val="0"/>
        <w:snapToGrid w:val="0"/>
        <w:spacing w:line="331" w:lineRule="auto"/>
        <w:ind w:firstLineChars="200" w:firstLine="500"/>
        <w:rPr>
          <w:spacing w:val="5"/>
          <w:sz w:val="24"/>
          <w:szCs w:val="21"/>
        </w:rPr>
      </w:pPr>
      <w:r>
        <w:rPr>
          <w:spacing w:val="5"/>
          <w:sz w:val="24"/>
          <w:szCs w:val="21"/>
        </w:rPr>
        <w:t>（</w:t>
      </w:r>
      <w:r>
        <w:rPr>
          <w:spacing w:val="5"/>
          <w:sz w:val="24"/>
          <w:szCs w:val="21"/>
        </w:rPr>
        <w:t>2</w:t>
      </w:r>
      <w:r>
        <w:rPr>
          <w:spacing w:val="5"/>
          <w:sz w:val="24"/>
          <w:szCs w:val="21"/>
        </w:rPr>
        <w:t>）污染物防控措施</w:t>
      </w:r>
    </w:p>
    <w:p w:rsidR="00EE4502" w:rsidRDefault="00FD45A3">
      <w:pPr>
        <w:adjustRightInd w:val="0"/>
        <w:snapToGrid w:val="0"/>
        <w:spacing w:line="332" w:lineRule="auto"/>
        <w:ind w:firstLineChars="200" w:firstLine="500"/>
        <w:rPr>
          <w:spacing w:val="5"/>
          <w:sz w:val="24"/>
          <w:szCs w:val="21"/>
        </w:rPr>
      </w:pPr>
      <w:r>
        <w:rPr>
          <w:spacing w:val="5"/>
          <w:sz w:val="24"/>
          <w:szCs w:val="21"/>
        </w:rPr>
        <w:t>①</w:t>
      </w:r>
      <w:r>
        <w:rPr>
          <w:spacing w:val="5"/>
          <w:sz w:val="24"/>
          <w:szCs w:val="21"/>
        </w:rPr>
        <w:t>施工场地应设置临时沉砂池，混凝土搅拌机等冲洗废水经沉</w:t>
      </w:r>
      <w:r>
        <w:rPr>
          <w:spacing w:val="5"/>
          <w:sz w:val="24"/>
          <w:szCs w:val="21"/>
        </w:rPr>
        <w:t>淀后回用</w:t>
      </w:r>
      <w:r>
        <w:rPr>
          <w:spacing w:val="5"/>
          <w:sz w:val="24"/>
          <w:szCs w:val="21"/>
        </w:rPr>
        <w:lastRenderedPageBreak/>
        <w:t>到施工作业中，不外排。禁止沿途倾倒、排放废水。含有害物质的建筑材料如沥青、水泥等，并应设蓬盖和围栏，防止雨水冲刷进入外环境。井场四周设置井界沟，防止井场内污水随地面径流进入外环境。</w:t>
      </w:r>
    </w:p>
    <w:p w:rsidR="00EE4502" w:rsidRDefault="00FD45A3">
      <w:pPr>
        <w:adjustRightInd w:val="0"/>
        <w:snapToGrid w:val="0"/>
        <w:spacing w:line="332" w:lineRule="auto"/>
        <w:ind w:firstLineChars="200" w:firstLine="500"/>
        <w:rPr>
          <w:spacing w:val="5"/>
          <w:sz w:val="24"/>
          <w:szCs w:val="21"/>
        </w:rPr>
      </w:pPr>
      <w:r>
        <w:rPr>
          <w:spacing w:val="5"/>
          <w:sz w:val="24"/>
          <w:szCs w:val="21"/>
        </w:rPr>
        <w:t>②</w:t>
      </w:r>
      <w:r>
        <w:rPr>
          <w:spacing w:val="5"/>
          <w:sz w:val="24"/>
          <w:szCs w:val="21"/>
        </w:rPr>
        <w:t>拟建项目采用水基钻井液，并采用泥浆不落地工艺，钻井废水随钻井固废一同委托专业单位综合处置，不直接外排</w:t>
      </w:r>
      <w:r>
        <w:rPr>
          <w:spacing w:val="5"/>
          <w:sz w:val="24"/>
          <w:lang w:bidi="ar"/>
        </w:rPr>
        <w:t>。</w:t>
      </w:r>
    </w:p>
    <w:p w:rsidR="00EE4502" w:rsidRDefault="00FD45A3">
      <w:pPr>
        <w:adjustRightInd w:val="0"/>
        <w:snapToGrid w:val="0"/>
        <w:spacing w:line="332" w:lineRule="auto"/>
        <w:ind w:firstLineChars="200" w:firstLine="500"/>
        <w:rPr>
          <w:spacing w:val="5"/>
          <w:sz w:val="24"/>
          <w:szCs w:val="21"/>
        </w:rPr>
      </w:pPr>
      <w:r>
        <w:rPr>
          <w:spacing w:val="5"/>
          <w:sz w:val="24"/>
          <w:szCs w:val="21"/>
        </w:rPr>
        <w:t>③</w:t>
      </w:r>
      <w:r>
        <w:rPr>
          <w:spacing w:val="5"/>
          <w:sz w:val="24"/>
          <w:szCs w:val="21"/>
        </w:rPr>
        <w:t>泥浆不落地工艺无须设置泥浆池，最大限度地降低了泥浆泄漏的可能性和泄漏量，使项目区污染物对土壤的影响降至最低。</w:t>
      </w:r>
    </w:p>
    <w:p w:rsidR="00EE4502" w:rsidRDefault="00FD45A3">
      <w:pPr>
        <w:adjustRightInd w:val="0"/>
        <w:snapToGrid w:val="0"/>
        <w:spacing w:line="332" w:lineRule="auto"/>
        <w:ind w:firstLineChars="200" w:firstLine="500"/>
        <w:rPr>
          <w:spacing w:val="5"/>
          <w:sz w:val="24"/>
          <w:szCs w:val="21"/>
        </w:rPr>
      </w:pPr>
      <w:r>
        <w:rPr>
          <w:spacing w:val="5"/>
          <w:sz w:val="24"/>
          <w:szCs w:val="21"/>
        </w:rPr>
        <w:t>④</w:t>
      </w:r>
      <w:r>
        <w:rPr>
          <w:spacing w:val="5"/>
          <w:sz w:val="24"/>
          <w:szCs w:val="21"/>
        </w:rPr>
        <w:t>设计、施工时对泥浆储存、收集、处理、排放设备等应采用优质、稳定、成熟的产品，做好质量检查、验收工作，防</w:t>
      </w:r>
      <w:r>
        <w:rPr>
          <w:spacing w:val="5"/>
          <w:sz w:val="24"/>
          <w:szCs w:val="21"/>
        </w:rPr>
        <w:t>止设备破损和</w:t>
      </w:r>
      <w:r>
        <w:rPr>
          <w:spacing w:val="5"/>
          <w:sz w:val="24"/>
          <w:szCs w:val="21"/>
        </w:rPr>
        <w:t>“</w:t>
      </w:r>
      <w:r>
        <w:rPr>
          <w:spacing w:val="5"/>
          <w:sz w:val="24"/>
          <w:szCs w:val="21"/>
        </w:rPr>
        <w:t>跑、冒、滴、漏</w:t>
      </w:r>
      <w:r>
        <w:rPr>
          <w:spacing w:val="5"/>
          <w:sz w:val="24"/>
          <w:szCs w:val="21"/>
        </w:rPr>
        <w:t>”</w:t>
      </w:r>
      <w:r>
        <w:rPr>
          <w:spacing w:val="5"/>
          <w:sz w:val="24"/>
          <w:szCs w:val="21"/>
        </w:rPr>
        <w:t>现象。</w:t>
      </w:r>
    </w:p>
    <w:p w:rsidR="00EE4502" w:rsidRDefault="00FD45A3">
      <w:pPr>
        <w:adjustRightInd w:val="0"/>
        <w:snapToGrid w:val="0"/>
        <w:spacing w:line="332" w:lineRule="auto"/>
        <w:ind w:firstLineChars="200" w:firstLine="500"/>
        <w:rPr>
          <w:spacing w:val="5"/>
          <w:sz w:val="24"/>
          <w:szCs w:val="21"/>
        </w:rPr>
      </w:pPr>
      <w:r>
        <w:rPr>
          <w:spacing w:val="5"/>
          <w:sz w:val="24"/>
          <w:szCs w:val="21"/>
        </w:rPr>
        <w:t>⑤</w:t>
      </w:r>
      <w:r>
        <w:rPr>
          <w:spacing w:val="5"/>
          <w:sz w:val="24"/>
          <w:szCs w:val="21"/>
        </w:rPr>
        <w:t>对集油、注水管线采用无缝钢管，采取防腐</w:t>
      </w:r>
      <w:r>
        <w:rPr>
          <w:spacing w:val="5"/>
          <w:sz w:val="24"/>
          <w:szCs w:val="21"/>
        </w:rPr>
        <w:t>+</w:t>
      </w:r>
      <w:r>
        <w:rPr>
          <w:spacing w:val="5"/>
          <w:sz w:val="24"/>
          <w:szCs w:val="21"/>
        </w:rPr>
        <w:t>保温措施，具有较强的耐化学腐蚀性能、耐温耐压性能好，粘结力强并具有良好的韧性等性质，有效地减小了管线腐蚀穿孔造成地下水污染的情况。</w:t>
      </w:r>
    </w:p>
    <w:p w:rsidR="00EE4502" w:rsidRDefault="00FD45A3">
      <w:pPr>
        <w:adjustRightInd w:val="0"/>
        <w:snapToGrid w:val="0"/>
        <w:spacing w:line="332" w:lineRule="auto"/>
        <w:ind w:firstLineChars="200" w:firstLine="500"/>
        <w:rPr>
          <w:spacing w:val="5"/>
          <w:sz w:val="24"/>
          <w:szCs w:val="21"/>
        </w:rPr>
      </w:pPr>
      <w:r>
        <w:rPr>
          <w:spacing w:val="5"/>
          <w:sz w:val="24"/>
          <w:szCs w:val="21"/>
        </w:rPr>
        <w:t>⑥</w:t>
      </w:r>
      <w:r>
        <w:rPr>
          <w:spacing w:val="5"/>
          <w:sz w:val="24"/>
          <w:szCs w:val="21"/>
        </w:rPr>
        <w:t>定期对泥浆罐、埋地管道等隐蔽设施的渗漏性进行检查，观察是否有渗水、漏水现象，发现问题及时解决。</w:t>
      </w:r>
    </w:p>
    <w:p w:rsidR="00EE4502" w:rsidRDefault="00FD45A3">
      <w:pPr>
        <w:adjustRightInd w:val="0"/>
        <w:snapToGrid w:val="0"/>
        <w:spacing w:line="332" w:lineRule="auto"/>
        <w:ind w:firstLineChars="200" w:firstLine="500"/>
        <w:rPr>
          <w:spacing w:val="5"/>
          <w:sz w:val="24"/>
          <w:szCs w:val="21"/>
        </w:rPr>
      </w:pPr>
      <w:r>
        <w:rPr>
          <w:spacing w:val="5"/>
          <w:sz w:val="24"/>
          <w:szCs w:val="21"/>
        </w:rPr>
        <w:t>⑦</w:t>
      </w:r>
      <w:r>
        <w:rPr>
          <w:spacing w:val="5"/>
          <w:sz w:val="24"/>
          <w:szCs w:val="21"/>
        </w:rPr>
        <w:t>对现有工程防渗设施进行排查，杜绝设备老化，防渗不达标。</w:t>
      </w:r>
    </w:p>
    <w:p w:rsidR="00EE4502" w:rsidRDefault="00FD45A3">
      <w:pPr>
        <w:adjustRightInd w:val="0"/>
        <w:snapToGrid w:val="0"/>
        <w:spacing w:line="332" w:lineRule="auto"/>
        <w:ind w:firstLineChars="200" w:firstLine="500"/>
        <w:rPr>
          <w:spacing w:val="5"/>
          <w:sz w:val="24"/>
          <w:szCs w:val="21"/>
        </w:rPr>
      </w:pPr>
      <w:r>
        <w:rPr>
          <w:spacing w:val="5"/>
          <w:sz w:val="24"/>
          <w:szCs w:val="21"/>
        </w:rPr>
        <w:t>⑧</w:t>
      </w:r>
      <w:r>
        <w:rPr>
          <w:spacing w:val="5"/>
          <w:sz w:val="24"/>
          <w:szCs w:val="21"/>
        </w:rPr>
        <w:t>钻井过程中贯彻清洁生产要求，选用无毒无害钻井泥浆。钻井泥浆循环利用，钻井完毕后，废弃泥浆和一般岩屑采用</w:t>
      </w:r>
      <w:r>
        <w:rPr>
          <w:spacing w:val="5"/>
          <w:sz w:val="24"/>
          <w:szCs w:val="21"/>
        </w:rPr>
        <w:t>“</w:t>
      </w:r>
      <w:r>
        <w:rPr>
          <w:spacing w:val="5"/>
          <w:sz w:val="24"/>
          <w:szCs w:val="21"/>
        </w:rPr>
        <w:t>泥浆不落地</w:t>
      </w:r>
      <w:r>
        <w:rPr>
          <w:spacing w:val="5"/>
          <w:sz w:val="24"/>
          <w:szCs w:val="21"/>
        </w:rPr>
        <w:t>”</w:t>
      </w:r>
      <w:r>
        <w:rPr>
          <w:spacing w:val="5"/>
          <w:sz w:val="24"/>
          <w:szCs w:val="21"/>
        </w:rPr>
        <w:t>工艺处理。</w:t>
      </w:r>
    </w:p>
    <w:p w:rsidR="00EE4502" w:rsidRDefault="00FD45A3">
      <w:pPr>
        <w:adjustRightInd w:val="0"/>
        <w:snapToGrid w:val="0"/>
        <w:spacing w:line="331" w:lineRule="auto"/>
        <w:ind w:firstLineChars="200" w:firstLine="500"/>
        <w:rPr>
          <w:spacing w:val="5"/>
          <w:sz w:val="24"/>
          <w:szCs w:val="21"/>
        </w:rPr>
      </w:pPr>
      <w:r>
        <w:rPr>
          <w:spacing w:val="5"/>
          <w:sz w:val="24"/>
          <w:szCs w:val="21"/>
        </w:rPr>
        <w:t>（</w:t>
      </w:r>
      <w:r>
        <w:rPr>
          <w:spacing w:val="5"/>
          <w:sz w:val="24"/>
          <w:szCs w:val="21"/>
        </w:rPr>
        <w:t>3</w:t>
      </w:r>
      <w:r>
        <w:rPr>
          <w:spacing w:val="5"/>
          <w:sz w:val="24"/>
          <w:szCs w:val="21"/>
        </w:rPr>
        <w:t>）其他</w:t>
      </w:r>
    </w:p>
    <w:p w:rsidR="00EE4502" w:rsidRDefault="00FD45A3">
      <w:pPr>
        <w:adjustRightInd w:val="0"/>
        <w:snapToGrid w:val="0"/>
        <w:spacing w:line="332" w:lineRule="auto"/>
        <w:ind w:firstLineChars="200" w:firstLine="500"/>
        <w:rPr>
          <w:spacing w:val="5"/>
          <w:sz w:val="24"/>
          <w:szCs w:val="21"/>
        </w:rPr>
      </w:pPr>
      <w:r>
        <w:rPr>
          <w:spacing w:val="5"/>
          <w:sz w:val="24"/>
          <w:szCs w:val="21"/>
        </w:rPr>
        <w:t>①</w:t>
      </w:r>
      <w:r>
        <w:rPr>
          <w:spacing w:val="5"/>
          <w:sz w:val="24"/>
          <w:szCs w:val="21"/>
        </w:rPr>
        <w:t>标准化建设，具备监控系统，管理区工作人员在调度中心能根据计算机演算结果、压力数据变化等，确定管道是否泄漏，当风险发生时，立即停输，使泄漏量降低到</w:t>
      </w:r>
      <w:r>
        <w:rPr>
          <w:rFonts w:hint="eastAsia"/>
          <w:spacing w:val="5"/>
          <w:sz w:val="24"/>
          <w:szCs w:val="21"/>
        </w:rPr>
        <w:t>最小</w:t>
      </w:r>
      <w:r>
        <w:rPr>
          <w:spacing w:val="5"/>
          <w:sz w:val="24"/>
          <w:szCs w:val="21"/>
        </w:rPr>
        <w:t>。</w:t>
      </w:r>
    </w:p>
    <w:p w:rsidR="00EE4502" w:rsidRDefault="00FD45A3">
      <w:pPr>
        <w:adjustRightInd w:val="0"/>
        <w:snapToGrid w:val="0"/>
        <w:spacing w:line="332" w:lineRule="auto"/>
        <w:ind w:firstLineChars="200" w:firstLine="500"/>
        <w:rPr>
          <w:spacing w:val="5"/>
          <w:sz w:val="24"/>
          <w:szCs w:val="21"/>
        </w:rPr>
      </w:pPr>
      <w:r>
        <w:rPr>
          <w:spacing w:val="5"/>
          <w:sz w:val="24"/>
          <w:szCs w:val="21"/>
        </w:rPr>
        <w:t>②</w:t>
      </w:r>
      <w:r>
        <w:rPr>
          <w:spacing w:val="5"/>
          <w:sz w:val="24"/>
          <w:szCs w:val="21"/>
        </w:rPr>
        <w:t>表层套管的固井水泥必须返高至地面，防止浅层含水层受到钻井泥浆污染。完井后固井水泥必须返高至地面，确保安全封闭此深度内的潜水层和承压水层。</w:t>
      </w:r>
    </w:p>
    <w:p w:rsidR="00EE4502" w:rsidRDefault="00FD45A3">
      <w:pPr>
        <w:adjustRightInd w:val="0"/>
        <w:snapToGrid w:val="0"/>
        <w:spacing w:line="331" w:lineRule="auto"/>
        <w:ind w:firstLineChars="200" w:firstLine="500"/>
        <w:rPr>
          <w:spacing w:val="5"/>
          <w:sz w:val="24"/>
          <w:szCs w:val="21"/>
        </w:rPr>
      </w:pPr>
      <w:r>
        <w:rPr>
          <w:spacing w:val="5"/>
          <w:sz w:val="24"/>
          <w:szCs w:val="21"/>
        </w:rPr>
        <w:t>③</w:t>
      </w:r>
      <w:r>
        <w:rPr>
          <w:spacing w:val="5"/>
          <w:sz w:val="24"/>
          <w:szCs w:val="21"/>
        </w:rPr>
        <w:t>施工期间，施工单位应严格执行《建设工程施工场地文明施工及环境管理暂行规定》，对污水加强管理，严禁乱排污染环境，施工机械检修期间，地面应铺设塑料布，及时回收废机油，防止废油落地，污染土壤和地下水。加强施工机械维护，防止施工机械漏油。施工期固体废物等拉运车辆须在转运过程做好转运台账，严格执行废弃物转运签认和交接清单制度；运输前规划运输路线，转运过程中应严格按照规定的路线运输到相应的目的地；运输过程中应尽量避开环境敏感区；对拉运过程进行严格监督管理，运输车辆、</w:t>
      </w:r>
      <w:r>
        <w:rPr>
          <w:spacing w:val="5"/>
          <w:sz w:val="24"/>
          <w:szCs w:val="21"/>
        </w:rPr>
        <w:lastRenderedPageBreak/>
        <w:t>装卸工具必须符合安全环保要求，装卸和运输废弃物过程中</w:t>
      </w:r>
      <w:r>
        <w:rPr>
          <w:spacing w:val="5"/>
          <w:sz w:val="24"/>
          <w:szCs w:val="21"/>
        </w:rPr>
        <w:t>不得溢出和渗漏，严禁半途倾倒、排放或向第三方转移废弃物。禁止利用渗井、渗坑、裂隙以及私设暗管等逃避监管的方式排放水污染物。</w:t>
      </w:r>
    </w:p>
    <w:p w:rsidR="00EE4502" w:rsidRDefault="00FD45A3">
      <w:pPr>
        <w:adjustRightInd w:val="0"/>
        <w:snapToGrid w:val="0"/>
        <w:spacing w:line="331" w:lineRule="auto"/>
        <w:ind w:firstLineChars="200" w:firstLine="500"/>
        <w:rPr>
          <w:spacing w:val="5"/>
          <w:sz w:val="24"/>
          <w:szCs w:val="21"/>
        </w:rPr>
      </w:pPr>
      <w:r>
        <w:rPr>
          <w:spacing w:val="5"/>
          <w:sz w:val="24"/>
          <w:szCs w:val="21"/>
        </w:rPr>
        <w:t>④</w:t>
      </w:r>
      <w:r>
        <w:rPr>
          <w:spacing w:val="5"/>
          <w:sz w:val="24"/>
          <w:szCs w:val="21"/>
        </w:rPr>
        <w:t>严格按照《油气输送管道穿越工程设计规范》（</w:t>
      </w:r>
      <w:r>
        <w:rPr>
          <w:spacing w:val="5"/>
          <w:sz w:val="24"/>
          <w:szCs w:val="21"/>
        </w:rPr>
        <w:t>GB50423-2013</w:t>
      </w:r>
      <w:r>
        <w:rPr>
          <w:spacing w:val="5"/>
          <w:sz w:val="24"/>
          <w:szCs w:val="21"/>
        </w:rPr>
        <w:t>）设计及施工，合理安排管道施工时序和施工工艺的情况。管道应埋设于最大冻土深度以下且应有足够的埋设深度。集输管线敷设前，加强对管材和焊接质量的检查，防止因管材质量及焊接缺陷造成泄漏事故的发生。选择有经验的单位进行施工，加强施工过程监理，确保施工质量。做好阀门和管线的安装、试运行工作，杜绝水的跑、冒、滴、漏。</w:t>
      </w:r>
    </w:p>
    <w:p w:rsidR="00EE4502" w:rsidRDefault="00FD45A3">
      <w:pPr>
        <w:adjustRightInd w:val="0"/>
        <w:snapToGrid w:val="0"/>
        <w:spacing w:line="331" w:lineRule="auto"/>
        <w:ind w:firstLineChars="200" w:firstLine="500"/>
        <w:rPr>
          <w:spacing w:val="5"/>
          <w:sz w:val="24"/>
          <w:szCs w:val="21"/>
        </w:rPr>
      </w:pPr>
      <w:r>
        <w:rPr>
          <w:spacing w:val="5"/>
          <w:sz w:val="24"/>
          <w:szCs w:val="21"/>
        </w:rPr>
        <w:t>⑤</w:t>
      </w:r>
      <w:r>
        <w:rPr>
          <w:spacing w:val="5"/>
          <w:sz w:val="24"/>
          <w:szCs w:val="21"/>
        </w:rPr>
        <w:t>井的设计、建造应按照</w:t>
      </w:r>
      <w:r>
        <w:rPr>
          <w:spacing w:val="5"/>
          <w:sz w:val="24"/>
          <w:szCs w:val="21"/>
        </w:rPr>
        <w:t xml:space="preserve"> SY/T 6596 </w:t>
      </w:r>
      <w:r>
        <w:rPr>
          <w:spacing w:val="5"/>
          <w:sz w:val="24"/>
          <w:szCs w:val="21"/>
        </w:rPr>
        <w:t>的要求保证其完整性。钻井过程中严格按照钻井施工工艺，施工规范进行操作，防止钻井过程中，由于施工不当，导致井喷、原油</w:t>
      </w:r>
      <w:r>
        <w:rPr>
          <w:rFonts w:hint="eastAsia"/>
          <w:spacing w:val="5"/>
          <w:sz w:val="24"/>
          <w:szCs w:val="21"/>
        </w:rPr>
        <w:t>泄漏</w:t>
      </w:r>
      <w:r>
        <w:rPr>
          <w:spacing w:val="5"/>
          <w:sz w:val="24"/>
          <w:szCs w:val="21"/>
        </w:rPr>
        <w:t>以及油水地层窜层等事故污染地下水。钻井过程中产生的钻井废水，废弃泥浆、岩屑等按照规范统一集中处理。保证固井质量，确保安全封闭此深度内的潜水层和承压水层。</w:t>
      </w:r>
    </w:p>
    <w:p w:rsidR="00EE4502" w:rsidRDefault="00FD45A3">
      <w:pPr>
        <w:adjustRightInd w:val="0"/>
        <w:snapToGrid w:val="0"/>
        <w:spacing w:line="331" w:lineRule="auto"/>
        <w:ind w:firstLineChars="200" w:firstLine="500"/>
        <w:rPr>
          <w:spacing w:val="5"/>
          <w:sz w:val="24"/>
          <w:szCs w:val="21"/>
        </w:rPr>
      </w:pPr>
      <w:r>
        <w:rPr>
          <w:spacing w:val="5"/>
          <w:sz w:val="24"/>
          <w:szCs w:val="21"/>
        </w:rPr>
        <w:t>针对以上措施的实施，实际施工期井队对机械设备做检修保养记录，并制定环境保护管理制度，设环保专员负责检查井场内废水、固废等处置情况，保证废物得到有效处理，从而达到减少对周围地下水环境污染的预期效果。</w:t>
      </w:r>
    </w:p>
    <w:p w:rsidR="00EE4502" w:rsidRDefault="00FD45A3">
      <w:pPr>
        <w:adjustRightInd w:val="0"/>
        <w:snapToGrid w:val="0"/>
        <w:spacing w:line="331" w:lineRule="auto"/>
        <w:ind w:firstLineChars="200" w:firstLine="500"/>
        <w:rPr>
          <w:spacing w:val="5"/>
          <w:sz w:val="24"/>
          <w:szCs w:val="21"/>
        </w:rPr>
      </w:pPr>
      <w:r>
        <w:rPr>
          <w:spacing w:val="5"/>
          <w:sz w:val="24"/>
          <w:szCs w:val="21"/>
        </w:rPr>
        <w:t>综上所述，通过采取以上各种废水处理及防治措施，本项目施工期产生的各类废水均可以得到有效处置，施工期的废水污染防治措施合理可行。</w:t>
      </w:r>
    </w:p>
    <w:p w:rsidR="00EE4502" w:rsidRDefault="00FD45A3">
      <w:pPr>
        <w:keepNext/>
        <w:keepLines/>
        <w:numPr>
          <w:ilvl w:val="3"/>
          <w:numId w:val="30"/>
        </w:numPr>
        <w:spacing w:line="360" w:lineRule="auto"/>
        <w:outlineLvl w:val="3"/>
        <w:rPr>
          <w:sz w:val="24"/>
        </w:rPr>
      </w:pPr>
      <w:r>
        <w:rPr>
          <w:rFonts w:hint="eastAsia"/>
          <w:sz w:val="24"/>
        </w:rPr>
        <w:t>过程防控措施</w:t>
      </w:r>
    </w:p>
    <w:p w:rsidR="00EE4502" w:rsidRDefault="00FD45A3">
      <w:pPr>
        <w:numPr>
          <w:ilvl w:val="0"/>
          <w:numId w:val="40"/>
        </w:numPr>
        <w:adjustRightInd w:val="0"/>
        <w:snapToGrid w:val="0"/>
        <w:spacing w:line="332" w:lineRule="auto"/>
        <w:ind w:firstLineChars="200" w:firstLine="480"/>
        <w:rPr>
          <w:sz w:val="24"/>
          <w:szCs w:val="20"/>
        </w:rPr>
      </w:pPr>
      <w:r>
        <w:rPr>
          <w:sz w:val="24"/>
          <w:szCs w:val="20"/>
        </w:rPr>
        <w:t>防渗措施</w:t>
      </w:r>
    </w:p>
    <w:p w:rsidR="00EE4502" w:rsidRDefault="00FD45A3">
      <w:pPr>
        <w:adjustRightInd w:val="0"/>
        <w:snapToGrid w:val="0"/>
        <w:spacing w:line="332" w:lineRule="auto"/>
        <w:ind w:firstLineChars="200" w:firstLine="500"/>
        <w:rPr>
          <w:spacing w:val="5"/>
          <w:sz w:val="24"/>
          <w:szCs w:val="21"/>
        </w:rPr>
      </w:pPr>
      <w:r>
        <w:rPr>
          <w:spacing w:val="5"/>
          <w:sz w:val="24"/>
          <w:szCs w:val="21"/>
        </w:rPr>
        <w:t>建设单位须做好场区分区防渗措施。按重点防渗区、一般防渗区分别采取不同等级的防渗措施，防渗层尽量在地表铺设，防渗材料可根据具体防渗区域拟选取</w:t>
      </w:r>
      <w:r>
        <w:rPr>
          <w:spacing w:val="5"/>
          <w:sz w:val="24"/>
          <w:szCs w:val="21"/>
        </w:rPr>
        <w:t>HDPE</w:t>
      </w:r>
      <w:r>
        <w:rPr>
          <w:spacing w:val="5"/>
          <w:sz w:val="24"/>
          <w:szCs w:val="21"/>
        </w:rPr>
        <w:t>或其他防渗材料，按照污染防治分区采取不同的设计方案。</w:t>
      </w:r>
    </w:p>
    <w:p w:rsidR="00EE4502" w:rsidRDefault="00FD45A3">
      <w:pPr>
        <w:adjustRightInd w:val="0"/>
        <w:snapToGrid w:val="0"/>
        <w:spacing w:line="332" w:lineRule="auto"/>
        <w:ind w:firstLineChars="200" w:firstLine="480"/>
        <w:rPr>
          <w:sz w:val="24"/>
          <w:szCs w:val="20"/>
        </w:rPr>
      </w:pPr>
      <w:r>
        <w:rPr>
          <w:sz w:val="24"/>
          <w:szCs w:val="20"/>
        </w:rPr>
        <w:t>为防止对地下水污染，针对井场施工期间工程特点，</w:t>
      </w:r>
      <w:r>
        <w:rPr>
          <w:sz w:val="24"/>
          <w:szCs w:val="20"/>
        </w:rPr>
        <w:t>根据</w:t>
      </w:r>
      <w:r>
        <w:rPr>
          <w:sz w:val="24"/>
          <w:szCs w:val="20"/>
        </w:rPr>
        <w:t>《环境影响评价技术导则</w:t>
      </w:r>
      <w:r>
        <w:rPr>
          <w:sz w:val="24"/>
          <w:szCs w:val="20"/>
        </w:rPr>
        <w:t xml:space="preserve"> </w:t>
      </w:r>
      <w:r>
        <w:rPr>
          <w:sz w:val="24"/>
          <w:szCs w:val="20"/>
        </w:rPr>
        <w:t>地下水环境》</w:t>
      </w:r>
      <w:r>
        <w:rPr>
          <w:sz w:val="24"/>
          <w:szCs w:val="20"/>
        </w:rPr>
        <w:t>(HJ610-2016)</w:t>
      </w:r>
      <w:r>
        <w:rPr>
          <w:sz w:val="24"/>
          <w:szCs w:val="20"/>
        </w:rPr>
        <w:t>《环境影响评价技术导则</w:t>
      </w:r>
      <w:r>
        <w:rPr>
          <w:sz w:val="24"/>
          <w:szCs w:val="20"/>
        </w:rPr>
        <w:t xml:space="preserve"> </w:t>
      </w:r>
      <w:r>
        <w:rPr>
          <w:sz w:val="24"/>
          <w:szCs w:val="20"/>
        </w:rPr>
        <w:t>陆地石油天然气开发建设项</w:t>
      </w:r>
      <w:r>
        <w:rPr>
          <w:sz w:val="24"/>
          <w:szCs w:val="20"/>
        </w:rPr>
        <w:t>目》（</w:t>
      </w:r>
      <w:r>
        <w:rPr>
          <w:sz w:val="24"/>
          <w:szCs w:val="20"/>
        </w:rPr>
        <w:t>HJ349-2023</w:t>
      </w:r>
      <w:r>
        <w:rPr>
          <w:sz w:val="24"/>
          <w:szCs w:val="20"/>
        </w:rPr>
        <w:t>），将钻井期井场进行分区防渗，其中钻井工程基础区域、放喷池、应急池、油罐区等划分为重点</w:t>
      </w:r>
      <w:r>
        <w:rPr>
          <w:sz w:val="24"/>
          <w:szCs w:val="20"/>
        </w:rPr>
        <w:t>防渗</w:t>
      </w:r>
      <w:r>
        <w:rPr>
          <w:sz w:val="24"/>
          <w:szCs w:val="20"/>
        </w:rPr>
        <w:t>区，油罐区</w:t>
      </w:r>
      <w:r>
        <w:rPr>
          <w:sz w:val="24"/>
          <w:szCs w:val="20"/>
        </w:rPr>
        <w:t>为一般防渗区，</w:t>
      </w:r>
      <w:r>
        <w:rPr>
          <w:sz w:val="24"/>
          <w:szCs w:val="20"/>
        </w:rPr>
        <w:t>采取相应的防渗措施可有效避免发生渗漏事故。分区防渗方案见表</w:t>
      </w:r>
      <w:r>
        <w:rPr>
          <w:sz w:val="24"/>
          <w:szCs w:val="20"/>
        </w:rPr>
        <w:t>6.</w:t>
      </w:r>
      <w:r>
        <w:rPr>
          <w:sz w:val="24"/>
          <w:szCs w:val="20"/>
        </w:rPr>
        <w:t>2</w:t>
      </w:r>
      <w:r>
        <w:rPr>
          <w:sz w:val="24"/>
          <w:szCs w:val="20"/>
        </w:rPr>
        <w:t>-1</w:t>
      </w:r>
      <w:r>
        <w:rPr>
          <w:sz w:val="24"/>
          <w:szCs w:val="20"/>
        </w:rPr>
        <w:t>。</w:t>
      </w:r>
    </w:p>
    <w:p w:rsidR="00EE4502" w:rsidRDefault="00FD45A3">
      <w:pPr>
        <w:jc w:val="center"/>
        <w:rPr>
          <w:rFonts w:eastAsia="黑体"/>
          <w:bCs/>
          <w:spacing w:val="5"/>
          <w:sz w:val="22"/>
          <w:szCs w:val="21"/>
          <w:lang w:val="zh-CN"/>
        </w:rPr>
      </w:pPr>
      <w:r>
        <w:rPr>
          <w:rFonts w:eastAsia="黑体"/>
          <w:bCs/>
          <w:spacing w:val="5"/>
          <w:sz w:val="22"/>
          <w:szCs w:val="21"/>
          <w:lang w:val="zh-CN"/>
        </w:rPr>
        <w:t>表</w:t>
      </w:r>
      <w:r>
        <w:rPr>
          <w:rFonts w:eastAsia="黑体"/>
          <w:bCs/>
          <w:spacing w:val="5"/>
          <w:sz w:val="22"/>
          <w:szCs w:val="21"/>
          <w:lang w:val="zh-CN"/>
        </w:rPr>
        <w:t>6.</w:t>
      </w:r>
      <w:r>
        <w:rPr>
          <w:rFonts w:eastAsia="黑体"/>
          <w:bCs/>
          <w:spacing w:val="5"/>
          <w:sz w:val="22"/>
          <w:szCs w:val="21"/>
        </w:rPr>
        <w:t>2</w:t>
      </w:r>
      <w:r>
        <w:rPr>
          <w:rFonts w:eastAsia="黑体"/>
          <w:bCs/>
          <w:spacing w:val="5"/>
          <w:sz w:val="22"/>
          <w:szCs w:val="21"/>
          <w:lang w:val="zh-CN"/>
        </w:rPr>
        <w:t xml:space="preserve">-1   </w:t>
      </w:r>
      <w:r>
        <w:rPr>
          <w:rFonts w:eastAsia="黑体"/>
          <w:bCs/>
          <w:spacing w:val="5"/>
          <w:sz w:val="22"/>
          <w:szCs w:val="21"/>
          <w:lang w:val="zh-CN"/>
        </w:rPr>
        <w:t>分区防渗方案</w:t>
      </w:r>
    </w:p>
    <w:tbl>
      <w:tblPr>
        <w:tblW w:w="5211" w:type="pct"/>
        <w:jc w:val="center"/>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3285"/>
        <w:gridCol w:w="935"/>
        <w:gridCol w:w="4453"/>
      </w:tblGrid>
      <w:tr w:rsidR="00EE4502">
        <w:trPr>
          <w:trHeight w:val="23"/>
          <w:jc w:val="center"/>
        </w:trPr>
        <w:tc>
          <w:tcPr>
            <w:tcW w:w="1893" w:type="pct"/>
            <w:tcBorders>
              <w:tl2br w:val="nil"/>
              <w:tr2bl w:val="nil"/>
            </w:tcBorders>
          </w:tcPr>
          <w:p w:rsidR="00EE4502" w:rsidRDefault="00FD45A3">
            <w:pPr>
              <w:widowControl/>
              <w:adjustRightInd w:val="0"/>
              <w:snapToGrid w:val="0"/>
              <w:jc w:val="center"/>
              <w:rPr>
                <w:kern w:val="0"/>
                <w:szCs w:val="20"/>
              </w:rPr>
            </w:pPr>
            <w:r>
              <w:rPr>
                <w:kern w:val="0"/>
                <w:szCs w:val="20"/>
              </w:rPr>
              <w:t>污染源名称</w:t>
            </w:r>
          </w:p>
        </w:tc>
        <w:tc>
          <w:tcPr>
            <w:tcW w:w="539" w:type="pct"/>
            <w:tcBorders>
              <w:tl2br w:val="nil"/>
              <w:tr2bl w:val="nil"/>
            </w:tcBorders>
          </w:tcPr>
          <w:p w:rsidR="00EE4502" w:rsidRDefault="00FD45A3">
            <w:pPr>
              <w:widowControl/>
              <w:adjustRightInd w:val="0"/>
              <w:snapToGrid w:val="0"/>
              <w:jc w:val="center"/>
              <w:rPr>
                <w:kern w:val="0"/>
                <w:szCs w:val="20"/>
              </w:rPr>
            </w:pPr>
            <w:r>
              <w:rPr>
                <w:kern w:val="0"/>
                <w:szCs w:val="20"/>
              </w:rPr>
              <w:t>防治分区</w:t>
            </w:r>
          </w:p>
        </w:tc>
        <w:tc>
          <w:tcPr>
            <w:tcW w:w="2566" w:type="pct"/>
            <w:tcBorders>
              <w:tl2br w:val="nil"/>
              <w:tr2bl w:val="nil"/>
            </w:tcBorders>
          </w:tcPr>
          <w:p w:rsidR="00EE4502" w:rsidRDefault="00FD45A3">
            <w:pPr>
              <w:widowControl/>
              <w:adjustRightInd w:val="0"/>
              <w:snapToGrid w:val="0"/>
              <w:jc w:val="center"/>
              <w:rPr>
                <w:kern w:val="0"/>
                <w:szCs w:val="20"/>
              </w:rPr>
            </w:pPr>
            <w:r>
              <w:rPr>
                <w:kern w:val="0"/>
                <w:szCs w:val="20"/>
              </w:rPr>
              <w:t>防渗技术要求</w:t>
            </w:r>
          </w:p>
        </w:tc>
      </w:tr>
      <w:tr w:rsidR="00EE4502">
        <w:trPr>
          <w:trHeight w:val="23"/>
          <w:jc w:val="center"/>
        </w:trPr>
        <w:tc>
          <w:tcPr>
            <w:tcW w:w="1893" w:type="pct"/>
            <w:tcBorders>
              <w:tl2br w:val="nil"/>
              <w:tr2bl w:val="nil"/>
            </w:tcBorders>
            <w:vAlign w:val="center"/>
          </w:tcPr>
          <w:p w:rsidR="00EE4502" w:rsidRDefault="00FD45A3">
            <w:pPr>
              <w:widowControl/>
              <w:adjustRightInd w:val="0"/>
              <w:snapToGrid w:val="0"/>
              <w:rPr>
                <w:kern w:val="0"/>
                <w:szCs w:val="20"/>
              </w:rPr>
            </w:pPr>
            <w:r>
              <w:rPr>
                <w:kern w:val="0"/>
                <w:szCs w:val="20"/>
              </w:rPr>
              <w:t>钻井工程基础区域、钻井液循环系统、清洁生产操作平台、废水池</w:t>
            </w:r>
          </w:p>
        </w:tc>
        <w:tc>
          <w:tcPr>
            <w:tcW w:w="539" w:type="pct"/>
            <w:tcBorders>
              <w:tl2br w:val="nil"/>
              <w:tr2bl w:val="nil"/>
            </w:tcBorders>
            <w:vAlign w:val="center"/>
          </w:tcPr>
          <w:p w:rsidR="00EE4502" w:rsidRDefault="00FD45A3">
            <w:pPr>
              <w:widowControl/>
              <w:adjustRightInd w:val="0"/>
              <w:snapToGrid w:val="0"/>
              <w:jc w:val="center"/>
              <w:rPr>
                <w:kern w:val="0"/>
                <w:szCs w:val="20"/>
              </w:rPr>
            </w:pPr>
            <w:r>
              <w:rPr>
                <w:kern w:val="0"/>
                <w:szCs w:val="20"/>
              </w:rPr>
              <w:t>重点防渗</w:t>
            </w:r>
          </w:p>
        </w:tc>
        <w:tc>
          <w:tcPr>
            <w:tcW w:w="2566" w:type="pct"/>
            <w:tcBorders>
              <w:tl2br w:val="nil"/>
              <w:tr2bl w:val="nil"/>
            </w:tcBorders>
            <w:vAlign w:val="center"/>
          </w:tcPr>
          <w:p w:rsidR="00EE4502" w:rsidRDefault="00FD45A3">
            <w:pPr>
              <w:widowControl/>
              <w:adjustRightInd w:val="0"/>
              <w:snapToGrid w:val="0"/>
              <w:jc w:val="center"/>
              <w:rPr>
                <w:kern w:val="0"/>
                <w:szCs w:val="20"/>
              </w:rPr>
            </w:pPr>
            <w:r>
              <w:rPr>
                <w:kern w:val="0"/>
                <w:szCs w:val="20"/>
              </w:rPr>
              <w:t>等效黏土防渗层</w:t>
            </w:r>
            <w:r>
              <w:rPr>
                <w:kern w:val="0"/>
                <w:szCs w:val="20"/>
              </w:rPr>
              <w:t>Mb≥6.0m</w:t>
            </w:r>
            <w:r>
              <w:rPr>
                <w:kern w:val="0"/>
                <w:szCs w:val="20"/>
              </w:rPr>
              <w:t>，</w:t>
            </w:r>
            <w:r>
              <w:rPr>
                <w:kern w:val="0"/>
                <w:szCs w:val="20"/>
              </w:rPr>
              <w:t>K≤1×10</w:t>
            </w:r>
            <w:r>
              <w:rPr>
                <w:kern w:val="0"/>
                <w:szCs w:val="20"/>
                <w:vertAlign w:val="superscript"/>
              </w:rPr>
              <w:t>-7</w:t>
            </w:r>
            <w:r>
              <w:rPr>
                <w:kern w:val="0"/>
                <w:szCs w:val="20"/>
              </w:rPr>
              <w:t>cm/s</w:t>
            </w:r>
            <w:r>
              <w:rPr>
                <w:kern w:val="0"/>
                <w:szCs w:val="20"/>
              </w:rPr>
              <w:t>；或参照</w:t>
            </w:r>
            <w:r>
              <w:rPr>
                <w:kern w:val="0"/>
                <w:szCs w:val="20"/>
              </w:rPr>
              <w:t>GB18598</w:t>
            </w:r>
            <w:r>
              <w:rPr>
                <w:kern w:val="0"/>
                <w:szCs w:val="20"/>
              </w:rPr>
              <w:t>执行</w:t>
            </w:r>
          </w:p>
        </w:tc>
      </w:tr>
      <w:tr w:rsidR="00EE4502">
        <w:trPr>
          <w:trHeight w:val="23"/>
          <w:jc w:val="center"/>
        </w:trPr>
        <w:tc>
          <w:tcPr>
            <w:tcW w:w="1893" w:type="pct"/>
            <w:tcBorders>
              <w:tl2br w:val="nil"/>
              <w:tr2bl w:val="nil"/>
            </w:tcBorders>
            <w:vAlign w:val="center"/>
          </w:tcPr>
          <w:p w:rsidR="00EE4502" w:rsidRDefault="00FD45A3">
            <w:pPr>
              <w:widowControl/>
              <w:adjustRightInd w:val="0"/>
              <w:snapToGrid w:val="0"/>
              <w:jc w:val="center"/>
              <w:rPr>
                <w:kern w:val="0"/>
                <w:szCs w:val="20"/>
              </w:rPr>
            </w:pPr>
            <w:r>
              <w:rPr>
                <w:rFonts w:hint="eastAsia"/>
                <w:kern w:val="0"/>
                <w:szCs w:val="20"/>
              </w:rPr>
              <w:t>依托已建</w:t>
            </w:r>
            <w:r>
              <w:rPr>
                <w:kern w:val="0"/>
                <w:szCs w:val="20"/>
              </w:rPr>
              <w:t>危废暂存场</w:t>
            </w:r>
          </w:p>
        </w:tc>
        <w:tc>
          <w:tcPr>
            <w:tcW w:w="539" w:type="pct"/>
            <w:tcBorders>
              <w:tl2br w:val="nil"/>
              <w:tr2bl w:val="nil"/>
            </w:tcBorders>
            <w:vAlign w:val="center"/>
          </w:tcPr>
          <w:p w:rsidR="00EE4502" w:rsidRDefault="00FD45A3">
            <w:pPr>
              <w:widowControl/>
              <w:adjustRightInd w:val="0"/>
              <w:snapToGrid w:val="0"/>
              <w:jc w:val="center"/>
              <w:rPr>
                <w:kern w:val="0"/>
                <w:szCs w:val="20"/>
              </w:rPr>
            </w:pPr>
            <w:r>
              <w:rPr>
                <w:kern w:val="0"/>
                <w:szCs w:val="20"/>
              </w:rPr>
              <w:t>重点防渗</w:t>
            </w:r>
          </w:p>
        </w:tc>
        <w:tc>
          <w:tcPr>
            <w:tcW w:w="2566" w:type="pct"/>
            <w:tcBorders>
              <w:tl2br w:val="nil"/>
              <w:tr2bl w:val="nil"/>
            </w:tcBorders>
            <w:vAlign w:val="center"/>
          </w:tcPr>
          <w:p w:rsidR="00EE4502" w:rsidRDefault="00FD45A3">
            <w:pPr>
              <w:widowControl/>
              <w:adjustRightInd w:val="0"/>
              <w:snapToGrid w:val="0"/>
              <w:jc w:val="center"/>
              <w:rPr>
                <w:kern w:val="0"/>
                <w:szCs w:val="20"/>
              </w:rPr>
            </w:pPr>
            <w:r>
              <w:rPr>
                <w:kern w:val="0"/>
                <w:szCs w:val="20"/>
              </w:rPr>
              <w:t>《危险废物贮存污染控制标准》（</w:t>
            </w:r>
            <w:r>
              <w:rPr>
                <w:kern w:val="0"/>
                <w:szCs w:val="20"/>
              </w:rPr>
              <w:t xml:space="preserve">GB </w:t>
            </w:r>
            <w:r>
              <w:rPr>
                <w:kern w:val="0"/>
                <w:szCs w:val="20"/>
              </w:rPr>
              <w:lastRenderedPageBreak/>
              <w:t>18597—2023</w:t>
            </w:r>
            <w:r>
              <w:rPr>
                <w:kern w:val="0"/>
                <w:szCs w:val="20"/>
              </w:rPr>
              <w:t>）中相关要求</w:t>
            </w:r>
          </w:p>
        </w:tc>
      </w:tr>
      <w:tr w:rsidR="00EE4502">
        <w:trPr>
          <w:trHeight w:val="23"/>
          <w:jc w:val="center"/>
        </w:trPr>
        <w:tc>
          <w:tcPr>
            <w:tcW w:w="1893" w:type="pct"/>
            <w:tcBorders>
              <w:tl2br w:val="nil"/>
              <w:tr2bl w:val="nil"/>
            </w:tcBorders>
            <w:vAlign w:val="center"/>
          </w:tcPr>
          <w:p w:rsidR="00EE4502" w:rsidRDefault="00FD45A3">
            <w:pPr>
              <w:widowControl/>
              <w:adjustRightInd w:val="0"/>
              <w:snapToGrid w:val="0"/>
              <w:jc w:val="center"/>
              <w:rPr>
                <w:kern w:val="0"/>
                <w:szCs w:val="20"/>
              </w:rPr>
            </w:pPr>
            <w:r>
              <w:rPr>
                <w:kern w:val="0"/>
                <w:szCs w:val="20"/>
              </w:rPr>
              <w:lastRenderedPageBreak/>
              <w:t>油罐区</w:t>
            </w:r>
          </w:p>
        </w:tc>
        <w:tc>
          <w:tcPr>
            <w:tcW w:w="539" w:type="pct"/>
            <w:tcBorders>
              <w:tl2br w:val="nil"/>
              <w:tr2bl w:val="nil"/>
            </w:tcBorders>
            <w:vAlign w:val="center"/>
          </w:tcPr>
          <w:p w:rsidR="00EE4502" w:rsidRDefault="00FD45A3">
            <w:pPr>
              <w:widowControl/>
              <w:adjustRightInd w:val="0"/>
              <w:snapToGrid w:val="0"/>
              <w:jc w:val="center"/>
              <w:rPr>
                <w:kern w:val="0"/>
                <w:szCs w:val="20"/>
              </w:rPr>
            </w:pPr>
            <w:r>
              <w:rPr>
                <w:kern w:val="0"/>
                <w:szCs w:val="20"/>
              </w:rPr>
              <w:t>一般防渗</w:t>
            </w:r>
          </w:p>
        </w:tc>
        <w:tc>
          <w:tcPr>
            <w:tcW w:w="2566" w:type="pct"/>
            <w:tcBorders>
              <w:tl2br w:val="nil"/>
              <w:tr2bl w:val="nil"/>
            </w:tcBorders>
            <w:vAlign w:val="center"/>
          </w:tcPr>
          <w:p w:rsidR="00EE4502" w:rsidRDefault="00FD45A3">
            <w:pPr>
              <w:widowControl/>
              <w:adjustRightInd w:val="0"/>
              <w:snapToGrid w:val="0"/>
              <w:jc w:val="center"/>
              <w:rPr>
                <w:kern w:val="0"/>
                <w:szCs w:val="20"/>
              </w:rPr>
            </w:pPr>
            <w:r>
              <w:rPr>
                <w:kern w:val="0"/>
                <w:szCs w:val="20"/>
              </w:rPr>
              <w:t>等效黏土防渗层</w:t>
            </w:r>
            <w:r>
              <w:rPr>
                <w:kern w:val="0"/>
                <w:szCs w:val="20"/>
              </w:rPr>
              <w:t>Mb≥1.5m</w:t>
            </w:r>
            <w:r>
              <w:rPr>
                <w:kern w:val="0"/>
                <w:szCs w:val="20"/>
              </w:rPr>
              <w:t>，</w:t>
            </w:r>
            <w:r>
              <w:rPr>
                <w:kern w:val="0"/>
                <w:szCs w:val="20"/>
              </w:rPr>
              <w:t>K≤1×10</w:t>
            </w:r>
            <w:r>
              <w:rPr>
                <w:kern w:val="0"/>
                <w:szCs w:val="20"/>
                <w:vertAlign w:val="superscript"/>
              </w:rPr>
              <w:t>-7</w:t>
            </w:r>
            <w:r>
              <w:rPr>
                <w:kern w:val="0"/>
                <w:szCs w:val="20"/>
              </w:rPr>
              <w:t>cm/s</w:t>
            </w:r>
            <w:r>
              <w:rPr>
                <w:kern w:val="0"/>
                <w:szCs w:val="20"/>
              </w:rPr>
              <w:t>，或参照</w:t>
            </w:r>
            <w:r>
              <w:rPr>
                <w:kern w:val="0"/>
                <w:szCs w:val="20"/>
              </w:rPr>
              <w:t>GB16889</w:t>
            </w:r>
            <w:r>
              <w:rPr>
                <w:kern w:val="0"/>
                <w:szCs w:val="20"/>
              </w:rPr>
              <w:t>执行</w:t>
            </w:r>
          </w:p>
        </w:tc>
      </w:tr>
    </w:tbl>
    <w:p w:rsidR="00EE4502" w:rsidRDefault="00FD45A3">
      <w:pPr>
        <w:adjustRightInd w:val="0"/>
        <w:snapToGrid w:val="0"/>
        <w:spacing w:line="332" w:lineRule="auto"/>
        <w:ind w:firstLineChars="200" w:firstLine="500"/>
        <w:rPr>
          <w:spacing w:val="5"/>
          <w:sz w:val="24"/>
          <w:szCs w:val="21"/>
        </w:rPr>
      </w:pPr>
      <w:r>
        <w:rPr>
          <w:spacing w:val="5"/>
          <w:sz w:val="24"/>
          <w:szCs w:val="21"/>
        </w:rPr>
        <w:t>（</w:t>
      </w:r>
      <w:r>
        <w:rPr>
          <w:spacing w:val="5"/>
          <w:sz w:val="24"/>
          <w:szCs w:val="21"/>
        </w:rPr>
        <w:t>2</w:t>
      </w:r>
      <w:r>
        <w:rPr>
          <w:spacing w:val="5"/>
          <w:sz w:val="24"/>
          <w:szCs w:val="21"/>
        </w:rPr>
        <w:t>）严格按照操作规程施工，提高固井质量，避免因发生固井质量问题造成含油污水泄漏而引起地下水污染。加强施工管理，发现问题及时解决。</w:t>
      </w:r>
    </w:p>
    <w:p w:rsidR="00EE4502" w:rsidRDefault="00FD45A3">
      <w:pPr>
        <w:adjustRightInd w:val="0"/>
        <w:snapToGrid w:val="0"/>
        <w:spacing w:line="332" w:lineRule="auto"/>
        <w:ind w:firstLineChars="200" w:firstLine="500"/>
        <w:rPr>
          <w:spacing w:val="5"/>
          <w:sz w:val="24"/>
          <w:szCs w:val="21"/>
        </w:rPr>
      </w:pPr>
      <w:r>
        <w:rPr>
          <w:spacing w:val="5"/>
          <w:sz w:val="24"/>
          <w:szCs w:val="21"/>
        </w:rPr>
        <w:t>（</w:t>
      </w:r>
      <w:r>
        <w:rPr>
          <w:spacing w:val="5"/>
          <w:sz w:val="24"/>
          <w:szCs w:val="21"/>
        </w:rPr>
        <w:t>3</w:t>
      </w:r>
      <w:r>
        <w:rPr>
          <w:spacing w:val="5"/>
          <w:sz w:val="24"/>
          <w:szCs w:val="21"/>
        </w:rPr>
        <w:t>）钻井架底座表面应有导流槽，保证钻井废水全部入泥浆不落地装置中，无随意漫流现象，杜绝钻井泥浆流失。</w:t>
      </w:r>
    </w:p>
    <w:p w:rsidR="00EE4502" w:rsidRDefault="00FD45A3">
      <w:pPr>
        <w:pStyle w:val="33"/>
        <w:numPr>
          <w:ilvl w:val="2"/>
          <w:numId w:val="30"/>
        </w:numPr>
        <w:spacing w:line="360" w:lineRule="auto"/>
        <w:ind w:left="0" w:firstLine="0"/>
        <w:rPr>
          <w:spacing w:val="0"/>
          <w:sz w:val="24"/>
          <w:szCs w:val="24"/>
        </w:rPr>
      </w:pPr>
      <w:r>
        <w:rPr>
          <w:rFonts w:hint="eastAsia"/>
          <w:spacing w:val="0"/>
          <w:sz w:val="24"/>
          <w:szCs w:val="24"/>
        </w:rPr>
        <w:t>运营期</w:t>
      </w:r>
      <w:r>
        <w:rPr>
          <w:spacing w:val="0"/>
          <w:sz w:val="24"/>
          <w:szCs w:val="24"/>
        </w:rPr>
        <w:t>废</w:t>
      </w:r>
      <w:r>
        <w:rPr>
          <w:rFonts w:hint="eastAsia"/>
          <w:spacing w:val="0"/>
          <w:sz w:val="24"/>
          <w:szCs w:val="24"/>
        </w:rPr>
        <w:t>水</w:t>
      </w:r>
      <w:r>
        <w:rPr>
          <w:spacing w:val="0"/>
          <w:sz w:val="24"/>
          <w:szCs w:val="24"/>
        </w:rPr>
        <w:t>污染防治措施</w:t>
      </w:r>
    </w:p>
    <w:p w:rsidR="00EE4502" w:rsidRDefault="00FD45A3">
      <w:pPr>
        <w:keepNext/>
        <w:keepLines/>
        <w:numPr>
          <w:ilvl w:val="3"/>
          <w:numId w:val="30"/>
        </w:numPr>
        <w:spacing w:line="360" w:lineRule="auto"/>
        <w:outlineLvl w:val="3"/>
        <w:rPr>
          <w:sz w:val="24"/>
        </w:rPr>
      </w:pPr>
      <w:r>
        <w:rPr>
          <w:rFonts w:hint="eastAsia"/>
          <w:sz w:val="24"/>
        </w:rPr>
        <w:t>过程防控措施</w:t>
      </w:r>
    </w:p>
    <w:p w:rsidR="00EE4502" w:rsidRDefault="00FD45A3">
      <w:pPr>
        <w:spacing w:line="360" w:lineRule="auto"/>
        <w:ind w:firstLineChars="200" w:firstLine="480"/>
        <w:rPr>
          <w:sz w:val="24"/>
          <w:szCs w:val="20"/>
        </w:rPr>
      </w:pPr>
      <w:r>
        <w:rPr>
          <w:sz w:val="24"/>
          <w:szCs w:val="20"/>
          <w:lang w:bidi="ar"/>
        </w:rPr>
        <w:t>选择先进、成熟、可靠的工艺技术，对产生的废物进行合理的回用和治理，尽可能从源头上减少污染物排放；严格按照国家相关规范要求，对井场、站场、管道的装置等采取相应措施，以防止和降低污染物的跑、冒、滴、漏，降低风险事故，尽量减少地下水污染。</w:t>
      </w:r>
    </w:p>
    <w:p w:rsidR="00EE4502" w:rsidRDefault="00FD45A3">
      <w:pPr>
        <w:spacing w:line="360" w:lineRule="auto"/>
        <w:ind w:firstLineChars="200" w:firstLine="480"/>
        <w:rPr>
          <w:sz w:val="24"/>
          <w:szCs w:val="20"/>
          <w:lang w:bidi="ar"/>
        </w:rPr>
      </w:pPr>
      <w:r>
        <w:rPr>
          <w:sz w:val="24"/>
          <w:szCs w:val="20"/>
          <w:lang w:bidi="ar"/>
        </w:rPr>
        <w:t>①</w:t>
      </w:r>
      <w:r>
        <w:rPr>
          <w:sz w:val="24"/>
          <w:szCs w:val="20"/>
          <w:lang w:bidi="ar"/>
        </w:rPr>
        <w:t>采出水依托</w:t>
      </w:r>
      <w:r>
        <w:rPr>
          <w:sz w:val="24"/>
          <w:szCs w:val="20"/>
          <w:lang w:bidi="ar"/>
        </w:rPr>
        <w:t>春风</w:t>
      </w:r>
      <w:r>
        <w:rPr>
          <w:sz w:val="24"/>
          <w:szCs w:val="20"/>
          <w:lang w:bidi="ar"/>
        </w:rPr>
        <w:t>油田已建采出水处理系统处理，经处理后</w:t>
      </w:r>
      <w:r>
        <w:rPr>
          <w:sz w:val="24"/>
          <w:szCs w:val="20"/>
          <w:lang w:bidi="ar"/>
        </w:rPr>
        <w:t>回用于注汽锅炉，多余部分</w:t>
      </w:r>
      <w:r>
        <w:rPr>
          <w:sz w:val="24"/>
          <w:szCs w:val="20"/>
          <w:lang w:bidi="ar"/>
        </w:rPr>
        <w:t>满足《碎屑岩油藏注水水质指标技术要求及分析方法》（</w:t>
      </w:r>
      <w:r>
        <w:rPr>
          <w:sz w:val="24"/>
          <w:szCs w:val="20"/>
          <w:lang w:bidi="ar"/>
        </w:rPr>
        <w:t>SY/T5329-2022</w:t>
      </w:r>
      <w:r>
        <w:rPr>
          <w:sz w:val="24"/>
          <w:szCs w:val="20"/>
          <w:lang w:bidi="ar"/>
        </w:rPr>
        <w:t>）标准中指标后回注</w:t>
      </w:r>
      <w:r>
        <w:rPr>
          <w:sz w:val="24"/>
          <w:szCs w:val="20"/>
          <w:lang w:bidi="ar"/>
        </w:rPr>
        <w:t>地下</w:t>
      </w:r>
      <w:r>
        <w:rPr>
          <w:sz w:val="24"/>
          <w:szCs w:val="20"/>
          <w:lang w:bidi="ar"/>
        </w:rPr>
        <w:t>，不外排。</w:t>
      </w:r>
    </w:p>
    <w:p w:rsidR="00EE4502" w:rsidRDefault="00FD45A3">
      <w:pPr>
        <w:spacing w:line="360" w:lineRule="auto"/>
        <w:ind w:firstLineChars="200" w:firstLine="480"/>
        <w:rPr>
          <w:sz w:val="24"/>
          <w:szCs w:val="20"/>
          <w:lang w:bidi="ar"/>
        </w:rPr>
      </w:pPr>
      <w:r>
        <w:rPr>
          <w:sz w:val="24"/>
          <w:szCs w:val="20"/>
          <w:lang w:bidi="ar"/>
        </w:rPr>
        <w:t>②</w:t>
      </w:r>
      <w:r>
        <w:rPr>
          <w:sz w:val="24"/>
          <w:szCs w:val="20"/>
          <w:lang w:bidi="ar"/>
        </w:rPr>
        <w:t>定期对井场</w:t>
      </w:r>
      <w:r>
        <w:rPr>
          <w:sz w:val="24"/>
          <w:szCs w:val="20"/>
          <w:lang w:bidi="ar"/>
        </w:rPr>
        <w:t>、</w:t>
      </w:r>
      <w:r>
        <w:rPr>
          <w:sz w:val="24"/>
          <w:szCs w:val="20"/>
          <w:lang w:bidi="ar"/>
        </w:rPr>
        <w:t>注水站、增压站、管线</w:t>
      </w:r>
      <w:r>
        <w:rPr>
          <w:sz w:val="24"/>
          <w:szCs w:val="20"/>
          <w:lang w:bidi="ar"/>
        </w:rPr>
        <w:t>的设备、阀门等进行检查，一旦发现异常，及时采取措施，防止原油</w:t>
      </w:r>
      <w:r>
        <w:rPr>
          <w:sz w:val="24"/>
          <w:szCs w:val="20"/>
          <w:lang w:bidi="ar"/>
        </w:rPr>
        <w:t>“</w:t>
      </w:r>
      <w:r>
        <w:rPr>
          <w:sz w:val="24"/>
          <w:szCs w:val="20"/>
          <w:lang w:bidi="ar"/>
        </w:rPr>
        <w:t>跑、冒、滴、漏</w:t>
      </w:r>
      <w:r>
        <w:rPr>
          <w:sz w:val="24"/>
          <w:szCs w:val="20"/>
          <w:lang w:bidi="ar"/>
        </w:rPr>
        <w:t>”</w:t>
      </w:r>
      <w:r>
        <w:rPr>
          <w:sz w:val="24"/>
          <w:szCs w:val="20"/>
          <w:lang w:bidi="ar"/>
        </w:rPr>
        <w:t>的发生。</w:t>
      </w:r>
    </w:p>
    <w:p w:rsidR="00EE4502" w:rsidRDefault="00FD45A3">
      <w:pPr>
        <w:spacing w:line="360" w:lineRule="auto"/>
        <w:ind w:firstLineChars="200" w:firstLine="480"/>
        <w:rPr>
          <w:sz w:val="24"/>
          <w:szCs w:val="20"/>
          <w:lang w:bidi="ar"/>
        </w:rPr>
      </w:pPr>
      <w:r>
        <w:rPr>
          <w:sz w:val="24"/>
          <w:szCs w:val="20"/>
          <w:lang w:bidi="ar"/>
        </w:rPr>
        <w:t>③</w:t>
      </w:r>
      <w:r>
        <w:rPr>
          <w:sz w:val="24"/>
          <w:szCs w:val="20"/>
          <w:lang w:bidi="ar"/>
        </w:rPr>
        <w:t>采用高质量的集输管道，防止油水泄漏；管线埋设严格遵守相关规定，埋至冻土层以下，并对管线进行防腐保温等保护措施；定期对</w:t>
      </w:r>
      <w:r>
        <w:rPr>
          <w:sz w:val="24"/>
          <w:szCs w:val="20"/>
          <w:lang w:bidi="ar"/>
        </w:rPr>
        <w:t>各类</w:t>
      </w:r>
      <w:r>
        <w:rPr>
          <w:sz w:val="24"/>
          <w:szCs w:val="20"/>
          <w:lang w:bidi="ar"/>
        </w:rPr>
        <w:t>管道进行检查，一旦发现异常，及时更换，尽量杜绝</w:t>
      </w:r>
      <w:r>
        <w:rPr>
          <w:sz w:val="24"/>
          <w:szCs w:val="20"/>
          <w:lang w:bidi="ar"/>
        </w:rPr>
        <w:t>“</w:t>
      </w:r>
      <w:r>
        <w:rPr>
          <w:sz w:val="24"/>
          <w:szCs w:val="20"/>
          <w:lang w:bidi="ar"/>
        </w:rPr>
        <w:t>跑、冒、滴、漏</w:t>
      </w:r>
      <w:r>
        <w:rPr>
          <w:sz w:val="24"/>
          <w:szCs w:val="20"/>
          <w:lang w:bidi="ar"/>
        </w:rPr>
        <w:t>”</w:t>
      </w:r>
      <w:r>
        <w:rPr>
          <w:sz w:val="24"/>
          <w:szCs w:val="20"/>
          <w:lang w:bidi="ar"/>
        </w:rPr>
        <w:t>的发生，并随时做好抢修准备，加强抢修队伍的训练和工作演练。</w:t>
      </w:r>
    </w:p>
    <w:p w:rsidR="00EE4502" w:rsidRDefault="00FD45A3">
      <w:pPr>
        <w:spacing w:line="360" w:lineRule="auto"/>
        <w:ind w:firstLineChars="200" w:firstLine="480"/>
        <w:rPr>
          <w:sz w:val="24"/>
          <w:szCs w:val="20"/>
          <w:lang w:bidi="ar"/>
        </w:rPr>
      </w:pPr>
      <w:r>
        <w:rPr>
          <w:sz w:val="24"/>
          <w:szCs w:val="20"/>
          <w:lang w:bidi="ar"/>
        </w:rPr>
        <w:t>④</w:t>
      </w:r>
      <w:r>
        <w:rPr>
          <w:sz w:val="24"/>
          <w:szCs w:val="20"/>
          <w:lang w:bidi="ar"/>
        </w:rPr>
        <w:t>各类生产</w:t>
      </w:r>
      <w:r>
        <w:rPr>
          <w:sz w:val="24"/>
          <w:szCs w:val="20"/>
          <w:lang w:bidi="ar"/>
        </w:rPr>
        <w:t>井</w:t>
      </w:r>
      <w:r>
        <w:rPr>
          <w:rFonts w:hint="eastAsia"/>
          <w:sz w:val="24"/>
          <w:szCs w:val="20"/>
          <w:lang w:bidi="ar"/>
        </w:rPr>
        <w:t>运营期</w:t>
      </w:r>
      <w:r>
        <w:rPr>
          <w:sz w:val="24"/>
          <w:szCs w:val="20"/>
          <w:lang w:bidi="ar"/>
        </w:rPr>
        <w:t>间应参照《石油天然气工业套管和油管的维护与使用》（</w:t>
      </w:r>
      <w:r>
        <w:rPr>
          <w:sz w:val="24"/>
          <w:szCs w:val="20"/>
          <w:lang w:bidi="ar"/>
        </w:rPr>
        <w:t>GB/T 17745-2011</w:t>
      </w:r>
      <w:r>
        <w:rPr>
          <w:sz w:val="24"/>
          <w:szCs w:val="20"/>
          <w:lang w:bidi="ar"/>
        </w:rPr>
        <w:t>）要求进行井筒完整性管理，定期开展井筒完整性检查。定期对采油井的固井质量进行检查</w:t>
      </w:r>
      <w:r>
        <w:rPr>
          <w:sz w:val="24"/>
          <w:szCs w:val="20"/>
          <w:lang w:bidi="ar"/>
        </w:rPr>
        <w:t>，若发现固井质量不合格，先查明固井质量不合格的原因，并及时采取一系列的修整措施，保证固井质量合格，防止发生油水窜层等事故；发现异常情况及时处理，防止污染地下水。</w:t>
      </w:r>
    </w:p>
    <w:p w:rsidR="00EE4502" w:rsidRDefault="00FD45A3">
      <w:pPr>
        <w:spacing w:line="360" w:lineRule="auto"/>
        <w:ind w:firstLineChars="200" w:firstLine="480"/>
        <w:rPr>
          <w:sz w:val="24"/>
          <w:szCs w:val="20"/>
          <w:lang w:bidi="ar"/>
        </w:rPr>
      </w:pPr>
      <w:r>
        <w:rPr>
          <w:sz w:val="24"/>
          <w:szCs w:val="20"/>
          <w:lang w:bidi="ar"/>
        </w:rPr>
        <w:t>⑤</w:t>
      </w:r>
      <w:r>
        <w:rPr>
          <w:sz w:val="24"/>
          <w:szCs w:val="20"/>
          <w:lang w:bidi="ar"/>
        </w:rPr>
        <w:t>修井作业时，要严格加强防污染措施。起油管前要打开泄油器，管内油水进入废液罐，蒸汽吹扫油管、油杆的污油、污水等全部回收至废液罐回收，严禁流入井场。</w:t>
      </w:r>
    </w:p>
    <w:p w:rsidR="00EE4502" w:rsidRDefault="00FD45A3">
      <w:pPr>
        <w:spacing w:line="360" w:lineRule="auto"/>
        <w:ind w:firstLineChars="200" w:firstLine="480"/>
        <w:rPr>
          <w:sz w:val="24"/>
          <w:szCs w:val="20"/>
          <w:lang w:bidi="ar"/>
        </w:rPr>
      </w:pPr>
      <w:r>
        <w:rPr>
          <w:sz w:val="24"/>
          <w:szCs w:val="20"/>
          <w:lang w:bidi="ar"/>
        </w:rPr>
        <w:t>⑥</w:t>
      </w:r>
      <w:r>
        <w:rPr>
          <w:sz w:val="24"/>
          <w:szCs w:val="20"/>
          <w:lang w:bidi="ar"/>
        </w:rPr>
        <w:t>根据</w:t>
      </w:r>
      <w:r>
        <w:rPr>
          <w:sz w:val="24"/>
          <w:szCs w:val="20"/>
          <w:lang w:bidi="ar"/>
        </w:rPr>
        <w:t>《环境影响评价技术导则</w:t>
      </w:r>
      <w:r>
        <w:rPr>
          <w:sz w:val="24"/>
          <w:szCs w:val="20"/>
          <w:lang w:bidi="ar"/>
        </w:rPr>
        <w:t xml:space="preserve"> </w:t>
      </w:r>
      <w:r>
        <w:rPr>
          <w:sz w:val="24"/>
          <w:szCs w:val="20"/>
          <w:lang w:bidi="ar"/>
        </w:rPr>
        <w:t>陆地石油天然气开发建设项目》</w:t>
      </w:r>
      <w:r>
        <w:rPr>
          <w:sz w:val="24"/>
          <w:szCs w:val="20"/>
          <w:lang w:bidi="ar"/>
        </w:rPr>
        <w:lastRenderedPageBreak/>
        <w:t>（</w:t>
      </w:r>
      <w:r>
        <w:rPr>
          <w:sz w:val="24"/>
          <w:szCs w:val="20"/>
          <w:lang w:bidi="ar"/>
        </w:rPr>
        <w:t>HJ349-2023</w:t>
      </w:r>
      <w:r>
        <w:rPr>
          <w:sz w:val="24"/>
          <w:szCs w:val="20"/>
          <w:lang w:bidi="ar"/>
        </w:rPr>
        <w:t>）</w:t>
      </w:r>
      <w:r>
        <w:rPr>
          <w:sz w:val="24"/>
          <w:szCs w:val="20"/>
          <w:lang w:bidi="ar"/>
        </w:rPr>
        <w:t>，</w:t>
      </w:r>
      <w:r>
        <w:rPr>
          <w:sz w:val="24"/>
          <w:szCs w:val="20"/>
          <w:lang w:bidi="ar"/>
        </w:rPr>
        <w:t>注水期间，应持续对回注井口压力、套管压力、环空压力、回注流体的流量、水质等指标进行监测，定期开展套管腐蚀和水泥环状况检</w:t>
      </w:r>
      <w:r>
        <w:rPr>
          <w:sz w:val="24"/>
          <w:szCs w:val="20"/>
          <w:lang w:bidi="ar"/>
        </w:rPr>
        <w:t>测，检测周期不超过</w:t>
      </w:r>
      <w:r>
        <w:rPr>
          <w:sz w:val="24"/>
          <w:szCs w:val="20"/>
          <w:lang w:bidi="ar"/>
        </w:rPr>
        <w:t>3</w:t>
      </w:r>
      <w:r>
        <w:rPr>
          <w:sz w:val="24"/>
          <w:szCs w:val="20"/>
          <w:lang w:bidi="ar"/>
        </w:rPr>
        <w:t>年。本次</w:t>
      </w:r>
      <w:r>
        <w:rPr>
          <w:sz w:val="24"/>
          <w:szCs w:val="20"/>
          <w:lang w:bidi="ar"/>
        </w:rPr>
        <w:t>单个</w:t>
      </w:r>
      <w:r>
        <w:rPr>
          <w:sz w:val="24"/>
          <w:szCs w:val="20"/>
          <w:lang w:bidi="ar"/>
        </w:rPr>
        <w:t>回注井注水量约</w:t>
      </w:r>
      <w:r>
        <w:rPr>
          <w:sz w:val="24"/>
          <w:szCs w:val="20"/>
          <w:lang w:bidi="ar"/>
        </w:rPr>
        <w:t>500m³</w:t>
      </w:r>
      <w:r>
        <w:rPr>
          <w:sz w:val="24"/>
          <w:szCs w:val="20"/>
          <w:lang w:bidi="ar"/>
        </w:rPr>
        <w:t>/d</w:t>
      </w:r>
      <w:r>
        <w:rPr>
          <w:sz w:val="24"/>
          <w:szCs w:val="20"/>
          <w:lang w:bidi="ar"/>
        </w:rPr>
        <w:t>，应进行井筒完整性检测，确保井筒质量满足《固井质量评价方法》（</w:t>
      </w:r>
      <w:r>
        <w:rPr>
          <w:sz w:val="24"/>
          <w:szCs w:val="20"/>
          <w:lang w:bidi="ar"/>
        </w:rPr>
        <w:t>SY/T 6592-2016</w:t>
      </w:r>
      <w:r>
        <w:rPr>
          <w:sz w:val="24"/>
          <w:szCs w:val="20"/>
          <w:lang w:bidi="ar"/>
        </w:rPr>
        <w:t>）等标准要求，固井质量完好，不窜层。</w:t>
      </w:r>
      <w:r>
        <w:rPr>
          <w:sz w:val="24"/>
          <w:szCs w:val="20"/>
          <w:lang w:bidi="ar"/>
        </w:rPr>
        <w:t>若</w:t>
      </w:r>
      <w:r>
        <w:rPr>
          <w:sz w:val="24"/>
          <w:szCs w:val="20"/>
          <w:lang w:bidi="ar"/>
        </w:rPr>
        <w:t>检测发现井筒完整性失效，应立即停止回注。</w:t>
      </w:r>
    </w:p>
    <w:p w:rsidR="00EE4502" w:rsidRDefault="00FD45A3">
      <w:pPr>
        <w:keepNext/>
        <w:keepLines/>
        <w:numPr>
          <w:ilvl w:val="3"/>
          <w:numId w:val="30"/>
        </w:numPr>
        <w:spacing w:line="360" w:lineRule="auto"/>
        <w:outlineLvl w:val="3"/>
        <w:rPr>
          <w:sz w:val="24"/>
        </w:rPr>
      </w:pPr>
      <w:r>
        <w:rPr>
          <w:rFonts w:hint="eastAsia"/>
          <w:sz w:val="24"/>
        </w:rPr>
        <w:t>分区防治措施</w:t>
      </w:r>
    </w:p>
    <w:p w:rsidR="00EE4502" w:rsidRDefault="00FD45A3">
      <w:pPr>
        <w:spacing w:line="360" w:lineRule="auto"/>
        <w:ind w:firstLineChars="200" w:firstLine="480"/>
        <w:rPr>
          <w:sz w:val="24"/>
          <w:szCs w:val="20"/>
          <w:lang w:bidi="ar"/>
        </w:rPr>
      </w:pPr>
      <w:r>
        <w:rPr>
          <w:sz w:val="24"/>
          <w:szCs w:val="20"/>
          <w:lang w:bidi="ar"/>
        </w:rPr>
        <w:t>对井场可能泄漏污染物的污染区地面进行防渗处理，并及时将泄漏</w:t>
      </w:r>
      <w:r>
        <w:rPr>
          <w:sz w:val="24"/>
          <w:szCs w:val="20"/>
          <w:lang w:bidi="ar"/>
        </w:rPr>
        <w:t>/</w:t>
      </w:r>
      <w:r>
        <w:rPr>
          <w:sz w:val="24"/>
          <w:szCs w:val="20"/>
          <w:lang w:bidi="ar"/>
        </w:rPr>
        <w:t>渗漏的污染物收集起来进行处理，可有效防止洒落地面的污染物渗入地下。根据《环境影响评价技术导则</w:t>
      </w:r>
      <w:r>
        <w:rPr>
          <w:sz w:val="24"/>
          <w:szCs w:val="20"/>
          <w:lang w:bidi="ar"/>
        </w:rPr>
        <w:t xml:space="preserve"> </w:t>
      </w:r>
      <w:r>
        <w:rPr>
          <w:sz w:val="24"/>
          <w:szCs w:val="20"/>
          <w:lang w:bidi="ar"/>
        </w:rPr>
        <w:t>地下水环境》（</w:t>
      </w:r>
      <w:r>
        <w:rPr>
          <w:sz w:val="24"/>
          <w:szCs w:val="20"/>
          <w:lang w:bidi="ar"/>
        </w:rPr>
        <w:t>HJ610-2016</w:t>
      </w:r>
      <w:r>
        <w:rPr>
          <w:sz w:val="24"/>
          <w:szCs w:val="20"/>
          <w:lang w:bidi="ar"/>
        </w:rPr>
        <w:t>），分区防控措施应满足以下要求：</w:t>
      </w:r>
    </w:p>
    <w:p w:rsidR="00EE4502" w:rsidRDefault="00FD45A3">
      <w:pPr>
        <w:spacing w:line="360" w:lineRule="auto"/>
        <w:ind w:firstLineChars="200" w:firstLine="480"/>
        <w:rPr>
          <w:sz w:val="24"/>
          <w:szCs w:val="20"/>
          <w:lang w:bidi="ar"/>
        </w:rPr>
      </w:pPr>
      <w:r>
        <w:rPr>
          <w:sz w:val="24"/>
          <w:szCs w:val="20"/>
          <w:lang w:bidi="ar"/>
        </w:rPr>
        <w:t>①</w:t>
      </w:r>
      <w:r>
        <w:rPr>
          <w:sz w:val="24"/>
          <w:szCs w:val="20"/>
          <w:lang w:bidi="ar"/>
        </w:rPr>
        <w:t>已颁布污染控制国家标准或防渗技术规范的行业，</w:t>
      </w:r>
      <w:r>
        <w:rPr>
          <w:sz w:val="24"/>
          <w:szCs w:val="20"/>
          <w:lang w:bidi="ar"/>
        </w:rPr>
        <w:t>水平防渗技术要求按照相应标准或规范执行，如</w:t>
      </w:r>
      <w:r>
        <w:rPr>
          <w:sz w:val="24"/>
          <w:szCs w:val="20"/>
          <w:lang w:bidi="ar"/>
        </w:rPr>
        <w:t>GB16889</w:t>
      </w:r>
      <w:r>
        <w:rPr>
          <w:sz w:val="24"/>
          <w:szCs w:val="20"/>
          <w:lang w:bidi="ar"/>
        </w:rPr>
        <w:t>、</w:t>
      </w:r>
      <w:r>
        <w:rPr>
          <w:sz w:val="24"/>
          <w:szCs w:val="20"/>
          <w:lang w:bidi="ar"/>
        </w:rPr>
        <w:t>GB18597</w:t>
      </w:r>
      <w:r>
        <w:rPr>
          <w:sz w:val="24"/>
          <w:szCs w:val="20"/>
          <w:lang w:bidi="ar"/>
        </w:rPr>
        <w:t>、</w:t>
      </w:r>
      <w:r>
        <w:rPr>
          <w:sz w:val="24"/>
          <w:szCs w:val="20"/>
          <w:lang w:bidi="ar"/>
        </w:rPr>
        <w:t>GB18598</w:t>
      </w:r>
      <w:r>
        <w:rPr>
          <w:sz w:val="24"/>
          <w:szCs w:val="20"/>
          <w:lang w:bidi="ar"/>
        </w:rPr>
        <w:t>、</w:t>
      </w:r>
      <w:r>
        <w:rPr>
          <w:sz w:val="24"/>
          <w:szCs w:val="20"/>
          <w:lang w:bidi="ar"/>
        </w:rPr>
        <w:t>GB18599</w:t>
      </w:r>
      <w:r>
        <w:rPr>
          <w:sz w:val="24"/>
          <w:szCs w:val="20"/>
          <w:lang w:bidi="ar"/>
        </w:rPr>
        <w:t>、</w:t>
      </w:r>
      <w:r>
        <w:rPr>
          <w:sz w:val="24"/>
          <w:szCs w:val="20"/>
          <w:lang w:bidi="ar"/>
        </w:rPr>
        <w:t>GB/T50934</w:t>
      </w:r>
      <w:r>
        <w:rPr>
          <w:sz w:val="24"/>
          <w:szCs w:val="20"/>
          <w:lang w:bidi="ar"/>
        </w:rPr>
        <w:t>等。</w:t>
      </w:r>
    </w:p>
    <w:p w:rsidR="00EE4502" w:rsidRDefault="00FD45A3">
      <w:pPr>
        <w:spacing w:line="360" w:lineRule="auto"/>
        <w:ind w:firstLineChars="200" w:firstLine="480"/>
        <w:rPr>
          <w:sz w:val="24"/>
          <w:szCs w:val="20"/>
          <w:lang w:bidi="ar"/>
        </w:rPr>
      </w:pPr>
      <w:r>
        <w:rPr>
          <w:sz w:val="24"/>
          <w:szCs w:val="20"/>
          <w:lang w:bidi="ar"/>
        </w:rPr>
        <w:t>②</w:t>
      </w:r>
      <w:r>
        <w:rPr>
          <w:sz w:val="24"/>
          <w:szCs w:val="20"/>
          <w:lang w:bidi="ar"/>
        </w:rPr>
        <w:t>未颁布相关标准的行业，根据预测结果和场地包气带特征及其防污性能，提出防渗技术要求或根据建设项目场地天然包气带防污性能、污染控制难易程度和污染物特性，提出防渗技术要求。</w:t>
      </w:r>
    </w:p>
    <w:p w:rsidR="00EE4502" w:rsidRDefault="00FD45A3">
      <w:pPr>
        <w:spacing w:line="360" w:lineRule="auto"/>
        <w:ind w:firstLineChars="200" w:firstLine="480"/>
        <w:rPr>
          <w:sz w:val="24"/>
          <w:szCs w:val="20"/>
          <w:lang w:bidi="ar"/>
        </w:rPr>
      </w:pPr>
      <w:r>
        <w:rPr>
          <w:sz w:val="24"/>
          <w:szCs w:val="20"/>
        </w:rPr>
        <w:t>本工程不属于已颁布污染控制国家标准或防渗技术规范的行业，分区防控措施应根据《环境影响评价技术导则</w:t>
      </w:r>
      <w:r>
        <w:rPr>
          <w:sz w:val="24"/>
          <w:szCs w:val="20"/>
        </w:rPr>
        <w:t xml:space="preserve"> </w:t>
      </w:r>
      <w:r>
        <w:rPr>
          <w:sz w:val="24"/>
          <w:szCs w:val="20"/>
        </w:rPr>
        <w:t>地下水环境》（</w:t>
      </w:r>
      <w:r>
        <w:rPr>
          <w:sz w:val="24"/>
          <w:szCs w:val="20"/>
        </w:rPr>
        <w:t>HJ 610-2016</w:t>
      </w:r>
      <w:r>
        <w:rPr>
          <w:sz w:val="24"/>
          <w:szCs w:val="20"/>
        </w:rPr>
        <w:t>）中污染控制难易程度分级参照表（表</w:t>
      </w:r>
      <w:r>
        <w:rPr>
          <w:sz w:val="24"/>
          <w:szCs w:val="20"/>
        </w:rPr>
        <w:t>6</w:t>
      </w:r>
      <w:r>
        <w:rPr>
          <w:rFonts w:hint="eastAsia"/>
          <w:sz w:val="24"/>
          <w:szCs w:val="20"/>
        </w:rPr>
        <w:t>-</w:t>
      </w:r>
      <w:r>
        <w:rPr>
          <w:sz w:val="24"/>
          <w:szCs w:val="20"/>
        </w:rPr>
        <w:t>2-</w:t>
      </w:r>
      <w:r>
        <w:rPr>
          <w:rFonts w:hint="eastAsia"/>
          <w:sz w:val="24"/>
          <w:szCs w:val="20"/>
        </w:rPr>
        <w:t>2</w:t>
      </w:r>
      <w:r>
        <w:rPr>
          <w:sz w:val="24"/>
          <w:szCs w:val="20"/>
        </w:rPr>
        <w:t>）、天然包气带防污性能分级参照表（表</w:t>
      </w:r>
      <w:r>
        <w:rPr>
          <w:sz w:val="24"/>
          <w:szCs w:val="20"/>
        </w:rPr>
        <w:t>6</w:t>
      </w:r>
      <w:r>
        <w:rPr>
          <w:rFonts w:hint="eastAsia"/>
          <w:sz w:val="24"/>
          <w:szCs w:val="20"/>
        </w:rPr>
        <w:t>-</w:t>
      </w:r>
      <w:r>
        <w:rPr>
          <w:sz w:val="24"/>
          <w:szCs w:val="20"/>
        </w:rPr>
        <w:t>2-</w:t>
      </w:r>
      <w:r>
        <w:rPr>
          <w:rFonts w:hint="eastAsia"/>
          <w:sz w:val="24"/>
          <w:szCs w:val="20"/>
        </w:rPr>
        <w:t>3</w:t>
      </w:r>
      <w:r>
        <w:rPr>
          <w:sz w:val="24"/>
          <w:szCs w:val="20"/>
        </w:rPr>
        <w:t>）、地下水污染防渗分区参照表（表</w:t>
      </w:r>
      <w:r>
        <w:rPr>
          <w:sz w:val="24"/>
          <w:szCs w:val="20"/>
        </w:rPr>
        <w:t>6-2-</w:t>
      </w:r>
      <w:r>
        <w:rPr>
          <w:rFonts w:hint="eastAsia"/>
          <w:sz w:val="24"/>
          <w:szCs w:val="20"/>
        </w:rPr>
        <w:t>4</w:t>
      </w:r>
      <w:r>
        <w:rPr>
          <w:sz w:val="24"/>
          <w:szCs w:val="20"/>
        </w:rPr>
        <w:t>），提出防渗技术要求。</w:t>
      </w:r>
    </w:p>
    <w:p w:rsidR="00EE4502" w:rsidRDefault="00FD45A3">
      <w:pPr>
        <w:jc w:val="center"/>
        <w:rPr>
          <w:rFonts w:eastAsia="黑体"/>
          <w:bCs/>
          <w:spacing w:val="5"/>
          <w:sz w:val="22"/>
          <w:szCs w:val="21"/>
          <w:lang w:val="zh-CN"/>
        </w:rPr>
      </w:pPr>
      <w:r>
        <w:rPr>
          <w:rFonts w:eastAsia="黑体"/>
          <w:bCs/>
          <w:spacing w:val="5"/>
          <w:sz w:val="22"/>
          <w:szCs w:val="21"/>
          <w:lang w:val="zh-CN"/>
        </w:rPr>
        <w:t>表</w:t>
      </w:r>
      <w:r>
        <w:rPr>
          <w:rFonts w:eastAsia="黑体" w:hint="eastAsia"/>
          <w:bCs/>
          <w:spacing w:val="5"/>
          <w:sz w:val="22"/>
          <w:szCs w:val="21"/>
          <w:lang w:val="zh-CN"/>
        </w:rPr>
        <w:t>6-2-2</w:t>
      </w:r>
      <w:r>
        <w:rPr>
          <w:rFonts w:eastAsia="黑体"/>
          <w:bCs/>
          <w:spacing w:val="5"/>
          <w:sz w:val="22"/>
          <w:szCs w:val="21"/>
          <w:lang w:val="zh-CN"/>
        </w:rPr>
        <w:t xml:space="preserve">          </w:t>
      </w:r>
      <w:r>
        <w:rPr>
          <w:rFonts w:eastAsia="黑体"/>
          <w:bCs/>
          <w:spacing w:val="5"/>
          <w:sz w:val="22"/>
          <w:szCs w:val="21"/>
          <w:lang w:val="zh-CN"/>
        </w:rPr>
        <w:t>污染控制难易程度分级参照表</w:t>
      </w:r>
    </w:p>
    <w:tbl>
      <w:tblPr>
        <w:tblW w:w="4998"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951"/>
        <w:gridCol w:w="6568"/>
      </w:tblGrid>
      <w:tr w:rsidR="00EE4502">
        <w:tc>
          <w:tcPr>
            <w:tcW w:w="1145" w:type="pct"/>
            <w:vAlign w:val="center"/>
          </w:tcPr>
          <w:p w:rsidR="00EE4502" w:rsidRDefault="00FD45A3">
            <w:pPr>
              <w:widowControl/>
              <w:adjustRightInd w:val="0"/>
              <w:snapToGrid w:val="0"/>
              <w:jc w:val="center"/>
              <w:rPr>
                <w:kern w:val="0"/>
                <w:szCs w:val="20"/>
              </w:rPr>
            </w:pPr>
            <w:r>
              <w:rPr>
                <w:kern w:val="0"/>
                <w:szCs w:val="20"/>
              </w:rPr>
              <w:t>污染控制难易程度</w:t>
            </w:r>
          </w:p>
        </w:tc>
        <w:tc>
          <w:tcPr>
            <w:tcW w:w="3854" w:type="pct"/>
            <w:vAlign w:val="center"/>
          </w:tcPr>
          <w:p w:rsidR="00EE4502" w:rsidRDefault="00FD45A3">
            <w:pPr>
              <w:widowControl/>
              <w:adjustRightInd w:val="0"/>
              <w:snapToGrid w:val="0"/>
              <w:jc w:val="center"/>
              <w:rPr>
                <w:kern w:val="0"/>
                <w:szCs w:val="20"/>
              </w:rPr>
            </w:pPr>
            <w:r>
              <w:rPr>
                <w:kern w:val="0"/>
                <w:szCs w:val="20"/>
              </w:rPr>
              <w:t>主要特征</w:t>
            </w:r>
          </w:p>
        </w:tc>
      </w:tr>
      <w:tr w:rsidR="00EE4502">
        <w:tc>
          <w:tcPr>
            <w:tcW w:w="1145" w:type="pct"/>
            <w:vAlign w:val="center"/>
          </w:tcPr>
          <w:p w:rsidR="00EE4502" w:rsidRDefault="00FD45A3">
            <w:pPr>
              <w:widowControl/>
              <w:adjustRightInd w:val="0"/>
              <w:snapToGrid w:val="0"/>
              <w:jc w:val="center"/>
              <w:rPr>
                <w:kern w:val="0"/>
                <w:szCs w:val="20"/>
              </w:rPr>
            </w:pPr>
            <w:r>
              <w:rPr>
                <w:kern w:val="0"/>
                <w:szCs w:val="20"/>
              </w:rPr>
              <w:t>难</w:t>
            </w:r>
          </w:p>
        </w:tc>
        <w:tc>
          <w:tcPr>
            <w:tcW w:w="3854" w:type="pct"/>
            <w:vAlign w:val="center"/>
          </w:tcPr>
          <w:p w:rsidR="00EE4502" w:rsidRDefault="00FD45A3">
            <w:pPr>
              <w:widowControl/>
              <w:adjustRightInd w:val="0"/>
              <w:snapToGrid w:val="0"/>
              <w:jc w:val="center"/>
              <w:rPr>
                <w:kern w:val="0"/>
                <w:szCs w:val="20"/>
              </w:rPr>
            </w:pPr>
            <w:r>
              <w:rPr>
                <w:kern w:val="0"/>
                <w:szCs w:val="20"/>
              </w:rPr>
              <w:t>对地下水环境有污染的物料或污染物泄露后，不能及时发现和处理</w:t>
            </w:r>
          </w:p>
        </w:tc>
      </w:tr>
      <w:tr w:rsidR="00EE4502">
        <w:tc>
          <w:tcPr>
            <w:tcW w:w="1145" w:type="pct"/>
            <w:shd w:val="clear" w:color="auto" w:fill="EEECE1"/>
            <w:vAlign w:val="center"/>
          </w:tcPr>
          <w:p w:rsidR="00EE4502" w:rsidRDefault="00FD45A3">
            <w:pPr>
              <w:widowControl/>
              <w:adjustRightInd w:val="0"/>
              <w:snapToGrid w:val="0"/>
              <w:jc w:val="center"/>
              <w:rPr>
                <w:kern w:val="0"/>
                <w:szCs w:val="20"/>
              </w:rPr>
            </w:pPr>
            <w:r>
              <w:rPr>
                <w:kern w:val="0"/>
                <w:szCs w:val="20"/>
              </w:rPr>
              <w:t>易</w:t>
            </w:r>
          </w:p>
        </w:tc>
        <w:tc>
          <w:tcPr>
            <w:tcW w:w="3854" w:type="pct"/>
            <w:shd w:val="clear" w:color="auto" w:fill="EEECE1"/>
            <w:vAlign w:val="center"/>
          </w:tcPr>
          <w:p w:rsidR="00EE4502" w:rsidRDefault="00FD45A3">
            <w:pPr>
              <w:widowControl/>
              <w:adjustRightInd w:val="0"/>
              <w:snapToGrid w:val="0"/>
              <w:jc w:val="center"/>
              <w:rPr>
                <w:kern w:val="0"/>
                <w:szCs w:val="20"/>
              </w:rPr>
            </w:pPr>
            <w:r>
              <w:rPr>
                <w:kern w:val="0"/>
                <w:szCs w:val="20"/>
              </w:rPr>
              <w:t>对地下水环境有污染的物料或污染物泄露后，可及时发现和处理</w:t>
            </w:r>
          </w:p>
        </w:tc>
      </w:tr>
    </w:tbl>
    <w:p w:rsidR="00EE4502" w:rsidRDefault="00FD45A3">
      <w:pPr>
        <w:jc w:val="center"/>
        <w:rPr>
          <w:rFonts w:eastAsia="黑体"/>
          <w:bCs/>
          <w:spacing w:val="5"/>
          <w:sz w:val="22"/>
          <w:szCs w:val="21"/>
          <w:lang w:val="zh-CN"/>
        </w:rPr>
      </w:pPr>
      <w:r>
        <w:rPr>
          <w:rFonts w:eastAsia="黑体"/>
          <w:bCs/>
          <w:spacing w:val="5"/>
          <w:sz w:val="22"/>
          <w:szCs w:val="21"/>
          <w:lang w:val="zh-CN"/>
        </w:rPr>
        <w:t>表</w:t>
      </w:r>
      <w:r>
        <w:rPr>
          <w:rFonts w:eastAsia="黑体"/>
          <w:bCs/>
          <w:spacing w:val="5"/>
          <w:sz w:val="22"/>
          <w:szCs w:val="21"/>
          <w:lang w:val="zh-CN"/>
        </w:rPr>
        <w:t>6-2-</w:t>
      </w:r>
      <w:r>
        <w:rPr>
          <w:rFonts w:eastAsia="黑体" w:hint="eastAsia"/>
          <w:bCs/>
          <w:spacing w:val="5"/>
          <w:sz w:val="22"/>
          <w:szCs w:val="21"/>
        </w:rPr>
        <w:t>3</w:t>
      </w:r>
      <w:r>
        <w:rPr>
          <w:rFonts w:eastAsia="黑体"/>
          <w:bCs/>
          <w:spacing w:val="5"/>
          <w:sz w:val="22"/>
          <w:szCs w:val="21"/>
          <w:lang w:val="zh-CN"/>
        </w:rPr>
        <w:t xml:space="preserve">             </w:t>
      </w:r>
      <w:r>
        <w:rPr>
          <w:rFonts w:eastAsia="黑体"/>
          <w:bCs/>
          <w:spacing w:val="5"/>
          <w:sz w:val="22"/>
          <w:szCs w:val="21"/>
          <w:lang w:val="zh-CN"/>
        </w:rPr>
        <w:t>天然包气带防污性能分级参照表</w:t>
      </w:r>
    </w:p>
    <w:tbl>
      <w:tblPr>
        <w:tblW w:w="4998"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88"/>
        <w:gridCol w:w="7831"/>
      </w:tblGrid>
      <w:tr w:rsidR="00EE4502">
        <w:trPr>
          <w:trHeight w:val="23"/>
        </w:trPr>
        <w:tc>
          <w:tcPr>
            <w:tcW w:w="404" w:type="pct"/>
            <w:vAlign w:val="center"/>
          </w:tcPr>
          <w:p w:rsidR="00EE4502" w:rsidRDefault="00FD45A3">
            <w:pPr>
              <w:widowControl/>
              <w:adjustRightInd w:val="0"/>
              <w:snapToGrid w:val="0"/>
              <w:jc w:val="center"/>
              <w:rPr>
                <w:kern w:val="0"/>
                <w:szCs w:val="20"/>
              </w:rPr>
            </w:pPr>
            <w:r>
              <w:rPr>
                <w:kern w:val="0"/>
                <w:szCs w:val="20"/>
              </w:rPr>
              <w:t>分级</w:t>
            </w:r>
          </w:p>
        </w:tc>
        <w:tc>
          <w:tcPr>
            <w:tcW w:w="4595" w:type="pct"/>
            <w:vAlign w:val="center"/>
          </w:tcPr>
          <w:p w:rsidR="00EE4502" w:rsidRDefault="00FD45A3">
            <w:pPr>
              <w:widowControl/>
              <w:adjustRightInd w:val="0"/>
              <w:snapToGrid w:val="0"/>
              <w:jc w:val="center"/>
              <w:rPr>
                <w:kern w:val="0"/>
                <w:szCs w:val="20"/>
              </w:rPr>
            </w:pPr>
            <w:r>
              <w:rPr>
                <w:kern w:val="0"/>
                <w:szCs w:val="20"/>
              </w:rPr>
              <w:t>包气带岩土的防污性能</w:t>
            </w:r>
          </w:p>
        </w:tc>
      </w:tr>
      <w:tr w:rsidR="00EE4502">
        <w:trPr>
          <w:trHeight w:val="23"/>
        </w:trPr>
        <w:tc>
          <w:tcPr>
            <w:tcW w:w="404" w:type="pct"/>
            <w:vAlign w:val="center"/>
          </w:tcPr>
          <w:p w:rsidR="00EE4502" w:rsidRDefault="00FD45A3">
            <w:pPr>
              <w:widowControl/>
              <w:adjustRightInd w:val="0"/>
              <w:snapToGrid w:val="0"/>
              <w:jc w:val="center"/>
              <w:rPr>
                <w:kern w:val="0"/>
                <w:szCs w:val="20"/>
              </w:rPr>
            </w:pPr>
            <w:r>
              <w:rPr>
                <w:kern w:val="0"/>
                <w:szCs w:val="20"/>
              </w:rPr>
              <w:t>强</w:t>
            </w:r>
          </w:p>
        </w:tc>
        <w:tc>
          <w:tcPr>
            <w:tcW w:w="4595" w:type="pct"/>
            <w:vAlign w:val="center"/>
          </w:tcPr>
          <w:p w:rsidR="00EE4502" w:rsidRDefault="00FD45A3">
            <w:pPr>
              <w:widowControl/>
              <w:adjustRightInd w:val="0"/>
              <w:snapToGrid w:val="0"/>
              <w:jc w:val="center"/>
              <w:rPr>
                <w:kern w:val="0"/>
                <w:szCs w:val="20"/>
              </w:rPr>
            </w:pPr>
            <w:r>
              <w:rPr>
                <w:kern w:val="0"/>
                <w:szCs w:val="20"/>
              </w:rPr>
              <w:t>岩（土）层单层厚度</w:t>
            </w:r>
            <w:r>
              <w:rPr>
                <w:kern w:val="0"/>
                <w:szCs w:val="20"/>
              </w:rPr>
              <w:t>Mb≧1.0m</w:t>
            </w:r>
            <w:r>
              <w:rPr>
                <w:kern w:val="0"/>
                <w:szCs w:val="20"/>
              </w:rPr>
              <w:t>，渗透系数</w:t>
            </w:r>
            <w:r>
              <w:rPr>
                <w:kern w:val="0"/>
                <w:szCs w:val="20"/>
              </w:rPr>
              <w:t>K≦1×10</w:t>
            </w:r>
            <w:r>
              <w:rPr>
                <w:kern w:val="0"/>
                <w:szCs w:val="20"/>
                <w:vertAlign w:val="superscript"/>
              </w:rPr>
              <w:t>-6</w:t>
            </w:r>
            <w:r>
              <w:rPr>
                <w:kern w:val="0"/>
                <w:szCs w:val="20"/>
              </w:rPr>
              <w:t>cm/s</w:t>
            </w:r>
            <w:r>
              <w:rPr>
                <w:kern w:val="0"/>
                <w:szCs w:val="20"/>
              </w:rPr>
              <w:t>，且分布连续、稳定</w:t>
            </w:r>
          </w:p>
        </w:tc>
      </w:tr>
      <w:tr w:rsidR="00EE4502">
        <w:trPr>
          <w:trHeight w:val="23"/>
        </w:trPr>
        <w:tc>
          <w:tcPr>
            <w:tcW w:w="404" w:type="pct"/>
            <w:vAlign w:val="center"/>
          </w:tcPr>
          <w:p w:rsidR="00EE4502" w:rsidRDefault="00FD45A3">
            <w:pPr>
              <w:widowControl/>
              <w:adjustRightInd w:val="0"/>
              <w:snapToGrid w:val="0"/>
              <w:jc w:val="center"/>
              <w:rPr>
                <w:kern w:val="0"/>
                <w:szCs w:val="20"/>
              </w:rPr>
            </w:pPr>
            <w:r>
              <w:rPr>
                <w:kern w:val="0"/>
                <w:szCs w:val="20"/>
              </w:rPr>
              <w:t>中</w:t>
            </w:r>
          </w:p>
        </w:tc>
        <w:tc>
          <w:tcPr>
            <w:tcW w:w="4595" w:type="pct"/>
            <w:vAlign w:val="center"/>
          </w:tcPr>
          <w:p w:rsidR="00EE4502" w:rsidRDefault="00FD45A3">
            <w:pPr>
              <w:widowControl/>
              <w:adjustRightInd w:val="0"/>
              <w:snapToGrid w:val="0"/>
              <w:jc w:val="center"/>
              <w:rPr>
                <w:kern w:val="0"/>
                <w:szCs w:val="20"/>
              </w:rPr>
            </w:pPr>
            <w:r>
              <w:rPr>
                <w:kern w:val="0"/>
                <w:szCs w:val="20"/>
              </w:rPr>
              <w:t>岩（土）层单层厚度</w:t>
            </w:r>
            <w:r>
              <w:rPr>
                <w:kern w:val="0"/>
                <w:szCs w:val="20"/>
              </w:rPr>
              <w:t>0.5m≦Mb&lt;1.0m</w:t>
            </w:r>
            <w:r>
              <w:rPr>
                <w:kern w:val="0"/>
                <w:szCs w:val="20"/>
              </w:rPr>
              <w:t>，渗透系数</w:t>
            </w:r>
            <w:r>
              <w:rPr>
                <w:kern w:val="0"/>
                <w:szCs w:val="20"/>
              </w:rPr>
              <w:t>K≦1×10</w:t>
            </w:r>
            <w:r>
              <w:rPr>
                <w:kern w:val="0"/>
                <w:szCs w:val="20"/>
                <w:vertAlign w:val="superscript"/>
              </w:rPr>
              <w:t>-6</w:t>
            </w:r>
            <w:r>
              <w:rPr>
                <w:kern w:val="0"/>
                <w:szCs w:val="20"/>
              </w:rPr>
              <w:t>cm/s</w:t>
            </w:r>
            <w:r>
              <w:rPr>
                <w:kern w:val="0"/>
                <w:szCs w:val="20"/>
              </w:rPr>
              <w:t>，且分布连续、稳定；</w:t>
            </w:r>
          </w:p>
          <w:p w:rsidR="00EE4502" w:rsidRDefault="00FD45A3">
            <w:pPr>
              <w:widowControl/>
              <w:adjustRightInd w:val="0"/>
              <w:snapToGrid w:val="0"/>
              <w:jc w:val="center"/>
              <w:rPr>
                <w:kern w:val="0"/>
                <w:szCs w:val="20"/>
              </w:rPr>
            </w:pPr>
            <w:r>
              <w:rPr>
                <w:kern w:val="0"/>
                <w:szCs w:val="20"/>
              </w:rPr>
              <w:t>岩（土）层单层厚度</w:t>
            </w:r>
            <w:r>
              <w:rPr>
                <w:kern w:val="0"/>
                <w:szCs w:val="20"/>
              </w:rPr>
              <w:t>Mb≧1.0m</w:t>
            </w:r>
            <w:r>
              <w:rPr>
                <w:kern w:val="0"/>
                <w:szCs w:val="20"/>
              </w:rPr>
              <w:t>，渗透系数</w:t>
            </w:r>
            <w:r>
              <w:rPr>
                <w:kern w:val="0"/>
                <w:szCs w:val="20"/>
              </w:rPr>
              <w:t>1×10</w:t>
            </w:r>
            <w:r>
              <w:rPr>
                <w:kern w:val="0"/>
                <w:szCs w:val="20"/>
                <w:vertAlign w:val="superscript"/>
              </w:rPr>
              <w:t>-6</w:t>
            </w:r>
            <w:r>
              <w:rPr>
                <w:kern w:val="0"/>
                <w:szCs w:val="20"/>
              </w:rPr>
              <w:t>cm/s&lt;K≦1×10</w:t>
            </w:r>
            <w:r>
              <w:rPr>
                <w:kern w:val="0"/>
                <w:szCs w:val="20"/>
                <w:vertAlign w:val="superscript"/>
              </w:rPr>
              <w:t>-4</w:t>
            </w:r>
            <w:r>
              <w:rPr>
                <w:kern w:val="0"/>
                <w:szCs w:val="20"/>
              </w:rPr>
              <w:t>cm/s</w:t>
            </w:r>
            <w:r>
              <w:rPr>
                <w:kern w:val="0"/>
                <w:szCs w:val="20"/>
              </w:rPr>
              <w:t>，且分布连续、稳定；</w:t>
            </w:r>
          </w:p>
        </w:tc>
      </w:tr>
      <w:tr w:rsidR="00EE4502">
        <w:trPr>
          <w:trHeight w:val="23"/>
        </w:trPr>
        <w:tc>
          <w:tcPr>
            <w:tcW w:w="404" w:type="pct"/>
            <w:shd w:val="clear" w:color="auto" w:fill="EEECE1"/>
            <w:vAlign w:val="center"/>
          </w:tcPr>
          <w:p w:rsidR="00EE4502" w:rsidRDefault="00FD45A3">
            <w:pPr>
              <w:widowControl/>
              <w:adjustRightInd w:val="0"/>
              <w:snapToGrid w:val="0"/>
              <w:jc w:val="center"/>
              <w:rPr>
                <w:kern w:val="0"/>
                <w:szCs w:val="20"/>
              </w:rPr>
            </w:pPr>
            <w:r>
              <w:rPr>
                <w:kern w:val="0"/>
                <w:szCs w:val="20"/>
              </w:rPr>
              <w:t>弱</w:t>
            </w:r>
          </w:p>
        </w:tc>
        <w:tc>
          <w:tcPr>
            <w:tcW w:w="4595" w:type="pct"/>
            <w:shd w:val="clear" w:color="auto" w:fill="EEECE1"/>
            <w:vAlign w:val="center"/>
          </w:tcPr>
          <w:p w:rsidR="00EE4502" w:rsidRDefault="00FD45A3">
            <w:pPr>
              <w:widowControl/>
              <w:adjustRightInd w:val="0"/>
              <w:snapToGrid w:val="0"/>
              <w:jc w:val="center"/>
              <w:rPr>
                <w:kern w:val="0"/>
                <w:szCs w:val="20"/>
              </w:rPr>
            </w:pPr>
            <w:r>
              <w:rPr>
                <w:kern w:val="0"/>
                <w:szCs w:val="20"/>
              </w:rPr>
              <w:t>岩（土）层不满足上述</w:t>
            </w:r>
            <w:r>
              <w:rPr>
                <w:kern w:val="0"/>
                <w:szCs w:val="20"/>
              </w:rPr>
              <w:t>“</w:t>
            </w:r>
            <w:r>
              <w:rPr>
                <w:kern w:val="0"/>
                <w:szCs w:val="20"/>
              </w:rPr>
              <w:t>强</w:t>
            </w:r>
            <w:r>
              <w:rPr>
                <w:kern w:val="0"/>
                <w:szCs w:val="20"/>
              </w:rPr>
              <w:t>”</w:t>
            </w:r>
            <w:r>
              <w:rPr>
                <w:kern w:val="0"/>
                <w:szCs w:val="20"/>
              </w:rPr>
              <w:t>和</w:t>
            </w:r>
            <w:r>
              <w:rPr>
                <w:kern w:val="0"/>
                <w:szCs w:val="20"/>
              </w:rPr>
              <w:t>“</w:t>
            </w:r>
            <w:r>
              <w:rPr>
                <w:kern w:val="0"/>
                <w:szCs w:val="20"/>
              </w:rPr>
              <w:t>中</w:t>
            </w:r>
            <w:r>
              <w:rPr>
                <w:kern w:val="0"/>
                <w:szCs w:val="20"/>
              </w:rPr>
              <w:t>”</w:t>
            </w:r>
            <w:r>
              <w:rPr>
                <w:kern w:val="0"/>
                <w:szCs w:val="20"/>
              </w:rPr>
              <w:t>条件</w:t>
            </w:r>
          </w:p>
        </w:tc>
      </w:tr>
    </w:tbl>
    <w:p w:rsidR="00EE4502" w:rsidRDefault="00FD45A3">
      <w:pPr>
        <w:jc w:val="center"/>
        <w:rPr>
          <w:rFonts w:eastAsia="黑体"/>
          <w:bCs/>
          <w:spacing w:val="5"/>
          <w:sz w:val="22"/>
          <w:szCs w:val="21"/>
          <w:lang w:val="zh-CN"/>
        </w:rPr>
      </w:pPr>
      <w:r>
        <w:rPr>
          <w:rFonts w:eastAsia="黑体"/>
          <w:bCs/>
          <w:spacing w:val="5"/>
          <w:sz w:val="22"/>
          <w:szCs w:val="21"/>
          <w:lang w:val="zh-CN"/>
        </w:rPr>
        <w:t>表</w:t>
      </w:r>
      <w:r>
        <w:rPr>
          <w:rFonts w:eastAsia="黑体"/>
          <w:bCs/>
          <w:spacing w:val="5"/>
          <w:sz w:val="22"/>
          <w:szCs w:val="21"/>
          <w:lang w:val="zh-CN"/>
        </w:rPr>
        <w:t>6-2-</w:t>
      </w:r>
      <w:r>
        <w:rPr>
          <w:rFonts w:eastAsia="黑体" w:hint="eastAsia"/>
          <w:bCs/>
          <w:spacing w:val="5"/>
          <w:sz w:val="22"/>
          <w:szCs w:val="21"/>
        </w:rPr>
        <w:t>4</w:t>
      </w:r>
      <w:r>
        <w:rPr>
          <w:rFonts w:eastAsia="黑体"/>
          <w:bCs/>
          <w:spacing w:val="5"/>
          <w:sz w:val="22"/>
          <w:szCs w:val="21"/>
          <w:lang w:val="zh-CN"/>
        </w:rPr>
        <w:t xml:space="preserve">         </w:t>
      </w:r>
      <w:r>
        <w:rPr>
          <w:rFonts w:eastAsia="黑体"/>
          <w:bCs/>
          <w:spacing w:val="5"/>
          <w:sz w:val="22"/>
          <w:szCs w:val="21"/>
          <w:lang w:val="zh-CN"/>
        </w:rPr>
        <w:t>地下水污染防渗分区参照表</w:t>
      </w:r>
    </w:p>
    <w:tbl>
      <w:tblPr>
        <w:tblW w:w="4998"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310"/>
        <w:gridCol w:w="1430"/>
        <w:gridCol w:w="1366"/>
        <w:gridCol w:w="1758"/>
        <w:gridCol w:w="2655"/>
      </w:tblGrid>
      <w:tr w:rsidR="00EE4502">
        <w:tc>
          <w:tcPr>
            <w:tcW w:w="768" w:type="pct"/>
            <w:vAlign w:val="center"/>
          </w:tcPr>
          <w:p w:rsidR="00EE4502" w:rsidRDefault="00FD45A3">
            <w:pPr>
              <w:widowControl/>
              <w:adjustRightInd w:val="0"/>
              <w:snapToGrid w:val="0"/>
              <w:jc w:val="center"/>
              <w:rPr>
                <w:kern w:val="0"/>
                <w:szCs w:val="20"/>
              </w:rPr>
            </w:pPr>
            <w:r>
              <w:rPr>
                <w:kern w:val="0"/>
                <w:szCs w:val="20"/>
              </w:rPr>
              <w:t>防渗分区</w:t>
            </w:r>
          </w:p>
        </w:tc>
        <w:tc>
          <w:tcPr>
            <w:tcW w:w="839" w:type="pct"/>
            <w:vAlign w:val="center"/>
          </w:tcPr>
          <w:p w:rsidR="00EE4502" w:rsidRDefault="00FD45A3">
            <w:pPr>
              <w:widowControl/>
              <w:adjustRightInd w:val="0"/>
              <w:snapToGrid w:val="0"/>
              <w:jc w:val="center"/>
              <w:rPr>
                <w:kern w:val="0"/>
                <w:szCs w:val="20"/>
              </w:rPr>
            </w:pPr>
            <w:r>
              <w:rPr>
                <w:kern w:val="0"/>
                <w:szCs w:val="20"/>
              </w:rPr>
              <w:t>天然包气带防污性能</w:t>
            </w:r>
          </w:p>
        </w:tc>
        <w:tc>
          <w:tcPr>
            <w:tcW w:w="802" w:type="pct"/>
            <w:vAlign w:val="center"/>
          </w:tcPr>
          <w:p w:rsidR="00EE4502" w:rsidRDefault="00FD45A3">
            <w:pPr>
              <w:widowControl/>
              <w:adjustRightInd w:val="0"/>
              <w:snapToGrid w:val="0"/>
              <w:jc w:val="center"/>
              <w:rPr>
                <w:kern w:val="0"/>
                <w:szCs w:val="20"/>
              </w:rPr>
            </w:pPr>
            <w:r>
              <w:rPr>
                <w:kern w:val="0"/>
                <w:szCs w:val="20"/>
              </w:rPr>
              <w:t>污染控制难易程度</w:t>
            </w:r>
          </w:p>
        </w:tc>
        <w:tc>
          <w:tcPr>
            <w:tcW w:w="1032" w:type="pct"/>
            <w:vAlign w:val="center"/>
          </w:tcPr>
          <w:p w:rsidR="00EE4502" w:rsidRDefault="00FD45A3">
            <w:pPr>
              <w:widowControl/>
              <w:adjustRightInd w:val="0"/>
              <w:snapToGrid w:val="0"/>
              <w:jc w:val="center"/>
              <w:rPr>
                <w:kern w:val="0"/>
                <w:szCs w:val="20"/>
              </w:rPr>
            </w:pPr>
            <w:r>
              <w:rPr>
                <w:kern w:val="0"/>
                <w:szCs w:val="20"/>
              </w:rPr>
              <w:t>污染物类型</w:t>
            </w:r>
          </w:p>
        </w:tc>
        <w:tc>
          <w:tcPr>
            <w:tcW w:w="1557" w:type="pct"/>
            <w:vAlign w:val="center"/>
          </w:tcPr>
          <w:p w:rsidR="00EE4502" w:rsidRDefault="00FD45A3">
            <w:pPr>
              <w:widowControl/>
              <w:adjustRightInd w:val="0"/>
              <w:snapToGrid w:val="0"/>
              <w:jc w:val="center"/>
              <w:rPr>
                <w:kern w:val="0"/>
                <w:szCs w:val="20"/>
              </w:rPr>
            </w:pPr>
            <w:r>
              <w:rPr>
                <w:kern w:val="0"/>
                <w:szCs w:val="20"/>
              </w:rPr>
              <w:t>防渗技术要求</w:t>
            </w:r>
          </w:p>
        </w:tc>
      </w:tr>
      <w:tr w:rsidR="00EE4502">
        <w:tc>
          <w:tcPr>
            <w:tcW w:w="768" w:type="pct"/>
            <w:vMerge w:val="restart"/>
            <w:vAlign w:val="center"/>
          </w:tcPr>
          <w:p w:rsidR="00EE4502" w:rsidRDefault="00FD45A3">
            <w:pPr>
              <w:widowControl/>
              <w:adjustRightInd w:val="0"/>
              <w:snapToGrid w:val="0"/>
              <w:jc w:val="center"/>
              <w:rPr>
                <w:kern w:val="0"/>
                <w:szCs w:val="20"/>
              </w:rPr>
            </w:pPr>
            <w:r>
              <w:rPr>
                <w:kern w:val="0"/>
                <w:szCs w:val="20"/>
              </w:rPr>
              <w:t>重点防渗区</w:t>
            </w:r>
          </w:p>
        </w:tc>
        <w:tc>
          <w:tcPr>
            <w:tcW w:w="839" w:type="pct"/>
            <w:vAlign w:val="center"/>
          </w:tcPr>
          <w:p w:rsidR="00EE4502" w:rsidRDefault="00FD45A3">
            <w:pPr>
              <w:widowControl/>
              <w:adjustRightInd w:val="0"/>
              <w:snapToGrid w:val="0"/>
              <w:jc w:val="center"/>
              <w:rPr>
                <w:kern w:val="0"/>
                <w:szCs w:val="20"/>
              </w:rPr>
            </w:pPr>
            <w:r>
              <w:rPr>
                <w:kern w:val="0"/>
                <w:szCs w:val="20"/>
              </w:rPr>
              <w:t>弱</w:t>
            </w:r>
          </w:p>
        </w:tc>
        <w:tc>
          <w:tcPr>
            <w:tcW w:w="802" w:type="pct"/>
            <w:vAlign w:val="center"/>
          </w:tcPr>
          <w:p w:rsidR="00EE4502" w:rsidRDefault="00FD45A3">
            <w:pPr>
              <w:widowControl/>
              <w:adjustRightInd w:val="0"/>
              <w:snapToGrid w:val="0"/>
              <w:jc w:val="center"/>
              <w:rPr>
                <w:kern w:val="0"/>
                <w:szCs w:val="20"/>
              </w:rPr>
            </w:pPr>
            <w:r>
              <w:rPr>
                <w:kern w:val="0"/>
                <w:szCs w:val="20"/>
              </w:rPr>
              <w:t>难</w:t>
            </w:r>
          </w:p>
        </w:tc>
        <w:tc>
          <w:tcPr>
            <w:tcW w:w="1032" w:type="pct"/>
            <w:vMerge w:val="restart"/>
            <w:vAlign w:val="center"/>
          </w:tcPr>
          <w:p w:rsidR="00EE4502" w:rsidRDefault="00FD45A3">
            <w:pPr>
              <w:widowControl/>
              <w:adjustRightInd w:val="0"/>
              <w:snapToGrid w:val="0"/>
              <w:jc w:val="center"/>
              <w:rPr>
                <w:kern w:val="0"/>
                <w:szCs w:val="20"/>
              </w:rPr>
            </w:pPr>
            <w:r>
              <w:rPr>
                <w:kern w:val="0"/>
                <w:szCs w:val="20"/>
              </w:rPr>
              <w:t>重金属、持久性</w:t>
            </w:r>
            <w:r>
              <w:rPr>
                <w:kern w:val="0"/>
                <w:szCs w:val="20"/>
              </w:rPr>
              <w:lastRenderedPageBreak/>
              <w:t>有机污染物</w:t>
            </w:r>
          </w:p>
        </w:tc>
        <w:tc>
          <w:tcPr>
            <w:tcW w:w="1557" w:type="pct"/>
            <w:vMerge w:val="restart"/>
            <w:vAlign w:val="center"/>
          </w:tcPr>
          <w:p w:rsidR="00EE4502" w:rsidRDefault="00FD45A3">
            <w:pPr>
              <w:widowControl/>
              <w:adjustRightInd w:val="0"/>
              <w:snapToGrid w:val="0"/>
              <w:jc w:val="center"/>
              <w:rPr>
                <w:kern w:val="0"/>
                <w:szCs w:val="20"/>
              </w:rPr>
            </w:pPr>
            <w:r>
              <w:rPr>
                <w:kern w:val="0"/>
                <w:szCs w:val="20"/>
              </w:rPr>
              <w:lastRenderedPageBreak/>
              <w:t>等效黏土防渗层</w:t>
            </w:r>
            <w:r>
              <w:rPr>
                <w:kern w:val="0"/>
                <w:szCs w:val="20"/>
              </w:rPr>
              <w:t>Mb≥6.0m</w:t>
            </w:r>
            <w:r>
              <w:rPr>
                <w:kern w:val="0"/>
                <w:szCs w:val="20"/>
              </w:rPr>
              <w:t>，</w:t>
            </w:r>
            <w:r>
              <w:rPr>
                <w:kern w:val="0"/>
                <w:szCs w:val="20"/>
              </w:rPr>
              <w:lastRenderedPageBreak/>
              <w:t>K≤1×10</w:t>
            </w:r>
            <w:r>
              <w:rPr>
                <w:kern w:val="0"/>
                <w:szCs w:val="20"/>
                <w:vertAlign w:val="superscript"/>
              </w:rPr>
              <w:t>-7</w:t>
            </w:r>
            <w:r>
              <w:rPr>
                <w:kern w:val="0"/>
                <w:szCs w:val="20"/>
              </w:rPr>
              <w:t>cm/s</w:t>
            </w:r>
            <w:r>
              <w:rPr>
                <w:kern w:val="0"/>
                <w:szCs w:val="20"/>
              </w:rPr>
              <w:t>；或参照</w:t>
            </w:r>
            <w:r>
              <w:rPr>
                <w:kern w:val="0"/>
                <w:szCs w:val="20"/>
              </w:rPr>
              <w:t>GB18598</w:t>
            </w:r>
            <w:r>
              <w:rPr>
                <w:kern w:val="0"/>
                <w:szCs w:val="20"/>
              </w:rPr>
              <w:t>执行</w:t>
            </w:r>
          </w:p>
        </w:tc>
      </w:tr>
      <w:tr w:rsidR="00EE4502">
        <w:tc>
          <w:tcPr>
            <w:tcW w:w="768" w:type="pct"/>
            <w:vMerge/>
            <w:vAlign w:val="center"/>
          </w:tcPr>
          <w:p w:rsidR="00EE4502" w:rsidRDefault="00EE4502">
            <w:pPr>
              <w:widowControl/>
              <w:adjustRightInd w:val="0"/>
              <w:snapToGrid w:val="0"/>
              <w:jc w:val="center"/>
              <w:rPr>
                <w:kern w:val="0"/>
                <w:szCs w:val="20"/>
              </w:rPr>
            </w:pPr>
          </w:p>
        </w:tc>
        <w:tc>
          <w:tcPr>
            <w:tcW w:w="839" w:type="pct"/>
            <w:vAlign w:val="center"/>
          </w:tcPr>
          <w:p w:rsidR="00EE4502" w:rsidRDefault="00FD45A3">
            <w:pPr>
              <w:widowControl/>
              <w:adjustRightInd w:val="0"/>
              <w:snapToGrid w:val="0"/>
              <w:jc w:val="center"/>
              <w:rPr>
                <w:kern w:val="0"/>
                <w:szCs w:val="20"/>
              </w:rPr>
            </w:pPr>
            <w:r>
              <w:rPr>
                <w:kern w:val="0"/>
                <w:szCs w:val="20"/>
              </w:rPr>
              <w:t>中</w:t>
            </w:r>
            <w:r>
              <w:rPr>
                <w:kern w:val="0"/>
                <w:szCs w:val="20"/>
              </w:rPr>
              <w:t>-</w:t>
            </w:r>
            <w:r>
              <w:rPr>
                <w:kern w:val="0"/>
                <w:szCs w:val="20"/>
              </w:rPr>
              <w:t>强</w:t>
            </w:r>
          </w:p>
        </w:tc>
        <w:tc>
          <w:tcPr>
            <w:tcW w:w="802" w:type="pct"/>
            <w:vAlign w:val="center"/>
          </w:tcPr>
          <w:p w:rsidR="00EE4502" w:rsidRDefault="00FD45A3">
            <w:pPr>
              <w:widowControl/>
              <w:adjustRightInd w:val="0"/>
              <w:snapToGrid w:val="0"/>
              <w:jc w:val="center"/>
              <w:rPr>
                <w:kern w:val="0"/>
                <w:szCs w:val="20"/>
              </w:rPr>
            </w:pPr>
            <w:r>
              <w:rPr>
                <w:kern w:val="0"/>
                <w:szCs w:val="20"/>
              </w:rPr>
              <w:t>难</w:t>
            </w:r>
          </w:p>
        </w:tc>
        <w:tc>
          <w:tcPr>
            <w:tcW w:w="1032" w:type="pct"/>
            <w:vMerge/>
            <w:vAlign w:val="center"/>
          </w:tcPr>
          <w:p w:rsidR="00EE4502" w:rsidRDefault="00EE4502">
            <w:pPr>
              <w:widowControl/>
              <w:adjustRightInd w:val="0"/>
              <w:snapToGrid w:val="0"/>
              <w:jc w:val="center"/>
              <w:rPr>
                <w:kern w:val="0"/>
                <w:szCs w:val="20"/>
              </w:rPr>
            </w:pPr>
          </w:p>
        </w:tc>
        <w:tc>
          <w:tcPr>
            <w:tcW w:w="1557" w:type="pct"/>
            <w:vMerge/>
            <w:vAlign w:val="center"/>
          </w:tcPr>
          <w:p w:rsidR="00EE4502" w:rsidRDefault="00EE4502">
            <w:pPr>
              <w:widowControl/>
              <w:adjustRightInd w:val="0"/>
              <w:snapToGrid w:val="0"/>
              <w:jc w:val="center"/>
              <w:rPr>
                <w:kern w:val="0"/>
                <w:szCs w:val="20"/>
              </w:rPr>
            </w:pPr>
          </w:p>
        </w:tc>
      </w:tr>
      <w:tr w:rsidR="00EE4502">
        <w:trPr>
          <w:trHeight w:val="320"/>
        </w:trPr>
        <w:tc>
          <w:tcPr>
            <w:tcW w:w="768" w:type="pct"/>
            <w:vMerge/>
            <w:vAlign w:val="center"/>
          </w:tcPr>
          <w:p w:rsidR="00EE4502" w:rsidRDefault="00EE4502">
            <w:pPr>
              <w:widowControl/>
              <w:adjustRightInd w:val="0"/>
              <w:snapToGrid w:val="0"/>
              <w:jc w:val="center"/>
              <w:rPr>
                <w:kern w:val="0"/>
                <w:szCs w:val="20"/>
              </w:rPr>
            </w:pPr>
          </w:p>
        </w:tc>
        <w:tc>
          <w:tcPr>
            <w:tcW w:w="839" w:type="pct"/>
            <w:vAlign w:val="center"/>
          </w:tcPr>
          <w:p w:rsidR="00EE4502" w:rsidRDefault="00FD45A3">
            <w:pPr>
              <w:widowControl/>
              <w:adjustRightInd w:val="0"/>
              <w:snapToGrid w:val="0"/>
              <w:jc w:val="center"/>
              <w:rPr>
                <w:kern w:val="0"/>
                <w:szCs w:val="20"/>
              </w:rPr>
            </w:pPr>
            <w:r>
              <w:rPr>
                <w:kern w:val="0"/>
                <w:szCs w:val="20"/>
              </w:rPr>
              <w:t>弱</w:t>
            </w:r>
          </w:p>
        </w:tc>
        <w:tc>
          <w:tcPr>
            <w:tcW w:w="802" w:type="pct"/>
            <w:vAlign w:val="center"/>
          </w:tcPr>
          <w:p w:rsidR="00EE4502" w:rsidRDefault="00FD45A3">
            <w:pPr>
              <w:widowControl/>
              <w:adjustRightInd w:val="0"/>
              <w:snapToGrid w:val="0"/>
              <w:jc w:val="center"/>
              <w:rPr>
                <w:kern w:val="0"/>
                <w:szCs w:val="20"/>
              </w:rPr>
            </w:pPr>
            <w:r>
              <w:rPr>
                <w:kern w:val="0"/>
                <w:szCs w:val="20"/>
              </w:rPr>
              <w:t>易</w:t>
            </w:r>
          </w:p>
        </w:tc>
        <w:tc>
          <w:tcPr>
            <w:tcW w:w="1032" w:type="pct"/>
            <w:vMerge/>
            <w:vAlign w:val="center"/>
          </w:tcPr>
          <w:p w:rsidR="00EE4502" w:rsidRDefault="00EE4502">
            <w:pPr>
              <w:widowControl/>
              <w:adjustRightInd w:val="0"/>
              <w:snapToGrid w:val="0"/>
              <w:jc w:val="center"/>
              <w:rPr>
                <w:kern w:val="0"/>
                <w:szCs w:val="20"/>
              </w:rPr>
            </w:pPr>
          </w:p>
        </w:tc>
        <w:tc>
          <w:tcPr>
            <w:tcW w:w="1557" w:type="pct"/>
            <w:vMerge/>
            <w:vAlign w:val="center"/>
          </w:tcPr>
          <w:p w:rsidR="00EE4502" w:rsidRDefault="00EE4502">
            <w:pPr>
              <w:widowControl/>
              <w:adjustRightInd w:val="0"/>
              <w:snapToGrid w:val="0"/>
              <w:jc w:val="center"/>
              <w:rPr>
                <w:kern w:val="0"/>
                <w:szCs w:val="20"/>
              </w:rPr>
            </w:pPr>
          </w:p>
        </w:tc>
      </w:tr>
      <w:tr w:rsidR="00EE4502">
        <w:tc>
          <w:tcPr>
            <w:tcW w:w="768" w:type="pct"/>
            <w:vMerge w:val="restart"/>
            <w:shd w:val="clear" w:color="auto" w:fill="EEECE1"/>
            <w:vAlign w:val="center"/>
          </w:tcPr>
          <w:p w:rsidR="00EE4502" w:rsidRDefault="00FD45A3">
            <w:pPr>
              <w:widowControl/>
              <w:adjustRightInd w:val="0"/>
              <w:snapToGrid w:val="0"/>
              <w:jc w:val="center"/>
              <w:rPr>
                <w:kern w:val="0"/>
                <w:szCs w:val="20"/>
              </w:rPr>
            </w:pPr>
            <w:r>
              <w:rPr>
                <w:kern w:val="0"/>
                <w:szCs w:val="20"/>
              </w:rPr>
              <w:t>一般防渗区</w:t>
            </w:r>
          </w:p>
        </w:tc>
        <w:tc>
          <w:tcPr>
            <w:tcW w:w="839" w:type="pct"/>
            <w:shd w:val="clear" w:color="auto" w:fill="EEECE1"/>
            <w:vAlign w:val="center"/>
          </w:tcPr>
          <w:p w:rsidR="00EE4502" w:rsidRDefault="00FD45A3">
            <w:pPr>
              <w:widowControl/>
              <w:adjustRightInd w:val="0"/>
              <w:snapToGrid w:val="0"/>
              <w:jc w:val="center"/>
              <w:rPr>
                <w:kern w:val="0"/>
                <w:szCs w:val="20"/>
              </w:rPr>
            </w:pPr>
            <w:r>
              <w:rPr>
                <w:kern w:val="0"/>
                <w:szCs w:val="20"/>
              </w:rPr>
              <w:t>弱</w:t>
            </w:r>
          </w:p>
        </w:tc>
        <w:tc>
          <w:tcPr>
            <w:tcW w:w="802" w:type="pct"/>
            <w:shd w:val="clear" w:color="auto" w:fill="EEECE1"/>
            <w:vAlign w:val="center"/>
          </w:tcPr>
          <w:p w:rsidR="00EE4502" w:rsidRDefault="00FD45A3">
            <w:pPr>
              <w:widowControl/>
              <w:adjustRightInd w:val="0"/>
              <w:snapToGrid w:val="0"/>
              <w:jc w:val="center"/>
              <w:rPr>
                <w:kern w:val="0"/>
                <w:szCs w:val="20"/>
              </w:rPr>
            </w:pPr>
            <w:r>
              <w:rPr>
                <w:kern w:val="0"/>
                <w:szCs w:val="20"/>
              </w:rPr>
              <w:t>易</w:t>
            </w:r>
            <w:r>
              <w:rPr>
                <w:kern w:val="0"/>
                <w:szCs w:val="20"/>
              </w:rPr>
              <w:t>-</w:t>
            </w:r>
            <w:r>
              <w:rPr>
                <w:kern w:val="0"/>
                <w:szCs w:val="20"/>
              </w:rPr>
              <w:t>难</w:t>
            </w:r>
          </w:p>
        </w:tc>
        <w:tc>
          <w:tcPr>
            <w:tcW w:w="1032" w:type="pct"/>
            <w:vMerge w:val="restart"/>
            <w:shd w:val="clear" w:color="auto" w:fill="EEECE1"/>
            <w:vAlign w:val="center"/>
          </w:tcPr>
          <w:p w:rsidR="00EE4502" w:rsidRDefault="00FD45A3">
            <w:pPr>
              <w:widowControl/>
              <w:adjustRightInd w:val="0"/>
              <w:snapToGrid w:val="0"/>
              <w:jc w:val="center"/>
              <w:rPr>
                <w:kern w:val="0"/>
                <w:szCs w:val="20"/>
              </w:rPr>
            </w:pPr>
            <w:r>
              <w:rPr>
                <w:kern w:val="0"/>
                <w:szCs w:val="20"/>
              </w:rPr>
              <w:t>其它类型</w:t>
            </w:r>
          </w:p>
        </w:tc>
        <w:tc>
          <w:tcPr>
            <w:tcW w:w="1557" w:type="pct"/>
            <w:vMerge w:val="restart"/>
            <w:shd w:val="clear" w:color="auto" w:fill="EEECE1"/>
            <w:vAlign w:val="center"/>
          </w:tcPr>
          <w:p w:rsidR="00EE4502" w:rsidRDefault="00FD45A3">
            <w:pPr>
              <w:widowControl/>
              <w:adjustRightInd w:val="0"/>
              <w:snapToGrid w:val="0"/>
              <w:jc w:val="center"/>
              <w:rPr>
                <w:kern w:val="0"/>
                <w:szCs w:val="20"/>
              </w:rPr>
            </w:pPr>
            <w:r>
              <w:rPr>
                <w:kern w:val="0"/>
                <w:szCs w:val="20"/>
              </w:rPr>
              <w:t>等效黏土防渗层</w:t>
            </w:r>
            <w:r>
              <w:rPr>
                <w:kern w:val="0"/>
                <w:szCs w:val="20"/>
              </w:rPr>
              <w:t>Mb≥1.5m</w:t>
            </w:r>
            <w:r>
              <w:rPr>
                <w:kern w:val="0"/>
                <w:szCs w:val="20"/>
              </w:rPr>
              <w:t>，</w:t>
            </w:r>
            <w:r>
              <w:rPr>
                <w:kern w:val="0"/>
                <w:szCs w:val="20"/>
              </w:rPr>
              <w:t>K≤1×10</w:t>
            </w:r>
            <w:r>
              <w:rPr>
                <w:kern w:val="0"/>
                <w:szCs w:val="20"/>
                <w:vertAlign w:val="superscript"/>
              </w:rPr>
              <w:t>-7</w:t>
            </w:r>
            <w:r>
              <w:rPr>
                <w:kern w:val="0"/>
                <w:szCs w:val="20"/>
              </w:rPr>
              <w:t>cm/s</w:t>
            </w:r>
            <w:r>
              <w:rPr>
                <w:kern w:val="0"/>
                <w:szCs w:val="20"/>
              </w:rPr>
              <w:t>，或参照</w:t>
            </w:r>
            <w:r>
              <w:rPr>
                <w:kern w:val="0"/>
                <w:szCs w:val="20"/>
              </w:rPr>
              <w:t>GB16889</w:t>
            </w:r>
            <w:r>
              <w:rPr>
                <w:kern w:val="0"/>
                <w:szCs w:val="20"/>
              </w:rPr>
              <w:t>执行</w:t>
            </w:r>
          </w:p>
        </w:tc>
      </w:tr>
      <w:tr w:rsidR="00EE4502">
        <w:tc>
          <w:tcPr>
            <w:tcW w:w="768" w:type="pct"/>
            <w:vMerge/>
            <w:shd w:val="clear" w:color="auto" w:fill="EEECE1"/>
            <w:vAlign w:val="center"/>
          </w:tcPr>
          <w:p w:rsidR="00EE4502" w:rsidRDefault="00EE4502">
            <w:pPr>
              <w:widowControl/>
              <w:adjustRightInd w:val="0"/>
              <w:snapToGrid w:val="0"/>
              <w:jc w:val="center"/>
              <w:rPr>
                <w:kern w:val="0"/>
                <w:szCs w:val="20"/>
              </w:rPr>
            </w:pPr>
          </w:p>
        </w:tc>
        <w:tc>
          <w:tcPr>
            <w:tcW w:w="839" w:type="pct"/>
            <w:shd w:val="clear" w:color="auto" w:fill="auto"/>
            <w:vAlign w:val="center"/>
          </w:tcPr>
          <w:p w:rsidR="00EE4502" w:rsidRDefault="00FD45A3">
            <w:pPr>
              <w:widowControl/>
              <w:adjustRightInd w:val="0"/>
              <w:snapToGrid w:val="0"/>
              <w:jc w:val="center"/>
              <w:rPr>
                <w:kern w:val="0"/>
                <w:szCs w:val="20"/>
              </w:rPr>
            </w:pPr>
            <w:r>
              <w:rPr>
                <w:kern w:val="0"/>
                <w:szCs w:val="20"/>
              </w:rPr>
              <w:t>中</w:t>
            </w:r>
            <w:r>
              <w:rPr>
                <w:kern w:val="0"/>
                <w:szCs w:val="20"/>
              </w:rPr>
              <w:t>-</w:t>
            </w:r>
            <w:r>
              <w:rPr>
                <w:kern w:val="0"/>
                <w:szCs w:val="20"/>
              </w:rPr>
              <w:t>强</w:t>
            </w:r>
          </w:p>
        </w:tc>
        <w:tc>
          <w:tcPr>
            <w:tcW w:w="802" w:type="pct"/>
            <w:shd w:val="clear" w:color="auto" w:fill="auto"/>
            <w:vAlign w:val="center"/>
          </w:tcPr>
          <w:p w:rsidR="00EE4502" w:rsidRDefault="00FD45A3">
            <w:pPr>
              <w:widowControl/>
              <w:adjustRightInd w:val="0"/>
              <w:snapToGrid w:val="0"/>
              <w:jc w:val="center"/>
              <w:rPr>
                <w:kern w:val="0"/>
                <w:szCs w:val="20"/>
              </w:rPr>
            </w:pPr>
            <w:r>
              <w:rPr>
                <w:kern w:val="0"/>
                <w:szCs w:val="20"/>
              </w:rPr>
              <w:t>难</w:t>
            </w:r>
          </w:p>
        </w:tc>
        <w:tc>
          <w:tcPr>
            <w:tcW w:w="1032" w:type="pct"/>
            <w:vMerge/>
            <w:shd w:val="clear" w:color="auto" w:fill="B8CCE4"/>
            <w:vAlign w:val="center"/>
          </w:tcPr>
          <w:p w:rsidR="00EE4502" w:rsidRDefault="00EE4502">
            <w:pPr>
              <w:widowControl/>
              <w:adjustRightInd w:val="0"/>
              <w:snapToGrid w:val="0"/>
              <w:jc w:val="center"/>
              <w:rPr>
                <w:kern w:val="0"/>
                <w:szCs w:val="20"/>
              </w:rPr>
            </w:pPr>
          </w:p>
        </w:tc>
        <w:tc>
          <w:tcPr>
            <w:tcW w:w="1557" w:type="pct"/>
            <w:vMerge/>
            <w:shd w:val="clear" w:color="auto" w:fill="EEECE1"/>
            <w:vAlign w:val="center"/>
          </w:tcPr>
          <w:p w:rsidR="00EE4502" w:rsidRDefault="00EE4502">
            <w:pPr>
              <w:widowControl/>
              <w:adjustRightInd w:val="0"/>
              <w:snapToGrid w:val="0"/>
              <w:jc w:val="center"/>
              <w:rPr>
                <w:kern w:val="0"/>
                <w:szCs w:val="20"/>
              </w:rPr>
            </w:pPr>
          </w:p>
        </w:tc>
      </w:tr>
      <w:tr w:rsidR="00EE4502">
        <w:tc>
          <w:tcPr>
            <w:tcW w:w="768" w:type="pct"/>
            <w:vMerge/>
            <w:shd w:val="clear" w:color="auto" w:fill="EEECE1"/>
            <w:vAlign w:val="center"/>
          </w:tcPr>
          <w:p w:rsidR="00EE4502" w:rsidRDefault="00EE4502">
            <w:pPr>
              <w:widowControl/>
              <w:adjustRightInd w:val="0"/>
              <w:snapToGrid w:val="0"/>
              <w:jc w:val="center"/>
              <w:rPr>
                <w:kern w:val="0"/>
                <w:szCs w:val="20"/>
              </w:rPr>
            </w:pPr>
          </w:p>
        </w:tc>
        <w:tc>
          <w:tcPr>
            <w:tcW w:w="839" w:type="pct"/>
            <w:shd w:val="clear" w:color="auto" w:fill="auto"/>
            <w:vAlign w:val="center"/>
          </w:tcPr>
          <w:p w:rsidR="00EE4502" w:rsidRDefault="00FD45A3">
            <w:pPr>
              <w:widowControl/>
              <w:adjustRightInd w:val="0"/>
              <w:snapToGrid w:val="0"/>
              <w:jc w:val="center"/>
              <w:rPr>
                <w:kern w:val="0"/>
                <w:szCs w:val="20"/>
              </w:rPr>
            </w:pPr>
            <w:r>
              <w:rPr>
                <w:kern w:val="0"/>
                <w:szCs w:val="20"/>
              </w:rPr>
              <w:t>中</w:t>
            </w:r>
          </w:p>
        </w:tc>
        <w:tc>
          <w:tcPr>
            <w:tcW w:w="802" w:type="pct"/>
            <w:shd w:val="clear" w:color="auto" w:fill="auto"/>
            <w:vAlign w:val="center"/>
          </w:tcPr>
          <w:p w:rsidR="00EE4502" w:rsidRDefault="00FD45A3">
            <w:pPr>
              <w:widowControl/>
              <w:adjustRightInd w:val="0"/>
              <w:snapToGrid w:val="0"/>
              <w:jc w:val="center"/>
              <w:rPr>
                <w:kern w:val="0"/>
                <w:szCs w:val="20"/>
              </w:rPr>
            </w:pPr>
            <w:r>
              <w:rPr>
                <w:kern w:val="0"/>
                <w:szCs w:val="20"/>
              </w:rPr>
              <w:t>易</w:t>
            </w:r>
          </w:p>
        </w:tc>
        <w:tc>
          <w:tcPr>
            <w:tcW w:w="1032" w:type="pct"/>
            <w:vMerge w:val="restart"/>
            <w:shd w:val="clear" w:color="auto" w:fill="auto"/>
            <w:vAlign w:val="center"/>
          </w:tcPr>
          <w:p w:rsidR="00EE4502" w:rsidRDefault="00FD45A3">
            <w:pPr>
              <w:widowControl/>
              <w:adjustRightInd w:val="0"/>
              <w:snapToGrid w:val="0"/>
              <w:jc w:val="center"/>
              <w:rPr>
                <w:kern w:val="0"/>
                <w:szCs w:val="20"/>
              </w:rPr>
            </w:pPr>
            <w:r>
              <w:rPr>
                <w:kern w:val="0"/>
                <w:szCs w:val="20"/>
              </w:rPr>
              <w:t>重金属、持久性有机污染物</w:t>
            </w:r>
          </w:p>
        </w:tc>
        <w:tc>
          <w:tcPr>
            <w:tcW w:w="1557" w:type="pct"/>
            <w:vMerge/>
            <w:shd w:val="clear" w:color="auto" w:fill="EEECE1"/>
            <w:vAlign w:val="center"/>
          </w:tcPr>
          <w:p w:rsidR="00EE4502" w:rsidRDefault="00EE4502">
            <w:pPr>
              <w:widowControl/>
              <w:adjustRightInd w:val="0"/>
              <w:snapToGrid w:val="0"/>
              <w:jc w:val="center"/>
              <w:rPr>
                <w:kern w:val="0"/>
                <w:szCs w:val="20"/>
              </w:rPr>
            </w:pPr>
          </w:p>
        </w:tc>
      </w:tr>
      <w:tr w:rsidR="00EE4502">
        <w:tc>
          <w:tcPr>
            <w:tcW w:w="768" w:type="pct"/>
            <w:vMerge/>
            <w:shd w:val="clear" w:color="auto" w:fill="EEECE1"/>
            <w:vAlign w:val="center"/>
          </w:tcPr>
          <w:p w:rsidR="00EE4502" w:rsidRDefault="00EE4502">
            <w:pPr>
              <w:widowControl/>
              <w:adjustRightInd w:val="0"/>
              <w:snapToGrid w:val="0"/>
              <w:jc w:val="center"/>
              <w:rPr>
                <w:kern w:val="0"/>
                <w:szCs w:val="20"/>
              </w:rPr>
            </w:pPr>
          </w:p>
        </w:tc>
        <w:tc>
          <w:tcPr>
            <w:tcW w:w="839" w:type="pct"/>
            <w:shd w:val="clear" w:color="auto" w:fill="auto"/>
            <w:vAlign w:val="center"/>
          </w:tcPr>
          <w:p w:rsidR="00EE4502" w:rsidRDefault="00FD45A3">
            <w:pPr>
              <w:widowControl/>
              <w:adjustRightInd w:val="0"/>
              <w:snapToGrid w:val="0"/>
              <w:jc w:val="center"/>
              <w:rPr>
                <w:kern w:val="0"/>
                <w:szCs w:val="20"/>
              </w:rPr>
            </w:pPr>
            <w:r>
              <w:rPr>
                <w:kern w:val="0"/>
                <w:szCs w:val="20"/>
              </w:rPr>
              <w:t>强</w:t>
            </w:r>
          </w:p>
        </w:tc>
        <w:tc>
          <w:tcPr>
            <w:tcW w:w="802" w:type="pct"/>
            <w:shd w:val="clear" w:color="auto" w:fill="auto"/>
            <w:vAlign w:val="center"/>
          </w:tcPr>
          <w:p w:rsidR="00EE4502" w:rsidRDefault="00FD45A3">
            <w:pPr>
              <w:widowControl/>
              <w:adjustRightInd w:val="0"/>
              <w:snapToGrid w:val="0"/>
              <w:jc w:val="center"/>
              <w:rPr>
                <w:kern w:val="0"/>
                <w:szCs w:val="20"/>
              </w:rPr>
            </w:pPr>
            <w:r>
              <w:rPr>
                <w:kern w:val="0"/>
                <w:szCs w:val="20"/>
              </w:rPr>
              <w:t>易</w:t>
            </w:r>
          </w:p>
        </w:tc>
        <w:tc>
          <w:tcPr>
            <w:tcW w:w="1032" w:type="pct"/>
            <w:vMerge/>
            <w:shd w:val="clear" w:color="auto" w:fill="auto"/>
            <w:vAlign w:val="center"/>
          </w:tcPr>
          <w:p w:rsidR="00EE4502" w:rsidRDefault="00EE4502">
            <w:pPr>
              <w:widowControl/>
              <w:adjustRightInd w:val="0"/>
              <w:snapToGrid w:val="0"/>
              <w:jc w:val="center"/>
              <w:rPr>
                <w:kern w:val="0"/>
                <w:szCs w:val="20"/>
              </w:rPr>
            </w:pPr>
          </w:p>
        </w:tc>
        <w:tc>
          <w:tcPr>
            <w:tcW w:w="1557" w:type="pct"/>
            <w:vMerge/>
            <w:shd w:val="clear" w:color="auto" w:fill="EEECE1"/>
            <w:vAlign w:val="center"/>
          </w:tcPr>
          <w:p w:rsidR="00EE4502" w:rsidRDefault="00EE4502">
            <w:pPr>
              <w:widowControl/>
              <w:adjustRightInd w:val="0"/>
              <w:snapToGrid w:val="0"/>
              <w:jc w:val="center"/>
              <w:rPr>
                <w:kern w:val="0"/>
                <w:szCs w:val="20"/>
              </w:rPr>
            </w:pPr>
          </w:p>
        </w:tc>
      </w:tr>
      <w:tr w:rsidR="00EE4502">
        <w:tc>
          <w:tcPr>
            <w:tcW w:w="768" w:type="pct"/>
            <w:vAlign w:val="center"/>
          </w:tcPr>
          <w:p w:rsidR="00EE4502" w:rsidRDefault="00FD45A3">
            <w:pPr>
              <w:widowControl/>
              <w:adjustRightInd w:val="0"/>
              <w:snapToGrid w:val="0"/>
              <w:jc w:val="center"/>
              <w:rPr>
                <w:kern w:val="0"/>
                <w:szCs w:val="20"/>
              </w:rPr>
            </w:pPr>
            <w:r>
              <w:rPr>
                <w:kern w:val="0"/>
                <w:szCs w:val="20"/>
              </w:rPr>
              <w:t>简单防渗区</w:t>
            </w:r>
          </w:p>
        </w:tc>
        <w:tc>
          <w:tcPr>
            <w:tcW w:w="839" w:type="pct"/>
            <w:vAlign w:val="center"/>
          </w:tcPr>
          <w:p w:rsidR="00EE4502" w:rsidRDefault="00FD45A3">
            <w:pPr>
              <w:widowControl/>
              <w:adjustRightInd w:val="0"/>
              <w:snapToGrid w:val="0"/>
              <w:jc w:val="center"/>
              <w:rPr>
                <w:kern w:val="0"/>
                <w:szCs w:val="20"/>
              </w:rPr>
            </w:pPr>
            <w:r>
              <w:rPr>
                <w:kern w:val="0"/>
                <w:szCs w:val="20"/>
              </w:rPr>
              <w:t>中</w:t>
            </w:r>
            <w:r>
              <w:rPr>
                <w:kern w:val="0"/>
                <w:szCs w:val="20"/>
              </w:rPr>
              <w:t>-</w:t>
            </w:r>
            <w:r>
              <w:rPr>
                <w:kern w:val="0"/>
                <w:szCs w:val="20"/>
              </w:rPr>
              <w:t>强</w:t>
            </w:r>
          </w:p>
        </w:tc>
        <w:tc>
          <w:tcPr>
            <w:tcW w:w="802" w:type="pct"/>
            <w:vAlign w:val="center"/>
          </w:tcPr>
          <w:p w:rsidR="00EE4502" w:rsidRDefault="00FD45A3">
            <w:pPr>
              <w:widowControl/>
              <w:adjustRightInd w:val="0"/>
              <w:snapToGrid w:val="0"/>
              <w:jc w:val="center"/>
              <w:rPr>
                <w:kern w:val="0"/>
                <w:szCs w:val="20"/>
              </w:rPr>
            </w:pPr>
            <w:r>
              <w:rPr>
                <w:kern w:val="0"/>
                <w:szCs w:val="20"/>
              </w:rPr>
              <w:t>易</w:t>
            </w:r>
          </w:p>
        </w:tc>
        <w:tc>
          <w:tcPr>
            <w:tcW w:w="1032" w:type="pct"/>
            <w:vAlign w:val="center"/>
          </w:tcPr>
          <w:p w:rsidR="00EE4502" w:rsidRDefault="00FD45A3">
            <w:pPr>
              <w:widowControl/>
              <w:adjustRightInd w:val="0"/>
              <w:snapToGrid w:val="0"/>
              <w:jc w:val="center"/>
              <w:rPr>
                <w:kern w:val="0"/>
                <w:szCs w:val="20"/>
              </w:rPr>
            </w:pPr>
            <w:r>
              <w:rPr>
                <w:kern w:val="0"/>
                <w:szCs w:val="20"/>
              </w:rPr>
              <w:t>其它类型</w:t>
            </w:r>
          </w:p>
        </w:tc>
        <w:tc>
          <w:tcPr>
            <w:tcW w:w="1557" w:type="pct"/>
            <w:vAlign w:val="center"/>
          </w:tcPr>
          <w:p w:rsidR="00EE4502" w:rsidRDefault="00FD45A3">
            <w:pPr>
              <w:widowControl/>
              <w:adjustRightInd w:val="0"/>
              <w:snapToGrid w:val="0"/>
              <w:jc w:val="center"/>
              <w:rPr>
                <w:kern w:val="0"/>
                <w:szCs w:val="20"/>
              </w:rPr>
            </w:pPr>
            <w:r>
              <w:rPr>
                <w:kern w:val="0"/>
                <w:szCs w:val="20"/>
              </w:rPr>
              <w:t>一般地面硬化</w:t>
            </w:r>
          </w:p>
        </w:tc>
      </w:tr>
    </w:tbl>
    <w:p w:rsidR="00EE4502" w:rsidRDefault="00FD45A3">
      <w:pPr>
        <w:spacing w:line="360" w:lineRule="auto"/>
        <w:ind w:firstLineChars="200" w:firstLine="480"/>
        <w:rPr>
          <w:sz w:val="24"/>
          <w:szCs w:val="20"/>
        </w:rPr>
      </w:pPr>
      <w:r>
        <w:rPr>
          <w:sz w:val="24"/>
          <w:szCs w:val="20"/>
        </w:rPr>
        <w:t>根据《环境影响评价技术导则</w:t>
      </w:r>
      <w:r>
        <w:rPr>
          <w:rFonts w:hint="eastAsia"/>
          <w:sz w:val="24"/>
          <w:szCs w:val="20"/>
        </w:rPr>
        <w:t xml:space="preserve"> </w:t>
      </w:r>
      <w:r>
        <w:rPr>
          <w:sz w:val="24"/>
          <w:szCs w:val="20"/>
        </w:rPr>
        <w:t>地下水环境》（</w:t>
      </w:r>
      <w:r>
        <w:rPr>
          <w:sz w:val="24"/>
          <w:szCs w:val="20"/>
        </w:rPr>
        <w:t>HJ610-2016</w:t>
      </w:r>
      <w:r>
        <w:rPr>
          <w:sz w:val="24"/>
          <w:szCs w:val="20"/>
        </w:rPr>
        <w:t>）中表</w:t>
      </w:r>
      <w:r>
        <w:rPr>
          <w:sz w:val="24"/>
          <w:szCs w:val="20"/>
        </w:rPr>
        <w:t>6</w:t>
      </w:r>
      <w:r>
        <w:rPr>
          <w:sz w:val="24"/>
          <w:szCs w:val="20"/>
        </w:rPr>
        <w:t>及前文分析，项目区内包气带防污性能为</w:t>
      </w:r>
      <w:r>
        <w:rPr>
          <w:sz w:val="24"/>
          <w:szCs w:val="20"/>
        </w:rPr>
        <w:t>“</w:t>
      </w:r>
      <w:r>
        <w:rPr>
          <w:sz w:val="24"/>
          <w:szCs w:val="20"/>
        </w:rPr>
        <w:t>弱</w:t>
      </w:r>
      <w:r>
        <w:rPr>
          <w:sz w:val="24"/>
          <w:szCs w:val="20"/>
        </w:rPr>
        <w:t>”</w:t>
      </w:r>
      <w:r>
        <w:rPr>
          <w:sz w:val="24"/>
          <w:szCs w:val="20"/>
        </w:rPr>
        <w:t>，</w:t>
      </w:r>
      <w:r>
        <w:rPr>
          <w:sz w:val="24"/>
          <w:szCs w:val="20"/>
        </w:rPr>
        <w:t>正常</w:t>
      </w:r>
      <w:r>
        <w:rPr>
          <w:sz w:val="24"/>
          <w:szCs w:val="20"/>
        </w:rPr>
        <w:t>生产过程中</w:t>
      </w:r>
      <w:r>
        <w:rPr>
          <w:sz w:val="24"/>
          <w:szCs w:val="20"/>
        </w:rPr>
        <w:t>及井下作业期间</w:t>
      </w:r>
      <w:r>
        <w:rPr>
          <w:sz w:val="24"/>
          <w:szCs w:val="20"/>
        </w:rPr>
        <w:t>产生的污水中主要污染物为石油类及</w:t>
      </w:r>
      <w:r>
        <w:rPr>
          <w:sz w:val="24"/>
          <w:szCs w:val="20"/>
        </w:rPr>
        <w:t>COD</w:t>
      </w:r>
      <w:r>
        <w:rPr>
          <w:sz w:val="24"/>
          <w:szCs w:val="20"/>
        </w:rPr>
        <w:t>、</w:t>
      </w:r>
      <w:r>
        <w:rPr>
          <w:sz w:val="24"/>
          <w:szCs w:val="20"/>
        </w:rPr>
        <w:t>氨氮</w:t>
      </w:r>
      <w:r>
        <w:rPr>
          <w:sz w:val="24"/>
          <w:szCs w:val="20"/>
        </w:rPr>
        <w:t>等，不属于重金属和持久性有机物类，为</w:t>
      </w:r>
      <w:r>
        <w:rPr>
          <w:sz w:val="24"/>
          <w:szCs w:val="20"/>
        </w:rPr>
        <w:t>“</w:t>
      </w:r>
      <w:r>
        <w:rPr>
          <w:sz w:val="24"/>
          <w:szCs w:val="20"/>
        </w:rPr>
        <w:t>其他类型</w:t>
      </w:r>
      <w:r>
        <w:rPr>
          <w:sz w:val="24"/>
          <w:szCs w:val="20"/>
        </w:rPr>
        <w:t>”</w:t>
      </w:r>
      <w:r>
        <w:rPr>
          <w:rFonts w:hint="eastAsia"/>
          <w:sz w:val="24"/>
          <w:szCs w:val="20"/>
        </w:rPr>
        <w:t>，</w:t>
      </w:r>
      <w:r>
        <w:rPr>
          <w:sz w:val="24"/>
          <w:szCs w:val="20"/>
        </w:rPr>
        <w:t>故运营期将工程区域整体划分为一般防渗区</w:t>
      </w:r>
      <w:r>
        <w:rPr>
          <w:sz w:val="24"/>
          <w:szCs w:val="20"/>
        </w:rPr>
        <w:t>。</w:t>
      </w:r>
      <w:r>
        <w:rPr>
          <w:sz w:val="24"/>
          <w:szCs w:val="20"/>
        </w:rPr>
        <w:t>具体划分方案如下：</w:t>
      </w:r>
    </w:p>
    <w:p w:rsidR="00EE4502" w:rsidRDefault="00FD45A3">
      <w:pPr>
        <w:jc w:val="center"/>
        <w:rPr>
          <w:rFonts w:eastAsia="黑体"/>
          <w:bCs/>
          <w:spacing w:val="5"/>
          <w:sz w:val="22"/>
          <w:szCs w:val="21"/>
          <w:lang w:val="zh-CN"/>
        </w:rPr>
      </w:pPr>
      <w:r>
        <w:rPr>
          <w:rFonts w:eastAsia="黑体"/>
          <w:bCs/>
          <w:spacing w:val="5"/>
          <w:sz w:val="22"/>
          <w:szCs w:val="21"/>
          <w:lang w:val="zh-CN"/>
        </w:rPr>
        <w:t>表</w:t>
      </w:r>
      <w:r>
        <w:rPr>
          <w:rFonts w:eastAsia="黑体"/>
          <w:bCs/>
          <w:spacing w:val="5"/>
          <w:sz w:val="22"/>
          <w:szCs w:val="21"/>
          <w:lang w:val="zh-CN"/>
        </w:rPr>
        <w:t>6-2-</w:t>
      </w:r>
      <w:r>
        <w:rPr>
          <w:rFonts w:eastAsia="黑体" w:hint="eastAsia"/>
          <w:bCs/>
          <w:spacing w:val="5"/>
          <w:sz w:val="22"/>
          <w:szCs w:val="21"/>
        </w:rPr>
        <w:t>5</w:t>
      </w:r>
      <w:r>
        <w:rPr>
          <w:rFonts w:eastAsia="黑体"/>
          <w:bCs/>
          <w:spacing w:val="5"/>
          <w:sz w:val="22"/>
          <w:szCs w:val="21"/>
          <w:lang w:val="zh-CN"/>
        </w:rPr>
        <w:t xml:space="preserve">              </w:t>
      </w:r>
      <w:r>
        <w:rPr>
          <w:rFonts w:eastAsia="黑体"/>
          <w:bCs/>
          <w:spacing w:val="5"/>
          <w:sz w:val="22"/>
          <w:szCs w:val="21"/>
          <w:lang w:val="zh-CN"/>
        </w:rPr>
        <w:t>项目污染防渗区划分</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92"/>
        <w:gridCol w:w="2758"/>
        <w:gridCol w:w="4572"/>
      </w:tblGrid>
      <w:tr w:rsidR="00EE4502">
        <w:trPr>
          <w:jc w:val="center"/>
        </w:trPr>
        <w:tc>
          <w:tcPr>
            <w:tcW w:w="1192" w:type="dxa"/>
            <w:vAlign w:val="center"/>
          </w:tcPr>
          <w:p w:rsidR="00EE4502" w:rsidRDefault="00FD45A3">
            <w:pPr>
              <w:widowControl/>
              <w:adjustRightInd w:val="0"/>
              <w:snapToGrid w:val="0"/>
              <w:jc w:val="center"/>
              <w:rPr>
                <w:kern w:val="0"/>
                <w:szCs w:val="20"/>
              </w:rPr>
            </w:pPr>
            <w:r>
              <w:rPr>
                <w:kern w:val="0"/>
                <w:szCs w:val="20"/>
              </w:rPr>
              <w:t>类别</w:t>
            </w:r>
          </w:p>
        </w:tc>
        <w:tc>
          <w:tcPr>
            <w:tcW w:w="2758" w:type="dxa"/>
            <w:vAlign w:val="center"/>
          </w:tcPr>
          <w:p w:rsidR="00EE4502" w:rsidRDefault="00FD45A3">
            <w:pPr>
              <w:widowControl/>
              <w:adjustRightInd w:val="0"/>
              <w:snapToGrid w:val="0"/>
              <w:jc w:val="center"/>
              <w:rPr>
                <w:kern w:val="0"/>
                <w:szCs w:val="20"/>
              </w:rPr>
            </w:pPr>
            <w:r>
              <w:rPr>
                <w:kern w:val="0"/>
                <w:szCs w:val="20"/>
              </w:rPr>
              <w:t>项目涉及区域</w:t>
            </w:r>
          </w:p>
        </w:tc>
        <w:tc>
          <w:tcPr>
            <w:tcW w:w="4572" w:type="dxa"/>
            <w:vAlign w:val="center"/>
          </w:tcPr>
          <w:p w:rsidR="00EE4502" w:rsidRDefault="00FD45A3">
            <w:pPr>
              <w:widowControl/>
              <w:adjustRightInd w:val="0"/>
              <w:snapToGrid w:val="0"/>
              <w:jc w:val="center"/>
              <w:rPr>
                <w:kern w:val="0"/>
                <w:szCs w:val="20"/>
              </w:rPr>
            </w:pPr>
            <w:r>
              <w:rPr>
                <w:kern w:val="0"/>
                <w:szCs w:val="20"/>
              </w:rPr>
              <w:t>防渗要求</w:t>
            </w:r>
          </w:p>
        </w:tc>
      </w:tr>
      <w:tr w:rsidR="00EE4502">
        <w:trPr>
          <w:jc w:val="center"/>
        </w:trPr>
        <w:tc>
          <w:tcPr>
            <w:tcW w:w="1192" w:type="dxa"/>
            <w:vAlign w:val="center"/>
          </w:tcPr>
          <w:p w:rsidR="00EE4502" w:rsidRDefault="00FD45A3">
            <w:pPr>
              <w:widowControl/>
              <w:adjustRightInd w:val="0"/>
              <w:snapToGrid w:val="0"/>
              <w:jc w:val="center"/>
              <w:rPr>
                <w:kern w:val="0"/>
                <w:szCs w:val="20"/>
              </w:rPr>
            </w:pPr>
            <w:r>
              <w:rPr>
                <w:kern w:val="0"/>
                <w:szCs w:val="20"/>
              </w:rPr>
              <w:t>一般防渗区</w:t>
            </w:r>
          </w:p>
        </w:tc>
        <w:tc>
          <w:tcPr>
            <w:tcW w:w="2758" w:type="dxa"/>
            <w:vAlign w:val="center"/>
          </w:tcPr>
          <w:p w:rsidR="00EE4502" w:rsidRDefault="00FD45A3">
            <w:pPr>
              <w:widowControl/>
              <w:adjustRightInd w:val="0"/>
              <w:snapToGrid w:val="0"/>
              <w:jc w:val="center"/>
              <w:rPr>
                <w:kern w:val="0"/>
                <w:szCs w:val="20"/>
              </w:rPr>
            </w:pPr>
            <w:r>
              <w:rPr>
                <w:kern w:val="0"/>
                <w:szCs w:val="20"/>
              </w:rPr>
              <w:t>井口</w:t>
            </w:r>
            <w:r>
              <w:rPr>
                <w:rFonts w:hint="eastAsia"/>
                <w:kern w:val="0"/>
                <w:szCs w:val="20"/>
              </w:rPr>
              <w:t>区</w:t>
            </w:r>
            <w:r>
              <w:rPr>
                <w:kern w:val="0"/>
                <w:szCs w:val="20"/>
              </w:rPr>
              <w:t>、</w:t>
            </w:r>
            <w:r>
              <w:rPr>
                <w:rFonts w:hint="eastAsia"/>
                <w:kern w:val="0"/>
                <w:szCs w:val="20"/>
              </w:rPr>
              <w:t>站场</w:t>
            </w:r>
            <w:r>
              <w:rPr>
                <w:kern w:val="0"/>
                <w:szCs w:val="20"/>
              </w:rPr>
              <w:t>新增各设施底部</w:t>
            </w:r>
          </w:p>
        </w:tc>
        <w:tc>
          <w:tcPr>
            <w:tcW w:w="4572" w:type="dxa"/>
            <w:vAlign w:val="center"/>
          </w:tcPr>
          <w:p w:rsidR="00EE4502" w:rsidRDefault="00FD45A3">
            <w:pPr>
              <w:widowControl/>
              <w:adjustRightInd w:val="0"/>
              <w:snapToGrid w:val="0"/>
              <w:jc w:val="center"/>
              <w:rPr>
                <w:kern w:val="0"/>
                <w:szCs w:val="20"/>
              </w:rPr>
            </w:pPr>
            <w:r>
              <w:rPr>
                <w:kern w:val="0"/>
                <w:szCs w:val="20"/>
              </w:rPr>
              <w:t>等效防渗性能不应低于</w:t>
            </w:r>
            <w:r>
              <w:rPr>
                <w:kern w:val="0"/>
                <w:szCs w:val="20"/>
              </w:rPr>
              <w:t>1.5m</w:t>
            </w:r>
            <w:r>
              <w:rPr>
                <w:kern w:val="0"/>
                <w:szCs w:val="20"/>
              </w:rPr>
              <w:t>厚渗透系数为</w:t>
            </w:r>
            <w:r>
              <w:rPr>
                <w:kern w:val="0"/>
                <w:szCs w:val="20"/>
              </w:rPr>
              <w:t>1.0×10</w:t>
            </w:r>
            <w:r>
              <w:rPr>
                <w:kern w:val="0"/>
                <w:szCs w:val="20"/>
                <w:vertAlign w:val="superscript"/>
              </w:rPr>
              <w:t>-7</w:t>
            </w:r>
            <w:r>
              <w:rPr>
                <w:kern w:val="0"/>
                <w:szCs w:val="20"/>
              </w:rPr>
              <w:t>cm/s</w:t>
            </w:r>
            <w:r>
              <w:rPr>
                <w:kern w:val="0"/>
                <w:szCs w:val="20"/>
              </w:rPr>
              <w:t>的黏土层的防渗性能</w:t>
            </w:r>
          </w:p>
        </w:tc>
      </w:tr>
    </w:tbl>
    <w:p w:rsidR="00EE4502" w:rsidRDefault="00FD45A3">
      <w:pPr>
        <w:keepNext/>
        <w:keepLines/>
        <w:numPr>
          <w:ilvl w:val="3"/>
          <w:numId w:val="30"/>
        </w:numPr>
        <w:spacing w:line="360" w:lineRule="auto"/>
        <w:outlineLvl w:val="3"/>
        <w:rPr>
          <w:sz w:val="24"/>
        </w:rPr>
      </w:pPr>
      <w:r>
        <w:rPr>
          <w:rFonts w:hint="eastAsia"/>
          <w:sz w:val="24"/>
        </w:rPr>
        <w:t>管道刺漏防范措施</w:t>
      </w:r>
    </w:p>
    <w:p w:rsidR="00EE4502" w:rsidRDefault="00FD45A3">
      <w:pPr>
        <w:spacing w:line="360" w:lineRule="auto"/>
        <w:ind w:firstLineChars="200" w:firstLine="480"/>
        <w:rPr>
          <w:sz w:val="24"/>
          <w:szCs w:val="20"/>
        </w:rPr>
      </w:pPr>
      <w:r>
        <w:rPr>
          <w:sz w:val="24"/>
          <w:szCs w:val="20"/>
        </w:rPr>
        <w:t>（</w:t>
      </w:r>
      <w:r>
        <w:rPr>
          <w:sz w:val="24"/>
          <w:szCs w:val="20"/>
        </w:rPr>
        <w:t>1</w:t>
      </w:r>
      <w:r>
        <w:rPr>
          <w:sz w:val="24"/>
          <w:szCs w:val="20"/>
        </w:rPr>
        <w:t>）各新建井场设置现场检测仪表，并由</w:t>
      </w:r>
      <w:r>
        <w:rPr>
          <w:sz w:val="24"/>
          <w:szCs w:val="20"/>
        </w:rPr>
        <w:t>RTU</w:t>
      </w:r>
      <w:r>
        <w:rPr>
          <w:sz w:val="24"/>
          <w:szCs w:val="20"/>
        </w:rPr>
        <w:t>箱中的控制系统实现井场内的生产运行管理和控制，并与联合站</w:t>
      </w:r>
      <w:r>
        <w:rPr>
          <w:sz w:val="24"/>
          <w:szCs w:val="20"/>
        </w:rPr>
        <w:t>SCADA</w:t>
      </w:r>
      <w:r>
        <w:rPr>
          <w:sz w:val="24"/>
          <w:szCs w:val="20"/>
        </w:rPr>
        <w:t>管理系统通信，上传井场的重要生产运行数据，接收上位系统的控制指令，设置现场监控系统，随时通过监控系统观察井场内生产情况。</w:t>
      </w:r>
    </w:p>
    <w:p w:rsidR="00EE4502" w:rsidRDefault="00FD45A3">
      <w:pPr>
        <w:spacing w:line="360" w:lineRule="auto"/>
        <w:ind w:firstLineChars="200" w:firstLine="480"/>
        <w:rPr>
          <w:sz w:val="24"/>
          <w:szCs w:val="20"/>
        </w:rPr>
      </w:pPr>
      <w:r>
        <w:rPr>
          <w:sz w:val="24"/>
          <w:szCs w:val="20"/>
        </w:rPr>
        <w:t>（</w:t>
      </w:r>
      <w:r>
        <w:rPr>
          <w:sz w:val="24"/>
          <w:szCs w:val="20"/>
        </w:rPr>
        <w:t>2</w:t>
      </w:r>
      <w:r>
        <w:rPr>
          <w:sz w:val="24"/>
          <w:szCs w:val="20"/>
        </w:rPr>
        <w:t>）在管道上方设置标志，以防附近的各类施工活动对管道的破坏。减轻管道的内外腐蚀，定期检测管道的内外腐蚀情况，并配备适当的管道抢修、灭火及人员抢救设备。</w:t>
      </w:r>
    </w:p>
    <w:p w:rsidR="00EE4502" w:rsidRDefault="00FD45A3">
      <w:pPr>
        <w:spacing w:line="360" w:lineRule="auto"/>
        <w:ind w:firstLineChars="200" w:firstLine="480"/>
        <w:rPr>
          <w:sz w:val="24"/>
          <w:szCs w:val="20"/>
        </w:rPr>
      </w:pPr>
      <w:r>
        <w:rPr>
          <w:sz w:val="24"/>
          <w:szCs w:val="20"/>
        </w:rPr>
        <w:t>（</w:t>
      </w:r>
      <w:r>
        <w:rPr>
          <w:sz w:val="24"/>
          <w:szCs w:val="20"/>
        </w:rPr>
        <w:t>3</w:t>
      </w:r>
      <w:r>
        <w:rPr>
          <w:sz w:val="24"/>
          <w:szCs w:val="20"/>
        </w:rPr>
        <w:t>）定期对管线进行检查，对壁厚低于规定要求的管段应及时更换，消除爆管的隐患；按规定进行设备维修、保养，及时更换易损及老化部件</w:t>
      </w:r>
      <w:r>
        <w:rPr>
          <w:sz w:val="24"/>
          <w:szCs w:val="20"/>
        </w:rPr>
        <w:t>，防止油气泄漏事故的发生，定期对管线进行巡视，应加强管线和</w:t>
      </w:r>
      <w:r>
        <w:rPr>
          <w:rFonts w:hint="eastAsia"/>
          <w:sz w:val="24"/>
          <w:szCs w:val="20"/>
        </w:rPr>
        <w:t>警示标志</w:t>
      </w:r>
      <w:r>
        <w:rPr>
          <w:sz w:val="24"/>
          <w:szCs w:val="20"/>
        </w:rPr>
        <w:t>的管理工作，提高巡线的有效性，发现对管道安全有影响的行为，应及时制止、采取相应措施并向上级报告。利用管道的压力、流量监控系统，发现异常立即排查，</w:t>
      </w:r>
      <w:r>
        <w:rPr>
          <w:rFonts w:hint="eastAsia"/>
          <w:sz w:val="24"/>
          <w:szCs w:val="20"/>
        </w:rPr>
        <w:t>若</w:t>
      </w:r>
      <w:r>
        <w:rPr>
          <w:sz w:val="24"/>
          <w:szCs w:val="20"/>
        </w:rPr>
        <w:t>出现问题，立即派人现场核查，如有</w:t>
      </w:r>
      <w:r>
        <w:rPr>
          <w:rFonts w:hint="eastAsia"/>
          <w:sz w:val="24"/>
          <w:szCs w:val="20"/>
        </w:rPr>
        <w:t>突发事件立即</w:t>
      </w:r>
      <w:r>
        <w:rPr>
          <w:sz w:val="24"/>
          <w:szCs w:val="20"/>
        </w:rPr>
        <w:t>启动应急预案。</w:t>
      </w:r>
    </w:p>
    <w:p w:rsidR="00EE4502" w:rsidRDefault="00FD45A3">
      <w:pPr>
        <w:spacing w:line="360" w:lineRule="auto"/>
        <w:ind w:firstLineChars="200" w:firstLine="480"/>
        <w:rPr>
          <w:sz w:val="24"/>
          <w:szCs w:val="20"/>
        </w:rPr>
      </w:pPr>
      <w:r>
        <w:rPr>
          <w:sz w:val="24"/>
          <w:szCs w:val="20"/>
        </w:rPr>
        <w:t>（</w:t>
      </w:r>
      <w:r>
        <w:rPr>
          <w:sz w:val="24"/>
          <w:szCs w:val="20"/>
        </w:rPr>
        <w:t>4</w:t>
      </w:r>
      <w:r>
        <w:rPr>
          <w:sz w:val="24"/>
          <w:szCs w:val="20"/>
        </w:rPr>
        <w:t>）一旦管道发生泄漏事故，井场内设置有流量控制仪及压力变送器，当检测到压力降速率超过设定值时，由</w:t>
      </w:r>
      <w:r>
        <w:rPr>
          <w:sz w:val="24"/>
          <w:szCs w:val="20"/>
        </w:rPr>
        <w:t>SCADA</w:t>
      </w:r>
      <w:r>
        <w:rPr>
          <w:sz w:val="24"/>
          <w:szCs w:val="20"/>
        </w:rPr>
        <w:t>系统发出指令，远程自动关闭阀门。</w:t>
      </w:r>
    </w:p>
    <w:p w:rsidR="00EE4502" w:rsidRDefault="00FD45A3">
      <w:pPr>
        <w:keepNext/>
        <w:keepLines/>
        <w:numPr>
          <w:ilvl w:val="3"/>
          <w:numId w:val="30"/>
        </w:numPr>
        <w:spacing w:line="360" w:lineRule="auto"/>
        <w:outlineLvl w:val="3"/>
        <w:rPr>
          <w:sz w:val="24"/>
        </w:rPr>
      </w:pPr>
      <w:r>
        <w:rPr>
          <w:rFonts w:hint="eastAsia"/>
          <w:sz w:val="24"/>
        </w:rPr>
        <w:t>地下水环境监测与管理</w:t>
      </w:r>
    </w:p>
    <w:p w:rsidR="00EE4502" w:rsidRDefault="00FD45A3">
      <w:pPr>
        <w:spacing w:line="360" w:lineRule="auto"/>
        <w:ind w:firstLineChars="200" w:firstLine="480"/>
        <w:rPr>
          <w:sz w:val="24"/>
          <w:szCs w:val="20"/>
        </w:rPr>
      </w:pPr>
      <w:r>
        <w:rPr>
          <w:sz w:val="24"/>
          <w:szCs w:val="20"/>
        </w:rPr>
        <w:t>根据本工程特点建立和完善区域地下水环境监测制度和环境管理体系，制定完善的监测</w:t>
      </w:r>
      <w:r>
        <w:rPr>
          <w:sz w:val="24"/>
          <w:szCs w:val="20"/>
        </w:rPr>
        <w:t>计划，环境监测工作可委托当地有资质的环境监测机构承担。根据《环</w:t>
      </w:r>
      <w:r>
        <w:rPr>
          <w:sz w:val="24"/>
          <w:szCs w:val="20"/>
        </w:rPr>
        <w:lastRenderedPageBreak/>
        <w:t>境影响评价技术导则</w:t>
      </w:r>
      <w:r>
        <w:rPr>
          <w:sz w:val="24"/>
          <w:szCs w:val="20"/>
        </w:rPr>
        <w:t xml:space="preserve"> </w:t>
      </w:r>
      <w:r>
        <w:rPr>
          <w:sz w:val="24"/>
          <w:szCs w:val="20"/>
        </w:rPr>
        <w:t>地下水环境》（</w:t>
      </w:r>
      <w:r>
        <w:rPr>
          <w:sz w:val="24"/>
          <w:szCs w:val="20"/>
        </w:rPr>
        <w:t>HJ610-2016</w:t>
      </w:r>
      <w:r>
        <w:rPr>
          <w:sz w:val="24"/>
          <w:szCs w:val="20"/>
        </w:rPr>
        <w:t>）、《环境影响评价技术导则</w:t>
      </w:r>
      <w:r>
        <w:rPr>
          <w:sz w:val="24"/>
          <w:szCs w:val="20"/>
        </w:rPr>
        <w:t xml:space="preserve"> </w:t>
      </w:r>
      <w:r>
        <w:rPr>
          <w:sz w:val="24"/>
          <w:szCs w:val="20"/>
        </w:rPr>
        <w:t>陆地石油天然气开发建设项目》</w:t>
      </w:r>
      <w:r>
        <w:rPr>
          <w:sz w:val="24"/>
          <w:szCs w:val="20"/>
        </w:rPr>
        <w:t>(HJ349-2023)</w:t>
      </w:r>
      <w:r>
        <w:rPr>
          <w:sz w:val="24"/>
          <w:szCs w:val="20"/>
        </w:rPr>
        <w:t>，结合工程区所在区域的水文地质条件，二级评价的建设项目一般需在建设项目场地、上、下游各设置</w:t>
      </w:r>
      <w:r>
        <w:rPr>
          <w:sz w:val="24"/>
          <w:szCs w:val="20"/>
        </w:rPr>
        <w:t>1</w:t>
      </w:r>
      <w:r>
        <w:rPr>
          <w:sz w:val="24"/>
          <w:szCs w:val="20"/>
        </w:rPr>
        <w:t>个跟踪监测点，监测井位的设置可依托已有水井</w:t>
      </w:r>
      <w:r>
        <w:rPr>
          <w:sz w:val="24"/>
          <w:szCs w:val="20"/>
        </w:rPr>
        <w:t>。</w:t>
      </w:r>
    </w:p>
    <w:p w:rsidR="00EE4502" w:rsidRDefault="00FD45A3">
      <w:pPr>
        <w:spacing w:line="360" w:lineRule="auto"/>
        <w:ind w:firstLineChars="200" w:firstLine="480"/>
        <w:rPr>
          <w:sz w:val="24"/>
          <w:szCs w:val="20"/>
        </w:rPr>
      </w:pPr>
      <w:r>
        <w:rPr>
          <w:sz w:val="24"/>
          <w:szCs w:val="20"/>
        </w:rPr>
        <w:t>根据区域水文地质条件，</w:t>
      </w:r>
      <w:r>
        <w:rPr>
          <w:sz w:val="24"/>
          <w:szCs w:val="20"/>
        </w:rPr>
        <w:t>结合</w:t>
      </w:r>
      <w:r>
        <w:rPr>
          <w:sz w:val="24"/>
          <w:szCs w:val="20"/>
        </w:rPr>
        <w:t>《环境影响评价技术导则</w:t>
      </w:r>
      <w:r>
        <w:rPr>
          <w:sz w:val="24"/>
          <w:szCs w:val="20"/>
        </w:rPr>
        <w:t xml:space="preserve"> </w:t>
      </w:r>
      <w:r>
        <w:rPr>
          <w:sz w:val="24"/>
          <w:szCs w:val="20"/>
        </w:rPr>
        <w:t>地下水环境》（</w:t>
      </w:r>
      <w:r>
        <w:rPr>
          <w:sz w:val="24"/>
          <w:szCs w:val="20"/>
        </w:rPr>
        <w:t>HJ610-2016</w:t>
      </w:r>
      <w:r>
        <w:rPr>
          <w:sz w:val="24"/>
          <w:szCs w:val="20"/>
        </w:rPr>
        <w:t>）</w:t>
      </w:r>
      <w:r>
        <w:rPr>
          <w:sz w:val="24"/>
          <w:szCs w:val="20"/>
        </w:rPr>
        <w:t>《排污单位自行监测技术指南</w:t>
      </w:r>
      <w:r>
        <w:rPr>
          <w:sz w:val="24"/>
          <w:szCs w:val="20"/>
        </w:rPr>
        <w:t xml:space="preserve"> </w:t>
      </w:r>
      <w:r>
        <w:rPr>
          <w:sz w:val="24"/>
          <w:szCs w:val="20"/>
        </w:rPr>
        <w:t>陆上石油天然气开采工业》（</w:t>
      </w:r>
      <w:r>
        <w:rPr>
          <w:sz w:val="24"/>
          <w:szCs w:val="20"/>
        </w:rPr>
        <w:t>HJ 1248—2022</w:t>
      </w:r>
      <w:r>
        <w:rPr>
          <w:sz w:val="24"/>
          <w:szCs w:val="20"/>
        </w:rPr>
        <w:t>），本项目</w:t>
      </w:r>
      <w:r>
        <w:rPr>
          <w:sz w:val="24"/>
          <w:szCs w:val="20"/>
        </w:rPr>
        <w:t>监测</w:t>
      </w:r>
      <w:r>
        <w:rPr>
          <w:sz w:val="24"/>
          <w:szCs w:val="20"/>
        </w:rPr>
        <w:t>计划、孔深、监测井结构、监测层位、监</w:t>
      </w:r>
      <w:r>
        <w:rPr>
          <w:snapToGrid w:val="0"/>
          <w:sz w:val="24"/>
          <w:szCs w:val="20"/>
        </w:rPr>
        <w:t>测项目、监测频率等详见表</w:t>
      </w:r>
      <w:r>
        <w:rPr>
          <w:snapToGrid w:val="0"/>
          <w:sz w:val="24"/>
          <w:szCs w:val="20"/>
        </w:rPr>
        <w:t>6-2-</w:t>
      </w:r>
      <w:r>
        <w:rPr>
          <w:rFonts w:hint="eastAsia"/>
          <w:snapToGrid w:val="0"/>
          <w:sz w:val="24"/>
          <w:szCs w:val="20"/>
        </w:rPr>
        <w:t>6</w:t>
      </w:r>
      <w:r>
        <w:rPr>
          <w:sz w:val="24"/>
          <w:szCs w:val="20"/>
        </w:rPr>
        <w:t>。</w:t>
      </w:r>
    </w:p>
    <w:p w:rsidR="00EE4502" w:rsidRDefault="00FD45A3">
      <w:pPr>
        <w:jc w:val="center"/>
        <w:rPr>
          <w:rFonts w:eastAsia="黑体"/>
          <w:bCs/>
          <w:spacing w:val="5"/>
          <w:sz w:val="22"/>
          <w:szCs w:val="21"/>
          <w:lang w:val="zh-CN"/>
        </w:rPr>
      </w:pPr>
      <w:r>
        <w:rPr>
          <w:rFonts w:eastAsia="黑体"/>
          <w:bCs/>
          <w:spacing w:val="5"/>
          <w:sz w:val="22"/>
          <w:szCs w:val="21"/>
          <w:lang w:val="zh-CN"/>
        </w:rPr>
        <w:t>表</w:t>
      </w:r>
      <w:r>
        <w:rPr>
          <w:rFonts w:eastAsia="黑体" w:hint="eastAsia"/>
          <w:bCs/>
          <w:spacing w:val="5"/>
          <w:sz w:val="22"/>
          <w:szCs w:val="21"/>
          <w:lang w:val="zh-CN"/>
        </w:rPr>
        <w:t>6-2-</w:t>
      </w:r>
      <w:r>
        <w:rPr>
          <w:rFonts w:eastAsia="黑体" w:hint="eastAsia"/>
          <w:bCs/>
          <w:spacing w:val="5"/>
          <w:sz w:val="22"/>
          <w:szCs w:val="21"/>
        </w:rPr>
        <w:t>6</w:t>
      </w:r>
      <w:r>
        <w:rPr>
          <w:rFonts w:eastAsia="黑体"/>
          <w:bCs/>
          <w:spacing w:val="5"/>
          <w:sz w:val="22"/>
          <w:szCs w:val="21"/>
          <w:lang w:val="zh-CN"/>
        </w:rPr>
        <w:t xml:space="preserve">  </w:t>
      </w:r>
      <w:r>
        <w:rPr>
          <w:rFonts w:eastAsia="黑体"/>
          <w:bCs/>
          <w:spacing w:val="5"/>
          <w:sz w:val="22"/>
          <w:szCs w:val="21"/>
          <w:lang w:val="zh-CN"/>
        </w:rPr>
        <w:t>地下水监测点布控一览表</w:t>
      </w:r>
    </w:p>
    <w:tbl>
      <w:tblPr>
        <w:tblW w:w="8573" w:type="dxa"/>
        <w:tblInd w:w="-14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09"/>
        <w:gridCol w:w="1282"/>
        <w:gridCol w:w="981"/>
        <w:gridCol w:w="1181"/>
        <w:gridCol w:w="1685"/>
        <w:gridCol w:w="2735"/>
      </w:tblGrid>
      <w:tr w:rsidR="00EE4502">
        <w:trPr>
          <w:trHeight w:val="20"/>
        </w:trPr>
        <w:tc>
          <w:tcPr>
            <w:tcW w:w="709" w:type="dxa"/>
            <w:vAlign w:val="center"/>
          </w:tcPr>
          <w:p w:rsidR="00EE4502" w:rsidRDefault="00FD45A3">
            <w:pPr>
              <w:widowControl/>
              <w:adjustRightInd w:val="0"/>
              <w:snapToGrid w:val="0"/>
              <w:jc w:val="center"/>
              <w:rPr>
                <w:kern w:val="0"/>
                <w:szCs w:val="20"/>
              </w:rPr>
            </w:pPr>
            <w:r>
              <w:rPr>
                <w:kern w:val="0"/>
                <w:szCs w:val="20"/>
              </w:rPr>
              <w:t>孔号</w:t>
            </w:r>
          </w:p>
        </w:tc>
        <w:tc>
          <w:tcPr>
            <w:tcW w:w="1282" w:type="dxa"/>
            <w:vAlign w:val="center"/>
          </w:tcPr>
          <w:p w:rsidR="00EE4502" w:rsidRDefault="00FD45A3">
            <w:pPr>
              <w:widowControl/>
              <w:adjustRightInd w:val="0"/>
              <w:snapToGrid w:val="0"/>
              <w:jc w:val="center"/>
              <w:rPr>
                <w:kern w:val="0"/>
                <w:szCs w:val="20"/>
              </w:rPr>
            </w:pPr>
            <w:r>
              <w:rPr>
                <w:kern w:val="0"/>
                <w:szCs w:val="20"/>
              </w:rPr>
              <w:t>区位</w:t>
            </w:r>
          </w:p>
        </w:tc>
        <w:tc>
          <w:tcPr>
            <w:tcW w:w="981" w:type="dxa"/>
            <w:vAlign w:val="center"/>
          </w:tcPr>
          <w:p w:rsidR="00EE4502" w:rsidRDefault="00FD45A3">
            <w:pPr>
              <w:widowControl/>
              <w:adjustRightInd w:val="0"/>
              <w:snapToGrid w:val="0"/>
              <w:jc w:val="center"/>
              <w:rPr>
                <w:kern w:val="0"/>
                <w:szCs w:val="20"/>
              </w:rPr>
            </w:pPr>
            <w:r>
              <w:rPr>
                <w:kern w:val="0"/>
                <w:szCs w:val="20"/>
              </w:rPr>
              <w:t>监测层位</w:t>
            </w:r>
          </w:p>
        </w:tc>
        <w:tc>
          <w:tcPr>
            <w:tcW w:w="1181" w:type="dxa"/>
            <w:vAlign w:val="center"/>
          </w:tcPr>
          <w:p w:rsidR="00EE4502" w:rsidRDefault="00FD45A3">
            <w:pPr>
              <w:widowControl/>
              <w:adjustRightInd w:val="0"/>
              <w:snapToGrid w:val="0"/>
              <w:jc w:val="center"/>
              <w:rPr>
                <w:kern w:val="0"/>
                <w:szCs w:val="20"/>
              </w:rPr>
            </w:pPr>
            <w:r>
              <w:rPr>
                <w:kern w:val="0"/>
                <w:szCs w:val="20"/>
              </w:rPr>
              <w:t>功能</w:t>
            </w:r>
          </w:p>
        </w:tc>
        <w:tc>
          <w:tcPr>
            <w:tcW w:w="1685" w:type="dxa"/>
            <w:vAlign w:val="center"/>
          </w:tcPr>
          <w:p w:rsidR="00EE4502" w:rsidRDefault="00FD45A3">
            <w:pPr>
              <w:widowControl/>
              <w:adjustRightInd w:val="0"/>
              <w:snapToGrid w:val="0"/>
              <w:jc w:val="center"/>
              <w:rPr>
                <w:kern w:val="0"/>
                <w:szCs w:val="20"/>
              </w:rPr>
            </w:pPr>
            <w:r>
              <w:rPr>
                <w:kern w:val="0"/>
                <w:szCs w:val="20"/>
              </w:rPr>
              <w:t>监测频率</w:t>
            </w:r>
          </w:p>
        </w:tc>
        <w:tc>
          <w:tcPr>
            <w:tcW w:w="2735" w:type="dxa"/>
            <w:vAlign w:val="center"/>
          </w:tcPr>
          <w:p w:rsidR="00EE4502" w:rsidRDefault="00FD45A3">
            <w:pPr>
              <w:widowControl/>
              <w:adjustRightInd w:val="0"/>
              <w:snapToGrid w:val="0"/>
              <w:jc w:val="center"/>
              <w:rPr>
                <w:kern w:val="0"/>
                <w:szCs w:val="20"/>
              </w:rPr>
            </w:pPr>
            <w:r>
              <w:rPr>
                <w:kern w:val="0"/>
                <w:szCs w:val="20"/>
              </w:rPr>
              <w:t>主要监测项目</w:t>
            </w:r>
          </w:p>
        </w:tc>
      </w:tr>
      <w:tr w:rsidR="00EE4502">
        <w:trPr>
          <w:trHeight w:val="20"/>
        </w:trPr>
        <w:tc>
          <w:tcPr>
            <w:tcW w:w="709" w:type="dxa"/>
            <w:vAlign w:val="center"/>
          </w:tcPr>
          <w:p w:rsidR="00EE4502" w:rsidRDefault="00FD45A3">
            <w:pPr>
              <w:widowControl/>
              <w:adjustRightInd w:val="0"/>
              <w:snapToGrid w:val="0"/>
              <w:jc w:val="center"/>
              <w:rPr>
                <w:kern w:val="0"/>
                <w:szCs w:val="20"/>
              </w:rPr>
            </w:pPr>
            <w:r>
              <w:rPr>
                <w:kern w:val="0"/>
                <w:szCs w:val="20"/>
              </w:rPr>
              <w:t>G1</w:t>
            </w:r>
          </w:p>
        </w:tc>
        <w:tc>
          <w:tcPr>
            <w:tcW w:w="1282" w:type="dxa"/>
            <w:vAlign w:val="center"/>
          </w:tcPr>
          <w:p w:rsidR="00EE4502" w:rsidRDefault="00FD45A3">
            <w:pPr>
              <w:widowControl/>
              <w:adjustRightInd w:val="0"/>
              <w:snapToGrid w:val="0"/>
              <w:jc w:val="center"/>
              <w:rPr>
                <w:kern w:val="0"/>
                <w:szCs w:val="20"/>
              </w:rPr>
            </w:pPr>
            <w:r>
              <w:rPr>
                <w:kern w:val="0"/>
                <w:szCs w:val="20"/>
              </w:rPr>
              <w:t>项目区周边</w:t>
            </w:r>
          </w:p>
        </w:tc>
        <w:tc>
          <w:tcPr>
            <w:tcW w:w="981" w:type="dxa"/>
            <w:vMerge w:val="restart"/>
            <w:vAlign w:val="center"/>
          </w:tcPr>
          <w:p w:rsidR="00EE4502" w:rsidRDefault="00FD45A3">
            <w:pPr>
              <w:widowControl/>
              <w:adjustRightInd w:val="0"/>
              <w:snapToGrid w:val="0"/>
              <w:jc w:val="center"/>
              <w:rPr>
                <w:kern w:val="0"/>
                <w:szCs w:val="20"/>
              </w:rPr>
            </w:pPr>
            <w:r>
              <w:rPr>
                <w:kern w:val="0"/>
                <w:szCs w:val="20"/>
              </w:rPr>
              <w:t>孔隙潜水</w:t>
            </w:r>
            <w:r>
              <w:rPr>
                <w:kern w:val="0"/>
                <w:szCs w:val="20"/>
              </w:rPr>
              <w:t>/</w:t>
            </w:r>
            <w:r>
              <w:rPr>
                <w:kern w:val="0"/>
                <w:szCs w:val="20"/>
              </w:rPr>
              <w:t>单管单层</w:t>
            </w:r>
          </w:p>
        </w:tc>
        <w:tc>
          <w:tcPr>
            <w:tcW w:w="1181" w:type="dxa"/>
            <w:vMerge w:val="restart"/>
            <w:vAlign w:val="center"/>
          </w:tcPr>
          <w:p w:rsidR="00EE4502" w:rsidRDefault="00FD45A3">
            <w:pPr>
              <w:widowControl/>
              <w:adjustRightInd w:val="0"/>
              <w:snapToGrid w:val="0"/>
              <w:jc w:val="center"/>
              <w:rPr>
                <w:kern w:val="0"/>
                <w:szCs w:val="20"/>
              </w:rPr>
            </w:pPr>
            <w:r>
              <w:rPr>
                <w:kern w:val="0"/>
                <w:szCs w:val="20"/>
              </w:rPr>
              <w:t>地下水环境影响跟踪监测井</w:t>
            </w:r>
          </w:p>
        </w:tc>
        <w:tc>
          <w:tcPr>
            <w:tcW w:w="1685" w:type="dxa"/>
            <w:vMerge w:val="restart"/>
            <w:vAlign w:val="center"/>
          </w:tcPr>
          <w:p w:rsidR="00EE4502" w:rsidRDefault="00FD45A3">
            <w:pPr>
              <w:widowControl/>
              <w:adjustRightInd w:val="0"/>
              <w:snapToGrid w:val="0"/>
              <w:jc w:val="center"/>
              <w:rPr>
                <w:kern w:val="0"/>
                <w:szCs w:val="20"/>
              </w:rPr>
            </w:pPr>
            <w:r>
              <w:rPr>
                <w:kern w:val="0"/>
                <w:szCs w:val="20"/>
              </w:rPr>
              <w:t>每年采样</w:t>
            </w:r>
            <w:r>
              <w:rPr>
                <w:kern w:val="0"/>
                <w:szCs w:val="20"/>
              </w:rPr>
              <w:t>2</w:t>
            </w:r>
            <w:r>
              <w:rPr>
                <w:kern w:val="0"/>
                <w:szCs w:val="20"/>
              </w:rPr>
              <w:t>次。发生事故时加大取样频率。</w:t>
            </w:r>
          </w:p>
        </w:tc>
        <w:tc>
          <w:tcPr>
            <w:tcW w:w="2735" w:type="dxa"/>
            <w:vMerge w:val="restart"/>
            <w:vAlign w:val="center"/>
          </w:tcPr>
          <w:p w:rsidR="00EE4502" w:rsidRDefault="00FD45A3">
            <w:pPr>
              <w:widowControl/>
              <w:adjustRightInd w:val="0"/>
              <w:snapToGrid w:val="0"/>
              <w:jc w:val="center"/>
              <w:rPr>
                <w:snapToGrid w:val="0"/>
                <w:spacing w:val="10"/>
                <w:kern w:val="0"/>
                <w:szCs w:val="20"/>
              </w:rPr>
            </w:pPr>
            <w:r>
              <w:rPr>
                <w:kern w:val="0"/>
                <w:szCs w:val="20"/>
              </w:rPr>
              <w:t>水位埋深、</w:t>
            </w:r>
            <w:r>
              <w:rPr>
                <w:kern w:val="0"/>
                <w:szCs w:val="20"/>
              </w:rPr>
              <w:t xml:space="preserve">pH </w:t>
            </w:r>
            <w:r>
              <w:rPr>
                <w:kern w:val="0"/>
                <w:szCs w:val="20"/>
              </w:rPr>
              <w:t>值、挥发酚、耗氧量、氨氮、硫化物、氯化物、石油类、总硬度、溶解性总固体、</w:t>
            </w:r>
            <w:r>
              <w:rPr>
                <w:spacing w:val="-10"/>
                <w:kern w:val="0"/>
                <w:szCs w:val="21"/>
              </w:rPr>
              <w:t>石油烃（</w:t>
            </w:r>
            <w:r>
              <w:rPr>
                <w:spacing w:val="-10"/>
                <w:kern w:val="0"/>
                <w:szCs w:val="21"/>
              </w:rPr>
              <w:t>C</w:t>
            </w:r>
            <w:r>
              <w:rPr>
                <w:spacing w:val="-10"/>
                <w:kern w:val="0"/>
                <w:szCs w:val="21"/>
                <w:vertAlign w:val="subscript"/>
              </w:rPr>
              <w:t>6</w:t>
            </w:r>
            <w:r>
              <w:rPr>
                <w:spacing w:val="-10"/>
                <w:kern w:val="0"/>
                <w:szCs w:val="21"/>
              </w:rPr>
              <w:t>-C</w:t>
            </w:r>
            <w:r>
              <w:rPr>
                <w:spacing w:val="-10"/>
                <w:kern w:val="0"/>
                <w:szCs w:val="21"/>
                <w:vertAlign w:val="subscript"/>
              </w:rPr>
              <w:t>9</w:t>
            </w:r>
            <w:r>
              <w:rPr>
                <w:spacing w:val="-10"/>
                <w:kern w:val="0"/>
                <w:szCs w:val="21"/>
              </w:rPr>
              <w:t>）</w:t>
            </w:r>
            <w:r>
              <w:rPr>
                <w:spacing w:val="-10"/>
                <w:kern w:val="0"/>
                <w:szCs w:val="21"/>
              </w:rPr>
              <w:t>、石油烃（</w:t>
            </w:r>
            <w:r>
              <w:rPr>
                <w:spacing w:val="-10"/>
                <w:kern w:val="0"/>
                <w:szCs w:val="21"/>
              </w:rPr>
              <w:t>C</w:t>
            </w:r>
            <w:r>
              <w:rPr>
                <w:spacing w:val="-10"/>
                <w:kern w:val="0"/>
                <w:szCs w:val="21"/>
                <w:vertAlign w:val="subscript"/>
              </w:rPr>
              <w:t>10</w:t>
            </w:r>
            <w:r>
              <w:rPr>
                <w:spacing w:val="-10"/>
                <w:kern w:val="0"/>
                <w:szCs w:val="21"/>
              </w:rPr>
              <w:t>-C</w:t>
            </w:r>
            <w:r>
              <w:rPr>
                <w:spacing w:val="-10"/>
                <w:kern w:val="0"/>
                <w:szCs w:val="21"/>
                <w:vertAlign w:val="subscript"/>
              </w:rPr>
              <w:t>40</w:t>
            </w:r>
            <w:r>
              <w:rPr>
                <w:spacing w:val="-10"/>
                <w:kern w:val="0"/>
                <w:szCs w:val="21"/>
              </w:rPr>
              <w:t>）</w:t>
            </w:r>
            <w:r>
              <w:rPr>
                <w:spacing w:val="-10"/>
                <w:kern w:val="0"/>
                <w:szCs w:val="21"/>
              </w:rPr>
              <w:t>、砷、六价铬</w:t>
            </w:r>
            <w:r>
              <w:rPr>
                <w:kern w:val="0"/>
                <w:szCs w:val="20"/>
              </w:rPr>
              <w:t>等。</w:t>
            </w:r>
          </w:p>
        </w:tc>
      </w:tr>
      <w:tr w:rsidR="00EE4502">
        <w:trPr>
          <w:trHeight w:val="20"/>
        </w:trPr>
        <w:tc>
          <w:tcPr>
            <w:tcW w:w="709" w:type="dxa"/>
            <w:vAlign w:val="center"/>
          </w:tcPr>
          <w:p w:rsidR="00EE4502" w:rsidRDefault="00FD45A3">
            <w:pPr>
              <w:widowControl/>
              <w:adjustRightInd w:val="0"/>
              <w:snapToGrid w:val="0"/>
              <w:jc w:val="center"/>
              <w:rPr>
                <w:kern w:val="0"/>
                <w:szCs w:val="20"/>
              </w:rPr>
            </w:pPr>
            <w:r>
              <w:rPr>
                <w:kern w:val="0"/>
                <w:szCs w:val="20"/>
              </w:rPr>
              <w:t>G2</w:t>
            </w:r>
          </w:p>
        </w:tc>
        <w:tc>
          <w:tcPr>
            <w:tcW w:w="1282" w:type="dxa"/>
            <w:vAlign w:val="center"/>
          </w:tcPr>
          <w:p w:rsidR="00EE4502" w:rsidRDefault="00FD45A3">
            <w:pPr>
              <w:widowControl/>
              <w:adjustRightInd w:val="0"/>
              <w:snapToGrid w:val="0"/>
              <w:jc w:val="center"/>
              <w:rPr>
                <w:kern w:val="0"/>
                <w:szCs w:val="20"/>
              </w:rPr>
            </w:pPr>
            <w:r>
              <w:rPr>
                <w:kern w:val="0"/>
                <w:szCs w:val="20"/>
              </w:rPr>
              <w:t>地下水上游</w:t>
            </w:r>
          </w:p>
        </w:tc>
        <w:tc>
          <w:tcPr>
            <w:tcW w:w="981" w:type="dxa"/>
            <w:vMerge/>
            <w:vAlign w:val="center"/>
          </w:tcPr>
          <w:p w:rsidR="00EE4502" w:rsidRDefault="00EE4502">
            <w:pPr>
              <w:widowControl/>
              <w:adjustRightInd w:val="0"/>
              <w:snapToGrid w:val="0"/>
              <w:jc w:val="center"/>
              <w:rPr>
                <w:kern w:val="0"/>
                <w:szCs w:val="20"/>
              </w:rPr>
            </w:pPr>
          </w:p>
        </w:tc>
        <w:tc>
          <w:tcPr>
            <w:tcW w:w="1181" w:type="dxa"/>
            <w:vMerge/>
            <w:vAlign w:val="center"/>
          </w:tcPr>
          <w:p w:rsidR="00EE4502" w:rsidRDefault="00EE4502">
            <w:pPr>
              <w:widowControl/>
              <w:adjustRightInd w:val="0"/>
              <w:snapToGrid w:val="0"/>
              <w:jc w:val="center"/>
              <w:rPr>
                <w:kern w:val="0"/>
                <w:szCs w:val="20"/>
              </w:rPr>
            </w:pPr>
          </w:p>
        </w:tc>
        <w:tc>
          <w:tcPr>
            <w:tcW w:w="1685" w:type="dxa"/>
            <w:vMerge/>
            <w:vAlign w:val="center"/>
          </w:tcPr>
          <w:p w:rsidR="00EE4502" w:rsidRDefault="00EE4502">
            <w:pPr>
              <w:widowControl/>
              <w:adjustRightInd w:val="0"/>
              <w:snapToGrid w:val="0"/>
              <w:jc w:val="center"/>
              <w:rPr>
                <w:kern w:val="0"/>
                <w:szCs w:val="20"/>
              </w:rPr>
            </w:pPr>
          </w:p>
        </w:tc>
        <w:tc>
          <w:tcPr>
            <w:tcW w:w="2735" w:type="dxa"/>
            <w:vMerge/>
            <w:vAlign w:val="center"/>
          </w:tcPr>
          <w:p w:rsidR="00EE4502" w:rsidRDefault="00EE4502">
            <w:pPr>
              <w:widowControl/>
              <w:adjustRightInd w:val="0"/>
              <w:snapToGrid w:val="0"/>
              <w:jc w:val="center"/>
              <w:rPr>
                <w:kern w:val="0"/>
                <w:szCs w:val="20"/>
              </w:rPr>
            </w:pPr>
          </w:p>
        </w:tc>
      </w:tr>
      <w:tr w:rsidR="00EE4502">
        <w:trPr>
          <w:trHeight w:val="20"/>
        </w:trPr>
        <w:tc>
          <w:tcPr>
            <w:tcW w:w="709" w:type="dxa"/>
            <w:vAlign w:val="center"/>
          </w:tcPr>
          <w:p w:rsidR="00EE4502" w:rsidRDefault="00FD45A3">
            <w:pPr>
              <w:widowControl/>
              <w:adjustRightInd w:val="0"/>
              <w:snapToGrid w:val="0"/>
              <w:jc w:val="center"/>
              <w:rPr>
                <w:kern w:val="0"/>
                <w:szCs w:val="20"/>
              </w:rPr>
            </w:pPr>
            <w:r>
              <w:rPr>
                <w:kern w:val="0"/>
                <w:szCs w:val="20"/>
              </w:rPr>
              <w:t>G3</w:t>
            </w:r>
          </w:p>
        </w:tc>
        <w:tc>
          <w:tcPr>
            <w:tcW w:w="1282" w:type="dxa"/>
            <w:vAlign w:val="center"/>
          </w:tcPr>
          <w:p w:rsidR="00EE4502" w:rsidRDefault="00FD45A3">
            <w:pPr>
              <w:widowControl/>
              <w:adjustRightInd w:val="0"/>
              <w:snapToGrid w:val="0"/>
              <w:jc w:val="center"/>
              <w:rPr>
                <w:kern w:val="0"/>
                <w:szCs w:val="20"/>
              </w:rPr>
            </w:pPr>
            <w:r>
              <w:rPr>
                <w:kern w:val="0"/>
                <w:szCs w:val="20"/>
              </w:rPr>
              <w:t>地下水下游</w:t>
            </w:r>
          </w:p>
        </w:tc>
        <w:tc>
          <w:tcPr>
            <w:tcW w:w="981" w:type="dxa"/>
            <w:vMerge/>
            <w:vAlign w:val="center"/>
          </w:tcPr>
          <w:p w:rsidR="00EE4502" w:rsidRDefault="00EE4502">
            <w:pPr>
              <w:widowControl/>
              <w:adjustRightInd w:val="0"/>
              <w:snapToGrid w:val="0"/>
              <w:jc w:val="center"/>
              <w:rPr>
                <w:kern w:val="0"/>
                <w:szCs w:val="20"/>
              </w:rPr>
            </w:pPr>
          </w:p>
        </w:tc>
        <w:tc>
          <w:tcPr>
            <w:tcW w:w="1181" w:type="dxa"/>
            <w:vMerge/>
            <w:vAlign w:val="center"/>
          </w:tcPr>
          <w:p w:rsidR="00EE4502" w:rsidRDefault="00EE4502">
            <w:pPr>
              <w:widowControl/>
              <w:adjustRightInd w:val="0"/>
              <w:snapToGrid w:val="0"/>
              <w:jc w:val="center"/>
              <w:rPr>
                <w:kern w:val="0"/>
                <w:szCs w:val="20"/>
              </w:rPr>
            </w:pPr>
          </w:p>
        </w:tc>
        <w:tc>
          <w:tcPr>
            <w:tcW w:w="1685" w:type="dxa"/>
            <w:vMerge/>
            <w:vAlign w:val="center"/>
          </w:tcPr>
          <w:p w:rsidR="00EE4502" w:rsidRDefault="00EE4502">
            <w:pPr>
              <w:widowControl/>
              <w:adjustRightInd w:val="0"/>
              <w:snapToGrid w:val="0"/>
              <w:jc w:val="center"/>
              <w:rPr>
                <w:kern w:val="0"/>
                <w:szCs w:val="20"/>
              </w:rPr>
            </w:pPr>
          </w:p>
        </w:tc>
        <w:tc>
          <w:tcPr>
            <w:tcW w:w="2735" w:type="dxa"/>
            <w:vMerge/>
            <w:vAlign w:val="center"/>
          </w:tcPr>
          <w:p w:rsidR="00EE4502" w:rsidRDefault="00EE4502">
            <w:pPr>
              <w:widowControl/>
              <w:adjustRightInd w:val="0"/>
              <w:snapToGrid w:val="0"/>
              <w:jc w:val="center"/>
              <w:rPr>
                <w:kern w:val="0"/>
                <w:szCs w:val="20"/>
              </w:rPr>
            </w:pPr>
          </w:p>
        </w:tc>
      </w:tr>
    </w:tbl>
    <w:p w:rsidR="00EE4502" w:rsidRDefault="00FD45A3">
      <w:pPr>
        <w:spacing w:line="360" w:lineRule="auto"/>
        <w:ind w:firstLineChars="200" w:firstLine="480"/>
        <w:rPr>
          <w:sz w:val="24"/>
          <w:szCs w:val="20"/>
        </w:rPr>
      </w:pPr>
      <w:r>
        <w:rPr>
          <w:sz w:val="24"/>
          <w:szCs w:val="20"/>
        </w:rPr>
        <w:t>另外，应对本项目</w:t>
      </w:r>
      <w:r>
        <w:rPr>
          <w:sz w:val="24"/>
          <w:szCs w:val="20"/>
        </w:rPr>
        <w:t>注水井的</w:t>
      </w:r>
      <w:r>
        <w:rPr>
          <w:sz w:val="24"/>
          <w:szCs w:val="20"/>
        </w:rPr>
        <w:t>井口压力、套管压力、环空压力、流体的流量、水质等指标进行监测。</w:t>
      </w:r>
    </w:p>
    <w:p w:rsidR="00EE4502" w:rsidRDefault="00FD45A3">
      <w:pPr>
        <w:spacing w:line="360" w:lineRule="auto"/>
        <w:ind w:firstLineChars="200" w:firstLine="480"/>
        <w:rPr>
          <w:sz w:val="24"/>
          <w:szCs w:val="20"/>
        </w:rPr>
      </w:pPr>
      <w:r>
        <w:rPr>
          <w:sz w:val="24"/>
          <w:szCs w:val="20"/>
        </w:rPr>
        <w:t>上述监测结果应按项目有关规定及时建立档案，并定期向</w:t>
      </w:r>
      <w:r>
        <w:rPr>
          <w:sz w:val="24"/>
          <w:szCs w:val="20"/>
        </w:rPr>
        <w:t>油田的</w:t>
      </w:r>
      <w:r>
        <w:rPr>
          <w:sz w:val="24"/>
          <w:szCs w:val="20"/>
        </w:rPr>
        <w:t>管理区安全环保部门汇报，对于常规监测数据应该进行公开。如发现异常或发生事故，加密监测频次，改为每周监测一次，并分析污染原因，确定泄漏污染源，及时采取应急措施。</w:t>
      </w:r>
    </w:p>
    <w:p w:rsidR="00EE4502" w:rsidRDefault="00FD45A3">
      <w:pPr>
        <w:spacing w:line="360" w:lineRule="auto"/>
        <w:ind w:firstLineChars="200" w:firstLine="480"/>
        <w:rPr>
          <w:sz w:val="24"/>
          <w:szCs w:val="20"/>
        </w:rPr>
      </w:pPr>
      <w:r>
        <w:rPr>
          <w:sz w:val="24"/>
          <w:szCs w:val="20"/>
        </w:rPr>
        <w:t>另外，井场设置现场检测仪表，并由</w:t>
      </w:r>
      <w:r>
        <w:rPr>
          <w:sz w:val="24"/>
          <w:szCs w:val="20"/>
        </w:rPr>
        <w:t>RTU</w:t>
      </w:r>
      <w:r>
        <w:rPr>
          <w:sz w:val="24"/>
          <w:szCs w:val="20"/>
        </w:rPr>
        <w:t>箱中的控制系统实现井场内的生产运行管理和控制，上传井场的重要生产运行数据，接收上位系统的控制指令，设置现场监控系统，随时通过监控系统观察井场内生产情况。</w:t>
      </w:r>
    </w:p>
    <w:p w:rsidR="00EE4502" w:rsidRDefault="00FD45A3">
      <w:pPr>
        <w:spacing w:line="360" w:lineRule="auto"/>
        <w:ind w:firstLineChars="200" w:firstLine="480"/>
        <w:rPr>
          <w:sz w:val="24"/>
          <w:szCs w:val="20"/>
        </w:rPr>
      </w:pPr>
      <w:r>
        <w:rPr>
          <w:sz w:val="24"/>
          <w:szCs w:val="20"/>
        </w:rPr>
        <w:t>为保证地下水监测工作</w:t>
      </w:r>
      <w:r>
        <w:rPr>
          <w:rFonts w:hint="eastAsia"/>
          <w:sz w:val="24"/>
          <w:szCs w:val="20"/>
        </w:rPr>
        <w:t>高效</w:t>
      </w:r>
      <w:r>
        <w:rPr>
          <w:sz w:val="24"/>
          <w:szCs w:val="20"/>
        </w:rPr>
        <w:t>有序运行，须明确</w:t>
      </w:r>
      <w:r>
        <w:rPr>
          <w:sz w:val="24"/>
          <w:szCs w:val="20"/>
        </w:rPr>
        <w:t>职责、制定相关规定进行管理；具体管理措施和技术措施如下：</w:t>
      </w:r>
    </w:p>
    <w:p w:rsidR="00EE4502" w:rsidRDefault="00FD45A3">
      <w:pPr>
        <w:spacing w:line="360" w:lineRule="auto"/>
        <w:ind w:firstLineChars="200" w:firstLine="480"/>
        <w:rPr>
          <w:sz w:val="24"/>
          <w:szCs w:val="20"/>
        </w:rPr>
      </w:pPr>
      <w:r>
        <w:rPr>
          <w:sz w:val="24"/>
          <w:szCs w:val="20"/>
        </w:rPr>
        <w:t>①</w:t>
      </w:r>
      <w:r>
        <w:rPr>
          <w:sz w:val="24"/>
          <w:szCs w:val="20"/>
        </w:rPr>
        <w:t>管理措施</w:t>
      </w:r>
    </w:p>
    <w:p w:rsidR="00EE4502" w:rsidRDefault="00FD45A3">
      <w:pPr>
        <w:spacing w:line="360" w:lineRule="auto"/>
        <w:ind w:firstLineChars="200" w:firstLine="480"/>
        <w:rPr>
          <w:sz w:val="24"/>
          <w:szCs w:val="20"/>
        </w:rPr>
      </w:pPr>
      <w:r>
        <w:rPr>
          <w:sz w:val="24"/>
          <w:szCs w:val="20"/>
        </w:rPr>
        <w:t>1</w:t>
      </w:r>
      <w:r>
        <w:rPr>
          <w:sz w:val="24"/>
          <w:szCs w:val="20"/>
        </w:rPr>
        <w:t>）预防地下水污染的管理工作是生态环境管理部门的职责之一，油田公司环境保护管理部门应指派专人负责预防地下水污染的管理工作；</w:t>
      </w:r>
    </w:p>
    <w:p w:rsidR="00EE4502" w:rsidRDefault="00FD45A3">
      <w:pPr>
        <w:spacing w:line="360" w:lineRule="auto"/>
        <w:ind w:firstLineChars="200" w:firstLine="480"/>
        <w:rPr>
          <w:sz w:val="24"/>
          <w:szCs w:val="20"/>
        </w:rPr>
      </w:pPr>
      <w:r>
        <w:rPr>
          <w:sz w:val="24"/>
          <w:szCs w:val="20"/>
        </w:rPr>
        <w:t>2</w:t>
      </w:r>
      <w:r>
        <w:rPr>
          <w:sz w:val="24"/>
          <w:szCs w:val="20"/>
        </w:rPr>
        <w:t>）建设单位应委托具有监测资质的单位按时、按质、按量完成地下水监测工作，并按要求分析整理原始资料、编写监测报告；</w:t>
      </w:r>
    </w:p>
    <w:p w:rsidR="00EE4502" w:rsidRDefault="00FD45A3">
      <w:pPr>
        <w:spacing w:line="360" w:lineRule="auto"/>
        <w:ind w:firstLineChars="200" w:firstLine="480"/>
        <w:rPr>
          <w:sz w:val="24"/>
          <w:szCs w:val="20"/>
        </w:rPr>
      </w:pPr>
      <w:r>
        <w:rPr>
          <w:sz w:val="24"/>
          <w:szCs w:val="20"/>
        </w:rPr>
        <w:lastRenderedPageBreak/>
        <w:t>3</w:t>
      </w:r>
      <w:r>
        <w:rPr>
          <w:sz w:val="24"/>
          <w:szCs w:val="20"/>
        </w:rPr>
        <w:t>）建立与工程区环境管理系统相联系的地下水监测信息管理系统；</w:t>
      </w:r>
    </w:p>
    <w:p w:rsidR="00EE4502" w:rsidRDefault="00FD45A3">
      <w:pPr>
        <w:spacing w:line="360" w:lineRule="auto"/>
        <w:ind w:firstLineChars="200" w:firstLine="480"/>
        <w:rPr>
          <w:sz w:val="24"/>
          <w:szCs w:val="20"/>
        </w:rPr>
      </w:pPr>
      <w:r>
        <w:rPr>
          <w:sz w:val="24"/>
          <w:szCs w:val="20"/>
        </w:rPr>
        <w:t>4</w:t>
      </w:r>
      <w:r>
        <w:rPr>
          <w:sz w:val="24"/>
          <w:szCs w:val="20"/>
        </w:rPr>
        <w:t>）按突发事故的性质、类型、影响范围、后果严重性分等级制订相应的应急预案，在制定预案时要根据环境污染事故潜在威胁的情况，认真细致地考虑各项影响因素，并组织有关部门、人员进行适时演练、不断补充完善预案内容。</w:t>
      </w:r>
    </w:p>
    <w:p w:rsidR="00EE4502" w:rsidRDefault="00FD45A3">
      <w:pPr>
        <w:spacing w:line="360" w:lineRule="auto"/>
        <w:ind w:firstLineChars="200" w:firstLine="480"/>
        <w:rPr>
          <w:sz w:val="24"/>
          <w:szCs w:val="20"/>
        </w:rPr>
      </w:pPr>
      <w:r>
        <w:rPr>
          <w:sz w:val="24"/>
          <w:szCs w:val="20"/>
        </w:rPr>
        <w:t>②</w:t>
      </w:r>
      <w:r>
        <w:rPr>
          <w:sz w:val="24"/>
          <w:szCs w:val="20"/>
        </w:rPr>
        <w:t>技术措施</w:t>
      </w:r>
    </w:p>
    <w:p w:rsidR="00EE4502" w:rsidRDefault="00FD45A3">
      <w:pPr>
        <w:spacing w:line="360" w:lineRule="auto"/>
        <w:ind w:firstLineChars="200" w:firstLine="480"/>
        <w:rPr>
          <w:sz w:val="24"/>
          <w:szCs w:val="20"/>
        </w:rPr>
      </w:pPr>
      <w:r>
        <w:rPr>
          <w:sz w:val="24"/>
          <w:szCs w:val="20"/>
        </w:rPr>
        <w:t>1</w:t>
      </w:r>
      <w:r>
        <w:rPr>
          <w:sz w:val="24"/>
          <w:szCs w:val="20"/>
        </w:rPr>
        <w:t>）定期对法兰、阀门、管道等进行检查。</w:t>
      </w:r>
    </w:p>
    <w:p w:rsidR="00EE4502" w:rsidRDefault="00FD45A3">
      <w:pPr>
        <w:spacing w:line="360" w:lineRule="auto"/>
        <w:ind w:firstLineChars="200" w:firstLine="480"/>
        <w:rPr>
          <w:sz w:val="24"/>
          <w:szCs w:val="20"/>
        </w:rPr>
      </w:pPr>
      <w:r>
        <w:rPr>
          <w:sz w:val="24"/>
          <w:szCs w:val="20"/>
        </w:rPr>
        <w:t>2</w:t>
      </w:r>
      <w:r>
        <w:rPr>
          <w:sz w:val="24"/>
          <w:szCs w:val="20"/>
        </w:rPr>
        <w:t>）在日常例行监测中，一旦发现地下水水质监测数据异常，应尽快核查数据，确保数据的正确性，并将核查过的监测数据通告相关部门，由专人负责对数据进行分析、核实，并密切关注生产设施的运行情况。具体内容如下：了解全井场、站场生产是否出现异常情况，出现异常情况的装置</w:t>
      </w:r>
      <w:r>
        <w:rPr>
          <w:sz w:val="24"/>
          <w:szCs w:val="20"/>
        </w:rPr>
        <w:t>、原因；加大监测密度，如监测频率由每年</w:t>
      </w:r>
      <w:r>
        <w:rPr>
          <w:sz w:val="24"/>
          <w:szCs w:val="20"/>
        </w:rPr>
        <w:t>1</w:t>
      </w:r>
      <w:r>
        <w:rPr>
          <w:sz w:val="24"/>
          <w:szCs w:val="20"/>
        </w:rPr>
        <w:t>次临时加密为每天一次或更多，连续多天，分析变化动向。</w:t>
      </w:r>
    </w:p>
    <w:p w:rsidR="00EE4502" w:rsidRDefault="00FD45A3">
      <w:pPr>
        <w:keepNext/>
        <w:keepLines/>
        <w:numPr>
          <w:ilvl w:val="3"/>
          <w:numId w:val="30"/>
        </w:numPr>
        <w:spacing w:line="360" w:lineRule="auto"/>
        <w:outlineLvl w:val="3"/>
        <w:rPr>
          <w:sz w:val="24"/>
        </w:rPr>
      </w:pPr>
      <w:r>
        <w:rPr>
          <w:rFonts w:hint="eastAsia"/>
          <w:sz w:val="24"/>
        </w:rPr>
        <w:t>地下水污染应急预案及处理</w:t>
      </w:r>
    </w:p>
    <w:p w:rsidR="00EE4502" w:rsidRDefault="00FD45A3">
      <w:pPr>
        <w:spacing w:line="360" w:lineRule="auto"/>
        <w:ind w:firstLineChars="200" w:firstLine="480"/>
        <w:rPr>
          <w:sz w:val="24"/>
          <w:szCs w:val="20"/>
        </w:rPr>
      </w:pPr>
      <w:r>
        <w:rPr>
          <w:sz w:val="24"/>
          <w:szCs w:val="20"/>
        </w:rPr>
        <w:t>（</w:t>
      </w:r>
      <w:r>
        <w:rPr>
          <w:sz w:val="24"/>
          <w:szCs w:val="20"/>
        </w:rPr>
        <w:t>1</w:t>
      </w:r>
      <w:r>
        <w:rPr>
          <w:sz w:val="24"/>
          <w:szCs w:val="20"/>
        </w:rPr>
        <w:t>）应急预案内容</w:t>
      </w:r>
    </w:p>
    <w:p w:rsidR="00EE4502" w:rsidRDefault="00FD45A3">
      <w:pPr>
        <w:spacing w:line="360" w:lineRule="auto"/>
        <w:ind w:firstLineChars="200" w:firstLine="480"/>
        <w:rPr>
          <w:sz w:val="24"/>
          <w:szCs w:val="20"/>
        </w:rPr>
      </w:pPr>
      <w:r>
        <w:rPr>
          <w:sz w:val="24"/>
          <w:szCs w:val="20"/>
        </w:rPr>
        <w:t>地下水应急预案的具体内容如下：</w:t>
      </w:r>
    </w:p>
    <w:p w:rsidR="00EE4502" w:rsidRDefault="00FD45A3">
      <w:pPr>
        <w:spacing w:line="360" w:lineRule="auto"/>
        <w:ind w:firstLineChars="200" w:firstLine="480"/>
        <w:rPr>
          <w:sz w:val="24"/>
          <w:szCs w:val="20"/>
        </w:rPr>
      </w:pPr>
      <w:r>
        <w:rPr>
          <w:sz w:val="24"/>
          <w:szCs w:val="20"/>
        </w:rPr>
        <w:t>①</w:t>
      </w:r>
      <w:r>
        <w:rPr>
          <w:sz w:val="24"/>
          <w:szCs w:val="20"/>
        </w:rPr>
        <w:t>应急预案的日常协调和指挥机构；</w:t>
      </w:r>
    </w:p>
    <w:p w:rsidR="00EE4502" w:rsidRDefault="00FD45A3">
      <w:pPr>
        <w:spacing w:line="360" w:lineRule="auto"/>
        <w:ind w:firstLineChars="200" w:firstLine="480"/>
        <w:rPr>
          <w:sz w:val="24"/>
          <w:szCs w:val="20"/>
        </w:rPr>
      </w:pPr>
      <w:r>
        <w:rPr>
          <w:sz w:val="24"/>
          <w:szCs w:val="20"/>
        </w:rPr>
        <w:t>②</w:t>
      </w:r>
      <w:r>
        <w:rPr>
          <w:sz w:val="24"/>
          <w:szCs w:val="20"/>
        </w:rPr>
        <w:t>各部门在应急预案中的职责和分工；</w:t>
      </w:r>
    </w:p>
    <w:p w:rsidR="00EE4502" w:rsidRDefault="00FD45A3">
      <w:pPr>
        <w:spacing w:line="360" w:lineRule="auto"/>
        <w:ind w:firstLineChars="200" w:firstLine="480"/>
        <w:rPr>
          <w:sz w:val="24"/>
          <w:szCs w:val="20"/>
        </w:rPr>
      </w:pPr>
      <w:r>
        <w:rPr>
          <w:sz w:val="24"/>
          <w:szCs w:val="20"/>
        </w:rPr>
        <w:t>③</w:t>
      </w:r>
      <w:r>
        <w:rPr>
          <w:sz w:val="24"/>
          <w:szCs w:val="20"/>
        </w:rPr>
        <w:t>确定地下水环境保护目标和对目标采取的紧急处置措施，评估潜在污染可能性；</w:t>
      </w:r>
    </w:p>
    <w:p w:rsidR="00EE4502" w:rsidRDefault="00FD45A3">
      <w:pPr>
        <w:spacing w:line="360" w:lineRule="auto"/>
        <w:ind w:firstLineChars="200" w:firstLine="480"/>
        <w:rPr>
          <w:sz w:val="24"/>
          <w:szCs w:val="20"/>
        </w:rPr>
      </w:pPr>
      <w:r>
        <w:rPr>
          <w:sz w:val="24"/>
          <w:szCs w:val="20"/>
        </w:rPr>
        <w:t>④</w:t>
      </w:r>
      <w:r>
        <w:rPr>
          <w:sz w:val="24"/>
          <w:szCs w:val="20"/>
        </w:rPr>
        <w:t>特大事故应急救援组织状况、人员和装备情况，平常的训练和演习。</w:t>
      </w:r>
    </w:p>
    <w:p w:rsidR="00EE4502" w:rsidRDefault="00FD45A3">
      <w:pPr>
        <w:spacing w:line="360" w:lineRule="auto"/>
        <w:ind w:firstLineChars="200" w:firstLine="480"/>
        <w:rPr>
          <w:sz w:val="24"/>
          <w:szCs w:val="20"/>
        </w:rPr>
      </w:pPr>
      <w:r>
        <w:rPr>
          <w:sz w:val="24"/>
          <w:szCs w:val="20"/>
        </w:rPr>
        <w:t>（</w:t>
      </w:r>
      <w:r>
        <w:rPr>
          <w:sz w:val="24"/>
          <w:szCs w:val="20"/>
        </w:rPr>
        <w:t>2</w:t>
      </w:r>
      <w:r>
        <w:rPr>
          <w:sz w:val="24"/>
          <w:szCs w:val="20"/>
        </w:rPr>
        <w:t>）污染事故处理</w:t>
      </w:r>
    </w:p>
    <w:p w:rsidR="00EE4502" w:rsidRDefault="00FD45A3">
      <w:pPr>
        <w:spacing w:line="360" w:lineRule="auto"/>
        <w:ind w:firstLineChars="200" w:firstLine="480"/>
        <w:rPr>
          <w:sz w:val="24"/>
          <w:szCs w:val="20"/>
        </w:rPr>
      </w:pPr>
      <w:r>
        <w:rPr>
          <w:sz w:val="24"/>
          <w:szCs w:val="20"/>
        </w:rPr>
        <w:t>在发现异常或者事故状态下，建议采取如下污染治理措施。</w:t>
      </w:r>
    </w:p>
    <w:p w:rsidR="00EE4502" w:rsidRDefault="00FD45A3">
      <w:pPr>
        <w:spacing w:line="360" w:lineRule="auto"/>
        <w:ind w:firstLineChars="200" w:firstLine="480"/>
        <w:rPr>
          <w:sz w:val="24"/>
          <w:szCs w:val="20"/>
        </w:rPr>
      </w:pPr>
      <w:r>
        <w:rPr>
          <w:sz w:val="24"/>
          <w:szCs w:val="20"/>
        </w:rPr>
        <w:t>①</w:t>
      </w:r>
      <w:r>
        <w:rPr>
          <w:sz w:val="24"/>
          <w:szCs w:val="20"/>
        </w:rPr>
        <w:t>如发现异常或发生事故，加密监测频次，改为每周监测一次，并</w:t>
      </w:r>
      <w:r>
        <w:rPr>
          <w:sz w:val="24"/>
          <w:szCs w:val="20"/>
        </w:rPr>
        <w:t>分析污染原因，确定泄漏污染源，及时采取应急措施。</w:t>
      </w:r>
    </w:p>
    <w:p w:rsidR="00EE4502" w:rsidRDefault="00FD45A3">
      <w:pPr>
        <w:spacing w:line="360" w:lineRule="auto"/>
        <w:ind w:firstLineChars="200" w:firstLine="480"/>
        <w:rPr>
          <w:sz w:val="24"/>
          <w:szCs w:val="20"/>
        </w:rPr>
      </w:pPr>
      <w:r>
        <w:rPr>
          <w:sz w:val="24"/>
          <w:szCs w:val="20"/>
        </w:rPr>
        <w:t>②</w:t>
      </w:r>
      <w:r>
        <w:rPr>
          <w:sz w:val="24"/>
          <w:szCs w:val="20"/>
        </w:rPr>
        <w:t>一旦发生地下水污染事故，应立即启动应急预案。</w:t>
      </w:r>
    </w:p>
    <w:p w:rsidR="00EE4502" w:rsidRDefault="00FD45A3">
      <w:pPr>
        <w:spacing w:line="360" w:lineRule="auto"/>
        <w:ind w:firstLineChars="200" w:firstLine="480"/>
        <w:rPr>
          <w:sz w:val="24"/>
          <w:szCs w:val="20"/>
        </w:rPr>
      </w:pPr>
      <w:r>
        <w:rPr>
          <w:sz w:val="24"/>
          <w:szCs w:val="20"/>
        </w:rPr>
        <w:t>③</w:t>
      </w:r>
      <w:r>
        <w:rPr>
          <w:sz w:val="24"/>
          <w:szCs w:val="20"/>
        </w:rPr>
        <w:t>查明并切断污染源。</w:t>
      </w:r>
    </w:p>
    <w:p w:rsidR="00EE4502" w:rsidRDefault="00FD45A3">
      <w:pPr>
        <w:spacing w:line="360" w:lineRule="auto"/>
        <w:ind w:firstLineChars="200" w:firstLine="480"/>
        <w:rPr>
          <w:sz w:val="24"/>
          <w:szCs w:val="20"/>
        </w:rPr>
      </w:pPr>
      <w:r>
        <w:rPr>
          <w:sz w:val="24"/>
          <w:szCs w:val="20"/>
        </w:rPr>
        <w:t>④</w:t>
      </w:r>
      <w:r>
        <w:rPr>
          <w:sz w:val="24"/>
          <w:szCs w:val="20"/>
        </w:rPr>
        <w:t>探明地下水污染深度、范围和污染程度。</w:t>
      </w:r>
    </w:p>
    <w:p w:rsidR="00EE4502" w:rsidRDefault="00FD45A3">
      <w:pPr>
        <w:spacing w:line="360" w:lineRule="auto"/>
        <w:ind w:firstLineChars="200" w:firstLine="480"/>
        <w:rPr>
          <w:sz w:val="24"/>
          <w:szCs w:val="20"/>
        </w:rPr>
      </w:pPr>
      <w:r>
        <w:rPr>
          <w:sz w:val="24"/>
          <w:szCs w:val="20"/>
        </w:rPr>
        <w:t>⑤</w:t>
      </w:r>
      <w:r>
        <w:rPr>
          <w:sz w:val="24"/>
          <w:szCs w:val="20"/>
        </w:rPr>
        <w:t>依据探明的地下水污染情况，合理布置浅井，并进行试抽工作。</w:t>
      </w:r>
    </w:p>
    <w:p w:rsidR="00EE4502" w:rsidRDefault="00FD45A3">
      <w:pPr>
        <w:spacing w:line="360" w:lineRule="auto"/>
        <w:ind w:firstLineChars="200" w:firstLine="480"/>
        <w:rPr>
          <w:sz w:val="24"/>
          <w:szCs w:val="20"/>
        </w:rPr>
      </w:pPr>
      <w:r>
        <w:rPr>
          <w:sz w:val="24"/>
          <w:szCs w:val="20"/>
        </w:rPr>
        <w:t>⑥</w:t>
      </w:r>
      <w:r>
        <w:rPr>
          <w:sz w:val="24"/>
          <w:szCs w:val="20"/>
        </w:rPr>
        <w:t>依据抽水设计方案进行施工，抽取被污染的地下水体，并依据各井孔出水情况进行调整。可采用阻断污染物向周边环境迁移扩散的技术，如泥浆墙、灌浆墙、土工膜阻断、板桩、原位土壤搅拌阻断、可渗透反应墙等，通过在污染源周</w:t>
      </w:r>
      <w:r>
        <w:rPr>
          <w:sz w:val="24"/>
          <w:szCs w:val="20"/>
        </w:rPr>
        <w:lastRenderedPageBreak/>
        <w:t>围构筑低渗透屏障，来隔离污染物，同时操控地下水的流场。</w:t>
      </w:r>
    </w:p>
    <w:p w:rsidR="00EE4502" w:rsidRDefault="00FD45A3">
      <w:pPr>
        <w:spacing w:line="360" w:lineRule="auto"/>
        <w:ind w:firstLineChars="200" w:firstLine="480"/>
        <w:rPr>
          <w:sz w:val="24"/>
          <w:szCs w:val="20"/>
        </w:rPr>
      </w:pPr>
      <w:r>
        <w:rPr>
          <w:sz w:val="24"/>
          <w:szCs w:val="20"/>
        </w:rPr>
        <w:t>⑦</w:t>
      </w:r>
      <w:r>
        <w:rPr>
          <w:sz w:val="24"/>
          <w:szCs w:val="20"/>
        </w:rPr>
        <w:t>将抽取的地下水进行集中收集处理，并送实验室进行化验分析。</w:t>
      </w:r>
    </w:p>
    <w:p w:rsidR="00EE4502" w:rsidRDefault="00FD45A3">
      <w:pPr>
        <w:spacing w:line="360" w:lineRule="auto"/>
        <w:ind w:firstLineChars="200" w:firstLine="480"/>
        <w:rPr>
          <w:sz w:val="24"/>
          <w:szCs w:val="20"/>
        </w:rPr>
      </w:pPr>
      <w:r>
        <w:rPr>
          <w:sz w:val="24"/>
          <w:szCs w:val="20"/>
        </w:rPr>
        <w:t>⑧</w:t>
      </w:r>
      <w:r>
        <w:rPr>
          <w:sz w:val="24"/>
          <w:szCs w:val="20"/>
        </w:rPr>
        <w:t>当地下水中的特征污染物浓度满足地下水功能区划的标准后，逐步停止抽水，并进行土壤修复治理工作。</w:t>
      </w:r>
    </w:p>
    <w:p w:rsidR="00EE4502" w:rsidRDefault="00FD45A3">
      <w:pPr>
        <w:spacing w:line="360" w:lineRule="auto"/>
        <w:ind w:firstLineChars="200" w:firstLine="480"/>
        <w:rPr>
          <w:sz w:val="24"/>
          <w:szCs w:val="20"/>
        </w:rPr>
      </w:pPr>
      <w:r>
        <w:rPr>
          <w:sz w:val="24"/>
          <w:szCs w:val="20"/>
        </w:rPr>
        <w:t>⑨</w:t>
      </w:r>
      <w:r>
        <w:rPr>
          <w:sz w:val="24"/>
          <w:szCs w:val="20"/>
        </w:rPr>
        <w:t>对事故后果进行评估，并制定防止类似事件发生的措施。</w:t>
      </w:r>
    </w:p>
    <w:p w:rsidR="00EE4502" w:rsidRDefault="00FD45A3">
      <w:pPr>
        <w:spacing w:line="360" w:lineRule="auto"/>
        <w:ind w:firstLineChars="200" w:firstLine="480"/>
        <w:rPr>
          <w:sz w:val="24"/>
          <w:szCs w:val="20"/>
        </w:rPr>
      </w:pPr>
      <w:r>
        <w:rPr>
          <w:sz w:val="24"/>
          <w:szCs w:val="20"/>
        </w:rPr>
        <w:t>综上，本工程采取的地下水污染防治措施可行。</w:t>
      </w:r>
    </w:p>
    <w:p w:rsidR="00EE4502" w:rsidRDefault="00FD45A3">
      <w:pPr>
        <w:pStyle w:val="33"/>
        <w:numPr>
          <w:ilvl w:val="2"/>
          <w:numId w:val="30"/>
        </w:numPr>
        <w:spacing w:line="360" w:lineRule="auto"/>
        <w:ind w:left="0" w:firstLine="0"/>
        <w:rPr>
          <w:spacing w:val="0"/>
          <w:sz w:val="24"/>
          <w:szCs w:val="24"/>
        </w:rPr>
      </w:pPr>
      <w:r>
        <w:rPr>
          <w:rFonts w:hint="eastAsia"/>
          <w:spacing w:val="0"/>
          <w:sz w:val="24"/>
          <w:szCs w:val="24"/>
        </w:rPr>
        <w:t>退役期水环境保护措施</w:t>
      </w:r>
    </w:p>
    <w:p w:rsidR="00EE4502" w:rsidRDefault="00FD45A3">
      <w:pPr>
        <w:spacing w:line="360" w:lineRule="auto"/>
        <w:ind w:firstLineChars="200" w:firstLine="480"/>
        <w:rPr>
          <w:sz w:val="24"/>
          <w:szCs w:val="20"/>
        </w:rPr>
      </w:pPr>
      <w:r>
        <w:rPr>
          <w:rFonts w:hint="eastAsia"/>
          <w:sz w:val="24"/>
          <w:szCs w:val="20"/>
        </w:rPr>
        <w:t>项目退役期拆除设备、清理站场时，施工时间较短，施工人员产生的生活污水量较少，依托施工区域周边生活设施处理，不外排，采油设备拆除区域地面铺设</w:t>
      </w:r>
      <w:r>
        <w:rPr>
          <w:rFonts w:hint="eastAsia"/>
          <w:sz w:val="24"/>
          <w:szCs w:val="20"/>
        </w:rPr>
        <w:t>HDPE</w:t>
      </w:r>
      <w:r>
        <w:rPr>
          <w:rFonts w:hint="eastAsia"/>
          <w:sz w:val="24"/>
          <w:szCs w:val="20"/>
        </w:rPr>
        <w:t>防渗膜，</w:t>
      </w:r>
      <w:r>
        <w:rPr>
          <w:rFonts w:hint="eastAsia"/>
          <w:sz w:val="24"/>
          <w:szCs w:val="20"/>
        </w:rPr>
        <w:t>防止</w:t>
      </w:r>
      <w:r>
        <w:rPr>
          <w:rFonts w:hint="eastAsia"/>
          <w:sz w:val="24"/>
          <w:szCs w:val="20"/>
        </w:rPr>
        <w:t>污油进入外环境，对周围水环境影响较小。</w:t>
      </w:r>
    </w:p>
    <w:p w:rsidR="00EE4502" w:rsidRDefault="00FD45A3">
      <w:pPr>
        <w:spacing w:line="360" w:lineRule="auto"/>
        <w:ind w:firstLineChars="200" w:firstLine="480"/>
        <w:rPr>
          <w:sz w:val="24"/>
          <w:szCs w:val="20"/>
        </w:rPr>
      </w:pPr>
      <w:r>
        <w:rPr>
          <w:rFonts w:hint="eastAsia"/>
          <w:sz w:val="24"/>
          <w:szCs w:val="20"/>
        </w:rPr>
        <w:t>油气井报废或退役后，按照《废弃井封井回填技术指南（试行）》（环办土壤函〔</w:t>
      </w:r>
      <w:r>
        <w:rPr>
          <w:rFonts w:hint="eastAsia"/>
          <w:sz w:val="24"/>
          <w:szCs w:val="20"/>
        </w:rPr>
        <w:t>2020</w:t>
      </w:r>
      <w:r>
        <w:rPr>
          <w:rFonts w:hint="eastAsia"/>
          <w:sz w:val="24"/>
          <w:szCs w:val="20"/>
        </w:rPr>
        <w:t>〕</w:t>
      </w:r>
      <w:r>
        <w:rPr>
          <w:rFonts w:hint="eastAsia"/>
          <w:sz w:val="24"/>
          <w:szCs w:val="20"/>
        </w:rPr>
        <w:t>72</w:t>
      </w:r>
      <w:r>
        <w:rPr>
          <w:rFonts w:hint="eastAsia"/>
          <w:sz w:val="24"/>
          <w:szCs w:val="20"/>
        </w:rPr>
        <w:t>号）、《废弃井封井处置规范》</w:t>
      </w:r>
      <w:r>
        <w:rPr>
          <w:rFonts w:hint="eastAsia"/>
          <w:sz w:val="24"/>
          <w:szCs w:val="20"/>
        </w:rPr>
        <w:t>(Q/SH0653-2015</w:t>
      </w:r>
      <w:r>
        <w:rPr>
          <w:rFonts w:hint="eastAsia"/>
          <w:sz w:val="24"/>
          <w:szCs w:val="20"/>
        </w:rPr>
        <w:t>）</w:t>
      </w:r>
      <w:r>
        <w:rPr>
          <w:rFonts w:hint="eastAsia"/>
          <w:sz w:val="24"/>
          <w:szCs w:val="20"/>
        </w:rPr>
        <w:t>对完成采油的废弃井封堵，保证对各类废弃井采取的固井、封井措施有效可行，防止发生油水窜层，污染地下水环境。</w:t>
      </w:r>
    </w:p>
    <w:p w:rsidR="00EE4502" w:rsidRDefault="00FD45A3">
      <w:pPr>
        <w:pStyle w:val="22"/>
        <w:numPr>
          <w:ilvl w:val="1"/>
          <w:numId w:val="30"/>
        </w:numPr>
        <w:rPr>
          <w:spacing w:val="0"/>
          <w:w w:val="100"/>
        </w:rPr>
      </w:pPr>
      <w:bookmarkStart w:id="240" w:name="_Toc13326"/>
      <w:r>
        <w:rPr>
          <w:rFonts w:hint="eastAsia"/>
          <w:spacing w:val="0"/>
          <w:w w:val="100"/>
        </w:rPr>
        <w:t>地表水环境保护措施可行性论证</w:t>
      </w:r>
      <w:bookmarkEnd w:id="240"/>
    </w:p>
    <w:p w:rsidR="00EE4502" w:rsidRDefault="00FD45A3">
      <w:pPr>
        <w:keepNext/>
        <w:keepLines/>
        <w:numPr>
          <w:ilvl w:val="2"/>
          <w:numId w:val="30"/>
        </w:numPr>
        <w:spacing w:line="360" w:lineRule="auto"/>
        <w:outlineLvl w:val="2"/>
        <w:rPr>
          <w:rFonts w:eastAsia="黑体"/>
          <w:sz w:val="24"/>
        </w:rPr>
      </w:pPr>
      <w:r>
        <w:rPr>
          <w:rFonts w:eastAsia="黑体" w:hint="eastAsia"/>
          <w:sz w:val="24"/>
        </w:rPr>
        <w:t>施工期地表水环境保护措施</w:t>
      </w:r>
    </w:p>
    <w:p w:rsidR="00EE4502" w:rsidRDefault="00FD45A3">
      <w:pPr>
        <w:spacing w:line="360" w:lineRule="auto"/>
        <w:ind w:firstLineChars="200" w:firstLine="480"/>
        <w:rPr>
          <w:sz w:val="24"/>
          <w:szCs w:val="20"/>
        </w:rPr>
      </w:pPr>
      <w:r>
        <w:rPr>
          <w:rFonts w:hint="eastAsia"/>
          <w:sz w:val="24"/>
          <w:szCs w:val="20"/>
        </w:rPr>
        <w:t>施工期产生的废水主要是钻井废水、管线试压废水及生活污水。</w:t>
      </w:r>
    </w:p>
    <w:p w:rsidR="00EE4502" w:rsidRDefault="00FD45A3">
      <w:pPr>
        <w:spacing w:line="360" w:lineRule="auto"/>
        <w:ind w:firstLineChars="200" w:firstLine="480"/>
        <w:rPr>
          <w:sz w:val="24"/>
          <w:szCs w:val="20"/>
        </w:rPr>
      </w:pPr>
      <w:r>
        <w:rPr>
          <w:rFonts w:hint="eastAsia"/>
          <w:sz w:val="24"/>
          <w:szCs w:val="20"/>
        </w:rPr>
        <w:t>（</w:t>
      </w:r>
      <w:r>
        <w:rPr>
          <w:rFonts w:hint="eastAsia"/>
          <w:sz w:val="24"/>
          <w:szCs w:val="20"/>
        </w:rPr>
        <w:t>1</w:t>
      </w:r>
      <w:r>
        <w:rPr>
          <w:rFonts w:hint="eastAsia"/>
          <w:sz w:val="24"/>
          <w:szCs w:val="20"/>
        </w:rPr>
        <w:t>）钻井废水</w:t>
      </w:r>
    </w:p>
    <w:p w:rsidR="00EE4502" w:rsidRDefault="00FD45A3">
      <w:pPr>
        <w:spacing w:line="360" w:lineRule="auto"/>
        <w:ind w:firstLineChars="200" w:firstLine="480"/>
        <w:rPr>
          <w:sz w:val="24"/>
          <w:szCs w:val="20"/>
        </w:rPr>
      </w:pPr>
      <w:r>
        <w:rPr>
          <w:rFonts w:hint="eastAsia"/>
          <w:sz w:val="24"/>
          <w:szCs w:val="20"/>
        </w:rPr>
        <w:t>①钻井过程采用无毒无害的水基非磺化钻井液。</w:t>
      </w:r>
    </w:p>
    <w:p w:rsidR="00EE4502" w:rsidRDefault="00FD45A3">
      <w:pPr>
        <w:spacing w:line="360" w:lineRule="auto"/>
        <w:ind w:firstLineChars="200" w:firstLine="480"/>
        <w:rPr>
          <w:sz w:val="24"/>
          <w:szCs w:val="20"/>
        </w:rPr>
      </w:pPr>
      <w:r>
        <w:rPr>
          <w:rFonts w:hint="eastAsia"/>
          <w:sz w:val="24"/>
          <w:szCs w:val="20"/>
        </w:rPr>
        <w:t>②钻井废水在井场固液分离，去向分两部分，溢流上清液排入井场泥浆罐中用于配制泥浆，循环使用，不外排。</w:t>
      </w:r>
    </w:p>
    <w:p w:rsidR="00EE4502" w:rsidRDefault="00FD45A3">
      <w:pPr>
        <w:spacing w:line="360" w:lineRule="auto"/>
        <w:ind w:firstLineChars="200" w:firstLine="480"/>
        <w:rPr>
          <w:sz w:val="24"/>
          <w:szCs w:val="20"/>
        </w:rPr>
      </w:pPr>
      <w:r>
        <w:rPr>
          <w:rFonts w:hint="eastAsia"/>
          <w:sz w:val="24"/>
          <w:szCs w:val="20"/>
        </w:rPr>
        <w:t>③钻井过程中设备清洗、冷却等需消耗大量清水，采取有效节水措施，不仅节约了水资源，同时也减少了钻井废水的产生量，减少了废水存储设施的负担和后续处理的负荷，符合清洁生产的要求。因此，要在源头上节水降污，使钻井废水予以减量。钻井液循环使用过程中应严格操作程序，提高泥浆循环利用率，减少钻井液的“跑、冒、滴、漏”，减少废钻井液产生量。</w:t>
      </w:r>
    </w:p>
    <w:p w:rsidR="00EE4502" w:rsidRDefault="00FD45A3">
      <w:pPr>
        <w:spacing w:line="360" w:lineRule="auto"/>
        <w:ind w:firstLineChars="200" w:firstLine="480"/>
        <w:rPr>
          <w:sz w:val="24"/>
          <w:szCs w:val="20"/>
        </w:rPr>
      </w:pPr>
      <w:r>
        <w:rPr>
          <w:rFonts w:hint="eastAsia"/>
          <w:sz w:val="24"/>
          <w:szCs w:val="20"/>
        </w:rPr>
        <w:t>（</w:t>
      </w:r>
      <w:r>
        <w:rPr>
          <w:rFonts w:hint="eastAsia"/>
          <w:sz w:val="24"/>
          <w:szCs w:val="20"/>
        </w:rPr>
        <w:t>2</w:t>
      </w:r>
      <w:r>
        <w:rPr>
          <w:rFonts w:hint="eastAsia"/>
          <w:sz w:val="24"/>
          <w:szCs w:val="20"/>
        </w:rPr>
        <w:t>）试压废水</w:t>
      </w:r>
    </w:p>
    <w:p w:rsidR="00EE4502" w:rsidRDefault="00FD45A3">
      <w:pPr>
        <w:spacing w:line="360" w:lineRule="auto"/>
        <w:ind w:firstLineChars="200" w:firstLine="480"/>
        <w:rPr>
          <w:sz w:val="24"/>
          <w:szCs w:val="20"/>
        </w:rPr>
      </w:pPr>
      <w:r>
        <w:rPr>
          <w:rFonts w:hint="eastAsia"/>
          <w:sz w:val="24"/>
          <w:szCs w:val="20"/>
        </w:rPr>
        <w:t>本项目管道试压以测试管道的强度和密闭性，试压介质为清洁水，管道试压用</w:t>
      </w:r>
      <w:r>
        <w:rPr>
          <w:rFonts w:hint="eastAsia"/>
          <w:sz w:val="24"/>
          <w:szCs w:val="20"/>
        </w:rPr>
        <w:t>水重复利用。管道试压过程会产生一定量的试压废水，清管试压废水主要污染物为悬浮物。试压水由管道排出由罐收集后，进入下一段管道循环使用，试压废</w:t>
      </w:r>
      <w:r>
        <w:rPr>
          <w:rFonts w:hint="eastAsia"/>
          <w:sz w:val="24"/>
          <w:szCs w:val="20"/>
        </w:rPr>
        <w:lastRenderedPageBreak/>
        <w:t>水水质相对简单，以悬浮物为主，试压结束沉淀后用于施工区域洒水降尘，不外排。因此，本项目管道试压废水可得到妥善处置，不外排，污染防治措施可行。</w:t>
      </w:r>
    </w:p>
    <w:p w:rsidR="00EE4502" w:rsidRDefault="00FD45A3">
      <w:pPr>
        <w:spacing w:line="360" w:lineRule="auto"/>
        <w:ind w:firstLineChars="200" w:firstLine="480"/>
        <w:rPr>
          <w:sz w:val="24"/>
          <w:szCs w:val="20"/>
        </w:rPr>
      </w:pPr>
      <w:r>
        <w:rPr>
          <w:rFonts w:hint="eastAsia"/>
          <w:sz w:val="24"/>
          <w:szCs w:val="20"/>
        </w:rPr>
        <w:t>（</w:t>
      </w:r>
      <w:r>
        <w:rPr>
          <w:rFonts w:hint="eastAsia"/>
          <w:sz w:val="24"/>
          <w:szCs w:val="20"/>
        </w:rPr>
        <w:t>3</w:t>
      </w:r>
      <w:r>
        <w:rPr>
          <w:rFonts w:hint="eastAsia"/>
          <w:sz w:val="24"/>
          <w:szCs w:val="20"/>
        </w:rPr>
        <w:t>）生活污水</w:t>
      </w:r>
    </w:p>
    <w:p w:rsidR="00EE4502" w:rsidRDefault="00FD45A3">
      <w:pPr>
        <w:spacing w:line="360" w:lineRule="auto"/>
        <w:ind w:firstLineChars="200" w:firstLine="480"/>
        <w:rPr>
          <w:sz w:val="24"/>
          <w:szCs w:val="20"/>
        </w:rPr>
      </w:pPr>
      <w:r>
        <w:rPr>
          <w:rFonts w:hint="eastAsia"/>
          <w:sz w:val="24"/>
          <w:szCs w:val="20"/>
        </w:rPr>
        <w:t>本项目生活污水依托克拉玛依前山石油工程服务有限公司清运，可确保废水不外排。</w:t>
      </w:r>
    </w:p>
    <w:p w:rsidR="00EE4502" w:rsidRDefault="00FD45A3">
      <w:pPr>
        <w:spacing w:line="360" w:lineRule="auto"/>
        <w:ind w:firstLineChars="200" w:firstLine="480"/>
        <w:rPr>
          <w:sz w:val="24"/>
          <w:szCs w:val="20"/>
        </w:rPr>
      </w:pPr>
      <w:r>
        <w:rPr>
          <w:rFonts w:hint="eastAsia"/>
          <w:sz w:val="24"/>
          <w:szCs w:val="20"/>
        </w:rPr>
        <w:t>综上所述，通过采取以上各种废水处理及防治措施，本项目施工期产生的各类废水均可以得到有效处置，施工期的废水污染防治措施合理可行。</w:t>
      </w:r>
    </w:p>
    <w:p w:rsidR="00EE4502" w:rsidRDefault="00FD45A3">
      <w:pPr>
        <w:keepNext/>
        <w:keepLines/>
        <w:numPr>
          <w:ilvl w:val="2"/>
          <w:numId w:val="30"/>
        </w:numPr>
        <w:spacing w:line="360" w:lineRule="auto"/>
        <w:outlineLvl w:val="2"/>
        <w:rPr>
          <w:rFonts w:eastAsia="黑体"/>
          <w:sz w:val="24"/>
        </w:rPr>
      </w:pPr>
      <w:r>
        <w:rPr>
          <w:rFonts w:eastAsia="黑体" w:hint="eastAsia"/>
          <w:sz w:val="24"/>
        </w:rPr>
        <w:t>运营期地表水</w:t>
      </w:r>
      <w:r>
        <w:rPr>
          <w:rFonts w:eastAsia="黑体" w:hint="eastAsia"/>
          <w:sz w:val="24"/>
        </w:rPr>
        <w:t>环境保护措施</w:t>
      </w:r>
    </w:p>
    <w:p w:rsidR="00EE4502" w:rsidRDefault="00FD45A3">
      <w:pPr>
        <w:spacing w:line="360" w:lineRule="auto"/>
        <w:ind w:firstLineChars="200" w:firstLine="480"/>
        <w:rPr>
          <w:sz w:val="24"/>
          <w:szCs w:val="20"/>
        </w:rPr>
      </w:pPr>
      <w:r>
        <w:rPr>
          <w:rFonts w:hint="eastAsia"/>
          <w:sz w:val="24"/>
          <w:szCs w:val="20"/>
        </w:rPr>
        <w:t>根据工程分析，本工程建成后无新增定员，不新增生活污水，井场采出、井下作业废水依托春风二号联合站污水处理系统处理达标后综合利用。</w:t>
      </w:r>
    </w:p>
    <w:p w:rsidR="00EE4502" w:rsidRDefault="00FD45A3">
      <w:pPr>
        <w:spacing w:line="360" w:lineRule="auto"/>
        <w:ind w:firstLineChars="200" w:firstLine="480"/>
        <w:rPr>
          <w:sz w:val="24"/>
          <w:szCs w:val="20"/>
        </w:rPr>
      </w:pPr>
      <w:r>
        <w:rPr>
          <w:rFonts w:hint="eastAsia"/>
          <w:sz w:val="24"/>
          <w:szCs w:val="20"/>
        </w:rPr>
        <w:t>在正常状况下，本工程在设计、施工和运行时，严把质量验收关，</w:t>
      </w:r>
      <w:r>
        <w:rPr>
          <w:rFonts w:hint="eastAsia"/>
          <w:sz w:val="24"/>
          <w:szCs w:val="20"/>
        </w:rPr>
        <w:t>杜绝</w:t>
      </w:r>
      <w:r>
        <w:rPr>
          <w:rFonts w:hint="eastAsia"/>
          <w:sz w:val="24"/>
          <w:szCs w:val="20"/>
        </w:rPr>
        <w:t>因管道材质、制管、防腐涂层、焊接缺陷及运行失误而造成管线泄漏。在生产运行过程中，强化监控手段，定期检查检验，检漏控漏，杜绝长期事故性排放点源的存在；在非正常状况下，应及时采取水污染应急控制措施。</w:t>
      </w:r>
    </w:p>
    <w:p w:rsidR="00EE4502" w:rsidRDefault="00FD45A3">
      <w:pPr>
        <w:keepNext/>
        <w:keepLines/>
        <w:numPr>
          <w:ilvl w:val="2"/>
          <w:numId w:val="30"/>
        </w:numPr>
        <w:spacing w:line="360" w:lineRule="auto"/>
        <w:outlineLvl w:val="2"/>
        <w:rPr>
          <w:rFonts w:eastAsia="黑体"/>
          <w:sz w:val="24"/>
        </w:rPr>
      </w:pPr>
      <w:r>
        <w:rPr>
          <w:rFonts w:eastAsia="黑体" w:hint="eastAsia"/>
          <w:sz w:val="24"/>
        </w:rPr>
        <w:t>退役期地表水环境保护措施</w:t>
      </w:r>
    </w:p>
    <w:p w:rsidR="00EE4502" w:rsidRDefault="00FD45A3">
      <w:pPr>
        <w:spacing w:line="360" w:lineRule="auto"/>
        <w:ind w:firstLineChars="200" w:firstLine="480"/>
        <w:rPr>
          <w:sz w:val="24"/>
          <w:szCs w:val="20"/>
        </w:rPr>
      </w:pPr>
      <w:r>
        <w:rPr>
          <w:rFonts w:hint="eastAsia"/>
          <w:sz w:val="24"/>
          <w:szCs w:val="20"/>
        </w:rPr>
        <w:t>项目退役期拆除设备、清理站场时，施工时间较短，施工人员产生的生活污水量较少，依托施工区</w:t>
      </w:r>
      <w:r>
        <w:rPr>
          <w:rFonts w:hint="eastAsia"/>
          <w:sz w:val="24"/>
          <w:szCs w:val="20"/>
        </w:rPr>
        <w:t>域周边生活设施处理，不外排。</w:t>
      </w:r>
    </w:p>
    <w:p w:rsidR="00EE4502" w:rsidRDefault="00FD45A3">
      <w:pPr>
        <w:pStyle w:val="22"/>
        <w:numPr>
          <w:ilvl w:val="1"/>
          <w:numId w:val="30"/>
        </w:numPr>
        <w:rPr>
          <w:spacing w:val="0"/>
          <w:w w:val="100"/>
        </w:rPr>
      </w:pPr>
      <w:bookmarkStart w:id="241" w:name="_Toc32345"/>
      <w:r>
        <w:rPr>
          <w:rFonts w:hint="eastAsia"/>
          <w:spacing w:val="0"/>
          <w:w w:val="100"/>
        </w:rPr>
        <w:t>土壤环境保护措施可行性论证</w:t>
      </w:r>
      <w:bookmarkEnd w:id="241"/>
    </w:p>
    <w:p w:rsidR="00EE4502" w:rsidRDefault="00FD45A3">
      <w:pPr>
        <w:pStyle w:val="33"/>
        <w:numPr>
          <w:ilvl w:val="2"/>
          <w:numId w:val="30"/>
        </w:numPr>
        <w:spacing w:line="360" w:lineRule="auto"/>
        <w:ind w:left="0" w:firstLine="0"/>
        <w:rPr>
          <w:spacing w:val="0"/>
          <w:sz w:val="24"/>
          <w:szCs w:val="24"/>
        </w:rPr>
      </w:pPr>
      <w:bookmarkStart w:id="242" w:name="_Hlk48604597"/>
      <w:r>
        <w:rPr>
          <w:rFonts w:hint="eastAsia"/>
          <w:spacing w:val="0"/>
          <w:sz w:val="24"/>
          <w:szCs w:val="24"/>
        </w:rPr>
        <w:t>施工期</w:t>
      </w:r>
      <w:r>
        <w:rPr>
          <w:spacing w:val="0"/>
          <w:sz w:val="24"/>
          <w:szCs w:val="24"/>
        </w:rPr>
        <w:t>土壤污染防治措施</w:t>
      </w:r>
    </w:p>
    <w:bookmarkEnd w:id="242"/>
    <w:p w:rsidR="00EE4502" w:rsidRDefault="00FD45A3">
      <w:pPr>
        <w:spacing w:line="360" w:lineRule="auto"/>
        <w:ind w:firstLineChars="200" w:firstLine="480"/>
        <w:rPr>
          <w:sz w:val="24"/>
        </w:rPr>
      </w:pPr>
      <w:r>
        <w:rPr>
          <w:sz w:val="24"/>
        </w:rPr>
        <w:t>（</w:t>
      </w:r>
      <w:r>
        <w:rPr>
          <w:sz w:val="24"/>
        </w:rPr>
        <w:t>1</w:t>
      </w:r>
      <w:r>
        <w:rPr>
          <w:sz w:val="24"/>
        </w:rPr>
        <w:t>）应严格控制施工期临时占地面积，按设计及规划的施工范围进行施工作业，减少土壤扰动。</w:t>
      </w:r>
    </w:p>
    <w:p w:rsidR="00EE4502" w:rsidRDefault="00FD45A3">
      <w:pPr>
        <w:spacing w:line="360" w:lineRule="auto"/>
        <w:ind w:firstLineChars="200" w:firstLine="480"/>
        <w:rPr>
          <w:sz w:val="24"/>
        </w:rPr>
      </w:pPr>
      <w:r>
        <w:rPr>
          <w:sz w:val="24"/>
        </w:rPr>
        <w:t>（</w:t>
      </w:r>
      <w:r>
        <w:rPr>
          <w:sz w:val="24"/>
        </w:rPr>
        <w:t>2</w:t>
      </w:r>
      <w:r>
        <w:rPr>
          <w:sz w:val="24"/>
        </w:rPr>
        <w:t>）施工机械及运输车辆应按规定的道路行驶，减少对土壤的碾压，减少碾压造成的土壤紧实度增加及养分流失。</w:t>
      </w:r>
      <w:r>
        <w:rPr>
          <w:sz w:val="24"/>
        </w:rPr>
        <w:t xml:space="preserve"> </w:t>
      </w:r>
    </w:p>
    <w:p w:rsidR="00EE4502" w:rsidRDefault="00FD45A3">
      <w:pPr>
        <w:spacing w:line="360" w:lineRule="auto"/>
        <w:ind w:firstLineChars="200" w:firstLine="480"/>
        <w:rPr>
          <w:sz w:val="24"/>
        </w:rPr>
      </w:pPr>
      <w:r>
        <w:rPr>
          <w:sz w:val="24"/>
        </w:rPr>
        <w:t>（</w:t>
      </w:r>
      <w:r>
        <w:rPr>
          <w:sz w:val="24"/>
        </w:rPr>
        <w:t>3</w:t>
      </w:r>
      <w:r>
        <w:rPr>
          <w:sz w:val="24"/>
        </w:rPr>
        <w:t>）施工产生的建筑垃圾不得随意抛洒，应集中收集并及时清运，防止污染物进入土壤环境造成污染。采取的土壤污染防治措施可行。</w:t>
      </w:r>
    </w:p>
    <w:p w:rsidR="00EE4502" w:rsidRDefault="00FD45A3">
      <w:pPr>
        <w:spacing w:line="360" w:lineRule="auto"/>
        <w:ind w:firstLineChars="200" w:firstLine="480"/>
        <w:rPr>
          <w:sz w:val="24"/>
        </w:rPr>
      </w:pPr>
      <w:r>
        <w:rPr>
          <w:sz w:val="24"/>
        </w:rPr>
        <w:t>（</w:t>
      </w:r>
      <w:r>
        <w:rPr>
          <w:sz w:val="24"/>
        </w:rPr>
        <w:t>4</w:t>
      </w:r>
      <w:r>
        <w:rPr>
          <w:sz w:val="24"/>
        </w:rPr>
        <w:t>）植被覆盖度高的区域，局部降低作业带宽度，施工结束后，及时采取撒播草籽等措施，恢复原地貌；施工土方全部用于管沟回填，开挖土方堆存过程中使用防尘网，并定期洒水抑尘。</w:t>
      </w:r>
    </w:p>
    <w:p w:rsidR="00EE4502" w:rsidRDefault="00FD45A3">
      <w:pPr>
        <w:spacing w:line="360" w:lineRule="auto"/>
        <w:ind w:firstLineChars="200" w:firstLine="480"/>
        <w:rPr>
          <w:sz w:val="24"/>
        </w:rPr>
      </w:pPr>
      <w:r>
        <w:rPr>
          <w:sz w:val="24"/>
        </w:rPr>
        <w:t>（</w:t>
      </w:r>
      <w:r>
        <w:rPr>
          <w:sz w:val="24"/>
        </w:rPr>
        <w:t>5</w:t>
      </w:r>
      <w:r>
        <w:rPr>
          <w:sz w:val="24"/>
        </w:rPr>
        <w:t>）土地临时使用过程中发现土地沙化或者沙化程度加重的，应当及时报告当地人民政府；在施工过程中，不得随意碾压</w:t>
      </w:r>
      <w:r>
        <w:rPr>
          <w:rFonts w:hint="eastAsia"/>
          <w:sz w:val="24"/>
        </w:rPr>
        <w:t>工程区</w:t>
      </w:r>
      <w:r>
        <w:rPr>
          <w:sz w:val="24"/>
        </w:rPr>
        <w:t>内其它固沙植被。</w:t>
      </w:r>
    </w:p>
    <w:p w:rsidR="00EE4502" w:rsidRDefault="00FD45A3">
      <w:pPr>
        <w:spacing w:line="360" w:lineRule="auto"/>
        <w:ind w:firstLineChars="200" w:firstLine="480"/>
        <w:rPr>
          <w:sz w:val="24"/>
        </w:rPr>
      </w:pPr>
      <w:r>
        <w:rPr>
          <w:sz w:val="24"/>
        </w:rPr>
        <w:lastRenderedPageBreak/>
        <w:t>（</w:t>
      </w:r>
      <w:r>
        <w:rPr>
          <w:sz w:val="24"/>
        </w:rPr>
        <w:t>6</w:t>
      </w:r>
      <w:r>
        <w:rPr>
          <w:sz w:val="24"/>
        </w:rPr>
        <w:t>）施工期间严格执行生态保护措施，杜绝破坏植被、造成沙化的行为。</w:t>
      </w:r>
    </w:p>
    <w:p w:rsidR="00EE4502" w:rsidRDefault="00FD45A3">
      <w:pPr>
        <w:pStyle w:val="33"/>
        <w:numPr>
          <w:ilvl w:val="2"/>
          <w:numId w:val="30"/>
        </w:numPr>
        <w:spacing w:line="360" w:lineRule="auto"/>
        <w:ind w:left="0" w:firstLine="0"/>
        <w:rPr>
          <w:spacing w:val="0"/>
          <w:sz w:val="24"/>
          <w:szCs w:val="24"/>
        </w:rPr>
      </w:pPr>
      <w:r>
        <w:rPr>
          <w:rFonts w:hint="eastAsia"/>
          <w:spacing w:val="0"/>
          <w:sz w:val="24"/>
          <w:szCs w:val="24"/>
        </w:rPr>
        <w:t>运营期</w:t>
      </w:r>
      <w:r>
        <w:rPr>
          <w:spacing w:val="0"/>
          <w:sz w:val="24"/>
          <w:szCs w:val="24"/>
        </w:rPr>
        <w:t>土壤环境保护措施</w:t>
      </w:r>
    </w:p>
    <w:p w:rsidR="00EE4502" w:rsidRDefault="00FD45A3">
      <w:pPr>
        <w:spacing w:line="360" w:lineRule="auto"/>
        <w:ind w:firstLine="522"/>
        <w:rPr>
          <w:bCs/>
          <w:sz w:val="24"/>
        </w:rPr>
      </w:pPr>
      <w:r>
        <w:rPr>
          <w:bCs/>
          <w:sz w:val="24"/>
        </w:rPr>
        <w:t>（</w:t>
      </w:r>
      <w:r>
        <w:rPr>
          <w:bCs/>
          <w:sz w:val="24"/>
        </w:rPr>
        <w:t>1</w:t>
      </w:r>
      <w:r>
        <w:rPr>
          <w:bCs/>
          <w:sz w:val="24"/>
        </w:rPr>
        <w:t>）源头控制</w:t>
      </w:r>
    </w:p>
    <w:p w:rsidR="00EE4502" w:rsidRDefault="00FD45A3">
      <w:pPr>
        <w:spacing w:line="360" w:lineRule="auto"/>
        <w:ind w:firstLine="522"/>
        <w:rPr>
          <w:bCs/>
          <w:sz w:val="24"/>
        </w:rPr>
      </w:pPr>
      <w:r>
        <w:rPr>
          <w:bCs/>
          <w:sz w:val="24"/>
        </w:rPr>
        <w:t>通过加强管线内的压力、流量传感器检修维护，保障发生管线阀门连接处泄漏及时切断阀门，减少泄漏量；加强日常巡</w:t>
      </w:r>
      <w:r>
        <w:rPr>
          <w:bCs/>
          <w:sz w:val="24"/>
        </w:rPr>
        <w:t>检监管工作，出现泄漏情况能及时发现；加强法兰、阀门连接处腐蚀情况记录管理，避免因老化、腐蚀导致泄漏情况发生。井下作业按照</w:t>
      </w:r>
      <w:r>
        <w:rPr>
          <w:bCs/>
          <w:sz w:val="24"/>
        </w:rPr>
        <w:t>“</w:t>
      </w:r>
      <w:r>
        <w:rPr>
          <w:bCs/>
          <w:sz w:val="24"/>
        </w:rPr>
        <w:t>带罐上岗</w:t>
      </w:r>
      <w:r>
        <w:rPr>
          <w:bCs/>
          <w:sz w:val="24"/>
        </w:rPr>
        <w:t>”</w:t>
      </w:r>
      <w:r>
        <w:rPr>
          <w:bCs/>
          <w:sz w:val="24"/>
        </w:rPr>
        <w:t>的作业模式，加强管线巡检，避免因</w:t>
      </w:r>
      <w:r>
        <w:rPr>
          <w:bCs/>
          <w:sz w:val="24"/>
        </w:rPr>
        <w:t>“</w:t>
      </w:r>
      <w:r>
        <w:rPr>
          <w:bCs/>
          <w:sz w:val="24"/>
        </w:rPr>
        <w:t>跑、冒、滴、漏</w:t>
      </w:r>
      <w:r>
        <w:rPr>
          <w:bCs/>
          <w:sz w:val="24"/>
        </w:rPr>
        <w:t>”</w:t>
      </w:r>
      <w:r>
        <w:rPr>
          <w:bCs/>
          <w:sz w:val="24"/>
        </w:rPr>
        <w:t>或泄漏事故发生造成原油进入土壤，发生泄漏事故时应及时清理落地油，受污染的土壤应交由具有相应危险废物处置资质的单位负责接收、转运和处置，降低对土壤环境质量的影响程度。</w:t>
      </w:r>
    </w:p>
    <w:p w:rsidR="00EE4502" w:rsidRDefault="00FD45A3">
      <w:pPr>
        <w:spacing w:line="360" w:lineRule="auto"/>
        <w:ind w:firstLine="522"/>
        <w:rPr>
          <w:bCs/>
          <w:sz w:val="24"/>
        </w:rPr>
      </w:pPr>
      <w:r>
        <w:rPr>
          <w:bCs/>
          <w:sz w:val="24"/>
        </w:rPr>
        <w:t>（</w:t>
      </w:r>
      <w:r>
        <w:rPr>
          <w:bCs/>
          <w:sz w:val="24"/>
        </w:rPr>
        <w:t>2</w:t>
      </w:r>
      <w:r>
        <w:rPr>
          <w:bCs/>
          <w:sz w:val="24"/>
        </w:rPr>
        <w:t>）过程防控措施</w:t>
      </w:r>
    </w:p>
    <w:p w:rsidR="00EE4502" w:rsidRDefault="00FD45A3">
      <w:pPr>
        <w:spacing w:line="360" w:lineRule="auto"/>
        <w:ind w:firstLine="522"/>
        <w:rPr>
          <w:bCs/>
          <w:sz w:val="24"/>
        </w:rPr>
      </w:pPr>
      <w:r>
        <w:rPr>
          <w:bCs/>
          <w:sz w:val="24"/>
        </w:rPr>
        <w:t>巡检车辆严格按照油田巡检路线行驶，不得因乱碾乱压破坏土壤结构。严格执行地下水章节分区防控措施要求。防渗措施的设计，使用年限不应低于</w:t>
      </w:r>
      <w:r>
        <w:rPr>
          <w:rFonts w:hint="eastAsia"/>
          <w:bCs/>
          <w:sz w:val="24"/>
        </w:rPr>
        <w:t>本工程</w:t>
      </w:r>
      <w:r>
        <w:rPr>
          <w:bCs/>
          <w:sz w:val="24"/>
        </w:rPr>
        <w:t>主体工程</w:t>
      </w:r>
      <w:r>
        <w:rPr>
          <w:bCs/>
          <w:sz w:val="24"/>
        </w:rPr>
        <w:t>的设计使用年限。</w:t>
      </w:r>
      <w:r>
        <w:rPr>
          <w:rFonts w:hint="eastAsia"/>
          <w:bCs/>
          <w:sz w:val="24"/>
        </w:rPr>
        <w:t>根据本工程特点，从垂直入渗途径，采取过程阻断、污染物削减和分区防控措施保护土壤环境。</w:t>
      </w:r>
    </w:p>
    <w:p w:rsidR="00EE4502" w:rsidRDefault="00FD45A3">
      <w:pPr>
        <w:spacing w:line="360" w:lineRule="auto"/>
        <w:ind w:firstLine="522"/>
        <w:rPr>
          <w:bCs/>
          <w:sz w:val="24"/>
        </w:rPr>
      </w:pPr>
      <w:r>
        <w:rPr>
          <w:bCs/>
          <w:sz w:val="24"/>
        </w:rPr>
        <w:t>（</w:t>
      </w:r>
      <w:r>
        <w:rPr>
          <w:bCs/>
          <w:sz w:val="24"/>
        </w:rPr>
        <w:t>3</w:t>
      </w:r>
      <w:r>
        <w:rPr>
          <w:bCs/>
          <w:sz w:val="24"/>
        </w:rPr>
        <w:t>）跟踪监测</w:t>
      </w:r>
    </w:p>
    <w:p w:rsidR="00EE4502" w:rsidRDefault="00FD45A3">
      <w:pPr>
        <w:spacing w:line="360" w:lineRule="auto"/>
        <w:ind w:firstLine="522"/>
        <w:rPr>
          <w:bCs/>
          <w:sz w:val="24"/>
        </w:rPr>
      </w:pPr>
      <w:r>
        <w:rPr>
          <w:rFonts w:hint="eastAsia"/>
          <w:bCs/>
          <w:sz w:val="24"/>
        </w:rPr>
        <w:t>根据《环境影响评价技术导则</w:t>
      </w:r>
      <w:r>
        <w:rPr>
          <w:rFonts w:hint="eastAsia"/>
          <w:bCs/>
          <w:sz w:val="24"/>
        </w:rPr>
        <w:t xml:space="preserve"> </w:t>
      </w:r>
      <w:r>
        <w:rPr>
          <w:rFonts w:hint="eastAsia"/>
          <w:bCs/>
          <w:sz w:val="24"/>
        </w:rPr>
        <w:t>土壤环境（试行）》（</w:t>
      </w:r>
      <w:r>
        <w:rPr>
          <w:rFonts w:hint="eastAsia"/>
          <w:bCs/>
          <w:sz w:val="24"/>
        </w:rPr>
        <w:t>HJ964-2018</w:t>
      </w:r>
      <w:r>
        <w:rPr>
          <w:rFonts w:hint="eastAsia"/>
          <w:bCs/>
          <w:sz w:val="24"/>
        </w:rPr>
        <w:t>）土壤一级评价的跟踪监测要求，制定跟踪监测计划，发生事故泄漏时对井场、管线泄漏点可能影响区域跟踪监测，在占地范围内设</w:t>
      </w:r>
      <w:r>
        <w:rPr>
          <w:rFonts w:hint="eastAsia"/>
          <w:bCs/>
          <w:sz w:val="24"/>
        </w:rPr>
        <w:t>1</w:t>
      </w:r>
      <w:r>
        <w:rPr>
          <w:rFonts w:hint="eastAsia"/>
          <w:bCs/>
          <w:sz w:val="24"/>
        </w:rPr>
        <w:t>个表层样、</w:t>
      </w:r>
      <w:r>
        <w:rPr>
          <w:rFonts w:hint="eastAsia"/>
          <w:bCs/>
          <w:sz w:val="24"/>
        </w:rPr>
        <w:t>1</w:t>
      </w:r>
      <w:r>
        <w:rPr>
          <w:rFonts w:hint="eastAsia"/>
          <w:bCs/>
          <w:sz w:val="24"/>
        </w:rPr>
        <w:t>个深层样、占地范围外设</w:t>
      </w:r>
      <w:r>
        <w:rPr>
          <w:rFonts w:hint="eastAsia"/>
          <w:bCs/>
          <w:sz w:val="24"/>
        </w:rPr>
        <w:t>1</w:t>
      </w:r>
      <w:r>
        <w:rPr>
          <w:rFonts w:hint="eastAsia"/>
          <w:bCs/>
          <w:sz w:val="24"/>
        </w:rPr>
        <w:t>个表层样，表层样每年监测</w:t>
      </w:r>
      <w:r>
        <w:rPr>
          <w:rFonts w:hint="eastAsia"/>
          <w:bCs/>
          <w:sz w:val="24"/>
        </w:rPr>
        <w:t>1</w:t>
      </w:r>
      <w:r>
        <w:rPr>
          <w:rFonts w:hint="eastAsia"/>
          <w:bCs/>
          <w:sz w:val="24"/>
        </w:rPr>
        <w:t>次，深层样每</w:t>
      </w:r>
      <w:r>
        <w:rPr>
          <w:rFonts w:hint="eastAsia"/>
          <w:bCs/>
          <w:sz w:val="24"/>
        </w:rPr>
        <w:t>3</w:t>
      </w:r>
      <w:r>
        <w:rPr>
          <w:rFonts w:hint="eastAsia"/>
          <w:bCs/>
          <w:sz w:val="24"/>
        </w:rPr>
        <w:t>年监测</w:t>
      </w:r>
      <w:r>
        <w:rPr>
          <w:rFonts w:hint="eastAsia"/>
          <w:bCs/>
          <w:sz w:val="24"/>
        </w:rPr>
        <w:t>1</w:t>
      </w:r>
      <w:r>
        <w:rPr>
          <w:rFonts w:hint="eastAsia"/>
          <w:bCs/>
          <w:sz w:val="24"/>
        </w:rPr>
        <w:t>次。</w:t>
      </w:r>
    </w:p>
    <w:p w:rsidR="00EE4502" w:rsidRDefault="00FD45A3">
      <w:pPr>
        <w:spacing w:line="360" w:lineRule="auto"/>
        <w:ind w:firstLine="522"/>
        <w:rPr>
          <w:bCs/>
          <w:sz w:val="24"/>
        </w:rPr>
      </w:pPr>
      <w:r>
        <w:rPr>
          <w:rFonts w:hint="eastAsia"/>
          <w:bCs/>
          <w:sz w:val="24"/>
        </w:rPr>
        <w:t>综上所述，正常情况下，本工程的各项工程不会污染土壤环境，非正常情况下，采取有效措施后可减轻对土壤环境的影响。在做好源头</w:t>
      </w:r>
      <w:r>
        <w:rPr>
          <w:rFonts w:hint="eastAsia"/>
          <w:bCs/>
          <w:sz w:val="24"/>
        </w:rPr>
        <w:t>控制、过程防控等措施的前提下，可避免工程实施对土壤环境产生污染影响。</w:t>
      </w:r>
    </w:p>
    <w:p w:rsidR="00EE4502" w:rsidRDefault="00FD45A3">
      <w:pPr>
        <w:pStyle w:val="33"/>
        <w:numPr>
          <w:ilvl w:val="2"/>
          <w:numId w:val="30"/>
        </w:numPr>
        <w:spacing w:line="360" w:lineRule="auto"/>
        <w:ind w:left="0" w:firstLine="0"/>
        <w:rPr>
          <w:spacing w:val="0"/>
          <w:sz w:val="24"/>
          <w:szCs w:val="24"/>
        </w:rPr>
      </w:pPr>
      <w:r>
        <w:rPr>
          <w:rFonts w:hint="eastAsia"/>
          <w:spacing w:val="0"/>
          <w:sz w:val="24"/>
          <w:szCs w:val="20"/>
        </w:rPr>
        <w:t>退役</w:t>
      </w:r>
      <w:r>
        <w:rPr>
          <w:rFonts w:hint="eastAsia"/>
          <w:spacing w:val="0"/>
          <w:sz w:val="24"/>
          <w:szCs w:val="24"/>
        </w:rPr>
        <w:t>期固废及土壤污染防治措施</w:t>
      </w:r>
    </w:p>
    <w:p w:rsidR="00EE4502" w:rsidRDefault="00FD45A3">
      <w:pPr>
        <w:spacing w:line="360" w:lineRule="auto"/>
        <w:ind w:firstLineChars="200" w:firstLine="480"/>
        <w:rPr>
          <w:sz w:val="24"/>
          <w:szCs w:val="20"/>
        </w:rPr>
      </w:pPr>
      <w:r>
        <w:rPr>
          <w:rFonts w:hint="eastAsia"/>
          <w:sz w:val="24"/>
          <w:szCs w:val="20"/>
        </w:rPr>
        <w:t>（</w:t>
      </w:r>
      <w:r>
        <w:rPr>
          <w:sz w:val="24"/>
          <w:szCs w:val="20"/>
        </w:rPr>
        <w:t>1</w:t>
      </w:r>
      <w:r>
        <w:rPr>
          <w:rFonts w:hint="eastAsia"/>
          <w:sz w:val="24"/>
          <w:szCs w:val="20"/>
        </w:rPr>
        <w:t>）地面设施拆除、井场清理等工作中会产生废弃管线、废弃建筑残渣，应集中清理收集。管线外运清洗后可回收利用，废弃建筑残渣外运至建筑垃圾场进行填埋处理，不得遗留在场地内影响土壤环境质量。</w:t>
      </w:r>
    </w:p>
    <w:p w:rsidR="00EE4502" w:rsidRDefault="00FD45A3">
      <w:pPr>
        <w:spacing w:line="360" w:lineRule="auto"/>
        <w:ind w:firstLineChars="200" w:firstLine="480"/>
        <w:rPr>
          <w:sz w:val="24"/>
          <w:szCs w:val="20"/>
        </w:rPr>
      </w:pPr>
      <w:r>
        <w:rPr>
          <w:rFonts w:hint="eastAsia"/>
          <w:sz w:val="24"/>
          <w:szCs w:val="20"/>
        </w:rPr>
        <w:t>（</w:t>
      </w:r>
      <w:r>
        <w:rPr>
          <w:sz w:val="24"/>
          <w:szCs w:val="20"/>
        </w:rPr>
        <w:t>2</w:t>
      </w:r>
      <w:r>
        <w:rPr>
          <w:rFonts w:hint="eastAsia"/>
          <w:sz w:val="24"/>
          <w:szCs w:val="20"/>
        </w:rPr>
        <w:t>）对完成采油的废弃井应封堵，拆除井口装置，截去地下</w:t>
      </w:r>
      <w:r>
        <w:rPr>
          <w:sz w:val="24"/>
          <w:szCs w:val="20"/>
        </w:rPr>
        <w:t>1m</w:t>
      </w:r>
      <w:r>
        <w:rPr>
          <w:rFonts w:hint="eastAsia"/>
          <w:sz w:val="24"/>
          <w:szCs w:val="20"/>
        </w:rPr>
        <w:t>内管头，最后清理场地，清除各种固体废弃物，自然植被区域自然恢复。</w:t>
      </w:r>
    </w:p>
    <w:p w:rsidR="00EE4502" w:rsidRDefault="00FD45A3">
      <w:pPr>
        <w:spacing w:line="360" w:lineRule="auto"/>
        <w:ind w:firstLineChars="200" w:firstLine="480"/>
        <w:rPr>
          <w:sz w:val="24"/>
          <w:szCs w:val="20"/>
        </w:rPr>
      </w:pPr>
      <w:r>
        <w:rPr>
          <w:rFonts w:hint="eastAsia"/>
          <w:sz w:val="24"/>
          <w:szCs w:val="20"/>
        </w:rPr>
        <w:t>（</w:t>
      </w:r>
      <w:r>
        <w:rPr>
          <w:sz w:val="24"/>
          <w:szCs w:val="20"/>
        </w:rPr>
        <w:t>3</w:t>
      </w:r>
      <w:r>
        <w:rPr>
          <w:rFonts w:hint="eastAsia"/>
          <w:sz w:val="24"/>
          <w:szCs w:val="20"/>
        </w:rPr>
        <w:t>）运输过程中，运输车辆均加盖篷布，以防止行驶过程中固体废物的散</w:t>
      </w:r>
      <w:r>
        <w:rPr>
          <w:rFonts w:hint="eastAsia"/>
          <w:sz w:val="24"/>
          <w:szCs w:val="20"/>
        </w:rPr>
        <w:lastRenderedPageBreak/>
        <w:t>落。</w:t>
      </w:r>
    </w:p>
    <w:p w:rsidR="00EE4502" w:rsidRDefault="00FD45A3">
      <w:pPr>
        <w:pStyle w:val="22"/>
        <w:numPr>
          <w:ilvl w:val="1"/>
          <w:numId w:val="30"/>
        </w:numPr>
        <w:rPr>
          <w:spacing w:val="0"/>
          <w:w w:val="100"/>
        </w:rPr>
      </w:pPr>
      <w:bookmarkStart w:id="243" w:name="_Toc19559"/>
      <w:r>
        <w:rPr>
          <w:rFonts w:hint="eastAsia"/>
          <w:spacing w:val="0"/>
          <w:w w:val="100"/>
        </w:rPr>
        <w:t>大气环境保护措施可行性论证</w:t>
      </w:r>
      <w:bookmarkEnd w:id="243"/>
    </w:p>
    <w:p w:rsidR="00EE4502" w:rsidRDefault="00FD45A3">
      <w:pPr>
        <w:pStyle w:val="33"/>
        <w:numPr>
          <w:ilvl w:val="2"/>
          <w:numId w:val="30"/>
        </w:numPr>
        <w:spacing w:line="360" w:lineRule="auto"/>
        <w:ind w:left="0" w:firstLine="0"/>
        <w:rPr>
          <w:spacing w:val="0"/>
          <w:sz w:val="24"/>
          <w:szCs w:val="24"/>
        </w:rPr>
      </w:pPr>
      <w:r>
        <w:rPr>
          <w:rFonts w:hint="eastAsia"/>
          <w:spacing w:val="0"/>
          <w:sz w:val="24"/>
          <w:szCs w:val="24"/>
        </w:rPr>
        <w:t>施工期</w:t>
      </w:r>
      <w:r>
        <w:rPr>
          <w:spacing w:val="0"/>
          <w:sz w:val="24"/>
          <w:szCs w:val="24"/>
        </w:rPr>
        <w:t>废气污染防治措施</w:t>
      </w:r>
    </w:p>
    <w:p w:rsidR="00EE4502" w:rsidRDefault="00FD45A3">
      <w:pPr>
        <w:spacing w:line="360" w:lineRule="auto"/>
        <w:ind w:firstLine="520"/>
        <w:rPr>
          <w:sz w:val="24"/>
        </w:rPr>
      </w:pPr>
      <w:r>
        <w:rPr>
          <w:rFonts w:hint="eastAsia"/>
          <w:sz w:val="24"/>
        </w:rPr>
        <w:t>（</w:t>
      </w:r>
      <w:r>
        <w:rPr>
          <w:rFonts w:hint="eastAsia"/>
          <w:sz w:val="24"/>
        </w:rPr>
        <w:t>1</w:t>
      </w:r>
      <w:r>
        <w:rPr>
          <w:rFonts w:hint="eastAsia"/>
          <w:sz w:val="24"/>
        </w:rPr>
        <w:t>）钻井过程大气污染防治措施</w:t>
      </w:r>
    </w:p>
    <w:p w:rsidR="00EE4502" w:rsidRDefault="00FD45A3">
      <w:pPr>
        <w:spacing w:line="360" w:lineRule="auto"/>
        <w:ind w:firstLine="520"/>
        <w:rPr>
          <w:sz w:val="24"/>
        </w:rPr>
      </w:pPr>
      <w:r>
        <w:rPr>
          <w:rFonts w:hint="eastAsia"/>
          <w:sz w:val="24"/>
        </w:rPr>
        <w:t>①本工程采用常规钻井工艺。钻进阶段使用的钻机由柴油发电机提供电源。定期对柴油机、柴油发电机等设备进行维护，并且采用高品质的柴油、添加柴油助燃剂等措施，在很大程度上可降低柴油燃烧污染物的排放，减轻对大气环境的影响，使其污染物达标排放。</w:t>
      </w:r>
    </w:p>
    <w:p w:rsidR="00EE4502" w:rsidRDefault="00FD45A3">
      <w:pPr>
        <w:spacing w:line="360" w:lineRule="auto"/>
        <w:ind w:firstLine="520"/>
        <w:rPr>
          <w:sz w:val="24"/>
        </w:rPr>
      </w:pPr>
      <w:r>
        <w:rPr>
          <w:rFonts w:hint="eastAsia"/>
          <w:sz w:val="24"/>
        </w:rPr>
        <w:t>②</w:t>
      </w:r>
      <w:r>
        <w:rPr>
          <w:rFonts w:hint="eastAsia"/>
          <w:sz w:val="24"/>
        </w:rPr>
        <w:t xml:space="preserve"> </w:t>
      </w:r>
      <w:r>
        <w:rPr>
          <w:rFonts w:hint="eastAsia"/>
          <w:sz w:val="24"/>
        </w:rPr>
        <w:t>钻井中发现地层有可燃或有害气体，</w:t>
      </w:r>
      <w:r>
        <w:rPr>
          <w:rFonts w:hint="eastAsia"/>
          <w:sz w:val="24"/>
        </w:rPr>
        <w:t xml:space="preserve"> </w:t>
      </w:r>
      <w:r>
        <w:rPr>
          <w:rFonts w:hint="eastAsia"/>
          <w:sz w:val="24"/>
        </w:rPr>
        <w:t>应立即采取有效措施防止井涌井喷，并把可能产生的气体引入燃烧装置烧掉。</w:t>
      </w:r>
    </w:p>
    <w:p w:rsidR="00EE4502" w:rsidRDefault="00FD45A3">
      <w:pPr>
        <w:spacing w:line="360" w:lineRule="auto"/>
        <w:ind w:firstLine="520"/>
        <w:rPr>
          <w:sz w:val="24"/>
        </w:rPr>
      </w:pPr>
      <w:r>
        <w:rPr>
          <w:rFonts w:hint="eastAsia"/>
          <w:sz w:val="24"/>
        </w:rPr>
        <w:t>③井场内严禁燃烧可能产生严重烟雾或刺鼻臭味的材料。</w:t>
      </w:r>
    </w:p>
    <w:p w:rsidR="00EE4502" w:rsidRDefault="00FD45A3">
      <w:pPr>
        <w:spacing w:line="360" w:lineRule="auto"/>
        <w:ind w:firstLine="520"/>
        <w:rPr>
          <w:sz w:val="24"/>
        </w:rPr>
      </w:pPr>
      <w:r>
        <w:rPr>
          <w:rFonts w:hint="eastAsia"/>
          <w:sz w:val="24"/>
        </w:rPr>
        <w:t>④井场应采用密闭下料系统，防止粉尘污染井场环境。</w:t>
      </w:r>
    </w:p>
    <w:p w:rsidR="00EE4502" w:rsidRDefault="00FD45A3">
      <w:pPr>
        <w:spacing w:line="360" w:lineRule="auto"/>
        <w:ind w:firstLine="520"/>
        <w:rPr>
          <w:sz w:val="24"/>
        </w:rPr>
      </w:pPr>
      <w:r>
        <w:rPr>
          <w:rFonts w:hint="eastAsia"/>
          <w:sz w:val="24"/>
        </w:rPr>
        <w:t>⑤钻井过程中，加强深井钻具的管理，严格执行钻具检查和倒换使用制度，及时发现钻具事故隐患，避免发生因钻具不合格导致井喷事故。</w:t>
      </w:r>
    </w:p>
    <w:p w:rsidR="00EE4502" w:rsidRDefault="00FD45A3">
      <w:pPr>
        <w:spacing w:line="360" w:lineRule="auto"/>
        <w:ind w:firstLine="520"/>
        <w:rPr>
          <w:sz w:val="24"/>
        </w:rPr>
      </w:pPr>
      <w:r>
        <w:rPr>
          <w:rFonts w:hint="eastAsia"/>
          <w:sz w:val="24"/>
        </w:rPr>
        <w:t>（</w:t>
      </w:r>
      <w:r>
        <w:rPr>
          <w:rFonts w:hint="eastAsia"/>
          <w:sz w:val="24"/>
        </w:rPr>
        <w:t>2</w:t>
      </w:r>
      <w:r>
        <w:rPr>
          <w:rFonts w:hint="eastAsia"/>
          <w:sz w:val="24"/>
        </w:rPr>
        <w:t>）地面施工大气污染防治措施</w:t>
      </w:r>
    </w:p>
    <w:p w:rsidR="00EE4502" w:rsidRDefault="00FD45A3">
      <w:pPr>
        <w:spacing w:line="360" w:lineRule="auto"/>
        <w:ind w:firstLine="520"/>
        <w:rPr>
          <w:sz w:val="24"/>
        </w:rPr>
      </w:pPr>
      <w:r>
        <w:rPr>
          <w:rFonts w:hint="eastAsia"/>
          <w:sz w:val="24"/>
        </w:rPr>
        <w:t>①运输车辆进入施工区域，应以中、低速行驶（速度小于</w:t>
      </w:r>
      <w:r>
        <w:rPr>
          <w:rFonts w:hint="eastAsia"/>
          <w:sz w:val="24"/>
        </w:rPr>
        <w:t xml:space="preserve"> 40km/h</w:t>
      </w:r>
      <w:r>
        <w:rPr>
          <w:rFonts w:hint="eastAsia"/>
          <w:sz w:val="24"/>
        </w:rPr>
        <w:t>）。</w:t>
      </w:r>
    </w:p>
    <w:p w:rsidR="00EE4502" w:rsidRDefault="00FD45A3">
      <w:pPr>
        <w:spacing w:line="360" w:lineRule="auto"/>
        <w:ind w:firstLine="520"/>
        <w:rPr>
          <w:sz w:val="24"/>
        </w:rPr>
      </w:pPr>
      <w:r>
        <w:rPr>
          <w:rFonts w:hint="eastAsia"/>
          <w:sz w:val="24"/>
        </w:rPr>
        <w:t>②井场设备的放置进行合理优化，尽可能少占土地，对工作区域外的场地严禁车辆和人员进入、占用，避免破坏植被和造成土地松动。</w:t>
      </w:r>
    </w:p>
    <w:p w:rsidR="00EE4502" w:rsidRDefault="00FD45A3">
      <w:pPr>
        <w:spacing w:line="360" w:lineRule="auto"/>
        <w:ind w:firstLine="520"/>
        <w:rPr>
          <w:sz w:val="24"/>
        </w:rPr>
      </w:pPr>
      <w:r>
        <w:rPr>
          <w:rFonts w:hint="eastAsia"/>
          <w:sz w:val="24"/>
        </w:rPr>
        <w:t>③施工场地定期洒水抑尘、限速行驶及保持路面清洁、设置围挡、散装物料集中堆放和运输时加盖篷布等措施。</w:t>
      </w:r>
    </w:p>
    <w:p w:rsidR="00EE4502" w:rsidRDefault="00FD45A3">
      <w:pPr>
        <w:spacing w:line="360" w:lineRule="auto"/>
        <w:ind w:firstLine="520"/>
        <w:rPr>
          <w:sz w:val="24"/>
        </w:rPr>
      </w:pPr>
      <w:r>
        <w:rPr>
          <w:rFonts w:hint="eastAsia"/>
          <w:sz w:val="24"/>
        </w:rPr>
        <w:t>通过采取以上措施，可减小建设期大气污染影响，采取的大气污染防治措施</w:t>
      </w:r>
      <w:r>
        <w:rPr>
          <w:rFonts w:hint="eastAsia"/>
          <w:sz w:val="24"/>
        </w:rPr>
        <w:t>可行</w:t>
      </w:r>
      <w:r>
        <w:rPr>
          <w:sz w:val="24"/>
        </w:rPr>
        <w:t>。</w:t>
      </w:r>
    </w:p>
    <w:p w:rsidR="00EE4502" w:rsidRDefault="00FD45A3">
      <w:pPr>
        <w:pStyle w:val="33"/>
        <w:numPr>
          <w:ilvl w:val="2"/>
          <w:numId w:val="30"/>
        </w:numPr>
        <w:spacing w:line="360" w:lineRule="auto"/>
        <w:ind w:left="0" w:firstLine="0"/>
        <w:rPr>
          <w:spacing w:val="0"/>
          <w:sz w:val="24"/>
          <w:szCs w:val="24"/>
        </w:rPr>
      </w:pPr>
      <w:r>
        <w:rPr>
          <w:rFonts w:hint="eastAsia"/>
          <w:spacing w:val="0"/>
          <w:sz w:val="24"/>
          <w:szCs w:val="24"/>
        </w:rPr>
        <w:t>运营期</w:t>
      </w:r>
      <w:r>
        <w:rPr>
          <w:spacing w:val="0"/>
          <w:sz w:val="24"/>
          <w:szCs w:val="24"/>
        </w:rPr>
        <w:t>废气污染防治措施</w:t>
      </w:r>
    </w:p>
    <w:p w:rsidR="00EE4502" w:rsidRDefault="00FD45A3">
      <w:pPr>
        <w:spacing w:line="360" w:lineRule="auto"/>
        <w:ind w:firstLine="522"/>
        <w:rPr>
          <w:sz w:val="24"/>
        </w:rPr>
      </w:pPr>
      <w:r>
        <w:rPr>
          <w:rFonts w:hint="eastAsia"/>
          <w:sz w:val="24"/>
        </w:rPr>
        <w:t>本工程运营期无组织排放源主要为井口、管线接口、阀门等处产生的无组织挥发烃类等。针对以上污染源，油田须采取以下大气污染治理措施。</w:t>
      </w:r>
    </w:p>
    <w:p w:rsidR="00EE4502" w:rsidRDefault="00FD45A3">
      <w:pPr>
        <w:spacing w:line="360" w:lineRule="auto"/>
        <w:ind w:firstLine="522"/>
        <w:rPr>
          <w:sz w:val="24"/>
        </w:rPr>
      </w:pPr>
      <w:r>
        <w:rPr>
          <w:rFonts w:hint="eastAsia"/>
          <w:sz w:val="24"/>
        </w:rPr>
        <w:t>（</w:t>
      </w:r>
      <w:r>
        <w:rPr>
          <w:rFonts w:hint="eastAsia"/>
          <w:sz w:val="24"/>
        </w:rPr>
        <w:t>1</w:t>
      </w:r>
      <w:r>
        <w:rPr>
          <w:rFonts w:hint="eastAsia"/>
          <w:sz w:val="24"/>
        </w:rPr>
        <w:t>）采用技术质量可靠的设备、仪表控制、阀门等，烃类机泵采用无泄漏屏蔽泵，开展挥发性有机物泄漏检测与修复。</w:t>
      </w:r>
    </w:p>
    <w:p w:rsidR="00EE4502" w:rsidRDefault="00FD45A3">
      <w:pPr>
        <w:spacing w:line="360" w:lineRule="auto"/>
        <w:ind w:firstLine="522"/>
        <w:rPr>
          <w:sz w:val="24"/>
        </w:rPr>
      </w:pPr>
      <w:r>
        <w:rPr>
          <w:rFonts w:hint="eastAsia"/>
          <w:sz w:val="24"/>
        </w:rPr>
        <w:t>（</w:t>
      </w:r>
      <w:r>
        <w:rPr>
          <w:rFonts w:hint="eastAsia"/>
          <w:sz w:val="24"/>
        </w:rPr>
        <w:t>2</w:t>
      </w:r>
      <w:r>
        <w:rPr>
          <w:rFonts w:hint="eastAsia"/>
          <w:sz w:val="24"/>
        </w:rPr>
        <w:t>）工程投入运营后，需严格按照《挥发性有机物（</w:t>
      </w:r>
      <w:r>
        <w:rPr>
          <w:rFonts w:hint="eastAsia"/>
          <w:sz w:val="24"/>
        </w:rPr>
        <w:t>VOCs</w:t>
      </w:r>
      <w:r>
        <w:rPr>
          <w:rFonts w:hint="eastAsia"/>
          <w:sz w:val="24"/>
        </w:rPr>
        <w:t>）污染防治技术政策》要求，持续加强物料储存、转移、输送过程中</w:t>
      </w:r>
      <w:r>
        <w:rPr>
          <w:rFonts w:hint="eastAsia"/>
          <w:sz w:val="24"/>
        </w:rPr>
        <w:t>VOCs</w:t>
      </w:r>
      <w:r>
        <w:rPr>
          <w:rFonts w:hint="eastAsia"/>
          <w:sz w:val="24"/>
        </w:rPr>
        <w:t>排放、泄漏、收集处理等控制措施。在油气集输过程中，为减轻集输过程中烃类的损失，油田开发</w:t>
      </w:r>
      <w:r>
        <w:rPr>
          <w:rFonts w:hint="eastAsia"/>
          <w:sz w:val="24"/>
        </w:rPr>
        <w:lastRenderedPageBreak/>
        <w:t>采用密闭集输流程，非甲烷总烃无组织排放可以满足《陆上石油天然气开采工业大气污染物排放标准》（</w:t>
      </w:r>
      <w:r>
        <w:rPr>
          <w:rFonts w:hint="eastAsia"/>
          <w:sz w:val="24"/>
        </w:rPr>
        <w:t>GB39728-2020</w:t>
      </w:r>
      <w:r>
        <w:rPr>
          <w:rFonts w:hint="eastAsia"/>
          <w:sz w:val="24"/>
        </w:rPr>
        <w:t>）无组织排放监控限值要求。一旦发生泄漏事故，紧急切断油源，实施关井，从而最大限度地减少集输过程中烃类及油的排放量。定期对油气集输管线进行巡检，以便及时发现问题，消除事故隐患，防止泄漏进入</w:t>
      </w:r>
      <w:r>
        <w:rPr>
          <w:rFonts w:hint="eastAsia"/>
          <w:sz w:val="24"/>
        </w:rPr>
        <w:t>大气环境。</w:t>
      </w:r>
    </w:p>
    <w:p w:rsidR="00EE4502" w:rsidRDefault="00FD45A3">
      <w:pPr>
        <w:spacing w:line="360" w:lineRule="auto"/>
        <w:ind w:firstLine="522"/>
        <w:rPr>
          <w:sz w:val="24"/>
        </w:rPr>
      </w:pPr>
      <w:r>
        <w:rPr>
          <w:rFonts w:hint="eastAsia"/>
          <w:sz w:val="24"/>
        </w:rPr>
        <w:t>（</w:t>
      </w:r>
      <w:r>
        <w:rPr>
          <w:rFonts w:hint="eastAsia"/>
          <w:sz w:val="24"/>
        </w:rPr>
        <w:t>3</w:t>
      </w:r>
      <w:r>
        <w:rPr>
          <w:rFonts w:hint="eastAsia"/>
          <w:sz w:val="24"/>
        </w:rPr>
        <w:t>）对井场的设备、阀门等进行定期的检查、检修，以减少跑、冒、滴、漏的发生。加强油井管理，做好压力检测，并按要求备齐应急设施。</w:t>
      </w:r>
    </w:p>
    <w:p w:rsidR="00EE4502" w:rsidRDefault="00FD45A3">
      <w:pPr>
        <w:spacing w:line="360" w:lineRule="auto"/>
        <w:ind w:firstLine="522"/>
        <w:rPr>
          <w:sz w:val="24"/>
        </w:rPr>
      </w:pPr>
      <w:r>
        <w:rPr>
          <w:rFonts w:hint="eastAsia"/>
          <w:sz w:val="24"/>
        </w:rPr>
        <w:t>（</w:t>
      </w:r>
      <w:r>
        <w:rPr>
          <w:rFonts w:hint="eastAsia"/>
          <w:sz w:val="24"/>
        </w:rPr>
        <w:t>4</w:t>
      </w:r>
      <w:r>
        <w:rPr>
          <w:rFonts w:hint="eastAsia"/>
          <w:sz w:val="24"/>
        </w:rPr>
        <w:t>）定期对集输管线进行巡检，以便及时发现问题，消除事故隐患，防止泄漏进入大气环境。</w:t>
      </w:r>
    </w:p>
    <w:p w:rsidR="00EE4502" w:rsidRDefault="00FD45A3">
      <w:pPr>
        <w:spacing w:line="360" w:lineRule="auto"/>
        <w:ind w:firstLine="522"/>
        <w:rPr>
          <w:sz w:val="24"/>
        </w:rPr>
      </w:pPr>
      <w:r>
        <w:rPr>
          <w:rFonts w:hint="eastAsia"/>
          <w:sz w:val="24"/>
        </w:rPr>
        <w:t>采取上述措施后可有效减缓环境空气环境影响，措施可行</w:t>
      </w:r>
      <w:r>
        <w:rPr>
          <w:rFonts w:hint="eastAsia"/>
          <w:sz w:val="24"/>
        </w:rPr>
        <w:t>。</w:t>
      </w:r>
    </w:p>
    <w:p w:rsidR="00EE4502" w:rsidRDefault="00FD45A3">
      <w:pPr>
        <w:pStyle w:val="33"/>
        <w:numPr>
          <w:ilvl w:val="2"/>
          <w:numId w:val="30"/>
        </w:numPr>
        <w:spacing w:line="360" w:lineRule="auto"/>
        <w:ind w:left="0" w:firstLine="0"/>
        <w:rPr>
          <w:spacing w:val="0"/>
          <w:sz w:val="24"/>
          <w:szCs w:val="24"/>
        </w:rPr>
      </w:pPr>
      <w:r>
        <w:rPr>
          <w:rFonts w:hint="eastAsia"/>
          <w:spacing w:val="0"/>
          <w:sz w:val="24"/>
          <w:szCs w:val="20"/>
        </w:rPr>
        <w:t>退役期大气环境保护措施</w:t>
      </w:r>
    </w:p>
    <w:p w:rsidR="00EE4502" w:rsidRDefault="00FD45A3">
      <w:pPr>
        <w:spacing w:line="360" w:lineRule="auto"/>
        <w:ind w:firstLineChars="200" w:firstLine="480"/>
        <w:rPr>
          <w:sz w:val="24"/>
          <w:szCs w:val="20"/>
        </w:rPr>
      </w:pPr>
      <w:r>
        <w:rPr>
          <w:rFonts w:hint="eastAsia"/>
          <w:sz w:val="24"/>
          <w:szCs w:val="20"/>
        </w:rPr>
        <w:t>（</w:t>
      </w:r>
      <w:r>
        <w:rPr>
          <w:sz w:val="24"/>
          <w:szCs w:val="20"/>
        </w:rPr>
        <w:t>1</w:t>
      </w:r>
      <w:r>
        <w:rPr>
          <w:rFonts w:hint="eastAsia"/>
          <w:sz w:val="24"/>
          <w:szCs w:val="20"/>
        </w:rPr>
        <w:t>）运输车辆使用符合国家标准的油品。</w:t>
      </w:r>
    </w:p>
    <w:p w:rsidR="00EE4502" w:rsidRDefault="00FD45A3">
      <w:pPr>
        <w:spacing w:line="360" w:lineRule="auto"/>
        <w:ind w:firstLineChars="200" w:firstLine="480"/>
        <w:rPr>
          <w:sz w:val="24"/>
          <w:szCs w:val="20"/>
        </w:rPr>
      </w:pPr>
      <w:r>
        <w:rPr>
          <w:rFonts w:hint="eastAsia"/>
          <w:sz w:val="24"/>
          <w:szCs w:val="20"/>
        </w:rPr>
        <w:t>（</w:t>
      </w:r>
      <w:r>
        <w:rPr>
          <w:sz w:val="24"/>
          <w:szCs w:val="20"/>
        </w:rPr>
        <w:t>2</w:t>
      </w:r>
      <w:r>
        <w:rPr>
          <w:rFonts w:hint="eastAsia"/>
          <w:sz w:val="24"/>
          <w:szCs w:val="20"/>
        </w:rPr>
        <w:t>）在封井施工操作中应做到文明施工，防止水泥等的洒落与飘散；尽量避开大风天气进行作业。</w:t>
      </w:r>
    </w:p>
    <w:p w:rsidR="00EE4502" w:rsidRDefault="00FD45A3">
      <w:pPr>
        <w:spacing w:line="360" w:lineRule="auto"/>
        <w:ind w:firstLineChars="200" w:firstLine="480"/>
        <w:rPr>
          <w:sz w:val="24"/>
          <w:szCs w:val="20"/>
        </w:rPr>
      </w:pPr>
      <w:r>
        <w:rPr>
          <w:rFonts w:hint="eastAsia"/>
          <w:sz w:val="24"/>
          <w:szCs w:val="20"/>
        </w:rPr>
        <w:t>（</w:t>
      </w:r>
      <w:r>
        <w:rPr>
          <w:sz w:val="24"/>
          <w:szCs w:val="20"/>
        </w:rPr>
        <w:t>3</w:t>
      </w:r>
      <w:r>
        <w:rPr>
          <w:rFonts w:hint="eastAsia"/>
          <w:sz w:val="24"/>
          <w:szCs w:val="20"/>
        </w:rPr>
        <w:t>）退役期封井施工过程中，应加强施工质量管理，避免出现封井不严等非正常工况的</w:t>
      </w:r>
      <w:r>
        <w:rPr>
          <w:rFonts w:hint="eastAsia"/>
          <w:sz w:val="24"/>
          <w:szCs w:val="20"/>
        </w:rPr>
        <w:t>烃类泄漏。</w:t>
      </w:r>
    </w:p>
    <w:p w:rsidR="00EE4502" w:rsidRDefault="00FD45A3">
      <w:pPr>
        <w:pStyle w:val="22"/>
        <w:numPr>
          <w:ilvl w:val="1"/>
          <w:numId w:val="30"/>
        </w:numPr>
        <w:rPr>
          <w:spacing w:val="0"/>
          <w:w w:val="100"/>
        </w:rPr>
      </w:pPr>
      <w:bookmarkStart w:id="244" w:name="_Toc9694"/>
      <w:r>
        <w:rPr>
          <w:rFonts w:hint="eastAsia"/>
          <w:spacing w:val="0"/>
          <w:w w:val="100"/>
        </w:rPr>
        <w:t>声环境保护措施可行性论证</w:t>
      </w:r>
      <w:bookmarkEnd w:id="244"/>
    </w:p>
    <w:p w:rsidR="00EE4502" w:rsidRDefault="00FD45A3">
      <w:pPr>
        <w:pStyle w:val="33"/>
        <w:numPr>
          <w:ilvl w:val="2"/>
          <w:numId w:val="30"/>
        </w:numPr>
        <w:spacing w:line="360" w:lineRule="auto"/>
        <w:ind w:left="0" w:firstLine="0"/>
        <w:rPr>
          <w:spacing w:val="0"/>
          <w:sz w:val="24"/>
          <w:szCs w:val="24"/>
        </w:rPr>
      </w:pPr>
      <w:r>
        <w:rPr>
          <w:rFonts w:hint="eastAsia"/>
          <w:spacing w:val="0"/>
          <w:sz w:val="24"/>
          <w:szCs w:val="24"/>
        </w:rPr>
        <w:t>施工期</w:t>
      </w:r>
      <w:r>
        <w:rPr>
          <w:spacing w:val="0"/>
          <w:sz w:val="24"/>
          <w:szCs w:val="24"/>
        </w:rPr>
        <w:t>声</w:t>
      </w:r>
      <w:r>
        <w:rPr>
          <w:rFonts w:hint="eastAsia"/>
          <w:spacing w:val="0"/>
          <w:sz w:val="24"/>
          <w:szCs w:val="24"/>
        </w:rPr>
        <w:t>环境</w:t>
      </w:r>
      <w:r>
        <w:rPr>
          <w:spacing w:val="0"/>
          <w:sz w:val="24"/>
          <w:szCs w:val="24"/>
        </w:rPr>
        <w:t>保护措施</w:t>
      </w:r>
    </w:p>
    <w:p w:rsidR="00EE4502" w:rsidRDefault="00FD45A3">
      <w:pPr>
        <w:spacing w:line="360" w:lineRule="auto"/>
        <w:ind w:firstLine="520"/>
        <w:rPr>
          <w:sz w:val="24"/>
        </w:rPr>
      </w:pPr>
      <w:r>
        <w:rPr>
          <w:rFonts w:hint="eastAsia"/>
          <w:sz w:val="24"/>
        </w:rPr>
        <w:t>本工程</w:t>
      </w:r>
      <w:r>
        <w:rPr>
          <w:sz w:val="24"/>
        </w:rPr>
        <w:t>施工期噪声源主要是各类施工机械和运输车辆。为最大限度避免和减轻施工及运输噪声对周围声环境的不利影响，本评价对施工期噪声控制提出以下要求和建议：</w:t>
      </w:r>
    </w:p>
    <w:p w:rsidR="00EE4502" w:rsidRDefault="00FD45A3">
      <w:pPr>
        <w:spacing w:line="360" w:lineRule="auto"/>
        <w:ind w:firstLine="520"/>
        <w:rPr>
          <w:sz w:val="24"/>
        </w:rPr>
      </w:pPr>
      <w:r>
        <w:rPr>
          <w:sz w:val="24"/>
        </w:rPr>
        <w:t>（</w:t>
      </w:r>
      <w:r>
        <w:rPr>
          <w:sz w:val="24"/>
        </w:rPr>
        <w:t>1</w:t>
      </w:r>
      <w:r>
        <w:rPr>
          <w:sz w:val="24"/>
        </w:rPr>
        <w:t>）建设单位应要求施工单位使用低噪声、低振动的机械设备类型，并在施工中设专人对其进行保养维护，对设备使用人员进行培训，严格按操作规范使用各类机械；</w:t>
      </w:r>
    </w:p>
    <w:p w:rsidR="00EE4502" w:rsidRDefault="00FD45A3">
      <w:pPr>
        <w:spacing w:line="360" w:lineRule="auto"/>
        <w:ind w:firstLine="520"/>
        <w:rPr>
          <w:sz w:val="24"/>
        </w:rPr>
      </w:pPr>
      <w:r>
        <w:rPr>
          <w:sz w:val="24"/>
        </w:rPr>
        <w:t>（</w:t>
      </w:r>
      <w:r>
        <w:rPr>
          <w:sz w:val="24"/>
        </w:rPr>
        <w:t>2</w:t>
      </w:r>
      <w:r>
        <w:rPr>
          <w:sz w:val="24"/>
        </w:rPr>
        <w:t>）施工单位可合理安排施工时间，避免长时间使用高噪声设备，使</w:t>
      </w:r>
      <w:r>
        <w:rPr>
          <w:rFonts w:hint="eastAsia"/>
          <w:sz w:val="24"/>
        </w:rPr>
        <w:t>本工程</w:t>
      </w:r>
      <w:r>
        <w:rPr>
          <w:sz w:val="24"/>
        </w:rPr>
        <w:t>在施工期造成的噪声污染降到最低；</w:t>
      </w:r>
    </w:p>
    <w:p w:rsidR="00EE4502" w:rsidRDefault="00FD45A3">
      <w:pPr>
        <w:spacing w:line="360" w:lineRule="auto"/>
        <w:ind w:firstLine="520"/>
        <w:rPr>
          <w:sz w:val="24"/>
        </w:rPr>
      </w:pPr>
      <w:r>
        <w:rPr>
          <w:sz w:val="24"/>
        </w:rPr>
        <w:t>（</w:t>
      </w:r>
      <w:r>
        <w:rPr>
          <w:sz w:val="24"/>
        </w:rPr>
        <w:t>3</w:t>
      </w:r>
      <w:r>
        <w:rPr>
          <w:sz w:val="24"/>
        </w:rPr>
        <w:t>）运输车辆进出工地时应低速行驶，少鸣笛或不鸣笛。</w:t>
      </w:r>
    </w:p>
    <w:p w:rsidR="00EE4502" w:rsidRDefault="00FD45A3">
      <w:pPr>
        <w:spacing w:line="360" w:lineRule="auto"/>
        <w:ind w:firstLine="520"/>
        <w:rPr>
          <w:sz w:val="24"/>
        </w:rPr>
      </w:pPr>
      <w:r>
        <w:rPr>
          <w:rFonts w:hint="eastAsia"/>
          <w:sz w:val="24"/>
        </w:rPr>
        <w:t>本工程</w:t>
      </w:r>
      <w:r>
        <w:rPr>
          <w:sz w:val="24"/>
        </w:rPr>
        <w:t>建设期环境保护措施切实可行，对周围环境实施了有效的保护。</w:t>
      </w:r>
    </w:p>
    <w:p w:rsidR="00EE4502" w:rsidRDefault="00FD45A3">
      <w:pPr>
        <w:pStyle w:val="33"/>
        <w:numPr>
          <w:ilvl w:val="2"/>
          <w:numId w:val="30"/>
        </w:numPr>
        <w:spacing w:line="360" w:lineRule="auto"/>
        <w:ind w:left="0" w:firstLine="0"/>
        <w:rPr>
          <w:spacing w:val="0"/>
          <w:sz w:val="24"/>
          <w:szCs w:val="24"/>
        </w:rPr>
      </w:pPr>
      <w:r>
        <w:rPr>
          <w:rFonts w:hint="eastAsia"/>
          <w:spacing w:val="0"/>
          <w:sz w:val="24"/>
          <w:szCs w:val="24"/>
        </w:rPr>
        <w:t>运营期</w:t>
      </w:r>
      <w:r>
        <w:rPr>
          <w:spacing w:val="0"/>
          <w:sz w:val="24"/>
          <w:szCs w:val="24"/>
        </w:rPr>
        <w:t>噪声污染防治措施</w:t>
      </w:r>
    </w:p>
    <w:p w:rsidR="00EE4502" w:rsidRDefault="00FD45A3">
      <w:pPr>
        <w:spacing w:line="360" w:lineRule="auto"/>
        <w:ind w:firstLine="522"/>
        <w:rPr>
          <w:sz w:val="24"/>
        </w:rPr>
      </w:pPr>
      <w:r>
        <w:rPr>
          <w:sz w:val="24"/>
        </w:rPr>
        <w:t>（</w:t>
      </w:r>
      <w:r>
        <w:rPr>
          <w:sz w:val="24"/>
        </w:rPr>
        <w:t>1</w:t>
      </w:r>
      <w:r>
        <w:rPr>
          <w:sz w:val="24"/>
        </w:rPr>
        <w:t>）对噪声源强度较大的设备进行减噪处理，根据各种设备类型所产生噪</w:t>
      </w:r>
      <w:r>
        <w:rPr>
          <w:sz w:val="24"/>
        </w:rPr>
        <w:lastRenderedPageBreak/>
        <w:t>声的特性，采用不同的控制手段。</w:t>
      </w:r>
    </w:p>
    <w:p w:rsidR="00EE4502" w:rsidRDefault="00FD45A3">
      <w:pPr>
        <w:spacing w:line="360" w:lineRule="auto"/>
        <w:ind w:firstLine="522"/>
        <w:rPr>
          <w:sz w:val="24"/>
        </w:rPr>
      </w:pPr>
      <w:r>
        <w:rPr>
          <w:sz w:val="24"/>
        </w:rPr>
        <w:t>（</w:t>
      </w:r>
      <w:r>
        <w:rPr>
          <w:sz w:val="24"/>
        </w:rPr>
        <w:t>2</w:t>
      </w:r>
      <w:r>
        <w:rPr>
          <w:sz w:val="24"/>
        </w:rPr>
        <w:t>）提高工艺过程自动化水平，尽量减少操作人员在噪声源的停留时间。设备采用巡检的方式，由操作人员定期对装置区进行检查，尽量减少人员与噪声的接触时间。</w:t>
      </w:r>
    </w:p>
    <w:p w:rsidR="00EE4502" w:rsidRDefault="00FD45A3">
      <w:pPr>
        <w:spacing w:line="360" w:lineRule="auto"/>
        <w:ind w:firstLine="522"/>
        <w:rPr>
          <w:sz w:val="24"/>
        </w:rPr>
      </w:pPr>
      <w:r>
        <w:rPr>
          <w:sz w:val="24"/>
        </w:rPr>
        <w:t>综上，</w:t>
      </w:r>
      <w:r>
        <w:rPr>
          <w:rFonts w:hint="eastAsia"/>
          <w:sz w:val="24"/>
        </w:rPr>
        <w:t>本工程</w:t>
      </w:r>
      <w:r>
        <w:rPr>
          <w:sz w:val="24"/>
        </w:rPr>
        <w:t>采取的噪声污染防治措施可行。</w:t>
      </w:r>
    </w:p>
    <w:p w:rsidR="00EE4502" w:rsidRDefault="00FD45A3">
      <w:pPr>
        <w:pStyle w:val="33"/>
        <w:numPr>
          <w:ilvl w:val="2"/>
          <w:numId w:val="30"/>
        </w:numPr>
        <w:spacing w:line="360" w:lineRule="auto"/>
        <w:ind w:left="0" w:firstLine="0"/>
        <w:rPr>
          <w:spacing w:val="0"/>
          <w:sz w:val="24"/>
          <w:szCs w:val="24"/>
        </w:rPr>
      </w:pPr>
      <w:r>
        <w:rPr>
          <w:rFonts w:hint="eastAsia"/>
          <w:spacing w:val="0"/>
          <w:sz w:val="24"/>
          <w:szCs w:val="20"/>
        </w:rPr>
        <w:t>退役</w:t>
      </w:r>
      <w:r>
        <w:rPr>
          <w:rFonts w:hint="eastAsia"/>
          <w:spacing w:val="0"/>
          <w:sz w:val="24"/>
          <w:szCs w:val="24"/>
        </w:rPr>
        <w:t>期噪声污染防治措施</w:t>
      </w:r>
    </w:p>
    <w:p w:rsidR="00EE4502" w:rsidRDefault="00FD45A3">
      <w:pPr>
        <w:spacing w:line="360" w:lineRule="auto"/>
        <w:ind w:firstLineChars="200" w:firstLine="480"/>
        <w:rPr>
          <w:sz w:val="24"/>
          <w:szCs w:val="20"/>
        </w:rPr>
      </w:pPr>
      <w:r>
        <w:rPr>
          <w:rFonts w:hint="eastAsia"/>
          <w:sz w:val="24"/>
          <w:szCs w:val="20"/>
        </w:rPr>
        <w:t>加强车辆管理，合理规划路线，禁止车辆随意鸣笛。</w:t>
      </w:r>
    </w:p>
    <w:p w:rsidR="00EE4502" w:rsidRDefault="00FD45A3">
      <w:pPr>
        <w:pStyle w:val="22"/>
        <w:numPr>
          <w:ilvl w:val="1"/>
          <w:numId w:val="30"/>
        </w:numPr>
        <w:rPr>
          <w:spacing w:val="0"/>
          <w:w w:val="100"/>
        </w:rPr>
      </w:pPr>
      <w:bookmarkStart w:id="245" w:name="_Toc12103"/>
      <w:r>
        <w:rPr>
          <w:rFonts w:hint="eastAsia"/>
          <w:spacing w:val="0"/>
          <w:w w:val="100"/>
        </w:rPr>
        <w:t>固体废物处理措施可行性论证</w:t>
      </w:r>
      <w:bookmarkEnd w:id="245"/>
    </w:p>
    <w:p w:rsidR="00EE4502" w:rsidRDefault="00FD45A3">
      <w:pPr>
        <w:pStyle w:val="33"/>
        <w:numPr>
          <w:ilvl w:val="2"/>
          <w:numId w:val="30"/>
        </w:numPr>
        <w:spacing w:line="360" w:lineRule="auto"/>
        <w:ind w:left="0" w:firstLine="0"/>
        <w:rPr>
          <w:spacing w:val="0"/>
          <w:sz w:val="24"/>
          <w:szCs w:val="24"/>
        </w:rPr>
      </w:pPr>
      <w:r>
        <w:rPr>
          <w:rFonts w:hint="eastAsia"/>
          <w:spacing w:val="0"/>
          <w:sz w:val="24"/>
          <w:szCs w:val="24"/>
        </w:rPr>
        <w:t>施工期</w:t>
      </w:r>
      <w:r>
        <w:rPr>
          <w:spacing w:val="0"/>
          <w:sz w:val="24"/>
          <w:szCs w:val="24"/>
        </w:rPr>
        <w:t>固体废物污染防治措施</w:t>
      </w:r>
    </w:p>
    <w:p w:rsidR="00EE4502" w:rsidRDefault="00FD45A3">
      <w:pPr>
        <w:spacing w:line="360" w:lineRule="auto"/>
        <w:ind w:firstLineChars="200" w:firstLine="480"/>
        <w:rPr>
          <w:sz w:val="24"/>
        </w:rPr>
      </w:pPr>
      <w:r>
        <w:rPr>
          <w:sz w:val="24"/>
        </w:rPr>
        <w:t>（</w:t>
      </w:r>
      <w:r>
        <w:rPr>
          <w:sz w:val="24"/>
        </w:rPr>
        <w:t>1</w:t>
      </w:r>
      <w:r>
        <w:rPr>
          <w:sz w:val="24"/>
        </w:rPr>
        <w:t>）废弃钻井泥浆和岩屑的处置</w:t>
      </w:r>
    </w:p>
    <w:p w:rsidR="00EE4502" w:rsidRDefault="00FD45A3">
      <w:pPr>
        <w:spacing w:line="360" w:lineRule="auto"/>
        <w:ind w:firstLineChars="200" w:firstLine="480"/>
        <w:rPr>
          <w:sz w:val="24"/>
        </w:rPr>
      </w:pPr>
      <w:r>
        <w:rPr>
          <w:sz w:val="24"/>
        </w:rPr>
        <w:t>钻井过程中，本次</w:t>
      </w:r>
      <w:r>
        <w:rPr>
          <w:rFonts w:hint="eastAsia"/>
          <w:sz w:val="24"/>
        </w:rPr>
        <w:t>18</w:t>
      </w:r>
      <w:r>
        <w:rPr>
          <w:rFonts w:hint="eastAsia"/>
          <w:sz w:val="24"/>
        </w:rPr>
        <w:t>口</w:t>
      </w:r>
      <w:r>
        <w:rPr>
          <w:sz w:val="24"/>
        </w:rPr>
        <w:t>新钻井在施工过程中采用</w:t>
      </w:r>
      <w:r>
        <w:rPr>
          <w:rFonts w:hint="eastAsia"/>
          <w:sz w:val="24"/>
        </w:rPr>
        <w:t>“</w:t>
      </w:r>
      <w:r>
        <w:rPr>
          <w:sz w:val="24"/>
        </w:rPr>
        <w:t>钻井废弃物不落地达标处理管理措施</w:t>
      </w:r>
      <w:r>
        <w:rPr>
          <w:rFonts w:hint="eastAsia"/>
          <w:sz w:val="24"/>
        </w:rPr>
        <w:t>”</w:t>
      </w:r>
      <w:r>
        <w:rPr>
          <w:sz w:val="24"/>
        </w:rPr>
        <w:t>，井场不设防渗泥浆池，在钻井井台每处旁放置</w:t>
      </w:r>
      <w:r>
        <w:rPr>
          <w:sz w:val="24"/>
        </w:rPr>
        <w:t>25</w:t>
      </w:r>
      <w:r>
        <w:rPr>
          <w:rFonts w:hint="eastAsia"/>
          <w:sz w:val="24"/>
        </w:rPr>
        <w:t>m</w:t>
      </w:r>
      <w:r>
        <w:rPr>
          <w:rFonts w:hint="eastAsia"/>
          <w:sz w:val="24"/>
        </w:rPr>
        <w:t>³</w:t>
      </w:r>
      <w:r>
        <w:rPr>
          <w:sz w:val="24"/>
        </w:rPr>
        <w:t>钢制罐一个存放钻井泥浆，产生的钻井废弃泥浆定期集中拉运至</w:t>
      </w:r>
      <w:r>
        <w:rPr>
          <w:rFonts w:hint="eastAsia"/>
          <w:sz w:val="24"/>
        </w:rPr>
        <w:t>克拉玛依前山石油工程服务有限公司</w:t>
      </w:r>
      <w:r>
        <w:rPr>
          <w:sz w:val="24"/>
        </w:rPr>
        <w:t>进行处理，钻井岩屑经分离后用于井场铺路等。</w:t>
      </w:r>
    </w:p>
    <w:p w:rsidR="00EE4502" w:rsidRDefault="00FD45A3">
      <w:pPr>
        <w:spacing w:line="360" w:lineRule="auto"/>
        <w:ind w:firstLineChars="200" w:firstLine="480"/>
        <w:rPr>
          <w:sz w:val="24"/>
        </w:rPr>
      </w:pPr>
      <w:r>
        <w:rPr>
          <w:sz w:val="24"/>
        </w:rPr>
        <w:t>（</w:t>
      </w:r>
      <w:r>
        <w:rPr>
          <w:sz w:val="24"/>
        </w:rPr>
        <w:t>2</w:t>
      </w:r>
      <w:r>
        <w:rPr>
          <w:sz w:val="24"/>
        </w:rPr>
        <w:t>）妥善存放建筑原料等物品，不得失散在井场。焊接及吹扫废渣、设备废弃包装等一般工业固体废物，收集后送至</w:t>
      </w:r>
      <w:r>
        <w:rPr>
          <w:rFonts w:hint="eastAsia"/>
          <w:sz w:val="24"/>
        </w:rPr>
        <w:t>胡杨河经济技术开发区</w:t>
      </w:r>
      <w:r>
        <w:rPr>
          <w:sz w:val="24"/>
        </w:rPr>
        <w:t>一般固体废物填埋场处置；</w:t>
      </w:r>
    </w:p>
    <w:p w:rsidR="00EE4502" w:rsidRDefault="00FD45A3">
      <w:pPr>
        <w:spacing w:line="360" w:lineRule="auto"/>
        <w:ind w:firstLineChars="200" w:firstLine="480"/>
        <w:rPr>
          <w:sz w:val="24"/>
        </w:rPr>
      </w:pPr>
      <w:r>
        <w:rPr>
          <w:sz w:val="24"/>
        </w:rPr>
        <w:t>（</w:t>
      </w:r>
      <w:r>
        <w:rPr>
          <w:sz w:val="24"/>
        </w:rPr>
        <w:t>3</w:t>
      </w:r>
      <w:r>
        <w:rPr>
          <w:rFonts w:hint="eastAsia"/>
          <w:sz w:val="24"/>
        </w:rPr>
        <w:t>）</w:t>
      </w:r>
      <w:r>
        <w:rPr>
          <w:rFonts w:hint="eastAsia"/>
          <w:sz w:val="24"/>
        </w:rPr>
        <w:t>废烧碱包装袋</w:t>
      </w:r>
      <w:r>
        <w:rPr>
          <w:rFonts w:hint="eastAsia"/>
          <w:sz w:val="24"/>
        </w:rPr>
        <w:t>、</w:t>
      </w:r>
      <w:r>
        <w:rPr>
          <w:sz w:val="24"/>
        </w:rPr>
        <w:t>废机油</w:t>
      </w:r>
      <w:r>
        <w:rPr>
          <w:rFonts w:hint="eastAsia"/>
          <w:sz w:val="24"/>
        </w:rPr>
        <w:t>等</w:t>
      </w:r>
      <w:r>
        <w:rPr>
          <w:sz w:val="24"/>
        </w:rPr>
        <w:t>收集</w:t>
      </w:r>
      <w:r>
        <w:rPr>
          <w:rFonts w:hint="eastAsia"/>
          <w:sz w:val="24"/>
        </w:rPr>
        <w:t>后</w:t>
      </w:r>
      <w:r>
        <w:rPr>
          <w:sz w:val="24"/>
        </w:rPr>
        <w:t>交由有资质的单位进行处置。</w:t>
      </w:r>
    </w:p>
    <w:p w:rsidR="00EE4502" w:rsidRDefault="00FD45A3">
      <w:pPr>
        <w:spacing w:line="360" w:lineRule="auto"/>
        <w:ind w:firstLineChars="200" w:firstLine="480"/>
        <w:rPr>
          <w:sz w:val="24"/>
        </w:rPr>
      </w:pPr>
      <w:r>
        <w:rPr>
          <w:rFonts w:hint="eastAsia"/>
          <w:sz w:val="24"/>
        </w:rPr>
        <w:t>危废暂存依托春风油田已建危废暂存场。该危废暂存场距离本工程西南约</w:t>
      </w:r>
      <w:r>
        <w:rPr>
          <w:rFonts w:hint="eastAsia"/>
          <w:sz w:val="24"/>
        </w:rPr>
        <w:t>6.5km</w:t>
      </w:r>
      <w:r>
        <w:rPr>
          <w:sz w:val="24"/>
        </w:rPr>
        <w:t>。应按国家有关标准和规定建立危险废物管理台账并保存。</w:t>
      </w:r>
    </w:p>
    <w:p w:rsidR="00EE4502" w:rsidRDefault="00FD45A3">
      <w:pPr>
        <w:spacing w:line="360" w:lineRule="auto"/>
        <w:ind w:firstLineChars="200" w:firstLine="480"/>
        <w:rPr>
          <w:sz w:val="24"/>
        </w:rPr>
      </w:pPr>
      <w:r>
        <w:rPr>
          <w:sz w:val="24"/>
        </w:rPr>
        <w:t>（</w:t>
      </w:r>
      <w:r>
        <w:rPr>
          <w:sz w:val="24"/>
        </w:rPr>
        <w:t>4</w:t>
      </w:r>
      <w:r>
        <w:rPr>
          <w:sz w:val="24"/>
        </w:rPr>
        <w:t>）</w:t>
      </w:r>
      <w:r>
        <w:rPr>
          <w:rFonts w:hint="eastAsia"/>
          <w:sz w:val="24"/>
        </w:rPr>
        <w:t>生活垃圾在垃圾收集箱暂存，由克拉玛依前山石油工程服务有限公司清运至克拉玛依市生活垃圾填埋场（排</w:t>
      </w:r>
      <w:r>
        <w:rPr>
          <w:rFonts w:hint="eastAsia"/>
          <w:sz w:val="24"/>
        </w:rPr>
        <w:t>61</w:t>
      </w:r>
      <w:r>
        <w:rPr>
          <w:rFonts w:hint="eastAsia"/>
          <w:sz w:val="24"/>
        </w:rPr>
        <w:t>块产能部分位于克拉玛依境内）或第七师</w:t>
      </w:r>
      <w:r>
        <w:rPr>
          <w:rFonts w:hint="eastAsia"/>
          <w:sz w:val="24"/>
        </w:rPr>
        <w:t>128</w:t>
      </w:r>
      <w:r>
        <w:rPr>
          <w:rFonts w:hint="eastAsia"/>
          <w:sz w:val="24"/>
        </w:rPr>
        <w:t>团生活垃圾填埋场（注水部分位于第七师境内）处置</w:t>
      </w:r>
      <w:r>
        <w:rPr>
          <w:sz w:val="24"/>
        </w:rPr>
        <w:t>。</w:t>
      </w:r>
    </w:p>
    <w:p w:rsidR="00EE4502" w:rsidRDefault="00FD45A3">
      <w:pPr>
        <w:pStyle w:val="33"/>
        <w:numPr>
          <w:ilvl w:val="2"/>
          <w:numId w:val="30"/>
        </w:numPr>
        <w:spacing w:line="360" w:lineRule="auto"/>
        <w:ind w:left="0" w:firstLine="0"/>
        <w:rPr>
          <w:spacing w:val="0"/>
          <w:sz w:val="24"/>
          <w:szCs w:val="24"/>
        </w:rPr>
      </w:pPr>
      <w:r>
        <w:rPr>
          <w:rFonts w:hint="eastAsia"/>
          <w:spacing w:val="0"/>
          <w:sz w:val="24"/>
          <w:szCs w:val="24"/>
        </w:rPr>
        <w:t>运营期</w:t>
      </w:r>
      <w:r>
        <w:rPr>
          <w:spacing w:val="0"/>
          <w:sz w:val="24"/>
          <w:szCs w:val="24"/>
        </w:rPr>
        <w:t>固体废物污染防治措施</w:t>
      </w:r>
    </w:p>
    <w:p w:rsidR="00EE4502" w:rsidRDefault="00FD45A3">
      <w:pPr>
        <w:pStyle w:val="41"/>
        <w:numPr>
          <w:ilvl w:val="3"/>
          <w:numId w:val="30"/>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bCs w:val="0"/>
          <w:sz w:val="24"/>
          <w:szCs w:val="24"/>
        </w:rPr>
        <w:t>固体废物产生及处置情况</w:t>
      </w:r>
    </w:p>
    <w:p w:rsidR="00EE4502" w:rsidRDefault="00FD45A3">
      <w:pPr>
        <w:spacing w:line="360" w:lineRule="auto"/>
        <w:ind w:firstLine="522"/>
        <w:rPr>
          <w:sz w:val="24"/>
        </w:rPr>
      </w:pPr>
      <w:bookmarkStart w:id="246" w:name="_Hlk76402360"/>
      <w:bookmarkStart w:id="247" w:name="_Hlk77960415"/>
      <w:r>
        <w:rPr>
          <w:rFonts w:hint="eastAsia"/>
          <w:sz w:val="24"/>
        </w:rPr>
        <w:t>根据《国家危险废物名录（</w:t>
      </w:r>
      <w:r>
        <w:rPr>
          <w:rFonts w:hint="eastAsia"/>
          <w:sz w:val="24"/>
        </w:rPr>
        <w:t>2025</w:t>
      </w:r>
      <w:r>
        <w:rPr>
          <w:rFonts w:hint="eastAsia"/>
          <w:sz w:val="24"/>
        </w:rPr>
        <w:t>年版）》，本工程运营期产生的危险废物主要有落地油</w:t>
      </w:r>
      <w:r>
        <w:rPr>
          <w:rFonts w:hint="eastAsia"/>
          <w:sz w:val="24"/>
        </w:rPr>
        <w:t>、废防渗布、清管废渣、废润滑油等，均为危险废物。</w:t>
      </w:r>
    </w:p>
    <w:p w:rsidR="00EE4502" w:rsidRDefault="00FD45A3">
      <w:pPr>
        <w:spacing w:line="360" w:lineRule="auto"/>
        <w:ind w:firstLine="522"/>
        <w:rPr>
          <w:sz w:val="24"/>
        </w:rPr>
      </w:pPr>
      <w:r>
        <w:rPr>
          <w:rFonts w:hint="eastAsia"/>
          <w:sz w:val="24"/>
        </w:rPr>
        <w:t>本工程危险废物产生情况及危险特性见表</w:t>
      </w:r>
      <w:r>
        <w:rPr>
          <w:rFonts w:hint="eastAsia"/>
          <w:sz w:val="24"/>
        </w:rPr>
        <w:t>6-</w:t>
      </w:r>
      <w:r>
        <w:rPr>
          <w:rFonts w:hint="eastAsia"/>
          <w:sz w:val="24"/>
        </w:rPr>
        <w:t>7</w:t>
      </w:r>
      <w:r>
        <w:rPr>
          <w:rFonts w:hint="eastAsia"/>
          <w:sz w:val="24"/>
        </w:rPr>
        <w:t>-</w:t>
      </w:r>
      <w:r>
        <w:rPr>
          <w:rFonts w:hint="eastAsia"/>
          <w:sz w:val="24"/>
        </w:rPr>
        <w:t>1</w:t>
      </w:r>
      <w:r>
        <w:rPr>
          <w:rFonts w:hint="eastAsia"/>
          <w:sz w:val="24"/>
        </w:rPr>
        <w:t>。</w:t>
      </w:r>
    </w:p>
    <w:p w:rsidR="00EE4502" w:rsidRDefault="00FD45A3">
      <w:pPr>
        <w:spacing w:line="360" w:lineRule="auto"/>
        <w:jc w:val="center"/>
        <w:rPr>
          <w:rFonts w:eastAsia="黑体"/>
        </w:rPr>
      </w:pPr>
      <w:r>
        <w:rPr>
          <w:rFonts w:eastAsia="黑体"/>
        </w:rPr>
        <w:t>表</w:t>
      </w:r>
      <w:r>
        <w:rPr>
          <w:rFonts w:eastAsia="黑体" w:hint="eastAsia"/>
        </w:rPr>
        <w:t>6-</w:t>
      </w:r>
      <w:r>
        <w:rPr>
          <w:rFonts w:eastAsia="黑体" w:hint="eastAsia"/>
        </w:rPr>
        <w:t>7</w:t>
      </w:r>
      <w:r>
        <w:rPr>
          <w:rFonts w:eastAsia="黑体" w:hint="eastAsia"/>
        </w:rPr>
        <w:t>-</w:t>
      </w:r>
      <w:r>
        <w:rPr>
          <w:rFonts w:eastAsia="黑体" w:hint="eastAsia"/>
        </w:rPr>
        <w:t>1</w:t>
      </w:r>
      <w:r>
        <w:rPr>
          <w:rFonts w:eastAsia="黑体"/>
        </w:rPr>
        <w:t xml:space="preserve">    </w:t>
      </w:r>
      <w:r>
        <w:rPr>
          <w:rFonts w:eastAsia="黑体"/>
        </w:rPr>
        <w:t>危险废物产生及处置情况一览表</w:t>
      </w:r>
    </w:p>
    <w:tbl>
      <w:tblPr>
        <w:tblW w:w="5000" w:type="pct"/>
        <w:jc w:val="center"/>
        <w:tblBorders>
          <w:top w:val="single" w:sz="8" w:space="0" w:color="auto"/>
          <w:bottom w:val="single" w:sz="8" w:space="0" w:color="auto"/>
          <w:insideH w:val="single" w:sz="8" w:space="0" w:color="auto"/>
          <w:insideV w:val="single" w:sz="8" w:space="0" w:color="auto"/>
        </w:tblBorders>
        <w:tblLook w:val="04A0" w:firstRow="1" w:lastRow="0" w:firstColumn="1" w:lastColumn="0" w:noHBand="0" w:noVBand="1"/>
      </w:tblPr>
      <w:tblGrid>
        <w:gridCol w:w="437"/>
        <w:gridCol w:w="615"/>
        <w:gridCol w:w="1215"/>
        <w:gridCol w:w="1157"/>
        <w:gridCol w:w="910"/>
        <w:gridCol w:w="614"/>
        <w:gridCol w:w="762"/>
        <w:gridCol w:w="614"/>
        <w:gridCol w:w="523"/>
        <w:gridCol w:w="615"/>
        <w:gridCol w:w="1060"/>
      </w:tblGrid>
      <w:tr w:rsidR="00EE4502">
        <w:trPr>
          <w:trHeight w:val="340"/>
          <w:jc w:val="center"/>
        </w:trPr>
        <w:tc>
          <w:tcPr>
            <w:tcW w:w="256" w:type="pct"/>
            <w:vAlign w:val="center"/>
          </w:tcPr>
          <w:p w:rsidR="00EE4502" w:rsidRDefault="00FD45A3">
            <w:pPr>
              <w:pStyle w:val="ArialGB23121"/>
              <w:spacing w:line="240" w:lineRule="auto"/>
              <w:jc w:val="center"/>
              <w:rPr>
                <w:rFonts w:hAnsi="Times New Roman"/>
                <w:bCs/>
                <w:sz w:val="18"/>
                <w:szCs w:val="18"/>
              </w:rPr>
            </w:pPr>
            <w:r>
              <w:rPr>
                <w:rFonts w:hAnsi="Times New Roman"/>
                <w:bCs/>
                <w:sz w:val="18"/>
                <w:szCs w:val="18"/>
              </w:rPr>
              <w:t>序</w:t>
            </w:r>
            <w:r>
              <w:rPr>
                <w:rFonts w:hAnsi="Times New Roman"/>
                <w:bCs/>
                <w:sz w:val="18"/>
                <w:szCs w:val="18"/>
              </w:rPr>
              <w:lastRenderedPageBreak/>
              <w:t>号</w:t>
            </w:r>
          </w:p>
        </w:tc>
        <w:tc>
          <w:tcPr>
            <w:tcW w:w="361" w:type="pct"/>
            <w:vAlign w:val="center"/>
          </w:tcPr>
          <w:p w:rsidR="00EE4502" w:rsidRDefault="00FD45A3">
            <w:pPr>
              <w:pStyle w:val="ArialGB23121"/>
              <w:spacing w:line="240" w:lineRule="auto"/>
              <w:jc w:val="center"/>
              <w:rPr>
                <w:rFonts w:hAnsi="Times New Roman"/>
                <w:bCs/>
                <w:sz w:val="18"/>
                <w:szCs w:val="18"/>
              </w:rPr>
            </w:pPr>
            <w:r>
              <w:rPr>
                <w:rFonts w:hAnsi="Times New Roman"/>
                <w:bCs/>
                <w:sz w:val="18"/>
                <w:szCs w:val="18"/>
              </w:rPr>
              <w:lastRenderedPageBreak/>
              <w:t>危险</w:t>
            </w:r>
            <w:r>
              <w:rPr>
                <w:rFonts w:hAnsi="Times New Roman"/>
                <w:bCs/>
                <w:sz w:val="18"/>
                <w:szCs w:val="18"/>
              </w:rPr>
              <w:lastRenderedPageBreak/>
              <w:t>废物名称</w:t>
            </w:r>
          </w:p>
        </w:tc>
        <w:tc>
          <w:tcPr>
            <w:tcW w:w="713" w:type="pct"/>
            <w:vAlign w:val="center"/>
          </w:tcPr>
          <w:p w:rsidR="00EE4502" w:rsidRDefault="00FD45A3">
            <w:pPr>
              <w:pStyle w:val="ArialGB23121"/>
              <w:spacing w:line="240" w:lineRule="auto"/>
              <w:jc w:val="center"/>
              <w:rPr>
                <w:rFonts w:hAnsi="Times New Roman"/>
                <w:bCs/>
                <w:sz w:val="18"/>
                <w:szCs w:val="18"/>
              </w:rPr>
            </w:pPr>
            <w:r>
              <w:rPr>
                <w:rFonts w:hAnsi="Times New Roman"/>
                <w:bCs/>
                <w:sz w:val="18"/>
                <w:szCs w:val="18"/>
              </w:rPr>
              <w:lastRenderedPageBreak/>
              <w:t>危险废物类</w:t>
            </w:r>
            <w:r>
              <w:rPr>
                <w:rFonts w:hAnsi="Times New Roman"/>
                <w:bCs/>
                <w:sz w:val="18"/>
                <w:szCs w:val="18"/>
              </w:rPr>
              <w:lastRenderedPageBreak/>
              <w:t>别</w:t>
            </w:r>
          </w:p>
        </w:tc>
        <w:tc>
          <w:tcPr>
            <w:tcW w:w="679" w:type="pct"/>
            <w:vAlign w:val="center"/>
          </w:tcPr>
          <w:p w:rsidR="00EE4502" w:rsidRDefault="00FD45A3">
            <w:pPr>
              <w:pStyle w:val="ArialGB23121"/>
              <w:spacing w:line="240" w:lineRule="auto"/>
              <w:jc w:val="center"/>
              <w:rPr>
                <w:rFonts w:hAnsi="Times New Roman"/>
                <w:bCs/>
                <w:sz w:val="18"/>
                <w:szCs w:val="18"/>
              </w:rPr>
            </w:pPr>
            <w:r>
              <w:rPr>
                <w:rFonts w:hAnsi="Times New Roman"/>
                <w:bCs/>
                <w:sz w:val="18"/>
                <w:szCs w:val="18"/>
              </w:rPr>
              <w:lastRenderedPageBreak/>
              <w:t>危险废物代</w:t>
            </w:r>
            <w:r>
              <w:rPr>
                <w:rFonts w:hAnsi="Times New Roman"/>
                <w:bCs/>
                <w:sz w:val="18"/>
                <w:szCs w:val="18"/>
              </w:rPr>
              <w:lastRenderedPageBreak/>
              <w:t>码</w:t>
            </w:r>
          </w:p>
        </w:tc>
        <w:tc>
          <w:tcPr>
            <w:tcW w:w="534" w:type="pct"/>
            <w:vAlign w:val="center"/>
          </w:tcPr>
          <w:p w:rsidR="00EE4502" w:rsidRDefault="00FD45A3">
            <w:pPr>
              <w:pStyle w:val="ArialGB23121"/>
              <w:spacing w:line="240" w:lineRule="auto"/>
              <w:jc w:val="center"/>
              <w:rPr>
                <w:rFonts w:hAnsi="Times New Roman"/>
                <w:bCs/>
                <w:sz w:val="18"/>
                <w:szCs w:val="18"/>
              </w:rPr>
            </w:pPr>
            <w:r>
              <w:rPr>
                <w:rFonts w:hAnsi="Times New Roman"/>
                <w:bCs/>
                <w:sz w:val="18"/>
                <w:szCs w:val="18"/>
              </w:rPr>
              <w:lastRenderedPageBreak/>
              <w:t>产生量</w:t>
            </w:r>
          </w:p>
        </w:tc>
        <w:tc>
          <w:tcPr>
            <w:tcW w:w="360" w:type="pct"/>
            <w:vAlign w:val="center"/>
          </w:tcPr>
          <w:p w:rsidR="00EE4502" w:rsidRDefault="00FD45A3">
            <w:pPr>
              <w:pStyle w:val="ArialGB23121"/>
              <w:spacing w:line="240" w:lineRule="auto"/>
              <w:jc w:val="center"/>
              <w:rPr>
                <w:rFonts w:hAnsi="Times New Roman"/>
                <w:bCs/>
                <w:sz w:val="18"/>
                <w:szCs w:val="18"/>
              </w:rPr>
            </w:pPr>
            <w:r>
              <w:rPr>
                <w:rFonts w:hAnsi="Times New Roman"/>
                <w:bCs/>
                <w:sz w:val="18"/>
                <w:szCs w:val="18"/>
              </w:rPr>
              <w:t>产生</w:t>
            </w:r>
            <w:r>
              <w:rPr>
                <w:rFonts w:hAnsi="Times New Roman"/>
                <w:bCs/>
                <w:sz w:val="18"/>
                <w:szCs w:val="18"/>
              </w:rPr>
              <w:lastRenderedPageBreak/>
              <w:t>工序</w:t>
            </w:r>
          </w:p>
        </w:tc>
        <w:tc>
          <w:tcPr>
            <w:tcW w:w="447" w:type="pct"/>
            <w:vAlign w:val="center"/>
          </w:tcPr>
          <w:p w:rsidR="00EE4502" w:rsidRDefault="00FD45A3">
            <w:pPr>
              <w:pStyle w:val="ArialGB23121"/>
              <w:spacing w:line="240" w:lineRule="auto"/>
              <w:jc w:val="center"/>
              <w:rPr>
                <w:rFonts w:hAnsi="Times New Roman"/>
                <w:bCs/>
                <w:sz w:val="18"/>
                <w:szCs w:val="18"/>
              </w:rPr>
            </w:pPr>
            <w:r>
              <w:rPr>
                <w:rFonts w:hAnsi="Times New Roman"/>
                <w:bCs/>
                <w:sz w:val="18"/>
                <w:szCs w:val="18"/>
              </w:rPr>
              <w:lastRenderedPageBreak/>
              <w:t>形态</w:t>
            </w:r>
          </w:p>
        </w:tc>
        <w:tc>
          <w:tcPr>
            <w:tcW w:w="360" w:type="pct"/>
            <w:vAlign w:val="center"/>
          </w:tcPr>
          <w:p w:rsidR="00EE4502" w:rsidRDefault="00FD45A3">
            <w:pPr>
              <w:pStyle w:val="ArialGB23121"/>
              <w:spacing w:line="240" w:lineRule="auto"/>
              <w:jc w:val="center"/>
              <w:rPr>
                <w:rFonts w:hAnsi="Times New Roman"/>
                <w:bCs/>
                <w:sz w:val="18"/>
                <w:szCs w:val="18"/>
              </w:rPr>
            </w:pPr>
            <w:r>
              <w:rPr>
                <w:rFonts w:hAnsi="Times New Roman"/>
                <w:bCs/>
                <w:sz w:val="18"/>
                <w:szCs w:val="18"/>
              </w:rPr>
              <w:t>主要</w:t>
            </w:r>
            <w:r>
              <w:rPr>
                <w:rFonts w:hAnsi="Times New Roman"/>
                <w:bCs/>
                <w:sz w:val="18"/>
                <w:szCs w:val="18"/>
              </w:rPr>
              <w:lastRenderedPageBreak/>
              <w:t>危险成分</w:t>
            </w:r>
          </w:p>
        </w:tc>
        <w:tc>
          <w:tcPr>
            <w:tcW w:w="307" w:type="pct"/>
            <w:vAlign w:val="center"/>
          </w:tcPr>
          <w:p w:rsidR="00EE4502" w:rsidRDefault="00FD45A3">
            <w:pPr>
              <w:pStyle w:val="ArialGB23121"/>
              <w:spacing w:line="240" w:lineRule="auto"/>
              <w:jc w:val="center"/>
              <w:rPr>
                <w:rFonts w:hAnsi="Times New Roman"/>
                <w:bCs/>
                <w:sz w:val="18"/>
                <w:szCs w:val="18"/>
              </w:rPr>
            </w:pPr>
            <w:r>
              <w:rPr>
                <w:rFonts w:hAnsi="Times New Roman"/>
                <w:bCs/>
                <w:sz w:val="18"/>
                <w:szCs w:val="18"/>
              </w:rPr>
              <w:lastRenderedPageBreak/>
              <w:t>产</w:t>
            </w:r>
            <w:r>
              <w:rPr>
                <w:rFonts w:hAnsi="Times New Roman"/>
                <w:bCs/>
                <w:sz w:val="18"/>
                <w:szCs w:val="18"/>
              </w:rPr>
              <w:lastRenderedPageBreak/>
              <w:t>废周期</w:t>
            </w:r>
          </w:p>
        </w:tc>
        <w:tc>
          <w:tcPr>
            <w:tcW w:w="361" w:type="pct"/>
            <w:vAlign w:val="center"/>
          </w:tcPr>
          <w:p w:rsidR="00EE4502" w:rsidRDefault="00FD45A3">
            <w:pPr>
              <w:pStyle w:val="ArialGB23121"/>
              <w:spacing w:line="240" w:lineRule="auto"/>
              <w:jc w:val="center"/>
              <w:rPr>
                <w:rFonts w:hAnsi="Times New Roman"/>
                <w:bCs/>
                <w:sz w:val="18"/>
                <w:szCs w:val="18"/>
              </w:rPr>
            </w:pPr>
            <w:r>
              <w:rPr>
                <w:rFonts w:hAnsi="Times New Roman"/>
                <w:bCs/>
                <w:sz w:val="18"/>
                <w:szCs w:val="18"/>
              </w:rPr>
              <w:lastRenderedPageBreak/>
              <w:t>危险</w:t>
            </w:r>
            <w:r>
              <w:rPr>
                <w:rFonts w:hAnsi="Times New Roman"/>
                <w:bCs/>
                <w:sz w:val="18"/>
                <w:szCs w:val="18"/>
              </w:rPr>
              <w:lastRenderedPageBreak/>
              <w:t>特性</w:t>
            </w:r>
          </w:p>
        </w:tc>
        <w:tc>
          <w:tcPr>
            <w:tcW w:w="622" w:type="pct"/>
            <w:vAlign w:val="center"/>
          </w:tcPr>
          <w:p w:rsidR="00EE4502" w:rsidRDefault="00FD45A3">
            <w:pPr>
              <w:pStyle w:val="ArialGB23121"/>
              <w:spacing w:line="240" w:lineRule="auto"/>
              <w:jc w:val="center"/>
              <w:rPr>
                <w:rFonts w:hAnsi="Times New Roman"/>
                <w:bCs/>
                <w:sz w:val="18"/>
                <w:szCs w:val="18"/>
              </w:rPr>
            </w:pPr>
            <w:r>
              <w:rPr>
                <w:rFonts w:hAnsi="Times New Roman"/>
                <w:bCs/>
                <w:sz w:val="18"/>
                <w:szCs w:val="18"/>
              </w:rPr>
              <w:lastRenderedPageBreak/>
              <w:t>污染物防</w:t>
            </w:r>
            <w:r>
              <w:rPr>
                <w:rFonts w:hAnsi="Times New Roman"/>
                <w:bCs/>
                <w:sz w:val="18"/>
                <w:szCs w:val="18"/>
              </w:rPr>
              <w:lastRenderedPageBreak/>
              <w:t>治措施</w:t>
            </w:r>
          </w:p>
        </w:tc>
      </w:tr>
      <w:tr w:rsidR="00EE4502">
        <w:trPr>
          <w:trHeight w:val="340"/>
          <w:jc w:val="center"/>
        </w:trPr>
        <w:tc>
          <w:tcPr>
            <w:tcW w:w="256" w:type="pct"/>
            <w:vAlign w:val="center"/>
          </w:tcPr>
          <w:p w:rsidR="00EE4502" w:rsidRDefault="00FD45A3">
            <w:pPr>
              <w:pStyle w:val="ArialGB23121"/>
              <w:spacing w:line="240" w:lineRule="auto"/>
              <w:jc w:val="center"/>
              <w:rPr>
                <w:rFonts w:hAnsi="Times New Roman"/>
                <w:sz w:val="18"/>
                <w:szCs w:val="18"/>
              </w:rPr>
            </w:pPr>
            <w:r>
              <w:rPr>
                <w:rFonts w:hAnsi="Times New Roman"/>
                <w:sz w:val="18"/>
                <w:szCs w:val="18"/>
              </w:rPr>
              <w:lastRenderedPageBreak/>
              <w:t>1</w:t>
            </w:r>
          </w:p>
        </w:tc>
        <w:tc>
          <w:tcPr>
            <w:tcW w:w="361" w:type="pct"/>
            <w:vAlign w:val="center"/>
          </w:tcPr>
          <w:p w:rsidR="00EE4502" w:rsidRDefault="00FD45A3">
            <w:pPr>
              <w:pStyle w:val="ArialGB23121"/>
              <w:spacing w:line="240" w:lineRule="auto"/>
              <w:jc w:val="center"/>
              <w:rPr>
                <w:rFonts w:hAnsi="Times New Roman"/>
                <w:sz w:val="18"/>
                <w:szCs w:val="18"/>
              </w:rPr>
            </w:pPr>
            <w:r>
              <w:rPr>
                <w:rFonts w:hAnsi="Times New Roman"/>
                <w:sz w:val="18"/>
                <w:szCs w:val="18"/>
              </w:rPr>
              <w:t>落地油</w:t>
            </w:r>
          </w:p>
        </w:tc>
        <w:tc>
          <w:tcPr>
            <w:tcW w:w="713" w:type="pct"/>
            <w:vMerge w:val="restart"/>
            <w:vAlign w:val="center"/>
          </w:tcPr>
          <w:p w:rsidR="00EE4502" w:rsidRDefault="00FD45A3">
            <w:pPr>
              <w:pStyle w:val="ArialGB23121"/>
              <w:spacing w:line="240" w:lineRule="auto"/>
              <w:jc w:val="center"/>
              <w:rPr>
                <w:rFonts w:hAnsi="Times New Roman"/>
                <w:sz w:val="18"/>
                <w:szCs w:val="18"/>
              </w:rPr>
            </w:pPr>
            <w:r>
              <w:rPr>
                <w:rFonts w:hAnsi="Times New Roman"/>
                <w:sz w:val="18"/>
                <w:szCs w:val="18"/>
              </w:rPr>
              <w:t>HW08</w:t>
            </w:r>
            <w:r>
              <w:rPr>
                <w:rFonts w:hAnsi="Times New Roman"/>
                <w:sz w:val="18"/>
                <w:szCs w:val="18"/>
              </w:rPr>
              <w:t>废矿物油与含矿物油废物</w:t>
            </w:r>
          </w:p>
        </w:tc>
        <w:tc>
          <w:tcPr>
            <w:tcW w:w="679" w:type="pct"/>
            <w:vAlign w:val="center"/>
          </w:tcPr>
          <w:p w:rsidR="00EE4502" w:rsidRDefault="00FD45A3">
            <w:pPr>
              <w:pStyle w:val="ArialGB23121"/>
              <w:spacing w:line="240" w:lineRule="auto"/>
              <w:jc w:val="center"/>
              <w:rPr>
                <w:rFonts w:hAnsi="Times New Roman"/>
                <w:sz w:val="18"/>
                <w:szCs w:val="18"/>
              </w:rPr>
            </w:pPr>
            <w:r>
              <w:rPr>
                <w:rFonts w:hAnsi="Times New Roman"/>
                <w:sz w:val="18"/>
                <w:szCs w:val="18"/>
              </w:rPr>
              <w:t>071-001-08</w:t>
            </w:r>
          </w:p>
        </w:tc>
        <w:tc>
          <w:tcPr>
            <w:tcW w:w="534" w:type="pct"/>
            <w:vAlign w:val="center"/>
          </w:tcPr>
          <w:p w:rsidR="00EE4502" w:rsidRDefault="00FD45A3">
            <w:pPr>
              <w:pStyle w:val="ArialGB23121"/>
              <w:spacing w:line="240" w:lineRule="auto"/>
              <w:jc w:val="center"/>
              <w:rPr>
                <w:rFonts w:hAnsi="Times New Roman"/>
                <w:sz w:val="18"/>
                <w:szCs w:val="18"/>
              </w:rPr>
            </w:pPr>
            <w:r>
              <w:rPr>
                <w:rFonts w:hAnsi="Times New Roman"/>
                <w:sz w:val="18"/>
                <w:szCs w:val="18"/>
              </w:rPr>
              <w:t>0.</w:t>
            </w:r>
            <w:r>
              <w:rPr>
                <w:rFonts w:hAnsi="Times New Roman" w:hint="eastAsia"/>
                <w:sz w:val="18"/>
                <w:szCs w:val="18"/>
              </w:rPr>
              <w:t>9</w:t>
            </w:r>
            <w:r>
              <w:rPr>
                <w:rFonts w:hAnsi="Times New Roman"/>
                <w:bCs/>
                <w:sz w:val="18"/>
                <w:szCs w:val="18"/>
              </w:rPr>
              <w:t xml:space="preserve"> t/a</w:t>
            </w:r>
          </w:p>
        </w:tc>
        <w:tc>
          <w:tcPr>
            <w:tcW w:w="360" w:type="pct"/>
            <w:vAlign w:val="center"/>
          </w:tcPr>
          <w:p w:rsidR="00EE4502" w:rsidRDefault="00FD45A3">
            <w:pPr>
              <w:pStyle w:val="ArialGB23121"/>
              <w:spacing w:line="240" w:lineRule="auto"/>
              <w:jc w:val="center"/>
              <w:rPr>
                <w:rFonts w:hAnsi="Times New Roman"/>
                <w:sz w:val="18"/>
                <w:szCs w:val="18"/>
              </w:rPr>
            </w:pPr>
            <w:r>
              <w:rPr>
                <w:rFonts w:hAnsi="Times New Roman"/>
                <w:sz w:val="18"/>
                <w:szCs w:val="18"/>
              </w:rPr>
              <w:t>油井作业</w:t>
            </w:r>
          </w:p>
        </w:tc>
        <w:tc>
          <w:tcPr>
            <w:tcW w:w="447" w:type="pct"/>
            <w:vAlign w:val="center"/>
          </w:tcPr>
          <w:p w:rsidR="00EE4502" w:rsidRDefault="00FD45A3">
            <w:pPr>
              <w:pStyle w:val="ArialGB23121"/>
              <w:spacing w:line="240" w:lineRule="auto"/>
              <w:jc w:val="center"/>
              <w:rPr>
                <w:rFonts w:hAnsi="Times New Roman"/>
                <w:sz w:val="18"/>
                <w:szCs w:val="18"/>
              </w:rPr>
            </w:pPr>
            <w:r>
              <w:rPr>
                <w:rFonts w:hAnsi="Times New Roman"/>
                <w:sz w:val="18"/>
                <w:szCs w:val="18"/>
              </w:rPr>
              <w:t>半固体、固体</w:t>
            </w:r>
          </w:p>
        </w:tc>
        <w:tc>
          <w:tcPr>
            <w:tcW w:w="360" w:type="pct"/>
            <w:vAlign w:val="center"/>
          </w:tcPr>
          <w:p w:rsidR="00EE4502" w:rsidRDefault="00FD45A3">
            <w:pPr>
              <w:jc w:val="center"/>
              <w:rPr>
                <w:sz w:val="18"/>
                <w:szCs w:val="18"/>
              </w:rPr>
            </w:pPr>
            <w:r>
              <w:rPr>
                <w:rFonts w:hint="eastAsia"/>
                <w:sz w:val="18"/>
                <w:szCs w:val="18"/>
              </w:rPr>
              <w:t>废矿物油</w:t>
            </w:r>
          </w:p>
        </w:tc>
        <w:tc>
          <w:tcPr>
            <w:tcW w:w="307" w:type="pct"/>
            <w:vAlign w:val="center"/>
          </w:tcPr>
          <w:p w:rsidR="00EE4502" w:rsidRDefault="00FD45A3">
            <w:pPr>
              <w:pStyle w:val="ArialGB23121"/>
              <w:spacing w:line="240" w:lineRule="auto"/>
              <w:jc w:val="center"/>
              <w:rPr>
                <w:rFonts w:hAnsi="Times New Roman"/>
                <w:sz w:val="18"/>
                <w:szCs w:val="18"/>
              </w:rPr>
            </w:pPr>
            <w:r>
              <w:rPr>
                <w:rFonts w:hAnsi="Times New Roman"/>
                <w:sz w:val="18"/>
                <w:szCs w:val="18"/>
              </w:rPr>
              <w:t>间歇</w:t>
            </w:r>
          </w:p>
        </w:tc>
        <w:tc>
          <w:tcPr>
            <w:tcW w:w="361" w:type="pct"/>
            <w:vAlign w:val="center"/>
          </w:tcPr>
          <w:p w:rsidR="00EE4502" w:rsidRDefault="00FD45A3">
            <w:pPr>
              <w:pStyle w:val="ArialGB23121"/>
              <w:spacing w:line="240" w:lineRule="auto"/>
              <w:jc w:val="center"/>
              <w:rPr>
                <w:rFonts w:hAnsi="Times New Roman"/>
                <w:sz w:val="18"/>
                <w:szCs w:val="18"/>
              </w:rPr>
            </w:pPr>
            <w:r>
              <w:rPr>
                <w:rFonts w:hAnsi="Times New Roman"/>
                <w:sz w:val="18"/>
                <w:szCs w:val="18"/>
              </w:rPr>
              <w:t>T</w:t>
            </w:r>
            <w:r>
              <w:rPr>
                <w:rFonts w:hAnsi="Times New Roman" w:hint="eastAsia"/>
                <w:sz w:val="18"/>
                <w:szCs w:val="18"/>
              </w:rPr>
              <w:t>.</w:t>
            </w:r>
            <w:r>
              <w:rPr>
                <w:rFonts w:hAnsi="Times New Roman"/>
                <w:sz w:val="18"/>
                <w:szCs w:val="18"/>
              </w:rPr>
              <w:t>I</w:t>
            </w:r>
          </w:p>
        </w:tc>
        <w:tc>
          <w:tcPr>
            <w:tcW w:w="622" w:type="pct"/>
            <w:vAlign w:val="center"/>
          </w:tcPr>
          <w:p w:rsidR="00EE4502" w:rsidRDefault="00FD45A3">
            <w:pPr>
              <w:pStyle w:val="ArialGB23121"/>
              <w:spacing w:line="240" w:lineRule="auto"/>
              <w:jc w:val="center"/>
              <w:rPr>
                <w:rFonts w:hAnsi="Times New Roman"/>
                <w:sz w:val="18"/>
                <w:szCs w:val="18"/>
              </w:rPr>
            </w:pPr>
            <w:r>
              <w:rPr>
                <w:rFonts w:hAnsi="Times New Roman" w:hint="eastAsia"/>
                <w:sz w:val="18"/>
                <w:szCs w:val="18"/>
              </w:rPr>
              <w:t>委托有资质单位拉运处理</w:t>
            </w:r>
          </w:p>
        </w:tc>
      </w:tr>
      <w:tr w:rsidR="00EE4502">
        <w:trPr>
          <w:trHeight w:val="340"/>
          <w:jc w:val="center"/>
        </w:trPr>
        <w:tc>
          <w:tcPr>
            <w:tcW w:w="256" w:type="pct"/>
            <w:vAlign w:val="center"/>
          </w:tcPr>
          <w:p w:rsidR="00EE4502" w:rsidRDefault="00FD45A3">
            <w:pPr>
              <w:pStyle w:val="ArialGB23121"/>
              <w:spacing w:line="240" w:lineRule="auto"/>
              <w:jc w:val="center"/>
              <w:rPr>
                <w:rFonts w:hAnsi="Times New Roman"/>
                <w:sz w:val="18"/>
                <w:szCs w:val="18"/>
              </w:rPr>
            </w:pPr>
            <w:r>
              <w:rPr>
                <w:rFonts w:hAnsi="Times New Roman" w:hint="eastAsia"/>
                <w:sz w:val="18"/>
                <w:szCs w:val="18"/>
              </w:rPr>
              <w:t>2</w:t>
            </w:r>
          </w:p>
        </w:tc>
        <w:tc>
          <w:tcPr>
            <w:tcW w:w="361" w:type="pct"/>
            <w:vAlign w:val="center"/>
          </w:tcPr>
          <w:p w:rsidR="00EE4502" w:rsidRDefault="00FD45A3">
            <w:pPr>
              <w:pStyle w:val="ArialGB23121"/>
              <w:spacing w:line="240" w:lineRule="auto"/>
              <w:jc w:val="center"/>
              <w:rPr>
                <w:rFonts w:hAnsi="Times New Roman"/>
                <w:sz w:val="18"/>
                <w:szCs w:val="18"/>
              </w:rPr>
            </w:pPr>
            <w:r>
              <w:rPr>
                <w:rFonts w:hAnsi="Times New Roman"/>
                <w:sz w:val="18"/>
                <w:szCs w:val="18"/>
              </w:rPr>
              <w:t>废防渗布</w:t>
            </w:r>
          </w:p>
        </w:tc>
        <w:tc>
          <w:tcPr>
            <w:tcW w:w="713" w:type="pct"/>
            <w:vMerge/>
            <w:vAlign w:val="center"/>
          </w:tcPr>
          <w:p w:rsidR="00EE4502" w:rsidRDefault="00EE4502">
            <w:pPr>
              <w:pStyle w:val="ArialGB23121"/>
              <w:spacing w:line="240" w:lineRule="auto"/>
              <w:jc w:val="center"/>
              <w:rPr>
                <w:rFonts w:hAnsi="Times New Roman"/>
                <w:sz w:val="18"/>
                <w:szCs w:val="18"/>
              </w:rPr>
            </w:pPr>
          </w:p>
        </w:tc>
        <w:tc>
          <w:tcPr>
            <w:tcW w:w="679" w:type="pct"/>
            <w:vAlign w:val="center"/>
          </w:tcPr>
          <w:p w:rsidR="00EE4502" w:rsidRDefault="00FD45A3">
            <w:pPr>
              <w:pStyle w:val="ArialGB23121"/>
              <w:spacing w:line="240" w:lineRule="auto"/>
              <w:jc w:val="center"/>
              <w:rPr>
                <w:rFonts w:hAnsi="Times New Roman"/>
                <w:sz w:val="18"/>
                <w:szCs w:val="18"/>
              </w:rPr>
            </w:pPr>
            <w:r>
              <w:rPr>
                <w:rFonts w:hAnsi="Times New Roman"/>
                <w:sz w:val="18"/>
                <w:szCs w:val="18"/>
              </w:rPr>
              <w:t>900-249-08</w:t>
            </w:r>
          </w:p>
        </w:tc>
        <w:tc>
          <w:tcPr>
            <w:tcW w:w="534" w:type="pct"/>
            <w:vAlign w:val="center"/>
          </w:tcPr>
          <w:p w:rsidR="00EE4502" w:rsidRDefault="00FD45A3">
            <w:pPr>
              <w:pStyle w:val="ArialGB23121"/>
              <w:spacing w:line="240" w:lineRule="auto"/>
              <w:jc w:val="center"/>
              <w:rPr>
                <w:rFonts w:hAnsi="Times New Roman"/>
                <w:sz w:val="18"/>
                <w:szCs w:val="18"/>
              </w:rPr>
            </w:pPr>
            <w:r>
              <w:rPr>
                <w:rFonts w:hAnsi="Times New Roman"/>
                <w:sz w:val="18"/>
                <w:szCs w:val="18"/>
              </w:rPr>
              <w:t>2.25</w:t>
            </w:r>
            <w:r>
              <w:rPr>
                <w:rFonts w:hAnsi="Times New Roman"/>
                <w:bCs/>
                <w:sz w:val="18"/>
                <w:szCs w:val="18"/>
              </w:rPr>
              <w:t xml:space="preserve"> t/a</w:t>
            </w:r>
          </w:p>
        </w:tc>
        <w:tc>
          <w:tcPr>
            <w:tcW w:w="360" w:type="pct"/>
            <w:vAlign w:val="center"/>
          </w:tcPr>
          <w:p w:rsidR="00EE4502" w:rsidRDefault="00FD45A3">
            <w:pPr>
              <w:pStyle w:val="ArialGB23121"/>
              <w:spacing w:line="240" w:lineRule="auto"/>
              <w:jc w:val="center"/>
              <w:rPr>
                <w:rFonts w:hAnsi="Times New Roman"/>
                <w:sz w:val="18"/>
                <w:szCs w:val="18"/>
              </w:rPr>
            </w:pPr>
            <w:r>
              <w:rPr>
                <w:rFonts w:hAnsi="Times New Roman"/>
                <w:sz w:val="18"/>
                <w:szCs w:val="18"/>
              </w:rPr>
              <w:t>作业</w:t>
            </w:r>
            <w:r>
              <w:rPr>
                <w:rFonts w:hAnsi="Times New Roman" w:hint="eastAsia"/>
                <w:sz w:val="18"/>
                <w:szCs w:val="18"/>
              </w:rPr>
              <w:t>场地清理</w:t>
            </w:r>
          </w:p>
        </w:tc>
        <w:tc>
          <w:tcPr>
            <w:tcW w:w="447" w:type="pct"/>
            <w:vAlign w:val="center"/>
          </w:tcPr>
          <w:p w:rsidR="00EE4502" w:rsidRDefault="00FD45A3">
            <w:pPr>
              <w:pStyle w:val="ArialGB23121"/>
              <w:spacing w:line="240" w:lineRule="auto"/>
              <w:jc w:val="center"/>
              <w:rPr>
                <w:rFonts w:hAnsi="Times New Roman"/>
                <w:sz w:val="18"/>
                <w:szCs w:val="18"/>
              </w:rPr>
            </w:pPr>
            <w:r>
              <w:rPr>
                <w:rFonts w:hAnsi="Times New Roman"/>
                <w:sz w:val="18"/>
                <w:szCs w:val="18"/>
              </w:rPr>
              <w:t>固体</w:t>
            </w:r>
          </w:p>
        </w:tc>
        <w:tc>
          <w:tcPr>
            <w:tcW w:w="360" w:type="pct"/>
            <w:vAlign w:val="center"/>
          </w:tcPr>
          <w:p w:rsidR="00EE4502" w:rsidRDefault="00FD45A3">
            <w:pPr>
              <w:jc w:val="center"/>
              <w:rPr>
                <w:sz w:val="18"/>
                <w:szCs w:val="18"/>
              </w:rPr>
            </w:pPr>
            <w:r>
              <w:rPr>
                <w:rFonts w:hint="eastAsia"/>
                <w:sz w:val="18"/>
                <w:szCs w:val="18"/>
              </w:rPr>
              <w:t>废矿物油</w:t>
            </w:r>
          </w:p>
        </w:tc>
        <w:tc>
          <w:tcPr>
            <w:tcW w:w="307" w:type="pct"/>
            <w:vAlign w:val="center"/>
          </w:tcPr>
          <w:p w:rsidR="00EE4502" w:rsidRDefault="00FD45A3">
            <w:pPr>
              <w:pStyle w:val="ArialGB23121"/>
              <w:spacing w:line="240" w:lineRule="auto"/>
              <w:jc w:val="center"/>
              <w:rPr>
                <w:rFonts w:hAnsi="Times New Roman"/>
                <w:sz w:val="18"/>
                <w:szCs w:val="18"/>
              </w:rPr>
            </w:pPr>
            <w:r>
              <w:rPr>
                <w:rFonts w:hAnsi="Times New Roman"/>
                <w:sz w:val="18"/>
                <w:szCs w:val="18"/>
              </w:rPr>
              <w:t>间歇</w:t>
            </w:r>
          </w:p>
        </w:tc>
        <w:tc>
          <w:tcPr>
            <w:tcW w:w="361" w:type="pct"/>
            <w:vAlign w:val="center"/>
          </w:tcPr>
          <w:p w:rsidR="00EE4502" w:rsidRDefault="00FD45A3">
            <w:pPr>
              <w:pStyle w:val="ArialGB23121"/>
              <w:spacing w:line="240" w:lineRule="auto"/>
              <w:jc w:val="center"/>
              <w:rPr>
                <w:rFonts w:hAnsi="Times New Roman"/>
                <w:sz w:val="18"/>
                <w:szCs w:val="18"/>
              </w:rPr>
            </w:pPr>
            <w:r>
              <w:rPr>
                <w:rFonts w:hAnsi="Times New Roman"/>
                <w:sz w:val="18"/>
                <w:szCs w:val="18"/>
              </w:rPr>
              <w:t>T</w:t>
            </w:r>
            <w:r>
              <w:rPr>
                <w:rFonts w:hAnsi="Times New Roman" w:hint="eastAsia"/>
                <w:sz w:val="18"/>
                <w:szCs w:val="18"/>
              </w:rPr>
              <w:t>.</w:t>
            </w:r>
            <w:r>
              <w:rPr>
                <w:rFonts w:hAnsi="Times New Roman"/>
                <w:sz w:val="18"/>
                <w:szCs w:val="18"/>
              </w:rPr>
              <w:t>I</w:t>
            </w:r>
          </w:p>
        </w:tc>
        <w:tc>
          <w:tcPr>
            <w:tcW w:w="622" w:type="pct"/>
            <w:vAlign w:val="center"/>
          </w:tcPr>
          <w:p w:rsidR="00EE4502" w:rsidRDefault="00FD45A3">
            <w:pPr>
              <w:pStyle w:val="ArialGB23121"/>
              <w:spacing w:line="240" w:lineRule="auto"/>
              <w:jc w:val="center"/>
              <w:rPr>
                <w:rFonts w:hAnsi="Times New Roman"/>
                <w:sz w:val="18"/>
                <w:szCs w:val="18"/>
              </w:rPr>
            </w:pPr>
            <w:r>
              <w:rPr>
                <w:rFonts w:hAnsi="Times New Roman" w:hint="eastAsia"/>
                <w:sz w:val="18"/>
                <w:szCs w:val="18"/>
              </w:rPr>
              <w:t>折叠打包后</w:t>
            </w:r>
            <w:r>
              <w:rPr>
                <w:rFonts w:hAnsi="Times New Roman"/>
                <w:sz w:val="18"/>
                <w:szCs w:val="18"/>
              </w:rPr>
              <w:t>委托有资质单位</w:t>
            </w:r>
            <w:r>
              <w:rPr>
                <w:rFonts w:hAnsi="Times New Roman" w:hint="eastAsia"/>
                <w:sz w:val="18"/>
                <w:szCs w:val="18"/>
              </w:rPr>
              <w:t>拉运处理</w:t>
            </w:r>
          </w:p>
        </w:tc>
      </w:tr>
      <w:tr w:rsidR="00EE4502">
        <w:trPr>
          <w:trHeight w:val="340"/>
          <w:jc w:val="center"/>
        </w:trPr>
        <w:tc>
          <w:tcPr>
            <w:tcW w:w="256" w:type="pct"/>
            <w:vAlign w:val="center"/>
          </w:tcPr>
          <w:p w:rsidR="00EE4502" w:rsidRDefault="00FD45A3">
            <w:pPr>
              <w:pStyle w:val="ArialGB23121"/>
              <w:spacing w:line="240" w:lineRule="auto"/>
              <w:jc w:val="center"/>
              <w:rPr>
                <w:rFonts w:hAnsi="Times New Roman"/>
                <w:sz w:val="18"/>
                <w:szCs w:val="18"/>
              </w:rPr>
            </w:pPr>
            <w:r>
              <w:rPr>
                <w:rFonts w:hAnsi="Times New Roman"/>
                <w:sz w:val="18"/>
                <w:szCs w:val="18"/>
              </w:rPr>
              <w:t>3</w:t>
            </w:r>
          </w:p>
        </w:tc>
        <w:tc>
          <w:tcPr>
            <w:tcW w:w="361" w:type="pct"/>
            <w:vAlign w:val="center"/>
          </w:tcPr>
          <w:p w:rsidR="00EE4502" w:rsidRDefault="00FD45A3">
            <w:pPr>
              <w:pStyle w:val="ArialGB23121"/>
              <w:spacing w:line="240" w:lineRule="auto"/>
              <w:jc w:val="center"/>
              <w:rPr>
                <w:rFonts w:hAnsi="Times New Roman"/>
                <w:sz w:val="18"/>
                <w:szCs w:val="18"/>
              </w:rPr>
            </w:pPr>
            <w:r>
              <w:rPr>
                <w:rFonts w:hAnsi="Times New Roman" w:hint="eastAsia"/>
                <w:sz w:val="18"/>
                <w:szCs w:val="18"/>
              </w:rPr>
              <w:t>清管废渣</w:t>
            </w:r>
          </w:p>
        </w:tc>
        <w:tc>
          <w:tcPr>
            <w:tcW w:w="713" w:type="pct"/>
            <w:vMerge/>
            <w:vAlign w:val="center"/>
          </w:tcPr>
          <w:p w:rsidR="00EE4502" w:rsidRDefault="00EE4502">
            <w:pPr>
              <w:pStyle w:val="ArialGB23121"/>
              <w:spacing w:line="240" w:lineRule="auto"/>
              <w:jc w:val="center"/>
              <w:rPr>
                <w:rFonts w:hAnsi="Times New Roman"/>
                <w:sz w:val="18"/>
                <w:szCs w:val="18"/>
              </w:rPr>
            </w:pPr>
          </w:p>
        </w:tc>
        <w:tc>
          <w:tcPr>
            <w:tcW w:w="679" w:type="pct"/>
            <w:vAlign w:val="center"/>
          </w:tcPr>
          <w:p w:rsidR="00EE4502" w:rsidRDefault="00FD45A3">
            <w:pPr>
              <w:pStyle w:val="ArialGB23121"/>
              <w:spacing w:line="240" w:lineRule="auto"/>
              <w:jc w:val="center"/>
              <w:rPr>
                <w:rFonts w:hAnsi="Times New Roman"/>
                <w:sz w:val="18"/>
                <w:szCs w:val="18"/>
              </w:rPr>
            </w:pPr>
            <w:r>
              <w:rPr>
                <w:rFonts w:hAnsi="Times New Roman"/>
                <w:sz w:val="18"/>
                <w:szCs w:val="18"/>
              </w:rPr>
              <w:t>071-001-08</w:t>
            </w:r>
          </w:p>
        </w:tc>
        <w:tc>
          <w:tcPr>
            <w:tcW w:w="534" w:type="pct"/>
            <w:vAlign w:val="center"/>
          </w:tcPr>
          <w:p w:rsidR="00EE4502" w:rsidRDefault="00FD45A3">
            <w:pPr>
              <w:pStyle w:val="ArialGB23121"/>
              <w:spacing w:line="240" w:lineRule="auto"/>
              <w:jc w:val="center"/>
              <w:rPr>
                <w:rFonts w:hAnsi="Times New Roman"/>
                <w:sz w:val="18"/>
                <w:szCs w:val="18"/>
              </w:rPr>
            </w:pPr>
            <w:r>
              <w:rPr>
                <w:rFonts w:hAnsi="Times New Roman"/>
                <w:sz w:val="18"/>
                <w:szCs w:val="18"/>
              </w:rPr>
              <w:t>0.01t/a</w:t>
            </w:r>
            <w:r>
              <w:rPr>
                <w:rFonts w:hAnsi="Times New Roman"/>
                <w:sz w:val="18"/>
                <w:szCs w:val="18"/>
              </w:rPr>
              <w:t>（</w:t>
            </w:r>
            <w:r>
              <w:rPr>
                <w:rFonts w:hAnsi="Times New Roman"/>
                <w:sz w:val="18"/>
                <w:szCs w:val="18"/>
              </w:rPr>
              <w:t>16 kg/</w:t>
            </w:r>
            <w:r>
              <w:rPr>
                <w:rFonts w:hAnsi="Times New Roman"/>
                <w:sz w:val="18"/>
                <w:szCs w:val="18"/>
              </w:rPr>
              <w:t>次）</w:t>
            </w:r>
          </w:p>
        </w:tc>
        <w:tc>
          <w:tcPr>
            <w:tcW w:w="360" w:type="pct"/>
            <w:vAlign w:val="center"/>
          </w:tcPr>
          <w:p w:rsidR="00EE4502" w:rsidRDefault="00FD45A3">
            <w:pPr>
              <w:pStyle w:val="ArialGB23121"/>
              <w:spacing w:line="240" w:lineRule="auto"/>
              <w:jc w:val="center"/>
              <w:rPr>
                <w:rFonts w:hAnsi="Times New Roman"/>
                <w:sz w:val="18"/>
                <w:szCs w:val="18"/>
              </w:rPr>
            </w:pPr>
            <w:r>
              <w:rPr>
                <w:rFonts w:hAnsi="Times New Roman" w:hint="eastAsia"/>
                <w:sz w:val="18"/>
                <w:szCs w:val="18"/>
              </w:rPr>
              <w:t>集输环节</w:t>
            </w:r>
          </w:p>
        </w:tc>
        <w:tc>
          <w:tcPr>
            <w:tcW w:w="447" w:type="pct"/>
            <w:vAlign w:val="center"/>
          </w:tcPr>
          <w:p w:rsidR="00EE4502" w:rsidRDefault="00FD45A3">
            <w:pPr>
              <w:pStyle w:val="ArialGB23121"/>
              <w:spacing w:line="240" w:lineRule="auto"/>
              <w:jc w:val="center"/>
              <w:rPr>
                <w:rFonts w:hAnsi="Times New Roman"/>
                <w:sz w:val="18"/>
                <w:szCs w:val="18"/>
              </w:rPr>
            </w:pPr>
            <w:r>
              <w:rPr>
                <w:rFonts w:hAnsi="Times New Roman" w:hint="eastAsia"/>
                <w:sz w:val="18"/>
                <w:szCs w:val="18"/>
              </w:rPr>
              <w:t>固体</w:t>
            </w:r>
          </w:p>
        </w:tc>
        <w:tc>
          <w:tcPr>
            <w:tcW w:w="360" w:type="pct"/>
            <w:vAlign w:val="center"/>
          </w:tcPr>
          <w:p w:rsidR="00EE4502" w:rsidRDefault="00FD45A3">
            <w:pPr>
              <w:pStyle w:val="ArialGB23121"/>
              <w:spacing w:line="240" w:lineRule="auto"/>
              <w:jc w:val="center"/>
              <w:rPr>
                <w:rFonts w:hAnsi="Times New Roman"/>
                <w:sz w:val="18"/>
                <w:szCs w:val="18"/>
              </w:rPr>
            </w:pPr>
            <w:r>
              <w:rPr>
                <w:rFonts w:hAnsi="Times New Roman" w:hint="eastAsia"/>
                <w:sz w:val="18"/>
                <w:szCs w:val="18"/>
              </w:rPr>
              <w:t>废矿物油</w:t>
            </w:r>
          </w:p>
        </w:tc>
        <w:tc>
          <w:tcPr>
            <w:tcW w:w="307" w:type="pct"/>
            <w:vAlign w:val="center"/>
          </w:tcPr>
          <w:p w:rsidR="00EE4502" w:rsidRDefault="00FD45A3">
            <w:pPr>
              <w:pStyle w:val="ArialGB23121"/>
              <w:spacing w:line="240" w:lineRule="auto"/>
              <w:jc w:val="center"/>
              <w:rPr>
                <w:rFonts w:hAnsi="Times New Roman"/>
                <w:sz w:val="18"/>
                <w:szCs w:val="18"/>
              </w:rPr>
            </w:pPr>
            <w:r>
              <w:rPr>
                <w:rFonts w:hAnsi="Times New Roman"/>
                <w:sz w:val="18"/>
                <w:szCs w:val="18"/>
              </w:rPr>
              <w:t>间歇</w:t>
            </w:r>
          </w:p>
        </w:tc>
        <w:tc>
          <w:tcPr>
            <w:tcW w:w="361" w:type="pct"/>
            <w:vAlign w:val="center"/>
          </w:tcPr>
          <w:p w:rsidR="00EE4502" w:rsidRDefault="00FD45A3">
            <w:pPr>
              <w:pStyle w:val="ArialGB23121"/>
              <w:spacing w:line="240" w:lineRule="auto"/>
              <w:jc w:val="center"/>
              <w:rPr>
                <w:rFonts w:hAnsi="Times New Roman"/>
                <w:sz w:val="18"/>
                <w:szCs w:val="18"/>
              </w:rPr>
            </w:pPr>
            <w:r>
              <w:rPr>
                <w:rFonts w:hAnsi="Times New Roman"/>
                <w:sz w:val="18"/>
                <w:szCs w:val="18"/>
              </w:rPr>
              <w:t>T</w:t>
            </w:r>
            <w:r>
              <w:rPr>
                <w:rFonts w:hAnsi="Times New Roman" w:hint="eastAsia"/>
                <w:sz w:val="18"/>
                <w:szCs w:val="18"/>
              </w:rPr>
              <w:t>.</w:t>
            </w:r>
            <w:r>
              <w:rPr>
                <w:rFonts w:hAnsi="Times New Roman"/>
                <w:sz w:val="18"/>
                <w:szCs w:val="18"/>
              </w:rPr>
              <w:t>I</w:t>
            </w:r>
          </w:p>
        </w:tc>
        <w:tc>
          <w:tcPr>
            <w:tcW w:w="622" w:type="pct"/>
            <w:vAlign w:val="center"/>
          </w:tcPr>
          <w:p w:rsidR="00EE4502" w:rsidRDefault="00FD45A3">
            <w:pPr>
              <w:pStyle w:val="ArialGB23121"/>
              <w:spacing w:line="240" w:lineRule="auto"/>
              <w:jc w:val="center"/>
              <w:rPr>
                <w:rFonts w:hAnsi="Times New Roman"/>
                <w:sz w:val="18"/>
                <w:szCs w:val="18"/>
              </w:rPr>
            </w:pPr>
            <w:r>
              <w:rPr>
                <w:rFonts w:hAnsi="Times New Roman"/>
                <w:sz w:val="18"/>
                <w:szCs w:val="18"/>
              </w:rPr>
              <w:t>委托有资质单位</w:t>
            </w:r>
            <w:r>
              <w:rPr>
                <w:rFonts w:hAnsi="Times New Roman" w:hint="eastAsia"/>
                <w:sz w:val="18"/>
                <w:szCs w:val="18"/>
              </w:rPr>
              <w:t>拉运处理</w:t>
            </w:r>
          </w:p>
        </w:tc>
      </w:tr>
      <w:tr w:rsidR="00EE4502">
        <w:trPr>
          <w:trHeight w:val="340"/>
          <w:jc w:val="center"/>
        </w:trPr>
        <w:tc>
          <w:tcPr>
            <w:tcW w:w="256" w:type="pct"/>
            <w:vAlign w:val="center"/>
          </w:tcPr>
          <w:p w:rsidR="00EE4502" w:rsidRDefault="00FD45A3">
            <w:pPr>
              <w:pStyle w:val="ArialGB23121"/>
              <w:spacing w:line="240" w:lineRule="auto"/>
              <w:jc w:val="center"/>
              <w:rPr>
                <w:rFonts w:hAnsi="Times New Roman"/>
                <w:sz w:val="18"/>
                <w:szCs w:val="18"/>
              </w:rPr>
            </w:pPr>
            <w:r>
              <w:rPr>
                <w:rFonts w:hAnsi="Times New Roman"/>
                <w:sz w:val="18"/>
                <w:szCs w:val="18"/>
              </w:rPr>
              <w:t>4</w:t>
            </w:r>
          </w:p>
        </w:tc>
        <w:tc>
          <w:tcPr>
            <w:tcW w:w="361" w:type="pct"/>
            <w:vAlign w:val="center"/>
          </w:tcPr>
          <w:p w:rsidR="00EE4502" w:rsidRDefault="00FD45A3">
            <w:pPr>
              <w:pStyle w:val="ArialGB23121"/>
              <w:spacing w:line="240" w:lineRule="auto"/>
              <w:jc w:val="center"/>
              <w:rPr>
                <w:rFonts w:hAnsi="Times New Roman"/>
                <w:sz w:val="18"/>
                <w:szCs w:val="18"/>
              </w:rPr>
            </w:pPr>
            <w:r>
              <w:rPr>
                <w:rFonts w:hAnsi="Times New Roman"/>
                <w:sz w:val="18"/>
                <w:szCs w:val="18"/>
              </w:rPr>
              <w:t>废润滑油</w:t>
            </w:r>
          </w:p>
        </w:tc>
        <w:tc>
          <w:tcPr>
            <w:tcW w:w="713" w:type="pct"/>
            <w:vMerge/>
            <w:vAlign w:val="center"/>
          </w:tcPr>
          <w:p w:rsidR="00EE4502" w:rsidRDefault="00EE4502">
            <w:pPr>
              <w:pStyle w:val="ArialGB23121"/>
              <w:spacing w:line="240" w:lineRule="auto"/>
              <w:jc w:val="center"/>
              <w:rPr>
                <w:rFonts w:hAnsi="Times New Roman"/>
                <w:sz w:val="18"/>
                <w:szCs w:val="18"/>
              </w:rPr>
            </w:pPr>
          </w:p>
        </w:tc>
        <w:tc>
          <w:tcPr>
            <w:tcW w:w="679" w:type="pct"/>
            <w:vAlign w:val="center"/>
          </w:tcPr>
          <w:p w:rsidR="00EE4502" w:rsidRDefault="00FD45A3">
            <w:pPr>
              <w:pStyle w:val="ArialGB23121"/>
              <w:spacing w:line="240" w:lineRule="auto"/>
              <w:jc w:val="center"/>
              <w:rPr>
                <w:rFonts w:hAnsi="Times New Roman"/>
                <w:sz w:val="18"/>
                <w:szCs w:val="18"/>
              </w:rPr>
            </w:pPr>
            <w:r>
              <w:rPr>
                <w:rFonts w:hAnsi="Times New Roman"/>
                <w:sz w:val="18"/>
                <w:szCs w:val="18"/>
              </w:rPr>
              <w:t>900-21</w:t>
            </w:r>
            <w:r>
              <w:rPr>
                <w:rFonts w:hAnsi="Times New Roman" w:hint="eastAsia"/>
                <w:sz w:val="18"/>
                <w:szCs w:val="18"/>
              </w:rPr>
              <w:t>7</w:t>
            </w:r>
            <w:r>
              <w:rPr>
                <w:rFonts w:hAnsi="Times New Roman"/>
                <w:sz w:val="18"/>
                <w:szCs w:val="18"/>
              </w:rPr>
              <w:t>-08</w:t>
            </w:r>
          </w:p>
        </w:tc>
        <w:tc>
          <w:tcPr>
            <w:tcW w:w="534" w:type="pct"/>
            <w:vAlign w:val="center"/>
          </w:tcPr>
          <w:p w:rsidR="00EE4502" w:rsidRDefault="00FD45A3">
            <w:pPr>
              <w:pStyle w:val="ArialGB23121"/>
              <w:spacing w:line="240" w:lineRule="auto"/>
              <w:jc w:val="center"/>
              <w:rPr>
                <w:rFonts w:hAnsi="Times New Roman"/>
                <w:sz w:val="18"/>
                <w:szCs w:val="18"/>
              </w:rPr>
            </w:pPr>
            <w:r>
              <w:rPr>
                <w:rFonts w:hAnsi="Times New Roman"/>
                <w:sz w:val="18"/>
                <w:szCs w:val="18"/>
              </w:rPr>
              <w:t>1.8 t/a</w:t>
            </w:r>
          </w:p>
        </w:tc>
        <w:tc>
          <w:tcPr>
            <w:tcW w:w="360" w:type="pct"/>
            <w:vAlign w:val="center"/>
          </w:tcPr>
          <w:p w:rsidR="00EE4502" w:rsidRDefault="00FD45A3">
            <w:pPr>
              <w:pStyle w:val="ArialGB23121"/>
              <w:spacing w:line="240" w:lineRule="auto"/>
              <w:jc w:val="center"/>
              <w:rPr>
                <w:rFonts w:hAnsi="Times New Roman"/>
                <w:sz w:val="18"/>
                <w:szCs w:val="18"/>
              </w:rPr>
            </w:pPr>
            <w:r>
              <w:rPr>
                <w:rFonts w:hAnsi="Times New Roman"/>
                <w:sz w:val="18"/>
                <w:szCs w:val="18"/>
              </w:rPr>
              <w:t>设备检修</w:t>
            </w:r>
          </w:p>
        </w:tc>
        <w:tc>
          <w:tcPr>
            <w:tcW w:w="447" w:type="pct"/>
            <w:vAlign w:val="center"/>
          </w:tcPr>
          <w:p w:rsidR="00EE4502" w:rsidRDefault="00FD45A3">
            <w:pPr>
              <w:pStyle w:val="ArialGB23121"/>
              <w:spacing w:line="240" w:lineRule="auto"/>
              <w:jc w:val="center"/>
              <w:rPr>
                <w:rFonts w:hAnsi="Times New Roman"/>
                <w:sz w:val="18"/>
                <w:szCs w:val="18"/>
              </w:rPr>
            </w:pPr>
            <w:r>
              <w:rPr>
                <w:rFonts w:hAnsi="Times New Roman"/>
                <w:sz w:val="18"/>
                <w:szCs w:val="18"/>
              </w:rPr>
              <w:t>半固体</w:t>
            </w:r>
          </w:p>
        </w:tc>
        <w:tc>
          <w:tcPr>
            <w:tcW w:w="360" w:type="pct"/>
            <w:vAlign w:val="center"/>
          </w:tcPr>
          <w:p w:rsidR="00EE4502" w:rsidRDefault="00FD45A3">
            <w:pPr>
              <w:pStyle w:val="ArialGB23121"/>
              <w:spacing w:line="240" w:lineRule="auto"/>
              <w:jc w:val="center"/>
              <w:rPr>
                <w:rFonts w:hAnsi="Times New Roman"/>
                <w:sz w:val="18"/>
                <w:szCs w:val="18"/>
              </w:rPr>
            </w:pPr>
            <w:r>
              <w:rPr>
                <w:rFonts w:hAnsi="Times New Roman" w:hint="eastAsia"/>
                <w:sz w:val="18"/>
                <w:szCs w:val="18"/>
              </w:rPr>
              <w:t>废矿物油</w:t>
            </w:r>
          </w:p>
        </w:tc>
        <w:tc>
          <w:tcPr>
            <w:tcW w:w="307" w:type="pct"/>
            <w:vAlign w:val="center"/>
          </w:tcPr>
          <w:p w:rsidR="00EE4502" w:rsidRDefault="00FD45A3">
            <w:pPr>
              <w:pStyle w:val="ArialGB23121"/>
              <w:spacing w:line="240" w:lineRule="auto"/>
              <w:jc w:val="center"/>
              <w:rPr>
                <w:rFonts w:hAnsi="Times New Roman"/>
                <w:sz w:val="18"/>
                <w:szCs w:val="18"/>
              </w:rPr>
            </w:pPr>
            <w:r>
              <w:rPr>
                <w:rFonts w:hAnsi="Times New Roman"/>
                <w:sz w:val="18"/>
                <w:szCs w:val="18"/>
              </w:rPr>
              <w:t>间歇</w:t>
            </w:r>
          </w:p>
        </w:tc>
        <w:tc>
          <w:tcPr>
            <w:tcW w:w="361" w:type="pct"/>
            <w:vAlign w:val="center"/>
          </w:tcPr>
          <w:p w:rsidR="00EE4502" w:rsidRDefault="00FD45A3">
            <w:pPr>
              <w:pStyle w:val="ArialGB23121"/>
              <w:spacing w:line="240" w:lineRule="auto"/>
              <w:jc w:val="center"/>
              <w:rPr>
                <w:rFonts w:hAnsi="Times New Roman"/>
                <w:sz w:val="18"/>
                <w:szCs w:val="18"/>
              </w:rPr>
            </w:pPr>
            <w:r>
              <w:rPr>
                <w:rFonts w:hAnsi="Times New Roman"/>
                <w:sz w:val="18"/>
                <w:szCs w:val="18"/>
              </w:rPr>
              <w:t>T</w:t>
            </w:r>
            <w:r>
              <w:rPr>
                <w:rFonts w:hAnsi="Times New Roman" w:hint="eastAsia"/>
                <w:sz w:val="18"/>
                <w:szCs w:val="18"/>
              </w:rPr>
              <w:t>.</w:t>
            </w:r>
            <w:r>
              <w:rPr>
                <w:rFonts w:hAnsi="Times New Roman"/>
                <w:sz w:val="18"/>
                <w:szCs w:val="18"/>
              </w:rPr>
              <w:t>I</w:t>
            </w:r>
          </w:p>
        </w:tc>
        <w:tc>
          <w:tcPr>
            <w:tcW w:w="622" w:type="pct"/>
            <w:vAlign w:val="center"/>
          </w:tcPr>
          <w:p w:rsidR="00EE4502" w:rsidRDefault="00FD45A3">
            <w:pPr>
              <w:pStyle w:val="ArialGB23121"/>
              <w:spacing w:line="240" w:lineRule="auto"/>
              <w:jc w:val="center"/>
              <w:rPr>
                <w:rFonts w:hAnsi="Times New Roman"/>
                <w:sz w:val="18"/>
                <w:szCs w:val="18"/>
              </w:rPr>
            </w:pPr>
            <w:r>
              <w:rPr>
                <w:rFonts w:hAnsi="Times New Roman" w:hint="eastAsia"/>
                <w:sz w:val="18"/>
                <w:szCs w:val="18"/>
              </w:rPr>
              <w:t>交由联合站综合利用</w:t>
            </w:r>
          </w:p>
        </w:tc>
      </w:tr>
    </w:tbl>
    <w:p w:rsidR="00EE4502" w:rsidRDefault="00EE4502">
      <w:pPr>
        <w:jc w:val="center"/>
        <w:rPr>
          <w:sz w:val="18"/>
          <w:szCs w:val="18"/>
        </w:rPr>
      </w:pPr>
    </w:p>
    <w:bookmarkEnd w:id="246"/>
    <w:bookmarkEnd w:id="247"/>
    <w:p w:rsidR="00EE4502" w:rsidRDefault="00FD45A3">
      <w:pPr>
        <w:pStyle w:val="41"/>
        <w:numPr>
          <w:ilvl w:val="3"/>
          <w:numId w:val="30"/>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bCs w:val="0"/>
          <w:sz w:val="24"/>
          <w:szCs w:val="24"/>
        </w:rPr>
        <w:t>危险废物收集、转运及处置要求</w:t>
      </w:r>
    </w:p>
    <w:p w:rsidR="00EE4502" w:rsidRDefault="00FD45A3">
      <w:pPr>
        <w:spacing w:line="360" w:lineRule="auto"/>
        <w:ind w:firstLine="522"/>
        <w:rPr>
          <w:sz w:val="24"/>
        </w:rPr>
      </w:pPr>
      <w:r>
        <w:rPr>
          <w:sz w:val="24"/>
        </w:rPr>
        <w:t>根据《危险废物环境管理指南</w:t>
      </w:r>
      <w:r>
        <w:rPr>
          <w:sz w:val="24"/>
        </w:rPr>
        <w:t xml:space="preserve"> </w:t>
      </w:r>
      <w:r>
        <w:rPr>
          <w:sz w:val="24"/>
        </w:rPr>
        <w:t>陆上石油天然气开采》，提出环境管理要求如下：</w:t>
      </w:r>
    </w:p>
    <w:p w:rsidR="00EE4502" w:rsidRDefault="00FD45A3">
      <w:pPr>
        <w:spacing w:line="360" w:lineRule="auto"/>
        <w:ind w:firstLine="522"/>
        <w:rPr>
          <w:sz w:val="24"/>
        </w:rPr>
      </w:pPr>
      <w:r>
        <w:rPr>
          <w:sz w:val="24"/>
        </w:rPr>
        <w:t>（</w:t>
      </w:r>
      <w:r>
        <w:rPr>
          <w:sz w:val="24"/>
        </w:rPr>
        <w:t>1</w:t>
      </w:r>
      <w:r>
        <w:rPr>
          <w:sz w:val="24"/>
        </w:rPr>
        <w:t>）落实污染环境防治责任制度，建立健全工业危险废物产生、收集、贮存、运输、利用、处置全过程的污染环境防治责任制度；</w:t>
      </w:r>
    </w:p>
    <w:p w:rsidR="00EE4502" w:rsidRDefault="00FD45A3">
      <w:pPr>
        <w:spacing w:line="360" w:lineRule="auto"/>
        <w:ind w:firstLine="522"/>
        <w:rPr>
          <w:sz w:val="24"/>
        </w:rPr>
      </w:pPr>
      <w:r>
        <w:rPr>
          <w:sz w:val="24"/>
        </w:rPr>
        <w:t>（</w:t>
      </w:r>
      <w:r>
        <w:rPr>
          <w:sz w:val="24"/>
        </w:rPr>
        <w:t>2</w:t>
      </w:r>
      <w:r>
        <w:rPr>
          <w:sz w:val="24"/>
        </w:rPr>
        <w:t>）落实危险废物识别标志制度，对危险废物的容器和包装物以及收集、贮存、运输、利用、处置危险废物的设施、场所设置危险废物识别标志；</w:t>
      </w:r>
    </w:p>
    <w:p w:rsidR="00EE4502" w:rsidRDefault="00FD45A3">
      <w:pPr>
        <w:spacing w:line="360" w:lineRule="auto"/>
        <w:ind w:firstLine="522"/>
        <w:rPr>
          <w:sz w:val="24"/>
        </w:rPr>
      </w:pPr>
      <w:r>
        <w:rPr>
          <w:sz w:val="24"/>
        </w:rPr>
        <w:t>（</w:t>
      </w:r>
      <w:r>
        <w:rPr>
          <w:sz w:val="24"/>
        </w:rPr>
        <w:t>3</w:t>
      </w:r>
      <w:r>
        <w:rPr>
          <w:sz w:val="24"/>
        </w:rPr>
        <w:t>）落实危险废物管理计划制度，按照《危险废物产生单位管理计划制定指南》等有关要求制定危险废物管理计划，并报生态环境主管部门备案；</w:t>
      </w:r>
    </w:p>
    <w:p w:rsidR="00EE4502" w:rsidRDefault="00FD45A3">
      <w:pPr>
        <w:spacing w:line="360" w:lineRule="auto"/>
        <w:ind w:firstLine="522"/>
        <w:rPr>
          <w:sz w:val="24"/>
        </w:rPr>
      </w:pPr>
      <w:r>
        <w:rPr>
          <w:sz w:val="24"/>
        </w:rPr>
        <w:t>（</w:t>
      </w:r>
      <w:r>
        <w:rPr>
          <w:sz w:val="24"/>
        </w:rPr>
        <w:t>4</w:t>
      </w:r>
      <w:r>
        <w:rPr>
          <w:sz w:val="24"/>
        </w:rPr>
        <w:t>）落实危险废物管理台账及申报制度，建立危险废物管理台账，如实记录有关信息，并通过国家危险废物信息管理系统向所在地生态环境主管部</w:t>
      </w:r>
      <w:r>
        <w:rPr>
          <w:sz w:val="24"/>
        </w:rPr>
        <w:t>门申报危险废物的种类、产生量、流向、贮存、处置等有关资料；</w:t>
      </w:r>
    </w:p>
    <w:p w:rsidR="00EE4502" w:rsidRDefault="00FD45A3">
      <w:pPr>
        <w:spacing w:line="360" w:lineRule="auto"/>
        <w:ind w:firstLine="522"/>
        <w:rPr>
          <w:sz w:val="24"/>
        </w:rPr>
      </w:pPr>
      <w:r>
        <w:rPr>
          <w:sz w:val="24"/>
        </w:rPr>
        <w:t>（</w:t>
      </w:r>
      <w:r>
        <w:rPr>
          <w:sz w:val="24"/>
        </w:rPr>
        <w:t>5</w:t>
      </w:r>
      <w:r>
        <w:rPr>
          <w:sz w:val="24"/>
        </w:rPr>
        <w:t>）落实危险废物经营许可证制度，禁止将危险废物提供或委托给无危险废物经营许可证的单位或者其他生产经营者从事收集、贮存、利用、处置活动；</w:t>
      </w:r>
    </w:p>
    <w:p w:rsidR="00EE4502" w:rsidRDefault="00FD45A3">
      <w:pPr>
        <w:spacing w:line="360" w:lineRule="auto"/>
        <w:ind w:firstLine="522"/>
        <w:rPr>
          <w:sz w:val="24"/>
        </w:rPr>
      </w:pPr>
      <w:r>
        <w:rPr>
          <w:sz w:val="24"/>
        </w:rPr>
        <w:t>（</w:t>
      </w:r>
      <w:r>
        <w:rPr>
          <w:sz w:val="24"/>
        </w:rPr>
        <w:t>6</w:t>
      </w:r>
      <w:r>
        <w:rPr>
          <w:sz w:val="24"/>
        </w:rPr>
        <w:t>）落实危险废物转移联单制度，转移危险废物的，应当按照《危险废物转移管理办法》的有关规定填写、运行危险废物转移联单。运输危险废物，应当采取防止污染环境的措施，并遵守国家有关危险货物运输管理的规定；</w:t>
      </w:r>
    </w:p>
    <w:p w:rsidR="00EE4502" w:rsidRDefault="00FD45A3">
      <w:pPr>
        <w:spacing w:line="360" w:lineRule="auto"/>
        <w:ind w:firstLine="522"/>
        <w:rPr>
          <w:sz w:val="24"/>
        </w:rPr>
      </w:pPr>
      <w:r>
        <w:rPr>
          <w:sz w:val="24"/>
        </w:rPr>
        <w:t>（</w:t>
      </w:r>
      <w:r>
        <w:rPr>
          <w:sz w:val="24"/>
        </w:rPr>
        <w:t>7</w:t>
      </w:r>
      <w:r>
        <w:rPr>
          <w:sz w:val="24"/>
        </w:rPr>
        <w:t>）落实排污许可制度；</w:t>
      </w:r>
      <w:r>
        <w:rPr>
          <w:sz w:val="24"/>
        </w:rPr>
        <w:t xml:space="preserve"> </w:t>
      </w:r>
    </w:p>
    <w:p w:rsidR="00EE4502" w:rsidRDefault="00FD45A3">
      <w:pPr>
        <w:spacing w:line="360" w:lineRule="auto"/>
        <w:ind w:firstLine="522"/>
        <w:rPr>
          <w:sz w:val="24"/>
        </w:rPr>
      </w:pPr>
      <w:r>
        <w:rPr>
          <w:sz w:val="24"/>
        </w:rPr>
        <w:t>（</w:t>
      </w:r>
      <w:r>
        <w:rPr>
          <w:sz w:val="24"/>
        </w:rPr>
        <w:t>8</w:t>
      </w:r>
      <w:r>
        <w:rPr>
          <w:sz w:val="24"/>
        </w:rPr>
        <w:t>）加强危险废物规范化环境管理，按照《危险废物规范化环境管理评估指标》有关要求，提升</w:t>
      </w:r>
      <w:r>
        <w:rPr>
          <w:sz w:val="24"/>
        </w:rPr>
        <w:t>危险废物规范化环境管理水平。</w:t>
      </w:r>
    </w:p>
    <w:p w:rsidR="00EE4502" w:rsidRDefault="00FD45A3">
      <w:pPr>
        <w:pStyle w:val="41"/>
        <w:numPr>
          <w:ilvl w:val="3"/>
          <w:numId w:val="30"/>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bCs w:val="0"/>
          <w:sz w:val="24"/>
          <w:szCs w:val="24"/>
        </w:rPr>
        <w:lastRenderedPageBreak/>
        <w:t>危险废物处置措施可行性分析</w:t>
      </w:r>
    </w:p>
    <w:p w:rsidR="00EE4502" w:rsidRDefault="00FD45A3">
      <w:pPr>
        <w:spacing w:line="360" w:lineRule="auto"/>
        <w:ind w:firstLine="522"/>
        <w:rPr>
          <w:sz w:val="24"/>
        </w:rPr>
      </w:pPr>
      <w:r>
        <w:rPr>
          <w:rFonts w:hint="eastAsia"/>
          <w:sz w:val="24"/>
        </w:rPr>
        <w:t>本工程</w:t>
      </w:r>
      <w:r>
        <w:rPr>
          <w:sz w:val="24"/>
        </w:rPr>
        <w:t>井下作业时带罐作业，防止产生落地油，井口排出物全部进罐，做到原油</w:t>
      </w:r>
      <w:r>
        <w:rPr>
          <w:sz w:val="24"/>
        </w:rPr>
        <w:t>100%</w:t>
      </w:r>
      <w:r>
        <w:rPr>
          <w:sz w:val="24"/>
        </w:rPr>
        <w:t>回收。落地油统一运至新疆锦恒利废矿物油处置有限公司处理，严格按照《危险废物转移管理办法》中的相关要求收集、贮存、运输</w:t>
      </w:r>
      <w:r>
        <w:rPr>
          <w:rFonts w:hint="eastAsia"/>
          <w:sz w:val="24"/>
        </w:rPr>
        <w:t>；</w:t>
      </w:r>
      <w:r>
        <w:rPr>
          <w:sz w:val="24"/>
        </w:rPr>
        <w:t>废润滑油经收集后</w:t>
      </w:r>
      <w:r>
        <w:rPr>
          <w:rFonts w:hint="eastAsia"/>
          <w:sz w:val="24"/>
        </w:rPr>
        <w:t>交由联合站综合利用；</w:t>
      </w:r>
      <w:r>
        <w:rPr>
          <w:sz w:val="24"/>
        </w:rPr>
        <w:t>废防渗布主要在修井作业过程中产生</w:t>
      </w:r>
      <w:r>
        <w:rPr>
          <w:rFonts w:hint="eastAsia"/>
          <w:sz w:val="24"/>
        </w:rPr>
        <w:t>，</w:t>
      </w:r>
      <w:r>
        <w:rPr>
          <w:sz w:val="24"/>
        </w:rPr>
        <w:t>施工作业结束后，将废弃的含油防渗布集中收集，委托资质单位拉运处理，拉运过程中资质单位应使用专车、按照指定的拉运路线。</w:t>
      </w:r>
    </w:p>
    <w:p w:rsidR="00EE4502" w:rsidRDefault="00FD45A3">
      <w:pPr>
        <w:spacing w:line="360" w:lineRule="auto"/>
        <w:ind w:firstLine="522"/>
        <w:rPr>
          <w:sz w:val="24"/>
        </w:rPr>
      </w:pPr>
      <w:r>
        <w:rPr>
          <w:rFonts w:ascii="宋体" w:hAnsi="宋体" w:cs="宋体" w:hint="eastAsia"/>
          <w:sz w:val="24"/>
        </w:rPr>
        <w:t>①</w:t>
      </w:r>
      <w:r>
        <w:rPr>
          <w:sz w:val="24"/>
        </w:rPr>
        <w:t>危险废物收集措施及可行性分析</w:t>
      </w:r>
    </w:p>
    <w:p w:rsidR="00EE4502" w:rsidRDefault="00FD45A3">
      <w:pPr>
        <w:spacing w:line="360" w:lineRule="auto"/>
        <w:ind w:firstLine="522"/>
        <w:rPr>
          <w:sz w:val="24"/>
        </w:rPr>
      </w:pPr>
      <w:r>
        <w:rPr>
          <w:rFonts w:hint="eastAsia"/>
          <w:sz w:val="24"/>
        </w:rPr>
        <w:t>本工程</w:t>
      </w:r>
      <w:r>
        <w:rPr>
          <w:sz w:val="24"/>
        </w:rPr>
        <w:t>建成运行后，新春公司应按照《危险废物收集</w:t>
      </w:r>
      <w:r>
        <w:rPr>
          <w:sz w:val="24"/>
        </w:rPr>
        <w:t xml:space="preserve"> </w:t>
      </w:r>
      <w:r>
        <w:rPr>
          <w:sz w:val="24"/>
        </w:rPr>
        <w:t>贮存</w:t>
      </w:r>
      <w:r>
        <w:rPr>
          <w:sz w:val="24"/>
        </w:rPr>
        <w:t xml:space="preserve"> </w:t>
      </w:r>
      <w:r>
        <w:rPr>
          <w:sz w:val="24"/>
        </w:rPr>
        <w:t>运输技术规范》（</w:t>
      </w:r>
      <w:r>
        <w:rPr>
          <w:sz w:val="24"/>
        </w:rPr>
        <w:t>HJ2025-2012</w:t>
      </w:r>
      <w:r>
        <w:rPr>
          <w:sz w:val="24"/>
        </w:rPr>
        <w:t>）相关要求对含油废物进行收集。危险废物桶装收集后由有危废处置资质单位运输、处置。</w:t>
      </w:r>
    </w:p>
    <w:p w:rsidR="00EE4502" w:rsidRDefault="00FD45A3">
      <w:pPr>
        <w:spacing w:line="360" w:lineRule="auto"/>
        <w:ind w:firstLine="522"/>
        <w:rPr>
          <w:sz w:val="24"/>
        </w:rPr>
      </w:pPr>
      <w:r>
        <w:rPr>
          <w:sz w:val="24"/>
        </w:rPr>
        <w:t>收集危险废物的硬质桶应按要求设置明显的</w:t>
      </w:r>
      <w:r>
        <w:rPr>
          <w:rFonts w:hint="eastAsia"/>
          <w:sz w:val="24"/>
        </w:rPr>
        <w:t>标明</w:t>
      </w:r>
      <w:r>
        <w:rPr>
          <w:sz w:val="24"/>
        </w:rPr>
        <w:t>危险废物相关信息的标签，标签信息应填写完整</w:t>
      </w:r>
      <w:r>
        <w:rPr>
          <w:rFonts w:hint="eastAsia"/>
          <w:sz w:val="24"/>
        </w:rPr>
        <w:t>详实</w:t>
      </w:r>
      <w:r>
        <w:rPr>
          <w:sz w:val="24"/>
        </w:rPr>
        <w:t>。具体要求如下：</w:t>
      </w:r>
    </w:p>
    <w:p w:rsidR="00EE4502" w:rsidRDefault="00FD45A3">
      <w:pPr>
        <w:spacing w:line="360" w:lineRule="auto"/>
        <w:ind w:firstLine="522"/>
        <w:rPr>
          <w:sz w:val="24"/>
        </w:rPr>
      </w:pPr>
      <w:r>
        <w:rPr>
          <w:sz w:val="24"/>
        </w:rPr>
        <w:t>A.</w:t>
      </w:r>
      <w:r>
        <w:rPr>
          <w:sz w:val="24"/>
        </w:rPr>
        <w:t>危险废物标签规格颜色说明：规格：正方形，</w:t>
      </w:r>
      <w:r>
        <w:rPr>
          <w:sz w:val="24"/>
        </w:rPr>
        <w:t>40×40cm</w:t>
      </w:r>
      <w:r>
        <w:rPr>
          <w:sz w:val="24"/>
        </w:rPr>
        <w:t>；底色：醒目的橘黄色；字体：黑体字；字体颜色：黑色。</w:t>
      </w:r>
    </w:p>
    <w:p w:rsidR="00EE4502" w:rsidRDefault="00FD45A3">
      <w:pPr>
        <w:spacing w:line="360" w:lineRule="auto"/>
        <w:ind w:firstLine="522"/>
        <w:rPr>
          <w:sz w:val="24"/>
        </w:rPr>
      </w:pPr>
      <w:r>
        <w:rPr>
          <w:sz w:val="24"/>
        </w:rPr>
        <w:t>B.</w:t>
      </w:r>
      <w:r>
        <w:rPr>
          <w:sz w:val="24"/>
        </w:rPr>
        <w:t>危险废物类别：按危险废物种类选择。</w:t>
      </w:r>
    </w:p>
    <w:p w:rsidR="00EE4502" w:rsidRDefault="00FD45A3">
      <w:pPr>
        <w:spacing w:line="360" w:lineRule="auto"/>
        <w:ind w:firstLine="522"/>
        <w:rPr>
          <w:sz w:val="24"/>
        </w:rPr>
      </w:pPr>
      <w:r>
        <w:rPr>
          <w:sz w:val="24"/>
        </w:rPr>
        <w:t>C.</w:t>
      </w:r>
      <w:r>
        <w:rPr>
          <w:sz w:val="24"/>
        </w:rPr>
        <w:t>材料应坚固、耐用、抗风化、抗淋蚀。</w:t>
      </w:r>
    </w:p>
    <w:p w:rsidR="00EE4502" w:rsidRDefault="00FD45A3">
      <w:pPr>
        <w:spacing w:line="360" w:lineRule="auto"/>
        <w:ind w:firstLine="522"/>
        <w:rPr>
          <w:sz w:val="24"/>
        </w:rPr>
      </w:pPr>
      <w:r>
        <w:rPr>
          <w:sz w:val="24"/>
        </w:rPr>
        <w:t>D.</w:t>
      </w:r>
      <w:r>
        <w:rPr>
          <w:sz w:val="24"/>
        </w:rPr>
        <w:t>装载液体、固体的危险废物的硬质桶内必须留足</w:t>
      </w:r>
      <w:r>
        <w:rPr>
          <w:sz w:val="24"/>
        </w:rPr>
        <w:t>够的空间，硬质桶顶部与液体表面之间保留</w:t>
      </w:r>
      <w:r>
        <w:rPr>
          <w:sz w:val="24"/>
        </w:rPr>
        <w:t>100mm</w:t>
      </w:r>
      <w:r>
        <w:rPr>
          <w:sz w:val="24"/>
        </w:rPr>
        <w:t>以上的空间。</w:t>
      </w:r>
    </w:p>
    <w:p w:rsidR="00EE4502" w:rsidRDefault="00FD45A3">
      <w:pPr>
        <w:spacing w:line="360" w:lineRule="auto"/>
        <w:ind w:firstLine="522"/>
        <w:rPr>
          <w:sz w:val="24"/>
        </w:rPr>
      </w:pPr>
      <w:r>
        <w:rPr>
          <w:rFonts w:ascii="宋体" w:hAnsi="宋体" w:cs="宋体" w:hint="eastAsia"/>
          <w:sz w:val="24"/>
        </w:rPr>
        <w:t>②</w:t>
      </w:r>
      <w:r>
        <w:rPr>
          <w:sz w:val="24"/>
        </w:rPr>
        <w:t>危废运输依托可行性分析</w:t>
      </w:r>
    </w:p>
    <w:p w:rsidR="00EE4502" w:rsidRDefault="00FD45A3">
      <w:pPr>
        <w:spacing w:line="360" w:lineRule="auto"/>
        <w:ind w:firstLine="522"/>
        <w:rPr>
          <w:sz w:val="24"/>
        </w:rPr>
      </w:pPr>
      <w:r>
        <w:rPr>
          <w:rFonts w:hint="eastAsia"/>
          <w:sz w:val="24"/>
        </w:rPr>
        <w:t>本工程</w:t>
      </w:r>
      <w:r>
        <w:rPr>
          <w:sz w:val="24"/>
        </w:rPr>
        <w:t>产生的危险废物由</w:t>
      </w:r>
      <w:r>
        <w:rPr>
          <w:rFonts w:hint="eastAsia"/>
          <w:sz w:val="24"/>
        </w:rPr>
        <w:t>克拉玛依沃森环保科技有限公司、新疆锦恒利废矿物油处置有限公司</w:t>
      </w:r>
      <w:r>
        <w:rPr>
          <w:sz w:val="24"/>
        </w:rPr>
        <w:t>等有资质单位的专用运输车辆进行运输，按要求填写危险废物的收集记录、转运记录表，并将记录表作为危险废物管理的重要档案妥善保存。并严格按照《危险废物转移管理办法》，实施危险废物转移联单管理制度。</w:t>
      </w:r>
      <w:r>
        <w:rPr>
          <w:rFonts w:hint="eastAsia"/>
          <w:sz w:val="24"/>
        </w:rPr>
        <w:t>克拉玛依沃森环保科技有限公司</w:t>
      </w:r>
      <w:r>
        <w:rPr>
          <w:sz w:val="24"/>
        </w:rPr>
        <w:t>运输分公司于</w:t>
      </w:r>
      <w:r>
        <w:rPr>
          <w:sz w:val="24"/>
        </w:rPr>
        <w:t>1993</w:t>
      </w:r>
      <w:r>
        <w:rPr>
          <w:sz w:val="24"/>
        </w:rPr>
        <w:t>年</w:t>
      </w:r>
      <w:r>
        <w:rPr>
          <w:sz w:val="24"/>
        </w:rPr>
        <w:t>11</w:t>
      </w:r>
      <w:r>
        <w:rPr>
          <w:sz w:val="24"/>
        </w:rPr>
        <w:t>月</w:t>
      </w:r>
      <w:r>
        <w:rPr>
          <w:sz w:val="24"/>
        </w:rPr>
        <w:t>24</w:t>
      </w:r>
      <w:r>
        <w:rPr>
          <w:sz w:val="24"/>
        </w:rPr>
        <w:t>日成立，公司经营范围包括：普通货运；货物专用运输（集装箱、罐式）；大型物件运输（一类）；危险</w:t>
      </w:r>
      <w:r>
        <w:rPr>
          <w:sz w:val="24"/>
        </w:rPr>
        <w:t>货物运输（</w:t>
      </w:r>
      <w:r>
        <w:rPr>
          <w:sz w:val="24"/>
        </w:rPr>
        <w:t>2</w:t>
      </w:r>
      <w:r>
        <w:rPr>
          <w:sz w:val="24"/>
        </w:rPr>
        <w:t>类、</w:t>
      </w:r>
      <w:r>
        <w:rPr>
          <w:sz w:val="24"/>
        </w:rPr>
        <w:t>3</w:t>
      </w:r>
      <w:r>
        <w:rPr>
          <w:sz w:val="24"/>
        </w:rPr>
        <w:t>类、</w:t>
      </w:r>
      <w:r>
        <w:rPr>
          <w:sz w:val="24"/>
        </w:rPr>
        <w:t>8</w:t>
      </w:r>
      <w:r>
        <w:rPr>
          <w:sz w:val="24"/>
        </w:rPr>
        <w:t>类、危险废物），可运输</w:t>
      </w:r>
      <w:r>
        <w:rPr>
          <w:rFonts w:hint="eastAsia"/>
          <w:sz w:val="24"/>
        </w:rPr>
        <w:t>本工程</w:t>
      </w:r>
      <w:r>
        <w:rPr>
          <w:sz w:val="24"/>
        </w:rPr>
        <w:t>产生的危险废物。</w:t>
      </w:r>
    </w:p>
    <w:p w:rsidR="00EE4502" w:rsidRDefault="00FD45A3">
      <w:pPr>
        <w:spacing w:line="360" w:lineRule="auto"/>
        <w:ind w:firstLine="522"/>
        <w:rPr>
          <w:sz w:val="24"/>
        </w:rPr>
      </w:pPr>
      <w:r>
        <w:rPr>
          <w:rFonts w:ascii="宋体" w:hAnsi="宋体" w:cs="宋体" w:hint="eastAsia"/>
          <w:sz w:val="24"/>
        </w:rPr>
        <w:t>③</w:t>
      </w:r>
      <w:r>
        <w:rPr>
          <w:sz w:val="24"/>
        </w:rPr>
        <w:t>危废处置依托可行性分析</w:t>
      </w:r>
    </w:p>
    <w:p w:rsidR="00EE4502" w:rsidRDefault="00FD45A3">
      <w:pPr>
        <w:spacing w:line="360" w:lineRule="auto"/>
        <w:ind w:firstLine="522"/>
        <w:rPr>
          <w:sz w:val="24"/>
        </w:rPr>
      </w:pPr>
      <w:r>
        <w:rPr>
          <w:rFonts w:hint="eastAsia"/>
          <w:sz w:val="24"/>
        </w:rPr>
        <w:t>本工程</w:t>
      </w:r>
      <w:r>
        <w:rPr>
          <w:sz w:val="24"/>
        </w:rPr>
        <w:t>落地油</w:t>
      </w:r>
      <w:r>
        <w:rPr>
          <w:rFonts w:hint="eastAsia"/>
          <w:sz w:val="24"/>
        </w:rPr>
        <w:t>、清管废渣</w:t>
      </w:r>
      <w:r>
        <w:rPr>
          <w:sz w:val="24"/>
        </w:rPr>
        <w:t>属于《国家危险废物名录（</w:t>
      </w:r>
      <w:r>
        <w:rPr>
          <w:sz w:val="24"/>
        </w:rPr>
        <w:t>202</w:t>
      </w:r>
      <w:r>
        <w:rPr>
          <w:rFonts w:hint="eastAsia"/>
          <w:sz w:val="24"/>
        </w:rPr>
        <w:t>5</w:t>
      </w:r>
      <w:r>
        <w:rPr>
          <w:sz w:val="24"/>
        </w:rPr>
        <w:t>年版）》中</w:t>
      </w:r>
      <w:r>
        <w:rPr>
          <w:sz w:val="24"/>
        </w:rPr>
        <w:t>“</w:t>
      </w:r>
      <w:r>
        <w:rPr>
          <w:sz w:val="24"/>
        </w:rPr>
        <w:t>石油开采和联合站贮存产生的油泥和油脚</w:t>
      </w:r>
      <w:r>
        <w:rPr>
          <w:sz w:val="24"/>
        </w:rPr>
        <w:t>”</w:t>
      </w:r>
      <w:r>
        <w:rPr>
          <w:sz w:val="24"/>
        </w:rPr>
        <w:t>，其废物代码为</w:t>
      </w:r>
      <w:r>
        <w:rPr>
          <w:sz w:val="24"/>
        </w:rPr>
        <w:t>HW08</w:t>
      </w:r>
      <w:r>
        <w:rPr>
          <w:sz w:val="24"/>
        </w:rPr>
        <w:t>（</w:t>
      </w:r>
      <w:r>
        <w:rPr>
          <w:sz w:val="24"/>
        </w:rPr>
        <w:t>071-001-08</w:t>
      </w:r>
      <w:r>
        <w:rPr>
          <w:sz w:val="24"/>
        </w:rPr>
        <w:t>），委</w:t>
      </w:r>
      <w:r>
        <w:rPr>
          <w:sz w:val="24"/>
        </w:rPr>
        <w:lastRenderedPageBreak/>
        <w:t>托新疆锦恒利废矿物油处置有限公司进行处置。废润滑油属于《国家危险废物名录（</w:t>
      </w:r>
      <w:r>
        <w:rPr>
          <w:sz w:val="24"/>
        </w:rPr>
        <w:t>202</w:t>
      </w:r>
      <w:r>
        <w:rPr>
          <w:rFonts w:hint="eastAsia"/>
          <w:sz w:val="24"/>
        </w:rPr>
        <w:t>5</w:t>
      </w:r>
      <w:r>
        <w:rPr>
          <w:sz w:val="24"/>
        </w:rPr>
        <w:t>年版）》中</w:t>
      </w:r>
      <w:r>
        <w:rPr>
          <w:sz w:val="24"/>
        </w:rPr>
        <w:t>“</w:t>
      </w:r>
      <w:r>
        <w:rPr>
          <w:sz w:val="24"/>
        </w:rPr>
        <w:t>使用工业齿轮油进行机械设备润滑过程中产生的废润滑油</w:t>
      </w:r>
      <w:r>
        <w:rPr>
          <w:sz w:val="24"/>
        </w:rPr>
        <w:t>”</w:t>
      </w:r>
      <w:r>
        <w:rPr>
          <w:sz w:val="24"/>
        </w:rPr>
        <w:t>，其废物代码为</w:t>
      </w:r>
      <w:r>
        <w:rPr>
          <w:sz w:val="24"/>
        </w:rPr>
        <w:t>HW08</w:t>
      </w:r>
      <w:r>
        <w:rPr>
          <w:sz w:val="24"/>
        </w:rPr>
        <w:t>（</w:t>
      </w:r>
      <w:r>
        <w:rPr>
          <w:sz w:val="24"/>
        </w:rPr>
        <w:t>900-21</w:t>
      </w:r>
      <w:r>
        <w:rPr>
          <w:rFonts w:hint="eastAsia"/>
          <w:sz w:val="24"/>
        </w:rPr>
        <w:t>7</w:t>
      </w:r>
      <w:r>
        <w:rPr>
          <w:sz w:val="24"/>
        </w:rPr>
        <w:t>-08</w:t>
      </w:r>
      <w:r>
        <w:rPr>
          <w:sz w:val="24"/>
        </w:rPr>
        <w:t>），集中收集后</w:t>
      </w:r>
      <w:r>
        <w:rPr>
          <w:rFonts w:hint="eastAsia"/>
          <w:sz w:val="24"/>
        </w:rPr>
        <w:t>交由联合站综合利用</w:t>
      </w:r>
      <w:r>
        <w:rPr>
          <w:sz w:val="24"/>
        </w:rPr>
        <w:t>。含油废</w:t>
      </w:r>
      <w:r>
        <w:rPr>
          <w:rFonts w:hint="eastAsia"/>
          <w:sz w:val="24"/>
        </w:rPr>
        <w:t>防渗材料</w:t>
      </w:r>
      <w:r>
        <w:rPr>
          <w:sz w:val="24"/>
        </w:rPr>
        <w:t>属于《国家危险废物名录（</w:t>
      </w:r>
      <w:r>
        <w:rPr>
          <w:sz w:val="24"/>
        </w:rPr>
        <w:t>202</w:t>
      </w:r>
      <w:r>
        <w:rPr>
          <w:rFonts w:hint="eastAsia"/>
          <w:sz w:val="24"/>
        </w:rPr>
        <w:t>5</w:t>
      </w:r>
      <w:r>
        <w:rPr>
          <w:sz w:val="24"/>
        </w:rPr>
        <w:t>年版）》中</w:t>
      </w:r>
      <w:r>
        <w:rPr>
          <w:rFonts w:hint="eastAsia"/>
          <w:sz w:val="24"/>
        </w:rPr>
        <w:t>“</w:t>
      </w:r>
      <w:r>
        <w:rPr>
          <w:sz w:val="24"/>
        </w:rPr>
        <w:t>含有或沾染毒性、感染性危险废物的废弃包装物、容器、过滤吸附介质</w:t>
      </w:r>
      <w:r>
        <w:rPr>
          <w:rFonts w:hint="eastAsia"/>
          <w:sz w:val="24"/>
        </w:rPr>
        <w:t>”</w:t>
      </w:r>
      <w:r>
        <w:rPr>
          <w:sz w:val="24"/>
        </w:rPr>
        <w:t>，其废物代码为</w:t>
      </w:r>
      <w:r>
        <w:rPr>
          <w:sz w:val="24"/>
        </w:rPr>
        <w:t>HW08</w:t>
      </w:r>
      <w:r>
        <w:rPr>
          <w:sz w:val="24"/>
        </w:rPr>
        <w:t>（</w:t>
      </w:r>
      <w:r>
        <w:rPr>
          <w:sz w:val="24"/>
        </w:rPr>
        <w:t>900-249-08</w:t>
      </w:r>
      <w:r>
        <w:rPr>
          <w:sz w:val="24"/>
        </w:rPr>
        <w:t>），</w:t>
      </w:r>
      <w:r>
        <w:rPr>
          <w:rFonts w:hint="eastAsia"/>
          <w:sz w:val="24"/>
        </w:rPr>
        <w:t>收集后</w:t>
      </w:r>
      <w:r>
        <w:rPr>
          <w:rFonts w:hint="eastAsia"/>
          <w:sz w:val="24"/>
        </w:rPr>
        <w:t>委托</w:t>
      </w:r>
      <w:r>
        <w:rPr>
          <w:sz w:val="24"/>
        </w:rPr>
        <w:t>有资质单位处置。</w:t>
      </w:r>
    </w:p>
    <w:p w:rsidR="00EE4502" w:rsidRDefault="00FD45A3">
      <w:pPr>
        <w:spacing w:line="360" w:lineRule="auto"/>
        <w:ind w:firstLine="522"/>
        <w:rPr>
          <w:sz w:val="24"/>
        </w:rPr>
        <w:sectPr w:rsidR="00EE4502">
          <w:footerReference w:type="default" r:id="rId57"/>
          <w:pgSz w:w="11906" w:h="16838"/>
          <w:pgMar w:top="1440" w:right="1800" w:bottom="1440" w:left="1800" w:header="850" w:footer="850" w:gutter="0"/>
          <w:pgNumType w:fmt="numberInDash"/>
          <w:cols w:space="720"/>
          <w:docGrid w:linePitch="326"/>
        </w:sectPr>
      </w:pPr>
      <w:r>
        <w:rPr>
          <w:sz w:val="24"/>
        </w:rPr>
        <w:t>新疆锦恒利废矿物油处置有限公司于</w:t>
      </w:r>
      <w:r>
        <w:rPr>
          <w:rFonts w:hint="eastAsia"/>
          <w:sz w:val="24"/>
        </w:rPr>
        <w:t>2021</w:t>
      </w:r>
      <w:r>
        <w:rPr>
          <w:rFonts w:hint="eastAsia"/>
          <w:sz w:val="24"/>
        </w:rPr>
        <w:t>年</w:t>
      </w:r>
      <w:r>
        <w:rPr>
          <w:rFonts w:hint="eastAsia"/>
          <w:sz w:val="24"/>
        </w:rPr>
        <w:t>9</w:t>
      </w:r>
      <w:r>
        <w:rPr>
          <w:rFonts w:hint="eastAsia"/>
          <w:sz w:val="24"/>
        </w:rPr>
        <w:t>月</w:t>
      </w:r>
      <w:r>
        <w:rPr>
          <w:rFonts w:hint="eastAsia"/>
          <w:sz w:val="24"/>
        </w:rPr>
        <w:t>7</w:t>
      </w:r>
      <w:r>
        <w:rPr>
          <w:rFonts w:hint="eastAsia"/>
          <w:sz w:val="24"/>
        </w:rPr>
        <w:t>日取得了危险废物经营许可证（证书编号：</w:t>
      </w:r>
      <w:r>
        <w:rPr>
          <w:rFonts w:hint="eastAsia"/>
          <w:sz w:val="24"/>
        </w:rPr>
        <w:t>6607010801</w:t>
      </w:r>
      <w:r>
        <w:rPr>
          <w:rFonts w:hint="eastAsia"/>
          <w:sz w:val="24"/>
        </w:rPr>
        <w:t>），可处理危废类别为</w:t>
      </w:r>
      <w:r>
        <w:rPr>
          <w:rFonts w:hint="eastAsia"/>
          <w:sz w:val="24"/>
        </w:rPr>
        <w:t>HW08</w:t>
      </w:r>
      <w:r>
        <w:rPr>
          <w:rFonts w:hint="eastAsia"/>
          <w:sz w:val="24"/>
        </w:rPr>
        <w:t>（</w:t>
      </w:r>
      <w:r>
        <w:rPr>
          <w:rFonts w:hint="eastAsia"/>
          <w:sz w:val="24"/>
        </w:rPr>
        <w:t>071-001-08</w:t>
      </w:r>
      <w:r>
        <w:rPr>
          <w:rFonts w:hint="eastAsia"/>
          <w:sz w:val="24"/>
        </w:rPr>
        <w:t>、</w:t>
      </w:r>
      <w:r>
        <w:rPr>
          <w:rFonts w:hint="eastAsia"/>
          <w:sz w:val="24"/>
        </w:rPr>
        <w:t>071-002-08</w:t>
      </w:r>
      <w:r>
        <w:rPr>
          <w:rFonts w:hint="eastAsia"/>
          <w:sz w:val="24"/>
        </w:rPr>
        <w:t>、</w:t>
      </w:r>
      <w:r>
        <w:rPr>
          <w:rFonts w:hint="eastAsia"/>
          <w:sz w:val="24"/>
        </w:rPr>
        <w:t>072-001-08</w:t>
      </w:r>
      <w:r>
        <w:rPr>
          <w:rFonts w:hint="eastAsia"/>
          <w:sz w:val="24"/>
        </w:rPr>
        <w:t>），经营规模为：利用含油污泥</w:t>
      </w:r>
      <w:r>
        <w:rPr>
          <w:rFonts w:hint="eastAsia"/>
          <w:sz w:val="24"/>
        </w:rPr>
        <w:t>30000t/a</w:t>
      </w:r>
      <w:r>
        <w:rPr>
          <w:rFonts w:hint="eastAsia"/>
          <w:sz w:val="24"/>
        </w:rPr>
        <w:t>岩屑泥浆</w:t>
      </w:r>
      <w:r>
        <w:rPr>
          <w:rFonts w:hint="eastAsia"/>
          <w:sz w:val="24"/>
        </w:rPr>
        <w:t>20000t/a</w:t>
      </w:r>
      <w:r>
        <w:rPr>
          <w:rFonts w:hint="eastAsia"/>
          <w:sz w:val="24"/>
        </w:rPr>
        <w:t>，现公司正常运行。</w:t>
      </w:r>
      <w:r>
        <w:rPr>
          <w:sz w:val="24"/>
        </w:rPr>
        <w:t>新疆锦恒利废矿物油处置有限公司危废资质及剩余处理能力均可满足</w:t>
      </w:r>
      <w:r>
        <w:rPr>
          <w:rFonts w:hint="eastAsia"/>
          <w:sz w:val="24"/>
        </w:rPr>
        <w:t>本工程</w:t>
      </w:r>
      <w:r>
        <w:rPr>
          <w:sz w:val="24"/>
        </w:rPr>
        <w:t>油泥处理需求。</w:t>
      </w:r>
    </w:p>
    <w:p w:rsidR="00EE4502" w:rsidRDefault="00FD45A3">
      <w:pPr>
        <w:pStyle w:val="12"/>
        <w:numPr>
          <w:ilvl w:val="0"/>
          <w:numId w:val="30"/>
        </w:numPr>
        <w:spacing w:before="0" w:after="0" w:line="360" w:lineRule="auto"/>
        <w:ind w:left="0" w:firstLine="0"/>
        <w:rPr>
          <w:b w:val="0"/>
          <w:szCs w:val="30"/>
        </w:rPr>
      </w:pPr>
      <w:bookmarkStart w:id="248" w:name="_Toc28560"/>
      <w:r>
        <w:rPr>
          <w:rFonts w:hint="eastAsia"/>
          <w:b w:val="0"/>
          <w:szCs w:val="30"/>
        </w:rPr>
        <w:lastRenderedPageBreak/>
        <w:t>温室气体排放影响评价</w:t>
      </w:r>
      <w:bookmarkEnd w:id="248"/>
    </w:p>
    <w:p w:rsidR="00EE4502" w:rsidRDefault="00FD45A3">
      <w:pPr>
        <w:spacing w:line="360" w:lineRule="auto"/>
        <w:ind w:firstLine="522"/>
        <w:rPr>
          <w:sz w:val="24"/>
        </w:rPr>
      </w:pPr>
      <w:r>
        <w:rPr>
          <w:rFonts w:hint="eastAsia"/>
          <w:sz w:val="24"/>
        </w:rPr>
        <w:t>为贯彻落实中央和生态环境部关于“碳达峰、碳中和”相关决策部署和文件精神，充分发挥环境影响评价的源头防控、过程管理中的基础性作用，本评价按照相关政策及文件要</w:t>
      </w:r>
      <w:r>
        <w:rPr>
          <w:rFonts w:hint="eastAsia"/>
          <w:sz w:val="24"/>
        </w:rPr>
        <w:t>求，根据《中国石油天然气生产企业温室气体排放核算方法与报告指南（试行）》（发改办气候〔</w:t>
      </w:r>
      <w:r>
        <w:rPr>
          <w:rFonts w:hint="eastAsia"/>
          <w:sz w:val="24"/>
        </w:rPr>
        <w:t>2014</w:t>
      </w:r>
      <w:r>
        <w:rPr>
          <w:rFonts w:hint="eastAsia"/>
          <w:sz w:val="24"/>
        </w:rPr>
        <w:t>〕</w:t>
      </w:r>
      <w:r>
        <w:rPr>
          <w:rFonts w:hint="eastAsia"/>
          <w:sz w:val="24"/>
        </w:rPr>
        <w:t>2920</w:t>
      </w:r>
      <w:r>
        <w:rPr>
          <w:rFonts w:hint="eastAsia"/>
          <w:sz w:val="24"/>
        </w:rPr>
        <w:t>号）核算方法，计算拟建工程实施后温室气体排放量及排放强度，提出温室气体减排建议，并分析减污降碳措施可行性及碳排放水平。</w:t>
      </w:r>
    </w:p>
    <w:p w:rsidR="00EE4502" w:rsidRDefault="00FD45A3">
      <w:pPr>
        <w:pStyle w:val="22"/>
        <w:numPr>
          <w:ilvl w:val="1"/>
          <w:numId w:val="30"/>
        </w:numPr>
        <w:rPr>
          <w:spacing w:val="0"/>
          <w:w w:val="100"/>
        </w:rPr>
      </w:pPr>
      <w:bookmarkStart w:id="249" w:name="_Toc32601"/>
      <w:r>
        <w:rPr>
          <w:rFonts w:hint="eastAsia"/>
          <w:spacing w:val="0"/>
          <w:w w:val="100"/>
        </w:rPr>
        <w:t>温室气体排放分析</w:t>
      </w:r>
      <w:bookmarkEnd w:id="249"/>
    </w:p>
    <w:p w:rsidR="00EE4502" w:rsidRDefault="00FD45A3">
      <w:pPr>
        <w:pStyle w:val="33"/>
        <w:numPr>
          <w:ilvl w:val="2"/>
          <w:numId w:val="30"/>
        </w:numPr>
        <w:spacing w:line="360" w:lineRule="auto"/>
        <w:ind w:left="0" w:firstLine="0"/>
        <w:rPr>
          <w:spacing w:val="0"/>
          <w:sz w:val="24"/>
          <w:szCs w:val="24"/>
        </w:rPr>
      </w:pPr>
      <w:r>
        <w:rPr>
          <w:rFonts w:hint="eastAsia"/>
          <w:spacing w:val="0"/>
          <w:sz w:val="24"/>
          <w:szCs w:val="24"/>
        </w:rPr>
        <w:t>温室气体产排节点分析</w:t>
      </w:r>
    </w:p>
    <w:p w:rsidR="00EE4502" w:rsidRDefault="00FD45A3">
      <w:pPr>
        <w:spacing w:line="360" w:lineRule="auto"/>
        <w:ind w:firstLine="522"/>
        <w:rPr>
          <w:sz w:val="24"/>
        </w:rPr>
      </w:pPr>
      <w:r>
        <w:rPr>
          <w:rFonts w:hint="eastAsia"/>
          <w:sz w:val="24"/>
        </w:rPr>
        <w:t>根据《中国石油天然气生产企业温室气体排放核算方法与报告指南（试行）》，石油天然气开采企业温室气体排放源主要包括：燃料燃烧</w:t>
      </w:r>
      <w:r>
        <w:rPr>
          <w:rFonts w:hint="eastAsia"/>
          <w:sz w:val="24"/>
        </w:rPr>
        <w:t>CO</w:t>
      </w:r>
      <w:r>
        <w:rPr>
          <w:rFonts w:hint="eastAsia"/>
          <w:sz w:val="24"/>
          <w:vertAlign w:val="subscript"/>
        </w:rPr>
        <w:t>2</w:t>
      </w:r>
      <w:r>
        <w:rPr>
          <w:rFonts w:hint="eastAsia"/>
          <w:sz w:val="24"/>
        </w:rPr>
        <w:t>排放、火炬燃烧排放、工艺放空排放、</w:t>
      </w:r>
      <w:r>
        <w:rPr>
          <w:rFonts w:hint="eastAsia"/>
          <w:sz w:val="24"/>
        </w:rPr>
        <w:t>CH</w:t>
      </w:r>
      <w:r>
        <w:rPr>
          <w:rFonts w:hint="eastAsia"/>
          <w:sz w:val="24"/>
          <w:vertAlign w:val="subscript"/>
        </w:rPr>
        <w:t>4</w:t>
      </w:r>
      <w:r>
        <w:rPr>
          <w:rFonts w:hint="eastAsia"/>
          <w:sz w:val="24"/>
        </w:rPr>
        <w:t>逃逸排放量、</w:t>
      </w:r>
      <w:r>
        <w:rPr>
          <w:rFonts w:hint="eastAsia"/>
          <w:sz w:val="24"/>
        </w:rPr>
        <w:t>CH</w:t>
      </w:r>
      <w:r>
        <w:rPr>
          <w:rFonts w:hint="eastAsia"/>
          <w:sz w:val="24"/>
          <w:vertAlign w:val="subscript"/>
        </w:rPr>
        <w:t>4</w:t>
      </w:r>
      <w:r>
        <w:rPr>
          <w:rFonts w:hint="eastAsia"/>
          <w:sz w:val="24"/>
        </w:rPr>
        <w:t>回收利用量、</w:t>
      </w:r>
      <w:r>
        <w:rPr>
          <w:rFonts w:hint="eastAsia"/>
          <w:sz w:val="24"/>
        </w:rPr>
        <w:t>CO</w:t>
      </w:r>
      <w:r>
        <w:rPr>
          <w:rFonts w:hint="eastAsia"/>
          <w:sz w:val="24"/>
          <w:vertAlign w:val="subscript"/>
        </w:rPr>
        <w:t>2</w:t>
      </w:r>
      <w:r>
        <w:rPr>
          <w:rFonts w:hint="eastAsia"/>
          <w:sz w:val="24"/>
        </w:rPr>
        <w:t>回收利用量、净购入电力和热力隐含的</w:t>
      </w:r>
      <w:r>
        <w:rPr>
          <w:rFonts w:hint="eastAsia"/>
          <w:sz w:val="24"/>
        </w:rPr>
        <w:t>CO</w:t>
      </w:r>
      <w:r>
        <w:rPr>
          <w:rFonts w:hint="eastAsia"/>
          <w:sz w:val="24"/>
          <w:vertAlign w:val="subscript"/>
        </w:rPr>
        <w:t>2</w:t>
      </w:r>
      <w:r>
        <w:rPr>
          <w:rFonts w:hint="eastAsia"/>
          <w:sz w:val="24"/>
        </w:rPr>
        <w:t>排放。</w:t>
      </w:r>
      <w:r>
        <w:rPr>
          <w:rFonts w:hint="eastAsia"/>
          <w:sz w:val="24"/>
        </w:rPr>
        <w:t>计算公式如下：</w:t>
      </w:r>
    </w:p>
    <w:p w:rsidR="00EE4502" w:rsidRDefault="00FD45A3">
      <w:pPr>
        <w:spacing w:line="360" w:lineRule="auto"/>
        <w:jc w:val="center"/>
        <w:rPr>
          <w:sz w:val="24"/>
        </w:rPr>
      </w:pPr>
      <w:r>
        <w:rPr>
          <w:noProof/>
        </w:rPr>
        <w:drawing>
          <wp:inline distT="0" distB="0" distL="0" distR="0">
            <wp:extent cx="4543425" cy="800100"/>
            <wp:effectExtent l="0" t="0" r="9525" b="0"/>
            <wp:docPr id="70" name="图片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0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4543425" cy="800100"/>
                    </a:xfrm>
                    <a:prstGeom prst="rect">
                      <a:avLst/>
                    </a:prstGeom>
                    <a:noFill/>
                    <a:ln>
                      <a:noFill/>
                    </a:ln>
                    <a:effectLst/>
                  </pic:spPr>
                </pic:pic>
              </a:graphicData>
            </a:graphic>
          </wp:inline>
        </w:drawing>
      </w:r>
    </w:p>
    <w:p w:rsidR="00EE4502" w:rsidRDefault="00FD45A3">
      <w:pPr>
        <w:spacing w:line="360" w:lineRule="auto"/>
        <w:ind w:firstLine="522"/>
        <w:rPr>
          <w:sz w:val="24"/>
        </w:rPr>
      </w:pPr>
      <w:r>
        <w:rPr>
          <w:rFonts w:hint="eastAsia"/>
          <w:sz w:val="24"/>
        </w:rPr>
        <w:t>拟建工程生产工艺流程中涉及温室气体的产排节点见表</w:t>
      </w:r>
      <w:r>
        <w:rPr>
          <w:rFonts w:hint="eastAsia"/>
          <w:sz w:val="24"/>
        </w:rPr>
        <w:t>7-1-1</w:t>
      </w:r>
      <w:r>
        <w:rPr>
          <w:rFonts w:hint="eastAsia"/>
          <w:sz w:val="24"/>
        </w:rPr>
        <w:t>所示。</w:t>
      </w:r>
    </w:p>
    <w:p w:rsidR="00EE4502" w:rsidRDefault="00FD45A3">
      <w:pPr>
        <w:spacing w:line="360" w:lineRule="auto"/>
        <w:jc w:val="center"/>
        <w:textAlignment w:val="baseline"/>
        <w:rPr>
          <w:rFonts w:eastAsia="黑体"/>
          <w:bCs/>
          <w:lang w:val="zh-CN"/>
        </w:rPr>
      </w:pPr>
      <w:r>
        <w:rPr>
          <w:rFonts w:eastAsia="黑体"/>
          <w:bCs/>
          <w:lang w:val="zh-CN"/>
        </w:rPr>
        <w:t>表</w:t>
      </w:r>
      <w:r>
        <w:rPr>
          <w:rFonts w:eastAsia="黑体" w:hint="eastAsia"/>
          <w:bCs/>
        </w:rPr>
        <w:t>7-1-1</w:t>
      </w:r>
      <w:r>
        <w:rPr>
          <w:rFonts w:eastAsia="黑体"/>
          <w:bCs/>
          <w:lang w:val="zh-CN"/>
        </w:rPr>
        <w:t xml:space="preserve">    </w:t>
      </w:r>
      <w:r>
        <w:rPr>
          <w:rFonts w:eastAsia="黑体" w:hint="eastAsia"/>
          <w:bCs/>
        </w:rPr>
        <w:t>温室气体产排节点汇总一览表</w:t>
      </w:r>
    </w:p>
    <w:tbl>
      <w:tblPr>
        <w:tblW w:w="5000" w:type="pct"/>
        <w:jc w:val="center"/>
        <w:tblBorders>
          <w:top w:val="single" w:sz="8" w:space="0" w:color="auto"/>
          <w:bottom w:val="single" w:sz="8" w:space="0" w:color="auto"/>
          <w:insideH w:val="single" w:sz="8" w:space="0" w:color="auto"/>
          <w:insideV w:val="single" w:sz="8" w:space="0" w:color="auto"/>
        </w:tblBorders>
        <w:tblLook w:val="04A0" w:firstRow="1" w:lastRow="0" w:firstColumn="1" w:lastColumn="0" w:noHBand="0" w:noVBand="1"/>
      </w:tblPr>
      <w:tblGrid>
        <w:gridCol w:w="733"/>
        <w:gridCol w:w="3395"/>
        <w:gridCol w:w="2272"/>
        <w:gridCol w:w="1086"/>
        <w:gridCol w:w="1036"/>
      </w:tblGrid>
      <w:tr w:rsidR="00EE4502">
        <w:trPr>
          <w:cantSplit/>
          <w:trHeight w:val="340"/>
          <w:jc w:val="center"/>
        </w:trPr>
        <w:tc>
          <w:tcPr>
            <w:tcW w:w="430" w:type="pct"/>
            <w:vAlign w:val="center"/>
          </w:tcPr>
          <w:p w:rsidR="00EE4502" w:rsidRDefault="00FD45A3">
            <w:pPr>
              <w:jc w:val="center"/>
              <w:rPr>
                <w:bCs/>
                <w:szCs w:val="21"/>
              </w:rPr>
            </w:pPr>
            <w:r>
              <w:rPr>
                <w:rFonts w:hint="eastAsia"/>
                <w:bCs/>
                <w:szCs w:val="21"/>
              </w:rPr>
              <w:t>序号</w:t>
            </w:r>
          </w:p>
        </w:tc>
        <w:tc>
          <w:tcPr>
            <w:tcW w:w="1991" w:type="pct"/>
            <w:vAlign w:val="center"/>
          </w:tcPr>
          <w:p w:rsidR="00EE4502" w:rsidRDefault="00FD45A3">
            <w:pPr>
              <w:jc w:val="center"/>
              <w:rPr>
                <w:bCs/>
                <w:szCs w:val="21"/>
              </w:rPr>
            </w:pPr>
            <w:r>
              <w:rPr>
                <w:rFonts w:hint="eastAsia"/>
                <w:bCs/>
                <w:szCs w:val="21"/>
              </w:rPr>
              <w:t>类别</w:t>
            </w:r>
          </w:p>
        </w:tc>
        <w:tc>
          <w:tcPr>
            <w:tcW w:w="1332" w:type="pct"/>
            <w:vAlign w:val="center"/>
          </w:tcPr>
          <w:p w:rsidR="00EE4502" w:rsidRDefault="00FD45A3">
            <w:pPr>
              <w:jc w:val="center"/>
              <w:rPr>
                <w:bCs/>
                <w:szCs w:val="21"/>
              </w:rPr>
            </w:pPr>
            <w:r>
              <w:rPr>
                <w:rFonts w:hint="eastAsia"/>
                <w:bCs/>
                <w:szCs w:val="21"/>
              </w:rPr>
              <w:t>产污环节</w:t>
            </w:r>
          </w:p>
        </w:tc>
        <w:tc>
          <w:tcPr>
            <w:tcW w:w="637" w:type="pct"/>
            <w:vAlign w:val="center"/>
          </w:tcPr>
          <w:p w:rsidR="00EE4502" w:rsidRDefault="00FD45A3">
            <w:pPr>
              <w:jc w:val="center"/>
              <w:rPr>
                <w:bCs/>
                <w:szCs w:val="21"/>
              </w:rPr>
            </w:pPr>
            <w:r>
              <w:rPr>
                <w:rFonts w:hint="eastAsia"/>
                <w:bCs/>
                <w:szCs w:val="21"/>
              </w:rPr>
              <w:t>排放因子</w:t>
            </w:r>
          </w:p>
        </w:tc>
        <w:tc>
          <w:tcPr>
            <w:tcW w:w="608" w:type="pct"/>
            <w:vAlign w:val="center"/>
          </w:tcPr>
          <w:p w:rsidR="00EE4502" w:rsidRDefault="00FD45A3">
            <w:pPr>
              <w:jc w:val="center"/>
              <w:rPr>
                <w:bCs/>
                <w:szCs w:val="21"/>
              </w:rPr>
            </w:pPr>
            <w:r>
              <w:rPr>
                <w:rFonts w:hint="eastAsia"/>
                <w:bCs/>
                <w:szCs w:val="21"/>
              </w:rPr>
              <w:t>排放形式</w:t>
            </w:r>
          </w:p>
        </w:tc>
      </w:tr>
      <w:tr w:rsidR="00EE4502">
        <w:trPr>
          <w:cantSplit/>
          <w:trHeight w:val="340"/>
          <w:jc w:val="center"/>
        </w:trPr>
        <w:tc>
          <w:tcPr>
            <w:tcW w:w="430" w:type="pct"/>
            <w:vMerge w:val="restart"/>
            <w:vAlign w:val="center"/>
          </w:tcPr>
          <w:p w:rsidR="00EE4502" w:rsidRDefault="00FD45A3">
            <w:pPr>
              <w:jc w:val="center"/>
              <w:rPr>
                <w:bCs/>
                <w:szCs w:val="21"/>
              </w:rPr>
            </w:pPr>
            <w:r>
              <w:rPr>
                <w:rFonts w:hint="eastAsia"/>
                <w:bCs/>
                <w:szCs w:val="21"/>
              </w:rPr>
              <w:t>1</w:t>
            </w:r>
          </w:p>
        </w:tc>
        <w:tc>
          <w:tcPr>
            <w:tcW w:w="1991" w:type="pct"/>
            <w:vMerge w:val="restart"/>
            <w:vAlign w:val="center"/>
          </w:tcPr>
          <w:p w:rsidR="00EE4502" w:rsidRDefault="00FD45A3">
            <w:pPr>
              <w:jc w:val="center"/>
              <w:rPr>
                <w:bCs/>
                <w:szCs w:val="21"/>
              </w:rPr>
            </w:pPr>
            <w:r>
              <w:rPr>
                <w:rFonts w:hint="eastAsia"/>
                <w:szCs w:val="21"/>
              </w:rPr>
              <w:t>CH</w:t>
            </w:r>
            <w:r>
              <w:rPr>
                <w:rFonts w:hint="eastAsia"/>
                <w:szCs w:val="21"/>
                <w:vertAlign w:val="subscript"/>
              </w:rPr>
              <w:t>4</w:t>
            </w:r>
            <w:r>
              <w:rPr>
                <w:rFonts w:hint="eastAsia"/>
                <w:szCs w:val="21"/>
              </w:rPr>
              <w:t>逃逸排放量</w:t>
            </w:r>
          </w:p>
        </w:tc>
        <w:tc>
          <w:tcPr>
            <w:tcW w:w="1332" w:type="pct"/>
            <w:vAlign w:val="center"/>
          </w:tcPr>
          <w:p w:rsidR="00EE4502" w:rsidRDefault="00FD45A3">
            <w:pPr>
              <w:jc w:val="center"/>
              <w:rPr>
                <w:bCs/>
                <w:szCs w:val="21"/>
              </w:rPr>
            </w:pPr>
            <w:r>
              <w:rPr>
                <w:rFonts w:hint="eastAsia"/>
                <w:bCs/>
                <w:szCs w:val="21"/>
              </w:rPr>
              <w:t>油气开采业务</w:t>
            </w:r>
          </w:p>
        </w:tc>
        <w:tc>
          <w:tcPr>
            <w:tcW w:w="637" w:type="pct"/>
            <w:vMerge w:val="restart"/>
            <w:vAlign w:val="center"/>
          </w:tcPr>
          <w:p w:rsidR="00EE4502" w:rsidRDefault="00FD45A3">
            <w:pPr>
              <w:jc w:val="center"/>
              <w:rPr>
                <w:bCs/>
                <w:szCs w:val="21"/>
              </w:rPr>
            </w:pPr>
            <w:r>
              <w:rPr>
                <w:rFonts w:hint="eastAsia"/>
                <w:bCs/>
                <w:szCs w:val="21"/>
              </w:rPr>
              <w:t>CH</w:t>
            </w:r>
            <w:r>
              <w:rPr>
                <w:rFonts w:hint="eastAsia"/>
                <w:bCs/>
                <w:szCs w:val="21"/>
                <w:vertAlign w:val="subscript"/>
              </w:rPr>
              <w:t>4</w:t>
            </w:r>
          </w:p>
        </w:tc>
        <w:tc>
          <w:tcPr>
            <w:tcW w:w="608" w:type="pct"/>
            <w:vMerge w:val="restart"/>
            <w:vAlign w:val="center"/>
          </w:tcPr>
          <w:p w:rsidR="00EE4502" w:rsidRDefault="00FD45A3">
            <w:pPr>
              <w:jc w:val="center"/>
              <w:rPr>
                <w:bCs/>
                <w:szCs w:val="21"/>
              </w:rPr>
            </w:pPr>
            <w:r>
              <w:rPr>
                <w:rFonts w:hint="eastAsia"/>
                <w:bCs/>
                <w:szCs w:val="21"/>
              </w:rPr>
              <w:t>无组织</w:t>
            </w:r>
          </w:p>
        </w:tc>
      </w:tr>
      <w:tr w:rsidR="00EE4502">
        <w:trPr>
          <w:cantSplit/>
          <w:trHeight w:val="340"/>
          <w:jc w:val="center"/>
        </w:trPr>
        <w:tc>
          <w:tcPr>
            <w:tcW w:w="430" w:type="pct"/>
            <w:vMerge/>
            <w:vAlign w:val="center"/>
          </w:tcPr>
          <w:p w:rsidR="00EE4502" w:rsidRDefault="00EE4502">
            <w:pPr>
              <w:jc w:val="center"/>
              <w:rPr>
                <w:bCs/>
                <w:szCs w:val="21"/>
              </w:rPr>
            </w:pPr>
          </w:p>
        </w:tc>
        <w:tc>
          <w:tcPr>
            <w:tcW w:w="1991" w:type="pct"/>
            <w:vMerge/>
            <w:vAlign w:val="center"/>
          </w:tcPr>
          <w:p w:rsidR="00EE4502" w:rsidRDefault="00EE4502">
            <w:pPr>
              <w:jc w:val="center"/>
              <w:rPr>
                <w:szCs w:val="21"/>
              </w:rPr>
            </w:pPr>
          </w:p>
        </w:tc>
        <w:tc>
          <w:tcPr>
            <w:tcW w:w="1332" w:type="pct"/>
            <w:vAlign w:val="center"/>
          </w:tcPr>
          <w:p w:rsidR="00EE4502" w:rsidRDefault="00FD45A3">
            <w:pPr>
              <w:jc w:val="center"/>
              <w:rPr>
                <w:bCs/>
                <w:szCs w:val="21"/>
              </w:rPr>
            </w:pPr>
            <w:r>
              <w:rPr>
                <w:rFonts w:hint="eastAsia"/>
                <w:bCs/>
                <w:szCs w:val="21"/>
              </w:rPr>
              <w:t>油气储运业务</w:t>
            </w:r>
          </w:p>
        </w:tc>
        <w:tc>
          <w:tcPr>
            <w:tcW w:w="637" w:type="pct"/>
            <w:vMerge/>
            <w:vAlign w:val="center"/>
          </w:tcPr>
          <w:p w:rsidR="00EE4502" w:rsidRDefault="00EE4502">
            <w:pPr>
              <w:jc w:val="center"/>
              <w:rPr>
                <w:bCs/>
                <w:szCs w:val="21"/>
              </w:rPr>
            </w:pPr>
          </w:p>
        </w:tc>
        <w:tc>
          <w:tcPr>
            <w:tcW w:w="608" w:type="pct"/>
            <w:vMerge/>
            <w:vAlign w:val="center"/>
          </w:tcPr>
          <w:p w:rsidR="00EE4502" w:rsidRDefault="00EE4502">
            <w:pPr>
              <w:jc w:val="center"/>
              <w:rPr>
                <w:bCs/>
                <w:szCs w:val="21"/>
              </w:rPr>
            </w:pPr>
          </w:p>
        </w:tc>
      </w:tr>
      <w:tr w:rsidR="00EE4502">
        <w:trPr>
          <w:cantSplit/>
          <w:trHeight w:val="340"/>
          <w:jc w:val="center"/>
        </w:trPr>
        <w:tc>
          <w:tcPr>
            <w:tcW w:w="430" w:type="pct"/>
            <w:vAlign w:val="center"/>
          </w:tcPr>
          <w:p w:rsidR="00EE4502" w:rsidRDefault="00FD45A3">
            <w:pPr>
              <w:jc w:val="center"/>
              <w:rPr>
                <w:bCs/>
                <w:szCs w:val="21"/>
              </w:rPr>
            </w:pPr>
            <w:r>
              <w:rPr>
                <w:rFonts w:hint="eastAsia"/>
                <w:bCs/>
                <w:szCs w:val="21"/>
              </w:rPr>
              <w:t>2</w:t>
            </w:r>
          </w:p>
        </w:tc>
        <w:tc>
          <w:tcPr>
            <w:tcW w:w="1991" w:type="pct"/>
            <w:vAlign w:val="center"/>
          </w:tcPr>
          <w:p w:rsidR="00EE4502" w:rsidRDefault="00FD45A3">
            <w:pPr>
              <w:jc w:val="center"/>
              <w:rPr>
                <w:bCs/>
                <w:szCs w:val="21"/>
              </w:rPr>
            </w:pPr>
            <w:r>
              <w:rPr>
                <w:rFonts w:hint="eastAsia"/>
                <w:szCs w:val="21"/>
              </w:rPr>
              <w:t>净购入电力和热力隐含的</w:t>
            </w:r>
            <w:r>
              <w:rPr>
                <w:rFonts w:hint="eastAsia"/>
                <w:szCs w:val="21"/>
              </w:rPr>
              <w:t>CO</w:t>
            </w:r>
            <w:r>
              <w:rPr>
                <w:rFonts w:hint="eastAsia"/>
                <w:szCs w:val="21"/>
                <w:vertAlign w:val="subscript"/>
              </w:rPr>
              <w:t>2</w:t>
            </w:r>
            <w:r>
              <w:rPr>
                <w:rFonts w:hint="eastAsia"/>
                <w:szCs w:val="21"/>
              </w:rPr>
              <w:t>排放</w:t>
            </w:r>
          </w:p>
        </w:tc>
        <w:tc>
          <w:tcPr>
            <w:tcW w:w="1332" w:type="pct"/>
            <w:vAlign w:val="center"/>
          </w:tcPr>
          <w:p w:rsidR="00EE4502" w:rsidRDefault="00FD45A3">
            <w:pPr>
              <w:jc w:val="center"/>
              <w:rPr>
                <w:bCs/>
                <w:szCs w:val="21"/>
              </w:rPr>
            </w:pPr>
            <w:r>
              <w:rPr>
                <w:rFonts w:hint="eastAsia"/>
                <w:bCs/>
                <w:szCs w:val="21"/>
              </w:rPr>
              <w:t>电力隐含排放</w:t>
            </w:r>
          </w:p>
        </w:tc>
        <w:tc>
          <w:tcPr>
            <w:tcW w:w="637" w:type="pct"/>
            <w:vAlign w:val="center"/>
          </w:tcPr>
          <w:p w:rsidR="00EE4502" w:rsidRDefault="00FD45A3">
            <w:pPr>
              <w:jc w:val="center"/>
              <w:rPr>
                <w:bCs/>
                <w:szCs w:val="21"/>
              </w:rPr>
            </w:pPr>
            <w:r>
              <w:rPr>
                <w:rFonts w:hint="eastAsia"/>
                <w:bCs/>
                <w:szCs w:val="21"/>
              </w:rPr>
              <w:t>CO</w:t>
            </w:r>
            <w:r>
              <w:rPr>
                <w:rFonts w:hint="eastAsia"/>
                <w:bCs/>
                <w:szCs w:val="21"/>
                <w:vertAlign w:val="subscript"/>
              </w:rPr>
              <w:t>2</w:t>
            </w:r>
          </w:p>
        </w:tc>
        <w:tc>
          <w:tcPr>
            <w:tcW w:w="608" w:type="pct"/>
            <w:vAlign w:val="center"/>
          </w:tcPr>
          <w:p w:rsidR="00EE4502" w:rsidRDefault="00FD45A3">
            <w:pPr>
              <w:jc w:val="center"/>
              <w:rPr>
                <w:bCs/>
                <w:szCs w:val="21"/>
              </w:rPr>
            </w:pPr>
            <w:r>
              <w:rPr>
                <w:rFonts w:hint="eastAsia"/>
                <w:bCs/>
                <w:szCs w:val="21"/>
              </w:rPr>
              <w:t>-</w:t>
            </w:r>
          </w:p>
        </w:tc>
      </w:tr>
    </w:tbl>
    <w:p w:rsidR="00EE4502" w:rsidRDefault="00EE4502">
      <w:pPr>
        <w:ind w:firstLine="522"/>
        <w:rPr>
          <w:sz w:val="24"/>
        </w:rPr>
      </w:pPr>
    </w:p>
    <w:p w:rsidR="00EE4502" w:rsidRDefault="00FD45A3">
      <w:pPr>
        <w:pStyle w:val="33"/>
        <w:numPr>
          <w:ilvl w:val="2"/>
          <w:numId w:val="30"/>
        </w:numPr>
        <w:spacing w:line="360" w:lineRule="auto"/>
        <w:ind w:left="0" w:firstLine="0"/>
        <w:rPr>
          <w:spacing w:val="0"/>
          <w:sz w:val="24"/>
          <w:szCs w:val="24"/>
        </w:rPr>
      </w:pPr>
      <w:r>
        <w:rPr>
          <w:rFonts w:hint="eastAsia"/>
          <w:spacing w:val="0"/>
          <w:sz w:val="24"/>
          <w:szCs w:val="24"/>
        </w:rPr>
        <w:t>温室气体排放量核算</w:t>
      </w:r>
    </w:p>
    <w:p w:rsidR="00EE4502" w:rsidRDefault="00FD45A3">
      <w:pPr>
        <w:pStyle w:val="41"/>
        <w:numPr>
          <w:ilvl w:val="3"/>
          <w:numId w:val="30"/>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hint="eastAsia"/>
          <w:bCs w:val="0"/>
          <w:sz w:val="24"/>
          <w:szCs w:val="24"/>
        </w:rPr>
        <w:t>CH</w:t>
      </w:r>
      <w:r>
        <w:rPr>
          <w:rFonts w:ascii="Times New Roman" w:eastAsia="宋体" w:hAnsi="Times New Roman" w:hint="eastAsia"/>
          <w:bCs w:val="0"/>
          <w:sz w:val="24"/>
          <w:szCs w:val="24"/>
          <w:vertAlign w:val="subscript"/>
        </w:rPr>
        <w:t>4</w:t>
      </w:r>
      <w:r>
        <w:rPr>
          <w:rFonts w:ascii="Times New Roman" w:eastAsia="宋体" w:hAnsi="Times New Roman" w:hint="eastAsia"/>
          <w:bCs w:val="0"/>
          <w:sz w:val="24"/>
          <w:szCs w:val="24"/>
        </w:rPr>
        <w:t>逃逸排放量核算</w:t>
      </w:r>
    </w:p>
    <w:p w:rsidR="00EE4502" w:rsidRDefault="00FD45A3">
      <w:pPr>
        <w:spacing w:line="360" w:lineRule="auto"/>
        <w:ind w:firstLine="522"/>
        <w:rPr>
          <w:sz w:val="24"/>
        </w:rPr>
      </w:pPr>
      <w:r>
        <w:rPr>
          <w:rFonts w:hint="eastAsia"/>
          <w:sz w:val="24"/>
        </w:rPr>
        <w:t>（</w:t>
      </w:r>
      <w:r>
        <w:rPr>
          <w:rFonts w:hint="eastAsia"/>
          <w:sz w:val="24"/>
        </w:rPr>
        <w:t>1</w:t>
      </w:r>
      <w:r>
        <w:rPr>
          <w:rFonts w:hint="eastAsia"/>
          <w:sz w:val="24"/>
        </w:rPr>
        <w:t>）油气开采业务</w:t>
      </w:r>
      <w:r>
        <w:rPr>
          <w:rFonts w:hint="eastAsia"/>
          <w:sz w:val="24"/>
        </w:rPr>
        <w:t>CH</w:t>
      </w:r>
      <w:r>
        <w:rPr>
          <w:rFonts w:hint="eastAsia"/>
          <w:sz w:val="24"/>
          <w:vertAlign w:val="subscript"/>
        </w:rPr>
        <w:t>4</w:t>
      </w:r>
      <w:r>
        <w:rPr>
          <w:rFonts w:hint="eastAsia"/>
          <w:sz w:val="24"/>
        </w:rPr>
        <w:t>逃逸排放</w:t>
      </w:r>
    </w:p>
    <w:p w:rsidR="00EE4502" w:rsidRDefault="00FD45A3">
      <w:pPr>
        <w:spacing w:line="360" w:lineRule="auto"/>
        <w:ind w:firstLine="522"/>
        <w:rPr>
          <w:sz w:val="24"/>
        </w:rPr>
      </w:pPr>
      <w:r>
        <w:rPr>
          <w:rFonts w:hint="eastAsia"/>
          <w:sz w:val="24"/>
        </w:rPr>
        <w:t>根据《中国石油和天然气生产企业温室气体排放核算方法与报告指南（试行）》中“油气开采业务</w:t>
      </w:r>
      <w:r>
        <w:rPr>
          <w:rFonts w:hint="eastAsia"/>
          <w:sz w:val="24"/>
        </w:rPr>
        <w:t>CH</w:t>
      </w:r>
      <w:r>
        <w:rPr>
          <w:rFonts w:hint="eastAsia"/>
          <w:sz w:val="24"/>
          <w:vertAlign w:val="subscript"/>
        </w:rPr>
        <w:t>4</w:t>
      </w:r>
      <w:r>
        <w:rPr>
          <w:rFonts w:hint="eastAsia"/>
          <w:sz w:val="24"/>
        </w:rPr>
        <w:t>逃逸排放”计算公式进行计算：</w:t>
      </w:r>
    </w:p>
    <w:p w:rsidR="00EE4502" w:rsidRDefault="00FD45A3">
      <w:pPr>
        <w:spacing w:line="360" w:lineRule="auto"/>
        <w:jc w:val="center"/>
        <w:rPr>
          <w:sz w:val="24"/>
        </w:rPr>
      </w:pPr>
      <w:r>
        <w:rPr>
          <w:noProof/>
        </w:rPr>
        <w:drawing>
          <wp:inline distT="0" distB="0" distL="0" distR="0">
            <wp:extent cx="5010150" cy="542925"/>
            <wp:effectExtent l="0" t="0" r="0" b="9525"/>
            <wp:docPr id="71"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9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5010150" cy="542925"/>
                    </a:xfrm>
                    <a:prstGeom prst="rect">
                      <a:avLst/>
                    </a:prstGeom>
                    <a:noFill/>
                    <a:ln>
                      <a:noFill/>
                    </a:ln>
                    <a:effectLst/>
                  </pic:spPr>
                </pic:pic>
              </a:graphicData>
            </a:graphic>
          </wp:inline>
        </w:drawing>
      </w:r>
    </w:p>
    <w:p w:rsidR="00EE4502" w:rsidRDefault="00FD45A3">
      <w:pPr>
        <w:spacing w:line="360" w:lineRule="auto"/>
        <w:ind w:firstLine="522"/>
        <w:rPr>
          <w:sz w:val="24"/>
        </w:rPr>
      </w:pPr>
      <w:r>
        <w:rPr>
          <w:rFonts w:hint="eastAsia"/>
          <w:sz w:val="24"/>
        </w:rPr>
        <w:lastRenderedPageBreak/>
        <w:t>式中，</w:t>
      </w:r>
    </w:p>
    <w:p w:rsidR="00EE4502" w:rsidRDefault="00FD45A3">
      <w:pPr>
        <w:spacing w:line="360" w:lineRule="auto"/>
        <w:ind w:firstLine="522"/>
        <w:rPr>
          <w:sz w:val="24"/>
        </w:rPr>
      </w:pPr>
      <w:r>
        <w:rPr>
          <w:rFonts w:hint="eastAsia"/>
          <w:i/>
          <w:iCs/>
          <w:sz w:val="24"/>
        </w:rPr>
        <w:t>E</w:t>
      </w:r>
      <w:r>
        <w:rPr>
          <w:rFonts w:hint="eastAsia"/>
          <w:i/>
          <w:iCs/>
          <w:sz w:val="24"/>
          <w:vertAlign w:val="subscript"/>
        </w:rPr>
        <w:t>CH4_</w:t>
      </w:r>
      <w:r>
        <w:rPr>
          <w:rFonts w:hint="eastAsia"/>
          <w:i/>
          <w:iCs/>
          <w:sz w:val="24"/>
          <w:vertAlign w:val="subscript"/>
        </w:rPr>
        <w:t>开采逃逸</w:t>
      </w:r>
      <w:r>
        <w:rPr>
          <w:rFonts w:hint="eastAsia"/>
          <w:sz w:val="24"/>
        </w:rPr>
        <w:t>——原油开采或天然气开采中所有设施类型（包括原油开采的井口装置、单井储油装置、接转站、联合站及天然气开采中的井口装置、集气站、计量</w:t>
      </w:r>
      <w:r>
        <w:rPr>
          <w:rFonts w:hint="eastAsia"/>
          <w:sz w:val="24"/>
        </w:rPr>
        <w:t>/</w:t>
      </w:r>
      <w:r>
        <w:rPr>
          <w:rFonts w:hint="eastAsia"/>
          <w:sz w:val="24"/>
        </w:rPr>
        <w:t>配气站、储气站等）产生的</w:t>
      </w:r>
      <w:r>
        <w:rPr>
          <w:rFonts w:hint="eastAsia"/>
          <w:sz w:val="24"/>
        </w:rPr>
        <w:t>CH</w:t>
      </w:r>
      <w:r>
        <w:rPr>
          <w:rFonts w:hint="eastAsia"/>
          <w:sz w:val="24"/>
          <w:vertAlign w:val="subscript"/>
        </w:rPr>
        <w:t>4</w:t>
      </w:r>
      <w:r>
        <w:rPr>
          <w:rFonts w:hint="eastAsia"/>
          <w:sz w:val="24"/>
        </w:rPr>
        <w:t>逃逸排放，单位为吨</w:t>
      </w:r>
      <w:r>
        <w:rPr>
          <w:rFonts w:hint="eastAsia"/>
          <w:sz w:val="24"/>
        </w:rPr>
        <w:t>CH</w:t>
      </w:r>
      <w:r>
        <w:rPr>
          <w:rFonts w:hint="eastAsia"/>
          <w:sz w:val="24"/>
          <w:vertAlign w:val="subscript"/>
        </w:rPr>
        <w:t>4</w:t>
      </w:r>
      <w:r>
        <w:rPr>
          <w:rFonts w:hint="eastAsia"/>
          <w:sz w:val="24"/>
        </w:rPr>
        <w:t>；</w:t>
      </w:r>
    </w:p>
    <w:p w:rsidR="00EE4502" w:rsidRDefault="00FD45A3">
      <w:pPr>
        <w:spacing w:line="360" w:lineRule="auto"/>
        <w:ind w:firstLine="522"/>
        <w:rPr>
          <w:sz w:val="24"/>
        </w:rPr>
      </w:pPr>
      <w:r>
        <w:rPr>
          <w:rFonts w:hint="eastAsia"/>
          <w:i/>
          <w:iCs/>
          <w:sz w:val="24"/>
        </w:rPr>
        <w:t>j</w:t>
      </w:r>
      <w:r>
        <w:rPr>
          <w:rFonts w:hint="eastAsia"/>
          <w:sz w:val="24"/>
        </w:rPr>
        <w:t>——不同的设施类型；</w:t>
      </w:r>
    </w:p>
    <w:p w:rsidR="00EE4502" w:rsidRDefault="00FD45A3">
      <w:pPr>
        <w:spacing w:line="360" w:lineRule="auto"/>
        <w:ind w:firstLine="522"/>
        <w:rPr>
          <w:sz w:val="24"/>
        </w:rPr>
      </w:pPr>
      <w:r>
        <w:rPr>
          <w:rFonts w:hint="eastAsia"/>
          <w:i/>
          <w:iCs/>
          <w:sz w:val="24"/>
        </w:rPr>
        <w:t>Num</w:t>
      </w:r>
      <w:r>
        <w:rPr>
          <w:rFonts w:hint="eastAsia"/>
          <w:i/>
          <w:iCs/>
          <w:sz w:val="24"/>
          <w:vertAlign w:val="subscript"/>
        </w:rPr>
        <w:t>oil,j</w:t>
      </w:r>
      <w:r>
        <w:rPr>
          <w:rFonts w:hint="eastAsia"/>
          <w:sz w:val="24"/>
        </w:rPr>
        <w:t>——原油开采业务所涉及的泄漏设施类型数量，单位为个；拟建工程涉及</w:t>
      </w:r>
      <w:r>
        <w:rPr>
          <w:rFonts w:hint="eastAsia"/>
          <w:sz w:val="24"/>
        </w:rPr>
        <w:t>18</w:t>
      </w:r>
      <w:r>
        <w:rPr>
          <w:rFonts w:hint="eastAsia"/>
          <w:sz w:val="24"/>
        </w:rPr>
        <w:t>口采油井；</w:t>
      </w:r>
    </w:p>
    <w:p w:rsidR="00EE4502" w:rsidRDefault="00FD45A3">
      <w:pPr>
        <w:spacing w:line="360" w:lineRule="auto"/>
        <w:ind w:firstLine="522"/>
        <w:rPr>
          <w:sz w:val="24"/>
        </w:rPr>
      </w:pPr>
      <w:r>
        <w:rPr>
          <w:rFonts w:hint="eastAsia"/>
          <w:i/>
          <w:iCs/>
          <w:sz w:val="24"/>
        </w:rPr>
        <w:t>EF</w:t>
      </w:r>
      <w:r>
        <w:rPr>
          <w:rFonts w:hint="eastAsia"/>
          <w:i/>
          <w:iCs/>
          <w:sz w:val="24"/>
          <w:vertAlign w:val="subscript"/>
        </w:rPr>
        <w:t>oil,j</w:t>
      </w:r>
      <w:r>
        <w:rPr>
          <w:rFonts w:hint="eastAsia"/>
          <w:sz w:val="24"/>
        </w:rPr>
        <w:t>——原油开采业务中涉及的每种设施类型</w:t>
      </w:r>
      <w:r>
        <w:rPr>
          <w:rFonts w:hint="eastAsia"/>
          <w:sz w:val="24"/>
        </w:rPr>
        <w:t>j</w:t>
      </w:r>
      <w:r>
        <w:rPr>
          <w:rFonts w:hint="eastAsia"/>
          <w:sz w:val="24"/>
        </w:rPr>
        <w:t>的</w:t>
      </w:r>
      <w:r>
        <w:rPr>
          <w:rFonts w:hint="eastAsia"/>
          <w:sz w:val="24"/>
        </w:rPr>
        <w:t>CH</w:t>
      </w:r>
      <w:r>
        <w:rPr>
          <w:rFonts w:hint="eastAsia"/>
          <w:sz w:val="24"/>
          <w:vertAlign w:val="subscript"/>
        </w:rPr>
        <w:t>4</w:t>
      </w:r>
      <w:r>
        <w:rPr>
          <w:rFonts w:hint="eastAsia"/>
          <w:sz w:val="24"/>
        </w:rPr>
        <w:t>逃逸排放因子，单位为吨</w:t>
      </w:r>
      <w:r>
        <w:rPr>
          <w:rFonts w:hint="eastAsia"/>
          <w:sz w:val="24"/>
        </w:rPr>
        <w:t>CH</w:t>
      </w:r>
      <w:r>
        <w:rPr>
          <w:rFonts w:hint="eastAsia"/>
          <w:sz w:val="24"/>
          <w:vertAlign w:val="subscript"/>
        </w:rPr>
        <w:t>4</w:t>
      </w:r>
      <w:r>
        <w:rPr>
          <w:rFonts w:hint="eastAsia"/>
          <w:sz w:val="24"/>
        </w:rPr>
        <w:t>/</w:t>
      </w:r>
      <w:r>
        <w:rPr>
          <w:rFonts w:hint="eastAsia"/>
          <w:sz w:val="24"/>
        </w:rPr>
        <w:t>（年·个）；井口装置为</w:t>
      </w:r>
      <w:r>
        <w:rPr>
          <w:rFonts w:hint="eastAsia"/>
          <w:sz w:val="24"/>
        </w:rPr>
        <w:t>0.23</w:t>
      </w:r>
      <w:r>
        <w:rPr>
          <w:rFonts w:hint="eastAsia"/>
          <w:sz w:val="24"/>
        </w:rPr>
        <w:t>。</w:t>
      </w:r>
    </w:p>
    <w:p w:rsidR="00EE4502" w:rsidRDefault="00FD45A3">
      <w:pPr>
        <w:spacing w:line="360" w:lineRule="auto"/>
        <w:ind w:firstLine="522"/>
        <w:rPr>
          <w:sz w:val="24"/>
        </w:rPr>
      </w:pPr>
      <w:r>
        <w:rPr>
          <w:rFonts w:hint="eastAsia"/>
          <w:i/>
          <w:iCs/>
          <w:sz w:val="24"/>
        </w:rPr>
        <w:t>Num</w:t>
      </w:r>
      <w:r>
        <w:rPr>
          <w:rFonts w:hint="eastAsia"/>
          <w:i/>
          <w:iCs/>
          <w:sz w:val="24"/>
          <w:vertAlign w:val="subscript"/>
        </w:rPr>
        <w:t>gas,j</w:t>
      </w:r>
      <w:r>
        <w:rPr>
          <w:rFonts w:hint="eastAsia"/>
          <w:sz w:val="24"/>
        </w:rPr>
        <w:t>——天然气开采业务所涉及的泄漏设施类型数量，单位为个；</w:t>
      </w:r>
    </w:p>
    <w:p w:rsidR="00EE4502" w:rsidRDefault="00FD45A3">
      <w:pPr>
        <w:spacing w:line="360" w:lineRule="auto"/>
        <w:ind w:firstLine="522"/>
        <w:rPr>
          <w:sz w:val="24"/>
        </w:rPr>
      </w:pPr>
      <w:r>
        <w:rPr>
          <w:rFonts w:hint="eastAsia"/>
          <w:i/>
          <w:iCs/>
          <w:sz w:val="24"/>
        </w:rPr>
        <w:t>EF</w:t>
      </w:r>
      <w:r>
        <w:rPr>
          <w:rFonts w:hint="eastAsia"/>
          <w:i/>
          <w:iCs/>
          <w:sz w:val="24"/>
          <w:vertAlign w:val="subscript"/>
        </w:rPr>
        <w:t>gas,j</w:t>
      </w:r>
      <w:r>
        <w:rPr>
          <w:rFonts w:hint="eastAsia"/>
          <w:sz w:val="24"/>
        </w:rPr>
        <w:t>——天然气开采业务所涉及的每种设施类型</w:t>
      </w:r>
      <w:r>
        <w:rPr>
          <w:rFonts w:hint="eastAsia"/>
          <w:sz w:val="24"/>
        </w:rPr>
        <w:t>j</w:t>
      </w:r>
      <w:r>
        <w:rPr>
          <w:rFonts w:hint="eastAsia"/>
          <w:sz w:val="24"/>
        </w:rPr>
        <w:t>的</w:t>
      </w:r>
      <w:r>
        <w:rPr>
          <w:rFonts w:hint="eastAsia"/>
          <w:sz w:val="24"/>
        </w:rPr>
        <w:t>CH</w:t>
      </w:r>
      <w:r>
        <w:rPr>
          <w:rFonts w:hint="eastAsia"/>
          <w:sz w:val="24"/>
          <w:vertAlign w:val="subscript"/>
        </w:rPr>
        <w:t>4</w:t>
      </w:r>
      <w:r>
        <w:rPr>
          <w:rFonts w:hint="eastAsia"/>
          <w:sz w:val="24"/>
        </w:rPr>
        <w:t>逃逸排放因子，单位为吨</w:t>
      </w:r>
      <w:r>
        <w:rPr>
          <w:rFonts w:hint="eastAsia"/>
          <w:sz w:val="24"/>
        </w:rPr>
        <w:t>CH</w:t>
      </w:r>
      <w:r>
        <w:rPr>
          <w:rFonts w:hint="eastAsia"/>
          <w:sz w:val="24"/>
          <w:vertAlign w:val="subscript"/>
        </w:rPr>
        <w:t>4</w:t>
      </w:r>
      <w:r>
        <w:rPr>
          <w:rFonts w:hint="eastAsia"/>
          <w:sz w:val="24"/>
        </w:rPr>
        <w:t>/</w:t>
      </w:r>
      <w:r>
        <w:rPr>
          <w:rFonts w:hint="eastAsia"/>
          <w:sz w:val="24"/>
        </w:rPr>
        <w:t>（年·个）。</w:t>
      </w:r>
    </w:p>
    <w:p w:rsidR="00EE4502" w:rsidRDefault="00FD45A3">
      <w:pPr>
        <w:spacing w:line="360" w:lineRule="auto"/>
        <w:ind w:firstLine="522"/>
        <w:rPr>
          <w:sz w:val="24"/>
        </w:rPr>
      </w:pPr>
      <w:r>
        <w:rPr>
          <w:rFonts w:hint="eastAsia"/>
          <w:sz w:val="24"/>
        </w:rPr>
        <w:t>根据以上计算公式，拟建工程实施后油气开采业务</w:t>
      </w:r>
      <w:r>
        <w:rPr>
          <w:rFonts w:hint="eastAsia"/>
          <w:sz w:val="24"/>
        </w:rPr>
        <w:t>CH</w:t>
      </w:r>
      <w:r>
        <w:rPr>
          <w:rFonts w:hint="eastAsia"/>
          <w:sz w:val="24"/>
          <w:vertAlign w:val="subscript"/>
        </w:rPr>
        <w:t>4</w:t>
      </w:r>
      <w:r>
        <w:rPr>
          <w:rFonts w:hint="eastAsia"/>
          <w:sz w:val="24"/>
        </w:rPr>
        <w:t>逃逸排放引起的</w:t>
      </w:r>
      <w:r>
        <w:rPr>
          <w:rFonts w:hint="eastAsia"/>
          <w:sz w:val="24"/>
        </w:rPr>
        <w:t>CH</w:t>
      </w:r>
      <w:r>
        <w:rPr>
          <w:rFonts w:hint="eastAsia"/>
          <w:sz w:val="24"/>
          <w:vertAlign w:val="subscript"/>
        </w:rPr>
        <w:t>4</w:t>
      </w:r>
      <w:r>
        <w:rPr>
          <w:rFonts w:hint="eastAsia"/>
          <w:sz w:val="24"/>
        </w:rPr>
        <w:t>排放量核算结果为</w:t>
      </w:r>
      <w:r>
        <w:rPr>
          <w:rFonts w:hint="eastAsia"/>
          <w:sz w:val="24"/>
        </w:rPr>
        <w:t>4.14tCH</w:t>
      </w:r>
      <w:r>
        <w:rPr>
          <w:rFonts w:hint="eastAsia"/>
          <w:sz w:val="24"/>
          <w:vertAlign w:val="subscript"/>
        </w:rPr>
        <w:t>4</w:t>
      </w:r>
      <w:r>
        <w:rPr>
          <w:rFonts w:hint="eastAsia"/>
          <w:sz w:val="24"/>
        </w:rPr>
        <w:t>。</w:t>
      </w:r>
    </w:p>
    <w:p w:rsidR="00EE4502" w:rsidRDefault="00FD45A3">
      <w:pPr>
        <w:spacing w:line="360" w:lineRule="auto"/>
        <w:ind w:firstLine="522"/>
        <w:rPr>
          <w:sz w:val="24"/>
        </w:rPr>
      </w:pPr>
      <w:r>
        <w:rPr>
          <w:rFonts w:hint="eastAsia"/>
          <w:sz w:val="24"/>
        </w:rPr>
        <w:t>（</w:t>
      </w:r>
      <w:r>
        <w:rPr>
          <w:rFonts w:hint="eastAsia"/>
          <w:sz w:val="24"/>
        </w:rPr>
        <w:t>2</w:t>
      </w:r>
      <w:r>
        <w:rPr>
          <w:rFonts w:hint="eastAsia"/>
          <w:sz w:val="24"/>
        </w:rPr>
        <w:t>）油气储运业务</w:t>
      </w:r>
      <w:r>
        <w:rPr>
          <w:rFonts w:hint="eastAsia"/>
          <w:sz w:val="24"/>
        </w:rPr>
        <w:t>CH</w:t>
      </w:r>
      <w:r>
        <w:rPr>
          <w:rFonts w:hint="eastAsia"/>
          <w:sz w:val="24"/>
          <w:vertAlign w:val="subscript"/>
        </w:rPr>
        <w:t>4</w:t>
      </w:r>
      <w:r>
        <w:rPr>
          <w:rFonts w:hint="eastAsia"/>
          <w:sz w:val="24"/>
        </w:rPr>
        <w:t>逃逸排放</w:t>
      </w:r>
    </w:p>
    <w:p w:rsidR="00EE4502" w:rsidRDefault="00FD45A3">
      <w:pPr>
        <w:spacing w:line="360" w:lineRule="auto"/>
        <w:ind w:firstLine="522"/>
        <w:rPr>
          <w:sz w:val="24"/>
        </w:rPr>
      </w:pPr>
      <w:r>
        <w:rPr>
          <w:rFonts w:hint="eastAsia"/>
          <w:sz w:val="24"/>
        </w:rPr>
        <w:t>根据《中国石油和天然气生产企业温室气体排放核算方法与报告指南（试行）》中“油气储运业务</w:t>
      </w:r>
      <w:r>
        <w:rPr>
          <w:rFonts w:hint="eastAsia"/>
          <w:sz w:val="24"/>
        </w:rPr>
        <w:t>CH</w:t>
      </w:r>
      <w:r>
        <w:rPr>
          <w:rFonts w:hint="eastAsia"/>
          <w:sz w:val="24"/>
          <w:vertAlign w:val="subscript"/>
        </w:rPr>
        <w:t>4</w:t>
      </w:r>
      <w:r>
        <w:rPr>
          <w:rFonts w:hint="eastAsia"/>
          <w:sz w:val="24"/>
        </w:rPr>
        <w:t>逃逸排放”计算公式进行计算：</w:t>
      </w:r>
    </w:p>
    <w:p w:rsidR="00EE4502" w:rsidRDefault="00FD45A3">
      <w:pPr>
        <w:spacing w:line="360" w:lineRule="auto"/>
        <w:jc w:val="center"/>
        <w:rPr>
          <w:sz w:val="24"/>
        </w:rPr>
      </w:pPr>
      <m:oMathPara>
        <m:oMath>
          <m:sSub>
            <m:sSubPr>
              <m:ctrlPr>
                <w:rPr>
                  <w:rFonts w:ascii="Cambria Math" w:hAnsi="Cambria Math"/>
                  <w:sz w:val="24"/>
                </w:rPr>
              </m:ctrlPr>
            </m:sSubPr>
            <m:e>
              <m:r>
                <w:rPr>
                  <w:rFonts w:ascii="Cambria Math" w:hAnsi="Cambria Math"/>
                  <w:sz w:val="24"/>
                </w:rPr>
                <m:t>E</m:t>
              </m:r>
            </m:e>
            <m:sub>
              <m:sSub>
                <m:sSubPr>
                  <m:ctrlPr>
                    <w:rPr>
                      <w:rFonts w:ascii="Cambria Math" w:hAnsi="Cambria Math"/>
                      <w:i/>
                      <w:sz w:val="24"/>
                    </w:rPr>
                  </m:ctrlPr>
                </m:sSubPr>
                <m:e>
                  <m:r>
                    <w:rPr>
                      <w:rFonts w:ascii="Cambria Math" w:hAnsi="Cambria Math"/>
                      <w:sz w:val="24"/>
                    </w:rPr>
                    <m:t>CH</m:t>
                  </m:r>
                </m:e>
                <m:sub>
                  <m:r>
                    <w:rPr>
                      <w:rFonts w:ascii="Cambria Math" w:hAnsi="Cambria Math"/>
                      <w:sz w:val="24"/>
                    </w:rPr>
                    <m:t>4</m:t>
                  </m:r>
                </m:sub>
              </m:sSub>
              <m:r>
                <w:rPr>
                  <w:rFonts w:ascii="Cambria Math" w:hAnsi="Cambria Math"/>
                  <w:sz w:val="24"/>
                </w:rPr>
                <m:t>_</m:t>
              </m:r>
              <m:r>
                <w:rPr>
                  <w:rFonts w:ascii="Cambria Math" w:hAnsi="Cambria Math" w:hint="eastAsia"/>
                  <w:sz w:val="24"/>
                </w:rPr>
                <m:t>油输逃逸</m:t>
              </m:r>
            </m:sub>
          </m:sSub>
          <m:r>
            <w:rPr>
              <w:rFonts w:ascii="Cambria Math" w:hAnsi="Cambria Math"/>
              <w:sz w:val="24"/>
            </w:rPr>
            <m:t>=</m:t>
          </m:r>
          <m:sSub>
            <m:sSubPr>
              <m:ctrlPr>
                <w:rPr>
                  <w:rFonts w:ascii="Cambria Math" w:hAnsi="Cambria Math"/>
                  <w:i/>
                  <w:sz w:val="24"/>
                </w:rPr>
              </m:ctrlPr>
            </m:sSubPr>
            <m:e>
              <m:r>
                <w:rPr>
                  <w:rFonts w:ascii="Cambria Math" w:hAnsi="Cambria Math"/>
                  <w:sz w:val="24"/>
                </w:rPr>
                <m:t>Q</m:t>
              </m:r>
            </m:e>
            <m:sub>
              <m:r>
                <w:rPr>
                  <w:rFonts w:ascii="Cambria Math" w:hAnsi="Cambria Math"/>
                  <w:sz w:val="24"/>
                </w:rPr>
                <m:t>oij</m:t>
              </m:r>
            </m:sub>
          </m:sSub>
          <m:r>
            <w:rPr>
              <w:rFonts w:ascii="Cambria Math" w:hAnsi="Cambria Math"/>
              <w:sz w:val="24"/>
            </w:rPr>
            <m:t>×</m:t>
          </m:r>
          <m:sSub>
            <m:sSubPr>
              <m:ctrlPr>
                <w:rPr>
                  <w:rFonts w:ascii="Cambria Math" w:hAnsi="Cambria Math"/>
                  <w:i/>
                  <w:sz w:val="24"/>
                </w:rPr>
              </m:ctrlPr>
            </m:sSubPr>
            <m:e>
              <m:r>
                <w:rPr>
                  <w:rFonts w:ascii="Cambria Math" w:hAnsi="Cambria Math"/>
                  <w:sz w:val="24"/>
                </w:rPr>
                <m:t>EF</m:t>
              </m:r>
            </m:e>
            <m:sub>
              <m:sSub>
                <m:sSubPr>
                  <m:ctrlPr>
                    <w:rPr>
                      <w:rFonts w:ascii="Cambria Math" w:hAnsi="Cambria Math"/>
                      <w:i/>
                      <w:sz w:val="24"/>
                    </w:rPr>
                  </m:ctrlPr>
                </m:sSubPr>
                <m:e>
                  <m:r>
                    <w:rPr>
                      <w:rFonts w:ascii="Cambria Math" w:hAnsi="Cambria Math"/>
                      <w:sz w:val="24"/>
                    </w:rPr>
                    <m:t>CH</m:t>
                  </m:r>
                </m:e>
                <m:sub>
                  <m:r>
                    <w:rPr>
                      <w:rFonts w:ascii="Cambria Math" w:hAnsi="Cambria Math"/>
                      <w:sz w:val="24"/>
                    </w:rPr>
                    <m:t>4</m:t>
                  </m:r>
                </m:sub>
              </m:sSub>
              <m:r>
                <w:rPr>
                  <w:rFonts w:ascii="Cambria Math" w:hAnsi="Cambria Math"/>
                  <w:sz w:val="24"/>
                </w:rPr>
                <m:t>_</m:t>
              </m:r>
              <m:r>
                <w:rPr>
                  <w:rFonts w:ascii="Cambria Math" w:hAnsi="Cambria Math" w:hint="eastAsia"/>
                  <w:sz w:val="24"/>
                </w:rPr>
                <m:t>油输逃逸</m:t>
              </m:r>
            </m:sub>
          </m:sSub>
        </m:oMath>
      </m:oMathPara>
    </w:p>
    <w:p w:rsidR="00EE4502" w:rsidRDefault="00FD45A3">
      <w:pPr>
        <w:spacing w:line="360" w:lineRule="auto"/>
        <w:ind w:firstLine="522"/>
        <w:rPr>
          <w:sz w:val="24"/>
        </w:rPr>
      </w:pPr>
      <w:r>
        <w:rPr>
          <w:sz w:val="24"/>
        </w:rPr>
        <w:t>式中，</w:t>
      </w:r>
    </w:p>
    <w:p w:rsidR="00EE4502" w:rsidRDefault="00FD45A3">
      <w:pPr>
        <w:spacing w:line="360" w:lineRule="auto"/>
        <w:ind w:firstLine="522"/>
        <w:rPr>
          <w:sz w:val="24"/>
        </w:rPr>
      </w:pPr>
      <w:r>
        <w:rPr>
          <w:rFonts w:hint="eastAsia"/>
          <w:i/>
          <w:iCs/>
          <w:sz w:val="24"/>
        </w:rPr>
        <w:t>E</w:t>
      </w:r>
      <w:r>
        <w:rPr>
          <w:rFonts w:hint="eastAsia"/>
          <w:i/>
          <w:iCs/>
          <w:sz w:val="24"/>
          <w:vertAlign w:val="subscript"/>
        </w:rPr>
        <w:t>CH</w:t>
      </w:r>
      <w:r>
        <w:rPr>
          <w:rFonts w:hint="eastAsia"/>
          <w:i/>
          <w:iCs/>
          <w:sz w:val="24"/>
          <w:vertAlign w:val="subscript"/>
        </w:rPr>
        <w:t>4</w:t>
      </w:r>
      <w:r>
        <w:rPr>
          <w:sz w:val="24"/>
          <w:vertAlign w:val="subscript"/>
        </w:rPr>
        <w:t>_</w:t>
      </w:r>
      <w:r>
        <w:rPr>
          <w:sz w:val="24"/>
          <w:vertAlign w:val="subscript"/>
        </w:rPr>
        <w:t>油输逃逸</w:t>
      </w:r>
      <w:r>
        <w:rPr>
          <w:rFonts w:hint="eastAsia"/>
          <w:sz w:val="24"/>
        </w:rPr>
        <w:t>——</w:t>
      </w:r>
      <w:r>
        <w:rPr>
          <w:sz w:val="24"/>
        </w:rPr>
        <w:t>原油输送过程中产生的</w:t>
      </w:r>
      <w:r>
        <w:rPr>
          <w:sz w:val="24"/>
        </w:rPr>
        <w:t>CH</w:t>
      </w:r>
      <w:r>
        <w:rPr>
          <w:sz w:val="24"/>
          <w:vertAlign w:val="subscript"/>
        </w:rPr>
        <w:t>4</w:t>
      </w:r>
      <w:r>
        <w:rPr>
          <w:sz w:val="24"/>
        </w:rPr>
        <w:t>逃逸排放，单位为吨</w:t>
      </w:r>
      <w:r>
        <w:rPr>
          <w:sz w:val="24"/>
        </w:rPr>
        <w:t>CH</w:t>
      </w:r>
      <w:r>
        <w:rPr>
          <w:sz w:val="24"/>
          <w:vertAlign w:val="subscript"/>
        </w:rPr>
        <w:t>4</w:t>
      </w:r>
      <w:r>
        <w:rPr>
          <w:sz w:val="24"/>
        </w:rPr>
        <w:t>；</w:t>
      </w:r>
    </w:p>
    <w:p w:rsidR="00EE4502" w:rsidRDefault="00FD45A3">
      <w:pPr>
        <w:spacing w:line="360" w:lineRule="auto"/>
        <w:ind w:firstLine="522"/>
        <w:rPr>
          <w:sz w:val="24"/>
        </w:rPr>
      </w:pPr>
      <w:r>
        <w:rPr>
          <w:rFonts w:hint="eastAsia"/>
          <w:i/>
          <w:iCs/>
          <w:sz w:val="24"/>
        </w:rPr>
        <w:t>Q</w:t>
      </w:r>
      <w:r>
        <w:rPr>
          <w:rFonts w:hint="eastAsia"/>
          <w:i/>
          <w:iCs/>
          <w:sz w:val="24"/>
          <w:vertAlign w:val="subscript"/>
        </w:rPr>
        <w:t>oi,j</w:t>
      </w:r>
      <w:r>
        <w:rPr>
          <w:rFonts w:hint="eastAsia"/>
          <w:sz w:val="24"/>
        </w:rPr>
        <w:t>——</w:t>
      </w:r>
      <w:r>
        <w:rPr>
          <w:sz w:val="24"/>
        </w:rPr>
        <w:t>原油输送量，单位为亿吨；</w:t>
      </w:r>
      <w:r>
        <w:rPr>
          <w:rFonts w:hint="eastAsia"/>
          <w:sz w:val="24"/>
        </w:rPr>
        <w:t>拟建工程为</w:t>
      </w:r>
      <w:r>
        <w:rPr>
          <w:rFonts w:hint="eastAsia"/>
          <w:sz w:val="24"/>
        </w:rPr>
        <w:t>0.00</w:t>
      </w:r>
      <w:r>
        <w:rPr>
          <w:sz w:val="24"/>
        </w:rPr>
        <w:t>0908</w:t>
      </w:r>
      <w:r>
        <w:rPr>
          <w:rFonts w:hint="eastAsia"/>
          <w:sz w:val="24"/>
        </w:rPr>
        <w:t>亿</w:t>
      </w:r>
      <w:r>
        <w:rPr>
          <w:sz w:val="24"/>
        </w:rPr>
        <w:t>吨</w:t>
      </w:r>
      <w:r>
        <w:rPr>
          <w:rFonts w:hint="eastAsia"/>
          <w:sz w:val="24"/>
        </w:rPr>
        <w:t>；</w:t>
      </w:r>
    </w:p>
    <w:p w:rsidR="00EE4502" w:rsidRDefault="00FD45A3">
      <w:pPr>
        <w:spacing w:line="360" w:lineRule="auto"/>
        <w:ind w:firstLine="522"/>
        <w:rPr>
          <w:sz w:val="24"/>
        </w:rPr>
      </w:pPr>
      <w:r>
        <w:rPr>
          <w:sz w:val="24"/>
        </w:rPr>
        <w:t>EF</w:t>
      </w:r>
      <w:r>
        <w:rPr>
          <w:rFonts w:hint="eastAsia"/>
          <w:i/>
          <w:iCs/>
          <w:sz w:val="24"/>
          <w:vertAlign w:val="subscript"/>
        </w:rPr>
        <w:t>CH4</w:t>
      </w:r>
      <w:r>
        <w:rPr>
          <w:sz w:val="24"/>
          <w:vertAlign w:val="subscript"/>
        </w:rPr>
        <w:t>_</w:t>
      </w:r>
      <w:r>
        <w:rPr>
          <w:sz w:val="24"/>
          <w:vertAlign w:val="subscript"/>
        </w:rPr>
        <w:t>油输逃逸</w:t>
      </w:r>
      <w:r>
        <w:rPr>
          <w:rFonts w:hint="eastAsia"/>
          <w:sz w:val="24"/>
        </w:rPr>
        <w:t>——</w:t>
      </w:r>
      <w:r>
        <w:rPr>
          <w:sz w:val="24"/>
        </w:rPr>
        <w:t>原油输送的</w:t>
      </w:r>
      <w:r>
        <w:rPr>
          <w:sz w:val="24"/>
        </w:rPr>
        <w:t>CH</w:t>
      </w:r>
      <w:r>
        <w:rPr>
          <w:sz w:val="24"/>
          <w:vertAlign w:val="subscript"/>
        </w:rPr>
        <w:t>4</w:t>
      </w:r>
      <w:r>
        <w:rPr>
          <w:sz w:val="24"/>
        </w:rPr>
        <w:t>逃逸排放因子，单位为吨</w:t>
      </w:r>
      <w:r>
        <w:rPr>
          <w:sz w:val="24"/>
        </w:rPr>
        <w:t>CH</w:t>
      </w:r>
      <w:r>
        <w:rPr>
          <w:sz w:val="24"/>
          <w:vertAlign w:val="subscript"/>
        </w:rPr>
        <w:t>4</w:t>
      </w:r>
      <w:r>
        <w:rPr>
          <w:sz w:val="24"/>
        </w:rPr>
        <w:t>/</w:t>
      </w:r>
      <w:r>
        <w:rPr>
          <w:sz w:val="24"/>
        </w:rPr>
        <w:t>亿吨原油。</w:t>
      </w:r>
      <w:r>
        <w:rPr>
          <w:rFonts w:hint="eastAsia"/>
          <w:sz w:val="24"/>
        </w:rPr>
        <w:t>原油输送管道为</w:t>
      </w:r>
      <w:r>
        <w:rPr>
          <w:rFonts w:hint="eastAsia"/>
          <w:sz w:val="24"/>
        </w:rPr>
        <w:t>753.29</w:t>
      </w:r>
      <w:r>
        <w:rPr>
          <w:rFonts w:hint="eastAsia"/>
          <w:sz w:val="24"/>
        </w:rPr>
        <w:t>。</w:t>
      </w:r>
    </w:p>
    <w:p w:rsidR="00EE4502" w:rsidRDefault="00FD45A3">
      <w:pPr>
        <w:spacing w:line="360" w:lineRule="auto"/>
        <w:ind w:firstLine="522"/>
        <w:rPr>
          <w:sz w:val="24"/>
        </w:rPr>
      </w:pPr>
      <w:r>
        <w:rPr>
          <w:rFonts w:hint="eastAsia"/>
          <w:sz w:val="24"/>
        </w:rPr>
        <w:t>根据以上计算公式，拟建工程实施后油气储运业务</w:t>
      </w:r>
      <w:r>
        <w:rPr>
          <w:rFonts w:hint="eastAsia"/>
          <w:sz w:val="24"/>
        </w:rPr>
        <w:t>CH</w:t>
      </w:r>
      <w:r>
        <w:rPr>
          <w:rFonts w:hint="eastAsia"/>
          <w:sz w:val="24"/>
          <w:vertAlign w:val="subscript"/>
        </w:rPr>
        <w:t>4</w:t>
      </w:r>
      <w:r>
        <w:rPr>
          <w:rFonts w:hint="eastAsia"/>
          <w:sz w:val="24"/>
        </w:rPr>
        <w:t>逃逸排放引起的</w:t>
      </w:r>
      <w:r>
        <w:rPr>
          <w:rFonts w:hint="eastAsia"/>
          <w:sz w:val="24"/>
        </w:rPr>
        <w:t>CH</w:t>
      </w:r>
      <w:r>
        <w:rPr>
          <w:rFonts w:hint="eastAsia"/>
          <w:sz w:val="24"/>
          <w:vertAlign w:val="subscript"/>
        </w:rPr>
        <w:t>4</w:t>
      </w:r>
      <w:r>
        <w:rPr>
          <w:rFonts w:hint="eastAsia"/>
          <w:sz w:val="24"/>
        </w:rPr>
        <w:t>排放量核算结果为</w:t>
      </w:r>
      <w:r>
        <w:rPr>
          <w:rFonts w:hint="eastAsia"/>
          <w:sz w:val="24"/>
        </w:rPr>
        <w:t>0.22</w:t>
      </w:r>
      <w:r>
        <w:rPr>
          <w:rFonts w:hint="eastAsia"/>
          <w:sz w:val="24"/>
        </w:rPr>
        <w:t>8</w:t>
      </w:r>
      <w:r>
        <w:rPr>
          <w:rFonts w:hint="eastAsia"/>
          <w:sz w:val="24"/>
        </w:rPr>
        <w:t>tCH</w:t>
      </w:r>
      <w:r>
        <w:rPr>
          <w:rFonts w:hint="eastAsia"/>
          <w:sz w:val="24"/>
          <w:vertAlign w:val="subscript"/>
        </w:rPr>
        <w:t>4</w:t>
      </w:r>
      <w:r>
        <w:rPr>
          <w:rFonts w:hint="eastAsia"/>
          <w:sz w:val="24"/>
        </w:rPr>
        <w:t>。</w:t>
      </w:r>
    </w:p>
    <w:p w:rsidR="00EE4502" w:rsidRDefault="00FD45A3">
      <w:pPr>
        <w:pStyle w:val="41"/>
        <w:numPr>
          <w:ilvl w:val="3"/>
          <w:numId w:val="30"/>
        </w:numPr>
        <w:adjustRightInd/>
        <w:snapToGrid/>
        <w:spacing w:beforeLines="0" w:before="0" w:line="360" w:lineRule="auto"/>
        <w:rPr>
          <w:rFonts w:ascii="Times New Roman" w:eastAsia="宋体" w:hAnsi="Times New Roman"/>
          <w:bCs w:val="0"/>
          <w:sz w:val="24"/>
          <w:szCs w:val="24"/>
        </w:rPr>
      </w:pPr>
      <w:r>
        <w:rPr>
          <w:rFonts w:ascii="Times New Roman" w:eastAsia="宋体" w:hAnsi="Times New Roman" w:hint="eastAsia"/>
          <w:bCs w:val="0"/>
          <w:sz w:val="24"/>
          <w:szCs w:val="24"/>
        </w:rPr>
        <w:t>净购入电力和热力隐含的</w:t>
      </w:r>
      <w:r>
        <w:rPr>
          <w:rFonts w:ascii="Times New Roman" w:eastAsia="宋体" w:hAnsi="Times New Roman" w:hint="eastAsia"/>
          <w:bCs w:val="0"/>
          <w:sz w:val="24"/>
          <w:szCs w:val="24"/>
        </w:rPr>
        <w:t>CO</w:t>
      </w:r>
      <w:r>
        <w:rPr>
          <w:rFonts w:ascii="Times New Roman" w:eastAsia="宋体" w:hAnsi="Times New Roman" w:hint="eastAsia"/>
          <w:bCs w:val="0"/>
          <w:sz w:val="24"/>
          <w:szCs w:val="24"/>
          <w:vertAlign w:val="subscript"/>
        </w:rPr>
        <w:t>2</w:t>
      </w:r>
      <w:r>
        <w:rPr>
          <w:rFonts w:ascii="Times New Roman" w:eastAsia="宋体" w:hAnsi="Times New Roman" w:hint="eastAsia"/>
          <w:bCs w:val="0"/>
          <w:sz w:val="24"/>
          <w:szCs w:val="24"/>
        </w:rPr>
        <w:t>排放</w:t>
      </w:r>
    </w:p>
    <w:p w:rsidR="00EE4502" w:rsidRDefault="00FD45A3">
      <w:pPr>
        <w:spacing w:line="360" w:lineRule="auto"/>
        <w:ind w:firstLine="522"/>
        <w:rPr>
          <w:sz w:val="24"/>
        </w:rPr>
      </w:pPr>
      <w:r>
        <w:rPr>
          <w:rFonts w:hint="eastAsia"/>
          <w:sz w:val="24"/>
        </w:rPr>
        <w:t>本工程</w:t>
      </w:r>
      <w:r>
        <w:rPr>
          <w:rFonts w:hint="eastAsia"/>
          <w:sz w:val="24"/>
        </w:rPr>
        <w:t>主要涉及净购入电力，年使用电量为</w:t>
      </w:r>
      <w:r>
        <w:rPr>
          <w:rFonts w:hint="eastAsia"/>
          <w:sz w:val="24"/>
        </w:rPr>
        <w:t>202.35</w:t>
      </w:r>
      <w:r>
        <w:rPr>
          <w:rFonts w:hint="eastAsia"/>
          <w:sz w:val="24"/>
        </w:rPr>
        <w:t>万</w:t>
      </w:r>
      <w:r>
        <w:rPr>
          <w:rFonts w:hint="eastAsia"/>
          <w:sz w:val="24"/>
        </w:rPr>
        <w:t>kW</w:t>
      </w:r>
      <w:r>
        <w:rPr>
          <w:rFonts w:hint="eastAsia"/>
          <w:sz w:val="24"/>
        </w:rPr>
        <w:t>·</w:t>
      </w:r>
      <w:r>
        <w:rPr>
          <w:rFonts w:hint="eastAsia"/>
          <w:sz w:val="24"/>
        </w:rPr>
        <w:t>h/a</w:t>
      </w:r>
      <w:r>
        <w:rPr>
          <w:rFonts w:hint="eastAsia"/>
          <w:sz w:val="24"/>
        </w:rPr>
        <w:t>。《中国石油和天然气生产企业温室气体排放核算方法与报告指南（试行）》中计算公式：</w:t>
      </w:r>
    </w:p>
    <w:p w:rsidR="00EE4502" w:rsidRDefault="00FD45A3">
      <w:pPr>
        <w:spacing w:line="360" w:lineRule="auto"/>
        <w:jc w:val="center"/>
        <w:rPr>
          <w:sz w:val="24"/>
        </w:rPr>
      </w:pPr>
      <m:oMathPara>
        <m:oMath>
          <m:sSub>
            <m:sSubPr>
              <m:ctrlPr>
                <w:rPr>
                  <w:rFonts w:ascii="Cambria Math" w:hAnsi="Cambria Math"/>
                  <w:sz w:val="24"/>
                </w:rPr>
              </m:ctrlPr>
            </m:sSubPr>
            <m:e>
              <m:r>
                <w:rPr>
                  <w:rFonts w:ascii="Cambria Math" w:hAnsi="Cambria Math"/>
                  <w:sz w:val="24"/>
                </w:rPr>
                <m:t>E</m:t>
              </m:r>
            </m:e>
            <m:sub>
              <m:sSub>
                <m:sSubPr>
                  <m:ctrlPr>
                    <w:rPr>
                      <w:rFonts w:ascii="Cambria Math" w:hAnsi="Cambria Math"/>
                      <w:i/>
                      <w:sz w:val="24"/>
                    </w:rPr>
                  </m:ctrlPr>
                </m:sSubPr>
                <m:e>
                  <m:r>
                    <w:rPr>
                      <w:rFonts w:ascii="Cambria Math" w:hAnsi="Cambria Math"/>
                      <w:sz w:val="24"/>
                    </w:rPr>
                    <m:t>CO</m:t>
                  </m:r>
                </m:e>
                <m:sub>
                  <m:r>
                    <w:rPr>
                      <w:rFonts w:ascii="Cambria Math" w:hAnsi="Cambria Math"/>
                      <w:sz w:val="24"/>
                    </w:rPr>
                    <m:t>2</m:t>
                  </m:r>
                </m:sub>
              </m:sSub>
              <m:r>
                <w:rPr>
                  <w:rFonts w:ascii="Cambria Math" w:hAnsi="Cambria Math"/>
                  <w:sz w:val="24"/>
                </w:rPr>
                <m:t>_</m:t>
              </m:r>
              <m:r>
                <w:rPr>
                  <w:rFonts w:ascii="Cambria Math" w:hAnsi="Cambria Math" w:hint="eastAsia"/>
                  <w:sz w:val="24"/>
                </w:rPr>
                <m:t>净电</m:t>
              </m:r>
            </m:sub>
          </m:sSub>
          <m:r>
            <m:rPr>
              <m:sty m:val="p"/>
            </m:rPr>
            <w:rPr>
              <w:rFonts w:ascii="Cambria Math" w:hAnsi="Cambria Math"/>
              <w:sz w:val="24"/>
            </w:rPr>
            <m:t>=</m:t>
          </m:r>
          <m:sSub>
            <m:sSubPr>
              <m:ctrlPr>
                <w:rPr>
                  <w:rFonts w:ascii="Cambria Math" w:hAnsi="Cambria Math"/>
                  <w:sz w:val="24"/>
                </w:rPr>
              </m:ctrlPr>
            </m:sSubPr>
            <m:e>
              <m:r>
                <w:rPr>
                  <w:rFonts w:ascii="Cambria Math" w:hAnsi="Cambria Math"/>
                  <w:sz w:val="24"/>
                </w:rPr>
                <m:t>AD</m:t>
              </m:r>
            </m:e>
            <m:sub>
              <m:r>
                <w:rPr>
                  <w:rFonts w:ascii="Cambria Math" w:hAnsi="Cambria Math" w:hint="eastAsia"/>
                  <w:sz w:val="24"/>
                </w:rPr>
                <m:t>电力</m:t>
              </m:r>
            </m:sub>
          </m:sSub>
          <m:r>
            <w:rPr>
              <w:rFonts w:ascii="Cambria Math" w:hAnsi="Cambria Math"/>
              <w:sz w:val="24"/>
            </w:rPr>
            <m:t>×</m:t>
          </m:r>
          <m:sSub>
            <m:sSubPr>
              <m:ctrlPr>
                <w:rPr>
                  <w:rFonts w:ascii="Cambria Math" w:hAnsi="Cambria Math"/>
                  <w:i/>
                  <w:sz w:val="24"/>
                </w:rPr>
              </m:ctrlPr>
            </m:sSubPr>
            <m:e>
              <m:r>
                <w:rPr>
                  <w:rFonts w:ascii="Cambria Math" w:hAnsi="Cambria Math"/>
                  <w:sz w:val="24"/>
                </w:rPr>
                <m:t>EF</m:t>
              </m:r>
            </m:e>
            <m:sub>
              <m:r>
                <w:rPr>
                  <w:rFonts w:ascii="Cambria Math" w:hAnsi="Cambria Math" w:hint="eastAsia"/>
                  <w:sz w:val="24"/>
                </w:rPr>
                <m:t>电力</m:t>
              </m:r>
            </m:sub>
          </m:sSub>
        </m:oMath>
      </m:oMathPara>
    </w:p>
    <w:p w:rsidR="00EE4502" w:rsidRDefault="00FD45A3">
      <w:pPr>
        <w:spacing w:line="360" w:lineRule="auto"/>
        <w:ind w:firstLine="522"/>
        <w:rPr>
          <w:sz w:val="24"/>
        </w:rPr>
      </w:pPr>
      <w:r>
        <w:rPr>
          <w:rFonts w:hint="eastAsia"/>
          <w:sz w:val="24"/>
        </w:rPr>
        <w:t>式中：</w:t>
      </w:r>
    </w:p>
    <w:p w:rsidR="00EE4502" w:rsidRDefault="00FD45A3">
      <w:pPr>
        <w:spacing w:line="360" w:lineRule="auto"/>
        <w:ind w:firstLine="522"/>
        <w:rPr>
          <w:sz w:val="24"/>
        </w:rPr>
      </w:pPr>
      <w:r>
        <w:rPr>
          <w:rFonts w:hint="eastAsia"/>
          <w:sz w:val="24"/>
        </w:rPr>
        <w:lastRenderedPageBreak/>
        <w:t>E</w:t>
      </w:r>
      <w:r>
        <w:rPr>
          <w:rFonts w:hint="eastAsia"/>
          <w:sz w:val="24"/>
          <w:vertAlign w:val="subscript"/>
        </w:rPr>
        <w:t>CO2-</w:t>
      </w:r>
      <w:r>
        <w:rPr>
          <w:rFonts w:hint="eastAsia"/>
          <w:sz w:val="24"/>
          <w:vertAlign w:val="subscript"/>
        </w:rPr>
        <w:t>净电</w:t>
      </w:r>
      <w:r>
        <w:rPr>
          <w:rFonts w:hint="eastAsia"/>
          <w:sz w:val="24"/>
        </w:rPr>
        <w:t>——企业净购入的电力消费引起的</w:t>
      </w:r>
      <w:r>
        <w:rPr>
          <w:rFonts w:hint="eastAsia"/>
          <w:sz w:val="24"/>
        </w:rPr>
        <w:t>CO</w:t>
      </w:r>
      <w:r>
        <w:rPr>
          <w:rFonts w:hint="eastAsia"/>
          <w:sz w:val="24"/>
          <w:vertAlign w:val="subscript"/>
        </w:rPr>
        <w:t>2</w:t>
      </w:r>
      <w:r>
        <w:rPr>
          <w:rFonts w:hint="eastAsia"/>
          <w:sz w:val="24"/>
        </w:rPr>
        <w:t>排放，吨</w:t>
      </w:r>
      <w:r>
        <w:rPr>
          <w:rFonts w:hint="eastAsia"/>
          <w:sz w:val="24"/>
        </w:rPr>
        <w:t>CO</w:t>
      </w:r>
      <w:r>
        <w:rPr>
          <w:rFonts w:hint="eastAsia"/>
          <w:sz w:val="24"/>
          <w:vertAlign w:val="subscript"/>
        </w:rPr>
        <w:t>2</w:t>
      </w:r>
      <w:r>
        <w:rPr>
          <w:rFonts w:hint="eastAsia"/>
          <w:sz w:val="24"/>
        </w:rPr>
        <w:t>；</w:t>
      </w:r>
    </w:p>
    <w:p w:rsidR="00EE4502" w:rsidRDefault="00FD45A3">
      <w:pPr>
        <w:spacing w:line="360" w:lineRule="auto"/>
        <w:ind w:firstLine="522"/>
        <w:rPr>
          <w:sz w:val="24"/>
        </w:rPr>
      </w:pPr>
      <w:r>
        <w:rPr>
          <w:rFonts w:hint="eastAsia"/>
          <w:sz w:val="24"/>
        </w:rPr>
        <w:t>AD</w:t>
      </w:r>
      <w:r>
        <w:rPr>
          <w:rFonts w:hint="eastAsia"/>
          <w:sz w:val="24"/>
          <w:vertAlign w:val="subscript"/>
        </w:rPr>
        <w:t>电力</w:t>
      </w:r>
      <w:r>
        <w:rPr>
          <w:rFonts w:hint="eastAsia"/>
          <w:sz w:val="24"/>
        </w:rPr>
        <w:t>——企业净购入的电力消费量，</w:t>
      </w:r>
      <w:r>
        <w:rPr>
          <w:rFonts w:hint="eastAsia"/>
          <w:sz w:val="24"/>
        </w:rPr>
        <w:t>MWh</w:t>
      </w:r>
      <w:r>
        <w:rPr>
          <w:rFonts w:hint="eastAsia"/>
          <w:sz w:val="24"/>
        </w:rPr>
        <w:t>；</w:t>
      </w:r>
    </w:p>
    <w:p w:rsidR="00EE4502" w:rsidRDefault="00FD45A3">
      <w:pPr>
        <w:spacing w:line="360" w:lineRule="auto"/>
        <w:ind w:firstLine="522"/>
        <w:rPr>
          <w:sz w:val="24"/>
        </w:rPr>
      </w:pPr>
      <w:r>
        <w:rPr>
          <w:rFonts w:hint="eastAsia"/>
          <w:sz w:val="24"/>
        </w:rPr>
        <w:t>EF</w:t>
      </w:r>
      <w:r>
        <w:rPr>
          <w:rFonts w:hint="eastAsia"/>
          <w:sz w:val="24"/>
          <w:vertAlign w:val="subscript"/>
        </w:rPr>
        <w:t>电力</w:t>
      </w:r>
      <w:r>
        <w:rPr>
          <w:rFonts w:hint="eastAsia"/>
          <w:sz w:val="24"/>
        </w:rPr>
        <w:t>——电力供应的</w:t>
      </w:r>
      <w:r>
        <w:rPr>
          <w:rFonts w:hint="eastAsia"/>
          <w:sz w:val="24"/>
        </w:rPr>
        <w:t>CO</w:t>
      </w:r>
      <w:r>
        <w:rPr>
          <w:rFonts w:hint="eastAsia"/>
          <w:sz w:val="24"/>
          <w:vertAlign w:val="subscript"/>
        </w:rPr>
        <w:t>2</w:t>
      </w:r>
      <w:r>
        <w:rPr>
          <w:rFonts w:hint="eastAsia"/>
          <w:sz w:val="24"/>
        </w:rPr>
        <w:t>排放因子，吨</w:t>
      </w:r>
      <w:r>
        <w:rPr>
          <w:rFonts w:hint="eastAsia"/>
          <w:sz w:val="24"/>
        </w:rPr>
        <w:t>CO</w:t>
      </w:r>
      <w:r>
        <w:rPr>
          <w:rFonts w:hint="eastAsia"/>
          <w:sz w:val="24"/>
          <w:vertAlign w:val="subscript"/>
        </w:rPr>
        <w:t>2</w:t>
      </w:r>
      <w:r>
        <w:rPr>
          <w:rFonts w:hint="eastAsia"/>
          <w:sz w:val="24"/>
        </w:rPr>
        <w:t>/MWh</w:t>
      </w:r>
      <w:r>
        <w:rPr>
          <w:rFonts w:hint="eastAsia"/>
          <w:sz w:val="24"/>
        </w:rPr>
        <w:t>。根据《关于做好</w:t>
      </w:r>
      <w:r>
        <w:rPr>
          <w:rFonts w:hint="eastAsia"/>
          <w:sz w:val="24"/>
        </w:rPr>
        <w:t>2023-2025</w:t>
      </w:r>
      <w:r>
        <w:rPr>
          <w:rFonts w:hint="eastAsia"/>
          <w:sz w:val="24"/>
        </w:rPr>
        <w:t>年发电行业企业温室气体排放报告管理有关工作的通知》中，明确了</w:t>
      </w:r>
      <w:r>
        <w:rPr>
          <w:rFonts w:hint="eastAsia"/>
          <w:sz w:val="24"/>
        </w:rPr>
        <w:t>2022</w:t>
      </w:r>
      <w:r>
        <w:rPr>
          <w:rFonts w:hint="eastAsia"/>
          <w:sz w:val="24"/>
        </w:rPr>
        <w:t>年度全国电网平均排放因子为</w:t>
      </w:r>
      <w:r>
        <w:rPr>
          <w:rFonts w:hint="eastAsia"/>
          <w:sz w:val="24"/>
        </w:rPr>
        <w:t>0.5703tCO</w:t>
      </w:r>
      <w:r>
        <w:rPr>
          <w:rFonts w:hint="eastAsia"/>
          <w:sz w:val="24"/>
          <w:vertAlign w:val="subscript"/>
        </w:rPr>
        <w:t>2</w:t>
      </w:r>
      <w:r>
        <w:rPr>
          <w:rFonts w:hint="eastAsia"/>
          <w:sz w:val="24"/>
        </w:rPr>
        <w:t>/MWh</w:t>
      </w:r>
      <w:r>
        <w:rPr>
          <w:rFonts w:hint="eastAsia"/>
          <w:sz w:val="24"/>
        </w:rPr>
        <w:t>。</w:t>
      </w:r>
    </w:p>
    <w:p w:rsidR="00EE4502" w:rsidRDefault="00FD45A3">
      <w:pPr>
        <w:spacing w:line="360" w:lineRule="auto"/>
        <w:ind w:firstLine="522"/>
        <w:rPr>
          <w:sz w:val="24"/>
        </w:rPr>
      </w:pPr>
      <w:r>
        <w:rPr>
          <w:rFonts w:hint="eastAsia"/>
          <w:sz w:val="24"/>
        </w:rPr>
        <w:t>根据以上计算公式，拟建工程实施后净购入的电力消费引起的</w:t>
      </w:r>
      <w:r>
        <w:rPr>
          <w:rFonts w:hint="eastAsia"/>
          <w:sz w:val="24"/>
        </w:rPr>
        <w:t>CO</w:t>
      </w:r>
      <w:r>
        <w:rPr>
          <w:rFonts w:hint="eastAsia"/>
          <w:sz w:val="24"/>
          <w:vertAlign w:val="subscript"/>
        </w:rPr>
        <w:t>2</w:t>
      </w:r>
      <w:r>
        <w:rPr>
          <w:rFonts w:hint="eastAsia"/>
          <w:sz w:val="24"/>
        </w:rPr>
        <w:t>排放量核算结果为</w:t>
      </w:r>
      <w:r>
        <w:rPr>
          <w:rFonts w:hint="eastAsia"/>
          <w:sz w:val="24"/>
        </w:rPr>
        <w:t>1154.01tCO</w:t>
      </w:r>
      <w:r>
        <w:rPr>
          <w:rFonts w:hint="eastAsia"/>
          <w:sz w:val="24"/>
          <w:vertAlign w:val="subscript"/>
        </w:rPr>
        <w:t>2</w:t>
      </w:r>
      <w:r>
        <w:rPr>
          <w:rFonts w:hint="eastAsia"/>
          <w:sz w:val="24"/>
        </w:rPr>
        <w:t>。</w:t>
      </w:r>
    </w:p>
    <w:p w:rsidR="00EE4502" w:rsidRDefault="00FD45A3">
      <w:pPr>
        <w:pStyle w:val="33"/>
        <w:numPr>
          <w:ilvl w:val="2"/>
          <w:numId w:val="30"/>
        </w:numPr>
        <w:spacing w:line="360" w:lineRule="auto"/>
        <w:ind w:left="0" w:firstLine="0"/>
        <w:rPr>
          <w:spacing w:val="0"/>
          <w:sz w:val="24"/>
          <w:szCs w:val="24"/>
        </w:rPr>
      </w:pPr>
      <w:r>
        <w:rPr>
          <w:rFonts w:hint="eastAsia"/>
          <w:spacing w:val="0"/>
          <w:sz w:val="24"/>
          <w:szCs w:val="24"/>
        </w:rPr>
        <w:t>温室气体排放量核算汇总</w:t>
      </w:r>
    </w:p>
    <w:p w:rsidR="00EE4502" w:rsidRDefault="00FD45A3">
      <w:pPr>
        <w:spacing w:line="360" w:lineRule="auto"/>
        <w:ind w:firstLine="522"/>
        <w:rPr>
          <w:sz w:val="24"/>
        </w:rPr>
      </w:pPr>
      <w:r>
        <w:rPr>
          <w:rFonts w:hint="eastAsia"/>
          <w:sz w:val="24"/>
        </w:rPr>
        <w:t>根据拟建工程生产工艺流程中涉及温室气体的产排节点核算温室气体排放总量详见表</w:t>
      </w:r>
      <w:r>
        <w:rPr>
          <w:rFonts w:hint="eastAsia"/>
          <w:sz w:val="24"/>
        </w:rPr>
        <w:t>7-1-</w:t>
      </w:r>
      <w:r>
        <w:rPr>
          <w:rFonts w:hint="eastAsia"/>
          <w:sz w:val="24"/>
        </w:rPr>
        <w:t>2</w:t>
      </w:r>
      <w:r>
        <w:rPr>
          <w:rFonts w:hint="eastAsia"/>
          <w:sz w:val="24"/>
        </w:rPr>
        <w:t>。</w:t>
      </w:r>
    </w:p>
    <w:p w:rsidR="00EE4502" w:rsidRDefault="00FD45A3">
      <w:pPr>
        <w:spacing w:line="360" w:lineRule="auto"/>
        <w:jc w:val="center"/>
        <w:textAlignment w:val="baseline"/>
        <w:rPr>
          <w:rFonts w:eastAsia="黑体"/>
          <w:bCs/>
          <w:lang w:val="zh-CN"/>
        </w:rPr>
      </w:pPr>
      <w:r>
        <w:rPr>
          <w:rFonts w:eastAsia="黑体"/>
          <w:bCs/>
          <w:lang w:val="zh-CN"/>
        </w:rPr>
        <w:t>表</w:t>
      </w:r>
      <w:r>
        <w:rPr>
          <w:rFonts w:eastAsia="黑体" w:hint="eastAsia"/>
          <w:bCs/>
          <w:lang w:val="zh-CN"/>
        </w:rPr>
        <w:t>7-1-</w:t>
      </w:r>
      <w:r>
        <w:rPr>
          <w:rFonts w:eastAsia="黑体" w:hint="eastAsia"/>
          <w:bCs/>
        </w:rPr>
        <w:t>2</w:t>
      </w:r>
      <w:r>
        <w:rPr>
          <w:rFonts w:eastAsia="黑体"/>
          <w:bCs/>
          <w:lang w:val="zh-CN"/>
        </w:rPr>
        <w:t xml:space="preserve">    </w:t>
      </w:r>
      <w:r>
        <w:rPr>
          <w:rFonts w:eastAsia="黑体" w:hint="eastAsia"/>
          <w:bCs/>
        </w:rPr>
        <w:t>温室气体产排节点汇总一览表</w:t>
      </w:r>
    </w:p>
    <w:tbl>
      <w:tblPr>
        <w:tblW w:w="4998" w:type="pct"/>
        <w:jc w:val="center"/>
        <w:tblBorders>
          <w:top w:val="single" w:sz="8" w:space="0" w:color="auto"/>
          <w:bottom w:val="single" w:sz="8" w:space="0" w:color="auto"/>
          <w:insideH w:val="single" w:sz="8" w:space="0" w:color="auto"/>
          <w:insideV w:val="single" w:sz="8" w:space="0" w:color="auto"/>
        </w:tblBorders>
        <w:tblLook w:val="04A0" w:firstRow="1" w:lastRow="0" w:firstColumn="1" w:lastColumn="0" w:noHBand="0" w:noVBand="1"/>
      </w:tblPr>
      <w:tblGrid>
        <w:gridCol w:w="720"/>
        <w:gridCol w:w="3845"/>
        <w:gridCol w:w="1671"/>
        <w:gridCol w:w="1199"/>
        <w:gridCol w:w="1084"/>
      </w:tblGrid>
      <w:tr w:rsidR="00EE4502">
        <w:trPr>
          <w:trHeight w:val="340"/>
          <w:tblHeader/>
          <w:jc w:val="center"/>
        </w:trPr>
        <w:tc>
          <w:tcPr>
            <w:tcW w:w="422" w:type="pct"/>
            <w:vAlign w:val="center"/>
          </w:tcPr>
          <w:p w:rsidR="00EE4502" w:rsidRDefault="00FD45A3">
            <w:pPr>
              <w:jc w:val="center"/>
              <w:rPr>
                <w:bCs/>
                <w:szCs w:val="21"/>
              </w:rPr>
            </w:pPr>
            <w:r>
              <w:rPr>
                <w:rFonts w:hint="eastAsia"/>
                <w:bCs/>
                <w:szCs w:val="21"/>
              </w:rPr>
              <w:t>序号</w:t>
            </w:r>
          </w:p>
        </w:tc>
        <w:tc>
          <w:tcPr>
            <w:tcW w:w="2256" w:type="pct"/>
            <w:vAlign w:val="center"/>
          </w:tcPr>
          <w:p w:rsidR="00EE4502" w:rsidRDefault="00FD45A3">
            <w:pPr>
              <w:jc w:val="center"/>
              <w:rPr>
                <w:bCs/>
                <w:szCs w:val="21"/>
              </w:rPr>
            </w:pPr>
            <w:r>
              <w:rPr>
                <w:rFonts w:hint="eastAsia"/>
                <w:bCs/>
                <w:szCs w:val="21"/>
              </w:rPr>
              <w:t>类别</w:t>
            </w:r>
          </w:p>
        </w:tc>
        <w:tc>
          <w:tcPr>
            <w:tcW w:w="981" w:type="pct"/>
            <w:vAlign w:val="center"/>
          </w:tcPr>
          <w:p w:rsidR="00EE4502" w:rsidRDefault="00FD45A3">
            <w:pPr>
              <w:jc w:val="center"/>
              <w:rPr>
                <w:bCs/>
                <w:szCs w:val="21"/>
              </w:rPr>
            </w:pPr>
            <w:r>
              <w:rPr>
                <w:rFonts w:hint="eastAsia"/>
                <w:bCs/>
                <w:szCs w:val="21"/>
              </w:rPr>
              <w:t>产污环节</w:t>
            </w:r>
          </w:p>
        </w:tc>
        <w:tc>
          <w:tcPr>
            <w:tcW w:w="702" w:type="pct"/>
            <w:vAlign w:val="center"/>
          </w:tcPr>
          <w:p w:rsidR="00EE4502" w:rsidRDefault="00FD45A3">
            <w:pPr>
              <w:jc w:val="center"/>
              <w:rPr>
                <w:bCs/>
                <w:szCs w:val="21"/>
              </w:rPr>
            </w:pPr>
            <w:r>
              <w:rPr>
                <w:rFonts w:hint="eastAsia"/>
                <w:bCs/>
                <w:szCs w:val="21"/>
              </w:rPr>
              <w:t>排放因子</w:t>
            </w:r>
          </w:p>
        </w:tc>
        <w:tc>
          <w:tcPr>
            <w:tcW w:w="636" w:type="pct"/>
            <w:vAlign w:val="center"/>
          </w:tcPr>
          <w:p w:rsidR="00EE4502" w:rsidRDefault="00FD45A3">
            <w:pPr>
              <w:jc w:val="center"/>
              <w:rPr>
                <w:bCs/>
                <w:szCs w:val="21"/>
              </w:rPr>
            </w:pPr>
            <w:r>
              <w:rPr>
                <w:rFonts w:hint="eastAsia"/>
                <w:bCs/>
                <w:szCs w:val="21"/>
              </w:rPr>
              <w:t>排放量</w:t>
            </w:r>
            <w:r>
              <w:rPr>
                <w:rFonts w:hint="eastAsia"/>
                <w:bCs/>
                <w:szCs w:val="21"/>
              </w:rPr>
              <w:t>t</w:t>
            </w:r>
          </w:p>
        </w:tc>
      </w:tr>
      <w:tr w:rsidR="00EE4502">
        <w:trPr>
          <w:trHeight w:val="340"/>
          <w:tblHeader/>
          <w:jc w:val="center"/>
        </w:trPr>
        <w:tc>
          <w:tcPr>
            <w:tcW w:w="422" w:type="pct"/>
            <w:vMerge w:val="restart"/>
            <w:vAlign w:val="center"/>
          </w:tcPr>
          <w:p w:rsidR="00EE4502" w:rsidRDefault="00FD45A3">
            <w:pPr>
              <w:jc w:val="center"/>
              <w:rPr>
                <w:bCs/>
                <w:szCs w:val="21"/>
              </w:rPr>
            </w:pPr>
            <w:r>
              <w:rPr>
                <w:rFonts w:hint="eastAsia"/>
                <w:bCs/>
                <w:szCs w:val="21"/>
              </w:rPr>
              <w:t>1</w:t>
            </w:r>
          </w:p>
        </w:tc>
        <w:tc>
          <w:tcPr>
            <w:tcW w:w="2256" w:type="pct"/>
            <w:vMerge w:val="restart"/>
            <w:vAlign w:val="center"/>
          </w:tcPr>
          <w:p w:rsidR="00EE4502" w:rsidRDefault="00FD45A3">
            <w:pPr>
              <w:jc w:val="center"/>
              <w:rPr>
                <w:bCs/>
                <w:szCs w:val="21"/>
              </w:rPr>
            </w:pPr>
            <w:r>
              <w:rPr>
                <w:rFonts w:hint="eastAsia"/>
                <w:szCs w:val="21"/>
              </w:rPr>
              <w:t>CH</w:t>
            </w:r>
            <w:r>
              <w:rPr>
                <w:rFonts w:hint="eastAsia"/>
                <w:szCs w:val="21"/>
                <w:vertAlign w:val="subscript"/>
              </w:rPr>
              <w:t>4</w:t>
            </w:r>
            <w:r>
              <w:rPr>
                <w:rFonts w:hint="eastAsia"/>
                <w:szCs w:val="21"/>
              </w:rPr>
              <w:t>逃逸排放量</w:t>
            </w:r>
          </w:p>
        </w:tc>
        <w:tc>
          <w:tcPr>
            <w:tcW w:w="981" w:type="pct"/>
            <w:vAlign w:val="center"/>
          </w:tcPr>
          <w:p w:rsidR="00EE4502" w:rsidRDefault="00FD45A3">
            <w:pPr>
              <w:jc w:val="center"/>
              <w:rPr>
                <w:bCs/>
                <w:szCs w:val="21"/>
              </w:rPr>
            </w:pPr>
            <w:r>
              <w:rPr>
                <w:rFonts w:hint="eastAsia"/>
                <w:bCs/>
                <w:szCs w:val="21"/>
              </w:rPr>
              <w:t>油气开采业务</w:t>
            </w:r>
          </w:p>
        </w:tc>
        <w:tc>
          <w:tcPr>
            <w:tcW w:w="702" w:type="pct"/>
            <w:vMerge w:val="restart"/>
            <w:vAlign w:val="center"/>
          </w:tcPr>
          <w:p w:rsidR="00EE4502" w:rsidRDefault="00FD45A3">
            <w:pPr>
              <w:jc w:val="center"/>
              <w:rPr>
                <w:bCs/>
                <w:szCs w:val="21"/>
              </w:rPr>
            </w:pPr>
            <w:r>
              <w:rPr>
                <w:rFonts w:hint="eastAsia"/>
                <w:bCs/>
                <w:szCs w:val="21"/>
              </w:rPr>
              <w:t>CH</w:t>
            </w:r>
            <w:r>
              <w:rPr>
                <w:rFonts w:hint="eastAsia"/>
                <w:bCs/>
                <w:szCs w:val="21"/>
                <w:vertAlign w:val="subscript"/>
              </w:rPr>
              <w:t>4</w:t>
            </w:r>
          </w:p>
        </w:tc>
        <w:tc>
          <w:tcPr>
            <w:tcW w:w="636" w:type="pct"/>
            <w:vAlign w:val="center"/>
          </w:tcPr>
          <w:p w:rsidR="00EE4502" w:rsidRDefault="00FD45A3">
            <w:pPr>
              <w:jc w:val="center"/>
              <w:rPr>
                <w:bCs/>
                <w:szCs w:val="21"/>
              </w:rPr>
            </w:pPr>
            <w:r>
              <w:rPr>
                <w:bCs/>
                <w:szCs w:val="21"/>
              </w:rPr>
              <w:t>4.14</w:t>
            </w:r>
          </w:p>
        </w:tc>
      </w:tr>
      <w:tr w:rsidR="00EE4502">
        <w:trPr>
          <w:trHeight w:val="340"/>
          <w:tblHeader/>
          <w:jc w:val="center"/>
        </w:trPr>
        <w:tc>
          <w:tcPr>
            <w:tcW w:w="422" w:type="pct"/>
            <w:vMerge/>
            <w:vAlign w:val="center"/>
          </w:tcPr>
          <w:p w:rsidR="00EE4502" w:rsidRDefault="00EE4502">
            <w:pPr>
              <w:jc w:val="center"/>
              <w:rPr>
                <w:bCs/>
                <w:szCs w:val="21"/>
              </w:rPr>
            </w:pPr>
          </w:p>
        </w:tc>
        <w:tc>
          <w:tcPr>
            <w:tcW w:w="2256" w:type="pct"/>
            <w:vMerge/>
            <w:vAlign w:val="center"/>
          </w:tcPr>
          <w:p w:rsidR="00EE4502" w:rsidRDefault="00EE4502">
            <w:pPr>
              <w:jc w:val="center"/>
              <w:rPr>
                <w:szCs w:val="21"/>
              </w:rPr>
            </w:pPr>
          </w:p>
        </w:tc>
        <w:tc>
          <w:tcPr>
            <w:tcW w:w="981" w:type="pct"/>
            <w:vAlign w:val="center"/>
          </w:tcPr>
          <w:p w:rsidR="00EE4502" w:rsidRDefault="00FD45A3">
            <w:pPr>
              <w:jc w:val="center"/>
              <w:rPr>
                <w:bCs/>
                <w:szCs w:val="21"/>
              </w:rPr>
            </w:pPr>
            <w:r>
              <w:rPr>
                <w:rFonts w:hint="eastAsia"/>
                <w:bCs/>
                <w:szCs w:val="21"/>
              </w:rPr>
              <w:t>油气储运业务</w:t>
            </w:r>
          </w:p>
        </w:tc>
        <w:tc>
          <w:tcPr>
            <w:tcW w:w="702" w:type="pct"/>
            <w:vMerge/>
            <w:vAlign w:val="center"/>
          </w:tcPr>
          <w:p w:rsidR="00EE4502" w:rsidRDefault="00EE4502">
            <w:pPr>
              <w:jc w:val="center"/>
              <w:rPr>
                <w:bCs/>
                <w:szCs w:val="21"/>
              </w:rPr>
            </w:pPr>
          </w:p>
        </w:tc>
        <w:tc>
          <w:tcPr>
            <w:tcW w:w="636" w:type="pct"/>
            <w:vAlign w:val="center"/>
          </w:tcPr>
          <w:p w:rsidR="00EE4502" w:rsidRDefault="00FD45A3">
            <w:pPr>
              <w:jc w:val="center"/>
              <w:rPr>
                <w:bCs/>
                <w:szCs w:val="21"/>
              </w:rPr>
            </w:pPr>
            <w:r>
              <w:rPr>
                <w:bCs/>
                <w:szCs w:val="21"/>
              </w:rPr>
              <w:t>0.228</w:t>
            </w:r>
          </w:p>
        </w:tc>
      </w:tr>
      <w:tr w:rsidR="00EE4502">
        <w:trPr>
          <w:trHeight w:val="340"/>
          <w:tblHeader/>
          <w:jc w:val="center"/>
        </w:trPr>
        <w:tc>
          <w:tcPr>
            <w:tcW w:w="422" w:type="pct"/>
            <w:vAlign w:val="center"/>
          </w:tcPr>
          <w:p w:rsidR="00EE4502" w:rsidRDefault="00FD45A3">
            <w:pPr>
              <w:jc w:val="center"/>
              <w:rPr>
                <w:bCs/>
                <w:szCs w:val="21"/>
              </w:rPr>
            </w:pPr>
            <w:r>
              <w:rPr>
                <w:rFonts w:hint="eastAsia"/>
                <w:bCs/>
                <w:szCs w:val="21"/>
              </w:rPr>
              <w:t>2</w:t>
            </w:r>
          </w:p>
        </w:tc>
        <w:tc>
          <w:tcPr>
            <w:tcW w:w="2256" w:type="pct"/>
            <w:vAlign w:val="center"/>
          </w:tcPr>
          <w:p w:rsidR="00EE4502" w:rsidRDefault="00FD45A3">
            <w:pPr>
              <w:jc w:val="center"/>
              <w:rPr>
                <w:bCs/>
                <w:szCs w:val="21"/>
              </w:rPr>
            </w:pPr>
            <w:r>
              <w:rPr>
                <w:rFonts w:hint="eastAsia"/>
                <w:szCs w:val="21"/>
              </w:rPr>
              <w:t>净购入电力和热力隐含的</w:t>
            </w:r>
            <w:r>
              <w:rPr>
                <w:rFonts w:hint="eastAsia"/>
                <w:szCs w:val="21"/>
              </w:rPr>
              <w:t>CO</w:t>
            </w:r>
            <w:r>
              <w:rPr>
                <w:rFonts w:hint="eastAsia"/>
                <w:szCs w:val="21"/>
                <w:vertAlign w:val="subscript"/>
              </w:rPr>
              <w:t>2</w:t>
            </w:r>
            <w:r>
              <w:rPr>
                <w:rFonts w:hint="eastAsia"/>
                <w:szCs w:val="21"/>
              </w:rPr>
              <w:t>排放</w:t>
            </w:r>
          </w:p>
        </w:tc>
        <w:tc>
          <w:tcPr>
            <w:tcW w:w="981" w:type="pct"/>
            <w:vAlign w:val="center"/>
          </w:tcPr>
          <w:p w:rsidR="00EE4502" w:rsidRDefault="00FD45A3">
            <w:pPr>
              <w:jc w:val="center"/>
              <w:rPr>
                <w:bCs/>
                <w:szCs w:val="21"/>
              </w:rPr>
            </w:pPr>
            <w:r>
              <w:rPr>
                <w:rFonts w:hint="eastAsia"/>
                <w:bCs/>
                <w:szCs w:val="21"/>
              </w:rPr>
              <w:t>电力隐含排放</w:t>
            </w:r>
          </w:p>
        </w:tc>
        <w:tc>
          <w:tcPr>
            <w:tcW w:w="702" w:type="pct"/>
            <w:vAlign w:val="center"/>
          </w:tcPr>
          <w:p w:rsidR="00EE4502" w:rsidRDefault="00FD45A3">
            <w:pPr>
              <w:jc w:val="center"/>
              <w:rPr>
                <w:bCs/>
                <w:szCs w:val="21"/>
              </w:rPr>
            </w:pPr>
            <w:r>
              <w:rPr>
                <w:rFonts w:hint="eastAsia"/>
                <w:bCs/>
                <w:szCs w:val="21"/>
              </w:rPr>
              <w:t>CO</w:t>
            </w:r>
            <w:r>
              <w:rPr>
                <w:rFonts w:hint="eastAsia"/>
                <w:bCs/>
                <w:szCs w:val="21"/>
                <w:vertAlign w:val="subscript"/>
              </w:rPr>
              <w:t>2</w:t>
            </w:r>
          </w:p>
        </w:tc>
        <w:tc>
          <w:tcPr>
            <w:tcW w:w="636" w:type="pct"/>
            <w:vAlign w:val="center"/>
          </w:tcPr>
          <w:p w:rsidR="00EE4502" w:rsidRDefault="00FD45A3">
            <w:pPr>
              <w:jc w:val="center"/>
              <w:rPr>
                <w:bCs/>
                <w:szCs w:val="21"/>
              </w:rPr>
            </w:pPr>
            <w:r>
              <w:rPr>
                <w:bCs/>
                <w:szCs w:val="21"/>
              </w:rPr>
              <w:t>1154.01</w:t>
            </w:r>
          </w:p>
        </w:tc>
      </w:tr>
      <w:tr w:rsidR="00EE4502">
        <w:trPr>
          <w:trHeight w:val="340"/>
          <w:tblHeader/>
          <w:jc w:val="center"/>
        </w:trPr>
        <w:tc>
          <w:tcPr>
            <w:tcW w:w="4363" w:type="pct"/>
            <w:gridSpan w:val="4"/>
            <w:vAlign w:val="center"/>
          </w:tcPr>
          <w:p w:rsidR="00EE4502" w:rsidRDefault="00FD45A3">
            <w:pPr>
              <w:jc w:val="center"/>
              <w:rPr>
                <w:bCs/>
                <w:szCs w:val="21"/>
              </w:rPr>
            </w:pPr>
            <w:r>
              <w:rPr>
                <w:rFonts w:hint="eastAsia"/>
                <w:bCs/>
                <w:szCs w:val="21"/>
              </w:rPr>
              <w:t>合计</w:t>
            </w:r>
          </w:p>
        </w:tc>
        <w:tc>
          <w:tcPr>
            <w:tcW w:w="636" w:type="pct"/>
            <w:vAlign w:val="center"/>
          </w:tcPr>
          <w:p w:rsidR="00EE4502" w:rsidRDefault="00FD45A3">
            <w:pPr>
              <w:jc w:val="center"/>
              <w:rPr>
                <w:bCs/>
                <w:szCs w:val="21"/>
              </w:rPr>
            </w:pPr>
            <w:r>
              <w:rPr>
                <w:bCs/>
                <w:szCs w:val="21"/>
              </w:rPr>
              <w:t>1158.3</w:t>
            </w:r>
            <w:r>
              <w:rPr>
                <w:rFonts w:hint="eastAsia"/>
                <w:bCs/>
                <w:szCs w:val="21"/>
              </w:rPr>
              <w:t>8</w:t>
            </w:r>
          </w:p>
        </w:tc>
      </w:tr>
    </w:tbl>
    <w:p w:rsidR="00EE4502" w:rsidRDefault="00EE4502">
      <w:pPr>
        <w:ind w:firstLineChars="200" w:firstLine="300"/>
        <w:rPr>
          <w:sz w:val="15"/>
          <w:szCs w:val="15"/>
        </w:rPr>
      </w:pPr>
    </w:p>
    <w:p w:rsidR="00EE4502" w:rsidRDefault="00FD45A3">
      <w:pPr>
        <w:spacing w:line="360" w:lineRule="auto"/>
        <w:ind w:firstLineChars="200" w:firstLine="480"/>
        <w:rPr>
          <w:sz w:val="24"/>
        </w:rPr>
      </w:pPr>
      <w:r>
        <w:rPr>
          <w:rFonts w:hint="eastAsia"/>
          <w:sz w:val="24"/>
        </w:rPr>
        <w:t>综上，拟建工程实施后温室气体排放总量为</w:t>
      </w:r>
      <w:r>
        <w:rPr>
          <w:rFonts w:hint="eastAsia"/>
          <w:sz w:val="24"/>
        </w:rPr>
        <w:t>1158.38</w:t>
      </w:r>
      <w:r>
        <w:rPr>
          <w:rFonts w:hint="eastAsia"/>
          <w:sz w:val="24"/>
        </w:rPr>
        <w:t>t</w:t>
      </w:r>
      <w:r>
        <w:rPr>
          <w:rFonts w:hint="eastAsia"/>
          <w:sz w:val="24"/>
        </w:rPr>
        <w:t>。</w:t>
      </w:r>
    </w:p>
    <w:p w:rsidR="00EE4502" w:rsidRDefault="00FD45A3">
      <w:pPr>
        <w:pStyle w:val="22"/>
        <w:numPr>
          <w:ilvl w:val="1"/>
          <w:numId w:val="30"/>
        </w:numPr>
        <w:rPr>
          <w:spacing w:val="0"/>
          <w:w w:val="100"/>
        </w:rPr>
      </w:pPr>
      <w:bookmarkStart w:id="250" w:name="_Toc27521"/>
      <w:r>
        <w:rPr>
          <w:rFonts w:hint="eastAsia"/>
          <w:spacing w:val="0"/>
          <w:w w:val="100"/>
        </w:rPr>
        <w:t>减污降碳措施</w:t>
      </w:r>
      <w:bookmarkEnd w:id="250"/>
    </w:p>
    <w:p w:rsidR="00EE4502" w:rsidRDefault="00FD45A3">
      <w:pPr>
        <w:spacing w:line="360" w:lineRule="auto"/>
        <w:ind w:firstLineChars="200" w:firstLine="480"/>
        <w:rPr>
          <w:rFonts w:eastAsia="黑体"/>
          <w:sz w:val="24"/>
        </w:rPr>
      </w:pPr>
      <w:r>
        <w:rPr>
          <w:rFonts w:hint="eastAsia"/>
          <w:sz w:val="24"/>
        </w:rPr>
        <w:t>本项目从工艺技术、节能设备和能源及碳排放管理等方面均采取了一系列减污降碳措施，具体如下。</w:t>
      </w:r>
    </w:p>
    <w:p w:rsidR="00EE4502" w:rsidRDefault="00FD45A3">
      <w:pPr>
        <w:keepNext/>
        <w:keepLines/>
        <w:numPr>
          <w:ilvl w:val="2"/>
          <w:numId w:val="30"/>
        </w:numPr>
        <w:spacing w:line="360" w:lineRule="auto"/>
        <w:outlineLvl w:val="2"/>
        <w:rPr>
          <w:rFonts w:eastAsia="黑体"/>
          <w:sz w:val="24"/>
        </w:rPr>
      </w:pPr>
      <w:r>
        <w:rPr>
          <w:rFonts w:eastAsia="黑体" w:hint="eastAsia"/>
          <w:sz w:val="24"/>
        </w:rPr>
        <w:t>工艺技术减污降碳措施</w:t>
      </w:r>
    </w:p>
    <w:p w:rsidR="00EE4502" w:rsidRDefault="00FD45A3">
      <w:pPr>
        <w:spacing w:line="360" w:lineRule="auto"/>
        <w:ind w:firstLineChars="200" w:firstLine="480"/>
        <w:rPr>
          <w:sz w:val="24"/>
        </w:rPr>
      </w:pPr>
      <w:r>
        <w:rPr>
          <w:rFonts w:hint="eastAsia"/>
          <w:sz w:val="24"/>
        </w:rPr>
        <w:t>本项目井场开采采用无人值守井场，减少人工干预和经常整定调节参数，实现全自动过程。定期组织人员对井场进行巡检，及时更换存在故障的阀门、法兰等部件，减少无组织泄漏量。同时加强工艺系统的优化管理，减少井场测试放喷作业时间。</w:t>
      </w:r>
    </w:p>
    <w:p w:rsidR="00EE4502" w:rsidRDefault="00FD45A3">
      <w:pPr>
        <w:keepNext/>
        <w:keepLines/>
        <w:numPr>
          <w:ilvl w:val="2"/>
          <w:numId w:val="30"/>
        </w:numPr>
        <w:spacing w:line="360" w:lineRule="auto"/>
        <w:outlineLvl w:val="2"/>
        <w:rPr>
          <w:rFonts w:eastAsia="黑体"/>
          <w:sz w:val="24"/>
        </w:rPr>
      </w:pPr>
      <w:r>
        <w:rPr>
          <w:rFonts w:eastAsia="黑体" w:hint="eastAsia"/>
          <w:sz w:val="24"/>
        </w:rPr>
        <w:t>电气设施减污降碳措施</w:t>
      </w:r>
    </w:p>
    <w:p w:rsidR="00EE4502" w:rsidRDefault="00FD45A3">
      <w:pPr>
        <w:spacing w:line="360" w:lineRule="auto"/>
        <w:ind w:firstLineChars="200" w:firstLine="480"/>
        <w:rPr>
          <w:sz w:val="24"/>
        </w:rPr>
      </w:pPr>
      <w:r>
        <w:rPr>
          <w:rFonts w:hint="eastAsia"/>
          <w:sz w:val="24"/>
        </w:rPr>
        <w:t>本项目在电气设备设施上采用多种节能措施，从而间接减少了电力隐含的</w:t>
      </w:r>
      <w:r>
        <w:rPr>
          <w:rFonts w:hint="eastAsia"/>
          <w:sz w:val="24"/>
        </w:rPr>
        <w:t>CO</w:t>
      </w:r>
      <w:r>
        <w:rPr>
          <w:rFonts w:hint="eastAsia"/>
          <w:sz w:val="24"/>
          <w:vertAlign w:val="subscript"/>
        </w:rPr>
        <w:t>2</w:t>
      </w:r>
      <w:r>
        <w:rPr>
          <w:rFonts w:hint="eastAsia"/>
          <w:sz w:val="24"/>
        </w:rPr>
        <w:t>排放量。具体措施主要有：</w:t>
      </w:r>
    </w:p>
    <w:p w:rsidR="00EE4502" w:rsidRDefault="00FD45A3">
      <w:pPr>
        <w:spacing w:line="360" w:lineRule="auto"/>
        <w:ind w:firstLineChars="200" w:firstLine="480"/>
        <w:rPr>
          <w:sz w:val="24"/>
        </w:rPr>
      </w:pPr>
      <w:r>
        <w:rPr>
          <w:rFonts w:hint="eastAsia"/>
          <w:sz w:val="24"/>
        </w:rPr>
        <w:t>（</w:t>
      </w:r>
      <w:r>
        <w:rPr>
          <w:rFonts w:hint="eastAsia"/>
          <w:sz w:val="24"/>
        </w:rPr>
        <w:t>1</w:t>
      </w:r>
      <w:r>
        <w:rPr>
          <w:rFonts w:hint="eastAsia"/>
          <w:sz w:val="24"/>
        </w:rPr>
        <w:t>）根据项目用电性质、用电容量等选择合理的供电电压和供电方式，有效减少电能损耗。</w:t>
      </w:r>
    </w:p>
    <w:p w:rsidR="00EE4502" w:rsidRDefault="00FD45A3">
      <w:pPr>
        <w:spacing w:line="360" w:lineRule="auto"/>
        <w:ind w:firstLineChars="200" w:firstLine="480"/>
        <w:rPr>
          <w:sz w:val="24"/>
        </w:rPr>
      </w:pPr>
      <w:r>
        <w:rPr>
          <w:rFonts w:hint="eastAsia"/>
          <w:sz w:val="24"/>
        </w:rPr>
        <w:lastRenderedPageBreak/>
        <w:t>（</w:t>
      </w:r>
      <w:r>
        <w:rPr>
          <w:rFonts w:hint="eastAsia"/>
          <w:sz w:val="24"/>
        </w:rPr>
        <w:t>2</w:t>
      </w:r>
      <w:r>
        <w:rPr>
          <w:rFonts w:hint="eastAsia"/>
          <w:sz w:val="24"/>
        </w:rPr>
        <w:t>）选用高功率因数电气设备。采用无功功率补偿，为减少线路损失，设计采用高低压同时补偿的方式，补偿后功率因数达</w:t>
      </w:r>
      <w:r>
        <w:rPr>
          <w:rFonts w:hint="eastAsia"/>
          <w:sz w:val="24"/>
        </w:rPr>
        <w:t>0.95</w:t>
      </w:r>
      <w:r>
        <w:rPr>
          <w:rFonts w:hint="eastAsia"/>
          <w:sz w:val="24"/>
        </w:rPr>
        <w:t>以上。低压设置自动无功补偿电容器装置，高压采用高压并联电容器进行功率因数补偿，补偿后使功率因数在装置负荷正常运行时提高，有效减少无功损耗，从而减少电能损耗，实现节能运行。</w:t>
      </w:r>
      <w:r>
        <w:rPr>
          <w:rFonts w:hint="eastAsia"/>
          <w:sz w:val="24"/>
        </w:rPr>
        <w:t xml:space="preserve"> </w:t>
      </w:r>
    </w:p>
    <w:p w:rsidR="00EE4502" w:rsidRDefault="00FD45A3">
      <w:pPr>
        <w:spacing w:line="360" w:lineRule="auto"/>
        <w:ind w:firstLineChars="200" w:firstLine="480"/>
        <w:rPr>
          <w:sz w:val="24"/>
        </w:rPr>
      </w:pPr>
      <w:r>
        <w:rPr>
          <w:rFonts w:hint="eastAsia"/>
          <w:sz w:val="24"/>
        </w:rPr>
        <w:t>（</w:t>
      </w:r>
      <w:r>
        <w:rPr>
          <w:rFonts w:hint="eastAsia"/>
          <w:sz w:val="24"/>
        </w:rPr>
        <w:t>3</w:t>
      </w:r>
      <w:r>
        <w:rPr>
          <w:rFonts w:hint="eastAsia"/>
          <w:sz w:val="24"/>
        </w:rPr>
        <w:t>）选用节能型干式变压器，能效等级为</w:t>
      </w:r>
      <w:r>
        <w:rPr>
          <w:rFonts w:hint="eastAsia"/>
          <w:sz w:val="24"/>
        </w:rPr>
        <w:t>1</w:t>
      </w:r>
      <w:r>
        <w:rPr>
          <w:rFonts w:hint="eastAsia"/>
          <w:sz w:val="24"/>
        </w:rPr>
        <w:t>级，具有低损耗（空载和负载损耗相对较低）、维护方便等显著特点。</w:t>
      </w:r>
      <w:r>
        <w:rPr>
          <w:rFonts w:hint="eastAsia"/>
          <w:sz w:val="24"/>
        </w:rPr>
        <w:t xml:space="preserve"> </w:t>
      </w:r>
    </w:p>
    <w:p w:rsidR="00EE4502" w:rsidRDefault="00FD45A3">
      <w:pPr>
        <w:spacing w:line="360" w:lineRule="auto"/>
        <w:ind w:firstLineChars="200" w:firstLine="480"/>
        <w:rPr>
          <w:sz w:val="24"/>
        </w:rPr>
      </w:pPr>
      <w:r>
        <w:rPr>
          <w:rFonts w:hint="eastAsia"/>
          <w:sz w:val="24"/>
        </w:rPr>
        <w:t>（</w:t>
      </w:r>
      <w:r>
        <w:rPr>
          <w:rFonts w:hint="eastAsia"/>
          <w:sz w:val="24"/>
        </w:rPr>
        <w:t>4</w:t>
      </w:r>
      <w:r>
        <w:rPr>
          <w:rFonts w:hint="eastAsia"/>
          <w:sz w:val="24"/>
        </w:rPr>
        <w:t>）各种电力设备均选用能效等级为</w:t>
      </w:r>
      <w:r>
        <w:rPr>
          <w:rFonts w:hint="eastAsia"/>
          <w:sz w:val="24"/>
        </w:rPr>
        <w:t>1</w:t>
      </w:r>
      <w:r>
        <w:rPr>
          <w:rFonts w:hint="eastAsia"/>
          <w:sz w:val="24"/>
        </w:rPr>
        <w:t>级的节能产品，实际功率和负荷相适应，达到降低能耗，提高工作效率的作用。</w:t>
      </w:r>
    </w:p>
    <w:p w:rsidR="00EE4502" w:rsidRDefault="00FD45A3">
      <w:pPr>
        <w:keepNext/>
        <w:keepLines/>
        <w:numPr>
          <w:ilvl w:val="2"/>
          <w:numId w:val="30"/>
        </w:numPr>
        <w:spacing w:line="360" w:lineRule="auto"/>
        <w:outlineLvl w:val="2"/>
        <w:rPr>
          <w:rFonts w:eastAsia="黑体"/>
          <w:sz w:val="24"/>
        </w:rPr>
      </w:pPr>
      <w:r>
        <w:rPr>
          <w:rFonts w:eastAsia="黑体" w:hint="eastAsia"/>
          <w:sz w:val="24"/>
        </w:rPr>
        <w:t>减污降碳管理措施</w:t>
      </w:r>
    </w:p>
    <w:p w:rsidR="00EE4502" w:rsidRDefault="00FD45A3">
      <w:pPr>
        <w:spacing w:line="360" w:lineRule="auto"/>
        <w:ind w:firstLineChars="200" w:firstLine="480"/>
        <w:rPr>
          <w:sz w:val="24"/>
        </w:rPr>
      </w:pPr>
      <w:r>
        <w:rPr>
          <w:rFonts w:hint="eastAsia"/>
          <w:sz w:val="24"/>
        </w:rPr>
        <w:t>采油厂建立有碳排放管理组织机构，对整个作业区能源及碳排放管理实行管理，并制定能源及碳排放管理制度，将碳排放管理工作作为重要事项纳入日常管理；能源及碳排放管理制度对各类能源的购入、贮存、使用、加工转换、输送分配以及最终使用等环节进行详细的规定，尽可能从管理上做到对各类能源高效使用，同时对碳排放情况进行有效管理。</w:t>
      </w:r>
    </w:p>
    <w:p w:rsidR="00EE4502" w:rsidRDefault="00FD45A3">
      <w:pPr>
        <w:pStyle w:val="22"/>
        <w:numPr>
          <w:ilvl w:val="1"/>
          <w:numId w:val="30"/>
        </w:numPr>
        <w:rPr>
          <w:spacing w:val="0"/>
          <w:w w:val="100"/>
        </w:rPr>
      </w:pPr>
      <w:bookmarkStart w:id="251" w:name="_Toc27699"/>
      <w:r>
        <w:rPr>
          <w:rFonts w:hint="eastAsia"/>
          <w:spacing w:val="0"/>
          <w:w w:val="100"/>
        </w:rPr>
        <w:t>温室气体排放评价结论</w:t>
      </w:r>
      <w:bookmarkEnd w:id="251"/>
    </w:p>
    <w:p w:rsidR="00EE4502" w:rsidRDefault="00FD45A3">
      <w:pPr>
        <w:keepNext/>
        <w:keepLines/>
        <w:numPr>
          <w:ilvl w:val="2"/>
          <w:numId w:val="30"/>
        </w:numPr>
        <w:spacing w:line="360" w:lineRule="auto"/>
        <w:outlineLvl w:val="2"/>
        <w:rPr>
          <w:rFonts w:eastAsia="黑体"/>
          <w:sz w:val="24"/>
        </w:rPr>
      </w:pPr>
      <w:r>
        <w:rPr>
          <w:rFonts w:eastAsia="黑体" w:hint="eastAsia"/>
          <w:sz w:val="24"/>
        </w:rPr>
        <w:t>碳排放评价结论</w:t>
      </w:r>
    </w:p>
    <w:p w:rsidR="00EE4502" w:rsidRDefault="00FD45A3">
      <w:pPr>
        <w:spacing w:line="360" w:lineRule="auto"/>
        <w:ind w:firstLineChars="200" w:firstLine="480"/>
        <w:rPr>
          <w:sz w:val="24"/>
        </w:rPr>
      </w:pPr>
      <w:r>
        <w:rPr>
          <w:rFonts w:hint="eastAsia"/>
          <w:sz w:val="24"/>
        </w:rPr>
        <w:t>本项目实施后，</w:t>
      </w:r>
      <w:r>
        <w:rPr>
          <w:rFonts w:hint="eastAsia"/>
          <w:sz w:val="24"/>
        </w:rPr>
        <w:t>CO</w:t>
      </w:r>
      <w:r>
        <w:rPr>
          <w:rFonts w:hint="eastAsia"/>
          <w:sz w:val="24"/>
          <w:vertAlign w:val="subscript"/>
        </w:rPr>
        <w:t>2</w:t>
      </w:r>
      <w:r>
        <w:rPr>
          <w:rFonts w:hint="eastAsia"/>
          <w:sz w:val="24"/>
        </w:rPr>
        <w:t>总排放量为</w:t>
      </w:r>
      <w:r>
        <w:rPr>
          <w:rFonts w:hint="eastAsia"/>
          <w:sz w:val="24"/>
        </w:rPr>
        <w:t>1158.</w:t>
      </w:r>
      <w:r>
        <w:rPr>
          <w:rFonts w:hint="eastAsia"/>
          <w:sz w:val="24"/>
        </w:rPr>
        <w:t>38t</w:t>
      </w:r>
      <w:r>
        <w:rPr>
          <w:rFonts w:hint="eastAsia"/>
          <w:sz w:val="24"/>
        </w:rPr>
        <w:t>。在工艺技术、节能设备和能源及碳排放管理等方面均采取了较完善的减污降碳措施，有利于减少二氧化碳排放，对比同类企业碳排放水平，本项目吨产品</w:t>
      </w:r>
      <w:r>
        <w:rPr>
          <w:rFonts w:hint="eastAsia"/>
          <w:sz w:val="24"/>
        </w:rPr>
        <w:t>CO</w:t>
      </w:r>
      <w:r>
        <w:rPr>
          <w:rFonts w:hint="eastAsia"/>
          <w:sz w:val="24"/>
          <w:vertAlign w:val="subscript"/>
        </w:rPr>
        <w:t>2</w:t>
      </w:r>
      <w:r>
        <w:rPr>
          <w:rFonts w:hint="eastAsia"/>
          <w:sz w:val="24"/>
        </w:rPr>
        <w:t>排放强度相对较低。</w:t>
      </w:r>
    </w:p>
    <w:p w:rsidR="00EE4502" w:rsidRDefault="00FD45A3">
      <w:pPr>
        <w:keepNext/>
        <w:keepLines/>
        <w:numPr>
          <w:ilvl w:val="2"/>
          <w:numId w:val="30"/>
        </w:numPr>
        <w:spacing w:line="360" w:lineRule="auto"/>
        <w:outlineLvl w:val="2"/>
        <w:rPr>
          <w:rFonts w:eastAsia="黑体"/>
          <w:sz w:val="24"/>
        </w:rPr>
      </w:pPr>
      <w:r>
        <w:rPr>
          <w:rFonts w:eastAsia="黑体" w:hint="eastAsia"/>
          <w:sz w:val="24"/>
        </w:rPr>
        <w:t>碳排放建议</w:t>
      </w:r>
    </w:p>
    <w:p w:rsidR="00EE4502" w:rsidRDefault="00FD45A3">
      <w:pPr>
        <w:spacing w:line="360" w:lineRule="auto"/>
        <w:ind w:firstLineChars="200" w:firstLine="480"/>
        <w:rPr>
          <w:sz w:val="24"/>
        </w:rPr>
      </w:pPr>
      <w:r>
        <w:rPr>
          <w:rFonts w:hint="eastAsia"/>
          <w:sz w:val="24"/>
        </w:rPr>
        <w:t>（</w:t>
      </w:r>
      <w:r>
        <w:rPr>
          <w:rFonts w:hint="eastAsia"/>
          <w:sz w:val="24"/>
        </w:rPr>
        <w:t>1</w:t>
      </w:r>
      <w:r>
        <w:rPr>
          <w:rFonts w:hint="eastAsia"/>
          <w:sz w:val="24"/>
        </w:rPr>
        <w:t>）加强企业能源管理，减少甲烷逸散损耗，定期开展能源及碳排放管理培训，提升管理水平；</w:t>
      </w:r>
    </w:p>
    <w:p w:rsidR="00EE4502" w:rsidRDefault="00FD45A3">
      <w:pPr>
        <w:spacing w:line="360" w:lineRule="auto"/>
        <w:ind w:firstLineChars="200" w:firstLine="480"/>
        <w:rPr>
          <w:sz w:val="24"/>
        </w:rPr>
      </w:pPr>
      <w:r>
        <w:rPr>
          <w:rFonts w:hint="eastAsia"/>
          <w:sz w:val="24"/>
        </w:rPr>
        <w:t>（</w:t>
      </w:r>
      <w:r>
        <w:rPr>
          <w:rFonts w:hint="eastAsia"/>
          <w:sz w:val="24"/>
        </w:rPr>
        <w:t>2</w:t>
      </w:r>
      <w:r>
        <w:rPr>
          <w:rFonts w:hint="eastAsia"/>
          <w:sz w:val="24"/>
        </w:rPr>
        <w:t>）积极开展源头控制，优先选择绿色节能工艺、产品和技术，降低化石燃料消费量；</w:t>
      </w:r>
    </w:p>
    <w:p w:rsidR="00EE4502" w:rsidRDefault="00FD45A3">
      <w:pPr>
        <w:spacing w:line="360" w:lineRule="auto"/>
        <w:ind w:firstLineChars="200" w:firstLine="480"/>
        <w:rPr>
          <w:sz w:val="24"/>
        </w:rPr>
        <w:sectPr w:rsidR="00EE4502">
          <w:pgSz w:w="11906" w:h="16838"/>
          <w:pgMar w:top="1440" w:right="1800" w:bottom="1440" w:left="1800" w:header="850" w:footer="850" w:gutter="0"/>
          <w:pgNumType w:fmt="numberInDash"/>
          <w:cols w:space="720"/>
          <w:docGrid w:linePitch="326"/>
        </w:sectPr>
      </w:pPr>
      <w:r>
        <w:rPr>
          <w:rFonts w:hint="eastAsia"/>
          <w:sz w:val="24"/>
        </w:rPr>
        <w:t>（</w:t>
      </w:r>
      <w:r>
        <w:rPr>
          <w:rFonts w:hint="eastAsia"/>
          <w:sz w:val="24"/>
        </w:rPr>
        <w:t>3</w:t>
      </w:r>
      <w:r>
        <w:rPr>
          <w:rFonts w:hint="eastAsia"/>
          <w:sz w:val="24"/>
        </w:rPr>
        <w:t>）积极开展碳捕获、利用与封存（</w:t>
      </w:r>
      <w:r>
        <w:rPr>
          <w:rFonts w:hint="eastAsia"/>
          <w:sz w:val="24"/>
        </w:rPr>
        <w:t>CCUS</w:t>
      </w:r>
      <w:r>
        <w:rPr>
          <w:rFonts w:hint="eastAsia"/>
          <w:sz w:val="24"/>
        </w:rPr>
        <w:t>）技术，进一步挖掘和提升减污降碳潜力。</w:t>
      </w:r>
    </w:p>
    <w:p w:rsidR="00EE4502" w:rsidRDefault="00FD45A3">
      <w:pPr>
        <w:pStyle w:val="12"/>
        <w:numPr>
          <w:ilvl w:val="0"/>
          <w:numId w:val="30"/>
        </w:numPr>
        <w:spacing w:before="0" w:after="0" w:line="360" w:lineRule="auto"/>
        <w:ind w:left="0" w:firstLine="0"/>
        <w:rPr>
          <w:b w:val="0"/>
          <w:szCs w:val="30"/>
        </w:rPr>
      </w:pPr>
      <w:bookmarkStart w:id="252" w:name="_Toc5009"/>
      <w:r>
        <w:rPr>
          <w:rFonts w:hint="eastAsia"/>
          <w:b w:val="0"/>
          <w:szCs w:val="30"/>
        </w:rPr>
        <w:lastRenderedPageBreak/>
        <w:t>环境经济损益分析</w:t>
      </w:r>
      <w:bookmarkEnd w:id="252"/>
    </w:p>
    <w:p w:rsidR="00EE4502" w:rsidRDefault="00FD45A3">
      <w:pPr>
        <w:spacing w:line="360" w:lineRule="auto"/>
        <w:ind w:firstLine="522"/>
        <w:rPr>
          <w:sz w:val="24"/>
        </w:rPr>
      </w:pPr>
      <w:bookmarkStart w:id="253" w:name="_Toc106570764"/>
      <w:r>
        <w:rPr>
          <w:sz w:val="24"/>
        </w:rPr>
        <w:t>一个项目的开发建设，除对国民经济的发展起着促进作用外，同时也在一定程度上影响着项目拟建地区环境的变化。社会影响、经济影响、环境影响是一个系统的三要素，最终以提高人类的生活质量为目的。它们之间既互相促进，又互相制约，必须通过全面规划、综合平衡、正确地把全局利益和局部利益、长远利益和近期利益结合起来，对环境保护和经济发展进行协调，实现社会效益、经济效益、环境效益的三统一。</w:t>
      </w:r>
    </w:p>
    <w:p w:rsidR="00EE4502" w:rsidRDefault="00FD45A3">
      <w:pPr>
        <w:spacing w:line="360" w:lineRule="auto"/>
        <w:ind w:firstLine="522"/>
        <w:rPr>
          <w:sz w:val="24"/>
        </w:rPr>
      </w:pPr>
      <w:r>
        <w:rPr>
          <w:rFonts w:hint="eastAsia"/>
          <w:sz w:val="24"/>
        </w:rPr>
        <w:t>本工程总投资为</w:t>
      </w:r>
      <w:r>
        <w:rPr>
          <w:rFonts w:hint="eastAsia"/>
          <w:sz w:val="24"/>
        </w:rPr>
        <w:t>11398.55</w:t>
      </w:r>
      <w:r>
        <w:rPr>
          <w:rFonts w:hint="eastAsia"/>
          <w:sz w:val="24"/>
        </w:rPr>
        <w:t>万元。工程内部收益率为</w:t>
      </w:r>
      <w:r>
        <w:rPr>
          <w:rFonts w:hint="eastAsia"/>
          <w:sz w:val="24"/>
        </w:rPr>
        <w:t>1</w:t>
      </w:r>
      <w:r>
        <w:rPr>
          <w:rFonts w:hint="eastAsia"/>
          <w:sz w:val="24"/>
        </w:rPr>
        <w:t>5</w:t>
      </w:r>
      <w:r>
        <w:rPr>
          <w:rFonts w:hint="eastAsia"/>
          <w:sz w:val="24"/>
        </w:rPr>
        <w:t>.</w:t>
      </w:r>
      <w:r>
        <w:rPr>
          <w:rFonts w:hint="eastAsia"/>
          <w:sz w:val="24"/>
        </w:rPr>
        <w:t>22</w:t>
      </w:r>
      <w:r>
        <w:rPr>
          <w:rFonts w:hint="eastAsia"/>
          <w:sz w:val="24"/>
        </w:rPr>
        <w:t>%</w:t>
      </w:r>
      <w:r>
        <w:rPr>
          <w:rFonts w:hint="eastAsia"/>
          <w:sz w:val="24"/>
        </w:rPr>
        <w:t>（税后），工程税后主要财务指标达到石油行业基准收益要求，由此可见，本工程可取</w:t>
      </w:r>
      <w:r>
        <w:rPr>
          <w:rFonts w:hint="eastAsia"/>
          <w:sz w:val="24"/>
        </w:rPr>
        <w:t>得较好的经济效益。同时本工程符合我国“发展西部，稳定东部”的石油工业发展战略，可增加我国的石油能源供应量，促进全国的经济发展</w:t>
      </w:r>
      <w:r>
        <w:rPr>
          <w:rFonts w:hint="eastAsia"/>
          <w:sz w:val="24"/>
        </w:rPr>
        <w:t>。</w:t>
      </w:r>
    </w:p>
    <w:p w:rsidR="00EE4502" w:rsidRDefault="00FD45A3">
      <w:pPr>
        <w:keepNext/>
        <w:keepLines/>
        <w:numPr>
          <w:ilvl w:val="1"/>
          <w:numId w:val="30"/>
        </w:numPr>
        <w:spacing w:line="360" w:lineRule="auto"/>
        <w:outlineLvl w:val="1"/>
        <w:rPr>
          <w:rFonts w:eastAsia="黑体"/>
          <w:bCs/>
          <w:kern w:val="28"/>
          <w:sz w:val="28"/>
          <w:szCs w:val="28"/>
        </w:rPr>
      </w:pPr>
      <w:bookmarkStart w:id="254" w:name="_Toc30284"/>
      <w:r>
        <w:rPr>
          <w:rFonts w:eastAsia="黑体" w:hint="eastAsia"/>
          <w:bCs/>
          <w:kern w:val="28"/>
          <w:sz w:val="28"/>
          <w:szCs w:val="28"/>
        </w:rPr>
        <w:t>环境效益分析</w:t>
      </w:r>
      <w:bookmarkEnd w:id="254"/>
    </w:p>
    <w:p w:rsidR="00EE4502" w:rsidRDefault="00FD45A3">
      <w:pPr>
        <w:spacing w:line="360" w:lineRule="auto"/>
        <w:ind w:firstLine="522"/>
        <w:rPr>
          <w:sz w:val="24"/>
        </w:rPr>
      </w:pPr>
      <w:r>
        <w:rPr>
          <w:sz w:val="24"/>
        </w:rPr>
        <w:t>该工程在施工期间将对区域环境造成一定破坏，导致不同程度的经济损失。运营期产生的主要污染物石油及其伴生物，如烃类气体、油藏采出水、废弃泥浆等，都可能对土壤、水体和环境空气造成污染，同时还存在一定环境风险。</w:t>
      </w:r>
    </w:p>
    <w:p w:rsidR="00EE4502" w:rsidRDefault="00FD45A3">
      <w:pPr>
        <w:spacing w:line="360" w:lineRule="auto"/>
        <w:ind w:firstLine="522"/>
        <w:rPr>
          <w:sz w:val="24"/>
        </w:rPr>
      </w:pPr>
      <w:r>
        <w:rPr>
          <w:sz w:val="24"/>
        </w:rPr>
        <w:t>为了贯彻执行新疆维吾尔自治区关于石油天然气开发的有关规定，</w:t>
      </w:r>
      <w:r>
        <w:rPr>
          <w:rFonts w:hint="eastAsia"/>
          <w:sz w:val="24"/>
        </w:rPr>
        <w:t>春风油田石炭系排</w:t>
      </w:r>
      <w:r>
        <w:rPr>
          <w:rFonts w:hint="eastAsia"/>
          <w:sz w:val="24"/>
        </w:rPr>
        <w:t>61</w:t>
      </w:r>
      <w:r>
        <w:rPr>
          <w:rFonts w:hint="eastAsia"/>
          <w:sz w:val="24"/>
        </w:rPr>
        <w:t>块产能建设工程</w:t>
      </w:r>
      <w:r>
        <w:rPr>
          <w:sz w:val="24"/>
        </w:rPr>
        <w:t>在清洁生产工艺和污染防治方面采取了一定的措施，为减少不利的生态影响及环境污染，防止可能发生的自然风险和工程事故所造成的环境污染，该项目采取了相应的生态环境保护措施和环境管理监控措施。根据环保措施和环境管理要求，环保投资估算如表</w:t>
      </w:r>
      <w:r>
        <w:rPr>
          <w:rFonts w:hint="eastAsia"/>
          <w:sz w:val="24"/>
        </w:rPr>
        <w:t>8-1</w:t>
      </w:r>
      <w:r>
        <w:rPr>
          <w:sz w:val="24"/>
        </w:rPr>
        <w:t>-1</w:t>
      </w:r>
      <w:r>
        <w:rPr>
          <w:sz w:val="24"/>
        </w:rPr>
        <w:t>所示。</w:t>
      </w:r>
    </w:p>
    <w:p w:rsidR="00EE4502" w:rsidRDefault="00FD45A3">
      <w:pPr>
        <w:spacing w:line="360" w:lineRule="auto"/>
        <w:jc w:val="center"/>
        <w:rPr>
          <w:rFonts w:eastAsia="黑体"/>
          <w:szCs w:val="21"/>
        </w:rPr>
      </w:pPr>
      <w:r>
        <w:rPr>
          <w:rFonts w:eastAsia="黑体"/>
          <w:szCs w:val="21"/>
        </w:rPr>
        <w:t>表</w:t>
      </w:r>
      <w:r>
        <w:rPr>
          <w:rFonts w:eastAsia="黑体" w:hint="eastAsia"/>
          <w:szCs w:val="21"/>
        </w:rPr>
        <w:t>8-1-1</w:t>
      </w:r>
      <w:r>
        <w:rPr>
          <w:rFonts w:eastAsia="黑体"/>
          <w:szCs w:val="21"/>
        </w:rPr>
        <w:t xml:space="preserve">  </w:t>
      </w:r>
      <w:r>
        <w:rPr>
          <w:rFonts w:eastAsia="黑体" w:hint="eastAsia"/>
          <w:szCs w:val="21"/>
        </w:rPr>
        <w:t>建设项目施工期及运营期</w:t>
      </w:r>
      <w:r>
        <w:rPr>
          <w:rFonts w:eastAsia="黑体"/>
          <w:szCs w:val="21"/>
        </w:rPr>
        <w:t>主要环保措施投资估算</w:t>
      </w:r>
    </w:p>
    <w:tbl>
      <w:tblPr>
        <w:tblW w:w="5000" w:type="pct"/>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4A0" w:firstRow="1" w:lastRow="0" w:firstColumn="1" w:lastColumn="0" w:noHBand="0" w:noVBand="1"/>
      </w:tblPr>
      <w:tblGrid>
        <w:gridCol w:w="478"/>
        <w:gridCol w:w="905"/>
        <w:gridCol w:w="1174"/>
        <w:gridCol w:w="4686"/>
        <w:gridCol w:w="1119"/>
      </w:tblGrid>
      <w:tr w:rsidR="00EE4502">
        <w:trPr>
          <w:trHeight w:val="340"/>
          <w:jc w:val="center"/>
        </w:trPr>
        <w:tc>
          <w:tcPr>
            <w:tcW w:w="5000" w:type="pct"/>
            <w:gridSpan w:val="5"/>
            <w:vAlign w:val="center"/>
          </w:tcPr>
          <w:p w:rsidR="00EE4502" w:rsidRDefault="00FD45A3">
            <w:pPr>
              <w:pStyle w:val="afffffffffffff"/>
              <w:spacing w:line="240" w:lineRule="auto"/>
              <w:ind w:leftChars="0" w:left="0" w:rightChars="0" w:right="0"/>
              <w:rPr>
                <w:kern w:val="0"/>
                <w:sz w:val="21"/>
                <w:szCs w:val="21"/>
              </w:rPr>
            </w:pPr>
            <w:r>
              <w:rPr>
                <w:rFonts w:hAnsi="宋体"/>
                <w:b/>
                <w:kern w:val="0"/>
                <w:sz w:val="21"/>
                <w:szCs w:val="21"/>
              </w:rPr>
              <w:t>施工期</w:t>
            </w:r>
          </w:p>
        </w:tc>
      </w:tr>
      <w:tr w:rsidR="00EE4502">
        <w:trPr>
          <w:trHeight w:val="340"/>
          <w:jc w:val="center"/>
        </w:trPr>
        <w:tc>
          <w:tcPr>
            <w:tcW w:w="286" w:type="pct"/>
            <w:vAlign w:val="center"/>
          </w:tcPr>
          <w:p w:rsidR="00EE4502" w:rsidRDefault="00FD45A3">
            <w:pPr>
              <w:pStyle w:val="afffffffffffff"/>
              <w:spacing w:line="240" w:lineRule="auto"/>
              <w:ind w:leftChars="0" w:left="0" w:rightChars="0" w:right="0"/>
              <w:rPr>
                <w:kern w:val="0"/>
                <w:sz w:val="21"/>
                <w:szCs w:val="21"/>
              </w:rPr>
            </w:pPr>
            <w:r>
              <w:rPr>
                <w:rFonts w:hAnsi="宋体"/>
                <w:kern w:val="0"/>
                <w:sz w:val="21"/>
                <w:szCs w:val="21"/>
              </w:rPr>
              <w:t>阶段</w:t>
            </w:r>
          </w:p>
        </w:tc>
        <w:tc>
          <w:tcPr>
            <w:tcW w:w="541" w:type="pct"/>
            <w:vAlign w:val="center"/>
          </w:tcPr>
          <w:p w:rsidR="00EE4502" w:rsidRDefault="00FD45A3">
            <w:pPr>
              <w:pStyle w:val="afffffffffffff"/>
              <w:spacing w:line="240" w:lineRule="auto"/>
              <w:ind w:leftChars="0" w:left="0" w:rightChars="0" w:right="0"/>
              <w:rPr>
                <w:kern w:val="0"/>
                <w:sz w:val="21"/>
                <w:szCs w:val="21"/>
              </w:rPr>
            </w:pPr>
            <w:r>
              <w:rPr>
                <w:rFonts w:hAnsi="宋体"/>
                <w:kern w:val="0"/>
                <w:sz w:val="21"/>
                <w:szCs w:val="21"/>
              </w:rPr>
              <w:t>环境要素</w:t>
            </w:r>
          </w:p>
        </w:tc>
        <w:tc>
          <w:tcPr>
            <w:tcW w:w="702" w:type="pct"/>
            <w:vAlign w:val="center"/>
          </w:tcPr>
          <w:p w:rsidR="00EE4502" w:rsidRDefault="00FD45A3">
            <w:pPr>
              <w:pStyle w:val="afffffffffffff"/>
              <w:spacing w:line="240" w:lineRule="auto"/>
              <w:ind w:leftChars="0" w:left="0" w:rightChars="0" w:right="0"/>
              <w:rPr>
                <w:kern w:val="0"/>
                <w:sz w:val="21"/>
                <w:szCs w:val="21"/>
              </w:rPr>
            </w:pPr>
            <w:r>
              <w:rPr>
                <w:rFonts w:hAnsi="宋体"/>
                <w:kern w:val="0"/>
                <w:sz w:val="21"/>
                <w:szCs w:val="21"/>
              </w:rPr>
              <w:t>项目名称</w:t>
            </w:r>
          </w:p>
        </w:tc>
        <w:tc>
          <w:tcPr>
            <w:tcW w:w="2801" w:type="pct"/>
            <w:vAlign w:val="center"/>
          </w:tcPr>
          <w:p w:rsidR="00EE4502" w:rsidRDefault="00FD45A3">
            <w:pPr>
              <w:pStyle w:val="afffffffffffff"/>
              <w:spacing w:line="240" w:lineRule="auto"/>
              <w:ind w:leftChars="0" w:left="0" w:rightChars="0" w:right="0"/>
              <w:rPr>
                <w:kern w:val="0"/>
                <w:sz w:val="21"/>
                <w:szCs w:val="21"/>
              </w:rPr>
            </w:pPr>
            <w:r>
              <w:rPr>
                <w:rFonts w:hAnsi="宋体"/>
                <w:kern w:val="0"/>
                <w:sz w:val="21"/>
                <w:szCs w:val="21"/>
              </w:rPr>
              <w:t>环保措施</w:t>
            </w:r>
          </w:p>
        </w:tc>
        <w:tc>
          <w:tcPr>
            <w:tcW w:w="668" w:type="pct"/>
            <w:vAlign w:val="center"/>
          </w:tcPr>
          <w:p w:rsidR="00EE4502" w:rsidRDefault="00FD45A3">
            <w:pPr>
              <w:pStyle w:val="afffffffffffff"/>
              <w:spacing w:line="240" w:lineRule="auto"/>
              <w:ind w:leftChars="0" w:left="0" w:rightChars="0" w:right="0"/>
              <w:rPr>
                <w:kern w:val="0"/>
                <w:sz w:val="21"/>
                <w:szCs w:val="21"/>
              </w:rPr>
            </w:pPr>
            <w:r>
              <w:rPr>
                <w:rFonts w:hAnsi="宋体"/>
                <w:kern w:val="0"/>
                <w:sz w:val="21"/>
                <w:szCs w:val="21"/>
              </w:rPr>
              <w:t>投资（万元）</w:t>
            </w:r>
          </w:p>
        </w:tc>
      </w:tr>
      <w:tr w:rsidR="00EE4502">
        <w:trPr>
          <w:trHeight w:val="340"/>
          <w:jc w:val="center"/>
        </w:trPr>
        <w:tc>
          <w:tcPr>
            <w:tcW w:w="286" w:type="pct"/>
            <w:vMerge w:val="restart"/>
            <w:vAlign w:val="center"/>
          </w:tcPr>
          <w:p w:rsidR="00EE4502" w:rsidRDefault="00FD45A3">
            <w:pPr>
              <w:pStyle w:val="afffffffffffff"/>
              <w:spacing w:line="240" w:lineRule="auto"/>
              <w:ind w:leftChars="0" w:left="0" w:rightChars="0" w:right="0"/>
              <w:rPr>
                <w:kern w:val="0"/>
                <w:sz w:val="21"/>
                <w:szCs w:val="21"/>
              </w:rPr>
            </w:pPr>
            <w:r>
              <w:rPr>
                <w:rFonts w:hAnsi="宋体"/>
                <w:kern w:val="0"/>
                <w:sz w:val="21"/>
                <w:szCs w:val="21"/>
              </w:rPr>
              <w:t>施</w:t>
            </w:r>
          </w:p>
          <w:p w:rsidR="00EE4502" w:rsidRDefault="00FD45A3">
            <w:pPr>
              <w:pStyle w:val="afffffffffffff"/>
              <w:spacing w:line="240" w:lineRule="auto"/>
              <w:ind w:leftChars="0" w:left="0" w:rightChars="0" w:right="0"/>
              <w:rPr>
                <w:kern w:val="0"/>
                <w:sz w:val="21"/>
                <w:szCs w:val="21"/>
              </w:rPr>
            </w:pPr>
            <w:r>
              <w:rPr>
                <w:rFonts w:hAnsi="宋体"/>
                <w:kern w:val="0"/>
                <w:sz w:val="21"/>
                <w:szCs w:val="21"/>
              </w:rPr>
              <w:t>工</w:t>
            </w:r>
          </w:p>
          <w:p w:rsidR="00EE4502" w:rsidRDefault="00FD45A3">
            <w:pPr>
              <w:pStyle w:val="afffffffffffff"/>
              <w:spacing w:line="240" w:lineRule="auto"/>
              <w:ind w:leftChars="0" w:left="0" w:rightChars="0" w:right="0"/>
              <w:rPr>
                <w:kern w:val="0"/>
                <w:sz w:val="21"/>
                <w:szCs w:val="21"/>
              </w:rPr>
            </w:pPr>
            <w:r>
              <w:rPr>
                <w:rFonts w:hAnsi="宋体"/>
                <w:kern w:val="0"/>
                <w:sz w:val="21"/>
                <w:szCs w:val="21"/>
              </w:rPr>
              <w:t>期</w:t>
            </w:r>
          </w:p>
        </w:tc>
        <w:tc>
          <w:tcPr>
            <w:tcW w:w="541" w:type="pct"/>
            <w:vAlign w:val="center"/>
          </w:tcPr>
          <w:p w:rsidR="00EE4502" w:rsidRDefault="00FD45A3">
            <w:pPr>
              <w:pStyle w:val="afffffffffffff"/>
              <w:spacing w:line="240" w:lineRule="auto"/>
              <w:ind w:leftChars="0" w:left="0" w:rightChars="0" w:right="0"/>
              <w:rPr>
                <w:kern w:val="0"/>
                <w:sz w:val="21"/>
                <w:szCs w:val="21"/>
              </w:rPr>
            </w:pPr>
            <w:r>
              <w:rPr>
                <w:rFonts w:hAnsi="宋体"/>
                <w:kern w:val="0"/>
                <w:sz w:val="21"/>
                <w:szCs w:val="21"/>
              </w:rPr>
              <w:t>生态</w:t>
            </w:r>
          </w:p>
          <w:p w:rsidR="00EE4502" w:rsidRDefault="00FD45A3">
            <w:pPr>
              <w:pStyle w:val="afffffffffffff"/>
              <w:spacing w:line="240" w:lineRule="auto"/>
              <w:ind w:leftChars="0" w:left="0" w:rightChars="0" w:right="0"/>
              <w:rPr>
                <w:kern w:val="0"/>
                <w:sz w:val="21"/>
                <w:szCs w:val="21"/>
              </w:rPr>
            </w:pPr>
            <w:r>
              <w:rPr>
                <w:rFonts w:hAnsi="宋体"/>
                <w:kern w:val="0"/>
                <w:sz w:val="21"/>
                <w:szCs w:val="21"/>
              </w:rPr>
              <w:t>环境</w:t>
            </w:r>
          </w:p>
        </w:tc>
        <w:tc>
          <w:tcPr>
            <w:tcW w:w="702" w:type="pct"/>
            <w:vAlign w:val="center"/>
          </w:tcPr>
          <w:p w:rsidR="00EE4502" w:rsidRDefault="00FD45A3">
            <w:pPr>
              <w:pStyle w:val="afffffffffffff"/>
              <w:spacing w:line="240" w:lineRule="auto"/>
              <w:ind w:leftChars="0" w:left="0" w:rightChars="0" w:right="0"/>
              <w:rPr>
                <w:kern w:val="0"/>
                <w:sz w:val="21"/>
                <w:szCs w:val="21"/>
              </w:rPr>
            </w:pPr>
            <w:r>
              <w:rPr>
                <w:rFonts w:hAnsi="宋体" w:hint="eastAsia"/>
                <w:kern w:val="0"/>
                <w:sz w:val="21"/>
                <w:szCs w:val="21"/>
              </w:rPr>
              <w:t>生态恢复与水土保持</w:t>
            </w:r>
          </w:p>
        </w:tc>
        <w:tc>
          <w:tcPr>
            <w:tcW w:w="2801" w:type="pct"/>
            <w:vAlign w:val="center"/>
          </w:tcPr>
          <w:p w:rsidR="00EE4502" w:rsidRDefault="00FD45A3">
            <w:pPr>
              <w:pStyle w:val="afffffffffffff"/>
              <w:spacing w:line="240" w:lineRule="auto"/>
              <w:ind w:leftChars="0" w:left="0" w:rightChars="0" w:right="0"/>
              <w:rPr>
                <w:kern w:val="0"/>
                <w:sz w:val="21"/>
                <w:szCs w:val="21"/>
              </w:rPr>
            </w:pPr>
            <w:r>
              <w:rPr>
                <w:rFonts w:hAnsi="宋体"/>
                <w:kern w:val="0"/>
                <w:sz w:val="21"/>
                <w:szCs w:val="21"/>
              </w:rPr>
              <w:t>加强对占地区域表层土保护，采用先收集</w:t>
            </w:r>
            <w:r>
              <w:rPr>
                <w:kern w:val="0"/>
                <w:sz w:val="21"/>
                <w:szCs w:val="21"/>
              </w:rPr>
              <w:t>--</w:t>
            </w:r>
            <w:r>
              <w:rPr>
                <w:rFonts w:hAnsi="宋体"/>
                <w:kern w:val="0"/>
                <w:sz w:val="21"/>
                <w:szCs w:val="21"/>
              </w:rPr>
              <w:t>临时存放</w:t>
            </w:r>
            <w:r>
              <w:rPr>
                <w:kern w:val="0"/>
                <w:sz w:val="21"/>
                <w:szCs w:val="21"/>
              </w:rPr>
              <w:t>--</w:t>
            </w:r>
            <w:r>
              <w:rPr>
                <w:rFonts w:hAnsi="宋体"/>
                <w:kern w:val="0"/>
                <w:sz w:val="21"/>
                <w:szCs w:val="21"/>
              </w:rPr>
              <w:t>施工结束后再覆盖</w:t>
            </w:r>
            <w:r>
              <w:rPr>
                <w:kern w:val="0"/>
                <w:sz w:val="21"/>
                <w:szCs w:val="21"/>
              </w:rPr>
              <w:t>--</w:t>
            </w:r>
            <w:r>
              <w:rPr>
                <w:rFonts w:hAnsi="宋体"/>
                <w:kern w:val="0"/>
                <w:sz w:val="21"/>
                <w:szCs w:val="21"/>
              </w:rPr>
              <w:t>洒水的方式。完工后迹地清理并平整压实、临时占地释放后植被和土壤的恢复</w:t>
            </w:r>
          </w:p>
        </w:tc>
        <w:tc>
          <w:tcPr>
            <w:tcW w:w="668" w:type="pct"/>
            <w:vAlign w:val="center"/>
          </w:tcPr>
          <w:p w:rsidR="00EE4502" w:rsidRDefault="00FD45A3">
            <w:pPr>
              <w:pStyle w:val="afffffffffffff"/>
              <w:spacing w:line="240" w:lineRule="auto"/>
              <w:ind w:leftChars="0" w:left="0" w:rightChars="0" w:right="0"/>
              <w:rPr>
                <w:kern w:val="0"/>
                <w:sz w:val="21"/>
                <w:szCs w:val="21"/>
              </w:rPr>
            </w:pPr>
            <w:r>
              <w:rPr>
                <w:rFonts w:hint="eastAsia"/>
                <w:kern w:val="0"/>
                <w:sz w:val="21"/>
                <w:szCs w:val="21"/>
              </w:rPr>
              <w:t>80</w:t>
            </w:r>
          </w:p>
        </w:tc>
      </w:tr>
      <w:tr w:rsidR="00EE4502">
        <w:trPr>
          <w:trHeight w:val="340"/>
          <w:jc w:val="center"/>
        </w:trPr>
        <w:tc>
          <w:tcPr>
            <w:tcW w:w="286" w:type="pct"/>
            <w:vMerge/>
            <w:vAlign w:val="center"/>
          </w:tcPr>
          <w:p w:rsidR="00EE4502" w:rsidRDefault="00EE4502">
            <w:pPr>
              <w:pStyle w:val="afffffffffffff"/>
              <w:spacing w:line="240" w:lineRule="auto"/>
              <w:ind w:leftChars="0" w:left="0" w:rightChars="0" w:right="0"/>
              <w:rPr>
                <w:kern w:val="0"/>
                <w:sz w:val="21"/>
                <w:szCs w:val="21"/>
              </w:rPr>
            </w:pPr>
          </w:p>
        </w:tc>
        <w:tc>
          <w:tcPr>
            <w:tcW w:w="541" w:type="pct"/>
            <w:vMerge w:val="restart"/>
            <w:vAlign w:val="center"/>
          </w:tcPr>
          <w:p w:rsidR="00EE4502" w:rsidRDefault="00FD45A3">
            <w:pPr>
              <w:pStyle w:val="afffffffffffff"/>
              <w:spacing w:line="240" w:lineRule="auto"/>
              <w:ind w:leftChars="0" w:left="0" w:rightChars="0" w:right="0"/>
              <w:rPr>
                <w:kern w:val="0"/>
                <w:sz w:val="21"/>
                <w:szCs w:val="21"/>
              </w:rPr>
            </w:pPr>
            <w:r>
              <w:rPr>
                <w:rFonts w:hAnsi="宋体"/>
                <w:kern w:val="0"/>
                <w:sz w:val="21"/>
                <w:szCs w:val="21"/>
              </w:rPr>
              <w:t>废气</w:t>
            </w:r>
          </w:p>
        </w:tc>
        <w:tc>
          <w:tcPr>
            <w:tcW w:w="702" w:type="pct"/>
            <w:vAlign w:val="center"/>
          </w:tcPr>
          <w:p w:rsidR="00EE4502" w:rsidRDefault="00FD45A3">
            <w:pPr>
              <w:pStyle w:val="afffffffffffff"/>
              <w:spacing w:line="240" w:lineRule="auto"/>
              <w:ind w:leftChars="0" w:left="0" w:rightChars="0" w:right="0"/>
              <w:rPr>
                <w:kern w:val="0"/>
                <w:sz w:val="21"/>
                <w:szCs w:val="21"/>
              </w:rPr>
            </w:pPr>
            <w:r>
              <w:rPr>
                <w:rFonts w:hAnsi="宋体"/>
                <w:kern w:val="0"/>
                <w:sz w:val="21"/>
                <w:szCs w:val="21"/>
              </w:rPr>
              <w:t>场站和管线施工产生的施工扬尘</w:t>
            </w:r>
          </w:p>
        </w:tc>
        <w:tc>
          <w:tcPr>
            <w:tcW w:w="2801" w:type="pct"/>
            <w:vAlign w:val="center"/>
          </w:tcPr>
          <w:p w:rsidR="00EE4502" w:rsidRDefault="00FD45A3">
            <w:pPr>
              <w:pStyle w:val="afffffffffffff"/>
              <w:spacing w:line="240" w:lineRule="auto"/>
              <w:ind w:leftChars="0" w:left="0" w:rightChars="0" w:right="0"/>
              <w:rPr>
                <w:kern w:val="0"/>
                <w:sz w:val="21"/>
                <w:szCs w:val="21"/>
              </w:rPr>
            </w:pPr>
            <w:r>
              <w:rPr>
                <w:rFonts w:hAnsi="宋体"/>
                <w:kern w:val="0"/>
                <w:sz w:val="21"/>
                <w:szCs w:val="21"/>
              </w:rPr>
              <w:t>运输车辆应加盖篷布，临时土方覆盖，防尘布（或网），逸散性材料运输采用苫布遮盖</w:t>
            </w:r>
          </w:p>
        </w:tc>
        <w:tc>
          <w:tcPr>
            <w:tcW w:w="668" w:type="pct"/>
            <w:vAlign w:val="center"/>
          </w:tcPr>
          <w:p w:rsidR="00EE4502" w:rsidRDefault="00FD45A3">
            <w:pPr>
              <w:pStyle w:val="afffffffffffff"/>
              <w:spacing w:line="240" w:lineRule="auto"/>
              <w:ind w:leftChars="0" w:left="0" w:rightChars="0" w:right="0"/>
              <w:rPr>
                <w:kern w:val="0"/>
                <w:sz w:val="21"/>
                <w:szCs w:val="21"/>
              </w:rPr>
            </w:pPr>
            <w:r>
              <w:rPr>
                <w:rFonts w:hint="eastAsia"/>
                <w:kern w:val="0"/>
                <w:sz w:val="21"/>
                <w:szCs w:val="21"/>
              </w:rPr>
              <w:t>5</w:t>
            </w:r>
          </w:p>
        </w:tc>
      </w:tr>
      <w:tr w:rsidR="00EE4502">
        <w:trPr>
          <w:trHeight w:val="340"/>
          <w:jc w:val="center"/>
        </w:trPr>
        <w:tc>
          <w:tcPr>
            <w:tcW w:w="286" w:type="pct"/>
            <w:vMerge/>
            <w:vAlign w:val="center"/>
          </w:tcPr>
          <w:p w:rsidR="00EE4502" w:rsidRDefault="00EE4502">
            <w:pPr>
              <w:pStyle w:val="afffffffffffff"/>
              <w:spacing w:line="240" w:lineRule="auto"/>
              <w:ind w:leftChars="0" w:left="0" w:rightChars="0" w:right="0"/>
              <w:rPr>
                <w:kern w:val="0"/>
                <w:sz w:val="21"/>
                <w:szCs w:val="21"/>
              </w:rPr>
            </w:pPr>
          </w:p>
        </w:tc>
        <w:tc>
          <w:tcPr>
            <w:tcW w:w="541" w:type="pct"/>
            <w:vMerge/>
            <w:vAlign w:val="center"/>
          </w:tcPr>
          <w:p w:rsidR="00EE4502" w:rsidRDefault="00EE4502">
            <w:pPr>
              <w:pStyle w:val="afffffffffffff"/>
              <w:spacing w:line="240" w:lineRule="auto"/>
              <w:ind w:leftChars="0" w:left="0" w:rightChars="0" w:right="0"/>
              <w:rPr>
                <w:rFonts w:hAnsi="宋体"/>
                <w:kern w:val="0"/>
                <w:sz w:val="21"/>
                <w:szCs w:val="21"/>
              </w:rPr>
            </w:pPr>
          </w:p>
        </w:tc>
        <w:tc>
          <w:tcPr>
            <w:tcW w:w="702" w:type="pct"/>
            <w:vAlign w:val="center"/>
          </w:tcPr>
          <w:p w:rsidR="00EE4502" w:rsidRDefault="00FD45A3">
            <w:pPr>
              <w:pStyle w:val="afffffffffffff"/>
              <w:spacing w:line="240" w:lineRule="auto"/>
              <w:ind w:leftChars="0" w:left="0" w:rightChars="0" w:right="0"/>
              <w:rPr>
                <w:rFonts w:hAnsi="宋体"/>
                <w:kern w:val="0"/>
                <w:sz w:val="21"/>
                <w:szCs w:val="21"/>
              </w:rPr>
            </w:pPr>
            <w:r>
              <w:rPr>
                <w:rFonts w:hAnsi="宋体" w:hint="eastAsia"/>
                <w:kern w:val="0"/>
                <w:sz w:val="21"/>
                <w:szCs w:val="21"/>
              </w:rPr>
              <w:t>施工机械尾气</w:t>
            </w:r>
          </w:p>
        </w:tc>
        <w:tc>
          <w:tcPr>
            <w:tcW w:w="2801" w:type="pct"/>
            <w:vAlign w:val="center"/>
          </w:tcPr>
          <w:p w:rsidR="00EE4502" w:rsidRDefault="00FD45A3">
            <w:pPr>
              <w:pStyle w:val="afffffffffffff"/>
              <w:spacing w:line="240" w:lineRule="auto"/>
              <w:ind w:leftChars="0" w:left="0" w:rightChars="0" w:right="0"/>
              <w:rPr>
                <w:rFonts w:hAnsi="宋体"/>
                <w:kern w:val="0"/>
                <w:sz w:val="21"/>
                <w:szCs w:val="21"/>
              </w:rPr>
            </w:pPr>
            <w:r>
              <w:rPr>
                <w:rFonts w:hAnsi="宋体" w:hint="eastAsia"/>
                <w:kern w:val="0"/>
                <w:sz w:val="21"/>
                <w:szCs w:val="21"/>
              </w:rPr>
              <w:t>使用达标油品，加强设备维护</w:t>
            </w:r>
          </w:p>
        </w:tc>
        <w:tc>
          <w:tcPr>
            <w:tcW w:w="668" w:type="pct"/>
            <w:vAlign w:val="center"/>
          </w:tcPr>
          <w:p w:rsidR="00EE4502" w:rsidRDefault="00FD45A3">
            <w:pPr>
              <w:pStyle w:val="afffffffffffff"/>
              <w:spacing w:line="240" w:lineRule="auto"/>
              <w:ind w:leftChars="0" w:left="0" w:rightChars="0" w:right="0"/>
              <w:rPr>
                <w:kern w:val="0"/>
                <w:sz w:val="21"/>
                <w:szCs w:val="21"/>
              </w:rPr>
            </w:pPr>
            <w:r>
              <w:rPr>
                <w:rFonts w:hint="eastAsia"/>
                <w:kern w:val="0"/>
                <w:sz w:val="21"/>
                <w:szCs w:val="21"/>
              </w:rPr>
              <w:t>5</w:t>
            </w:r>
          </w:p>
        </w:tc>
      </w:tr>
      <w:tr w:rsidR="00EE4502">
        <w:trPr>
          <w:trHeight w:val="340"/>
          <w:jc w:val="center"/>
        </w:trPr>
        <w:tc>
          <w:tcPr>
            <w:tcW w:w="286" w:type="pct"/>
            <w:vMerge/>
            <w:vAlign w:val="center"/>
          </w:tcPr>
          <w:p w:rsidR="00EE4502" w:rsidRDefault="00EE4502">
            <w:pPr>
              <w:pStyle w:val="afffffffffffff"/>
              <w:spacing w:line="240" w:lineRule="auto"/>
              <w:ind w:leftChars="0" w:left="0" w:rightChars="0" w:right="0"/>
              <w:rPr>
                <w:kern w:val="0"/>
                <w:sz w:val="21"/>
                <w:szCs w:val="21"/>
              </w:rPr>
            </w:pPr>
          </w:p>
        </w:tc>
        <w:tc>
          <w:tcPr>
            <w:tcW w:w="541" w:type="pct"/>
            <w:vAlign w:val="center"/>
          </w:tcPr>
          <w:p w:rsidR="00EE4502" w:rsidRDefault="00FD45A3">
            <w:pPr>
              <w:pStyle w:val="affff0"/>
              <w:adjustRightInd/>
              <w:spacing w:before="0" w:after="0"/>
              <w:rPr>
                <w:rFonts w:ascii="Times New Roman"/>
                <w:color w:val="auto"/>
                <w:spacing w:val="0"/>
                <w:szCs w:val="21"/>
              </w:rPr>
            </w:pPr>
            <w:r>
              <w:rPr>
                <w:rFonts w:ascii="Times New Roman" w:hAnsi="宋体"/>
                <w:color w:val="auto"/>
                <w:spacing w:val="0"/>
                <w:szCs w:val="21"/>
              </w:rPr>
              <w:t>废水</w:t>
            </w:r>
          </w:p>
        </w:tc>
        <w:tc>
          <w:tcPr>
            <w:tcW w:w="702" w:type="pct"/>
            <w:vAlign w:val="center"/>
          </w:tcPr>
          <w:p w:rsidR="00EE4502" w:rsidRDefault="00FD45A3">
            <w:pPr>
              <w:pStyle w:val="affff0"/>
              <w:adjustRightInd/>
              <w:spacing w:before="0" w:after="0"/>
              <w:rPr>
                <w:rFonts w:ascii="Times New Roman"/>
                <w:color w:val="auto"/>
                <w:spacing w:val="0"/>
                <w:szCs w:val="21"/>
              </w:rPr>
            </w:pPr>
            <w:r>
              <w:rPr>
                <w:rFonts w:ascii="Times New Roman" w:hAnsi="宋体"/>
                <w:color w:val="auto"/>
                <w:spacing w:val="0"/>
                <w:szCs w:val="21"/>
              </w:rPr>
              <w:t>钻井废水</w:t>
            </w:r>
          </w:p>
        </w:tc>
        <w:tc>
          <w:tcPr>
            <w:tcW w:w="2801" w:type="pct"/>
            <w:vAlign w:val="center"/>
          </w:tcPr>
          <w:p w:rsidR="00EE4502" w:rsidRDefault="00FD45A3">
            <w:pPr>
              <w:pStyle w:val="afffffffffffff"/>
              <w:spacing w:line="240" w:lineRule="auto"/>
              <w:ind w:leftChars="0" w:left="0" w:rightChars="0" w:right="0"/>
              <w:rPr>
                <w:rFonts w:hAnsi="宋体"/>
                <w:kern w:val="0"/>
                <w:sz w:val="21"/>
                <w:szCs w:val="21"/>
              </w:rPr>
            </w:pPr>
            <w:r>
              <w:rPr>
                <w:rFonts w:hAnsi="宋体"/>
                <w:kern w:val="0"/>
                <w:sz w:val="21"/>
                <w:szCs w:val="21"/>
              </w:rPr>
              <w:t>采用</w:t>
            </w:r>
            <w:r>
              <w:rPr>
                <w:rFonts w:hAnsi="宋体"/>
                <w:kern w:val="0"/>
                <w:sz w:val="21"/>
                <w:szCs w:val="21"/>
              </w:rPr>
              <w:t>“</w:t>
            </w:r>
            <w:r>
              <w:rPr>
                <w:rFonts w:hAnsi="宋体"/>
                <w:kern w:val="0"/>
                <w:sz w:val="21"/>
                <w:szCs w:val="21"/>
              </w:rPr>
              <w:t>钻井废弃物不落地工艺</w:t>
            </w:r>
            <w:r>
              <w:rPr>
                <w:rFonts w:hAnsi="宋体"/>
                <w:kern w:val="0"/>
                <w:sz w:val="21"/>
                <w:szCs w:val="21"/>
              </w:rPr>
              <w:t>”</w:t>
            </w:r>
            <w:r>
              <w:rPr>
                <w:rFonts w:hAnsi="宋体"/>
                <w:kern w:val="0"/>
                <w:sz w:val="21"/>
                <w:szCs w:val="21"/>
              </w:rPr>
              <w:t>，钻井废水由</w:t>
            </w:r>
            <w:r>
              <w:rPr>
                <w:rFonts w:hAnsi="宋体" w:hint="eastAsia"/>
                <w:kern w:val="0"/>
                <w:sz w:val="21"/>
                <w:szCs w:val="21"/>
              </w:rPr>
              <w:t>克拉玛依前山石油工程服务有限公司</w:t>
            </w:r>
            <w:r>
              <w:rPr>
                <w:rFonts w:hAnsi="宋体"/>
                <w:kern w:val="0"/>
                <w:sz w:val="21"/>
                <w:szCs w:val="21"/>
              </w:rPr>
              <w:t>进行循环利用。</w:t>
            </w:r>
          </w:p>
        </w:tc>
        <w:tc>
          <w:tcPr>
            <w:tcW w:w="668" w:type="pct"/>
            <w:vAlign w:val="center"/>
          </w:tcPr>
          <w:p w:rsidR="00EE4502" w:rsidRDefault="00FD45A3">
            <w:pPr>
              <w:pStyle w:val="afffffffffffff"/>
              <w:spacing w:line="240" w:lineRule="auto"/>
              <w:ind w:leftChars="0" w:left="0" w:rightChars="0" w:right="0"/>
              <w:rPr>
                <w:kern w:val="0"/>
                <w:sz w:val="21"/>
                <w:szCs w:val="21"/>
              </w:rPr>
            </w:pPr>
            <w:r>
              <w:rPr>
                <w:rFonts w:hint="eastAsia"/>
                <w:sz w:val="21"/>
                <w:szCs w:val="21"/>
              </w:rPr>
              <w:t>15</w:t>
            </w:r>
          </w:p>
        </w:tc>
      </w:tr>
      <w:tr w:rsidR="00EE4502">
        <w:trPr>
          <w:trHeight w:val="340"/>
          <w:jc w:val="center"/>
        </w:trPr>
        <w:tc>
          <w:tcPr>
            <w:tcW w:w="286" w:type="pct"/>
            <w:vMerge/>
            <w:vAlign w:val="center"/>
          </w:tcPr>
          <w:p w:rsidR="00EE4502" w:rsidRDefault="00EE4502">
            <w:pPr>
              <w:pStyle w:val="afffffffffffff"/>
              <w:spacing w:line="240" w:lineRule="auto"/>
              <w:ind w:leftChars="0" w:left="0" w:rightChars="0" w:right="0"/>
              <w:rPr>
                <w:kern w:val="0"/>
                <w:sz w:val="21"/>
                <w:szCs w:val="21"/>
              </w:rPr>
            </w:pPr>
          </w:p>
        </w:tc>
        <w:tc>
          <w:tcPr>
            <w:tcW w:w="541" w:type="pct"/>
            <w:vMerge w:val="restart"/>
            <w:vAlign w:val="center"/>
          </w:tcPr>
          <w:p w:rsidR="00EE4502" w:rsidRDefault="00FD45A3">
            <w:pPr>
              <w:pStyle w:val="afffffffffffff"/>
              <w:spacing w:line="240" w:lineRule="auto"/>
              <w:ind w:leftChars="0" w:left="0" w:rightChars="0" w:right="0"/>
              <w:rPr>
                <w:kern w:val="0"/>
                <w:sz w:val="21"/>
                <w:szCs w:val="21"/>
              </w:rPr>
            </w:pPr>
            <w:r>
              <w:rPr>
                <w:rFonts w:hAnsi="宋体"/>
                <w:kern w:val="0"/>
                <w:sz w:val="21"/>
                <w:szCs w:val="21"/>
              </w:rPr>
              <w:t>固废</w:t>
            </w:r>
          </w:p>
        </w:tc>
        <w:tc>
          <w:tcPr>
            <w:tcW w:w="702" w:type="pct"/>
            <w:vAlign w:val="center"/>
          </w:tcPr>
          <w:p w:rsidR="00EE4502" w:rsidRDefault="00FD45A3">
            <w:pPr>
              <w:pStyle w:val="afffffffffffff"/>
              <w:spacing w:line="240" w:lineRule="auto"/>
              <w:ind w:leftChars="0" w:left="0" w:rightChars="0" w:right="0"/>
              <w:rPr>
                <w:kern w:val="0"/>
                <w:sz w:val="21"/>
                <w:szCs w:val="21"/>
              </w:rPr>
            </w:pPr>
            <w:r>
              <w:rPr>
                <w:rFonts w:hAnsi="宋体" w:hint="eastAsia"/>
                <w:kern w:val="0"/>
                <w:sz w:val="21"/>
                <w:szCs w:val="21"/>
              </w:rPr>
              <w:t>废弃泥浆和</w:t>
            </w:r>
            <w:r>
              <w:rPr>
                <w:rFonts w:hAnsi="宋体"/>
                <w:kern w:val="0"/>
                <w:sz w:val="21"/>
                <w:szCs w:val="21"/>
              </w:rPr>
              <w:lastRenderedPageBreak/>
              <w:t>钻井岩屑</w:t>
            </w:r>
          </w:p>
        </w:tc>
        <w:tc>
          <w:tcPr>
            <w:tcW w:w="2801" w:type="pct"/>
            <w:vAlign w:val="center"/>
          </w:tcPr>
          <w:p w:rsidR="00EE4502" w:rsidRDefault="00FD45A3">
            <w:pPr>
              <w:pStyle w:val="afffffffffffff"/>
              <w:spacing w:line="240" w:lineRule="auto"/>
              <w:ind w:leftChars="0" w:left="0" w:rightChars="0" w:right="0"/>
              <w:rPr>
                <w:rFonts w:hAnsi="宋体"/>
                <w:kern w:val="0"/>
                <w:sz w:val="21"/>
                <w:szCs w:val="21"/>
              </w:rPr>
            </w:pPr>
            <w:r>
              <w:rPr>
                <w:rFonts w:hAnsi="宋体"/>
                <w:kern w:val="0"/>
                <w:sz w:val="21"/>
                <w:szCs w:val="21"/>
              </w:rPr>
              <w:lastRenderedPageBreak/>
              <w:t>泥浆不落地系统</w:t>
            </w:r>
          </w:p>
        </w:tc>
        <w:tc>
          <w:tcPr>
            <w:tcW w:w="668" w:type="pct"/>
            <w:vAlign w:val="center"/>
          </w:tcPr>
          <w:p w:rsidR="00EE4502" w:rsidRDefault="00FD45A3">
            <w:pPr>
              <w:pStyle w:val="afffffffffffff"/>
              <w:spacing w:line="240" w:lineRule="auto"/>
              <w:ind w:leftChars="0" w:left="0" w:rightChars="0" w:right="0"/>
              <w:rPr>
                <w:kern w:val="0"/>
                <w:sz w:val="21"/>
                <w:szCs w:val="21"/>
              </w:rPr>
            </w:pPr>
            <w:r>
              <w:rPr>
                <w:rFonts w:hint="eastAsia"/>
                <w:kern w:val="0"/>
                <w:sz w:val="21"/>
                <w:szCs w:val="21"/>
              </w:rPr>
              <w:t>720</w:t>
            </w:r>
          </w:p>
        </w:tc>
      </w:tr>
      <w:tr w:rsidR="00EE4502">
        <w:trPr>
          <w:trHeight w:val="340"/>
          <w:jc w:val="center"/>
        </w:trPr>
        <w:tc>
          <w:tcPr>
            <w:tcW w:w="286" w:type="pct"/>
            <w:vMerge/>
            <w:vAlign w:val="center"/>
          </w:tcPr>
          <w:p w:rsidR="00EE4502" w:rsidRDefault="00EE4502">
            <w:pPr>
              <w:pStyle w:val="afffffffffffff"/>
              <w:spacing w:line="240" w:lineRule="auto"/>
              <w:ind w:leftChars="0" w:left="0" w:rightChars="0" w:right="0"/>
              <w:rPr>
                <w:kern w:val="0"/>
                <w:sz w:val="21"/>
                <w:szCs w:val="21"/>
              </w:rPr>
            </w:pPr>
          </w:p>
        </w:tc>
        <w:tc>
          <w:tcPr>
            <w:tcW w:w="541" w:type="pct"/>
            <w:vMerge/>
            <w:vAlign w:val="center"/>
          </w:tcPr>
          <w:p w:rsidR="00EE4502" w:rsidRDefault="00EE4502">
            <w:pPr>
              <w:pStyle w:val="afffffffffffff"/>
              <w:spacing w:line="240" w:lineRule="auto"/>
              <w:ind w:leftChars="0" w:left="0" w:rightChars="0" w:right="0"/>
              <w:rPr>
                <w:rFonts w:hAnsi="宋体"/>
                <w:kern w:val="0"/>
                <w:sz w:val="21"/>
                <w:szCs w:val="21"/>
              </w:rPr>
            </w:pPr>
          </w:p>
        </w:tc>
        <w:tc>
          <w:tcPr>
            <w:tcW w:w="702" w:type="pct"/>
            <w:vAlign w:val="center"/>
          </w:tcPr>
          <w:p w:rsidR="00EE4502" w:rsidRDefault="00FD45A3">
            <w:pPr>
              <w:spacing w:line="280" w:lineRule="exact"/>
              <w:jc w:val="center"/>
              <w:rPr>
                <w:rFonts w:hAnsi="宋体"/>
                <w:kern w:val="0"/>
                <w:szCs w:val="21"/>
              </w:rPr>
            </w:pPr>
            <w:r>
              <w:rPr>
                <w:bCs/>
                <w:szCs w:val="21"/>
              </w:rPr>
              <w:t>废机油</w:t>
            </w:r>
            <w:r>
              <w:rPr>
                <w:rFonts w:hint="eastAsia"/>
                <w:bCs/>
                <w:szCs w:val="21"/>
              </w:rPr>
              <w:t>、废烧碱包装袋</w:t>
            </w:r>
          </w:p>
        </w:tc>
        <w:tc>
          <w:tcPr>
            <w:tcW w:w="2801" w:type="pct"/>
            <w:vAlign w:val="center"/>
          </w:tcPr>
          <w:p w:rsidR="00EE4502" w:rsidRDefault="00FD45A3">
            <w:pPr>
              <w:spacing w:line="280" w:lineRule="exact"/>
              <w:jc w:val="center"/>
              <w:rPr>
                <w:rFonts w:hAnsi="宋体"/>
                <w:kern w:val="0"/>
                <w:szCs w:val="21"/>
              </w:rPr>
            </w:pPr>
            <w:r>
              <w:rPr>
                <w:bCs/>
                <w:szCs w:val="21"/>
              </w:rPr>
              <w:t>分类收集后交由有资质的单位进行处置</w:t>
            </w:r>
          </w:p>
        </w:tc>
        <w:tc>
          <w:tcPr>
            <w:tcW w:w="668" w:type="pct"/>
            <w:vAlign w:val="center"/>
          </w:tcPr>
          <w:p w:rsidR="00EE4502" w:rsidRDefault="00FD45A3">
            <w:pPr>
              <w:spacing w:line="280" w:lineRule="exact"/>
              <w:jc w:val="center"/>
              <w:rPr>
                <w:kern w:val="0"/>
                <w:szCs w:val="21"/>
              </w:rPr>
            </w:pPr>
            <w:r>
              <w:rPr>
                <w:rFonts w:hint="eastAsia"/>
                <w:szCs w:val="21"/>
              </w:rPr>
              <w:t>10</w:t>
            </w:r>
          </w:p>
        </w:tc>
      </w:tr>
      <w:tr w:rsidR="00EE4502">
        <w:trPr>
          <w:trHeight w:val="340"/>
          <w:jc w:val="center"/>
        </w:trPr>
        <w:tc>
          <w:tcPr>
            <w:tcW w:w="286" w:type="pct"/>
            <w:vMerge/>
            <w:vAlign w:val="center"/>
          </w:tcPr>
          <w:p w:rsidR="00EE4502" w:rsidRDefault="00EE4502">
            <w:pPr>
              <w:pStyle w:val="afffffffffffff"/>
              <w:spacing w:line="240" w:lineRule="auto"/>
              <w:ind w:leftChars="0" w:left="0" w:rightChars="0" w:right="0"/>
              <w:rPr>
                <w:kern w:val="0"/>
                <w:sz w:val="21"/>
                <w:szCs w:val="21"/>
              </w:rPr>
            </w:pPr>
          </w:p>
        </w:tc>
        <w:tc>
          <w:tcPr>
            <w:tcW w:w="541" w:type="pct"/>
            <w:vMerge/>
            <w:vAlign w:val="center"/>
          </w:tcPr>
          <w:p w:rsidR="00EE4502" w:rsidRDefault="00EE4502">
            <w:pPr>
              <w:pStyle w:val="afffffffffffff"/>
              <w:spacing w:line="240" w:lineRule="auto"/>
              <w:ind w:leftChars="0" w:left="0" w:rightChars="0" w:right="0"/>
              <w:rPr>
                <w:kern w:val="0"/>
                <w:sz w:val="21"/>
                <w:szCs w:val="21"/>
              </w:rPr>
            </w:pPr>
          </w:p>
        </w:tc>
        <w:tc>
          <w:tcPr>
            <w:tcW w:w="702" w:type="pct"/>
            <w:vAlign w:val="center"/>
          </w:tcPr>
          <w:p w:rsidR="00EE4502" w:rsidRDefault="00FD45A3">
            <w:pPr>
              <w:pStyle w:val="afffffffffffff"/>
              <w:spacing w:line="240" w:lineRule="auto"/>
              <w:ind w:leftChars="0" w:left="0" w:rightChars="0" w:right="0"/>
              <w:rPr>
                <w:kern w:val="0"/>
                <w:sz w:val="21"/>
                <w:szCs w:val="21"/>
              </w:rPr>
            </w:pPr>
            <w:r>
              <w:rPr>
                <w:rFonts w:hAnsi="宋体" w:hint="eastAsia"/>
                <w:kern w:val="0"/>
                <w:sz w:val="21"/>
                <w:szCs w:val="21"/>
              </w:rPr>
              <w:t>焊接及吹扫废渣、设备废弃包装</w:t>
            </w:r>
          </w:p>
        </w:tc>
        <w:tc>
          <w:tcPr>
            <w:tcW w:w="2801" w:type="pct"/>
            <w:vAlign w:val="center"/>
          </w:tcPr>
          <w:p w:rsidR="00EE4502" w:rsidRDefault="00FD45A3">
            <w:pPr>
              <w:pStyle w:val="afffffffffffff"/>
              <w:spacing w:line="240" w:lineRule="auto"/>
              <w:ind w:leftChars="0" w:left="0" w:rightChars="0" w:right="0"/>
              <w:rPr>
                <w:rFonts w:hAnsi="宋体"/>
                <w:kern w:val="0"/>
                <w:sz w:val="21"/>
                <w:szCs w:val="21"/>
              </w:rPr>
            </w:pPr>
            <w:r>
              <w:rPr>
                <w:rFonts w:hAnsi="宋体"/>
                <w:kern w:val="0"/>
                <w:sz w:val="21"/>
                <w:szCs w:val="21"/>
              </w:rPr>
              <w:t>送至当地一般固废填埋场填埋处理</w:t>
            </w:r>
          </w:p>
        </w:tc>
        <w:tc>
          <w:tcPr>
            <w:tcW w:w="668" w:type="pct"/>
            <w:vAlign w:val="center"/>
          </w:tcPr>
          <w:p w:rsidR="00EE4502" w:rsidRDefault="00FD45A3">
            <w:pPr>
              <w:pStyle w:val="afffffffffffff"/>
              <w:spacing w:line="240" w:lineRule="auto"/>
              <w:ind w:leftChars="0" w:left="0" w:rightChars="0" w:right="0"/>
              <w:rPr>
                <w:kern w:val="0"/>
                <w:sz w:val="21"/>
                <w:szCs w:val="21"/>
              </w:rPr>
            </w:pPr>
            <w:r>
              <w:rPr>
                <w:rFonts w:hint="eastAsia"/>
                <w:kern w:val="0"/>
                <w:sz w:val="21"/>
                <w:szCs w:val="21"/>
              </w:rPr>
              <w:t>5</w:t>
            </w:r>
          </w:p>
        </w:tc>
      </w:tr>
      <w:tr w:rsidR="00EE4502">
        <w:trPr>
          <w:trHeight w:val="340"/>
          <w:jc w:val="center"/>
        </w:trPr>
        <w:tc>
          <w:tcPr>
            <w:tcW w:w="286" w:type="pct"/>
            <w:vMerge/>
            <w:vAlign w:val="center"/>
          </w:tcPr>
          <w:p w:rsidR="00EE4502" w:rsidRDefault="00EE4502">
            <w:pPr>
              <w:pStyle w:val="afffffffffffff"/>
              <w:spacing w:line="240" w:lineRule="auto"/>
              <w:ind w:leftChars="0" w:left="0" w:rightChars="0" w:right="0"/>
              <w:rPr>
                <w:kern w:val="0"/>
                <w:sz w:val="21"/>
                <w:szCs w:val="21"/>
              </w:rPr>
            </w:pPr>
          </w:p>
        </w:tc>
        <w:tc>
          <w:tcPr>
            <w:tcW w:w="541" w:type="pct"/>
            <w:vAlign w:val="center"/>
          </w:tcPr>
          <w:p w:rsidR="00EE4502" w:rsidRDefault="00FD45A3">
            <w:pPr>
              <w:pStyle w:val="afffffffffffff"/>
              <w:spacing w:line="240" w:lineRule="auto"/>
              <w:ind w:leftChars="0" w:left="0" w:rightChars="0" w:right="0"/>
              <w:rPr>
                <w:kern w:val="0"/>
                <w:sz w:val="21"/>
                <w:szCs w:val="21"/>
              </w:rPr>
            </w:pPr>
            <w:r>
              <w:rPr>
                <w:rFonts w:hAnsi="宋体"/>
                <w:kern w:val="0"/>
                <w:sz w:val="21"/>
                <w:szCs w:val="21"/>
              </w:rPr>
              <w:t>风险</w:t>
            </w:r>
          </w:p>
          <w:p w:rsidR="00EE4502" w:rsidRDefault="00FD45A3">
            <w:pPr>
              <w:pStyle w:val="afffffffffffff"/>
              <w:spacing w:line="240" w:lineRule="auto"/>
              <w:ind w:leftChars="0" w:left="0" w:rightChars="0" w:right="0"/>
              <w:rPr>
                <w:kern w:val="0"/>
                <w:sz w:val="21"/>
                <w:szCs w:val="21"/>
              </w:rPr>
            </w:pPr>
            <w:r>
              <w:rPr>
                <w:rFonts w:hAnsi="宋体"/>
                <w:kern w:val="0"/>
                <w:sz w:val="21"/>
                <w:szCs w:val="21"/>
              </w:rPr>
              <w:t>防控</w:t>
            </w:r>
          </w:p>
        </w:tc>
        <w:tc>
          <w:tcPr>
            <w:tcW w:w="702" w:type="pct"/>
            <w:vAlign w:val="center"/>
          </w:tcPr>
          <w:p w:rsidR="00EE4502" w:rsidRDefault="00FD45A3">
            <w:pPr>
              <w:spacing w:line="280" w:lineRule="exact"/>
              <w:jc w:val="center"/>
              <w:rPr>
                <w:kern w:val="0"/>
                <w:szCs w:val="21"/>
              </w:rPr>
            </w:pPr>
            <w:r>
              <w:rPr>
                <w:szCs w:val="21"/>
              </w:rPr>
              <w:t>防治井场突发风险事故</w:t>
            </w:r>
          </w:p>
        </w:tc>
        <w:tc>
          <w:tcPr>
            <w:tcW w:w="2801" w:type="pct"/>
            <w:vAlign w:val="center"/>
          </w:tcPr>
          <w:p w:rsidR="00EE4502" w:rsidRDefault="00FD45A3">
            <w:pPr>
              <w:spacing w:line="280" w:lineRule="exact"/>
              <w:jc w:val="center"/>
              <w:rPr>
                <w:rFonts w:hAnsi="宋体"/>
                <w:kern w:val="0"/>
                <w:szCs w:val="21"/>
              </w:rPr>
            </w:pPr>
            <w:r>
              <w:rPr>
                <w:szCs w:val="21"/>
              </w:rPr>
              <w:t>井口安装防喷器</w:t>
            </w:r>
          </w:p>
        </w:tc>
        <w:tc>
          <w:tcPr>
            <w:tcW w:w="668" w:type="pct"/>
            <w:vAlign w:val="center"/>
          </w:tcPr>
          <w:p w:rsidR="00EE4502" w:rsidRDefault="00FD45A3">
            <w:pPr>
              <w:pStyle w:val="afffffffffffff"/>
              <w:spacing w:line="240" w:lineRule="auto"/>
              <w:ind w:leftChars="0" w:left="0" w:rightChars="0" w:right="0"/>
              <w:rPr>
                <w:kern w:val="0"/>
                <w:sz w:val="21"/>
                <w:szCs w:val="21"/>
              </w:rPr>
            </w:pPr>
            <w:r>
              <w:rPr>
                <w:rFonts w:hint="eastAsia"/>
                <w:kern w:val="0"/>
                <w:sz w:val="21"/>
                <w:szCs w:val="21"/>
              </w:rPr>
              <w:t>20</w:t>
            </w:r>
          </w:p>
        </w:tc>
      </w:tr>
      <w:tr w:rsidR="00EE4502">
        <w:trPr>
          <w:trHeight w:val="340"/>
          <w:jc w:val="center"/>
        </w:trPr>
        <w:tc>
          <w:tcPr>
            <w:tcW w:w="286" w:type="pct"/>
            <w:vMerge/>
            <w:vAlign w:val="center"/>
          </w:tcPr>
          <w:p w:rsidR="00EE4502" w:rsidRDefault="00EE4502">
            <w:pPr>
              <w:pStyle w:val="afffffffffffff"/>
              <w:spacing w:line="240" w:lineRule="auto"/>
              <w:ind w:leftChars="0" w:left="0" w:rightChars="0" w:right="0"/>
              <w:rPr>
                <w:b/>
                <w:bCs/>
                <w:kern w:val="0"/>
                <w:sz w:val="21"/>
                <w:szCs w:val="21"/>
              </w:rPr>
            </w:pPr>
          </w:p>
        </w:tc>
        <w:tc>
          <w:tcPr>
            <w:tcW w:w="4044" w:type="pct"/>
            <w:gridSpan w:val="3"/>
            <w:vAlign w:val="center"/>
          </w:tcPr>
          <w:p w:rsidR="00EE4502" w:rsidRDefault="00FD45A3">
            <w:pPr>
              <w:pStyle w:val="afffffffffffff"/>
              <w:spacing w:line="240" w:lineRule="auto"/>
              <w:ind w:leftChars="0" w:left="0" w:rightChars="0" w:right="0"/>
              <w:rPr>
                <w:rFonts w:hAnsi="宋体"/>
                <w:b/>
                <w:bCs/>
                <w:kern w:val="0"/>
                <w:sz w:val="21"/>
                <w:szCs w:val="21"/>
              </w:rPr>
            </w:pPr>
            <w:r>
              <w:rPr>
                <w:rFonts w:hAnsi="宋体"/>
                <w:b/>
                <w:bCs/>
                <w:kern w:val="0"/>
                <w:sz w:val="21"/>
                <w:szCs w:val="21"/>
              </w:rPr>
              <w:t>合计</w:t>
            </w:r>
          </w:p>
        </w:tc>
        <w:tc>
          <w:tcPr>
            <w:tcW w:w="668" w:type="pct"/>
            <w:vAlign w:val="center"/>
          </w:tcPr>
          <w:p w:rsidR="00EE4502" w:rsidRDefault="00FD45A3">
            <w:pPr>
              <w:pStyle w:val="afffffffffffff"/>
              <w:spacing w:line="240" w:lineRule="auto"/>
              <w:ind w:leftChars="0" w:left="0" w:rightChars="0" w:right="0"/>
              <w:rPr>
                <w:b/>
                <w:bCs/>
                <w:kern w:val="0"/>
                <w:sz w:val="21"/>
                <w:szCs w:val="21"/>
              </w:rPr>
            </w:pPr>
            <w:r>
              <w:rPr>
                <w:rFonts w:hint="eastAsia"/>
                <w:b/>
                <w:bCs/>
                <w:kern w:val="0"/>
                <w:sz w:val="21"/>
                <w:szCs w:val="21"/>
              </w:rPr>
              <w:t>86</w:t>
            </w:r>
            <w:r>
              <w:rPr>
                <w:rFonts w:hint="eastAsia"/>
                <w:b/>
                <w:bCs/>
                <w:kern w:val="0"/>
                <w:sz w:val="21"/>
                <w:szCs w:val="21"/>
              </w:rPr>
              <w:t>0</w:t>
            </w:r>
          </w:p>
        </w:tc>
      </w:tr>
      <w:tr w:rsidR="00EE4502">
        <w:trPr>
          <w:trHeight w:val="340"/>
          <w:jc w:val="center"/>
        </w:trPr>
        <w:tc>
          <w:tcPr>
            <w:tcW w:w="5000" w:type="pct"/>
            <w:gridSpan w:val="5"/>
            <w:vAlign w:val="center"/>
          </w:tcPr>
          <w:p w:rsidR="00EE4502" w:rsidRDefault="00FD45A3">
            <w:pPr>
              <w:pStyle w:val="afffffffffffff"/>
              <w:spacing w:line="240" w:lineRule="auto"/>
              <w:ind w:leftChars="0" w:left="0" w:rightChars="0" w:right="0"/>
              <w:rPr>
                <w:b/>
                <w:bCs/>
                <w:kern w:val="0"/>
                <w:sz w:val="21"/>
                <w:szCs w:val="21"/>
              </w:rPr>
            </w:pPr>
            <w:r>
              <w:rPr>
                <w:rFonts w:hAnsi="宋体"/>
                <w:b/>
                <w:bCs/>
                <w:kern w:val="0"/>
                <w:sz w:val="21"/>
                <w:szCs w:val="21"/>
              </w:rPr>
              <w:t>运营期</w:t>
            </w:r>
          </w:p>
        </w:tc>
      </w:tr>
      <w:tr w:rsidR="00EE4502">
        <w:trPr>
          <w:trHeight w:val="340"/>
          <w:jc w:val="center"/>
        </w:trPr>
        <w:tc>
          <w:tcPr>
            <w:tcW w:w="286" w:type="pct"/>
            <w:vAlign w:val="center"/>
          </w:tcPr>
          <w:p w:rsidR="00EE4502" w:rsidRDefault="00FD45A3">
            <w:pPr>
              <w:pStyle w:val="affff0"/>
              <w:adjustRightInd/>
              <w:spacing w:before="0" w:after="0"/>
              <w:rPr>
                <w:rFonts w:ascii="Times New Roman"/>
                <w:color w:val="auto"/>
                <w:spacing w:val="0"/>
                <w:szCs w:val="21"/>
              </w:rPr>
            </w:pPr>
            <w:r>
              <w:rPr>
                <w:rFonts w:ascii="Times New Roman" w:hAnsi="宋体"/>
                <w:color w:val="auto"/>
                <w:spacing w:val="0"/>
                <w:szCs w:val="21"/>
              </w:rPr>
              <w:t>阶段</w:t>
            </w:r>
          </w:p>
        </w:tc>
        <w:tc>
          <w:tcPr>
            <w:tcW w:w="541" w:type="pct"/>
            <w:vAlign w:val="center"/>
          </w:tcPr>
          <w:p w:rsidR="00EE4502" w:rsidRDefault="00FD45A3">
            <w:pPr>
              <w:pStyle w:val="affff0"/>
              <w:adjustRightInd/>
              <w:spacing w:before="0" w:after="0"/>
              <w:rPr>
                <w:rFonts w:ascii="Times New Roman"/>
                <w:color w:val="auto"/>
                <w:spacing w:val="0"/>
                <w:szCs w:val="21"/>
              </w:rPr>
            </w:pPr>
            <w:r>
              <w:rPr>
                <w:rFonts w:ascii="Times New Roman" w:hAnsi="宋体"/>
                <w:color w:val="auto"/>
                <w:spacing w:val="0"/>
                <w:szCs w:val="21"/>
              </w:rPr>
              <w:t>环境要素</w:t>
            </w:r>
          </w:p>
        </w:tc>
        <w:tc>
          <w:tcPr>
            <w:tcW w:w="702" w:type="pct"/>
            <w:vAlign w:val="center"/>
          </w:tcPr>
          <w:p w:rsidR="00EE4502" w:rsidRDefault="00FD45A3">
            <w:pPr>
              <w:pStyle w:val="affff0"/>
              <w:adjustRightInd/>
              <w:spacing w:before="0" w:after="0"/>
              <w:rPr>
                <w:rFonts w:ascii="Times New Roman"/>
                <w:color w:val="auto"/>
                <w:spacing w:val="0"/>
                <w:szCs w:val="21"/>
              </w:rPr>
            </w:pPr>
            <w:r>
              <w:rPr>
                <w:rFonts w:ascii="Times New Roman" w:hAnsi="宋体"/>
                <w:color w:val="auto"/>
                <w:spacing w:val="0"/>
                <w:szCs w:val="21"/>
              </w:rPr>
              <w:t>项目名称</w:t>
            </w:r>
          </w:p>
        </w:tc>
        <w:tc>
          <w:tcPr>
            <w:tcW w:w="2801" w:type="pct"/>
            <w:vAlign w:val="center"/>
          </w:tcPr>
          <w:p w:rsidR="00EE4502" w:rsidRDefault="00FD45A3">
            <w:pPr>
              <w:pStyle w:val="affff0"/>
              <w:adjustRightInd/>
              <w:spacing w:before="0" w:after="0"/>
              <w:rPr>
                <w:rFonts w:ascii="Times New Roman"/>
                <w:color w:val="auto"/>
                <w:spacing w:val="0"/>
                <w:szCs w:val="21"/>
              </w:rPr>
            </w:pPr>
            <w:r>
              <w:rPr>
                <w:rFonts w:ascii="Times New Roman" w:hAnsi="宋体"/>
                <w:color w:val="auto"/>
                <w:spacing w:val="0"/>
                <w:szCs w:val="21"/>
              </w:rPr>
              <w:t>环保措施</w:t>
            </w:r>
          </w:p>
        </w:tc>
        <w:tc>
          <w:tcPr>
            <w:tcW w:w="668" w:type="pct"/>
            <w:vAlign w:val="center"/>
          </w:tcPr>
          <w:p w:rsidR="00EE4502" w:rsidRDefault="00FD45A3">
            <w:pPr>
              <w:pStyle w:val="affff0"/>
              <w:adjustRightInd/>
              <w:spacing w:before="0" w:after="0"/>
              <w:rPr>
                <w:rFonts w:ascii="Times New Roman"/>
                <w:color w:val="auto"/>
                <w:spacing w:val="0"/>
                <w:szCs w:val="21"/>
              </w:rPr>
            </w:pPr>
            <w:r>
              <w:rPr>
                <w:rFonts w:ascii="Times New Roman" w:hAnsi="宋体"/>
                <w:color w:val="auto"/>
                <w:spacing w:val="0"/>
                <w:szCs w:val="21"/>
              </w:rPr>
              <w:t>投资（万元）</w:t>
            </w:r>
          </w:p>
        </w:tc>
      </w:tr>
      <w:tr w:rsidR="00EE4502">
        <w:trPr>
          <w:trHeight w:val="340"/>
          <w:jc w:val="center"/>
        </w:trPr>
        <w:tc>
          <w:tcPr>
            <w:tcW w:w="286" w:type="pct"/>
            <w:vMerge w:val="restart"/>
            <w:vAlign w:val="center"/>
          </w:tcPr>
          <w:p w:rsidR="00EE4502" w:rsidRDefault="00FD45A3">
            <w:pPr>
              <w:pStyle w:val="affff0"/>
              <w:adjustRightInd/>
              <w:spacing w:before="0" w:after="0"/>
              <w:rPr>
                <w:rFonts w:ascii="Times New Roman"/>
                <w:color w:val="auto"/>
                <w:spacing w:val="0"/>
                <w:szCs w:val="21"/>
              </w:rPr>
            </w:pPr>
            <w:r>
              <w:rPr>
                <w:rFonts w:ascii="Times New Roman" w:hAnsi="宋体"/>
                <w:color w:val="auto"/>
                <w:spacing w:val="0"/>
                <w:szCs w:val="21"/>
              </w:rPr>
              <w:t>运</w:t>
            </w:r>
          </w:p>
          <w:p w:rsidR="00EE4502" w:rsidRDefault="00FD45A3">
            <w:pPr>
              <w:pStyle w:val="affff0"/>
              <w:adjustRightInd/>
              <w:spacing w:before="0" w:after="0"/>
              <w:rPr>
                <w:rFonts w:ascii="Times New Roman"/>
                <w:color w:val="auto"/>
                <w:spacing w:val="0"/>
                <w:szCs w:val="21"/>
              </w:rPr>
            </w:pPr>
            <w:r>
              <w:rPr>
                <w:rFonts w:ascii="Times New Roman" w:hAnsi="宋体"/>
                <w:color w:val="auto"/>
                <w:spacing w:val="0"/>
                <w:szCs w:val="21"/>
              </w:rPr>
              <w:t>营</w:t>
            </w:r>
          </w:p>
          <w:p w:rsidR="00EE4502" w:rsidRDefault="00FD45A3">
            <w:pPr>
              <w:pStyle w:val="affff0"/>
              <w:adjustRightInd/>
              <w:spacing w:before="0" w:after="0"/>
              <w:rPr>
                <w:rFonts w:ascii="Times New Roman"/>
                <w:color w:val="auto"/>
                <w:spacing w:val="0"/>
                <w:szCs w:val="21"/>
              </w:rPr>
            </w:pPr>
            <w:r>
              <w:rPr>
                <w:rFonts w:ascii="Times New Roman" w:hAnsi="宋体"/>
                <w:color w:val="auto"/>
                <w:spacing w:val="0"/>
                <w:szCs w:val="21"/>
              </w:rPr>
              <w:t>期</w:t>
            </w:r>
          </w:p>
        </w:tc>
        <w:tc>
          <w:tcPr>
            <w:tcW w:w="541" w:type="pct"/>
            <w:vAlign w:val="center"/>
          </w:tcPr>
          <w:p w:rsidR="00EE4502" w:rsidRDefault="00FD45A3">
            <w:pPr>
              <w:pStyle w:val="affff0"/>
              <w:adjustRightInd/>
              <w:spacing w:before="0" w:after="0"/>
              <w:rPr>
                <w:rFonts w:ascii="Times New Roman"/>
                <w:color w:val="auto"/>
                <w:spacing w:val="0"/>
                <w:szCs w:val="21"/>
              </w:rPr>
            </w:pPr>
            <w:r>
              <w:rPr>
                <w:rFonts w:ascii="Times New Roman" w:hint="eastAsia"/>
                <w:color w:val="auto"/>
                <w:spacing w:val="0"/>
                <w:szCs w:val="21"/>
              </w:rPr>
              <w:t>废气</w:t>
            </w:r>
          </w:p>
        </w:tc>
        <w:tc>
          <w:tcPr>
            <w:tcW w:w="702" w:type="pct"/>
            <w:vAlign w:val="center"/>
          </w:tcPr>
          <w:p w:rsidR="00EE4502" w:rsidRDefault="00FD45A3">
            <w:pPr>
              <w:pStyle w:val="affff0"/>
              <w:adjustRightInd/>
              <w:spacing w:before="0" w:after="0"/>
              <w:rPr>
                <w:rFonts w:ascii="Times New Roman"/>
                <w:color w:val="auto"/>
                <w:spacing w:val="0"/>
                <w:szCs w:val="21"/>
              </w:rPr>
            </w:pPr>
            <w:r>
              <w:rPr>
                <w:rFonts w:ascii="Times New Roman" w:hint="eastAsia"/>
                <w:color w:val="auto"/>
                <w:spacing w:val="0"/>
                <w:szCs w:val="21"/>
              </w:rPr>
              <w:t>无组织挥发</w:t>
            </w:r>
          </w:p>
        </w:tc>
        <w:tc>
          <w:tcPr>
            <w:tcW w:w="2801" w:type="pct"/>
            <w:vAlign w:val="center"/>
          </w:tcPr>
          <w:p w:rsidR="00EE4502" w:rsidRDefault="00FD45A3">
            <w:pPr>
              <w:pStyle w:val="affff0"/>
              <w:adjustRightInd/>
              <w:spacing w:before="0" w:after="0"/>
              <w:rPr>
                <w:rFonts w:ascii="Times New Roman"/>
                <w:color w:val="auto"/>
                <w:spacing w:val="0"/>
                <w:szCs w:val="21"/>
              </w:rPr>
            </w:pPr>
            <w:r>
              <w:rPr>
                <w:rFonts w:ascii="Times New Roman" w:hint="eastAsia"/>
                <w:color w:val="auto"/>
                <w:spacing w:val="0"/>
                <w:szCs w:val="21"/>
              </w:rPr>
              <w:t>密闭集输工艺</w:t>
            </w:r>
          </w:p>
        </w:tc>
        <w:tc>
          <w:tcPr>
            <w:tcW w:w="668" w:type="pct"/>
            <w:vAlign w:val="center"/>
          </w:tcPr>
          <w:p w:rsidR="00EE4502" w:rsidRDefault="00FD45A3">
            <w:pPr>
              <w:pStyle w:val="affff0"/>
              <w:adjustRightInd/>
              <w:spacing w:before="0" w:after="0"/>
              <w:rPr>
                <w:rFonts w:ascii="Times New Roman"/>
                <w:color w:val="auto"/>
                <w:spacing w:val="0"/>
                <w:szCs w:val="21"/>
              </w:rPr>
            </w:pPr>
            <w:r>
              <w:rPr>
                <w:rFonts w:ascii="Times New Roman" w:hint="eastAsia"/>
                <w:color w:val="auto"/>
                <w:spacing w:val="0"/>
                <w:szCs w:val="21"/>
              </w:rPr>
              <w:t>计入工程</w:t>
            </w:r>
          </w:p>
        </w:tc>
      </w:tr>
      <w:tr w:rsidR="00EE4502">
        <w:trPr>
          <w:trHeight w:val="340"/>
          <w:jc w:val="center"/>
        </w:trPr>
        <w:tc>
          <w:tcPr>
            <w:tcW w:w="286" w:type="pct"/>
            <w:vMerge/>
            <w:vAlign w:val="center"/>
          </w:tcPr>
          <w:p w:rsidR="00EE4502" w:rsidRDefault="00EE4502">
            <w:pPr>
              <w:pStyle w:val="affff0"/>
              <w:adjustRightInd/>
              <w:spacing w:before="0" w:after="0"/>
              <w:rPr>
                <w:rFonts w:ascii="Times New Roman"/>
                <w:color w:val="auto"/>
                <w:spacing w:val="0"/>
                <w:szCs w:val="21"/>
              </w:rPr>
            </w:pPr>
          </w:p>
        </w:tc>
        <w:tc>
          <w:tcPr>
            <w:tcW w:w="541" w:type="pct"/>
            <w:vAlign w:val="center"/>
          </w:tcPr>
          <w:p w:rsidR="00EE4502" w:rsidRDefault="00FD45A3">
            <w:pPr>
              <w:pStyle w:val="affff0"/>
              <w:adjustRightInd/>
              <w:spacing w:before="0" w:after="0"/>
              <w:rPr>
                <w:rFonts w:ascii="Times New Roman"/>
                <w:color w:val="auto"/>
                <w:spacing w:val="0"/>
                <w:szCs w:val="21"/>
              </w:rPr>
            </w:pPr>
            <w:r>
              <w:rPr>
                <w:rFonts w:ascii="Times New Roman" w:hAnsi="宋体"/>
                <w:color w:val="auto"/>
                <w:spacing w:val="0"/>
                <w:szCs w:val="21"/>
              </w:rPr>
              <w:t>固废</w:t>
            </w:r>
          </w:p>
        </w:tc>
        <w:tc>
          <w:tcPr>
            <w:tcW w:w="702" w:type="pct"/>
            <w:vAlign w:val="center"/>
          </w:tcPr>
          <w:p w:rsidR="00EE4502" w:rsidRDefault="00FD45A3">
            <w:pPr>
              <w:pStyle w:val="affff0"/>
              <w:adjustRightInd/>
              <w:spacing w:before="0" w:after="0"/>
              <w:rPr>
                <w:rFonts w:ascii="Times New Roman"/>
                <w:color w:val="auto"/>
                <w:spacing w:val="0"/>
                <w:szCs w:val="21"/>
              </w:rPr>
            </w:pPr>
            <w:r>
              <w:rPr>
                <w:rFonts w:ascii="Times New Roman" w:hAnsi="宋体"/>
                <w:color w:val="auto"/>
                <w:spacing w:val="0"/>
                <w:szCs w:val="21"/>
              </w:rPr>
              <w:t>落地油</w:t>
            </w:r>
            <w:r>
              <w:rPr>
                <w:rFonts w:ascii="Times New Roman" w:hAnsi="宋体" w:hint="eastAsia"/>
                <w:color w:val="auto"/>
                <w:spacing w:val="0"/>
                <w:szCs w:val="21"/>
              </w:rPr>
              <w:t>、清管废渣、</w:t>
            </w:r>
            <w:r>
              <w:rPr>
                <w:rFonts w:ascii="Times New Roman" w:hAnsi="宋体"/>
                <w:color w:val="auto"/>
                <w:spacing w:val="0"/>
                <w:szCs w:val="21"/>
              </w:rPr>
              <w:t>废防渗布、废润滑油</w:t>
            </w:r>
          </w:p>
        </w:tc>
        <w:tc>
          <w:tcPr>
            <w:tcW w:w="2801" w:type="pct"/>
            <w:vAlign w:val="center"/>
          </w:tcPr>
          <w:p w:rsidR="00EE4502" w:rsidRDefault="00FD45A3">
            <w:pPr>
              <w:pStyle w:val="affff0"/>
              <w:adjustRightInd/>
              <w:spacing w:before="0" w:after="0"/>
              <w:rPr>
                <w:rFonts w:ascii="Times New Roman"/>
                <w:color w:val="auto"/>
                <w:spacing w:val="0"/>
                <w:szCs w:val="21"/>
              </w:rPr>
            </w:pPr>
            <w:r>
              <w:rPr>
                <w:rFonts w:ascii="Times New Roman" w:hAnsi="宋体"/>
                <w:color w:val="auto"/>
                <w:spacing w:val="0"/>
                <w:szCs w:val="21"/>
              </w:rPr>
              <w:t>委托有资质单位妥善处置交新疆锦恒利废矿物油处置有限公司处置</w:t>
            </w:r>
          </w:p>
        </w:tc>
        <w:tc>
          <w:tcPr>
            <w:tcW w:w="668" w:type="pct"/>
            <w:vAlign w:val="center"/>
          </w:tcPr>
          <w:p w:rsidR="00EE4502" w:rsidRDefault="00FD45A3">
            <w:pPr>
              <w:pStyle w:val="affff0"/>
              <w:adjustRightInd/>
              <w:spacing w:before="0" w:after="0"/>
              <w:rPr>
                <w:rFonts w:ascii="Times New Roman"/>
                <w:color w:val="auto"/>
                <w:spacing w:val="0"/>
                <w:szCs w:val="21"/>
              </w:rPr>
            </w:pPr>
            <w:r>
              <w:rPr>
                <w:rFonts w:ascii="Times New Roman" w:hint="eastAsia"/>
                <w:color w:val="auto"/>
                <w:spacing w:val="0"/>
                <w:szCs w:val="21"/>
              </w:rPr>
              <w:t>15</w:t>
            </w:r>
          </w:p>
        </w:tc>
      </w:tr>
      <w:tr w:rsidR="00EE4502">
        <w:trPr>
          <w:trHeight w:val="340"/>
          <w:jc w:val="center"/>
        </w:trPr>
        <w:tc>
          <w:tcPr>
            <w:tcW w:w="286" w:type="pct"/>
            <w:vMerge/>
            <w:vAlign w:val="center"/>
          </w:tcPr>
          <w:p w:rsidR="00EE4502" w:rsidRDefault="00EE4502">
            <w:pPr>
              <w:pStyle w:val="affff0"/>
              <w:adjustRightInd/>
              <w:spacing w:before="0" w:after="0"/>
              <w:rPr>
                <w:rFonts w:ascii="Times New Roman"/>
                <w:color w:val="auto"/>
                <w:spacing w:val="0"/>
                <w:szCs w:val="21"/>
              </w:rPr>
            </w:pPr>
          </w:p>
        </w:tc>
        <w:tc>
          <w:tcPr>
            <w:tcW w:w="541" w:type="pct"/>
            <w:vMerge w:val="restart"/>
            <w:vAlign w:val="center"/>
          </w:tcPr>
          <w:p w:rsidR="00EE4502" w:rsidRDefault="00FD45A3">
            <w:pPr>
              <w:spacing w:line="280" w:lineRule="exact"/>
              <w:jc w:val="center"/>
              <w:rPr>
                <w:szCs w:val="21"/>
              </w:rPr>
            </w:pPr>
            <w:r>
              <w:rPr>
                <w:szCs w:val="21"/>
              </w:rPr>
              <w:t>风险</w:t>
            </w:r>
          </w:p>
          <w:p w:rsidR="00EE4502" w:rsidRDefault="00FD45A3">
            <w:pPr>
              <w:spacing w:line="280" w:lineRule="exact"/>
              <w:jc w:val="center"/>
              <w:rPr>
                <w:szCs w:val="21"/>
              </w:rPr>
            </w:pPr>
            <w:r>
              <w:rPr>
                <w:szCs w:val="21"/>
              </w:rPr>
              <w:t>防控</w:t>
            </w:r>
          </w:p>
        </w:tc>
        <w:tc>
          <w:tcPr>
            <w:tcW w:w="3503" w:type="pct"/>
            <w:gridSpan w:val="2"/>
            <w:vAlign w:val="center"/>
          </w:tcPr>
          <w:p w:rsidR="00EE4502" w:rsidRDefault="00FD45A3">
            <w:pPr>
              <w:spacing w:line="280" w:lineRule="exact"/>
              <w:jc w:val="center"/>
              <w:rPr>
                <w:szCs w:val="21"/>
              </w:rPr>
            </w:pPr>
            <w:r>
              <w:rPr>
                <w:szCs w:val="21"/>
              </w:rPr>
              <w:t>井场设置灭火器、声光报警器</w:t>
            </w:r>
          </w:p>
        </w:tc>
        <w:tc>
          <w:tcPr>
            <w:tcW w:w="668" w:type="pct"/>
            <w:vAlign w:val="center"/>
          </w:tcPr>
          <w:p w:rsidR="00EE4502" w:rsidRDefault="00FD45A3">
            <w:pPr>
              <w:spacing w:line="280" w:lineRule="exact"/>
              <w:jc w:val="center"/>
              <w:rPr>
                <w:szCs w:val="21"/>
              </w:rPr>
            </w:pPr>
            <w:r>
              <w:rPr>
                <w:rFonts w:hint="eastAsia"/>
                <w:szCs w:val="21"/>
              </w:rPr>
              <w:t>5</w:t>
            </w:r>
          </w:p>
        </w:tc>
      </w:tr>
      <w:tr w:rsidR="00EE4502">
        <w:trPr>
          <w:trHeight w:val="340"/>
          <w:jc w:val="center"/>
        </w:trPr>
        <w:tc>
          <w:tcPr>
            <w:tcW w:w="286" w:type="pct"/>
            <w:vMerge/>
            <w:vAlign w:val="center"/>
          </w:tcPr>
          <w:p w:rsidR="00EE4502" w:rsidRDefault="00EE4502">
            <w:pPr>
              <w:pStyle w:val="affff0"/>
              <w:adjustRightInd/>
              <w:spacing w:before="0" w:after="0"/>
              <w:rPr>
                <w:rFonts w:ascii="Times New Roman"/>
                <w:color w:val="auto"/>
                <w:spacing w:val="0"/>
                <w:szCs w:val="21"/>
              </w:rPr>
            </w:pPr>
          </w:p>
        </w:tc>
        <w:tc>
          <w:tcPr>
            <w:tcW w:w="541" w:type="pct"/>
            <w:vMerge/>
            <w:vAlign w:val="center"/>
          </w:tcPr>
          <w:p w:rsidR="00EE4502" w:rsidRDefault="00EE4502">
            <w:pPr>
              <w:pStyle w:val="affff0"/>
              <w:adjustRightInd/>
              <w:spacing w:before="0" w:after="0"/>
              <w:rPr>
                <w:rFonts w:ascii="Times New Roman"/>
                <w:color w:val="auto"/>
                <w:spacing w:val="0"/>
                <w:szCs w:val="21"/>
              </w:rPr>
            </w:pPr>
          </w:p>
        </w:tc>
        <w:tc>
          <w:tcPr>
            <w:tcW w:w="3503" w:type="pct"/>
            <w:gridSpan w:val="2"/>
            <w:vAlign w:val="center"/>
          </w:tcPr>
          <w:p w:rsidR="00EE4502" w:rsidRDefault="00FD45A3">
            <w:pPr>
              <w:spacing w:line="280" w:lineRule="exact"/>
              <w:jc w:val="center"/>
              <w:rPr>
                <w:szCs w:val="21"/>
              </w:rPr>
            </w:pPr>
            <w:r>
              <w:rPr>
                <w:szCs w:val="21"/>
              </w:rPr>
              <w:t>井场等分区防渗</w:t>
            </w:r>
          </w:p>
        </w:tc>
        <w:tc>
          <w:tcPr>
            <w:tcW w:w="668" w:type="pct"/>
            <w:vAlign w:val="center"/>
          </w:tcPr>
          <w:p w:rsidR="00EE4502" w:rsidRDefault="00FD45A3">
            <w:pPr>
              <w:spacing w:line="280" w:lineRule="exact"/>
              <w:jc w:val="center"/>
              <w:rPr>
                <w:szCs w:val="21"/>
              </w:rPr>
            </w:pPr>
            <w:r>
              <w:rPr>
                <w:rFonts w:hint="eastAsia"/>
                <w:szCs w:val="21"/>
              </w:rPr>
              <w:t>15</w:t>
            </w:r>
          </w:p>
        </w:tc>
      </w:tr>
      <w:tr w:rsidR="00EE4502">
        <w:trPr>
          <w:trHeight w:val="340"/>
          <w:jc w:val="center"/>
        </w:trPr>
        <w:tc>
          <w:tcPr>
            <w:tcW w:w="286" w:type="pct"/>
            <w:vMerge/>
            <w:vAlign w:val="center"/>
          </w:tcPr>
          <w:p w:rsidR="00EE4502" w:rsidRDefault="00EE4502">
            <w:pPr>
              <w:pStyle w:val="affff0"/>
              <w:adjustRightInd/>
              <w:spacing w:before="0" w:after="0"/>
              <w:rPr>
                <w:rFonts w:ascii="Times New Roman"/>
                <w:color w:val="auto"/>
                <w:spacing w:val="0"/>
                <w:szCs w:val="21"/>
              </w:rPr>
            </w:pPr>
          </w:p>
        </w:tc>
        <w:tc>
          <w:tcPr>
            <w:tcW w:w="541" w:type="pct"/>
            <w:vMerge w:val="restart"/>
            <w:vAlign w:val="center"/>
          </w:tcPr>
          <w:p w:rsidR="00EE4502" w:rsidRDefault="00FD45A3">
            <w:pPr>
              <w:spacing w:line="280" w:lineRule="exact"/>
              <w:jc w:val="center"/>
              <w:rPr>
                <w:szCs w:val="21"/>
              </w:rPr>
            </w:pPr>
            <w:r>
              <w:rPr>
                <w:szCs w:val="21"/>
              </w:rPr>
              <w:t>环境管理</w:t>
            </w:r>
          </w:p>
        </w:tc>
        <w:tc>
          <w:tcPr>
            <w:tcW w:w="3503" w:type="pct"/>
            <w:gridSpan w:val="2"/>
            <w:vAlign w:val="center"/>
          </w:tcPr>
          <w:p w:rsidR="00EE4502" w:rsidRDefault="00FD45A3">
            <w:pPr>
              <w:spacing w:line="280" w:lineRule="exact"/>
              <w:jc w:val="center"/>
              <w:rPr>
                <w:szCs w:val="21"/>
              </w:rPr>
            </w:pPr>
            <w:r>
              <w:rPr>
                <w:szCs w:val="21"/>
              </w:rPr>
              <w:t>环境影响评价、环境保护竣工验收、环境监理、监测</w:t>
            </w:r>
          </w:p>
        </w:tc>
        <w:tc>
          <w:tcPr>
            <w:tcW w:w="668" w:type="pct"/>
            <w:vAlign w:val="center"/>
          </w:tcPr>
          <w:p w:rsidR="00EE4502" w:rsidRDefault="00FD45A3">
            <w:pPr>
              <w:spacing w:line="280" w:lineRule="exact"/>
              <w:jc w:val="center"/>
              <w:rPr>
                <w:szCs w:val="21"/>
              </w:rPr>
            </w:pPr>
            <w:r>
              <w:rPr>
                <w:rFonts w:hint="eastAsia"/>
                <w:szCs w:val="21"/>
              </w:rPr>
              <w:t>80</w:t>
            </w:r>
          </w:p>
        </w:tc>
      </w:tr>
      <w:tr w:rsidR="00EE4502">
        <w:trPr>
          <w:trHeight w:val="340"/>
          <w:jc w:val="center"/>
        </w:trPr>
        <w:tc>
          <w:tcPr>
            <w:tcW w:w="286" w:type="pct"/>
            <w:vMerge/>
            <w:vAlign w:val="center"/>
          </w:tcPr>
          <w:p w:rsidR="00EE4502" w:rsidRDefault="00EE4502">
            <w:pPr>
              <w:pStyle w:val="affff0"/>
              <w:adjustRightInd/>
              <w:spacing w:before="0" w:after="0"/>
              <w:rPr>
                <w:rFonts w:ascii="Times New Roman"/>
                <w:color w:val="auto"/>
                <w:spacing w:val="0"/>
                <w:szCs w:val="21"/>
              </w:rPr>
            </w:pPr>
          </w:p>
        </w:tc>
        <w:tc>
          <w:tcPr>
            <w:tcW w:w="541" w:type="pct"/>
            <w:vMerge/>
            <w:vAlign w:val="center"/>
          </w:tcPr>
          <w:p w:rsidR="00EE4502" w:rsidRDefault="00EE4502">
            <w:pPr>
              <w:pStyle w:val="affff0"/>
              <w:adjustRightInd/>
              <w:spacing w:before="0" w:after="0"/>
              <w:rPr>
                <w:rFonts w:ascii="Times New Roman"/>
                <w:color w:val="auto"/>
                <w:spacing w:val="0"/>
                <w:szCs w:val="21"/>
              </w:rPr>
            </w:pPr>
          </w:p>
        </w:tc>
        <w:tc>
          <w:tcPr>
            <w:tcW w:w="3503" w:type="pct"/>
            <w:gridSpan w:val="2"/>
            <w:vAlign w:val="center"/>
          </w:tcPr>
          <w:p w:rsidR="00EE4502" w:rsidRDefault="00FD45A3">
            <w:pPr>
              <w:spacing w:line="280" w:lineRule="exact"/>
              <w:jc w:val="center"/>
              <w:rPr>
                <w:szCs w:val="21"/>
              </w:rPr>
            </w:pPr>
            <w:r>
              <w:rPr>
                <w:szCs w:val="21"/>
              </w:rPr>
              <w:t>HSE</w:t>
            </w:r>
            <w:r>
              <w:rPr>
                <w:szCs w:val="21"/>
              </w:rPr>
              <w:t>应急预案</w:t>
            </w:r>
            <w:r>
              <w:rPr>
                <w:szCs w:val="21"/>
              </w:rPr>
              <w:t>+</w:t>
            </w:r>
            <w:r>
              <w:rPr>
                <w:szCs w:val="21"/>
              </w:rPr>
              <w:t>环保培训，演练</w:t>
            </w:r>
          </w:p>
        </w:tc>
        <w:tc>
          <w:tcPr>
            <w:tcW w:w="668" w:type="pct"/>
            <w:vAlign w:val="center"/>
          </w:tcPr>
          <w:p w:rsidR="00EE4502" w:rsidRDefault="00FD45A3">
            <w:pPr>
              <w:spacing w:line="280" w:lineRule="exact"/>
              <w:jc w:val="center"/>
              <w:rPr>
                <w:szCs w:val="21"/>
              </w:rPr>
            </w:pPr>
            <w:r>
              <w:rPr>
                <w:rFonts w:hint="eastAsia"/>
                <w:szCs w:val="21"/>
              </w:rPr>
              <w:t>20</w:t>
            </w:r>
          </w:p>
        </w:tc>
      </w:tr>
      <w:tr w:rsidR="00EE4502">
        <w:trPr>
          <w:trHeight w:val="340"/>
          <w:jc w:val="center"/>
        </w:trPr>
        <w:tc>
          <w:tcPr>
            <w:tcW w:w="286" w:type="pct"/>
            <w:vMerge/>
            <w:vAlign w:val="center"/>
          </w:tcPr>
          <w:p w:rsidR="00EE4502" w:rsidRDefault="00EE4502">
            <w:pPr>
              <w:pStyle w:val="affff0"/>
              <w:adjustRightInd/>
              <w:spacing w:before="0" w:after="0"/>
              <w:rPr>
                <w:rFonts w:ascii="Times New Roman"/>
                <w:color w:val="auto"/>
                <w:spacing w:val="0"/>
                <w:szCs w:val="21"/>
              </w:rPr>
            </w:pPr>
          </w:p>
        </w:tc>
        <w:tc>
          <w:tcPr>
            <w:tcW w:w="4044" w:type="pct"/>
            <w:gridSpan w:val="3"/>
            <w:vAlign w:val="center"/>
          </w:tcPr>
          <w:p w:rsidR="00EE4502" w:rsidRDefault="00FD45A3">
            <w:pPr>
              <w:spacing w:line="280" w:lineRule="exact"/>
              <w:jc w:val="center"/>
              <w:rPr>
                <w:b/>
                <w:bCs/>
                <w:szCs w:val="21"/>
              </w:rPr>
            </w:pPr>
            <w:r>
              <w:rPr>
                <w:rFonts w:hAnsi="宋体"/>
                <w:b/>
                <w:bCs/>
                <w:kern w:val="0"/>
                <w:szCs w:val="21"/>
              </w:rPr>
              <w:t>合计</w:t>
            </w:r>
          </w:p>
        </w:tc>
        <w:tc>
          <w:tcPr>
            <w:tcW w:w="668" w:type="pct"/>
            <w:vAlign w:val="center"/>
          </w:tcPr>
          <w:p w:rsidR="00EE4502" w:rsidRDefault="00FD45A3">
            <w:pPr>
              <w:spacing w:line="280" w:lineRule="exact"/>
              <w:jc w:val="center"/>
              <w:rPr>
                <w:b/>
                <w:bCs/>
                <w:szCs w:val="21"/>
              </w:rPr>
            </w:pPr>
            <w:r>
              <w:rPr>
                <w:rFonts w:hint="eastAsia"/>
                <w:b/>
                <w:bCs/>
                <w:szCs w:val="21"/>
              </w:rPr>
              <w:t>13</w:t>
            </w:r>
            <w:r>
              <w:rPr>
                <w:rFonts w:hint="eastAsia"/>
                <w:b/>
                <w:bCs/>
                <w:szCs w:val="21"/>
              </w:rPr>
              <w:t>5</w:t>
            </w:r>
          </w:p>
        </w:tc>
      </w:tr>
      <w:tr w:rsidR="00EE4502">
        <w:tblPrEx>
          <w:tblCellMar>
            <w:left w:w="108" w:type="dxa"/>
            <w:right w:w="108" w:type="dxa"/>
          </w:tblCellMar>
        </w:tblPrEx>
        <w:trPr>
          <w:trHeight w:val="340"/>
          <w:jc w:val="center"/>
        </w:trPr>
        <w:tc>
          <w:tcPr>
            <w:tcW w:w="4331" w:type="pct"/>
            <w:gridSpan w:val="4"/>
            <w:vAlign w:val="center"/>
          </w:tcPr>
          <w:p w:rsidR="00EE4502" w:rsidRDefault="00FD45A3">
            <w:pPr>
              <w:pStyle w:val="affff0"/>
              <w:adjustRightInd/>
              <w:spacing w:before="0" w:after="0"/>
              <w:rPr>
                <w:rFonts w:ascii="Times New Roman"/>
                <w:b/>
                <w:bCs/>
                <w:color w:val="auto"/>
                <w:spacing w:val="0"/>
                <w:szCs w:val="21"/>
              </w:rPr>
            </w:pPr>
            <w:r>
              <w:rPr>
                <w:rFonts w:ascii="Times New Roman" w:hAnsi="宋体"/>
                <w:b/>
                <w:bCs/>
                <w:color w:val="auto"/>
                <w:spacing w:val="0"/>
                <w:szCs w:val="21"/>
              </w:rPr>
              <w:t>总计</w:t>
            </w:r>
          </w:p>
        </w:tc>
        <w:tc>
          <w:tcPr>
            <w:tcW w:w="668" w:type="pct"/>
            <w:vAlign w:val="center"/>
          </w:tcPr>
          <w:p w:rsidR="00EE4502" w:rsidRDefault="00FD45A3">
            <w:pPr>
              <w:pStyle w:val="affff0"/>
              <w:adjustRightInd/>
              <w:spacing w:before="0" w:after="0"/>
              <w:rPr>
                <w:rFonts w:ascii="Times New Roman"/>
                <w:b/>
                <w:bCs/>
                <w:color w:val="auto"/>
                <w:spacing w:val="0"/>
                <w:szCs w:val="21"/>
              </w:rPr>
            </w:pPr>
            <w:r>
              <w:rPr>
                <w:rFonts w:ascii="Times New Roman" w:hint="eastAsia"/>
                <w:b/>
                <w:bCs/>
                <w:color w:val="auto"/>
                <w:spacing w:val="0"/>
                <w:szCs w:val="21"/>
              </w:rPr>
              <w:t>995</w:t>
            </w:r>
          </w:p>
        </w:tc>
      </w:tr>
    </w:tbl>
    <w:p w:rsidR="00EE4502" w:rsidRDefault="00FD45A3">
      <w:pPr>
        <w:spacing w:line="360" w:lineRule="auto"/>
        <w:ind w:firstLine="522"/>
        <w:rPr>
          <w:sz w:val="24"/>
        </w:rPr>
      </w:pPr>
      <w:r>
        <w:rPr>
          <w:sz w:val="24"/>
        </w:rPr>
        <w:t>根据上表环保投资的估算，</w:t>
      </w:r>
      <w:r>
        <w:rPr>
          <w:rFonts w:hint="eastAsia"/>
          <w:sz w:val="24"/>
        </w:rPr>
        <w:t>春风油田石炭系排</w:t>
      </w:r>
      <w:r>
        <w:rPr>
          <w:rFonts w:hint="eastAsia"/>
          <w:sz w:val="24"/>
        </w:rPr>
        <w:t>61</w:t>
      </w:r>
      <w:r>
        <w:rPr>
          <w:rFonts w:hint="eastAsia"/>
          <w:sz w:val="24"/>
        </w:rPr>
        <w:t>块产能建设工程</w:t>
      </w:r>
      <w:r>
        <w:rPr>
          <w:sz w:val="24"/>
        </w:rPr>
        <w:t>总投资</w:t>
      </w:r>
      <w:r>
        <w:rPr>
          <w:rFonts w:hint="eastAsia"/>
          <w:sz w:val="24"/>
        </w:rPr>
        <w:t>11398.55</w:t>
      </w:r>
      <w:r>
        <w:rPr>
          <w:sz w:val="24"/>
        </w:rPr>
        <w:t>万元，其中环保投资费用估算为</w:t>
      </w:r>
      <w:r>
        <w:rPr>
          <w:rFonts w:hint="eastAsia"/>
          <w:sz w:val="24"/>
        </w:rPr>
        <w:t>995</w:t>
      </w:r>
      <w:r>
        <w:rPr>
          <w:sz w:val="24"/>
        </w:rPr>
        <w:t>万元，占项目总投资的</w:t>
      </w:r>
      <w:r>
        <w:rPr>
          <w:rFonts w:hint="eastAsia"/>
          <w:sz w:val="24"/>
        </w:rPr>
        <w:t>8.73</w:t>
      </w:r>
      <w:r>
        <w:rPr>
          <w:sz w:val="24"/>
        </w:rPr>
        <w:t>%</w:t>
      </w:r>
      <w:r>
        <w:rPr>
          <w:sz w:val="24"/>
        </w:rPr>
        <w:t>。</w:t>
      </w:r>
    </w:p>
    <w:p w:rsidR="00EE4502" w:rsidRDefault="00FD45A3">
      <w:pPr>
        <w:keepNext/>
        <w:keepLines/>
        <w:numPr>
          <w:ilvl w:val="1"/>
          <w:numId w:val="30"/>
        </w:numPr>
        <w:spacing w:line="360" w:lineRule="auto"/>
        <w:outlineLvl w:val="1"/>
        <w:rPr>
          <w:rFonts w:eastAsia="黑体"/>
          <w:bCs/>
          <w:kern w:val="28"/>
          <w:sz w:val="28"/>
          <w:szCs w:val="28"/>
        </w:rPr>
      </w:pPr>
      <w:bookmarkStart w:id="255" w:name="_Toc1035"/>
      <w:r>
        <w:rPr>
          <w:rFonts w:eastAsia="黑体" w:hint="eastAsia"/>
          <w:bCs/>
          <w:kern w:val="28"/>
          <w:sz w:val="28"/>
          <w:szCs w:val="28"/>
        </w:rPr>
        <w:t>社会效益分析</w:t>
      </w:r>
      <w:bookmarkEnd w:id="255"/>
    </w:p>
    <w:p w:rsidR="00EE4502" w:rsidRDefault="00FD45A3">
      <w:pPr>
        <w:spacing w:line="360" w:lineRule="auto"/>
        <w:ind w:firstLine="522"/>
        <w:rPr>
          <w:sz w:val="24"/>
        </w:rPr>
      </w:pPr>
      <w:r>
        <w:rPr>
          <w:rFonts w:hint="eastAsia"/>
          <w:sz w:val="24"/>
        </w:rPr>
        <w:t>本工程</w:t>
      </w:r>
      <w:r>
        <w:rPr>
          <w:sz w:val="24"/>
        </w:rPr>
        <w:t>的建设不仅为国家争取了宝贵的油气资源，而且对改善国家能源结构，缓解能源紧张，促进经济社会可持续发展具有重要意义。</w:t>
      </w:r>
      <w:r>
        <w:rPr>
          <w:rFonts w:hint="eastAsia"/>
          <w:sz w:val="24"/>
        </w:rPr>
        <w:t>本工程</w:t>
      </w:r>
      <w:r>
        <w:rPr>
          <w:sz w:val="24"/>
        </w:rPr>
        <w:t>建设必将形成带动新疆经济和社会发展新的增长点，对拉动当地经济发展将起到重要作用，可以带动当地原油及天然气副产品加工利用和相关产业的发展。</w:t>
      </w:r>
    </w:p>
    <w:p w:rsidR="00EE4502" w:rsidRDefault="00FD45A3">
      <w:pPr>
        <w:spacing w:line="360" w:lineRule="auto"/>
        <w:ind w:firstLine="522"/>
        <w:rPr>
          <w:sz w:val="24"/>
        </w:rPr>
      </w:pPr>
      <w:r>
        <w:rPr>
          <w:sz w:val="24"/>
        </w:rPr>
        <w:t>项目在有助于搞好新疆的经济建设的同时，会带来明显的经济效益和社会效益。对于新疆生产建设兵团、第七师及</w:t>
      </w:r>
      <w:r>
        <w:rPr>
          <w:sz w:val="24"/>
        </w:rPr>
        <w:t>128</w:t>
      </w:r>
      <w:r>
        <w:rPr>
          <w:sz w:val="24"/>
        </w:rPr>
        <w:t>团来讲，石油的开发及其相关产业的建设是整个国民经济和社会发展的支柱产业，同时可带动一批相关工业、第三产业的发展，给当地的经济发展注入活力。本工程的开发建设可为地方群众提供就业机会，增加人员收入；工程运行过程每年可提高当地的国税、地税收入</w:t>
      </w:r>
      <w:r>
        <w:rPr>
          <w:rFonts w:hint="eastAsia"/>
          <w:sz w:val="24"/>
        </w:rPr>
        <w:t>。</w:t>
      </w:r>
    </w:p>
    <w:p w:rsidR="00EE4502" w:rsidRDefault="00FD45A3">
      <w:pPr>
        <w:keepNext/>
        <w:keepLines/>
        <w:numPr>
          <w:ilvl w:val="1"/>
          <w:numId w:val="30"/>
        </w:numPr>
        <w:spacing w:line="360" w:lineRule="auto"/>
        <w:outlineLvl w:val="1"/>
        <w:rPr>
          <w:rFonts w:eastAsia="黑体"/>
          <w:bCs/>
          <w:kern w:val="28"/>
          <w:sz w:val="28"/>
          <w:szCs w:val="28"/>
        </w:rPr>
      </w:pPr>
      <w:bookmarkStart w:id="256" w:name="_Toc14254"/>
      <w:r>
        <w:rPr>
          <w:rFonts w:eastAsia="黑体" w:hint="eastAsia"/>
          <w:bCs/>
          <w:kern w:val="28"/>
          <w:sz w:val="28"/>
          <w:szCs w:val="28"/>
        </w:rPr>
        <w:t>综合效益分析</w:t>
      </w:r>
      <w:bookmarkEnd w:id="256"/>
    </w:p>
    <w:p w:rsidR="00EE4502" w:rsidRDefault="00FD45A3">
      <w:pPr>
        <w:spacing w:line="360" w:lineRule="auto"/>
        <w:ind w:firstLine="522"/>
        <w:rPr>
          <w:sz w:val="24"/>
        </w:rPr>
      </w:pPr>
      <w:r>
        <w:rPr>
          <w:sz w:val="24"/>
        </w:rPr>
        <w:t>建设项目的环保投资除了从某种程度反映工程对环境造成的经济损失和对</w:t>
      </w:r>
      <w:r>
        <w:rPr>
          <w:sz w:val="24"/>
        </w:rPr>
        <w:lastRenderedPageBreak/>
        <w:t>环保重视的程度外，更重要的意义还在于该投资所产生的环境效益和经济效益，其主要方面包括：</w:t>
      </w:r>
    </w:p>
    <w:p w:rsidR="00EE4502" w:rsidRDefault="00FD45A3">
      <w:pPr>
        <w:spacing w:line="360" w:lineRule="auto"/>
        <w:ind w:firstLine="522"/>
        <w:rPr>
          <w:sz w:val="24"/>
        </w:rPr>
      </w:pPr>
      <w:r>
        <w:rPr>
          <w:sz w:val="24"/>
        </w:rPr>
        <w:t>（</w:t>
      </w:r>
      <w:r>
        <w:rPr>
          <w:sz w:val="24"/>
        </w:rPr>
        <w:t>1</w:t>
      </w:r>
      <w:r>
        <w:rPr>
          <w:sz w:val="24"/>
        </w:rPr>
        <w:t>）钻井期产生的钻井废水、泥浆等污染物采取</w:t>
      </w:r>
      <w:r>
        <w:rPr>
          <w:rFonts w:hint="eastAsia"/>
          <w:sz w:val="24"/>
        </w:rPr>
        <w:t>克拉玛依前山石油工程服务有限公司</w:t>
      </w:r>
      <w:r>
        <w:rPr>
          <w:sz w:val="24"/>
        </w:rPr>
        <w:t>“</w:t>
      </w:r>
      <w:r>
        <w:rPr>
          <w:sz w:val="24"/>
        </w:rPr>
        <w:t>钻井废弃物不落地处理工艺</w:t>
      </w:r>
      <w:r>
        <w:rPr>
          <w:sz w:val="24"/>
        </w:rPr>
        <w:t>”</w:t>
      </w:r>
      <w:r>
        <w:rPr>
          <w:sz w:val="24"/>
        </w:rPr>
        <w:t>，以减少对土地和地下水资源的污染范围和程度。</w:t>
      </w:r>
    </w:p>
    <w:p w:rsidR="00EE4502" w:rsidRDefault="00FD45A3">
      <w:pPr>
        <w:spacing w:line="360" w:lineRule="auto"/>
        <w:ind w:firstLine="522"/>
        <w:rPr>
          <w:sz w:val="24"/>
        </w:rPr>
      </w:pPr>
      <w:r>
        <w:rPr>
          <w:sz w:val="24"/>
        </w:rPr>
        <w:t>（</w:t>
      </w:r>
      <w:r>
        <w:rPr>
          <w:sz w:val="24"/>
        </w:rPr>
        <w:t>2</w:t>
      </w:r>
      <w:r>
        <w:rPr>
          <w:sz w:val="24"/>
        </w:rPr>
        <w:t>）在施工期同时采取防风固沙工程措施，有助于植被的生长和水土保持，对防止沙丘活化具有较好的生态效益，生态经济的无价性可以说明生态保护的一次性投资获得的环境经济效益是显而易见的。</w:t>
      </w:r>
    </w:p>
    <w:p w:rsidR="00EE4502" w:rsidRDefault="00FD45A3">
      <w:pPr>
        <w:spacing w:line="360" w:lineRule="auto"/>
        <w:ind w:firstLine="522"/>
        <w:rPr>
          <w:sz w:val="24"/>
        </w:rPr>
      </w:pPr>
      <w:r>
        <w:rPr>
          <w:sz w:val="24"/>
        </w:rPr>
        <w:t>（</w:t>
      </w:r>
      <w:r>
        <w:rPr>
          <w:sz w:val="24"/>
        </w:rPr>
        <w:t>3</w:t>
      </w:r>
      <w:r>
        <w:rPr>
          <w:sz w:val="24"/>
        </w:rPr>
        <w:t>）大气污染防治和污水处理工程措施在减少环境污染方面具有一定的环境和经济效益，同时预防突发性污染事故的措施也具有更重要的环境经济意义。</w:t>
      </w:r>
    </w:p>
    <w:p w:rsidR="00EE4502" w:rsidRDefault="00FD45A3">
      <w:pPr>
        <w:spacing w:line="360" w:lineRule="auto"/>
        <w:ind w:firstLine="522"/>
        <w:rPr>
          <w:sz w:val="24"/>
        </w:rPr>
      </w:pPr>
      <w:r>
        <w:rPr>
          <w:rFonts w:hint="eastAsia"/>
          <w:sz w:val="24"/>
        </w:rPr>
        <w:t>春风油田石炭系排</w:t>
      </w:r>
      <w:r>
        <w:rPr>
          <w:rFonts w:hint="eastAsia"/>
          <w:sz w:val="24"/>
        </w:rPr>
        <w:t>61</w:t>
      </w:r>
      <w:r>
        <w:rPr>
          <w:rFonts w:hint="eastAsia"/>
          <w:sz w:val="24"/>
        </w:rPr>
        <w:t>块产能建设工程</w:t>
      </w:r>
      <w:r>
        <w:rPr>
          <w:sz w:val="24"/>
        </w:rPr>
        <w:t>的环保措施投资实施后，其环境经济效益主要体现在以下两个方面：</w:t>
      </w:r>
    </w:p>
    <w:p w:rsidR="00EE4502" w:rsidRDefault="00FD45A3">
      <w:pPr>
        <w:spacing w:line="360" w:lineRule="auto"/>
        <w:ind w:firstLine="522"/>
        <w:rPr>
          <w:sz w:val="24"/>
        </w:rPr>
      </w:pPr>
      <w:r>
        <w:rPr>
          <w:sz w:val="24"/>
        </w:rPr>
        <w:t>（</w:t>
      </w:r>
      <w:r>
        <w:rPr>
          <w:sz w:val="24"/>
        </w:rPr>
        <w:t>1</w:t>
      </w:r>
      <w:r>
        <w:rPr>
          <w:sz w:val="24"/>
        </w:rPr>
        <w:t>）减少工程对环境污染和破坏所造成的经济损失和降低环境污染风险的损失。根据该油田区地下水环境保护目标，特征污染物石油类等指标须保持现有水平，因此，一旦地下水受到污染，则用于废水处理设施的环保投资与因污染或破坏的环境资源损失所投入的治理费用是远远不能相比的。从这一点说明，该工程投入的环保投资在防范污染风险效益方面具有很大的意义。</w:t>
      </w:r>
    </w:p>
    <w:p w:rsidR="00EE4502" w:rsidRDefault="00FD45A3">
      <w:pPr>
        <w:spacing w:line="360" w:lineRule="auto"/>
        <w:ind w:firstLine="522"/>
        <w:rPr>
          <w:sz w:val="24"/>
        </w:rPr>
      </w:pPr>
      <w:r>
        <w:rPr>
          <w:sz w:val="24"/>
        </w:rPr>
        <w:t>（</w:t>
      </w:r>
      <w:r>
        <w:rPr>
          <w:sz w:val="24"/>
        </w:rPr>
        <w:t>2</w:t>
      </w:r>
      <w:r>
        <w:rPr>
          <w:sz w:val="24"/>
        </w:rPr>
        <w:t>）</w:t>
      </w:r>
      <w:r>
        <w:rPr>
          <w:rFonts w:hint="eastAsia"/>
          <w:sz w:val="24"/>
        </w:rPr>
        <w:t>工程区</w:t>
      </w:r>
      <w:r>
        <w:rPr>
          <w:sz w:val="24"/>
        </w:rPr>
        <w:t>特别是地面开发工程</w:t>
      </w:r>
      <w:r>
        <w:rPr>
          <w:rFonts w:hint="eastAsia"/>
          <w:sz w:val="24"/>
        </w:rPr>
        <w:t>周边</w:t>
      </w:r>
      <w:r>
        <w:rPr>
          <w:sz w:val="24"/>
        </w:rPr>
        <w:t>分布有农田生态系统，附近区域的农田种植棉花等农作物除了其自身的经济价值外，它在生态系</w:t>
      </w:r>
      <w:r>
        <w:rPr>
          <w:sz w:val="24"/>
        </w:rPr>
        <w:t>统中的生态作用是无法用货币价值评估的。所以，</w:t>
      </w:r>
      <w:r>
        <w:rPr>
          <w:rFonts w:hint="eastAsia"/>
          <w:sz w:val="24"/>
        </w:rPr>
        <w:t>春风油田石炭系排</w:t>
      </w:r>
      <w:r>
        <w:rPr>
          <w:rFonts w:hint="eastAsia"/>
          <w:sz w:val="24"/>
        </w:rPr>
        <w:t>61</w:t>
      </w:r>
      <w:r>
        <w:rPr>
          <w:rFonts w:hint="eastAsia"/>
          <w:sz w:val="24"/>
        </w:rPr>
        <w:t>块产能建设工程</w:t>
      </w:r>
      <w:r>
        <w:rPr>
          <w:sz w:val="24"/>
        </w:rPr>
        <w:t>实施生态保护措施可减少植被资源破坏造成的经济损失，工程一次性投资所获得的环境效益是明显的</w:t>
      </w:r>
      <w:r>
        <w:rPr>
          <w:rFonts w:hint="eastAsia"/>
          <w:sz w:val="24"/>
        </w:rPr>
        <w:t>。</w:t>
      </w:r>
    </w:p>
    <w:p w:rsidR="00EE4502" w:rsidRDefault="00FD45A3">
      <w:pPr>
        <w:keepNext/>
        <w:keepLines/>
        <w:numPr>
          <w:ilvl w:val="1"/>
          <w:numId w:val="30"/>
        </w:numPr>
        <w:spacing w:line="360" w:lineRule="auto"/>
        <w:outlineLvl w:val="1"/>
        <w:rPr>
          <w:rFonts w:eastAsia="黑体"/>
          <w:bCs/>
          <w:kern w:val="28"/>
          <w:sz w:val="28"/>
          <w:szCs w:val="28"/>
        </w:rPr>
      </w:pPr>
      <w:bookmarkStart w:id="257" w:name="_Toc18963"/>
      <w:r>
        <w:rPr>
          <w:rFonts w:eastAsia="黑体" w:hint="eastAsia"/>
          <w:bCs/>
          <w:kern w:val="28"/>
          <w:sz w:val="28"/>
          <w:szCs w:val="28"/>
        </w:rPr>
        <w:t>环境经济损益分析结论</w:t>
      </w:r>
      <w:bookmarkEnd w:id="257"/>
    </w:p>
    <w:p w:rsidR="00EE4502" w:rsidRDefault="00FD45A3">
      <w:pPr>
        <w:spacing w:line="360" w:lineRule="auto"/>
        <w:ind w:firstLine="522"/>
        <w:rPr>
          <w:sz w:val="24"/>
        </w:rPr>
      </w:pPr>
      <w:r>
        <w:rPr>
          <w:sz w:val="24"/>
        </w:rPr>
        <w:t>针对</w:t>
      </w:r>
      <w:r>
        <w:rPr>
          <w:rFonts w:hint="eastAsia"/>
          <w:sz w:val="24"/>
        </w:rPr>
        <w:t>春风油田石炭系排</w:t>
      </w:r>
      <w:r>
        <w:rPr>
          <w:rFonts w:hint="eastAsia"/>
          <w:sz w:val="24"/>
        </w:rPr>
        <w:t>61</w:t>
      </w:r>
      <w:r>
        <w:rPr>
          <w:rFonts w:hint="eastAsia"/>
          <w:sz w:val="24"/>
        </w:rPr>
        <w:t>块产能建设工程</w:t>
      </w:r>
      <w:r>
        <w:rPr>
          <w:sz w:val="24"/>
        </w:rPr>
        <w:t>所处生态环境的敏感性，工程建设势必对环境造成一定的扰动，如果不采取任何防范措施，有可能加剧</w:t>
      </w:r>
      <w:r>
        <w:rPr>
          <w:rFonts w:hint="eastAsia"/>
          <w:sz w:val="24"/>
        </w:rPr>
        <w:t>工程区</w:t>
      </w:r>
      <w:r>
        <w:rPr>
          <w:sz w:val="24"/>
        </w:rPr>
        <w:t>荒漠化程度、使局部地段荒漠</w:t>
      </w:r>
      <w:r>
        <w:rPr>
          <w:rFonts w:hint="eastAsia"/>
          <w:sz w:val="24"/>
        </w:rPr>
        <w:t>化</w:t>
      </w:r>
      <w:r>
        <w:rPr>
          <w:sz w:val="24"/>
        </w:rPr>
        <w:t>，水土流失加剧。</w:t>
      </w:r>
    </w:p>
    <w:p w:rsidR="00EE4502" w:rsidRDefault="00FD45A3">
      <w:pPr>
        <w:spacing w:line="360" w:lineRule="auto"/>
        <w:ind w:firstLine="522"/>
        <w:rPr>
          <w:sz w:val="24"/>
        </w:rPr>
      </w:pPr>
      <w:r>
        <w:rPr>
          <w:sz w:val="24"/>
        </w:rPr>
        <w:t>鉴于此，环评建议除采取上述环保措施以外，建设单位应加强对施工队伍环境保护的宣传教育，特别要注意对野生动植物的保护。在施工作业带以外，严禁随意</w:t>
      </w:r>
      <w:r>
        <w:rPr>
          <w:sz w:val="24"/>
        </w:rPr>
        <w:t>砍伐，破坏树木和植被，禁止捕杀野生动物。对由于工程建设造成植被损失的，严格按照</w:t>
      </w:r>
      <w:r>
        <w:rPr>
          <w:rFonts w:hint="eastAsia"/>
          <w:sz w:val="24"/>
        </w:rPr>
        <w:t>“</w:t>
      </w:r>
      <w:r>
        <w:rPr>
          <w:sz w:val="24"/>
        </w:rPr>
        <w:t>占一补一</w:t>
      </w:r>
      <w:r>
        <w:rPr>
          <w:rFonts w:hint="eastAsia"/>
          <w:sz w:val="24"/>
        </w:rPr>
        <w:t>”</w:t>
      </w:r>
      <w:r>
        <w:rPr>
          <w:sz w:val="24"/>
        </w:rPr>
        <w:t>的原则进行补偿，另外在施工过程中，对产生扬尘</w:t>
      </w:r>
      <w:r>
        <w:rPr>
          <w:sz w:val="24"/>
        </w:rPr>
        <w:lastRenderedPageBreak/>
        <w:t>较大区域及时洒水降尘，降低扬尘对环境影响。</w:t>
      </w:r>
    </w:p>
    <w:p w:rsidR="00EE4502" w:rsidRDefault="00EE4502">
      <w:pPr>
        <w:spacing w:line="500" w:lineRule="exact"/>
        <w:rPr>
          <w:sz w:val="26"/>
          <w:szCs w:val="26"/>
        </w:rPr>
        <w:sectPr w:rsidR="00EE4502">
          <w:pgSz w:w="11906" w:h="16838"/>
          <w:pgMar w:top="1440" w:right="1800" w:bottom="1440" w:left="1800" w:header="850" w:footer="850" w:gutter="0"/>
          <w:pgNumType w:fmt="numberInDash"/>
          <w:cols w:space="720"/>
          <w:docGrid w:linePitch="326"/>
        </w:sectPr>
      </w:pPr>
    </w:p>
    <w:p w:rsidR="00EE4502" w:rsidRDefault="00FD45A3">
      <w:pPr>
        <w:pStyle w:val="12"/>
        <w:numPr>
          <w:ilvl w:val="0"/>
          <w:numId w:val="30"/>
        </w:numPr>
        <w:spacing w:before="0" w:after="0" w:line="360" w:lineRule="auto"/>
        <w:ind w:left="0" w:firstLine="0"/>
        <w:rPr>
          <w:b w:val="0"/>
          <w:szCs w:val="30"/>
        </w:rPr>
      </w:pPr>
      <w:bookmarkStart w:id="258" w:name="_Toc32551"/>
      <w:bookmarkEnd w:id="253"/>
      <w:r>
        <w:rPr>
          <w:b w:val="0"/>
          <w:szCs w:val="30"/>
        </w:rPr>
        <w:lastRenderedPageBreak/>
        <w:t>环境管理与监测计划</w:t>
      </w:r>
      <w:bookmarkEnd w:id="258"/>
    </w:p>
    <w:p w:rsidR="00EE4502" w:rsidRDefault="00FD45A3">
      <w:pPr>
        <w:pStyle w:val="22"/>
        <w:numPr>
          <w:ilvl w:val="1"/>
          <w:numId w:val="30"/>
        </w:numPr>
        <w:rPr>
          <w:spacing w:val="0"/>
          <w:w w:val="100"/>
        </w:rPr>
      </w:pPr>
      <w:bookmarkStart w:id="259" w:name="_Toc32404"/>
      <w:r>
        <w:rPr>
          <w:rFonts w:hint="eastAsia"/>
          <w:spacing w:val="0"/>
          <w:w w:val="100"/>
        </w:rPr>
        <w:t>环境管理</w:t>
      </w:r>
      <w:bookmarkEnd w:id="259"/>
    </w:p>
    <w:p w:rsidR="00EE4502" w:rsidRDefault="00FD45A3">
      <w:pPr>
        <w:pStyle w:val="33"/>
        <w:numPr>
          <w:ilvl w:val="2"/>
          <w:numId w:val="30"/>
        </w:numPr>
        <w:spacing w:line="360" w:lineRule="auto"/>
        <w:ind w:left="0" w:firstLine="0"/>
        <w:rPr>
          <w:spacing w:val="0"/>
          <w:sz w:val="24"/>
          <w:szCs w:val="24"/>
        </w:rPr>
      </w:pPr>
      <w:r>
        <w:rPr>
          <w:rFonts w:hint="eastAsia"/>
          <w:spacing w:val="0"/>
          <w:sz w:val="24"/>
          <w:szCs w:val="24"/>
        </w:rPr>
        <w:t>环境管理机构及职责</w:t>
      </w:r>
    </w:p>
    <w:p w:rsidR="00EE4502" w:rsidRDefault="00FD45A3">
      <w:pPr>
        <w:spacing w:line="360" w:lineRule="auto"/>
        <w:ind w:firstLine="522"/>
        <w:rPr>
          <w:sz w:val="24"/>
        </w:rPr>
      </w:pPr>
      <w:r>
        <w:rPr>
          <w:sz w:val="24"/>
        </w:rPr>
        <w:t>（</w:t>
      </w:r>
      <w:r>
        <w:rPr>
          <w:sz w:val="24"/>
        </w:rPr>
        <w:t>1</w:t>
      </w:r>
      <w:r>
        <w:rPr>
          <w:sz w:val="24"/>
        </w:rPr>
        <w:t>）决策机构</w:t>
      </w:r>
    </w:p>
    <w:p w:rsidR="00EE4502" w:rsidRDefault="00FD45A3">
      <w:pPr>
        <w:spacing w:line="360" w:lineRule="auto"/>
        <w:ind w:firstLine="522"/>
        <w:rPr>
          <w:sz w:val="24"/>
        </w:rPr>
      </w:pPr>
      <w:r>
        <w:rPr>
          <w:sz w:val="24"/>
        </w:rPr>
        <w:t>中石化新疆新春石油开发有限责任公司负责该项目的组织，协调工作，与自治区有关地方政府协商提供必要支持，并协调勘探部门的分工协作工作，包括生态环境建设和保护的宏观管理和决策。</w:t>
      </w:r>
    </w:p>
    <w:p w:rsidR="00EE4502" w:rsidRDefault="00FD45A3">
      <w:pPr>
        <w:spacing w:line="360" w:lineRule="auto"/>
        <w:ind w:firstLine="522"/>
        <w:rPr>
          <w:sz w:val="24"/>
        </w:rPr>
      </w:pPr>
      <w:r>
        <w:rPr>
          <w:sz w:val="24"/>
        </w:rPr>
        <w:t>（</w:t>
      </w:r>
      <w:r>
        <w:rPr>
          <w:sz w:val="24"/>
        </w:rPr>
        <w:t>2</w:t>
      </w:r>
      <w:r>
        <w:rPr>
          <w:sz w:val="24"/>
        </w:rPr>
        <w:t>）实施与管理机构</w:t>
      </w:r>
    </w:p>
    <w:p w:rsidR="00EE4502" w:rsidRDefault="00FD45A3">
      <w:pPr>
        <w:spacing w:line="360" w:lineRule="auto"/>
        <w:ind w:firstLine="522"/>
        <w:rPr>
          <w:sz w:val="24"/>
        </w:rPr>
      </w:pPr>
      <w:r>
        <w:rPr>
          <w:rFonts w:ascii="宋体" w:hAnsi="宋体" w:cs="宋体" w:hint="eastAsia"/>
          <w:sz w:val="24"/>
        </w:rPr>
        <w:t>①</w:t>
      </w:r>
      <w:r>
        <w:rPr>
          <w:sz w:val="24"/>
        </w:rPr>
        <w:t>组织健全落实公司环境保护责任制，承担公司环境保护综合监管责任；</w:t>
      </w:r>
    </w:p>
    <w:p w:rsidR="00EE4502" w:rsidRDefault="00FD45A3">
      <w:pPr>
        <w:spacing w:line="360" w:lineRule="auto"/>
        <w:ind w:firstLine="522"/>
        <w:rPr>
          <w:sz w:val="24"/>
        </w:rPr>
      </w:pPr>
      <w:r>
        <w:rPr>
          <w:rFonts w:ascii="宋体" w:hAnsi="宋体" w:cs="宋体" w:hint="eastAsia"/>
          <w:sz w:val="24"/>
        </w:rPr>
        <w:t>②</w:t>
      </w:r>
      <w:r>
        <w:rPr>
          <w:sz w:val="24"/>
        </w:rPr>
        <w:t>负责公司环境保护管理体系建设，组织公司环境保护规章制度的修订，做好与上位制度的承接；</w:t>
      </w:r>
    </w:p>
    <w:p w:rsidR="00EE4502" w:rsidRDefault="00FD45A3">
      <w:pPr>
        <w:spacing w:line="360" w:lineRule="auto"/>
        <w:ind w:firstLine="522"/>
        <w:rPr>
          <w:sz w:val="24"/>
        </w:rPr>
      </w:pPr>
      <w:r>
        <w:rPr>
          <w:rFonts w:ascii="宋体" w:hAnsi="宋体" w:cs="宋体" w:hint="eastAsia"/>
          <w:sz w:val="24"/>
        </w:rPr>
        <w:t>③</w:t>
      </w:r>
      <w:r>
        <w:rPr>
          <w:sz w:val="24"/>
        </w:rPr>
        <w:t>制定公司环境保护工作规划、计划（含绿色企业），组织分解落实相应目标指标；</w:t>
      </w:r>
    </w:p>
    <w:p w:rsidR="00EE4502" w:rsidRDefault="00FD45A3">
      <w:pPr>
        <w:spacing w:line="360" w:lineRule="auto"/>
        <w:ind w:firstLine="522"/>
        <w:rPr>
          <w:sz w:val="24"/>
        </w:rPr>
      </w:pPr>
      <w:r>
        <w:rPr>
          <w:rFonts w:ascii="宋体" w:hAnsi="宋体" w:cs="宋体" w:hint="eastAsia"/>
          <w:sz w:val="24"/>
        </w:rPr>
        <w:t>④</w:t>
      </w:r>
      <w:r>
        <w:rPr>
          <w:sz w:val="24"/>
        </w:rPr>
        <w:t>统筹协调公司环境保护专项、综合性环保检查，负责环境保护绩效考核工作；</w:t>
      </w:r>
    </w:p>
    <w:p w:rsidR="00EE4502" w:rsidRDefault="00FD45A3">
      <w:pPr>
        <w:spacing w:line="360" w:lineRule="auto"/>
        <w:ind w:firstLine="522"/>
        <w:rPr>
          <w:sz w:val="24"/>
        </w:rPr>
      </w:pPr>
      <w:r>
        <w:rPr>
          <w:rFonts w:ascii="宋体" w:hAnsi="宋体" w:cs="宋体" w:hint="eastAsia"/>
          <w:sz w:val="24"/>
        </w:rPr>
        <w:t>⑤</w:t>
      </w:r>
      <w:r>
        <w:rPr>
          <w:sz w:val="24"/>
        </w:rPr>
        <w:t>负责公司建设项目环境保护</w:t>
      </w:r>
      <w:r>
        <w:rPr>
          <w:sz w:val="24"/>
        </w:rPr>
        <w:t>“</w:t>
      </w:r>
      <w:r>
        <w:rPr>
          <w:sz w:val="24"/>
        </w:rPr>
        <w:t>三同时</w:t>
      </w:r>
      <w:r>
        <w:rPr>
          <w:sz w:val="24"/>
        </w:rPr>
        <w:t>”</w:t>
      </w:r>
      <w:r>
        <w:rPr>
          <w:sz w:val="24"/>
        </w:rPr>
        <w:t>工作。负责公司环保隐患治理项目的综合监督管理，督导有关单位和部门制定并落实隐患治理措施；</w:t>
      </w:r>
    </w:p>
    <w:p w:rsidR="00EE4502" w:rsidRDefault="00FD45A3">
      <w:pPr>
        <w:spacing w:line="360" w:lineRule="auto"/>
        <w:ind w:firstLine="522"/>
        <w:rPr>
          <w:sz w:val="24"/>
        </w:rPr>
      </w:pPr>
      <w:r>
        <w:rPr>
          <w:rFonts w:ascii="宋体" w:hAnsi="宋体" w:cs="宋体" w:hint="eastAsia"/>
          <w:sz w:val="24"/>
        </w:rPr>
        <w:t>⑥</w:t>
      </w:r>
      <w:r>
        <w:rPr>
          <w:sz w:val="24"/>
        </w:rPr>
        <w:t>根据公司</w:t>
      </w:r>
      <w:r>
        <w:rPr>
          <w:sz w:val="24"/>
        </w:rPr>
        <w:t>QHSE</w:t>
      </w:r>
      <w:r>
        <w:rPr>
          <w:sz w:val="24"/>
        </w:rPr>
        <w:t>要求，配合上级部门开展环境事件调查。</w:t>
      </w:r>
    </w:p>
    <w:p w:rsidR="00EE4502" w:rsidRDefault="00FD45A3">
      <w:pPr>
        <w:spacing w:line="360" w:lineRule="auto"/>
        <w:ind w:firstLine="522"/>
        <w:rPr>
          <w:sz w:val="24"/>
        </w:rPr>
      </w:pPr>
      <w:r>
        <w:rPr>
          <w:rFonts w:ascii="宋体" w:hAnsi="宋体" w:cs="宋体" w:hint="eastAsia"/>
          <w:sz w:val="24"/>
        </w:rPr>
        <w:t>⑦</w:t>
      </w:r>
      <w:r>
        <w:rPr>
          <w:sz w:val="24"/>
        </w:rPr>
        <w:t>负责公司环境保护日常性环保检查，参与专项、综合性环保检查。</w:t>
      </w:r>
    </w:p>
    <w:p w:rsidR="00EE4502" w:rsidRDefault="00FD45A3">
      <w:pPr>
        <w:spacing w:line="360" w:lineRule="auto"/>
        <w:ind w:firstLine="522"/>
        <w:rPr>
          <w:sz w:val="24"/>
        </w:rPr>
      </w:pPr>
      <w:r>
        <w:rPr>
          <w:rFonts w:ascii="宋体" w:hAnsi="宋体" w:cs="宋体" w:hint="eastAsia"/>
          <w:sz w:val="24"/>
        </w:rPr>
        <w:t>⑧</w:t>
      </w:r>
      <w:r>
        <w:rPr>
          <w:sz w:val="24"/>
        </w:rPr>
        <w:t>按照公司相关考核办法，对检查中发现的违章行为进行处罚。</w:t>
      </w:r>
    </w:p>
    <w:p w:rsidR="00EE4502" w:rsidRDefault="00FD45A3">
      <w:pPr>
        <w:spacing w:line="360" w:lineRule="auto"/>
        <w:ind w:firstLine="522"/>
        <w:rPr>
          <w:sz w:val="24"/>
        </w:rPr>
      </w:pPr>
      <w:r>
        <w:rPr>
          <w:sz w:val="24"/>
        </w:rPr>
        <w:t>各业务部门是业务范围内环境保护工作的管理和监督主体，按照</w:t>
      </w:r>
      <w:r>
        <w:rPr>
          <w:rFonts w:hint="eastAsia"/>
          <w:sz w:val="24"/>
        </w:rPr>
        <w:t>《新春公司环境保护管理规定》《新春公司环境污染防治管理规定》《新春公司</w:t>
      </w:r>
      <w:r>
        <w:rPr>
          <w:rFonts w:hint="eastAsia"/>
          <w:sz w:val="24"/>
        </w:rPr>
        <w:t>QHSE</w:t>
      </w:r>
      <w:r>
        <w:rPr>
          <w:rFonts w:hint="eastAsia"/>
          <w:sz w:val="24"/>
        </w:rPr>
        <w:t>监督管理办法》</w:t>
      </w:r>
      <w:r>
        <w:rPr>
          <w:rFonts w:hint="eastAsia"/>
          <w:sz w:val="24"/>
        </w:rPr>
        <w:t>等</w:t>
      </w:r>
      <w:r>
        <w:rPr>
          <w:sz w:val="24"/>
        </w:rPr>
        <w:t>履行相关环保责任。</w:t>
      </w:r>
    </w:p>
    <w:p w:rsidR="00EE4502" w:rsidRDefault="00FD45A3">
      <w:pPr>
        <w:spacing w:line="360" w:lineRule="auto"/>
        <w:ind w:firstLine="522"/>
        <w:rPr>
          <w:sz w:val="24"/>
        </w:rPr>
      </w:pPr>
      <w:r>
        <w:rPr>
          <w:sz w:val="24"/>
        </w:rPr>
        <w:t>各单位是属地范围内环境保护工作的管理和监督责任主体，负责本单位环境保护工作的具体实施，组织制定本单位各部门环境保护职责，建立环境保护全员岗位责任制，负责区、县级环保</w:t>
      </w:r>
      <w:r>
        <w:rPr>
          <w:rFonts w:hint="eastAsia"/>
          <w:sz w:val="24"/>
        </w:rPr>
        <w:t>督察</w:t>
      </w:r>
      <w:r>
        <w:rPr>
          <w:sz w:val="24"/>
        </w:rPr>
        <w:t>的迎检。</w:t>
      </w:r>
    </w:p>
    <w:p w:rsidR="00EE4502" w:rsidRDefault="00FD45A3">
      <w:pPr>
        <w:spacing w:line="360" w:lineRule="auto"/>
        <w:ind w:firstLine="522"/>
        <w:rPr>
          <w:sz w:val="24"/>
        </w:rPr>
      </w:pPr>
      <w:r>
        <w:rPr>
          <w:sz w:val="24"/>
        </w:rPr>
        <w:t>（</w:t>
      </w:r>
      <w:r>
        <w:rPr>
          <w:sz w:val="24"/>
        </w:rPr>
        <w:t>3</w:t>
      </w:r>
      <w:r>
        <w:rPr>
          <w:sz w:val="24"/>
        </w:rPr>
        <w:t>）监督机构</w:t>
      </w:r>
    </w:p>
    <w:p w:rsidR="00EE4502" w:rsidRDefault="00FD45A3">
      <w:pPr>
        <w:spacing w:line="360" w:lineRule="auto"/>
        <w:ind w:firstLine="522"/>
        <w:rPr>
          <w:sz w:val="24"/>
        </w:rPr>
      </w:pPr>
      <w:r>
        <w:rPr>
          <w:rFonts w:hint="eastAsia"/>
          <w:sz w:val="24"/>
        </w:rPr>
        <w:t>克拉玛依生态环境局、第七师</w:t>
      </w:r>
      <w:r>
        <w:rPr>
          <w:sz w:val="24"/>
        </w:rPr>
        <w:t>生态</w:t>
      </w:r>
      <w:r>
        <w:rPr>
          <w:sz w:val="24"/>
        </w:rPr>
        <w:t>环境局负责检查该项目环境影响评价的执行情况，审批该项目的环评执行标准，审查该项目的环境影响评价报告书，指</w:t>
      </w:r>
      <w:r>
        <w:rPr>
          <w:sz w:val="24"/>
        </w:rPr>
        <w:lastRenderedPageBreak/>
        <w:t>导</w:t>
      </w:r>
      <w:r>
        <w:rPr>
          <w:rFonts w:hint="eastAsia"/>
          <w:sz w:val="24"/>
        </w:rPr>
        <w:t>当地</w:t>
      </w:r>
      <w:r>
        <w:rPr>
          <w:sz w:val="24"/>
        </w:rPr>
        <w:t>生态环境</w:t>
      </w:r>
      <w:r>
        <w:rPr>
          <w:rFonts w:hint="eastAsia"/>
          <w:sz w:val="24"/>
        </w:rPr>
        <w:t>主管部门</w:t>
      </w:r>
      <w:r>
        <w:rPr>
          <w:sz w:val="24"/>
        </w:rPr>
        <w:t>对该项目在建设期与运营期的日常环境管理工作。</w:t>
      </w:r>
      <w:r>
        <w:rPr>
          <w:rFonts w:hint="eastAsia"/>
          <w:sz w:val="24"/>
        </w:rPr>
        <w:t>生态环境主管部门</w:t>
      </w:r>
      <w:r>
        <w:rPr>
          <w:sz w:val="24"/>
        </w:rPr>
        <w:t>是具体负责环境管理的职能机构，受</w:t>
      </w:r>
      <w:r>
        <w:rPr>
          <w:rFonts w:hint="eastAsia"/>
          <w:sz w:val="24"/>
        </w:rPr>
        <w:t>克拉玛依生态环境局、第七师生态环境局</w:t>
      </w:r>
      <w:r>
        <w:rPr>
          <w:sz w:val="24"/>
        </w:rPr>
        <w:t>业务指导，监督辖区内油田勘探单位执行环境监控计划及有关环境管理的法律法规和环境标准。</w:t>
      </w:r>
    </w:p>
    <w:p w:rsidR="00EE4502" w:rsidRDefault="00FD45A3">
      <w:pPr>
        <w:pStyle w:val="33"/>
        <w:numPr>
          <w:ilvl w:val="2"/>
          <w:numId w:val="30"/>
        </w:numPr>
        <w:spacing w:line="360" w:lineRule="auto"/>
        <w:ind w:left="0" w:firstLine="0"/>
        <w:rPr>
          <w:spacing w:val="0"/>
          <w:sz w:val="24"/>
          <w:szCs w:val="24"/>
        </w:rPr>
      </w:pPr>
      <w:r>
        <w:rPr>
          <w:rFonts w:hint="eastAsia"/>
          <w:spacing w:val="0"/>
          <w:sz w:val="24"/>
          <w:szCs w:val="24"/>
        </w:rPr>
        <w:t>施工期的环境管理任务</w:t>
      </w:r>
    </w:p>
    <w:p w:rsidR="00EE4502" w:rsidRDefault="00FD45A3">
      <w:pPr>
        <w:spacing w:line="360" w:lineRule="auto"/>
        <w:ind w:firstLine="522"/>
        <w:rPr>
          <w:sz w:val="24"/>
        </w:rPr>
      </w:pPr>
      <w:r>
        <w:rPr>
          <w:rFonts w:hint="eastAsia"/>
          <w:sz w:val="24"/>
        </w:rPr>
        <w:t>（</w:t>
      </w:r>
      <w:r>
        <w:rPr>
          <w:rFonts w:hint="eastAsia"/>
          <w:sz w:val="24"/>
        </w:rPr>
        <w:t>1</w:t>
      </w:r>
      <w:r>
        <w:rPr>
          <w:rFonts w:hint="eastAsia"/>
          <w:sz w:val="24"/>
        </w:rPr>
        <w:t>）建立和实施施工作业队伍的</w:t>
      </w:r>
      <w:r>
        <w:rPr>
          <w:rFonts w:hint="eastAsia"/>
          <w:sz w:val="24"/>
        </w:rPr>
        <w:t>QHSE</w:t>
      </w:r>
      <w:r>
        <w:rPr>
          <w:rFonts w:hint="eastAsia"/>
          <w:sz w:val="24"/>
        </w:rPr>
        <w:t>管理体系。</w:t>
      </w:r>
    </w:p>
    <w:p w:rsidR="00EE4502" w:rsidRDefault="00FD45A3">
      <w:pPr>
        <w:spacing w:line="360" w:lineRule="auto"/>
        <w:ind w:firstLine="522"/>
        <w:rPr>
          <w:sz w:val="24"/>
        </w:rPr>
      </w:pPr>
      <w:r>
        <w:rPr>
          <w:rFonts w:hint="eastAsia"/>
          <w:sz w:val="24"/>
        </w:rPr>
        <w:t>（</w:t>
      </w:r>
      <w:r>
        <w:rPr>
          <w:rFonts w:hint="eastAsia"/>
          <w:sz w:val="24"/>
        </w:rPr>
        <w:t>2</w:t>
      </w:r>
      <w:r>
        <w:rPr>
          <w:rFonts w:hint="eastAsia"/>
          <w:sz w:val="24"/>
        </w:rPr>
        <w:t>）工程建设单位应将项目建设计划表呈报环境管理部门，以便对工程建设全过程进行环境保护措施和环境保护</w:t>
      </w:r>
      <w:r>
        <w:rPr>
          <w:rFonts w:hint="eastAsia"/>
          <w:sz w:val="24"/>
        </w:rPr>
        <w:t>工程的监督和检查。</w:t>
      </w:r>
    </w:p>
    <w:p w:rsidR="00EE4502" w:rsidRDefault="00FD45A3">
      <w:pPr>
        <w:spacing w:line="360" w:lineRule="auto"/>
        <w:ind w:firstLine="522"/>
        <w:rPr>
          <w:sz w:val="24"/>
        </w:rPr>
      </w:pPr>
      <w:r>
        <w:rPr>
          <w:rFonts w:hint="eastAsia"/>
          <w:sz w:val="24"/>
        </w:rPr>
        <w:t>（</w:t>
      </w:r>
      <w:r>
        <w:rPr>
          <w:rFonts w:hint="eastAsia"/>
          <w:sz w:val="24"/>
        </w:rPr>
        <w:t>3</w:t>
      </w:r>
      <w:r>
        <w:rPr>
          <w:rFonts w:hint="eastAsia"/>
          <w:sz w:val="24"/>
        </w:rPr>
        <w:t>）实施施工作业环境监理制度，以确保施工作业对生态造成的破坏降到最低限度。</w:t>
      </w:r>
    </w:p>
    <w:p w:rsidR="00EE4502" w:rsidRDefault="00FD45A3">
      <w:pPr>
        <w:spacing w:line="360" w:lineRule="auto"/>
        <w:ind w:firstLine="522"/>
        <w:rPr>
          <w:sz w:val="24"/>
        </w:rPr>
      </w:pPr>
      <w:r>
        <w:rPr>
          <w:rFonts w:hint="eastAsia"/>
          <w:sz w:val="24"/>
        </w:rPr>
        <w:t>（</w:t>
      </w:r>
      <w:r>
        <w:rPr>
          <w:rFonts w:hint="eastAsia"/>
          <w:sz w:val="24"/>
        </w:rPr>
        <w:t>4</w:t>
      </w:r>
      <w:r>
        <w:rPr>
          <w:rFonts w:hint="eastAsia"/>
          <w:sz w:val="24"/>
        </w:rPr>
        <w:t>）工程建设结束后，会同当地环保主管部门共同参与检查验收。</w:t>
      </w:r>
    </w:p>
    <w:p w:rsidR="00EE4502" w:rsidRDefault="00FD45A3">
      <w:pPr>
        <w:pStyle w:val="33"/>
        <w:numPr>
          <w:ilvl w:val="2"/>
          <w:numId w:val="30"/>
        </w:numPr>
        <w:spacing w:line="360" w:lineRule="auto"/>
        <w:ind w:left="0" w:firstLine="0"/>
        <w:rPr>
          <w:spacing w:val="0"/>
          <w:sz w:val="24"/>
          <w:szCs w:val="24"/>
        </w:rPr>
      </w:pPr>
      <w:r>
        <w:rPr>
          <w:rFonts w:hint="eastAsia"/>
          <w:spacing w:val="0"/>
          <w:sz w:val="24"/>
          <w:szCs w:val="24"/>
        </w:rPr>
        <w:t>运营期的环境管理任务</w:t>
      </w:r>
    </w:p>
    <w:p w:rsidR="00EE4502" w:rsidRDefault="00FD45A3">
      <w:pPr>
        <w:spacing w:line="360" w:lineRule="auto"/>
        <w:ind w:firstLine="522"/>
        <w:rPr>
          <w:sz w:val="24"/>
        </w:rPr>
      </w:pPr>
      <w:r>
        <w:rPr>
          <w:rFonts w:hint="eastAsia"/>
          <w:sz w:val="24"/>
        </w:rPr>
        <w:t>（</w:t>
      </w:r>
      <w:r>
        <w:rPr>
          <w:rFonts w:hint="eastAsia"/>
          <w:sz w:val="24"/>
        </w:rPr>
        <w:t>1</w:t>
      </w:r>
      <w:r>
        <w:rPr>
          <w:rFonts w:hint="eastAsia"/>
          <w:sz w:val="24"/>
        </w:rPr>
        <w:t>）工程运营期的</w:t>
      </w:r>
      <w:r>
        <w:rPr>
          <w:rFonts w:hint="eastAsia"/>
          <w:sz w:val="24"/>
        </w:rPr>
        <w:t>QHSE</w:t>
      </w:r>
      <w:r>
        <w:rPr>
          <w:rFonts w:hint="eastAsia"/>
          <w:sz w:val="24"/>
        </w:rPr>
        <w:t>管理体系纳入春风油田</w:t>
      </w:r>
      <w:r>
        <w:rPr>
          <w:rFonts w:hint="eastAsia"/>
          <w:sz w:val="24"/>
        </w:rPr>
        <w:t>QHSE</w:t>
      </w:r>
      <w:r>
        <w:rPr>
          <w:rFonts w:hint="eastAsia"/>
          <w:sz w:val="24"/>
        </w:rPr>
        <w:t>系统统一管理。</w:t>
      </w:r>
    </w:p>
    <w:p w:rsidR="00EE4502" w:rsidRDefault="00FD45A3">
      <w:pPr>
        <w:spacing w:line="360" w:lineRule="auto"/>
        <w:ind w:firstLine="522"/>
        <w:rPr>
          <w:sz w:val="24"/>
        </w:rPr>
      </w:pPr>
      <w:r>
        <w:rPr>
          <w:rFonts w:hint="eastAsia"/>
          <w:sz w:val="24"/>
        </w:rPr>
        <w:t>（</w:t>
      </w:r>
      <w:r>
        <w:rPr>
          <w:rFonts w:hint="eastAsia"/>
          <w:sz w:val="24"/>
        </w:rPr>
        <w:t>2</w:t>
      </w:r>
      <w:r>
        <w:rPr>
          <w:rFonts w:hint="eastAsia"/>
          <w:sz w:val="24"/>
        </w:rPr>
        <w:t>）协助进行环境保护设施的竣工验收工作，贯彻执行国家、地方及上级部门有关环境保护方针、政策、法律法规。</w:t>
      </w:r>
    </w:p>
    <w:p w:rsidR="00EE4502" w:rsidRDefault="00FD45A3">
      <w:pPr>
        <w:spacing w:line="360" w:lineRule="auto"/>
        <w:ind w:firstLine="522"/>
        <w:rPr>
          <w:sz w:val="24"/>
        </w:rPr>
      </w:pPr>
      <w:r>
        <w:rPr>
          <w:rFonts w:hint="eastAsia"/>
          <w:sz w:val="24"/>
        </w:rPr>
        <w:t>（</w:t>
      </w:r>
      <w:r>
        <w:rPr>
          <w:rFonts w:hint="eastAsia"/>
          <w:sz w:val="24"/>
        </w:rPr>
        <w:t>3</w:t>
      </w:r>
      <w:r>
        <w:rPr>
          <w:rFonts w:hint="eastAsia"/>
          <w:sz w:val="24"/>
        </w:rPr>
        <w:t>）负责集输管线的日常环境保护管理工作及定期进行环保安全检查，如生态恢复、环境监测等。</w:t>
      </w:r>
    </w:p>
    <w:p w:rsidR="00EE4502" w:rsidRDefault="00FD45A3">
      <w:pPr>
        <w:spacing w:line="360" w:lineRule="auto"/>
        <w:ind w:firstLine="522"/>
        <w:rPr>
          <w:sz w:val="24"/>
        </w:rPr>
      </w:pPr>
      <w:r>
        <w:rPr>
          <w:rFonts w:hint="eastAsia"/>
          <w:sz w:val="24"/>
        </w:rPr>
        <w:t>（</w:t>
      </w:r>
      <w:r>
        <w:rPr>
          <w:rFonts w:hint="eastAsia"/>
          <w:sz w:val="24"/>
        </w:rPr>
        <w:t>4</w:t>
      </w:r>
      <w:r>
        <w:rPr>
          <w:rFonts w:hint="eastAsia"/>
          <w:sz w:val="24"/>
        </w:rPr>
        <w:t>）编制各种突发事故的应急计划。</w:t>
      </w:r>
    </w:p>
    <w:p w:rsidR="00EE4502" w:rsidRDefault="00FD45A3">
      <w:pPr>
        <w:spacing w:line="360" w:lineRule="auto"/>
        <w:ind w:firstLine="522"/>
        <w:rPr>
          <w:sz w:val="24"/>
        </w:rPr>
      </w:pPr>
      <w:r>
        <w:rPr>
          <w:rFonts w:hint="eastAsia"/>
          <w:sz w:val="24"/>
        </w:rPr>
        <w:t>（</w:t>
      </w:r>
      <w:r>
        <w:rPr>
          <w:rFonts w:hint="eastAsia"/>
          <w:sz w:val="24"/>
        </w:rPr>
        <w:t>5</w:t>
      </w:r>
      <w:r>
        <w:rPr>
          <w:rFonts w:hint="eastAsia"/>
          <w:sz w:val="24"/>
        </w:rPr>
        <w:t>）组织开展环境保护宣传教育、技术和经验交流活动，推广先进技术和科研成果，对全体员工组织开展环境保护培训。</w:t>
      </w:r>
    </w:p>
    <w:p w:rsidR="00EE4502" w:rsidRDefault="00FD45A3">
      <w:pPr>
        <w:spacing w:line="360" w:lineRule="auto"/>
        <w:ind w:firstLine="522"/>
        <w:rPr>
          <w:sz w:val="24"/>
        </w:rPr>
      </w:pPr>
      <w:r>
        <w:rPr>
          <w:rFonts w:hint="eastAsia"/>
          <w:sz w:val="24"/>
        </w:rPr>
        <w:t>（</w:t>
      </w:r>
      <w:r>
        <w:rPr>
          <w:rFonts w:hint="eastAsia"/>
          <w:sz w:val="24"/>
        </w:rPr>
        <w:t>6</w:t>
      </w:r>
      <w:r>
        <w:rPr>
          <w:rFonts w:hint="eastAsia"/>
          <w:sz w:val="24"/>
        </w:rPr>
        <w:t>）强化基础工作，建立完整、规范、准确的环境基础资料，环境统计报表和环境保护技术档案。</w:t>
      </w:r>
    </w:p>
    <w:p w:rsidR="00EE4502" w:rsidRDefault="00FD45A3">
      <w:pPr>
        <w:spacing w:line="360" w:lineRule="auto"/>
        <w:ind w:firstLine="522"/>
        <w:rPr>
          <w:sz w:val="24"/>
        </w:rPr>
      </w:pPr>
      <w:r>
        <w:rPr>
          <w:rFonts w:hint="eastAsia"/>
          <w:sz w:val="24"/>
        </w:rPr>
        <w:t>（</w:t>
      </w:r>
      <w:r>
        <w:rPr>
          <w:rFonts w:hint="eastAsia"/>
          <w:sz w:val="24"/>
        </w:rPr>
        <w:t>7</w:t>
      </w:r>
      <w:r>
        <w:rPr>
          <w:rFonts w:hint="eastAsia"/>
          <w:sz w:val="24"/>
        </w:rPr>
        <w:t>）参加调查、分析、处理环境污染事故，并负责统计上报事故的基本情况及处理结果，协同有关部门制定防治污染事故的措施，并监督实施。</w:t>
      </w:r>
    </w:p>
    <w:p w:rsidR="00EE4502" w:rsidRDefault="00FD45A3">
      <w:pPr>
        <w:pStyle w:val="33"/>
        <w:numPr>
          <w:ilvl w:val="2"/>
          <w:numId w:val="30"/>
        </w:numPr>
        <w:spacing w:line="360" w:lineRule="auto"/>
        <w:ind w:left="0" w:firstLine="0"/>
        <w:rPr>
          <w:spacing w:val="0"/>
          <w:sz w:val="24"/>
          <w:szCs w:val="24"/>
        </w:rPr>
      </w:pPr>
      <w:r>
        <w:rPr>
          <w:rFonts w:hint="eastAsia"/>
          <w:spacing w:val="0"/>
          <w:sz w:val="24"/>
          <w:szCs w:val="24"/>
        </w:rPr>
        <w:t>退役期的环境管理任务</w:t>
      </w:r>
    </w:p>
    <w:p w:rsidR="00EE4502" w:rsidRDefault="00FD45A3">
      <w:pPr>
        <w:spacing w:line="360" w:lineRule="auto"/>
        <w:ind w:firstLine="522"/>
        <w:rPr>
          <w:sz w:val="24"/>
        </w:rPr>
      </w:pPr>
      <w:r>
        <w:rPr>
          <w:rFonts w:hint="eastAsia"/>
          <w:sz w:val="24"/>
        </w:rPr>
        <w:t>工程退役期，进行场地恢复，协同有关部门进行生态恢复工作。</w:t>
      </w:r>
    </w:p>
    <w:p w:rsidR="00EE4502" w:rsidRDefault="00FD45A3">
      <w:pPr>
        <w:pStyle w:val="33"/>
        <w:numPr>
          <w:ilvl w:val="2"/>
          <w:numId w:val="30"/>
        </w:numPr>
        <w:spacing w:line="360" w:lineRule="auto"/>
        <w:ind w:left="0" w:firstLine="0"/>
        <w:rPr>
          <w:spacing w:val="0"/>
          <w:sz w:val="24"/>
          <w:szCs w:val="24"/>
        </w:rPr>
      </w:pPr>
      <w:r>
        <w:rPr>
          <w:rFonts w:hint="eastAsia"/>
          <w:spacing w:val="0"/>
          <w:sz w:val="24"/>
          <w:szCs w:val="24"/>
        </w:rPr>
        <w:t>环境管理计划</w:t>
      </w:r>
    </w:p>
    <w:p w:rsidR="00EE4502" w:rsidRDefault="00FD45A3">
      <w:pPr>
        <w:spacing w:line="360" w:lineRule="auto"/>
        <w:ind w:firstLine="522"/>
        <w:rPr>
          <w:sz w:val="24"/>
        </w:rPr>
      </w:pPr>
      <w:r>
        <w:rPr>
          <w:rFonts w:hint="eastAsia"/>
          <w:sz w:val="24"/>
        </w:rPr>
        <w:t>为了最大限度地减轻施工期作业活动对沿线生态的不利影响，减少环境事故的发生，确保工程安全运行，建立科学有效的环境管理体制，落实各项环保和安全措施显得尤为重要。根据</w:t>
      </w:r>
      <w:r>
        <w:rPr>
          <w:rFonts w:hint="eastAsia"/>
          <w:sz w:val="24"/>
        </w:rPr>
        <w:t>QHSE</w:t>
      </w:r>
      <w:r>
        <w:rPr>
          <w:rFonts w:hint="eastAsia"/>
          <w:sz w:val="24"/>
        </w:rPr>
        <w:t>管理体系及清洁生产的要求，结合区域环</w:t>
      </w:r>
      <w:r>
        <w:rPr>
          <w:rFonts w:hint="eastAsia"/>
          <w:sz w:val="24"/>
        </w:rPr>
        <w:lastRenderedPageBreak/>
        <w:t>境特征，分施工期、运营期、退役期提出本工程的环境管理计划。</w:t>
      </w:r>
    </w:p>
    <w:p w:rsidR="00EE4502" w:rsidRDefault="00FD45A3">
      <w:pPr>
        <w:pStyle w:val="33"/>
        <w:numPr>
          <w:ilvl w:val="2"/>
          <w:numId w:val="30"/>
        </w:numPr>
        <w:spacing w:line="360" w:lineRule="auto"/>
        <w:ind w:left="0" w:firstLine="0"/>
        <w:rPr>
          <w:spacing w:val="0"/>
          <w:sz w:val="24"/>
          <w:szCs w:val="24"/>
        </w:rPr>
      </w:pPr>
      <w:r>
        <w:rPr>
          <w:rFonts w:hint="eastAsia"/>
          <w:spacing w:val="0"/>
          <w:sz w:val="24"/>
          <w:szCs w:val="24"/>
        </w:rPr>
        <w:t>环境监理</w:t>
      </w:r>
    </w:p>
    <w:p w:rsidR="00EE4502" w:rsidRDefault="00FD45A3">
      <w:pPr>
        <w:spacing w:line="360" w:lineRule="auto"/>
        <w:ind w:firstLine="522"/>
        <w:rPr>
          <w:sz w:val="24"/>
        </w:rPr>
      </w:pPr>
      <w:r>
        <w:rPr>
          <w:rFonts w:hint="eastAsia"/>
          <w:sz w:val="24"/>
        </w:rPr>
        <w:t>本工程施工期对周边环境造成一定影响，建议在施工期阶段开展环境监理工作。建设单位应在项目实施之前与监理单位签订合同，并要求监理单位按照合同文件要求在施工期介入环境监理。可采取巡视、旁站等环境监理方式对施工期污染防治措施、项目建设内容、配套环</w:t>
      </w:r>
      <w:r>
        <w:rPr>
          <w:rFonts w:hint="eastAsia"/>
          <w:sz w:val="24"/>
        </w:rPr>
        <w:t>保设施、生态保护措施、环境管理制度、环境敏感目标等与环评及批复文件的符合性进行监理。现场应重点对工程防腐、防渗内容进行环境监理，确保施工期废气、废水达标排放，固废妥善处置，减少对区域土壤、地下水环境和生态的影响。</w:t>
      </w:r>
    </w:p>
    <w:p w:rsidR="00EE4502" w:rsidRDefault="00FD45A3">
      <w:pPr>
        <w:pStyle w:val="33"/>
        <w:numPr>
          <w:ilvl w:val="2"/>
          <w:numId w:val="30"/>
        </w:numPr>
        <w:spacing w:line="360" w:lineRule="auto"/>
        <w:ind w:left="0" w:firstLine="0"/>
        <w:rPr>
          <w:spacing w:val="0"/>
          <w:sz w:val="24"/>
          <w:szCs w:val="24"/>
        </w:rPr>
      </w:pPr>
      <w:r>
        <w:rPr>
          <w:rFonts w:hint="eastAsia"/>
          <w:spacing w:val="0"/>
          <w:sz w:val="24"/>
          <w:szCs w:val="24"/>
        </w:rPr>
        <w:t>环境影响后评价</w:t>
      </w:r>
    </w:p>
    <w:p w:rsidR="00EE4502" w:rsidRDefault="00FD45A3">
      <w:pPr>
        <w:spacing w:line="360" w:lineRule="auto"/>
        <w:ind w:firstLine="522"/>
        <w:rPr>
          <w:sz w:val="24"/>
        </w:rPr>
      </w:pPr>
      <w:r>
        <w:rPr>
          <w:rFonts w:hint="eastAsia"/>
          <w:sz w:val="24"/>
        </w:rPr>
        <w:t>根据《中华人民共和国环境影响评价法》</w:t>
      </w:r>
      <w:r>
        <w:rPr>
          <w:rFonts w:hint="eastAsia"/>
          <w:sz w:val="24"/>
        </w:rPr>
        <w:t>(2018</w:t>
      </w:r>
      <w:r>
        <w:rPr>
          <w:rFonts w:hint="eastAsia"/>
          <w:sz w:val="24"/>
        </w:rPr>
        <w:t>年</w:t>
      </w:r>
      <w:r>
        <w:rPr>
          <w:rFonts w:hint="eastAsia"/>
          <w:sz w:val="24"/>
        </w:rPr>
        <w:t>12</w:t>
      </w:r>
      <w:r>
        <w:rPr>
          <w:rFonts w:hint="eastAsia"/>
          <w:sz w:val="24"/>
        </w:rPr>
        <w:t>月</w:t>
      </w:r>
      <w:r>
        <w:rPr>
          <w:rFonts w:hint="eastAsia"/>
          <w:sz w:val="24"/>
        </w:rPr>
        <w:t>29</w:t>
      </w:r>
      <w:r>
        <w:rPr>
          <w:rFonts w:hint="eastAsia"/>
          <w:sz w:val="24"/>
        </w:rPr>
        <w:t>日修正</w:t>
      </w:r>
      <w:r>
        <w:rPr>
          <w:rFonts w:hint="eastAsia"/>
          <w:sz w:val="24"/>
        </w:rPr>
        <w:t>)</w:t>
      </w:r>
      <w:r>
        <w:rPr>
          <w:rFonts w:hint="eastAsia"/>
          <w:sz w:val="24"/>
        </w:rPr>
        <w:t>、《建设项目环境影响后评价管理办法（试行）》（环境保护部</w:t>
      </w:r>
      <w:r>
        <w:rPr>
          <w:rFonts w:hint="eastAsia"/>
          <w:sz w:val="24"/>
        </w:rPr>
        <w:t xml:space="preserve"> </w:t>
      </w:r>
      <w:r>
        <w:rPr>
          <w:rFonts w:hint="eastAsia"/>
          <w:sz w:val="24"/>
        </w:rPr>
        <w:t>部令第</w:t>
      </w:r>
      <w:r>
        <w:rPr>
          <w:rFonts w:hint="eastAsia"/>
          <w:sz w:val="24"/>
        </w:rPr>
        <w:t>37</w:t>
      </w:r>
      <w:r>
        <w:rPr>
          <w:rFonts w:hint="eastAsia"/>
          <w:sz w:val="24"/>
        </w:rPr>
        <w:t>号</w:t>
      </w:r>
      <w:r>
        <w:rPr>
          <w:rFonts w:hint="eastAsia"/>
          <w:sz w:val="24"/>
        </w:rPr>
        <w:t>)</w:t>
      </w:r>
      <w:r>
        <w:rPr>
          <w:rFonts w:hint="eastAsia"/>
          <w:sz w:val="24"/>
        </w:rPr>
        <w:t>、《关于进一步加强和规范油气田开发项目环境保护管理工作的通知》（新环发〔</w:t>
      </w:r>
      <w:r>
        <w:rPr>
          <w:rFonts w:hint="eastAsia"/>
          <w:sz w:val="24"/>
        </w:rPr>
        <w:t>2018</w:t>
      </w:r>
      <w:r>
        <w:rPr>
          <w:rFonts w:hint="eastAsia"/>
          <w:sz w:val="24"/>
        </w:rPr>
        <w:t>〕</w:t>
      </w:r>
      <w:r>
        <w:rPr>
          <w:rFonts w:hint="eastAsia"/>
          <w:sz w:val="24"/>
        </w:rPr>
        <w:t>133</w:t>
      </w:r>
      <w:r>
        <w:rPr>
          <w:rFonts w:hint="eastAsia"/>
          <w:sz w:val="24"/>
        </w:rPr>
        <w:t>号</w:t>
      </w:r>
      <w:r>
        <w:rPr>
          <w:rFonts w:hint="eastAsia"/>
          <w:sz w:val="24"/>
        </w:rPr>
        <w:t>)</w:t>
      </w:r>
      <w:r>
        <w:rPr>
          <w:rFonts w:hint="eastAsia"/>
          <w:sz w:val="24"/>
        </w:rPr>
        <w:t>、《关于进一步加强石油天然气行业环境影响评价的通知》</w:t>
      </w:r>
      <w:r>
        <w:rPr>
          <w:rFonts w:hint="eastAsia"/>
          <w:sz w:val="24"/>
        </w:rPr>
        <w:t>（环办环评函〔</w:t>
      </w:r>
      <w:r>
        <w:rPr>
          <w:rFonts w:hint="eastAsia"/>
          <w:sz w:val="24"/>
        </w:rPr>
        <w:t>2019</w:t>
      </w:r>
      <w:r>
        <w:rPr>
          <w:rFonts w:hint="eastAsia"/>
          <w:sz w:val="24"/>
        </w:rPr>
        <w:t>〕</w:t>
      </w:r>
      <w:r>
        <w:rPr>
          <w:rFonts w:hint="eastAsia"/>
          <w:sz w:val="24"/>
        </w:rPr>
        <w:t>910</w:t>
      </w:r>
      <w:r>
        <w:rPr>
          <w:rFonts w:hint="eastAsia"/>
          <w:sz w:val="24"/>
        </w:rPr>
        <w:t>号</w:t>
      </w:r>
      <w:r>
        <w:rPr>
          <w:rFonts w:hint="eastAsia"/>
          <w:sz w:val="24"/>
        </w:rPr>
        <w:t>)</w:t>
      </w:r>
      <w:r>
        <w:rPr>
          <w:rFonts w:hint="eastAsia"/>
          <w:sz w:val="24"/>
        </w:rPr>
        <w:t>、《关于加强建设项目环境影响后评价管理的通知》（新环环评发〔</w:t>
      </w:r>
      <w:r>
        <w:rPr>
          <w:rFonts w:hint="eastAsia"/>
          <w:sz w:val="24"/>
        </w:rPr>
        <w:t>2020</w:t>
      </w:r>
      <w:r>
        <w:rPr>
          <w:rFonts w:hint="eastAsia"/>
          <w:sz w:val="24"/>
        </w:rPr>
        <w:t>〕</w:t>
      </w:r>
      <w:r>
        <w:rPr>
          <w:rFonts w:hint="eastAsia"/>
          <w:sz w:val="24"/>
        </w:rPr>
        <w:t>162</w:t>
      </w:r>
      <w:r>
        <w:rPr>
          <w:rFonts w:hint="eastAsia"/>
          <w:sz w:val="24"/>
        </w:rPr>
        <w:t>号）要求，油气田开发业主单位对区域内通过环境影响评价审批并通过环境保护设施竣工验收且稳定运行满</w:t>
      </w:r>
      <w:r>
        <w:rPr>
          <w:rFonts w:hint="eastAsia"/>
          <w:sz w:val="24"/>
        </w:rPr>
        <w:t>5</w:t>
      </w:r>
      <w:r>
        <w:rPr>
          <w:rFonts w:hint="eastAsia"/>
          <w:sz w:val="24"/>
        </w:rPr>
        <w:t>年的建设项目，须组织开展环境影响后评价工作。</w:t>
      </w:r>
    </w:p>
    <w:p w:rsidR="00EE4502" w:rsidRDefault="00FD45A3">
      <w:pPr>
        <w:spacing w:line="360" w:lineRule="auto"/>
        <w:ind w:firstLine="522"/>
        <w:rPr>
          <w:sz w:val="24"/>
        </w:rPr>
      </w:pPr>
      <w:r>
        <w:rPr>
          <w:rFonts w:hint="eastAsia"/>
          <w:sz w:val="24"/>
        </w:rPr>
        <w:t>目前春风油田各区已于</w:t>
      </w:r>
      <w:r>
        <w:rPr>
          <w:rFonts w:hint="eastAsia"/>
          <w:sz w:val="24"/>
        </w:rPr>
        <w:t>2022</w:t>
      </w:r>
      <w:r>
        <w:rPr>
          <w:rFonts w:hint="eastAsia"/>
          <w:sz w:val="24"/>
        </w:rPr>
        <w:t>年完成环境影响后评价工作。本工程实施后，区域井场、管线等工程内容发生变化，应在</w:t>
      </w:r>
      <w:r>
        <w:rPr>
          <w:rFonts w:hint="eastAsia"/>
          <w:sz w:val="24"/>
        </w:rPr>
        <w:t>3</w:t>
      </w:r>
      <w:r>
        <w:rPr>
          <w:rFonts w:hint="eastAsia"/>
          <w:sz w:val="24"/>
        </w:rPr>
        <w:t>～</w:t>
      </w:r>
      <w:r>
        <w:rPr>
          <w:rFonts w:hint="eastAsia"/>
          <w:sz w:val="24"/>
        </w:rPr>
        <w:t>5</w:t>
      </w:r>
      <w:r>
        <w:rPr>
          <w:rFonts w:hint="eastAsia"/>
          <w:sz w:val="24"/>
        </w:rPr>
        <w:t>年内继续开展环境影响后评价工作，落实相关补救方案和改进措施，接受生态环境部门的监督检查。</w:t>
      </w:r>
    </w:p>
    <w:p w:rsidR="00EE4502" w:rsidRDefault="00FD45A3">
      <w:pPr>
        <w:pStyle w:val="33"/>
        <w:numPr>
          <w:ilvl w:val="2"/>
          <w:numId w:val="30"/>
        </w:numPr>
        <w:spacing w:line="360" w:lineRule="auto"/>
        <w:ind w:left="0" w:firstLine="0"/>
        <w:rPr>
          <w:spacing w:val="0"/>
          <w:sz w:val="24"/>
          <w:szCs w:val="24"/>
        </w:rPr>
      </w:pPr>
      <w:r>
        <w:rPr>
          <w:spacing w:val="0"/>
          <w:sz w:val="24"/>
          <w:szCs w:val="24"/>
        </w:rPr>
        <w:t>环保保障机制建设</w:t>
      </w:r>
    </w:p>
    <w:p w:rsidR="00EE4502" w:rsidRDefault="00FD45A3">
      <w:pPr>
        <w:spacing w:line="360" w:lineRule="auto"/>
        <w:ind w:firstLine="522"/>
        <w:rPr>
          <w:sz w:val="24"/>
        </w:rPr>
      </w:pPr>
      <w:r>
        <w:rPr>
          <w:sz w:val="24"/>
        </w:rPr>
        <w:t>新春公司的各项业务活动严格执行国家和新疆</w:t>
      </w:r>
      <w:r>
        <w:rPr>
          <w:sz w:val="24"/>
        </w:rPr>
        <w:t>地方政府环境保护法律法规和标准，把生态环境保护纳入公司发展规划、计划、建设、生产、经营、科研和关停的全过程，并保障生态保护、污染防治资金投入。</w:t>
      </w:r>
    </w:p>
    <w:p w:rsidR="00EE4502" w:rsidRDefault="00FD45A3">
      <w:pPr>
        <w:spacing w:line="360" w:lineRule="auto"/>
        <w:ind w:firstLine="522"/>
        <w:rPr>
          <w:sz w:val="24"/>
        </w:rPr>
      </w:pPr>
      <w:r>
        <w:rPr>
          <w:sz w:val="24"/>
        </w:rPr>
        <w:t>为确保企业环境管理能够被有效执行，环境目标得以实现，新春公司从</w:t>
      </w:r>
      <w:r>
        <w:rPr>
          <w:sz w:val="24"/>
        </w:rPr>
        <w:t>“</w:t>
      </w:r>
      <w:r>
        <w:rPr>
          <w:sz w:val="24"/>
        </w:rPr>
        <w:t>经费、文化、技术</w:t>
      </w:r>
      <w:r>
        <w:rPr>
          <w:sz w:val="24"/>
        </w:rPr>
        <w:t>”</w:t>
      </w:r>
      <w:r>
        <w:rPr>
          <w:sz w:val="24"/>
        </w:rPr>
        <w:t>等方面建立保障机制，确保各项制度得到落实和推进：</w:t>
      </w:r>
    </w:p>
    <w:p w:rsidR="00EE4502" w:rsidRDefault="00FD45A3">
      <w:pPr>
        <w:spacing w:line="360" w:lineRule="auto"/>
        <w:ind w:firstLine="522"/>
        <w:rPr>
          <w:sz w:val="24"/>
        </w:rPr>
      </w:pPr>
      <w:r>
        <w:rPr>
          <w:sz w:val="24"/>
        </w:rPr>
        <w:t>经费方面：公司对环保经费纳入预算，对</w:t>
      </w:r>
      <w:r>
        <w:rPr>
          <w:rFonts w:hint="eastAsia"/>
          <w:sz w:val="24"/>
        </w:rPr>
        <w:t>“</w:t>
      </w:r>
      <w:r>
        <w:rPr>
          <w:sz w:val="24"/>
        </w:rPr>
        <w:t>三废</w:t>
      </w:r>
      <w:r>
        <w:rPr>
          <w:rFonts w:hint="eastAsia"/>
          <w:sz w:val="24"/>
        </w:rPr>
        <w:t>”</w:t>
      </w:r>
      <w:r>
        <w:rPr>
          <w:sz w:val="24"/>
        </w:rPr>
        <w:t>处置费用、环境影响评价与验收报告、清洁生产审核；</w:t>
      </w:r>
      <w:r>
        <w:rPr>
          <w:rFonts w:hint="eastAsia"/>
          <w:sz w:val="24"/>
        </w:rPr>
        <w:t>环境基础设施建设</w:t>
      </w:r>
      <w:r>
        <w:rPr>
          <w:sz w:val="24"/>
        </w:rPr>
        <w:t>、运营、维护、改造；环境保护税缴纳；环境保护标志及标识；环境监测；环境保护教育培训；环境事故应急</w:t>
      </w:r>
      <w:r>
        <w:rPr>
          <w:sz w:val="24"/>
        </w:rPr>
        <w:lastRenderedPageBreak/>
        <w:t>救援器材、装备的配备及应急演练；</w:t>
      </w:r>
      <w:r>
        <w:rPr>
          <w:sz w:val="24"/>
        </w:rPr>
        <w:t>其他与环境保护直接相关的物品或者活动等进行经费投入。</w:t>
      </w:r>
    </w:p>
    <w:p w:rsidR="00EE4502" w:rsidRDefault="00FD45A3">
      <w:pPr>
        <w:spacing w:line="360" w:lineRule="auto"/>
        <w:ind w:firstLine="522"/>
        <w:rPr>
          <w:sz w:val="24"/>
        </w:rPr>
      </w:pPr>
      <w:r>
        <w:rPr>
          <w:sz w:val="24"/>
        </w:rPr>
        <w:t>文化方面：公司定期开展绿色文化建设活动，以员工环境道德意识、环境道德观念教育培养为重点，促进价值取向、思维方式、生产方式、生活方式的</w:t>
      </w:r>
      <w:r>
        <w:rPr>
          <w:sz w:val="24"/>
        </w:rPr>
        <w:t>“</w:t>
      </w:r>
      <w:r>
        <w:rPr>
          <w:sz w:val="24"/>
        </w:rPr>
        <w:t>绿色化</w:t>
      </w:r>
      <w:r>
        <w:rPr>
          <w:sz w:val="24"/>
        </w:rPr>
        <w:t>”</w:t>
      </w:r>
      <w:r>
        <w:rPr>
          <w:sz w:val="24"/>
        </w:rPr>
        <w:t>，使安全绿色健康理念融入员工主流价值观，形成推动企业绿色发展的思想自觉和行动自觉，实现油田与社会、与环境、与员工的和谐共处、协调发展。</w:t>
      </w:r>
    </w:p>
    <w:p w:rsidR="00EE4502" w:rsidRDefault="00FD45A3">
      <w:pPr>
        <w:spacing w:line="360" w:lineRule="auto"/>
        <w:ind w:firstLine="522"/>
        <w:rPr>
          <w:sz w:val="24"/>
        </w:rPr>
      </w:pPr>
      <w:r>
        <w:rPr>
          <w:sz w:val="24"/>
        </w:rPr>
        <w:t>技术方面：公司通过持续开展清洁生产，提升工艺、技术水平，不使用国家明令禁止使用的设备、材料和工艺技术，积极采用信息化手段加强环境管理，建立了污染物排放及处理处置电子台账管理。</w:t>
      </w:r>
    </w:p>
    <w:p w:rsidR="00EE4502" w:rsidRDefault="00FD45A3">
      <w:pPr>
        <w:pStyle w:val="22"/>
        <w:numPr>
          <w:ilvl w:val="1"/>
          <w:numId w:val="30"/>
        </w:numPr>
        <w:rPr>
          <w:spacing w:val="0"/>
          <w:w w:val="100"/>
        </w:rPr>
      </w:pPr>
      <w:bookmarkStart w:id="260" w:name="_Toc14849"/>
      <w:r>
        <w:rPr>
          <w:rFonts w:hint="eastAsia"/>
          <w:spacing w:val="0"/>
          <w:w w:val="100"/>
        </w:rPr>
        <w:t>企业</w:t>
      </w:r>
      <w:r>
        <w:rPr>
          <w:rFonts w:hint="eastAsia"/>
          <w:spacing w:val="0"/>
          <w:w w:val="100"/>
        </w:rPr>
        <w:t>环境信息披露</w:t>
      </w:r>
      <w:bookmarkEnd w:id="260"/>
    </w:p>
    <w:p w:rsidR="00EE4502" w:rsidRDefault="00FD45A3">
      <w:pPr>
        <w:spacing w:line="360" w:lineRule="auto"/>
        <w:ind w:firstLine="522"/>
        <w:rPr>
          <w:b/>
          <w:bCs/>
          <w:sz w:val="24"/>
        </w:rPr>
      </w:pPr>
      <w:r>
        <w:rPr>
          <w:rFonts w:hint="eastAsia"/>
          <w:b/>
          <w:bCs/>
          <w:sz w:val="24"/>
        </w:rPr>
        <w:t>（</w:t>
      </w:r>
      <w:r>
        <w:rPr>
          <w:rFonts w:hint="eastAsia"/>
          <w:b/>
          <w:bCs/>
          <w:sz w:val="24"/>
        </w:rPr>
        <w:t>1</w:t>
      </w:r>
      <w:r>
        <w:rPr>
          <w:rFonts w:hint="eastAsia"/>
          <w:b/>
          <w:bCs/>
          <w:sz w:val="24"/>
        </w:rPr>
        <w:t>）披露内容</w:t>
      </w:r>
    </w:p>
    <w:p w:rsidR="00EE4502" w:rsidRDefault="00FD45A3">
      <w:pPr>
        <w:spacing w:line="360" w:lineRule="auto"/>
        <w:ind w:firstLine="522"/>
        <w:rPr>
          <w:sz w:val="24"/>
        </w:rPr>
      </w:pPr>
      <w:r>
        <w:rPr>
          <w:rFonts w:hint="eastAsia"/>
          <w:sz w:val="24"/>
        </w:rPr>
        <w:t>1</w:t>
      </w:r>
      <w:r>
        <w:rPr>
          <w:rFonts w:hint="eastAsia"/>
          <w:sz w:val="24"/>
        </w:rPr>
        <w:t>）基础信息</w:t>
      </w:r>
    </w:p>
    <w:p w:rsidR="00EE4502" w:rsidRDefault="00FD45A3">
      <w:pPr>
        <w:spacing w:line="360" w:lineRule="auto"/>
        <w:ind w:firstLine="522"/>
        <w:rPr>
          <w:sz w:val="24"/>
        </w:rPr>
      </w:pPr>
      <w:r>
        <w:rPr>
          <w:rFonts w:hint="eastAsia"/>
          <w:sz w:val="24"/>
        </w:rPr>
        <w:t>企业名称：中石化新疆新春石油开发有限责任公司</w:t>
      </w:r>
    </w:p>
    <w:p w:rsidR="00EE4502" w:rsidRDefault="00FD45A3">
      <w:pPr>
        <w:spacing w:line="360" w:lineRule="auto"/>
        <w:ind w:firstLine="522"/>
        <w:rPr>
          <w:sz w:val="24"/>
        </w:rPr>
      </w:pPr>
      <w:r>
        <w:rPr>
          <w:rFonts w:hint="eastAsia"/>
          <w:sz w:val="24"/>
        </w:rPr>
        <w:t>法人代表：杨海中</w:t>
      </w:r>
    </w:p>
    <w:p w:rsidR="00EE4502" w:rsidRDefault="00FD45A3">
      <w:pPr>
        <w:spacing w:line="360" w:lineRule="auto"/>
        <w:ind w:firstLine="522"/>
        <w:rPr>
          <w:sz w:val="24"/>
        </w:rPr>
      </w:pPr>
      <w:r>
        <w:rPr>
          <w:rFonts w:hint="eastAsia"/>
          <w:sz w:val="24"/>
        </w:rPr>
        <w:t>生产地址：克拉玛依市克拉玛依区、第七师胡杨河市</w:t>
      </w:r>
    </w:p>
    <w:p w:rsidR="00EE4502" w:rsidRDefault="00FD45A3">
      <w:pPr>
        <w:spacing w:line="360" w:lineRule="auto"/>
        <w:ind w:firstLine="522"/>
        <w:rPr>
          <w:sz w:val="24"/>
        </w:rPr>
      </w:pPr>
      <w:r>
        <w:rPr>
          <w:rFonts w:hint="eastAsia"/>
          <w:sz w:val="24"/>
        </w:rPr>
        <w:t>主要产品及规模：</w:t>
      </w:r>
      <w:r>
        <w:rPr>
          <w:rFonts w:hint="eastAsia"/>
          <w:sz w:val="24"/>
        </w:rPr>
        <w:t>本工程共部署</w:t>
      </w:r>
      <w:r>
        <w:rPr>
          <w:rFonts w:hint="eastAsia"/>
          <w:sz w:val="24"/>
        </w:rPr>
        <w:t>22</w:t>
      </w:r>
      <w:r>
        <w:rPr>
          <w:rFonts w:hint="eastAsia"/>
          <w:sz w:val="24"/>
        </w:rPr>
        <w:t>口井，其中新建采油井场</w:t>
      </w:r>
      <w:r>
        <w:rPr>
          <w:rFonts w:hint="eastAsia"/>
          <w:sz w:val="24"/>
        </w:rPr>
        <w:t>9</w:t>
      </w:r>
      <w:r>
        <w:rPr>
          <w:rFonts w:hint="eastAsia"/>
          <w:sz w:val="24"/>
        </w:rPr>
        <w:t>座（双井同台井场</w:t>
      </w:r>
      <w:r>
        <w:rPr>
          <w:rFonts w:hint="eastAsia"/>
          <w:sz w:val="24"/>
        </w:rPr>
        <w:t>6</w:t>
      </w:r>
      <w:r>
        <w:rPr>
          <w:rFonts w:hint="eastAsia"/>
          <w:sz w:val="24"/>
        </w:rPr>
        <w:t>座、单井井场</w:t>
      </w:r>
      <w:r>
        <w:rPr>
          <w:rFonts w:hint="eastAsia"/>
          <w:sz w:val="24"/>
        </w:rPr>
        <w:t>1</w:t>
      </w:r>
      <w:r>
        <w:rPr>
          <w:rFonts w:hint="eastAsia"/>
          <w:sz w:val="24"/>
        </w:rPr>
        <w:t>座、老井合建</w:t>
      </w:r>
      <w:r>
        <w:rPr>
          <w:rFonts w:hint="eastAsia"/>
          <w:sz w:val="24"/>
        </w:rPr>
        <w:t>2</w:t>
      </w:r>
      <w:r>
        <w:rPr>
          <w:rFonts w:hint="eastAsia"/>
          <w:sz w:val="24"/>
        </w:rPr>
        <w:t>座），新建注水单井井场</w:t>
      </w:r>
      <w:r>
        <w:rPr>
          <w:rFonts w:hint="eastAsia"/>
          <w:sz w:val="24"/>
        </w:rPr>
        <w:t>3</w:t>
      </w:r>
      <w:r>
        <w:rPr>
          <w:rFonts w:hint="eastAsia"/>
          <w:sz w:val="24"/>
        </w:rPr>
        <w:t>座，老井利用</w:t>
      </w:r>
      <w:r>
        <w:rPr>
          <w:rFonts w:hint="eastAsia"/>
          <w:sz w:val="24"/>
        </w:rPr>
        <w:t>4</w:t>
      </w:r>
      <w:r>
        <w:rPr>
          <w:rFonts w:hint="eastAsia"/>
          <w:sz w:val="24"/>
        </w:rPr>
        <w:t>口（试采井</w:t>
      </w:r>
      <w:r>
        <w:rPr>
          <w:rFonts w:hint="eastAsia"/>
          <w:sz w:val="24"/>
        </w:rPr>
        <w:t>3</w:t>
      </w:r>
      <w:r>
        <w:rPr>
          <w:rFonts w:hint="eastAsia"/>
          <w:sz w:val="24"/>
        </w:rPr>
        <w:t>口、回注井</w:t>
      </w:r>
      <w:r>
        <w:rPr>
          <w:rFonts w:hint="eastAsia"/>
          <w:sz w:val="24"/>
        </w:rPr>
        <w:t>1</w:t>
      </w:r>
      <w:r>
        <w:rPr>
          <w:rFonts w:hint="eastAsia"/>
          <w:sz w:val="24"/>
        </w:rPr>
        <w:t>口）</w:t>
      </w:r>
      <w:r>
        <w:rPr>
          <w:rFonts w:hint="eastAsia"/>
          <w:sz w:val="24"/>
        </w:rPr>
        <w:t>；</w:t>
      </w:r>
      <w:r>
        <w:rPr>
          <w:rFonts w:hint="eastAsia"/>
          <w:sz w:val="24"/>
        </w:rPr>
        <w:t>动用石油地质储量</w:t>
      </w:r>
      <w:r>
        <w:rPr>
          <w:rFonts w:hint="eastAsia"/>
          <w:sz w:val="24"/>
        </w:rPr>
        <w:t>325.8</w:t>
      </w:r>
      <w:r>
        <w:rPr>
          <w:rFonts w:hint="eastAsia"/>
          <w:sz w:val="24"/>
        </w:rPr>
        <w:t>×</w:t>
      </w:r>
      <w:r>
        <w:rPr>
          <w:rFonts w:hint="eastAsia"/>
          <w:sz w:val="24"/>
        </w:rPr>
        <w:t>10</w:t>
      </w:r>
      <w:r>
        <w:rPr>
          <w:rFonts w:hint="eastAsia"/>
          <w:sz w:val="24"/>
          <w:vertAlign w:val="superscript"/>
        </w:rPr>
        <w:t>4</w:t>
      </w:r>
      <w:r>
        <w:rPr>
          <w:rFonts w:hint="eastAsia"/>
          <w:sz w:val="24"/>
        </w:rPr>
        <w:t>t</w:t>
      </w:r>
      <w:r>
        <w:rPr>
          <w:rFonts w:hint="eastAsia"/>
          <w:sz w:val="24"/>
        </w:rPr>
        <w:t>、含油面积</w:t>
      </w:r>
      <w:r>
        <w:rPr>
          <w:rFonts w:hint="eastAsia"/>
          <w:sz w:val="24"/>
        </w:rPr>
        <w:t>6.81km</w:t>
      </w:r>
      <w:r>
        <w:rPr>
          <w:rFonts w:hint="eastAsia"/>
          <w:sz w:val="24"/>
          <w:vertAlign w:val="superscript"/>
        </w:rPr>
        <w:t>2</w:t>
      </w:r>
      <w:r>
        <w:rPr>
          <w:rFonts w:hint="eastAsia"/>
          <w:sz w:val="24"/>
        </w:rPr>
        <w:t>，</w:t>
      </w:r>
      <w:r>
        <w:rPr>
          <w:rFonts w:hint="eastAsia"/>
          <w:sz w:val="24"/>
        </w:rPr>
        <w:t>均</w:t>
      </w:r>
      <w:r>
        <w:rPr>
          <w:rFonts w:hint="eastAsia"/>
          <w:sz w:val="24"/>
        </w:rPr>
        <w:t>采用管输方式生产</w:t>
      </w:r>
      <w:r>
        <w:rPr>
          <w:rFonts w:hint="eastAsia"/>
          <w:sz w:val="24"/>
        </w:rPr>
        <w:t>；</w:t>
      </w:r>
      <w:r>
        <w:rPr>
          <w:rFonts w:hint="eastAsia"/>
          <w:sz w:val="24"/>
        </w:rPr>
        <w:t>新增产能</w:t>
      </w:r>
      <w:r>
        <w:rPr>
          <w:rFonts w:hint="eastAsia"/>
          <w:sz w:val="24"/>
        </w:rPr>
        <w:t>3</w:t>
      </w:r>
      <w:r>
        <w:rPr>
          <w:rFonts w:hint="eastAsia"/>
          <w:sz w:val="24"/>
        </w:rPr>
        <w:t>×</w:t>
      </w:r>
      <w:r>
        <w:rPr>
          <w:rFonts w:hint="eastAsia"/>
          <w:sz w:val="24"/>
        </w:rPr>
        <w:t>10</w:t>
      </w:r>
      <w:r>
        <w:rPr>
          <w:rFonts w:hint="eastAsia"/>
          <w:sz w:val="24"/>
          <w:vertAlign w:val="superscript"/>
        </w:rPr>
        <w:t>4</w:t>
      </w:r>
      <w:r>
        <w:rPr>
          <w:rFonts w:hint="eastAsia"/>
          <w:sz w:val="24"/>
        </w:rPr>
        <w:t>t/a</w:t>
      </w:r>
      <w:r>
        <w:rPr>
          <w:rFonts w:hint="eastAsia"/>
          <w:sz w:val="24"/>
        </w:rPr>
        <w:t>，开采方式为</w:t>
      </w:r>
      <w:r>
        <w:rPr>
          <w:rFonts w:hint="eastAsia"/>
          <w:sz w:val="24"/>
        </w:rPr>
        <w:t>冷采</w:t>
      </w:r>
      <w:r>
        <w:rPr>
          <w:rFonts w:hint="eastAsia"/>
          <w:sz w:val="24"/>
        </w:rPr>
        <w:t>9</w:t>
      </w:r>
      <w:r>
        <w:rPr>
          <w:rFonts w:hint="eastAsia"/>
          <w:sz w:val="24"/>
        </w:rPr>
        <w:t>口、热采</w:t>
      </w:r>
      <w:r>
        <w:rPr>
          <w:rFonts w:hint="eastAsia"/>
          <w:sz w:val="24"/>
        </w:rPr>
        <w:t>9</w:t>
      </w:r>
      <w:r>
        <w:rPr>
          <w:rFonts w:hint="eastAsia"/>
          <w:sz w:val="24"/>
        </w:rPr>
        <w:t>口；</w:t>
      </w:r>
      <w:r>
        <w:rPr>
          <w:rFonts w:hint="eastAsia"/>
          <w:sz w:val="24"/>
        </w:rPr>
        <w:t>新建集油管线</w:t>
      </w:r>
      <w:r>
        <w:rPr>
          <w:rFonts w:hint="eastAsia"/>
          <w:sz w:val="24"/>
        </w:rPr>
        <w:t>13.9</w:t>
      </w:r>
      <w:r>
        <w:rPr>
          <w:rFonts w:hint="eastAsia"/>
          <w:sz w:val="24"/>
        </w:rPr>
        <w:t>km</w:t>
      </w:r>
      <w:r>
        <w:rPr>
          <w:rFonts w:hint="eastAsia"/>
          <w:sz w:val="24"/>
        </w:rPr>
        <w:t>、</w:t>
      </w:r>
      <w:r>
        <w:rPr>
          <w:rFonts w:hint="eastAsia"/>
          <w:sz w:val="24"/>
        </w:rPr>
        <w:t>掺水管线</w:t>
      </w:r>
      <w:r>
        <w:rPr>
          <w:rFonts w:hint="eastAsia"/>
          <w:sz w:val="24"/>
        </w:rPr>
        <w:t>10.3km</w:t>
      </w:r>
      <w:r>
        <w:rPr>
          <w:rFonts w:hint="eastAsia"/>
          <w:sz w:val="24"/>
        </w:rPr>
        <w:t>、</w:t>
      </w:r>
      <w:r>
        <w:rPr>
          <w:rFonts w:hint="eastAsia"/>
          <w:sz w:val="24"/>
        </w:rPr>
        <w:t>注汽管线</w:t>
      </w:r>
      <w:r>
        <w:rPr>
          <w:rFonts w:hint="eastAsia"/>
          <w:sz w:val="24"/>
        </w:rPr>
        <w:t>0.3</w:t>
      </w:r>
      <w:r>
        <w:rPr>
          <w:rFonts w:hint="eastAsia"/>
          <w:sz w:val="24"/>
        </w:rPr>
        <w:t>km</w:t>
      </w:r>
      <w:r>
        <w:rPr>
          <w:rFonts w:hint="eastAsia"/>
          <w:sz w:val="24"/>
        </w:rPr>
        <w:t>、注水管线</w:t>
      </w:r>
      <w:r>
        <w:rPr>
          <w:rFonts w:hint="eastAsia"/>
          <w:sz w:val="24"/>
        </w:rPr>
        <w:t>2.05</w:t>
      </w:r>
      <w:r>
        <w:rPr>
          <w:rFonts w:hint="eastAsia"/>
          <w:sz w:val="24"/>
        </w:rPr>
        <w:t>km</w:t>
      </w:r>
      <w:r>
        <w:rPr>
          <w:rFonts w:hint="eastAsia"/>
          <w:sz w:val="24"/>
        </w:rPr>
        <w:t>、</w:t>
      </w:r>
      <w:r>
        <w:rPr>
          <w:rFonts w:hint="eastAsia"/>
          <w:sz w:val="24"/>
        </w:rPr>
        <w:t>伴生气掺烧管线</w:t>
      </w:r>
      <w:r>
        <w:rPr>
          <w:rFonts w:hint="eastAsia"/>
          <w:sz w:val="24"/>
        </w:rPr>
        <w:t>1.2km</w:t>
      </w:r>
      <w:r>
        <w:rPr>
          <w:rFonts w:hint="eastAsia"/>
          <w:sz w:val="24"/>
        </w:rPr>
        <w:t>；排</w:t>
      </w:r>
      <w:r>
        <w:rPr>
          <w:rFonts w:hint="eastAsia"/>
          <w:sz w:val="24"/>
        </w:rPr>
        <w:t>61-</w:t>
      </w:r>
      <w:r>
        <w:rPr>
          <w:rFonts w:hint="eastAsia"/>
          <w:sz w:val="24"/>
        </w:rPr>
        <w:t>平</w:t>
      </w:r>
      <w:r>
        <w:rPr>
          <w:rFonts w:hint="eastAsia"/>
          <w:sz w:val="24"/>
        </w:rPr>
        <w:t>14</w:t>
      </w:r>
      <w:r>
        <w:rPr>
          <w:rFonts w:hint="eastAsia"/>
          <w:sz w:val="24"/>
        </w:rPr>
        <w:t>新建增压点</w:t>
      </w:r>
      <w:r>
        <w:rPr>
          <w:rFonts w:hint="eastAsia"/>
          <w:sz w:val="24"/>
        </w:rPr>
        <w:t>1</w:t>
      </w:r>
      <w:r>
        <w:rPr>
          <w:rFonts w:hint="eastAsia"/>
          <w:sz w:val="24"/>
        </w:rPr>
        <w:t>处；对</w:t>
      </w:r>
      <w:r>
        <w:rPr>
          <w:rFonts w:hint="eastAsia"/>
          <w:sz w:val="24"/>
        </w:rPr>
        <w:t>1#</w:t>
      </w:r>
      <w:r>
        <w:rPr>
          <w:rFonts w:hint="eastAsia"/>
          <w:sz w:val="24"/>
        </w:rPr>
        <w:t>增压站</w:t>
      </w:r>
      <w:r>
        <w:rPr>
          <w:rFonts w:hint="eastAsia"/>
          <w:sz w:val="24"/>
        </w:rPr>
        <w:t>进行就地分水改造</w:t>
      </w:r>
      <w:r>
        <w:rPr>
          <w:rFonts w:hint="eastAsia"/>
          <w:sz w:val="24"/>
        </w:rPr>
        <w:t>，</w:t>
      </w:r>
      <w:r>
        <w:rPr>
          <w:rFonts w:hint="eastAsia"/>
          <w:sz w:val="24"/>
        </w:rPr>
        <w:t>集输末端新建</w:t>
      </w:r>
      <w:r>
        <w:rPr>
          <w:rFonts w:hint="eastAsia"/>
          <w:sz w:val="24"/>
        </w:rPr>
        <w:t>掺水点</w:t>
      </w:r>
      <w:r>
        <w:rPr>
          <w:rFonts w:hint="eastAsia"/>
          <w:sz w:val="24"/>
        </w:rPr>
        <w:t>4</w:t>
      </w:r>
      <w:r>
        <w:rPr>
          <w:rFonts w:hint="eastAsia"/>
          <w:sz w:val="24"/>
        </w:rPr>
        <w:t>处，井口产液增压输至</w:t>
      </w:r>
      <w:r>
        <w:rPr>
          <w:rFonts w:hint="eastAsia"/>
          <w:sz w:val="24"/>
        </w:rPr>
        <w:t>1#</w:t>
      </w:r>
      <w:r>
        <w:rPr>
          <w:rFonts w:hint="eastAsia"/>
          <w:sz w:val="24"/>
        </w:rPr>
        <w:t>增压站增压后输至春风二号联合站处理</w:t>
      </w:r>
      <w:r>
        <w:rPr>
          <w:rFonts w:hint="eastAsia"/>
          <w:sz w:val="24"/>
        </w:rPr>
        <w:t>；</w:t>
      </w:r>
      <w:r>
        <w:rPr>
          <w:rFonts w:hint="eastAsia"/>
          <w:sz w:val="24"/>
        </w:rPr>
        <w:t>对排</w:t>
      </w:r>
      <w:r>
        <w:rPr>
          <w:rFonts w:hint="eastAsia"/>
          <w:sz w:val="24"/>
        </w:rPr>
        <w:t>7</w:t>
      </w:r>
      <w:r>
        <w:rPr>
          <w:rFonts w:hint="eastAsia"/>
          <w:sz w:val="24"/>
        </w:rPr>
        <w:t>注水站进行改扩建，站内新增</w:t>
      </w:r>
      <w:r>
        <w:rPr>
          <w:rFonts w:hint="eastAsia"/>
          <w:sz w:val="24"/>
        </w:rPr>
        <w:t>1</w:t>
      </w:r>
      <w:r>
        <w:rPr>
          <w:rFonts w:hint="eastAsia"/>
          <w:sz w:val="24"/>
        </w:rPr>
        <w:t>座缓冲罐、</w:t>
      </w:r>
      <w:r>
        <w:rPr>
          <w:rFonts w:hint="eastAsia"/>
          <w:sz w:val="24"/>
        </w:rPr>
        <w:t>3</w:t>
      </w:r>
      <w:r>
        <w:rPr>
          <w:rFonts w:hint="eastAsia"/>
          <w:sz w:val="24"/>
        </w:rPr>
        <w:t>台喂水泵，更换</w:t>
      </w:r>
      <w:r>
        <w:rPr>
          <w:rFonts w:hint="eastAsia"/>
          <w:sz w:val="24"/>
        </w:rPr>
        <w:t>2</w:t>
      </w:r>
      <w:r>
        <w:rPr>
          <w:rFonts w:hint="eastAsia"/>
          <w:sz w:val="24"/>
        </w:rPr>
        <w:t>台注水泵等</w:t>
      </w:r>
      <w:r>
        <w:rPr>
          <w:rFonts w:hint="eastAsia"/>
          <w:sz w:val="24"/>
        </w:rPr>
        <w:t>。</w:t>
      </w:r>
      <w:r>
        <w:rPr>
          <w:rFonts w:hint="eastAsia"/>
          <w:sz w:val="24"/>
        </w:rPr>
        <w:t>配套自动控制、通信</w:t>
      </w:r>
      <w:r>
        <w:rPr>
          <w:rFonts w:hint="eastAsia"/>
          <w:sz w:val="24"/>
        </w:rPr>
        <w:t>、供配电、道路、防腐、消防等辅助及公用工程。</w:t>
      </w:r>
      <w:r>
        <w:rPr>
          <w:rFonts w:hint="eastAsia"/>
          <w:sz w:val="24"/>
        </w:rPr>
        <w:t>所有工程均呈点线状分布在春风油田采矿权范围内；不涉及中央环保督察整改任务；各项工程均不占生态保护红线，距离约</w:t>
      </w:r>
      <w:r>
        <w:rPr>
          <w:rFonts w:hint="eastAsia"/>
          <w:sz w:val="24"/>
        </w:rPr>
        <w:t>16km</w:t>
      </w:r>
      <w:r>
        <w:rPr>
          <w:sz w:val="24"/>
        </w:rPr>
        <w:t>。</w:t>
      </w:r>
      <w:r>
        <w:rPr>
          <w:rFonts w:hint="eastAsia"/>
          <w:sz w:val="24"/>
        </w:rPr>
        <w:t>工程总投资</w:t>
      </w:r>
      <w:r>
        <w:rPr>
          <w:rFonts w:hint="eastAsia"/>
          <w:sz w:val="24"/>
        </w:rPr>
        <w:t>11398.55</w:t>
      </w:r>
      <w:r>
        <w:rPr>
          <w:rFonts w:hint="eastAsia"/>
          <w:sz w:val="24"/>
        </w:rPr>
        <w:t>万元</w:t>
      </w:r>
      <w:r>
        <w:rPr>
          <w:rFonts w:hint="eastAsia"/>
          <w:sz w:val="24"/>
        </w:rPr>
        <w:t>。</w:t>
      </w:r>
    </w:p>
    <w:p w:rsidR="00EE4502" w:rsidRDefault="00FD45A3">
      <w:pPr>
        <w:spacing w:line="360" w:lineRule="auto"/>
        <w:ind w:firstLine="522"/>
        <w:rPr>
          <w:sz w:val="24"/>
        </w:rPr>
      </w:pPr>
      <w:r>
        <w:rPr>
          <w:rFonts w:hint="eastAsia"/>
          <w:sz w:val="24"/>
        </w:rPr>
        <w:t>2</w:t>
      </w:r>
      <w:r>
        <w:rPr>
          <w:rFonts w:hint="eastAsia"/>
          <w:sz w:val="24"/>
        </w:rPr>
        <w:t>）排污信息</w:t>
      </w:r>
    </w:p>
    <w:p w:rsidR="00EE4502" w:rsidRDefault="00FD45A3">
      <w:pPr>
        <w:spacing w:line="360" w:lineRule="auto"/>
        <w:ind w:firstLine="522"/>
        <w:rPr>
          <w:sz w:val="24"/>
        </w:rPr>
      </w:pPr>
      <w:r>
        <w:rPr>
          <w:rFonts w:hint="eastAsia"/>
          <w:sz w:val="24"/>
        </w:rPr>
        <w:t>本工程拟采取的环境保护措施、排放的污染物种类、排放浓度见“</w:t>
      </w:r>
      <w:r>
        <w:rPr>
          <w:rFonts w:hint="eastAsia"/>
          <w:sz w:val="24"/>
        </w:rPr>
        <w:t>3.4.3.</w:t>
      </w:r>
      <w:r>
        <w:rPr>
          <w:rFonts w:hint="eastAsia"/>
          <w:sz w:val="24"/>
        </w:rPr>
        <w:t>运营期主要污染源源强核算”。</w:t>
      </w:r>
    </w:p>
    <w:p w:rsidR="00EE4502" w:rsidRDefault="00FD45A3">
      <w:pPr>
        <w:spacing w:line="360" w:lineRule="auto"/>
        <w:ind w:firstLine="522"/>
        <w:rPr>
          <w:sz w:val="24"/>
        </w:rPr>
      </w:pPr>
      <w:r>
        <w:rPr>
          <w:rFonts w:hint="eastAsia"/>
          <w:sz w:val="24"/>
        </w:rPr>
        <w:lastRenderedPageBreak/>
        <w:t>本项目污染物排放标准见“</w:t>
      </w:r>
      <w:r>
        <w:rPr>
          <w:rFonts w:hint="eastAsia"/>
          <w:sz w:val="24"/>
        </w:rPr>
        <w:t>2.4.3.</w:t>
      </w:r>
      <w:r>
        <w:rPr>
          <w:rFonts w:hint="eastAsia"/>
          <w:sz w:val="24"/>
        </w:rPr>
        <w:t>污染物排放标准”。</w:t>
      </w:r>
    </w:p>
    <w:p w:rsidR="00EE4502" w:rsidRDefault="00FD45A3">
      <w:pPr>
        <w:spacing w:line="360" w:lineRule="auto"/>
        <w:ind w:firstLine="522"/>
        <w:rPr>
          <w:sz w:val="24"/>
        </w:rPr>
      </w:pPr>
      <w:r>
        <w:rPr>
          <w:rFonts w:hint="eastAsia"/>
          <w:sz w:val="24"/>
        </w:rPr>
        <w:t>本项目污染物排放量情况见“</w:t>
      </w:r>
      <w:r>
        <w:rPr>
          <w:rFonts w:hint="eastAsia"/>
          <w:sz w:val="24"/>
        </w:rPr>
        <w:t>3.4.3.5.</w:t>
      </w:r>
      <w:r>
        <w:rPr>
          <w:rFonts w:hint="eastAsia"/>
          <w:sz w:val="24"/>
        </w:rPr>
        <w:t>运营期污染物排放情况汇总”。</w:t>
      </w:r>
    </w:p>
    <w:p w:rsidR="00EE4502" w:rsidRDefault="00FD45A3">
      <w:pPr>
        <w:spacing w:line="360" w:lineRule="auto"/>
        <w:ind w:firstLine="522"/>
        <w:rPr>
          <w:sz w:val="24"/>
        </w:rPr>
      </w:pPr>
      <w:r>
        <w:rPr>
          <w:rFonts w:hint="eastAsia"/>
          <w:sz w:val="24"/>
        </w:rPr>
        <w:t>本项目污染物总量控制指标情况见“</w:t>
      </w:r>
      <w:r>
        <w:rPr>
          <w:rFonts w:hint="eastAsia"/>
          <w:sz w:val="24"/>
        </w:rPr>
        <w:t>3.4.8.</w:t>
      </w:r>
      <w:r>
        <w:rPr>
          <w:rFonts w:hint="eastAsia"/>
          <w:sz w:val="24"/>
        </w:rPr>
        <w:t>污染物排放总量控制”。</w:t>
      </w:r>
    </w:p>
    <w:p w:rsidR="00EE4502" w:rsidRDefault="00FD45A3">
      <w:pPr>
        <w:spacing w:line="360" w:lineRule="auto"/>
        <w:ind w:firstLine="522"/>
        <w:rPr>
          <w:sz w:val="24"/>
        </w:rPr>
      </w:pPr>
      <w:r>
        <w:rPr>
          <w:rFonts w:hint="eastAsia"/>
          <w:sz w:val="24"/>
        </w:rPr>
        <w:t>3</w:t>
      </w:r>
      <w:r>
        <w:rPr>
          <w:rFonts w:hint="eastAsia"/>
          <w:sz w:val="24"/>
        </w:rPr>
        <w:t>）环境风险防范措施</w:t>
      </w:r>
    </w:p>
    <w:p w:rsidR="00EE4502" w:rsidRDefault="00FD45A3">
      <w:pPr>
        <w:spacing w:line="360" w:lineRule="auto"/>
        <w:ind w:firstLine="522"/>
        <w:rPr>
          <w:sz w:val="24"/>
        </w:rPr>
      </w:pPr>
      <w:r>
        <w:rPr>
          <w:rFonts w:hint="eastAsia"/>
          <w:sz w:val="24"/>
        </w:rPr>
        <w:t>本工程环境风险防范措施见中石化新疆新春石油开发有限责任公司现行突发环境风险应急预案。</w:t>
      </w:r>
    </w:p>
    <w:p w:rsidR="00EE4502" w:rsidRDefault="00FD45A3">
      <w:pPr>
        <w:spacing w:line="360" w:lineRule="auto"/>
        <w:ind w:firstLine="522"/>
        <w:rPr>
          <w:sz w:val="24"/>
        </w:rPr>
      </w:pPr>
      <w:r>
        <w:rPr>
          <w:rFonts w:hint="eastAsia"/>
          <w:sz w:val="24"/>
        </w:rPr>
        <w:t>4</w:t>
      </w:r>
      <w:r>
        <w:rPr>
          <w:rFonts w:hint="eastAsia"/>
          <w:sz w:val="24"/>
        </w:rPr>
        <w:t>）环境监测计划</w:t>
      </w:r>
    </w:p>
    <w:p w:rsidR="00EE4502" w:rsidRDefault="00FD45A3">
      <w:pPr>
        <w:spacing w:line="360" w:lineRule="auto"/>
        <w:ind w:firstLine="522"/>
        <w:rPr>
          <w:sz w:val="24"/>
        </w:rPr>
      </w:pPr>
      <w:r>
        <w:rPr>
          <w:rFonts w:hint="eastAsia"/>
          <w:sz w:val="24"/>
        </w:rPr>
        <w:t>本项目环境监测计划见“</w:t>
      </w:r>
      <w:r>
        <w:rPr>
          <w:rFonts w:hint="eastAsia"/>
          <w:sz w:val="24"/>
        </w:rPr>
        <w:t>8.</w:t>
      </w:r>
      <w:r>
        <w:rPr>
          <w:rFonts w:hint="eastAsia"/>
          <w:sz w:val="24"/>
        </w:rPr>
        <w:t>环境管理与监测计划”。</w:t>
      </w:r>
    </w:p>
    <w:p w:rsidR="00EE4502" w:rsidRDefault="00FD45A3">
      <w:pPr>
        <w:spacing w:line="360" w:lineRule="auto"/>
        <w:ind w:firstLine="522"/>
        <w:rPr>
          <w:b/>
          <w:bCs/>
          <w:sz w:val="24"/>
        </w:rPr>
      </w:pPr>
      <w:r>
        <w:rPr>
          <w:rFonts w:hint="eastAsia"/>
          <w:b/>
          <w:bCs/>
          <w:sz w:val="24"/>
        </w:rPr>
        <w:t>（</w:t>
      </w:r>
      <w:r>
        <w:rPr>
          <w:rFonts w:hint="eastAsia"/>
          <w:b/>
          <w:bCs/>
          <w:sz w:val="24"/>
        </w:rPr>
        <w:t>2</w:t>
      </w:r>
      <w:r>
        <w:rPr>
          <w:rFonts w:hint="eastAsia"/>
          <w:b/>
          <w:bCs/>
          <w:sz w:val="24"/>
        </w:rPr>
        <w:t>）披露方式及时间要求</w:t>
      </w:r>
    </w:p>
    <w:p w:rsidR="00EE4502" w:rsidRDefault="00FD45A3">
      <w:pPr>
        <w:spacing w:line="360" w:lineRule="auto"/>
        <w:ind w:firstLine="522"/>
        <w:rPr>
          <w:sz w:val="24"/>
        </w:rPr>
      </w:pPr>
      <w:r>
        <w:rPr>
          <w:rFonts w:hint="eastAsia"/>
          <w:sz w:val="24"/>
        </w:rPr>
        <w:t>公示方式：通过公司网站、信息公开平台或当地报刊等便于公众知晓的方式公开。</w:t>
      </w:r>
    </w:p>
    <w:p w:rsidR="00EE4502" w:rsidRDefault="00FD45A3">
      <w:pPr>
        <w:spacing w:line="360" w:lineRule="auto"/>
        <w:ind w:firstLine="522"/>
        <w:rPr>
          <w:sz w:val="24"/>
        </w:rPr>
      </w:pPr>
      <w:r>
        <w:rPr>
          <w:rFonts w:hint="eastAsia"/>
          <w:sz w:val="24"/>
        </w:rPr>
        <w:t>公开时间要求：企业可以根据实际情况对已披露的环境信息进行变更；进行变更的，应当以临时环境信息依法披露报告的形式变更，并说明变更事项和理由；企业应当于每年</w:t>
      </w:r>
      <w:r>
        <w:rPr>
          <w:rFonts w:hint="eastAsia"/>
          <w:sz w:val="24"/>
        </w:rPr>
        <w:t>3</w:t>
      </w:r>
      <w:r>
        <w:rPr>
          <w:rFonts w:hint="eastAsia"/>
          <w:sz w:val="24"/>
        </w:rPr>
        <w:t>月</w:t>
      </w:r>
      <w:r>
        <w:rPr>
          <w:rFonts w:hint="eastAsia"/>
          <w:sz w:val="24"/>
        </w:rPr>
        <w:t>15</w:t>
      </w:r>
      <w:r>
        <w:rPr>
          <w:rFonts w:hint="eastAsia"/>
          <w:sz w:val="24"/>
        </w:rPr>
        <w:t>日前披露上一年度</w:t>
      </w:r>
      <w:r>
        <w:rPr>
          <w:rFonts w:hint="eastAsia"/>
          <w:sz w:val="24"/>
        </w:rPr>
        <w:t>1</w:t>
      </w:r>
      <w:r>
        <w:rPr>
          <w:rFonts w:hint="eastAsia"/>
          <w:sz w:val="24"/>
        </w:rPr>
        <w:t>月</w:t>
      </w:r>
      <w:r>
        <w:rPr>
          <w:rFonts w:hint="eastAsia"/>
          <w:sz w:val="24"/>
        </w:rPr>
        <w:t>1</w:t>
      </w:r>
      <w:r>
        <w:rPr>
          <w:rFonts w:hint="eastAsia"/>
          <w:sz w:val="24"/>
        </w:rPr>
        <w:t>日至</w:t>
      </w:r>
      <w:r>
        <w:rPr>
          <w:rFonts w:hint="eastAsia"/>
          <w:sz w:val="24"/>
        </w:rPr>
        <w:t>12</w:t>
      </w:r>
      <w:r>
        <w:rPr>
          <w:rFonts w:hint="eastAsia"/>
          <w:sz w:val="24"/>
        </w:rPr>
        <w:t>月</w:t>
      </w:r>
      <w:r>
        <w:rPr>
          <w:rFonts w:hint="eastAsia"/>
          <w:sz w:val="24"/>
        </w:rPr>
        <w:t>31</w:t>
      </w:r>
      <w:r>
        <w:rPr>
          <w:rFonts w:hint="eastAsia"/>
          <w:sz w:val="24"/>
        </w:rPr>
        <w:t>日的环境信息；建设单位在企业名单公布前存在《企业环境信息依法披露管理办法》（部令</w:t>
      </w:r>
      <w:r>
        <w:rPr>
          <w:rFonts w:hint="eastAsia"/>
          <w:sz w:val="24"/>
        </w:rPr>
        <w:t xml:space="preserve"> </w:t>
      </w:r>
      <w:r>
        <w:rPr>
          <w:rFonts w:hint="eastAsia"/>
          <w:sz w:val="24"/>
        </w:rPr>
        <w:t>第</w:t>
      </w:r>
      <w:r>
        <w:rPr>
          <w:rFonts w:hint="eastAsia"/>
          <w:sz w:val="24"/>
        </w:rPr>
        <w:t>24</w:t>
      </w:r>
      <w:r>
        <w:rPr>
          <w:rFonts w:hint="eastAsia"/>
          <w:sz w:val="24"/>
        </w:rPr>
        <w:t>号）第十七条规定的环境信息的，应当于企业名单公布后十个工作日内以临时环境信息依法披露报告的形式披露本年度企业名单公布前的相关信息。</w:t>
      </w:r>
    </w:p>
    <w:p w:rsidR="00EE4502" w:rsidRDefault="00FD45A3">
      <w:pPr>
        <w:pStyle w:val="22"/>
        <w:numPr>
          <w:ilvl w:val="1"/>
          <w:numId w:val="30"/>
        </w:numPr>
        <w:rPr>
          <w:spacing w:val="0"/>
          <w:w w:val="100"/>
        </w:rPr>
      </w:pPr>
      <w:bookmarkStart w:id="261" w:name="_Toc22928"/>
      <w:r>
        <w:rPr>
          <w:rFonts w:hint="eastAsia"/>
          <w:spacing w:val="0"/>
          <w:w w:val="100"/>
        </w:rPr>
        <w:t>施工期环境管理及监测</w:t>
      </w:r>
      <w:bookmarkEnd w:id="261"/>
    </w:p>
    <w:p w:rsidR="00EE4502" w:rsidRDefault="00FD45A3">
      <w:pPr>
        <w:pStyle w:val="33"/>
        <w:numPr>
          <w:ilvl w:val="2"/>
          <w:numId w:val="30"/>
        </w:numPr>
        <w:spacing w:line="360" w:lineRule="auto"/>
        <w:ind w:left="0" w:firstLine="0"/>
        <w:rPr>
          <w:spacing w:val="0"/>
          <w:sz w:val="24"/>
          <w:szCs w:val="24"/>
        </w:rPr>
      </w:pPr>
      <w:r>
        <w:rPr>
          <w:rFonts w:hint="eastAsia"/>
          <w:spacing w:val="0"/>
          <w:sz w:val="24"/>
          <w:szCs w:val="24"/>
        </w:rPr>
        <w:t>承包方的环境管理</w:t>
      </w:r>
    </w:p>
    <w:p w:rsidR="00EE4502" w:rsidRDefault="00FD45A3">
      <w:pPr>
        <w:spacing w:line="360" w:lineRule="auto"/>
        <w:ind w:firstLine="522"/>
        <w:rPr>
          <w:sz w:val="24"/>
        </w:rPr>
      </w:pPr>
      <w:r>
        <w:rPr>
          <w:rFonts w:hint="eastAsia"/>
          <w:sz w:val="24"/>
        </w:rPr>
        <w:t>本工程</w:t>
      </w:r>
      <w:r>
        <w:rPr>
          <w:sz w:val="24"/>
        </w:rPr>
        <w:t>开发在对施工承包方管理上应按照</w:t>
      </w:r>
      <w:r>
        <w:rPr>
          <w:sz w:val="24"/>
        </w:rPr>
        <w:t>HSE</w:t>
      </w:r>
      <w:r>
        <w:rPr>
          <w:sz w:val="24"/>
        </w:rPr>
        <w:t>（健康、安全、环保）管理程序进行管理，具体见图</w:t>
      </w:r>
      <w:r>
        <w:rPr>
          <w:sz w:val="24"/>
        </w:rPr>
        <w:t>8</w:t>
      </w:r>
      <w:r>
        <w:rPr>
          <w:rFonts w:hint="eastAsia"/>
          <w:sz w:val="24"/>
        </w:rPr>
        <w:t>-</w:t>
      </w:r>
      <w:r>
        <w:rPr>
          <w:sz w:val="24"/>
        </w:rPr>
        <w:t>2-1</w:t>
      </w:r>
      <w:r>
        <w:rPr>
          <w:sz w:val="24"/>
        </w:rPr>
        <w:t>。</w:t>
      </w:r>
    </w:p>
    <w:p w:rsidR="00EE4502" w:rsidRDefault="00EE4502">
      <w:pPr>
        <w:spacing w:line="360" w:lineRule="auto"/>
        <w:jc w:val="center"/>
        <w:rPr>
          <w:sz w:val="24"/>
        </w:rPr>
      </w:pPr>
    </w:p>
    <w:p w:rsidR="00EE4502" w:rsidRDefault="00FD45A3">
      <w:pPr>
        <w:pStyle w:val="afc"/>
        <w:spacing w:line="360" w:lineRule="auto"/>
        <w:ind w:firstLineChars="0" w:firstLine="0"/>
        <w:jc w:val="center"/>
        <w:rPr>
          <w:rFonts w:ascii="Times New Roman" w:eastAsia="黑体" w:hAnsi="黑体"/>
          <w:bCs/>
          <w:color w:val="auto"/>
          <w:spacing w:val="0"/>
          <w:sz w:val="24"/>
          <w:szCs w:val="24"/>
        </w:rPr>
      </w:pPr>
      <w:r>
        <w:rPr>
          <w:rFonts w:ascii="Times New Roman" w:eastAsia="黑体" w:hAnsi="黑体" w:hint="eastAsia"/>
          <w:bCs/>
          <w:color w:val="auto"/>
          <w:spacing w:val="0"/>
          <w:sz w:val="24"/>
          <w:szCs w:val="24"/>
        </w:rPr>
        <w:t>图</w:t>
      </w:r>
      <w:r>
        <w:rPr>
          <w:rFonts w:ascii="Times New Roman" w:eastAsia="黑体" w:hAnsi="黑体" w:hint="eastAsia"/>
          <w:bCs/>
          <w:color w:val="auto"/>
          <w:spacing w:val="0"/>
          <w:sz w:val="24"/>
          <w:szCs w:val="24"/>
        </w:rPr>
        <w:t>9-3</w:t>
      </w:r>
      <w:r>
        <w:rPr>
          <w:rFonts w:ascii="Times New Roman" w:eastAsia="黑体" w:hAnsi="黑体" w:hint="eastAsia"/>
          <w:bCs/>
          <w:color w:val="auto"/>
          <w:spacing w:val="0"/>
          <w:sz w:val="24"/>
          <w:szCs w:val="24"/>
        </w:rPr>
        <w:t xml:space="preserve">-1  </w:t>
      </w:r>
      <w:r>
        <w:rPr>
          <w:rFonts w:ascii="Times New Roman" w:eastAsia="黑体" w:hAnsi="黑体" w:hint="eastAsia"/>
          <w:bCs/>
          <w:color w:val="auto"/>
          <w:spacing w:val="0"/>
          <w:sz w:val="24"/>
          <w:szCs w:val="24"/>
        </w:rPr>
        <w:t>分承包方</w:t>
      </w:r>
      <w:r>
        <w:rPr>
          <w:rFonts w:ascii="Times New Roman" w:eastAsia="黑体" w:hAnsi="黑体" w:hint="eastAsia"/>
          <w:bCs/>
          <w:color w:val="auto"/>
          <w:spacing w:val="0"/>
          <w:sz w:val="24"/>
          <w:szCs w:val="24"/>
        </w:rPr>
        <w:t>HSE</w:t>
      </w:r>
      <w:r>
        <w:rPr>
          <w:rFonts w:ascii="Times New Roman" w:eastAsia="黑体" w:hAnsi="黑体" w:hint="eastAsia"/>
          <w:bCs/>
          <w:color w:val="auto"/>
          <w:spacing w:val="0"/>
          <w:sz w:val="24"/>
          <w:szCs w:val="24"/>
        </w:rPr>
        <w:t>管理程序方框图</w:t>
      </w:r>
    </w:p>
    <w:p w:rsidR="00EE4502" w:rsidRDefault="00FD45A3">
      <w:pPr>
        <w:spacing w:line="360" w:lineRule="auto"/>
        <w:ind w:firstLine="522"/>
        <w:rPr>
          <w:sz w:val="24"/>
        </w:rPr>
      </w:pPr>
      <w:r>
        <w:rPr>
          <w:sz w:val="24"/>
        </w:rPr>
        <w:t>（</w:t>
      </w:r>
      <w:r>
        <w:rPr>
          <w:sz w:val="24"/>
        </w:rPr>
        <w:t>1</w:t>
      </w:r>
      <w:r>
        <w:rPr>
          <w:sz w:val="24"/>
        </w:rPr>
        <w:t>）分承包方的选择</w:t>
      </w:r>
    </w:p>
    <w:p w:rsidR="00EE4502" w:rsidRDefault="00FD45A3">
      <w:pPr>
        <w:spacing w:line="360" w:lineRule="auto"/>
        <w:ind w:firstLine="522"/>
        <w:rPr>
          <w:sz w:val="24"/>
        </w:rPr>
      </w:pPr>
      <w:r>
        <w:rPr>
          <w:sz w:val="24"/>
        </w:rPr>
        <w:t>开发建设期对环境的破坏程度与施工承包方的素质和管理水平有很大关系。在承包方的选择上，除实力、人员素质和装备技术等方面外，还要考虑施工承包方的</w:t>
      </w:r>
      <w:r>
        <w:rPr>
          <w:sz w:val="24"/>
        </w:rPr>
        <w:t>HSE</w:t>
      </w:r>
      <w:r>
        <w:rPr>
          <w:sz w:val="24"/>
        </w:rPr>
        <w:t>表现，应优先那些</w:t>
      </w:r>
      <w:r>
        <w:rPr>
          <w:sz w:val="24"/>
        </w:rPr>
        <w:t>HSE</w:t>
      </w:r>
      <w:r>
        <w:rPr>
          <w:sz w:val="24"/>
        </w:rPr>
        <w:t>管理水平高、业绩好的单位。</w:t>
      </w:r>
    </w:p>
    <w:p w:rsidR="00EE4502" w:rsidRDefault="00FD45A3">
      <w:pPr>
        <w:spacing w:line="360" w:lineRule="auto"/>
        <w:ind w:firstLine="522"/>
        <w:rPr>
          <w:sz w:val="24"/>
        </w:rPr>
      </w:pPr>
      <w:r>
        <w:rPr>
          <w:sz w:val="24"/>
        </w:rPr>
        <w:t>（</w:t>
      </w:r>
      <w:r>
        <w:rPr>
          <w:sz w:val="24"/>
        </w:rPr>
        <w:t>2</w:t>
      </w:r>
      <w:r>
        <w:rPr>
          <w:sz w:val="24"/>
        </w:rPr>
        <w:t>）对分承包方的环保要求</w:t>
      </w:r>
    </w:p>
    <w:p w:rsidR="00EE4502" w:rsidRDefault="00FD45A3">
      <w:pPr>
        <w:spacing w:line="360" w:lineRule="auto"/>
        <w:ind w:firstLine="522"/>
        <w:rPr>
          <w:sz w:val="24"/>
        </w:rPr>
      </w:pPr>
      <w:r>
        <w:rPr>
          <w:sz w:val="24"/>
        </w:rPr>
        <w:t>在承包合同中应明确规定有关环境保护条款，如对承包工程的主要环境保护目标，应采取的水、气、声、生态保</w:t>
      </w:r>
      <w:r>
        <w:rPr>
          <w:sz w:val="24"/>
        </w:rPr>
        <w:t>护措施等，将环保工作的执行情况作为工</w:t>
      </w:r>
      <w:r>
        <w:rPr>
          <w:sz w:val="24"/>
        </w:rPr>
        <w:lastRenderedPageBreak/>
        <w:t>程验收的标准之一。承包方应按照公司</w:t>
      </w:r>
      <w:r>
        <w:rPr>
          <w:sz w:val="24"/>
        </w:rPr>
        <w:t>HSE</w:t>
      </w:r>
      <w:r>
        <w:rPr>
          <w:sz w:val="24"/>
        </w:rPr>
        <w:t>体系要求，建立相应的</w:t>
      </w:r>
      <w:r>
        <w:rPr>
          <w:sz w:val="24"/>
        </w:rPr>
        <w:t>HSE</w:t>
      </w:r>
      <w:r>
        <w:rPr>
          <w:sz w:val="24"/>
        </w:rPr>
        <w:t>管理机构。</w:t>
      </w:r>
    </w:p>
    <w:p w:rsidR="00EE4502" w:rsidRDefault="00FD45A3">
      <w:pPr>
        <w:spacing w:line="360" w:lineRule="auto"/>
        <w:ind w:firstLine="522"/>
        <w:rPr>
          <w:sz w:val="24"/>
        </w:rPr>
      </w:pPr>
      <w:r>
        <w:rPr>
          <w:sz w:val="24"/>
        </w:rPr>
        <w:t>承包方在施工之前，应按照其承包工程的环保要求，编制详细的</w:t>
      </w:r>
      <w:r>
        <w:rPr>
          <w:sz w:val="24"/>
        </w:rPr>
        <w:t>“</w:t>
      </w:r>
      <w:r>
        <w:rPr>
          <w:sz w:val="24"/>
        </w:rPr>
        <w:t>环境管理方案</w:t>
      </w:r>
      <w:r>
        <w:rPr>
          <w:sz w:val="24"/>
        </w:rPr>
        <w:t>”</w:t>
      </w:r>
      <w:r>
        <w:rPr>
          <w:sz w:val="24"/>
        </w:rPr>
        <w:t>，并连同施工计划一起呈报公司的</w:t>
      </w:r>
      <w:r>
        <w:rPr>
          <w:sz w:val="24"/>
        </w:rPr>
        <w:t>HSE</w:t>
      </w:r>
      <w:r>
        <w:rPr>
          <w:sz w:val="24"/>
        </w:rPr>
        <w:t>管理部门以及相关的地方环保部门，批准后方可以开工。</w:t>
      </w:r>
    </w:p>
    <w:p w:rsidR="00EE4502" w:rsidRDefault="00FD45A3">
      <w:pPr>
        <w:spacing w:line="360" w:lineRule="auto"/>
        <w:ind w:firstLine="522"/>
        <w:rPr>
          <w:sz w:val="24"/>
        </w:rPr>
      </w:pPr>
      <w:r>
        <w:rPr>
          <w:sz w:val="24"/>
        </w:rPr>
        <w:t>（</w:t>
      </w:r>
      <w:r>
        <w:rPr>
          <w:sz w:val="24"/>
        </w:rPr>
        <w:t>3</w:t>
      </w:r>
      <w:r>
        <w:rPr>
          <w:sz w:val="24"/>
        </w:rPr>
        <w:t>）对施工人员进行</w:t>
      </w:r>
      <w:r>
        <w:rPr>
          <w:sz w:val="24"/>
        </w:rPr>
        <w:t>HSE</w:t>
      </w:r>
      <w:r>
        <w:rPr>
          <w:sz w:val="24"/>
        </w:rPr>
        <w:t>培训</w:t>
      </w:r>
    </w:p>
    <w:p w:rsidR="00EE4502" w:rsidRDefault="00FD45A3">
      <w:pPr>
        <w:spacing w:line="360" w:lineRule="auto"/>
        <w:ind w:firstLine="522"/>
        <w:rPr>
          <w:sz w:val="24"/>
        </w:rPr>
      </w:pPr>
      <w:r>
        <w:rPr>
          <w:sz w:val="24"/>
        </w:rPr>
        <w:t>在施工作业之前必须对全体施工人员进行</w:t>
      </w:r>
      <w:r>
        <w:rPr>
          <w:sz w:val="24"/>
        </w:rPr>
        <w:t>HSE</w:t>
      </w:r>
      <w:r>
        <w:rPr>
          <w:sz w:val="24"/>
        </w:rPr>
        <w:t>培训。</w:t>
      </w:r>
    </w:p>
    <w:p w:rsidR="00EE4502" w:rsidRDefault="00FD45A3">
      <w:pPr>
        <w:spacing w:line="360" w:lineRule="auto"/>
        <w:ind w:firstLine="522"/>
        <w:rPr>
          <w:sz w:val="24"/>
        </w:rPr>
      </w:pPr>
      <w:r>
        <w:rPr>
          <w:sz w:val="24"/>
        </w:rPr>
        <w:t>环保知识和意识的培训主要包括：了解国家和地方有关环境方面的</w:t>
      </w:r>
      <w:r>
        <w:rPr>
          <w:rFonts w:hint="eastAsia"/>
          <w:sz w:val="24"/>
        </w:rPr>
        <w:t>法律法规</w:t>
      </w:r>
      <w:r>
        <w:rPr>
          <w:sz w:val="24"/>
        </w:rPr>
        <w:t>和标准；了解承包工程的主要环境保护目标和要求；认识遵守有关环境管理规定的重要性，以及违反规</w:t>
      </w:r>
      <w:r>
        <w:rPr>
          <w:sz w:val="24"/>
        </w:rPr>
        <w:t>定带来的后果等。</w:t>
      </w:r>
    </w:p>
    <w:p w:rsidR="00EE4502" w:rsidRDefault="00FD45A3">
      <w:pPr>
        <w:spacing w:line="360" w:lineRule="auto"/>
        <w:ind w:firstLine="522"/>
        <w:rPr>
          <w:sz w:val="24"/>
        </w:rPr>
      </w:pPr>
      <w:r>
        <w:rPr>
          <w:sz w:val="24"/>
        </w:rPr>
        <w:t>环保能力的培训主要包括：保护动植物、保护地表原貌的方法；收集、处理固体废物的方法；管理、存放及处理危险物品的方法等。</w:t>
      </w:r>
    </w:p>
    <w:p w:rsidR="00EE4502" w:rsidRDefault="00FD45A3">
      <w:pPr>
        <w:spacing w:line="360" w:lineRule="auto"/>
        <w:ind w:firstLine="522"/>
        <w:rPr>
          <w:sz w:val="24"/>
        </w:rPr>
      </w:pPr>
      <w:r>
        <w:rPr>
          <w:sz w:val="24"/>
        </w:rPr>
        <w:t>（</w:t>
      </w:r>
      <w:r>
        <w:rPr>
          <w:sz w:val="24"/>
        </w:rPr>
        <w:t>4</w:t>
      </w:r>
      <w:r>
        <w:rPr>
          <w:sz w:val="24"/>
        </w:rPr>
        <w:t>）根据施工中各工种的作业特点和各施工区段的敏感目标，分别提出不同的环境保护要求，</w:t>
      </w:r>
      <w:r>
        <w:rPr>
          <w:rFonts w:hint="eastAsia"/>
          <w:sz w:val="24"/>
        </w:rPr>
        <w:t>制定</w:t>
      </w:r>
      <w:r>
        <w:rPr>
          <w:sz w:val="24"/>
        </w:rPr>
        <w:t>发生环境事故的应急计划和措施。</w:t>
      </w:r>
    </w:p>
    <w:p w:rsidR="00EE4502" w:rsidRDefault="00FD45A3">
      <w:pPr>
        <w:pStyle w:val="33"/>
        <w:numPr>
          <w:ilvl w:val="2"/>
          <w:numId w:val="30"/>
        </w:numPr>
        <w:spacing w:line="360" w:lineRule="auto"/>
        <w:ind w:left="0" w:firstLine="0"/>
        <w:rPr>
          <w:spacing w:val="0"/>
          <w:sz w:val="24"/>
          <w:szCs w:val="24"/>
        </w:rPr>
      </w:pPr>
      <w:r>
        <w:rPr>
          <w:spacing w:val="0"/>
          <w:sz w:val="24"/>
          <w:szCs w:val="24"/>
        </w:rPr>
        <w:t>钻井作业环境管理</w:t>
      </w:r>
    </w:p>
    <w:p w:rsidR="00EE4502" w:rsidRDefault="00FD45A3">
      <w:pPr>
        <w:spacing w:line="360" w:lineRule="auto"/>
        <w:ind w:firstLine="522"/>
        <w:rPr>
          <w:sz w:val="24"/>
        </w:rPr>
      </w:pPr>
      <w:r>
        <w:rPr>
          <w:sz w:val="24"/>
        </w:rPr>
        <w:t>钻井作业环境管理，应有明确的环境管理方针和目标、环境管理机构和职责、环境管理程序、环境警示标志、环境培训等。</w:t>
      </w:r>
    </w:p>
    <w:p w:rsidR="00EE4502" w:rsidRDefault="00FD45A3">
      <w:pPr>
        <w:spacing w:line="360" w:lineRule="auto"/>
        <w:ind w:firstLine="522"/>
        <w:rPr>
          <w:sz w:val="24"/>
        </w:rPr>
      </w:pPr>
      <w:r>
        <w:rPr>
          <w:sz w:val="24"/>
        </w:rPr>
        <w:t>钻井作业环境管理应达到以下要求：</w:t>
      </w:r>
    </w:p>
    <w:p w:rsidR="00EE4502" w:rsidRDefault="00FD45A3">
      <w:pPr>
        <w:spacing w:line="360" w:lineRule="auto"/>
        <w:ind w:firstLine="522"/>
        <w:rPr>
          <w:sz w:val="24"/>
        </w:rPr>
      </w:pPr>
      <w:r>
        <w:rPr>
          <w:sz w:val="24"/>
        </w:rPr>
        <w:t>（</w:t>
      </w:r>
      <w:r>
        <w:rPr>
          <w:sz w:val="24"/>
        </w:rPr>
        <w:t>1</w:t>
      </w:r>
      <w:r>
        <w:rPr>
          <w:sz w:val="24"/>
        </w:rPr>
        <w:t>）钻前工程</w:t>
      </w:r>
    </w:p>
    <w:p w:rsidR="00EE4502" w:rsidRDefault="00FD45A3">
      <w:pPr>
        <w:spacing w:line="360" w:lineRule="auto"/>
        <w:ind w:firstLine="522"/>
        <w:rPr>
          <w:sz w:val="24"/>
        </w:rPr>
      </w:pPr>
      <w:r>
        <w:rPr>
          <w:sz w:val="24"/>
        </w:rPr>
        <w:t>在</w:t>
      </w:r>
      <w:r>
        <w:rPr>
          <w:rFonts w:hint="eastAsia"/>
          <w:sz w:val="24"/>
        </w:rPr>
        <w:t>平整井场时</w:t>
      </w:r>
      <w:r>
        <w:rPr>
          <w:sz w:val="24"/>
        </w:rPr>
        <w:t>，严格控制施工影响范围；井场应设污水处理系统，包括污水沟、污水池和污水处理设备，且污水沟和污水池应进行防渗漏、防垮塌处理。</w:t>
      </w:r>
    </w:p>
    <w:p w:rsidR="00EE4502" w:rsidRDefault="00FD45A3">
      <w:pPr>
        <w:spacing w:line="360" w:lineRule="auto"/>
        <w:ind w:firstLine="522"/>
        <w:rPr>
          <w:sz w:val="24"/>
        </w:rPr>
      </w:pPr>
      <w:r>
        <w:rPr>
          <w:sz w:val="24"/>
        </w:rPr>
        <w:t>（</w:t>
      </w:r>
      <w:r>
        <w:rPr>
          <w:sz w:val="24"/>
        </w:rPr>
        <w:t>2</w:t>
      </w:r>
      <w:r>
        <w:rPr>
          <w:sz w:val="24"/>
        </w:rPr>
        <w:t>）设备器材搬迁</w:t>
      </w:r>
    </w:p>
    <w:p w:rsidR="00EE4502" w:rsidRDefault="00FD45A3">
      <w:pPr>
        <w:spacing w:line="360" w:lineRule="auto"/>
        <w:ind w:firstLine="522"/>
        <w:rPr>
          <w:sz w:val="24"/>
        </w:rPr>
      </w:pPr>
      <w:r>
        <w:rPr>
          <w:sz w:val="24"/>
        </w:rPr>
        <w:t>制定合适的工作计划和车辆加油计划，减少沿线行驶次数和油料泄漏机会，定期检查所有车辆的泄漏情况，被污染的土壤要清除，并进行适当处理，不得向车外乱扔废弃物。</w:t>
      </w:r>
    </w:p>
    <w:p w:rsidR="00EE4502" w:rsidRDefault="00FD45A3">
      <w:pPr>
        <w:spacing w:line="360" w:lineRule="auto"/>
        <w:ind w:firstLine="522"/>
        <w:rPr>
          <w:sz w:val="24"/>
        </w:rPr>
      </w:pPr>
      <w:r>
        <w:rPr>
          <w:sz w:val="24"/>
        </w:rPr>
        <w:t>（</w:t>
      </w:r>
      <w:r>
        <w:rPr>
          <w:sz w:val="24"/>
        </w:rPr>
        <w:t>3</w:t>
      </w:r>
      <w:r>
        <w:rPr>
          <w:sz w:val="24"/>
        </w:rPr>
        <w:t>）钻井施工</w:t>
      </w:r>
    </w:p>
    <w:p w:rsidR="00EE4502" w:rsidRDefault="00FD45A3">
      <w:pPr>
        <w:spacing w:line="360" w:lineRule="auto"/>
        <w:ind w:firstLine="522"/>
        <w:rPr>
          <w:sz w:val="24"/>
        </w:rPr>
      </w:pPr>
      <w:r>
        <w:rPr>
          <w:sz w:val="24"/>
        </w:rPr>
        <w:t>——</w:t>
      </w:r>
      <w:r>
        <w:rPr>
          <w:sz w:val="24"/>
        </w:rPr>
        <w:t>封闭式井场管理，制定</w:t>
      </w:r>
      <w:r>
        <w:rPr>
          <w:sz w:val="24"/>
        </w:rPr>
        <w:t>“</w:t>
      </w:r>
      <w:r>
        <w:rPr>
          <w:sz w:val="24"/>
        </w:rPr>
        <w:t>钻井工程防治污染规定</w:t>
      </w:r>
      <w:r>
        <w:rPr>
          <w:sz w:val="24"/>
        </w:rPr>
        <w:t>”</w:t>
      </w:r>
      <w:r>
        <w:rPr>
          <w:sz w:val="24"/>
        </w:rPr>
        <w:t>，所有污染物不能出井场规定的范围；钻井过程中，严格控制用水量，节约用水；要严格实施清污分流，杜绝跑、冒、滴、漏</w:t>
      </w:r>
      <w:r>
        <w:rPr>
          <w:rFonts w:hint="eastAsia"/>
          <w:sz w:val="24"/>
        </w:rPr>
        <w:t>长流水</w:t>
      </w:r>
      <w:r>
        <w:rPr>
          <w:sz w:val="24"/>
        </w:rPr>
        <w:t>现象的发生。</w:t>
      </w:r>
    </w:p>
    <w:p w:rsidR="00EE4502" w:rsidRDefault="00FD45A3">
      <w:pPr>
        <w:spacing w:line="360" w:lineRule="auto"/>
        <w:ind w:firstLine="522"/>
        <w:rPr>
          <w:sz w:val="24"/>
        </w:rPr>
      </w:pPr>
      <w:r>
        <w:rPr>
          <w:sz w:val="24"/>
        </w:rPr>
        <w:t>——</w:t>
      </w:r>
      <w:r>
        <w:rPr>
          <w:sz w:val="24"/>
        </w:rPr>
        <w:t>钻井材料和油料要</w:t>
      </w:r>
      <w:r>
        <w:rPr>
          <w:sz w:val="24"/>
        </w:rPr>
        <w:t>集中管理，减少散失或漏失，对被污染的土壤应及</w:t>
      </w:r>
      <w:r>
        <w:rPr>
          <w:sz w:val="24"/>
        </w:rPr>
        <w:lastRenderedPageBreak/>
        <w:t>时妥善处理，将其清除、回收；为将钻井废弃物减至最低限度，应采用有利于环境的三级废物处理方法：调整钻井工艺或使用合适的钻井液，使钻井过程产生的废弃物最少；将已经降至最低限度的钻井废弃物尽可能地循环再利用；通过合适的方式处理不能再循环利用的钻井废弃物；防止井喷、油料泄漏、污水池垮塌，避免发生污染事故；采取有效措施，减轻噪声污染。</w:t>
      </w:r>
    </w:p>
    <w:p w:rsidR="00EE4502" w:rsidRDefault="00FD45A3">
      <w:pPr>
        <w:spacing w:line="360" w:lineRule="auto"/>
        <w:ind w:firstLine="522"/>
        <w:rPr>
          <w:sz w:val="24"/>
        </w:rPr>
      </w:pPr>
      <w:r>
        <w:rPr>
          <w:sz w:val="24"/>
        </w:rPr>
        <w:t>（</w:t>
      </w:r>
      <w:r>
        <w:rPr>
          <w:sz w:val="24"/>
        </w:rPr>
        <w:t>4</w:t>
      </w:r>
      <w:r>
        <w:rPr>
          <w:sz w:val="24"/>
        </w:rPr>
        <w:t>）施工完成</w:t>
      </w:r>
    </w:p>
    <w:p w:rsidR="00EE4502" w:rsidRDefault="00FD45A3">
      <w:pPr>
        <w:spacing w:line="360" w:lineRule="auto"/>
        <w:ind w:firstLine="522"/>
        <w:rPr>
          <w:sz w:val="24"/>
        </w:rPr>
      </w:pPr>
      <w:r>
        <w:rPr>
          <w:sz w:val="24"/>
        </w:rPr>
        <w:t>施工完成后，做到井场整洁、无杂物；剩余污水、污泥应妥善处理。</w:t>
      </w:r>
    </w:p>
    <w:p w:rsidR="00EE4502" w:rsidRDefault="00FD45A3">
      <w:pPr>
        <w:spacing w:line="360" w:lineRule="auto"/>
        <w:ind w:firstLine="522"/>
        <w:rPr>
          <w:sz w:val="24"/>
        </w:rPr>
      </w:pPr>
      <w:r>
        <w:rPr>
          <w:sz w:val="24"/>
        </w:rPr>
        <w:t>（</w:t>
      </w:r>
      <w:r>
        <w:rPr>
          <w:sz w:val="24"/>
        </w:rPr>
        <w:t>5</w:t>
      </w:r>
      <w:r>
        <w:rPr>
          <w:sz w:val="24"/>
        </w:rPr>
        <w:t>）</w:t>
      </w:r>
      <w:r>
        <w:rPr>
          <w:rFonts w:hint="eastAsia"/>
          <w:sz w:val="24"/>
        </w:rPr>
        <w:t>其他规定</w:t>
      </w:r>
    </w:p>
    <w:p w:rsidR="00EE4502" w:rsidRDefault="00FD45A3">
      <w:pPr>
        <w:spacing w:line="360" w:lineRule="auto"/>
        <w:ind w:firstLine="522"/>
        <w:rPr>
          <w:sz w:val="24"/>
        </w:rPr>
      </w:pPr>
      <w:r>
        <w:rPr>
          <w:sz w:val="24"/>
        </w:rPr>
        <w:t>在野外施工现场不得乱扔废弃物，乱倒废油、废液；</w:t>
      </w:r>
      <w:r>
        <w:rPr>
          <w:sz w:val="24"/>
        </w:rPr>
        <w:t>不允许破坏动物巢穴，追杀、捕猎和有意骚扰野生动物；减少施工对当地野生动、植物的影响。</w:t>
      </w:r>
    </w:p>
    <w:p w:rsidR="00EE4502" w:rsidRDefault="00FD45A3">
      <w:pPr>
        <w:pStyle w:val="33"/>
        <w:numPr>
          <w:ilvl w:val="2"/>
          <w:numId w:val="30"/>
        </w:numPr>
        <w:spacing w:line="360" w:lineRule="auto"/>
        <w:ind w:left="0" w:firstLine="0"/>
        <w:rPr>
          <w:spacing w:val="0"/>
          <w:sz w:val="24"/>
          <w:szCs w:val="24"/>
        </w:rPr>
      </w:pPr>
      <w:r>
        <w:rPr>
          <w:spacing w:val="0"/>
          <w:sz w:val="24"/>
          <w:szCs w:val="24"/>
        </w:rPr>
        <w:t>管网建设环境管理</w:t>
      </w:r>
    </w:p>
    <w:p w:rsidR="00EE4502" w:rsidRDefault="00FD45A3">
      <w:pPr>
        <w:spacing w:line="360" w:lineRule="auto"/>
        <w:ind w:firstLine="522"/>
        <w:rPr>
          <w:sz w:val="24"/>
        </w:rPr>
      </w:pPr>
      <w:r>
        <w:rPr>
          <w:sz w:val="24"/>
        </w:rPr>
        <w:t>在合理选择施工队伍的基础上，加强对管道沿线施工的环境管理工作，监督管道沿线各项环保措施的落实情况。</w:t>
      </w:r>
    </w:p>
    <w:p w:rsidR="00EE4502" w:rsidRDefault="00FD45A3">
      <w:pPr>
        <w:spacing w:line="360" w:lineRule="auto"/>
        <w:ind w:firstLine="522"/>
        <w:rPr>
          <w:sz w:val="24"/>
        </w:rPr>
      </w:pPr>
      <w:r>
        <w:rPr>
          <w:sz w:val="24"/>
        </w:rPr>
        <w:t>——</w:t>
      </w:r>
      <w:r>
        <w:rPr>
          <w:sz w:val="24"/>
        </w:rPr>
        <w:t>合理选线，划定并尽量缩小施工作业范围，严禁超界施工；</w:t>
      </w:r>
    </w:p>
    <w:p w:rsidR="00EE4502" w:rsidRDefault="00FD45A3">
      <w:pPr>
        <w:spacing w:line="360" w:lineRule="auto"/>
        <w:ind w:firstLine="522"/>
        <w:rPr>
          <w:sz w:val="24"/>
        </w:rPr>
      </w:pPr>
      <w:r>
        <w:rPr>
          <w:sz w:val="24"/>
        </w:rPr>
        <w:t>——</w:t>
      </w:r>
      <w:r>
        <w:rPr>
          <w:sz w:val="24"/>
        </w:rPr>
        <w:t>管道开挖作业执行</w:t>
      </w:r>
      <w:r>
        <w:rPr>
          <w:sz w:val="24"/>
        </w:rPr>
        <w:t>“</w:t>
      </w:r>
      <w:r>
        <w:rPr>
          <w:sz w:val="24"/>
        </w:rPr>
        <w:t>分层开挖、分层堆放、分层回填</w:t>
      </w:r>
      <w:r>
        <w:rPr>
          <w:sz w:val="24"/>
        </w:rPr>
        <w:t>”</w:t>
      </w:r>
      <w:r>
        <w:rPr>
          <w:sz w:val="24"/>
        </w:rPr>
        <w:t>措施；</w:t>
      </w:r>
    </w:p>
    <w:p w:rsidR="00EE4502" w:rsidRDefault="00FD45A3">
      <w:pPr>
        <w:spacing w:line="360" w:lineRule="auto"/>
        <w:ind w:firstLine="522"/>
        <w:rPr>
          <w:sz w:val="24"/>
        </w:rPr>
      </w:pPr>
      <w:r>
        <w:rPr>
          <w:sz w:val="24"/>
        </w:rPr>
        <w:t>——</w:t>
      </w:r>
      <w:r>
        <w:rPr>
          <w:sz w:val="24"/>
        </w:rPr>
        <w:t>运输车辆按固定线路行驶，尽可能不破坏原有地表植被和土层，严格禁止施工作业区域以外的其他活动；施工结束后，凡受到施工车辆、机械破坏的地方都要及时修整，使之尽快恢复原貌。</w:t>
      </w:r>
    </w:p>
    <w:p w:rsidR="00EE4502" w:rsidRDefault="00FD45A3">
      <w:pPr>
        <w:pStyle w:val="33"/>
        <w:numPr>
          <w:ilvl w:val="2"/>
          <w:numId w:val="30"/>
        </w:numPr>
        <w:spacing w:line="360" w:lineRule="auto"/>
        <w:ind w:left="0" w:firstLine="0"/>
        <w:rPr>
          <w:spacing w:val="0"/>
          <w:sz w:val="24"/>
          <w:szCs w:val="24"/>
        </w:rPr>
      </w:pPr>
      <w:r>
        <w:rPr>
          <w:spacing w:val="0"/>
          <w:sz w:val="24"/>
          <w:szCs w:val="24"/>
        </w:rPr>
        <w:t>施工期环境</w:t>
      </w:r>
      <w:r>
        <w:rPr>
          <w:rFonts w:hint="eastAsia"/>
          <w:spacing w:val="0"/>
          <w:sz w:val="24"/>
          <w:szCs w:val="24"/>
        </w:rPr>
        <w:t>监理与监</w:t>
      </w:r>
      <w:r>
        <w:rPr>
          <w:rFonts w:hint="eastAsia"/>
          <w:spacing w:val="0"/>
          <w:sz w:val="24"/>
          <w:szCs w:val="24"/>
        </w:rPr>
        <w:t>测</w:t>
      </w:r>
    </w:p>
    <w:p w:rsidR="00EE4502" w:rsidRDefault="00FD45A3">
      <w:pPr>
        <w:spacing w:line="360" w:lineRule="auto"/>
        <w:ind w:firstLineChars="200" w:firstLine="480"/>
        <w:rPr>
          <w:sz w:val="24"/>
        </w:rPr>
      </w:pPr>
      <w:bookmarkStart w:id="262" w:name="_Hlk149426846"/>
      <w:r>
        <w:rPr>
          <w:sz w:val="24"/>
        </w:rPr>
        <w:t>针对施工期</w:t>
      </w:r>
      <w:r>
        <w:rPr>
          <w:rFonts w:hint="eastAsia"/>
          <w:sz w:val="24"/>
        </w:rPr>
        <w:t>钻井废水、生活污</w:t>
      </w:r>
      <w:r>
        <w:rPr>
          <w:sz w:val="24"/>
        </w:rPr>
        <w:t>水的环境保护处理措施，汽车尾气、施工扬尘的大气环境影响控制措施，运输车辆的声环境控制措施，施工土方量等固体废物主要处置措施，进行环境监理，必要时采取旁站的形式完成监理工作。另外，还应对管道等施工期的生态保护措施、恢复方案进行监理。</w:t>
      </w:r>
    </w:p>
    <w:p w:rsidR="00EE4502" w:rsidRDefault="00FD45A3">
      <w:pPr>
        <w:pStyle w:val="22"/>
        <w:numPr>
          <w:ilvl w:val="1"/>
          <w:numId w:val="30"/>
        </w:numPr>
        <w:rPr>
          <w:spacing w:val="0"/>
          <w:w w:val="100"/>
        </w:rPr>
      </w:pPr>
      <w:bookmarkStart w:id="263" w:name="_Toc374724229"/>
      <w:bookmarkStart w:id="264" w:name="_Toc508291909"/>
      <w:bookmarkStart w:id="265" w:name="_Toc271907549"/>
      <w:bookmarkStart w:id="266" w:name="_Toc110085049"/>
      <w:bookmarkStart w:id="267" w:name="_Toc297590973"/>
      <w:bookmarkStart w:id="268" w:name="_Toc42981130"/>
      <w:bookmarkStart w:id="269" w:name="_Toc297590820"/>
      <w:bookmarkStart w:id="270" w:name="_Toc18575"/>
      <w:bookmarkStart w:id="271" w:name="_Toc353966780"/>
      <w:bookmarkEnd w:id="262"/>
      <w:r>
        <w:rPr>
          <w:spacing w:val="0"/>
          <w:w w:val="100"/>
        </w:rPr>
        <w:t>运营期环境管理及监测</w:t>
      </w:r>
      <w:bookmarkEnd w:id="263"/>
      <w:bookmarkEnd w:id="264"/>
      <w:bookmarkEnd w:id="265"/>
      <w:bookmarkEnd w:id="266"/>
      <w:bookmarkEnd w:id="267"/>
      <w:bookmarkEnd w:id="268"/>
      <w:bookmarkEnd w:id="269"/>
      <w:bookmarkEnd w:id="270"/>
      <w:bookmarkEnd w:id="271"/>
    </w:p>
    <w:p w:rsidR="00EE4502" w:rsidRDefault="00FD45A3">
      <w:pPr>
        <w:pStyle w:val="33"/>
        <w:numPr>
          <w:ilvl w:val="2"/>
          <w:numId w:val="30"/>
        </w:numPr>
        <w:spacing w:line="360" w:lineRule="auto"/>
        <w:ind w:left="0" w:firstLine="0"/>
        <w:rPr>
          <w:spacing w:val="0"/>
          <w:sz w:val="24"/>
          <w:szCs w:val="24"/>
        </w:rPr>
      </w:pPr>
      <w:r>
        <w:rPr>
          <w:spacing w:val="0"/>
          <w:sz w:val="24"/>
          <w:szCs w:val="24"/>
        </w:rPr>
        <w:t>运营期环境管理</w:t>
      </w:r>
    </w:p>
    <w:p w:rsidR="00EE4502" w:rsidRDefault="00FD45A3">
      <w:pPr>
        <w:spacing w:line="360" w:lineRule="auto"/>
        <w:ind w:firstLine="522"/>
        <w:rPr>
          <w:sz w:val="24"/>
        </w:rPr>
      </w:pPr>
      <w:r>
        <w:rPr>
          <w:sz w:val="24"/>
        </w:rPr>
        <w:t>建设项目运营环境监督管理计划见表</w:t>
      </w:r>
      <w:r>
        <w:rPr>
          <w:rFonts w:hint="eastAsia"/>
          <w:sz w:val="24"/>
        </w:rPr>
        <w:t>9-4</w:t>
      </w:r>
      <w:r>
        <w:rPr>
          <w:sz w:val="24"/>
        </w:rPr>
        <w:t>-1</w:t>
      </w:r>
      <w:r>
        <w:rPr>
          <w:sz w:val="24"/>
        </w:rPr>
        <w:t>。</w:t>
      </w:r>
    </w:p>
    <w:p w:rsidR="00EE4502" w:rsidRDefault="00FD45A3">
      <w:pPr>
        <w:spacing w:line="360" w:lineRule="auto"/>
        <w:ind w:firstLineChars="850" w:firstLine="1785"/>
        <w:rPr>
          <w:rFonts w:eastAsia="黑体"/>
          <w:szCs w:val="21"/>
        </w:rPr>
      </w:pPr>
      <w:bookmarkStart w:id="272" w:name="_Hlk95338466"/>
      <w:r>
        <w:rPr>
          <w:rFonts w:eastAsia="黑体"/>
          <w:szCs w:val="21"/>
        </w:rPr>
        <w:t>表</w:t>
      </w:r>
      <w:r>
        <w:rPr>
          <w:rFonts w:eastAsia="黑体" w:hint="eastAsia"/>
          <w:szCs w:val="21"/>
        </w:rPr>
        <w:t>9-4</w:t>
      </w:r>
      <w:r>
        <w:rPr>
          <w:rFonts w:eastAsia="黑体"/>
          <w:szCs w:val="21"/>
        </w:rPr>
        <w:t>-1</w:t>
      </w:r>
      <w:r>
        <w:rPr>
          <w:rFonts w:eastAsia="黑体" w:hint="eastAsia"/>
          <w:szCs w:val="21"/>
        </w:rPr>
        <w:t xml:space="preserve">   </w:t>
      </w:r>
      <w:r>
        <w:rPr>
          <w:rFonts w:eastAsia="黑体"/>
          <w:szCs w:val="21"/>
        </w:rPr>
        <w:t xml:space="preserve"> </w:t>
      </w:r>
      <w:r>
        <w:rPr>
          <w:rFonts w:eastAsia="黑体"/>
          <w:szCs w:val="21"/>
        </w:rPr>
        <w:t>建设项目运营环境监督管理计划</w:t>
      </w:r>
    </w:p>
    <w:tbl>
      <w:tblPr>
        <w:tblW w:w="5000" w:type="pct"/>
        <w:jc w:val="center"/>
        <w:tblBorders>
          <w:top w:val="single" w:sz="8" w:space="0" w:color="auto"/>
          <w:bottom w:val="single" w:sz="8" w:space="0" w:color="auto"/>
          <w:insideH w:val="single" w:sz="8" w:space="0" w:color="auto"/>
          <w:insideV w:val="single" w:sz="8" w:space="0" w:color="auto"/>
        </w:tblBorders>
        <w:tblLook w:val="04A0" w:firstRow="1" w:lastRow="0" w:firstColumn="1" w:lastColumn="0" w:noHBand="0" w:noVBand="1"/>
      </w:tblPr>
      <w:tblGrid>
        <w:gridCol w:w="471"/>
        <w:gridCol w:w="792"/>
        <w:gridCol w:w="5677"/>
        <w:gridCol w:w="631"/>
        <w:gridCol w:w="951"/>
      </w:tblGrid>
      <w:tr w:rsidR="00EE4502">
        <w:trPr>
          <w:trHeight w:val="340"/>
          <w:tblHeader/>
          <w:jc w:val="center"/>
        </w:trPr>
        <w:tc>
          <w:tcPr>
            <w:tcW w:w="276" w:type="pct"/>
            <w:vAlign w:val="center"/>
          </w:tcPr>
          <w:p w:rsidR="00EE4502" w:rsidRDefault="00FD45A3">
            <w:pPr>
              <w:jc w:val="center"/>
              <w:rPr>
                <w:sz w:val="18"/>
                <w:szCs w:val="18"/>
              </w:rPr>
            </w:pPr>
            <w:r>
              <w:rPr>
                <w:sz w:val="18"/>
                <w:szCs w:val="18"/>
              </w:rPr>
              <w:t>序号</w:t>
            </w:r>
          </w:p>
        </w:tc>
        <w:tc>
          <w:tcPr>
            <w:tcW w:w="464" w:type="pct"/>
            <w:vAlign w:val="center"/>
          </w:tcPr>
          <w:p w:rsidR="00EE4502" w:rsidRDefault="00FD45A3">
            <w:pPr>
              <w:jc w:val="center"/>
              <w:rPr>
                <w:sz w:val="18"/>
                <w:szCs w:val="18"/>
              </w:rPr>
            </w:pPr>
            <w:r>
              <w:rPr>
                <w:sz w:val="18"/>
                <w:szCs w:val="18"/>
              </w:rPr>
              <w:t>监督管理项目</w:t>
            </w:r>
          </w:p>
        </w:tc>
        <w:tc>
          <w:tcPr>
            <w:tcW w:w="3330" w:type="pct"/>
            <w:vAlign w:val="center"/>
          </w:tcPr>
          <w:p w:rsidR="00EE4502" w:rsidRDefault="00FD45A3">
            <w:pPr>
              <w:jc w:val="center"/>
              <w:rPr>
                <w:sz w:val="18"/>
                <w:szCs w:val="18"/>
              </w:rPr>
            </w:pPr>
            <w:r>
              <w:rPr>
                <w:sz w:val="18"/>
                <w:szCs w:val="18"/>
              </w:rPr>
              <w:t>监督检查具体内容</w:t>
            </w:r>
          </w:p>
        </w:tc>
        <w:tc>
          <w:tcPr>
            <w:tcW w:w="370" w:type="pct"/>
            <w:vAlign w:val="center"/>
          </w:tcPr>
          <w:p w:rsidR="00EE4502" w:rsidRDefault="00FD45A3">
            <w:pPr>
              <w:jc w:val="center"/>
              <w:rPr>
                <w:sz w:val="18"/>
                <w:szCs w:val="18"/>
              </w:rPr>
            </w:pPr>
            <w:r>
              <w:rPr>
                <w:sz w:val="18"/>
                <w:szCs w:val="18"/>
              </w:rPr>
              <w:t>实施单位</w:t>
            </w:r>
          </w:p>
        </w:tc>
        <w:tc>
          <w:tcPr>
            <w:tcW w:w="558" w:type="pct"/>
            <w:vAlign w:val="center"/>
          </w:tcPr>
          <w:p w:rsidR="00EE4502" w:rsidRDefault="00FD45A3">
            <w:pPr>
              <w:jc w:val="center"/>
              <w:rPr>
                <w:sz w:val="18"/>
                <w:szCs w:val="18"/>
              </w:rPr>
            </w:pPr>
            <w:r>
              <w:rPr>
                <w:sz w:val="18"/>
                <w:szCs w:val="18"/>
              </w:rPr>
              <w:t>监督单位</w:t>
            </w:r>
          </w:p>
        </w:tc>
      </w:tr>
      <w:bookmarkEnd w:id="272"/>
      <w:tr w:rsidR="00EE4502">
        <w:trPr>
          <w:trHeight w:val="340"/>
          <w:jc w:val="center"/>
        </w:trPr>
        <w:tc>
          <w:tcPr>
            <w:tcW w:w="276" w:type="pct"/>
            <w:vAlign w:val="center"/>
          </w:tcPr>
          <w:p w:rsidR="00EE4502" w:rsidRDefault="00FD45A3">
            <w:pPr>
              <w:jc w:val="center"/>
              <w:rPr>
                <w:sz w:val="18"/>
                <w:szCs w:val="18"/>
              </w:rPr>
            </w:pPr>
            <w:r>
              <w:rPr>
                <w:sz w:val="18"/>
                <w:szCs w:val="18"/>
              </w:rPr>
              <w:t>1</w:t>
            </w:r>
          </w:p>
        </w:tc>
        <w:tc>
          <w:tcPr>
            <w:tcW w:w="464" w:type="pct"/>
            <w:vAlign w:val="center"/>
          </w:tcPr>
          <w:p w:rsidR="00EE4502" w:rsidRDefault="00FD45A3">
            <w:pPr>
              <w:jc w:val="center"/>
              <w:rPr>
                <w:sz w:val="18"/>
                <w:szCs w:val="18"/>
              </w:rPr>
            </w:pPr>
            <w:r>
              <w:rPr>
                <w:sz w:val="18"/>
                <w:szCs w:val="18"/>
              </w:rPr>
              <w:t>环境计划管理</w:t>
            </w:r>
          </w:p>
        </w:tc>
        <w:tc>
          <w:tcPr>
            <w:tcW w:w="3330" w:type="pct"/>
            <w:vAlign w:val="center"/>
          </w:tcPr>
          <w:p w:rsidR="00EE4502" w:rsidRDefault="00FD45A3">
            <w:pPr>
              <w:rPr>
                <w:sz w:val="18"/>
                <w:szCs w:val="18"/>
              </w:rPr>
            </w:pPr>
            <w:r>
              <w:rPr>
                <w:sz w:val="18"/>
                <w:szCs w:val="18"/>
              </w:rPr>
              <w:t>环境管理计划的实施情况，包括井区环境整治、排污口规范化整治、环保治理方案的落实情况等</w:t>
            </w:r>
          </w:p>
        </w:tc>
        <w:tc>
          <w:tcPr>
            <w:tcW w:w="370" w:type="pct"/>
            <w:vAlign w:val="center"/>
          </w:tcPr>
          <w:p w:rsidR="00EE4502" w:rsidRDefault="00FD45A3">
            <w:pPr>
              <w:jc w:val="center"/>
              <w:rPr>
                <w:sz w:val="18"/>
                <w:szCs w:val="18"/>
              </w:rPr>
            </w:pPr>
            <w:r>
              <w:rPr>
                <w:sz w:val="18"/>
                <w:szCs w:val="18"/>
              </w:rPr>
              <w:t>建设单位</w:t>
            </w:r>
          </w:p>
        </w:tc>
        <w:tc>
          <w:tcPr>
            <w:tcW w:w="558" w:type="pct"/>
            <w:vMerge w:val="restart"/>
            <w:vAlign w:val="center"/>
          </w:tcPr>
          <w:p w:rsidR="00EE4502" w:rsidRDefault="00FD45A3">
            <w:pPr>
              <w:jc w:val="center"/>
              <w:rPr>
                <w:sz w:val="18"/>
                <w:szCs w:val="18"/>
              </w:rPr>
            </w:pPr>
            <w:r>
              <w:rPr>
                <w:rFonts w:hint="eastAsia"/>
                <w:sz w:val="18"/>
                <w:szCs w:val="18"/>
              </w:rPr>
              <w:t>克拉玛依市生态环</w:t>
            </w:r>
            <w:r>
              <w:rPr>
                <w:rFonts w:hint="eastAsia"/>
                <w:sz w:val="18"/>
                <w:szCs w:val="18"/>
              </w:rPr>
              <w:lastRenderedPageBreak/>
              <w:t>境局、</w:t>
            </w:r>
            <w:r>
              <w:rPr>
                <w:sz w:val="18"/>
                <w:szCs w:val="18"/>
              </w:rPr>
              <w:t>第七师生态环境局</w:t>
            </w:r>
          </w:p>
        </w:tc>
      </w:tr>
      <w:tr w:rsidR="00EE4502">
        <w:trPr>
          <w:trHeight w:val="340"/>
          <w:jc w:val="center"/>
        </w:trPr>
        <w:tc>
          <w:tcPr>
            <w:tcW w:w="276" w:type="pct"/>
            <w:vAlign w:val="center"/>
          </w:tcPr>
          <w:p w:rsidR="00EE4502" w:rsidRDefault="00FD45A3">
            <w:pPr>
              <w:jc w:val="center"/>
              <w:rPr>
                <w:sz w:val="18"/>
                <w:szCs w:val="18"/>
              </w:rPr>
            </w:pPr>
            <w:r>
              <w:rPr>
                <w:sz w:val="18"/>
                <w:szCs w:val="18"/>
              </w:rPr>
              <w:lastRenderedPageBreak/>
              <w:t>2</w:t>
            </w:r>
          </w:p>
        </w:tc>
        <w:tc>
          <w:tcPr>
            <w:tcW w:w="464" w:type="pct"/>
            <w:vAlign w:val="center"/>
          </w:tcPr>
          <w:p w:rsidR="00EE4502" w:rsidRDefault="00FD45A3">
            <w:pPr>
              <w:jc w:val="center"/>
              <w:rPr>
                <w:sz w:val="18"/>
                <w:szCs w:val="18"/>
              </w:rPr>
            </w:pPr>
            <w:r>
              <w:rPr>
                <w:sz w:val="18"/>
                <w:szCs w:val="18"/>
              </w:rPr>
              <w:t>污染源管理</w:t>
            </w:r>
          </w:p>
        </w:tc>
        <w:tc>
          <w:tcPr>
            <w:tcW w:w="3330" w:type="pct"/>
            <w:vAlign w:val="center"/>
          </w:tcPr>
          <w:p w:rsidR="00EE4502" w:rsidRDefault="00FD45A3">
            <w:pPr>
              <w:rPr>
                <w:sz w:val="18"/>
                <w:szCs w:val="18"/>
              </w:rPr>
            </w:pPr>
            <w:r>
              <w:rPr>
                <w:rFonts w:ascii="宋体" w:hAnsi="宋体" w:hint="eastAsia"/>
                <w:sz w:val="18"/>
                <w:szCs w:val="18"/>
              </w:rPr>
              <w:t>①</w:t>
            </w:r>
            <w:r>
              <w:rPr>
                <w:sz w:val="18"/>
                <w:szCs w:val="18"/>
              </w:rPr>
              <w:t>环保设施的运行情况，防止闲置和不正常运行；</w:t>
            </w:r>
          </w:p>
          <w:p w:rsidR="00EE4502" w:rsidRDefault="00FD45A3">
            <w:pPr>
              <w:rPr>
                <w:sz w:val="18"/>
                <w:szCs w:val="18"/>
              </w:rPr>
            </w:pPr>
            <w:r>
              <w:rPr>
                <w:rFonts w:ascii="宋体" w:hAnsi="宋体" w:hint="eastAsia"/>
                <w:sz w:val="18"/>
                <w:szCs w:val="18"/>
              </w:rPr>
              <w:t>②</w:t>
            </w:r>
            <w:r>
              <w:rPr>
                <w:sz w:val="18"/>
                <w:szCs w:val="18"/>
              </w:rPr>
              <w:t>各废气排放源的排放情况，掌握排污动态，防止直接排放</w:t>
            </w:r>
          </w:p>
          <w:p w:rsidR="00EE4502" w:rsidRDefault="00FD45A3">
            <w:pPr>
              <w:rPr>
                <w:sz w:val="18"/>
                <w:szCs w:val="18"/>
              </w:rPr>
            </w:pPr>
            <w:r>
              <w:rPr>
                <w:rFonts w:ascii="宋体" w:hAnsi="宋体" w:hint="eastAsia"/>
                <w:sz w:val="18"/>
                <w:szCs w:val="18"/>
              </w:rPr>
              <w:t>③</w:t>
            </w:r>
            <w:r>
              <w:rPr>
                <w:sz w:val="18"/>
                <w:szCs w:val="18"/>
              </w:rPr>
              <w:t>各类废水的排放情况，防止废水漫流或超标排放</w:t>
            </w:r>
          </w:p>
          <w:p w:rsidR="00EE4502" w:rsidRDefault="00FD45A3">
            <w:pPr>
              <w:rPr>
                <w:sz w:val="18"/>
                <w:szCs w:val="18"/>
              </w:rPr>
            </w:pPr>
            <w:r>
              <w:rPr>
                <w:rFonts w:ascii="宋体" w:hAnsi="宋体" w:hint="eastAsia"/>
                <w:sz w:val="18"/>
                <w:szCs w:val="18"/>
              </w:rPr>
              <w:t>④</w:t>
            </w:r>
            <w:r>
              <w:rPr>
                <w:sz w:val="18"/>
                <w:szCs w:val="18"/>
              </w:rPr>
              <w:t>检查固废的堆放、运输、处置措施的执行情况，须满足《危险废物环境管理指南</w:t>
            </w:r>
            <w:r>
              <w:rPr>
                <w:sz w:val="18"/>
                <w:szCs w:val="18"/>
              </w:rPr>
              <w:t xml:space="preserve"> </w:t>
            </w:r>
            <w:r>
              <w:rPr>
                <w:sz w:val="18"/>
                <w:szCs w:val="18"/>
              </w:rPr>
              <w:t>陆上石油天然气开采》中相关环境管理要求，防止造成环境污染。</w:t>
            </w:r>
          </w:p>
          <w:p w:rsidR="00EE4502" w:rsidRDefault="00FD45A3">
            <w:pPr>
              <w:rPr>
                <w:sz w:val="18"/>
                <w:szCs w:val="18"/>
              </w:rPr>
            </w:pPr>
            <w:r>
              <w:rPr>
                <w:rFonts w:ascii="宋体" w:hAnsi="宋体" w:hint="eastAsia"/>
                <w:sz w:val="18"/>
                <w:szCs w:val="18"/>
              </w:rPr>
              <w:t>⑤</w:t>
            </w:r>
            <w:r>
              <w:rPr>
                <w:sz w:val="18"/>
                <w:szCs w:val="18"/>
              </w:rPr>
              <w:t>检查噪声排放源治理措施的消声、隔声效果，防止超标排放</w:t>
            </w:r>
          </w:p>
        </w:tc>
        <w:tc>
          <w:tcPr>
            <w:tcW w:w="370" w:type="pct"/>
            <w:vAlign w:val="center"/>
          </w:tcPr>
          <w:p w:rsidR="00EE4502" w:rsidRDefault="00FD45A3">
            <w:pPr>
              <w:jc w:val="center"/>
              <w:rPr>
                <w:sz w:val="18"/>
                <w:szCs w:val="18"/>
              </w:rPr>
            </w:pPr>
            <w:r>
              <w:rPr>
                <w:sz w:val="18"/>
                <w:szCs w:val="18"/>
              </w:rPr>
              <w:t>建设单位</w:t>
            </w:r>
          </w:p>
        </w:tc>
        <w:tc>
          <w:tcPr>
            <w:tcW w:w="558" w:type="pct"/>
            <w:vMerge/>
            <w:vAlign w:val="center"/>
          </w:tcPr>
          <w:p w:rsidR="00EE4502" w:rsidRDefault="00EE4502">
            <w:pPr>
              <w:jc w:val="center"/>
              <w:rPr>
                <w:sz w:val="18"/>
                <w:szCs w:val="18"/>
              </w:rPr>
            </w:pPr>
          </w:p>
        </w:tc>
      </w:tr>
      <w:tr w:rsidR="00EE4502">
        <w:trPr>
          <w:trHeight w:val="340"/>
          <w:jc w:val="center"/>
        </w:trPr>
        <w:tc>
          <w:tcPr>
            <w:tcW w:w="276" w:type="pct"/>
            <w:vAlign w:val="center"/>
          </w:tcPr>
          <w:p w:rsidR="00EE4502" w:rsidRDefault="00FD45A3">
            <w:pPr>
              <w:jc w:val="center"/>
              <w:rPr>
                <w:sz w:val="18"/>
                <w:szCs w:val="18"/>
              </w:rPr>
            </w:pPr>
            <w:bookmarkStart w:id="273" w:name="_Hlk95338483"/>
            <w:r>
              <w:rPr>
                <w:sz w:val="18"/>
                <w:szCs w:val="18"/>
              </w:rPr>
              <w:lastRenderedPageBreak/>
              <w:t>3</w:t>
            </w:r>
          </w:p>
        </w:tc>
        <w:tc>
          <w:tcPr>
            <w:tcW w:w="464" w:type="pct"/>
            <w:vAlign w:val="center"/>
          </w:tcPr>
          <w:p w:rsidR="00EE4502" w:rsidRDefault="00FD45A3">
            <w:pPr>
              <w:jc w:val="center"/>
              <w:rPr>
                <w:sz w:val="18"/>
                <w:szCs w:val="18"/>
              </w:rPr>
            </w:pPr>
            <w:r>
              <w:rPr>
                <w:sz w:val="18"/>
                <w:szCs w:val="18"/>
              </w:rPr>
              <w:t>环境监测管理</w:t>
            </w:r>
          </w:p>
        </w:tc>
        <w:tc>
          <w:tcPr>
            <w:tcW w:w="3330" w:type="pct"/>
            <w:vAlign w:val="center"/>
          </w:tcPr>
          <w:p w:rsidR="00EE4502" w:rsidRDefault="00FD45A3">
            <w:pPr>
              <w:rPr>
                <w:sz w:val="18"/>
                <w:szCs w:val="18"/>
              </w:rPr>
            </w:pPr>
            <w:r>
              <w:rPr>
                <w:rFonts w:ascii="宋体" w:hAnsi="宋体" w:hint="eastAsia"/>
                <w:sz w:val="18"/>
                <w:szCs w:val="18"/>
              </w:rPr>
              <w:t>①</w:t>
            </w:r>
            <w:r>
              <w:rPr>
                <w:sz w:val="18"/>
                <w:szCs w:val="18"/>
              </w:rPr>
              <w:t>组织废气污染源、空气环境质量监测，防止废气、粉尘影响</w:t>
            </w:r>
          </w:p>
          <w:p w:rsidR="00EE4502" w:rsidRDefault="00FD45A3">
            <w:pPr>
              <w:rPr>
                <w:sz w:val="18"/>
                <w:szCs w:val="18"/>
              </w:rPr>
            </w:pPr>
            <w:r>
              <w:rPr>
                <w:rFonts w:ascii="宋体" w:hAnsi="宋体" w:hint="eastAsia"/>
                <w:sz w:val="18"/>
                <w:szCs w:val="18"/>
              </w:rPr>
              <w:t>②</w:t>
            </w:r>
            <w:r>
              <w:rPr>
                <w:sz w:val="18"/>
                <w:szCs w:val="18"/>
              </w:rPr>
              <w:t>组织废水污染源、地下水环境监测，防止水环境污染</w:t>
            </w:r>
          </w:p>
          <w:p w:rsidR="00EE4502" w:rsidRDefault="00FD45A3">
            <w:pPr>
              <w:rPr>
                <w:sz w:val="18"/>
                <w:szCs w:val="18"/>
              </w:rPr>
            </w:pPr>
            <w:r>
              <w:rPr>
                <w:rFonts w:ascii="宋体" w:hAnsi="宋体" w:hint="eastAsia"/>
                <w:sz w:val="18"/>
                <w:szCs w:val="18"/>
              </w:rPr>
              <w:t>③</w:t>
            </w:r>
            <w:r>
              <w:rPr>
                <w:sz w:val="18"/>
                <w:szCs w:val="18"/>
              </w:rPr>
              <w:t>组织噪声源、厂界环境噪声监测。</w:t>
            </w:r>
          </w:p>
          <w:p w:rsidR="00EE4502" w:rsidRDefault="00FD45A3">
            <w:pPr>
              <w:rPr>
                <w:sz w:val="18"/>
                <w:szCs w:val="18"/>
              </w:rPr>
            </w:pPr>
            <w:r>
              <w:rPr>
                <w:rFonts w:ascii="宋体" w:hAnsi="宋体" w:hint="eastAsia"/>
                <w:sz w:val="18"/>
                <w:szCs w:val="18"/>
              </w:rPr>
              <w:t>④</w:t>
            </w:r>
            <w:r>
              <w:rPr>
                <w:sz w:val="18"/>
                <w:szCs w:val="18"/>
              </w:rPr>
              <w:t>组织危险废物监测</w:t>
            </w:r>
          </w:p>
        </w:tc>
        <w:tc>
          <w:tcPr>
            <w:tcW w:w="370" w:type="pct"/>
            <w:vAlign w:val="center"/>
          </w:tcPr>
          <w:p w:rsidR="00EE4502" w:rsidRDefault="00FD45A3">
            <w:pPr>
              <w:jc w:val="center"/>
              <w:rPr>
                <w:sz w:val="18"/>
                <w:szCs w:val="18"/>
              </w:rPr>
            </w:pPr>
            <w:r>
              <w:rPr>
                <w:sz w:val="18"/>
                <w:szCs w:val="18"/>
              </w:rPr>
              <w:t>建设单位</w:t>
            </w:r>
          </w:p>
        </w:tc>
        <w:tc>
          <w:tcPr>
            <w:tcW w:w="558" w:type="pct"/>
            <w:vMerge/>
            <w:vAlign w:val="center"/>
          </w:tcPr>
          <w:p w:rsidR="00EE4502" w:rsidRDefault="00EE4502">
            <w:pPr>
              <w:jc w:val="center"/>
              <w:rPr>
                <w:sz w:val="18"/>
                <w:szCs w:val="18"/>
              </w:rPr>
            </w:pPr>
          </w:p>
        </w:tc>
      </w:tr>
      <w:tr w:rsidR="00EE4502">
        <w:trPr>
          <w:trHeight w:val="340"/>
          <w:jc w:val="center"/>
        </w:trPr>
        <w:tc>
          <w:tcPr>
            <w:tcW w:w="276" w:type="pct"/>
            <w:vAlign w:val="center"/>
          </w:tcPr>
          <w:p w:rsidR="00EE4502" w:rsidRDefault="00FD45A3">
            <w:pPr>
              <w:jc w:val="center"/>
              <w:rPr>
                <w:sz w:val="18"/>
                <w:szCs w:val="18"/>
              </w:rPr>
            </w:pPr>
            <w:r>
              <w:rPr>
                <w:sz w:val="18"/>
                <w:szCs w:val="18"/>
              </w:rPr>
              <w:t>4</w:t>
            </w:r>
          </w:p>
        </w:tc>
        <w:tc>
          <w:tcPr>
            <w:tcW w:w="464" w:type="pct"/>
            <w:vAlign w:val="center"/>
          </w:tcPr>
          <w:p w:rsidR="00EE4502" w:rsidRDefault="00FD45A3">
            <w:pPr>
              <w:jc w:val="center"/>
              <w:rPr>
                <w:sz w:val="18"/>
                <w:szCs w:val="18"/>
              </w:rPr>
            </w:pPr>
            <w:r>
              <w:rPr>
                <w:sz w:val="18"/>
                <w:szCs w:val="18"/>
              </w:rPr>
              <w:t>生态环境管理</w:t>
            </w:r>
          </w:p>
        </w:tc>
        <w:tc>
          <w:tcPr>
            <w:tcW w:w="3330" w:type="pct"/>
            <w:vAlign w:val="center"/>
          </w:tcPr>
          <w:p w:rsidR="00EE4502" w:rsidRDefault="00FD45A3">
            <w:pPr>
              <w:rPr>
                <w:sz w:val="18"/>
                <w:szCs w:val="18"/>
              </w:rPr>
            </w:pPr>
            <w:r>
              <w:rPr>
                <w:sz w:val="18"/>
                <w:szCs w:val="18"/>
              </w:rPr>
              <w:t>定期检查受影响范围内生态系统的动态变化情况</w:t>
            </w:r>
          </w:p>
        </w:tc>
        <w:tc>
          <w:tcPr>
            <w:tcW w:w="370" w:type="pct"/>
            <w:vAlign w:val="center"/>
          </w:tcPr>
          <w:p w:rsidR="00EE4502" w:rsidRDefault="00FD45A3">
            <w:pPr>
              <w:jc w:val="center"/>
              <w:rPr>
                <w:sz w:val="18"/>
                <w:szCs w:val="18"/>
              </w:rPr>
            </w:pPr>
            <w:r>
              <w:rPr>
                <w:sz w:val="18"/>
                <w:szCs w:val="18"/>
              </w:rPr>
              <w:t>建设单位</w:t>
            </w:r>
          </w:p>
        </w:tc>
        <w:tc>
          <w:tcPr>
            <w:tcW w:w="558" w:type="pct"/>
            <w:vMerge/>
            <w:vAlign w:val="center"/>
          </w:tcPr>
          <w:p w:rsidR="00EE4502" w:rsidRDefault="00EE4502">
            <w:pPr>
              <w:jc w:val="center"/>
              <w:rPr>
                <w:sz w:val="18"/>
                <w:szCs w:val="18"/>
              </w:rPr>
            </w:pPr>
          </w:p>
        </w:tc>
      </w:tr>
      <w:bookmarkEnd w:id="273"/>
    </w:tbl>
    <w:p w:rsidR="00EE4502" w:rsidRDefault="00EE4502">
      <w:pPr>
        <w:jc w:val="center"/>
        <w:rPr>
          <w:b/>
          <w:kern w:val="21"/>
          <w:szCs w:val="21"/>
        </w:rPr>
      </w:pPr>
    </w:p>
    <w:p w:rsidR="00EE4502" w:rsidRDefault="00FD45A3">
      <w:pPr>
        <w:spacing w:line="360" w:lineRule="auto"/>
        <w:ind w:firstLine="522"/>
        <w:rPr>
          <w:sz w:val="24"/>
        </w:rPr>
      </w:pPr>
      <w:r>
        <w:rPr>
          <w:sz w:val="24"/>
        </w:rPr>
        <w:t>（</w:t>
      </w:r>
      <w:r>
        <w:rPr>
          <w:sz w:val="24"/>
        </w:rPr>
        <w:t>1</w:t>
      </w:r>
      <w:r>
        <w:rPr>
          <w:sz w:val="24"/>
        </w:rPr>
        <w:t>）日常环境管理</w:t>
      </w:r>
    </w:p>
    <w:p w:rsidR="00EE4502" w:rsidRDefault="00FD45A3">
      <w:pPr>
        <w:spacing w:line="360" w:lineRule="auto"/>
        <w:ind w:firstLine="522"/>
        <w:rPr>
          <w:sz w:val="24"/>
        </w:rPr>
      </w:pPr>
      <w:r>
        <w:rPr>
          <w:sz w:val="24"/>
        </w:rPr>
        <w:t>——</w:t>
      </w:r>
      <w:r>
        <w:rPr>
          <w:sz w:val="24"/>
        </w:rPr>
        <w:t>搞好环境监测，掌握污染现状</w:t>
      </w:r>
    </w:p>
    <w:p w:rsidR="00EE4502" w:rsidRDefault="00FD45A3">
      <w:pPr>
        <w:spacing w:line="360" w:lineRule="auto"/>
        <w:ind w:firstLine="522"/>
        <w:rPr>
          <w:sz w:val="24"/>
        </w:rPr>
      </w:pPr>
      <w:r>
        <w:rPr>
          <w:sz w:val="24"/>
        </w:rPr>
        <w:t>在生产过程中，采出水进入联合站污水处理系统，处理达到</w:t>
      </w:r>
      <w:r>
        <w:rPr>
          <w:rFonts w:hint="eastAsia"/>
          <w:sz w:val="24"/>
        </w:rPr>
        <w:t>《碎屑岩油藏注水水质指标技术要求及分析方法》（</w:t>
      </w:r>
      <w:r>
        <w:rPr>
          <w:rFonts w:hint="eastAsia"/>
          <w:sz w:val="24"/>
        </w:rPr>
        <w:t>SY/T 5329-2022</w:t>
      </w:r>
      <w:r>
        <w:rPr>
          <w:rFonts w:hint="eastAsia"/>
          <w:sz w:val="24"/>
        </w:rPr>
        <w:t>）</w:t>
      </w:r>
      <w:r>
        <w:rPr>
          <w:sz w:val="24"/>
        </w:rPr>
        <w:t>中的有关标准后回注油层。</w:t>
      </w:r>
    </w:p>
    <w:p w:rsidR="00EE4502" w:rsidRDefault="00FD45A3">
      <w:pPr>
        <w:spacing w:line="360" w:lineRule="auto"/>
        <w:ind w:firstLine="522"/>
        <w:rPr>
          <w:sz w:val="24"/>
        </w:rPr>
      </w:pPr>
      <w:r>
        <w:rPr>
          <w:sz w:val="24"/>
        </w:rPr>
        <w:t>废气污染源的控制是重点加强原油集输过程中无组织排放源的管理，以加强管理作为控制手段，减轻环境污染，达到污染物排放控制和环境保护目标。</w:t>
      </w:r>
    </w:p>
    <w:p w:rsidR="00EE4502" w:rsidRDefault="00FD45A3">
      <w:pPr>
        <w:spacing w:line="360" w:lineRule="auto"/>
        <w:ind w:firstLine="522"/>
        <w:rPr>
          <w:sz w:val="24"/>
        </w:rPr>
      </w:pPr>
      <w:r>
        <w:rPr>
          <w:sz w:val="24"/>
        </w:rPr>
        <w:t>——</w:t>
      </w:r>
      <w:r>
        <w:rPr>
          <w:sz w:val="24"/>
        </w:rPr>
        <w:t>加强环保设备的管理</w:t>
      </w:r>
    </w:p>
    <w:p w:rsidR="00EE4502" w:rsidRDefault="00FD45A3">
      <w:pPr>
        <w:spacing w:line="360" w:lineRule="auto"/>
        <w:ind w:firstLine="522"/>
        <w:rPr>
          <w:sz w:val="24"/>
        </w:rPr>
      </w:pPr>
      <w:r>
        <w:rPr>
          <w:sz w:val="24"/>
        </w:rPr>
        <w:t>建立环保</w:t>
      </w:r>
      <w:r>
        <w:rPr>
          <w:rFonts w:hint="eastAsia"/>
          <w:sz w:val="24"/>
        </w:rPr>
        <w:t>设备台账</w:t>
      </w:r>
      <w:r>
        <w:rPr>
          <w:sz w:val="24"/>
        </w:rPr>
        <w:t>，制定主要环保设备的操作规程及安排专门操作人员，建立重点处理设备的</w:t>
      </w:r>
      <w:r>
        <w:rPr>
          <w:sz w:val="24"/>
        </w:rPr>
        <w:t>“</w:t>
      </w:r>
      <w:r>
        <w:rPr>
          <w:sz w:val="24"/>
        </w:rPr>
        <w:t>环保运行记录</w:t>
      </w:r>
      <w:r>
        <w:rPr>
          <w:sz w:val="24"/>
        </w:rPr>
        <w:t>”</w:t>
      </w:r>
      <w:r>
        <w:rPr>
          <w:sz w:val="24"/>
        </w:rPr>
        <w:t>等。</w:t>
      </w:r>
    </w:p>
    <w:p w:rsidR="00EE4502" w:rsidRDefault="00FD45A3">
      <w:pPr>
        <w:spacing w:line="360" w:lineRule="auto"/>
        <w:ind w:firstLine="522"/>
        <w:rPr>
          <w:sz w:val="24"/>
        </w:rPr>
      </w:pPr>
      <w:r>
        <w:rPr>
          <w:sz w:val="24"/>
        </w:rPr>
        <w:t>——</w:t>
      </w:r>
      <w:r>
        <w:rPr>
          <w:sz w:val="24"/>
        </w:rPr>
        <w:t>落实管理制度</w:t>
      </w:r>
    </w:p>
    <w:p w:rsidR="00EE4502" w:rsidRDefault="00FD45A3">
      <w:pPr>
        <w:spacing w:line="360" w:lineRule="auto"/>
        <w:ind w:firstLine="522"/>
        <w:rPr>
          <w:sz w:val="24"/>
        </w:rPr>
      </w:pPr>
      <w:r>
        <w:rPr>
          <w:sz w:val="24"/>
        </w:rPr>
        <w:t>除加强环保设备的基础管理外，尚需狠抓制度的落实，制定环保经济责任制考核制度，以提高各部门对环境保护的责任感。</w:t>
      </w:r>
    </w:p>
    <w:p w:rsidR="00EE4502" w:rsidRDefault="00FD45A3">
      <w:pPr>
        <w:spacing w:line="360" w:lineRule="auto"/>
        <w:ind w:firstLine="522"/>
        <w:rPr>
          <w:sz w:val="24"/>
        </w:rPr>
      </w:pPr>
      <w:r>
        <w:rPr>
          <w:sz w:val="24"/>
        </w:rPr>
        <w:t>日常工作的管理与调配，应明确机构，有专人负责与协调。要求做好废弃物的处理、场地的清理等每日例行的环保工作。</w:t>
      </w:r>
    </w:p>
    <w:p w:rsidR="00EE4502" w:rsidRDefault="00FD45A3">
      <w:pPr>
        <w:spacing w:line="360" w:lineRule="auto"/>
        <w:ind w:firstLine="522"/>
        <w:rPr>
          <w:sz w:val="24"/>
        </w:rPr>
      </w:pPr>
      <w:r>
        <w:rPr>
          <w:sz w:val="24"/>
        </w:rPr>
        <w:t>（</w:t>
      </w:r>
      <w:r>
        <w:rPr>
          <w:sz w:val="24"/>
        </w:rPr>
        <w:t>2</w:t>
      </w:r>
      <w:r>
        <w:rPr>
          <w:sz w:val="24"/>
        </w:rPr>
        <w:t>）重大环境</w:t>
      </w:r>
      <w:r>
        <w:rPr>
          <w:sz w:val="24"/>
        </w:rPr>
        <w:t>污染事故的预防与管理</w:t>
      </w:r>
    </w:p>
    <w:p w:rsidR="00EE4502" w:rsidRDefault="00FD45A3">
      <w:pPr>
        <w:spacing w:line="360" w:lineRule="auto"/>
        <w:ind w:firstLine="522"/>
        <w:rPr>
          <w:sz w:val="24"/>
        </w:rPr>
      </w:pPr>
      <w:r>
        <w:rPr>
          <w:sz w:val="24"/>
        </w:rPr>
        <w:t>——</w:t>
      </w:r>
      <w:r>
        <w:rPr>
          <w:sz w:val="24"/>
        </w:rPr>
        <w:t>对事故隐患进行监护</w:t>
      </w:r>
    </w:p>
    <w:p w:rsidR="00EE4502" w:rsidRDefault="00FD45A3">
      <w:pPr>
        <w:spacing w:line="360" w:lineRule="auto"/>
        <w:ind w:firstLine="522"/>
        <w:rPr>
          <w:sz w:val="24"/>
        </w:rPr>
      </w:pPr>
      <w:r>
        <w:rPr>
          <w:sz w:val="24"/>
        </w:rPr>
        <w:t>对污染事故隐患进行监护，掌握事故隐患的发展状态，积极采取有效措施，防止事故发生。对各类重大事故隐患，应本着治理与监护运行的原则进行处理。在目前技术、财力等方面能够解决的，要通过技术改造或治理，尽快消除事故隐患，防止事故发生；对目前消除事故隐患有困难的，应从管理和技术两方面对其</w:t>
      </w:r>
      <w:r>
        <w:rPr>
          <w:sz w:val="24"/>
        </w:rPr>
        <w:lastRenderedPageBreak/>
        <w:t>采取严格的现场监护措施，在管理上要加强制度的落实，严格执行操作规程，加强巡回检查和制定事故预案。</w:t>
      </w:r>
    </w:p>
    <w:p w:rsidR="00EE4502" w:rsidRDefault="00FD45A3">
      <w:pPr>
        <w:spacing w:line="360" w:lineRule="auto"/>
        <w:ind w:firstLine="522"/>
        <w:rPr>
          <w:sz w:val="24"/>
        </w:rPr>
      </w:pPr>
      <w:r>
        <w:rPr>
          <w:sz w:val="24"/>
        </w:rPr>
        <w:t>——</w:t>
      </w:r>
      <w:r>
        <w:rPr>
          <w:sz w:val="24"/>
        </w:rPr>
        <w:t>强化专业人员培训和建立安全信息数据库</w:t>
      </w:r>
    </w:p>
    <w:p w:rsidR="00EE4502" w:rsidRDefault="00FD45A3">
      <w:pPr>
        <w:spacing w:line="360" w:lineRule="auto"/>
        <w:ind w:firstLine="522"/>
        <w:rPr>
          <w:sz w:val="24"/>
        </w:rPr>
      </w:pPr>
      <w:r>
        <w:rPr>
          <w:sz w:val="24"/>
        </w:rPr>
        <w:t>有计划、分期分批对环保人员进行培训，聘请专家讲课，</w:t>
      </w:r>
      <w:r>
        <w:rPr>
          <w:sz w:val="24"/>
        </w:rPr>
        <w:t>收看国内外事故录像和资料，吸收这些事件中预防措施和救援方案的制定经验，学习借鉴此类事故发生后的救助方案。平时要经常进行人员训练和实践演习，锻炼指挥队伍，以提高他们对事故的防范和处理能力。建立安全信息数据库或信息软件，使安全工程技术人员及时查询所需的安全信息数据，用于日常管理和事故处置工作。</w:t>
      </w:r>
    </w:p>
    <w:p w:rsidR="00EE4502" w:rsidRDefault="00FD45A3">
      <w:pPr>
        <w:spacing w:line="360" w:lineRule="auto"/>
        <w:ind w:firstLine="522"/>
        <w:rPr>
          <w:sz w:val="24"/>
        </w:rPr>
      </w:pPr>
      <w:r>
        <w:rPr>
          <w:sz w:val="24"/>
        </w:rPr>
        <w:t>——</w:t>
      </w:r>
      <w:r>
        <w:rPr>
          <w:sz w:val="24"/>
        </w:rPr>
        <w:t>加强风险管理</w:t>
      </w:r>
    </w:p>
    <w:p w:rsidR="00EE4502" w:rsidRDefault="00FD45A3">
      <w:pPr>
        <w:spacing w:line="360" w:lineRule="auto"/>
        <w:ind w:firstLine="522"/>
        <w:rPr>
          <w:sz w:val="24"/>
        </w:rPr>
      </w:pPr>
      <w:r>
        <w:rPr>
          <w:sz w:val="24"/>
        </w:rPr>
        <w:t>由于</w:t>
      </w:r>
      <w:r>
        <w:rPr>
          <w:rFonts w:hint="eastAsia"/>
          <w:sz w:val="24"/>
        </w:rPr>
        <w:t>本工程</w:t>
      </w:r>
      <w:r>
        <w:rPr>
          <w:sz w:val="24"/>
        </w:rPr>
        <w:t>在运行过程中，不确定潜在事故因素多且无法预测，因此有必要制定相应的风险对策，不断改进识别到的不利影响因素，从而将工程运营期各类风险水平控制在合理的、可</w:t>
      </w:r>
      <w:r>
        <w:rPr>
          <w:rFonts w:hint="eastAsia"/>
          <w:sz w:val="24"/>
        </w:rPr>
        <w:t>接受</w:t>
      </w:r>
      <w:r>
        <w:rPr>
          <w:sz w:val="24"/>
        </w:rPr>
        <w:t>的范围内，以达到减少事故发生、经济合理地保证安全运行管理技术的目的。</w:t>
      </w:r>
    </w:p>
    <w:p w:rsidR="00EE4502" w:rsidRDefault="00FD45A3">
      <w:pPr>
        <w:spacing w:line="360" w:lineRule="auto"/>
        <w:ind w:firstLine="522"/>
        <w:rPr>
          <w:sz w:val="24"/>
        </w:rPr>
      </w:pPr>
      <w:r>
        <w:rPr>
          <w:sz w:val="24"/>
        </w:rPr>
        <w:t>——</w:t>
      </w:r>
      <w:r>
        <w:rPr>
          <w:sz w:val="24"/>
        </w:rPr>
        <w:t>加强监测</w:t>
      </w:r>
    </w:p>
    <w:p w:rsidR="00EE4502" w:rsidRDefault="00FD45A3">
      <w:pPr>
        <w:spacing w:line="360" w:lineRule="auto"/>
        <w:ind w:firstLine="522"/>
        <w:rPr>
          <w:sz w:val="24"/>
        </w:rPr>
      </w:pPr>
      <w:r>
        <w:rPr>
          <w:sz w:val="24"/>
        </w:rPr>
        <w:t>应加强对区域地下水、土壤、大气环境（非甲烷总烃）等的监测，对环境污染隐患做到及早发现、及时处理，制定事故状态下环境风险应急预案和应急处理措施，强化环境风险防范和应急处理能力，严防污染事故发生，不定期开展环境突发事件应急演练。</w:t>
      </w:r>
    </w:p>
    <w:p w:rsidR="00EE4502" w:rsidRDefault="00FD45A3">
      <w:pPr>
        <w:pStyle w:val="33"/>
        <w:numPr>
          <w:ilvl w:val="2"/>
          <w:numId w:val="30"/>
        </w:numPr>
        <w:spacing w:line="360" w:lineRule="auto"/>
        <w:ind w:left="0" w:firstLine="0"/>
        <w:rPr>
          <w:spacing w:val="0"/>
          <w:sz w:val="24"/>
          <w:szCs w:val="24"/>
        </w:rPr>
      </w:pPr>
      <w:r>
        <w:rPr>
          <w:spacing w:val="0"/>
          <w:sz w:val="24"/>
          <w:szCs w:val="24"/>
        </w:rPr>
        <w:t>运营期环境监测计划</w:t>
      </w:r>
    </w:p>
    <w:p w:rsidR="00EE4502" w:rsidRDefault="00FD45A3">
      <w:pPr>
        <w:spacing w:line="360" w:lineRule="auto"/>
        <w:ind w:firstLine="522"/>
        <w:rPr>
          <w:sz w:val="24"/>
        </w:rPr>
      </w:pPr>
      <w:r>
        <w:rPr>
          <w:rFonts w:hint="eastAsia"/>
          <w:sz w:val="24"/>
        </w:rPr>
        <w:t>根据《排污许可证申请与核发技术规范</w:t>
      </w:r>
      <w:r>
        <w:rPr>
          <w:rFonts w:hint="eastAsia"/>
          <w:sz w:val="24"/>
        </w:rPr>
        <w:t xml:space="preserve"> </w:t>
      </w:r>
      <w:r>
        <w:rPr>
          <w:rFonts w:hint="eastAsia"/>
          <w:sz w:val="24"/>
        </w:rPr>
        <w:t>总则》（</w:t>
      </w:r>
      <w:r>
        <w:rPr>
          <w:rFonts w:hint="eastAsia"/>
          <w:sz w:val="24"/>
        </w:rPr>
        <w:t>HJ942-2018</w:t>
      </w:r>
      <w:r>
        <w:rPr>
          <w:rFonts w:hint="eastAsia"/>
          <w:sz w:val="24"/>
        </w:rPr>
        <w:t>）</w:t>
      </w:r>
      <w:r>
        <w:rPr>
          <w:rFonts w:hint="eastAsia"/>
          <w:sz w:val="24"/>
        </w:rPr>
        <w:t>、</w:t>
      </w:r>
      <w:r>
        <w:rPr>
          <w:rFonts w:hint="eastAsia"/>
          <w:sz w:val="24"/>
        </w:rPr>
        <w:t>《排污单位自行监测技术指南</w:t>
      </w:r>
      <w:r>
        <w:rPr>
          <w:rFonts w:hint="eastAsia"/>
          <w:sz w:val="24"/>
        </w:rPr>
        <w:t xml:space="preserve"> </w:t>
      </w:r>
      <w:r>
        <w:rPr>
          <w:rFonts w:hint="eastAsia"/>
          <w:sz w:val="24"/>
        </w:rPr>
        <w:t>总则》（</w:t>
      </w:r>
      <w:r>
        <w:rPr>
          <w:rFonts w:hint="eastAsia"/>
          <w:sz w:val="24"/>
        </w:rPr>
        <w:t>HJ819-2017</w:t>
      </w:r>
      <w:r>
        <w:rPr>
          <w:rFonts w:hint="eastAsia"/>
          <w:sz w:val="24"/>
        </w:rPr>
        <w:t>）</w:t>
      </w:r>
      <w:r>
        <w:rPr>
          <w:rFonts w:hint="eastAsia"/>
          <w:sz w:val="24"/>
        </w:rPr>
        <w:t>、</w:t>
      </w:r>
      <w:r>
        <w:rPr>
          <w:rFonts w:hint="eastAsia"/>
          <w:sz w:val="24"/>
        </w:rPr>
        <w:t>《排污单位自行监测技术指南</w:t>
      </w:r>
      <w:r>
        <w:rPr>
          <w:rFonts w:hint="eastAsia"/>
          <w:sz w:val="24"/>
        </w:rPr>
        <w:t xml:space="preserve"> </w:t>
      </w:r>
      <w:r>
        <w:rPr>
          <w:rFonts w:hint="eastAsia"/>
          <w:sz w:val="24"/>
        </w:rPr>
        <w:t>陆上石油天然气开采工业》（</w:t>
      </w:r>
      <w:r>
        <w:rPr>
          <w:rFonts w:hint="eastAsia"/>
          <w:sz w:val="24"/>
        </w:rPr>
        <w:t>HJ1248-2022</w:t>
      </w:r>
      <w:r>
        <w:rPr>
          <w:rFonts w:hint="eastAsia"/>
          <w:sz w:val="24"/>
        </w:rPr>
        <w:t>）的相关要求，</w:t>
      </w:r>
      <w:r>
        <w:rPr>
          <w:rFonts w:hint="eastAsia"/>
          <w:sz w:val="24"/>
        </w:rPr>
        <w:t>本工程</w:t>
      </w:r>
      <w:r>
        <w:rPr>
          <w:sz w:val="24"/>
        </w:rPr>
        <w:t>运营期环境监测计划见表</w:t>
      </w:r>
      <w:r>
        <w:rPr>
          <w:rFonts w:hint="eastAsia"/>
          <w:sz w:val="24"/>
        </w:rPr>
        <w:t>9-4-</w:t>
      </w:r>
      <w:r>
        <w:rPr>
          <w:rFonts w:hint="eastAsia"/>
          <w:sz w:val="24"/>
        </w:rPr>
        <w:t>2</w:t>
      </w:r>
      <w:r>
        <w:rPr>
          <w:sz w:val="24"/>
        </w:rPr>
        <w:t>。</w:t>
      </w:r>
    </w:p>
    <w:p w:rsidR="00EE4502" w:rsidRDefault="00FD45A3">
      <w:pPr>
        <w:spacing w:line="360" w:lineRule="auto"/>
        <w:jc w:val="center"/>
        <w:rPr>
          <w:rFonts w:eastAsia="黑体"/>
          <w:szCs w:val="21"/>
        </w:rPr>
      </w:pPr>
      <w:r>
        <w:rPr>
          <w:rFonts w:eastAsia="黑体"/>
          <w:szCs w:val="21"/>
        </w:rPr>
        <w:t>表</w:t>
      </w:r>
      <w:r>
        <w:rPr>
          <w:rFonts w:eastAsia="黑体" w:hint="eastAsia"/>
          <w:szCs w:val="21"/>
        </w:rPr>
        <w:t>9-4-</w:t>
      </w:r>
      <w:r>
        <w:rPr>
          <w:rFonts w:eastAsia="黑体" w:hint="eastAsia"/>
          <w:szCs w:val="21"/>
        </w:rPr>
        <w:t>2</w:t>
      </w:r>
      <w:r>
        <w:rPr>
          <w:rFonts w:eastAsia="黑体" w:hint="eastAsia"/>
          <w:szCs w:val="21"/>
        </w:rPr>
        <w:t xml:space="preserve">  </w:t>
      </w:r>
      <w:r>
        <w:rPr>
          <w:rFonts w:eastAsia="黑体"/>
          <w:szCs w:val="21"/>
        </w:rPr>
        <w:t>运营期环境监测计划</w:t>
      </w:r>
    </w:p>
    <w:tbl>
      <w:tblPr>
        <w:tblW w:w="4996" w:type="pct"/>
        <w:jc w:val="center"/>
        <w:tblBorders>
          <w:top w:val="single" w:sz="8" w:space="0" w:color="auto"/>
          <w:bottom w:val="single" w:sz="8" w:space="0" w:color="auto"/>
          <w:insideH w:val="single" w:sz="8" w:space="0" w:color="auto"/>
          <w:insideV w:val="single" w:sz="8" w:space="0" w:color="auto"/>
        </w:tblBorders>
        <w:tblCellMar>
          <w:left w:w="11" w:type="dxa"/>
          <w:right w:w="11" w:type="dxa"/>
        </w:tblCellMar>
        <w:tblLook w:val="04A0" w:firstRow="1" w:lastRow="0" w:firstColumn="1" w:lastColumn="0" w:noHBand="0" w:noVBand="1"/>
      </w:tblPr>
      <w:tblGrid>
        <w:gridCol w:w="585"/>
        <w:gridCol w:w="1195"/>
        <w:gridCol w:w="2911"/>
        <w:gridCol w:w="1543"/>
        <w:gridCol w:w="2087"/>
      </w:tblGrid>
      <w:tr w:rsidR="00EE4502">
        <w:trPr>
          <w:trHeight w:val="340"/>
          <w:tblHeader/>
          <w:jc w:val="center"/>
        </w:trPr>
        <w:tc>
          <w:tcPr>
            <w:tcW w:w="352" w:type="pct"/>
            <w:vAlign w:val="center"/>
          </w:tcPr>
          <w:p w:rsidR="00EE4502" w:rsidRDefault="00FD45A3">
            <w:pPr>
              <w:pStyle w:val="affffffffff"/>
              <w:kinsoku/>
              <w:wordWrap/>
              <w:overflowPunct/>
              <w:adjustRightInd/>
              <w:spacing w:after="0" w:line="240" w:lineRule="auto"/>
              <w:ind w:left="0" w:firstLineChars="0" w:firstLine="0"/>
              <w:rPr>
                <w:snapToGrid w:val="0"/>
                <w:kern w:val="0"/>
                <w:sz w:val="18"/>
                <w:szCs w:val="18"/>
              </w:rPr>
            </w:pPr>
            <w:r>
              <w:rPr>
                <w:snapToGrid w:val="0"/>
                <w:kern w:val="0"/>
                <w:sz w:val="18"/>
                <w:szCs w:val="18"/>
              </w:rPr>
              <w:t>编号</w:t>
            </w:r>
          </w:p>
        </w:tc>
        <w:tc>
          <w:tcPr>
            <w:tcW w:w="718" w:type="pct"/>
            <w:vAlign w:val="center"/>
          </w:tcPr>
          <w:p w:rsidR="00EE4502" w:rsidRDefault="00FD45A3">
            <w:pPr>
              <w:pStyle w:val="affffffffff"/>
              <w:kinsoku/>
              <w:wordWrap/>
              <w:overflowPunct/>
              <w:adjustRightInd/>
              <w:spacing w:after="0" w:line="240" w:lineRule="auto"/>
              <w:ind w:left="0" w:firstLineChars="0" w:firstLine="0"/>
              <w:rPr>
                <w:snapToGrid w:val="0"/>
                <w:kern w:val="0"/>
                <w:sz w:val="18"/>
                <w:szCs w:val="18"/>
              </w:rPr>
            </w:pPr>
            <w:r>
              <w:rPr>
                <w:snapToGrid w:val="0"/>
                <w:kern w:val="0"/>
                <w:sz w:val="18"/>
                <w:szCs w:val="18"/>
              </w:rPr>
              <w:t>环境要素</w:t>
            </w:r>
          </w:p>
        </w:tc>
        <w:tc>
          <w:tcPr>
            <w:tcW w:w="1748" w:type="pct"/>
            <w:vAlign w:val="center"/>
          </w:tcPr>
          <w:p w:rsidR="00EE4502" w:rsidRDefault="00FD45A3">
            <w:pPr>
              <w:pStyle w:val="affffffffff"/>
              <w:kinsoku/>
              <w:wordWrap/>
              <w:overflowPunct/>
              <w:adjustRightInd/>
              <w:spacing w:after="0" w:line="240" w:lineRule="auto"/>
              <w:ind w:left="0" w:firstLineChars="0" w:firstLine="0"/>
              <w:rPr>
                <w:snapToGrid w:val="0"/>
                <w:kern w:val="0"/>
                <w:sz w:val="18"/>
                <w:szCs w:val="18"/>
              </w:rPr>
            </w:pPr>
            <w:r>
              <w:rPr>
                <w:snapToGrid w:val="0"/>
                <w:kern w:val="0"/>
                <w:sz w:val="18"/>
                <w:szCs w:val="18"/>
              </w:rPr>
              <w:t>地点</w:t>
            </w:r>
          </w:p>
        </w:tc>
        <w:tc>
          <w:tcPr>
            <w:tcW w:w="926" w:type="pct"/>
            <w:vAlign w:val="center"/>
          </w:tcPr>
          <w:p w:rsidR="00EE4502" w:rsidRDefault="00FD45A3">
            <w:pPr>
              <w:pStyle w:val="affffffffff"/>
              <w:kinsoku/>
              <w:wordWrap/>
              <w:overflowPunct/>
              <w:adjustRightInd/>
              <w:spacing w:after="0" w:line="240" w:lineRule="auto"/>
              <w:ind w:left="0" w:firstLineChars="0" w:firstLine="0"/>
              <w:rPr>
                <w:snapToGrid w:val="0"/>
                <w:kern w:val="0"/>
                <w:sz w:val="18"/>
                <w:szCs w:val="18"/>
              </w:rPr>
            </w:pPr>
            <w:r>
              <w:rPr>
                <w:snapToGrid w:val="0"/>
                <w:kern w:val="0"/>
                <w:sz w:val="18"/>
                <w:szCs w:val="18"/>
              </w:rPr>
              <w:t>监测项目</w:t>
            </w:r>
          </w:p>
        </w:tc>
        <w:tc>
          <w:tcPr>
            <w:tcW w:w="1253" w:type="pct"/>
            <w:vAlign w:val="center"/>
          </w:tcPr>
          <w:p w:rsidR="00EE4502" w:rsidRDefault="00FD45A3">
            <w:pPr>
              <w:pStyle w:val="affffffffff"/>
              <w:kinsoku/>
              <w:wordWrap/>
              <w:overflowPunct/>
              <w:adjustRightInd/>
              <w:spacing w:after="0" w:line="240" w:lineRule="auto"/>
              <w:ind w:left="0" w:firstLineChars="0" w:firstLine="0"/>
              <w:rPr>
                <w:snapToGrid w:val="0"/>
                <w:kern w:val="0"/>
                <w:sz w:val="18"/>
                <w:szCs w:val="18"/>
              </w:rPr>
            </w:pPr>
            <w:r>
              <w:rPr>
                <w:snapToGrid w:val="0"/>
                <w:kern w:val="0"/>
                <w:sz w:val="18"/>
                <w:szCs w:val="18"/>
              </w:rPr>
              <w:t>监测频次</w:t>
            </w:r>
          </w:p>
        </w:tc>
      </w:tr>
      <w:tr w:rsidR="00EE4502">
        <w:trPr>
          <w:trHeight w:val="340"/>
          <w:tblHeader/>
          <w:jc w:val="center"/>
        </w:trPr>
        <w:tc>
          <w:tcPr>
            <w:tcW w:w="352" w:type="pct"/>
            <w:vAlign w:val="center"/>
          </w:tcPr>
          <w:p w:rsidR="00EE4502" w:rsidRDefault="00FD45A3">
            <w:pPr>
              <w:pStyle w:val="affffffffff"/>
              <w:kinsoku/>
              <w:wordWrap/>
              <w:overflowPunct/>
              <w:adjustRightInd/>
              <w:spacing w:after="0" w:line="240" w:lineRule="auto"/>
              <w:ind w:left="0" w:firstLineChars="0" w:firstLine="0"/>
              <w:rPr>
                <w:snapToGrid w:val="0"/>
                <w:kern w:val="0"/>
                <w:sz w:val="18"/>
                <w:szCs w:val="18"/>
              </w:rPr>
            </w:pPr>
            <w:r>
              <w:rPr>
                <w:snapToGrid w:val="0"/>
                <w:kern w:val="0"/>
                <w:sz w:val="18"/>
                <w:szCs w:val="18"/>
              </w:rPr>
              <w:t>1</w:t>
            </w:r>
          </w:p>
        </w:tc>
        <w:tc>
          <w:tcPr>
            <w:tcW w:w="718" w:type="pct"/>
            <w:vAlign w:val="center"/>
          </w:tcPr>
          <w:p w:rsidR="00EE4502" w:rsidRDefault="00FD45A3">
            <w:pPr>
              <w:pStyle w:val="affffffffff"/>
              <w:kinsoku/>
              <w:wordWrap/>
              <w:overflowPunct/>
              <w:adjustRightInd/>
              <w:spacing w:after="0" w:line="240" w:lineRule="auto"/>
              <w:ind w:left="0" w:firstLineChars="0" w:firstLine="0"/>
              <w:rPr>
                <w:snapToGrid w:val="0"/>
                <w:kern w:val="0"/>
                <w:sz w:val="18"/>
                <w:szCs w:val="18"/>
              </w:rPr>
            </w:pPr>
            <w:r>
              <w:rPr>
                <w:snapToGrid w:val="0"/>
                <w:kern w:val="0"/>
                <w:sz w:val="18"/>
                <w:szCs w:val="18"/>
              </w:rPr>
              <w:t>无组织废气</w:t>
            </w:r>
          </w:p>
        </w:tc>
        <w:tc>
          <w:tcPr>
            <w:tcW w:w="1748" w:type="pct"/>
            <w:vAlign w:val="center"/>
          </w:tcPr>
          <w:p w:rsidR="00EE4502" w:rsidRDefault="00FD45A3">
            <w:pPr>
              <w:pStyle w:val="affffffffff"/>
              <w:kinsoku/>
              <w:wordWrap/>
              <w:overflowPunct/>
              <w:adjustRightInd/>
              <w:spacing w:after="0" w:line="240" w:lineRule="auto"/>
              <w:ind w:left="0" w:firstLineChars="0" w:firstLine="0"/>
              <w:rPr>
                <w:sz w:val="18"/>
                <w:szCs w:val="18"/>
              </w:rPr>
            </w:pPr>
            <w:r>
              <w:rPr>
                <w:snapToGrid w:val="0"/>
                <w:kern w:val="0"/>
                <w:sz w:val="18"/>
                <w:szCs w:val="18"/>
              </w:rPr>
              <w:t>井场</w:t>
            </w:r>
            <w:r>
              <w:rPr>
                <w:rFonts w:hint="eastAsia"/>
                <w:snapToGrid w:val="0"/>
                <w:kern w:val="0"/>
                <w:sz w:val="18"/>
                <w:szCs w:val="18"/>
              </w:rPr>
              <w:t>下风向</w:t>
            </w:r>
            <w:r>
              <w:rPr>
                <w:rFonts w:hint="eastAsia"/>
                <w:snapToGrid w:val="0"/>
                <w:kern w:val="0"/>
                <w:sz w:val="18"/>
                <w:szCs w:val="18"/>
              </w:rPr>
              <w:t>10m</w:t>
            </w:r>
            <w:r>
              <w:rPr>
                <w:rFonts w:hint="eastAsia"/>
                <w:snapToGrid w:val="0"/>
                <w:kern w:val="0"/>
                <w:sz w:val="18"/>
                <w:szCs w:val="18"/>
              </w:rPr>
              <w:t>范围内</w:t>
            </w:r>
          </w:p>
        </w:tc>
        <w:tc>
          <w:tcPr>
            <w:tcW w:w="926" w:type="pct"/>
            <w:vAlign w:val="center"/>
          </w:tcPr>
          <w:p w:rsidR="00EE4502" w:rsidRDefault="00FD45A3">
            <w:pPr>
              <w:pStyle w:val="affffffffff"/>
              <w:kinsoku/>
              <w:wordWrap/>
              <w:overflowPunct/>
              <w:adjustRightInd/>
              <w:spacing w:after="0" w:line="240" w:lineRule="auto"/>
              <w:ind w:left="0" w:firstLineChars="0" w:firstLine="0"/>
              <w:rPr>
                <w:snapToGrid w:val="0"/>
                <w:kern w:val="0"/>
                <w:sz w:val="18"/>
                <w:szCs w:val="18"/>
              </w:rPr>
            </w:pPr>
            <w:r>
              <w:rPr>
                <w:snapToGrid w:val="0"/>
                <w:kern w:val="0"/>
                <w:sz w:val="18"/>
                <w:szCs w:val="18"/>
              </w:rPr>
              <w:t>非甲烷总烃</w:t>
            </w:r>
          </w:p>
        </w:tc>
        <w:tc>
          <w:tcPr>
            <w:tcW w:w="1253" w:type="pct"/>
            <w:vAlign w:val="center"/>
          </w:tcPr>
          <w:p w:rsidR="00EE4502" w:rsidRDefault="00FD45A3">
            <w:pPr>
              <w:pStyle w:val="affffffffff"/>
              <w:kinsoku/>
              <w:wordWrap/>
              <w:overflowPunct/>
              <w:adjustRightInd/>
              <w:spacing w:after="0" w:line="240" w:lineRule="auto"/>
              <w:ind w:left="0" w:firstLineChars="0" w:firstLine="0"/>
              <w:rPr>
                <w:snapToGrid w:val="0"/>
                <w:kern w:val="0"/>
                <w:sz w:val="18"/>
                <w:szCs w:val="18"/>
              </w:rPr>
            </w:pPr>
            <w:r>
              <w:rPr>
                <w:snapToGrid w:val="0"/>
                <w:kern w:val="0"/>
                <w:sz w:val="18"/>
                <w:szCs w:val="18"/>
              </w:rPr>
              <w:t>每</w:t>
            </w:r>
            <w:r>
              <w:rPr>
                <w:rFonts w:hint="eastAsia"/>
                <w:snapToGrid w:val="0"/>
                <w:kern w:val="0"/>
                <w:sz w:val="18"/>
                <w:szCs w:val="18"/>
              </w:rPr>
              <w:t>季度</w:t>
            </w:r>
            <w:r>
              <w:rPr>
                <w:snapToGrid w:val="0"/>
                <w:kern w:val="0"/>
                <w:sz w:val="18"/>
                <w:szCs w:val="18"/>
              </w:rPr>
              <w:t>一次</w:t>
            </w:r>
          </w:p>
        </w:tc>
      </w:tr>
      <w:tr w:rsidR="00EE4502">
        <w:trPr>
          <w:trHeight w:val="340"/>
          <w:jc w:val="center"/>
        </w:trPr>
        <w:tc>
          <w:tcPr>
            <w:tcW w:w="352" w:type="pct"/>
            <w:vAlign w:val="center"/>
          </w:tcPr>
          <w:p w:rsidR="00EE4502" w:rsidRDefault="00FD45A3">
            <w:pPr>
              <w:pStyle w:val="affffffffff"/>
              <w:kinsoku/>
              <w:wordWrap/>
              <w:overflowPunct/>
              <w:adjustRightInd/>
              <w:spacing w:after="0" w:line="240" w:lineRule="auto"/>
              <w:ind w:left="0" w:firstLineChars="0" w:firstLine="0"/>
              <w:rPr>
                <w:snapToGrid w:val="0"/>
                <w:kern w:val="0"/>
                <w:sz w:val="18"/>
                <w:szCs w:val="18"/>
              </w:rPr>
            </w:pPr>
            <w:r>
              <w:rPr>
                <w:rFonts w:hint="eastAsia"/>
                <w:snapToGrid w:val="0"/>
                <w:kern w:val="0"/>
                <w:sz w:val="18"/>
                <w:szCs w:val="18"/>
              </w:rPr>
              <w:t>2</w:t>
            </w:r>
          </w:p>
        </w:tc>
        <w:tc>
          <w:tcPr>
            <w:tcW w:w="718" w:type="pct"/>
            <w:vAlign w:val="center"/>
          </w:tcPr>
          <w:p w:rsidR="00EE4502" w:rsidRDefault="00FD45A3">
            <w:pPr>
              <w:pStyle w:val="affffffffff"/>
              <w:kinsoku/>
              <w:wordWrap/>
              <w:overflowPunct/>
              <w:adjustRightInd/>
              <w:spacing w:after="0" w:line="240" w:lineRule="auto"/>
              <w:ind w:left="0" w:firstLineChars="0" w:firstLine="0"/>
              <w:rPr>
                <w:snapToGrid w:val="0"/>
                <w:kern w:val="0"/>
                <w:sz w:val="18"/>
                <w:szCs w:val="18"/>
              </w:rPr>
            </w:pPr>
            <w:r>
              <w:rPr>
                <w:snapToGrid w:val="0"/>
                <w:kern w:val="0"/>
                <w:sz w:val="18"/>
                <w:szCs w:val="18"/>
              </w:rPr>
              <w:t>噪声</w:t>
            </w:r>
          </w:p>
        </w:tc>
        <w:tc>
          <w:tcPr>
            <w:tcW w:w="1748" w:type="pct"/>
            <w:vAlign w:val="center"/>
          </w:tcPr>
          <w:p w:rsidR="00EE4502" w:rsidRDefault="00FD45A3">
            <w:pPr>
              <w:pStyle w:val="affffffffff"/>
              <w:kinsoku/>
              <w:wordWrap/>
              <w:overflowPunct/>
              <w:adjustRightInd/>
              <w:spacing w:after="0" w:line="240" w:lineRule="auto"/>
              <w:ind w:left="0" w:firstLineChars="0" w:firstLine="0"/>
              <w:rPr>
                <w:snapToGrid w:val="0"/>
                <w:kern w:val="0"/>
                <w:sz w:val="18"/>
                <w:szCs w:val="18"/>
              </w:rPr>
            </w:pPr>
            <w:r>
              <w:rPr>
                <w:snapToGrid w:val="0"/>
                <w:kern w:val="0"/>
                <w:sz w:val="18"/>
                <w:szCs w:val="18"/>
              </w:rPr>
              <w:t>井场四周厂界外</w:t>
            </w:r>
            <w:r>
              <w:rPr>
                <w:snapToGrid w:val="0"/>
                <w:kern w:val="0"/>
                <w:sz w:val="18"/>
                <w:szCs w:val="18"/>
              </w:rPr>
              <w:t>1m</w:t>
            </w:r>
          </w:p>
        </w:tc>
        <w:tc>
          <w:tcPr>
            <w:tcW w:w="926" w:type="pct"/>
            <w:vAlign w:val="center"/>
          </w:tcPr>
          <w:p w:rsidR="00EE4502" w:rsidRDefault="00FD45A3">
            <w:pPr>
              <w:pStyle w:val="affffffffff"/>
              <w:kinsoku/>
              <w:wordWrap/>
              <w:overflowPunct/>
              <w:adjustRightInd/>
              <w:spacing w:after="0" w:line="240" w:lineRule="auto"/>
              <w:ind w:left="0" w:firstLineChars="0" w:firstLine="0"/>
              <w:rPr>
                <w:snapToGrid w:val="0"/>
                <w:kern w:val="0"/>
                <w:sz w:val="18"/>
                <w:szCs w:val="18"/>
              </w:rPr>
            </w:pPr>
            <w:r>
              <w:rPr>
                <w:snapToGrid w:val="0"/>
                <w:kern w:val="0"/>
                <w:sz w:val="18"/>
                <w:szCs w:val="18"/>
              </w:rPr>
              <w:t>厂界噪声监测</w:t>
            </w:r>
          </w:p>
        </w:tc>
        <w:tc>
          <w:tcPr>
            <w:tcW w:w="1253" w:type="pct"/>
            <w:vAlign w:val="center"/>
          </w:tcPr>
          <w:p w:rsidR="00EE4502" w:rsidRDefault="00FD45A3">
            <w:pPr>
              <w:pStyle w:val="affffffffff"/>
              <w:kinsoku/>
              <w:wordWrap/>
              <w:overflowPunct/>
              <w:adjustRightInd/>
              <w:spacing w:after="0" w:line="240" w:lineRule="auto"/>
              <w:ind w:left="0" w:firstLineChars="0" w:firstLine="0"/>
              <w:rPr>
                <w:snapToGrid w:val="0"/>
                <w:kern w:val="0"/>
                <w:sz w:val="18"/>
                <w:szCs w:val="18"/>
              </w:rPr>
            </w:pPr>
            <w:r>
              <w:rPr>
                <w:snapToGrid w:val="0"/>
                <w:kern w:val="0"/>
                <w:sz w:val="18"/>
                <w:szCs w:val="18"/>
              </w:rPr>
              <w:t>每季度昼、夜各一次</w:t>
            </w:r>
          </w:p>
        </w:tc>
      </w:tr>
      <w:tr w:rsidR="00EE4502">
        <w:trPr>
          <w:trHeight w:val="340"/>
          <w:jc w:val="center"/>
        </w:trPr>
        <w:tc>
          <w:tcPr>
            <w:tcW w:w="352" w:type="pct"/>
            <w:vAlign w:val="center"/>
          </w:tcPr>
          <w:p w:rsidR="00EE4502" w:rsidRDefault="00FD45A3">
            <w:pPr>
              <w:pStyle w:val="affffffffff"/>
              <w:kinsoku/>
              <w:wordWrap/>
              <w:overflowPunct/>
              <w:adjustRightInd/>
              <w:spacing w:after="0" w:line="240" w:lineRule="auto"/>
              <w:ind w:left="0" w:firstLineChars="0" w:firstLine="0"/>
              <w:rPr>
                <w:snapToGrid w:val="0"/>
                <w:kern w:val="0"/>
                <w:sz w:val="18"/>
                <w:szCs w:val="18"/>
              </w:rPr>
            </w:pPr>
            <w:r>
              <w:rPr>
                <w:snapToGrid w:val="0"/>
                <w:kern w:val="0"/>
                <w:sz w:val="18"/>
                <w:szCs w:val="18"/>
              </w:rPr>
              <w:t>3</w:t>
            </w:r>
          </w:p>
        </w:tc>
        <w:tc>
          <w:tcPr>
            <w:tcW w:w="718" w:type="pct"/>
            <w:vAlign w:val="center"/>
          </w:tcPr>
          <w:p w:rsidR="00EE4502" w:rsidRDefault="00FD45A3">
            <w:pPr>
              <w:pStyle w:val="affffffffff"/>
              <w:kinsoku/>
              <w:wordWrap/>
              <w:overflowPunct/>
              <w:adjustRightInd/>
              <w:spacing w:after="0" w:line="240" w:lineRule="auto"/>
              <w:ind w:left="0" w:firstLineChars="0" w:firstLine="0"/>
              <w:rPr>
                <w:snapToGrid w:val="0"/>
                <w:kern w:val="0"/>
                <w:sz w:val="18"/>
                <w:szCs w:val="18"/>
              </w:rPr>
            </w:pPr>
            <w:r>
              <w:rPr>
                <w:snapToGrid w:val="0"/>
                <w:kern w:val="0"/>
                <w:sz w:val="18"/>
                <w:szCs w:val="18"/>
              </w:rPr>
              <w:t>土壤</w:t>
            </w:r>
          </w:p>
        </w:tc>
        <w:tc>
          <w:tcPr>
            <w:tcW w:w="1748" w:type="pct"/>
            <w:vAlign w:val="center"/>
          </w:tcPr>
          <w:p w:rsidR="00EE4502" w:rsidRDefault="00FD45A3">
            <w:pPr>
              <w:pStyle w:val="affffffffff"/>
              <w:kinsoku/>
              <w:wordWrap/>
              <w:overflowPunct/>
              <w:adjustRightInd/>
              <w:spacing w:after="0" w:line="240" w:lineRule="auto"/>
              <w:ind w:left="0" w:firstLineChars="0" w:firstLine="0"/>
              <w:rPr>
                <w:snapToGrid w:val="0"/>
                <w:kern w:val="0"/>
                <w:sz w:val="18"/>
                <w:szCs w:val="18"/>
              </w:rPr>
            </w:pPr>
            <w:r>
              <w:rPr>
                <w:rFonts w:hint="eastAsia"/>
                <w:snapToGrid w:val="0"/>
                <w:kern w:val="0"/>
                <w:sz w:val="18"/>
                <w:szCs w:val="18"/>
              </w:rPr>
              <w:t>在</w:t>
            </w:r>
            <w:r>
              <w:rPr>
                <w:rFonts w:hint="eastAsia"/>
                <w:snapToGrid w:val="0"/>
                <w:kern w:val="0"/>
                <w:sz w:val="18"/>
                <w:szCs w:val="18"/>
              </w:rPr>
              <w:t>排</w:t>
            </w:r>
            <w:r>
              <w:rPr>
                <w:rFonts w:hint="eastAsia"/>
                <w:snapToGrid w:val="0"/>
                <w:kern w:val="0"/>
                <w:sz w:val="18"/>
                <w:szCs w:val="18"/>
              </w:rPr>
              <w:t>61</w:t>
            </w:r>
            <w:r>
              <w:rPr>
                <w:rFonts w:hint="eastAsia"/>
                <w:snapToGrid w:val="0"/>
                <w:kern w:val="0"/>
                <w:sz w:val="18"/>
                <w:szCs w:val="18"/>
              </w:rPr>
              <w:t>块</w:t>
            </w:r>
            <w:r>
              <w:rPr>
                <w:rFonts w:hint="eastAsia"/>
                <w:snapToGrid w:val="0"/>
                <w:kern w:val="0"/>
                <w:sz w:val="18"/>
                <w:szCs w:val="18"/>
              </w:rPr>
              <w:t>井场内设置</w:t>
            </w:r>
            <w:r>
              <w:rPr>
                <w:rFonts w:hint="eastAsia"/>
                <w:snapToGrid w:val="0"/>
                <w:kern w:val="0"/>
                <w:sz w:val="18"/>
                <w:szCs w:val="18"/>
              </w:rPr>
              <w:t>1</w:t>
            </w:r>
            <w:r>
              <w:rPr>
                <w:rFonts w:hint="eastAsia"/>
                <w:snapToGrid w:val="0"/>
                <w:kern w:val="0"/>
                <w:sz w:val="18"/>
                <w:szCs w:val="18"/>
              </w:rPr>
              <w:t>个土壤跟踪监测点</w:t>
            </w:r>
          </w:p>
        </w:tc>
        <w:tc>
          <w:tcPr>
            <w:tcW w:w="926" w:type="pct"/>
            <w:vAlign w:val="center"/>
          </w:tcPr>
          <w:p w:rsidR="00EE4502" w:rsidRDefault="00FD45A3">
            <w:pPr>
              <w:pStyle w:val="affffffffff"/>
              <w:kinsoku/>
              <w:wordWrap/>
              <w:overflowPunct/>
              <w:adjustRightInd/>
              <w:spacing w:after="0" w:line="240" w:lineRule="auto"/>
              <w:ind w:left="0" w:firstLineChars="0" w:firstLine="0"/>
              <w:rPr>
                <w:snapToGrid w:val="0"/>
                <w:kern w:val="0"/>
                <w:sz w:val="18"/>
                <w:szCs w:val="18"/>
              </w:rPr>
            </w:pPr>
            <w:r>
              <w:rPr>
                <w:rFonts w:hint="eastAsia"/>
                <w:snapToGrid w:val="0"/>
                <w:kern w:val="0"/>
                <w:sz w:val="18"/>
                <w:szCs w:val="18"/>
              </w:rPr>
              <w:t>pH</w:t>
            </w:r>
            <w:r>
              <w:rPr>
                <w:rFonts w:hint="eastAsia"/>
                <w:snapToGrid w:val="0"/>
                <w:kern w:val="0"/>
                <w:sz w:val="18"/>
                <w:szCs w:val="18"/>
              </w:rPr>
              <w:t>值、</w:t>
            </w:r>
            <w:r>
              <w:rPr>
                <w:snapToGrid w:val="0"/>
                <w:kern w:val="0"/>
                <w:sz w:val="18"/>
                <w:szCs w:val="18"/>
              </w:rPr>
              <w:t>石油烃</w:t>
            </w:r>
            <w:r>
              <w:rPr>
                <w:rFonts w:hint="eastAsia"/>
                <w:snapToGrid w:val="0"/>
                <w:kern w:val="0"/>
                <w:sz w:val="18"/>
                <w:szCs w:val="18"/>
              </w:rPr>
              <w:t>、砷、汞、镉、镉</w:t>
            </w:r>
          </w:p>
        </w:tc>
        <w:tc>
          <w:tcPr>
            <w:tcW w:w="1253" w:type="pct"/>
            <w:vAlign w:val="center"/>
          </w:tcPr>
          <w:p w:rsidR="00EE4502" w:rsidRDefault="00FD45A3">
            <w:pPr>
              <w:pStyle w:val="affffffffff"/>
              <w:kinsoku/>
              <w:wordWrap/>
              <w:overflowPunct/>
              <w:adjustRightInd/>
              <w:spacing w:after="0" w:line="240" w:lineRule="auto"/>
              <w:ind w:left="0" w:firstLineChars="0" w:firstLine="0"/>
              <w:rPr>
                <w:snapToGrid w:val="0"/>
                <w:kern w:val="0"/>
                <w:sz w:val="18"/>
                <w:szCs w:val="18"/>
              </w:rPr>
            </w:pPr>
            <w:r>
              <w:rPr>
                <w:snapToGrid w:val="0"/>
                <w:kern w:val="0"/>
                <w:sz w:val="18"/>
                <w:szCs w:val="18"/>
              </w:rPr>
              <w:t>每年一次。</w:t>
            </w:r>
            <w:r>
              <w:rPr>
                <w:rFonts w:hint="eastAsia"/>
                <w:snapToGrid w:val="0"/>
                <w:kern w:val="0"/>
                <w:sz w:val="18"/>
                <w:szCs w:val="18"/>
              </w:rPr>
              <w:t>发生泄漏事故时，须加密监测。</w:t>
            </w:r>
          </w:p>
        </w:tc>
      </w:tr>
      <w:tr w:rsidR="00EE4502">
        <w:trPr>
          <w:trHeight w:val="340"/>
          <w:jc w:val="center"/>
        </w:trPr>
        <w:tc>
          <w:tcPr>
            <w:tcW w:w="352" w:type="pct"/>
            <w:vAlign w:val="center"/>
          </w:tcPr>
          <w:p w:rsidR="00EE4502" w:rsidRDefault="00FD45A3">
            <w:pPr>
              <w:pStyle w:val="affffffffff"/>
              <w:kinsoku/>
              <w:wordWrap/>
              <w:overflowPunct/>
              <w:adjustRightInd/>
              <w:spacing w:after="0" w:line="240" w:lineRule="auto"/>
              <w:ind w:left="0" w:firstLineChars="0" w:firstLine="0"/>
              <w:rPr>
                <w:snapToGrid w:val="0"/>
                <w:kern w:val="0"/>
                <w:sz w:val="18"/>
                <w:szCs w:val="18"/>
              </w:rPr>
            </w:pPr>
            <w:r>
              <w:rPr>
                <w:snapToGrid w:val="0"/>
                <w:kern w:val="0"/>
                <w:sz w:val="18"/>
                <w:szCs w:val="18"/>
              </w:rPr>
              <w:t>4</w:t>
            </w:r>
          </w:p>
        </w:tc>
        <w:tc>
          <w:tcPr>
            <w:tcW w:w="718" w:type="pct"/>
            <w:vAlign w:val="center"/>
          </w:tcPr>
          <w:p w:rsidR="00EE4502" w:rsidRDefault="00FD45A3">
            <w:pPr>
              <w:pStyle w:val="affffffffff"/>
              <w:kinsoku/>
              <w:wordWrap/>
              <w:overflowPunct/>
              <w:adjustRightInd/>
              <w:spacing w:after="0" w:line="240" w:lineRule="auto"/>
              <w:ind w:left="0" w:firstLineChars="0" w:firstLine="0"/>
              <w:rPr>
                <w:snapToGrid w:val="0"/>
                <w:kern w:val="0"/>
                <w:sz w:val="18"/>
                <w:szCs w:val="18"/>
              </w:rPr>
            </w:pPr>
            <w:r>
              <w:rPr>
                <w:snapToGrid w:val="0"/>
                <w:kern w:val="0"/>
                <w:sz w:val="18"/>
                <w:szCs w:val="18"/>
              </w:rPr>
              <w:t>地下水</w:t>
            </w:r>
          </w:p>
        </w:tc>
        <w:tc>
          <w:tcPr>
            <w:tcW w:w="1748" w:type="pct"/>
            <w:vAlign w:val="center"/>
          </w:tcPr>
          <w:p w:rsidR="00EE4502" w:rsidRDefault="00FD45A3">
            <w:pPr>
              <w:pStyle w:val="affffffffff"/>
              <w:kinsoku/>
              <w:wordWrap/>
              <w:overflowPunct/>
              <w:adjustRightInd/>
              <w:spacing w:after="0" w:line="240" w:lineRule="auto"/>
              <w:ind w:left="0" w:firstLineChars="0" w:firstLine="0"/>
              <w:rPr>
                <w:snapToGrid w:val="0"/>
                <w:kern w:val="0"/>
                <w:sz w:val="18"/>
                <w:szCs w:val="18"/>
              </w:rPr>
            </w:pPr>
            <w:r>
              <w:rPr>
                <w:rFonts w:hint="eastAsia"/>
                <w:snapToGrid w:val="0"/>
                <w:kern w:val="0"/>
                <w:sz w:val="18"/>
                <w:szCs w:val="18"/>
              </w:rPr>
              <w:t>项目区附近、项目上游</w:t>
            </w:r>
            <w:r>
              <w:rPr>
                <w:rFonts w:hint="eastAsia"/>
                <w:snapToGrid w:val="0"/>
                <w:kern w:val="0"/>
                <w:sz w:val="18"/>
                <w:szCs w:val="18"/>
              </w:rPr>
              <w:t>、</w:t>
            </w:r>
            <w:r>
              <w:rPr>
                <w:rFonts w:hint="eastAsia"/>
                <w:snapToGrid w:val="0"/>
                <w:kern w:val="0"/>
                <w:sz w:val="18"/>
                <w:szCs w:val="18"/>
              </w:rPr>
              <w:t>项目下游</w:t>
            </w:r>
            <w:r>
              <w:rPr>
                <w:rFonts w:hint="eastAsia"/>
                <w:snapToGrid w:val="0"/>
                <w:kern w:val="0"/>
                <w:sz w:val="18"/>
                <w:szCs w:val="18"/>
              </w:rPr>
              <w:t>分别</w:t>
            </w:r>
            <w:r>
              <w:rPr>
                <w:rFonts w:hint="eastAsia"/>
                <w:snapToGrid w:val="0"/>
                <w:kern w:val="0"/>
                <w:sz w:val="18"/>
                <w:szCs w:val="18"/>
              </w:rPr>
              <w:t>设置</w:t>
            </w:r>
            <w:r>
              <w:rPr>
                <w:rFonts w:hint="eastAsia"/>
                <w:snapToGrid w:val="0"/>
                <w:kern w:val="0"/>
                <w:sz w:val="18"/>
                <w:szCs w:val="18"/>
              </w:rPr>
              <w:t>1</w:t>
            </w:r>
            <w:r>
              <w:rPr>
                <w:rFonts w:hint="eastAsia"/>
                <w:snapToGrid w:val="0"/>
                <w:kern w:val="0"/>
                <w:sz w:val="18"/>
                <w:szCs w:val="18"/>
              </w:rPr>
              <w:t>口监测井</w:t>
            </w:r>
          </w:p>
        </w:tc>
        <w:tc>
          <w:tcPr>
            <w:tcW w:w="926" w:type="pct"/>
            <w:vAlign w:val="center"/>
          </w:tcPr>
          <w:p w:rsidR="00EE4502" w:rsidRDefault="00FD45A3">
            <w:pPr>
              <w:pStyle w:val="affffffffff"/>
              <w:kinsoku/>
              <w:overflowPunct/>
              <w:adjustRightInd/>
              <w:spacing w:line="240" w:lineRule="auto"/>
              <w:ind w:left="0" w:firstLineChars="0" w:firstLine="0"/>
              <w:rPr>
                <w:snapToGrid w:val="0"/>
                <w:kern w:val="0"/>
                <w:sz w:val="18"/>
                <w:szCs w:val="18"/>
              </w:rPr>
            </w:pPr>
            <w:r>
              <w:rPr>
                <w:rFonts w:hint="eastAsia"/>
                <w:snapToGrid w:val="0"/>
                <w:kern w:val="0"/>
                <w:sz w:val="18"/>
                <w:szCs w:val="18"/>
              </w:rPr>
              <w:t>石油类</w:t>
            </w:r>
          </w:p>
        </w:tc>
        <w:tc>
          <w:tcPr>
            <w:tcW w:w="1253" w:type="pct"/>
            <w:vAlign w:val="center"/>
          </w:tcPr>
          <w:p w:rsidR="00EE4502" w:rsidRDefault="00FD45A3">
            <w:pPr>
              <w:pStyle w:val="affffffffff"/>
              <w:kinsoku/>
              <w:overflowPunct/>
              <w:adjustRightInd/>
              <w:spacing w:line="240" w:lineRule="auto"/>
              <w:ind w:left="0" w:firstLineChars="0" w:firstLine="0"/>
              <w:rPr>
                <w:snapToGrid w:val="0"/>
                <w:kern w:val="0"/>
                <w:sz w:val="18"/>
                <w:szCs w:val="18"/>
              </w:rPr>
            </w:pPr>
            <w:r>
              <w:rPr>
                <w:rFonts w:hint="eastAsia"/>
                <w:snapToGrid w:val="0"/>
                <w:kern w:val="0"/>
                <w:sz w:val="18"/>
                <w:szCs w:val="18"/>
              </w:rPr>
              <w:t>每半年</w:t>
            </w:r>
            <w:r>
              <w:rPr>
                <w:rFonts w:hint="eastAsia"/>
                <w:snapToGrid w:val="0"/>
                <w:kern w:val="0"/>
                <w:sz w:val="18"/>
                <w:szCs w:val="18"/>
              </w:rPr>
              <w:t>1</w:t>
            </w:r>
            <w:r>
              <w:rPr>
                <w:rFonts w:hint="eastAsia"/>
                <w:snapToGrid w:val="0"/>
                <w:kern w:val="0"/>
                <w:sz w:val="18"/>
                <w:szCs w:val="18"/>
              </w:rPr>
              <w:t>次。发生泄漏事故时，须加密监测。</w:t>
            </w:r>
          </w:p>
        </w:tc>
      </w:tr>
      <w:tr w:rsidR="00EE4502">
        <w:trPr>
          <w:trHeight w:val="340"/>
          <w:jc w:val="center"/>
        </w:trPr>
        <w:tc>
          <w:tcPr>
            <w:tcW w:w="352" w:type="pct"/>
            <w:vAlign w:val="center"/>
          </w:tcPr>
          <w:p w:rsidR="00EE4502" w:rsidRDefault="00FD45A3">
            <w:pPr>
              <w:pStyle w:val="affffffffff"/>
              <w:kinsoku/>
              <w:wordWrap/>
              <w:overflowPunct/>
              <w:adjustRightInd/>
              <w:spacing w:after="0" w:line="240" w:lineRule="auto"/>
              <w:ind w:left="0" w:firstLineChars="0" w:firstLine="0"/>
              <w:rPr>
                <w:snapToGrid w:val="0"/>
                <w:kern w:val="0"/>
                <w:sz w:val="18"/>
                <w:szCs w:val="18"/>
              </w:rPr>
            </w:pPr>
            <w:r>
              <w:rPr>
                <w:rFonts w:hint="eastAsia"/>
                <w:snapToGrid w:val="0"/>
                <w:kern w:val="0"/>
                <w:sz w:val="18"/>
                <w:szCs w:val="18"/>
              </w:rPr>
              <w:t>5</w:t>
            </w:r>
          </w:p>
        </w:tc>
        <w:tc>
          <w:tcPr>
            <w:tcW w:w="718" w:type="pct"/>
            <w:vAlign w:val="center"/>
          </w:tcPr>
          <w:p w:rsidR="00EE4502" w:rsidRDefault="00FD45A3">
            <w:pPr>
              <w:pStyle w:val="affffffffff"/>
              <w:kinsoku/>
              <w:wordWrap/>
              <w:overflowPunct/>
              <w:snapToGrid w:val="0"/>
              <w:spacing w:after="0" w:line="240" w:lineRule="auto"/>
              <w:ind w:left="0" w:firstLineChars="0" w:firstLine="0"/>
              <w:rPr>
                <w:snapToGrid w:val="0"/>
                <w:kern w:val="0"/>
                <w:sz w:val="18"/>
                <w:szCs w:val="18"/>
              </w:rPr>
            </w:pPr>
            <w:r>
              <w:rPr>
                <w:snapToGrid w:val="0"/>
                <w:kern w:val="0"/>
                <w:sz w:val="18"/>
                <w:szCs w:val="18"/>
              </w:rPr>
              <w:t>生态环境</w:t>
            </w:r>
          </w:p>
        </w:tc>
        <w:tc>
          <w:tcPr>
            <w:tcW w:w="1748" w:type="pct"/>
            <w:vAlign w:val="center"/>
          </w:tcPr>
          <w:p w:rsidR="00EE4502" w:rsidRDefault="00FD45A3">
            <w:pPr>
              <w:pStyle w:val="affffffffff"/>
              <w:kinsoku/>
              <w:wordWrap/>
              <w:overflowPunct/>
              <w:snapToGrid w:val="0"/>
              <w:spacing w:after="0" w:line="240" w:lineRule="auto"/>
              <w:ind w:left="0" w:firstLineChars="0" w:firstLine="0"/>
              <w:rPr>
                <w:snapToGrid w:val="0"/>
                <w:kern w:val="0"/>
                <w:sz w:val="18"/>
                <w:szCs w:val="18"/>
              </w:rPr>
            </w:pPr>
            <w:r>
              <w:rPr>
                <w:snapToGrid w:val="0"/>
                <w:kern w:val="0"/>
                <w:sz w:val="18"/>
                <w:szCs w:val="18"/>
              </w:rPr>
              <w:t>井场及管线占地范围内的自然植被</w:t>
            </w:r>
          </w:p>
        </w:tc>
        <w:tc>
          <w:tcPr>
            <w:tcW w:w="926" w:type="pct"/>
            <w:vAlign w:val="center"/>
          </w:tcPr>
          <w:p w:rsidR="00EE4502" w:rsidRDefault="00FD45A3">
            <w:pPr>
              <w:pStyle w:val="affffffffff"/>
              <w:kinsoku/>
              <w:wordWrap/>
              <w:overflowPunct/>
              <w:snapToGrid w:val="0"/>
              <w:spacing w:after="0" w:line="240" w:lineRule="auto"/>
              <w:ind w:left="0" w:firstLineChars="0" w:firstLine="0"/>
              <w:rPr>
                <w:snapToGrid w:val="0"/>
                <w:kern w:val="0"/>
                <w:sz w:val="18"/>
                <w:szCs w:val="18"/>
              </w:rPr>
            </w:pPr>
            <w:r>
              <w:rPr>
                <w:rFonts w:hint="eastAsia"/>
                <w:snapToGrid w:val="0"/>
                <w:kern w:val="0"/>
                <w:sz w:val="18"/>
                <w:szCs w:val="18"/>
              </w:rPr>
              <w:t>植物种类、数量、覆盖度（郁闭度）</w:t>
            </w:r>
          </w:p>
        </w:tc>
        <w:tc>
          <w:tcPr>
            <w:tcW w:w="1253" w:type="pct"/>
            <w:vAlign w:val="center"/>
          </w:tcPr>
          <w:p w:rsidR="00EE4502" w:rsidRDefault="00FD45A3">
            <w:pPr>
              <w:pStyle w:val="affffffffff"/>
              <w:kinsoku/>
              <w:wordWrap/>
              <w:overflowPunct/>
              <w:snapToGrid w:val="0"/>
              <w:spacing w:after="0" w:line="240" w:lineRule="auto"/>
              <w:ind w:left="0" w:firstLineChars="0" w:firstLine="0"/>
              <w:rPr>
                <w:snapToGrid w:val="0"/>
                <w:kern w:val="0"/>
                <w:sz w:val="18"/>
                <w:szCs w:val="18"/>
              </w:rPr>
            </w:pPr>
            <w:r>
              <w:rPr>
                <w:rFonts w:hint="eastAsia"/>
                <w:snapToGrid w:val="0"/>
                <w:kern w:val="0"/>
                <w:sz w:val="18"/>
                <w:szCs w:val="18"/>
              </w:rPr>
              <w:t>每年按最不利季节调查一次</w:t>
            </w:r>
          </w:p>
        </w:tc>
      </w:tr>
    </w:tbl>
    <w:p w:rsidR="00EE4502" w:rsidRDefault="00EE4502">
      <w:pPr>
        <w:jc w:val="center"/>
        <w:rPr>
          <w:b/>
          <w:kern w:val="21"/>
          <w:szCs w:val="21"/>
        </w:rPr>
      </w:pPr>
    </w:p>
    <w:p w:rsidR="00EE4502" w:rsidRDefault="00FD45A3">
      <w:pPr>
        <w:pStyle w:val="22"/>
        <w:numPr>
          <w:ilvl w:val="1"/>
          <w:numId w:val="30"/>
        </w:numPr>
        <w:rPr>
          <w:spacing w:val="0"/>
          <w:w w:val="100"/>
        </w:rPr>
      </w:pPr>
      <w:bookmarkStart w:id="274" w:name="_Toc2303"/>
      <w:r>
        <w:rPr>
          <w:rFonts w:hint="eastAsia"/>
          <w:spacing w:val="0"/>
          <w:w w:val="100"/>
        </w:rPr>
        <w:t>退役期环境管理</w:t>
      </w:r>
      <w:bookmarkEnd w:id="274"/>
    </w:p>
    <w:p w:rsidR="00EE4502" w:rsidRDefault="00FD45A3">
      <w:pPr>
        <w:spacing w:line="360" w:lineRule="auto"/>
        <w:ind w:firstLine="522"/>
        <w:rPr>
          <w:sz w:val="24"/>
        </w:rPr>
      </w:pPr>
      <w:r>
        <w:rPr>
          <w:sz w:val="24"/>
        </w:rPr>
        <w:t>随着油井开采时间的延长，其储量将逐年降低，最终进入封井期。</w:t>
      </w:r>
      <w:r>
        <w:rPr>
          <w:rFonts w:hint="eastAsia"/>
          <w:sz w:val="24"/>
        </w:rPr>
        <w:t>企业应</w:t>
      </w:r>
      <w:r>
        <w:rPr>
          <w:rFonts w:hint="eastAsia"/>
          <w:sz w:val="24"/>
          <w:szCs w:val="20"/>
        </w:rPr>
        <w:t>结合《废弃井封井回填技术指南（试行）》和《矿山生态环境保护与恢复治理技术规范（试行）》等采取生态恢复措施。施工前应编制详细的“生态恢复方案”并连同施工计划一起呈报公司的</w:t>
      </w:r>
      <w:r>
        <w:rPr>
          <w:rFonts w:hint="eastAsia"/>
          <w:sz w:val="24"/>
          <w:szCs w:val="20"/>
        </w:rPr>
        <w:t>HSE</w:t>
      </w:r>
      <w:r>
        <w:rPr>
          <w:rFonts w:hint="eastAsia"/>
          <w:sz w:val="24"/>
          <w:szCs w:val="20"/>
        </w:rPr>
        <w:t>管理部门以及相关的地方环保部门，批准后方可以开工。</w:t>
      </w:r>
      <w:r>
        <w:rPr>
          <w:sz w:val="24"/>
        </w:rPr>
        <w:t>在施工作业之前必须对全体施工人员进行国家和地方有关环境方面的</w:t>
      </w:r>
      <w:r>
        <w:rPr>
          <w:rFonts w:hint="eastAsia"/>
          <w:sz w:val="24"/>
        </w:rPr>
        <w:t>法律法规</w:t>
      </w:r>
      <w:r>
        <w:rPr>
          <w:sz w:val="24"/>
        </w:rPr>
        <w:t>和标准；工程的主要环境保护目标和要求；环境管理规定的重要性，以及违反规定带来的后果等</w:t>
      </w:r>
      <w:r>
        <w:rPr>
          <w:rFonts w:hint="eastAsia"/>
          <w:sz w:val="24"/>
        </w:rPr>
        <w:t>内容的培训</w:t>
      </w:r>
      <w:r>
        <w:rPr>
          <w:sz w:val="24"/>
        </w:rPr>
        <w:t>。</w:t>
      </w:r>
      <w:r>
        <w:rPr>
          <w:rFonts w:hint="eastAsia"/>
          <w:sz w:val="24"/>
        </w:rPr>
        <w:t>施工过程中以加强管理作为控制手段，减轻环境污染，并做好台账记录。</w:t>
      </w:r>
    </w:p>
    <w:p w:rsidR="00EE4502" w:rsidRDefault="00FD45A3">
      <w:pPr>
        <w:pStyle w:val="22"/>
        <w:numPr>
          <w:ilvl w:val="1"/>
          <w:numId w:val="30"/>
        </w:numPr>
        <w:rPr>
          <w:spacing w:val="0"/>
          <w:w w:val="100"/>
        </w:rPr>
      </w:pPr>
      <w:bookmarkStart w:id="275" w:name="_Toc31761"/>
      <w:r>
        <w:rPr>
          <w:rFonts w:hint="eastAsia"/>
          <w:spacing w:val="0"/>
          <w:w w:val="100"/>
        </w:rPr>
        <w:t>环保设施“三同时”验收</w:t>
      </w:r>
      <w:bookmarkEnd w:id="275"/>
    </w:p>
    <w:p w:rsidR="00EE4502" w:rsidRDefault="00FD45A3">
      <w:pPr>
        <w:spacing w:line="360" w:lineRule="auto"/>
        <w:ind w:firstLine="522"/>
        <w:rPr>
          <w:sz w:val="24"/>
        </w:rPr>
      </w:pPr>
      <w:bookmarkStart w:id="276" w:name="_Toc330457951"/>
      <w:bookmarkStart w:id="277" w:name="_Toc313911477"/>
      <w:r>
        <w:rPr>
          <w:sz w:val="24"/>
        </w:rPr>
        <w:t>（</w:t>
      </w:r>
      <w:r>
        <w:rPr>
          <w:sz w:val="24"/>
        </w:rPr>
        <w:t>1</w:t>
      </w:r>
      <w:r>
        <w:rPr>
          <w:sz w:val="24"/>
        </w:rPr>
        <w:t>）环境工程设计</w:t>
      </w:r>
      <w:bookmarkEnd w:id="276"/>
      <w:bookmarkEnd w:id="277"/>
    </w:p>
    <w:p w:rsidR="00EE4502" w:rsidRDefault="00FD45A3">
      <w:pPr>
        <w:spacing w:line="360" w:lineRule="auto"/>
        <w:ind w:firstLine="522"/>
        <w:rPr>
          <w:sz w:val="24"/>
        </w:rPr>
      </w:pPr>
      <w:r>
        <w:rPr>
          <w:rFonts w:ascii="宋体" w:hAnsi="宋体" w:cs="宋体" w:hint="eastAsia"/>
          <w:sz w:val="24"/>
        </w:rPr>
        <w:t>①</w:t>
      </w:r>
      <w:r>
        <w:rPr>
          <w:sz w:val="24"/>
        </w:rPr>
        <w:t>必须按照本环评文件及批复要求，落实项目环境工程设计，确保</w:t>
      </w:r>
      <w:r>
        <w:rPr>
          <w:sz w:val="24"/>
        </w:rPr>
        <w:t>“</w:t>
      </w:r>
      <w:r>
        <w:rPr>
          <w:sz w:val="24"/>
        </w:rPr>
        <w:t>三废</w:t>
      </w:r>
      <w:r>
        <w:rPr>
          <w:sz w:val="24"/>
        </w:rPr>
        <w:t>”</w:t>
      </w:r>
      <w:r>
        <w:rPr>
          <w:sz w:val="24"/>
        </w:rPr>
        <w:t>稳定达标排放；按要求制定环境风险事故应急预案。</w:t>
      </w:r>
    </w:p>
    <w:p w:rsidR="00EE4502" w:rsidRDefault="00FD45A3">
      <w:pPr>
        <w:spacing w:line="360" w:lineRule="auto"/>
        <w:ind w:firstLine="522"/>
        <w:rPr>
          <w:sz w:val="24"/>
        </w:rPr>
      </w:pPr>
      <w:r>
        <w:rPr>
          <w:rFonts w:ascii="宋体" w:hAnsi="宋体" w:cs="宋体" w:hint="eastAsia"/>
          <w:sz w:val="24"/>
        </w:rPr>
        <w:t>②</w:t>
      </w:r>
      <w:r>
        <w:rPr>
          <w:sz w:val="24"/>
        </w:rPr>
        <w:t>建立健全环境管理组织机构、各项环保规章制度。</w:t>
      </w:r>
    </w:p>
    <w:p w:rsidR="00EE4502" w:rsidRDefault="00FD45A3">
      <w:pPr>
        <w:spacing w:line="360" w:lineRule="auto"/>
        <w:ind w:firstLine="522"/>
        <w:rPr>
          <w:sz w:val="24"/>
        </w:rPr>
      </w:pPr>
      <w:r>
        <w:rPr>
          <w:rFonts w:ascii="宋体" w:hAnsi="宋体" w:cs="宋体" w:hint="eastAsia"/>
          <w:sz w:val="24"/>
        </w:rPr>
        <w:t>③</w:t>
      </w:r>
      <w:r>
        <w:rPr>
          <w:sz w:val="24"/>
        </w:rPr>
        <w:t>项目污染防治设施必须与主体工程</w:t>
      </w:r>
      <w:r>
        <w:rPr>
          <w:sz w:val="24"/>
        </w:rPr>
        <w:t>“</w:t>
      </w:r>
      <w:r>
        <w:rPr>
          <w:sz w:val="24"/>
        </w:rPr>
        <w:t>三同时</w:t>
      </w:r>
      <w:r>
        <w:rPr>
          <w:sz w:val="24"/>
        </w:rPr>
        <w:t>”</w:t>
      </w:r>
      <w:r>
        <w:rPr>
          <w:sz w:val="24"/>
        </w:rPr>
        <w:t>。</w:t>
      </w:r>
    </w:p>
    <w:p w:rsidR="00EE4502" w:rsidRDefault="00FD45A3">
      <w:pPr>
        <w:spacing w:line="360" w:lineRule="auto"/>
        <w:ind w:firstLine="522"/>
        <w:rPr>
          <w:sz w:val="24"/>
        </w:rPr>
      </w:pPr>
      <w:bookmarkStart w:id="278" w:name="_Toc330457952"/>
      <w:bookmarkStart w:id="279" w:name="_Toc313911478"/>
      <w:r>
        <w:rPr>
          <w:sz w:val="24"/>
        </w:rPr>
        <w:t>（</w:t>
      </w:r>
      <w:r>
        <w:rPr>
          <w:sz w:val="24"/>
        </w:rPr>
        <w:t>2</w:t>
      </w:r>
      <w:r>
        <w:rPr>
          <w:sz w:val="24"/>
        </w:rPr>
        <w:t>）环境设施验收建议</w:t>
      </w:r>
      <w:bookmarkEnd w:id="278"/>
      <w:bookmarkEnd w:id="279"/>
    </w:p>
    <w:p w:rsidR="00EE4502" w:rsidRDefault="00FD45A3">
      <w:pPr>
        <w:spacing w:line="360" w:lineRule="auto"/>
        <w:ind w:firstLine="522"/>
        <w:rPr>
          <w:sz w:val="24"/>
        </w:rPr>
      </w:pPr>
      <w:r>
        <w:rPr>
          <w:rFonts w:ascii="宋体" w:hAnsi="宋体" w:cs="宋体" w:hint="eastAsia"/>
          <w:sz w:val="24"/>
        </w:rPr>
        <w:t>①</w:t>
      </w:r>
      <w:r>
        <w:rPr>
          <w:sz w:val="24"/>
        </w:rPr>
        <w:t xml:space="preserve"> </w:t>
      </w:r>
      <w:r>
        <w:rPr>
          <w:sz w:val="24"/>
        </w:rPr>
        <w:t>验</w:t>
      </w:r>
      <w:r>
        <w:rPr>
          <w:sz w:val="24"/>
        </w:rPr>
        <w:t>收范围</w:t>
      </w:r>
    </w:p>
    <w:p w:rsidR="00EE4502" w:rsidRDefault="00FD45A3">
      <w:pPr>
        <w:spacing w:line="360" w:lineRule="auto"/>
        <w:ind w:firstLine="522"/>
        <w:rPr>
          <w:sz w:val="24"/>
        </w:rPr>
      </w:pPr>
      <w:r>
        <w:rPr>
          <w:sz w:val="24"/>
        </w:rPr>
        <w:t>与项目有关的各项环保设施，包括为防治污染和保护环境所配套建成的治理工程、设备和装置，以及各项生态保护设施等；环境影响报告表及批复文件和有关设计文件规定应采取的环保措施。</w:t>
      </w:r>
    </w:p>
    <w:p w:rsidR="00EE4502" w:rsidRDefault="00FD45A3">
      <w:pPr>
        <w:spacing w:line="360" w:lineRule="auto"/>
        <w:ind w:firstLine="522"/>
        <w:rPr>
          <w:sz w:val="24"/>
        </w:rPr>
      </w:pPr>
      <w:r>
        <w:rPr>
          <w:rFonts w:ascii="宋体" w:hAnsi="宋体" w:cs="宋体" w:hint="eastAsia"/>
          <w:sz w:val="24"/>
        </w:rPr>
        <w:t>②</w:t>
      </w:r>
      <w:r>
        <w:rPr>
          <w:sz w:val="24"/>
        </w:rPr>
        <w:t xml:space="preserve"> </w:t>
      </w:r>
      <w:r>
        <w:rPr>
          <w:sz w:val="24"/>
        </w:rPr>
        <w:t>验收条件</w:t>
      </w:r>
    </w:p>
    <w:p w:rsidR="00EE4502" w:rsidRDefault="00FD45A3">
      <w:pPr>
        <w:spacing w:line="360" w:lineRule="auto"/>
        <w:ind w:firstLine="522"/>
        <w:rPr>
          <w:sz w:val="24"/>
        </w:rPr>
      </w:pPr>
      <w:r>
        <w:rPr>
          <w:sz w:val="24"/>
        </w:rPr>
        <w:t>根据《建设项目环境保护管理条例》（国务院令</w:t>
      </w:r>
      <w:r>
        <w:rPr>
          <w:sz w:val="24"/>
        </w:rPr>
        <w:t>682</w:t>
      </w:r>
      <w:r>
        <w:rPr>
          <w:sz w:val="24"/>
        </w:rPr>
        <w:t>号）中有关规定，编制环境影响报告书的建设项目竣工后，新春公司应当按照国务院环境保护行政主管部门规定的标准和程序，对配套建设的环境保护设施进行验收，编制验收报告。新春公司在环境保护设施验收过程中，应当如实查验、监测、记载建设项目环境保护设施的建设和调试情况，不得弄虚作假。</w:t>
      </w:r>
    </w:p>
    <w:p w:rsidR="00EE4502" w:rsidRDefault="00FD45A3">
      <w:pPr>
        <w:spacing w:line="360" w:lineRule="auto"/>
        <w:ind w:firstLine="522"/>
        <w:rPr>
          <w:sz w:val="24"/>
        </w:rPr>
      </w:pPr>
      <w:r>
        <w:rPr>
          <w:sz w:val="24"/>
        </w:rPr>
        <w:t>新春公司对项目进行自主验收，新春公司或者其委托的第三方技术机构应当依照国家有关法律法规及相关技术规范等要求，编制竣工环境保护验收报告，验收报告编制完成后，新春公司应组织成立验收工作组。除按照国家规定需要保</w:t>
      </w:r>
      <w:r>
        <w:rPr>
          <w:sz w:val="24"/>
        </w:rPr>
        <w:lastRenderedPageBreak/>
        <w:t>密的情形外，新春公司应当依法向社会公开验收报告。编制环境影响报告书、环境影响报告表的建设项目，其配套建设的环境保护设施经验收合格，方可投入生产或者使用；未经验收或者验收不合格的，不得投入生产或者使用。</w:t>
      </w:r>
    </w:p>
    <w:p w:rsidR="00EE4502" w:rsidRDefault="00FD45A3">
      <w:pPr>
        <w:spacing w:line="360" w:lineRule="auto"/>
        <w:ind w:firstLine="522"/>
        <w:rPr>
          <w:sz w:val="24"/>
        </w:rPr>
      </w:pPr>
      <w:r>
        <w:rPr>
          <w:rFonts w:ascii="宋体" w:hAnsi="宋体" w:cs="宋体" w:hint="eastAsia"/>
          <w:sz w:val="24"/>
        </w:rPr>
        <w:t>③</w:t>
      </w:r>
      <w:r>
        <w:rPr>
          <w:sz w:val="24"/>
        </w:rPr>
        <w:t>建设项目环境保护</w:t>
      </w:r>
      <w:r>
        <w:rPr>
          <w:sz w:val="24"/>
        </w:rPr>
        <w:t>“</w:t>
      </w:r>
      <w:r>
        <w:rPr>
          <w:sz w:val="24"/>
        </w:rPr>
        <w:t>三同时</w:t>
      </w:r>
      <w:r>
        <w:rPr>
          <w:sz w:val="24"/>
        </w:rPr>
        <w:t>”</w:t>
      </w:r>
      <w:r>
        <w:rPr>
          <w:sz w:val="24"/>
        </w:rPr>
        <w:t>验收内容</w:t>
      </w:r>
    </w:p>
    <w:p w:rsidR="00EE4502" w:rsidRDefault="00FD45A3">
      <w:pPr>
        <w:spacing w:line="360" w:lineRule="auto"/>
        <w:ind w:firstLine="522"/>
        <w:rPr>
          <w:sz w:val="24"/>
        </w:rPr>
      </w:pPr>
      <w:r>
        <w:rPr>
          <w:sz w:val="24"/>
        </w:rPr>
        <w:t>根据建设项目</w:t>
      </w:r>
      <w:r>
        <w:rPr>
          <w:sz w:val="24"/>
        </w:rPr>
        <w:t>“</w:t>
      </w:r>
      <w:r>
        <w:rPr>
          <w:sz w:val="24"/>
        </w:rPr>
        <w:t>三同时</w:t>
      </w:r>
      <w:r>
        <w:rPr>
          <w:sz w:val="24"/>
        </w:rPr>
        <w:t>”</w:t>
      </w:r>
      <w:r>
        <w:rPr>
          <w:sz w:val="24"/>
        </w:rPr>
        <w:t>原则，在项目建设过程中，环境污染防治设施与主体工程同时设计、同时施工、同时投入使用。具体内容见表</w:t>
      </w:r>
      <w:r>
        <w:rPr>
          <w:rFonts w:hint="eastAsia"/>
          <w:sz w:val="24"/>
        </w:rPr>
        <w:t>9-6-1</w:t>
      </w:r>
      <w:r>
        <w:rPr>
          <w:sz w:val="24"/>
        </w:rPr>
        <w:t>。</w:t>
      </w:r>
    </w:p>
    <w:p w:rsidR="00EE4502" w:rsidRDefault="00FD45A3">
      <w:pPr>
        <w:spacing w:line="360" w:lineRule="auto"/>
        <w:jc w:val="center"/>
        <w:rPr>
          <w:rFonts w:eastAsia="黑体"/>
          <w:szCs w:val="21"/>
        </w:rPr>
      </w:pPr>
      <w:r>
        <w:rPr>
          <w:rFonts w:eastAsia="黑体"/>
          <w:szCs w:val="21"/>
        </w:rPr>
        <w:t>表</w:t>
      </w:r>
      <w:r>
        <w:rPr>
          <w:rFonts w:eastAsia="黑体" w:hint="eastAsia"/>
          <w:szCs w:val="21"/>
        </w:rPr>
        <w:t>9-</w:t>
      </w:r>
      <w:r>
        <w:rPr>
          <w:rFonts w:eastAsia="黑体" w:hint="eastAsia"/>
          <w:szCs w:val="21"/>
        </w:rPr>
        <w:t>6</w:t>
      </w:r>
      <w:r>
        <w:rPr>
          <w:rFonts w:eastAsia="黑体" w:hint="eastAsia"/>
          <w:szCs w:val="21"/>
        </w:rPr>
        <w:t xml:space="preserve">-1  </w:t>
      </w:r>
      <w:r>
        <w:rPr>
          <w:rFonts w:eastAsia="黑体"/>
          <w:szCs w:val="21"/>
        </w:rPr>
        <w:t>“</w:t>
      </w:r>
      <w:r>
        <w:rPr>
          <w:rFonts w:eastAsia="黑体"/>
          <w:szCs w:val="21"/>
        </w:rPr>
        <w:t>三同时</w:t>
      </w:r>
      <w:r>
        <w:rPr>
          <w:rFonts w:eastAsia="黑体"/>
          <w:szCs w:val="21"/>
        </w:rPr>
        <w:t>”</w:t>
      </w:r>
      <w:r>
        <w:rPr>
          <w:rFonts w:eastAsia="黑体"/>
          <w:szCs w:val="21"/>
        </w:rPr>
        <w:t>验收一览表</w:t>
      </w:r>
    </w:p>
    <w:tbl>
      <w:tblPr>
        <w:tblW w:w="5000" w:type="pct"/>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597"/>
        <w:gridCol w:w="1130"/>
        <w:gridCol w:w="2969"/>
        <w:gridCol w:w="1450"/>
        <w:gridCol w:w="2376"/>
      </w:tblGrid>
      <w:tr w:rsidR="00EE4502">
        <w:trPr>
          <w:cantSplit/>
          <w:trHeight w:val="340"/>
          <w:tblHeader/>
        </w:trPr>
        <w:tc>
          <w:tcPr>
            <w:tcW w:w="350" w:type="pct"/>
            <w:vAlign w:val="center"/>
          </w:tcPr>
          <w:p w:rsidR="00EE4502" w:rsidRDefault="00FD45A3">
            <w:pPr>
              <w:pStyle w:val="2fd"/>
              <w:adjustRightInd/>
              <w:rPr>
                <w:rFonts w:ascii="Times New Roman"/>
                <w:sz w:val="18"/>
                <w:szCs w:val="18"/>
              </w:rPr>
            </w:pPr>
            <w:r>
              <w:rPr>
                <w:rFonts w:ascii="Times New Roman"/>
                <w:sz w:val="18"/>
                <w:szCs w:val="18"/>
              </w:rPr>
              <w:t>项目</w:t>
            </w:r>
          </w:p>
        </w:tc>
        <w:tc>
          <w:tcPr>
            <w:tcW w:w="663" w:type="pct"/>
            <w:vAlign w:val="center"/>
          </w:tcPr>
          <w:p w:rsidR="00EE4502" w:rsidRDefault="00FD45A3">
            <w:pPr>
              <w:pStyle w:val="2fd"/>
              <w:adjustRightInd/>
              <w:rPr>
                <w:rFonts w:ascii="Times New Roman"/>
                <w:sz w:val="18"/>
                <w:szCs w:val="18"/>
              </w:rPr>
            </w:pPr>
            <w:r>
              <w:rPr>
                <w:rFonts w:ascii="Times New Roman"/>
                <w:sz w:val="18"/>
                <w:szCs w:val="18"/>
              </w:rPr>
              <w:t>污染</w:t>
            </w:r>
            <w:r>
              <w:rPr>
                <w:rFonts w:ascii="Times New Roman" w:hint="eastAsia"/>
                <w:sz w:val="18"/>
                <w:szCs w:val="18"/>
              </w:rPr>
              <w:t>源</w:t>
            </w:r>
          </w:p>
        </w:tc>
        <w:tc>
          <w:tcPr>
            <w:tcW w:w="1742" w:type="pct"/>
            <w:vAlign w:val="center"/>
          </w:tcPr>
          <w:p w:rsidR="00EE4502" w:rsidRDefault="00FD45A3">
            <w:pPr>
              <w:pStyle w:val="2fd"/>
              <w:adjustRightInd/>
              <w:rPr>
                <w:rFonts w:ascii="Times New Roman"/>
                <w:sz w:val="18"/>
                <w:szCs w:val="18"/>
              </w:rPr>
            </w:pPr>
            <w:r>
              <w:rPr>
                <w:rFonts w:ascii="Times New Roman" w:hint="eastAsia"/>
                <w:sz w:val="18"/>
                <w:szCs w:val="18"/>
              </w:rPr>
              <w:t>环保措施</w:t>
            </w:r>
          </w:p>
        </w:tc>
        <w:tc>
          <w:tcPr>
            <w:tcW w:w="851" w:type="pct"/>
            <w:vAlign w:val="center"/>
          </w:tcPr>
          <w:p w:rsidR="00EE4502" w:rsidRDefault="00FD45A3">
            <w:pPr>
              <w:pStyle w:val="2fd"/>
              <w:adjustRightInd/>
              <w:rPr>
                <w:rFonts w:ascii="Times New Roman"/>
                <w:sz w:val="18"/>
                <w:szCs w:val="18"/>
              </w:rPr>
            </w:pPr>
            <w:r>
              <w:rPr>
                <w:rFonts w:ascii="Times New Roman"/>
                <w:sz w:val="18"/>
                <w:szCs w:val="18"/>
              </w:rPr>
              <w:t>效果</w:t>
            </w:r>
          </w:p>
        </w:tc>
        <w:tc>
          <w:tcPr>
            <w:tcW w:w="1393" w:type="pct"/>
            <w:vAlign w:val="center"/>
          </w:tcPr>
          <w:p w:rsidR="00EE4502" w:rsidRDefault="00FD45A3">
            <w:pPr>
              <w:pStyle w:val="2fd"/>
              <w:adjustRightInd/>
              <w:rPr>
                <w:rFonts w:ascii="Times New Roman"/>
                <w:sz w:val="18"/>
                <w:szCs w:val="18"/>
              </w:rPr>
            </w:pPr>
            <w:r>
              <w:rPr>
                <w:rFonts w:ascii="Times New Roman" w:hint="eastAsia"/>
                <w:sz w:val="18"/>
                <w:szCs w:val="18"/>
              </w:rPr>
              <w:t>验收标准</w:t>
            </w:r>
          </w:p>
        </w:tc>
      </w:tr>
      <w:tr w:rsidR="00EE4502">
        <w:trPr>
          <w:cantSplit/>
          <w:trHeight w:val="340"/>
        </w:trPr>
        <w:tc>
          <w:tcPr>
            <w:tcW w:w="5000" w:type="pct"/>
            <w:gridSpan w:val="5"/>
            <w:vAlign w:val="center"/>
          </w:tcPr>
          <w:p w:rsidR="00EE4502" w:rsidRDefault="00FD45A3">
            <w:pPr>
              <w:jc w:val="center"/>
              <w:rPr>
                <w:sz w:val="18"/>
                <w:szCs w:val="18"/>
              </w:rPr>
            </w:pPr>
            <w:r>
              <w:rPr>
                <w:rFonts w:hint="eastAsia"/>
                <w:sz w:val="18"/>
                <w:szCs w:val="18"/>
              </w:rPr>
              <w:t>施工期</w:t>
            </w:r>
          </w:p>
        </w:tc>
      </w:tr>
      <w:tr w:rsidR="00EE4502">
        <w:trPr>
          <w:cantSplit/>
          <w:trHeight w:val="340"/>
        </w:trPr>
        <w:tc>
          <w:tcPr>
            <w:tcW w:w="350" w:type="pct"/>
            <w:vMerge w:val="restart"/>
            <w:vAlign w:val="center"/>
          </w:tcPr>
          <w:p w:rsidR="00EE4502" w:rsidRDefault="00FD45A3">
            <w:pPr>
              <w:pStyle w:val="2fd"/>
              <w:adjustRightInd/>
              <w:rPr>
                <w:rFonts w:ascii="Times New Roman"/>
                <w:sz w:val="18"/>
                <w:szCs w:val="18"/>
              </w:rPr>
            </w:pPr>
            <w:r>
              <w:rPr>
                <w:rFonts w:ascii="Times New Roman"/>
                <w:sz w:val="18"/>
                <w:szCs w:val="18"/>
              </w:rPr>
              <w:t>废气</w:t>
            </w:r>
          </w:p>
        </w:tc>
        <w:tc>
          <w:tcPr>
            <w:tcW w:w="663" w:type="pct"/>
            <w:vAlign w:val="center"/>
          </w:tcPr>
          <w:p w:rsidR="00EE4502" w:rsidRDefault="00FD45A3">
            <w:pPr>
              <w:pStyle w:val="2fd"/>
              <w:adjustRightInd/>
              <w:rPr>
                <w:rFonts w:ascii="Times New Roman"/>
                <w:sz w:val="18"/>
                <w:szCs w:val="18"/>
              </w:rPr>
            </w:pPr>
            <w:r>
              <w:rPr>
                <w:rFonts w:ascii="Times New Roman" w:hint="eastAsia"/>
                <w:sz w:val="18"/>
                <w:szCs w:val="18"/>
              </w:rPr>
              <w:t>施工扬尘</w:t>
            </w:r>
          </w:p>
        </w:tc>
        <w:tc>
          <w:tcPr>
            <w:tcW w:w="1742" w:type="pct"/>
            <w:vAlign w:val="center"/>
          </w:tcPr>
          <w:p w:rsidR="00EE4502" w:rsidRDefault="00FD45A3">
            <w:pPr>
              <w:pStyle w:val="2fd"/>
              <w:adjustRightInd/>
              <w:rPr>
                <w:rFonts w:ascii="Times New Roman"/>
                <w:sz w:val="18"/>
                <w:szCs w:val="18"/>
              </w:rPr>
            </w:pPr>
            <w:r>
              <w:rPr>
                <w:rFonts w:ascii="Times New Roman" w:hint="eastAsia"/>
                <w:sz w:val="18"/>
                <w:szCs w:val="18"/>
              </w:rPr>
              <w:t>洒水抑尘、车辆减速慢行、物料苫盖</w:t>
            </w:r>
          </w:p>
        </w:tc>
        <w:tc>
          <w:tcPr>
            <w:tcW w:w="851" w:type="pct"/>
            <w:vAlign w:val="center"/>
          </w:tcPr>
          <w:p w:rsidR="00EE4502" w:rsidRDefault="00FD45A3">
            <w:pPr>
              <w:pStyle w:val="2fd"/>
              <w:adjustRightInd/>
              <w:rPr>
                <w:rFonts w:ascii="Times New Roman"/>
                <w:sz w:val="18"/>
                <w:szCs w:val="18"/>
              </w:rPr>
            </w:pPr>
            <w:r>
              <w:rPr>
                <w:rFonts w:ascii="Times New Roman" w:hint="eastAsia"/>
                <w:sz w:val="18"/>
                <w:szCs w:val="18"/>
              </w:rPr>
              <w:t>--</w:t>
            </w:r>
          </w:p>
        </w:tc>
        <w:tc>
          <w:tcPr>
            <w:tcW w:w="1393" w:type="pct"/>
            <w:vAlign w:val="center"/>
          </w:tcPr>
          <w:p w:rsidR="00EE4502" w:rsidRDefault="00FD45A3">
            <w:pPr>
              <w:jc w:val="center"/>
              <w:rPr>
                <w:sz w:val="18"/>
                <w:szCs w:val="18"/>
              </w:rPr>
            </w:pPr>
            <w:r>
              <w:rPr>
                <w:rFonts w:hint="eastAsia"/>
                <w:sz w:val="18"/>
                <w:szCs w:val="18"/>
              </w:rPr>
              <w:t>--</w:t>
            </w:r>
          </w:p>
        </w:tc>
      </w:tr>
      <w:tr w:rsidR="00EE4502">
        <w:trPr>
          <w:cantSplit/>
          <w:trHeight w:val="340"/>
        </w:trPr>
        <w:tc>
          <w:tcPr>
            <w:tcW w:w="350" w:type="pct"/>
            <w:vMerge/>
            <w:vAlign w:val="center"/>
          </w:tcPr>
          <w:p w:rsidR="00EE4502" w:rsidRDefault="00EE4502">
            <w:pPr>
              <w:pStyle w:val="2fd"/>
              <w:adjustRightInd/>
              <w:rPr>
                <w:rFonts w:ascii="Times New Roman"/>
                <w:sz w:val="18"/>
                <w:szCs w:val="18"/>
              </w:rPr>
            </w:pPr>
          </w:p>
        </w:tc>
        <w:tc>
          <w:tcPr>
            <w:tcW w:w="663" w:type="pct"/>
            <w:vAlign w:val="center"/>
          </w:tcPr>
          <w:p w:rsidR="00EE4502" w:rsidRDefault="00FD45A3">
            <w:pPr>
              <w:pStyle w:val="2fd"/>
              <w:adjustRightInd/>
              <w:rPr>
                <w:rFonts w:ascii="Times New Roman"/>
                <w:sz w:val="18"/>
                <w:szCs w:val="18"/>
              </w:rPr>
            </w:pPr>
            <w:r>
              <w:rPr>
                <w:rFonts w:ascii="Times New Roman" w:hint="eastAsia"/>
                <w:sz w:val="18"/>
                <w:szCs w:val="18"/>
              </w:rPr>
              <w:t>钻井机械废气</w:t>
            </w:r>
          </w:p>
        </w:tc>
        <w:tc>
          <w:tcPr>
            <w:tcW w:w="1742" w:type="pct"/>
            <w:vAlign w:val="center"/>
          </w:tcPr>
          <w:p w:rsidR="00EE4502" w:rsidRDefault="00FD45A3">
            <w:pPr>
              <w:pStyle w:val="2fd"/>
              <w:adjustRightInd/>
              <w:rPr>
                <w:rFonts w:ascii="Times New Roman"/>
                <w:sz w:val="18"/>
                <w:szCs w:val="18"/>
              </w:rPr>
            </w:pPr>
            <w:r>
              <w:rPr>
                <w:rFonts w:ascii="Times New Roman" w:hint="eastAsia"/>
                <w:sz w:val="18"/>
                <w:szCs w:val="18"/>
              </w:rPr>
              <w:t>机械定期检修，燃烧合格油品，不超负荷运行</w:t>
            </w:r>
          </w:p>
        </w:tc>
        <w:tc>
          <w:tcPr>
            <w:tcW w:w="851" w:type="pct"/>
            <w:vAlign w:val="center"/>
          </w:tcPr>
          <w:p w:rsidR="00EE4502" w:rsidRDefault="00FD45A3">
            <w:pPr>
              <w:pStyle w:val="2fd"/>
              <w:adjustRightInd/>
              <w:rPr>
                <w:rFonts w:ascii="Times New Roman"/>
                <w:sz w:val="18"/>
                <w:szCs w:val="18"/>
              </w:rPr>
            </w:pPr>
            <w:r>
              <w:rPr>
                <w:rFonts w:ascii="Times New Roman" w:hint="eastAsia"/>
                <w:sz w:val="18"/>
                <w:szCs w:val="18"/>
              </w:rPr>
              <w:t>--</w:t>
            </w:r>
          </w:p>
        </w:tc>
        <w:tc>
          <w:tcPr>
            <w:tcW w:w="1393" w:type="pct"/>
            <w:vAlign w:val="center"/>
          </w:tcPr>
          <w:p w:rsidR="00EE4502" w:rsidRDefault="00FD45A3">
            <w:pPr>
              <w:jc w:val="center"/>
              <w:rPr>
                <w:sz w:val="18"/>
                <w:szCs w:val="18"/>
              </w:rPr>
            </w:pPr>
            <w:r>
              <w:rPr>
                <w:rFonts w:hint="eastAsia"/>
                <w:sz w:val="18"/>
                <w:szCs w:val="18"/>
              </w:rPr>
              <w:t>--</w:t>
            </w:r>
          </w:p>
        </w:tc>
      </w:tr>
      <w:tr w:rsidR="00EE4502">
        <w:trPr>
          <w:cantSplit/>
          <w:trHeight w:val="340"/>
        </w:trPr>
        <w:tc>
          <w:tcPr>
            <w:tcW w:w="350" w:type="pct"/>
            <w:vMerge w:val="restart"/>
            <w:vAlign w:val="center"/>
          </w:tcPr>
          <w:p w:rsidR="00EE4502" w:rsidRDefault="00FD45A3">
            <w:pPr>
              <w:pStyle w:val="2fd"/>
              <w:adjustRightInd/>
              <w:rPr>
                <w:rFonts w:ascii="Times New Roman"/>
                <w:sz w:val="18"/>
                <w:szCs w:val="18"/>
              </w:rPr>
            </w:pPr>
            <w:r>
              <w:rPr>
                <w:rFonts w:ascii="Times New Roman"/>
                <w:sz w:val="18"/>
                <w:szCs w:val="18"/>
              </w:rPr>
              <w:t>废水</w:t>
            </w:r>
          </w:p>
        </w:tc>
        <w:tc>
          <w:tcPr>
            <w:tcW w:w="663" w:type="pct"/>
            <w:vAlign w:val="center"/>
          </w:tcPr>
          <w:p w:rsidR="00EE4502" w:rsidRDefault="00FD45A3">
            <w:pPr>
              <w:pStyle w:val="Default"/>
              <w:adjustRightInd/>
              <w:jc w:val="center"/>
              <w:rPr>
                <w:rFonts w:ascii="Times New Roman"/>
                <w:color w:val="auto"/>
                <w:sz w:val="18"/>
                <w:szCs w:val="18"/>
              </w:rPr>
            </w:pPr>
            <w:r>
              <w:rPr>
                <w:rFonts w:ascii="Times New Roman"/>
                <w:color w:val="auto"/>
                <w:sz w:val="18"/>
                <w:szCs w:val="18"/>
              </w:rPr>
              <w:t>钻井废水</w:t>
            </w:r>
          </w:p>
        </w:tc>
        <w:tc>
          <w:tcPr>
            <w:tcW w:w="1742" w:type="pct"/>
            <w:vAlign w:val="center"/>
          </w:tcPr>
          <w:p w:rsidR="00EE4502" w:rsidRDefault="00FD45A3">
            <w:pPr>
              <w:jc w:val="center"/>
              <w:rPr>
                <w:sz w:val="18"/>
                <w:szCs w:val="18"/>
              </w:rPr>
            </w:pPr>
            <w:r>
              <w:rPr>
                <w:sz w:val="18"/>
                <w:szCs w:val="18"/>
              </w:rPr>
              <w:t>采用</w:t>
            </w:r>
            <w:r>
              <w:rPr>
                <w:sz w:val="18"/>
                <w:szCs w:val="18"/>
              </w:rPr>
              <w:t>“</w:t>
            </w:r>
            <w:r>
              <w:rPr>
                <w:sz w:val="18"/>
                <w:szCs w:val="18"/>
              </w:rPr>
              <w:t>钻井废弃物不落地达标处理技术</w:t>
            </w:r>
            <w:r>
              <w:rPr>
                <w:sz w:val="18"/>
                <w:szCs w:val="18"/>
              </w:rPr>
              <w:t>”</w:t>
            </w:r>
            <w:r>
              <w:rPr>
                <w:sz w:val="18"/>
                <w:szCs w:val="18"/>
              </w:rPr>
              <w:t>收集</w:t>
            </w:r>
          </w:p>
        </w:tc>
        <w:tc>
          <w:tcPr>
            <w:tcW w:w="851" w:type="pct"/>
            <w:vAlign w:val="center"/>
          </w:tcPr>
          <w:p w:rsidR="00EE4502" w:rsidRDefault="00FD45A3">
            <w:pPr>
              <w:jc w:val="center"/>
              <w:rPr>
                <w:sz w:val="18"/>
                <w:szCs w:val="18"/>
              </w:rPr>
            </w:pPr>
            <w:r>
              <w:rPr>
                <w:sz w:val="18"/>
                <w:szCs w:val="18"/>
              </w:rPr>
              <w:t>不外排</w:t>
            </w:r>
          </w:p>
        </w:tc>
        <w:tc>
          <w:tcPr>
            <w:tcW w:w="1393" w:type="pct"/>
            <w:vAlign w:val="center"/>
          </w:tcPr>
          <w:p w:rsidR="00EE4502" w:rsidRDefault="00FD45A3">
            <w:pPr>
              <w:jc w:val="center"/>
              <w:rPr>
                <w:sz w:val="18"/>
                <w:szCs w:val="18"/>
              </w:rPr>
            </w:pPr>
            <w:r>
              <w:rPr>
                <w:rFonts w:hint="eastAsia"/>
                <w:sz w:val="18"/>
                <w:szCs w:val="18"/>
              </w:rPr>
              <w:t>--</w:t>
            </w:r>
          </w:p>
        </w:tc>
      </w:tr>
      <w:tr w:rsidR="00EE4502">
        <w:trPr>
          <w:cantSplit/>
          <w:trHeight w:val="340"/>
        </w:trPr>
        <w:tc>
          <w:tcPr>
            <w:tcW w:w="350" w:type="pct"/>
            <w:vMerge/>
            <w:vAlign w:val="center"/>
          </w:tcPr>
          <w:p w:rsidR="00EE4502" w:rsidRDefault="00EE4502">
            <w:pPr>
              <w:pStyle w:val="2fd"/>
              <w:adjustRightInd/>
              <w:rPr>
                <w:rFonts w:ascii="Times New Roman"/>
                <w:sz w:val="18"/>
                <w:szCs w:val="18"/>
              </w:rPr>
            </w:pPr>
          </w:p>
        </w:tc>
        <w:tc>
          <w:tcPr>
            <w:tcW w:w="663" w:type="pct"/>
            <w:vAlign w:val="center"/>
          </w:tcPr>
          <w:p w:rsidR="00EE4502" w:rsidRDefault="00FD45A3">
            <w:pPr>
              <w:pStyle w:val="Default"/>
              <w:adjustRightInd/>
              <w:jc w:val="center"/>
              <w:rPr>
                <w:rFonts w:ascii="Times New Roman"/>
                <w:color w:val="auto"/>
                <w:sz w:val="18"/>
                <w:szCs w:val="18"/>
              </w:rPr>
            </w:pPr>
            <w:r>
              <w:rPr>
                <w:rFonts w:ascii="Times New Roman" w:hint="eastAsia"/>
                <w:color w:val="auto"/>
                <w:sz w:val="18"/>
                <w:szCs w:val="18"/>
              </w:rPr>
              <w:t>管道试压废水</w:t>
            </w:r>
          </w:p>
        </w:tc>
        <w:tc>
          <w:tcPr>
            <w:tcW w:w="1742" w:type="pct"/>
            <w:vAlign w:val="center"/>
          </w:tcPr>
          <w:p w:rsidR="00EE4502" w:rsidRDefault="00FD45A3">
            <w:pPr>
              <w:jc w:val="center"/>
              <w:rPr>
                <w:sz w:val="18"/>
                <w:szCs w:val="18"/>
              </w:rPr>
            </w:pPr>
            <w:r>
              <w:rPr>
                <w:rFonts w:hint="eastAsia"/>
                <w:sz w:val="18"/>
                <w:szCs w:val="18"/>
              </w:rPr>
              <w:t>循环使用，试压结束后用于洒水抑尘</w:t>
            </w:r>
          </w:p>
        </w:tc>
        <w:tc>
          <w:tcPr>
            <w:tcW w:w="851" w:type="pct"/>
            <w:vAlign w:val="center"/>
          </w:tcPr>
          <w:p w:rsidR="00EE4502" w:rsidRDefault="00EE4502">
            <w:pPr>
              <w:jc w:val="center"/>
              <w:rPr>
                <w:sz w:val="18"/>
                <w:szCs w:val="18"/>
              </w:rPr>
            </w:pPr>
          </w:p>
        </w:tc>
        <w:tc>
          <w:tcPr>
            <w:tcW w:w="1393" w:type="pct"/>
            <w:vAlign w:val="center"/>
          </w:tcPr>
          <w:p w:rsidR="00EE4502" w:rsidRDefault="00FD45A3">
            <w:pPr>
              <w:jc w:val="center"/>
              <w:rPr>
                <w:sz w:val="18"/>
                <w:szCs w:val="18"/>
              </w:rPr>
            </w:pPr>
            <w:r>
              <w:rPr>
                <w:rFonts w:hint="eastAsia"/>
                <w:sz w:val="18"/>
                <w:szCs w:val="18"/>
              </w:rPr>
              <w:t>--</w:t>
            </w:r>
          </w:p>
        </w:tc>
      </w:tr>
      <w:tr w:rsidR="00EE4502">
        <w:trPr>
          <w:cantSplit/>
          <w:trHeight w:val="340"/>
        </w:trPr>
        <w:tc>
          <w:tcPr>
            <w:tcW w:w="350" w:type="pct"/>
            <w:vMerge/>
            <w:vAlign w:val="center"/>
          </w:tcPr>
          <w:p w:rsidR="00EE4502" w:rsidRDefault="00EE4502">
            <w:pPr>
              <w:pStyle w:val="2fd"/>
              <w:adjustRightInd/>
              <w:rPr>
                <w:rFonts w:ascii="Times New Roman"/>
                <w:sz w:val="18"/>
                <w:szCs w:val="18"/>
              </w:rPr>
            </w:pPr>
          </w:p>
        </w:tc>
        <w:tc>
          <w:tcPr>
            <w:tcW w:w="663" w:type="pct"/>
            <w:vAlign w:val="center"/>
          </w:tcPr>
          <w:p w:rsidR="00EE4502" w:rsidRDefault="00FD45A3">
            <w:pPr>
              <w:pStyle w:val="Default"/>
              <w:adjustRightInd/>
              <w:jc w:val="center"/>
              <w:rPr>
                <w:rFonts w:ascii="Times New Roman"/>
                <w:color w:val="auto"/>
                <w:sz w:val="18"/>
                <w:szCs w:val="18"/>
              </w:rPr>
            </w:pPr>
            <w:r>
              <w:rPr>
                <w:rFonts w:ascii="Times New Roman" w:hint="eastAsia"/>
                <w:color w:val="auto"/>
                <w:sz w:val="18"/>
                <w:szCs w:val="18"/>
              </w:rPr>
              <w:t>施工生活污水</w:t>
            </w:r>
          </w:p>
        </w:tc>
        <w:tc>
          <w:tcPr>
            <w:tcW w:w="1742" w:type="pct"/>
            <w:vAlign w:val="center"/>
          </w:tcPr>
          <w:p w:rsidR="00EE4502" w:rsidRDefault="00FD45A3">
            <w:pPr>
              <w:jc w:val="center"/>
              <w:rPr>
                <w:sz w:val="18"/>
                <w:szCs w:val="18"/>
              </w:rPr>
            </w:pPr>
            <w:r>
              <w:rPr>
                <w:rFonts w:hint="eastAsia"/>
                <w:sz w:val="18"/>
                <w:szCs w:val="18"/>
              </w:rPr>
              <w:t>施工依托团部或连队，生活污水依托团部或连队现有排水设施</w:t>
            </w:r>
          </w:p>
        </w:tc>
        <w:tc>
          <w:tcPr>
            <w:tcW w:w="851" w:type="pct"/>
            <w:vAlign w:val="center"/>
          </w:tcPr>
          <w:p w:rsidR="00EE4502" w:rsidRDefault="00FD45A3">
            <w:pPr>
              <w:jc w:val="center"/>
              <w:rPr>
                <w:sz w:val="18"/>
                <w:szCs w:val="18"/>
              </w:rPr>
            </w:pPr>
            <w:r>
              <w:rPr>
                <w:sz w:val="18"/>
                <w:szCs w:val="18"/>
              </w:rPr>
              <w:t>不外排</w:t>
            </w:r>
          </w:p>
        </w:tc>
        <w:tc>
          <w:tcPr>
            <w:tcW w:w="1393" w:type="pct"/>
            <w:vAlign w:val="center"/>
          </w:tcPr>
          <w:p w:rsidR="00EE4502" w:rsidRDefault="00FD45A3">
            <w:pPr>
              <w:jc w:val="center"/>
              <w:rPr>
                <w:sz w:val="18"/>
                <w:szCs w:val="18"/>
              </w:rPr>
            </w:pPr>
            <w:r>
              <w:rPr>
                <w:rFonts w:hint="eastAsia"/>
                <w:sz w:val="18"/>
                <w:szCs w:val="18"/>
              </w:rPr>
              <w:t>--</w:t>
            </w:r>
          </w:p>
        </w:tc>
      </w:tr>
      <w:tr w:rsidR="00EE4502">
        <w:trPr>
          <w:cantSplit/>
          <w:trHeight w:val="340"/>
        </w:trPr>
        <w:tc>
          <w:tcPr>
            <w:tcW w:w="350" w:type="pct"/>
            <w:vMerge w:val="restart"/>
            <w:vAlign w:val="center"/>
          </w:tcPr>
          <w:p w:rsidR="00EE4502" w:rsidRDefault="00FD45A3">
            <w:pPr>
              <w:pStyle w:val="2fd"/>
              <w:adjustRightInd/>
              <w:rPr>
                <w:rFonts w:ascii="Times New Roman"/>
                <w:sz w:val="18"/>
                <w:szCs w:val="18"/>
              </w:rPr>
            </w:pPr>
            <w:r>
              <w:rPr>
                <w:rFonts w:ascii="Times New Roman" w:hint="eastAsia"/>
                <w:sz w:val="18"/>
                <w:szCs w:val="18"/>
              </w:rPr>
              <w:t>固体废物</w:t>
            </w:r>
          </w:p>
        </w:tc>
        <w:tc>
          <w:tcPr>
            <w:tcW w:w="663" w:type="pct"/>
            <w:vAlign w:val="center"/>
          </w:tcPr>
          <w:p w:rsidR="00EE4502" w:rsidRDefault="00FD45A3">
            <w:pPr>
              <w:jc w:val="center"/>
              <w:rPr>
                <w:sz w:val="18"/>
                <w:szCs w:val="18"/>
              </w:rPr>
            </w:pPr>
            <w:r>
              <w:rPr>
                <w:sz w:val="18"/>
                <w:szCs w:val="18"/>
              </w:rPr>
              <w:t>钻井泥浆、岩屑</w:t>
            </w:r>
          </w:p>
        </w:tc>
        <w:tc>
          <w:tcPr>
            <w:tcW w:w="1742" w:type="pct"/>
            <w:vAlign w:val="center"/>
          </w:tcPr>
          <w:p w:rsidR="00EE4502" w:rsidRDefault="00FD45A3">
            <w:pPr>
              <w:jc w:val="center"/>
              <w:rPr>
                <w:sz w:val="18"/>
                <w:szCs w:val="18"/>
              </w:rPr>
            </w:pPr>
            <w:r>
              <w:rPr>
                <w:bCs/>
                <w:sz w:val="18"/>
                <w:szCs w:val="18"/>
              </w:rPr>
              <w:t>采用泥浆不落地设备收集</w:t>
            </w:r>
          </w:p>
        </w:tc>
        <w:tc>
          <w:tcPr>
            <w:tcW w:w="851" w:type="pct"/>
            <w:vAlign w:val="center"/>
          </w:tcPr>
          <w:p w:rsidR="00EE4502" w:rsidRDefault="00FD45A3">
            <w:pPr>
              <w:jc w:val="center"/>
              <w:rPr>
                <w:sz w:val="18"/>
                <w:szCs w:val="18"/>
              </w:rPr>
            </w:pPr>
            <w:r>
              <w:rPr>
                <w:sz w:val="18"/>
                <w:szCs w:val="18"/>
              </w:rPr>
              <w:t>可妥善处置</w:t>
            </w:r>
          </w:p>
        </w:tc>
        <w:tc>
          <w:tcPr>
            <w:tcW w:w="1393" w:type="pct"/>
            <w:vAlign w:val="center"/>
          </w:tcPr>
          <w:p w:rsidR="00EE4502" w:rsidRDefault="00FD45A3">
            <w:pPr>
              <w:jc w:val="center"/>
              <w:rPr>
                <w:sz w:val="18"/>
                <w:szCs w:val="18"/>
              </w:rPr>
            </w:pPr>
            <w:r>
              <w:rPr>
                <w:sz w:val="18"/>
                <w:szCs w:val="18"/>
              </w:rPr>
              <w:t>满足《油气田钻井固体废物综合利用污染控制要求》综合利用要求</w:t>
            </w:r>
          </w:p>
        </w:tc>
      </w:tr>
      <w:tr w:rsidR="00EE4502">
        <w:trPr>
          <w:cantSplit/>
          <w:trHeight w:val="340"/>
        </w:trPr>
        <w:tc>
          <w:tcPr>
            <w:tcW w:w="350" w:type="pct"/>
            <w:vMerge/>
            <w:vAlign w:val="center"/>
          </w:tcPr>
          <w:p w:rsidR="00EE4502" w:rsidRDefault="00EE4502">
            <w:pPr>
              <w:pStyle w:val="2fd"/>
              <w:adjustRightInd/>
              <w:rPr>
                <w:rFonts w:ascii="Times New Roman"/>
                <w:sz w:val="18"/>
                <w:szCs w:val="18"/>
              </w:rPr>
            </w:pPr>
          </w:p>
        </w:tc>
        <w:tc>
          <w:tcPr>
            <w:tcW w:w="663" w:type="pct"/>
            <w:vAlign w:val="center"/>
          </w:tcPr>
          <w:p w:rsidR="00EE4502" w:rsidRDefault="00FD45A3">
            <w:pPr>
              <w:jc w:val="center"/>
              <w:rPr>
                <w:sz w:val="18"/>
                <w:szCs w:val="18"/>
              </w:rPr>
            </w:pPr>
            <w:r>
              <w:rPr>
                <w:sz w:val="18"/>
                <w:szCs w:val="18"/>
              </w:rPr>
              <w:t>焊接及吹扫废渣</w:t>
            </w:r>
            <w:r>
              <w:rPr>
                <w:rFonts w:hint="eastAsia"/>
                <w:sz w:val="18"/>
                <w:szCs w:val="18"/>
              </w:rPr>
              <w:t>、设备废弃包装</w:t>
            </w:r>
          </w:p>
        </w:tc>
        <w:tc>
          <w:tcPr>
            <w:tcW w:w="1742" w:type="pct"/>
            <w:vAlign w:val="center"/>
          </w:tcPr>
          <w:p w:rsidR="00EE4502" w:rsidRDefault="00FD45A3">
            <w:pPr>
              <w:jc w:val="center"/>
              <w:rPr>
                <w:sz w:val="18"/>
                <w:szCs w:val="18"/>
              </w:rPr>
            </w:pPr>
            <w:r>
              <w:rPr>
                <w:sz w:val="18"/>
                <w:szCs w:val="18"/>
              </w:rPr>
              <w:t>拉运至</w:t>
            </w:r>
            <w:r>
              <w:rPr>
                <w:rFonts w:hint="eastAsia"/>
                <w:sz w:val="18"/>
                <w:szCs w:val="18"/>
              </w:rPr>
              <w:t>胡杨河经济技术开发区</w:t>
            </w:r>
            <w:r>
              <w:rPr>
                <w:sz w:val="18"/>
                <w:szCs w:val="18"/>
              </w:rPr>
              <w:t>一般固体废物填埋场</w:t>
            </w:r>
          </w:p>
        </w:tc>
        <w:tc>
          <w:tcPr>
            <w:tcW w:w="851" w:type="pct"/>
            <w:vAlign w:val="center"/>
          </w:tcPr>
          <w:p w:rsidR="00EE4502" w:rsidRDefault="00FD45A3">
            <w:pPr>
              <w:jc w:val="center"/>
              <w:rPr>
                <w:sz w:val="18"/>
                <w:szCs w:val="18"/>
              </w:rPr>
            </w:pPr>
            <w:r>
              <w:rPr>
                <w:sz w:val="18"/>
                <w:szCs w:val="18"/>
              </w:rPr>
              <w:t>可妥善处置</w:t>
            </w:r>
          </w:p>
        </w:tc>
        <w:tc>
          <w:tcPr>
            <w:tcW w:w="1393" w:type="pct"/>
            <w:vAlign w:val="center"/>
          </w:tcPr>
          <w:p w:rsidR="00EE4502" w:rsidRDefault="00FD45A3">
            <w:pPr>
              <w:jc w:val="center"/>
              <w:rPr>
                <w:sz w:val="18"/>
                <w:szCs w:val="18"/>
              </w:rPr>
            </w:pPr>
            <w:r>
              <w:rPr>
                <w:rFonts w:hint="eastAsia"/>
                <w:sz w:val="18"/>
                <w:szCs w:val="18"/>
              </w:rPr>
              <w:t>--</w:t>
            </w:r>
          </w:p>
        </w:tc>
      </w:tr>
      <w:tr w:rsidR="00EE4502">
        <w:trPr>
          <w:cantSplit/>
          <w:trHeight w:val="340"/>
        </w:trPr>
        <w:tc>
          <w:tcPr>
            <w:tcW w:w="350" w:type="pct"/>
            <w:vMerge/>
            <w:vAlign w:val="center"/>
          </w:tcPr>
          <w:p w:rsidR="00EE4502" w:rsidRDefault="00EE4502">
            <w:pPr>
              <w:pStyle w:val="2fd"/>
              <w:adjustRightInd/>
              <w:rPr>
                <w:rFonts w:ascii="Times New Roman"/>
                <w:sz w:val="18"/>
                <w:szCs w:val="18"/>
              </w:rPr>
            </w:pPr>
          </w:p>
        </w:tc>
        <w:tc>
          <w:tcPr>
            <w:tcW w:w="663" w:type="pct"/>
            <w:vAlign w:val="center"/>
          </w:tcPr>
          <w:p w:rsidR="00EE4502" w:rsidRDefault="00FD45A3">
            <w:pPr>
              <w:jc w:val="center"/>
              <w:rPr>
                <w:sz w:val="18"/>
                <w:szCs w:val="18"/>
              </w:rPr>
            </w:pPr>
            <w:r>
              <w:rPr>
                <w:sz w:val="18"/>
                <w:szCs w:val="18"/>
              </w:rPr>
              <w:t>废机油</w:t>
            </w:r>
            <w:r>
              <w:rPr>
                <w:rFonts w:hint="eastAsia"/>
                <w:sz w:val="18"/>
                <w:szCs w:val="18"/>
              </w:rPr>
              <w:t>、</w:t>
            </w:r>
            <w:r>
              <w:rPr>
                <w:sz w:val="18"/>
                <w:szCs w:val="18"/>
              </w:rPr>
              <w:t>废防渗布、废烧碱包装袋</w:t>
            </w:r>
          </w:p>
        </w:tc>
        <w:tc>
          <w:tcPr>
            <w:tcW w:w="1742" w:type="pct"/>
            <w:vAlign w:val="center"/>
          </w:tcPr>
          <w:p w:rsidR="00EE4502" w:rsidRDefault="00FD45A3">
            <w:pPr>
              <w:jc w:val="center"/>
              <w:rPr>
                <w:sz w:val="18"/>
                <w:szCs w:val="18"/>
              </w:rPr>
            </w:pPr>
            <w:r>
              <w:rPr>
                <w:sz w:val="18"/>
                <w:szCs w:val="18"/>
              </w:rPr>
              <w:t>委托有资质的单位处置</w:t>
            </w:r>
          </w:p>
        </w:tc>
        <w:tc>
          <w:tcPr>
            <w:tcW w:w="851" w:type="pct"/>
            <w:vAlign w:val="center"/>
          </w:tcPr>
          <w:p w:rsidR="00EE4502" w:rsidRDefault="00FD45A3">
            <w:pPr>
              <w:jc w:val="center"/>
              <w:rPr>
                <w:sz w:val="18"/>
                <w:szCs w:val="18"/>
              </w:rPr>
            </w:pPr>
            <w:r>
              <w:rPr>
                <w:sz w:val="18"/>
                <w:szCs w:val="18"/>
              </w:rPr>
              <w:t>可妥善处置</w:t>
            </w:r>
          </w:p>
        </w:tc>
        <w:tc>
          <w:tcPr>
            <w:tcW w:w="1393" w:type="pct"/>
            <w:vAlign w:val="center"/>
          </w:tcPr>
          <w:p w:rsidR="00EE4502" w:rsidRDefault="00FD45A3">
            <w:pPr>
              <w:jc w:val="center"/>
              <w:rPr>
                <w:sz w:val="18"/>
                <w:szCs w:val="18"/>
              </w:rPr>
            </w:pPr>
            <w:r>
              <w:rPr>
                <w:rFonts w:hint="eastAsia"/>
                <w:sz w:val="18"/>
                <w:szCs w:val="18"/>
              </w:rPr>
              <w:t>--</w:t>
            </w:r>
          </w:p>
        </w:tc>
      </w:tr>
      <w:tr w:rsidR="00EE4502">
        <w:trPr>
          <w:cantSplit/>
          <w:trHeight w:val="340"/>
        </w:trPr>
        <w:tc>
          <w:tcPr>
            <w:tcW w:w="350" w:type="pct"/>
            <w:vAlign w:val="center"/>
          </w:tcPr>
          <w:p w:rsidR="00EE4502" w:rsidRDefault="00FD45A3">
            <w:pPr>
              <w:pStyle w:val="2fd"/>
              <w:adjustRightInd/>
              <w:rPr>
                <w:rFonts w:ascii="Times New Roman"/>
                <w:sz w:val="18"/>
                <w:szCs w:val="18"/>
              </w:rPr>
            </w:pPr>
            <w:r>
              <w:rPr>
                <w:rFonts w:ascii="Times New Roman" w:hint="eastAsia"/>
                <w:sz w:val="18"/>
                <w:szCs w:val="18"/>
              </w:rPr>
              <w:t>噪声</w:t>
            </w:r>
          </w:p>
        </w:tc>
        <w:tc>
          <w:tcPr>
            <w:tcW w:w="663" w:type="pct"/>
            <w:vAlign w:val="center"/>
          </w:tcPr>
          <w:p w:rsidR="00EE4502" w:rsidRDefault="00FD45A3">
            <w:pPr>
              <w:jc w:val="center"/>
              <w:rPr>
                <w:sz w:val="18"/>
                <w:szCs w:val="18"/>
              </w:rPr>
            </w:pPr>
            <w:r>
              <w:rPr>
                <w:rFonts w:hint="eastAsia"/>
                <w:sz w:val="18"/>
                <w:szCs w:val="18"/>
              </w:rPr>
              <w:t>钻机、运输车辆等</w:t>
            </w:r>
          </w:p>
        </w:tc>
        <w:tc>
          <w:tcPr>
            <w:tcW w:w="1742" w:type="pct"/>
            <w:vAlign w:val="center"/>
          </w:tcPr>
          <w:p w:rsidR="00EE4502" w:rsidRDefault="00FD45A3">
            <w:pPr>
              <w:jc w:val="center"/>
              <w:rPr>
                <w:sz w:val="18"/>
                <w:szCs w:val="18"/>
              </w:rPr>
            </w:pPr>
            <w:r>
              <w:rPr>
                <w:rFonts w:hint="eastAsia"/>
                <w:sz w:val="18"/>
                <w:szCs w:val="18"/>
              </w:rPr>
              <w:t>选用低噪声设备、合理安排施工作业时间</w:t>
            </w:r>
          </w:p>
        </w:tc>
        <w:tc>
          <w:tcPr>
            <w:tcW w:w="851" w:type="pct"/>
            <w:vAlign w:val="center"/>
          </w:tcPr>
          <w:p w:rsidR="00EE4502" w:rsidRDefault="00FD45A3">
            <w:pPr>
              <w:jc w:val="center"/>
              <w:rPr>
                <w:sz w:val="18"/>
                <w:szCs w:val="18"/>
              </w:rPr>
            </w:pPr>
            <w:r>
              <w:rPr>
                <w:rFonts w:hint="eastAsia"/>
                <w:sz w:val="18"/>
                <w:szCs w:val="18"/>
              </w:rPr>
              <w:t>不得发生扰民现象</w:t>
            </w:r>
          </w:p>
        </w:tc>
        <w:tc>
          <w:tcPr>
            <w:tcW w:w="1393" w:type="pct"/>
            <w:vAlign w:val="center"/>
          </w:tcPr>
          <w:p w:rsidR="00EE4502" w:rsidRDefault="00FD45A3">
            <w:pPr>
              <w:jc w:val="center"/>
              <w:rPr>
                <w:sz w:val="18"/>
                <w:szCs w:val="18"/>
              </w:rPr>
            </w:pPr>
            <w:r>
              <w:rPr>
                <w:rFonts w:hint="eastAsia"/>
                <w:sz w:val="18"/>
                <w:szCs w:val="18"/>
              </w:rPr>
              <w:t>厂界满足《工业企业厂界环境噪声排放标准》（</w:t>
            </w:r>
            <w:r>
              <w:rPr>
                <w:rFonts w:hint="eastAsia"/>
                <w:sz w:val="18"/>
                <w:szCs w:val="18"/>
              </w:rPr>
              <w:t>GB12348-2008</w:t>
            </w:r>
            <w:r>
              <w:rPr>
                <w:rFonts w:hint="eastAsia"/>
                <w:sz w:val="18"/>
                <w:szCs w:val="18"/>
              </w:rPr>
              <w:t>）中</w:t>
            </w:r>
            <w:r>
              <w:rPr>
                <w:rFonts w:hint="eastAsia"/>
                <w:sz w:val="18"/>
                <w:szCs w:val="18"/>
              </w:rPr>
              <w:t>2</w:t>
            </w:r>
            <w:r>
              <w:rPr>
                <w:rFonts w:hint="eastAsia"/>
                <w:sz w:val="18"/>
                <w:szCs w:val="18"/>
              </w:rPr>
              <w:t>类标准</w:t>
            </w:r>
          </w:p>
        </w:tc>
      </w:tr>
      <w:tr w:rsidR="00EE4502">
        <w:trPr>
          <w:cantSplit/>
          <w:trHeight w:val="340"/>
        </w:trPr>
        <w:tc>
          <w:tcPr>
            <w:tcW w:w="350" w:type="pct"/>
            <w:vAlign w:val="center"/>
          </w:tcPr>
          <w:p w:rsidR="00EE4502" w:rsidRDefault="00FD45A3">
            <w:pPr>
              <w:pStyle w:val="2fd"/>
              <w:adjustRightInd/>
              <w:rPr>
                <w:rFonts w:ascii="Times New Roman"/>
                <w:sz w:val="18"/>
                <w:szCs w:val="18"/>
              </w:rPr>
            </w:pPr>
            <w:r>
              <w:rPr>
                <w:rFonts w:ascii="Times New Roman" w:hint="eastAsia"/>
                <w:sz w:val="18"/>
                <w:szCs w:val="18"/>
              </w:rPr>
              <w:t>生态</w:t>
            </w:r>
          </w:p>
        </w:tc>
        <w:tc>
          <w:tcPr>
            <w:tcW w:w="663" w:type="pct"/>
            <w:vAlign w:val="center"/>
          </w:tcPr>
          <w:p w:rsidR="00EE4502" w:rsidRDefault="00FD45A3">
            <w:pPr>
              <w:jc w:val="center"/>
              <w:rPr>
                <w:sz w:val="18"/>
                <w:szCs w:val="18"/>
              </w:rPr>
            </w:pPr>
            <w:r>
              <w:rPr>
                <w:sz w:val="18"/>
                <w:szCs w:val="18"/>
              </w:rPr>
              <w:t>生态恢复</w:t>
            </w:r>
          </w:p>
        </w:tc>
        <w:tc>
          <w:tcPr>
            <w:tcW w:w="1742" w:type="pct"/>
            <w:vAlign w:val="center"/>
          </w:tcPr>
          <w:p w:rsidR="00EE4502" w:rsidRDefault="00FD45A3">
            <w:pPr>
              <w:jc w:val="center"/>
              <w:rPr>
                <w:sz w:val="18"/>
                <w:szCs w:val="18"/>
              </w:rPr>
            </w:pPr>
            <w:r>
              <w:rPr>
                <w:sz w:val="18"/>
                <w:szCs w:val="18"/>
              </w:rPr>
              <w:t>严格控制作业带宽度，管道填埋所需土方利用管沟挖方，做到土方平衡；工程结束后，及时对临时占地区域进行平整、恢复，使占地造成的影响逐步得以恢复</w:t>
            </w:r>
          </w:p>
        </w:tc>
        <w:tc>
          <w:tcPr>
            <w:tcW w:w="851" w:type="pct"/>
            <w:vAlign w:val="center"/>
          </w:tcPr>
          <w:p w:rsidR="00EE4502" w:rsidRDefault="00FD45A3">
            <w:pPr>
              <w:jc w:val="center"/>
              <w:rPr>
                <w:sz w:val="18"/>
                <w:szCs w:val="18"/>
              </w:rPr>
            </w:pPr>
            <w:r>
              <w:rPr>
                <w:sz w:val="18"/>
                <w:szCs w:val="18"/>
              </w:rPr>
              <w:t>临时占地恢复到之前状态</w:t>
            </w:r>
          </w:p>
        </w:tc>
        <w:tc>
          <w:tcPr>
            <w:tcW w:w="1393" w:type="pct"/>
            <w:vAlign w:val="center"/>
          </w:tcPr>
          <w:p w:rsidR="00EE4502" w:rsidRDefault="00FD45A3">
            <w:pPr>
              <w:jc w:val="center"/>
              <w:rPr>
                <w:sz w:val="18"/>
                <w:szCs w:val="18"/>
              </w:rPr>
            </w:pPr>
            <w:r>
              <w:rPr>
                <w:rFonts w:hint="eastAsia"/>
                <w:sz w:val="18"/>
                <w:szCs w:val="18"/>
              </w:rPr>
              <w:t>落实生态恢复措施</w:t>
            </w:r>
          </w:p>
        </w:tc>
      </w:tr>
      <w:tr w:rsidR="00EE4502">
        <w:trPr>
          <w:cantSplit/>
          <w:trHeight w:val="340"/>
        </w:trPr>
        <w:tc>
          <w:tcPr>
            <w:tcW w:w="5000" w:type="pct"/>
            <w:gridSpan w:val="5"/>
            <w:vAlign w:val="center"/>
          </w:tcPr>
          <w:p w:rsidR="00EE4502" w:rsidRDefault="00FD45A3">
            <w:pPr>
              <w:jc w:val="center"/>
              <w:rPr>
                <w:sz w:val="18"/>
                <w:szCs w:val="18"/>
              </w:rPr>
            </w:pPr>
            <w:r>
              <w:rPr>
                <w:rFonts w:hint="eastAsia"/>
                <w:sz w:val="18"/>
                <w:szCs w:val="18"/>
              </w:rPr>
              <w:t>运营期</w:t>
            </w:r>
          </w:p>
        </w:tc>
      </w:tr>
      <w:tr w:rsidR="00EE4502">
        <w:trPr>
          <w:cantSplit/>
          <w:trHeight w:val="340"/>
        </w:trPr>
        <w:tc>
          <w:tcPr>
            <w:tcW w:w="350" w:type="pct"/>
            <w:vAlign w:val="center"/>
          </w:tcPr>
          <w:p w:rsidR="00EE4502" w:rsidRDefault="00FD45A3">
            <w:pPr>
              <w:pStyle w:val="2fd"/>
              <w:adjustRightInd/>
              <w:rPr>
                <w:rFonts w:ascii="Times New Roman"/>
                <w:sz w:val="18"/>
                <w:szCs w:val="18"/>
              </w:rPr>
            </w:pPr>
            <w:r>
              <w:rPr>
                <w:rFonts w:ascii="Times New Roman" w:hint="eastAsia"/>
                <w:sz w:val="18"/>
                <w:szCs w:val="18"/>
              </w:rPr>
              <w:t>废气</w:t>
            </w:r>
          </w:p>
        </w:tc>
        <w:tc>
          <w:tcPr>
            <w:tcW w:w="663" w:type="pct"/>
            <w:vAlign w:val="center"/>
          </w:tcPr>
          <w:p w:rsidR="00EE4502" w:rsidRDefault="00FD45A3">
            <w:pPr>
              <w:jc w:val="center"/>
              <w:rPr>
                <w:sz w:val="18"/>
                <w:szCs w:val="18"/>
              </w:rPr>
            </w:pPr>
            <w:r>
              <w:rPr>
                <w:sz w:val="18"/>
                <w:szCs w:val="18"/>
              </w:rPr>
              <w:t>无组织排放非甲烷总烃</w:t>
            </w:r>
          </w:p>
        </w:tc>
        <w:tc>
          <w:tcPr>
            <w:tcW w:w="1742" w:type="pct"/>
            <w:vAlign w:val="center"/>
          </w:tcPr>
          <w:p w:rsidR="00EE4502" w:rsidRDefault="00FD45A3">
            <w:pPr>
              <w:jc w:val="center"/>
              <w:rPr>
                <w:sz w:val="18"/>
                <w:szCs w:val="18"/>
              </w:rPr>
            </w:pPr>
            <w:r>
              <w:rPr>
                <w:rFonts w:hint="eastAsia"/>
                <w:sz w:val="18"/>
                <w:szCs w:val="18"/>
              </w:rPr>
              <w:t>加强密闭管道、阀门的检修和维护</w:t>
            </w:r>
          </w:p>
        </w:tc>
        <w:tc>
          <w:tcPr>
            <w:tcW w:w="851" w:type="pct"/>
            <w:vAlign w:val="center"/>
          </w:tcPr>
          <w:p w:rsidR="00EE4502" w:rsidRDefault="00FD45A3">
            <w:pPr>
              <w:jc w:val="center"/>
              <w:rPr>
                <w:sz w:val="18"/>
                <w:szCs w:val="18"/>
              </w:rPr>
            </w:pPr>
            <w:r>
              <w:rPr>
                <w:rFonts w:hint="eastAsia"/>
                <w:sz w:val="18"/>
                <w:szCs w:val="18"/>
              </w:rPr>
              <w:t>厂界</w:t>
            </w:r>
            <w:r>
              <w:rPr>
                <w:sz w:val="18"/>
                <w:szCs w:val="18"/>
              </w:rPr>
              <w:t>非甲烷总烃</w:t>
            </w:r>
            <w:r>
              <w:rPr>
                <w:rFonts w:hint="eastAsia"/>
                <w:sz w:val="18"/>
                <w:szCs w:val="18"/>
              </w:rPr>
              <w:t>≤</w:t>
            </w:r>
            <w:r>
              <w:rPr>
                <w:rFonts w:hint="eastAsia"/>
                <w:sz w:val="18"/>
                <w:szCs w:val="18"/>
              </w:rPr>
              <w:t>4.0mg/m</w:t>
            </w:r>
            <w:r>
              <w:rPr>
                <w:rFonts w:hint="eastAsia"/>
                <w:sz w:val="18"/>
                <w:szCs w:val="18"/>
                <w:vertAlign w:val="superscript"/>
              </w:rPr>
              <w:t>3</w:t>
            </w:r>
          </w:p>
        </w:tc>
        <w:tc>
          <w:tcPr>
            <w:tcW w:w="1393" w:type="pct"/>
            <w:vAlign w:val="center"/>
          </w:tcPr>
          <w:p w:rsidR="00EE4502" w:rsidRDefault="00FD45A3">
            <w:pPr>
              <w:jc w:val="center"/>
              <w:rPr>
                <w:sz w:val="18"/>
                <w:szCs w:val="18"/>
              </w:rPr>
            </w:pPr>
            <w:r>
              <w:rPr>
                <w:sz w:val="18"/>
                <w:szCs w:val="18"/>
              </w:rPr>
              <w:t>《陆上石油天然气开采工业大气污染物排放标准》（</w:t>
            </w:r>
            <w:r>
              <w:rPr>
                <w:sz w:val="18"/>
                <w:szCs w:val="18"/>
              </w:rPr>
              <w:t>GB39728-2020</w:t>
            </w:r>
            <w:r>
              <w:rPr>
                <w:sz w:val="18"/>
                <w:szCs w:val="18"/>
              </w:rPr>
              <w:t>）企业边界污染物控制要求</w:t>
            </w:r>
          </w:p>
        </w:tc>
      </w:tr>
      <w:tr w:rsidR="00EE4502">
        <w:trPr>
          <w:cantSplit/>
          <w:trHeight w:val="340"/>
        </w:trPr>
        <w:tc>
          <w:tcPr>
            <w:tcW w:w="350" w:type="pct"/>
            <w:vMerge w:val="restart"/>
            <w:vAlign w:val="center"/>
          </w:tcPr>
          <w:p w:rsidR="00EE4502" w:rsidRDefault="00FD45A3">
            <w:pPr>
              <w:jc w:val="center"/>
              <w:rPr>
                <w:sz w:val="18"/>
                <w:szCs w:val="18"/>
              </w:rPr>
            </w:pPr>
            <w:r>
              <w:rPr>
                <w:sz w:val="18"/>
                <w:szCs w:val="18"/>
              </w:rPr>
              <w:t>废水</w:t>
            </w:r>
          </w:p>
        </w:tc>
        <w:tc>
          <w:tcPr>
            <w:tcW w:w="663" w:type="pct"/>
            <w:vAlign w:val="center"/>
          </w:tcPr>
          <w:p w:rsidR="00EE4502" w:rsidRDefault="00FD45A3">
            <w:pPr>
              <w:pStyle w:val="Default"/>
              <w:adjustRightInd/>
              <w:jc w:val="center"/>
              <w:rPr>
                <w:rFonts w:ascii="Times New Roman"/>
                <w:color w:val="auto"/>
                <w:sz w:val="18"/>
                <w:szCs w:val="18"/>
              </w:rPr>
            </w:pPr>
            <w:r>
              <w:rPr>
                <w:rFonts w:ascii="Times New Roman"/>
                <w:color w:val="auto"/>
                <w:sz w:val="18"/>
                <w:szCs w:val="18"/>
              </w:rPr>
              <w:t>采出水</w:t>
            </w:r>
          </w:p>
        </w:tc>
        <w:tc>
          <w:tcPr>
            <w:tcW w:w="1742" w:type="pct"/>
            <w:vMerge w:val="restart"/>
            <w:vAlign w:val="center"/>
          </w:tcPr>
          <w:p w:rsidR="00EE4502" w:rsidRDefault="00FD45A3">
            <w:pPr>
              <w:jc w:val="center"/>
              <w:rPr>
                <w:sz w:val="18"/>
                <w:szCs w:val="18"/>
              </w:rPr>
            </w:pPr>
            <w:r>
              <w:rPr>
                <w:sz w:val="18"/>
                <w:szCs w:val="18"/>
              </w:rPr>
              <w:t>进联合站污水处理系统进行处理</w:t>
            </w:r>
          </w:p>
        </w:tc>
        <w:tc>
          <w:tcPr>
            <w:tcW w:w="851" w:type="pct"/>
            <w:vAlign w:val="center"/>
          </w:tcPr>
          <w:p w:rsidR="00EE4502" w:rsidRDefault="00FD45A3">
            <w:pPr>
              <w:jc w:val="center"/>
              <w:rPr>
                <w:sz w:val="18"/>
                <w:szCs w:val="18"/>
              </w:rPr>
            </w:pPr>
            <w:r>
              <w:rPr>
                <w:sz w:val="18"/>
                <w:szCs w:val="18"/>
              </w:rPr>
              <w:t>不外排</w:t>
            </w:r>
          </w:p>
        </w:tc>
        <w:tc>
          <w:tcPr>
            <w:tcW w:w="1393" w:type="pct"/>
            <w:vAlign w:val="center"/>
          </w:tcPr>
          <w:p w:rsidR="00EE4502" w:rsidRDefault="00FD45A3">
            <w:pPr>
              <w:jc w:val="center"/>
              <w:rPr>
                <w:sz w:val="18"/>
                <w:szCs w:val="18"/>
              </w:rPr>
            </w:pPr>
            <w:r>
              <w:rPr>
                <w:rFonts w:hint="eastAsia"/>
                <w:sz w:val="18"/>
                <w:szCs w:val="18"/>
              </w:rPr>
              <w:t>--</w:t>
            </w:r>
          </w:p>
        </w:tc>
      </w:tr>
      <w:tr w:rsidR="00EE4502">
        <w:trPr>
          <w:cantSplit/>
          <w:trHeight w:val="340"/>
        </w:trPr>
        <w:tc>
          <w:tcPr>
            <w:tcW w:w="350" w:type="pct"/>
            <w:vMerge/>
            <w:vAlign w:val="center"/>
          </w:tcPr>
          <w:p w:rsidR="00EE4502" w:rsidRDefault="00EE4502">
            <w:pPr>
              <w:jc w:val="center"/>
              <w:rPr>
                <w:sz w:val="18"/>
                <w:szCs w:val="18"/>
              </w:rPr>
            </w:pPr>
          </w:p>
        </w:tc>
        <w:tc>
          <w:tcPr>
            <w:tcW w:w="663" w:type="pct"/>
            <w:vAlign w:val="center"/>
          </w:tcPr>
          <w:p w:rsidR="00EE4502" w:rsidRDefault="00FD45A3">
            <w:pPr>
              <w:pStyle w:val="Default"/>
              <w:adjustRightInd/>
              <w:jc w:val="center"/>
              <w:rPr>
                <w:rFonts w:ascii="Times New Roman"/>
                <w:color w:val="auto"/>
                <w:sz w:val="18"/>
                <w:szCs w:val="18"/>
              </w:rPr>
            </w:pPr>
            <w:r>
              <w:rPr>
                <w:rFonts w:ascii="Times New Roman"/>
                <w:color w:val="auto"/>
                <w:sz w:val="18"/>
                <w:szCs w:val="18"/>
              </w:rPr>
              <w:t>井下作业废水</w:t>
            </w:r>
          </w:p>
        </w:tc>
        <w:tc>
          <w:tcPr>
            <w:tcW w:w="1742" w:type="pct"/>
            <w:vMerge/>
            <w:vAlign w:val="center"/>
          </w:tcPr>
          <w:p w:rsidR="00EE4502" w:rsidRDefault="00EE4502">
            <w:pPr>
              <w:jc w:val="center"/>
              <w:rPr>
                <w:sz w:val="18"/>
                <w:szCs w:val="18"/>
              </w:rPr>
            </w:pPr>
          </w:p>
        </w:tc>
        <w:tc>
          <w:tcPr>
            <w:tcW w:w="851" w:type="pct"/>
            <w:vAlign w:val="center"/>
          </w:tcPr>
          <w:p w:rsidR="00EE4502" w:rsidRDefault="00FD45A3">
            <w:pPr>
              <w:jc w:val="center"/>
              <w:rPr>
                <w:sz w:val="18"/>
                <w:szCs w:val="18"/>
              </w:rPr>
            </w:pPr>
            <w:r>
              <w:rPr>
                <w:sz w:val="18"/>
                <w:szCs w:val="18"/>
              </w:rPr>
              <w:t>不外排</w:t>
            </w:r>
          </w:p>
        </w:tc>
        <w:tc>
          <w:tcPr>
            <w:tcW w:w="1393" w:type="pct"/>
            <w:vAlign w:val="center"/>
          </w:tcPr>
          <w:p w:rsidR="00EE4502" w:rsidRDefault="00FD45A3">
            <w:pPr>
              <w:jc w:val="center"/>
              <w:rPr>
                <w:sz w:val="18"/>
                <w:szCs w:val="18"/>
              </w:rPr>
            </w:pPr>
            <w:r>
              <w:rPr>
                <w:rFonts w:hint="eastAsia"/>
                <w:sz w:val="18"/>
                <w:szCs w:val="18"/>
              </w:rPr>
              <w:t>--</w:t>
            </w:r>
          </w:p>
        </w:tc>
      </w:tr>
      <w:tr w:rsidR="00EE4502">
        <w:trPr>
          <w:cantSplit/>
          <w:trHeight w:val="340"/>
        </w:trPr>
        <w:tc>
          <w:tcPr>
            <w:tcW w:w="350" w:type="pct"/>
            <w:vMerge w:val="restart"/>
            <w:vAlign w:val="center"/>
          </w:tcPr>
          <w:p w:rsidR="00EE4502" w:rsidRDefault="00FD45A3">
            <w:pPr>
              <w:jc w:val="center"/>
              <w:rPr>
                <w:sz w:val="18"/>
                <w:szCs w:val="18"/>
              </w:rPr>
            </w:pPr>
            <w:r>
              <w:rPr>
                <w:sz w:val="18"/>
                <w:szCs w:val="18"/>
              </w:rPr>
              <w:t>固体废物</w:t>
            </w:r>
          </w:p>
        </w:tc>
        <w:tc>
          <w:tcPr>
            <w:tcW w:w="663" w:type="pct"/>
            <w:vAlign w:val="center"/>
          </w:tcPr>
          <w:p w:rsidR="00EE4502" w:rsidRDefault="00FD45A3">
            <w:pPr>
              <w:jc w:val="center"/>
              <w:rPr>
                <w:sz w:val="18"/>
                <w:szCs w:val="18"/>
              </w:rPr>
            </w:pPr>
            <w:r>
              <w:rPr>
                <w:sz w:val="18"/>
                <w:szCs w:val="18"/>
              </w:rPr>
              <w:t>落地油</w:t>
            </w:r>
          </w:p>
        </w:tc>
        <w:tc>
          <w:tcPr>
            <w:tcW w:w="1742" w:type="pct"/>
            <w:vMerge w:val="restart"/>
            <w:vAlign w:val="center"/>
          </w:tcPr>
          <w:p w:rsidR="00EE4502" w:rsidRDefault="00FD45A3">
            <w:pPr>
              <w:jc w:val="center"/>
              <w:rPr>
                <w:sz w:val="18"/>
                <w:szCs w:val="18"/>
              </w:rPr>
            </w:pPr>
            <w:r>
              <w:rPr>
                <w:bCs/>
                <w:sz w:val="18"/>
                <w:szCs w:val="18"/>
              </w:rPr>
              <w:t>交</w:t>
            </w:r>
            <w:r>
              <w:rPr>
                <w:sz w:val="18"/>
                <w:szCs w:val="18"/>
              </w:rPr>
              <w:t>由有资质单位进行收运处置</w:t>
            </w:r>
          </w:p>
        </w:tc>
        <w:tc>
          <w:tcPr>
            <w:tcW w:w="851" w:type="pct"/>
            <w:vMerge w:val="restart"/>
            <w:vAlign w:val="center"/>
          </w:tcPr>
          <w:p w:rsidR="00EE4502" w:rsidRDefault="00FD45A3">
            <w:pPr>
              <w:jc w:val="center"/>
              <w:rPr>
                <w:sz w:val="18"/>
                <w:szCs w:val="18"/>
              </w:rPr>
            </w:pPr>
            <w:r>
              <w:rPr>
                <w:rFonts w:hint="eastAsia"/>
                <w:sz w:val="18"/>
                <w:szCs w:val="18"/>
              </w:rPr>
              <w:t>妥善处置</w:t>
            </w:r>
          </w:p>
        </w:tc>
        <w:tc>
          <w:tcPr>
            <w:tcW w:w="1393" w:type="pct"/>
            <w:vMerge w:val="restart"/>
            <w:vAlign w:val="center"/>
          </w:tcPr>
          <w:p w:rsidR="00EE4502" w:rsidRDefault="00FD45A3">
            <w:pPr>
              <w:jc w:val="center"/>
              <w:rPr>
                <w:sz w:val="18"/>
                <w:szCs w:val="18"/>
              </w:rPr>
            </w:pPr>
            <w:r>
              <w:rPr>
                <w:sz w:val="18"/>
                <w:szCs w:val="18"/>
              </w:rPr>
              <w:t>《危险废物贮存污染控制标准》（</w:t>
            </w:r>
            <w:r>
              <w:rPr>
                <w:sz w:val="18"/>
                <w:szCs w:val="18"/>
              </w:rPr>
              <w:t>GB18597-2001</w:t>
            </w:r>
            <w:r>
              <w:rPr>
                <w:sz w:val="18"/>
                <w:szCs w:val="18"/>
              </w:rPr>
              <w:t>）及修改单、《危险废物转移管理办法》</w:t>
            </w:r>
          </w:p>
        </w:tc>
      </w:tr>
      <w:tr w:rsidR="00EE4502">
        <w:trPr>
          <w:cantSplit/>
          <w:trHeight w:val="340"/>
        </w:trPr>
        <w:tc>
          <w:tcPr>
            <w:tcW w:w="350" w:type="pct"/>
            <w:vMerge/>
            <w:vAlign w:val="center"/>
          </w:tcPr>
          <w:p w:rsidR="00EE4502" w:rsidRDefault="00EE4502">
            <w:pPr>
              <w:jc w:val="center"/>
              <w:rPr>
                <w:sz w:val="18"/>
                <w:szCs w:val="18"/>
              </w:rPr>
            </w:pPr>
          </w:p>
        </w:tc>
        <w:tc>
          <w:tcPr>
            <w:tcW w:w="663" w:type="pct"/>
            <w:vAlign w:val="center"/>
          </w:tcPr>
          <w:p w:rsidR="00EE4502" w:rsidRDefault="00FD45A3">
            <w:pPr>
              <w:jc w:val="center"/>
              <w:rPr>
                <w:sz w:val="18"/>
                <w:szCs w:val="18"/>
              </w:rPr>
            </w:pPr>
            <w:r>
              <w:rPr>
                <w:sz w:val="18"/>
                <w:szCs w:val="18"/>
              </w:rPr>
              <w:t>清管废渣</w:t>
            </w:r>
          </w:p>
        </w:tc>
        <w:tc>
          <w:tcPr>
            <w:tcW w:w="1742" w:type="pct"/>
            <w:vMerge/>
            <w:vAlign w:val="center"/>
          </w:tcPr>
          <w:p w:rsidR="00EE4502" w:rsidRDefault="00EE4502">
            <w:pPr>
              <w:jc w:val="center"/>
              <w:rPr>
                <w:sz w:val="18"/>
                <w:szCs w:val="18"/>
              </w:rPr>
            </w:pPr>
          </w:p>
        </w:tc>
        <w:tc>
          <w:tcPr>
            <w:tcW w:w="851" w:type="pct"/>
            <w:vMerge/>
            <w:vAlign w:val="center"/>
          </w:tcPr>
          <w:p w:rsidR="00EE4502" w:rsidRDefault="00EE4502">
            <w:pPr>
              <w:jc w:val="center"/>
              <w:rPr>
                <w:sz w:val="18"/>
                <w:szCs w:val="18"/>
              </w:rPr>
            </w:pPr>
          </w:p>
        </w:tc>
        <w:tc>
          <w:tcPr>
            <w:tcW w:w="1393" w:type="pct"/>
            <w:vMerge/>
            <w:vAlign w:val="center"/>
          </w:tcPr>
          <w:p w:rsidR="00EE4502" w:rsidRDefault="00EE4502">
            <w:pPr>
              <w:jc w:val="center"/>
              <w:rPr>
                <w:sz w:val="18"/>
                <w:szCs w:val="18"/>
              </w:rPr>
            </w:pPr>
          </w:p>
        </w:tc>
      </w:tr>
      <w:tr w:rsidR="00EE4502">
        <w:trPr>
          <w:cantSplit/>
          <w:trHeight w:val="340"/>
        </w:trPr>
        <w:tc>
          <w:tcPr>
            <w:tcW w:w="350" w:type="pct"/>
            <w:vMerge/>
            <w:vAlign w:val="center"/>
          </w:tcPr>
          <w:p w:rsidR="00EE4502" w:rsidRDefault="00EE4502">
            <w:pPr>
              <w:jc w:val="center"/>
              <w:rPr>
                <w:sz w:val="18"/>
                <w:szCs w:val="18"/>
              </w:rPr>
            </w:pPr>
          </w:p>
        </w:tc>
        <w:tc>
          <w:tcPr>
            <w:tcW w:w="663" w:type="pct"/>
            <w:vAlign w:val="center"/>
          </w:tcPr>
          <w:p w:rsidR="00EE4502" w:rsidRDefault="00FD45A3">
            <w:pPr>
              <w:jc w:val="center"/>
              <w:rPr>
                <w:sz w:val="18"/>
                <w:szCs w:val="18"/>
              </w:rPr>
            </w:pPr>
            <w:r>
              <w:rPr>
                <w:sz w:val="18"/>
                <w:szCs w:val="18"/>
              </w:rPr>
              <w:t>废防渗布</w:t>
            </w:r>
          </w:p>
        </w:tc>
        <w:tc>
          <w:tcPr>
            <w:tcW w:w="1742" w:type="pct"/>
            <w:vMerge/>
            <w:vAlign w:val="center"/>
          </w:tcPr>
          <w:p w:rsidR="00EE4502" w:rsidRDefault="00EE4502">
            <w:pPr>
              <w:jc w:val="center"/>
              <w:rPr>
                <w:bCs/>
                <w:sz w:val="18"/>
                <w:szCs w:val="18"/>
              </w:rPr>
            </w:pPr>
          </w:p>
        </w:tc>
        <w:tc>
          <w:tcPr>
            <w:tcW w:w="851" w:type="pct"/>
            <w:vMerge/>
            <w:vAlign w:val="center"/>
          </w:tcPr>
          <w:p w:rsidR="00EE4502" w:rsidRDefault="00EE4502">
            <w:pPr>
              <w:jc w:val="center"/>
              <w:rPr>
                <w:sz w:val="18"/>
                <w:szCs w:val="18"/>
              </w:rPr>
            </w:pPr>
          </w:p>
        </w:tc>
        <w:tc>
          <w:tcPr>
            <w:tcW w:w="1393" w:type="pct"/>
            <w:vMerge/>
            <w:vAlign w:val="center"/>
          </w:tcPr>
          <w:p w:rsidR="00EE4502" w:rsidRDefault="00EE4502">
            <w:pPr>
              <w:jc w:val="center"/>
              <w:rPr>
                <w:sz w:val="18"/>
                <w:szCs w:val="18"/>
              </w:rPr>
            </w:pPr>
          </w:p>
        </w:tc>
      </w:tr>
      <w:tr w:rsidR="00EE4502">
        <w:trPr>
          <w:cantSplit/>
          <w:trHeight w:val="340"/>
        </w:trPr>
        <w:tc>
          <w:tcPr>
            <w:tcW w:w="350" w:type="pct"/>
            <w:vMerge/>
            <w:vAlign w:val="center"/>
          </w:tcPr>
          <w:p w:rsidR="00EE4502" w:rsidRDefault="00EE4502">
            <w:pPr>
              <w:jc w:val="center"/>
              <w:rPr>
                <w:sz w:val="18"/>
                <w:szCs w:val="18"/>
              </w:rPr>
            </w:pPr>
          </w:p>
        </w:tc>
        <w:tc>
          <w:tcPr>
            <w:tcW w:w="663" w:type="pct"/>
            <w:vAlign w:val="center"/>
          </w:tcPr>
          <w:p w:rsidR="00EE4502" w:rsidRDefault="00FD45A3">
            <w:pPr>
              <w:jc w:val="center"/>
              <w:rPr>
                <w:sz w:val="18"/>
                <w:szCs w:val="18"/>
              </w:rPr>
            </w:pPr>
            <w:r>
              <w:rPr>
                <w:sz w:val="18"/>
                <w:szCs w:val="18"/>
              </w:rPr>
              <w:t>废</w:t>
            </w:r>
            <w:r>
              <w:rPr>
                <w:rFonts w:hint="eastAsia"/>
                <w:sz w:val="18"/>
                <w:szCs w:val="18"/>
              </w:rPr>
              <w:t>润滑油</w:t>
            </w:r>
          </w:p>
        </w:tc>
        <w:tc>
          <w:tcPr>
            <w:tcW w:w="1742" w:type="pct"/>
            <w:vAlign w:val="center"/>
          </w:tcPr>
          <w:p w:rsidR="00EE4502" w:rsidRDefault="00FD45A3">
            <w:pPr>
              <w:jc w:val="center"/>
              <w:rPr>
                <w:sz w:val="18"/>
                <w:szCs w:val="18"/>
              </w:rPr>
            </w:pPr>
            <w:r>
              <w:rPr>
                <w:rFonts w:hint="eastAsia"/>
                <w:sz w:val="18"/>
                <w:szCs w:val="18"/>
              </w:rPr>
              <w:t>送至</w:t>
            </w:r>
            <w:r>
              <w:rPr>
                <w:rFonts w:hint="eastAsia"/>
                <w:sz w:val="18"/>
                <w:szCs w:val="18"/>
              </w:rPr>
              <w:t>联合站综合利用</w:t>
            </w:r>
          </w:p>
        </w:tc>
        <w:tc>
          <w:tcPr>
            <w:tcW w:w="851" w:type="pct"/>
            <w:vMerge/>
            <w:vAlign w:val="center"/>
          </w:tcPr>
          <w:p w:rsidR="00EE4502" w:rsidRDefault="00EE4502">
            <w:pPr>
              <w:jc w:val="center"/>
              <w:rPr>
                <w:sz w:val="18"/>
                <w:szCs w:val="18"/>
              </w:rPr>
            </w:pPr>
          </w:p>
        </w:tc>
        <w:tc>
          <w:tcPr>
            <w:tcW w:w="1393" w:type="pct"/>
            <w:vMerge/>
            <w:vAlign w:val="center"/>
          </w:tcPr>
          <w:p w:rsidR="00EE4502" w:rsidRDefault="00EE4502">
            <w:pPr>
              <w:jc w:val="center"/>
              <w:rPr>
                <w:sz w:val="18"/>
                <w:szCs w:val="18"/>
              </w:rPr>
            </w:pPr>
          </w:p>
        </w:tc>
      </w:tr>
      <w:tr w:rsidR="00EE4502">
        <w:trPr>
          <w:cantSplit/>
          <w:trHeight w:val="340"/>
        </w:trPr>
        <w:tc>
          <w:tcPr>
            <w:tcW w:w="350" w:type="pct"/>
            <w:vAlign w:val="center"/>
          </w:tcPr>
          <w:p w:rsidR="00EE4502" w:rsidRDefault="00FD45A3">
            <w:pPr>
              <w:jc w:val="center"/>
              <w:rPr>
                <w:sz w:val="18"/>
                <w:szCs w:val="18"/>
              </w:rPr>
            </w:pPr>
            <w:r>
              <w:rPr>
                <w:sz w:val="18"/>
                <w:szCs w:val="18"/>
              </w:rPr>
              <w:t>环境风险</w:t>
            </w:r>
          </w:p>
        </w:tc>
        <w:tc>
          <w:tcPr>
            <w:tcW w:w="663" w:type="pct"/>
            <w:vAlign w:val="center"/>
          </w:tcPr>
          <w:p w:rsidR="00EE4502" w:rsidRDefault="00FD45A3">
            <w:pPr>
              <w:jc w:val="center"/>
              <w:rPr>
                <w:sz w:val="18"/>
                <w:szCs w:val="18"/>
              </w:rPr>
            </w:pPr>
            <w:r>
              <w:rPr>
                <w:sz w:val="18"/>
                <w:szCs w:val="18"/>
              </w:rPr>
              <w:t>防范环境风险</w:t>
            </w:r>
          </w:p>
        </w:tc>
        <w:tc>
          <w:tcPr>
            <w:tcW w:w="1742" w:type="pct"/>
            <w:vAlign w:val="center"/>
          </w:tcPr>
          <w:p w:rsidR="00EE4502" w:rsidRDefault="00FD45A3">
            <w:pPr>
              <w:jc w:val="center"/>
              <w:rPr>
                <w:sz w:val="18"/>
                <w:szCs w:val="18"/>
              </w:rPr>
            </w:pPr>
            <w:r>
              <w:rPr>
                <w:sz w:val="18"/>
                <w:szCs w:val="18"/>
              </w:rPr>
              <w:t>井场设置灭火器、声光报警器；井场分区防渗。</w:t>
            </w:r>
          </w:p>
        </w:tc>
        <w:tc>
          <w:tcPr>
            <w:tcW w:w="851" w:type="pct"/>
            <w:vAlign w:val="center"/>
          </w:tcPr>
          <w:p w:rsidR="00EE4502" w:rsidRDefault="00FD45A3">
            <w:pPr>
              <w:jc w:val="center"/>
              <w:rPr>
                <w:sz w:val="18"/>
                <w:szCs w:val="18"/>
              </w:rPr>
            </w:pPr>
            <w:r>
              <w:rPr>
                <w:sz w:val="18"/>
                <w:szCs w:val="18"/>
              </w:rPr>
              <w:t>有效应对和排除各种突发事故的不利影响</w:t>
            </w:r>
          </w:p>
        </w:tc>
        <w:tc>
          <w:tcPr>
            <w:tcW w:w="1393" w:type="pct"/>
            <w:vAlign w:val="center"/>
          </w:tcPr>
          <w:p w:rsidR="00EE4502" w:rsidRDefault="00FD45A3">
            <w:pPr>
              <w:jc w:val="center"/>
              <w:rPr>
                <w:sz w:val="18"/>
                <w:szCs w:val="18"/>
              </w:rPr>
            </w:pPr>
            <w:r>
              <w:rPr>
                <w:rFonts w:hint="eastAsia"/>
                <w:sz w:val="18"/>
                <w:szCs w:val="18"/>
              </w:rPr>
              <w:t>--</w:t>
            </w:r>
          </w:p>
        </w:tc>
      </w:tr>
      <w:tr w:rsidR="00EE4502">
        <w:trPr>
          <w:cantSplit/>
          <w:trHeight w:val="340"/>
        </w:trPr>
        <w:tc>
          <w:tcPr>
            <w:tcW w:w="350" w:type="pct"/>
            <w:vAlign w:val="center"/>
          </w:tcPr>
          <w:p w:rsidR="00EE4502" w:rsidRDefault="00FD45A3">
            <w:pPr>
              <w:jc w:val="center"/>
              <w:rPr>
                <w:sz w:val="18"/>
                <w:szCs w:val="18"/>
              </w:rPr>
            </w:pPr>
            <w:r>
              <w:rPr>
                <w:sz w:val="18"/>
                <w:szCs w:val="18"/>
              </w:rPr>
              <w:t>环境监测</w:t>
            </w:r>
          </w:p>
        </w:tc>
        <w:tc>
          <w:tcPr>
            <w:tcW w:w="663" w:type="pct"/>
            <w:vAlign w:val="center"/>
          </w:tcPr>
          <w:p w:rsidR="00EE4502" w:rsidRDefault="00FD45A3">
            <w:pPr>
              <w:jc w:val="center"/>
              <w:rPr>
                <w:sz w:val="18"/>
                <w:szCs w:val="18"/>
              </w:rPr>
            </w:pPr>
            <w:r>
              <w:rPr>
                <w:rFonts w:hint="eastAsia"/>
                <w:sz w:val="18"/>
                <w:szCs w:val="18"/>
              </w:rPr>
              <w:t>废气、土壤、地下水、生态</w:t>
            </w:r>
          </w:p>
        </w:tc>
        <w:tc>
          <w:tcPr>
            <w:tcW w:w="1742" w:type="pct"/>
            <w:vAlign w:val="center"/>
          </w:tcPr>
          <w:p w:rsidR="00EE4502" w:rsidRDefault="00FD45A3">
            <w:pPr>
              <w:jc w:val="center"/>
              <w:rPr>
                <w:sz w:val="18"/>
                <w:szCs w:val="18"/>
              </w:rPr>
            </w:pPr>
            <w:r>
              <w:rPr>
                <w:rFonts w:hint="eastAsia"/>
                <w:sz w:val="18"/>
                <w:szCs w:val="18"/>
              </w:rPr>
              <w:t>按照检测计划，委托有资质单位开展检测</w:t>
            </w:r>
          </w:p>
        </w:tc>
        <w:tc>
          <w:tcPr>
            <w:tcW w:w="851" w:type="pct"/>
            <w:vAlign w:val="center"/>
          </w:tcPr>
          <w:p w:rsidR="00EE4502" w:rsidRDefault="00FD45A3">
            <w:pPr>
              <w:jc w:val="center"/>
              <w:rPr>
                <w:sz w:val="18"/>
                <w:szCs w:val="18"/>
              </w:rPr>
            </w:pPr>
            <w:r>
              <w:rPr>
                <w:rFonts w:hint="eastAsia"/>
                <w:sz w:val="18"/>
                <w:szCs w:val="18"/>
              </w:rPr>
              <w:t>污染源达标排放</w:t>
            </w:r>
          </w:p>
        </w:tc>
        <w:tc>
          <w:tcPr>
            <w:tcW w:w="1393" w:type="pct"/>
            <w:vAlign w:val="center"/>
          </w:tcPr>
          <w:p w:rsidR="00EE4502" w:rsidRDefault="00FD45A3">
            <w:pPr>
              <w:jc w:val="center"/>
              <w:rPr>
                <w:sz w:val="18"/>
                <w:szCs w:val="18"/>
              </w:rPr>
            </w:pPr>
            <w:r>
              <w:rPr>
                <w:rFonts w:hint="eastAsia"/>
                <w:sz w:val="18"/>
                <w:szCs w:val="18"/>
              </w:rPr>
              <w:t>--</w:t>
            </w:r>
          </w:p>
        </w:tc>
      </w:tr>
      <w:tr w:rsidR="00EE4502">
        <w:trPr>
          <w:cantSplit/>
          <w:trHeight w:val="340"/>
        </w:trPr>
        <w:tc>
          <w:tcPr>
            <w:tcW w:w="5000" w:type="pct"/>
            <w:gridSpan w:val="5"/>
            <w:vAlign w:val="center"/>
          </w:tcPr>
          <w:p w:rsidR="00EE4502" w:rsidRDefault="00FD45A3">
            <w:pPr>
              <w:jc w:val="center"/>
              <w:rPr>
                <w:sz w:val="18"/>
                <w:szCs w:val="18"/>
              </w:rPr>
            </w:pPr>
            <w:r>
              <w:rPr>
                <w:rFonts w:hint="eastAsia"/>
                <w:sz w:val="18"/>
                <w:szCs w:val="18"/>
              </w:rPr>
              <w:t>退役期</w:t>
            </w:r>
          </w:p>
        </w:tc>
      </w:tr>
      <w:tr w:rsidR="00EE4502">
        <w:trPr>
          <w:cantSplit/>
          <w:trHeight w:val="340"/>
        </w:trPr>
        <w:tc>
          <w:tcPr>
            <w:tcW w:w="350" w:type="pct"/>
            <w:vAlign w:val="center"/>
          </w:tcPr>
          <w:p w:rsidR="00EE4502" w:rsidRDefault="00FD45A3">
            <w:pPr>
              <w:jc w:val="center"/>
              <w:rPr>
                <w:sz w:val="18"/>
                <w:szCs w:val="18"/>
              </w:rPr>
            </w:pPr>
            <w:r>
              <w:rPr>
                <w:rFonts w:hint="eastAsia"/>
                <w:sz w:val="18"/>
                <w:szCs w:val="18"/>
              </w:rPr>
              <w:t>废气</w:t>
            </w:r>
          </w:p>
        </w:tc>
        <w:tc>
          <w:tcPr>
            <w:tcW w:w="663" w:type="pct"/>
            <w:vAlign w:val="center"/>
          </w:tcPr>
          <w:p w:rsidR="00EE4502" w:rsidRDefault="00FD45A3">
            <w:pPr>
              <w:jc w:val="center"/>
              <w:rPr>
                <w:sz w:val="18"/>
                <w:szCs w:val="18"/>
              </w:rPr>
            </w:pPr>
            <w:r>
              <w:rPr>
                <w:rFonts w:hint="eastAsia"/>
                <w:sz w:val="18"/>
                <w:szCs w:val="18"/>
              </w:rPr>
              <w:t>施工扬尘</w:t>
            </w:r>
          </w:p>
        </w:tc>
        <w:tc>
          <w:tcPr>
            <w:tcW w:w="1742" w:type="pct"/>
            <w:vAlign w:val="center"/>
          </w:tcPr>
          <w:p w:rsidR="00EE4502" w:rsidRDefault="00FD45A3">
            <w:pPr>
              <w:jc w:val="center"/>
              <w:rPr>
                <w:sz w:val="18"/>
                <w:szCs w:val="18"/>
              </w:rPr>
            </w:pPr>
            <w:r>
              <w:rPr>
                <w:rFonts w:hint="eastAsia"/>
                <w:sz w:val="18"/>
                <w:szCs w:val="18"/>
              </w:rPr>
              <w:t>洒水抑尘</w:t>
            </w:r>
          </w:p>
        </w:tc>
        <w:tc>
          <w:tcPr>
            <w:tcW w:w="851" w:type="pct"/>
            <w:vAlign w:val="center"/>
          </w:tcPr>
          <w:p w:rsidR="00EE4502" w:rsidRDefault="00FD45A3">
            <w:pPr>
              <w:jc w:val="center"/>
              <w:rPr>
                <w:sz w:val="18"/>
                <w:szCs w:val="18"/>
              </w:rPr>
            </w:pPr>
            <w:r>
              <w:rPr>
                <w:rFonts w:hint="eastAsia"/>
                <w:sz w:val="18"/>
                <w:szCs w:val="18"/>
              </w:rPr>
              <w:t>--</w:t>
            </w:r>
          </w:p>
        </w:tc>
        <w:tc>
          <w:tcPr>
            <w:tcW w:w="1393" w:type="pct"/>
            <w:vAlign w:val="center"/>
          </w:tcPr>
          <w:p w:rsidR="00EE4502" w:rsidRDefault="00FD45A3">
            <w:pPr>
              <w:jc w:val="center"/>
              <w:rPr>
                <w:sz w:val="18"/>
                <w:szCs w:val="18"/>
              </w:rPr>
            </w:pPr>
            <w:r>
              <w:rPr>
                <w:rFonts w:hint="eastAsia"/>
                <w:sz w:val="18"/>
                <w:szCs w:val="18"/>
              </w:rPr>
              <w:t>--</w:t>
            </w:r>
          </w:p>
        </w:tc>
      </w:tr>
      <w:tr w:rsidR="00EE4502">
        <w:trPr>
          <w:cantSplit/>
          <w:trHeight w:val="340"/>
        </w:trPr>
        <w:tc>
          <w:tcPr>
            <w:tcW w:w="350" w:type="pct"/>
            <w:vMerge w:val="restart"/>
            <w:vAlign w:val="center"/>
          </w:tcPr>
          <w:p w:rsidR="00EE4502" w:rsidRDefault="00FD45A3">
            <w:pPr>
              <w:jc w:val="center"/>
              <w:rPr>
                <w:sz w:val="18"/>
                <w:szCs w:val="18"/>
              </w:rPr>
            </w:pPr>
            <w:r>
              <w:rPr>
                <w:rFonts w:hint="eastAsia"/>
                <w:sz w:val="18"/>
                <w:szCs w:val="18"/>
              </w:rPr>
              <w:t>固废</w:t>
            </w:r>
          </w:p>
        </w:tc>
        <w:tc>
          <w:tcPr>
            <w:tcW w:w="663" w:type="pct"/>
            <w:vAlign w:val="center"/>
          </w:tcPr>
          <w:p w:rsidR="00EE4502" w:rsidRDefault="00FD45A3">
            <w:pPr>
              <w:jc w:val="center"/>
              <w:rPr>
                <w:sz w:val="18"/>
                <w:szCs w:val="18"/>
              </w:rPr>
            </w:pPr>
            <w:r>
              <w:rPr>
                <w:rFonts w:hint="eastAsia"/>
                <w:sz w:val="18"/>
                <w:szCs w:val="18"/>
              </w:rPr>
              <w:t>建筑垃圾</w:t>
            </w:r>
          </w:p>
        </w:tc>
        <w:tc>
          <w:tcPr>
            <w:tcW w:w="1742" w:type="pct"/>
            <w:vAlign w:val="center"/>
          </w:tcPr>
          <w:p w:rsidR="00EE4502" w:rsidRDefault="00FD45A3">
            <w:pPr>
              <w:jc w:val="center"/>
              <w:rPr>
                <w:sz w:val="18"/>
                <w:szCs w:val="18"/>
              </w:rPr>
            </w:pPr>
            <w:r>
              <w:rPr>
                <w:rFonts w:hint="eastAsia"/>
                <w:sz w:val="18"/>
                <w:szCs w:val="18"/>
              </w:rPr>
              <w:t>委托周边固废填埋场合规处置</w:t>
            </w:r>
          </w:p>
        </w:tc>
        <w:tc>
          <w:tcPr>
            <w:tcW w:w="851" w:type="pct"/>
            <w:vAlign w:val="center"/>
          </w:tcPr>
          <w:p w:rsidR="00EE4502" w:rsidRDefault="00FD45A3">
            <w:pPr>
              <w:jc w:val="center"/>
              <w:rPr>
                <w:sz w:val="18"/>
                <w:szCs w:val="18"/>
              </w:rPr>
            </w:pPr>
            <w:r>
              <w:rPr>
                <w:rFonts w:hint="eastAsia"/>
                <w:sz w:val="18"/>
                <w:szCs w:val="18"/>
              </w:rPr>
              <w:t>妥善处置</w:t>
            </w:r>
          </w:p>
        </w:tc>
        <w:tc>
          <w:tcPr>
            <w:tcW w:w="1393" w:type="pct"/>
            <w:vAlign w:val="center"/>
          </w:tcPr>
          <w:p w:rsidR="00EE4502" w:rsidRDefault="00FD45A3">
            <w:pPr>
              <w:jc w:val="center"/>
              <w:rPr>
                <w:sz w:val="18"/>
                <w:szCs w:val="18"/>
              </w:rPr>
            </w:pPr>
            <w:r>
              <w:rPr>
                <w:rFonts w:hint="eastAsia"/>
                <w:sz w:val="18"/>
                <w:szCs w:val="18"/>
              </w:rPr>
              <w:t>--</w:t>
            </w:r>
          </w:p>
        </w:tc>
      </w:tr>
      <w:tr w:rsidR="00EE4502">
        <w:trPr>
          <w:cantSplit/>
          <w:trHeight w:val="340"/>
        </w:trPr>
        <w:tc>
          <w:tcPr>
            <w:tcW w:w="350" w:type="pct"/>
            <w:vMerge/>
            <w:vAlign w:val="center"/>
          </w:tcPr>
          <w:p w:rsidR="00EE4502" w:rsidRDefault="00EE4502">
            <w:pPr>
              <w:jc w:val="center"/>
              <w:rPr>
                <w:sz w:val="18"/>
                <w:szCs w:val="18"/>
              </w:rPr>
            </w:pPr>
          </w:p>
        </w:tc>
        <w:tc>
          <w:tcPr>
            <w:tcW w:w="663" w:type="pct"/>
            <w:vAlign w:val="center"/>
          </w:tcPr>
          <w:p w:rsidR="00EE4502" w:rsidRDefault="00FD45A3">
            <w:pPr>
              <w:jc w:val="center"/>
              <w:rPr>
                <w:sz w:val="18"/>
                <w:szCs w:val="18"/>
              </w:rPr>
            </w:pPr>
            <w:r>
              <w:rPr>
                <w:rFonts w:hint="eastAsia"/>
                <w:sz w:val="18"/>
                <w:szCs w:val="18"/>
              </w:rPr>
              <w:t>废气管线</w:t>
            </w:r>
          </w:p>
        </w:tc>
        <w:tc>
          <w:tcPr>
            <w:tcW w:w="1742" w:type="pct"/>
            <w:vAlign w:val="center"/>
          </w:tcPr>
          <w:p w:rsidR="00EE4502" w:rsidRDefault="00FD45A3">
            <w:pPr>
              <w:jc w:val="center"/>
              <w:rPr>
                <w:sz w:val="18"/>
                <w:szCs w:val="18"/>
              </w:rPr>
            </w:pPr>
            <w:r>
              <w:rPr>
                <w:rFonts w:hint="eastAsia"/>
                <w:sz w:val="18"/>
                <w:szCs w:val="18"/>
              </w:rPr>
              <w:t>管线内物质应清空干净，并按要求进行吹扫，确保管线内无残留采出液，管线两端使用盲板封堵</w:t>
            </w:r>
          </w:p>
        </w:tc>
        <w:tc>
          <w:tcPr>
            <w:tcW w:w="851" w:type="pct"/>
            <w:vAlign w:val="center"/>
          </w:tcPr>
          <w:p w:rsidR="00EE4502" w:rsidRDefault="00FD45A3">
            <w:pPr>
              <w:jc w:val="center"/>
              <w:rPr>
                <w:sz w:val="18"/>
                <w:szCs w:val="18"/>
              </w:rPr>
            </w:pPr>
            <w:r>
              <w:rPr>
                <w:rFonts w:hint="eastAsia"/>
                <w:sz w:val="18"/>
                <w:szCs w:val="18"/>
              </w:rPr>
              <w:t>妥善处置</w:t>
            </w:r>
          </w:p>
        </w:tc>
        <w:tc>
          <w:tcPr>
            <w:tcW w:w="1393" w:type="pct"/>
            <w:vAlign w:val="center"/>
          </w:tcPr>
          <w:p w:rsidR="00EE4502" w:rsidRDefault="00FD45A3">
            <w:pPr>
              <w:jc w:val="center"/>
              <w:rPr>
                <w:sz w:val="18"/>
                <w:szCs w:val="18"/>
              </w:rPr>
            </w:pPr>
            <w:r>
              <w:rPr>
                <w:rFonts w:hint="eastAsia"/>
                <w:sz w:val="18"/>
                <w:szCs w:val="18"/>
              </w:rPr>
              <w:t>--</w:t>
            </w:r>
          </w:p>
        </w:tc>
      </w:tr>
      <w:tr w:rsidR="00EE4502">
        <w:trPr>
          <w:cantSplit/>
          <w:trHeight w:val="340"/>
        </w:trPr>
        <w:tc>
          <w:tcPr>
            <w:tcW w:w="350" w:type="pct"/>
            <w:vAlign w:val="center"/>
          </w:tcPr>
          <w:p w:rsidR="00EE4502" w:rsidRDefault="00FD45A3">
            <w:pPr>
              <w:jc w:val="center"/>
              <w:rPr>
                <w:sz w:val="18"/>
                <w:szCs w:val="18"/>
              </w:rPr>
            </w:pPr>
            <w:r>
              <w:rPr>
                <w:rFonts w:hint="eastAsia"/>
                <w:sz w:val="18"/>
                <w:szCs w:val="18"/>
              </w:rPr>
              <w:t>生态</w:t>
            </w:r>
          </w:p>
        </w:tc>
        <w:tc>
          <w:tcPr>
            <w:tcW w:w="663" w:type="pct"/>
            <w:vAlign w:val="center"/>
          </w:tcPr>
          <w:p w:rsidR="00EE4502" w:rsidRDefault="00FD45A3">
            <w:pPr>
              <w:jc w:val="center"/>
              <w:rPr>
                <w:sz w:val="18"/>
                <w:szCs w:val="18"/>
              </w:rPr>
            </w:pPr>
            <w:r>
              <w:rPr>
                <w:rFonts w:hint="eastAsia"/>
                <w:sz w:val="18"/>
                <w:szCs w:val="18"/>
              </w:rPr>
              <w:t>生态恢复</w:t>
            </w:r>
          </w:p>
        </w:tc>
        <w:tc>
          <w:tcPr>
            <w:tcW w:w="1742" w:type="pct"/>
            <w:vAlign w:val="center"/>
          </w:tcPr>
          <w:p w:rsidR="00EE4502" w:rsidRDefault="00FD45A3">
            <w:pPr>
              <w:jc w:val="center"/>
              <w:rPr>
                <w:sz w:val="18"/>
                <w:szCs w:val="18"/>
              </w:rPr>
            </w:pPr>
            <w:r>
              <w:rPr>
                <w:rFonts w:hint="eastAsia"/>
                <w:sz w:val="18"/>
                <w:szCs w:val="18"/>
              </w:rPr>
              <w:t>对井口进行封堵，地面设施拆除，恢复原有自然状况</w:t>
            </w:r>
          </w:p>
        </w:tc>
        <w:tc>
          <w:tcPr>
            <w:tcW w:w="851" w:type="pct"/>
            <w:vAlign w:val="center"/>
          </w:tcPr>
          <w:p w:rsidR="00EE4502" w:rsidRDefault="00FD45A3">
            <w:pPr>
              <w:jc w:val="center"/>
              <w:rPr>
                <w:sz w:val="18"/>
                <w:szCs w:val="18"/>
              </w:rPr>
            </w:pPr>
            <w:r>
              <w:rPr>
                <w:rFonts w:hint="eastAsia"/>
                <w:sz w:val="18"/>
                <w:szCs w:val="18"/>
              </w:rPr>
              <w:t>恢复原貌</w:t>
            </w:r>
          </w:p>
        </w:tc>
        <w:tc>
          <w:tcPr>
            <w:tcW w:w="1393" w:type="pct"/>
            <w:vAlign w:val="center"/>
          </w:tcPr>
          <w:p w:rsidR="00EE4502" w:rsidRDefault="00FD45A3">
            <w:pPr>
              <w:jc w:val="center"/>
              <w:rPr>
                <w:sz w:val="18"/>
                <w:szCs w:val="18"/>
              </w:rPr>
            </w:pPr>
            <w:r>
              <w:rPr>
                <w:rFonts w:hint="eastAsia"/>
                <w:sz w:val="18"/>
                <w:szCs w:val="18"/>
              </w:rPr>
              <w:t>--</w:t>
            </w:r>
          </w:p>
        </w:tc>
      </w:tr>
    </w:tbl>
    <w:p w:rsidR="00EE4502" w:rsidRDefault="00EE4502">
      <w:pPr>
        <w:spacing w:line="360" w:lineRule="auto"/>
        <w:jc w:val="center"/>
        <w:rPr>
          <w:rFonts w:eastAsia="黑体"/>
          <w:szCs w:val="21"/>
        </w:rPr>
      </w:pPr>
    </w:p>
    <w:p w:rsidR="00EE4502" w:rsidRDefault="00FD45A3">
      <w:pPr>
        <w:pStyle w:val="22"/>
        <w:numPr>
          <w:ilvl w:val="1"/>
          <w:numId w:val="30"/>
        </w:numPr>
        <w:rPr>
          <w:spacing w:val="0"/>
          <w:w w:val="100"/>
        </w:rPr>
      </w:pPr>
      <w:bookmarkStart w:id="280" w:name="_Toc12198"/>
      <w:r>
        <w:rPr>
          <w:spacing w:val="0"/>
          <w:w w:val="100"/>
        </w:rPr>
        <w:t>污染物排放的管理要求</w:t>
      </w:r>
      <w:bookmarkEnd w:id="280"/>
    </w:p>
    <w:p w:rsidR="00EE4502" w:rsidRDefault="00FD45A3">
      <w:pPr>
        <w:spacing w:line="360" w:lineRule="auto"/>
        <w:ind w:firstLine="522"/>
        <w:rPr>
          <w:sz w:val="24"/>
        </w:rPr>
      </w:pPr>
      <w:r>
        <w:rPr>
          <w:sz w:val="24"/>
        </w:rPr>
        <w:t>工程污染物排放清单及管理要求见表</w:t>
      </w:r>
      <w:r>
        <w:rPr>
          <w:rFonts w:hint="eastAsia"/>
          <w:sz w:val="24"/>
        </w:rPr>
        <w:t>9-</w:t>
      </w:r>
      <w:r>
        <w:rPr>
          <w:rFonts w:hint="eastAsia"/>
          <w:sz w:val="24"/>
        </w:rPr>
        <w:t>7</w:t>
      </w:r>
      <w:r>
        <w:rPr>
          <w:rFonts w:hint="eastAsia"/>
          <w:sz w:val="24"/>
        </w:rPr>
        <w:t>-1</w:t>
      </w:r>
      <w:r>
        <w:rPr>
          <w:sz w:val="24"/>
        </w:rPr>
        <w:t>。</w:t>
      </w:r>
    </w:p>
    <w:p w:rsidR="00EE4502" w:rsidRDefault="00FD45A3">
      <w:pPr>
        <w:spacing w:line="360" w:lineRule="auto"/>
        <w:jc w:val="center"/>
        <w:rPr>
          <w:rFonts w:eastAsia="黑体"/>
          <w:szCs w:val="21"/>
        </w:rPr>
      </w:pPr>
      <w:r>
        <w:rPr>
          <w:rFonts w:eastAsia="黑体"/>
          <w:szCs w:val="21"/>
        </w:rPr>
        <w:t>表</w:t>
      </w:r>
      <w:r>
        <w:rPr>
          <w:rFonts w:eastAsia="黑体" w:hint="eastAsia"/>
          <w:szCs w:val="21"/>
        </w:rPr>
        <w:t>9-</w:t>
      </w:r>
      <w:r>
        <w:rPr>
          <w:rFonts w:eastAsia="黑体" w:hint="eastAsia"/>
          <w:szCs w:val="21"/>
        </w:rPr>
        <w:t>7</w:t>
      </w:r>
      <w:r>
        <w:rPr>
          <w:rFonts w:eastAsia="黑体" w:hint="eastAsia"/>
          <w:szCs w:val="21"/>
        </w:rPr>
        <w:t>-1</w:t>
      </w:r>
      <w:r>
        <w:rPr>
          <w:rFonts w:eastAsia="黑体"/>
          <w:szCs w:val="21"/>
        </w:rPr>
        <w:t xml:space="preserve">    </w:t>
      </w:r>
      <w:r>
        <w:rPr>
          <w:rFonts w:eastAsia="黑体" w:hint="eastAsia"/>
          <w:szCs w:val="21"/>
        </w:rPr>
        <w:t>本工程</w:t>
      </w:r>
      <w:r>
        <w:rPr>
          <w:rFonts w:eastAsia="黑体"/>
          <w:szCs w:val="21"/>
        </w:rPr>
        <w:t>污染物排放清单</w:t>
      </w:r>
    </w:p>
    <w:tbl>
      <w:tblPr>
        <w:tblW w:w="4996" w:type="pct"/>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24"/>
        <w:gridCol w:w="1034"/>
        <w:gridCol w:w="104"/>
        <w:gridCol w:w="1465"/>
        <w:gridCol w:w="1109"/>
        <w:gridCol w:w="1044"/>
        <w:gridCol w:w="2735"/>
      </w:tblGrid>
      <w:tr w:rsidR="00EE4502">
        <w:trPr>
          <w:trHeight w:val="340"/>
        </w:trPr>
        <w:tc>
          <w:tcPr>
            <w:tcW w:w="602" w:type="pct"/>
            <w:vAlign w:val="center"/>
          </w:tcPr>
          <w:p w:rsidR="00EE4502" w:rsidRDefault="00FD45A3">
            <w:pPr>
              <w:spacing w:line="240" w:lineRule="exact"/>
              <w:jc w:val="center"/>
              <w:rPr>
                <w:sz w:val="18"/>
                <w:szCs w:val="18"/>
              </w:rPr>
            </w:pPr>
            <w:r>
              <w:rPr>
                <w:sz w:val="18"/>
                <w:szCs w:val="18"/>
              </w:rPr>
              <w:t>类别</w:t>
            </w:r>
          </w:p>
        </w:tc>
        <w:tc>
          <w:tcPr>
            <w:tcW w:w="607" w:type="pct"/>
            <w:vAlign w:val="center"/>
          </w:tcPr>
          <w:p w:rsidR="00EE4502" w:rsidRDefault="00FD45A3">
            <w:pPr>
              <w:spacing w:line="240" w:lineRule="exact"/>
              <w:jc w:val="center"/>
              <w:rPr>
                <w:sz w:val="18"/>
                <w:szCs w:val="18"/>
              </w:rPr>
            </w:pPr>
            <w:r>
              <w:rPr>
                <w:sz w:val="18"/>
                <w:szCs w:val="18"/>
              </w:rPr>
              <w:t>工段</w:t>
            </w:r>
          </w:p>
        </w:tc>
        <w:tc>
          <w:tcPr>
            <w:tcW w:w="921" w:type="pct"/>
            <w:gridSpan w:val="2"/>
            <w:vAlign w:val="center"/>
          </w:tcPr>
          <w:p w:rsidR="00EE4502" w:rsidRDefault="00FD45A3">
            <w:pPr>
              <w:spacing w:line="240" w:lineRule="exact"/>
              <w:jc w:val="center"/>
              <w:rPr>
                <w:sz w:val="18"/>
                <w:szCs w:val="18"/>
              </w:rPr>
            </w:pPr>
            <w:r>
              <w:rPr>
                <w:sz w:val="18"/>
                <w:szCs w:val="18"/>
              </w:rPr>
              <w:t>污染源</w:t>
            </w:r>
          </w:p>
        </w:tc>
        <w:tc>
          <w:tcPr>
            <w:tcW w:w="651" w:type="pct"/>
            <w:vAlign w:val="center"/>
          </w:tcPr>
          <w:p w:rsidR="00EE4502" w:rsidRDefault="00FD45A3">
            <w:pPr>
              <w:spacing w:line="240" w:lineRule="exact"/>
              <w:jc w:val="center"/>
              <w:rPr>
                <w:sz w:val="18"/>
                <w:szCs w:val="18"/>
              </w:rPr>
            </w:pPr>
            <w:r>
              <w:rPr>
                <w:sz w:val="18"/>
                <w:szCs w:val="18"/>
              </w:rPr>
              <w:t>主要污染物</w:t>
            </w:r>
          </w:p>
        </w:tc>
        <w:tc>
          <w:tcPr>
            <w:tcW w:w="613" w:type="pct"/>
            <w:vAlign w:val="center"/>
          </w:tcPr>
          <w:p w:rsidR="00EE4502" w:rsidRDefault="00FD45A3">
            <w:pPr>
              <w:spacing w:line="240" w:lineRule="exact"/>
              <w:jc w:val="center"/>
              <w:rPr>
                <w:sz w:val="18"/>
                <w:szCs w:val="18"/>
              </w:rPr>
            </w:pPr>
            <w:r>
              <w:rPr>
                <w:sz w:val="18"/>
                <w:szCs w:val="18"/>
              </w:rPr>
              <w:t>排放量（</w:t>
            </w:r>
            <w:r>
              <w:rPr>
                <w:sz w:val="18"/>
                <w:szCs w:val="18"/>
              </w:rPr>
              <w:t>t/a</w:t>
            </w:r>
            <w:r>
              <w:rPr>
                <w:sz w:val="18"/>
                <w:szCs w:val="18"/>
              </w:rPr>
              <w:t>）</w:t>
            </w:r>
          </w:p>
        </w:tc>
        <w:tc>
          <w:tcPr>
            <w:tcW w:w="1606" w:type="pct"/>
            <w:vAlign w:val="center"/>
          </w:tcPr>
          <w:p w:rsidR="00EE4502" w:rsidRDefault="00FD45A3">
            <w:pPr>
              <w:spacing w:line="240" w:lineRule="exact"/>
              <w:jc w:val="center"/>
              <w:rPr>
                <w:sz w:val="18"/>
                <w:szCs w:val="18"/>
              </w:rPr>
            </w:pPr>
            <w:r>
              <w:rPr>
                <w:sz w:val="18"/>
                <w:szCs w:val="18"/>
              </w:rPr>
              <w:t>排放去向</w:t>
            </w:r>
          </w:p>
        </w:tc>
      </w:tr>
      <w:tr w:rsidR="00EE4502">
        <w:trPr>
          <w:trHeight w:val="340"/>
        </w:trPr>
        <w:tc>
          <w:tcPr>
            <w:tcW w:w="602" w:type="pct"/>
            <w:vAlign w:val="center"/>
          </w:tcPr>
          <w:p w:rsidR="00EE4502" w:rsidRDefault="00FD45A3">
            <w:pPr>
              <w:spacing w:line="240" w:lineRule="exact"/>
              <w:jc w:val="center"/>
              <w:rPr>
                <w:sz w:val="18"/>
                <w:szCs w:val="18"/>
              </w:rPr>
            </w:pPr>
            <w:r>
              <w:rPr>
                <w:rFonts w:hint="eastAsia"/>
                <w:sz w:val="18"/>
                <w:szCs w:val="18"/>
              </w:rPr>
              <w:t>废气</w:t>
            </w:r>
          </w:p>
        </w:tc>
        <w:tc>
          <w:tcPr>
            <w:tcW w:w="607" w:type="pct"/>
            <w:vAlign w:val="center"/>
          </w:tcPr>
          <w:p w:rsidR="00EE4502" w:rsidRDefault="00FD45A3">
            <w:pPr>
              <w:spacing w:line="240" w:lineRule="exact"/>
              <w:jc w:val="center"/>
              <w:rPr>
                <w:sz w:val="18"/>
                <w:szCs w:val="18"/>
              </w:rPr>
            </w:pPr>
            <w:r>
              <w:rPr>
                <w:sz w:val="18"/>
                <w:szCs w:val="18"/>
              </w:rPr>
              <w:t>原油集输</w:t>
            </w:r>
          </w:p>
        </w:tc>
        <w:tc>
          <w:tcPr>
            <w:tcW w:w="921" w:type="pct"/>
            <w:gridSpan w:val="2"/>
            <w:vAlign w:val="center"/>
          </w:tcPr>
          <w:p w:rsidR="00EE4502" w:rsidRDefault="00FD45A3">
            <w:pPr>
              <w:spacing w:line="240" w:lineRule="exact"/>
              <w:jc w:val="center"/>
              <w:rPr>
                <w:sz w:val="18"/>
                <w:szCs w:val="18"/>
              </w:rPr>
            </w:pPr>
            <w:r>
              <w:rPr>
                <w:sz w:val="18"/>
                <w:szCs w:val="18"/>
              </w:rPr>
              <w:t>无组织排放废气</w:t>
            </w:r>
          </w:p>
        </w:tc>
        <w:tc>
          <w:tcPr>
            <w:tcW w:w="651" w:type="pct"/>
            <w:vAlign w:val="center"/>
          </w:tcPr>
          <w:p w:rsidR="00EE4502" w:rsidRDefault="00FD45A3">
            <w:pPr>
              <w:spacing w:line="240" w:lineRule="exact"/>
              <w:jc w:val="center"/>
              <w:rPr>
                <w:sz w:val="18"/>
                <w:szCs w:val="18"/>
              </w:rPr>
            </w:pPr>
            <w:r>
              <w:rPr>
                <w:sz w:val="18"/>
                <w:szCs w:val="18"/>
              </w:rPr>
              <w:t>非甲烷总烃</w:t>
            </w:r>
          </w:p>
        </w:tc>
        <w:tc>
          <w:tcPr>
            <w:tcW w:w="613" w:type="pct"/>
            <w:vAlign w:val="center"/>
          </w:tcPr>
          <w:p w:rsidR="00EE4502" w:rsidRDefault="00FD45A3">
            <w:pPr>
              <w:spacing w:line="240" w:lineRule="exact"/>
              <w:jc w:val="center"/>
              <w:rPr>
                <w:sz w:val="18"/>
                <w:szCs w:val="18"/>
              </w:rPr>
            </w:pPr>
            <w:r>
              <w:rPr>
                <w:rFonts w:hint="eastAsia"/>
                <w:sz w:val="18"/>
                <w:szCs w:val="18"/>
              </w:rPr>
              <w:t>2.893</w:t>
            </w:r>
          </w:p>
        </w:tc>
        <w:tc>
          <w:tcPr>
            <w:tcW w:w="1606" w:type="pct"/>
            <w:vAlign w:val="center"/>
          </w:tcPr>
          <w:p w:rsidR="00EE4502" w:rsidRDefault="00FD45A3">
            <w:pPr>
              <w:spacing w:line="240" w:lineRule="exact"/>
              <w:jc w:val="center"/>
              <w:rPr>
                <w:sz w:val="18"/>
                <w:szCs w:val="18"/>
              </w:rPr>
            </w:pPr>
            <w:r>
              <w:rPr>
                <w:rFonts w:hint="eastAsia"/>
                <w:sz w:val="18"/>
                <w:szCs w:val="18"/>
              </w:rPr>
              <w:t>大气</w:t>
            </w:r>
          </w:p>
        </w:tc>
      </w:tr>
      <w:tr w:rsidR="00EE4502">
        <w:trPr>
          <w:trHeight w:val="340"/>
        </w:trPr>
        <w:tc>
          <w:tcPr>
            <w:tcW w:w="602" w:type="pct"/>
            <w:vMerge w:val="restart"/>
            <w:vAlign w:val="center"/>
          </w:tcPr>
          <w:p w:rsidR="00EE4502" w:rsidRDefault="00FD45A3">
            <w:pPr>
              <w:spacing w:line="240" w:lineRule="exact"/>
              <w:jc w:val="center"/>
              <w:rPr>
                <w:sz w:val="18"/>
                <w:szCs w:val="18"/>
              </w:rPr>
            </w:pPr>
            <w:r>
              <w:rPr>
                <w:sz w:val="18"/>
                <w:szCs w:val="18"/>
              </w:rPr>
              <w:t>生产废水</w:t>
            </w:r>
          </w:p>
        </w:tc>
        <w:tc>
          <w:tcPr>
            <w:tcW w:w="1527" w:type="pct"/>
            <w:gridSpan w:val="3"/>
            <w:vAlign w:val="center"/>
          </w:tcPr>
          <w:p w:rsidR="00EE4502" w:rsidRDefault="00FD45A3">
            <w:pPr>
              <w:spacing w:line="240" w:lineRule="exact"/>
              <w:jc w:val="center"/>
              <w:rPr>
                <w:sz w:val="18"/>
                <w:szCs w:val="18"/>
              </w:rPr>
            </w:pPr>
            <w:r>
              <w:rPr>
                <w:sz w:val="18"/>
                <w:szCs w:val="18"/>
              </w:rPr>
              <w:t>采出水</w:t>
            </w:r>
          </w:p>
        </w:tc>
        <w:tc>
          <w:tcPr>
            <w:tcW w:w="651" w:type="pct"/>
            <w:vAlign w:val="center"/>
          </w:tcPr>
          <w:p w:rsidR="00EE4502" w:rsidRDefault="00FD45A3">
            <w:pPr>
              <w:spacing w:line="240" w:lineRule="exact"/>
              <w:jc w:val="center"/>
              <w:rPr>
                <w:sz w:val="18"/>
                <w:szCs w:val="18"/>
              </w:rPr>
            </w:pPr>
            <w:r>
              <w:rPr>
                <w:sz w:val="18"/>
                <w:szCs w:val="18"/>
              </w:rPr>
              <w:t>废水量</w:t>
            </w:r>
          </w:p>
        </w:tc>
        <w:tc>
          <w:tcPr>
            <w:tcW w:w="613" w:type="pct"/>
            <w:vAlign w:val="center"/>
          </w:tcPr>
          <w:p w:rsidR="00EE4502" w:rsidRDefault="00FD45A3">
            <w:pPr>
              <w:spacing w:line="240" w:lineRule="exact"/>
              <w:jc w:val="center"/>
              <w:rPr>
                <w:i/>
                <w:iCs/>
                <w:sz w:val="18"/>
                <w:szCs w:val="18"/>
              </w:rPr>
            </w:pPr>
            <w:r>
              <w:rPr>
                <w:sz w:val="18"/>
                <w:szCs w:val="18"/>
              </w:rPr>
              <w:t>0</w:t>
            </w:r>
          </w:p>
        </w:tc>
        <w:tc>
          <w:tcPr>
            <w:tcW w:w="1606" w:type="pct"/>
            <w:vAlign w:val="center"/>
          </w:tcPr>
          <w:p w:rsidR="00EE4502" w:rsidRDefault="00FD45A3">
            <w:pPr>
              <w:spacing w:line="240" w:lineRule="exact"/>
              <w:jc w:val="center"/>
              <w:rPr>
                <w:sz w:val="18"/>
                <w:szCs w:val="18"/>
              </w:rPr>
            </w:pPr>
            <w:r>
              <w:rPr>
                <w:sz w:val="18"/>
                <w:szCs w:val="18"/>
              </w:rPr>
              <w:t>采出水进入联合站污水处理系统，处理达到</w:t>
            </w:r>
            <w:r>
              <w:rPr>
                <w:rFonts w:hint="eastAsia"/>
                <w:sz w:val="18"/>
                <w:szCs w:val="18"/>
              </w:rPr>
              <w:t>《碎屑岩油藏注水水质指标技术要求及分析方法》（</w:t>
            </w:r>
            <w:r>
              <w:rPr>
                <w:rFonts w:hint="eastAsia"/>
                <w:sz w:val="18"/>
                <w:szCs w:val="18"/>
              </w:rPr>
              <w:t>SY/T 5329-2022</w:t>
            </w:r>
            <w:r>
              <w:rPr>
                <w:rFonts w:hint="eastAsia"/>
                <w:sz w:val="18"/>
                <w:szCs w:val="18"/>
              </w:rPr>
              <w:t>）</w:t>
            </w:r>
            <w:r>
              <w:rPr>
                <w:sz w:val="18"/>
                <w:szCs w:val="18"/>
              </w:rPr>
              <w:t>标准后回注油层。</w:t>
            </w:r>
          </w:p>
        </w:tc>
      </w:tr>
      <w:tr w:rsidR="00EE4502">
        <w:trPr>
          <w:trHeight w:val="340"/>
        </w:trPr>
        <w:tc>
          <w:tcPr>
            <w:tcW w:w="602" w:type="pct"/>
            <w:vMerge/>
            <w:vAlign w:val="center"/>
          </w:tcPr>
          <w:p w:rsidR="00EE4502" w:rsidRDefault="00EE4502">
            <w:pPr>
              <w:spacing w:line="240" w:lineRule="exact"/>
              <w:jc w:val="center"/>
              <w:rPr>
                <w:sz w:val="18"/>
                <w:szCs w:val="18"/>
              </w:rPr>
            </w:pPr>
          </w:p>
        </w:tc>
        <w:tc>
          <w:tcPr>
            <w:tcW w:w="1527" w:type="pct"/>
            <w:gridSpan w:val="3"/>
            <w:vMerge w:val="restart"/>
            <w:vAlign w:val="center"/>
          </w:tcPr>
          <w:p w:rsidR="00EE4502" w:rsidRDefault="00FD45A3">
            <w:pPr>
              <w:spacing w:line="240" w:lineRule="exact"/>
              <w:jc w:val="center"/>
              <w:rPr>
                <w:sz w:val="18"/>
                <w:szCs w:val="18"/>
              </w:rPr>
            </w:pPr>
            <w:r>
              <w:rPr>
                <w:sz w:val="18"/>
                <w:szCs w:val="18"/>
              </w:rPr>
              <w:t>井下作业废水</w:t>
            </w:r>
          </w:p>
        </w:tc>
        <w:tc>
          <w:tcPr>
            <w:tcW w:w="651" w:type="pct"/>
            <w:vAlign w:val="center"/>
          </w:tcPr>
          <w:p w:rsidR="00EE4502" w:rsidRDefault="00FD45A3">
            <w:pPr>
              <w:spacing w:line="240" w:lineRule="exact"/>
              <w:jc w:val="center"/>
              <w:rPr>
                <w:sz w:val="18"/>
                <w:szCs w:val="18"/>
              </w:rPr>
            </w:pPr>
            <w:r>
              <w:rPr>
                <w:sz w:val="18"/>
                <w:szCs w:val="18"/>
              </w:rPr>
              <w:t>井下作业废水</w:t>
            </w:r>
          </w:p>
        </w:tc>
        <w:tc>
          <w:tcPr>
            <w:tcW w:w="613" w:type="pct"/>
            <w:vAlign w:val="center"/>
          </w:tcPr>
          <w:p w:rsidR="00EE4502" w:rsidRDefault="00FD45A3">
            <w:pPr>
              <w:spacing w:line="240" w:lineRule="exact"/>
              <w:jc w:val="center"/>
              <w:rPr>
                <w:sz w:val="18"/>
                <w:szCs w:val="18"/>
              </w:rPr>
            </w:pPr>
            <w:r>
              <w:rPr>
                <w:sz w:val="18"/>
                <w:szCs w:val="18"/>
              </w:rPr>
              <w:t>0</w:t>
            </w:r>
          </w:p>
        </w:tc>
        <w:tc>
          <w:tcPr>
            <w:tcW w:w="1606" w:type="pct"/>
            <w:vMerge w:val="restart"/>
            <w:vAlign w:val="center"/>
          </w:tcPr>
          <w:p w:rsidR="00EE4502" w:rsidRDefault="00FD45A3">
            <w:pPr>
              <w:spacing w:line="240" w:lineRule="exact"/>
              <w:jc w:val="center"/>
              <w:rPr>
                <w:sz w:val="18"/>
                <w:szCs w:val="18"/>
              </w:rPr>
            </w:pPr>
            <w:r>
              <w:rPr>
                <w:sz w:val="18"/>
                <w:szCs w:val="18"/>
              </w:rPr>
              <w:t>采用专用罐拉运至联合站污水处理系统，处理</w:t>
            </w:r>
            <w:r>
              <w:rPr>
                <w:rFonts w:hint="eastAsia"/>
                <w:sz w:val="18"/>
                <w:szCs w:val="18"/>
              </w:rPr>
              <w:t>后</w:t>
            </w:r>
            <w:r>
              <w:rPr>
                <w:sz w:val="18"/>
                <w:szCs w:val="18"/>
              </w:rPr>
              <w:t>回注油层。</w:t>
            </w:r>
          </w:p>
        </w:tc>
      </w:tr>
      <w:tr w:rsidR="00EE4502">
        <w:trPr>
          <w:trHeight w:val="340"/>
        </w:trPr>
        <w:tc>
          <w:tcPr>
            <w:tcW w:w="602" w:type="pct"/>
            <w:vMerge/>
            <w:vAlign w:val="center"/>
          </w:tcPr>
          <w:p w:rsidR="00EE4502" w:rsidRDefault="00EE4502">
            <w:pPr>
              <w:spacing w:line="240" w:lineRule="exact"/>
              <w:jc w:val="center"/>
              <w:rPr>
                <w:sz w:val="18"/>
                <w:szCs w:val="18"/>
              </w:rPr>
            </w:pPr>
          </w:p>
        </w:tc>
        <w:tc>
          <w:tcPr>
            <w:tcW w:w="1527" w:type="pct"/>
            <w:gridSpan w:val="3"/>
            <w:vMerge/>
            <w:vAlign w:val="center"/>
          </w:tcPr>
          <w:p w:rsidR="00EE4502" w:rsidRDefault="00EE4502">
            <w:pPr>
              <w:spacing w:line="240" w:lineRule="exact"/>
              <w:jc w:val="center"/>
              <w:rPr>
                <w:sz w:val="18"/>
                <w:szCs w:val="18"/>
              </w:rPr>
            </w:pPr>
          </w:p>
        </w:tc>
        <w:tc>
          <w:tcPr>
            <w:tcW w:w="651" w:type="pct"/>
            <w:vAlign w:val="center"/>
          </w:tcPr>
          <w:p w:rsidR="00EE4502" w:rsidRDefault="00FD45A3">
            <w:pPr>
              <w:spacing w:line="240" w:lineRule="exact"/>
              <w:jc w:val="center"/>
              <w:rPr>
                <w:sz w:val="18"/>
                <w:szCs w:val="18"/>
              </w:rPr>
            </w:pPr>
            <w:r>
              <w:rPr>
                <w:sz w:val="18"/>
                <w:szCs w:val="18"/>
              </w:rPr>
              <w:t>COD</w:t>
            </w:r>
          </w:p>
        </w:tc>
        <w:tc>
          <w:tcPr>
            <w:tcW w:w="613" w:type="pct"/>
            <w:vAlign w:val="center"/>
          </w:tcPr>
          <w:p w:rsidR="00EE4502" w:rsidRDefault="00FD45A3">
            <w:pPr>
              <w:spacing w:line="240" w:lineRule="exact"/>
              <w:jc w:val="center"/>
              <w:rPr>
                <w:sz w:val="18"/>
                <w:szCs w:val="18"/>
              </w:rPr>
            </w:pPr>
            <w:r>
              <w:rPr>
                <w:sz w:val="18"/>
                <w:szCs w:val="18"/>
              </w:rPr>
              <w:t>0</w:t>
            </w:r>
          </w:p>
        </w:tc>
        <w:tc>
          <w:tcPr>
            <w:tcW w:w="1606" w:type="pct"/>
            <w:vMerge/>
            <w:vAlign w:val="center"/>
          </w:tcPr>
          <w:p w:rsidR="00EE4502" w:rsidRDefault="00EE4502">
            <w:pPr>
              <w:spacing w:line="240" w:lineRule="exact"/>
              <w:jc w:val="center"/>
              <w:rPr>
                <w:sz w:val="18"/>
                <w:szCs w:val="18"/>
              </w:rPr>
            </w:pPr>
          </w:p>
        </w:tc>
      </w:tr>
      <w:tr w:rsidR="00EE4502">
        <w:trPr>
          <w:trHeight w:val="340"/>
        </w:trPr>
        <w:tc>
          <w:tcPr>
            <w:tcW w:w="602" w:type="pct"/>
            <w:vMerge/>
            <w:vAlign w:val="center"/>
          </w:tcPr>
          <w:p w:rsidR="00EE4502" w:rsidRDefault="00EE4502">
            <w:pPr>
              <w:spacing w:line="240" w:lineRule="exact"/>
              <w:jc w:val="center"/>
              <w:rPr>
                <w:sz w:val="18"/>
                <w:szCs w:val="18"/>
              </w:rPr>
            </w:pPr>
          </w:p>
        </w:tc>
        <w:tc>
          <w:tcPr>
            <w:tcW w:w="1527" w:type="pct"/>
            <w:gridSpan w:val="3"/>
            <w:vMerge/>
            <w:vAlign w:val="center"/>
          </w:tcPr>
          <w:p w:rsidR="00EE4502" w:rsidRDefault="00EE4502">
            <w:pPr>
              <w:spacing w:line="240" w:lineRule="exact"/>
              <w:jc w:val="center"/>
              <w:rPr>
                <w:sz w:val="18"/>
                <w:szCs w:val="18"/>
              </w:rPr>
            </w:pPr>
          </w:p>
        </w:tc>
        <w:tc>
          <w:tcPr>
            <w:tcW w:w="651" w:type="pct"/>
            <w:vAlign w:val="center"/>
          </w:tcPr>
          <w:p w:rsidR="00EE4502" w:rsidRDefault="00FD45A3">
            <w:pPr>
              <w:spacing w:line="240" w:lineRule="exact"/>
              <w:jc w:val="center"/>
              <w:rPr>
                <w:sz w:val="18"/>
                <w:szCs w:val="18"/>
              </w:rPr>
            </w:pPr>
            <w:r>
              <w:rPr>
                <w:sz w:val="18"/>
                <w:szCs w:val="18"/>
              </w:rPr>
              <w:t>石油类</w:t>
            </w:r>
          </w:p>
        </w:tc>
        <w:tc>
          <w:tcPr>
            <w:tcW w:w="613" w:type="pct"/>
            <w:vAlign w:val="center"/>
          </w:tcPr>
          <w:p w:rsidR="00EE4502" w:rsidRDefault="00FD45A3">
            <w:pPr>
              <w:spacing w:line="240" w:lineRule="exact"/>
              <w:jc w:val="center"/>
              <w:rPr>
                <w:sz w:val="18"/>
                <w:szCs w:val="18"/>
              </w:rPr>
            </w:pPr>
            <w:r>
              <w:rPr>
                <w:sz w:val="18"/>
                <w:szCs w:val="18"/>
              </w:rPr>
              <w:t>0</w:t>
            </w:r>
          </w:p>
        </w:tc>
        <w:tc>
          <w:tcPr>
            <w:tcW w:w="1606" w:type="pct"/>
            <w:vMerge/>
            <w:vAlign w:val="center"/>
          </w:tcPr>
          <w:p w:rsidR="00EE4502" w:rsidRDefault="00EE4502">
            <w:pPr>
              <w:spacing w:line="240" w:lineRule="exact"/>
              <w:jc w:val="center"/>
              <w:rPr>
                <w:sz w:val="18"/>
                <w:szCs w:val="18"/>
              </w:rPr>
            </w:pPr>
          </w:p>
        </w:tc>
      </w:tr>
      <w:tr w:rsidR="00EE4502">
        <w:trPr>
          <w:trHeight w:val="340"/>
        </w:trPr>
        <w:tc>
          <w:tcPr>
            <w:tcW w:w="602" w:type="pct"/>
            <w:vMerge w:val="restart"/>
            <w:vAlign w:val="center"/>
          </w:tcPr>
          <w:p w:rsidR="00EE4502" w:rsidRDefault="00FD45A3">
            <w:pPr>
              <w:spacing w:line="240" w:lineRule="exact"/>
              <w:jc w:val="center"/>
              <w:rPr>
                <w:sz w:val="18"/>
                <w:szCs w:val="18"/>
              </w:rPr>
            </w:pPr>
            <w:r>
              <w:rPr>
                <w:sz w:val="18"/>
                <w:szCs w:val="18"/>
              </w:rPr>
              <w:t>固体废物</w:t>
            </w:r>
          </w:p>
        </w:tc>
        <w:tc>
          <w:tcPr>
            <w:tcW w:w="668" w:type="pct"/>
            <w:gridSpan w:val="2"/>
            <w:vMerge w:val="restart"/>
            <w:vAlign w:val="center"/>
          </w:tcPr>
          <w:p w:rsidR="00EE4502" w:rsidRDefault="00FD45A3">
            <w:pPr>
              <w:spacing w:line="240" w:lineRule="exact"/>
              <w:jc w:val="center"/>
              <w:rPr>
                <w:sz w:val="18"/>
                <w:szCs w:val="18"/>
              </w:rPr>
            </w:pPr>
            <w:r>
              <w:rPr>
                <w:sz w:val="18"/>
                <w:szCs w:val="18"/>
              </w:rPr>
              <w:t>井场、管线等</w:t>
            </w:r>
          </w:p>
        </w:tc>
        <w:tc>
          <w:tcPr>
            <w:tcW w:w="860" w:type="pct"/>
            <w:vAlign w:val="center"/>
          </w:tcPr>
          <w:p w:rsidR="00EE4502" w:rsidRDefault="00FD45A3">
            <w:pPr>
              <w:spacing w:line="240" w:lineRule="exact"/>
              <w:jc w:val="center"/>
              <w:rPr>
                <w:sz w:val="18"/>
                <w:szCs w:val="18"/>
              </w:rPr>
            </w:pPr>
            <w:r>
              <w:rPr>
                <w:sz w:val="18"/>
                <w:szCs w:val="18"/>
              </w:rPr>
              <w:t>落地油、清管废渣</w:t>
            </w:r>
            <w:r>
              <w:rPr>
                <w:rFonts w:hint="eastAsia"/>
                <w:sz w:val="18"/>
                <w:szCs w:val="18"/>
              </w:rPr>
              <w:t>、</w:t>
            </w:r>
            <w:r>
              <w:rPr>
                <w:sz w:val="18"/>
                <w:szCs w:val="18"/>
              </w:rPr>
              <w:t>废防渗布</w:t>
            </w:r>
          </w:p>
        </w:tc>
        <w:tc>
          <w:tcPr>
            <w:tcW w:w="651" w:type="pct"/>
            <w:vAlign w:val="center"/>
          </w:tcPr>
          <w:p w:rsidR="00EE4502" w:rsidRDefault="00FD45A3">
            <w:pPr>
              <w:spacing w:line="240" w:lineRule="exact"/>
              <w:jc w:val="center"/>
              <w:rPr>
                <w:sz w:val="18"/>
                <w:szCs w:val="18"/>
              </w:rPr>
            </w:pPr>
            <w:r>
              <w:rPr>
                <w:sz w:val="18"/>
                <w:szCs w:val="18"/>
              </w:rPr>
              <w:t>废矿物油</w:t>
            </w:r>
          </w:p>
        </w:tc>
        <w:tc>
          <w:tcPr>
            <w:tcW w:w="613" w:type="pct"/>
            <w:vAlign w:val="center"/>
          </w:tcPr>
          <w:p w:rsidR="00EE4502" w:rsidRDefault="00FD45A3">
            <w:pPr>
              <w:spacing w:line="240" w:lineRule="exact"/>
              <w:jc w:val="center"/>
              <w:rPr>
                <w:sz w:val="18"/>
                <w:szCs w:val="18"/>
              </w:rPr>
            </w:pPr>
            <w:r>
              <w:rPr>
                <w:sz w:val="18"/>
                <w:szCs w:val="18"/>
              </w:rPr>
              <w:t>0</w:t>
            </w:r>
          </w:p>
        </w:tc>
        <w:tc>
          <w:tcPr>
            <w:tcW w:w="1606" w:type="pct"/>
            <w:vAlign w:val="center"/>
          </w:tcPr>
          <w:p w:rsidR="00EE4502" w:rsidRDefault="00FD45A3">
            <w:pPr>
              <w:spacing w:line="240" w:lineRule="exact"/>
              <w:jc w:val="center"/>
              <w:rPr>
                <w:sz w:val="18"/>
                <w:szCs w:val="18"/>
              </w:rPr>
            </w:pPr>
            <w:r>
              <w:rPr>
                <w:bCs/>
                <w:sz w:val="18"/>
                <w:szCs w:val="18"/>
              </w:rPr>
              <w:t>委托</w:t>
            </w:r>
            <w:r>
              <w:rPr>
                <w:sz w:val="18"/>
                <w:szCs w:val="18"/>
              </w:rPr>
              <w:t>有资质单位处置</w:t>
            </w:r>
          </w:p>
        </w:tc>
      </w:tr>
      <w:tr w:rsidR="00EE4502">
        <w:trPr>
          <w:trHeight w:val="340"/>
        </w:trPr>
        <w:tc>
          <w:tcPr>
            <w:tcW w:w="602" w:type="pct"/>
            <w:vMerge/>
            <w:vAlign w:val="center"/>
          </w:tcPr>
          <w:p w:rsidR="00EE4502" w:rsidRDefault="00EE4502">
            <w:pPr>
              <w:spacing w:line="240" w:lineRule="exact"/>
              <w:jc w:val="center"/>
              <w:rPr>
                <w:sz w:val="18"/>
                <w:szCs w:val="18"/>
              </w:rPr>
            </w:pPr>
          </w:p>
        </w:tc>
        <w:tc>
          <w:tcPr>
            <w:tcW w:w="668" w:type="pct"/>
            <w:gridSpan w:val="2"/>
            <w:vMerge/>
            <w:vAlign w:val="center"/>
          </w:tcPr>
          <w:p w:rsidR="00EE4502" w:rsidRDefault="00EE4502">
            <w:pPr>
              <w:spacing w:line="240" w:lineRule="exact"/>
              <w:jc w:val="center"/>
              <w:rPr>
                <w:sz w:val="18"/>
                <w:szCs w:val="18"/>
              </w:rPr>
            </w:pPr>
          </w:p>
        </w:tc>
        <w:tc>
          <w:tcPr>
            <w:tcW w:w="860" w:type="pct"/>
            <w:vAlign w:val="center"/>
          </w:tcPr>
          <w:p w:rsidR="00EE4502" w:rsidRDefault="00FD45A3">
            <w:pPr>
              <w:spacing w:line="240" w:lineRule="exact"/>
              <w:jc w:val="center"/>
              <w:rPr>
                <w:sz w:val="18"/>
                <w:szCs w:val="18"/>
              </w:rPr>
            </w:pPr>
            <w:r>
              <w:rPr>
                <w:rFonts w:hint="eastAsia"/>
                <w:sz w:val="18"/>
                <w:szCs w:val="18"/>
              </w:rPr>
              <w:t>废润滑油</w:t>
            </w:r>
          </w:p>
        </w:tc>
        <w:tc>
          <w:tcPr>
            <w:tcW w:w="651" w:type="pct"/>
            <w:vAlign w:val="center"/>
          </w:tcPr>
          <w:p w:rsidR="00EE4502" w:rsidRDefault="00FD45A3">
            <w:pPr>
              <w:spacing w:line="240" w:lineRule="exact"/>
              <w:jc w:val="center"/>
              <w:rPr>
                <w:sz w:val="18"/>
                <w:szCs w:val="18"/>
              </w:rPr>
            </w:pPr>
            <w:r>
              <w:rPr>
                <w:sz w:val="18"/>
                <w:szCs w:val="18"/>
              </w:rPr>
              <w:t>废矿物油</w:t>
            </w:r>
          </w:p>
        </w:tc>
        <w:tc>
          <w:tcPr>
            <w:tcW w:w="613" w:type="pct"/>
            <w:vAlign w:val="center"/>
          </w:tcPr>
          <w:p w:rsidR="00EE4502" w:rsidRDefault="00FD45A3">
            <w:pPr>
              <w:spacing w:line="240" w:lineRule="exact"/>
              <w:jc w:val="center"/>
              <w:rPr>
                <w:sz w:val="18"/>
                <w:szCs w:val="18"/>
              </w:rPr>
            </w:pPr>
            <w:r>
              <w:rPr>
                <w:sz w:val="18"/>
                <w:szCs w:val="18"/>
              </w:rPr>
              <w:t>0</w:t>
            </w:r>
          </w:p>
        </w:tc>
        <w:tc>
          <w:tcPr>
            <w:tcW w:w="1606" w:type="pct"/>
            <w:vAlign w:val="center"/>
          </w:tcPr>
          <w:p w:rsidR="00EE4502" w:rsidRDefault="00FD45A3">
            <w:pPr>
              <w:spacing w:line="240" w:lineRule="exact"/>
              <w:jc w:val="center"/>
              <w:rPr>
                <w:sz w:val="18"/>
                <w:szCs w:val="18"/>
              </w:rPr>
            </w:pPr>
            <w:r>
              <w:rPr>
                <w:rFonts w:hint="eastAsia"/>
                <w:sz w:val="18"/>
                <w:szCs w:val="18"/>
              </w:rPr>
              <w:t>送至</w:t>
            </w:r>
            <w:r>
              <w:rPr>
                <w:rFonts w:hint="eastAsia"/>
                <w:sz w:val="18"/>
                <w:szCs w:val="18"/>
              </w:rPr>
              <w:t>联合站综合利用</w:t>
            </w:r>
          </w:p>
        </w:tc>
      </w:tr>
      <w:tr w:rsidR="00EE4502">
        <w:trPr>
          <w:trHeight w:val="340"/>
        </w:trPr>
        <w:tc>
          <w:tcPr>
            <w:tcW w:w="602" w:type="pct"/>
            <w:vAlign w:val="center"/>
          </w:tcPr>
          <w:p w:rsidR="00EE4502" w:rsidRDefault="00FD45A3">
            <w:pPr>
              <w:spacing w:line="240" w:lineRule="exact"/>
              <w:jc w:val="center"/>
              <w:rPr>
                <w:sz w:val="18"/>
                <w:szCs w:val="18"/>
              </w:rPr>
            </w:pPr>
            <w:r>
              <w:rPr>
                <w:sz w:val="18"/>
                <w:szCs w:val="18"/>
              </w:rPr>
              <w:t>噪声</w:t>
            </w:r>
          </w:p>
        </w:tc>
        <w:tc>
          <w:tcPr>
            <w:tcW w:w="668" w:type="pct"/>
            <w:gridSpan w:val="2"/>
            <w:vAlign w:val="center"/>
          </w:tcPr>
          <w:p w:rsidR="00EE4502" w:rsidRDefault="00FD45A3">
            <w:pPr>
              <w:spacing w:line="240" w:lineRule="exact"/>
              <w:jc w:val="center"/>
              <w:rPr>
                <w:sz w:val="18"/>
                <w:szCs w:val="18"/>
              </w:rPr>
            </w:pPr>
            <w:r>
              <w:rPr>
                <w:sz w:val="18"/>
                <w:szCs w:val="18"/>
              </w:rPr>
              <w:t>井场设备、井下作业</w:t>
            </w:r>
          </w:p>
        </w:tc>
        <w:tc>
          <w:tcPr>
            <w:tcW w:w="860" w:type="pct"/>
            <w:vAlign w:val="center"/>
          </w:tcPr>
          <w:p w:rsidR="00EE4502" w:rsidRDefault="00FD45A3">
            <w:pPr>
              <w:spacing w:line="240" w:lineRule="exact"/>
              <w:jc w:val="center"/>
              <w:rPr>
                <w:sz w:val="18"/>
                <w:szCs w:val="18"/>
              </w:rPr>
            </w:pPr>
            <w:r>
              <w:rPr>
                <w:sz w:val="18"/>
                <w:szCs w:val="18"/>
              </w:rPr>
              <w:t>机械噪声</w:t>
            </w:r>
          </w:p>
        </w:tc>
        <w:tc>
          <w:tcPr>
            <w:tcW w:w="651" w:type="pct"/>
            <w:vAlign w:val="center"/>
          </w:tcPr>
          <w:p w:rsidR="00EE4502" w:rsidRDefault="00FD45A3">
            <w:pPr>
              <w:spacing w:line="240" w:lineRule="exact"/>
              <w:jc w:val="center"/>
              <w:rPr>
                <w:sz w:val="18"/>
                <w:szCs w:val="18"/>
              </w:rPr>
            </w:pPr>
            <w:r>
              <w:rPr>
                <w:rFonts w:hint="eastAsia"/>
                <w:sz w:val="18"/>
                <w:szCs w:val="18"/>
              </w:rPr>
              <w:t>/</w:t>
            </w:r>
          </w:p>
        </w:tc>
        <w:tc>
          <w:tcPr>
            <w:tcW w:w="613" w:type="pct"/>
            <w:vAlign w:val="center"/>
          </w:tcPr>
          <w:p w:rsidR="00EE4502" w:rsidRDefault="00FD45A3">
            <w:pPr>
              <w:spacing w:line="240" w:lineRule="exact"/>
              <w:jc w:val="center"/>
              <w:rPr>
                <w:sz w:val="18"/>
                <w:szCs w:val="18"/>
              </w:rPr>
            </w:pPr>
            <w:r>
              <w:rPr>
                <w:sz w:val="18"/>
                <w:szCs w:val="18"/>
              </w:rPr>
              <w:t>厂界达标</w:t>
            </w:r>
          </w:p>
        </w:tc>
        <w:tc>
          <w:tcPr>
            <w:tcW w:w="1606" w:type="pct"/>
            <w:vAlign w:val="center"/>
          </w:tcPr>
          <w:p w:rsidR="00EE4502" w:rsidRDefault="00FD45A3">
            <w:pPr>
              <w:spacing w:line="240" w:lineRule="exact"/>
              <w:jc w:val="center"/>
              <w:rPr>
                <w:sz w:val="18"/>
                <w:szCs w:val="18"/>
              </w:rPr>
            </w:pPr>
            <w:r>
              <w:rPr>
                <w:sz w:val="18"/>
                <w:szCs w:val="18"/>
              </w:rPr>
              <w:t>选用低噪声设备，采取减振、隔声、消声等降噪措施</w:t>
            </w:r>
          </w:p>
        </w:tc>
      </w:tr>
    </w:tbl>
    <w:p w:rsidR="00EE4502" w:rsidRDefault="00FD45A3">
      <w:pPr>
        <w:pStyle w:val="22"/>
        <w:numPr>
          <w:ilvl w:val="1"/>
          <w:numId w:val="30"/>
        </w:numPr>
        <w:rPr>
          <w:spacing w:val="0"/>
          <w:w w:val="100"/>
        </w:rPr>
      </w:pPr>
      <w:bookmarkStart w:id="281" w:name="_Toc12473"/>
      <w:r>
        <w:rPr>
          <w:spacing w:val="0"/>
          <w:w w:val="100"/>
        </w:rPr>
        <w:t>其他环境管理</w:t>
      </w:r>
      <w:bookmarkEnd w:id="281"/>
    </w:p>
    <w:p w:rsidR="00EE4502" w:rsidRDefault="00FD45A3">
      <w:pPr>
        <w:spacing w:line="360" w:lineRule="auto"/>
        <w:ind w:firstLine="522"/>
        <w:rPr>
          <w:sz w:val="24"/>
        </w:rPr>
      </w:pPr>
      <w:r>
        <w:rPr>
          <w:sz w:val="24"/>
        </w:rPr>
        <w:t>除上述环境管理要求外，建设单位还应按要求执行以下：</w:t>
      </w:r>
    </w:p>
    <w:p w:rsidR="00EE4502" w:rsidRDefault="00FD45A3">
      <w:pPr>
        <w:spacing w:line="360" w:lineRule="auto"/>
        <w:ind w:firstLine="522"/>
        <w:rPr>
          <w:sz w:val="24"/>
        </w:rPr>
      </w:pPr>
      <w:r>
        <w:rPr>
          <w:sz w:val="24"/>
        </w:rPr>
        <w:t>（</w:t>
      </w:r>
      <w:r>
        <w:rPr>
          <w:sz w:val="24"/>
        </w:rPr>
        <w:t>1</w:t>
      </w:r>
      <w:r>
        <w:rPr>
          <w:sz w:val="24"/>
        </w:rPr>
        <w:t>）建立环境管理台账</w:t>
      </w:r>
    </w:p>
    <w:p w:rsidR="00EE4502" w:rsidRDefault="00FD45A3">
      <w:pPr>
        <w:spacing w:line="360" w:lineRule="auto"/>
        <w:ind w:firstLine="522"/>
        <w:rPr>
          <w:sz w:val="24"/>
        </w:rPr>
      </w:pPr>
      <w:r>
        <w:rPr>
          <w:rFonts w:hint="eastAsia"/>
          <w:sz w:val="24"/>
        </w:rPr>
        <w:t>本工程</w:t>
      </w:r>
      <w:r>
        <w:rPr>
          <w:sz w:val="24"/>
        </w:rPr>
        <w:t>需根据相关要求建立以下台账：</w:t>
      </w:r>
    </w:p>
    <w:p w:rsidR="00EE4502" w:rsidRDefault="00FD45A3">
      <w:pPr>
        <w:spacing w:line="360" w:lineRule="auto"/>
        <w:ind w:firstLine="522"/>
        <w:rPr>
          <w:sz w:val="24"/>
        </w:rPr>
      </w:pPr>
      <w:r>
        <w:rPr>
          <w:sz w:val="24"/>
        </w:rPr>
        <w:t>自行监测数据统计台账、污染源台账</w:t>
      </w:r>
      <w:r>
        <w:rPr>
          <w:rFonts w:hint="eastAsia"/>
          <w:sz w:val="24"/>
        </w:rPr>
        <w:t>；</w:t>
      </w:r>
    </w:p>
    <w:p w:rsidR="00EE4502" w:rsidRDefault="00FD45A3">
      <w:pPr>
        <w:spacing w:line="360" w:lineRule="auto"/>
        <w:ind w:firstLine="522"/>
        <w:rPr>
          <w:sz w:val="24"/>
        </w:rPr>
      </w:pPr>
      <w:r>
        <w:rPr>
          <w:sz w:val="24"/>
        </w:rPr>
        <w:t>环保指标、目标分解考核台账；</w:t>
      </w:r>
    </w:p>
    <w:p w:rsidR="00EE4502" w:rsidRDefault="00FD45A3">
      <w:pPr>
        <w:spacing w:line="360" w:lineRule="auto"/>
        <w:ind w:firstLine="522"/>
        <w:rPr>
          <w:sz w:val="24"/>
        </w:rPr>
      </w:pPr>
      <w:r>
        <w:rPr>
          <w:sz w:val="24"/>
        </w:rPr>
        <w:lastRenderedPageBreak/>
        <w:t>污染物排放总量台账；</w:t>
      </w:r>
    </w:p>
    <w:p w:rsidR="00EE4502" w:rsidRDefault="00FD45A3">
      <w:pPr>
        <w:spacing w:line="360" w:lineRule="auto"/>
        <w:ind w:firstLine="522"/>
        <w:rPr>
          <w:sz w:val="24"/>
        </w:rPr>
      </w:pPr>
      <w:r>
        <w:rPr>
          <w:sz w:val="24"/>
        </w:rPr>
        <w:t>固体废物台账：一般固废须根据《一般工业固体废物管理台账制定指南（试行）》建立好产生台账、流向台账、转运台账、贮存台账、利用台账、处置台账、贮存设施维护台账等；危险废物须根据《危险废物产生单位管理计划制定指南》记录好产生工序、危险废物特性、贮存环节、自行利用处置环节等情况；</w:t>
      </w:r>
    </w:p>
    <w:p w:rsidR="00EE4502" w:rsidRDefault="00FD45A3">
      <w:pPr>
        <w:spacing w:line="360" w:lineRule="auto"/>
        <w:ind w:firstLine="522"/>
        <w:rPr>
          <w:sz w:val="24"/>
        </w:rPr>
      </w:pPr>
      <w:r>
        <w:rPr>
          <w:sz w:val="24"/>
        </w:rPr>
        <w:t>“</w:t>
      </w:r>
      <w:r>
        <w:rPr>
          <w:sz w:val="24"/>
        </w:rPr>
        <w:t>三废</w:t>
      </w:r>
      <w:r>
        <w:rPr>
          <w:sz w:val="24"/>
        </w:rPr>
        <w:t>”</w:t>
      </w:r>
      <w:r>
        <w:rPr>
          <w:sz w:val="24"/>
        </w:rPr>
        <w:t>综合利用台账</w:t>
      </w:r>
      <w:r>
        <w:rPr>
          <w:rFonts w:hint="eastAsia"/>
          <w:sz w:val="24"/>
        </w:rPr>
        <w:t>：</w:t>
      </w:r>
      <w:r>
        <w:rPr>
          <w:sz w:val="24"/>
        </w:rPr>
        <w:t>主要记录固体废物的综合利用情况，包括厂内和厂外利用情况；</w:t>
      </w:r>
    </w:p>
    <w:p w:rsidR="00EE4502" w:rsidRDefault="00FD45A3">
      <w:pPr>
        <w:spacing w:line="360" w:lineRule="auto"/>
        <w:ind w:firstLine="522"/>
        <w:rPr>
          <w:sz w:val="24"/>
        </w:rPr>
      </w:pPr>
      <w:r>
        <w:rPr>
          <w:sz w:val="24"/>
        </w:rPr>
        <w:t>环保治理台账；</w:t>
      </w:r>
    </w:p>
    <w:p w:rsidR="00EE4502" w:rsidRDefault="00FD45A3">
      <w:pPr>
        <w:spacing w:line="360" w:lineRule="auto"/>
        <w:ind w:firstLine="522"/>
        <w:rPr>
          <w:sz w:val="24"/>
        </w:rPr>
      </w:pPr>
      <w:r>
        <w:rPr>
          <w:sz w:val="24"/>
        </w:rPr>
        <w:t>定期巡检台账</w:t>
      </w:r>
      <w:r>
        <w:rPr>
          <w:rFonts w:hint="eastAsia"/>
          <w:sz w:val="24"/>
        </w:rPr>
        <w:t>：</w:t>
      </w:r>
      <w:r>
        <w:rPr>
          <w:sz w:val="24"/>
        </w:rPr>
        <w:t>记录好管线、钻井运行巡检情况，包括巡检时间、巡检内容、巡检人员、设备运行状况等；</w:t>
      </w:r>
    </w:p>
    <w:p w:rsidR="00EE4502" w:rsidRDefault="00FD45A3">
      <w:pPr>
        <w:spacing w:line="360" w:lineRule="auto"/>
        <w:ind w:firstLine="522"/>
        <w:rPr>
          <w:sz w:val="24"/>
        </w:rPr>
      </w:pPr>
      <w:r>
        <w:rPr>
          <w:sz w:val="24"/>
        </w:rPr>
        <w:t>清洁生产审核台账；</w:t>
      </w:r>
    </w:p>
    <w:p w:rsidR="00EE4502" w:rsidRDefault="00FD45A3">
      <w:pPr>
        <w:spacing w:line="360" w:lineRule="auto"/>
        <w:ind w:firstLine="522"/>
        <w:rPr>
          <w:sz w:val="24"/>
        </w:rPr>
      </w:pPr>
      <w:r>
        <w:rPr>
          <w:sz w:val="24"/>
        </w:rPr>
        <w:t>排污许可执行报告台账</w:t>
      </w:r>
      <w:r>
        <w:rPr>
          <w:rFonts w:hint="eastAsia"/>
          <w:sz w:val="24"/>
        </w:rPr>
        <w:t>；</w:t>
      </w:r>
    </w:p>
    <w:p w:rsidR="00EE4502" w:rsidRDefault="00FD45A3">
      <w:pPr>
        <w:spacing w:line="360" w:lineRule="auto"/>
        <w:ind w:firstLine="522"/>
        <w:rPr>
          <w:sz w:val="24"/>
        </w:rPr>
      </w:pPr>
      <w:r>
        <w:rPr>
          <w:sz w:val="24"/>
        </w:rPr>
        <w:t>环保宣传、培训、教育台账；</w:t>
      </w:r>
    </w:p>
    <w:p w:rsidR="00EE4502" w:rsidRDefault="00FD45A3">
      <w:pPr>
        <w:spacing w:line="360" w:lineRule="auto"/>
        <w:ind w:firstLine="522"/>
        <w:rPr>
          <w:sz w:val="24"/>
        </w:rPr>
      </w:pPr>
      <w:r>
        <w:rPr>
          <w:rFonts w:hint="eastAsia"/>
          <w:sz w:val="24"/>
        </w:rPr>
        <w:t>环境污染</w:t>
      </w:r>
      <w:r>
        <w:rPr>
          <w:sz w:val="24"/>
        </w:rPr>
        <w:t>事故台账等。</w:t>
      </w:r>
    </w:p>
    <w:p w:rsidR="00EE4502" w:rsidRDefault="00FD45A3">
      <w:pPr>
        <w:spacing w:line="360" w:lineRule="auto"/>
        <w:ind w:firstLine="522"/>
        <w:rPr>
          <w:sz w:val="24"/>
        </w:rPr>
      </w:pPr>
      <w:r>
        <w:rPr>
          <w:sz w:val="24"/>
        </w:rPr>
        <w:t>各类原始记录内容应完整并有相关人员签字，保存三年。</w:t>
      </w:r>
    </w:p>
    <w:p w:rsidR="00EE4502" w:rsidRDefault="00FD45A3">
      <w:pPr>
        <w:spacing w:line="360" w:lineRule="auto"/>
        <w:ind w:firstLine="522"/>
        <w:rPr>
          <w:sz w:val="24"/>
        </w:rPr>
      </w:pPr>
      <w:r>
        <w:rPr>
          <w:sz w:val="24"/>
        </w:rPr>
        <w:t>（</w:t>
      </w:r>
      <w:r>
        <w:rPr>
          <w:sz w:val="24"/>
        </w:rPr>
        <w:t>2</w:t>
      </w:r>
      <w:r>
        <w:rPr>
          <w:sz w:val="24"/>
        </w:rPr>
        <w:t>）信息公开</w:t>
      </w:r>
    </w:p>
    <w:p w:rsidR="00EE4502" w:rsidRDefault="00FD45A3">
      <w:pPr>
        <w:spacing w:line="360" w:lineRule="auto"/>
        <w:ind w:firstLine="522"/>
        <w:rPr>
          <w:sz w:val="24"/>
        </w:rPr>
      </w:pPr>
      <w:r>
        <w:rPr>
          <w:sz w:val="24"/>
        </w:rPr>
        <w:t>根据《企业环境信息依法披露管理办法》（生态环境部令</w:t>
      </w:r>
      <w:r>
        <w:rPr>
          <w:sz w:val="24"/>
        </w:rPr>
        <w:t xml:space="preserve"> </w:t>
      </w:r>
      <w:r>
        <w:rPr>
          <w:sz w:val="24"/>
        </w:rPr>
        <w:t>第</w:t>
      </w:r>
      <w:r>
        <w:rPr>
          <w:sz w:val="24"/>
        </w:rPr>
        <w:t>24</w:t>
      </w:r>
      <w:r>
        <w:rPr>
          <w:sz w:val="24"/>
        </w:rPr>
        <w:t>号）规定：企业应当按照准则编制年度环境信息依法披露报告和临时环境信息依法披露报告，并上传至企业环境信息依法披露系统，具体披露报告应包括以下：</w:t>
      </w:r>
    </w:p>
    <w:p w:rsidR="00EE4502" w:rsidRDefault="00FD45A3">
      <w:pPr>
        <w:spacing w:line="360" w:lineRule="auto"/>
        <w:ind w:firstLine="522"/>
        <w:rPr>
          <w:sz w:val="24"/>
        </w:rPr>
      </w:pPr>
      <w:r>
        <w:rPr>
          <w:rFonts w:ascii="宋体" w:hAnsi="宋体" w:hint="eastAsia"/>
          <w:sz w:val="24"/>
        </w:rPr>
        <w:t>①</w:t>
      </w:r>
      <w:r>
        <w:rPr>
          <w:sz w:val="24"/>
        </w:rPr>
        <w:t>企业基本信息，包括企业生产和生态环境保护等方面的基础信息；</w:t>
      </w:r>
    </w:p>
    <w:p w:rsidR="00EE4502" w:rsidRDefault="00FD45A3">
      <w:pPr>
        <w:spacing w:line="360" w:lineRule="auto"/>
        <w:ind w:firstLine="522"/>
        <w:rPr>
          <w:sz w:val="24"/>
        </w:rPr>
      </w:pPr>
      <w:r>
        <w:rPr>
          <w:rFonts w:ascii="宋体" w:hAnsi="宋体" w:hint="eastAsia"/>
          <w:sz w:val="24"/>
        </w:rPr>
        <w:t>②</w:t>
      </w:r>
      <w:r>
        <w:rPr>
          <w:sz w:val="24"/>
        </w:rPr>
        <w:t>企业环境管理信息，包括生态环境行政许可、环境保护税、环境污染责任保险、环保信用评价等方面的信息；</w:t>
      </w:r>
    </w:p>
    <w:p w:rsidR="00EE4502" w:rsidRDefault="00FD45A3">
      <w:pPr>
        <w:spacing w:line="360" w:lineRule="auto"/>
        <w:ind w:firstLine="522"/>
        <w:rPr>
          <w:sz w:val="24"/>
        </w:rPr>
      </w:pPr>
      <w:r>
        <w:rPr>
          <w:rFonts w:ascii="宋体" w:hAnsi="宋体" w:hint="eastAsia"/>
          <w:sz w:val="24"/>
        </w:rPr>
        <w:t>③</w:t>
      </w:r>
      <w:r>
        <w:rPr>
          <w:sz w:val="24"/>
        </w:rPr>
        <w:t>污染物产生、治理与排放信息，包括污染防治设施，污染物排放，有毒有害物质排放，工业固体废物和危险废物产生、贮存、流向、利用、处置，自行监测等方面的信息；</w:t>
      </w:r>
    </w:p>
    <w:p w:rsidR="00EE4502" w:rsidRDefault="00FD45A3">
      <w:pPr>
        <w:spacing w:line="360" w:lineRule="auto"/>
        <w:ind w:firstLine="522"/>
        <w:rPr>
          <w:sz w:val="24"/>
        </w:rPr>
      </w:pPr>
      <w:r>
        <w:rPr>
          <w:rFonts w:ascii="宋体" w:hAnsi="宋体" w:hint="eastAsia"/>
          <w:sz w:val="24"/>
        </w:rPr>
        <w:t>④</w:t>
      </w:r>
      <w:r>
        <w:rPr>
          <w:sz w:val="24"/>
        </w:rPr>
        <w:t>碳排放信息，包括排放量、排放设施等方面的信息；</w:t>
      </w:r>
    </w:p>
    <w:p w:rsidR="00EE4502" w:rsidRDefault="00FD45A3">
      <w:pPr>
        <w:spacing w:line="360" w:lineRule="auto"/>
        <w:ind w:firstLine="522"/>
        <w:rPr>
          <w:sz w:val="24"/>
        </w:rPr>
      </w:pPr>
      <w:r>
        <w:rPr>
          <w:rFonts w:ascii="宋体" w:hAnsi="宋体" w:hint="eastAsia"/>
          <w:sz w:val="24"/>
        </w:rPr>
        <w:t>⑤</w:t>
      </w:r>
      <w:r>
        <w:rPr>
          <w:sz w:val="24"/>
        </w:rPr>
        <w:t>生态环境应急信息，包括突发环境事件应急预案、重污染天气应急响应等方面的信息；</w:t>
      </w:r>
    </w:p>
    <w:p w:rsidR="00EE4502" w:rsidRDefault="00FD45A3">
      <w:pPr>
        <w:spacing w:line="360" w:lineRule="auto"/>
        <w:ind w:firstLine="522"/>
        <w:rPr>
          <w:sz w:val="24"/>
        </w:rPr>
      </w:pPr>
      <w:r>
        <w:rPr>
          <w:rFonts w:ascii="宋体" w:hAnsi="宋体" w:hint="eastAsia"/>
          <w:sz w:val="24"/>
        </w:rPr>
        <w:t>⑥</w:t>
      </w:r>
      <w:r>
        <w:rPr>
          <w:sz w:val="24"/>
        </w:rPr>
        <w:t>生态环境违法信息；</w:t>
      </w:r>
    </w:p>
    <w:p w:rsidR="00EE4502" w:rsidRDefault="00FD45A3">
      <w:pPr>
        <w:spacing w:line="360" w:lineRule="auto"/>
        <w:ind w:firstLine="522"/>
        <w:rPr>
          <w:sz w:val="24"/>
        </w:rPr>
      </w:pPr>
      <w:r>
        <w:rPr>
          <w:rFonts w:ascii="宋体" w:hAnsi="宋体" w:hint="eastAsia"/>
          <w:sz w:val="24"/>
        </w:rPr>
        <w:t>⑦</w:t>
      </w:r>
      <w:r>
        <w:rPr>
          <w:sz w:val="24"/>
        </w:rPr>
        <w:t>本年度临时环境信息依法披露情况；</w:t>
      </w:r>
    </w:p>
    <w:p w:rsidR="00EE4502" w:rsidRDefault="00FD45A3">
      <w:pPr>
        <w:spacing w:line="360" w:lineRule="auto"/>
        <w:ind w:firstLine="522"/>
        <w:rPr>
          <w:sz w:val="24"/>
        </w:rPr>
      </w:pPr>
      <w:r>
        <w:rPr>
          <w:rFonts w:ascii="宋体" w:hAnsi="宋体" w:hint="eastAsia"/>
          <w:sz w:val="24"/>
        </w:rPr>
        <w:lastRenderedPageBreak/>
        <w:t>⑧</w:t>
      </w:r>
      <w:r>
        <w:rPr>
          <w:sz w:val="24"/>
        </w:rPr>
        <w:t>法律法规规定的其他环境信息。</w:t>
      </w:r>
    </w:p>
    <w:p w:rsidR="00EE4502" w:rsidRDefault="00FD45A3">
      <w:pPr>
        <w:spacing w:line="360" w:lineRule="auto"/>
        <w:ind w:firstLine="522"/>
        <w:rPr>
          <w:rFonts w:eastAsia="黑体"/>
          <w:szCs w:val="21"/>
        </w:rPr>
      </w:pPr>
      <w:r>
        <w:rPr>
          <w:sz w:val="24"/>
        </w:rPr>
        <w:t>如若建设单位环境信息发生变更或有新生成时，应在环境信息生成或者变更之日起三十日内予以公开。</w:t>
      </w:r>
    </w:p>
    <w:p w:rsidR="00EE4502" w:rsidRDefault="00EE4502">
      <w:pPr>
        <w:spacing w:line="500" w:lineRule="exact"/>
        <w:rPr>
          <w:sz w:val="26"/>
          <w:szCs w:val="26"/>
        </w:rPr>
        <w:sectPr w:rsidR="00EE4502">
          <w:footerReference w:type="default" r:id="rId60"/>
          <w:pgSz w:w="11906" w:h="16838"/>
          <w:pgMar w:top="1440" w:right="1800" w:bottom="1440" w:left="1800" w:header="850" w:footer="850" w:gutter="0"/>
          <w:pgNumType w:fmt="numberInDash"/>
          <w:cols w:space="720"/>
          <w:docGrid w:linePitch="326"/>
        </w:sectPr>
      </w:pPr>
    </w:p>
    <w:p w:rsidR="00EE4502" w:rsidRDefault="00FD45A3">
      <w:pPr>
        <w:pStyle w:val="12"/>
        <w:numPr>
          <w:ilvl w:val="0"/>
          <w:numId w:val="30"/>
        </w:numPr>
        <w:spacing w:before="0" w:after="0" w:line="360" w:lineRule="auto"/>
        <w:ind w:left="0" w:firstLine="0"/>
        <w:rPr>
          <w:b w:val="0"/>
          <w:szCs w:val="30"/>
        </w:rPr>
      </w:pPr>
      <w:bookmarkStart w:id="282" w:name="_Toc21376"/>
      <w:r>
        <w:rPr>
          <w:b w:val="0"/>
          <w:szCs w:val="30"/>
        </w:rPr>
        <w:lastRenderedPageBreak/>
        <w:t>结论</w:t>
      </w:r>
      <w:bookmarkEnd w:id="282"/>
    </w:p>
    <w:p w:rsidR="00EE4502" w:rsidRDefault="00FD45A3">
      <w:pPr>
        <w:pStyle w:val="22"/>
        <w:numPr>
          <w:ilvl w:val="1"/>
          <w:numId w:val="30"/>
        </w:numPr>
        <w:rPr>
          <w:spacing w:val="0"/>
          <w:w w:val="100"/>
        </w:rPr>
      </w:pPr>
      <w:bookmarkStart w:id="283" w:name="_Toc19671"/>
      <w:r>
        <w:rPr>
          <w:rFonts w:hint="eastAsia"/>
          <w:spacing w:val="0"/>
          <w:w w:val="100"/>
        </w:rPr>
        <w:t>建设项目情况</w:t>
      </w:r>
      <w:bookmarkEnd w:id="283"/>
    </w:p>
    <w:p w:rsidR="00EE4502" w:rsidRDefault="00FD45A3">
      <w:pPr>
        <w:spacing w:line="360" w:lineRule="auto"/>
        <w:ind w:firstLine="522"/>
        <w:rPr>
          <w:sz w:val="24"/>
        </w:rPr>
      </w:pPr>
      <w:r>
        <w:rPr>
          <w:sz w:val="24"/>
        </w:rPr>
        <w:t>本工程所在区域地跨克拉玛依市及第七师胡杨河市。其中，</w:t>
      </w:r>
      <w:r>
        <w:rPr>
          <w:rFonts w:hint="eastAsia"/>
          <w:sz w:val="24"/>
        </w:rPr>
        <w:t>排</w:t>
      </w:r>
      <w:r>
        <w:rPr>
          <w:rFonts w:hint="eastAsia"/>
          <w:sz w:val="24"/>
        </w:rPr>
        <w:t>61</w:t>
      </w:r>
      <w:r>
        <w:rPr>
          <w:rFonts w:hint="eastAsia"/>
          <w:sz w:val="24"/>
        </w:rPr>
        <w:t>块、排</w:t>
      </w:r>
      <w:r>
        <w:rPr>
          <w:rFonts w:hint="eastAsia"/>
          <w:sz w:val="24"/>
        </w:rPr>
        <w:t>7-15</w:t>
      </w:r>
      <w:r>
        <w:rPr>
          <w:rFonts w:hint="eastAsia"/>
          <w:sz w:val="24"/>
        </w:rPr>
        <w:t>、排</w:t>
      </w:r>
      <w:r>
        <w:rPr>
          <w:rFonts w:hint="eastAsia"/>
          <w:sz w:val="24"/>
        </w:rPr>
        <w:t>7-16</w:t>
      </w:r>
      <w:r>
        <w:rPr>
          <w:rFonts w:hint="eastAsia"/>
          <w:sz w:val="24"/>
        </w:rPr>
        <w:t>、排</w:t>
      </w:r>
      <w:r>
        <w:rPr>
          <w:rFonts w:hint="eastAsia"/>
          <w:sz w:val="24"/>
        </w:rPr>
        <w:t>71</w:t>
      </w:r>
      <w:r>
        <w:rPr>
          <w:rFonts w:hint="eastAsia"/>
          <w:sz w:val="24"/>
        </w:rPr>
        <w:t>、车浅</w:t>
      </w:r>
      <w:r>
        <w:rPr>
          <w:rFonts w:hint="eastAsia"/>
          <w:sz w:val="24"/>
        </w:rPr>
        <w:t>1-7</w:t>
      </w:r>
      <w:r>
        <w:rPr>
          <w:rFonts w:hint="eastAsia"/>
          <w:sz w:val="24"/>
        </w:rPr>
        <w:t>注水站等所在区域行政区划隶属于新疆维吾尔自治区克拉玛依市克拉玛依区</w:t>
      </w:r>
      <w:r>
        <w:rPr>
          <w:sz w:val="24"/>
        </w:rPr>
        <w:t>，隶属于采油管理三区管辖；排</w:t>
      </w:r>
      <w:r>
        <w:rPr>
          <w:sz w:val="24"/>
        </w:rPr>
        <w:t>7-</w:t>
      </w:r>
      <w:r>
        <w:rPr>
          <w:sz w:val="24"/>
        </w:rPr>
        <w:t>斜</w:t>
      </w:r>
      <w:r>
        <w:rPr>
          <w:sz w:val="24"/>
        </w:rPr>
        <w:t>17</w:t>
      </w:r>
      <w:r>
        <w:rPr>
          <w:sz w:val="24"/>
        </w:rPr>
        <w:t>及排</w:t>
      </w:r>
      <w:r>
        <w:rPr>
          <w:sz w:val="24"/>
        </w:rPr>
        <w:t>7</w:t>
      </w:r>
      <w:r>
        <w:rPr>
          <w:sz w:val="24"/>
        </w:rPr>
        <w:t>注水站所在区域行政区划隶属于新疆生产建设兵团第七师胡杨河市，隶属于春风油田采油管理一区管辖。工程部署</w:t>
      </w:r>
      <w:r>
        <w:rPr>
          <w:sz w:val="24"/>
        </w:rPr>
        <w:t>2</w:t>
      </w:r>
      <w:r>
        <w:rPr>
          <w:rFonts w:hint="eastAsia"/>
          <w:sz w:val="24"/>
        </w:rPr>
        <w:t>2</w:t>
      </w:r>
      <w:r>
        <w:rPr>
          <w:sz w:val="24"/>
        </w:rPr>
        <w:t>口井，其中新钻采油井</w:t>
      </w:r>
      <w:r>
        <w:rPr>
          <w:sz w:val="24"/>
        </w:rPr>
        <w:t>15</w:t>
      </w:r>
      <w:r>
        <w:rPr>
          <w:sz w:val="24"/>
        </w:rPr>
        <w:t>口、</w:t>
      </w:r>
      <w:r>
        <w:rPr>
          <w:rFonts w:hint="eastAsia"/>
          <w:sz w:val="24"/>
        </w:rPr>
        <w:t>新钻回注井</w:t>
      </w:r>
      <w:r>
        <w:rPr>
          <w:rFonts w:hint="eastAsia"/>
          <w:sz w:val="24"/>
        </w:rPr>
        <w:t>3</w:t>
      </w:r>
      <w:r>
        <w:rPr>
          <w:sz w:val="24"/>
        </w:rPr>
        <w:t>口、</w:t>
      </w:r>
      <w:r>
        <w:rPr>
          <w:rFonts w:hint="eastAsia"/>
          <w:sz w:val="24"/>
        </w:rPr>
        <w:t>油井老井利用</w:t>
      </w:r>
      <w:r>
        <w:rPr>
          <w:sz w:val="24"/>
        </w:rPr>
        <w:t>3</w:t>
      </w:r>
      <w:r>
        <w:rPr>
          <w:sz w:val="24"/>
        </w:rPr>
        <w:t>口</w:t>
      </w:r>
      <w:r>
        <w:rPr>
          <w:rFonts w:hint="eastAsia"/>
          <w:sz w:val="24"/>
        </w:rPr>
        <w:t>、回注井老井利用</w:t>
      </w:r>
      <w:r>
        <w:rPr>
          <w:rFonts w:hint="eastAsia"/>
          <w:sz w:val="24"/>
        </w:rPr>
        <w:t>1</w:t>
      </w:r>
      <w:r>
        <w:rPr>
          <w:rFonts w:hint="eastAsia"/>
          <w:sz w:val="24"/>
        </w:rPr>
        <w:t>口。</w:t>
      </w:r>
      <w:r>
        <w:rPr>
          <w:sz w:val="24"/>
        </w:rPr>
        <w:t>动用石油地质储量</w:t>
      </w:r>
      <w:r>
        <w:rPr>
          <w:sz w:val="24"/>
        </w:rPr>
        <w:t>325.8</w:t>
      </w:r>
      <w:r>
        <w:rPr>
          <w:sz w:val="24"/>
        </w:rPr>
        <w:t>万吨</w:t>
      </w:r>
      <w:r>
        <w:rPr>
          <w:sz w:val="24"/>
        </w:rPr>
        <w:t>、含油面积</w:t>
      </w:r>
      <w:r>
        <w:rPr>
          <w:sz w:val="24"/>
        </w:rPr>
        <w:t>6.81</w:t>
      </w:r>
      <w:r>
        <w:rPr>
          <w:sz w:val="24"/>
        </w:rPr>
        <w:t>平方千米</w:t>
      </w:r>
      <w:r>
        <w:rPr>
          <w:sz w:val="24"/>
        </w:rPr>
        <w:t>，均采用管输方式生产；新增产能</w:t>
      </w:r>
      <w:r>
        <w:rPr>
          <w:sz w:val="24"/>
        </w:rPr>
        <w:t>3</w:t>
      </w:r>
      <w:r>
        <w:rPr>
          <w:sz w:val="24"/>
        </w:rPr>
        <w:t>万吨</w:t>
      </w:r>
      <w:r>
        <w:rPr>
          <w:sz w:val="24"/>
        </w:rPr>
        <w:t>/</w:t>
      </w:r>
      <w:r>
        <w:rPr>
          <w:sz w:val="24"/>
        </w:rPr>
        <w:t>年</w:t>
      </w:r>
      <w:r>
        <w:rPr>
          <w:sz w:val="24"/>
        </w:rPr>
        <w:t>，开采方式为冷采</w:t>
      </w:r>
      <w:r>
        <w:rPr>
          <w:sz w:val="24"/>
        </w:rPr>
        <w:t>9</w:t>
      </w:r>
      <w:r>
        <w:rPr>
          <w:sz w:val="24"/>
        </w:rPr>
        <w:t>口、热采</w:t>
      </w:r>
      <w:r>
        <w:rPr>
          <w:sz w:val="24"/>
        </w:rPr>
        <w:t>9</w:t>
      </w:r>
      <w:r>
        <w:rPr>
          <w:sz w:val="24"/>
        </w:rPr>
        <w:t>口；新建集油管线</w:t>
      </w:r>
      <w:r>
        <w:rPr>
          <w:sz w:val="24"/>
        </w:rPr>
        <w:t>13.9</w:t>
      </w:r>
      <w:r>
        <w:rPr>
          <w:sz w:val="24"/>
        </w:rPr>
        <w:t>千米</w:t>
      </w:r>
      <w:r>
        <w:rPr>
          <w:sz w:val="24"/>
        </w:rPr>
        <w:t>、掺水管线</w:t>
      </w:r>
      <w:r>
        <w:rPr>
          <w:sz w:val="24"/>
        </w:rPr>
        <w:t>10.3</w:t>
      </w:r>
      <w:r>
        <w:rPr>
          <w:sz w:val="24"/>
        </w:rPr>
        <w:t>千米、注汽管线</w:t>
      </w:r>
      <w:r>
        <w:rPr>
          <w:rFonts w:hint="eastAsia"/>
          <w:sz w:val="24"/>
        </w:rPr>
        <w:t>0.3</w:t>
      </w:r>
      <w:r>
        <w:rPr>
          <w:sz w:val="24"/>
        </w:rPr>
        <w:t>千米、注水管线</w:t>
      </w:r>
      <w:r>
        <w:rPr>
          <w:sz w:val="24"/>
        </w:rPr>
        <w:t>2.05</w:t>
      </w:r>
      <w:r>
        <w:rPr>
          <w:sz w:val="24"/>
        </w:rPr>
        <w:t>千米、伴生气掺烧管线</w:t>
      </w:r>
      <w:r>
        <w:rPr>
          <w:sz w:val="24"/>
        </w:rPr>
        <w:t>1.2</w:t>
      </w:r>
      <w:r>
        <w:rPr>
          <w:sz w:val="24"/>
        </w:rPr>
        <w:t>千米；排</w:t>
      </w:r>
      <w:r>
        <w:rPr>
          <w:sz w:val="24"/>
        </w:rPr>
        <w:t>61-</w:t>
      </w:r>
      <w:r>
        <w:rPr>
          <w:sz w:val="24"/>
        </w:rPr>
        <w:t>平</w:t>
      </w:r>
      <w:r>
        <w:rPr>
          <w:sz w:val="24"/>
        </w:rPr>
        <w:t>14</w:t>
      </w:r>
      <w:r>
        <w:rPr>
          <w:sz w:val="24"/>
        </w:rPr>
        <w:t>新建增压点</w:t>
      </w:r>
      <w:r>
        <w:rPr>
          <w:sz w:val="24"/>
        </w:rPr>
        <w:t>1</w:t>
      </w:r>
      <w:r>
        <w:rPr>
          <w:sz w:val="24"/>
        </w:rPr>
        <w:t>处；对</w:t>
      </w:r>
      <w:r>
        <w:rPr>
          <w:sz w:val="24"/>
        </w:rPr>
        <w:t>1#</w:t>
      </w:r>
      <w:r>
        <w:rPr>
          <w:sz w:val="24"/>
        </w:rPr>
        <w:t>增压站</w:t>
      </w:r>
      <w:r>
        <w:rPr>
          <w:sz w:val="24"/>
        </w:rPr>
        <w:t>进行就地分水改造，集输末端新建掺水点</w:t>
      </w:r>
      <w:r>
        <w:rPr>
          <w:sz w:val="24"/>
        </w:rPr>
        <w:t>4</w:t>
      </w:r>
      <w:r>
        <w:rPr>
          <w:sz w:val="24"/>
        </w:rPr>
        <w:t>处，井口产液增压输至</w:t>
      </w:r>
      <w:r>
        <w:rPr>
          <w:sz w:val="24"/>
        </w:rPr>
        <w:t>1#</w:t>
      </w:r>
      <w:r>
        <w:rPr>
          <w:sz w:val="24"/>
        </w:rPr>
        <w:t>增压站增压后输至春风二号联合站处理；对排</w:t>
      </w:r>
      <w:r>
        <w:rPr>
          <w:sz w:val="24"/>
        </w:rPr>
        <w:t>7</w:t>
      </w:r>
      <w:r>
        <w:rPr>
          <w:sz w:val="24"/>
        </w:rPr>
        <w:t>注水站进行改扩建，站内新增</w:t>
      </w:r>
      <w:r>
        <w:rPr>
          <w:sz w:val="24"/>
        </w:rPr>
        <w:t>1</w:t>
      </w:r>
      <w:r>
        <w:rPr>
          <w:sz w:val="24"/>
        </w:rPr>
        <w:t>座缓冲罐、</w:t>
      </w:r>
      <w:r>
        <w:rPr>
          <w:sz w:val="24"/>
        </w:rPr>
        <w:t>3</w:t>
      </w:r>
      <w:r>
        <w:rPr>
          <w:sz w:val="24"/>
        </w:rPr>
        <w:t>台喂水泵，更换</w:t>
      </w:r>
      <w:r>
        <w:rPr>
          <w:sz w:val="24"/>
        </w:rPr>
        <w:t>2</w:t>
      </w:r>
      <w:r>
        <w:rPr>
          <w:sz w:val="24"/>
        </w:rPr>
        <w:t>台注水泵等。配套自动控制、通信、供配电、道路</w:t>
      </w:r>
      <w:r>
        <w:rPr>
          <w:sz w:val="24"/>
        </w:rPr>
        <w:t>、防腐、消防等辅助及公用工程。</w:t>
      </w:r>
      <w:r>
        <w:rPr>
          <w:rFonts w:hint="eastAsia"/>
          <w:sz w:val="24"/>
        </w:rPr>
        <w:t>所有工程均呈点线状分布在春风油田采矿权范围内；不涉及中央环保督察整改任务；各项工程均不占生态保护红线，距离约</w:t>
      </w:r>
      <w:r>
        <w:rPr>
          <w:rFonts w:hint="eastAsia"/>
          <w:sz w:val="24"/>
        </w:rPr>
        <w:t>16km</w:t>
      </w:r>
      <w:r>
        <w:rPr>
          <w:sz w:val="24"/>
        </w:rPr>
        <w:t>。工程总投资</w:t>
      </w:r>
      <w:r>
        <w:rPr>
          <w:sz w:val="24"/>
        </w:rPr>
        <w:t>11398.55</w:t>
      </w:r>
      <w:r>
        <w:rPr>
          <w:sz w:val="24"/>
        </w:rPr>
        <w:t>万元。</w:t>
      </w:r>
    </w:p>
    <w:p w:rsidR="00EE4502" w:rsidRDefault="00FD45A3">
      <w:pPr>
        <w:pStyle w:val="22"/>
        <w:numPr>
          <w:ilvl w:val="1"/>
          <w:numId w:val="30"/>
        </w:numPr>
        <w:rPr>
          <w:spacing w:val="0"/>
          <w:w w:val="100"/>
        </w:rPr>
      </w:pPr>
      <w:bookmarkStart w:id="284" w:name="_Toc189"/>
      <w:r>
        <w:rPr>
          <w:rFonts w:hint="eastAsia"/>
          <w:spacing w:val="0"/>
          <w:w w:val="100"/>
        </w:rPr>
        <w:t>产业政策、选址符合性</w:t>
      </w:r>
      <w:bookmarkEnd w:id="284"/>
    </w:p>
    <w:p w:rsidR="00EE4502" w:rsidRDefault="00FD45A3">
      <w:pPr>
        <w:pStyle w:val="33"/>
        <w:numPr>
          <w:ilvl w:val="2"/>
          <w:numId w:val="30"/>
        </w:numPr>
        <w:spacing w:line="360" w:lineRule="auto"/>
        <w:ind w:left="0" w:firstLine="0"/>
        <w:rPr>
          <w:spacing w:val="0"/>
          <w:sz w:val="24"/>
          <w:szCs w:val="24"/>
        </w:rPr>
      </w:pPr>
      <w:r>
        <w:rPr>
          <w:spacing w:val="0"/>
          <w:sz w:val="24"/>
          <w:szCs w:val="24"/>
        </w:rPr>
        <w:t>产业政策符合性</w:t>
      </w:r>
    </w:p>
    <w:p w:rsidR="00EE4502" w:rsidRDefault="00FD45A3">
      <w:pPr>
        <w:pStyle w:val="2ffffff1"/>
        <w:rPr>
          <w:rFonts w:ascii="Times New Roman"/>
        </w:rPr>
      </w:pPr>
      <w:r>
        <w:rPr>
          <w:rFonts w:ascii="Times New Roman"/>
        </w:rPr>
        <w:t>石油天然气开采业是当前国民经济的重要基础产业和支柱产业，</w:t>
      </w:r>
      <w:r>
        <w:rPr>
          <w:rFonts w:ascii="Times New Roman" w:hint="eastAsia"/>
        </w:rPr>
        <w:t>根据</w:t>
      </w:r>
      <w:r>
        <w:rPr>
          <w:rFonts w:ascii="Times New Roman"/>
        </w:rPr>
        <w:t>《产业结构调整指导目录（</w:t>
      </w:r>
      <w:r>
        <w:rPr>
          <w:rFonts w:ascii="Times New Roman"/>
        </w:rPr>
        <w:t>202</w:t>
      </w:r>
      <w:r>
        <w:rPr>
          <w:rFonts w:ascii="Times New Roman" w:hint="eastAsia"/>
        </w:rPr>
        <w:t>4</w:t>
      </w:r>
      <w:r>
        <w:rPr>
          <w:rFonts w:ascii="Times New Roman" w:hint="eastAsia"/>
        </w:rPr>
        <w:t>年本</w:t>
      </w:r>
      <w:r>
        <w:rPr>
          <w:rFonts w:ascii="Times New Roman"/>
        </w:rPr>
        <w:t>）》</w:t>
      </w:r>
      <w:r>
        <w:rPr>
          <w:rFonts w:ascii="Times New Roman" w:hint="eastAsia"/>
        </w:rPr>
        <w:t>，</w:t>
      </w:r>
      <w:r>
        <w:rPr>
          <w:rFonts w:ascii="Times New Roman" w:hint="eastAsia"/>
        </w:rPr>
        <w:t>本工程</w:t>
      </w:r>
      <w:r>
        <w:rPr>
          <w:rFonts w:ascii="Times New Roman" w:hint="eastAsia"/>
        </w:rPr>
        <w:t>作为“石油、天然气勘探及开采”行业属于“鼓励类”项目</w:t>
      </w:r>
      <w:r>
        <w:rPr>
          <w:rFonts w:ascii="Times New Roman"/>
        </w:rPr>
        <w:t>，</w:t>
      </w:r>
      <w:r>
        <w:rPr>
          <w:rFonts w:ascii="Times New Roman" w:hint="eastAsia"/>
        </w:rPr>
        <w:t>本工程</w:t>
      </w:r>
      <w:r>
        <w:rPr>
          <w:rFonts w:ascii="Times New Roman"/>
        </w:rPr>
        <w:t>建设符合国家的</w:t>
      </w:r>
      <w:r>
        <w:rPr>
          <w:rFonts w:ascii="Times New Roman" w:hint="eastAsia"/>
        </w:rPr>
        <w:t>产业</w:t>
      </w:r>
      <w:r>
        <w:rPr>
          <w:rFonts w:ascii="Times New Roman"/>
        </w:rPr>
        <w:t>政策。</w:t>
      </w:r>
    </w:p>
    <w:p w:rsidR="00EE4502" w:rsidRDefault="00FD45A3">
      <w:pPr>
        <w:pStyle w:val="33"/>
        <w:numPr>
          <w:ilvl w:val="2"/>
          <w:numId w:val="30"/>
        </w:numPr>
        <w:spacing w:line="360" w:lineRule="auto"/>
        <w:ind w:left="0" w:firstLine="0"/>
        <w:rPr>
          <w:spacing w:val="0"/>
          <w:sz w:val="24"/>
          <w:szCs w:val="24"/>
        </w:rPr>
      </w:pPr>
      <w:r>
        <w:rPr>
          <w:rFonts w:hint="eastAsia"/>
          <w:spacing w:val="0"/>
          <w:sz w:val="24"/>
          <w:szCs w:val="24"/>
        </w:rPr>
        <w:t>选址符合性</w:t>
      </w:r>
    </w:p>
    <w:p w:rsidR="00EE4502" w:rsidRDefault="00FD45A3">
      <w:pPr>
        <w:spacing w:line="360" w:lineRule="auto"/>
        <w:ind w:firstLineChars="200" w:firstLine="480"/>
        <w:rPr>
          <w:spacing w:val="4"/>
          <w:kern w:val="24"/>
          <w:sz w:val="24"/>
        </w:rPr>
      </w:pPr>
      <w:r>
        <w:rPr>
          <w:rFonts w:hint="eastAsia"/>
          <w:sz w:val="24"/>
          <w:lang w:bidi="en-US"/>
        </w:rPr>
        <w:t>本工程</w:t>
      </w:r>
      <w:r>
        <w:rPr>
          <w:sz w:val="24"/>
          <w:lang w:bidi="en-US"/>
        </w:rPr>
        <w:t>为</w:t>
      </w:r>
      <w:r>
        <w:rPr>
          <w:rFonts w:hint="eastAsia"/>
          <w:sz w:val="24"/>
          <w:lang w:bidi="en-US"/>
        </w:rPr>
        <w:t>陆地</w:t>
      </w:r>
      <w:r>
        <w:rPr>
          <w:sz w:val="24"/>
          <w:lang w:bidi="en-US"/>
        </w:rPr>
        <w:t>石油开采项目，经分析，符合</w:t>
      </w:r>
      <w:r>
        <w:rPr>
          <w:rFonts w:hint="eastAsia"/>
          <w:sz w:val="24"/>
          <w:lang w:bidi="en-US"/>
        </w:rPr>
        <w:t>《克拉玛依市国民经济和社会发展第十四个五年规划和</w:t>
      </w:r>
      <w:r>
        <w:rPr>
          <w:rFonts w:hint="eastAsia"/>
          <w:sz w:val="24"/>
          <w:lang w:bidi="en-US"/>
        </w:rPr>
        <w:t>2035</w:t>
      </w:r>
      <w:r>
        <w:rPr>
          <w:rFonts w:hint="eastAsia"/>
          <w:sz w:val="24"/>
          <w:lang w:bidi="en-US"/>
        </w:rPr>
        <w:t>年远景目标纲要》《新疆生产建设兵团第七师胡杨河市国民经济和社会发展第十四个五年规划和</w:t>
      </w:r>
      <w:r>
        <w:rPr>
          <w:rFonts w:hint="eastAsia"/>
          <w:sz w:val="24"/>
          <w:lang w:bidi="en-US"/>
        </w:rPr>
        <w:t>2035</w:t>
      </w:r>
      <w:r>
        <w:rPr>
          <w:rFonts w:hint="eastAsia"/>
          <w:sz w:val="24"/>
          <w:lang w:bidi="en-US"/>
        </w:rPr>
        <w:t>年远景目标纲要》《新疆生态环境保护“十四五”规划》《新疆生产建设兵团“十四五”生态环境保护规划》《新疆维吾尔自治区主体功能区规划》《新疆生产建设兵团主体功能区划》《中石化新疆新春石油开发有限责任公司“十四五”规划》等</w:t>
      </w:r>
      <w:r>
        <w:rPr>
          <w:rFonts w:hint="eastAsia"/>
          <w:sz w:val="24"/>
          <w:lang w:bidi="en-US"/>
        </w:rPr>
        <w:t>规划</w:t>
      </w:r>
      <w:r>
        <w:rPr>
          <w:rFonts w:hint="eastAsia"/>
          <w:spacing w:val="4"/>
          <w:kern w:val="24"/>
          <w:sz w:val="24"/>
        </w:rPr>
        <w:t>。</w:t>
      </w:r>
    </w:p>
    <w:p w:rsidR="00EE4502" w:rsidRDefault="00FD45A3">
      <w:pPr>
        <w:spacing w:line="360" w:lineRule="auto"/>
        <w:ind w:firstLineChars="200" w:firstLine="480"/>
        <w:rPr>
          <w:sz w:val="24"/>
          <w:lang w:bidi="en-US"/>
        </w:rPr>
      </w:pPr>
      <w:r>
        <w:rPr>
          <w:rFonts w:hint="eastAsia"/>
          <w:sz w:val="24"/>
        </w:rPr>
        <w:lastRenderedPageBreak/>
        <w:t>根据</w:t>
      </w:r>
      <w:r>
        <w:rPr>
          <w:rFonts w:hint="eastAsia"/>
          <w:sz w:val="24"/>
        </w:rPr>
        <w:t>《克拉玛依市“三线一单”生态环境分区管控方案（</w:t>
      </w:r>
      <w:r>
        <w:rPr>
          <w:rFonts w:hint="eastAsia"/>
          <w:sz w:val="24"/>
        </w:rPr>
        <w:t>2023</w:t>
      </w:r>
      <w:r>
        <w:rPr>
          <w:rFonts w:hint="eastAsia"/>
          <w:sz w:val="24"/>
        </w:rPr>
        <w:t>版）》（新克政发〔</w:t>
      </w:r>
      <w:r>
        <w:rPr>
          <w:rFonts w:hint="eastAsia"/>
          <w:sz w:val="24"/>
        </w:rPr>
        <w:t>2024</w:t>
      </w:r>
      <w:r>
        <w:rPr>
          <w:rFonts w:hint="eastAsia"/>
          <w:sz w:val="24"/>
        </w:rPr>
        <w:t>〕</w:t>
      </w:r>
      <w:r>
        <w:rPr>
          <w:rFonts w:hint="eastAsia"/>
          <w:sz w:val="24"/>
        </w:rPr>
        <w:t>22</w:t>
      </w:r>
      <w:r>
        <w:rPr>
          <w:rFonts w:hint="eastAsia"/>
          <w:sz w:val="24"/>
        </w:rPr>
        <w:t>号）、《第七师胡杨河市“三线一单”生态环境分区管控方案》（师市发﹝</w:t>
      </w:r>
      <w:r>
        <w:rPr>
          <w:rFonts w:hint="eastAsia"/>
          <w:sz w:val="24"/>
        </w:rPr>
        <w:t>2021</w:t>
      </w:r>
      <w:r>
        <w:rPr>
          <w:rFonts w:hint="eastAsia"/>
          <w:sz w:val="24"/>
        </w:rPr>
        <w:t>﹞</w:t>
      </w:r>
      <w:r>
        <w:rPr>
          <w:rFonts w:hint="eastAsia"/>
          <w:sz w:val="24"/>
        </w:rPr>
        <w:t>8</w:t>
      </w:r>
      <w:r>
        <w:rPr>
          <w:rFonts w:hint="eastAsia"/>
          <w:sz w:val="24"/>
        </w:rPr>
        <w:t>号）以及新疆生产建设兵团</w:t>
      </w:r>
      <w:r>
        <w:rPr>
          <w:rFonts w:hint="eastAsia"/>
          <w:sz w:val="24"/>
        </w:rPr>
        <w:t>2023</w:t>
      </w:r>
      <w:r>
        <w:rPr>
          <w:rFonts w:hint="eastAsia"/>
          <w:sz w:val="24"/>
        </w:rPr>
        <w:t>年度生态环境分区管控动态更新成果</w:t>
      </w:r>
      <w:r>
        <w:rPr>
          <w:rFonts w:hint="eastAsia"/>
          <w:sz w:val="24"/>
        </w:rPr>
        <w:t>，</w:t>
      </w:r>
      <w:r>
        <w:rPr>
          <w:rFonts w:hint="eastAsia"/>
          <w:bCs/>
          <w:sz w:val="24"/>
        </w:rPr>
        <w:t>本工程所在区域涉及“克拉玛依区环境一般管控单元</w:t>
      </w:r>
      <w:r>
        <w:rPr>
          <w:rFonts w:hint="eastAsia"/>
          <w:bCs/>
          <w:sz w:val="24"/>
        </w:rPr>
        <w:t>04</w:t>
      </w:r>
      <w:r>
        <w:rPr>
          <w:rFonts w:hint="eastAsia"/>
          <w:bCs/>
          <w:sz w:val="24"/>
        </w:rPr>
        <w:t>（</w:t>
      </w:r>
      <w:r>
        <w:rPr>
          <w:rFonts w:hint="eastAsia"/>
          <w:bCs/>
          <w:sz w:val="24"/>
        </w:rPr>
        <w:t>ZH65020330004</w:t>
      </w:r>
      <w:r>
        <w:rPr>
          <w:rFonts w:hint="eastAsia"/>
          <w:bCs/>
          <w:sz w:val="24"/>
        </w:rPr>
        <w:t>）”“胡杨河市</w:t>
      </w:r>
      <w:r>
        <w:rPr>
          <w:rFonts w:hint="eastAsia"/>
          <w:bCs/>
          <w:sz w:val="24"/>
        </w:rPr>
        <w:t>128</w:t>
      </w:r>
      <w:r>
        <w:rPr>
          <w:rFonts w:hint="eastAsia"/>
          <w:bCs/>
          <w:sz w:val="24"/>
        </w:rPr>
        <w:t>团重点管控单元（</w:t>
      </w:r>
      <w:r>
        <w:rPr>
          <w:rFonts w:hint="eastAsia"/>
          <w:bCs/>
          <w:sz w:val="24"/>
        </w:rPr>
        <w:t>ZH65901020003</w:t>
      </w:r>
      <w:r>
        <w:rPr>
          <w:rFonts w:hint="eastAsia"/>
          <w:bCs/>
          <w:sz w:val="24"/>
        </w:rPr>
        <w:t>）”。本工程符合克拉玛依市及第七师胡杨河市生态环境分区管控方案要求</w:t>
      </w:r>
      <w:r>
        <w:rPr>
          <w:spacing w:val="4"/>
          <w:kern w:val="24"/>
          <w:sz w:val="24"/>
        </w:rPr>
        <w:t>。</w:t>
      </w:r>
    </w:p>
    <w:p w:rsidR="00EE4502" w:rsidRDefault="00FD45A3">
      <w:pPr>
        <w:pStyle w:val="22"/>
        <w:numPr>
          <w:ilvl w:val="1"/>
          <w:numId w:val="30"/>
        </w:numPr>
        <w:rPr>
          <w:spacing w:val="0"/>
          <w:w w:val="100"/>
        </w:rPr>
      </w:pPr>
      <w:bookmarkStart w:id="285" w:name="_Toc30332"/>
      <w:r>
        <w:rPr>
          <w:rFonts w:hint="eastAsia"/>
          <w:spacing w:val="0"/>
          <w:w w:val="100"/>
        </w:rPr>
        <w:t>环境质量现状</w:t>
      </w:r>
      <w:bookmarkEnd w:id="285"/>
    </w:p>
    <w:p w:rsidR="00EE4502" w:rsidRDefault="00FD45A3">
      <w:pPr>
        <w:pStyle w:val="33"/>
        <w:numPr>
          <w:ilvl w:val="2"/>
          <w:numId w:val="30"/>
        </w:numPr>
        <w:spacing w:line="360" w:lineRule="auto"/>
        <w:rPr>
          <w:rFonts w:eastAsia="宋体"/>
          <w:sz w:val="24"/>
          <w:szCs w:val="24"/>
        </w:rPr>
      </w:pPr>
      <w:r>
        <w:rPr>
          <w:rFonts w:hint="eastAsia"/>
          <w:spacing w:val="0"/>
          <w:sz w:val="24"/>
          <w:szCs w:val="24"/>
        </w:rPr>
        <w:t>生态环境质量现状</w:t>
      </w:r>
    </w:p>
    <w:p w:rsidR="00EE4502" w:rsidRDefault="00FD45A3">
      <w:pPr>
        <w:spacing w:line="360" w:lineRule="auto"/>
        <w:ind w:firstLine="522"/>
      </w:pPr>
      <w:r>
        <w:rPr>
          <w:rFonts w:hint="eastAsia"/>
          <w:sz w:val="24"/>
        </w:rPr>
        <w:t>本工程地处准噶尔盆地西南部，东北为灌丛区</w:t>
      </w:r>
      <w:r>
        <w:rPr>
          <w:rFonts w:hint="eastAsia"/>
          <w:sz w:val="24"/>
        </w:rPr>
        <w:t>，南部、西部接城镇与绿洲，工程区为开发多年的石油工业基地，区域中的梭梭、琵琶柴等荒漠植被是保护绿洲景观及工业景观的天然屏障。工程评价区无自然保护区、风景名胜区、水源保护区等敏感目标，主要生态敏感目标为公益林及区域内的动植物。评价区域主要以灌丛生态系统为主，生态环境功能区为“克拉玛依石油工业基地环境保护生态功能区”“乌苏</w:t>
      </w:r>
      <w:r>
        <w:rPr>
          <w:rFonts w:hint="eastAsia"/>
          <w:sz w:val="24"/>
        </w:rPr>
        <w:t>-</w:t>
      </w:r>
      <w:r>
        <w:rPr>
          <w:rFonts w:hint="eastAsia"/>
          <w:sz w:val="24"/>
        </w:rPr>
        <w:t>石河子</w:t>
      </w:r>
      <w:r>
        <w:rPr>
          <w:rFonts w:hint="eastAsia"/>
          <w:sz w:val="24"/>
        </w:rPr>
        <w:t>-</w:t>
      </w:r>
      <w:r>
        <w:rPr>
          <w:rFonts w:hint="eastAsia"/>
          <w:sz w:val="24"/>
        </w:rPr>
        <w:t>昌吉城镇与绿洲农业生态功能区”“六、七、八师奎屯</w:t>
      </w:r>
      <w:r>
        <w:rPr>
          <w:rFonts w:hint="eastAsia"/>
          <w:sz w:val="24"/>
        </w:rPr>
        <w:t>-</w:t>
      </w:r>
      <w:r>
        <w:rPr>
          <w:rFonts w:hint="eastAsia"/>
          <w:sz w:val="24"/>
        </w:rPr>
        <w:t>石河子</w:t>
      </w:r>
      <w:r>
        <w:rPr>
          <w:rFonts w:hint="eastAsia"/>
          <w:sz w:val="24"/>
        </w:rPr>
        <w:t>-</w:t>
      </w:r>
      <w:r>
        <w:rPr>
          <w:rFonts w:hint="eastAsia"/>
          <w:sz w:val="24"/>
        </w:rPr>
        <w:t>五家渠城镇与绿洲生态功能区”，评价区域内土地利用类型以未利用地为主，植被以梭梭</w:t>
      </w:r>
      <w:r>
        <w:rPr>
          <w:rFonts w:hint="eastAsia"/>
          <w:sz w:val="24"/>
        </w:rPr>
        <w:t>-</w:t>
      </w:r>
      <w:r>
        <w:rPr>
          <w:rFonts w:hint="eastAsia"/>
          <w:sz w:val="24"/>
        </w:rPr>
        <w:t>琵琶柴群系植被为主，土壤类型以灰漠土为主，区</w:t>
      </w:r>
      <w:r>
        <w:rPr>
          <w:rFonts w:hint="eastAsia"/>
          <w:sz w:val="24"/>
        </w:rPr>
        <w:t>域土壤现状质量一般、植被种类单一，生态系统稳定性维持在一定水平。</w:t>
      </w:r>
    </w:p>
    <w:p w:rsidR="00EE4502" w:rsidRDefault="00FD45A3">
      <w:pPr>
        <w:pStyle w:val="33"/>
        <w:numPr>
          <w:ilvl w:val="2"/>
          <w:numId w:val="30"/>
        </w:numPr>
        <w:spacing w:line="360" w:lineRule="auto"/>
        <w:rPr>
          <w:rFonts w:eastAsia="宋体"/>
          <w:sz w:val="24"/>
          <w:szCs w:val="24"/>
        </w:rPr>
      </w:pPr>
      <w:r>
        <w:rPr>
          <w:rFonts w:hint="eastAsia"/>
          <w:spacing w:val="0"/>
          <w:sz w:val="24"/>
          <w:szCs w:val="24"/>
        </w:rPr>
        <w:t>地下环境质量现状</w:t>
      </w:r>
    </w:p>
    <w:p w:rsidR="00EE4502" w:rsidRDefault="00FD45A3">
      <w:pPr>
        <w:spacing w:line="360" w:lineRule="auto"/>
        <w:ind w:firstLine="522"/>
      </w:pPr>
      <w:r>
        <w:rPr>
          <w:bCs/>
          <w:sz w:val="24"/>
        </w:rPr>
        <w:t>根据现状监测结果，</w:t>
      </w:r>
      <w:r>
        <w:rPr>
          <w:rFonts w:hint="eastAsia"/>
          <w:bCs/>
          <w:sz w:val="24"/>
        </w:rPr>
        <w:t>除硫酸盐、氯化物、氟化物、溶解性总固体因子超标外，其他各监测点地下水中的各项监测指标均满足《地下水质量标准》（</w:t>
      </w:r>
      <w:r>
        <w:rPr>
          <w:rFonts w:hint="eastAsia"/>
          <w:bCs/>
          <w:sz w:val="24"/>
        </w:rPr>
        <w:t>GB/T14848-2017</w:t>
      </w:r>
      <w:r>
        <w:rPr>
          <w:rFonts w:hint="eastAsia"/>
          <w:bCs/>
          <w:sz w:val="24"/>
        </w:rPr>
        <w:t>）Ⅲ类标准要求，石油类均满足《地表水环境质量标准》（</w:t>
      </w:r>
      <w:r>
        <w:rPr>
          <w:rFonts w:hint="eastAsia"/>
          <w:bCs/>
          <w:sz w:val="24"/>
        </w:rPr>
        <w:t>GB3838-2002</w:t>
      </w:r>
      <w:r>
        <w:rPr>
          <w:rFonts w:hint="eastAsia"/>
          <w:bCs/>
          <w:sz w:val="24"/>
        </w:rPr>
        <w:t>）Ⅲ类标准要求。超标主要原因是由局部自然背景值高所致</w:t>
      </w:r>
      <w:r>
        <w:rPr>
          <w:bCs/>
          <w:sz w:val="24"/>
        </w:rPr>
        <w:t>。</w:t>
      </w:r>
    </w:p>
    <w:p w:rsidR="00EE4502" w:rsidRDefault="00FD45A3">
      <w:pPr>
        <w:pStyle w:val="33"/>
        <w:numPr>
          <w:ilvl w:val="2"/>
          <w:numId w:val="30"/>
        </w:numPr>
        <w:spacing w:line="360" w:lineRule="auto"/>
        <w:rPr>
          <w:rFonts w:eastAsia="宋体"/>
          <w:sz w:val="24"/>
          <w:szCs w:val="24"/>
        </w:rPr>
      </w:pPr>
      <w:r>
        <w:rPr>
          <w:rFonts w:hint="eastAsia"/>
          <w:spacing w:val="0"/>
          <w:sz w:val="24"/>
          <w:szCs w:val="24"/>
        </w:rPr>
        <w:t>土壤环境质量现状</w:t>
      </w:r>
    </w:p>
    <w:p w:rsidR="00EE4502" w:rsidRDefault="00FD45A3">
      <w:pPr>
        <w:spacing w:line="360" w:lineRule="auto"/>
        <w:ind w:firstLine="522"/>
        <w:rPr>
          <w:sz w:val="24"/>
        </w:rPr>
      </w:pPr>
      <w:r>
        <w:rPr>
          <w:sz w:val="24"/>
        </w:rPr>
        <w:t>根据土壤监测结果，</w:t>
      </w:r>
      <w:r>
        <w:rPr>
          <w:rFonts w:hint="eastAsia"/>
          <w:sz w:val="24"/>
        </w:rPr>
        <w:t>拟建项目占地范围内各监测点各项指标均满足《土壤环境质量</w:t>
      </w:r>
      <w:r>
        <w:rPr>
          <w:rFonts w:hint="eastAsia"/>
          <w:sz w:val="24"/>
        </w:rPr>
        <w:t xml:space="preserve"> </w:t>
      </w:r>
      <w:r>
        <w:rPr>
          <w:rFonts w:hint="eastAsia"/>
          <w:sz w:val="24"/>
        </w:rPr>
        <w:t>建设用地土壤污染风险控制标准（试行）》（</w:t>
      </w:r>
      <w:r>
        <w:rPr>
          <w:rFonts w:hint="eastAsia"/>
          <w:sz w:val="24"/>
        </w:rPr>
        <w:t>GB366</w:t>
      </w:r>
      <w:r>
        <w:rPr>
          <w:rFonts w:hint="eastAsia"/>
          <w:sz w:val="24"/>
        </w:rPr>
        <w:t>00-2018</w:t>
      </w:r>
      <w:r>
        <w:rPr>
          <w:rFonts w:hint="eastAsia"/>
          <w:sz w:val="24"/>
        </w:rPr>
        <w:t>）中第二类用地筛选值标准；拟建项目占地范围外监测点各项指标均满足《土壤环境质量</w:t>
      </w:r>
      <w:r>
        <w:rPr>
          <w:rFonts w:hint="eastAsia"/>
          <w:sz w:val="24"/>
        </w:rPr>
        <w:t xml:space="preserve"> </w:t>
      </w:r>
      <w:r>
        <w:rPr>
          <w:rFonts w:hint="eastAsia"/>
          <w:sz w:val="24"/>
        </w:rPr>
        <w:t>农用地土壤污染风险管控标准（试行）》（</w:t>
      </w:r>
      <w:r>
        <w:rPr>
          <w:rFonts w:hint="eastAsia"/>
          <w:sz w:val="24"/>
        </w:rPr>
        <w:t>GB15618-2018</w:t>
      </w:r>
      <w:r>
        <w:rPr>
          <w:rFonts w:hint="eastAsia"/>
          <w:sz w:val="24"/>
        </w:rPr>
        <w:t>）中表</w:t>
      </w:r>
      <w:r>
        <w:rPr>
          <w:rFonts w:hint="eastAsia"/>
          <w:sz w:val="24"/>
        </w:rPr>
        <w:t>1</w:t>
      </w:r>
      <w:r>
        <w:rPr>
          <w:rFonts w:hint="eastAsia"/>
          <w:sz w:val="24"/>
        </w:rPr>
        <w:t>农用地风险筛选值标准</w:t>
      </w:r>
      <w:r>
        <w:rPr>
          <w:sz w:val="24"/>
        </w:rPr>
        <w:t>。</w:t>
      </w:r>
    </w:p>
    <w:p w:rsidR="00EE4502" w:rsidRDefault="00FD45A3">
      <w:pPr>
        <w:pStyle w:val="33"/>
        <w:numPr>
          <w:ilvl w:val="2"/>
          <w:numId w:val="30"/>
        </w:numPr>
        <w:spacing w:line="360" w:lineRule="auto"/>
        <w:rPr>
          <w:rFonts w:eastAsia="宋体"/>
          <w:sz w:val="24"/>
          <w:szCs w:val="24"/>
        </w:rPr>
      </w:pPr>
      <w:r>
        <w:rPr>
          <w:rFonts w:hint="eastAsia"/>
          <w:spacing w:val="0"/>
          <w:sz w:val="24"/>
          <w:szCs w:val="24"/>
        </w:rPr>
        <w:t>大气环境质量现状</w:t>
      </w:r>
    </w:p>
    <w:p w:rsidR="00EE4502" w:rsidRDefault="00FD45A3">
      <w:pPr>
        <w:spacing w:line="360" w:lineRule="auto"/>
        <w:ind w:firstLine="522"/>
      </w:pPr>
      <w:r>
        <w:rPr>
          <w:kern w:val="0"/>
          <w:sz w:val="24"/>
        </w:rPr>
        <w:t>根据</w:t>
      </w:r>
      <w:r>
        <w:rPr>
          <w:sz w:val="24"/>
        </w:rPr>
        <w:t>项目所在地区域</w:t>
      </w:r>
      <w:r>
        <w:rPr>
          <w:sz w:val="24"/>
        </w:rPr>
        <w:t>202</w:t>
      </w:r>
      <w:r>
        <w:rPr>
          <w:rFonts w:hint="eastAsia"/>
          <w:sz w:val="24"/>
        </w:rPr>
        <w:t>3</w:t>
      </w:r>
      <w:r>
        <w:rPr>
          <w:sz w:val="24"/>
        </w:rPr>
        <w:t>年各大气污染物平均浓度均优于《环境空气质量</w:t>
      </w:r>
      <w:r>
        <w:rPr>
          <w:sz w:val="24"/>
        </w:rPr>
        <w:lastRenderedPageBreak/>
        <w:t>标准》（</w:t>
      </w:r>
      <w:r>
        <w:rPr>
          <w:sz w:val="24"/>
        </w:rPr>
        <w:t>GB3095-2012</w:t>
      </w:r>
      <w:r>
        <w:rPr>
          <w:sz w:val="24"/>
        </w:rPr>
        <w:t>）中二级标准限值，属于环境空气质量达标区。</w:t>
      </w:r>
      <w:r>
        <w:rPr>
          <w:kern w:val="0"/>
          <w:sz w:val="24"/>
          <w:szCs w:val="28"/>
        </w:rPr>
        <w:t>监测点的非甲烷总烃满足《大气污染物综合排放标准详解》中</w:t>
      </w:r>
      <w:r>
        <w:rPr>
          <w:kern w:val="0"/>
          <w:sz w:val="24"/>
          <w:szCs w:val="28"/>
        </w:rPr>
        <w:t>2.0mg/m</w:t>
      </w:r>
      <w:r>
        <w:rPr>
          <w:kern w:val="0"/>
          <w:sz w:val="24"/>
          <w:szCs w:val="28"/>
          <w:vertAlign w:val="superscript"/>
        </w:rPr>
        <w:t>3</w:t>
      </w:r>
      <w:r>
        <w:rPr>
          <w:kern w:val="0"/>
          <w:sz w:val="24"/>
          <w:szCs w:val="28"/>
        </w:rPr>
        <w:t>的限值要求</w:t>
      </w:r>
      <w:r>
        <w:rPr>
          <w:rFonts w:hint="eastAsia"/>
          <w:kern w:val="0"/>
          <w:sz w:val="24"/>
          <w:szCs w:val="28"/>
        </w:rPr>
        <w:t>；硫化氢满足《环境影响评价技术导则</w:t>
      </w:r>
      <w:r>
        <w:rPr>
          <w:rFonts w:hint="eastAsia"/>
          <w:kern w:val="0"/>
          <w:sz w:val="24"/>
          <w:szCs w:val="28"/>
        </w:rPr>
        <w:t xml:space="preserve"> </w:t>
      </w:r>
      <w:r>
        <w:rPr>
          <w:rFonts w:hint="eastAsia"/>
          <w:kern w:val="0"/>
          <w:sz w:val="24"/>
          <w:szCs w:val="28"/>
        </w:rPr>
        <w:t>大气环境》（</w:t>
      </w:r>
      <w:r>
        <w:rPr>
          <w:rFonts w:hint="eastAsia"/>
          <w:kern w:val="0"/>
          <w:sz w:val="24"/>
          <w:szCs w:val="28"/>
        </w:rPr>
        <w:t>HJ2.2-2018</w:t>
      </w:r>
      <w:r>
        <w:rPr>
          <w:rFonts w:hint="eastAsia"/>
          <w:kern w:val="0"/>
          <w:sz w:val="24"/>
          <w:szCs w:val="28"/>
        </w:rPr>
        <w:t>）附录</w:t>
      </w:r>
      <w:r>
        <w:rPr>
          <w:rFonts w:hint="eastAsia"/>
          <w:kern w:val="0"/>
          <w:sz w:val="24"/>
          <w:szCs w:val="28"/>
        </w:rPr>
        <w:t>D</w:t>
      </w:r>
      <w:r>
        <w:rPr>
          <w:rFonts w:hint="eastAsia"/>
          <w:kern w:val="0"/>
          <w:sz w:val="24"/>
          <w:szCs w:val="28"/>
        </w:rPr>
        <w:t>参考限值</w:t>
      </w:r>
      <w:r>
        <w:rPr>
          <w:sz w:val="24"/>
        </w:rPr>
        <w:t>。</w:t>
      </w:r>
    </w:p>
    <w:p w:rsidR="00EE4502" w:rsidRDefault="00FD45A3">
      <w:pPr>
        <w:pStyle w:val="33"/>
        <w:numPr>
          <w:ilvl w:val="2"/>
          <w:numId w:val="30"/>
        </w:numPr>
        <w:spacing w:line="360" w:lineRule="auto"/>
        <w:rPr>
          <w:rFonts w:eastAsia="宋体"/>
          <w:sz w:val="24"/>
          <w:szCs w:val="24"/>
        </w:rPr>
      </w:pPr>
      <w:r>
        <w:rPr>
          <w:rFonts w:hint="eastAsia"/>
          <w:spacing w:val="0"/>
          <w:sz w:val="24"/>
          <w:szCs w:val="24"/>
        </w:rPr>
        <w:t>声环境质量现状</w:t>
      </w:r>
    </w:p>
    <w:p w:rsidR="00EE4502" w:rsidRDefault="00FD45A3">
      <w:pPr>
        <w:spacing w:line="360" w:lineRule="auto"/>
        <w:ind w:firstLine="522"/>
        <w:rPr>
          <w:sz w:val="24"/>
        </w:rPr>
      </w:pPr>
      <w:r>
        <w:rPr>
          <w:sz w:val="24"/>
        </w:rPr>
        <w:t>根据噪声监测结果，</w:t>
      </w:r>
      <w:r>
        <w:rPr>
          <w:rFonts w:hint="eastAsia"/>
          <w:sz w:val="24"/>
        </w:rPr>
        <w:t>工程区</w:t>
      </w:r>
      <w:r>
        <w:rPr>
          <w:sz w:val="24"/>
        </w:rPr>
        <w:t>噪声监测点的噪声值满足《声环境质量标准》（</w:t>
      </w:r>
      <w:r>
        <w:rPr>
          <w:sz w:val="24"/>
        </w:rPr>
        <w:t>GB3096-2008</w:t>
      </w:r>
      <w:r>
        <w:rPr>
          <w:sz w:val="24"/>
        </w:rPr>
        <w:t>）的</w:t>
      </w:r>
      <w:r>
        <w:rPr>
          <w:sz w:val="24"/>
        </w:rPr>
        <w:t>2</w:t>
      </w:r>
      <w:r>
        <w:rPr>
          <w:sz w:val="24"/>
        </w:rPr>
        <w:t>类标准，声环境状况良好。</w:t>
      </w:r>
    </w:p>
    <w:p w:rsidR="00EE4502" w:rsidRDefault="00FD45A3">
      <w:pPr>
        <w:pStyle w:val="22"/>
        <w:numPr>
          <w:ilvl w:val="1"/>
          <w:numId w:val="30"/>
        </w:numPr>
        <w:rPr>
          <w:spacing w:val="0"/>
          <w:w w:val="100"/>
        </w:rPr>
      </w:pPr>
      <w:bookmarkStart w:id="286" w:name="_Toc19804"/>
      <w:r>
        <w:rPr>
          <w:rFonts w:hint="eastAsia"/>
          <w:spacing w:val="0"/>
          <w:w w:val="100"/>
        </w:rPr>
        <w:t>污染物排放情况</w:t>
      </w:r>
      <w:bookmarkEnd w:id="286"/>
    </w:p>
    <w:p w:rsidR="00EE4502" w:rsidRDefault="00FD45A3">
      <w:pPr>
        <w:spacing w:line="360" w:lineRule="auto"/>
        <w:ind w:firstLine="522"/>
        <w:rPr>
          <w:sz w:val="24"/>
        </w:rPr>
      </w:pPr>
      <w:r>
        <w:rPr>
          <w:rFonts w:hint="eastAsia"/>
          <w:sz w:val="24"/>
        </w:rPr>
        <w:t>本项目运营期污染物产生及排放情况详见表</w:t>
      </w:r>
      <w:r>
        <w:rPr>
          <w:rFonts w:hint="eastAsia"/>
          <w:sz w:val="24"/>
        </w:rPr>
        <w:t>10-4</w:t>
      </w:r>
      <w:r>
        <w:rPr>
          <w:rFonts w:hint="eastAsia"/>
          <w:sz w:val="24"/>
        </w:rPr>
        <w:t>-1</w:t>
      </w:r>
      <w:r>
        <w:rPr>
          <w:rFonts w:hint="eastAsia"/>
          <w:sz w:val="24"/>
        </w:rPr>
        <w:t>。</w:t>
      </w:r>
    </w:p>
    <w:p w:rsidR="00EE4502" w:rsidRDefault="00FD45A3">
      <w:pPr>
        <w:spacing w:line="360" w:lineRule="auto"/>
        <w:jc w:val="center"/>
        <w:rPr>
          <w:rFonts w:eastAsia="黑体"/>
          <w:bCs/>
          <w:lang w:val="zh-CN"/>
        </w:rPr>
      </w:pPr>
      <w:r>
        <w:rPr>
          <w:rFonts w:eastAsia="黑体"/>
          <w:bCs/>
          <w:lang w:val="zh-CN"/>
        </w:rPr>
        <w:t>表</w:t>
      </w:r>
      <w:r>
        <w:rPr>
          <w:rFonts w:eastAsia="黑体" w:hint="eastAsia"/>
          <w:bCs/>
          <w:lang w:val="zh-CN"/>
        </w:rPr>
        <w:t>10-4-1</w:t>
      </w:r>
      <w:r>
        <w:rPr>
          <w:rFonts w:eastAsia="黑体"/>
          <w:bCs/>
          <w:lang w:val="zh-CN"/>
        </w:rPr>
        <w:t xml:space="preserve">    </w:t>
      </w:r>
      <w:r>
        <w:rPr>
          <w:rFonts w:eastAsia="黑体"/>
          <w:bCs/>
          <w:lang w:val="zh-CN"/>
        </w:rPr>
        <w:t>运</w:t>
      </w:r>
      <w:r>
        <w:rPr>
          <w:rFonts w:eastAsia="黑体" w:hint="eastAsia"/>
          <w:bCs/>
          <w:lang w:val="zh-CN"/>
        </w:rPr>
        <w:t>营</w:t>
      </w:r>
      <w:r>
        <w:rPr>
          <w:rFonts w:eastAsia="黑体"/>
          <w:bCs/>
          <w:lang w:val="zh-CN"/>
        </w:rPr>
        <w:t>期污染物排放情况汇总表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4A0" w:firstRow="1" w:lastRow="0" w:firstColumn="1" w:lastColumn="0" w:noHBand="0" w:noVBand="1"/>
      </w:tblPr>
      <w:tblGrid>
        <w:gridCol w:w="384"/>
        <w:gridCol w:w="570"/>
        <w:gridCol w:w="1009"/>
        <w:gridCol w:w="1277"/>
        <w:gridCol w:w="1305"/>
        <w:gridCol w:w="2706"/>
        <w:gridCol w:w="1074"/>
      </w:tblGrid>
      <w:tr w:rsidR="00EE4502">
        <w:trPr>
          <w:trHeight w:val="340"/>
          <w:tblHeader/>
          <w:jc w:val="center"/>
        </w:trPr>
        <w:tc>
          <w:tcPr>
            <w:tcW w:w="230" w:type="pct"/>
            <w:vAlign w:val="center"/>
          </w:tcPr>
          <w:p w:rsidR="00EE4502" w:rsidRDefault="00FD45A3">
            <w:pPr>
              <w:jc w:val="center"/>
              <w:rPr>
                <w:szCs w:val="21"/>
              </w:rPr>
            </w:pPr>
            <w:r>
              <w:rPr>
                <w:szCs w:val="21"/>
              </w:rPr>
              <w:t>项目</w:t>
            </w:r>
          </w:p>
        </w:tc>
        <w:tc>
          <w:tcPr>
            <w:tcW w:w="342" w:type="pct"/>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序号</w:t>
            </w:r>
          </w:p>
        </w:tc>
        <w:tc>
          <w:tcPr>
            <w:tcW w:w="606" w:type="pct"/>
            <w:vAlign w:val="center"/>
          </w:tcPr>
          <w:p w:rsidR="00EE4502" w:rsidRDefault="00FD45A3">
            <w:pPr>
              <w:pStyle w:val="affffffffff"/>
              <w:kinsoku/>
              <w:wordWrap/>
              <w:overflowPunct/>
              <w:adjustRightInd/>
              <w:spacing w:after="0" w:line="240" w:lineRule="auto"/>
              <w:ind w:left="0" w:firstLineChars="0" w:firstLine="0"/>
              <w:rPr>
                <w:szCs w:val="21"/>
              </w:rPr>
            </w:pPr>
            <w:r>
              <w:rPr>
                <w:szCs w:val="21"/>
              </w:rPr>
              <w:t>污染源</w:t>
            </w:r>
          </w:p>
        </w:tc>
        <w:tc>
          <w:tcPr>
            <w:tcW w:w="767" w:type="pct"/>
            <w:vAlign w:val="center"/>
          </w:tcPr>
          <w:p w:rsidR="00EE4502" w:rsidRDefault="00FD45A3">
            <w:pPr>
              <w:pStyle w:val="affffffffff"/>
              <w:kinsoku/>
              <w:wordWrap/>
              <w:overflowPunct/>
              <w:adjustRightInd/>
              <w:spacing w:after="0" w:line="240" w:lineRule="auto"/>
              <w:ind w:left="0" w:firstLineChars="0" w:firstLine="0"/>
              <w:rPr>
                <w:szCs w:val="21"/>
              </w:rPr>
            </w:pPr>
            <w:r>
              <w:rPr>
                <w:szCs w:val="21"/>
              </w:rPr>
              <w:t>污染物</w:t>
            </w:r>
          </w:p>
        </w:tc>
        <w:tc>
          <w:tcPr>
            <w:tcW w:w="784" w:type="pct"/>
            <w:vAlign w:val="center"/>
          </w:tcPr>
          <w:p w:rsidR="00EE4502" w:rsidRDefault="00FD45A3">
            <w:pPr>
              <w:pStyle w:val="affffffffff"/>
              <w:kinsoku/>
              <w:wordWrap/>
              <w:overflowPunct/>
              <w:adjustRightInd/>
              <w:spacing w:after="0" w:line="240" w:lineRule="auto"/>
              <w:ind w:left="0" w:firstLineChars="0" w:firstLine="0"/>
              <w:rPr>
                <w:szCs w:val="21"/>
              </w:rPr>
            </w:pPr>
            <w:r>
              <w:rPr>
                <w:szCs w:val="21"/>
              </w:rPr>
              <w:t>排放量</w:t>
            </w:r>
          </w:p>
        </w:tc>
        <w:tc>
          <w:tcPr>
            <w:tcW w:w="1624" w:type="pct"/>
            <w:vAlign w:val="center"/>
          </w:tcPr>
          <w:p w:rsidR="00EE4502" w:rsidRDefault="00FD45A3">
            <w:pPr>
              <w:pStyle w:val="affffffffff"/>
              <w:kinsoku/>
              <w:wordWrap/>
              <w:overflowPunct/>
              <w:adjustRightInd/>
              <w:spacing w:after="0" w:line="240" w:lineRule="auto"/>
              <w:ind w:left="0" w:firstLineChars="0" w:firstLine="0"/>
              <w:rPr>
                <w:szCs w:val="21"/>
              </w:rPr>
            </w:pPr>
            <w:r>
              <w:rPr>
                <w:szCs w:val="21"/>
              </w:rPr>
              <w:t>主要处理措施及排放去向</w:t>
            </w:r>
          </w:p>
        </w:tc>
        <w:tc>
          <w:tcPr>
            <w:tcW w:w="645" w:type="pct"/>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排放量</w:t>
            </w:r>
          </w:p>
        </w:tc>
      </w:tr>
      <w:tr w:rsidR="00EE4502">
        <w:trPr>
          <w:trHeight w:val="340"/>
          <w:jc w:val="center"/>
        </w:trPr>
        <w:tc>
          <w:tcPr>
            <w:tcW w:w="230" w:type="pct"/>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废气</w:t>
            </w:r>
          </w:p>
        </w:tc>
        <w:tc>
          <w:tcPr>
            <w:tcW w:w="342" w:type="pct"/>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G1</w:t>
            </w:r>
          </w:p>
        </w:tc>
        <w:tc>
          <w:tcPr>
            <w:tcW w:w="606" w:type="pct"/>
            <w:vAlign w:val="center"/>
          </w:tcPr>
          <w:p w:rsidR="00EE4502" w:rsidRDefault="00FD45A3">
            <w:pPr>
              <w:pStyle w:val="affffffffff"/>
              <w:kinsoku/>
              <w:wordWrap/>
              <w:overflowPunct/>
              <w:adjustRightInd/>
              <w:spacing w:after="0" w:line="240" w:lineRule="auto"/>
              <w:ind w:left="0" w:firstLineChars="0" w:firstLine="0"/>
              <w:rPr>
                <w:szCs w:val="21"/>
              </w:rPr>
            </w:pPr>
            <w:r>
              <w:rPr>
                <w:szCs w:val="21"/>
              </w:rPr>
              <w:t>无组织挥发</w:t>
            </w:r>
          </w:p>
        </w:tc>
        <w:tc>
          <w:tcPr>
            <w:tcW w:w="767" w:type="pct"/>
            <w:vAlign w:val="center"/>
          </w:tcPr>
          <w:p w:rsidR="00EE4502" w:rsidRDefault="00FD45A3">
            <w:pPr>
              <w:pStyle w:val="affffffffff"/>
              <w:kinsoku/>
              <w:wordWrap/>
              <w:overflowPunct/>
              <w:adjustRightInd/>
              <w:spacing w:after="0" w:line="240" w:lineRule="auto"/>
              <w:ind w:left="0" w:firstLineChars="0" w:firstLine="0"/>
              <w:rPr>
                <w:szCs w:val="21"/>
              </w:rPr>
            </w:pPr>
            <w:r>
              <w:rPr>
                <w:szCs w:val="21"/>
              </w:rPr>
              <w:t>非甲烷总烃</w:t>
            </w:r>
          </w:p>
        </w:tc>
        <w:tc>
          <w:tcPr>
            <w:tcW w:w="784" w:type="pct"/>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2.893</w:t>
            </w:r>
            <w:r>
              <w:rPr>
                <w:szCs w:val="21"/>
              </w:rPr>
              <w:t xml:space="preserve"> t/a</w:t>
            </w:r>
          </w:p>
        </w:tc>
        <w:tc>
          <w:tcPr>
            <w:tcW w:w="1624" w:type="pct"/>
            <w:vAlign w:val="center"/>
          </w:tcPr>
          <w:p w:rsidR="00EE4502" w:rsidRDefault="00FD45A3">
            <w:pPr>
              <w:pStyle w:val="affffffffff"/>
              <w:kinsoku/>
              <w:wordWrap/>
              <w:overflowPunct/>
              <w:adjustRightInd/>
              <w:spacing w:after="0" w:line="240" w:lineRule="auto"/>
              <w:ind w:left="0" w:firstLineChars="0" w:firstLine="0"/>
              <w:rPr>
                <w:szCs w:val="21"/>
              </w:rPr>
            </w:pPr>
            <w:r>
              <w:rPr>
                <w:szCs w:val="21"/>
              </w:rPr>
              <w:t>稠油处理及集输均采用密闭流程，井口密封并设紧急截断阀</w:t>
            </w:r>
          </w:p>
        </w:tc>
        <w:tc>
          <w:tcPr>
            <w:tcW w:w="645" w:type="pct"/>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2.893</w:t>
            </w:r>
            <w:r>
              <w:rPr>
                <w:szCs w:val="21"/>
              </w:rPr>
              <w:t xml:space="preserve"> t/a</w:t>
            </w:r>
          </w:p>
        </w:tc>
      </w:tr>
      <w:tr w:rsidR="00EE4502">
        <w:trPr>
          <w:trHeight w:val="340"/>
          <w:jc w:val="center"/>
        </w:trPr>
        <w:tc>
          <w:tcPr>
            <w:tcW w:w="230" w:type="pct"/>
            <w:vMerge w:val="restart"/>
            <w:vAlign w:val="center"/>
          </w:tcPr>
          <w:p w:rsidR="00EE4502" w:rsidRDefault="00FD45A3">
            <w:pPr>
              <w:pStyle w:val="affffffffff"/>
              <w:kinsoku/>
              <w:wordWrap/>
              <w:overflowPunct/>
              <w:adjustRightInd/>
              <w:spacing w:after="0" w:line="240" w:lineRule="auto"/>
              <w:ind w:left="0" w:firstLineChars="0" w:firstLine="0"/>
              <w:rPr>
                <w:szCs w:val="21"/>
              </w:rPr>
            </w:pPr>
            <w:r>
              <w:rPr>
                <w:szCs w:val="21"/>
              </w:rPr>
              <w:t>废水</w:t>
            </w:r>
          </w:p>
        </w:tc>
        <w:tc>
          <w:tcPr>
            <w:tcW w:w="342" w:type="pct"/>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W1</w:t>
            </w:r>
          </w:p>
        </w:tc>
        <w:tc>
          <w:tcPr>
            <w:tcW w:w="606" w:type="pct"/>
            <w:vAlign w:val="center"/>
          </w:tcPr>
          <w:p w:rsidR="00EE4502" w:rsidRDefault="00FD45A3">
            <w:pPr>
              <w:pStyle w:val="affffffffff"/>
              <w:kinsoku/>
              <w:wordWrap/>
              <w:overflowPunct/>
              <w:adjustRightInd/>
              <w:spacing w:after="0" w:line="240" w:lineRule="auto"/>
              <w:ind w:left="0" w:firstLineChars="0" w:firstLine="0"/>
              <w:rPr>
                <w:szCs w:val="21"/>
              </w:rPr>
            </w:pPr>
            <w:r>
              <w:rPr>
                <w:szCs w:val="21"/>
              </w:rPr>
              <w:t>油藏采出水</w:t>
            </w:r>
          </w:p>
        </w:tc>
        <w:tc>
          <w:tcPr>
            <w:tcW w:w="767" w:type="pct"/>
            <w:vAlign w:val="center"/>
          </w:tcPr>
          <w:p w:rsidR="00EE4502" w:rsidRDefault="00FD45A3">
            <w:pPr>
              <w:pStyle w:val="affffffffff"/>
              <w:kinsoku/>
              <w:wordWrap/>
              <w:overflowPunct/>
              <w:adjustRightInd/>
              <w:spacing w:after="0" w:line="240" w:lineRule="auto"/>
              <w:ind w:left="0" w:firstLineChars="0" w:firstLine="0"/>
              <w:rPr>
                <w:szCs w:val="21"/>
              </w:rPr>
            </w:pPr>
            <w:r>
              <w:rPr>
                <w:szCs w:val="21"/>
              </w:rPr>
              <w:t>SS</w:t>
            </w:r>
            <w:r>
              <w:rPr>
                <w:szCs w:val="21"/>
              </w:rPr>
              <w:t>、</w:t>
            </w:r>
            <w:r>
              <w:rPr>
                <w:szCs w:val="21"/>
              </w:rPr>
              <w:t>COD</w:t>
            </w:r>
            <w:r>
              <w:rPr>
                <w:szCs w:val="21"/>
              </w:rPr>
              <w:t>、石油类、挥发酚、硫化物</w:t>
            </w:r>
          </w:p>
        </w:tc>
        <w:tc>
          <w:tcPr>
            <w:tcW w:w="784" w:type="pct"/>
            <w:vAlign w:val="center"/>
          </w:tcPr>
          <w:p w:rsidR="00EE4502" w:rsidRDefault="00FD45A3">
            <w:pPr>
              <w:pStyle w:val="affffffffff"/>
              <w:kinsoku/>
              <w:wordWrap/>
              <w:overflowPunct/>
              <w:adjustRightInd/>
              <w:spacing w:after="0" w:line="240" w:lineRule="auto"/>
              <w:ind w:left="0" w:firstLineChars="0" w:firstLine="0"/>
              <w:rPr>
                <w:szCs w:val="21"/>
              </w:rPr>
            </w:pPr>
            <w:r>
              <w:rPr>
                <w:szCs w:val="21"/>
              </w:rPr>
              <w:t>2.53×10</w:t>
            </w:r>
            <w:r>
              <w:rPr>
                <w:szCs w:val="21"/>
                <w:vertAlign w:val="superscript"/>
              </w:rPr>
              <w:t>4</w:t>
            </w:r>
            <w:r>
              <w:rPr>
                <w:szCs w:val="21"/>
              </w:rPr>
              <w:t>t/a</w:t>
            </w:r>
          </w:p>
        </w:tc>
        <w:tc>
          <w:tcPr>
            <w:tcW w:w="1624" w:type="pct"/>
            <w:vMerge w:val="restart"/>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经</w:t>
            </w:r>
            <w:r>
              <w:rPr>
                <w:rFonts w:hint="eastAsia"/>
                <w:szCs w:val="21"/>
              </w:rPr>
              <w:t>春风二号联合站</w:t>
            </w:r>
            <w:r>
              <w:rPr>
                <w:szCs w:val="21"/>
              </w:rPr>
              <w:t>污水处理系统处理达标后回注地层。</w:t>
            </w:r>
          </w:p>
        </w:tc>
        <w:tc>
          <w:tcPr>
            <w:tcW w:w="645" w:type="pct"/>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0</w:t>
            </w:r>
          </w:p>
        </w:tc>
      </w:tr>
      <w:tr w:rsidR="00EE4502">
        <w:trPr>
          <w:trHeight w:val="340"/>
          <w:jc w:val="center"/>
        </w:trPr>
        <w:tc>
          <w:tcPr>
            <w:tcW w:w="230" w:type="pct"/>
            <w:vMerge/>
            <w:vAlign w:val="center"/>
          </w:tcPr>
          <w:p w:rsidR="00EE4502" w:rsidRDefault="00EE4502">
            <w:pPr>
              <w:pStyle w:val="affffffffff"/>
              <w:kinsoku/>
              <w:wordWrap/>
              <w:overflowPunct/>
              <w:adjustRightInd/>
              <w:spacing w:after="0" w:line="240" w:lineRule="auto"/>
              <w:ind w:left="0" w:firstLineChars="0" w:firstLine="0"/>
              <w:rPr>
                <w:szCs w:val="21"/>
              </w:rPr>
            </w:pPr>
          </w:p>
        </w:tc>
        <w:tc>
          <w:tcPr>
            <w:tcW w:w="342" w:type="pct"/>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W2</w:t>
            </w:r>
          </w:p>
        </w:tc>
        <w:tc>
          <w:tcPr>
            <w:tcW w:w="606" w:type="pct"/>
            <w:vAlign w:val="center"/>
          </w:tcPr>
          <w:p w:rsidR="00EE4502" w:rsidRDefault="00FD45A3">
            <w:pPr>
              <w:pStyle w:val="affffffffff"/>
              <w:kinsoku/>
              <w:wordWrap/>
              <w:overflowPunct/>
              <w:adjustRightInd/>
              <w:spacing w:after="0" w:line="240" w:lineRule="auto"/>
              <w:ind w:left="0" w:firstLineChars="0" w:firstLine="0"/>
              <w:rPr>
                <w:szCs w:val="21"/>
              </w:rPr>
            </w:pPr>
            <w:r>
              <w:rPr>
                <w:szCs w:val="21"/>
              </w:rPr>
              <w:t>井下废水</w:t>
            </w:r>
          </w:p>
        </w:tc>
        <w:tc>
          <w:tcPr>
            <w:tcW w:w="767" w:type="pct"/>
            <w:vAlign w:val="center"/>
          </w:tcPr>
          <w:p w:rsidR="00EE4502" w:rsidRDefault="00FD45A3">
            <w:pPr>
              <w:pStyle w:val="affffffffff"/>
              <w:kinsoku/>
              <w:wordWrap/>
              <w:overflowPunct/>
              <w:adjustRightInd/>
              <w:spacing w:after="0" w:line="240" w:lineRule="auto"/>
              <w:ind w:left="0" w:firstLineChars="0" w:firstLine="0"/>
              <w:rPr>
                <w:szCs w:val="21"/>
              </w:rPr>
            </w:pPr>
            <w:r>
              <w:rPr>
                <w:szCs w:val="21"/>
              </w:rPr>
              <w:t>SS</w:t>
            </w:r>
            <w:r>
              <w:rPr>
                <w:szCs w:val="21"/>
              </w:rPr>
              <w:t>、</w:t>
            </w:r>
            <w:r>
              <w:rPr>
                <w:szCs w:val="21"/>
              </w:rPr>
              <w:t>COD</w:t>
            </w:r>
            <w:r>
              <w:rPr>
                <w:szCs w:val="21"/>
              </w:rPr>
              <w:t>、石油类、挥发酚、硫化物</w:t>
            </w:r>
          </w:p>
        </w:tc>
        <w:tc>
          <w:tcPr>
            <w:tcW w:w="784" w:type="pct"/>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1368</w:t>
            </w:r>
            <w:r>
              <w:rPr>
                <w:szCs w:val="21"/>
              </w:rPr>
              <w:t xml:space="preserve"> </w:t>
            </w:r>
            <w:r>
              <w:rPr>
                <w:rFonts w:hint="eastAsia"/>
                <w:szCs w:val="21"/>
              </w:rPr>
              <w:t>t</w:t>
            </w:r>
            <w:r>
              <w:rPr>
                <w:szCs w:val="21"/>
              </w:rPr>
              <w:t>/a</w:t>
            </w:r>
          </w:p>
        </w:tc>
        <w:tc>
          <w:tcPr>
            <w:tcW w:w="1624" w:type="pct"/>
            <w:vMerge/>
            <w:vAlign w:val="center"/>
          </w:tcPr>
          <w:p w:rsidR="00EE4502" w:rsidRDefault="00EE4502">
            <w:pPr>
              <w:pStyle w:val="affffffffff"/>
              <w:kinsoku/>
              <w:wordWrap/>
              <w:overflowPunct/>
              <w:adjustRightInd/>
              <w:spacing w:after="0" w:line="240" w:lineRule="auto"/>
              <w:ind w:left="0" w:firstLineChars="0" w:firstLine="0"/>
              <w:rPr>
                <w:szCs w:val="21"/>
              </w:rPr>
            </w:pPr>
          </w:p>
        </w:tc>
        <w:tc>
          <w:tcPr>
            <w:tcW w:w="645" w:type="pct"/>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0</w:t>
            </w:r>
          </w:p>
        </w:tc>
      </w:tr>
      <w:tr w:rsidR="00EE4502">
        <w:trPr>
          <w:trHeight w:val="340"/>
          <w:jc w:val="center"/>
        </w:trPr>
        <w:tc>
          <w:tcPr>
            <w:tcW w:w="230" w:type="pct"/>
            <w:vMerge w:val="restart"/>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固体</w:t>
            </w:r>
            <w:r>
              <w:rPr>
                <w:szCs w:val="21"/>
              </w:rPr>
              <w:t>废物</w:t>
            </w:r>
          </w:p>
        </w:tc>
        <w:tc>
          <w:tcPr>
            <w:tcW w:w="342" w:type="pct"/>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S1</w:t>
            </w:r>
          </w:p>
        </w:tc>
        <w:tc>
          <w:tcPr>
            <w:tcW w:w="606" w:type="pct"/>
            <w:vAlign w:val="center"/>
          </w:tcPr>
          <w:p w:rsidR="00EE4502" w:rsidRDefault="00FD45A3">
            <w:pPr>
              <w:pStyle w:val="ArialGB23121"/>
              <w:spacing w:line="240" w:lineRule="auto"/>
              <w:jc w:val="center"/>
              <w:rPr>
                <w:sz w:val="21"/>
                <w:szCs w:val="21"/>
              </w:rPr>
            </w:pPr>
            <w:r>
              <w:rPr>
                <w:rFonts w:hAnsi="Times New Roman"/>
                <w:sz w:val="21"/>
                <w:szCs w:val="21"/>
              </w:rPr>
              <w:t>落地油</w:t>
            </w:r>
          </w:p>
        </w:tc>
        <w:tc>
          <w:tcPr>
            <w:tcW w:w="767" w:type="pct"/>
            <w:vAlign w:val="center"/>
          </w:tcPr>
          <w:p w:rsidR="00EE4502" w:rsidRDefault="00FD45A3">
            <w:pPr>
              <w:pStyle w:val="affffffffff"/>
              <w:kinsoku/>
              <w:wordWrap/>
              <w:overflowPunct/>
              <w:adjustRightInd/>
              <w:spacing w:after="0" w:line="240" w:lineRule="auto"/>
              <w:ind w:left="0" w:firstLineChars="0" w:firstLine="0"/>
              <w:rPr>
                <w:szCs w:val="21"/>
              </w:rPr>
            </w:pPr>
            <w:r>
              <w:rPr>
                <w:szCs w:val="21"/>
              </w:rPr>
              <w:t>HW08</w:t>
            </w:r>
          </w:p>
          <w:p w:rsidR="00EE4502" w:rsidRDefault="00FD45A3">
            <w:pPr>
              <w:pStyle w:val="affffffffff"/>
              <w:kinsoku/>
              <w:wordWrap/>
              <w:overflowPunct/>
              <w:adjustRightInd/>
              <w:spacing w:after="0" w:line="240" w:lineRule="auto"/>
              <w:ind w:left="0" w:firstLineChars="0" w:firstLine="0"/>
              <w:rPr>
                <w:szCs w:val="21"/>
              </w:rPr>
            </w:pPr>
            <w:r>
              <w:rPr>
                <w:szCs w:val="21"/>
              </w:rPr>
              <w:t>071-001-08</w:t>
            </w:r>
          </w:p>
        </w:tc>
        <w:tc>
          <w:tcPr>
            <w:tcW w:w="784" w:type="pct"/>
            <w:vAlign w:val="center"/>
          </w:tcPr>
          <w:p w:rsidR="00EE4502" w:rsidRDefault="00FD45A3">
            <w:pPr>
              <w:pStyle w:val="affffffffff"/>
              <w:kinsoku/>
              <w:wordWrap/>
              <w:overflowPunct/>
              <w:adjustRightInd/>
              <w:spacing w:after="0" w:line="240" w:lineRule="auto"/>
              <w:ind w:left="0" w:firstLineChars="0" w:firstLine="0"/>
              <w:rPr>
                <w:szCs w:val="21"/>
              </w:rPr>
            </w:pPr>
            <w:r>
              <w:rPr>
                <w:szCs w:val="21"/>
              </w:rPr>
              <w:t>0.9 t/a</w:t>
            </w:r>
          </w:p>
        </w:tc>
        <w:tc>
          <w:tcPr>
            <w:tcW w:w="1624" w:type="pct"/>
            <w:vAlign w:val="center"/>
          </w:tcPr>
          <w:p w:rsidR="00EE4502" w:rsidRDefault="00FD45A3">
            <w:pPr>
              <w:pStyle w:val="ArialGB23121"/>
              <w:spacing w:line="240" w:lineRule="auto"/>
              <w:jc w:val="center"/>
              <w:rPr>
                <w:sz w:val="21"/>
                <w:szCs w:val="21"/>
              </w:rPr>
            </w:pPr>
            <w:r>
              <w:rPr>
                <w:rFonts w:hAnsi="Times New Roman" w:hint="eastAsia"/>
                <w:sz w:val="21"/>
                <w:szCs w:val="21"/>
              </w:rPr>
              <w:t>委托有资质单位拉运处理</w:t>
            </w:r>
          </w:p>
        </w:tc>
        <w:tc>
          <w:tcPr>
            <w:tcW w:w="645" w:type="pct"/>
            <w:vAlign w:val="center"/>
          </w:tcPr>
          <w:p w:rsidR="00EE4502" w:rsidRDefault="00FD45A3">
            <w:pPr>
              <w:pStyle w:val="ArialGB23121"/>
              <w:spacing w:line="240" w:lineRule="auto"/>
              <w:jc w:val="center"/>
              <w:rPr>
                <w:rFonts w:hAnsi="Times New Roman"/>
                <w:sz w:val="21"/>
                <w:szCs w:val="21"/>
              </w:rPr>
            </w:pPr>
            <w:r>
              <w:rPr>
                <w:rFonts w:hAnsi="Times New Roman" w:hint="eastAsia"/>
                <w:sz w:val="21"/>
                <w:szCs w:val="21"/>
              </w:rPr>
              <w:t>0</w:t>
            </w:r>
          </w:p>
        </w:tc>
      </w:tr>
      <w:tr w:rsidR="00EE4502">
        <w:trPr>
          <w:trHeight w:val="340"/>
          <w:jc w:val="center"/>
        </w:trPr>
        <w:tc>
          <w:tcPr>
            <w:tcW w:w="230" w:type="pct"/>
            <w:vMerge/>
            <w:vAlign w:val="center"/>
          </w:tcPr>
          <w:p w:rsidR="00EE4502" w:rsidRDefault="00EE4502">
            <w:pPr>
              <w:pStyle w:val="affffffffff"/>
              <w:kinsoku/>
              <w:wordWrap/>
              <w:overflowPunct/>
              <w:adjustRightInd/>
              <w:spacing w:after="0" w:line="240" w:lineRule="auto"/>
              <w:ind w:left="0" w:firstLineChars="0" w:firstLine="0"/>
              <w:rPr>
                <w:szCs w:val="21"/>
              </w:rPr>
            </w:pPr>
          </w:p>
        </w:tc>
        <w:tc>
          <w:tcPr>
            <w:tcW w:w="342" w:type="pct"/>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S2</w:t>
            </w:r>
          </w:p>
        </w:tc>
        <w:tc>
          <w:tcPr>
            <w:tcW w:w="606" w:type="pct"/>
            <w:vAlign w:val="center"/>
          </w:tcPr>
          <w:p w:rsidR="00EE4502" w:rsidRDefault="00FD45A3">
            <w:pPr>
              <w:pStyle w:val="ArialGB23121"/>
              <w:spacing w:line="240" w:lineRule="auto"/>
              <w:jc w:val="center"/>
              <w:rPr>
                <w:sz w:val="21"/>
                <w:szCs w:val="21"/>
              </w:rPr>
            </w:pPr>
            <w:r>
              <w:rPr>
                <w:rFonts w:hAnsi="Times New Roman"/>
                <w:sz w:val="21"/>
                <w:szCs w:val="21"/>
              </w:rPr>
              <w:t>沾油废防渗材料</w:t>
            </w:r>
          </w:p>
        </w:tc>
        <w:tc>
          <w:tcPr>
            <w:tcW w:w="767" w:type="pct"/>
            <w:vAlign w:val="center"/>
          </w:tcPr>
          <w:p w:rsidR="00EE4502" w:rsidRDefault="00FD45A3">
            <w:pPr>
              <w:pStyle w:val="affffffffff"/>
              <w:kinsoku/>
              <w:wordWrap/>
              <w:overflowPunct/>
              <w:adjustRightInd/>
              <w:spacing w:after="0" w:line="240" w:lineRule="auto"/>
              <w:ind w:left="0" w:firstLineChars="0" w:firstLine="0"/>
              <w:rPr>
                <w:szCs w:val="21"/>
              </w:rPr>
            </w:pPr>
            <w:r>
              <w:rPr>
                <w:szCs w:val="21"/>
              </w:rPr>
              <w:t>HW08</w:t>
            </w:r>
          </w:p>
          <w:p w:rsidR="00EE4502" w:rsidRDefault="00FD45A3">
            <w:pPr>
              <w:pStyle w:val="affffffffff"/>
              <w:kinsoku/>
              <w:wordWrap/>
              <w:overflowPunct/>
              <w:adjustRightInd/>
              <w:spacing w:after="0" w:line="240" w:lineRule="auto"/>
              <w:ind w:left="0" w:firstLineChars="0" w:firstLine="0"/>
              <w:rPr>
                <w:szCs w:val="21"/>
              </w:rPr>
            </w:pPr>
            <w:r>
              <w:rPr>
                <w:szCs w:val="21"/>
              </w:rPr>
              <w:t>900-249-08</w:t>
            </w:r>
          </w:p>
        </w:tc>
        <w:tc>
          <w:tcPr>
            <w:tcW w:w="784" w:type="pct"/>
            <w:vAlign w:val="center"/>
          </w:tcPr>
          <w:p w:rsidR="00EE4502" w:rsidRDefault="00FD45A3">
            <w:pPr>
              <w:pStyle w:val="affffffffff"/>
              <w:kinsoku/>
              <w:wordWrap/>
              <w:overflowPunct/>
              <w:adjustRightInd/>
              <w:spacing w:after="0" w:line="240" w:lineRule="auto"/>
              <w:ind w:left="0" w:firstLineChars="0" w:firstLine="0"/>
              <w:rPr>
                <w:szCs w:val="21"/>
              </w:rPr>
            </w:pPr>
            <w:r>
              <w:rPr>
                <w:szCs w:val="21"/>
              </w:rPr>
              <w:t>2.25 t/a</w:t>
            </w:r>
          </w:p>
        </w:tc>
        <w:tc>
          <w:tcPr>
            <w:tcW w:w="1624" w:type="pct"/>
            <w:vAlign w:val="center"/>
          </w:tcPr>
          <w:p w:rsidR="00EE4502" w:rsidRDefault="00FD45A3">
            <w:pPr>
              <w:pStyle w:val="ArialGB23121"/>
              <w:spacing w:line="240" w:lineRule="auto"/>
              <w:jc w:val="center"/>
              <w:rPr>
                <w:sz w:val="21"/>
                <w:szCs w:val="21"/>
              </w:rPr>
            </w:pPr>
            <w:r>
              <w:rPr>
                <w:rFonts w:hAnsi="Times New Roman" w:hint="eastAsia"/>
                <w:sz w:val="21"/>
                <w:szCs w:val="21"/>
              </w:rPr>
              <w:t>折叠打包后</w:t>
            </w:r>
            <w:r>
              <w:rPr>
                <w:rFonts w:hAnsi="Times New Roman"/>
                <w:sz w:val="21"/>
                <w:szCs w:val="21"/>
              </w:rPr>
              <w:t>委托有资质单位</w:t>
            </w:r>
            <w:r>
              <w:rPr>
                <w:rFonts w:hAnsi="Times New Roman" w:hint="eastAsia"/>
                <w:sz w:val="21"/>
                <w:szCs w:val="21"/>
              </w:rPr>
              <w:t>拉运处理</w:t>
            </w:r>
          </w:p>
        </w:tc>
        <w:tc>
          <w:tcPr>
            <w:tcW w:w="645" w:type="pct"/>
            <w:vAlign w:val="center"/>
          </w:tcPr>
          <w:p w:rsidR="00EE4502" w:rsidRDefault="00FD45A3">
            <w:pPr>
              <w:pStyle w:val="ArialGB23121"/>
              <w:spacing w:line="240" w:lineRule="auto"/>
              <w:jc w:val="center"/>
              <w:rPr>
                <w:rFonts w:hAnsi="Times New Roman"/>
                <w:sz w:val="21"/>
                <w:szCs w:val="21"/>
              </w:rPr>
            </w:pPr>
            <w:r>
              <w:rPr>
                <w:rFonts w:hAnsi="Times New Roman" w:hint="eastAsia"/>
                <w:sz w:val="21"/>
                <w:szCs w:val="21"/>
              </w:rPr>
              <w:t>0</w:t>
            </w:r>
          </w:p>
        </w:tc>
      </w:tr>
      <w:tr w:rsidR="00EE4502">
        <w:trPr>
          <w:trHeight w:val="340"/>
          <w:jc w:val="center"/>
        </w:trPr>
        <w:tc>
          <w:tcPr>
            <w:tcW w:w="230" w:type="pct"/>
            <w:vMerge/>
            <w:vAlign w:val="center"/>
          </w:tcPr>
          <w:p w:rsidR="00EE4502" w:rsidRDefault="00EE4502">
            <w:pPr>
              <w:pStyle w:val="affffffffff"/>
              <w:kinsoku/>
              <w:wordWrap/>
              <w:overflowPunct/>
              <w:adjustRightInd/>
              <w:spacing w:after="0" w:line="240" w:lineRule="auto"/>
              <w:ind w:left="0" w:firstLineChars="0" w:firstLine="0"/>
              <w:rPr>
                <w:szCs w:val="21"/>
              </w:rPr>
            </w:pPr>
          </w:p>
        </w:tc>
        <w:tc>
          <w:tcPr>
            <w:tcW w:w="342" w:type="pct"/>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S3</w:t>
            </w:r>
          </w:p>
        </w:tc>
        <w:tc>
          <w:tcPr>
            <w:tcW w:w="606" w:type="pct"/>
            <w:vAlign w:val="center"/>
          </w:tcPr>
          <w:p w:rsidR="00EE4502" w:rsidRDefault="00FD45A3">
            <w:pPr>
              <w:pStyle w:val="ArialGB23121"/>
              <w:spacing w:line="240" w:lineRule="auto"/>
              <w:jc w:val="center"/>
              <w:rPr>
                <w:sz w:val="21"/>
                <w:szCs w:val="21"/>
              </w:rPr>
            </w:pPr>
            <w:r>
              <w:rPr>
                <w:rFonts w:hAnsi="Times New Roman" w:hint="eastAsia"/>
                <w:sz w:val="21"/>
                <w:szCs w:val="21"/>
              </w:rPr>
              <w:t>清管废渣</w:t>
            </w:r>
          </w:p>
        </w:tc>
        <w:tc>
          <w:tcPr>
            <w:tcW w:w="767" w:type="pct"/>
            <w:vAlign w:val="center"/>
          </w:tcPr>
          <w:p w:rsidR="00EE4502" w:rsidRDefault="00FD45A3">
            <w:pPr>
              <w:pStyle w:val="affffffffff"/>
              <w:kinsoku/>
              <w:wordWrap/>
              <w:overflowPunct/>
              <w:adjustRightInd/>
              <w:spacing w:after="0" w:line="240" w:lineRule="auto"/>
              <w:ind w:left="0" w:firstLineChars="0" w:firstLine="0"/>
              <w:rPr>
                <w:szCs w:val="21"/>
              </w:rPr>
            </w:pPr>
            <w:r>
              <w:rPr>
                <w:szCs w:val="21"/>
              </w:rPr>
              <w:t>HW08</w:t>
            </w:r>
          </w:p>
          <w:p w:rsidR="00EE4502" w:rsidRDefault="00FD45A3">
            <w:pPr>
              <w:pStyle w:val="affffffffff"/>
              <w:kinsoku/>
              <w:wordWrap/>
              <w:overflowPunct/>
              <w:adjustRightInd/>
              <w:spacing w:after="0" w:line="240" w:lineRule="auto"/>
              <w:ind w:left="0" w:firstLineChars="0" w:firstLine="0"/>
              <w:rPr>
                <w:szCs w:val="21"/>
              </w:rPr>
            </w:pPr>
            <w:r>
              <w:rPr>
                <w:szCs w:val="21"/>
              </w:rPr>
              <w:t>071-001-08</w:t>
            </w:r>
          </w:p>
        </w:tc>
        <w:tc>
          <w:tcPr>
            <w:tcW w:w="784" w:type="pct"/>
            <w:vAlign w:val="center"/>
          </w:tcPr>
          <w:p w:rsidR="00EE4502" w:rsidRDefault="00FD45A3">
            <w:pPr>
              <w:pStyle w:val="affffffffff"/>
              <w:kinsoku/>
              <w:wordWrap/>
              <w:overflowPunct/>
              <w:adjustRightInd/>
              <w:spacing w:after="0" w:line="240" w:lineRule="auto"/>
              <w:ind w:left="0" w:firstLineChars="0" w:firstLine="0"/>
              <w:rPr>
                <w:szCs w:val="21"/>
              </w:rPr>
            </w:pPr>
            <w:r>
              <w:rPr>
                <w:szCs w:val="21"/>
              </w:rPr>
              <w:t>0.01t/a</w:t>
            </w:r>
          </w:p>
        </w:tc>
        <w:tc>
          <w:tcPr>
            <w:tcW w:w="1624" w:type="pct"/>
            <w:vAlign w:val="center"/>
          </w:tcPr>
          <w:p w:rsidR="00EE4502" w:rsidRDefault="00FD45A3">
            <w:pPr>
              <w:pStyle w:val="ArialGB23121"/>
              <w:spacing w:line="240" w:lineRule="auto"/>
              <w:jc w:val="center"/>
              <w:rPr>
                <w:sz w:val="21"/>
                <w:szCs w:val="21"/>
              </w:rPr>
            </w:pPr>
            <w:r>
              <w:rPr>
                <w:rFonts w:hAnsi="Times New Roman"/>
                <w:sz w:val="21"/>
                <w:szCs w:val="21"/>
              </w:rPr>
              <w:t>委托有资质单位</w:t>
            </w:r>
            <w:r>
              <w:rPr>
                <w:rFonts w:hAnsi="Times New Roman" w:hint="eastAsia"/>
                <w:sz w:val="21"/>
                <w:szCs w:val="21"/>
              </w:rPr>
              <w:t>拉运处理</w:t>
            </w:r>
          </w:p>
        </w:tc>
        <w:tc>
          <w:tcPr>
            <w:tcW w:w="645" w:type="pct"/>
            <w:vAlign w:val="center"/>
          </w:tcPr>
          <w:p w:rsidR="00EE4502" w:rsidRDefault="00FD45A3">
            <w:pPr>
              <w:pStyle w:val="ArialGB23121"/>
              <w:spacing w:line="240" w:lineRule="auto"/>
              <w:jc w:val="center"/>
              <w:rPr>
                <w:rFonts w:hAnsi="Times New Roman"/>
                <w:sz w:val="21"/>
                <w:szCs w:val="21"/>
              </w:rPr>
            </w:pPr>
            <w:r>
              <w:rPr>
                <w:rFonts w:hAnsi="Times New Roman" w:hint="eastAsia"/>
                <w:sz w:val="21"/>
                <w:szCs w:val="21"/>
              </w:rPr>
              <w:t>0</w:t>
            </w:r>
          </w:p>
        </w:tc>
      </w:tr>
      <w:tr w:rsidR="00EE4502">
        <w:trPr>
          <w:trHeight w:val="340"/>
          <w:jc w:val="center"/>
        </w:trPr>
        <w:tc>
          <w:tcPr>
            <w:tcW w:w="230" w:type="pct"/>
            <w:vMerge/>
            <w:vAlign w:val="center"/>
          </w:tcPr>
          <w:p w:rsidR="00EE4502" w:rsidRDefault="00EE4502">
            <w:pPr>
              <w:pStyle w:val="affffffffff"/>
              <w:kinsoku/>
              <w:wordWrap/>
              <w:overflowPunct/>
              <w:adjustRightInd/>
              <w:spacing w:after="0" w:line="240" w:lineRule="auto"/>
              <w:ind w:left="0" w:firstLineChars="0" w:firstLine="0"/>
              <w:rPr>
                <w:szCs w:val="21"/>
              </w:rPr>
            </w:pPr>
          </w:p>
        </w:tc>
        <w:tc>
          <w:tcPr>
            <w:tcW w:w="342" w:type="pct"/>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S4</w:t>
            </w:r>
          </w:p>
        </w:tc>
        <w:tc>
          <w:tcPr>
            <w:tcW w:w="606" w:type="pct"/>
            <w:vAlign w:val="center"/>
          </w:tcPr>
          <w:p w:rsidR="00EE4502" w:rsidRDefault="00FD45A3">
            <w:pPr>
              <w:pStyle w:val="ArialGB23121"/>
              <w:spacing w:line="240" w:lineRule="auto"/>
              <w:jc w:val="center"/>
              <w:rPr>
                <w:sz w:val="21"/>
                <w:szCs w:val="21"/>
              </w:rPr>
            </w:pPr>
            <w:r>
              <w:rPr>
                <w:rFonts w:hAnsi="Times New Roman"/>
                <w:sz w:val="21"/>
                <w:szCs w:val="21"/>
              </w:rPr>
              <w:t>废润滑油</w:t>
            </w:r>
          </w:p>
        </w:tc>
        <w:tc>
          <w:tcPr>
            <w:tcW w:w="767" w:type="pct"/>
            <w:vAlign w:val="center"/>
          </w:tcPr>
          <w:p w:rsidR="00EE4502" w:rsidRDefault="00FD45A3">
            <w:pPr>
              <w:pStyle w:val="affffffffff"/>
              <w:kinsoku/>
              <w:wordWrap/>
              <w:overflowPunct/>
              <w:adjustRightInd/>
              <w:spacing w:after="0" w:line="240" w:lineRule="auto"/>
              <w:ind w:left="0" w:firstLineChars="0" w:firstLine="0"/>
              <w:rPr>
                <w:szCs w:val="21"/>
              </w:rPr>
            </w:pPr>
            <w:r>
              <w:rPr>
                <w:szCs w:val="21"/>
              </w:rPr>
              <w:t>HW08</w:t>
            </w:r>
          </w:p>
          <w:p w:rsidR="00EE4502" w:rsidRDefault="00FD45A3">
            <w:pPr>
              <w:pStyle w:val="affffffffff"/>
              <w:kinsoku/>
              <w:wordWrap/>
              <w:overflowPunct/>
              <w:adjustRightInd/>
              <w:spacing w:after="0" w:line="240" w:lineRule="auto"/>
              <w:ind w:left="0" w:firstLineChars="0" w:firstLine="0"/>
              <w:rPr>
                <w:szCs w:val="21"/>
              </w:rPr>
            </w:pPr>
            <w:r>
              <w:rPr>
                <w:szCs w:val="21"/>
              </w:rPr>
              <w:t>900-217-08</w:t>
            </w:r>
          </w:p>
        </w:tc>
        <w:tc>
          <w:tcPr>
            <w:tcW w:w="784" w:type="pct"/>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1.8</w:t>
            </w:r>
            <w:r>
              <w:rPr>
                <w:szCs w:val="21"/>
              </w:rPr>
              <w:t xml:space="preserve"> t/a</w:t>
            </w:r>
          </w:p>
        </w:tc>
        <w:tc>
          <w:tcPr>
            <w:tcW w:w="1624" w:type="pct"/>
            <w:vAlign w:val="center"/>
          </w:tcPr>
          <w:p w:rsidR="00EE4502" w:rsidRDefault="00FD45A3">
            <w:pPr>
              <w:pStyle w:val="ArialGB23121"/>
              <w:spacing w:line="240" w:lineRule="auto"/>
              <w:jc w:val="center"/>
              <w:rPr>
                <w:sz w:val="21"/>
                <w:szCs w:val="21"/>
              </w:rPr>
            </w:pPr>
            <w:r>
              <w:rPr>
                <w:rFonts w:hAnsi="Times New Roman" w:hint="eastAsia"/>
                <w:sz w:val="21"/>
                <w:szCs w:val="21"/>
              </w:rPr>
              <w:t>联合站综合利用处理</w:t>
            </w:r>
          </w:p>
        </w:tc>
        <w:tc>
          <w:tcPr>
            <w:tcW w:w="645" w:type="pct"/>
            <w:vAlign w:val="center"/>
          </w:tcPr>
          <w:p w:rsidR="00EE4502" w:rsidRDefault="00FD45A3">
            <w:pPr>
              <w:pStyle w:val="ArialGB23121"/>
              <w:spacing w:line="240" w:lineRule="auto"/>
              <w:jc w:val="center"/>
              <w:rPr>
                <w:rFonts w:hAnsi="Times New Roman"/>
                <w:sz w:val="21"/>
                <w:szCs w:val="21"/>
              </w:rPr>
            </w:pPr>
            <w:r>
              <w:rPr>
                <w:rFonts w:hAnsi="Times New Roman" w:hint="eastAsia"/>
                <w:sz w:val="21"/>
                <w:szCs w:val="21"/>
              </w:rPr>
              <w:t>0</w:t>
            </w:r>
          </w:p>
        </w:tc>
      </w:tr>
      <w:tr w:rsidR="00EE4502">
        <w:trPr>
          <w:trHeight w:val="340"/>
          <w:jc w:val="center"/>
        </w:trPr>
        <w:tc>
          <w:tcPr>
            <w:tcW w:w="230" w:type="pct"/>
            <w:vAlign w:val="center"/>
          </w:tcPr>
          <w:p w:rsidR="00EE4502" w:rsidRDefault="00FD45A3">
            <w:pPr>
              <w:pStyle w:val="affffffffff"/>
              <w:kinsoku/>
              <w:wordWrap/>
              <w:overflowPunct/>
              <w:adjustRightInd/>
              <w:spacing w:after="0" w:line="240" w:lineRule="auto"/>
              <w:ind w:left="0" w:firstLineChars="0" w:firstLine="0"/>
              <w:rPr>
                <w:szCs w:val="21"/>
              </w:rPr>
            </w:pPr>
            <w:r>
              <w:rPr>
                <w:szCs w:val="21"/>
              </w:rPr>
              <w:t>噪声</w:t>
            </w:r>
          </w:p>
        </w:tc>
        <w:tc>
          <w:tcPr>
            <w:tcW w:w="342" w:type="pct"/>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N1</w:t>
            </w:r>
          </w:p>
        </w:tc>
        <w:tc>
          <w:tcPr>
            <w:tcW w:w="606" w:type="pct"/>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机械噪声</w:t>
            </w:r>
          </w:p>
        </w:tc>
        <w:tc>
          <w:tcPr>
            <w:tcW w:w="767" w:type="pct"/>
            <w:vAlign w:val="center"/>
          </w:tcPr>
          <w:p w:rsidR="00EE4502" w:rsidRDefault="00FD45A3">
            <w:pPr>
              <w:pStyle w:val="affffffffff"/>
              <w:kinsoku/>
              <w:wordWrap/>
              <w:overflowPunct/>
              <w:adjustRightInd/>
              <w:spacing w:after="0" w:line="240" w:lineRule="auto"/>
              <w:ind w:left="0" w:firstLineChars="0" w:firstLine="0"/>
              <w:rPr>
                <w:szCs w:val="21"/>
              </w:rPr>
            </w:pPr>
            <w:r>
              <w:rPr>
                <w:szCs w:val="21"/>
              </w:rPr>
              <w:t>/</w:t>
            </w:r>
          </w:p>
        </w:tc>
        <w:tc>
          <w:tcPr>
            <w:tcW w:w="784" w:type="pct"/>
            <w:vAlign w:val="center"/>
          </w:tcPr>
          <w:p w:rsidR="00EE4502" w:rsidRDefault="00FD45A3">
            <w:pPr>
              <w:pStyle w:val="affffffffff"/>
              <w:kinsoku/>
              <w:wordWrap/>
              <w:overflowPunct/>
              <w:adjustRightInd/>
              <w:spacing w:after="0" w:line="240" w:lineRule="auto"/>
              <w:ind w:left="0" w:firstLineChars="0" w:firstLine="0"/>
              <w:rPr>
                <w:szCs w:val="21"/>
              </w:rPr>
            </w:pPr>
            <w:r>
              <w:rPr>
                <w:szCs w:val="21"/>
              </w:rPr>
              <w:t>60~105dB</w:t>
            </w:r>
            <w:r>
              <w:rPr>
                <w:szCs w:val="21"/>
              </w:rPr>
              <w:t>（</w:t>
            </w:r>
            <w:r>
              <w:rPr>
                <w:szCs w:val="21"/>
              </w:rPr>
              <w:t>A</w:t>
            </w:r>
            <w:r>
              <w:rPr>
                <w:rFonts w:hint="eastAsia"/>
                <w:szCs w:val="21"/>
              </w:rPr>
              <w:t>)</w:t>
            </w:r>
          </w:p>
        </w:tc>
        <w:tc>
          <w:tcPr>
            <w:tcW w:w="1624" w:type="pct"/>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低噪声设备、基础减震、隔声罩等</w:t>
            </w:r>
          </w:p>
        </w:tc>
        <w:tc>
          <w:tcPr>
            <w:tcW w:w="645" w:type="pct"/>
            <w:vAlign w:val="center"/>
          </w:tcPr>
          <w:p w:rsidR="00EE4502" w:rsidRDefault="00FD45A3">
            <w:pPr>
              <w:pStyle w:val="affffffffff"/>
              <w:kinsoku/>
              <w:wordWrap/>
              <w:overflowPunct/>
              <w:adjustRightInd/>
              <w:spacing w:after="0" w:line="240" w:lineRule="auto"/>
              <w:ind w:left="0" w:firstLineChars="0" w:firstLine="0"/>
              <w:rPr>
                <w:szCs w:val="21"/>
              </w:rPr>
            </w:pPr>
            <w:r>
              <w:rPr>
                <w:rFonts w:hint="eastAsia"/>
                <w:szCs w:val="21"/>
              </w:rPr>
              <w:t>厂界达标</w:t>
            </w:r>
          </w:p>
        </w:tc>
      </w:tr>
    </w:tbl>
    <w:p w:rsidR="00EE4502" w:rsidRDefault="00FD45A3">
      <w:pPr>
        <w:pStyle w:val="22"/>
        <w:numPr>
          <w:ilvl w:val="1"/>
          <w:numId w:val="30"/>
        </w:numPr>
        <w:rPr>
          <w:spacing w:val="0"/>
          <w:w w:val="100"/>
        </w:rPr>
      </w:pPr>
      <w:bookmarkStart w:id="287" w:name="_Toc6928"/>
      <w:r>
        <w:rPr>
          <w:rFonts w:hint="eastAsia"/>
          <w:spacing w:val="0"/>
          <w:w w:val="100"/>
        </w:rPr>
        <w:t>主要环境影响</w:t>
      </w:r>
      <w:bookmarkEnd w:id="287"/>
    </w:p>
    <w:p w:rsidR="00EE4502" w:rsidRDefault="00FD45A3">
      <w:pPr>
        <w:pStyle w:val="33"/>
        <w:numPr>
          <w:ilvl w:val="2"/>
          <w:numId w:val="30"/>
        </w:numPr>
        <w:spacing w:line="360" w:lineRule="auto"/>
        <w:ind w:left="0" w:firstLine="0"/>
        <w:rPr>
          <w:rFonts w:eastAsia="宋体"/>
          <w:sz w:val="24"/>
          <w:szCs w:val="24"/>
        </w:rPr>
      </w:pPr>
      <w:r>
        <w:rPr>
          <w:rFonts w:hint="eastAsia"/>
          <w:spacing w:val="0"/>
          <w:sz w:val="24"/>
          <w:szCs w:val="24"/>
        </w:rPr>
        <w:t>生态环境影响评价</w:t>
      </w:r>
    </w:p>
    <w:p w:rsidR="00EE4502" w:rsidRDefault="00FD45A3">
      <w:pPr>
        <w:spacing w:line="360" w:lineRule="auto"/>
        <w:ind w:firstLine="522"/>
        <w:rPr>
          <w:sz w:val="24"/>
        </w:rPr>
      </w:pPr>
      <w:r>
        <w:rPr>
          <w:rFonts w:hint="eastAsia"/>
          <w:sz w:val="24"/>
        </w:rPr>
        <w:t>本工程</w:t>
      </w:r>
      <w:r>
        <w:rPr>
          <w:rFonts w:hint="eastAsia"/>
          <w:sz w:val="24"/>
        </w:rPr>
        <w:t>评价范围内无国家公园、自然保护区、自然公园等自然保护地、世界自然遗产、生态保护红线等生态敏感区，项目对生态环境的影响主要来自占地影响，项目</w:t>
      </w:r>
      <w:r>
        <w:rPr>
          <w:sz w:val="24"/>
        </w:rPr>
        <w:t>永久占地面积</w:t>
      </w:r>
      <w:r>
        <w:rPr>
          <w:rFonts w:hint="eastAsia"/>
          <w:sz w:val="24"/>
        </w:rPr>
        <w:t>3.4060</w:t>
      </w:r>
      <w:r>
        <w:rPr>
          <w:sz w:val="24"/>
        </w:rPr>
        <w:t>hm</w:t>
      </w:r>
      <w:r>
        <w:rPr>
          <w:sz w:val="24"/>
          <w:vertAlign w:val="superscript"/>
        </w:rPr>
        <w:t>2</w:t>
      </w:r>
      <w:r>
        <w:rPr>
          <w:sz w:val="24"/>
        </w:rPr>
        <w:t>，临时占地面积</w:t>
      </w:r>
      <w:r>
        <w:rPr>
          <w:rFonts w:hint="eastAsia"/>
          <w:sz w:val="24"/>
        </w:rPr>
        <w:t>18.0400</w:t>
      </w:r>
      <w:r>
        <w:rPr>
          <w:sz w:val="24"/>
        </w:rPr>
        <w:t>hm</w:t>
      </w:r>
      <w:r>
        <w:rPr>
          <w:sz w:val="24"/>
          <w:vertAlign w:val="superscript"/>
        </w:rPr>
        <w:t>2</w:t>
      </w:r>
      <w:r>
        <w:rPr>
          <w:sz w:val="24"/>
        </w:rPr>
        <w:t>，</w:t>
      </w:r>
      <w:r>
        <w:rPr>
          <w:rFonts w:hint="eastAsia"/>
          <w:sz w:val="24"/>
        </w:rPr>
        <w:t>受影响的永久占地类型主要为</w:t>
      </w:r>
      <w:r>
        <w:rPr>
          <w:rFonts w:hint="eastAsia"/>
          <w:sz w:val="24"/>
        </w:rPr>
        <w:t>灌木林地、其他草地、盐碱地等</w:t>
      </w:r>
      <w:r>
        <w:rPr>
          <w:rFonts w:hint="eastAsia"/>
          <w:sz w:val="24"/>
        </w:rPr>
        <w:t>未利用地，且</w:t>
      </w:r>
      <w:r>
        <w:rPr>
          <w:rFonts w:hint="eastAsia"/>
          <w:sz w:val="24"/>
        </w:rPr>
        <w:t>本工程</w:t>
      </w:r>
      <w:r>
        <w:rPr>
          <w:rFonts w:hint="eastAsia"/>
          <w:sz w:val="24"/>
        </w:rPr>
        <w:t>地涉及占用公益林，应办理占地手续后方可施工。由于区域植被类型单一，且工程造成的生物量损失较小，不会造成区域的生物多样性下降。</w:t>
      </w:r>
    </w:p>
    <w:p w:rsidR="00EE4502" w:rsidRDefault="00FD45A3">
      <w:pPr>
        <w:pStyle w:val="33"/>
        <w:numPr>
          <w:ilvl w:val="2"/>
          <w:numId w:val="30"/>
        </w:numPr>
        <w:spacing w:line="360" w:lineRule="auto"/>
        <w:ind w:left="0" w:firstLine="0"/>
        <w:rPr>
          <w:rFonts w:eastAsia="宋体"/>
          <w:sz w:val="24"/>
          <w:szCs w:val="24"/>
        </w:rPr>
      </w:pPr>
      <w:r>
        <w:rPr>
          <w:rFonts w:hint="eastAsia"/>
          <w:spacing w:val="0"/>
          <w:sz w:val="24"/>
          <w:szCs w:val="24"/>
        </w:rPr>
        <w:lastRenderedPageBreak/>
        <w:t>地下水环境影响评价</w:t>
      </w:r>
    </w:p>
    <w:p w:rsidR="00EE4502" w:rsidRDefault="00FD45A3">
      <w:pPr>
        <w:spacing w:line="360" w:lineRule="auto"/>
        <w:ind w:firstLine="522"/>
        <w:rPr>
          <w:sz w:val="24"/>
        </w:rPr>
      </w:pPr>
      <w:r>
        <w:rPr>
          <w:rFonts w:hint="eastAsia"/>
          <w:sz w:val="24"/>
        </w:rPr>
        <w:t>本工程</w:t>
      </w:r>
      <w:r>
        <w:rPr>
          <w:rFonts w:hint="eastAsia"/>
          <w:sz w:val="24"/>
        </w:rPr>
        <w:t>钻井废水与废弃泥浆、钻井岩屑一同采用泥浆不落地设备收集后，依托克拉玛依前山石油工程服务有限公司等有资质单位处置，不外排。</w:t>
      </w:r>
    </w:p>
    <w:p w:rsidR="00EE4502" w:rsidRDefault="00FD45A3">
      <w:pPr>
        <w:spacing w:line="360" w:lineRule="auto"/>
        <w:ind w:firstLine="522"/>
        <w:rPr>
          <w:sz w:val="24"/>
        </w:rPr>
      </w:pPr>
      <w:r>
        <w:rPr>
          <w:rFonts w:hint="eastAsia"/>
          <w:sz w:val="24"/>
        </w:rPr>
        <w:t>本工程</w:t>
      </w:r>
      <w:r>
        <w:rPr>
          <w:rFonts w:hint="eastAsia"/>
          <w:sz w:val="24"/>
        </w:rPr>
        <w:t>进入采油期产生的废水主要有油田开发过程中的采出水和井下作业废水。采出水、井下作业废水进入</w:t>
      </w:r>
      <w:r>
        <w:rPr>
          <w:rFonts w:hint="eastAsia"/>
          <w:sz w:val="24"/>
        </w:rPr>
        <w:t>春风二号联合站</w:t>
      </w:r>
      <w:r>
        <w:rPr>
          <w:rFonts w:hint="eastAsia"/>
          <w:sz w:val="24"/>
        </w:rPr>
        <w:t>的污水处理系统，处理达到《碎屑岩油藏注水水质指标技术要求及分析方法》（</w:t>
      </w:r>
      <w:r>
        <w:rPr>
          <w:rFonts w:hint="eastAsia"/>
          <w:sz w:val="24"/>
        </w:rPr>
        <w:t>SY/T 5329-2022</w:t>
      </w:r>
      <w:r>
        <w:rPr>
          <w:rFonts w:hint="eastAsia"/>
          <w:sz w:val="24"/>
        </w:rPr>
        <w:t>）标准后回注油层。</w:t>
      </w:r>
      <w:r>
        <w:rPr>
          <w:sz w:val="24"/>
        </w:rPr>
        <w:t>正常工况不会对</w:t>
      </w:r>
      <w:r>
        <w:rPr>
          <w:sz w:val="24"/>
        </w:rPr>
        <w:t>地下水产生较大的影响。</w:t>
      </w:r>
    </w:p>
    <w:p w:rsidR="00EE4502" w:rsidRDefault="00FD45A3">
      <w:pPr>
        <w:pStyle w:val="33"/>
        <w:numPr>
          <w:ilvl w:val="2"/>
          <w:numId w:val="30"/>
        </w:numPr>
        <w:spacing w:line="360" w:lineRule="auto"/>
        <w:ind w:left="0" w:firstLine="0"/>
        <w:rPr>
          <w:rFonts w:eastAsia="宋体"/>
          <w:sz w:val="24"/>
          <w:szCs w:val="24"/>
        </w:rPr>
      </w:pPr>
      <w:r>
        <w:rPr>
          <w:rFonts w:hint="eastAsia"/>
          <w:spacing w:val="0"/>
          <w:sz w:val="24"/>
          <w:szCs w:val="24"/>
        </w:rPr>
        <w:t>地表水环境影响评价</w:t>
      </w:r>
    </w:p>
    <w:p w:rsidR="00EE4502" w:rsidRDefault="00FD45A3">
      <w:pPr>
        <w:spacing w:line="360" w:lineRule="auto"/>
        <w:ind w:firstLine="522"/>
        <w:rPr>
          <w:bCs/>
          <w:sz w:val="24"/>
        </w:rPr>
      </w:pPr>
      <w:r>
        <w:rPr>
          <w:rFonts w:hint="eastAsia"/>
          <w:bCs/>
          <w:sz w:val="24"/>
        </w:rPr>
        <w:t>本工程</w:t>
      </w:r>
      <w:r>
        <w:rPr>
          <w:bCs/>
          <w:sz w:val="24"/>
        </w:rPr>
        <w:t>排水在正常情况下不进入地表水体，产生的钻井废水、井下作业废水、油藏采出水不会对地表水产生影响。</w:t>
      </w:r>
    </w:p>
    <w:p w:rsidR="00EE4502" w:rsidRDefault="00FD45A3">
      <w:pPr>
        <w:pStyle w:val="33"/>
        <w:numPr>
          <w:ilvl w:val="2"/>
          <w:numId w:val="30"/>
        </w:numPr>
        <w:spacing w:line="360" w:lineRule="auto"/>
        <w:ind w:left="0" w:firstLine="0"/>
        <w:rPr>
          <w:rFonts w:eastAsia="宋体"/>
          <w:sz w:val="24"/>
          <w:szCs w:val="24"/>
        </w:rPr>
      </w:pPr>
      <w:r>
        <w:rPr>
          <w:rFonts w:hint="eastAsia"/>
          <w:spacing w:val="0"/>
          <w:sz w:val="24"/>
          <w:szCs w:val="24"/>
        </w:rPr>
        <w:t>土壤</w:t>
      </w:r>
      <w:r>
        <w:rPr>
          <w:rFonts w:hint="eastAsia"/>
          <w:spacing w:val="0"/>
          <w:sz w:val="24"/>
          <w:szCs w:val="24"/>
        </w:rPr>
        <w:t>环境影响评价</w:t>
      </w:r>
    </w:p>
    <w:p w:rsidR="00EE4502" w:rsidRDefault="00FD45A3">
      <w:pPr>
        <w:spacing w:line="360" w:lineRule="auto"/>
        <w:ind w:firstLine="522"/>
        <w:rPr>
          <w:sz w:val="24"/>
        </w:rPr>
      </w:pPr>
      <w:r>
        <w:rPr>
          <w:rFonts w:hint="eastAsia"/>
          <w:sz w:val="24"/>
        </w:rPr>
        <w:t>施工期产生的固废主要包括废弃泥浆、钻井岩屑、焊接及吹扫废渣、设备废弃包装、废机油、废烧碱包装袋、生活垃圾等。钻井岩屑和废弃泥浆采用泥浆不落地工艺收集后依托克拉玛依前山石油工程服务有限公司等第三方单位进行收运处置；焊接及吹扫废渣、设备废弃包装送至胡杨河经济技术开发区一般固体废物填埋场；废机油、废烧碱包装袋为危险废物，分类收集后交由有资质的单位进行处</w:t>
      </w:r>
      <w:r>
        <w:rPr>
          <w:rFonts w:hint="eastAsia"/>
          <w:sz w:val="24"/>
        </w:rPr>
        <w:t>置；生活垃圾在垃圾收集箱暂存，由克拉玛依前山石油工程服务有限公司清运至克拉玛依市生活垃圾填埋场（排</w:t>
      </w:r>
      <w:r>
        <w:rPr>
          <w:rFonts w:hint="eastAsia"/>
          <w:sz w:val="24"/>
        </w:rPr>
        <w:t>61</w:t>
      </w:r>
      <w:r>
        <w:rPr>
          <w:rFonts w:hint="eastAsia"/>
          <w:sz w:val="24"/>
        </w:rPr>
        <w:t>块产能部分位于克拉玛依境内）或第七师</w:t>
      </w:r>
      <w:r>
        <w:rPr>
          <w:rFonts w:hint="eastAsia"/>
          <w:sz w:val="24"/>
        </w:rPr>
        <w:t>128</w:t>
      </w:r>
      <w:r>
        <w:rPr>
          <w:rFonts w:hint="eastAsia"/>
          <w:sz w:val="24"/>
        </w:rPr>
        <w:t>团生活垃圾填埋场（注水部分位于第七师境内）处置。</w:t>
      </w:r>
    </w:p>
    <w:p w:rsidR="00EE4502" w:rsidRDefault="00FD45A3">
      <w:pPr>
        <w:spacing w:line="360" w:lineRule="auto"/>
        <w:ind w:firstLine="522"/>
        <w:rPr>
          <w:sz w:val="24"/>
        </w:rPr>
      </w:pPr>
      <w:r>
        <w:rPr>
          <w:sz w:val="24"/>
        </w:rPr>
        <w:t>运营期落地油、</w:t>
      </w:r>
      <w:r>
        <w:rPr>
          <w:rFonts w:hint="eastAsia"/>
          <w:sz w:val="24"/>
        </w:rPr>
        <w:t>清管废渣、</w:t>
      </w:r>
      <w:r>
        <w:rPr>
          <w:sz w:val="24"/>
        </w:rPr>
        <w:t>含油废防渗布委托有资质的单位统一交由有资质的单位处置</w:t>
      </w:r>
      <w:r>
        <w:rPr>
          <w:rFonts w:hint="eastAsia"/>
          <w:sz w:val="24"/>
        </w:rPr>
        <w:t>，</w:t>
      </w:r>
      <w:r>
        <w:rPr>
          <w:sz w:val="24"/>
        </w:rPr>
        <w:t>废润滑油</w:t>
      </w:r>
      <w:r>
        <w:rPr>
          <w:rFonts w:hint="eastAsia"/>
          <w:sz w:val="24"/>
        </w:rPr>
        <w:t>由联合站回收综合利用</w:t>
      </w:r>
      <w:r>
        <w:rPr>
          <w:sz w:val="24"/>
        </w:rPr>
        <w:t>。严格按照《危险废物贮存污染控制标准》（</w:t>
      </w:r>
      <w:r>
        <w:rPr>
          <w:sz w:val="24"/>
        </w:rPr>
        <w:t>GB18597-20</w:t>
      </w:r>
      <w:r>
        <w:rPr>
          <w:rFonts w:hint="eastAsia"/>
          <w:sz w:val="24"/>
        </w:rPr>
        <w:t>23</w:t>
      </w:r>
      <w:r>
        <w:rPr>
          <w:sz w:val="24"/>
        </w:rPr>
        <w:t>），《危险废物收集贮存运输技术规范》（</w:t>
      </w:r>
      <w:r>
        <w:rPr>
          <w:sz w:val="24"/>
        </w:rPr>
        <w:t>HJ2025-2012</w:t>
      </w:r>
      <w:r>
        <w:rPr>
          <w:sz w:val="24"/>
        </w:rPr>
        <w:t>）和《危险废物转移管理办法》中的相关要求收集、贮存、运输。</w:t>
      </w:r>
    </w:p>
    <w:p w:rsidR="00EE4502" w:rsidRDefault="00FD45A3">
      <w:pPr>
        <w:spacing w:line="360" w:lineRule="auto"/>
        <w:ind w:firstLine="522"/>
        <w:rPr>
          <w:sz w:val="24"/>
        </w:rPr>
      </w:pPr>
      <w:r>
        <w:rPr>
          <w:rFonts w:hint="eastAsia"/>
          <w:sz w:val="24"/>
        </w:rPr>
        <w:t>本工程</w:t>
      </w:r>
      <w:r>
        <w:rPr>
          <w:sz w:val="24"/>
        </w:rPr>
        <w:t>在开发建设过程中所产生的各类固体废物均可以得到有效</w:t>
      </w:r>
      <w:r>
        <w:rPr>
          <w:rFonts w:hint="eastAsia"/>
          <w:sz w:val="24"/>
        </w:rPr>
        <w:t>地</w:t>
      </w:r>
      <w:r>
        <w:rPr>
          <w:sz w:val="24"/>
        </w:rPr>
        <w:t>处理，对</w:t>
      </w:r>
      <w:r>
        <w:rPr>
          <w:rFonts w:hint="eastAsia"/>
          <w:sz w:val="24"/>
        </w:rPr>
        <w:t>土壤</w:t>
      </w:r>
      <w:r>
        <w:rPr>
          <w:sz w:val="24"/>
        </w:rPr>
        <w:t>环境所造成的影响可以接受。</w:t>
      </w:r>
    </w:p>
    <w:p w:rsidR="00EE4502" w:rsidRDefault="00FD45A3">
      <w:pPr>
        <w:pStyle w:val="33"/>
        <w:numPr>
          <w:ilvl w:val="2"/>
          <w:numId w:val="30"/>
        </w:numPr>
        <w:spacing w:line="360" w:lineRule="auto"/>
        <w:ind w:left="0" w:firstLine="0"/>
        <w:rPr>
          <w:rFonts w:eastAsia="宋体"/>
          <w:sz w:val="24"/>
          <w:szCs w:val="24"/>
        </w:rPr>
      </w:pPr>
      <w:r>
        <w:rPr>
          <w:rFonts w:hint="eastAsia"/>
          <w:spacing w:val="0"/>
          <w:sz w:val="24"/>
          <w:szCs w:val="24"/>
        </w:rPr>
        <w:t>大气环境影响评价</w:t>
      </w:r>
    </w:p>
    <w:p w:rsidR="00EE4502" w:rsidRDefault="00FD45A3">
      <w:pPr>
        <w:spacing w:line="360" w:lineRule="auto"/>
        <w:ind w:firstLine="482"/>
        <w:rPr>
          <w:sz w:val="24"/>
        </w:rPr>
      </w:pPr>
      <w:r>
        <w:rPr>
          <w:rFonts w:hint="eastAsia"/>
          <w:sz w:val="24"/>
        </w:rPr>
        <w:t>根据工程分析，</w:t>
      </w:r>
      <w:r>
        <w:rPr>
          <w:sz w:val="24"/>
        </w:rPr>
        <w:t>油田开发</w:t>
      </w:r>
      <w:r>
        <w:rPr>
          <w:rFonts w:hint="eastAsia"/>
          <w:sz w:val="24"/>
        </w:rPr>
        <w:t>阶段</w:t>
      </w:r>
      <w:r>
        <w:rPr>
          <w:sz w:val="24"/>
        </w:rPr>
        <w:t>对环境空气的影响主要</w:t>
      </w:r>
      <w:r>
        <w:rPr>
          <w:rFonts w:hint="eastAsia"/>
          <w:sz w:val="24"/>
        </w:rPr>
        <w:t>来自</w:t>
      </w:r>
      <w:r>
        <w:rPr>
          <w:sz w:val="24"/>
        </w:rPr>
        <w:t>钻井过程中使用的柴油机、柴油发电机在运行过程中因柴油燃烧而产生燃烧烟气以及油田运输车辆排放的少量尾气和运输中产生的扬尘。通过类比春风油田同类钻井井场，钻井井场周围大气环境质量良好。整个油田的开发周期是短暂的，钻井期污染属于阶段</w:t>
      </w:r>
      <w:r>
        <w:rPr>
          <w:sz w:val="24"/>
        </w:rPr>
        <w:lastRenderedPageBreak/>
        <w:t>性局部污染，完钻后投入正常生产则无此项污染。从影响时间、范围和程度来看，钻井废气对周围大气环境质量影响是有限的。</w:t>
      </w:r>
    </w:p>
    <w:p w:rsidR="00EE4502" w:rsidRDefault="00FD45A3">
      <w:pPr>
        <w:spacing w:line="360" w:lineRule="auto"/>
        <w:ind w:firstLine="482"/>
        <w:rPr>
          <w:sz w:val="24"/>
        </w:rPr>
      </w:pPr>
      <w:r>
        <w:rPr>
          <w:rFonts w:hint="eastAsia"/>
          <w:sz w:val="24"/>
        </w:rPr>
        <w:t>运营期的大气</w:t>
      </w:r>
      <w:r>
        <w:rPr>
          <w:rFonts w:hint="eastAsia"/>
          <w:sz w:val="24"/>
        </w:rPr>
        <w:t>污染源主要是油气集输过程中的烃类无组织挥发。</w:t>
      </w:r>
      <w:r>
        <w:rPr>
          <w:sz w:val="24"/>
        </w:rPr>
        <w:t>由预测结果可知，井</w:t>
      </w:r>
      <w:r>
        <w:rPr>
          <w:rFonts w:hint="eastAsia"/>
          <w:sz w:val="24"/>
        </w:rPr>
        <w:t>场</w:t>
      </w:r>
      <w:r>
        <w:rPr>
          <w:sz w:val="24"/>
        </w:rPr>
        <w:t>非甲烷总烃最大</w:t>
      </w:r>
      <w:r>
        <w:rPr>
          <w:rFonts w:hint="eastAsia"/>
          <w:sz w:val="24"/>
        </w:rPr>
        <w:t>落地浓度</w:t>
      </w:r>
      <w:r>
        <w:rPr>
          <w:sz w:val="24"/>
        </w:rPr>
        <w:t>占标率</w:t>
      </w:r>
      <w:r>
        <w:rPr>
          <w:rFonts w:hint="eastAsia"/>
          <w:sz w:val="24"/>
        </w:rPr>
        <w:t>小于</w:t>
      </w:r>
      <w:r>
        <w:rPr>
          <w:rFonts w:hint="eastAsia"/>
          <w:sz w:val="24"/>
        </w:rPr>
        <w:t>10%</w:t>
      </w:r>
      <w:r>
        <w:rPr>
          <w:rFonts w:hint="eastAsia"/>
          <w:sz w:val="24"/>
        </w:rPr>
        <w:t>，</w:t>
      </w:r>
      <w:r>
        <w:rPr>
          <w:sz w:val="24"/>
        </w:rPr>
        <w:t>最大落地浓度出现在下风向</w:t>
      </w:r>
      <w:r>
        <w:rPr>
          <w:rFonts w:hint="eastAsia"/>
          <w:sz w:val="24"/>
        </w:rPr>
        <w:t>27</w:t>
      </w:r>
      <w:r>
        <w:rPr>
          <w:sz w:val="24"/>
        </w:rPr>
        <w:t>m</w:t>
      </w:r>
      <w:r>
        <w:rPr>
          <w:sz w:val="24"/>
        </w:rPr>
        <w:t>处，下风向各距离处非甲烷总烃的浓度均满足《陆上石油天然气开采工业大气污染物排放标准》（</w:t>
      </w:r>
      <w:r>
        <w:rPr>
          <w:sz w:val="24"/>
        </w:rPr>
        <w:t>GB39728-2020</w:t>
      </w:r>
      <w:r>
        <w:rPr>
          <w:sz w:val="24"/>
        </w:rPr>
        <w:t>）中企业边界污染物控制要求。</w:t>
      </w:r>
    </w:p>
    <w:p w:rsidR="00EE4502" w:rsidRDefault="00FD45A3">
      <w:pPr>
        <w:pStyle w:val="33"/>
        <w:numPr>
          <w:ilvl w:val="2"/>
          <w:numId w:val="30"/>
        </w:numPr>
        <w:spacing w:line="360" w:lineRule="auto"/>
        <w:ind w:left="0" w:firstLine="0"/>
        <w:rPr>
          <w:rFonts w:eastAsia="宋体"/>
          <w:sz w:val="24"/>
          <w:szCs w:val="24"/>
        </w:rPr>
      </w:pPr>
      <w:r>
        <w:rPr>
          <w:rFonts w:hint="eastAsia"/>
          <w:spacing w:val="0"/>
          <w:sz w:val="24"/>
          <w:szCs w:val="24"/>
        </w:rPr>
        <w:t>声环境影响评价</w:t>
      </w:r>
    </w:p>
    <w:p w:rsidR="00EE4502" w:rsidRDefault="00FD45A3">
      <w:pPr>
        <w:spacing w:line="360" w:lineRule="auto"/>
        <w:ind w:firstLine="505"/>
        <w:rPr>
          <w:bCs/>
          <w:sz w:val="24"/>
        </w:rPr>
      </w:pPr>
      <w:r>
        <w:rPr>
          <w:rFonts w:hint="eastAsia"/>
          <w:bCs/>
          <w:sz w:val="24"/>
        </w:rPr>
        <w:t>本工程</w:t>
      </w:r>
      <w:r>
        <w:rPr>
          <w:bCs/>
          <w:sz w:val="24"/>
        </w:rPr>
        <w:t>的噪声源主要分为建设施工期噪声和生产运营期噪声两部分。建设施工期间管线敷设、部分地面工程及钻井施工过程中施工机械和车辆等是主要的噪声源。这些声源对环境的影响是暂时的，影响时间短。通过类比分析，施工期噪声对周围环境造成</w:t>
      </w:r>
      <w:r>
        <w:rPr>
          <w:bCs/>
          <w:sz w:val="24"/>
        </w:rPr>
        <w:t>的影响属</w:t>
      </w:r>
      <w:r>
        <w:rPr>
          <w:rFonts w:hint="eastAsia"/>
          <w:bCs/>
          <w:sz w:val="24"/>
        </w:rPr>
        <w:t>于</w:t>
      </w:r>
      <w:r>
        <w:rPr>
          <w:bCs/>
          <w:sz w:val="24"/>
        </w:rPr>
        <w:t>可接受范围。</w:t>
      </w:r>
    </w:p>
    <w:p w:rsidR="00EE4502" w:rsidRDefault="00FD45A3">
      <w:pPr>
        <w:spacing w:line="360" w:lineRule="auto"/>
        <w:ind w:firstLine="522"/>
        <w:rPr>
          <w:rFonts w:eastAsia="黑体"/>
          <w:sz w:val="24"/>
        </w:rPr>
      </w:pPr>
      <w:r>
        <w:rPr>
          <w:rFonts w:hint="eastAsia"/>
          <w:bCs/>
          <w:sz w:val="24"/>
        </w:rPr>
        <w:t>本工程</w:t>
      </w:r>
      <w:r>
        <w:rPr>
          <w:rFonts w:hint="eastAsia"/>
          <w:bCs/>
          <w:sz w:val="24"/>
        </w:rPr>
        <w:t>运营期噪声源主要为井场机泵等设备噪声，以及修井时井下作业噪声，对环境的影响周期较长，贯穿于整个生产期。由预测结果可知，</w:t>
      </w:r>
      <w:r>
        <w:rPr>
          <w:rFonts w:hint="eastAsia"/>
          <w:bCs/>
          <w:sz w:val="24"/>
        </w:rPr>
        <w:t>本工程</w:t>
      </w:r>
      <w:r>
        <w:rPr>
          <w:rFonts w:hint="eastAsia"/>
          <w:bCs/>
          <w:sz w:val="24"/>
        </w:rPr>
        <w:t>单井井场厂界噪声值均满足《工业企业厂界环境噪声排放标准》（</w:t>
      </w:r>
      <w:r>
        <w:rPr>
          <w:rFonts w:hint="eastAsia"/>
          <w:bCs/>
          <w:sz w:val="24"/>
        </w:rPr>
        <w:t>GB12348-2008</w:t>
      </w:r>
      <w:r>
        <w:rPr>
          <w:rFonts w:hint="eastAsia"/>
          <w:bCs/>
          <w:sz w:val="24"/>
        </w:rPr>
        <w:t>）</w:t>
      </w:r>
      <w:r>
        <w:rPr>
          <w:rFonts w:hint="eastAsia"/>
          <w:bCs/>
          <w:sz w:val="24"/>
        </w:rPr>
        <w:t>2</w:t>
      </w:r>
      <w:r>
        <w:rPr>
          <w:rFonts w:hint="eastAsia"/>
          <w:bCs/>
          <w:sz w:val="24"/>
        </w:rPr>
        <w:t>类标准限值要求，且周边无声环境敏感点，因此工程实施后不会对周围声环境产生明显影响。</w:t>
      </w:r>
    </w:p>
    <w:p w:rsidR="00EE4502" w:rsidRDefault="00FD45A3">
      <w:pPr>
        <w:pStyle w:val="33"/>
        <w:numPr>
          <w:ilvl w:val="2"/>
          <w:numId w:val="30"/>
        </w:numPr>
        <w:spacing w:line="360" w:lineRule="auto"/>
        <w:ind w:left="0" w:firstLine="0"/>
        <w:rPr>
          <w:spacing w:val="0"/>
          <w:sz w:val="24"/>
          <w:szCs w:val="24"/>
        </w:rPr>
      </w:pPr>
      <w:r>
        <w:rPr>
          <w:spacing w:val="0"/>
          <w:sz w:val="24"/>
          <w:szCs w:val="24"/>
        </w:rPr>
        <w:t>风险事故评价结论</w:t>
      </w:r>
    </w:p>
    <w:p w:rsidR="00EE4502" w:rsidRDefault="00FD45A3">
      <w:pPr>
        <w:spacing w:line="360" w:lineRule="auto"/>
        <w:ind w:firstLineChars="200" w:firstLine="480"/>
        <w:rPr>
          <w:rFonts w:eastAsia="ABCDEE+宋体"/>
          <w:kern w:val="0"/>
          <w:sz w:val="24"/>
        </w:rPr>
      </w:pPr>
      <w:r>
        <w:rPr>
          <w:rFonts w:eastAsia="ABCDEE+宋体" w:hint="eastAsia"/>
          <w:kern w:val="0"/>
          <w:sz w:val="24"/>
        </w:rPr>
        <w:t>本工程</w:t>
      </w:r>
      <w:r>
        <w:rPr>
          <w:rFonts w:eastAsia="ABCDEE+宋体"/>
          <w:kern w:val="0"/>
          <w:sz w:val="24"/>
        </w:rPr>
        <w:t>所涉及的危险物质</w:t>
      </w:r>
      <w:r>
        <w:rPr>
          <w:rFonts w:eastAsia="ABCDEE+宋体" w:hint="eastAsia"/>
          <w:kern w:val="0"/>
          <w:sz w:val="24"/>
        </w:rPr>
        <w:t>主要为</w:t>
      </w:r>
      <w:r>
        <w:rPr>
          <w:rFonts w:eastAsia="ABCDEE+宋体"/>
          <w:kern w:val="0"/>
          <w:sz w:val="24"/>
        </w:rPr>
        <w:t>原油</w:t>
      </w:r>
      <w:r>
        <w:rPr>
          <w:rFonts w:eastAsia="ABCDEE+宋体" w:hint="eastAsia"/>
          <w:kern w:val="0"/>
          <w:sz w:val="24"/>
        </w:rPr>
        <w:t>、伴生气</w:t>
      </w:r>
      <w:r>
        <w:rPr>
          <w:rFonts w:eastAsia="ABCDEE+宋体"/>
          <w:kern w:val="0"/>
          <w:sz w:val="24"/>
        </w:rPr>
        <w:t>，可能发生的风险事故包括井场事故、管线</w:t>
      </w:r>
      <w:r>
        <w:rPr>
          <w:rFonts w:eastAsia="ABCDEE+宋体" w:hint="eastAsia"/>
          <w:kern w:val="0"/>
          <w:sz w:val="24"/>
        </w:rPr>
        <w:t>泄漏事故</w:t>
      </w:r>
      <w:r>
        <w:rPr>
          <w:rFonts w:eastAsia="ABCDEE+宋体"/>
          <w:kern w:val="0"/>
          <w:sz w:val="24"/>
        </w:rPr>
        <w:t>。原油发生泄漏时，对土壤、植被、地下水会产生一定的影响，发生事故后，在严格落实</w:t>
      </w:r>
      <w:r>
        <w:rPr>
          <w:rFonts w:eastAsia="ABCDEE+宋体" w:hint="eastAsia"/>
          <w:kern w:val="0"/>
          <w:sz w:val="24"/>
        </w:rPr>
        <w:t>本工程</w:t>
      </w:r>
      <w:r>
        <w:rPr>
          <w:rFonts w:eastAsia="ABCDEE+宋体"/>
          <w:kern w:val="0"/>
          <w:sz w:val="24"/>
        </w:rPr>
        <w:t>提出的风险防范措施的前提下，不会对周围环境产生明显影响；当泄漏事故发生时，及时、彻底清除泄漏油品、被污染的土壤，污染物不会进入地下水中，对地下水水质没有不良影响。做好事故风险防范措施，将事故发生概率减少到最低。总体来说，</w:t>
      </w:r>
      <w:r>
        <w:rPr>
          <w:rFonts w:eastAsia="ABCDEE+宋体" w:hint="eastAsia"/>
          <w:kern w:val="0"/>
          <w:sz w:val="24"/>
        </w:rPr>
        <w:t>本工程</w:t>
      </w:r>
      <w:r>
        <w:rPr>
          <w:rFonts w:eastAsia="ABCDEE+宋体"/>
          <w:kern w:val="0"/>
          <w:sz w:val="24"/>
        </w:rPr>
        <w:t>环境风险可防可控。</w:t>
      </w:r>
    </w:p>
    <w:p w:rsidR="00EE4502" w:rsidRDefault="00FD45A3">
      <w:pPr>
        <w:pStyle w:val="22"/>
        <w:numPr>
          <w:ilvl w:val="1"/>
          <w:numId w:val="30"/>
        </w:numPr>
        <w:rPr>
          <w:spacing w:val="0"/>
          <w:w w:val="100"/>
        </w:rPr>
      </w:pPr>
      <w:bookmarkStart w:id="288" w:name="_Toc2794"/>
      <w:r>
        <w:rPr>
          <w:rFonts w:hint="eastAsia"/>
          <w:spacing w:val="0"/>
          <w:w w:val="100"/>
        </w:rPr>
        <w:t>环境保护措施</w:t>
      </w:r>
      <w:bookmarkEnd w:id="288"/>
    </w:p>
    <w:p w:rsidR="00EE4502" w:rsidRDefault="00FD45A3">
      <w:pPr>
        <w:pStyle w:val="33"/>
        <w:numPr>
          <w:ilvl w:val="2"/>
          <w:numId w:val="30"/>
        </w:numPr>
        <w:spacing w:line="360" w:lineRule="auto"/>
        <w:rPr>
          <w:spacing w:val="0"/>
          <w:sz w:val="24"/>
          <w:szCs w:val="24"/>
        </w:rPr>
      </w:pPr>
      <w:r>
        <w:rPr>
          <w:rFonts w:hint="eastAsia"/>
          <w:spacing w:val="0"/>
          <w:sz w:val="24"/>
          <w:szCs w:val="24"/>
        </w:rPr>
        <w:t>生态环境保护措施</w:t>
      </w:r>
    </w:p>
    <w:p w:rsidR="00EE4502" w:rsidRDefault="00FD45A3">
      <w:pPr>
        <w:spacing w:line="360" w:lineRule="auto"/>
        <w:ind w:firstLineChars="200" w:firstLine="480"/>
        <w:rPr>
          <w:rFonts w:eastAsia="ABCDEE+宋体"/>
          <w:kern w:val="0"/>
          <w:sz w:val="24"/>
        </w:rPr>
      </w:pPr>
      <w:r>
        <w:rPr>
          <w:rFonts w:eastAsia="ABCDEE+宋体" w:hint="eastAsia"/>
          <w:kern w:val="0"/>
          <w:sz w:val="24"/>
        </w:rPr>
        <w:t>施工期优化井场、道路和管线选址选线，严格控制占地面积；占地及补偿应按照地方有关工程征地及补偿要求进行，由相关部门许可后方可开工建设；施工期充分利用现有油田道路，尽可能减少道路临时占地，降低对地表和植被的破坏，施工机械不得在道路以外行驶</w:t>
      </w:r>
      <w:r>
        <w:rPr>
          <w:rFonts w:eastAsia="ABCDEE+宋体" w:hint="eastAsia"/>
          <w:kern w:val="0"/>
          <w:sz w:val="24"/>
        </w:rPr>
        <w:t>和作业，保持地表不被扰动，不得随意取弃土；管线施工时应根据地形条件，尽量按地形走向、起伏施工，减少挖填作业量；采取</w:t>
      </w:r>
      <w:r>
        <w:rPr>
          <w:rFonts w:eastAsia="ABCDEE+宋体" w:hint="eastAsia"/>
          <w:kern w:val="0"/>
          <w:sz w:val="24"/>
        </w:rPr>
        <w:lastRenderedPageBreak/>
        <w:t>必要的防沙治沙措施，对区域进行人工抚育植被，防止土地沙漠化。施工结束后，及时对临时占地区域进行平整、恢复原貌。运营期，对于永久占地地面采取砾石覆盖措施，减少风蚀量；在管线上方设置标志，以防附近的各类施工活动对管线的破坏；定时巡查井场、管线等，及时清理落地原油；开展生态环境恢复治理工作；设置“保护生态环境、保护野生动植物”等警示牌。退役期，拆除地面设施、清理井场等，拆除的报废设备和建筑废料等运至指</w:t>
      </w:r>
      <w:r>
        <w:rPr>
          <w:rFonts w:eastAsia="ABCDEE+宋体" w:hint="eastAsia"/>
          <w:kern w:val="0"/>
          <w:sz w:val="24"/>
        </w:rPr>
        <w:t>定位置进行处理；及时清理作业现场，做到“工完、料尽、场地清”，恢复原有地貌；按规范要求对废弃井采取固井、封井措施。</w:t>
      </w:r>
    </w:p>
    <w:p w:rsidR="00EE4502" w:rsidRDefault="00FD45A3">
      <w:pPr>
        <w:pStyle w:val="33"/>
        <w:numPr>
          <w:ilvl w:val="2"/>
          <w:numId w:val="30"/>
        </w:numPr>
        <w:spacing w:line="360" w:lineRule="auto"/>
        <w:rPr>
          <w:spacing w:val="0"/>
          <w:sz w:val="24"/>
          <w:szCs w:val="24"/>
        </w:rPr>
      </w:pPr>
      <w:r>
        <w:rPr>
          <w:rFonts w:hint="eastAsia"/>
          <w:spacing w:val="0"/>
          <w:sz w:val="24"/>
          <w:szCs w:val="24"/>
        </w:rPr>
        <w:t>水环境保护措施</w:t>
      </w:r>
    </w:p>
    <w:p w:rsidR="00EE4502" w:rsidRDefault="00FD45A3">
      <w:pPr>
        <w:spacing w:line="360" w:lineRule="auto"/>
        <w:ind w:firstLineChars="200" w:firstLine="480"/>
        <w:rPr>
          <w:rFonts w:eastAsia="ABCDEE+宋体"/>
          <w:kern w:val="0"/>
          <w:sz w:val="24"/>
        </w:rPr>
      </w:pPr>
      <w:r>
        <w:rPr>
          <w:rFonts w:eastAsia="ABCDEE+宋体" w:hint="eastAsia"/>
          <w:kern w:val="0"/>
          <w:sz w:val="24"/>
        </w:rPr>
        <w:t>井下作业废水带罐作业，采出水和井下作业废水依托春风二号联合站污水处理系统处理达标后回注油层或资源化处理站处理达标后用于注汽锅炉用水。</w:t>
      </w:r>
    </w:p>
    <w:p w:rsidR="00EE4502" w:rsidRDefault="00FD45A3">
      <w:pPr>
        <w:spacing w:line="360" w:lineRule="auto"/>
        <w:ind w:firstLineChars="200" w:firstLine="480"/>
        <w:rPr>
          <w:rFonts w:eastAsia="ABCDEE+宋体"/>
          <w:kern w:val="0"/>
          <w:sz w:val="24"/>
        </w:rPr>
      </w:pPr>
      <w:r>
        <w:rPr>
          <w:rFonts w:eastAsia="ABCDEE+宋体" w:hint="eastAsia"/>
          <w:kern w:val="0"/>
          <w:sz w:val="24"/>
        </w:rPr>
        <w:t>地下水环境保护按照“源头控制、分区防控、污染监控、应急响应”原则采取措施。</w:t>
      </w:r>
    </w:p>
    <w:p w:rsidR="00EE4502" w:rsidRDefault="00FD45A3">
      <w:pPr>
        <w:pStyle w:val="33"/>
        <w:numPr>
          <w:ilvl w:val="2"/>
          <w:numId w:val="30"/>
        </w:numPr>
        <w:spacing w:line="360" w:lineRule="auto"/>
        <w:rPr>
          <w:spacing w:val="0"/>
          <w:sz w:val="24"/>
          <w:szCs w:val="24"/>
        </w:rPr>
      </w:pPr>
      <w:r>
        <w:rPr>
          <w:rFonts w:hint="eastAsia"/>
          <w:spacing w:val="0"/>
          <w:sz w:val="24"/>
          <w:szCs w:val="24"/>
        </w:rPr>
        <w:t>土壤环境保护措施</w:t>
      </w:r>
    </w:p>
    <w:p w:rsidR="00EE4502" w:rsidRDefault="00FD45A3">
      <w:pPr>
        <w:spacing w:line="360" w:lineRule="auto"/>
        <w:ind w:firstLineChars="200" w:firstLine="480"/>
        <w:rPr>
          <w:rFonts w:eastAsia="ABCDEE+宋体"/>
          <w:kern w:val="0"/>
          <w:sz w:val="24"/>
        </w:rPr>
      </w:pPr>
      <w:r>
        <w:rPr>
          <w:rFonts w:eastAsia="ABCDEE+宋体" w:hint="eastAsia"/>
          <w:kern w:val="0"/>
          <w:sz w:val="24"/>
        </w:rPr>
        <w:t>施工期固体废物主要为施工过程中废弃泥浆、钻井岩屑、焊接及吹扫废渣、生活垃圾、废机油、设备废弃包装、废烧碱包装袋等。施工人员将生活垃圾收集至项目周边生活垃圾填埋场处置。多余土方回填管道上方或场地平整和临时施工场地恢复。分离后的固相由泥浆不落地单位按《油气田钻井固体废物综合利用污染控制要求》（</w:t>
      </w:r>
      <w:r>
        <w:rPr>
          <w:rFonts w:eastAsia="ABCDEE+宋体" w:hint="eastAsia"/>
          <w:kern w:val="0"/>
          <w:sz w:val="24"/>
        </w:rPr>
        <w:t>DB65/T3997-2017</w:t>
      </w:r>
      <w:r>
        <w:rPr>
          <w:rFonts w:eastAsia="ABCDEE+宋体" w:hint="eastAsia"/>
          <w:kern w:val="0"/>
          <w:sz w:val="24"/>
        </w:rPr>
        <w:t>）及环评批复要求处理达标后进行综合利用。焊接及吹扫废渣、设备废弃包装等一般工业固体废物，收集后送至项目周边建筑垃圾填埋场处置。废机油、废烧碱包装袋由钻井队联系有危险废物处置资质的单位回收处理。</w:t>
      </w:r>
      <w:r>
        <w:rPr>
          <w:rFonts w:eastAsia="ABCDEE+宋体" w:hint="eastAsia"/>
          <w:kern w:val="0"/>
          <w:sz w:val="24"/>
        </w:rPr>
        <w:t>运营期落地油、沾油废防渗材料等危险废物均委托有资质的单位统一交由有资质的单位处置，废润滑油可进入联合站原油处理系统自行综合利用。严格按照《危险废物贮存污染控制标准》</w:t>
      </w:r>
      <w:r>
        <w:rPr>
          <w:rFonts w:eastAsia="ABCDEE+宋体" w:hint="eastAsia"/>
          <w:kern w:val="0"/>
          <w:sz w:val="24"/>
        </w:rPr>
        <w:t>(GB18597-2023)</w:t>
      </w:r>
      <w:r>
        <w:rPr>
          <w:rFonts w:eastAsia="ABCDEE+宋体" w:hint="eastAsia"/>
          <w:kern w:val="0"/>
          <w:sz w:val="24"/>
        </w:rPr>
        <w:t>，《危险废物收集贮存运输技术规范》</w:t>
      </w:r>
      <w:r>
        <w:rPr>
          <w:rFonts w:eastAsia="ABCDEE+宋体" w:hint="eastAsia"/>
          <w:kern w:val="0"/>
          <w:sz w:val="24"/>
        </w:rPr>
        <w:t>(HJ2025-2012</w:t>
      </w:r>
      <w:r>
        <w:rPr>
          <w:rFonts w:eastAsia="ABCDEE+宋体" w:hint="eastAsia"/>
          <w:kern w:val="0"/>
          <w:sz w:val="24"/>
        </w:rPr>
        <w:t>）和《危险废物转移管理办法》中的相关要求收集、贮存、运输。</w:t>
      </w:r>
    </w:p>
    <w:p w:rsidR="00EE4502" w:rsidRDefault="00FD45A3">
      <w:pPr>
        <w:spacing w:line="360" w:lineRule="auto"/>
        <w:ind w:firstLineChars="200" w:firstLine="480"/>
        <w:rPr>
          <w:rFonts w:eastAsia="ABCDEE+宋体"/>
          <w:kern w:val="0"/>
          <w:sz w:val="24"/>
        </w:rPr>
      </w:pPr>
      <w:r>
        <w:rPr>
          <w:rFonts w:eastAsia="ABCDEE+宋体" w:hint="eastAsia"/>
          <w:kern w:val="0"/>
          <w:sz w:val="24"/>
        </w:rPr>
        <w:t>加强管线内的压力、流量传感器检修维护，保障发生管线阀门连接处泄漏及时切断阀门，减少泄漏量；加强日常巡检监管工作，出现泄漏情况能及时发现；加强法兰、阀门连接处腐蚀情况记录管理，避免因老化、腐蚀导致泄漏情况</w:t>
      </w:r>
      <w:r>
        <w:rPr>
          <w:rFonts w:eastAsia="ABCDEE+宋体" w:hint="eastAsia"/>
          <w:kern w:val="0"/>
          <w:sz w:val="24"/>
        </w:rPr>
        <w:t>发生。严格执行地下水章节分区防控措施要求。制定跟踪监测计划，发生事故泄漏时对</w:t>
      </w:r>
      <w:r>
        <w:rPr>
          <w:rFonts w:eastAsia="ABCDEE+宋体" w:hint="eastAsia"/>
          <w:kern w:val="0"/>
          <w:sz w:val="24"/>
        </w:rPr>
        <w:lastRenderedPageBreak/>
        <w:t>可能影响区域进行跟踪监测。</w:t>
      </w:r>
    </w:p>
    <w:p w:rsidR="00EE4502" w:rsidRDefault="00FD45A3">
      <w:pPr>
        <w:pStyle w:val="33"/>
        <w:numPr>
          <w:ilvl w:val="2"/>
          <w:numId w:val="30"/>
        </w:numPr>
        <w:spacing w:line="360" w:lineRule="auto"/>
        <w:rPr>
          <w:spacing w:val="0"/>
          <w:sz w:val="24"/>
          <w:szCs w:val="24"/>
        </w:rPr>
      </w:pPr>
      <w:r>
        <w:rPr>
          <w:rFonts w:hint="eastAsia"/>
          <w:spacing w:val="0"/>
          <w:sz w:val="24"/>
          <w:szCs w:val="24"/>
        </w:rPr>
        <w:t>大气环境保护措施</w:t>
      </w:r>
    </w:p>
    <w:p w:rsidR="00EE4502" w:rsidRDefault="00FD45A3">
      <w:pPr>
        <w:spacing w:line="360" w:lineRule="auto"/>
        <w:ind w:firstLineChars="200" w:firstLine="480"/>
        <w:rPr>
          <w:rFonts w:eastAsia="ABCDEE+宋体"/>
          <w:kern w:val="0"/>
          <w:sz w:val="24"/>
        </w:rPr>
      </w:pPr>
      <w:r>
        <w:rPr>
          <w:rFonts w:eastAsia="ABCDEE+宋体" w:hint="eastAsia"/>
          <w:kern w:val="0"/>
          <w:sz w:val="24"/>
        </w:rPr>
        <w:t>工程集输采用密闭流程，采用技术质量可靠的设备、阀门等；定期对各井场、站场设备、阀门等进行检查、检修，以防止跑、冒、滴、漏的发生。定期对油气集输管线进行巡检，以便及时发现问题，消除事故隐患，防止油气泄漏进入大气环境。</w:t>
      </w:r>
    </w:p>
    <w:p w:rsidR="00EE4502" w:rsidRDefault="00FD45A3">
      <w:pPr>
        <w:pStyle w:val="33"/>
        <w:numPr>
          <w:ilvl w:val="2"/>
          <w:numId w:val="30"/>
        </w:numPr>
        <w:spacing w:line="360" w:lineRule="auto"/>
        <w:rPr>
          <w:spacing w:val="0"/>
          <w:sz w:val="24"/>
          <w:szCs w:val="24"/>
        </w:rPr>
      </w:pPr>
      <w:r>
        <w:rPr>
          <w:rFonts w:hint="eastAsia"/>
          <w:spacing w:val="0"/>
          <w:sz w:val="24"/>
          <w:szCs w:val="24"/>
        </w:rPr>
        <w:t>声环境保护措施</w:t>
      </w:r>
    </w:p>
    <w:p w:rsidR="00EE4502" w:rsidRDefault="00FD45A3">
      <w:pPr>
        <w:spacing w:line="360" w:lineRule="auto"/>
        <w:ind w:firstLineChars="200" w:firstLine="480"/>
        <w:rPr>
          <w:rFonts w:eastAsia="ABCDEE+宋体"/>
          <w:kern w:val="0"/>
          <w:sz w:val="24"/>
        </w:rPr>
      </w:pPr>
      <w:r>
        <w:rPr>
          <w:rFonts w:eastAsia="ABCDEE+宋体" w:hint="eastAsia"/>
          <w:kern w:val="0"/>
          <w:sz w:val="24"/>
        </w:rPr>
        <w:t>要求合理布局噪声源，采用基础减振、隔声等措施，并加强日常维护，减轻设备噪声对外环境和人员的影响。</w:t>
      </w:r>
    </w:p>
    <w:p w:rsidR="00EE4502" w:rsidRDefault="00FD45A3">
      <w:pPr>
        <w:pStyle w:val="33"/>
        <w:numPr>
          <w:ilvl w:val="2"/>
          <w:numId w:val="30"/>
        </w:numPr>
        <w:spacing w:line="360" w:lineRule="auto"/>
        <w:rPr>
          <w:spacing w:val="0"/>
          <w:sz w:val="24"/>
          <w:szCs w:val="24"/>
        </w:rPr>
      </w:pPr>
      <w:r>
        <w:rPr>
          <w:rFonts w:hint="eastAsia"/>
          <w:spacing w:val="0"/>
          <w:sz w:val="24"/>
          <w:szCs w:val="24"/>
        </w:rPr>
        <w:t>环境风险防治措施</w:t>
      </w:r>
    </w:p>
    <w:p w:rsidR="00EE4502" w:rsidRDefault="00FD45A3">
      <w:pPr>
        <w:spacing w:line="360" w:lineRule="auto"/>
        <w:ind w:firstLineChars="200" w:firstLine="480"/>
        <w:rPr>
          <w:rFonts w:eastAsia="ABCDEE+宋体"/>
          <w:kern w:val="0"/>
          <w:sz w:val="24"/>
        </w:rPr>
      </w:pPr>
      <w:r>
        <w:rPr>
          <w:rFonts w:eastAsia="ABCDEE+宋体" w:hint="eastAsia"/>
          <w:kern w:val="0"/>
          <w:sz w:val="24"/>
        </w:rPr>
        <w:t>本工程主要风险是管线破坏引起的气体泄漏，做</w:t>
      </w:r>
      <w:r>
        <w:rPr>
          <w:rFonts w:eastAsia="ABCDEE+宋体" w:hint="eastAsia"/>
          <w:kern w:val="0"/>
          <w:sz w:val="24"/>
        </w:rPr>
        <w:t>好风险防范工作，防止对周围环境、工作人员人身安全造成危害。本工程的环境风险防范措施及制定的预案切实可行、有效。在落实风险防范措施、应急预案后，其发生事故的概率较低，其环境危害也是较小的，环境风险水平是可接受的，工程建设可行。</w:t>
      </w:r>
    </w:p>
    <w:p w:rsidR="00EE4502" w:rsidRDefault="00FD45A3">
      <w:pPr>
        <w:pStyle w:val="22"/>
        <w:numPr>
          <w:ilvl w:val="1"/>
          <w:numId w:val="30"/>
        </w:numPr>
        <w:rPr>
          <w:spacing w:val="0"/>
          <w:w w:val="100"/>
        </w:rPr>
      </w:pPr>
      <w:bookmarkStart w:id="289" w:name="_Toc171"/>
      <w:r>
        <w:rPr>
          <w:rFonts w:hint="eastAsia"/>
          <w:spacing w:val="0"/>
          <w:w w:val="100"/>
        </w:rPr>
        <w:t>公众意见采纳情况</w:t>
      </w:r>
      <w:bookmarkEnd w:id="289"/>
    </w:p>
    <w:p w:rsidR="00EE4502" w:rsidRDefault="00FD45A3">
      <w:pPr>
        <w:spacing w:line="360" w:lineRule="auto"/>
        <w:ind w:firstLine="522"/>
        <w:rPr>
          <w:sz w:val="24"/>
        </w:rPr>
      </w:pPr>
      <w:r>
        <w:rPr>
          <w:sz w:val="24"/>
        </w:rPr>
        <w:t>按照《环境影响评价公众参与暂行办法》要求，建设单位进行了</w:t>
      </w:r>
      <w:r>
        <w:rPr>
          <w:rFonts w:hint="eastAsia"/>
          <w:sz w:val="24"/>
        </w:rPr>
        <w:t>三</w:t>
      </w:r>
      <w:r>
        <w:rPr>
          <w:sz w:val="24"/>
        </w:rPr>
        <w:t>次网络信息公示和两次报纸公示，向公众公示了项目概况、环境影响、环保措施及初步评价结论等方面的信息，公示期间未收到公众对</w:t>
      </w:r>
      <w:r>
        <w:rPr>
          <w:rFonts w:hint="eastAsia"/>
          <w:sz w:val="24"/>
        </w:rPr>
        <w:t>本工程</w:t>
      </w:r>
      <w:r>
        <w:rPr>
          <w:sz w:val="24"/>
        </w:rPr>
        <w:t>的信息反馈意见。</w:t>
      </w:r>
    </w:p>
    <w:p w:rsidR="00EE4502" w:rsidRDefault="00FD45A3">
      <w:pPr>
        <w:pStyle w:val="22"/>
        <w:numPr>
          <w:ilvl w:val="1"/>
          <w:numId w:val="30"/>
        </w:numPr>
        <w:rPr>
          <w:spacing w:val="0"/>
          <w:w w:val="100"/>
        </w:rPr>
      </w:pPr>
      <w:bookmarkStart w:id="290" w:name="_Toc7920"/>
      <w:r>
        <w:rPr>
          <w:rFonts w:hint="eastAsia"/>
          <w:spacing w:val="0"/>
          <w:w w:val="100"/>
        </w:rPr>
        <w:t>环境影响经济损益分析</w:t>
      </w:r>
      <w:bookmarkEnd w:id="290"/>
    </w:p>
    <w:p w:rsidR="00EE4502" w:rsidRDefault="00FD45A3">
      <w:pPr>
        <w:spacing w:line="360" w:lineRule="auto"/>
        <w:ind w:firstLine="522"/>
        <w:rPr>
          <w:sz w:val="24"/>
        </w:rPr>
      </w:pPr>
      <w:r>
        <w:rPr>
          <w:rFonts w:hint="eastAsia"/>
          <w:sz w:val="24"/>
        </w:rPr>
        <w:t>本工程经分析具有良好的经济效益和社会效益。在建设过程中，由于地面设施建设、管线敷设等都需要占用一定量的土地，并因此带来一定的环境损失。因而在油田开发过程中，需要投入必要的资金用于污染防治和恢复地貌等</w:t>
      </w:r>
      <w:r>
        <w:rPr>
          <w:rFonts w:hint="eastAsia"/>
          <w:sz w:val="24"/>
        </w:rPr>
        <w:t>。</w:t>
      </w:r>
      <w:r>
        <w:rPr>
          <w:rFonts w:hint="eastAsia"/>
          <w:sz w:val="24"/>
        </w:rPr>
        <w:t>经估算本工程环境保护投资约</w:t>
      </w:r>
      <w:r>
        <w:rPr>
          <w:rFonts w:hint="eastAsia"/>
          <w:sz w:val="24"/>
        </w:rPr>
        <w:t>995</w:t>
      </w:r>
      <w:r>
        <w:rPr>
          <w:rFonts w:hint="eastAsia"/>
          <w:sz w:val="24"/>
        </w:rPr>
        <w:t>万元，环境保护投资占总投资的</w:t>
      </w:r>
      <w:r>
        <w:rPr>
          <w:rFonts w:hint="eastAsia"/>
          <w:sz w:val="24"/>
        </w:rPr>
        <w:t>8.73%</w:t>
      </w:r>
      <w:r>
        <w:rPr>
          <w:rFonts w:hint="eastAsia"/>
          <w:sz w:val="24"/>
        </w:rPr>
        <w:t>。实施相应的环保措施后，不但能够起到保护环境的效果，同时节约经济开支，为企业带来经济效益。</w:t>
      </w:r>
    </w:p>
    <w:p w:rsidR="00EE4502" w:rsidRDefault="00FD45A3">
      <w:pPr>
        <w:pStyle w:val="22"/>
        <w:numPr>
          <w:ilvl w:val="1"/>
          <w:numId w:val="30"/>
        </w:numPr>
        <w:rPr>
          <w:spacing w:val="0"/>
          <w:w w:val="100"/>
        </w:rPr>
      </w:pPr>
      <w:bookmarkStart w:id="291" w:name="_Toc5942"/>
      <w:r>
        <w:rPr>
          <w:rFonts w:hint="eastAsia"/>
          <w:spacing w:val="0"/>
          <w:w w:val="100"/>
        </w:rPr>
        <w:t>环境管理与监测计划</w:t>
      </w:r>
      <w:bookmarkEnd w:id="291"/>
    </w:p>
    <w:p w:rsidR="00EE4502" w:rsidRDefault="00FD45A3">
      <w:pPr>
        <w:spacing w:line="360" w:lineRule="auto"/>
        <w:ind w:firstLine="522"/>
        <w:rPr>
          <w:sz w:val="24"/>
        </w:rPr>
      </w:pPr>
      <w:r>
        <w:rPr>
          <w:rFonts w:hint="eastAsia"/>
          <w:sz w:val="24"/>
        </w:rPr>
        <w:t>中石化新疆新春石油开发有限公司环境管理机构设置健全，同时拥有完善的管理体系和管理手段。本工程制定了施工期环境监理计划、运营期环境监</w:t>
      </w:r>
      <w:r>
        <w:rPr>
          <w:rFonts w:hint="eastAsia"/>
          <w:sz w:val="24"/>
        </w:rPr>
        <w:t>测计划和环保设施竣工验收管理要求，针对工程的不同阶段提出了具体的环境管理要</w:t>
      </w:r>
      <w:r>
        <w:rPr>
          <w:rFonts w:hint="eastAsia"/>
          <w:sz w:val="24"/>
        </w:rPr>
        <w:lastRenderedPageBreak/>
        <w:t>求。</w:t>
      </w:r>
    </w:p>
    <w:p w:rsidR="00EE4502" w:rsidRDefault="00FD45A3">
      <w:pPr>
        <w:pStyle w:val="22"/>
        <w:numPr>
          <w:ilvl w:val="1"/>
          <w:numId w:val="30"/>
        </w:numPr>
        <w:rPr>
          <w:spacing w:val="0"/>
          <w:w w:val="100"/>
        </w:rPr>
      </w:pPr>
      <w:bookmarkStart w:id="292" w:name="_Toc19"/>
      <w:r>
        <w:rPr>
          <w:rFonts w:hint="eastAsia"/>
          <w:spacing w:val="0"/>
          <w:w w:val="100"/>
        </w:rPr>
        <w:t>项目可行性结论</w:t>
      </w:r>
      <w:bookmarkEnd w:id="292"/>
    </w:p>
    <w:p w:rsidR="00EE4502" w:rsidRDefault="00FD45A3">
      <w:pPr>
        <w:spacing w:line="360" w:lineRule="auto"/>
        <w:ind w:firstLine="480"/>
        <w:rPr>
          <w:sz w:val="24"/>
        </w:rPr>
      </w:pPr>
      <w:r>
        <w:rPr>
          <w:rFonts w:hint="eastAsia"/>
          <w:sz w:val="24"/>
        </w:rPr>
        <w:t>春风油田石炭系排</w:t>
      </w:r>
      <w:r>
        <w:rPr>
          <w:rFonts w:hint="eastAsia"/>
          <w:sz w:val="24"/>
        </w:rPr>
        <w:t>61</w:t>
      </w:r>
      <w:r>
        <w:rPr>
          <w:rFonts w:hint="eastAsia"/>
          <w:sz w:val="24"/>
        </w:rPr>
        <w:t>块产能建设工程属于国家产业政策</w:t>
      </w:r>
      <w:r>
        <w:rPr>
          <w:rFonts w:hint="eastAsia"/>
          <w:sz w:val="24"/>
        </w:rPr>
        <w:t>“</w:t>
      </w:r>
      <w:r>
        <w:rPr>
          <w:rFonts w:hint="eastAsia"/>
          <w:sz w:val="24"/>
        </w:rPr>
        <w:t>鼓励类</w:t>
      </w:r>
      <w:r>
        <w:rPr>
          <w:rFonts w:hint="eastAsia"/>
          <w:sz w:val="24"/>
        </w:rPr>
        <w:t>”</w:t>
      </w:r>
      <w:r>
        <w:rPr>
          <w:rFonts w:hint="eastAsia"/>
          <w:sz w:val="24"/>
        </w:rPr>
        <w:t>项目，工程实施后可取得较大的经济效益和社会效益。尽管在工程建设和运行中，会对周围的环境产生一定的不利影响，并在今后的建设和运行中存在一定的环境风险，但其影响和环境风险是可以接受的。只要建设单位加强环境管理，认真落实可行性研究报告和报告书中提出的各项污染防治措施、风险防范措施以及生态环境保护和恢复措施，可使本工程对环境造成的不利影响降低到最低限度。</w:t>
      </w:r>
    </w:p>
    <w:p w:rsidR="00EE4502" w:rsidRDefault="00FD45A3">
      <w:pPr>
        <w:spacing w:line="360" w:lineRule="auto"/>
        <w:ind w:firstLine="480"/>
        <w:rPr>
          <w:sz w:val="24"/>
        </w:rPr>
      </w:pPr>
      <w:r>
        <w:rPr>
          <w:rFonts w:hint="eastAsia"/>
          <w:sz w:val="24"/>
        </w:rPr>
        <w:t>因此，</w:t>
      </w:r>
      <w:r>
        <w:rPr>
          <w:rFonts w:hint="eastAsia"/>
          <w:sz w:val="24"/>
        </w:rPr>
        <w:t>报告书认为，本工程建设在</w:t>
      </w:r>
      <w:r>
        <w:rPr>
          <w:rFonts w:hint="eastAsia"/>
          <w:sz w:val="24"/>
        </w:rPr>
        <w:t>生态</w:t>
      </w:r>
      <w:r>
        <w:rPr>
          <w:rFonts w:hint="eastAsia"/>
          <w:sz w:val="24"/>
        </w:rPr>
        <w:t>环境方面可行</w:t>
      </w:r>
      <w:r>
        <w:rPr>
          <w:sz w:val="24"/>
        </w:rPr>
        <w:t>。</w:t>
      </w:r>
      <w:bookmarkEnd w:id="192"/>
      <w:bookmarkEnd w:id="193"/>
      <w:bookmarkEnd w:id="194"/>
      <w:bookmarkEnd w:id="195"/>
    </w:p>
    <w:sectPr w:rsidR="00EE4502">
      <w:footerReference w:type="even" r:id="rId61"/>
      <w:footerReference w:type="default" r:id="rId62"/>
      <w:pgSz w:w="11906" w:h="16838"/>
      <w:pgMar w:top="1440" w:right="1800" w:bottom="1440" w:left="1800" w:header="850" w:footer="850" w:gutter="0"/>
      <w:pgNumType w:fmt="numberInDash"/>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45A3" w:rsidRDefault="00FD45A3">
      <w:r>
        <w:separator/>
      </w:r>
    </w:p>
  </w:endnote>
  <w:endnote w:type="continuationSeparator" w:id="0">
    <w:p w:rsidR="00FD45A3" w:rsidRDefault="00FD45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6"/>
    <w:family w:val="swiss"/>
    <w:pitch w:val="variable"/>
    <w:sig w:usb0="F7FFAFFF" w:usb1="E9DFFFFF" w:usb2="0000003F" w:usb3="00000000" w:csb0="003F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楷体_GB2312">
    <w:altName w:val="楷体"/>
    <w:charset w:val="86"/>
    <w:family w:val="modern"/>
    <w:pitch w:val="default"/>
    <w:sig w:usb0="00000000" w:usb1="00000000" w:usb2="00000000" w:usb3="00000000" w:csb0="0004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ˎ̥">
    <w:altName w:val="Times New Roman"/>
    <w:charset w:val="00"/>
    <w:family w:val="roman"/>
    <w:pitch w:val="default"/>
    <w:sig w:usb0="00000000" w:usb1="00000000" w:usb2="00000000" w:usb3="00000000" w:csb0="00040001" w:csb1="00000000"/>
  </w:font>
  <w:font w:name="Arial Narrow">
    <w:altName w:val="Arial"/>
    <w:panose1 w:val="020B0606020202030204"/>
    <w:charset w:val="00"/>
    <w:family w:val="swiss"/>
    <w:pitch w:val="variable"/>
    <w:sig w:usb0="00000287" w:usb1="00000800" w:usb2="00000000" w:usb3="00000000" w:csb0="0000009F" w:csb1="00000000"/>
  </w:font>
  <w:font w:name="方正仿宋简体">
    <w:altName w:val="微软雅黑"/>
    <w:charset w:val="86"/>
    <w:family w:val="auto"/>
    <w:pitch w:val="default"/>
    <w:sig w:usb0="00000000" w:usb1="00000000" w:usb2="00000000" w:usb3="00000000" w:csb0="00040000" w:csb1="00000000"/>
  </w:font>
  <w:font w:name="Calibri Light">
    <w:charset w:val="00"/>
    <w:family w:val="swiss"/>
    <w:pitch w:val="default"/>
    <w:sig w:usb0="E4002EFF" w:usb1="C000247B" w:usb2="00000009" w:usb3="00000000" w:csb0="200001FF" w:csb1="00000000"/>
  </w:font>
  <w:font w:name="TimesNewRomanPSMT">
    <w:altName w:val="Times New Roman"/>
    <w:charset w:val="00"/>
    <w:family w:val="roman"/>
    <w:pitch w:val="default"/>
    <w:sig w:usb0="00000000" w:usb1="00000000" w:usb2="00000010" w:usb3="00000000" w:csb0="00060001" w:csb1="00000000"/>
  </w:font>
  <w:font w:name="隶书">
    <w:altName w:val="微软雅黑"/>
    <w:panose1 w:val="02010509060101010101"/>
    <w:charset w:val="86"/>
    <w:family w:val="modern"/>
    <w:pitch w:val="fixed"/>
    <w:sig w:usb0="00000001" w:usb1="080E0000" w:usb2="00000010" w:usb3="00000000" w:csb0="00040000" w:csb1="00000000"/>
  </w:font>
  <w:font w:name="方正大标宋简体">
    <w:altName w:val="微软雅黑"/>
    <w:charset w:val="86"/>
    <w:family w:val="auto"/>
    <w:pitch w:val="default"/>
    <w:sig w:usb0="00000000" w:usb1="00000000" w:usb2="00000000" w:usb3="00000000" w:csb0="00040000" w:csb1="00000000"/>
  </w:font>
  <w:font w:name="Sylfaen">
    <w:panose1 w:val="010A0502050306030303"/>
    <w:charset w:val="00"/>
    <w:family w:val="roman"/>
    <w:pitch w:val="variable"/>
    <w:sig w:usb0="04000687" w:usb1="00000000" w:usb2="00000000" w:usb3="00000000" w:csb0="0000009F" w:csb1="00000000"/>
  </w:font>
  <w:font w:name="仿宋">
    <w:panose1 w:val="02010609060101010101"/>
    <w:charset w:val="86"/>
    <w:family w:val="modern"/>
    <w:pitch w:val="fixed"/>
    <w:sig w:usb0="800002BF" w:usb1="38CF7CFA" w:usb2="00000016" w:usb3="00000000" w:csb0="00040001" w:csb1="00000000"/>
  </w:font>
  <w:font w:name="华文细黑">
    <w:altName w:val="微软雅黑"/>
    <w:panose1 w:val="02010600040101010101"/>
    <w:charset w:val="86"/>
    <w:family w:val="auto"/>
    <w:pitch w:val="variable"/>
    <w:sig w:usb0="00000287" w:usb1="080F0000" w:usb2="00000010" w:usb3="00000000" w:csb0="0004009F" w:csb1="00000000"/>
  </w:font>
  <w:font w:name="Courier">
    <w:panose1 w:val="02070409020205020404"/>
    <w:charset w:val="00"/>
    <w:family w:val="modern"/>
    <w:notTrueType/>
    <w:pitch w:val="fixed"/>
    <w:sig w:usb0="00000003" w:usb1="00000000" w:usb2="00000000" w:usb3="00000000" w:csb0="00000001" w:csb1="00000000"/>
  </w:font>
  <w:font w:name="华文新魏">
    <w:altName w:val="宋体"/>
    <w:panose1 w:val="02010800040101010101"/>
    <w:charset w:val="86"/>
    <w:family w:val="auto"/>
    <w:pitch w:val="variable"/>
    <w:sig w:usb0="00000001" w:usb1="080F0000" w:usb2="00000010" w:usb3="00000000" w:csb0="00040000" w:csb1="00000000"/>
  </w:font>
  <w:font w:name="新宋体">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汉鼎简书宋">
    <w:altName w:val="宋体"/>
    <w:charset w:val="86"/>
    <w:family w:val="modern"/>
    <w:pitch w:val="default"/>
    <w:sig w:usb0="00000000" w:usb1="00000000" w:usb2="00000010" w:usb3="00000000" w:csb0="00040000" w:csb1="00000000"/>
  </w:font>
  <w:font w:name="Monospac821 BT">
    <w:altName w:val="Segoe Print"/>
    <w:charset w:val="00"/>
    <w:family w:val="modern"/>
    <w:pitch w:val="default"/>
  </w:font>
  <w:font w:name="Garamond">
    <w:altName w:val="Adobe Garamond Pro"/>
    <w:panose1 w:val="02020404030301010803"/>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Adobe 宋体 Std L">
    <w:charset w:val="86"/>
    <w:family w:val="roman"/>
    <w:pitch w:val="default"/>
    <w:sig w:usb0="00000001" w:usb1="0A0F1810" w:usb2="00000016" w:usb3="00000000" w:csb0="00060007" w:csb1="00000000"/>
  </w:font>
  <w:font w:name="华文中宋">
    <w:altName w:val="宋体"/>
    <w:panose1 w:val="02010600040101010101"/>
    <w:charset w:val="86"/>
    <w:family w:val="auto"/>
    <w:pitch w:val="variable"/>
    <w:sig w:usb0="00000287" w:usb1="080F0000" w:usb2="00000010" w:usb3="00000000" w:csb0="0004009F" w:csb1="00000000"/>
  </w:font>
  <w:font w:name="创艺简楷体">
    <w:altName w:val="黑体"/>
    <w:charset w:val="86"/>
    <w:family w:val="auto"/>
    <w:pitch w:val="default"/>
    <w:sig w:usb0="00000000" w:usb1="00000000" w:usb2="00000010" w:usb3="00000000" w:csb0="00040000" w:csb1="00000000"/>
  </w:font>
  <w:font w:name="仿宋体">
    <w:altName w:val="宋体"/>
    <w:charset w:val="86"/>
    <w:family w:val="swiss"/>
    <w:pitch w:val="default"/>
    <w:sig w:usb0="00000000" w:usb1="00000000" w:usb2="00000010" w:usb3="00000000" w:csb0="00040000" w:csb1="00000000"/>
  </w:font>
  <w:font w:name="Calisto MT">
    <w:altName w:val="Segoe Print"/>
    <w:charset w:val="00"/>
    <w:family w:val="roman"/>
    <w:pitch w:val="default"/>
    <w:sig w:usb0="00000000" w:usb1="00000000" w:usb2="00000000" w:usb3="00000000" w:csb0="20000001" w:csb1="00000000"/>
  </w:font>
  <w:font w:name="Times">
    <w:altName w:val="Times New Roman"/>
    <w:panose1 w:val="02020603050405020304"/>
    <w:charset w:val="00"/>
    <w:family w:val="roman"/>
    <w:pitch w:val="default"/>
    <w:sig w:usb0="00000000"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五">
    <w:altName w:val="宋体"/>
    <w:charset w:val="86"/>
    <w:family w:val="auto"/>
    <w:pitch w:val="default"/>
    <w:sig w:usb0="00000000" w:usb1="00000000" w:usb2="00000010" w:usb3="00000000" w:csb0="00040000" w:csb1="00000000"/>
  </w:font>
  <w:font w:name="Times New Roman Bold">
    <w:altName w:val="Times New Roman"/>
    <w:panose1 w:val="02020803070505020304"/>
    <w:charset w:val="00"/>
    <w:family w:val="roman"/>
    <w:pitch w:val="default"/>
    <w:sig w:usb0="00000000" w:usb1="00000000" w:usb2="00000000" w:usb3="00000000" w:csb0="00000001" w:csb1="00000000"/>
  </w:font>
  <w:font w:name="Bodoni PosterCompressed">
    <w:altName w:val="Segoe Print"/>
    <w:charset w:val="00"/>
    <w:family w:val="auto"/>
    <w:pitch w:val="default"/>
    <w:sig w:usb0="00000000"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宋体-方正超大字符集">
    <w:altName w:val="宋体"/>
    <w:charset w:val="86"/>
    <w:family w:val="script"/>
    <w:pitch w:val="default"/>
    <w:sig w:usb0="00000000" w:usb1="00000000" w:usb2="00000010" w:usb3="00000000" w:csb0="00040000" w:csb1="00000000"/>
  </w:font>
  <w:font w:name="华文仿宋">
    <w:altName w:val="仿宋"/>
    <w:panose1 w:val="02010600040101010101"/>
    <w:charset w:val="86"/>
    <w:family w:val="auto"/>
    <w:pitch w:val="variable"/>
    <w:sig w:usb0="00000287" w:usb1="080F0000" w:usb2="00000010" w:usb3="00000000" w:csb0="0004009F" w:csb1="00000000"/>
  </w:font>
  <w:font w:name="Sim Sun">
    <w:altName w:val="宋体"/>
    <w:charset w:val="86"/>
    <w:family w:val="swiss"/>
    <w:pitch w:val="default"/>
    <w:sig w:usb0="00000000" w:usb1="00000000" w:usb2="00000010" w:usb3="00000000" w:csb0="00040000" w:csb1="00000000"/>
  </w:font>
  <w:font w:name="Batang">
    <w:altName w:val="바탕"/>
    <w:panose1 w:val="02030600000101010101"/>
    <w:charset w:val="81"/>
    <w:family w:val="roman"/>
    <w:pitch w:val="variable"/>
    <w:sig w:usb0="B00002AF" w:usb1="69D77CFB" w:usb2="00000030" w:usb3="00000000" w:csb0="0008009F" w:csb1="00000000"/>
  </w:font>
  <w:font w:name="文鼎大标宋简">
    <w:altName w:val="宋体"/>
    <w:charset w:val="86"/>
    <w:family w:val="modern"/>
    <w:pitch w:val="default"/>
    <w:sig w:usb0="00000000" w:usb1="00000000" w:usb2="00000010" w:usb3="00000000" w:csb0="00040000" w:csb1="00000000"/>
  </w:font>
  <w:font w:name="幼圆">
    <w:altName w:val="宋体"/>
    <w:panose1 w:val="02010509060101010101"/>
    <w:charset w:val="86"/>
    <w:family w:val="modern"/>
    <w:pitch w:val="fixed"/>
    <w:sig w:usb0="00000001" w:usb1="080E0000" w:usb2="00000010" w:usb3="00000000" w:csb0="00040000" w:csb1="00000000"/>
  </w:font>
  <w:font w:name="Times New Roman;Symbol;Arial;婼">
    <w:altName w:val="黑体"/>
    <w:charset w:val="86"/>
    <w:family w:val="auto"/>
    <w:pitch w:val="default"/>
    <w:sig w:usb0="00000000" w:usb1="00000000" w:usb2="00000010" w:usb3="00000000" w:csb0="00040000" w:csb1="00000000"/>
  </w:font>
  <w:font w:name="TimesNewRoman">
    <w:altName w:val="MS Gothic"/>
    <w:charset w:val="00"/>
    <w:family w:val="roman"/>
    <w:pitch w:val="default"/>
    <w:sig w:usb0="00000000" w:usb1="00000000" w:usb2="00000000" w:usb3="00000000" w:csb0="00000001" w:csb1="00000000"/>
  </w:font>
  <w:font w:name="”“Times New Roman”“">
    <w:altName w:val="宋体"/>
    <w:charset w:val="86"/>
    <w:family w:val="roman"/>
    <w:pitch w:val="default"/>
    <w:sig w:usb0="00000000" w:usb1="00000000" w:usb2="00000010" w:usb3="00000000" w:csb0="00040000" w:csb1="00000000"/>
  </w:font>
  <w:font w:name="华文行楷">
    <w:altName w:val="微软雅黑"/>
    <w:panose1 w:val="02010800040101010101"/>
    <w:charset w:val="86"/>
    <w:family w:val="auto"/>
    <w:pitch w:val="variable"/>
    <w:sig w:usb0="00000001" w:usb1="080F0000" w:usb2="00000010" w:usb3="00000000" w:csb0="00040000" w:csb1="00000000"/>
  </w:font>
  <w:font w:name="Symusic">
    <w:altName w:val="Segoe Print"/>
    <w:charset w:val="00"/>
    <w:family w:val="auto"/>
    <w:pitch w:val="default"/>
    <w:sig w:usb0="00000000" w:usb1="00000000" w:usb2="00000000" w:usb3="00000000" w:csb0="000001FF" w:csb1="00000000"/>
  </w:font>
  <w:font w:name="长城楷体">
    <w:altName w:val="宋体"/>
    <w:charset w:val="86"/>
    <w:family w:val="modern"/>
    <w:pitch w:val="default"/>
    <w:sig w:usb0="00000000" w:usb1="00000000" w:usb2="00000010" w:usb3="00000000" w:csb0="00040000" w:csb1="00000000"/>
  </w:font>
  <w:font w:name="Century">
    <w:panose1 w:val="020406040505050203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Wingdings 2">
    <w:altName w:val="Wingdings"/>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ABCDEE+宋体">
    <w:altName w:val="宋体"/>
    <w:charset w:val="86"/>
    <w:family w:val="roman"/>
    <w:pitch w:val="default"/>
    <w:sig w:usb0="00000000" w:usb1="00000000" w:usb2="00000010" w:usb3="00000000" w:csb0="00040000" w:csb1="00000000"/>
  </w:font>
  <w:font w:name="等线 Light">
    <w:panose1 w:val="00000000000000000000"/>
    <w:charset w:val="86"/>
    <w:family w:val="roman"/>
    <w:notTrueType/>
    <w:pitch w:val="default"/>
  </w:font>
  <w:font w:name="等线">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502" w:rsidRDefault="00FD45A3">
    <w:pPr>
      <w:pStyle w:val="aff0"/>
      <w:pBdr>
        <w:top w:val="single" w:sz="8" w:space="1" w:color="auto"/>
      </w:pBdr>
      <w:jc w:val="left"/>
    </w:pPr>
    <w:r>
      <w:rPr>
        <w:rFonts w:hint="eastAsia"/>
      </w:rPr>
      <w:t>新疆天合环境技术咨询有限公司</w:t>
    </w:r>
    <w:r>
      <w:rPr>
        <w:rFonts w:hint="eastAsia"/>
      </w:rPr>
      <w:t xml:space="preserve">          </w:t>
    </w:r>
    <w:r>
      <w:t xml:space="preserve">      </w:t>
    </w:r>
    <w:r>
      <w:rPr>
        <w:rFonts w:hint="eastAsia"/>
      </w:rPr>
      <w:t xml:space="preserve">  </w:t>
    </w: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sidR="003F4A18">
      <w:rPr>
        <w:rFonts w:ascii="Times New Roman" w:hAnsi="Times New Roman"/>
        <w:noProof/>
      </w:rPr>
      <w:t>- 2 -</w:t>
    </w:r>
    <w:r>
      <w:rPr>
        <w:rFonts w:ascii="Times New Roman" w:hAnsi="Times New Roman"/>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502" w:rsidRDefault="00FD45A3">
    <w:pPr>
      <w:pStyle w:val="aff0"/>
      <w:pBdr>
        <w:top w:val="single" w:sz="4" w:space="1" w:color="auto"/>
      </w:pBdr>
      <w:rPr>
        <w:sz w:val="24"/>
        <w:szCs w:val="24"/>
      </w:rPr>
    </w:pPr>
    <w:r>
      <w:rPr>
        <w:noProof/>
        <w:sz w:val="24"/>
        <w:lang w:val="en-US"/>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208" name="文本框 2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E4502" w:rsidRDefault="00FD45A3">
                          <w:pPr>
                            <w:pStyle w:val="aff0"/>
                            <w:pBdr>
                              <w:top w:val="single" w:sz="4" w:space="1" w:color="auto"/>
                            </w:pBdr>
                          </w:pPr>
                          <w:r>
                            <w:rPr>
                              <w:rFonts w:hint="eastAsia"/>
                            </w:rPr>
                            <w:t>新疆天合环境技术咨询有限公司</w:t>
                          </w:r>
                          <w:r>
                            <w:rPr>
                              <w:rFonts w:hint="eastAsia"/>
                            </w:rPr>
                            <w:t xml:space="preserve">       </w:t>
                          </w:r>
                          <w:r>
                            <w:rPr>
                              <w:rFonts w:hint="eastAsia"/>
                            </w:rPr>
                            <w:t xml:space="preserve">      </w:t>
                          </w:r>
                          <w:r>
                            <w:fldChar w:fldCharType="begin"/>
                          </w:r>
                          <w:r>
                            <w:instrText xml:space="preserve"> PAGE   \* MERGEFORMAT </w:instrText>
                          </w:r>
                          <w:r>
                            <w:fldChar w:fldCharType="separate"/>
                          </w:r>
                          <w:r w:rsidR="003F4A18" w:rsidRPr="003F4A18">
                            <w:rPr>
                              <w:noProof/>
                              <w:lang w:val="en-US"/>
                            </w:rPr>
                            <w:t>- 275 -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08" o:spid="_x0000_s1042"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B6Di2cZQIAABUFAAAOAAAAAAAAAAAAAAAAAC4CAABkcnMvZTJvRG9j&#10;LnhtbFBLAQItABQABgAIAAAAIQBxqtG51wAAAAUBAAAPAAAAAAAAAAAAAAAAAL8EAABkcnMvZG93&#10;bnJldi54bWxQSwUGAAAAAAQABADzAAAAwwUAAAAA&#10;" filled="f" stroked="f" strokeweight=".5pt">
              <v:textbox style="mso-fit-shape-to-text:t" inset="0,0,0,0">
                <w:txbxContent>
                  <w:p w:rsidR="00EE4502" w:rsidRDefault="00FD45A3">
                    <w:pPr>
                      <w:pStyle w:val="aff0"/>
                      <w:pBdr>
                        <w:top w:val="single" w:sz="4" w:space="1" w:color="auto"/>
                      </w:pBdr>
                    </w:pPr>
                    <w:r>
                      <w:rPr>
                        <w:rFonts w:hint="eastAsia"/>
                      </w:rPr>
                      <w:t>新疆天合环境技术咨询有限公司</w:t>
                    </w:r>
                    <w:r>
                      <w:rPr>
                        <w:rFonts w:hint="eastAsia"/>
                      </w:rPr>
                      <w:t xml:space="preserve">       </w:t>
                    </w:r>
                    <w:r>
                      <w:rPr>
                        <w:rFonts w:hint="eastAsia"/>
                      </w:rPr>
                      <w:t xml:space="preserve">      </w:t>
                    </w:r>
                    <w:r>
                      <w:fldChar w:fldCharType="begin"/>
                    </w:r>
                    <w:r>
                      <w:instrText xml:space="preserve"> PAGE   \* MERGEFORMAT </w:instrText>
                    </w:r>
                    <w:r>
                      <w:fldChar w:fldCharType="separate"/>
                    </w:r>
                    <w:r w:rsidR="003F4A18" w:rsidRPr="003F4A18">
                      <w:rPr>
                        <w:noProof/>
                        <w:lang w:val="en-US"/>
                      </w:rPr>
                      <w:t>- 275 -</w:t>
                    </w:r>
                    <w:r>
                      <w:fldChar w:fldCharType="end"/>
                    </w:r>
                  </w:p>
                </w:txbxContent>
              </v:textbox>
              <w10:wrap anchorx="margin"/>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502" w:rsidRDefault="00FD45A3">
    <w:pPr>
      <w:pStyle w:val="aff0"/>
      <w:rPr>
        <w:rStyle w:val="afff4"/>
        <w:rFonts w:ascii="宋体" w:hAnsi="宋体"/>
      </w:rPr>
    </w:pPr>
    <w:r>
      <w:rPr>
        <w:rStyle w:val="afff4"/>
        <w:rFonts w:ascii="宋体" w:hAnsi="宋体" w:hint="eastAsia"/>
      </w:rPr>
      <w:t>·</w:t>
    </w:r>
    <w:r>
      <w:rPr>
        <w:rFonts w:ascii="宋体" w:hAnsi="宋体"/>
      </w:rPr>
      <w:fldChar w:fldCharType="begin"/>
    </w:r>
    <w:r>
      <w:rPr>
        <w:rStyle w:val="afff4"/>
        <w:rFonts w:ascii="宋体" w:hAnsi="宋体"/>
      </w:rPr>
      <w:instrText xml:space="preserve">PAGE  </w:instrText>
    </w:r>
    <w:r>
      <w:rPr>
        <w:rFonts w:ascii="宋体" w:hAnsi="宋体"/>
      </w:rPr>
      <w:fldChar w:fldCharType="separate"/>
    </w:r>
    <w:r>
      <w:rPr>
        <w:rStyle w:val="afff4"/>
        <w:rFonts w:ascii="宋体" w:hAnsi="宋体"/>
      </w:rPr>
      <w:t>１８８</w:t>
    </w:r>
    <w:r>
      <w:rPr>
        <w:rFonts w:ascii="宋体" w:hAnsi="宋体"/>
      </w:rPr>
      <w:fldChar w:fldCharType="end"/>
    </w:r>
    <w:r>
      <w:rPr>
        <w:rStyle w:val="afff4"/>
        <w:rFonts w:ascii="宋体" w:hAnsi="宋体" w:hint="eastAsia"/>
      </w:rPr>
      <w:t>·</w:t>
    </w:r>
  </w:p>
  <w:p w:rsidR="00EE4502" w:rsidRDefault="00EE4502">
    <w:pPr>
      <w:pStyle w:val="aff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502" w:rsidRDefault="00FD45A3">
    <w:pPr>
      <w:pStyle w:val="aff0"/>
      <w:pBdr>
        <w:top w:val="single" w:sz="4" w:space="1" w:color="auto"/>
      </w:pBdr>
      <w:rPr>
        <w:sz w:val="24"/>
        <w:szCs w:val="24"/>
      </w:rPr>
    </w:pPr>
    <w:r>
      <w:rPr>
        <w:noProof/>
        <w:sz w:val="24"/>
        <w:lang w:val="en-US"/>
      </w:rPr>
      <mc:AlternateContent>
        <mc:Choice Requires="wps">
          <w:drawing>
            <wp:anchor distT="0" distB="0" distL="114300" distR="114300" simplePos="0" relativeHeight="251661312" behindDoc="0" locked="0" layoutInCell="1" allowOverlap="1">
              <wp:simplePos x="0" y="0"/>
              <wp:positionH relativeFrom="margin">
                <wp:align>left</wp:align>
              </wp:positionH>
              <wp:positionV relativeFrom="paragraph">
                <wp:posOffset>0</wp:posOffset>
              </wp:positionV>
              <wp:extent cx="1828800" cy="1828800"/>
              <wp:effectExtent l="0" t="0" r="0" b="0"/>
              <wp:wrapNone/>
              <wp:docPr id="209" name="文本框 2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E4502" w:rsidRDefault="00FD45A3">
                          <w:pPr>
                            <w:pStyle w:val="aff0"/>
                            <w:pBdr>
                              <w:top w:val="single" w:sz="4" w:space="1" w:color="auto"/>
                            </w:pBdr>
                          </w:pPr>
                          <w:r>
                            <w:rPr>
                              <w:rFonts w:hint="eastAsia"/>
                            </w:rPr>
                            <w:t>新疆天合环境技术咨询有限公司</w:t>
                          </w:r>
                          <w:r>
                            <w:rPr>
                              <w:rFonts w:hint="eastAsia"/>
                            </w:rPr>
                            <w:t xml:space="preserve">           </w:t>
                          </w:r>
                          <w:r>
                            <w:fldChar w:fldCharType="begin"/>
                          </w:r>
                          <w:r>
                            <w:instrText xml:space="preserve"> PAGE   \* MERGEFORMAT </w:instrText>
                          </w:r>
                          <w:r>
                            <w:fldChar w:fldCharType="separate"/>
                          </w:r>
                          <w:r w:rsidR="003F4A18" w:rsidRPr="003F4A18">
                            <w:rPr>
                              <w:noProof/>
                              <w:lang w:val="en-US"/>
                            </w:rPr>
                            <w:t>- 283 -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09" o:spid="_x0000_s1043" type="#_x0000_t202" style="position:absolute;left:0;text-align:left;margin-left:0;margin-top:0;width:2in;height:2in;z-index:251661312;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GWqQpmYCAAAVBQAADgAAAAAAAAAAAAAAAAAuAgAAZHJzL2Uyb0Rv&#10;Yy54bWxQSwECLQAUAAYACAAAACEAcarRudcAAAAFAQAADwAAAAAAAAAAAAAAAADABAAAZHJzL2Rv&#10;d25yZXYueG1sUEsFBgAAAAAEAAQA8wAAAMQFAAAAAA==&#10;" filled="f" stroked="f" strokeweight=".5pt">
              <v:textbox style="mso-fit-shape-to-text:t" inset="0,0,0,0">
                <w:txbxContent>
                  <w:p w:rsidR="00EE4502" w:rsidRDefault="00FD45A3">
                    <w:pPr>
                      <w:pStyle w:val="aff0"/>
                      <w:pBdr>
                        <w:top w:val="single" w:sz="4" w:space="1" w:color="auto"/>
                      </w:pBdr>
                    </w:pPr>
                    <w:r>
                      <w:rPr>
                        <w:rFonts w:hint="eastAsia"/>
                      </w:rPr>
                      <w:t>新疆天合环境技术咨询有限公司</w:t>
                    </w:r>
                    <w:r>
                      <w:rPr>
                        <w:rFonts w:hint="eastAsia"/>
                      </w:rPr>
                      <w:t xml:space="preserve">           </w:t>
                    </w:r>
                    <w:r>
                      <w:fldChar w:fldCharType="begin"/>
                    </w:r>
                    <w:r>
                      <w:instrText xml:space="preserve"> PAGE   \* MERGEFORMAT </w:instrText>
                    </w:r>
                    <w:r>
                      <w:fldChar w:fldCharType="separate"/>
                    </w:r>
                    <w:r w:rsidR="003F4A18" w:rsidRPr="003F4A18">
                      <w:rPr>
                        <w:noProof/>
                        <w:lang w:val="en-US"/>
                      </w:rPr>
                      <w:t>- 283 -</w:t>
                    </w:r>
                    <w: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502" w:rsidRDefault="00FD45A3">
    <w:pPr>
      <w:pStyle w:val="aff0"/>
      <w:pBdr>
        <w:top w:val="single" w:sz="8" w:space="1" w:color="auto"/>
      </w:pBdr>
      <w:jc w:val="left"/>
    </w:pPr>
    <w:r>
      <w:rPr>
        <w:rFonts w:hint="eastAsia"/>
      </w:rPr>
      <w:t>新疆天合环境技术咨询有限公司</w:t>
    </w:r>
    <w:r>
      <w:rPr>
        <w:rFonts w:hint="eastAsia"/>
      </w:rPr>
      <w:t xml:space="preserve">            </w:t>
    </w: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sidR="003F4A18" w:rsidRPr="003F4A18">
      <w:rPr>
        <w:rFonts w:ascii="Times New Roman" w:hAnsi="Times New Roman"/>
        <w:noProof/>
        <w:lang w:val="en-US"/>
      </w:rPr>
      <w:t>- 6 -</w:t>
    </w:r>
    <w:r>
      <w:rPr>
        <w:rFonts w:ascii="Times New Roman" w:hAnsi="Times New Roman"/>
      </w:rPr>
      <w:fldChar w:fldCharType="end"/>
    </w:r>
    <w:r>
      <w:rPr>
        <w:rFonts w:ascii="Times New Roman" w:hAnsi="Times New Roman"/>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502" w:rsidRDefault="00FD45A3">
    <w:pPr>
      <w:pStyle w:val="aff0"/>
      <w:pBdr>
        <w:top w:val="single" w:sz="8" w:space="0" w:color="auto"/>
      </w:pBdr>
    </w:pPr>
    <w:r>
      <w:rPr>
        <w:rFonts w:hint="eastAsia"/>
      </w:rPr>
      <w:t>新疆天合环境技术咨询有限公司</w:t>
    </w:r>
    <w:r>
      <w:rPr>
        <w:rFonts w:hint="eastAsia"/>
        <w:lang w:val="en-US"/>
      </w:rPr>
      <w:t xml:space="preserve">             </w:t>
    </w:r>
    <w:r>
      <w:rPr>
        <w:rFonts w:ascii="Times New Roman" w:hAnsi="Times New Roman"/>
      </w:rPr>
      <w:t>-</w:t>
    </w: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sidR="003F4A18" w:rsidRPr="003F4A18">
      <w:rPr>
        <w:rFonts w:ascii="Times New Roman" w:hAnsi="Times New Roman"/>
        <w:noProof/>
        <w:lang w:val="en-US"/>
      </w:rPr>
      <w:t>- 51 -</w:t>
    </w:r>
    <w:r>
      <w:rPr>
        <w:rFonts w:ascii="Times New Roman" w:hAnsi="Times New Roman"/>
      </w:rPr>
      <w:fldChar w:fldCharType="end"/>
    </w:r>
    <w:r>
      <w:rPr>
        <w:rFonts w:ascii="Times New Roman" w:hAnsi="Times New Roman"/>
      </w:rPr>
      <w:t>-</w:t>
    </w:r>
    <w:r>
      <w:rPr>
        <w:rFonts w:hint="eastAsia"/>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502" w:rsidRDefault="00FD45A3">
    <w:pPr>
      <w:pStyle w:val="aff0"/>
      <w:pBdr>
        <w:top w:val="single" w:sz="8" w:space="0" w:color="auto"/>
      </w:pBdr>
    </w:pPr>
    <w:r>
      <w:rPr>
        <w:noProof/>
        <w:lang w:val="en-US"/>
      </w:rPr>
      <mc:AlternateContent>
        <mc:Choice Requires="wps">
          <w:drawing>
            <wp:anchor distT="0" distB="0" distL="114300" distR="114300" simplePos="0" relativeHeight="251683840" behindDoc="0" locked="0" layoutInCell="1" allowOverlap="1">
              <wp:simplePos x="0" y="0"/>
              <wp:positionH relativeFrom="margin">
                <wp:align>left</wp:align>
              </wp:positionH>
              <wp:positionV relativeFrom="paragraph">
                <wp:posOffset>0</wp:posOffset>
              </wp:positionV>
              <wp:extent cx="1828800" cy="1828800"/>
              <wp:effectExtent l="0" t="0" r="0" b="0"/>
              <wp:wrapNone/>
              <wp:docPr id="198" name="文本框 1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E4502" w:rsidRDefault="00FD45A3">
                          <w:pPr>
                            <w:pStyle w:val="aff0"/>
                            <w:pBdr>
                              <w:top w:val="single" w:sz="8" w:space="0" w:color="auto"/>
                            </w:pBdr>
                          </w:pPr>
                          <w:r>
                            <w:rPr>
                              <w:rFonts w:hint="eastAsia"/>
                            </w:rPr>
                            <w:t>新疆天合环境技术咨询有限公司</w:t>
                          </w:r>
                          <w:r>
                            <w:rPr>
                              <w:rFonts w:hint="eastAsia"/>
                              <w:lang w:val="en-US"/>
                            </w:rPr>
                            <w:t xml:space="preserve">             </w:t>
                          </w:r>
                          <w:r>
                            <w:rPr>
                              <w:rFonts w:ascii="Times New Roman" w:hAnsi="Times New Roman"/>
                            </w:rPr>
                            <w:t>-</w:t>
                          </w: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sidR="003F4A18" w:rsidRPr="003F4A18">
                            <w:rPr>
                              <w:rFonts w:ascii="Times New Roman" w:hAnsi="Times New Roman"/>
                              <w:noProof/>
                              <w:lang w:val="en-US"/>
                            </w:rPr>
                            <w:t>- 85 -</w:t>
                          </w:r>
                          <w:r>
                            <w:rPr>
                              <w:rFonts w:ascii="Times New Roman" w:hAnsi="Times New Roman"/>
                            </w:rPr>
                            <w:fldChar w:fldCharType="end"/>
                          </w:r>
                          <w:r>
                            <w:rPr>
                              <w:rFonts w:ascii="Times New Roman" w:hAnsi="Times New Roman"/>
                            </w:rPr>
                            <w:t>-</w:t>
                          </w:r>
                          <w:r>
                            <w:rPr>
                              <w:rFonts w:hint="eastAsia"/>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98" o:spid="_x0000_s1036" type="#_x0000_t202" style="position:absolute;left:0;text-align:left;margin-left:0;margin-top:0;width:2in;height:2in;z-index:251683840;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WL8fd2MCAAAOBQAADgAAAAAAAAAAAAAAAAAuAgAAZHJzL2Uyb0RvYy54&#10;bWxQSwECLQAUAAYACAAAACEAcarRudcAAAAFAQAADwAAAAAAAAAAAAAAAAC9BAAAZHJzL2Rvd25y&#10;ZXYueG1sUEsFBgAAAAAEAAQA8wAAAMEFAAAAAA==&#10;" filled="f" stroked="f" strokeweight=".5pt">
              <v:textbox style="mso-fit-shape-to-text:t" inset="0,0,0,0">
                <w:txbxContent>
                  <w:p w:rsidR="00EE4502" w:rsidRDefault="00FD45A3">
                    <w:pPr>
                      <w:pStyle w:val="aff0"/>
                      <w:pBdr>
                        <w:top w:val="single" w:sz="8" w:space="0" w:color="auto"/>
                      </w:pBdr>
                    </w:pPr>
                    <w:r>
                      <w:rPr>
                        <w:rFonts w:hint="eastAsia"/>
                      </w:rPr>
                      <w:t>新疆天合环境技术咨询有限公司</w:t>
                    </w:r>
                    <w:r>
                      <w:rPr>
                        <w:rFonts w:hint="eastAsia"/>
                        <w:lang w:val="en-US"/>
                      </w:rPr>
                      <w:t xml:space="preserve">             </w:t>
                    </w:r>
                    <w:r>
                      <w:rPr>
                        <w:rFonts w:ascii="Times New Roman" w:hAnsi="Times New Roman"/>
                      </w:rPr>
                      <w:t>-</w:t>
                    </w: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sidR="003F4A18" w:rsidRPr="003F4A18">
                      <w:rPr>
                        <w:rFonts w:ascii="Times New Roman" w:hAnsi="Times New Roman"/>
                        <w:noProof/>
                        <w:lang w:val="en-US"/>
                      </w:rPr>
                      <w:t>- 85 -</w:t>
                    </w:r>
                    <w:r>
                      <w:rPr>
                        <w:rFonts w:ascii="Times New Roman" w:hAnsi="Times New Roman"/>
                      </w:rPr>
                      <w:fldChar w:fldCharType="end"/>
                    </w:r>
                    <w:r>
                      <w:rPr>
                        <w:rFonts w:ascii="Times New Roman" w:hAnsi="Times New Roman"/>
                      </w:rPr>
                      <w:t>-</w:t>
                    </w:r>
                    <w:r>
                      <w:rPr>
                        <w:rFonts w:hint="eastAsia"/>
                      </w:rPr>
                      <w:t xml:space="preserve"> </w:t>
                    </w:r>
                  </w:p>
                </w:txbxContent>
              </v:textbox>
              <w10:wrap anchorx="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502" w:rsidRDefault="00FD45A3">
    <w:pPr>
      <w:pStyle w:val="aff0"/>
      <w:pBdr>
        <w:top w:val="single" w:sz="8" w:space="1" w:color="auto"/>
      </w:pBdr>
    </w:pPr>
    <w:r>
      <w:rPr>
        <w:noProof/>
        <w:lang w:val="en-US"/>
      </w:rPr>
      <mc:AlternateContent>
        <mc:Choice Requires="wps">
          <w:drawing>
            <wp:anchor distT="0" distB="0" distL="114300" distR="114300" simplePos="0" relativeHeight="251687936" behindDoc="0" locked="0" layoutInCell="1" allowOverlap="1">
              <wp:simplePos x="0" y="0"/>
              <wp:positionH relativeFrom="margin">
                <wp:align>left</wp:align>
              </wp:positionH>
              <wp:positionV relativeFrom="paragraph">
                <wp:posOffset>0</wp:posOffset>
              </wp:positionV>
              <wp:extent cx="1828800" cy="1828800"/>
              <wp:effectExtent l="0" t="0" r="0" b="0"/>
              <wp:wrapNone/>
              <wp:docPr id="204" name="文本框 2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E4502" w:rsidRDefault="00FD45A3">
                          <w:pPr>
                            <w:pStyle w:val="aff0"/>
                            <w:pBdr>
                              <w:top w:val="single" w:sz="8" w:space="1" w:color="auto"/>
                            </w:pBdr>
                          </w:pPr>
                          <w:r>
                            <w:rPr>
                              <w:rFonts w:hint="eastAsia"/>
                            </w:rPr>
                            <w:t>新疆天合环境技术咨询有限公司</w:t>
                          </w:r>
                          <w:r>
                            <w:rPr>
                              <w:rFonts w:hint="eastAsia"/>
                              <w:lang w:val="en-US"/>
                            </w:rPr>
                            <w:t xml:space="preserve">             </w:t>
                          </w:r>
                          <w:r>
                            <w:rPr>
                              <w:rFonts w:ascii="Times New Roman" w:hAnsi="Times New Roman"/>
                            </w:rPr>
                            <w:fldChar w:fldCharType="begin"/>
                          </w:r>
                          <w:r>
                            <w:rPr>
                              <w:rStyle w:val="afff4"/>
                              <w:rFonts w:ascii="Times New Roman" w:hAnsi="Times New Roman"/>
                            </w:rPr>
                            <w:instrText xml:space="preserve"> PAGE </w:instrText>
                          </w:r>
                          <w:r>
                            <w:rPr>
                              <w:rFonts w:ascii="Times New Roman" w:hAnsi="Times New Roman"/>
                            </w:rPr>
                            <w:fldChar w:fldCharType="separate"/>
                          </w:r>
                          <w:r w:rsidR="003F4A18">
                            <w:rPr>
                              <w:rStyle w:val="afff4"/>
                              <w:rFonts w:ascii="Times New Roman" w:hAnsi="Times New Roman"/>
                              <w:noProof/>
                            </w:rPr>
                            <w:t>- 155 -</w:t>
                          </w:r>
                          <w:r>
                            <w:rPr>
                              <w:rFonts w:ascii="Times New Roman" w:hAnsi="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04" o:spid="_x0000_s1037" type="#_x0000_t202" style="position:absolute;left:0;text-align:left;margin-left:0;margin-top:0;width:2in;height:2in;z-index:251687936;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qFoMcZQIAABUFAAAOAAAAAAAAAAAAAAAAAC4CAABkcnMvZTJvRG9j&#10;LnhtbFBLAQItABQABgAIAAAAIQBxqtG51wAAAAUBAAAPAAAAAAAAAAAAAAAAAL8EAABkcnMvZG93&#10;bnJldi54bWxQSwUGAAAAAAQABADzAAAAwwUAAAAA&#10;" filled="f" stroked="f" strokeweight=".5pt">
              <v:textbox style="mso-fit-shape-to-text:t" inset="0,0,0,0">
                <w:txbxContent>
                  <w:p w:rsidR="00EE4502" w:rsidRDefault="00FD45A3">
                    <w:pPr>
                      <w:pStyle w:val="aff0"/>
                      <w:pBdr>
                        <w:top w:val="single" w:sz="8" w:space="1" w:color="auto"/>
                      </w:pBdr>
                    </w:pPr>
                    <w:r>
                      <w:rPr>
                        <w:rFonts w:hint="eastAsia"/>
                      </w:rPr>
                      <w:t>新疆天合环境技术咨询有限公司</w:t>
                    </w:r>
                    <w:r>
                      <w:rPr>
                        <w:rFonts w:hint="eastAsia"/>
                        <w:lang w:val="en-US"/>
                      </w:rPr>
                      <w:t xml:space="preserve">             </w:t>
                    </w:r>
                    <w:r>
                      <w:rPr>
                        <w:rFonts w:ascii="Times New Roman" w:hAnsi="Times New Roman"/>
                      </w:rPr>
                      <w:fldChar w:fldCharType="begin"/>
                    </w:r>
                    <w:r>
                      <w:rPr>
                        <w:rStyle w:val="afff4"/>
                        <w:rFonts w:ascii="Times New Roman" w:hAnsi="Times New Roman"/>
                      </w:rPr>
                      <w:instrText xml:space="preserve"> PAGE </w:instrText>
                    </w:r>
                    <w:r>
                      <w:rPr>
                        <w:rFonts w:ascii="Times New Roman" w:hAnsi="Times New Roman"/>
                      </w:rPr>
                      <w:fldChar w:fldCharType="separate"/>
                    </w:r>
                    <w:r w:rsidR="003F4A18">
                      <w:rPr>
                        <w:rStyle w:val="afff4"/>
                        <w:rFonts w:ascii="Times New Roman" w:hAnsi="Times New Roman"/>
                        <w:noProof/>
                      </w:rPr>
                      <w:t>- 155 -</w:t>
                    </w:r>
                    <w:r>
                      <w:rPr>
                        <w:rFonts w:ascii="Times New Roman" w:hAnsi="Times New Roman"/>
                      </w:rPr>
                      <w:fldChar w:fldCharType="end"/>
                    </w:r>
                  </w:p>
                </w:txbxContent>
              </v:textbox>
              <w10:wrap anchorx="margin"/>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502" w:rsidRDefault="00FD45A3">
    <w:pPr>
      <w:pStyle w:val="aff0"/>
      <w:pBdr>
        <w:top w:val="single" w:sz="8" w:space="1" w:color="auto"/>
      </w:pBdr>
    </w:pPr>
    <w:r>
      <w:rPr>
        <w:noProof/>
        <w:lang w:val="en-US"/>
      </w:rPr>
      <mc:AlternateContent>
        <mc:Choice Requires="wps">
          <w:drawing>
            <wp:anchor distT="0" distB="0" distL="114300" distR="114300" simplePos="0" relativeHeight="251688960" behindDoc="0" locked="0" layoutInCell="1" allowOverlap="1">
              <wp:simplePos x="0" y="0"/>
              <wp:positionH relativeFrom="margin">
                <wp:align>left</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E4502" w:rsidRDefault="00FD45A3">
                          <w:pPr>
                            <w:pStyle w:val="aff0"/>
                            <w:pBdr>
                              <w:top w:val="single" w:sz="8" w:space="1" w:color="auto"/>
                            </w:pBdr>
                          </w:pPr>
                          <w:r>
                            <w:rPr>
                              <w:rFonts w:hint="eastAsia"/>
                            </w:rPr>
                            <w:t>新疆天合环境技术咨询有限公司</w:t>
                          </w:r>
                          <w:r>
                            <w:rPr>
                              <w:rFonts w:hint="eastAsia"/>
                              <w:lang w:val="en-US"/>
                            </w:rPr>
                            <w:t xml:space="preserve">             </w:t>
                          </w:r>
                          <w:r>
                            <w:rPr>
                              <w:rFonts w:ascii="Times New Roman" w:hAnsi="Times New Roman"/>
                            </w:rPr>
                            <w:fldChar w:fldCharType="begin"/>
                          </w:r>
                          <w:r>
                            <w:rPr>
                              <w:rStyle w:val="afff4"/>
                              <w:rFonts w:ascii="Times New Roman" w:hAnsi="Times New Roman"/>
                            </w:rPr>
                            <w:instrText xml:space="preserve"> PAGE </w:instrText>
                          </w:r>
                          <w:r>
                            <w:rPr>
                              <w:rFonts w:ascii="Times New Roman" w:hAnsi="Times New Roman"/>
                            </w:rPr>
                            <w:fldChar w:fldCharType="separate"/>
                          </w:r>
                          <w:r w:rsidR="003F4A18">
                            <w:rPr>
                              <w:rStyle w:val="afff4"/>
                              <w:rFonts w:ascii="Times New Roman" w:hAnsi="Times New Roman"/>
                              <w:noProof/>
                            </w:rPr>
                            <w:t>- 161 -</w:t>
                          </w:r>
                          <w:r>
                            <w:rPr>
                              <w:rFonts w:ascii="Times New Roman" w:hAnsi="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61" o:spid="_x0000_s1038" type="#_x0000_t202" style="position:absolute;left:0;text-align:left;margin-left:0;margin-top:0;width:2in;height:2in;z-index:251688960;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BOGawhkAgAAEwUAAA4AAAAAAAAAAAAAAAAALgIAAGRycy9lMm9Eb2Mu&#10;eG1sUEsBAi0AFAAGAAgAAAAhAHGq0bnXAAAABQEAAA8AAAAAAAAAAAAAAAAAvgQAAGRycy9kb3du&#10;cmV2LnhtbFBLBQYAAAAABAAEAPMAAADCBQAAAAA=&#10;" filled="f" stroked="f" strokeweight=".5pt">
              <v:textbox style="mso-fit-shape-to-text:t" inset="0,0,0,0">
                <w:txbxContent>
                  <w:p w:rsidR="00EE4502" w:rsidRDefault="00FD45A3">
                    <w:pPr>
                      <w:pStyle w:val="aff0"/>
                      <w:pBdr>
                        <w:top w:val="single" w:sz="8" w:space="1" w:color="auto"/>
                      </w:pBdr>
                    </w:pPr>
                    <w:r>
                      <w:rPr>
                        <w:rFonts w:hint="eastAsia"/>
                      </w:rPr>
                      <w:t>新疆天合环境技术咨询有限公司</w:t>
                    </w:r>
                    <w:r>
                      <w:rPr>
                        <w:rFonts w:hint="eastAsia"/>
                        <w:lang w:val="en-US"/>
                      </w:rPr>
                      <w:t xml:space="preserve">             </w:t>
                    </w:r>
                    <w:r>
                      <w:rPr>
                        <w:rFonts w:ascii="Times New Roman" w:hAnsi="Times New Roman"/>
                      </w:rPr>
                      <w:fldChar w:fldCharType="begin"/>
                    </w:r>
                    <w:r>
                      <w:rPr>
                        <w:rStyle w:val="afff4"/>
                        <w:rFonts w:ascii="Times New Roman" w:hAnsi="Times New Roman"/>
                      </w:rPr>
                      <w:instrText xml:space="preserve"> PAGE </w:instrText>
                    </w:r>
                    <w:r>
                      <w:rPr>
                        <w:rFonts w:ascii="Times New Roman" w:hAnsi="Times New Roman"/>
                      </w:rPr>
                      <w:fldChar w:fldCharType="separate"/>
                    </w:r>
                    <w:r w:rsidR="003F4A18">
                      <w:rPr>
                        <w:rStyle w:val="afff4"/>
                        <w:rFonts w:ascii="Times New Roman" w:hAnsi="Times New Roman"/>
                        <w:noProof/>
                      </w:rPr>
                      <w:t>- 161 -</w:t>
                    </w:r>
                    <w:r>
                      <w:rPr>
                        <w:rFonts w:ascii="Times New Roman" w:hAnsi="Times New Roman"/>
                      </w:rPr>
                      <w:fldChar w:fldCharType="end"/>
                    </w:r>
                  </w:p>
                </w:txbxContent>
              </v:textbox>
              <w10:wrap anchorx="margin"/>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502" w:rsidRDefault="00FD45A3">
    <w:pPr>
      <w:pStyle w:val="aff0"/>
      <w:pBdr>
        <w:top w:val="single" w:sz="8" w:space="1" w:color="auto"/>
      </w:pBdr>
    </w:pPr>
    <w:r>
      <w:rPr>
        <w:noProof/>
        <w:lang w:val="en-US"/>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0</wp:posOffset>
              </wp:positionV>
              <wp:extent cx="1828800" cy="1828800"/>
              <wp:effectExtent l="0" t="0" r="0" b="0"/>
              <wp:wrapNone/>
              <wp:docPr id="205" name="文本框 2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E4502" w:rsidRDefault="00FD45A3">
                          <w:pPr>
                            <w:pStyle w:val="aff0"/>
                            <w:pBdr>
                              <w:top w:val="single" w:sz="8" w:space="1" w:color="auto"/>
                            </w:pBdr>
                          </w:pPr>
                          <w:r>
                            <w:rPr>
                              <w:rFonts w:hint="eastAsia"/>
                            </w:rPr>
                            <w:t>新疆天合环境技术咨询有限公司</w:t>
                          </w:r>
                          <w:r>
                            <w:rPr>
                              <w:rFonts w:hint="eastAsia"/>
                              <w:lang w:val="en-US"/>
                            </w:rPr>
                            <w:t xml:space="preserve">             </w:t>
                          </w:r>
                          <w:r>
                            <w:rPr>
                              <w:rFonts w:ascii="Times New Roman" w:hAnsi="Times New Roman"/>
                            </w:rPr>
                            <w:fldChar w:fldCharType="begin"/>
                          </w:r>
                          <w:r>
                            <w:rPr>
                              <w:rStyle w:val="afff4"/>
                              <w:rFonts w:ascii="Times New Roman" w:hAnsi="Times New Roman"/>
                            </w:rPr>
                            <w:instrText xml:space="preserve"> PAGE </w:instrText>
                          </w:r>
                          <w:r>
                            <w:rPr>
                              <w:rFonts w:ascii="Times New Roman" w:hAnsi="Times New Roman"/>
                            </w:rPr>
                            <w:fldChar w:fldCharType="separate"/>
                          </w:r>
                          <w:r w:rsidR="003F4A18">
                            <w:rPr>
                              <w:rStyle w:val="afff4"/>
                              <w:rFonts w:ascii="Times New Roman" w:hAnsi="Times New Roman"/>
                              <w:noProof/>
                            </w:rPr>
                            <w:t>- 228 -</w:t>
                          </w:r>
                          <w:r>
                            <w:rPr>
                              <w:rFonts w:ascii="Times New Roman" w:hAnsi="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05" o:spid="_x0000_s1039" type="#_x0000_t202" style="position:absolute;left:0;text-align:left;margin-left:0;margin-top:0;width:2in;height:2in;z-index:251659264;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yP0H8WYCAAAVBQAADgAAAAAAAAAAAAAAAAAuAgAAZHJzL2Uyb0Rv&#10;Yy54bWxQSwECLQAUAAYACAAAACEAcarRudcAAAAFAQAADwAAAAAAAAAAAAAAAADABAAAZHJzL2Rv&#10;d25yZXYueG1sUEsFBgAAAAAEAAQA8wAAAMQFAAAAAA==&#10;" filled="f" stroked="f" strokeweight=".5pt">
              <v:textbox style="mso-fit-shape-to-text:t" inset="0,0,0,0">
                <w:txbxContent>
                  <w:p w:rsidR="00EE4502" w:rsidRDefault="00FD45A3">
                    <w:pPr>
                      <w:pStyle w:val="aff0"/>
                      <w:pBdr>
                        <w:top w:val="single" w:sz="8" w:space="1" w:color="auto"/>
                      </w:pBdr>
                    </w:pPr>
                    <w:r>
                      <w:rPr>
                        <w:rFonts w:hint="eastAsia"/>
                      </w:rPr>
                      <w:t>新疆天合环境技术咨询有限公司</w:t>
                    </w:r>
                    <w:r>
                      <w:rPr>
                        <w:rFonts w:hint="eastAsia"/>
                        <w:lang w:val="en-US"/>
                      </w:rPr>
                      <w:t xml:space="preserve">             </w:t>
                    </w:r>
                    <w:r>
                      <w:rPr>
                        <w:rFonts w:ascii="Times New Roman" w:hAnsi="Times New Roman"/>
                      </w:rPr>
                      <w:fldChar w:fldCharType="begin"/>
                    </w:r>
                    <w:r>
                      <w:rPr>
                        <w:rStyle w:val="afff4"/>
                        <w:rFonts w:ascii="Times New Roman" w:hAnsi="Times New Roman"/>
                      </w:rPr>
                      <w:instrText xml:space="preserve"> PAGE </w:instrText>
                    </w:r>
                    <w:r>
                      <w:rPr>
                        <w:rFonts w:ascii="Times New Roman" w:hAnsi="Times New Roman"/>
                      </w:rPr>
                      <w:fldChar w:fldCharType="separate"/>
                    </w:r>
                    <w:r w:rsidR="003F4A18">
                      <w:rPr>
                        <w:rStyle w:val="afff4"/>
                        <w:rFonts w:ascii="Times New Roman" w:hAnsi="Times New Roman"/>
                        <w:noProof/>
                      </w:rPr>
                      <w:t>- 228 -</w:t>
                    </w:r>
                    <w:r>
                      <w:rPr>
                        <w:rFonts w:ascii="Times New Roman" w:hAnsi="Times New Roman"/>
                      </w:rPr>
                      <w:fldChar w:fldCharType="end"/>
                    </w:r>
                  </w:p>
                </w:txbxContent>
              </v:textbox>
              <w10:wrap anchorx="margin"/>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502" w:rsidRDefault="00FD45A3">
    <w:pPr>
      <w:pStyle w:val="aff0"/>
      <w:pBdr>
        <w:top w:val="single" w:sz="4" w:space="1" w:color="auto"/>
      </w:pBdr>
      <w:rPr>
        <w:sz w:val="24"/>
        <w:szCs w:val="24"/>
      </w:rPr>
    </w:pPr>
    <w:r>
      <w:rPr>
        <w:noProof/>
        <w:sz w:val="24"/>
        <w:lang w:val="en-US"/>
      </w:rPr>
      <mc:AlternateContent>
        <mc:Choice Requires="wps">
          <w:drawing>
            <wp:anchor distT="0" distB="0" distL="114300" distR="114300" simplePos="0" relativeHeight="251685888" behindDoc="0" locked="0" layoutInCell="1" allowOverlap="1">
              <wp:simplePos x="0" y="0"/>
              <wp:positionH relativeFrom="margin">
                <wp:align>left</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E4502" w:rsidRDefault="00FD45A3">
                          <w:pPr>
                            <w:pStyle w:val="aff0"/>
                            <w:pBdr>
                              <w:top w:val="single" w:sz="4" w:space="1" w:color="auto"/>
                            </w:pBdr>
                          </w:pPr>
                          <w:r>
                            <w:rPr>
                              <w:rFonts w:hint="eastAsia"/>
                            </w:rPr>
                            <w:t>新疆天合环</w:t>
                          </w:r>
                          <w:r>
                            <w:rPr>
                              <w:rFonts w:hint="eastAsia"/>
                            </w:rPr>
                            <w:t>境技术咨询有限公司</w:t>
                          </w:r>
                          <w:r>
                            <w:rPr>
                              <w:rFonts w:hint="eastAsia"/>
                            </w:rPr>
                            <w:t xml:space="preserve">             </w:t>
                          </w:r>
                          <w:r>
                            <w:fldChar w:fldCharType="begin"/>
                          </w:r>
                          <w:r>
                            <w:instrText xml:space="preserve"> PAGE   \* MERGEFORMAT </w:instrText>
                          </w:r>
                          <w:r>
                            <w:fldChar w:fldCharType="separate"/>
                          </w:r>
                          <w:r w:rsidR="003F4A18" w:rsidRPr="003F4A18">
                            <w:rPr>
                              <w:noProof/>
                              <w:lang w:val="en-US"/>
                            </w:rPr>
                            <w:t>- 230 -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7" o:spid="_x0000_s1040" type="#_x0000_t202" style="position:absolute;left:0;text-align:left;margin-left:0;margin-top:0;width:2in;height:2in;z-index:2516858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zVehfZQIAABMFAAAOAAAAAAAAAAAAAAAAAC4CAABkcnMvZTJvRG9j&#10;LnhtbFBLAQItABQABgAIAAAAIQBxqtG51wAAAAUBAAAPAAAAAAAAAAAAAAAAAL8EAABkcnMvZG93&#10;bnJldi54bWxQSwUGAAAAAAQABADzAAAAwwUAAAAA&#10;" filled="f" stroked="f" strokeweight=".5pt">
              <v:textbox style="mso-fit-shape-to-text:t" inset="0,0,0,0">
                <w:txbxContent>
                  <w:p w:rsidR="00EE4502" w:rsidRDefault="00FD45A3">
                    <w:pPr>
                      <w:pStyle w:val="aff0"/>
                      <w:pBdr>
                        <w:top w:val="single" w:sz="4" w:space="1" w:color="auto"/>
                      </w:pBdr>
                    </w:pPr>
                    <w:r>
                      <w:rPr>
                        <w:rFonts w:hint="eastAsia"/>
                      </w:rPr>
                      <w:t>新疆天合环</w:t>
                    </w:r>
                    <w:r>
                      <w:rPr>
                        <w:rFonts w:hint="eastAsia"/>
                      </w:rPr>
                      <w:t>境技术咨询有限公司</w:t>
                    </w:r>
                    <w:r>
                      <w:rPr>
                        <w:rFonts w:hint="eastAsia"/>
                      </w:rPr>
                      <w:t xml:space="preserve">             </w:t>
                    </w:r>
                    <w:r>
                      <w:fldChar w:fldCharType="begin"/>
                    </w:r>
                    <w:r>
                      <w:instrText xml:space="preserve"> PAGE   \* MERGEFORMAT </w:instrText>
                    </w:r>
                    <w:r>
                      <w:fldChar w:fldCharType="separate"/>
                    </w:r>
                    <w:r w:rsidR="003F4A18" w:rsidRPr="003F4A18">
                      <w:rPr>
                        <w:noProof/>
                        <w:lang w:val="en-US"/>
                      </w:rPr>
                      <w:t>- 230 -</w:t>
                    </w:r>
                    <w:r>
                      <w:fldChar w:fldCharType="end"/>
                    </w:r>
                  </w:p>
                </w:txbxContent>
              </v:textbox>
              <w10:wrap anchorx="margin"/>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502" w:rsidRDefault="00FD45A3">
    <w:pPr>
      <w:pStyle w:val="aff0"/>
      <w:pBdr>
        <w:top w:val="single" w:sz="4" w:space="1" w:color="auto"/>
      </w:pBdr>
      <w:rPr>
        <w:sz w:val="24"/>
        <w:szCs w:val="24"/>
      </w:rPr>
    </w:pPr>
    <w:r>
      <w:rPr>
        <w:noProof/>
        <w:sz w:val="24"/>
        <w:lang w:val="en-US"/>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0</wp:posOffset>
              </wp:positionV>
              <wp:extent cx="1828800" cy="1828800"/>
              <wp:effectExtent l="0" t="0" r="0" b="0"/>
              <wp:wrapNone/>
              <wp:docPr id="207" name="文本框 2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E4502" w:rsidRDefault="00FD45A3">
                          <w:pPr>
                            <w:pStyle w:val="aff0"/>
                            <w:pBdr>
                              <w:top w:val="single" w:sz="4" w:space="1" w:color="auto"/>
                            </w:pBdr>
                          </w:pPr>
                          <w:r>
                            <w:rPr>
                              <w:rFonts w:hint="eastAsia"/>
                            </w:rPr>
                            <w:t>新疆天合环境技术咨询有限公司</w:t>
                          </w:r>
                          <w:r>
                            <w:rPr>
                              <w:rFonts w:hint="eastAsia"/>
                            </w:rPr>
                            <w:t xml:space="preserve">             </w:t>
                          </w:r>
                          <w:r>
                            <w:fldChar w:fldCharType="begin"/>
                          </w:r>
                          <w:r>
                            <w:instrText xml:space="preserve"> PAGE   \* MERGEFORMAT </w:instrText>
                          </w:r>
                          <w:r>
                            <w:fldChar w:fldCharType="separate"/>
                          </w:r>
                          <w:r w:rsidR="003F4A18" w:rsidRPr="003F4A18">
                            <w:rPr>
                              <w:noProof/>
                              <w:lang w:val="en-US"/>
                            </w:rPr>
                            <w:t>- 261 -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07" o:spid="_x0000_s1041" type="#_x0000_t202" style="position:absolute;left:0;text-align:left;margin-left:0;margin-top:0;width:2in;height:2in;z-index:251686912;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jCSB3WYCAAAVBQAADgAAAAAAAAAAAAAAAAAuAgAAZHJzL2Uyb0Rv&#10;Yy54bWxQSwECLQAUAAYACAAAACEAcarRudcAAAAFAQAADwAAAAAAAAAAAAAAAADABAAAZHJzL2Rv&#10;d25yZXYueG1sUEsFBgAAAAAEAAQA8wAAAMQFAAAAAA==&#10;" filled="f" stroked="f" strokeweight=".5pt">
              <v:textbox style="mso-fit-shape-to-text:t" inset="0,0,0,0">
                <w:txbxContent>
                  <w:p w:rsidR="00EE4502" w:rsidRDefault="00FD45A3">
                    <w:pPr>
                      <w:pStyle w:val="aff0"/>
                      <w:pBdr>
                        <w:top w:val="single" w:sz="4" w:space="1" w:color="auto"/>
                      </w:pBdr>
                    </w:pPr>
                    <w:r>
                      <w:rPr>
                        <w:rFonts w:hint="eastAsia"/>
                      </w:rPr>
                      <w:t>新疆天合环境技术咨询有限公司</w:t>
                    </w:r>
                    <w:r>
                      <w:rPr>
                        <w:rFonts w:hint="eastAsia"/>
                      </w:rPr>
                      <w:t xml:space="preserve">             </w:t>
                    </w:r>
                    <w:r>
                      <w:fldChar w:fldCharType="begin"/>
                    </w:r>
                    <w:r>
                      <w:instrText xml:space="preserve"> PAGE   \* MERGEFORMAT </w:instrText>
                    </w:r>
                    <w:r>
                      <w:fldChar w:fldCharType="separate"/>
                    </w:r>
                    <w:r w:rsidR="003F4A18" w:rsidRPr="003F4A18">
                      <w:rPr>
                        <w:noProof/>
                        <w:lang w:val="en-US"/>
                      </w:rPr>
                      <w:t>- 261 -</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45A3" w:rsidRDefault="00FD45A3">
      <w:r>
        <w:separator/>
      </w:r>
    </w:p>
  </w:footnote>
  <w:footnote w:type="continuationSeparator" w:id="0">
    <w:p w:rsidR="00FD45A3" w:rsidRDefault="00FD45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502" w:rsidRDefault="00FD45A3">
    <w:pPr>
      <w:pBdr>
        <w:bottom w:val="single" w:sz="8" w:space="1" w:color="auto"/>
      </w:pBdr>
      <w:jc w:val="center"/>
      <w:rPr>
        <w:rFonts w:eastAsia="楷体"/>
        <w:sz w:val="18"/>
      </w:rPr>
    </w:pPr>
    <w:r>
      <w:rPr>
        <w:rFonts w:eastAsia="楷体" w:hint="eastAsia"/>
        <w:sz w:val="18"/>
      </w:rPr>
      <w:t>春风油田石炭系排</w:t>
    </w:r>
    <w:r>
      <w:rPr>
        <w:rFonts w:eastAsia="楷体" w:hint="eastAsia"/>
        <w:sz w:val="18"/>
      </w:rPr>
      <w:t>61</w:t>
    </w:r>
    <w:r>
      <w:rPr>
        <w:rFonts w:eastAsia="楷体" w:hint="eastAsia"/>
        <w:sz w:val="18"/>
      </w:rPr>
      <w:t>块产能建设工程</w:t>
    </w:r>
    <w:r>
      <w:rPr>
        <w:rFonts w:eastAsia="楷体"/>
        <w:sz w:val="18"/>
      </w:rPr>
      <w:t>环境影响报告书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502" w:rsidRDefault="00FD45A3">
    <w:pPr>
      <w:pBdr>
        <w:bottom w:val="single" w:sz="8" w:space="1" w:color="auto"/>
      </w:pBdr>
      <w:jc w:val="center"/>
      <w:rPr>
        <w:rFonts w:ascii="楷体" w:eastAsia="楷体" w:hAnsi="楷体"/>
        <w:sz w:val="18"/>
      </w:rPr>
    </w:pPr>
    <w:r>
      <w:rPr>
        <w:rFonts w:eastAsia="楷体" w:hint="eastAsia"/>
        <w:sz w:val="18"/>
      </w:rPr>
      <w:t>春风油田石炭系排</w:t>
    </w:r>
    <w:r>
      <w:rPr>
        <w:rFonts w:eastAsia="楷体" w:hint="eastAsia"/>
        <w:sz w:val="18"/>
      </w:rPr>
      <w:t>61</w:t>
    </w:r>
    <w:r>
      <w:rPr>
        <w:rFonts w:eastAsia="楷体" w:hint="eastAsia"/>
        <w:sz w:val="18"/>
      </w:rPr>
      <w:t>块产能建设工程</w:t>
    </w:r>
    <w:r>
      <w:rPr>
        <w:rFonts w:eastAsia="楷体"/>
        <w:sz w:val="18"/>
      </w:rPr>
      <w:t>环境影响报告书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502" w:rsidRDefault="00FD45A3">
    <w:pPr>
      <w:pBdr>
        <w:bottom w:val="single" w:sz="8" w:space="1" w:color="auto"/>
      </w:pBdr>
      <w:jc w:val="center"/>
      <w:rPr>
        <w:rFonts w:ascii="楷体" w:eastAsia="楷体" w:hAnsi="楷体"/>
        <w:sz w:val="18"/>
      </w:rPr>
    </w:pPr>
    <w:r>
      <w:rPr>
        <w:rFonts w:eastAsia="楷体" w:hint="eastAsia"/>
        <w:sz w:val="18"/>
      </w:rPr>
      <w:t>春风油田石炭系排</w:t>
    </w:r>
    <w:r>
      <w:rPr>
        <w:rFonts w:eastAsia="楷体" w:hint="eastAsia"/>
        <w:sz w:val="18"/>
      </w:rPr>
      <w:t>61</w:t>
    </w:r>
    <w:r>
      <w:rPr>
        <w:rFonts w:eastAsia="楷体" w:hint="eastAsia"/>
        <w:sz w:val="18"/>
      </w:rPr>
      <w:t>块产能建设工程</w:t>
    </w:r>
    <w:r>
      <w:rPr>
        <w:rFonts w:eastAsia="楷体"/>
        <w:sz w:val="18"/>
      </w:rPr>
      <w:t>环境影响报告书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502" w:rsidRDefault="00FD45A3">
    <w:pPr>
      <w:pBdr>
        <w:bottom w:val="single" w:sz="8" w:space="1" w:color="auto"/>
      </w:pBdr>
      <w:jc w:val="center"/>
      <w:rPr>
        <w:rFonts w:ascii="楷体" w:eastAsia="楷体" w:hAnsi="楷体"/>
        <w:sz w:val="18"/>
      </w:rPr>
    </w:pPr>
    <w:r>
      <w:rPr>
        <w:rFonts w:eastAsia="楷体" w:hint="eastAsia"/>
        <w:sz w:val="18"/>
      </w:rPr>
      <w:t>春风油田石炭系排</w:t>
    </w:r>
    <w:r>
      <w:rPr>
        <w:rFonts w:eastAsia="楷体" w:hint="eastAsia"/>
        <w:sz w:val="18"/>
      </w:rPr>
      <w:t>61</w:t>
    </w:r>
    <w:r>
      <w:rPr>
        <w:rFonts w:eastAsia="楷体" w:hint="eastAsia"/>
        <w:sz w:val="18"/>
      </w:rPr>
      <w:t>块产能建设工程</w:t>
    </w:r>
    <w:r>
      <w:rPr>
        <w:rFonts w:eastAsia="楷体"/>
        <w:sz w:val="18"/>
      </w:rPr>
      <w:t>环境影响报告书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502" w:rsidRDefault="00FD45A3">
    <w:pPr>
      <w:pBdr>
        <w:bottom w:val="single" w:sz="8" w:space="1" w:color="auto"/>
      </w:pBdr>
      <w:jc w:val="center"/>
      <w:rPr>
        <w:rFonts w:ascii="楷体" w:eastAsia="楷体" w:hAnsi="楷体"/>
        <w:sz w:val="18"/>
      </w:rPr>
    </w:pPr>
    <w:r>
      <w:rPr>
        <w:rFonts w:eastAsia="楷体" w:hint="eastAsia"/>
        <w:sz w:val="18"/>
      </w:rPr>
      <w:t>春风油田石炭系排</w:t>
    </w:r>
    <w:r>
      <w:rPr>
        <w:rFonts w:eastAsia="楷体" w:hint="eastAsia"/>
        <w:sz w:val="18"/>
      </w:rPr>
      <w:t>61</w:t>
    </w:r>
    <w:r>
      <w:rPr>
        <w:rFonts w:eastAsia="楷体" w:hint="eastAsia"/>
        <w:sz w:val="18"/>
      </w:rPr>
      <w:t>块产能建设工程</w:t>
    </w:r>
    <w:r>
      <w:rPr>
        <w:rFonts w:eastAsia="楷体"/>
        <w:sz w:val="18"/>
      </w:rPr>
      <w:t>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5E5804B"/>
    <w:multiLevelType w:val="multilevel"/>
    <w:tmpl w:val="95E5804B"/>
    <w:lvl w:ilvl="0">
      <w:start w:val="1"/>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1">
    <w:nsid w:val="BCBC14EB"/>
    <w:multiLevelType w:val="singleLevel"/>
    <w:tmpl w:val="BCBC14EB"/>
    <w:lvl w:ilvl="0">
      <w:start w:val="1"/>
      <w:numFmt w:val="decimal"/>
      <w:suff w:val="nothing"/>
      <w:lvlText w:val="（%1）"/>
      <w:lvlJc w:val="left"/>
    </w:lvl>
  </w:abstractNum>
  <w:abstractNum w:abstractNumId="2">
    <w:nsid w:val="D81297A8"/>
    <w:multiLevelType w:val="singleLevel"/>
    <w:tmpl w:val="D81297A8"/>
    <w:lvl w:ilvl="0">
      <w:start w:val="1"/>
      <w:numFmt w:val="decimal"/>
      <w:suff w:val="nothing"/>
      <w:lvlText w:val="（%1）"/>
      <w:lvlJc w:val="left"/>
    </w:lvl>
  </w:abstractNum>
  <w:abstractNum w:abstractNumId="3">
    <w:nsid w:val="F464F9BA"/>
    <w:multiLevelType w:val="singleLevel"/>
    <w:tmpl w:val="F464F9BA"/>
    <w:lvl w:ilvl="0">
      <w:start w:val="1"/>
      <w:numFmt w:val="decimal"/>
      <w:lvlText w:val="3.4.6.%1"/>
      <w:lvlJc w:val="left"/>
      <w:pPr>
        <w:tabs>
          <w:tab w:val="left" w:pos="420"/>
        </w:tabs>
        <w:ind w:left="425" w:hanging="425"/>
      </w:pPr>
      <w:rPr>
        <w:rFonts w:ascii="Times New Roman" w:hAnsi="Times New Roman" w:cs="Times New Roman" w:hint="default"/>
      </w:rPr>
    </w:lvl>
  </w:abstractNum>
  <w:abstractNum w:abstractNumId="4">
    <w:nsid w:val="00000004"/>
    <w:multiLevelType w:val="multilevel"/>
    <w:tmpl w:val="00000004"/>
    <w:lvl w:ilvl="0">
      <w:start w:val="1"/>
      <w:numFmt w:val="none"/>
      <w:pStyle w:val="5"/>
      <w:suff w:val="nothing"/>
      <w:lvlText w:val="%1"/>
      <w:lvlJc w:val="left"/>
      <w:pPr>
        <w:ind w:left="0" w:firstLine="0"/>
      </w:pPr>
      <w:rPr>
        <w:rFonts w:ascii="Times New Roman" w:hAnsi="Times New Roman" w:hint="default"/>
        <w:b/>
        <w:i w:val="0"/>
        <w:sz w:val="21"/>
      </w:rPr>
    </w:lvl>
    <w:lvl w:ilvl="1">
      <w:start w:val="1"/>
      <w:numFmt w:val="decimal"/>
      <w:suff w:val="nothing"/>
      <w:lvlText w:val="%1%2　"/>
      <w:lvlJc w:val="left"/>
      <w:pPr>
        <w:ind w:left="0" w:firstLine="0"/>
      </w:pPr>
      <w:rPr>
        <w:rFonts w:ascii="黑体" w:eastAsia="黑体" w:hAnsi="Times New Roman" w:hint="eastAsia"/>
        <w:b w:val="0"/>
        <w:i w:val="0"/>
        <w:sz w:val="21"/>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54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5">
    <w:nsid w:val="00000006"/>
    <w:multiLevelType w:val="multilevel"/>
    <w:tmpl w:val="00000006"/>
    <w:lvl w:ilvl="0">
      <w:start w:val="1"/>
      <w:numFmt w:val="decimal"/>
      <w:pStyle w:val="cucd-0"/>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0000000E"/>
    <w:multiLevelType w:val="multilevel"/>
    <w:tmpl w:val="0000000E"/>
    <w:lvl w:ilvl="0">
      <w:start w:val="1"/>
      <w:numFmt w:val="decimal"/>
      <w:pStyle w:val="3"/>
      <w:lvlText w:val="表3－%1"/>
      <w:lvlJc w:val="center"/>
      <w:pPr>
        <w:tabs>
          <w:tab w:val="left" w:pos="492"/>
        </w:tabs>
        <w:ind w:left="492" w:hanging="132"/>
      </w:pPr>
      <w:rPr>
        <w:rFonts w:eastAsia="黑体" w:hint="eastAsia"/>
        <w:sz w:val="24"/>
        <w:szCs w:val="24"/>
      </w:rPr>
    </w:lvl>
    <w:lvl w:ilvl="1">
      <w:start w:val="1"/>
      <w:numFmt w:val="bullet"/>
      <w:lvlText w:val=""/>
      <w:lvlJc w:val="left"/>
      <w:pPr>
        <w:tabs>
          <w:tab w:val="left" w:pos="840"/>
        </w:tabs>
        <w:ind w:left="840" w:hanging="420"/>
      </w:pPr>
      <w:rPr>
        <w:rFonts w:ascii="Wingdings" w:hAnsi="Wingdings" w:hint="default"/>
        <w:sz w:val="24"/>
        <w:szCs w:val="24"/>
      </w:rPr>
    </w:lvl>
    <w:lvl w:ilvl="2">
      <w:start w:val="1"/>
      <w:numFmt w:val="decimal"/>
      <w:lvlText w:val="图3－%3"/>
      <w:lvlJc w:val="center"/>
      <w:pPr>
        <w:tabs>
          <w:tab w:val="left" w:pos="972"/>
        </w:tabs>
        <w:ind w:left="972" w:hanging="132"/>
      </w:pPr>
      <w:rPr>
        <w:rFonts w:hint="eastAsia"/>
      </w:r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
    <w:nsid w:val="0000000F"/>
    <w:multiLevelType w:val="multilevel"/>
    <w:tmpl w:val="0000000F"/>
    <w:lvl w:ilvl="0">
      <w:start w:val="1"/>
      <w:numFmt w:val="decimalEnclosedCircle"/>
      <w:pStyle w:val="a"/>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nsid w:val="00000014"/>
    <w:multiLevelType w:val="multilevel"/>
    <w:tmpl w:val="00000014"/>
    <w:lvl w:ilvl="0">
      <w:start w:val="7"/>
      <w:numFmt w:val="decimal"/>
      <w:pStyle w:val="3H3BHead111h3level3PIM3Level3HeadHeading"/>
      <w:suff w:val="space"/>
      <w:lvlText w:val="%1"/>
      <w:lvlJc w:val="left"/>
      <w:pPr>
        <w:ind w:left="432" w:hanging="432"/>
      </w:pPr>
      <w:rPr>
        <w:rFonts w:hint="eastAsia"/>
        <w:b w:val="0"/>
        <w:i w:val="0"/>
        <w:sz w:val="36"/>
      </w:rPr>
    </w:lvl>
    <w:lvl w:ilvl="1">
      <w:start w:val="1"/>
      <w:numFmt w:val="decimal"/>
      <w:suff w:val="space"/>
      <w:lvlText w:val="%1.%2"/>
      <w:lvlJc w:val="left"/>
      <w:pPr>
        <w:ind w:left="0" w:firstLine="0"/>
      </w:pPr>
      <w:rPr>
        <w:rFonts w:hint="eastAsia"/>
      </w:rPr>
    </w:lvl>
    <w:lvl w:ilvl="2">
      <w:start w:val="1"/>
      <w:numFmt w:val="decimal"/>
      <w:suff w:val="space"/>
      <w:lvlText w:val="%1.%2.%3"/>
      <w:lvlJc w:val="left"/>
      <w:pPr>
        <w:ind w:left="0" w:firstLine="0"/>
      </w:pPr>
      <w:rPr>
        <w:rFonts w:ascii="Arial Unicode MS" w:eastAsia="宋体" w:hAnsi="Arial Unicode MS" w:hint="eastAsia"/>
        <w:b w:val="0"/>
        <w:i w:val="0"/>
        <w:sz w:val="30"/>
      </w:rPr>
    </w:lvl>
    <w:lvl w:ilvl="3">
      <w:start w:val="1"/>
      <w:numFmt w:val="decimal"/>
      <w:suff w:val="space"/>
      <w:lvlText w:val="%1.%2.%3.%4"/>
      <w:lvlJc w:val="left"/>
      <w:pPr>
        <w:ind w:left="0" w:firstLine="0"/>
      </w:pPr>
      <w:rPr>
        <w:rFonts w:ascii="Arial Unicode MS" w:eastAsia="宋体" w:hAnsi="Arial Unicode MS" w:hint="eastAsia"/>
        <w:b w:val="0"/>
        <w:i w:val="0"/>
        <w:sz w:val="28"/>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9">
    <w:nsid w:val="00000015"/>
    <w:multiLevelType w:val="multilevel"/>
    <w:tmpl w:val="00000015"/>
    <w:lvl w:ilvl="0">
      <w:start w:val="10"/>
      <w:numFmt w:val="decimal"/>
      <w:lvlText w:val="%1"/>
      <w:lvlJc w:val="left"/>
      <w:pPr>
        <w:tabs>
          <w:tab w:val="left" w:pos="1005"/>
        </w:tabs>
        <w:ind w:left="1005" w:hanging="1005"/>
      </w:pPr>
      <w:rPr>
        <w:rFonts w:hint="default"/>
      </w:rPr>
    </w:lvl>
    <w:lvl w:ilvl="1">
      <w:start w:val="2"/>
      <w:numFmt w:val="decimal"/>
      <w:pStyle w:val="puce"/>
      <w:lvlText w:val="%1.%2"/>
      <w:lvlJc w:val="left"/>
      <w:pPr>
        <w:tabs>
          <w:tab w:val="left" w:pos="1286"/>
        </w:tabs>
        <w:ind w:left="1286" w:hanging="1005"/>
      </w:pPr>
      <w:rPr>
        <w:rFonts w:hint="default"/>
      </w:rPr>
    </w:lvl>
    <w:lvl w:ilvl="2">
      <w:start w:val="1"/>
      <w:numFmt w:val="decimal"/>
      <w:lvlText w:val="%1.%2.%3"/>
      <w:lvlJc w:val="left"/>
      <w:pPr>
        <w:tabs>
          <w:tab w:val="left" w:pos="1567"/>
        </w:tabs>
        <w:ind w:left="1567" w:hanging="1005"/>
      </w:pPr>
      <w:rPr>
        <w:rFonts w:hint="default"/>
      </w:rPr>
    </w:lvl>
    <w:lvl w:ilvl="3">
      <w:start w:val="1"/>
      <w:numFmt w:val="decimal"/>
      <w:lvlText w:val="%1.%2.%3.%4"/>
      <w:lvlJc w:val="left"/>
      <w:pPr>
        <w:tabs>
          <w:tab w:val="left" w:pos="1923"/>
        </w:tabs>
        <w:ind w:left="1923" w:hanging="1080"/>
      </w:pPr>
      <w:rPr>
        <w:rFonts w:hint="default"/>
      </w:rPr>
    </w:lvl>
    <w:lvl w:ilvl="4">
      <w:start w:val="1"/>
      <w:numFmt w:val="decimal"/>
      <w:lvlText w:val="%1.%2.%3.%4.%5"/>
      <w:lvlJc w:val="left"/>
      <w:pPr>
        <w:tabs>
          <w:tab w:val="left" w:pos="2564"/>
        </w:tabs>
        <w:ind w:left="2564" w:hanging="1440"/>
      </w:pPr>
      <w:rPr>
        <w:rFonts w:hint="default"/>
      </w:rPr>
    </w:lvl>
    <w:lvl w:ilvl="5">
      <w:start w:val="1"/>
      <w:numFmt w:val="decimal"/>
      <w:lvlText w:val="%1.%2.%3.%4.%5.%6"/>
      <w:lvlJc w:val="left"/>
      <w:pPr>
        <w:tabs>
          <w:tab w:val="left" w:pos="3205"/>
        </w:tabs>
        <w:ind w:left="3205" w:hanging="1800"/>
      </w:pPr>
      <w:rPr>
        <w:rFonts w:hint="default"/>
      </w:rPr>
    </w:lvl>
    <w:lvl w:ilvl="6">
      <w:start w:val="1"/>
      <w:numFmt w:val="decimal"/>
      <w:lvlText w:val="%1.%2.%3.%4.%5.%6.%7"/>
      <w:lvlJc w:val="left"/>
      <w:pPr>
        <w:tabs>
          <w:tab w:val="left" w:pos="3846"/>
        </w:tabs>
        <w:ind w:left="3846" w:hanging="2160"/>
      </w:pPr>
      <w:rPr>
        <w:rFonts w:hint="default"/>
      </w:rPr>
    </w:lvl>
    <w:lvl w:ilvl="7">
      <w:start w:val="1"/>
      <w:numFmt w:val="decimal"/>
      <w:lvlText w:val="%1.%2.%3.%4.%5.%6.%7.%8"/>
      <w:lvlJc w:val="left"/>
      <w:pPr>
        <w:tabs>
          <w:tab w:val="left" w:pos="4127"/>
        </w:tabs>
        <w:ind w:left="4127" w:hanging="2160"/>
      </w:pPr>
      <w:rPr>
        <w:rFonts w:hint="default"/>
      </w:rPr>
    </w:lvl>
    <w:lvl w:ilvl="8">
      <w:start w:val="1"/>
      <w:numFmt w:val="decimal"/>
      <w:lvlText w:val="%1.%2.%3.%4.%5.%6.%7.%8.%9"/>
      <w:lvlJc w:val="left"/>
      <w:pPr>
        <w:tabs>
          <w:tab w:val="left" w:pos="4768"/>
        </w:tabs>
        <w:ind w:left="4768" w:hanging="2520"/>
      </w:pPr>
      <w:rPr>
        <w:rFonts w:hint="default"/>
      </w:rPr>
    </w:lvl>
  </w:abstractNum>
  <w:abstractNum w:abstractNumId="10">
    <w:nsid w:val="00000030"/>
    <w:multiLevelType w:val="multilevel"/>
    <w:tmpl w:val="00000030"/>
    <w:lvl w:ilvl="0">
      <w:start w:val="1"/>
      <w:numFmt w:val="decimal"/>
      <w:pStyle w:val="Char2CharCharCharCharCharChar"/>
      <w:lvlText w:val="%1."/>
      <w:lvlJc w:val="left"/>
      <w:pPr>
        <w:tabs>
          <w:tab w:val="left" w:pos="425"/>
        </w:tabs>
        <w:ind w:left="425" w:hanging="425"/>
      </w:pPr>
      <w:rPr>
        <w:rFonts w:hint="eastAsia"/>
      </w:rPr>
    </w:lvl>
    <w:lvl w:ilvl="1">
      <w:start w:val="1"/>
      <w:numFmt w:val="decimal"/>
      <w:lvlText w:val="%1.%2."/>
      <w:lvlJc w:val="left"/>
      <w:pPr>
        <w:tabs>
          <w:tab w:val="left" w:pos="567"/>
        </w:tabs>
        <w:ind w:left="567" w:hanging="567"/>
      </w:pPr>
      <w:rPr>
        <w:rFonts w:hint="eastAsia"/>
      </w:rPr>
    </w:lvl>
    <w:lvl w:ilvl="2">
      <w:start w:val="1"/>
      <w:numFmt w:val="decimal"/>
      <w:lvlText w:val="%1.%2.%3."/>
      <w:lvlJc w:val="left"/>
      <w:pPr>
        <w:tabs>
          <w:tab w:val="left" w:pos="709"/>
        </w:tabs>
        <w:ind w:left="709" w:hanging="709"/>
      </w:pPr>
      <w:rPr>
        <w:rFonts w:hint="eastAsia"/>
      </w:rPr>
    </w:lvl>
    <w:lvl w:ilvl="3">
      <w:start w:val="1"/>
      <w:numFmt w:val="decimal"/>
      <w:lvlText w:val="%1.%2.%3.%4."/>
      <w:lvlJc w:val="left"/>
      <w:pPr>
        <w:tabs>
          <w:tab w:val="left" w:pos="851"/>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11">
    <w:nsid w:val="10E978F3"/>
    <w:multiLevelType w:val="multilevel"/>
    <w:tmpl w:val="10E978F3"/>
    <w:lvl w:ilvl="0">
      <w:start w:val="8"/>
      <w:numFmt w:val="decimal"/>
      <w:pStyle w:val="1-"/>
      <w:lvlText w:val="%1."/>
      <w:lvlJc w:val="left"/>
      <w:pPr>
        <w:ind w:left="425" w:hanging="425"/>
      </w:pPr>
      <w:rPr>
        <w:rFonts w:hint="eastAsia"/>
      </w:rPr>
    </w:lvl>
    <w:lvl w:ilvl="1">
      <w:start w:val="1"/>
      <w:numFmt w:val="decimal"/>
      <w:pStyle w:val="11-"/>
      <w:lvlText w:val="%1.%2."/>
      <w:lvlJc w:val="left"/>
      <w:pPr>
        <w:ind w:left="567" w:hanging="567"/>
      </w:pPr>
      <w:rPr>
        <w:rFonts w:hint="eastAsia"/>
      </w:rPr>
    </w:lvl>
    <w:lvl w:ilvl="2">
      <w:start w:val="1"/>
      <w:numFmt w:val="decimal"/>
      <w:lvlText w:val="%1.%2.%3."/>
      <w:lvlJc w:val="left"/>
      <w:pPr>
        <w:ind w:left="709" w:hanging="709"/>
      </w:pPr>
      <w:rPr>
        <w:rFonts w:hint="eastAsia"/>
        <w:b w:val="0"/>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
    <w:nsid w:val="117D197D"/>
    <w:multiLevelType w:val="multilevel"/>
    <w:tmpl w:val="117D197D"/>
    <w:lvl w:ilvl="0">
      <w:start w:val="1"/>
      <w:numFmt w:val="decimal"/>
      <w:pStyle w:val="T1"/>
      <w:suff w:val="space"/>
      <w:lvlText w:val="%1、"/>
      <w:lvlJc w:val="left"/>
      <w:pPr>
        <w:ind w:left="4825" w:hanging="425"/>
      </w:pPr>
      <w:rPr>
        <w:rFonts w:ascii="Times New Roman" w:eastAsia="仿宋_GB2312" w:hAnsi="Times New Roman" w:hint="default"/>
        <w:b/>
        <w:i w:val="0"/>
        <w:sz w:val="28"/>
        <w:szCs w:val="28"/>
      </w:rPr>
    </w:lvl>
    <w:lvl w:ilvl="1">
      <w:start w:val="1"/>
      <w:numFmt w:val="decimal"/>
      <w:pStyle w:val="T2"/>
      <w:suff w:val="space"/>
      <w:lvlText w:val="%1.%2"/>
      <w:lvlJc w:val="left"/>
      <w:pPr>
        <w:ind w:left="567" w:hanging="567"/>
      </w:pPr>
      <w:rPr>
        <w:rFonts w:ascii="Times New Roman" w:eastAsia="仿宋_GB2312" w:hAnsi="Times New Roman" w:hint="default"/>
        <w:b/>
        <w:i w:val="0"/>
        <w:sz w:val="24"/>
        <w:szCs w:val="24"/>
      </w:rPr>
    </w:lvl>
    <w:lvl w:ilvl="2">
      <w:start w:val="1"/>
      <w:numFmt w:val="decimal"/>
      <w:suff w:val="space"/>
      <w:lvlText w:val="%1.%2.%3"/>
      <w:lvlJc w:val="left"/>
      <w:pPr>
        <w:ind w:left="-651" w:firstLine="851"/>
      </w:pPr>
      <w:rPr>
        <w:rFonts w:ascii="Times New Roman" w:eastAsia="仿宋_GB2312" w:hAnsi="Times New Roman" w:hint="default"/>
        <w:b/>
        <w:i w:val="0"/>
        <w:color w:val="auto"/>
        <w:sz w:val="24"/>
        <w:szCs w:val="24"/>
      </w:rPr>
    </w:lvl>
    <w:lvl w:ilvl="3">
      <w:start w:val="1"/>
      <w:numFmt w:val="decimal"/>
      <w:pStyle w:val="T4"/>
      <w:suff w:val="space"/>
      <w:lvlText w:val="%1.%2.%3.%4"/>
      <w:lvlJc w:val="left"/>
      <w:pPr>
        <w:ind w:left="1333" w:hanging="708"/>
      </w:pPr>
      <w:rPr>
        <w:rFonts w:ascii="宋体" w:eastAsia="宋体" w:hint="eastAsia"/>
        <w:sz w:val="24"/>
        <w:szCs w:val="24"/>
      </w:rPr>
    </w:lvl>
    <w:lvl w:ilvl="4">
      <w:start w:val="1"/>
      <w:numFmt w:val="decimal"/>
      <w:pStyle w:val="T5"/>
      <w:suff w:val="space"/>
      <w:lvlText w:val="%1.%2.%3.%4.%5"/>
      <w:lvlJc w:val="left"/>
      <w:pPr>
        <w:ind w:left="1900" w:hanging="850"/>
      </w:pPr>
      <w:rPr>
        <w:rFonts w:hint="eastAsia"/>
      </w:rPr>
    </w:lvl>
    <w:lvl w:ilvl="5">
      <w:start w:val="1"/>
      <w:numFmt w:val="decimal"/>
      <w:lvlText w:val="%1.%2.%3.%4.%5.%6"/>
      <w:lvlJc w:val="left"/>
      <w:pPr>
        <w:tabs>
          <w:tab w:val="left" w:pos="3275"/>
        </w:tabs>
        <w:ind w:left="2609" w:hanging="1134"/>
      </w:pPr>
      <w:rPr>
        <w:rFonts w:hint="eastAsia"/>
      </w:rPr>
    </w:lvl>
    <w:lvl w:ilvl="6">
      <w:start w:val="1"/>
      <w:numFmt w:val="decimal"/>
      <w:lvlText w:val="%1.%2.%3.%4.%5.%6.%7"/>
      <w:lvlJc w:val="left"/>
      <w:pPr>
        <w:tabs>
          <w:tab w:val="left" w:pos="4060"/>
        </w:tabs>
        <w:ind w:left="3176" w:hanging="1276"/>
      </w:pPr>
      <w:rPr>
        <w:rFonts w:hint="eastAsia"/>
      </w:rPr>
    </w:lvl>
    <w:lvl w:ilvl="7">
      <w:start w:val="1"/>
      <w:numFmt w:val="decimal"/>
      <w:lvlText w:val="%1.%2.%3.%4.%5.%6.%7.%8"/>
      <w:lvlJc w:val="left"/>
      <w:pPr>
        <w:tabs>
          <w:tab w:val="left" w:pos="4485"/>
        </w:tabs>
        <w:ind w:left="3743" w:hanging="1418"/>
      </w:pPr>
      <w:rPr>
        <w:rFonts w:hint="eastAsia"/>
      </w:rPr>
    </w:lvl>
    <w:lvl w:ilvl="8">
      <w:start w:val="1"/>
      <w:numFmt w:val="decimal"/>
      <w:lvlText w:val="%1.%2.%3.%4.%5.%6.%7.%8.%9"/>
      <w:lvlJc w:val="left"/>
      <w:pPr>
        <w:tabs>
          <w:tab w:val="left" w:pos="5271"/>
        </w:tabs>
        <w:ind w:left="4451" w:hanging="1700"/>
      </w:pPr>
      <w:rPr>
        <w:rFonts w:hint="eastAsia"/>
      </w:rPr>
    </w:lvl>
  </w:abstractNum>
  <w:abstractNum w:abstractNumId="13">
    <w:nsid w:val="11E07028"/>
    <w:multiLevelType w:val="multilevel"/>
    <w:tmpl w:val="11E07028"/>
    <w:lvl w:ilvl="0">
      <w:start w:val="1"/>
      <w:numFmt w:val="decimal"/>
      <w:suff w:val="nothing"/>
      <w:lvlText w:val="%1    "/>
      <w:lvlJc w:val="center"/>
      <w:pPr>
        <w:ind w:left="403" w:hanging="403"/>
      </w:pPr>
      <w:rPr>
        <w:rFonts w:hint="eastAsia"/>
      </w:rPr>
    </w:lvl>
    <w:lvl w:ilvl="1">
      <w:start w:val="1"/>
      <w:numFmt w:val="decimal"/>
      <w:suff w:val="nothing"/>
      <w:lvlText w:val="%1.%2    "/>
      <w:lvlJc w:val="left"/>
      <w:pPr>
        <w:ind w:left="0" w:firstLine="0"/>
      </w:pPr>
      <w:rPr>
        <w:rFonts w:hint="eastAsia"/>
      </w:rPr>
    </w:lvl>
    <w:lvl w:ilvl="2">
      <w:start w:val="1"/>
      <w:numFmt w:val="decimal"/>
      <w:suff w:val="nothing"/>
      <w:lvlText w:val="%1.%2.%3  "/>
      <w:lvlJc w:val="left"/>
      <w:pPr>
        <w:ind w:left="0" w:firstLine="567"/>
      </w:pPr>
      <w:rPr>
        <w:rFonts w:hint="eastAsia"/>
      </w:rPr>
    </w:lvl>
    <w:lvl w:ilvl="3">
      <w:start w:val="1"/>
      <w:numFmt w:val="decimal"/>
      <w:suff w:val="nothing"/>
      <w:lvlText w:val="%1.%2.%3.%4  "/>
      <w:lvlJc w:val="left"/>
      <w:pPr>
        <w:ind w:left="0" w:firstLine="567"/>
      </w:pPr>
      <w:rPr>
        <w:rFonts w:hint="eastAsia"/>
      </w:rPr>
    </w:lvl>
    <w:lvl w:ilvl="4">
      <w:start w:val="1"/>
      <w:numFmt w:val="decimal"/>
      <w:suff w:val="nothing"/>
      <w:lvlText w:val="(%5)"/>
      <w:lvlJc w:val="left"/>
      <w:pPr>
        <w:ind w:left="-27" w:firstLine="567"/>
      </w:pPr>
      <w:rPr>
        <w:rFonts w:hint="eastAsia"/>
      </w:rPr>
    </w:lvl>
    <w:lvl w:ilvl="5">
      <w:start w:val="1"/>
      <w:numFmt w:val="bullet"/>
      <w:suff w:val="nothing"/>
      <w:lvlText w:val=""/>
      <w:lvlJc w:val="left"/>
      <w:pPr>
        <w:ind w:left="0" w:firstLine="567"/>
      </w:pPr>
      <w:rPr>
        <w:rFonts w:ascii="Wingdings" w:hAnsi="Wingdings" w:hint="default"/>
        <w:b w:val="0"/>
        <w:i w:val="0"/>
        <w:color w:val="auto"/>
        <w:sz w:val="24"/>
      </w:rPr>
    </w:lvl>
    <w:lvl w:ilvl="6">
      <w:start w:val="1"/>
      <w:numFmt w:val="none"/>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4">
    <w:nsid w:val="136F3A5C"/>
    <w:multiLevelType w:val="multilevel"/>
    <w:tmpl w:val="136F3A5C"/>
    <w:lvl w:ilvl="0">
      <w:start w:val="8"/>
      <w:numFmt w:val="decimal"/>
      <w:suff w:val="space"/>
      <w:lvlText w:val="%1"/>
      <w:lvlJc w:val="left"/>
      <w:pPr>
        <w:ind w:left="0" w:firstLine="0"/>
      </w:pPr>
      <w:rPr>
        <w:rFonts w:ascii="黑体" w:eastAsia="黑体" w:hint="eastAsia"/>
        <w:b w:val="0"/>
        <w:bCs w:val="0"/>
        <w:i w:val="0"/>
        <w:iCs w:val="0"/>
        <w:color w:val="auto"/>
        <w:sz w:val="28"/>
        <w:szCs w:val="28"/>
      </w:rPr>
    </w:lvl>
    <w:lvl w:ilvl="1">
      <w:start w:val="1"/>
      <w:numFmt w:val="decimal"/>
      <w:suff w:val="space"/>
      <w:lvlText w:val="%1.%2"/>
      <w:lvlJc w:val="left"/>
      <w:pPr>
        <w:ind w:left="0" w:firstLine="0"/>
      </w:pPr>
      <w:rPr>
        <w:rFonts w:ascii="宋体" w:eastAsia="宋体" w:hint="eastAsia"/>
        <w:b w:val="0"/>
        <w:bCs w:val="0"/>
        <w:i w:val="0"/>
        <w:iCs w:val="0"/>
        <w:caps w:val="0"/>
        <w:smallCaps w:val="0"/>
        <w:strike w:val="0"/>
        <w:dstrike w:val="0"/>
        <w:vanish w:val="0"/>
        <w:color w:val="000000"/>
        <w:spacing w:val="0"/>
        <w:kern w:val="0"/>
        <w:position w:val="0"/>
        <w:u w:val="none"/>
        <w:vertAlign w:val="baseline"/>
      </w:rPr>
    </w:lvl>
    <w:lvl w:ilvl="2">
      <w:start w:val="1"/>
      <w:numFmt w:val="decimal"/>
      <w:pStyle w:val="31113CharChar3Char3-31111"/>
      <w:suff w:val="space"/>
      <w:lvlText w:val="%1.%2.%3"/>
      <w:lvlJc w:val="left"/>
      <w:pPr>
        <w:ind w:left="1080" w:firstLine="0"/>
      </w:pPr>
      <w:rPr>
        <w:rFonts w:hint="eastAsia"/>
        <w:b w:val="0"/>
        <w:bCs w:val="0"/>
        <w:i w:val="0"/>
        <w:iCs w:val="0"/>
        <w:color w:val="auto"/>
        <w:sz w:val="28"/>
        <w:szCs w:val="28"/>
      </w:rPr>
    </w:lvl>
    <w:lvl w:ilvl="3">
      <w:start w:val="1"/>
      <w:numFmt w:val="decimal"/>
      <w:pStyle w:val="21121122Char1Heading22051"/>
      <w:suff w:val="space"/>
      <w:lvlText w:val="%1.%2.%3.%4"/>
      <w:lvlJc w:val="left"/>
      <w:pPr>
        <w:ind w:left="0" w:firstLine="0"/>
      </w:pPr>
      <w:rPr>
        <w:rFonts w:ascii="宋体" w:eastAsia="宋体" w:hAnsi="Arial" w:hint="eastAsia"/>
        <w:b w:val="0"/>
        <w:bCs w:val="0"/>
        <w:i w:val="0"/>
        <w:iCs w:val="0"/>
        <w:color w:val="auto"/>
        <w:sz w:val="28"/>
        <w:szCs w:val="28"/>
      </w:rPr>
    </w:lvl>
    <w:lvl w:ilvl="4">
      <w:start w:val="1"/>
      <w:numFmt w:val="decimal"/>
      <w:suff w:val="space"/>
      <w:lvlText w:val="%5)"/>
      <w:lvlJc w:val="left"/>
      <w:pPr>
        <w:ind w:left="880" w:firstLine="200"/>
      </w:pPr>
      <w:rPr>
        <w:rFonts w:ascii="宋体" w:eastAsia="宋体" w:hAnsi="Times New Roman" w:hint="eastAsia"/>
        <w:b w:val="0"/>
        <w:bCs w:val="0"/>
        <w:i w:val="0"/>
        <w:iCs w:val="0"/>
        <w:sz w:val="28"/>
        <w:szCs w:val="28"/>
      </w:rPr>
    </w:lvl>
    <w:lvl w:ilvl="5">
      <w:start w:val="1"/>
      <w:numFmt w:val="decimal"/>
      <w:suff w:val="space"/>
      <w:lvlText w:val="(%6)"/>
      <w:lvlJc w:val="left"/>
      <w:pPr>
        <w:ind w:left="-102" w:firstLine="567"/>
      </w:pPr>
      <w:rPr>
        <w:rFonts w:ascii="宋体" w:eastAsia="宋体" w:hAnsi="Times New Roman" w:hint="eastAsia"/>
        <w:b w:val="0"/>
        <w:bCs w:val="0"/>
        <w:i w:val="0"/>
        <w:iCs w:val="0"/>
        <w:sz w:val="28"/>
        <w:szCs w:val="28"/>
      </w:rPr>
    </w:lvl>
    <w:lvl w:ilvl="6">
      <w:start w:val="1"/>
      <w:numFmt w:val="decimal"/>
      <w:lvlText w:val="%1.%2.%3.%4.%5.%6.%7"/>
      <w:lvlJc w:val="left"/>
      <w:pPr>
        <w:tabs>
          <w:tab w:val="left" w:pos="396"/>
        </w:tabs>
        <w:ind w:left="396" w:hanging="1296"/>
      </w:pPr>
      <w:rPr>
        <w:rFonts w:hint="eastAsia"/>
      </w:rPr>
    </w:lvl>
    <w:lvl w:ilvl="7">
      <w:start w:val="1"/>
      <w:numFmt w:val="decimal"/>
      <w:lvlText w:val="%1.%2.%3.%4.%5.%6.%7.%8"/>
      <w:lvlJc w:val="left"/>
      <w:pPr>
        <w:tabs>
          <w:tab w:val="left" w:pos="540"/>
        </w:tabs>
        <w:ind w:left="540" w:hanging="1440"/>
      </w:pPr>
      <w:rPr>
        <w:rFonts w:hint="eastAsia"/>
      </w:rPr>
    </w:lvl>
    <w:lvl w:ilvl="8">
      <w:start w:val="1"/>
      <w:numFmt w:val="decimal"/>
      <w:lvlText w:val="%1.%2.%3.%4.%5.%6.%7.%8.%9"/>
      <w:lvlJc w:val="left"/>
      <w:pPr>
        <w:tabs>
          <w:tab w:val="left" w:pos="684"/>
        </w:tabs>
        <w:ind w:left="684" w:hanging="1584"/>
      </w:pPr>
      <w:rPr>
        <w:rFonts w:hint="eastAsia"/>
      </w:rPr>
    </w:lvl>
  </w:abstractNum>
  <w:abstractNum w:abstractNumId="15">
    <w:nsid w:val="19935E18"/>
    <w:multiLevelType w:val="multilevel"/>
    <w:tmpl w:val="19935E18"/>
    <w:lvl w:ilvl="0">
      <w:start w:val="1"/>
      <w:numFmt w:val="decimal"/>
      <w:pStyle w:val="-1"/>
      <w:suff w:val="nothing"/>
      <w:lvlText w:val="%1  "/>
      <w:lvlJc w:val="left"/>
      <w:pPr>
        <w:ind w:left="0" w:firstLine="0"/>
      </w:pPr>
      <w:rPr>
        <w:rFonts w:ascii="Arial" w:hAnsi="Arial" w:hint="default"/>
      </w:rPr>
    </w:lvl>
    <w:lvl w:ilvl="1">
      <w:start w:val="1"/>
      <w:numFmt w:val="decimal"/>
      <w:lvlText w:val="%2)"/>
      <w:lvlJc w:val="left"/>
      <w:pPr>
        <w:tabs>
          <w:tab w:val="left" w:pos="420"/>
        </w:tabs>
        <w:ind w:left="420" w:hanging="420"/>
      </w:pPr>
      <w:rPr>
        <w:rFonts w:hint="default"/>
      </w:rPr>
    </w:lvl>
    <w:lvl w:ilvl="2">
      <w:start w:val="1"/>
      <w:numFmt w:val="decimal"/>
      <w:pStyle w:val="-32"/>
      <w:suff w:val="nothing"/>
      <w:lvlText w:val="%1.%2.%3  "/>
      <w:lvlJc w:val="left"/>
      <w:pPr>
        <w:ind w:left="0" w:firstLine="0"/>
      </w:pPr>
      <w:rPr>
        <w:rFonts w:ascii="Arial" w:hAnsi="Arial" w:hint="default"/>
      </w:rPr>
    </w:lvl>
    <w:lvl w:ilvl="3">
      <w:start w:val="1"/>
      <w:numFmt w:val="decimal"/>
      <w:pStyle w:val="-43"/>
      <w:suff w:val="nothing"/>
      <w:lvlText w:val="%1.%2.%3.%4  "/>
      <w:lvlJc w:val="left"/>
      <w:pPr>
        <w:ind w:left="0" w:firstLine="0"/>
      </w:pPr>
      <w:rPr>
        <w:rFonts w:ascii="Arial" w:hAnsi="Arial" w:hint="default"/>
      </w:rPr>
    </w:lvl>
    <w:lvl w:ilvl="4">
      <w:start w:val="1"/>
      <w:numFmt w:val="decimal"/>
      <w:pStyle w:val="-54"/>
      <w:suff w:val="nothing"/>
      <w:lvlText w:val="%1.%2.%3.%4.%5  "/>
      <w:lvlJc w:val="left"/>
      <w:pPr>
        <w:ind w:left="0" w:firstLine="0"/>
      </w:pPr>
      <w:rPr>
        <w:rFonts w:ascii="Arial" w:hAnsi="Arial" w:hint="default"/>
      </w:rPr>
    </w:lvl>
    <w:lvl w:ilvl="5">
      <w:start w:val="1"/>
      <w:numFmt w:val="none"/>
      <w:lvlRestart w:val="0"/>
      <w:suff w:val="nothing"/>
      <w:lvlText w:val=""/>
      <w:lvlJc w:val="left"/>
      <w:pPr>
        <w:ind w:left="0" w:firstLine="0"/>
      </w:pPr>
      <w:rPr>
        <w:rFonts w:hint="eastAsia"/>
      </w:rPr>
    </w:lvl>
    <w:lvl w:ilvl="6">
      <w:start w:val="1"/>
      <w:numFmt w:val="none"/>
      <w:lvlRestart w:val="0"/>
      <w:suff w:val="nothing"/>
      <w:lvlText w:val=""/>
      <w:lvlJc w:val="left"/>
      <w:pPr>
        <w:ind w:left="0" w:firstLine="0"/>
      </w:pPr>
      <w:rPr>
        <w:rFonts w:hint="eastAsia"/>
      </w:rPr>
    </w:lvl>
    <w:lvl w:ilvl="7">
      <w:start w:val="1"/>
      <w:numFmt w:val="none"/>
      <w:lvlRestart w:val="0"/>
      <w:suff w:val="nothing"/>
      <w:lvlText w:val=""/>
      <w:lvlJc w:val="left"/>
      <w:pPr>
        <w:ind w:left="0" w:firstLine="0"/>
      </w:pPr>
      <w:rPr>
        <w:rFonts w:hint="eastAsia"/>
      </w:rPr>
    </w:lvl>
    <w:lvl w:ilvl="8">
      <w:start w:val="1"/>
      <w:numFmt w:val="none"/>
      <w:lvlRestart w:val="0"/>
      <w:suff w:val="nothing"/>
      <w:lvlText w:val=""/>
      <w:lvlJc w:val="left"/>
      <w:pPr>
        <w:ind w:left="0" w:firstLine="0"/>
      </w:pPr>
      <w:rPr>
        <w:rFonts w:hint="eastAsia"/>
      </w:rPr>
    </w:lvl>
  </w:abstractNum>
  <w:abstractNum w:abstractNumId="16">
    <w:nsid w:val="1F83BC06"/>
    <w:multiLevelType w:val="singleLevel"/>
    <w:tmpl w:val="1F83BC06"/>
    <w:lvl w:ilvl="0">
      <w:start w:val="1"/>
      <w:numFmt w:val="decimal"/>
      <w:suff w:val="nothing"/>
      <w:lvlText w:val="（%1）"/>
      <w:lvlJc w:val="left"/>
    </w:lvl>
  </w:abstractNum>
  <w:abstractNum w:abstractNumId="17">
    <w:nsid w:val="210315E9"/>
    <w:multiLevelType w:val="multilevel"/>
    <w:tmpl w:val="210315E9"/>
    <w:lvl w:ilvl="0">
      <w:start w:val="1"/>
      <w:numFmt w:val="decimal"/>
      <w:lvlText w:val="%1."/>
      <w:lvlJc w:val="left"/>
      <w:pPr>
        <w:tabs>
          <w:tab w:val="left" w:pos="420"/>
        </w:tabs>
        <w:ind w:left="420" w:hanging="420"/>
      </w:pPr>
    </w:lvl>
    <w:lvl w:ilvl="1">
      <w:start w:val="1"/>
      <w:numFmt w:val="lowerLetter"/>
      <w:pStyle w:val="2"/>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8">
    <w:nsid w:val="25020385"/>
    <w:multiLevelType w:val="multilevel"/>
    <w:tmpl w:val="25020385"/>
    <w:lvl w:ilvl="0">
      <w:start w:val="1"/>
      <w:numFmt w:val="bullet"/>
      <w:pStyle w:val="bullets"/>
      <w:lvlText w:val=""/>
      <w:lvlJc w:val="left"/>
      <w:pPr>
        <w:tabs>
          <w:tab w:val="left" w:pos="1060"/>
        </w:tabs>
        <w:ind w:left="513" w:firstLine="207"/>
      </w:pPr>
      <w:rPr>
        <w:rFonts w:ascii="Symbol" w:hAnsi="Symbol" w:hint="default"/>
      </w:rPr>
    </w:lvl>
    <w:lvl w:ilvl="1">
      <w:start w:val="1"/>
      <w:numFmt w:val="lowerLetter"/>
      <w:lvlText w:val="%2."/>
      <w:lvlJc w:val="left"/>
      <w:pPr>
        <w:tabs>
          <w:tab w:val="left" w:pos="2187"/>
        </w:tabs>
        <w:ind w:left="2187" w:hanging="360"/>
      </w:pPr>
    </w:lvl>
    <w:lvl w:ilvl="2">
      <w:start w:val="1"/>
      <w:numFmt w:val="decimal"/>
      <w:lvlText w:val="%3)"/>
      <w:lvlJc w:val="left"/>
      <w:pPr>
        <w:tabs>
          <w:tab w:val="left" w:pos="3087"/>
        </w:tabs>
        <w:ind w:left="3087" w:hanging="360"/>
      </w:pPr>
      <w:rPr>
        <w:rFonts w:hint="default"/>
      </w:rPr>
    </w:lvl>
    <w:lvl w:ilvl="3">
      <w:start w:val="1"/>
      <w:numFmt w:val="decimal"/>
      <w:lvlText w:val="%4."/>
      <w:lvlJc w:val="left"/>
      <w:pPr>
        <w:tabs>
          <w:tab w:val="left" w:pos="3627"/>
        </w:tabs>
        <w:ind w:left="3627" w:hanging="360"/>
      </w:pPr>
    </w:lvl>
    <w:lvl w:ilvl="4">
      <w:start w:val="1"/>
      <w:numFmt w:val="lowerLetter"/>
      <w:lvlText w:val="%5."/>
      <w:lvlJc w:val="left"/>
      <w:pPr>
        <w:tabs>
          <w:tab w:val="left" w:pos="4347"/>
        </w:tabs>
        <w:ind w:left="4347" w:hanging="360"/>
      </w:pPr>
    </w:lvl>
    <w:lvl w:ilvl="5">
      <w:start w:val="1"/>
      <w:numFmt w:val="lowerRoman"/>
      <w:lvlText w:val="%6."/>
      <w:lvlJc w:val="right"/>
      <w:pPr>
        <w:tabs>
          <w:tab w:val="left" w:pos="5067"/>
        </w:tabs>
        <w:ind w:left="5067" w:hanging="180"/>
      </w:pPr>
    </w:lvl>
    <w:lvl w:ilvl="6">
      <w:start w:val="1"/>
      <w:numFmt w:val="decimal"/>
      <w:lvlText w:val="%7."/>
      <w:lvlJc w:val="left"/>
      <w:pPr>
        <w:tabs>
          <w:tab w:val="left" w:pos="5787"/>
        </w:tabs>
        <w:ind w:left="5787" w:hanging="360"/>
      </w:pPr>
    </w:lvl>
    <w:lvl w:ilvl="7">
      <w:start w:val="1"/>
      <w:numFmt w:val="lowerLetter"/>
      <w:lvlText w:val="%8."/>
      <w:lvlJc w:val="left"/>
      <w:pPr>
        <w:tabs>
          <w:tab w:val="left" w:pos="6507"/>
        </w:tabs>
        <w:ind w:left="6507" w:hanging="360"/>
      </w:pPr>
    </w:lvl>
    <w:lvl w:ilvl="8">
      <w:start w:val="1"/>
      <w:numFmt w:val="lowerRoman"/>
      <w:lvlText w:val="%9."/>
      <w:lvlJc w:val="right"/>
      <w:pPr>
        <w:tabs>
          <w:tab w:val="left" w:pos="7227"/>
        </w:tabs>
        <w:ind w:left="7227" w:hanging="180"/>
      </w:pPr>
    </w:lvl>
  </w:abstractNum>
  <w:abstractNum w:abstractNumId="19">
    <w:nsid w:val="26721228"/>
    <w:multiLevelType w:val="singleLevel"/>
    <w:tmpl w:val="26721228"/>
    <w:lvl w:ilvl="0">
      <w:start w:val="1"/>
      <w:numFmt w:val="bullet"/>
      <w:pStyle w:val="Style"/>
      <w:lvlText w:val=""/>
      <w:lvlJc w:val="left"/>
      <w:pPr>
        <w:tabs>
          <w:tab w:val="left" w:pos="360"/>
        </w:tabs>
        <w:ind w:left="360" w:hanging="360"/>
      </w:pPr>
      <w:rPr>
        <w:rFonts w:ascii="Symbol" w:hAnsi="Symbol" w:hint="default"/>
      </w:rPr>
    </w:lvl>
  </w:abstractNum>
  <w:abstractNum w:abstractNumId="20">
    <w:nsid w:val="2781F250"/>
    <w:multiLevelType w:val="singleLevel"/>
    <w:tmpl w:val="2781F250"/>
    <w:lvl w:ilvl="0">
      <w:start w:val="1"/>
      <w:numFmt w:val="decimal"/>
      <w:suff w:val="nothing"/>
      <w:lvlText w:val="（%1）"/>
      <w:lvlJc w:val="left"/>
    </w:lvl>
  </w:abstractNum>
  <w:abstractNum w:abstractNumId="21">
    <w:nsid w:val="285D2095"/>
    <w:multiLevelType w:val="singleLevel"/>
    <w:tmpl w:val="285D2095"/>
    <w:lvl w:ilvl="0">
      <w:start w:val="1"/>
      <w:numFmt w:val="decimal"/>
      <w:lvlText w:val="3.4.4.%1"/>
      <w:lvlJc w:val="left"/>
      <w:pPr>
        <w:tabs>
          <w:tab w:val="left" w:pos="420"/>
        </w:tabs>
        <w:ind w:left="425" w:hanging="425"/>
      </w:pPr>
      <w:rPr>
        <w:rFonts w:ascii="Times New Roman" w:hAnsi="Times New Roman" w:cs="Times New Roman" w:hint="default"/>
      </w:rPr>
    </w:lvl>
  </w:abstractNum>
  <w:abstractNum w:abstractNumId="22">
    <w:nsid w:val="295D07A5"/>
    <w:multiLevelType w:val="multilevel"/>
    <w:tmpl w:val="295D07A5"/>
    <w:lvl w:ilvl="0">
      <w:start w:val="1"/>
      <w:numFmt w:val="lowerLetter"/>
      <w:pStyle w:val="-10"/>
      <w:lvlText w:val="%1）"/>
      <w:lvlJc w:val="left"/>
      <w:pPr>
        <w:tabs>
          <w:tab w:val="left" w:pos="958"/>
        </w:tabs>
        <w:ind w:left="958" w:hanging="476"/>
      </w:pPr>
    </w:lvl>
    <w:lvl w:ilvl="1">
      <w:start w:val="1"/>
      <w:numFmt w:val="decimal"/>
      <w:pStyle w:val="-2"/>
      <w:lvlText w:val="%2）"/>
      <w:lvlJc w:val="left"/>
      <w:pPr>
        <w:tabs>
          <w:tab w:val="left" w:pos="1440"/>
        </w:tabs>
        <w:ind w:left="1440" w:hanging="482"/>
      </w:pPr>
      <w:rPr>
        <w:rFonts w:hint="default"/>
      </w:rPr>
    </w:lvl>
    <w:lvl w:ilvl="2">
      <w:start w:val="1"/>
      <w:numFmt w:val="none"/>
      <w:lvlRestart w:val="0"/>
      <w:suff w:val="nothing"/>
      <w:lvlText w:val=""/>
      <w:lvlJc w:val="left"/>
      <w:pPr>
        <w:ind w:left="0" w:firstLine="0"/>
      </w:pPr>
      <w:rPr>
        <w:rFonts w:hint="eastAsia"/>
      </w:rPr>
    </w:lvl>
    <w:lvl w:ilvl="3">
      <w:start w:val="1"/>
      <w:numFmt w:val="none"/>
      <w:lvlRestart w:val="0"/>
      <w:suff w:val="nothing"/>
      <w:lvlText w:val=""/>
      <w:lvlJc w:val="left"/>
      <w:pPr>
        <w:ind w:left="0" w:firstLine="0"/>
      </w:pPr>
      <w:rPr>
        <w:rFonts w:hint="eastAsia"/>
      </w:rPr>
    </w:lvl>
    <w:lvl w:ilvl="4">
      <w:start w:val="1"/>
      <w:numFmt w:val="none"/>
      <w:lvlRestart w:val="0"/>
      <w:suff w:val="nothing"/>
      <w:lvlText w:val=""/>
      <w:lvlJc w:val="left"/>
      <w:pPr>
        <w:ind w:left="0" w:firstLine="0"/>
      </w:pPr>
      <w:rPr>
        <w:rFonts w:hint="eastAsia"/>
      </w:rPr>
    </w:lvl>
    <w:lvl w:ilvl="5">
      <w:start w:val="1"/>
      <w:numFmt w:val="none"/>
      <w:lvlRestart w:val="0"/>
      <w:suff w:val="nothing"/>
      <w:lvlText w:val=""/>
      <w:lvlJc w:val="left"/>
      <w:pPr>
        <w:ind w:left="0" w:firstLine="0"/>
      </w:pPr>
      <w:rPr>
        <w:rFonts w:hint="eastAsia"/>
      </w:rPr>
    </w:lvl>
    <w:lvl w:ilvl="6">
      <w:start w:val="1"/>
      <w:numFmt w:val="none"/>
      <w:lvlRestart w:val="0"/>
      <w:suff w:val="nothing"/>
      <w:lvlText w:val=""/>
      <w:lvlJc w:val="left"/>
      <w:pPr>
        <w:ind w:left="0" w:firstLine="0"/>
      </w:pPr>
      <w:rPr>
        <w:rFonts w:hint="eastAsia"/>
      </w:rPr>
    </w:lvl>
    <w:lvl w:ilvl="7">
      <w:start w:val="1"/>
      <w:numFmt w:val="none"/>
      <w:lvlRestart w:val="0"/>
      <w:suff w:val="nothing"/>
      <w:lvlText w:val=""/>
      <w:lvlJc w:val="left"/>
      <w:pPr>
        <w:ind w:left="0" w:firstLine="0"/>
      </w:pPr>
      <w:rPr>
        <w:rFonts w:hint="eastAsia"/>
      </w:rPr>
    </w:lvl>
    <w:lvl w:ilvl="8">
      <w:start w:val="1"/>
      <w:numFmt w:val="none"/>
      <w:lvlRestart w:val="0"/>
      <w:suff w:val="nothing"/>
      <w:lvlText w:val=""/>
      <w:lvlJc w:val="left"/>
      <w:pPr>
        <w:ind w:left="0" w:firstLine="0"/>
      </w:pPr>
      <w:rPr>
        <w:rFonts w:hint="eastAsia"/>
      </w:rPr>
    </w:lvl>
  </w:abstractNum>
  <w:abstractNum w:abstractNumId="23">
    <w:nsid w:val="2BAE6758"/>
    <w:multiLevelType w:val="multilevel"/>
    <w:tmpl w:val="2BAE6758"/>
    <w:lvl w:ilvl="0">
      <w:start w:val="1"/>
      <w:numFmt w:val="decimal"/>
      <w:pStyle w:val="1"/>
      <w:lvlText w:val="%1"/>
      <w:lvlJc w:val="left"/>
      <w:pPr>
        <w:tabs>
          <w:tab w:val="left" w:pos="1418"/>
        </w:tabs>
        <w:ind w:left="1418" w:hanging="567"/>
      </w:pPr>
      <w:rPr>
        <w:rFonts w:hint="eastAsia"/>
      </w:rPr>
    </w:lvl>
    <w:lvl w:ilvl="1">
      <w:start w:val="1"/>
      <w:numFmt w:val="decimal"/>
      <w:lvlText w:val="%2"/>
      <w:lvlJc w:val="left"/>
      <w:pPr>
        <w:tabs>
          <w:tab w:val="left" w:pos="1418"/>
        </w:tabs>
        <w:ind w:left="1418" w:hanging="567"/>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4">
    <w:nsid w:val="3A9076B2"/>
    <w:multiLevelType w:val="multilevel"/>
    <w:tmpl w:val="3A9076B2"/>
    <w:lvl w:ilvl="0">
      <w:start w:val="2"/>
      <w:numFmt w:val="decimal"/>
      <w:lvlText w:val="%1、"/>
      <w:lvlJc w:val="left"/>
      <w:pPr>
        <w:tabs>
          <w:tab w:val="left" w:pos="929"/>
        </w:tabs>
        <w:ind w:left="929" w:hanging="360"/>
      </w:pPr>
      <w:rPr>
        <w:rFonts w:hint="eastAsia"/>
      </w:rPr>
    </w:lvl>
    <w:lvl w:ilvl="1">
      <w:start w:val="1"/>
      <w:numFmt w:val="lowerLetter"/>
      <w:lvlText w:val="%2)"/>
      <w:lvlJc w:val="left"/>
      <w:pPr>
        <w:tabs>
          <w:tab w:val="left" w:pos="1409"/>
        </w:tabs>
        <w:ind w:left="1409" w:hanging="420"/>
      </w:pPr>
    </w:lvl>
    <w:lvl w:ilvl="2">
      <w:start w:val="1"/>
      <w:numFmt w:val="lowerRoman"/>
      <w:lvlText w:val="%3."/>
      <w:lvlJc w:val="right"/>
      <w:pPr>
        <w:tabs>
          <w:tab w:val="left" w:pos="1829"/>
        </w:tabs>
        <w:ind w:left="1829" w:hanging="420"/>
      </w:pPr>
    </w:lvl>
    <w:lvl w:ilvl="3">
      <w:start w:val="1"/>
      <w:numFmt w:val="decimal"/>
      <w:pStyle w:val="21121122Char12Heading202"/>
      <w:lvlText w:val="%4."/>
      <w:lvlJc w:val="left"/>
      <w:pPr>
        <w:tabs>
          <w:tab w:val="left" w:pos="2249"/>
        </w:tabs>
        <w:ind w:left="2249" w:hanging="420"/>
      </w:pPr>
    </w:lvl>
    <w:lvl w:ilvl="4">
      <w:start w:val="1"/>
      <w:numFmt w:val="lowerLetter"/>
      <w:lvlText w:val="%5)"/>
      <w:lvlJc w:val="left"/>
      <w:pPr>
        <w:tabs>
          <w:tab w:val="left" w:pos="2669"/>
        </w:tabs>
        <w:ind w:left="2669" w:hanging="420"/>
      </w:pPr>
    </w:lvl>
    <w:lvl w:ilvl="5">
      <w:start w:val="1"/>
      <w:numFmt w:val="lowerRoman"/>
      <w:lvlText w:val="%6."/>
      <w:lvlJc w:val="right"/>
      <w:pPr>
        <w:tabs>
          <w:tab w:val="left" w:pos="3089"/>
        </w:tabs>
        <w:ind w:left="3089" w:hanging="420"/>
      </w:pPr>
    </w:lvl>
    <w:lvl w:ilvl="6">
      <w:start w:val="1"/>
      <w:numFmt w:val="decimal"/>
      <w:lvlText w:val="%7."/>
      <w:lvlJc w:val="left"/>
      <w:pPr>
        <w:tabs>
          <w:tab w:val="left" w:pos="3509"/>
        </w:tabs>
        <w:ind w:left="3509" w:hanging="420"/>
      </w:pPr>
    </w:lvl>
    <w:lvl w:ilvl="7">
      <w:start w:val="1"/>
      <w:numFmt w:val="lowerLetter"/>
      <w:lvlText w:val="%8)"/>
      <w:lvlJc w:val="left"/>
      <w:pPr>
        <w:tabs>
          <w:tab w:val="left" w:pos="3929"/>
        </w:tabs>
        <w:ind w:left="3929" w:hanging="420"/>
      </w:pPr>
    </w:lvl>
    <w:lvl w:ilvl="8">
      <w:start w:val="1"/>
      <w:numFmt w:val="lowerRoman"/>
      <w:lvlText w:val="%9."/>
      <w:lvlJc w:val="right"/>
      <w:pPr>
        <w:tabs>
          <w:tab w:val="left" w:pos="4349"/>
        </w:tabs>
        <w:ind w:left="4349" w:hanging="420"/>
      </w:pPr>
    </w:lvl>
  </w:abstractNum>
  <w:abstractNum w:abstractNumId="25">
    <w:nsid w:val="3ADE15F8"/>
    <w:multiLevelType w:val="multilevel"/>
    <w:tmpl w:val="3ADE15F8"/>
    <w:lvl w:ilvl="0">
      <w:start w:val="1"/>
      <w:numFmt w:val="decimal"/>
      <w:suff w:val="nothing"/>
      <w:lvlText w:val="（%1）"/>
      <w:lvlJc w:val="left"/>
      <w:pPr>
        <w:ind w:left="4053" w:firstLine="0"/>
      </w:pPr>
      <w:rPr>
        <w:rFonts w:hint="eastAsia"/>
      </w:rPr>
    </w:lvl>
    <w:lvl w:ilvl="1">
      <w:start w:val="1"/>
      <w:numFmt w:val="lowerLetter"/>
      <w:lvlText w:val="%2)"/>
      <w:lvlJc w:val="left"/>
      <w:pPr>
        <w:tabs>
          <w:tab w:val="left" w:pos="1320"/>
        </w:tabs>
        <w:ind w:left="1320" w:hanging="420"/>
      </w:pPr>
    </w:lvl>
    <w:lvl w:ilvl="2">
      <w:start w:val="1"/>
      <w:numFmt w:val="lowerRoman"/>
      <w:lvlText w:val="%3."/>
      <w:lvlJc w:val="right"/>
      <w:pPr>
        <w:tabs>
          <w:tab w:val="left" w:pos="1740"/>
        </w:tabs>
        <w:ind w:left="1740" w:hanging="420"/>
      </w:pPr>
    </w:lvl>
    <w:lvl w:ilvl="3">
      <w:start w:val="1"/>
      <w:numFmt w:val="decimal"/>
      <w:lvlText w:val="%4."/>
      <w:lvlJc w:val="left"/>
      <w:pPr>
        <w:tabs>
          <w:tab w:val="left" w:pos="2160"/>
        </w:tabs>
        <w:ind w:left="2160" w:hanging="420"/>
      </w:pPr>
    </w:lvl>
    <w:lvl w:ilvl="4">
      <w:start w:val="1"/>
      <w:numFmt w:val="lowerLetter"/>
      <w:lvlText w:val="%5)"/>
      <w:lvlJc w:val="left"/>
      <w:pPr>
        <w:tabs>
          <w:tab w:val="left" w:pos="2580"/>
        </w:tabs>
        <w:ind w:left="2580" w:hanging="420"/>
      </w:pPr>
    </w:lvl>
    <w:lvl w:ilvl="5">
      <w:start w:val="1"/>
      <w:numFmt w:val="lowerRoman"/>
      <w:lvlText w:val="%6."/>
      <w:lvlJc w:val="right"/>
      <w:pPr>
        <w:tabs>
          <w:tab w:val="left" w:pos="3000"/>
        </w:tabs>
        <w:ind w:left="3000" w:hanging="420"/>
      </w:pPr>
    </w:lvl>
    <w:lvl w:ilvl="6">
      <w:start w:val="1"/>
      <w:numFmt w:val="decimal"/>
      <w:lvlText w:val="%7."/>
      <w:lvlJc w:val="left"/>
      <w:pPr>
        <w:tabs>
          <w:tab w:val="left" w:pos="3420"/>
        </w:tabs>
        <w:ind w:left="3420" w:hanging="420"/>
      </w:pPr>
    </w:lvl>
    <w:lvl w:ilvl="7">
      <w:start w:val="1"/>
      <w:numFmt w:val="lowerLetter"/>
      <w:lvlText w:val="%8)"/>
      <w:lvlJc w:val="left"/>
      <w:pPr>
        <w:tabs>
          <w:tab w:val="left" w:pos="3840"/>
        </w:tabs>
        <w:ind w:left="3840" w:hanging="420"/>
      </w:pPr>
    </w:lvl>
    <w:lvl w:ilvl="8">
      <w:start w:val="1"/>
      <w:numFmt w:val="lowerRoman"/>
      <w:lvlText w:val="%9."/>
      <w:lvlJc w:val="right"/>
      <w:pPr>
        <w:tabs>
          <w:tab w:val="left" w:pos="4260"/>
        </w:tabs>
        <w:ind w:left="4260" w:hanging="420"/>
      </w:pPr>
    </w:lvl>
  </w:abstractNum>
  <w:abstractNum w:abstractNumId="26">
    <w:nsid w:val="3C490EB8"/>
    <w:multiLevelType w:val="multilevel"/>
    <w:tmpl w:val="3C490EB8"/>
    <w:lvl w:ilvl="0">
      <w:start w:val="1"/>
      <w:numFmt w:val="decimal"/>
      <w:pStyle w:val="-8"/>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7">
    <w:nsid w:val="3C8D2D9C"/>
    <w:multiLevelType w:val="multilevel"/>
    <w:tmpl w:val="3C8D2D9C"/>
    <w:lvl w:ilvl="0">
      <w:start w:val="1"/>
      <w:numFmt w:val="decimal"/>
      <w:suff w:val="nothing"/>
      <w:lvlText w:val="（%1）"/>
      <w:lvlJc w:val="left"/>
      <w:pPr>
        <w:ind w:left="480" w:firstLine="0"/>
      </w:pPr>
    </w:lvl>
    <w:lvl w:ilvl="1">
      <w:start w:val="1"/>
      <w:numFmt w:val="lowerLetter"/>
      <w:lvlText w:val="%2)"/>
      <w:lvlJc w:val="left"/>
      <w:pPr>
        <w:tabs>
          <w:tab w:val="left" w:pos="1320"/>
        </w:tabs>
        <w:ind w:left="1320" w:hanging="420"/>
      </w:pPr>
    </w:lvl>
    <w:lvl w:ilvl="2">
      <w:start w:val="1"/>
      <w:numFmt w:val="lowerRoman"/>
      <w:lvlText w:val="%3."/>
      <w:lvlJc w:val="right"/>
      <w:pPr>
        <w:tabs>
          <w:tab w:val="left" w:pos="1740"/>
        </w:tabs>
        <w:ind w:left="1740" w:hanging="420"/>
      </w:pPr>
    </w:lvl>
    <w:lvl w:ilvl="3">
      <w:start w:val="1"/>
      <w:numFmt w:val="decimal"/>
      <w:lvlText w:val="%4."/>
      <w:lvlJc w:val="left"/>
      <w:pPr>
        <w:tabs>
          <w:tab w:val="left" w:pos="2160"/>
        </w:tabs>
        <w:ind w:left="2160" w:hanging="420"/>
      </w:pPr>
    </w:lvl>
    <w:lvl w:ilvl="4">
      <w:start w:val="1"/>
      <w:numFmt w:val="lowerLetter"/>
      <w:lvlText w:val="%5)"/>
      <w:lvlJc w:val="left"/>
      <w:pPr>
        <w:tabs>
          <w:tab w:val="left" w:pos="2580"/>
        </w:tabs>
        <w:ind w:left="2580" w:hanging="420"/>
      </w:pPr>
    </w:lvl>
    <w:lvl w:ilvl="5">
      <w:start w:val="1"/>
      <w:numFmt w:val="lowerRoman"/>
      <w:lvlText w:val="%6."/>
      <w:lvlJc w:val="right"/>
      <w:pPr>
        <w:tabs>
          <w:tab w:val="left" w:pos="3000"/>
        </w:tabs>
        <w:ind w:left="3000" w:hanging="420"/>
      </w:pPr>
    </w:lvl>
    <w:lvl w:ilvl="6">
      <w:start w:val="1"/>
      <w:numFmt w:val="decimal"/>
      <w:lvlText w:val="%7."/>
      <w:lvlJc w:val="left"/>
      <w:pPr>
        <w:tabs>
          <w:tab w:val="left" w:pos="3420"/>
        </w:tabs>
        <w:ind w:left="3420" w:hanging="420"/>
      </w:pPr>
    </w:lvl>
    <w:lvl w:ilvl="7">
      <w:start w:val="1"/>
      <w:numFmt w:val="lowerLetter"/>
      <w:lvlText w:val="%8)"/>
      <w:lvlJc w:val="left"/>
      <w:pPr>
        <w:tabs>
          <w:tab w:val="left" w:pos="3840"/>
        </w:tabs>
        <w:ind w:left="3840" w:hanging="420"/>
      </w:pPr>
    </w:lvl>
    <w:lvl w:ilvl="8">
      <w:start w:val="1"/>
      <w:numFmt w:val="lowerRoman"/>
      <w:lvlText w:val="%9."/>
      <w:lvlJc w:val="right"/>
      <w:pPr>
        <w:tabs>
          <w:tab w:val="left" w:pos="4260"/>
        </w:tabs>
        <w:ind w:left="4260" w:hanging="420"/>
      </w:pPr>
    </w:lvl>
  </w:abstractNum>
  <w:abstractNum w:abstractNumId="28">
    <w:nsid w:val="3E9D5167"/>
    <w:multiLevelType w:val="multilevel"/>
    <w:tmpl w:val="3E9D5167"/>
    <w:lvl w:ilvl="0">
      <w:start w:val="1"/>
      <w:numFmt w:val="decimal"/>
      <w:pStyle w:val="Title8"/>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9">
    <w:nsid w:val="498E1CD4"/>
    <w:multiLevelType w:val="multilevel"/>
    <w:tmpl w:val="498E1CD4"/>
    <w:lvl w:ilvl="0">
      <w:start w:val="1"/>
      <w:numFmt w:val="bullet"/>
      <w:pStyle w:val="a0"/>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0">
    <w:nsid w:val="54D35C84"/>
    <w:multiLevelType w:val="multilevel"/>
    <w:tmpl w:val="54D35C84"/>
    <w:lvl w:ilvl="0">
      <w:start w:val="4"/>
      <w:numFmt w:val="decimal"/>
      <w:pStyle w:val="a1"/>
      <w:suff w:val="space"/>
      <w:lvlText w:val="%1"/>
      <w:lvlJc w:val="left"/>
      <w:pPr>
        <w:ind w:left="0" w:firstLine="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rPr>
    </w:lvl>
    <w:lvl w:ilvl="1">
      <w:start w:val="1"/>
      <w:numFmt w:val="decimal"/>
      <w:suff w:val="space"/>
      <w:lvlText w:val="%1.%2"/>
      <w:lvlJc w:val="left"/>
      <w:pPr>
        <w:ind w:left="0" w:firstLine="0"/>
      </w:pPr>
      <w:rPr>
        <w:rFonts w:ascii="黑体" w:eastAsia="黑体" w:cs="Times New Roman" w:hint="eastAsia"/>
        <w:b w:val="0"/>
        <w:bCs w:val="0"/>
        <w:i w:val="0"/>
        <w:iCs w:val="0"/>
        <w:caps w:val="0"/>
        <w:smallCaps w:val="0"/>
        <w:strike w:val="0"/>
        <w:dstrike w:val="0"/>
        <w:vanish w:val="0"/>
        <w:color w:val="000000"/>
        <w:spacing w:val="0"/>
        <w:position w:val="0"/>
        <w:sz w:val="28"/>
        <w:szCs w:val="28"/>
        <w:u w:val="none"/>
        <w:vertAlign w:val="baseline"/>
      </w:rPr>
    </w:lvl>
    <w:lvl w:ilvl="2">
      <w:start w:val="1"/>
      <w:numFmt w:val="decimal"/>
      <w:suff w:val="space"/>
      <w:lvlText w:val="%1.%2.%3"/>
      <w:lvlJc w:val="left"/>
      <w:pPr>
        <w:ind w:left="0" w:firstLine="0"/>
      </w:pPr>
      <w:rPr>
        <w:rFonts w:ascii="宋体" w:eastAsia="宋体" w:hint="eastAsia"/>
        <w:b w:val="0"/>
        <w:bCs w:val="0"/>
        <w:i w:val="0"/>
        <w:iCs w:val="0"/>
        <w:caps w:val="0"/>
        <w:smallCaps w:val="0"/>
        <w:strike w:val="0"/>
        <w:color w:val="auto"/>
        <w:spacing w:val="0"/>
        <w:sz w:val="28"/>
        <w:szCs w:val="28"/>
        <w:u w:val="none"/>
      </w:rPr>
    </w:lvl>
    <w:lvl w:ilvl="3">
      <w:start w:val="1"/>
      <w:numFmt w:val="decimal"/>
      <w:suff w:val="space"/>
      <w:lvlText w:val="%1.%2.%3.%4"/>
      <w:lvlJc w:val="left"/>
      <w:pPr>
        <w:ind w:left="0" w:firstLine="0"/>
      </w:pPr>
      <w:rPr>
        <w:rFonts w:ascii="宋体" w:eastAsia="宋体" w:hAnsi="Arial" w:hint="eastAsia"/>
        <w:b w:val="0"/>
        <w:bCs w:val="0"/>
        <w:i w:val="0"/>
        <w:iCs w:val="0"/>
        <w:color w:val="auto"/>
        <w:sz w:val="28"/>
        <w:szCs w:val="28"/>
      </w:rPr>
    </w:lvl>
    <w:lvl w:ilvl="4">
      <w:start w:val="1"/>
      <w:numFmt w:val="decimal"/>
      <w:suff w:val="space"/>
      <w:lvlText w:val="%5)"/>
      <w:lvlJc w:val="left"/>
      <w:pPr>
        <w:ind w:left="0" w:firstLine="567"/>
      </w:pPr>
      <w:rPr>
        <w:rFonts w:ascii="宋体" w:eastAsia="宋体" w:hint="eastAsia"/>
        <w:b w:val="0"/>
        <w:i w:val="0"/>
        <w:sz w:val="28"/>
        <w:szCs w:val="28"/>
      </w:rPr>
    </w:lvl>
    <w:lvl w:ilvl="5">
      <w:start w:val="1"/>
      <w:numFmt w:val="decimal"/>
      <w:suff w:val="space"/>
      <w:lvlText w:val="(%6)"/>
      <w:lvlJc w:val="left"/>
      <w:pPr>
        <w:ind w:left="0" w:firstLine="567"/>
      </w:pPr>
      <w:rPr>
        <w:rFonts w:ascii="宋体" w:eastAsia="宋体" w:hint="eastAsia"/>
        <w:b w:val="0"/>
        <w:bCs w:val="0"/>
        <w:i w:val="0"/>
        <w:iCs w:val="0"/>
        <w:sz w:val="28"/>
        <w:szCs w:val="28"/>
      </w:rPr>
    </w:lvl>
    <w:lvl w:ilvl="6">
      <w:start w:val="1"/>
      <w:numFmt w:val="decimal"/>
      <w:lvlText w:val="%1.%2.%3.%4.%5.%6.%7"/>
      <w:lvlJc w:val="left"/>
      <w:pPr>
        <w:tabs>
          <w:tab w:val="left" w:pos="2616"/>
        </w:tabs>
        <w:ind w:left="2616" w:hanging="1296"/>
      </w:pPr>
      <w:rPr>
        <w:rFonts w:hint="eastAsia"/>
      </w:rPr>
    </w:lvl>
    <w:lvl w:ilvl="7">
      <w:start w:val="1"/>
      <w:numFmt w:val="decimal"/>
      <w:lvlText w:val="%1.%2.%3.%4.%5.%6.%7.%8"/>
      <w:lvlJc w:val="left"/>
      <w:pPr>
        <w:tabs>
          <w:tab w:val="left" w:pos="2760"/>
        </w:tabs>
        <w:ind w:left="2760" w:hanging="1440"/>
      </w:pPr>
      <w:rPr>
        <w:rFonts w:hint="eastAsia"/>
      </w:rPr>
    </w:lvl>
    <w:lvl w:ilvl="8">
      <w:start w:val="1"/>
      <w:numFmt w:val="decimal"/>
      <w:lvlText w:val="%1.%2.%3.%4.%5.%6.%7.%8.%9"/>
      <w:lvlJc w:val="left"/>
      <w:pPr>
        <w:tabs>
          <w:tab w:val="left" w:pos="2904"/>
        </w:tabs>
        <w:ind w:left="2904" w:hanging="1584"/>
      </w:pPr>
      <w:rPr>
        <w:rFonts w:hint="eastAsia"/>
      </w:rPr>
    </w:lvl>
  </w:abstractNum>
  <w:abstractNum w:abstractNumId="31">
    <w:nsid w:val="5BAD4514"/>
    <w:multiLevelType w:val="multilevel"/>
    <w:tmpl w:val="5BAD4514"/>
    <w:lvl w:ilvl="0">
      <w:start w:val="1"/>
      <w:numFmt w:val="decimal"/>
      <w:suff w:val="nothing"/>
      <w:lvlText w:val="（%1）"/>
      <w:lvlJc w:val="left"/>
      <w:pPr>
        <w:ind w:left="480" w:firstLine="0"/>
      </w:pPr>
    </w:lvl>
    <w:lvl w:ilvl="1">
      <w:start w:val="1"/>
      <w:numFmt w:val="lowerLetter"/>
      <w:lvlText w:val="%2)"/>
      <w:lvlJc w:val="left"/>
      <w:pPr>
        <w:tabs>
          <w:tab w:val="left" w:pos="1320"/>
        </w:tabs>
        <w:ind w:left="1320" w:hanging="420"/>
      </w:pPr>
    </w:lvl>
    <w:lvl w:ilvl="2">
      <w:start w:val="1"/>
      <w:numFmt w:val="lowerRoman"/>
      <w:lvlText w:val="%3."/>
      <w:lvlJc w:val="right"/>
      <w:pPr>
        <w:tabs>
          <w:tab w:val="left" w:pos="1740"/>
        </w:tabs>
        <w:ind w:left="1740" w:hanging="420"/>
      </w:pPr>
    </w:lvl>
    <w:lvl w:ilvl="3">
      <w:start w:val="1"/>
      <w:numFmt w:val="decimal"/>
      <w:lvlText w:val="%4."/>
      <w:lvlJc w:val="left"/>
      <w:pPr>
        <w:tabs>
          <w:tab w:val="left" w:pos="2160"/>
        </w:tabs>
        <w:ind w:left="2160" w:hanging="420"/>
      </w:pPr>
    </w:lvl>
    <w:lvl w:ilvl="4">
      <w:start w:val="1"/>
      <w:numFmt w:val="lowerLetter"/>
      <w:lvlText w:val="%5)"/>
      <w:lvlJc w:val="left"/>
      <w:pPr>
        <w:tabs>
          <w:tab w:val="left" w:pos="2580"/>
        </w:tabs>
        <w:ind w:left="2580" w:hanging="420"/>
      </w:pPr>
    </w:lvl>
    <w:lvl w:ilvl="5">
      <w:start w:val="1"/>
      <w:numFmt w:val="lowerRoman"/>
      <w:lvlText w:val="%6."/>
      <w:lvlJc w:val="right"/>
      <w:pPr>
        <w:tabs>
          <w:tab w:val="left" w:pos="3000"/>
        </w:tabs>
        <w:ind w:left="3000" w:hanging="420"/>
      </w:pPr>
    </w:lvl>
    <w:lvl w:ilvl="6">
      <w:start w:val="1"/>
      <w:numFmt w:val="decimal"/>
      <w:lvlText w:val="%7."/>
      <w:lvlJc w:val="left"/>
      <w:pPr>
        <w:tabs>
          <w:tab w:val="left" w:pos="3420"/>
        </w:tabs>
        <w:ind w:left="3420" w:hanging="420"/>
      </w:pPr>
    </w:lvl>
    <w:lvl w:ilvl="7">
      <w:start w:val="1"/>
      <w:numFmt w:val="lowerLetter"/>
      <w:lvlText w:val="%8)"/>
      <w:lvlJc w:val="left"/>
      <w:pPr>
        <w:tabs>
          <w:tab w:val="left" w:pos="3840"/>
        </w:tabs>
        <w:ind w:left="3840" w:hanging="420"/>
      </w:pPr>
    </w:lvl>
    <w:lvl w:ilvl="8">
      <w:start w:val="1"/>
      <w:numFmt w:val="lowerRoman"/>
      <w:lvlText w:val="%9."/>
      <w:lvlJc w:val="right"/>
      <w:pPr>
        <w:tabs>
          <w:tab w:val="left" w:pos="4260"/>
        </w:tabs>
        <w:ind w:left="4260" w:hanging="420"/>
      </w:pPr>
    </w:lvl>
  </w:abstractNum>
  <w:abstractNum w:abstractNumId="32">
    <w:nsid w:val="5EA80C66"/>
    <w:multiLevelType w:val="multilevel"/>
    <w:tmpl w:val="5EA80C66"/>
    <w:lvl w:ilvl="0">
      <w:start w:val="5"/>
      <w:numFmt w:val="decimal"/>
      <w:pStyle w:val="21121122Char12Heading2"/>
      <w:suff w:val="space"/>
      <w:lvlText w:val="%1"/>
      <w:lvlJc w:val="left"/>
      <w:pPr>
        <w:ind w:left="0" w:firstLine="0"/>
      </w:pPr>
      <w:rPr>
        <w:rFonts w:ascii="黑体" w:eastAsia="黑体" w:hint="eastAsia"/>
        <w:b w:val="0"/>
        <w:bCs w:val="0"/>
        <w:i w:val="0"/>
        <w:iCs w:val="0"/>
        <w:color w:val="auto"/>
        <w:sz w:val="28"/>
        <w:szCs w:val="28"/>
      </w:rPr>
    </w:lvl>
    <w:lvl w:ilvl="1">
      <w:start w:val="1"/>
      <w:numFmt w:val="decimal"/>
      <w:suff w:val="space"/>
      <w:lvlText w:val="%1.%2"/>
      <w:lvlJc w:val="left"/>
      <w:pPr>
        <w:ind w:left="-629" w:firstLine="0"/>
      </w:pPr>
      <w:rPr>
        <w:rFonts w:ascii="黑体" w:eastAsia="黑体" w:hint="eastAsia"/>
        <w:b w:val="0"/>
        <w:bCs w:val="0"/>
        <w:i w:val="0"/>
        <w:iCs w:val="0"/>
        <w:color w:val="auto"/>
        <w:sz w:val="28"/>
        <w:szCs w:val="28"/>
      </w:rPr>
    </w:lvl>
    <w:lvl w:ilvl="2">
      <w:start w:val="1"/>
      <w:numFmt w:val="decimal"/>
      <w:suff w:val="space"/>
      <w:lvlText w:val="%1.%2.%3"/>
      <w:lvlJc w:val="left"/>
      <w:pPr>
        <w:ind w:left="-629" w:firstLine="0"/>
      </w:pPr>
      <w:rPr>
        <w:rFonts w:ascii="宋体" w:eastAsia="宋体" w:hint="eastAsia"/>
        <w:b w:val="0"/>
        <w:bCs w:val="0"/>
        <w:i w:val="0"/>
        <w:iCs w:val="0"/>
        <w:color w:val="auto"/>
        <w:sz w:val="28"/>
        <w:szCs w:val="28"/>
      </w:rPr>
    </w:lvl>
    <w:lvl w:ilvl="3">
      <w:start w:val="1"/>
      <w:numFmt w:val="decimal"/>
      <w:suff w:val="space"/>
      <w:lvlText w:val="%1.%2.%3.%4"/>
      <w:lvlJc w:val="left"/>
      <w:pPr>
        <w:ind w:left="532" w:firstLine="0"/>
      </w:pPr>
      <w:rPr>
        <w:rFonts w:ascii="宋体" w:eastAsia="宋体" w:hAnsi="Arial" w:hint="eastAsia"/>
        <w:b w:val="0"/>
        <w:bCs w:val="0"/>
        <w:i w:val="0"/>
        <w:iCs w:val="0"/>
        <w:color w:val="auto"/>
        <w:sz w:val="28"/>
        <w:szCs w:val="28"/>
      </w:rPr>
    </w:lvl>
    <w:lvl w:ilvl="4">
      <w:start w:val="1"/>
      <w:numFmt w:val="decimal"/>
      <w:suff w:val="space"/>
      <w:lvlText w:val="%5)"/>
      <w:lvlJc w:val="left"/>
      <w:pPr>
        <w:ind w:left="-629" w:firstLine="567"/>
      </w:pPr>
      <w:rPr>
        <w:rFonts w:ascii="宋体" w:eastAsia="宋体" w:hAnsi="Times New Roman" w:hint="eastAsia"/>
        <w:b w:val="0"/>
        <w:bCs w:val="0"/>
        <w:i w:val="0"/>
        <w:iCs w:val="0"/>
        <w:sz w:val="28"/>
        <w:szCs w:val="28"/>
      </w:rPr>
    </w:lvl>
    <w:lvl w:ilvl="5">
      <w:start w:val="1"/>
      <w:numFmt w:val="decimal"/>
      <w:suff w:val="space"/>
      <w:lvlText w:val="(%6)"/>
      <w:lvlJc w:val="left"/>
      <w:pPr>
        <w:ind w:left="-731" w:firstLine="567"/>
      </w:pPr>
      <w:rPr>
        <w:rFonts w:ascii="宋体" w:eastAsia="宋体" w:hint="eastAsia"/>
        <w:b w:val="0"/>
        <w:bCs w:val="0"/>
        <w:i w:val="0"/>
        <w:iCs w:val="0"/>
        <w:sz w:val="28"/>
        <w:szCs w:val="28"/>
      </w:rPr>
    </w:lvl>
    <w:lvl w:ilvl="6">
      <w:start w:val="1"/>
      <w:numFmt w:val="decimal"/>
      <w:lvlText w:val="%1.%2.%3.%4.%5.%6.%7"/>
      <w:lvlJc w:val="left"/>
      <w:pPr>
        <w:tabs>
          <w:tab w:val="left" w:pos="-233"/>
        </w:tabs>
        <w:ind w:left="-233" w:hanging="1296"/>
      </w:pPr>
      <w:rPr>
        <w:rFonts w:hint="eastAsia"/>
      </w:rPr>
    </w:lvl>
    <w:lvl w:ilvl="7">
      <w:start w:val="1"/>
      <w:numFmt w:val="decimal"/>
      <w:lvlText w:val="%1.%2.%3.%4.%5.%6.%7.%8"/>
      <w:lvlJc w:val="left"/>
      <w:pPr>
        <w:tabs>
          <w:tab w:val="left" w:pos="-89"/>
        </w:tabs>
        <w:ind w:left="-89" w:hanging="1440"/>
      </w:pPr>
      <w:rPr>
        <w:rFonts w:hint="eastAsia"/>
      </w:rPr>
    </w:lvl>
    <w:lvl w:ilvl="8">
      <w:start w:val="1"/>
      <w:numFmt w:val="decimal"/>
      <w:lvlText w:val="%1.%2.%3.%4.%5.%6.%7.%8.%9"/>
      <w:lvlJc w:val="left"/>
      <w:pPr>
        <w:tabs>
          <w:tab w:val="left" w:pos="55"/>
        </w:tabs>
        <w:ind w:left="55" w:hanging="1584"/>
      </w:pPr>
      <w:rPr>
        <w:rFonts w:hint="eastAsia"/>
      </w:rPr>
    </w:lvl>
  </w:abstractNum>
  <w:abstractNum w:abstractNumId="33">
    <w:nsid w:val="62392910"/>
    <w:multiLevelType w:val="singleLevel"/>
    <w:tmpl w:val="62392910"/>
    <w:lvl w:ilvl="0">
      <w:start w:val="1"/>
      <w:numFmt w:val="decimal"/>
      <w:suff w:val="nothing"/>
      <w:lvlText w:val="（%1）"/>
      <w:lvlJc w:val="left"/>
    </w:lvl>
  </w:abstractNum>
  <w:abstractNum w:abstractNumId="34">
    <w:nsid w:val="6CEA2025"/>
    <w:multiLevelType w:val="multilevel"/>
    <w:tmpl w:val="6CEA2025"/>
    <w:lvl w:ilvl="0">
      <w:start w:val="1"/>
      <w:numFmt w:val="none"/>
      <w:pStyle w:val="a2"/>
      <w:suff w:val="nothing"/>
      <w:lvlText w:val="%1"/>
      <w:lvlJc w:val="left"/>
      <w:pPr>
        <w:ind w:left="0" w:firstLine="0"/>
      </w:pPr>
      <w:rPr>
        <w:rFonts w:ascii="Times New Roman" w:hAnsi="Times New Roman" w:hint="default"/>
        <w:b/>
        <w:i w:val="0"/>
        <w:sz w:val="21"/>
      </w:rPr>
    </w:lvl>
    <w:lvl w:ilvl="1">
      <w:start w:val="1"/>
      <w:numFmt w:val="decimal"/>
      <w:pStyle w:val="a3"/>
      <w:suff w:val="nothing"/>
      <w:lvlText w:val="%1%2　"/>
      <w:lvlJc w:val="left"/>
      <w:pPr>
        <w:ind w:left="0" w:firstLine="0"/>
      </w:pPr>
      <w:rPr>
        <w:rFonts w:ascii="黑体" w:eastAsia="黑体" w:hAnsi="Times New Roman" w:hint="eastAsia"/>
        <w:b w:val="0"/>
        <w:i w:val="0"/>
        <w:sz w:val="21"/>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35">
    <w:nsid w:val="72D47C64"/>
    <w:multiLevelType w:val="multilevel"/>
    <w:tmpl w:val="72D47C64"/>
    <w:lvl w:ilvl="0">
      <w:start w:val="1"/>
      <w:numFmt w:val="lowerLetter"/>
      <w:pStyle w:val="a4"/>
      <w:suff w:val="nothing"/>
      <w:lvlText w:val="　　%1)　"/>
      <w:lvlJc w:val="left"/>
      <w:pPr>
        <w:ind w:left="839" w:hanging="839"/>
      </w:pPr>
      <w:rPr>
        <w:color w:val="000000"/>
        <w:sz w:val="24"/>
        <w:szCs w:val="24"/>
      </w:rPr>
    </w:lvl>
    <w:lvl w:ilvl="1">
      <w:start w:val="1"/>
      <w:numFmt w:val="decimal"/>
      <w:suff w:val="nothing"/>
      <w:lvlText w:val="%1.%2　"/>
      <w:lvlJc w:val="left"/>
      <w:pPr>
        <w:ind w:left="-1470" w:firstLine="0"/>
      </w:pPr>
      <w:rPr>
        <w:rFonts w:hint="eastAsia"/>
      </w:rPr>
    </w:lvl>
    <w:lvl w:ilvl="2">
      <w:start w:val="1"/>
      <w:numFmt w:val="decimal"/>
      <w:suff w:val="nothing"/>
      <w:lvlText w:val="%1.%2.%3　"/>
      <w:lvlJc w:val="left"/>
      <w:pPr>
        <w:ind w:left="-1470" w:firstLine="0"/>
      </w:pPr>
      <w:rPr>
        <w:rFonts w:hint="eastAsia"/>
      </w:rPr>
    </w:lvl>
    <w:lvl w:ilvl="3">
      <w:start w:val="1"/>
      <w:numFmt w:val="decimal"/>
      <w:suff w:val="nothing"/>
      <w:lvlText w:val="%1.%2.%3.%4　"/>
      <w:lvlJc w:val="left"/>
      <w:pPr>
        <w:ind w:left="210" w:firstLine="0"/>
      </w:pPr>
      <w:rPr>
        <w:rFonts w:hint="eastAsia"/>
      </w:rPr>
    </w:lvl>
    <w:lvl w:ilvl="4">
      <w:start w:val="1"/>
      <w:numFmt w:val="decimal"/>
      <w:suff w:val="nothing"/>
      <w:lvlText w:val="%1.%2.%3.%4.%5　"/>
      <w:lvlJc w:val="left"/>
      <w:pPr>
        <w:ind w:left="-1470" w:firstLine="0"/>
      </w:pPr>
      <w:rPr>
        <w:rFonts w:hint="eastAsia"/>
      </w:rPr>
    </w:lvl>
    <w:lvl w:ilvl="5">
      <w:start w:val="1"/>
      <w:numFmt w:val="decimal"/>
      <w:lvlText w:val="%1.%2.%3.%4.%5.%6"/>
      <w:lvlJc w:val="left"/>
      <w:pPr>
        <w:tabs>
          <w:tab w:val="left" w:pos="-318"/>
        </w:tabs>
        <w:ind w:left="-318" w:hanging="1152"/>
      </w:pPr>
      <w:rPr>
        <w:rFonts w:hint="eastAsia"/>
      </w:rPr>
    </w:lvl>
    <w:lvl w:ilvl="6">
      <w:start w:val="1"/>
      <w:numFmt w:val="decimal"/>
      <w:lvlText w:val="%1.%2.%3.%4.%5.%6.%7"/>
      <w:lvlJc w:val="left"/>
      <w:pPr>
        <w:tabs>
          <w:tab w:val="left" w:pos="-174"/>
        </w:tabs>
        <w:ind w:left="-174" w:hanging="1296"/>
      </w:pPr>
      <w:rPr>
        <w:rFonts w:hint="eastAsia"/>
      </w:rPr>
    </w:lvl>
    <w:lvl w:ilvl="7">
      <w:start w:val="1"/>
      <w:numFmt w:val="decimal"/>
      <w:lvlText w:val="%1.%2.%3.%4.%5.%6.%7.%8"/>
      <w:lvlJc w:val="left"/>
      <w:pPr>
        <w:tabs>
          <w:tab w:val="left" w:pos="-30"/>
        </w:tabs>
        <w:ind w:left="-30" w:hanging="1440"/>
      </w:pPr>
      <w:rPr>
        <w:rFonts w:hint="eastAsia"/>
      </w:rPr>
    </w:lvl>
    <w:lvl w:ilvl="8">
      <w:start w:val="1"/>
      <w:numFmt w:val="decimal"/>
      <w:lvlText w:val="%1.%2.%3.%4.%5.%6.%7.%8.%9"/>
      <w:lvlJc w:val="left"/>
      <w:pPr>
        <w:tabs>
          <w:tab w:val="left" w:pos="114"/>
        </w:tabs>
        <w:ind w:left="114" w:hanging="1584"/>
      </w:pPr>
      <w:rPr>
        <w:rFonts w:hint="eastAsia"/>
      </w:rPr>
    </w:lvl>
  </w:abstractNum>
  <w:abstractNum w:abstractNumId="36">
    <w:nsid w:val="77387A74"/>
    <w:multiLevelType w:val="multilevel"/>
    <w:tmpl w:val="77387A74"/>
    <w:lvl w:ilvl="0">
      <w:start w:val="1"/>
      <w:numFmt w:val="decimal"/>
      <w:pStyle w:val="a5"/>
      <w:lvlText w:val="%1."/>
      <w:lvlJc w:val="left"/>
      <w:pPr>
        <w:tabs>
          <w:tab w:val="left" w:pos="525"/>
        </w:tabs>
        <w:ind w:left="525" w:hanging="420"/>
      </w:pPr>
    </w:lvl>
    <w:lvl w:ilvl="1">
      <w:start w:val="1"/>
      <w:numFmt w:val="lowerLetter"/>
      <w:lvlText w:val="%2)"/>
      <w:lvlJc w:val="left"/>
      <w:pPr>
        <w:tabs>
          <w:tab w:val="left" w:pos="930"/>
        </w:tabs>
        <w:ind w:left="930" w:hanging="405"/>
      </w:pPr>
      <w:rPr>
        <w:rFonts w:hint="default"/>
      </w:rPr>
    </w:lvl>
    <w:lvl w:ilvl="2">
      <w:start w:val="1"/>
      <w:numFmt w:val="lowerRoman"/>
      <w:lvlText w:val="%3."/>
      <w:lvlJc w:val="right"/>
      <w:pPr>
        <w:tabs>
          <w:tab w:val="left" w:pos="1365"/>
        </w:tabs>
        <w:ind w:left="1365" w:hanging="420"/>
      </w:pPr>
    </w:lvl>
    <w:lvl w:ilvl="3">
      <w:start w:val="1"/>
      <w:numFmt w:val="decimal"/>
      <w:lvlText w:val="%4."/>
      <w:lvlJc w:val="left"/>
      <w:pPr>
        <w:tabs>
          <w:tab w:val="left" w:pos="1785"/>
        </w:tabs>
        <w:ind w:left="1785" w:hanging="420"/>
      </w:pPr>
    </w:lvl>
    <w:lvl w:ilvl="4">
      <w:start w:val="1"/>
      <w:numFmt w:val="lowerLetter"/>
      <w:lvlText w:val="%5)"/>
      <w:lvlJc w:val="left"/>
      <w:pPr>
        <w:tabs>
          <w:tab w:val="left" w:pos="2205"/>
        </w:tabs>
        <w:ind w:left="2205" w:hanging="420"/>
      </w:pPr>
    </w:lvl>
    <w:lvl w:ilvl="5">
      <w:start w:val="1"/>
      <w:numFmt w:val="lowerRoman"/>
      <w:lvlText w:val="%6."/>
      <w:lvlJc w:val="right"/>
      <w:pPr>
        <w:tabs>
          <w:tab w:val="left" w:pos="2625"/>
        </w:tabs>
        <w:ind w:left="2625" w:hanging="420"/>
      </w:pPr>
    </w:lvl>
    <w:lvl w:ilvl="6">
      <w:start w:val="1"/>
      <w:numFmt w:val="decimal"/>
      <w:lvlText w:val="%7."/>
      <w:lvlJc w:val="left"/>
      <w:pPr>
        <w:tabs>
          <w:tab w:val="left" w:pos="3045"/>
        </w:tabs>
        <w:ind w:left="3045" w:hanging="420"/>
      </w:pPr>
    </w:lvl>
    <w:lvl w:ilvl="7">
      <w:start w:val="1"/>
      <w:numFmt w:val="lowerLetter"/>
      <w:lvlText w:val="%8)"/>
      <w:lvlJc w:val="left"/>
      <w:pPr>
        <w:tabs>
          <w:tab w:val="left" w:pos="3465"/>
        </w:tabs>
        <w:ind w:left="3465" w:hanging="420"/>
      </w:pPr>
    </w:lvl>
    <w:lvl w:ilvl="8">
      <w:start w:val="1"/>
      <w:numFmt w:val="lowerRoman"/>
      <w:lvlText w:val="%9."/>
      <w:lvlJc w:val="right"/>
      <w:pPr>
        <w:tabs>
          <w:tab w:val="left" w:pos="3885"/>
        </w:tabs>
        <w:ind w:left="3885" w:hanging="420"/>
      </w:pPr>
    </w:lvl>
  </w:abstractNum>
  <w:abstractNum w:abstractNumId="37">
    <w:nsid w:val="7B1528FF"/>
    <w:multiLevelType w:val="multilevel"/>
    <w:tmpl w:val="7B1528FF"/>
    <w:lvl w:ilvl="0">
      <w:start w:val="1"/>
      <w:numFmt w:val="chineseCountingThousand"/>
      <w:pStyle w:val="76"/>
      <w:lvlText w:val="%1、"/>
      <w:lvlJc w:val="left"/>
      <w:pPr>
        <w:tabs>
          <w:tab w:val="left" w:pos="4686"/>
        </w:tabs>
        <w:ind w:left="4026" w:hanging="420"/>
      </w:pPr>
      <w:rPr>
        <w:rFonts w:ascii="Times New Roman" w:eastAsia="黑体" w:hAnsi="Times New Roman" w:hint="default"/>
        <w:b/>
        <w:i w:val="0"/>
        <w:sz w:val="21"/>
        <w:szCs w:val="21"/>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8">
    <w:nsid w:val="7EBF2BEB"/>
    <w:multiLevelType w:val="multilevel"/>
    <w:tmpl w:val="7EBF2BEB"/>
    <w:lvl w:ilvl="0">
      <w:start w:val="7"/>
      <w:numFmt w:val="decimal"/>
      <w:pStyle w:val="30"/>
      <w:lvlText w:val="%1"/>
      <w:lvlJc w:val="left"/>
      <w:pPr>
        <w:tabs>
          <w:tab w:val="left" w:pos="585"/>
        </w:tabs>
        <w:ind w:left="585" w:hanging="585"/>
      </w:pPr>
      <w:rPr>
        <w:rFonts w:hint="default"/>
        <w:i w:val="0"/>
      </w:rPr>
    </w:lvl>
    <w:lvl w:ilvl="1">
      <w:start w:val="1"/>
      <w:numFmt w:val="decimal"/>
      <w:lvlText w:val="%1.%2"/>
      <w:lvlJc w:val="left"/>
      <w:pPr>
        <w:tabs>
          <w:tab w:val="left" w:pos="567"/>
        </w:tabs>
        <w:ind w:left="567" w:hanging="567"/>
      </w:pPr>
      <w:rPr>
        <w:rFonts w:hint="default"/>
        <w:i w:val="0"/>
      </w:rPr>
    </w:lvl>
    <w:lvl w:ilvl="2">
      <w:start w:val="1"/>
      <w:numFmt w:val="decimal"/>
      <w:lvlText w:val="%1.%2.%3"/>
      <w:lvlJc w:val="left"/>
      <w:pPr>
        <w:tabs>
          <w:tab w:val="left" w:pos="851"/>
        </w:tabs>
        <w:ind w:left="851" w:hanging="851"/>
      </w:pPr>
      <w:rPr>
        <w:rFonts w:hint="default"/>
        <w:i w:val="0"/>
      </w:rPr>
    </w:lvl>
    <w:lvl w:ilvl="3">
      <w:start w:val="1"/>
      <w:numFmt w:val="decimal"/>
      <w:lvlText w:val="%1.%2.%3.%4"/>
      <w:lvlJc w:val="left"/>
      <w:pPr>
        <w:tabs>
          <w:tab w:val="left" w:pos="1080"/>
        </w:tabs>
        <w:ind w:left="794" w:hanging="794"/>
      </w:pPr>
      <w:rPr>
        <w:rFonts w:hint="default"/>
        <w:i w:val="0"/>
      </w:rPr>
    </w:lvl>
    <w:lvl w:ilvl="4">
      <w:start w:val="1"/>
      <w:numFmt w:val="decimal"/>
      <w:lvlText w:val="%1.%2.%3.%4.%5"/>
      <w:lvlJc w:val="left"/>
      <w:pPr>
        <w:tabs>
          <w:tab w:val="left" w:pos="1080"/>
        </w:tabs>
        <w:ind w:left="1080" w:hanging="1080"/>
      </w:pPr>
      <w:rPr>
        <w:rFonts w:hint="default"/>
        <w:i w:val="0"/>
      </w:rPr>
    </w:lvl>
    <w:lvl w:ilvl="5">
      <w:start w:val="1"/>
      <w:numFmt w:val="decimal"/>
      <w:lvlText w:val="%1.%2.%3.%4.%5.%6"/>
      <w:lvlJc w:val="left"/>
      <w:pPr>
        <w:tabs>
          <w:tab w:val="left" w:pos="1080"/>
        </w:tabs>
        <w:ind w:left="1080" w:hanging="1080"/>
      </w:pPr>
      <w:rPr>
        <w:rFonts w:hint="default"/>
        <w:i w:val="0"/>
      </w:rPr>
    </w:lvl>
    <w:lvl w:ilvl="6">
      <w:start w:val="1"/>
      <w:numFmt w:val="decimal"/>
      <w:lvlText w:val="%1.%2.%3.%4.%5.%6.%7"/>
      <w:lvlJc w:val="left"/>
      <w:pPr>
        <w:tabs>
          <w:tab w:val="left" w:pos="1440"/>
        </w:tabs>
        <w:ind w:left="1440" w:hanging="1440"/>
      </w:pPr>
      <w:rPr>
        <w:rFonts w:hint="default"/>
        <w:i w:val="0"/>
      </w:rPr>
    </w:lvl>
    <w:lvl w:ilvl="7">
      <w:start w:val="1"/>
      <w:numFmt w:val="decimal"/>
      <w:lvlText w:val="%1.%2.%3.%4.%5.%6.%7.%8"/>
      <w:lvlJc w:val="left"/>
      <w:pPr>
        <w:tabs>
          <w:tab w:val="left" w:pos="1440"/>
        </w:tabs>
        <w:ind w:left="1440" w:hanging="1440"/>
      </w:pPr>
      <w:rPr>
        <w:rFonts w:hint="default"/>
        <w:i w:val="0"/>
      </w:rPr>
    </w:lvl>
    <w:lvl w:ilvl="8">
      <w:start w:val="1"/>
      <w:numFmt w:val="decimal"/>
      <w:lvlText w:val="%1.%2.%3.%4.%5.%6.%7.%8.%9"/>
      <w:lvlJc w:val="left"/>
      <w:pPr>
        <w:tabs>
          <w:tab w:val="left" w:pos="1440"/>
        </w:tabs>
        <w:ind w:left="1440" w:hanging="1440"/>
      </w:pPr>
      <w:rPr>
        <w:rFonts w:hint="default"/>
        <w:i w:val="0"/>
      </w:rPr>
    </w:lvl>
  </w:abstractNum>
  <w:abstractNum w:abstractNumId="39">
    <w:nsid w:val="7F094B67"/>
    <w:multiLevelType w:val="multilevel"/>
    <w:tmpl w:val="7F094B67"/>
    <w:lvl w:ilvl="0">
      <w:start w:val="1"/>
      <w:numFmt w:val="none"/>
      <w:pStyle w:val="10"/>
      <w:suff w:val="nothing"/>
      <w:lvlText w:val="%1"/>
      <w:lvlJc w:val="left"/>
      <w:pPr>
        <w:ind w:left="902" w:hanging="420"/>
      </w:pPr>
      <w:rPr>
        <w:rFonts w:hint="eastAsia"/>
        <w:sz w:val="21"/>
      </w:rPr>
    </w:lvl>
    <w:lvl w:ilvl="1">
      <w:start w:val="1"/>
      <w:numFmt w:val="none"/>
      <w:lvlRestart w:val="0"/>
      <w:pStyle w:val="20"/>
      <w:suff w:val="nothing"/>
      <w:lvlText w:val=""/>
      <w:lvlJc w:val="left"/>
      <w:pPr>
        <w:ind w:left="1072" w:hanging="590"/>
      </w:pPr>
      <w:rPr>
        <w:rFonts w:hint="eastAsia"/>
        <w:sz w:val="21"/>
      </w:rPr>
    </w:lvl>
    <w:lvl w:ilvl="2">
      <w:start w:val="1"/>
      <w:numFmt w:val="none"/>
      <w:lvlRestart w:val="0"/>
      <w:pStyle w:val="31"/>
      <w:suff w:val="nothing"/>
      <w:lvlText w:val=""/>
      <w:lvlJc w:val="left"/>
      <w:pPr>
        <w:ind w:left="1111" w:hanging="629"/>
      </w:pPr>
      <w:rPr>
        <w:rFonts w:hint="eastAsia"/>
        <w:sz w:val="21"/>
      </w:rPr>
    </w:lvl>
    <w:lvl w:ilvl="3">
      <w:start w:val="1"/>
      <w:numFmt w:val="none"/>
      <w:lvlRestart w:val="0"/>
      <w:pStyle w:val="4"/>
      <w:suff w:val="nothing"/>
      <w:lvlText w:val=""/>
      <w:lvlJc w:val="left"/>
      <w:pPr>
        <w:ind w:left="1281" w:hanging="799"/>
      </w:pPr>
      <w:rPr>
        <w:rFonts w:hint="eastAsia"/>
        <w:sz w:val="21"/>
      </w:rPr>
    </w:lvl>
    <w:lvl w:ilvl="4">
      <w:start w:val="1"/>
      <w:numFmt w:val="none"/>
      <w:lvlRestart w:val="0"/>
      <w:pStyle w:val="11"/>
      <w:suff w:val="nothing"/>
      <w:lvlText w:val=""/>
      <w:lvlJc w:val="left"/>
      <w:pPr>
        <w:ind w:left="420" w:hanging="420"/>
      </w:pPr>
      <w:rPr>
        <w:rFonts w:hint="eastAsia"/>
        <w:sz w:val="21"/>
      </w:rPr>
    </w:lvl>
    <w:lvl w:ilvl="5">
      <w:start w:val="1"/>
      <w:numFmt w:val="none"/>
      <w:lvlRestart w:val="0"/>
      <w:pStyle w:val="21"/>
      <w:suff w:val="nothing"/>
      <w:lvlText w:val=""/>
      <w:lvlJc w:val="left"/>
      <w:pPr>
        <w:ind w:left="590" w:hanging="590"/>
      </w:pPr>
      <w:rPr>
        <w:rFonts w:hint="eastAsia"/>
        <w:sz w:val="21"/>
      </w:rPr>
    </w:lvl>
    <w:lvl w:ilvl="6">
      <w:start w:val="1"/>
      <w:numFmt w:val="none"/>
      <w:lvlRestart w:val="0"/>
      <w:pStyle w:val="32"/>
      <w:suff w:val="nothing"/>
      <w:lvlText w:val=""/>
      <w:lvlJc w:val="left"/>
      <w:pPr>
        <w:ind w:left="629" w:hanging="629"/>
      </w:pPr>
      <w:rPr>
        <w:rFonts w:hint="eastAsia"/>
        <w:sz w:val="21"/>
      </w:rPr>
    </w:lvl>
    <w:lvl w:ilvl="7">
      <w:start w:val="1"/>
      <w:numFmt w:val="none"/>
      <w:lvlRestart w:val="0"/>
      <w:pStyle w:val="40"/>
      <w:suff w:val="nothing"/>
      <w:lvlText w:val=""/>
      <w:lvlJc w:val="left"/>
      <w:pPr>
        <w:ind w:left="799" w:hanging="799"/>
      </w:pPr>
      <w:rPr>
        <w:rFonts w:hint="eastAsia"/>
        <w:sz w:val="21"/>
      </w:rPr>
    </w:lvl>
    <w:lvl w:ilvl="8">
      <w:start w:val="1"/>
      <w:numFmt w:val="none"/>
      <w:lvlRestart w:val="0"/>
      <w:suff w:val="nothing"/>
      <w:lvlText w:val=""/>
      <w:lvlJc w:val="left"/>
      <w:pPr>
        <w:ind w:left="0" w:firstLine="0"/>
      </w:pPr>
      <w:rPr>
        <w:rFonts w:hint="eastAsia"/>
        <w:sz w:val="21"/>
      </w:rPr>
    </w:lvl>
  </w:abstractNum>
  <w:num w:numId="1">
    <w:abstractNumId w:val="13"/>
  </w:num>
  <w:num w:numId="2">
    <w:abstractNumId w:val="7"/>
  </w:num>
  <w:num w:numId="3">
    <w:abstractNumId w:val="6"/>
  </w:num>
  <w:num w:numId="4">
    <w:abstractNumId w:val="4"/>
  </w:num>
  <w:num w:numId="5">
    <w:abstractNumId w:val="5"/>
  </w:num>
  <w:num w:numId="6">
    <w:abstractNumId w:val="34"/>
  </w:num>
  <w:num w:numId="7">
    <w:abstractNumId w:val="36"/>
  </w:num>
  <w:num w:numId="8">
    <w:abstractNumId w:val="23"/>
    <w:lvlOverride w:ilvl="0">
      <w:startOverride w:val="1"/>
    </w:lvlOverride>
  </w:num>
  <w:num w:numId="9">
    <w:abstractNumId w:val="14"/>
  </w:num>
  <w:num w:numId="10">
    <w:abstractNumId w:val="37"/>
  </w:num>
  <w:num w:numId="11">
    <w:abstractNumId w:val="38"/>
  </w:num>
  <w:num w:numId="12">
    <w:abstractNumId w:val="39"/>
  </w:num>
  <w:num w:numId="13">
    <w:abstractNumId w:val="22"/>
  </w:num>
  <w:num w:numId="14">
    <w:abstractNumId w:val="15"/>
  </w:num>
  <w:num w:numId="15">
    <w:abstractNumId w:val="26"/>
  </w:num>
  <w:num w:numId="16">
    <w:abstractNumId w:val="18"/>
  </w:num>
  <w:num w:numId="17">
    <w:abstractNumId w:val="32"/>
  </w:num>
  <w:num w:numId="18">
    <w:abstractNumId w:val="24"/>
  </w:num>
  <w:num w:numId="19">
    <w:abstractNumId w:val="12"/>
  </w:num>
  <w:num w:numId="20">
    <w:abstractNumId w:val="10"/>
  </w:num>
  <w:num w:numId="21">
    <w:abstractNumId w:val="29"/>
  </w:num>
  <w:num w:numId="22">
    <w:abstractNumId w:val="11"/>
  </w:num>
  <w:num w:numId="23">
    <w:abstractNumId w:val="19"/>
  </w:num>
  <w:num w:numId="24">
    <w:abstractNumId w:val="35"/>
  </w:num>
  <w:num w:numId="25">
    <w:abstractNumId w:val="30"/>
  </w:num>
  <w:num w:numId="26">
    <w:abstractNumId w:val="17"/>
  </w:num>
  <w:num w:numId="27">
    <w:abstractNumId w:val="8"/>
  </w:num>
  <w:num w:numId="28">
    <w:abstractNumId w:val="9"/>
  </w:num>
  <w:num w:numId="29">
    <w:abstractNumId w:val="28"/>
  </w:num>
  <w:num w:numId="30">
    <w:abstractNumId w:val="0"/>
  </w:num>
  <w:num w:numId="31">
    <w:abstractNumId w:val="27"/>
  </w:num>
  <w:num w:numId="32">
    <w:abstractNumId w:val="31"/>
  </w:num>
  <w:num w:numId="33">
    <w:abstractNumId w:val="25"/>
  </w:num>
  <w:num w:numId="34">
    <w:abstractNumId w:val="16"/>
  </w:num>
  <w:num w:numId="35">
    <w:abstractNumId w:val="1"/>
  </w:num>
  <w:num w:numId="36">
    <w:abstractNumId w:val="21"/>
  </w:num>
  <w:num w:numId="37">
    <w:abstractNumId w:val="3"/>
  </w:num>
  <w:num w:numId="38">
    <w:abstractNumId w:val="20"/>
  </w:num>
  <w:num w:numId="39">
    <w:abstractNumId w:val="2"/>
  </w:num>
  <w:num w:numId="4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3"/>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210"/>
  <w:drawingGridVerticalSpacing w:val="-794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kwY2ZmMWMxY2ZkMjU3NDViOTA3YzQ4MGI5MDI0MWMifQ=="/>
  </w:docVars>
  <w:rsids>
    <w:rsidRoot w:val="00172A27"/>
    <w:rsid w:val="00000516"/>
    <w:rsid w:val="00000894"/>
    <w:rsid w:val="000008EA"/>
    <w:rsid w:val="00000B7F"/>
    <w:rsid w:val="00000C1B"/>
    <w:rsid w:val="00000FD8"/>
    <w:rsid w:val="000010F2"/>
    <w:rsid w:val="0000196F"/>
    <w:rsid w:val="00001BCD"/>
    <w:rsid w:val="00001F0C"/>
    <w:rsid w:val="000025B4"/>
    <w:rsid w:val="00002EAE"/>
    <w:rsid w:val="000031C4"/>
    <w:rsid w:val="0000353E"/>
    <w:rsid w:val="00003611"/>
    <w:rsid w:val="00003721"/>
    <w:rsid w:val="00003968"/>
    <w:rsid w:val="00003EDE"/>
    <w:rsid w:val="000045B1"/>
    <w:rsid w:val="00004D9A"/>
    <w:rsid w:val="00004EC2"/>
    <w:rsid w:val="00005607"/>
    <w:rsid w:val="0000588B"/>
    <w:rsid w:val="00005D12"/>
    <w:rsid w:val="00006061"/>
    <w:rsid w:val="00006233"/>
    <w:rsid w:val="000065FF"/>
    <w:rsid w:val="00006741"/>
    <w:rsid w:val="00006A3C"/>
    <w:rsid w:val="000078A3"/>
    <w:rsid w:val="0000797B"/>
    <w:rsid w:val="00007A90"/>
    <w:rsid w:val="00007D3C"/>
    <w:rsid w:val="00007D66"/>
    <w:rsid w:val="00007DEA"/>
    <w:rsid w:val="000101DA"/>
    <w:rsid w:val="0001078F"/>
    <w:rsid w:val="00010898"/>
    <w:rsid w:val="00011487"/>
    <w:rsid w:val="0001204C"/>
    <w:rsid w:val="000120E0"/>
    <w:rsid w:val="000123AA"/>
    <w:rsid w:val="00012B52"/>
    <w:rsid w:val="00012E43"/>
    <w:rsid w:val="00012FE3"/>
    <w:rsid w:val="000134E7"/>
    <w:rsid w:val="00013643"/>
    <w:rsid w:val="000136F9"/>
    <w:rsid w:val="00013AFE"/>
    <w:rsid w:val="00014209"/>
    <w:rsid w:val="00014277"/>
    <w:rsid w:val="0001430C"/>
    <w:rsid w:val="000143D1"/>
    <w:rsid w:val="00014A47"/>
    <w:rsid w:val="00014E7B"/>
    <w:rsid w:val="00014F43"/>
    <w:rsid w:val="0001554E"/>
    <w:rsid w:val="00015572"/>
    <w:rsid w:val="00015BEC"/>
    <w:rsid w:val="00015FF5"/>
    <w:rsid w:val="000163D4"/>
    <w:rsid w:val="000166A7"/>
    <w:rsid w:val="00016D47"/>
    <w:rsid w:val="0001725D"/>
    <w:rsid w:val="0001735B"/>
    <w:rsid w:val="00017471"/>
    <w:rsid w:val="000177C5"/>
    <w:rsid w:val="00017957"/>
    <w:rsid w:val="00017B43"/>
    <w:rsid w:val="00017DE6"/>
    <w:rsid w:val="000202B6"/>
    <w:rsid w:val="0002032E"/>
    <w:rsid w:val="0002045A"/>
    <w:rsid w:val="00021026"/>
    <w:rsid w:val="000211B1"/>
    <w:rsid w:val="000214C2"/>
    <w:rsid w:val="00021837"/>
    <w:rsid w:val="00021D6D"/>
    <w:rsid w:val="0002204B"/>
    <w:rsid w:val="00022BF1"/>
    <w:rsid w:val="000237C6"/>
    <w:rsid w:val="00023D45"/>
    <w:rsid w:val="00024080"/>
    <w:rsid w:val="000248A4"/>
    <w:rsid w:val="00024929"/>
    <w:rsid w:val="00024D32"/>
    <w:rsid w:val="00025427"/>
    <w:rsid w:val="0002547A"/>
    <w:rsid w:val="000254CF"/>
    <w:rsid w:val="00025589"/>
    <w:rsid w:val="000256C6"/>
    <w:rsid w:val="00025756"/>
    <w:rsid w:val="00025923"/>
    <w:rsid w:val="00025C1A"/>
    <w:rsid w:val="00025D38"/>
    <w:rsid w:val="00025F47"/>
    <w:rsid w:val="0002631B"/>
    <w:rsid w:val="000263F8"/>
    <w:rsid w:val="0002668F"/>
    <w:rsid w:val="00026A5E"/>
    <w:rsid w:val="00026AB8"/>
    <w:rsid w:val="00026CF9"/>
    <w:rsid w:val="00026D5A"/>
    <w:rsid w:val="00026E73"/>
    <w:rsid w:val="00026FA0"/>
    <w:rsid w:val="000270C3"/>
    <w:rsid w:val="000271CF"/>
    <w:rsid w:val="00027675"/>
    <w:rsid w:val="000279A7"/>
    <w:rsid w:val="00027B62"/>
    <w:rsid w:val="000300FC"/>
    <w:rsid w:val="00030133"/>
    <w:rsid w:val="00030680"/>
    <w:rsid w:val="00030DCA"/>
    <w:rsid w:val="00030DE8"/>
    <w:rsid w:val="0003129D"/>
    <w:rsid w:val="000315E7"/>
    <w:rsid w:val="00031BD5"/>
    <w:rsid w:val="00031C8B"/>
    <w:rsid w:val="0003269F"/>
    <w:rsid w:val="000329CA"/>
    <w:rsid w:val="00032BC6"/>
    <w:rsid w:val="00032EF2"/>
    <w:rsid w:val="00033A6C"/>
    <w:rsid w:val="00034185"/>
    <w:rsid w:val="00034472"/>
    <w:rsid w:val="000348ED"/>
    <w:rsid w:val="000355DE"/>
    <w:rsid w:val="00035791"/>
    <w:rsid w:val="00035CC8"/>
    <w:rsid w:val="00035CDE"/>
    <w:rsid w:val="00035DA0"/>
    <w:rsid w:val="00036452"/>
    <w:rsid w:val="00036689"/>
    <w:rsid w:val="00036B62"/>
    <w:rsid w:val="000373FC"/>
    <w:rsid w:val="000375DA"/>
    <w:rsid w:val="00037D34"/>
    <w:rsid w:val="00037F37"/>
    <w:rsid w:val="0004024B"/>
    <w:rsid w:val="0004066F"/>
    <w:rsid w:val="000408B7"/>
    <w:rsid w:val="00040D56"/>
    <w:rsid w:val="00040E68"/>
    <w:rsid w:val="00040EC8"/>
    <w:rsid w:val="00040F84"/>
    <w:rsid w:val="00041194"/>
    <w:rsid w:val="0004131B"/>
    <w:rsid w:val="00041476"/>
    <w:rsid w:val="000415E0"/>
    <w:rsid w:val="00041638"/>
    <w:rsid w:val="000417E2"/>
    <w:rsid w:val="00041E50"/>
    <w:rsid w:val="00041E7E"/>
    <w:rsid w:val="00041F46"/>
    <w:rsid w:val="00041FF9"/>
    <w:rsid w:val="0004241C"/>
    <w:rsid w:val="000425AF"/>
    <w:rsid w:val="000428C9"/>
    <w:rsid w:val="00042949"/>
    <w:rsid w:val="00042997"/>
    <w:rsid w:val="00042BB2"/>
    <w:rsid w:val="000430AF"/>
    <w:rsid w:val="0004317B"/>
    <w:rsid w:val="00043188"/>
    <w:rsid w:val="00043C6E"/>
    <w:rsid w:val="00043FA5"/>
    <w:rsid w:val="0004420D"/>
    <w:rsid w:val="00044732"/>
    <w:rsid w:val="000449C8"/>
    <w:rsid w:val="0004546D"/>
    <w:rsid w:val="000456AC"/>
    <w:rsid w:val="000456B4"/>
    <w:rsid w:val="00045CB8"/>
    <w:rsid w:val="00045E12"/>
    <w:rsid w:val="0004604E"/>
    <w:rsid w:val="000460B2"/>
    <w:rsid w:val="000460B4"/>
    <w:rsid w:val="0004621C"/>
    <w:rsid w:val="00046567"/>
    <w:rsid w:val="000468E9"/>
    <w:rsid w:val="000473FF"/>
    <w:rsid w:val="0004757A"/>
    <w:rsid w:val="0004768A"/>
    <w:rsid w:val="00047717"/>
    <w:rsid w:val="00047783"/>
    <w:rsid w:val="00047788"/>
    <w:rsid w:val="00047957"/>
    <w:rsid w:val="00047BB6"/>
    <w:rsid w:val="00047CF4"/>
    <w:rsid w:val="00047DD9"/>
    <w:rsid w:val="000506EE"/>
    <w:rsid w:val="00050ADE"/>
    <w:rsid w:val="00050B59"/>
    <w:rsid w:val="00050C2D"/>
    <w:rsid w:val="00050E07"/>
    <w:rsid w:val="00050F91"/>
    <w:rsid w:val="00051733"/>
    <w:rsid w:val="00051BFE"/>
    <w:rsid w:val="00051D57"/>
    <w:rsid w:val="00051D6D"/>
    <w:rsid w:val="00051E2C"/>
    <w:rsid w:val="000521EB"/>
    <w:rsid w:val="00052362"/>
    <w:rsid w:val="000526B3"/>
    <w:rsid w:val="00052963"/>
    <w:rsid w:val="000529B5"/>
    <w:rsid w:val="00052A6E"/>
    <w:rsid w:val="000531A2"/>
    <w:rsid w:val="0005338F"/>
    <w:rsid w:val="000533ED"/>
    <w:rsid w:val="00053734"/>
    <w:rsid w:val="000538E7"/>
    <w:rsid w:val="00053CE0"/>
    <w:rsid w:val="0005420D"/>
    <w:rsid w:val="0005425E"/>
    <w:rsid w:val="00054455"/>
    <w:rsid w:val="0005470A"/>
    <w:rsid w:val="0005476C"/>
    <w:rsid w:val="00054A2C"/>
    <w:rsid w:val="00054B86"/>
    <w:rsid w:val="00054BD2"/>
    <w:rsid w:val="00054F07"/>
    <w:rsid w:val="00055566"/>
    <w:rsid w:val="000555B8"/>
    <w:rsid w:val="0005598F"/>
    <w:rsid w:val="00055DA8"/>
    <w:rsid w:val="00055EF1"/>
    <w:rsid w:val="00055FB3"/>
    <w:rsid w:val="00056466"/>
    <w:rsid w:val="000564A6"/>
    <w:rsid w:val="0005650D"/>
    <w:rsid w:val="0005662E"/>
    <w:rsid w:val="00056969"/>
    <w:rsid w:val="00056C6E"/>
    <w:rsid w:val="00056E1B"/>
    <w:rsid w:val="00056E30"/>
    <w:rsid w:val="00057741"/>
    <w:rsid w:val="00057AEB"/>
    <w:rsid w:val="000604C1"/>
    <w:rsid w:val="00060939"/>
    <w:rsid w:val="00060A01"/>
    <w:rsid w:val="00060A70"/>
    <w:rsid w:val="00060BBD"/>
    <w:rsid w:val="00061231"/>
    <w:rsid w:val="0006141F"/>
    <w:rsid w:val="0006145E"/>
    <w:rsid w:val="00061657"/>
    <w:rsid w:val="0006196F"/>
    <w:rsid w:val="00061C56"/>
    <w:rsid w:val="00061CDD"/>
    <w:rsid w:val="00061E36"/>
    <w:rsid w:val="0006225C"/>
    <w:rsid w:val="00062448"/>
    <w:rsid w:val="00062903"/>
    <w:rsid w:val="00062B10"/>
    <w:rsid w:val="00062EE4"/>
    <w:rsid w:val="0006355F"/>
    <w:rsid w:val="000638BA"/>
    <w:rsid w:val="00063C27"/>
    <w:rsid w:val="000641FD"/>
    <w:rsid w:val="0006426E"/>
    <w:rsid w:val="00064444"/>
    <w:rsid w:val="00064519"/>
    <w:rsid w:val="00064873"/>
    <w:rsid w:val="00064CD9"/>
    <w:rsid w:val="00064EA7"/>
    <w:rsid w:val="00064F49"/>
    <w:rsid w:val="00064F54"/>
    <w:rsid w:val="0006501E"/>
    <w:rsid w:val="00065049"/>
    <w:rsid w:val="0006547D"/>
    <w:rsid w:val="00065DAA"/>
    <w:rsid w:val="00065EEE"/>
    <w:rsid w:val="00066100"/>
    <w:rsid w:val="000662AA"/>
    <w:rsid w:val="00066E26"/>
    <w:rsid w:val="000673B9"/>
    <w:rsid w:val="000674A2"/>
    <w:rsid w:val="00067822"/>
    <w:rsid w:val="000678BB"/>
    <w:rsid w:val="00067954"/>
    <w:rsid w:val="00067B4F"/>
    <w:rsid w:val="00067BAD"/>
    <w:rsid w:val="0007006F"/>
    <w:rsid w:val="00070094"/>
    <w:rsid w:val="00071105"/>
    <w:rsid w:val="0007155F"/>
    <w:rsid w:val="0007175D"/>
    <w:rsid w:val="00072658"/>
    <w:rsid w:val="000727E1"/>
    <w:rsid w:val="00072A3C"/>
    <w:rsid w:val="00072C46"/>
    <w:rsid w:val="0007329D"/>
    <w:rsid w:val="000732D2"/>
    <w:rsid w:val="00073DA1"/>
    <w:rsid w:val="00073F05"/>
    <w:rsid w:val="00073F2C"/>
    <w:rsid w:val="000742D6"/>
    <w:rsid w:val="0007457D"/>
    <w:rsid w:val="000746A5"/>
    <w:rsid w:val="0007491C"/>
    <w:rsid w:val="000749B5"/>
    <w:rsid w:val="00074B3A"/>
    <w:rsid w:val="00074D09"/>
    <w:rsid w:val="00074DAF"/>
    <w:rsid w:val="000750E1"/>
    <w:rsid w:val="000752B5"/>
    <w:rsid w:val="000753FF"/>
    <w:rsid w:val="00075773"/>
    <w:rsid w:val="0007592B"/>
    <w:rsid w:val="00075A1A"/>
    <w:rsid w:val="00075FBA"/>
    <w:rsid w:val="000760F1"/>
    <w:rsid w:val="0007677A"/>
    <w:rsid w:val="0007686F"/>
    <w:rsid w:val="00076F36"/>
    <w:rsid w:val="0007734D"/>
    <w:rsid w:val="0007775E"/>
    <w:rsid w:val="0007785A"/>
    <w:rsid w:val="0007787F"/>
    <w:rsid w:val="000778A2"/>
    <w:rsid w:val="000779AD"/>
    <w:rsid w:val="00077A02"/>
    <w:rsid w:val="00077A87"/>
    <w:rsid w:val="0008031E"/>
    <w:rsid w:val="00080478"/>
    <w:rsid w:val="00080743"/>
    <w:rsid w:val="00081239"/>
    <w:rsid w:val="00081A1F"/>
    <w:rsid w:val="00082350"/>
    <w:rsid w:val="00082A1B"/>
    <w:rsid w:val="00082A6F"/>
    <w:rsid w:val="000832F1"/>
    <w:rsid w:val="000834AF"/>
    <w:rsid w:val="00083D15"/>
    <w:rsid w:val="00083E87"/>
    <w:rsid w:val="0008466C"/>
    <w:rsid w:val="00084D45"/>
    <w:rsid w:val="000850BD"/>
    <w:rsid w:val="00085929"/>
    <w:rsid w:val="00085ABE"/>
    <w:rsid w:val="00086087"/>
    <w:rsid w:val="00086334"/>
    <w:rsid w:val="00086E59"/>
    <w:rsid w:val="00087529"/>
    <w:rsid w:val="00087647"/>
    <w:rsid w:val="00087997"/>
    <w:rsid w:val="000879C2"/>
    <w:rsid w:val="000901CC"/>
    <w:rsid w:val="000902CC"/>
    <w:rsid w:val="000906CE"/>
    <w:rsid w:val="000908E3"/>
    <w:rsid w:val="000908EE"/>
    <w:rsid w:val="00090B2E"/>
    <w:rsid w:val="000915BF"/>
    <w:rsid w:val="000916A5"/>
    <w:rsid w:val="000917DA"/>
    <w:rsid w:val="0009208E"/>
    <w:rsid w:val="000930C2"/>
    <w:rsid w:val="00093358"/>
    <w:rsid w:val="00093700"/>
    <w:rsid w:val="00093A8D"/>
    <w:rsid w:val="00093BCB"/>
    <w:rsid w:val="00093F98"/>
    <w:rsid w:val="000943D8"/>
    <w:rsid w:val="00094F41"/>
    <w:rsid w:val="0009509E"/>
    <w:rsid w:val="000951F3"/>
    <w:rsid w:val="0009530B"/>
    <w:rsid w:val="0009531A"/>
    <w:rsid w:val="00095331"/>
    <w:rsid w:val="00095462"/>
    <w:rsid w:val="000955F5"/>
    <w:rsid w:val="0009567D"/>
    <w:rsid w:val="00095695"/>
    <w:rsid w:val="000956FD"/>
    <w:rsid w:val="00095A33"/>
    <w:rsid w:val="00095B42"/>
    <w:rsid w:val="00095B95"/>
    <w:rsid w:val="00095CD5"/>
    <w:rsid w:val="00095FB8"/>
    <w:rsid w:val="00095FB9"/>
    <w:rsid w:val="00095FF1"/>
    <w:rsid w:val="000962AB"/>
    <w:rsid w:val="000963B6"/>
    <w:rsid w:val="000964AD"/>
    <w:rsid w:val="000965DA"/>
    <w:rsid w:val="0009693E"/>
    <w:rsid w:val="00096ACF"/>
    <w:rsid w:val="00096B49"/>
    <w:rsid w:val="00096D46"/>
    <w:rsid w:val="00096ED7"/>
    <w:rsid w:val="00097323"/>
    <w:rsid w:val="000973F0"/>
    <w:rsid w:val="000975D2"/>
    <w:rsid w:val="000977C7"/>
    <w:rsid w:val="000A023C"/>
    <w:rsid w:val="000A030B"/>
    <w:rsid w:val="000A077E"/>
    <w:rsid w:val="000A0811"/>
    <w:rsid w:val="000A09EA"/>
    <w:rsid w:val="000A0A40"/>
    <w:rsid w:val="000A0A7A"/>
    <w:rsid w:val="000A10BA"/>
    <w:rsid w:val="000A1240"/>
    <w:rsid w:val="000A156C"/>
    <w:rsid w:val="000A15C1"/>
    <w:rsid w:val="000A1660"/>
    <w:rsid w:val="000A17EC"/>
    <w:rsid w:val="000A1862"/>
    <w:rsid w:val="000A1910"/>
    <w:rsid w:val="000A1A7F"/>
    <w:rsid w:val="000A1AC2"/>
    <w:rsid w:val="000A1BFE"/>
    <w:rsid w:val="000A1D17"/>
    <w:rsid w:val="000A1D3B"/>
    <w:rsid w:val="000A2146"/>
    <w:rsid w:val="000A2506"/>
    <w:rsid w:val="000A2CA5"/>
    <w:rsid w:val="000A2D6B"/>
    <w:rsid w:val="000A2DAD"/>
    <w:rsid w:val="000A2DAE"/>
    <w:rsid w:val="000A3108"/>
    <w:rsid w:val="000A3472"/>
    <w:rsid w:val="000A41C5"/>
    <w:rsid w:val="000A43A0"/>
    <w:rsid w:val="000A4834"/>
    <w:rsid w:val="000A4986"/>
    <w:rsid w:val="000A4CBF"/>
    <w:rsid w:val="000A4E78"/>
    <w:rsid w:val="000A5749"/>
    <w:rsid w:val="000A59D5"/>
    <w:rsid w:val="000A5B4E"/>
    <w:rsid w:val="000A5CCE"/>
    <w:rsid w:val="000A634F"/>
    <w:rsid w:val="000A659E"/>
    <w:rsid w:val="000A65D6"/>
    <w:rsid w:val="000A6CCC"/>
    <w:rsid w:val="000A6F82"/>
    <w:rsid w:val="000A6FDD"/>
    <w:rsid w:val="000A7003"/>
    <w:rsid w:val="000A72C8"/>
    <w:rsid w:val="000A7BD4"/>
    <w:rsid w:val="000B0B59"/>
    <w:rsid w:val="000B0EE9"/>
    <w:rsid w:val="000B1006"/>
    <w:rsid w:val="000B2316"/>
    <w:rsid w:val="000B28B8"/>
    <w:rsid w:val="000B2C01"/>
    <w:rsid w:val="000B36E7"/>
    <w:rsid w:val="000B3781"/>
    <w:rsid w:val="000B38E5"/>
    <w:rsid w:val="000B3DB0"/>
    <w:rsid w:val="000B42A2"/>
    <w:rsid w:val="000B48F4"/>
    <w:rsid w:val="000B4B91"/>
    <w:rsid w:val="000B4CAE"/>
    <w:rsid w:val="000B505E"/>
    <w:rsid w:val="000B521E"/>
    <w:rsid w:val="000B53CF"/>
    <w:rsid w:val="000B5526"/>
    <w:rsid w:val="000B558D"/>
    <w:rsid w:val="000B57B6"/>
    <w:rsid w:val="000B5B1E"/>
    <w:rsid w:val="000B6752"/>
    <w:rsid w:val="000B75DE"/>
    <w:rsid w:val="000B7A05"/>
    <w:rsid w:val="000B7D61"/>
    <w:rsid w:val="000C0116"/>
    <w:rsid w:val="000C0EDD"/>
    <w:rsid w:val="000C13BA"/>
    <w:rsid w:val="000C143E"/>
    <w:rsid w:val="000C17B1"/>
    <w:rsid w:val="000C1804"/>
    <w:rsid w:val="000C1B46"/>
    <w:rsid w:val="000C1E1B"/>
    <w:rsid w:val="000C25E1"/>
    <w:rsid w:val="000C2AE5"/>
    <w:rsid w:val="000C2D3E"/>
    <w:rsid w:val="000C3619"/>
    <w:rsid w:val="000C39DF"/>
    <w:rsid w:val="000C403F"/>
    <w:rsid w:val="000C43D6"/>
    <w:rsid w:val="000C4911"/>
    <w:rsid w:val="000C49F3"/>
    <w:rsid w:val="000C4B42"/>
    <w:rsid w:val="000C4C17"/>
    <w:rsid w:val="000C4C3D"/>
    <w:rsid w:val="000C4D81"/>
    <w:rsid w:val="000C4EF0"/>
    <w:rsid w:val="000C5138"/>
    <w:rsid w:val="000C5659"/>
    <w:rsid w:val="000C57B8"/>
    <w:rsid w:val="000C5AC1"/>
    <w:rsid w:val="000C5CCB"/>
    <w:rsid w:val="000C5D32"/>
    <w:rsid w:val="000C6524"/>
    <w:rsid w:val="000C6D44"/>
    <w:rsid w:val="000C7068"/>
    <w:rsid w:val="000C734C"/>
    <w:rsid w:val="000C7399"/>
    <w:rsid w:val="000C7583"/>
    <w:rsid w:val="000C798F"/>
    <w:rsid w:val="000C7BC8"/>
    <w:rsid w:val="000D00DD"/>
    <w:rsid w:val="000D0173"/>
    <w:rsid w:val="000D01C8"/>
    <w:rsid w:val="000D0201"/>
    <w:rsid w:val="000D023E"/>
    <w:rsid w:val="000D041F"/>
    <w:rsid w:val="000D06E5"/>
    <w:rsid w:val="000D0C9E"/>
    <w:rsid w:val="000D0E71"/>
    <w:rsid w:val="000D146E"/>
    <w:rsid w:val="000D17A0"/>
    <w:rsid w:val="000D1884"/>
    <w:rsid w:val="000D18D5"/>
    <w:rsid w:val="000D25AB"/>
    <w:rsid w:val="000D25B7"/>
    <w:rsid w:val="000D2654"/>
    <w:rsid w:val="000D2A78"/>
    <w:rsid w:val="000D2C8C"/>
    <w:rsid w:val="000D2D86"/>
    <w:rsid w:val="000D2F94"/>
    <w:rsid w:val="000D30A0"/>
    <w:rsid w:val="000D30C6"/>
    <w:rsid w:val="000D33A1"/>
    <w:rsid w:val="000D34A1"/>
    <w:rsid w:val="000D3BDD"/>
    <w:rsid w:val="000D3D9F"/>
    <w:rsid w:val="000D478F"/>
    <w:rsid w:val="000D4D8A"/>
    <w:rsid w:val="000D5095"/>
    <w:rsid w:val="000D5B96"/>
    <w:rsid w:val="000D5D26"/>
    <w:rsid w:val="000D5F31"/>
    <w:rsid w:val="000D601E"/>
    <w:rsid w:val="000D60F6"/>
    <w:rsid w:val="000D6958"/>
    <w:rsid w:val="000D6EBF"/>
    <w:rsid w:val="000D6EC9"/>
    <w:rsid w:val="000D7246"/>
    <w:rsid w:val="000D7499"/>
    <w:rsid w:val="000D7636"/>
    <w:rsid w:val="000D7783"/>
    <w:rsid w:val="000D7D7E"/>
    <w:rsid w:val="000D7F67"/>
    <w:rsid w:val="000E0094"/>
    <w:rsid w:val="000E0186"/>
    <w:rsid w:val="000E033D"/>
    <w:rsid w:val="000E0629"/>
    <w:rsid w:val="000E07E2"/>
    <w:rsid w:val="000E0900"/>
    <w:rsid w:val="000E0A04"/>
    <w:rsid w:val="000E0A44"/>
    <w:rsid w:val="000E0C44"/>
    <w:rsid w:val="000E0C74"/>
    <w:rsid w:val="000E10E5"/>
    <w:rsid w:val="000E14E7"/>
    <w:rsid w:val="000E1605"/>
    <w:rsid w:val="000E16BC"/>
    <w:rsid w:val="000E1891"/>
    <w:rsid w:val="000E1F81"/>
    <w:rsid w:val="000E23B8"/>
    <w:rsid w:val="000E24FE"/>
    <w:rsid w:val="000E2607"/>
    <w:rsid w:val="000E274D"/>
    <w:rsid w:val="000E28DA"/>
    <w:rsid w:val="000E3187"/>
    <w:rsid w:val="000E3220"/>
    <w:rsid w:val="000E334E"/>
    <w:rsid w:val="000E359D"/>
    <w:rsid w:val="000E3683"/>
    <w:rsid w:val="000E37ED"/>
    <w:rsid w:val="000E3954"/>
    <w:rsid w:val="000E41F5"/>
    <w:rsid w:val="000E4333"/>
    <w:rsid w:val="000E43CA"/>
    <w:rsid w:val="000E4E56"/>
    <w:rsid w:val="000E6261"/>
    <w:rsid w:val="000E6332"/>
    <w:rsid w:val="000E6A87"/>
    <w:rsid w:val="000E6C91"/>
    <w:rsid w:val="000E725E"/>
    <w:rsid w:val="000E7303"/>
    <w:rsid w:val="000E75F0"/>
    <w:rsid w:val="000E7786"/>
    <w:rsid w:val="000E7A43"/>
    <w:rsid w:val="000E7F7F"/>
    <w:rsid w:val="000F002D"/>
    <w:rsid w:val="000F02A7"/>
    <w:rsid w:val="000F030B"/>
    <w:rsid w:val="000F0568"/>
    <w:rsid w:val="000F082D"/>
    <w:rsid w:val="000F0A8A"/>
    <w:rsid w:val="000F0B0A"/>
    <w:rsid w:val="000F0D01"/>
    <w:rsid w:val="000F1515"/>
    <w:rsid w:val="000F15ED"/>
    <w:rsid w:val="000F17E9"/>
    <w:rsid w:val="000F1A0D"/>
    <w:rsid w:val="000F1E3C"/>
    <w:rsid w:val="000F293D"/>
    <w:rsid w:val="000F29D1"/>
    <w:rsid w:val="000F2F7B"/>
    <w:rsid w:val="000F38A5"/>
    <w:rsid w:val="000F3A48"/>
    <w:rsid w:val="000F3E35"/>
    <w:rsid w:val="000F422C"/>
    <w:rsid w:val="000F428B"/>
    <w:rsid w:val="000F42C8"/>
    <w:rsid w:val="000F44C2"/>
    <w:rsid w:val="000F5176"/>
    <w:rsid w:val="000F5B73"/>
    <w:rsid w:val="000F5E18"/>
    <w:rsid w:val="000F607A"/>
    <w:rsid w:val="000F63AD"/>
    <w:rsid w:val="000F647C"/>
    <w:rsid w:val="000F68B7"/>
    <w:rsid w:val="000F68CB"/>
    <w:rsid w:val="000F6D6C"/>
    <w:rsid w:val="000F70C4"/>
    <w:rsid w:val="000F7373"/>
    <w:rsid w:val="000F74C5"/>
    <w:rsid w:val="000F7782"/>
    <w:rsid w:val="000F7B8F"/>
    <w:rsid w:val="000F7DBA"/>
    <w:rsid w:val="001000B4"/>
    <w:rsid w:val="00100204"/>
    <w:rsid w:val="00100233"/>
    <w:rsid w:val="001002E5"/>
    <w:rsid w:val="00100644"/>
    <w:rsid w:val="0010064D"/>
    <w:rsid w:val="00100950"/>
    <w:rsid w:val="00100A65"/>
    <w:rsid w:val="00100AA9"/>
    <w:rsid w:val="00100ACC"/>
    <w:rsid w:val="00100B07"/>
    <w:rsid w:val="00100C5D"/>
    <w:rsid w:val="00100D5B"/>
    <w:rsid w:val="00100D7C"/>
    <w:rsid w:val="00100DDF"/>
    <w:rsid w:val="00100DE3"/>
    <w:rsid w:val="001010C1"/>
    <w:rsid w:val="00101378"/>
    <w:rsid w:val="00101826"/>
    <w:rsid w:val="00101893"/>
    <w:rsid w:val="00101D45"/>
    <w:rsid w:val="00101D50"/>
    <w:rsid w:val="00101E40"/>
    <w:rsid w:val="001021F1"/>
    <w:rsid w:val="001022E4"/>
    <w:rsid w:val="00102462"/>
    <w:rsid w:val="001026AD"/>
    <w:rsid w:val="00103351"/>
    <w:rsid w:val="00103685"/>
    <w:rsid w:val="00103E21"/>
    <w:rsid w:val="00103FFE"/>
    <w:rsid w:val="00104054"/>
    <w:rsid w:val="001044F7"/>
    <w:rsid w:val="001053D6"/>
    <w:rsid w:val="0010549B"/>
    <w:rsid w:val="0010561C"/>
    <w:rsid w:val="00105C7C"/>
    <w:rsid w:val="0010623E"/>
    <w:rsid w:val="00106813"/>
    <w:rsid w:val="00106BCE"/>
    <w:rsid w:val="00107061"/>
    <w:rsid w:val="0010712D"/>
    <w:rsid w:val="001077CE"/>
    <w:rsid w:val="001079A1"/>
    <w:rsid w:val="00107F9A"/>
    <w:rsid w:val="00110315"/>
    <w:rsid w:val="00111066"/>
    <w:rsid w:val="00111216"/>
    <w:rsid w:val="00111747"/>
    <w:rsid w:val="00111905"/>
    <w:rsid w:val="00111911"/>
    <w:rsid w:val="00111AC2"/>
    <w:rsid w:val="00111E5B"/>
    <w:rsid w:val="00111FB6"/>
    <w:rsid w:val="001124CD"/>
    <w:rsid w:val="001127EC"/>
    <w:rsid w:val="0011291D"/>
    <w:rsid w:val="00112978"/>
    <w:rsid w:val="00112B78"/>
    <w:rsid w:val="001131F0"/>
    <w:rsid w:val="001133E2"/>
    <w:rsid w:val="00113690"/>
    <w:rsid w:val="00113AD9"/>
    <w:rsid w:val="001140BD"/>
    <w:rsid w:val="001144F1"/>
    <w:rsid w:val="00114925"/>
    <w:rsid w:val="0011492A"/>
    <w:rsid w:val="00114CE5"/>
    <w:rsid w:val="001152F1"/>
    <w:rsid w:val="001157DA"/>
    <w:rsid w:val="0011583F"/>
    <w:rsid w:val="001158A9"/>
    <w:rsid w:val="00115F55"/>
    <w:rsid w:val="0011624C"/>
    <w:rsid w:val="001167D8"/>
    <w:rsid w:val="00116A09"/>
    <w:rsid w:val="00116BD7"/>
    <w:rsid w:val="00116D02"/>
    <w:rsid w:val="001172F6"/>
    <w:rsid w:val="001174B5"/>
    <w:rsid w:val="00117597"/>
    <w:rsid w:val="00117630"/>
    <w:rsid w:val="00117777"/>
    <w:rsid w:val="00117C41"/>
    <w:rsid w:val="00120226"/>
    <w:rsid w:val="00120A8D"/>
    <w:rsid w:val="00120F27"/>
    <w:rsid w:val="001216FF"/>
    <w:rsid w:val="00121E47"/>
    <w:rsid w:val="0012206C"/>
    <w:rsid w:val="00122397"/>
    <w:rsid w:val="001223B0"/>
    <w:rsid w:val="001226AB"/>
    <w:rsid w:val="00122806"/>
    <w:rsid w:val="00122CB5"/>
    <w:rsid w:val="00122D4F"/>
    <w:rsid w:val="00122D87"/>
    <w:rsid w:val="00123499"/>
    <w:rsid w:val="001234F7"/>
    <w:rsid w:val="0012377B"/>
    <w:rsid w:val="00123D59"/>
    <w:rsid w:val="0012410F"/>
    <w:rsid w:val="00124462"/>
    <w:rsid w:val="001244AF"/>
    <w:rsid w:val="00124BF2"/>
    <w:rsid w:val="001250C9"/>
    <w:rsid w:val="00125929"/>
    <w:rsid w:val="00125A57"/>
    <w:rsid w:val="00126FDF"/>
    <w:rsid w:val="001270FF"/>
    <w:rsid w:val="001271DE"/>
    <w:rsid w:val="0012747E"/>
    <w:rsid w:val="00127647"/>
    <w:rsid w:val="0012783A"/>
    <w:rsid w:val="00130155"/>
    <w:rsid w:val="001301EA"/>
    <w:rsid w:val="00130235"/>
    <w:rsid w:val="001305D7"/>
    <w:rsid w:val="0013069A"/>
    <w:rsid w:val="00130C94"/>
    <w:rsid w:val="00131587"/>
    <w:rsid w:val="0013198D"/>
    <w:rsid w:val="00131B1B"/>
    <w:rsid w:val="00131B4F"/>
    <w:rsid w:val="00131BC7"/>
    <w:rsid w:val="00131D37"/>
    <w:rsid w:val="00131F13"/>
    <w:rsid w:val="00132531"/>
    <w:rsid w:val="0013260F"/>
    <w:rsid w:val="001326D5"/>
    <w:rsid w:val="001330F9"/>
    <w:rsid w:val="001338F7"/>
    <w:rsid w:val="00134110"/>
    <w:rsid w:val="001341DD"/>
    <w:rsid w:val="0013469B"/>
    <w:rsid w:val="00134A2B"/>
    <w:rsid w:val="00134C59"/>
    <w:rsid w:val="00134CFF"/>
    <w:rsid w:val="00134D31"/>
    <w:rsid w:val="00135443"/>
    <w:rsid w:val="00135CE2"/>
    <w:rsid w:val="001361DE"/>
    <w:rsid w:val="00136DF5"/>
    <w:rsid w:val="00136E47"/>
    <w:rsid w:val="001370E6"/>
    <w:rsid w:val="0013787E"/>
    <w:rsid w:val="001400F4"/>
    <w:rsid w:val="0014078A"/>
    <w:rsid w:val="00141A26"/>
    <w:rsid w:val="00141EB9"/>
    <w:rsid w:val="00141ECD"/>
    <w:rsid w:val="001421C4"/>
    <w:rsid w:val="001426E5"/>
    <w:rsid w:val="001426F8"/>
    <w:rsid w:val="00142A09"/>
    <w:rsid w:val="00142C12"/>
    <w:rsid w:val="00142E65"/>
    <w:rsid w:val="00143685"/>
    <w:rsid w:val="00143D1E"/>
    <w:rsid w:val="00143F30"/>
    <w:rsid w:val="00143F3A"/>
    <w:rsid w:val="001449AD"/>
    <w:rsid w:val="0014577F"/>
    <w:rsid w:val="00145859"/>
    <w:rsid w:val="00145B43"/>
    <w:rsid w:val="00145B87"/>
    <w:rsid w:val="00145C07"/>
    <w:rsid w:val="00145CEA"/>
    <w:rsid w:val="00145D11"/>
    <w:rsid w:val="00145DD1"/>
    <w:rsid w:val="00145FCA"/>
    <w:rsid w:val="00146086"/>
    <w:rsid w:val="0014622D"/>
    <w:rsid w:val="0014630C"/>
    <w:rsid w:val="00146873"/>
    <w:rsid w:val="001469A2"/>
    <w:rsid w:val="001469F4"/>
    <w:rsid w:val="00146B06"/>
    <w:rsid w:val="0014700E"/>
    <w:rsid w:val="001470CC"/>
    <w:rsid w:val="001473B1"/>
    <w:rsid w:val="0014749B"/>
    <w:rsid w:val="001475A6"/>
    <w:rsid w:val="00150398"/>
    <w:rsid w:val="001504E9"/>
    <w:rsid w:val="00150685"/>
    <w:rsid w:val="00150F35"/>
    <w:rsid w:val="00151177"/>
    <w:rsid w:val="00151183"/>
    <w:rsid w:val="00151B40"/>
    <w:rsid w:val="00151BFF"/>
    <w:rsid w:val="00152117"/>
    <w:rsid w:val="0015218C"/>
    <w:rsid w:val="0015222A"/>
    <w:rsid w:val="00152243"/>
    <w:rsid w:val="00152385"/>
    <w:rsid w:val="00152498"/>
    <w:rsid w:val="00152864"/>
    <w:rsid w:val="00152F18"/>
    <w:rsid w:val="00153142"/>
    <w:rsid w:val="00153AEE"/>
    <w:rsid w:val="00153AF4"/>
    <w:rsid w:val="00153AF8"/>
    <w:rsid w:val="00153BFE"/>
    <w:rsid w:val="00153E57"/>
    <w:rsid w:val="001546AB"/>
    <w:rsid w:val="001557D4"/>
    <w:rsid w:val="001559B4"/>
    <w:rsid w:val="0015629A"/>
    <w:rsid w:val="00156316"/>
    <w:rsid w:val="001565FA"/>
    <w:rsid w:val="00156764"/>
    <w:rsid w:val="0015689D"/>
    <w:rsid w:val="00156AB8"/>
    <w:rsid w:val="00156C77"/>
    <w:rsid w:val="0015734D"/>
    <w:rsid w:val="00157440"/>
    <w:rsid w:val="00157846"/>
    <w:rsid w:val="0016001F"/>
    <w:rsid w:val="00160561"/>
    <w:rsid w:val="001610EE"/>
    <w:rsid w:val="001612F4"/>
    <w:rsid w:val="00161599"/>
    <w:rsid w:val="001619BE"/>
    <w:rsid w:val="00161C69"/>
    <w:rsid w:val="0016218F"/>
    <w:rsid w:val="001623A5"/>
    <w:rsid w:val="001625E0"/>
    <w:rsid w:val="00162A69"/>
    <w:rsid w:val="00162C26"/>
    <w:rsid w:val="00163351"/>
    <w:rsid w:val="00163383"/>
    <w:rsid w:val="001637D7"/>
    <w:rsid w:val="00163973"/>
    <w:rsid w:val="00163FDA"/>
    <w:rsid w:val="00164172"/>
    <w:rsid w:val="00164250"/>
    <w:rsid w:val="0016480C"/>
    <w:rsid w:val="00164AEF"/>
    <w:rsid w:val="00164BFD"/>
    <w:rsid w:val="001650B8"/>
    <w:rsid w:val="00165324"/>
    <w:rsid w:val="001654BF"/>
    <w:rsid w:val="001655EC"/>
    <w:rsid w:val="00165846"/>
    <w:rsid w:val="001658F0"/>
    <w:rsid w:val="00165BD1"/>
    <w:rsid w:val="001663D1"/>
    <w:rsid w:val="0016640B"/>
    <w:rsid w:val="001667BF"/>
    <w:rsid w:val="00166968"/>
    <w:rsid w:val="00166B27"/>
    <w:rsid w:val="00167072"/>
    <w:rsid w:val="001670AA"/>
    <w:rsid w:val="00167794"/>
    <w:rsid w:val="0016795A"/>
    <w:rsid w:val="00167DD4"/>
    <w:rsid w:val="00167E2E"/>
    <w:rsid w:val="00170214"/>
    <w:rsid w:val="001702BD"/>
    <w:rsid w:val="001703F3"/>
    <w:rsid w:val="001704C1"/>
    <w:rsid w:val="00170679"/>
    <w:rsid w:val="001706A2"/>
    <w:rsid w:val="001707F3"/>
    <w:rsid w:val="00170B93"/>
    <w:rsid w:val="00170CD7"/>
    <w:rsid w:val="00170EBD"/>
    <w:rsid w:val="00171B35"/>
    <w:rsid w:val="00171BF7"/>
    <w:rsid w:val="00171CD5"/>
    <w:rsid w:val="00172138"/>
    <w:rsid w:val="00172471"/>
    <w:rsid w:val="001724CC"/>
    <w:rsid w:val="001725B3"/>
    <w:rsid w:val="00172768"/>
    <w:rsid w:val="00172A27"/>
    <w:rsid w:val="00172CA3"/>
    <w:rsid w:val="00172E9E"/>
    <w:rsid w:val="00173570"/>
    <w:rsid w:val="001735FC"/>
    <w:rsid w:val="00173727"/>
    <w:rsid w:val="001738B6"/>
    <w:rsid w:val="00173C50"/>
    <w:rsid w:val="0017474D"/>
    <w:rsid w:val="00174ABA"/>
    <w:rsid w:val="00174E32"/>
    <w:rsid w:val="00174FA1"/>
    <w:rsid w:val="00175D26"/>
    <w:rsid w:val="00175D57"/>
    <w:rsid w:val="00175F97"/>
    <w:rsid w:val="001764CF"/>
    <w:rsid w:val="00176623"/>
    <w:rsid w:val="001767BA"/>
    <w:rsid w:val="0017692E"/>
    <w:rsid w:val="00176DC2"/>
    <w:rsid w:val="001776E5"/>
    <w:rsid w:val="0017796E"/>
    <w:rsid w:val="00177D60"/>
    <w:rsid w:val="00177E55"/>
    <w:rsid w:val="00177FA8"/>
    <w:rsid w:val="00180024"/>
    <w:rsid w:val="001803D9"/>
    <w:rsid w:val="0018140D"/>
    <w:rsid w:val="0018170F"/>
    <w:rsid w:val="00181A5A"/>
    <w:rsid w:val="00181E5A"/>
    <w:rsid w:val="00181EDC"/>
    <w:rsid w:val="00182123"/>
    <w:rsid w:val="00182689"/>
    <w:rsid w:val="001834F1"/>
    <w:rsid w:val="0018359F"/>
    <w:rsid w:val="0018396B"/>
    <w:rsid w:val="00183A27"/>
    <w:rsid w:val="00183ED8"/>
    <w:rsid w:val="00184085"/>
    <w:rsid w:val="0018435D"/>
    <w:rsid w:val="00184790"/>
    <w:rsid w:val="00184890"/>
    <w:rsid w:val="001848AA"/>
    <w:rsid w:val="00184C2C"/>
    <w:rsid w:val="00184C69"/>
    <w:rsid w:val="00184C86"/>
    <w:rsid w:val="00184DF8"/>
    <w:rsid w:val="00185331"/>
    <w:rsid w:val="001856B4"/>
    <w:rsid w:val="00185A7D"/>
    <w:rsid w:val="00185B7A"/>
    <w:rsid w:val="00185BC6"/>
    <w:rsid w:val="00185E82"/>
    <w:rsid w:val="00186035"/>
    <w:rsid w:val="001867F4"/>
    <w:rsid w:val="00186901"/>
    <w:rsid w:val="00186E1A"/>
    <w:rsid w:val="00187214"/>
    <w:rsid w:val="001872CB"/>
    <w:rsid w:val="001874FC"/>
    <w:rsid w:val="00187624"/>
    <w:rsid w:val="001879E0"/>
    <w:rsid w:val="00187C2E"/>
    <w:rsid w:val="00187C6F"/>
    <w:rsid w:val="00187D5B"/>
    <w:rsid w:val="00187DCD"/>
    <w:rsid w:val="00187E98"/>
    <w:rsid w:val="0019034B"/>
    <w:rsid w:val="0019042E"/>
    <w:rsid w:val="00190B7A"/>
    <w:rsid w:val="00190C6D"/>
    <w:rsid w:val="00190CF2"/>
    <w:rsid w:val="001910DE"/>
    <w:rsid w:val="001913C8"/>
    <w:rsid w:val="0019176C"/>
    <w:rsid w:val="00191BA3"/>
    <w:rsid w:val="00191D6F"/>
    <w:rsid w:val="00191E13"/>
    <w:rsid w:val="00191E18"/>
    <w:rsid w:val="0019200C"/>
    <w:rsid w:val="001920D8"/>
    <w:rsid w:val="001920FE"/>
    <w:rsid w:val="00192805"/>
    <w:rsid w:val="00192A13"/>
    <w:rsid w:val="00192E2A"/>
    <w:rsid w:val="00192F0A"/>
    <w:rsid w:val="00192F75"/>
    <w:rsid w:val="00193691"/>
    <w:rsid w:val="00193BBC"/>
    <w:rsid w:val="00193F95"/>
    <w:rsid w:val="0019401C"/>
    <w:rsid w:val="001946AF"/>
    <w:rsid w:val="001947FF"/>
    <w:rsid w:val="00194AFE"/>
    <w:rsid w:val="00194F21"/>
    <w:rsid w:val="001953DF"/>
    <w:rsid w:val="0019562D"/>
    <w:rsid w:val="001956A8"/>
    <w:rsid w:val="0019576D"/>
    <w:rsid w:val="00195E27"/>
    <w:rsid w:val="00195F05"/>
    <w:rsid w:val="00196384"/>
    <w:rsid w:val="0019669B"/>
    <w:rsid w:val="00196A78"/>
    <w:rsid w:val="00196A85"/>
    <w:rsid w:val="00197532"/>
    <w:rsid w:val="00197583"/>
    <w:rsid w:val="001975EE"/>
    <w:rsid w:val="001977E1"/>
    <w:rsid w:val="00197985"/>
    <w:rsid w:val="00197D58"/>
    <w:rsid w:val="001A05B1"/>
    <w:rsid w:val="001A0A62"/>
    <w:rsid w:val="001A0E36"/>
    <w:rsid w:val="001A126A"/>
    <w:rsid w:val="001A1A12"/>
    <w:rsid w:val="001A247B"/>
    <w:rsid w:val="001A26D2"/>
    <w:rsid w:val="001A356C"/>
    <w:rsid w:val="001A3AB4"/>
    <w:rsid w:val="001A42E9"/>
    <w:rsid w:val="001A431F"/>
    <w:rsid w:val="001A4898"/>
    <w:rsid w:val="001A4A74"/>
    <w:rsid w:val="001A4BF2"/>
    <w:rsid w:val="001A5125"/>
    <w:rsid w:val="001A5238"/>
    <w:rsid w:val="001A567C"/>
    <w:rsid w:val="001A5795"/>
    <w:rsid w:val="001A5828"/>
    <w:rsid w:val="001A5917"/>
    <w:rsid w:val="001A5B94"/>
    <w:rsid w:val="001A5D09"/>
    <w:rsid w:val="001A5F96"/>
    <w:rsid w:val="001A6696"/>
    <w:rsid w:val="001A69EA"/>
    <w:rsid w:val="001A6B71"/>
    <w:rsid w:val="001A6E56"/>
    <w:rsid w:val="001A6F70"/>
    <w:rsid w:val="001A7411"/>
    <w:rsid w:val="001A7487"/>
    <w:rsid w:val="001A74E4"/>
    <w:rsid w:val="001A788C"/>
    <w:rsid w:val="001A7903"/>
    <w:rsid w:val="001B0138"/>
    <w:rsid w:val="001B0318"/>
    <w:rsid w:val="001B0336"/>
    <w:rsid w:val="001B03E1"/>
    <w:rsid w:val="001B0544"/>
    <w:rsid w:val="001B07C0"/>
    <w:rsid w:val="001B0A51"/>
    <w:rsid w:val="001B0B8C"/>
    <w:rsid w:val="001B1D69"/>
    <w:rsid w:val="001B20B4"/>
    <w:rsid w:val="001B2605"/>
    <w:rsid w:val="001B2670"/>
    <w:rsid w:val="001B29DB"/>
    <w:rsid w:val="001B2C89"/>
    <w:rsid w:val="001B2D50"/>
    <w:rsid w:val="001B2DDB"/>
    <w:rsid w:val="001B2EA3"/>
    <w:rsid w:val="001B2F0D"/>
    <w:rsid w:val="001B315B"/>
    <w:rsid w:val="001B3397"/>
    <w:rsid w:val="001B3495"/>
    <w:rsid w:val="001B3766"/>
    <w:rsid w:val="001B38D0"/>
    <w:rsid w:val="001B399E"/>
    <w:rsid w:val="001B3AF6"/>
    <w:rsid w:val="001B3C9C"/>
    <w:rsid w:val="001B3ED4"/>
    <w:rsid w:val="001B3FDB"/>
    <w:rsid w:val="001B4695"/>
    <w:rsid w:val="001B46EA"/>
    <w:rsid w:val="001B4983"/>
    <w:rsid w:val="001B4DD9"/>
    <w:rsid w:val="001B5007"/>
    <w:rsid w:val="001B514D"/>
    <w:rsid w:val="001B585A"/>
    <w:rsid w:val="001B599A"/>
    <w:rsid w:val="001B5A05"/>
    <w:rsid w:val="001B5C0B"/>
    <w:rsid w:val="001B5D35"/>
    <w:rsid w:val="001B60B2"/>
    <w:rsid w:val="001B61D7"/>
    <w:rsid w:val="001B63F9"/>
    <w:rsid w:val="001B6848"/>
    <w:rsid w:val="001B68FC"/>
    <w:rsid w:val="001B77FE"/>
    <w:rsid w:val="001B7BDA"/>
    <w:rsid w:val="001C016C"/>
    <w:rsid w:val="001C02BC"/>
    <w:rsid w:val="001C0704"/>
    <w:rsid w:val="001C0B59"/>
    <w:rsid w:val="001C1419"/>
    <w:rsid w:val="001C17BA"/>
    <w:rsid w:val="001C1AC5"/>
    <w:rsid w:val="001C201C"/>
    <w:rsid w:val="001C23F3"/>
    <w:rsid w:val="001C2FDA"/>
    <w:rsid w:val="001C3367"/>
    <w:rsid w:val="001C378E"/>
    <w:rsid w:val="001C3940"/>
    <w:rsid w:val="001C3A45"/>
    <w:rsid w:val="001C3B83"/>
    <w:rsid w:val="001C3CD3"/>
    <w:rsid w:val="001C4111"/>
    <w:rsid w:val="001C4180"/>
    <w:rsid w:val="001C43C2"/>
    <w:rsid w:val="001C508A"/>
    <w:rsid w:val="001C5240"/>
    <w:rsid w:val="001C5316"/>
    <w:rsid w:val="001C5D70"/>
    <w:rsid w:val="001C5F9F"/>
    <w:rsid w:val="001C6054"/>
    <w:rsid w:val="001C6230"/>
    <w:rsid w:val="001C6239"/>
    <w:rsid w:val="001C7349"/>
    <w:rsid w:val="001C75F4"/>
    <w:rsid w:val="001C77A8"/>
    <w:rsid w:val="001C7CC4"/>
    <w:rsid w:val="001C7DD8"/>
    <w:rsid w:val="001D0898"/>
    <w:rsid w:val="001D0B19"/>
    <w:rsid w:val="001D0CE0"/>
    <w:rsid w:val="001D0F06"/>
    <w:rsid w:val="001D0FBD"/>
    <w:rsid w:val="001D10D6"/>
    <w:rsid w:val="001D12C8"/>
    <w:rsid w:val="001D147A"/>
    <w:rsid w:val="001D1568"/>
    <w:rsid w:val="001D1652"/>
    <w:rsid w:val="001D1706"/>
    <w:rsid w:val="001D2D5C"/>
    <w:rsid w:val="001D2FA4"/>
    <w:rsid w:val="001D3190"/>
    <w:rsid w:val="001D3C2A"/>
    <w:rsid w:val="001D3C73"/>
    <w:rsid w:val="001D4334"/>
    <w:rsid w:val="001D460A"/>
    <w:rsid w:val="001D476B"/>
    <w:rsid w:val="001D4C3A"/>
    <w:rsid w:val="001D4FFF"/>
    <w:rsid w:val="001D54C1"/>
    <w:rsid w:val="001D5DA7"/>
    <w:rsid w:val="001D61BE"/>
    <w:rsid w:val="001D61FB"/>
    <w:rsid w:val="001D6675"/>
    <w:rsid w:val="001D67F3"/>
    <w:rsid w:val="001D680A"/>
    <w:rsid w:val="001D6A97"/>
    <w:rsid w:val="001D6F2F"/>
    <w:rsid w:val="001D7070"/>
    <w:rsid w:val="001D70E6"/>
    <w:rsid w:val="001D7320"/>
    <w:rsid w:val="001D7576"/>
    <w:rsid w:val="001D7C23"/>
    <w:rsid w:val="001D7E48"/>
    <w:rsid w:val="001E053A"/>
    <w:rsid w:val="001E0557"/>
    <w:rsid w:val="001E07F2"/>
    <w:rsid w:val="001E0ACD"/>
    <w:rsid w:val="001E109C"/>
    <w:rsid w:val="001E11ED"/>
    <w:rsid w:val="001E14A5"/>
    <w:rsid w:val="001E1617"/>
    <w:rsid w:val="001E16D1"/>
    <w:rsid w:val="001E194C"/>
    <w:rsid w:val="001E1BD3"/>
    <w:rsid w:val="001E1E4B"/>
    <w:rsid w:val="001E1E6F"/>
    <w:rsid w:val="001E1E90"/>
    <w:rsid w:val="001E1FE2"/>
    <w:rsid w:val="001E22E0"/>
    <w:rsid w:val="001E24F5"/>
    <w:rsid w:val="001E277A"/>
    <w:rsid w:val="001E27C7"/>
    <w:rsid w:val="001E28B8"/>
    <w:rsid w:val="001E292D"/>
    <w:rsid w:val="001E2B6C"/>
    <w:rsid w:val="001E308F"/>
    <w:rsid w:val="001E30C6"/>
    <w:rsid w:val="001E323E"/>
    <w:rsid w:val="001E338F"/>
    <w:rsid w:val="001E3934"/>
    <w:rsid w:val="001E3DEE"/>
    <w:rsid w:val="001E3DF2"/>
    <w:rsid w:val="001E41ED"/>
    <w:rsid w:val="001E42DE"/>
    <w:rsid w:val="001E4472"/>
    <w:rsid w:val="001E4B0E"/>
    <w:rsid w:val="001E4CF6"/>
    <w:rsid w:val="001E5137"/>
    <w:rsid w:val="001E53C9"/>
    <w:rsid w:val="001E5589"/>
    <w:rsid w:val="001E5E0D"/>
    <w:rsid w:val="001E6347"/>
    <w:rsid w:val="001E6DE6"/>
    <w:rsid w:val="001E71F4"/>
    <w:rsid w:val="001E7671"/>
    <w:rsid w:val="001F01D7"/>
    <w:rsid w:val="001F0264"/>
    <w:rsid w:val="001F0286"/>
    <w:rsid w:val="001F0347"/>
    <w:rsid w:val="001F03C2"/>
    <w:rsid w:val="001F0401"/>
    <w:rsid w:val="001F04BF"/>
    <w:rsid w:val="001F057D"/>
    <w:rsid w:val="001F06B5"/>
    <w:rsid w:val="001F078D"/>
    <w:rsid w:val="001F07A5"/>
    <w:rsid w:val="001F0BCE"/>
    <w:rsid w:val="001F11BF"/>
    <w:rsid w:val="001F13D3"/>
    <w:rsid w:val="001F1DD4"/>
    <w:rsid w:val="001F1F0F"/>
    <w:rsid w:val="001F1F62"/>
    <w:rsid w:val="001F215E"/>
    <w:rsid w:val="001F2458"/>
    <w:rsid w:val="001F2A75"/>
    <w:rsid w:val="001F2BFA"/>
    <w:rsid w:val="001F2CB5"/>
    <w:rsid w:val="001F2FBB"/>
    <w:rsid w:val="001F3AD3"/>
    <w:rsid w:val="001F3E03"/>
    <w:rsid w:val="001F3E15"/>
    <w:rsid w:val="001F40ED"/>
    <w:rsid w:val="001F468E"/>
    <w:rsid w:val="001F48F8"/>
    <w:rsid w:val="001F4B0A"/>
    <w:rsid w:val="001F4DC3"/>
    <w:rsid w:val="001F54DB"/>
    <w:rsid w:val="001F5621"/>
    <w:rsid w:val="001F5670"/>
    <w:rsid w:val="001F5714"/>
    <w:rsid w:val="001F5BA2"/>
    <w:rsid w:val="001F5BD6"/>
    <w:rsid w:val="001F5C67"/>
    <w:rsid w:val="001F60F4"/>
    <w:rsid w:val="001F680E"/>
    <w:rsid w:val="001F6D05"/>
    <w:rsid w:val="001F6D1F"/>
    <w:rsid w:val="001F6F83"/>
    <w:rsid w:val="001F71C1"/>
    <w:rsid w:val="001F7618"/>
    <w:rsid w:val="001F79C1"/>
    <w:rsid w:val="00200094"/>
    <w:rsid w:val="00200384"/>
    <w:rsid w:val="002003AE"/>
    <w:rsid w:val="00200403"/>
    <w:rsid w:val="002008A3"/>
    <w:rsid w:val="00200986"/>
    <w:rsid w:val="0020121E"/>
    <w:rsid w:val="00201462"/>
    <w:rsid w:val="00201590"/>
    <w:rsid w:val="002015FB"/>
    <w:rsid w:val="002020C3"/>
    <w:rsid w:val="0020271A"/>
    <w:rsid w:val="00202B19"/>
    <w:rsid w:val="00202F24"/>
    <w:rsid w:val="0020313A"/>
    <w:rsid w:val="00203209"/>
    <w:rsid w:val="002033D6"/>
    <w:rsid w:val="00203787"/>
    <w:rsid w:val="00203B88"/>
    <w:rsid w:val="00203C2D"/>
    <w:rsid w:val="00203EC5"/>
    <w:rsid w:val="0020417B"/>
    <w:rsid w:val="00204184"/>
    <w:rsid w:val="002041E2"/>
    <w:rsid w:val="00204740"/>
    <w:rsid w:val="002047C8"/>
    <w:rsid w:val="00204A81"/>
    <w:rsid w:val="00204CA5"/>
    <w:rsid w:val="00204DB9"/>
    <w:rsid w:val="002054CA"/>
    <w:rsid w:val="0020552A"/>
    <w:rsid w:val="002057A1"/>
    <w:rsid w:val="00205AAE"/>
    <w:rsid w:val="00205E34"/>
    <w:rsid w:val="00205E91"/>
    <w:rsid w:val="002065A2"/>
    <w:rsid w:val="00206E56"/>
    <w:rsid w:val="00207205"/>
    <w:rsid w:val="002076D5"/>
    <w:rsid w:val="0020777C"/>
    <w:rsid w:val="002078DE"/>
    <w:rsid w:val="0021022D"/>
    <w:rsid w:val="002106B1"/>
    <w:rsid w:val="00210815"/>
    <w:rsid w:val="002109FA"/>
    <w:rsid w:val="00211259"/>
    <w:rsid w:val="002113A2"/>
    <w:rsid w:val="00211AC1"/>
    <w:rsid w:val="00211DD1"/>
    <w:rsid w:val="00211EF1"/>
    <w:rsid w:val="00212038"/>
    <w:rsid w:val="00212190"/>
    <w:rsid w:val="002122A9"/>
    <w:rsid w:val="002124A1"/>
    <w:rsid w:val="002125C4"/>
    <w:rsid w:val="002126DE"/>
    <w:rsid w:val="00212CE6"/>
    <w:rsid w:val="00213253"/>
    <w:rsid w:val="0021329A"/>
    <w:rsid w:val="00213309"/>
    <w:rsid w:val="002135A1"/>
    <w:rsid w:val="00213C94"/>
    <w:rsid w:val="002141DD"/>
    <w:rsid w:val="0021454E"/>
    <w:rsid w:val="00214988"/>
    <w:rsid w:val="00214DE4"/>
    <w:rsid w:val="00214F59"/>
    <w:rsid w:val="00216263"/>
    <w:rsid w:val="00216398"/>
    <w:rsid w:val="002165BD"/>
    <w:rsid w:val="00216FBE"/>
    <w:rsid w:val="0021710C"/>
    <w:rsid w:val="002171DF"/>
    <w:rsid w:val="002171E5"/>
    <w:rsid w:val="0021760F"/>
    <w:rsid w:val="002177CA"/>
    <w:rsid w:val="00217EB5"/>
    <w:rsid w:val="002204A0"/>
    <w:rsid w:val="00220603"/>
    <w:rsid w:val="00220664"/>
    <w:rsid w:val="0022067E"/>
    <w:rsid w:val="00220D22"/>
    <w:rsid w:val="0022106F"/>
    <w:rsid w:val="002211BF"/>
    <w:rsid w:val="00221717"/>
    <w:rsid w:val="00221773"/>
    <w:rsid w:val="0022268A"/>
    <w:rsid w:val="00222C3C"/>
    <w:rsid w:val="0022306F"/>
    <w:rsid w:val="0022323F"/>
    <w:rsid w:val="0022383E"/>
    <w:rsid w:val="002242CC"/>
    <w:rsid w:val="002249A1"/>
    <w:rsid w:val="0022635B"/>
    <w:rsid w:val="00226967"/>
    <w:rsid w:val="00226A9F"/>
    <w:rsid w:val="00226B0E"/>
    <w:rsid w:val="00226BD6"/>
    <w:rsid w:val="00226CC9"/>
    <w:rsid w:val="00226CE2"/>
    <w:rsid w:val="00226E12"/>
    <w:rsid w:val="0022714C"/>
    <w:rsid w:val="00227261"/>
    <w:rsid w:val="00227607"/>
    <w:rsid w:val="00227687"/>
    <w:rsid w:val="00227706"/>
    <w:rsid w:val="00227817"/>
    <w:rsid w:val="00227960"/>
    <w:rsid w:val="00227AC2"/>
    <w:rsid w:val="00227BA5"/>
    <w:rsid w:val="00227C9F"/>
    <w:rsid w:val="00227CF7"/>
    <w:rsid w:val="00227E02"/>
    <w:rsid w:val="00227F37"/>
    <w:rsid w:val="002302D7"/>
    <w:rsid w:val="00230A48"/>
    <w:rsid w:val="00230CBB"/>
    <w:rsid w:val="00230D39"/>
    <w:rsid w:val="00230F34"/>
    <w:rsid w:val="00230F63"/>
    <w:rsid w:val="0023167D"/>
    <w:rsid w:val="002318E0"/>
    <w:rsid w:val="00231C1E"/>
    <w:rsid w:val="00232DE1"/>
    <w:rsid w:val="00232FD3"/>
    <w:rsid w:val="0023364A"/>
    <w:rsid w:val="00233670"/>
    <w:rsid w:val="00233E4A"/>
    <w:rsid w:val="0023404B"/>
    <w:rsid w:val="002340DB"/>
    <w:rsid w:val="002345BF"/>
    <w:rsid w:val="0023471C"/>
    <w:rsid w:val="00234740"/>
    <w:rsid w:val="002348D5"/>
    <w:rsid w:val="00234B81"/>
    <w:rsid w:val="00235011"/>
    <w:rsid w:val="00235546"/>
    <w:rsid w:val="00235EE0"/>
    <w:rsid w:val="00236630"/>
    <w:rsid w:val="00236C68"/>
    <w:rsid w:val="00237416"/>
    <w:rsid w:val="00237809"/>
    <w:rsid w:val="00237823"/>
    <w:rsid w:val="00237ACD"/>
    <w:rsid w:val="00237D82"/>
    <w:rsid w:val="00237E52"/>
    <w:rsid w:val="00237F56"/>
    <w:rsid w:val="002404BE"/>
    <w:rsid w:val="002408C6"/>
    <w:rsid w:val="0024126E"/>
    <w:rsid w:val="002416CD"/>
    <w:rsid w:val="002417AE"/>
    <w:rsid w:val="0024188C"/>
    <w:rsid w:val="00241D1A"/>
    <w:rsid w:val="00241ED8"/>
    <w:rsid w:val="002420CC"/>
    <w:rsid w:val="002421DC"/>
    <w:rsid w:val="00242692"/>
    <w:rsid w:val="0024295E"/>
    <w:rsid w:val="00243040"/>
    <w:rsid w:val="00243A29"/>
    <w:rsid w:val="00243AAE"/>
    <w:rsid w:val="00243D61"/>
    <w:rsid w:val="00243E55"/>
    <w:rsid w:val="0024401C"/>
    <w:rsid w:val="0024409F"/>
    <w:rsid w:val="002443F0"/>
    <w:rsid w:val="00244575"/>
    <w:rsid w:val="00244A79"/>
    <w:rsid w:val="002450BF"/>
    <w:rsid w:val="002450F1"/>
    <w:rsid w:val="0024526C"/>
    <w:rsid w:val="002453B8"/>
    <w:rsid w:val="00245520"/>
    <w:rsid w:val="00245624"/>
    <w:rsid w:val="002456CA"/>
    <w:rsid w:val="00245AB7"/>
    <w:rsid w:val="00245E29"/>
    <w:rsid w:val="002463E0"/>
    <w:rsid w:val="00246DF5"/>
    <w:rsid w:val="00247BF9"/>
    <w:rsid w:val="00247C9D"/>
    <w:rsid w:val="0025011D"/>
    <w:rsid w:val="00250207"/>
    <w:rsid w:val="00250AA8"/>
    <w:rsid w:val="00250B51"/>
    <w:rsid w:val="00251046"/>
    <w:rsid w:val="002510EC"/>
    <w:rsid w:val="002512C3"/>
    <w:rsid w:val="0025166F"/>
    <w:rsid w:val="002516EA"/>
    <w:rsid w:val="002517DC"/>
    <w:rsid w:val="00251F4B"/>
    <w:rsid w:val="00252116"/>
    <w:rsid w:val="002523CF"/>
    <w:rsid w:val="002524D7"/>
    <w:rsid w:val="00252AEC"/>
    <w:rsid w:val="00252C9F"/>
    <w:rsid w:val="00252EE0"/>
    <w:rsid w:val="00252EE9"/>
    <w:rsid w:val="00252FBE"/>
    <w:rsid w:val="0025314C"/>
    <w:rsid w:val="0025323E"/>
    <w:rsid w:val="00253477"/>
    <w:rsid w:val="0025353F"/>
    <w:rsid w:val="00253885"/>
    <w:rsid w:val="0025394A"/>
    <w:rsid w:val="00253B8F"/>
    <w:rsid w:val="002547AF"/>
    <w:rsid w:val="00254D21"/>
    <w:rsid w:val="00254DC0"/>
    <w:rsid w:val="00254E60"/>
    <w:rsid w:val="002550EE"/>
    <w:rsid w:val="0025530D"/>
    <w:rsid w:val="0025541F"/>
    <w:rsid w:val="00255597"/>
    <w:rsid w:val="00255643"/>
    <w:rsid w:val="0025581B"/>
    <w:rsid w:val="00255A38"/>
    <w:rsid w:val="00255F29"/>
    <w:rsid w:val="00256FEE"/>
    <w:rsid w:val="002571CE"/>
    <w:rsid w:val="00257644"/>
    <w:rsid w:val="002577AA"/>
    <w:rsid w:val="002601BC"/>
    <w:rsid w:val="00260CAC"/>
    <w:rsid w:val="00260EFD"/>
    <w:rsid w:val="00261033"/>
    <w:rsid w:val="002612C4"/>
    <w:rsid w:val="00261587"/>
    <w:rsid w:val="00261C0F"/>
    <w:rsid w:val="00261D0D"/>
    <w:rsid w:val="00261D20"/>
    <w:rsid w:val="00261E6A"/>
    <w:rsid w:val="00261F9F"/>
    <w:rsid w:val="0026260E"/>
    <w:rsid w:val="002632B2"/>
    <w:rsid w:val="002638F3"/>
    <w:rsid w:val="00263A95"/>
    <w:rsid w:val="00263EF1"/>
    <w:rsid w:val="002643E7"/>
    <w:rsid w:val="002644F7"/>
    <w:rsid w:val="002646EA"/>
    <w:rsid w:val="0026471A"/>
    <w:rsid w:val="002656C4"/>
    <w:rsid w:val="002659E9"/>
    <w:rsid w:val="00265ED5"/>
    <w:rsid w:val="00265F64"/>
    <w:rsid w:val="00266270"/>
    <w:rsid w:val="002662B4"/>
    <w:rsid w:val="00266582"/>
    <w:rsid w:val="002665CB"/>
    <w:rsid w:val="00266B00"/>
    <w:rsid w:val="00266E8D"/>
    <w:rsid w:val="00266FE8"/>
    <w:rsid w:val="002675C3"/>
    <w:rsid w:val="002677B6"/>
    <w:rsid w:val="00270386"/>
    <w:rsid w:val="002707A3"/>
    <w:rsid w:val="00270914"/>
    <w:rsid w:val="00270A55"/>
    <w:rsid w:val="00270CAD"/>
    <w:rsid w:val="00270CC1"/>
    <w:rsid w:val="00271375"/>
    <w:rsid w:val="00271779"/>
    <w:rsid w:val="00271E04"/>
    <w:rsid w:val="00271F31"/>
    <w:rsid w:val="00272358"/>
    <w:rsid w:val="00272727"/>
    <w:rsid w:val="00272B41"/>
    <w:rsid w:val="00272C90"/>
    <w:rsid w:val="002730BD"/>
    <w:rsid w:val="0027329C"/>
    <w:rsid w:val="002732D8"/>
    <w:rsid w:val="0027375F"/>
    <w:rsid w:val="00273AEA"/>
    <w:rsid w:val="00273BF3"/>
    <w:rsid w:val="00274196"/>
    <w:rsid w:val="002742D8"/>
    <w:rsid w:val="0027493F"/>
    <w:rsid w:val="00274D62"/>
    <w:rsid w:val="00274F08"/>
    <w:rsid w:val="00275424"/>
    <w:rsid w:val="002755E5"/>
    <w:rsid w:val="0027579F"/>
    <w:rsid w:val="00275BA7"/>
    <w:rsid w:val="00275CFD"/>
    <w:rsid w:val="0027617E"/>
    <w:rsid w:val="002761AB"/>
    <w:rsid w:val="00276369"/>
    <w:rsid w:val="002768B9"/>
    <w:rsid w:val="002770AB"/>
    <w:rsid w:val="002774C7"/>
    <w:rsid w:val="00277DBA"/>
    <w:rsid w:val="00277ECF"/>
    <w:rsid w:val="002803D0"/>
    <w:rsid w:val="00280943"/>
    <w:rsid w:val="00280C20"/>
    <w:rsid w:val="00280E62"/>
    <w:rsid w:val="00280E8F"/>
    <w:rsid w:val="00280F8D"/>
    <w:rsid w:val="00281464"/>
    <w:rsid w:val="00281B49"/>
    <w:rsid w:val="00281C6E"/>
    <w:rsid w:val="0028203A"/>
    <w:rsid w:val="0028206F"/>
    <w:rsid w:val="0028255B"/>
    <w:rsid w:val="00282607"/>
    <w:rsid w:val="00282AEA"/>
    <w:rsid w:val="00282E57"/>
    <w:rsid w:val="00283161"/>
    <w:rsid w:val="00283A7A"/>
    <w:rsid w:val="002843B4"/>
    <w:rsid w:val="00285420"/>
    <w:rsid w:val="002858CD"/>
    <w:rsid w:val="00285AC5"/>
    <w:rsid w:val="00285F60"/>
    <w:rsid w:val="00286135"/>
    <w:rsid w:val="00286475"/>
    <w:rsid w:val="002864B8"/>
    <w:rsid w:val="00286B25"/>
    <w:rsid w:val="00286CEB"/>
    <w:rsid w:val="00286FDB"/>
    <w:rsid w:val="002870DB"/>
    <w:rsid w:val="002872E3"/>
    <w:rsid w:val="002873A5"/>
    <w:rsid w:val="0028742D"/>
    <w:rsid w:val="0029124B"/>
    <w:rsid w:val="00291583"/>
    <w:rsid w:val="00291656"/>
    <w:rsid w:val="00291BD8"/>
    <w:rsid w:val="00292082"/>
    <w:rsid w:val="002922AD"/>
    <w:rsid w:val="00292570"/>
    <w:rsid w:val="00292C37"/>
    <w:rsid w:val="00292FC0"/>
    <w:rsid w:val="002935EC"/>
    <w:rsid w:val="00293CB2"/>
    <w:rsid w:val="00293FAF"/>
    <w:rsid w:val="002942F4"/>
    <w:rsid w:val="002943B8"/>
    <w:rsid w:val="00294BB0"/>
    <w:rsid w:val="00295387"/>
    <w:rsid w:val="00295883"/>
    <w:rsid w:val="00295BF9"/>
    <w:rsid w:val="00295D32"/>
    <w:rsid w:val="00295D8D"/>
    <w:rsid w:val="00295DD5"/>
    <w:rsid w:val="0029600F"/>
    <w:rsid w:val="0029611C"/>
    <w:rsid w:val="00296C26"/>
    <w:rsid w:val="00297975"/>
    <w:rsid w:val="00297F19"/>
    <w:rsid w:val="002A0663"/>
    <w:rsid w:val="002A0716"/>
    <w:rsid w:val="002A0BAC"/>
    <w:rsid w:val="002A0F36"/>
    <w:rsid w:val="002A0F3B"/>
    <w:rsid w:val="002A10D2"/>
    <w:rsid w:val="002A1173"/>
    <w:rsid w:val="002A11AF"/>
    <w:rsid w:val="002A1692"/>
    <w:rsid w:val="002A18CC"/>
    <w:rsid w:val="002A2101"/>
    <w:rsid w:val="002A24C0"/>
    <w:rsid w:val="002A2CDB"/>
    <w:rsid w:val="002A3348"/>
    <w:rsid w:val="002A3651"/>
    <w:rsid w:val="002A36D6"/>
    <w:rsid w:val="002A3764"/>
    <w:rsid w:val="002A3A2D"/>
    <w:rsid w:val="002A3C37"/>
    <w:rsid w:val="002A3D51"/>
    <w:rsid w:val="002A3ED4"/>
    <w:rsid w:val="002A4024"/>
    <w:rsid w:val="002A40E8"/>
    <w:rsid w:val="002A4532"/>
    <w:rsid w:val="002A4838"/>
    <w:rsid w:val="002A4A40"/>
    <w:rsid w:val="002A4AE5"/>
    <w:rsid w:val="002A50A1"/>
    <w:rsid w:val="002A50D6"/>
    <w:rsid w:val="002A524C"/>
    <w:rsid w:val="002A5420"/>
    <w:rsid w:val="002A5558"/>
    <w:rsid w:val="002A56AC"/>
    <w:rsid w:val="002A56B2"/>
    <w:rsid w:val="002A5C7E"/>
    <w:rsid w:val="002A5CBD"/>
    <w:rsid w:val="002A63AD"/>
    <w:rsid w:val="002A6928"/>
    <w:rsid w:val="002A6A54"/>
    <w:rsid w:val="002A6E2A"/>
    <w:rsid w:val="002A72A9"/>
    <w:rsid w:val="002A77F7"/>
    <w:rsid w:val="002A7887"/>
    <w:rsid w:val="002A7D78"/>
    <w:rsid w:val="002B005F"/>
    <w:rsid w:val="002B06DE"/>
    <w:rsid w:val="002B0710"/>
    <w:rsid w:val="002B0766"/>
    <w:rsid w:val="002B0D1B"/>
    <w:rsid w:val="002B0F5D"/>
    <w:rsid w:val="002B122E"/>
    <w:rsid w:val="002B15F0"/>
    <w:rsid w:val="002B16CE"/>
    <w:rsid w:val="002B17F3"/>
    <w:rsid w:val="002B1972"/>
    <w:rsid w:val="002B1E20"/>
    <w:rsid w:val="002B2064"/>
    <w:rsid w:val="002B2354"/>
    <w:rsid w:val="002B23AE"/>
    <w:rsid w:val="002B2695"/>
    <w:rsid w:val="002B283B"/>
    <w:rsid w:val="002B38E2"/>
    <w:rsid w:val="002B3A92"/>
    <w:rsid w:val="002B40E3"/>
    <w:rsid w:val="002B448B"/>
    <w:rsid w:val="002B4984"/>
    <w:rsid w:val="002B4A1C"/>
    <w:rsid w:val="002B4C21"/>
    <w:rsid w:val="002B4E8F"/>
    <w:rsid w:val="002B4F50"/>
    <w:rsid w:val="002B4FCB"/>
    <w:rsid w:val="002B4FF5"/>
    <w:rsid w:val="002B54FC"/>
    <w:rsid w:val="002B54FE"/>
    <w:rsid w:val="002B5522"/>
    <w:rsid w:val="002B55CC"/>
    <w:rsid w:val="002B57AF"/>
    <w:rsid w:val="002B57E8"/>
    <w:rsid w:val="002B5D39"/>
    <w:rsid w:val="002B5E0B"/>
    <w:rsid w:val="002B691F"/>
    <w:rsid w:val="002B6E70"/>
    <w:rsid w:val="002B73C3"/>
    <w:rsid w:val="002B7830"/>
    <w:rsid w:val="002B7BA1"/>
    <w:rsid w:val="002B7C0D"/>
    <w:rsid w:val="002C0020"/>
    <w:rsid w:val="002C022D"/>
    <w:rsid w:val="002C091E"/>
    <w:rsid w:val="002C1E56"/>
    <w:rsid w:val="002C22AD"/>
    <w:rsid w:val="002C2ACC"/>
    <w:rsid w:val="002C2AFB"/>
    <w:rsid w:val="002C2B21"/>
    <w:rsid w:val="002C330B"/>
    <w:rsid w:val="002C3368"/>
    <w:rsid w:val="002C3A8A"/>
    <w:rsid w:val="002C3D7A"/>
    <w:rsid w:val="002C3E0E"/>
    <w:rsid w:val="002C42EA"/>
    <w:rsid w:val="002C4823"/>
    <w:rsid w:val="002C4E28"/>
    <w:rsid w:val="002C5088"/>
    <w:rsid w:val="002C5256"/>
    <w:rsid w:val="002C561B"/>
    <w:rsid w:val="002C5A97"/>
    <w:rsid w:val="002C5C76"/>
    <w:rsid w:val="002C5EC0"/>
    <w:rsid w:val="002C5F57"/>
    <w:rsid w:val="002C634E"/>
    <w:rsid w:val="002C643E"/>
    <w:rsid w:val="002C695D"/>
    <w:rsid w:val="002C6B92"/>
    <w:rsid w:val="002C7523"/>
    <w:rsid w:val="002C7C29"/>
    <w:rsid w:val="002C7C3D"/>
    <w:rsid w:val="002C7DF4"/>
    <w:rsid w:val="002C7EB2"/>
    <w:rsid w:val="002D03AC"/>
    <w:rsid w:val="002D042B"/>
    <w:rsid w:val="002D0AA9"/>
    <w:rsid w:val="002D0ABA"/>
    <w:rsid w:val="002D0E51"/>
    <w:rsid w:val="002D144C"/>
    <w:rsid w:val="002D1902"/>
    <w:rsid w:val="002D19F2"/>
    <w:rsid w:val="002D1AB1"/>
    <w:rsid w:val="002D3024"/>
    <w:rsid w:val="002D3165"/>
    <w:rsid w:val="002D32DD"/>
    <w:rsid w:val="002D3EFD"/>
    <w:rsid w:val="002D3FD2"/>
    <w:rsid w:val="002D409E"/>
    <w:rsid w:val="002D40D0"/>
    <w:rsid w:val="002D4260"/>
    <w:rsid w:val="002D4328"/>
    <w:rsid w:val="002D454F"/>
    <w:rsid w:val="002D484F"/>
    <w:rsid w:val="002D4A63"/>
    <w:rsid w:val="002D4C66"/>
    <w:rsid w:val="002D4DFA"/>
    <w:rsid w:val="002D4E1E"/>
    <w:rsid w:val="002D60D7"/>
    <w:rsid w:val="002D6D8E"/>
    <w:rsid w:val="002D6F05"/>
    <w:rsid w:val="002D6F9F"/>
    <w:rsid w:val="002D70DC"/>
    <w:rsid w:val="002D732C"/>
    <w:rsid w:val="002D77D6"/>
    <w:rsid w:val="002D7824"/>
    <w:rsid w:val="002D783C"/>
    <w:rsid w:val="002E0084"/>
    <w:rsid w:val="002E0464"/>
    <w:rsid w:val="002E0BA7"/>
    <w:rsid w:val="002E0CB8"/>
    <w:rsid w:val="002E0DA3"/>
    <w:rsid w:val="002E108B"/>
    <w:rsid w:val="002E209F"/>
    <w:rsid w:val="002E2173"/>
    <w:rsid w:val="002E2480"/>
    <w:rsid w:val="002E260F"/>
    <w:rsid w:val="002E27F1"/>
    <w:rsid w:val="002E2A86"/>
    <w:rsid w:val="002E2C3D"/>
    <w:rsid w:val="002E2D30"/>
    <w:rsid w:val="002E2F8D"/>
    <w:rsid w:val="002E2F9A"/>
    <w:rsid w:val="002E33CD"/>
    <w:rsid w:val="002E38AD"/>
    <w:rsid w:val="002E398E"/>
    <w:rsid w:val="002E4126"/>
    <w:rsid w:val="002E481F"/>
    <w:rsid w:val="002E4C85"/>
    <w:rsid w:val="002E5243"/>
    <w:rsid w:val="002E56A6"/>
    <w:rsid w:val="002E577F"/>
    <w:rsid w:val="002E578A"/>
    <w:rsid w:val="002E58A9"/>
    <w:rsid w:val="002E5A25"/>
    <w:rsid w:val="002E5A43"/>
    <w:rsid w:val="002E5D2F"/>
    <w:rsid w:val="002E5E4C"/>
    <w:rsid w:val="002E658B"/>
    <w:rsid w:val="002E6733"/>
    <w:rsid w:val="002E68DD"/>
    <w:rsid w:val="002E6A9C"/>
    <w:rsid w:val="002E6D57"/>
    <w:rsid w:val="002E758E"/>
    <w:rsid w:val="002F02F0"/>
    <w:rsid w:val="002F0A13"/>
    <w:rsid w:val="002F0AA1"/>
    <w:rsid w:val="002F0C62"/>
    <w:rsid w:val="002F1158"/>
    <w:rsid w:val="002F142E"/>
    <w:rsid w:val="002F15AE"/>
    <w:rsid w:val="002F1DCB"/>
    <w:rsid w:val="002F2056"/>
    <w:rsid w:val="002F2182"/>
    <w:rsid w:val="002F2279"/>
    <w:rsid w:val="002F23CF"/>
    <w:rsid w:val="002F2530"/>
    <w:rsid w:val="002F2893"/>
    <w:rsid w:val="002F2DBA"/>
    <w:rsid w:val="002F396D"/>
    <w:rsid w:val="002F4571"/>
    <w:rsid w:val="002F461D"/>
    <w:rsid w:val="002F4BD6"/>
    <w:rsid w:val="002F4F82"/>
    <w:rsid w:val="002F4FAF"/>
    <w:rsid w:val="002F50B2"/>
    <w:rsid w:val="002F53DC"/>
    <w:rsid w:val="002F56AE"/>
    <w:rsid w:val="002F5926"/>
    <w:rsid w:val="002F61A7"/>
    <w:rsid w:val="002F61FC"/>
    <w:rsid w:val="002F6404"/>
    <w:rsid w:val="002F672A"/>
    <w:rsid w:val="002F68B9"/>
    <w:rsid w:val="002F6D72"/>
    <w:rsid w:val="002F7201"/>
    <w:rsid w:val="0030031E"/>
    <w:rsid w:val="0030059A"/>
    <w:rsid w:val="00300968"/>
    <w:rsid w:val="00300E26"/>
    <w:rsid w:val="00300F99"/>
    <w:rsid w:val="00301057"/>
    <w:rsid w:val="0030119E"/>
    <w:rsid w:val="00301260"/>
    <w:rsid w:val="00301744"/>
    <w:rsid w:val="00302217"/>
    <w:rsid w:val="0030224C"/>
    <w:rsid w:val="00302497"/>
    <w:rsid w:val="00302594"/>
    <w:rsid w:val="0030281B"/>
    <w:rsid w:val="00302827"/>
    <w:rsid w:val="00303791"/>
    <w:rsid w:val="003039FB"/>
    <w:rsid w:val="00303CDC"/>
    <w:rsid w:val="00303F74"/>
    <w:rsid w:val="0030438E"/>
    <w:rsid w:val="003044D5"/>
    <w:rsid w:val="003044E9"/>
    <w:rsid w:val="00304A45"/>
    <w:rsid w:val="00304C2E"/>
    <w:rsid w:val="00304C55"/>
    <w:rsid w:val="00304F24"/>
    <w:rsid w:val="00305C1E"/>
    <w:rsid w:val="00305CC3"/>
    <w:rsid w:val="00305F5B"/>
    <w:rsid w:val="00305FB1"/>
    <w:rsid w:val="00306087"/>
    <w:rsid w:val="0030621C"/>
    <w:rsid w:val="00306288"/>
    <w:rsid w:val="00306963"/>
    <w:rsid w:val="00306A8B"/>
    <w:rsid w:val="00306CD5"/>
    <w:rsid w:val="00306D53"/>
    <w:rsid w:val="00306E7B"/>
    <w:rsid w:val="00307626"/>
    <w:rsid w:val="00307A2C"/>
    <w:rsid w:val="00307E05"/>
    <w:rsid w:val="0031001D"/>
    <w:rsid w:val="00310A5D"/>
    <w:rsid w:val="00310F47"/>
    <w:rsid w:val="003111C6"/>
    <w:rsid w:val="00311309"/>
    <w:rsid w:val="0031176A"/>
    <w:rsid w:val="00311809"/>
    <w:rsid w:val="0031185D"/>
    <w:rsid w:val="00311D42"/>
    <w:rsid w:val="003121B8"/>
    <w:rsid w:val="0031263E"/>
    <w:rsid w:val="0031288E"/>
    <w:rsid w:val="00313326"/>
    <w:rsid w:val="0031380D"/>
    <w:rsid w:val="00313923"/>
    <w:rsid w:val="00313951"/>
    <w:rsid w:val="00313A81"/>
    <w:rsid w:val="00313B70"/>
    <w:rsid w:val="00313EF9"/>
    <w:rsid w:val="00313F18"/>
    <w:rsid w:val="00314794"/>
    <w:rsid w:val="00314AB9"/>
    <w:rsid w:val="00315210"/>
    <w:rsid w:val="003153A3"/>
    <w:rsid w:val="003156C0"/>
    <w:rsid w:val="00315971"/>
    <w:rsid w:val="00315AD5"/>
    <w:rsid w:val="00315DCD"/>
    <w:rsid w:val="00315E1E"/>
    <w:rsid w:val="00316966"/>
    <w:rsid w:val="00316C09"/>
    <w:rsid w:val="00316CC4"/>
    <w:rsid w:val="00316E6A"/>
    <w:rsid w:val="00317288"/>
    <w:rsid w:val="00317654"/>
    <w:rsid w:val="00317870"/>
    <w:rsid w:val="0031790A"/>
    <w:rsid w:val="00317B2A"/>
    <w:rsid w:val="00317CE3"/>
    <w:rsid w:val="00320367"/>
    <w:rsid w:val="00320A29"/>
    <w:rsid w:val="00320B6A"/>
    <w:rsid w:val="00320C24"/>
    <w:rsid w:val="00320D0C"/>
    <w:rsid w:val="00320D8B"/>
    <w:rsid w:val="0032104E"/>
    <w:rsid w:val="0032154E"/>
    <w:rsid w:val="0032155F"/>
    <w:rsid w:val="0032166F"/>
    <w:rsid w:val="00321764"/>
    <w:rsid w:val="003226B9"/>
    <w:rsid w:val="00323284"/>
    <w:rsid w:val="0032382B"/>
    <w:rsid w:val="00323846"/>
    <w:rsid w:val="0032414B"/>
    <w:rsid w:val="003242AC"/>
    <w:rsid w:val="0032439B"/>
    <w:rsid w:val="003245E7"/>
    <w:rsid w:val="00324649"/>
    <w:rsid w:val="00324788"/>
    <w:rsid w:val="00324909"/>
    <w:rsid w:val="00325AF0"/>
    <w:rsid w:val="00325BE5"/>
    <w:rsid w:val="00325C5E"/>
    <w:rsid w:val="00326587"/>
    <w:rsid w:val="0032728D"/>
    <w:rsid w:val="003272C9"/>
    <w:rsid w:val="00327358"/>
    <w:rsid w:val="00327665"/>
    <w:rsid w:val="00327B61"/>
    <w:rsid w:val="00327C44"/>
    <w:rsid w:val="00327EAE"/>
    <w:rsid w:val="00330161"/>
    <w:rsid w:val="00330532"/>
    <w:rsid w:val="00330733"/>
    <w:rsid w:val="00330CB1"/>
    <w:rsid w:val="00330F17"/>
    <w:rsid w:val="0033153C"/>
    <w:rsid w:val="003319A5"/>
    <w:rsid w:val="00331D45"/>
    <w:rsid w:val="00331D99"/>
    <w:rsid w:val="003323BC"/>
    <w:rsid w:val="0033293E"/>
    <w:rsid w:val="00332C83"/>
    <w:rsid w:val="00332E84"/>
    <w:rsid w:val="00333427"/>
    <w:rsid w:val="0033342F"/>
    <w:rsid w:val="003334F0"/>
    <w:rsid w:val="00333881"/>
    <w:rsid w:val="00333A19"/>
    <w:rsid w:val="00333B3C"/>
    <w:rsid w:val="00333DDA"/>
    <w:rsid w:val="00333FCE"/>
    <w:rsid w:val="003346EB"/>
    <w:rsid w:val="00334AA7"/>
    <w:rsid w:val="00334D3A"/>
    <w:rsid w:val="003353A1"/>
    <w:rsid w:val="0033549F"/>
    <w:rsid w:val="00335745"/>
    <w:rsid w:val="00335B8D"/>
    <w:rsid w:val="003362F8"/>
    <w:rsid w:val="0033639B"/>
    <w:rsid w:val="0033686B"/>
    <w:rsid w:val="00336BB6"/>
    <w:rsid w:val="00336CE9"/>
    <w:rsid w:val="003370A1"/>
    <w:rsid w:val="00337587"/>
    <w:rsid w:val="0033775B"/>
    <w:rsid w:val="00337BB0"/>
    <w:rsid w:val="00337D30"/>
    <w:rsid w:val="00340534"/>
    <w:rsid w:val="00341309"/>
    <w:rsid w:val="003413C8"/>
    <w:rsid w:val="003415C6"/>
    <w:rsid w:val="003415FC"/>
    <w:rsid w:val="003417AB"/>
    <w:rsid w:val="00341AB8"/>
    <w:rsid w:val="00341CA2"/>
    <w:rsid w:val="00342099"/>
    <w:rsid w:val="00342256"/>
    <w:rsid w:val="00342C5A"/>
    <w:rsid w:val="00343721"/>
    <w:rsid w:val="00343A27"/>
    <w:rsid w:val="00343B13"/>
    <w:rsid w:val="00343B49"/>
    <w:rsid w:val="00343C0E"/>
    <w:rsid w:val="00343F5E"/>
    <w:rsid w:val="00344373"/>
    <w:rsid w:val="00344403"/>
    <w:rsid w:val="003444BE"/>
    <w:rsid w:val="00344A1C"/>
    <w:rsid w:val="00345508"/>
    <w:rsid w:val="003455FB"/>
    <w:rsid w:val="0034592B"/>
    <w:rsid w:val="0034635F"/>
    <w:rsid w:val="00346DC6"/>
    <w:rsid w:val="00346EC0"/>
    <w:rsid w:val="0034720B"/>
    <w:rsid w:val="00347553"/>
    <w:rsid w:val="003475E7"/>
    <w:rsid w:val="0034792F"/>
    <w:rsid w:val="00350277"/>
    <w:rsid w:val="00350BC9"/>
    <w:rsid w:val="00350D4A"/>
    <w:rsid w:val="00350FB8"/>
    <w:rsid w:val="003513BE"/>
    <w:rsid w:val="00351997"/>
    <w:rsid w:val="00351C76"/>
    <w:rsid w:val="00352351"/>
    <w:rsid w:val="003528A6"/>
    <w:rsid w:val="00352BEE"/>
    <w:rsid w:val="00352C00"/>
    <w:rsid w:val="00352CAE"/>
    <w:rsid w:val="00352DF5"/>
    <w:rsid w:val="00352E6D"/>
    <w:rsid w:val="00353331"/>
    <w:rsid w:val="0035354E"/>
    <w:rsid w:val="0035380F"/>
    <w:rsid w:val="00353F33"/>
    <w:rsid w:val="00354079"/>
    <w:rsid w:val="00354579"/>
    <w:rsid w:val="003548FA"/>
    <w:rsid w:val="00354E76"/>
    <w:rsid w:val="00355004"/>
    <w:rsid w:val="003553C1"/>
    <w:rsid w:val="003556A9"/>
    <w:rsid w:val="00355BC8"/>
    <w:rsid w:val="00355D96"/>
    <w:rsid w:val="0035608E"/>
    <w:rsid w:val="00356192"/>
    <w:rsid w:val="003561AF"/>
    <w:rsid w:val="00356A68"/>
    <w:rsid w:val="00356C25"/>
    <w:rsid w:val="00356C82"/>
    <w:rsid w:val="00356F20"/>
    <w:rsid w:val="003573B2"/>
    <w:rsid w:val="003576DB"/>
    <w:rsid w:val="00357A5D"/>
    <w:rsid w:val="00357C66"/>
    <w:rsid w:val="00357CCF"/>
    <w:rsid w:val="00360024"/>
    <w:rsid w:val="003604F5"/>
    <w:rsid w:val="00360B1C"/>
    <w:rsid w:val="00360B9E"/>
    <w:rsid w:val="00360D01"/>
    <w:rsid w:val="003613E0"/>
    <w:rsid w:val="00362102"/>
    <w:rsid w:val="0036287C"/>
    <w:rsid w:val="00362900"/>
    <w:rsid w:val="00362B1E"/>
    <w:rsid w:val="00362DEA"/>
    <w:rsid w:val="00362F1A"/>
    <w:rsid w:val="0036355D"/>
    <w:rsid w:val="003635E7"/>
    <w:rsid w:val="003636DF"/>
    <w:rsid w:val="00363A4C"/>
    <w:rsid w:val="00363DEF"/>
    <w:rsid w:val="00363F25"/>
    <w:rsid w:val="003641B0"/>
    <w:rsid w:val="00364200"/>
    <w:rsid w:val="003643B0"/>
    <w:rsid w:val="0036476B"/>
    <w:rsid w:val="003647E1"/>
    <w:rsid w:val="00364848"/>
    <w:rsid w:val="00364DCD"/>
    <w:rsid w:val="00364E54"/>
    <w:rsid w:val="00364EF6"/>
    <w:rsid w:val="00365229"/>
    <w:rsid w:val="00365876"/>
    <w:rsid w:val="0036588E"/>
    <w:rsid w:val="00365E7C"/>
    <w:rsid w:val="00365F59"/>
    <w:rsid w:val="00366E0B"/>
    <w:rsid w:val="00366FFD"/>
    <w:rsid w:val="00367088"/>
    <w:rsid w:val="00367299"/>
    <w:rsid w:val="00367389"/>
    <w:rsid w:val="003679BD"/>
    <w:rsid w:val="00367BEA"/>
    <w:rsid w:val="00367D57"/>
    <w:rsid w:val="003700CC"/>
    <w:rsid w:val="003704B1"/>
    <w:rsid w:val="003706C2"/>
    <w:rsid w:val="00371139"/>
    <w:rsid w:val="0037151C"/>
    <w:rsid w:val="003718DB"/>
    <w:rsid w:val="00371968"/>
    <w:rsid w:val="00371D4C"/>
    <w:rsid w:val="003721E4"/>
    <w:rsid w:val="00372258"/>
    <w:rsid w:val="00372549"/>
    <w:rsid w:val="003725B1"/>
    <w:rsid w:val="003727F2"/>
    <w:rsid w:val="00372A0B"/>
    <w:rsid w:val="00372DBA"/>
    <w:rsid w:val="003730E8"/>
    <w:rsid w:val="00373115"/>
    <w:rsid w:val="0037322C"/>
    <w:rsid w:val="00373259"/>
    <w:rsid w:val="00373512"/>
    <w:rsid w:val="00373B2C"/>
    <w:rsid w:val="00373E58"/>
    <w:rsid w:val="00373E6D"/>
    <w:rsid w:val="003740FA"/>
    <w:rsid w:val="0037463F"/>
    <w:rsid w:val="00374F72"/>
    <w:rsid w:val="00375622"/>
    <w:rsid w:val="003759FD"/>
    <w:rsid w:val="00375D45"/>
    <w:rsid w:val="00375DE6"/>
    <w:rsid w:val="0037614B"/>
    <w:rsid w:val="003767A0"/>
    <w:rsid w:val="00376901"/>
    <w:rsid w:val="0037691A"/>
    <w:rsid w:val="00376C49"/>
    <w:rsid w:val="00376FE5"/>
    <w:rsid w:val="003773AB"/>
    <w:rsid w:val="003778CB"/>
    <w:rsid w:val="00377A4F"/>
    <w:rsid w:val="00377A7E"/>
    <w:rsid w:val="00377F7A"/>
    <w:rsid w:val="00381034"/>
    <w:rsid w:val="00381081"/>
    <w:rsid w:val="0038149C"/>
    <w:rsid w:val="00381A35"/>
    <w:rsid w:val="00381C60"/>
    <w:rsid w:val="00381CC3"/>
    <w:rsid w:val="00381E1A"/>
    <w:rsid w:val="0038206B"/>
    <w:rsid w:val="003827EB"/>
    <w:rsid w:val="00382C05"/>
    <w:rsid w:val="0038308A"/>
    <w:rsid w:val="00383757"/>
    <w:rsid w:val="00383A24"/>
    <w:rsid w:val="00383F5C"/>
    <w:rsid w:val="003842E3"/>
    <w:rsid w:val="003852AA"/>
    <w:rsid w:val="00385356"/>
    <w:rsid w:val="00385E20"/>
    <w:rsid w:val="003860ED"/>
    <w:rsid w:val="00386778"/>
    <w:rsid w:val="00386808"/>
    <w:rsid w:val="00386885"/>
    <w:rsid w:val="00386A11"/>
    <w:rsid w:val="00386C1F"/>
    <w:rsid w:val="003875DE"/>
    <w:rsid w:val="00387C44"/>
    <w:rsid w:val="00390017"/>
    <w:rsid w:val="0039005D"/>
    <w:rsid w:val="0039018C"/>
    <w:rsid w:val="003908EF"/>
    <w:rsid w:val="00390D58"/>
    <w:rsid w:val="003916A6"/>
    <w:rsid w:val="003916DD"/>
    <w:rsid w:val="00391734"/>
    <w:rsid w:val="003917B9"/>
    <w:rsid w:val="00391A3B"/>
    <w:rsid w:val="00391C46"/>
    <w:rsid w:val="00391FD6"/>
    <w:rsid w:val="00392214"/>
    <w:rsid w:val="003925BF"/>
    <w:rsid w:val="003927A9"/>
    <w:rsid w:val="0039282D"/>
    <w:rsid w:val="00392F73"/>
    <w:rsid w:val="00394592"/>
    <w:rsid w:val="003947D6"/>
    <w:rsid w:val="003953C4"/>
    <w:rsid w:val="00395591"/>
    <w:rsid w:val="003956C8"/>
    <w:rsid w:val="00395AF4"/>
    <w:rsid w:val="00395E59"/>
    <w:rsid w:val="00395E63"/>
    <w:rsid w:val="00395FEB"/>
    <w:rsid w:val="0039600D"/>
    <w:rsid w:val="00396407"/>
    <w:rsid w:val="00396651"/>
    <w:rsid w:val="00396811"/>
    <w:rsid w:val="003968EF"/>
    <w:rsid w:val="003970FE"/>
    <w:rsid w:val="00397198"/>
    <w:rsid w:val="003975F4"/>
    <w:rsid w:val="00397A1F"/>
    <w:rsid w:val="00397E0F"/>
    <w:rsid w:val="00397E1B"/>
    <w:rsid w:val="003A0090"/>
    <w:rsid w:val="003A0ADA"/>
    <w:rsid w:val="003A115C"/>
    <w:rsid w:val="003A199D"/>
    <w:rsid w:val="003A1C7F"/>
    <w:rsid w:val="003A1C84"/>
    <w:rsid w:val="003A259D"/>
    <w:rsid w:val="003A2C0F"/>
    <w:rsid w:val="003A3545"/>
    <w:rsid w:val="003A369B"/>
    <w:rsid w:val="003A375C"/>
    <w:rsid w:val="003A3970"/>
    <w:rsid w:val="003A39D6"/>
    <w:rsid w:val="003A3E5C"/>
    <w:rsid w:val="003A425C"/>
    <w:rsid w:val="003A4493"/>
    <w:rsid w:val="003A48EF"/>
    <w:rsid w:val="003A5240"/>
    <w:rsid w:val="003A5417"/>
    <w:rsid w:val="003A5494"/>
    <w:rsid w:val="003A5526"/>
    <w:rsid w:val="003A5546"/>
    <w:rsid w:val="003A609B"/>
    <w:rsid w:val="003A61DB"/>
    <w:rsid w:val="003A6249"/>
    <w:rsid w:val="003A681C"/>
    <w:rsid w:val="003A684D"/>
    <w:rsid w:val="003A68D9"/>
    <w:rsid w:val="003A6DBC"/>
    <w:rsid w:val="003A742D"/>
    <w:rsid w:val="003A7C4D"/>
    <w:rsid w:val="003A7E67"/>
    <w:rsid w:val="003A7E9A"/>
    <w:rsid w:val="003B0041"/>
    <w:rsid w:val="003B0229"/>
    <w:rsid w:val="003B02F1"/>
    <w:rsid w:val="003B0565"/>
    <w:rsid w:val="003B058D"/>
    <w:rsid w:val="003B061F"/>
    <w:rsid w:val="003B08BA"/>
    <w:rsid w:val="003B09D4"/>
    <w:rsid w:val="003B0B20"/>
    <w:rsid w:val="003B139C"/>
    <w:rsid w:val="003B16F8"/>
    <w:rsid w:val="003B16FA"/>
    <w:rsid w:val="003B2BAC"/>
    <w:rsid w:val="003B300A"/>
    <w:rsid w:val="003B348D"/>
    <w:rsid w:val="003B3556"/>
    <w:rsid w:val="003B3730"/>
    <w:rsid w:val="003B3844"/>
    <w:rsid w:val="003B3A7A"/>
    <w:rsid w:val="003B3C7E"/>
    <w:rsid w:val="003B40E1"/>
    <w:rsid w:val="003B4214"/>
    <w:rsid w:val="003B46D1"/>
    <w:rsid w:val="003B4A03"/>
    <w:rsid w:val="003B51B1"/>
    <w:rsid w:val="003B5539"/>
    <w:rsid w:val="003B5ED9"/>
    <w:rsid w:val="003B62BB"/>
    <w:rsid w:val="003B6CA1"/>
    <w:rsid w:val="003B7219"/>
    <w:rsid w:val="003B75CC"/>
    <w:rsid w:val="003B768A"/>
    <w:rsid w:val="003B76A9"/>
    <w:rsid w:val="003B7C5E"/>
    <w:rsid w:val="003C0A8C"/>
    <w:rsid w:val="003C0AA1"/>
    <w:rsid w:val="003C0BF2"/>
    <w:rsid w:val="003C1270"/>
    <w:rsid w:val="003C15DA"/>
    <w:rsid w:val="003C1634"/>
    <w:rsid w:val="003C1ADA"/>
    <w:rsid w:val="003C25C3"/>
    <w:rsid w:val="003C269B"/>
    <w:rsid w:val="003C27CC"/>
    <w:rsid w:val="003C27EC"/>
    <w:rsid w:val="003C2C18"/>
    <w:rsid w:val="003C2E47"/>
    <w:rsid w:val="003C2FF1"/>
    <w:rsid w:val="003C32D3"/>
    <w:rsid w:val="003C34B3"/>
    <w:rsid w:val="003C3CDA"/>
    <w:rsid w:val="003C43ED"/>
    <w:rsid w:val="003C45DD"/>
    <w:rsid w:val="003C4781"/>
    <w:rsid w:val="003C48E1"/>
    <w:rsid w:val="003C4C23"/>
    <w:rsid w:val="003C4DDC"/>
    <w:rsid w:val="003C500C"/>
    <w:rsid w:val="003C53C3"/>
    <w:rsid w:val="003C54B4"/>
    <w:rsid w:val="003C662B"/>
    <w:rsid w:val="003C668A"/>
    <w:rsid w:val="003C6803"/>
    <w:rsid w:val="003C6958"/>
    <w:rsid w:val="003C701B"/>
    <w:rsid w:val="003C713A"/>
    <w:rsid w:val="003C7D4F"/>
    <w:rsid w:val="003C7DD5"/>
    <w:rsid w:val="003C7E83"/>
    <w:rsid w:val="003D04DE"/>
    <w:rsid w:val="003D0520"/>
    <w:rsid w:val="003D0ABA"/>
    <w:rsid w:val="003D0E1F"/>
    <w:rsid w:val="003D0FE1"/>
    <w:rsid w:val="003D1142"/>
    <w:rsid w:val="003D1408"/>
    <w:rsid w:val="003D17FE"/>
    <w:rsid w:val="003D185A"/>
    <w:rsid w:val="003D1C2C"/>
    <w:rsid w:val="003D2124"/>
    <w:rsid w:val="003D2209"/>
    <w:rsid w:val="003D2366"/>
    <w:rsid w:val="003D23A6"/>
    <w:rsid w:val="003D2866"/>
    <w:rsid w:val="003D3F92"/>
    <w:rsid w:val="003D403F"/>
    <w:rsid w:val="003D4276"/>
    <w:rsid w:val="003D45FB"/>
    <w:rsid w:val="003D4A67"/>
    <w:rsid w:val="003D4ACC"/>
    <w:rsid w:val="003D5055"/>
    <w:rsid w:val="003D534D"/>
    <w:rsid w:val="003D5B80"/>
    <w:rsid w:val="003D6260"/>
    <w:rsid w:val="003D63B7"/>
    <w:rsid w:val="003D6573"/>
    <w:rsid w:val="003D67FA"/>
    <w:rsid w:val="003D6DEA"/>
    <w:rsid w:val="003D6F26"/>
    <w:rsid w:val="003D71BC"/>
    <w:rsid w:val="003D7378"/>
    <w:rsid w:val="003D7728"/>
    <w:rsid w:val="003D7DCC"/>
    <w:rsid w:val="003D7F2F"/>
    <w:rsid w:val="003E0216"/>
    <w:rsid w:val="003E0694"/>
    <w:rsid w:val="003E06CF"/>
    <w:rsid w:val="003E08DC"/>
    <w:rsid w:val="003E0A97"/>
    <w:rsid w:val="003E0B79"/>
    <w:rsid w:val="003E0DA4"/>
    <w:rsid w:val="003E1438"/>
    <w:rsid w:val="003E1603"/>
    <w:rsid w:val="003E18B9"/>
    <w:rsid w:val="003E18DE"/>
    <w:rsid w:val="003E2565"/>
    <w:rsid w:val="003E2644"/>
    <w:rsid w:val="003E3048"/>
    <w:rsid w:val="003E324F"/>
    <w:rsid w:val="003E32F9"/>
    <w:rsid w:val="003E352E"/>
    <w:rsid w:val="003E363A"/>
    <w:rsid w:val="003E36FD"/>
    <w:rsid w:val="003E3FBB"/>
    <w:rsid w:val="003E40F0"/>
    <w:rsid w:val="003E43F7"/>
    <w:rsid w:val="003E4A7C"/>
    <w:rsid w:val="003E4B9F"/>
    <w:rsid w:val="003E4EFB"/>
    <w:rsid w:val="003E544B"/>
    <w:rsid w:val="003E548E"/>
    <w:rsid w:val="003E55BF"/>
    <w:rsid w:val="003E5601"/>
    <w:rsid w:val="003E59CC"/>
    <w:rsid w:val="003E59DE"/>
    <w:rsid w:val="003E5CF8"/>
    <w:rsid w:val="003E5D1F"/>
    <w:rsid w:val="003E5E6A"/>
    <w:rsid w:val="003E5E8C"/>
    <w:rsid w:val="003E5EAA"/>
    <w:rsid w:val="003E68B6"/>
    <w:rsid w:val="003E68D9"/>
    <w:rsid w:val="003E6A10"/>
    <w:rsid w:val="003E6F7F"/>
    <w:rsid w:val="003E713E"/>
    <w:rsid w:val="003E7308"/>
    <w:rsid w:val="003E7388"/>
    <w:rsid w:val="003E7D2E"/>
    <w:rsid w:val="003E7E56"/>
    <w:rsid w:val="003E7F77"/>
    <w:rsid w:val="003E7FD5"/>
    <w:rsid w:val="003F0263"/>
    <w:rsid w:val="003F043C"/>
    <w:rsid w:val="003F077E"/>
    <w:rsid w:val="003F07D0"/>
    <w:rsid w:val="003F16AA"/>
    <w:rsid w:val="003F1935"/>
    <w:rsid w:val="003F1A4F"/>
    <w:rsid w:val="003F1D58"/>
    <w:rsid w:val="003F2B7C"/>
    <w:rsid w:val="003F3A7F"/>
    <w:rsid w:val="003F3BED"/>
    <w:rsid w:val="003F3C54"/>
    <w:rsid w:val="003F3E11"/>
    <w:rsid w:val="003F4048"/>
    <w:rsid w:val="003F4276"/>
    <w:rsid w:val="003F42B2"/>
    <w:rsid w:val="003F447E"/>
    <w:rsid w:val="003F4934"/>
    <w:rsid w:val="003F4A18"/>
    <w:rsid w:val="003F4A6B"/>
    <w:rsid w:val="003F4D31"/>
    <w:rsid w:val="003F4E39"/>
    <w:rsid w:val="003F4E4E"/>
    <w:rsid w:val="003F4F20"/>
    <w:rsid w:val="003F5207"/>
    <w:rsid w:val="003F56DD"/>
    <w:rsid w:val="003F59A3"/>
    <w:rsid w:val="003F5AF9"/>
    <w:rsid w:val="003F5DBF"/>
    <w:rsid w:val="003F5F18"/>
    <w:rsid w:val="003F60BA"/>
    <w:rsid w:val="003F6594"/>
    <w:rsid w:val="003F67A1"/>
    <w:rsid w:val="003F67A6"/>
    <w:rsid w:val="003F6932"/>
    <w:rsid w:val="003F6A33"/>
    <w:rsid w:val="003F6CD1"/>
    <w:rsid w:val="003F706F"/>
    <w:rsid w:val="003F778F"/>
    <w:rsid w:val="003F7A66"/>
    <w:rsid w:val="0040012C"/>
    <w:rsid w:val="004006E9"/>
    <w:rsid w:val="00400986"/>
    <w:rsid w:val="00400A81"/>
    <w:rsid w:val="004012A0"/>
    <w:rsid w:val="0040144E"/>
    <w:rsid w:val="00401E4C"/>
    <w:rsid w:val="00401E55"/>
    <w:rsid w:val="00401EDD"/>
    <w:rsid w:val="004022A5"/>
    <w:rsid w:val="00402EB4"/>
    <w:rsid w:val="00403A75"/>
    <w:rsid w:val="00403A7D"/>
    <w:rsid w:val="00403B09"/>
    <w:rsid w:val="00403CCA"/>
    <w:rsid w:val="00403DFD"/>
    <w:rsid w:val="00403EE6"/>
    <w:rsid w:val="004040DA"/>
    <w:rsid w:val="004041A4"/>
    <w:rsid w:val="00404660"/>
    <w:rsid w:val="0040468E"/>
    <w:rsid w:val="00404698"/>
    <w:rsid w:val="00404E59"/>
    <w:rsid w:val="00404F5F"/>
    <w:rsid w:val="00405039"/>
    <w:rsid w:val="00405397"/>
    <w:rsid w:val="004054A6"/>
    <w:rsid w:val="004056C4"/>
    <w:rsid w:val="004057F8"/>
    <w:rsid w:val="00405807"/>
    <w:rsid w:val="00405948"/>
    <w:rsid w:val="004059D5"/>
    <w:rsid w:val="00405B5A"/>
    <w:rsid w:val="00405BD7"/>
    <w:rsid w:val="004061A6"/>
    <w:rsid w:val="00406365"/>
    <w:rsid w:val="00406474"/>
    <w:rsid w:val="00406703"/>
    <w:rsid w:val="004067AF"/>
    <w:rsid w:val="00406C66"/>
    <w:rsid w:val="0040775F"/>
    <w:rsid w:val="00407A72"/>
    <w:rsid w:val="0041007E"/>
    <w:rsid w:val="00410505"/>
    <w:rsid w:val="00410699"/>
    <w:rsid w:val="00410838"/>
    <w:rsid w:val="00410D28"/>
    <w:rsid w:val="00410F31"/>
    <w:rsid w:val="00411351"/>
    <w:rsid w:val="00411C95"/>
    <w:rsid w:val="0041214B"/>
    <w:rsid w:val="004122B5"/>
    <w:rsid w:val="00412365"/>
    <w:rsid w:val="00412512"/>
    <w:rsid w:val="00412783"/>
    <w:rsid w:val="00412EE3"/>
    <w:rsid w:val="00413046"/>
    <w:rsid w:val="004134F0"/>
    <w:rsid w:val="00413935"/>
    <w:rsid w:val="0041400F"/>
    <w:rsid w:val="0041442E"/>
    <w:rsid w:val="00414551"/>
    <w:rsid w:val="004146B3"/>
    <w:rsid w:val="0041494C"/>
    <w:rsid w:val="00414ABE"/>
    <w:rsid w:val="00414E3D"/>
    <w:rsid w:val="00414E87"/>
    <w:rsid w:val="00415095"/>
    <w:rsid w:val="00415292"/>
    <w:rsid w:val="0041563E"/>
    <w:rsid w:val="004156F1"/>
    <w:rsid w:val="00415D9D"/>
    <w:rsid w:val="0041616C"/>
    <w:rsid w:val="00416CAB"/>
    <w:rsid w:val="00416EE6"/>
    <w:rsid w:val="00417220"/>
    <w:rsid w:val="00417752"/>
    <w:rsid w:val="00417774"/>
    <w:rsid w:val="00417778"/>
    <w:rsid w:val="00417808"/>
    <w:rsid w:val="004201F8"/>
    <w:rsid w:val="004205DB"/>
    <w:rsid w:val="00420A27"/>
    <w:rsid w:val="00420C44"/>
    <w:rsid w:val="00420D8A"/>
    <w:rsid w:val="004212F0"/>
    <w:rsid w:val="004217A0"/>
    <w:rsid w:val="00421A9B"/>
    <w:rsid w:val="00421CFE"/>
    <w:rsid w:val="00421EE1"/>
    <w:rsid w:val="0042258D"/>
    <w:rsid w:val="004225E5"/>
    <w:rsid w:val="004228EC"/>
    <w:rsid w:val="00422C72"/>
    <w:rsid w:val="004239EA"/>
    <w:rsid w:val="00423B1C"/>
    <w:rsid w:val="00423C40"/>
    <w:rsid w:val="0042465E"/>
    <w:rsid w:val="004247C4"/>
    <w:rsid w:val="004247F1"/>
    <w:rsid w:val="004249EE"/>
    <w:rsid w:val="00424CCF"/>
    <w:rsid w:val="00424F81"/>
    <w:rsid w:val="00425382"/>
    <w:rsid w:val="00425385"/>
    <w:rsid w:val="00425517"/>
    <w:rsid w:val="00425BCD"/>
    <w:rsid w:val="00425D18"/>
    <w:rsid w:val="004260EB"/>
    <w:rsid w:val="00426456"/>
    <w:rsid w:val="00426852"/>
    <w:rsid w:val="00426861"/>
    <w:rsid w:val="00426974"/>
    <w:rsid w:val="00426D0D"/>
    <w:rsid w:val="00426D7A"/>
    <w:rsid w:val="00426D7F"/>
    <w:rsid w:val="00427099"/>
    <w:rsid w:val="00427246"/>
    <w:rsid w:val="004272DC"/>
    <w:rsid w:val="00427A22"/>
    <w:rsid w:val="00427DEE"/>
    <w:rsid w:val="00427F97"/>
    <w:rsid w:val="00427FCC"/>
    <w:rsid w:val="004303CD"/>
    <w:rsid w:val="00430611"/>
    <w:rsid w:val="00430E79"/>
    <w:rsid w:val="00430FEC"/>
    <w:rsid w:val="004310EC"/>
    <w:rsid w:val="00431198"/>
    <w:rsid w:val="00431292"/>
    <w:rsid w:val="004320CE"/>
    <w:rsid w:val="00432ACE"/>
    <w:rsid w:val="00432B51"/>
    <w:rsid w:val="00432CDA"/>
    <w:rsid w:val="004332E8"/>
    <w:rsid w:val="0043394C"/>
    <w:rsid w:val="004339CE"/>
    <w:rsid w:val="004339F4"/>
    <w:rsid w:val="00433B20"/>
    <w:rsid w:val="00434763"/>
    <w:rsid w:val="00434CC4"/>
    <w:rsid w:val="00434D9E"/>
    <w:rsid w:val="00434F74"/>
    <w:rsid w:val="00434F81"/>
    <w:rsid w:val="004360BB"/>
    <w:rsid w:val="00436153"/>
    <w:rsid w:val="004365AD"/>
    <w:rsid w:val="004367C7"/>
    <w:rsid w:val="00437106"/>
    <w:rsid w:val="004374C4"/>
    <w:rsid w:val="0043760C"/>
    <w:rsid w:val="0043764B"/>
    <w:rsid w:val="00437799"/>
    <w:rsid w:val="00437E19"/>
    <w:rsid w:val="00437E96"/>
    <w:rsid w:val="004400C3"/>
    <w:rsid w:val="004407EB"/>
    <w:rsid w:val="004409F1"/>
    <w:rsid w:val="00440A37"/>
    <w:rsid w:val="00440A62"/>
    <w:rsid w:val="00440FA7"/>
    <w:rsid w:val="0044102B"/>
    <w:rsid w:val="004410C2"/>
    <w:rsid w:val="004414EA"/>
    <w:rsid w:val="004417EC"/>
    <w:rsid w:val="004420FD"/>
    <w:rsid w:val="0044238A"/>
    <w:rsid w:val="00442562"/>
    <w:rsid w:val="004426B4"/>
    <w:rsid w:val="00442CB8"/>
    <w:rsid w:val="0044309C"/>
    <w:rsid w:val="004430C2"/>
    <w:rsid w:val="0044331F"/>
    <w:rsid w:val="0044348A"/>
    <w:rsid w:val="004434C9"/>
    <w:rsid w:val="0044395A"/>
    <w:rsid w:val="00443DDA"/>
    <w:rsid w:val="00443ED7"/>
    <w:rsid w:val="004444E5"/>
    <w:rsid w:val="004446A3"/>
    <w:rsid w:val="00444FC0"/>
    <w:rsid w:val="0044520D"/>
    <w:rsid w:val="00445830"/>
    <w:rsid w:val="00445B73"/>
    <w:rsid w:val="00446307"/>
    <w:rsid w:val="00446497"/>
    <w:rsid w:val="00446631"/>
    <w:rsid w:val="004468FD"/>
    <w:rsid w:val="004470CA"/>
    <w:rsid w:val="00447656"/>
    <w:rsid w:val="00447B70"/>
    <w:rsid w:val="00447FEE"/>
    <w:rsid w:val="00450343"/>
    <w:rsid w:val="0045053A"/>
    <w:rsid w:val="0045055C"/>
    <w:rsid w:val="0045074D"/>
    <w:rsid w:val="00451051"/>
    <w:rsid w:val="004512FA"/>
    <w:rsid w:val="004514AE"/>
    <w:rsid w:val="00451654"/>
    <w:rsid w:val="00451E5E"/>
    <w:rsid w:val="00452380"/>
    <w:rsid w:val="0045262B"/>
    <w:rsid w:val="0045279B"/>
    <w:rsid w:val="00452A56"/>
    <w:rsid w:val="00452C7A"/>
    <w:rsid w:val="00452E38"/>
    <w:rsid w:val="00452F43"/>
    <w:rsid w:val="00453849"/>
    <w:rsid w:val="004538B1"/>
    <w:rsid w:val="00453AF9"/>
    <w:rsid w:val="00453F82"/>
    <w:rsid w:val="00454232"/>
    <w:rsid w:val="00454589"/>
    <w:rsid w:val="004548BA"/>
    <w:rsid w:val="00454C6A"/>
    <w:rsid w:val="00454F4A"/>
    <w:rsid w:val="004559BE"/>
    <w:rsid w:val="00455EE2"/>
    <w:rsid w:val="00456705"/>
    <w:rsid w:val="00456B5B"/>
    <w:rsid w:val="00456BEC"/>
    <w:rsid w:val="00456C3A"/>
    <w:rsid w:val="00456E7E"/>
    <w:rsid w:val="00457353"/>
    <w:rsid w:val="004575B5"/>
    <w:rsid w:val="00457858"/>
    <w:rsid w:val="00457AD1"/>
    <w:rsid w:val="00457E8E"/>
    <w:rsid w:val="00457FB1"/>
    <w:rsid w:val="004603D4"/>
    <w:rsid w:val="0046093F"/>
    <w:rsid w:val="00460CE9"/>
    <w:rsid w:val="00460D10"/>
    <w:rsid w:val="00460D56"/>
    <w:rsid w:val="004611FA"/>
    <w:rsid w:val="00461435"/>
    <w:rsid w:val="0046151C"/>
    <w:rsid w:val="00461915"/>
    <w:rsid w:val="00461AA3"/>
    <w:rsid w:val="00461B69"/>
    <w:rsid w:val="00461CD1"/>
    <w:rsid w:val="0046204E"/>
    <w:rsid w:val="004621B3"/>
    <w:rsid w:val="0046235A"/>
    <w:rsid w:val="00462466"/>
    <w:rsid w:val="0046250F"/>
    <w:rsid w:val="00462521"/>
    <w:rsid w:val="0046285B"/>
    <w:rsid w:val="004634CD"/>
    <w:rsid w:val="004638D5"/>
    <w:rsid w:val="004639DE"/>
    <w:rsid w:val="00463A9A"/>
    <w:rsid w:val="00463BC2"/>
    <w:rsid w:val="004647BE"/>
    <w:rsid w:val="00464BC6"/>
    <w:rsid w:val="004650ED"/>
    <w:rsid w:val="0046531B"/>
    <w:rsid w:val="004657EB"/>
    <w:rsid w:val="0046596F"/>
    <w:rsid w:val="00465B73"/>
    <w:rsid w:val="00465CEF"/>
    <w:rsid w:val="00465D96"/>
    <w:rsid w:val="00466002"/>
    <w:rsid w:val="0046640B"/>
    <w:rsid w:val="004666F2"/>
    <w:rsid w:val="004668CE"/>
    <w:rsid w:val="004668E9"/>
    <w:rsid w:val="00466BA2"/>
    <w:rsid w:val="00466E63"/>
    <w:rsid w:val="00467022"/>
    <w:rsid w:val="00467100"/>
    <w:rsid w:val="00467601"/>
    <w:rsid w:val="00467711"/>
    <w:rsid w:val="00467870"/>
    <w:rsid w:val="00467B1A"/>
    <w:rsid w:val="00467B34"/>
    <w:rsid w:val="00470AB6"/>
    <w:rsid w:val="00470B59"/>
    <w:rsid w:val="00470CC5"/>
    <w:rsid w:val="00471164"/>
    <w:rsid w:val="0047161A"/>
    <w:rsid w:val="004716FD"/>
    <w:rsid w:val="0047193E"/>
    <w:rsid w:val="00471DC8"/>
    <w:rsid w:val="00472028"/>
    <w:rsid w:val="0047228C"/>
    <w:rsid w:val="0047244A"/>
    <w:rsid w:val="00472742"/>
    <w:rsid w:val="00472C3D"/>
    <w:rsid w:val="00472FB7"/>
    <w:rsid w:val="0047344D"/>
    <w:rsid w:val="00473A0E"/>
    <w:rsid w:val="00473BD8"/>
    <w:rsid w:val="00474276"/>
    <w:rsid w:val="00474374"/>
    <w:rsid w:val="004746CD"/>
    <w:rsid w:val="00474728"/>
    <w:rsid w:val="00474955"/>
    <w:rsid w:val="004749C1"/>
    <w:rsid w:val="00474EAE"/>
    <w:rsid w:val="00474ECE"/>
    <w:rsid w:val="00474F87"/>
    <w:rsid w:val="004750D9"/>
    <w:rsid w:val="00475696"/>
    <w:rsid w:val="0047582E"/>
    <w:rsid w:val="00475835"/>
    <w:rsid w:val="004758A5"/>
    <w:rsid w:val="00475F9C"/>
    <w:rsid w:val="004765F8"/>
    <w:rsid w:val="00476672"/>
    <w:rsid w:val="0047683A"/>
    <w:rsid w:val="00476BA7"/>
    <w:rsid w:val="00476CC3"/>
    <w:rsid w:val="00476D2A"/>
    <w:rsid w:val="00476DCF"/>
    <w:rsid w:val="004772AD"/>
    <w:rsid w:val="00477348"/>
    <w:rsid w:val="00477974"/>
    <w:rsid w:val="00477EC1"/>
    <w:rsid w:val="004805A3"/>
    <w:rsid w:val="004810B6"/>
    <w:rsid w:val="0048188C"/>
    <w:rsid w:val="004819F5"/>
    <w:rsid w:val="00481A0F"/>
    <w:rsid w:val="00481D30"/>
    <w:rsid w:val="00481FDF"/>
    <w:rsid w:val="00482040"/>
    <w:rsid w:val="00482D28"/>
    <w:rsid w:val="00482EB4"/>
    <w:rsid w:val="00483795"/>
    <w:rsid w:val="0048382B"/>
    <w:rsid w:val="00483871"/>
    <w:rsid w:val="00483CD1"/>
    <w:rsid w:val="004843A2"/>
    <w:rsid w:val="004847DB"/>
    <w:rsid w:val="00484C20"/>
    <w:rsid w:val="00484E9D"/>
    <w:rsid w:val="00485689"/>
    <w:rsid w:val="00485777"/>
    <w:rsid w:val="00485910"/>
    <w:rsid w:val="00485B05"/>
    <w:rsid w:val="00485D2C"/>
    <w:rsid w:val="004863A2"/>
    <w:rsid w:val="004865F8"/>
    <w:rsid w:val="004866E5"/>
    <w:rsid w:val="00486A9C"/>
    <w:rsid w:val="0048706A"/>
    <w:rsid w:val="004870B1"/>
    <w:rsid w:val="00487242"/>
    <w:rsid w:val="0048765E"/>
    <w:rsid w:val="00487661"/>
    <w:rsid w:val="00487720"/>
    <w:rsid w:val="00487882"/>
    <w:rsid w:val="00487A95"/>
    <w:rsid w:val="00487B67"/>
    <w:rsid w:val="00487C17"/>
    <w:rsid w:val="00487C42"/>
    <w:rsid w:val="00487D62"/>
    <w:rsid w:val="00487EEA"/>
    <w:rsid w:val="0049018E"/>
    <w:rsid w:val="004902A3"/>
    <w:rsid w:val="004907AB"/>
    <w:rsid w:val="0049082F"/>
    <w:rsid w:val="00490BF2"/>
    <w:rsid w:val="00490F50"/>
    <w:rsid w:val="0049142D"/>
    <w:rsid w:val="004916E7"/>
    <w:rsid w:val="004917B8"/>
    <w:rsid w:val="00491A50"/>
    <w:rsid w:val="00492895"/>
    <w:rsid w:val="00492950"/>
    <w:rsid w:val="00492AA0"/>
    <w:rsid w:val="00492BD6"/>
    <w:rsid w:val="00492CB9"/>
    <w:rsid w:val="004931D5"/>
    <w:rsid w:val="00493B4C"/>
    <w:rsid w:val="00493C08"/>
    <w:rsid w:val="00493C2F"/>
    <w:rsid w:val="00493CCB"/>
    <w:rsid w:val="00494B60"/>
    <w:rsid w:val="00494BCD"/>
    <w:rsid w:val="00494D82"/>
    <w:rsid w:val="00494D98"/>
    <w:rsid w:val="00494E96"/>
    <w:rsid w:val="00494EFB"/>
    <w:rsid w:val="00494F27"/>
    <w:rsid w:val="004958C9"/>
    <w:rsid w:val="00495FF8"/>
    <w:rsid w:val="00496304"/>
    <w:rsid w:val="00496344"/>
    <w:rsid w:val="00496472"/>
    <w:rsid w:val="00496BF0"/>
    <w:rsid w:val="00496CAD"/>
    <w:rsid w:val="00496D06"/>
    <w:rsid w:val="00496EF6"/>
    <w:rsid w:val="00496FDA"/>
    <w:rsid w:val="00497388"/>
    <w:rsid w:val="00497712"/>
    <w:rsid w:val="00497802"/>
    <w:rsid w:val="00497F89"/>
    <w:rsid w:val="004A0177"/>
    <w:rsid w:val="004A03C5"/>
    <w:rsid w:val="004A045E"/>
    <w:rsid w:val="004A0649"/>
    <w:rsid w:val="004A07B5"/>
    <w:rsid w:val="004A0A45"/>
    <w:rsid w:val="004A0A99"/>
    <w:rsid w:val="004A0E0F"/>
    <w:rsid w:val="004A10D7"/>
    <w:rsid w:val="004A11B0"/>
    <w:rsid w:val="004A146C"/>
    <w:rsid w:val="004A1B86"/>
    <w:rsid w:val="004A1EA9"/>
    <w:rsid w:val="004A293B"/>
    <w:rsid w:val="004A2D83"/>
    <w:rsid w:val="004A2F16"/>
    <w:rsid w:val="004A327F"/>
    <w:rsid w:val="004A32E8"/>
    <w:rsid w:val="004A3336"/>
    <w:rsid w:val="004A33B5"/>
    <w:rsid w:val="004A3DB4"/>
    <w:rsid w:val="004A486E"/>
    <w:rsid w:val="004A4885"/>
    <w:rsid w:val="004A517D"/>
    <w:rsid w:val="004A568E"/>
    <w:rsid w:val="004A5E44"/>
    <w:rsid w:val="004A5E5E"/>
    <w:rsid w:val="004A6231"/>
    <w:rsid w:val="004A66E4"/>
    <w:rsid w:val="004A6A2A"/>
    <w:rsid w:val="004A6E3F"/>
    <w:rsid w:val="004A6F4D"/>
    <w:rsid w:val="004A77F3"/>
    <w:rsid w:val="004A7A1E"/>
    <w:rsid w:val="004A7D16"/>
    <w:rsid w:val="004A7DEA"/>
    <w:rsid w:val="004A7E45"/>
    <w:rsid w:val="004B0948"/>
    <w:rsid w:val="004B0A27"/>
    <w:rsid w:val="004B0D95"/>
    <w:rsid w:val="004B0D98"/>
    <w:rsid w:val="004B1212"/>
    <w:rsid w:val="004B1297"/>
    <w:rsid w:val="004B1409"/>
    <w:rsid w:val="004B149B"/>
    <w:rsid w:val="004B1730"/>
    <w:rsid w:val="004B1833"/>
    <w:rsid w:val="004B188F"/>
    <w:rsid w:val="004B1CED"/>
    <w:rsid w:val="004B1D4F"/>
    <w:rsid w:val="004B2711"/>
    <w:rsid w:val="004B2ADF"/>
    <w:rsid w:val="004B2CAE"/>
    <w:rsid w:val="004B35B7"/>
    <w:rsid w:val="004B43AB"/>
    <w:rsid w:val="004B43BA"/>
    <w:rsid w:val="004B4551"/>
    <w:rsid w:val="004B4AD5"/>
    <w:rsid w:val="004B522A"/>
    <w:rsid w:val="004B5511"/>
    <w:rsid w:val="004B5612"/>
    <w:rsid w:val="004B69B1"/>
    <w:rsid w:val="004B6B05"/>
    <w:rsid w:val="004B6E13"/>
    <w:rsid w:val="004B6F2C"/>
    <w:rsid w:val="004B746C"/>
    <w:rsid w:val="004B75FB"/>
    <w:rsid w:val="004B772A"/>
    <w:rsid w:val="004B7731"/>
    <w:rsid w:val="004B7E63"/>
    <w:rsid w:val="004C0179"/>
    <w:rsid w:val="004C02C9"/>
    <w:rsid w:val="004C02D8"/>
    <w:rsid w:val="004C083D"/>
    <w:rsid w:val="004C0928"/>
    <w:rsid w:val="004C0931"/>
    <w:rsid w:val="004C0E28"/>
    <w:rsid w:val="004C109F"/>
    <w:rsid w:val="004C1152"/>
    <w:rsid w:val="004C1158"/>
    <w:rsid w:val="004C1167"/>
    <w:rsid w:val="004C116B"/>
    <w:rsid w:val="004C16AD"/>
    <w:rsid w:val="004C1B45"/>
    <w:rsid w:val="004C1FD9"/>
    <w:rsid w:val="004C23A9"/>
    <w:rsid w:val="004C24B1"/>
    <w:rsid w:val="004C253A"/>
    <w:rsid w:val="004C263C"/>
    <w:rsid w:val="004C2835"/>
    <w:rsid w:val="004C28AE"/>
    <w:rsid w:val="004C2989"/>
    <w:rsid w:val="004C2A1E"/>
    <w:rsid w:val="004C2B23"/>
    <w:rsid w:val="004C2C40"/>
    <w:rsid w:val="004C2DC4"/>
    <w:rsid w:val="004C3327"/>
    <w:rsid w:val="004C339E"/>
    <w:rsid w:val="004C3415"/>
    <w:rsid w:val="004C3451"/>
    <w:rsid w:val="004C3952"/>
    <w:rsid w:val="004C3F49"/>
    <w:rsid w:val="004C476A"/>
    <w:rsid w:val="004C48EE"/>
    <w:rsid w:val="004C4919"/>
    <w:rsid w:val="004C49F0"/>
    <w:rsid w:val="004C4D7B"/>
    <w:rsid w:val="004C4FAA"/>
    <w:rsid w:val="004C5111"/>
    <w:rsid w:val="004C599E"/>
    <w:rsid w:val="004C5DE9"/>
    <w:rsid w:val="004C608F"/>
    <w:rsid w:val="004C630B"/>
    <w:rsid w:val="004C6A64"/>
    <w:rsid w:val="004C6E81"/>
    <w:rsid w:val="004C789F"/>
    <w:rsid w:val="004C7933"/>
    <w:rsid w:val="004C7F93"/>
    <w:rsid w:val="004D0072"/>
    <w:rsid w:val="004D01E4"/>
    <w:rsid w:val="004D02D8"/>
    <w:rsid w:val="004D0631"/>
    <w:rsid w:val="004D0A90"/>
    <w:rsid w:val="004D0ACD"/>
    <w:rsid w:val="004D0DB7"/>
    <w:rsid w:val="004D105A"/>
    <w:rsid w:val="004D117D"/>
    <w:rsid w:val="004D1281"/>
    <w:rsid w:val="004D230B"/>
    <w:rsid w:val="004D253F"/>
    <w:rsid w:val="004D2605"/>
    <w:rsid w:val="004D26C7"/>
    <w:rsid w:val="004D2B11"/>
    <w:rsid w:val="004D2D74"/>
    <w:rsid w:val="004D2F10"/>
    <w:rsid w:val="004D3263"/>
    <w:rsid w:val="004D33E2"/>
    <w:rsid w:val="004D3A19"/>
    <w:rsid w:val="004D3AA1"/>
    <w:rsid w:val="004D3AB2"/>
    <w:rsid w:val="004D3CB5"/>
    <w:rsid w:val="004D3D85"/>
    <w:rsid w:val="004D467D"/>
    <w:rsid w:val="004D46CE"/>
    <w:rsid w:val="004D52A9"/>
    <w:rsid w:val="004D58C8"/>
    <w:rsid w:val="004D5E13"/>
    <w:rsid w:val="004D60EA"/>
    <w:rsid w:val="004D6367"/>
    <w:rsid w:val="004D6492"/>
    <w:rsid w:val="004D67F4"/>
    <w:rsid w:val="004D6935"/>
    <w:rsid w:val="004D703D"/>
    <w:rsid w:val="004D70AA"/>
    <w:rsid w:val="004D70ED"/>
    <w:rsid w:val="004D7256"/>
    <w:rsid w:val="004E051F"/>
    <w:rsid w:val="004E0A5A"/>
    <w:rsid w:val="004E0A63"/>
    <w:rsid w:val="004E0E37"/>
    <w:rsid w:val="004E1239"/>
    <w:rsid w:val="004E1515"/>
    <w:rsid w:val="004E16C5"/>
    <w:rsid w:val="004E184B"/>
    <w:rsid w:val="004E1A43"/>
    <w:rsid w:val="004E1EF8"/>
    <w:rsid w:val="004E256A"/>
    <w:rsid w:val="004E288E"/>
    <w:rsid w:val="004E32FC"/>
    <w:rsid w:val="004E342E"/>
    <w:rsid w:val="004E3768"/>
    <w:rsid w:val="004E39A7"/>
    <w:rsid w:val="004E39D2"/>
    <w:rsid w:val="004E4221"/>
    <w:rsid w:val="004E44E5"/>
    <w:rsid w:val="004E455B"/>
    <w:rsid w:val="004E46AF"/>
    <w:rsid w:val="004E4708"/>
    <w:rsid w:val="004E5198"/>
    <w:rsid w:val="004E525D"/>
    <w:rsid w:val="004E5503"/>
    <w:rsid w:val="004E5880"/>
    <w:rsid w:val="004E5E05"/>
    <w:rsid w:val="004E6221"/>
    <w:rsid w:val="004E679D"/>
    <w:rsid w:val="004E69C2"/>
    <w:rsid w:val="004E6AF2"/>
    <w:rsid w:val="004E6BD4"/>
    <w:rsid w:val="004E770A"/>
    <w:rsid w:val="004E7876"/>
    <w:rsid w:val="004F0126"/>
    <w:rsid w:val="004F0750"/>
    <w:rsid w:val="004F0A6B"/>
    <w:rsid w:val="004F0BAA"/>
    <w:rsid w:val="004F1251"/>
    <w:rsid w:val="004F1447"/>
    <w:rsid w:val="004F1547"/>
    <w:rsid w:val="004F15B0"/>
    <w:rsid w:val="004F2018"/>
    <w:rsid w:val="004F2398"/>
    <w:rsid w:val="004F23F5"/>
    <w:rsid w:val="004F2A3C"/>
    <w:rsid w:val="004F2DF0"/>
    <w:rsid w:val="004F2EE3"/>
    <w:rsid w:val="004F33AD"/>
    <w:rsid w:val="004F3FD9"/>
    <w:rsid w:val="004F4237"/>
    <w:rsid w:val="004F43BE"/>
    <w:rsid w:val="004F451F"/>
    <w:rsid w:val="004F48BA"/>
    <w:rsid w:val="004F4D7E"/>
    <w:rsid w:val="004F519F"/>
    <w:rsid w:val="004F59FA"/>
    <w:rsid w:val="004F5FDD"/>
    <w:rsid w:val="004F60FF"/>
    <w:rsid w:val="004F6499"/>
    <w:rsid w:val="004F6632"/>
    <w:rsid w:val="004F6713"/>
    <w:rsid w:val="004F6EFE"/>
    <w:rsid w:val="004F6FE9"/>
    <w:rsid w:val="004F71B7"/>
    <w:rsid w:val="004F7672"/>
    <w:rsid w:val="004F7D2F"/>
    <w:rsid w:val="005000B5"/>
    <w:rsid w:val="00500600"/>
    <w:rsid w:val="00500888"/>
    <w:rsid w:val="00500B52"/>
    <w:rsid w:val="00501814"/>
    <w:rsid w:val="00502834"/>
    <w:rsid w:val="00502CD1"/>
    <w:rsid w:val="00503DF4"/>
    <w:rsid w:val="00504196"/>
    <w:rsid w:val="00504648"/>
    <w:rsid w:val="00504676"/>
    <w:rsid w:val="00504D18"/>
    <w:rsid w:val="005052A2"/>
    <w:rsid w:val="005052F3"/>
    <w:rsid w:val="0050550F"/>
    <w:rsid w:val="0050568C"/>
    <w:rsid w:val="005056EA"/>
    <w:rsid w:val="00505AA3"/>
    <w:rsid w:val="00505B32"/>
    <w:rsid w:val="005060B6"/>
    <w:rsid w:val="005061D5"/>
    <w:rsid w:val="005062D2"/>
    <w:rsid w:val="00506784"/>
    <w:rsid w:val="00506A03"/>
    <w:rsid w:val="00506AA2"/>
    <w:rsid w:val="00506C68"/>
    <w:rsid w:val="00507018"/>
    <w:rsid w:val="00507266"/>
    <w:rsid w:val="00507882"/>
    <w:rsid w:val="00507DC3"/>
    <w:rsid w:val="00507E65"/>
    <w:rsid w:val="00507F08"/>
    <w:rsid w:val="00507F64"/>
    <w:rsid w:val="005100C1"/>
    <w:rsid w:val="00510D31"/>
    <w:rsid w:val="00510E31"/>
    <w:rsid w:val="005115C7"/>
    <w:rsid w:val="005116A4"/>
    <w:rsid w:val="00511C08"/>
    <w:rsid w:val="00511CAA"/>
    <w:rsid w:val="00511E82"/>
    <w:rsid w:val="00511E85"/>
    <w:rsid w:val="00511FCE"/>
    <w:rsid w:val="00511FE0"/>
    <w:rsid w:val="005124F0"/>
    <w:rsid w:val="005124FA"/>
    <w:rsid w:val="005125B5"/>
    <w:rsid w:val="005129CC"/>
    <w:rsid w:val="005130F7"/>
    <w:rsid w:val="00513259"/>
    <w:rsid w:val="005137AA"/>
    <w:rsid w:val="00513E41"/>
    <w:rsid w:val="00513E7C"/>
    <w:rsid w:val="0051441F"/>
    <w:rsid w:val="00514781"/>
    <w:rsid w:val="005148A3"/>
    <w:rsid w:val="005148E8"/>
    <w:rsid w:val="0051516F"/>
    <w:rsid w:val="00516169"/>
    <w:rsid w:val="005163FF"/>
    <w:rsid w:val="00516FB3"/>
    <w:rsid w:val="00516FE7"/>
    <w:rsid w:val="005170E4"/>
    <w:rsid w:val="00517BCF"/>
    <w:rsid w:val="00517D2B"/>
    <w:rsid w:val="005201BA"/>
    <w:rsid w:val="0052021E"/>
    <w:rsid w:val="00520293"/>
    <w:rsid w:val="005205D5"/>
    <w:rsid w:val="00520D24"/>
    <w:rsid w:val="00521122"/>
    <w:rsid w:val="0052177E"/>
    <w:rsid w:val="0052178D"/>
    <w:rsid w:val="00521BCC"/>
    <w:rsid w:val="005223D2"/>
    <w:rsid w:val="005223F5"/>
    <w:rsid w:val="0052280C"/>
    <w:rsid w:val="00522CE1"/>
    <w:rsid w:val="00523101"/>
    <w:rsid w:val="00523244"/>
    <w:rsid w:val="0052332E"/>
    <w:rsid w:val="00523456"/>
    <w:rsid w:val="005234B3"/>
    <w:rsid w:val="005235B8"/>
    <w:rsid w:val="00523730"/>
    <w:rsid w:val="00523AB0"/>
    <w:rsid w:val="00523AEE"/>
    <w:rsid w:val="00523AF7"/>
    <w:rsid w:val="00523C71"/>
    <w:rsid w:val="00523F16"/>
    <w:rsid w:val="00524926"/>
    <w:rsid w:val="005257D7"/>
    <w:rsid w:val="00525905"/>
    <w:rsid w:val="00526256"/>
    <w:rsid w:val="00526D8F"/>
    <w:rsid w:val="0052712F"/>
    <w:rsid w:val="00527ACE"/>
    <w:rsid w:val="005300CC"/>
    <w:rsid w:val="0053031A"/>
    <w:rsid w:val="00530415"/>
    <w:rsid w:val="005305AA"/>
    <w:rsid w:val="0053060D"/>
    <w:rsid w:val="00530EA6"/>
    <w:rsid w:val="00531162"/>
    <w:rsid w:val="005312E1"/>
    <w:rsid w:val="005318A1"/>
    <w:rsid w:val="00531C91"/>
    <w:rsid w:val="005325DC"/>
    <w:rsid w:val="0053261C"/>
    <w:rsid w:val="00532CF4"/>
    <w:rsid w:val="00532E44"/>
    <w:rsid w:val="005334BD"/>
    <w:rsid w:val="00533591"/>
    <w:rsid w:val="005337A7"/>
    <w:rsid w:val="0053385F"/>
    <w:rsid w:val="0053393B"/>
    <w:rsid w:val="00533B99"/>
    <w:rsid w:val="00533E29"/>
    <w:rsid w:val="005341B8"/>
    <w:rsid w:val="00534C90"/>
    <w:rsid w:val="00534F2D"/>
    <w:rsid w:val="005359F6"/>
    <w:rsid w:val="00536426"/>
    <w:rsid w:val="0053687B"/>
    <w:rsid w:val="00536CB0"/>
    <w:rsid w:val="00536CC5"/>
    <w:rsid w:val="00536D25"/>
    <w:rsid w:val="005377E9"/>
    <w:rsid w:val="005378BA"/>
    <w:rsid w:val="00537A85"/>
    <w:rsid w:val="00537B62"/>
    <w:rsid w:val="00537DC8"/>
    <w:rsid w:val="0054007D"/>
    <w:rsid w:val="0054021D"/>
    <w:rsid w:val="0054081B"/>
    <w:rsid w:val="00540AA6"/>
    <w:rsid w:val="00541046"/>
    <w:rsid w:val="00541357"/>
    <w:rsid w:val="0054147B"/>
    <w:rsid w:val="00541652"/>
    <w:rsid w:val="005420AD"/>
    <w:rsid w:val="00542342"/>
    <w:rsid w:val="005423F0"/>
    <w:rsid w:val="005424BC"/>
    <w:rsid w:val="0054260F"/>
    <w:rsid w:val="00542611"/>
    <w:rsid w:val="00542671"/>
    <w:rsid w:val="005426BC"/>
    <w:rsid w:val="00542DD8"/>
    <w:rsid w:val="00542F79"/>
    <w:rsid w:val="005432E4"/>
    <w:rsid w:val="00543399"/>
    <w:rsid w:val="005436A8"/>
    <w:rsid w:val="005437E5"/>
    <w:rsid w:val="00543BB5"/>
    <w:rsid w:val="00543C08"/>
    <w:rsid w:val="00544C4C"/>
    <w:rsid w:val="0054508A"/>
    <w:rsid w:val="005454D7"/>
    <w:rsid w:val="005455E4"/>
    <w:rsid w:val="00545D1D"/>
    <w:rsid w:val="0054641C"/>
    <w:rsid w:val="00546476"/>
    <w:rsid w:val="00546839"/>
    <w:rsid w:val="00546A3F"/>
    <w:rsid w:val="00546F86"/>
    <w:rsid w:val="0054720E"/>
    <w:rsid w:val="0054724E"/>
    <w:rsid w:val="005472B7"/>
    <w:rsid w:val="0054769D"/>
    <w:rsid w:val="00547D75"/>
    <w:rsid w:val="0055043A"/>
    <w:rsid w:val="0055059F"/>
    <w:rsid w:val="0055068A"/>
    <w:rsid w:val="00550E7E"/>
    <w:rsid w:val="00551047"/>
    <w:rsid w:val="0055117E"/>
    <w:rsid w:val="00551384"/>
    <w:rsid w:val="00551683"/>
    <w:rsid w:val="005518FB"/>
    <w:rsid w:val="005519F1"/>
    <w:rsid w:val="00551CBC"/>
    <w:rsid w:val="00552144"/>
    <w:rsid w:val="0055244C"/>
    <w:rsid w:val="005527F6"/>
    <w:rsid w:val="00552A5F"/>
    <w:rsid w:val="00552CB2"/>
    <w:rsid w:val="005536B9"/>
    <w:rsid w:val="005539A9"/>
    <w:rsid w:val="00553BB5"/>
    <w:rsid w:val="00554023"/>
    <w:rsid w:val="005547B1"/>
    <w:rsid w:val="0055484B"/>
    <w:rsid w:val="00555D23"/>
    <w:rsid w:val="00556171"/>
    <w:rsid w:val="00556687"/>
    <w:rsid w:val="00556DAD"/>
    <w:rsid w:val="00557245"/>
    <w:rsid w:val="005574C9"/>
    <w:rsid w:val="005576FA"/>
    <w:rsid w:val="005606AC"/>
    <w:rsid w:val="00560E45"/>
    <w:rsid w:val="005615A7"/>
    <w:rsid w:val="0056165E"/>
    <w:rsid w:val="00561D0A"/>
    <w:rsid w:val="005620DB"/>
    <w:rsid w:val="00562368"/>
    <w:rsid w:val="005623CC"/>
    <w:rsid w:val="0056268E"/>
    <w:rsid w:val="00562795"/>
    <w:rsid w:val="0056279E"/>
    <w:rsid w:val="005627C0"/>
    <w:rsid w:val="00563065"/>
    <w:rsid w:val="005634BB"/>
    <w:rsid w:val="00563528"/>
    <w:rsid w:val="00563C8A"/>
    <w:rsid w:val="005650E7"/>
    <w:rsid w:val="00565102"/>
    <w:rsid w:val="0056554D"/>
    <w:rsid w:val="005655A9"/>
    <w:rsid w:val="00565C16"/>
    <w:rsid w:val="00565CC1"/>
    <w:rsid w:val="00566ABE"/>
    <w:rsid w:val="00566BCA"/>
    <w:rsid w:val="005677D9"/>
    <w:rsid w:val="00567C24"/>
    <w:rsid w:val="00567C2D"/>
    <w:rsid w:val="00567D2B"/>
    <w:rsid w:val="0057009F"/>
    <w:rsid w:val="005703A2"/>
    <w:rsid w:val="005706A1"/>
    <w:rsid w:val="00570961"/>
    <w:rsid w:val="00570D1E"/>
    <w:rsid w:val="0057102F"/>
    <w:rsid w:val="005710EE"/>
    <w:rsid w:val="005719AB"/>
    <w:rsid w:val="005719AD"/>
    <w:rsid w:val="005719C8"/>
    <w:rsid w:val="00571AE2"/>
    <w:rsid w:val="00571B75"/>
    <w:rsid w:val="00572197"/>
    <w:rsid w:val="005721C1"/>
    <w:rsid w:val="005725BF"/>
    <w:rsid w:val="00572826"/>
    <w:rsid w:val="00572CD2"/>
    <w:rsid w:val="00572DF1"/>
    <w:rsid w:val="00573992"/>
    <w:rsid w:val="00573FA2"/>
    <w:rsid w:val="005740EE"/>
    <w:rsid w:val="0057461E"/>
    <w:rsid w:val="005747B2"/>
    <w:rsid w:val="005748EF"/>
    <w:rsid w:val="00574B47"/>
    <w:rsid w:val="0057687A"/>
    <w:rsid w:val="00576905"/>
    <w:rsid w:val="00576E3B"/>
    <w:rsid w:val="00576E94"/>
    <w:rsid w:val="0057712E"/>
    <w:rsid w:val="00577265"/>
    <w:rsid w:val="005773A1"/>
    <w:rsid w:val="005773BB"/>
    <w:rsid w:val="00577590"/>
    <w:rsid w:val="00577C71"/>
    <w:rsid w:val="005802D3"/>
    <w:rsid w:val="005803B5"/>
    <w:rsid w:val="00580760"/>
    <w:rsid w:val="0058102F"/>
    <w:rsid w:val="00581065"/>
    <w:rsid w:val="00581180"/>
    <w:rsid w:val="005812F0"/>
    <w:rsid w:val="005817E1"/>
    <w:rsid w:val="00581819"/>
    <w:rsid w:val="005819BA"/>
    <w:rsid w:val="00581D1D"/>
    <w:rsid w:val="0058249F"/>
    <w:rsid w:val="00582602"/>
    <w:rsid w:val="0058267A"/>
    <w:rsid w:val="005827D1"/>
    <w:rsid w:val="00582C11"/>
    <w:rsid w:val="00582C4B"/>
    <w:rsid w:val="00582DEE"/>
    <w:rsid w:val="005830B7"/>
    <w:rsid w:val="005832DA"/>
    <w:rsid w:val="00583762"/>
    <w:rsid w:val="005837A1"/>
    <w:rsid w:val="00583A49"/>
    <w:rsid w:val="00583E87"/>
    <w:rsid w:val="005845A8"/>
    <w:rsid w:val="005846D8"/>
    <w:rsid w:val="005846F6"/>
    <w:rsid w:val="00584793"/>
    <w:rsid w:val="00585034"/>
    <w:rsid w:val="00585312"/>
    <w:rsid w:val="00585857"/>
    <w:rsid w:val="005858B8"/>
    <w:rsid w:val="00585B2D"/>
    <w:rsid w:val="00586006"/>
    <w:rsid w:val="00586477"/>
    <w:rsid w:val="005864A7"/>
    <w:rsid w:val="00586A98"/>
    <w:rsid w:val="00586C82"/>
    <w:rsid w:val="00586D5A"/>
    <w:rsid w:val="00586ED3"/>
    <w:rsid w:val="005870FA"/>
    <w:rsid w:val="00587292"/>
    <w:rsid w:val="0058754D"/>
    <w:rsid w:val="0058770D"/>
    <w:rsid w:val="00587848"/>
    <w:rsid w:val="00587B81"/>
    <w:rsid w:val="00587D67"/>
    <w:rsid w:val="00590668"/>
    <w:rsid w:val="005906BC"/>
    <w:rsid w:val="005907D5"/>
    <w:rsid w:val="005913FD"/>
    <w:rsid w:val="00591684"/>
    <w:rsid w:val="005917FB"/>
    <w:rsid w:val="0059181B"/>
    <w:rsid w:val="00591C45"/>
    <w:rsid w:val="00591DDF"/>
    <w:rsid w:val="00592109"/>
    <w:rsid w:val="0059220B"/>
    <w:rsid w:val="00592497"/>
    <w:rsid w:val="0059249C"/>
    <w:rsid w:val="00592F43"/>
    <w:rsid w:val="005933CF"/>
    <w:rsid w:val="00593501"/>
    <w:rsid w:val="005938C1"/>
    <w:rsid w:val="00593DF4"/>
    <w:rsid w:val="00593F79"/>
    <w:rsid w:val="0059458A"/>
    <w:rsid w:val="0059470E"/>
    <w:rsid w:val="00595034"/>
    <w:rsid w:val="0059505B"/>
    <w:rsid w:val="0059515A"/>
    <w:rsid w:val="005956EB"/>
    <w:rsid w:val="00595B38"/>
    <w:rsid w:val="00595F78"/>
    <w:rsid w:val="00596339"/>
    <w:rsid w:val="005964AC"/>
    <w:rsid w:val="00596B28"/>
    <w:rsid w:val="00596EEB"/>
    <w:rsid w:val="005A00D7"/>
    <w:rsid w:val="005A01A5"/>
    <w:rsid w:val="005A027A"/>
    <w:rsid w:val="005A02F3"/>
    <w:rsid w:val="005A0539"/>
    <w:rsid w:val="005A0849"/>
    <w:rsid w:val="005A0D13"/>
    <w:rsid w:val="005A0FF9"/>
    <w:rsid w:val="005A118C"/>
    <w:rsid w:val="005A13C7"/>
    <w:rsid w:val="005A143C"/>
    <w:rsid w:val="005A1600"/>
    <w:rsid w:val="005A2283"/>
    <w:rsid w:val="005A2A27"/>
    <w:rsid w:val="005A2C76"/>
    <w:rsid w:val="005A2E83"/>
    <w:rsid w:val="005A2EDA"/>
    <w:rsid w:val="005A3442"/>
    <w:rsid w:val="005A3690"/>
    <w:rsid w:val="005A374A"/>
    <w:rsid w:val="005A3D91"/>
    <w:rsid w:val="005A3E74"/>
    <w:rsid w:val="005A3F28"/>
    <w:rsid w:val="005A4044"/>
    <w:rsid w:val="005A419A"/>
    <w:rsid w:val="005A41F0"/>
    <w:rsid w:val="005A450A"/>
    <w:rsid w:val="005A4892"/>
    <w:rsid w:val="005A543B"/>
    <w:rsid w:val="005A58C4"/>
    <w:rsid w:val="005A5A9B"/>
    <w:rsid w:val="005A5B83"/>
    <w:rsid w:val="005A690F"/>
    <w:rsid w:val="005A6D1E"/>
    <w:rsid w:val="005A7119"/>
    <w:rsid w:val="005A72D2"/>
    <w:rsid w:val="005A7643"/>
    <w:rsid w:val="005A77AD"/>
    <w:rsid w:val="005B0557"/>
    <w:rsid w:val="005B07F4"/>
    <w:rsid w:val="005B0E15"/>
    <w:rsid w:val="005B1032"/>
    <w:rsid w:val="005B15FF"/>
    <w:rsid w:val="005B18E7"/>
    <w:rsid w:val="005B1978"/>
    <w:rsid w:val="005B1AB7"/>
    <w:rsid w:val="005B22AC"/>
    <w:rsid w:val="005B234E"/>
    <w:rsid w:val="005B26B0"/>
    <w:rsid w:val="005B26E1"/>
    <w:rsid w:val="005B293C"/>
    <w:rsid w:val="005B2971"/>
    <w:rsid w:val="005B298B"/>
    <w:rsid w:val="005B29AE"/>
    <w:rsid w:val="005B2BC2"/>
    <w:rsid w:val="005B2F20"/>
    <w:rsid w:val="005B2FAC"/>
    <w:rsid w:val="005B35D5"/>
    <w:rsid w:val="005B367F"/>
    <w:rsid w:val="005B38BB"/>
    <w:rsid w:val="005B3AD4"/>
    <w:rsid w:val="005B3C32"/>
    <w:rsid w:val="005B4303"/>
    <w:rsid w:val="005B4333"/>
    <w:rsid w:val="005B4724"/>
    <w:rsid w:val="005B4B8E"/>
    <w:rsid w:val="005B4C44"/>
    <w:rsid w:val="005B4DA6"/>
    <w:rsid w:val="005B550A"/>
    <w:rsid w:val="005B5625"/>
    <w:rsid w:val="005B58DB"/>
    <w:rsid w:val="005B5C73"/>
    <w:rsid w:val="005B5D3E"/>
    <w:rsid w:val="005B66DC"/>
    <w:rsid w:val="005B6D29"/>
    <w:rsid w:val="005B6DFC"/>
    <w:rsid w:val="005B7188"/>
    <w:rsid w:val="005B7385"/>
    <w:rsid w:val="005B7454"/>
    <w:rsid w:val="005B76FB"/>
    <w:rsid w:val="005B77C9"/>
    <w:rsid w:val="005B7809"/>
    <w:rsid w:val="005B7B7E"/>
    <w:rsid w:val="005B7C4E"/>
    <w:rsid w:val="005C0105"/>
    <w:rsid w:val="005C0327"/>
    <w:rsid w:val="005C05A8"/>
    <w:rsid w:val="005C060C"/>
    <w:rsid w:val="005C0991"/>
    <w:rsid w:val="005C0CB4"/>
    <w:rsid w:val="005C0E91"/>
    <w:rsid w:val="005C11AB"/>
    <w:rsid w:val="005C1B24"/>
    <w:rsid w:val="005C1BFA"/>
    <w:rsid w:val="005C1F94"/>
    <w:rsid w:val="005C2249"/>
    <w:rsid w:val="005C23FB"/>
    <w:rsid w:val="005C2836"/>
    <w:rsid w:val="005C29B6"/>
    <w:rsid w:val="005C29BA"/>
    <w:rsid w:val="005C2BC6"/>
    <w:rsid w:val="005C3053"/>
    <w:rsid w:val="005C32F0"/>
    <w:rsid w:val="005C346D"/>
    <w:rsid w:val="005C35E7"/>
    <w:rsid w:val="005C397A"/>
    <w:rsid w:val="005C3DB1"/>
    <w:rsid w:val="005C48B4"/>
    <w:rsid w:val="005C4D85"/>
    <w:rsid w:val="005C4E98"/>
    <w:rsid w:val="005C5259"/>
    <w:rsid w:val="005C538E"/>
    <w:rsid w:val="005C55AD"/>
    <w:rsid w:val="005C5DE4"/>
    <w:rsid w:val="005C5EB8"/>
    <w:rsid w:val="005C6569"/>
    <w:rsid w:val="005C6894"/>
    <w:rsid w:val="005C6A66"/>
    <w:rsid w:val="005C6AD8"/>
    <w:rsid w:val="005C6B5F"/>
    <w:rsid w:val="005C7206"/>
    <w:rsid w:val="005C7349"/>
    <w:rsid w:val="005C7526"/>
    <w:rsid w:val="005C7701"/>
    <w:rsid w:val="005C7E6B"/>
    <w:rsid w:val="005D01D4"/>
    <w:rsid w:val="005D0338"/>
    <w:rsid w:val="005D051C"/>
    <w:rsid w:val="005D05F2"/>
    <w:rsid w:val="005D0B46"/>
    <w:rsid w:val="005D0DE2"/>
    <w:rsid w:val="005D0E6B"/>
    <w:rsid w:val="005D0E9B"/>
    <w:rsid w:val="005D0EFD"/>
    <w:rsid w:val="005D10B0"/>
    <w:rsid w:val="005D13FC"/>
    <w:rsid w:val="005D167B"/>
    <w:rsid w:val="005D1724"/>
    <w:rsid w:val="005D1757"/>
    <w:rsid w:val="005D17CD"/>
    <w:rsid w:val="005D17CE"/>
    <w:rsid w:val="005D1AD4"/>
    <w:rsid w:val="005D20CA"/>
    <w:rsid w:val="005D22F7"/>
    <w:rsid w:val="005D2984"/>
    <w:rsid w:val="005D2C17"/>
    <w:rsid w:val="005D314A"/>
    <w:rsid w:val="005D36D9"/>
    <w:rsid w:val="005D372B"/>
    <w:rsid w:val="005D3B5C"/>
    <w:rsid w:val="005D4347"/>
    <w:rsid w:val="005D439E"/>
    <w:rsid w:val="005D45A7"/>
    <w:rsid w:val="005D469D"/>
    <w:rsid w:val="005D4911"/>
    <w:rsid w:val="005D4AFE"/>
    <w:rsid w:val="005D4F2B"/>
    <w:rsid w:val="005D51EF"/>
    <w:rsid w:val="005D5904"/>
    <w:rsid w:val="005D5E14"/>
    <w:rsid w:val="005D5FC9"/>
    <w:rsid w:val="005D602F"/>
    <w:rsid w:val="005D6176"/>
    <w:rsid w:val="005D66D0"/>
    <w:rsid w:val="005D66E2"/>
    <w:rsid w:val="005D6CDF"/>
    <w:rsid w:val="005D736C"/>
    <w:rsid w:val="005D7659"/>
    <w:rsid w:val="005D7889"/>
    <w:rsid w:val="005D7C68"/>
    <w:rsid w:val="005E02FA"/>
    <w:rsid w:val="005E035F"/>
    <w:rsid w:val="005E03FE"/>
    <w:rsid w:val="005E1277"/>
    <w:rsid w:val="005E1301"/>
    <w:rsid w:val="005E1919"/>
    <w:rsid w:val="005E1978"/>
    <w:rsid w:val="005E287E"/>
    <w:rsid w:val="005E28EF"/>
    <w:rsid w:val="005E2920"/>
    <w:rsid w:val="005E3094"/>
    <w:rsid w:val="005E33E0"/>
    <w:rsid w:val="005E3B1E"/>
    <w:rsid w:val="005E3EDF"/>
    <w:rsid w:val="005E3F4C"/>
    <w:rsid w:val="005E456C"/>
    <w:rsid w:val="005E4595"/>
    <w:rsid w:val="005E4849"/>
    <w:rsid w:val="005E49EE"/>
    <w:rsid w:val="005E4B2E"/>
    <w:rsid w:val="005E4C97"/>
    <w:rsid w:val="005E540E"/>
    <w:rsid w:val="005E5448"/>
    <w:rsid w:val="005E56B4"/>
    <w:rsid w:val="005E5933"/>
    <w:rsid w:val="005E5941"/>
    <w:rsid w:val="005E5ACF"/>
    <w:rsid w:val="005E5C25"/>
    <w:rsid w:val="005E632C"/>
    <w:rsid w:val="005E63D3"/>
    <w:rsid w:val="005E64B9"/>
    <w:rsid w:val="005E66C2"/>
    <w:rsid w:val="005E679D"/>
    <w:rsid w:val="005E689A"/>
    <w:rsid w:val="005E6A81"/>
    <w:rsid w:val="005E6E74"/>
    <w:rsid w:val="005E6F46"/>
    <w:rsid w:val="005E7261"/>
    <w:rsid w:val="005E73F8"/>
    <w:rsid w:val="005E75EE"/>
    <w:rsid w:val="005E7648"/>
    <w:rsid w:val="005E7886"/>
    <w:rsid w:val="005E7A01"/>
    <w:rsid w:val="005E7BC6"/>
    <w:rsid w:val="005E7DAD"/>
    <w:rsid w:val="005E7EBB"/>
    <w:rsid w:val="005F0163"/>
    <w:rsid w:val="005F020A"/>
    <w:rsid w:val="005F0487"/>
    <w:rsid w:val="005F05E6"/>
    <w:rsid w:val="005F06C1"/>
    <w:rsid w:val="005F0825"/>
    <w:rsid w:val="005F084E"/>
    <w:rsid w:val="005F0954"/>
    <w:rsid w:val="005F0E95"/>
    <w:rsid w:val="005F105F"/>
    <w:rsid w:val="005F12DA"/>
    <w:rsid w:val="005F12F5"/>
    <w:rsid w:val="005F13DD"/>
    <w:rsid w:val="005F1CAB"/>
    <w:rsid w:val="005F1D61"/>
    <w:rsid w:val="005F1EB3"/>
    <w:rsid w:val="005F20E9"/>
    <w:rsid w:val="005F26D0"/>
    <w:rsid w:val="005F3F90"/>
    <w:rsid w:val="005F4427"/>
    <w:rsid w:val="005F44C9"/>
    <w:rsid w:val="005F4CCC"/>
    <w:rsid w:val="005F4E03"/>
    <w:rsid w:val="005F5432"/>
    <w:rsid w:val="005F595D"/>
    <w:rsid w:val="005F5A07"/>
    <w:rsid w:val="005F5C39"/>
    <w:rsid w:val="005F60D5"/>
    <w:rsid w:val="005F6244"/>
    <w:rsid w:val="005F6273"/>
    <w:rsid w:val="005F689C"/>
    <w:rsid w:val="005F696C"/>
    <w:rsid w:val="005F6BF8"/>
    <w:rsid w:val="005F747C"/>
    <w:rsid w:val="005F74CB"/>
    <w:rsid w:val="005F76DA"/>
    <w:rsid w:val="00601025"/>
    <w:rsid w:val="0060109B"/>
    <w:rsid w:val="006013B9"/>
    <w:rsid w:val="006019D3"/>
    <w:rsid w:val="006022B7"/>
    <w:rsid w:val="006025C3"/>
    <w:rsid w:val="00602707"/>
    <w:rsid w:val="00602D1B"/>
    <w:rsid w:val="00602FD3"/>
    <w:rsid w:val="006034CA"/>
    <w:rsid w:val="00603589"/>
    <w:rsid w:val="00603677"/>
    <w:rsid w:val="00603B51"/>
    <w:rsid w:val="00603CC5"/>
    <w:rsid w:val="006047EF"/>
    <w:rsid w:val="00604DDD"/>
    <w:rsid w:val="006058A3"/>
    <w:rsid w:val="006059E5"/>
    <w:rsid w:val="00605BC5"/>
    <w:rsid w:val="0060607F"/>
    <w:rsid w:val="0060608C"/>
    <w:rsid w:val="0060650B"/>
    <w:rsid w:val="00607003"/>
    <w:rsid w:val="006074C3"/>
    <w:rsid w:val="00607822"/>
    <w:rsid w:val="006078A7"/>
    <w:rsid w:val="00607B09"/>
    <w:rsid w:val="00607E02"/>
    <w:rsid w:val="006100F7"/>
    <w:rsid w:val="0061037A"/>
    <w:rsid w:val="006104E0"/>
    <w:rsid w:val="006105B7"/>
    <w:rsid w:val="0061066B"/>
    <w:rsid w:val="00610B78"/>
    <w:rsid w:val="00610B82"/>
    <w:rsid w:val="00610E0C"/>
    <w:rsid w:val="00610F08"/>
    <w:rsid w:val="00611156"/>
    <w:rsid w:val="00611512"/>
    <w:rsid w:val="006122CE"/>
    <w:rsid w:val="0061236E"/>
    <w:rsid w:val="006125BD"/>
    <w:rsid w:val="006127CC"/>
    <w:rsid w:val="00612C1C"/>
    <w:rsid w:val="00613195"/>
    <w:rsid w:val="00613771"/>
    <w:rsid w:val="00613BCD"/>
    <w:rsid w:val="00614189"/>
    <w:rsid w:val="006141D6"/>
    <w:rsid w:val="0061541D"/>
    <w:rsid w:val="006156F7"/>
    <w:rsid w:val="00616120"/>
    <w:rsid w:val="00616307"/>
    <w:rsid w:val="00616424"/>
    <w:rsid w:val="00616492"/>
    <w:rsid w:val="0061676C"/>
    <w:rsid w:val="0061715D"/>
    <w:rsid w:val="006178D2"/>
    <w:rsid w:val="006179D9"/>
    <w:rsid w:val="00617A3A"/>
    <w:rsid w:val="00620005"/>
    <w:rsid w:val="0062009D"/>
    <w:rsid w:val="006200BC"/>
    <w:rsid w:val="00620353"/>
    <w:rsid w:val="00620386"/>
    <w:rsid w:val="00620457"/>
    <w:rsid w:val="006214AC"/>
    <w:rsid w:val="0062173F"/>
    <w:rsid w:val="00621797"/>
    <w:rsid w:val="00621FA2"/>
    <w:rsid w:val="00622076"/>
    <w:rsid w:val="00622213"/>
    <w:rsid w:val="0062257D"/>
    <w:rsid w:val="00622964"/>
    <w:rsid w:val="00622B78"/>
    <w:rsid w:val="00622F79"/>
    <w:rsid w:val="00623039"/>
    <w:rsid w:val="006231C1"/>
    <w:rsid w:val="00623393"/>
    <w:rsid w:val="006233CB"/>
    <w:rsid w:val="006235A9"/>
    <w:rsid w:val="00623B0C"/>
    <w:rsid w:val="00623C3A"/>
    <w:rsid w:val="00623E6F"/>
    <w:rsid w:val="00624055"/>
    <w:rsid w:val="0062452F"/>
    <w:rsid w:val="006246E3"/>
    <w:rsid w:val="00624A75"/>
    <w:rsid w:val="006251DF"/>
    <w:rsid w:val="0062566A"/>
    <w:rsid w:val="0062586F"/>
    <w:rsid w:val="0062587C"/>
    <w:rsid w:val="0062590A"/>
    <w:rsid w:val="00625952"/>
    <w:rsid w:val="00625CE4"/>
    <w:rsid w:val="006260D6"/>
    <w:rsid w:val="006261D0"/>
    <w:rsid w:val="00626206"/>
    <w:rsid w:val="00626493"/>
    <w:rsid w:val="006266F4"/>
    <w:rsid w:val="00626966"/>
    <w:rsid w:val="00626C99"/>
    <w:rsid w:val="00627065"/>
    <w:rsid w:val="00627302"/>
    <w:rsid w:val="006277AA"/>
    <w:rsid w:val="00627AAD"/>
    <w:rsid w:val="00630344"/>
    <w:rsid w:val="006308FD"/>
    <w:rsid w:val="0063093C"/>
    <w:rsid w:val="00630A63"/>
    <w:rsid w:val="00630FB7"/>
    <w:rsid w:val="00630FE2"/>
    <w:rsid w:val="0063106D"/>
    <w:rsid w:val="0063139D"/>
    <w:rsid w:val="00631A16"/>
    <w:rsid w:val="00631BE3"/>
    <w:rsid w:val="00631E56"/>
    <w:rsid w:val="00631EA0"/>
    <w:rsid w:val="00632033"/>
    <w:rsid w:val="0063214C"/>
    <w:rsid w:val="006321AF"/>
    <w:rsid w:val="00632A5A"/>
    <w:rsid w:val="00632B14"/>
    <w:rsid w:val="00632E70"/>
    <w:rsid w:val="0063368B"/>
    <w:rsid w:val="006344A9"/>
    <w:rsid w:val="00634CE6"/>
    <w:rsid w:val="00634F70"/>
    <w:rsid w:val="006350DA"/>
    <w:rsid w:val="006354A5"/>
    <w:rsid w:val="00636564"/>
    <w:rsid w:val="00636694"/>
    <w:rsid w:val="006366B5"/>
    <w:rsid w:val="006369E0"/>
    <w:rsid w:val="00636D44"/>
    <w:rsid w:val="00636EDD"/>
    <w:rsid w:val="0063757B"/>
    <w:rsid w:val="00637818"/>
    <w:rsid w:val="00640129"/>
    <w:rsid w:val="00640961"/>
    <w:rsid w:val="00640AED"/>
    <w:rsid w:val="00640E97"/>
    <w:rsid w:val="006411EB"/>
    <w:rsid w:val="00641297"/>
    <w:rsid w:val="006416AD"/>
    <w:rsid w:val="0064182D"/>
    <w:rsid w:val="00641C80"/>
    <w:rsid w:val="00642256"/>
    <w:rsid w:val="00642258"/>
    <w:rsid w:val="0064235C"/>
    <w:rsid w:val="0064268F"/>
    <w:rsid w:val="00642D9F"/>
    <w:rsid w:val="00642FF4"/>
    <w:rsid w:val="00643060"/>
    <w:rsid w:val="00643624"/>
    <w:rsid w:val="00643BB0"/>
    <w:rsid w:val="006440E0"/>
    <w:rsid w:val="00644714"/>
    <w:rsid w:val="00644ACE"/>
    <w:rsid w:val="00644C32"/>
    <w:rsid w:val="00644D33"/>
    <w:rsid w:val="00645236"/>
    <w:rsid w:val="00645468"/>
    <w:rsid w:val="00645937"/>
    <w:rsid w:val="006459DA"/>
    <w:rsid w:val="0064610D"/>
    <w:rsid w:val="0064686E"/>
    <w:rsid w:val="00646BCD"/>
    <w:rsid w:val="006471AA"/>
    <w:rsid w:val="0064765C"/>
    <w:rsid w:val="006476BB"/>
    <w:rsid w:val="0064784E"/>
    <w:rsid w:val="006479D7"/>
    <w:rsid w:val="00647DB8"/>
    <w:rsid w:val="00647E8B"/>
    <w:rsid w:val="00650727"/>
    <w:rsid w:val="00650A54"/>
    <w:rsid w:val="00650FFC"/>
    <w:rsid w:val="006513FD"/>
    <w:rsid w:val="006516EF"/>
    <w:rsid w:val="00651D10"/>
    <w:rsid w:val="00651D5E"/>
    <w:rsid w:val="006521B6"/>
    <w:rsid w:val="0065250D"/>
    <w:rsid w:val="00652722"/>
    <w:rsid w:val="006529EA"/>
    <w:rsid w:val="00653674"/>
    <w:rsid w:val="00653AD7"/>
    <w:rsid w:val="0065401D"/>
    <w:rsid w:val="00655086"/>
    <w:rsid w:val="006550B5"/>
    <w:rsid w:val="006553C2"/>
    <w:rsid w:val="00656161"/>
    <w:rsid w:val="00656389"/>
    <w:rsid w:val="0065651F"/>
    <w:rsid w:val="0065661E"/>
    <w:rsid w:val="00656B49"/>
    <w:rsid w:val="00656BEC"/>
    <w:rsid w:val="00656DAA"/>
    <w:rsid w:val="006571A8"/>
    <w:rsid w:val="00657532"/>
    <w:rsid w:val="00657E52"/>
    <w:rsid w:val="0066016D"/>
    <w:rsid w:val="00660204"/>
    <w:rsid w:val="006605A3"/>
    <w:rsid w:val="00660655"/>
    <w:rsid w:val="00660719"/>
    <w:rsid w:val="0066072E"/>
    <w:rsid w:val="006608A5"/>
    <w:rsid w:val="00661317"/>
    <w:rsid w:val="00661514"/>
    <w:rsid w:val="0066199C"/>
    <w:rsid w:val="00661BB9"/>
    <w:rsid w:val="00661FAC"/>
    <w:rsid w:val="0066200A"/>
    <w:rsid w:val="0066215A"/>
    <w:rsid w:val="0066258F"/>
    <w:rsid w:val="006625B4"/>
    <w:rsid w:val="00662781"/>
    <w:rsid w:val="00662847"/>
    <w:rsid w:val="00662AAE"/>
    <w:rsid w:val="00662AB6"/>
    <w:rsid w:val="00662B9B"/>
    <w:rsid w:val="00662D41"/>
    <w:rsid w:val="00662ED4"/>
    <w:rsid w:val="00662FA8"/>
    <w:rsid w:val="0066323F"/>
    <w:rsid w:val="0066373B"/>
    <w:rsid w:val="0066396E"/>
    <w:rsid w:val="00663CBA"/>
    <w:rsid w:val="006642BA"/>
    <w:rsid w:val="00664AAB"/>
    <w:rsid w:val="0066510D"/>
    <w:rsid w:val="00665D59"/>
    <w:rsid w:val="00665DBF"/>
    <w:rsid w:val="006662AF"/>
    <w:rsid w:val="006663D1"/>
    <w:rsid w:val="006670BE"/>
    <w:rsid w:val="00667102"/>
    <w:rsid w:val="00667C34"/>
    <w:rsid w:val="00667D09"/>
    <w:rsid w:val="00667E53"/>
    <w:rsid w:val="006701A2"/>
    <w:rsid w:val="00670532"/>
    <w:rsid w:val="00670682"/>
    <w:rsid w:val="00670924"/>
    <w:rsid w:val="00670B9F"/>
    <w:rsid w:val="00670BF5"/>
    <w:rsid w:val="00670DA2"/>
    <w:rsid w:val="00670E28"/>
    <w:rsid w:val="00671234"/>
    <w:rsid w:val="006715AB"/>
    <w:rsid w:val="0067160D"/>
    <w:rsid w:val="006719F6"/>
    <w:rsid w:val="00671CCF"/>
    <w:rsid w:val="006722EF"/>
    <w:rsid w:val="0067353D"/>
    <w:rsid w:val="0067377F"/>
    <w:rsid w:val="0067379F"/>
    <w:rsid w:val="006737BE"/>
    <w:rsid w:val="00673829"/>
    <w:rsid w:val="006739D6"/>
    <w:rsid w:val="00673D51"/>
    <w:rsid w:val="00673E61"/>
    <w:rsid w:val="00673F47"/>
    <w:rsid w:val="00673FB3"/>
    <w:rsid w:val="006741DA"/>
    <w:rsid w:val="0067438A"/>
    <w:rsid w:val="00674460"/>
    <w:rsid w:val="006755FD"/>
    <w:rsid w:val="006759DB"/>
    <w:rsid w:val="00675AF4"/>
    <w:rsid w:val="00675FA9"/>
    <w:rsid w:val="006763C1"/>
    <w:rsid w:val="00676555"/>
    <w:rsid w:val="0067680A"/>
    <w:rsid w:val="006770D6"/>
    <w:rsid w:val="0067791A"/>
    <w:rsid w:val="00677AD1"/>
    <w:rsid w:val="00677AE7"/>
    <w:rsid w:val="00677CDA"/>
    <w:rsid w:val="00677CF7"/>
    <w:rsid w:val="00677D37"/>
    <w:rsid w:val="006803C7"/>
    <w:rsid w:val="006806F3"/>
    <w:rsid w:val="0068071A"/>
    <w:rsid w:val="0068076B"/>
    <w:rsid w:val="00680C17"/>
    <w:rsid w:val="00680C76"/>
    <w:rsid w:val="00680EE9"/>
    <w:rsid w:val="006814EB"/>
    <w:rsid w:val="00681C15"/>
    <w:rsid w:val="00681E7D"/>
    <w:rsid w:val="00682450"/>
    <w:rsid w:val="006829D0"/>
    <w:rsid w:val="00682DA7"/>
    <w:rsid w:val="006833A9"/>
    <w:rsid w:val="00683605"/>
    <w:rsid w:val="006836C2"/>
    <w:rsid w:val="00683A4F"/>
    <w:rsid w:val="00683D7F"/>
    <w:rsid w:val="00683E8C"/>
    <w:rsid w:val="00683F60"/>
    <w:rsid w:val="0068405B"/>
    <w:rsid w:val="00684060"/>
    <w:rsid w:val="00684F63"/>
    <w:rsid w:val="0068507B"/>
    <w:rsid w:val="0068513B"/>
    <w:rsid w:val="006851C5"/>
    <w:rsid w:val="006852F4"/>
    <w:rsid w:val="00685747"/>
    <w:rsid w:val="00685819"/>
    <w:rsid w:val="0068582C"/>
    <w:rsid w:val="00685E6D"/>
    <w:rsid w:val="00686677"/>
    <w:rsid w:val="006867E9"/>
    <w:rsid w:val="00686B50"/>
    <w:rsid w:val="00686D40"/>
    <w:rsid w:val="00686E17"/>
    <w:rsid w:val="006870CC"/>
    <w:rsid w:val="006874C0"/>
    <w:rsid w:val="006874E8"/>
    <w:rsid w:val="0068770E"/>
    <w:rsid w:val="00687D41"/>
    <w:rsid w:val="00687FA2"/>
    <w:rsid w:val="00690425"/>
    <w:rsid w:val="006905C9"/>
    <w:rsid w:val="006908D0"/>
    <w:rsid w:val="0069116A"/>
    <w:rsid w:val="00691971"/>
    <w:rsid w:val="00691B6F"/>
    <w:rsid w:val="00692191"/>
    <w:rsid w:val="00692352"/>
    <w:rsid w:val="006923C5"/>
    <w:rsid w:val="00692553"/>
    <w:rsid w:val="00692C05"/>
    <w:rsid w:val="00692C77"/>
    <w:rsid w:val="00692CBF"/>
    <w:rsid w:val="00692F2C"/>
    <w:rsid w:val="00692F74"/>
    <w:rsid w:val="00693337"/>
    <w:rsid w:val="006937E4"/>
    <w:rsid w:val="00693B5B"/>
    <w:rsid w:val="00693E8E"/>
    <w:rsid w:val="00694971"/>
    <w:rsid w:val="006949CA"/>
    <w:rsid w:val="00694EE1"/>
    <w:rsid w:val="00695733"/>
    <w:rsid w:val="006957DC"/>
    <w:rsid w:val="00695D37"/>
    <w:rsid w:val="0069630C"/>
    <w:rsid w:val="006966A1"/>
    <w:rsid w:val="00697616"/>
    <w:rsid w:val="006977D3"/>
    <w:rsid w:val="00697B37"/>
    <w:rsid w:val="00697BAC"/>
    <w:rsid w:val="00697E8C"/>
    <w:rsid w:val="00697F52"/>
    <w:rsid w:val="00697FB7"/>
    <w:rsid w:val="006A01DA"/>
    <w:rsid w:val="006A08DD"/>
    <w:rsid w:val="006A0E78"/>
    <w:rsid w:val="006A0F55"/>
    <w:rsid w:val="006A10BC"/>
    <w:rsid w:val="006A192B"/>
    <w:rsid w:val="006A1977"/>
    <w:rsid w:val="006A1A3E"/>
    <w:rsid w:val="006A1D81"/>
    <w:rsid w:val="006A22A1"/>
    <w:rsid w:val="006A239D"/>
    <w:rsid w:val="006A287D"/>
    <w:rsid w:val="006A2B64"/>
    <w:rsid w:val="006A2F30"/>
    <w:rsid w:val="006A35E6"/>
    <w:rsid w:val="006A3651"/>
    <w:rsid w:val="006A4030"/>
    <w:rsid w:val="006A42C7"/>
    <w:rsid w:val="006A481A"/>
    <w:rsid w:val="006A4A86"/>
    <w:rsid w:val="006A4C27"/>
    <w:rsid w:val="006A4CC8"/>
    <w:rsid w:val="006A4E1E"/>
    <w:rsid w:val="006A51A7"/>
    <w:rsid w:val="006A521F"/>
    <w:rsid w:val="006A57E8"/>
    <w:rsid w:val="006A5E52"/>
    <w:rsid w:val="006A5F35"/>
    <w:rsid w:val="006A60AD"/>
    <w:rsid w:val="006A611F"/>
    <w:rsid w:val="006A61BF"/>
    <w:rsid w:val="006A65D0"/>
    <w:rsid w:val="006A67D9"/>
    <w:rsid w:val="006A692F"/>
    <w:rsid w:val="006A693D"/>
    <w:rsid w:val="006A6BB1"/>
    <w:rsid w:val="006A6C85"/>
    <w:rsid w:val="006A78BD"/>
    <w:rsid w:val="006A7ED1"/>
    <w:rsid w:val="006B0010"/>
    <w:rsid w:val="006B0815"/>
    <w:rsid w:val="006B08BD"/>
    <w:rsid w:val="006B0B0C"/>
    <w:rsid w:val="006B0E1A"/>
    <w:rsid w:val="006B107A"/>
    <w:rsid w:val="006B152F"/>
    <w:rsid w:val="006B15AF"/>
    <w:rsid w:val="006B181F"/>
    <w:rsid w:val="006B1999"/>
    <w:rsid w:val="006B285E"/>
    <w:rsid w:val="006B288A"/>
    <w:rsid w:val="006B2AB1"/>
    <w:rsid w:val="006B2B59"/>
    <w:rsid w:val="006B3047"/>
    <w:rsid w:val="006B328A"/>
    <w:rsid w:val="006B32A9"/>
    <w:rsid w:val="006B34DD"/>
    <w:rsid w:val="006B3916"/>
    <w:rsid w:val="006B3BFE"/>
    <w:rsid w:val="006B3C5C"/>
    <w:rsid w:val="006B4320"/>
    <w:rsid w:val="006B4495"/>
    <w:rsid w:val="006B4E92"/>
    <w:rsid w:val="006B4ED4"/>
    <w:rsid w:val="006B51AC"/>
    <w:rsid w:val="006B5249"/>
    <w:rsid w:val="006B53C5"/>
    <w:rsid w:val="006B552E"/>
    <w:rsid w:val="006B5700"/>
    <w:rsid w:val="006B5762"/>
    <w:rsid w:val="006B5AA9"/>
    <w:rsid w:val="006B5BE0"/>
    <w:rsid w:val="006B5CFF"/>
    <w:rsid w:val="006B5E96"/>
    <w:rsid w:val="006B6012"/>
    <w:rsid w:val="006B63A4"/>
    <w:rsid w:val="006B6566"/>
    <w:rsid w:val="006B6996"/>
    <w:rsid w:val="006B6A2D"/>
    <w:rsid w:val="006B6A98"/>
    <w:rsid w:val="006B71B9"/>
    <w:rsid w:val="006B73A7"/>
    <w:rsid w:val="006B76D4"/>
    <w:rsid w:val="006B7771"/>
    <w:rsid w:val="006B7B73"/>
    <w:rsid w:val="006B7C67"/>
    <w:rsid w:val="006B7CBA"/>
    <w:rsid w:val="006B7F24"/>
    <w:rsid w:val="006C025E"/>
    <w:rsid w:val="006C05B8"/>
    <w:rsid w:val="006C0815"/>
    <w:rsid w:val="006C102A"/>
    <w:rsid w:val="006C188A"/>
    <w:rsid w:val="006C1E81"/>
    <w:rsid w:val="006C220B"/>
    <w:rsid w:val="006C22C8"/>
    <w:rsid w:val="006C25F6"/>
    <w:rsid w:val="006C275F"/>
    <w:rsid w:val="006C2A80"/>
    <w:rsid w:val="006C2D50"/>
    <w:rsid w:val="006C2D97"/>
    <w:rsid w:val="006C2E9C"/>
    <w:rsid w:val="006C323E"/>
    <w:rsid w:val="006C337B"/>
    <w:rsid w:val="006C3403"/>
    <w:rsid w:val="006C3746"/>
    <w:rsid w:val="006C3D6A"/>
    <w:rsid w:val="006C3E3A"/>
    <w:rsid w:val="006C3F4B"/>
    <w:rsid w:val="006C44C7"/>
    <w:rsid w:val="006C4A68"/>
    <w:rsid w:val="006C4DBD"/>
    <w:rsid w:val="006C4F1E"/>
    <w:rsid w:val="006C56A0"/>
    <w:rsid w:val="006C57D3"/>
    <w:rsid w:val="006C5ADE"/>
    <w:rsid w:val="006C5FD2"/>
    <w:rsid w:val="006C68E7"/>
    <w:rsid w:val="006C6C42"/>
    <w:rsid w:val="006C7402"/>
    <w:rsid w:val="006C772D"/>
    <w:rsid w:val="006C78E3"/>
    <w:rsid w:val="006C7A02"/>
    <w:rsid w:val="006C7A41"/>
    <w:rsid w:val="006C7C61"/>
    <w:rsid w:val="006C7E23"/>
    <w:rsid w:val="006D0091"/>
    <w:rsid w:val="006D01BD"/>
    <w:rsid w:val="006D035D"/>
    <w:rsid w:val="006D0773"/>
    <w:rsid w:val="006D0FEE"/>
    <w:rsid w:val="006D0FF9"/>
    <w:rsid w:val="006D129D"/>
    <w:rsid w:val="006D1AD1"/>
    <w:rsid w:val="006D1BBA"/>
    <w:rsid w:val="006D1E4B"/>
    <w:rsid w:val="006D233D"/>
    <w:rsid w:val="006D27B5"/>
    <w:rsid w:val="006D27F9"/>
    <w:rsid w:val="006D285D"/>
    <w:rsid w:val="006D2950"/>
    <w:rsid w:val="006D2AB7"/>
    <w:rsid w:val="006D2E17"/>
    <w:rsid w:val="006D2E3B"/>
    <w:rsid w:val="006D3598"/>
    <w:rsid w:val="006D36BE"/>
    <w:rsid w:val="006D3ED4"/>
    <w:rsid w:val="006D401D"/>
    <w:rsid w:val="006D41F0"/>
    <w:rsid w:val="006D42DE"/>
    <w:rsid w:val="006D430C"/>
    <w:rsid w:val="006D4445"/>
    <w:rsid w:val="006D4465"/>
    <w:rsid w:val="006D466B"/>
    <w:rsid w:val="006D49F5"/>
    <w:rsid w:val="006D4B78"/>
    <w:rsid w:val="006D55CE"/>
    <w:rsid w:val="006D578D"/>
    <w:rsid w:val="006D5898"/>
    <w:rsid w:val="006D5A48"/>
    <w:rsid w:val="006D5D61"/>
    <w:rsid w:val="006D5DE3"/>
    <w:rsid w:val="006D5F83"/>
    <w:rsid w:val="006D6210"/>
    <w:rsid w:val="006D6870"/>
    <w:rsid w:val="006D6B96"/>
    <w:rsid w:val="006D724B"/>
    <w:rsid w:val="006D753B"/>
    <w:rsid w:val="006D79D8"/>
    <w:rsid w:val="006E02D1"/>
    <w:rsid w:val="006E0965"/>
    <w:rsid w:val="006E0E19"/>
    <w:rsid w:val="006E0F10"/>
    <w:rsid w:val="006E119D"/>
    <w:rsid w:val="006E13E5"/>
    <w:rsid w:val="006E1506"/>
    <w:rsid w:val="006E1913"/>
    <w:rsid w:val="006E198D"/>
    <w:rsid w:val="006E2634"/>
    <w:rsid w:val="006E39E3"/>
    <w:rsid w:val="006E39EF"/>
    <w:rsid w:val="006E3B6A"/>
    <w:rsid w:val="006E3EE3"/>
    <w:rsid w:val="006E3FBD"/>
    <w:rsid w:val="006E3FE2"/>
    <w:rsid w:val="006E41C1"/>
    <w:rsid w:val="006E468B"/>
    <w:rsid w:val="006E4784"/>
    <w:rsid w:val="006E4929"/>
    <w:rsid w:val="006E4F5F"/>
    <w:rsid w:val="006E4F7F"/>
    <w:rsid w:val="006E500D"/>
    <w:rsid w:val="006E58F6"/>
    <w:rsid w:val="006E6200"/>
    <w:rsid w:val="006E643B"/>
    <w:rsid w:val="006E6E2E"/>
    <w:rsid w:val="006E6F9B"/>
    <w:rsid w:val="006E768F"/>
    <w:rsid w:val="006E77F9"/>
    <w:rsid w:val="006F0403"/>
    <w:rsid w:val="006F0EA7"/>
    <w:rsid w:val="006F1C70"/>
    <w:rsid w:val="006F1E05"/>
    <w:rsid w:val="006F1F5C"/>
    <w:rsid w:val="006F21F0"/>
    <w:rsid w:val="006F22C8"/>
    <w:rsid w:val="006F2315"/>
    <w:rsid w:val="006F28B2"/>
    <w:rsid w:val="006F2B5A"/>
    <w:rsid w:val="006F2D35"/>
    <w:rsid w:val="006F2D9E"/>
    <w:rsid w:val="006F34C4"/>
    <w:rsid w:val="006F34E8"/>
    <w:rsid w:val="006F35F2"/>
    <w:rsid w:val="006F3ACF"/>
    <w:rsid w:val="006F3BC1"/>
    <w:rsid w:val="006F3C31"/>
    <w:rsid w:val="006F3EF0"/>
    <w:rsid w:val="006F3F04"/>
    <w:rsid w:val="006F4013"/>
    <w:rsid w:val="006F4419"/>
    <w:rsid w:val="006F4526"/>
    <w:rsid w:val="006F4CC9"/>
    <w:rsid w:val="006F4E5A"/>
    <w:rsid w:val="006F5333"/>
    <w:rsid w:val="006F5644"/>
    <w:rsid w:val="006F5F96"/>
    <w:rsid w:val="006F6680"/>
    <w:rsid w:val="006F6930"/>
    <w:rsid w:val="006F6A1F"/>
    <w:rsid w:val="006F6BB6"/>
    <w:rsid w:val="006F7334"/>
    <w:rsid w:val="006F7DB9"/>
    <w:rsid w:val="00700023"/>
    <w:rsid w:val="00700217"/>
    <w:rsid w:val="0070031B"/>
    <w:rsid w:val="00700430"/>
    <w:rsid w:val="00700ADA"/>
    <w:rsid w:val="00700F92"/>
    <w:rsid w:val="0070139D"/>
    <w:rsid w:val="0070170B"/>
    <w:rsid w:val="0070191F"/>
    <w:rsid w:val="00701A02"/>
    <w:rsid w:val="00701CE2"/>
    <w:rsid w:val="00701F82"/>
    <w:rsid w:val="007020D4"/>
    <w:rsid w:val="00702181"/>
    <w:rsid w:val="00702448"/>
    <w:rsid w:val="0070245F"/>
    <w:rsid w:val="00702718"/>
    <w:rsid w:val="0070283A"/>
    <w:rsid w:val="00702C08"/>
    <w:rsid w:val="00702D73"/>
    <w:rsid w:val="0070307E"/>
    <w:rsid w:val="007030F3"/>
    <w:rsid w:val="007043DF"/>
    <w:rsid w:val="007046E2"/>
    <w:rsid w:val="00704B15"/>
    <w:rsid w:val="00704C3F"/>
    <w:rsid w:val="00704EED"/>
    <w:rsid w:val="00704F1C"/>
    <w:rsid w:val="00704F23"/>
    <w:rsid w:val="007054FE"/>
    <w:rsid w:val="00705C5E"/>
    <w:rsid w:val="00705FF2"/>
    <w:rsid w:val="0070659D"/>
    <w:rsid w:val="00706928"/>
    <w:rsid w:val="00706DD5"/>
    <w:rsid w:val="007072EE"/>
    <w:rsid w:val="0070755F"/>
    <w:rsid w:val="0070768F"/>
    <w:rsid w:val="007077CB"/>
    <w:rsid w:val="007078AE"/>
    <w:rsid w:val="00707901"/>
    <w:rsid w:val="00707BF7"/>
    <w:rsid w:val="00707F02"/>
    <w:rsid w:val="0071008F"/>
    <w:rsid w:val="00710215"/>
    <w:rsid w:val="00710484"/>
    <w:rsid w:val="007104E9"/>
    <w:rsid w:val="00710672"/>
    <w:rsid w:val="00710BBC"/>
    <w:rsid w:val="00711268"/>
    <w:rsid w:val="00711372"/>
    <w:rsid w:val="007116FD"/>
    <w:rsid w:val="007117AE"/>
    <w:rsid w:val="007117CF"/>
    <w:rsid w:val="00711D08"/>
    <w:rsid w:val="00711D1A"/>
    <w:rsid w:val="00711D46"/>
    <w:rsid w:val="007121DF"/>
    <w:rsid w:val="00712219"/>
    <w:rsid w:val="007124A5"/>
    <w:rsid w:val="00712793"/>
    <w:rsid w:val="007127BA"/>
    <w:rsid w:val="007129A5"/>
    <w:rsid w:val="00712B48"/>
    <w:rsid w:val="00712B65"/>
    <w:rsid w:val="00712C68"/>
    <w:rsid w:val="00712D27"/>
    <w:rsid w:val="0071354F"/>
    <w:rsid w:val="007137D4"/>
    <w:rsid w:val="00713B68"/>
    <w:rsid w:val="00713C13"/>
    <w:rsid w:val="00713F73"/>
    <w:rsid w:val="00713FD1"/>
    <w:rsid w:val="00714D94"/>
    <w:rsid w:val="00714FD6"/>
    <w:rsid w:val="007153A6"/>
    <w:rsid w:val="00715D7B"/>
    <w:rsid w:val="00716226"/>
    <w:rsid w:val="00716884"/>
    <w:rsid w:val="00716B7B"/>
    <w:rsid w:val="00716C14"/>
    <w:rsid w:val="00716D45"/>
    <w:rsid w:val="00716DDC"/>
    <w:rsid w:val="00716F72"/>
    <w:rsid w:val="007170C1"/>
    <w:rsid w:val="0071746B"/>
    <w:rsid w:val="00717951"/>
    <w:rsid w:val="0072070A"/>
    <w:rsid w:val="0072084E"/>
    <w:rsid w:val="00720C7F"/>
    <w:rsid w:val="0072101A"/>
    <w:rsid w:val="00721026"/>
    <w:rsid w:val="00721255"/>
    <w:rsid w:val="0072130A"/>
    <w:rsid w:val="0072130C"/>
    <w:rsid w:val="00721576"/>
    <w:rsid w:val="007217A9"/>
    <w:rsid w:val="00721DA6"/>
    <w:rsid w:val="00721F9D"/>
    <w:rsid w:val="0072256A"/>
    <w:rsid w:val="00722C52"/>
    <w:rsid w:val="00723410"/>
    <w:rsid w:val="00723A0A"/>
    <w:rsid w:val="00723B64"/>
    <w:rsid w:val="00723F6A"/>
    <w:rsid w:val="00723FCE"/>
    <w:rsid w:val="00724012"/>
    <w:rsid w:val="00724443"/>
    <w:rsid w:val="0072444B"/>
    <w:rsid w:val="00724598"/>
    <w:rsid w:val="00724680"/>
    <w:rsid w:val="007246A4"/>
    <w:rsid w:val="00724B57"/>
    <w:rsid w:val="00724FB3"/>
    <w:rsid w:val="00724FD7"/>
    <w:rsid w:val="007253D7"/>
    <w:rsid w:val="0072583D"/>
    <w:rsid w:val="00725A2F"/>
    <w:rsid w:val="00725D17"/>
    <w:rsid w:val="00725DA3"/>
    <w:rsid w:val="00725F39"/>
    <w:rsid w:val="00726417"/>
    <w:rsid w:val="007271AC"/>
    <w:rsid w:val="0072744D"/>
    <w:rsid w:val="00727CD4"/>
    <w:rsid w:val="00727F06"/>
    <w:rsid w:val="00730998"/>
    <w:rsid w:val="0073142E"/>
    <w:rsid w:val="0073157C"/>
    <w:rsid w:val="00731876"/>
    <w:rsid w:val="0073259D"/>
    <w:rsid w:val="007325B2"/>
    <w:rsid w:val="007325D3"/>
    <w:rsid w:val="007326DD"/>
    <w:rsid w:val="00732D0E"/>
    <w:rsid w:val="007330F5"/>
    <w:rsid w:val="007332CB"/>
    <w:rsid w:val="00733678"/>
    <w:rsid w:val="007336EF"/>
    <w:rsid w:val="00733897"/>
    <w:rsid w:val="007339E0"/>
    <w:rsid w:val="00733AD1"/>
    <w:rsid w:val="00733E1E"/>
    <w:rsid w:val="00734BC9"/>
    <w:rsid w:val="00734DF4"/>
    <w:rsid w:val="0073534B"/>
    <w:rsid w:val="0073542B"/>
    <w:rsid w:val="007355DF"/>
    <w:rsid w:val="00735BD4"/>
    <w:rsid w:val="007360E2"/>
    <w:rsid w:val="0073616C"/>
    <w:rsid w:val="0073638D"/>
    <w:rsid w:val="007363D8"/>
    <w:rsid w:val="00736610"/>
    <w:rsid w:val="00736657"/>
    <w:rsid w:val="00736AC6"/>
    <w:rsid w:val="00736B66"/>
    <w:rsid w:val="007375DF"/>
    <w:rsid w:val="007375E4"/>
    <w:rsid w:val="00737D3A"/>
    <w:rsid w:val="00737F2C"/>
    <w:rsid w:val="00737F87"/>
    <w:rsid w:val="0074059E"/>
    <w:rsid w:val="00741059"/>
    <w:rsid w:val="007418A4"/>
    <w:rsid w:val="00741ECE"/>
    <w:rsid w:val="00742487"/>
    <w:rsid w:val="0074288C"/>
    <w:rsid w:val="0074298C"/>
    <w:rsid w:val="00742B4B"/>
    <w:rsid w:val="00742CDD"/>
    <w:rsid w:val="00743117"/>
    <w:rsid w:val="007433B0"/>
    <w:rsid w:val="00743BAD"/>
    <w:rsid w:val="00744589"/>
    <w:rsid w:val="00744863"/>
    <w:rsid w:val="00744A2E"/>
    <w:rsid w:val="00744A98"/>
    <w:rsid w:val="00744D5E"/>
    <w:rsid w:val="0074506D"/>
    <w:rsid w:val="007452D1"/>
    <w:rsid w:val="007454F4"/>
    <w:rsid w:val="007456C0"/>
    <w:rsid w:val="007456E3"/>
    <w:rsid w:val="00745B62"/>
    <w:rsid w:val="00745BDE"/>
    <w:rsid w:val="00746445"/>
    <w:rsid w:val="007464B1"/>
    <w:rsid w:val="007465B0"/>
    <w:rsid w:val="00746A1D"/>
    <w:rsid w:val="00746F54"/>
    <w:rsid w:val="0074754A"/>
    <w:rsid w:val="007475FA"/>
    <w:rsid w:val="00747A94"/>
    <w:rsid w:val="00747BF4"/>
    <w:rsid w:val="0075054A"/>
    <w:rsid w:val="00750A7B"/>
    <w:rsid w:val="00750B66"/>
    <w:rsid w:val="00750C4C"/>
    <w:rsid w:val="00750C87"/>
    <w:rsid w:val="007511BA"/>
    <w:rsid w:val="007514B1"/>
    <w:rsid w:val="00751EEB"/>
    <w:rsid w:val="00751FB5"/>
    <w:rsid w:val="007520EC"/>
    <w:rsid w:val="0075222E"/>
    <w:rsid w:val="007529D1"/>
    <w:rsid w:val="007530FE"/>
    <w:rsid w:val="00753414"/>
    <w:rsid w:val="00753470"/>
    <w:rsid w:val="00753C03"/>
    <w:rsid w:val="00753D69"/>
    <w:rsid w:val="007542AB"/>
    <w:rsid w:val="0075440D"/>
    <w:rsid w:val="007544ED"/>
    <w:rsid w:val="0075461B"/>
    <w:rsid w:val="00754889"/>
    <w:rsid w:val="00754942"/>
    <w:rsid w:val="00754D1A"/>
    <w:rsid w:val="00755512"/>
    <w:rsid w:val="007555CA"/>
    <w:rsid w:val="007558BD"/>
    <w:rsid w:val="00755906"/>
    <w:rsid w:val="00755AA9"/>
    <w:rsid w:val="00755ACC"/>
    <w:rsid w:val="00755BF3"/>
    <w:rsid w:val="00756332"/>
    <w:rsid w:val="007564C7"/>
    <w:rsid w:val="00756B70"/>
    <w:rsid w:val="00756DDD"/>
    <w:rsid w:val="007571B1"/>
    <w:rsid w:val="00757CBA"/>
    <w:rsid w:val="00757D50"/>
    <w:rsid w:val="00760664"/>
    <w:rsid w:val="00760E88"/>
    <w:rsid w:val="00760EF3"/>
    <w:rsid w:val="007610A2"/>
    <w:rsid w:val="0076116A"/>
    <w:rsid w:val="007612FA"/>
    <w:rsid w:val="007614E2"/>
    <w:rsid w:val="00761896"/>
    <w:rsid w:val="007618F6"/>
    <w:rsid w:val="007619D8"/>
    <w:rsid w:val="00761A64"/>
    <w:rsid w:val="00762151"/>
    <w:rsid w:val="00762423"/>
    <w:rsid w:val="0076278F"/>
    <w:rsid w:val="00762E36"/>
    <w:rsid w:val="00763297"/>
    <w:rsid w:val="007635E3"/>
    <w:rsid w:val="007638BF"/>
    <w:rsid w:val="00763A25"/>
    <w:rsid w:val="0076429D"/>
    <w:rsid w:val="00764352"/>
    <w:rsid w:val="00764510"/>
    <w:rsid w:val="0076499C"/>
    <w:rsid w:val="00764BE3"/>
    <w:rsid w:val="00764BF1"/>
    <w:rsid w:val="00764D10"/>
    <w:rsid w:val="0076549A"/>
    <w:rsid w:val="007654F2"/>
    <w:rsid w:val="007655EE"/>
    <w:rsid w:val="0076575F"/>
    <w:rsid w:val="00765A63"/>
    <w:rsid w:val="00765CAA"/>
    <w:rsid w:val="00766375"/>
    <w:rsid w:val="007663D0"/>
    <w:rsid w:val="00766995"/>
    <w:rsid w:val="007669E8"/>
    <w:rsid w:val="00766CAC"/>
    <w:rsid w:val="00766D7D"/>
    <w:rsid w:val="0076721F"/>
    <w:rsid w:val="0076777E"/>
    <w:rsid w:val="0076798F"/>
    <w:rsid w:val="007703A0"/>
    <w:rsid w:val="00770795"/>
    <w:rsid w:val="00770987"/>
    <w:rsid w:val="00770A00"/>
    <w:rsid w:val="00770C1B"/>
    <w:rsid w:val="00770FBF"/>
    <w:rsid w:val="0077199A"/>
    <w:rsid w:val="00771B88"/>
    <w:rsid w:val="00771FF3"/>
    <w:rsid w:val="00772382"/>
    <w:rsid w:val="00772E17"/>
    <w:rsid w:val="00773082"/>
    <w:rsid w:val="00773119"/>
    <w:rsid w:val="007734C8"/>
    <w:rsid w:val="00773613"/>
    <w:rsid w:val="0077397B"/>
    <w:rsid w:val="00773AD8"/>
    <w:rsid w:val="00773DD6"/>
    <w:rsid w:val="00773E0F"/>
    <w:rsid w:val="007741B0"/>
    <w:rsid w:val="007743DA"/>
    <w:rsid w:val="007744BC"/>
    <w:rsid w:val="00774889"/>
    <w:rsid w:val="00774D26"/>
    <w:rsid w:val="00774E1B"/>
    <w:rsid w:val="00774E41"/>
    <w:rsid w:val="007750D8"/>
    <w:rsid w:val="00775505"/>
    <w:rsid w:val="007757A4"/>
    <w:rsid w:val="00775A90"/>
    <w:rsid w:val="00775DF3"/>
    <w:rsid w:val="00775E64"/>
    <w:rsid w:val="0077615F"/>
    <w:rsid w:val="007768F4"/>
    <w:rsid w:val="007769A3"/>
    <w:rsid w:val="00776ECB"/>
    <w:rsid w:val="007772B9"/>
    <w:rsid w:val="007773FE"/>
    <w:rsid w:val="0077751D"/>
    <w:rsid w:val="00777565"/>
    <w:rsid w:val="00777567"/>
    <w:rsid w:val="00777653"/>
    <w:rsid w:val="00777CBC"/>
    <w:rsid w:val="00777D48"/>
    <w:rsid w:val="007806EE"/>
    <w:rsid w:val="007807A4"/>
    <w:rsid w:val="007807A7"/>
    <w:rsid w:val="007807D1"/>
    <w:rsid w:val="00780857"/>
    <w:rsid w:val="007809FD"/>
    <w:rsid w:val="00780CDA"/>
    <w:rsid w:val="00781748"/>
    <w:rsid w:val="007817F7"/>
    <w:rsid w:val="0078258A"/>
    <w:rsid w:val="0078284A"/>
    <w:rsid w:val="00782D85"/>
    <w:rsid w:val="00782DB6"/>
    <w:rsid w:val="00782FEE"/>
    <w:rsid w:val="00783178"/>
    <w:rsid w:val="00783AFE"/>
    <w:rsid w:val="007842E1"/>
    <w:rsid w:val="007843BE"/>
    <w:rsid w:val="00784BD5"/>
    <w:rsid w:val="00784D1B"/>
    <w:rsid w:val="00785100"/>
    <w:rsid w:val="0078515A"/>
    <w:rsid w:val="0078543F"/>
    <w:rsid w:val="007854E0"/>
    <w:rsid w:val="007856AC"/>
    <w:rsid w:val="00785E91"/>
    <w:rsid w:val="00785EA0"/>
    <w:rsid w:val="007863C2"/>
    <w:rsid w:val="00786563"/>
    <w:rsid w:val="00786603"/>
    <w:rsid w:val="00786D79"/>
    <w:rsid w:val="00786E50"/>
    <w:rsid w:val="007870EB"/>
    <w:rsid w:val="0078772D"/>
    <w:rsid w:val="007877E1"/>
    <w:rsid w:val="00787D3B"/>
    <w:rsid w:val="00790079"/>
    <w:rsid w:val="00790244"/>
    <w:rsid w:val="007902C0"/>
    <w:rsid w:val="007903FE"/>
    <w:rsid w:val="00790590"/>
    <w:rsid w:val="00790BE0"/>
    <w:rsid w:val="00790BE5"/>
    <w:rsid w:val="00790F2D"/>
    <w:rsid w:val="007910E1"/>
    <w:rsid w:val="00791316"/>
    <w:rsid w:val="00791461"/>
    <w:rsid w:val="007915FE"/>
    <w:rsid w:val="007916DD"/>
    <w:rsid w:val="0079179F"/>
    <w:rsid w:val="00791807"/>
    <w:rsid w:val="00791DF1"/>
    <w:rsid w:val="00791E51"/>
    <w:rsid w:val="00791E86"/>
    <w:rsid w:val="00792753"/>
    <w:rsid w:val="007928A5"/>
    <w:rsid w:val="00792950"/>
    <w:rsid w:val="00792A47"/>
    <w:rsid w:val="00792A83"/>
    <w:rsid w:val="00792C11"/>
    <w:rsid w:val="00792D68"/>
    <w:rsid w:val="00792DE9"/>
    <w:rsid w:val="0079345B"/>
    <w:rsid w:val="007934A0"/>
    <w:rsid w:val="00793632"/>
    <w:rsid w:val="007937B6"/>
    <w:rsid w:val="007937CF"/>
    <w:rsid w:val="0079396C"/>
    <w:rsid w:val="00793A92"/>
    <w:rsid w:val="00793B46"/>
    <w:rsid w:val="00793DA9"/>
    <w:rsid w:val="007941E7"/>
    <w:rsid w:val="0079453B"/>
    <w:rsid w:val="0079497F"/>
    <w:rsid w:val="00794DAD"/>
    <w:rsid w:val="00794F3C"/>
    <w:rsid w:val="0079598E"/>
    <w:rsid w:val="00795B58"/>
    <w:rsid w:val="00795E2D"/>
    <w:rsid w:val="00795FA7"/>
    <w:rsid w:val="007966D6"/>
    <w:rsid w:val="00796DA2"/>
    <w:rsid w:val="00796DDF"/>
    <w:rsid w:val="00796F42"/>
    <w:rsid w:val="0079703B"/>
    <w:rsid w:val="0079728F"/>
    <w:rsid w:val="0079776C"/>
    <w:rsid w:val="007A0342"/>
    <w:rsid w:val="007A03E7"/>
    <w:rsid w:val="007A0BFE"/>
    <w:rsid w:val="007A146C"/>
    <w:rsid w:val="007A17CA"/>
    <w:rsid w:val="007A1A11"/>
    <w:rsid w:val="007A1FEA"/>
    <w:rsid w:val="007A22E0"/>
    <w:rsid w:val="007A288A"/>
    <w:rsid w:val="007A3010"/>
    <w:rsid w:val="007A30CC"/>
    <w:rsid w:val="007A3152"/>
    <w:rsid w:val="007A315D"/>
    <w:rsid w:val="007A3657"/>
    <w:rsid w:val="007A3834"/>
    <w:rsid w:val="007A3D7C"/>
    <w:rsid w:val="007A3EC6"/>
    <w:rsid w:val="007A4006"/>
    <w:rsid w:val="007A420E"/>
    <w:rsid w:val="007A426C"/>
    <w:rsid w:val="007A454D"/>
    <w:rsid w:val="007A46B5"/>
    <w:rsid w:val="007A473F"/>
    <w:rsid w:val="007A503D"/>
    <w:rsid w:val="007A50F1"/>
    <w:rsid w:val="007A57DD"/>
    <w:rsid w:val="007A5844"/>
    <w:rsid w:val="007A5B5F"/>
    <w:rsid w:val="007A5C2A"/>
    <w:rsid w:val="007A5C59"/>
    <w:rsid w:val="007A5EDC"/>
    <w:rsid w:val="007A61E4"/>
    <w:rsid w:val="007A64C4"/>
    <w:rsid w:val="007A677B"/>
    <w:rsid w:val="007A69DE"/>
    <w:rsid w:val="007A6DFA"/>
    <w:rsid w:val="007A71A1"/>
    <w:rsid w:val="007A7606"/>
    <w:rsid w:val="007A7B3F"/>
    <w:rsid w:val="007A7B71"/>
    <w:rsid w:val="007B006F"/>
    <w:rsid w:val="007B095E"/>
    <w:rsid w:val="007B0D3F"/>
    <w:rsid w:val="007B1676"/>
    <w:rsid w:val="007B18A0"/>
    <w:rsid w:val="007B1C39"/>
    <w:rsid w:val="007B1D57"/>
    <w:rsid w:val="007B1DA5"/>
    <w:rsid w:val="007B1ECC"/>
    <w:rsid w:val="007B21CA"/>
    <w:rsid w:val="007B2232"/>
    <w:rsid w:val="007B2282"/>
    <w:rsid w:val="007B24E6"/>
    <w:rsid w:val="007B2B71"/>
    <w:rsid w:val="007B2DA4"/>
    <w:rsid w:val="007B3144"/>
    <w:rsid w:val="007B34EA"/>
    <w:rsid w:val="007B35AE"/>
    <w:rsid w:val="007B3CCE"/>
    <w:rsid w:val="007B42A8"/>
    <w:rsid w:val="007B432B"/>
    <w:rsid w:val="007B43BC"/>
    <w:rsid w:val="007B4A2C"/>
    <w:rsid w:val="007B4A79"/>
    <w:rsid w:val="007B4B6D"/>
    <w:rsid w:val="007B4D12"/>
    <w:rsid w:val="007B4F77"/>
    <w:rsid w:val="007B5073"/>
    <w:rsid w:val="007B5EB4"/>
    <w:rsid w:val="007B6157"/>
    <w:rsid w:val="007B615E"/>
    <w:rsid w:val="007B67B3"/>
    <w:rsid w:val="007B68A3"/>
    <w:rsid w:val="007B72DC"/>
    <w:rsid w:val="007B7534"/>
    <w:rsid w:val="007B7598"/>
    <w:rsid w:val="007B7620"/>
    <w:rsid w:val="007B775E"/>
    <w:rsid w:val="007B7914"/>
    <w:rsid w:val="007B7922"/>
    <w:rsid w:val="007B7C45"/>
    <w:rsid w:val="007C06E8"/>
    <w:rsid w:val="007C0C20"/>
    <w:rsid w:val="007C0CD9"/>
    <w:rsid w:val="007C0D8E"/>
    <w:rsid w:val="007C0ECA"/>
    <w:rsid w:val="007C10DC"/>
    <w:rsid w:val="007C1131"/>
    <w:rsid w:val="007C2446"/>
    <w:rsid w:val="007C274F"/>
    <w:rsid w:val="007C2981"/>
    <w:rsid w:val="007C2EA7"/>
    <w:rsid w:val="007C2F56"/>
    <w:rsid w:val="007C32F4"/>
    <w:rsid w:val="007C33A1"/>
    <w:rsid w:val="007C36F4"/>
    <w:rsid w:val="007C394B"/>
    <w:rsid w:val="007C3F2D"/>
    <w:rsid w:val="007C4555"/>
    <w:rsid w:val="007C46F9"/>
    <w:rsid w:val="007C491B"/>
    <w:rsid w:val="007C4BCB"/>
    <w:rsid w:val="007C4ED7"/>
    <w:rsid w:val="007C53A0"/>
    <w:rsid w:val="007C548D"/>
    <w:rsid w:val="007C55E7"/>
    <w:rsid w:val="007C5BE7"/>
    <w:rsid w:val="007C5D01"/>
    <w:rsid w:val="007C5D83"/>
    <w:rsid w:val="007C6039"/>
    <w:rsid w:val="007C756E"/>
    <w:rsid w:val="007C787A"/>
    <w:rsid w:val="007C7934"/>
    <w:rsid w:val="007C7A2E"/>
    <w:rsid w:val="007C7C35"/>
    <w:rsid w:val="007D07CE"/>
    <w:rsid w:val="007D0A2B"/>
    <w:rsid w:val="007D0A32"/>
    <w:rsid w:val="007D0AD9"/>
    <w:rsid w:val="007D0D56"/>
    <w:rsid w:val="007D0F30"/>
    <w:rsid w:val="007D12E8"/>
    <w:rsid w:val="007D13FD"/>
    <w:rsid w:val="007D14E5"/>
    <w:rsid w:val="007D186F"/>
    <w:rsid w:val="007D1B17"/>
    <w:rsid w:val="007D20E4"/>
    <w:rsid w:val="007D2294"/>
    <w:rsid w:val="007D24E0"/>
    <w:rsid w:val="007D25FE"/>
    <w:rsid w:val="007D26B2"/>
    <w:rsid w:val="007D3018"/>
    <w:rsid w:val="007D30F0"/>
    <w:rsid w:val="007D32D5"/>
    <w:rsid w:val="007D3307"/>
    <w:rsid w:val="007D3589"/>
    <w:rsid w:val="007D3B16"/>
    <w:rsid w:val="007D3B31"/>
    <w:rsid w:val="007D3DE8"/>
    <w:rsid w:val="007D4155"/>
    <w:rsid w:val="007D48A0"/>
    <w:rsid w:val="007D4DA5"/>
    <w:rsid w:val="007D4FFF"/>
    <w:rsid w:val="007D5196"/>
    <w:rsid w:val="007D5E67"/>
    <w:rsid w:val="007D5EDA"/>
    <w:rsid w:val="007D6153"/>
    <w:rsid w:val="007D61E6"/>
    <w:rsid w:val="007D62FB"/>
    <w:rsid w:val="007D6BC7"/>
    <w:rsid w:val="007D7034"/>
    <w:rsid w:val="007D73A3"/>
    <w:rsid w:val="007D74AB"/>
    <w:rsid w:val="007D74CE"/>
    <w:rsid w:val="007D75EA"/>
    <w:rsid w:val="007D783F"/>
    <w:rsid w:val="007D7B0D"/>
    <w:rsid w:val="007D7BBE"/>
    <w:rsid w:val="007E0078"/>
    <w:rsid w:val="007E0104"/>
    <w:rsid w:val="007E01B1"/>
    <w:rsid w:val="007E03E7"/>
    <w:rsid w:val="007E04F7"/>
    <w:rsid w:val="007E0784"/>
    <w:rsid w:val="007E0790"/>
    <w:rsid w:val="007E09B2"/>
    <w:rsid w:val="007E0A2A"/>
    <w:rsid w:val="007E1018"/>
    <w:rsid w:val="007E117A"/>
    <w:rsid w:val="007E12F3"/>
    <w:rsid w:val="007E168E"/>
    <w:rsid w:val="007E17FE"/>
    <w:rsid w:val="007E18D2"/>
    <w:rsid w:val="007E1A76"/>
    <w:rsid w:val="007E1D12"/>
    <w:rsid w:val="007E1DC0"/>
    <w:rsid w:val="007E2082"/>
    <w:rsid w:val="007E2352"/>
    <w:rsid w:val="007E2854"/>
    <w:rsid w:val="007E2A2B"/>
    <w:rsid w:val="007E2DC3"/>
    <w:rsid w:val="007E330D"/>
    <w:rsid w:val="007E3ABA"/>
    <w:rsid w:val="007E3D5A"/>
    <w:rsid w:val="007E4488"/>
    <w:rsid w:val="007E546D"/>
    <w:rsid w:val="007E5561"/>
    <w:rsid w:val="007E5B8B"/>
    <w:rsid w:val="007E6096"/>
    <w:rsid w:val="007E60BE"/>
    <w:rsid w:val="007E6750"/>
    <w:rsid w:val="007E67EA"/>
    <w:rsid w:val="007E6979"/>
    <w:rsid w:val="007E6AAC"/>
    <w:rsid w:val="007E6BC5"/>
    <w:rsid w:val="007E7382"/>
    <w:rsid w:val="007E7704"/>
    <w:rsid w:val="007E7746"/>
    <w:rsid w:val="007E7B90"/>
    <w:rsid w:val="007E7F0C"/>
    <w:rsid w:val="007F0439"/>
    <w:rsid w:val="007F0553"/>
    <w:rsid w:val="007F18CB"/>
    <w:rsid w:val="007F1B63"/>
    <w:rsid w:val="007F1BCE"/>
    <w:rsid w:val="007F1CF2"/>
    <w:rsid w:val="007F21F1"/>
    <w:rsid w:val="007F3072"/>
    <w:rsid w:val="007F3111"/>
    <w:rsid w:val="007F320C"/>
    <w:rsid w:val="007F334F"/>
    <w:rsid w:val="007F35A6"/>
    <w:rsid w:val="007F3C2F"/>
    <w:rsid w:val="007F3DD0"/>
    <w:rsid w:val="007F4012"/>
    <w:rsid w:val="007F4356"/>
    <w:rsid w:val="007F4B49"/>
    <w:rsid w:val="007F50D6"/>
    <w:rsid w:val="007F5F0A"/>
    <w:rsid w:val="007F6093"/>
    <w:rsid w:val="007F72AD"/>
    <w:rsid w:val="007F795F"/>
    <w:rsid w:val="007F7A6B"/>
    <w:rsid w:val="007F7CEF"/>
    <w:rsid w:val="007F7FFA"/>
    <w:rsid w:val="00800127"/>
    <w:rsid w:val="008002CE"/>
    <w:rsid w:val="00800C4D"/>
    <w:rsid w:val="00800C5B"/>
    <w:rsid w:val="00800C80"/>
    <w:rsid w:val="00800FAD"/>
    <w:rsid w:val="008012B4"/>
    <w:rsid w:val="0080138B"/>
    <w:rsid w:val="00801402"/>
    <w:rsid w:val="00801593"/>
    <w:rsid w:val="00801654"/>
    <w:rsid w:val="008019F2"/>
    <w:rsid w:val="008021CD"/>
    <w:rsid w:val="00802B3D"/>
    <w:rsid w:val="00802BAB"/>
    <w:rsid w:val="00802D0D"/>
    <w:rsid w:val="00803350"/>
    <w:rsid w:val="00803773"/>
    <w:rsid w:val="00803D66"/>
    <w:rsid w:val="00803D97"/>
    <w:rsid w:val="00803DC7"/>
    <w:rsid w:val="00803F17"/>
    <w:rsid w:val="0080440D"/>
    <w:rsid w:val="00804744"/>
    <w:rsid w:val="008049F9"/>
    <w:rsid w:val="00805B54"/>
    <w:rsid w:val="00805E3F"/>
    <w:rsid w:val="00805E71"/>
    <w:rsid w:val="00805F26"/>
    <w:rsid w:val="0080622B"/>
    <w:rsid w:val="008062B5"/>
    <w:rsid w:val="008064E2"/>
    <w:rsid w:val="00806582"/>
    <w:rsid w:val="00806A32"/>
    <w:rsid w:val="00806E68"/>
    <w:rsid w:val="00807249"/>
    <w:rsid w:val="00807A12"/>
    <w:rsid w:val="00807DF5"/>
    <w:rsid w:val="008101AA"/>
    <w:rsid w:val="00810519"/>
    <w:rsid w:val="008107EF"/>
    <w:rsid w:val="00810985"/>
    <w:rsid w:val="00810B16"/>
    <w:rsid w:val="008113E0"/>
    <w:rsid w:val="00811476"/>
    <w:rsid w:val="00811D61"/>
    <w:rsid w:val="00812027"/>
    <w:rsid w:val="00812131"/>
    <w:rsid w:val="00812A4B"/>
    <w:rsid w:val="00812AB8"/>
    <w:rsid w:val="00812B63"/>
    <w:rsid w:val="008132EA"/>
    <w:rsid w:val="008133DF"/>
    <w:rsid w:val="00813421"/>
    <w:rsid w:val="00813512"/>
    <w:rsid w:val="0081397F"/>
    <w:rsid w:val="00813C69"/>
    <w:rsid w:val="00813FBA"/>
    <w:rsid w:val="00814390"/>
    <w:rsid w:val="00814462"/>
    <w:rsid w:val="008144E2"/>
    <w:rsid w:val="00814579"/>
    <w:rsid w:val="00814BA3"/>
    <w:rsid w:val="0081515B"/>
    <w:rsid w:val="008154F4"/>
    <w:rsid w:val="00815619"/>
    <w:rsid w:val="00815B64"/>
    <w:rsid w:val="00815CC7"/>
    <w:rsid w:val="00815D13"/>
    <w:rsid w:val="0081616A"/>
    <w:rsid w:val="008163E6"/>
    <w:rsid w:val="0081684E"/>
    <w:rsid w:val="00816EEF"/>
    <w:rsid w:val="0081704B"/>
    <w:rsid w:val="008172F1"/>
    <w:rsid w:val="0081740F"/>
    <w:rsid w:val="008175AD"/>
    <w:rsid w:val="00817613"/>
    <w:rsid w:val="00817693"/>
    <w:rsid w:val="008176AE"/>
    <w:rsid w:val="00817861"/>
    <w:rsid w:val="00817D57"/>
    <w:rsid w:val="00820917"/>
    <w:rsid w:val="00820924"/>
    <w:rsid w:val="0082194B"/>
    <w:rsid w:val="00821CBC"/>
    <w:rsid w:val="008220A1"/>
    <w:rsid w:val="00822690"/>
    <w:rsid w:val="00822847"/>
    <w:rsid w:val="00822BE9"/>
    <w:rsid w:val="008237A2"/>
    <w:rsid w:val="00823AEA"/>
    <w:rsid w:val="00824214"/>
    <w:rsid w:val="00825031"/>
    <w:rsid w:val="00825084"/>
    <w:rsid w:val="008256C2"/>
    <w:rsid w:val="00825952"/>
    <w:rsid w:val="00825981"/>
    <w:rsid w:val="00825AA5"/>
    <w:rsid w:val="00825BE5"/>
    <w:rsid w:val="00825D3F"/>
    <w:rsid w:val="00825E0C"/>
    <w:rsid w:val="00825FC1"/>
    <w:rsid w:val="008261D5"/>
    <w:rsid w:val="00826308"/>
    <w:rsid w:val="00826359"/>
    <w:rsid w:val="00826425"/>
    <w:rsid w:val="00826B62"/>
    <w:rsid w:val="008273AE"/>
    <w:rsid w:val="0082756E"/>
    <w:rsid w:val="008277A4"/>
    <w:rsid w:val="008278DE"/>
    <w:rsid w:val="00827D02"/>
    <w:rsid w:val="00827D62"/>
    <w:rsid w:val="00827DFF"/>
    <w:rsid w:val="008305CC"/>
    <w:rsid w:val="0083066F"/>
    <w:rsid w:val="008306AD"/>
    <w:rsid w:val="0083090F"/>
    <w:rsid w:val="00830A29"/>
    <w:rsid w:val="00830AC3"/>
    <w:rsid w:val="00830B51"/>
    <w:rsid w:val="00830FA8"/>
    <w:rsid w:val="008312BE"/>
    <w:rsid w:val="00831329"/>
    <w:rsid w:val="008313CC"/>
    <w:rsid w:val="00831735"/>
    <w:rsid w:val="00831E6C"/>
    <w:rsid w:val="00832475"/>
    <w:rsid w:val="008326CA"/>
    <w:rsid w:val="00832BCF"/>
    <w:rsid w:val="008331E4"/>
    <w:rsid w:val="008339A9"/>
    <w:rsid w:val="00833D03"/>
    <w:rsid w:val="00833EAC"/>
    <w:rsid w:val="00834160"/>
    <w:rsid w:val="0083445E"/>
    <w:rsid w:val="008344F4"/>
    <w:rsid w:val="0083480C"/>
    <w:rsid w:val="00834885"/>
    <w:rsid w:val="00834A56"/>
    <w:rsid w:val="00834AFF"/>
    <w:rsid w:val="00834C67"/>
    <w:rsid w:val="0083512D"/>
    <w:rsid w:val="0083531A"/>
    <w:rsid w:val="00835709"/>
    <w:rsid w:val="00835ACD"/>
    <w:rsid w:val="00836314"/>
    <w:rsid w:val="008367B3"/>
    <w:rsid w:val="00836A6C"/>
    <w:rsid w:val="00837356"/>
    <w:rsid w:val="0083759E"/>
    <w:rsid w:val="00837E6B"/>
    <w:rsid w:val="008400FA"/>
    <w:rsid w:val="008402BF"/>
    <w:rsid w:val="008403A7"/>
    <w:rsid w:val="008403F2"/>
    <w:rsid w:val="008405D1"/>
    <w:rsid w:val="0084116C"/>
    <w:rsid w:val="008413C4"/>
    <w:rsid w:val="00841401"/>
    <w:rsid w:val="00841703"/>
    <w:rsid w:val="00842028"/>
    <w:rsid w:val="0084234B"/>
    <w:rsid w:val="008423D4"/>
    <w:rsid w:val="00842557"/>
    <w:rsid w:val="00842AD1"/>
    <w:rsid w:val="00842D2E"/>
    <w:rsid w:val="00842D4C"/>
    <w:rsid w:val="00843314"/>
    <w:rsid w:val="00843960"/>
    <w:rsid w:val="00843A7D"/>
    <w:rsid w:val="00843FC8"/>
    <w:rsid w:val="00844506"/>
    <w:rsid w:val="008447B0"/>
    <w:rsid w:val="00844A8A"/>
    <w:rsid w:val="00844EE8"/>
    <w:rsid w:val="00844F92"/>
    <w:rsid w:val="0084530D"/>
    <w:rsid w:val="00845702"/>
    <w:rsid w:val="00845A13"/>
    <w:rsid w:val="00845C0E"/>
    <w:rsid w:val="00845C77"/>
    <w:rsid w:val="008460BE"/>
    <w:rsid w:val="00846277"/>
    <w:rsid w:val="008465CF"/>
    <w:rsid w:val="00846A3A"/>
    <w:rsid w:val="00846CEC"/>
    <w:rsid w:val="00846FB3"/>
    <w:rsid w:val="008470A6"/>
    <w:rsid w:val="00847390"/>
    <w:rsid w:val="0084741E"/>
    <w:rsid w:val="0084788D"/>
    <w:rsid w:val="00847E32"/>
    <w:rsid w:val="00847E42"/>
    <w:rsid w:val="008505A1"/>
    <w:rsid w:val="008505D8"/>
    <w:rsid w:val="00850A9E"/>
    <w:rsid w:val="00851616"/>
    <w:rsid w:val="008516A0"/>
    <w:rsid w:val="00851856"/>
    <w:rsid w:val="00851B8A"/>
    <w:rsid w:val="00851D2E"/>
    <w:rsid w:val="00851F7D"/>
    <w:rsid w:val="008524A6"/>
    <w:rsid w:val="00852515"/>
    <w:rsid w:val="008526DC"/>
    <w:rsid w:val="00852A18"/>
    <w:rsid w:val="00852A65"/>
    <w:rsid w:val="00852B8A"/>
    <w:rsid w:val="00852E1D"/>
    <w:rsid w:val="0085304B"/>
    <w:rsid w:val="008530AC"/>
    <w:rsid w:val="008539A0"/>
    <w:rsid w:val="00853A0C"/>
    <w:rsid w:val="008540C1"/>
    <w:rsid w:val="00854476"/>
    <w:rsid w:val="008544A6"/>
    <w:rsid w:val="00854CF2"/>
    <w:rsid w:val="00854F60"/>
    <w:rsid w:val="008553FE"/>
    <w:rsid w:val="0085545C"/>
    <w:rsid w:val="00855B07"/>
    <w:rsid w:val="00855B52"/>
    <w:rsid w:val="00855BEE"/>
    <w:rsid w:val="008562CE"/>
    <w:rsid w:val="0085648C"/>
    <w:rsid w:val="008564C5"/>
    <w:rsid w:val="0085653E"/>
    <w:rsid w:val="008568A9"/>
    <w:rsid w:val="00856B90"/>
    <w:rsid w:val="00856DCF"/>
    <w:rsid w:val="00857277"/>
    <w:rsid w:val="00857301"/>
    <w:rsid w:val="008574AF"/>
    <w:rsid w:val="00857607"/>
    <w:rsid w:val="008579C0"/>
    <w:rsid w:val="00857A5D"/>
    <w:rsid w:val="00857FA1"/>
    <w:rsid w:val="0086039C"/>
    <w:rsid w:val="0086060F"/>
    <w:rsid w:val="008607AE"/>
    <w:rsid w:val="008608F7"/>
    <w:rsid w:val="008609E4"/>
    <w:rsid w:val="00860A16"/>
    <w:rsid w:val="00860BF5"/>
    <w:rsid w:val="00860D85"/>
    <w:rsid w:val="008618D8"/>
    <w:rsid w:val="008618F0"/>
    <w:rsid w:val="00861B3F"/>
    <w:rsid w:val="00861B86"/>
    <w:rsid w:val="00861BF2"/>
    <w:rsid w:val="00861C80"/>
    <w:rsid w:val="00861CED"/>
    <w:rsid w:val="00862069"/>
    <w:rsid w:val="00862430"/>
    <w:rsid w:val="0086271B"/>
    <w:rsid w:val="00862CC0"/>
    <w:rsid w:val="00862F58"/>
    <w:rsid w:val="008631FF"/>
    <w:rsid w:val="008632B6"/>
    <w:rsid w:val="00863938"/>
    <w:rsid w:val="00864484"/>
    <w:rsid w:val="0086450C"/>
    <w:rsid w:val="008647C1"/>
    <w:rsid w:val="00864A06"/>
    <w:rsid w:val="00864D2D"/>
    <w:rsid w:val="00864E68"/>
    <w:rsid w:val="008650B4"/>
    <w:rsid w:val="008650DE"/>
    <w:rsid w:val="0086590E"/>
    <w:rsid w:val="00865ACE"/>
    <w:rsid w:val="00865C76"/>
    <w:rsid w:val="0086615C"/>
    <w:rsid w:val="00866210"/>
    <w:rsid w:val="0086634A"/>
    <w:rsid w:val="0086644D"/>
    <w:rsid w:val="00866569"/>
    <w:rsid w:val="00866772"/>
    <w:rsid w:val="008669F3"/>
    <w:rsid w:val="00866B99"/>
    <w:rsid w:val="00867082"/>
    <w:rsid w:val="008704F3"/>
    <w:rsid w:val="008706C1"/>
    <w:rsid w:val="00870748"/>
    <w:rsid w:val="00870BFD"/>
    <w:rsid w:val="00870EE6"/>
    <w:rsid w:val="0087145A"/>
    <w:rsid w:val="008715A8"/>
    <w:rsid w:val="008716D7"/>
    <w:rsid w:val="008716F8"/>
    <w:rsid w:val="00871D9B"/>
    <w:rsid w:val="00871DBA"/>
    <w:rsid w:val="0087242A"/>
    <w:rsid w:val="00872A38"/>
    <w:rsid w:val="00872B86"/>
    <w:rsid w:val="00872FE3"/>
    <w:rsid w:val="008734F5"/>
    <w:rsid w:val="0087395E"/>
    <w:rsid w:val="00873CD9"/>
    <w:rsid w:val="00873F6C"/>
    <w:rsid w:val="00874574"/>
    <w:rsid w:val="0087457F"/>
    <w:rsid w:val="00874686"/>
    <w:rsid w:val="00874C28"/>
    <w:rsid w:val="008751D7"/>
    <w:rsid w:val="008752EC"/>
    <w:rsid w:val="00875585"/>
    <w:rsid w:val="008756D2"/>
    <w:rsid w:val="00875858"/>
    <w:rsid w:val="00875CDA"/>
    <w:rsid w:val="00875D33"/>
    <w:rsid w:val="00875F39"/>
    <w:rsid w:val="00875FA8"/>
    <w:rsid w:val="00876133"/>
    <w:rsid w:val="008761BB"/>
    <w:rsid w:val="008763A7"/>
    <w:rsid w:val="00876DB1"/>
    <w:rsid w:val="00876F30"/>
    <w:rsid w:val="00877175"/>
    <w:rsid w:val="008771D5"/>
    <w:rsid w:val="00877243"/>
    <w:rsid w:val="00877725"/>
    <w:rsid w:val="00877857"/>
    <w:rsid w:val="00877901"/>
    <w:rsid w:val="00877CE9"/>
    <w:rsid w:val="00877DB8"/>
    <w:rsid w:val="00880061"/>
    <w:rsid w:val="0088042C"/>
    <w:rsid w:val="00880A8D"/>
    <w:rsid w:val="00880AC4"/>
    <w:rsid w:val="00880D3D"/>
    <w:rsid w:val="00880E21"/>
    <w:rsid w:val="00880ED1"/>
    <w:rsid w:val="00881364"/>
    <w:rsid w:val="00881398"/>
    <w:rsid w:val="008813ED"/>
    <w:rsid w:val="00881546"/>
    <w:rsid w:val="008819B6"/>
    <w:rsid w:val="008819F5"/>
    <w:rsid w:val="00881B04"/>
    <w:rsid w:val="00881C50"/>
    <w:rsid w:val="00881D02"/>
    <w:rsid w:val="00881E46"/>
    <w:rsid w:val="00882392"/>
    <w:rsid w:val="0088258E"/>
    <w:rsid w:val="008836BB"/>
    <w:rsid w:val="00883834"/>
    <w:rsid w:val="00883876"/>
    <w:rsid w:val="00883ADF"/>
    <w:rsid w:val="00883B54"/>
    <w:rsid w:val="00883F55"/>
    <w:rsid w:val="00883F65"/>
    <w:rsid w:val="00884170"/>
    <w:rsid w:val="00884760"/>
    <w:rsid w:val="00884D1B"/>
    <w:rsid w:val="00885153"/>
    <w:rsid w:val="008852EC"/>
    <w:rsid w:val="008856F8"/>
    <w:rsid w:val="00885C4F"/>
    <w:rsid w:val="00885E61"/>
    <w:rsid w:val="008861F0"/>
    <w:rsid w:val="008862DD"/>
    <w:rsid w:val="008864C5"/>
    <w:rsid w:val="00886843"/>
    <w:rsid w:val="008868F2"/>
    <w:rsid w:val="00887780"/>
    <w:rsid w:val="0088785C"/>
    <w:rsid w:val="00887E1D"/>
    <w:rsid w:val="008900FA"/>
    <w:rsid w:val="00890459"/>
    <w:rsid w:val="008904D9"/>
    <w:rsid w:val="00890A4D"/>
    <w:rsid w:val="00890D93"/>
    <w:rsid w:val="00890DB9"/>
    <w:rsid w:val="00890DE4"/>
    <w:rsid w:val="00890DFC"/>
    <w:rsid w:val="0089105D"/>
    <w:rsid w:val="00891402"/>
    <w:rsid w:val="008915FA"/>
    <w:rsid w:val="00891815"/>
    <w:rsid w:val="00891840"/>
    <w:rsid w:val="00891A6C"/>
    <w:rsid w:val="00891B96"/>
    <w:rsid w:val="00891E8F"/>
    <w:rsid w:val="008921AF"/>
    <w:rsid w:val="00892240"/>
    <w:rsid w:val="00893A80"/>
    <w:rsid w:val="00893E45"/>
    <w:rsid w:val="00893FA5"/>
    <w:rsid w:val="00894111"/>
    <w:rsid w:val="008941DF"/>
    <w:rsid w:val="008941EE"/>
    <w:rsid w:val="0089467E"/>
    <w:rsid w:val="00894958"/>
    <w:rsid w:val="008949F1"/>
    <w:rsid w:val="00894B06"/>
    <w:rsid w:val="00894C6C"/>
    <w:rsid w:val="00894FE4"/>
    <w:rsid w:val="00895098"/>
    <w:rsid w:val="00895114"/>
    <w:rsid w:val="0089519F"/>
    <w:rsid w:val="00895451"/>
    <w:rsid w:val="008961AA"/>
    <w:rsid w:val="008961EB"/>
    <w:rsid w:val="0089648F"/>
    <w:rsid w:val="008964C0"/>
    <w:rsid w:val="008965ED"/>
    <w:rsid w:val="00896C04"/>
    <w:rsid w:val="0089702C"/>
    <w:rsid w:val="008971C0"/>
    <w:rsid w:val="00897440"/>
    <w:rsid w:val="00897879"/>
    <w:rsid w:val="008979E7"/>
    <w:rsid w:val="00897B82"/>
    <w:rsid w:val="00897F40"/>
    <w:rsid w:val="008A01C1"/>
    <w:rsid w:val="008A065F"/>
    <w:rsid w:val="008A0A9E"/>
    <w:rsid w:val="008A0F50"/>
    <w:rsid w:val="008A1767"/>
    <w:rsid w:val="008A227C"/>
    <w:rsid w:val="008A25F3"/>
    <w:rsid w:val="008A26E2"/>
    <w:rsid w:val="008A2725"/>
    <w:rsid w:val="008A2763"/>
    <w:rsid w:val="008A2F6F"/>
    <w:rsid w:val="008A345D"/>
    <w:rsid w:val="008A3A6A"/>
    <w:rsid w:val="008A43D6"/>
    <w:rsid w:val="008A4844"/>
    <w:rsid w:val="008A487B"/>
    <w:rsid w:val="008A48FC"/>
    <w:rsid w:val="008A4922"/>
    <w:rsid w:val="008A4AAD"/>
    <w:rsid w:val="008A4E3C"/>
    <w:rsid w:val="008A5036"/>
    <w:rsid w:val="008A50A3"/>
    <w:rsid w:val="008A51C4"/>
    <w:rsid w:val="008A5360"/>
    <w:rsid w:val="008A5394"/>
    <w:rsid w:val="008A55FE"/>
    <w:rsid w:val="008A5D91"/>
    <w:rsid w:val="008A62E8"/>
    <w:rsid w:val="008A655E"/>
    <w:rsid w:val="008A6DA6"/>
    <w:rsid w:val="008A733F"/>
    <w:rsid w:val="008A7498"/>
    <w:rsid w:val="008A77C9"/>
    <w:rsid w:val="008A7A72"/>
    <w:rsid w:val="008A7F29"/>
    <w:rsid w:val="008B0484"/>
    <w:rsid w:val="008B07C9"/>
    <w:rsid w:val="008B0820"/>
    <w:rsid w:val="008B0A0F"/>
    <w:rsid w:val="008B1910"/>
    <w:rsid w:val="008B2482"/>
    <w:rsid w:val="008B25FC"/>
    <w:rsid w:val="008B291A"/>
    <w:rsid w:val="008B2A3C"/>
    <w:rsid w:val="008B2B46"/>
    <w:rsid w:val="008B2F6F"/>
    <w:rsid w:val="008B32E7"/>
    <w:rsid w:val="008B3595"/>
    <w:rsid w:val="008B3ADB"/>
    <w:rsid w:val="008B3F99"/>
    <w:rsid w:val="008B4984"/>
    <w:rsid w:val="008B49F5"/>
    <w:rsid w:val="008B5646"/>
    <w:rsid w:val="008B5981"/>
    <w:rsid w:val="008B5F7F"/>
    <w:rsid w:val="008B65E6"/>
    <w:rsid w:val="008B66EF"/>
    <w:rsid w:val="008B6A35"/>
    <w:rsid w:val="008B6F41"/>
    <w:rsid w:val="008B7329"/>
    <w:rsid w:val="008B74CB"/>
    <w:rsid w:val="008B764E"/>
    <w:rsid w:val="008B78B8"/>
    <w:rsid w:val="008B790C"/>
    <w:rsid w:val="008B79A6"/>
    <w:rsid w:val="008B7ADB"/>
    <w:rsid w:val="008B7B3B"/>
    <w:rsid w:val="008C0058"/>
    <w:rsid w:val="008C0135"/>
    <w:rsid w:val="008C01BB"/>
    <w:rsid w:val="008C01DC"/>
    <w:rsid w:val="008C04E8"/>
    <w:rsid w:val="008C0591"/>
    <w:rsid w:val="008C0C67"/>
    <w:rsid w:val="008C0D40"/>
    <w:rsid w:val="008C0E29"/>
    <w:rsid w:val="008C140C"/>
    <w:rsid w:val="008C170D"/>
    <w:rsid w:val="008C1A24"/>
    <w:rsid w:val="008C1CFB"/>
    <w:rsid w:val="008C2116"/>
    <w:rsid w:val="008C214E"/>
    <w:rsid w:val="008C2610"/>
    <w:rsid w:val="008C2663"/>
    <w:rsid w:val="008C2B11"/>
    <w:rsid w:val="008C2E21"/>
    <w:rsid w:val="008C2E2A"/>
    <w:rsid w:val="008C303B"/>
    <w:rsid w:val="008C3094"/>
    <w:rsid w:val="008C34E9"/>
    <w:rsid w:val="008C350C"/>
    <w:rsid w:val="008C3572"/>
    <w:rsid w:val="008C35AE"/>
    <w:rsid w:val="008C3926"/>
    <w:rsid w:val="008C3A5B"/>
    <w:rsid w:val="008C3AA3"/>
    <w:rsid w:val="008C3BEA"/>
    <w:rsid w:val="008C3D9A"/>
    <w:rsid w:val="008C3F98"/>
    <w:rsid w:val="008C3FFE"/>
    <w:rsid w:val="008C4220"/>
    <w:rsid w:val="008C4596"/>
    <w:rsid w:val="008C4646"/>
    <w:rsid w:val="008C48C7"/>
    <w:rsid w:val="008C4D2E"/>
    <w:rsid w:val="008C4FA4"/>
    <w:rsid w:val="008C5142"/>
    <w:rsid w:val="008C5294"/>
    <w:rsid w:val="008C52A9"/>
    <w:rsid w:val="008C52D3"/>
    <w:rsid w:val="008C54E3"/>
    <w:rsid w:val="008C57B4"/>
    <w:rsid w:val="008C5873"/>
    <w:rsid w:val="008C5F21"/>
    <w:rsid w:val="008C60F4"/>
    <w:rsid w:val="008C619B"/>
    <w:rsid w:val="008C6407"/>
    <w:rsid w:val="008C6504"/>
    <w:rsid w:val="008C65F0"/>
    <w:rsid w:val="008C67DA"/>
    <w:rsid w:val="008C6818"/>
    <w:rsid w:val="008C6B53"/>
    <w:rsid w:val="008C713D"/>
    <w:rsid w:val="008C715E"/>
    <w:rsid w:val="008C7193"/>
    <w:rsid w:val="008C7299"/>
    <w:rsid w:val="008C7B54"/>
    <w:rsid w:val="008C7C28"/>
    <w:rsid w:val="008D007C"/>
    <w:rsid w:val="008D01A3"/>
    <w:rsid w:val="008D0344"/>
    <w:rsid w:val="008D03DB"/>
    <w:rsid w:val="008D0CCD"/>
    <w:rsid w:val="008D1018"/>
    <w:rsid w:val="008D1394"/>
    <w:rsid w:val="008D13C0"/>
    <w:rsid w:val="008D1882"/>
    <w:rsid w:val="008D1E96"/>
    <w:rsid w:val="008D234D"/>
    <w:rsid w:val="008D284A"/>
    <w:rsid w:val="008D320F"/>
    <w:rsid w:val="008D3848"/>
    <w:rsid w:val="008D3CD8"/>
    <w:rsid w:val="008D3EED"/>
    <w:rsid w:val="008D3F43"/>
    <w:rsid w:val="008D3FD7"/>
    <w:rsid w:val="008D4167"/>
    <w:rsid w:val="008D42CF"/>
    <w:rsid w:val="008D4734"/>
    <w:rsid w:val="008D474B"/>
    <w:rsid w:val="008D4A39"/>
    <w:rsid w:val="008D4D11"/>
    <w:rsid w:val="008D4D42"/>
    <w:rsid w:val="008D512F"/>
    <w:rsid w:val="008D523A"/>
    <w:rsid w:val="008D5B6E"/>
    <w:rsid w:val="008D5BA5"/>
    <w:rsid w:val="008D5DBE"/>
    <w:rsid w:val="008D614D"/>
    <w:rsid w:val="008D6363"/>
    <w:rsid w:val="008D6942"/>
    <w:rsid w:val="008D7439"/>
    <w:rsid w:val="008D74FB"/>
    <w:rsid w:val="008D7525"/>
    <w:rsid w:val="008D7813"/>
    <w:rsid w:val="008D78FE"/>
    <w:rsid w:val="008D7C6E"/>
    <w:rsid w:val="008E00AC"/>
    <w:rsid w:val="008E04D1"/>
    <w:rsid w:val="008E08CF"/>
    <w:rsid w:val="008E0B45"/>
    <w:rsid w:val="008E0C79"/>
    <w:rsid w:val="008E0C96"/>
    <w:rsid w:val="008E0EE8"/>
    <w:rsid w:val="008E119F"/>
    <w:rsid w:val="008E18C5"/>
    <w:rsid w:val="008E1C55"/>
    <w:rsid w:val="008E2080"/>
    <w:rsid w:val="008E26D5"/>
    <w:rsid w:val="008E2788"/>
    <w:rsid w:val="008E28B1"/>
    <w:rsid w:val="008E2A18"/>
    <w:rsid w:val="008E2A20"/>
    <w:rsid w:val="008E2D4F"/>
    <w:rsid w:val="008E3139"/>
    <w:rsid w:val="008E3566"/>
    <w:rsid w:val="008E37FB"/>
    <w:rsid w:val="008E3D82"/>
    <w:rsid w:val="008E3D8C"/>
    <w:rsid w:val="008E41F0"/>
    <w:rsid w:val="008E4572"/>
    <w:rsid w:val="008E480F"/>
    <w:rsid w:val="008E492E"/>
    <w:rsid w:val="008E4C75"/>
    <w:rsid w:val="008E4D75"/>
    <w:rsid w:val="008E4DF9"/>
    <w:rsid w:val="008E4FB8"/>
    <w:rsid w:val="008E508C"/>
    <w:rsid w:val="008E582E"/>
    <w:rsid w:val="008E5FCC"/>
    <w:rsid w:val="008E6074"/>
    <w:rsid w:val="008E66EF"/>
    <w:rsid w:val="008E6750"/>
    <w:rsid w:val="008E7278"/>
    <w:rsid w:val="008E768F"/>
    <w:rsid w:val="008E76D5"/>
    <w:rsid w:val="008E7C7C"/>
    <w:rsid w:val="008E7EC1"/>
    <w:rsid w:val="008F0289"/>
    <w:rsid w:val="008F0487"/>
    <w:rsid w:val="008F06F4"/>
    <w:rsid w:val="008F111F"/>
    <w:rsid w:val="008F113E"/>
    <w:rsid w:val="008F1B56"/>
    <w:rsid w:val="008F1B95"/>
    <w:rsid w:val="008F2D8E"/>
    <w:rsid w:val="008F345A"/>
    <w:rsid w:val="008F35F4"/>
    <w:rsid w:val="008F36AC"/>
    <w:rsid w:val="008F36F9"/>
    <w:rsid w:val="008F385E"/>
    <w:rsid w:val="008F385F"/>
    <w:rsid w:val="008F437A"/>
    <w:rsid w:val="008F48D3"/>
    <w:rsid w:val="008F4B96"/>
    <w:rsid w:val="008F4C4D"/>
    <w:rsid w:val="008F4E61"/>
    <w:rsid w:val="008F5124"/>
    <w:rsid w:val="008F5438"/>
    <w:rsid w:val="008F5731"/>
    <w:rsid w:val="008F581A"/>
    <w:rsid w:val="008F618D"/>
    <w:rsid w:val="008F6341"/>
    <w:rsid w:val="008F63F2"/>
    <w:rsid w:val="008F643B"/>
    <w:rsid w:val="008F6530"/>
    <w:rsid w:val="008F673E"/>
    <w:rsid w:val="008F6924"/>
    <w:rsid w:val="008F7326"/>
    <w:rsid w:val="008F7B09"/>
    <w:rsid w:val="008F7F77"/>
    <w:rsid w:val="0090004F"/>
    <w:rsid w:val="00900378"/>
    <w:rsid w:val="009007F7"/>
    <w:rsid w:val="00900B4D"/>
    <w:rsid w:val="00900ECE"/>
    <w:rsid w:val="00900F28"/>
    <w:rsid w:val="00900FC7"/>
    <w:rsid w:val="009012EB"/>
    <w:rsid w:val="00901989"/>
    <w:rsid w:val="00901F4E"/>
    <w:rsid w:val="0090301A"/>
    <w:rsid w:val="00903191"/>
    <w:rsid w:val="00903747"/>
    <w:rsid w:val="00903811"/>
    <w:rsid w:val="00903A4A"/>
    <w:rsid w:val="00903B5D"/>
    <w:rsid w:val="00903FCE"/>
    <w:rsid w:val="009046F0"/>
    <w:rsid w:val="00904F93"/>
    <w:rsid w:val="009052D0"/>
    <w:rsid w:val="00905638"/>
    <w:rsid w:val="0090583B"/>
    <w:rsid w:val="00905BFA"/>
    <w:rsid w:val="00905DF3"/>
    <w:rsid w:val="00905FA2"/>
    <w:rsid w:val="00906574"/>
    <w:rsid w:val="0090658F"/>
    <w:rsid w:val="00906A1D"/>
    <w:rsid w:val="00906AD3"/>
    <w:rsid w:val="00906FB8"/>
    <w:rsid w:val="0090707B"/>
    <w:rsid w:val="009070D6"/>
    <w:rsid w:val="00907154"/>
    <w:rsid w:val="00907519"/>
    <w:rsid w:val="009075DC"/>
    <w:rsid w:val="00907C7A"/>
    <w:rsid w:val="009100F9"/>
    <w:rsid w:val="009102DD"/>
    <w:rsid w:val="009109CD"/>
    <w:rsid w:val="00910AC2"/>
    <w:rsid w:val="00910DF5"/>
    <w:rsid w:val="00911243"/>
    <w:rsid w:val="009116E4"/>
    <w:rsid w:val="009118D4"/>
    <w:rsid w:val="0091192A"/>
    <w:rsid w:val="009119E1"/>
    <w:rsid w:val="00911A51"/>
    <w:rsid w:val="00911A7E"/>
    <w:rsid w:val="00911D43"/>
    <w:rsid w:val="00912608"/>
    <w:rsid w:val="009126D8"/>
    <w:rsid w:val="00913127"/>
    <w:rsid w:val="00913284"/>
    <w:rsid w:val="009132E7"/>
    <w:rsid w:val="00913428"/>
    <w:rsid w:val="00913860"/>
    <w:rsid w:val="00913941"/>
    <w:rsid w:val="00913A9B"/>
    <w:rsid w:val="00913D7D"/>
    <w:rsid w:val="00914A67"/>
    <w:rsid w:val="00914C14"/>
    <w:rsid w:val="00915037"/>
    <w:rsid w:val="009158B1"/>
    <w:rsid w:val="00915905"/>
    <w:rsid w:val="00916194"/>
    <w:rsid w:val="00916429"/>
    <w:rsid w:val="0091670C"/>
    <w:rsid w:val="009167A8"/>
    <w:rsid w:val="00916923"/>
    <w:rsid w:val="009170BF"/>
    <w:rsid w:val="00917150"/>
    <w:rsid w:val="009174F2"/>
    <w:rsid w:val="009177A0"/>
    <w:rsid w:val="009177D6"/>
    <w:rsid w:val="00917BEF"/>
    <w:rsid w:val="00917D34"/>
    <w:rsid w:val="009201CF"/>
    <w:rsid w:val="009203F2"/>
    <w:rsid w:val="00920652"/>
    <w:rsid w:val="00920770"/>
    <w:rsid w:val="00920898"/>
    <w:rsid w:val="009208AE"/>
    <w:rsid w:val="009209AD"/>
    <w:rsid w:val="00920B94"/>
    <w:rsid w:val="00920DB9"/>
    <w:rsid w:val="00920F6B"/>
    <w:rsid w:val="00921310"/>
    <w:rsid w:val="00921474"/>
    <w:rsid w:val="00921BCE"/>
    <w:rsid w:val="00921F02"/>
    <w:rsid w:val="009220CC"/>
    <w:rsid w:val="00922563"/>
    <w:rsid w:val="00922835"/>
    <w:rsid w:val="00922850"/>
    <w:rsid w:val="00922958"/>
    <w:rsid w:val="00922FCD"/>
    <w:rsid w:val="00923088"/>
    <w:rsid w:val="0092312F"/>
    <w:rsid w:val="00923FE7"/>
    <w:rsid w:val="009242CC"/>
    <w:rsid w:val="00924607"/>
    <w:rsid w:val="0092471C"/>
    <w:rsid w:val="009248EC"/>
    <w:rsid w:val="00924B78"/>
    <w:rsid w:val="00924E2D"/>
    <w:rsid w:val="00924FE1"/>
    <w:rsid w:val="00925134"/>
    <w:rsid w:val="009258FA"/>
    <w:rsid w:val="0092604B"/>
    <w:rsid w:val="0092609C"/>
    <w:rsid w:val="00926240"/>
    <w:rsid w:val="009262B3"/>
    <w:rsid w:val="0092686F"/>
    <w:rsid w:val="009268A0"/>
    <w:rsid w:val="00926AEB"/>
    <w:rsid w:val="00926E36"/>
    <w:rsid w:val="0092732B"/>
    <w:rsid w:val="0092733B"/>
    <w:rsid w:val="009273E3"/>
    <w:rsid w:val="009301AE"/>
    <w:rsid w:val="0093034D"/>
    <w:rsid w:val="00931043"/>
    <w:rsid w:val="00931244"/>
    <w:rsid w:val="00931C01"/>
    <w:rsid w:val="00931F00"/>
    <w:rsid w:val="00931F8E"/>
    <w:rsid w:val="00933047"/>
    <w:rsid w:val="0093324C"/>
    <w:rsid w:val="00933793"/>
    <w:rsid w:val="0093423D"/>
    <w:rsid w:val="009348F3"/>
    <w:rsid w:val="009349AA"/>
    <w:rsid w:val="00934B5D"/>
    <w:rsid w:val="0093504B"/>
    <w:rsid w:val="0093528D"/>
    <w:rsid w:val="009355D7"/>
    <w:rsid w:val="009361D3"/>
    <w:rsid w:val="00936216"/>
    <w:rsid w:val="00936296"/>
    <w:rsid w:val="009368C6"/>
    <w:rsid w:val="00936EB7"/>
    <w:rsid w:val="009372E5"/>
    <w:rsid w:val="00937B11"/>
    <w:rsid w:val="00937D73"/>
    <w:rsid w:val="00937D8F"/>
    <w:rsid w:val="00937EE1"/>
    <w:rsid w:val="009400D8"/>
    <w:rsid w:val="0094033A"/>
    <w:rsid w:val="0094060F"/>
    <w:rsid w:val="00940CBB"/>
    <w:rsid w:val="00940D9B"/>
    <w:rsid w:val="00940F0B"/>
    <w:rsid w:val="00940F83"/>
    <w:rsid w:val="00941034"/>
    <w:rsid w:val="00941844"/>
    <w:rsid w:val="00941DD7"/>
    <w:rsid w:val="00942070"/>
    <w:rsid w:val="0094244D"/>
    <w:rsid w:val="00942513"/>
    <w:rsid w:val="0094277E"/>
    <w:rsid w:val="009428F9"/>
    <w:rsid w:val="009429F8"/>
    <w:rsid w:val="00942C18"/>
    <w:rsid w:val="00942DFB"/>
    <w:rsid w:val="00942EA0"/>
    <w:rsid w:val="009430CC"/>
    <w:rsid w:val="00943171"/>
    <w:rsid w:val="00943181"/>
    <w:rsid w:val="009434C7"/>
    <w:rsid w:val="00943737"/>
    <w:rsid w:val="00943803"/>
    <w:rsid w:val="00943A6D"/>
    <w:rsid w:val="00943BE0"/>
    <w:rsid w:val="009444B4"/>
    <w:rsid w:val="009448CC"/>
    <w:rsid w:val="00944B56"/>
    <w:rsid w:val="00944C63"/>
    <w:rsid w:val="00944CA1"/>
    <w:rsid w:val="00944E6D"/>
    <w:rsid w:val="00944FB0"/>
    <w:rsid w:val="00945283"/>
    <w:rsid w:val="009457FF"/>
    <w:rsid w:val="009459D7"/>
    <w:rsid w:val="00945DA9"/>
    <w:rsid w:val="00945F49"/>
    <w:rsid w:val="009461DD"/>
    <w:rsid w:val="00946221"/>
    <w:rsid w:val="009465F4"/>
    <w:rsid w:val="0094682A"/>
    <w:rsid w:val="00946CEC"/>
    <w:rsid w:val="00946F46"/>
    <w:rsid w:val="0094719C"/>
    <w:rsid w:val="009472CF"/>
    <w:rsid w:val="009474EB"/>
    <w:rsid w:val="00950040"/>
    <w:rsid w:val="00950163"/>
    <w:rsid w:val="0095072E"/>
    <w:rsid w:val="00950B8E"/>
    <w:rsid w:val="00951809"/>
    <w:rsid w:val="00951941"/>
    <w:rsid w:val="00951BEC"/>
    <w:rsid w:val="0095226D"/>
    <w:rsid w:val="009526F6"/>
    <w:rsid w:val="00952AB4"/>
    <w:rsid w:val="00952D6D"/>
    <w:rsid w:val="00952E11"/>
    <w:rsid w:val="00953166"/>
    <w:rsid w:val="009534EC"/>
    <w:rsid w:val="00953594"/>
    <w:rsid w:val="00953606"/>
    <w:rsid w:val="00953667"/>
    <w:rsid w:val="00953A62"/>
    <w:rsid w:val="00953AE9"/>
    <w:rsid w:val="00953FF0"/>
    <w:rsid w:val="00954189"/>
    <w:rsid w:val="00954E56"/>
    <w:rsid w:val="00954FDC"/>
    <w:rsid w:val="009551ED"/>
    <w:rsid w:val="00955A2F"/>
    <w:rsid w:val="0095612C"/>
    <w:rsid w:val="00956245"/>
    <w:rsid w:val="00956294"/>
    <w:rsid w:val="009564B6"/>
    <w:rsid w:val="009567E4"/>
    <w:rsid w:val="00956805"/>
    <w:rsid w:val="00956CBE"/>
    <w:rsid w:val="00956EFC"/>
    <w:rsid w:val="00956F5E"/>
    <w:rsid w:val="009578CC"/>
    <w:rsid w:val="00957C02"/>
    <w:rsid w:val="00957E54"/>
    <w:rsid w:val="00960147"/>
    <w:rsid w:val="00960180"/>
    <w:rsid w:val="0096022C"/>
    <w:rsid w:val="00960700"/>
    <w:rsid w:val="00960725"/>
    <w:rsid w:val="00960EDD"/>
    <w:rsid w:val="009610FA"/>
    <w:rsid w:val="00961313"/>
    <w:rsid w:val="00961514"/>
    <w:rsid w:val="0096184F"/>
    <w:rsid w:val="00962398"/>
    <w:rsid w:val="0096285A"/>
    <w:rsid w:val="00962A7D"/>
    <w:rsid w:val="00962F4C"/>
    <w:rsid w:val="00962F50"/>
    <w:rsid w:val="0096300A"/>
    <w:rsid w:val="009630D1"/>
    <w:rsid w:val="0096343E"/>
    <w:rsid w:val="00963469"/>
    <w:rsid w:val="00963AC6"/>
    <w:rsid w:val="00964061"/>
    <w:rsid w:val="009640A8"/>
    <w:rsid w:val="009641D7"/>
    <w:rsid w:val="00964EF8"/>
    <w:rsid w:val="00964F25"/>
    <w:rsid w:val="009651AB"/>
    <w:rsid w:val="009655E7"/>
    <w:rsid w:val="009671E4"/>
    <w:rsid w:val="009672FC"/>
    <w:rsid w:val="00967414"/>
    <w:rsid w:val="009675BA"/>
    <w:rsid w:val="00967659"/>
    <w:rsid w:val="00967823"/>
    <w:rsid w:val="009705BD"/>
    <w:rsid w:val="00970793"/>
    <w:rsid w:val="00970A66"/>
    <w:rsid w:val="00970AE5"/>
    <w:rsid w:val="00970F8E"/>
    <w:rsid w:val="009710B4"/>
    <w:rsid w:val="00971301"/>
    <w:rsid w:val="00971CE5"/>
    <w:rsid w:val="00971E32"/>
    <w:rsid w:val="009722D7"/>
    <w:rsid w:val="009725B6"/>
    <w:rsid w:val="00972B7D"/>
    <w:rsid w:val="0097313B"/>
    <w:rsid w:val="009732EB"/>
    <w:rsid w:val="0097331A"/>
    <w:rsid w:val="00973695"/>
    <w:rsid w:val="0097396D"/>
    <w:rsid w:val="00974231"/>
    <w:rsid w:val="00974834"/>
    <w:rsid w:val="00974EF1"/>
    <w:rsid w:val="00975AC5"/>
    <w:rsid w:val="00975E46"/>
    <w:rsid w:val="009762BE"/>
    <w:rsid w:val="00976518"/>
    <w:rsid w:val="00976556"/>
    <w:rsid w:val="00976B1F"/>
    <w:rsid w:val="00977190"/>
    <w:rsid w:val="00977363"/>
    <w:rsid w:val="0097741D"/>
    <w:rsid w:val="00977903"/>
    <w:rsid w:val="00977CEE"/>
    <w:rsid w:val="00977DDF"/>
    <w:rsid w:val="00980033"/>
    <w:rsid w:val="00980046"/>
    <w:rsid w:val="0098005D"/>
    <w:rsid w:val="009801A9"/>
    <w:rsid w:val="00980552"/>
    <w:rsid w:val="009805F0"/>
    <w:rsid w:val="0098081B"/>
    <w:rsid w:val="009811D7"/>
    <w:rsid w:val="00981304"/>
    <w:rsid w:val="009813EA"/>
    <w:rsid w:val="00981738"/>
    <w:rsid w:val="00981802"/>
    <w:rsid w:val="00982347"/>
    <w:rsid w:val="009823C2"/>
    <w:rsid w:val="00982536"/>
    <w:rsid w:val="00982A37"/>
    <w:rsid w:val="00982E3C"/>
    <w:rsid w:val="0098329C"/>
    <w:rsid w:val="00983706"/>
    <w:rsid w:val="0098415D"/>
    <w:rsid w:val="00984180"/>
    <w:rsid w:val="009843BD"/>
    <w:rsid w:val="0098449C"/>
    <w:rsid w:val="0098475E"/>
    <w:rsid w:val="009848E7"/>
    <w:rsid w:val="00984C38"/>
    <w:rsid w:val="00984E06"/>
    <w:rsid w:val="00984EB7"/>
    <w:rsid w:val="00985914"/>
    <w:rsid w:val="009870D9"/>
    <w:rsid w:val="00987173"/>
    <w:rsid w:val="00990847"/>
    <w:rsid w:val="009909A8"/>
    <w:rsid w:val="00990C54"/>
    <w:rsid w:val="00990FDA"/>
    <w:rsid w:val="00990FEE"/>
    <w:rsid w:val="0099108B"/>
    <w:rsid w:val="00991259"/>
    <w:rsid w:val="00991494"/>
    <w:rsid w:val="00991588"/>
    <w:rsid w:val="009915C5"/>
    <w:rsid w:val="00991790"/>
    <w:rsid w:val="00991917"/>
    <w:rsid w:val="00991D21"/>
    <w:rsid w:val="00991D4E"/>
    <w:rsid w:val="00991DBF"/>
    <w:rsid w:val="00991E20"/>
    <w:rsid w:val="009922EC"/>
    <w:rsid w:val="009928BE"/>
    <w:rsid w:val="00993489"/>
    <w:rsid w:val="0099407D"/>
    <w:rsid w:val="009947EB"/>
    <w:rsid w:val="00994CA3"/>
    <w:rsid w:val="00995636"/>
    <w:rsid w:val="00995DF5"/>
    <w:rsid w:val="009960A8"/>
    <w:rsid w:val="00996589"/>
    <w:rsid w:val="009966DC"/>
    <w:rsid w:val="00996D3A"/>
    <w:rsid w:val="00996D71"/>
    <w:rsid w:val="00997607"/>
    <w:rsid w:val="00997733"/>
    <w:rsid w:val="00997CD9"/>
    <w:rsid w:val="009A0308"/>
    <w:rsid w:val="009A0703"/>
    <w:rsid w:val="009A077D"/>
    <w:rsid w:val="009A0917"/>
    <w:rsid w:val="009A109B"/>
    <w:rsid w:val="009A1323"/>
    <w:rsid w:val="009A16BE"/>
    <w:rsid w:val="009A1A36"/>
    <w:rsid w:val="009A1AD2"/>
    <w:rsid w:val="009A1E41"/>
    <w:rsid w:val="009A1FB5"/>
    <w:rsid w:val="009A20D9"/>
    <w:rsid w:val="009A242A"/>
    <w:rsid w:val="009A24F0"/>
    <w:rsid w:val="009A2508"/>
    <w:rsid w:val="009A26E7"/>
    <w:rsid w:val="009A2806"/>
    <w:rsid w:val="009A29D9"/>
    <w:rsid w:val="009A34AB"/>
    <w:rsid w:val="009A39DF"/>
    <w:rsid w:val="009A3EEC"/>
    <w:rsid w:val="009A3F20"/>
    <w:rsid w:val="009A4941"/>
    <w:rsid w:val="009A4BE1"/>
    <w:rsid w:val="009A4D00"/>
    <w:rsid w:val="009A4E2A"/>
    <w:rsid w:val="009A4F1E"/>
    <w:rsid w:val="009A50CB"/>
    <w:rsid w:val="009A5467"/>
    <w:rsid w:val="009A578C"/>
    <w:rsid w:val="009A5869"/>
    <w:rsid w:val="009A5941"/>
    <w:rsid w:val="009A5DE3"/>
    <w:rsid w:val="009A5FC2"/>
    <w:rsid w:val="009A62BA"/>
    <w:rsid w:val="009A66A5"/>
    <w:rsid w:val="009A6C97"/>
    <w:rsid w:val="009A7120"/>
    <w:rsid w:val="009A768B"/>
    <w:rsid w:val="009A7767"/>
    <w:rsid w:val="009A7EA1"/>
    <w:rsid w:val="009A7F19"/>
    <w:rsid w:val="009B063B"/>
    <w:rsid w:val="009B067E"/>
    <w:rsid w:val="009B06DF"/>
    <w:rsid w:val="009B0859"/>
    <w:rsid w:val="009B096A"/>
    <w:rsid w:val="009B13E1"/>
    <w:rsid w:val="009B153D"/>
    <w:rsid w:val="009B17DD"/>
    <w:rsid w:val="009B1814"/>
    <w:rsid w:val="009B18F3"/>
    <w:rsid w:val="009B1A56"/>
    <w:rsid w:val="009B2250"/>
    <w:rsid w:val="009B2306"/>
    <w:rsid w:val="009B2BC7"/>
    <w:rsid w:val="009B2EB4"/>
    <w:rsid w:val="009B33BE"/>
    <w:rsid w:val="009B33BF"/>
    <w:rsid w:val="009B3407"/>
    <w:rsid w:val="009B3CFF"/>
    <w:rsid w:val="009B42E8"/>
    <w:rsid w:val="009B4375"/>
    <w:rsid w:val="009B4453"/>
    <w:rsid w:val="009B4D60"/>
    <w:rsid w:val="009B4F25"/>
    <w:rsid w:val="009B5401"/>
    <w:rsid w:val="009B5973"/>
    <w:rsid w:val="009B6142"/>
    <w:rsid w:val="009B66EB"/>
    <w:rsid w:val="009B6DE9"/>
    <w:rsid w:val="009B6E99"/>
    <w:rsid w:val="009B6FC7"/>
    <w:rsid w:val="009B743D"/>
    <w:rsid w:val="009B74BD"/>
    <w:rsid w:val="009B7539"/>
    <w:rsid w:val="009B7BA0"/>
    <w:rsid w:val="009B7D90"/>
    <w:rsid w:val="009C0395"/>
    <w:rsid w:val="009C071C"/>
    <w:rsid w:val="009C08DA"/>
    <w:rsid w:val="009C0998"/>
    <w:rsid w:val="009C0A8F"/>
    <w:rsid w:val="009C10C1"/>
    <w:rsid w:val="009C12BF"/>
    <w:rsid w:val="009C134B"/>
    <w:rsid w:val="009C166C"/>
    <w:rsid w:val="009C1CFC"/>
    <w:rsid w:val="009C1DE4"/>
    <w:rsid w:val="009C263A"/>
    <w:rsid w:val="009C28A4"/>
    <w:rsid w:val="009C2BC3"/>
    <w:rsid w:val="009C2BFC"/>
    <w:rsid w:val="009C2C07"/>
    <w:rsid w:val="009C2EE1"/>
    <w:rsid w:val="009C2F9A"/>
    <w:rsid w:val="009C3242"/>
    <w:rsid w:val="009C3A8E"/>
    <w:rsid w:val="009C3E5D"/>
    <w:rsid w:val="009C3F7A"/>
    <w:rsid w:val="009C4575"/>
    <w:rsid w:val="009C4DD1"/>
    <w:rsid w:val="009C504A"/>
    <w:rsid w:val="009C547B"/>
    <w:rsid w:val="009C573B"/>
    <w:rsid w:val="009C5907"/>
    <w:rsid w:val="009C5B32"/>
    <w:rsid w:val="009C5D39"/>
    <w:rsid w:val="009C5DC6"/>
    <w:rsid w:val="009C6ADE"/>
    <w:rsid w:val="009C6FAA"/>
    <w:rsid w:val="009C7416"/>
    <w:rsid w:val="009C7685"/>
    <w:rsid w:val="009C7A7F"/>
    <w:rsid w:val="009C7DA8"/>
    <w:rsid w:val="009D0012"/>
    <w:rsid w:val="009D018E"/>
    <w:rsid w:val="009D0546"/>
    <w:rsid w:val="009D05B0"/>
    <w:rsid w:val="009D0A0C"/>
    <w:rsid w:val="009D0B96"/>
    <w:rsid w:val="009D0C5F"/>
    <w:rsid w:val="009D123B"/>
    <w:rsid w:val="009D16FE"/>
    <w:rsid w:val="009D1F74"/>
    <w:rsid w:val="009D2084"/>
    <w:rsid w:val="009D2257"/>
    <w:rsid w:val="009D2290"/>
    <w:rsid w:val="009D22A0"/>
    <w:rsid w:val="009D2343"/>
    <w:rsid w:val="009D2411"/>
    <w:rsid w:val="009D37D5"/>
    <w:rsid w:val="009D3E01"/>
    <w:rsid w:val="009D3F5B"/>
    <w:rsid w:val="009D3FD5"/>
    <w:rsid w:val="009D4114"/>
    <w:rsid w:val="009D454B"/>
    <w:rsid w:val="009D5170"/>
    <w:rsid w:val="009D51BF"/>
    <w:rsid w:val="009D51CA"/>
    <w:rsid w:val="009D54EA"/>
    <w:rsid w:val="009D570D"/>
    <w:rsid w:val="009D67AA"/>
    <w:rsid w:val="009D6940"/>
    <w:rsid w:val="009D6B56"/>
    <w:rsid w:val="009D7743"/>
    <w:rsid w:val="009D7C3B"/>
    <w:rsid w:val="009E01E9"/>
    <w:rsid w:val="009E027A"/>
    <w:rsid w:val="009E04FF"/>
    <w:rsid w:val="009E094E"/>
    <w:rsid w:val="009E0DCF"/>
    <w:rsid w:val="009E0E1A"/>
    <w:rsid w:val="009E100D"/>
    <w:rsid w:val="009E1139"/>
    <w:rsid w:val="009E11A6"/>
    <w:rsid w:val="009E15A5"/>
    <w:rsid w:val="009E1637"/>
    <w:rsid w:val="009E1825"/>
    <w:rsid w:val="009E1BF6"/>
    <w:rsid w:val="009E1D4A"/>
    <w:rsid w:val="009E2494"/>
    <w:rsid w:val="009E2576"/>
    <w:rsid w:val="009E26FD"/>
    <w:rsid w:val="009E2D47"/>
    <w:rsid w:val="009E2D8E"/>
    <w:rsid w:val="009E2E3F"/>
    <w:rsid w:val="009E304D"/>
    <w:rsid w:val="009E3423"/>
    <w:rsid w:val="009E35DD"/>
    <w:rsid w:val="009E3C40"/>
    <w:rsid w:val="009E3C75"/>
    <w:rsid w:val="009E3FF7"/>
    <w:rsid w:val="009E4175"/>
    <w:rsid w:val="009E4277"/>
    <w:rsid w:val="009E4396"/>
    <w:rsid w:val="009E44FE"/>
    <w:rsid w:val="009E4686"/>
    <w:rsid w:val="009E46F0"/>
    <w:rsid w:val="009E470A"/>
    <w:rsid w:val="009E47F4"/>
    <w:rsid w:val="009E49C4"/>
    <w:rsid w:val="009E49C7"/>
    <w:rsid w:val="009E4C9A"/>
    <w:rsid w:val="009E5148"/>
    <w:rsid w:val="009E53AB"/>
    <w:rsid w:val="009E5526"/>
    <w:rsid w:val="009E55F7"/>
    <w:rsid w:val="009E56C8"/>
    <w:rsid w:val="009E5989"/>
    <w:rsid w:val="009E5B05"/>
    <w:rsid w:val="009E5CD9"/>
    <w:rsid w:val="009E5D7A"/>
    <w:rsid w:val="009E6805"/>
    <w:rsid w:val="009E68B4"/>
    <w:rsid w:val="009E6C4D"/>
    <w:rsid w:val="009E7356"/>
    <w:rsid w:val="009E7749"/>
    <w:rsid w:val="009F00B0"/>
    <w:rsid w:val="009F0667"/>
    <w:rsid w:val="009F07A4"/>
    <w:rsid w:val="009F07CA"/>
    <w:rsid w:val="009F080B"/>
    <w:rsid w:val="009F081B"/>
    <w:rsid w:val="009F0F0C"/>
    <w:rsid w:val="009F105D"/>
    <w:rsid w:val="009F1230"/>
    <w:rsid w:val="009F13E3"/>
    <w:rsid w:val="009F177C"/>
    <w:rsid w:val="009F1929"/>
    <w:rsid w:val="009F1E65"/>
    <w:rsid w:val="009F200D"/>
    <w:rsid w:val="009F20A5"/>
    <w:rsid w:val="009F29D2"/>
    <w:rsid w:val="009F2F30"/>
    <w:rsid w:val="009F314C"/>
    <w:rsid w:val="009F3371"/>
    <w:rsid w:val="009F34B5"/>
    <w:rsid w:val="009F35FC"/>
    <w:rsid w:val="009F3777"/>
    <w:rsid w:val="009F3CB4"/>
    <w:rsid w:val="009F413F"/>
    <w:rsid w:val="009F4820"/>
    <w:rsid w:val="009F497E"/>
    <w:rsid w:val="009F4F9D"/>
    <w:rsid w:val="009F5333"/>
    <w:rsid w:val="009F537D"/>
    <w:rsid w:val="009F5384"/>
    <w:rsid w:val="009F5549"/>
    <w:rsid w:val="009F5726"/>
    <w:rsid w:val="009F5A84"/>
    <w:rsid w:val="009F5B3B"/>
    <w:rsid w:val="009F5C70"/>
    <w:rsid w:val="009F5E83"/>
    <w:rsid w:val="009F5EB0"/>
    <w:rsid w:val="009F5F6C"/>
    <w:rsid w:val="009F64E8"/>
    <w:rsid w:val="009F67AE"/>
    <w:rsid w:val="009F68A4"/>
    <w:rsid w:val="009F6AC2"/>
    <w:rsid w:val="009F6C26"/>
    <w:rsid w:val="009F6DB0"/>
    <w:rsid w:val="009F718C"/>
    <w:rsid w:val="009F7A00"/>
    <w:rsid w:val="009F7E95"/>
    <w:rsid w:val="00A00523"/>
    <w:rsid w:val="00A0054C"/>
    <w:rsid w:val="00A00633"/>
    <w:rsid w:val="00A006CF"/>
    <w:rsid w:val="00A0111D"/>
    <w:rsid w:val="00A012B2"/>
    <w:rsid w:val="00A015DD"/>
    <w:rsid w:val="00A0160C"/>
    <w:rsid w:val="00A01AC1"/>
    <w:rsid w:val="00A01F20"/>
    <w:rsid w:val="00A02120"/>
    <w:rsid w:val="00A027AA"/>
    <w:rsid w:val="00A02AC1"/>
    <w:rsid w:val="00A02AC2"/>
    <w:rsid w:val="00A03137"/>
    <w:rsid w:val="00A0329F"/>
    <w:rsid w:val="00A03440"/>
    <w:rsid w:val="00A034A4"/>
    <w:rsid w:val="00A03658"/>
    <w:rsid w:val="00A03663"/>
    <w:rsid w:val="00A03D62"/>
    <w:rsid w:val="00A03EEF"/>
    <w:rsid w:val="00A040D1"/>
    <w:rsid w:val="00A04501"/>
    <w:rsid w:val="00A04B73"/>
    <w:rsid w:val="00A05044"/>
    <w:rsid w:val="00A051CE"/>
    <w:rsid w:val="00A05207"/>
    <w:rsid w:val="00A058F6"/>
    <w:rsid w:val="00A059A4"/>
    <w:rsid w:val="00A05A3C"/>
    <w:rsid w:val="00A05B60"/>
    <w:rsid w:val="00A05BE3"/>
    <w:rsid w:val="00A05F3A"/>
    <w:rsid w:val="00A063E6"/>
    <w:rsid w:val="00A065CC"/>
    <w:rsid w:val="00A06B2D"/>
    <w:rsid w:val="00A06BA6"/>
    <w:rsid w:val="00A06F01"/>
    <w:rsid w:val="00A06F12"/>
    <w:rsid w:val="00A0753F"/>
    <w:rsid w:val="00A07E79"/>
    <w:rsid w:val="00A07EBA"/>
    <w:rsid w:val="00A10183"/>
    <w:rsid w:val="00A1059D"/>
    <w:rsid w:val="00A111F2"/>
    <w:rsid w:val="00A11468"/>
    <w:rsid w:val="00A11594"/>
    <w:rsid w:val="00A12929"/>
    <w:rsid w:val="00A1307C"/>
    <w:rsid w:val="00A13A17"/>
    <w:rsid w:val="00A13AFF"/>
    <w:rsid w:val="00A145C4"/>
    <w:rsid w:val="00A147B3"/>
    <w:rsid w:val="00A147CD"/>
    <w:rsid w:val="00A148F1"/>
    <w:rsid w:val="00A14EAB"/>
    <w:rsid w:val="00A1531F"/>
    <w:rsid w:val="00A1533E"/>
    <w:rsid w:val="00A1579D"/>
    <w:rsid w:val="00A1592F"/>
    <w:rsid w:val="00A15A04"/>
    <w:rsid w:val="00A15BCB"/>
    <w:rsid w:val="00A15F62"/>
    <w:rsid w:val="00A1641A"/>
    <w:rsid w:val="00A168C5"/>
    <w:rsid w:val="00A16B94"/>
    <w:rsid w:val="00A16CA1"/>
    <w:rsid w:val="00A16D7F"/>
    <w:rsid w:val="00A17140"/>
    <w:rsid w:val="00A17F7F"/>
    <w:rsid w:val="00A20876"/>
    <w:rsid w:val="00A20B6A"/>
    <w:rsid w:val="00A20D6F"/>
    <w:rsid w:val="00A21481"/>
    <w:rsid w:val="00A21558"/>
    <w:rsid w:val="00A21797"/>
    <w:rsid w:val="00A2196C"/>
    <w:rsid w:val="00A21975"/>
    <w:rsid w:val="00A21A0E"/>
    <w:rsid w:val="00A21BA0"/>
    <w:rsid w:val="00A2297E"/>
    <w:rsid w:val="00A2317D"/>
    <w:rsid w:val="00A232EE"/>
    <w:rsid w:val="00A234BB"/>
    <w:rsid w:val="00A23C54"/>
    <w:rsid w:val="00A23DBA"/>
    <w:rsid w:val="00A24132"/>
    <w:rsid w:val="00A248AE"/>
    <w:rsid w:val="00A24C5F"/>
    <w:rsid w:val="00A24D99"/>
    <w:rsid w:val="00A26190"/>
    <w:rsid w:val="00A263FC"/>
    <w:rsid w:val="00A26419"/>
    <w:rsid w:val="00A267D3"/>
    <w:rsid w:val="00A26B87"/>
    <w:rsid w:val="00A26C91"/>
    <w:rsid w:val="00A26CBA"/>
    <w:rsid w:val="00A26FC9"/>
    <w:rsid w:val="00A2708A"/>
    <w:rsid w:val="00A2754D"/>
    <w:rsid w:val="00A276BD"/>
    <w:rsid w:val="00A276D7"/>
    <w:rsid w:val="00A2774B"/>
    <w:rsid w:val="00A305A1"/>
    <w:rsid w:val="00A312A9"/>
    <w:rsid w:val="00A3137E"/>
    <w:rsid w:val="00A319A4"/>
    <w:rsid w:val="00A31A8F"/>
    <w:rsid w:val="00A321EB"/>
    <w:rsid w:val="00A32418"/>
    <w:rsid w:val="00A324A8"/>
    <w:rsid w:val="00A32892"/>
    <w:rsid w:val="00A32968"/>
    <w:rsid w:val="00A32D9D"/>
    <w:rsid w:val="00A333B9"/>
    <w:rsid w:val="00A33B09"/>
    <w:rsid w:val="00A33BBA"/>
    <w:rsid w:val="00A33F30"/>
    <w:rsid w:val="00A33FF9"/>
    <w:rsid w:val="00A344E7"/>
    <w:rsid w:val="00A3475E"/>
    <w:rsid w:val="00A347CD"/>
    <w:rsid w:val="00A34C5F"/>
    <w:rsid w:val="00A34ED7"/>
    <w:rsid w:val="00A34F18"/>
    <w:rsid w:val="00A3506D"/>
    <w:rsid w:val="00A35231"/>
    <w:rsid w:val="00A352A6"/>
    <w:rsid w:val="00A3557A"/>
    <w:rsid w:val="00A3589E"/>
    <w:rsid w:val="00A359D9"/>
    <w:rsid w:val="00A35B72"/>
    <w:rsid w:val="00A35F07"/>
    <w:rsid w:val="00A36116"/>
    <w:rsid w:val="00A36430"/>
    <w:rsid w:val="00A3688B"/>
    <w:rsid w:val="00A37166"/>
    <w:rsid w:val="00A37660"/>
    <w:rsid w:val="00A37862"/>
    <w:rsid w:val="00A37C8D"/>
    <w:rsid w:val="00A37D06"/>
    <w:rsid w:val="00A4034C"/>
    <w:rsid w:val="00A405BA"/>
    <w:rsid w:val="00A40796"/>
    <w:rsid w:val="00A4091F"/>
    <w:rsid w:val="00A40B48"/>
    <w:rsid w:val="00A40C33"/>
    <w:rsid w:val="00A41924"/>
    <w:rsid w:val="00A41A78"/>
    <w:rsid w:val="00A41E07"/>
    <w:rsid w:val="00A424E2"/>
    <w:rsid w:val="00A42FC5"/>
    <w:rsid w:val="00A4338F"/>
    <w:rsid w:val="00A43BED"/>
    <w:rsid w:val="00A442D9"/>
    <w:rsid w:val="00A4469A"/>
    <w:rsid w:val="00A44F98"/>
    <w:rsid w:val="00A4535D"/>
    <w:rsid w:val="00A45C91"/>
    <w:rsid w:val="00A45CD2"/>
    <w:rsid w:val="00A45EAB"/>
    <w:rsid w:val="00A4616F"/>
    <w:rsid w:val="00A464C4"/>
    <w:rsid w:val="00A46546"/>
    <w:rsid w:val="00A46731"/>
    <w:rsid w:val="00A46D1E"/>
    <w:rsid w:val="00A46DD0"/>
    <w:rsid w:val="00A46EE1"/>
    <w:rsid w:val="00A46F34"/>
    <w:rsid w:val="00A47119"/>
    <w:rsid w:val="00A47260"/>
    <w:rsid w:val="00A47915"/>
    <w:rsid w:val="00A47E39"/>
    <w:rsid w:val="00A47F58"/>
    <w:rsid w:val="00A50090"/>
    <w:rsid w:val="00A50531"/>
    <w:rsid w:val="00A50566"/>
    <w:rsid w:val="00A50666"/>
    <w:rsid w:val="00A507A0"/>
    <w:rsid w:val="00A507BC"/>
    <w:rsid w:val="00A508CC"/>
    <w:rsid w:val="00A50F8A"/>
    <w:rsid w:val="00A51321"/>
    <w:rsid w:val="00A5150C"/>
    <w:rsid w:val="00A516F1"/>
    <w:rsid w:val="00A51732"/>
    <w:rsid w:val="00A51760"/>
    <w:rsid w:val="00A517F1"/>
    <w:rsid w:val="00A52DCF"/>
    <w:rsid w:val="00A52EFE"/>
    <w:rsid w:val="00A53137"/>
    <w:rsid w:val="00A533DC"/>
    <w:rsid w:val="00A5346A"/>
    <w:rsid w:val="00A53807"/>
    <w:rsid w:val="00A539C2"/>
    <w:rsid w:val="00A539E6"/>
    <w:rsid w:val="00A53B40"/>
    <w:rsid w:val="00A53C75"/>
    <w:rsid w:val="00A53D98"/>
    <w:rsid w:val="00A53DD7"/>
    <w:rsid w:val="00A53F9D"/>
    <w:rsid w:val="00A54634"/>
    <w:rsid w:val="00A546AD"/>
    <w:rsid w:val="00A5475D"/>
    <w:rsid w:val="00A549AC"/>
    <w:rsid w:val="00A54C05"/>
    <w:rsid w:val="00A54C07"/>
    <w:rsid w:val="00A55716"/>
    <w:rsid w:val="00A561AD"/>
    <w:rsid w:val="00A562D0"/>
    <w:rsid w:val="00A56308"/>
    <w:rsid w:val="00A56348"/>
    <w:rsid w:val="00A5644E"/>
    <w:rsid w:val="00A56A21"/>
    <w:rsid w:val="00A56EE6"/>
    <w:rsid w:val="00A57216"/>
    <w:rsid w:val="00A60239"/>
    <w:rsid w:val="00A60461"/>
    <w:rsid w:val="00A60D81"/>
    <w:rsid w:val="00A61359"/>
    <w:rsid w:val="00A61554"/>
    <w:rsid w:val="00A617F5"/>
    <w:rsid w:val="00A61816"/>
    <w:rsid w:val="00A6231D"/>
    <w:rsid w:val="00A625B7"/>
    <w:rsid w:val="00A62A7A"/>
    <w:rsid w:val="00A62CDC"/>
    <w:rsid w:val="00A62D26"/>
    <w:rsid w:val="00A62EF4"/>
    <w:rsid w:val="00A630C9"/>
    <w:rsid w:val="00A63268"/>
    <w:rsid w:val="00A634BE"/>
    <w:rsid w:val="00A6360D"/>
    <w:rsid w:val="00A63867"/>
    <w:rsid w:val="00A63909"/>
    <w:rsid w:val="00A63CCA"/>
    <w:rsid w:val="00A63E90"/>
    <w:rsid w:val="00A64598"/>
    <w:rsid w:val="00A64626"/>
    <w:rsid w:val="00A647B8"/>
    <w:rsid w:val="00A648A6"/>
    <w:rsid w:val="00A649DF"/>
    <w:rsid w:val="00A64AB3"/>
    <w:rsid w:val="00A64B6D"/>
    <w:rsid w:val="00A6530E"/>
    <w:rsid w:val="00A65650"/>
    <w:rsid w:val="00A65752"/>
    <w:rsid w:val="00A65883"/>
    <w:rsid w:val="00A65D77"/>
    <w:rsid w:val="00A66048"/>
    <w:rsid w:val="00A66049"/>
    <w:rsid w:val="00A663CC"/>
    <w:rsid w:val="00A66401"/>
    <w:rsid w:val="00A66F89"/>
    <w:rsid w:val="00A673F1"/>
    <w:rsid w:val="00A67817"/>
    <w:rsid w:val="00A67881"/>
    <w:rsid w:val="00A679AF"/>
    <w:rsid w:val="00A679BF"/>
    <w:rsid w:val="00A67A46"/>
    <w:rsid w:val="00A67C34"/>
    <w:rsid w:val="00A70139"/>
    <w:rsid w:val="00A70D19"/>
    <w:rsid w:val="00A71585"/>
    <w:rsid w:val="00A715F8"/>
    <w:rsid w:val="00A71AD4"/>
    <w:rsid w:val="00A71C26"/>
    <w:rsid w:val="00A72313"/>
    <w:rsid w:val="00A7252D"/>
    <w:rsid w:val="00A72A4C"/>
    <w:rsid w:val="00A72E66"/>
    <w:rsid w:val="00A72F4A"/>
    <w:rsid w:val="00A7309C"/>
    <w:rsid w:val="00A73135"/>
    <w:rsid w:val="00A73691"/>
    <w:rsid w:val="00A73EA4"/>
    <w:rsid w:val="00A7473C"/>
    <w:rsid w:val="00A74FF2"/>
    <w:rsid w:val="00A751F1"/>
    <w:rsid w:val="00A754FB"/>
    <w:rsid w:val="00A75508"/>
    <w:rsid w:val="00A7583D"/>
    <w:rsid w:val="00A759D1"/>
    <w:rsid w:val="00A76268"/>
    <w:rsid w:val="00A7637A"/>
    <w:rsid w:val="00A7644C"/>
    <w:rsid w:val="00A7656E"/>
    <w:rsid w:val="00A76A9A"/>
    <w:rsid w:val="00A76C04"/>
    <w:rsid w:val="00A77346"/>
    <w:rsid w:val="00A7788A"/>
    <w:rsid w:val="00A77986"/>
    <w:rsid w:val="00A779F3"/>
    <w:rsid w:val="00A77C23"/>
    <w:rsid w:val="00A77D42"/>
    <w:rsid w:val="00A77EF4"/>
    <w:rsid w:val="00A8029F"/>
    <w:rsid w:val="00A80CA7"/>
    <w:rsid w:val="00A80F9A"/>
    <w:rsid w:val="00A81274"/>
    <w:rsid w:val="00A812F9"/>
    <w:rsid w:val="00A81E51"/>
    <w:rsid w:val="00A82015"/>
    <w:rsid w:val="00A822A8"/>
    <w:rsid w:val="00A8247F"/>
    <w:rsid w:val="00A82AF3"/>
    <w:rsid w:val="00A82CDB"/>
    <w:rsid w:val="00A834A6"/>
    <w:rsid w:val="00A839DF"/>
    <w:rsid w:val="00A83B85"/>
    <w:rsid w:val="00A83C25"/>
    <w:rsid w:val="00A83D06"/>
    <w:rsid w:val="00A83D81"/>
    <w:rsid w:val="00A8473D"/>
    <w:rsid w:val="00A848DB"/>
    <w:rsid w:val="00A84C96"/>
    <w:rsid w:val="00A855F8"/>
    <w:rsid w:val="00A85639"/>
    <w:rsid w:val="00A856C2"/>
    <w:rsid w:val="00A859ED"/>
    <w:rsid w:val="00A85B88"/>
    <w:rsid w:val="00A85F9A"/>
    <w:rsid w:val="00A8654E"/>
    <w:rsid w:val="00A86887"/>
    <w:rsid w:val="00A8756A"/>
    <w:rsid w:val="00A876AC"/>
    <w:rsid w:val="00A87874"/>
    <w:rsid w:val="00A878A6"/>
    <w:rsid w:val="00A9041A"/>
    <w:rsid w:val="00A907C4"/>
    <w:rsid w:val="00A90AEC"/>
    <w:rsid w:val="00A90D4A"/>
    <w:rsid w:val="00A91399"/>
    <w:rsid w:val="00A91508"/>
    <w:rsid w:val="00A91E0E"/>
    <w:rsid w:val="00A9288C"/>
    <w:rsid w:val="00A92C16"/>
    <w:rsid w:val="00A92C30"/>
    <w:rsid w:val="00A92C48"/>
    <w:rsid w:val="00A932F7"/>
    <w:rsid w:val="00A934A4"/>
    <w:rsid w:val="00A936E8"/>
    <w:rsid w:val="00A93789"/>
    <w:rsid w:val="00A937DC"/>
    <w:rsid w:val="00A93806"/>
    <w:rsid w:val="00A93B17"/>
    <w:rsid w:val="00A9415D"/>
    <w:rsid w:val="00A94270"/>
    <w:rsid w:val="00A94F2E"/>
    <w:rsid w:val="00A95985"/>
    <w:rsid w:val="00A95A12"/>
    <w:rsid w:val="00A95B02"/>
    <w:rsid w:val="00A95FCA"/>
    <w:rsid w:val="00A96304"/>
    <w:rsid w:val="00A96914"/>
    <w:rsid w:val="00A96C0B"/>
    <w:rsid w:val="00A96D9C"/>
    <w:rsid w:val="00A9701F"/>
    <w:rsid w:val="00A97253"/>
    <w:rsid w:val="00A97268"/>
    <w:rsid w:val="00A97472"/>
    <w:rsid w:val="00A97AA2"/>
    <w:rsid w:val="00A97B76"/>
    <w:rsid w:val="00A97F20"/>
    <w:rsid w:val="00AA0A35"/>
    <w:rsid w:val="00AA0CC0"/>
    <w:rsid w:val="00AA1190"/>
    <w:rsid w:val="00AA1776"/>
    <w:rsid w:val="00AA1A22"/>
    <w:rsid w:val="00AA1D43"/>
    <w:rsid w:val="00AA2084"/>
    <w:rsid w:val="00AA232B"/>
    <w:rsid w:val="00AA23CC"/>
    <w:rsid w:val="00AA2701"/>
    <w:rsid w:val="00AA2761"/>
    <w:rsid w:val="00AA2BFD"/>
    <w:rsid w:val="00AA2D25"/>
    <w:rsid w:val="00AA30CD"/>
    <w:rsid w:val="00AA3186"/>
    <w:rsid w:val="00AA376B"/>
    <w:rsid w:val="00AA37D2"/>
    <w:rsid w:val="00AA40E5"/>
    <w:rsid w:val="00AA40FE"/>
    <w:rsid w:val="00AA47FC"/>
    <w:rsid w:val="00AA4814"/>
    <w:rsid w:val="00AA495E"/>
    <w:rsid w:val="00AA498C"/>
    <w:rsid w:val="00AA4EA6"/>
    <w:rsid w:val="00AA5259"/>
    <w:rsid w:val="00AA58C1"/>
    <w:rsid w:val="00AA5B6C"/>
    <w:rsid w:val="00AA5C95"/>
    <w:rsid w:val="00AA6045"/>
    <w:rsid w:val="00AA612C"/>
    <w:rsid w:val="00AA63F9"/>
    <w:rsid w:val="00AA6A1D"/>
    <w:rsid w:val="00AA70C8"/>
    <w:rsid w:val="00AB015D"/>
    <w:rsid w:val="00AB04FE"/>
    <w:rsid w:val="00AB0FDE"/>
    <w:rsid w:val="00AB133C"/>
    <w:rsid w:val="00AB1471"/>
    <w:rsid w:val="00AB15DA"/>
    <w:rsid w:val="00AB1838"/>
    <w:rsid w:val="00AB1BCF"/>
    <w:rsid w:val="00AB1C6C"/>
    <w:rsid w:val="00AB1F2B"/>
    <w:rsid w:val="00AB2014"/>
    <w:rsid w:val="00AB20E2"/>
    <w:rsid w:val="00AB23A0"/>
    <w:rsid w:val="00AB2CDC"/>
    <w:rsid w:val="00AB3649"/>
    <w:rsid w:val="00AB382B"/>
    <w:rsid w:val="00AB3BD8"/>
    <w:rsid w:val="00AB451F"/>
    <w:rsid w:val="00AB4990"/>
    <w:rsid w:val="00AB49BE"/>
    <w:rsid w:val="00AB5A6E"/>
    <w:rsid w:val="00AB5C77"/>
    <w:rsid w:val="00AB5FE5"/>
    <w:rsid w:val="00AB69D5"/>
    <w:rsid w:val="00AB6D1D"/>
    <w:rsid w:val="00AB7580"/>
    <w:rsid w:val="00AB777B"/>
    <w:rsid w:val="00AB7DBE"/>
    <w:rsid w:val="00AB7EDF"/>
    <w:rsid w:val="00AC0205"/>
    <w:rsid w:val="00AC056F"/>
    <w:rsid w:val="00AC062C"/>
    <w:rsid w:val="00AC0904"/>
    <w:rsid w:val="00AC0C0A"/>
    <w:rsid w:val="00AC0D07"/>
    <w:rsid w:val="00AC1130"/>
    <w:rsid w:val="00AC1407"/>
    <w:rsid w:val="00AC1464"/>
    <w:rsid w:val="00AC17E7"/>
    <w:rsid w:val="00AC1BA1"/>
    <w:rsid w:val="00AC1C38"/>
    <w:rsid w:val="00AC2623"/>
    <w:rsid w:val="00AC29F3"/>
    <w:rsid w:val="00AC2AC3"/>
    <w:rsid w:val="00AC2B5A"/>
    <w:rsid w:val="00AC2E49"/>
    <w:rsid w:val="00AC33CB"/>
    <w:rsid w:val="00AC371D"/>
    <w:rsid w:val="00AC3984"/>
    <w:rsid w:val="00AC41B8"/>
    <w:rsid w:val="00AC43FF"/>
    <w:rsid w:val="00AC4A3E"/>
    <w:rsid w:val="00AC4AE9"/>
    <w:rsid w:val="00AC4B20"/>
    <w:rsid w:val="00AC4C18"/>
    <w:rsid w:val="00AC55B6"/>
    <w:rsid w:val="00AC5707"/>
    <w:rsid w:val="00AC5967"/>
    <w:rsid w:val="00AC5B9B"/>
    <w:rsid w:val="00AC5E5D"/>
    <w:rsid w:val="00AC5E97"/>
    <w:rsid w:val="00AC5EE4"/>
    <w:rsid w:val="00AC6B7E"/>
    <w:rsid w:val="00AC7610"/>
    <w:rsid w:val="00AC76CD"/>
    <w:rsid w:val="00AC7A6A"/>
    <w:rsid w:val="00AC7BE6"/>
    <w:rsid w:val="00AC7CFE"/>
    <w:rsid w:val="00AD0351"/>
    <w:rsid w:val="00AD0808"/>
    <w:rsid w:val="00AD0B7C"/>
    <w:rsid w:val="00AD1814"/>
    <w:rsid w:val="00AD1979"/>
    <w:rsid w:val="00AD1D06"/>
    <w:rsid w:val="00AD1FA2"/>
    <w:rsid w:val="00AD2106"/>
    <w:rsid w:val="00AD24A0"/>
    <w:rsid w:val="00AD2971"/>
    <w:rsid w:val="00AD354A"/>
    <w:rsid w:val="00AD3716"/>
    <w:rsid w:val="00AD454F"/>
    <w:rsid w:val="00AD4773"/>
    <w:rsid w:val="00AD4D92"/>
    <w:rsid w:val="00AD54FF"/>
    <w:rsid w:val="00AD5D2A"/>
    <w:rsid w:val="00AD5DA6"/>
    <w:rsid w:val="00AD5E13"/>
    <w:rsid w:val="00AD5EF2"/>
    <w:rsid w:val="00AD64DE"/>
    <w:rsid w:val="00AD656A"/>
    <w:rsid w:val="00AD696E"/>
    <w:rsid w:val="00AD6F08"/>
    <w:rsid w:val="00AD70E8"/>
    <w:rsid w:val="00AD717E"/>
    <w:rsid w:val="00AD7238"/>
    <w:rsid w:val="00AD738A"/>
    <w:rsid w:val="00AD7582"/>
    <w:rsid w:val="00AD75BA"/>
    <w:rsid w:val="00AD7A1A"/>
    <w:rsid w:val="00AD7C35"/>
    <w:rsid w:val="00AE0603"/>
    <w:rsid w:val="00AE0829"/>
    <w:rsid w:val="00AE0BD2"/>
    <w:rsid w:val="00AE0C68"/>
    <w:rsid w:val="00AE0DC5"/>
    <w:rsid w:val="00AE0DC7"/>
    <w:rsid w:val="00AE12CC"/>
    <w:rsid w:val="00AE1814"/>
    <w:rsid w:val="00AE1C98"/>
    <w:rsid w:val="00AE1CD4"/>
    <w:rsid w:val="00AE2069"/>
    <w:rsid w:val="00AE2C74"/>
    <w:rsid w:val="00AE42F0"/>
    <w:rsid w:val="00AE493D"/>
    <w:rsid w:val="00AE4970"/>
    <w:rsid w:val="00AE5281"/>
    <w:rsid w:val="00AE55CE"/>
    <w:rsid w:val="00AE56A4"/>
    <w:rsid w:val="00AE56E1"/>
    <w:rsid w:val="00AE57EB"/>
    <w:rsid w:val="00AE5A80"/>
    <w:rsid w:val="00AE6540"/>
    <w:rsid w:val="00AE6B27"/>
    <w:rsid w:val="00AE6F57"/>
    <w:rsid w:val="00AE71C1"/>
    <w:rsid w:val="00AE7253"/>
    <w:rsid w:val="00AE74F9"/>
    <w:rsid w:val="00AE7E34"/>
    <w:rsid w:val="00AE7EF5"/>
    <w:rsid w:val="00AF04B2"/>
    <w:rsid w:val="00AF05D0"/>
    <w:rsid w:val="00AF0906"/>
    <w:rsid w:val="00AF09EA"/>
    <w:rsid w:val="00AF1035"/>
    <w:rsid w:val="00AF17CA"/>
    <w:rsid w:val="00AF191A"/>
    <w:rsid w:val="00AF1E5D"/>
    <w:rsid w:val="00AF210E"/>
    <w:rsid w:val="00AF21F8"/>
    <w:rsid w:val="00AF26DC"/>
    <w:rsid w:val="00AF299F"/>
    <w:rsid w:val="00AF2FB8"/>
    <w:rsid w:val="00AF316B"/>
    <w:rsid w:val="00AF3A96"/>
    <w:rsid w:val="00AF4565"/>
    <w:rsid w:val="00AF5268"/>
    <w:rsid w:val="00AF535E"/>
    <w:rsid w:val="00AF5632"/>
    <w:rsid w:val="00AF5CD9"/>
    <w:rsid w:val="00AF5DF5"/>
    <w:rsid w:val="00AF5F13"/>
    <w:rsid w:val="00AF6121"/>
    <w:rsid w:val="00AF621C"/>
    <w:rsid w:val="00AF6328"/>
    <w:rsid w:val="00AF6BEA"/>
    <w:rsid w:val="00AF745D"/>
    <w:rsid w:val="00AF7501"/>
    <w:rsid w:val="00AF757B"/>
    <w:rsid w:val="00AF75A4"/>
    <w:rsid w:val="00AF7DA8"/>
    <w:rsid w:val="00AF7F55"/>
    <w:rsid w:val="00B002B3"/>
    <w:rsid w:val="00B0053E"/>
    <w:rsid w:val="00B007A9"/>
    <w:rsid w:val="00B00ABE"/>
    <w:rsid w:val="00B00DA3"/>
    <w:rsid w:val="00B00F9B"/>
    <w:rsid w:val="00B0138A"/>
    <w:rsid w:val="00B01D2C"/>
    <w:rsid w:val="00B01EF2"/>
    <w:rsid w:val="00B01FC0"/>
    <w:rsid w:val="00B021E4"/>
    <w:rsid w:val="00B022B4"/>
    <w:rsid w:val="00B02355"/>
    <w:rsid w:val="00B02C70"/>
    <w:rsid w:val="00B02CA3"/>
    <w:rsid w:val="00B033FE"/>
    <w:rsid w:val="00B03836"/>
    <w:rsid w:val="00B0390A"/>
    <w:rsid w:val="00B03F23"/>
    <w:rsid w:val="00B04051"/>
    <w:rsid w:val="00B0431C"/>
    <w:rsid w:val="00B044EE"/>
    <w:rsid w:val="00B04676"/>
    <w:rsid w:val="00B049E4"/>
    <w:rsid w:val="00B04F8A"/>
    <w:rsid w:val="00B0517F"/>
    <w:rsid w:val="00B052CA"/>
    <w:rsid w:val="00B052EE"/>
    <w:rsid w:val="00B058AE"/>
    <w:rsid w:val="00B0591F"/>
    <w:rsid w:val="00B059D7"/>
    <w:rsid w:val="00B0635F"/>
    <w:rsid w:val="00B067B9"/>
    <w:rsid w:val="00B06FFC"/>
    <w:rsid w:val="00B0709B"/>
    <w:rsid w:val="00B07880"/>
    <w:rsid w:val="00B07895"/>
    <w:rsid w:val="00B10028"/>
    <w:rsid w:val="00B10193"/>
    <w:rsid w:val="00B1042A"/>
    <w:rsid w:val="00B107E2"/>
    <w:rsid w:val="00B107F5"/>
    <w:rsid w:val="00B10815"/>
    <w:rsid w:val="00B1099E"/>
    <w:rsid w:val="00B10DF5"/>
    <w:rsid w:val="00B10FA5"/>
    <w:rsid w:val="00B11030"/>
    <w:rsid w:val="00B11483"/>
    <w:rsid w:val="00B1193C"/>
    <w:rsid w:val="00B11B98"/>
    <w:rsid w:val="00B122DC"/>
    <w:rsid w:val="00B124FA"/>
    <w:rsid w:val="00B125A9"/>
    <w:rsid w:val="00B1269B"/>
    <w:rsid w:val="00B12B88"/>
    <w:rsid w:val="00B12BC8"/>
    <w:rsid w:val="00B12C0E"/>
    <w:rsid w:val="00B1331B"/>
    <w:rsid w:val="00B134E7"/>
    <w:rsid w:val="00B13511"/>
    <w:rsid w:val="00B13748"/>
    <w:rsid w:val="00B137AC"/>
    <w:rsid w:val="00B13C9D"/>
    <w:rsid w:val="00B1418D"/>
    <w:rsid w:val="00B149ED"/>
    <w:rsid w:val="00B14D09"/>
    <w:rsid w:val="00B15EC0"/>
    <w:rsid w:val="00B16434"/>
    <w:rsid w:val="00B166CF"/>
    <w:rsid w:val="00B16997"/>
    <w:rsid w:val="00B16ADE"/>
    <w:rsid w:val="00B16BF9"/>
    <w:rsid w:val="00B16EC9"/>
    <w:rsid w:val="00B1727C"/>
    <w:rsid w:val="00B1736D"/>
    <w:rsid w:val="00B173EF"/>
    <w:rsid w:val="00B17502"/>
    <w:rsid w:val="00B1776F"/>
    <w:rsid w:val="00B17936"/>
    <w:rsid w:val="00B17A4C"/>
    <w:rsid w:val="00B17FA7"/>
    <w:rsid w:val="00B21840"/>
    <w:rsid w:val="00B21BDE"/>
    <w:rsid w:val="00B21C65"/>
    <w:rsid w:val="00B223DC"/>
    <w:rsid w:val="00B224C4"/>
    <w:rsid w:val="00B225DA"/>
    <w:rsid w:val="00B22B87"/>
    <w:rsid w:val="00B23771"/>
    <w:rsid w:val="00B238D2"/>
    <w:rsid w:val="00B23CE0"/>
    <w:rsid w:val="00B24205"/>
    <w:rsid w:val="00B2479A"/>
    <w:rsid w:val="00B24984"/>
    <w:rsid w:val="00B24A24"/>
    <w:rsid w:val="00B24C0A"/>
    <w:rsid w:val="00B24E39"/>
    <w:rsid w:val="00B24E8B"/>
    <w:rsid w:val="00B24F7E"/>
    <w:rsid w:val="00B259C4"/>
    <w:rsid w:val="00B25D9D"/>
    <w:rsid w:val="00B26052"/>
    <w:rsid w:val="00B2614C"/>
    <w:rsid w:val="00B2624A"/>
    <w:rsid w:val="00B264C0"/>
    <w:rsid w:val="00B269DE"/>
    <w:rsid w:val="00B26FEB"/>
    <w:rsid w:val="00B2726A"/>
    <w:rsid w:val="00B273ED"/>
    <w:rsid w:val="00B2742F"/>
    <w:rsid w:val="00B278E6"/>
    <w:rsid w:val="00B2790E"/>
    <w:rsid w:val="00B3010D"/>
    <w:rsid w:val="00B30429"/>
    <w:rsid w:val="00B3063E"/>
    <w:rsid w:val="00B30771"/>
    <w:rsid w:val="00B30D91"/>
    <w:rsid w:val="00B30EDC"/>
    <w:rsid w:val="00B31005"/>
    <w:rsid w:val="00B314F8"/>
    <w:rsid w:val="00B31593"/>
    <w:rsid w:val="00B318E8"/>
    <w:rsid w:val="00B31A05"/>
    <w:rsid w:val="00B31AEB"/>
    <w:rsid w:val="00B31CFD"/>
    <w:rsid w:val="00B32296"/>
    <w:rsid w:val="00B322CE"/>
    <w:rsid w:val="00B3230A"/>
    <w:rsid w:val="00B328AF"/>
    <w:rsid w:val="00B32EB0"/>
    <w:rsid w:val="00B32FC7"/>
    <w:rsid w:val="00B330B4"/>
    <w:rsid w:val="00B33165"/>
    <w:rsid w:val="00B33407"/>
    <w:rsid w:val="00B3365D"/>
    <w:rsid w:val="00B342BC"/>
    <w:rsid w:val="00B3441A"/>
    <w:rsid w:val="00B345FE"/>
    <w:rsid w:val="00B349C0"/>
    <w:rsid w:val="00B34B8C"/>
    <w:rsid w:val="00B34D35"/>
    <w:rsid w:val="00B34F57"/>
    <w:rsid w:val="00B34F92"/>
    <w:rsid w:val="00B35000"/>
    <w:rsid w:val="00B3504F"/>
    <w:rsid w:val="00B35298"/>
    <w:rsid w:val="00B3547B"/>
    <w:rsid w:val="00B35480"/>
    <w:rsid w:val="00B355F4"/>
    <w:rsid w:val="00B358A1"/>
    <w:rsid w:val="00B35D79"/>
    <w:rsid w:val="00B3652D"/>
    <w:rsid w:val="00B36533"/>
    <w:rsid w:val="00B367CC"/>
    <w:rsid w:val="00B368CA"/>
    <w:rsid w:val="00B3767E"/>
    <w:rsid w:val="00B37A86"/>
    <w:rsid w:val="00B40142"/>
    <w:rsid w:val="00B40166"/>
    <w:rsid w:val="00B402A4"/>
    <w:rsid w:val="00B410D5"/>
    <w:rsid w:val="00B41597"/>
    <w:rsid w:val="00B41A79"/>
    <w:rsid w:val="00B41C16"/>
    <w:rsid w:val="00B41C9C"/>
    <w:rsid w:val="00B4234D"/>
    <w:rsid w:val="00B42553"/>
    <w:rsid w:val="00B42C6B"/>
    <w:rsid w:val="00B42FD5"/>
    <w:rsid w:val="00B43030"/>
    <w:rsid w:val="00B4306A"/>
    <w:rsid w:val="00B43786"/>
    <w:rsid w:val="00B43A69"/>
    <w:rsid w:val="00B43C4D"/>
    <w:rsid w:val="00B448C7"/>
    <w:rsid w:val="00B44915"/>
    <w:rsid w:val="00B44E7F"/>
    <w:rsid w:val="00B44EBF"/>
    <w:rsid w:val="00B44F16"/>
    <w:rsid w:val="00B45075"/>
    <w:rsid w:val="00B45155"/>
    <w:rsid w:val="00B451BF"/>
    <w:rsid w:val="00B45224"/>
    <w:rsid w:val="00B45560"/>
    <w:rsid w:val="00B45C85"/>
    <w:rsid w:val="00B45E24"/>
    <w:rsid w:val="00B45F49"/>
    <w:rsid w:val="00B46330"/>
    <w:rsid w:val="00B4651D"/>
    <w:rsid w:val="00B46B12"/>
    <w:rsid w:val="00B46CF5"/>
    <w:rsid w:val="00B47051"/>
    <w:rsid w:val="00B4734E"/>
    <w:rsid w:val="00B4737F"/>
    <w:rsid w:val="00B47D1D"/>
    <w:rsid w:val="00B5002F"/>
    <w:rsid w:val="00B5026C"/>
    <w:rsid w:val="00B50F7A"/>
    <w:rsid w:val="00B51093"/>
    <w:rsid w:val="00B510F0"/>
    <w:rsid w:val="00B515BA"/>
    <w:rsid w:val="00B5170A"/>
    <w:rsid w:val="00B51C1F"/>
    <w:rsid w:val="00B51CA6"/>
    <w:rsid w:val="00B51D05"/>
    <w:rsid w:val="00B524EE"/>
    <w:rsid w:val="00B529D0"/>
    <w:rsid w:val="00B52BA7"/>
    <w:rsid w:val="00B52F65"/>
    <w:rsid w:val="00B5350D"/>
    <w:rsid w:val="00B53B35"/>
    <w:rsid w:val="00B53EB9"/>
    <w:rsid w:val="00B54091"/>
    <w:rsid w:val="00B54113"/>
    <w:rsid w:val="00B54484"/>
    <w:rsid w:val="00B54582"/>
    <w:rsid w:val="00B5491A"/>
    <w:rsid w:val="00B54B1E"/>
    <w:rsid w:val="00B54B1F"/>
    <w:rsid w:val="00B54CC0"/>
    <w:rsid w:val="00B54E00"/>
    <w:rsid w:val="00B54E0C"/>
    <w:rsid w:val="00B54FFC"/>
    <w:rsid w:val="00B5554B"/>
    <w:rsid w:val="00B558E7"/>
    <w:rsid w:val="00B55C12"/>
    <w:rsid w:val="00B56011"/>
    <w:rsid w:val="00B56790"/>
    <w:rsid w:val="00B56793"/>
    <w:rsid w:val="00B56CF7"/>
    <w:rsid w:val="00B56D3D"/>
    <w:rsid w:val="00B56DCA"/>
    <w:rsid w:val="00B56DD7"/>
    <w:rsid w:val="00B56F3A"/>
    <w:rsid w:val="00B57322"/>
    <w:rsid w:val="00B576FB"/>
    <w:rsid w:val="00B607D0"/>
    <w:rsid w:val="00B6081D"/>
    <w:rsid w:val="00B60B3D"/>
    <w:rsid w:val="00B60CE0"/>
    <w:rsid w:val="00B60D3C"/>
    <w:rsid w:val="00B614BD"/>
    <w:rsid w:val="00B614F0"/>
    <w:rsid w:val="00B619E3"/>
    <w:rsid w:val="00B61C91"/>
    <w:rsid w:val="00B6212F"/>
    <w:rsid w:val="00B621E3"/>
    <w:rsid w:val="00B62508"/>
    <w:rsid w:val="00B62962"/>
    <w:rsid w:val="00B62BCE"/>
    <w:rsid w:val="00B62C7D"/>
    <w:rsid w:val="00B63039"/>
    <w:rsid w:val="00B63922"/>
    <w:rsid w:val="00B63C98"/>
    <w:rsid w:val="00B63ECC"/>
    <w:rsid w:val="00B6469D"/>
    <w:rsid w:val="00B64C77"/>
    <w:rsid w:val="00B64E23"/>
    <w:rsid w:val="00B65119"/>
    <w:rsid w:val="00B65124"/>
    <w:rsid w:val="00B65174"/>
    <w:rsid w:val="00B652B2"/>
    <w:rsid w:val="00B65310"/>
    <w:rsid w:val="00B6535A"/>
    <w:rsid w:val="00B6543C"/>
    <w:rsid w:val="00B659F3"/>
    <w:rsid w:val="00B669D3"/>
    <w:rsid w:val="00B66A39"/>
    <w:rsid w:val="00B66C43"/>
    <w:rsid w:val="00B66CBB"/>
    <w:rsid w:val="00B66F78"/>
    <w:rsid w:val="00B671B0"/>
    <w:rsid w:val="00B67352"/>
    <w:rsid w:val="00B6760E"/>
    <w:rsid w:val="00B6787C"/>
    <w:rsid w:val="00B67CC2"/>
    <w:rsid w:val="00B67ECA"/>
    <w:rsid w:val="00B70055"/>
    <w:rsid w:val="00B7061F"/>
    <w:rsid w:val="00B70945"/>
    <w:rsid w:val="00B70F84"/>
    <w:rsid w:val="00B71E09"/>
    <w:rsid w:val="00B7208B"/>
    <w:rsid w:val="00B72A79"/>
    <w:rsid w:val="00B72F2D"/>
    <w:rsid w:val="00B73402"/>
    <w:rsid w:val="00B735BA"/>
    <w:rsid w:val="00B739A9"/>
    <w:rsid w:val="00B73B25"/>
    <w:rsid w:val="00B73E67"/>
    <w:rsid w:val="00B74B10"/>
    <w:rsid w:val="00B74B20"/>
    <w:rsid w:val="00B74CCF"/>
    <w:rsid w:val="00B75B83"/>
    <w:rsid w:val="00B75B8C"/>
    <w:rsid w:val="00B75E11"/>
    <w:rsid w:val="00B75FC3"/>
    <w:rsid w:val="00B76023"/>
    <w:rsid w:val="00B761CA"/>
    <w:rsid w:val="00B763B3"/>
    <w:rsid w:val="00B763C4"/>
    <w:rsid w:val="00B76891"/>
    <w:rsid w:val="00B76C1D"/>
    <w:rsid w:val="00B770F1"/>
    <w:rsid w:val="00B77194"/>
    <w:rsid w:val="00B771C0"/>
    <w:rsid w:val="00B773BF"/>
    <w:rsid w:val="00B77523"/>
    <w:rsid w:val="00B77722"/>
    <w:rsid w:val="00B80351"/>
    <w:rsid w:val="00B80379"/>
    <w:rsid w:val="00B80596"/>
    <w:rsid w:val="00B805DF"/>
    <w:rsid w:val="00B80885"/>
    <w:rsid w:val="00B80A22"/>
    <w:rsid w:val="00B80E5C"/>
    <w:rsid w:val="00B81500"/>
    <w:rsid w:val="00B815D9"/>
    <w:rsid w:val="00B820FD"/>
    <w:rsid w:val="00B82153"/>
    <w:rsid w:val="00B82996"/>
    <w:rsid w:val="00B82D45"/>
    <w:rsid w:val="00B82F83"/>
    <w:rsid w:val="00B83032"/>
    <w:rsid w:val="00B8376F"/>
    <w:rsid w:val="00B8388F"/>
    <w:rsid w:val="00B8420A"/>
    <w:rsid w:val="00B84298"/>
    <w:rsid w:val="00B84331"/>
    <w:rsid w:val="00B843EC"/>
    <w:rsid w:val="00B848E5"/>
    <w:rsid w:val="00B84DCC"/>
    <w:rsid w:val="00B84DF0"/>
    <w:rsid w:val="00B85B9A"/>
    <w:rsid w:val="00B85D35"/>
    <w:rsid w:val="00B86158"/>
    <w:rsid w:val="00B86FA0"/>
    <w:rsid w:val="00B8746F"/>
    <w:rsid w:val="00B87774"/>
    <w:rsid w:val="00B90196"/>
    <w:rsid w:val="00B90624"/>
    <w:rsid w:val="00B9081E"/>
    <w:rsid w:val="00B9102E"/>
    <w:rsid w:val="00B91137"/>
    <w:rsid w:val="00B915BF"/>
    <w:rsid w:val="00B9162D"/>
    <w:rsid w:val="00B919E4"/>
    <w:rsid w:val="00B91A77"/>
    <w:rsid w:val="00B91B7F"/>
    <w:rsid w:val="00B91F1D"/>
    <w:rsid w:val="00B91F70"/>
    <w:rsid w:val="00B91FCA"/>
    <w:rsid w:val="00B91FD1"/>
    <w:rsid w:val="00B92A9E"/>
    <w:rsid w:val="00B92C6C"/>
    <w:rsid w:val="00B92D61"/>
    <w:rsid w:val="00B933D6"/>
    <w:rsid w:val="00B9446B"/>
    <w:rsid w:val="00B94648"/>
    <w:rsid w:val="00B9470F"/>
    <w:rsid w:val="00B9527D"/>
    <w:rsid w:val="00B95476"/>
    <w:rsid w:val="00B95650"/>
    <w:rsid w:val="00B95651"/>
    <w:rsid w:val="00B957AD"/>
    <w:rsid w:val="00B95981"/>
    <w:rsid w:val="00B95A53"/>
    <w:rsid w:val="00B95CE7"/>
    <w:rsid w:val="00B9604B"/>
    <w:rsid w:val="00B9658F"/>
    <w:rsid w:val="00B965D5"/>
    <w:rsid w:val="00B96B84"/>
    <w:rsid w:val="00B9707D"/>
    <w:rsid w:val="00B9711E"/>
    <w:rsid w:val="00B97496"/>
    <w:rsid w:val="00B977E2"/>
    <w:rsid w:val="00B97A22"/>
    <w:rsid w:val="00B97C82"/>
    <w:rsid w:val="00B97E90"/>
    <w:rsid w:val="00B97E9A"/>
    <w:rsid w:val="00BA0046"/>
    <w:rsid w:val="00BA025E"/>
    <w:rsid w:val="00BA0901"/>
    <w:rsid w:val="00BA09D1"/>
    <w:rsid w:val="00BA0F9D"/>
    <w:rsid w:val="00BA160B"/>
    <w:rsid w:val="00BA162F"/>
    <w:rsid w:val="00BA1668"/>
    <w:rsid w:val="00BA1BA3"/>
    <w:rsid w:val="00BA219B"/>
    <w:rsid w:val="00BA2683"/>
    <w:rsid w:val="00BA29C7"/>
    <w:rsid w:val="00BA2DCA"/>
    <w:rsid w:val="00BA2EC9"/>
    <w:rsid w:val="00BA2EDB"/>
    <w:rsid w:val="00BA2F25"/>
    <w:rsid w:val="00BA3182"/>
    <w:rsid w:val="00BA31B3"/>
    <w:rsid w:val="00BA3542"/>
    <w:rsid w:val="00BA3853"/>
    <w:rsid w:val="00BA3994"/>
    <w:rsid w:val="00BA3E4E"/>
    <w:rsid w:val="00BA40AB"/>
    <w:rsid w:val="00BA4376"/>
    <w:rsid w:val="00BA453C"/>
    <w:rsid w:val="00BA48F1"/>
    <w:rsid w:val="00BA49C1"/>
    <w:rsid w:val="00BA4B0A"/>
    <w:rsid w:val="00BA4F93"/>
    <w:rsid w:val="00BA4FAA"/>
    <w:rsid w:val="00BA52B6"/>
    <w:rsid w:val="00BA5501"/>
    <w:rsid w:val="00BA5725"/>
    <w:rsid w:val="00BA661C"/>
    <w:rsid w:val="00BA677F"/>
    <w:rsid w:val="00BA67A1"/>
    <w:rsid w:val="00BA6FB4"/>
    <w:rsid w:val="00BA7CE8"/>
    <w:rsid w:val="00BB0010"/>
    <w:rsid w:val="00BB0017"/>
    <w:rsid w:val="00BB1B3C"/>
    <w:rsid w:val="00BB1D70"/>
    <w:rsid w:val="00BB2106"/>
    <w:rsid w:val="00BB2295"/>
    <w:rsid w:val="00BB267E"/>
    <w:rsid w:val="00BB2727"/>
    <w:rsid w:val="00BB2887"/>
    <w:rsid w:val="00BB2FA8"/>
    <w:rsid w:val="00BB2FC3"/>
    <w:rsid w:val="00BB32F6"/>
    <w:rsid w:val="00BB34E0"/>
    <w:rsid w:val="00BB369D"/>
    <w:rsid w:val="00BB3B21"/>
    <w:rsid w:val="00BB3EF3"/>
    <w:rsid w:val="00BB484A"/>
    <w:rsid w:val="00BB4E03"/>
    <w:rsid w:val="00BB5B38"/>
    <w:rsid w:val="00BB5B86"/>
    <w:rsid w:val="00BB5C18"/>
    <w:rsid w:val="00BB5E49"/>
    <w:rsid w:val="00BB6199"/>
    <w:rsid w:val="00BB625A"/>
    <w:rsid w:val="00BB68C5"/>
    <w:rsid w:val="00BB68EC"/>
    <w:rsid w:val="00BB6A44"/>
    <w:rsid w:val="00BB6BEA"/>
    <w:rsid w:val="00BB6F10"/>
    <w:rsid w:val="00BB6F2B"/>
    <w:rsid w:val="00BB7044"/>
    <w:rsid w:val="00BB713A"/>
    <w:rsid w:val="00BB7B68"/>
    <w:rsid w:val="00BB7D3D"/>
    <w:rsid w:val="00BC0019"/>
    <w:rsid w:val="00BC016E"/>
    <w:rsid w:val="00BC01BC"/>
    <w:rsid w:val="00BC03C3"/>
    <w:rsid w:val="00BC081D"/>
    <w:rsid w:val="00BC09C1"/>
    <w:rsid w:val="00BC0B3E"/>
    <w:rsid w:val="00BC0E78"/>
    <w:rsid w:val="00BC0E85"/>
    <w:rsid w:val="00BC1076"/>
    <w:rsid w:val="00BC135F"/>
    <w:rsid w:val="00BC14E5"/>
    <w:rsid w:val="00BC17EE"/>
    <w:rsid w:val="00BC1ABB"/>
    <w:rsid w:val="00BC1C4D"/>
    <w:rsid w:val="00BC1C7D"/>
    <w:rsid w:val="00BC20C7"/>
    <w:rsid w:val="00BC21CF"/>
    <w:rsid w:val="00BC2329"/>
    <w:rsid w:val="00BC2BDA"/>
    <w:rsid w:val="00BC2CBA"/>
    <w:rsid w:val="00BC2D02"/>
    <w:rsid w:val="00BC2F2C"/>
    <w:rsid w:val="00BC3A13"/>
    <w:rsid w:val="00BC3A15"/>
    <w:rsid w:val="00BC3CE0"/>
    <w:rsid w:val="00BC419B"/>
    <w:rsid w:val="00BC4239"/>
    <w:rsid w:val="00BC4470"/>
    <w:rsid w:val="00BC4779"/>
    <w:rsid w:val="00BC48E9"/>
    <w:rsid w:val="00BC4A00"/>
    <w:rsid w:val="00BC4B0B"/>
    <w:rsid w:val="00BC4F0B"/>
    <w:rsid w:val="00BC5028"/>
    <w:rsid w:val="00BC5324"/>
    <w:rsid w:val="00BC549B"/>
    <w:rsid w:val="00BC5725"/>
    <w:rsid w:val="00BC63F3"/>
    <w:rsid w:val="00BC6407"/>
    <w:rsid w:val="00BC657D"/>
    <w:rsid w:val="00BC6B0E"/>
    <w:rsid w:val="00BC6B44"/>
    <w:rsid w:val="00BC6D60"/>
    <w:rsid w:val="00BC76F3"/>
    <w:rsid w:val="00BC7831"/>
    <w:rsid w:val="00BC7B4A"/>
    <w:rsid w:val="00BC7D81"/>
    <w:rsid w:val="00BD02C8"/>
    <w:rsid w:val="00BD02F5"/>
    <w:rsid w:val="00BD04E5"/>
    <w:rsid w:val="00BD061E"/>
    <w:rsid w:val="00BD065E"/>
    <w:rsid w:val="00BD06C4"/>
    <w:rsid w:val="00BD0AF5"/>
    <w:rsid w:val="00BD0BE6"/>
    <w:rsid w:val="00BD0FE2"/>
    <w:rsid w:val="00BD137B"/>
    <w:rsid w:val="00BD1630"/>
    <w:rsid w:val="00BD1756"/>
    <w:rsid w:val="00BD1853"/>
    <w:rsid w:val="00BD18C9"/>
    <w:rsid w:val="00BD1B5C"/>
    <w:rsid w:val="00BD1F08"/>
    <w:rsid w:val="00BD1F3D"/>
    <w:rsid w:val="00BD235E"/>
    <w:rsid w:val="00BD2BBF"/>
    <w:rsid w:val="00BD2BCB"/>
    <w:rsid w:val="00BD3374"/>
    <w:rsid w:val="00BD3397"/>
    <w:rsid w:val="00BD3471"/>
    <w:rsid w:val="00BD400A"/>
    <w:rsid w:val="00BD41CE"/>
    <w:rsid w:val="00BD43B6"/>
    <w:rsid w:val="00BD47C5"/>
    <w:rsid w:val="00BD49EB"/>
    <w:rsid w:val="00BD49FD"/>
    <w:rsid w:val="00BD506B"/>
    <w:rsid w:val="00BD5524"/>
    <w:rsid w:val="00BD57C7"/>
    <w:rsid w:val="00BD5B44"/>
    <w:rsid w:val="00BD60D5"/>
    <w:rsid w:val="00BD6553"/>
    <w:rsid w:val="00BD6A28"/>
    <w:rsid w:val="00BD7B8B"/>
    <w:rsid w:val="00BD7DEC"/>
    <w:rsid w:val="00BD7F8C"/>
    <w:rsid w:val="00BE01CE"/>
    <w:rsid w:val="00BE0464"/>
    <w:rsid w:val="00BE0D7C"/>
    <w:rsid w:val="00BE0EDB"/>
    <w:rsid w:val="00BE0F03"/>
    <w:rsid w:val="00BE1534"/>
    <w:rsid w:val="00BE1CE4"/>
    <w:rsid w:val="00BE1D11"/>
    <w:rsid w:val="00BE22F1"/>
    <w:rsid w:val="00BE25F0"/>
    <w:rsid w:val="00BE25F9"/>
    <w:rsid w:val="00BE2833"/>
    <w:rsid w:val="00BE32E0"/>
    <w:rsid w:val="00BE3827"/>
    <w:rsid w:val="00BE38D6"/>
    <w:rsid w:val="00BE3B1C"/>
    <w:rsid w:val="00BE3B1D"/>
    <w:rsid w:val="00BE3CA5"/>
    <w:rsid w:val="00BE4169"/>
    <w:rsid w:val="00BE41A9"/>
    <w:rsid w:val="00BE49CB"/>
    <w:rsid w:val="00BE4A75"/>
    <w:rsid w:val="00BE4B81"/>
    <w:rsid w:val="00BE4C57"/>
    <w:rsid w:val="00BE4CB1"/>
    <w:rsid w:val="00BE4F4A"/>
    <w:rsid w:val="00BE51C0"/>
    <w:rsid w:val="00BE547A"/>
    <w:rsid w:val="00BE54B7"/>
    <w:rsid w:val="00BE566C"/>
    <w:rsid w:val="00BE57F3"/>
    <w:rsid w:val="00BE5D89"/>
    <w:rsid w:val="00BE6552"/>
    <w:rsid w:val="00BE6754"/>
    <w:rsid w:val="00BE697C"/>
    <w:rsid w:val="00BE6B64"/>
    <w:rsid w:val="00BE6B6A"/>
    <w:rsid w:val="00BE6B7B"/>
    <w:rsid w:val="00BE6EC0"/>
    <w:rsid w:val="00BE71D8"/>
    <w:rsid w:val="00BE743C"/>
    <w:rsid w:val="00BE78B7"/>
    <w:rsid w:val="00BE7DB3"/>
    <w:rsid w:val="00BF035A"/>
    <w:rsid w:val="00BF0450"/>
    <w:rsid w:val="00BF0504"/>
    <w:rsid w:val="00BF05DE"/>
    <w:rsid w:val="00BF07F8"/>
    <w:rsid w:val="00BF08FE"/>
    <w:rsid w:val="00BF0CAA"/>
    <w:rsid w:val="00BF138B"/>
    <w:rsid w:val="00BF152E"/>
    <w:rsid w:val="00BF1678"/>
    <w:rsid w:val="00BF1C5F"/>
    <w:rsid w:val="00BF1E05"/>
    <w:rsid w:val="00BF2768"/>
    <w:rsid w:val="00BF2B15"/>
    <w:rsid w:val="00BF2F86"/>
    <w:rsid w:val="00BF303B"/>
    <w:rsid w:val="00BF395B"/>
    <w:rsid w:val="00BF3C08"/>
    <w:rsid w:val="00BF3CA2"/>
    <w:rsid w:val="00BF3D96"/>
    <w:rsid w:val="00BF3E5C"/>
    <w:rsid w:val="00BF451F"/>
    <w:rsid w:val="00BF46A8"/>
    <w:rsid w:val="00BF48EA"/>
    <w:rsid w:val="00BF4DCA"/>
    <w:rsid w:val="00BF4DD3"/>
    <w:rsid w:val="00BF4F42"/>
    <w:rsid w:val="00BF5633"/>
    <w:rsid w:val="00BF58BD"/>
    <w:rsid w:val="00BF59E6"/>
    <w:rsid w:val="00BF59E8"/>
    <w:rsid w:val="00BF5E61"/>
    <w:rsid w:val="00BF6075"/>
    <w:rsid w:val="00BF6095"/>
    <w:rsid w:val="00BF6A46"/>
    <w:rsid w:val="00BF6FAC"/>
    <w:rsid w:val="00BF724C"/>
    <w:rsid w:val="00BF73D9"/>
    <w:rsid w:val="00BF767C"/>
    <w:rsid w:val="00BF7B6B"/>
    <w:rsid w:val="00BF7DFC"/>
    <w:rsid w:val="00C00220"/>
    <w:rsid w:val="00C00348"/>
    <w:rsid w:val="00C00680"/>
    <w:rsid w:val="00C00AD4"/>
    <w:rsid w:val="00C01228"/>
    <w:rsid w:val="00C01247"/>
    <w:rsid w:val="00C015A4"/>
    <w:rsid w:val="00C01721"/>
    <w:rsid w:val="00C01835"/>
    <w:rsid w:val="00C0221F"/>
    <w:rsid w:val="00C022D8"/>
    <w:rsid w:val="00C02795"/>
    <w:rsid w:val="00C027C6"/>
    <w:rsid w:val="00C02834"/>
    <w:rsid w:val="00C02A9C"/>
    <w:rsid w:val="00C02CA4"/>
    <w:rsid w:val="00C03094"/>
    <w:rsid w:val="00C0312D"/>
    <w:rsid w:val="00C032D5"/>
    <w:rsid w:val="00C036AD"/>
    <w:rsid w:val="00C036B4"/>
    <w:rsid w:val="00C0394C"/>
    <w:rsid w:val="00C03F2B"/>
    <w:rsid w:val="00C04125"/>
    <w:rsid w:val="00C045B2"/>
    <w:rsid w:val="00C04744"/>
    <w:rsid w:val="00C047F6"/>
    <w:rsid w:val="00C0484C"/>
    <w:rsid w:val="00C049A3"/>
    <w:rsid w:val="00C05626"/>
    <w:rsid w:val="00C05B72"/>
    <w:rsid w:val="00C05E2D"/>
    <w:rsid w:val="00C062CE"/>
    <w:rsid w:val="00C06498"/>
    <w:rsid w:val="00C06A5B"/>
    <w:rsid w:val="00C06ABA"/>
    <w:rsid w:val="00C06F33"/>
    <w:rsid w:val="00C07085"/>
    <w:rsid w:val="00C0753C"/>
    <w:rsid w:val="00C07EC6"/>
    <w:rsid w:val="00C1027A"/>
    <w:rsid w:val="00C10778"/>
    <w:rsid w:val="00C109A8"/>
    <w:rsid w:val="00C10E3B"/>
    <w:rsid w:val="00C113DD"/>
    <w:rsid w:val="00C11563"/>
    <w:rsid w:val="00C11DFE"/>
    <w:rsid w:val="00C11ED2"/>
    <w:rsid w:val="00C11F3F"/>
    <w:rsid w:val="00C12083"/>
    <w:rsid w:val="00C122CD"/>
    <w:rsid w:val="00C123C7"/>
    <w:rsid w:val="00C12551"/>
    <w:rsid w:val="00C12665"/>
    <w:rsid w:val="00C12724"/>
    <w:rsid w:val="00C1303C"/>
    <w:rsid w:val="00C13404"/>
    <w:rsid w:val="00C13ADD"/>
    <w:rsid w:val="00C13AEE"/>
    <w:rsid w:val="00C13D48"/>
    <w:rsid w:val="00C1403F"/>
    <w:rsid w:val="00C14119"/>
    <w:rsid w:val="00C14968"/>
    <w:rsid w:val="00C14C04"/>
    <w:rsid w:val="00C15A55"/>
    <w:rsid w:val="00C15C62"/>
    <w:rsid w:val="00C16045"/>
    <w:rsid w:val="00C161FC"/>
    <w:rsid w:val="00C16602"/>
    <w:rsid w:val="00C16C5F"/>
    <w:rsid w:val="00C17160"/>
    <w:rsid w:val="00C1724D"/>
    <w:rsid w:val="00C17762"/>
    <w:rsid w:val="00C20799"/>
    <w:rsid w:val="00C2118C"/>
    <w:rsid w:val="00C21203"/>
    <w:rsid w:val="00C2150E"/>
    <w:rsid w:val="00C21939"/>
    <w:rsid w:val="00C21A45"/>
    <w:rsid w:val="00C21F94"/>
    <w:rsid w:val="00C22597"/>
    <w:rsid w:val="00C2262E"/>
    <w:rsid w:val="00C2284E"/>
    <w:rsid w:val="00C22940"/>
    <w:rsid w:val="00C22C3A"/>
    <w:rsid w:val="00C2373F"/>
    <w:rsid w:val="00C23C7A"/>
    <w:rsid w:val="00C2574F"/>
    <w:rsid w:val="00C25D75"/>
    <w:rsid w:val="00C25FD3"/>
    <w:rsid w:val="00C26B13"/>
    <w:rsid w:val="00C26C45"/>
    <w:rsid w:val="00C270DA"/>
    <w:rsid w:val="00C27286"/>
    <w:rsid w:val="00C272EE"/>
    <w:rsid w:val="00C27AC5"/>
    <w:rsid w:val="00C27AF3"/>
    <w:rsid w:val="00C30009"/>
    <w:rsid w:val="00C306A9"/>
    <w:rsid w:val="00C3135A"/>
    <w:rsid w:val="00C313AA"/>
    <w:rsid w:val="00C314D6"/>
    <w:rsid w:val="00C31CAE"/>
    <w:rsid w:val="00C31E20"/>
    <w:rsid w:val="00C31FC0"/>
    <w:rsid w:val="00C31FF4"/>
    <w:rsid w:val="00C32192"/>
    <w:rsid w:val="00C32531"/>
    <w:rsid w:val="00C328F0"/>
    <w:rsid w:val="00C32C77"/>
    <w:rsid w:val="00C33749"/>
    <w:rsid w:val="00C3396B"/>
    <w:rsid w:val="00C33A3B"/>
    <w:rsid w:val="00C33C61"/>
    <w:rsid w:val="00C33F02"/>
    <w:rsid w:val="00C340F9"/>
    <w:rsid w:val="00C34C80"/>
    <w:rsid w:val="00C34D0D"/>
    <w:rsid w:val="00C34D51"/>
    <w:rsid w:val="00C3502C"/>
    <w:rsid w:val="00C3514E"/>
    <w:rsid w:val="00C354D1"/>
    <w:rsid w:val="00C355D3"/>
    <w:rsid w:val="00C357C2"/>
    <w:rsid w:val="00C36290"/>
    <w:rsid w:val="00C36610"/>
    <w:rsid w:val="00C36665"/>
    <w:rsid w:val="00C36A3C"/>
    <w:rsid w:val="00C36F3F"/>
    <w:rsid w:val="00C37374"/>
    <w:rsid w:val="00C37434"/>
    <w:rsid w:val="00C375E6"/>
    <w:rsid w:val="00C379B4"/>
    <w:rsid w:val="00C37D81"/>
    <w:rsid w:val="00C37E8C"/>
    <w:rsid w:val="00C37F83"/>
    <w:rsid w:val="00C40675"/>
    <w:rsid w:val="00C4068E"/>
    <w:rsid w:val="00C40A2C"/>
    <w:rsid w:val="00C40A8D"/>
    <w:rsid w:val="00C40CB6"/>
    <w:rsid w:val="00C40EDC"/>
    <w:rsid w:val="00C40F47"/>
    <w:rsid w:val="00C412EB"/>
    <w:rsid w:val="00C4165D"/>
    <w:rsid w:val="00C41738"/>
    <w:rsid w:val="00C422B9"/>
    <w:rsid w:val="00C42682"/>
    <w:rsid w:val="00C4295B"/>
    <w:rsid w:val="00C42AE6"/>
    <w:rsid w:val="00C42B4A"/>
    <w:rsid w:val="00C42D68"/>
    <w:rsid w:val="00C4343E"/>
    <w:rsid w:val="00C43495"/>
    <w:rsid w:val="00C4369B"/>
    <w:rsid w:val="00C43756"/>
    <w:rsid w:val="00C4389E"/>
    <w:rsid w:val="00C43AE7"/>
    <w:rsid w:val="00C443B4"/>
    <w:rsid w:val="00C44488"/>
    <w:rsid w:val="00C445D2"/>
    <w:rsid w:val="00C446B2"/>
    <w:rsid w:val="00C4477B"/>
    <w:rsid w:val="00C448A0"/>
    <w:rsid w:val="00C44CD6"/>
    <w:rsid w:val="00C44E25"/>
    <w:rsid w:val="00C45493"/>
    <w:rsid w:val="00C454A2"/>
    <w:rsid w:val="00C45579"/>
    <w:rsid w:val="00C45FA2"/>
    <w:rsid w:val="00C46721"/>
    <w:rsid w:val="00C46860"/>
    <w:rsid w:val="00C469E9"/>
    <w:rsid w:val="00C46CCC"/>
    <w:rsid w:val="00C46E06"/>
    <w:rsid w:val="00C472CC"/>
    <w:rsid w:val="00C472FB"/>
    <w:rsid w:val="00C477CA"/>
    <w:rsid w:val="00C47C2E"/>
    <w:rsid w:val="00C5017C"/>
    <w:rsid w:val="00C5021B"/>
    <w:rsid w:val="00C5087F"/>
    <w:rsid w:val="00C50F23"/>
    <w:rsid w:val="00C514C7"/>
    <w:rsid w:val="00C51C20"/>
    <w:rsid w:val="00C51CBF"/>
    <w:rsid w:val="00C524E1"/>
    <w:rsid w:val="00C52B13"/>
    <w:rsid w:val="00C5372B"/>
    <w:rsid w:val="00C53FB9"/>
    <w:rsid w:val="00C540BA"/>
    <w:rsid w:val="00C54552"/>
    <w:rsid w:val="00C54554"/>
    <w:rsid w:val="00C54DC7"/>
    <w:rsid w:val="00C54DF0"/>
    <w:rsid w:val="00C55193"/>
    <w:rsid w:val="00C553B1"/>
    <w:rsid w:val="00C557CA"/>
    <w:rsid w:val="00C557EA"/>
    <w:rsid w:val="00C55A76"/>
    <w:rsid w:val="00C55ABD"/>
    <w:rsid w:val="00C56024"/>
    <w:rsid w:val="00C562C3"/>
    <w:rsid w:val="00C56450"/>
    <w:rsid w:val="00C566E1"/>
    <w:rsid w:val="00C56915"/>
    <w:rsid w:val="00C56DDE"/>
    <w:rsid w:val="00C57206"/>
    <w:rsid w:val="00C574FF"/>
    <w:rsid w:val="00C57675"/>
    <w:rsid w:val="00C57988"/>
    <w:rsid w:val="00C579A8"/>
    <w:rsid w:val="00C57A43"/>
    <w:rsid w:val="00C57D61"/>
    <w:rsid w:val="00C57F04"/>
    <w:rsid w:val="00C600CE"/>
    <w:rsid w:val="00C603B3"/>
    <w:rsid w:val="00C6066D"/>
    <w:rsid w:val="00C607AA"/>
    <w:rsid w:val="00C6117A"/>
    <w:rsid w:val="00C612A0"/>
    <w:rsid w:val="00C6144D"/>
    <w:rsid w:val="00C6190D"/>
    <w:rsid w:val="00C61AA0"/>
    <w:rsid w:val="00C61B17"/>
    <w:rsid w:val="00C6204C"/>
    <w:rsid w:val="00C622B8"/>
    <w:rsid w:val="00C623DF"/>
    <w:rsid w:val="00C6250B"/>
    <w:rsid w:val="00C625DF"/>
    <w:rsid w:val="00C62A81"/>
    <w:rsid w:val="00C62C70"/>
    <w:rsid w:val="00C62D61"/>
    <w:rsid w:val="00C634FB"/>
    <w:rsid w:val="00C6368B"/>
    <w:rsid w:val="00C637CC"/>
    <w:rsid w:val="00C64100"/>
    <w:rsid w:val="00C6423B"/>
    <w:rsid w:val="00C642D7"/>
    <w:rsid w:val="00C646A3"/>
    <w:rsid w:val="00C64CC8"/>
    <w:rsid w:val="00C6507D"/>
    <w:rsid w:val="00C6564F"/>
    <w:rsid w:val="00C65D25"/>
    <w:rsid w:val="00C65F67"/>
    <w:rsid w:val="00C663B8"/>
    <w:rsid w:val="00C6681F"/>
    <w:rsid w:val="00C66F1C"/>
    <w:rsid w:val="00C673EB"/>
    <w:rsid w:val="00C701EE"/>
    <w:rsid w:val="00C703EE"/>
    <w:rsid w:val="00C70728"/>
    <w:rsid w:val="00C707A0"/>
    <w:rsid w:val="00C70978"/>
    <w:rsid w:val="00C7111E"/>
    <w:rsid w:val="00C711FF"/>
    <w:rsid w:val="00C71539"/>
    <w:rsid w:val="00C715E1"/>
    <w:rsid w:val="00C7168D"/>
    <w:rsid w:val="00C71738"/>
    <w:rsid w:val="00C71754"/>
    <w:rsid w:val="00C71DB6"/>
    <w:rsid w:val="00C71DD9"/>
    <w:rsid w:val="00C7205D"/>
    <w:rsid w:val="00C720AA"/>
    <w:rsid w:val="00C720E6"/>
    <w:rsid w:val="00C722C9"/>
    <w:rsid w:val="00C723B3"/>
    <w:rsid w:val="00C725B7"/>
    <w:rsid w:val="00C729C2"/>
    <w:rsid w:val="00C72FB2"/>
    <w:rsid w:val="00C7311E"/>
    <w:rsid w:val="00C731BF"/>
    <w:rsid w:val="00C73463"/>
    <w:rsid w:val="00C736BA"/>
    <w:rsid w:val="00C73B02"/>
    <w:rsid w:val="00C73CB6"/>
    <w:rsid w:val="00C73E04"/>
    <w:rsid w:val="00C73F2A"/>
    <w:rsid w:val="00C7406E"/>
    <w:rsid w:val="00C74120"/>
    <w:rsid w:val="00C74B5F"/>
    <w:rsid w:val="00C74C54"/>
    <w:rsid w:val="00C74F7D"/>
    <w:rsid w:val="00C74F80"/>
    <w:rsid w:val="00C752FF"/>
    <w:rsid w:val="00C75AFD"/>
    <w:rsid w:val="00C76407"/>
    <w:rsid w:val="00C76599"/>
    <w:rsid w:val="00C767F2"/>
    <w:rsid w:val="00C7694D"/>
    <w:rsid w:val="00C76F97"/>
    <w:rsid w:val="00C7706A"/>
    <w:rsid w:val="00C77090"/>
    <w:rsid w:val="00C772AA"/>
    <w:rsid w:val="00C77575"/>
    <w:rsid w:val="00C77614"/>
    <w:rsid w:val="00C77B85"/>
    <w:rsid w:val="00C77F72"/>
    <w:rsid w:val="00C80111"/>
    <w:rsid w:val="00C80210"/>
    <w:rsid w:val="00C80A11"/>
    <w:rsid w:val="00C81012"/>
    <w:rsid w:val="00C81306"/>
    <w:rsid w:val="00C814E1"/>
    <w:rsid w:val="00C81569"/>
    <w:rsid w:val="00C815DA"/>
    <w:rsid w:val="00C81678"/>
    <w:rsid w:val="00C818EF"/>
    <w:rsid w:val="00C827FC"/>
    <w:rsid w:val="00C82801"/>
    <w:rsid w:val="00C82A36"/>
    <w:rsid w:val="00C8339B"/>
    <w:rsid w:val="00C83602"/>
    <w:rsid w:val="00C83E20"/>
    <w:rsid w:val="00C84088"/>
    <w:rsid w:val="00C84434"/>
    <w:rsid w:val="00C8474C"/>
    <w:rsid w:val="00C848CA"/>
    <w:rsid w:val="00C84E94"/>
    <w:rsid w:val="00C85177"/>
    <w:rsid w:val="00C85329"/>
    <w:rsid w:val="00C853A2"/>
    <w:rsid w:val="00C85E56"/>
    <w:rsid w:val="00C86EE0"/>
    <w:rsid w:val="00C87365"/>
    <w:rsid w:val="00C8748C"/>
    <w:rsid w:val="00C875E0"/>
    <w:rsid w:val="00C876AC"/>
    <w:rsid w:val="00C879F5"/>
    <w:rsid w:val="00C87CEE"/>
    <w:rsid w:val="00C90934"/>
    <w:rsid w:val="00C90A7F"/>
    <w:rsid w:val="00C90AAA"/>
    <w:rsid w:val="00C90CED"/>
    <w:rsid w:val="00C90DA7"/>
    <w:rsid w:val="00C910BA"/>
    <w:rsid w:val="00C913EC"/>
    <w:rsid w:val="00C913EF"/>
    <w:rsid w:val="00C914FD"/>
    <w:rsid w:val="00C91FF2"/>
    <w:rsid w:val="00C92137"/>
    <w:rsid w:val="00C92217"/>
    <w:rsid w:val="00C92223"/>
    <w:rsid w:val="00C925BE"/>
    <w:rsid w:val="00C92880"/>
    <w:rsid w:val="00C928FB"/>
    <w:rsid w:val="00C929E8"/>
    <w:rsid w:val="00C92B72"/>
    <w:rsid w:val="00C92B7B"/>
    <w:rsid w:val="00C92F2A"/>
    <w:rsid w:val="00C92FB1"/>
    <w:rsid w:val="00C93173"/>
    <w:rsid w:val="00C932EC"/>
    <w:rsid w:val="00C934FA"/>
    <w:rsid w:val="00C93CE5"/>
    <w:rsid w:val="00C941F7"/>
    <w:rsid w:val="00C94223"/>
    <w:rsid w:val="00C9458F"/>
    <w:rsid w:val="00C9467C"/>
    <w:rsid w:val="00C94874"/>
    <w:rsid w:val="00C94B10"/>
    <w:rsid w:val="00C94D5B"/>
    <w:rsid w:val="00C94F9D"/>
    <w:rsid w:val="00C9510F"/>
    <w:rsid w:val="00C9544F"/>
    <w:rsid w:val="00C95EAE"/>
    <w:rsid w:val="00C95F9E"/>
    <w:rsid w:val="00C961BA"/>
    <w:rsid w:val="00C9646D"/>
    <w:rsid w:val="00C966C1"/>
    <w:rsid w:val="00C96CB4"/>
    <w:rsid w:val="00C96E55"/>
    <w:rsid w:val="00C96FDE"/>
    <w:rsid w:val="00C9705A"/>
    <w:rsid w:val="00C971A5"/>
    <w:rsid w:val="00C9739C"/>
    <w:rsid w:val="00C979ED"/>
    <w:rsid w:val="00C97A42"/>
    <w:rsid w:val="00C97E6F"/>
    <w:rsid w:val="00CA00EE"/>
    <w:rsid w:val="00CA0113"/>
    <w:rsid w:val="00CA06B6"/>
    <w:rsid w:val="00CA0772"/>
    <w:rsid w:val="00CA0785"/>
    <w:rsid w:val="00CA0A0B"/>
    <w:rsid w:val="00CA1071"/>
    <w:rsid w:val="00CA124D"/>
    <w:rsid w:val="00CA1493"/>
    <w:rsid w:val="00CA1A44"/>
    <w:rsid w:val="00CA206A"/>
    <w:rsid w:val="00CA28F4"/>
    <w:rsid w:val="00CA2C6B"/>
    <w:rsid w:val="00CA2F9A"/>
    <w:rsid w:val="00CA31B7"/>
    <w:rsid w:val="00CA3249"/>
    <w:rsid w:val="00CA34ED"/>
    <w:rsid w:val="00CA36FC"/>
    <w:rsid w:val="00CA3A50"/>
    <w:rsid w:val="00CA3EA8"/>
    <w:rsid w:val="00CA402B"/>
    <w:rsid w:val="00CA476A"/>
    <w:rsid w:val="00CA47C2"/>
    <w:rsid w:val="00CA4876"/>
    <w:rsid w:val="00CA48BF"/>
    <w:rsid w:val="00CA4CE8"/>
    <w:rsid w:val="00CA4EFE"/>
    <w:rsid w:val="00CA504B"/>
    <w:rsid w:val="00CA5723"/>
    <w:rsid w:val="00CA5729"/>
    <w:rsid w:val="00CA5788"/>
    <w:rsid w:val="00CA5B90"/>
    <w:rsid w:val="00CA5CE4"/>
    <w:rsid w:val="00CA60AA"/>
    <w:rsid w:val="00CA67B3"/>
    <w:rsid w:val="00CA6B87"/>
    <w:rsid w:val="00CA71A2"/>
    <w:rsid w:val="00CA7503"/>
    <w:rsid w:val="00CA795B"/>
    <w:rsid w:val="00CB026D"/>
    <w:rsid w:val="00CB082A"/>
    <w:rsid w:val="00CB0936"/>
    <w:rsid w:val="00CB0B64"/>
    <w:rsid w:val="00CB0BE9"/>
    <w:rsid w:val="00CB0D45"/>
    <w:rsid w:val="00CB1212"/>
    <w:rsid w:val="00CB168A"/>
    <w:rsid w:val="00CB1B3E"/>
    <w:rsid w:val="00CB253E"/>
    <w:rsid w:val="00CB2B37"/>
    <w:rsid w:val="00CB30FD"/>
    <w:rsid w:val="00CB3284"/>
    <w:rsid w:val="00CB33B8"/>
    <w:rsid w:val="00CB38CD"/>
    <w:rsid w:val="00CB3C11"/>
    <w:rsid w:val="00CB3CC0"/>
    <w:rsid w:val="00CB3F7B"/>
    <w:rsid w:val="00CB424E"/>
    <w:rsid w:val="00CB45D5"/>
    <w:rsid w:val="00CB478F"/>
    <w:rsid w:val="00CB49D7"/>
    <w:rsid w:val="00CB4C28"/>
    <w:rsid w:val="00CB4C5D"/>
    <w:rsid w:val="00CB4DB5"/>
    <w:rsid w:val="00CB5EA4"/>
    <w:rsid w:val="00CB6072"/>
    <w:rsid w:val="00CB62CC"/>
    <w:rsid w:val="00CB6B4E"/>
    <w:rsid w:val="00CB6FD0"/>
    <w:rsid w:val="00CB7006"/>
    <w:rsid w:val="00CB700F"/>
    <w:rsid w:val="00CB7042"/>
    <w:rsid w:val="00CB7A03"/>
    <w:rsid w:val="00CB7B38"/>
    <w:rsid w:val="00CC0384"/>
    <w:rsid w:val="00CC0773"/>
    <w:rsid w:val="00CC07E1"/>
    <w:rsid w:val="00CC0C8D"/>
    <w:rsid w:val="00CC0CC6"/>
    <w:rsid w:val="00CC0EB9"/>
    <w:rsid w:val="00CC1002"/>
    <w:rsid w:val="00CC114B"/>
    <w:rsid w:val="00CC171A"/>
    <w:rsid w:val="00CC17C5"/>
    <w:rsid w:val="00CC1B55"/>
    <w:rsid w:val="00CC1F25"/>
    <w:rsid w:val="00CC1F47"/>
    <w:rsid w:val="00CC2470"/>
    <w:rsid w:val="00CC35DF"/>
    <w:rsid w:val="00CC3785"/>
    <w:rsid w:val="00CC450F"/>
    <w:rsid w:val="00CC47D5"/>
    <w:rsid w:val="00CC4A6E"/>
    <w:rsid w:val="00CC4C20"/>
    <w:rsid w:val="00CC4CF8"/>
    <w:rsid w:val="00CC578E"/>
    <w:rsid w:val="00CC6270"/>
    <w:rsid w:val="00CC65B0"/>
    <w:rsid w:val="00CC662E"/>
    <w:rsid w:val="00CC6984"/>
    <w:rsid w:val="00CC6D11"/>
    <w:rsid w:val="00CC6E24"/>
    <w:rsid w:val="00CC6FE7"/>
    <w:rsid w:val="00CC72C5"/>
    <w:rsid w:val="00CC72FA"/>
    <w:rsid w:val="00CC79E0"/>
    <w:rsid w:val="00CD0ADB"/>
    <w:rsid w:val="00CD0EC8"/>
    <w:rsid w:val="00CD13F8"/>
    <w:rsid w:val="00CD168F"/>
    <w:rsid w:val="00CD1AC4"/>
    <w:rsid w:val="00CD1B2F"/>
    <w:rsid w:val="00CD1FAD"/>
    <w:rsid w:val="00CD30D6"/>
    <w:rsid w:val="00CD3203"/>
    <w:rsid w:val="00CD32BA"/>
    <w:rsid w:val="00CD363F"/>
    <w:rsid w:val="00CD3897"/>
    <w:rsid w:val="00CD3AA3"/>
    <w:rsid w:val="00CD3C9A"/>
    <w:rsid w:val="00CD3D0A"/>
    <w:rsid w:val="00CD3FC9"/>
    <w:rsid w:val="00CD4028"/>
    <w:rsid w:val="00CD4120"/>
    <w:rsid w:val="00CD4347"/>
    <w:rsid w:val="00CD4618"/>
    <w:rsid w:val="00CD4E1E"/>
    <w:rsid w:val="00CD4E5D"/>
    <w:rsid w:val="00CD4F40"/>
    <w:rsid w:val="00CD4F60"/>
    <w:rsid w:val="00CD5519"/>
    <w:rsid w:val="00CD575A"/>
    <w:rsid w:val="00CD57E3"/>
    <w:rsid w:val="00CD59F0"/>
    <w:rsid w:val="00CD5F2F"/>
    <w:rsid w:val="00CD603C"/>
    <w:rsid w:val="00CD62A1"/>
    <w:rsid w:val="00CD65D8"/>
    <w:rsid w:val="00CD7166"/>
    <w:rsid w:val="00CD7172"/>
    <w:rsid w:val="00CD7AEB"/>
    <w:rsid w:val="00CD7F65"/>
    <w:rsid w:val="00CE00C3"/>
    <w:rsid w:val="00CE0773"/>
    <w:rsid w:val="00CE0C06"/>
    <w:rsid w:val="00CE0E3E"/>
    <w:rsid w:val="00CE0EC4"/>
    <w:rsid w:val="00CE0F42"/>
    <w:rsid w:val="00CE112F"/>
    <w:rsid w:val="00CE132C"/>
    <w:rsid w:val="00CE1DCA"/>
    <w:rsid w:val="00CE1E57"/>
    <w:rsid w:val="00CE1E7F"/>
    <w:rsid w:val="00CE2460"/>
    <w:rsid w:val="00CE26CE"/>
    <w:rsid w:val="00CE27E3"/>
    <w:rsid w:val="00CE2BE8"/>
    <w:rsid w:val="00CE2D68"/>
    <w:rsid w:val="00CE2DD4"/>
    <w:rsid w:val="00CE2E3A"/>
    <w:rsid w:val="00CE3605"/>
    <w:rsid w:val="00CE363B"/>
    <w:rsid w:val="00CE3911"/>
    <w:rsid w:val="00CE3C85"/>
    <w:rsid w:val="00CE3FD7"/>
    <w:rsid w:val="00CE4334"/>
    <w:rsid w:val="00CE4372"/>
    <w:rsid w:val="00CE44BB"/>
    <w:rsid w:val="00CE44F6"/>
    <w:rsid w:val="00CE4804"/>
    <w:rsid w:val="00CE48C8"/>
    <w:rsid w:val="00CE492C"/>
    <w:rsid w:val="00CE4C57"/>
    <w:rsid w:val="00CE4E12"/>
    <w:rsid w:val="00CE4EFC"/>
    <w:rsid w:val="00CE5209"/>
    <w:rsid w:val="00CE52E3"/>
    <w:rsid w:val="00CE55CE"/>
    <w:rsid w:val="00CE5600"/>
    <w:rsid w:val="00CE587D"/>
    <w:rsid w:val="00CE59A4"/>
    <w:rsid w:val="00CE5A9F"/>
    <w:rsid w:val="00CE5C0E"/>
    <w:rsid w:val="00CE5F02"/>
    <w:rsid w:val="00CE6C6D"/>
    <w:rsid w:val="00CE73DC"/>
    <w:rsid w:val="00CE7681"/>
    <w:rsid w:val="00CE7A03"/>
    <w:rsid w:val="00CE7CB7"/>
    <w:rsid w:val="00CF004E"/>
    <w:rsid w:val="00CF0441"/>
    <w:rsid w:val="00CF0704"/>
    <w:rsid w:val="00CF0BF2"/>
    <w:rsid w:val="00CF1259"/>
    <w:rsid w:val="00CF140F"/>
    <w:rsid w:val="00CF178B"/>
    <w:rsid w:val="00CF179B"/>
    <w:rsid w:val="00CF1ED0"/>
    <w:rsid w:val="00CF21D9"/>
    <w:rsid w:val="00CF29A8"/>
    <w:rsid w:val="00CF3257"/>
    <w:rsid w:val="00CF36C5"/>
    <w:rsid w:val="00CF387F"/>
    <w:rsid w:val="00CF3ABB"/>
    <w:rsid w:val="00CF3ADB"/>
    <w:rsid w:val="00CF41EB"/>
    <w:rsid w:val="00CF428C"/>
    <w:rsid w:val="00CF4472"/>
    <w:rsid w:val="00CF4A3C"/>
    <w:rsid w:val="00CF5966"/>
    <w:rsid w:val="00CF5BC9"/>
    <w:rsid w:val="00CF5CC8"/>
    <w:rsid w:val="00CF606F"/>
    <w:rsid w:val="00CF60D6"/>
    <w:rsid w:val="00CF6758"/>
    <w:rsid w:val="00CF681B"/>
    <w:rsid w:val="00CF6950"/>
    <w:rsid w:val="00CF6F21"/>
    <w:rsid w:val="00CF71E6"/>
    <w:rsid w:val="00CF73D0"/>
    <w:rsid w:val="00CF74FC"/>
    <w:rsid w:val="00CF76B8"/>
    <w:rsid w:val="00CF76D1"/>
    <w:rsid w:val="00CF7A47"/>
    <w:rsid w:val="00CF7A60"/>
    <w:rsid w:val="00CF7A7D"/>
    <w:rsid w:val="00D0059D"/>
    <w:rsid w:val="00D00637"/>
    <w:rsid w:val="00D00810"/>
    <w:rsid w:val="00D00A3F"/>
    <w:rsid w:val="00D00A80"/>
    <w:rsid w:val="00D010C6"/>
    <w:rsid w:val="00D01122"/>
    <w:rsid w:val="00D01247"/>
    <w:rsid w:val="00D012EC"/>
    <w:rsid w:val="00D01349"/>
    <w:rsid w:val="00D01405"/>
    <w:rsid w:val="00D01728"/>
    <w:rsid w:val="00D01A2A"/>
    <w:rsid w:val="00D0201E"/>
    <w:rsid w:val="00D02035"/>
    <w:rsid w:val="00D020E8"/>
    <w:rsid w:val="00D03063"/>
    <w:rsid w:val="00D0306D"/>
    <w:rsid w:val="00D033F9"/>
    <w:rsid w:val="00D034B8"/>
    <w:rsid w:val="00D0399B"/>
    <w:rsid w:val="00D03D2C"/>
    <w:rsid w:val="00D03E01"/>
    <w:rsid w:val="00D03F0D"/>
    <w:rsid w:val="00D04C2C"/>
    <w:rsid w:val="00D04FE9"/>
    <w:rsid w:val="00D06B1D"/>
    <w:rsid w:val="00D074C6"/>
    <w:rsid w:val="00D07950"/>
    <w:rsid w:val="00D07B2D"/>
    <w:rsid w:val="00D101B1"/>
    <w:rsid w:val="00D10362"/>
    <w:rsid w:val="00D10513"/>
    <w:rsid w:val="00D10D1B"/>
    <w:rsid w:val="00D10E0B"/>
    <w:rsid w:val="00D10E23"/>
    <w:rsid w:val="00D10F90"/>
    <w:rsid w:val="00D110CC"/>
    <w:rsid w:val="00D115E2"/>
    <w:rsid w:val="00D12025"/>
    <w:rsid w:val="00D12092"/>
    <w:rsid w:val="00D12176"/>
    <w:rsid w:val="00D124C4"/>
    <w:rsid w:val="00D12561"/>
    <w:rsid w:val="00D12E11"/>
    <w:rsid w:val="00D134B8"/>
    <w:rsid w:val="00D13562"/>
    <w:rsid w:val="00D136D5"/>
    <w:rsid w:val="00D13CBA"/>
    <w:rsid w:val="00D145A2"/>
    <w:rsid w:val="00D149DB"/>
    <w:rsid w:val="00D15100"/>
    <w:rsid w:val="00D151C8"/>
    <w:rsid w:val="00D1542E"/>
    <w:rsid w:val="00D15827"/>
    <w:rsid w:val="00D15ED4"/>
    <w:rsid w:val="00D15F19"/>
    <w:rsid w:val="00D16214"/>
    <w:rsid w:val="00D16C4F"/>
    <w:rsid w:val="00D16F09"/>
    <w:rsid w:val="00D16FBE"/>
    <w:rsid w:val="00D16FE3"/>
    <w:rsid w:val="00D178F1"/>
    <w:rsid w:val="00D17D1C"/>
    <w:rsid w:val="00D17DB7"/>
    <w:rsid w:val="00D20585"/>
    <w:rsid w:val="00D208C2"/>
    <w:rsid w:val="00D20BF2"/>
    <w:rsid w:val="00D20D9B"/>
    <w:rsid w:val="00D21458"/>
    <w:rsid w:val="00D21534"/>
    <w:rsid w:val="00D216A0"/>
    <w:rsid w:val="00D21884"/>
    <w:rsid w:val="00D21ADD"/>
    <w:rsid w:val="00D22281"/>
    <w:rsid w:val="00D22781"/>
    <w:rsid w:val="00D2282C"/>
    <w:rsid w:val="00D22896"/>
    <w:rsid w:val="00D229C7"/>
    <w:rsid w:val="00D22D40"/>
    <w:rsid w:val="00D22E47"/>
    <w:rsid w:val="00D235C0"/>
    <w:rsid w:val="00D23CE7"/>
    <w:rsid w:val="00D23E3C"/>
    <w:rsid w:val="00D23FEC"/>
    <w:rsid w:val="00D240F8"/>
    <w:rsid w:val="00D241CF"/>
    <w:rsid w:val="00D24228"/>
    <w:rsid w:val="00D243AE"/>
    <w:rsid w:val="00D2474B"/>
    <w:rsid w:val="00D2477D"/>
    <w:rsid w:val="00D24805"/>
    <w:rsid w:val="00D249FE"/>
    <w:rsid w:val="00D25122"/>
    <w:rsid w:val="00D25317"/>
    <w:rsid w:val="00D254F0"/>
    <w:rsid w:val="00D2582C"/>
    <w:rsid w:val="00D25D2C"/>
    <w:rsid w:val="00D25D2E"/>
    <w:rsid w:val="00D26055"/>
    <w:rsid w:val="00D26797"/>
    <w:rsid w:val="00D26B14"/>
    <w:rsid w:val="00D26D17"/>
    <w:rsid w:val="00D273A6"/>
    <w:rsid w:val="00D27A79"/>
    <w:rsid w:val="00D30195"/>
    <w:rsid w:val="00D30882"/>
    <w:rsid w:val="00D3109A"/>
    <w:rsid w:val="00D31808"/>
    <w:rsid w:val="00D31AB8"/>
    <w:rsid w:val="00D32268"/>
    <w:rsid w:val="00D324EE"/>
    <w:rsid w:val="00D326FF"/>
    <w:rsid w:val="00D32F6A"/>
    <w:rsid w:val="00D333FD"/>
    <w:rsid w:val="00D33426"/>
    <w:rsid w:val="00D33E3A"/>
    <w:rsid w:val="00D33E3F"/>
    <w:rsid w:val="00D33F1D"/>
    <w:rsid w:val="00D340F1"/>
    <w:rsid w:val="00D347F1"/>
    <w:rsid w:val="00D34D48"/>
    <w:rsid w:val="00D353CC"/>
    <w:rsid w:val="00D355B9"/>
    <w:rsid w:val="00D35628"/>
    <w:rsid w:val="00D35D13"/>
    <w:rsid w:val="00D35E45"/>
    <w:rsid w:val="00D3654B"/>
    <w:rsid w:val="00D36AF1"/>
    <w:rsid w:val="00D36F90"/>
    <w:rsid w:val="00D36F97"/>
    <w:rsid w:val="00D3714E"/>
    <w:rsid w:val="00D3726B"/>
    <w:rsid w:val="00D37AC0"/>
    <w:rsid w:val="00D40055"/>
    <w:rsid w:val="00D4062C"/>
    <w:rsid w:val="00D4065A"/>
    <w:rsid w:val="00D40739"/>
    <w:rsid w:val="00D40BEA"/>
    <w:rsid w:val="00D40FCD"/>
    <w:rsid w:val="00D41243"/>
    <w:rsid w:val="00D41339"/>
    <w:rsid w:val="00D418DB"/>
    <w:rsid w:val="00D42120"/>
    <w:rsid w:val="00D42224"/>
    <w:rsid w:val="00D425A9"/>
    <w:rsid w:val="00D426DA"/>
    <w:rsid w:val="00D4282D"/>
    <w:rsid w:val="00D42D1B"/>
    <w:rsid w:val="00D43094"/>
    <w:rsid w:val="00D432D0"/>
    <w:rsid w:val="00D435A8"/>
    <w:rsid w:val="00D4381F"/>
    <w:rsid w:val="00D43A0A"/>
    <w:rsid w:val="00D43D79"/>
    <w:rsid w:val="00D43E48"/>
    <w:rsid w:val="00D44554"/>
    <w:rsid w:val="00D44847"/>
    <w:rsid w:val="00D448A2"/>
    <w:rsid w:val="00D44C41"/>
    <w:rsid w:val="00D44D01"/>
    <w:rsid w:val="00D454A1"/>
    <w:rsid w:val="00D45DB0"/>
    <w:rsid w:val="00D45EC9"/>
    <w:rsid w:val="00D45F39"/>
    <w:rsid w:val="00D46327"/>
    <w:rsid w:val="00D465F9"/>
    <w:rsid w:val="00D46BF5"/>
    <w:rsid w:val="00D46E43"/>
    <w:rsid w:val="00D46FA1"/>
    <w:rsid w:val="00D4725E"/>
    <w:rsid w:val="00D47411"/>
    <w:rsid w:val="00D47950"/>
    <w:rsid w:val="00D479F1"/>
    <w:rsid w:val="00D47AA8"/>
    <w:rsid w:val="00D50180"/>
    <w:rsid w:val="00D50241"/>
    <w:rsid w:val="00D5035A"/>
    <w:rsid w:val="00D507F0"/>
    <w:rsid w:val="00D50904"/>
    <w:rsid w:val="00D50B67"/>
    <w:rsid w:val="00D50CAE"/>
    <w:rsid w:val="00D50FC8"/>
    <w:rsid w:val="00D50FFA"/>
    <w:rsid w:val="00D51160"/>
    <w:rsid w:val="00D5133B"/>
    <w:rsid w:val="00D51366"/>
    <w:rsid w:val="00D51DED"/>
    <w:rsid w:val="00D51F55"/>
    <w:rsid w:val="00D525B9"/>
    <w:rsid w:val="00D52645"/>
    <w:rsid w:val="00D528CB"/>
    <w:rsid w:val="00D52CAB"/>
    <w:rsid w:val="00D52D41"/>
    <w:rsid w:val="00D530AA"/>
    <w:rsid w:val="00D530F0"/>
    <w:rsid w:val="00D53394"/>
    <w:rsid w:val="00D5369E"/>
    <w:rsid w:val="00D536CF"/>
    <w:rsid w:val="00D536DE"/>
    <w:rsid w:val="00D53713"/>
    <w:rsid w:val="00D53ADB"/>
    <w:rsid w:val="00D54493"/>
    <w:rsid w:val="00D5462D"/>
    <w:rsid w:val="00D54B5D"/>
    <w:rsid w:val="00D555C6"/>
    <w:rsid w:val="00D555F2"/>
    <w:rsid w:val="00D5572F"/>
    <w:rsid w:val="00D5590D"/>
    <w:rsid w:val="00D55C92"/>
    <w:rsid w:val="00D55ED5"/>
    <w:rsid w:val="00D56091"/>
    <w:rsid w:val="00D561A5"/>
    <w:rsid w:val="00D56344"/>
    <w:rsid w:val="00D56A9D"/>
    <w:rsid w:val="00D56B91"/>
    <w:rsid w:val="00D56C92"/>
    <w:rsid w:val="00D56D68"/>
    <w:rsid w:val="00D57841"/>
    <w:rsid w:val="00D57846"/>
    <w:rsid w:val="00D57DE2"/>
    <w:rsid w:val="00D60260"/>
    <w:rsid w:val="00D603A8"/>
    <w:rsid w:val="00D60784"/>
    <w:rsid w:val="00D61506"/>
    <w:rsid w:val="00D61E30"/>
    <w:rsid w:val="00D62334"/>
    <w:rsid w:val="00D625A0"/>
    <w:rsid w:val="00D6271D"/>
    <w:rsid w:val="00D62743"/>
    <w:rsid w:val="00D62C6E"/>
    <w:rsid w:val="00D62D2C"/>
    <w:rsid w:val="00D62FFD"/>
    <w:rsid w:val="00D63483"/>
    <w:rsid w:val="00D6363B"/>
    <w:rsid w:val="00D6378C"/>
    <w:rsid w:val="00D63800"/>
    <w:rsid w:val="00D63937"/>
    <w:rsid w:val="00D63F54"/>
    <w:rsid w:val="00D642D4"/>
    <w:rsid w:val="00D6477B"/>
    <w:rsid w:val="00D64793"/>
    <w:rsid w:val="00D648A3"/>
    <w:rsid w:val="00D6538D"/>
    <w:rsid w:val="00D655EA"/>
    <w:rsid w:val="00D65B90"/>
    <w:rsid w:val="00D65D60"/>
    <w:rsid w:val="00D65F2C"/>
    <w:rsid w:val="00D66137"/>
    <w:rsid w:val="00D66257"/>
    <w:rsid w:val="00D664EA"/>
    <w:rsid w:val="00D66BC3"/>
    <w:rsid w:val="00D677D0"/>
    <w:rsid w:val="00D67DD6"/>
    <w:rsid w:val="00D67F45"/>
    <w:rsid w:val="00D7040D"/>
    <w:rsid w:val="00D70435"/>
    <w:rsid w:val="00D70498"/>
    <w:rsid w:val="00D70C25"/>
    <w:rsid w:val="00D70E92"/>
    <w:rsid w:val="00D7114D"/>
    <w:rsid w:val="00D71AF6"/>
    <w:rsid w:val="00D71BEA"/>
    <w:rsid w:val="00D722B9"/>
    <w:rsid w:val="00D72361"/>
    <w:rsid w:val="00D7248A"/>
    <w:rsid w:val="00D724A2"/>
    <w:rsid w:val="00D729D7"/>
    <w:rsid w:val="00D72AF6"/>
    <w:rsid w:val="00D72E30"/>
    <w:rsid w:val="00D73314"/>
    <w:rsid w:val="00D734BB"/>
    <w:rsid w:val="00D73AF3"/>
    <w:rsid w:val="00D73F1C"/>
    <w:rsid w:val="00D73FAA"/>
    <w:rsid w:val="00D740F1"/>
    <w:rsid w:val="00D74297"/>
    <w:rsid w:val="00D74341"/>
    <w:rsid w:val="00D744D5"/>
    <w:rsid w:val="00D75460"/>
    <w:rsid w:val="00D75675"/>
    <w:rsid w:val="00D759F6"/>
    <w:rsid w:val="00D76190"/>
    <w:rsid w:val="00D76396"/>
    <w:rsid w:val="00D76473"/>
    <w:rsid w:val="00D76C72"/>
    <w:rsid w:val="00D76E9E"/>
    <w:rsid w:val="00D76FCA"/>
    <w:rsid w:val="00D776CB"/>
    <w:rsid w:val="00D7791A"/>
    <w:rsid w:val="00D77EBE"/>
    <w:rsid w:val="00D80063"/>
    <w:rsid w:val="00D808DD"/>
    <w:rsid w:val="00D80A12"/>
    <w:rsid w:val="00D80E0A"/>
    <w:rsid w:val="00D810CA"/>
    <w:rsid w:val="00D811E0"/>
    <w:rsid w:val="00D814AE"/>
    <w:rsid w:val="00D8151B"/>
    <w:rsid w:val="00D81A25"/>
    <w:rsid w:val="00D81F8D"/>
    <w:rsid w:val="00D82B18"/>
    <w:rsid w:val="00D83453"/>
    <w:rsid w:val="00D83457"/>
    <w:rsid w:val="00D83748"/>
    <w:rsid w:val="00D83793"/>
    <w:rsid w:val="00D83815"/>
    <w:rsid w:val="00D83A07"/>
    <w:rsid w:val="00D83BE6"/>
    <w:rsid w:val="00D83FD2"/>
    <w:rsid w:val="00D8427C"/>
    <w:rsid w:val="00D847AB"/>
    <w:rsid w:val="00D84895"/>
    <w:rsid w:val="00D84A22"/>
    <w:rsid w:val="00D84D6B"/>
    <w:rsid w:val="00D85C70"/>
    <w:rsid w:val="00D85CB5"/>
    <w:rsid w:val="00D8662B"/>
    <w:rsid w:val="00D86CEB"/>
    <w:rsid w:val="00D86EF8"/>
    <w:rsid w:val="00D87397"/>
    <w:rsid w:val="00D873F6"/>
    <w:rsid w:val="00D87447"/>
    <w:rsid w:val="00D87553"/>
    <w:rsid w:val="00D876E7"/>
    <w:rsid w:val="00D90127"/>
    <w:rsid w:val="00D9046D"/>
    <w:rsid w:val="00D904D4"/>
    <w:rsid w:val="00D90918"/>
    <w:rsid w:val="00D90BC9"/>
    <w:rsid w:val="00D90D3E"/>
    <w:rsid w:val="00D91413"/>
    <w:rsid w:val="00D91680"/>
    <w:rsid w:val="00D918F3"/>
    <w:rsid w:val="00D91C0C"/>
    <w:rsid w:val="00D91ED3"/>
    <w:rsid w:val="00D920BE"/>
    <w:rsid w:val="00D92404"/>
    <w:rsid w:val="00D92AB0"/>
    <w:rsid w:val="00D92BED"/>
    <w:rsid w:val="00D92C9B"/>
    <w:rsid w:val="00D92F7B"/>
    <w:rsid w:val="00D931D4"/>
    <w:rsid w:val="00D93278"/>
    <w:rsid w:val="00D936F7"/>
    <w:rsid w:val="00D93A72"/>
    <w:rsid w:val="00D93B00"/>
    <w:rsid w:val="00D93BF2"/>
    <w:rsid w:val="00D93D74"/>
    <w:rsid w:val="00D93FD7"/>
    <w:rsid w:val="00D948DF"/>
    <w:rsid w:val="00D9523B"/>
    <w:rsid w:val="00D955F5"/>
    <w:rsid w:val="00D95D75"/>
    <w:rsid w:val="00D95F8E"/>
    <w:rsid w:val="00D9612F"/>
    <w:rsid w:val="00D96334"/>
    <w:rsid w:val="00D963B2"/>
    <w:rsid w:val="00D9663F"/>
    <w:rsid w:val="00D96D92"/>
    <w:rsid w:val="00D96DD5"/>
    <w:rsid w:val="00D9703C"/>
    <w:rsid w:val="00D978DB"/>
    <w:rsid w:val="00D97971"/>
    <w:rsid w:val="00D97E55"/>
    <w:rsid w:val="00DA002C"/>
    <w:rsid w:val="00DA01F3"/>
    <w:rsid w:val="00DA0487"/>
    <w:rsid w:val="00DA0596"/>
    <w:rsid w:val="00DA1086"/>
    <w:rsid w:val="00DA13EA"/>
    <w:rsid w:val="00DA1575"/>
    <w:rsid w:val="00DA1B8B"/>
    <w:rsid w:val="00DA2079"/>
    <w:rsid w:val="00DA22B0"/>
    <w:rsid w:val="00DA24A4"/>
    <w:rsid w:val="00DA288A"/>
    <w:rsid w:val="00DA2918"/>
    <w:rsid w:val="00DA2B0E"/>
    <w:rsid w:val="00DA2B44"/>
    <w:rsid w:val="00DA3094"/>
    <w:rsid w:val="00DA30B5"/>
    <w:rsid w:val="00DA31A5"/>
    <w:rsid w:val="00DA31CA"/>
    <w:rsid w:val="00DA374C"/>
    <w:rsid w:val="00DA3A53"/>
    <w:rsid w:val="00DA48A8"/>
    <w:rsid w:val="00DA4942"/>
    <w:rsid w:val="00DA4B2A"/>
    <w:rsid w:val="00DA4D68"/>
    <w:rsid w:val="00DA4E3D"/>
    <w:rsid w:val="00DA5198"/>
    <w:rsid w:val="00DA5F60"/>
    <w:rsid w:val="00DA6332"/>
    <w:rsid w:val="00DA68C9"/>
    <w:rsid w:val="00DA6D0F"/>
    <w:rsid w:val="00DA71D5"/>
    <w:rsid w:val="00DB0314"/>
    <w:rsid w:val="00DB0489"/>
    <w:rsid w:val="00DB073D"/>
    <w:rsid w:val="00DB087D"/>
    <w:rsid w:val="00DB0BF0"/>
    <w:rsid w:val="00DB1949"/>
    <w:rsid w:val="00DB1D97"/>
    <w:rsid w:val="00DB1EC7"/>
    <w:rsid w:val="00DB1EF2"/>
    <w:rsid w:val="00DB2737"/>
    <w:rsid w:val="00DB2886"/>
    <w:rsid w:val="00DB2A60"/>
    <w:rsid w:val="00DB2B6B"/>
    <w:rsid w:val="00DB337B"/>
    <w:rsid w:val="00DB37D8"/>
    <w:rsid w:val="00DB38A3"/>
    <w:rsid w:val="00DB4127"/>
    <w:rsid w:val="00DB50C9"/>
    <w:rsid w:val="00DB51A5"/>
    <w:rsid w:val="00DB5702"/>
    <w:rsid w:val="00DB6DF1"/>
    <w:rsid w:val="00DB6E9B"/>
    <w:rsid w:val="00DB6F10"/>
    <w:rsid w:val="00DB6FA3"/>
    <w:rsid w:val="00DB7006"/>
    <w:rsid w:val="00DB71EB"/>
    <w:rsid w:val="00DB7582"/>
    <w:rsid w:val="00DB7782"/>
    <w:rsid w:val="00DB781D"/>
    <w:rsid w:val="00DB78AD"/>
    <w:rsid w:val="00DB7EE3"/>
    <w:rsid w:val="00DC0066"/>
    <w:rsid w:val="00DC077C"/>
    <w:rsid w:val="00DC08C1"/>
    <w:rsid w:val="00DC14B3"/>
    <w:rsid w:val="00DC1DB2"/>
    <w:rsid w:val="00DC1EE9"/>
    <w:rsid w:val="00DC1F38"/>
    <w:rsid w:val="00DC2088"/>
    <w:rsid w:val="00DC2121"/>
    <w:rsid w:val="00DC2952"/>
    <w:rsid w:val="00DC2A14"/>
    <w:rsid w:val="00DC2AE5"/>
    <w:rsid w:val="00DC3352"/>
    <w:rsid w:val="00DC390D"/>
    <w:rsid w:val="00DC3C80"/>
    <w:rsid w:val="00DC3D94"/>
    <w:rsid w:val="00DC3E07"/>
    <w:rsid w:val="00DC3E7F"/>
    <w:rsid w:val="00DC40EC"/>
    <w:rsid w:val="00DC4176"/>
    <w:rsid w:val="00DC4A61"/>
    <w:rsid w:val="00DC4B71"/>
    <w:rsid w:val="00DC4C90"/>
    <w:rsid w:val="00DC5595"/>
    <w:rsid w:val="00DC5657"/>
    <w:rsid w:val="00DC5949"/>
    <w:rsid w:val="00DC5E7F"/>
    <w:rsid w:val="00DC622F"/>
    <w:rsid w:val="00DC71A3"/>
    <w:rsid w:val="00DC739F"/>
    <w:rsid w:val="00DC761A"/>
    <w:rsid w:val="00DD0031"/>
    <w:rsid w:val="00DD0089"/>
    <w:rsid w:val="00DD0481"/>
    <w:rsid w:val="00DD0DC1"/>
    <w:rsid w:val="00DD0F74"/>
    <w:rsid w:val="00DD1140"/>
    <w:rsid w:val="00DD14D7"/>
    <w:rsid w:val="00DD171D"/>
    <w:rsid w:val="00DD274F"/>
    <w:rsid w:val="00DD280A"/>
    <w:rsid w:val="00DD29A2"/>
    <w:rsid w:val="00DD29C8"/>
    <w:rsid w:val="00DD29DF"/>
    <w:rsid w:val="00DD2F0C"/>
    <w:rsid w:val="00DD2F8C"/>
    <w:rsid w:val="00DD31AF"/>
    <w:rsid w:val="00DD3563"/>
    <w:rsid w:val="00DD3574"/>
    <w:rsid w:val="00DD3922"/>
    <w:rsid w:val="00DD3947"/>
    <w:rsid w:val="00DD3E05"/>
    <w:rsid w:val="00DD3F64"/>
    <w:rsid w:val="00DD4072"/>
    <w:rsid w:val="00DD4A62"/>
    <w:rsid w:val="00DD4A6D"/>
    <w:rsid w:val="00DD4B59"/>
    <w:rsid w:val="00DD4E90"/>
    <w:rsid w:val="00DD51E5"/>
    <w:rsid w:val="00DD5250"/>
    <w:rsid w:val="00DD53D8"/>
    <w:rsid w:val="00DD57C1"/>
    <w:rsid w:val="00DD5CA5"/>
    <w:rsid w:val="00DD5DFD"/>
    <w:rsid w:val="00DD5F6E"/>
    <w:rsid w:val="00DD5FD7"/>
    <w:rsid w:val="00DD63D7"/>
    <w:rsid w:val="00DD63FF"/>
    <w:rsid w:val="00DD6505"/>
    <w:rsid w:val="00DD665F"/>
    <w:rsid w:val="00DD66D3"/>
    <w:rsid w:val="00DD689C"/>
    <w:rsid w:val="00DD6909"/>
    <w:rsid w:val="00DD6A13"/>
    <w:rsid w:val="00DD6B35"/>
    <w:rsid w:val="00DD6F2E"/>
    <w:rsid w:val="00DD7237"/>
    <w:rsid w:val="00DD7D8C"/>
    <w:rsid w:val="00DE01EB"/>
    <w:rsid w:val="00DE04F9"/>
    <w:rsid w:val="00DE06A4"/>
    <w:rsid w:val="00DE0F9C"/>
    <w:rsid w:val="00DE1128"/>
    <w:rsid w:val="00DE113A"/>
    <w:rsid w:val="00DE1166"/>
    <w:rsid w:val="00DE11E7"/>
    <w:rsid w:val="00DE12D2"/>
    <w:rsid w:val="00DE1FDD"/>
    <w:rsid w:val="00DE21DA"/>
    <w:rsid w:val="00DE26BA"/>
    <w:rsid w:val="00DE2CEA"/>
    <w:rsid w:val="00DE3DA2"/>
    <w:rsid w:val="00DE3FA7"/>
    <w:rsid w:val="00DE4221"/>
    <w:rsid w:val="00DE48B6"/>
    <w:rsid w:val="00DE49C1"/>
    <w:rsid w:val="00DE4DF9"/>
    <w:rsid w:val="00DE509D"/>
    <w:rsid w:val="00DE519E"/>
    <w:rsid w:val="00DE5414"/>
    <w:rsid w:val="00DE54E9"/>
    <w:rsid w:val="00DE5B1B"/>
    <w:rsid w:val="00DE6BFF"/>
    <w:rsid w:val="00DE6DE0"/>
    <w:rsid w:val="00DE7248"/>
    <w:rsid w:val="00DE7A65"/>
    <w:rsid w:val="00DF0262"/>
    <w:rsid w:val="00DF0980"/>
    <w:rsid w:val="00DF0F54"/>
    <w:rsid w:val="00DF0F68"/>
    <w:rsid w:val="00DF102F"/>
    <w:rsid w:val="00DF129C"/>
    <w:rsid w:val="00DF1D00"/>
    <w:rsid w:val="00DF2100"/>
    <w:rsid w:val="00DF253A"/>
    <w:rsid w:val="00DF2773"/>
    <w:rsid w:val="00DF277F"/>
    <w:rsid w:val="00DF2A25"/>
    <w:rsid w:val="00DF2C5A"/>
    <w:rsid w:val="00DF2DDE"/>
    <w:rsid w:val="00DF2F04"/>
    <w:rsid w:val="00DF2F97"/>
    <w:rsid w:val="00DF3670"/>
    <w:rsid w:val="00DF3FEB"/>
    <w:rsid w:val="00DF4E7C"/>
    <w:rsid w:val="00DF502E"/>
    <w:rsid w:val="00DF5426"/>
    <w:rsid w:val="00DF54BB"/>
    <w:rsid w:val="00DF555C"/>
    <w:rsid w:val="00DF57DE"/>
    <w:rsid w:val="00DF5986"/>
    <w:rsid w:val="00DF5DCC"/>
    <w:rsid w:val="00DF6095"/>
    <w:rsid w:val="00DF684D"/>
    <w:rsid w:val="00DF6A22"/>
    <w:rsid w:val="00DF6A33"/>
    <w:rsid w:val="00DF6DE5"/>
    <w:rsid w:val="00DF707D"/>
    <w:rsid w:val="00DF7669"/>
    <w:rsid w:val="00DF7CE4"/>
    <w:rsid w:val="00E00361"/>
    <w:rsid w:val="00E0044A"/>
    <w:rsid w:val="00E00753"/>
    <w:rsid w:val="00E009F5"/>
    <w:rsid w:val="00E00A9F"/>
    <w:rsid w:val="00E00C64"/>
    <w:rsid w:val="00E00D27"/>
    <w:rsid w:val="00E013E6"/>
    <w:rsid w:val="00E01472"/>
    <w:rsid w:val="00E01938"/>
    <w:rsid w:val="00E01A38"/>
    <w:rsid w:val="00E01DBD"/>
    <w:rsid w:val="00E01EDD"/>
    <w:rsid w:val="00E0205F"/>
    <w:rsid w:val="00E02171"/>
    <w:rsid w:val="00E027EC"/>
    <w:rsid w:val="00E02A0A"/>
    <w:rsid w:val="00E02ACF"/>
    <w:rsid w:val="00E02C8B"/>
    <w:rsid w:val="00E02DA3"/>
    <w:rsid w:val="00E03011"/>
    <w:rsid w:val="00E03176"/>
    <w:rsid w:val="00E03234"/>
    <w:rsid w:val="00E03B15"/>
    <w:rsid w:val="00E03DF9"/>
    <w:rsid w:val="00E03EB7"/>
    <w:rsid w:val="00E04322"/>
    <w:rsid w:val="00E04682"/>
    <w:rsid w:val="00E04BEE"/>
    <w:rsid w:val="00E04CC5"/>
    <w:rsid w:val="00E050F3"/>
    <w:rsid w:val="00E053BA"/>
    <w:rsid w:val="00E054E9"/>
    <w:rsid w:val="00E054F8"/>
    <w:rsid w:val="00E0579E"/>
    <w:rsid w:val="00E05C9C"/>
    <w:rsid w:val="00E06117"/>
    <w:rsid w:val="00E06305"/>
    <w:rsid w:val="00E06677"/>
    <w:rsid w:val="00E0682B"/>
    <w:rsid w:val="00E06ED6"/>
    <w:rsid w:val="00E06F10"/>
    <w:rsid w:val="00E0714B"/>
    <w:rsid w:val="00E072BE"/>
    <w:rsid w:val="00E0754B"/>
    <w:rsid w:val="00E077BD"/>
    <w:rsid w:val="00E07939"/>
    <w:rsid w:val="00E07F0E"/>
    <w:rsid w:val="00E1016B"/>
    <w:rsid w:val="00E1026B"/>
    <w:rsid w:val="00E103F4"/>
    <w:rsid w:val="00E10D67"/>
    <w:rsid w:val="00E10E1D"/>
    <w:rsid w:val="00E10E26"/>
    <w:rsid w:val="00E111A9"/>
    <w:rsid w:val="00E11499"/>
    <w:rsid w:val="00E11560"/>
    <w:rsid w:val="00E115FB"/>
    <w:rsid w:val="00E11E18"/>
    <w:rsid w:val="00E11E58"/>
    <w:rsid w:val="00E1231E"/>
    <w:rsid w:val="00E1233F"/>
    <w:rsid w:val="00E1241C"/>
    <w:rsid w:val="00E12797"/>
    <w:rsid w:val="00E12F42"/>
    <w:rsid w:val="00E132AE"/>
    <w:rsid w:val="00E13471"/>
    <w:rsid w:val="00E137A8"/>
    <w:rsid w:val="00E139AB"/>
    <w:rsid w:val="00E13B84"/>
    <w:rsid w:val="00E13C2B"/>
    <w:rsid w:val="00E146F8"/>
    <w:rsid w:val="00E14783"/>
    <w:rsid w:val="00E14B09"/>
    <w:rsid w:val="00E14C95"/>
    <w:rsid w:val="00E14D06"/>
    <w:rsid w:val="00E14E43"/>
    <w:rsid w:val="00E14EEB"/>
    <w:rsid w:val="00E152AC"/>
    <w:rsid w:val="00E1574A"/>
    <w:rsid w:val="00E15CF9"/>
    <w:rsid w:val="00E160DC"/>
    <w:rsid w:val="00E160F7"/>
    <w:rsid w:val="00E161EB"/>
    <w:rsid w:val="00E16283"/>
    <w:rsid w:val="00E163C5"/>
    <w:rsid w:val="00E169A2"/>
    <w:rsid w:val="00E16A6F"/>
    <w:rsid w:val="00E16CFD"/>
    <w:rsid w:val="00E16D27"/>
    <w:rsid w:val="00E16E1F"/>
    <w:rsid w:val="00E16EA1"/>
    <w:rsid w:val="00E16FE6"/>
    <w:rsid w:val="00E173BB"/>
    <w:rsid w:val="00E17424"/>
    <w:rsid w:val="00E17949"/>
    <w:rsid w:val="00E17C03"/>
    <w:rsid w:val="00E20162"/>
    <w:rsid w:val="00E204C3"/>
    <w:rsid w:val="00E20A63"/>
    <w:rsid w:val="00E20C06"/>
    <w:rsid w:val="00E20CC7"/>
    <w:rsid w:val="00E21515"/>
    <w:rsid w:val="00E21537"/>
    <w:rsid w:val="00E23484"/>
    <w:rsid w:val="00E23771"/>
    <w:rsid w:val="00E24011"/>
    <w:rsid w:val="00E240B3"/>
    <w:rsid w:val="00E24603"/>
    <w:rsid w:val="00E246DA"/>
    <w:rsid w:val="00E25220"/>
    <w:rsid w:val="00E253A7"/>
    <w:rsid w:val="00E2540D"/>
    <w:rsid w:val="00E254B9"/>
    <w:rsid w:val="00E25D50"/>
    <w:rsid w:val="00E25EE2"/>
    <w:rsid w:val="00E26146"/>
    <w:rsid w:val="00E261B1"/>
    <w:rsid w:val="00E26439"/>
    <w:rsid w:val="00E268B2"/>
    <w:rsid w:val="00E269BF"/>
    <w:rsid w:val="00E26DF2"/>
    <w:rsid w:val="00E26EBE"/>
    <w:rsid w:val="00E2786E"/>
    <w:rsid w:val="00E27B74"/>
    <w:rsid w:val="00E30772"/>
    <w:rsid w:val="00E30923"/>
    <w:rsid w:val="00E30AC3"/>
    <w:rsid w:val="00E30D20"/>
    <w:rsid w:val="00E30EB4"/>
    <w:rsid w:val="00E30FD9"/>
    <w:rsid w:val="00E31178"/>
    <w:rsid w:val="00E31467"/>
    <w:rsid w:val="00E31BFB"/>
    <w:rsid w:val="00E31D24"/>
    <w:rsid w:val="00E31FBA"/>
    <w:rsid w:val="00E3232A"/>
    <w:rsid w:val="00E325F8"/>
    <w:rsid w:val="00E3290C"/>
    <w:rsid w:val="00E329F0"/>
    <w:rsid w:val="00E32E4A"/>
    <w:rsid w:val="00E32F7C"/>
    <w:rsid w:val="00E32FF4"/>
    <w:rsid w:val="00E336B6"/>
    <w:rsid w:val="00E3390C"/>
    <w:rsid w:val="00E339CF"/>
    <w:rsid w:val="00E33D48"/>
    <w:rsid w:val="00E33DA7"/>
    <w:rsid w:val="00E33DB2"/>
    <w:rsid w:val="00E33E8A"/>
    <w:rsid w:val="00E340E8"/>
    <w:rsid w:val="00E348C9"/>
    <w:rsid w:val="00E34D0F"/>
    <w:rsid w:val="00E34D22"/>
    <w:rsid w:val="00E35616"/>
    <w:rsid w:val="00E358E1"/>
    <w:rsid w:val="00E3593F"/>
    <w:rsid w:val="00E35C90"/>
    <w:rsid w:val="00E35FD2"/>
    <w:rsid w:val="00E365CA"/>
    <w:rsid w:val="00E36D3D"/>
    <w:rsid w:val="00E36FD9"/>
    <w:rsid w:val="00E3730E"/>
    <w:rsid w:val="00E37707"/>
    <w:rsid w:val="00E379B7"/>
    <w:rsid w:val="00E400BA"/>
    <w:rsid w:val="00E400EB"/>
    <w:rsid w:val="00E40277"/>
    <w:rsid w:val="00E40826"/>
    <w:rsid w:val="00E408A6"/>
    <w:rsid w:val="00E408D5"/>
    <w:rsid w:val="00E40D70"/>
    <w:rsid w:val="00E40E3A"/>
    <w:rsid w:val="00E411AF"/>
    <w:rsid w:val="00E4123A"/>
    <w:rsid w:val="00E416A8"/>
    <w:rsid w:val="00E420C5"/>
    <w:rsid w:val="00E42490"/>
    <w:rsid w:val="00E425CC"/>
    <w:rsid w:val="00E42EF6"/>
    <w:rsid w:val="00E42F26"/>
    <w:rsid w:val="00E43249"/>
    <w:rsid w:val="00E4367C"/>
    <w:rsid w:val="00E4379B"/>
    <w:rsid w:val="00E442FD"/>
    <w:rsid w:val="00E44652"/>
    <w:rsid w:val="00E44E80"/>
    <w:rsid w:val="00E4500C"/>
    <w:rsid w:val="00E4518A"/>
    <w:rsid w:val="00E453EB"/>
    <w:rsid w:val="00E455FE"/>
    <w:rsid w:val="00E457A4"/>
    <w:rsid w:val="00E4590A"/>
    <w:rsid w:val="00E45A7F"/>
    <w:rsid w:val="00E45B19"/>
    <w:rsid w:val="00E45B31"/>
    <w:rsid w:val="00E45E01"/>
    <w:rsid w:val="00E4613C"/>
    <w:rsid w:val="00E468F0"/>
    <w:rsid w:val="00E46925"/>
    <w:rsid w:val="00E46A52"/>
    <w:rsid w:val="00E474E0"/>
    <w:rsid w:val="00E47693"/>
    <w:rsid w:val="00E476E8"/>
    <w:rsid w:val="00E47B47"/>
    <w:rsid w:val="00E47D96"/>
    <w:rsid w:val="00E500BA"/>
    <w:rsid w:val="00E5051C"/>
    <w:rsid w:val="00E50641"/>
    <w:rsid w:val="00E50962"/>
    <w:rsid w:val="00E509F2"/>
    <w:rsid w:val="00E50D7D"/>
    <w:rsid w:val="00E51509"/>
    <w:rsid w:val="00E52050"/>
    <w:rsid w:val="00E520DB"/>
    <w:rsid w:val="00E522AE"/>
    <w:rsid w:val="00E52571"/>
    <w:rsid w:val="00E526B4"/>
    <w:rsid w:val="00E52957"/>
    <w:rsid w:val="00E52FEF"/>
    <w:rsid w:val="00E532CD"/>
    <w:rsid w:val="00E534C1"/>
    <w:rsid w:val="00E535FB"/>
    <w:rsid w:val="00E54252"/>
    <w:rsid w:val="00E543BF"/>
    <w:rsid w:val="00E54702"/>
    <w:rsid w:val="00E5501B"/>
    <w:rsid w:val="00E55672"/>
    <w:rsid w:val="00E556A2"/>
    <w:rsid w:val="00E5594F"/>
    <w:rsid w:val="00E55D16"/>
    <w:rsid w:val="00E561F4"/>
    <w:rsid w:val="00E569A7"/>
    <w:rsid w:val="00E56C3A"/>
    <w:rsid w:val="00E56DD0"/>
    <w:rsid w:val="00E57898"/>
    <w:rsid w:val="00E57C39"/>
    <w:rsid w:val="00E57D1C"/>
    <w:rsid w:val="00E60525"/>
    <w:rsid w:val="00E606AE"/>
    <w:rsid w:val="00E607F6"/>
    <w:rsid w:val="00E61296"/>
    <w:rsid w:val="00E613E1"/>
    <w:rsid w:val="00E61980"/>
    <w:rsid w:val="00E61B40"/>
    <w:rsid w:val="00E62189"/>
    <w:rsid w:val="00E6218F"/>
    <w:rsid w:val="00E62305"/>
    <w:rsid w:val="00E632DF"/>
    <w:rsid w:val="00E63303"/>
    <w:rsid w:val="00E63436"/>
    <w:rsid w:val="00E6343C"/>
    <w:rsid w:val="00E634C5"/>
    <w:rsid w:val="00E63531"/>
    <w:rsid w:val="00E63693"/>
    <w:rsid w:val="00E63774"/>
    <w:rsid w:val="00E63AEA"/>
    <w:rsid w:val="00E63D8B"/>
    <w:rsid w:val="00E63E31"/>
    <w:rsid w:val="00E643BB"/>
    <w:rsid w:val="00E64532"/>
    <w:rsid w:val="00E647C8"/>
    <w:rsid w:val="00E648F2"/>
    <w:rsid w:val="00E64934"/>
    <w:rsid w:val="00E64B0F"/>
    <w:rsid w:val="00E64BD7"/>
    <w:rsid w:val="00E64E02"/>
    <w:rsid w:val="00E654CE"/>
    <w:rsid w:val="00E6580B"/>
    <w:rsid w:val="00E65B5B"/>
    <w:rsid w:val="00E6611D"/>
    <w:rsid w:val="00E666F4"/>
    <w:rsid w:val="00E66CEF"/>
    <w:rsid w:val="00E66F78"/>
    <w:rsid w:val="00E671E3"/>
    <w:rsid w:val="00E6745D"/>
    <w:rsid w:val="00E6768D"/>
    <w:rsid w:val="00E67876"/>
    <w:rsid w:val="00E67D85"/>
    <w:rsid w:val="00E67E42"/>
    <w:rsid w:val="00E67E86"/>
    <w:rsid w:val="00E70D8B"/>
    <w:rsid w:val="00E70E72"/>
    <w:rsid w:val="00E7136C"/>
    <w:rsid w:val="00E71507"/>
    <w:rsid w:val="00E722FB"/>
    <w:rsid w:val="00E7230F"/>
    <w:rsid w:val="00E72561"/>
    <w:rsid w:val="00E72667"/>
    <w:rsid w:val="00E72A6A"/>
    <w:rsid w:val="00E733C5"/>
    <w:rsid w:val="00E7368C"/>
    <w:rsid w:val="00E73CC0"/>
    <w:rsid w:val="00E73EEE"/>
    <w:rsid w:val="00E73EF2"/>
    <w:rsid w:val="00E741BE"/>
    <w:rsid w:val="00E7462E"/>
    <w:rsid w:val="00E74E12"/>
    <w:rsid w:val="00E74F88"/>
    <w:rsid w:val="00E750EB"/>
    <w:rsid w:val="00E75224"/>
    <w:rsid w:val="00E7552C"/>
    <w:rsid w:val="00E75946"/>
    <w:rsid w:val="00E75B2E"/>
    <w:rsid w:val="00E75D26"/>
    <w:rsid w:val="00E75EB0"/>
    <w:rsid w:val="00E75FE3"/>
    <w:rsid w:val="00E7614A"/>
    <w:rsid w:val="00E762F0"/>
    <w:rsid w:val="00E7642C"/>
    <w:rsid w:val="00E7645F"/>
    <w:rsid w:val="00E76480"/>
    <w:rsid w:val="00E767BB"/>
    <w:rsid w:val="00E76951"/>
    <w:rsid w:val="00E76A70"/>
    <w:rsid w:val="00E76FAC"/>
    <w:rsid w:val="00E7710B"/>
    <w:rsid w:val="00E77150"/>
    <w:rsid w:val="00E771B7"/>
    <w:rsid w:val="00E771F5"/>
    <w:rsid w:val="00E77AFC"/>
    <w:rsid w:val="00E77BBA"/>
    <w:rsid w:val="00E77DF3"/>
    <w:rsid w:val="00E8094F"/>
    <w:rsid w:val="00E80F4E"/>
    <w:rsid w:val="00E810EE"/>
    <w:rsid w:val="00E811E7"/>
    <w:rsid w:val="00E812EC"/>
    <w:rsid w:val="00E8137A"/>
    <w:rsid w:val="00E81563"/>
    <w:rsid w:val="00E816FB"/>
    <w:rsid w:val="00E8187C"/>
    <w:rsid w:val="00E81ADB"/>
    <w:rsid w:val="00E81B94"/>
    <w:rsid w:val="00E82889"/>
    <w:rsid w:val="00E828A5"/>
    <w:rsid w:val="00E8323F"/>
    <w:rsid w:val="00E83EDB"/>
    <w:rsid w:val="00E83F7F"/>
    <w:rsid w:val="00E84384"/>
    <w:rsid w:val="00E84639"/>
    <w:rsid w:val="00E84790"/>
    <w:rsid w:val="00E84A39"/>
    <w:rsid w:val="00E84D57"/>
    <w:rsid w:val="00E850B1"/>
    <w:rsid w:val="00E85190"/>
    <w:rsid w:val="00E85863"/>
    <w:rsid w:val="00E85905"/>
    <w:rsid w:val="00E861DE"/>
    <w:rsid w:val="00E8679C"/>
    <w:rsid w:val="00E86891"/>
    <w:rsid w:val="00E86BD0"/>
    <w:rsid w:val="00E86FFC"/>
    <w:rsid w:val="00E87AEF"/>
    <w:rsid w:val="00E87CF3"/>
    <w:rsid w:val="00E87D60"/>
    <w:rsid w:val="00E87EC7"/>
    <w:rsid w:val="00E90541"/>
    <w:rsid w:val="00E90568"/>
    <w:rsid w:val="00E90DE3"/>
    <w:rsid w:val="00E90E6E"/>
    <w:rsid w:val="00E90FD1"/>
    <w:rsid w:val="00E910EE"/>
    <w:rsid w:val="00E911FA"/>
    <w:rsid w:val="00E91657"/>
    <w:rsid w:val="00E9179C"/>
    <w:rsid w:val="00E918B7"/>
    <w:rsid w:val="00E91B67"/>
    <w:rsid w:val="00E91CD0"/>
    <w:rsid w:val="00E92296"/>
    <w:rsid w:val="00E92433"/>
    <w:rsid w:val="00E926E8"/>
    <w:rsid w:val="00E92BF1"/>
    <w:rsid w:val="00E92E06"/>
    <w:rsid w:val="00E93029"/>
    <w:rsid w:val="00E930DC"/>
    <w:rsid w:val="00E9340E"/>
    <w:rsid w:val="00E935A3"/>
    <w:rsid w:val="00E93C26"/>
    <w:rsid w:val="00E9489E"/>
    <w:rsid w:val="00E953B5"/>
    <w:rsid w:val="00E95476"/>
    <w:rsid w:val="00E954D5"/>
    <w:rsid w:val="00E95A20"/>
    <w:rsid w:val="00E960C5"/>
    <w:rsid w:val="00E96337"/>
    <w:rsid w:val="00E965F9"/>
    <w:rsid w:val="00E96829"/>
    <w:rsid w:val="00E968BC"/>
    <w:rsid w:val="00E96A95"/>
    <w:rsid w:val="00E96F87"/>
    <w:rsid w:val="00E9730F"/>
    <w:rsid w:val="00E97479"/>
    <w:rsid w:val="00E97A1B"/>
    <w:rsid w:val="00E97B69"/>
    <w:rsid w:val="00E97D9F"/>
    <w:rsid w:val="00E97F06"/>
    <w:rsid w:val="00E97F3D"/>
    <w:rsid w:val="00E97F81"/>
    <w:rsid w:val="00EA0574"/>
    <w:rsid w:val="00EA0795"/>
    <w:rsid w:val="00EA0BD1"/>
    <w:rsid w:val="00EA1323"/>
    <w:rsid w:val="00EA1AF4"/>
    <w:rsid w:val="00EA2157"/>
    <w:rsid w:val="00EA24F8"/>
    <w:rsid w:val="00EA27F4"/>
    <w:rsid w:val="00EA28AD"/>
    <w:rsid w:val="00EA2D98"/>
    <w:rsid w:val="00EA2DFD"/>
    <w:rsid w:val="00EA2FDD"/>
    <w:rsid w:val="00EA3039"/>
    <w:rsid w:val="00EA344A"/>
    <w:rsid w:val="00EA38CF"/>
    <w:rsid w:val="00EA4349"/>
    <w:rsid w:val="00EA4898"/>
    <w:rsid w:val="00EA4B27"/>
    <w:rsid w:val="00EA4C6E"/>
    <w:rsid w:val="00EA4F33"/>
    <w:rsid w:val="00EA507D"/>
    <w:rsid w:val="00EA5A52"/>
    <w:rsid w:val="00EA5A9E"/>
    <w:rsid w:val="00EA5BCC"/>
    <w:rsid w:val="00EA5E2C"/>
    <w:rsid w:val="00EA6010"/>
    <w:rsid w:val="00EA6377"/>
    <w:rsid w:val="00EA6B32"/>
    <w:rsid w:val="00EA7013"/>
    <w:rsid w:val="00EA7389"/>
    <w:rsid w:val="00EA74F2"/>
    <w:rsid w:val="00EA75ED"/>
    <w:rsid w:val="00EA7BDF"/>
    <w:rsid w:val="00EA7D64"/>
    <w:rsid w:val="00EB04E6"/>
    <w:rsid w:val="00EB07D0"/>
    <w:rsid w:val="00EB0F31"/>
    <w:rsid w:val="00EB0FEE"/>
    <w:rsid w:val="00EB10D8"/>
    <w:rsid w:val="00EB127E"/>
    <w:rsid w:val="00EB13C8"/>
    <w:rsid w:val="00EB1410"/>
    <w:rsid w:val="00EB1600"/>
    <w:rsid w:val="00EB17C6"/>
    <w:rsid w:val="00EB1B99"/>
    <w:rsid w:val="00EB1D8A"/>
    <w:rsid w:val="00EB1F86"/>
    <w:rsid w:val="00EB27C1"/>
    <w:rsid w:val="00EB2839"/>
    <w:rsid w:val="00EB2D99"/>
    <w:rsid w:val="00EB2EF4"/>
    <w:rsid w:val="00EB3136"/>
    <w:rsid w:val="00EB383C"/>
    <w:rsid w:val="00EB3911"/>
    <w:rsid w:val="00EB392F"/>
    <w:rsid w:val="00EB3C5A"/>
    <w:rsid w:val="00EB3F2F"/>
    <w:rsid w:val="00EB412E"/>
    <w:rsid w:val="00EB4483"/>
    <w:rsid w:val="00EB4F6A"/>
    <w:rsid w:val="00EB5295"/>
    <w:rsid w:val="00EB52BD"/>
    <w:rsid w:val="00EB5CB6"/>
    <w:rsid w:val="00EB62E0"/>
    <w:rsid w:val="00EB641B"/>
    <w:rsid w:val="00EB65C9"/>
    <w:rsid w:val="00EB67B9"/>
    <w:rsid w:val="00EB6D75"/>
    <w:rsid w:val="00EB7305"/>
    <w:rsid w:val="00EB7659"/>
    <w:rsid w:val="00EB7B8D"/>
    <w:rsid w:val="00EB7C4D"/>
    <w:rsid w:val="00EB7DD7"/>
    <w:rsid w:val="00EB7E78"/>
    <w:rsid w:val="00EB7F0A"/>
    <w:rsid w:val="00EC0170"/>
    <w:rsid w:val="00EC039B"/>
    <w:rsid w:val="00EC03C2"/>
    <w:rsid w:val="00EC05B1"/>
    <w:rsid w:val="00EC0E3F"/>
    <w:rsid w:val="00EC0EAB"/>
    <w:rsid w:val="00EC1200"/>
    <w:rsid w:val="00EC121F"/>
    <w:rsid w:val="00EC1661"/>
    <w:rsid w:val="00EC19DD"/>
    <w:rsid w:val="00EC2628"/>
    <w:rsid w:val="00EC2CD3"/>
    <w:rsid w:val="00EC2EFC"/>
    <w:rsid w:val="00EC3069"/>
    <w:rsid w:val="00EC30B1"/>
    <w:rsid w:val="00EC3495"/>
    <w:rsid w:val="00EC3777"/>
    <w:rsid w:val="00EC411A"/>
    <w:rsid w:val="00EC423E"/>
    <w:rsid w:val="00EC4359"/>
    <w:rsid w:val="00EC45CA"/>
    <w:rsid w:val="00EC47F3"/>
    <w:rsid w:val="00EC4AD5"/>
    <w:rsid w:val="00EC4AFE"/>
    <w:rsid w:val="00EC4C74"/>
    <w:rsid w:val="00EC529B"/>
    <w:rsid w:val="00EC5533"/>
    <w:rsid w:val="00EC56C7"/>
    <w:rsid w:val="00EC5739"/>
    <w:rsid w:val="00EC5B34"/>
    <w:rsid w:val="00EC5C18"/>
    <w:rsid w:val="00EC5C54"/>
    <w:rsid w:val="00EC61CF"/>
    <w:rsid w:val="00EC6F88"/>
    <w:rsid w:val="00EC7C41"/>
    <w:rsid w:val="00ED0110"/>
    <w:rsid w:val="00ED02E0"/>
    <w:rsid w:val="00ED039B"/>
    <w:rsid w:val="00ED05EA"/>
    <w:rsid w:val="00ED0D20"/>
    <w:rsid w:val="00ED0EAA"/>
    <w:rsid w:val="00ED0F44"/>
    <w:rsid w:val="00ED1548"/>
    <w:rsid w:val="00ED155A"/>
    <w:rsid w:val="00ED244F"/>
    <w:rsid w:val="00ED27AE"/>
    <w:rsid w:val="00ED28CC"/>
    <w:rsid w:val="00ED28E7"/>
    <w:rsid w:val="00ED2AD4"/>
    <w:rsid w:val="00ED2BE8"/>
    <w:rsid w:val="00ED2C3E"/>
    <w:rsid w:val="00ED2ED5"/>
    <w:rsid w:val="00ED36E0"/>
    <w:rsid w:val="00ED3738"/>
    <w:rsid w:val="00ED38AC"/>
    <w:rsid w:val="00ED437B"/>
    <w:rsid w:val="00ED4ECA"/>
    <w:rsid w:val="00ED4FCE"/>
    <w:rsid w:val="00ED57A2"/>
    <w:rsid w:val="00ED590E"/>
    <w:rsid w:val="00ED6032"/>
    <w:rsid w:val="00ED6102"/>
    <w:rsid w:val="00ED628F"/>
    <w:rsid w:val="00ED6B5E"/>
    <w:rsid w:val="00ED6E38"/>
    <w:rsid w:val="00ED6FDC"/>
    <w:rsid w:val="00ED70CA"/>
    <w:rsid w:val="00ED7203"/>
    <w:rsid w:val="00ED73AF"/>
    <w:rsid w:val="00ED7565"/>
    <w:rsid w:val="00ED76C8"/>
    <w:rsid w:val="00ED78F3"/>
    <w:rsid w:val="00ED7C5F"/>
    <w:rsid w:val="00ED7D81"/>
    <w:rsid w:val="00EE0341"/>
    <w:rsid w:val="00EE03CF"/>
    <w:rsid w:val="00EE142D"/>
    <w:rsid w:val="00EE16EC"/>
    <w:rsid w:val="00EE182B"/>
    <w:rsid w:val="00EE1929"/>
    <w:rsid w:val="00EE19A4"/>
    <w:rsid w:val="00EE2420"/>
    <w:rsid w:val="00EE2478"/>
    <w:rsid w:val="00EE24E4"/>
    <w:rsid w:val="00EE27DD"/>
    <w:rsid w:val="00EE289C"/>
    <w:rsid w:val="00EE30D9"/>
    <w:rsid w:val="00EE3141"/>
    <w:rsid w:val="00EE31B1"/>
    <w:rsid w:val="00EE33B5"/>
    <w:rsid w:val="00EE35ED"/>
    <w:rsid w:val="00EE374C"/>
    <w:rsid w:val="00EE3A08"/>
    <w:rsid w:val="00EE3A2B"/>
    <w:rsid w:val="00EE3AC7"/>
    <w:rsid w:val="00EE3BA6"/>
    <w:rsid w:val="00EE4502"/>
    <w:rsid w:val="00EE45D8"/>
    <w:rsid w:val="00EE53A9"/>
    <w:rsid w:val="00EE55D7"/>
    <w:rsid w:val="00EE577A"/>
    <w:rsid w:val="00EE585C"/>
    <w:rsid w:val="00EE5A78"/>
    <w:rsid w:val="00EE5D6B"/>
    <w:rsid w:val="00EE5F2F"/>
    <w:rsid w:val="00EE6553"/>
    <w:rsid w:val="00EE6B4C"/>
    <w:rsid w:val="00EE6CA8"/>
    <w:rsid w:val="00EE6D30"/>
    <w:rsid w:val="00EE73BC"/>
    <w:rsid w:val="00EF04FA"/>
    <w:rsid w:val="00EF08D3"/>
    <w:rsid w:val="00EF0B68"/>
    <w:rsid w:val="00EF0BD0"/>
    <w:rsid w:val="00EF0C66"/>
    <w:rsid w:val="00EF0E0C"/>
    <w:rsid w:val="00EF117F"/>
    <w:rsid w:val="00EF161A"/>
    <w:rsid w:val="00EF18A9"/>
    <w:rsid w:val="00EF25B5"/>
    <w:rsid w:val="00EF2658"/>
    <w:rsid w:val="00EF2852"/>
    <w:rsid w:val="00EF2AD1"/>
    <w:rsid w:val="00EF2BBC"/>
    <w:rsid w:val="00EF2E32"/>
    <w:rsid w:val="00EF3399"/>
    <w:rsid w:val="00EF391C"/>
    <w:rsid w:val="00EF3D40"/>
    <w:rsid w:val="00EF403A"/>
    <w:rsid w:val="00EF491D"/>
    <w:rsid w:val="00EF4C8B"/>
    <w:rsid w:val="00EF4D4E"/>
    <w:rsid w:val="00EF4E6A"/>
    <w:rsid w:val="00EF516F"/>
    <w:rsid w:val="00EF5648"/>
    <w:rsid w:val="00EF56ED"/>
    <w:rsid w:val="00EF5CF4"/>
    <w:rsid w:val="00EF63AD"/>
    <w:rsid w:val="00EF6EC8"/>
    <w:rsid w:val="00EF72C1"/>
    <w:rsid w:val="00EF73DC"/>
    <w:rsid w:val="00EF75CC"/>
    <w:rsid w:val="00EF79D8"/>
    <w:rsid w:val="00EF7A17"/>
    <w:rsid w:val="00F0025B"/>
    <w:rsid w:val="00F00637"/>
    <w:rsid w:val="00F007F5"/>
    <w:rsid w:val="00F013DA"/>
    <w:rsid w:val="00F015B3"/>
    <w:rsid w:val="00F01766"/>
    <w:rsid w:val="00F01A2E"/>
    <w:rsid w:val="00F01F09"/>
    <w:rsid w:val="00F020EB"/>
    <w:rsid w:val="00F023E6"/>
    <w:rsid w:val="00F024FE"/>
    <w:rsid w:val="00F026FA"/>
    <w:rsid w:val="00F0325B"/>
    <w:rsid w:val="00F033DC"/>
    <w:rsid w:val="00F03570"/>
    <w:rsid w:val="00F03756"/>
    <w:rsid w:val="00F03DB0"/>
    <w:rsid w:val="00F03EEC"/>
    <w:rsid w:val="00F03F13"/>
    <w:rsid w:val="00F04016"/>
    <w:rsid w:val="00F0477C"/>
    <w:rsid w:val="00F047BA"/>
    <w:rsid w:val="00F0490F"/>
    <w:rsid w:val="00F04BF2"/>
    <w:rsid w:val="00F0586E"/>
    <w:rsid w:val="00F05B02"/>
    <w:rsid w:val="00F05FC1"/>
    <w:rsid w:val="00F06B06"/>
    <w:rsid w:val="00F0725E"/>
    <w:rsid w:val="00F07819"/>
    <w:rsid w:val="00F078E1"/>
    <w:rsid w:val="00F07D7B"/>
    <w:rsid w:val="00F07F9B"/>
    <w:rsid w:val="00F07FF1"/>
    <w:rsid w:val="00F104C2"/>
    <w:rsid w:val="00F10C0C"/>
    <w:rsid w:val="00F11A7E"/>
    <w:rsid w:val="00F11AD1"/>
    <w:rsid w:val="00F1216E"/>
    <w:rsid w:val="00F12ADC"/>
    <w:rsid w:val="00F1306C"/>
    <w:rsid w:val="00F130BF"/>
    <w:rsid w:val="00F13574"/>
    <w:rsid w:val="00F135E0"/>
    <w:rsid w:val="00F13620"/>
    <w:rsid w:val="00F13687"/>
    <w:rsid w:val="00F137EF"/>
    <w:rsid w:val="00F13E01"/>
    <w:rsid w:val="00F142C6"/>
    <w:rsid w:val="00F1459A"/>
    <w:rsid w:val="00F14785"/>
    <w:rsid w:val="00F15664"/>
    <w:rsid w:val="00F15882"/>
    <w:rsid w:val="00F159E5"/>
    <w:rsid w:val="00F15E62"/>
    <w:rsid w:val="00F161CE"/>
    <w:rsid w:val="00F166B7"/>
    <w:rsid w:val="00F169AF"/>
    <w:rsid w:val="00F16DE5"/>
    <w:rsid w:val="00F170B1"/>
    <w:rsid w:val="00F174FA"/>
    <w:rsid w:val="00F17649"/>
    <w:rsid w:val="00F177E9"/>
    <w:rsid w:val="00F17A71"/>
    <w:rsid w:val="00F17EC6"/>
    <w:rsid w:val="00F2018A"/>
    <w:rsid w:val="00F202EE"/>
    <w:rsid w:val="00F20307"/>
    <w:rsid w:val="00F204BD"/>
    <w:rsid w:val="00F20797"/>
    <w:rsid w:val="00F20DBB"/>
    <w:rsid w:val="00F21008"/>
    <w:rsid w:val="00F2132B"/>
    <w:rsid w:val="00F2138C"/>
    <w:rsid w:val="00F217D1"/>
    <w:rsid w:val="00F21966"/>
    <w:rsid w:val="00F225E3"/>
    <w:rsid w:val="00F23846"/>
    <w:rsid w:val="00F2394D"/>
    <w:rsid w:val="00F23C91"/>
    <w:rsid w:val="00F23D71"/>
    <w:rsid w:val="00F24136"/>
    <w:rsid w:val="00F243A5"/>
    <w:rsid w:val="00F24B9E"/>
    <w:rsid w:val="00F24C4C"/>
    <w:rsid w:val="00F2532A"/>
    <w:rsid w:val="00F253B4"/>
    <w:rsid w:val="00F25A62"/>
    <w:rsid w:val="00F25DE4"/>
    <w:rsid w:val="00F26405"/>
    <w:rsid w:val="00F2663B"/>
    <w:rsid w:val="00F26696"/>
    <w:rsid w:val="00F268DF"/>
    <w:rsid w:val="00F26B6B"/>
    <w:rsid w:val="00F26ED5"/>
    <w:rsid w:val="00F273EC"/>
    <w:rsid w:val="00F274D4"/>
    <w:rsid w:val="00F274E3"/>
    <w:rsid w:val="00F27B19"/>
    <w:rsid w:val="00F27BF2"/>
    <w:rsid w:val="00F27EC5"/>
    <w:rsid w:val="00F30418"/>
    <w:rsid w:val="00F304A1"/>
    <w:rsid w:val="00F305FF"/>
    <w:rsid w:val="00F3075A"/>
    <w:rsid w:val="00F30EEF"/>
    <w:rsid w:val="00F30FC9"/>
    <w:rsid w:val="00F31396"/>
    <w:rsid w:val="00F31445"/>
    <w:rsid w:val="00F31806"/>
    <w:rsid w:val="00F31980"/>
    <w:rsid w:val="00F31B62"/>
    <w:rsid w:val="00F31B9A"/>
    <w:rsid w:val="00F31C2F"/>
    <w:rsid w:val="00F31FC0"/>
    <w:rsid w:val="00F32045"/>
    <w:rsid w:val="00F3205A"/>
    <w:rsid w:val="00F32276"/>
    <w:rsid w:val="00F3267C"/>
    <w:rsid w:val="00F32986"/>
    <w:rsid w:val="00F33AA9"/>
    <w:rsid w:val="00F33BA1"/>
    <w:rsid w:val="00F34412"/>
    <w:rsid w:val="00F346B6"/>
    <w:rsid w:val="00F346E9"/>
    <w:rsid w:val="00F34DD0"/>
    <w:rsid w:val="00F34F9D"/>
    <w:rsid w:val="00F3501E"/>
    <w:rsid w:val="00F35248"/>
    <w:rsid w:val="00F35256"/>
    <w:rsid w:val="00F356CE"/>
    <w:rsid w:val="00F35967"/>
    <w:rsid w:val="00F35D2C"/>
    <w:rsid w:val="00F35DD3"/>
    <w:rsid w:val="00F3605C"/>
    <w:rsid w:val="00F3613E"/>
    <w:rsid w:val="00F36816"/>
    <w:rsid w:val="00F36AD3"/>
    <w:rsid w:val="00F36DF1"/>
    <w:rsid w:val="00F36FEE"/>
    <w:rsid w:val="00F37372"/>
    <w:rsid w:val="00F37AD4"/>
    <w:rsid w:val="00F37C44"/>
    <w:rsid w:val="00F37CA8"/>
    <w:rsid w:val="00F37E4B"/>
    <w:rsid w:val="00F40685"/>
    <w:rsid w:val="00F407F1"/>
    <w:rsid w:val="00F4080F"/>
    <w:rsid w:val="00F4099C"/>
    <w:rsid w:val="00F40AA5"/>
    <w:rsid w:val="00F40B4C"/>
    <w:rsid w:val="00F40D70"/>
    <w:rsid w:val="00F41204"/>
    <w:rsid w:val="00F416C3"/>
    <w:rsid w:val="00F41756"/>
    <w:rsid w:val="00F417E3"/>
    <w:rsid w:val="00F41F73"/>
    <w:rsid w:val="00F423F3"/>
    <w:rsid w:val="00F428DB"/>
    <w:rsid w:val="00F42AE7"/>
    <w:rsid w:val="00F42DE7"/>
    <w:rsid w:val="00F43167"/>
    <w:rsid w:val="00F43513"/>
    <w:rsid w:val="00F439E8"/>
    <w:rsid w:val="00F43A0D"/>
    <w:rsid w:val="00F44497"/>
    <w:rsid w:val="00F44529"/>
    <w:rsid w:val="00F44962"/>
    <w:rsid w:val="00F44CED"/>
    <w:rsid w:val="00F44F2D"/>
    <w:rsid w:val="00F4505A"/>
    <w:rsid w:val="00F4513A"/>
    <w:rsid w:val="00F453A7"/>
    <w:rsid w:val="00F455CA"/>
    <w:rsid w:val="00F45626"/>
    <w:rsid w:val="00F4582C"/>
    <w:rsid w:val="00F45AE1"/>
    <w:rsid w:val="00F45D60"/>
    <w:rsid w:val="00F46605"/>
    <w:rsid w:val="00F46609"/>
    <w:rsid w:val="00F46758"/>
    <w:rsid w:val="00F467AA"/>
    <w:rsid w:val="00F46B65"/>
    <w:rsid w:val="00F46B87"/>
    <w:rsid w:val="00F470A2"/>
    <w:rsid w:val="00F47D21"/>
    <w:rsid w:val="00F47E36"/>
    <w:rsid w:val="00F503F5"/>
    <w:rsid w:val="00F5071F"/>
    <w:rsid w:val="00F50B05"/>
    <w:rsid w:val="00F50C6B"/>
    <w:rsid w:val="00F50E08"/>
    <w:rsid w:val="00F50EEA"/>
    <w:rsid w:val="00F51305"/>
    <w:rsid w:val="00F5152C"/>
    <w:rsid w:val="00F517C0"/>
    <w:rsid w:val="00F517C8"/>
    <w:rsid w:val="00F51920"/>
    <w:rsid w:val="00F51ECD"/>
    <w:rsid w:val="00F51FF0"/>
    <w:rsid w:val="00F51FFA"/>
    <w:rsid w:val="00F5208F"/>
    <w:rsid w:val="00F520B7"/>
    <w:rsid w:val="00F52B46"/>
    <w:rsid w:val="00F52D51"/>
    <w:rsid w:val="00F531A0"/>
    <w:rsid w:val="00F53514"/>
    <w:rsid w:val="00F538D8"/>
    <w:rsid w:val="00F53B44"/>
    <w:rsid w:val="00F53BA5"/>
    <w:rsid w:val="00F54029"/>
    <w:rsid w:val="00F542CA"/>
    <w:rsid w:val="00F5438E"/>
    <w:rsid w:val="00F5484E"/>
    <w:rsid w:val="00F54C2B"/>
    <w:rsid w:val="00F55292"/>
    <w:rsid w:val="00F5538C"/>
    <w:rsid w:val="00F554A6"/>
    <w:rsid w:val="00F5552F"/>
    <w:rsid w:val="00F55B77"/>
    <w:rsid w:val="00F56225"/>
    <w:rsid w:val="00F562EA"/>
    <w:rsid w:val="00F56A68"/>
    <w:rsid w:val="00F570A3"/>
    <w:rsid w:val="00F572C6"/>
    <w:rsid w:val="00F574A8"/>
    <w:rsid w:val="00F57574"/>
    <w:rsid w:val="00F577E3"/>
    <w:rsid w:val="00F57BED"/>
    <w:rsid w:val="00F6061E"/>
    <w:rsid w:val="00F607D5"/>
    <w:rsid w:val="00F60AA9"/>
    <w:rsid w:val="00F610E6"/>
    <w:rsid w:val="00F61759"/>
    <w:rsid w:val="00F61848"/>
    <w:rsid w:val="00F61CA8"/>
    <w:rsid w:val="00F61D5D"/>
    <w:rsid w:val="00F61D95"/>
    <w:rsid w:val="00F61E48"/>
    <w:rsid w:val="00F6241E"/>
    <w:rsid w:val="00F628E9"/>
    <w:rsid w:val="00F62A09"/>
    <w:rsid w:val="00F62A7B"/>
    <w:rsid w:val="00F63A8B"/>
    <w:rsid w:val="00F63B26"/>
    <w:rsid w:val="00F642BA"/>
    <w:rsid w:val="00F6436A"/>
    <w:rsid w:val="00F64873"/>
    <w:rsid w:val="00F64B46"/>
    <w:rsid w:val="00F64D09"/>
    <w:rsid w:val="00F64EF8"/>
    <w:rsid w:val="00F6507C"/>
    <w:rsid w:val="00F650A2"/>
    <w:rsid w:val="00F650DF"/>
    <w:rsid w:val="00F65214"/>
    <w:rsid w:val="00F65328"/>
    <w:rsid w:val="00F659FD"/>
    <w:rsid w:val="00F65C08"/>
    <w:rsid w:val="00F65DCA"/>
    <w:rsid w:val="00F65F7A"/>
    <w:rsid w:val="00F66518"/>
    <w:rsid w:val="00F66637"/>
    <w:rsid w:val="00F666F3"/>
    <w:rsid w:val="00F66BB8"/>
    <w:rsid w:val="00F66C14"/>
    <w:rsid w:val="00F672E9"/>
    <w:rsid w:val="00F67457"/>
    <w:rsid w:val="00F67BBF"/>
    <w:rsid w:val="00F67C40"/>
    <w:rsid w:val="00F67C83"/>
    <w:rsid w:val="00F7005B"/>
    <w:rsid w:val="00F70503"/>
    <w:rsid w:val="00F705C4"/>
    <w:rsid w:val="00F70801"/>
    <w:rsid w:val="00F70A1B"/>
    <w:rsid w:val="00F70C7F"/>
    <w:rsid w:val="00F70CE8"/>
    <w:rsid w:val="00F70D5A"/>
    <w:rsid w:val="00F71015"/>
    <w:rsid w:val="00F7104C"/>
    <w:rsid w:val="00F7133F"/>
    <w:rsid w:val="00F715CF"/>
    <w:rsid w:val="00F7188A"/>
    <w:rsid w:val="00F71E9A"/>
    <w:rsid w:val="00F7254E"/>
    <w:rsid w:val="00F72C1F"/>
    <w:rsid w:val="00F72F28"/>
    <w:rsid w:val="00F738DC"/>
    <w:rsid w:val="00F7390E"/>
    <w:rsid w:val="00F73E88"/>
    <w:rsid w:val="00F743EA"/>
    <w:rsid w:val="00F7459A"/>
    <w:rsid w:val="00F74A3A"/>
    <w:rsid w:val="00F74B44"/>
    <w:rsid w:val="00F74E7E"/>
    <w:rsid w:val="00F750FC"/>
    <w:rsid w:val="00F753C3"/>
    <w:rsid w:val="00F753DA"/>
    <w:rsid w:val="00F756FF"/>
    <w:rsid w:val="00F75970"/>
    <w:rsid w:val="00F75CD7"/>
    <w:rsid w:val="00F75D88"/>
    <w:rsid w:val="00F76259"/>
    <w:rsid w:val="00F76364"/>
    <w:rsid w:val="00F76AC6"/>
    <w:rsid w:val="00F76BF2"/>
    <w:rsid w:val="00F77ADD"/>
    <w:rsid w:val="00F77B73"/>
    <w:rsid w:val="00F809A8"/>
    <w:rsid w:val="00F80CA8"/>
    <w:rsid w:val="00F817A8"/>
    <w:rsid w:val="00F81C16"/>
    <w:rsid w:val="00F81DC4"/>
    <w:rsid w:val="00F829C0"/>
    <w:rsid w:val="00F82E60"/>
    <w:rsid w:val="00F83350"/>
    <w:rsid w:val="00F833C2"/>
    <w:rsid w:val="00F83805"/>
    <w:rsid w:val="00F83991"/>
    <w:rsid w:val="00F83C6C"/>
    <w:rsid w:val="00F8415B"/>
    <w:rsid w:val="00F841A2"/>
    <w:rsid w:val="00F844FB"/>
    <w:rsid w:val="00F8483E"/>
    <w:rsid w:val="00F849C1"/>
    <w:rsid w:val="00F84F9C"/>
    <w:rsid w:val="00F85119"/>
    <w:rsid w:val="00F8532C"/>
    <w:rsid w:val="00F8555B"/>
    <w:rsid w:val="00F85614"/>
    <w:rsid w:val="00F85A23"/>
    <w:rsid w:val="00F85D2D"/>
    <w:rsid w:val="00F8602F"/>
    <w:rsid w:val="00F86374"/>
    <w:rsid w:val="00F86491"/>
    <w:rsid w:val="00F868DD"/>
    <w:rsid w:val="00F86B4E"/>
    <w:rsid w:val="00F86C15"/>
    <w:rsid w:val="00F86C33"/>
    <w:rsid w:val="00F86C4A"/>
    <w:rsid w:val="00F86D18"/>
    <w:rsid w:val="00F86DCE"/>
    <w:rsid w:val="00F87148"/>
    <w:rsid w:val="00F87539"/>
    <w:rsid w:val="00F875A7"/>
    <w:rsid w:val="00F87756"/>
    <w:rsid w:val="00F87853"/>
    <w:rsid w:val="00F87893"/>
    <w:rsid w:val="00F8791A"/>
    <w:rsid w:val="00F87CDE"/>
    <w:rsid w:val="00F9048B"/>
    <w:rsid w:val="00F90536"/>
    <w:rsid w:val="00F907E2"/>
    <w:rsid w:val="00F90833"/>
    <w:rsid w:val="00F908F3"/>
    <w:rsid w:val="00F90A3E"/>
    <w:rsid w:val="00F90AC8"/>
    <w:rsid w:val="00F90DFF"/>
    <w:rsid w:val="00F91149"/>
    <w:rsid w:val="00F9133A"/>
    <w:rsid w:val="00F919FC"/>
    <w:rsid w:val="00F91E04"/>
    <w:rsid w:val="00F928A0"/>
    <w:rsid w:val="00F92951"/>
    <w:rsid w:val="00F92E45"/>
    <w:rsid w:val="00F92F43"/>
    <w:rsid w:val="00F92FC5"/>
    <w:rsid w:val="00F93246"/>
    <w:rsid w:val="00F9386F"/>
    <w:rsid w:val="00F93E6B"/>
    <w:rsid w:val="00F9424E"/>
    <w:rsid w:val="00F9467B"/>
    <w:rsid w:val="00F94684"/>
    <w:rsid w:val="00F948A1"/>
    <w:rsid w:val="00F94D35"/>
    <w:rsid w:val="00F94D5B"/>
    <w:rsid w:val="00F951ED"/>
    <w:rsid w:val="00F95253"/>
    <w:rsid w:val="00F954F7"/>
    <w:rsid w:val="00F956EC"/>
    <w:rsid w:val="00F95B84"/>
    <w:rsid w:val="00F95F67"/>
    <w:rsid w:val="00F95FBE"/>
    <w:rsid w:val="00F96541"/>
    <w:rsid w:val="00F9695B"/>
    <w:rsid w:val="00F96984"/>
    <w:rsid w:val="00F969D5"/>
    <w:rsid w:val="00F96C3B"/>
    <w:rsid w:val="00F96F11"/>
    <w:rsid w:val="00F97047"/>
    <w:rsid w:val="00F972A3"/>
    <w:rsid w:val="00F97D3B"/>
    <w:rsid w:val="00FA00DF"/>
    <w:rsid w:val="00FA0251"/>
    <w:rsid w:val="00FA0519"/>
    <w:rsid w:val="00FA05D7"/>
    <w:rsid w:val="00FA067C"/>
    <w:rsid w:val="00FA0693"/>
    <w:rsid w:val="00FA0695"/>
    <w:rsid w:val="00FA0AD5"/>
    <w:rsid w:val="00FA0D3C"/>
    <w:rsid w:val="00FA0FB4"/>
    <w:rsid w:val="00FA10BA"/>
    <w:rsid w:val="00FA1572"/>
    <w:rsid w:val="00FA1AD8"/>
    <w:rsid w:val="00FA2601"/>
    <w:rsid w:val="00FA263C"/>
    <w:rsid w:val="00FA26E0"/>
    <w:rsid w:val="00FA347C"/>
    <w:rsid w:val="00FA3D32"/>
    <w:rsid w:val="00FA3E48"/>
    <w:rsid w:val="00FA41D5"/>
    <w:rsid w:val="00FA4296"/>
    <w:rsid w:val="00FA480B"/>
    <w:rsid w:val="00FA4AC8"/>
    <w:rsid w:val="00FA5994"/>
    <w:rsid w:val="00FA5A26"/>
    <w:rsid w:val="00FA5E23"/>
    <w:rsid w:val="00FA650F"/>
    <w:rsid w:val="00FA6CEE"/>
    <w:rsid w:val="00FA7016"/>
    <w:rsid w:val="00FA706B"/>
    <w:rsid w:val="00FA707D"/>
    <w:rsid w:val="00FA7DD0"/>
    <w:rsid w:val="00FA7EF5"/>
    <w:rsid w:val="00FA7F6E"/>
    <w:rsid w:val="00FB0139"/>
    <w:rsid w:val="00FB0B3D"/>
    <w:rsid w:val="00FB0BBA"/>
    <w:rsid w:val="00FB0C87"/>
    <w:rsid w:val="00FB0E14"/>
    <w:rsid w:val="00FB1836"/>
    <w:rsid w:val="00FB1AFB"/>
    <w:rsid w:val="00FB1DC4"/>
    <w:rsid w:val="00FB1ECB"/>
    <w:rsid w:val="00FB1EDB"/>
    <w:rsid w:val="00FB1F68"/>
    <w:rsid w:val="00FB2514"/>
    <w:rsid w:val="00FB26C3"/>
    <w:rsid w:val="00FB300D"/>
    <w:rsid w:val="00FB305F"/>
    <w:rsid w:val="00FB30B6"/>
    <w:rsid w:val="00FB31C6"/>
    <w:rsid w:val="00FB3517"/>
    <w:rsid w:val="00FB3A18"/>
    <w:rsid w:val="00FB3DDD"/>
    <w:rsid w:val="00FB3FAD"/>
    <w:rsid w:val="00FB4794"/>
    <w:rsid w:val="00FB4AAD"/>
    <w:rsid w:val="00FB4E7E"/>
    <w:rsid w:val="00FB510B"/>
    <w:rsid w:val="00FB51B4"/>
    <w:rsid w:val="00FB5445"/>
    <w:rsid w:val="00FB5A56"/>
    <w:rsid w:val="00FB5D19"/>
    <w:rsid w:val="00FB5DE9"/>
    <w:rsid w:val="00FB63D6"/>
    <w:rsid w:val="00FB64C5"/>
    <w:rsid w:val="00FB66D3"/>
    <w:rsid w:val="00FB71EB"/>
    <w:rsid w:val="00FB71F7"/>
    <w:rsid w:val="00FB721C"/>
    <w:rsid w:val="00FB7422"/>
    <w:rsid w:val="00FB7EB1"/>
    <w:rsid w:val="00FB7FF6"/>
    <w:rsid w:val="00FC04F7"/>
    <w:rsid w:val="00FC08E5"/>
    <w:rsid w:val="00FC11E2"/>
    <w:rsid w:val="00FC1213"/>
    <w:rsid w:val="00FC131F"/>
    <w:rsid w:val="00FC1A30"/>
    <w:rsid w:val="00FC209E"/>
    <w:rsid w:val="00FC20FC"/>
    <w:rsid w:val="00FC2288"/>
    <w:rsid w:val="00FC246F"/>
    <w:rsid w:val="00FC2704"/>
    <w:rsid w:val="00FC28C1"/>
    <w:rsid w:val="00FC2925"/>
    <w:rsid w:val="00FC2B6F"/>
    <w:rsid w:val="00FC2CD2"/>
    <w:rsid w:val="00FC315D"/>
    <w:rsid w:val="00FC324A"/>
    <w:rsid w:val="00FC3337"/>
    <w:rsid w:val="00FC3394"/>
    <w:rsid w:val="00FC3EDA"/>
    <w:rsid w:val="00FC3F57"/>
    <w:rsid w:val="00FC3FB1"/>
    <w:rsid w:val="00FC486C"/>
    <w:rsid w:val="00FC4C9C"/>
    <w:rsid w:val="00FC4E48"/>
    <w:rsid w:val="00FC4F2F"/>
    <w:rsid w:val="00FC52AB"/>
    <w:rsid w:val="00FC5631"/>
    <w:rsid w:val="00FC6165"/>
    <w:rsid w:val="00FC6A76"/>
    <w:rsid w:val="00FC6D9B"/>
    <w:rsid w:val="00FC6EF3"/>
    <w:rsid w:val="00FC70C3"/>
    <w:rsid w:val="00FC7208"/>
    <w:rsid w:val="00FC787C"/>
    <w:rsid w:val="00FC7EAE"/>
    <w:rsid w:val="00FD0277"/>
    <w:rsid w:val="00FD04A4"/>
    <w:rsid w:val="00FD0590"/>
    <w:rsid w:val="00FD0CC6"/>
    <w:rsid w:val="00FD0D1C"/>
    <w:rsid w:val="00FD0DD8"/>
    <w:rsid w:val="00FD1127"/>
    <w:rsid w:val="00FD120A"/>
    <w:rsid w:val="00FD12C4"/>
    <w:rsid w:val="00FD13F7"/>
    <w:rsid w:val="00FD1537"/>
    <w:rsid w:val="00FD1859"/>
    <w:rsid w:val="00FD1F1F"/>
    <w:rsid w:val="00FD23C3"/>
    <w:rsid w:val="00FD2B8B"/>
    <w:rsid w:val="00FD2D67"/>
    <w:rsid w:val="00FD3245"/>
    <w:rsid w:val="00FD38BB"/>
    <w:rsid w:val="00FD39CA"/>
    <w:rsid w:val="00FD3AB2"/>
    <w:rsid w:val="00FD3C32"/>
    <w:rsid w:val="00FD3EE8"/>
    <w:rsid w:val="00FD3FCE"/>
    <w:rsid w:val="00FD4036"/>
    <w:rsid w:val="00FD4234"/>
    <w:rsid w:val="00FD43FD"/>
    <w:rsid w:val="00FD45A3"/>
    <w:rsid w:val="00FD4ADF"/>
    <w:rsid w:val="00FD4BC7"/>
    <w:rsid w:val="00FD4F6E"/>
    <w:rsid w:val="00FD4FA1"/>
    <w:rsid w:val="00FD511C"/>
    <w:rsid w:val="00FD57CF"/>
    <w:rsid w:val="00FD5F00"/>
    <w:rsid w:val="00FD6525"/>
    <w:rsid w:val="00FD6634"/>
    <w:rsid w:val="00FD6733"/>
    <w:rsid w:val="00FD692C"/>
    <w:rsid w:val="00FD7073"/>
    <w:rsid w:val="00FD740E"/>
    <w:rsid w:val="00FD7697"/>
    <w:rsid w:val="00FD7D0F"/>
    <w:rsid w:val="00FD7ED0"/>
    <w:rsid w:val="00FE0078"/>
    <w:rsid w:val="00FE0272"/>
    <w:rsid w:val="00FE0747"/>
    <w:rsid w:val="00FE08E7"/>
    <w:rsid w:val="00FE1444"/>
    <w:rsid w:val="00FE1F4A"/>
    <w:rsid w:val="00FE1F94"/>
    <w:rsid w:val="00FE2348"/>
    <w:rsid w:val="00FE23D8"/>
    <w:rsid w:val="00FE2500"/>
    <w:rsid w:val="00FE292F"/>
    <w:rsid w:val="00FE2BAE"/>
    <w:rsid w:val="00FE2C37"/>
    <w:rsid w:val="00FE2CA1"/>
    <w:rsid w:val="00FE2F5B"/>
    <w:rsid w:val="00FE30E7"/>
    <w:rsid w:val="00FE3158"/>
    <w:rsid w:val="00FE32AC"/>
    <w:rsid w:val="00FE3486"/>
    <w:rsid w:val="00FE38C6"/>
    <w:rsid w:val="00FE3A1B"/>
    <w:rsid w:val="00FE4004"/>
    <w:rsid w:val="00FE4353"/>
    <w:rsid w:val="00FE4405"/>
    <w:rsid w:val="00FE4825"/>
    <w:rsid w:val="00FE4A47"/>
    <w:rsid w:val="00FE5137"/>
    <w:rsid w:val="00FE51F1"/>
    <w:rsid w:val="00FE5507"/>
    <w:rsid w:val="00FE5576"/>
    <w:rsid w:val="00FE5608"/>
    <w:rsid w:val="00FE5F83"/>
    <w:rsid w:val="00FE630C"/>
    <w:rsid w:val="00FE64E6"/>
    <w:rsid w:val="00FE7037"/>
    <w:rsid w:val="00FE7155"/>
    <w:rsid w:val="00FE7258"/>
    <w:rsid w:val="00FE78A3"/>
    <w:rsid w:val="00FE7940"/>
    <w:rsid w:val="00FE7A89"/>
    <w:rsid w:val="00FE7DC3"/>
    <w:rsid w:val="00FE7EEE"/>
    <w:rsid w:val="00FF04D3"/>
    <w:rsid w:val="00FF0FB6"/>
    <w:rsid w:val="00FF140C"/>
    <w:rsid w:val="00FF148F"/>
    <w:rsid w:val="00FF17C0"/>
    <w:rsid w:val="00FF1D5A"/>
    <w:rsid w:val="00FF203F"/>
    <w:rsid w:val="00FF241E"/>
    <w:rsid w:val="00FF277B"/>
    <w:rsid w:val="00FF2787"/>
    <w:rsid w:val="00FF3017"/>
    <w:rsid w:val="00FF31A5"/>
    <w:rsid w:val="00FF36A7"/>
    <w:rsid w:val="00FF36E9"/>
    <w:rsid w:val="00FF39BB"/>
    <w:rsid w:val="00FF41C6"/>
    <w:rsid w:val="00FF4550"/>
    <w:rsid w:val="00FF4C44"/>
    <w:rsid w:val="00FF4E63"/>
    <w:rsid w:val="00FF589A"/>
    <w:rsid w:val="00FF5C51"/>
    <w:rsid w:val="00FF5DAB"/>
    <w:rsid w:val="00FF5E44"/>
    <w:rsid w:val="00FF5FA2"/>
    <w:rsid w:val="00FF64ED"/>
    <w:rsid w:val="00FF65D3"/>
    <w:rsid w:val="00FF66FB"/>
    <w:rsid w:val="00FF6723"/>
    <w:rsid w:val="00FF6D83"/>
    <w:rsid w:val="00FF6D85"/>
    <w:rsid w:val="00FF6F30"/>
    <w:rsid w:val="00FF6FE4"/>
    <w:rsid w:val="00FF71C8"/>
    <w:rsid w:val="00FF759D"/>
    <w:rsid w:val="00FF7AC3"/>
    <w:rsid w:val="00FF7B32"/>
    <w:rsid w:val="00FF7DCE"/>
    <w:rsid w:val="011B59A2"/>
    <w:rsid w:val="012375FA"/>
    <w:rsid w:val="014B4542"/>
    <w:rsid w:val="01AA3877"/>
    <w:rsid w:val="01C52716"/>
    <w:rsid w:val="01CB5009"/>
    <w:rsid w:val="01FD7E4B"/>
    <w:rsid w:val="02065914"/>
    <w:rsid w:val="02361BA3"/>
    <w:rsid w:val="02597772"/>
    <w:rsid w:val="02A20F2C"/>
    <w:rsid w:val="02CA54A7"/>
    <w:rsid w:val="02F64FDA"/>
    <w:rsid w:val="02FA5347"/>
    <w:rsid w:val="03545E7F"/>
    <w:rsid w:val="03C319A1"/>
    <w:rsid w:val="03D8327A"/>
    <w:rsid w:val="03ED2CEA"/>
    <w:rsid w:val="045075F0"/>
    <w:rsid w:val="04511BF6"/>
    <w:rsid w:val="04576E72"/>
    <w:rsid w:val="04624276"/>
    <w:rsid w:val="048335B2"/>
    <w:rsid w:val="048E7A55"/>
    <w:rsid w:val="04B335DD"/>
    <w:rsid w:val="04ED68CF"/>
    <w:rsid w:val="04EF27BB"/>
    <w:rsid w:val="051923BD"/>
    <w:rsid w:val="051D6AF4"/>
    <w:rsid w:val="05B07E89"/>
    <w:rsid w:val="05B64EE1"/>
    <w:rsid w:val="05D654AF"/>
    <w:rsid w:val="05DA0454"/>
    <w:rsid w:val="05FB00B4"/>
    <w:rsid w:val="06075AAA"/>
    <w:rsid w:val="06233BF8"/>
    <w:rsid w:val="065B1A26"/>
    <w:rsid w:val="07310DAD"/>
    <w:rsid w:val="07BD01B5"/>
    <w:rsid w:val="07CE2556"/>
    <w:rsid w:val="08053D01"/>
    <w:rsid w:val="087C0A29"/>
    <w:rsid w:val="089241AD"/>
    <w:rsid w:val="089A3EE1"/>
    <w:rsid w:val="08F17FDE"/>
    <w:rsid w:val="09166B8C"/>
    <w:rsid w:val="09494B0C"/>
    <w:rsid w:val="09572537"/>
    <w:rsid w:val="095B042F"/>
    <w:rsid w:val="09736C45"/>
    <w:rsid w:val="09BA4D4E"/>
    <w:rsid w:val="09D1730C"/>
    <w:rsid w:val="09E958D6"/>
    <w:rsid w:val="0A0D4A3E"/>
    <w:rsid w:val="0A4D0D02"/>
    <w:rsid w:val="0A5263D4"/>
    <w:rsid w:val="0AA722A8"/>
    <w:rsid w:val="0AD33E3F"/>
    <w:rsid w:val="0B6101F6"/>
    <w:rsid w:val="0B8A39E0"/>
    <w:rsid w:val="0BDA722A"/>
    <w:rsid w:val="0BEB4231"/>
    <w:rsid w:val="0BF41696"/>
    <w:rsid w:val="0BF60038"/>
    <w:rsid w:val="0BFD2867"/>
    <w:rsid w:val="0C1B02EC"/>
    <w:rsid w:val="0C300E1D"/>
    <w:rsid w:val="0C3E30E5"/>
    <w:rsid w:val="0C6C62F9"/>
    <w:rsid w:val="0C971996"/>
    <w:rsid w:val="0C9A18AD"/>
    <w:rsid w:val="0CA61E9D"/>
    <w:rsid w:val="0CBD6B55"/>
    <w:rsid w:val="0CDA36D4"/>
    <w:rsid w:val="0CE445DE"/>
    <w:rsid w:val="0D125894"/>
    <w:rsid w:val="0D6B1561"/>
    <w:rsid w:val="0D966A29"/>
    <w:rsid w:val="0DAA182F"/>
    <w:rsid w:val="0DBA1697"/>
    <w:rsid w:val="0E0317B0"/>
    <w:rsid w:val="0E5B7EA1"/>
    <w:rsid w:val="0EF022A7"/>
    <w:rsid w:val="0EF43EFF"/>
    <w:rsid w:val="0EF8796E"/>
    <w:rsid w:val="0F1410D5"/>
    <w:rsid w:val="0F313DB3"/>
    <w:rsid w:val="0F525BB1"/>
    <w:rsid w:val="0F815362"/>
    <w:rsid w:val="100435A3"/>
    <w:rsid w:val="102E2243"/>
    <w:rsid w:val="104F540B"/>
    <w:rsid w:val="108D3201"/>
    <w:rsid w:val="10AA55A4"/>
    <w:rsid w:val="10C67D27"/>
    <w:rsid w:val="10C80EA6"/>
    <w:rsid w:val="10F13C6E"/>
    <w:rsid w:val="115F642C"/>
    <w:rsid w:val="118B2C0A"/>
    <w:rsid w:val="11AA0F56"/>
    <w:rsid w:val="123B6B04"/>
    <w:rsid w:val="12413D84"/>
    <w:rsid w:val="1292431B"/>
    <w:rsid w:val="12D16ACA"/>
    <w:rsid w:val="12D45828"/>
    <w:rsid w:val="12D64F3C"/>
    <w:rsid w:val="12E51CD1"/>
    <w:rsid w:val="13584E9C"/>
    <w:rsid w:val="139359C5"/>
    <w:rsid w:val="13A40DD7"/>
    <w:rsid w:val="13DE6111"/>
    <w:rsid w:val="14222799"/>
    <w:rsid w:val="143E1963"/>
    <w:rsid w:val="145D67F1"/>
    <w:rsid w:val="14A65FB5"/>
    <w:rsid w:val="14BE16BC"/>
    <w:rsid w:val="14EA5E77"/>
    <w:rsid w:val="15321D6D"/>
    <w:rsid w:val="154C6CC8"/>
    <w:rsid w:val="157D6B72"/>
    <w:rsid w:val="158D30D3"/>
    <w:rsid w:val="15A07014"/>
    <w:rsid w:val="15A24A9D"/>
    <w:rsid w:val="15AB0BB7"/>
    <w:rsid w:val="15FA3B5B"/>
    <w:rsid w:val="16313563"/>
    <w:rsid w:val="163729DE"/>
    <w:rsid w:val="163A7468"/>
    <w:rsid w:val="167E3EDD"/>
    <w:rsid w:val="16AD19E8"/>
    <w:rsid w:val="16C3680E"/>
    <w:rsid w:val="16DC38D7"/>
    <w:rsid w:val="17026C7A"/>
    <w:rsid w:val="17062526"/>
    <w:rsid w:val="172F671E"/>
    <w:rsid w:val="177258A3"/>
    <w:rsid w:val="17864EC3"/>
    <w:rsid w:val="17A7249F"/>
    <w:rsid w:val="17DE7710"/>
    <w:rsid w:val="17E458DD"/>
    <w:rsid w:val="18133B7E"/>
    <w:rsid w:val="181F6915"/>
    <w:rsid w:val="18277578"/>
    <w:rsid w:val="182958D3"/>
    <w:rsid w:val="18392DD3"/>
    <w:rsid w:val="18724DE6"/>
    <w:rsid w:val="18873928"/>
    <w:rsid w:val="18BC5F12"/>
    <w:rsid w:val="18D24191"/>
    <w:rsid w:val="18D5328D"/>
    <w:rsid w:val="194B1C17"/>
    <w:rsid w:val="19A1688A"/>
    <w:rsid w:val="1A0A2692"/>
    <w:rsid w:val="1A915E05"/>
    <w:rsid w:val="1AA46C7F"/>
    <w:rsid w:val="1ABB1CAB"/>
    <w:rsid w:val="1AF5627F"/>
    <w:rsid w:val="1B0F7A5D"/>
    <w:rsid w:val="1B4641B9"/>
    <w:rsid w:val="1B4D72F6"/>
    <w:rsid w:val="1B4F2C5A"/>
    <w:rsid w:val="1B673A82"/>
    <w:rsid w:val="1B827539"/>
    <w:rsid w:val="1BA41723"/>
    <w:rsid w:val="1BD940B5"/>
    <w:rsid w:val="1C0A700D"/>
    <w:rsid w:val="1C0F4EF3"/>
    <w:rsid w:val="1C2871DE"/>
    <w:rsid w:val="1C435F58"/>
    <w:rsid w:val="1C715BB3"/>
    <w:rsid w:val="1C7343A2"/>
    <w:rsid w:val="1C8C20A0"/>
    <w:rsid w:val="1CAC5DA6"/>
    <w:rsid w:val="1D445DE5"/>
    <w:rsid w:val="1D4E30C4"/>
    <w:rsid w:val="1D62689D"/>
    <w:rsid w:val="1D650BBC"/>
    <w:rsid w:val="1D6F1B80"/>
    <w:rsid w:val="1D8E3EE3"/>
    <w:rsid w:val="1DA52606"/>
    <w:rsid w:val="1DD51824"/>
    <w:rsid w:val="1DFF00DA"/>
    <w:rsid w:val="1E02214C"/>
    <w:rsid w:val="1E1F76E3"/>
    <w:rsid w:val="1E3B1E2D"/>
    <w:rsid w:val="1E4A7E32"/>
    <w:rsid w:val="1EE95587"/>
    <w:rsid w:val="1F066474"/>
    <w:rsid w:val="1F464788"/>
    <w:rsid w:val="1F4E188E"/>
    <w:rsid w:val="1F5C5C00"/>
    <w:rsid w:val="1F65747E"/>
    <w:rsid w:val="1F6F266D"/>
    <w:rsid w:val="1F7318F8"/>
    <w:rsid w:val="1F753F59"/>
    <w:rsid w:val="1FB248BB"/>
    <w:rsid w:val="1FB41DCD"/>
    <w:rsid w:val="1FDD115D"/>
    <w:rsid w:val="1FF66D79"/>
    <w:rsid w:val="200F1DAB"/>
    <w:rsid w:val="20202DA3"/>
    <w:rsid w:val="204A155E"/>
    <w:rsid w:val="207A39DB"/>
    <w:rsid w:val="20801059"/>
    <w:rsid w:val="20AA51EA"/>
    <w:rsid w:val="21086A94"/>
    <w:rsid w:val="21235890"/>
    <w:rsid w:val="21463165"/>
    <w:rsid w:val="21A67760"/>
    <w:rsid w:val="21C839EB"/>
    <w:rsid w:val="21EB07A6"/>
    <w:rsid w:val="21F929CA"/>
    <w:rsid w:val="2206117E"/>
    <w:rsid w:val="220E33CD"/>
    <w:rsid w:val="220F1AF9"/>
    <w:rsid w:val="22161D30"/>
    <w:rsid w:val="22173C23"/>
    <w:rsid w:val="221D34A5"/>
    <w:rsid w:val="23010817"/>
    <w:rsid w:val="23012149"/>
    <w:rsid w:val="238D6525"/>
    <w:rsid w:val="23B74A16"/>
    <w:rsid w:val="23BE677A"/>
    <w:rsid w:val="23C92457"/>
    <w:rsid w:val="23E3571A"/>
    <w:rsid w:val="24044C11"/>
    <w:rsid w:val="243B581E"/>
    <w:rsid w:val="247F027C"/>
    <w:rsid w:val="2504444F"/>
    <w:rsid w:val="25186BC6"/>
    <w:rsid w:val="25347054"/>
    <w:rsid w:val="25605DDA"/>
    <w:rsid w:val="259B316F"/>
    <w:rsid w:val="26123616"/>
    <w:rsid w:val="26533866"/>
    <w:rsid w:val="26667FA3"/>
    <w:rsid w:val="266D07BF"/>
    <w:rsid w:val="26802C75"/>
    <w:rsid w:val="26AD4F58"/>
    <w:rsid w:val="26BB1EFF"/>
    <w:rsid w:val="26FD42C6"/>
    <w:rsid w:val="271D4690"/>
    <w:rsid w:val="27511398"/>
    <w:rsid w:val="275F79DD"/>
    <w:rsid w:val="27725094"/>
    <w:rsid w:val="27A8509C"/>
    <w:rsid w:val="27C86D00"/>
    <w:rsid w:val="27D20573"/>
    <w:rsid w:val="280228B4"/>
    <w:rsid w:val="28067C14"/>
    <w:rsid w:val="28B5472C"/>
    <w:rsid w:val="29003BF9"/>
    <w:rsid w:val="291E4B4D"/>
    <w:rsid w:val="292359E4"/>
    <w:rsid w:val="29587CD6"/>
    <w:rsid w:val="29901E60"/>
    <w:rsid w:val="29B751E0"/>
    <w:rsid w:val="29E87CF8"/>
    <w:rsid w:val="2A7F53E7"/>
    <w:rsid w:val="2A8D5E12"/>
    <w:rsid w:val="2AAB26BD"/>
    <w:rsid w:val="2B004385"/>
    <w:rsid w:val="2B0D37F6"/>
    <w:rsid w:val="2BAD7E8C"/>
    <w:rsid w:val="2BB16E13"/>
    <w:rsid w:val="2BDF3837"/>
    <w:rsid w:val="2BE852BC"/>
    <w:rsid w:val="2C1C27A0"/>
    <w:rsid w:val="2C2B36BC"/>
    <w:rsid w:val="2C2F0E31"/>
    <w:rsid w:val="2C710599"/>
    <w:rsid w:val="2CC52241"/>
    <w:rsid w:val="2CD826C9"/>
    <w:rsid w:val="2CFA5DB8"/>
    <w:rsid w:val="2CFD165D"/>
    <w:rsid w:val="2D2D0BF7"/>
    <w:rsid w:val="2D46597F"/>
    <w:rsid w:val="2D8C581C"/>
    <w:rsid w:val="2DA34E09"/>
    <w:rsid w:val="2DAA52D0"/>
    <w:rsid w:val="2E132B8E"/>
    <w:rsid w:val="2EA27501"/>
    <w:rsid w:val="2F3168CA"/>
    <w:rsid w:val="2F5C639F"/>
    <w:rsid w:val="2F612C35"/>
    <w:rsid w:val="2F9E3AA1"/>
    <w:rsid w:val="2FAF034E"/>
    <w:rsid w:val="2FB83480"/>
    <w:rsid w:val="2FC81625"/>
    <w:rsid w:val="303D3985"/>
    <w:rsid w:val="30406FD1"/>
    <w:rsid w:val="30A27725"/>
    <w:rsid w:val="30DC6623"/>
    <w:rsid w:val="313A1D10"/>
    <w:rsid w:val="317D61D6"/>
    <w:rsid w:val="31E30FB5"/>
    <w:rsid w:val="31E74094"/>
    <w:rsid w:val="31FB4086"/>
    <w:rsid w:val="31FF65F3"/>
    <w:rsid w:val="32020F5F"/>
    <w:rsid w:val="32712C54"/>
    <w:rsid w:val="32BF25D1"/>
    <w:rsid w:val="32C0264B"/>
    <w:rsid w:val="32CF1C36"/>
    <w:rsid w:val="32DB1233"/>
    <w:rsid w:val="32FE473A"/>
    <w:rsid w:val="3393658B"/>
    <w:rsid w:val="339F135A"/>
    <w:rsid w:val="33C70135"/>
    <w:rsid w:val="33D4416E"/>
    <w:rsid w:val="33ED121E"/>
    <w:rsid w:val="344C3484"/>
    <w:rsid w:val="35262939"/>
    <w:rsid w:val="352F7E54"/>
    <w:rsid w:val="35383596"/>
    <w:rsid w:val="353A5F72"/>
    <w:rsid w:val="35952A75"/>
    <w:rsid w:val="35A32673"/>
    <w:rsid w:val="35C2291F"/>
    <w:rsid w:val="35C66542"/>
    <w:rsid w:val="35CE6CA9"/>
    <w:rsid w:val="35D24B6F"/>
    <w:rsid w:val="35FB38D9"/>
    <w:rsid w:val="366476CB"/>
    <w:rsid w:val="3685626C"/>
    <w:rsid w:val="369E0692"/>
    <w:rsid w:val="36A144DD"/>
    <w:rsid w:val="36BE6EA2"/>
    <w:rsid w:val="36CC15BF"/>
    <w:rsid w:val="371E402B"/>
    <w:rsid w:val="372A3DAB"/>
    <w:rsid w:val="37427AD3"/>
    <w:rsid w:val="378162D1"/>
    <w:rsid w:val="37885CC3"/>
    <w:rsid w:val="37A147F9"/>
    <w:rsid w:val="37B81B43"/>
    <w:rsid w:val="37C4655A"/>
    <w:rsid w:val="37E36EC2"/>
    <w:rsid w:val="37EF671F"/>
    <w:rsid w:val="38024EA8"/>
    <w:rsid w:val="3835541C"/>
    <w:rsid w:val="38404A8F"/>
    <w:rsid w:val="384A6C3F"/>
    <w:rsid w:val="38637D01"/>
    <w:rsid w:val="38666CE2"/>
    <w:rsid w:val="38C956F8"/>
    <w:rsid w:val="38D71E01"/>
    <w:rsid w:val="39186D3D"/>
    <w:rsid w:val="391C035F"/>
    <w:rsid w:val="39237490"/>
    <w:rsid w:val="394C42BE"/>
    <w:rsid w:val="395B4BF7"/>
    <w:rsid w:val="39893797"/>
    <w:rsid w:val="39895F34"/>
    <w:rsid w:val="39AF7B21"/>
    <w:rsid w:val="39F6564E"/>
    <w:rsid w:val="39F86063"/>
    <w:rsid w:val="39F96B6F"/>
    <w:rsid w:val="39FE076C"/>
    <w:rsid w:val="3A604D40"/>
    <w:rsid w:val="3A606BEE"/>
    <w:rsid w:val="3A6152DC"/>
    <w:rsid w:val="3B6B615A"/>
    <w:rsid w:val="3BDC04F6"/>
    <w:rsid w:val="3C405A47"/>
    <w:rsid w:val="3C487939"/>
    <w:rsid w:val="3C825210"/>
    <w:rsid w:val="3CD129C1"/>
    <w:rsid w:val="3D3679ED"/>
    <w:rsid w:val="3D3E5B2D"/>
    <w:rsid w:val="3D452778"/>
    <w:rsid w:val="3D584FA1"/>
    <w:rsid w:val="3D6C58AA"/>
    <w:rsid w:val="3DC9728D"/>
    <w:rsid w:val="3E0D5844"/>
    <w:rsid w:val="3E1C3CE4"/>
    <w:rsid w:val="3E3328A4"/>
    <w:rsid w:val="3E391D16"/>
    <w:rsid w:val="3E447074"/>
    <w:rsid w:val="3E593D9C"/>
    <w:rsid w:val="3EA6303D"/>
    <w:rsid w:val="3EAD43CC"/>
    <w:rsid w:val="3EB63280"/>
    <w:rsid w:val="3EDB77FF"/>
    <w:rsid w:val="3EE93F06"/>
    <w:rsid w:val="3F393FA4"/>
    <w:rsid w:val="3F9F5F6A"/>
    <w:rsid w:val="3FD02A07"/>
    <w:rsid w:val="3FF22EFA"/>
    <w:rsid w:val="3FF23580"/>
    <w:rsid w:val="401F4E55"/>
    <w:rsid w:val="40D0347B"/>
    <w:rsid w:val="41060C70"/>
    <w:rsid w:val="41225DFC"/>
    <w:rsid w:val="413B7A6D"/>
    <w:rsid w:val="41694DC4"/>
    <w:rsid w:val="41C74687"/>
    <w:rsid w:val="41D403C8"/>
    <w:rsid w:val="41E02631"/>
    <w:rsid w:val="41E6612D"/>
    <w:rsid w:val="42051E29"/>
    <w:rsid w:val="42277FF1"/>
    <w:rsid w:val="424C56AB"/>
    <w:rsid w:val="424F035F"/>
    <w:rsid w:val="4258604F"/>
    <w:rsid w:val="429165AE"/>
    <w:rsid w:val="42AF7339"/>
    <w:rsid w:val="42FA5706"/>
    <w:rsid w:val="43043974"/>
    <w:rsid w:val="430A6B9A"/>
    <w:rsid w:val="430D4751"/>
    <w:rsid w:val="434F7FA6"/>
    <w:rsid w:val="43790B69"/>
    <w:rsid w:val="439873F8"/>
    <w:rsid w:val="4432654B"/>
    <w:rsid w:val="44436399"/>
    <w:rsid w:val="44443C1F"/>
    <w:rsid w:val="444C66E1"/>
    <w:rsid w:val="44CE43F7"/>
    <w:rsid w:val="45974DF5"/>
    <w:rsid w:val="45E9315A"/>
    <w:rsid w:val="461849D4"/>
    <w:rsid w:val="469B69CF"/>
    <w:rsid w:val="46BA2196"/>
    <w:rsid w:val="46CC73B9"/>
    <w:rsid w:val="47440AF2"/>
    <w:rsid w:val="477513C6"/>
    <w:rsid w:val="48EF5FB8"/>
    <w:rsid w:val="499C0B00"/>
    <w:rsid w:val="49AA7CFE"/>
    <w:rsid w:val="4A0C54F0"/>
    <w:rsid w:val="4A18059D"/>
    <w:rsid w:val="4A253F1B"/>
    <w:rsid w:val="4A5E2767"/>
    <w:rsid w:val="4A704FDB"/>
    <w:rsid w:val="4A873D23"/>
    <w:rsid w:val="4ACE6E60"/>
    <w:rsid w:val="4B023934"/>
    <w:rsid w:val="4B3245E6"/>
    <w:rsid w:val="4BBA069B"/>
    <w:rsid w:val="4BD116F6"/>
    <w:rsid w:val="4BD23F7D"/>
    <w:rsid w:val="4BE66839"/>
    <w:rsid w:val="4BE8259F"/>
    <w:rsid w:val="4C2B4952"/>
    <w:rsid w:val="4C3C0B3D"/>
    <w:rsid w:val="4C416329"/>
    <w:rsid w:val="4C417FB3"/>
    <w:rsid w:val="4C46249D"/>
    <w:rsid w:val="4CFE47EF"/>
    <w:rsid w:val="4D0E6E41"/>
    <w:rsid w:val="4D5325E2"/>
    <w:rsid w:val="4DA54A63"/>
    <w:rsid w:val="4DA655D6"/>
    <w:rsid w:val="4DC40ACC"/>
    <w:rsid w:val="4DCD389A"/>
    <w:rsid w:val="4DCD6B69"/>
    <w:rsid w:val="4DEB47DB"/>
    <w:rsid w:val="4E241889"/>
    <w:rsid w:val="4E292FFB"/>
    <w:rsid w:val="4E394E6E"/>
    <w:rsid w:val="4E5069A6"/>
    <w:rsid w:val="4E8C63A3"/>
    <w:rsid w:val="4EAA7FE0"/>
    <w:rsid w:val="4EBD1FD3"/>
    <w:rsid w:val="4F3D70A6"/>
    <w:rsid w:val="4F535879"/>
    <w:rsid w:val="4F5D2DEA"/>
    <w:rsid w:val="4FB81FBC"/>
    <w:rsid w:val="4FB84A18"/>
    <w:rsid w:val="507111EA"/>
    <w:rsid w:val="51254295"/>
    <w:rsid w:val="512F3BEB"/>
    <w:rsid w:val="51433C4B"/>
    <w:rsid w:val="51800709"/>
    <w:rsid w:val="51B4176D"/>
    <w:rsid w:val="51B879D9"/>
    <w:rsid w:val="51C522B4"/>
    <w:rsid w:val="51EB103B"/>
    <w:rsid w:val="51FA6551"/>
    <w:rsid w:val="52383B54"/>
    <w:rsid w:val="523B00AD"/>
    <w:rsid w:val="52412A09"/>
    <w:rsid w:val="5253098E"/>
    <w:rsid w:val="52BA1CA9"/>
    <w:rsid w:val="52EE1F02"/>
    <w:rsid w:val="531C5B74"/>
    <w:rsid w:val="53226CDE"/>
    <w:rsid w:val="53230361"/>
    <w:rsid w:val="53591CFD"/>
    <w:rsid w:val="53755060"/>
    <w:rsid w:val="53A616BE"/>
    <w:rsid w:val="53B97634"/>
    <w:rsid w:val="54097587"/>
    <w:rsid w:val="540F4787"/>
    <w:rsid w:val="54541207"/>
    <w:rsid w:val="54547731"/>
    <w:rsid w:val="54582195"/>
    <w:rsid w:val="54F46459"/>
    <w:rsid w:val="54F77CF7"/>
    <w:rsid w:val="551276DD"/>
    <w:rsid w:val="5526611D"/>
    <w:rsid w:val="552D3719"/>
    <w:rsid w:val="5539060A"/>
    <w:rsid w:val="556334E7"/>
    <w:rsid w:val="55C04685"/>
    <w:rsid w:val="55E46C18"/>
    <w:rsid w:val="560D6EB9"/>
    <w:rsid w:val="56424FA2"/>
    <w:rsid w:val="567C04B4"/>
    <w:rsid w:val="56892BD1"/>
    <w:rsid w:val="568E2666"/>
    <w:rsid w:val="56955A19"/>
    <w:rsid w:val="56A329E6"/>
    <w:rsid w:val="56B0015D"/>
    <w:rsid w:val="570606C5"/>
    <w:rsid w:val="57AA7D7A"/>
    <w:rsid w:val="57AC389E"/>
    <w:rsid w:val="57D74EC3"/>
    <w:rsid w:val="57E74053"/>
    <w:rsid w:val="57FA4DCA"/>
    <w:rsid w:val="58662BA5"/>
    <w:rsid w:val="58CE010F"/>
    <w:rsid w:val="58CE6FC1"/>
    <w:rsid w:val="59712271"/>
    <w:rsid w:val="597A2F71"/>
    <w:rsid w:val="598617A2"/>
    <w:rsid w:val="5992466B"/>
    <w:rsid w:val="59B711F5"/>
    <w:rsid w:val="59BB36B3"/>
    <w:rsid w:val="59C81C62"/>
    <w:rsid w:val="59CB243C"/>
    <w:rsid w:val="59E40504"/>
    <w:rsid w:val="59EF23F2"/>
    <w:rsid w:val="59F10A08"/>
    <w:rsid w:val="5A022F35"/>
    <w:rsid w:val="5AAB6373"/>
    <w:rsid w:val="5B382950"/>
    <w:rsid w:val="5B6D5BA2"/>
    <w:rsid w:val="5B6D6AAC"/>
    <w:rsid w:val="5B9D0EAC"/>
    <w:rsid w:val="5BAD4EF8"/>
    <w:rsid w:val="5BB63E6A"/>
    <w:rsid w:val="5BF72FF1"/>
    <w:rsid w:val="5C2F5BA0"/>
    <w:rsid w:val="5C2F6F9B"/>
    <w:rsid w:val="5C91458D"/>
    <w:rsid w:val="5CA74D90"/>
    <w:rsid w:val="5CAE3391"/>
    <w:rsid w:val="5CB0726C"/>
    <w:rsid w:val="5CEC3C82"/>
    <w:rsid w:val="5D424CB1"/>
    <w:rsid w:val="5D4A17CB"/>
    <w:rsid w:val="5D7161CD"/>
    <w:rsid w:val="5D9C58DF"/>
    <w:rsid w:val="5DD97564"/>
    <w:rsid w:val="5DE21BD3"/>
    <w:rsid w:val="5E7F1610"/>
    <w:rsid w:val="5EA3704C"/>
    <w:rsid w:val="5ED115B9"/>
    <w:rsid w:val="5EE27322"/>
    <w:rsid w:val="5F011505"/>
    <w:rsid w:val="5F1050AE"/>
    <w:rsid w:val="5F1861FE"/>
    <w:rsid w:val="5F1D47FE"/>
    <w:rsid w:val="5F93061C"/>
    <w:rsid w:val="5FA825DF"/>
    <w:rsid w:val="5FF90DC7"/>
    <w:rsid w:val="60243CC7"/>
    <w:rsid w:val="602E6431"/>
    <w:rsid w:val="603016A8"/>
    <w:rsid w:val="607D5554"/>
    <w:rsid w:val="608508AD"/>
    <w:rsid w:val="60A704AC"/>
    <w:rsid w:val="60B2094F"/>
    <w:rsid w:val="60C16A35"/>
    <w:rsid w:val="6147244B"/>
    <w:rsid w:val="615462DD"/>
    <w:rsid w:val="615838CB"/>
    <w:rsid w:val="6173580A"/>
    <w:rsid w:val="617912D1"/>
    <w:rsid w:val="618648DC"/>
    <w:rsid w:val="61944069"/>
    <w:rsid w:val="61E33190"/>
    <w:rsid w:val="620638F9"/>
    <w:rsid w:val="622C280F"/>
    <w:rsid w:val="625209B9"/>
    <w:rsid w:val="62BD60DC"/>
    <w:rsid w:val="62F415C5"/>
    <w:rsid w:val="6386091A"/>
    <w:rsid w:val="64670D6C"/>
    <w:rsid w:val="64A05CB5"/>
    <w:rsid w:val="64EF7578"/>
    <w:rsid w:val="65023D93"/>
    <w:rsid w:val="652431F0"/>
    <w:rsid w:val="6555356E"/>
    <w:rsid w:val="658F5F09"/>
    <w:rsid w:val="65E10333"/>
    <w:rsid w:val="65E15850"/>
    <w:rsid w:val="661B35F8"/>
    <w:rsid w:val="66323B47"/>
    <w:rsid w:val="666D21F9"/>
    <w:rsid w:val="66743470"/>
    <w:rsid w:val="66894448"/>
    <w:rsid w:val="66A24DEA"/>
    <w:rsid w:val="66E62407"/>
    <w:rsid w:val="66EB6FB3"/>
    <w:rsid w:val="677A6FBB"/>
    <w:rsid w:val="67A06364"/>
    <w:rsid w:val="67CE2B39"/>
    <w:rsid w:val="67E07812"/>
    <w:rsid w:val="67EC2E8C"/>
    <w:rsid w:val="67F325A0"/>
    <w:rsid w:val="682D766D"/>
    <w:rsid w:val="68C71474"/>
    <w:rsid w:val="68F6350E"/>
    <w:rsid w:val="693D04E2"/>
    <w:rsid w:val="69555EF2"/>
    <w:rsid w:val="6962795B"/>
    <w:rsid w:val="6985191D"/>
    <w:rsid w:val="699F29DF"/>
    <w:rsid w:val="69A9560C"/>
    <w:rsid w:val="6A083502"/>
    <w:rsid w:val="6A090590"/>
    <w:rsid w:val="6A413A96"/>
    <w:rsid w:val="6A8272A8"/>
    <w:rsid w:val="6AF20DAE"/>
    <w:rsid w:val="6B3F1D93"/>
    <w:rsid w:val="6B63034A"/>
    <w:rsid w:val="6B653A15"/>
    <w:rsid w:val="6B7D4621"/>
    <w:rsid w:val="6B87197D"/>
    <w:rsid w:val="6BA17630"/>
    <w:rsid w:val="6BCC55E2"/>
    <w:rsid w:val="6BF45A03"/>
    <w:rsid w:val="6BFF15B9"/>
    <w:rsid w:val="6C033073"/>
    <w:rsid w:val="6C841A18"/>
    <w:rsid w:val="6CC35A14"/>
    <w:rsid w:val="6D16647B"/>
    <w:rsid w:val="6D6B1F56"/>
    <w:rsid w:val="6D901B30"/>
    <w:rsid w:val="6DAB7FF2"/>
    <w:rsid w:val="6E011F24"/>
    <w:rsid w:val="6E0C65E9"/>
    <w:rsid w:val="6E11552E"/>
    <w:rsid w:val="6E496AB8"/>
    <w:rsid w:val="6E583B5E"/>
    <w:rsid w:val="6E8A639D"/>
    <w:rsid w:val="6F032669"/>
    <w:rsid w:val="6F4F34C6"/>
    <w:rsid w:val="6F6131D0"/>
    <w:rsid w:val="6F747BED"/>
    <w:rsid w:val="6F827FBD"/>
    <w:rsid w:val="6F876C66"/>
    <w:rsid w:val="6FAF12C9"/>
    <w:rsid w:val="6FCC15D2"/>
    <w:rsid w:val="6FD17F9C"/>
    <w:rsid w:val="6FE54EC4"/>
    <w:rsid w:val="70562F72"/>
    <w:rsid w:val="705C4C95"/>
    <w:rsid w:val="709E67BB"/>
    <w:rsid w:val="70B34FC2"/>
    <w:rsid w:val="70DC1201"/>
    <w:rsid w:val="71027365"/>
    <w:rsid w:val="71150804"/>
    <w:rsid w:val="71184E25"/>
    <w:rsid w:val="712F1349"/>
    <w:rsid w:val="71CF7BDA"/>
    <w:rsid w:val="71DB61E9"/>
    <w:rsid w:val="721247D9"/>
    <w:rsid w:val="72307BDE"/>
    <w:rsid w:val="72447E14"/>
    <w:rsid w:val="72541E8D"/>
    <w:rsid w:val="73097703"/>
    <w:rsid w:val="73133CE4"/>
    <w:rsid w:val="732E427C"/>
    <w:rsid w:val="73390FB3"/>
    <w:rsid w:val="73E33068"/>
    <w:rsid w:val="73F932D4"/>
    <w:rsid w:val="746E7A4E"/>
    <w:rsid w:val="74775413"/>
    <w:rsid w:val="74883B0B"/>
    <w:rsid w:val="74B11819"/>
    <w:rsid w:val="74B97A10"/>
    <w:rsid w:val="74CB28C9"/>
    <w:rsid w:val="75AB479D"/>
    <w:rsid w:val="75B67C62"/>
    <w:rsid w:val="75EE17BF"/>
    <w:rsid w:val="76085CEF"/>
    <w:rsid w:val="7621011F"/>
    <w:rsid w:val="765468FF"/>
    <w:rsid w:val="76B4114C"/>
    <w:rsid w:val="76B90464"/>
    <w:rsid w:val="76F91B05"/>
    <w:rsid w:val="773A2B9D"/>
    <w:rsid w:val="77737F33"/>
    <w:rsid w:val="77A42570"/>
    <w:rsid w:val="784848BC"/>
    <w:rsid w:val="78614772"/>
    <w:rsid w:val="78887799"/>
    <w:rsid w:val="78973912"/>
    <w:rsid w:val="78BE2C08"/>
    <w:rsid w:val="794E788A"/>
    <w:rsid w:val="79664BEF"/>
    <w:rsid w:val="796721E3"/>
    <w:rsid w:val="79777E8A"/>
    <w:rsid w:val="798B0912"/>
    <w:rsid w:val="79D0629D"/>
    <w:rsid w:val="79F2746C"/>
    <w:rsid w:val="79F809DB"/>
    <w:rsid w:val="7A014D26"/>
    <w:rsid w:val="7A995229"/>
    <w:rsid w:val="7AA02CA4"/>
    <w:rsid w:val="7B044BCF"/>
    <w:rsid w:val="7B475C16"/>
    <w:rsid w:val="7B5423F4"/>
    <w:rsid w:val="7B7242AB"/>
    <w:rsid w:val="7B9E20F2"/>
    <w:rsid w:val="7BD83281"/>
    <w:rsid w:val="7BDD39B1"/>
    <w:rsid w:val="7BEB1568"/>
    <w:rsid w:val="7C22418E"/>
    <w:rsid w:val="7C256E3D"/>
    <w:rsid w:val="7C3D0494"/>
    <w:rsid w:val="7C445E42"/>
    <w:rsid w:val="7C5B185B"/>
    <w:rsid w:val="7C9B7036"/>
    <w:rsid w:val="7CA659DB"/>
    <w:rsid w:val="7D1338F5"/>
    <w:rsid w:val="7D2C4132"/>
    <w:rsid w:val="7D3725C9"/>
    <w:rsid w:val="7D3E0535"/>
    <w:rsid w:val="7D570C65"/>
    <w:rsid w:val="7D5A6E2A"/>
    <w:rsid w:val="7D641559"/>
    <w:rsid w:val="7D95226E"/>
    <w:rsid w:val="7E0765BB"/>
    <w:rsid w:val="7E37513C"/>
    <w:rsid w:val="7F6067AA"/>
    <w:rsid w:val="7F914720"/>
    <w:rsid w:val="7FD50AB1"/>
    <w:rsid w:val="7FDC1E3F"/>
    <w:rsid w:val="7FF76F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fillcolor="white" stroke="f">
      <v:fill color="white"/>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1" w:count="267">
    <w:lsdException w:name="heading 1" w:uiPriority="9"/>
    <w:lsdException w:name="heading 2" w:uiPriority="9"/>
    <w:lsdException w:name="heading 3" w:uiPriority="9"/>
    <w:lsdException w:name="heading 4"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unhideWhenUsed="1"/>
    <w:lsdException w:name="annotation reference" w:uiPriority="99"/>
    <w:lsdException w:name="endnote reference" w:uiPriority="99"/>
    <w:lsdException w:name="Title" w:uiPriority="10"/>
    <w:lsdException w:name="Default Paragraph Font" w:semiHidden="1" w:uiPriority="1" w:unhideWhenUsed="1"/>
    <w:lsdException w:name="Body Text" w:uiPriority="99"/>
    <w:lsdException w:name="Body Text Indent" w:uiPriority="99"/>
    <w:lsdException w:name="Body Text Indent 3" w:uiPriority="99"/>
    <w:lsdException w:name="Hyperlink" w:uiPriority="99"/>
    <w:lsdException w:name="FollowedHyperlink" w:uiPriority="99"/>
    <w:lsdException w:name="Strong" w:uiPriority="22"/>
    <w:lsdException w:name="Document Map" w:uiPriority="99"/>
    <w:lsdException w:name="HTML Top of Form" w:semiHidden="1" w:uiPriority="99" w:unhideWhenUsed="1" w:qFormat="0"/>
    <w:lsdException w:name="HTML Bottom of Form" w:semiHidden="1" w:uiPriority="99" w:unhideWhenUsed="1" w:qFormat="0"/>
    <w:lsdException w:name="Normal (Web)" w:uiPriority="99"/>
    <w:lsdException w:name="Normal Table" w:semiHidden="1" w:uiPriority="99" w:unhideWhenUsed="1"/>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Balloon Text" w:uiPriority="99"/>
    <w:lsdException w:name="Table Grid" w:uiPriority="59"/>
    <w:lsdException w:name="Placeholder Text" w:semiHidden="1" w:uiPriority="99"/>
    <w:lsdException w:name="No Spacing" w:uiPriority="1"/>
    <w:lsdException w:name="Light Shading" w:uiPriority="60" w:qFormat="0"/>
    <w:lsdException w:name="Light List" w:uiPriority="61" w:qFormat="0"/>
    <w:lsdException w:name="Light Grid" w:uiPriority="62" w:qFormat="0"/>
    <w:lsdException w:name="Medium Shading 1" w:uiPriority="63" w:qFormat="0"/>
    <w:lsdException w:name="Medium Shading 2" w:uiPriority="64" w:qFormat="0"/>
    <w:lsdException w:name="Medium List 1" w:uiPriority="65" w:qFormat="0"/>
    <w:lsdException w:name="Medium List 2" w:uiPriority="66" w:qFormat="0"/>
    <w:lsdException w:name="Medium Grid 1" w:uiPriority="67" w:qFormat="0"/>
    <w:lsdException w:name="Medium Grid 2" w:uiPriority="68" w:qFormat="0"/>
    <w:lsdException w:name="Medium Grid 3" w:uiPriority="69" w:qFormat="0"/>
    <w:lsdException w:name="Dark List" w:uiPriority="70" w:qFormat="0"/>
    <w:lsdException w:name="Colorful Shading" w:uiPriority="71" w:qFormat="0"/>
    <w:lsdException w:name="Colorful List" w:uiPriority="72" w:qFormat="0"/>
    <w:lsdException w:name="Colorful Grid" w:uiPriority="73" w:qFormat="0"/>
    <w:lsdException w:name="Light Shading Accent 1" w:uiPriority="60" w:qFormat="0"/>
    <w:lsdException w:name="Light List Accent 1" w:uiPriority="61" w:qFormat="0"/>
    <w:lsdException w:name="Light Grid Accent 1" w:uiPriority="62" w:qFormat="0"/>
    <w:lsdException w:name="Medium Shading 1 Accent 1" w:uiPriority="63" w:qFormat="0"/>
    <w:lsdException w:name="Medium Shading 2 Accent 1" w:uiPriority="64" w:qFormat="0"/>
    <w:lsdException w:name="Medium List 1 Accent 1" w:uiPriority="65" w:qFormat="0"/>
    <w:lsdException w:name="Revision" w:semiHidden="1" w:uiPriority="99" w:unhideWhenUsed="1" w:qFormat="0"/>
    <w:lsdException w:name="List Paragraph" w:uiPriority="99"/>
    <w:lsdException w:name="Intense Quote" w:uiPriority="30"/>
    <w:lsdException w:name="Medium List 2 Accent 1" w:uiPriority="66" w:qFormat="0"/>
    <w:lsdException w:name="Medium Grid 1 Accent 1" w:uiPriority="67" w:qFormat="0"/>
    <w:lsdException w:name="Medium Grid 2 Accent 1" w:uiPriority="68" w:qFormat="0"/>
    <w:lsdException w:name="Medium Grid 3 Accent 1" w:uiPriority="69" w:qFormat="0"/>
    <w:lsdException w:name="Dark List Accent 1" w:uiPriority="70" w:qFormat="0"/>
    <w:lsdException w:name="Colorful Shading Accent 1" w:uiPriority="71" w:qFormat="0"/>
    <w:lsdException w:name="Colorful List Accent 1" w:uiPriority="72" w:qFormat="0"/>
    <w:lsdException w:name="Colorful Grid Accent 1" w:uiPriority="73" w:qFormat="0"/>
    <w:lsdException w:name="Light Shading Accent 2" w:uiPriority="60" w:qFormat="0"/>
    <w:lsdException w:name="Light List Accent 2" w:uiPriority="61" w:qFormat="0"/>
    <w:lsdException w:name="Light Grid Accent 2" w:uiPriority="62" w:qFormat="0"/>
    <w:lsdException w:name="Medium Shading 1 Accent 2" w:uiPriority="63" w:qFormat="0"/>
    <w:lsdException w:name="Medium Shading 2 Accent 2" w:uiPriority="64" w:qFormat="0"/>
    <w:lsdException w:name="Medium List 1 Accent 2" w:uiPriority="65" w:qFormat="0"/>
    <w:lsdException w:name="Medium List 2 Accent 2" w:uiPriority="66" w:qFormat="0"/>
    <w:lsdException w:name="Medium Grid 1 Accent 2" w:uiPriority="67" w:qFormat="0"/>
    <w:lsdException w:name="Medium Grid 2 Accent 2" w:uiPriority="68" w:qFormat="0"/>
    <w:lsdException w:name="Medium Grid 3 Accent 2" w:uiPriority="69" w:qFormat="0"/>
    <w:lsdException w:name="Dark List Accent 2" w:uiPriority="70" w:qFormat="0"/>
    <w:lsdException w:name="Colorful Shading Accent 2" w:uiPriority="71" w:qFormat="0"/>
    <w:lsdException w:name="Colorful List Accent 2" w:uiPriority="72" w:qFormat="0"/>
    <w:lsdException w:name="Colorful Grid Accent 2" w:uiPriority="73" w:qFormat="0"/>
    <w:lsdException w:name="Light Shading Accent 3" w:uiPriority="60" w:qFormat="0"/>
    <w:lsdException w:name="Light List Accent 3" w:uiPriority="61" w:qFormat="0"/>
    <w:lsdException w:name="Light Grid Accent 3" w:uiPriority="62" w:qFormat="0"/>
    <w:lsdException w:name="Medium Shading 1 Accent 3" w:uiPriority="63" w:qFormat="0"/>
    <w:lsdException w:name="Medium Shading 2 Accent 3" w:uiPriority="64" w:qFormat="0"/>
    <w:lsdException w:name="Medium List 1 Accent 3" w:uiPriority="65" w:qFormat="0"/>
    <w:lsdException w:name="Medium List 2 Accent 3" w:uiPriority="66" w:qFormat="0"/>
    <w:lsdException w:name="Medium Grid 1 Accent 3" w:uiPriority="67" w:qFormat="0"/>
    <w:lsdException w:name="Medium Grid 2 Accent 3" w:uiPriority="68" w:qFormat="0"/>
    <w:lsdException w:name="Medium Grid 3 Accent 3" w:uiPriority="69" w:qFormat="0"/>
    <w:lsdException w:name="Dark List Accent 3" w:uiPriority="70" w:qFormat="0"/>
    <w:lsdException w:name="Colorful Shading Accent 3" w:uiPriority="71" w:qFormat="0"/>
    <w:lsdException w:name="Colorful List Accent 3" w:uiPriority="72" w:qFormat="0"/>
    <w:lsdException w:name="Colorful Grid Accent 3" w:uiPriority="73" w:qFormat="0"/>
    <w:lsdException w:name="Light Shading Accent 4" w:uiPriority="60" w:qFormat="0"/>
    <w:lsdException w:name="Light List Accent 4" w:uiPriority="61" w:qFormat="0"/>
    <w:lsdException w:name="Light Grid Accent 4" w:uiPriority="62" w:qFormat="0"/>
    <w:lsdException w:name="Medium Shading 1 Accent 4" w:uiPriority="63" w:qFormat="0"/>
    <w:lsdException w:name="Medium Shading 2 Accent 4" w:uiPriority="64" w:qFormat="0"/>
    <w:lsdException w:name="Medium List 1 Accent 4" w:uiPriority="65" w:qFormat="0"/>
    <w:lsdException w:name="Medium List 2 Accent 4" w:uiPriority="66" w:qFormat="0"/>
    <w:lsdException w:name="Medium Grid 1 Accent 4" w:uiPriority="67" w:qFormat="0"/>
    <w:lsdException w:name="Medium Grid 2 Accent 4" w:uiPriority="68" w:qFormat="0"/>
    <w:lsdException w:name="Medium Grid 3 Accent 4" w:uiPriority="69" w:qFormat="0"/>
    <w:lsdException w:name="Dark List Accent 4" w:uiPriority="70" w:qFormat="0"/>
    <w:lsdException w:name="Colorful Shading Accent 4" w:uiPriority="71" w:qFormat="0"/>
    <w:lsdException w:name="Colorful List Accent 4" w:uiPriority="72" w:qFormat="0"/>
    <w:lsdException w:name="Colorful Grid Accent 4" w:uiPriority="73" w:qFormat="0"/>
    <w:lsdException w:name="Light Shading Accent 5" w:uiPriority="60" w:qFormat="0"/>
    <w:lsdException w:name="Light List Accent 5" w:uiPriority="61" w:qFormat="0"/>
    <w:lsdException w:name="Light Grid Accent 5" w:uiPriority="62" w:qFormat="0"/>
    <w:lsdException w:name="Medium Shading 1 Accent 5" w:uiPriority="63" w:qFormat="0"/>
    <w:lsdException w:name="Medium Shading 2 Accent 5" w:uiPriority="64" w:qFormat="0"/>
    <w:lsdException w:name="Medium List 1 Accent 5" w:uiPriority="65" w:qFormat="0"/>
    <w:lsdException w:name="Medium List 2 Accent 5" w:uiPriority="66" w:qFormat="0"/>
    <w:lsdException w:name="Medium Grid 1 Accent 5" w:uiPriority="67" w:qFormat="0"/>
    <w:lsdException w:name="Medium Grid 2 Accent 5" w:uiPriority="68" w:qFormat="0"/>
    <w:lsdException w:name="Medium Grid 3 Accent 5" w:uiPriority="69" w:qFormat="0"/>
    <w:lsdException w:name="Dark List Accent 5" w:uiPriority="70" w:qFormat="0"/>
    <w:lsdException w:name="Colorful Shading Accent 5" w:uiPriority="71" w:qFormat="0"/>
    <w:lsdException w:name="Colorful List Accent 5" w:uiPriority="72" w:qFormat="0"/>
    <w:lsdException w:name="Colorful Grid Accent 5" w:uiPriority="73" w:qFormat="0"/>
    <w:lsdException w:name="Light Shading Accent 6" w:uiPriority="60" w:qFormat="0"/>
    <w:lsdException w:name="Light List Accent 6" w:uiPriority="61" w:qFormat="0"/>
    <w:lsdException w:name="Light Grid Accent 6" w:uiPriority="62" w:qFormat="0"/>
    <w:lsdException w:name="Medium Shading 1 Accent 6" w:uiPriority="63" w:qFormat="0"/>
    <w:lsdException w:name="Medium Shading 2 Accent 6" w:uiPriority="64" w:qFormat="0"/>
    <w:lsdException w:name="Medium List 1 Accent 6" w:uiPriority="65" w:qFormat="0"/>
    <w:lsdException w:name="Medium List 2 Accent 6" w:uiPriority="66" w:qFormat="0"/>
    <w:lsdException w:name="Medium Grid 1 Accent 6" w:uiPriority="67" w:qFormat="0"/>
    <w:lsdException w:name="Medium Grid 2 Accent 6" w:uiPriority="68" w:qFormat="0"/>
    <w:lsdException w:name="Medium Grid 3 Accent 6" w:uiPriority="69" w:qFormat="0"/>
    <w:lsdException w:name="Dark List Accent 6" w:uiPriority="70" w:qFormat="0"/>
    <w:lsdException w:name="Colorful Shading Accent 6" w:uiPriority="71" w:qFormat="0"/>
    <w:lsdException w:name="Colorful List Accent 6" w:uiPriority="72" w:qFormat="0"/>
    <w:lsdException w:name="Colorful Grid Accent 6" w:uiPriority="73" w:qFormat="0"/>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atentStyles>
  <w:style w:type="paragraph" w:default="1" w:styleId="a6">
    <w:name w:val="Normal"/>
    <w:qFormat/>
    <w:pPr>
      <w:widowControl w:val="0"/>
      <w:jc w:val="both"/>
    </w:pPr>
    <w:rPr>
      <w:kern w:val="2"/>
      <w:sz w:val="21"/>
      <w:szCs w:val="24"/>
    </w:rPr>
  </w:style>
  <w:style w:type="paragraph" w:styleId="12">
    <w:name w:val="heading 1"/>
    <w:basedOn w:val="a6"/>
    <w:next w:val="a6"/>
    <w:uiPriority w:val="9"/>
    <w:qFormat/>
    <w:pPr>
      <w:keepNext/>
      <w:keepLines/>
      <w:spacing w:before="120" w:after="120" w:line="480" w:lineRule="auto"/>
      <w:outlineLvl w:val="0"/>
    </w:pPr>
    <w:rPr>
      <w:rFonts w:eastAsia="黑体"/>
      <w:b/>
      <w:bCs/>
      <w:kern w:val="44"/>
      <w:sz w:val="30"/>
      <w:szCs w:val="44"/>
    </w:rPr>
  </w:style>
  <w:style w:type="paragraph" w:styleId="22">
    <w:name w:val="heading 2"/>
    <w:basedOn w:val="a6"/>
    <w:next w:val="a6"/>
    <w:link w:val="2Char"/>
    <w:uiPriority w:val="9"/>
    <w:qFormat/>
    <w:pPr>
      <w:keepNext/>
      <w:keepLines/>
      <w:spacing w:line="360" w:lineRule="auto"/>
      <w:outlineLvl w:val="1"/>
    </w:pPr>
    <w:rPr>
      <w:rFonts w:eastAsia="黑体"/>
      <w:bCs/>
      <w:spacing w:val="6"/>
      <w:w w:val="90"/>
      <w:kern w:val="28"/>
      <w:sz w:val="28"/>
      <w:szCs w:val="28"/>
    </w:rPr>
  </w:style>
  <w:style w:type="paragraph" w:styleId="33">
    <w:name w:val="heading 3"/>
    <w:basedOn w:val="a6"/>
    <w:next w:val="a6"/>
    <w:link w:val="3Char"/>
    <w:uiPriority w:val="9"/>
    <w:qFormat/>
    <w:pPr>
      <w:keepNext/>
      <w:keepLines/>
      <w:spacing w:line="480" w:lineRule="auto"/>
      <w:outlineLvl w:val="2"/>
    </w:pPr>
    <w:rPr>
      <w:rFonts w:eastAsia="黑体"/>
      <w:spacing w:val="6"/>
      <w:sz w:val="28"/>
      <w:szCs w:val="30"/>
    </w:rPr>
  </w:style>
  <w:style w:type="paragraph" w:styleId="41">
    <w:name w:val="heading 4"/>
    <w:basedOn w:val="a6"/>
    <w:next w:val="a6"/>
    <w:link w:val="4Char"/>
    <w:uiPriority w:val="9"/>
    <w:qFormat/>
    <w:pPr>
      <w:keepNext/>
      <w:keepLines/>
      <w:adjustRightInd w:val="0"/>
      <w:snapToGrid w:val="0"/>
      <w:spacing w:beforeLines="50" w:before="50" w:line="500" w:lineRule="exact"/>
      <w:outlineLvl w:val="3"/>
    </w:pPr>
    <w:rPr>
      <w:rFonts w:ascii="黑体" w:eastAsia="黑体" w:hAnsi="黑体"/>
      <w:bCs/>
      <w:sz w:val="28"/>
      <w:szCs w:val="20"/>
    </w:rPr>
  </w:style>
  <w:style w:type="paragraph" w:styleId="50">
    <w:name w:val="heading 5"/>
    <w:basedOn w:val="a6"/>
    <w:next w:val="a6"/>
    <w:link w:val="5Char"/>
    <w:qFormat/>
    <w:pPr>
      <w:keepNext/>
      <w:keepLines/>
      <w:spacing w:before="280" w:after="290" w:line="376" w:lineRule="auto"/>
      <w:outlineLvl w:val="4"/>
    </w:pPr>
    <w:rPr>
      <w:b/>
      <w:bCs/>
      <w:sz w:val="28"/>
      <w:szCs w:val="28"/>
    </w:rPr>
  </w:style>
  <w:style w:type="paragraph" w:styleId="6">
    <w:name w:val="heading 6"/>
    <w:basedOn w:val="a6"/>
    <w:next w:val="a6"/>
    <w:link w:val="6Char"/>
    <w:qFormat/>
    <w:pPr>
      <w:keepNext/>
      <w:keepLines/>
      <w:tabs>
        <w:tab w:val="left" w:pos="1185"/>
      </w:tabs>
      <w:spacing w:beforeLines="20" w:before="20" w:line="520" w:lineRule="exact"/>
      <w:ind w:left="908" w:hanging="284"/>
      <w:outlineLvl w:val="5"/>
    </w:pPr>
    <w:rPr>
      <w:spacing w:val="6"/>
      <w:w w:val="90"/>
      <w:sz w:val="28"/>
      <w:szCs w:val="20"/>
    </w:rPr>
  </w:style>
  <w:style w:type="paragraph" w:styleId="7">
    <w:name w:val="heading 7"/>
    <w:basedOn w:val="a6"/>
    <w:next w:val="a6"/>
    <w:link w:val="7Char"/>
    <w:qFormat/>
    <w:pPr>
      <w:keepNext/>
      <w:framePr w:hSpace="180" w:wrap="around" w:vAnchor="text" w:hAnchor="page" w:x="1729" w:y="151"/>
      <w:spacing w:line="240" w:lineRule="exact"/>
      <w:jc w:val="center"/>
      <w:outlineLvl w:val="6"/>
    </w:pPr>
    <w:rPr>
      <w:rFonts w:eastAsia="楷体_GB2312"/>
      <w:i/>
      <w:iCs/>
    </w:rPr>
  </w:style>
  <w:style w:type="paragraph" w:styleId="8">
    <w:name w:val="heading 8"/>
    <w:basedOn w:val="a6"/>
    <w:next w:val="a6"/>
    <w:link w:val="8Char"/>
    <w:qFormat/>
    <w:pPr>
      <w:keepNext/>
      <w:keepLines/>
      <w:numPr>
        <w:ilvl w:val="7"/>
        <w:numId w:val="1"/>
      </w:numPr>
      <w:adjustRightInd w:val="0"/>
      <w:spacing w:before="240" w:after="64" w:line="320" w:lineRule="auto"/>
      <w:outlineLvl w:val="7"/>
    </w:pPr>
    <w:rPr>
      <w:rFonts w:ascii="Arial" w:eastAsia="黑体" w:hAnsi="Arial"/>
      <w:sz w:val="24"/>
    </w:rPr>
  </w:style>
  <w:style w:type="paragraph" w:styleId="9">
    <w:name w:val="heading 9"/>
    <w:basedOn w:val="a6"/>
    <w:next w:val="a6"/>
    <w:link w:val="9Char"/>
    <w:qFormat/>
    <w:pPr>
      <w:keepNext/>
      <w:keepLines/>
      <w:numPr>
        <w:ilvl w:val="8"/>
        <w:numId w:val="1"/>
      </w:numPr>
      <w:adjustRightInd w:val="0"/>
      <w:spacing w:before="240" w:after="64" w:line="320" w:lineRule="auto"/>
      <w:outlineLvl w:val="8"/>
    </w:pPr>
    <w:rPr>
      <w:rFonts w:ascii="Arial" w:eastAsia="黑体" w:hAnsi="Arial"/>
      <w:sz w:val="24"/>
      <w:szCs w:val="21"/>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Title"/>
    <w:basedOn w:val="a6"/>
    <w:next w:val="a6"/>
    <w:link w:val="Char"/>
    <w:uiPriority w:val="10"/>
    <w:qFormat/>
    <w:pPr>
      <w:pageBreakBefore/>
      <w:spacing w:before="240" w:after="60" w:line="500" w:lineRule="exact"/>
      <w:jc w:val="center"/>
      <w:outlineLvl w:val="0"/>
    </w:pPr>
    <w:rPr>
      <w:b/>
      <w:bCs/>
      <w:sz w:val="32"/>
      <w:szCs w:val="32"/>
    </w:rPr>
  </w:style>
  <w:style w:type="paragraph" w:styleId="ab">
    <w:name w:val="macro"/>
    <w:link w:val="Char0"/>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ind w:firstLineChars="200" w:firstLine="200"/>
    </w:pPr>
    <w:rPr>
      <w:rFonts w:ascii="Courier New" w:hAnsi="Courier New"/>
      <w:kern w:val="2"/>
      <w:sz w:val="24"/>
      <w:szCs w:val="24"/>
    </w:rPr>
  </w:style>
  <w:style w:type="paragraph" w:styleId="34">
    <w:name w:val="List 3"/>
    <w:basedOn w:val="a6"/>
    <w:qFormat/>
    <w:pPr>
      <w:ind w:leftChars="400" w:left="100" w:hangingChars="200" w:hanging="200"/>
    </w:pPr>
    <w:rPr>
      <w:color w:val="000000"/>
      <w:w w:val="110"/>
      <w:kern w:val="0"/>
      <w:sz w:val="24"/>
    </w:rPr>
  </w:style>
  <w:style w:type="paragraph" w:styleId="70">
    <w:name w:val="toc 7"/>
    <w:basedOn w:val="a6"/>
    <w:next w:val="a6"/>
    <w:uiPriority w:val="39"/>
    <w:qFormat/>
    <w:pPr>
      <w:ind w:left="1260"/>
      <w:jc w:val="left"/>
    </w:pPr>
    <w:rPr>
      <w:rFonts w:ascii="Calibri" w:hAnsi="Calibri"/>
      <w:sz w:val="18"/>
      <w:szCs w:val="18"/>
    </w:rPr>
  </w:style>
  <w:style w:type="paragraph" w:styleId="23">
    <w:name w:val="List Number 2"/>
    <w:basedOn w:val="a6"/>
    <w:qFormat/>
    <w:pPr>
      <w:tabs>
        <w:tab w:val="left" w:pos="720"/>
      </w:tabs>
      <w:ind w:left="720" w:hanging="360"/>
    </w:pPr>
    <w:rPr>
      <w:color w:val="000000"/>
      <w:w w:val="110"/>
      <w:kern w:val="0"/>
      <w:sz w:val="24"/>
      <w:szCs w:val="20"/>
    </w:rPr>
  </w:style>
  <w:style w:type="paragraph" w:styleId="ac">
    <w:name w:val="table of authorities"/>
    <w:basedOn w:val="a6"/>
    <w:next w:val="a6"/>
    <w:qFormat/>
    <w:pPr>
      <w:ind w:leftChars="200" w:left="420"/>
    </w:pPr>
  </w:style>
  <w:style w:type="paragraph" w:styleId="ad">
    <w:name w:val="Note Heading"/>
    <w:basedOn w:val="a6"/>
    <w:next w:val="a6"/>
    <w:link w:val="Char1"/>
    <w:qFormat/>
    <w:pPr>
      <w:jc w:val="center"/>
    </w:pPr>
    <w:rPr>
      <w:rFonts w:ascii="宋体"/>
      <w:kern w:val="0"/>
      <w:sz w:val="24"/>
      <w:szCs w:val="20"/>
    </w:rPr>
  </w:style>
  <w:style w:type="paragraph" w:styleId="42">
    <w:name w:val="List Bullet 4"/>
    <w:basedOn w:val="a6"/>
    <w:qFormat/>
    <w:pPr>
      <w:tabs>
        <w:tab w:val="left" w:pos="720"/>
      </w:tabs>
      <w:ind w:left="720" w:hanging="720"/>
    </w:pPr>
    <w:rPr>
      <w:color w:val="000000"/>
      <w:w w:val="110"/>
      <w:kern w:val="0"/>
      <w:sz w:val="24"/>
      <w:szCs w:val="20"/>
    </w:rPr>
  </w:style>
  <w:style w:type="paragraph" w:styleId="80">
    <w:name w:val="index 8"/>
    <w:basedOn w:val="a6"/>
    <w:next w:val="a6"/>
    <w:qFormat/>
    <w:pPr>
      <w:ind w:leftChars="1400" w:left="1400"/>
    </w:pPr>
    <w:rPr>
      <w:color w:val="000000"/>
      <w:w w:val="110"/>
      <w:kern w:val="0"/>
      <w:sz w:val="24"/>
    </w:rPr>
  </w:style>
  <w:style w:type="paragraph" w:styleId="ae">
    <w:name w:val="E-mail Signature"/>
    <w:basedOn w:val="a6"/>
    <w:link w:val="Char2"/>
    <w:qFormat/>
    <w:rPr>
      <w:color w:val="000000"/>
      <w:w w:val="110"/>
      <w:kern w:val="0"/>
      <w:sz w:val="20"/>
    </w:rPr>
  </w:style>
  <w:style w:type="paragraph" w:styleId="af">
    <w:name w:val="List Number"/>
    <w:basedOn w:val="a6"/>
    <w:qFormat/>
    <w:pPr>
      <w:tabs>
        <w:tab w:val="left" w:pos="360"/>
        <w:tab w:val="left" w:pos="1125"/>
      </w:tabs>
      <w:ind w:left="360" w:hanging="360"/>
    </w:pPr>
    <w:rPr>
      <w:sz w:val="28"/>
      <w:szCs w:val="20"/>
    </w:rPr>
  </w:style>
  <w:style w:type="paragraph" w:styleId="af0">
    <w:name w:val="Normal Indent"/>
    <w:basedOn w:val="a6"/>
    <w:link w:val="Char3"/>
    <w:qFormat/>
    <w:pPr>
      <w:adjustRightInd w:val="0"/>
      <w:spacing w:line="360" w:lineRule="auto"/>
      <w:ind w:firstLine="420"/>
      <w:jc w:val="left"/>
      <w:textAlignment w:val="baseline"/>
    </w:pPr>
    <w:rPr>
      <w:rFonts w:ascii="宋体" w:hAnsi="宋体"/>
      <w:kern w:val="0"/>
      <w:sz w:val="24"/>
      <w:szCs w:val="28"/>
    </w:rPr>
  </w:style>
  <w:style w:type="paragraph" w:styleId="af1">
    <w:name w:val="caption"/>
    <w:next w:val="a6"/>
    <w:link w:val="Char4"/>
    <w:qFormat/>
    <w:pPr>
      <w:ind w:firstLineChars="200" w:firstLine="482"/>
    </w:pPr>
    <w:rPr>
      <w:b/>
      <w:kern w:val="2"/>
      <w:sz w:val="24"/>
      <w:szCs w:val="24"/>
    </w:rPr>
  </w:style>
  <w:style w:type="paragraph" w:styleId="51">
    <w:name w:val="index 5"/>
    <w:basedOn w:val="a6"/>
    <w:next w:val="a6"/>
    <w:qFormat/>
    <w:pPr>
      <w:ind w:leftChars="800" w:left="800"/>
    </w:pPr>
    <w:rPr>
      <w:color w:val="000000"/>
      <w:w w:val="110"/>
      <w:kern w:val="0"/>
      <w:sz w:val="24"/>
    </w:rPr>
  </w:style>
  <w:style w:type="paragraph" w:styleId="af2">
    <w:name w:val="List Bullet"/>
    <w:basedOn w:val="a6"/>
    <w:qFormat/>
    <w:pPr>
      <w:tabs>
        <w:tab w:val="left" w:pos="360"/>
      </w:tabs>
      <w:ind w:left="360" w:hanging="360"/>
    </w:pPr>
    <w:rPr>
      <w:rFonts w:ascii="宋体"/>
      <w:kern w:val="0"/>
      <w:sz w:val="24"/>
      <w:szCs w:val="20"/>
    </w:rPr>
  </w:style>
  <w:style w:type="paragraph" w:styleId="af3">
    <w:name w:val="envelope address"/>
    <w:basedOn w:val="a6"/>
    <w:qFormat/>
    <w:pPr>
      <w:snapToGrid w:val="0"/>
      <w:ind w:leftChars="1400" w:left="100"/>
    </w:pPr>
    <w:rPr>
      <w:rFonts w:ascii="Arial" w:hAnsi="Arial" w:cs="Arial"/>
      <w:color w:val="000000"/>
      <w:w w:val="110"/>
      <w:kern w:val="0"/>
      <w:sz w:val="24"/>
    </w:rPr>
  </w:style>
  <w:style w:type="paragraph" w:styleId="af4">
    <w:name w:val="Document Map"/>
    <w:basedOn w:val="a6"/>
    <w:link w:val="Char5"/>
    <w:uiPriority w:val="99"/>
    <w:qFormat/>
    <w:pPr>
      <w:shd w:val="clear" w:color="auto" w:fill="000080"/>
    </w:pPr>
  </w:style>
  <w:style w:type="paragraph" w:styleId="af5">
    <w:name w:val="toa heading"/>
    <w:basedOn w:val="a6"/>
    <w:next w:val="a6"/>
    <w:qFormat/>
    <w:pPr>
      <w:spacing w:before="120"/>
    </w:pPr>
    <w:rPr>
      <w:rFonts w:ascii="Arial" w:hAnsi="Arial"/>
      <w:sz w:val="24"/>
      <w:szCs w:val="20"/>
    </w:rPr>
  </w:style>
  <w:style w:type="paragraph" w:styleId="af6">
    <w:name w:val="annotation text"/>
    <w:basedOn w:val="a6"/>
    <w:link w:val="Char6"/>
    <w:uiPriority w:val="99"/>
    <w:qFormat/>
    <w:pPr>
      <w:jc w:val="left"/>
    </w:pPr>
  </w:style>
  <w:style w:type="paragraph" w:styleId="60">
    <w:name w:val="index 6"/>
    <w:basedOn w:val="a6"/>
    <w:next w:val="a6"/>
    <w:qFormat/>
    <w:pPr>
      <w:ind w:leftChars="1000" w:left="1000"/>
    </w:pPr>
    <w:rPr>
      <w:color w:val="000000"/>
      <w:w w:val="110"/>
      <w:kern w:val="0"/>
      <w:sz w:val="24"/>
    </w:rPr>
  </w:style>
  <w:style w:type="paragraph" w:styleId="af7">
    <w:name w:val="Salutation"/>
    <w:basedOn w:val="a6"/>
    <w:next w:val="a6"/>
    <w:link w:val="Char7"/>
    <w:qFormat/>
    <w:rPr>
      <w:color w:val="000000"/>
      <w:w w:val="110"/>
      <w:kern w:val="0"/>
      <w:sz w:val="20"/>
      <w:szCs w:val="20"/>
    </w:rPr>
  </w:style>
  <w:style w:type="paragraph" w:styleId="35">
    <w:name w:val="Body Text 3"/>
    <w:basedOn w:val="a6"/>
    <w:link w:val="3Char0"/>
    <w:qFormat/>
    <w:rPr>
      <w:sz w:val="18"/>
    </w:rPr>
  </w:style>
  <w:style w:type="paragraph" w:styleId="a">
    <w:name w:val="Closing"/>
    <w:basedOn w:val="a6"/>
    <w:link w:val="Char8"/>
    <w:qFormat/>
    <w:pPr>
      <w:numPr>
        <w:numId w:val="2"/>
      </w:numPr>
      <w:ind w:leftChars="2100" w:left="100" w:firstLine="0"/>
    </w:pPr>
    <w:rPr>
      <w:rFonts w:eastAsia="Times New Roman"/>
      <w:color w:val="000000"/>
      <w:w w:val="110"/>
    </w:rPr>
  </w:style>
  <w:style w:type="paragraph" w:styleId="36">
    <w:name w:val="List Bullet 3"/>
    <w:basedOn w:val="a6"/>
    <w:qFormat/>
    <w:pPr>
      <w:tabs>
        <w:tab w:val="left" w:pos="1200"/>
      </w:tabs>
      <w:ind w:left="1200" w:hanging="360"/>
    </w:pPr>
    <w:rPr>
      <w:rFonts w:ascii="宋体"/>
      <w:kern w:val="0"/>
      <w:sz w:val="24"/>
      <w:szCs w:val="20"/>
    </w:rPr>
  </w:style>
  <w:style w:type="paragraph" w:styleId="af8">
    <w:name w:val="Body Text"/>
    <w:basedOn w:val="a6"/>
    <w:link w:val="Char9"/>
    <w:uiPriority w:val="99"/>
    <w:qFormat/>
    <w:pPr>
      <w:spacing w:after="120"/>
    </w:pPr>
  </w:style>
  <w:style w:type="paragraph" w:styleId="af9">
    <w:name w:val="Body Text Indent"/>
    <w:basedOn w:val="a6"/>
    <w:link w:val="Chara"/>
    <w:uiPriority w:val="99"/>
    <w:qFormat/>
    <w:pPr>
      <w:spacing w:line="400" w:lineRule="exact"/>
      <w:ind w:firstLine="435"/>
    </w:pPr>
    <w:rPr>
      <w:rFonts w:ascii="宋体" w:hAnsi="宋体"/>
      <w:sz w:val="24"/>
    </w:rPr>
  </w:style>
  <w:style w:type="paragraph" w:styleId="3">
    <w:name w:val="List Number 3"/>
    <w:basedOn w:val="a6"/>
    <w:qFormat/>
    <w:pPr>
      <w:numPr>
        <w:numId w:val="3"/>
      </w:numPr>
      <w:tabs>
        <w:tab w:val="left" w:pos="1200"/>
      </w:tabs>
      <w:ind w:firstLine="0"/>
    </w:pPr>
  </w:style>
  <w:style w:type="paragraph" w:styleId="24">
    <w:name w:val="List 2"/>
    <w:basedOn w:val="a6"/>
    <w:qFormat/>
    <w:pPr>
      <w:spacing w:line="480" w:lineRule="exact"/>
      <w:ind w:left="840" w:firstLineChars="200" w:hanging="420"/>
    </w:pPr>
    <w:rPr>
      <w:rFonts w:eastAsia="楷体_GB2312"/>
      <w:color w:val="000000"/>
      <w:spacing w:val="-4"/>
      <w:sz w:val="28"/>
      <w:szCs w:val="20"/>
    </w:rPr>
  </w:style>
  <w:style w:type="paragraph" w:styleId="afa">
    <w:name w:val="List Continue"/>
    <w:basedOn w:val="a6"/>
    <w:qFormat/>
    <w:pPr>
      <w:spacing w:after="120"/>
      <w:ind w:leftChars="200" w:left="420"/>
    </w:pPr>
    <w:rPr>
      <w:color w:val="000000"/>
      <w:w w:val="110"/>
      <w:kern w:val="0"/>
      <w:sz w:val="24"/>
    </w:rPr>
  </w:style>
  <w:style w:type="paragraph" w:styleId="afb">
    <w:name w:val="Block Text"/>
    <w:basedOn w:val="a6"/>
    <w:link w:val="Charb"/>
    <w:qFormat/>
    <w:pPr>
      <w:adjustRightInd w:val="0"/>
      <w:spacing w:line="520" w:lineRule="exact"/>
      <w:ind w:left="-94" w:right="-80" w:firstLine="480"/>
      <w:textAlignment w:val="baseline"/>
    </w:pPr>
    <w:rPr>
      <w:sz w:val="24"/>
    </w:rPr>
  </w:style>
  <w:style w:type="paragraph" w:styleId="25">
    <w:name w:val="List Bullet 2"/>
    <w:basedOn w:val="a6"/>
    <w:qFormat/>
    <w:pPr>
      <w:tabs>
        <w:tab w:val="left" w:pos="780"/>
      </w:tabs>
      <w:ind w:left="780" w:hanging="360"/>
    </w:pPr>
    <w:rPr>
      <w:rFonts w:ascii="宋体" w:eastAsia="仿宋_GB2312"/>
      <w:snapToGrid w:val="0"/>
      <w:color w:val="000000"/>
      <w:kern w:val="0"/>
      <w:sz w:val="28"/>
      <w:szCs w:val="32"/>
    </w:rPr>
  </w:style>
  <w:style w:type="paragraph" w:styleId="HTML">
    <w:name w:val="HTML Address"/>
    <w:basedOn w:val="a6"/>
    <w:link w:val="HTMLChar"/>
    <w:qFormat/>
    <w:rPr>
      <w:i/>
      <w:iCs/>
      <w:color w:val="000000"/>
      <w:w w:val="110"/>
      <w:kern w:val="0"/>
      <w:sz w:val="20"/>
    </w:rPr>
  </w:style>
  <w:style w:type="paragraph" w:styleId="43">
    <w:name w:val="index 4"/>
    <w:basedOn w:val="a6"/>
    <w:next w:val="a6"/>
    <w:qFormat/>
    <w:pPr>
      <w:ind w:leftChars="600" w:left="600"/>
    </w:pPr>
    <w:rPr>
      <w:color w:val="000000"/>
      <w:w w:val="110"/>
      <w:kern w:val="0"/>
      <w:sz w:val="24"/>
    </w:rPr>
  </w:style>
  <w:style w:type="paragraph" w:styleId="52">
    <w:name w:val="toc 5"/>
    <w:basedOn w:val="a6"/>
    <w:next w:val="a6"/>
    <w:uiPriority w:val="39"/>
    <w:qFormat/>
    <w:pPr>
      <w:ind w:left="840"/>
      <w:jc w:val="left"/>
    </w:pPr>
    <w:rPr>
      <w:rFonts w:ascii="Calibri" w:hAnsi="Calibri"/>
      <w:sz w:val="18"/>
      <w:szCs w:val="18"/>
    </w:rPr>
  </w:style>
  <w:style w:type="paragraph" w:styleId="37">
    <w:name w:val="toc 3"/>
    <w:basedOn w:val="a6"/>
    <w:next w:val="a6"/>
    <w:uiPriority w:val="39"/>
    <w:qFormat/>
    <w:pPr>
      <w:ind w:left="420"/>
      <w:jc w:val="left"/>
    </w:pPr>
    <w:rPr>
      <w:rFonts w:ascii="Calibri" w:hAnsi="Calibri"/>
      <w:i/>
      <w:iCs/>
      <w:sz w:val="20"/>
      <w:szCs w:val="20"/>
    </w:rPr>
  </w:style>
  <w:style w:type="paragraph" w:styleId="afc">
    <w:name w:val="Plain Text"/>
    <w:basedOn w:val="a6"/>
    <w:link w:val="Charc"/>
    <w:qFormat/>
    <w:pPr>
      <w:spacing w:line="480" w:lineRule="exact"/>
      <w:ind w:firstLineChars="200" w:firstLine="544"/>
    </w:pPr>
    <w:rPr>
      <w:rFonts w:ascii="宋体" w:eastAsia="楷体_GB2312" w:hAnsi="Courier New"/>
      <w:color w:val="000000"/>
      <w:spacing w:val="-4"/>
      <w:sz w:val="28"/>
      <w:szCs w:val="21"/>
    </w:rPr>
  </w:style>
  <w:style w:type="paragraph" w:styleId="5">
    <w:name w:val="List Bullet 5"/>
    <w:basedOn w:val="a6"/>
    <w:qFormat/>
    <w:pPr>
      <w:numPr>
        <w:numId w:val="4"/>
      </w:numPr>
      <w:tabs>
        <w:tab w:val="left" w:pos="492"/>
      </w:tabs>
      <w:ind w:left="2470"/>
    </w:pPr>
    <w:rPr>
      <w:color w:val="000000"/>
      <w:w w:val="110"/>
      <w:kern w:val="0"/>
      <w:sz w:val="24"/>
      <w:szCs w:val="20"/>
    </w:rPr>
  </w:style>
  <w:style w:type="paragraph" w:styleId="44">
    <w:name w:val="List Number 4"/>
    <w:basedOn w:val="a6"/>
    <w:qFormat/>
  </w:style>
  <w:style w:type="paragraph" w:styleId="81">
    <w:name w:val="toc 8"/>
    <w:basedOn w:val="a6"/>
    <w:next w:val="a6"/>
    <w:uiPriority w:val="39"/>
    <w:qFormat/>
    <w:pPr>
      <w:ind w:left="1470"/>
      <w:jc w:val="left"/>
    </w:pPr>
    <w:rPr>
      <w:rFonts w:ascii="Calibri" w:hAnsi="Calibri"/>
      <w:sz w:val="18"/>
      <w:szCs w:val="18"/>
    </w:rPr>
  </w:style>
  <w:style w:type="paragraph" w:styleId="38">
    <w:name w:val="index 3"/>
    <w:basedOn w:val="a6"/>
    <w:next w:val="a6"/>
    <w:qFormat/>
    <w:pPr>
      <w:ind w:leftChars="400" w:left="400"/>
    </w:pPr>
    <w:rPr>
      <w:color w:val="000000"/>
      <w:w w:val="110"/>
      <w:kern w:val="0"/>
      <w:sz w:val="24"/>
    </w:rPr>
  </w:style>
  <w:style w:type="paragraph" w:styleId="afd">
    <w:name w:val="Date"/>
    <w:basedOn w:val="a6"/>
    <w:next w:val="a6"/>
    <w:link w:val="Chard"/>
    <w:qFormat/>
    <w:rPr>
      <w:sz w:val="28"/>
    </w:rPr>
  </w:style>
  <w:style w:type="paragraph" w:styleId="26">
    <w:name w:val="Body Text Indent 2"/>
    <w:basedOn w:val="a6"/>
    <w:link w:val="2Char0"/>
    <w:qFormat/>
    <w:pPr>
      <w:adjustRightInd w:val="0"/>
      <w:snapToGrid w:val="0"/>
      <w:spacing w:line="300" w:lineRule="auto"/>
      <w:ind w:firstLineChars="200" w:firstLine="480"/>
    </w:pPr>
    <w:rPr>
      <w:sz w:val="24"/>
    </w:rPr>
  </w:style>
  <w:style w:type="paragraph" w:styleId="afe">
    <w:name w:val="endnote text"/>
    <w:basedOn w:val="a6"/>
    <w:link w:val="Chare"/>
    <w:qFormat/>
    <w:pPr>
      <w:snapToGrid w:val="0"/>
      <w:jc w:val="left"/>
    </w:pPr>
    <w:rPr>
      <w:szCs w:val="20"/>
    </w:rPr>
  </w:style>
  <w:style w:type="paragraph" w:styleId="53">
    <w:name w:val="List Continue 5"/>
    <w:basedOn w:val="a6"/>
    <w:qFormat/>
    <w:pPr>
      <w:spacing w:after="120"/>
      <w:ind w:leftChars="1000" w:left="2100"/>
    </w:pPr>
    <w:rPr>
      <w:color w:val="000000"/>
      <w:w w:val="110"/>
      <w:kern w:val="0"/>
      <w:sz w:val="24"/>
    </w:rPr>
  </w:style>
  <w:style w:type="paragraph" w:styleId="aff">
    <w:name w:val="Balloon Text"/>
    <w:basedOn w:val="a6"/>
    <w:link w:val="Charf"/>
    <w:uiPriority w:val="99"/>
    <w:qFormat/>
    <w:rPr>
      <w:sz w:val="18"/>
      <w:szCs w:val="18"/>
    </w:rPr>
  </w:style>
  <w:style w:type="paragraph" w:styleId="aff0">
    <w:name w:val="footer"/>
    <w:basedOn w:val="a6"/>
    <w:link w:val="Charf0"/>
    <w:qFormat/>
    <w:pPr>
      <w:tabs>
        <w:tab w:val="center" w:pos="4153"/>
        <w:tab w:val="right" w:pos="9214"/>
      </w:tabs>
      <w:adjustRightInd w:val="0"/>
      <w:snapToGrid w:val="0"/>
    </w:pPr>
    <w:rPr>
      <w:rFonts w:ascii="楷体" w:eastAsia="楷体" w:hAnsi="楷体"/>
      <w:b/>
      <w:sz w:val="18"/>
      <w:szCs w:val="18"/>
      <w:lang w:val="zh-CN"/>
    </w:rPr>
  </w:style>
  <w:style w:type="paragraph" w:styleId="aff1">
    <w:name w:val="envelope return"/>
    <w:basedOn w:val="a6"/>
    <w:qFormat/>
    <w:pPr>
      <w:snapToGrid w:val="0"/>
    </w:pPr>
    <w:rPr>
      <w:rFonts w:ascii="Arial" w:hAnsi="Arial" w:cs="Arial"/>
      <w:color w:val="000000"/>
      <w:w w:val="110"/>
      <w:kern w:val="0"/>
      <w:sz w:val="24"/>
    </w:rPr>
  </w:style>
  <w:style w:type="paragraph" w:styleId="aff2">
    <w:name w:val="header"/>
    <w:basedOn w:val="a6"/>
    <w:link w:val="Charf1"/>
    <w:uiPriority w:val="99"/>
    <w:unhideWhenUsed/>
    <w:qFormat/>
    <w:pPr>
      <w:widowControl/>
      <w:pBdr>
        <w:bottom w:val="thinThickSmallGap" w:sz="12" w:space="1" w:color="auto"/>
      </w:pBdr>
      <w:tabs>
        <w:tab w:val="center" w:pos="4680"/>
        <w:tab w:val="right" w:pos="9360"/>
      </w:tabs>
      <w:jc w:val="left"/>
    </w:pPr>
    <w:rPr>
      <w:rFonts w:ascii="Calibri" w:hAnsi="Calibri"/>
      <w:kern w:val="0"/>
      <w:sz w:val="22"/>
      <w:szCs w:val="22"/>
    </w:rPr>
  </w:style>
  <w:style w:type="paragraph" w:styleId="aff3">
    <w:name w:val="Signature"/>
    <w:basedOn w:val="a6"/>
    <w:link w:val="Charf2"/>
    <w:qFormat/>
    <w:pPr>
      <w:ind w:leftChars="2100" w:left="100"/>
    </w:pPr>
    <w:rPr>
      <w:color w:val="000000"/>
      <w:w w:val="110"/>
      <w:kern w:val="0"/>
      <w:sz w:val="20"/>
    </w:rPr>
  </w:style>
  <w:style w:type="paragraph" w:styleId="13">
    <w:name w:val="toc 1"/>
    <w:basedOn w:val="12"/>
    <w:next w:val="a6"/>
    <w:link w:val="1Char"/>
    <w:uiPriority w:val="39"/>
    <w:qFormat/>
    <w:pPr>
      <w:keepNext w:val="0"/>
      <w:keepLines w:val="0"/>
      <w:spacing w:line="240" w:lineRule="auto"/>
      <w:jc w:val="left"/>
      <w:outlineLvl w:val="9"/>
    </w:pPr>
    <w:rPr>
      <w:rFonts w:ascii="Calibri" w:hAnsi="Calibri"/>
      <w:caps/>
      <w:kern w:val="2"/>
      <w:sz w:val="20"/>
      <w:szCs w:val="20"/>
    </w:rPr>
  </w:style>
  <w:style w:type="paragraph" w:styleId="45">
    <w:name w:val="List Continue 4"/>
    <w:basedOn w:val="a6"/>
    <w:qFormat/>
    <w:pPr>
      <w:spacing w:after="120"/>
      <w:ind w:leftChars="800" w:left="1680"/>
    </w:pPr>
    <w:rPr>
      <w:color w:val="000000"/>
      <w:w w:val="110"/>
      <w:kern w:val="0"/>
      <w:sz w:val="24"/>
    </w:rPr>
  </w:style>
  <w:style w:type="paragraph" w:styleId="46">
    <w:name w:val="toc 4"/>
    <w:basedOn w:val="a6"/>
    <w:next w:val="a6"/>
    <w:uiPriority w:val="39"/>
    <w:qFormat/>
    <w:pPr>
      <w:ind w:left="630"/>
      <w:jc w:val="left"/>
    </w:pPr>
    <w:rPr>
      <w:rFonts w:ascii="Calibri" w:hAnsi="Calibri"/>
      <w:sz w:val="18"/>
      <w:szCs w:val="18"/>
    </w:rPr>
  </w:style>
  <w:style w:type="paragraph" w:styleId="aff4">
    <w:name w:val="index heading"/>
    <w:basedOn w:val="a6"/>
    <w:qFormat/>
  </w:style>
  <w:style w:type="paragraph" w:styleId="14">
    <w:name w:val="index 1"/>
    <w:basedOn w:val="a6"/>
    <w:next w:val="a6"/>
    <w:qFormat/>
  </w:style>
  <w:style w:type="paragraph" w:styleId="aff5">
    <w:name w:val="Subtitle"/>
    <w:basedOn w:val="a6"/>
    <w:link w:val="Charf3"/>
    <w:qFormat/>
    <w:pPr>
      <w:wordWrap w:val="0"/>
      <w:topLinePunct/>
      <w:autoSpaceDN w:val="0"/>
      <w:spacing w:before="240"/>
      <w:ind w:firstLineChars="200" w:firstLine="420"/>
      <w:outlineLvl w:val="1"/>
    </w:pPr>
    <w:rPr>
      <w:rFonts w:eastAsia="楷体_GB2312"/>
      <w:bCs/>
      <w:kern w:val="28"/>
      <w:szCs w:val="32"/>
    </w:rPr>
  </w:style>
  <w:style w:type="paragraph" w:styleId="54">
    <w:name w:val="List Number 5"/>
    <w:basedOn w:val="a6"/>
    <w:qFormat/>
    <w:pPr>
      <w:tabs>
        <w:tab w:val="left" w:pos="960"/>
      </w:tabs>
      <w:ind w:left="960" w:hanging="450"/>
    </w:pPr>
    <w:rPr>
      <w:color w:val="000000"/>
      <w:w w:val="110"/>
      <w:kern w:val="0"/>
      <w:sz w:val="24"/>
      <w:szCs w:val="20"/>
    </w:rPr>
  </w:style>
  <w:style w:type="paragraph" w:styleId="aff6">
    <w:name w:val="List"/>
    <w:basedOn w:val="a6"/>
    <w:link w:val="Charf4"/>
    <w:qFormat/>
    <w:pPr>
      <w:ind w:left="200" w:hangingChars="200" w:hanging="200"/>
      <w:contextualSpacing/>
    </w:pPr>
  </w:style>
  <w:style w:type="paragraph" w:styleId="aff7">
    <w:name w:val="footnote text"/>
    <w:basedOn w:val="a6"/>
    <w:link w:val="Charf5"/>
    <w:qFormat/>
    <w:pPr>
      <w:snapToGrid w:val="0"/>
      <w:jc w:val="left"/>
    </w:pPr>
    <w:rPr>
      <w:sz w:val="18"/>
      <w:szCs w:val="18"/>
    </w:rPr>
  </w:style>
  <w:style w:type="paragraph" w:styleId="61">
    <w:name w:val="toc 6"/>
    <w:basedOn w:val="a6"/>
    <w:next w:val="a6"/>
    <w:uiPriority w:val="39"/>
    <w:qFormat/>
    <w:pPr>
      <w:ind w:left="1050"/>
      <w:jc w:val="left"/>
    </w:pPr>
    <w:rPr>
      <w:rFonts w:ascii="Calibri" w:hAnsi="Calibri"/>
      <w:sz w:val="18"/>
      <w:szCs w:val="18"/>
    </w:rPr>
  </w:style>
  <w:style w:type="paragraph" w:styleId="55">
    <w:name w:val="List 5"/>
    <w:basedOn w:val="a6"/>
    <w:qFormat/>
    <w:pPr>
      <w:ind w:leftChars="800" w:left="100" w:hangingChars="200" w:hanging="200"/>
    </w:pPr>
    <w:rPr>
      <w:color w:val="000000"/>
      <w:w w:val="110"/>
      <w:kern w:val="0"/>
      <w:sz w:val="24"/>
    </w:rPr>
  </w:style>
  <w:style w:type="paragraph" w:styleId="39">
    <w:name w:val="Body Text Indent 3"/>
    <w:basedOn w:val="a6"/>
    <w:link w:val="3Char1"/>
    <w:uiPriority w:val="99"/>
    <w:qFormat/>
    <w:pPr>
      <w:adjustRightInd w:val="0"/>
      <w:snapToGrid w:val="0"/>
      <w:spacing w:line="300" w:lineRule="auto"/>
      <w:ind w:firstLineChars="192" w:firstLine="538"/>
    </w:pPr>
    <w:rPr>
      <w:rFonts w:ascii="宋体"/>
      <w:color w:val="FF0000"/>
      <w:sz w:val="28"/>
    </w:rPr>
  </w:style>
  <w:style w:type="paragraph" w:styleId="71">
    <w:name w:val="index 7"/>
    <w:basedOn w:val="a6"/>
    <w:next w:val="a6"/>
    <w:qFormat/>
    <w:pPr>
      <w:ind w:leftChars="1200" w:left="1200"/>
    </w:pPr>
  </w:style>
  <w:style w:type="paragraph" w:styleId="90">
    <w:name w:val="index 9"/>
    <w:basedOn w:val="a6"/>
    <w:next w:val="a6"/>
    <w:qFormat/>
    <w:pPr>
      <w:ind w:leftChars="1600" w:left="1600"/>
    </w:pPr>
    <w:rPr>
      <w:color w:val="000000"/>
      <w:w w:val="110"/>
      <w:kern w:val="0"/>
      <w:sz w:val="24"/>
    </w:rPr>
  </w:style>
  <w:style w:type="paragraph" w:styleId="aff8">
    <w:name w:val="table of figures"/>
    <w:basedOn w:val="a6"/>
    <w:next w:val="a6"/>
    <w:link w:val="Charf6"/>
    <w:qFormat/>
    <w:pPr>
      <w:jc w:val="center"/>
    </w:pPr>
    <w:rPr>
      <w:rFonts w:eastAsia="楷体_GB2312"/>
      <w:color w:val="000000"/>
      <w:spacing w:val="-4"/>
    </w:rPr>
  </w:style>
  <w:style w:type="paragraph" w:styleId="27">
    <w:name w:val="toc 2"/>
    <w:basedOn w:val="a6"/>
    <w:next w:val="a6"/>
    <w:uiPriority w:val="39"/>
    <w:qFormat/>
    <w:pPr>
      <w:ind w:left="210"/>
      <w:jc w:val="left"/>
    </w:pPr>
    <w:rPr>
      <w:rFonts w:ascii="Calibri" w:hAnsi="Calibri"/>
      <w:smallCaps/>
      <w:sz w:val="20"/>
      <w:szCs w:val="20"/>
    </w:rPr>
  </w:style>
  <w:style w:type="paragraph" w:styleId="91">
    <w:name w:val="toc 9"/>
    <w:basedOn w:val="a6"/>
    <w:next w:val="a6"/>
    <w:uiPriority w:val="39"/>
    <w:qFormat/>
    <w:pPr>
      <w:ind w:left="1680"/>
      <w:jc w:val="left"/>
    </w:pPr>
    <w:rPr>
      <w:rFonts w:ascii="Calibri" w:hAnsi="Calibri"/>
      <w:sz w:val="18"/>
      <w:szCs w:val="18"/>
    </w:rPr>
  </w:style>
  <w:style w:type="paragraph" w:styleId="28">
    <w:name w:val="Body Text 2"/>
    <w:basedOn w:val="a6"/>
    <w:link w:val="2Char1"/>
    <w:qFormat/>
    <w:pPr>
      <w:spacing w:beforeLines="50" w:before="50" w:after="120"/>
      <w:ind w:firstLineChars="200" w:firstLine="200"/>
    </w:pPr>
    <w:rPr>
      <w:rFonts w:eastAsia="黑体"/>
    </w:rPr>
  </w:style>
  <w:style w:type="paragraph" w:styleId="47">
    <w:name w:val="List 4"/>
    <w:basedOn w:val="a6"/>
    <w:qFormat/>
    <w:pPr>
      <w:ind w:leftChars="600" w:left="100" w:hangingChars="200" w:hanging="200"/>
    </w:pPr>
    <w:rPr>
      <w:color w:val="000000"/>
      <w:w w:val="110"/>
      <w:kern w:val="0"/>
      <w:sz w:val="24"/>
    </w:rPr>
  </w:style>
  <w:style w:type="paragraph" w:styleId="29">
    <w:name w:val="List Continue 2"/>
    <w:basedOn w:val="a6"/>
    <w:qFormat/>
    <w:pPr>
      <w:spacing w:after="120"/>
      <w:ind w:leftChars="400" w:left="840"/>
    </w:pPr>
    <w:rPr>
      <w:color w:val="000000"/>
      <w:w w:val="110"/>
      <w:kern w:val="0"/>
      <w:sz w:val="24"/>
    </w:rPr>
  </w:style>
  <w:style w:type="paragraph" w:styleId="aff9">
    <w:name w:val="Message Header"/>
    <w:basedOn w:val="a6"/>
    <w:link w:val="Charf7"/>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olor w:val="000000"/>
      <w:w w:val="110"/>
      <w:kern w:val="0"/>
      <w:sz w:val="24"/>
      <w:shd w:val="pct20" w:color="auto" w:fill="auto"/>
    </w:rPr>
  </w:style>
  <w:style w:type="paragraph" w:styleId="HTML0">
    <w:name w:val="HTML Preformatted"/>
    <w:basedOn w:val="a6"/>
    <w:link w:val="HTMLChar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kern w:val="0"/>
      <w:sz w:val="20"/>
      <w:szCs w:val="20"/>
    </w:rPr>
  </w:style>
  <w:style w:type="paragraph" w:styleId="affa">
    <w:name w:val="Normal (Web)"/>
    <w:basedOn w:val="a6"/>
    <w:link w:val="Charf8"/>
    <w:uiPriority w:val="99"/>
    <w:qFormat/>
    <w:pPr>
      <w:widowControl/>
      <w:spacing w:before="100" w:beforeAutospacing="1" w:after="100" w:afterAutospacing="1"/>
      <w:jc w:val="left"/>
    </w:pPr>
    <w:rPr>
      <w:rFonts w:ascii="Arial Unicode MS" w:eastAsia="Arial Unicode MS" w:hAnsi="Arial Unicode MS" w:cs="Arial Unicode MS"/>
      <w:kern w:val="0"/>
      <w:sz w:val="24"/>
    </w:rPr>
  </w:style>
  <w:style w:type="paragraph" w:styleId="3a">
    <w:name w:val="List Continue 3"/>
    <w:basedOn w:val="a6"/>
    <w:qFormat/>
    <w:pPr>
      <w:spacing w:after="120"/>
      <w:ind w:leftChars="600" w:left="1260"/>
    </w:pPr>
    <w:rPr>
      <w:color w:val="000000"/>
      <w:w w:val="110"/>
      <w:kern w:val="0"/>
      <w:sz w:val="24"/>
    </w:rPr>
  </w:style>
  <w:style w:type="paragraph" w:styleId="2a">
    <w:name w:val="index 2"/>
    <w:basedOn w:val="a6"/>
    <w:next w:val="a6"/>
    <w:qFormat/>
    <w:pPr>
      <w:ind w:leftChars="200" w:left="200"/>
    </w:pPr>
  </w:style>
  <w:style w:type="paragraph" w:styleId="affb">
    <w:name w:val="annotation subject"/>
    <w:basedOn w:val="af6"/>
    <w:next w:val="af6"/>
    <w:link w:val="Charf9"/>
    <w:qFormat/>
    <w:rPr>
      <w:b/>
      <w:bCs/>
    </w:rPr>
  </w:style>
  <w:style w:type="paragraph" w:styleId="affc">
    <w:name w:val="Body Text First Indent"/>
    <w:basedOn w:val="a6"/>
    <w:link w:val="Charfa"/>
    <w:qFormat/>
    <w:pPr>
      <w:spacing w:line="500" w:lineRule="exact"/>
      <w:ind w:firstLineChars="200" w:firstLine="536"/>
    </w:pPr>
    <w:rPr>
      <w:rFonts w:ascii="宋体" w:hAnsi="宋体"/>
      <w:bCs/>
      <w:spacing w:val="4"/>
      <w:kern w:val="24"/>
      <w:sz w:val="26"/>
      <w:szCs w:val="26"/>
    </w:rPr>
  </w:style>
  <w:style w:type="paragraph" w:styleId="2b">
    <w:name w:val="Body Text First Indent 2"/>
    <w:basedOn w:val="af9"/>
    <w:next w:val="a6"/>
    <w:link w:val="2Char2"/>
    <w:qFormat/>
    <w:pPr>
      <w:spacing w:after="120" w:line="240" w:lineRule="auto"/>
      <w:ind w:leftChars="200" w:left="420" w:firstLineChars="200" w:firstLine="420"/>
    </w:pPr>
    <w:rPr>
      <w:sz w:val="21"/>
    </w:rPr>
  </w:style>
  <w:style w:type="table" w:styleId="affd">
    <w:name w:val="Table Grid"/>
    <w:basedOn w:val="a8"/>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e">
    <w:name w:val="Table Theme"/>
    <w:basedOn w:val="a8"/>
    <w:qFormat/>
    <w:pPr>
      <w:widowControl w:val="0"/>
      <w:spacing w:line="360" w:lineRule="auto"/>
      <w:ind w:firstLineChars="200" w:firstLine="20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5">
    <w:name w:val="Table Colorful 1"/>
    <w:basedOn w:val="a8"/>
    <w:qFormat/>
    <w:pPr>
      <w:widowControl w:val="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2c">
    <w:name w:val="Table Colorful 2"/>
    <w:basedOn w:val="a8"/>
    <w:qFormat/>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3b">
    <w:name w:val="Table Colorful 3"/>
    <w:basedOn w:val="a8"/>
    <w:qFormat/>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top w:val="nil"/>
          <w:left w:val="nil"/>
          <w:bottom w:val="single" w:sz="6" w:space="0" w:color="000000"/>
          <w:right w:val="nil"/>
          <w:insideH w:val="nil"/>
          <w:insideV w:val="nil"/>
          <w:tl2br w:val="nil"/>
          <w:tr2bl w:val="nil"/>
        </w:tcBorders>
        <w:shd w:val="solid" w:color="008080" w:fill="FFFFFF"/>
      </w:tcPr>
    </w:tblStylePr>
    <w:tblStylePr w:type="firstCol">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afff">
    <w:name w:val="Table Elegant"/>
    <w:basedOn w:val="a8"/>
    <w:qFormat/>
    <w:pPr>
      <w:widowControl w:val="0"/>
      <w:spacing w:line="360" w:lineRule="auto"/>
      <w:ind w:firstLineChars="200" w:firstLine="20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16">
    <w:name w:val="Table Classic 1"/>
    <w:basedOn w:val="a8"/>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d">
    <w:name w:val="Table Classic 2"/>
    <w:basedOn w:val="a8"/>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3c">
    <w:name w:val="Table Classic 3"/>
    <w:basedOn w:val="a8"/>
    <w:qFormat/>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styleId="48">
    <w:name w:val="Table Classic 4"/>
    <w:basedOn w:val="a8"/>
    <w:qFormat/>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7">
    <w:name w:val="Table Simple 1"/>
    <w:basedOn w:val="a8"/>
    <w:qFormat/>
    <w:pPr>
      <w:widowControl w:val="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styleId="2e">
    <w:name w:val="Table Simple 2"/>
    <w:basedOn w:val="a8"/>
    <w:qFormat/>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d">
    <w:name w:val="Table Simple 3"/>
    <w:basedOn w:val="a8"/>
    <w:qFormat/>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18">
    <w:name w:val="Table Subtle 1"/>
    <w:basedOn w:val="a8"/>
    <w:qFormat/>
    <w:pPr>
      <w:widowControl w:val="0"/>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single" w:sz="12" w:space="0" w:color="000000"/>
          <w:bottom w:val="nil"/>
          <w:right w:val="nil"/>
          <w:insideH w:val="nil"/>
          <w:insideV w:val="nil"/>
          <w:tl2br w:val="nil"/>
          <w:tr2bl w:val="nil"/>
        </w:tcBorders>
      </w:tcPr>
    </w:tblStylePr>
    <w:tblStylePr w:type="band1Horz">
      <w:tblPr/>
      <w:tcPr>
        <w:tcBorders>
          <w:top w:val="nil"/>
          <w:left w:val="nil"/>
          <w:bottom w:val="single" w:sz="6"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f">
    <w:name w:val="Table Subtle 2"/>
    <w:basedOn w:val="a8"/>
    <w:qFormat/>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firstCol">
      <w:tblPr/>
      <w:tcPr>
        <w:tcBorders>
          <w:top w:val="nil"/>
          <w:left w:val="nil"/>
          <w:bottom w:val="nil"/>
          <w:right w:val="single" w:sz="12" w:space="0" w:color="000000"/>
          <w:insideH w:val="nil"/>
          <w:insideV w:val="nil"/>
          <w:tl2br w:val="nil"/>
          <w:tr2bl w:val="nil"/>
        </w:tcBorders>
        <w:shd w:val="pct25" w:color="008000" w:fill="FFFFFF"/>
      </w:tcPr>
    </w:tblStylePr>
    <w:tblStylePr w:type="lastCol">
      <w:tblPr/>
      <w:tcPr>
        <w:tcBorders>
          <w:top w:val="nil"/>
          <w:left w:val="single" w:sz="12" w:space="0" w:color="00000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9">
    <w:name w:val="Table 3D effects 1"/>
    <w:basedOn w:val="a8"/>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top w:val="nil"/>
          <w:left w:val="nil"/>
          <w:bottom w:val="single" w:sz="6" w:space="0" w:color="808080"/>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single" w:sz="6" w:space="0" w:color="FFFFFF"/>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2f0">
    <w:name w:val="Table 3D effects 2"/>
    <w:basedOn w:val="a8"/>
    <w:qFormat/>
    <w:pPr>
      <w:widowControl w:val="0"/>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e">
    <w:name w:val="Table 3D effects 3"/>
    <w:basedOn w:val="a8"/>
    <w:qFormat/>
    <w:pPr>
      <w:widowControl w:val="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a">
    <w:name w:val="Table List 1"/>
    <w:basedOn w:val="a8"/>
    <w:qFormat/>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f1">
    <w:name w:val="Table List 2"/>
    <w:basedOn w:val="a8"/>
    <w:qFormat/>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top w:val="nil"/>
          <w:left w:val="nil"/>
          <w:bottom w:val="single" w:sz="6" w:space="0" w:color="000000"/>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f">
    <w:name w:val="Table List 3"/>
    <w:basedOn w:val="a8"/>
    <w:qFormat/>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49">
    <w:name w:val="Table List 4"/>
    <w:basedOn w:val="a8"/>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styleId="56">
    <w:name w:val="Table List 5"/>
    <w:basedOn w:val="a8"/>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62">
    <w:name w:val="Table List 6"/>
    <w:basedOn w:val="a8"/>
    <w:qFormat/>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72">
    <w:name w:val="Table List 7"/>
    <w:basedOn w:val="a8"/>
    <w:qFormat/>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styleId="82">
    <w:name w:val="Table List 8"/>
    <w:basedOn w:val="a8"/>
    <w:qFormat/>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top w:val="nil"/>
          <w:left w:val="nil"/>
          <w:bottom w:val="single" w:sz="6" w:space="0" w:color="000000"/>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styleId="afff0">
    <w:name w:val="Table Contemporary"/>
    <w:basedOn w:val="a8"/>
    <w:qFormat/>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1b">
    <w:name w:val="Table Columns 1"/>
    <w:basedOn w:val="a8"/>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top w:val="nil"/>
          <w:left w:val="nil"/>
          <w:bottom w:val="double" w:sz="6" w:space="0" w:color="00000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f2">
    <w:name w:val="Table Columns 2"/>
    <w:basedOn w:val="a8"/>
    <w:qFormat/>
    <w:pPr>
      <w:widowControl w:val="0"/>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f0">
    <w:name w:val="Table Columns 3"/>
    <w:basedOn w:val="a8"/>
    <w:qFormat/>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styleId="4a">
    <w:name w:val="Table Columns 4"/>
    <w:basedOn w:val="a8"/>
    <w:qFormat/>
    <w:pPr>
      <w:widowControl w:val="0"/>
      <w:jc w:val="both"/>
    </w:pPr>
    <w:tblPr>
      <w:tblStyleColBandSize w:val="1"/>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8"/>
    <w:qFormat/>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top w:val="nil"/>
          <w:left w:val="nil"/>
          <w:bottom w:val="single" w:sz="6" w:space="0" w:color="808080"/>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c">
    <w:name w:val="Table Grid 1"/>
    <w:basedOn w:val="a8"/>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2f3">
    <w:name w:val="Table Grid 2"/>
    <w:basedOn w:val="a8"/>
    <w:qFormat/>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3f1">
    <w:name w:val="Table Grid 3"/>
    <w:basedOn w:val="a8"/>
    <w:qFormat/>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4b">
    <w:name w:val="Table Grid 4"/>
    <w:basedOn w:val="a8"/>
    <w:qFormat/>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58">
    <w:name w:val="Table Grid 5"/>
    <w:basedOn w:val="a8"/>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63">
    <w:name w:val="Table Grid 6"/>
    <w:basedOn w:val="a8"/>
    <w:qFormat/>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73">
    <w:name w:val="Table Grid 7"/>
    <w:basedOn w:val="a8"/>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3">
    <w:name w:val="Table Grid 8"/>
    <w:basedOn w:val="a8"/>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d">
    <w:name w:val="Table Web 1"/>
    <w:basedOn w:val="a8"/>
    <w:qFormat/>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2f4">
    <w:name w:val="Table Web 2"/>
    <w:basedOn w:val="a8"/>
    <w:qFormat/>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3f2">
    <w:name w:val="Table Web 3"/>
    <w:basedOn w:val="a8"/>
    <w:qFormat/>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afff1">
    <w:name w:val="Table Professional"/>
    <w:basedOn w:val="a8"/>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f2">
    <w:name w:val="Strong"/>
    <w:uiPriority w:val="22"/>
    <w:qFormat/>
    <w:rPr>
      <w:rFonts w:ascii="Times New Roman" w:hAnsi="Times New Roman"/>
      <w:b/>
      <w:sz w:val="21"/>
    </w:rPr>
  </w:style>
  <w:style w:type="character" w:styleId="afff3">
    <w:name w:val="endnote reference"/>
    <w:uiPriority w:val="99"/>
    <w:qFormat/>
    <w:rPr>
      <w:vertAlign w:val="superscript"/>
    </w:rPr>
  </w:style>
  <w:style w:type="character" w:styleId="afff4">
    <w:name w:val="page number"/>
    <w:basedOn w:val="a7"/>
    <w:qFormat/>
  </w:style>
  <w:style w:type="character" w:styleId="afff5">
    <w:name w:val="FollowedHyperlink"/>
    <w:uiPriority w:val="99"/>
    <w:qFormat/>
    <w:rPr>
      <w:color w:val="800080"/>
      <w:u w:val="single"/>
    </w:rPr>
  </w:style>
  <w:style w:type="character" w:styleId="afff6">
    <w:name w:val="Emphasis"/>
    <w:qFormat/>
    <w:rPr>
      <w:color w:val="CC0000"/>
    </w:rPr>
  </w:style>
  <w:style w:type="character" w:styleId="afff7">
    <w:name w:val="line number"/>
    <w:qFormat/>
  </w:style>
  <w:style w:type="character" w:styleId="HTML1">
    <w:name w:val="HTML Definition"/>
    <w:qFormat/>
    <w:rPr>
      <w:rFonts w:ascii="宋体" w:eastAsia="宋体" w:hAnsi="宋体" w:cs="Courier New"/>
      <w:i/>
      <w:iCs/>
      <w:kern w:val="2"/>
      <w:sz w:val="32"/>
      <w:szCs w:val="32"/>
      <w:lang w:val="en-US" w:eastAsia="zh-CN" w:bidi="ar-SA"/>
    </w:rPr>
  </w:style>
  <w:style w:type="character" w:styleId="HTML2">
    <w:name w:val="HTML Typewriter"/>
    <w:qFormat/>
    <w:rPr>
      <w:rFonts w:ascii="Courier New" w:eastAsia="宋体" w:hAnsi="Courier New" w:cs="Courier New"/>
      <w:kern w:val="2"/>
      <w:sz w:val="20"/>
      <w:szCs w:val="20"/>
      <w:lang w:val="en-US" w:eastAsia="zh-CN" w:bidi="ar-SA"/>
    </w:rPr>
  </w:style>
  <w:style w:type="character" w:styleId="HTML3">
    <w:name w:val="HTML Acronym"/>
    <w:qFormat/>
    <w:rPr>
      <w:rFonts w:ascii="宋体" w:eastAsia="宋体" w:hAnsi="宋体" w:cs="Courier New"/>
      <w:kern w:val="2"/>
      <w:sz w:val="32"/>
      <w:szCs w:val="32"/>
      <w:lang w:val="en-US" w:eastAsia="zh-CN" w:bidi="ar-SA"/>
    </w:rPr>
  </w:style>
  <w:style w:type="character" w:styleId="HTML4">
    <w:name w:val="HTML Variable"/>
    <w:qFormat/>
    <w:rPr>
      <w:rFonts w:ascii="宋体" w:eastAsia="宋体" w:hAnsi="宋体" w:cs="Courier New"/>
      <w:i/>
      <w:iCs/>
      <w:kern w:val="2"/>
      <w:sz w:val="32"/>
      <w:szCs w:val="32"/>
      <w:lang w:val="en-US" w:eastAsia="zh-CN" w:bidi="ar-SA"/>
    </w:rPr>
  </w:style>
  <w:style w:type="character" w:styleId="afff8">
    <w:name w:val="Hyperlink"/>
    <w:uiPriority w:val="99"/>
    <w:qFormat/>
    <w:rPr>
      <w:color w:val="0000FF"/>
      <w:u w:val="single"/>
    </w:rPr>
  </w:style>
  <w:style w:type="character" w:styleId="HTML5">
    <w:name w:val="HTML Code"/>
    <w:qFormat/>
    <w:rPr>
      <w:rFonts w:ascii="Courier New" w:eastAsia="宋体" w:hAnsi="Courier New" w:cs="Courier New"/>
      <w:kern w:val="2"/>
      <w:sz w:val="20"/>
      <w:szCs w:val="20"/>
      <w:lang w:val="en-US" w:eastAsia="zh-CN" w:bidi="ar-SA"/>
    </w:rPr>
  </w:style>
  <w:style w:type="character" w:styleId="afff9">
    <w:name w:val="annotation reference"/>
    <w:uiPriority w:val="99"/>
    <w:qFormat/>
    <w:rPr>
      <w:sz w:val="21"/>
      <w:szCs w:val="21"/>
    </w:rPr>
  </w:style>
  <w:style w:type="character" w:styleId="HTML6">
    <w:name w:val="HTML Cite"/>
    <w:qFormat/>
    <w:rPr>
      <w:rFonts w:ascii="宋体" w:eastAsia="宋体" w:hAnsi="宋体" w:cs="Courier New"/>
      <w:i/>
      <w:iCs/>
      <w:kern w:val="2"/>
      <w:sz w:val="32"/>
      <w:szCs w:val="32"/>
      <w:lang w:val="en-US" w:eastAsia="zh-CN" w:bidi="ar-SA"/>
    </w:rPr>
  </w:style>
  <w:style w:type="character" w:styleId="afffa">
    <w:name w:val="footnote reference"/>
    <w:qFormat/>
    <w:rPr>
      <w:vertAlign w:val="superscript"/>
    </w:rPr>
  </w:style>
  <w:style w:type="character" w:styleId="HTML7">
    <w:name w:val="HTML Keyboard"/>
    <w:qFormat/>
    <w:rPr>
      <w:rFonts w:ascii="Courier New" w:eastAsia="宋体" w:hAnsi="Courier New" w:cs="Courier New"/>
      <w:kern w:val="2"/>
      <w:sz w:val="20"/>
      <w:szCs w:val="20"/>
      <w:lang w:val="en-US" w:eastAsia="zh-CN" w:bidi="ar-SA"/>
    </w:rPr>
  </w:style>
  <w:style w:type="character" w:styleId="HTML8">
    <w:name w:val="HTML Sample"/>
    <w:qFormat/>
    <w:rPr>
      <w:rFonts w:ascii="黑体" w:eastAsia="黑体" w:hAnsi="Courier New" w:cs="Courier New"/>
    </w:rPr>
  </w:style>
  <w:style w:type="character" w:customStyle="1" w:styleId="Char0">
    <w:name w:val="宏文本 Char"/>
    <w:link w:val="ab"/>
    <w:qFormat/>
    <w:rPr>
      <w:rFonts w:ascii="Courier New" w:hAnsi="Courier New"/>
      <w:kern w:val="2"/>
      <w:sz w:val="24"/>
      <w:szCs w:val="24"/>
      <w:lang w:bidi="ar-SA"/>
    </w:rPr>
  </w:style>
  <w:style w:type="character" w:customStyle="1" w:styleId="2Char">
    <w:name w:val="标题 2 Char"/>
    <w:link w:val="22"/>
    <w:uiPriority w:val="9"/>
    <w:qFormat/>
    <w:rPr>
      <w:rFonts w:ascii="Times New Roman" w:eastAsia="黑体" w:hAnsi="Times New Roman"/>
      <w:bCs/>
      <w:spacing w:val="6"/>
      <w:w w:val="90"/>
      <w:kern w:val="28"/>
      <w:sz w:val="28"/>
      <w:szCs w:val="28"/>
    </w:rPr>
  </w:style>
  <w:style w:type="character" w:customStyle="1" w:styleId="3Char">
    <w:name w:val="标题 3 Char"/>
    <w:link w:val="33"/>
    <w:uiPriority w:val="9"/>
    <w:qFormat/>
    <w:rPr>
      <w:rFonts w:ascii="Times New Roman" w:eastAsia="黑体" w:hAnsi="Times New Roman"/>
      <w:spacing w:val="6"/>
      <w:kern w:val="2"/>
      <w:sz w:val="28"/>
      <w:szCs w:val="30"/>
    </w:rPr>
  </w:style>
  <w:style w:type="character" w:customStyle="1" w:styleId="4Char">
    <w:name w:val="标题 4 Char"/>
    <w:link w:val="41"/>
    <w:uiPriority w:val="9"/>
    <w:qFormat/>
    <w:rPr>
      <w:rFonts w:ascii="黑体" w:eastAsia="黑体" w:hAnsi="黑体"/>
      <w:bCs/>
      <w:kern w:val="2"/>
      <w:sz w:val="28"/>
      <w:lang w:val="en-US" w:eastAsia="zh-CN" w:bidi="ar-SA"/>
    </w:rPr>
  </w:style>
  <w:style w:type="character" w:customStyle="1" w:styleId="5Char">
    <w:name w:val="标题 5 Char"/>
    <w:link w:val="50"/>
    <w:qFormat/>
    <w:rPr>
      <w:b/>
      <w:bCs/>
      <w:kern w:val="2"/>
      <w:sz w:val="28"/>
      <w:szCs w:val="28"/>
    </w:rPr>
  </w:style>
  <w:style w:type="character" w:customStyle="1" w:styleId="6Char">
    <w:name w:val="标题 6 Char"/>
    <w:link w:val="6"/>
    <w:qFormat/>
    <w:rPr>
      <w:spacing w:val="6"/>
      <w:w w:val="90"/>
      <w:kern w:val="2"/>
      <w:sz w:val="28"/>
    </w:rPr>
  </w:style>
  <w:style w:type="character" w:customStyle="1" w:styleId="7Char">
    <w:name w:val="标题 7 Char"/>
    <w:link w:val="7"/>
    <w:qFormat/>
    <w:rPr>
      <w:rFonts w:eastAsia="楷体_GB2312"/>
      <w:i/>
      <w:iCs/>
      <w:kern w:val="2"/>
      <w:sz w:val="21"/>
      <w:szCs w:val="24"/>
    </w:rPr>
  </w:style>
  <w:style w:type="character" w:customStyle="1" w:styleId="8Char">
    <w:name w:val="标题 8 Char"/>
    <w:link w:val="8"/>
    <w:qFormat/>
    <w:rPr>
      <w:rFonts w:ascii="Arial" w:eastAsia="黑体" w:hAnsi="Arial"/>
      <w:kern w:val="2"/>
      <w:sz w:val="24"/>
      <w:szCs w:val="24"/>
    </w:rPr>
  </w:style>
  <w:style w:type="character" w:customStyle="1" w:styleId="9Char">
    <w:name w:val="标题 9 Char"/>
    <w:link w:val="9"/>
    <w:qFormat/>
    <w:rPr>
      <w:rFonts w:ascii="Arial" w:eastAsia="黑体" w:hAnsi="Arial"/>
      <w:kern w:val="2"/>
      <w:sz w:val="24"/>
      <w:szCs w:val="21"/>
    </w:rPr>
  </w:style>
  <w:style w:type="character" w:customStyle="1" w:styleId="Char1">
    <w:name w:val="注释标题 Char"/>
    <w:link w:val="ad"/>
    <w:qFormat/>
    <w:rPr>
      <w:rFonts w:ascii="宋体"/>
      <w:sz w:val="24"/>
    </w:rPr>
  </w:style>
  <w:style w:type="character" w:customStyle="1" w:styleId="Char2">
    <w:name w:val="电子邮件签名 Char"/>
    <w:link w:val="ae"/>
    <w:qFormat/>
    <w:rPr>
      <w:color w:val="000000"/>
      <w:w w:val="110"/>
      <w:szCs w:val="24"/>
    </w:rPr>
  </w:style>
  <w:style w:type="character" w:customStyle="1" w:styleId="Char3">
    <w:name w:val="正文缩进 Char"/>
    <w:link w:val="af0"/>
    <w:qFormat/>
    <w:rPr>
      <w:rFonts w:ascii="宋体" w:hAnsi="宋体"/>
      <w:sz w:val="24"/>
      <w:szCs w:val="28"/>
    </w:rPr>
  </w:style>
  <w:style w:type="character" w:customStyle="1" w:styleId="Char4">
    <w:name w:val="题注 Char"/>
    <w:link w:val="af1"/>
    <w:qFormat/>
    <w:rPr>
      <w:b/>
      <w:kern w:val="2"/>
      <w:sz w:val="24"/>
      <w:szCs w:val="24"/>
      <w:lang w:bidi="ar-SA"/>
    </w:rPr>
  </w:style>
  <w:style w:type="character" w:customStyle="1" w:styleId="Char5">
    <w:name w:val="文档结构图 Char"/>
    <w:link w:val="af4"/>
    <w:uiPriority w:val="99"/>
    <w:qFormat/>
    <w:rPr>
      <w:kern w:val="2"/>
      <w:sz w:val="21"/>
      <w:szCs w:val="24"/>
      <w:shd w:val="clear" w:color="auto" w:fill="000080"/>
    </w:rPr>
  </w:style>
  <w:style w:type="character" w:customStyle="1" w:styleId="Char6">
    <w:name w:val="批注文字 Char"/>
    <w:link w:val="af6"/>
    <w:uiPriority w:val="99"/>
    <w:qFormat/>
    <w:rPr>
      <w:rFonts w:eastAsia="宋体"/>
      <w:kern w:val="2"/>
      <w:sz w:val="21"/>
      <w:szCs w:val="24"/>
      <w:lang w:val="en-US" w:eastAsia="zh-CN" w:bidi="ar-SA"/>
    </w:rPr>
  </w:style>
  <w:style w:type="character" w:customStyle="1" w:styleId="Char7">
    <w:name w:val="称呼 Char"/>
    <w:link w:val="af7"/>
    <w:qFormat/>
    <w:rPr>
      <w:color w:val="000000"/>
      <w:w w:val="110"/>
    </w:rPr>
  </w:style>
  <w:style w:type="character" w:customStyle="1" w:styleId="3Char0">
    <w:name w:val="正文文本 3 Char"/>
    <w:link w:val="35"/>
    <w:qFormat/>
    <w:rPr>
      <w:kern w:val="2"/>
      <w:sz w:val="18"/>
      <w:szCs w:val="24"/>
    </w:rPr>
  </w:style>
  <w:style w:type="character" w:customStyle="1" w:styleId="Char8">
    <w:name w:val="结束语 Char"/>
    <w:link w:val="a"/>
    <w:qFormat/>
    <w:rPr>
      <w:rFonts w:eastAsia="Times New Roman"/>
      <w:color w:val="000000"/>
      <w:w w:val="110"/>
      <w:kern w:val="2"/>
      <w:sz w:val="21"/>
      <w:szCs w:val="24"/>
    </w:rPr>
  </w:style>
  <w:style w:type="character" w:customStyle="1" w:styleId="Char9">
    <w:name w:val="正文文本 Char"/>
    <w:link w:val="af8"/>
    <w:uiPriority w:val="99"/>
    <w:qFormat/>
    <w:rPr>
      <w:kern w:val="2"/>
      <w:sz w:val="21"/>
      <w:szCs w:val="24"/>
    </w:rPr>
  </w:style>
  <w:style w:type="character" w:customStyle="1" w:styleId="Chara">
    <w:name w:val="正文文本缩进 Char"/>
    <w:link w:val="af9"/>
    <w:uiPriority w:val="99"/>
    <w:qFormat/>
    <w:rPr>
      <w:rFonts w:ascii="宋体" w:hAnsi="宋体"/>
      <w:kern w:val="2"/>
      <w:sz w:val="24"/>
      <w:szCs w:val="24"/>
    </w:rPr>
  </w:style>
  <w:style w:type="character" w:customStyle="1" w:styleId="Charb">
    <w:name w:val="文本块 Char"/>
    <w:link w:val="afb"/>
    <w:qFormat/>
    <w:rPr>
      <w:kern w:val="2"/>
      <w:sz w:val="24"/>
      <w:szCs w:val="24"/>
    </w:rPr>
  </w:style>
  <w:style w:type="character" w:customStyle="1" w:styleId="HTMLChar">
    <w:name w:val="HTML 地址 Char"/>
    <w:link w:val="HTML"/>
    <w:qFormat/>
    <w:rPr>
      <w:i/>
      <w:iCs/>
      <w:color w:val="000000"/>
      <w:w w:val="110"/>
      <w:szCs w:val="24"/>
    </w:rPr>
  </w:style>
  <w:style w:type="character" w:customStyle="1" w:styleId="Charc">
    <w:name w:val="纯文本 Char"/>
    <w:link w:val="afc"/>
    <w:qFormat/>
    <w:rPr>
      <w:rFonts w:ascii="宋体" w:eastAsia="楷体_GB2312" w:hAnsi="Courier New" w:cs="Courier New"/>
      <w:color w:val="000000"/>
      <w:spacing w:val="-4"/>
      <w:kern w:val="2"/>
      <w:sz w:val="28"/>
      <w:szCs w:val="21"/>
      <w:lang w:val="en-US" w:eastAsia="zh-CN"/>
    </w:rPr>
  </w:style>
  <w:style w:type="character" w:customStyle="1" w:styleId="Chard">
    <w:name w:val="日期 Char"/>
    <w:link w:val="afd"/>
    <w:qFormat/>
    <w:rPr>
      <w:rFonts w:eastAsia="宋体"/>
      <w:kern w:val="2"/>
      <w:sz w:val="28"/>
      <w:szCs w:val="24"/>
      <w:lang w:val="en-US" w:eastAsia="zh-CN" w:bidi="ar-SA"/>
    </w:rPr>
  </w:style>
  <w:style w:type="character" w:customStyle="1" w:styleId="2Char0">
    <w:name w:val="正文文本缩进 2 Char"/>
    <w:link w:val="26"/>
    <w:qFormat/>
    <w:rPr>
      <w:kern w:val="2"/>
      <w:sz w:val="24"/>
      <w:szCs w:val="24"/>
    </w:rPr>
  </w:style>
  <w:style w:type="character" w:customStyle="1" w:styleId="Chare">
    <w:name w:val="尾注文本 Char"/>
    <w:link w:val="afe"/>
    <w:qFormat/>
    <w:rPr>
      <w:kern w:val="2"/>
      <w:sz w:val="21"/>
    </w:rPr>
  </w:style>
  <w:style w:type="character" w:customStyle="1" w:styleId="Charf">
    <w:name w:val="批注框文本 Char"/>
    <w:link w:val="aff"/>
    <w:uiPriority w:val="99"/>
    <w:qFormat/>
    <w:rPr>
      <w:kern w:val="2"/>
      <w:sz w:val="18"/>
      <w:szCs w:val="18"/>
    </w:rPr>
  </w:style>
  <w:style w:type="character" w:customStyle="1" w:styleId="Charf0">
    <w:name w:val="页脚 Char"/>
    <w:link w:val="aff0"/>
    <w:qFormat/>
    <w:rPr>
      <w:rFonts w:ascii="楷体" w:eastAsia="楷体" w:hAnsi="楷体"/>
      <w:b/>
      <w:kern w:val="2"/>
      <w:sz w:val="18"/>
      <w:szCs w:val="18"/>
      <w:lang w:val="zh-CN" w:eastAsia="zh-CN" w:bidi="ar-SA"/>
    </w:rPr>
  </w:style>
  <w:style w:type="character" w:customStyle="1" w:styleId="Charf1">
    <w:name w:val="页眉 Char"/>
    <w:link w:val="aff2"/>
    <w:uiPriority w:val="99"/>
    <w:qFormat/>
    <w:rPr>
      <w:rFonts w:ascii="Calibri" w:eastAsia="宋体" w:hAnsi="Calibri" w:cs="Times New Roman"/>
      <w:sz w:val="22"/>
      <w:szCs w:val="22"/>
    </w:rPr>
  </w:style>
  <w:style w:type="character" w:customStyle="1" w:styleId="Charf2">
    <w:name w:val="签名 Char"/>
    <w:link w:val="aff3"/>
    <w:qFormat/>
    <w:rPr>
      <w:color w:val="000000"/>
      <w:w w:val="110"/>
      <w:szCs w:val="24"/>
    </w:rPr>
  </w:style>
  <w:style w:type="character" w:customStyle="1" w:styleId="1Char">
    <w:name w:val="目录 1 Char"/>
    <w:link w:val="13"/>
    <w:uiPriority w:val="39"/>
    <w:qFormat/>
    <w:rPr>
      <w:rFonts w:ascii="Calibri" w:hAnsi="Calibri"/>
      <w:b/>
      <w:bCs/>
      <w:caps/>
      <w:kern w:val="2"/>
    </w:rPr>
  </w:style>
  <w:style w:type="character" w:customStyle="1" w:styleId="Charf3">
    <w:name w:val="副标题 Char"/>
    <w:link w:val="aff5"/>
    <w:qFormat/>
    <w:rPr>
      <w:rFonts w:eastAsia="楷体_GB2312"/>
      <w:bCs/>
      <w:kern w:val="28"/>
      <w:sz w:val="21"/>
      <w:szCs w:val="32"/>
    </w:rPr>
  </w:style>
  <w:style w:type="character" w:customStyle="1" w:styleId="Charf4">
    <w:name w:val="列表 Char"/>
    <w:link w:val="aff6"/>
    <w:qFormat/>
    <w:rPr>
      <w:kern w:val="2"/>
      <w:sz w:val="21"/>
      <w:szCs w:val="24"/>
    </w:rPr>
  </w:style>
  <w:style w:type="character" w:customStyle="1" w:styleId="Charf5">
    <w:name w:val="脚注文本 Char"/>
    <w:link w:val="aff7"/>
    <w:qFormat/>
    <w:rPr>
      <w:kern w:val="2"/>
      <w:sz w:val="18"/>
      <w:szCs w:val="18"/>
    </w:rPr>
  </w:style>
  <w:style w:type="character" w:customStyle="1" w:styleId="3Char1">
    <w:name w:val="正文文本缩进 3 Char"/>
    <w:link w:val="39"/>
    <w:uiPriority w:val="99"/>
    <w:qFormat/>
    <w:rPr>
      <w:rFonts w:ascii="宋体"/>
      <w:color w:val="FF0000"/>
      <w:kern w:val="2"/>
      <w:sz w:val="28"/>
      <w:szCs w:val="24"/>
    </w:rPr>
  </w:style>
  <w:style w:type="character" w:customStyle="1" w:styleId="Charf6">
    <w:name w:val="图表目录 Char"/>
    <w:link w:val="aff8"/>
    <w:qFormat/>
    <w:rPr>
      <w:rFonts w:eastAsia="楷体_GB2312"/>
      <w:color w:val="000000"/>
      <w:spacing w:val="-4"/>
      <w:kern w:val="2"/>
      <w:sz w:val="21"/>
      <w:szCs w:val="24"/>
      <w:lang w:val="en-US" w:eastAsia="zh-CN"/>
    </w:rPr>
  </w:style>
  <w:style w:type="character" w:customStyle="1" w:styleId="2Char1">
    <w:name w:val="正文文本 2 Char"/>
    <w:link w:val="28"/>
    <w:qFormat/>
    <w:rPr>
      <w:rFonts w:eastAsia="黑体"/>
      <w:kern w:val="2"/>
      <w:sz w:val="21"/>
      <w:szCs w:val="24"/>
    </w:rPr>
  </w:style>
  <w:style w:type="character" w:customStyle="1" w:styleId="Charf7">
    <w:name w:val="信息标题 Char"/>
    <w:link w:val="aff9"/>
    <w:qFormat/>
    <w:rPr>
      <w:rFonts w:ascii="Arial" w:hAnsi="Arial"/>
      <w:color w:val="000000"/>
      <w:w w:val="110"/>
      <w:sz w:val="24"/>
      <w:szCs w:val="24"/>
      <w:shd w:val="pct20" w:color="auto" w:fill="auto"/>
    </w:rPr>
  </w:style>
  <w:style w:type="character" w:customStyle="1" w:styleId="HTMLChar0">
    <w:name w:val="HTML 预设格式 Char"/>
    <w:link w:val="HTML0"/>
    <w:qFormat/>
    <w:rPr>
      <w:rFonts w:ascii="黑体" w:eastAsia="黑体" w:hAnsi="Courier New" w:cs="Courier New"/>
    </w:rPr>
  </w:style>
  <w:style w:type="character" w:customStyle="1" w:styleId="Charf8">
    <w:name w:val="普通(网站) Char"/>
    <w:link w:val="affa"/>
    <w:qFormat/>
    <w:locked/>
    <w:rPr>
      <w:rFonts w:ascii="Arial Unicode MS" w:eastAsia="Arial Unicode MS" w:hAnsi="Arial Unicode MS" w:cs="Arial Unicode MS"/>
      <w:sz w:val="24"/>
      <w:szCs w:val="24"/>
      <w:lang w:val="en-US" w:eastAsia="zh-CN" w:bidi="ar-SA"/>
    </w:rPr>
  </w:style>
  <w:style w:type="character" w:customStyle="1" w:styleId="Char">
    <w:name w:val="标题 Char"/>
    <w:link w:val="aa"/>
    <w:uiPriority w:val="10"/>
    <w:qFormat/>
    <w:rPr>
      <w:b/>
      <w:bCs/>
      <w:kern w:val="2"/>
      <w:sz w:val="32"/>
      <w:szCs w:val="32"/>
    </w:rPr>
  </w:style>
  <w:style w:type="character" w:customStyle="1" w:styleId="Charf9">
    <w:name w:val="批注主题 Char"/>
    <w:link w:val="affb"/>
    <w:qFormat/>
    <w:rPr>
      <w:b/>
      <w:bCs/>
      <w:kern w:val="2"/>
      <w:sz w:val="21"/>
      <w:szCs w:val="24"/>
    </w:rPr>
  </w:style>
  <w:style w:type="character" w:customStyle="1" w:styleId="Charfa">
    <w:name w:val="正文首行缩进 Char"/>
    <w:link w:val="affc"/>
    <w:qFormat/>
    <w:rPr>
      <w:rFonts w:ascii="宋体" w:hAnsi="宋体"/>
      <w:bCs/>
      <w:spacing w:val="4"/>
      <w:kern w:val="24"/>
      <w:sz w:val="26"/>
      <w:szCs w:val="26"/>
    </w:rPr>
  </w:style>
  <w:style w:type="character" w:customStyle="1" w:styleId="2Char2">
    <w:name w:val="正文首行缩进 2 Char"/>
    <w:link w:val="2b"/>
    <w:qFormat/>
    <w:rPr>
      <w:rFonts w:ascii="宋体" w:hAnsi="宋体"/>
      <w:kern w:val="2"/>
      <w:sz w:val="21"/>
      <w:szCs w:val="24"/>
    </w:rPr>
  </w:style>
  <w:style w:type="paragraph" w:customStyle="1" w:styleId="1e">
    <w:name w:val="样式1"/>
    <w:basedOn w:val="a6"/>
    <w:link w:val="1CharChar"/>
    <w:qFormat/>
    <w:pPr>
      <w:adjustRightInd w:val="0"/>
      <w:snapToGrid w:val="0"/>
      <w:spacing w:beforeLines="20" w:before="48" w:afterLines="20" w:after="48" w:line="288" w:lineRule="auto"/>
      <w:ind w:firstLineChars="200" w:firstLine="480"/>
    </w:pPr>
    <w:rPr>
      <w:bCs/>
      <w:sz w:val="24"/>
      <w:szCs w:val="20"/>
    </w:rPr>
  </w:style>
  <w:style w:type="character" w:customStyle="1" w:styleId="1CharChar">
    <w:name w:val="样式1 Char Char"/>
    <w:link w:val="1e"/>
    <w:qFormat/>
    <w:rPr>
      <w:bCs/>
      <w:kern w:val="2"/>
      <w:sz w:val="24"/>
    </w:rPr>
  </w:style>
  <w:style w:type="paragraph" w:customStyle="1" w:styleId="PlainText">
    <w:name w:val="PlainText"/>
    <w:basedOn w:val="a6"/>
    <w:qFormat/>
    <w:pPr>
      <w:textAlignment w:val="baseline"/>
    </w:pPr>
    <w:rPr>
      <w:rFonts w:ascii="宋体" w:hAnsi="Courier New"/>
      <w:kern w:val="0"/>
      <w:szCs w:val="20"/>
    </w:rPr>
  </w:style>
  <w:style w:type="paragraph" w:customStyle="1" w:styleId="afffb">
    <w:name w:val="表格文字"/>
    <w:basedOn w:val="a6"/>
    <w:link w:val="Charfb"/>
    <w:qFormat/>
    <w:pPr>
      <w:autoSpaceDE w:val="0"/>
      <w:autoSpaceDN w:val="0"/>
      <w:adjustRightInd w:val="0"/>
      <w:jc w:val="center"/>
    </w:pPr>
    <w:rPr>
      <w:rFonts w:ascii="宋体" w:hAnsi="宋体"/>
      <w:szCs w:val="21"/>
    </w:rPr>
  </w:style>
  <w:style w:type="character" w:customStyle="1" w:styleId="Charfb">
    <w:name w:val="表格文字 Char"/>
    <w:link w:val="afffb"/>
    <w:qFormat/>
    <w:rPr>
      <w:rFonts w:ascii="宋体" w:hAnsi="宋体"/>
      <w:kern w:val="2"/>
      <w:sz w:val="21"/>
      <w:szCs w:val="21"/>
    </w:rPr>
  </w:style>
  <w:style w:type="paragraph" w:customStyle="1" w:styleId="afffc">
    <w:name w:val="【表头】"/>
    <w:basedOn w:val="a6"/>
    <w:link w:val="Charfc"/>
    <w:qFormat/>
    <w:pPr>
      <w:spacing w:beforeLines="10" w:before="31" w:afterLines="10" w:after="31"/>
      <w:jc w:val="center"/>
    </w:pPr>
    <w:rPr>
      <w:rFonts w:ascii="Calibri" w:eastAsia="黑体" w:hAnsi="Calibri"/>
      <w:b/>
      <w:kern w:val="0"/>
      <w:sz w:val="20"/>
    </w:rPr>
  </w:style>
  <w:style w:type="character" w:customStyle="1" w:styleId="Charfc">
    <w:name w:val="【表头】 Char"/>
    <w:link w:val="afffc"/>
    <w:qFormat/>
    <w:rPr>
      <w:rFonts w:ascii="Calibri" w:eastAsia="黑体" w:hAnsi="Calibri"/>
      <w:b/>
      <w:szCs w:val="24"/>
    </w:rPr>
  </w:style>
  <w:style w:type="paragraph" w:customStyle="1" w:styleId="afffd">
    <w:name w:val="报告书正文"/>
    <w:basedOn w:val="a6"/>
    <w:link w:val="Charfd"/>
    <w:qFormat/>
    <w:pPr>
      <w:spacing w:line="360" w:lineRule="auto"/>
      <w:ind w:firstLineChars="200" w:firstLine="200"/>
    </w:pPr>
    <w:rPr>
      <w:sz w:val="24"/>
    </w:rPr>
  </w:style>
  <w:style w:type="character" w:customStyle="1" w:styleId="Charfd">
    <w:name w:val="报告书正文 Char"/>
    <w:link w:val="afffd"/>
    <w:qFormat/>
    <w:rPr>
      <w:sz w:val="24"/>
    </w:rPr>
  </w:style>
  <w:style w:type="character" w:customStyle="1" w:styleId="CharChar">
    <w:name w:val="报告书正文 Char Char"/>
    <w:qFormat/>
    <w:rPr>
      <w:kern w:val="2"/>
      <w:sz w:val="24"/>
      <w:szCs w:val="24"/>
    </w:rPr>
  </w:style>
  <w:style w:type="paragraph" w:customStyle="1" w:styleId="afffe">
    <w:name w:val="报告正文"/>
    <w:basedOn w:val="a6"/>
    <w:link w:val="Char10"/>
    <w:qFormat/>
    <w:pPr>
      <w:adjustRightInd w:val="0"/>
      <w:snapToGrid w:val="0"/>
      <w:spacing w:line="300" w:lineRule="auto"/>
    </w:pPr>
    <w:rPr>
      <w:rFonts w:ascii="宋体"/>
      <w:sz w:val="28"/>
      <w:szCs w:val="20"/>
    </w:rPr>
  </w:style>
  <w:style w:type="character" w:customStyle="1" w:styleId="Char10">
    <w:name w:val="报告正文 Char1"/>
    <w:link w:val="afffe"/>
    <w:qFormat/>
    <w:rPr>
      <w:rFonts w:ascii="宋体"/>
      <w:kern w:val="2"/>
      <w:sz w:val="28"/>
    </w:rPr>
  </w:style>
  <w:style w:type="paragraph" w:customStyle="1" w:styleId="affff">
    <w:name w:val="表头"/>
    <w:basedOn w:val="a6"/>
    <w:link w:val="Charfe"/>
    <w:uiPriority w:val="99"/>
    <w:qFormat/>
    <w:pPr>
      <w:spacing w:line="300" w:lineRule="exact"/>
      <w:ind w:firstLineChars="100" w:firstLine="248"/>
    </w:pPr>
    <w:rPr>
      <w:rFonts w:eastAsia="黑体"/>
      <w:spacing w:val="4"/>
      <w:sz w:val="24"/>
    </w:rPr>
  </w:style>
  <w:style w:type="character" w:customStyle="1" w:styleId="Charfe">
    <w:name w:val="表头 Char"/>
    <w:link w:val="affff"/>
    <w:uiPriority w:val="99"/>
    <w:qFormat/>
    <w:rPr>
      <w:rFonts w:eastAsia="黑体"/>
      <w:spacing w:val="4"/>
      <w:kern w:val="2"/>
      <w:sz w:val="24"/>
      <w:szCs w:val="24"/>
    </w:rPr>
  </w:style>
  <w:style w:type="paragraph" w:customStyle="1" w:styleId="affff0">
    <w:name w:val="表格内文字"/>
    <w:basedOn w:val="a6"/>
    <w:link w:val="CharChar0"/>
    <w:qFormat/>
    <w:pPr>
      <w:tabs>
        <w:tab w:val="left" w:pos="3780"/>
      </w:tabs>
      <w:adjustRightInd w:val="0"/>
      <w:spacing w:before="60" w:after="60"/>
      <w:jc w:val="center"/>
      <w:textAlignment w:val="baseline"/>
    </w:pPr>
    <w:rPr>
      <w:rFonts w:ascii="宋体"/>
      <w:color w:val="000000"/>
      <w:spacing w:val="8"/>
      <w:szCs w:val="20"/>
    </w:rPr>
  </w:style>
  <w:style w:type="character" w:customStyle="1" w:styleId="CharChar0">
    <w:name w:val="表格内文字 Char Char"/>
    <w:link w:val="affff0"/>
    <w:qFormat/>
    <w:rPr>
      <w:rFonts w:ascii="宋体"/>
      <w:color w:val="000000"/>
      <w:spacing w:val="8"/>
      <w:kern w:val="2"/>
      <w:sz w:val="21"/>
    </w:rPr>
  </w:style>
  <w:style w:type="paragraph" w:customStyle="1" w:styleId="Affff1">
    <w:name w:val="正文A"/>
    <w:basedOn w:val="a6"/>
    <w:link w:val="AChar"/>
    <w:qFormat/>
    <w:pPr>
      <w:spacing w:line="500" w:lineRule="exact"/>
      <w:ind w:firstLineChars="200" w:firstLine="480"/>
    </w:pPr>
    <w:rPr>
      <w:rFonts w:ascii="宋体" w:hAnsi="宋体"/>
      <w:sz w:val="24"/>
    </w:rPr>
  </w:style>
  <w:style w:type="character" w:customStyle="1" w:styleId="AChar">
    <w:name w:val="正文A Char"/>
    <w:link w:val="Affff1"/>
    <w:qFormat/>
    <w:rPr>
      <w:rFonts w:ascii="宋体" w:hAnsi="宋体"/>
      <w:kern w:val="2"/>
      <w:sz w:val="24"/>
      <w:szCs w:val="24"/>
    </w:rPr>
  </w:style>
  <w:style w:type="character" w:customStyle="1" w:styleId="EmailStyle5601">
    <w:name w:val="EmailStyle5601"/>
    <w:qFormat/>
    <w:rPr>
      <w:rFonts w:ascii="Arial" w:eastAsia="宋体" w:hAnsi="Arial" w:cs="Arial"/>
      <w:color w:val="auto"/>
      <w:sz w:val="20"/>
    </w:rPr>
  </w:style>
  <w:style w:type="character" w:customStyle="1" w:styleId="Char20">
    <w:name w:val="标题 Char2"/>
    <w:qFormat/>
    <w:rPr>
      <w:rFonts w:ascii="Cambria" w:hAnsi="Cambria" w:cs="Times New Roman"/>
      <w:b/>
      <w:bCs/>
      <w:kern w:val="2"/>
      <w:sz w:val="32"/>
      <w:szCs w:val="32"/>
    </w:rPr>
  </w:style>
  <w:style w:type="character" w:customStyle="1" w:styleId="Char21">
    <w:name w:val="明显引用 Char2"/>
    <w:uiPriority w:val="30"/>
    <w:qFormat/>
    <w:rPr>
      <w:b/>
      <w:bCs/>
      <w:i/>
      <w:iCs/>
      <w:color w:val="4F81BD"/>
      <w:kern w:val="2"/>
      <w:sz w:val="24"/>
      <w:szCs w:val="24"/>
    </w:rPr>
  </w:style>
  <w:style w:type="character" w:customStyle="1" w:styleId="CharChar1">
    <w:name w:val="缩进 Char Char"/>
    <w:qFormat/>
    <w:rPr>
      <w:rFonts w:ascii="Times New Roman" w:eastAsia="宋体" w:hAnsi="Times New Roman" w:cs="Times New Roman"/>
      <w:color w:val="000000"/>
      <w:w w:val="110"/>
      <w:kern w:val="0"/>
      <w:sz w:val="24"/>
      <w:szCs w:val="24"/>
    </w:rPr>
  </w:style>
  <w:style w:type="character" w:customStyle="1" w:styleId="777777777CharCharCharCharChar1">
    <w:name w:val="777777777 Char Char Char Char Char1"/>
    <w:qFormat/>
    <w:rPr>
      <w:rFonts w:eastAsia="宋体"/>
      <w:kern w:val="2"/>
      <w:sz w:val="28"/>
      <w:lang w:val="en-US" w:eastAsia="zh-CN"/>
    </w:rPr>
  </w:style>
  <w:style w:type="character" w:customStyle="1" w:styleId="f14l131">
    <w:name w:val="f14l131"/>
    <w:qFormat/>
    <w:rPr>
      <w:sz w:val="21"/>
      <w:szCs w:val="21"/>
    </w:rPr>
  </w:style>
  <w:style w:type="character" w:customStyle="1" w:styleId="green1">
    <w:name w:val="green1"/>
    <w:qFormat/>
    <w:rPr>
      <w:b/>
      <w:bCs/>
      <w:color w:val="8AC300"/>
    </w:rPr>
  </w:style>
  <w:style w:type="character" w:customStyle="1" w:styleId="t11">
    <w:name w:val="t11"/>
    <w:qFormat/>
    <w:rPr>
      <w:rFonts w:ascii="宋体" w:eastAsia="宋体" w:hAnsi="宋体" w:hint="eastAsia"/>
      <w:spacing w:val="360"/>
      <w:sz w:val="18"/>
      <w:szCs w:val="18"/>
    </w:rPr>
  </w:style>
  <w:style w:type="character" w:customStyle="1" w:styleId="220Char">
    <w:name w:val="标题 2 + 行距: 标题2+首行缩进 0倍 Char"/>
    <w:link w:val="220"/>
    <w:qFormat/>
    <w:rPr>
      <w:rFonts w:ascii="黑体" w:eastAsia="黑体" w:hAnsi="黑体"/>
      <w:b/>
      <w:kern w:val="2"/>
      <w:sz w:val="30"/>
    </w:rPr>
  </w:style>
  <w:style w:type="paragraph" w:customStyle="1" w:styleId="220">
    <w:name w:val="标题 2 + 行距: 标题2+首行缩进 0倍"/>
    <w:basedOn w:val="22"/>
    <w:link w:val="220Char"/>
    <w:qFormat/>
    <w:pPr>
      <w:keepNext w:val="0"/>
      <w:keepLines w:val="0"/>
      <w:tabs>
        <w:tab w:val="left" w:pos="8140"/>
      </w:tabs>
      <w:spacing w:afterLines="50"/>
    </w:pPr>
    <w:rPr>
      <w:rFonts w:ascii="黑体" w:hAnsi="黑体"/>
      <w:bCs w:val="0"/>
      <w:spacing w:val="0"/>
      <w:w w:val="100"/>
      <w:kern w:val="2"/>
      <w:sz w:val="30"/>
      <w:szCs w:val="20"/>
    </w:rPr>
  </w:style>
  <w:style w:type="character" w:customStyle="1" w:styleId="2CharChar">
    <w:name w:val="正文（首行式样2） Char Char"/>
    <w:link w:val="2f5"/>
    <w:qFormat/>
    <w:rPr>
      <w:rFonts w:ascii="宋体" w:hAnsi="宋体"/>
      <w:color w:val="000000"/>
      <w:w w:val="110"/>
      <w:sz w:val="24"/>
      <w:szCs w:val="24"/>
    </w:rPr>
  </w:style>
  <w:style w:type="paragraph" w:customStyle="1" w:styleId="2f5">
    <w:name w:val="正文（首行式样2）"/>
    <w:basedOn w:val="a6"/>
    <w:link w:val="2CharChar"/>
    <w:qFormat/>
    <w:pPr>
      <w:snapToGrid w:val="0"/>
      <w:spacing w:line="360" w:lineRule="auto"/>
      <w:ind w:rightChars="-6" w:right="-13" w:firstLineChars="219" w:firstLine="526"/>
    </w:pPr>
    <w:rPr>
      <w:rFonts w:ascii="宋体" w:hAnsi="宋体"/>
      <w:color w:val="000000"/>
      <w:w w:val="110"/>
      <w:kern w:val="0"/>
      <w:sz w:val="24"/>
    </w:rPr>
  </w:style>
  <w:style w:type="character" w:customStyle="1" w:styleId="description">
    <w:name w:val="description"/>
    <w:qFormat/>
  </w:style>
  <w:style w:type="character" w:customStyle="1" w:styleId="Char22">
    <w:name w:val="注释标题 Char2"/>
    <w:qFormat/>
    <w:rPr>
      <w:rFonts w:ascii="Times New Roman" w:eastAsia="宋体" w:hAnsi="Times New Roman" w:cs="Times New Roman"/>
      <w:szCs w:val="24"/>
    </w:rPr>
  </w:style>
  <w:style w:type="character" w:customStyle="1" w:styleId="digest1">
    <w:name w:val="digest1"/>
    <w:qFormat/>
    <w:rPr>
      <w:color w:val="393939"/>
      <w:sz w:val="20"/>
      <w:szCs w:val="20"/>
    </w:rPr>
  </w:style>
  <w:style w:type="character" w:customStyle="1" w:styleId="2Char3">
    <w:name w:val="样式 样式2 + 非加粗 Char"/>
    <w:qFormat/>
    <w:rPr>
      <w:rFonts w:eastAsia="宋体"/>
      <w:color w:val="000000"/>
      <w:kern w:val="2"/>
      <w:sz w:val="24"/>
      <w:szCs w:val="24"/>
      <w:lang w:val="en-US" w:eastAsia="zh-CN" w:bidi="ar-SA"/>
    </w:rPr>
  </w:style>
  <w:style w:type="character" w:customStyle="1" w:styleId="wangCharCharChar">
    <w:name w:val="正文wang Char Char Char"/>
    <w:qFormat/>
    <w:rPr>
      <w:rFonts w:eastAsia="宋体" w:hAnsi="宋体" w:cs="宋体"/>
      <w:sz w:val="21"/>
      <w:szCs w:val="21"/>
      <w:lang w:val="en-US" w:eastAsia="zh-CN" w:bidi="ar-SA"/>
    </w:rPr>
  </w:style>
  <w:style w:type="character" w:customStyle="1" w:styleId="2Char10">
    <w:name w:val="正文文本缩进 2 Char1"/>
    <w:qFormat/>
    <w:rPr>
      <w:kern w:val="2"/>
      <w:sz w:val="21"/>
      <w:szCs w:val="24"/>
    </w:rPr>
  </w:style>
  <w:style w:type="character" w:customStyle="1" w:styleId="zhengChar">
    <w:name w:val="zheng Char"/>
    <w:link w:val="zheng"/>
    <w:qFormat/>
    <w:rPr>
      <w:rFonts w:ascii="Arial" w:hAnsi="Arial" w:cs="Arial"/>
      <w:kern w:val="2"/>
      <w:sz w:val="24"/>
      <w:szCs w:val="24"/>
    </w:rPr>
  </w:style>
  <w:style w:type="paragraph" w:customStyle="1" w:styleId="zheng">
    <w:name w:val="zheng"/>
    <w:basedOn w:val="a6"/>
    <w:link w:val="zhengChar"/>
    <w:qFormat/>
    <w:pPr>
      <w:widowControl/>
      <w:spacing w:line="360" w:lineRule="auto"/>
      <w:ind w:firstLineChars="200" w:firstLine="480"/>
    </w:pPr>
    <w:rPr>
      <w:rFonts w:ascii="Arial" w:hAnsi="Arial"/>
      <w:sz w:val="24"/>
    </w:rPr>
  </w:style>
  <w:style w:type="character" w:customStyle="1" w:styleId="-2Char">
    <w:name w:val="样式 正文首行缩进可研-正文首行缩进 + 首行缩进:  2 字符 Char"/>
    <w:qFormat/>
    <w:rPr>
      <w:rFonts w:ascii="宋体" w:hAnsi="宋体"/>
      <w:sz w:val="28"/>
    </w:rPr>
  </w:style>
  <w:style w:type="character" w:customStyle="1" w:styleId="Char40">
    <w:name w:val="一级项 Char4"/>
    <w:qFormat/>
    <w:rPr>
      <w:rFonts w:eastAsia="宋体"/>
      <w:bCs/>
      <w:kern w:val="2"/>
      <w:sz w:val="24"/>
      <w:szCs w:val="24"/>
      <w:lang w:val="en-US" w:eastAsia="zh-CN" w:bidi="ar-SA"/>
    </w:rPr>
  </w:style>
  <w:style w:type="character" w:customStyle="1" w:styleId="prightpntfc03">
    <w:name w:val="pright pnt fc03"/>
    <w:qFormat/>
  </w:style>
  <w:style w:type="character" w:customStyle="1" w:styleId="1CharCharChar">
    <w:name w:val="表头1 Char Char Char"/>
    <w:qFormat/>
    <w:rPr>
      <w:rFonts w:eastAsia="黑体"/>
      <w:sz w:val="21"/>
      <w:szCs w:val="21"/>
      <w:lang w:val="en-US" w:eastAsia="zh-CN" w:bidi="ar-SA"/>
    </w:rPr>
  </w:style>
  <w:style w:type="character" w:customStyle="1" w:styleId="CharChar181">
    <w:name w:val="Char Char181"/>
    <w:qFormat/>
    <w:rPr>
      <w:rFonts w:eastAsia="宋体"/>
      <w:b/>
      <w:bCs/>
      <w:color w:val="000000"/>
      <w:kern w:val="44"/>
      <w:sz w:val="28"/>
      <w:szCs w:val="28"/>
      <w:lang w:val="en-US" w:eastAsia="zh-CN" w:bidi="ar-SA"/>
    </w:rPr>
  </w:style>
  <w:style w:type="character" w:customStyle="1" w:styleId="ed11">
    <w:name w:val="ed11"/>
    <w:qFormat/>
    <w:rPr>
      <w:b/>
      <w:color w:val="05006C"/>
      <w:sz w:val="33"/>
    </w:rPr>
  </w:style>
  <w:style w:type="character" w:customStyle="1" w:styleId="1CharChar3">
    <w:name w:val="标题 1 Char Char3"/>
    <w:qFormat/>
    <w:rPr>
      <w:rFonts w:ascii="黑体" w:eastAsia="黑体"/>
      <w:b/>
      <w:bCs/>
      <w:kern w:val="44"/>
      <w:sz w:val="30"/>
      <w:szCs w:val="44"/>
      <w:lang w:val="en-US" w:eastAsia="zh-CN" w:bidi="ar-SA"/>
    </w:rPr>
  </w:style>
  <w:style w:type="character" w:customStyle="1" w:styleId="CharCharChar3">
    <w:name w:val="正文文字 Char Char Char3"/>
    <w:qFormat/>
    <w:rPr>
      <w:rFonts w:ascii="宋体" w:eastAsia="宋体"/>
      <w:color w:val="000000"/>
      <w:kern w:val="2"/>
      <w:sz w:val="24"/>
      <w:lang w:val="en-US" w:eastAsia="zh-CN" w:bidi="ar-SA"/>
    </w:rPr>
  </w:style>
  <w:style w:type="character" w:customStyle="1" w:styleId="Charff">
    <w:name w:val="小四正文 Char"/>
    <w:link w:val="affff2"/>
    <w:qFormat/>
    <w:rPr>
      <w:rFonts w:hAnsi="宋体"/>
      <w:b/>
      <w:color w:val="000000"/>
      <w:kern w:val="2"/>
      <w:sz w:val="24"/>
      <w:szCs w:val="24"/>
      <w:lang w:val="en-US" w:eastAsia="zh-CN" w:bidi="ar-SA"/>
    </w:rPr>
  </w:style>
  <w:style w:type="paragraph" w:customStyle="1" w:styleId="affff2">
    <w:name w:val="小四正文"/>
    <w:link w:val="Charff"/>
    <w:qFormat/>
    <w:pPr>
      <w:spacing w:line="480" w:lineRule="exact"/>
      <w:jc w:val="both"/>
    </w:pPr>
    <w:rPr>
      <w:rFonts w:hAnsi="宋体"/>
      <w:b/>
      <w:color w:val="000000"/>
      <w:kern w:val="2"/>
      <w:sz w:val="24"/>
      <w:szCs w:val="24"/>
    </w:rPr>
  </w:style>
  <w:style w:type="character" w:customStyle="1" w:styleId="Charff0">
    <w:name w:val="正文四号 Char"/>
    <w:link w:val="affff3"/>
    <w:qFormat/>
    <w:rPr>
      <w:kern w:val="2"/>
      <w:sz w:val="24"/>
      <w:szCs w:val="24"/>
    </w:rPr>
  </w:style>
  <w:style w:type="paragraph" w:customStyle="1" w:styleId="affff3">
    <w:name w:val="正文四号"/>
    <w:basedOn w:val="a6"/>
    <w:link w:val="Charff0"/>
    <w:qFormat/>
    <w:pPr>
      <w:spacing w:line="360" w:lineRule="auto"/>
      <w:ind w:firstLineChars="200" w:firstLine="200"/>
    </w:pPr>
    <w:rPr>
      <w:sz w:val="24"/>
    </w:rPr>
  </w:style>
  <w:style w:type="character" w:customStyle="1" w:styleId="CharCharCharCharCharCCharCharCharCharCh">
    <w:name w:val="普通文字 Char Char Char Char Char C Char Char Char Char Ch"/>
    <w:qFormat/>
    <w:rPr>
      <w:rFonts w:ascii="宋体" w:eastAsia="宋体" w:hAnsi="Courier New"/>
      <w:kern w:val="2"/>
      <w:sz w:val="28"/>
      <w:lang w:val="en-US" w:eastAsia="zh-CN" w:bidi="ar-SA"/>
    </w:rPr>
  </w:style>
  <w:style w:type="character" w:customStyle="1" w:styleId="Char23">
    <w:name w:val="尾注文本 Char2"/>
    <w:qFormat/>
    <w:rPr>
      <w:kern w:val="2"/>
      <w:sz w:val="21"/>
      <w:szCs w:val="22"/>
    </w:rPr>
  </w:style>
  <w:style w:type="character" w:customStyle="1" w:styleId="Char11">
    <w:name w:val="正文首行缩进 Char1"/>
    <w:qFormat/>
    <w:rPr>
      <w:rFonts w:ascii="Times New Roman" w:hAnsi="Times New Roman"/>
      <w:kern w:val="2"/>
      <w:sz w:val="21"/>
      <w:szCs w:val="24"/>
    </w:rPr>
  </w:style>
  <w:style w:type="character" w:customStyle="1" w:styleId="Charff1">
    <w:name w:val="正文 楷体 Char"/>
    <w:link w:val="affff4"/>
    <w:qFormat/>
    <w:rPr>
      <w:rFonts w:ascii="楷体_GB2312" w:eastAsia="楷体_GB2312" w:hAnsi="楷体_GB2312" w:cs="宋体"/>
      <w:color w:val="000000"/>
      <w:w w:val="110"/>
      <w:sz w:val="24"/>
      <w:szCs w:val="24"/>
    </w:rPr>
  </w:style>
  <w:style w:type="paragraph" w:customStyle="1" w:styleId="affff4">
    <w:name w:val="正文 楷体"/>
    <w:basedOn w:val="a6"/>
    <w:link w:val="Charff1"/>
    <w:qFormat/>
    <w:pPr>
      <w:spacing w:line="500" w:lineRule="exact"/>
      <w:ind w:firstLineChars="200" w:firstLine="200"/>
    </w:pPr>
    <w:rPr>
      <w:rFonts w:ascii="楷体_GB2312" w:eastAsia="楷体_GB2312" w:hAnsi="楷体_GB2312"/>
      <w:color w:val="000000"/>
      <w:w w:val="110"/>
      <w:kern w:val="0"/>
      <w:sz w:val="24"/>
    </w:rPr>
  </w:style>
  <w:style w:type="character" w:customStyle="1" w:styleId="style81">
    <w:name w:val="style81"/>
    <w:qFormat/>
    <w:rPr>
      <w:rFonts w:ascii="宋体" w:eastAsia="黑体" w:hAnsi="宋体" w:cs="宋体"/>
      <w:kern w:val="2"/>
      <w:sz w:val="24"/>
      <w:szCs w:val="24"/>
      <w:lang w:val="en-US" w:eastAsia="zh-CN" w:bidi="ar-SA"/>
    </w:rPr>
  </w:style>
  <w:style w:type="character" w:customStyle="1" w:styleId="EmailStyle4431">
    <w:name w:val="EmailStyle4431"/>
    <w:qFormat/>
    <w:rPr>
      <w:rFonts w:ascii="Arial" w:eastAsia="宋体" w:hAnsi="Arial" w:cs="Arial"/>
      <w:color w:val="auto"/>
      <w:sz w:val="20"/>
    </w:rPr>
  </w:style>
  <w:style w:type="character" w:customStyle="1" w:styleId="1Char0">
    <w:name w:val="1标题 Char"/>
    <w:qFormat/>
    <w:rPr>
      <w:rFonts w:ascii="宋体" w:eastAsia="宋体" w:hAnsi="宋体"/>
      <w:sz w:val="28"/>
      <w:lang w:bidi="ar-SA"/>
    </w:rPr>
  </w:style>
  <w:style w:type="character" w:customStyle="1" w:styleId="ca-51">
    <w:name w:val="ca-51"/>
    <w:qFormat/>
    <w:rPr>
      <w:rFonts w:ascii="宋体" w:eastAsia="宋体" w:hAnsi="宋体" w:hint="eastAsia"/>
      <w:sz w:val="21"/>
      <w:szCs w:val="21"/>
    </w:rPr>
  </w:style>
  <w:style w:type="character" w:customStyle="1" w:styleId="2-xhCharChar">
    <w:name w:val="标题 2-xh Char Char"/>
    <w:qFormat/>
    <w:rPr>
      <w:rFonts w:ascii="Arial" w:eastAsia="黑体" w:hAnsi="Arial"/>
      <w:b/>
      <w:bCs/>
      <w:kern w:val="2"/>
      <w:sz w:val="32"/>
      <w:szCs w:val="32"/>
      <w:lang w:val="en-US" w:eastAsia="zh-CN" w:bidi="ar-SA"/>
    </w:rPr>
  </w:style>
  <w:style w:type="character" w:customStyle="1" w:styleId="txt4">
    <w:name w:val="txt4"/>
    <w:qFormat/>
  </w:style>
  <w:style w:type="character" w:customStyle="1" w:styleId="CharChar10">
    <w:name w:val="表题 Char Char1"/>
    <w:qFormat/>
    <w:rPr>
      <w:rFonts w:eastAsia="宋体"/>
      <w:bCs/>
      <w:sz w:val="24"/>
      <w:lang w:bidi="ar-SA"/>
    </w:rPr>
  </w:style>
  <w:style w:type="character" w:customStyle="1" w:styleId="15CharChar">
    <w:name w:val="正文 小四 行距: 1.5 倍行距 Char Char"/>
    <w:link w:val="150"/>
    <w:qFormat/>
    <w:rPr>
      <w:rFonts w:cs="宋体"/>
      <w:kern w:val="2"/>
      <w:sz w:val="24"/>
    </w:rPr>
  </w:style>
  <w:style w:type="paragraph" w:customStyle="1" w:styleId="150">
    <w:name w:val="正文 小四 行距: 1.5 倍行距"/>
    <w:basedOn w:val="a6"/>
    <w:link w:val="15CharChar"/>
    <w:qFormat/>
    <w:pPr>
      <w:spacing w:line="360" w:lineRule="auto"/>
      <w:ind w:firstLineChars="200" w:firstLine="480"/>
    </w:pPr>
    <w:rPr>
      <w:sz w:val="24"/>
      <w:szCs w:val="20"/>
    </w:rPr>
  </w:style>
  <w:style w:type="character" w:customStyle="1" w:styleId="CharChar231">
    <w:name w:val="Char Char231"/>
    <w:qFormat/>
    <w:rPr>
      <w:rFonts w:ascii="宋体" w:eastAsia="宋体" w:hAnsi="宋体" w:cs="宋体"/>
      <w:b/>
      <w:bCs/>
      <w:sz w:val="28"/>
      <w:szCs w:val="28"/>
      <w:lang w:val="en-US" w:eastAsia="zh-CN" w:bidi="ar-SA"/>
    </w:rPr>
  </w:style>
  <w:style w:type="character" w:customStyle="1" w:styleId="2Char4">
    <w:name w:val="样式 表格文字居中 + 首行缩进:  2 字符 Char"/>
    <w:link w:val="2f6"/>
    <w:qFormat/>
    <w:rPr>
      <w:rFonts w:ascii="宋体"/>
      <w:color w:val="0000FF"/>
      <w:kern w:val="2"/>
      <w:sz w:val="21"/>
    </w:rPr>
  </w:style>
  <w:style w:type="paragraph" w:customStyle="1" w:styleId="2f6">
    <w:name w:val="样式 表格文字居中 + 首行缩进:  2 字符"/>
    <w:link w:val="2Char4"/>
    <w:qFormat/>
    <w:pPr>
      <w:keepNext/>
      <w:tabs>
        <w:tab w:val="left" w:pos="240"/>
        <w:tab w:val="left" w:pos="628"/>
        <w:tab w:val="left" w:pos="1727"/>
        <w:tab w:val="left" w:pos="1884"/>
        <w:tab w:val="left" w:pos="7252"/>
      </w:tabs>
      <w:outlineLvl w:val="0"/>
    </w:pPr>
    <w:rPr>
      <w:rFonts w:ascii="宋体"/>
      <w:color w:val="0000FF"/>
      <w:kern w:val="2"/>
      <w:sz w:val="21"/>
    </w:rPr>
  </w:style>
  <w:style w:type="paragraph" w:customStyle="1" w:styleId="affff5">
    <w:name w:val="表格文字居中"/>
    <w:basedOn w:val="a6"/>
    <w:next w:val="affc"/>
    <w:link w:val="Char12"/>
    <w:qFormat/>
    <w:pPr>
      <w:adjustRightInd w:val="0"/>
      <w:snapToGrid w:val="0"/>
      <w:ind w:leftChars="-35" w:left="-35" w:rightChars="-38" w:right="-38"/>
      <w:jc w:val="center"/>
    </w:pPr>
    <w:rPr>
      <w:rFonts w:eastAsia="楷体"/>
      <w:spacing w:val="-6"/>
      <w:kern w:val="0"/>
      <w:sz w:val="24"/>
    </w:rPr>
  </w:style>
  <w:style w:type="character" w:customStyle="1" w:styleId="Char12">
    <w:name w:val="表格文字居中 Char1"/>
    <w:link w:val="affff5"/>
    <w:qFormat/>
    <w:rPr>
      <w:rFonts w:eastAsia="楷体"/>
      <w:spacing w:val="-6"/>
      <w:sz w:val="24"/>
      <w:szCs w:val="24"/>
    </w:rPr>
  </w:style>
  <w:style w:type="character" w:customStyle="1" w:styleId="blogsepphide">
    <w:name w:val="blogsep phide"/>
    <w:qFormat/>
  </w:style>
  <w:style w:type="character" w:customStyle="1" w:styleId="5Char0">
    <w:name w:val="样式 样式5 + 宋体 Char"/>
    <w:qFormat/>
    <w:rPr>
      <w:rFonts w:eastAsia="宋体"/>
      <w:b/>
      <w:bCs/>
      <w:kern w:val="2"/>
      <w:sz w:val="26"/>
      <w:szCs w:val="26"/>
      <w:lang w:val="en-US" w:eastAsia="zh-CN" w:bidi="ar-SA"/>
    </w:rPr>
  </w:style>
  <w:style w:type="character" w:customStyle="1" w:styleId="FontStyle322">
    <w:name w:val="Font Style322"/>
    <w:qFormat/>
    <w:rPr>
      <w:rFonts w:ascii="Times New Roman" w:hAnsi="Times New Roman" w:cs="Times New Roman"/>
      <w:i/>
      <w:iCs/>
      <w:sz w:val="22"/>
      <w:szCs w:val="22"/>
    </w:rPr>
  </w:style>
  <w:style w:type="character" w:customStyle="1" w:styleId="body-cn-blackstyle3">
    <w:name w:val="body-cn-black style3"/>
    <w:qFormat/>
  </w:style>
  <w:style w:type="character" w:customStyle="1" w:styleId="EmailStyle5591">
    <w:name w:val="EmailStyle5591"/>
    <w:qFormat/>
    <w:rPr>
      <w:rFonts w:ascii="Arial" w:eastAsia="宋体" w:hAnsi="Arial" w:cs="Arial"/>
      <w:color w:val="auto"/>
      <w:sz w:val="20"/>
    </w:rPr>
  </w:style>
  <w:style w:type="character" w:customStyle="1" w:styleId="h41">
    <w:name w:val="h41"/>
    <w:qFormat/>
    <w:rPr>
      <w:rFonts w:hint="default"/>
      <w:b/>
      <w:bCs/>
      <w:sz w:val="22"/>
      <w:szCs w:val="22"/>
    </w:rPr>
  </w:style>
  <w:style w:type="character" w:customStyle="1" w:styleId="3CharCharChar">
    <w:name w:val="正文3 Char Char Char"/>
    <w:qFormat/>
    <w:rPr>
      <w:rFonts w:ascii="宋体" w:eastAsia="宋体" w:hAnsi="宋体" w:cs="Times New Roman"/>
      <w:bCs/>
      <w:snapToGrid/>
      <w:kern w:val="0"/>
      <w:sz w:val="24"/>
      <w:szCs w:val="28"/>
      <w:lang w:val="zh-CN"/>
    </w:rPr>
  </w:style>
  <w:style w:type="character" w:customStyle="1" w:styleId="affff6">
    <w:name w:val="样式 四号"/>
    <w:qFormat/>
    <w:rPr>
      <w:sz w:val="28"/>
    </w:rPr>
  </w:style>
  <w:style w:type="character" w:customStyle="1" w:styleId="001CharCharChar">
    <w:name w:val="正文001 Char Char Char"/>
    <w:qFormat/>
    <w:rPr>
      <w:rFonts w:ascii="Arial" w:eastAsia="宋体" w:hAnsi="Arial" w:cs="Arial"/>
      <w:kern w:val="2"/>
      <w:sz w:val="24"/>
      <w:lang w:val="en-US" w:eastAsia="zh-CN" w:bidi="ar-SA"/>
    </w:rPr>
  </w:style>
  <w:style w:type="character" w:customStyle="1" w:styleId="4444Char">
    <w:name w:val="4444 Char"/>
    <w:link w:val="4444"/>
    <w:uiPriority w:val="99"/>
    <w:qFormat/>
    <w:rPr>
      <w:rFonts w:eastAsia="黑体" w:hAnsi="黑体"/>
      <w:kern w:val="2"/>
      <w:sz w:val="24"/>
      <w:szCs w:val="24"/>
    </w:rPr>
  </w:style>
  <w:style w:type="paragraph" w:customStyle="1" w:styleId="4444">
    <w:name w:val="4444"/>
    <w:basedOn w:val="12"/>
    <w:link w:val="4444Char"/>
    <w:uiPriority w:val="99"/>
    <w:qFormat/>
    <w:pPr>
      <w:keepNext w:val="0"/>
      <w:keepLines w:val="0"/>
      <w:spacing w:before="50" w:after="50" w:line="520" w:lineRule="exact"/>
      <w:outlineLvl w:val="3"/>
    </w:pPr>
    <w:rPr>
      <w:rFonts w:hAnsi="黑体"/>
      <w:b w:val="0"/>
      <w:bCs w:val="0"/>
      <w:kern w:val="2"/>
      <w:sz w:val="24"/>
      <w:szCs w:val="24"/>
    </w:rPr>
  </w:style>
  <w:style w:type="character" w:customStyle="1" w:styleId="21121122Char1TimesNewRomanCharChar">
    <w:name w:val="样式 标题 21.1标题 21.1标题2标题 2 Char1节 + (符号) Times New Roman Char Char"/>
    <w:link w:val="21121122Char1TimesNewRomanChar"/>
    <w:qFormat/>
    <w:rPr>
      <w:rFonts w:ascii="宋体" w:hAnsi="宋体"/>
      <w:kern w:val="2"/>
      <w:sz w:val="28"/>
      <w:szCs w:val="28"/>
    </w:rPr>
  </w:style>
  <w:style w:type="paragraph" w:customStyle="1" w:styleId="21121122Char1TimesNewRomanChar">
    <w:name w:val="样式 标题 21.1标题 21.1标题2标题 2 Char1节 + (符号) Times New Roman Char"/>
    <w:basedOn w:val="22"/>
    <w:link w:val="21121122Char1TimesNewRomanCharChar"/>
    <w:qFormat/>
    <w:pPr>
      <w:keepLines w:val="0"/>
      <w:tabs>
        <w:tab w:val="left" w:pos="0"/>
        <w:tab w:val="left" w:pos="700"/>
        <w:tab w:val="left" w:pos="998"/>
      </w:tabs>
      <w:spacing w:line="336" w:lineRule="auto"/>
      <w:ind w:left="180" w:hanging="576"/>
      <w:outlineLvl w:val="2"/>
    </w:pPr>
    <w:rPr>
      <w:b/>
      <w:bCs w:val="0"/>
      <w:spacing w:val="0"/>
      <w:w w:val="100"/>
      <w:kern w:val="2"/>
    </w:rPr>
  </w:style>
  <w:style w:type="character" w:customStyle="1" w:styleId="111Char">
    <w:name w:val="正文111 Char"/>
    <w:link w:val="111"/>
    <w:qFormat/>
    <w:rPr>
      <w:kern w:val="2"/>
      <w:sz w:val="24"/>
      <w:szCs w:val="24"/>
    </w:rPr>
  </w:style>
  <w:style w:type="paragraph" w:customStyle="1" w:styleId="111">
    <w:name w:val="正文111"/>
    <w:basedOn w:val="af0"/>
    <w:link w:val="111Char"/>
    <w:qFormat/>
    <w:pPr>
      <w:adjustRightInd/>
      <w:spacing w:afterLines="25"/>
      <w:ind w:firstLineChars="200" w:firstLine="200"/>
      <w:jc w:val="both"/>
      <w:textAlignment w:val="auto"/>
    </w:pPr>
    <w:rPr>
      <w:rFonts w:ascii="Times New Roman" w:hAnsi="Times New Roman"/>
      <w:kern w:val="2"/>
      <w:szCs w:val="24"/>
    </w:rPr>
  </w:style>
  <w:style w:type="character" w:customStyle="1" w:styleId="2CharChar0">
    <w:name w:val="样式 正文首行缩进 2 + (符号) 宋体 Char Char"/>
    <w:link w:val="2f7"/>
    <w:qFormat/>
    <w:rPr>
      <w:rFonts w:ascii="宋体"/>
      <w:color w:val="000000"/>
      <w:w w:val="110"/>
      <w:sz w:val="24"/>
      <w:szCs w:val="24"/>
    </w:rPr>
  </w:style>
  <w:style w:type="paragraph" w:customStyle="1" w:styleId="2f7">
    <w:name w:val="样式 正文首行缩进 2 + (符号) 宋体"/>
    <w:basedOn w:val="2b"/>
    <w:link w:val="2CharChar0"/>
    <w:qFormat/>
    <w:pPr>
      <w:spacing w:after="0" w:line="360" w:lineRule="auto"/>
      <w:ind w:leftChars="0" w:left="0" w:firstLine="200"/>
    </w:pPr>
    <w:rPr>
      <w:rFonts w:hAnsi="Times New Roman"/>
      <w:color w:val="000000"/>
      <w:w w:val="110"/>
      <w:kern w:val="0"/>
      <w:sz w:val="24"/>
    </w:rPr>
  </w:style>
  <w:style w:type="character" w:customStyle="1" w:styleId="contenttext11">
    <w:name w:val="contenttext11"/>
    <w:qFormat/>
    <w:rPr>
      <w:rFonts w:ascii="宋体" w:eastAsia="宋体" w:hAnsi="宋体" w:hint="eastAsia"/>
      <w:color w:val="000000"/>
      <w:sz w:val="24"/>
      <w:szCs w:val="24"/>
    </w:rPr>
  </w:style>
  <w:style w:type="character" w:customStyle="1" w:styleId="2CharChar1">
    <w:name w:val="样式 正文首行缩进 2 + (符号) 宋体 + (符号) 宋体 Char Char"/>
    <w:link w:val="2f8"/>
    <w:qFormat/>
    <w:rPr>
      <w:color w:val="000000"/>
      <w:w w:val="110"/>
    </w:rPr>
  </w:style>
  <w:style w:type="paragraph" w:customStyle="1" w:styleId="2f8">
    <w:name w:val="样式 正文首行缩进 2 + (符号) 宋体 + (符号) 宋体"/>
    <w:basedOn w:val="2f7"/>
    <w:link w:val="2CharChar1"/>
    <w:qFormat/>
    <w:rPr>
      <w:rFonts w:ascii="Times New Roman"/>
      <w:sz w:val="20"/>
      <w:szCs w:val="20"/>
    </w:rPr>
  </w:style>
  <w:style w:type="character" w:customStyle="1" w:styleId="font01">
    <w:name w:val="font01"/>
    <w:qFormat/>
    <w:rPr>
      <w:rFonts w:ascii="Arial" w:hAnsi="Arial" w:cs="Arial" w:hint="default"/>
      <w:color w:val="000000"/>
      <w:sz w:val="16"/>
      <w:szCs w:val="16"/>
      <w:u w:val="none"/>
    </w:rPr>
  </w:style>
  <w:style w:type="character" w:customStyle="1" w:styleId="CharChar122">
    <w:name w:val="Char Char122"/>
    <w:qFormat/>
    <w:rPr>
      <w:rFonts w:eastAsia="宋体"/>
      <w:color w:val="000000"/>
      <w:kern w:val="2"/>
      <w:sz w:val="24"/>
      <w:szCs w:val="24"/>
      <w:lang w:val="en-US" w:eastAsia="zh-CN" w:bidi="ar-SA"/>
    </w:rPr>
  </w:style>
  <w:style w:type="character" w:customStyle="1" w:styleId="1Char1">
    <w:name w:val="标题 1 Char1"/>
    <w:qFormat/>
    <w:rPr>
      <w:rFonts w:ascii="Arial" w:eastAsia="黑体" w:hAnsi="Arial"/>
      <w:b/>
      <w:bCs/>
      <w:kern w:val="44"/>
      <w:sz w:val="44"/>
      <w:szCs w:val="44"/>
      <w:lang w:val="en-US" w:eastAsia="zh-CN" w:bidi="ar-SA"/>
    </w:rPr>
  </w:style>
  <w:style w:type="character" w:customStyle="1" w:styleId="CharChar2">
    <w:name w:val="标注 Char Char"/>
    <w:link w:val="affff7"/>
    <w:qFormat/>
    <w:rPr>
      <w:rFonts w:ascii="Calibri" w:hAnsi="Calibri" w:cs="黑体"/>
      <w:kern w:val="2"/>
      <w:sz w:val="18"/>
      <w:szCs w:val="24"/>
    </w:rPr>
  </w:style>
  <w:style w:type="paragraph" w:customStyle="1" w:styleId="affff7">
    <w:name w:val="标注"/>
    <w:basedOn w:val="afe"/>
    <w:next w:val="a6"/>
    <w:link w:val="CharChar2"/>
    <w:qFormat/>
    <w:pPr>
      <w:spacing w:before="120"/>
      <w:jc w:val="right"/>
    </w:pPr>
    <w:rPr>
      <w:rFonts w:ascii="Calibri" w:hAnsi="Calibri"/>
      <w:sz w:val="18"/>
      <w:szCs w:val="24"/>
    </w:rPr>
  </w:style>
  <w:style w:type="character" w:customStyle="1" w:styleId="5Char1">
    <w:name w:val="标题5 Char"/>
    <w:qFormat/>
    <w:rPr>
      <w:rFonts w:ascii="Times New Roman" w:hAnsi="Times New Roman"/>
      <w:b/>
      <w:bCs/>
      <w:color w:val="000000"/>
      <w:spacing w:val="6"/>
      <w:kern w:val="2"/>
      <w:sz w:val="21"/>
      <w:szCs w:val="24"/>
    </w:rPr>
  </w:style>
  <w:style w:type="character" w:customStyle="1" w:styleId="Charff2">
    <w:name w:val="表注 Char"/>
    <w:qFormat/>
    <w:rPr>
      <w:rFonts w:eastAsia="宋体"/>
      <w:snapToGrid w:val="0"/>
      <w:sz w:val="18"/>
      <w:szCs w:val="18"/>
      <w:lang w:val="en-US" w:eastAsia="zh-CN" w:bidi="ar-SA"/>
    </w:rPr>
  </w:style>
  <w:style w:type="character" w:customStyle="1" w:styleId="iblockicn0icn0-919">
    <w:name w:val="iblock icn0 icn0-919"/>
    <w:qFormat/>
  </w:style>
  <w:style w:type="character" w:customStyle="1" w:styleId="CharAttribute4">
    <w:name w:val="CharAttribute4"/>
    <w:qFormat/>
    <w:rPr>
      <w:rFonts w:ascii="Times New Roman" w:eastAsia="Times New Roman" w:hAnsi="Times New Roman"/>
      <w:sz w:val="24"/>
    </w:rPr>
  </w:style>
  <w:style w:type="character" w:customStyle="1" w:styleId="1Char2">
    <w:name w:val="样式 样式1 + Char"/>
    <w:link w:val="1f"/>
    <w:qFormat/>
    <w:rPr>
      <w:sz w:val="24"/>
      <w:szCs w:val="24"/>
    </w:rPr>
  </w:style>
  <w:style w:type="paragraph" w:customStyle="1" w:styleId="1f">
    <w:name w:val="样式 样式1 +"/>
    <w:basedOn w:val="1e"/>
    <w:link w:val="1Char2"/>
    <w:qFormat/>
    <w:pPr>
      <w:adjustRightInd/>
      <w:snapToGrid/>
      <w:spacing w:beforeLines="0" w:before="0" w:afterLines="0" w:after="0" w:line="480" w:lineRule="exact"/>
      <w:ind w:firstLine="200"/>
    </w:pPr>
    <w:rPr>
      <w:bCs w:val="0"/>
      <w:kern w:val="0"/>
      <w:szCs w:val="24"/>
    </w:rPr>
  </w:style>
  <w:style w:type="character" w:customStyle="1" w:styleId="s1">
    <w:name w:val="s1"/>
    <w:qFormat/>
  </w:style>
  <w:style w:type="character" w:customStyle="1" w:styleId="3H3BHead3Char1113h33rdlevel1CharChar">
    <w:name w:val="样式 标题 3H3B Head标题 3 Char条标题1.1.1三级标题标题3h33rd level第二层条...1 Char Char"/>
    <w:qFormat/>
    <w:rPr>
      <w:rFonts w:ascii="黑体" w:eastAsia="黑体" w:hAnsi="宋体"/>
      <w:b/>
      <w:bCs/>
      <w:snapToGrid/>
      <w:color w:val="FF0000"/>
      <w:sz w:val="24"/>
      <w:szCs w:val="24"/>
      <w:lang w:val="en-US" w:eastAsia="zh-CN" w:bidi="ar-SA"/>
    </w:rPr>
  </w:style>
  <w:style w:type="character" w:customStyle="1" w:styleId="CharCharCharCharCharCharChar">
    <w:name w:val="正文(首行缩进) Char Char Char Char Char Char Char"/>
    <w:qFormat/>
    <w:rPr>
      <w:rFonts w:eastAsia="宋体"/>
      <w:snapToGrid/>
      <w:kern w:val="2"/>
      <w:sz w:val="24"/>
      <w:szCs w:val="24"/>
      <w:lang w:val="en-US" w:eastAsia="zh-CN" w:bidi="ar-SA"/>
    </w:rPr>
  </w:style>
  <w:style w:type="character" w:customStyle="1" w:styleId="font151">
    <w:name w:val="font151"/>
    <w:qFormat/>
    <w:rPr>
      <w:rFonts w:ascii="宋体" w:eastAsia="宋体" w:hAnsi="宋体" w:hint="eastAsia"/>
      <w:color w:val="000000"/>
      <w:sz w:val="21"/>
      <w:szCs w:val="21"/>
      <w:u w:val="none"/>
    </w:rPr>
  </w:style>
  <w:style w:type="character" w:customStyle="1" w:styleId="1CharChar0">
    <w:name w:val="1正文段落 Char Char"/>
    <w:uiPriority w:val="99"/>
    <w:qFormat/>
    <w:rPr>
      <w:rFonts w:eastAsia="宋体"/>
      <w:snapToGrid/>
      <w:sz w:val="24"/>
      <w:szCs w:val="24"/>
      <w:lang w:val="en-US" w:eastAsia="zh-CN" w:bidi="ar-SA"/>
    </w:rPr>
  </w:style>
  <w:style w:type="character" w:customStyle="1" w:styleId="CharChar3">
    <w:name w:val="表头标题 Char Char"/>
    <w:link w:val="affff8"/>
    <w:qFormat/>
    <w:rPr>
      <w:rFonts w:ascii="黑体" w:eastAsia="黑体"/>
      <w:bCs/>
      <w:color w:val="FF0000"/>
      <w:szCs w:val="21"/>
      <w:lang w:val="zh-CN"/>
    </w:rPr>
  </w:style>
  <w:style w:type="paragraph" w:customStyle="1" w:styleId="affff8">
    <w:name w:val="表头标题"/>
    <w:basedOn w:val="a6"/>
    <w:link w:val="CharChar3"/>
    <w:qFormat/>
    <w:pPr>
      <w:tabs>
        <w:tab w:val="left" w:pos="905"/>
      </w:tabs>
      <w:snapToGrid w:val="0"/>
      <w:jc w:val="center"/>
    </w:pPr>
    <w:rPr>
      <w:rFonts w:ascii="黑体" w:eastAsia="黑体"/>
      <w:bCs/>
      <w:color w:val="FF0000"/>
      <w:kern w:val="0"/>
      <w:sz w:val="20"/>
      <w:szCs w:val="21"/>
      <w:lang w:val="zh-CN"/>
    </w:rPr>
  </w:style>
  <w:style w:type="character" w:customStyle="1" w:styleId="222Char">
    <w:name w:val="样式 样式 正文首行缩进 2 + 宋体 首行缩进:  2 字符 + 首行缩进:  2 字符 Char"/>
    <w:link w:val="222"/>
    <w:qFormat/>
    <w:rPr>
      <w:sz w:val="24"/>
    </w:rPr>
  </w:style>
  <w:style w:type="paragraph" w:customStyle="1" w:styleId="222">
    <w:name w:val="样式 样式 正文首行缩进 2 + 宋体 首行缩进:  2 字符 + 首行缩进:  2 字符"/>
    <w:basedOn w:val="a6"/>
    <w:link w:val="222Char"/>
    <w:qFormat/>
    <w:pPr>
      <w:widowControl/>
      <w:spacing w:line="360" w:lineRule="auto"/>
      <w:ind w:firstLineChars="200" w:firstLine="480"/>
      <w:jc w:val="left"/>
    </w:pPr>
    <w:rPr>
      <w:kern w:val="0"/>
      <w:sz w:val="24"/>
      <w:szCs w:val="20"/>
    </w:rPr>
  </w:style>
  <w:style w:type="character" w:customStyle="1" w:styleId="2H211lxb211h2CharCharChar">
    <w:name w:val="样式 标题 2节H2节标题 1.1二级标题标题 lxb21.1h2第一层条二级标题 Char表标题单位名... Char Char"/>
    <w:link w:val="2H211lxb211h2CharChar"/>
    <w:qFormat/>
    <w:rPr>
      <w:rFonts w:ascii="黑体" w:eastAsia="黑体" w:hAnsi="宋体"/>
      <w:bCs/>
      <w:color w:val="000000"/>
      <w:kern w:val="2"/>
      <w:sz w:val="30"/>
      <w:szCs w:val="32"/>
    </w:rPr>
  </w:style>
  <w:style w:type="paragraph" w:customStyle="1" w:styleId="2H211lxb211h2CharChar">
    <w:name w:val="样式 标题 2节H2节标题 1.1二级标题标题 lxb21.1h2第一层条二级标题 Char表标题单位名... Char"/>
    <w:basedOn w:val="22"/>
    <w:link w:val="2H211lxb211h2CharCharChar"/>
    <w:qFormat/>
    <w:pPr>
      <w:keepNext w:val="0"/>
      <w:keepLines w:val="0"/>
      <w:overflowPunct w:val="0"/>
      <w:autoSpaceDE w:val="0"/>
      <w:autoSpaceDN w:val="0"/>
      <w:adjustRightInd w:val="0"/>
      <w:ind w:left="314" w:hanging="314"/>
      <w:textAlignment w:val="baseline"/>
    </w:pPr>
    <w:rPr>
      <w:rFonts w:ascii="黑体"/>
      <w:b/>
      <w:color w:val="000000"/>
      <w:spacing w:val="0"/>
      <w:w w:val="100"/>
      <w:kern w:val="2"/>
      <w:sz w:val="30"/>
      <w:szCs w:val="32"/>
    </w:rPr>
  </w:style>
  <w:style w:type="character" w:customStyle="1" w:styleId="Charff3">
    <w:name w:val="表格内字体 Char"/>
    <w:qFormat/>
    <w:rPr>
      <w:rFonts w:ascii="宋体" w:hAnsi="宋体"/>
      <w:szCs w:val="24"/>
    </w:rPr>
  </w:style>
  <w:style w:type="character" w:customStyle="1" w:styleId="Char13">
    <w:name w:val="正文文字( 首段缩进两字） Char1"/>
    <w:qFormat/>
    <w:rPr>
      <w:rFonts w:ascii="宋体" w:eastAsia="宋体" w:hAnsi="宋体"/>
      <w:color w:val="000000"/>
      <w:kern w:val="2"/>
      <w:sz w:val="24"/>
      <w:szCs w:val="28"/>
      <w:lang w:val="en-US" w:eastAsia="zh-CN" w:bidi="ar-SA"/>
    </w:rPr>
  </w:style>
  <w:style w:type="character" w:customStyle="1" w:styleId="Char30">
    <w:name w:val="批注主题 Char3"/>
    <w:qFormat/>
    <w:rPr>
      <w:b/>
      <w:bCs/>
      <w:kern w:val="2"/>
      <w:sz w:val="21"/>
      <w:szCs w:val="22"/>
    </w:rPr>
  </w:style>
  <w:style w:type="character" w:customStyle="1" w:styleId="4CharChar">
    <w:name w:val="标题 4 Char Char"/>
    <w:qFormat/>
    <w:rPr>
      <w:rFonts w:eastAsia="宋体"/>
      <w:kern w:val="2"/>
      <w:sz w:val="28"/>
      <w:lang w:val="en-US" w:eastAsia="zh-CN" w:bidi="ar-SA"/>
    </w:rPr>
  </w:style>
  <w:style w:type="character" w:customStyle="1" w:styleId="CharChar4">
    <w:name w:val="文字块 Char Char"/>
    <w:qFormat/>
    <w:rPr>
      <w:rFonts w:ascii="Times New Roman" w:hAnsi="Times New Roman"/>
      <w:kern w:val="2"/>
      <w:sz w:val="24"/>
      <w:szCs w:val="24"/>
    </w:rPr>
  </w:style>
  <w:style w:type="character" w:customStyle="1" w:styleId="CharChar171">
    <w:name w:val="Char Char171"/>
    <w:qFormat/>
    <w:rPr>
      <w:rFonts w:ascii="Arial" w:eastAsia="黑体" w:hAnsi="Arial"/>
      <w:kern w:val="30"/>
      <w:sz w:val="30"/>
      <w:lang w:val="en-US" w:eastAsia="zh-CN" w:bidi="ar-SA"/>
    </w:rPr>
  </w:style>
  <w:style w:type="character" w:customStyle="1" w:styleId="zimu111">
    <w:name w:val="zimu_111"/>
    <w:qFormat/>
    <w:rPr>
      <w:rFonts w:ascii="Verdana" w:hAnsi="Verdana" w:hint="default"/>
      <w:b/>
      <w:bCs/>
      <w:color w:val="0F54A1"/>
      <w:sz w:val="15"/>
      <w:szCs w:val="15"/>
      <w:u w:val="none"/>
    </w:rPr>
  </w:style>
  <w:style w:type="character" w:customStyle="1" w:styleId="Charff4">
    <w:name w:val="样式 样式 表格 + (符号) 宋体 五号 居中 + 小五 Char"/>
    <w:link w:val="affff9"/>
    <w:qFormat/>
    <w:rPr>
      <w:sz w:val="18"/>
      <w:szCs w:val="21"/>
    </w:rPr>
  </w:style>
  <w:style w:type="paragraph" w:customStyle="1" w:styleId="affff9">
    <w:name w:val="样式 样式 表格 + (符号) 宋体 五号 居中 + 小五"/>
    <w:basedOn w:val="a6"/>
    <w:link w:val="Charff4"/>
    <w:qFormat/>
    <w:pPr>
      <w:kinsoku w:val="0"/>
      <w:overflowPunct w:val="0"/>
      <w:adjustRightInd w:val="0"/>
      <w:snapToGrid w:val="0"/>
      <w:jc w:val="center"/>
    </w:pPr>
    <w:rPr>
      <w:kern w:val="0"/>
      <w:sz w:val="18"/>
      <w:szCs w:val="21"/>
    </w:rPr>
  </w:style>
  <w:style w:type="character" w:customStyle="1" w:styleId="2Char5">
    <w:name w:val="样式 标题 2 Char"/>
    <w:link w:val="2f9"/>
    <w:qFormat/>
    <w:rPr>
      <w:rFonts w:ascii="黑体" w:eastAsia="黑体" w:hAnsi="Arial"/>
      <w:color w:val="000000"/>
      <w:spacing w:val="10"/>
      <w:w w:val="96"/>
      <w:sz w:val="30"/>
      <w:szCs w:val="30"/>
    </w:rPr>
  </w:style>
  <w:style w:type="paragraph" w:customStyle="1" w:styleId="2f9">
    <w:name w:val="样式 标题 2"/>
    <w:link w:val="2Char5"/>
    <w:qFormat/>
    <w:pPr>
      <w:spacing w:beforeLines="50" w:afterLines="50" w:line="500" w:lineRule="exact"/>
    </w:pPr>
    <w:rPr>
      <w:rFonts w:ascii="黑体"/>
      <w:spacing w:val="10"/>
      <w:w w:val="96"/>
      <w:sz w:val="30"/>
      <w:szCs w:val="30"/>
    </w:rPr>
  </w:style>
  <w:style w:type="paragraph" w:customStyle="1" w:styleId="210">
    <w:name w:val="标题 21"/>
    <w:basedOn w:val="a6"/>
    <w:next w:val="a6"/>
    <w:qFormat/>
    <w:pPr>
      <w:keepNext/>
      <w:keepLines/>
      <w:spacing w:before="260" w:after="260" w:line="413" w:lineRule="auto"/>
      <w:outlineLvl w:val="1"/>
    </w:pPr>
    <w:rPr>
      <w:rFonts w:ascii="Arial" w:eastAsia="黑体" w:hAnsi="Arial"/>
      <w:b/>
      <w:bCs/>
      <w:color w:val="000000"/>
      <w:w w:val="110"/>
      <w:kern w:val="0"/>
      <w:sz w:val="32"/>
      <w:szCs w:val="32"/>
    </w:rPr>
  </w:style>
  <w:style w:type="character" w:customStyle="1" w:styleId="Char14">
    <w:name w:val="文档结构图 Char1"/>
    <w:link w:val="1f0"/>
    <w:qFormat/>
    <w:rPr>
      <w:rFonts w:ascii="宋体"/>
      <w:kern w:val="2"/>
      <w:sz w:val="18"/>
      <w:szCs w:val="18"/>
    </w:rPr>
  </w:style>
  <w:style w:type="paragraph" w:customStyle="1" w:styleId="1f0">
    <w:name w:val="文档结构图1"/>
    <w:basedOn w:val="a6"/>
    <w:link w:val="Char14"/>
    <w:qFormat/>
    <w:rPr>
      <w:rFonts w:ascii="宋体"/>
      <w:sz w:val="18"/>
      <w:szCs w:val="18"/>
    </w:rPr>
  </w:style>
  <w:style w:type="character" w:customStyle="1" w:styleId="c1">
    <w:name w:val="c1"/>
    <w:uiPriority w:val="99"/>
    <w:qFormat/>
    <w:rPr>
      <w:rFonts w:ascii="ˎ̥" w:hAnsi="ˎ̥" w:hint="default"/>
      <w:color w:val="000000"/>
      <w:sz w:val="21"/>
      <w:szCs w:val="21"/>
      <w:u w:val="none"/>
    </w:rPr>
  </w:style>
  <w:style w:type="character" w:customStyle="1" w:styleId="rsdesckey1">
    <w:name w:val="rsdesckey1"/>
    <w:qFormat/>
    <w:rPr>
      <w:color w:val="FF0000"/>
    </w:rPr>
  </w:style>
  <w:style w:type="character" w:customStyle="1" w:styleId="A2Char">
    <w:name w:val="A2 Char"/>
    <w:link w:val="A20"/>
    <w:qFormat/>
    <w:rPr>
      <w:kern w:val="2"/>
      <w:sz w:val="30"/>
      <w:szCs w:val="24"/>
    </w:rPr>
  </w:style>
  <w:style w:type="paragraph" w:customStyle="1" w:styleId="A20">
    <w:name w:val="A2"/>
    <w:basedOn w:val="a6"/>
    <w:link w:val="A2Char"/>
    <w:qFormat/>
    <w:pPr>
      <w:spacing w:line="360" w:lineRule="auto"/>
      <w:ind w:firstLine="570"/>
    </w:pPr>
    <w:rPr>
      <w:sz w:val="30"/>
    </w:rPr>
  </w:style>
  <w:style w:type="character" w:customStyle="1" w:styleId="Charff5">
    <w:name w:val="图题 Char"/>
    <w:qFormat/>
    <w:rPr>
      <w:rFonts w:ascii="黑体" w:eastAsia="黑体" w:hAnsi="宋体" w:cs="宋体"/>
      <w:b/>
      <w:bCs/>
      <w:kern w:val="2"/>
      <w:sz w:val="24"/>
      <w:szCs w:val="24"/>
      <w:lang w:val="en-US" w:eastAsia="zh-CN" w:bidi="ar-SA"/>
    </w:rPr>
  </w:style>
  <w:style w:type="character" w:customStyle="1" w:styleId="CharChar5">
    <w:name w:val="正文格式 Char Char"/>
    <w:link w:val="affffa"/>
    <w:uiPriority w:val="99"/>
    <w:qFormat/>
    <w:rPr>
      <w:rFonts w:ascii="宋体" w:hAnsi="宋体"/>
      <w:kern w:val="2"/>
      <w:sz w:val="24"/>
    </w:rPr>
  </w:style>
  <w:style w:type="paragraph" w:customStyle="1" w:styleId="affffa">
    <w:name w:val="正文格式"/>
    <w:basedOn w:val="a6"/>
    <w:link w:val="CharChar5"/>
    <w:uiPriority w:val="99"/>
    <w:qFormat/>
    <w:pPr>
      <w:spacing w:line="360" w:lineRule="auto"/>
      <w:ind w:firstLine="482"/>
    </w:pPr>
    <w:rPr>
      <w:rFonts w:ascii="宋体" w:hAnsi="宋体"/>
      <w:sz w:val="24"/>
      <w:szCs w:val="20"/>
    </w:rPr>
  </w:style>
  <w:style w:type="character" w:customStyle="1" w:styleId="14red">
    <w:name w:val="14red"/>
    <w:basedOn w:val="a7"/>
    <w:qFormat/>
  </w:style>
  <w:style w:type="character" w:customStyle="1" w:styleId="110">
    <w:name w:val="占位符文本11"/>
    <w:uiPriority w:val="99"/>
    <w:qFormat/>
    <w:rPr>
      <w:color w:val="808080"/>
    </w:rPr>
  </w:style>
  <w:style w:type="character" w:customStyle="1" w:styleId="zhengwen">
    <w:name w:val="zhengwen"/>
    <w:qFormat/>
  </w:style>
  <w:style w:type="character" w:customStyle="1" w:styleId="fc04stag">
    <w:name w:val="fc04 stag"/>
    <w:qFormat/>
  </w:style>
  <w:style w:type="character" w:customStyle="1" w:styleId="FontStyle399">
    <w:name w:val="Font Style399"/>
    <w:qFormat/>
    <w:rPr>
      <w:rFonts w:ascii="宋体" w:eastAsia="宋体" w:cs="宋体"/>
      <w:i/>
      <w:iCs/>
      <w:spacing w:val="60"/>
      <w:w w:val="200"/>
      <w:sz w:val="10"/>
      <w:szCs w:val="10"/>
    </w:rPr>
  </w:style>
  <w:style w:type="character" w:customStyle="1" w:styleId="CharCharChar2">
    <w:name w:val="右 Char Char Char2"/>
    <w:qFormat/>
    <w:rPr>
      <w:kern w:val="2"/>
      <w:sz w:val="18"/>
      <w:szCs w:val="18"/>
    </w:rPr>
  </w:style>
  <w:style w:type="character" w:customStyle="1" w:styleId="tw4winMark">
    <w:name w:val="tw4winMark"/>
    <w:qFormat/>
    <w:rPr>
      <w:vanish/>
      <w:color w:val="800080"/>
      <w:vertAlign w:val="subscript"/>
    </w:rPr>
  </w:style>
  <w:style w:type="character" w:customStyle="1" w:styleId="Charff6">
    <w:name w:val="样式 宋体 四号 Char"/>
    <w:qFormat/>
    <w:rPr>
      <w:rFonts w:ascii="Times New Roman" w:hAnsi="Times New Roman"/>
      <w:kern w:val="2"/>
      <w:sz w:val="28"/>
      <w:szCs w:val="28"/>
    </w:rPr>
  </w:style>
  <w:style w:type="character" w:customStyle="1" w:styleId="CharChar33">
    <w:name w:val="Char Char33"/>
    <w:qFormat/>
    <w:rPr>
      <w:rFonts w:eastAsia="宋体"/>
      <w:b/>
      <w:kern w:val="2"/>
      <w:sz w:val="32"/>
      <w:lang w:val="en-US" w:eastAsia="zh-CN"/>
    </w:rPr>
  </w:style>
  <w:style w:type="character" w:customStyle="1" w:styleId="style10">
    <w:name w:val="style10"/>
    <w:qFormat/>
  </w:style>
  <w:style w:type="character" w:customStyle="1" w:styleId="FooterLine1Char2">
    <w:name w:val="Footer Line1 Char2"/>
    <w:qFormat/>
    <w:rPr>
      <w:rFonts w:eastAsia="宋体"/>
      <w:sz w:val="18"/>
      <w:szCs w:val="18"/>
      <w:lang w:val="en-US" w:eastAsia="zh-CN" w:bidi="ar-SA"/>
    </w:rPr>
  </w:style>
  <w:style w:type="character" w:customStyle="1" w:styleId="1Char3">
    <w:name w:val="样式 题注 + 小四1 Char"/>
    <w:link w:val="1f1"/>
    <w:qFormat/>
    <w:rPr>
      <w:rFonts w:eastAsia="黑体" w:cs="Arial"/>
      <w:kern w:val="2"/>
      <w:sz w:val="24"/>
    </w:rPr>
  </w:style>
  <w:style w:type="paragraph" w:customStyle="1" w:styleId="1f1">
    <w:name w:val="样式 题注 + 小四1"/>
    <w:basedOn w:val="af1"/>
    <w:link w:val="1Char3"/>
    <w:qFormat/>
    <w:pPr>
      <w:widowControl w:val="0"/>
      <w:tabs>
        <w:tab w:val="left" w:pos="2268"/>
      </w:tabs>
      <w:ind w:left="851" w:firstLineChars="0" w:firstLine="0"/>
      <w:jc w:val="both"/>
    </w:pPr>
    <w:rPr>
      <w:rFonts w:eastAsia="黑体"/>
      <w:b w:val="0"/>
      <w:szCs w:val="20"/>
    </w:rPr>
  </w:style>
  <w:style w:type="character" w:customStyle="1" w:styleId="3f3">
    <w:name w:val="Основной текст (3)"/>
    <w:qFormat/>
    <w:rPr>
      <w:rFonts w:ascii="Times New Roman" w:eastAsia="Times New Roman" w:hAnsi="Times New Roman" w:cs="Times New Roman"/>
      <w:spacing w:val="0"/>
      <w:sz w:val="26"/>
      <w:szCs w:val="26"/>
      <w:lang w:bidi="ar-SA"/>
    </w:rPr>
  </w:style>
  <w:style w:type="character" w:customStyle="1" w:styleId="Charff7">
    <w:name w:val="标题表格 Char"/>
    <w:link w:val="affffb"/>
    <w:qFormat/>
    <w:rPr>
      <w:rFonts w:ascii="黑体" w:eastAsia="黑体" w:hAnsi="楷体_GB2312"/>
      <w:sz w:val="24"/>
      <w:szCs w:val="24"/>
    </w:rPr>
  </w:style>
  <w:style w:type="paragraph" w:customStyle="1" w:styleId="affffb">
    <w:name w:val="标题表格"/>
    <w:basedOn w:val="a6"/>
    <w:link w:val="Charff7"/>
    <w:qFormat/>
    <w:pPr>
      <w:spacing w:beforeLines="80"/>
      <w:jc w:val="center"/>
    </w:pPr>
    <w:rPr>
      <w:rFonts w:ascii="黑体" w:eastAsia="黑体" w:hAnsi="楷体_GB2312"/>
      <w:kern w:val="0"/>
      <w:sz w:val="24"/>
    </w:rPr>
  </w:style>
  <w:style w:type="character" w:customStyle="1" w:styleId="CharChar6">
    <w:name w:val="样式 样式 表格 + (符号) 宋体 五号 居中 + 小五 Char Char"/>
    <w:qFormat/>
    <w:rPr>
      <w:snapToGrid w:val="0"/>
      <w:sz w:val="18"/>
      <w:szCs w:val="21"/>
    </w:rPr>
  </w:style>
  <w:style w:type="character" w:customStyle="1" w:styleId="px141">
    <w:name w:val="px141"/>
    <w:qFormat/>
    <w:rPr>
      <w:sz w:val="21"/>
      <w:szCs w:val="21"/>
    </w:rPr>
  </w:style>
  <w:style w:type="character" w:customStyle="1" w:styleId="ca-41">
    <w:name w:val="ca-41"/>
    <w:qFormat/>
    <w:rPr>
      <w:rFonts w:ascii="宋体" w:eastAsia="宋体" w:hAnsi="宋体" w:hint="eastAsia"/>
      <w:color w:val="000000"/>
      <w:sz w:val="14"/>
      <w:szCs w:val="14"/>
    </w:rPr>
  </w:style>
  <w:style w:type="character" w:customStyle="1" w:styleId="FontStyle404">
    <w:name w:val="Font Style404"/>
    <w:qFormat/>
    <w:rPr>
      <w:rFonts w:ascii="宋体" w:eastAsia="宋体" w:cs="宋体"/>
      <w:b/>
      <w:bCs/>
      <w:w w:val="150"/>
      <w:sz w:val="14"/>
      <w:szCs w:val="14"/>
    </w:rPr>
  </w:style>
  <w:style w:type="character" w:customStyle="1" w:styleId="1Char4">
    <w:name w:val="分目录1 Char"/>
    <w:link w:val="1f2"/>
    <w:qFormat/>
    <w:rPr>
      <w:sz w:val="28"/>
    </w:rPr>
  </w:style>
  <w:style w:type="paragraph" w:customStyle="1" w:styleId="1f2">
    <w:name w:val="分目录1"/>
    <w:basedOn w:val="a6"/>
    <w:link w:val="1Char4"/>
    <w:qFormat/>
    <w:pPr>
      <w:tabs>
        <w:tab w:val="right" w:leader="dot" w:pos="8304"/>
      </w:tabs>
      <w:adjustRightInd w:val="0"/>
      <w:snapToGrid w:val="0"/>
      <w:spacing w:line="360" w:lineRule="auto"/>
    </w:pPr>
    <w:rPr>
      <w:kern w:val="0"/>
      <w:sz w:val="28"/>
      <w:szCs w:val="20"/>
    </w:rPr>
  </w:style>
  <w:style w:type="character" w:customStyle="1" w:styleId="BChar">
    <w:name w:val="正文B Char"/>
    <w:link w:val="B"/>
    <w:qFormat/>
    <w:rPr>
      <w:rFonts w:eastAsia="楷体_GB2312"/>
      <w:spacing w:val="8"/>
      <w:sz w:val="28"/>
    </w:rPr>
  </w:style>
  <w:style w:type="paragraph" w:customStyle="1" w:styleId="B">
    <w:name w:val="正文B"/>
    <w:basedOn w:val="a6"/>
    <w:link w:val="BChar"/>
    <w:qFormat/>
    <w:pPr>
      <w:adjustRightInd w:val="0"/>
      <w:spacing w:line="390" w:lineRule="exact"/>
      <w:ind w:firstLine="601"/>
      <w:textAlignment w:val="baseline"/>
    </w:pPr>
    <w:rPr>
      <w:rFonts w:eastAsia="楷体_GB2312"/>
      <w:spacing w:val="8"/>
      <w:kern w:val="0"/>
      <w:sz w:val="28"/>
      <w:szCs w:val="20"/>
    </w:rPr>
  </w:style>
  <w:style w:type="character" w:customStyle="1" w:styleId="aa11">
    <w:name w:val="aa11"/>
    <w:qFormat/>
  </w:style>
  <w:style w:type="character" w:customStyle="1" w:styleId="Footer1CharChar1">
    <w:name w:val="Footer1 Char Char1"/>
    <w:qFormat/>
    <w:rPr>
      <w:rFonts w:eastAsia="宋体"/>
      <w:kern w:val="2"/>
      <w:sz w:val="18"/>
      <w:lang w:val="en-US" w:eastAsia="zh-CN" w:bidi="ar-SA"/>
    </w:rPr>
  </w:style>
  <w:style w:type="character" w:customStyle="1" w:styleId="Charff8">
    <w:name w:val="【图片】 Char"/>
    <w:qFormat/>
    <w:locked/>
    <w:rPr>
      <w:rFonts w:ascii="宋体" w:eastAsia="宋体" w:hAnsi="Times New Roman" w:cs="Times New Roman"/>
      <w:kern w:val="0"/>
      <w:sz w:val="24"/>
      <w:szCs w:val="20"/>
    </w:rPr>
  </w:style>
  <w:style w:type="character" w:customStyle="1" w:styleId="CharAttribute5">
    <w:name w:val="CharAttribute5"/>
    <w:qFormat/>
    <w:rPr>
      <w:rFonts w:ascii="宋体" w:eastAsia="宋体" w:hAnsi="宋体"/>
      <w:sz w:val="21"/>
    </w:rPr>
  </w:style>
  <w:style w:type="character" w:customStyle="1" w:styleId="-Char">
    <w:name w:val="报告正文-黄登 Char"/>
    <w:link w:val="-"/>
    <w:qFormat/>
    <w:rPr>
      <w:snapToGrid/>
      <w:sz w:val="24"/>
      <w:szCs w:val="24"/>
    </w:rPr>
  </w:style>
  <w:style w:type="paragraph" w:customStyle="1" w:styleId="-">
    <w:name w:val="报告正文-黄登"/>
    <w:basedOn w:val="a6"/>
    <w:link w:val="-Char"/>
    <w:qFormat/>
    <w:pPr>
      <w:spacing w:line="360" w:lineRule="auto"/>
      <w:ind w:firstLineChars="200" w:firstLine="480"/>
      <w:jc w:val="left"/>
    </w:pPr>
    <w:rPr>
      <w:snapToGrid w:val="0"/>
      <w:kern w:val="0"/>
      <w:sz w:val="24"/>
    </w:rPr>
  </w:style>
  <w:style w:type="character" w:customStyle="1" w:styleId="4Char0">
    <w:name w:val="样式4 Char"/>
    <w:link w:val="4c"/>
    <w:qFormat/>
    <w:rPr>
      <w:spacing w:val="4"/>
      <w:sz w:val="18"/>
    </w:rPr>
  </w:style>
  <w:style w:type="paragraph" w:customStyle="1" w:styleId="4c">
    <w:name w:val="样式4"/>
    <w:basedOn w:val="a6"/>
    <w:link w:val="4Char0"/>
    <w:qFormat/>
    <w:pPr>
      <w:adjustRightInd w:val="0"/>
      <w:spacing w:line="360" w:lineRule="atLeast"/>
      <w:ind w:left="-57" w:right="-57" w:firstLine="482"/>
      <w:textAlignment w:val="baseline"/>
    </w:pPr>
    <w:rPr>
      <w:spacing w:val="4"/>
      <w:kern w:val="0"/>
      <w:sz w:val="18"/>
      <w:szCs w:val="20"/>
    </w:rPr>
  </w:style>
  <w:style w:type="character" w:customStyle="1" w:styleId="CharCharChar">
    <w:name w:val="文本匡小五号 Char Char Char"/>
    <w:qFormat/>
    <w:rPr>
      <w:rFonts w:ascii="宋体" w:eastAsia="仿宋_GB2312" w:hAnsi="宋体" w:cs="Courier New"/>
      <w:kern w:val="2"/>
      <w:sz w:val="18"/>
      <w:szCs w:val="24"/>
      <w:lang w:val="en-US" w:eastAsia="zh-CN" w:bidi="ar-SA"/>
    </w:rPr>
  </w:style>
  <w:style w:type="character" w:customStyle="1" w:styleId="EmailStyle488">
    <w:name w:val="EmailStyle488"/>
    <w:qFormat/>
    <w:rPr>
      <w:rFonts w:ascii="Arial" w:eastAsia="宋体" w:hAnsi="Arial" w:cs="Arial"/>
      <w:color w:val="auto"/>
      <w:sz w:val="20"/>
    </w:rPr>
  </w:style>
  <w:style w:type="character" w:customStyle="1" w:styleId="dlscore">
    <w:name w:val="dlscore"/>
    <w:qFormat/>
  </w:style>
  <w:style w:type="character" w:customStyle="1" w:styleId="aspmaker1">
    <w:name w:val="aspmaker1"/>
    <w:qFormat/>
    <w:rPr>
      <w:rFonts w:ascii="Verdana" w:hAnsi="Verdana" w:hint="default"/>
      <w:sz w:val="20"/>
      <w:szCs w:val="20"/>
    </w:rPr>
  </w:style>
  <w:style w:type="character" w:customStyle="1" w:styleId="03CharCharChar">
    <w:name w:val="03 Char Char Char"/>
    <w:qFormat/>
    <w:rPr>
      <w:rFonts w:ascii="宋体" w:eastAsia="宋体" w:hAnsi="Courier New"/>
      <w:kern w:val="2"/>
      <w:sz w:val="24"/>
      <w:szCs w:val="24"/>
      <w:lang w:val="en-US" w:eastAsia="zh-CN" w:bidi="ar-SA"/>
    </w:rPr>
  </w:style>
  <w:style w:type="character" w:customStyle="1" w:styleId="style2">
    <w:name w:val="style2"/>
    <w:basedOn w:val="a7"/>
    <w:qFormat/>
  </w:style>
  <w:style w:type="character" w:customStyle="1" w:styleId="31CharCharChar">
    <w:name w:val="正文文字缩进 31 Char Char Char"/>
    <w:qFormat/>
    <w:rPr>
      <w:rFonts w:eastAsia="宋体"/>
      <w:kern w:val="2"/>
      <w:sz w:val="21"/>
      <w:lang w:val="en-US" w:eastAsia="zh-CN" w:bidi="ar-SA"/>
    </w:rPr>
  </w:style>
  <w:style w:type="character" w:customStyle="1" w:styleId="unnamed2">
    <w:name w:val="unnamed2"/>
    <w:qFormat/>
  </w:style>
  <w:style w:type="character" w:customStyle="1" w:styleId="MTDisplayEquationChar">
    <w:name w:val="MTDisplayEquation Char"/>
    <w:link w:val="MTDisplayEquation"/>
    <w:qFormat/>
    <w:rPr>
      <w:kern w:val="2"/>
      <w:sz w:val="28"/>
      <w:szCs w:val="24"/>
    </w:rPr>
  </w:style>
  <w:style w:type="paragraph" w:customStyle="1" w:styleId="MTDisplayEquation">
    <w:name w:val="MTDisplayEquation"/>
    <w:basedOn w:val="a6"/>
    <w:next w:val="a6"/>
    <w:link w:val="MTDisplayEquationChar"/>
    <w:qFormat/>
    <w:pPr>
      <w:tabs>
        <w:tab w:val="center" w:pos="4480"/>
        <w:tab w:val="right" w:pos="8960"/>
      </w:tabs>
      <w:ind w:firstLineChars="200" w:firstLine="560"/>
    </w:pPr>
    <w:rPr>
      <w:sz w:val="28"/>
    </w:rPr>
  </w:style>
  <w:style w:type="character" w:customStyle="1" w:styleId="41111411114Char1111Char4Char">
    <w:name w:val="样式 标题 41.1.1.1标题 4.1.1.1.1标题 4 Char款1.1.1.1 Char标4段 + 宋体... Char"/>
    <w:link w:val="41111411114Char1111Char4"/>
    <w:semiHidden/>
    <w:qFormat/>
    <w:rPr>
      <w:rFonts w:ascii="宋体" w:hAnsi="宋体"/>
      <w:bCs/>
      <w:color w:val="000000"/>
      <w:kern w:val="2"/>
      <w:sz w:val="28"/>
      <w:szCs w:val="24"/>
    </w:rPr>
  </w:style>
  <w:style w:type="paragraph" w:customStyle="1" w:styleId="41111411114Char1111Char4">
    <w:name w:val="样式 标题 41.1.1.1标题 4.1.1.1.1标题 4 Char款1.1.1.1 Char标4段 + 宋体..."/>
    <w:basedOn w:val="a6"/>
    <w:next w:val="a6"/>
    <w:link w:val="41111411114Char1111Char4Char"/>
    <w:semiHidden/>
    <w:qFormat/>
    <w:pPr>
      <w:widowControl/>
      <w:spacing w:line="360" w:lineRule="auto"/>
      <w:jc w:val="left"/>
    </w:pPr>
    <w:rPr>
      <w:rFonts w:ascii="宋体" w:hAnsi="宋体"/>
      <w:bCs/>
      <w:color w:val="000000"/>
      <w:sz w:val="28"/>
    </w:rPr>
  </w:style>
  <w:style w:type="character" w:customStyle="1" w:styleId="2fa">
    <w:name w:val="标书样式标题2"/>
    <w:qFormat/>
    <w:rPr>
      <w:sz w:val="21"/>
    </w:rPr>
  </w:style>
  <w:style w:type="character" w:customStyle="1" w:styleId="info">
    <w:name w:val="info"/>
    <w:qFormat/>
  </w:style>
  <w:style w:type="character" w:customStyle="1" w:styleId="2Heading2HEAD2HEAD21HEAD22HEAD211HEAD23HEADChar">
    <w:name w:val="样式 标题 2_Heading 2HEAD_2HEAD_21HEAD_22HEAD_211HEAD_23HEAD_... Char"/>
    <w:link w:val="2Heading2HEAD2HEAD21HEAD22HEAD211HEAD23HEAD"/>
    <w:qFormat/>
    <w:rPr>
      <w:rFonts w:hAnsi="宋体"/>
      <w:b/>
      <w:color w:val="000000"/>
      <w:sz w:val="24"/>
      <w:szCs w:val="24"/>
    </w:rPr>
  </w:style>
  <w:style w:type="paragraph" w:customStyle="1" w:styleId="2Heading2HEAD2HEAD21HEAD22HEAD211HEAD23HEAD">
    <w:name w:val="样式 标题 2_Heading 2HEAD_2HEAD_21HEAD_22HEAD_211HEAD_23HEAD_..."/>
    <w:basedOn w:val="22"/>
    <w:link w:val="2Heading2HEAD2HEAD21HEAD22HEAD211HEAD23HEADChar"/>
    <w:qFormat/>
    <w:pPr>
      <w:keepNext w:val="0"/>
      <w:keepLines w:val="0"/>
      <w:widowControl/>
      <w:tabs>
        <w:tab w:val="left" w:pos="1070"/>
      </w:tabs>
      <w:adjustRightInd w:val="0"/>
      <w:snapToGrid w:val="0"/>
      <w:spacing w:line="460" w:lineRule="exact"/>
      <w:ind w:firstLineChars="196" w:firstLine="445"/>
      <w:jc w:val="left"/>
    </w:pPr>
    <w:rPr>
      <w:bCs w:val="0"/>
      <w:color w:val="000000"/>
      <w:spacing w:val="0"/>
      <w:w w:val="100"/>
      <w:kern w:val="0"/>
      <w:sz w:val="24"/>
      <w:szCs w:val="24"/>
    </w:rPr>
  </w:style>
  <w:style w:type="character" w:customStyle="1" w:styleId="FontStyle13">
    <w:name w:val="Font Style13"/>
    <w:qFormat/>
    <w:rPr>
      <w:rFonts w:ascii="Times New Roman" w:hAnsi="Times New Roman"/>
      <w:sz w:val="26"/>
    </w:rPr>
  </w:style>
  <w:style w:type="character" w:customStyle="1" w:styleId="Charff9">
    <w:name w:val="表格名称 Char"/>
    <w:qFormat/>
    <w:rPr>
      <w:rFonts w:ascii="宋体" w:eastAsia="宋体"/>
      <w:kern w:val="2"/>
      <w:sz w:val="28"/>
      <w:szCs w:val="28"/>
      <w:lang w:val="en-US" w:eastAsia="zh-CN" w:bidi="ar-SA"/>
    </w:rPr>
  </w:style>
  <w:style w:type="character" w:customStyle="1" w:styleId="lffChar">
    <w:name w:val="lff Char"/>
    <w:link w:val="lff"/>
    <w:qFormat/>
    <w:rPr>
      <w:rFonts w:ascii="宋体" w:hAnsi="宋体"/>
      <w:b/>
      <w:color w:val="0000FF"/>
      <w:kern w:val="2"/>
      <w:sz w:val="21"/>
      <w:szCs w:val="21"/>
    </w:rPr>
  </w:style>
  <w:style w:type="paragraph" w:customStyle="1" w:styleId="lff">
    <w:name w:val="lff"/>
    <w:basedOn w:val="affc"/>
    <w:link w:val="lffChar"/>
    <w:qFormat/>
    <w:pPr>
      <w:snapToGrid w:val="0"/>
      <w:spacing w:line="360" w:lineRule="auto"/>
      <w:ind w:firstLine="422"/>
    </w:pPr>
    <w:rPr>
      <w:b/>
      <w:bCs w:val="0"/>
      <w:color w:val="0000FF"/>
      <w:spacing w:val="0"/>
      <w:kern w:val="2"/>
      <w:sz w:val="21"/>
      <w:szCs w:val="21"/>
    </w:rPr>
  </w:style>
  <w:style w:type="character" w:customStyle="1" w:styleId="-Char0">
    <w:name w:val="表格内容-两端对齐 Char"/>
    <w:link w:val="-0"/>
    <w:qFormat/>
    <w:rPr>
      <w:sz w:val="21"/>
      <w:szCs w:val="21"/>
    </w:rPr>
  </w:style>
  <w:style w:type="paragraph" w:customStyle="1" w:styleId="-0">
    <w:name w:val="表格内容-两端对齐"/>
    <w:basedOn w:val="a6"/>
    <w:link w:val="-Char0"/>
    <w:qFormat/>
    <w:pPr>
      <w:widowControl/>
      <w:jc w:val="left"/>
    </w:pPr>
    <w:rPr>
      <w:kern w:val="0"/>
      <w:szCs w:val="21"/>
    </w:rPr>
  </w:style>
  <w:style w:type="character" w:customStyle="1" w:styleId="affffc">
    <w:name w:val="已访问的超级链接"/>
    <w:qFormat/>
    <w:rPr>
      <w:rFonts w:cs="Times New Roman"/>
      <w:color w:val="800080"/>
      <w:u w:val="single"/>
    </w:rPr>
  </w:style>
  <w:style w:type="character" w:customStyle="1" w:styleId="hangju">
    <w:name w:val="hangju"/>
    <w:qFormat/>
    <w:rPr>
      <w:rFonts w:cs="Times New Roman"/>
    </w:rPr>
  </w:style>
  <w:style w:type="character" w:customStyle="1" w:styleId="TTCharChar">
    <w:name w:val="TT表格标题 Char Char"/>
    <w:link w:val="TT"/>
    <w:qFormat/>
    <w:rPr>
      <w:b/>
      <w:bCs/>
      <w:sz w:val="24"/>
    </w:rPr>
  </w:style>
  <w:style w:type="paragraph" w:customStyle="1" w:styleId="TT">
    <w:name w:val="TT表格标题"/>
    <w:basedOn w:val="a6"/>
    <w:link w:val="TTCharChar"/>
    <w:qFormat/>
    <w:pPr>
      <w:tabs>
        <w:tab w:val="left" w:pos="480"/>
      </w:tabs>
      <w:jc w:val="center"/>
    </w:pPr>
    <w:rPr>
      <w:b/>
      <w:bCs/>
      <w:kern w:val="0"/>
      <w:sz w:val="24"/>
      <w:szCs w:val="20"/>
    </w:rPr>
  </w:style>
  <w:style w:type="character" w:customStyle="1" w:styleId="2Char6">
    <w:name w:val="样式 正文首行缩进 2 + (符号) 宋体 + (符号) 宋体 Char"/>
    <w:qFormat/>
    <w:rPr>
      <w:rFonts w:ascii="宋体" w:hAnsi="Times New Roman" w:cs="Times New Roman"/>
      <w:kern w:val="2"/>
      <w:sz w:val="24"/>
      <w:szCs w:val="24"/>
    </w:rPr>
  </w:style>
  <w:style w:type="character" w:customStyle="1" w:styleId="1f3">
    <w:name w:val="未处理的提及1"/>
    <w:uiPriority w:val="99"/>
    <w:unhideWhenUsed/>
    <w:qFormat/>
    <w:rPr>
      <w:color w:val="808080"/>
      <w:shd w:val="clear" w:color="auto" w:fill="E6E6E6"/>
    </w:rPr>
  </w:style>
  <w:style w:type="character" w:customStyle="1" w:styleId="dandan6-132CharChar">
    <w:name w:val="dandan6-13标题2 Char Char"/>
    <w:qFormat/>
    <w:rPr>
      <w:rFonts w:eastAsia="黑体"/>
      <w:b/>
      <w:sz w:val="30"/>
      <w:szCs w:val="32"/>
    </w:rPr>
  </w:style>
  <w:style w:type="character" w:customStyle="1" w:styleId="CharChar7">
    <w:name w:val="正文缩二 Char Char"/>
    <w:link w:val="affffd"/>
    <w:qFormat/>
    <w:rPr>
      <w:rFonts w:ascii="宋体" w:hAnsi="宋体" w:cs="黑体"/>
      <w:kern w:val="2"/>
      <w:sz w:val="24"/>
      <w:szCs w:val="72"/>
    </w:rPr>
  </w:style>
  <w:style w:type="paragraph" w:customStyle="1" w:styleId="affffd">
    <w:name w:val="正文缩二"/>
    <w:basedOn w:val="a6"/>
    <w:link w:val="CharChar7"/>
    <w:qFormat/>
    <w:pPr>
      <w:tabs>
        <w:tab w:val="left" w:pos="8820"/>
      </w:tabs>
      <w:spacing w:line="360" w:lineRule="auto"/>
      <w:ind w:firstLineChars="200" w:firstLine="200"/>
      <w:jc w:val="left"/>
    </w:pPr>
    <w:rPr>
      <w:rFonts w:ascii="宋体" w:hAnsi="宋体"/>
      <w:sz w:val="24"/>
      <w:szCs w:val="72"/>
    </w:rPr>
  </w:style>
  <w:style w:type="character" w:customStyle="1" w:styleId="CharAttribute102">
    <w:name w:val="CharAttribute102"/>
    <w:qFormat/>
    <w:rPr>
      <w:rFonts w:ascii="Times New Roman" w:eastAsia="Times New Roman" w:hAnsi="Times New Roman"/>
      <w:sz w:val="27"/>
    </w:rPr>
  </w:style>
  <w:style w:type="character" w:customStyle="1" w:styleId="font14px">
    <w:name w:val="font14px"/>
    <w:qFormat/>
  </w:style>
  <w:style w:type="character" w:customStyle="1" w:styleId="affffe">
    <w:name w:val="第一条"/>
    <w:qFormat/>
  </w:style>
  <w:style w:type="character" w:customStyle="1" w:styleId="r">
    <w:name w:val="r"/>
    <w:qFormat/>
  </w:style>
  <w:style w:type="character" w:customStyle="1" w:styleId="textbig1">
    <w:name w:val="textbig1"/>
    <w:qFormat/>
    <w:rPr>
      <w:sz w:val="18"/>
      <w:szCs w:val="18"/>
    </w:rPr>
  </w:style>
  <w:style w:type="character" w:customStyle="1" w:styleId="0CharCharChar">
    <w:name w:val="样式 居中 首行缩进:  0 字符 Char Char Char"/>
    <w:qFormat/>
    <w:rPr>
      <w:rFonts w:ascii="宋体" w:eastAsia="宋体" w:hAnsi="宋体" w:cs="Times New Roman"/>
      <w:color w:val="FF0000"/>
      <w:sz w:val="18"/>
      <w:szCs w:val="18"/>
    </w:rPr>
  </w:style>
  <w:style w:type="character" w:customStyle="1" w:styleId="Charffa">
    <w:name w:val="表头标题 Char"/>
    <w:qFormat/>
    <w:rPr>
      <w:rFonts w:ascii="黑体" w:eastAsia="黑体"/>
      <w:b/>
      <w:bCs/>
      <w:kern w:val="2"/>
      <w:sz w:val="24"/>
      <w:szCs w:val="24"/>
      <w:lang w:val="zh-CN" w:eastAsia="zh-CN" w:bidi="ar-SA"/>
    </w:rPr>
  </w:style>
  <w:style w:type="character" w:customStyle="1" w:styleId="4CharChar6">
    <w:name w:val="标题 4 Char Char6"/>
    <w:qFormat/>
    <w:rPr>
      <w:rFonts w:eastAsia="宋体"/>
      <w:snapToGrid/>
      <w:kern w:val="2"/>
      <w:sz w:val="24"/>
      <w:szCs w:val="24"/>
      <w:lang w:val="en-US" w:eastAsia="zh-CN" w:bidi="ar-SA"/>
    </w:rPr>
  </w:style>
  <w:style w:type="character" w:customStyle="1" w:styleId="td21">
    <w:name w:val="td21"/>
    <w:qFormat/>
    <w:rPr>
      <w:sz w:val="21"/>
      <w:szCs w:val="21"/>
      <w:u w:val="none"/>
    </w:rPr>
  </w:style>
  <w:style w:type="character" w:customStyle="1" w:styleId="EmailStyle443">
    <w:name w:val="EmailStyle443"/>
    <w:qFormat/>
    <w:rPr>
      <w:rFonts w:ascii="Arial" w:eastAsia="宋体" w:hAnsi="Arial" w:cs="Arial"/>
      <w:color w:val="auto"/>
      <w:sz w:val="20"/>
    </w:rPr>
  </w:style>
  <w:style w:type="character" w:customStyle="1" w:styleId="title21">
    <w:name w:val="title21"/>
    <w:qFormat/>
    <w:rPr>
      <w:color w:val="9E3821"/>
      <w:sz w:val="18"/>
      <w:szCs w:val="18"/>
    </w:rPr>
  </w:style>
  <w:style w:type="character" w:customStyle="1" w:styleId="221">
    <w:name w:val="正文文本缩进 22"/>
    <w:qFormat/>
    <w:rPr>
      <w:rFonts w:ascii="Arial" w:eastAsia="宋体" w:hAnsi="Arial"/>
      <w:kern w:val="2"/>
      <w:sz w:val="24"/>
      <w:szCs w:val="24"/>
      <w:lang w:val="en-US" w:eastAsia="zh-CN" w:bidi="ar-SA"/>
    </w:rPr>
  </w:style>
  <w:style w:type="character" w:customStyle="1" w:styleId="zwb-CharChar">
    <w:name w:val="zwb-正文 Char Char"/>
    <w:link w:val="zwb-"/>
    <w:qFormat/>
    <w:rPr>
      <w:rFonts w:ascii="Calibri" w:hAnsi="Calibri" w:cs="黑体"/>
      <w:kern w:val="2"/>
      <w:sz w:val="24"/>
      <w:szCs w:val="24"/>
    </w:rPr>
  </w:style>
  <w:style w:type="paragraph" w:customStyle="1" w:styleId="zwb-">
    <w:name w:val="zwb-正文"/>
    <w:basedOn w:val="a6"/>
    <w:link w:val="zwb-CharChar"/>
    <w:qFormat/>
    <w:pPr>
      <w:spacing w:line="360" w:lineRule="auto"/>
      <w:ind w:firstLineChars="200" w:firstLine="480"/>
    </w:pPr>
    <w:rPr>
      <w:rFonts w:ascii="Calibri" w:hAnsi="Calibri"/>
      <w:sz w:val="24"/>
    </w:rPr>
  </w:style>
  <w:style w:type="character" w:customStyle="1" w:styleId="Char15">
    <w:name w:val="标题 Char1"/>
    <w:qFormat/>
    <w:rPr>
      <w:rFonts w:ascii="Cambria" w:hAnsi="Cambria" w:cs="Times New Roman"/>
      <w:b/>
      <w:bCs/>
      <w:kern w:val="2"/>
      <w:sz w:val="32"/>
      <w:szCs w:val="32"/>
    </w:rPr>
  </w:style>
  <w:style w:type="character" w:customStyle="1" w:styleId="0CharCharCharChar1">
    <w:name w:val="样式 居中 首行缩进:  0 字符 Char Char Char Char1"/>
    <w:qFormat/>
    <w:rPr>
      <w:rFonts w:ascii="宋体" w:eastAsia="宋体" w:hAnsi="宋体"/>
      <w:color w:val="FF0000"/>
      <w:kern w:val="2"/>
      <w:sz w:val="18"/>
      <w:szCs w:val="18"/>
      <w:lang w:val="en-US" w:eastAsia="zh-CN" w:bidi="ar-SA"/>
    </w:rPr>
  </w:style>
  <w:style w:type="character" w:customStyle="1" w:styleId="1CharCharChar0">
    <w:name w:val="1正文段落 Char Char Char"/>
    <w:qFormat/>
    <w:rPr>
      <w:rFonts w:ascii="宋体" w:eastAsia="宋体" w:hAnsi="宋体" w:cs="宋体"/>
      <w:snapToGrid/>
      <w:color w:val="1F497D"/>
      <w:spacing w:val="2"/>
      <w:kern w:val="0"/>
      <w:sz w:val="24"/>
      <w:szCs w:val="24"/>
    </w:rPr>
  </w:style>
  <w:style w:type="character" w:customStyle="1" w:styleId="f141">
    <w:name w:val="f141"/>
    <w:qFormat/>
    <w:rPr>
      <w:sz w:val="21"/>
      <w:szCs w:val="21"/>
    </w:rPr>
  </w:style>
  <w:style w:type="character" w:customStyle="1" w:styleId="cucd-3Char">
    <w:name w:val="cucd-3 Char"/>
    <w:link w:val="cucd-3"/>
    <w:qFormat/>
    <w:rPr>
      <w:b/>
      <w:kern w:val="2"/>
      <w:sz w:val="28"/>
      <w:szCs w:val="24"/>
      <w:lang w:val="en-US" w:eastAsia="zh-CN" w:bidi="ar-SA"/>
    </w:rPr>
  </w:style>
  <w:style w:type="paragraph" w:customStyle="1" w:styleId="cucd-3">
    <w:name w:val="cucd-3"/>
    <w:link w:val="cucd-3Char"/>
    <w:qFormat/>
    <w:pPr>
      <w:tabs>
        <w:tab w:val="left" w:pos="709"/>
      </w:tabs>
      <w:spacing w:line="360" w:lineRule="auto"/>
      <w:ind w:left="709" w:hanging="709"/>
      <w:outlineLvl w:val="2"/>
    </w:pPr>
    <w:rPr>
      <w:b/>
      <w:kern w:val="2"/>
      <w:sz w:val="28"/>
      <w:szCs w:val="24"/>
    </w:rPr>
  </w:style>
  <w:style w:type="paragraph" w:customStyle="1" w:styleId="cucd-4">
    <w:name w:val="cucd-4"/>
    <w:qFormat/>
    <w:pPr>
      <w:tabs>
        <w:tab w:val="left" w:pos="851"/>
      </w:tabs>
      <w:spacing w:line="360" w:lineRule="auto"/>
      <w:ind w:left="851" w:hanging="851"/>
      <w:outlineLvl w:val="3"/>
    </w:pPr>
    <w:rPr>
      <w:b/>
      <w:kern w:val="2"/>
      <w:sz w:val="24"/>
      <w:szCs w:val="24"/>
    </w:rPr>
  </w:style>
  <w:style w:type="paragraph" w:customStyle="1" w:styleId="cucd-0">
    <w:name w:val="cucd-0"/>
    <w:link w:val="cucd-0Char"/>
    <w:qFormat/>
    <w:pPr>
      <w:numPr>
        <w:numId w:val="5"/>
      </w:numPr>
      <w:spacing w:line="360" w:lineRule="auto"/>
      <w:ind w:left="0" w:firstLineChars="200" w:firstLine="480"/>
    </w:pPr>
    <w:rPr>
      <w:rFonts w:eastAsia="Times New Roman"/>
      <w:sz w:val="24"/>
    </w:rPr>
  </w:style>
  <w:style w:type="character" w:customStyle="1" w:styleId="cucd-0Char">
    <w:name w:val="cucd-0 Char"/>
    <w:link w:val="cucd-0"/>
    <w:qFormat/>
    <w:rPr>
      <w:rFonts w:eastAsia="Times New Roman"/>
      <w:sz w:val="24"/>
      <w:lang w:bidi="ar-SA"/>
    </w:rPr>
  </w:style>
  <w:style w:type="character" w:customStyle="1" w:styleId="EmailStyle5431">
    <w:name w:val="EmailStyle5431"/>
    <w:qFormat/>
    <w:rPr>
      <w:rFonts w:ascii="Arial" w:eastAsia="宋体" w:hAnsi="Arial" w:cs="Arial"/>
      <w:color w:val="auto"/>
      <w:sz w:val="20"/>
    </w:rPr>
  </w:style>
  <w:style w:type="character" w:customStyle="1" w:styleId="headline-content3">
    <w:name w:val="headline-content3"/>
    <w:qFormat/>
  </w:style>
  <w:style w:type="character" w:customStyle="1" w:styleId="cucd-TB-HeadChar">
    <w:name w:val="cucd-TB-Head Char"/>
    <w:link w:val="cucd-TB-Head"/>
    <w:qFormat/>
    <w:rPr>
      <w:rFonts w:eastAsia="黑体"/>
      <w:kern w:val="2"/>
      <w:sz w:val="24"/>
      <w:szCs w:val="24"/>
    </w:rPr>
  </w:style>
  <w:style w:type="paragraph" w:customStyle="1" w:styleId="cucd-TB-Head">
    <w:name w:val="cucd-TB-Head"/>
    <w:basedOn w:val="a6"/>
    <w:next w:val="cucd-0"/>
    <w:link w:val="cucd-TB-HeadChar"/>
    <w:qFormat/>
    <w:pPr>
      <w:spacing w:beforeLines="50" w:line="360" w:lineRule="auto"/>
      <w:jc w:val="center"/>
    </w:pPr>
    <w:rPr>
      <w:rFonts w:eastAsia="黑体"/>
      <w:sz w:val="24"/>
    </w:rPr>
  </w:style>
  <w:style w:type="character" w:customStyle="1" w:styleId="CharCharCharChar">
    <w:name w:val="文本框五号 Char Char Char Char"/>
    <w:qFormat/>
    <w:rPr>
      <w:rFonts w:ascii="宋体" w:eastAsia="仿宋_GB2312" w:hAnsi="宋体" w:cs="Courier New"/>
      <w:kern w:val="2"/>
      <w:sz w:val="21"/>
      <w:szCs w:val="21"/>
      <w:lang w:val="en-US" w:eastAsia="zh-CN" w:bidi="ar-SA"/>
    </w:rPr>
  </w:style>
  <w:style w:type="character" w:customStyle="1" w:styleId="Charffb">
    <w:name w:val="内容部分 Char"/>
    <w:link w:val="afffff"/>
    <w:qFormat/>
    <w:rPr>
      <w:rFonts w:ascii="仿宋_GB2312" w:eastAsia="仿宋_GB2312" w:hAnsi="宋体"/>
      <w:sz w:val="24"/>
    </w:rPr>
  </w:style>
  <w:style w:type="paragraph" w:customStyle="1" w:styleId="afffff">
    <w:name w:val="内容部分"/>
    <w:basedOn w:val="a6"/>
    <w:link w:val="Charffb"/>
    <w:qFormat/>
    <w:pPr>
      <w:tabs>
        <w:tab w:val="right" w:pos="7980"/>
      </w:tabs>
      <w:spacing w:line="440" w:lineRule="exact"/>
      <w:ind w:firstLineChars="250" w:firstLine="600"/>
      <w:jc w:val="left"/>
    </w:pPr>
    <w:rPr>
      <w:rFonts w:ascii="仿宋_GB2312" w:eastAsia="仿宋_GB2312" w:hAnsi="宋体"/>
      <w:kern w:val="0"/>
      <w:sz w:val="24"/>
      <w:szCs w:val="20"/>
    </w:rPr>
  </w:style>
  <w:style w:type="character" w:customStyle="1" w:styleId="style6">
    <w:name w:val="style6"/>
    <w:qFormat/>
  </w:style>
  <w:style w:type="character" w:customStyle="1" w:styleId="2Char11">
    <w:name w:val="正文首行缩进 2 Char1"/>
    <w:qFormat/>
    <w:rPr>
      <w:rFonts w:ascii="Times New Roman" w:hAnsi="Times New Roman"/>
      <w:kern w:val="2"/>
      <w:sz w:val="21"/>
      <w:szCs w:val="24"/>
    </w:rPr>
  </w:style>
  <w:style w:type="character" w:customStyle="1" w:styleId="6CharChar">
    <w:name w:val="标题 6 Char Char"/>
    <w:qFormat/>
    <w:rPr>
      <w:rFonts w:eastAsia="宋体"/>
      <w:bCs/>
      <w:snapToGrid/>
      <w:kern w:val="2"/>
      <w:sz w:val="24"/>
      <w:szCs w:val="24"/>
      <w:lang w:val="en-US" w:eastAsia="zh-CN" w:bidi="ar-SA"/>
    </w:rPr>
  </w:style>
  <w:style w:type="character" w:customStyle="1" w:styleId="1CharChar1">
    <w:name w:val="标题1 Char Char"/>
    <w:qFormat/>
    <w:rPr>
      <w:rFonts w:ascii="Cambria" w:eastAsia="宋体" w:hAnsi="Cambria"/>
      <w:color w:val="17365D"/>
      <w:spacing w:val="5"/>
      <w:kern w:val="28"/>
      <w:sz w:val="52"/>
      <w:szCs w:val="52"/>
      <w:lang w:val="en-US" w:eastAsia="en-US" w:bidi="ar-SA"/>
    </w:rPr>
  </w:style>
  <w:style w:type="character" w:customStyle="1" w:styleId="order">
    <w:name w:val="order"/>
    <w:basedOn w:val="a7"/>
    <w:qFormat/>
  </w:style>
  <w:style w:type="character" w:customStyle="1" w:styleId="Char16">
    <w:name w:val="表格标题 Char1"/>
    <w:qFormat/>
    <w:rPr>
      <w:rFonts w:ascii="Arial" w:eastAsia="黑体" w:hAnsi="Arial"/>
      <w:b/>
      <w:sz w:val="24"/>
      <w:lang w:val="en-US" w:eastAsia="zh-CN" w:bidi="ar-SA"/>
    </w:rPr>
  </w:style>
  <w:style w:type="character" w:customStyle="1" w:styleId="AChar0">
    <w:name w:val="A正文 Char"/>
    <w:link w:val="Afffff0"/>
    <w:qFormat/>
    <w:rPr>
      <w:rFonts w:ascii="宋体" w:hAnsi="宋体"/>
      <w:bCs/>
      <w:color w:val="0D1E0F"/>
      <w:sz w:val="28"/>
      <w:szCs w:val="28"/>
      <w:u w:color="000000"/>
    </w:rPr>
  </w:style>
  <w:style w:type="paragraph" w:customStyle="1" w:styleId="Afffff0">
    <w:name w:val="A正文"/>
    <w:basedOn w:val="a6"/>
    <w:link w:val="AChar0"/>
    <w:qFormat/>
    <w:pPr>
      <w:widowControl/>
      <w:ind w:leftChars="-3" w:left="-3" w:firstLineChars="200" w:firstLine="200"/>
      <w:textAlignment w:val="baseline"/>
    </w:pPr>
    <w:rPr>
      <w:rFonts w:ascii="宋体" w:hAnsi="宋体"/>
      <w:bCs/>
      <w:color w:val="0D1E0F"/>
      <w:kern w:val="0"/>
      <w:sz w:val="28"/>
      <w:szCs w:val="28"/>
      <w:u w:color="000000"/>
    </w:rPr>
  </w:style>
  <w:style w:type="character" w:customStyle="1" w:styleId="CharCharChar0">
    <w:name w:val="表格文字居中 Char Char Char"/>
    <w:link w:val="CharChar8"/>
    <w:qFormat/>
    <w:rPr>
      <w:rFonts w:ascii="宋体" w:hAnsi="宋体"/>
      <w:kern w:val="2"/>
      <w:sz w:val="24"/>
    </w:rPr>
  </w:style>
  <w:style w:type="paragraph" w:customStyle="1" w:styleId="CharChar8">
    <w:name w:val="表格文字居中 Char Char"/>
    <w:basedOn w:val="affc"/>
    <w:link w:val="CharCharChar0"/>
    <w:qFormat/>
    <w:pPr>
      <w:keepNext/>
      <w:keepLines/>
      <w:tabs>
        <w:tab w:val="left" w:pos="0"/>
        <w:tab w:val="left" w:pos="628"/>
        <w:tab w:val="left" w:pos="1727"/>
        <w:tab w:val="left" w:pos="1884"/>
      </w:tabs>
      <w:adjustRightInd w:val="0"/>
      <w:snapToGrid w:val="0"/>
      <w:spacing w:before="100" w:beforeAutospacing="1" w:line="336" w:lineRule="auto"/>
      <w:ind w:firstLine="0"/>
      <w:jc w:val="center"/>
    </w:pPr>
    <w:rPr>
      <w:bCs w:val="0"/>
      <w:spacing w:val="0"/>
      <w:kern w:val="2"/>
      <w:sz w:val="24"/>
      <w:szCs w:val="20"/>
    </w:rPr>
  </w:style>
  <w:style w:type="character" w:customStyle="1" w:styleId="FontStyle338">
    <w:name w:val="Font Style338"/>
    <w:qFormat/>
    <w:rPr>
      <w:rFonts w:ascii="宋体" w:eastAsia="宋体" w:cs="宋体"/>
      <w:w w:val="120"/>
      <w:sz w:val="18"/>
      <w:szCs w:val="18"/>
    </w:rPr>
  </w:style>
  <w:style w:type="character" w:customStyle="1" w:styleId="Char17">
    <w:name w:val="称呼 Char1"/>
    <w:qFormat/>
    <w:rPr>
      <w:kern w:val="2"/>
      <w:sz w:val="21"/>
      <w:szCs w:val="22"/>
    </w:rPr>
  </w:style>
  <w:style w:type="character" w:customStyle="1" w:styleId="CharChar81">
    <w:name w:val="Char Char81"/>
    <w:qFormat/>
    <w:rPr>
      <w:rFonts w:ascii="宋体" w:eastAsia="宋体" w:hAnsi="Courier New"/>
      <w:kern w:val="2"/>
      <w:sz w:val="28"/>
      <w:lang w:val="en-US" w:eastAsia="zh-CN" w:bidi="ar-SA"/>
    </w:rPr>
  </w:style>
  <w:style w:type="character" w:customStyle="1" w:styleId="hb3CharCharCharChar">
    <w:name w:val="hb3 Char Char Char Char"/>
    <w:link w:val="hb3CharCharChar"/>
    <w:qFormat/>
    <w:rPr>
      <w:b/>
      <w:bCs/>
      <w:sz w:val="24"/>
      <w:szCs w:val="24"/>
    </w:rPr>
  </w:style>
  <w:style w:type="paragraph" w:customStyle="1" w:styleId="hb3CharCharChar">
    <w:name w:val="hb3 Char Char Char"/>
    <w:basedOn w:val="33"/>
    <w:link w:val="hb3CharCharCharChar"/>
    <w:qFormat/>
    <w:pPr>
      <w:keepNext w:val="0"/>
      <w:adjustRightInd w:val="0"/>
      <w:spacing w:beforeLines="50" w:afterLines="50" w:line="520" w:lineRule="exact"/>
      <w:jc w:val="left"/>
    </w:pPr>
    <w:rPr>
      <w:rFonts w:eastAsia="宋体"/>
      <w:b/>
      <w:bCs/>
      <w:spacing w:val="0"/>
      <w:kern w:val="0"/>
      <w:sz w:val="24"/>
      <w:szCs w:val="24"/>
    </w:rPr>
  </w:style>
  <w:style w:type="character" w:customStyle="1" w:styleId="2Char7">
    <w:name w:val="样式 正   文 + 首行缩进:  2 字符 Char"/>
    <w:link w:val="2fb"/>
    <w:qFormat/>
    <w:rPr>
      <w:rFonts w:ascii="Arial" w:hAnsi="Arial"/>
      <w:color w:val="000000"/>
      <w:sz w:val="24"/>
      <w:szCs w:val="24"/>
      <w:lang w:val="zh-CN"/>
    </w:rPr>
  </w:style>
  <w:style w:type="paragraph" w:customStyle="1" w:styleId="2fb">
    <w:name w:val="样式 正   文 + 首行缩进:  2 字符"/>
    <w:basedOn w:val="a6"/>
    <w:link w:val="2Char7"/>
    <w:qFormat/>
    <w:pPr>
      <w:spacing w:line="360" w:lineRule="auto"/>
      <w:ind w:firstLineChars="200" w:firstLine="200"/>
    </w:pPr>
    <w:rPr>
      <w:rFonts w:ascii="Arial" w:hAnsi="Arial"/>
      <w:color w:val="000000"/>
      <w:kern w:val="0"/>
      <w:sz w:val="24"/>
      <w:lang w:val="zh-CN"/>
    </w:rPr>
  </w:style>
  <w:style w:type="character" w:customStyle="1" w:styleId="1021Char">
    <w:name w:val="样式 列表1 + 左侧:  0 厘米 悬挂缩进: 2 字符1 Char"/>
    <w:link w:val="1021"/>
    <w:qFormat/>
    <w:rPr>
      <w:rFonts w:eastAsia="仿宋_GB2312"/>
      <w:kern w:val="2"/>
      <w:sz w:val="28"/>
    </w:rPr>
  </w:style>
  <w:style w:type="paragraph" w:customStyle="1" w:styleId="1021">
    <w:name w:val="样式 列表1 + 左侧:  0 厘米 悬挂缩进: 2 字符1"/>
    <w:basedOn w:val="a6"/>
    <w:link w:val="1021Char"/>
    <w:qFormat/>
    <w:rPr>
      <w:rFonts w:eastAsia="仿宋_GB2312"/>
      <w:sz w:val="28"/>
      <w:szCs w:val="20"/>
    </w:rPr>
  </w:style>
  <w:style w:type="character" w:customStyle="1" w:styleId="dandan6-132Char">
    <w:name w:val="dandan6-13标题2 Char"/>
    <w:link w:val="dandan6-132"/>
    <w:qFormat/>
    <w:rPr>
      <w:rFonts w:eastAsia="黑体" w:hAnsi="黑体"/>
      <w:kern w:val="2"/>
      <w:sz w:val="30"/>
      <w:szCs w:val="32"/>
    </w:rPr>
  </w:style>
  <w:style w:type="paragraph" w:customStyle="1" w:styleId="dandan6-132">
    <w:name w:val="dandan6-13标题2"/>
    <w:basedOn w:val="22"/>
    <w:link w:val="dandan6-132Char"/>
    <w:qFormat/>
    <w:pPr>
      <w:keepNext w:val="0"/>
      <w:keepLines w:val="0"/>
      <w:spacing w:afterLines="50"/>
    </w:pPr>
    <w:rPr>
      <w:rFonts w:hAnsi="黑体"/>
      <w:b/>
      <w:bCs w:val="0"/>
      <w:spacing w:val="0"/>
      <w:w w:val="100"/>
      <w:kern w:val="2"/>
      <w:sz w:val="30"/>
      <w:szCs w:val="32"/>
    </w:rPr>
  </w:style>
  <w:style w:type="character" w:customStyle="1" w:styleId="3Char2">
    <w:name w:val="3  级标题 Char"/>
    <w:link w:val="3f4"/>
    <w:qFormat/>
    <w:rPr>
      <w:rFonts w:ascii="Arial" w:hAnsi="Arial" w:cs="Arial"/>
      <w:b/>
      <w:bCs/>
      <w:sz w:val="24"/>
      <w:szCs w:val="26"/>
    </w:rPr>
  </w:style>
  <w:style w:type="paragraph" w:customStyle="1" w:styleId="3f4">
    <w:name w:val="3  级标题"/>
    <w:basedOn w:val="a6"/>
    <w:link w:val="3Char2"/>
    <w:qFormat/>
    <w:pPr>
      <w:spacing w:beforeLines="100" w:before="312" w:line="360" w:lineRule="auto"/>
      <w:ind w:left="2835"/>
      <w:outlineLvl w:val="2"/>
    </w:pPr>
    <w:rPr>
      <w:rFonts w:ascii="Arial" w:hAnsi="Arial"/>
      <w:b/>
      <w:bCs/>
      <w:kern w:val="0"/>
      <w:sz w:val="24"/>
      <w:szCs w:val="26"/>
    </w:rPr>
  </w:style>
  <w:style w:type="character" w:customStyle="1" w:styleId="hb3CharChar">
    <w:name w:val="样式 hb3 Char Char + 非加粗"/>
    <w:qFormat/>
  </w:style>
  <w:style w:type="character" w:customStyle="1" w:styleId="CharChar72">
    <w:name w:val="Char Char72"/>
    <w:qFormat/>
    <w:rPr>
      <w:kern w:val="2"/>
      <w:sz w:val="18"/>
    </w:rPr>
  </w:style>
  <w:style w:type="character" w:customStyle="1" w:styleId="font13201">
    <w:name w:val="font13_201"/>
    <w:qFormat/>
    <w:rPr>
      <w:b/>
      <w:bCs/>
      <w:color w:val="FFFFFF"/>
      <w:sz w:val="14"/>
      <w:szCs w:val="14"/>
      <w:u w:val="none"/>
    </w:rPr>
  </w:style>
  <w:style w:type="character" w:customStyle="1" w:styleId="ca-71">
    <w:name w:val="ca-71"/>
    <w:qFormat/>
    <w:rPr>
      <w:rFonts w:ascii="宋体" w:eastAsia="宋体" w:hAnsi="宋体" w:hint="eastAsia"/>
      <w:color w:val="FF0000"/>
      <w:sz w:val="21"/>
      <w:szCs w:val="21"/>
    </w:rPr>
  </w:style>
  <w:style w:type="character" w:customStyle="1" w:styleId="CharChar9">
    <w:name w:val="Char Char"/>
    <w:qFormat/>
    <w:rPr>
      <w:rFonts w:ascii="宋体" w:eastAsia="宋体" w:hAnsi="Courier New"/>
      <w:kern w:val="2"/>
      <w:sz w:val="28"/>
      <w:lang w:val="en-US" w:eastAsia="zh-CN" w:bidi="ar-SA"/>
    </w:rPr>
  </w:style>
  <w:style w:type="character" w:customStyle="1" w:styleId="CharCharChar20">
    <w:name w:val="正文文字 Char Char Char2"/>
    <w:qFormat/>
    <w:rPr>
      <w:rFonts w:ascii="宋体" w:eastAsia="宋体"/>
      <w:color w:val="000000"/>
      <w:kern w:val="2"/>
      <w:sz w:val="24"/>
      <w:lang w:val="en-US" w:eastAsia="zh-CN" w:bidi="ar-SA"/>
    </w:rPr>
  </w:style>
  <w:style w:type="character" w:customStyle="1" w:styleId="heading1Char">
    <w:name w:val="heading1 Char"/>
    <w:qFormat/>
    <w:rPr>
      <w:rFonts w:eastAsia="宋体"/>
      <w:b/>
      <w:bCs/>
      <w:kern w:val="44"/>
      <w:sz w:val="44"/>
      <w:szCs w:val="44"/>
      <w:lang w:val="en-US" w:eastAsia="zh-CN" w:bidi="ar-SA"/>
    </w:rPr>
  </w:style>
  <w:style w:type="character" w:customStyle="1" w:styleId="1Char10">
    <w:name w:val="段落1 Char1"/>
    <w:link w:val="1f4"/>
    <w:qFormat/>
    <w:rPr>
      <w:color w:val="000000"/>
      <w:spacing w:val="6"/>
      <w:kern w:val="2"/>
      <w:sz w:val="24"/>
      <w:szCs w:val="24"/>
    </w:rPr>
  </w:style>
  <w:style w:type="paragraph" w:customStyle="1" w:styleId="1f4">
    <w:name w:val="段落1"/>
    <w:basedOn w:val="a6"/>
    <w:link w:val="1Char10"/>
    <w:qFormat/>
    <w:pPr>
      <w:adjustRightInd w:val="0"/>
      <w:spacing w:line="440" w:lineRule="exact"/>
      <w:ind w:firstLineChars="200" w:firstLine="504"/>
      <w:textAlignment w:val="baseline"/>
    </w:pPr>
    <w:rPr>
      <w:color w:val="000000"/>
      <w:spacing w:val="6"/>
      <w:sz w:val="24"/>
    </w:rPr>
  </w:style>
  <w:style w:type="character" w:customStyle="1" w:styleId="CharCharCharChar0">
    <w:name w:val="表题 Char Char Char Char"/>
    <w:link w:val="CharChara"/>
    <w:qFormat/>
    <w:rPr>
      <w:rFonts w:ascii="宋体" w:hAnsi="宋体"/>
      <w:bCs/>
      <w:color w:val="000000"/>
      <w:w w:val="110"/>
      <w:sz w:val="24"/>
      <w:szCs w:val="24"/>
    </w:rPr>
  </w:style>
  <w:style w:type="paragraph" w:customStyle="1" w:styleId="CharChara">
    <w:name w:val="表题 Char Char"/>
    <w:basedOn w:val="a6"/>
    <w:link w:val="CharCharCharChar0"/>
    <w:qFormat/>
    <w:pPr>
      <w:tabs>
        <w:tab w:val="left" w:pos="1260"/>
      </w:tabs>
      <w:spacing w:line="360" w:lineRule="auto"/>
      <w:ind w:left="1260" w:firstLineChars="200" w:firstLine="480"/>
    </w:pPr>
    <w:rPr>
      <w:rFonts w:ascii="宋体" w:hAnsi="宋体"/>
      <w:bCs/>
      <w:color w:val="000000"/>
      <w:w w:val="110"/>
      <w:kern w:val="0"/>
      <w:sz w:val="24"/>
    </w:rPr>
  </w:style>
  <w:style w:type="character" w:customStyle="1" w:styleId="hb2CharCharCharChar">
    <w:name w:val="hb2 Char Char Char Char"/>
    <w:link w:val="hb2CharCharChar"/>
    <w:qFormat/>
    <w:rPr>
      <w:rFonts w:ascii="Arial" w:eastAsia="黑体" w:hAnsi="Arial"/>
      <w:kern w:val="2"/>
      <w:sz w:val="30"/>
      <w:szCs w:val="24"/>
    </w:rPr>
  </w:style>
  <w:style w:type="paragraph" w:customStyle="1" w:styleId="hb2CharCharChar">
    <w:name w:val="hb2 Char Char Char"/>
    <w:basedOn w:val="22"/>
    <w:link w:val="hb2CharCharCharChar"/>
    <w:qFormat/>
    <w:pPr>
      <w:keepNext w:val="0"/>
      <w:keepLines w:val="0"/>
      <w:topLinePunct/>
      <w:adjustRightInd w:val="0"/>
      <w:spacing w:before="100" w:beforeAutospacing="1" w:afterLines="50" w:after="100" w:afterAutospacing="1" w:line="416" w:lineRule="atLeast"/>
      <w:jc w:val="left"/>
      <w:textAlignment w:val="baseline"/>
    </w:pPr>
    <w:rPr>
      <w:rFonts w:ascii="Arial" w:hAnsi="Arial"/>
      <w:b/>
      <w:bCs w:val="0"/>
      <w:spacing w:val="0"/>
      <w:w w:val="100"/>
      <w:kern w:val="2"/>
      <w:sz w:val="30"/>
      <w:szCs w:val="24"/>
    </w:rPr>
  </w:style>
  <w:style w:type="character" w:customStyle="1" w:styleId="Charffc">
    <w:name w:val="表名 Char"/>
    <w:qFormat/>
    <w:rPr>
      <w:rFonts w:ascii="黑体" w:eastAsia="黑体" w:hAnsi="Times New Roman" w:cs="Times New Roman"/>
      <w:kern w:val="24"/>
      <w:szCs w:val="20"/>
    </w:rPr>
  </w:style>
  <w:style w:type="character" w:customStyle="1" w:styleId="3CharChar">
    <w:name w:val="正文文字缩进 3 Char Char"/>
    <w:qFormat/>
    <w:rPr>
      <w:color w:val="000000"/>
      <w:kern w:val="2"/>
      <w:sz w:val="24"/>
      <w:szCs w:val="24"/>
    </w:rPr>
  </w:style>
  <w:style w:type="character" w:customStyle="1" w:styleId="Charffd">
    <w:name w:val="二级条标题 Char"/>
    <w:link w:val="afffff1"/>
    <w:qFormat/>
    <w:rPr>
      <w:rFonts w:ascii="黑体" w:eastAsia="黑体"/>
      <w:sz w:val="21"/>
    </w:rPr>
  </w:style>
  <w:style w:type="paragraph" w:customStyle="1" w:styleId="afffff1">
    <w:name w:val="二级条标题"/>
    <w:next w:val="a6"/>
    <w:link w:val="Charffd"/>
    <w:qFormat/>
    <w:pPr>
      <w:numPr>
        <w:ilvl w:val="3"/>
      </w:numPr>
      <w:tabs>
        <w:tab w:val="left" w:pos="360"/>
        <w:tab w:val="left" w:pos="425"/>
        <w:tab w:val="left" w:pos="903"/>
      </w:tabs>
      <w:ind w:left="425" w:hanging="425"/>
      <w:outlineLvl w:val="3"/>
    </w:pPr>
  </w:style>
  <w:style w:type="paragraph" w:customStyle="1" w:styleId="afffff2">
    <w:name w:val="一级条标题"/>
    <w:next w:val="a6"/>
    <w:link w:val="Charffe"/>
    <w:qFormat/>
    <w:pPr>
      <w:numPr>
        <w:ilvl w:val="2"/>
      </w:numPr>
      <w:tabs>
        <w:tab w:val="left" w:pos="360"/>
        <w:tab w:val="left" w:pos="425"/>
        <w:tab w:val="left" w:pos="903"/>
      </w:tabs>
      <w:ind w:left="425" w:hanging="425"/>
      <w:outlineLvl w:val="2"/>
    </w:pPr>
  </w:style>
  <w:style w:type="paragraph" w:customStyle="1" w:styleId="a3">
    <w:name w:val="章标题"/>
    <w:next w:val="a6"/>
    <w:uiPriority w:val="99"/>
    <w:qFormat/>
    <w:pPr>
      <w:numPr>
        <w:ilvl w:val="1"/>
        <w:numId w:val="6"/>
      </w:numPr>
      <w:tabs>
        <w:tab w:val="left" w:pos="903"/>
      </w:tabs>
      <w:spacing w:before="50" w:after="50"/>
      <w:ind w:left="903" w:hanging="315"/>
      <w:jc w:val="both"/>
      <w:outlineLvl w:val="1"/>
    </w:pPr>
    <w:rPr>
      <w:rFonts w:ascii="黑体" w:eastAsia="黑体"/>
      <w:sz w:val="21"/>
    </w:rPr>
  </w:style>
  <w:style w:type="character" w:customStyle="1" w:styleId="Charffe">
    <w:name w:val="一级条标题 Char"/>
    <w:link w:val="afffff2"/>
    <w:qFormat/>
    <w:rPr>
      <w:rFonts w:ascii="黑体" w:eastAsia="黑体"/>
      <w:sz w:val="21"/>
    </w:rPr>
  </w:style>
  <w:style w:type="character" w:customStyle="1" w:styleId="Charfff">
    <w:name w:val="表 Char"/>
    <w:qFormat/>
    <w:rPr>
      <w:rFonts w:eastAsia="Times New Roman"/>
      <w:color w:val="000000"/>
      <w:sz w:val="18"/>
      <w:szCs w:val="21"/>
      <w:lang w:val="zh-CN"/>
    </w:rPr>
  </w:style>
  <w:style w:type="character" w:customStyle="1" w:styleId="Char18">
    <w:name w:val="批注主题 Char1"/>
    <w:qFormat/>
    <w:rPr>
      <w:b/>
      <w:bCs/>
      <w:kern w:val="2"/>
      <w:sz w:val="21"/>
      <w:szCs w:val="24"/>
    </w:rPr>
  </w:style>
  <w:style w:type="character" w:customStyle="1" w:styleId="CharCharCharChar4">
    <w:name w:val="题注 Char Char Char Char4"/>
    <w:qFormat/>
    <w:rPr>
      <w:rFonts w:ascii="Arial" w:eastAsia="黑体" w:hAnsi="Arial" w:cs="Arial"/>
      <w:kern w:val="2"/>
      <w:lang w:val="en-US" w:eastAsia="zh-CN" w:bidi="ar-SA"/>
    </w:rPr>
  </w:style>
  <w:style w:type="character" w:customStyle="1" w:styleId="CharCharb">
    <w:name w:val="章 Char Char"/>
    <w:qFormat/>
    <w:locked/>
    <w:rPr>
      <w:rFonts w:eastAsia="宋体"/>
      <w:b/>
      <w:bCs/>
      <w:kern w:val="44"/>
      <w:sz w:val="44"/>
      <w:szCs w:val="44"/>
      <w:lang w:val="en-US" w:eastAsia="zh-CN" w:bidi="ar-SA"/>
    </w:rPr>
  </w:style>
  <w:style w:type="character" w:customStyle="1" w:styleId="CharCharCharCharCharCharCharCharChar">
    <w:name w:val="正文（首行缩进两字） Char Char Char Char Char Char Char Char Char"/>
    <w:qFormat/>
    <w:rPr>
      <w:rFonts w:eastAsia="宋体"/>
      <w:kern w:val="2"/>
      <w:sz w:val="21"/>
      <w:szCs w:val="24"/>
      <w:lang w:val="en-US" w:eastAsia="zh-CN" w:bidi="ar-SA"/>
    </w:rPr>
  </w:style>
  <w:style w:type="character" w:customStyle="1" w:styleId="FontStyle316">
    <w:name w:val="Font Style316"/>
    <w:qFormat/>
    <w:rPr>
      <w:rFonts w:ascii="宋体" w:eastAsia="宋体" w:cs="宋体"/>
      <w:b/>
      <w:bCs/>
      <w:sz w:val="20"/>
      <w:szCs w:val="20"/>
    </w:rPr>
  </w:style>
  <w:style w:type="character" w:customStyle="1" w:styleId="-Char1">
    <w:name w:val="样式 报告正文-黄登 + 红色 Char"/>
    <w:link w:val="-3"/>
    <w:qFormat/>
    <w:rPr>
      <w:snapToGrid/>
      <w:color w:val="FF0000"/>
      <w:sz w:val="24"/>
      <w:szCs w:val="24"/>
    </w:rPr>
  </w:style>
  <w:style w:type="paragraph" w:customStyle="1" w:styleId="-3">
    <w:name w:val="样式 报告正文-黄登 + 红色"/>
    <w:basedOn w:val="-"/>
    <w:link w:val="-Char1"/>
    <w:qFormat/>
    <w:rPr>
      <w:color w:val="FF0000"/>
    </w:rPr>
  </w:style>
  <w:style w:type="character" w:customStyle="1" w:styleId="1Char11">
    <w:name w:val="样式1 Char1"/>
    <w:qFormat/>
    <w:rPr>
      <w:rFonts w:eastAsia="宋体"/>
      <w:bCs/>
      <w:kern w:val="2"/>
      <w:sz w:val="24"/>
      <w:lang w:val="en-US" w:eastAsia="zh-CN" w:bidi="ar-SA"/>
    </w:rPr>
  </w:style>
  <w:style w:type="character" w:customStyle="1" w:styleId="1Char5">
    <w:name w:val="正文文字1 Char"/>
    <w:qFormat/>
    <w:rPr>
      <w:rFonts w:eastAsia="宋体"/>
      <w:kern w:val="2"/>
      <w:sz w:val="28"/>
      <w:lang w:val="en-US" w:eastAsia="zh-CN" w:bidi="ar-SA"/>
    </w:rPr>
  </w:style>
  <w:style w:type="character" w:customStyle="1" w:styleId="CharChar13">
    <w:name w:val="Char Char13"/>
    <w:qFormat/>
    <w:rPr>
      <w:rFonts w:eastAsia="宋体"/>
      <w:lang w:bidi="ar-SA"/>
    </w:rPr>
  </w:style>
  <w:style w:type="character" w:customStyle="1" w:styleId="CharCharChar1">
    <w:name w:val="表格文字 Char Char Char"/>
    <w:qFormat/>
    <w:rPr>
      <w:rFonts w:eastAsia="宋体"/>
      <w:kern w:val="28"/>
      <w:sz w:val="21"/>
      <w:lang w:val="en-US" w:eastAsia="zh-CN" w:bidi="ar-SA"/>
    </w:rPr>
  </w:style>
  <w:style w:type="character" w:customStyle="1" w:styleId="Charfff0">
    <w:name w:val="燕山正文 Char"/>
    <w:qFormat/>
    <w:rPr>
      <w:rFonts w:ascii="宋体" w:eastAsia="宋体" w:hAnsi="宋体"/>
      <w:color w:val="000000"/>
      <w:kern w:val="2"/>
      <w:sz w:val="28"/>
      <w:szCs w:val="28"/>
      <w:lang w:val="en-US" w:eastAsia="zh-CN" w:bidi="ar-SA"/>
    </w:rPr>
  </w:style>
  <w:style w:type="character" w:customStyle="1" w:styleId="afffff3">
    <w:name w:val="篇号"/>
    <w:qFormat/>
    <w:rPr>
      <w:rFonts w:eastAsia="宋体"/>
    </w:rPr>
  </w:style>
  <w:style w:type="character" w:customStyle="1" w:styleId="CharCharCharCharChar">
    <w:name w:val="正文（首行缩进两字） Char Char Char Char Char"/>
    <w:qFormat/>
    <w:rPr>
      <w:rFonts w:ascii="Times New Roman" w:hAnsi="Times New Roman"/>
      <w:kern w:val="2"/>
      <w:sz w:val="24"/>
      <w:szCs w:val="22"/>
    </w:rPr>
  </w:style>
  <w:style w:type="character" w:customStyle="1" w:styleId="Charfff1">
    <w:name w:val="表内容       .. Char"/>
    <w:link w:val="afffff4"/>
    <w:qFormat/>
    <w:rPr>
      <w:kern w:val="2"/>
      <w:sz w:val="18"/>
      <w:szCs w:val="18"/>
    </w:rPr>
  </w:style>
  <w:style w:type="paragraph" w:customStyle="1" w:styleId="afffff4">
    <w:name w:val="表内容       .."/>
    <w:basedOn w:val="a6"/>
    <w:link w:val="Charfff1"/>
    <w:qFormat/>
    <w:pPr>
      <w:adjustRightInd w:val="0"/>
      <w:spacing w:line="240" w:lineRule="exact"/>
      <w:jc w:val="center"/>
      <w:textAlignment w:val="baseline"/>
    </w:pPr>
    <w:rPr>
      <w:sz w:val="18"/>
      <w:szCs w:val="18"/>
    </w:rPr>
  </w:style>
  <w:style w:type="character" w:customStyle="1" w:styleId="rongCharChar">
    <w:name w:val="rong正 Char Char"/>
    <w:link w:val="rong"/>
    <w:qFormat/>
    <w:rPr>
      <w:rFonts w:ascii="宋体" w:hAnsi="宋体" w:cs="宋体"/>
      <w:sz w:val="24"/>
      <w:szCs w:val="24"/>
    </w:rPr>
  </w:style>
  <w:style w:type="paragraph" w:customStyle="1" w:styleId="rong">
    <w:name w:val="rong正"/>
    <w:basedOn w:val="a6"/>
    <w:link w:val="rongCharChar"/>
    <w:qFormat/>
    <w:pPr>
      <w:adjustRightInd w:val="0"/>
      <w:snapToGrid w:val="0"/>
      <w:spacing w:line="300" w:lineRule="auto"/>
      <w:ind w:firstLineChars="200" w:firstLine="200"/>
    </w:pPr>
    <w:rPr>
      <w:rFonts w:ascii="宋体" w:hAnsi="宋体"/>
      <w:kern w:val="0"/>
      <w:sz w:val="24"/>
    </w:rPr>
  </w:style>
  <w:style w:type="character" w:customStyle="1" w:styleId="Char19">
    <w:name w:val="表、图名 Char1"/>
    <w:link w:val="afffff5"/>
    <w:qFormat/>
    <w:rPr>
      <w:b/>
      <w:kern w:val="2"/>
      <w:sz w:val="24"/>
      <w:szCs w:val="24"/>
      <w:lang w:val="en-US" w:eastAsia="zh-CN"/>
    </w:rPr>
  </w:style>
  <w:style w:type="paragraph" w:customStyle="1" w:styleId="afffff5">
    <w:name w:val="表、图名"/>
    <w:basedOn w:val="a6"/>
    <w:link w:val="Char19"/>
    <w:qFormat/>
    <w:pPr>
      <w:adjustRightInd w:val="0"/>
      <w:snapToGrid w:val="0"/>
      <w:spacing w:line="500" w:lineRule="exact"/>
      <w:ind w:firstLineChars="2" w:firstLine="5"/>
      <w:jc w:val="center"/>
    </w:pPr>
    <w:rPr>
      <w:b/>
      <w:sz w:val="24"/>
    </w:rPr>
  </w:style>
  <w:style w:type="character" w:customStyle="1" w:styleId="3CharChar0">
    <w:name w:val="正文文字 3 Char Char"/>
    <w:qFormat/>
    <w:rPr>
      <w:rFonts w:ascii="Times New Roman" w:eastAsia="仿宋_GB2312" w:hAnsi="Times New Roman" w:cs="Times New Roman"/>
      <w:kern w:val="0"/>
      <w:sz w:val="16"/>
      <w:szCs w:val="16"/>
    </w:rPr>
  </w:style>
  <w:style w:type="character" w:customStyle="1" w:styleId="CharCharChar4">
    <w:name w:val="文本框五号 Char Char Char"/>
    <w:qFormat/>
    <w:rPr>
      <w:rFonts w:ascii="宋体" w:eastAsia="仿宋_GB2312" w:hAnsi="宋体" w:cs="Courier New"/>
      <w:kern w:val="2"/>
      <w:sz w:val="21"/>
      <w:szCs w:val="21"/>
      <w:lang w:val="en-US" w:eastAsia="zh-CN" w:bidi="ar-SA"/>
    </w:rPr>
  </w:style>
  <w:style w:type="character" w:customStyle="1" w:styleId="FontStyle337">
    <w:name w:val="Font Style337"/>
    <w:qFormat/>
    <w:rPr>
      <w:rFonts w:ascii="宋体" w:eastAsia="宋体" w:cs="宋体"/>
      <w:sz w:val="22"/>
      <w:szCs w:val="22"/>
    </w:rPr>
  </w:style>
  <w:style w:type="character" w:customStyle="1" w:styleId="CharCharc">
    <w:name w:val="表、图名 + 黑色 Char Char"/>
    <w:link w:val="afffff6"/>
    <w:qFormat/>
    <w:rPr>
      <w:rFonts w:ascii="Arial" w:eastAsia="黑体" w:hAnsi="Arial"/>
      <w:color w:val="000000"/>
      <w:kern w:val="2"/>
      <w:sz w:val="21"/>
      <w:szCs w:val="21"/>
      <w:lang w:val="en-US" w:eastAsia="zh-CN"/>
    </w:rPr>
  </w:style>
  <w:style w:type="paragraph" w:customStyle="1" w:styleId="afffff6">
    <w:name w:val="表、图名 + 黑色"/>
    <w:basedOn w:val="afffff5"/>
    <w:link w:val="CharCharc"/>
    <w:qFormat/>
    <w:pPr>
      <w:adjustRightInd/>
      <w:snapToGrid/>
      <w:spacing w:line="300" w:lineRule="auto"/>
      <w:ind w:firstLineChars="0" w:firstLine="0"/>
    </w:pPr>
    <w:rPr>
      <w:rFonts w:ascii="Arial" w:eastAsia="黑体" w:hAnsi="Arial"/>
      <w:b w:val="0"/>
      <w:color w:val="000000"/>
      <w:sz w:val="21"/>
      <w:szCs w:val="21"/>
    </w:rPr>
  </w:style>
  <w:style w:type="character" w:customStyle="1" w:styleId="Char1a">
    <w:name w:val="纯文本 Char1"/>
    <w:qFormat/>
    <w:rPr>
      <w:rFonts w:ascii="宋体" w:hAnsi="Courier New" w:cs="Courier New"/>
      <w:kern w:val="2"/>
      <w:sz w:val="21"/>
      <w:szCs w:val="21"/>
    </w:rPr>
  </w:style>
  <w:style w:type="character" w:customStyle="1" w:styleId="3Char10">
    <w:name w:val="标题 3 Char1"/>
    <w:uiPriority w:val="9"/>
    <w:qFormat/>
    <w:rPr>
      <w:b/>
      <w:bCs/>
      <w:kern w:val="2"/>
      <w:sz w:val="32"/>
      <w:szCs w:val="32"/>
    </w:rPr>
  </w:style>
  <w:style w:type="character" w:customStyle="1" w:styleId="SLCONChar">
    <w:name w:val="表（或图）标题 样式 宋体 五号 居中 SL CON Char"/>
    <w:link w:val="SLCON"/>
    <w:qFormat/>
    <w:rPr>
      <w:rFonts w:ascii="宋体" w:eastAsia="宋体" w:hAnsi="宋体"/>
      <w:b/>
      <w:lang w:bidi="ar-SA"/>
    </w:rPr>
  </w:style>
  <w:style w:type="paragraph" w:customStyle="1" w:styleId="SLCON">
    <w:name w:val="表（或图）标题 样式 宋体 五号 居中 SL CON"/>
    <w:basedOn w:val="a6"/>
    <w:link w:val="SLCONChar"/>
    <w:qFormat/>
    <w:pPr>
      <w:widowControl/>
      <w:tabs>
        <w:tab w:val="left" w:pos="377"/>
      </w:tabs>
      <w:spacing w:before="100" w:beforeAutospacing="1" w:line="360" w:lineRule="auto"/>
      <w:ind w:firstLineChars="200" w:firstLine="200"/>
      <w:jc w:val="center"/>
    </w:pPr>
    <w:rPr>
      <w:rFonts w:ascii="宋体" w:hAnsi="宋体"/>
      <w:b/>
      <w:kern w:val="0"/>
      <w:sz w:val="20"/>
      <w:szCs w:val="20"/>
    </w:rPr>
  </w:style>
  <w:style w:type="character" w:customStyle="1" w:styleId="Char1b">
    <w:name w:val="正文(首行缩进) Char1"/>
    <w:link w:val="afffff7"/>
    <w:qFormat/>
    <w:rPr>
      <w:rFonts w:eastAsia="宋体"/>
      <w:snapToGrid w:val="0"/>
      <w:color w:val="000000"/>
      <w:sz w:val="24"/>
      <w:szCs w:val="24"/>
      <w:lang w:val="en-US" w:eastAsia="zh-CN" w:bidi="ar-SA"/>
    </w:rPr>
  </w:style>
  <w:style w:type="paragraph" w:customStyle="1" w:styleId="afffff7">
    <w:name w:val="正文(首行缩进)"/>
    <w:basedOn w:val="a6"/>
    <w:next w:val="a6"/>
    <w:link w:val="Char1b"/>
    <w:qFormat/>
    <w:pPr>
      <w:spacing w:line="360" w:lineRule="auto"/>
      <w:ind w:firstLineChars="225" w:firstLine="540"/>
    </w:pPr>
    <w:rPr>
      <w:snapToGrid w:val="0"/>
      <w:color w:val="000000"/>
      <w:kern w:val="0"/>
      <w:sz w:val="24"/>
    </w:rPr>
  </w:style>
  <w:style w:type="character" w:customStyle="1" w:styleId="z-">
    <w:name w:val="z-窗体底端 字符"/>
    <w:link w:val="z-1"/>
    <w:qFormat/>
    <w:rPr>
      <w:rFonts w:ascii="Arial" w:hAnsi="Arial"/>
      <w:vanish/>
      <w:sz w:val="16"/>
    </w:rPr>
  </w:style>
  <w:style w:type="paragraph" w:customStyle="1" w:styleId="z-1">
    <w:name w:val="z-窗体底端1"/>
    <w:basedOn w:val="a6"/>
    <w:next w:val="a6"/>
    <w:link w:val="z-"/>
    <w:qFormat/>
    <w:pPr>
      <w:widowControl/>
      <w:pBdr>
        <w:top w:val="single" w:sz="6" w:space="1" w:color="auto"/>
      </w:pBdr>
      <w:jc w:val="center"/>
    </w:pPr>
    <w:rPr>
      <w:rFonts w:ascii="Arial" w:hAnsi="Arial"/>
      <w:vanish/>
      <w:kern w:val="0"/>
      <w:sz w:val="16"/>
      <w:szCs w:val="20"/>
    </w:rPr>
  </w:style>
  <w:style w:type="character" w:customStyle="1" w:styleId="1f5">
    <w:name w:val="第一条1"/>
    <w:qFormat/>
    <w:rPr>
      <w:rFonts w:ascii="黑体" w:eastAsia="黑体" w:hint="eastAsia"/>
      <w:sz w:val="24"/>
      <w:szCs w:val="24"/>
    </w:rPr>
  </w:style>
  <w:style w:type="character" w:customStyle="1" w:styleId="5Char2">
    <w:name w:val="表格内容（5号字体版本） Char"/>
    <w:link w:val="59"/>
    <w:qFormat/>
    <w:rPr>
      <w:color w:val="000000"/>
      <w:lang w:val="en-US" w:eastAsia="zh-CN" w:bidi="ar-SA"/>
    </w:rPr>
  </w:style>
  <w:style w:type="paragraph" w:customStyle="1" w:styleId="59">
    <w:name w:val="表格内容（5号字体版本）"/>
    <w:link w:val="5Char2"/>
    <w:qFormat/>
    <w:pPr>
      <w:jc w:val="center"/>
    </w:pPr>
    <w:rPr>
      <w:color w:val="000000"/>
    </w:rPr>
  </w:style>
  <w:style w:type="character" w:customStyle="1" w:styleId="afffff8">
    <w:name w:val="个人撰写风格"/>
    <w:qFormat/>
    <w:rPr>
      <w:rFonts w:ascii="Arial" w:eastAsia="宋体" w:hAnsi="Arial" w:cs="Arial"/>
      <w:color w:val="auto"/>
      <w:sz w:val="20"/>
    </w:rPr>
  </w:style>
  <w:style w:type="character" w:customStyle="1" w:styleId="2Char8">
    <w:name w:val="正文（行首缩进2字） Char"/>
    <w:link w:val="2fc"/>
    <w:qFormat/>
    <w:rPr>
      <w:kern w:val="2"/>
      <w:sz w:val="24"/>
      <w:szCs w:val="24"/>
    </w:rPr>
  </w:style>
  <w:style w:type="paragraph" w:customStyle="1" w:styleId="2fc">
    <w:name w:val="正文（行首缩进2字）"/>
    <w:basedOn w:val="a6"/>
    <w:link w:val="2Char8"/>
    <w:qFormat/>
    <w:pPr>
      <w:spacing w:line="500" w:lineRule="exact"/>
      <w:ind w:firstLineChars="200" w:firstLine="200"/>
    </w:pPr>
    <w:rPr>
      <w:sz w:val="24"/>
    </w:rPr>
  </w:style>
  <w:style w:type="character" w:customStyle="1" w:styleId="CharCharCharCharChar0">
    <w:name w:val="正文样式 Char Char Char Char Char"/>
    <w:link w:val="CharCharCharChar1"/>
    <w:qFormat/>
    <w:rPr>
      <w:rFonts w:cs="宋体"/>
      <w:color w:val="000000"/>
      <w:kern w:val="2"/>
      <w:sz w:val="24"/>
      <w:szCs w:val="24"/>
    </w:rPr>
  </w:style>
  <w:style w:type="paragraph" w:customStyle="1" w:styleId="CharCharCharChar1">
    <w:name w:val="正文样式 Char Char Char Char"/>
    <w:basedOn w:val="a6"/>
    <w:link w:val="CharCharCharCharChar0"/>
    <w:qFormat/>
    <w:pPr>
      <w:adjustRightInd w:val="0"/>
      <w:snapToGrid w:val="0"/>
      <w:spacing w:beforeLines="50" w:afterLines="50" w:line="312" w:lineRule="auto"/>
      <w:ind w:firstLineChars="200" w:firstLine="480"/>
    </w:pPr>
    <w:rPr>
      <w:color w:val="000000"/>
      <w:sz w:val="24"/>
    </w:rPr>
  </w:style>
  <w:style w:type="character" w:customStyle="1" w:styleId="CharCharChar5">
    <w:name w:val="纯文本 Char Char Char"/>
    <w:qFormat/>
    <w:rPr>
      <w:rFonts w:ascii="宋体" w:eastAsia="宋体" w:hAnsi="Courier New"/>
      <w:kern w:val="2"/>
      <w:sz w:val="21"/>
      <w:lang w:val="en-US" w:eastAsia="zh-CN"/>
    </w:rPr>
  </w:style>
  <w:style w:type="character" w:customStyle="1" w:styleId="FontStyle339">
    <w:name w:val="Font Style339"/>
    <w:qFormat/>
    <w:rPr>
      <w:rFonts w:ascii="宋体" w:eastAsia="宋体" w:cs="宋体"/>
      <w:b/>
      <w:bCs/>
      <w:sz w:val="20"/>
      <w:szCs w:val="20"/>
    </w:rPr>
  </w:style>
  <w:style w:type="character" w:customStyle="1" w:styleId="ca-21">
    <w:name w:val="ca-21"/>
    <w:qFormat/>
    <w:rPr>
      <w:rFonts w:ascii="宋体" w:eastAsia="宋体" w:hAnsi="宋体" w:hint="eastAsia"/>
      <w:color w:val="FF0000"/>
      <w:sz w:val="28"/>
      <w:szCs w:val="28"/>
    </w:rPr>
  </w:style>
  <w:style w:type="character" w:customStyle="1" w:styleId="afffff9">
    <w:name w:val="a"/>
    <w:qFormat/>
  </w:style>
  <w:style w:type="character" w:customStyle="1" w:styleId="-CharChar">
    <w:name w:val="表格文字-居中 Char Char"/>
    <w:link w:val="-4"/>
    <w:qFormat/>
    <w:rPr>
      <w:sz w:val="21"/>
      <w:szCs w:val="21"/>
    </w:rPr>
  </w:style>
  <w:style w:type="paragraph" w:customStyle="1" w:styleId="-4">
    <w:name w:val="表格文字-居中"/>
    <w:basedOn w:val="50"/>
    <w:link w:val="-CharChar"/>
    <w:qFormat/>
    <w:pPr>
      <w:keepNext w:val="0"/>
      <w:keepLines w:val="0"/>
      <w:widowControl/>
      <w:adjustRightInd w:val="0"/>
      <w:spacing w:before="0" w:after="0" w:line="400" w:lineRule="exact"/>
      <w:jc w:val="center"/>
      <w:textAlignment w:val="center"/>
      <w:outlineLvl w:val="9"/>
    </w:pPr>
    <w:rPr>
      <w:b w:val="0"/>
      <w:bCs w:val="0"/>
      <w:kern w:val="0"/>
      <w:sz w:val="21"/>
      <w:szCs w:val="21"/>
    </w:rPr>
  </w:style>
  <w:style w:type="character" w:customStyle="1" w:styleId="CharChar14">
    <w:name w:val="Char Char14"/>
    <w:qFormat/>
    <w:rPr>
      <w:rFonts w:eastAsia="宋体"/>
      <w:kern w:val="2"/>
      <w:sz w:val="21"/>
      <w:szCs w:val="24"/>
      <w:lang w:val="en-US" w:eastAsia="zh-CN" w:bidi="ar-SA"/>
    </w:rPr>
  </w:style>
  <w:style w:type="character" w:customStyle="1" w:styleId="CharChar18">
    <w:name w:val="Char Char18"/>
    <w:uiPriority w:val="99"/>
    <w:qFormat/>
    <w:rPr>
      <w:rFonts w:ascii="宋体" w:eastAsia="宋体" w:hAnsi="宋体" w:hint="eastAsia"/>
      <w:b/>
      <w:bCs/>
      <w:color w:val="000000"/>
      <w:kern w:val="44"/>
      <w:sz w:val="28"/>
      <w:szCs w:val="28"/>
      <w:lang w:val="en-US" w:eastAsia="zh-CN" w:bidi="ar-SA"/>
    </w:rPr>
  </w:style>
  <w:style w:type="character" w:customStyle="1" w:styleId="41111411114Char1111Char4CharChar">
    <w:name w:val="样式 标题 41.1.1.1标题 4.1.1.1.1标题 4 Char款1.1.1.1 Char标4段 + 宋体... Char Char"/>
    <w:qFormat/>
    <w:rPr>
      <w:rFonts w:ascii="宋体" w:eastAsia="宋体" w:hAnsi="宋体"/>
      <w:bCs/>
      <w:color w:val="000000"/>
      <w:kern w:val="2"/>
      <w:sz w:val="28"/>
      <w:szCs w:val="24"/>
      <w:lang w:val="en-US" w:eastAsia="zh-CN" w:bidi="ar-SA"/>
    </w:rPr>
  </w:style>
  <w:style w:type="character" w:customStyle="1" w:styleId="h4Char">
    <w:name w:val="h4 Char"/>
    <w:qFormat/>
    <w:rPr>
      <w:rFonts w:ascii="宋体" w:eastAsia="宋体" w:hAnsi="宋体"/>
      <w:sz w:val="24"/>
      <w:lang w:val="en-US" w:eastAsia="zh-CN" w:bidi="ar-SA"/>
    </w:rPr>
  </w:style>
  <w:style w:type="character" w:customStyle="1" w:styleId="CharChard">
    <w:name w:val="正文部分 Char Char"/>
    <w:link w:val="afffffa"/>
    <w:qFormat/>
    <w:rPr>
      <w:rFonts w:ascii="宋体" w:hAnsi="宋体" w:cs="宋体"/>
      <w:bCs/>
      <w:kern w:val="2"/>
      <w:sz w:val="28"/>
      <w:szCs w:val="32"/>
    </w:rPr>
  </w:style>
  <w:style w:type="paragraph" w:customStyle="1" w:styleId="afffffa">
    <w:name w:val="正文部分"/>
    <w:basedOn w:val="a6"/>
    <w:link w:val="CharChard"/>
    <w:qFormat/>
    <w:pPr>
      <w:spacing w:line="500" w:lineRule="exact"/>
      <w:ind w:firstLineChars="200" w:firstLine="200"/>
      <w:jc w:val="left"/>
    </w:pPr>
    <w:rPr>
      <w:rFonts w:ascii="宋体" w:hAnsi="宋体"/>
      <w:bCs/>
      <w:sz w:val="28"/>
      <w:szCs w:val="32"/>
    </w:rPr>
  </w:style>
  <w:style w:type="character" w:customStyle="1" w:styleId="CharChar11">
    <w:name w:val="表号 Char Char1"/>
    <w:qFormat/>
    <w:rPr>
      <w:rFonts w:ascii="宋体" w:eastAsia="宋体" w:hAnsi="宋体"/>
      <w:sz w:val="24"/>
      <w:szCs w:val="24"/>
      <w:lang w:val="en-US" w:eastAsia="zh-CN" w:bidi="ar-SA"/>
    </w:rPr>
  </w:style>
  <w:style w:type="character" w:customStyle="1" w:styleId="CharAttribute101">
    <w:name w:val="CharAttribute101"/>
    <w:qFormat/>
    <w:rPr>
      <w:rFonts w:ascii="宋体" w:eastAsia="宋体" w:hAnsi="宋体"/>
      <w:sz w:val="27"/>
    </w:rPr>
  </w:style>
  <w:style w:type="character" w:customStyle="1" w:styleId="Char24">
    <w:name w:val="正文文本缩进 Char2"/>
    <w:uiPriority w:val="99"/>
    <w:qFormat/>
    <w:rPr>
      <w:kern w:val="2"/>
      <w:sz w:val="21"/>
      <w:szCs w:val="22"/>
    </w:rPr>
  </w:style>
  <w:style w:type="character" w:customStyle="1" w:styleId="3CharCharChar4">
    <w:name w:val="标题 3 Char Char Char4"/>
    <w:qFormat/>
    <w:rPr>
      <w:rFonts w:eastAsia="宋体"/>
      <w:kern w:val="2"/>
      <w:sz w:val="24"/>
      <w:szCs w:val="24"/>
      <w:lang w:val="en-US" w:eastAsia="zh-CN" w:bidi="ar-SA"/>
    </w:rPr>
  </w:style>
  <w:style w:type="character" w:customStyle="1" w:styleId="CharCharChar6">
    <w:name w:val="文字 Char Char Char"/>
    <w:qFormat/>
    <w:rPr>
      <w:rFonts w:ascii="宋体" w:eastAsia="宋体" w:hAnsi="宋体" w:cs="宋体"/>
      <w:kern w:val="0"/>
      <w:sz w:val="28"/>
      <w:szCs w:val="28"/>
    </w:rPr>
  </w:style>
  <w:style w:type="character" w:customStyle="1" w:styleId="mvp11">
    <w:name w:val="mvp11"/>
    <w:qFormat/>
    <w:rPr>
      <w:color w:val="008000"/>
    </w:rPr>
  </w:style>
  <w:style w:type="character" w:customStyle="1" w:styleId="Charfff2">
    <w:name w:val="明显引用 Char"/>
    <w:link w:val="afffffb"/>
    <w:uiPriority w:val="30"/>
    <w:qFormat/>
    <w:rPr>
      <w:rFonts w:ascii="Calibri" w:hAnsi="Calibri"/>
      <w:b/>
      <w:bCs/>
      <w:i/>
      <w:iCs/>
      <w:color w:val="4F81BD"/>
      <w:kern w:val="2"/>
      <w:sz w:val="21"/>
      <w:szCs w:val="22"/>
    </w:rPr>
  </w:style>
  <w:style w:type="paragraph" w:styleId="afffffb">
    <w:name w:val="Intense Quote"/>
    <w:basedOn w:val="a6"/>
    <w:next w:val="a6"/>
    <w:link w:val="Charfff2"/>
    <w:uiPriority w:val="30"/>
    <w:qFormat/>
    <w:pPr>
      <w:pBdr>
        <w:bottom w:val="single" w:sz="4" w:space="4" w:color="4F81BD"/>
      </w:pBdr>
      <w:spacing w:before="200" w:after="280"/>
      <w:ind w:left="936" w:right="936"/>
    </w:pPr>
    <w:rPr>
      <w:rFonts w:ascii="Calibri" w:hAnsi="Calibri"/>
      <w:b/>
      <w:bCs/>
      <w:i/>
      <w:iCs/>
      <w:color w:val="4F81BD"/>
      <w:szCs w:val="22"/>
    </w:rPr>
  </w:style>
  <w:style w:type="character" w:customStyle="1" w:styleId="CharChar19">
    <w:name w:val="Char Char19"/>
    <w:uiPriority w:val="99"/>
    <w:qFormat/>
    <w:rPr>
      <w:rFonts w:ascii="Arial" w:eastAsia="仿宋_GB2312" w:hAnsi="Arial"/>
      <w:spacing w:val="-6"/>
      <w:kern w:val="20"/>
      <w:sz w:val="18"/>
      <w:lang w:val="en-US" w:eastAsia="zh-CN" w:bidi="ar-SA"/>
    </w:rPr>
  </w:style>
  <w:style w:type="character" w:customStyle="1" w:styleId="1Char6">
    <w:name w:val="样式 标题1 Char"/>
    <w:link w:val="1f6"/>
    <w:qFormat/>
    <w:rPr>
      <w:rFonts w:ascii="宋体" w:hAnsi="宋体"/>
      <w:b/>
      <w:bCs/>
      <w:kern w:val="44"/>
      <w:sz w:val="32"/>
      <w:szCs w:val="32"/>
    </w:rPr>
  </w:style>
  <w:style w:type="paragraph" w:customStyle="1" w:styleId="1f6">
    <w:name w:val="样式 标题1"/>
    <w:basedOn w:val="12"/>
    <w:next w:val="affffa"/>
    <w:link w:val="1Char6"/>
    <w:qFormat/>
    <w:pPr>
      <w:keepNext w:val="0"/>
      <w:keepLines w:val="0"/>
      <w:widowControl/>
      <w:tabs>
        <w:tab w:val="left" w:pos="2629"/>
      </w:tabs>
      <w:spacing w:before="0" w:after="0" w:line="360" w:lineRule="auto"/>
      <w:jc w:val="center"/>
    </w:pPr>
    <w:rPr>
      <w:rFonts w:ascii="宋体" w:hAnsi="宋体"/>
      <w:sz w:val="32"/>
      <w:szCs w:val="32"/>
    </w:rPr>
  </w:style>
  <w:style w:type="character" w:customStyle="1" w:styleId="EmailStyle5541">
    <w:name w:val="EmailStyle5541"/>
    <w:qFormat/>
    <w:rPr>
      <w:rFonts w:ascii="Arial" w:eastAsia="宋体" w:hAnsi="Arial" w:cs="Arial"/>
      <w:color w:val="auto"/>
      <w:sz w:val="20"/>
    </w:rPr>
  </w:style>
  <w:style w:type="character" w:customStyle="1" w:styleId="26CharCharCharChar">
    <w:name w:val="样式 (符号) 宋体 小四 行距: 固定值 26 磅 Char Char Char Char"/>
    <w:qFormat/>
    <w:rPr>
      <w:rFonts w:hAnsi="宋体" w:cs="宋体"/>
      <w:color w:val="000000"/>
      <w:sz w:val="28"/>
      <w:szCs w:val="28"/>
    </w:rPr>
  </w:style>
  <w:style w:type="character" w:customStyle="1" w:styleId="CharAttribute16">
    <w:name w:val="CharAttribute16"/>
    <w:qFormat/>
    <w:rPr>
      <w:rFonts w:ascii="楷体" w:eastAsia="楷体" w:hAnsi="楷体"/>
      <w:sz w:val="24"/>
    </w:rPr>
  </w:style>
  <w:style w:type="character" w:customStyle="1" w:styleId="-2Char0">
    <w:name w:val="编号-正文章条2级标题(进目录) Char"/>
    <w:link w:val="-20"/>
    <w:qFormat/>
    <w:rPr>
      <w:rFonts w:ascii="Arial" w:hAnsi="Arial"/>
      <w:color w:val="000000"/>
      <w:kern w:val="2"/>
      <w:sz w:val="24"/>
      <w:szCs w:val="24"/>
    </w:rPr>
  </w:style>
  <w:style w:type="paragraph" w:customStyle="1" w:styleId="-20">
    <w:name w:val="编号-正文章条2级标题(进目录)"/>
    <w:basedOn w:val="a6"/>
    <w:link w:val="-2Char0"/>
    <w:qFormat/>
    <w:pPr>
      <w:widowControl/>
      <w:jc w:val="left"/>
      <w:outlineLvl w:val="1"/>
    </w:pPr>
    <w:rPr>
      <w:rFonts w:ascii="Arial" w:hAnsi="Arial"/>
      <w:color w:val="000000"/>
      <w:sz w:val="24"/>
    </w:rPr>
  </w:style>
  <w:style w:type="character" w:customStyle="1" w:styleId="2CharChar10">
    <w:name w:val="正文文字 2 Char Char1"/>
    <w:qFormat/>
    <w:rPr>
      <w:rFonts w:eastAsia="宋体"/>
      <w:kern w:val="2"/>
      <w:sz w:val="21"/>
      <w:szCs w:val="24"/>
      <w:lang w:val="en-US" w:eastAsia="zh-CN" w:bidi="ar-SA"/>
    </w:rPr>
  </w:style>
  <w:style w:type="character" w:customStyle="1" w:styleId="Char1c">
    <w:name w:val="尾注文本 Char1"/>
    <w:qFormat/>
    <w:rPr>
      <w:rFonts w:ascii="Times New Roman" w:eastAsia="宋体" w:hAnsi="Times New Roman" w:cs="Times New Roman"/>
      <w:szCs w:val="20"/>
    </w:rPr>
  </w:style>
  <w:style w:type="character" w:customStyle="1" w:styleId="BPDIChar">
    <w:name w:val="BPDI表格字体 Char"/>
    <w:link w:val="BPDI"/>
    <w:qFormat/>
    <w:rPr>
      <w:rFonts w:ascii="Arial" w:hAnsi="Arial"/>
      <w:kern w:val="2"/>
      <w:sz w:val="21"/>
      <w:szCs w:val="21"/>
      <w:lang w:bidi="ar-SA"/>
    </w:rPr>
  </w:style>
  <w:style w:type="paragraph" w:customStyle="1" w:styleId="BPDI">
    <w:name w:val="BPDI表格字体"/>
    <w:link w:val="BPDIChar"/>
    <w:qFormat/>
    <w:pPr>
      <w:widowControl w:val="0"/>
      <w:adjustRightInd w:val="0"/>
      <w:snapToGrid w:val="0"/>
      <w:spacing w:after="200" w:line="276" w:lineRule="auto"/>
    </w:pPr>
    <w:rPr>
      <w:rFonts w:ascii="Arial" w:hAnsi="Arial"/>
      <w:kern w:val="2"/>
      <w:sz w:val="21"/>
      <w:szCs w:val="21"/>
    </w:rPr>
  </w:style>
  <w:style w:type="character" w:customStyle="1" w:styleId="wenzhang">
    <w:name w:val="wenzhang"/>
    <w:qFormat/>
  </w:style>
  <w:style w:type="character" w:customStyle="1" w:styleId="Document7">
    <w:name w:val="Document 7"/>
    <w:qFormat/>
  </w:style>
  <w:style w:type="character" w:customStyle="1" w:styleId="Charfff3">
    <w:name w:val="我的二级 Char"/>
    <w:link w:val="afffffc"/>
    <w:qFormat/>
    <w:rPr>
      <w:rFonts w:ascii="Cambria" w:hAnsi="Cambria"/>
      <w:b/>
      <w:bCs/>
      <w:kern w:val="2"/>
      <w:sz w:val="32"/>
      <w:szCs w:val="32"/>
    </w:rPr>
  </w:style>
  <w:style w:type="paragraph" w:customStyle="1" w:styleId="afffffc">
    <w:name w:val="我的二级"/>
    <w:basedOn w:val="22"/>
    <w:link w:val="Charfff3"/>
    <w:qFormat/>
    <w:pPr>
      <w:tabs>
        <w:tab w:val="left" w:pos="1070"/>
      </w:tabs>
      <w:spacing w:before="260" w:after="260" w:line="415" w:lineRule="auto"/>
      <w:ind w:leftChars="400" w:left="1070" w:hangingChars="200" w:hanging="360"/>
    </w:pPr>
    <w:rPr>
      <w:rFonts w:ascii="Cambria" w:hAnsi="Cambria"/>
      <w:spacing w:val="0"/>
      <w:w w:val="100"/>
      <w:kern w:val="2"/>
      <w:szCs w:val="32"/>
    </w:rPr>
  </w:style>
  <w:style w:type="character" w:customStyle="1" w:styleId="Document4">
    <w:name w:val="Document 4"/>
    <w:qFormat/>
    <w:rPr>
      <w:b/>
      <w:bCs/>
      <w:i/>
      <w:iCs/>
      <w:sz w:val="24"/>
    </w:rPr>
  </w:style>
  <w:style w:type="character" w:customStyle="1" w:styleId="Charfff4">
    <w:name w:val="文字 Char"/>
    <w:qFormat/>
    <w:rPr>
      <w:rFonts w:ascii="宋体" w:eastAsia="宋体" w:hAnsi="宋体" w:cs="宋体"/>
      <w:sz w:val="28"/>
      <w:szCs w:val="28"/>
      <w:lang w:val="en-US" w:eastAsia="zh-CN" w:bidi="ar-SA"/>
    </w:rPr>
  </w:style>
  <w:style w:type="character" w:customStyle="1" w:styleId="1f7">
    <w:name w:val="不明显参考1"/>
    <w:qFormat/>
    <w:rPr>
      <w:smallCaps/>
    </w:rPr>
  </w:style>
  <w:style w:type="character" w:customStyle="1" w:styleId="afffffd">
    <w:name w:val="样式 正文 +"/>
    <w:qFormat/>
    <w:rPr>
      <w:rFonts w:ascii="Times New Roman" w:eastAsia="宋体" w:hAnsi="Times New Roman"/>
      <w:kern w:val="0"/>
      <w:sz w:val="24"/>
    </w:rPr>
  </w:style>
  <w:style w:type="character" w:customStyle="1" w:styleId="CharChar90">
    <w:name w:val="Char Char9"/>
    <w:qFormat/>
    <w:rPr>
      <w:sz w:val="18"/>
      <w:szCs w:val="18"/>
      <w:lang w:bidi="ar-SA"/>
    </w:rPr>
  </w:style>
  <w:style w:type="character" w:customStyle="1" w:styleId="2CharChar2">
    <w:name w:val="表格文字2 Char Char"/>
    <w:link w:val="2fd"/>
    <w:qFormat/>
    <w:rPr>
      <w:rFonts w:ascii="宋体"/>
      <w:sz w:val="21"/>
    </w:rPr>
  </w:style>
  <w:style w:type="paragraph" w:customStyle="1" w:styleId="2fd">
    <w:name w:val="表格文字2"/>
    <w:basedOn w:val="a6"/>
    <w:link w:val="2CharChar2"/>
    <w:qFormat/>
    <w:pPr>
      <w:tabs>
        <w:tab w:val="left" w:pos="277"/>
        <w:tab w:val="left" w:pos="600"/>
        <w:tab w:val="left" w:pos="780"/>
        <w:tab w:val="left" w:pos="2517"/>
      </w:tabs>
      <w:adjustRightInd w:val="0"/>
      <w:jc w:val="center"/>
      <w:textAlignment w:val="baseline"/>
    </w:pPr>
    <w:rPr>
      <w:rFonts w:ascii="宋体"/>
      <w:kern w:val="0"/>
      <w:szCs w:val="20"/>
    </w:rPr>
  </w:style>
  <w:style w:type="character" w:customStyle="1" w:styleId="Char31">
    <w:name w:val="纯文本 Char3"/>
    <w:uiPriority w:val="99"/>
    <w:qFormat/>
    <w:rPr>
      <w:rFonts w:ascii="宋体" w:hAnsi="Courier New" w:cs="Courier New"/>
      <w:kern w:val="2"/>
      <w:sz w:val="21"/>
      <w:szCs w:val="21"/>
    </w:rPr>
  </w:style>
  <w:style w:type="character" w:customStyle="1" w:styleId="CharChar30">
    <w:name w:val="Char Char3"/>
    <w:qFormat/>
    <w:rPr>
      <w:rFonts w:ascii="宋体" w:eastAsia="宋体"/>
      <w:kern w:val="2"/>
      <w:sz w:val="18"/>
      <w:lang w:val="en-US" w:eastAsia="zh-CN" w:bidi="ar-SA"/>
    </w:rPr>
  </w:style>
  <w:style w:type="character" w:customStyle="1" w:styleId="Char32">
    <w:name w:val="注释标题 Char3"/>
    <w:qFormat/>
    <w:rPr>
      <w:kern w:val="2"/>
      <w:sz w:val="24"/>
      <w:szCs w:val="24"/>
    </w:rPr>
  </w:style>
  <w:style w:type="character" w:customStyle="1" w:styleId="777777777CharCharCharCharCharCharCharChar">
    <w:name w:val="777777777 Char Char Char Char Char Char Char Char"/>
    <w:qFormat/>
    <w:rPr>
      <w:rFonts w:eastAsia="宋体"/>
      <w:sz w:val="28"/>
    </w:rPr>
  </w:style>
  <w:style w:type="character" w:customStyle="1" w:styleId="1Char7">
    <w:name w:val="1正文段落 Char"/>
    <w:link w:val="1f8"/>
    <w:qFormat/>
    <w:rPr>
      <w:snapToGrid/>
      <w:sz w:val="24"/>
      <w:szCs w:val="24"/>
    </w:rPr>
  </w:style>
  <w:style w:type="paragraph" w:customStyle="1" w:styleId="1f8">
    <w:name w:val="1正文段落"/>
    <w:basedOn w:val="a6"/>
    <w:link w:val="1Char7"/>
    <w:qFormat/>
    <w:pPr>
      <w:spacing w:line="360" w:lineRule="auto"/>
      <w:ind w:firstLineChars="200" w:firstLine="200"/>
      <w:jc w:val="left"/>
    </w:pPr>
    <w:rPr>
      <w:snapToGrid w:val="0"/>
      <w:kern w:val="0"/>
      <w:sz w:val="24"/>
    </w:rPr>
  </w:style>
  <w:style w:type="character" w:customStyle="1" w:styleId="55-Char">
    <w:name w:val="标题55-表标 Char"/>
    <w:link w:val="55-"/>
    <w:qFormat/>
    <w:rPr>
      <w:rFonts w:ascii="黑体" w:eastAsia="黑体" w:hAnsi="宋体"/>
      <w:sz w:val="24"/>
    </w:rPr>
  </w:style>
  <w:style w:type="paragraph" w:customStyle="1" w:styleId="55-">
    <w:name w:val="标题55-表标"/>
    <w:basedOn w:val="a6"/>
    <w:next w:val="a6"/>
    <w:link w:val="55-Char"/>
    <w:qFormat/>
    <w:pPr>
      <w:tabs>
        <w:tab w:val="left" w:pos="540"/>
        <w:tab w:val="left" w:pos="600"/>
        <w:tab w:val="left" w:pos="720"/>
        <w:tab w:val="left" w:pos="1200"/>
        <w:tab w:val="left" w:pos="1440"/>
        <w:tab w:val="left" w:pos="2448"/>
        <w:tab w:val="left" w:pos="3000"/>
        <w:tab w:val="left" w:pos="3888"/>
        <w:tab w:val="left" w:pos="4800"/>
        <w:tab w:val="left" w:pos="5040"/>
        <w:tab w:val="left" w:pos="5883"/>
        <w:tab w:val="left" w:pos="6300"/>
        <w:tab w:val="left" w:pos="7353"/>
        <w:tab w:val="left" w:pos="8613"/>
      </w:tabs>
      <w:autoSpaceDE w:val="0"/>
      <w:autoSpaceDN w:val="0"/>
      <w:adjustRightInd w:val="0"/>
      <w:spacing w:line="360" w:lineRule="auto"/>
      <w:jc w:val="center"/>
      <w:textAlignment w:val="baseline"/>
    </w:pPr>
    <w:rPr>
      <w:rFonts w:ascii="黑体" w:eastAsia="黑体" w:hAnsi="宋体"/>
      <w:kern w:val="0"/>
      <w:sz w:val="24"/>
      <w:szCs w:val="20"/>
    </w:rPr>
  </w:style>
  <w:style w:type="character" w:customStyle="1" w:styleId="Charfff5">
    <w:name w:val="样式 兴化美联正文样式 + 红色 Char"/>
    <w:link w:val="afffffe"/>
    <w:qFormat/>
    <w:rPr>
      <w:rFonts w:ascii="宋体" w:hAnsi="宋体" w:cs="宋体"/>
      <w:color w:val="FF0000"/>
      <w:kern w:val="2"/>
      <w:sz w:val="24"/>
      <w:szCs w:val="24"/>
    </w:rPr>
  </w:style>
  <w:style w:type="paragraph" w:customStyle="1" w:styleId="afffffe">
    <w:name w:val="样式 兴化美联正文样式 + 红色"/>
    <w:link w:val="Charfff5"/>
    <w:qFormat/>
    <w:rPr>
      <w:color w:val="FF0000"/>
      <w:kern w:val="2"/>
    </w:rPr>
  </w:style>
  <w:style w:type="paragraph" w:customStyle="1" w:styleId="affffff">
    <w:name w:val="兴化美联正文样式"/>
    <w:basedOn w:val="a6"/>
    <w:link w:val="Charfff6"/>
    <w:qFormat/>
    <w:pPr>
      <w:widowControl/>
      <w:spacing w:line="360" w:lineRule="auto"/>
      <w:ind w:firstLineChars="200" w:firstLine="480"/>
      <w:jc w:val="left"/>
    </w:pPr>
    <w:rPr>
      <w:rFonts w:ascii="宋体" w:hAnsi="宋体"/>
      <w:kern w:val="0"/>
      <w:sz w:val="24"/>
    </w:rPr>
  </w:style>
  <w:style w:type="character" w:customStyle="1" w:styleId="Charfff6">
    <w:name w:val="兴化美联正文样式 Char"/>
    <w:link w:val="affffff"/>
    <w:qFormat/>
    <w:rPr>
      <w:rFonts w:ascii="宋体" w:hAnsi="宋体" w:cs="宋体"/>
      <w:sz w:val="24"/>
      <w:szCs w:val="24"/>
    </w:rPr>
  </w:style>
  <w:style w:type="character" w:customStyle="1" w:styleId="neiyetest1">
    <w:name w:val="neiyetest1"/>
    <w:qFormat/>
    <w:rPr>
      <w:rFonts w:ascii="ˎ̥" w:hAnsi="ˎ̥" w:hint="default"/>
      <w:color w:val="000000"/>
      <w:sz w:val="20"/>
      <w:szCs w:val="20"/>
    </w:rPr>
  </w:style>
  <w:style w:type="character" w:customStyle="1" w:styleId="52CharChar">
    <w:name w:val="样式 5 + 首行缩进:  2 字符 Char Char"/>
    <w:link w:val="520"/>
    <w:qFormat/>
    <w:rPr>
      <w:rFonts w:ascii="楷体_GB2312" w:eastAsia="楷体_GB2312" w:hAnsi="宋体"/>
      <w:color w:val="000000"/>
      <w:spacing w:val="-2"/>
      <w:w w:val="110"/>
      <w:sz w:val="30"/>
      <w:szCs w:val="30"/>
    </w:rPr>
  </w:style>
  <w:style w:type="paragraph" w:customStyle="1" w:styleId="520">
    <w:name w:val="样式 5 + 首行缩进:  2 字符"/>
    <w:basedOn w:val="a6"/>
    <w:link w:val="52CharChar"/>
    <w:qFormat/>
    <w:pPr>
      <w:ind w:firstLineChars="200" w:firstLine="592"/>
    </w:pPr>
    <w:rPr>
      <w:rFonts w:ascii="楷体_GB2312" w:eastAsia="楷体_GB2312" w:hAnsi="宋体"/>
      <w:color w:val="000000"/>
      <w:spacing w:val="-2"/>
      <w:w w:val="110"/>
      <w:kern w:val="0"/>
      <w:sz w:val="30"/>
      <w:szCs w:val="30"/>
    </w:rPr>
  </w:style>
  <w:style w:type="character" w:customStyle="1" w:styleId="01Char">
    <w:name w:val="正文01 Char"/>
    <w:qFormat/>
    <w:rPr>
      <w:rFonts w:eastAsia="宋体"/>
      <w:kern w:val="2"/>
      <w:sz w:val="24"/>
      <w:szCs w:val="24"/>
      <w:lang w:val="en-US" w:eastAsia="zh-CN" w:bidi="ar-SA"/>
    </w:rPr>
  </w:style>
  <w:style w:type="character" w:customStyle="1" w:styleId="CharCharChar50">
    <w:name w:val="正文首行缩进 Char Char Char5"/>
    <w:qFormat/>
    <w:rPr>
      <w:rFonts w:eastAsia="宋体"/>
      <w:kern w:val="2"/>
      <w:sz w:val="21"/>
      <w:szCs w:val="24"/>
      <w:lang w:val="en-US" w:eastAsia="zh-CN" w:bidi="ar-SA"/>
    </w:rPr>
  </w:style>
  <w:style w:type="character" w:customStyle="1" w:styleId="CharChar50">
    <w:name w:val="Char Char5"/>
    <w:qFormat/>
    <w:rPr>
      <w:rFonts w:eastAsia="宋体"/>
      <w:kern w:val="2"/>
      <w:sz w:val="18"/>
      <w:lang w:val="en-US" w:eastAsia="zh-CN" w:bidi="ar-SA"/>
    </w:rPr>
  </w:style>
  <w:style w:type="character" w:customStyle="1" w:styleId="CharCharCharChar2">
    <w:name w:val="正文(首行缩进) Char Char Char Char"/>
    <w:qFormat/>
    <w:rPr>
      <w:rFonts w:eastAsia="宋体"/>
      <w:snapToGrid/>
      <w:color w:val="000000"/>
      <w:sz w:val="24"/>
      <w:szCs w:val="24"/>
      <w:lang w:val="en-US" w:eastAsia="zh-CN" w:bidi="ar-SA"/>
    </w:rPr>
  </w:style>
  <w:style w:type="character" w:customStyle="1" w:styleId="1CharChar2">
    <w:name w:val="1报告正文 Char Char"/>
    <w:link w:val="1f9"/>
    <w:qFormat/>
    <w:rPr>
      <w:color w:val="000000"/>
      <w:kern w:val="2"/>
      <w:sz w:val="24"/>
      <w:szCs w:val="21"/>
    </w:rPr>
  </w:style>
  <w:style w:type="paragraph" w:customStyle="1" w:styleId="1f9">
    <w:name w:val="1报告正文"/>
    <w:basedOn w:val="a6"/>
    <w:link w:val="1CharChar2"/>
    <w:qFormat/>
    <w:pPr>
      <w:adjustRightInd w:val="0"/>
      <w:snapToGrid w:val="0"/>
      <w:spacing w:line="440" w:lineRule="exact"/>
      <w:ind w:firstLine="480"/>
    </w:pPr>
    <w:rPr>
      <w:color w:val="000000"/>
      <w:sz w:val="24"/>
      <w:szCs w:val="21"/>
    </w:rPr>
  </w:style>
  <w:style w:type="character" w:customStyle="1" w:styleId="affffff0">
    <w:name w:val="下标"/>
    <w:qFormat/>
    <w:rPr>
      <w:sz w:val="24"/>
      <w:vertAlign w:val="subscript"/>
    </w:rPr>
  </w:style>
  <w:style w:type="character" w:customStyle="1" w:styleId="4CharChar0">
    <w:name w:val="样式4 Char Char"/>
    <w:qFormat/>
    <w:rPr>
      <w:rFonts w:ascii="黑体" w:eastAsia="黑体"/>
      <w:kern w:val="2"/>
      <w:sz w:val="24"/>
    </w:rPr>
  </w:style>
  <w:style w:type="character" w:customStyle="1" w:styleId="Charfff7">
    <w:name w:val="文章正文 Char"/>
    <w:link w:val="affffff1"/>
    <w:qFormat/>
    <w:rPr>
      <w:kern w:val="2"/>
      <w:sz w:val="24"/>
      <w:szCs w:val="24"/>
    </w:rPr>
  </w:style>
  <w:style w:type="paragraph" w:customStyle="1" w:styleId="affffff1">
    <w:name w:val="文章正文"/>
    <w:basedOn w:val="a6"/>
    <w:link w:val="Charfff7"/>
    <w:qFormat/>
    <w:pPr>
      <w:spacing w:line="360" w:lineRule="auto"/>
      <w:ind w:firstLineChars="200" w:firstLine="480"/>
    </w:pPr>
    <w:rPr>
      <w:sz w:val="24"/>
    </w:rPr>
  </w:style>
  <w:style w:type="character" w:customStyle="1" w:styleId="Charfff8">
    <w:name w:val="标题四 Char"/>
    <w:link w:val="affffff2"/>
    <w:qFormat/>
    <w:rPr>
      <w:rFonts w:ascii="楷体_GB2312" w:eastAsia="楷体_GB2312"/>
      <w:b/>
      <w:sz w:val="24"/>
      <w:szCs w:val="24"/>
    </w:rPr>
  </w:style>
  <w:style w:type="paragraph" w:customStyle="1" w:styleId="affffff2">
    <w:name w:val="标题四"/>
    <w:basedOn w:val="affff4"/>
    <w:link w:val="Charfff8"/>
    <w:qFormat/>
    <w:pPr>
      <w:ind w:firstLineChars="0" w:firstLine="0"/>
    </w:pPr>
    <w:rPr>
      <w:rFonts w:hAnsi="Times New Roman"/>
      <w:b/>
      <w:color w:val="auto"/>
      <w:w w:val="100"/>
    </w:rPr>
  </w:style>
  <w:style w:type="character" w:customStyle="1" w:styleId="EmailStyle4881">
    <w:name w:val="EmailStyle4881"/>
    <w:qFormat/>
    <w:rPr>
      <w:rFonts w:ascii="Arial" w:eastAsia="宋体" w:hAnsi="Arial" w:cs="Arial"/>
      <w:color w:val="auto"/>
      <w:sz w:val="20"/>
    </w:rPr>
  </w:style>
  <w:style w:type="character" w:customStyle="1" w:styleId="FontStyle347">
    <w:name w:val="Font Style347"/>
    <w:qFormat/>
    <w:rPr>
      <w:rFonts w:ascii="Times New Roman" w:hAnsi="Times New Roman" w:cs="Times New Roman"/>
      <w:sz w:val="14"/>
      <w:szCs w:val="14"/>
    </w:rPr>
  </w:style>
  <w:style w:type="character" w:customStyle="1" w:styleId="CharCharCharChar3">
    <w:name w:val="正文小四 Char Char Char Char"/>
    <w:qFormat/>
    <w:rPr>
      <w:rFonts w:ascii="宋体" w:eastAsia="宋体" w:hAnsi="宋体"/>
      <w:kern w:val="2"/>
      <w:sz w:val="24"/>
      <w:szCs w:val="24"/>
      <w:lang w:val="en-US" w:eastAsia="zh-CN" w:bidi="ar-SA"/>
    </w:rPr>
  </w:style>
  <w:style w:type="character" w:customStyle="1" w:styleId="11Char">
    <w:name w:val="1.1二级标题 Char"/>
    <w:link w:val="112"/>
    <w:qFormat/>
    <w:rPr>
      <w:rFonts w:eastAsia="黑体"/>
      <w:b/>
      <w:kern w:val="2"/>
      <w:sz w:val="30"/>
    </w:rPr>
  </w:style>
  <w:style w:type="paragraph" w:customStyle="1" w:styleId="112">
    <w:name w:val="1.1二级标题"/>
    <w:basedOn w:val="a6"/>
    <w:link w:val="11Char"/>
    <w:qFormat/>
    <w:pPr>
      <w:spacing w:beforeLines="50" w:line="360" w:lineRule="auto"/>
      <w:outlineLvl w:val="1"/>
    </w:pPr>
    <w:rPr>
      <w:rFonts w:eastAsia="黑体"/>
      <w:b/>
      <w:sz w:val="30"/>
      <w:szCs w:val="20"/>
    </w:rPr>
  </w:style>
  <w:style w:type="character" w:customStyle="1" w:styleId="Charfff9">
    <w:name w:val="正文 + 宋体 Char"/>
    <w:qFormat/>
    <w:rPr>
      <w:rFonts w:ascii="宋体" w:eastAsia="宋体" w:hAnsi="宋体" w:cs="宋体"/>
      <w:sz w:val="24"/>
      <w:szCs w:val="24"/>
      <w:lang w:val="en-US" w:eastAsia="zh-CN" w:bidi="ar-SA"/>
    </w:rPr>
  </w:style>
  <w:style w:type="character" w:customStyle="1" w:styleId="5CharCharChar">
    <w:name w:val="样式 表内小5 + 黑体 加粗 倾斜 下划线 Char Char Char"/>
    <w:qFormat/>
    <w:rPr>
      <w:rFonts w:ascii="黑体" w:eastAsia="黑体" w:hAnsi="黑体"/>
      <w:b/>
      <w:bCs/>
      <w:i/>
      <w:iCs/>
      <w:kern w:val="2"/>
      <w:sz w:val="21"/>
      <w:szCs w:val="21"/>
      <w:u w:val="single"/>
      <w:lang w:val="en-US" w:eastAsia="zh-CN" w:bidi="ar-SA"/>
    </w:rPr>
  </w:style>
  <w:style w:type="character" w:customStyle="1" w:styleId="4Char1">
    <w:name w:val="可研报告标题4 Char"/>
    <w:link w:val="4d"/>
    <w:qFormat/>
    <w:rPr>
      <w:rFonts w:ascii="黑体" w:eastAsia="黑体"/>
      <w:b/>
      <w:kern w:val="2"/>
      <w:sz w:val="28"/>
    </w:rPr>
  </w:style>
  <w:style w:type="paragraph" w:customStyle="1" w:styleId="4d">
    <w:name w:val="可研报告标题4"/>
    <w:basedOn w:val="a6"/>
    <w:next w:val="a6"/>
    <w:link w:val="4Char1"/>
    <w:qFormat/>
    <w:pPr>
      <w:spacing w:line="360" w:lineRule="auto"/>
    </w:pPr>
    <w:rPr>
      <w:rFonts w:ascii="黑体" w:eastAsia="黑体"/>
      <w:b/>
      <w:sz w:val="28"/>
      <w:szCs w:val="20"/>
    </w:rPr>
  </w:style>
  <w:style w:type="character" w:customStyle="1" w:styleId="bb">
    <w:name w:val="bb"/>
    <w:qFormat/>
  </w:style>
  <w:style w:type="character" w:customStyle="1" w:styleId="CharCharCharCharCharCharCharCharChar0">
    <w:name w:val="普通文字 Char Char Char Char Char Char Char Char Char"/>
    <w:qFormat/>
    <w:rPr>
      <w:rFonts w:ascii="宋体" w:eastAsia="宋体" w:hAnsi="宋体" w:cs="宋体"/>
      <w:spacing w:val="15"/>
      <w:sz w:val="18"/>
      <w:szCs w:val="18"/>
      <w:lang w:val="en-US" w:eastAsia="zh-CN" w:bidi="ar-SA"/>
    </w:rPr>
  </w:style>
  <w:style w:type="character" w:customStyle="1" w:styleId="CharChare">
    <w:name w:val="表格内容 Char Char"/>
    <w:qFormat/>
    <w:rPr>
      <w:rFonts w:ascii="宋体" w:eastAsia="宋体" w:hAnsi="Courier New" w:cs="Courier New"/>
      <w:kern w:val="2"/>
      <w:sz w:val="21"/>
      <w:szCs w:val="21"/>
      <w:lang w:val="en-US" w:eastAsia="zh-CN" w:bidi="ar-SA"/>
    </w:rPr>
  </w:style>
  <w:style w:type="character" w:customStyle="1" w:styleId="112CharChar">
    <w:name w:val="1.1标题2 Char Char"/>
    <w:qFormat/>
    <w:rPr>
      <w:rFonts w:ascii="Arial" w:eastAsia="黑体" w:hAnsi="Arial"/>
      <w:b/>
      <w:kern w:val="2"/>
      <w:sz w:val="32"/>
      <w:lang w:val="en-US" w:eastAsia="zh-CN"/>
    </w:rPr>
  </w:style>
  <w:style w:type="character" w:customStyle="1" w:styleId="4CharCharChar">
    <w:name w:val="样式4 Char Char Char"/>
    <w:qFormat/>
    <w:rPr>
      <w:rFonts w:ascii="Times New Roman" w:eastAsia="黑体" w:hAnsi="Arial" w:cs="Times New Roman"/>
      <w:b/>
      <w:kern w:val="24"/>
      <w:sz w:val="24"/>
      <w:szCs w:val="24"/>
    </w:rPr>
  </w:style>
  <w:style w:type="character" w:customStyle="1" w:styleId="11Char0">
    <w:name w:val="样式 1.1二级标题 Char"/>
    <w:link w:val="113"/>
    <w:qFormat/>
    <w:rPr>
      <w:rFonts w:ascii="宋体" w:hAnsi="宋体"/>
      <w:b/>
      <w:kern w:val="2"/>
      <w:sz w:val="30"/>
      <w:szCs w:val="30"/>
      <w:lang w:val="zh-CN"/>
    </w:rPr>
  </w:style>
  <w:style w:type="paragraph" w:customStyle="1" w:styleId="113">
    <w:name w:val="样式 1.1二级标题"/>
    <w:basedOn w:val="112"/>
    <w:link w:val="11Char0"/>
    <w:qFormat/>
    <w:pPr>
      <w:spacing w:beforeLines="0"/>
    </w:pPr>
    <w:rPr>
      <w:rFonts w:ascii="宋体" w:eastAsia="宋体" w:hAnsi="宋体"/>
      <w:szCs w:val="30"/>
      <w:lang w:val="zh-CN"/>
    </w:rPr>
  </w:style>
  <w:style w:type="character" w:customStyle="1" w:styleId="hei21">
    <w:name w:val="hei21"/>
    <w:qFormat/>
    <w:rPr>
      <w:color w:val="000000"/>
      <w:sz w:val="18"/>
      <w:szCs w:val="18"/>
    </w:rPr>
  </w:style>
  <w:style w:type="character" w:customStyle="1" w:styleId="CharCharChar7">
    <w:name w:val="报告书正文 Char Char Char"/>
    <w:qFormat/>
    <w:rPr>
      <w:rFonts w:eastAsia="宋体"/>
      <w:kern w:val="2"/>
      <w:sz w:val="24"/>
      <w:szCs w:val="24"/>
      <w:lang w:val="en-US" w:eastAsia="zh-CN" w:bidi="ar-SA"/>
    </w:rPr>
  </w:style>
  <w:style w:type="character" w:customStyle="1" w:styleId="CharChar15">
    <w:name w:val="Char Char15"/>
    <w:qFormat/>
    <w:rPr>
      <w:rFonts w:eastAsia="宋体"/>
      <w:color w:val="000000"/>
      <w:kern w:val="2"/>
      <w:sz w:val="24"/>
      <w:szCs w:val="24"/>
      <w:lang w:val="en-US" w:eastAsia="zh-CN" w:bidi="ar-SA"/>
    </w:rPr>
  </w:style>
  <w:style w:type="character" w:customStyle="1" w:styleId="ca-31">
    <w:name w:val="ca-31"/>
    <w:qFormat/>
    <w:rPr>
      <w:rFonts w:ascii="宋体" w:eastAsia="宋体" w:hAnsi="宋体" w:hint="eastAsia"/>
      <w:color w:val="FF0000"/>
      <w:sz w:val="14"/>
      <w:szCs w:val="14"/>
    </w:rPr>
  </w:style>
  <w:style w:type="character" w:customStyle="1" w:styleId="HTML10">
    <w:name w:val="HTML 样本1"/>
    <w:qFormat/>
    <w:rPr>
      <w:rFonts w:ascii="Courier New" w:eastAsia="宋体" w:hAnsi="Courier New" w:cs="Courier New"/>
      <w:kern w:val="2"/>
      <w:sz w:val="32"/>
      <w:szCs w:val="32"/>
      <w:lang w:val="en-US" w:eastAsia="zh-CN"/>
    </w:rPr>
  </w:style>
  <w:style w:type="character" w:customStyle="1" w:styleId="Charfffa">
    <w:name w:val="环保专篇 Char"/>
    <w:qFormat/>
    <w:rPr>
      <w:rFonts w:eastAsia="宋体"/>
      <w:kern w:val="2"/>
      <w:sz w:val="24"/>
      <w:szCs w:val="24"/>
      <w:lang w:val="en-US" w:eastAsia="zh-CN" w:bidi="ar-SA"/>
    </w:rPr>
  </w:style>
  <w:style w:type="character" w:customStyle="1" w:styleId="newsbt2">
    <w:name w:val="newsbt2"/>
    <w:qFormat/>
  </w:style>
  <w:style w:type="character" w:customStyle="1" w:styleId="111CharChar">
    <w:name w:val="样式1.1.1三级标题 Char Char"/>
    <w:qFormat/>
    <w:rPr>
      <w:rFonts w:ascii="宋体" w:eastAsia="宋体" w:hAnsi="宋体"/>
      <w:b/>
      <w:sz w:val="28"/>
      <w:lang w:val="en-US" w:eastAsia="zh-CN" w:bidi="ar-SA"/>
    </w:rPr>
  </w:style>
  <w:style w:type="character" w:customStyle="1" w:styleId="Char1d">
    <w:name w:val="正文格式－文字 Char1"/>
    <w:link w:val="affffff3"/>
    <w:qFormat/>
    <w:rPr>
      <w:rFonts w:ascii="宋体" w:hAnsi="宋体"/>
      <w:bCs/>
      <w:kern w:val="2"/>
      <w:sz w:val="24"/>
      <w:szCs w:val="24"/>
    </w:rPr>
  </w:style>
  <w:style w:type="paragraph" w:customStyle="1" w:styleId="affffff3">
    <w:name w:val="正文格式－文字"/>
    <w:basedOn w:val="a6"/>
    <w:link w:val="Char1d"/>
    <w:qFormat/>
    <w:pPr>
      <w:autoSpaceDE w:val="0"/>
      <w:autoSpaceDN w:val="0"/>
      <w:spacing w:beforeLines="50" w:afterLines="50" w:line="300" w:lineRule="auto"/>
      <w:ind w:firstLine="482"/>
    </w:pPr>
    <w:rPr>
      <w:rFonts w:ascii="宋体" w:hAnsi="宋体"/>
      <w:bCs/>
      <w:sz w:val="24"/>
    </w:rPr>
  </w:style>
  <w:style w:type="character" w:customStyle="1" w:styleId="Char1e">
    <w:name w:val="结束语 Char1"/>
    <w:uiPriority w:val="99"/>
    <w:qFormat/>
    <w:rPr>
      <w:kern w:val="2"/>
      <w:sz w:val="21"/>
      <w:szCs w:val="24"/>
    </w:rPr>
  </w:style>
  <w:style w:type="character" w:customStyle="1" w:styleId="CharCharf">
    <w:name w:val="紧缩文字 Char Char"/>
    <w:qFormat/>
    <w:rPr>
      <w:rFonts w:ascii="仿宋_GB2312" w:eastAsia="仿宋_GB2312" w:hAnsi="宋体"/>
      <w:color w:val="3366FF"/>
      <w:kern w:val="2"/>
      <w:sz w:val="24"/>
      <w:szCs w:val="24"/>
      <w:lang w:val="en-US" w:eastAsia="zh-CN" w:bidi="ar-SA"/>
    </w:rPr>
  </w:style>
  <w:style w:type="character" w:customStyle="1" w:styleId="01CharChar">
    <w:name w:val="01 Char Char"/>
    <w:link w:val="01"/>
    <w:qFormat/>
    <w:rPr>
      <w:kern w:val="2"/>
      <w:sz w:val="24"/>
    </w:rPr>
  </w:style>
  <w:style w:type="paragraph" w:customStyle="1" w:styleId="01">
    <w:name w:val="01"/>
    <w:basedOn w:val="a6"/>
    <w:link w:val="01CharChar"/>
    <w:qFormat/>
    <w:pPr>
      <w:spacing w:line="360" w:lineRule="auto"/>
      <w:ind w:firstLineChars="200" w:firstLine="480"/>
    </w:pPr>
    <w:rPr>
      <w:sz w:val="24"/>
      <w:szCs w:val="20"/>
    </w:rPr>
  </w:style>
  <w:style w:type="character" w:customStyle="1" w:styleId="6Char0">
    <w:name w:val="样式 标题 6 Char"/>
    <w:link w:val="64"/>
    <w:qFormat/>
    <w:rPr>
      <w:snapToGrid/>
      <w:color w:val="000000"/>
      <w:sz w:val="28"/>
    </w:rPr>
  </w:style>
  <w:style w:type="paragraph" w:customStyle="1" w:styleId="64">
    <w:name w:val="样式 标题 6"/>
    <w:basedOn w:val="6"/>
    <w:link w:val="6Char0"/>
    <w:qFormat/>
    <w:pPr>
      <w:keepLines w:val="0"/>
      <w:tabs>
        <w:tab w:val="clear" w:pos="1185"/>
      </w:tabs>
      <w:adjustRightInd w:val="0"/>
      <w:spacing w:beforeLines="0" w:before="0" w:line="360" w:lineRule="auto"/>
      <w:ind w:left="0" w:firstLineChars="200" w:firstLine="560"/>
    </w:pPr>
    <w:rPr>
      <w:snapToGrid w:val="0"/>
      <w:color w:val="000000"/>
      <w:spacing w:val="0"/>
      <w:w w:val="100"/>
      <w:kern w:val="0"/>
    </w:rPr>
  </w:style>
  <w:style w:type="character" w:customStyle="1" w:styleId="Charfffb">
    <w:name w:val="正文（ＬＺＱ） Char"/>
    <w:link w:val="affffff4"/>
    <w:qFormat/>
    <w:rPr>
      <w:color w:val="FF0000"/>
      <w:sz w:val="24"/>
      <w:szCs w:val="24"/>
    </w:rPr>
  </w:style>
  <w:style w:type="paragraph" w:customStyle="1" w:styleId="affffff4">
    <w:name w:val="正文（ＬＺＱ）"/>
    <w:basedOn w:val="a6"/>
    <w:link w:val="Charfffb"/>
    <w:qFormat/>
    <w:pPr>
      <w:adjustRightInd w:val="0"/>
      <w:spacing w:line="500" w:lineRule="exact"/>
      <w:ind w:firstLineChars="200" w:firstLine="200"/>
      <w:jc w:val="left"/>
      <w:textAlignment w:val="baseline"/>
    </w:pPr>
    <w:rPr>
      <w:color w:val="FF0000"/>
      <w:kern w:val="0"/>
      <w:sz w:val="24"/>
    </w:rPr>
  </w:style>
  <w:style w:type="character" w:customStyle="1" w:styleId="Charfffc">
    <w:name w:val="表头(新) Char"/>
    <w:link w:val="affffff5"/>
    <w:qFormat/>
    <w:rPr>
      <w:b/>
      <w:color w:val="FF0000"/>
      <w:sz w:val="24"/>
      <w:szCs w:val="24"/>
    </w:rPr>
  </w:style>
  <w:style w:type="paragraph" w:customStyle="1" w:styleId="affffff5">
    <w:name w:val="表头(新)"/>
    <w:basedOn w:val="a6"/>
    <w:link w:val="Charfffc"/>
    <w:qFormat/>
    <w:pPr>
      <w:spacing w:beforeLines="50" w:line="240" w:lineRule="atLeast"/>
      <w:ind w:firstLine="480"/>
      <w:jc w:val="center"/>
    </w:pPr>
    <w:rPr>
      <w:b/>
      <w:color w:val="FF0000"/>
      <w:kern w:val="0"/>
      <w:sz w:val="24"/>
    </w:rPr>
  </w:style>
  <w:style w:type="character" w:customStyle="1" w:styleId="123Char">
    <w:name w:val="表头123 Char"/>
    <w:link w:val="123"/>
    <w:qFormat/>
    <w:rPr>
      <w:b/>
      <w:kern w:val="2"/>
      <w:sz w:val="24"/>
      <w:lang w:val="en-US" w:eastAsia="zh-CN" w:bidi="ar-SA"/>
    </w:rPr>
  </w:style>
  <w:style w:type="paragraph" w:customStyle="1" w:styleId="123">
    <w:name w:val="表头123"/>
    <w:link w:val="123Char"/>
    <w:qFormat/>
    <w:pPr>
      <w:jc w:val="center"/>
    </w:pPr>
    <w:rPr>
      <w:b/>
      <w:kern w:val="2"/>
      <w:sz w:val="24"/>
    </w:rPr>
  </w:style>
  <w:style w:type="character" w:customStyle="1" w:styleId="2Char9">
    <w:name w:val="样式 标题 2 + 黑色 Char"/>
    <w:link w:val="2fe"/>
    <w:qFormat/>
    <w:rPr>
      <w:rFonts w:ascii="黑体" w:eastAsia="黑体" w:hAnsi="Arial"/>
      <w:b/>
      <w:bCs/>
      <w:color w:val="000000"/>
      <w:w w:val="110"/>
      <w:kern w:val="18"/>
      <w:sz w:val="30"/>
      <w:szCs w:val="30"/>
    </w:rPr>
  </w:style>
  <w:style w:type="paragraph" w:customStyle="1" w:styleId="2fe">
    <w:name w:val="样式 标题 2 + 黑色"/>
    <w:basedOn w:val="210"/>
    <w:next w:val="2b"/>
    <w:link w:val="2Char9"/>
    <w:qFormat/>
    <w:pPr>
      <w:snapToGrid w:val="0"/>
      <w:spacing w:before="0" w:after="0" w:line="360" w:lineRule="auto"/>
    </w:pPr>
    <w:rPr>
      <w:rFonts w:ascii="黑体"/>
      <w:kern w:val="18"/>
      <w:sz w:val="30"/>
      <w:szCs w:val="30"/>
    </w:rPr>
  </w:style>
  <w:style w:type="character" w:customStyle="1" w:styleId="affffff6">
    <w:name w:val="Подзаголовок главы Знак"/>
    <w:link w:val="affffff7"/>
    <w:qFormat/>
    <w:rPr>
      <w:rFonts w:ascii="Arial Narrow" w:hAnsi="Arial Narrow"/>
      <w:b/>
      <w:sz w:val="24"/>
      <w:lang w:eastAsia="ru-RU"/>
    </w:rPr>
  </w:style>
  <w:style w:type="paragraph" w:customStyle="1" w:styleId="affffff7">
    <w:name w:val="Подзаголовок главы"/>
    <w:basedOn w:val="a6"/>
    <w:link w:val="affffff6"/>
    <w:qFormat/>
    <w:pPr>
      <w:widowControl/>
      <w:ind w:firstLine="720"/>
    </w:pPr>
    <w:rPr>
      <w:rFonts w:ascii="Arial Narrow" w:hAnsi="Arial Narrow"/>
      <w:b/>
      <w:kern w:val="0"/>
      <w:sz w:val="24"/>
      <w:szCs w:val="20"/>
      <w:lang w:eastAsia="ru-RU"/>
    </w:rPr>
  </w:style>
  <w:style w:type="character" w:customStyle="1" w:styleId="Charfffd">
    <w:name w:val="报告 Char"/>
    <w:qFormat/>
    <w:rPr>
      <w:rFonts w:hAnsi="宋体"/>
      <w:kern w:val="24"/>
      <w:sz w:val="24"/>
    </w:rPr>
  </w:style>
  <w:style w:type="character" w:customStyle="1" w:styleId="11111Char">
    <w:name w:val="11111 Char"/>
    <w:link w:val="11111"/>
    <w:qFormat/>
    <w:rPr>
      <w:rFonts w:ascii="宋体" w:hAnsi="宋体"/>
      <w:kern w:val="2"/>
      <w:sz w:val="24"/>
      <w:szCs w:val="24"/>
    </w:rPr>
  </w:style>
  <w:style w:type="paragraph" w:customStyle="1" w:styleId="11111">
    <w:name w:val="11111"/>
    <w:basedOn w:val="39"/>
    <w:link w:val="11111Char"/>
    <w:qFormat/>
    <w:pPr>
      <w:adjustRightInd/>
      <w:snapToGrid/>
      <w:spacing w:line="500" w:lineRule="exact"/>
      <w:ind w:firstLineChars="0" w:firstLine="0"/>
    </w:pPr>
    <w:rPr>
      <w:rFonts w:hAnsi="宋体"/>
      <w:color w:val="auto"/>
      <w:sz w:val="24"/>
    </w:rPr>
  </w:style>
  <w:style w:type="character" w:customStyle="1" w:styleId="zw1">
    <w:name w:val="zw1"/>
    <w:qFormat/>
    <w:rPr>
      <w:rFonts w:ascii="宋体" w:eastAsia="宋体" w:hAnsi="宋体" w:hint="eastAsia"/>
      <w:sz w:val="22"/>
      <w:szCs w:val="22"/>
    </w:rPr>
  </w:style>
  <w:style w:type="character" w:customStyle="1" w:styleId="trans">
    <w:name w:val="trans"/>
    <w:qFormat/>
  </w:style>
  <w:style w:type="character" w:customStyle="1" w:styleId="EmailStyle38131">
    <w:name w:val="EmailStyle38131"/>
    <w:semiHidden/>
    <w:qFormat/>
    <w:rPr>
      <w:rFonts w:ascii="Arial" w:hAnsi="Arial" w:cs="Arial"/>
      <w:color w:val="auto"/>
      <w:sz w:val="22"/>
      <w:szCs w:val="22"/>
      <w:u w:val="none"/>
    </w:rPr>
  </w:style>
  <w:style w:type="character" w:customStyle="1" w:styleId="dandan6-13CharChar">
    <w:name w:val="样式 dandan6-13四级以下 + Char Char"/>
    <w:qFormat/>
    <w:rPr>
      <w:rFonts w:eastAsia="仿宋_GB2312"/>
      <w:b/>
      <w:bCs/>
      <w:sz w:val="24"/>
      <w:szCs w:val="24"/>
    </w:rPr>
  </w:style>
  <w:style w:type="character" w:customStyle="1" w:styleId="CharCharCharChar5">
    <w:name w:val="表底说明 Char Char Char Char"/>
    <w:qFormat/>
    <w:rPr>
      <w:sz w:val="18"/>
      <w:szCs w:val="24"/>
    </w:rPr>
  </w:style>
  <w:style w:type="character" w:customStyle="1" w:styleId="style121">
    <w:name w:val="style121"/>
    <w:qFormat/>
    <w:rPr>
      <w:sz w:val="14"/>
      <w:szCs w:val="14"/>
      <w:u w:val="none"/>
      <w:vertAlign w:val="superscript"/>
    </w:rPr>
  </w:style>
  <w:style w:type="character" w:customStyle="1" w:styleId="Charfffe">
    <w:name w:val="短简表 Char"/>
    <w:link w:val="a5"/>
    <w:qFormat/>
    <w:rPr>
      <w:kern w:val="2"/>
      <w:sz w:val="24"/>
      <w:szCs w:val="24"/>
    </w:rPr>
  </w:style>
  <w:style w:type="paragraph" w:customStyle="1" w:styleId="a5">
    <w:name w:val="短简表"/>
    <w:basedOn w:val="a6"/>
    <w:link w:val="Charfffe"/>
    <w:qFormat/>
    <w:pPr>
      <w:numPr>
        <w:numId w:val="7"/>
      </w:numPr>
      <w:tabs>
        <w:tab w:val="clear" w:pos="525"/>
      </w:tabs>
      <w:adjustRightInd w:val="0"/>
      <w:snapToGrid w:val="0"/>
      <w:spacing w:before="120" w:after="120"/>
      <w:ind w:leftChars="245" w:left="1068" w:hangingChars="200" w:hanging="480"/>
    </w:pPr>
    <w:rPr>
      <w:sz w:val="24"/>
    </w:rPr>
  </w:style>
  <w:style w:type="character" w:customStyle="1" w:styleId="CharCharf0">
    <w:name w:val="文字 Char Char"/>
    <w:qFormat/>
    <w:rPr>
      <w:rFonts w:ascii="宋体" w:hAnsi="宋体"/>
      <w:sz w:val="28"/>
      <w:szCs w:val="28"/>
    </w:rPr>
  </w:style>
  <w:style w:type="character" w:customStyle="1" w:styleId="CharCharCharChar20">
    <w:name w:val="题注 Char Char Char Char2"/>
    <w:qFormat/>
    <w:rPr>
      <w:rFonts w:ascii="Arial" w:eastAsia="黑体" w:hAnsi="Arial" w:cs="Arial"/>
      <w:kern w:val="2"/>
      <w:lang w:val="en-US" w:eastAsia="zh-CN" w:bidi="ar-SA"/>
    </w:rPr>
  </w:style>
  <w:style w:type="character" w:customStyle="1" w:styleId="4CharChar1">
    <w:name w:val="4 Char Char"/>
    <w:link w:val="4e"/>
    <w:qFormat/>
    <w:rPr>
      <w:rFonts w:eastAsia="方正仿宋简体"/>
      <w:w w:val="80"/>
      <w:szCs w:val="24"/>
    </w:rPr>
  </w:style>
  <w:style w:type="paragraph" w:customStyle="1" w:styleId="4e">
    <w:name w:val="4"/>
    <w:basedOn w:val="a6"/>
    <w:next w:val="af8"/>
    <w:link w:val="4CharChar1"/>
    <w:qFormat/>
    <w:pPr>
      <w:spacing w:line="240" w:lineRule="exact"/>
      <w:jc w:val="center"/>
    </w:pPr>
    <w:rPr>
      <w:rFonts w:eastAsia="方正仿宋简体"/>
      <w:w w:val="80"/>
      <w:kern w:val="0"/>
      <w:sz w:val="20"/>
    </w:rPr>
  </w:style>
  <w:style w:type="character" w:customStyle="1" w:styleId="content1">
    <w:name w:val="content1"/>
    <w:qFormat/>
    <w:rPr>
      <w:sz w:val="21"/>
      <w:szCs w:val="21"/>
    </w:rPr>
  </w:style>
  <w:style w:type="character" w:customStyle="1" w:styleId="CharCharChar21">
    <w:name w:val="Char Char Char2"/>
    <w:qFormat/>
    <w:rPr>
      <w:rFonts w:ascii="宋体" w:eastAsia="宋体" w:hAnsi="宋体"/>
      <w:b/>
      <w:bCs/>
      <w:kern w:val="44"/>
      <w:sz w:val="30"/>
      <w:szCs w:val="44"/>
      <w:lang w:val="en-US" w:eastAsia="zh-CN" w:bidi="ar-SA"/>
    </w:rPr>
  </w:style>
  <w:style w:type="character" w:customStyle="1" w:styleId="5CharChar">
    <w:name w:val="5级正文 Char Char"/>
    <w:link w:val="5a"/>
    <w:qFormat/>
    <w:rPr>
      <w:rFonts w:ascii="宋体"/>
      <w:b/>
      <w:kern w:val="2"/>
      <w:sz w:val="24"/>
    </w:rPr>
  </w:style>
  <w:style w:type="paragraph" w:customStyle="1" w:styleId="5a">
    <w:name w:val="5级正文"/>
    <w:basedOn w:val="a6"/>
    <w:link w:val="5CharChar"/>
    <w:qFormat/>
    <w:pPr>
      <w:tabs>
        <w:tab w:val="left" w:pos="420"/>
      </w:tabs>
      <w:spacing w:line="360" w:lineRule="auto"/>
      <w:ind w:firstLineChars="200" w:firstLine="200"/>
      <w:outlineLvl w:val="4"/>
    </w:pPr>
    <w:rPr>
      <w:rFonts w:ascii="宋体"/>
      <w:b/>
      <w:sz w:val="24"/>
      <w:szCs w:val="20"/>
    </w:rPr>
  </w:style>
  <w:style w:type="character" w:customStyle="1" w:styleId="2CharCharCharChar">
    <w:name w:val="样式 正文首行缩进 2 + (符号) 宋体 Char Char Char Char"/>
    <w:qFormat/>
    <w:rPr>
      <w:rFonts w:ascii="宋体"/>
      <w:sz w:val="24"/>
      <w:szCs w:val="24"/>
    </w:rPr>
  </w:style>
  <w:style w:type="character" w:customStyle="1" w:styleId="1CharChar4">
    <w:name w:val="分目录1 Char Char"/>
    <w:qFormat/>
    <w:rPr>
      <w:snapToGrid w:val="0"/>
      <w:sz w:val="28"/>
    </w:rPr>
  </w:style>
  <w:style w:type="character" w:customStyle="1" w:styleId="Char1f">
    <w:name w:val="日期 Char1"/>
    <w:qFormat/>
    <w:rPr>
      <w:rFonts w:ascii="Times New Roman" w:eastAsia="宋体" w:hAnsi="Times New Roman" w:cs="Times New Roman"/>
      <w:szCs w:val="20"/>
    </w:rPr>
  </w:style>
  <w:style w:type="character" w:customStyle="1" w:styleId="CharCharf1">
    <w:name w:val="环评 正文 Char Char"/>
    <w:link w:val="affffff8"/>
    <w:qFormat/>
    <w:rPr>
      <w:rFonts w:ascii="宋体" w:hAnsi="宋体"/>
      <w:bCs/>
      <w:kern w:val="2"/>
      <w:sz w:val="24"/>
      <w:szCs w:val="24"/>
      <w:lang w:val="zh-CN"/>
    </w:rPr>
  </w:style>
  <w:style w:type="paragraph" w:customStyle="1" w:styleId="affffff8">
    <w:name w:val="环评 正文"/>
    <w:basedOn w:val="28"/>
    <w:link w:val="CharCharf1"/>
    <w:qFormat/>
    <w:pPr>
      <w:spacing w:beforeLines="0" w:before="0" w:after="0" w:line="360" w:lineRule="auto"/>
      <w:ind w:firstLine="480"/>
    </w:pPr>
    <w:rPr>
      <w:rFonts w:ascii="宋体" w:eastAsia="宋体" w:hAnsi="宋体"/>
      <w:bCs/>
      <w:sz w:val="24"/>
      <w:lang w:val="zh-CN"/>
    </w:rPr>
  </w:style>
  <w:style w:type="character" w:customStyle="1" w:styleId="Charffff">
    <w:name w:val="第三级标题 Char"/>
    <w:link w:val="affffff9"/>
    <w:qFormat/>
    <w:rPr>
      <w:kern w:val="2"/>
      <w:sz w:val="24"/>
      <w:szCs w:val="24"/>
    </w:rPr>
  </w:style>
  <w:style w:type="paragraph" w:customStyle="1" w:styleId="affffff9">
    <w:name w:val="第三级标题"/>
    <w:basedOn w:val="a6"/>
    <w:next w:val="26"/>
    <w:link w:val="Charffff"/>
    <w:qFormat/>
    <w:pPr>
      <w:widowControl/>
      <w:spacing w:line="360" w:lineRule="auto"/>
      <w:ind w:left="709" w:hanging="709"/>
      <w:jc w:val="left"/>
      <w:outlineLvl w:val="2"/>
    </w:pPr>
    <w:rPr>
      <w:sz w:val="24"/>
    </w:rPr>
  </w:style>
  <w:style w:type="character" w:customStyle="1" w:styleId="bjh-strong">
    <w:name w:val="bjh-strong"/>
    <w:qFormat/>
  </w:style>
  <w:style w:type="character" w:customStyle="1" w:styleId="7CharChar">
    <w:name w:val="标题7 Char Char"/>
    <w:link w:val="74"/>
    <w:qFormat/>
    <w:rPr>
      <w:rFonts w:ascii="宋体" w:eastAsia="黑体"/>
      <w:kern w:val="2"/>
      <w:sz w:val="24"/>
      <w:szCs w:val="24"/>
    </w:rPr>
  </w:style>
  <w:style w:type="paragraph" w:customStyle="1" w:styleId="74">
    <w:name w:val="标题7"/>
    <w:basedOn w:val="7"/>
    <w:next w:val="a6"/>
    <w:link w:val="7CharChar"/>
    <w:qFormat/>
    <w:pPr>
      <w:framePr w:hSpace="0" w:wrap="auto" w:vAnchor="margin" w:hAnchor="text" w:xAlign="left" w:yAlign="inline"/>
      <w:tabs>
        <w:tab w:val="left" w:pos="1560"/>
      </w:tabs>
      <w:adjustRightInd w:val="0"/>
      <w:snapToGrid w:val="0"/>
      <w:spacing w:line="360" w:lineRule="auto"/>
      <w:ind w:left="1560" w:hanging="5066"/>
    </w:pPr>
    <w:rPr>
      <w:rFonts w:ascii="宋体" w:eastAsia="黑体"/>
      <w:i w:val="0"/>
      <w:iCs w:val="0"/>
      <w:sz w:val="24"/>
    </w:rPr>
  </w:style>
  <w:style w:type="character" w:customStyle="1" w:styleId="CharCharf2">
    <w:name w:val="表名 Char Char"/>
    <w:link w:val="affffffa"/>
    <w:qFormat/>
    <w:rPr>
      <w:rFonts w:ascii="宋体" w:hAnsi="宋体" w:cs="Arial Unicode MS"/>
      <w:kern w:val="2"/>
      <w:sz w:val="21"/>
      <w:szCs w:val="21"/>
    </w:rPr>
  </w:style>
  <w:style w:type="paragraph" w:customStyle="1" w:styleId="affffffa">
    <w:name w:val="表名"/>
    <w:basedOn w:val="a6"/>
    <w:link w:val="CharCharf2"/>
    <w:qFormat/>
    <w:pPr>
      <w:snapToGrid w:val="0"/>
      <w:jc w:val="center"/>
    </w:pPr>
    <w:rPr>
      <w:rFonts w:ascii="宋体" w:hAnsi="宋体"/>
      <w:szCs w:val="21"/>
    </w:rPr>
  </w:style>
  <w:style w:type="character" w:customStyle="1" w:styleId="CharChar131">
    <w:name w:val="Char Char131"/>
    <w:qFormat/>
    <w:rPr>
      <w:kern w:val="2"/>
      <w:sz w:val="18"/>
      <w:szCs w:val="18"/>
    </w:rPr>
  </w:style>
  <w:style w:type="character" w:customStyle="1" w:styleId="ArialCharCharChar">
    <w:name w:val="样式 题注 + (西文) Arial (中文) 黑体 小四 Char Char Char"/>
    <w:semiHidden/>
    <w:qFormat/>
    <w:rPr>
      <w:rFonts w:ascii="黑体" w:eastAsia="黑体" w:hAnsi="Arial" w:cs="黑体"/>
      <w:kern w:val="2"/>
      <w:sz w:val="28"/>
      <w:szCs w:val="28"/>
      <w:lang w:val="en-US" w:eastAsia="zh-CN"/>
    </w:rPr>
  </w:style>
  <w:style w:type="character" w:customStyle="1" w:styleId="description5">
    <w:name w:val="description5"/>
    <w:qFormat/>
  </w:style>
  <w:style w:type="character" w:customStyle="1" w:styleId="CharCharCharCharChar1">
    <w:name w:val="样式 图号 + 宋体 Char Char Char Char Char"/>
    <w:link w:val="CharCharCharChar6"/>
    <w:qFormat/>
    <w:rPr>
      <w:rFonts w:ascii="宋体" w:hAnsi="宋体"/>
      <w:b/>
      <w:bCs/>
      <w:kern w:val="32"/>
      <w:sz w:val="24"/>
      <w:szCs w:val="24"/>
    </w:rPr>
  </w:style>
  <w:style w:type="paragraph" w:customStyle="1" w:styleId="CharCharCharChar6">
    <w:name w:val="样式 图号 + 宋体 Char Char Char Char"/>
    <w:link w:val="CharCharCharCharChar1"/>
    <w:qFormat/>
    <w:pPr>
      <w:spacing w:line="529" w:lineRule="exact"/>
      <w:ind w:firstLineChars="200" w:firstLine="200"/>
    </w:pPr>
    <w:rPr>
      <w:rFonts w:ascii="宋体" w:hAnsi="宋体"/>
      <w:b/>
      <w:bCs/>
    </w:rPr>
  </w:style>
  <w:style w:type="paragraph" w:customStyle="1" w:styleId="affffffb">
    <w:name w:val="图号"/>
    <w:basedOn w:val="14"/>
    <w:qFormat/>
    <w:pPr>
      <w:adjustRightInd w:val="0"/>
      <w:spacing w:line="360" w:lineRule="auto"/>
      <w:ind w:left="198"/>
      <w:textAlignment w:val="baseline"/>
    </w:pPr>
    <w:rPr>
      <w:kern w:val="32"/>
      <w:sz w:val="24"/>
    </w:rPr>
  </w:style>
  <w:style w:type="character" w:customStyle="1" w:styleId="1CharChar5">
    <w:name w:val="标题 1 Char Char"/>
    <w:basedOn w:val="a7"/>
    <w:qFormat/>
  </w:style>
  <w:style w:type="character" w:customStyle="1" w:styleId="33CharChar">
    <w:name w:val="样式 标题 3标题 3 Char + 海绿 Char"/>
    <w:qFormat/>
    <w:rPr>
      <w:rFonts w:ascii="黑体" w:eastAsia="黑体"/>
      <w:color w:val="000000"/>
      <w:kern w:val="2"/>
      <w:sz w:val="24"/>
      <w:szCs w:val="28"/>
      <w:lang w:val="en-US" w:eastAsia="zh-CN" w:bidi="ar-SA"/>
    </w:rPr>
  </w:style>
  <w:style w:type="character" w:customStyle="1" w:styleId="2Char12">
    <w:name w:val="标题 2 Char1"/>
    <w:qFormat/>
    <w:rPr>
      <w:rFonts w:ascii="Calibri Light" w:eastAsia="宋体" w:hAnsi="Calibri Light" w:cs="Times New Roman"/>
      <w:b/>
      <w:bCs/>
      <w:kern w:val="2"/>
      <w:sz w:val="32"/>
      <w:szCs w:val="32"/>
    </w:rPr>
  </w:style>
  <w:style w:type="character" w:customStyle="1" w:styleId="EmailStyle518">
    <w:name w:val="EmailStyle518"/>
    <w:qFormat/>
    <w:rPr>
      <w:rFonts w:ascii="Arial" w:eastAsia="宋体" w:hAnsi="Arial" w:cs="Arial"/>
      <w:color w:val="auto"/>
      <w:sz w:val="20"/>
    </w:rPr>
  </w:style>
  <w:style w:type="character" w:customStyle="1" w:styleId="2H2Underrubrik1prop2Heading2HiddenHeading2CChar">
    <w:name w:val="样式 标题 2节H2（一）Underrubrik1prop2Heading 2 HiddenHeading 2 C... Char"/>
    <w:link w:val="2H2Underrubrik1prop2Heading2HiddenHeading2C"/>
    <w:qFormat/>
    <w:rPr>
      <w:rFonts w:ascii="宋体" w:eastAsia="宋体" w:hAnsi="宋体"/>
      <w:b/>
      <w:bCs/>
      <w:kern w:val="2"/>
      <w:position w:val="-18"/>
      <w:sz w:val="28"/>
      <w:szCs w:val="32"/>
      <w:lang w:val="en-US" w:eastAsia="zh-CN" w:bidi="ar-SA"/>
    </w:rPr>
  </w:style>
  <w:style w:type="paragraph" w:customStyle="1" w:styleId="2H2Underrubrik1prop2Heading2HiddenHeading2C">
    <w:name w:val="样式 标题 2节H2（一）Underrubrik1prop2Heading 2 HiddenHeading 2 C..."/>
    <w:basedOn w:val="22"/>
    <w:link w:val="2H2Underrubrik1prop2Heading2HiddenHeading2CChar"/>
    <w:qFormat/>
    <w:pPr>
      <w:spacing w:before="260" w:after="260" w:line="160" w:lineRule="exact"/>
    </w:pPr>
    <w:rPr>
      <w:spacing w:val="0"/>
      <w:w w:val="100"/>
      <w:kern w:val="2"/>
      <w:position w:val="-18"/>
      <w:szCs w:val="32"/>
    </w:rPr>
  </w:style>
  <w:style w:type="character" w:customStyle="1" w:styleId="Charffff0">
    <w:name w:val="正段 Char"/>
    <w:link w:val="affffffc"/>
    <w:qFormat/>
    <w:locked/>
    <w:rPr>
      <w:rFonts w:ascii="Arial" w:hAnsi="宋体" w:cs="Arial"/>
      <w:sz w:val="24"/>
      <w:szCs w:val="24"/>
      <w:lang w:val="zh-CN"/>
    </w:rPr>
  </w:style>
  <w:style w:type="paragraph" w:customStyle="1" w:styleId="affffffc">
    <w:name w:val="正段"/>
    <w:basedOn w:val="a6"/>
    <w:link w:val="Charffff0"/>
    <w:qFormat/>
    <w:pPr>
      <w:spacing w:line="360" w:lineRule="auto"/>
    </w:pPr>
    <w:rPr>
      <w:rFonts w:ascii="Arial" w:hAnsi="宋体"/>
      <w:kern w:val="0"/>
      <w:sz w:val="24"/>
      <w:lang w:val="zh-CN"/>
    </w:rPr>
  </w:style>
  <w:style w:type="character" w:customStyle="1" w:styleId="Charffff1">
    <w:name w:val="正文(首行缩进)宋旭峰 Char"/>
    <w:qFormat/>
    <w:rPr>
      <w:rFonts w:eastAsia="宋体" w:cs="TimesNewRomanPSMT"/>
      <w:snapToGrid/>
      <w:kern w:val="2"/>
      <w:sz w:val="24"/>
      <w:szCs w:val="24"/>
      <w:lang w:val="en-US" w:eastAsia="zh-CN" w:bidi="ar-SA"/>
    </w:rPr>
  </w:style>
  <w:style w:type="character" w:customStyle="1" w:styleId="hover71">
    <w:name w:val="hover71"/>
    <w:qFormat/>
    <w:rPr>
      <w:color w:val="BA0000"/>
    </w:rPr>
  </w:style>
  <w:style w:type="character" w:customStyle="1" w:styleId="Char25">
    <w:name w:val="副标题 Char2"/>
    <w:qFormat/>
    <w:rPr>
      <w:rFonts w:ascii="Cambria" w:hAnsi="Cambria" w:cs="Times New Roman"/>
      <w:b/>
      <w:bCs/>
      <w:kern w:val="28"/>
      <w:sz w:val="32"/>
      <w:szCs w:val="32"/>
    </w:rPr>
  </w:style>
  <w:style w:type="character" w:customStyle="1" w:styleId="Char33">
    <w:name w:val="尾注文本 Char3"/>
    <w:qFormat/>
    <w:rPr>
      <w:kern w:val="2"/>
      <w:sz w:val="24"/>
      <w:szCs w:val="24"/>
    </w:rPr>
  </w:style>
  <w:style w:type="character" w:customStyle="1" w:styleId="Charffff2">
    <w:name w:val="第四级标题 Char"/>
    <w:link w:val="affffffd"/>
    <w:qFormat/>
    <w:rPr>
      <w:kern w:val="2"/>
      <w:sz w:val="24"/>
      <w:szCs w:val="24"/>
    </w:rPr>
  </w:style>
  <w:style w:type="paragraph" w:customStyle="1" w:styleId="affffffd">
    <w:name w:val="第四级标题"/>
    <w:basedOn w:val="a6"/>
    <w:next w:val="26"/>
    <w:link w:val="Charffff2"/>
    <w:qFormat/>
    <w:pPr>
      <w:widowControl/>
      <w:spacing w:line="360" w:lineRule="auto"/>
      <w:ind w:left="851" w:hanging="851"/>
      <w:jc w:val="left"/>
      <w:outlineLvl w:val="3"/>
    </w:pPr>
    <w:rPr>
      <w:sz w:val="24"/>
    </w:rPr>
  </w:style>
  <w:style w:type="character" w:customStyle="1" w:styleId="Charffff3">
    <w:name w:val="注释 Char"/>
    <w:link w:val="affffffe"/>
    <w:qFormat/>
    <w:rPr>
      <w:kern w:val="2"/>
      <w:sz w:val="21"/>
    </w:rPr>
  </w:style>
  <w:style w:type="paragraph" w:customStyle="1" w:styleId="affffffe">
    <w:name w:val="注释"/>
    <w:link w:val="Charffff3"/>
    <w:qFormat/>
    <w:pPr>
      <w:spacing w:before="60" w:line="360" w:lineRule="exact"/>
      <w:ind w:firstLineChars="200" w:firstLine="200"/>
      <w:jc w:val="both"/>
    </w:pPr>
  </w:style>
  <w:style w:type="paragraph" w:customStyle="1" w:styleId="afffffff">
    <w:name w:val="表格正文"/>
    <w:basedOn w:val="afffe"/>
    <w:link w:val="Charffff4"/>
    <w:qFormat/>
    <w:pPr>
      <w:adjustRightInd/>
      <w:snapToGrid/>
      <w:spacing w:line="240" w:lineRule="auto"/>
      <w:jc w:val="center"/>
    </w:pPr>
    <w:rPr>
      <w:rFonts w:ascii="Times New Roman"/>
      <w:sz w:val="21"/>
      <w:szCs w:val="21"/>
    </w:rPr>
  </w:style>
  <w:style w:type="character" w:customStyle="1" w:styleId="Charffff4">
    <w:name w:val="表格正文 Char"/>
    <w:link w:val="afffffff"/>
    <w:qFormat/>
    <w:rPr>
      <w:kern w:val="2"/>
      <w:sz w:val="21"/>
      <w:szCs w:val="21"/>
    </w:rPr>
  </w:style>
  <w:style w:type="character" w:customStyle="1" w:styleId="Charffff5">
    <w:name w:val="报告题目 Char"/>
    <w:link w:val="afffffff0"/>
    <w:qFormat/>
    <w:rPr>
      <w:rFonts w:ascii="Arial" w:eastAsia="黑体" w:hAnsi="Arial"/>
      <w:kern w:val="2"/>
      <w:sz w:val="72"/>
      <w:szCs w:val="72"/>
    </w:rPr>
  </w:style>
  <w:style w:type="paragraph" w:customStyle="1" w:styleId="afffffff0">
    <w:name w:val="报告题目"/>
    <w:basedOn w:val="a6"/>
    <w:next w:val="a6"/>
    <w:link w:val="Charffff5"/>
    <w:qFormat/>
    <w:pPr>
      <w:widowControl/>
      <w:spacing w:line="500" w:lineRule="atLeast"/>
      <w:jc w:val="center"/>
    </w:pPr>
    <w:rPr>
      <w:rFonts w:ascii="Arial" w:eastAsia="黑体" w:hAnsi="Arial"/>
      <w:sz w:val="72"/>
      <w:szCs w:val="72"/>
    </w:rPr>
  </w:style>
  <w:style w:type="character" w:customStyle="1" w:styleId="Charffff6">
    <w:name w:val="表体 Char"/>
    <w:link w:val="afffffff1"/>
    <w:qFormat/>
    <w:rPr>
      <w:rFonts w:ascii="黑体" w:eastAsia="黑体"/>
      <w:color w:val="000080"/>
      <w:kern w:val="24"/>
      <w:sz w:val="21"/>
    </w:rPr>
  </w:style>
  <w:style w:type="paragraph" w:customStyle="1" w:styleId="afffffff1">
    <w:name w:val="表体"/>
    <w:basedOn w:val="a6"/>
    <w:link w:val="Charffff6"/>
    <w:qFormat/>
    <w:pPr>
      <w:overflowPunct w:val="0"/>
      <w:adjustRightInd w:val="0"/>
      <w:spacing w:line="240" w:lineRule="atLeast"/>
      <w:ind w:left="-57" w:right="-57" w:firstLineChars="200" w:firstLine="200"/>
      <w:jc w:val="center"/>
      <w:textAlignment w:val="baseline"/>
    </w:pPr>
    <w:rPr>
      <w:rFonts w:ascii="黑体" w:eastAsia="黑体"/>
      <w:color w:val="000080"/>
      <w:kern w:val="24"/>
      <w:szCs w:val="20"/>
    </w:rPr>
  </w:style>
  <w:style w:type="character" w:customStyle="1" w:styleId="2H211lxb211h2CharCharCharChar">
    <w:name w:val="样式 样式 标题 2节H2节标题 1.1二级标题标题 lxb21.1h2第一层条二级标题 Char表标题单位名... + 宋体... Char Char Char"/>
    <w:link w:val="2H211lxb211h2CharChar0"/>
    <w:qFormat/>
    <w:rPr>
      <w:rFonts w:ascii="宋体" w:hAnsi="宋体"/>
      <w:bCs/>
      <w:color w:val="000000"/>
      <w:kern w:val="2"/>
      <w:sz w:val="24"/>
      <w:szCs w:val="28"/>
    </w:rPr>
  </w:style>
  <w:style w:type="paragraph" w:customStyle="1" w:styleId="2H211lxb211h2CharChar0">
    <w:name w:val="样式 样式 标题 2节H2节标题 1.1二级标题标题 lxb21.1h2第一层条二级标题 Char表标题单位名... + 宋体... Char"/>
    <w:basedOn w:val="2H211lxb211h2CharChar"/>
    <w:link w:val="2H211lxb211h2CharCharCharChar"/>
    <w:qFormat/>
    <w:pPr>
      <w:ind w:left="0"/>
    </w:pPr>
    <w:rPr>
      <w:rFonts w:ascii="宋体" w:eastAsia="宋体"/>
      <w:sz w:val="24"/>
      <w:szCs w:val="28"/>
    </w:rPr>
  </w:style>
  <w:style w:type="character" w:customStyle="1" w:styleId="EmailStyle442">
    <w:name w:val="EmailStyle442"/>
    <w:qFormat/>
    <w:rPr>
      <w:rFonts w:ascii="Arial" w:eastAsia="宋体" w:hAnsi="Arial" w:cs="Arial"/>
      <w:color w:val="auto"/>
      <w:sz w:val="20"/>
    </w:rPr>
  </w:style>
  <w:style w:type="character" w:customStyle="1" w:styleId="CharCharf3">
    <w:name w:val="楷体加粗 Char Char"/>
    <w:link w:val="afffffff2"/>
    <w:qFormat/>
    <w:rPr>
      <w:rFonts w:ascii="宋体" w:hAnsi="宋体" w:cs="黑体"/>
      <w:kern w:val="2"/>
      <w:sz w:val="24"/>
      <w:szCs w:val="24"/>
    </w:rPr>
  </w:style>
  <w:style w:type="paragraph" w:customStyle="1" w:styleId="afffffff2">
    <w:name w:val="楷体加粗"/>
    <w:basedOn w:val="a6"/>
    <w:link w:val="CharCharf3"/>
    <w:qFormat/>
    <w:pPr>
      <w:spacing w:line="440" w:lineRule="exact"/>
      <w:ind w:firstLineChars="196" w:firstLine="470"/>
      <w:jc w:val="left"/>
    </w:pPr>
    <w:rPr>
      <w:rFonts w:ascii="宋体" w:hAnsi="宋体"/>
      <w:sz w:val="24"/>
    </w:rPr>
  </w:style>
  <w:style w:type="character" w:customStyle="1" w:styleId="CharChar12">
    <w:name w:val="我的正文 Char Char1"/>
    <w:qFormat/>
    <w:rPr>
      <w:rFonts w:eastAsia="宋体"/>
      <w:kern w:val="2"/>
      <w:sz w:val="24"/>
      <w:szCs w:val="24"/>
      <w:lang w:val="en-US" w:eastAsia="zh-CN" w:bidi="ar-SA"/>
    </w:rPr>
  </w:style>
  <w:style w:type="character" w:customStyle="1" w:styleId="1Char20">
    <w:name w:val="样式1 Char2"/>
    <w:qFormat/>
    <w:rPr>
      <w:rFonts w:ascii="宋体" w:eastAsia="宋体"/>
      <w:kern w:val="2"/>
      <w:sz w:val="21"/>
      <w:lang w:val="en-US" w:eastAsia="zh-CN" w:bidi="ar-SA"/>
    </w:rPr>
  </w:style>
  <w:style w:type="character" w:customStyle="1" w:styleId="1Char8">
    <w:name w:val="样式1 Char"/>
    <w:qFormat/>
    <w:rPr>
      <w:rFonts w:ascii="Arial" w:eastAsia="黑体" w:hAnsi="Arial" w:cs="Times New Roman"/>
      <w:b/>
      <w:spacing w:val="10"/>
      <w:kern w:val="0"/>
      <w:sz w:val="28"/>
      <w:szCs w:val="20"/>
    </w:rPr>
  </w:style>
  <w:style w:type="character" w:customStyle="1" w:styleId="Charffff7">
    <w:name w:val="表号 Char"/>
    <w:link w:val="afffffff3"/>
    <w:qFormat/>
    <w:rPr>
      <w:rFonts w:hAnsi="宋体"/>
      <w:color w:val="000000"/>
      <w:kern w:val="2"/>
      <w:sz w:val="21"/>
    </w:rPr>
  </w:style>
  <w:style w:type="paragraph" w:customStyle="1" w:styleId="afffffff3">
    <w:name w:val="表号"/>
    <w:basedOn w:val="a6"/>
    <w:link w:val="Charffff7"/>
    <w:qFormat/>
    <w:pPr>
      <w:spacing w:line="360" w:lineRule="auto"/>
      <w:ind w:firstLineChars="200" w:firstLine="420"/>
    </w:pPr>
    <w:rPr>
      <w:rFonts w:hAnsi="宋体"/>
      <w:color w:val="000000"/>
      <w:szCs w:val="20"/>
    </w:rPr>
  </w:style>
  <w:style w:type="character" w:customStyle="1" w:styleId="CharChar31">
    <w:name w:val="Char Char31"/>
    <w:qFormat/>
    <w:rPr>
      <w:rFonts w:ascii="宋体" w:eastAsia="宋体" w:hAnsi="宋体" w:hint="eastAsia"/>
      <w:b/>
      <w:kern w:val="2"/>
      <w:sz w:val="32"/>
      <w:lang w:val="en-US" w:eastAsia="zh-CN"/>
    </w:rPr>
  </w:style>
  <w:style w:type="character" w:customStyle="1" w:styleId="2Chara">
    <w:name w:val="正文，首行缩进2字符 Char"/>
    <w:link w:val="2ff"/>
    <w:qFormat/>
    <w:rPr>
      <w:rFonts w:ascii="宋体" w:hAnsi="宋体"/>
      <w:kern w:val="2"/>
      <w:sz w:val="24"/>
      <w:szCs w:val="24"/>
    </w:rPr>
  </w:style>
  <w:style w:type="paragraph" w:customStyle="1" w:styleId="2ff">
    <w:name w:val="正文，首行缩进2字符"/>
    <w:basedOn w:val="a6"/>
    <w:link w:val="2Chara"/>
    <w:qFormat/>
    <w:pPr>
      <w:widowControl/>
      <w:adjustRightInd w:val="0"/>
      <w:snapToGrid w:val="0"/>
      <w:spacing w:line="360" w:lineRule="auto"/>
      <w:ind w:firstLineChars="196" w:firstLine="433"/>
      <w:jc w:val="left"/>
    </w:pPr>
    <w:rPr>
      <w:rFonts w:ascii="宋体" w:hAnsi="宋体"/>
      <w:sz w:val="24"/>
    </w:rPr>
  </w:style>
  <w:style w:type="character" w:customStyle="1" w:styleId="2CharCharChar">
    <w:name w:val="正文文本缩进 2 Char Char Char"/>
    <w:qFormat/>
    <w:rPr>
      <w:rFonts w:ascii="Arial" w:eastAsia="宋体" w:hAnsi="Arial"/>
      <w:kern w:val="2"/>
      <w:sz w:val="24"/>
      <w:szCs w:val="24"/>
      <w:lang w:val="en-US" w:eastAsia="zh-CN" w:bidi="ar-SA"/>
    </w:rPr>
  </w:style>
  <w:style w:type="character" w:customStyle="1" w:styleId="xb">
    <w:name w:val="xb"/>
    <w:qFormat/>
  </w:style>
  <w:style w:type="character" w:customStyle="1" w:styleId="APMingLiUCharChar">
    <w:name w:val="样式 正文A + (中文) PMingLiU Char Char"/>
    <w:qFormat/>
    <w:rPr>
      <w:rFonts w:ascii="宋体" w:eastAsia="宋体" w:hAnsi="宋体" w:cs="宋体" w:hint="eastAsia"/>
      <w:kern w:val="2"/>
      <w:sz w:val="24"/>
      <w:szCs w:val="24"/>
      <w:lang w:val="en-US" w:eastAsia="zh-CN" w:bidi="ar-SA"/>
    </w:rPr>
  </w:style>
  <w:style w:type="character" w:customStyle="1" w:styleId="font21">
    <w:name w:val="font21"/>
    <w:qFormat/>
    <w:rPr>
      <w:rFonts w:ascii="宋体" w:eastAsia="宋体" w:hAnsi="宋体" w:cs="宋体" w:hint="eastAsia"/>
      <w:color w:val="000000"/>
      <w:sz w:val="18"/>
      <w:szCs w:val="18"/>
      <w:u w:val="none"/>
    </w:rPr>
  </w:style>
  <w:style w:type="character" w:customStyle="1" w:styleId="CharCharf4">
    <w:name w:val="图表标题 Char Char"/>
    <w:qFormat/>
    <w:rPr>
      <w:rFonts w:ascii="黑体" w:eastAsia="黑体"/>
      <w:b/>
      <w:color w:val="000000"/>
      <w:sz w:val="24"/>
      <w:szCs w:val="21"/>
    </w:rPr>
  </w:style>
  <w:style w:type="character" w:customStyle="1" w:styleId="001Char">
    <w:name w:val="正文001 Char"/>
    <w:qFormat/>
    <w:rPr>
      <w:rFonts w:ascii="Arial" w:eastAsia="宋体" w:hAnsi="Arial" w:cs="Arial"/>
      <w:sz w:val="24"/>
      <w:szCs w:val="20"/>
    </w:rPr>
  </w:style>
  <w:style w:type="character" w:customStyle="1" w:styleId="22CharChar">
    <w:name w:val="样式 样式 报告正文（瓮福） + 首行缩进:  2 字符 + 首行缩进:  2 字符 Char Char"/>
    <w:link w:val="223"/>
    <w:qFormat/>
    <w:rPr>
      <w:rFonts w:ascii="Calibri" w:hAnsi="Calibri" w:cs="黑体"/>
      <w:kern w:val="2"/>
      <w:sz w:val="24"/>
      <w:szCs w:val="22"/>
    </w:rPr>
  </w:style>
  <w:style w:type="paragraph" w:customStyle="1" w:styleId="223">
    <w:name w:val="样式 样式 报告正文（瓮福） + 首行缩进:  2 字符 + 首行缩进:  2 字符"/>
    <w:basedOn w:val="a6"/>
    <w:link w:val="22CharChar"/>
    <w:qFormat/>
    <w:pPr>
      <w:spacing w:line="360" w:lineRule="auto"/>
      <w:ind w:firstLineChars="200" w:firstLine="480"/>
      <w:jc w:val="left"/>
    </w:pPr>
    <w:rPr>
      <w:rFonts w:ascii="Calibri" w:hAnsi="Calibri"/>
      <w:sz w:val="24"/>
      <w:szCs w:val="22"/>
    </w:rPr>
  </w:style>
  <w:style w:type="character" w:customStyle="1" w:styleId="Charffff8">
    <w:name w:val="内容 Char"/>
    <w:link w:val="afffffff4"/>
    <w:qFormat/>
    <w:rPr>
      <w:rFonts w:ascii="宋体"/>
      <w:color w:val="000000"/>
      <w:sz w:val="24"/>
    </w:rPr>
  </w:style>
  <w:style w:type="paragraph" w:customStyle="1" w:styleId="afffffff4">
    <w:name w:val="内容"/>
    <w:basedOn w:val="a6"/>
    <w:link w:val="Charffff8"/>
    <w:qFormat/>
    <w:pPr>
      <w:spacing w:after="60" w:line="500" w:lineRule="exact"/>
      <w:ind w:firstLineChars="200" w:firstLine="200"/>
      <w:jc w:val="left"/>
    </w:pPr>
    <w:rPr>
      <w:rFonts w:ascii="宋体"/>
      <w:color w:val="000000"/>
      <w:kern w:val="0"/>
      <w:sz w:val="24"/>
      <w:szCs w:val="20"/>
    </w:rPr>
  </w:style>
  <w:style w:type="character" w:customStyle="1" w:styleId="G1Char">
    <w:name w:val="G样式1 Char"/>
    <w:link w:val="G1"/>
    <w:qFormat/>
    <w:rPr>
      <w:kern w:val="2"/>
      <w:sz w:val="28"/>
      <w:szCs w:val="28"/>
    </w:rPr>
  </w:style>
  <w:style w:type="paragraph" w:customStyle="1" w:styleId="G1">
    <w:name w:val="G样式1"/>
    <w:basedOn w:val="a6"/>
    <w:link w:val="G1Char"/>
    <w:qFormat/>
    <w:pPr>
      <w:spacing w:line="480" w:lineRule="exact"/>
      <w:ind w:firstLineChars="200" w:firstLine="200"/>
    </w:pPr>
    <w:rPr>
      <w:sz w:val="28"/>
      <w:szCs w:val="28"/>
    </w:rPr>
  </w:style>
  <w:style w:type="character" w:customStyle="1" w:styleId="01Char0">
    <w:name w:val="01 Char"/>
    <w:qFormat/>
    <w:rPr>
      <w:rFonts w:eastAsia="宋体"/>
      <w:kern w:val="2"/>
      <w:sz w:val="24"/>
      <w:szCs w:val="24"/>
      <w:lang w:val="en-US" w:eastAsia="zh-CN" w:bidi="ar-SA"/>
    </w:rPr>
  </w:style>
  <w:style w:type="character" w:customStyle="1" w:styleId="NormalCharChar">
    <w:name w:val="Normal Char Char"/>
    <w:qFormat/>
    <w:rPr>
      <w:rFonts w:ascii="宋体"/>
      <w:sz w:val="24"/>
    </w:rPr>
  </w:style>
  <w:style w:type="character" w:customStyle="1" w:styleId="25Char">
    <w:name w:val="样式 (符号) 宋体 四号 段前: 2.5 磅 Char"/>
    <w:link w:val="250"/>
    <w:qFormat/>
    <w:rPr>
      <w:rFonts w:hAnsi="宋体"/>
      <w:bCs/>
      <w:kern w:val="2"/>
      <w:sz w:val="28"/>
      <w:szCs w:val="28"/>
      <w:lang w:val="zh-CN"/>
    </w:rPr>
  </w:style>
  <w:style w:type="paragraph" w:customStyle="1" w:styleId="250">
    <w:name w:val="样式 (符号) 宋体 四号 段前: 2.5 磅"/>
    <w:basedOn w:val="a6"/>
    <w:link w:val="25Char"/>
    <w:qFormat/>
    <w:pPr>
      <w:widowControl/>
      <w:tabs>
        <w:tab w:val="left" w:pos="1750"/>
      </w:tabs>
      <w:topLinePunct/>
      <w:snapToGrid w:val="0"/>
      <w:spacing w:line="336" w:lineRule="auto"/>
      <w:ind w:firstLineChars="192" w:firstLine="538"/>
      <w:jc w:val="left"/>
    </w:pPr>
    <w:rPr>
      <w:rFonts w:hAnsi="宋体"/>
      <w:bCs/>
      <w:sz w:val="28"/>
      <w:szCs w:val="28"/>
      <w:lang w:val="zh-CN"/>
    </w:rPr>
  </w:style>
  <w:style w:type="character" w:customStyle="1" w:styleId="afffffff5">
    <w:name w:val="样式 (中文) 隶书 一号 加粗"/>
    <w:qFormat/>
    <w:rPr>
      <w:rFonts w:eastAsia="隶书"/>
      <w:b/>
      <w:bCs/>
      <w:w w:val="73"/>
      <w:kern w:val="0"/>
      <w:sz w:val="44"/>
    </w:rPr>
  </w:style>
  <w:style w:type="character" w:customStyle="1" w:styleId="CharChar40">
    <w:name w:val="Char Char4"/>
    <w:qFormat/>
    <w:rPr>
      <w:rFonts w:eastAsia="宋体"/>
      <w:b/>
      <w:bCs/>
      <w:kern w:val="44"/>
      <w:sz w:val="28"/>
      <w:szCs w:val="28"/>
      <w:lang w:val="en-US" w:eastAsia="zh-CN" w:bidi="ar-SA"/>
    </w:rPr>
  </w:style>
  <w:style w:type="character" w:customStyle="1" w:styleId="3Char3">
    <w:name w:val="【标题3】 Char"/>
    <w:link w:val="afffffff6"/>
    <w:qFormat/>
    <w:rPr>
      <w:rFonts w:ascii="宋体" w:eastAsia="方正大标宋简体" w:hAnsi="宋体"/>
      <w:b/>
      <w:bCs/>
      <w:kern w:val="2"/>
      <w:sz w:val="28"/>
    </w:rPr>
  </w:style>
  <w:style w:type="paragraph" w:customStyle="1" w:styleId="afffffff6">
    <w:name w:val="三级标题"/>
    <w:basedOn w:val="33"/>
    <w:link w:val="3Char3"/>
    <w:qFormat/>
    <w:pPr>
      <w:tabs>
        <w:tab w:val="left" w:pos="480"/>
      </w:tabs>
      <w:adjustRightInd w:val="0"/>
      <w:spacing w:before="40" w:after="40" w:line="324" w:lineRule="auto"/>
    </w:pPr>
    <w:rPr>
      <w:rFonts w:ascii="宋体" w:eastAsia="方正大标宋简体" w:hAnsi="宋体"/>
      <w:b/>
      <w:bCs/>
      <w:spacing w:val="0"/>
      <w:szCs w:val="20"/>
    </w:rPr>
  </w:style>
  <w:style w:type="character" w:customStyle="1" w:styleId="Charffff9">
    <w:name w:val="正文 Char"/>
    <w:link w:val="3f5"/>
    <w:qFormat/>
    <w:rPr>
      <w:spacing w:val="4"/>
      <w:kern w:val="2"/>
      <w:sz w:val="24"/>
    </w:rPr>
  </w:style>
  <w:style w:type="paragraph" w:customStyle="1" w:styleId="3f5">
    <w:name w:val="正文3"/>
    <w:basedOn w:val="a6"/>
    <w:next w:val="a6"/>
    <w:link w:val="Charffff9"/>
    <w:qFormat/>
    <w:pPr>
      <w:spacing w:line="529" w:lineRule="exact"/>
      <w:ind w:firstLine="420"/>
    </w:pPr>
    <w:rPr>
      <w:spacing w:val="4"/>
      <w:sz w:val="24"/>
      <w:szCs w:val="20"/>
    </w:rPr>
  </w:style>
  <w:style w:type="character" w:customStyle="1" w:styleId="Char26">
    <w:name w:val="表号 Char2"/>
    <w:qFormat/>
    <w:rPr>
      <w:rFonts w:eastAsia="宋体"/>
      <w:sz w:val="24"/>
      <w:szCs w:val="24"/>
      <w:lang w:val="en-US" w:eastAsia="zh-CN" w:bidi="ar-SA"/>
    </w:rPr>
  </w:style>
  <w:style w:type="character" w:customStyle="1" w:styleId="2ff0">
    <w:name w:val="批注引用2"/>
    <w:qFormat/>
    <w:rPr>
      <w:rFonts w:ascii="宋体" w:eastAsia="宋体" w:hAnsi="宋体" w:cs="Courier New"/>
      <w:kern w:val="2"/>
      <w:sz w:val="21"/>
      <w:szCs w:val="21"/>
      <w:lang w:val="en-US" w:eastAsia="zh-CN"/>
    </w:rPr>
  </w:style>
  <w:style w:type="character" w:customStyle="1" w:styleId="1fa">
    <w:name w:val="标题1"/>
    <w:basedOn w:val="a7"/>
    <w:qFormat/>
  </w:style>
  <w:style w:type="character" w:customStyle="1" w:styleId="Charffffa">
    <w:name w:val="图、表名 Char"/>
    <w:link w:val="afffffff7"/>
    <w:qFormat/>
    <w:rPr>
      <w:rFonts w:ascii="Arial" w:eastAsia="黑体" w:hAnsi="Arial"/>
      <w:kern w:val="2"/>
      <w:sz w:val="21"/>
      <w:szCs w:val="24"/>
    </w:rPr>
  </w:style>
  <w:style w:type="paragraph" w:customStyle="1" w:styleId="afffffff7">
    <w:name w:val="图、表名"/>
    <w:basedOn w:val="a6"/>
    <w:link w:val="Charffffa"/>
    <w:qFormat/>
    <w:pPr>
      <w:jc w:val="center"/>
    </w:pPr>
    <w:rPr>
      <w:rFonts w:ascii="Arial" w:eastAsia="黑体" w:hAnsi="Arial"/>
    </w:rPr>
  </w:style>
  <w:style w:type="character" w:customStyle="1" w:styleId="CharCharChar8">
    <w:name w:val="正文文字 Char Char Char"/>
    <w:qFormat/>
    <w:rPr>
      <w:rFonts w:eastAsia="宋体"/>
      <w:kern w:val="2"/>
      <w:sz w:val="21"/>
      <w:szCs w:val="24"/>
      <w:lang w:val="en-US" w:eastAsia="zh-CN" w:bidi="ar-SA"/>
    </w:rPr>
  </w:style>
  <w:style w:type="character" w:customStyle="1" w:styleId="CharChar111">
    <w:name w:val="Char Char111"/>
    <w:qFormat/>
    <w:rPr>
      <w:rFonts w:eastAsia="黑体"/>
      <w:kern w:val="2"/>
      <w:sz w:val="24"/>
      <w:szCs w:val="24"/>
    </w:rPr>
  </w:style>
  <w:style w:type="character" w:customStyle="1" w:styleId="dandan6-13CharChar0">
    <w:name w:val="dandan6-13四级以下 Char Char"/>
    <w:qFormat/>
    <w:rPr>
      <w:rFonts w:eastAsia="仿宋_GB2312"/>
      <w:b/>
      <w:sz w:val="24"/>
      <w:szCs w:val="24"/>
    </w:rPr>
  </w:style>
  <w:style w:type="character" w:customStyle="1" w:styleId="wangCharChar">
    <w:name w:val="正文wang Char Char"/>
    <w:qFormat/>
    <w:rPr>
      <w:rFonts w:hAnsi="宋体" w:cs="宋体"/>
      <w:szCs w:val="21"/>
    </w:rPr>
  </w:style>
  <w:style w:type="character" w:customStyle="1" w:styleId="CharCharf5">
    <w:name w:val="节 Char Char"/>
    <w:qFormat/>
    <w:rPr>
      <w:rFonts w:eastAsia="宋体"/>
      <w:b/>
      <w:kern w:val="2"/>
      <w:sz w:val="28"/>
      <w:lang w:val="en-US" w:eastAsia="zh-CN" w:bidi="ar-SA"/>
    </w:rPr>
  </w:style>
  <w:style w:type="character" w:customStyle="1" w:styleId="CharCharf6">
    <w:name w:val="正文 楷体 Char Char"/>
    <w:qFormat/>
    <w:rPr>
      <w:rFonts w:ascii="楷体_GB2312" w:eastAsia="楷体_GB2312" w:hAnsi="楷体_GB2312" w:cs="宋体"/>
      <w:kern w:val="2"/>
      <w:sz w:val="24"/>
      <w:szCs w:val="24"/>
      <w:lang w:val="en-US" w:eastAsia="zh-CN" w:bidi="ar-SA"/>
    </w:rPr>
  </w:style>
  <w:style w:type="character" w:customStyle="1" w:styleId="Charffffb">
    <w:name w:val="表头文字 Char"/>
    <w:qFormat/>
    <w:rPr>
      <w:rFonts w:eastAsia="宋体"/>
      <w:b/>
      <w:bCs/>
      <w:kern w:val="2"/>
      <w:sz w:val="28"/>
      <w:szCs w:val="28"/>
      <w:lang w:val="en-US" w:eastAsia="zh-CN" w:bidi="ar-SA"/>
    </w:rPr>
  </w:style>
  <w:style w:type="character" w:customStyle="1" w:styleId="EmailStyle506">
    <w:name w:val="EmailStyle506"/>
    <w:qFormat/>
    <w:rPr>
      <w:rFonts w:ascii="Arial" w:eastAsia="宋体" w:hAnsi="Arial" w:cs="Arial"/>
      <w:color w:val="auto"/>
      <w:sz w:val="20"/>
    </w:rPr>
  </w:style>
  <w:style w:type="character" w:customStyle="1" w:styleId="3CharCharCharCharChar">
    <w:name w:val="样式 标题 3 + 宋体 Char Char Char Char Char"/>
    <w:qFormat/>
    <w:rPr>
      <w:rFonts w:eastAsia="宋体"/>
      <w:b/>
      <w:bCs/>
      <w:kern w:val="2"/>
      <w:sz w:val="32"/>
      <w:szCs w:val="32"/>
      <w:lang w:val="en-US" w:eastAsia="zh-CN" w:bidi="ar-SA"/>
    </w:rPr>
  </w:style>
  <w:style w:type="character" w:customStyle="1" w:styleId="Char1f0">
    <w:name w:val="表 Char1"/>
    <w:link w:val="afffffff8"/>
    <w:qFormat/>
    <w:rPr>
      <w:kern w:val="2"/>
      <w:sz w:val="21"/>
    </w:rPr>
  </w:style>
  <w:style w:type="paragraph" w:customStyle="1" w:styleId="afffffff8">
    <w:name w:val="表"/>
    <w:basedOn w:val="a6"/>
    <w:link w:val="Char1f0"/>
    <w:qFormat/>
    <w:pPr>
      <w:spacing w:line="320" w:lineRule="atLeast"/>
      <w:jc w:val="center"/>
    </w:pPr>
    <w:rPr>
      <w:szCs w:val="20"/>
    </w:rPr>
  </w:style>
  <w:style w:type="character" w:customStyle="1" w:styleId="Char1f1">
    <w:name w:val="项目正文内容 Char1"/>
    <w:link w:val="afffffff9"/>
    <w:qFormat/>
    <w:rPr>
      <w:rFonts w:ascii="宋体" w:hAnsi="Courier New"/>
      <w:kern w:val="2"/>
      <w:sz w:val="24"/>
      <w:szCs w:val="21"/>
    </w:rPr>
  </w:style>
  <w:style w:type="paragraph" w:customStyle="1" w:styleId="afffffff9">
    <w:name w:val="项目正文内容"/>
    <w:basedOn w:val="a6"/>
    <w:link w:val="Char1f1"/>
    <w:qFormat/>
    <w:pPr>
      <w:adjustRightInd w:val="0"/>
      <w:snapToGrid w:val="0"/>
      <w:spacing w:line="360" w:lineRule="auto"/>
      <w:ind w:firstLineChars="200" w:firstLine="200"/>
    </w:pPr>
    <w:rPr>
      <w:rFonts w:ascii="宋体" w:hAnsi="Courier New"/>
      <w:sz w:val="24"/>
      <w:szCs w:val="21"/>
    </w:rPr>
  </w:style>
  <w:style w:type="character" w:customStyle="1" w:styleId="Charffffc">
    <w:name w:val="正   文 Char"/>
    <w:link w:val="afffffffa"/>
    <w:qFormat/>
    <w:rPr>
      <w:rFonts w:ascii="Arial" w:hAnsi="Arial"/>
      <w:color w:val="000000"/>
      <w:kern w:val="2"/>
      <w:sz w:val="24"/>
      <w:szCs w:val="24"/>
    </w:rPr>
  </w:style>
  <w:style w:type="paragraph" w:customStyle="1" w:styleId="afffffffa">
    <w:name w:val="正   文"/>
    <w:basedOn w:val="a6"/>
    <w:link w:val="Charffffc"/>
    <w:qFormat/>
    <w:pPr>
      <w:spacing w:line="480" w:lineRule="exact"/>
      <w:ind w:firstLineChars="200" w:firstLine="200"/>
    </w:pPr>
    <w:rPr>
      <w:rFonts w:ascii="Arial" w:hAnsi="Arial"/>
      <w:color w:val="000000"/>
      <w:sz w:val="24"/>
    </w:rPr>
  </w:style>
  <w:style w:type="character" w:customStyle="1" w:styleId="4Char4">
    <w:name w:val="标题 4 Char4"/>
    <w:qFormat/>
    <w:rPr>
      <w:rFonts w:eastAsia="宋体"/>
      <w:snapToGrid/>
      <w:kern w:val="2"/>
      <w:sz w:val="24"/>
      <w:szCs w:val="24"/>
      <w:lang w:val="en-US" w:eastAsia="zh-CN" w:bidi="ar-SA"/>
    </w:rPr>
  </w:style>
  <w:style w:type="character" w:customStyle="1" w:styleId="3Char4">
    <w:name w:val="样式 标题 3 Char"/>
    <w:link w:val="3f6"/>
    <w:qFormat/>
    <w:rPr>
      <w:rFonts w:ascii="黑体" w:eastAsia="黑体"/>
      <w:b/>
      <w:bCs/>
      <w:color w:val="FF0000"/>
      <w:kern w:val="2"/>
      <w:sz w:val="24"/>
      <w:szCs w:val="32"/>
    </w:rPr>
  </w:style>
  <w:style w:type="paragraph" w:customStyle="1" w:styleId="3f6">
    <w:name w:val="样式 标题 3"/>
    <w:basedOn w:val="33"/>
    <w:link w:val="3Char4"/>
    <w:qFormat/>
    <w:pPr>
      <w:adjustRightInd w:val="0"/>
      <w:spacing w:line="360" w:lineRule="auto"/>
    </w:pPr>
    <w:rPr>
      <w:b/>
      <w:bCs/>
      <w:color w:val="FF0000"/>
      <w:spacing w:val="0"/>
      <w:sz w:val="24"/>
      <w:szCs w:val="32"/>
    </w:rPr>
  </w:style>
  <w:style w:type="character" w:customStyle="1" w:styleId="03CharChar">
    <w:name w:val="03 Char Char"/>
    <w:link w:val="03"/>
    <w:qFormat/>
    <w:rPr>
      <w:rFonts w:ascii="宋体" w:hAnsi="Courier New"/>
      <w:kern w:val="2"/>
      <w:sz w:val="24"/>
    </w:rPr>
  </w:style>
  <w:style w:type="paragraph" w:customStyle="1" w:styleId="03">
    <w:name w:val="03"/>
    <w:basedOn w:val="a6"/>
    <w:link w:val="03CharChar"/>
    <w:qFormat/>
    <w:pPr>
      <w:spacing w:line="360" w:lineRule="auto"/>
      <w:ind w:firstLineChars="200" w:firstLine="480"/>
    </w:pPr>
    <w:rPr>
      <w:rFonts w:ascii="宋体" w:hAnsi="Courier New"/>
      <w:sz w:val="24"/>
      <w:szCs w:val="20"/>
    </w:rPr>
  </w:style>
  <w:style w:type="character" w:customStyle="1" w:styleId="022CharCharChar">
    <w:name w:val="022 Char Char Char"/>
    <w:qFormat/>
    <w:rPr>
      <w:rFonts w:ascii="宋体" w:eastAsia="宋体" w:hAnsi="Courier New"/>
      <w:kern w:val="2"/>
      <w:sz w:val="24"/>
      <w:szCs w:val="24"/>
      <w:lang w:val="en-US" w:eastAsia="zh-CN" w:bidi="ar-SA"/>
    </w:rPr>
  </w:style>
  <w:style w:type="character" w:customStyle="1" w:styleId="2Charb">
    <w:name w:val="正文（首行式样2） Char"/>
    <w:qFormat/>
    <w:rPr>
      <w:rFonts w:ascii="宋体" w:eastAsia="宋体" w:hAnsi="宋体"/>
      <w:color w:val="000000"/>
      <w:kern w:val="2"/>
      <w:sz w:val="24"/>
      <w:szCs w:val="24"/>
      <w:lang w:val="en-US" w:eastAsia="zh-CN" w:bidi="ar-SA"/>
    </w:rPr>
  </w:style>
  <w:style w:type="character" w:customStyle="1" w:styleId="Char27">
    <w:name w:val="正文缩进 Char2"/>
    <w:qFormat/>
    <w:rPr>
      <w:rFonts w:ascii="Calibri" w:hAnsi="Calibri"/>
      <w:kern w:val="2"/>
      <w:sz w:val="21"/>
      <w:szCs w:val="22"/>
    </w:rPr>
  </w:style>
  <w:style w:type="character" w:customStyle="1" w:styleId="Charffffd">
    <w:name w:val="正文内容 Char"/>
    <w:qFormat/>
    <w:rPr>
      <w:rFonts w:eastAsia="宋体" w:cs="宋体"/>
      <w:sz w:val="24"/>
      <w:lang w:val="en-US" w:eastAsia="zh-CN" w:bidi="ar-SA"/>
    </w:rPr>
  </w:style>
  <w:style w:type="character" w:customStyle="1" w:styleId="GabrielChar">
    <w:name w:val="Gabriel（正文） Char"/>
    <w:link w:val="Gabriel"/>
    <w:qFormat/>
    <w:rPr>
      <w:kern w:val="2"/>
      <w:sz w:val="28"/>
      <w:szCs w:val="28"/>
    </w:rPr>
  </w:style>
  <w:style w:type="paragraph" w:customStyle="1" w:styleId="Gabriel">
    <w:name w:val="Gabriel（正文）"/>
    <w:basedOn w:val="a6"/>
    <w:next w:val="a6"/>
    <w:link w:val="GabrielChar"/>
    <w:qFormat/>
    <w:pPr>
      <w:spacing w:line="480" w:lineRule="exact"/>
      <w:ind w:firstLineChars="200" w:firstLine="200"/>
    </w:pPr>
    <w:rPr>
      <w:sz w:val="28"/>
      <w:szCs w:val="28"/>
    </w:rPr>
  </w:style>
  <w:style w:type="character" w:customStyle="1" w:styleId="hahaChar">
    <w:name w:val="haha Char"/>
    <w:link w:val="haha"/>
    <w:qFormat/>
    <w:rPr>
      <w:rFonts w:eastAsia="仿宋_GB2312"/>
      <w:sz w:val="24"/>
      <w:szCs w:val="24"/>
    </w:rPr>
  </w:style>
  <w:style w:type="paragraph" w:customStyle="1" w:styleId="haha">
    <w:name w:val="haha"/>
    <w:basedOn w:val="a6"/>
    <w:next w:val="a6"/>
    <w:link w:val="hahaChar"/>
    <w:qFormat/>
    <w:pPr>
      <w:spacing w:line="360" w:lineRule="auto"/>
      <w:ind w:firstLineChars="200" w:firstLine="480"/>
    </w:pPr>
    <w:rPr>
      <w:rFonts w:eastAsia="仿宋_GB2312"/>
      <w:kern w:val="0"/>
      <w:sz w:val="24"/>
    </w:rPr>
  </w:style>
  <w:style w:type="character" w:customStyle="1" w:styleId="CharCharf7">
    <w:name w:val="图题 Char Char"/>
    <w:link w:val="afffffffb"/>
    <w:qFormat/>
    <w:rPr>
      <w:rFonts w:ascii="黑体" w:eastAsia="黑体" w:hAnsi="宋体"/>
      <w:b/>
      <w:kern w:val="2"/>
      <w:sz w:val="24"/>
    </w:rPr>
  </w:style>
  <w:style w:type="paragraph" w:customStyle="1" w:styleId="afffffffb">
    <w:name w:val="图题"/>
    <w:basedOn w:val="affffa"/>
    <w:next w:val="affffa"/>
    <w:link w:val="CharCharf7"/>
    <w:qFormat/>
    <w:pPr>
      <w:ind w:firstLine="0"/>
      <w:jc w:val="center"/>
    </w:pPr>
    <w:rPr>
      <w:rFonts w:ascii="黑体" w:eastAsia="黑体"/>
      <w:b/>
    </w:rPr>
  </w:style>
  <w:style w:type="character" w:customStyle="1" w:styleId="5Char10">
    <w:name w:val="5文章(治) Char1"/>
    <w:link w:val="5b"/>
    <w:qFormat/>
    <w:rPr>
      <w:snapToGrid/>
      <w:color w:val="000000"/>
      <w:sz w:val="24"/>
      <w:lang w:val="en-GB"/>
    </w:rPr>
  </w:style>
  <w:style w:type="paragraph" w:customStyle="1" w:styleId="5b">
    <w:name w:val="5文章(治)"/>
    <w:basedOn w:val="a6"/>
    <w:link w:val="5Char10"/>
    <w:qFormat/>
    <w:pPr>
      <w:spacing w:line="360" w:lineRule="auto"/>
      <w:ind w:firstLineChars="200" w:firstLine="480"/>
    </w:pPr>
    <w:rPr>
      <w:snapToGrid w:val="0"/>
      <w:color w:val="000000"/>
      <w:kern w:val="0"/>
      <w:sz w:val="24"/>
      <w:szCs w:val="20"/>
      <w:lang w:val="en-GB"/>
    </w:rPr>
  </w:style>
  <w:style w:type="character" w:customStyle="1" w:styleId="CharChar301">
    <w:name w:val="Char Char301"/>
    <w:qFormat/>
    <w:rPr>
      <w:rFonts w:eastAsia="宋体"/>
      <w:i/>
      <w:iCs/>
      <w:kern w:val="2"/>
      <w:sz w:val="18"/>
      <w:szCs w:val="24"/>
      <w:lang w:val="en-US" w:eastAsia="zh-CN" w:bidi="ar-SA"/>
    </w:rPr>
  </w:style>
  <w:style w:type="character" w:customStyle="1" w:styleId="FontStyle16">
    <w:name w:val="Font Style16"/>
    <w:qFormat/>
    <w:rPr>
      <w:rFonts w:ascii="Sylfaen" w:hAnsi="Sylfaen" w:cs="Sylfaen"/>
      <w:b/>
      <w:bCs/>
      <w:sz w:val="26"/>
      <w:szCs w:val="26"/>
    </w:rPr>
  </w:style>
  <w:style w:type="character" w:customStyle="1" w:styleId="CharCharf8">
    <w:name w:val="注 Char Char"/>
    <w:qFormat/>
    <w:rPr>
      <w:rFonts w:ascii="Times New Roman" w:eastAsia="宋体" w:hAnsi="Times New Roman" w:cs="Times New Roman"/>
      <w:bCs/>
      <w:snapToGrid/>
      <w:sz w:val="24"/>
      <w:szCs w:val="24"/>
    </w:rPr>
  </w:style>
  <w:style w:type="character" w:customStyle="1" w:styleId="Charffffe">
    <w:name w:val="表题注 Char"/>
    <w:link w:val="afffffffc"/>
    <w:qFormat/>
    <w:rPr>
      <w:rFonts w:hAnsi="宋体"/>
      <w:b/>
      <w:kern w:val="2"/>
      <w:sz w:val="21"/>
      <w:szCs w:val="24"/>
    </w:rPr>
  </w:style>
  <w:style w:type="paragraph" w:customStyle="1" w:styleId="afffffffc">
    <w:name w:val="表题注"/>
    <w:basedOn w:val="a6"/>
    <w:link w:val="Charffffe"/>
    <w:qFormat/>
    <w:pPr>
      <w:jc w:val="center"/>
    </w:pPr>
    <w:rPr>
      <w:rFonts w:hAnsi="宋体"/>
      <w:b/>
    </w:rPr>
  </w:style>
  <w:style w:type="character" w:customStyle="1" w:styleId="26CharCharChar">
    <w:name w:val="样式 (符号) 宋体 小四 行距: 固定值 26 磅 Char Char Char"/>
    <w:link w:val="26CharChar"/>
    <w:qFormat/>
    <w:rPr>
      <w:rFonts w:hAnsi="宋体"/>
      <w:color w:val="000000"/>
      <w:kern w:val="2"/>
      <w:sz w:val="28"/>
      <w:szCs w:val="28"/>
    </w:rPr>
  </w:style>
  <w:style w:type="paragraph" w:customStyle="1" w:styleId="26CharChar">
    <w:name w:val="样式 (符号) 宋体 小四 行距: 固定值 26 磅 Char Char"/>
    <w:basedOn w:val="a6"/>
    <w:link w:val="26CharCharChar"/>
    <w:qFormat/>
    <w:pPr>
      <w:spacing w:line="360" w:lineRule="auto"/>
      <w:ind w:firstLineChars="200" w:firstLine="480"/>
    </w:pPr>
    <w:rPr>
      <w:rFonts w:hAnsi="宋体"/>
      <w:color w:val="000000"/>
      <w:sz w:val="28"/>
      <w:szCs w:val="28"/>
    </w:rPr>
  </w:style>
  <w:style w:type="character" w:customStyle="1" w:styleId="FootnoteTextChar">
    <w:name w:val="Footnote Text Char"/>
    <w:qFormat/>
    <w:rPr>
      <w:rFonts w:ascii="宋体" w:eastAsia="宋体"/>
      <w:kern w:val="2"/>
      <w:sz w:val="18"/>
      <w:lang w:val="en-US" w:eastAsia="zh-CN" w:bidi="ar-SA"/>
    </w:rPr>
  </w:style>
  <w:style w:type="character" w:customStyle="1" w:styleId="2TimesNewRomanChar">
    <w:name w:val="样式 标题 2 + (西文) Times New Roman (中文) 黑体 三号 自动设置 Char"/>
    <w:link w:val="2TimesNewRoman"/>
    <w:qFormat/>
    <w:rPr>
      <w:rFonts w:ascii="楷体_GB2312" w:eastAsia="黑体"/>
      <w:b/>
      <w:spacing w:val="10"/>
      <w:kern w:val="2"/>
      <w:sz w:val="30"/>
      <w:szCs w:val="30"/>
    </w:rPr>
  </w:style>
  <w:style w:type="paragraph" w:customStyle="1" w:styleId="2TimesNewRoman">
    <w:name w:val="样式 标题 2 + (西文) Times New Roman (中文) 黑体 三号 自动设置"/>
    <w:basedOn w:val="22"/>
    <w:link w:val="2TimesNewRomanChar"/>
    <w:qFormat/>
    <w:pPr>
      <w:tabs>
        <w:tab w:val="left" w:pos="567"/>
      </w:tabs>
      <w:snapToGrid w:val="0"/>
      <w:spacing w:before="120"/>
      <w:ind w:left="723" w:hangingChars="240" w:hanging="723"/>
    </w:pPr>
    <w:rPr>
      <w:rFonts w:ascii="楷体_GB2312"/>
      <w:bCs w:val="0"/>
      <w:spacing w:val="10"/>
      <w:w w:val="100"/>
      <w:kern w:val="2"/>
      <w:sz w:val="30"/>
      <w:szCs w:val="30"/>
    </w:rPr>
  </w:style>
  <w:style w:type="character" w:customStyle="1" w:styleId="p1501">
    <w:name w:val="p1501"/>
    <w:qFormat/>
    <w:rPr>
      <w:spacing w:val="360"/>
    </w:rPr>
  </w:style>
  <w:style w:type="character" w:customStyle="1" w:styleId="2CharChar3">
    <w:name w:val="正文文字 2 Char Char"/>
    <w:qFormat/>
    <w:rPr>
      <w:kern w:val="2"/>
      <w:sz w:val="21"/>
      <w:szCs w:val="24"/>
    </w:rPr>
  </w:style>
  <w:style w:type="character" w:customStyle="1" w:styleId="hei-92001">
    <w:name w:val="hei-92001"/>
    <w:qFormat/>
    <w:rPr>
      <w:color w:val="000000"/>
      <w:sz w:val="20"/>
      <w:szCs w:val="20"/>
      <w:u w:val="none"/>
    </w:rPr>
  </w:style>
  <w:style w:type="character" w:customStyle="1" w:styleId="dxj2Char">
    <w:name w:val="dxj标题2 Char"/>
    <w:link w:val="dxj2"/>
    <w:qFormat/>
    <w:locked/>
    <w:rPr>
      <w:rFonts w:ascii="Arial" w:eastAsia="黑体" w:hAnsi="Arial"/>
      <w:b/>
      <w:sz w:val="28"/>
      <w:szCs w:val="32"/>
    </w:rPr>
  </w:style>
  <w:style w:type="paragraph" w:customStyle="1" w:styleId="dxj2">
    <w:name w:val="dxj标题2"/>
    <w:basedOn w:val="22"/>
    <w:link w:val="dxj2Char"/>
    <w:qFormat/>
    <w:pPr>
      <w:jc w:val="left"/>
    </w:pPr>
    <w:rPr>
      <w:rFonts w:ascii="Arial" w:hAnsi="Arial"/>
      <w:bCs w:val="0"/>
      <w:spacing w:val="0"/>
      <w:w w:val="100"/>
      <w:kern w:val="0"/>
      <w:szCs w:val="32"/>
    </w:rPr>
  </w:style>
  <w:style w:type="character" w:customStyle="1" w:styleId="con">
    <w:name w:val="con"/>
    <w:qFormat/>
  </w:style>
  <w:style w:type="character" w:customStyle="1" w:styleId="CharCharChar9">
    <w:name w:val="一标题 Char Char Char"/>
    <w:link w:val="Charfffff"/>
    <w:qFormat/>
    <w:rPr>
      <w:sz w:val="28"/>
    </w:rPr>
  </w:style>
  <w:style w:type="paragraph" w:customStyle="1" w:styleId="Charfffff">
    <w:name w:val="一标题 Char"/>
    <w:basedOn w:val="a6"/>
    <w:link w:val="CharCharChar9"/>
    <w:qFormat/>
    <w:pPr>
      <w:widowControl/>
      <w:ind w:firstLineChars="192" w:firstLine="538"/>
      <w:jc w:val="left"/>
    </w:pPr>
    <w:rPr>
      <w:kern w:val="0"/>
      <w:sz w:val="28"/>
      <w:szCs w:val="20"/>
    </w:rPr>
  </w:style>
  <w:style w:type="character" w:customStyle="1" w:styleId="CharCharf9">
    <w:name w:val="正文不加粗 Char Char"/>
    <w:link w:val="afffffffd"/>
    <w:qFormat/>
    <w:rPr>
      <w:rFonts w:ascii="仿宋_GB2312" w:eastAsia="仿宋_GB2312" w:hAnsi="仿宋" w:cs="黑体"/>
      <w:kern w:val="2"/>
      <w:sz w:val="28"/>
      <w:szCs w:val="28"/>
    </w:rPr>
  </w:style>
  <w:style w:type="paragraph" w:customStyle="1" w:styleId="afffffffd">
    <w:name w:val="正文不加粗"/>
    <w:basedOn w:val="a6"/>
    <w:link w:val="CharCharf9"/>
    <w:qFormat/>
    <w:pPr>
      <w:ind w:firstLineChars="200" w:firstLine="200"/>
    </w:pPr>
    <w:rPr>
      <w:rFonts w:ascii="仿宋_GB2312" w:eastAsia="仿宋_GB2312" w:hAnsi="仿宋"/>
      <w:sz w:val="28"/>
      <w:szCs w:val="28"/>
    </w:rPr>
  </w:style>
  <w:style w:type="character" w:customStyle="1" w:styleId="13CharChar">
    <w:name w:val="正文小四首缩1.3行距 Char Char"/>
    <w:qFormat/>
    <w:rPr>
      <w:rFonts w:ascii="宋体" w:hAnsi="宋体"/>
      <w:kern w:val="28"/>
      <w:sz w:val="24"/>
      <w:szCs w:val="24"/>
    </w:rPr>
  </w:style>
  <w:style w:type="character" w:customStyle="1" w:styleId="3CharCharCharChar">
    <w:name w:val="样式 标题 3 + 宋体 Char Char Char Char"/>
    <w:qFormat/>
    <w:rPr>
      <w:b/>
      <w:bCs/>
      <w:sz w:val="32"/>
      <w:szCs w:val="32"/>
    </w:rPr>
  </w:style>
  <w:style w:type="character" w:customStyle="1" w:styleId="CharCharfa">
    <w:name w:val="章标题(无序号) Char Char"/>
    <w:qFormat/>
    <w:rPr>
      <w:rFonts w:eastAsia="黑体"/>
      <w:b/>
      <w:kern w:val="2"/>
      <w:sz w:val="36"/>
      <w:lang w:val="en-US" w:eastAsia="zh-CN" w:bidi="ar-SA"/>
    </w:rPr>
  </w:style>
  <w:style w:type="character" w:customStyle="1" w:styleId="CharChar60">
    <w:name w:val="Char Char6"/>
    <w:qFormat/>
    <w:rPr>
      <w:rFonts w:ascii="宋体" w:eastAsia="宋体" w:hAnsi="宋体"/>
      <w:b/>
      <w:kern w:val="2"/>
      <w:sz w:val="21"/>
      <w:szCs w:val="24"/>
      <w:lang w:val="en-US" w:eastAsia="zh-CN"/>
    </w:rPr>
  </w:style>
  <w:style w:type="character" w:customStyle="1" w:styleId="HTML11">
    <w:name w:val="HTML 代码1"/>
    <w:qFormat/>
    <w:rPr>
      <w:rFonts w:ascii="Courier New" w:eastAsia="宋体" w:hAnsi="Courier New" w:cs="Courier New"/>
      <w:kern w:val="2"/>
      <w:sz w:val="20"/>
      <w:szCs w:val="20"/>
      <w:lang w:val="en-US" w:eastAsia="zh-CN"/>
    </w:rPr>
  </w:style>
  <w:style w:type="character" w:customStyle="1" w:styleId="dxjChar">
    <w:name w:val="dxj表头 Char"/>
    <w:link w:val="dxj"/>
    <w:qFormat/>
    <w:locked/>
    <w:rPr>
      <w:rFonts w:eastAsia="黑体"/>
      <w:szCs w:val="21"/>
    </w:rPr>
  </w:style>
  <w:style w:type="paragraph" w:customStyle="1" w:styleId="dxj">
    <w:name w:val="dxj表头"/>
    <w:basedOn w:val="a6"/>
    <w:link w:val="dxjChar"/>
    <w:qFormat/>
    <w:pPr>
      <w:jc w:val="center"/>
    </w:pPr>
    <w:rPr>
      <w:rFonts w:eastAsia="黑体"/>
      <w:kern w:val="0"/>
      <w:sz w:val="20"/>
      <w:szCs w:val="21"/>
    </w:rPr>
  </w:style>
  <w:style w:type="character" w:customStyle="1" w:styleId="textediteditable-title">
    <w:name w:val="text_edit editable-title"/>
    <w:qFormat/>
  </w:style>
  <w:style w:type="character" w:customStyle="1" w:styleId="CharCharCharCharCharChar">
    <w:name w:val="表文字 Char Char Char Char Char Char"/>
    <w:link w:val="CharCharCharCharChar2"/>
    <w:qFormat/>
    <w:rPr>
      <w:sz w:val="21"/>
      <w:szCs w:val="21"/>
      <w:lang w:val="en-US" w:eastAsia="zh-CN" w:bidi="ar-SA"/>
    </w:rPr>
  </w:style>
  <w:style w:type="paragraph" w:customStyle="1" w:styleId="CharCharCharCharChar2">
    <w:name w:val="表文字 Char Char Char Char Char"/>
    <w:link w:val="CharCharCharCharCharChar"/>
    <w:qFormat/>
    <w:pPr>
      <w:spacing w:line="300" w:lineRule="exact"/>
    </w:pPr>
    <w:rPr>
      <w:sz w:val="21"/>
      <w:szCs w:val="21"/>
    </w:rPr>
  </w:style>
  <w:style w:type="character" w:customStyle="1" w:styleId="CharChar101">
    <w:name w:val="Char Char101"/>
    <w:qFormat/>
    <w:rPr>
      <w:kern w:val="2"/>
      <w:sz w:val="21"/>
      <w:szCs w:val="24"/>
    </w:rPr>
  </w:style>
  <w:style w:type="character" w:customStyle="1" w:styleId="EmailStyle542">
    <w:name w:val="EmailStyle542"/>
    <w:qFormat/>
    <w:rPr>
      <w:rFonts w:ascii="Arial" w:eastAsia="宋体" w:hAnsi="Arial" w:cs="Arial"/>
      <w:color w:val="auto"/>
      <w:sz w:val="20"/>
    </w:rPr>
  </w:style>
  <w:style w:type="character" w:customStyle="1" w:styleId="Char28">
    <w:name w:val="正文首行缩进 Char2"/>
    <w:qFormat/>
    <w:rPr>
      <w:rFonts w:ascii="Calibri" w:hAnsi="Calibri"/>
      <w:szCs w:val="24"/>
    </w:rPr>
  </w:style>
  <w:style w:type="character" w:customStyle="1" w:styleId="xxxxxChar">
    <w:name w:val="xxxxx正文 Char"/>
    <w:link w:val="xxxxx"/>
    <w:qFormat/>
    <w:rPr>
      <w:rFonts w:ascii="宋体"/>
      <w:sz w:val="24"/>
      <w:lang w:val="zh-CN"/>
    </w:rPr>
  </w:style>
  <w:style w:type="paragraph" w:customStyle="1" w:styleId="xxxxx">
    <w:name w:val="xxxxx正文"/>
    <w:basedOn w:val="a6"/>
    <w:link w:val="xxxxxChar"/>
    <w:qFormat/>
    <w:pPr>
      <w:topLinePunct/>
      <w:spacing w:line="360" w:lineRule="auto"/>
      <w:ind w:firstLineChars="200" w:firstLine="200"/>
    </w:pPr>
    <w:rPr>
      <w:rFonts w:ascii="宋体"/>
      <w:kern w:val="0"/>
      <w:sz w:val="24"/>
      <w:szCs w:val="20"/>
      <w:lang w:val="zh-CN"/>
    </w:rPr>
  </w:style>
  <w:style w:type="character" w:customStyle="1" w:styleId="wangChar">
    <w:name w:val="正文wang Char"/>
    <w:link w:val="wang"/>
    <w:qFormat/>
    <w:rPr>
      <w:rFonts w:hAnsi="宋体"/>
      <w:sz w:val="21"/>
      <w:szCs w:val="21"/>
    </w:rPr>
  </w:style>
  <w:style w:type="paragraph" w:customStyle="1" w:styleId="wang">
    <w:name w:val="正文wang"/>
    <w:basedOn w:val="a6"/>
    <w:link w:val="wangChar"/>
    <w:qFormat/>
    <w:pPr>
      <w:adjustRightInd w:val="0"/>
      <w:spacing w:beforeLines="25"/>
      <w:ind w:firstLine="420"/>
    </w:pPr>
    <w:rPr>
      <w:rFonts w:hAnsi="宋体"/>
      <w:kern w:val="0"/>
      <w:szCs w:val="21"/>
    </w:rPr>
  </w:style>
  <w:style w:type="character" w:customStyle="1" w:styleId="afffffffe">
    <w:name w:val="样式 黑体 三号"/>
    <w:qFormat/>
    <w:rPr>
      <w:rFonts w:ascii="黑体" w:eastAsia="黑体"/>
      <w:b/>
      <w:position w:val="8"/>
      <w:sz w:val="32"/>
      <w:szCs w:val="32"/>
    </w:rPr>
  </w:style>
  <w:style w:type="character" w:customStyle="1" w:styleId="5CharCharChar0">
    <w:name w:val="表内小5 Char Char Char"/>
    <w:qFormat/>
    <w:rPr>
      <w:rFonts w:ascii="宋体" w:eastAsia="宋体" w:hAnsi="宋体"/>
      <w:kern w:val="2"/>
      <w:sz w:val="21"/>
      <w:szCs w:val="21"/>
      <w:lang w:val="en-US" w:eastAsia="zh-CN" w:bidi="ar-SA"/>
    </w:rPr>
  </w:style>
  <w:style w:type="character" w:customStyle="1" w:styleId="QuoteChar">
    <w:name w:val="Quote Char"/>
    <w:link w:val="1fb"/>
    <w:qFormat/>
    <w:rPr>
      <w:i/>
      <w:iCs/>
      <w:color w:val="000000"/>
      <w:sz w:val="22"/>
      <w:szCs w:val="22"/>
      <w:lang w:eastAsia="en-US"/>
    </w:rPr>
  </w:style>
  <w:style w:type="paragraph" w:customStyle="1" w:styleId="1fb">
    <w:name w:val="引用1"/>
    <w:basedOn w:val="a6"/>
    <w:next w:val="a6"/>
    <w:link w:val="QuoteChar"/>
    <w:qFormat/>
    <w:pPr>
      <w:widowControl/>
      <w:spacing w:after="200" w:line="276" w:lineRule="auto"/>
      <w:jc w:val="left"/>
    </w:pPr>
    <w:rPr>
      <w:i/>
      <w:iCs/>
      <w:color w:val="000000"/>
      <w:kern w:val="0"/>
      <w:sz w:val="22"/>
      <w:szCs w:val="22"/>
      <w:lang w:eastAsia="en-US"/>
    </w:rPr>
  </w:style>
  <w:style w:type="character" w:customStyle="1" w:styleId="flzxp1">
    <w:name w:val="flzx_p1"/>
    <w:qFormat/>
    <w:rPr>
      <w:rFonts w:ascii="Arial" w:hAnsi="Arial" w:cs="Arial" w:hint="default"/>
      <w:color w:val="003483"/>
      <w:sz w:val="30"/>
      <w:szCs w:val="30"/>
      <w:u w:val="none"/>
    </w:rPr>
  </w:style>
  <w:style w:type="character" w:customStyle="1" w:styleId="4Char13">
    <w:name w:val="标题 4 Char13"/>
    <w:qFormat/>
    <w:rPr>
      <w:rFonts w:ascii="Arial" w:eastAsia="宋体" w:hAnsi="Arial"/>
      <w:snapToGrid/>
      <w:kern w:val="2"/>
      <w:sz w:val="24"/>
      <w:szCs w:val="24"/>
      <w:lang w:val="en-US" w:eastAsia="zh-CN" w:bidi="ar-SA"/>
    </w:rPr>
  </w:style>
  <w:style w:type="character" w:customStyle="1" w:styleId="Char29">
    <w:name w:val="批注文字 Char2"/>
    <w:qFormat/>
    <w:rPr>
      <w:kern w:val="2"/>
      <w:sz w:val="21"/>
      <w:szCs w:val="22"/>
    </w:rPr>
  </w:style>
  <w:style w:type="character" w:customStyle="1" w:styleId="CharCharChar10">
    <w:name w:val="正文文字 Char Char Char1"/>
    <w:qFormat/>
    <w:rPr>
      <w:rFonts w:ascii="宋体" w:eastAsia="宋体"/>
      <w:color w:val="000000"/>
      <w:kern w:val="2"/>
      <w:sz w:val="24"/>
      <w:lang w:val="en-US" w:eastAsia="zh-CN" w:bidi="ar-SA"/>
    </w:rPr>
  </w:style>
  <w:style w:type="character" w:customStyle="1" w:styleId="CharCharfb">
    <w:name w:val="图表题 Char Char"/>
    <w:link w:val="affffffff"/>
    <w:qFormat/>
    <w:rPr>
      <w:rFonts w:ascii="黑体" w:eastAsia="黑体" w:hAnsi="宋体"/>
      <w:b/>
      <w:kern w:val="2"/>
      <w:sz w:val="24"/>
    </w:rPr>
  </w:style>
  <w:style w:type="paragraph" w:customStyle="1" w:styleId="affffffff">
    <w:name w:val="图表题"/>
    <w:basedOn w:val="affffa"/>
    <w:next w:val="affffa"/>
    <w:link w:val="CharCharfb"/>
    <w:qFormat/>
    <w:pPr>
      <w:ind w:firstLine="0"/>
      <w:jc w:val="center"/>
    </w:pPr>
    <w:rPr>
      <w:rFonts w:ascii="黑体" w:eastAsia="黑体"/>
      <w:b/>
    </w:rPr>
  </w:style>
  <w:style w:type="character" w:customStyle="1" w:styleId="Charfffff0">
    <w:name w:val="表后空格 Char"/>
    <w:link w:val="affffffff0"/>
    <w:qFormat/>
    <w:rPr>
      <w:rFonts w:ascii="楷体_GB2312" w:eastAsia="楷体_GB2312" w:hAnsi="楷体_GB2312"/>
      <w:color w:val="000000"/>
      <w:w w:val="110"/>
      <w:sz w:val="24"/>
      <w:szCs w:val="24"/>
    </w:rPr>
  </w:style>
  <w:style w:type="paragraph" w:customStyle="1" w:styleId="affffffff0">
    <w:name w:val="表后空格"/>
    <w:basedOn w:val="affff4"/>
    <w:link w:val="Charfffff0"/>
    <w:qFormat/>
    <w:pPr>
      <w:spacing w:line="240" w:lineRule="exact"/>
      <w:ind w:firstLine="480"/>
    </w:pPr>
  </w:style>
  <w:style w:type="character" w:customStyle="1" w:styleId="bluetxt1">
    <w:name w:val="bluetxt1"/>
    <w:qFormat/>
  </w:style>
  <w:style w:type="character" w:customStyle="1" w:styleId="4CharChar5">
    <w:name w:val="标题 4 Char Char5"/>
    <w:qFormat/>
    <w:rPr>
      <w:rFonts w:eastAsia="宋体"/>
      <w:snapToGrid/>
      <w:kern w:val="2"/>
      <w:sz w:val="24"/>
      <w:szCs w:val="24"/>
      <w:lang w:val="en-US" w:eastAsia="zh-CN" w:bidi="ar-SA"/>
    </w:rPr>
  </w:style>
  <w:style w:type="character" w:customStyle="1" w:styleId="CharChar21">
    <w:name w:val="Char Char21"/>
    <w:qFormat/>
    <w:rPr>
      <w:rFonts w:eastAsia="仿宋_GB2312"/>
      <w:spacing w:val="-4"/>
      <w:kern w:val="20"/>
      <w:sz w:val="28"/>
      <w:lang w:val="en-US" w:eastAsia="zh-CN" w:bidi="ar-SA"/>
    </w:rPr>
  </w:style>
  <w:style w:type="character" w:customStyle="1" w:styleId="1CharChar6">
    <w:name w:val="（1）标题 Char Char"/>
    <w:link w:val="1fc"/>
    <w:qFormat/>
    <w:rPr>
      <w:sz w:val="28"/>
    </w:rPr>
  </w:style>
  <w:style w:type="paragraph" w:customStyle="1" w:styleId="1fc">
    <w:name w:val="（1）标题"/>
    <w:basedOn w:val="a6"/>
    <w:link w:val="1CharChar6"/>
    <w:qFormat/>
    <w:pPr>
      <w:widowControl/>
      <w:ind w:firstLineChars="200" w:firstLine="560"/>
      <w:jc w:val="left"/>
    </w:pPr>
    <w:rPr>
      <w:kern w:val="0"/>
      <w:sz w:val="28"/>
      <w:szCs w:val="20"/>
    </w:rPr>
  </w:style>
  <w:style w:type="character" w:customStyle="1" w:styleId="01Char2">
    <w:name w:val="正文01 Char2"/>
    <w:qFormat/>
    <w:rPr>
      <w:rFonts w:ascii="Times New Roman" w:eastAsia="宋体" w:hAnsi="Times New Roman" w:cs="Times New Roman"/>
      <w:color w:val="000000"/>
      <w:kern w:val="0"/>
      <w:sz w:val="24"/>
      <w:szCs w:val="18"/>
    </w:rPr>
  </w:style>
  <w:style w:type="character" w:customStyle="1" w:styleId="CharCharfc">
    <w:name w:val="无间隔 Char Char"/>
    <w:link w:val="3f7"/>
    <w:qFormat/>
    <w:rPr>
      <w:sz w:val="22"/>
      <w:lang w:val="en-US" w:eastAsia="zh-CN" w:bidi="ar-SA"/>
    </w:rPr>
  </w:style>
  <w:style w:type="paragraph" w:customStyle="1" w:styleId="3f7">
    <w:name w:val="无间隔3"/>
    <w:link w:val="CharCharfc"/>
    <w:qFormat/>
    <w:rPr>
      <w:sz w:val="22"/>
    </w:rPr>
  </w:style>
  <w:style w:type="character" w:customStyle="1" w:styleId="ca-6">
    <w:name w:val="ca-6"/>
    <w:qFormat/>
  </w:style>
  <w:style w:type="character" w:customStyle="1" w:styleId="001CharChar">
    <w:name w:val="正文001 Char Char"/>
    <w:link w:val="001"/>
    <w:qFormat/>
    <w:rPr>
      <w:kern w:val="2"/>
      <w:sz w:val="24"/>
    </w:rPr>
  </w:style>
  <w:style w:type="paragraph" w:customStyle="1" w:styleId="001">
    <w:name w:val="正文001"/>
    <w:basedOn w:val="a6"/>
    <w:link w:val="001CharChar"/>
    <w:qFormat/>
    <w:pPr>
      <w:spacing w:line="500" w:lineRule="atLeast"/>
      <w:ind w:firstLineChars="200" w:firstLine="200"/>
    </w:pPr>
    <w:rPr>
      <w:sz w:val="24"/>
      <w:szCs w:val="20"/>
    </w:rPr>
  </w:style>
  <w:style w:type="character" w:customStyle="1" w:styleId="msoins0">
    <w:name w:val="msoins"/>
    <w:qFormat/>
  </w:style>
  <w:style w:type="character" w:customStyle="1" w:styleId="3CharChar1">
    <w:name w:val="正文3 Char Char"/>
    <w:qFormat/>
    <w:rPr>
      <w:rFonts w:ascii="楷体_GB2312" w:eastAsia="楷体_GB2312" w:hAnsi="Calibri"/>
      <w:b/>
      <w:kern w:val="2"/>
      <w:sz w:val="24"/>
      <w:szCs w:val="24"/>
      <w:lang w:bidi="ar-SA"/>
    </w:rPr>
  </w:style>
  <w:style w:type="character" w:customStyle="1" w:styleId="mytext1">
    <w:name w:val="mytext1"/>
    <w:qFormat/>
  </w:style>
  <w:style w:type="character" w:customStyle="1" w:styleId="Charfffff1">
    <w:name w:val="表样式 Char"/>
    <w:qFormat/>
    <w:rPr>
      <w:rFonts w:ascii="黑体" w:eastAsia="黑体"/>
      <w:kern w:val="2"/>
      <w:sz w:val="28"/>
      <w:lang w:val="en-US" w:eastAsia="zh-CN"/>
    </w:rPr>
  </w:style>
  <w:style w:type="character" w:customStyle="1" w:styleId="Charfffff2">
    <w:name w:val="报告书表格 Char"/>
    <w:qFormat/>
    <w:rPr>
      <w:rFonts w:ascii="Times New Roman" w:eastAsia="宋体" w:hAnsi="Times New Roman" w:cs="Times New Roman"/>
      <w:kern w:val="0"/>
      <w:szCs w:val="20"/>
    </w:rPr>
  </w:style>
  <w:style w:type="character" w:customStyle="1" w:styleId="1Char12">
    <w:name w:val="正文1 Char1"/>
    <w:qFormat/>
    <w:rPr>
      <w:rFonts w:eastAsia="楷体_GB2312"/>
      <w:kern w:val="2"/>
      <w:sz w:val="28"/>
      <w:lang w:val="en-US" w:eastAsia="zh-CN"/>
    </w:rPr>
  </w:style>
  <w:style w:type="character" w:customStyle="1" w:styleId="3CharCharCharCharChar0">
    <w:name w:val="标题 3 Char Char Char Char Char"/>
    <w:qFormat/>
    <w:rPr>
      <w:rFonts w:ascii="宋体" w:eastAsia="宋体" w:hAnsi="宋体"/>
      <w:b/>
      <w:bCs/>
      <w:kern w:val="2"/>
      <w:sz w:val="28"/>
      <w:szCs w:val="32"/>
      <w:lang w:val="en-US" w:eastAsia="zh-CN" w:bidi="ar-SA"/>
    </w:rPr>
  </w:style>
  <w:style w:type="character" w:customStyle="1" w:styleId="0CharChar">
    <w:name w:val="0 Char Char"/>
    <w:link w:val="0"/>
    <w:qFormat/>
    <w:rPr>
      <w:rFonts w:ascii="Arial" w:eastAsia="仿宋_GB2312" w:hAnsi="宋体"/>
      <w:sz w:val="18"/>
    </w:rPr>
  </w:style>
  <w:style w:type="paragraph" w:customStyle="1" w:styleId="0">
    <w:name w:val="0"/>
    <w:basedOn w:val="a6"/>
    <w:link w:val="0CharChar"/>
    <w:qFormat/>
    <w:pPr>
      <w:tabs>
        <w:tab w:val="left" w:pos="975"/>
      </w:tabs>
      <w:wordWrap w:val="0"/>
      <w:overflowPunct w:val="0"/>
      <w:snapToGrid w:val="0"/>
      <w:jc w:val="left"/>
    </w:pPr>
    <w:rPr>
      <w:rFonts w:ascii="Arial" w:eastAsia="仿宋_GB2312" w:hAnsi="宋体"/>
      <w:kern w:val="0"/>
      <w:sz w:val="18"/>
      <w:szCs w:val="20"/>
    </w:rPr>
  </w:style>
  <w:style w:type="character" w:customStyle="1" w:styleId="HTMLCharChar2">
    <w:name w:val="HTML 预先格式化 Char Char2"/>
    <w:qFormat/>
    <w:rPr>
      <w:rFonts w:ascii="宋体" w:eastAsia="宋体" w:hAnsi="宋体"/>
      <w:color w:val="000000"/>
      <w:sz w:val="21"/>
      <w:szCs w:val="21"/>
      <w:lang w:val="en-US" w:eastAsia="zh-CN" w:bidi="ar-SA"/>
    </w:rPr>
  </w:style>
  <w:style w:type="character" w:customStyle="1" w:styleId="unnamed11">
    <w:name w:val="unnamed11"/>
    <w:qFormat/>
    <w:rPr>
      <w:color w:val="000000"/>
      <w:spacing w:val="450"/>
      <w:sz w:val="18"/>
    </w:rPr>
  </w:style>
  <w:style w:type="character" w:customStyle="1" w:styleId="5Char3">
    <w:name w:val="表内小5 Char"/>
    <w:qFormat/>
    <w:rPr>
      <w:rFonts w:ascii="宋体" w:eastAsia="宋体" w:hAnsi="宋体"/>
      <w:kern w:val="2"/>
      <w:sz w:val="21"/>
      <w:szCs w:val="21"/>
      <w:lang w:val="en-US" w:eastAsia="zh-CN" w:bidi="ar-SA"/>
    </w:rPr>
  </w:style>
  <w:style w:type="character" w:customStyle="1" w:styleId="Charfffff3">
    <w:name w:val="表中文字石 Char"/>
    <w:link w:val="affffffff1"/>
    <w:qFormat/>
    <w:rPr>
      <w:rFonts w:cs="Arial"/>
      <w:kern w:val="2"/>
      <w:sz w:val="18"/>
      <w:szCs w:val="18"/>
      <w:lang w:val="en-US" w:eastAsia="zh-CN" w:bidi="ar-SA"/>
    </w:rPr>
  </w:style>
  <w:style w:type="paragraph" w:customStyle="1" w:styleId="affffffff1">
    <w:name w:val="表中文字石"/>
    <w:next w:val="a6"/>
    <w:link w:val="Charfffff3"/>
    <w:qFormat/>
    <w:pPr>
      <w:widowControl w:val="0"/>
      <w:tabs>
        <w:tab w:val="left" w:pos="7335"/>
      </w:tabs>
      <w:jc w:val="center"/>
    </w:pPr>
    <w:rPr>
      <w:rFonts w:cs="Arial"/>
      <w:kern w:val="2"/>
      <w:sz w:val="18"/>
      <w:szCs w:val="18"/>
    </w:rPr>
  </w:style>
  <w:style w:type="character" w:customStyle="1" w:styleId="smallpromostyle14">
    <w:name w:val="smallpromo  style14"/>
    <w:basedOn w:val="a7"/>
    <w:qFormat/>
  </w:style>
  <w:style w:type="character" w:customStyle="1" w:styleId="CharCharChara">
    <w:name w:val="列表 Char Char Char"/>
    <w:qFormat/>
    <w:rPr>
      <w:rFonts w:ascii="Times New Roman" w:hAnsi="Times New Roman"/>
      <w:spacing w:val="4"/>
      <w:sz w:val="21"/>
    </w:rPr>
  </w:style>
  <w:style w:type="character" w:customStyle="1" w:styleId="Charfffff4">
    <w:name w:val="表格文字中 Char"/>
    <w:link w:val="affffffff2"/>
    <w:qFormat/>
    <w:rPr>
      <w:sz w:val="21"/>
      <w:szCs w:val="24"/>
    </w:rPr>
  </w:style>
  <w:style w:type="paragraph" w:customStyle="1" w:styleId="affffffff2">
    <w:name w:val="表格文字中"/>
    <w:basedOn w:val="a6"/>
    <w:link w:val="Charfffff4"/>
    <w:qFormat/>
    <w:pPr>
      <w:jc w:val="center"/>
    </w:pPr>
    <w:rPr>
      <w:kern w:val="0"/>
    </w:rPr>
  </w:style>
  <w:style w:type="character" w:customStyle="1" w:styleId="Footer1CharChar">
    <w:name w:val="Footer1 Char Char"/>
    <w:qFormat/>
    <w:rPr>
      <w:sz w:val="18"/>
      <w:szCs w:val="18"/>
    </w:rPr>
  </w:style>
  <w:style w:type="character" w:customStyle="1" w:styleId="CharCharCharb">
    <w:name w:val="Char Char Char"/>
    <w:qFormat/>
    <w:rPr>
      <w:rFonts w:eastAsia="宋体"/>
      <w:b/>
      <w:bCs/>
      <w:sz w:val="32"/>
      <w:szCs w:val="32"/>
      <w:lang w:val="en-US" w:eastAsia="zh-CN"/>
    </w:rPr>
  </w:style>
  <w:style w:type="character" w:customStyle="1" w:styleId="GB2312">
    <w:name w:val="样式 (西文) 宋体 (中文) 仿宋_GB2312 黑色"/>
    <w:qFormat/>
    <w:rPr>
      <w:rFonts w:ascii="Times New Roman" w:eastAsia="仿宋_GB2312" w:hAnsi="Times New Roman" w:cs="Courier New"/>
      <w:color w:val="000000"/>
      <w:kern w:val="2"/>
      <w:sz w:val="32"/>
      <w:szCs w:val="32"/>
      <w:lang w:val="en-US" w:eastAsia="zh-CN" w:bidi="ar-SA"/>
    </w:rPr>
  </w:style>
  <w:style w:type="character" w:customStyle="1" w:styleId="CharChar70">
    <w:name w:val="Char Char7"/>
    <w:uiPriority w:val="99"/>
    <w:qFormat/>
    <w:rPr>
      <w:kern w:val="2"/>
      <w:sz w:val="18"/>
    </w:rPr>
  </w:style>
  <w:style w:type="character" w:customStyle="1" w:styleId="HTMLChar2">
    <w:name w:val="HTML 地址 Char2"/>
    <w:qFormat/>
    <w:rPr>
      <w:i/>
      <w:iCs/>
      <w:kern w:val="2"/>
      <w:sz w:val="24"/>
      <w:szCs w:val="24"/>
    </w:rPr>
  </w:style>
  <w:style w:type="character" w:customStyle="1" w:styleId="Char1f2">
    <w:name w:val="引用 Char1"/>
    <w:qFormat/>
    <w:rPr>
      <w:i/>
      <w:iCs/>
      <w:color w:val="404040"/>
      <w:kern w:val="2"/>
      <w:sz w:val="21"/>
      <w:szCs w:val="24"/>
    </w:rPr>
  </w:style>
  <w:style w:type="character" w:customStyle="1" w:styleId="Char2a">
    <w:name w:val="信息标题 Char2"/>
    <w:qFormat/>
    <w:rPr>
      <w:rFonts w:ascii="Cambria" w:eastAsia="宋体" w:hAnsi="Cambria" w:cs="Times New Roman"/>
      <w:kern w:val="2"/>
      <w:sz w:val="24"/>
      <w:szCs w:val="24"/>
      <w:shd w:val="pct20" w:color="auto" w:fill="auto"/>
    </w:rPr>
  </w:style>
  <w:style w:type="character" w:customStyle="1" w:styleId="Char34">
    <w:name w:val="正文首行缩进 Char3"/>
    <w:uiPriority w:val="99"/>
    <w:qFormat/>
    <w:rPr>
      <w:kern w:val="2"/>
      <w:sz w:val="24"/>
      <w:szCs w:val="24"/>
    </w:rPr>
  </w:style>
  <w:style w:type="character" w:customStyle="1" w:styleId="Char2b">
    <w:name w:val="正文文本 Char2"/>
    <w:qFormat/>
    <w:rPr>
      <w:kern w:val="2"/>
      <w:sz w:val="24"/>
      <w:szCs w:val="24"/>
    </w:rPr>
  </w:style>
  <w:style w:type="character" w:customStyle="1" w:styleId="22Char">
    <w:name w:val="标题2 国寰 标题2 Char"/>
    <w:link w:val="224"/>
    <w:qFormat/>
    <w:rPr>
      <w:rFonts w:eastAsia="黑体" w:cs="宋体"/>
      <w:bCs/>
      <w:color w:val="000000"/>
      <w:kern w:val="2"/>
      <w:sz w:val="28"/>
      <w:szCs w:val="32"/>
    </w:rPr>
  </w:style>
  <w:style w:type="paragraph" w:customStyle="1" w:styleId="224">
    <w:name w:val="标题2 国寰 标题2"/>
    <w:basedOn w:val="22"/>
    <w:next w:val="af8"/>
    <w:link w:val="22Char"/>
    <w:qFormat/>
    <w:pPr>
      <w:adjustRightInd w:val="0"/>
      <w:ind w:left="1003" w:hanging="578"/>
    </w:pPr>
    <w:rPr>
      <w:b/>
      <w:color w:val="000000"/>
      <w:spacing w:val="0"/>
      <w:w w:val="100"/>
      <w:kern w:val="2"/>
      <w:szCs w:val="32"/>
    </w:rPr>
  </w:style>
  <w:style w:type="character" w:customStyle="1" w:styleId="CharChar161">
    <w:name w:val="Char Char161"/>
    <w:qFormat/>
    <w:rPr>
      <w:rFonts w:ascii="宋体" w:hAnsi="Courier New"/>
      <w:kern w:val="2"/>
      <w:sz w:val="21"/>
      <w:szCs w:val="21"/>
      <w:lang w:bidi="ar-SA"/>
    </w:rPr>
  </w:style>
  <w:style w:type="character" w:customStyle="1" w:styleId="djen2">
    <w:name w:val="djen2"/>
    <w:qFormat/>
    <w:rPr>
      <w:color w:val="3476CD"/>
    </w:rPr>
  </w:style>
  <w:style w:type="character" w:customStyle="1" w:styleId="4CharChar2">
    <w:name w:val="表格标题4 Char Char"/>
    <w:link w:val="4f"/>
    <w:qFormat/>
    <w:rPr>
      <w:rFonts w:ascii="宋体" w:hAnsi="华文细黑"/>
      <w:b/>
      <w:spacing w:val="8"/>
      <w:sz w:val="28"/>
    </w:rPr>
  </w:style>
  <w:style w:type="paragraph" w:customStyle="1" w:styleId="4f">
    <w:name w:val="表格标题4"/>
    <w:basedOn w:val="a6"/>
    <w:link w:val="4CharChar2"/>
    <w:qFormat/>
    <w:pPr>
      <w:widowControl/>
      <w:autoSpaceDE w:val="0"/>
      <w:autoSpaceDN w:val="0"/>
      <w:adjustRightInd w:val="0"/>
      <w:snapToGrid w:val="0"/>
      <w:spacing w:after="200" w:line="360" w:lineRule="auto"/>
      <w:ind w:firstLine="221"/>
      <w:jc w:val="center"/>
      <w:textAlignment w:val="bottom"/>
    </w:pPr>
    <w:rPr>
      <w:rFonts w:ascii="宋体" w:hAnsi="华文细黑"/>
      <w:b/>
      <w:spacing w:val="8"/>
      <w:kern w:val="0"/>
      <w:sz w:val="28"/>
      <w:szCs w:val="20"/>
    </w:rPr>
  </w:style>
  <w:style w:type="character" w:customStyle="1" w:styleId="123CharCharCharCharCharChar">
    <w:name w:val="123 Char Char Char Char Char Char"/>
    <w:qFormat/>
    <w:rPr>
      <w:rFonts w:ascii="宋体" w:eastAsia="宋体" w:hAnsi="宋体"/>
      <w:b/>
      <w:spacing w:val="20"/>
      <w:kern w:val="2"/>
      <w:sz w:val="28"/>
      <w:lang w:val="en-US" w:eastAsia="zh-CN"/>
    </w:rPr>
  </w:style>
  <w:style w:type="character" w:customStyle="1" w:styleId="CharCharfd">
    <w:name w:val="设计正文 Char Char"/>
    <w:semiHidden/>
    <w:qFormat/>
    <w:rPr>
      <w:rFonts w:ascii="宋体"/>
      <w:kern w:val="2"/>
      <w:sz w:val="24"/>
    </w:rPr>
  </w:style>
  <w:style w:type="character" w:customStyle="1" w:styleId="1fd">
    <w:name w:val="明显参考1"/>
    <w:qFormat/>
    <w:rPr>
      <w:smallCaps/>
      <w:spacing w:val="5"/>
      <w:u w:val="single"/>
    </w:rPr>
  </w:style>
  <w:style w:type="character" w:customStyle="1" w:styleId="1fe">
    <w:name w:val="明显强调1"/>
    <w:qFormat/>
    <w:rPr>
      <w:b/>
      <w:bCs/>
    </w:rPr>
  </w:style>
  <w:style w:type="character" w:customStyle="1" w:styleId="1ff">
    <w:name w:val="不明显强调1"/>
    <w:qFormat/>
    <w:rPr>
      <w:i/>
      <w:iCs/>
    </w:rPr>
  </w:style>
  <w:style w:type="character" w:customStyle="1" w:styleId="Char2c">
    <w:name w:val="批注框文本 Char2"/>
    <w:uiPriority w:val="99"/>
    <w:semiHidden/>
    <w:qFormat/>
    <w:rPr>
      <w:sz w:val="18"/>
      <w:szCs w:val="18"/>
    </w:rPr>
  </w:style>
  <w:style w:type="character" w:customStyle="1" w:styleId="Document2">
    <w:name w:val="Document 2"/>
    <w:qFormat/>
    <w:rPr>
      <w:rFonts w:ascii="Courier" w:hAnsi="Courier"/>
      <w:sz w:val="24"/>
      <w:lang w:val="en-US"/>
    </w:rPr>
  </w:style>
  <w:style w:type="character" w:customStyle="1" w:styleId="CharChar42">
    <w:name w:val="Char Char42"/>
    <w:qFormat/>
    <w:rPr>
      <w:rFonts w:ascii="宋体" w:eastAsia="宋体" w:hAnsi="Courier New" w:cs="Courier New"/>
      <w:kern w:val="2"/>
      <w:sz w:val="21"/>
      <w:szCs w:val="21"/>
      <w:lang w:val="en-US" w:eastAsia="zh-CN" w:bidi="ar-SA"/>
    </w:rPr>
  </w:style>
  <w:style w:type="character" w:customStyle="1" w:styleId="Document6">
    <w:name w:val="Document 6"/>
    <w:qFormat/>
  </w:style>
  <w:style w:type="character" w:customStyle="1" w:styleId="Technical1">
    <w:name w:val="Technical 1"/>
    <w:qFormat/>
    <w:rPr>
      <w:rFonts w:ascii="Courier" w:hAnsi="Courier"/>
      <w:sz w:val="24"/>
      <w:lang w:val="en-US"/>
    </w:rPr>
  </w:style>
  <w:style w:type="character" w:customStyle="1" w:styleId="EquationCaption">
    <w:name w:val="_Equation Caption"/>
    <w:qFormat/>
  </w:style>
  <w:style w:type="character" w:customStyle="1" w:styleId="Technical3">
    <w:name w:val="Technical 3"/>
    <w:qFormat/>
    <w:rPr>
      <w:rFonts w:ascii="Courier" w:hAnsi="Courier"/>
      <w:sz w:val="24"/>
      <w:lang w:val="en-US"/>
    </w:rPr>
  </w:style>
  <w:style w:type="character" w:customStyle="1" w:styleId="Charfffff5">
    <w:name w:val="条文首行缩进 Char"/>
    <w:link w:val="affffffff3"/>
    <w:qFormat/>
    <w:rPr>
      <w:rFonts w:ascii="Calibri" w:hAnsi="Calibri"/>
      <w:kern w:val="2"/>
      <w:sz w:val="21"/>
      <w:szCs w:val="22"/>
    </w:rPr>
  </w:style>
  <w:style w:type="paragraph" w:customStyle="1" w:styleId="affffffff3">
    <w:name w:val="条文首行缩进"/>
    <w:basedOn w:val="af0"/>
    <w:link w:val="Charfffff5"/>
    <w:qFormat/>
    <w:pPr>
      <w:adjustRightInd/>
      <w:spacing w:line="240" w:lineRule="auto"/>
      <w:ind w:firstLine="0"/>
      <w:jc w:val="both"/>
      <w:textAlignment w:val="auto"/>
    </w:pPr>
    <w:rPr>
      <w:rFonts w:ascii="Calibri" w:hAnsi="Calibri"/>
      <w:kern w:val="2"/>
      <w:sz w:val="21"/>
      <w:szCs w:val="22"/>
    </w:rPr>
  </w:style>
  <w:style w:type="character" w:customStyle="1" w:styleId="Charfffff6">
    <w:name w:val="标题行 Char"/>
    <w:link w:val="affffffff4"/>
    <w:qFormat/>
    <w:rPr>
      <w:rFonts w:ascii="Arial" w:eastAsia="黑体" w:hAnsi="Arial"/>
      <w:sz w:val="21"/>
    </w:rPr>
  </w:style>
  <w:style w:type="paragraph" w:customStyle="1" w:styleId="affffffff4">
    <w:name w:val="标题行"/>
    <w:link w:val="Charfffff6"/>
    <w:qFormat/>
    <w:pPr>
      <w:spacing w:line="500" w:lineRule="atLeast"/>
    </w:pPr>
    <w:rPr>
      <w:rFonts w:ascii="Arial" w:eastAsia="黑体" w:hAnsi="Arial"/>
      <w:sz w:val="21"/>
    </w:rPr>
  </w:style>
  <w:style w:type="paragraph" w:customStyle="1" w:styleId="affffffff5">
    <w:name w:val="表格内容"/>
    <w:basedOn w:val="a6"/>
    <w:link w:val="Charfffff7"/>
    <w:qFormat/>
    <w:pPr>
      <w:adjustRightInd w:val="0"/>
      <w:snapToGrid w:val="0"/>
      <w:spacing w:line="280" w:lineRule="exact"/>
      <w:ind w:leftChars="-15" w:left="-31" w:rightChars="-15" w:right="-31"/>
      <w:jc w:val="center"/>
    </w:pPr>
    <w:rPr>
      <w:color w:val="000000"/>
      <w:sz w:val="18"/>
      <w:szCs w:val="18"/>
    </w:rPr>
  </w:style>
  <w:style w:type="character" w:customStyle="1" w:styleId="Charfffff7">
    <w:name w:val="表格内容 Char"/>
    <w:link w:val="affffffff5"/>
    <w:qFormat/>
    <w:rPr>
      <w:color w:val="000000"/>
      <w:kern w:val="2"/>
      <w:sz w:val="18"/>
      <w:szCs w:val="18"/>
    </w:rPr>
  </w:style>
  <w:style w:type="character" w:customStyle="1" w:styleId="3H3h3subheadingh3zhenwen1113CharChar3Char">
    <w:name w:val="样式 标题 3条H3h3 sub headingh3zhenwen1.1.1标题 3 Char Char标题 3... Char"/>
    <w:link w:val="3H3h3subheadingh3zhenwen1113CharChar3"/>
    <w:qFormat/>
    <w:rPr>
      <w:bCs/>
      <w:kern w:val="11"/>
      <w:sz w:val="28"/>
    </w:rPr>
  </w:style>
  <w:style w:type="paragraph" w:customStyle="1" w:styleId="3H3h3subheadingh3zhenwen1113CharChar3">
    <w:name w:val="样式 标题 3条H3h3 sub headingh3zhenwen1.1.1标题 3 Char Char标题 3..."/>
    <w:basedOn w:val="33"/>
    <w:link w:val="3H3h3subheadingh3zhenwen1113CharChar3Char"/>
    <w:qFormat/>
    <w:pPr>
      <w:tabs>
        <w:tab w:val="left" w:pos="720"/>
      </w:tabs>
      <w:adjustRightInd w:val="0"/>
      <w:spacing w:line="360" w:lineRule="auto"/>
      <w:jc w:val="left"/>
    </w:pPr>
    <w:rPr>
      <w:rFonts w:eastAsia="宋体"/>
      <w:bCs/>
      <w:spacing w:val="0"/>
      <w:kern w:val="11"/>
      <w:szCs w:val="20"/>
    </w:rPr>
  </w:style>
  <w:style w:type="character" w:customStyle="1" w:styleId="CharCharfe">
    <w:name w:val="报告书表格 Char Char"/>
    <w:link w:val="affffffff6"/>
    <w:qFormat/>
    <w:rPr>
      <w:rFonts w:hAnsi="宋体"/>
      <w:color w:val="000000"/>
      <w:w w:val="110"/>
      <w:szCs w:val="21"/>
    </w:rPr>
  </w:style>
  <w:style w:type="paragraph" w:customStyle="1" w:styleId="affffffff6">
    <w:name w:val="报告书表格"/>
    <w:basedOn w:val="a6"/>
    <w:link w:val="CharCharfe"/>
    <w:qFormat/>
    <w:pPr>
      <w:adjustRightInd w:val="0"/>
      <w:spacing w:line="300" w:lineRule="exact"/>
      <w:ind w:firstLineChars="2" w:firstLine="4"/>
      <w:jc w:val="center"/>
      <w:textAlignment w:val="baseline"/>
    </w:pPr>
    <w:rPr>
      <w:rFonts w:hAnsi="宋体"/>
      <w:color w:val="000000"/>
      <w:w w:val="110"/>
      <w:kern w:val="0"/>
      <w:sz w:val="20"/>
      <w:szCs w:val="21"/>
    </w:rPr>
  </w:style>
  <w:style w:type="character" w:customStyle="1" w:styleId="01CharCharChar">
    <w:name w:val="正文01 Char Char Char"/>
    <w:qFormat/>
    <w:rPr>
      <w:rFonts w:eastAsia="宋体"/>
      <w:kern w:val="2"/>
      <w:sz w:val="24"/>
      <w:szCs w:val="24"/>
      <w:lang w:val="en-US" w:eastAsia="zh-CN" w:bidi="ar-SA"/>
    </w:rPr>
  </w:style>
  <w:style w:type="character" w:customStyle="1" w:styleId="1MainHeadingHeading1pHeading1p1Heading1p2HeadingChar">
    <w:name w:val="样式 标题 1Main HeadingHeading 1pHeading 1p1Heading 1p2Heading ... Char"/>
    <w:link w:val="1MainHeadingHeading1pHeading1p1Heading1p2Heading"/>
    <w:qFormat/>
    <w:rPr>
      <w:rFonts w:eastAsia="黑体"/>
      <w:kern w:val="44"/>
      <w:sz w:val="24"/>
      <w:szCs w:val="44"/>
    </w:rPr>
  </w:style>
  <w:style w:type="paragraph" w:customStyle="1" w:styleId="1MainHeadingHeading1pHeading1p1Heading1p2Heading">
    <w:name w:val="样式 标题 1Main HeadingHeading 1pHeading 1p1Heading 1p2Heading ..."/>
    <w:basedOn w:val="12"/>
    <w:link w:val="1MainHeadingHeading1pHeading1p1Heading1p2HeadingChar"/>
    <w:qFormat/>
    <w:pPr>
      <w:pageBreakBefore/>
      <w:spacing w:before="0" w:after="0" w:line="360" w:lineRule="auto"/>
      <w:ind w:left="425" w:hanging="425"/>
    </w:pPr>
    <w:rPr>
      <w:b w:val="0"/>
      <w:bCs w:val="0"/>
      <w:sz w:val="24"/>
    </w:rPr>
  </w:style>
  <w:style w:type="character" w:customStyle="1" w:styleId="hb2CharCharCharCharCharChar">
    <w:name w:val="hb2 Char Char Char Char Char Char"/>
    <w:link w:val="hb2CharCharCharCharChar"/>
    <w:qFormat/>
    <w:rPr>
      <w:rFonts w:ascii="Arial" w:eastAsia="黑体" w:hAnsi="Arial"/>
      <w:kern w:val="2"/>
      <w:sz w:val="30"/>
      <w:szCs w:val="24"/>
    </w:rPr>
  </w:style>
  <w:style w:type="paragraph" w:customStyle="1" w:styleId="hb2CharCharCharCharChar">
    <w:name w:val="hb2 Char Char Char Char Char"/>
    <w:basedOn w:val="22"/>
    <w:link w:val="hb2CharCharCharCharCharChar"/>
    <w:qFormat/>
    <w:pPr>
      <w:keepNext w:val="0"/>
      <w:keepLines w:val="0"/>
      <w:topLinePunct/>
      <w:adjustRightInd w:val="0"/>
      <w:spacing w:before="100" w:beforeAutospacing="1" w:afterLines="50" w:after="100" w:afterAutospacing="1" w:line="416" w:lineRule="atLeast"/>
      <w:jc w:val="left"/>
      <w:textAlignment w:val="baseline"/>
    </w:pPr>
    <w:rPr>
      <w:rFonts w:ascii="Arial" w:hAnsi="Arial"/>
      <w:b/>
      <w:bCs w:val="0"/>
      <w:spacing w:val="0"/>
      <w:w w:val="100"/>
      <w:kern w:val="2"/>
      <w:sz w:val="30"/>
      <w:szCs w:val="24"/>
    </w:rPr>
  </w:style>
  <w:style w:type="character" w:customStyle="1" w:styleId="CharCharCharCharCharCharChar2">
    <w:name w:val="题注 Char Char Char Char Char Char Char2"/>
    <w:qFormat/>
    <w:rPr>
      <w:rFonts w:ascii="Arial" w:eastAsia="黑体" w:hAnsi="Arial" w:cs="Arial"/>
      <w:kern w:val="2"/>
      <w:lang w:val="en-US" w:eastAsia="zh-CN" w:bidi="ar-SA"/>
    </w:rPr>
  </w:style>
  <w:style w:type="character" w:customStyle="1" w:styleId="Charfffff8">
    <w:name w:val="第二级标题 Char"/>
    <w:link w:val="affffffff7"/>
    <w:qFormat/>
    <w:rPr>
      <w:kern w:val="2"/>
      <w:sz w:val="24"/>
      <w:szCs w:val="24"/>
    </w:rPr>
  </w:style>
  <w:style w:type="paragraph" w:customStyle="1" w:styleId="affffffff7">
    <w:name w:val="第二级标题"/>
    <w:basedOn w:val="a6"/>
    <w:next w:val="26"/>
    <w:link w:val="Charfffff8"/>
    <w:qFormat/>
    <w:pPr>
      <w:widowControl/>
      <w:spacing w:line="360" w:lineRule="auto"/>
      <w:ind w:left="567" w:hanging="567"/>
      <w:jc w:val="left"/>
      <w:outlineLvl w:val="1"/>
    </w:pPr>
    <w:rPr>
      <w:sz w:val="24"/>
    </w:rPr>
  </w:style>
  <w:style w:type="character" w:customStyle="1" w:styleId="Charfffff9">
    <w:name w:val="居中(含图、公式等) Char"/>
    <w:link w:val="affffffff8"/>
    <w:qFormat/>
    <w:rPr>
      <w:rFonts w:ascii="Arial" w:hAnsi="Arial"/>
      <w:kern w:val="2"/>
      <w:sz w:val="24"/>
      <w:szCs w:val="24"/>
    </w:rPr>
  </w:style>
  <w:style w:type="paragraph" w:customStyle="1" w:styleId="affffffff8">
    <w:name w:val="居中(含图、公式等)"/>
    <w:basedOn w:val="a6"/>
    <w:link w:val="Charfffff9"/>
    <w:qFormat/>
    <w:pPr>
      <w:widowControl/>
      <w:jc w:val="center"/>
    </w:pPr>
    <w:rPr>
      <w:rFonts w:ascii="Arial" w:hAnsi="Arial"/>
      <w:sz w:val="24"/>
    </w:rPr>
  </w:style>
  <w:style w:type="character" w:customStyle="1" w:styleId="CharCharCharc">
    <w:name w:val="报告正文 Char Char Char"/>
    <w:qFormat/>
    <w:rPr>
      <w:sz w:val="28"/>
      <w:szCs w:val="28"/>
    </w:rPr>
  </w:style>
  <w:style w:type="character" w:customStyle="1" w:styleId="Char35">
    <w:name w:val="标题 Char3"/>
    <w:qFormat/>
    <w:rPr>
      <w:rFonts w:ascii="Cambria" w:hAnsi="Cambria" w:cs="Times New Roman"/>
      <w:b/>
      <w:bCs/>
      <w:kern w:val="2"/>
      <w:sz w:val="32"/>
      <w:szCs w:val="32"/>
    </w:rPr>
  </w:style>
  <w:style w:type="character" w:customStyle="1" w:styleId="Char1f3">
    <w:name w:val="注释标题 Char1"/>
    <w:qFormat/>
    <w:rPr>
      <w:kern w:val="2"/>
      <w:sz w:val="21"/>
      <w:szCs w:val="22"/>
    </w:rPr>
  </w:style>
  <w:style w:type="character" w:customStyle="1" w:styleId="TTCharChar0">
    <w:name w:val="TT正文 Char Char"/>
    <w:link w:val="TT0"/>
    <w:qFormat/>
    <w:rPr>
      <w:sz w:val="24"/>
    </w:rPr>
  </w:style>
  <w:style w:type="paragraph" w:customStyle="1" w:styleId="TT0">
    <w:name w:val="TT正文"/>
    <w:basedOn w:val="a6"/>
    <w:next w:val="a6"/>
    <w:link w:val="TTCharChar0"/>
    <w:qFormat/>
    <w:pPr>
      <w:spacing w:line="360" w:lineRule="auto"/>
      <w:ind w:firstLineChars="200" w:firstLine="560"/>
    </w:pPr>
    <w:rPr>
      <w:kern w:val="0"/>
      <w:sz w:val="24"/>
      <w:szCs w:val="20"/>
    </w:rPr>
  </w:style>
  <w:style w:type="character" w:customStyle="1" w:styleId="Char2d">
    <w:name w:val="签名 Char2"/>
    <w:qFormat/>
    <w:rPr>
      <w:kern w:val="2"/>
      <w:sz w:val="24"/>
      <w:szCs w:val="24"/>
    </w:rPr>
  </w:style>
  <w:style w:type="character" w:customStyle="1" w:styleId="-1Char">
    <w:name w:val="编号-正文章条1级条(不进目录) Char"/>
    <w:link w:val="-11"/>
    <w:qFormat/>
    <w:rPr>
      <w:rFonts w:ascii="Arial" w:hAnsi="Arial"/>
      <w:color w:val="000000"/>
      <w:kern w:val="2"/>
      <w:sz w:val="24"/>
      <w:szCs w:val="24"/>
    </w:rPr>
  </w:style>
  <w:style w:type="paragraph" w:customStyle="1" w:styleId="-11">
    <w:name w:val="编号-正文章条1级条(不进目录)"/>
    <w:basedOn w:val="-20"/>
    <w:link w:val="-1Char"/>
    <w:qFormat/>
  </w:style>
  <w:style w:type="character" w:customStyle="1" w:styleId="hb3Char1">
    <w:name w:val="hb3 Char1"/>
    <w:qFormat/>
    <w:rPr>
      <w:rFonts w:ascii="宋体" w:eastAsia="黑体" w:hAnsi="宋体"/>
      <w:kern w:val="2"/>
      <w:sz w:val="24"/>
      <w:lang w:val="en-US" w:eastAsia="zh-CN" w:bidi="ar-SA"/>
    </w:rPr>
  </w:style>
  <w:style w:type="character" w:customStyle="1" w:styleId="Char2e">
    <w:name w:val="结束语 Char2"/>
    <w:uiPriority w:val="99"/>
    <w:qFormat/>
    <w:rPr>
      <w:kern w:val="2"/>
      <w:sz w:val="24"/>
      <w:szCs w:val="24"/>
    </w:rPr>
  </w:style>
  <w:style w:type="character" w:customStyle="1" w:styleId="Char1f4">
    <w:name w:val="表内字 Char1"/>
    <w:link w:val="affffffff9"/>
    <w:qFormat/>
    <w:rPr>
      <w:rFonts w:eastAsia="宋体"/>
      <w:color w:val="000000"/>
      <w:sz w:val="21"/>
      <w:lang w:val="en-US" w:eastAsia="zh-CN" w:bidi="ar-SA"/>
    </w:rPr>
  </w:style>
  <w:style w:type="paragraph" w:customStyle="1" w:styleId="affffffff9">
    <w:name w:val="表内字"/>
    <w:link w:val="Char1f4"/>
    <w:qFormat/>
    <w:pPr>
      <w:spacing w:line="312" w:lineRule="auto"/>
      <w:jc w:val="center"/>
    </w:pPr>
    <w:rPr>
      <w:color w:val="000000"/>
      <w:sz w:val="21"/>
    </w:rPr>
  </w:style>
  <w:style w:type="character" w:customStyle="1" w:styleId="HBZW">
    <w:name w:val="HBZW"/>
    <w:qFormat/>
    <w:rPr>
      <w:rFonts w:ascii="宋体" w:eastAsia="宋体" w:hAnsi="宋体"/>
      <w:kern w:val="0"/>
      <w:sz w:val="24"/>
      <w:lang w:val="en-US" w:eastAsia="zh-CN" w:bidi="ar-SA"/>
    </w:rPr>
  </w:style>
  <w:style w:type="character" w:customStyle="1" w:styleId="1ff0">
    <w:name w:val="样式 宋体 小四1"/>
    <w:qFormat/>
    <w:rPr>
      <w:rFonts w:ascii="宋体" w:eastAsia="宋体" w:hAnsi="宋体"/>
      <w:kern w:val="28"/>
      <w:sz w:val="28"/>
    </w:rPr>
  </w:style>
  <w:style w:type="character" w:customStyle="1" w:styleId="00Char">
    <w:name w:val="00.正文格式 Char"/>
    <w:qFormat/>
    <w:rPr>
      <w:color w:val="000000"/>
      <w:kern w:val="2"/>
      <w:sz w:val="24"/>
      <w:szCs w:val="24"/>
    </w:rPr>
  </w:style>
  <w:style w:type="character" w:customStyle="1" w:styleId="CharCharChard">
    <w:name w:val="中文报告书样式 Char Char Char"/>
    <w:qFormat/>
    <w:rPr>
      <w:rFonts w:ascii="宋体" w:eastAsia="宋体" w:hAnsi="宋体"/>
      <w:snapToGrid w:val="0"/>
      <w:sz w:val="24"/>
      <w:szCs w:val="24"/>
      <w:lang w:val="en-US" w:eastAsia="zh-CN" w:bidi="ar-SA"/>
    </w:rPr>
  </w:style>
  <w:style w:type="character" w:customStyle="1" w:styleId="Charfffffa">
    <w:name w:val="正文标准格式 Char"/>
    <w:link w:val="affffffffa"/>
    <w:qFormat/>
    <w:rPr>
      <w:rFonts w:ascii="Arial" w:hAnsi="Arial"/>
      <w:color w:val="000000"/>
      <w:kern w:val="2"/>
      <w:sz w:val="21"/>
      <w:szCs w:val="21"/>
    </w:rPr>
  </w:style>
  <w:style w:type="paragraph" w:customStyle="1" w:styleId="affffffffa">
    <w:name w:val="正文标准格式"/>
    <w:basedOn w:val="a6"/>
    <w:link w:val="Charfffffa"/>
    <w:qFormat/>
    <w:pPr>
      <w:widowControl/>
      <w:adjustRightInd w:val="0"/>
      <w:snapToGrid w:val="0"/>
      <w:spacing w:after="200" w:line="360" w:lineRule="auto"/>
      <w:ind w:firstLineChars="200" w:firstLine="420"/>
      <w:jc w:val="center"/>
    </w:pPr>
    <w:rPr>
      <w:rFonts w:ascii="Arial" w:hAnsi="Arial"/>
      <w:color w:val="000000"/>
      <w:szCs w:val="21"/>
    </w:rPr>
  </w:style>
  <w:style w:type="character" w:customStyle="1" w:styleId="z-0">
    <w:name w:val="z-窗体顶端 字符"/>
    <w:link w:val="z-10"/>
    <w:qFormat/>
    <w:rPr>
      <w:rFonts w:ascii="Arial" w:eastAsia="Arial Unicode MS" w:hAnsi="Arial" w:cs="宋体"/>
      <w:vanish/>
      <w:sz w:val="16"/>
      <w:szCs w:val="16"/>
    </w:rPr>
  </w:style>
  <w:style w:type="paragraph" w:customStyle="1" w:styleId="z-10">
    <w:name w:val="z-窗体顶端1"/>
    <w:basedOn w:val="a6"/>
    <w:next w:val="a6"/>
    <w:link w:val="z-0"/>
    <w:qFormat/>
    <w:pPr>
      <w:widowControl/>
      <w:pBdr>
        <w:bottom w:val="single" w:sz="6" w:space="1" w:color="auto"/>
      </w:pBdr>
      <w:ind w:firstLineChars="200" w:firstLine="200"/>
      <w:jc w:val="center"/>
    </w:pPr>
    <w:rPr>
      <w:rFonts w:ascii="Arial" w:eastAsia="Arial Unicode MS" w:hAnsi="Arial"/>
      <w:vanish/>
      <w:kern w:val="0"/>
      <w:sz w:val="16"/>
      <w:szCs w:val="16"/>
    </w:rPr>
  </w:style>
  <w:style w:type="character" w:customStyle="1" w:styleId="000Char">
    <w:name w:val="000 Char"/>
    <w:qFormat/>
    <w:rPr>
      <w:rFonts w:eastAsia="宋体"/>
      <w:kern w:val="2"/>
      <w:sz w:val="24"/>
      <w:szCs w:val="24"/>
      <w:lang w:val="en-US" w:eastAsia="zh-CN" w:bidi="ar-SA"/>
    </w:rPr>
  </w:style>
  <w:style w:type="character" w:customStyle="1" w:styleId="CharCharff">
    <w:name w:val="高表单 Char Char"/>
    <w:qFormat/>
    <w:rPr>
      <w:rFonts w:ascii="Arial" w:eastAsia="宋体" w:hAnsi="Arial"/>
      <w:bCs/>
      <w:kern w:val="2"/>
      <w:sz w:val="21"/>
      <w:szCs w:val="21"/>
      <w:lang w:val="en-US" w:eastAsia="zh-CN" w:bidi="ar-SA"/>
    </w:rPr>
  </w:style>
  <w:style w:type="character" w:customStyle="1" w:styleId="-Char2">
    <w:name w:val="题注-表、图、公式(编号和标题) Char"/>
    <w:link w:val="-5"/>
    <w:qFormat/>
    <w:rPr>
      <w:rFonts w:ascii="Arial" w:eastAsia="黑体" w:hAnsi="Arial"/>
      <w:kern w:val="2"/>
      <w:sz w:val="24"/>
      <w:szCs w:val="24"/>
    </w:rPr>
  </w:style>
  <w:style w:type="paragraph" w:customStyle="1" w:styleId="-5">
    <w:name w:val="题注-表、图、公式(编号和标题)"/>
    <w:basedOn w:val="a6"/>
    <w:next w:val="a6"/>
    <w:link w:val="-Char2"/>
    <w:qFormat/>
    <w:pPr>
      <w:widowControl/>
      <w:spacing w:before="120" w:after="120"/>
      <w:jc w:val="center"/>
    </w:pPr>
    <w:rPr>
      <w:rFonts w:ascii="Arial" w:eastAsia="黑体" w:hAnsi="Arial"/>
      <w:sz w:val="24"/>
    </w:rPr>
  </w:style>
  <w:style w:type="character" w:customStyle="1" w:styleId="CharChar20">
    <w:name w:val="纯文本 Char Char2"/>
    <w:qFormat/>
    <w:rPr>
      <w:rFonts w:ascii="宋体" w:eastAsia="宋体" w:hAnsi="Courier New"/>
      <w:kern w:val="2"/>
      <w:sz w:val="21"/>
      <w:szCs w:val="21"/>
      <w:lang w:val="en-US" w:eastAsia="zh-CN" w:bidi="ar-SA"/>
    </w:rPr>
  </w:style>
  <w:style w:type="character" w:customStyle="1" w:styleId="CharCharff0">
    <w:name w:val="投标文件正文 Char Char"/>
    <w:link w:val="affffffffb"/>
    <w:qFormat/>
    <w:rPr>
      <w:rFonts w:ascii="Arial" w:hAnsi="Arial"/>
      <w:iCs/>
      <w:color w:val="000000"/>
      <w:kern w:val="2"/>
      <w:sz w:val="24"/>
    </w:rPr>
  </w:style>
  <w:style w:type="paragraph" w:customStyle="1" w:styleId="affffffffb">
    <w:name w:val="投标文件正文"/>
    <w:basedOn w:val="a6"/>
    <w:link w:val="CharCharff0"/>
    <w:qFormat/>
    <w:pPr>
      <w:spacing w:line="400" w:lineRule="exact"/>
      <w:ind w:right="33" w:firstLineChars="200" w:firstLine="480"/>
      <w:jc w:val="left"/>
    </w:pPr>
    <w:rPr>
      <w:rFonts w:ascii="Arial" w:hAnsi="Arial"/>
      <w:iCs/>
      <w:color w:val="000000"/>
      <w:sz w:val="24"/>
      <w:szCs w:val="20"/>
    </w:rPr>
  </w:style>
  <w:style w:type="character" w:customStyle="1" w:styleId="21Char">
    <w:name w:val="正文21 Char"/>
    <w:link w:val="211"/>
    <w:qFormat/>
    <w:rPr>
      <w:rFonts w:ascii="宋体" w:hAnsi="宋体"/>
      <w:sz w:val="24"/>
      <w:lang w:val="en-US" w:eastAsia="zh-CN" w:bidi="ar-SA"/>
    </w:rPr>
  </w:style>
  <w:style w:type="paragraph" w:customStyle="1" w:styleId="211">
    <w:name w:val="正文21"/>
    <w:link w:val="21Char"/>
    <w:qFormat/>
    <w:pPr>
      <w:widowControl w:val="0"/>
      <w:spacing w:line="500" w:lineRule="exact"/>
      <w:ind w:firstLineChars="200" w:firstLine="200"/>
    </w:pPr>
    <w:rPr>
      <w:rFonts w:ascii="宋体" w:hAnsi="宋体"/>
      <w:sz w:val="24"/>
    </w:rPr>
  </w:style>
  <w:style w:type="character" w:customStyle="1" w:styleId="Charfffffb">
    <w:name w:val="+正文 Char"/>
    <w:link w:val="affffffffc"/>
    <w:qFormat/>
    <w:rPr>
      <w:kern w:val="2"/>
      <w:sz w:val="24"/>
      <w:szCs w:val="28"/>
    </w:rPr>
  </w:style>
  <w:style w:type="paragraph" w:customStyle="1" w:styleId="affffffffc">
    <w:name w:val="+正文"/>
    <w:basedOn w:val="a6"/>
    <w:link w:val="Charfffffb"/>
    <w:qFormat/>
    <w:pPr>
      <w:spacing w:line="360" w:lineRule="auto"/>
      <w:ind w:firstLineChars="200" w:firstLine="480"/>
    </w:pPr>
    <w:rPr>
      <w:sz w:val="24"/>
      <w:szCs w:val="28"/>
    </w:rPr>
  </w:style>
  <w:style w:type="character" w:customStyle="1" w:styleId="s">
    <w:name w:val="s"/>
    <w:qFormat/>
  </w:style>
  <w:style w:type="character" w:customStyle="1" w:styleId="1CharChar7">
    <w:name w:val="表头1 Char Char"/>
    <w:link w:val="1ff1"/>
    <w:qFormat/>
    <w:rPr>
      <w:rFonts w:eastAsia="黑体"/>
      <w:sz w:val="21"/>
    </w:rPr>
  </w:style>
  <w:style w:type="paragraph" w:customStyle="1" w:styleId="1ff1">
    <w:name w:val="表头1"/>
    <w:basedOn w:val="a6"/>
    <w:next w:val="a6"/>
    <w:link w:val="1CharChar7"/>
    <w:qFormat/>
    <w:pPr>
      <w:tabs>
        <w:tab w:val="left" w:pos="605"/>
      </w:tabs>
      <w:adjustRightInd w:val="0"/>
      <w:snapToGrid w:val="0"/>
      <w:jc w:val="center"/>
    </w:pPr>
    <w:rPr>
      <w:rFonts w:eastAsia="黑体"/>
      <w:kern w:val="0"/>
      <w:szCs w:val="20"/>
    </w:rPr>
  </w:style>
  <w:style w:type="character" w:customStyle="1" w:styleId="CharChar300">
    <w:name w:val="Char Char30"/>
    <w:qFormat/>
    <w:rPr>
      <w:rFonts w:ascii="宋体" w:eastAsia="宋体" w:hAnsi="宋体" w:hint="eastAsia"/>
      <w:i/>
      <w:iCs/>
      <w:kern w:val="2"/>
      <w:sz w:val="18"/>
      <w:szCs w:val="24"/>
      <w:lang w:val="en-US" w:eastAsia="zh-CN" w:bidi="ar-SA"/>
    </w:rPr>
  </w:style>
  <w:style w:type="character" w:customStyle="1" w:styleId="CharCharff1">
    <w:name w:val="注释标题 Char Char"/>
    <w:qFormat/>
    <w:rPr>
      <w:rFonts w:eastAsia="黑体"/>
      <w:kern w:val="2"/>
      <w:sz w:val="24"/>
      <w:szCs w:val="24"/>
      <w:lang w:val="en-US" w:eastAsia="zh-CN" w:bidi="ar-SA"/>
    </w:rPr>
  </w:style>
  <w:style w:type="character" w:customStyle="1" w:styleId="2Charc">
    <w:name w:val="标2 Char"/>
    <w:link w:val="2ff1"/>
    <w:qFormat/>
    <w:rPr>
      <w:rFonts w:ascii="Arial" w:eastAsia="黑体" w:hAnsi="Arial"/>
      <w:color w:val="FF0000"/>
      <w:sz w:val="28"/>
    </w:rPr>
  </w:style>
  <w:style w:type="paragraph" w:customStyle="1" w:styleId="2ff1">
    <w:name w:val="标2"/>
    <w:basedOn w:val="22"/>
    <w:link w:val="2Charc"/>
    <w:qFormat/>
    <w:pPr>
      <w:widowControl/>
      <w:tabs>
        <w:tab w:val="left" w:pos="315"/>
        <w:tab w:val="left" w:pos="1134"/>
        <w:tab w:val="left" w:pos="1400"/>
        <w:tab w:val="center" w:pos="6804"/>
        <w:tab w:val="right" w:pos="7371"/>
      </w:tabs>
      <w:overflowPunct w:val="0"/>
      <w:adjustRightInd w:val="0"/>
      <w:spacing w:line="500" w:lineRule="exact"/>
      <w:ind w:left="1400" w:hanging="420"/>
      <w:jc w:val="left"/>
      <w:textAlignment w:val="baseline"/>
    </w:pPr>
    <w:rPr>
      <w:rFonts w:ascii="Arial" w:hAnsi="Arial"/>
      <w:b/>
      <w:bCs w:val="0"/>
      <w:color w:val="FF0000"/>
      <w:spacing w:val="0"/>
      <w:w w:val="100"/>
      <w:kern w:val="0"/>
      <w:szCs w:val="20"/>
    </w:rPr>
  </w:style>
  <w:style w:type="paragraph" w:customStyle="1" w:styleId="2ff2">
    <w:name w:val="纯文本2"/>
    <w:basedOn w:val="a6"/>
    <w:qFormat/>
    <w:pPr>
      <w:spacing w:line="240" w:lineRule="atLeast"/>
      <w:jc w:val="center"/>
    </w:pPr>
    <w:rPr>
      <w:rFonts w:ascii="宋体" w:hAnsi="宋体"/>
      <w:bCs/>
      <w:iCs/>
      <w:sz w:val="18"/>
      <w:szCs w:val="18"/>
    </w:rPr>
  </w:style>
  <w:style w:type="character" w:customStyle="1" w:styleId="GB23120">
    <w:name w:val="样式 (中文) 仿宋_GB2312 小三"/>
    <w:qFormat/>
    <w:rPr>
      <w:rFonts w:eastAsia="仿宋_GB2312"/>
      <w:sz w:val="30"/>
    </w:rPr>
  </w:style>
  <w:style w:type="character" w:customStyle="1" w:styleId="lawsitemtext1">
    <w:name w:val="lawsitemtext1"/>
    <w:qFormat/>
    <w:rPr>
      <w:color w:val="154863"/>
      <w:sz w:val="21"/>
      <w:szCs w:val="21"/>
    </w:rPr>
  </w:style>
  <w:style w:type="character" w:customStyle="1" w:styleId="Charfffffc">
    <w:name w:val="正文！！！！！ Char"/>
    <w:qFormat/>
    <w:rPr>
      <w:rFonts w:ascii="宋体" w:eastAsia="宋体" w:hAnsi="宋体" w:cs="宋体"/>
      <w:snapToGrid/>
      <w:sz w:val="24"/>
      <w:szCs w:val="24"/>
      <w:lang w:val="en-US" w:eastAsia="zh-CN" w:bidi="ar-SA"/>
    </w:rPr>
  </w:style>
  <w:style w:type="character" w:customStyle="1" w:styleId="CharChar100">
    <w:name w:val="Char Char10"/>
    <w:qFormat/>
    <w:rPr>
      <w:kern w:val="2"/>
      <w:sz w:val="21"/>
      <w:szCs w:val="24"/>
    </w:rPr>
  </w:style>
  <w:style w:type="character" w:customStyle="1" w:styleId="a10">
    <w:name w:val="a1"/>
    <w:qFormat/>
    <w:rPr>
      <w:rFonts w:ascii="宋体" w:eastAsia="宋体" w:hAnsi="宋体" w:hint="eastAsia"/>
      <w:color w:val="000000"/>
      <w:spacing w:val="360"/>
      <w:sz w:val="18"/>
      <w:szCs w:val="18"/>
    </w:rPr>
  </w:style>
  <w:style w:type="character" w:customStyle="1" w:styleId="ca-3">
    <w:name w:val="ca-3"/>
    <w:qFormat/>
  </w:style>
  <w:style w:type="character" w:customStyle="1" w:styleId="2ff3">
    <w:name w:val="Основной текст (2)"/>
    <w:qFormat/>
    <w:rPr>
      <w:rFonts w:ascii="Times New Roman" w:eastAsia="Times New Roman" w:hAnsi="Times New Roman" w:cs="Times New Roman"/>
      <w:spacing w:val="0"/>
      <w:sz w:val="27"/>
      <w:szCs w:val="27"/>
      <w:lang w:bidi="ar-SA"/>
    </w:rPr>
  </w:style>
  <w:style w:type="character" w:customStyle="1" w:styleId="BCharChar">
    <w:name w:val="正文B Char Char"/>
    <w:qFormat/>
    <w:rPr>
      <w:rFonts w:eastAsia="楷体_GB2312"/>
      <w:spacing w:val="8"/>
      <w:sz w:val="28"/>
      <w:lang w:val="en-US" w:eastAsia="zh-CN" w:bidi="ar-SA"/>
    </w:rPr>
  </w:style>
  <w:style w:type="character" w:customStyle="1" w:styleId="question-title2">
    <w:name w:val="question-title2"/>
    <w:qFormat/>
  </w:style>
  <w:style w:type="character" w:customStyle="1" w:styleId="1Char21">
    <w:name w:val="样式 样式1 Char2 + 宋体 五号 黑色"/>
    <w:qFormat/>
    <w:rPr>
      <w:rFonts w:ascii="宋体" w:eastAsia="宋体" w:hAnsi="宋体" w:hint="eastAsia"/>
      <w:color w:val="000000"/>
      <w:kern w:val="2"/>
      <w:sz w:val="24"/>
      <w:szCs w:val="24"/>
      <w:lang w:val="en-US" w:eastAsia="zh-CN" w:bidi="ar-SA"/>
    </w:rPr>
  </w:style>
  <w:style w:type="character" w:customStyle="1" w:styleId="1Char9">
    <w:name w:val="表格1 Char"/>
    <w:qFormat/>
    <w:rPr>
      <w:rFonts w:eastAsia="宋体"/>
      <w:kern w:val="2"/>
      <w:sz w:val="21"/>
      <w:szCs w:val="24"/>
      <w:lang w:val="en-US" w:eastAsia="zh-CN" w:bidi="ar-SA"/>
    </w:rPr>
  </w:style>
  <w:style w:type="character" w:customStyle="1" w:styleId="10115CharChar">
    <w:name w:val="样式 小四 首行缩进:  1.01 厘米 行距: 1.5 倍行距 Char Char"/>
    <w:qFormat/>
    <w:rPr>
      <w:rFonts w:eastAsia="宋体" w:cs="宋体"/>
      <w:sz w:val="24"/>
      <w:lang w:val="en-US" w:eastAsia="zh-CN" w:bidi="ar-SA"/>
    </w:rPr>
  </w:style>
  <w:style w:type="character" w:customStyle="1" w:styleId="5Char4">
    <w:name w:val="5级正文 Char"/>
    <w:qFormat/>
    <w:rPr>
      <w:rFonts w:eastAsia="宋体"/>
      <w:b/>
      <w:kern w:val="2"/>
      <w:sz w:val="24"/>
      <w:szCs w:val="24"/>
      <w:lang w:val="en-US" w:eastAsia="zh-CN" w:bidi="ar-SA"/>
    </w:rPr>
  </w:style>
  <w:style w:type="character" w:customStyle="1" w:styleId="111Char0">
    <w:name w:val="样式1.1.1三级标题 Char"/>
    <w:link w:val="1110"/>
    <w:qFormat/>
    <w:rPr>
      <w:rFonts w:ascii="宋体" w:hAnsi="宋体"/>
      <w:b/>
      <w:kern w:val="2"/>
      <w:sz w:val="28"/>
    </w:rPr>
  </w:style>
  <w:style w:type="paragraph" w:customStyle="1" w:styleId="1110">
    <w:name w:val="样式1.1.1三级标题"/>
    <w:basedOn w:val="a6"/>
    <w:next w:val="affffa"/>
    <w:link w:val="111Char0"/>
    <w:qFormat/>
    <w:pPr>
      <w:spacing w:line="360" w:lineRule="auto"/>
      <w:outlineLvl w:val="2"/>
    </w:pPr>
    <w:rPr>
      <w:rFonts w:ascii="宋体" w:hAnsi="宋体"/>
      <w:b/>
      <w:sz w:val="28"/>
      <w:szCs w:val="20"/>
    </w:rPr>
  </w:style>
  <w:style w:type="character" w:customStyle="1" w:styleId="Charfffffd">
    <w:name w:val="表、图名 Char"/>
    <w:qFormat/>
    <w:rPr>
      <w:rFonts w:ascii="黑体" w:eastAsia="黑体" w:hAnsi="宋体" w:cs="黑体"/>
      <w:bCs/>
      <w:sz w:val="21"/>
      <w:szCs w:val="21"/>
      <w:lang w:val="en-US" w:eastAsia="zh-CN" w:bidi="ar-SA"/>
    </w:rPr>
  </w:style>
  <w:style w:type="character" w:customStyle="1" w:styleId="2Char13">
    <w:name w:val="正文文本 2 Char1"/>
    <w:qFormat/>
  </w:style>
  <w:style w:type="character" w:customStyle="1" w:styleId="he31">
    <w:name w:val="he31"/>
    <w:qFormat/>
    <w:rPr>
      <w:rFonts w:ascii="ˎ̥" w:hAnsi="ˎ̥" w:hint="default"/>
      <w:color w:val="000000"/>
      <w:sz w:val="18"/>
      <w:szCs w:val="18"/>
      <w:u w:val="none"/>
    </w:rPr>
  </w:style>
  <w:style w:type="character" w:customStyle="1" w:styleId="Charfffffe">
    <w:name w:val="图名称 Char"/>
    <w:link w:val="affffffffd"/>
    <w:qFormat/>
    <w:rPr>
      <w:rFonts w:ascii="Arial" w:eastAsia="黑体" w:hAnsi="Arial"/>
      <w:b/>
      <w:kern w:val="2"/>
      <w:sz w:val="24"/>
    </w:rPr>
  </w:style>
  <w:style w:type="paragraph" w:customStyle="1" w:styleId="affffffffd">
    <w:name w:val="图名称"/>
    <w:basedOn w:val="af1"/>
    <w:link w:val="Charfffffe"/>
    <w:qFormat/>
    <w:pPr>
      <w:widowControl w:val="0"/>
      <w:spacing w:line="480" w:lineRule="exact"/>
      <w:ind w:firstLineChars="0" w:firstLine="200"/>
      <w:jc w:val="center"/>
    </w:pPr>
    <w:rPr>
      <w:rFonts w:ascii="Arial" w:eastAsia="黑体" w:hAnsi="Arial"/>
      <w:szCs w:val="20"/>
    </w:rPr>
  </w:style>
  <w:style w:type="character" w:customStyle="1" w:styleId="3sChar">
    <w:name w:val="样式 标题 3s Char"/>
    <w:link w:val="3s"/>
    <w:qFormat/>
    <w:rPr>
      <w:rFonts w:ascii="黑体" w:eastAsia="黑体" w:hAnsi="黑体"/>
      <w:b/>
      <w:bCs/>
      <w:kern w:val="2"/>
      <w:sz w:val="24"/>
      <w:szCs w:val="32"/>
    </w:rPr>
  </w:style>
  <w:style w:type="paragraph" w:customStyle="1" w:styleId="3s">
    <w:name w:val="样式 标题 3s"/>
    <w:basedOn w:val="33"/>
    <w:link w:val="3sChar"/>
    <w:qFormat/>
    <w:pPr>
      <w:adjustRightInd w:val="0"/>
      <w:spacing w:beforeLines="50" w:afterLines="50" w:line="360" w:lineRule="auto"/>
    </w:pPr>
    <w:rPr>
      <w:rFonts w:hAnsi="黑体"/>
      <w:b/>
      <w:bCs/>
      <w:spacing w:val="0"/>
      <w:sz w:val="24"/>
      <w:szCs w:val="32"/>
    </w:rPr>
  </w:style>
  <w:style w:type="character" w:customStyle="1" w:styleId="CharCharff2">
    <w:name w:val="正文内容 Char Char"/>
    <w:link w:val="affffffffe"/>
    <w:qFormat/>
    <w:rPr>
      <w:sz w:val="24"/>
      <w:szCs w:val="24"/>
    </w:rPr>
  </w:style>
  <w:style w:type="paragraph" w:customStyle="1" w:styleId="affffffffe">
    <w:name w:val="正文内容"/>
    <w:basedOn w:val="a6"/>
    <w:next w:val="a6"/>
    <w:link w:val="CharCharff2"/>
    <w:qFormat/>
    <w:pPr>
      <w:snapToGrid w:val="0"/>
      <w:spacing w:beforeLines="25" w:afterLines="25" w:line="440" w:lineRule="exact"/>
      <w:ind w:firstLineChars="200" w:firstLine="200"/>
    </w:pPr>
    <w:rPr>
      <w:kern w:val="0"/>
      <w:sz w:val="24"/>
    </w:rPr>
  </w:style>
  <w:style w:type="character" w:customStyle="1" w:styleId="Document8">
    <w:name w:val="Document 8"/>
    <w:qFormat/>
  </w:style>
  <w:style w:type="character" w:customStyle="1" w:styleId="5Char5">
    <w:name w:val="5 Char"/>
    <w:qFormat/>
    <w:rPr>
      <w:rFonts w:ascii="楷体_GB2312" w:eastAsia="楷体_GB2312"/>
      <w:sz w:val="30"/>
      <w:szCs w:val="30"/>
      <w:lang w:val="en-US" w:eastAsia="zh-CN" w:bidi="ar-SA"/>
    </w:rPr>
  </w:style>
  <w:style w:type="character" w:styleId="afffffffff">
    <w:name w:val="Placeholder Text"/>
    <w:uiPriority w:val="99"/>
    <w:semiHidden/>
    <w:qFormat/>
    <w:rPr>
      <w:color w:val="808080"/>
    </w:rPr>
  </w:style>
  <w:style w:type="character" w:customStyle="1" w:styleId="GB23121">
    <w:name w:val="样式 仿宋_GB2312 小四"/>
    <w:qFormat/>
    <w:rPr>
      <w:rFonts w:ascii="Times New Roman" w:eastAsia="仿宋_GB2312" w:hAnsi="Times New Roman"/>
      <w:sz w:val="24"/>
      <w:szCs w:val="24"/>
    </w:rPr>
  </w:style>
  <w:style w:type="character" w:customStyle="1" w:styleId="Charffffff">
    <w:name w:val="引用 Char"/>
    <w:link w:val="afffffffff0"/>
    <w:qFormat/>
    <w:rPr>
      <w:i/>
      <w:iCs/>
    </w:rPr>
  </w:style>
  <w:style w:type="paragraph" w:styleId="afffffffff0">
    <w:name w:val="Quote"/>
    <w:basedOn w:val="a6"/>
    <w:next w:val="a6"/>
    <w:link w:val="Charffffff"/>
    <w:qFormat/>
    <w:pPr>
      <w:widowControl/>
      <w:spacing w:before="200" w:line="276" w:lineRule="auto"/>
      <w:ind w:left="360" w:right="360"/>
      <w:jc w:val="left"/>
    </w:pPr>
    <w:rPr>
      <w:i/>
      <w:iCs/>
      <w:kern w:val="0"/>
      <w:sz w:val="20"/>
      <w:szCs w:val="20"/>
    </w:rPr>
  </w:style>
  <w:style w:type="character" w:customStyle="1" w:styleId="nota">
    <w:name w:val="nota"/>
    <w:qFormat/>
    <w:rPr>
      <w:i/>
      <w:iCs/>
      <w:sz w:val="20"/>
    </w:rPr>
  </w:style>
  <w:style w:type="character" w:customStyle="1" w:styleId="EmailStyle4421">
    <w:name w:val="EmailStyle4421"/>
    <w:qFormat/>
    <w:rPr>
      <w:rFonts w:ascii="Arial" w:eastAsia="宋体" w:hAnsi="Arial" w:cs="Arial"/>
      <w:color w:val="auto"/>
      <w:sz w:val="20"/>
    </w:rPr>
  </w:style>
  <w:style w:type="character" w:customStyle="1" w:styleId="CharCharff3">
    <w:name w:val="正文的样式 Char Char"/>
    <w:link w:val="Charffffff0"/>
    <w:qFormat/>
    <w:rPr>
      <w:rFonts w:ascii="宋体" w:hAnsi="Symbol"/>
      <w:bCs/>
      <w:kern w:val="2"/>
      <w:sz w:val="24"/>
      <w:szCs w:val="24"/>
    </w:rPr>
  </w:style>
  <w:style w:type="paragraph" w:customStyle="1" w:styleId="Charffffff0">
    <w:name w:val="正文的样式 Char"/>
    <w:basedOn w:val="a6"/>
    <w:link w:val="CharCharff3"/>
    <w:qFormat/>
    <w:pPr>
      <w:adjustRightInd w:val="0"/>
      <w:snapToGrid w:val="0"/>
      <w:spacing w:line="360" w:lineRule="auto"/>
      <w:ind w:firstLineChars="200" w:firstLine="480"/>
    </w:pPr>
    <w:rPr>
      <w:rFonts w:ascii="宋体" w:hAnsi="Symbol"/>
      <w:bCs/>
      <w:sz w:val="24"/>
    </w:rPr>
  </w:style>
  <w:style w:type="character" w:customStyle="1" w:styleId="hottext1">
    <w:name w:val="hottext1"/>
    <w:qFormat/>
    <w:rPr>
      <w:rFonts w:ascii="宋体" w:eastAsia="宋体" w:hAnsi="宋体" w:hint="eastAsia"/>
      <w:color w:val="333333"/>
      <w:sz w:val="20"/>
      <w:szCs w:val="20"/>
      <w:u w:val="none"/>
    </w:rPr>
  </w:style>
  <w:style w:type="character" w:customStyle="1" w:styleId="2CharChar4">
    <w:name w:val="样式 首行缩进:  2 字符 Char Char"/>
    <w:link w:val="2ff4"/>
    <w:qFormat/>
    <w:rPr>
      <w:kern w:val="2"/>
      <w:sz w:val="24"/>
      <w:szCs w:val="24"/>
    </w:rPr>
  </w:style>
  <w:style w:type="paragraph" w:customStyle="1" w:styleId="2ff4">
    <w:name w:val="样式 首行缩进:  2 字符"/>
    <w:basedOn w:val="a6"/>
    <w:link w:val="2CharChar4"/>
    <w:qFormat/>
    <w:pPr>
      <w:topLinePunct/>
      <w:spacing w:line="360" w:lineRule="auto"/>
      <w:ind w:firstLineChars="200" w:firstLine="480"/>
    </w:pPr>
    <w:rPr>
      <w:sz w:val="24"/>
    </w:rPr>
  </w:style>
  <w:style w:type="character" w:customStyle="1" w:styleId="5Char11">
    <w:name w:val="标题 5 Char1"/>
    <w:qFormat/>
    <w:rPr>
      <w:rFonts w:eastAsia="宋体" w:cs="Times New Roman"/>
      <w:b/>
      <w:bCs/>
      <w:kern w:val="2"/>
      <w:sz w:val="28"/>
      <w:szCs w:val="28"/>
    </w:rPr>
  </w:style>
  <w:style w:type="character" w:customStyle="1" w:styleId="Charffffff1">
    <w:name w:val="表头图名 Char"/>
    <w:link w:val="afffffffff1"/>
    <w:qFormat/>
    <w:rPr>
      <w:rFonts w:eastAsia="黑体" w:hAnsi="黑体"/>
      <w:kern w:val="2"/>
      <w:sz w:val="24"/>
    </w:rPr>
  </w:style>
  <w:style w:type="paragraph" w:customStyle="1" w:styleId="afffffffff1">
    <w:name w:val="表头图名"/>
    <w:basedOn w:val="affff"/>
    <w:link w:val="Charffffff1"/>
    <w:qFormat/>
    <w:pPr>
      <w:spacing w:line="520" w:lineRule="exact"/>
      <w:ind w:firstLineChars="0" w:firstLine="0"/>
      <w:jc w:val="center"/>
    </w:pPr>
    <w:rPr>
      <w:rFonts w:hAnsi="黑体"/>
      <w:spacing w:val="0"/>
      <w:szCs w:val="20"/>
    </w:rPr>
  </w:style>
  <w:style w:type="character" w:customStyle="1" w:styleId="viewcountml5">
    <w:name w:val="viewcount ml5"/>
    <w:qFormat/>
  </w:style>
  <w:style w:type="character" w:customStyle="1" w:styleId="CharCharff4">
    <w:name w:val="无级项 Char Char"/>
    <w:qFormat/>
    <w:rPr>
      <w:rFonts w:ascii="Times New Roman" w:eastAsia="宋体" w:hAnsi="Times New Roman" w:cs="Times New Roman"/>
      <w:sz w:val="24"/>
      <w:szCs w:val="24"/>
    </w:rPr>
  </w:style>
  <w:style w:type="character" w:customStyle="1" w:styleId="lv3">
    <w:name w:val="lv3"/>
    <w:qFormat/>
    <w:rPr>
      <w:rFonts w:hint="default"/>
      <w:color w:val="2E7713"/>
      <w:sz w:val="20"/>
      <w:szCs w:val="20"/>
      <w:u w:val="none"/>
    </w:rPr>
  </w:style>
  <w:style w:type="character" w:customStyle="1" w:styleId="slink1">
    <w:name w:val="slink1"/>
    <w:qFormat/>
    <w:rPr>
      <w:rFonts w:ascii="ˎ̥" w:hAnsi="ˎ̥" w:hint="default"/>
      <w:sz w:val="18"/>
      <w:szCs w:val="18"/>
      <w:u w:val="none"/>
    </w:rPr>
  </w:style>
  <w:style w:type="character" w:customStyle="1" w:styleId="EmailStyle517">
    <w:name w:val="EmailStyle517"/>
    <w:qFormat/>
    <w:rPr>
      <w:rFonts w:ascii="Arial" w:eastAsia="宋体" w:hAnsi="Arial" w:cs="Arial"/>
      <w:color w:val="auto"/>
      <w:sz w:val="20"/>
    </w:rPr>
  </w:style>
  <w:style w:type="character" w:customStyle="1" w:styleId="CaptionChar">
    <w:name w:val="Caption Char"/>
    <w:link w:val="afffffffff2"/>
    <w:qFormat/>
    <w:rPr>
      <w:rFonts w:ascii="黑体" w:eastAsia="黑体" w:hAnsi="宋体"/>
      <w:color w:val="000000"/>
      <w:kern w:val="2"/>
      <w:sz w:val="28"/>
      <w:szCs w:val="28"/>
      <w:lang w:val="en-US" w:eastAsia="zh-CN"/>
    </w:rPr>
  </w:style>
  <w:style w:type="paragraph" w:customStyle="1" w:styleId="afffffffff2">
    <w:name w:val="表题"/>
    <w:basedOn w:val="a6"/>
    <w:link w:val="CaptionChar"/>
    <w:qFormat/>
    <w:pPr>
      <w:tabs>
        <w:tab w:val="left" w:pos="4305"/>
      </w:tabs>
      <w:adjustRightInd w:val="0"/>
      <w:snapToGrid w:val="0"/>
      <w:jc w:val="center"/>
    </w:pPr>
    <w:rPr>
      <w:rFonts w:ascii="黑体" w:eastAsia="黑体" w:hAnsi="宋体"/>
      <w:color w:val="000000"/>
      <w:sz w:val="28"/>
      <w:szCs w:val="28"/>
    </w:rPr>
  </w:style>
  <w:style w:type="character" w:customStyle="1" w:styleId="CharChar82">
    <w:name w:val="Char Char82"/>
    <w:qFormat/>
    <w:rPr>
      <w:kern w:val="2"/>
      <w:sz w:val="21"/>
      <w:szCs w:val="22"/>
    </w:rPr>
  </w:style>
  <w:style w:type="character" w:customStyle="1" w:styleId="CharCharff5">
    <w:name w:val="表头 Char Char"/>
    <w:uiPriority w:val="99"/>
    <w:qFormat/>
    <w:rPr>
      <w:rFonts w:ascii="Times New Roman" w:hAnsi="Times New Roman"/>
      <w:b/>
      <w:spacing w:val="4"/>
      <w:kern w:val="2"/>
      <w:sz w:val="24"/>
    </w:rPr>
  </w:style>
  <w:style w:type="character" w:customStyle="1" w:styleId="Char1f5">
    <w:name w:val="表蕊 Char1"/>
    <w:link w:val="afffffffff3"/>
    <w:qFormat/>
    <w:rPr>
      <w:rFonts w:eastAsia="楷体_GB2312"/>
      <w:spacing w:val="-10"/>
      <w:sz w:val="21"/>
    </w:rPr>
  </w:style>
  <w:style w:type="paragraph" w:customStyle="1" w:styleId="afffffffff3">
    <w:name w:val="表蕊"/>
    <w:basedOn w:val="a6"/>
    <w:link w:val="Char1f5"/>
    <w:qFormat/>
    <w:pPr>
      <w:adjustRightInd w:val="0"/>
      <w:spacing w:line="320" w:lineRule="atLeast"/>
      <w:jc w:val="left"/>
      <w:textAlignment w:val="baseline"/>
    </w:pPr>
    <w:rPr>
      <w:rFonts w:eastAsia="楷体_GB2312"/>
      <w:spacing w:val="-10"/>
      <w:kern w:val="0"/>
      <w:szCs w:val="20"/>
    </w:rPr>
  </w:style>
  <w:style w:type="character" w:customStyle="1" w:styleId="GB2312Char">
    <w:name w:val="样式 样式 楷体_GB2312 小四 居中 行距: 单倍行距 + 宋体 Char"/>
    <w:link w:val="GB23122"/>
    <w:qFormat/>
    <w:rPr>
      <w:rFonts w:eastAsia="楷体_GB2312"/>
      <w:kern w:val="2"/>
      <w:sz w:val="24"/>
      <w:szCs w:val="24"/>
    </w:rPr>
  </w:style>
  <w:style w:type="paragraph" w:customStyle="1" w:styleId="GB23122">
    <w:name w:val="样式 样式 楷体_GB2312 小四 居中 行距: 单倍行距 + 宋体"/>
    <w:link w:val="GB2312Char"/>
    <w:qFormat/>
  </w:style>
  <w:style w:type="paragraph" w:customStyle="1" w:styleId="GB23123">
    <w:name w:val="样式 楷体_GB2312 小四 居中 行距: 单倍行距"/>
    <w:basedOn w:val="a6"/>
    <w:link w:val="GB2312Char0"/>
    <w:qFormat/>
    <w:pPr>
      <w:jc w:val="center"/>
    </w:pPr>
    <w:rPr>
      <w:rFonts w:eastAsia="楷体_GB2312"/>
      <w:sz w:val="24"/>
    </w:rPr>
  </w:style>
  <w:style w:type="character" w:customStyle="1" w:styleId="GB2312Char0">
    <w:name w:val="样式 楷体_GB2312 小四 居中 行距: 单倍行距 Char"/>
    <w:link w:val="GB23123"/>
    <w:qFormat/>
    <w:rPr>
      <w:rFonts w:eastAsia="楷体_GB2312"/>
      <w:kern w:val="2"/>
      <w:sz w:val="24"/>
      <w:szCs w:val="24"/>
    </w:rPr>
  </w:style>
  <w:style w:type="character" w:customStyle="1" w:styleId="blogsep2">
    <w:name w:val="blogsep2"/>
    <w:qFormat/>
  </w:style>
  <w:style w:type="character" w:customStyle="1" w:styleId="CharCharff6">
    <w:name w:val="正文(首行缩进)宋旭峰 Char Char"/>
    <w:link w:val="afffffffff4"/>
    <w:qFormat/>
    <w:rPr>
      <w:rFonts w:ascii="宋体" w:hAnsi="宋体"/>
      <w:sz w:val="26"/>
      <w:szCs w:val="26"/>
    </w:rPr>
  </w:style>
  <w:style w:type="paragraph" w:customStyle="1" w:styleId="afffffffff4">
    <w:name w:val="正文(首行缩进)宋旭峰"/>
    <w:basedOn w:val="af0"/>
    <w:link w:val="CharCharff6"/>
    <w:qFormat/>
    <w:pPr>
      <w:adjustRightInd/>
      <w:spacing w:line="460" w:lineRule="exact"/>
      <w:ind w:firstLineChars="200" w:firstLine="520"/>
      <w:jc w:val="both"/>
      <w:textAlignment w:val="auto"/>
    </w:pPr>
    <w:rPr>
      <w:sz w:val="26"/>
      <w:szCs w:val="26"/>
    </w:rPr>
  </w:style>
  <w:style w:type="character" w:customStyle="1" w:styleId="1Char13">
    <w:name w:val="正文样式1 Char1"/>
    <w:qFormat/>
    <w:rPr>
      <w:rFonts w:ascii="宋体" w:eastAsia="宋体" w:hAnsi="宋体" w:cs="Courier New"/>
      <w:sz w:val="24"/>
      <w:szCs w:val="21"/>
      <w:lang w:val="en-US" w:eastAsia="zh-CN" w:bidi="ar-SA"/>
    </w:rPr>
  </w:style>
  <w:style w:type="character" w:customStyle="1" w:styleId="contextfl">
    <w:name w:val="context fl"/>
    <w:qFormat/>
  </w:style>
  <w:style w:type="character" w:customStyle="1" w:styleId="ca-91">
    <w:name w:val="ca-91"/>
    <w:qFormat/>
    <w:rPr>
      <w:rFonts w:ascii="Times New Roman" w:hAnsi="Times New Roman" w:cs="Times New Roman" w:hint="default"/>
      <w:color w:val="FF0000"/>
      <w:sz w:val="10"/>
      <w:szCs w:val="10"/>
    </w:rPr>
  </w:style>
  <w:style w:type="character" w:customStyle="1" w:styleId="style11">
    <w:name w:val="style11"/>
    <w:qFormat/>
    <w:rPr>
      <w:rFonts w:cs="Times New Roman"/>
      <w:color w:val="FF0000"/>
    </w:rPr>
  </w:style>
  <w:style w:type="character" w:customStyle="1" w:styleId="123YJCharChar1">
    <w:name w:val="123YJ Char Char1"/>
    <w:qFormat/>
    <w:rPr>
      <w:rFonts w:ascii="华文新魏" w:eastAsia="华文新魏"/>
      <w:color w:val="000080"/>
      <w:kern w:val="2"/>
      <w:sz w:val="21"/>
      <w:szCs w:val="21"/>
      <w:lang w:val="en-US" w:eastAsia="zh-CN" w:bidi="ar-SA"/>
    </w:rPr>
  </w:style>
  <w:style w:type="character" w:customStyle="1" w:styleId="3H3Char">
    <w:name w:val="样式 标题 3H3 + 黑色 Char"/>
    <w:link w:val="3H3"/>
    <w:qFormat/>
    <w:rPr>
      <w:b/>
      <w:color w:val="000000"/>
      <w:sz w:val="24"/>
      <w:szCs w:val="24"/>
    </w:rPr>
  </w:style>
  <w:style w:type="paragraph" w:customStyle="1" w:styleId="3H3">
    <w:name w:val="样式 标题 3H3 + 黑色"/>
    <w:basedOn w:val="33"/>
    <w:link w:val="3H3Char"/>
    <w:qFormat/>
    <w:pPr>
      <w:keepNext w:val="0"/>
      <w:keepLines w:val="0"/>
      <w:tabs>
        <w:tab w:val="left" w:pos="1070"/>
      </w:tabs>
      <w:adjustRightInd w:val="0"/>
      <w:snapToGrid w:val="0"/>
      <w:spacing w:line="460" w:lineRule="exact"/>
    </w:pPr>
    <w:rPr>
      <w:rFonts w:eastAsia="宋体"/>
      <w:b/>
      <w:color w:val="000000"/>
      <w:spacing w:val="0"/>
      <w:kern w:val="0"/>
      <w:sz w:val="24"/>
      <w:szCs w:val="24"/>
    </w:rPr>
  </w:style>
  <w:style w:type="character" w:customStyle="1" w:styleId="CharCharff7">
    <w:name w:val="批注文字 Char Char"/>
    <w:qFormat/>
    <w:rPr>
      <w:rFonts w:ascii="Times New Roman" w:eastAsia="宋体" w:hAnsi="Times New Roman" w:cs="Times New Roman"/>
      <w:szCs w:val="20"/>
    </w:rPr>
  </w:style>
  <w:style w:type="character" w:customStyle="1" w:styleId="410">
    <w:name w:val="正文缩进41"/>
    <w:qFormat/>
    <w:rPr>
      <w:rFonts w:ascii="宋体" w:eastAsia="宋体"/>
      <w:kern w:val="2"/>
      <w:sz w:val="24"/>
      <w:szCs w:val="24"/>
      <w:lang w:val="en-US" w:eastAsia="zh-CN" w:bidi="ar-SA"/>
    </w:rPr>
  </w:style>
  <w:style w:type="character" w:customStyle="1" w:styleId="777777777CharCharCharCharCharChar">
    <w:name w:val="777777777 Char Char Char Char Char Char"/>
    <w:qFormat/>
    <w:rPr>
      <w:rFonts w:eastAsia="宋体"/>
      <w:kern w:val="2"/>
      <w:sz w:val="28"/>
      <w:lang w:val="en-US" w:eastAsia="zh-CN"/>
    </w:rPr>
  </w:style>
  <w:style w:type="character" w:customStyle="1" w:styleId="CharCharff8">
    <w:name w:val="表格标题 Char Char"/>
    <w:qFormat/>
    <w:rPr>
      <w:rFonts w:eastAsia="宋体"/>
      <w:kern w:val="2"/>
      <w:sz w:val="24"/>
      <w:lang w:val="en-US" w:eastAsia="zh-CN"/>
    </w:rPr>
  </w:style>
  <w:style w:type="character" w:customStyle="1" w:styleId="313Char123453Char2Char">
    <w:name w:val="样式 标题 3三级标题三级标题1标题 3 Char1三级标题2三级标题3三级标题4三级标题5标题 3 Char2... Char"/>
    <w:qFormat/>
    <w:rPr>
      <w:rFonts w:ascii="黑体" w:eastAsia="黑体" w:cs="宋体"/>
      <w:b/>
      <w:bCs/>
      <w:color w:val="000000"/>
      <w:sz w:val="28"/>
      <w:szCs w:val="28"/>
      <w:lang w:val="en-US" w:eastAsia="zh-CN" w:bidi="ar-SA"/>
    </w:rPr>
  </w:style>
  <w:style w:type="character" w:customStyle="1" w:styleId="CharChar41">
    <w:name w:val="Char Char41"/>
    <w:qFormat/>
    <w:rPr>
      <w:rFonts w:eastAsia="宋体"/>
      <w:kern w:val="2"/>
      <w:sz w:val="21"/>
      <w:szCs w:val="24"/>
      <w:lang w:val="en-US" w:eastAsia="zh-CN" w:bidi="ar-SA"/>
    </w:rPr>
  </w:style>
  <w:style w:type="character" w:customStyle="1" w:styleId="font181">
    <w:name w:val="font181"/>
    <w:qFormat/>
    <w:rPr>
      <w:rFonts w:ascii="宋体" w:eastAsia="宋体" w:hAnsi="宋体" w:hint="eastAsia"/>
      <w:color w:val="000000"/>
      <w:sz w:val="21"/>
      <w:szCs w:val="21"/>
      <w:u w:val="none"/>
      <w:vertAlign w:val="subscript"/>
    </w:rPr>
  </w:style>
  <w:style w:type="character" w:customStyle="1" w:styleId="Charffffff2">
    <w:name w:val="表格样式 Char"/>
    <w:qFormat/>
    <w:rPr>
      <w:rFonts w:ascii="宋体" w:eastAsia="宋体" w:hAnsi="宋体" w:cs="Times New Roman"/>
      <w:szCs w:val="24"/>
    </w:rPr>
  </w:style>
  <w:style w:type="character" w:customStyle="1" w:styleId="afffffffff5">
    <w:name w:val="文字"/>
    <w:qFormat/>
    <w:rPr>
      <w:rFonts w:ascii="宋体" w:eastAsia="宋体" w:hAnsi="宋体" w:cs="Times New Roman"/>
      <w:color w:val="000000"/>
      <w:kern w:val="40"/>
      <w:sz w:val="18"/>
      <w:szCs w:val="30"/>
      <w:lang w:val="en-US" w:eastAsia="zh-CN" w:bidi="ar-SA"/>
    </w:rPr>
  </w:style>
  <w:style w:type="character" w:customStyle="1" w:styleId="afffffffff6">
    <w:name w:val="三级"/>
    <w:qFormat/>
    <w:rPr>
      <w:rFonts w:eastAsia="黑体"/>
      <w:b/>
      <w:bCs/>
      <w:sz w:val="28"/>
    </w:rPr>
  </w:style>
  <w:style w:type="character" w:customStyle="1" w:styleId="hb3CharCharCharCharCharChar">
    <w:name w:val="hb3 Char Char Char Char Char Char"/>
    <w:link w:val="hb3CharCharCharCharChar"/>
    <w:qFormat/>
    <w:rPr>
      <w:rFonts w:eastAsia="黑体" w:hAnsi="黑体"/>
      <w:b/>
      <w:bCs/>
      <w:kern w:val="2"/>
      <w:sz w:val="28"/>
      <w:szCs w:val="24"/>
    </w:rPr>
  </w:style>
  <w:style w:type="paragraph" w:customStyle="1" w:styleId="hb3CharCharCharCharChar">
    <w:name w:val="hb3 Char Char Char Char Char"/>
    <w:basedOn w:val="33"/>
    <w:link w:val="hb3CharCharCharCharCharChar"/>
    <w:qFormat/>
    <w:pPr>
      <w:keepNext w:val="0"/>
      <w:adjustRightInd w:val="0"/>
      <w:spacing w:beforeLines="50" w:afterLines="50" w:line="520" w:lineRule="exact"/>
      <w:jc w:val="left"/>
    </w:pPr>
    <w:rPr>
      <w:rFonts w:hAnsi="黑体"/>
      <w:b/>
      <w:bCs/>
      <w:spacing w:val="0"/>
      <w:szCs w:val="24"/>
    </w:rPr>
  </w:style>
  <w:style w:type="character" w:customStyle="1" w:styleId="3Char11">
    <w:name w:val="正文文本 3 Char1"/>
    <w:qFormat/>
    <w:rPr>
      <w:color w:val="000000"/>
      <w:w w:val="110"/>
      <w:kern w:val="0"/>
      <w:sz w:val="16"/>
    </w:rPr>
  </w:style>
  <w:style w:type="character" w:customStyle="1" w:styleId="CharCharff9">
    <w:name w:val="表头样式 Char Char"/>
    <w:qFormat/>
    <w:rPr>
      <w:rFonts w:ascii="宋体" w:eastAsia="宋体" w:hAnsi="宋体"/>
      <w:b/>
      <w:kern w:val="2"/>
      <w:sz w:val="28"/>
      <w:szCs w:val="28"/>
      <w:lang w:val="en-US" w:eastAsia="zh-CN" w:bidi="ar-SA"/>
    </w:rPr>
  </w:style>
  <w:style w:type="character" w:customStyle="1" w:styleId="22CharChar0">
    <w:name w:val="样式 题注 + 首行缩进:  2 字符2 Char Char"/>
    <w:link w:val="225"/>
    <w:qFormat/>
    <w:rPr>
      <w:rFonts w:ascii="黑体" w:eastAsia="黑体" w:hAnsi="宋体"/>
      <w:color w:val="000000"/>
      <w:w w:val="110"/>
      <w:sz w:val="24"/>
      <w:szCs w:val="24"/>
    </w:rPr>
  </w:style>
  <w:style w:type="paragraph" w:customStyle="1" w:styleId="225">
    <w:name w:val="样式 题注 + 首行缩进:  2 字符2"/>
    <w:link w:val="22CharChar0"/>
    <w:qFormat/>
    <w:pPr>
      <w:keepNext/>
      <w:adjustRightInd w:val="0"/>
      <w:snapToGrid w:val="0"/>
      <w:jc w:val="center"/>
    </w:pPr>
    <w:rPr>
      <w:rFonts w:ascii="黑体" w:hAnsi="宋体"/>
      <w:sz w:val="24"/>
      <w:szCs w:val="24"/>
    </w:rPr>
  </w:style>
  <w:style w:type="paragraph" w:customStyle="1" w:styleId="1ff2">
    <w:name w:val="题注1"/>
    <w:basedOn w:val="a6"/>
    <w:next w:val="a6"/>
    <w:link w:val="Char1f6"/>
    <w:qFormat/>
    <w:rPr>
      <w:rFonts w:ascii="Arial" w:eastAsia="黑体" w:hAnsi="Arial"/>
      <w:color w:val="000000"/>
      <w:w w:val="110"/>
      <w:kern w:val="0"/>
      <w:sz w:val="20"/>
      <w:szCs w:val="20"/>
    </w:rPr>
  </w:style>
  <w:style w:type="character" w:customStyle="1" w:styleId="Char1f6">
    <w:name w:val="题注 Char1"/>
    <w:link w:val="1ff2"/>
    <w:qFormat/>
    <w:rPr>
      <w:rFonts w:ascii="Arial" w:eastAsia="黑体" w:hAnsi="Arial"/>
      <w:color w:val="000000"/>
      <w:w w:val="110"/>
    </w:rPr>
  </w:style>
  <w:style w:type="character" w:customStyle="1" w:styleId="afffffffff7">
    <w:name w:val="表格右"/>
    <w:qFormat/>
    <w:rPr>
      <w:rFonts w:ascii="宋体" w:eastAsia="宋体" w:hAnsi="宋体"/>
      <w:color w:val="000080"/>
      <w:kern w:val="2"/>
      <w:sz w:val="18"/>
      <w:szCs w:val="24"/>
      <w:lang w:val="en-US" w:eastAsia="zh-CN"/>
    </w:rPr>
  </w:style>
  <w:style w:type="character" w:customStyle="1" w:styleId="Char1f7">
    <w:name w:val="副标题 Char1"/>
    <w:qFormat/>
    <w:rPr>
      <w:rFonts w:ascii="Calibri Light" w:hAnsi="Calibri Light" w:cs="Times New Roman"/>
      <w:b/>
      <w:bCs/>
      <w:kern w:val="28"/>
      <w:sz w:val="32"/>
      <w:szCs w:val="32"/>
    </w:rPr>
  </w:style>
  <w:style w:type="character" w:customStyle="1" w:styleId="2CharChar5">
    <w:name w:val="分目录2 Char Char"/>
    <w:qFormat/>
    <w:rPr>
      <w:snapToGrid w:val="0"/>
      <w:sz w:val="24"/>
    </w:rPr>
  </w:style>
  <w:style w:type="character" w:customStyle="1" w:styleId="T3CharChar">
    <w:name w:val="T3标题 Char Char"/>
    <w:link w:val="T3"/>
    <w:qFormat/>
    <w:rPr>
      <w:rFonts w:ascii="宋体" w:hAnsi="宋体"/>
      <w:b/>
      <w:bCs/>
      <w:color w:val="000000"/>
      <w:kern w:val="18"/>
      <w:sz w:val="24"/>
      <w:szCs w:val="24"/>
    </w:rPr>
  </w:style>
  <w:style w:type="paragraph" w:customStyle="1" w:styleId="T3">
    <w:name w:val="T3标题"/>
    <w:basedOn w:val="33"/>
    <w:link w:val="T3CharChar"/>
    <w:qFormat/>
    <w:pPr>
      <w:tabs>
        <w:tab w:val="left" w:pos="0"/>
        <w:tab w:val="left" w:pos="720"/>
        <w:tab w:val="left" w:pos="1070"/>
      </w:tabs>
      <w:adjustRightInd w:val="0"/>
      <w:snapToGrid w:val="0"/>
      <w:spacing w:line="360" w:lineRule="auto"/>
      <w:ind w:leftChars="400" w:left="1070" w:hangingChars="200" w:hanging="360"/>
      <w:textAlignment w:val="top"/>
    </w:pPr>
    <w:rPr>
      <w:rFonts w:ascii="宋体" w:eastAsia="宋体" w:hAnsi="宋体"/>
      <w:b/>
      <w:bCs/>
      <w:color w:val="000000"/>
      <w:spacing w:val="0"/>
      <w:kern w:val="18"/>
      <w:sz w:val="24"/>
      <w:szCs w:val="24"/>
    </w:rPr>
  </w:style>
  <w:style w:type="character" w:customStyle="1" w:styleId="hb3CharCharCharCharChar1">
    <w:name w:val="hb3 Char Char Char Char Char1"/>
    <w:link w:val="hb3CharCharCharChar1"/>
    <w:qFormat/>
    <w:rPr>
      <w:rFonts w:eastAsia="黑体" w:hAnsi="黑体"/>
      <w:b/>
      <w:bCs/>
      <w:kern w:val="2"/>
      <w:sz w:val="28"/>
      <w:szCs w:val="24"/>
    </w:rPr>
  </w:style>
  <w:style w:type="paragraph" w:customStyle="1" w:styleId="hb3CharCharCharChar1">
    <w:name w:val="hb3 Char Char Char Char1"/>
    <w:basedOn w:val="33"/>
    <w:link w:val="hb3CharCharCharCharChar1"/>
    <w:qFormat/>
    <w:pPr>
      <w:keepNext w:val="0"/>
      <w:adjustRightInd w:val="0"/>
      <w:spacing w:beforeLines="50" w:afterLines="50" w:line="520" w:lineRule="exact"/>
      <w:jc w:val="left"/>
    </w:pPr>
    <w:rPr>
      <w:rFonts w:hAnsi="黑体"/>
      <w:b/>
      <w:bCs/>
      <w:spacing w:val="0"/>
      <w:szCs w:val="24"/>
    </w:rPr>
  </w:style>
  <w:style w:type="character" w:customStyle="1" w:styleId="Charffffff3">
    <w:name w:val="正文样式 Char"/>
    <w:qFormat/>
    <w:rPr>
      <w:rFonts w:ascii="宋体" w:eastAsia="宋体" w:hAnsi="宋体"/>
      <w:kern w:val="2"/>
      <w:sz w:val="24"/>
      <w:szCs w:val="24"/>
      <w:lang w:val="en-US" w:eastAsia="zh-CN" w:bidi="ar-SA"/>
    </w:rPr>
  </w:style>
  <w:style w:type="character" w:customStyle="1" w:styleId="Charffffff4">
    <w:name w:val="陈正文 Char"/>
    <w:link w:val="afffffffff8"/>
    <w:qFormat/>
    <w:rPr>
      <w:sz w:val="24"/>
      <w:szCs w:val="24"/>
    </w:rPr>
  </w:style>
  <w:style w:type="paragraph" w:customStyle="1" w:styleId="afffffffff8">
    <w:name w:val="陈正文"/>
    <w:basedOn w:val="a6"/>
    <w:next w:val="a6"/>
    <w:link w:val="Charffffff4"/>
    <w:qFormat/>
    <w:pPr>
      <w:spacing w:line="336" w:lineRule="auto"/>
      <w:ind w:firstLineChars="200" w:firstLine="480"/>
    </w:pPr>
    <w:rPr>
      <w:kern w:val="0"/>
      <w:sz w:val="24"/>
    </w:rPr>
  </w:style>
  <w:style w:type="character" w:customStyle="1" w:styleId="777777777CharCharCharCharCharCharChar">
    <w:name w:val="777777777 Char Char Char Char Char Char Char"/>
    <w:link w:val="777777777"/>
    <w:qFormat/>
    <w:rPr>
      <w:sz w:val="28"/>
    </w:rPr>
  </w:style>
  <w:style w:type="paragraph" w:customStyle="1" w:styleId="777777777">
    <w:name w:val="777777777"/>
    <w:basedOn w:val="a6"/>
    <w:link w:val="777777777CharCharCharCharCharCharChar"/>
    <w:qFormat/>
    <w:pPr>
      <w:widowControl/>
      <w:spacing w:line="400" w:lineRule="exact"/>
      <w:ind w:firstLineChars="200" w:firstLine="560"/>
      <w:jc w:val="left"/>
    </w:pPr>
    <w:rPr>
      <w:kern w:val="0"/>
      <w:sz w:val="28"/>
      <w:szCs w:val="20"/>
    </w:rPr>
  </w:style>
  <w:style w:type="character" w:customStyle="1" w:styleId="2H211lxb211h2CharCharCharCharCharChar">
    <w:name w:val="样式 标题 2节H2节标题 1.1二级标题标题 lxb21.1h2第一层条二级标题 Char表标题单位名... Char Char Char Char Char"/>
    <w:qFormat/>
    <w:rPr>
      <w:rFonts w:ascii="黑体" w:eastAsia="黑体" w:hAnsi="宋体"/>
      <w:bCs/>
      <w:color w:val="000000"/>
      <w:kern w:val="2"/>
      <w:sz w:val="28"/>
      <w:szCs w:val="28"/>
    </w:rPr>
  </w:style>
  <w:style w:type="character" w:customStyle="1" w:styleId="right1">
    <w:name w:val="right1"/>
    <w:qFormat/>
  </w:style>
  <w:style w:type="character" w:customStyle="1" w:styleId="CharChar221">
    <w:name w:val="Char Char221"/>
    <w:qFormat/>
    <w:rPr>
      <w:rFonts w:ascii="Arial" w:eastAsia="仿宋_GB2312" w:hAnsi="Arial"/>
      <w:b/>
      <w:spacing w:val="-4"/>
      <w:kern w:val="20"/>
      <w:sz w:val="18"/>
      <w:lang w:val="en-US" w:eastAsia="zh-CN" w:bidi="ar-SA"/>
    </w:rPr>
  </w:style>
  <w:style w:type="character" w:customStyle="1" w:styleId="FontStyle374">
    <w:name w:val="Font Style374"/>
    <w:qFormat/>
    <w:rPr>
      <w:rFonts w:ascii="Times New Roman" w:hAnsi="Times New Roman" w:cs="Times New Roman"/>
      <w:sz w:val="12"/>
      <w:szCs w:val="12"/>
    </w:rPr>
  </w:style>
  <w:style w:type="character" w:customStyle="1" w:styleId="CharCharChare">
    <w:name w:val="报告书表格 Char Char Char"/>
    <w:qFormat/>
    <w:rPr>
      <w:rFonts w:eastAsia="宋体" w:hAnsi="宋体"/>
      <w:color w:val="000000"/>
      <w:sz w:val="21"/>
      <w:szCs w:val="21"/>
      <w:lang w:val="en-US" w:eastAsia="zh-CN" w:bidi="ar-SA"/>
    </w:rPr>
  </w:style>
  <w:style w:type="character" w:customStyle="1" w:styleId="EmailStyle5091">
    <w:name w:val="EmailStyle5091"/>
    <w:qFormat/>
    <w:rPr>
      <w:rFonts w:ascii="Arial" w:eastAsia="宋体" w:hAnsi="Arial" w:cs="Arial"/>
      <w:color w:val="auto"/>
      <w:sz w:val="20"/>
    </w:rPr>
  </w:style>
  <w:style w:type="character" w:customStyle="1" w:styleId="2ff5">
    <w:name w:val="页码2"/>
    <w:qFormat/>
  </w:style>
  <w:style w:type="character" w:customStyle="1" w:styleId="GB23124">
    <w:name w:val="样式 仿宋_GB2312 小四 黑色"/>
    <w:qFormat/>
    <w:rPr>
      <w:rFonts w:ascii="Times New Roman" w:eastAsia="仿宋_GB2312" w:hAnsi="Times New Roman" w:cs="Courier New"/>
      <w:color w:val="000000"/>
      <w:kern w:val="2"/>
      <w:sz w:val="24"/>
      <w:szCs w:val="24"/>
      <w:lang w:val="en-US" w:eastAsia="zh-CN" w:bidi="ar-SA"/>
    </w:rPr>
  </w:style>
  <w:style w:type="character" w:customStyle="1" w:styleId="Charffffff5">
    <w:name w:val="正文部分 Char"/>
    <w:qFormat/>
    <w:rPr>
      <w:rFonts w:ascii="宋体" w:eastAsia="宋体" w:hAnsi="宋体"/>
      <w:sz w:val="28"/>
      <w:lang w:val="en-US" w:eastAsia="zh-CN"/>
    </w:rPr>
  </w:style>
  <w:style w:type="character" w:customStyle="1" w:styleId="1Chara">
    <w:name w:val="表格文字1 Char"/>
    <w:qFormat/>
    <w:rPr>
      <w:rFonts w:ascii="宋体" w:eastAsia="宋体" w:hAnsi="Courier New"/>
      <w:kern w:val="2"/>
      <w:sz w:val="21"/>
      <w:lang w:val="en-US" w:eastAsia="zh-CN" w:bidi="ar-SA"/>
    </w:rPr>
  </w:style>
  <w:style w:type="character" w:customStyle="1" w:styleId="ca-101">
    <w:name w:val="ca-101"/>
    <w:qFormat/>
    <w:rPr>
      <w:rFonts w:ascii="Times New Roman" w:hAnsi="Times New Roman" w:cs="Times New Roman" w:hint="default"/>
      <w:sz w:val="10"/>
      <w:szCs w:val="10"/>
    </w:rPr>
  </w:style>
  <w:style w:type="character" w:customStyle="1" w:styleId="CharChar120">
    <w:name w:val="Char Char12"/>
    <w:qFormat/>
    <w:rPr>
      <w:rFonts w:ascii="宋体"/>
      <w:kern w:val="2"/>
      <w:sz w:val="18"/>
      <w:szCs w:val="18"/>
    </w:rPr>
  </w:style>
  <w:style w:type="character" w:customStyle="1" w:styleId="title01">
    <w:name w:val="title01"/>
    <w:qFormat/>
  </w:style>
  <w:style w:type="character" w:customStyle="1" w:styleId="style21">
    <w:name w:val="style21"/>
    <w:qFormat/>
    <w:rPr>
      <w:b/>
      <w:bCs/>
      <w:sz w:val="21"/>
      <w:szCs w:val="21"/>
    </w:rPr>
  </w:style>
  <w:style w:type="character" w:customStyle="1" w:styleId="7Char1">
    <w:name w:val="标题 7 Char1"/>
    <w:qFormat/>
    <w:rPr>
      <w:rFonts w:eastAsia="宋体" w:cs="Times New Roman"/>
      <w:b/>
      <w:bCs/>
      <w:kern w:val="2"/>
      <w:sz w:val="24"/>
      <w:szCs w:val="24"/>
    </w:rPr>
  </w:style>
  <w:style w:type="character" w:customStyle="1" w:styleId="Charffffff6">
    <w:name w:val="规划正文样式 Char"/>
    <w:qFormat/>
    <w:rPr>
      <w:rFonts w:eastAsia="宋体"/>
      <w:kern w:val="2"/>
      <w:sz w:val="24"/>
      <w:szCs w:val="24"/>
      <w:lang w:val="en-US" w:eastAsia="zh-CN" w:bidi="ar-SA"/>
    </w:rPr>
  </w:style>
  <w:style w:type="character" w:customStyle="1" w:styleId="CharCharffa">
    <w:name w:val="表格标题博泵 Char Char"/>
    <w:link w:val="afffffffff9"/>
    <w:qFormat/>
    <w:rPr>
      <w:b/>
      <w:color w:val="000000"/>
      <w:w w:val="110"/>
      <w:sz w:val="24"/>
    </w:rPr>
  </w:style>
  <w:style w:type="paragraph" w:customStyle="1" w:styleId="afffffffff9">
    <w:name w:val="表格标题博泵"/>
    <w:basedOn w:val="a6"/>
    <w:link w:val="CharCharffa"/>
    <w:qFormat/>
    <w:pPr>
      <w:adjustRightInd w:val="0"/>
      <w:snapToGrid w:val="0"/>
      <w:jc w:val="center"/>
      <w:textAlignment w:val="baseline"/>
    </w:pPr>
    <w:rPr>
      <w:b/>
      <w:color w:val="000000"/>
      <w:w w:val="110"/>
      <w:kern w:val="0"/>
      <w:sz w:val="24"/>
      <w:szCs w:val="20"/>
    </w:rPr>
  </w:style>
  <w:style w:type="character" w:customStyle="1" w:styleId="15Char">
    <w:name w:val="正文 小四 行距: 1.5 倍行距 Char"/>
    <w:qFormat/>
    <w:rPr>
      <w:rFonts w:cs="宋体"/>
      <w:kern w:val="2"/>
      <w:sz w:val="24"/>
    </w:rPr>
  </w:style>
  <w:style w:type="character" w:customStyle="1" w:styleId="aCharChar">
    <w:name w:val="a) Char Char"/>
    <w:link w:val="afffffffffa"/>
    <w:qFormat/>
    <w:rPr>
      <w:sz w:val="28"/>
    </w:rPr>
  </w:style>
  <w:style w:type="paragraph" w:customStyle="1" w:styleId="afffffffffa">
    <w:name w:val="a)"/>
    <w:basedOn w:val="a6"/>
    <w:link w:val="aCharChar"/>
    <w:qFormat/>
    <w:pPr>
      <w:adjustRightInd w:val="0"/>
      <w:spacing w:line="360" w:lineRule="auto"/>
      <w:ind w:firstLine="567"/>
      <w:textAlignment w:val="baseline"/>
    </w:pPr>
    <w:rPr>
      <w:kern w:val="0"/>
      <w:sz w:val="28"/>
      <w:szCs w:val="20"/>
    </w:rPr>
  </w:style>
  <w:style w:type="character" w:customStyle="1" w:styleId="EmailStyle555">
    <w:name w:val="EmailStyle555"/>
    <w:qFormat/>
    <w:rPr>
      <w:rFonts w:ascii="Arial" w:eastAsia="宋体" w:hAnsi="Arial" w:cs="Arial"/>
      <w:color w:val="auto"/>
      <w:sz w:val="20"/>
    </w:rPr>
  </w:style>
  <w:style w:type="character" w:customStyle="1" w:styleId="FontStyle302">
    <w:name w:val="Font Style302"/>
    <w:qFormat/>
    <w:rPr>
      <w:rFonts w:ascii="宋体" w:eastAsia="宋体" w:cs="宋体"/>
      <w:sz w:val="20"/>
      <w:szCs w:val="20"/>
    </w:rPr>
  </w:style>
  <w:style w:type="character" w:customStyle="1" w:styleId="01Char1">
    <w:name w:val="正文_01 Char"/>
    <w:qFormat/>
    <w:rPr>
      <w:rFonts w:ascii="宋体" w:hAnsi="宋体"/>
      <w:kern w:val="2"/>
      <w:sz w:val="28"/>
      <w:szCs w:val="28"/>
      <w:lang w:val="en-US" w:eastAsia="zh-CN" w:bidi="ar-SA"/>
    </w:rPr>
  </w:style>
  <w:style w:type="character" w:customStyle="1" w:styleId="224Char">
    <w:name w:val="样式 正文文字 + 首行缩进:  2 字符 行距: 最小值 24 磅 Char"/>
    <w:link w:val="2240"/>
    <w:qFormat/>
    <w:rPr>
      <w:kern w:val="2"/>
      <w:sz w:val="24"/>
    </w:rPr>
  </w:style>
  <w:style w:type="paragraph" w:customStyle="1" w:styleId="2240">
    <w:name w:val="样式 正文文字 + 首行缩进:  2 字符 行距: 最小值 24 磅"/>
    <w:basedOn w:val="a6"/>
    <w:link w:val="224Char"/>
    <w:qFormat/>
    <w:pPr>
      <w:adjustRightInd w:val="0"/>
      <w:snapToGrid w:val="0"/>
      <w:spacing w:line="480" w:lineRule="atLeast"/>
      <w:ind w:firstLineChars="200" w:firstLine="480"/>
    </w:pPr>
    <w:rPr>
      <w:sz w:val="24"/>
      <w:szCs w:val="20"/>
    </w:rPr>
  </w:style>
  <w:style w:type="character" w:customStyle="1" w:styleId="-lsChar">
    <w:name w:val="标题-ls Char"/>
    <w:qFormat/>
    <w:rPr>
      <w:rFonts w:ascii="黑体" w:eastAsia="黑体"/>
      <w:bCs/>
      <w:kern w:val="2"/>
      <w:sz w:val="28"/>
      <w:szCs w:val="28"/>
      <w:lang w:val="en-US" w:eastAsia="zh-CN" w:bidi="ar-SA"/>
    </w:rPr>
  </w:style>
  <w:style w:type="character" w:customStyle="1" w:styleId="01CharCharChar0">
    <w:name w:val="01 Char Char Char"/>
    <w:qFormat/>
    <w:rPr>
      <w:rFonts w:eastAsia="宋体"/>
      <w:kern w:val="2"/>
      <w:sz w:val="24"/>
      <w:szCs w:val="24"/>
      <w:lang w:val="en-US" w:eastAsia="zh-CN" w:bidi="ar-SA"/>
    </w:rPr>
  </w:style>
  <w:style w:type="character" w:customStyle="1" w:styleId="CharCharffb">
    <w:name w:val="字元 Char Char"/>
    <w:qFormat/>
    <w:rPr>
      <w:rFonts w:ascii="黑体" w:eastAsia="黑体"/>
      <w:bCs/>
      <w:color w:val="000000"/>
      <w:kern w:val="2"/>
      <w:sz w:val="30"/>
      <w:szCs w:val="24"/>
      <w:lang w:val="en-US" w:eastAsia="zh-CN" w:bidi="ar-SA"/>
    </w:rPr>
  </w:style>
  <w:style w:type="character" w:customStyle="1" w:styleId="1CharChar8">
    <w:name w:val="注释标题1 Char Char"/>
    <w:qFormat/>
    <w:rPr>
      <w:rFonts w:eastAsia="宋体"/>
      <w:kern w:val="2"/>
      <w:sz w:val="21"/>
      <w:lang w:val="en-US" w:eastAsia="zh-CN" w:bidi="ar-SA"/>
    </w:rPr>
  </w:style>
  <w:style w:type="character" w:customStyle="1" w:styleId="2GB2312CharChar">
    <w:name w:val="样式 标题 2 + 楷体_GB2312 Char Char"/>
    <w:link w:val="2GB2312"/>
    <w:qFormat/>
    <w:rPr>
      <w:rFonts w:ascii="楷体_GB2312" w:eastAsia="楷体_GB2312" w:hAnsi="楷体_GB2312"/>
      <w:b/>
      <w:bCs/>
      <w:kern w:val="2"/>
      <w:sz w:val="30"/>
      <w:szCs w:val="32"/>
    </w:rPr>
  </w:style>
  <w:style w:type="paragraph" w:customStyle="1" w:styleId="2GB2312">
    <w:name w:val="样式 标题 2 + 楷体_GB2312"/>
    <w:basedOn w:val="22"/>
    <w:link w:val="2GB2312CharChar"/>
    <w:qFormat/>
    <w:pPr>
      <w:keepNext w:val="0"/>
      <w:keepLines w:val="0"/>
      <w:spacing w:before="120" w:line="500" w:lineRule="exact"/>
    </w:pPr>
    <w:rPr>
      <w:rFonts w:ascii="楷体_GB2312" w:eastAsia="楷体_GB2312" w:hAnsi="楷体_GB2312"/>
      <w:spacing w:val="0"/>
      <w:w w:val="100"/>
      <w:kern w:val="2"/>
      <w:sz w:val="30"/>
      <w:szCs w:val="32"/>
    </w:rPr>
  </w:style>
  <w:style w:type="character" w:customStyle="1" w:styleId="Charffffff7">
    <w:name w:val="四级 Char"/>
    <w:link w:val="afffffffffb"/>
    <w:qFormat/>
    <w:rPr>
      <w:lang w:val="en-US" w:eastAsia="zh-CN" w:bidi="ar-SA"/>
    </w:rPr>
  </w:style>
  <w:style w:type="paragraph" w:customStyle="1" w:styleId="afffffffffb">
    <w:name w:val="四级"/>
    <w:link w:val="Charffffff7"/>
    <w:qFormat/>
    <w:pPr>
      <w:outlineLvl w:val="3"/>
    </w:pPr>
  </w:style>
  <w:style w:type="character" w:customStyle="1" w:styleId="W2Char">
    <w:name w:val="W2 Char"/>
    <w:qFormat/>
    <w:rPr>
      <w:rFonts w:eastAsia="宋体"/>
      <w:bCs/>
      <w:kern w:val="2"/>
      <w:sz w:val="24"/>
      <w:szCs w:val="32"/>
      <w:lang w:val="en-US" w:eastAsia="zh-CN" w:bidi="ar-SA"/>
    </w:rPr>
  </w:style>
  <w:style w:type="character" w:customStyle="1" w:styleId="CharCharCharf">
    <w:name w:val="正文（首行缩进两字） Char Char Char"/>
    <w:qFormat/>
    <w:rPr>
      <w:rFonts w:ascii="Arial" w:eastAsia="宋体" w:hAnsi="Arial"/>
      <w:kern w:val="2"/>
      <w:sz w:val="24"/>
      <w:szCs w:val="24"/>
      <w:lang w:val="en-US" w:eastAsia="zh-CN" w:bidi="ar-SA"/>
    </w:rPr>
  </w:style>
  <w:style w:type="character" w:customStyle="1" w:styleId="CharCharffc">
    <w:name w:val="表头标题格式 Char Char"/>
    <w:link w:val="afffffffffc"/>
    <w:qFormat/>
    <w:rPr>
      <w:rFonts w:ascii="黑体" w:eastAsia="黑体" w:hAnsi="宋体"/>
      <w:b/>
      <w:bCs/>
      <w:color w:val="000000"/>
      <w:w w:val="110"/>
      <w:sz w:val="24"/>
    </w:rPr>
  </w:style>
  <w:style w:type="paragraph" w:customStyle="1" w:styleId="afffffffffc">
    <w:name w:val="表头标题格式"/>
    <w:basedOn w:val="a6"/>
    <w:link w:val="CharCharffc"/>
    <w:qFormat/>
    <w:pPr>
      <w:tabs>
        <w:tab w:val="left" w:pos="360"/>
        <w:tab w:val="left" w:pos="1620"/>
      </w:tabs>
      <w:spacing w:line="360" w:lineRule="auto"/>
      <w:jc w:val="center"/>
    </w:pPr>
    <w:rPr>
      <w:rFonts w:ascii="黑体" w:eastAsia="黑体" w:hAnsi="宋体"/>
      <w:b/>
      <w:bCs/>
      <w:color w:val="000000"/>
      <w:w w:val="110"/>
      <w:kern w:val="0"/>
      <w:sz w:val="24"/>
      <w:szCs w:val="20"/>
    </w:rPr>
  </w:style>
  <w:style w:type="character" w:customStyle="1" w:styleId="Char1CharCharCharCharCharCharChar">
    <w:name w:val="段落 Char1 Char Char Char Char Char Char Char"/>
    <w:link w:val="Char1CharCharCharCharCharChar"/>
    <w:qFormat/>
    <w:rPr>
      <w:color w:val="000000"/>
      <w:kern w:val="24"/>
      <w:sz w:val="24"/>
      <w:szCs w:val="24"/>
    </w:rPr>
  </w:style>
  <w:style w:type="paragraph" w:customStyle="1" w:styleId="Char1CharCharCharCharCharChar">
    <w:name w:val="段落 Char1 Char Char Char Char Char Char"/>
    <w:basedOn w:val="a6"/>
    <w:link w:val="Char1CharCharCharCharCharCharChar"/>
    <w:qFormat/>
    <w:pPr>
      <w:tabs>
        <w:tab w:val="left" w:pos="1021"/>
      </w:tabs>
      <w:spacing w:line="324" w:lineRule="auto"/>
      <w:ind w:firstLineChars="200" w:firstLine="480"/>
    </w:pPr>
    <w:rPr>
      <w:color w:val="000000"/>
      <w:kern w:val="24"/>
      <w:sz w:val="24"/>
    </w:rPr>
  </w:style>
  <w:style w:type="character" w:customStyle="1" w:styleId="5CharChar0">
    <w:name w:val="样式 表内小5 + 黑体 加粗 倾斜 下划线 Char Char"/>
    <w:link w:val="5c"/>
    <w:qFormat/>
    <w:rPr>
      <w:rFonts w:ascii="黑体" w:eastAsia="黑体" w:hAnsi="黑体"/>
      <w:b/>
      <w:i/>
      <w:kern w:val="2"/>
      <w:sz w:val="21"/>
      <w:u w:val="single"/>
    </w:rPr>
  </w:style>
  <w:style w:type="paragraph" w:customStyle="1" w:styleId="5c">
    <w:name w:val="样式 表内小5 + 黑体 加粗 倾斜 下划线"/>
    <w:link w:val="5CharChar0"/>
    <w:qFormat/>
    <w:rPr>
      <w:rFonts w:ascii="黑体" w:eastAsia="黑体" w:hAnsi="黑体"/>
      <w:b/>
      <w:i/>
      <w:u w:val="single"/>
    </w:rPr>
  </w:style>
  <w:style w:type="paragraph" w:customStyle="1" w:styleId="5d">
    <w:name w:val="表内小5"/>
    <w:basedOn w:val="a6"/>
    <w:link w:val="5CharChar1"/>
    <w:qFormat/>
    <w:pPr>
      <w:adjustRightInd w:val="0"/>
      <w:snapToGrid w:val="0"/>
      <w:spacing w:line="300" w:lineRule="auto"/>
      <w:ind w:left="176"/>
    </w:pPr>
    <w:rPr>
      <w:rFonts w:ascii="宋体" w:hAnsi="宋体"/>
      <w:szCs w:val="20"/>
    </w:rPr>
  </w:style>
  <w:style w:type="character" w:customStyle="1" w:styleId="5CharChar1">
    <w:name w:val="表内小5 Char Char"/>
    <w:link w:val="5d"/>
    <w:qFormat/>
    <w:rPr>
      <w:rFonts w:ascii="宋体" w:hAnsi="宋体"/>
      <w:kern w:val="2"/>
      <w:sz w:val="21"/>
    </w:rPr>
  </w:style>
  <w:style w:type="character" w:customStyle="1" w:styleId="222Char0">
    <w:name w:val="样式 样式 首行缩进:  2 字符 + 首行缩进:  2 字符2 Char"/>
    <w:link w:val="2220"/>
    <w:qFormat/>
    <w:rPr>
      <w:rFonts w:eastAsia="楷体_GB2312"/>
      <w:spacing w:val="6"/>
      <w:sz w:val="28"/>
    </w:rPr>
  </w:style>
  <w:style w:type="paragraph" w:customStyle="1" w:styleId="2220">
    <w:name w:val="样式 样式 首行缩进:  2 字符 + 首行缩进:  2 字符2"/>
    <w:basedOn w:val="a6"/>
    <w:link w:val="222Char0"/>
    <w:qFormat/>
    <w:pPr>
      <w:spacing w:line="440" w:lineRule="exact"/>
      <w:ind w:firstLineChars="200" w:firstLine="584"/>
    </w:pPr>
    <w:rPr>
      <w:rFonts w:eastAsia="楷体_GB2312"/>
      <w:spacing w:val="6"/>
      <w:kern w:val="0"/>
      <w:sz w:val="28"/>
      <w:szCs w:val="20"/>
    </w:rPr>
  </w:style>
  <w:style w:type="character" w:customStyle="1" w:styleId="004Char">
    <w:name w:val="表格标题004 Char"/>
    <w:link w:val="004"/>
    <w:qFormat/>
    <w:rPr>
      <w:rFonts w:ascii="Arial" w:eastAsia="楷体_GB2312" w:hAnsi="Arial"/>
      <w:b/>
      <w:color w:val="000000"/>
      <w:spacing w:val="20"/>
      <w:kern w:val="2"/>
      <w:sz w:val="28"/>
      <w:szCs w:val="28"/>
    </w:rPr>
  </w:style>
  <w:style w:type="paragraph" w:customStyle="1" w:styleId="004">
    <w:name w:val="表格标题004"/>
    <w:basedOn w:val="a6"/>
    <w:link w:val="004Char"/>
    <w:qFormat/>
    <w:pPr>
      <w:adjustRightInd w:val="0"/>
      <w:snapToGrid w:val="0"/>
      <w:spacing w:line="360" w:lineRule="auto"/>
      <w:jc w:val="center"/>
    </w:pPr>
    <w:rPr>
      <w:rFonts w:ascii="Arial" w:eastAsia="楷体_GB2312" w:hAnsi="Arial"/>
      <w:b/>
      <w:color w:val="000000"/>
      <w:spacing w:val="20"/>
      <w:sz w:val="28"/>
      <w:szCs w:val="28"/>
    </w:rPr>
  </w:style>
  <w:style w:type="character" w:customStyle="1" w:styleId="Char1f8">
    <w:name w:val="正文样式 Char1"/>
    <w:qFormat/>
    <w:rPr>
      <w:rFonts w:eastAsia="宋体"/>
      <w:kern w:val="2"/>
      <w:sz w:val="28"/>
      <w:szCs w:val="28"/>
      <w:lang w:val="en-US" w:eastAsia="zh-CN" w:bidi="ar-SA"/>
    </w:rPr>
  </w:style>
  <w:style w:type="character" w:customStyle="1" w:styleId="mainfirst1">
    <w:name w:val="mainfirst1"/>
    <w:qFormat/>
    <w:rPr>
      <w:b/>
      <w:bCs/>
      <w:color w:val="FF0000"/>
      <w:sz w:val="36"/>
      <w:szCs w:val="36"/>
    </w:rPr>
  </w:style>
  <w:style w:type="character" w:customStyle="1" w:styleId="Charffffff8">
    <w:name w:val="单位 Char"/>
    <w:link w:val="afffffffffd"/>
    <w:qFormat/>
    <w:rPr>
      <w:rFonts w:ascii="Arial" w:hAnsi="Arial"/>
      <w:kern w:val="2"/>
      <w:sz w:val="24"/>
      <w:szCs w:val="22"/>
    </w:rPr>
  </w:style>
  <w:style w:type="paragraph" w:customStyle="1" w:styleId="afffffffffd">
    <w:name w:val="单位"/>
    <w:basedOn w:val="a6"/>
    <w:next w:val="a6"/>
    <w:link w:val="Charffffff8"/>
    <w:qFormat/>
    <w:pPr>
      <w:widowControl/>
      <w:spacing w:line="500" w:lineRule="atLeast"/>
      <w:jc w:val="right"/>
    </w:pPr>
    <w:rPr>
      <w:rFonts w:ascii="Arial" w:hAnsi="Arial"/>
      <w:sz w:val="24"/>
      <w:szCs w:val="22"/>
    </w:rPr>
  </w:style>
  <w:style w:type="character" w:customStyle="1" w:styleId="1ff3">
    <w:name w:val="书籍标题1"/>
    <w:qFormat/>
    <w:rPr>
      <w:b/>
      <w:smallCaps/>
      <w:spacing w:val="5"/>
    </w:rPr>
  </w:style>
  <w:style w:type="character" w:customStyle="1" w:styleId="Charffffff9">
    <w:name w:val="黑体小二 Char"/>
    <w:link w:val="afffffffffe"/>
    <w:qFormat/>
    <w:rPr>
      <w:rFonts w:ascii="Arial" w:eastAsia="黑体" w:hAnsi="Arial"/>
      <w:kern w:val="2"/>
      <w:sz w:val="36"/>
      <w:szCs w:val="36"/>
    </w:rPr>
  </w:style>
  <w:style w:type="paragraph" w:customStyle="1" w:styleId="afffffffffe">
    <w:name w:val="黑体小二"/>
    <w:basedOn w:val="a6"/>
    <w:next w:val="a6"/>
    <w:link w:val="Charffffff9"/>
    <w:qFormat/>
    <w:pPr>
      <w:widowControl/>
      <w:spacing w:line="500" w:lineRule="atLeast"/>
      <w:jc w:val="left"/>
    </w:pPr>
    <w:rPr>
      <w:rFonts w:ascii="Arial" w:eastAsia="黑体" w:hAnsi="Arial"/>
      <w:sz w:val="36"/>
      <w:szCs w:val="36"/>
    </w:rPr>
  </w:style>
  <w:style w:type="character" w:customStyle="1" w:styleId="font161">
    <w:name w:val="font161"/>
    <w:qFormat/>
    <w:rPr>
      <w:rFonts w:ascii="宋体" w:eastAsia="宋体" w:hAnsi="宋体" w:hint="eastAsia"/>
      <w:color w:val="000000"/>
      <w:sz w:val="21"/>
      <w:szCs w:val="21"/>
      <w:u w:val="none"/>
    </w:rPr>
  </w:style>
  <w:style w:type="character" w:customStyle="1" w:styleId="SAR8">
    <w:name w:val="SAR 8"/>
    <w:qFormat/>
    <w:rPr>
      <w:rFonts w:ascii="Courier" w:hAnsi="Courier"/>
      <w:sz w:val="24"/>
      <w:lang w:val="en-US"/>
    </w:rPr>
  </w:style>
  <w:style w:type="character" w:customStyle="1" w:styleId="Char1f9">
    <w:name w:val="批注文字 Char1"/>
    <w:qFormat/>
    <w:rPr>
      <w:rFonts w:ascii="Times New Roman" w:eastAsia="宋体" w:hAnsi="Times New Roman" w:cs="Times New Roman"/>
      <w:szCs w:val="20"/>
    </w:rPr>
  </w:style>
  <w:style w:type="character" w:customStyle="1" w:styleId="Document3">
    <w:name w:val="Document 3"/>
    <w:qFormat/>
    <w:rPr>
      <w:rFonts w:ascii="Courier" w:hAnsi="Courier"/>
      <w:sz w:val="24"/>
      <w:lang w:val="en-US"/>
    </w:rPr>
  </w:style>
  <w:style w:type="character" w:customStyle="1" w:styleId="114">
    <w:name w:val="未命名11"/>
    <w:qFormat/>
    <w:rPr>
      <w:rFonts w:ascii="宋体" w:eastAsia="宋体" w:hAnsi="宋体" w:hint="eastAsia"/>
      <w:sz w:val="18"/>
    </w:rPr>
  </w:style>
  <w:style w:type="character" w:customStyle="1" w:styleId="Char36">
    <w:name w:val="日期 Char3"/>
    <w:basedOn w:val="a7"/>
    <w:uiPriority w:val="99"/>
    <w:semiHidden/>
    <w:qFormat/>
  </w:style>
  <w:style w:type="character" w:customStyle="1" w:styleId="CharCharCharCharCharCCharCharCharCharCharChar">
    <w:name w:val="普通文字 Char Char Char Char Char C Char Char Char Char Char Char"/>
    <w:qFormat/>
    <w:rPr>
      <w:rFonts w:ascii="宋体" w:eastAsia="宋体" w:hAnsi="Courier New"/>
      <w:kern w:val="2"/>
      <w:sz w:val="21"/>
      <w:szCs w:val="24"/>
      <w:lang w:val="en-US" w:eastAsia="zh-CN" w:bidi="ar-SA"/>
    </w:rPr>
  </w:style>
  <w:style w:type="character" w:customStyle="1" w:styleId="kmCharChar">
    <w:name w:val="km Char Char"/>
    <w:link w:val="kmChar"/>
    <w:qFormat/>
    <w:rPr>
      <w:rFonts w:ascii="宋体" w:hAnsi="宋体"/>
      <w:kern w:val="2"/>
      <w:sz w:val="28"/>
      <w:szCs w:val="28"/>
    </w:rPr>
  </w:style>
  <w:style w:type="paragraph" w:customStyle="1" w:styleId="kmChar">
    <w:name w:val="km Char"/>
    <w:basedOn w:val="a6"/>
    <w:link w:val="kmCharChar"/>
    <w:qFormat/>
    <w:pPr>
      <w:ind w:firstLine="567"/>
    </w:pPr>
    <w:rPr>
      <w:rFonts w:ascii="宋体" w:hAnsi="宋体"/>
      <w:sz w:val="28"/>
      <w:szCs w:val="28"/>
    </w:rPr>
  </w:style>
  <w:style w:type="character" w:customStyle="1" w:styleId="CharCharCharf0">
    <w:name w:val="正文小四 Char Char Char"/>
    <w:qFormat/>
    <w:rPr>
      <w:rFonts w:ascii="宋体" w:eastAsia="宋体" w:hAnsi="宋体"/>
      <w:kern w:val="2"/>
      <w:sz w:val="24"/>
      <w:szCs w:val="24"/>
      <w:lang w:val="en-US" w:eastAsia="zh-CN" w:bidi="ar-SA"/>
    </w:rPr>
  </w:style>
  <w:style w:type="character" w:customStyle="1" w:styleId="CharChar16">
    <w:name w:val="图题 Char Char1"/>
    <w:qFormat/>
    <w:rPr>
      <w:rFonts w:ascii="宋体" w:eastAsia="宋体" w:hAnsi="Courier New"/>
      <w:kern w:val="2"/>
      <w:sz w:val="28"/>
      <w:lang w:val="en-US" w:eastAsia="zh-CN" w:bidi="ar-SA"/>
    </w:rPr>
  </w:style>
  <w:style w:type="character" w:customStyle="1" w:styleId="CharChar80">
    <w:name w:val="Char Char8"/>
    <w:qFormat/>
    <w:rPr>
      <w:rFonts w:ascii="宋体" w:eastAsia="宋体" w:hAnsi="Courier New"/>
      <w:kern w:val="2"/>
      <w:sz w:val="28"/>
      <w:lang w:val="en-US" w:eastAsia="zh-CN" w:bidi="ar-SA"/>
    </w:rPr>
  </w:style>
  <w:style w:type="character" w:customStyle="1" w:styleId="title10">
    <w:name w:val="title10"/>
    <w:qFormat/>
  </w:style>
  <w:style w:type="character" w:customStyle="1" w:styleId="hb4Char1">
    <w:name w:val="hb4 Char1"/>
    <w:link w:val="hb4"/>
    <w:qFormat/>
    <w:rPr>
      <w:rFonts w:eastAsia="黑体" w:hAnsi="Arial"/>
      <w:b/>
      <w:kern w:val="24"/>
      <w:sz w:val="24"/>
      <w:szCs w:val="24"/>
    </w:rPr>
  </w:style>
  <w:style w:type="paragraph" w:customStyle="1" w:styleId="hb4">
    <w:name w:val="hb4"/>
    <w:basedOn w:val="41"/>
    <w:link w:val="hb4Char1"/>
    <w:qFormat/>
    <w:pPr>
      <w:adjustRightInd/>
      <w:snapToGrid/>
      <w:spacing w:before="0" w:afterLines="50" w:line="529" w:lineRule="exact"/>
    </w:pPr>
    <w:rPr>
      <w:rFonts w:ascii="Times New Roman" w:hAnsi="Arial"/>
      <w:b/>
      <w:bCs w:val="0"/>
      <w:kern w:val="24"/>
      <w:sz w:val="24"/>
      <w:szCs w:val="24"/>
    </w:rPr>
  </w:style>
  <w:style w:type="character" w:customStyle="1" w:styleId="Charffffffa">
    <w:name w:val="表格 Char"/>
    <w:link w:val="affffffffff"/>
    <w:qFormat/>
    <w:rPr>
      <w:kern w:val="21"/>
      <w:sz w:val="21"/>
    </w:rPr>
  </w:style>
  <w:style w:type="paragraph" w:customStyle="1" w:styleId="affffffffff">
    <w:name w:val="表格"/>
    <w:basedOn w:val="aff6"/>
    <w:next w:val="a6"/>
    <w:link w:val="Charffffffa"/>
    <w:qFormat/>
    <w:pPr>
      <w:kinsoku w:val="0"/>
      <w:wordWrap w:val="0"/>
      <w:overflowPunct w:val="0"/>
      <w:autoSpaceDE w:val="0"/>
      <w:autoSpaceDN w:val="0"/>
      <w:adjustRightInd w:val="0"/>
      <w:spacing w:after="40" w:line="400" w:lineRule="atLeast"/>
      <w:jc w:val="center"/>
      <w:textAlignment w:val="baseline"/>
    </w:pPr>
    <w:rPr>
      <w:kern w:val="21"/>
      <w:szCs w:val="20"/>
    </w:rPr>
  </w:style>
  <w:style w:type="character" w:customStyle="1" w:styleId="CharChar25">
    <w:name w:val="Char Char25"/>
    <w:qFormat/>
    <w:rPr>
      <w:rFonts w:eastAsia="宋体"/>
      <w:b/>
      <w:bCs/>
      <w:kern w:val="44"/>
      <w:sz w:val="44"/>
      <w:szCs w:val="44"/>
      <w:lang w:val="en-US" w:eastAsia="zh-CN" w:bidi="ar-SA"/>
    </w:rPr>
  </w:style>
  <w:style w:type="character" w:customStyle="1" w:styleId="Charffffffb">
    <w:name w:val="样式 普通文字 + (符号) 宋体 小四 Char"/>
    <w:qFormat/>
    <w:rPr>
      <w:rFonts w:ascii="宋体" w:eastAsia="宋体" w:hAnsi="Courier New"/>
      <w:kern w:val="2"/>
      <w:sz w:val="24"/>
      <w:lang w:val="en-US" w:eastAsia="zh-CN" w:bidi="ar-SA"/>
    </w:rPr>
  </w:style>
  <w:style w:type="character" w:customStyle="1" w:styleId="11111CharChar">
    <w:name w:val="标题1.1.1.1.1 Char Char"/>
    <w:qFormat/>
    <w:rPr>
      <w:rFonts w:ascii="新宋体" w:eastAsia="仿宋_GB2312" w:hAnsi="新宋体"/>
      <w:b/>
      <w:kern w:val="2"/>
      <w:sz w:val="28"/>
      <w:lang w:val="en-US" w:eastAsia="zh-CN" w:bidi="ar-SA"/>
    </w:rPr>
  </w:style>
  <w:style w:type="character" w:customStyle="1" w:styleId="2CharChar6">
    <w:name w:val="正文(首行缩进2字） Char Char"/>
    <w:qFormat/>
    <w:rPr>
      <w:rFonts w:ascii="Arial" w:eastAsia="宋体" w:hAnsi="Arial" w:cs="Arial"/>
      <w:kern w:val="2"/>
      <w:sz w:val="24"/>
      <w:szCs w:val="24"/>
      <w:lang w:val="en-US" w:eastAsia="zh-CN" w:bidi="ar-SA"/>
    </w:rPr>
  </w:style>
  <w:style w:type="character" w:customStyle="1" w:styleId="Char1fa">
    <w:name w:val="正文文本缩进 Char1"/>
    <w:uiPriority w:val="99"/>
    <w:qFormat/>
    <w:rPr>
      <w:kern w:val="2"/>
      <w:sz w:val="21"/>
      <w:szCs w:val="24"/>
    </w:rPr>
  </w:style>
  <w:style w:type="character" w:customStyle="1" w:styleId="CharCharCharf1">
    <w:name w:val="表号 Char Char Char"/>
    <w:link w:val="CharCharffd"/>
    <w:qFormat/>
    <w:rPr>
      <w:kern w:val="2"/>
      <w:sz w:val="24"/>
      <w:szCs w:val="24"/>
      <w:lang w:val="en-US" w:eastAsia="zh-CN" w:bidi="ar-SA"/>
    </w:rPr>
  </w:style>
  <w:style w:type="paragraph" w:customStyle="1" w:styleId="CharCharffd">
    <w:name w:val="表号 Char Char"/>
    <w:link w:val="CharCharCharf1"/>
    <w:qFormat/>
    <w:pPr>
      <w:adjustRightInd w:val="0"/>
      <w:snapToGrid w:val="0"/>
      <w:spacing w:line="240" w:lineRule="atLeast"/>
      <w:jc w:val="both"/>
      <w:outlineLvl w:val="4"/>
    </w:pPr>
    <w:rPr>
      <w:kern w:val="2"/>
      <w:sz w:val="24"/>
      <w:szCs w:val="24"/>
    </w:rPr>
  </w:style>
  <w:style w:type="character" w:customStyle="1" w:styleId="model11">
    <w:name w:val="model11"/>
    <w:qFormat/>
    <w:rPr>
      <w:rFonts w:ascii="宋体" w:eastAsia="宋体" w:hAnsi="宋体" w:hint="eastAsia"/>
      <w:sz w:val="18"/>
      <w:szCs w:val="18"/>
    </w:rPr>
  </w:style>
  <w:style w:type="character" w:customStyle="1" w:styleId="1ff4">
    <w:name w:val="占位符文本1"/>
    <w:qFormat/>
    <w:rPr>
      <w:color w:val="808080"/>
    </w:rPr>
  </w:style>
  <w:style w:type="character" w:customStyle="1" w:styleId="Charffffffc">
    <w:name w:val="表中小五 Char"/>
    <w:link w:val="affffffffff0"/>
    <w:qFormat/>
    <w:rPr>
      <w:kern w:val="2"/>
      <w:sz w:val="18"/>
    </w:rPr>
  </w:style>
  <w:style w:type="paragraph" w:customStyle="1" w:styleId="affffffffff0">
    <w:name w:val="表中小五"/>
    <w:basedOn w:val="a6"/>
    <w:link w:val="Charffffffc"/>
    <w:qFormat/>
    <w:pPr>
      <w:snapToGrid w:val="0"/>
      <w:ind w:firstLineChars="200" w:firstLine="200"/>
      <w:jc w:val="center"/>
    </w:pPr>
    <w:rPr>
      <w:sz w:val="18"/>
      <w:szCs w:val="20"/>
    </w:rPr>
  </w:style>
  <w:style w:type="character" w:customStyle="1" w:styleId="CharCharffe">
    <w:name w:val="环小四内容 Char Char"/>
    <w:link w:val="affffffffff1"/>
    <w:qFormat/>
    <w:rPr>
      <w:rFonts w:ascii="宋体"/>
      <w:kern w:val="2"/>
      <w:sz w:val="24"/>
      <w:szCs w:val="24"/>
    </w:rPr>
  </w:style>
  <w:style w:type="paragraph" w:customStyle="1" w:styleId="affffffffff1">
    <w:name w:val="环小四内容"/>
    <w:basedOn w:val="a6"/>
    <w:link w:val="CharCharffe"/>
    <w:qFormat/>
    <w:pPr>
      <w:ind w:firstLineChars="200" w:firstLine="480"/>
    </w:pPr>
    <w:rPr>
      <w:rFonts w:ascii="宋体"/>
      <w:sz w:val="24"/>
    </w:rPr>
  </w:style>
  <w:style w:type="character" w:customStyle="1" w:styleId="A-Char">
    <w:name w:val="A-表格文字 Char"/>
    <w:link w:val="A-"/>
    <w:qFormat/>
    <w:rPr>
      <w:rFonts w:eastAsia="宋体"/>
      <w:sz w:val="21"/>
      <w:szCs w:val="21"/>
      <w:lang w:val="en-US" w:eastAsia="zh-CN" w:bidi="ar-SA"/>
    </w:rPr>
  </w:style>
  <w:style w:type="paragraph" w:customStyle="1" w:styleId="A-">
    <w:name w:val="A-表格文字"/>
    <w:basedOn w:val="a6"/>
    <w:next w:val="a6"/>
    <w:link w:val="A-Char"/>
    <w:qFormat/>
    <w:pPr>
      <w:autoSpaceDE w:val="0"/>
      <w:autoSpaceDN w:val="0"/>
      <w:adjustRightInd w:val="0"/>
      <w:jc w:val="center"/>
      <w:textAlignment w:val="center"/>
    </w:pPr>
    <w:rPr>
      <w:kern w:val="0"/>
      <w:szCs w:val="21"/>
    </w:rPr>
  </w:style>
  <w:style w:type="character" w:customStyle="1" w:styleId="1CharCharChar1">
    <w:name w:val="（1）标题 Char Char Char"/>
    <w:qFormat/>
    <w:rPr>
      <w:rFonts w:eastAsia="宋体"/>
      <w:sz w:val="28"/>
    </w:rPr>
  </w:style>
  <w:style w:type="character" w:customStyle="1" w:styleId="2SLCONChar">
    <w:name w:val="正文 首行缩进:  2 字符 SL CON Char"/>
    <w:link w:val="2SLCON"/>
    <w:qFormat/>
    <w:rPr>
      <w:rFonts w:ascii="宋体" w:cs="宋体"/>
      <w:sz w:val="28"/>
      <w:szCs w:val="24"/>
    </w:rPr>
  </w:style>
  <w:style w:type="paragraph" w:customStyle="1" w:styleId="2SLCON">
    <w:name w:val="正文 首行缩进:  2 字符 SL CON"/>
    <w:basedOn w:val="a6"/>
    <w:link w:val="2SLCONChar"/>
    <w:qFormat/>
    <w:pPr>
      <w:widowControl/>
      <w:tabs>
        <w:tab w:val="left" w:pos="377"/>
      </w:tabs>
      <w:spacing w:line="360" w:lineRule="auto"/>
      <w:ind w:firstLineChars="200" w:firstLine="200"/>
    </w:pPr>
    <w:rPr>
      <w:rFonts w:ascii="宋体"/>
      <w:kern w:val="0"/>
      <w:sz w:val="28"/>
    </w:rPr>
  </w:style>
  <w:style w:type="character" w:customStyle="1" w:styleId="CharCharCharf2">
    <w:name w:val="表题 Char Char Char"/>
    <w:qFormat/>
    <w:rPr>
      <w:rFonts w:ascii="宋体" w:eastAsia="宋体" w:hAnsi="宋体"/>
      <w:bCs/>
      <w:kern w:val="2"/>
      <w:sz w:val="24"/>
      <w:szCs w:val="24"/>
      <w:lang w:val="en-US" w:eastAsia="zh-CN" w:bidi="ar-SA"/>
    </w:rPr>
  </w:style>
  <w:style w:type="character" w:customStyle="1" w:styleId="style391">
    <w:name w:val="style391"/>
    <w:qFormat/>
    <w:rPr>
      <w:sz w:val="18"/>
      <w:szCs w:val="18"/>
    </w:rPr>
  </w:style>
  <w:style w:type="character" w:customStyle="1" w:styleId="Charffffffd">
    <w:name w:val="大纲正文 Char"/>
    <w:link w:val="affffffffff2"/>
    <w:qFormat/>
    <w:rPr>
      <w:rFonts w:ascii="黑体" w:hAnsi="Tahoma"/>
      <w:kern w:val="2"/>
      <w:sz w:val="24"/>
      <w:szCs w:val="32"/>
    </w:rPr>
  </w:style>
  <w:style w:type="paragraph" w:customStyle="1" w:styleId="affffffffff2">
    <w:name w:val="大纲正文"/>
    <w:basedOn w:val="a6"/>
    <w:link w:val="Charffffffd"/>
    <w:qFormat/>
    <w:pPr>
      <w:widowControl/>
      <w:adjustRightInd w:val="0"/>
      <w:snapToGrid w:val="0"/>
      <w:spacing w:afterLines="50" w:line="300" w:lineRule="auto"/>
      <w:ind w:firstLineChars="200" w:firstLine="480"/>
    </w:pPr>
    <w:rPr>
      <w:rFonts w:ascii="黑体" w:hAnsi="Tahoma"/>
      <w:sz w:val="24"/>
      <w:szCs w:val="32"/>
    </w:rPr>
  </w:style>
  <w:style w:type="character" w:customStyle="1" w:styleId="2Chard">
    <w:name w:val="2标题 Char"/>
    <w:link w:val="2ff6"/>
    <w:qFormat/>
    <w:rPr>
      <w:rFonts w:ascii="Calibri" w:hAnsi="Calibri"/>
      <w:b/>
      <w:kern w:val="2"/>
      <w:sz w:val="24"/>
    </w:rPr>
  </w:style>
  <w:style w:type="paragraph" w:customStyle="1" w:styleId="2ff6">
    <w:name w:val="2标题"/>
    <w:basedOn w:val="22"/>
    <w:link w:val="2Chard"/>
    <w:qFormat/>
    <w:pPr>
      <w:tabs>
        <w:tab w:val="left" w:pos="1070"/>
      </w:tabs>
      <w:adjustRightInd w:val="0"/>
      <w:snapToGrid w:val="0"/>
      <w:spacing w:beforeLines="150" w:before="360" w:afterLines="100" w:after="240" w:line="480" w:lineRule="auto"/>
      <w:ind w:firstLineChars="200" w:firstLine="482"/>
      <w:jc w:val="left"/>
      <w:textAlignment w:val="baseline"/>
    </w:pPr>
    <w:rPr>
      <w:rFonts w:ascii="Calibri" w:hAnsi="Calibri"/>
      <w:bCs w:val="0"/>
      <w:spacing w:val="0"/>
      <w:w w:val="100"/>
      <w:kern w:val="2"/>
      <w:sz w:val="24"/>
      <w:szCs w:val="20"/>
    </w:rPr>
  </w:style>
  <w:style w:type="character" w:customStyle="1" w:styleId="Charffffffe">
    <w:name w:val="亚行正文 Char"/>
    <w:link w:val="affffffffff3"/>
    <w:qFormat/>
    <w:rPr>
      <w:sz w:val="24"/>
      <w:szCs w:val="24"/>
    </w:rPr>
  </w:style>
  <w:style w:type="paragraph" w:customStyle="1" w:styleId="affffffffff3">
    <w:name w:val="亚行正文"/>
    <w:basedOn w:val="a6"/>
    <w:link w:val="Charffffffe"/>
    <w:qFormat/>
    <w:pPr>
      <w:wordWrap w:val="0"/>
      <w:spacing w:line="360" w:lineRule="auto"/>
      <w:ind w:leftChars="-1" w:left="-2" w:firstLineChars="197" w:firstLine="473"/>
    </w:pPr>
    <w:rPr>
      <w:kern w:val="0"/>
      <w:sz w:val="24"/>
    </w:rPr>
  </w:style>
  <w:style w:type="character" w:customStyle="1" w:styleId="Charfffffff">
    <w:name w:val="表名                .. Char"/>
    <w:link w:val="affffffffff4"/>
    <w:qFormat/>
    <w:rPr>
      <w:rFonts w:ascii="宋体" w:eastAsia="宋体" w:hAnsi="宋体"/>
      <w:sz w:val="24"/>
      <w:szCs w:val="24"/>
    </w:rPr>
  </w:style>
  <w:style w:type="paragraph" w:customStyle="1" w:styleId="affffffffff4">
    <w:name w:val="表名                .."/>
    <w:basedOn w:val="a6"/>
    <w:link w:val="Charfffffff"/>
    <w:qFormat/>
    <w:pPr>
      <w:spacing w:line="360" w:lineRule="auto"/>
      <w:ind w:firstLineChars="200" w:firstLine="480"/>
      <w:jc w:val="left"/>
      <w:textAlignment w:val="baseline"/>
    </w:pPr>
    <w:rPr>
      <w:rFonts w:ascii="宋体" w:hAnsi="宋体"/>
      <w:kern w:val="0"/>
      <w:sz w:val="24"/>
    </w:rPr>
  </w:style>
  <w:style w:type="character" w:customStyle="1" w:styleId="iiiChar">
    <w:name w:val=". [(iii)] Char"/>
    <w:qFormat/>
    <w:rPr>
      <w:rFonts w:ascii="Arial" w:eastAsia="黑体" w:hAnsi="Arial"/>
      <w:kern w:val="2"/>
      <w:sz w:val="21"/>
      <w:szCs w:val="21"/>
      <w:lang w:val="en-US" w:eastAsia="zh-CN" w:bidi="ar-SA"/>
    </w:rPr>
  </w:style>
  <w:style w:type="character" w:customStyle="1" w:styleId="Char1fb">
    <w:name w:val="无页眉 Char1"/>
    <w:qFormat/>
    <w:rPr>
      <w:rFonts w:eastAsia="宋体"/>
      <w:kern w:val="2"/>
      <w:sz w:val="18"/>
      <w:szCs w:val="18"/>
      <w:lang w:val="en-US" w:eastAsia="zh-CN" w:bidi="ar-SA"/>
    </w:rPr>
  </w:style>
  <w:style w:type="character" w:customStyle="1" w:styleId="read">
    <w:name w:val="read"/>
    <w:qFormat/>
  </w:style>
  <w:style w:type="character" w:customStyle="1" w:styleId="CharChar23">
    <w:name w:val="Char Char23"/>
    <w:qFormat/>
    <w:rPr>
      <w:kern w:val="2"/>
      <w:sz w:val="21"/>
    </w:rPr>
  </w:style>
  <w:style w:type="character" w:customStyle="1" w:styleId="Charfffffff0">
    <w:name w:val="缩进 Char"/>
    <w:link w:val="affffffffff5"/>
    <w:qFormat/>
    <w:rPr>
      <w:kern w:val="2"/>
      <w:sz w:val="24"/>
    </w:rPr>
  </w:style>
  <w:style w:type="paragraph" w:customStyle="1" w:styleId="affffffffff5">
    <w:name w:val="缩进"/>
    <w:basedOn w:val="a6"/>
    <w:link w:val="Charfffffff0"/>
    <w:qFormat/>
    <w:pPr>
      <w:spacing w:line="360" w:lineRule="auto"/>
      <w:ind w:firstLineChars="200" w:firstLine="200"/>
    </w:pPr>
    <w:rPr>
      <w:sz w:val="24"/>
      <w:szCs w:val="20"/>
    </w:rPr>
  </w:style>
  <w:style w:type="character" w:customStyle="1" w:styleId="ppp">
    <w:name w:val="ppp"/>
    <w:qFormat/>
  </w:style>
  <w:style w:type="character" w:customStyle="1" w:styleId="Charfffffff1">
    <w:name w:val="正文(首行缩进) Char"/>
    <w:qFormat/>
    <w:rPr>
      <w:rFonts w:eastAsia="宋体"/>
      <w:snapToGrid w:val="0"/>
      <w:color w:val="000000"/>
      <w:sz w:val="24"/>
      <w:szCs w:val="24"/>
      <w:lang w:val="en-US" w:eastAsia="zh-CN" w:bidi="ar-SA"/>
    </w:rPr>
  </w:style>
  <w:style w:type="character" w:customStyle="1" w:styleId="CharCharfff">
    <w:name w:val="文本框小五 Char Char"/>
    <w:link w:val="affffffffff6"/>
    <w:qFormat/>
    <w:rPr>
      <w:rFonts w:eastAsia="仿宋_GB2312"/>
      <w:kern w:val="2"/>
      <w:sz w:val="18"/>
      <w:szCs w:val="21"/>
    </w:rPr>
  </w:style>
  <w:style w:type="paragraph" w:customStyle="1" w:styleId="affffffffff6">
    <w:name w:val="文本框小五"/>
    <w:basedOn w:val="a6"/>
    <w:link w:val="CharCharfff"/>
    <w:qFormat/>
    <w:pPr>
      <w:jc w:val="center"/>
    </w:pPr>
    <w:rPr>
      <w:rFonts w:eastAsia="仿宋_GB2312"/>
      <w:sz w:val="18"/>
      <w:szCs w:val="21"/>
    </w:rPr>
  </w:style>
  <w:style w:type="character" w:customStyle="1" w:styleId="Char2f">
    <w:name w:val="表头 Char2"/>
    <w:qFormat/>
    <w:rPr>
      <w:rFonts w:ascii="Arial" w:eastAsia="黑体" w:hAnsi="Arial"/>
      <w:bCs/>
      <w:kern w:val="2"/>
      <w:sz w:val="21"/>
      <w:szCs w:val="28"/>
      <w:lang w:val="en-US" w:eastAsia="zh-CN" w:bidi="ar-SA"/>
    </w:rPr>
  </w:style>
  <w:style w:type="character" w:customStyle="1" w:styleId="1CharChar9">
    <w:name w:val="正文文字1 Char Char"/>
    <w:qFormat/>
    <w:rPr>
      <w:rFonts w:eastAsia="宋体"/>
      <w:kern w:val="2"/>
      <w:sz w:val="21"/>
      <w:szCs w:val="24"/>
      <w:lang w:val="en-US" w:eastAsia="zh-CN" w:bidi="ar-SA"/>
    </w:rPr>
  </w:style>
  <w:style w:type="character" w:customStyle="1" w:styleId="10Char">
    <w:name w:val="样式10 Char"/>
    <w:link w:val="100"/>
    <w:qFormat/>
    <w:rPr>
      <w:rFonts w:ascii="宋体" w:hAnsi="Courier New" w:cs="仿宋_GB2312"/>
      <w:szCs w:val="21"/>
    </w:rPr>
  </w:style>
  <w:style w:type="paragraph" w:customStyle="1" w:styleId="100">
    <w:name w:val="样式10"/>
    <w:basedOn w:val="afc"/>
    <w:link w:val="10Char"/>
    <w:qFormat/>
    <w:pPr>
      <w:spacing w:line="240" w:lineRule="auto"/>
      <w:ind w:firstLineChars="0" w:firstLine="0"/>
    </w:pPr>
    <w:rPr>
      <w:rFonts w:eastAsia="宋体"/>
      <w:color w:val="auto"/>
      <w:spacing w:val="0"/>
      <w:kern w:val="0"/>
      <w:sz w:val="20"/>
    </w:rPr>
  </w:style>
  <w:style w:type="character" w:customStyle="1" w:styleId="Char1fc">
    <w:name w:val="安全专篇正文 Char1"/>
    <w:link w:val="affffffffff7"/>
    <w:qFormat/>
    <w:rPr>
      <w:color w:val="000000"/>
      <w:sz w:val="28"/>
    </w:rPr>
  </w:style>
  <w:style w:type="paragraph" w:customStyle="1" w:styleId="affffffffff7">
    <w:name w:val="安全专篇正文"/>
    <w:basedOn w:val="a6"/>
    <w:next w:val="a6"/>
    <w:link w:val="Char1fc"/>
    <w:qFormat/>
    <w:pPr>
      <w:spacing w:line="336" w:lineRule="auto"/>
      <w:ind w:firstLineChars="200" w:firstLine="560"/>
    </w:pPr>
    <w:rPr>
      <w:color w:val="000000"/>
      <w:kern w:val="0"/>
      <w:sz w:val="28"/>
      <w:szCs w:val="20"/>
    </w:rPr>
  </w:style>
  <w:style w:type="character" w:customStyle="1" w:styleId="AChar1">
    <w:name w:val="表头A Char"/>
    <w:link w:val="Affffffffff8"/>
    <w:qFormat/>
    <w:rPr>
      <w:rFonts w:ascii="宋体" w:hAnsi="宋体"/>
      <w:b/>
      <w:kern w:val="2"/>
      <w:sz w:val="24"/>
      <w:szCs w:val="24"/>
    </w:rPr>
  </w:style>
  <w:style w:type="paragraph" w:customStyle="1" w:styleId="Affffffffff8">
    <w:name w:val="表头A"/>
    <w:basedOn w:val="a6"/>
    <w:link w:val="AChar1"/>
    <w:qFormat/>
    <w:pPr>
      <w:spacing w:line="500" w:lineRule="exact"/>
      <w:jc w:val="center"/>
    </w:pPr>
    <w:rPr>
      <w:rFonts w:ascii="宋体" w:hAnsi="宋体"/>
      <w:b/>
      <w:sz w:val="24"/>
    </w:rPr>
  </w:style>
  <w:style w:type="character" w:customStyle="1" w:styleId="zihaofc03">
    <w:name w:val="zihao fc03"/>
    <w:qFormat/>
  </w:style>
  <w:style w:type="character" w:customStyle="1" w:styleId="13Char">
    <w:name w:val="正文小四首缩1.3行距 Char"/>
    <w:link w:val="130"/>
    <w:qFormat/>
    <w:rPr>
      <w:rFonts w:ascii="Verdana" w:hAnsi="Verdana"/>
      <w:sz w:val="24"/>
      <w:szCs w:val="24"/>
    </w:rPr>
  </w:style>
  <w:style w:type="paragraph" w:customStyle="1" w:styleId="130">
    <w:name w:val="正文小四首缩1.3行距"/>
    <w:basedOn w:val="a6"/>
    <w:link w:val="13Char"/>
    <w:qFormat/>
    <w:pPr>
      <w:spacing w:line="312" w:lineRule="auto"/>
      <w:ind w:firstLineChars="200" w:firstLine="420"/>
    </w:pPr>
    <w:rPr>
      <w:rFonts w:ascii="Verdana" w:hAnsi="Verdana"/>
      <w:kern w:val="0"/>
      <w:sz w:val="24"/>
    </w:rPr>
  </w:style>
  <w:style w:type="character" w:customStyle="1" w:styleId="ttilte1">
    <w:name w:val="ttilte1"/>
    <w:qFormat/>
    <w:rPr>
      <w:rFonts w:hint="default"/>
      <w:b/>
      <w:bCs/>
      <w:color w:val="0000CC"/>
      <w:sz w:val="24"/>
      <w:szCs w:val="24"/>
    </w:rPr>
  </w:style>
  <w:style w:type="character" w:customStyle="1" w:styleId="Charfffffff2">
    <w:name w:val="表头！！！！！！！！！！ Char"/>
    <w:link w:val="affffffffff9"/>
    <w:qFormat/>
    <w:rPr>
      <w:rFonts w:ascii="楷体_GB2312" w:eastAsia="楷体_GB2312"/>
      <w:b/>
      <w:kern w:val="2"/>
      <w:sz w:val="24"/>
      <w:szCs w:val="24"/>
    </w:rPr>
  </w:style>
  <w:style w:type="paragraph" w:customStyle="1" w:styleId="affffffffff9">
    <w:name w:val="表头！！！！！！！！！！"/>
    <w:link w:val="Charfffffff2"/>
    <w:qFormat/>
    <w:pPr>
      <w:autoSpaceDE w:val="0"/>
      <w:autoSpaceDN w:val="0"/>
      <w:adjustRightInd w:val="0"/>
      <w:spacing w:line="500" w:lineRule="exact"/>
      <w:textAlignment w:val="baseline"/>
    </w:pPr>
    <w:rPr>
      <w:rFonts w:ascii="楷体_GB2312" w:eastAsia="楷体_GB2312"/>
      <w:b/>
      <w:kern w:val="2"/>
      <w:szCs w:val="24"/>
    </w:rPr>
  </w:style>
  <w:style w:type="paragraph" w:customStyle="1" w:styleId="affffffffffa">
    <w:name w:val="表格标题"/>
    <w:basedOn w:val="af8"/>
    <w:qFormat/>
    <w:pPr>
      <w:spacing w:beforeLines="50" w:before="156" w:afterLines="50" w:after="156" w:line="360" w:lineRule="auto"/>
      <w:jc w:val="center"/>
    </w:pPr>
    <w:rPr>
      <w:rFonts w:ascii="黑体" w:eastAsia="黑体"/>
      <w:kern w:val="40"/>
      <w:sz w:val="24"/>
      <w:szCs w:val="30"/>
    </w:rPr>
  </w:style>
  <w:style w:type="character" w:customStyle="1" w:styleId="GB23125">
    <w:name w:val="样式 (中文) 仿宋_GB2312 小四"/>
    <w:qFormat/>
    <w:rPr>
      <w:rFonts w:ascii="Times New Roman" w:eastAsia="仿宋_GB2312" w:hAnsi="Times New Roman"/>
      <w:sz w:val="24"/>
    </w:rPr>
  </w:style>
  <w:style w:type="character" w:customStyle="1" w:styleId="AChar2">
    <w:name w:val="标题二A Char"/>
    <w:link w:val="Affffffffffb"/>
    <w:qFormat/>
    <w:rPr>
      <w:rFonts w:ascii="宋体" w:hAnsi="宋体"/>
      <w:b/>
      <w:bCs/>
      <w:kern w:val="2"/>
      <w:sz w:val="30"/>
      <w:szCs w:val="30"/>
    </w:rPr>
  </w:style>
  <w:style w:type="paragraph" w:customStyle="1" w:styleId="Affffffffffb">
    <w:name w:val="标题二A"/>
    <w:basedOn w:val="22"/>
    <w:link w:val="AChar2"/>
    <w:qFormat/>
    <w:pPr>
      <w:keepNext w:val="0"/>
      <w:keepLines w:val="0"/>
      <w:tabs>
        <w:tab w:val="left" w:pos="1070"/>
      </w:tabs>
      <w:spacing w:line="500" w:lineRule="exact"/>
      <w:ind w:leftChars="400" w:left="1070" w:hangingChars="200" w:hanging="360"/>
    </w:pPr>
    <w:rPr>
      <w:spacing w:val="0"/>
      <w:w w:val="100"/>
      <w:kern w:val="2"/>
      <w:sz w:val="30"/>
      <w:szCs w:val="30"/>
    </w:rPr>
  </w:style>
  <w:style w:type="character" w:customStyle="1" w:styleId="CharCharfff0">
    <w:name w:val="表格后空行 Char Char"/>
    <w:link w:val="affffffffffc"/>
    <w:qFormat/>
    <w:rPr>
      <w:rFonts w:cs="宋体"/>
      <w:color w:val="000000"/>
      <w:w w:val="110"/>
      <w:sz w:val="24"/>
      <w:u w:color="000000"/>
    </w:rPr>
  </w:style>
  <w:style w:type="paragraph" w:customStyle="1" w:styleId="affffffffffc">
    <w:name w:val="表格后空行"/>
    <w:basedOn w:val="a6"/>
    <w:link w:val="CharCharfff0"/>
    <w:qFormat/>
    <w:pPr>
      <w:widowControl/>
      <w:spacing w:line="240" w:lineRule="exact"/>
      <w:textAlignment w:val="baseline"/>
    </w:pPr>
    <w:rPr>
      <w:color w:val="000000"/>
      <w:w w:val="110"/>
      <w:kern w:val="0"/>
      <w:sz w:val="24"/>
      <w:szCs w:val="20"/>
      <w:u w:color="000000"/>
    </w:rPr>
  </w:style>
  <w:style w:type="character" w:customStyle="1" w:styleId="JChar">
    <w:name w:val="J【表头】 Char"/>
    <w:link w:val="J"/>
    <w:qFormat/>
    <w:rPr>
      <w:rFonts w:ascii="Calibri" w:hAnsi="Calibri"/>
      <w:b/>
      <w:sz w:val="24"/>
      <w:szCs w:val="24"/>
    </w:rPr>
  </w:style>
  <w:style w:type="paragraph" w:customStyle="1" w:styleId="J">
    <w:name w:val="J【表头】"/>
    <w:basedOn w:val="a6"/>
    <w:link w:val="JChar"/>
    <w:qFormat/>
    <w:pPr>
      <w:spacing w:line="360" w:lineRule="auto"/>
      <w:jc w:val="center"/>
    </w:pPr>
    <w:rPr>
      <w:rFonts w:ascii="Calibri" w:hAnsi="Calibri"/>
      <w:b/>
      <w:kern w:val="0"/>
      <w:sz w:val="24"/>
    </w:rPr>
  </w:style>
  <w:style w:type="character" w:customStyle="1" w:styleId="Char2f0">
    <w:name w:val="日期 Char2"/>
    <w:qFormat/>
    <w:rPr>
      <w:kern w:val="2"/>
      <w:sz w:val="21"/>
      <w:szCs w:val="22"/>
    </w:rPr>
  </w:style>
  <w:style w:type="character" w:customStyle="1" w:styleId="1CharChara">
    <w:name w:val="表格1 Char Char"/>
    <w:link w:val="1ff5"/>
    <w:qFormat/>
    <w:rPr>
      <w:spacing w:val="4"/>
      <w:sz w:val="21"/>
    </w:rPr>
  </w:style>
  <w:style w:type="paragraph" w:customStyle="1" w:styleId="1ff5">
    <w:name w:val="表格1"/>
    <w:link w:val="1CharChara"/>
    <w:qFormat/>
    <w:pPr>
      <w:tabs>
        <w:tab w:val="left" w:pos="5400"/>
      </w:tabs>
      <w:spacing w:line="320" w:lineRule="atLeast"/>
    </w:pPr>
    <w:rPr>
      <w:spacing w:val="4"/>
      <w:sz w:val="21"/>
    </w:rPr>
  </w:style>
  <w:style w:type="paragraph" w:customStyle="1" w:styleId="120">
    <w:name w:val="正文12"/>
    <w:basedOn w:val="a6"/>
    <w:link w:val="1Charb"/>
    <w:qFormat/>
    <w:pPr>
      <w:spacing w:line="360" w:lineRule="auto"/>
      <w:ind w:firstLineChars="200" w:firstLine="480"/>
    </w:pPr>
    <w:rPr>
      <w:kern w:val="0"/>
      <w:sz w:val="24"/>
      <w:szCs w:val="20"/>
    </w:rPr>
  </w:style>
  <w:style w:type="character" w:customStyle="1" w:styleId="1Charb">
    <w:name w:val="正文1 Char"/>
    <w:link w:val="120"/>
    <w:qFormat/>
    <w:rPr>
      <w:sz w:val="24"/>
    </w:rPr>
  </w:style>
  <w:style w:type="character" w:customStyle="1" w:styleId="hb4CharCharCharChar">
    <w:name w:val="hb4 Char Char Char Char"/>
    <w:link w:val="hb4CharCharChar"/>
    <w:qFormat/>
    <w:rPr>
      <w:rFonts w:ascii="宋体" w:eastAsia="黑体" w:hAnsi="Arial"/>
      <w:kern w:val="2"/>
      <w:sz w:val="24"/>
      <w:szCs w:val="24"/>
    </w:rPr>
  </w:style>
  <w:style w:type="paragraph" w:customStyle="1" w:styleId="hb4CharCharChar">
    <w:name w:val="hb4 Char Char Char"/>
    <w:basedOn w:val="41"/>
    <w:link w:val="hb4CharCharCharChar"/>
    <w:qFormat/>
    <w:pPr>
      <w:adjustRightInd/>
      <w:snapToGrid/>
      <w:spacing w:beforeLines="0" w:before="0"/>
    </w:pPr>
    <w:rPr>
      <w:rFonts w:ascii="宋体" w:hAnsi="Arial"/>
      <w:bCs w:val="0"/>
      <w:sz w:val="24"/>
      <w:szCs w:val="24"/>
    </w:rPr>
  </w:style>
  <w:style w:type="character" w:customStyle="1" w:styleId="hb4CharCharCharCharCharChar">
    <w:name w:val="hb4 Char Char Char Char Char Char"/>
    <w:link w:val="hb4CharCharCharCharChar"/>
    <w:qFormat/>
    <w:rPr>
      <w:rFonts w:ascii="宋体" w:eastAsia="黑体" w:hAnsi="Arial"/>
      <w:kern w:val="2"/>
      <w:sz w:val="24"/>
      <w:szCs w:val="24"/>
    </w:rPr>
  </w:style>
  <w:style w:type="paragraph" w:customStyle="1" w:styleId="hb4CharCharCharCharChar">
    <w:name w:val="hb4 Char Char Char Char Char"/>
    <w:basedOn w:val="41"/>
    <w:link w:val="hb4CharCharCharCharCharChar"/>
    <w:qFormat/>
    <w:pPr>
      <w:adjustRightInd/>
      <w:snapToGrid/>
      <w:spacing w:beforeLines="0" w:before="0"/>
    </w:pPr>
    <w:rPr>
      <w:rFonts w:ascii="宋体" w:hAnsi="Arial"/>
      <w:bCs w:val="0"/>
      <w:sz w:val="24"/>
      <w:szCs w:val="24"/>
    </w:rPr>
  </w:style>
  <w:style w:type="character" w:customStyle="1" w:styleId="Charfffffff3">
    <w:name w:val="正文啊 Char"/>
    <w:link w:val="affffffffffd"/>
    <w:qFormat/>
    <w:rPr>
      <w:rFonts w:ascii="Calibri" w:hAnsi="Calibri"/>
      <w:kern w:val="2"/>
      <w:sz w:val="24"/>
    </w:rPr>
  </w:style>
  <w:style w:type="paragraph" w:customStyle="1" w:styleId="affffffffffd">
    <w:name w:val="正文啊"/>
    <w:basedOn w:val="a6"/>
    <w:link w:val="Charfffffff3"/>
    <w:qFormat/>
    <w:pPr>
      <w:spacing w:line="360" w:lineRule="auto"/>
      <w:ind w:firstLineChars="200" w:firstLine="200"/>
    </w:pPr>
    <w:rPr>
      <w:rFonts w:ascii="Calibri" w:hAnsi="Calibri"/>
      <w:sz w:val="24"/>
      <w:szCs w:val="20"/>
    </w:rPr>
  </w:style>
  <w:style w:type="character" w:customStyle="1" w:styleId="hb1Char">
    <w:name w:val="hb1 Char"/>
    <w:link w:val="hb1"/>
    <w:qFormat/>
    <w:rPr>
      <w:rFonts w:eastAsia="黑体" w:hAnsi="黑体"/>
      <w:bCs/>
      <w:kern w:val="44"/>
      <w:sz w:val="32"/>
      <w:szCs w:val="32"/>
    </w:rPr>
  </w:style>
  <w:style w:type="paragraph" w:customStyle="1" w:styleId="hb1">
    <w:name w:val="hb1"/>
    <w:basedOn w:val="12"/>
    <w:link w:val="hb1Char"/>
    <w:qFormat/>
    <w:pPr>
      <w:keepNext w:val="0"/>
      <w:keepLines w:val="0"/>
      <w:pageBreakBefore/>
      <w:topLinePunct/>
      <w:adjustRightInd w:val="0"/>
      <w:spacing w:beforeLines="100" w:before="100" w:beforeAutospacing="1" w:afterLines="100" w:after="100" w:afterAutospacing="1" w:line="578" w:lineRule="atLeast"/>
      <w:jc w:val="center"/>
      <w:textAlignment w:val="baseline"/>
    </w:pPr>
    <w:rPr>
      <w:rFonts w:hAnsi="黑体"/>
      <w:b w:val="0"/>
      <w:sz w:val="32"/>
      <w:szCs w:val="32"/>
    </w:rPr>
  </w:style>
  <w:style w:type="character" w:customStyle="1" w:styleId="Charfffffff4">
    <w:name w:val="无间隔 Char"/>
    <w:link w:val="affffffffffe"/>
    <w:uiPriority w:val="1"/>
    <w:qFormat/>
    <w:rPr>
      <w:rFonts w:ascii="Calibri" w:hAnsi="Calibri"/>
      <w:sz w:val="22"/>
      <w:szCs w:val="22"/>
      <w:lang w:bidi="ar-SA"/>
    </w:rPr>
  </w:style>
  <w:style w:type="paragraph" w:styleId="affffffffffe">
    <w:name w:val="No Spacing"/>
    <w:link w:val="Charfffffff4"/>
    <w:uiPriority w:val="1"/>
    <w:qFormat/>
    <w:rPr>
      <w:rFonts w:ascii="Calibri" w:hAnsi="Calibri"/>
      <w:sz w:val="22"/>
      <w:szCs w:val="22"/>
    </w:rPr>
  </w:style>
  <w:style w:type="character" w:customStyle="1" w:styleId="CharChar27">
    <w:name w:val="Char Char27"/>
    <w:qFormat/>
    <w:rPr>
      <w:rFonts w:eastAsia="黑体"/>
      <w:kern w:val="2"/>
      <w:sz w:val="24"/>
      <w:szCs w:val="24"/>
      <w:lang w:val="en-US" w:eastAsia="zh-CN" w:bidi="ar-SA"/>
    </w:rPr>
  </w:style>
  <w:style w:type="character" w:customStyle="1" w:styleId="EmailStyle5451">
    <w:name w:val="EmailStyle5451"/>
    <w:qFormat/>
    <w:rPr>
      <w:rFonts w:ascii="Arial" w:eastAsia="宋体" w:hAnsi="Arial" w:cs="Arial"/>
      <w:color w:val="auto"/>
      <w:sz w:val="20"/>
    </w:rPr>
  </w:style>
  <w:style w:type="character" w:customStyle="1" w:styleId="h31">
    <w:name w:val="h31"/>
    <w:qFormat/>
    <w:rPr>
      <w:sz w:val="21"/>
      <w:szCs w:val="21"/>
    </w:rPr>
  </w:style>
  <w:style w:type="character" w:customStyle="1" w:styleId="Char2f1">
    <w:name w:val="正文(首行缩进) Char2"/>
    <w:qFormat/>
    <w:rPr>
      <w:rFonts w:eastAsia="黑体"/>
      <w:bCs/>
      <w:snapToGrid w:val="0"/>
      <w:color w:val="000000"/>
      <w:kern w:val="2"/>
      <w:sz w:val="24"/>
      <w:lang w:val="en-US" w:eastAsia="zh-CN" w:bidi="ar-SA"/>
    </w:rPr>
  </w:style>
  <w:style w:type="character" w:customStyle="1" w:styleId="hb2Char1">
    <w:name w:val="hb2 Char1"/>
    <w:qFormat/>
    <w:rPr>
      <w:rFonts w:ascii="黑体" w:eastAsia="黑体" w:hAnsi="Arial Narrow" w:cs="Arial"/>
      <w:b/>
      <w:bCs/>
      <w:kern w:val="2"/>
      <w:sz w:val="28"/>
      <w:szCs w:val="28"/>
      <w:lang w:val="en-US" w:eastAsia="zh-CN" w:bidi="ar-SA"/>
    </w:rPr>
  </w:style>
  <w:style w:type="character" w:customStyle="1" w:styleId="aChar3">
    <w:name w:val="a) Char"/>
    <w:qFormat/>
    <w:rPr>
      <w:rFonts w:ascii="宋体" w:eastAsia="宋体" w:hAnsi="宋体" w:cs="宋体"/>
      <w:sz w:val="28"/>
      <w:lang w:val="en-US" w:eastAsia="zh-CN" w:bidi="ar-SA"/>
    </w:rPr>
  </w:style>
  <w:style w:type="character" w:customStyle="1" w:styleId="11Char1">
    <w:name w:val="表格内容11 Char"/>
    <w:link w:val="115"/>
    <w:qFormat/>
    <w:rPr>
      <w:szCs w:val="21"/>
    </w:rPr>
  </w:style>
  <w:style w:type="paragraph" w:customStyle="1" w:styleId="115">
    <w:name w:val="表格内容11"/>
    <w:basedOn w:val="afc"/>
    <w:link w:val="11Char1"/>
    <w:qFormat/>
    <w:pPr>
      <w:spacing w:line="240" w:lineRule="auto"/>
      <w:ind w:firstLineChars="0" w:firstLine="0"/>
    </w:pPr>
    <w:rPr>
      <w:rFonts w:ascii="Times New Roman" w:eastAsia="宋体" w:hAnsi="Times New Roman"/>
      <w:color w:val="auto"/>
      <w:spacing w:val="0"/>
      <w:kern w:val="0"/>
      <w:sz w:val="20"/>
    </w:rPr>
  </w:style>
  <w:style w:type="character" w:customStyle="1" w:styleId="2Chare">
    <w:name w:val="样式 正文文本 + 首行缩进:  2 字符 Char"/>
    <w:link w:val="2ff7"/>
    <w:qFormat/>
    <w:rPr>
      <w:color w:val="FF0000"/>
      <w:kern w:val="2"/>
      <w:sz w:val="24"/>
      <w:szCs w:val="24"/>
    </w:rPr>
  </w:style>
  <w:style w:type="paragraph" w:customStyle="1" w:styleId="2ff7">
    <w:name w:val="样式 正文文本 + 首行缩进:  2 字符"/>
    <w:basedOn w:val="af8"/>
    <w:link w:val="2Chare"/>
    <w:qFormat/>
    <w:pPr>
      <w:adjustRightInd w:val="0"/>
      <w:snapToGrid w:val="0"/>
      <w:spacing w:before="120" w:after="0" w:line="300" w:lineRule="auto"/>
      <w:ind w:firstLineChars="200" w:firstLine="200"/>
      <w:textAlignment w:val="baseline"/>
    </w:pPr>
    <w:rPr>
      <w:color w:val="FF0000"/>
      <w:sz w:val="24"/>
    </w:rPr>
  </w:style>
  <w:style w:type="character" w:customStyle="1" w:styleId="CharCharCharf3">
    <w:name w:val="右 Char Char Char"/>
    <w:qFormat/>
    <w:rPr>
      <w:rFonts w:ascii="宋体" w:eastAsia="宋体"/>
      <w:kern w:val="2"/>
      <w:sz w:val="18"/>
      <w:lang w:val="en-US" w:eastAsia="zh-CN" w:bidi="ar-SA"/>
    </w:rPr>
  </w:style>
  <w:style w:type="character" w:customStyle="1" w:styleId="unnamed21">
    <w:name w:val="unnamed21"/>
    <w:qFormat/>
    <w:rPr>
      <w:color w:val="330000"/>
      <w:sz w:val="21"/>
      <w:szCs w:val="21"/>
      <w:u w:val="none"/>
    </w:rPr>
  </w:style>
  <w:style w:type="character" w:customStyle="1" w:styleId="headline-content">
    <w:name w:val="headline-content"/>
    <w:qFormat/>
  </w:style>
  <w:style w:type="character" w:customStyle="1" w:styleId="t">
    <w:name w:val="t"/>
    <w:qFormat/>
  </w:style>
  <w:style w:type="character" w:customStyle="1" w:styleId="52Char">
    <w:name w:val="样式 5 + 首行缩进:  2 字符 Char"/>
    <w:qFormat/>
    <w:rPr>
      <w:rFonts w:ascii="楷体_GB2312" w:eastAsia="楷体_GB2312" w:hAnsi="宋体" w:cs="宋体"/>
      <w:color w:val="000000"/>
      <w:spacing w:val="-2"/>
      <w:kern w:val="2"/>
      <w:sz w:val="30"/>
      <w:szCs w:val="30"/>
      <w:lang w:val="en-US" w:eastAsia="zh-CN" w:bidi="ar-SA"/>
    </w:rPr>
  </w:style>
  <w:style w:type="character" w:customStyle="1" w:styleId="CharCharfff1">
    <w:name w:val="顾文本 Char Char"/>
    <w:link w:val="afffffffffff"/>
    <w:qFormat/>
    <w:rPr>
      <w:rFonts w:ascii="Calibri" w:hAnsi="Calibri" w:cs="黑体"/>
      <w:kern w:val="2"/>
      <w:sz w:val="24"/>
      <w:szCs w:val="22"/>
    </w:rPr>
  </w:style>
  <w:style w:type="paragraph" w:customStyle="1" w:styleId="afffffffffff">
    <w:name w:val="顾文本"/>
    <w:basedOn w:val="a6"/>
    <w:link w:val="CharCharfff1"/>
    <w:qFormat/>
    <w:pPr>
      <w:spacing w:line="360" w:lineRule="auto"/>
      <w:ind w:firstLineChars="200" w:firstLine="200"/>
    </w:pPr>
    <w:rPr>
      <w:rFonts w:ascii="Calibri" w:hAnsi="Calibri"/>
      <w:sz w:val="24"/>
      <w:szCs w:val="22"/>
    </w:rPr>
  </w:style>
  <w:style w:type="character" w:customStyle="1" w:styleId="CharChar29">
    <w:name w:val="Char Char29"/>
    <w:qFormat/>
    <w:rPr>
      <w:rFonts w:eastAsia="宋体"/>
      <w:kern w:val="2"/>
      <w:sz w:val="21"/>
      <w:szCs w:val="24"/>
      <w:lang w:val="en-US" w:eastAsia="zh-CN" w:bidi="ar-SA"/>
    </w:rPr>
  </w:style>
  <w:style w:type="character" w:customStyle="1" w:styleId="1CharCharb">
    <w:name w:val="1标题 Char Char"/>
    <w:link w:val="1ff6"/>
    <w:qFormat/>
    <w:rPr>
      <w:rFonts w:ascii="宋体" w:hAnsi="宋体"/>
      <w:sz w:val="28"/>
    </w:rPr>
  </w:style>
  <w:style w:type="paragraph" w:customStyle="1" w:styleId="1ff6">
    <w:name w:val="1标题"/>
    <w:basedOn w:val="a6"/>
    <w:link w:val="1CharCharb"/>
    <w:qFormat/>
    <w:pPr>
      <w:widowControl/>
      <w:ind w:firstLineChars="200" w:firstLine="560"/>
      <w:jc w:val="left"/>
    </w:pPr>
    <w:rPr>
      <w:rFonts w:ascii="宋体" w:hAnsi="宋体"/>
      <w:kern w:val="0"/>
      <w:sz w:val="28"/>
      <w:szCs w:val="20"/>
    </w:rPr>
  </w:style>
  <w:style w:type="character" w:customStyle="1" w:styleId="Charfffffff5">
    <w:name w:val="样式 小四号 Char"/>
    <w:link w:val="afffffffffff0"/>
    <w:qFormat/>
    <w:rPr>
      <w:kern w:val="2"/>
      <w:sz w:val="24"/>
      <w:szCs w:val="24"/>
    </w:rPr>
  </w:style>
  <w:style w:type="paragraph" w:customStyle="1" w:styleId="afffffffffff0">
    <w:name w:val="样式 小四号"/>
    <w:basedOn w:val="a6"/>
    <w:link w:val="Charfffffff5"/>
    <w:qFormat/>
    <w:pPr>
      <w:ind w:firstLineChars="200" w:firstLine="571"/>
    </w:pPr>
    <w:rPr>
      <w:sz w:val="24"/>
    </w:rPr>
  </w:style>
  <w:style w:type="character" w:customStyle="1" w:styleId="Charfffffff6">
    <w:name w:val="无节款 Char"/>
    <w:qFormat/>
    <w:rPr>
      <w:rFonts w:ascii="Arial" w:eastAsia="黑体" w:hAnsi="Arial"/>
      <w:kern w:val="2"/>
      <w:sz w:val="24"/>
      <w:szCs w:val="24"/>
      <w:lang w:val="en-US" w:eastAsia="zh-CN" w:bidi="ar-SA"/>
    </w:rPr>
  </w:style>
  <w:style w:type="character" w:customStyle="1" w:styleId="CharAttribute3">
    <w:name w:val="CharAttribute3"/>
    <w:qFormat/>
    <w:rPr>
      <w:rFonts w:ascii="宋体" w:eastAsia="宋体" w:hAnsi="宋体"/>
      <w:sz w:val="24"/>
    </w:rPr>
  </w:style>
  <w:style w:type="character" w:customStyle="1" w:styleId="5CharChar2">
    <w:name w:val="川维5 Char Char"/>
    <w:link w:val="5e"/>
    <w:qFormat/>
    <w:rPr>
      <w:rFonts w:ascii="Calibri" w:hAnsi="Calibri" w:cs="黑体"/>
      <w:kern w:val="24"/>
      <w:sz w:val="24"/>
      <w:szCs w:val="24"/>
    </w:rPr>
  </w:style>
  <w:style w:type="paragraph" w:customStyle="1" w:styleId="5e">
    <w:name w:val="川维5"/>
    <w:basedOn w:val="a6"/>
    <w:link w:val="5CharChar2"/>
    <w:qFormat/>
    <w:pPr>
      <w:spacing w:line="360" w:lineRule="auto"/>
      <w:ind w:firstLineChars="200" w:firstLine="200"/>
    </w:pPr>
    <w:rPr>
      <w:rFonts w:ascii="Calibri" w:hAnsi="Calibri"/>
      <w:kern w:val="24"/>
      <w:sz w:val="24"/>
    </w:rPr>
  </w:style>
  <w:style w:type="character" w:customStyle="1" w:styleId="5Char6">
    <w:name w:val="样式 表内小5 + 黑体 加粗 倾斜 下划线 Char"/>
    <w:qFormat/>
    <w:rPr>
      <w:rFonts w:ascii="黑体" w:eastAsia="黑体" w:hAnsi="黑体"/>
      <w:b/>
      <w:bCs/>
      <w:i/>
      <w:iCs/>
      <w:kern w:val="2"/>
      <w:sz w:val="21"/>
      <w:szCs w:val="21"/>
      <w:u w:val="single"/>
      <w:lang w:val="en-US" w:eastAsia="zh-CN" w:bidi="ar-SA"/>
    </w:rPr>
  </w:style>
  <w:style w:type="character" w:customStyle="1" w:styleId="CharCharfff2">
    <w:name w:val="段落缩进 Char Char"/>
    <w:link w:val="afffffffffff1"/>
    <w:qFormat/>
    <w:rPr>
      <w:rFonts w:ascii="Calibri" w:hAnsi="Calibri" w:cs="黑体"/>
      <w:kern w:val="2"/>
      <w:sz w:val="24"/>
      <w:szCs w:val="24"/>
    </w:rPr>
  </w:style>
  <w:style w:type="paragraph" w:customStyle="1" w:styleId="afffffffffff1">
    <w:name w:val="段落缩进"/>
    <w:basedOn w:val="af8"/>
    <w:next w:val="af8"/>
    <w:link w:val="CharCharfff2"/>
    <w:qFormat/>
    <w:pPr>
      <w:spacing w:after="0" w:line="360" w:lineRule="auto"/>
      <w:ind w:firstLineChars="200" w:firstLine="480"/>
    </w:pPr>
    <w:rPr>
      <w:rFonts w:ascii="Calibri" w:hAnsi="Calibri"/>
      <w:sz w:val="24"/>
    </w:rPr>
  </w:style>
  <w:style w:type="character" w:customStyle="1" w:styleId="CharCharfff3">
    <w:name w:val="正文样式 Char Char"/>
    <w:qFormat/>
    <w:rPr>
      <w:rFonts w:ascii="宋体" w:hAnsi="宋体" w:cs="宋体"/>
      <w:color w:val="000000"/>
      <w:kern w:val="2"/>
      <w:sz w:val="24"/>
      <w:szCs w:val="24"/>
    </w:rPr>
  </w:style>
  <w:style w:type="character" w:customStyle="1" w:styleId="bt21">
    <w:name w:val="bt21"/>
    <w:qFormat/>
    <w:rPr>
      <w:rFonts w:ascii="黑体" w:eastAsia="黑体" w:hint="eastAsia"/>
      <w:sz w:val="24"/>
      <w:szCs w:val="24"/>
    </w:rPr>
  </w:style>
  <w:style w:type="character" w:customStyle="1" w:styleId="8CharChar">
    <w:name w:val="样式8 Char Char"/>
    <w:link w:val="84"/>
    <w:qFormat/>
    <w:rPr>
      <w:rFonts w:ascii="Arial" w:hAnsi="宋体" w:cs="Arial"/>
      <w:kern w:val="2"/>
      <w:sz w:val="24"/>
      <w:szCs w:val="24"/>
    </w:rPr>
  </w:style>
  <w:style w:type="paragraph" w:customStyle="1" w:styleId="84">
    <w:name w:val="样式8"/>
    <w:basedOn w:val="a6"/>
    <w:link w:val="8CharChar"/>
    <w:qFormat/>
    <w:pPr>
      <w:widowControl/>
      <w:spacing w:line="360" w:lineRule="auto"/>
      <w:ind w:firstLineChars="200" w:firstLine="480"/>
      <w:jc w:val="left"/>
    </w:pPr>
    <w:rPr>
      <w:rFonts w:ascii="Arial" w:hAnsi="宋体"/>
      <w:sz w:val="24"/>
    </w:rPr>
  </w:style>
  <w:style w:type="character" w:customStyle="1" w:styleId="1CharCharc">
    <w:name w:val="1) Char Char"/>
    <w:qFormat/>
  </w:style>
  <w:style w:type="character" w:customStyle="1" w:styleId="CharCharfff4">
    <w:name w:val="报告 Char Char"/>
    <w:link w:val="afffffffffff2"/>
    <w:qFormat/>
    <w:rPr>
      <w:kern w:val="2"/>
      <w:sz w:val="28"/>
      <w:szCs w:val="24"/>
    </w:rPr>
  </w:style>
  <w:style w:type="paragraph" w:customStyle="1" w:styleId="afffffffffff2">
    <w:name w:val="报告"/>
    <w:basedOn w:val="a6"/>
    <w:link w:val="CharCharfff4"/>
    <w:qFormat/>
    <w:pPr>
      <w:spacing w:line="360" w:lineRule="auto"/>
      <w:ind w:firstLineChars="200" w:firstLine="560"/>
    </w:pPr>
    <w:rPr>
      <w:sz w:val="28"/>
    </w:rPr>
  </w:style>
  <w:style w:type="character" w:customStyle="1" w:styleId="Charfffffff7">
    <w:name w:val="报告正文 Char"/>
    <w:qFormat/>
    <w:rPr>
      <w:rFonts w:ascii="Times New Roman" w:hAnsi="Times New Roman"/>
      <w:bCs/>
      <w:sz w:val="24"/>
      <w:szCs w:val="24"/>
    </w:rPr>
  </w:style>
  <w:style w:type="character" w:customStyle="1" w:styleId="Charfffffff8">
    <w:name w:val="环评正文 Char"/>
    <w:link w:val="afffffffffff3"/>
    <w:qFormat/>
    <w:rPr>
      <w:rFonts w:ascii="宋体" w:hAnsi="宋体"/>
      <w:color w:val="000000"/>
      <w:w w:val="110"/>
      <w:sz w:val="24"/>
      <w:szCs w:val="24"/>
    </w:rPr>
  </w:style>
  <w:style w:type="paragraph" w:customStyle="1" w:styleId="afffffffffff3">
    <w:name w:val="环评正文"/>
    <w:basedOn w:val="a6"/>
    <w:link w:val="Charfffffff8"/>
    <w:qFormat/>
    <w:pPr>
      <w:spacing w:line="360" w:lineRule="auto"/>
    </w:pPr>
    <w:rPr>
      <w:rFonts w:ascii="宋体" w:hAnsi="宋体"/>
      <w:color w:val="000000"/>
      <w:w w:val="110"/>
      <w:kern w:val="0"/>
      <w:sz w:val="24"/>
    </w:rPr>
  </w:style>
  <w:style w:type="character" w:customStyle="1" w:styleId="ca-61">
    <w:name w:val="ca-61"/>
    <w:qFormat/>
    <w:rPr>
      <w:rFonts w:ascii="Times New Roman" w:hAnsi="Times New Roman" w:cs="Times New Roman" w:hint="default"/>
      <w:sz w:val="21"/>
      <w:szCs w:val="21"/>
    </w:rPr>
  </w:style>
  <w:style w:type="character" w:customStyle="1" w:styleId="2Charf">
    <w:name w:val="正文文字缩进 2 Char"/>
    <w:qFormat/>
    <w:rPr>
      <w:rFonts w:ascii="Times New Roman" w:eastAsia="宋体" w:hAnsi="Times New Roman" w:cs="Times New Roman"/>
      <w:sz w:val="24"/>
      <w:szCs w:val="24"/>
    </w:rPr>
  </w:style>
  <w:style w:type="character" w:customStyle="1" w:styleId="a121">
    <w:name w:val="a121"/>
    <w:qFormat/>
    <w:rPr>
      <w:rFonts w:ascii="ˎ̥" w:hAnsi="ˎ̥" w:hint="default"/>
      <w:color w:val="004891"/>
      <w:sz w:val="18"/>
      <w:szCs w:val="18"/>
      <w:u w:val="none"/>
    </w:rPr>
  </w:style>
  <w:style w:type="character" w:customStyle="1" w:styleId="afffffffffff4">
    <w:name w:val="样式 楷体 小四"/>
    <w:qFormat/>
    <w:rPr>
      <w:rFonts w:ascii="Times New Roman" w:eastAsia="宋体" w:hAnsi="Times New Roman"/>
      <w:sz w:val="24"/>
      <w:szCs w:val="24"/>
    </w:rPr>
  </w:style>
  <w:style w:type="character" w:customStyle="1" w:styleId="CharCharfff5">
    <w:name w:val="图表名称 Char Char"/>
    <w:link w:val="afffffffffff5"/>
    <w:qFormat/>
    <w:rPr>
      <w:rFonts w:eastAsia="黑体"/>
      <w:b/>
      <w:bCs/>
      <w:sz w:val="24"/>
      <w:szCs w:val="21"/>
      <w:lang w:bidi="ar-SA"/>
    </w:rPr>
  </w:style>
  <w:style w:type="paragraph" w:customStyle="1" w:styleId="afffffffffff5">
    <w:name w:val="图表名称"/>
    <w:next w:val="a6"/>
    <w:link w:val="CharCharfff5"/>
    <w:qFormat/>
    <w:pPr>
      <w:spacing w:before="25" w:after="25" w:line="360" w:lineRule="auto"/>
      <w:jc w:val="center"/>
    </w:pPr>
    <w:rPr>
      <w:rFonts w:eastAsia="黑体"/>
      <w:b/>
      <w:bCs/>
      <w:sz w:val="24"/>
      <w:szCs w:val="21"/>
    </w:rPr>
  </w:style>
  <w:style w:type="character" w:customStyle="1" w:styleId="textedit1">
    <w:name w:val="text_edit1"/>
    <w:qFormat/>
    <w:rPr>
      <w:color w:val="3366CC"/>
      <w:sz w:val="24"/>
      <w:szCs w:val="24"/>
    </w:rPr>
  </w:style>
  <w:style w:type="character" w:customStyle="1" w:styleId="Char1fd">
    <w:name w:val="批注框文本 Char1"/>
    <w:qFormat/>
    <w:rPr>
      <w:kern w:val="2"/>
      <w:sz w:val="18"/>
      <w:szCs w:val="18"/>
    </w:rPr>
  </w:style>
  <w:style w:type="character" w:customStyle="1" w:styleId="Charfffffff9">
    <w:name w:val="三级 Char"/>
    <w:qFormat/>
  </w:style>
  <w:style w:type="character" w:customStyle="1" w:styleId="CharCharfff6">
    <w:name w:val="表底说明 Char Char"/>
    <w:link w:val="afffffffffff6"/>
    <w:qFormat/>
    <w:rPr>
      <w:color w:val="000000"/>
      <w:w w:val="110"/>
      <w:sz w:val="18"/>
      <w:szCs w:val="24"/>
    </w:rPr>
  </w:style>
  <w:style w:type="paragraph" w:customStyle="1" w:styleId="afffffffffff6">
    <w:name w:val="表底说明"/>
    <w:basedOn w:val="a6"/>
    <w:link w:val="CharCharfff6"/>
    <w:qFormat/>
    <w:rPr>
      <w:color w:val="000000"/>
      <w:w w:val="110"/>
      <w:kern w:val="0"/>
      <w:sz w:val="18"/>
    </w:rPr>
  </w:style>
  <w:style w:type="character" w:customStyle="1" w:styleId="FontStyle303">
    <w:name w:val="Font Style303"/>
    <w:qFormat/>
    <w:rPr>
      <w:rFonts w:ascii="宋体" w:eastAsia="宋体" w:cs="宋体"/>
      <w:sz w:val="20"/>
      <w:szCs w:val="20"/>
    </w:rPr>
  </w:style>
  <w:style w:type="character" w:customStyle="1" w:styleId="zwb-Char">
    <w:name w:val="zwb-正文 Char"/>
    <w:qFormat/>
    <w:rPr>
      <w:kern w:val="2"/>
      <w:sz w:val="24"/>
      <w:szCs w:val="24"/>
    </w:rPr>
  </w:style>
  <w:style w:type="character" w:customStyle="1" w:styleId="GB2312Char1">
    <w:name w:val="样式 (中文) 仿宋_GB2312 Char"/>
    <w:link w:val="GB23126"/>
    <w:qFormat/>
    <w:rPr>
      <w:rFonts w:eastAsia="仿宋_GB2312"/>
      <w:kern w:val="2"/>
      <w:sz w:val="24"/>
      <w:szCs w:val="24"/>
    </w:rPr>
  </w:style>
  <w:style w:type="paragraph" w:customStyle="1" w:styleId="GB23126">
    <w:name w:val="样式 (中文) 仿宋_GB2312"/>
    <w:basedOn w:val="a6"/>
    <w:next w:val="a6"/>
    <w:link w:val="GB2312Char1"/>
    <w:qFormat/>
    <w:pPr>
      <w:adjustRightInd w:val="0"/>
      <w:snapToGrid w:val="0"/>
      <w:spacing w:line="360" w:lineRule="auto"/>
      <w:ind w:leftChars="100" w:left="100" w:rightChars="100" w:right="100" w:firstLineChars="200" w:firstLine="480"/>
      <w:jc w:val="left"/>
    </w:pPr>
    <w:rPr>
      <w:rFonts w:eastAsia="仿宋_GB2312"/>
      <w:sz w:val="24"/>
    </w:rPr>
  </w:style>
  <w:style w:type="character" w:customStyle="1" w:styleId="4-25CharCharChar">
    <w:name w:val="4-25正 Char Char Char"/>
    <w:qFormat/>
    <w:rPr>
      <w:rFonts w:eastAsia="宋体" w:cs="宋体"/>
      <w:sz w:val="24"/>
      <w:lang w:val="en-US" w:eastAsia="zh-CN" w:bidi="ar-SA"/>
    </w:rPr>
  </w:style>
  <w:style w:type="character" w:customStyle="1" w:styleId="zxjChar">
    <w:name w:val="文本_zxj Char"/>
    <w:link w:val="zxj"/>
    <w:qFormat/>
    <w:rPr>
      <w:kern w:val="2"/>
      <w:sz w:val="28"/>
    </w:rPr>
  </w:style>
  <w:style w:type="paragraph" w:customStyle="1" w:styleId="zxj">
    <w:name w:val="文本_zxj"/>
    <w:basedOn w:val="a6"/>
    <w:link w:val="zxjChar"/>
    <w:qFormat/>
    <w:pPr>
      <w:spacing w:line="360" w:lineRule="auto"/>
      <w:ind w:firstLine="560"/>
    </w:pPr>
    <w:rPr>
      <w:sz w:val="28"/>
      <w:szCs w:val="20"/>
    </w:rPr>
  </w:style>
  <w:style w:type="character" w:customStyle="1" w:styleId="Charfffffffa">
    <w:name w:val="二级 Char"/>
    <w:link w:val="afffffffffff7"/>
    <w:qFormat/>
    <w:rPr>
      <w:rFonts w:cs="Arial"/>
      <w:b/>
      <w:bCs/>
      <w:kern w:val="2"/>
      <w:sz w:val="32"/>
      <w:szCs w:val="32"/>
      <w:lang w:val="en-US" w:eastAsia="zh-CN" w:bidi="ar-SA"/>
    </w:rPr>
  </w:style>
  <w:style w:type="paragraph" w:customStyle="1" w:styleId="afffffffffff7">
    <w:name w:val="二级"/>
    <w:link w:val="Charfffffffa"/>
    <w:qFormat/>
    <w:pPr>
      <w:spacing w:beforeLines="50" w:afterLines="50"/>
      <w:outlineLvl w:val="1"/>
    </w:pPr>
    <w:rPr>
      <w:rFonts w:cs="Arial"/>
      <w:b/>
      <w:bCs/>
      <w:kern w:val="2"/>
      <w:sz w:val="32"/>
      <w:szCs w:val="32"/>
    </w:rPr>
  </w:style>
  <w:style w:type="character" w:customStyle="1" w:styleId="-lsCharChar">
    <w:name w:val="正文-ls Char Char"/>
    <w:link w:val="-ls"/>
    <w:qFormat/>
    <w:rPr>
      <w:rFonts w:hAnsi="宋体"/>
      <w:color w:val="000000"/>
      <w:w w:val="110"/>
      <w:sz w:val="24"/>
    </w:rPr>
  </w:style>
  <w:style w:type="paragraph" w:customStyle="1" w:styleId="-ls">
    <w:name w:val="正文-ls"/>
    <w:basedOn w:val="a6"/>
    <w:link w:val="-lsCharChar"/>
    <w:qFormat/>
    <w:pPr>
      <w:spacing w:line="360" w:lineRule="auto"/>
      <w:ind w:firstLineChars="200" w:firstLine="200"/>
    </w:pPr>
    <w:rPr>
      <w:rFonts w:hAnsi="宋体"/>
      <w:color w:val="000000"/>
      <w:w w:val="110"/>
      <w:kern w:val="0"/>
      <w:sz w:val="24"/>
      <w:szCs w:val="20"/>
    </w:rPr>
  </w:style>
  <w:style w:type="character" w:customStyle="1" w:styleId="Char1fe">
    <w:name w:val="电子邮件签名 Char1"/>
    <w:uiPriority w:val="99"/>
    <w:qFormat/>
    <w:rPr>
      <w:kern w:val="2"/>
      <w:sz w:val="21"/>
      <w:szCs w:val="24"/>
    </w:rPr>
  </w:style>
  <w:style w:type="character" w:customStyle="1" w:styleId="0CharCharCharChar">
    <w:name w:val="样式 居中 首行缩进:  0 字符 Char Char Char Char"/>
    <w:link w:val="00"/>
    <w:qFormat/>
    <w:rPr>
      <w:rFonts w:ascii="宋体" w:hAnsi="宋体"/>
      <w:color w:val="FF0000"/>
      <w:w w:val="110"/>
      <w:sz w:val="18"/>
      <w:szCs w:val="18"/>
    </w:rPr>
  </w:style>
  <w:style w:type="paragraph" w:customStyle="1" w:styleId="00">
    <w:name w:val="样式 居中 首行缩进:  0 字符"/>
    <w:basedOn w:val="a6"/>
    <w:next w:val="a6"/>
    <w:link w:val="0CharCharCharChar"/>
    <w:qFormat/>
    <w:pPr>
      <w:adjustRightInd w:val="0"/>
      <w:snapToGrid w:val="0"/>
      <w:jc w:val="center"/>
    </w:pPr>
    <w:rPr>
      <w:rFonts w:ascii="宋体" w:hAnsi="宋体"/>
      <w:color w:val="FF0000"/>
      <w:w w:val="110"/>
      <w:kern w:val="0"/>
      <w:sz w:val="18"/>
      <w:szCs w:val="18"/>
    </w:rPr>
  </w:style>
  <w:style w:type="character" w:customStyle="1" w:styleId="5Char7">
    <w:name w:val="样式5 Char"/>
    <w:qFormat/>
    <w:rPr>
      <w:rFonts w:eastAsia="仿宋_GB2312"/>
      <w:kern w:val="2"/>
      <w:sz w:val="24"/>
      <w:szCs w:val="24"/>
      <w:lang w:val="en-US" w:eastAsia="zh-CN" w:bidi="ar-SA"/>
    </w:rPr>
  </w:style>
  <w:style w:type="character" w:customStyle="1" w:styleId="Charfffffffb">
    <w:name w:val="表字居中 Char"/>
    <w:link w:val="afffffffffff8"/>
    <w:qFormat/>
    <w:rPr>
      <w:spacing w:val="-4"/>
      <w:sz w:val="21"/>
      <w:szCs w:val="21"/>
    </w:rPr>
  </w:style>
  <w:style w:type="paragraph" w:customStyle="1" w:styleId="afffffffffff8">
    <w:name w:val="表字居中"/>
    <w:basedOn w:val="a6"/>
    <w:link w:val="Charfffffffb"/>
    <w:qFormat/>
    <w:pPr>
      <w:jc w:val="center"/>
    </w:pPr>
    <w:rPr>
      <w:spacing w:val="-4"/>
      <w:kern w:val="0"/>
      <w:szCs w:val="21"/>
    </w:rPr>
  </w:style>
  <w:style w:type="character" w:customStyle="1" w:styleId="11CharChar">
    <w:name w:val="节标题 1.1 Char Char"/>
    <w:qFormat/>
    <w:rPr>
      <w:rFonts w:eastAsia="黑体"/>
      <w:b/>
      <w:kern w:val="30"/>
      <w:sz w:val="28"/>
      <w:szCs w:val="28"/>
      <w:lang w:val="en-US" w:eastAsia="zh-CN" w:bidi="ar-SA"/>
    </w:rPr>
  </w:style>
  <w:style w:type="character" w:customStyle="1" w:styleId="afffffffffff9">
    <w:name w:val="样式 小四"/>
    <w:qFormat/>
    <w:rPr>
      <w:color w:val="000080"/>
      <w:sz w:val="24"/>
    </w:rPr>
  </w:style>
  <w:style w:type="character" w:customStyle="1" w:styleId="postinhd">
    <w:name w:val="post_inhd"/>
    <w:basedOn w:val="a7"/>
    <w:qFormat/>
  </w:style>
  <w:style w:type="character" w:customStyle="1" w:styleId="Char1ff">
    <w:name w:val="表名 Char1"/>
    <w:qFormat/>
    <w:rPr>
      <w:b/>
      <w:spacing w:val="4"/>
      <w:kern w:val="2"/>
      <w:sz w:val="24"/>
    </w:rPr>
  </w:style>
  <w:style w:type="character" w:customStyle="1" w:styleId="grame">
    <w:name w:val="grame"/>
    <w:qFormat/>
  </w:style>
  <w:style w:type="character" w:customStyle="1" w:styleId="CharCharfff7">
    <w:name w:val="表文字 Char Char"/>
    <w:link w:val="afffffffffffa"/>
    <w:qFormat/>
    <w:rPr>
      <w:rFonts w:ascii="Arial" w:hAnsi="Arial" w:cs="Arial"/>
      <w:kern w:val="2"/>
      <w:sz w:val="21"/>
      <w:szCs w:val="22"/>
      <w:lang w:val="en-US" w:eastAsia="zh-CN" w:bidi="ar-SA"/>
    </w:rPr>
  </w:style>
  <w:style w:type="paragraph" w:customStyle="1" w:styleId="afffffffffffa">
    <w:name w:val="表文字"/>
    <w:link w:val="CharCharfff7"/>
    <w:qFormat/>
    <w:pPr>
      <w:spacing w:line="440" w:lineRule="exact"/>
      <w:jc w:val="center"/>
    </w:pPr>
    <w:rPr>
      <w:rFonts w:ascii="Arial" w:hAnsi="Arial" w:cs="Arial"/>
      <w:kern w:val="2"/>
      <w:sz w:val="21"/>
      <w:szCs w:val="22"/>
    </w:rPr>
  </w:style>
  <w:style w:type="character" w:customStyle="1" w:styleId="da1">
    <w:name w:val="da1"/>
    <w:qFormat/>
    <w:rPr>
      <w:rFonts w:hint="default"/>
      <w:color w:val="000000"/>
      <w:sz w:val="21"/>
      <w:szCs w:val="21"/>
      <w:u w:val="none"/>
    </w:rPr>
  </w:style>
  <w:style w:type="character" w:customStyle="1" w:styleId="postbody1">
    <w:name w:val="postbody1"/>
    <w:qFormat/>
    <w:rPr>
      <w:sz w:val="21"/>
      <w:szCs w:val="21"/>
    </w:rPr>
  </w:style>
  <w:style w:type="character" w:customStyle="1" w:styleId="hb3CharChar0">
    <w:name w:val="hb3 Char Char"/>
    <w:qFormat/>
    <w:rPr>
      <w:rFonts w:ascii="宋体" w:eastAsia="宋体" w:hAnsi="宋体"/>
      <w:b/>
      <w:bCs/>
      <w:sz w:val="32"/>
      <w:szCs w:val="32"/>
      <w:lang w:val="en-US" w:eastAsia="zh-CN"/>
    </w:rPr>
  </w:style>
  <w:style w:type="character" w:customStyle="1" w:styleId="01CharChar2">
    <w:name w:val="表格标题01 Char Char2"/>
    <w:qFormat/>
    <w:rPr>
      <w:rFonts w:eastAsia="宋体"/>
      <w:kern w:val="2"/>
      <w:sz w:val="21"/>
      <w:szCs w:val="24"/>
      <w:lang w:val="en-US" w:eastAsia="zh-CN" w:bidi="ar-SA"/>
    </w:rPr>
  </w:style>
  <w:style w:type="character" w:customStyle="1" w:styleId="asg1">
    <w:name w:val="asg1"/>
    <w:qFormat/>
    <w:rPr>
      <w:sz w:val="18"/>
      <w:szCs w:val="18"/>
    </w:rPr>
  </w:style>
  <w:style w:type="character" w:customStyle="1" w:styleId="CharCharfff8">
    <w:name w:val="正文(首行缩进) Char Char"/>
    <w:qFormat/>
    <w:rPr>
      <w:color w:val="000000"/>
      <w:sz w:val="24"/>
    </w:rPr>
  </w:style>
  <w:style w:type="character" w:customStyle="1" w:styleId="f14b">
    <w:name w:val="f14b"/>
    <w:basedOn w:val="a7"/>
    <w:qFormat/>
  </w:style>
  <w:style w:type="character" w:customStyle="1" w:styleId="Charfffffffc">
    <w:name w:val="正正文 Char"/>
    <w:link w:val="afffffffffffb"/>
    <w:qFormat/>
    <w:rPr>
      <w:rFonts w:ascii="宋体" w:hAnsi="宋体"/>
      <w:kern w:val="2"/>
      <w:sz w:val="24"/>
      <w:szCs w:val="24"/>
    </w:rPr>
  </w:style>
  <w:style w:type="paragraph" w:customStyle="1" w:styleId="afffffffffffb">
    <w:name w:val="正正文"/>
    <w:basedOn w:val="a6"/>
    <w:link w:val="Charfffffffc"/>
    <w:qFormat/>
    <w:pPr>
      <w:spacing w:before="240" w:after="120" w:line="360" w:lineRule="auto"/>
      <w:ind w:firstLineChars="200" w:firstLine="480"/>
    </w:pPr>
    <w:rPr>
      <w:rFonts w:ascii="宋体" w:hAnsi="宋体"/>
      <w:sz w:val="24"/>
    </w:rPr>
  </w:style>
  <w:style w:type="character" w:customStyle="1" w:styleId="k1">
    <w:name w:val="k1"/>
    <w:qFormat/>
  </w:style>
  <w:style w:type="character" w:customStyle="1" w:styleId="3H31Char">
    <w:name w:val="样式 标题 3H3 + 黑色1 Char"/>
    <w:link w:val="3H31"/>
    <w:qFormat/>
    <w:rPr>
      <w:b/>
      <w:color w:val="000000"/>
      <w:sz w:val="24"/>
      <w:szCs w:val="24"/>
    </w:rPr>
  </w:style>
  <w:style w:type="paragraph" w:customStyle="1" w:styleId="3H31">
    <w:name w:val="样式 标题 3H3 + 黑色1"/>
    <w:basedOn w:val="33"/>
    <w:link w:val="3H31Char"/>
    <w:qFormat/>
    <w:pPr>
      <w:keepNext w:val="0"/>
      <w:keepLines w:val="0"/>
      <w:tabs>
        <w:tab w:val="left" w:pos="1070"/>
      </w:tabs>
      <w:adjustRightInd w:val="0"/>
      <w:snapToGrid w:val="0"/>
      <w:spacing w:line="460" w:lineRule="exact"/>
      <w:jc w:val="left"/>
    </w:pPr>
    <w:rPr>
      <w:rFonts w:eastAsia="宋体"/>
      <w:b/>
      <w:color w:val="000000"/>
      <w:spacing w:val="0"/>
      <w:kern w:val="0"/>
      <w:sz w:val="24"/>
      <w:szCs w:val="24"/>
    </w:rPr>
  </w:style>
  <w:style w:type="character" w:customStyle="1" w:styleId="about-left1">
    <w:name w:val="about-left1"/>
    <w:qFormat/>
    <w:rPr>
      <w:color w:val="3A3A3A"/>
      <w:spacing w:val="15"/>
      <w:sz w:val="18"/>
      <w:szCs w:val="18"/>
      <w:u w:val="none"/>
    </w:rPr>
  </w:style>
  <w:style w:type="character" w:customStyle="1" w:styleId="textcontents">
    <w:name w:val="textcontents"/>
    <w:basedOn w:val="a7"/>
    <w:qFormat/>
  </w:style>
  <w:style w:type="character" w:customStyle="1" w:styleId="BodyTextFirstIndentCharChar">
    <w:name w:val="Body Text First Indent Char Char"/>
    <w:link w:val="1ff7"/>
    <w:qFormat/>
    <w:rPr>
      <w:sz w:val="24"/>
    </w:rPr>
  </w:style>
  <w:style w:type="paragraph" w:customStyle="1" w:styleId="1ff7">
    <w:name w:val="正文首行缩进1"/>
    <w:basedOn w:val="af8"/>
    <w:link w:val="BodyTextFirstIndentCharChar"/>
    <w:qFormat/>
    <w:pPr>
      <w:ind w:firstLineChars="100" w:firstLine="420"/>
    </w:pPr>
    <w:rPr>
      <w:kern w:val="0"/>
      <w:sz w:val="24"/>
      <w:szCs w:val="20"/>
    </w:rPr>
  </w:style>
  <w:style w:type="character" w:customStyle="1" w:styleId="313Char123453Char2CharChar">
    <w:name w:val="样式 标题 3三级标题三级标题1标题 3 Char1三级标题2三级标题3三级标题4三级标题5标题 3 Char2... Char Char"/>
    <w:link w:val="313Char123453Char2"/>
    <w:qFormat/>
    <w:rPr>
      <w:rFonts w:ascii="黑体" w:eastAsia="黑体"/>
      <w:b/>
      <w:color w:val="000000"/>
      <w:sz w:val="28"/>
    </w:rPr>
  </w:style>
  <w:style w:type="paragraph" w:customStyle="1" w:styleId="313Char123453Char2">
    <w:name w:val="样式 标题 3三级标题三级标题1标题 3 Char1三级标题2三级标题3三级标题4三级标题5标题 3 Char2..."/>
    <w:basedOn w:val="33"/>
    <w:link w:val="313Char123453Char2CharChar"/>
    <w:qFormat/>
    <w:pPr>
      <w:adjustRightInd w:val="0"/>
      <w:spacing w:before="20" w:after="20" w:line="360" w:lineRule="auto"/>
      <w:jc w:val="left"/>
    </w:pPr>
    <w:rPr>
      <w:b/>
      <w:color w:val="000000"/>
      <w:spacing w:val="0"/>
      <w:kern w:val="0"/>
      <w:szCs w:val="20"/>
    </w:rPr>
  </w:style>
  <w:style w:type="character" w:customStyle="1" w:styleId="redfont">
    <w:name w:val="redfont"/>
    <w:qFormat/>
  </w:style>
  <w:style w:type="character" w:customStyle="1" w:styleId="CharCharCharf4">
    <w:name w:val="燕山正文 Char Char Char"/>
    <w:qFormat/>
    <w:rPr>
      <w:rFonts w:ascii="宋体" w:eastAsia="宋体" w:hAnsi="宋体"/>
      <w:color w:val="000000"/>
      <w:kern w:val="2"/>
      <w:sz w:val="24"/>
      <w:szCs w:val="28"/>
      <w:lang w:val="en-US" w:eastAsia="zh-CN" w:bidi="ar-SA"/>
    </w:rPr>
  </w:style>
  <w:style w:type="character" w:customStyle="1" w:styleId="1CharChard">
    <w:name w:val="说明书1 Char Char"/>
    <w:link w:val="1ff8"/>
    <w:qFormat/>
    <w:rPr>
      <w:color w:val="000000"/>
      <w:w w:val="110"/>
      <w:sz w:val="28"/>
    </w:rPr>
  </w:style>
  <w:style w:type="paragraph" w:customStyle="1" w:styleId="1ff8">
    <w:name w:val="说明书1"/>
    <w:basedOn w:val="a6"/>
    <w:link w:val="1CharChard"/>
    <w:qFormat/>
    <w:pPr>
      <w:spacing w:line="520" w:lineRule="exact"/>
      <w:ind w:firstLine="567"/>
    </w:pPr>
    <w:rPr>
      <w:color w:val="000000"/>
      <w:w w:val="110"/>
      <w:kern w:val="0"/>
      <w:sz w:val="28"/>
      <w:szCs w:val="20"/>
    </w:rPr>
  </w:style>
  <w:style w:type="character" w:customStyle="1" w:styleId="HTML12">
    <w:name w:val="HTML 缩写1"/>
    <w:qFormat/>
    <w:rPr>
      <w:rFonts w:ascii="宋体" w:eastAsia="宋体" w:hAnsi="宋体" w:cs="Courier New"/>
      <w:kern w:val="2"/>
      <w:sz w:val="32"/>
      <w:szCs w:val="32"/>
      <w:lang w:val="en-US" w:eastAsia="zh-CN"/>
    </w:rPr>
  </w:style>
  <w:style w:type="character" w:customStyle="1" w:styleId="000CharCharChar">
    <w:name w:val="000 Char Char Char"/>
    <w:qFormat/>
    <w:rPr>
      <w:rFonts w:eastAsia="宋体"/>
      <w:kern w:val="2"/>
      <w:sz w:val="24"/>
      <w:szCs w:val="24"/>
      <w:lang w:val="en-US" w:eastAsia="zh-CN" w:bidi="ar-SA"/>
    </w:rPr>
  </w:style>
  <w:style w:type="character" w:customStyle="1" w:styleId="yypCharChar">
    <w:name w:val="yyp Char Char"/>
    <w:qFormat/>
    <w:rPr>
      <w:kern w:val="2"/>
      <w:sz w:val="24"/>
      <w:szCs w:val="24"/>
    </w:rPr>
  </w:style>
  <w:style w:type="character" w:customStyle="1" w:styleId="main1">
    <w:name w:val="main1"/>
    <w:qFormat/>
    <w:rPr>
      <w:color w:val="333333"/>
      <w:sz w:val="18"/>
      <w:szCs w:val="18"/>
    </w:rPr>
  </w:style>
  <w:style w:type="character" w:customStyle="1" w:styleId="xl34Char">
    <w:name w:val="xl34 Char"/>
    <w:qFormat/>
    <w:rPr>
      <w:rFonts w:ascii="Arial Unicode MS" w:eastAsia="Arial Unicode MS" w:hAnsi="Arial Unicode MS"/>
      <w:sz w:val="21"/>
      <w:szCs w:val="21"/>
      <w:lang w:val="en-US" w:eastAsia="zh-CN" w:bidi="ar-SA"/>
    </w:rPr>
  </w:style>
  <w:style w:type="character" w:customStyle="1" w:styleId="A--Char">
    <w:name w:val="A-题注-表 Char"/>
    <w:link w:val="A--"/>
    <w:qFormat/>
    <w:rPr>
      <w:rFonts w:cs="Arial"/>
      <w:b/>
      <w:kern w:val="2"/>
      <w:sz w:val="24"/>
    </w:rPr>
  </w:style>
  <w:style w:type="paragraph" w:customStyle="1" w:styleId="A--">
    <w:name w:val="A-题注-表"/>
    <w:basedOn w:val="af1"/>
    <w:link w:val="A--Char"/>
    <w:qFormat/>
    <w:pPr>
      <w:widowControl w:val="0"/>
      <w:spacing w:line="360" w:lineRule="auto"/>
      <w:ind w:firstLineChars="0" w:firstLine="0"/>
      <w:jc w:val="center"/>
    </w:pPr>
    <w:rPr>
      <w:szCs w:val="20"/>
    </w:rPr>
  </w:style>
  <w:style w:type="character" w:customStyle="1" w:styleId="JWJChar">
    <w:name w:val="正文JWJ Char"/>
    <w:link w:val="JWJ"/>
    <w:qFormat/>
    <w:rPr>
      <w:sz w:val="24"/>
      <w:szCs w:val="24"/>
    </w:rPr>
  </w:style>
  <w:style w:type="paragraph" w:customStyle="1" w:styleId="JWJ">
    <w:name w:val="正文JWJ"/>
    <w:basedOn w:val="a6"/>
    <w:link w:val="JWJChar"/>
    <w:qFormat/>
    <w:pPr>
      <w:spacing w:line="360" w:lineRule="auto"/>
      <w:ind w:firstLineChars="200" w:firstLine="480"/>
    </w:pPr>
    <w:rPr>
      <w:kern w:val="0"/>
      <w:sz w:val="24"/>
    </w:rPr>
  </w:style>
  <w:style w:type="character" w:customStyle="1" w:styleId="CharChar251">
    <w:name w:val="Char Char251"/>
    <w:qFormat/>
    <w:rPr>
      <w:rFonts w:eastAsia="宋体"/>
      <w:b/>
      <w:bCs/>
      <w:kern w:val="44"/>
      <w:sz w:val="44"/>
      <w:szCs w:val="44"/>
      <w:lang w:val="en-US" w:eastAsia="zh-CN" w:bidi="ar-SA"/>
    </w:rPr>
  </w:style>
  <w:style w:type="character" w:customStyle="1" w:styleId="1CharChare">
    <w:name w:val="正 文 1 Char Char"/>
    <w:qFormat/>
    <w:rPr>
      <w:rFonts w:ascii="宋体" w:eastAsia="宋体" w:hAnsi="Courier New"/>
      <w:kern w:val="2"/>
      <w:sz w:val="21"/>
      <w:lang w:val="en-US" w:eastAsia="zh-CN" w:bidi="ar-SA"/>
    </w:rPr>
  </w:style>
  <w:style w:type="character" w:customStyle="1" w:styleId="-4CharCharCharCharCharChar">
    <w:name w:val="正文-宋4 Char Char Char Char Char Char"/>
    <w:qFormat/>
    <w:rPr>
      <w:rFonts w:ascii="宋体" w:eastAsia="宋体" w:hAnsi="宋体"/>
      <w:spacing w:val="20"/>
      <w:kern w:val="2"/>
      <w:sz w:val="28"/>
      <w:lang w:val="en-US" w:eastAsia="zh-CN"/>
    </w:rPr>
  </w:style>
  <w:style w:type="character" w:customStyle="1" w:styleId="GB231220">
    <w:name w:val="样式 仿宋_GB2312 小四2"/>
    <w:qFormat/>
    <w:rPr>
      <w:rFonts w:ascii="Times New Roman" w:eastAsia="仿宋_GB2312" w:hAnsi="Times New Roman" w:cs="Courier New"/>
      <w:kern w:val="2"/>
      <w:sz w:val="24"/>
      <w:szCs w:val="24"/>
      <w:lang w:val="en-US" w:eastAsia="zh-CN" w:bidi="ar-SA"/>
    </w:rPr>
  </w:style>
  <w:style w:type="character" w:customStyle="1" w:styleId="Char37">
    <w:name w:val="称呼 Char3"/>
    <w:basedOn w:val="a7"/>
    <w:uiPriority w:val="99"/>
    <w:semiHidden/>
    <w:qFormat/>
  </w:style>
  <w:style w:type="character" w:customStyle="1" w:styleId="123YJCharChar">
    <w:name w:val="123YJ Char Char"/>
    <w:qFormat/>
    <w:rPr>
      <w:rFonts w:eastAsia="宋体"/>
      <w:kern w:val="2"/>
      <w:sz w:val="18"/>
      <w:szCs w:val="18"/>
      <w:lang w:val="en-US" w:eastAsia="zh-CN" w:bidi="ar-SA"/>
    </w:rPr>
  </w:style>
  <w:style w:type="character" w:customStyle="1" w:styleId="Document5">
    <w:name w:val="Document 5"/>
    <w:qFormat/>
  </w:style>
  <w:style w:type="character" w:customStyle="1" w:styleId="5CharChar3">
    <w:name w:val="样式5 Char Char"/>
    <w:qFormat/>
  </w:style>
  <w:style w:type="character" w:customStyle="1" w:styleId="Technical2">
    <w:name w:val="Technical 2"/>
    <w:qFormat/>
    <w:rPr>
      <w:rFonts w:ascii="Courier" w:hAnsi="Courier"/>
      <w:sz w:val="24"/>
      <w:lang w:val="en-US"/>
    </w:rPr>
  </w:style>
  <w:style w:type="character" w:customStyle="1" w:styleId="CharChar17">
    <w:name w:val="Char Char17"/>
    <w:qFormat/>
    <w:rPr>
      <w:kern w:val="2"/>
      <w:sz w:val="21"/>
      <w:szCs w:val="24"/>
      <w:shd w:val="clear" w:color="auto" w:fill="000080"/>
    </w:rPr>
  </w:style>
  <w:style w:type="character" w:customStyle="1" w:styleId="Charfffffffd">
    <w:name w:val="第一级标题 Char"/>
    <w:link w:val="afffffffffffc"/>
    <w:qFormat/>
    <w:rPr>
      <w:rFonts w:eastAsia="黑体"/>
      <w:kern w:val="2"/>
      <w:sz w:val="24"/>
      <w:szCs w:val="24"/>
    </w:rPr>
  </w:style>
  <w:style w:type="paragraph" w:customStyle="1" w:styleId="afffffffffffc">
    <w:name w:val="第一级标题"/>
    <w:basedOn w:val="a6"/>
    <w:next w:val="26"/>
    <w:link w:val="Charfffffffd"/>
    <w:qFormat/>
    <w:pPr>
      <w:widowControl/>
      <w:ind w:left="425" w:hanging="425"/>
      <w:jc w:val="left"/>
      <w:outlineLvl w:val="0"/>
    </w:pPr>
    <w:rPr>
      <w:rFonts w:eastAsia="黑体"/>
      <w:sz w:val="24"/>
    </w:rPr>
  </w:style>
  <w:style w:type="character" w:customStyle="1" w:styleId="CharCharCharf5">
    <w:name w:val="表头标题 Char Char Char"/>
    <w:qFormat/>
    <w:rPr>
      <w:rFonts w:ascii="黑体" w:eastAsia="黑体" w:hAnsi="Times New Roman" w:cs="Times New Roman"/>
      <w:bCs/>
      <w:color w:val="FF0000"/>
      <w:szCs w:val="21"/>
      <w:lang w:val="zh-CN"/>
    </w:rPr>
  </w:style>
  <w:style w:type="character" w:customStyle="1" w:styleId="1Charc">
    <w:name w:val="项标题(1) Char"/>
    <w:qFormat/>
    <w:rPr>
      <w:rFonts w:ascii="Times New Roman" w:hAnsi="Times New Roman"/>
      <w:b/>
      <w:bCs/>
      <w:kern w:val="2"/>
      <w:sz w:val="24"/>
      <w:szCs w:val="24"/>
    </w:rPr>
  </w:style>
  <w:style w:type="character" w:customStyle="1" w:styleId="Char1ff0">
    <w:name w:val="信息标题 Char1"/>
    <w:uiPriority w:val="99"/>
    <w:qFormat/>
    <w:rPr>
      <w:rFonts w:ascii="Cambria" w:eastAsia="宋体" w:hAnsi="Cambria" w:cs="黑体"/>
      <w:kern w:val="2"/>
      <w:sz w:val="24"/>
      <w:szCs w:val="24"/>
      <w:shd w:val="pct20" w:color="auto" w:fill="auto"/>
    </w:rPr>
  </w:style>
  <w:style w:type="character" w:customStyle="1" w:styleId="Char41">
    <w:name w:val="批注主题 Char4"/>
    <w:qFormat/>
    <w:rPr>
      <w:b/>
      <w:bCs/>
      <w:kern w:val="2"/>
      <w:sz w:val="24"/>
      <w:szCs w:val="24"/>
    </w:rPr>
  </w:style>
  <w:style w:type="character" w:customStyle="1" w:styleId="p141">
    <w:name w:val="p141"/>
    <w:qFormat/>
    <w:rPr>
      <w:color w:val="000000"/>
      <w:sz w:val="21"/>
      <w:szCs w:val="21"/>
    </w:rPr>
  </w:style>
  <w:style w:type="character" w:customStyle="1" w:styleId="EmailStyle543">
    <w:name w:val="EmailStyle543"/>
    <w:qFormat/>
    <w:rPr>
      <w:rFonts w:ascii="Arial" w:eastAsia="宋体" w:hAnsi="Arial" w:cs="Arial"/>
      <w:color w:val="auto"/>
      <w:sz w:val="20"/>
    </w:rPr>
  </w:style>
  <w:style w:type="character" w:customStyle="1" w:styleId="2H211lxb211h2CharCharChar0">
    <w:name w:val="样式 样式 标题 2节H2节标题 1.1二级标题标题 lxb21.1h2第一层条二级标题 Char表标题单位名... + 宋体... Char Char"/>
    <w:qFormat/>
    <w:rPr>
      <w:rFonts w:ascii="宋体" w:eastAsia="宋体" w:hAnsi="宋体"/>
      <w:bCs/>
      <w:color w:val="000000"/>
      <w:kern w:val="2"/>
      <w:sz w:val="24"/>
      <w:szCs w:val="32"/>
    </w:rPr>
  </w:style>
  <w:style w:type="character" w:customStyle="1" w:styleId="123Char0">
    <w:name w:val="123 Char"/>
    <w:link w:val="1230"/>
    <w:qFormat/>
    <w:rPr>
      <w:sz w:val="21"/>
      <w:szCs w:val="18"/>
    </w:rPr>
  </w:style>
  <w:style w:type="paragraph" w:customStyle="1" w:styleId="1230">
    <w:name w:val="123"/>
    <w:basedOn w:val="aff0"/>
    <w:link w:val="123Char0"/>
    <w:qFormat/>
    <w:pPr>
      <w:tabs>
        <w:tab w:val="clear" w:pos="4153"/>
        <w:tab w:val="clear" w:pos="9214"/>
        <w:tab w:val="left" w:pos="3780"/>
      </w:tabs>
      <w:adjustRightInd/>
      <w:snapToGrid/>
      <w:spacing w:beforeLines="50" w:line="220" w:lineRule="exact"/>
      <w:jc w:val="center"/>
    </w:pPr>
    <w:rPr>
      <w:rFonts w:ascii="Times New Roman" w:eastAsia="宋体" w:hAnsi="Times New Roman"/>
      <w:b w:val="0"/>
      <w:kern w:val="0"/>
      <w:sz w:val="21"/>
    </w:rPr>
  </w:style>
  <w:style w:type="character" w:customStyle="1" w:styleId="dxjChar0">
    <w:name w:val="dxj正文 Char"/>
    <w:link w:val="dxj0"/>
    <w:qFormat/>
    <w:locked/>
    <w:rPr>
      <w:sz w:val="24"/>
      <w:szCs w:val="24"/>
    </w:rPr>
  </w:style>
  <w:style w:type="paragraph" w:customStyle="1" w:styleId="dxj0">
    <w:name w:val="dxj正文"/>
    <w:basedOn w:val="a6"/>
    <w:link w:val="dxjChar0"/>
    <w:qFormat/>
    <w:pPr>
      <w:spacing w:line="360" w:lineRule="auto"/>
      <w:ind w:firstLineChars="200" w:firstLine="200"/>
    </w:pPr>
    <w:rPr>
      <w:kern w:val="0"/>
      <w:sz w:val="24"/>
    </w:rPr>
  </w:style>
  <w:style w:type="character" w:customStyle="1" w:styleId="2CharCharChar0">
    <w:name w:val="表格文字2 Char Char Char"/>
    <w:qFormat/>
    <w:rPr>
      <w:rFonts w:eastAsia="宋体"/>
      <w:sz w:val="21"/>
      <w:szCs w:val="21"/>
      <w:lang w:val="en-US" w:eastAsia="zh-CN" w:bidi="ar-SA"/>
    </w:rPr>
  </w:style>
  <w:style w:type="character" w:customStyle="1" w:styleId="CharCharCharCharCharCharCharCharCharCharCharCharCharChar">
    <w:name w:val="普通文字 Char Char Char Char Char Char Char Char Char Char Char Char Char Char"/>
    <w:qFormat/>
    <w:rPr>
      <w:rFonts w:ascii="宋体" w:eastAsia="宋体" w:hAnsi="Courier New" w:cs="Courier New"/>
      <w:kern w:val="2"/>
      <w:sz w:val="21"/>
      <w:szCs w:val="21"/>
      <w:lang w:val="en-US" w:eastAsia="zh-CN" w:bidi="ar-SA"/>
    </w:rPr>
  </w:style>
  <w:style w:type="character" w:customStyle="1" w:styleId="px14">
    <w:name w:val="px14"/>
    <w:qFormat/>
  </w:style>
  <w:style w:type="character" w:customStyle="1" w:styleId="Char1ff1">
    <w:name w:val="正文(首行缩进)宋旭峰 Char1"/>
    <w:qFormat/>
    <w:rPr>
      <w:rFonts w:eastAsia="宋体" w:cs="TimesNewRomanPSMT"/>
      <w:snapToGrid/>
      <w:kern w:val="2"/>
      <w:sz w:val="24"/>
      <w:szCs w:val="24"/>
      <w:lang w:val="en-US" w:eastAsia="zh-CN" w:bidi="ar-SA"/>
    </w:rPr>
  </w:style>
  <w:style w:type="character" w:customStyle="1" w:styleId="CharCharCharCharCharChar0">
    <w:name w:val="正文(首行缩进) Char Char Char Char Char Char"/>
    <w:qFormat/>
    <w:rPr>
      <w:rFonts w:eastAsia="宋体"/>
      <w:snapToGrid w:val="0"/>
      <w:color w:val="000000"/>
      <w:sz w:val="24"/>
      <w:szCs w:val="24"/>
      <w:lang w:val="en-US" w:eastAsia="zh-CN" w:bidi="ar-SA"/>
    </w:rPr>
  </w:style>
  <w:style w:type="character" w:customStyle="1" w:styleId="afffffffffffd">
    <w:name w:val="样式 宋体 四号"/>
    <w:qFormat/>
    <w:rPr>
      <w:rFonts w:ascii="宋体" w:hAnsi="宋体"/>
      <w:sz w:val="28"/>
      <w:szCs w:val="28"/>
    </w:rPr>
  </w:style>
  <w:style w:type="character" w:customStyle="1" w:styleId="longtext1">
    <w:name w:val="long_text1"/>
    <w:qFormat/>
    <w:rPr>
      <w:sz w:val="18"/>
    </w:rPr>
  </w:style>
  <w:style w:type="character" w:customStyle="1" w:styleId="afffffffffffe">
    <w:name w:val="样式 黑体 小四"/>
    <w:qFormat/>
    <w:rPr>
      <w:rFonts w:ascii="黑体" w:eastAsia="黑体" w:hAnsi="黑体"/>
      <w:sz w:val="24"/>
    </w:rPr>
  </w:style>
  <w:style w:type="character" w:customStyle="1" w:styleId="HTML13">
    <w:name w:val="HTML 键盘1"/>
    <w:qFormat/>
    <w:rPr>
      <w:rFonts w:ascii="Courier New" w:eastAsia="宋体" w:hAnsi="Courier New" w:cs="Courier New"/>
      <w:kern w:val="2"/>
      <w:sz w:val="20"/>
      <w:szCs w:val="20"/>
      <w:lang w:val="en-US" w:eastAsia="zh-CN"/>
    </w:rPr>
  </w:style>
  <w:style w:type="character" w:customStyle="1" w:styleId="1CharCharf">
    <w:name w:val="段落1 Char Char"/>
    <w:qFormat/>
    <w:rPr>
      <w:rFonts w:eastAsia="宋体" w:hAnsi="宋体"/>
      <w:sz w:val="24"/>
      <w:szCs w:val="24"/>
      <w:lang w:val="en-US" w:eastAsia="zh-CN" w:bidi="ar-SA"/>
    </w:rPr>
  </w:style>
  <w:style w:type="character" w:customStyle="1" w:styleId="affffffffffff">
    <w:name w:val="二级丹"/>
    <w:qFormat/>
    <w:rPr>
      <w:rFonts w:eastAsia="黑体"/>
      <w:b/>
      <w:bCs/>
      <w:sz w:val="30"/>
    </w:rPr>
  </w:style>
  <w:style w:type="character" w:customStyle="1" w:styleId="01CharChar0">
    <w:name w:val="正文_01 Char Char"/>
    <w:link w:val="010"/>
    <w:qFormat/>
    <w:rPr>
      <w:rFonts w:ascii="宋体" w:hAnsi="宋体"/>
      <w:sz w:val="28"/>
      <w:lang w:val="en-US" w:eastAsia="zh-CN" w:bidi="ar-SA"/>
    </w:rPr>
  </w:style>
  <w:style w:type="paragraph" w:customStyle="1" w:styleId="010">
    <w:name w:val="正文_01"/>
    <w:link w:val="01CharChar0"/>
    <w:qFormat/>
    <w:pPr>
      <w:widowControl w:val="0"/>
      <w:spacing w:line="360" w:lineRule="auto"/>
      <w:ind w:firstLineChars="200" w:firstLine="560"/>
      <w:textAlignment w:val="center"/>
    </w:pPr>
    <w:rPr>
      <w:rFonts w:ascii="宋体" w:hAnsi="宋体"/>
      <w:sz w:val="28"/>
    </w:rPr>
  </w:style>
  <w:style w:type="character" w:customStyle="1" w:styleId="00CharChar">
    <w:name w:val="页眉00 Char Char"/>
    <w:qFormat/>
    <w:rPr>
      <w:rFonts w:eastAsia="宋体"/>
      <w:kern w:val="2"/>
      <w:sz w:val="18"/>
      <w:szCs w:val="18"/>
      <w:lang w:val="en-US" w:eastAsia="zh-CN" w:bidi="ar-SA"/>
    </w:rPr>
  </w:style>
  <w:style w:type="character" w:customStyle="1" w:styleId="TTTCharChar">
    <w:name w:val="TTT Char Char"/>
    <w:link w:val="TTT"/>
    <w:qFormat/>
    <w:rPr>
      <w:b/>
      <w:sz w:val="24"/>
      <w:szCs w:val="24"/>
    </w:rPr>
  </w:style>
  <w:style w:type="paragraph" w:customStyle="1" w:styleId="TTT">
    <w:name w:val="TTT"/>
    <w:basedOn w:val="a6"/>
    <w:link w:val="TTTCharChar"/>
    <w:qFormat/>
    <w:pPr>
      <w:tabs>
        <w:tab w:val="left" w:pos="480"/>
      </w:tabs>
      <w:spacing w:line="360" w:lineRule="auto"/>
      <w:ind w:firstLineChars="200" w:firstLine="200"/>
    </w:pPr>
    <w:rPr>
      <w:b/>
      <w:kern w:val="0"/>
      <w:sz w:val="24"/>
    </w:rPr>
  </w:style>
  <w:style w:type="character" w:customStyle="1" w:styleId="GB23127">
    <w:name w:val="样式 仿宋_GB2312"/>
    <w:qFormat/>
    <w:rPr>
      <w:rFonts w:ascii="仿宋_GB2312" w:eastAsia="仿宋_GB2312"/>
      <w:kern w:val="0"/>
    </w:rPr>
  </w:style>
  <w:style w:type="character" w:customStyle="1" w:styleId="15CharChar0">
    <w:name w:val="文本框五号1.5倍行距 Char Char"/>
    <w:qFormat/>
    <w:rPr>
      <w:rFonts w:ascii="宋体" w:eastAsia="仿宋_GB2312" w:hAnsi="宋体" w:cs="Courier New"/>
      <w:kern w:val="2"/>
      <w:sz w:val="21"/>
      <w:szCs w:val="21"/>
      <w:lang w:val="en-US" w:eastAsia="zh-CN" w:bidi="ar-SA"/>
    </w:rPr>
  </w:style>
  <w:style w:type="character" w:customStyle="1" w:styleId="212">
    <w:name w:val="标题21"/>
    <w:qFormat/>
  </w:style>
  <w:style w:type="character" w:customStyle="1" w:styleId="wbz2">
    <w:name w:val="wbz2"/>
    <w:qFormat/>
    <w:rPr>
      <w:rFonts w:hint="default"/>
      <w:color w:val="000000"/>
      <w:spacing w:val="0"/>
      <w:sz w:val="18"/>
      <w:szCs w:val="18"/>
      <w:u w:val="none"/>
    </w:rPr>
  </w:style>
  <w:style w:type="character" w:customStyle="1" w:styleId="dandan6-132CharCharChar">
    <w:name w:val="dandan6-13标题2 Char Char Char"/>
    <w:qFormat/>
    <w:rPr>
      <w:rFonts w:eastAsia="黑体"/>
      <w:b/>
      <w:sz w:val="30"/>
      <w:szCs w:val="32"/>
      <w:lang w:val="en-US" w:eastAsia="zh-CN" w:bidi="ar-SA"/>
    </w:rPr>
  </w:style>
  <w:style w:type="character" w:customStyle="1" w:styleId="Charfffffffe">
    <w:name w:val="样式 题注 + 黑体 小四 加粗 Char"/>
    <w:link w:val="affffffffffff0"/>
    <w:qFormat/>
    <w:rPr>
      <w:rFonts w:ascii="黑体" w:eastAsia="黑体" w:hAnsi="黑体"/>
      <w:b/>
      <w:bCs/>
      <w:kern w:val="2"/>
      <w:sz w:val="24"/>
    </w:rPr>
  </w:style>
  <w:style w:type="paragraph" w:customStyle="1" w:styleId="affffffffffff0">
    <w:name w:val="样式 题注 + 黑体 小四 加粗"/>
    <w:basedOn w:val="af1"/>
    <w:link w:val="Charfffffffe"/>
    <w:qFormat/>
    <w:pPr>
      <w:widowControl w:val="0"/>
      <w:ind w:firstLineChars="0" w:firstLine="0"/>
      <w:jc w:val="center"/>
    </w:pPr>
    <w:rPr>
      <w:rFonts w:ascii="黑体" w:eastAsia="黑体" w:hAnsi="黑体"/>
      <w:bCs/>
      <w:szCs w:val="20"/>
    </w:rPr>
  </w:style>
  <w:style w:type="character" w:customStyle="1" w:styleId="01CharChar1">
    <w:name w:val="表格标题01 Char Char1"/>
    <w:qFormat/>
    <w:rPr>
      <w:rFonts w:eastAsia="宋体"/>
      <w:sz w:val="28"/>
      <w:lang w:val="en-US" w:eastAsia="zh-CN" w:bidi="ar-SA"/>
    </w:rPr>
  </w:style>
  <w:style w:type="character" w:customStyle="1" w:styleId="CharCharCharCharCharCharCharCharCharCharCharCharCharCharCharCharCharCharChar">
    <w:name w:val="普通文字 Char Char Char Char Char Char Char Char Char Char Char Char Char Char Char Char Char Char Char"/>
    <w:qFormat/>
    <w:rPr>
      <w:rFonts w:ascii="宋体" w:eastAsia="仿宋_GB2312" w:hAnsi="Courier New"/>
      <w:kern w:val="2"/>
      <w:sz w:val="28"/>
      <w:lang w:val="en-US" w:eastAsia="zh-CN" w:bidi="ar-SA"/>
    </w:rPr>
  </w:style>
  <w:style w:type="character" w:customStyle="1" w:styleId="Char38">
    <w:name w:val="批注文字 Char3"/>
    <w:qFormat/>
    <w:rPr>
      <w:kern w:val="2"/>
      <w:sz w:val="24"/>
      <w:szCs w:val="24"/>
    </w:rPr>
  </w:style>
  <w:style w:type="character" w:customStyle="1" w:styleId="Charffffffff">
    <w:name w:val="设计正文 Char"/>
    <w:link w:val="affffffffffff1"/>
    <w:qFormat/>
    <w:rPr>
      <w:bCs/>
      <w:color w:val="000000"/>
      <w:spacing w:val="-4"/>
      <w:kern w:val="2"/>
      <w:sz w:val="24"/>
      <w:szCs w:val="24"/>
    </w:rPr>
  </w:style>
  <w:style w:type="paragraph" w:customStyle="1" w:styleId="affffffffffff1">
    <w:name w:val="设计正文"/>
    <w:basedOn w:val="af0"/>
    <w:link w:val="Charffffffff"/>
    <w:qFormat/>
    <w:pPr>
      <w:adjustRightInd/>
      <w:ind w:firstLineChars="200" w:firstLine="464"/>
      <w:jc w:val="both"/>
      <w:textAlignment w:val="auto"/>
    </w:pPr>
    <w:rPr>
      <w:rFonts w:ascii="Times New Roman" w:hAnsi="Times New Roman"/>
      <w:bCs/>
      <w:color w:val="000000"/>
      <w:spacing w:val="-4"/>
      <w:kern w:val="2"/>
      <w:szCs w:val="24"/>
    </w:rPr>
  </w:style>
  <w:style w:type="character" w:customStyle="1" w:styleId="CharCharCharCharCharChar1">
    <w:name w:val="表头 Char Char Char Char Char Char"/>
    <w:link w:val="CharCharCharCharChar3"/>
    <w:qFormat/>
    <w:rPr>
      <w:rFonts w:ascii="宋体" w:hAnsi="宋体"/>
      <w:b/>
      <w:bCs/>
      <w:kern w:val="32"/>
      <w:sz w:val="24"/>
      <w:szCs w:val="28"/>
    </w:rPr>
  </w:style>
  <w:style w:type="paragraph" w:customStyle="1" w:styleId="CharCharCharCharChar3">
    <w:name w:val="表头 Char Char Char Char Char"/>
    <w:next w:val="a6"/>
    <w:link w:val="CharCharCharCharCharChar1"/>
    <w:qFormat/>
    <w:pPr>
      <w:spacing w:before="240" w:after="240"/>
      <w:jc w:val="center"/>
    </w:pPr>
    <w:rPr>
      <w:b/>
      <w:bCs/>
      <w:kern w:val="32"/>
      <w:sz w:val="24"/>
    </w:rPr>
  </w:style>
  <w:style w:type="paragraph" w:customStyle="1" w:styleId="affffffffffff2">
    <w:name w:val="文本"/>
    <w:basedOn w:val="a6"/>
    <w:qFormat/>
    <w:pPr>
      <w:adjustRightInd w:val="0"/>
      <w:snapToGrid w:val="0"/>
      <w:spacing w:line="500" w:lineRule="exact"/>
      <w:ind w:firstLineChars="200" w:firstLine="560"/>
      <w:jc w:val="left"/>
    </w:pPr>
    <w:rPr>
      <w:rFonts w:ascii="宋体" w:eastAsia="汉鼎简书宋" w:hAnsi="宋体" w:cs="宋体"/>
      <w:sz w:val="28"/>
      <w:szCs w:val="28"/>
    </w:rPr>
  </w:style>
  <w:style w:type="character" w:customStyle="1" w:styleId="2TimesNewRomanChar0">
    <w:name w:val="正文首行缩进 2 + Times New Roman Char"/>
    <w:link w:val="2TimesNewRoman0"/>
    <w:qFormat/>
    <w:rPr>
      <w:rFonts w:ascii="宋体"/>
      <w:sz w:val="24"/>
    </w:rPr>
  </w:style>
  <w:style w:type="paragraph" w:customStyle="1" w:styleId="2TimesNewRoman0">
    <w:name w:val="正文首行缩进 2 + Times New Roman"/>
    <w:basedOn w:val="a6"/>
    <w:link w:val="2TimesNewRomanChar0"/>
    <w:qFormat/>
    <w:pPr>
      <w:tabs>
        <w:tab w:val="left" w:pos="0"/>
        <w:tab w:val="left" w:pos="870"/>
        <w:tab w:val="left" w:pos="3150"/>
      </w:tabs>
      <w:autoSpaceDE w:val="0"/>
      <w:autoSpaceDN w:val="0"/>
      <w:spacing w:line="360" w:lineRule="auto"/>
      <w:ind w:firstLine="480"/>
      <w:jc w:val="left"/>
    </w:pPr>
    <w:rPr>
      <w:rFonts w:ascii="宋体"/>
      <w:kern w:val="0"/>
      <w:sz w:val="24"/>
      <w:szCs w:val="20"/>
    </w:rPr>
  </w:style>
  <w:style w:type="character" w:customStyle="1" w:styleId="Charffffffff0">
    <w:name w:val="我的正文 Char"/>
    <w:link w:val="affffffffffff3"/>
    <w:qFormat/>
    <w:rPr>
      <w:color w:val="000000"/>
      <w:kern w:val="2"/>
      <w:sz w:val="24"/>
      <w:szCs w:val="24"/>
    </w:rPr>
  </w:style>
  <w:style w:type="paragraph" w:customStyle="1" w:styleId="affffffffffff3">
    <w:name w:val="我的正文"/>
    <w:basedOn w:val="a6"/>
    <w:link w:val="Charffffffff0"/>
    <w:qFormat/>
    <w:pPr>
      <w:spacing w:line="480" w:lineRule="auto"/>
      <w:ind w:firstLineChars="200" w:firstLine="480"/>
    </w:pPr>
    <w:rPr>
      <w:color w:val="000000"/>
      <w:sz w:val="24"/>
    </w:rPr>
  </w:style>
  <w:style w:type="character" w:customStyle="1" w:styleId="HTML14">
    <w:name w:val="HTML 引文1"/>
    <w:qFormat/>
    <w:rPr>
      <w:rFonts w:ascii="宋体" w:eastAsia="宋体" w:hAnsi="宋体" w:cs="Courier New"/>
      <w:i/>
      <w:iCs/>
      <w:kern w:val="2"/>
      <w:sz w:val="32"/>
      <w:szCs w:val="32"/>
      <w:lang w:val="en-US" w:eastAsia="zh-CN"/>
    </w:rPr>
  </w:style>
  <w:style w:type="character" w:customStyle="1" w:styleId="CharCharfff9">
    <w:name w:val="表格名称 Char Char"/>
    <w:link w:val="affffffffffff4"/>
    <w:qFormat/>
    <w:rPr>
      <w:rFonts w:ascii="宋体"/>
      <w:kern w:val="2"/>
      <w:sz w:val="28"/>
      <w:szCs w:val="28"/>
    </w:rPr>
  </w:style>
  <w:style w:type="paragraph" w:customStyle="1" w:styleId="affffffffffff4">
    <w:name w:val="表格名称"/>
    <w:basedOn w:val="a6"/>
    <w:next w:val="a6"/>
    <w:link w:val="CharCharfff9"/>
    <w:qFormat/>
    <w:pPr>
      <w:jc w:val="center"/>
    </w:pPr>
    <w:rPr>
      <w:rFonts w:ascii="宋体"/>
      <w:sz w:val="28"/>
      <w:szCs w:val="28"/>
    </w:rPr>
  </w:style>
  <w:style w:type="character" w:customStyle="1" w:styleId="NormalChar">
    <w:name w:val="Normal Char"/>
    <w:link w:val="1ff9"/>
    <w:qFormat/>
    <w:rPr>
      <w:kern w:val="2"/>
      <w:sz w:val="21"/>
      <w:szCs w:val="24"/>
    </w:rPr>
  </w:style>
  <w:style w:type="paragraph" w:customStyle="1" w:styleId="1ff9">
    <w:name w:val="正文1"/>
    <w:basedOn w:val="a6"/>
    <w:link w:val="NormalChar"/>
    <w:qFormat/>
    <w:pPr>
      <w:jc w:val="center"/>
    </w:pPr>
  </w:style>
  <w:style w:type="character" w:customStyle="1" w:styleId="dan7-1CharChar">
    <w:name w:val="dan7-1 Char Char"/>
    <w:link w:val="dan7-1"/>
    <w:qFormat/>
    <w:rPr>
      <w:kern w:val="2"/>
      <w:sz w:val="24"/>
    </w:rPr>
  </w:style>
  <w:style w:type="paragraph" w:customStyle="1" w:styleId="dan7-1">
    <w:name w:val="dan7-1"/>
    <w:basedOn w:val="a6"/>
    <w:link w:val="dan7-1CharChar"/>
    <w:qFormat/>
    <w:pPr>
      <w:spacing w:before="40" w:after="40" w:line="360" w:lineRule="auto"/>
      <w:ind w:firstLineChars="200" w:firstLine="200"/>
    </w:pPr>
    <w:rPr>
      <w:sz w:val="24"/>
      <w:szCs w:val="20"/>
    </w:rPr>
  </w:style>
  <w:style w:type="character" w:customStyle="1" w:styleId="-2CharChar">
    <w:name w:val="样式 正文首行缩进可研-正文首行缩进 + 首行缩进:  2 字符 Char Char"/>
    <w:link w:val="-21"/>
    <w:qFormat/>
    <w:rPr>
      <w:rFonts w:ascii="宋体" w:hAnsi="宋体"/>
      <w:color w:val="000000"/>
      <w:w w:val="110"/>
      <w:kern w:val="2"/>
      <w:sz w:val="28"/>
    </w:rPr>
  </w:style>
  <w:style w:type="paragraph" w:customStyle="1" w:styleId="-21">
    <w:name w:val="样式 正文首行缩进可研-正文首行缩进 + 首行缩进:  2 字符"/>
    <w:basedOn w:val="affc"/>
    <w:link w:val="-2CharChar"/>
    <w:qFormat/>
    <w:pPr>
      <w:keepNext/>
      <w:tabs>
        <w:tab w:val="left" w:pos="628"/>
        <w:tab w:val="left" w:pos="1727"/>
        <w:tab w:val="left" w:pos="1884"/>
        <w:tab w:val="left" w:pos="4900"/>
      </w:tabs>
      <w:snapToGrid w:val="0"/>
      <w:spacing w:line="360" w:lineRule="auto"/>
      <w:ind w:firstLine="560"/>
      <w:jc w:val="left"/>
    </w:pPr>
    <w:rPr>
      <w:bCs w:val="0"/>
      <w:color w:val="000000"/>
      <w:spacing w:val="0"/>
      <w:w w:val="110"/>
      <w:kern w:val="2"/>
      <w:sz w:val="28"/>
      <w:szCs w:val="20"/>
    </w:rPr>
  </w:style>
  <w:style w:type="character" w:customStyle="1" w:styleId="Char2f2">
    <w:name w:val="报告文字 Char2"/>
    <w:link w:val="affffffffffff5"/>
    <w:qFormat/>
    <w:rPr>
      <w:color w:val="000000"/>
      <w:sz w:val="24"/>
      <w:szCs w:val="28"/>
      <w:shd w:val="clear" w:color="auto" w:fill="FFFFFF"/>
    </w:rPr>
  </w:style>
  <w:style w:type="paragraph" w:customStyle="1" w:styleId="affffffffffff5">
    <w:name w:val="报告文字"/>
    <w:basedOn w:val="affc"/>
    <w:link w:val="Char2f2"/>
    <w:qFormat/>
    <w:pPr>
      <w:shd w:val="clear" w:color="auto" w:fill="FFFFFF"/>
      <w:spacing w:line="480" w:lineRule="exact"/>
      <w:ind w:firstLine="480"/>
      <w:textAlignment w:val="center"/>
    </w:pPr>
    <w:rPr>
      <w:rFonts w:ascii="Times New Roman" w:hAnsi="Times New Roman"/>
      <w:bCs w:val="0"/>
      <w:color w:val="000000"/>
      <w:spacing w:val="0"/>
      <w:kern w:val="0"/>
      <w:sz w:val="24"/>
      <w:szCs w:val="28"/>
      <w:shd w:val="clear" w:color="auto" w:fill="FFFFFF"/>
    </w:rPr>
  </w:style>
  <w:style w:type="character" w:customStyle="1" w:styleId="Charffffffff1">
    <w:name w:val="环评 正文 Char"/>
    <w:qFormat/>
    <w:rPr>
      <w:rFonts w:ascii="宋体" w:eastAsia="宋体" w:hAnsi="宋体" w:cs="宋体"/>
      <w:spacing w:val="8"/>
      <w:kern w:val="0"/>
      <w:sz w:val="24"/>
      <w:szCs w:val="20"/>
    </w:rPr>
  </w:style>
  <w:style w:type="character" w:customStyle="1" w:styleId="2H211lxb211h2CharCharCharChar0">
    <w:name w:val="样式 标题 2节H2节标题 1.1二级标题标题 lxb21.1h2第一层条二级标题 Char表标题单位名... Char Char Char"/>
    <w:qFormat/>
    <w:rPr>
      <w:rFonts w:ascii="黑体" w:eastAsia="黑体" w:hAnsi="宋体"/>
      <w:b/>
      <w:bCs/>
      <w:color w:val="000000"/>
      <w:kern w:val="2"/>
      <w:sz w:val="30"/>
      <w:szCs w:val="32"/>
    </w:rPr>
  </w:style>
  <w:style w:type="character" w:customStyle="1" w:styleId="txtcontent11">
    <w:name w:val="txtcontent11"/>
    <w:qFormat/>
    <w:rPr>
      <w:rFonts w:ascii="ˎ̥" w:hAnsi="ˎ̥" w:hint="default"/>
      <w:color w:val="000000"/>
      <w:sz w:val="21"/>
      <w:szCs w:val="21"/>
    </w:rPr>
  </w:style>
  <w:style w:type="character" w:customStyle="1" w:styleId="ask-title2">
    <w:name w:val="ask-title2"/>
    <w:qFormat/>
  </w:style>
  <w:style w:type="character" w:customStyle="1" w:styleId="213">
    <w:name w:val="页码21"/>
    <w:qFormat/>
  </w:style>
  <w:style w:type="character" w:customStyle="1" w:styleId="CharCharCharf6">
    <w:name w:val="正文格式 Char Char Char"/>
    <w:qFormat/>
    <w:rPr>
      <w:rFonts w:ascii="宋体" w:eastAsia="宋体" w:hAnsi="宋体"/>
      <w:kern w:val="2"/>
      <w:sz w:val="24"/>
      <w:szCs w:val="24"/>
      <w:lang w:val="en-US" w:eastAsia="zh-CN" w:bidi="ar-SA"/>
    </w:rPr>
  </w:style>
  <w:style w:type="character" w:customStyle="1" w:styleId="HTMLChar20">
    <w:name w:val="HTML 预设格式 Char2"/>
    <w:qFormat/>
    <w:rPr>
      <w:rFonts w:ascii="Courier New" w:hAnsi="Courier New" w:cs="Courier New"/>
      <w:kern w:val="2"/>
    </w:rPr>
  </w:style>
  <w:style w:type="character" w:customStyle="1" w:styleId="8Char1">
    <w:name w:val="标题 8 Char1"/>
    <w:qFormat/>
    <w:rPr>
      <w:rFonts w:ascii="Calibri Light" w:eastAsia="宋体" w:hAnsi="Calibri Light" w:cs="Times New Roman"/>
      <w:kern w:val="2"/>
      <w:sz w:val="24"/>
      <w:szCs w:val="24"/>
    </w:rPr>
  </w:style>
  <w:style w:type="character" w:customStyle="1" w:styleId="CharCharCharCharChar4">
    <w:name w:val="表题 Char Char Char Char Char"/>
    <w:qFormat/>
    <w:rPr>
      <w:rFonts w:ascii="宋体" w:eastAsia="宋体" w:hAnsi="宋体"/>
      <w:bCs/>
      <w:kern w:val="2"/>
      <w:sz w:val="24"/>
      <w:szCs w:val="24"/>
      <w:lang w:val="en-US" w:eastAsia="zh-CN" w:bidi="ar-SA"/>
    </w:rPr>
  </w:style>
  <w:style w:type="character" w:customStyle="1" w:styleId="hottext">
    <w:name w:val="hottext"/>
    <w:qFormat/>
  </w:style>
  <w:style w:type="character" w:customStyle="1" w:styleId="3Char1CharChar1">
    <w:name w:val="标题 3 Char1 Char Char1"/>
    <w:qFormat/>
    <w:rPr>
      <w:rFonts w:eastAsia="宋体"/>
      <w:b/>
      <w:bCs/>
      <w:kern w:val="2"/>
      <w:sz w:val="32"/>
      <w:szCs w:val="32"/>
      <w:lang w:val="en-US" w:eastAsia="zh-CN" w:bidi="ar-SA"/>
    </w:rPr>
  </w:style>
  <w:style w:type="character" w:customStyle="1" w:styleId="Char39">
    <w:name w:val="正文文本缩进 Char3"/>
    <w:qFormat/>
    <w:rPr>
      <w:kern w:val="2"/>
      <w:sz w:val="24"/>
      <w:szCs w:val="24"/>
    </w:rPr>
  </w:style>
  <w:style w:type="character" w:customStyle="1" w:styleId="3Char20">
    <w:name w:val="正文文本缩进 3 Char2"/>
    <w:uiPriority w:val="99"/>
    <w:qFormat/>
    <w:rPr>
      <w:kern w:val="2"/>
      <w:sz w:val="16"/>
      <w:szCs w:val="16"/>
    </w:rPr>
  </w:style>
  <w:style w:type="character" w:customStyle="1" w:styleId="style41">
    <w:name w:val="style41"/>
    <w:qFormat/>
    <w:rPr>
      <w:color w:val="000000"/>
      <w:sz w:val="16"/>
      <w:szCs w:val="16"/>
    </w:rPr>
  </w:style>
  <w:style w:type="character" w:customStyle="1" w:styleId="Char3a">
    <w:name w:val="脚注文本 Char3"/>
    <w:qFormat/>
    <w:rPr>
      <w:kern w:val="2"/>
      <w:sz w:val="18"/>
      <w:szCs w:val="18"/>
    </w:rPr>
  </w:style>
  <w:style w:type="character" w:customStyle="1" w:styleId="EmailStyle489">
    <w:name w:val="EmailStyle489"/>
    <w:qFormat/>
    <w:rPr>
      <w:rFonts w:ascii="Arial" w:eastAsia="宋体" w:hAnsi="Arial" w:cs="Arial"/>
      <w:color w:val="auto"/>
      <w:sz w:val="20"/>
    </w:rPr>
  </w:style>
  <w:style w:type="character" w:customStyle="1" w:styleId="bold1">
    <w:name w:val="bold1"/>
    <w:qFormat/>
    <w:rPr>
      <w:b/>
      <w:bCs/>
    </w:rPr>
  </w:style>
  <w:style w:type="character" w:customStyle="1" w:styleId="22Char0">
    <w:name w:val="样式 样式 正文文本 + 首行缩进:  2 字符 + 宋体 首行缩进:  2 字符 Char"/>
    <w:link w:val="226"/>
    <w:qFormat/>
    <w:rPr>
      <w:color w:val="FF0000"/>
      <w:kern w:val="2"/>
      <w:sz w:val="24"/>
      <w:szCs w:val="24"/>
    </w:rPr>
  </w:style>
  <w:style w:type="paragraph" w:customStyle="1" w:styleId="226">
    <w:name w:val="样式 样式 正文文本 + 首行缩进:  2 字符 + 宋体 首行缩进:  2 字符"/>
    <w:basedOn w:val="2ff7"/>
    <w:link w:val="22Char0"/>
    <w:qFormat/>
    <w:pPr>
      <w:ind w:firstLine="480"/>
    </w:pPr>
  </w:style>
  <w:style w:type="character" w:customStyle="1" w:styleId="tcnt3">
    <w:name w:val="tcnt3"/>
    <w:qFormat/>
  </w:style>
  <w:style w:type="character" w:customStyle="1" w:styleId="TChar">
    <w:name w:val="T正文 Char"/>
    <w:link w:val="T0"/>
    <w:qFormat/>
    <w:rPr>
      <w:rFonts w:eastAsia="楷体_GB2312"/>
      <w:sz w:val="28"/>
      <w:lang w:val="en-US" w:eastAsia="zh-CN" w:bidi="ar-SA"/>
    </w:rPr>
  </w:style>
  <w:style w:type="paragraph" w:customStyle="1" w:styleId="T0">
    <w:name w:val="T正文"/>
    <w:link w:val="TChar"/>
    <w:qFormat/>
    <w:pPr>
      <w:widowControl w:val="0"/>
      <w:adjustRightInd w:val="0"/>
      <w:snapToGrid w:val="0"/>
      <w:spacing w:line="360" w:lineRule="auto"/>
      <w:ind w:firstLineChars="200" w:firstLine="200"/>
      <w:jc w:val="both"/>
    </w:pPr>
    <w:rPr>
      <w:rFonts w:eastAsia="楷体_GB2312"/>
      <w:sz w:val="28"/>
    </w:rPr>
  </w:style>
  <w:style w:type="character" w:customStyle="1" w:styleId="Char2f3">
    <w:name w:val="称呼 Char2"/>
    <w:uiPriority w:val="99"/>
    <w:qFormat/>
    <w:rPr>
      <w:kern w:val="2"/>
      <w:sz w:val="24"/>
      <w:szCs w:val="24"/>
    </w:rPr>
  </w:style>
  <w:style w:type="character" w:customStyle="1" w:styleId="Char3b">
    <w:name w:val="一级项 Char3"/>
    <w:qFormat/>
    <w:rPr>
      <w:rFonts w:eastAsia="宋体"/>
      <w:bCs/>
      <w:kern w:val="2"/>
      <w:sz w:val="24"/>
      <w:szCs w:val="24"/>
      <w:lang w:val="en-US" w:eastAsia="zh-CN" w:bidi="ar-SA"/>
    </w:rPr>
  </w:style>
  <w:style w:type="character" w:customStyle="1" w:styleId="nfont6">
    <w:name w:val="nfont6"/>
    <w:qFormat/>
    <w:rPr>
      <w:rFonts w:hint="default"/>
      <w:color w:val="FF0000"/>
      <w:sz w:val="27"/>
      <w:szCs w:val="27"/>
    </w:rPr>
  </w:style>
  <w:style w:type="character" w:customStyle="1" w:styleId="CharCharfffa">
    <w:name w:val="图表注 Char Char"/>
    <w:qFormat/>
    <w:rPr>
      <w:rFonts w:eastAsia="宋体"/>
      <w:b/>
      <w:color w:val="000000"/>
      <w:kern w:val="2"/>
      <w:sz w:val="24"/>
      <w:szCs w:val="24"/>
      <w:lang w:val="en-US" w:eastAsia="zh-CN" w:bidi="ar-SA"/>
    </w:rPr>
  </w:style>
  <w:style w:type="character" w:customStyle="1" w:styleId="CharChar200">
    <w:name w:val="Char Char20"/>
    <w:uiPriority w:val="99"/>
    <w:qFormat/>
    <w:rPr>
      <w:rFonts w:ascii="Arial" w:eastAsia="仿宋_GB2312" w:hAnsi="Arial"/>
      <w:b/>
      <w:spacing w:val="-4"/>
      <w:kern w:val="20"/>
      <w:sz w:val="18"/>
      <w:lang w:val="en-US" w:eastAsia="zh-CN" w:bidi="ar-SA"/>
    </w:rPr>
  </w:style>
  <w:style w:type="character" w:customStyle="1" w:styleId="HTMLCharChar1">
    <w:name w:val="HTML 预先格式化 Char Char1"/>
    <w:qFormat/>
    <w:rPr>
      <w:rFonts w:ascii="Arial" w:eastAsia="宋体" w:hAnsi="Arial" w:cs="Arial"/>
      <w:sz w:val="24"/>
      <w:szCs w:val="24"/>
      <w:lang w:val="en-US" w:eastAsia="zh-CN" w:bidi="ar-SA"/>
    </w:rPr>
  </w:style>
  <w:style w:type="character" w:customStyle="1" w:styleId="2Char30">
    <w:name w:val="正文文本缩进 2 Char3"/>
    <w:qFormat/>
    <w:rPr>
      <w:kern w:val="2"/>
      <w:sz w:val="24"/>
      <w:szCs w:val="24"/>
    </w:rPr>
  </w:style>
  <w:style w:type="character" w:customStyle="1" w:styleId="HTML15">
    <w:name w:val="HTML 定义1"/>
    <w:qFormat/>
    <w:rPr>
      <w:rFonts w:ascii="宋体" w:eastAsia="宋体" w:hAnsi="宋体" w:cs="Courier New"/>
      <w:i/>
      <w:iCs/>
      <w:kern w:val="2"/>
      <w:sz w:val="32"/>
      <w:szCs w:val="32"/>
      <w:lang w:val="en-US" w:eastAsia="zh-CN"/>
    </w:rPr>
  </w:style>
  <w:style w:type="character" w:customStyle="1" w:styleId="CharCharfffb">
    <w:name w:val="规划正文样式 Char Char"/>
    <w:link w:val="affffffffffff6"/>
    <w:qFormat/>
    <w:rPr>
      <w:kern w:val="2"/>
      <w:sz w:val="24"/>
    </w:rPr>
  </w:style>
  <w:style w:type="paragraph" w:customStyle="1" w:styleId="affffffffffff6">
    <w:name w:val="规划正文样式"/>
    <w:basedOn w:val="a6"/>
    <w:link w:val="CharCharfffb"/>
    <w:qFormat/>
    <w:pPr>
      <w:spacing w:line="400" w:lineRule="exact"/>
      <w:ind w:firstLineChars="200" w:firstLine="480"/>
    </w:pPr>
    <w:rPr>
      <w:sz w:val="24"/>
      <w:szCs w:val="20"/>
    </w:rPr>
  </w:style>
  <w:style w:type="character" w:customStyle="1" w:styleId="8Char4">
    <w:name w:val="标题8 Char4"/>
    <w:qFormat/>
    <w:rPr>
      <w:rFonts w:eastAsia="宋体"/>
      <w:bCs/>
      <w:snapToGrid/>
      <w:kern w:val="2"/>
      <w:sz w:val="24"/>
      <w:szCs w:val="24"/>
      <w:lang w:val="en-US" w:eastAsia="zh-CN" w:bidi="ar-SA"/>
    </w:rPr>
  </w:style>
  <w:style w:type="character" w:customStyle="1" w:styleId="777777777Char">
    <w:name w:val="777777777 Char"/>
    <w:qFormat/>
    <w:rPr>
      <w:rFonts w:eastAsia="宋体"/>
      <w:sz w:val="28"/>
      <w:lang w:bidi="ar-SA"/>
    </w:rPr>
  </w:style>
  <w:style w:type="character" w:customStyle="1" w:styleId="Char1ff2">
    <w:name w:val="脚注文本 Char1"/>
    <w:uiPriority w:val="99"/>
    <w:qFormat/>
    <w:rPr>
      <w:rFonts w:ascii="Times New Roman" w:eastAsia="宋体" w:hAnsi="Times New Roman" w:cs="Times New Roman"/>
      <w:sz w:val="18"/>
      <w:szCs w:val="18"/>
    </w:rPr>
  </w:style>
  <w:style w:type="character" w:customStyle="1" w:styleId="4Char2">
    <w:name w:val="表小4 Char"/>
    <w:link w:val="4f0"/>
    <w:qFormat/>
    <w:rPr>
      <w:rFonts w:ascii="宋体" w:hAnsi="宋体"/>
      <w:kern w:val="2"/>
      <w:sz w:val="28"/>
    </w:rPr>
  </w:style>
  <w:style w:type="paragraph" w:customStyle="1" w:styleId="4f0">
    <w:name w:val="表小4"/>
    <w:basedOn w:val="a6"/>
    <w:link w:val="4Char2"/>
    <w:qFormat/>
    <w:pPr>
      <w:tabs>
        <w:tab w:val="left" w:pos="0"/>
        <w:tab w:val="left" w:pos="2619"/>
      </w:tabs>
      <w:adjustRightInd w:val="0"/>
      <w:spacing w:line="0" w:lineRule="atLeast"/>
      <w:jc w:val="center"/>
    </w:pPr>
    <w:rPr>
      <w:rFonts w:ascii="宋体" w:hAnsi="宋体"/>
      <w:sz w:val="28"/>
      <w:szCs w:val="20"/>
    </w:rPr>
  </w:style>
  <w:style w:type="character" w:customStyle="1" w:styleId="2Charf0">
    <w:name w:val="分目录2 Char"/>
    <w:link w:val="2ff8"/>
    <w:qFormat/>
    <w:rPr>
      <w:sz w:val="24"/>
    </w:rPr>
  </w:style>
  <w:style w:type="paragraph" w:customStyle="1" w:styleId="2ff8">
    <w:name w:val="分目录2"/>
    <w:basedOn w:val="1f2"/>
    <w:link w:val="2Charf0"/>
    <w:qFormat/>
    <w:pPr>
      <w:ind w:firstLineChars="200" w:firstLine="480"/>
    </w:pPr>
    <w:rPr>
      <w:sz w:val="24"/>
    </w:rPr>
  </w:style>
  <w:style w:type="character" w:customStyle="1" w:styleId="2ff9">
    <w:name w:val="条标题2"/>
    <w:qFormat/>
    <w:rPr>
      <w:rFonts w:ascii="宋体" w:eastAsia="宋体" w:hAnsi="宋体"/>
      <w:b/>
      <w:bCs/>
      <w:color w:val="000000"/>
      <w:sz w:val="28"/>
      <w:szCs w:val="24"/>
      <w:lang w:val="en-US" w:eastAsia="zh-CN" w:bidi="ar-SA"/>
    </w:rPr>
  </w:style>
  <w:style w:type="character" w:customStyle="1" w:styleId="Charffffffff2">
    <w:name w:val="样式 兴化美联正文样式 + 自动设置 Char"/>
    <w:link w:val="affffffffffff7"/>
    <w:qFormat/>
    <w:rPr>
      <w:rFonts w:ascii="宋体" w:hAnsi="宋体"/>
      <w:sz w:val="24"/>
      <w:szCs w:val="24"/>
    </w:rPr>
  </w:style>
  <w:style w:type="paragraph" w:customStyle="1" w:styleId="affffffffffff7">
    <w:name w:val="样式 兴化美联正文样式 + 自动设置"/>
    <w:basedOn w:val="a6"/>
    <w:link w:val="Charffffffff2"/>
    <w:qFormat/>
    <w:pPr>
      <w:widowControl/>
      <w:spacing w:line="360" w:lineRule="auto"/>
      <w:ind w:firstLineChars="200" w:firstLine="480"/>
      <w:jc w:val="left"/>
    </w:pPr>
    <w:rPr>
      <w:rFonts w:ascii="宋体" w:hAnsi="宋体"/>
      <w:kern w:val="0"/>
      <w:sz w:val="24"/>
    </w:rPr>
  </w:style>
  <w:style w:type="character" w:customStyle="1" w:styleId="CharCharfffc">
    <w:name w:val="表、图名宋旭峰 Char Char"/>
    <w:link w:val="affffffffffff8"/>
    <w:qFormat/>
    <w:rPr>
      <w:rFonts w:ascii="黑体" w:eastAsia="黑体" w:hAnsi="宋体"/>
      <w:sz w:val="21"/>
      <w:szCs w:val="21"/>
    </w:rPr>
  </w:style>
  <w:style w:type="paragraph" w:customStyle="1" w:styleId="affffffffffff8">
    <w:name w:val="表、图名宋旭峰"/>
    <w:basedOn w:val="a6"/>
    <w:link w:val="CharCharfffc"/>
    <w:qFormat/>
    <w:pPr>
      <w:tabs>
        <w:tab w:val="left" w:pos="2178"/>
      </w:tabs>
      <w:spacing w:line="420" w:lineRule="exact"/>
      <w:ind w:firstLineChars="200" w:firstLine="420"/>
    </w:pPr>
    <w:rPr>
      <w:rFonts w:ascii="黑体" w:eastAsia="黑体" w:hAnsi="宋体"/>
      <w:kern w:val="0"/>
      <w:szCs w:val="21"/>
    </w:rPr>
  </w:style>
  <w:style w:type="character" w:customStyle="1" w:styleId="2CharChar40">
    <w:name w:val="标题 2 Char Char4"/>
    <w:qFormat/>
    <w:rPr>
      <w:rFonts w:eastAsia="宋体"/>
      <w:b/>
      <w:kern w:val="2"/>
      <w:sz w:val="28"/>
      <w:lang w:val="en-US" w:eastAsia="zh-CN" w:bidi="ar-SA"/>
    </w:rPr>
  </w:style>
  <w:style w:type="character" w:customStyle="1" w:styleId="01CharChar3">
    <w:name w:val="正文01 Char Char"/>
    <w:link w:val="011"/>
    <w:qFormat/>
    <w:rPr>
      <w:kern w:val="2"/>
      <w:sz w:val="24"/>
    </w:rPr>
  </w:style>
  <w:style w:type="paragraph" w:customStyle="1" w:styleId="011">
    <w:name w:val="正文01"/>
    <w:basedOn w:val="a6"/>
    <w:link w:val="01CharChar3"/>
    <w:qFormat/>
    <w:pPr>
      <w:spacing w:before="60" w:line="460" w:lineRule="exact"/>
      <w:ind w:firstLineChars="200" w:firstLine="200"/>
    </w:pPr>
    <w:rPr>
      <w:sz w:val="24"/>
      <w:szCs w:val="20"/>
    </w:rPr>
  </w:style>
  <w:style w:type="character" w:customStyle="1" w:styleId="1ffa">
    <w:name w:val="页码1"/>
    <w:qFormat/>
    <w:rPr>
      <w:rFonts w:cs="Times New Roman"/>
    </w:rPr>
  </w:style>
  <w:style w:type="character" w:customStyle="1" w:styleId="dan7-1CharCharChar">
    <w:name w:val="dan7-1 Char Char Char"/>
    <w:qFormat/>
    <w:rPr>
      <w:rFonts w:eastAsia="宋体"/>
      <w:kern w:val="2"/>
      <w:sz w:val="24"/>
      <w:szCs w:val="24"/>
      <w:lang w:val="en-US" w:eastAsia="zh-CN" w:bidi="ar-SA"/>
    </w:rPr>
  </w:style>
  <w:style w:type="character" w:customStyle="1" w:styleId="gray1">
    <w:name w:val="gray1"/>
    <w:qFormat/>
    <w:rPr>
      <w:b/>
      <w:color w:val="636563"/>
      <w:sz w:val="21"/>
      <w:u w:val="none"/>
    </w:rPr>
  </w:style>
  <w:style w:type="character" w:customStyle="1" w:styleId="CharAttribute12">
    <w:name w:val="CharAttribute12"/>
    <w:qFormat/>
    <w:rPr>
      <w:rFonts w:ascii="Times New Roman" w:eastAsia="Times New Roman" w:hAnsi="Times New Roman"/>
      <w:b/>
      <w:sz w:val="24"/>
    </w:rPr>
  </w:style>
  <w:style w:type="character" w:customStyle="1" w:styleId="XChar">
    <w:name w:val="正文X Char"/>
    <w:link w:val="X"/>
    <w:qFormat/>
    <w:rPr>
      <w:rFonts w:ascii="Arial" w:hAnsi="Arial" w:cs="Arial"/>
      <w:color w:val="000000"/>
      <w:sz w:val="24"/>
    </w:rPr>
  </w:style>
  <w:style w:type="paragraph" w:customStyle="1" w:styleId="X">
    <w:name w:val="正文X"/>
    <w:basedOn w:val="a6"/>
    <w:link w:val="XChar"/>
    <w:qFormat/>
    <w:pPr>
      <w:adjustRightInd w:val="0"/>
      <w:snapToGrid w:val="0"/>
      <w:spacing w:before="100" w:beforeAutospacing="1" w:after="100" w:afterAutospacing="1" w:line="440" w:lineRule="exact"/>
    </w:pPr>
    <w:rPr>
      <w:rFonts w:ascii="Arial" w:hAnsi="Arial"/>
      <w:color w:val="000000"/>
      <w:kern w:val="0"/>
      <w:sz w:val="24"/>
      <w:szCs w:val="20"/>
    </w:rPr>
  </w:style>
  <w:style w:type="character" w:customStyle="1" w:styleId="2ffa">
    <w:name w:val="标题2"/>
    <w:qFormat/>
  </w:style>
  <w:style w:type="character" w:customStyle="1" w:styleId="Charffffffff3">
    <w:name w:val="格式正 Char"/>
    <w:link w:val="affffffffffff9"/>
    <w:qFormat/>
    <w:rPr>
      <w:rFonts w:ascii="宋体" w:hAnsi="宋体"/>
      <w:kern w:val="2"/>
      <w:sz w:val="24"/>
      <w:szCs w:val="24"/>
    </w:rPr>
  </w:style>
  <w:style w:type="paragraph" w:customStyle="1" w:styleId="affffffffffff9">
    <w:name w:val="格式正"/>
    <w:basedOn w:val="af8"/>
    <w:link w:val="Charffffffff3"/>
    <w:qFormat/>
    <w:pPr>
      <w:spacing w:beforeLines="50" w:after="0" w:line="360" w:lineRule="auto"/>
    </w:pPr>
    <w:rPr>
      <w:rFonts w:ascii="宋体" w:hAnsi="宋体"/>
      <w:sz w:val="24"/>
    </w:rPr>
  </w:style>
  <w:style w:type="character" w:customStyle="1" w:styleId="EmailStyle578">
    <w:name w:val="EmailStyle578"/>
    <w:qFormat/>
    <w:rPr>
      <w:rFonts w:ascii="Arial" w:eastAsia="宋体" w:hAnsi="Arial" w:cs="Arial"/>
      <w:color w:val="auto"/>
      <w:sz w:val="20"/>
    </w:rPr>
  </w:style>
  <w:style w:type="character" w:customStyle="1" w:styleId="blacktitle">
    <w:name w:val="black_title"/>
    <w:qFormat/>
  </w:style>
  <w:style w:type="character" w:customStyle="1" w:styleId="Char1ff3">
    <w:name w:val="表文字 Char1"/>
    <w:qFormat/>
    <w:rPr>
      <w:rFonts w:eastAsia="汉鼎简书宋"/>
      <w:kern w:val="2"/>
      <w:sz w:val="21"/>
      <w:szCs w:val="21"/>
      <w:lang w:val="en-US" w:eastAsia="zh-CN" w:bidi="ar-SA"/>
    </w:rPr>
  </w:style>
  <w:style w:type="character" w:customStyle="1" w:styleId="ttag">
    <w:name w:val="t_tag"/>
    <w:qFormat/>
  </w:style>
  <w:style w:type="character" w:customStyle="1" w:styleId="CharCharCharChar7">
    <w:name w:val="报告正文 Char Char Char Char"/>
    <w:qFormat/>
    <w:rPr>
      <w:rFonts w:eastAsia="宋体"/>
      <w:kern w:val="2"/>
      <w:sz w:val="28"/>
      <w:szCs w:val="28"/>
      <w:lang w:val="en-US" w:eastAsia="zh-CN" w:bidi="ar-SA"/>
    </w:rPr>
  </w:style>
  <w:style w:type="character" w:customStyle="1" w:styleId="CharCharfffd">
    <w:name w:val="日期 Char Char"/>
    <w:qFormat/>
    <w:rPr>
      <w:kern w:val="2"/>
      <w:sz w:val="21"/>
      <w:szCs w:val="24"/>
    </w:rPr>
  </w:style>
  <w:style w:type="character" w:customStyle="1" w:styleId="CharCharCharf7">
    <w:name w:val="图表题 Char Char Char"/>
    <w:qFormat/>
    <w:rPr>
      <w:rFonts w:ascii="黑体" w:eastAsia="黑体" w:hAnsi="宋体" w:cs="宋体"/>
      <w:b/>
      <w:bCs/>
      <w:kern w:val="2"/>
      <w:sz w:val="24"/>
      <w:szCs w:val="24"/>
      <w:lang w:val="en-US" w:eastAsia="zh-CN" w:bidi="ar-SA"/>
    </w:rPr>
  </w:style>
  <w:style w:type="character" w:customStyle="1" w:styleId="Charffffffff4">
    <w:name w:val="表格内文字 Char"/>
    <w:qFormat/>
    <w:rPr>
      <w:rFonts w:eastAsia="仿宋_GB2312"/>
      <w:kern w:val="2"/>
      <w:sz w:val="24"/>
      <w:szCs w:val="24"/>
      <w:lang w:bidi="ar-SA"/>
    </w:rPr>
  </w:style>
  <w:style w:type="character" w:customStyle="1" w:styleId="title41">
    <w:name w:val="title41"/>
    <w:qFormat/>
    <w:rPr>
      <w:rFonts w:ascii="宋体" w:eastAsia="宋体" w:hAnsi="宋体" w:hint="eastAsia"/>
      <w:color w:val="194F95"/>
      <w:sz w:val="23"/>
      <w:szCs w:val="23"/>
    </w:rPr>
  </w:style>
  <w:style w:type="character" w:customStyle="1" w:styleId="headline-content2">
    <w:name w:val="headline-content2"/>
    <w:qFormat/>
  </w:style>
  <w:style w:type="character" w:customStyle="1" w:styleId="CharCharfffe">
    <w:name w:val="小标 Char Char"/>
    <w:qFormat/>
    <w:rPr>
      <w:rFonts w:ascii="黑体" w:eastAsia="黑体" w:hAnsi="Courier New"/>
      <w:b/>
      <w:kern w:val="2"/>
      <w:sz w:val="28"/>
      <w:szCs w:val="28"/>
      <w:lang w:val="en-US" w:eastAsia="zh-CN" w:bidi="ar-SA"/>
    </w:rPr>
  </w:style>
  <w:style w:type="character" w:customStyle="1" w:styleId="8Char5">
    <w:name w:val="标题8 Char5"/>
    <w:qFormat/>
    <w:rPr>
      <w:rFonts w:eastAsia="宋体"/>
      <w:bCs/>
      <w:snapToGrid/>
      <w:kern w:val="2"/>
      <w:sz w:val="24"/>
      <w:szCs w:val="24"/>
      <w:lang w:val="en-US" w:eastAsia="zh-CN" w:bidi="ar-SA"/>
    </w:rPr>
  </w:style>
  <w:style w:type="character" w:customStyle="1" w:styleId="2CharChar7">
    <w:name w:val="正文首行缩进 2 Char Char"/>
    <w:uiPriority w:val="99"/>
    <w:qFormat/>
    <w:rPr>
      <w:rFonts w:eastAsia="宋体"/>
      <w:kern w:val="2"/>
      <w:sz w:val="21"/>
      <w:szCs w:val="24"/>
      <w:lang w:val="en-US" w:eastAsia="zh-CN" w:bidi="ar-SA"/>
    </w:rPr>
  </w:style>
  <w:style w:type="character" w:customStyle="1" w:styleId="4-25Char">
    <w:name w:val="4-25正 Char"/>
    <w:link w:val="4-25"/>
    <w:qFormat/>
    <w:rPr>
      <w:sz w:val="24"/>
    </w:rPr>
  </w:style>
  <w:style w:type="paragraph" w:customStyle="1" w:styleId="4-25">
    <w:name w:val="4-25正"/>
    <w:basedOn w:val="a6"/>
    <w:link w:val="4-25Char"/>
    <w:qFormat/>
    <w:pPr>
      <w:widowControl/>
      <w:spacing w:before="40" w:after="40" w:line="360" w:lineRule="auto"/>
      <w:ind w:firstLineChars="200" w:firstLine="480"/>
    </w:pPr>
    <w:rPr>
      <w:kern w:val="0"/>
      <w:sz w:val="24"/>
      <w:szCs w:val="20"/>
    </w:rPr>
  </w:style>
  <w:style w:type="character" w:customStyle="1" w:styleId="hp2Char">
    <w:name w:val="hp2 Char"/>
    <w:qFormat/>
    <w:rPr>
      <w:rFonts w:ascii="宋体" w:eastAsia="黑体" w:hAnsi="宋体" w:cs="宋体"/>
      <w:b/>
      <w:bCs/>
      <w:kern w:val="2"/>
      <w:sz w:val="32"/>
      <w:lang w:val="en-US" w:eastAsia="zh-CN" w:bidi="ar-SA"/>
    </w:rPr>
  </w:style>
  <w:style w:type="character" w:customStyle="1" w:styleId="Charffffffff5">
    <w:name w:val="表内 Char"/>
    <w:qFormat/>
    <w:rPr>
      <w:rFonts w:ascii="宋体" w:eastAsia="宋体" w:hAnsi="Courier New"/>
      <w:color w:val="000000"/>
      <w:kern w:val="2"/>
      <w:sz w:val="28"/>
      <w:lang w:val="en-US" w:eastAsia="zh-CN" w:bidi="ar-SA"/>
    </w:rPr>
  </w:style>
  <w:style w:type="character" w:customStyle="1" w:styleId="2Charf1">
    <w:name w:val="正文(首行缩进2字） Char"/>
    <w:link w:val="2ffb"/>
    <w:qFormat/>
    <w:rPr>
      <w:rFonts w:ascii="Arial" w:hAnsi="Arial"/>
      <w:sz w:val="24"/>
      <w:szCs w:val="24"/>
    </w:rPr>
  </w:style>
  <w:style w:type="paragraph" w:customStyle="1" w:styleId="2ffb">
    <w:name w:val="正文(首行缩进2字）"/>
    <w:basedOn w:val="a6"/>
    <w:link w:val="2Charf1"/>
    <w:qFormat/>
    <w:pPr>
      <w:spacing w:line="480" w:lineRule="exact"/>
      <w:ind w:firstLineChars="200" w:firstLine="200"/>
    </w:pPr>
    <w:rPr>
      <w:rFonts w:ascii="Arial" w:hAnsi="Arial"/>
      <w:kern w:val="0"/>
      <w:sz w:val="24"/>
    </w:rPr>
  </w:style>
  <w:style w:type="character" w:customStyle="1" w:styleId="CharCharCharChar8">
    <w:name w:val="一标题 Char Char Char Char"/>
    <w:qFormat/>
    <w:rPr>
      <w:rFonts w:eastAsia="宋体"/>
      <w:sz w:val="28"/>
    </w:rPr>
  </w:style>
  <w:style w:type="character" w:customStyle="1" w:styleId="22Char1">
    <w:name w:val="样式 题注 + 首行缩进:  2 字符2 Char"/>
    <w:qFormat/>
    <w:rPr>
      <w:rFonts w:ascii="黑体" w:eastAsia="黑体" w:hAnsi="宋体" w:cs="宋体"/>
      <w:color w:val="000000"/>
      <w:kern w:val="2"/>
      <w:sz w:val="24"/>
      <w:szCs w:val="28"/>
    </w:rPr>
  </w:style>
  <w:style w:type="character" w:customStyle="1" w:styleId="Charffffffff6">
    <w:name w:val="正本文字 Char"/>
    <w:link w:val="affffffffffffa"/>
    <w:qFormat/>
    <w:locked/>
    <w:rPr>
      <w:rFonts w:ascii="宋体" w:hAnsi="宋体" w:cs="宋体"/>
      <w:kern w:val="18"/>
      <w:sz w:val="24"/>
    </w:rPr>
  </w:style>
  <w:style w:type="paragraph" w:customStyle="1" w:styleId="affffffffffffa">
    <w:name w:val="正本文字"/>
    <w:basedOn w:val="a6"/>
    <w:link w:val="Charffffffff6"/>
    <w:qFormat/>
    <w:pPr>
      <w:adjustRightInd w:val="0"/>
      <w:snapToGrid w:val="0"/>
      <w:spacing w:line="360" w:lineRule="auto"/>
      <w:ind w:firstLineChars="200" w:firstLine="480"/>
      <w:jc w:val="left"/>
    </w:pPr>
    <w:rPr>
      <w:rFonts w:ascii="宋体" w:hAnsi="宋体"/>
      <w:kern w:val="18"/>
      <w:sz w:val="24"/>
      <w:szCs w:val="20"/>
    </w:rPr>
  </w:style>
  <w:style w:type="character" w:customStyle="1" w:styleId="CharChar51">
    <w:name w:val="Char Char51"/>
    <w:qFormat/>
    <w:rPr>
      <w:rFonts w:ascii="宋体" w:eastAsia="宋体" w:hAnsi="Courier New"/>
      <w:kern w:val="2"/>
      <w:sz w:val="21"/>
      <w:szCs w:val="24"/>
      <w:lang w:val="en-US" w:eastAsia="zh-CN" w:bidi="ar-SA"/>
    </w:rPr>
  </w:style>
  <w:style w:type="character" w:customStyle="1" w:styleId="CharCharffff">
    <w:name w:val="表字居中 Char Char"/>
    <w:qFormat/>
    <w:rPr>
      <w:spacing w:val="-4"/>
      <w:sz w:val="21"/>
      <w:szCs w:val="21"/>
    </w:rPr>
  </w:style>
  <w:style w:type="character" w:customStyle="1" w:styleId="Charffffffff7">
    <w:name w:val="中文报告书样式 Char"/>
    <w:qFormat/>
    <w:rPr>
      <w:rFonts w:ascii="宋体" w:eastAsia="宋体" w:hAnsi="宋体"/>
      <w:snapToGrid w:val="0"/>
      <w:sz w:val="24"/>
      <w:szCs w:val="24"/>
      <w:lang w:val="en-US" w:eastAsia="zh-CN" w:bidi="ar-SA"/>
    </w:rPr>
  </w:style>
  <w:style w:type="character" w:customStyle="1" w:styleId="1CharCharChar2">
    <w:name w:val="分目录1 Char Char Char"/>
    <w:qFormat/>
    <w:rPr>
      <w:rFonts w:eastAsia="宋体"/>
      <w:snapToGrid/>
      <w:sz w:val="28"/>
    </w:rPr>
  </w:style>
  <w:style w:type="character" w:customStyle="1" w:styleId="1CharCharChar3">
    <w:name w:val="1) Char Char Char"/>
    <w:qFormat/>
  </w:style>
  <w:style w:type="character" w:customStyle="1" w:styleId="EmailStyle554">
    <w:name w:val="EmailStyle554"/>
    <w:qFormat/>
    <w:rPr>
      <w:rFonts w:ascii="Arial" w:eastAsia="宋体" w:hAnsi="Arial" w:cs="Arial"/>
      <w:color w:val="auto"/>
      <w:sz w:val="20"/>
    </w:rPr>
  </w:style>
  <w:style w:type="character" w:customStyle="1" w:styleId="003Char">
    <w:name w:val="标题003 Char"/>
    <w:link w:val="003"/>
    <w:qFormat/>
    <w:rPr>
      <w:rFonts w:ascii="宋体" w:eastAsia="楷体_GB2312" w:hAnsi="Monospac821 BT"/>
      <w:b/>
      <w:bCs/>
      <w:color w:val="000000"/>
      <w:kern w:val="2"/>
      <w:sz w:val="28"/>
      <w:szCs w:val="24"/>
    </w:rPr>
  </w:style>
  <w:style w:type="paragraph" w:customStyle="1" w:styleId="003">
    <w:name w:val="标题003"/>
    <w:basedOn w:val="33"/>
    <w:link w:val="003Char"/>
    <w:qFormat/>
    <w:pPr>
      <w:tabs>
        <w:tab w:val="left" w:pos="709"/>
      </w:tabs>
      <w:adjustRightInd w:val="0"/>
      <w:snapToGrid w:val="0"/>
      <w:spacing w:line="360" w:lineRule="auto"/>
      <w:ind w:firstLineChars="200" w:firstLine="562"/>
    </w:pPr>
    <w:rPr>
      <w:rFonts w:ascii="宋体" w:eastAsia="楷体_GB2312" w:hAnsi="Monospac821 BT"/>
      <w:b/>
      <w:bCs/>
      <w:color w:val="000000"/>
      <w:spacing w:val="0"/>
      <w:szCs w:val="24"/>
    </w:rPr>
  </w:style>
  <w:style w:type="character" w:customStyle="1" w:styleId="-Char3">
    <w:name w:val="表格内容-居中 Char"/>
    <w:link w:val="-6"/>
    <w:qFormat/>
    <w:rPr>
      <w:kern w:val="2"/>
      <w:sz w:val="21"/>
      <w:szCs w:val="24"/>
    </w:rPr>
  </w:style>
  <w:style w:type="paragraph" w:customStyle="1" w:styleId="-6">
    <w:name w:val="表格内容-居中"/>
    <w:basedOn w:val="-0"/>
    <w:link w:val="-Char3"/>
    <w:qFormat/>
    <w:pPr>
      <w:jc w:val="center"/>
    </w:pPr>
    <w:rPr>
      <w:kern w:val="2"/>
      <w:szCs w:val="24"/>
    </w:rPr>
  </w:style>
  <w:style w:type="character" w:customStyle="1" w:styleId="Charffffffff8">
    <w:name w:val="表文字 Char"/>
    <w:qFormat/>
    <w:rPr>
      <w:rFonts w:ascii="Arial" w:hAnsi="Arial"/>
      <w:sz w:val="21"/>
      <w:lang w:val="en-US" w:eastAsia="zh-CN" w:bidi="ar-SA"/>
    </w:rPr>
  </w:style>
  <w:style w:type="character" w:customStyle="1" w:styleId="CharCharffff0">
    <w:name w:val="正文小四 Char Char"/>
    <w:link w:val="affffffffffffb"/>
    <w:qFormat/>
    <w:rPr>
      <w:kern w:val="2"/>
      <w:sz w:val="24"/>
    </w:rPr>
  </w:style>
  <w:style w:type="paragraph" w:customStyle="1" w:styleId="affffffffffffb">
    <w:name w:val="正文小四"/>
    <w:basedOn w:val="a6"/>
    <w:link w:val="CharCharffff0"/>
    <w:qFormat/>
    <w:pPr>
      <w:spacing w:line="360" w:lineRule="auto"/>
    </w:pPr>
    <w:rPr>
      <w:sz w:val="24"/>
      <w:szCs w:val="20"/>
    </w:rPr>
  </w:style>
  <w:style w:type="character" w:customStyle="1" w:styleId="CharAttribute17">
    <w:name w:val="CharAttribute17"/>
    <w:qFormat/>
    <w:rPr>
      <w:rFonts w:ascii="Times New Roman" w:eastAsia="Times New Roman" w:hAnsi="Times New Roman"/>
      <w:b/>
      <w:sz w:val="21"/>
    </w:rPr>
  </w:style>
  <w:style w:type="character" w:customStyle="1" w:styleId="KY-Char">
    <w:name w:val="KY-正文 Char"/>
    <w:link w:val="KY-"/>
    <w:uiPriority w:val="99"/>
    <w:qFormat/>
    <w:locked/>
    <w:rPr>
      <w:kern w:val="2"/>
      <w:sz w:val="28"/>
    </w:rPr>
  </w:style>
  <w:style w:type="paragraph" w:customStyle="1" w:styleId="KY-">
    <w:name w:val="KY-正文"/>
    <w:basedOn w:val="a6"/>
    <w:link w:val="KY-Char"/>
    <w:uiPriority w:val="99"/>
    <w:qFormat/>
    <w:pPr>
      <w:spacing w:line="360" w:lineRule="auto"/>
      <w:ind w:firstLineChars="200" w:firstLine="200"/>
    </w:pPr>
    <w:rPr>
      <w:sz w:val="28"/>
      <w:szCs w:val="20"/>
    </w:rPr>
  </w:style>
  <w:style w:type="character" w:customStyle="1" w:styleId="CharCharCharCharCharCharCharChar">
    <w:name w:val="正文(首行缩进) Char Char Char Char Char Char Char Char"/>
    <w:qFormat/>
    <w:rPr>
      <w:rFonts w:ascii="宋体" w:eastAsia="宋体" w:hAnsi="宋体" w:cs="宋体"/>
      <w:color w:val="000000"/>
      <w:kern w:val="0"/>
      <w:sz w:val="24"/>
      <w:szCs w:val="24"/>
    </w:rPr>
  </w:style>
  <w:style w:type="character" w:customStyle="1" w:styleId="Charffffffff9">
    <w:name w:val="正文使用缩进 Char"/>
    <w:link w:val="affffffffffffc"/>
    <w:qFormat/>
    <w:rPr>
      <w:rFonts w:hAnsi="宋体"/>
      <w:color w:val="000000"/>
      <w:sz w:val="28"/>
      <w:szCs w:val="28"/>
    </w:rPr>
  </w:style>
  <w:style w:type="paragraph" w:customStyle="1" w:styleId="affffffffffffc">
    <w:name w:val="正文使用缩进"/>
    <w:basedOn w:val="a6"/>
    <w:link w:val="Charffffffff9"/>
    <w:qFormat/>
    <w:pPr>
      <w:widowControl/>
      <w:adjustRightInd w:val="0"/>
      <w:spacing w:line="360" w:lineRule="auto"/>
      <w:ind w:firstLine="480"/>
      <w:jc w:val="left"/>
      <w:textAlignment w:val="baseline"/>
    </w:pPr>
    <w:rPr>
      <w:rFonts w:hAnsi="宋体"/>
      <w:color w:val="000000"/>
      <w:kern w:val="0"/>
      <w:sz w:val="28"/>
      <w:szCs w:val="28"/>
    </w:rPr>
  </w:style>
  <w:style w:type="character" w:customStyle="1" w:styleId="text">
    <w:name w:val="text"/>
    <w:qFormat/>
  </w:style>
  <w:style w:type="character" w:customStyle="1" w:styleId="3CharChar10">
    <w:name w:val="正文文字缩进 3 Char Char1"/>
    <w:qFormat/>
    <w:rPr>
      <w:rFonts w:eastAsia="宋体"/>
      <w:color w:val="000000"/>
      <w:kern w:val="2"/>
      <w:sz w:val="24"/>
      <w:szCs w:val="24"/>
      <w:lang w:val="en-US" w:eastAsia="zh-CN" w:bidi="ar-SA"/>
    </w:rPr>
  </w:style>
  <w:style w:type="character" w:customStyle="1" w:styleId="CharCharCharf8">
    <w:name w:val="正文(首行缩进)宋旭峰 Char Char Char"/>
    <w:qFormat/>
    <w:rPr>
      <w:rFonts w:eastAsia="宋体" w:cs="TimesNewRomanPSMT"/>
      <w:snapToGrid/>
      <w:sz w:val="24"/>
      <w:szCs w:val="24"/>
      <w:lang w:val="en-US" w:eastAsia="zh-CN" w:bidi="ar-SA"/>
    </w:rPr>
  </w:style>
  <w:style w:type="character" w:customStyle="1" w:styleId="FontStyle348">
    <w:name w:val="Font Style348"/>
    <w:qFormat/>
    <w:rPr>
      <w:rFonts w:ascii="宋体" w:eastAsia="宋体" w:cs="宋体"/>
      <w:sz w:val="14"/>
      <w:szCs w:val="14"/>
    </w:rPr>
  </w:style>
  <w:style w:type="character" w:customStyle="1" w:styleId="CharChar71">
    <w:name w:val="Char Char71"/>
    <w:qFormat/>
    <w:rPr>
      <w:kern w:val="2"/>
      <w:sz w:val="18"/>
    </w:rPr>
  </w:style>
  <w:style w:type="character" w:customStyle="1" w:styleId="CharChar151">
    <w:name w:val="Char Char151"/>
    <w:qFormat/>
    <w:rPr>
      <w:kern w:val="2"/>
      <w:sz w:val="21"/>
    </w:rPr>
  </w:style>
  <w:style w:type="character" w:customStyle="1" w:styleId="26CharCharCharCharChar">
    <w:name w:val="样式 (符号) 宋体 小四 行距: 固定值 26 磅 Char Char Char Char Char"/>
    <w:qFormat/>
    <w:rPr>
      <w:rFonts w:eastAsia="宋体" w:hAnsi="宋体" w:cs="宋体"/>
      <w:color w:val="000000"/>
      <w:kern w:val="2"/>
      <w:sz w:val="28"/>
      <w:szCs w:val="28"/>
      <w:lang w:val="en-US" w:eastAsia="zh-CN" w:bidi="ar-SA"/>
    </w:rPr>
  </w:style>
  <w:style w:type="character" w:customStyle="1" w:styleId="CharCharffff1">
    <w:name w:val="表名格式 Char Char"/>
    <w:qFormat/>
    <w:rPr>
      <w:rFonts w:ascii="Arial" w:hAnsi="Arial"/>
      <w:color w:val="000000"/>
      <w:kern w:val="2"/>
      <w:sz w:val="21"/>
      <w:szCs w:val="21"/>
    </w:rPr>
  </w:style>
  <w:style w:type="character" w:customStyle="1" w:styleId="5CharCharChar1">
    <w:name w:val="5级正文 Char Char Char"/>
    <w:qFormat/>
    <w:rPr>
      <w:rFonts w:eastAsia="宋体"/>
      <w:b/>
      <w:kern w:val="2"/>
      <w:sz w:val="24"/>
      <w:szCs w:val="24"/>
      <w:lang w:val="en-US" w:eastAsia="zh-CN" w:bidi="ar-SA"/>
    </w:rPr>
  </w:style>
  <w:style w:type="character" w:customStyle="1" w:styleId="ArialGB23121Char">
    <w:name w:val="样式 (西文) Arial (中文) 楷体_GB2312 四号1 Char"/>
    <w:link w:val="ArialGB23121"/>
    <w:qFormat/>
    <w:rPr>
      <w:rFonts w:hAnsi="宋体" w:cs="Arial"/>
      <w:sz w:val="28"/>
      <w:szCs w:val="28"/>
    </w:rPr>
  </w:style>
  <w:style w:type="paragraph" w:customStyle="1" w:styleId="ArialGB23121">
    <w:name w:val="样式 (西文) Arial (中文) 楷体_GB2312 四号1"/>
    <w:basedOn w:val="a6"/>
    <w:link w:val="ArialGB23121Char"/>
    <w:qFormat/>
    <w:pPr>
      <w:spacing w:line="360" w:lineRule="auto"/>
    </w:pPr>
    <w:rPr>
      <w:rFonts w:hAnsi="宋体"/>
      <w:kern w:val="0"/>
      <w:sz w:val="28"/>
      <w:szCs w:val="28"/>
    </w:rPr>
  </w:style>
  <w:style w:type="character" w:customStyle="1" w:styleId="z-Char3">
    <w:name w:val="z-窗体底端 Char3"/>
    <w:qFormat/>
    <w:rPr>
      <w:rFonts w:ascii="Arial" w:hAnsi="Arial" w:cs="Arial"/>
      <w:vanish/>
      <w:kern w:val="2"/>
      <w:sz w:val="16"/>
      <w:szCs w:val="16"/>
    </w:rPr>
  </w:style>
  <w:style w:type="character" w:customStyle="1" w:styleId="HTML16">
    <w:name w:val="HTML 变量1"/>
    <w:qFormat/>
    <w:rPr>
      <w:rFonts w:ascii="宋体" w:eastAsia="宋体" w:hAnsi="宋体" w:cs="Courier New"/>
      <w:i/>
      <w:iCs/>
      <w:kern w:val="2"/>
      <w:sz w:val="32"/>
      <w:szCs w:val="32"/>
      <w:lang w:val="en-US" w:eastAsia="zh-CN"/>
    </w:rPr>
  </w:style>
  <w:style w:type="character" w:customStyle="1" w:styleId="333Char">
    <w:name w:val="333 Char"/>
    <w:link w:val="333"/>
    <w:qFormat/>
    <w:rPr>
      <w:rFonts w:ascii="Arial" w:eastAsia="楷体_GB2312" w:hAnsi="Arial"/>
      <w:b/>
      <w:bCs/>
      <w:kern w:val="2"/>
      <w:sz w:val="28"/>
      <w:szCs w:val="21"/>
    </w:rPr>
  </w:style>
  <w:style w:type="paragraph" w:customStyle="1" w:styleId="333">
    <w:name w:val="333"/>
    <w:link w:val="333Char"/>
    <w:qFormat/>
    <w:pPr>
      <w:ind w:firstLineChars="50" w:firstLine="132"/>
    </w:pPr>
  </w:style>
  <w:style w:type="paragraph" w:customStyle="1" w:styleId="444">
    <w:name w:val="444"/>
    <w:basedOn w:val="afc"/>
    <w:link w:val="444Char"/>
    <w:qFormat/>
    <w:pPr>
      <w:spacing w:line="360" w:lineRule="auto"/>
      <w:ind w:firstLineChars="0" w:firstLine="0"/>
    </w:pPr>
    <w:rPr>
      <w:rFonts w:ascii="Arial" w:hAnsi="Arial"/>
      <w:b/>
      <w:bCs/>
      <w:color w:val="auto"/>
      <w:spacing w:val="0"/>
    </w:rPr>
  </w:style>
  <w:style w:type="character" w:customStyle="1" w:styleId="444Char">
    <w:name w:val="444 Char"/>
    <w:link w:val="444"/>
    <w:qFormat/>
    <w:rPr>
      <w:rFonts w:ascii="Arial" w:eastAsia="楷体_GB2312" w:hAnsi="Arial"/>
      <w:b/>
      <w:bCs/>
      <w:kern w:val="2"/>
      <w:sz w:val="28"/>
      <w:szCs w:val="21"/>
    </w:rPr>
  </w:style>
  <w:style w:type="character" w:customStyle="1" w:styleId="210Char">
    <w:name w:val="样式 样式 正文首行缩进 + 首行缩进:  2 字符1 + 左  0 字符 Char"/>
    <w:link w:val="2100"/>
    <w:qFormat/>
    <w:rPr>
      <w:rFonts w:ascii="宋体" w:hAnsi="宋体"/>
      <w:sz w:val="28"/>
    </w:rPr>
  </w:style>
  <w:style w:type="paragraph" w:customStyle="1" w:styleId="2100">
    <w:name w:val="样式 样式 正文首行缩进 + 首行缩进:  2 字符1 + 左  0 字符"/>
    <w:basedOn w:val="a6"/>
    <w:link w:val="210Char"/>
    <w:qFormat/>
    <w:pPr>
      <w:widowControl/>
      <w:tabs>
        <w:tab w:val="left" w:pos="0"/>
        <w:tab w:val="left" w:pos="1727"/>
        <w:tab w:val="left" w:pos="1884"/>
        <w:tab w:val="left" w:pos="2660"/>
        <w:tab w:val="left" w:pos="5460"/>
      </w:tabs>
      <w:adjustRightInd w:val="0"/>
      <w:snapToGrid w:val="0"/>
      <w:spacing w:line="360" w:lineRule="auto"/>
      <w:ind w:firstLineChars="200" w:firstLine="560"/>
      <w:jc w:val="left"/>
    </w:pPr>
    <w:rPr>
      <w:rFonts w:ascii="宋体" w:hAnsi="宋体"/>
      <w:kern w:val="0"/>
      <w:sz w:val="28"/>
      <w:szCs w:val="20"/>
    </w:rPr>
  </w:style>
  <w:style w:type="character" w:customStyle="1" w:styleId="CharChar22">
    <w:name w:val="Char Char2"/>
    <w:qFormat/>
    <w:rPr>
      <w:kern w:val="2"/>
      <w:sz w:val="21"/>
    </w:rPr>
  </w:style>
  <w:style w:type="character" w:customStyle="1" w:styleId="5Char12">
    <w:name w:val="样式5 Char1"/>
    <w:link w:val="5f"/>
    <w:qFormat/>
    <w:rPr>
      <w:spacing w:val="4"/>
      <w:sz w:val="18"/>
    </w:rPr>
  </w:style>
  <w:style w:type="paragraph" w:customStyle="1" w:styleId="5f">
    <w:name w:val="样式5"/>
    <w:basedOn w:val="a6"/>
    <w:link w:val="5Char12"/>
    <w:qFormat/>
    <w:pPr>
      <w:adjustRightInd w:val="0"/>
      <w:spacing w:line="320" w:lineRule="atLeast"/>
      <w:ind w:firstLine="482"/>
      <w:jc w:val="center"/>
      <w:textAlignment w:val="baseline"/>
    </w:pPr>
    <w:rPr>
      <w:spacing w:val="4"/>
      <w:kern w:val="0"/>
      <w:sz w:val="18"/>
      <w:szCs w:val="20"/>
    </w:rPr>
  </w:style>
  <w:style w:type="character" w:customStyle="1" w:styleId="03Char">
    <w:name w:val="03 Char"/>
    <w:qFormat/>
    <w:rPr>
      <w:rFonts w:ascii="宋体" w:eastAsia="宋体" w:hAnsi="Courier New"/>
      <w:kern w:val="2"/>
      <w:sz w:val="24"/>
      <w:szCs w:val="24"/>
      <w:lang w:val="en-US" w:eastAsia="zh-CN" w:bidi="ar-SA"/>
    </w:rPr>
  </w:style>
  <w:style w:type="character" w:customStyle="1" w:styleId="-1CharChar">
    <w:name w:val="正文-1 Char Char"/>
    <w:link w:val="-12"/>
    <w:qFormat/>
    <w:rPr>
      <w:rFonts w:ascii="宋体" w:hAnsi="宋体"/>
      <w:sz w:val="24"/>
      <w:szCs w:val="24"/>
      <w:shd w:val="clear" w:color="auto" w:fill="FFFFFF"/>
      <w:lang w:val="zh-CN"/>
    </w:rPr>
  </w:style>
  <w:style w:type="paragraph" w:customStyle="1" w:styleId="-12">
    <w:name w:val="正文-1"/>
    <w:basedOn w:val="a6"/>
    <w:link w:val="-1CharChar"/>
    <w:qFormat/>
    <w:pPr>
      <w:shd w:val="clear" w:color="auto" w:fill="FFFFFF"/>
      <w:spacing w:line="360" w:lineRule="auto"/>
      <w:ind w:firstLineChars="200" w:firstLine="200"/>
      <w:jc w:val="left"/>
    </w:pPr>
    <w:rPr>
      <w:rFonts w:ascii="宋体" w:hAnsi="宋体"/>
      <w:kern w:val="0"/>
      <w:sz w:val="24"/>
      <w:shd w:val="clear" w:color="auto" w:fill="FFFFFF"/>
      <w:lang w:val="zh-CN"/>
    </w:rPr>
  </w:style>
  <w:style w:type="character" w:customStyle="1" w:styleId="1Chard">
    <w:name w:val="样式 正文首行缩进 + 紧缩量  1 磅 Char"/>
    <w:qFormat/>
    <w:rPr>
      <w:rFonts w:ascii="宋体" w:eastAsia="宋体" w:hAnsi="宋体" w:cs="宋体"/>
      <w:spacing w:val="-20"/>
      <w:kern w:val="2"/>
      <w:sz w:val="28"/>
      <w:szCs w:val="28"/>
      <w:lang w:val="en-US" w:eastAsia="zh-CN"/>
    </w:rPr>
  </w:style>
  <w:style w:type="character" w:customStyle="1" w:styleId="CharAttribute0">
    <w:name w:val="CharAttribute0"/>
    <w:qFormat/>
    <w:rPr>
      <w:rFonts w:ascii="Arial" w:eastAsia="Arial" w:hAnsi="Arial"/>
      <w:sz w:val="19"/>
    </w:rPr>
  </w:style>
  <w:style w:type="character" w:customStyle="1" w:styleId="ca-2">
    <w:name w:val="ca-2"/>
    <w:qFormat/>
  </w:style>
  <w:style w:type="character" w:customStyle="1" w:styleId="CharChar102">
    <w:name w:val="Char Char102"/>
    <w:qFormat/>
    <w:rPr>
      <w:rFonts w:eastAsia="宋体"/>
      <w:kern w:val="2"/>
      <w:sz w:val="18"/>
      <w:szCs w:val="18"/>
      <w:lang w:val="en-US" w:eastAsia="zh-CN" w:bidi="ar-SA"/>
    </w:rPr>
  </w:style>
  <w:style w:type="character" w:customStyle="1" w:styleId="Char1ff4">
    <w:name w:val="签名 Char1"/>
    <w:uiPriority w:val="99"/>
    <w:qFormat/>
    <w:rPr>
      <w:kern w:val="2"/>
      <w:sz w:val="21"/>
      <w:szCs w:val="24"/>
    </w:rPr>
  </w:style>
  <w:style w:type="character" w:customStyle="1" w:styleId="CharCharffff2">
    <w:name w:val="正文文字缩进 Char Char"/>
    <w:qFormat/>
    <w:rPr>
      <w:rFonts w:ascii="宋体" w:eastAsia="宋体"/>
      <w:kern w:val="2"/>
      <w:sz w:val="24"/>
      <w:lang w:val="en-US" w:eastAsia="zh-CN" w:bidi="ar-SA"/>
    </w:rPr>
  </w:style>
  <w:style w:type="character" w:customStyle="1" w:styleId="EmailStyle5421">
    <w:name w:val="EmailStyle5421"/>
    <w:qFormat/>
    <w:rPr>
      <w:rFonts w:ascii="Arial" w:eastAsia="宋体" w:hAnsi="Arial" w:cs="Arial"/>
      <w:color w:val="auto"/>
      <w:sz w:val="20"/>
    </w:rPr>
  </w:style>
  <w:style w:type="character" w:customStyle="1" w:styleId="2Charf2">
    <w:name w:val="院基设2 Char"/>
    <w:link w:val="2ffc"/>
    <w:qFormat/>
    <w:rPr>
      <w:rFonts w:ascii="Arial" w:hAnsi="Arial" w:cs="Arial"/>
      <w:b/>
      <w:bCs/>
      <w:iCs/>
      <w:sz w:val="28"/>
      <w:szCs w:val="24"/>
      <w:lang w:bidi="en-US"/>
    </w:rPr>
  </w:style>
  <w:style w:type="paragraph" w:customStyle="1" w:styleId="2ffc">
    <w:name w:val="院基设2"/>
    <w:basedOn w:val="a6"/>
    <w:link w:val="2Charf2"/>
    <w:qFormat/>
    <w:pPr>
      <w:keepNext/>
      <w:widowControl/>
      <w:spacing w:line="360" w:lineRule="auto"/>
      <w:jc w:val="left"/>
      <w:outlineLvl w:val="1"/>
    </w:pPr>
    <w:rPr>
      <w:rFonts w:ascii="Arial" w:hAnsi="Arial" w:cs="Arial"/>
      <w:b/>
      <w:bCs/>
      <w:iCs/>
      <w:kern w:val="0"/>
      <w:sz w:val="28"/>
      <w:lang w:bidi="en-US"/>
    </w:rPr>
  </w:style>
  <w:style w:type="character" w:customStyle="1" w:styleId="5CharChar4">
    <w:name w:val="5 Char Char"/>
    <w:link w:val="5f0"/>
    <w:qFormat/>
    <w:rPr>
      <w:color w:val="000000"/>
      <w:sz w:val="18"/>
      <w:szCs w:val="18"/>
    </w:rPr>
  </w:style>
  <w:style w:type="paragraph" w:customStyle="1" w:styleId="5f0">
    <w:name w:val="5"/>
    <w:basedOn w:val="a6"/>
    <w:next w:val="afc"/>
    <w:link w:val="5CharChar4"/>
    <w:qFormat/>
    <w:pPr>
      <w:widowControl/>
      <w:adjustRightInd w:val="0"/>
      <w:spacing w:before="100" w:beforeAutospacing="1" w:after="100" w:afterAutospacing="1" w:line="312" w:lineRule="auto"/>
      <w:jc w:val="left"/>
      <w:textAlignment w:val="baseline"/>
    </w:pPr>
    <w:rPr>
      <w:color w:val="000000"/>
      <w:kern w:val="0"/>
      <w:sz w:val="18"/>
      <w:szCs w:val="18"/>
    </w:rPr>
  </w:style>
  <w:style w:type="character" w:customStyle="1" w:styleId="CharCharffff3">
    <w:name w:val="文本框小四 Char Char"/>
    <w:link w:val="affffffffffffd"/>
    <w:qFormat/>
    <w:rPr>
      <w:rFonts w:ascii="宋体" w:eastAsia="仿宋_GB2312" w:hAnsi="宋体" w:cs="Courier New"/>
      <w:kern w:val="2"/>
      <w:sz w:val="24"/>
      <w:szCs w:val="24"/>
    </w:rPr>
  </w:style>
  <w:style w:type="paragraph" w:customStyle="1" w:styleId="affffffffffffd">
    <w:name w:val="文本框小四"/>
    <w:basedOn w:val="a6"/>
    <w:link w:val="CharCharffff3"/>
    <w:qFormat/>
    <w:pPr>
      <w:jc w:val="center"/>
    </w:pPr>
    <w:rPr>
      <w:rFonts w:ascii="宋体" w:eastAsia="仿宋_GB2312" w:hAnsi="宋体"/>
      <w:sz w:val="24"/>
    </w:rPr>
  </w:style>
  <w:style w:type="character" w:customStyle="1" w:styleId="01CharChar4">
    <w:name w:val="表格标题01 Char Char"/>
    <w:qFormat/>
    <w:rPr>
      <w:rFonts w:ascii="Times New Roman" w:eastAsia="宋体" w:hAnsi="Times New Roman" w:cs="Times New Roman"/>
      <w:kern w:val="0"/>
      <w:sz w:val="28"/>
      <w:szCs w:val="20"/>
    </w:rPr>
  </w:style>
  <w:style w:type="character" w:customStyle="1" w:styleId="Char2f4">
    <w:name w:val="脚注文本 Char2"/>
    <w:qFormat/>
    <w:rPr>
      <w:kern w:val="2"/>
      <w:sz w:val="18"/>
      <w:szCs w:val="18"/>
    </w:rPr>
  </w:style>
  <w:style w:type="character" w:customStyle="1" w:styleId="Char2f5">
    <w:name w:val="纯文本 Char2"/>
    <w:qFormat/>
    <w:rPr>
      <w:rFonts w:ascii="宋体" w:eastAsia="宋体" w:hAnsi="宋体" w:cs="宋体"/>
      <w:spacing w:val="15"/>
      <w:sz w:val="18"/>
      <w:szCs w:val="18"/>
      <w:lang w:val="en-US" w:eastAsia="zh-CN" w:bidi="ar-SA"/>
    </w:rPr>
  </w:style>
  <w:style w:type="character" w:customStyle="1" w:styleId="Charffffffffa">
    <w:name w:val="投标文件正文 Char"/>
    <w:qFormat/>
    <w:rPr>
      <w:rFonts w:ascii="Arial" w:hAnsi="Arial"/>
      <w:iCs/>
      <w:color w:val="000000"/>
      <w:kern w:val="2"/>
      <w:sz w:val="24"/>
    </w:rPr>
  </w:style>
  <w:style w:type="character" w:customStyle="1" w:styleId="Charffffffffb">
    <w:name w:val="图表题 Char"/>
    <w:qFormat/>
    <w:rPr>
      <w:rFonts w:ascii="黑体" w:eastAsia="黑体" w:hAnsi="宋体" w:cs="宋体"/>
      <w:b/>
      <w:bCs/>
      <w:kern w:val="2"/>
      <w:sz w:val="24"/>
      <w:szCs w:val="24"/>
      <w:lang w:val="en-US" w:eastAsia="zh-CN" w:bidi="ar-SA"/>
    </w:rPr>
  </w:style>
  <w:style w:type="character" w:customStyle="1" w:styleId="dandan6-13Char">
    <w:name w:val="样式 dandan6-13四级以下 + Char"/>
    <w:link w:val="dandan6-13"/>
    <w:qFormat/>
    <w:rPr>
      <w:rFonts w:eastAsia="仿宋_GB2312"/>
      <w:b/>
      <w:bCs/>
      <w:sz w:val="24"/>
      <w:szCs w:val="24"/>
    </w:rPr>
  </w:style>
  <w:style w:type="paragraph" w:customStyle="1" w:styleId="dandan6-13">
    <w:name w:val="样式 dandan6-13四级以下 +"/>
    <w:link w:val="dandan6-13Char"/>
    <w:qFormat/>
    <w:rPr>
      <w:bCs/>
    </w:rPr>
  </w:style>
  <w:style w:type="paragraph" w:customStyle="1" w:styleId="dandan6-130">
    <w:name w:val="dandan6-13四级以下"/>
    <w:basedOn w:val="a6"/>
    <w:link w:val="dandan6-13Char0"/>
    <w:qFormat/>
    <w:pPr>
      <w:outlineLvl w:val="3"/>
    </w:pPr>
    <w:rPr>
      <w:rFonts w:eastAsia="仿宋_GB2312"/>
      <w:b/>
      <w:sz w:val="24"/>
    </w:rPr>
  </w:style>
  <w:style w:type="character" w:customStyle="1" w:styleId="dandan6-13Char0">
    <w:name w:val="dandan6-13四级以下 Char"/>
    <w:link w:val="dandan6-130"/>
    <w:qFormat/>
    <w:rPr>
      <w:rFonts w:eastAsia="仿宋_GB2312"/>
      <w:b/>
      <w:kern w:val="2"/>
      <w:sz w:val="24"/>
      <w:szCs w:val="24"/>
    </w:rPr>
  </w:style>
  <w:style w:type="character" w:customStyle="1" w:styleId="42Char">
    <w:name w:val="样式 标题 4 + 首行缩进:  2 字符 Char"/>
    <w:link w:val="420"/>
    <w:qFormat/>
    <w:rPr>
      <w:rFonts w:ascii="Arial" w:eastAsia="黑体" w:hAnsi="Arial" w:cs="宋体"/>
      <w:b/>
      <w:bCs/>
      <w:kern w:val="2"/>
      <w:sz w:val="24"/>
      <w:szCs w:val="28"/>
    </w:rPr>
  </w:style>
  <w:style w:type="paragraph" w:customStyle="1" w:styleId="420">
    <w:name w:val="样式 标题 4 + 首行缩进:  2 字符"/>
    <w:basedOn w:val="41"/>
    <w:link w:val="42Char"/>
    <w:qFormat/>
    <w:pPr>
      <w:adjustRightInd/>
      <w:snapToGrid/>
      <w:spacing w:beforeLines="0" w:before="0" w:line="360" w:lineRule="auto"/>
    </w:pPr>
    <w:rPr>
      <w:rFonts w:ascii="Arial" w:hAnsi="Arial"/>
      <w:b/>
      <w:sz w:val="24"/>
      <w:szCs w:val="28"/>
    </w:rPr>
  </w:style>
  <w:style w:type="character" w:customStyle="1" w:styleId="0Char">
    <w:name w:val="正文0 Char"/>
    <w:link w:val="02"/>
    <w:qFormat/>
    <w:rPr>
      <w:color w:val="000000"/>
      <w:kern w:val="2"/>
      <w:sz w:val="24"/>
      <w:szCs w:val="24"/>
    </w:rPr>
  </w:style>
  <w:style w:type="paragraph" w:customStyle="1" w:styleId="02">
    <w:name w:val="正文0"/>
    <w:basedOn w:val="a6"/>
    <w:link w:val="0Char"/>
    <w:qFormat/>
    <w:pPr>
      <w:spacing w:line="500" w:lineRule="exact"/>
      <w:ind w:firstLineChars="200" w:firstLine="480"/>
    </w:pPr>
    <w:rPr>
      <w:color w:val="000000"/>
      <w:sz w:val="24"/>
    </w:rPr>
  </w:style>
  <w:style w:type="character" w:customStyle="1" w:styleId="ttitle1">
    <w:name w:val="ttitle1"/>
    <w:qFormat/>
    <w:rPr>
      <w:spacing w:val="120"/>
      <w:sz w:val="21"/>
      <w:szCs w:val="21"/>
    </w:rPr>
  </w:style>
  <w:style w:type="character" w:customStyle="1" w:styleId="7CharCharChar">
    <w:name w:val="标题7 Char Char Char"/>
    <w:qFormat/>
    <w:rPr>
      <w:rFonts w:ascii="黑体" w:eastAsia="黑体" w:hAnsi="宋体" w:cs="黑体"/>
      <w:bCs/>
      <w:color w:val="000000"/>
      <w:kern w:val="2"/>
      <w:sz w:val="24"/>
      <w:szCs w:val="24"/>
      <w:lang w:val="en-US" w:eastAsia="zh-CN" w:bidi="ar-SA"/>
    </w:rPr>
  </w:style>
  <w:style w:type="character" w:customStyle="1" w:styleId="2Char20">
    <w:name w:val="正文首行缩进 2 Char2"/>
    <w:qFormat/>
    <w:rPr>
      <w:kern w:val="2"/>
      <w:sz w:val="24"/>
      <w:szCs w:val="24"/>
    </w:rPr>
  </w:style>
  <w:style w:type="character" w:customStyle="1" w:styleId="CharCharCharf9">
    <w:name w:val="图题 Char Char Char"/>
    <w:qFormat/>
    <w:rPr>
      <w:rFonts w:ascii="黑体" w:eastAsia="黑体" w:hAnsi="宋体" w:cs="宋体"/>
      <w:b/>
      <w:bCs/>
      <w:kern w:val="2"/>
      <w:sz w:val="24"/>
      <w:szCs w:val="24"/>
      <w:lang w:val="en-US" w:eastAsia="zh-CN" w:bidi="ar-SA"/>
    </w:rPr>
  </w:style>
  <w:style w:type="character" w:customStyle="1" w:styleId="CharCharCharfa">
    <w:name w:val="正文 楷体 Char Char Char"/>
    <w:qFormat/>
    <w:rPr>
      <w:rFonts w:ascii="楷体_GB2312" w:eastAsia="楷体_GB2312" w:hAnsi="楷体_GB2312" w:cs="宋体"/>
      <w:sz w:val="24"/>
      <w:szCs w:val="24"/>
    </w:rPr>
  </w:style>
  <w:style w:type="character" w:customStyle="1" w:styleId="14Char">
    <w:name w:val="样式1.4 Char"/>
    <w:link w:val="140"/>
    <w:qFormat/>
    <w:rPr>
      <w:rFonts w:ascii="宋体" w:hAnsi="宋体"/>
      <w:kern w:val="2"/>
      <w:sz w:val="24"/>
    </w:rPr>
  </w:style>
  <w:style w:type="paragraph" w:customStyle="1" w:styleId="140">
    <w:name w:val="样式1.4"/>
    <w:basedOn w:val="a6"/>
    <w:link w:val="14Char"/>
    <w:qFormat/>
    <w:pPr>
      <w:spacing w:line="360" w:lineRule="auto"/>
      <w:ind w:firstLineChars="200" w:firstLine="200"/>
      <w:jc w:val="left"/>
    </w:pPr>
    <w:rPr>
      <w:rFonts w:ascii="宋体" w:hAnsi="宋体"/>
      <w:sz w:val="24"/>
      <w:szCs w:val="20"/>
    </w:rPr>
  </w:style>
  <w:style w:type="character" w:customStyle="1" w:styleId="3-biao-lsChar">
    <w:name w:val="标题 3-biao-ls Char"/>
    <w:qFormat/>
    <w:rPr>
      <w:rFonts w:ascii="黑体" w:eastAsia="黑体" w:hAnsi="宋体"/>
      <w:kern w:val="2"/>
      <w:sz w:val="24"/>
      <w:szCs w:val="24"/>
      <w:lang w:val="en-US" w:eastAsia="zh-CN" w:bidi="ar-SA"/>
    </w:rPr>
  </w:style>
  <w:style w:type="character" w:customStyle="1" w:styleId="DefaultChar">
    <w:name w:val="Default Char"/>
    <w:link w:val="Default"/>
    <w:qFormat/>
    <w:rPr>
      <w:rFonts w:ascii="宋体"/>
      <w:color w:val="000000"/>
      <w:sz w:val="24"/>
      <w:szCs w:val="24"/>
      <w:lang w:bidi="ar-SA"/>
    </w:rPr>
  </w:style>
  <w:style w:type="paragraph" w:customStyle="1" w:styleId="Default">
    <w:name w:val="Default"/>
    <w:next w:val="a6"/>
    <w:link w:val="DefaultChar"/>
    <w:qFormat/>
    <w:pPr>
      <w:widowControl w:val="0"/>
      <w:autoSpaceDE w:val="0"/>
      <w:autoSpaceDN w:val="0"/>
      <w:adjustRightInd w:val="0"/>
    </w:pPr>
    <w:rPr>
      <w:rFonts w:ascii="宋体"/>
      <w:color w:val="000000"/>
      <w:sz w:val="24"/>
      <w:szCs w:val="24"/>
    </w:rPr>
  </w:style>
  <w:style w:type="character" w:customStyle="1" w:styleId="2Char21">
    <w:name w:val="正文文本 2 Char2"/>
    <w:qFormat/>
    <w:rPr>
      <w:kern w:val="2"/>
      <w:sz w:val="24"/>
      <w:szCs w:val="24"/>
    </w:rPr>
  </w:style>
  <w:style w:type="character" w:customStyle="1" w:styleId="ldh14-01">
    <w:name w:val="ldh14-01"/>
    <w:qFormat/>
    <w:rPr>
      <w:b/>
      <w:bCs/>
      <w:color w:val="FFFFFF"/>
      <w:sz w:val="18"/>
      <w:szCs w:val="18"/>
    </w:rPr>
  </w:style>
  <w:style w:type="character" w:customStyle="1" w:styleId="snpChar">
    <w:name w:val="snp正文 Char"/>
    <w:link w:val="snp"/>
    <w:qFormat/>
    <w:rPr>
      <w:rFonts w:ascii="宋体" w:hAnsi="宋体"/>
      <w:bCs/>
      <w:iCs/>
      <w:kern w:val="2"/>
      <w:sz w:val="21"/>
      <w:szCs w:val="21"/>
    </w:rPr>
  </w:style>
  <w:style w:type="paragraph" w:customStyle="1" w:styleId="snp">
    <w:name w:val="snp正文"/>
    <w:basedOn w:val="a6"/>
    <w:link w:val="snpChar"/>
    <w:qFormat/>
    <w:pPr>
      <w:ind w:firstLineChars="200" w:firstLine="200"/>
    </w:pPr>
    <w:rPr>
      <w:rFonts w:ascii="宋体" w:hAnsi="宋体"/>
      <w:bCs/>
      <w:iCs/>
      <w:szCs w:val="21"/>
    </w:rPr>
  </w:style>
  <w:style w:type="character" w:customStyle="1" w:styleId="ca-81">
    <w:name w:val="ca-81"/>
    <w:qFormat/>
    <w:rPr>
      <w:rFonts w:ascii="Times New Roman" w:hAnsi="Times New Roman" w:cs="Times New Roman" w:hint="default"/>
      <w:color w:val="FF0000"/>
      <w:sz w:val="21"/>
      <w:szCs w:val="21"/>
    </w:rPr>
  </w:style>
  <w:style w:type="character" w:customStyle="1" w:styleId="xxfb">
    <w:name w:val="xxfb"/>
    <w:basedOn w:val="a7"/>
    <w:qFormat/>
  </w:style>
  <w:style w:type="character" w:customStyle="1" w:styleId="text11">
    <w:name w:val="text11"/>
    <w:qFormat/>
    <w:rPr>
      <w:sz w:val="18"/>
      <w:szCs w:val="18"/>
    </w:rPr>
  </w:style>
  <w:style w:type="character" w:customStyle="1" w:styleId="CharCharffff4">
    <w:name w:val="新正文样式 Char Char"/>
    <w:link w:val="affffffffffffe"/>
    <w:qFormat/>
    <w:rPr>
      <w:color w:val="000000"/>
      <w:spacing w:val="20"/>
      <w:kern w:val="2"/>
      <w:sz w:val="24"/>
    </w:rPr>
  </w:style>
  <w:style w:type="paragraph" w:customStyle="1" w:styleId="affffffffffffe">
    <w:name w:val="新正文样式"/>
    <w:basedOn w:val="a6"/>
    <w:link w:val="CharCharffff4"/>
    <w:qFormat/>
    <w:pPr>
      <w:tabs>
        <w:tab w:val="left" w:pos="567"/>
      </w:tabs>
      <w:spacing w:line="360" w:lineRule="auto"/>
      <w:ind w:firstLine="567"/>
    </w:pPr>
    <w:rPr>
      <w:color w:val="000000"/>
      <w:spacing w:val="20"/>
      <w:sz w:val="24"/>
      <w:szCs w:val="20"/>
    </w:rPr>
  </w:style>
  <w:style w:type="character" w:customStyle="1" w:styleId="Charffffffffc">
    <w:name w:val="表内容 Char"/>
    <w:link w:val="afffffffffffff"/>
    <w:qFormat/>
    <w:rPr>
      <w:rFonts w:eastAsia="宋体"/>
      <w:kern w:val="2"/>
      <w:sz w:val="18"/>
      <w:szCs w:val="24"/>
      <w:lang w:val="en-US" w:eastAsia="zh-CN" w:bidi="ar-SA"/>
    </w:rPr>
  </w:style>
  <w:style w:type="paragraph" w:customStyle="1" w:styleId="afffffffffffff">
    <w:name w:val="表内容"/>
    <w:basedOn w:val="a6"/>
    <w:link w:val="Charffffffffc"/>
    <w:qFormat/>
    <w:pPr>
      <w:spacing w:line="280" w:lineRule="exact"/>
      <w:ind w:leftChars="-20" w:left="-20" w:rightChars="-20" w:right="-20"/>
      <w:jc w:val="center"/>
    </w:pPr>
    <w:rPr>
      <w:sz w:val="18"/>
    </w:rPr>
  </w:style>
  <w:style w:type="character" w:customStyle="1" w:styleId="javascript">
    <w:name w:val="javascript"/>
    <w:qFormat/>
  </w:style>
  <w:style w:type="character" w:customStyle="1" w:styleId="Charffffffffd">
    <w:name w:val="列出段落 Char"/>
    <w:link w:val="1ffb"/>
    <w:qFormat/>
    <w:rPr>
      <w:rFonts w:eastAsia="宋体"/>
      <w:bCs/>
      <w:color w:val="0000FF"/>
      <w:sz w:val="18"/>
      <w:szCs w:val="18"/>
      <w:lang w:val="en-US" w:eastAsia="zh-CN" w:bidi="ar-SA"/>
    </w:rPr>
  </w:style>
  <w:style w:type="paragraph" w:customStyle="1" w:styleId="1ffb">
    <w:name w:val="列出段落1"/>
    <w:basedOn w:val="a6"/>
    <w:link w:val="Charffffffffd"/>
    <w:qFormat/>
    <w:pPr>
      <w:adjustRightInd w:val="0"/>
      <w:snapToGrid w:val="0"/>
      <w:jc w:val="center"/>
    </w:pPr>
    <w:rPr>
      <w:bCs/>
      <w:color w:val="0000FF"/>
      <w:kern w:val="0"/>
      <w:sz w:val="18"/>
      <w:szCs w:val="18"/>
    </w:rPr>
  </w:style>
  <w:style w:type="character" w:customStyle="1" w:styleId="2CharChar20">
    <w:name w:val="标题 2 Char Char2"/>
    <w:qFormat/>
    <w:rPr>
      <w:rFonts w:ascii="黑体" w:eastAsia="黑体"/>
      <w:kern w:val="2"/>
      <w:sz w:val="28"/>
      <w:szCs w:val="28"/>
      <w:lang w:val="en-US" w:eastAsia="zh-CN" w:bidi="ar-SA"/>
    </w:rPr>
  </w:style>
  <w:style w:type="character" w:customStyle="1" w:styleId="CharCharffff5">
    <w:name w:val="表、图名 Char Char"/>
    <w:qFormat/>
    <w:rPr>
      <w:rFonts w:ascii="黑体" w:eastAsia="黑体" w:hAnsi="Arial"/>
      <w:kern w:val="2"/>
      <w:sz w:val="21"/>
      <w:szCs w:val="21"/>
      <w:lang w:val="en-US" w:eastAsia="zh-CN" w:bidi="ar-SA"/>
    </w:rPr>
  </w:style>
  <w:style w:type="character" w:customStyle="1" w:styleId="2Charf3">
    <w:name w:val="样式 正文首行缩进 2 + (符号) 宋体 Char"/>
    <w:qFormat/>
    <w:rPr>
      <w:rFonts w:ascii="宋体" w:eastAsia="宋体"/>
      <w:kern w:val="2"/>
      <w:sz w:val="24"/>
      <w:szCs w:val="24"/>
      <w:lang w:val="en-US" w:eastAsia="zh-CN" w:bidi="ar-SA"/>
    </w:rPr>
  </w:style>
  <w:style w:type="character" w:customStyle="1" w:styleId="1Chare">
    <w:name w:val="标题 1 Char"/>
    <w:uiPriority w:val="9"/>
    <w:qFormat/>
    <w:rPr>
      <w:rFonts w:eastAsia="宋体"/>
      <w:b/>
      <w:bCs/>
      <w:kern w:val="44"/>
      <w:sz w:val="44"/>
      <w:szCs w:val="44"/>
      <w:lang w:val="en-US" w:eastAsia="zh-CN" w:bidi="ar-SA"/>
    </w:rPr>
  </w:style>
  <w:style w:type="character" w:customStyle="1" w:styleId="1Charf">
    <w:name w:val="表头1 Char"/>
    <w:qFormat/>
    <w:rPr>
      <w:rFonts w:eastAsia="黑体"/>
      <w:sz w:val="21"/>
      <w:szCs w:val="21"/>
      <w:lang w:val="en-US" w:eastAsia="zh-CN" w:bidi="ar-SA"/>
    </w:rPr>
  </w:style>
  <w:style w:type="character" w:customStyle="1" w:styleId="afffffffffffff0">
    <w:name w:val="纯文本 字符"/>
    <w:qFormat/>
    <w:rPr>
      <w:rFonts w:ascii="宋体" w:eastAsia="宋体" w:hAnsi="Courier New"/>
      <w:kern w:val="2"/>
      <w:sz w:val="24"/>
      <w:lang w:val="en-US" w:eastAsia="zh-CN" w:bidi="ar-SA"/>
    </w:rPr>
  </w:style>
  <w:style w:type="character" w:customStyle="1" w:styleId="Footer1Char">
    <w:name w:val="Footer1 Char"/>
    <w:qFormat/>
    <w:locked/>
    <w:rPr>
      <w:rFonts w:eastAsia="宋体"/>
      <w:kern w:val="2"/>
      <w:sz w:val="18"/>
      <w:szCs w:val="18"/>
      <w:lang w:val="en-US" w:eastAsia="zh-CN" w:bidi="ar-SA"/>
    </w:rPr>
  </w:style>
  <w:style w:type="character" w:customStyle="1" w:styleId="CharCharffff6">
    <w:name w:val="表格内字体 Char Char"/>
    <w:link w:val="afffffffffffff1"/>
    <w:qFormat/>
    <w:rPr>
      <w:rFonts w:ascii="宋体" w:hAnsi="宋体"/>
      <w:kern w:val="2"/>
      <w:sz w:val="21"/>
    </w:rPr>
  </w:style>
  <w:style w:type="paragraph" w:customStyle="1" w:styleId="afffffffffffff1">
    <w:name w:val="表格内字体"/>
    <w:basedOn w:val="affffa"/>
    <w:next w:val="affffa"/>
    <w:link w:val="CharCharffff6"/>
    <w:qFormat/>
    <w:pPr>
      <w:spacing w:line="240" w:lineRule="auto"/>
      <w:ind w:firstLine="0"/>
      <w:jc w:val="center"/>
    </w:pPr>
    <w:rPr>
      <w:sz w:val="21"/>
    </w:rPr>
  </w:style>
  <w:style w:type="character" w:customStyle="1" w:styleId="SLCONChar0">
    <w:name w:val="表内文字 样式 五号 居中 行距: 单倍行距 SL CON Char"/>
    <w:link w:val="SLCON0"/>
    <w:qFormat/>
    <w:rPr>
      <w:rFonts w:ascii="宋体" w:cs="宋体"/>
      <w:szCs w:val="21"/>
    </w:rPr>
  </w:style>
  <w:style w:type="paragraph" w:customStyle="1" w:styleId="SLCON0">
    <w:name w:val="表内文字 样式 五号 居中 行距: 单倍行距 SL CON"/>
    <w:basedOn w:val="a6"/>
    <w:link w:val="SLCONChar0"/>
    <w:qFormat/>
    <w:pPr>
      <w:widowControl/>
      <w:tabs>
        <w:tab w:val="left" w:pos="377"/>
      </w:tabs>
      <w:spacing w:line="360" w:lineRule="auto"/>
      <w:ind w:firstLineChars="200" w:firstLine="200"/>
      <w:jc w:val="center"/>
    </w:pPr>
    <w:rPr>
      <w:rFonts w:ascii="宋体"/>
      <w:kern w:val="0"/>
      <w:sz w:val="20"/>
      <w:szCs w:val="21"/>
    </w:rPr>
  </w:style>
  <w:style w:type="character" w:customStyle="1" w:styleId="2221Char">
    <w:name w:val="样式 样式 样式 正文缩进 + 首行缩进:  2 字符 + 首行缩进:  2 字符 + 首行缩进:  2 字符1 Char"/>
    <w:link w:val="2221"/>
    <w:qFormat/>
    <w:rPr>
      <w:sz w:val="24"/>
    </w:rPr>
  </w:style>
  <w:style w:type="paragraph" w:customStyle="1" w:styleId="2221">
    <w:name w:val="样式 样式 样式 正文缩进 + 首行缩进:  2 字符 + 首行缩进:  2 字符 + 首行缩进:  2 字符1"/>
    <w:basedOn w:val="a6"/>
    <w:link w:val="2221Char"/>
    <w:qFormat/>
    <w:pPr>
      <w:spacing w:line="500" w:lineRule="exact"/>
      <w:ind w:firstLineChars="200" w:firstLine="480"/>
    </w:pPr>
    <w:rPr>
      <w:kern w:val="0"/>
      <w:sz w:val="24"/>
      <w:szCs w:val="20"/>
    </w:rPr>
  </w:style>
  <w:style w:type="character" w:customStyle="1" w:styleId="CharCharffff7">
    <w:name w:val="表格 Char Char"/>
    <w:qFormat/>
    <w:rPr>
      <w:rFonts w:eastAsia="宋体"/>
      <w:bCs/>
      <w:kern w:val="2"/>
      <w:sz w:val="21"/>
      <w:szCs w:val="28"/>
      <w:lang w:val="en-US" w:eastAsia="zh-CN" w:bidi="ar-SA"/>
    </w:rPr>
  </w:style>
  <w:style w:type="character" w:customStyle="1" w:styleId="4Char11">
    <w:name w:val="标题 4 Char11"/>
    <w:qFormat/>
    <w:rPr>
      <w:rFonts w:ascii="黑体" w:eastAsia="宋体" w:hAnsi="Arial"/>
      <w:b/>
      <w:i/>
      <w:kern w:val="2"/>
      <w:sz w:val="24"/>
    </w:rPr>
  </w:style>
  <w:style w:type="character" w:customStyle="1" w:styleId="000CharChar">
    <w:name w:val="000 Char Char"/>
    <w:link w:val="000"/>
    <w:qFormat/>
    <w:rPr>
      <w:rFonts w:ascii="Calibri" w:hAnsi="Calibri"/>
      <w:kern w:val="2"/>
      <w:sz w:val="24"/>
    </w:rPr>
  </w:style>
  <w:style w:type="paragraph" w:customStyle="1" w:styleId="000">
    <w:name w:val="000"/>
    <w:basedOn w:val="a6"/>
    <w:link w:val="000CharChar"/>
    <w:qFormat/>
    <w:pPr>
      <w:spacing w:line="360" w:lineRule="auto"/>
      <w:ind w:firstLineChars="200" w:firstLine="480"/>
    </w:pPr>
    <w:rPr>
      <w:rFonts w:ascii="Calibri" w:hAnsi="Calibri"/>
      <w:sz w:val="24"/>
      <w:szCs w:val="20"/>
    </w:rPr>
  </w:style>
  <w:style w:type="character" w:customStyle="1" w:styleId="jjbody1">
    <w:name w:val="jjbody1"/>
    <w:qFormat/>
    <w:rPr>
      <w:rFonts w:ascii="宋体" w:eastAsia="宋体" w:hAnsi="宋体" w:hint="eastAsia"/>
      <w:color w:val="555555"/>
      <w:sz w:val="21"/>
      <w:szCs w:val="21"/>
    </w:rPr>
  </w:style>
  <w:style w:type="character" w:customStyle="1" w:styleId="Char1ff5">
    <w:name w:val="正文格式 Char1"/>
    <w:qFormat/>
    <w:rPr>
      <w:rFonts w:ascii="宋体" w:eastAsia="宋体" w:hAnsi="宋体" w:cs="宋体"/>
      <w:bCs/>
      <w:kern w:val="2"/>
      <w:sz w:val="24"/>
      <w:szCs w:val="24"/>
      <w:lang w:val="en-US" w:eastAsia="zh-CN" w:bidi="ar-SA"/>
    </w:rPr>
  </w:style>
  <w:style w:type="character" w:customStyle="1" w:styleId="AChar4">
    <w:name w:val="标题四A Char"/>
    <w:link w:val="Afffffffffffff2"/>
    <w:qFormat/>
    <w:rPr>
      <w:rFonts w:ascii="宋体" w:hAnsi="宋体"/>
      <w:b/>
      <w:bCs/>
      <w:sz w:val="28"/>
      <w:szCs w:val="28"/>
    </w:rPr>
  </w:style>
  <w:style w:type="paragraph" w:customStyle="1" w:styleId="Afffffffffffff2">
    <w:name w:val="标题四A"/>
    <w:basedOn w:val="41"/>
    <w:link w:val="AChar4"/>
    <w:qFormat/>
    <w:pPr>
      <w:keepNext w:val="0"/>
      <w:keepLines w:val="0"/>
      <w:tabs>
        <w:tab w:val="left" w:pos="1070"/>
      </w:tabs>
      <w:adjustRightInd/>
      <w:snapToGrid/>
      <w:spacing w:beforeLines="0" w:before="0"/>
    </w:pPr>
    <w:rPr>
      <w:rFonts w:ascii="宋体" w:eastAsia="宋体"/>
      <w:b/>
      <w:kern w:val="0"/>
      <w:szCs w:val="28"/>
    </w:rPr>
  </w:style>
  <w:style w:type="character" w:customStyle="1" w:styleId="Charffffffffe">
    <w:name w:val="正文（评） Char"/>
    <w:link w:val="afffffffffffff3"/>
    <w:semiHidden/>
    <w:qFormat/>
    <w:rPr>
      <w:color w:val="000000"/>
      <w:spacing w:val="10"/>
      <w:sz w:val="24"/>
      <w:szCs w:val="21"/>
    </w:rPr>
  </w:style>
  <w:style w:type="paragraph" w:customStyle="1" w:styleId="afffffffffffff3">
    <w:name w:val="正文（评）"/>
    <w:basedOn w:val="a6"/>
    <w:link w:val="Charffffffffe"/>
    <w:semiHidden/>
    <w:qFormat/>
    <w:pPr>
      <w:adjustRightInd w:val="0"/>
      <w:snapToGrid w:val="0"/>
      <w:spacing w:line="360" w:lineRule="auto"/>
      <w:ind w:firstLineChars="200" w:firstLine="520"/>
    </w:pPr>
    <w:rPr>
      <w:color w:val="000000"/>
      <w:spacing w:val="10"/>
      <w:kern w:val="0"/>
      <w:sz w:val="24"/>
      <w:szCs w:val="21"/>
    </w:rPr>
  </w:style>
  <w:style w:type="character" w:customStyle="1" w:styleId="AChar5">
    <w:name w:val="标题三A Char"/>
    <w:link w:val="Afffffffffffff4"/>
    <w:qFormat/>
    <w:rPr>
      <w:rFonts w:ascii="宋体" w:hAnsi="宋体"/>
      <w:b/>
      <w:bCs/>
      <w:kern w:val="2"/>
      <w:sz w:val="28"/>
      <w:szCs w:val="28"/>
    </w:rPr>
  </w:style>
  <w:style w:type="paragraph" w:customStyle="1" w:styleId="Afffffffffffff4">
    <w:name w:val="标题三A"/>
    <w:basedOn w:val="33"/>
    <w:link w:val="AChar5"/>
    <w:qFormat/>
    <w:pPr>
      <w:keepNext w:val="0"/>
      <w:keepLines w:val="0"/>
      <w:tabs>
        <w:tab w:val="left" w:pos="1070"/>
      </w:tabs>
      <w:spacing w:line="500" w:lineRule="exact"/>
      <w:ind w:leftChars="400" w:left="1070" w:hangingChars="200" w:hanging="360"/>
    </w:pPr>
    <w:rPr>
      <w:rFonts w:ascii="宋体" w:eastAsia="宋体" w:hAnsi="宋体"/>
      <w:b/>
      <w:bCs/>
      <w:spacing w:val="0"/>
      <w:szCs w:val="28"/>
    </w:rPr>
  </w:style>
  <w:style w:type="character" w:customStyle="1" w:styleId="Charfffffffff">
    <w:name w:val="标题四！！！！！！！！！！！！！！！！！！ Char"/>
    <w:link w:val="afffffffffffff5"/>
    <w:qFormat/>
    <w:rPr>
      <w:rFonts w:ascii="楷体_GB2312" w:eastAsia="楷体_GB2312" w:hAnsi="宋体" w:cs="宋体"/>
      <w:b/>
      <w:kern w:val="2"/>
      <w:sz w:val="24"/>
      <w:szCs w:val="21"/>
    </w:rPr>
  </w:style>
  <w:style w:type="paragraph" w:customStyle="1" w:styleId="afffffffffffff5">
    <w:name w:val="标题四！！！！！！！！！！！！！！！！！！"/>
    <w:basedOn w:val="a6"/>
    <w:link w:val="Charfffffffff"/>
    <w:qFormat/>
    <w:pPr>
      <w:spacing w:line="500" w:lineRule="exact"/>
    </w:pPr>
    <w:rPr>
      <w:rFonts w:ascii="楷体_GB2312" w:eastAsia="楷体_GB2312" w:hAnsi="宋体"/>
      <w:b/>
      <w:sz w:val="24"/>
      <w:szCs w:val="21"/>
    </w:rPr>
  </w:style>
  <w:style w:type="character" w:customStyle="1" w:styleId="Charfffffffff0">
    <w:name w:val="院正文 Char"/>
    <w:link w:val="afffffffffffff6"/>
    <w:qFormat/>
    <w:locked/>
    <w:rPr>
      <w:rFonts w:ascii="Arial" w:hAnsi="Arial"/>
      <w:sz w:val="28"/>
      <w:szCs w:val="28"/>
    </w:rPr>
  </w:style>
  <w:style w:type="paragraph" w:customStyle="1" w:styleId="afffffffffffff6">
    <w:name w:val="院正文"/>
    <w:basedOn w:val="a6"/>
    <w:link w:val="Charfffffffff0"/>
    <w:qFormat/>
    <w:pPr>
      <w:spacing w:line="360" w:lineRule="auto"/>
      <w:ind w:firstLineChars="200" w:firstLine="560"/>
    </w:pPr>
    <w:rPr>
      <w:rFonts w:ascii="Arial" w:hAnsi="Arial"/>
      <w:kern w:val="0"/>
      <w:sz w:val="28"/>
      <w:szCs w:val="28"/>
    </w:rPr>
  </w:style>
  <w:style w:type="character" w:customStyle="1" w:styleId="3Char5">
    <w:name w:val="3级标题 Char"/>
    <w:link w:val="3f8"/>
    <w:qFormat/>
    <w:rPr>
      <w:rFonts w:ascii="黑体" w:eastAsia="黑体" w:hAnsi="Calibri"/>
      <w:b/>
      <w:kern w:val="2"/>
      <w:sz w:val="24"/>
      <w:szCs w:val="24"/>
    </w:rPr>
  </w:style>
  <w:style w:type="paragraph" w:customStyle="1" w:styleId="3f8">
    <w:name w:val="3级标题"/>
    <w:basedOn w:val="a6"/>
    <w:link w:val="3Char5"/>
    <w:qFormat/>
    <w:pPr>
      <w:spacing w:line="360" w:lineRule="auto"/>
      <w:outlineLvl w:val="2"/>
    </w:pPr>
    <w:rPr>
      <w:rFonts w:ascii="黑体" w:eastAsia="黑体" w:hAnsi="Calibri"/>
      <w:b/>
      <w:sz w:val="24"/>
    </w:rPr>
  </w:style>
  <w:style w:type="character" w:customStyle="1" w:styleId="xCharChar">
    <w:name w:val="x文 Char Char"/>
    <w:link w:val="x0"/>
    <w:qFormat/>
    <w:rPr>
      <w:rFonts w:ascii="宋体" w:hAnsi="宋体"/>
      <w:kern w:val="2"/>
      <w:sz w:val="28"/>
      <w:szCs w:val="28"/>
    </w:rPr>
  </w:style>
  <w:style w:type="paragraph" w:customStyle="1" w:styleId="x0">
    <w:name w:val="x文"/>
    <w:basedOn w:val="a6"/>
    <w:link w:val="xCharChar"/>
    <w:qFormat/>
    <w:pPr>
      <w:spacing w:line="360" w:lineRule="auto"/>
      <w:ind w:firstLineChars="200" w:firstLine="560"/>
    </w:pPr>
    <w:rPr>
      <w:rFonts w:ascii="宋体" w:hAnsi="宋体"/>
      <w:sz w:val="28"/>
      <w:szCs w:val="28"/>
    </w:rPr>
  </w:style>
  <w:style w:type="character" w:customStyle="1" w:styleId="TB1Char">
    <w:name w:val="TB1 Char"/>
    <w:link w:val="TB1"/>
    <w:qFormat/>
    <w:rPr>
      <w:rFonts w:ascii="Calibri" w:eastAsia="仿宋_GB2312" w:hAnsi="Calibri"/>
      <w:kern w:val="2"/>
      <w:sz w:val="21"/>
      <w:szCs w:val="21"/>
    </w:rPr>
  </w:style>
  <w:style w:type="paragraph" w:customStyle="1" w:styleId="TB1">
    <w:name w:val="TB1"/>
    <w:basedOn w:val="af0"/>
    <w:link w:val="TB1Char"/>
    <w:qFormat/>
    <w:pPr>
      <w:snapToGrid w:val="0"/>
      <w:spacing w:line="320" w:lineRule="exact"/>
      <w:ind w:firstLine="0"/>
      <w:jc w:val="center"/>
      <w:textAlignment w:val="auto"/>
    </w:pPr>
    <w:rPr>
      <w:rFonts w:ascii="Calibri" w:eastAsia="仿宋_GB2312" w:hAnsi="Calibri"/>
      <w:kern w:val="2"/>
      <w:sz w:val="21"/>
      <w:szCs w:val="21"/>
    </w:rPr>
  </w:style>
  <w:style w:type="character" w:customStyle="1" w:styleId="-lsChar0">
    <w:name w:val="正文-ls Char"/>
    <w:qFormat/>
    <w:rPr>
      <w:rFonts w:eastAsia="宋体" w:hAnsi="宋体" w:cs="宋体"/>
      <w:kern w:val="2"/>
      <w:sz w:val="24"/>
      <w:lang w:val="en-US" w:eastAsia="zh-CN" w:bidi="ar-SA"/>
    </w:rPr>
  </w:style>
  <w:style w:type="character" w:customStyle="1" w:styleId="Charfffffffff1">
    <w:name w:val="农贸市场正文 Char"/>
    <w:link w:val="afffffffffffff7"/>
    <w:qFormat/>
    <w:rPr>
      <w:rFonts w:ascii="Calibri" w:hAnsi="Calibri"/>
      <w:b/>
      <w:snapToGrid/>
      <w:color w:val="000000"/>
      <w:kern w:val="2"/>
      <w:sz w:val="24"/>
      <w:szCs w:val="24"/>
    </w:rPr>
  </w:style>
  <w:style w:type="paragraph" w:customStyle="1" w:styleId="afffffffffffff7">
    <w:name w:val="农贸市场正文"/>
    <w:basedOn w:val="a6"/>
    <w:link w:val="Charfffffffff1"/>
    <w:qFormat/>
    <w:pPr>
      <w:spacing w:line="360" w:lineRule="auto"/>
      <w:ind w:firstLineChars="200" w:firstLine="200"/>
    </w:pPr>
    <w:rPr>
      <w:rFonts w:ascii="Calibri" w:hAnsi="Calibri"/>
      <w:b/>
      <w:snapToGrid w:val="0"/>
      <w:color w:val="000000"/>
      <w:sz w:val="24"/>
    </w:rPr>
  </w:style>
  <w:style w:type="character" w:customStyle="1" w:styleId="2ffd">
    <w:name w:val="书籍标题2"/>
    <w:qFormat/>
    <w:rPr>
      <w:b/>
      <w:smallCaps/>
      <w:spacing w:val="5"/>
    </w:rPr>
  </w:style>
  <w:style w:type="character" w:customStyle="1" w:styleId="detail1">
    <w:name w:val="detail1"/>
    <w:qFormat/>
    <w:rPr>
      <w:rFonts w:ascii="ˎ̥" w:hAnsi="ˎ̥" w:hint="default"/>
      <w:sz w:val="21"/>
      <w:u w:val="none"/>
    </w:rPr>
  </w:style>
  <w:style w:type="character" w:customStyle="1" w:styleId="EmailStyle507">
    <w:name w:val="EmailStyle507"/>
    <w:qFormat/>
    <w:rPr>
      <w:rFonts w:ascii="Arial" w:eastAsia="宋体" w:hAnsi="Arial" w:cs="Arial"/>
      <w:color w:val="auto"/>
      <w:sz w:val="20"/>
    </w:rPr>
  </w:style>
  <w:style w:type="character" w:customStyle="1" w:styleId="CharNewNew">
    <w:name w:val="正文 楷体 Char New New"/>
    <w:qFormat/>
    <w:rPr>
      <w:rFonts w:ascii="楷体_GB2312" w:eastAsia="楷体_GB2312" w:hAnsi="楷体_GB2312" w:cs="宋体"/>
      <w:kern w:val="2"/>
      <w:sz w:val="24"/>
      <w:szCs w:val="24"/>
      <w:lang w:val="en-US" w:eastAsia="zh-CN" w:bidi="ar-SA"/>
    </w:rPr>
  </w:style>
  <w:style w:type="character" w:customStyle="1" w:styleId="highlight1">
    <w:name w:val="highlight1"/>
    <w:uiPriority w:val="99"/>
    <w:qFormat/>
    <w:rPr>
      <w:sz w:val="14"/>
      <w:szCs w:val="14"/>
    </w:rPr>
  </w:style>
  <w:style w:type="character" w:customStyle="1" w:styleId="3Char6">
    <w:name w:val="正文3 Char"/>
    <w:qFormat/>
    <w:rPr>
      <w:rFonts w:ascii="宋体" w:hAnsi="宋体"/>
      <w:bCs/>
      <w:snapToGrid/>
      <w:sz w:val="24"/>
      <w:szCs w:val="28"/>
      <w:lang w:val="zh-CN" w:bidi="ar-SA"/>
    </w:rPr>
  </w:style>
  <w:style w:type="character" w:customStyle="1" w:styleId="08505Char1">
    <w:name w:val="样式 样式 首行缩进:  0.85 厘米 + 段前: 0.5 行 Char1"/>
    <w:link w:val="08505"/>
    <w:qFormat/>
    <w:rPr>
      <w:color w:val="000000"/>
      <w:w w:val="110"/>
      <w:sz w:val="24"/>
    </w:rPr>
  </w:style>
  <w:style w:type="paragraph" w:customStyle="1" w:styleId="08505">
    <w:name w:val="样式 样式 首行缩进:  0.85 厘米 + 段前: 0.5 行"/>
    <w:basedOn w:val="a6"/>
    <w:link w:val="08505Char1"/>
    <w:qFormat/>
    <w:pPr>
      <w:spacing w:before="50" w:line="360" w:lineRule="auto"/>
      <w:ind w:firstLine="482"/>
    </w:pPr>
    <w:rPr>
      <w:color w:val="000000"/>
      <w:w w:val="110"/>
      <w:kern w:val="0"/>
      <w:sz w:val="24"/>
      <w:szCs w:val="20"/>
    </w:rPr>
  </w:style>
  <w:style w:type="character" w:customStyle="1" w:styleId="CharCharCharfb">
    <w:name w:val="表、图名 Char Char Char"/>
    <w:qFormat/>
    <w:rPr>
      <w:rFonts w:ascii="黑体" w:eastAsia="黑体" w:hAnsi="宋体"/>
      <w:b/>
      <w:sz w:val="24"/>
      <w:szCs w:val="24"/>
      <w:lang w:val="en-US" w:eastAsia="zh-CN" w:bidi="ar-SA"/>
    </w:rPr>
  </w:style>
  <w:style w:type="character" w:customStyle="1" w:styleId="afffffffffffff8">
    <w:name w:val="Подпись к таблице"/>
    <w:qFormat/>
    <w:rPr>
      <w:rFonts w:ascii="Times New Roman" w:eastAsia="Times New Roman" w:hAnsi="Times New Roman" w:cs="Times New Roman"/>
      <w:sz w:val="26"/>
      <w:szCs w:val="26"/>
      <w:shd w:val="clear" w:color="auto" w:fill="FFFFFF"/>
      <w:lang w:bidi="ar-SA"/>
    </w:rPr>
  </w:style>
  <w:style w:type="character" w:customStyle="1" w:styleId="CharCharffff8">
    <w:name w:val="燕山正文 Char Char"/>
    <w:link w:val="afffffffffffff9"/>
    <w:qFormat/>
    <w:rPr>
      <w:rFonts w:ascii="宋体" w:hAnsi="宋体"/>
      <w:snapToGrid/>
      <w:color w:val="000000"/>
      <w:spacing w:val="-6"/>
      <w:sz w:val="24"/>
      <w:szCs w:val="24"/>
    </w:rPr>
  </w:style>
  <w:style w:type="paragraph" w:customStyle="1" w:styleId="afffffffffffff9">
    <w:name w:val="燕山正文"/>
    <w:basedOn w:val="a6"/>
    <w:link w:val="CharCharffff8"/>
    <w:qFormat/>
    <w:pPr>
      <w:tabs>
        <w:tab w:val="left" w:pos="4680"/>
      </w:tabs>
      <w:adjustRightInd w:val="0"/>
      <w:snapToGrid w:val="0"/>
      <w:spacing w:line="500" w:lineRule="exact"/>
      <w:ind w:firstLineChars="200" w:firstLine="456"/>
    </w:pPr>
    <w:rPr>
      <w:rFonts w:ascii="宋体" w:hAnsi="宋体"/>
      <w:snapToGrid w:val="0"/>
      <w:color w:val="000000"/>
      <w:spacing w:val="-6"/>
      <w:kern w:val="0"/>
      <w:sz w:val="24"/>
      <w:shd w:val="clear" w:color="auto" w:fill="FFFFFF"/>
    </w:rPr>
  </w:style>
  <w:style w:type="character" w:customStyle="1" w:styleId="220CharChar">
    <w:name w:val="标题 2 + 行距: 标题2+首行缩进 0倍 Char Char"/>
    <w:qFormat/>
    <w:rPr>
      <w:rFonts w:ascii="黑体" w:eastAsia="黑体"/>
      <w:sz w:val="30"/>
    </w:rPr>
  </w:style>
  <w:style w:type="character" w:customStyle="1" w:styleId="1CharCharf0">
    <w:name w:val="项标题(1) Char Char"/>
    <w:qFormat/>
    <w:rPr>
      <w:rFonts w:ascii="新宋体" w:eastAsia="仿宋_GB2312" w:hAnsi="新宋体"/>
      <w:b/>
      <w:kern w:val="2"/>
      <w:sz w:val="24"/>
      <w:lang w:val="en-US" w:eastAsia="zh-CN" w:bidi="ar-SA"/>
    </w:rPr>
  </w:style>
  <w:style w:type="character" w:customStyle="1" w:styleId="contenttext1">
    <w:name w:val="content_text1"/>
    <w:qFormat/>
    <w:rPr>
      <w:rFonts w:ascii="宋体" w:eastAsia="宋体" w:hAnsi="宋体" w:hint="eastAsia"/>
      <w:sz w:val="21"/>
      <w:szCs w:val="21"/>
    </w:rPr>
  </w:style>
  <w:style w:type="character" w:customStyle="1" w:styleId="fc04stagselectedjs-fcurrentfc05">
    <w:name w:val="fc04 stag selected js-fcurrent fc05"/>
    <w:qFormat/>
  </w:style>
  <w:style w:type="character" w:customStyle="1" w:styleId="H6Char">
    <w:name w:val="H6 Char"/>
    <w:qFormat/>
    <w:rPr>
      <w:rFonts w:ascii="Arial" w:eastAsia="黑体" w:hAnsi="Arial"/>
      <w:b/>
      <w:bCs/>
      <w:kern w:val="2"/>
      <w:sz w:val="24"/>
      <w:szCs w:val="24"/>
    </w:rPr>
  </w:style>
  <w:style w:type="character" w:customStyle="1" w:styleId="CharChar220">
    <w:name w:val="Char Char22"/>
    <w:qFormat/>
    <w:rPr>
      <w:rFonts w:ascii="Arial" w:eastAsia="黑体" w:hAnsi="Arial"/>
      <w:b/>
      <w:bCs/>
      <w:kern w:val="2"/>
      <w:sz w:val="32"/>
      <w:szCs w:val="32"/>
      <w:lang w:val="en-US" w:eastAsia="zh-CN" w:bidi="ar-SA"/>
    </w:rPr>
  </w:style>
  <w:style w:type="character" w:customStyle="1" w:styleId="highlight">
    <w:name w:val="highlight"/>
    <w:qFormat/>
  </w:style>
  <w:style w:type="character" w:customStyle="1" w:styleId="141">
    <w:name w:val="141"/>
    <w:qFormat/>
    <w:rPr>
      <w:sz w:val="21"/>
      <w:szCs w:val="21"/>
    </w:rPr>
  </w:style>
  <w:style w:type="character" w:customStyle="1" w:styleId="h21">
    <w:name w:val="h21"/>
    <w:qFormat/>
    <w:rPr>
      <w:rFonts w:ascii="Tahoma" w:hAnsi="Tahoma" w:cs="Tahoma" w:hint="default"/>
      <w:b/>
      <w:bCs/>
      <w:color w:val="333399"/>
      <w:sz w:val="20"/>
      <w:szCs w:val="20"/>
    </w:rPr>
  </w:style>
  <w:style w:type="character" w:customStyle="1" w:styleId="CharCharffff9">
    <w:name w:val="表中文字 Char Char"/>
    <w:qFormat/>
    <w:rPr>
      <w:rFonts w:ascii="宋体" w:hAnsi="Courier New"/>
      <w:kern w:val="2"/>
      <w:sz w:val="21"/>
    </w:rPr>
  </w:style>
  <w:style w:type="character" w:customStyle="1" w:styleId="ca-11">
    <w:name w:val="ca-11"/>
    <w:qFormat/>
    <w:rPr>
      <w:rFonts w:ascii="宋体" w:eastAsia="宋体" w:hAnsi="宋体" w:hint="eastAsia"/>
      <w:color w:val="000000"/>
      <w:sz w:val="28"/>
      <w:szCs w:val="28"/>
    </w:rPr>
  </w:style>
  <w:style w:type="character" w:customStyle="1" w:styleId="hp">
    <w:name w:val="hp"/>
    <w:qFormat/>
    <w:rPr>
      <w:rFonts w:eastAsia="宋体"/>
      <w:b/>
      <w:bCs/>
      <w:sz w:val="28"/>
      <w:szCs w:val="28"/>
      <w:lang w:val="en-US" w:eastAsia="zh-CN" w:bidi="ar-SA"/>
    </w:rPr>
  </w:style>
  <w:style w:type="character" w:customStyle="1" w:styleId="unnamed31">
    <w:name w:val="unnamed31"/>
    <w:qFormat/>
    <w:rPr>
      <w:sz w:val="18"/>
      <w:szCs w:val="18"/>
    </w:rPr>
  </w:style>
  <w:style w:type="character" w:customStyle="1" w:styleId="1ffc">
    <w:name w:val="Основной текст1"/>
    <w:qFormat/>
    <w:rPr>
      <w:rFonts w:ascii="Times New Roman" w:eastAsia="Times New Roman" w:hAnsi="Times New Roman" w:cs="Times New Roman"/>
      <w:sz w:val="26"/>
      <w:szCs w:val="26"/>
      <w:shd w:val="clear" w:color="auto" w:fill="FFFFFF"/>
      <w:lang w:bidi="ar-SA"/>
    </w:rPr>
  </w:style>
  <w:style w:type="character" w:customStyle="1" w:styleId="1CharCharf1">
    <w:name w:val="样式_正文_1 Char Char"/>
    <w:link w:val="1ffd"/>
    <w:qFormat/>
    <w:rPr>
      <w:rFonts w:ascii="Garamond" w:hAnsi="Garamond"/>
      <w:kern w:val="2"/>
      <w:sz w:val="28"/>
      <w:szCs w:val="28"/>
      <w:lang w:val="en-US" w:eastAsia="zh-CN" w:bidi="ar-SA"/>
    </w:rPr>
  </w:style>
  <w:style w:type="paragraph" w:customStyle="1" w:styleId="1ffd">
    <w:name w:val="样式_正文_1"/>
    <w:link w:val="1CharCharf1"/>
    <w:qFormat/>
    <w:pPr>
      <w:spacing w:beforeLines="100" w:afterLines="50" w:line="360" w:lineRule="auto"/>
      <w:ind w:leftChars="-1" w:left="-2" w:firstLineChars="192" w:firstLine="538"/>
      <w:jc w:val="both"/>
    </w:pPr>
    <w:rPr>
      <w:rFonts w:ascii="Garamond" w:hAnsi="Garamond"/>
      <w:kern w:val="2"/>
      <w:sz w:val="28"/>
      <w:szCs w:val="28"/>
    </w:rPr>
  </w:style>
  <w:style w:type="character" w:customStyle="1" w:styleId="22CharChar2Char112Char2CharChChar">
    <w:name w:val="样式 标题 2标题 2 Char Char节标题标题 2 Char1节1标题 2 Char标题 2 Char Ch... Char"/>
    <w:link w:val="22CharChar2Char112Char2CharCh"/>
    <w:qFormat/>
    <w:rPr>
      <w:rFonts w:ascii="宋体" w:hAnsi="宋体"/>
      <w:bCs/>
      <w:color w:val="FF0000"/>
      <w:kern w:val="2"/>
      <w:sz w:val="24"/>
      <w:szCs w:val="24"/>
    </w:rPr>
  </w:style>
  <w:style w:type="paragraph" w:customStyle="1" w:styleId="22CharChar2Char112Char2CharCh">
    <w:name w:val="样式 标题 2标题 2 Char Char节标题标题 2 Char1节1标题 2 Char标题 2 Char Ch..."/>
    <w:basedOn w:val="22"/>
    <w:link w:val="22CharChar2Char112Char2CharChChar"/>
    <w:qFormat/>
    <w:pPr>
      <w:tabs>
        <w:tab w:val="left" w:pos="567"/>
      </w:tabs>
      <w:spacing w:before="100" w:beforeAutospacing="1" w:after="100" w:afterAutospacing="1"/>
      <w:ind w:firstLine="240"/>
      <w:jc w:val="left"/>
    </w:pPr>
    <w:rPr>
      <w:b/>
      <w:color w:val="FF0000"/>
      <w:spacing w:val="0"/>
      <w:w w:val="100"/>
      <w:kern w:val="2"/>
      <w:sz w:val="24"/>
      <w:szCs w:val="24"/>
    </w:rPr>
  </w:style>
  <w:style w:type="character" w:customStyle="1" w:styleId="4Char3">
    <w:name w:val="4刘群正文* Char"/>
    <w:link w:val="4f1"/>
    <w:qFormat/>
    <w:rPr>
      <w:kern w:val="2"/>
      <w:sz w:val="24"/>
      <w:szCs w:val="24"/>
    </w:rPr>
  </w:style>
  <w:style w:type="paragraph" w:customStyle="1" w:styleId="4f1">
    <w:name w:val="4刘群正文*"/>
    <w:basedOn w:val="a6"/>
    <w:link w:val="4Char3"/>
    <w:qFormat/>
    <w:pPr>
      <w:spacing w:line="520" w:lineRule="exact"/>
      <w:ind w:firstLineChars="200" w:firstLine="480"/>
    </w:pPr>
    <w:rPr>
      <w:sz w:val="24"/>
    </w:rPr>
  </w:style>
  <w:style w:type="character" w:customStyle="1" w:styleId="cucd-TBChar">
    <w:name w:val="cucd-TB Char"/>
    <w:link w:val="cucd-TB"/>
    <w:qFormat/>
    <w:rPr>
      <w:kern w:val="2"/>
      <w:sz w:val="21"/>
      <w:szCs w:val="24"/>
      <w:lang w:val="en-US" w:eastAsia="zh-CN" w:bidi="ar-SA"/>
    </w:rPr>
  </w:style>
  <w:style w:type="paragraph" w:customStyle="1" w:styleId="cucd-TB">
    <w:name w:val="cucd-TB"/>
    <w:link w:val="cucd-TBChar"/>
    <w:qFormat/>
    <w:pPr>
      <w:spacing w:line="360" w:lineRule="auto"/>
      <w:jc w:val="center"/>
    </w:pPr>
    <w:rPr>
      <w:kern w:val="2"/>
      <w:sz w:val="21"/>
      <w:szCs w:val="24"/>
    </w:rPr>
  </w:style>
  <w:style w:type="character" w:customStyle="1" w:styleId="style111">
    <w:name w:val="style111"/>
    <w:qFormat/>
    <w:rPr>
      <w:sz w:val="14"/>
      <w:szCs w:val="14"/>
      <w:u w:val="none"/>
      <w:vertAlign w:val="subscript"/>
    </w:rPr>
  </w:style>
  <w:style w:type="character" w:customStyle="1" w:styleId="apple-converted-space">
    <w:name w:val="apple-converted-space"/>
    <w:qFormat/>
  </w:style>
  <w:style w:type="character" w:customStyle="1" w:styleId="CharCharCharCharCharCharCharCharCharCharCharCharCharCharCharCharCharCharCharCharCharCharCharCharCharCharCharCharCharCharCharCharCharCharCharCharCharCharCharCharCharCharCharCharCharCharCharChar">
    <w:name w:val="正文（首行缩进两字） Char Char Char Char Char Char Char Char Char Char Char Char Char Char Char Char Char Char Char Char Char Char Char Char Char Char Char Char Char Char Char Char Char Char Char Char Char Char Char Char Char Char Char Char Char Char Char Char"/>
    <w:qFormat/>
    <w:rPr>
      <w:rFonts w:ascii="宋体" w:eastAsia="宋体"/>
      <w:sz w:val="24"/>
      <w:lang w:val="en-US" w:eastAsia="zh-CN" w:bidi="ar-SA"/>
    </w:rPr>
  </w:style>
  <w:style w:type="character" w:customStyle="1" w:styleId="articlebody3">
    <w:name w:val="articlebody3"/>
    <w:qFormat/>
    <w:rPr>
      <w:sz w:val="21"/>
      <w:szCs w:val="21"/>
    </w:rPr>
  </w:style>
  <w:style w:type="character" w:customStyle="1" w:styleId="CharCharffffa">
    <w:name w:val="中文报告书样式 Char Char"/>
    <w:link w:val="afffffffffffffa"/>
    <w:qFormat/>
    <w:rPr>
      <w:rFonts w:ascii="宋体" w:hAnsi="宋体"/>
      <w:sz w:val="24"/>
    </w:rPr>
  </w:style>
  <w:style w:type="paragraph" w:customStyle="1" w:styleId="afffffffffffffa">
    <w:name w:val="中文报告书样式"/>
    <w:basedOn w:val="a6"/>
    <w:link w:val="CharCharffffa"/>
    <w:qFormat/>
    <w:pPr>
      <w:adjustRightInd w:val="0"/>
      <w:snapToGrid w:val="0"/>
      <w:spacing w:line="360" w:lineRule="auto"/>
      <w:ind w:firstLineChars="200" w:firstLine="480"/>
      <w:jc w:val="left"/>
      <w:textAlignment w:val="baseline"/>
    </w:pPr>
    <w:rPr>
      <w:rFonts w:ascii="宋体" w:hAnsi="宋体"/>
      <w:kern w:val="0"/>
      <w:sz w:val="24"/>
      <w:szCs w:val="20"/>
    </w:rPr>
  </w:style>
  <w:style w:type="character" w:customStyle="1" w:styleId="1CharCharf2">
    <w:name w:val="表－左对齐1 Char Char"/>
    <w:qFormat/>
    <w:rPr>
      <w:rFonts w:ascii="宋体" w:eastAsia="宋体" w:hAnsi="宋体" w:cs="宋体"/>
      <w:sz w:val="21"/>
      <w:szCs w:val="21"/>
      <w:lang w:val="en-US" w:eastAsia="ja-JP" w:bidi="ar-SA"/>
    </w:rPr>
  </w:style>
  <w:style w:type="character" w:customStyle="1" w:styleId="CharCharCharfc">
    <w:name w:val="表头 Char Char Char"/>
    <w:qFormat/>
    <w:rPr>
      <w:rFonts w:ascii="Times New Roman" w:eastAsia="黑体" w:hAnsi="Times New Roman"/>
      <w:color w:val="000000"/>
      <w:spacing w:val="-10"/>
      <w:sz w:val="21"/>
    </w:rPr>
  </w:style>
  <w:style w:type="character" w:customStyle="1" w:styleId="Char2f6">
    <w:name w:val="电子邮件签名 Char2"/>
    <w:qFormat/>
    <w:rPr>
      <w:kern w:val="2"/>
      <w:sz w:val="24"/>
      <w:szCs w:val="24"/>
    </w:rPr>
  </w:style>
  <w:style w:type="character" w:customStyle="1" w:styleId="CharChar24">
    <w:name w:val="Char Char24"/>
    <w:qFormat/>
    <w:rPr>
      <w:rFonts w:eastAsia="宋体"/>
      <w:b/>
      <w:bCs/>
      <w:kern w:val="44"/>
      <w:sz w:val="44"/>
      <w:szCs w:val="44"/>
      <w:lang w:val="en-US" w:eastAsia="zh-CN" w:bidi="ar-SA"/>
    </w:rPr>
  </w:style>
  <w:style w:type="character" w:customStyle="1" w:styleId="dan7-1Char">
    <w:name w:val="dan7-1 Char"/>
    <w:qFormat/>
    <w:rPr>
      <w:rFonts w:ascii="Times New Roman" w:eastAsia="宋体" w:hAnsi="Times New Roman" w:cs="Times New Roman"/>
      <w:sz w:val="24"/>
      <w:szCs w:val="24"/>
    </w:rPr>
  </w:style>
  <w:style w:type="character" w:customStyle="1" w:styleId="font191">
    <w:name w:val="font191"/>
    <w:qFormat/>
    <w:rPr>
      <w:rFonts w:ascii="宋体" w:eastAsia="宋体" w:hAnsi="宋体" w:hint="eastAsia"/>
      <w:color w:val="000000"/>
      <w:sz w:val="21"/>
      <w:szCs w:val="21"/>
      <w:u w:val="none"/>
      <w:vertAlign w:val="subscript"/>
    </w:rPr>
  </w:style>
  <w:style w:type="character" w:customStyle="1" w:styleId="3Char21">
    <w:name w:val="正文文本 3 Char2"/>
    <w:uiPriority w:val="99"/>
    <w:qFormat/>
    <w:rPr>
      <w:kern w:val="2"/>
      <w:sz w:val="16"/>
      <w:szCs w:val="16"/>
    </w:rPr>
  </w:style>
  <w:style w:type="character" w:customStyle="1" w:styleId="Char1ff6">
    <w:name w:val="图表标题 Char1"/>
    <w:qFormat/>
    <w:rPr>
      <w:rFonts w:hAnsi="宋体"/>
      <w:b/>
      <w:kern w:val="2"/>
      <w:sz w:val="21"/>
      <w:szCs w:val="21"/>
    </w:rPr>
  </w:style>
  <w:style w:type="character" w:customStyle="1" w:styleId="main11">
    <w:name w:val="main11"/>
    <w:qFormat/>
    <w:rPr>
      <w:sz w:val="21"/>
      <w:szCs w:val="21"/>
    </w:rPr>
  </w:style>
  <w:style w:type="character" w:customStyle="1" w:styleId="CharChar241">
    <w:name w:val="Char Char241"/>
    <w:qFormat/>
    <w:rPr>
      <w:rFonts w:ascii="Arial" w:eastAsia="黑体" w:hAnsi="Arial"/>
      <w:b/>
      <w:bCs/>
      <w:kern w:val="2"/>
      <w:sz w:val="32"/>
      <w:szCs w:val="32"/>
      <w:lang w:val="en-US" w:eastAsia="zh-CN" w:bidi="ar-SA"/>
    </w:rPr>
  </w:style>
  <w:style w:type="character" w:customStyle="1" w:styleId="new-title1">
    <w:name w:val="new-title1"/>
    <w:qFormat/>
    <w:rPr>
      <w:b/>
      <w:bCs/>
      <w:color w:val="FF0000"/>
      <w:sz w:val="24"/>
      <w:szCs w:val="24"/>
    </w:rPr>
  </w:style>
  <w:style w:type="character" w:customStyle="1" w:styleId="Char3c">
    <w:name w:val="结束语 Char3"/>
    <w:basedOn w:val="a7"/>
    <w:uiPriority w:val="99"/>
    <w:semiHidden/>
    <w:qFormat/>
  </w:style>
  <w:style w:type="character" w:customStyle="1" w:styleId="st1">
    <w:name w:val="st1"/>
    <w:basedOn w:val="a7"/>
    <w:qFormat/>
  </w:style>
  <w:style w:type="character" w:customStyle="1" w:styleId="Char1ff7">
    <w:name w:val="非标题二级条 Char1"/>
    <w:link w:val="afffffffffffffb"/>
    <w:qFormat/>
    <w:rPr>
      <w:rFonts w:ascii="宋体" w:hAnsi="Arial"/>
      <w:sz w:val="24"/>
      <w:szCs w:val="24"/>
    </w:rPr>
  </w:style>
  <w:style w:type="paragraph" w:customStyle="1" w:styleId="afffffffffffffb">
    <w:name w:val="非标题二级条"/>
    <w:basedOn w:val="41"/>
    <w:next w:val="a6"/>
    <w:link w:val="Char1ff7"/>
    <w:qFormat/>
    <w:pPr>
      <w:keepNext w:val="0"/>
      <w:keepLines w:val="0"/>
      <w:widowControl/>
      <w:tabs>
        <w:tab w:val="left" w:pos="3018"/>
      </w:tabs>
      <w:adjustRightInd/>
      <w:snapToGrid/>
      <w:spacing w:beforeLines="0" w:before="0" w:line="360" w:lineRule="auto"/>
      <w:ind w:left="945"/>
      <w:jc w:val="left"/>
    </w:pPr>
    <w:rPr>
      <w:rFonts w:ascii="宋体" w:eastAsia="宋体" w:hAnsi="Arial"/>
      <w:bCs w:val="0"/>
      <w:kern w:val="0"/>
      <w:sz w:val="24"/>
      <w:szCs w:val="24"/>
    </w:rPr>
  </w:style>
  <w:style w:type="character" w:customStyle="1" w:styleId="75CharChar">
    <w:name w:val="标题 7表内5号 Char Char"/>
    <w:qFormat/>
    <w:rPr>
      <w:rFonts w:eastAsia="宋体"/>
      <w:b/>
      <w:bCs/>
      <w:kern w:val="2"/>
      <w:sz w:val="24"/>
      <w:szCs w:val="24"/>
      <w:lang w:val="en-US" w:eastAsia="zh-CN" w:bidi="ar-SA"/>
    </w:rPr>
  </w:style>
  <w:style w:type="character" w:customStyle="1" w:styleId="MainHeadingCharChar">
    <w:name w:val="Main Heading Char Char"/>
    <w:qFormat/>
    <w:rPr>
      <w:rFonts w:ascii="Times New Roman" w:eastAsia="宋体" w:hAnsi="Times New Roman" w:cs="Times New Roman"/>
      <w:bCs/>
      <w:kern w:val="44"/>
      <w:sz w:val="28"/>
      <w:szCs w:val="44"/>
    </w:rPr>
  </w:style>
  <w:style w:type="character" w:customStyle="1" w:styleId="Char1ff8">
    <w:name w:val="表头 Char1"/>
    <w:qFormat/>
    <w:rPr>
      <w:rFonts w:ascii="宋体" w:eastAsia="宋体" w:hAnsi="宋体" w:cs="宋体"/>
      <w:b/>
      <w:bCs/>
      <w:kern w:val="32"/>
      <w:sz w:val="24"/>
      <w:szCs w:val="28"/>
      <w:lang w:val="en-US" w:eastAsia="zh-CN" w:bidi="ar-SA"/>
    </w:rPr>
  </w:style>
  <w:style w:type="character" w:customStyle="1" w:styleId="afffffffffffffc">
    <w:name w:val="条文文字或注释文字上标"/>
    <w:qFormat/>
    <w:rPr>
      <w:vertAlign w:val="superscript"/>
    </w:rPr>
  </w:style>
  <w:style w:type="character" w:customStyle="1" w:styleId="0012Char">
    <w:name w:val="样式 正文001 + 首行缩进:  2 字符 Char"/>
    <w:link w:val="0012"/>
    <w:qFormat/>
    <w:rPr>
      <w:kern w:val="2"/>
      <w:sz w:val="24"/>
    </w:rPr>
  </w:style>
  <w:style w:type="paragraph" w:customStyle="1" w:styleId="0012">
    <w:name w:val="样式 正文001 + 首行缩进:  2 字符"/>
    <w:basedOn w:val="a6"/>
    <w:link w:val="0012Char"/>
    <w:qFormat/>
    <w:pPr>
      <w:spacing w:before="60" w:line="460" w:lineRule="atLeast"/>
      <w:ind w:firstLineChars="200" w:firstLine="480"/>
    </w:pPr>
    <w:rPr>
      <w:sz w:val="24"/>
      <w:szCs w:val="20"/>
    </w:rPr>
  </w:style>
  <w:style w:type="character" w:customStyle="1" w:styleId="2TimesNewRomanChar1">
    <w:name w:val="正文首行缩进 2 + Times New Roman Char1"/>
    <w:qFormat/>
    <w:rPr>
      <w:sz w:val="24"/>
      <w:szCs w:val="24"/>
    </w:rPr>
  </w:style>
  <w:style w:type="character" w:customStyle="1" w:styleId="CharCharffffb">
    <w:name w:val="题注 Char Char"/>
    <w:qFormat/>
    <w:rPr>
      <w:rFonts w:ascii="Arial" w:eastAsia="黑体" w:hAnsi="Arial" w:cs="Arial"/>
      <w:kern w:val="2"/>
      <w:lang w:val="en-US" w:eastAsia="zh-CN" w:bidi="ar-SA"/>
    </w:rPr>
  </w:style>
  <w:style w:type="character" w:customStyle="1" w:styleId="2ffe">
    <w:name w:val="占位符文本2"/>
    <w:qFormat/>
    <w:rPr>
      <w:color w:val="808080"/>
    </w:rPr>
  </w:style>
  <w:style w:type="character" w:customStyle="1" w:styleId="ta14">
    <w:name w:val="ta14"/>
    <w:qFormat/>
  </w:style>
  <w:style w:type="character" w:customStyle="1" w:styleId="CharCharChar70">
    <w:name w:val="Char Char Char7"/>
    <w:qFormat/>
    <w:rPr>
      <w:rFonts w:ascii="宋体" w:eastAsia="宋体" w:hAnsi="宋体" w:hint="eastAsia"/>
      <w:b/>
      <w:bCs/>
      <w:sz w:val="32"/>
      <w:szCs w:val="32"/>
      <w:lang w:val="en-US" w:eastAsia="zh-CN"/>
    </w:rPr>
  </w:style>
  <w:style w:type="character" w:customStyle="1" w:styleId="Charfffffffff2">
    <w:name w:val="图号 Char"/>
    <w:qFormat/>
    <w:rPr>
      <w:rFonts w:eastAsia="宋体"/>
      <w:b/>
      <w:bCs/>
      <w:kern w:val="32"/>
      <w:sz w:val="24"/>
      <w:szCs w:val="24"/>
      <w:lang w:val="en-US" w:eastAsia="zh-CN"/>
    </w:rPr>
  </w:style>
  <w:style w:type="character" w:customStyle="1" w:styleId="CharAttribute66">
    <w:name w:val="CharAttribute66"/>
    <w:qFormat/>
    <w:rPr>
      <w:rFonts w:ascii="Arial" w:eastAsia="Arial" w:hAnsi="Arial"/>
      <w:b/>
      <w:sz w:val="24"/>
    </w:rPr>
  </w:style>
  <w:style w:type="character" w:customStyle="1" w:styleId="3Char12">
    <w:name w:val="正文文本缩进 3 Char1"/>
    <w:qFormat/>
    <w:rPr>
      <w:rFonts w:ascii="Times New Roman" w:eastAsia="宋体" w:hAnsi="Times New Roman" w:cs="Times New Roman"/>
      <w:sz w:val="16"/>
      <w:szCs w:val="16"/>
    </w:rPr>
  </w:style>
  <w:style w:type="character" w:customStyle="1" w:styleId="1Char14">
    <w:name w:val="表格1 Char1"/>
    <w:qFormat/>
    <w:rPr>
      <w:rFonts w:ascii="宋体" w:hAnsi="Impact"/>
      <w:kern w:val="24"/>
      <w:sz w:val="28"/>
    </w:rPr>
  </w:style>
  <w:style w:type="character" w:customStyle="1" w:styleId="555Char">
    <w:name w:val="555 Char"/>
    <w:link w:val="555"/>
    <w:qFormat/>
    <w:rPr>
      <w:rFonts w:ascii="Arial" w:eastAsia="楷体_GB2312" w:hAnsi="Arial"/>
      <w:kern w:val="2"/>
      <w:sz w:val="28"/>
    </w:rPr>
  </w:style>
  <w:style w:type="paragraph" w:customStyle="1" w:styleId="555">
    <w:name w:val="555"/>
    <w:basedOn w:val="a6"/>
    <w:link w:val="555Char"/>
    <w:qFormat/>
    <w:pPr>
      <w:spacing w:line="360" w:lineRule="auto"/>
      <w:ind w:firstLineChars="200" w:firstLine="527"/>
    </w:pPr>
    <w:rPr>
      <w:rFonts w:ascii="Arial" w:eastAsia="楷体_GB2312" w:hAnsi="Arial"/>
      <w:sz w:val="28"/>
      <w:szCs w:val="20"/>
    </w:rPr>
  </w:style>
  <w:style w:type="character" w:customStyle="1" w:styleId="Char1ff9">
    <w:name w:val="表中文字 Char1"/>
    <w:link w:val="afffffffffffffd"/>
    <w:qFormat/>
    <w:rPr>
      <w:rFonts w:ascii="宋体"/>
      <w:sz w:val="24"/>
    </w:rPr>
  </w:style>
  <w:style w:type="paragraph" w:customStyle="1" w:styleId="afffffffffffffd">
    <w:name w:val="表中文字"/>
    <w:basedOn w:val="a6"/>
    <w:link w:val="Char1ff9"/>
    <w:qFormat/>
    <w:pPr>
      <w:jc w:val="center"/>
    </w:pPr>
    <w:rPr>
      <w:rFonts w:ascii="宋体"/>
      <w:kern w:val="0"/>
      <w:sz w:val="24"/>
      <w:szCs w:val="20"/>
    </w:rPr>
  </w:style>
  <w:style w:type="character" w:customStyle="1" w:styleId="CharCharffffc">
    <w:name w:val="一标题 Char Char"/>
    <w:qFormat/>
    <w:rPr>
      <w:rFonts w:eastAsia="宋体"/>
      <w:sz w:val="28"/>
      <w:lang w:bidi="ar-SA"/>
    </w:rPr>
  </w:style>
  <w:style w:type="character" w:customStyle="1" w:styleId="style31">
    <w:name w:val="style31"/>
    <w:qFormat/>
    <w:rPr>
      <w:b/>
      <w:bCs/>
      <w:color w:val="3795D2"/>
      <w:sz w:val="21"/>
      <w:szCs w:val="21"/>
    </w:rPr>
  </w:style>
  <w:style w:type="character" w:customStyle="1" w:styleId="Char2f7">
    <w:name w:val="表文字 Char2"/>
    <w:qFormat/>
    <w:rPr>
      <w:rFonts w:eastAsia="宋体"/>
      <w:sz w:val="21"/>
      <w:szCs w:val="21"/>
      <w:lang w:val="en-US" w:eastAsia="zh-CN" w:bidi="ar-SA"/>
    </w:rPr>
  </w:style>
  <w:style w:type="character" w:customStyle="1" w:styleId="CharChar110">
    <w:name w:val="Char Char11"/>
    <w:qFormat/>
    <w:rPr>
      <w:rFonts w:eastAsia="宋体"/>
      <w:kern w:val="2"/>
      <w:sz w:val="24"/>
      <w:szCs w:val="16"/>
      <w:lang w:val="en-US" w:eastAsia="zh-CN" w:bidi="ar-SA"/>
    </w:rPr>
  </w:style>
  <w:style w:type="character" w:customStyle="1" w:styleId="CharCharffffd">
    <w:name w:val="表格文字 Char Char"/>
    <w:qFormat/>
    <w:rPr>
      <w:rFonts w:ascii="仿宋_GB2312" w:eastAsia="仿宋_GB2312" w:hAnsi="Arial Black"/>
      <w:kern w:val="44"/>
      <w:sz w:val="24"/>
    </w:rPr>
  </w:style>
  <w:style w:type="character" w:customStyle="1" w:styleId="afffffffffffffe">
    <w:name w:val="样式 宋体 小四"/>
    <w:qFormat/>
    <w:rPr>
      <w:rFonts w:ascii="楷体_GB2312" w:eastAsia="楷体_GB2312" w:hAnsi="楷体_GB2312" w:cs="楷体_GB2312"/>
      <w:sz w:val="24"/>
      <w:szCs w:val="24"/>
    </w:rPr>
  </w:style>
  <w:style w:type="character" w:customStyle="1" w:styleId="1CharCharCharCharCharCharCharChar">
    <w:name w:val="标题 1 Char Char Char Char Char Char Char Char"/>
    <w:qFormat/>
    <w:rPr>
      <w:rFonts w:ascii="宋体" w:eastAsia="宋体" w:hAnsi="宋体" w:cs="宋体"/>
      <w:kern w:val="44"/>
      <w:sz w:val="28"/>
      <w:szCs w:val="24"/>
      <w:lang w:val="en-US" w:eastAsia="zh-CN" w:bidi="ar-SA"/>
    </w:rPr>
  </w:style>
  <w:style w:type="character" w:customStyle="1" w:styleId="style61">
    <w:name w:val="style61"/>
    <w:qFormat/>
    <w:rPr>
      <w:b/>
      <w:bCs/>
      <w:sz w:val="27"/>
      <w:szCs w:val="27"/>
    </w:rPr>
  </w:style>
  <w:style w:type="character" w:customStyle="1" w:styleId="9dpi1">
    <w:name w:val="9dpi1"/>
    <w:qFormat/>
    <w:rPr>
      <w:spacing w:val="30"/>
      <w:sz w:val="18"/>
    </w:rPr>
  </w:style>
  <w:style w:type="character" w:customStyle="1" w:styleId="220CharCharChar">
    <w:name w:val="标题 2 + 行距: 标题2+首行缩进 0倍 Char Char Char"/>
    <w:qFormat/>
    <w:rPr>
      <w:rFonts w:ascii="黑体" w:eastAsia="黑体"/>
      <w:sz w:val="30"/>
      <w:lang w:val="en-US" w:eastAsia="zh-CN" w:bidi="ar-SA"/>
    </w:rPr>
  </w:style>
  <w:style w:type="character" w:customStyle="1" w:styleId="7Char0">
    <w:name w:val="样式7 Char"/>
    <w:link w:val="75"/>
    <w:qFormat/>
    <w:rPr>
      <w:spacing w:val="6"/>
      <w:sz w:val="18"/>
    </w:rPr>
  </w:style>
  <w:style w:type="paragraph" w:customStyle="1" w:styleId="75">
    <w:name w:val="样式7"/>
    <w:basedOn w:val="5f"/>
    <w:link w:val="7Char0"/>
    <w:qFormat/>
    <w:pPr>
      <w:ind w:left="-57" w:right="-57"/>
    </w:pPr>
    <w:rPr>
      <w:spacing w:val="6"/>
    </w:rPr>
  </w:style>
  <w:style w:type="character" w:customStyle="1" w:styleId="E001CharCharCharCharCharChar">
    <w:name w:val="E 正文001 Char Char Char Char Char Char"/>
    <w:qFormat/>
    <w:rPr>
      <w:rFonts w:ascii="宋体" w:eastAsia="宋体" w:hAnsi="宋体"/>
      <w:kern w:val="2"/>
      <w:sz w:val="28"/>
      <w:lang w:val="en-US" w:eastAsia="zh-CN" w:bidi="ar-SA"/>
    </w:rPr>
  </w:style>
  <w:style w:type="character" w:customStyle="1" w:styleId="hb2CharCharCharCharChar1">
    <w:name w:val="hb2 Char Char Char Char Char1"/>
    <w:link w:val="hb2CharCharCharChar1"/>
    <w:qFormat/>
    <w:rPr>
      <w:rFonts w:ascii="Arial" w:eastAsia="黑体" w:hAnsi="Arial"/>
      <w:kern w:val="2"/>
      <w:sz w:val="30"/>
      <w:szCs w:val="24"/>
    </w:rPr>
  </w:style>
  <w:style w:type="paragraph" w:customStyle="1" w:styleId="hb2CharCharCharChar1">
    <w:name w:val="hb2 Char Char Char Char1"/>
    <w:basedOn w:val="22"/>
    <w:link w:val="hb2CharCharCharCharChar1"/>
    <w:qFormat/>
    <w:pPr>
      <w:keepNext w:val="0"/>
      <w:keepLines w:val="0"/>
      <w:topLinePunct/>
      <w:adjustRightInd w:val="0"/>
      <w:spacing w:before="100" w:beforeAutospacing="1" w:afterLines="50" w:after="100" w:afterAutospacing="1" w:line="416" w:lineRule="atLeast"/>
      <w:jc w:val="left"/>
      <w:textAlignment w:val="baseline"/>
    </w:pPr>
    <w:rPr>
      <w:rFonts w:ascii="Arial" w:hAnsi="Arial"/>
      <w:b/>
      <w:bCs w:val="0"/>
      <w:spacing w:val="0"/>
      <w:w w:val="100"/>
      <w:kern w:val="2"/>
      <w:sz w:val="30"/>
      <w:szCs w:val="24"/>
    </w:rPr>
  </w:style>
  <w:style w:type="character" w:customStyle="1" w:styleId="CharChar121">
    <w:name w:val="Char Char121"/>
    <w:qFormat/>
    <w:rPr>
      <w:rFonts w:eastAsia="宋体"/>
      <w:kern w:val="2"/>
      <w:sz w:val="21"/>
      <w:szCs w:val="24"/>
      <w:lang w:val="en-US" w:eastAsia="zh-CN" w:bidi="ar-SA"/>
    </w:rPr>
  </w:style>
  <w:style w:type="character" w:customStyle="1" w:styleId="EmailStyle4891">
    <w:name w:val="EmailStyle4891"/>
    <w:qFormat/>
    <w:rPr>
      <w:rFonts w:ascii="Arial" w:eastAsia="宋体" w:hAnsi="Arial" w:cs="Arial"/>
      <w:color w:val="auto"/>
      <w:sz w:val="20"/>
    </w:rPr>
  </w:style>
  <w:style w:type="character" w:customStyle="1" w:styleId="Charfffffffff3">
    <w:name w:val="段 Char"/>
    <w:link w:val="affffffffffffff"/>
    <w:qFormat/>
    <w:rPr>
      <w:rFonts w:ascii="宋体"/>
      <w:sz w:val="21"/>
      <w:lang w:val="en-US" w:eastAsia="zh-CN" w:bidi="ar-SA"/>
    </w:rPr>
  </w:style>
  <w:style w:type="paragraph" w:customStyle="1" w:styleId="affffffffffffff">
    <w:name w:val="段"/>
    <w:link w:val="Charfffffffff3"/>
    <w:qFormat/>
    <w:pPr>
      <w:autoSpaceDE w:val="0"/>
      <w:autoSpaceDN w:val="0"/>
      <w:ind w:firstLineChars="200" w:firstLine="200"/>
      <w:jc w:val="both"/>
    </w:pPr>
    <w:rPr>
      <w:rFonts w:ascii="宋体"/>
      <w:sz w:val="21"/>
    </w:rPr>
  </w:style>
  <w:style w:type="character" w:customStyle="1" w:styleId="t31">
    <w:name w:val="t31"/>
    <w:qFormat/>
    <w:rPr>
      <w:rFonts w:cs="Times New Roman"/>
      <w:color w:val="000000"/>
      <w:sz w:val="20"/>
      <w:szCs w:val="20"/>
    </w:rPr>
  </w:style>
  <w:style w:type="character" w:customStyle="1" w:styleId="E001CharCharCharChar">
    <w:name w:val="E 正文001 Char Char Char Char"/>
    <w:link w:val="E001CharCharChar"/>
    <w:qFormat/>
    <w:rPr>
      <w:rFonts w:ascii="宋体" w:hAnsi="宋体"/>
      <w:kern w:val="2"/>
      <w:sz w:val="28"/>
    </w:rPr>
  </w:style>
  <w:style w:type="paragraph" w:customStyle="1" w:styleId="E001CharCharChar">
    <w:name w:val="E 正文001 Char Char Char"/>
    <w:basedOn w:val="a6"/>
    <w:next w:val="a6"/>
    <w:link w:val="E001CharCharCharChar"/>
    <w:qFormat/>
    <w:pPr>
      <w:ind w:firstLineChars="200" w:firstLine="200"/>
    </w:pPr>
    <w:rPr>
      <w:rFonts w:ascii="宋体" w:hAnsi="宋体"/>
      <w:sz w:val="28"/>
      <w:szCs w:val="20"/>
    </w:rPr>
  </w:style>
  <w:style w:type="character" w:customStyle="1" w:styleId="EmailStyle577">
    <w:name w:val="EmailStyle577"/>
    <w:qFormat/>
    <w:rPr>
      <w:rFonts w:ascii="Arial" w:eastAsia="宋体" w:hAnsi="Arial" w:cs="Arial"/>
      <w:color w:val="auto"/>
      <w:sz w:val="20"/>
    </w:rPr>
  </w:style>
  <w:style w:type="character" w:customStyle="1" w:styleId="1ffe">
    <w:name w:val="行号1"/>
    <w:qFormat/>
    <w:rPr>
      <w:rFonts w:ascii="宋体" w:eastAsia="宋体" w:hAnsi="宋体" w:cs="Courier New"/>
      <w:kern w:val="2"/>
      <w:sz w:val="32"/>
      <w:szCs w:val="32"/>
      <w:lang w:val="en-US" w:eastAsia="zh-CN"/>
    </w:rPr>
  </w:style>
  <w:style w:type="character" w:customStyle="1" w:styleId="IntenseQuoteChar">
    <w:name w:val="Intense Quote Char"/>
    <w:link w:val="1fff"/>
    <w:qFormat/>
    <w:rPr>
      <w:b/>
      <w:bCs/>
      <w:i/>
      <w:iCs/>
      <w:color w:val="4F81BD"/>
      <w:sz w:val="22"/>
      <w:szCs w:val="22"/>
      <w:lang w:eastAsia="en-US"/>
    </w:rPr>
  </w:style>
  <w:style w:type="paragraph" w:customStyle="1" w:styleId="1fff">
    <w:name w:val="明显引用1"/>
    <w:basedOn w:val="a6"/>
    <w:next w:val="a6"/>
    <w:link w:val="IntenseQuoteChar"/>
    <w:qFormat/>
    <w:pPr>
      <w:widowControl/>
      <w:pBdr>
        <w:bottom w:val="single" w:sz="4" w:space="4" w:color="4F81BD"/>
      </w:pBdr>
      <w:spacing w:before="200" w:after="280" w:line="276" w:lineRule="auto"/>
      <w:ind w:left="936" w:right="936"/>
      <w:jc w:val="left"/>
    </w:pPr>
    <w:rPr>
      <w:b/>
      <w:bCs/>
      <w:i/>
      <w:iCs/>
      <w:color w:val="4F81BD"/>
      <w:kern w:val="0"/>
      <w:sz w:val="22"/>
      <w:szCs w:val="22"/>
      <w:lang w:eastAsia="en-US"/>
    </w:rPr>
  </w:style>
  <w:style w:type="character" w:customStyle="1" w:styleId="CharCharCharCharChar5">
    <w:name w:val="正文(首行缩进) Char Char Char Char Char"/>
    <w:link w:val="CharCharCharfd"/>
    <w:qFormat/>
    <w:rPr>
      <w:color w:val="000000"/>
      <w:w w:val="110"/>
      <w:sz w:val="24"/>
      <w:szCs w:val="24"/>
    </w:rPr>
  </w:style>
  <w:style w:type="paragraph" w:customStyle="1" w:styleId="CharCharCharfd">
    <w:name w:val="正文(首行缩进) Char Char Char"/>
    <w:basedOn w:val="a6"/>
    <w:link w:val="CharCharCharCharChar5"/>
    <w:qFormat/>
    <w:pPr>
      <w:spacing w:line="360" w:lineRule="auto"/>
      <w:ind w:firstLineChars="200" w:firstLine="480"/>
    </w:pPr>
    <w:rPr>
      <w:color w:val="000000"/>
      <w:w w:val="110"/>
      <w:kern w:val="0"/>
      <w:sz w:val="24"/>
    </w:rPr>
  </w:style>
  <w:style w:type="character" w:customStyle="1" w:styleId="022CharChar">
    <w:name w:val="022 Char Char"/>
    <w:link w:val="022"/>
    <w:qFormat/>
    <w:rPr>
      <w:rFonts w:ascii="宋体" w:hAnsi="Courier New"/>
      <w:kern w:val="2"/>
      <w:sz w:val="24"/>
    </w:rPr>
  </w:style>
  <w:style w:type="paragraph" w:customStyle="1" w:styleId="022">
    <w:name w:val="022"/>
    <w:basedOn w:val="a6"/>
    <w:link w:val="022CharChar"/>
    <w:qFormat/>
    <w:pPr>
      <w:spacing w:line="360" w:lineRule="auto"/>
      <w:ind w:firstLineChars="200" w:firstLine="480"/>
    </w:pPr>
    <w:rPr>
      <w:rFonts w:ascii="宋体" w:hAnsi="Courier New"/>
      <w:sz w:val="24"/>
      <w:szCs w:val="20"/>
    </w:rPr>
  </w:style>
  <w:style w:type="character" w:customStyle="1" w:styleId="font171">
    <w:name w:val="font171"/>
    <w:qFormat/>
    <w:rPr>
      <w:rFonts w:ascii="宋体" w:eastAsia="宋体" w:hAnsi="宋体" w:hint="eastAsia"/>
      <w:color w:val="000000"/>
      <w:sz w:val="21"/>
      <w:szCs w:val="21"/>
      <w:u w:val="none"/>
      <w:vertAlign w:val="superscript"/>
    </w:rPr>
  </w:style>
  <w:style w:type="character" w:customStyle="1" w:styleId="CharCharCharfe">
    <w:name w:val="正文样式 Char Char Char"/>
    <w:qFormat/>
    <w:rPr>
      <w:rFonts w:eastAsia="宋体" w:cs="宋体"/>
      <w:kern w:val="2"/>
      <w:sz w:val="24"/>
      <w:szCs w:val="24"/>
      <w:lang w:val="en-US" w:eastAsia="zh-CN" w:bidi="ar-SA"/>
    </w:rPr>
  </w:style>
  <w:style w:type="character" w:customStyle="1" w:styleId="FontStyle12">
    <w:name w:val="Font Style12"/>
    <w:qFormat/>
    <w:rPr>
      <w:rFonts w:ascii="Times New Roman" w:hAnsi="Times New Roman"/>
      <w:spacing w:val="-10"/>
      <w:sz w:val="26"/>
    </w:rPr>
  </w:style>
  <w:style w:type="character" w:customStyle="1" w:styleId="zhangCharChar">
    <w:name w:val="zhang正文 Char Char"/>
    <w:link w:val="zhang"/>
    <w:qFormat/>
    <w:rPr>
      <w:sz w:val="24"/>
    </w:rPr>
  </w:style>
  <w:style w:type="paragraph" w:customStyle="1" w:styleId="zhang">
    <w:name w:val="zhang正文"/>
    <w:basedOn w:val="a6"/>
    <w:link w:val="zhangCharChar"/>
    <w:qFormat/>
    <w:pPr>
      <w:spacing w:line="360" w:lineRule="auto"/>
      <w:ind w:firstLineChars="200" w:firstLine="200"/>
    </w:pPr>
    <w:rPr>
      <w:kern w:val="0"/>
      <w:sz w:val="24"/>
      <w:szCs w:val="20"/>
    </w:rPr>
  </w:style>
  <w:style w:type="character" w:customStyle="1" w:styleId="CharChar28">
    <w:name w:val="Char Char28"/>
    <w:qFormat/>
    <w:rPr>
      <w:rFonts w:eastAsia="宋体"/>
      <w:kern w:val="2"/>
      <w:sz w:val="21"/>
      <w:lang w:val="en-US" w:eastAsia="zh-CN" w:bidi="ar-SA"/>
    </w:rPr>
  </w:style>
  <w:style w:type="character" w:customStyle="1" w:styleId="EmailStyle5551">
    <w:name w:val="EmailStyle5551"/>
    <w:qFormat/>
    <w:rPr>
      <w:rFonts w:ascii="Arial" w:eastAsia="宋体" w:hAnsi="Arial" w:cs="Arial"/>
      <w:color w:val="auto"/>
      <w:sz w:val="20"/>
    </w:rPr>
  </w:style>
  <w:style w:type="character" w:customStyle="1" w:styleId="1CharChar20">
    <w:name w:val="标题 1 Char Char2"/>
    <w:qFormat/>
    <w:rPr>
      <w:rFonts w:ascii="宋体" w:eastAsia="黑体" w:hAnsi="宋体"/>
      <w:b/>
      <w:bCs/>
      <w:kern w:val="44"/>
      <w:sz w:val="32"/>
      <w:szCs w:val="44"/>
      <w:lang w:val="en-US" w:eastAsia="zh-CN" w:bidi="ar-SA"/>
    </w:rPr>
  </w:style>
  <w:style w:type="character" w:customStyle="1" w:styleId="Charfffffffff4">
    <w:name w:val="五级 Char"/>
    <w:link w:val="affffffffffffff0"/>
    <w:qFormat/>
  </w:style>
  <w:style w:type="paragraph" w:customStyle="1" w:styleId="affffffffffffff0">
    <w:name w:val="五级"/>
    <w:basedOn w:val="afffffffffb"/>
    <w:link w:val="Charfffffffff4"/>
    <w:qFormat/>
    <w:pPr>
      <w:outlineLvl w:val="4"/>
    </w:pPr>
  </w:style>
  <w:style w:type="character" w:customStyle="1" w:styleId="4-lsChar">
    <w:name w:val="标题 4-ls Char"/>
    <w:qFormat/>
    <w:rPr>
      <w:rFonts w:eastAsia="黑体"/>
      <w:b/>
      <w:bCs/>
      <w:kern w:val="2"/>
      <w:sz w:val="24"/>
      <w:szCs w:val="28"/>
      <w:lang w:val="en-US" w:eastAsia="zh-CN" w:bidi="ar-SA"/>
    </w:rPr>
  </w:style>
  <w:style w:type="character" w:customStyle="1" w:styleId="9Char0">
    <w:name w:val="样式9 Char"/>
    <w:link w:val="92"/>
    <w:qFormat/>
    <w:rPr>
      <w:kern w:val="2"/>
      <w:sz w:val="24"/>
      <w:szCs w:val="24"/>
    </w:rPr>
  </w:style>
  <w:style w:type="paragraph" w:customStyle="1" w:styleId="92">
    <w:name w:val="样式9"/>
    <w:basedOn w:val="a6"/>
    <w:link w:val="9Char0"/>
    <w:qFormat/>
    <w:pPr>
      <w:snapToGrid w:val="0"/>
      <w:spacing w:line="360" w:lineRule="auto"/>
      <w:ind w:firstLineChars="200" w:firstLine="480"/>
    </w:pPr>
    <w:rPr>
      <w:sz w:val="24"/>
    </w:rPr>
  </w:style>
  <w:style w:type="character" w:customStyle="1" w:styleId="CharCharCharChar9">
    <w:name w:val="题注 Char Char Char Char"/>
    <w:qFormat/>
    <w:rPr>
      <w:rFonts w:eastAsia="仿宋_GB2312"/>
      <w:kern w:val="2"/>
      <w:sz w:val="24"/>
      <w:lang w:val="en-US" w:eastAsia="zh-CN" w:bidi="ar-SA"/>
    </w:rPr>
  </w:style>
  <w:style w:type="character" w:customStyle="1" w:styleId="dandan6-13CharCharChar">
    <w:name w:val="dandan6-13四级以下 Char Char Char"/>
    <w:qFormat/>
    <w:rPr>
      <w:rFonts w:eastAsia="仿宋_GB2312"/>
      <w:b/>
      <w:kern w:val="2"/>
      <w:sz w:val="24"/>
      <w:szCs w:val="24"/>
      <w:lang w:val="en-US" w:eastAsia="zh-CN" w:bidi="ar-SA"/>
    </w:rPr>
  </w:style>
  <w:style w:type="character" w:customStyle="1" w:styleId="CharAttribute18">
    <w:name w:val="CharAttribute18"/>
    <w:qFormat/>
    <w:rPr>
      <w:rFonts w:ascii="宋体" w:eastAsia="宋体" w:hAnsi="宋体"/>
      <w:b/>
      <w:sz w:val="21"/>
    </w:rPr>
  </w:style>
  <w:style w:type="character" w:customStyle="1" w:styleId="yypChar">
    <w:name w:val="yyp Char"/>
    <w:link w:val="yyp"/>
    <w:qFormat/>
    <w:rPr>
      <w:rFonts w:cs="Mangal"/>
      <w:sz w:val="24"/>
      <w:lang w:bidi="hi-IN"/>
    </w:rPr>
  </w:style>
  <w:style w:type="paragraph" w:customStyle="1" w:styleId="yyp">
    <w:name w:val="yyp"/>
    <w:basedOn w:val="a6"/>
    <w:link w:val="yypChar"/>
    <w:qFormat/>
    <w:pPr>
      <w:spacing w:after="120" w:line="360" w:lineRule="auto"/>
      <w:ind w:firstLineChars="200" w:firstLine="480"/>
    </w:pPr>
    <w:rPr>
      <w:rFonts w:cs="Mangal"/>
      <w:kern w:val="0"/>
      <w:sz w:val="24"/>
      <w:szCs w:val="20"/>
      <w:lang w:bidi="hi-IN"/>
    </w:rPr>
  </w:style>
  <w:style w:type="character" w:customStyle="1" w:styleId="CharCharffffe">
    <w:name w:val="报告正文 Char Char"/>
    <w:qFormat/>
    <w:rPr>
      <w:rFonts w:eastAsia="宋体" w:cs="宋体"/>
      <w:kern w:val="2"/>
      <w:sz w:val="24"/>
      <w:szCs w:val="24"/>
      <w:lang w:val="en-US" w:eastAsia="zh-CN" w:bidi="ar-SA"/>
    </w:rPr>
  </w:style>
  <w:style w:type="character" w:customStyle="1" w:styleId="CharChar1a">
    <w:name w:val="章标题(无序号) Char Char1"/>
    <w:qFormat/>
    <w:rPr>
      <w:rFonts w:ascii="Arial" w:hAnsi="Arial"/>
      <w:b/>
      <w:sz w:val="44"/>
    </w:rPr>
  </w:style>
  <w:style w:type="character" w:customStyle="1" w:styleId="022Char">
    <w:name w:val="022 Char"/>
    <w:qFormat/>
    <w:rPr>
      <w:rFonts w:ascii="宋体" w:eastAsia="宋体" w:hAnsi="Courier New"/>
      <w:kern w:val="2"/>
      <w:sz w:val="24"/>
      <w:szCs w:val="24"/>
      <w:lang w:val="en-US" w:eastAsia="zh-CN" w:bidi="ar-SA"/>
    </w:rPr>
  </w:style>
  <w:style w:type="character" w:customStyle="1" w:styleId="100GB2312CharChar">
    <w:name w:val="样式100仿宋_GB2312 Char Char"/>
    <w:qFormat/>
    <w:rPr>
      <w:rFonts w:ascii="仿宋_GB2312" w:eastAsia="仿宋_GB2312"/>
      <w:kern w:val="2"/>
      <w:sz w:val="28"/>
      <w:lang w:val="en-US" w:eastAsia="zh-CN"/>
    </w:rPr>
  </w:style>
  <w:style w:type="character" w:customStyle="1" w:styleId="4CharChar3">
    <w:name w:val="标题 4宋旭峰 Char Char"/>
    <w:qFormat/>
    <w:rPr>
      <w:rFonts w:eastAsia="宋体"/>
      <w:kern w:val="20"/>
      <w:sz w:val="28"/>
      <w:lang w:val="en-US" w:eastAsia="zh-CN" w:bidi="ar-SA"/>
    </w:rPr>
  </w:style>
  <w:style w:type="character" w:customStyle="1" w:styleId="Charfffffffff5">
    <w:name w:val="第五层条 Char"/>
    <w:qFormat/>
    <w:rPr>
      <w:rFonts w:ascii="Arial" w:eastAsia="黑体" w:hAnsi="Arial"/>
      <w:b/>
      <w:bCs/>
      <w:sz w:val="24"/>
      <w:szCs w:val="24"/>
      <w:lang w:val="en-US" w:eastAsia="zh-CN" w:bidi="ar-SA"/>
    </w:rPr>
  </w:style>
  <w:style w:type="character" w:customStyle="1" w:styleId="aCharCharChar">
    <w:name w:val="a) Char Char Char"/>
    <w:qFormat/>
    <w:rPr>
      <w:rFonts w:ascii="宋体" w:eastAsia="宋体" w:hAnsi="宋体" w:cs="宋体"/>
      <w:kern w:val="0"/>
      <w:sz w:val="28"/>
      <w:szCs w:val="20"/>
    </w:rPr>
  </w:style>
  <w:style w:type="character" w:customStyle="1" w:styleId="1Charf0">
    <w:name w:val="（1）标题 Char"/>
    <w:qFormat/>
    <w:rPr>
      <w:rFonts w:eastAsia="宋体"/>
      <w:sz w:val="28"/>
      <w:lang w:bidi="ar-SA"/>
    </w:rPr>
  </w:style>
  <w:style w:type="character" w:customStyle="1" w:styleId="1021CharChar">
    <w:name w:val="样式 列表1 + 左侧:  0 厘米 悬挂缩进: 2 字符1 Char Char"/>
    <w:qFormat/>
    <w:rPr>
      <w:rFonts w:eastAsia="仿宋_GB2312"/>
      <w:kern w:val="2"/>
      <w:sz w:val="28"/>
      <w:lang w:val="en-US" w:eastAsia="zh-CN" w:bidi="ar-SA"/>
    </w:rPr>
  </w:style>
  <w:style w:type="character" w:customStyle="1" w:styleId="3Char7">
    <w:name w:val="样式3 Char"/>
    <w:link w:val="3f9"/>
    <w:qFormat/>
    <w:rPr>
      <w:sz w:val="21"/>
    </w:rPr>
  </w:style>
  <w:style w:type="paragraph" w:customStyle="1" w:styleId="3f9">
    <w:name w:val="样式3"/>
    <w:basedOn w:val="a6"/>
    <w:link w:val="3Char7"/>
    <w:qFormat/>
    <w:pPr>
      <w:adjustRightInd w:val="0"/>
      <w:spacing w:line="360" w:lineRule="atLeast"/>
      <w:ind w:firstLine="482"/>
      <w:textAlignment w:val="baseline"/>
    </w:pPr>
    <w:rPr>
      <w:kern w:val="0"/>
      <w:szCs w:val="20"/>
    </w:rPr>
  </w:style>
  <w:style w:type="character" w:customStyle="1" w:styleId="1Charf1">
    <w:name w:val="表－左对齐1 Char"/>
    <w:link w:val="1fff0"/>
    <w:qFormat/>
    <w:rPr>
      <w:color w:val="000000"/>
      <w:sz w:val="21"/>
      <w:szCs w:val="21"/>
      <w:lang w:eastAsia="ja-JP"/>
    </w:rPr>
  </w:style>
  <w:style w:type="paragraph" w:customStyle="1" w:styleId="1fff0">
    <w:name w:val="表－左对齐1"/>
    <w:link w:val="1Charf1"/>
    <w:qFormat/>
    <w:pPr>
      <w:adjustRightInd w:val="0"/>
      <w:ind w:firstLineChars="50" w:firstLine="50"/>
      <w:jc w:val="both"/>
    </w:pPr>
  </w:style>
  <w:style w:type="paragraph" w:customStyle="1" w:styleId="Charfffffffff6">
    <w:name w:val="表－居中列 Char"/>
    <w:basedOn w:val="a6"/>
    <w:link w:val="CharCharfffff"/>
    <w:qFormat/>
    <w:pPr>
      <w:suppressLineNumbers/>
      <w:suppressAutoHyphens/>
      <w:snapToGrid w:val="0"/>
      <w:spacing w:line="440" w:lineRule="exact"/>
      <w:jc w:val="center"/>
    </w:pPr>
    <w:rPr>
      <w:color w:val="000000"/>
      <w:kern w:val="0"/>
      <w:szCs w:val="21"/>
      <w:lang w:eastAsia="ja-JP"/>
    </w:rPr>
  </w:style>
  <w:style w:type="character" w:customStyle="1" w:styleId="CharCharfffff">
    <w:name w:val="表－居中列 Char Char"/>
    <w:link w:val="Charfffffffff6"/>
    <w:qFormat/>
    <w:rPr>
      <w:color w:val="000000"/>
      <w:sz w:val="21"/>
      <w:szCs w:val="21"/>
      <w:lang w:eastAsia="ja-JP"/>
    </w:rPr>
  </w:style>
  <w:style w:type="character" w:customStyle="1" w:styleId="CharCharChar11">
    <w:name w:val="Char Char Char1"/>
    <w:qFormat/>
    <w:rPr>
      <w:rFonts w:ascii="宋体" w:eastAsia="宋体" w:hAnsi="Courier New" w:cs="宋体"/>
      <w:sz w:val="21"/>
      <w:szCs w:val="21"/>
      <w:lang w:val="en-US" w:eastAsia="zh-CN" w:bidi="ar-SA"/>
    </w:rPr>
  </w:style>
  <w:style w:type="character" w:customStyle="1" w:styleId="HTMLChar1">
    <w:name w:val="HTML 预设格式 Char1"/>
    <w:uiPriority w:val="99"/>
    <w:qFormat/>
    <w:rPr>
      <w:rFonts w:ascii="Courier New" w:eastAsia="宋体" w:hAnsi="Courier New" w:cs="Courier New"/>
      <w:sz w:val="20"/>
      <w:szCs w:val="20"/>
    </w:rPr>
  </w:style>
  <w:style w:type="character" w:customStyle="1" w:styleId="3Char22">
    <w:name w:val="标题 3 Char2"/>
    <w:qFormat/>
    <w:rPr>
      <w:rFonts w:eastAsia="宋体"/>
      <w:b/>
      <w:bCs/>
      <w:kern w:val="2"/>
      <w:sz w:val="28"/>
      <w:szCs w:val="32"/>
      <w:lang w:val="en-US" w:eastAsia="zh-CN" w:bidi="ar-SA"/>
    </w:rPr>
  </w:style>
  <w:style w:type="character" w:customStyle="1" w:styleId="1CharCharChar4">
    <w:name w:val="表格1 Char Char Char"/>
    <w:qFormat/>
    <w:rPr>
      <w:rFonts w:eastAsia="黑体"/>
      <w:spacing w:val="6"/>
      <w:sz w:val="21"/>
      <w:lang w:val="en-US" w:eastAsia="zh-CN" w:bidi="ar-SA"/>
    </w:rPr>
  </w:style>
  <w:style w:type="character" w:customStyle="1" w:styleId="CharCharfffff0">
    <w:name w:val="正文！！！！！ Char Char"/>
    <w:link w:val="affffffffffffff1"/>
    <w:qFormat/>
    <w:rPr>
      <w:rFonts w:ascii="宋体" w:hAnsi="宋体"/>
      <w:color w:val="000000"/>
      <w:w w:val="110"/>
      <w:sz w:val="24"/>
      <w:szCs w:val="24"/>
    </w:rPr>
  </w:style>
  <w:style w:type="paragraph" w:customStyle="1" w:styleId="affffffffffffff1">
    <w:name w:val="正文！！！！！"/>
    <w:basedOn w:val="a6"/>
    <w:link w:val="CharCharfffff0"/>
    <w:qFormat/>
    <w:pPr>
      <w:adjustRightInd w:val="0"/>
      <w:snapToGrid w:val="0"/>
      <w:spacing w:line="360" w:lineRule="auto"/>
      <w:ind w:firstLineChars="200" w:firstLine="200"/>
    </w:pPr>
    <w:rPr>
      <w:rFonts w:ascii="宋体" w:hAnsi="宋体"/>
      <w:color w:val="000000"/>
      <w:w w:val="110"/>
      <w:kern w:val="0"/>
      <w:sz w:val="24"/>
    </w:rPr>
  </w:style>
  <w:style w:type="character" w:customStyle="1" w:styleId="2CharCharChar1">
    <w:name w:val="分目录2 Char Char Char"/>
    <w:qFormat/>
    <w:rPr>
      <w:rFonts w:eastAsia="宋体"/>
      <w:snapToGrid/>
      <w:sz w:val="24"/>
    </w:rPr>
  </w:style>
  <w:style w:type="character" w:customStyle="1" w:styleId="FontStyle375">
    <w:name w:val="Font Style375"/>
    <w:qFormat/>
    <w:rPr>
      <w:rFonts w:ascii="Times New Roman" w:hAnsi="Times New Roman" w:cs="Times New Roman"/>
      <w:sz w:val="22"/>
      <w:szCs w:val="22"/>
    </w:rPr>
  </w:style>
  <w:style w:type="character" w:customStyle="1" w:styleId="01CharChar5">
    <w:name w:val="表格文字01 Char Char"/>
    <w:link w:val="012"/>
    <w:qFormat/>
    <w:rPr>
      <w:color w:val="000000"/>
    </w:rPr>
  </w:style>
  <w:style w:type="paragraph" w:customStyle="1" w:styleId="012">
    <w:name w:val="表格文字01"/>
    <w:basedOn w:val="a6"/>
    <w:link w:val="01CharChar5"/>
    <w:qFormat/>
    <w:pPr>
      <w:wordWrap w:val="0"/>
      <w:overflowPunct w:val="0"/>
      <w:topLinePunct/>
      <w:jc w:val="center"/>
    </w:pPr>
    <w:rPr>
      <w:color w:val="000000"/>
      <w:kern w:val="0"/>
      <w:sz w:val="20"/>
      <w:szCs w:val="20"/>
    </w:rPr>
  </w:style>
  <w:style w:type="character" w:customStyle="1" w:styleId="2Charf4">
    <w:name w:val="表格文字2 Char"/>
    <w:qFormat/>
    <w:rPr>
      <w:rFonts w:ascii="宋体"/>
      <w:sz w:val="24"/>
    </w:rPr>
  </w:style>
  <w:style w:type="character" w:customStyle="1" w:styleId="1CharCharChar5">
    <w:name w:val="1标题 Char Char Char"/>
    <w:qFormat/>
    <w:rPr>
      <w:rFonts w:ascii="宋体" w:eastAsia="宋体" w:hAnsi="宋体"/>
      <w:sz w:val="28"/>
    </w:rPr>
  </w:style>
  <w:style w:type="character" w:customStyle="1" w:styleId="text1">
    <w:name w:val="text1"/>
    <w:qFormat/>
    <w:rPr>
      <w:color w:val="000000"/>
      <w:sz w:val="20"/>
      <w:szCs w:val="20"/>
      <w:u w:val="none"/>
    </w:rPr>
  </w:style>
  <w:style w:type="character" w:customStyle="1" w:styleId="88Char">
    <w:name w:val="正文88 Char"/>
    <w:link w:val="88"/>
    <w:qFormat/>
    <w:rPr>
      <w:rFonts w:ascii="楷体_GB2312" w:eastAsia="楷体_GB2312"/>
      <w:sz w:val="24"/>
      <w:szCs w:val="24"/>
    </w:rPr>
  </w:style>
  <w:style w:type="paragraph" w:customStyle="1" w:styleId="88">
    <w:name w:val="正文88"/>
    <w:basedOn w:val="a6"/>
    <w:link w:val="88Char"/>
    <w:qFormat/>
    <w:pPr>
      <w:tabs>
        <w:tab w:val="left" w:pos="567"/>
      </w:tabs>
      <w:adjustRightInd w:val="0"/>
      <w:spacing w:line="500" w:lineRule="exact"/>
      <w:ind w:firstLineChars="200" w:firstLine="480"/>
    </w:pPr>
    <w:rPr>
      <w:rFonts w:ascii="楷体_GB2312" w:eastAsia="楷体_GB2312"/>
      <w:kern w:val="0"/>
      <w:sz w:val="24"/>
    </w:rPr>
  </w:style>
  <w:style w:type="character" w:customStyle="1" w:styleId="CharCharfffff1">
    <w:name w:val="正文 Char Char"/>
    <w:qFormat/>
    <w:rPr>
      <w:rFonts w:ascii="宋体" w:eastAsia="宋体" w:cs="宋体"/>
      <w:kern w:val="2"/>
      <w:sz w:val="24"/>
      <w:szCs w:val="24"/>
      <w:lang w:val="en-US" w:eastAsia="zh-CN" w:bidi="ar-SA"/>
    </w:rPr>
  </w:style>
  <w:style w:type="character" w:customStyle="1" w:styleId="CharCharCharCharCharCCharCharCharCharCharCharChar">
    <w:name w:val="普通文字 Char Char Char Char Char C Char Char Char Char Char Char Char"/>
    <w:qFormat/>
    <w:rPr>
      <w:rFonts w:ascii="宋体" w:eastAsia="宋体" w:hAnsi="Courier New"/>
      <w:kern w:val="2"/>
      <w:sz w:val="28"/>
      <w:lang w:val="en-US" w:eastAsia="zh-CN" w:bidi="ar-SA"/>
    </w:rPr>
  </w:style>
  <w:style w:type="character" w:customStyle="1" w:styleId="line41">
    <w:name w:val="line41"/>
    <w:qFormat/>
  </w:style>
  <w:style w:type="character" w:customStyle="1" w:styleId="CharCharfffff2">
    <w:name w:val="表头规定 Char Char"/>
    <w:link w:val="affffffffffffff2"/>
    <w:qFormat/>
    <w:rPr>
      <w:rFonts w:ascii="宋体" w:eastAsia="黑体" w:hAnsi="宋体"/>
      <w:bCs/>
      <w:kern w:val="2"/>
      <w:sz w:val="24"/>
      <w:szCs w:val="32"/>
    </w:rPr>
  </w:style>
  <w:style w:type="paragraph" w:customStyle="1" w:styleId="affffffffffffff2">
    <w:name w:val="表头规定"/>
    <w:basedOn w:val="a6"/>
    <w:link w:val="CharCharfffff2"/>
    <w:qFormat/>
    <w:pPr>
      <w:keepNext/>
      <w:keepLines/>
      <w:tabs>
        <w:tab w:val="left" w:pos="360"/>
      </w:tabs>
      <w:spacing w:line="360" w:lineRule="auto"/>
      <w:jc w:val="center"/>
    </w:pPr>
    <w:rPr>
      <w:rFonts w:ascii="宋体" w:eastAsia="黑体" w:hAnsi="宋体"/>
      <w:bCs/>
      <w:sz w:val="24"/>
      <w:szCs w:val="32"/>
    </w:rPr>
  </w:style>
  <w:style w:type="character" w:customStyle="1" w:styleId="z-Char1">
    <w:name w:val="z-窗体底端 Char1"/>
    <w:qFormat/>
    <w:rPr>
      <w:rFonts w:ascii="Arial" w:hAnsi="Arial"/>
      <w:vanish/>
      <w:color w:val="000000"/>
      <w:w w:val="110"/>
      <w:kern w:val="0"/>
      <w:sz w:val="16"/>
    </w:rPr>
  </w:style>
  <w:style w:type="character" w:customStyle="1" w:styleId="0Char0">
    <w:name w:val="0 Char"/>
    <w:qFormat/>
    <w:rPr>
      <w:rFonts w:ascii="Times New Roman" w:eastAsia="宋体" w:hAnsi="Times New Roman" w:cs="Times New Roman"/>
      <w:color w:val="000000"/>
      <w:w w:val="110"/>
      <w:kern w:val="0"/>
      <w:sz w:val="24"/>
      <w:szCs w:val="21"/>
    </w:rPr>
  </w:style>
  <w:style w:type="character" w:customStyle="1" w:styleId="11Char2">
    <w:name w:val="正文11 Char"/>
    <w:link w:val="116"/>
    <w:qFormat/>
    <w:rPr>
      <w:rFonts w:ascii="宋体" w:hAnsi="宋体" w:cs="宋体"/>
      <w:sz w:val="24"/>
      <w:lang w:val="en-US" w:eastAsia="zh-CN" w:bidi="ar-SA"/>
    </w:rPr>
  </w:style>
  <w:style w:type="paragraph" w:customStyle="1" w:styleId="116">
    <w:name w:val="正文11"/>
    <w:next w:val="a6"/>
    <w:link w:val="11Char2"/>
    <w:qFormat/>
    <w:pPr>
      <w:spacing w:line="500" w:lineRule="exact"/>
      <w:ind w:firstLineChars="200" w:firstLine="200"/>
    </w:pPr>
    <w:rPr>
      <w:rFonts w:ascii="宋体" w:hAnsi="宋体" w:cs="宋体"/>
      <w:sz w:val="24"/>
    </w:rPr>
  </w:style>
  <w:style w:type="character" w:customStyle="1" w:styleId="CharCharfffff3">
    <w:name w:val="环保专篇 Char Char"/>
    <w:link w:val="affffffffffffff3"/>
    <w:qFormat/>
    <w:rPr>
      <w:sz w:val="24"/>
      <w:szCs w:val="24"/>
      <w:lang w:val="en-US" w:eastAsia="zh-CN" w:bidi="ar-SA"/>
    </w:rPr>
  </w:style>
  <w:style w:type="paragraph" w:customStyle="1" w:styleId="affffffffffffff3">
    <w:name w:val="环保专篇"/>
    <w:link w:val="CharCharfffff3"/>
    <w:qFormat/>
    <w:pPr>
      <w:spacing w:line="360" w:lineRule="auto"/>
      <w:ind w:firstLineChars="200" w:firstLine="200"/>
      <w:jc w:val="both"/>
    </w:pPr>
    <w:rPr>
      <w:sz w:val="24"/>
      <w:szCs w:val="24"/>
    </w:rPr>
  </w:style>
  <w:style w:type="character" w:customStyle="1" w:styleId="xl34CharChar">
    <w:name w:val="xl34 Char Char"/>
    <w:qFormat/>
    <w:rPr>
      <w:rFonts w:ascii="Arial Unicode MS" w:eastAsia="Arial Unicode MS" w:hAnsi="Arial Unicode MS"/>
      <w:sz w:val="21"/>
      <w:szCs w:val="21"/>
      <w:lang w:val="en-US" w:eastAsia="zh-CN" w:bidi="ar-SA"/>
    </w:rPr>
  </w:style>
  <w:style w:type="character" w:customStyle="1" w:styleId="font-title25">
    <w:name w:val="font-title25"/>
    <w:qFormat/>
  </w:style>
  <w:style w:type="character" w:customStyle="1" w:styleId="style51">
    <w:name w:val="style51"/>
    <w:qFormat/>
    <w:rPr>
      <w:sz w:val="21"/>
      <w:szCs w:val="21"/>
    </w:rPr>
  </w:style>
  <w:style w:type="character" w:customStyle="1" w:styleId="2Charf5">
    <w:name w:val="样式 首行缩进:  2 字符 Char"/>
    <w:qFormat/>
    <w:rPr>
      <w:rFonts w:eastAsia="仿宋_GB2312" w:cs="宋体"/>
      <w:kern w:val="2"/>
      <w:sz w:val="24"/>
      <w:lang w:val="en-US" w:eastAsia="zh-CN" w:bidi="ar-SA"/>
    </w:rPr>
  </w:style>
  <w:style w:type="character" w:customStyle="1" w:styleId="HTML17">
    <w:name w:val="HTML 打字机1"/>
    <w:qFormat/>
    <w:rPr>
      <w:rFonts w:ascii="Courier New" w:eastAsia="宋体" w:hAnsi="Courier New" w:cs="Courier New"/>
      <w:kern w:val="2"/>
      <w:sz w:val="20"/>
      <w:szCs w:val="20"/>
      <w:lang w:val="en-US" w:eastAsia="zh-CN"/>
    </w:rPr>
  </w:style>
  <w:style w:type="character" w:customStyle="1" w:styleId="0Char1">
    <w:name w:val="样式 居中 首行缩进:  0 字符 Char"/>
    <w:uiPriority w:val="99"/>
    <w:qFormat/>
    <w:rPr>
      <w:rFonts w:eastAsia="仿宋_GB2312"/>
      <w:kern w:val="2"/>
      <w:sz w:val="21"/>
      <w:lang w:val="en-US" w:eastAsia="zh-CN" w:bidi="ar-SA"/>
    </w:rPr>
  </w:style>
  <w:style w:type="character" w:customStyle="1" w:styleId="9points1">
    <w:name w:val="9points1"/>
    <w:qFormat/>
    <w:rPr>
      <w:rFonts w:hint="default"/>
      <w:color w:val="003366"/>
      <w:sz w:val="18"/>
      <w:szCs w:val="18"/>
      <w:u w:val="none"/>
    </w:rPr>
  </w:style>
  <w:style w:type="character" w:customStyle="1" w:styleId="40205Char">
    <w:name w:val="样式 样式 标题 4 + 段前: 0.2 行 + 段前: 0.5 行 Char"/>
    <w:link w:val="40205"/>
    <w:qFormat/>
    <w:rPr>
      <w:bCs/>
      <w:kern w:val="2"/>
      <w:sz w:val="24"/>
      <w:szCs w:val="28"/>
    </w:rPr>
  </w:style>
  <w:style w:type="paragraph" w:customStyle="1" w:styleId="40205">
    <w:name w:val="样式 样式 标题 4 + 段前: 0.2 行 + 段前: 0.5 行"/>
    <w:basedOn w:val="a6"/>
    <w:link w:val="40205Char"/>
    <w:qFormat/>
    <w:pPr>
      <w:tabs>
        <w:tab w:val="left" w:pos="360"/>
      </w:tabs>
      <w:topLinePunct/>
      <w:adjustRightInd w:val="0"/>
      <w:snapToGrid w:val="0"/>
      <w:spacing w:beforeLines="50" w:line="300" w:lineRule="auto"/>
      <w:outlineLvl w:val="3"/>
    </w:pPr>
    <w:rPr>
      <w:bCs/>
      <w:sz w:val="24"/>
      <w:szCs w:val="28"/>
    </w:rPr>
  </w:style>
  <w:style w:type="character" w:customStyle="1" w:styleId="affffffffffffff4">
    <w:name w:val="个人答复风格"/>
    <w:qFormat/>
    <w:rPr>
      <w:rFonts w:ascii="Arial" w:eastAsia="宋体" w:hAnsi="Arial" w:cs="Arial"/>
      <w:color w:val="auto"/>
      <w:sz w:val="20"/>
    </w:rPr>
  </w:style>
  <w:style w:type="character" w:customStyle="1" w:styleId="0CharCharCharCharChar">
    <w:name w:val="样式 居中 首行缩进:  0 字符 Char Char Char Char Char"/>
    <w:link w:val="0CharChar0"/>
    <w:qFormat/>
    <w:rPr>
      <w:rFonts w:ascii="宋体" w:hAnsi="宋体"/>
      <w:color w:val="FF0000"/>
      <w:w w:val="110"/>
      <w:sz w:val="18"/>
      <w:szCs w:val="18"/>
    </w:rPr>
  </w:style>
  <w:style w:type="paragraph" w:customStyle="1" w:styleId="0CharChar0">
    <w:name w:val="样式 居中 首行缩进:  0 字符 Char Char"/>
    <w:basedOn w:val="a6"/>
    <w:next w:val="a6"/>
    <w:link w:val="0CharCharCharCharChar"/>
    <w:qFormat/>
    <w:pPr>
      <w:tabs>
        <w:tab w:val="left" w:pos="9128"/>
      </w:tabs>
      <w:snapToGrid w:val="0"/>
      <w:jc w:val="center"/>
    </w:pPr>
    <w:rPr>
      <w:rFonts w:ascii="宋体" w:hAnsi="宋体"/>
      <w:color w:val="FF0000"/>
      <w:w w:val="110"/>
      <w:kern w:val="0"/>
      <w:sz w:val="18"/>
      <w:szCs w:val="18"/>
    </w:rPr>
  </w:style>
  <w:style w:type="character" w:customStyle="1" w:styleId="line31">
    <w:name w:val="line31"/>
    <w:qFormat/>
    <w:rPr>
      <w:color w:val="993333"/>
    </w:rPr>
  </w:style>
  <w:style w:type="character" w:customStyle="1" w:styleId="b0">
    <w:name w:val="b"/>
    <w:qFormat/>
  </w:style>
  <w:style w:type="character" w:customStyle="1" w:styleId="1Charf2">
    <w:name w:val="正文样式1 Char"/>
    <w:link w:val="1fff1"/>
    <w:qFormat/>
    <w:rPr>
      <w:rFonts w:ascii="宋体" w:hAnsi="宋体"/>
      <w:sz w:val="24"/>
    </w:rPr>
  </w:style>
  <w:style w:type="paragraph" w:customStyle="1" w:styleId="1fff1">
    <w:name w:val="正文样式1"/>
    <w:basedOn w:val="a6"/>
    <w:link w:val="1Charf2"/>
    <w:qFormat/>
    <w:pPr>
      <w:spacing w:line="520" w:lineRule="exact"/>
      <w:jc w:val="center"/>
    </w:pPr>
    <w:rPr>
      <w:rFonts w:ascii="宋体" w:hAnsi="宋体"/>
      <w:kern w:val="0"/>
      <w:sz w:val="24"/>
      <w:szCs w:val="20"/>
    </w:rPr>
  </w:style>
  <w:style w:type="character" w:customStyle="1" w:styleId="2TimesNewRomanCharCharChar">
    <w:name w:val="正文首行缩进 2 + Times New Roman Char Char Char"/>
    <w:qFormat/>
    <w:rPr>
      <w:rFonts w:ascii="宋体" w:eastAsia="宋体" w:hAnsi="宋体"/>
      <w:bCs/>
      <w:sz w:val="21"/>
      <w:szCs w:val="21"/>
      <w:lang w:val="en-US" w:eastAsia="zh-CN" w:bidi="ar-SA"/>
    </w:rPr>
  </w:style>
  <w:style w:type="character" w:customStyle="1" w:styleId="4-25CharChar">
    <w:name w:val="4-25正 Char Char"/>
    <w:qFormat/>
    <w:rPr>
      <w:rFonts w:cs="宋体"/>
      <w:sz w:val="24"/>
    </w:rPr>
  </w:style>
  <w:style w:type="character" w:customStyle="1" w:styleId="6Char2">
    <w:name w:val="标题 6 Char2"/>
    <w:qFormat/>
    <w:rPr>
      <w:rFonts w:ascii="Calibri Light" w:eastAsia="宋体" w:hAnsi="Calibri Light" w:cs="Times New Roman"/>
      <w:b/>
      <w:bCs/>
      <w:kern w:val="2"/>
      <w:sz w:val="24"/>
      <w:szCs w:val="24"/>
    </w:rPr>
  </w:style>
  <w:style w:type="character" w:customStyle="1" w:styleId="4CharChar10">
    <w:name w:val="标题 4 Char Char1"/>
    <w:qFormat/>
    <w:rPr>
      <w:rFonts w:eastAsia="黑体"/>
      <w:bCs/>
      <w:kern w:val="2"/>
      <w:sz w:val="24"/>
      <w:szCs w:val="24"/>
      <w:lang w:val="en-US" w:eastAsia="zh-CN" w:bidi="ar-SA"/>
    </w:rPr>
  </w:style>
  <w:style w:type="character" w:customStyle="1" w:styleId="CharCharCharChara">
    <w:name w:val="环保专篇 Char Char Char Char"/>
    <w:qFormat/>
    <w:rPr>
      <w:sz w:val="24"/>
      <w:szCs w:val="24"/>
      <w:lang w:val="en-US" w:eastAsia="zh-CN" w:bidi="ar-SA"/>
    </w:rPr>
  </w:style>
  <w:style w:type="character" w:customStyle="1" w:styleId="Char3d">
    <w:name w:val="普通文字 Char3"/>
    <w:qFormat/>
    <w:rPr>
      <w:rFonts w:ascii="宋体" w:eastAsia="宋体" w:hAnsi="Courier New"/>
      <w:color w:val="000000"/>
      <w:kern w:val="2"/>
      <w:sz w:val="28"/>
      <w:lang w:val="en-US" w:eastAsia="zh-CN" w:bidi="ar-SA"/>
    </w:rPr>
  </w:style>
  <w:style w:type="character" w:customStyle="1" w:styleId="EmailStyle5441">
    <w:name w:val="EmailStyle5441"/>
    <w:qFormat/>
    <w:rPr>
      <w:rFonts w:ascii="Arial" w:eastAsia="宋体" w:hAnsi="Arial" w:cs="Arial"/>
      <w:color w:val="auto"/>
      <w:sz w:val="20"/>
    </w:rPr>
  </w:style>
  <w:style w:type="character" w:customStyle="1" w:styleId="86Char">
    <w:name w:val="正文86 Char"/>
    <w:link w:val="86"/>
    <w:qFormat/>
    <w:rPr>
      <w:rFonts w:ascii="楷体_GB2312" w:eastAsia="楷体_GB2312"/>
      <w:sz w:val="24"/>
      <w:szCs w:val="24"/>
    </w:rPr>
  </w:style>
  <w:style w:type="paragraph" w:customStyle="1" w:styleId="86">
    <w:name w:val="正文86"/>
    <w:basedOn w:val="a6"/>
    <w:link w:val="86Char"/>
    <w:qFormat/>
    <w:pPr>
      <w:tabs>
        <w:tab w:val="left" w:pos="567"/>
      </w:tabs>
      <w:adjustRightInd w:val="0"/>
      <w:spacing w:line="500" w:lineRule="exact"/>
      <w:ind w:firstLineChars="200" w:firstLine="480"/>
    </w:pPr>
    <w:rPr>
      <w:rFonts w:ascii="楷体_GB2312" w:eastAsia="楷体_GB2312"/>
      <w:kern w:val="0"/>
      <w:sz w:val="24"/>
    </w:rPr>
  </w:style>
  <w:style w:type="character" w:customStyle="1" w:styleId="CharCharfffff4">
    <w:name w:val="金源 Char Char"/>
    <w:link w:val="affffffffffffff5"/>
    <w:qFormat/>
    <w:rPr>
      <w:color w:val="000000"/>
      <w:w w:val="110"/>
      <w:sz w:val="24"/>
    </w:rPr>
  </w:style>
  <w:style w:type="paragraph" w:customStyle="1" w:styleId="affffffffffffff5">
    <w:name w:val="金源"/>
    <w:basedOn w:val="a6"/>
    <w:link w:val="CharCharfffff4"/>
    <w:qFormat/>
    <w:pPr>
      <w:spacing w:line="480" w:lineRule="exact"/>
      <w:ind w:firstLineChars="200" w:firstLine="480"/>
      <w:jc w:val="left"/>
    </w:pPr>
    <w:rPr>
      <w:color w:val="000000"/>
      <w:w w:val="110"/>
      <w:kern w:val="0"/>
      <w:sz w:val="24"/>
      <w:szCs w:val="20"/>
    </w:rPr>
  </w:style>
  <w:style w:type="character" w:customStyle="1" w:styleId="CharAttribute13">
    <w:name w:val="CharAttribute13"/>
    <w:qFormat/>
    <w:rPr>
      <w:rFonts w:ascii="楷体" w:eastAsia="楷体" w:hAnsi="楷体"/>
      <w:b/>
      <w:sz w:val="24"/>
    </w:rPr>
  </w:style>
  <w:style w:type="character" w:customStyle="1" w:styleId="css-text3">
    <w:name w:val="css-text3"/>
    <w:qFormat/>
  </w:style>
  <w:style w:type="character" w:customStyle="1" w:styleId="GB23128">
    <w:name w:val="样式 仿宋_GB2312 四号"/>
    <w:qFormat/>
    <w:rPr>
      <w:rFonts w:ascii="仿宋_GB2312" w:eastAsia="仿宋_GB2312"/>
      <w:sz w:val="28"/>
      <w:szCs w:val="28"/>
    </w:rPr>
  </w:style>
  <w:style w:type="character" w:customStyle="1" w:styleId="3CharChar11">
    <w:name w:val="正文文字 3 Char Char1"/>
    <w:qFormat/>
    <w:rPr>
      <w:rFonts w:ascii="宋体" w:eastAsia="宋体" w:hAnsi="宋体"/>
      <w:kern w:val="2"/>
      <w:sz w:val="24"/>
      <w:szCs w:val="24"/>
      <w:lang w:val="en-US" w:eastAsia="zh-CN" w:bidi="ar-SA"/>
    </w:rPr>
  </w:style>
  <w:style w:type="character" w:customStyle="1" w:styleId="Charfffffffff7">
    <w:name w:val="正文格式 Char"/>
    <w:qFormat/>
    <w:rPr>
      <w:rFonts w:ascii="宋体" w:hAnsi="宋体"/>
      <w:sz w:val="24"/>
      <w:szCs w:val="24"/>
    </w:rPr>
  </w:style>
  <w:style w:type="character" w:customStyle="1" w:styleId="proposalChar">
    <w:name w:val="proposal Char"/>
    <w:link w:val="proposal"/>
    <w:qFormat/>
    <w:rPr>
      <w:color w:val="000000"/>
      <w:sz w:val="24"/>
      <w:lang w:val="en-GB" w:eastAsia="en-GB"/>
    </w:rPr>
  </w:style>
  <w:style w:type="paragraph" w:customStyle="1" w:styleId="proposal">
    <w:name w:val="proposal"/>
    <w:basedOn w:val="a6"/>
    <w:link w:val="proposalChar"/>
    <w:qFormat/>
    <w:pPr>
      <w:widowControl/>
      <w:spacing w:line="300" w:lineRule="auto"/>
      <w:ind w:left="1440" w:hanging="1440"/>
      <w:jc w:val="left"/>
    </w:pPr>
    <w:rPr>
      <w:color w:val="000000"/>
      <w:kern w:val="0"/>
      <w:sz w:val="24"/>
      <w:szCs w:val="20"/>
      <w:lang w:val="en-GB" w:eastAsia="en-GB"/>
    </w:rPr>
  </w:style>
  <w:style w:type="character" w:customStyle="1" w:styleId="3CharCharChar0">
    <w:name w:val="样式 标题 3 + 宋体 Char Char Char"/>
    <w:link w:val="3CharChar2"/>
    <w:qFormat/>
    <w:rPr>
      <w:rFonts w:eastAsia="黑体" w:hAnsi="黑体"/>
      <w:b/>
      <w:bCs/>
      <w:kern w:val="2"/>
      <w:sz w:val="32"/>
      <w:szCs w:val="32"/>
    </w:rPr>
  </w:style>
  <w:style w:type="paragraph" w:customStyle="1" w:styleId="3CharChar2">
    <w:name w:val="样式 标题 3 + 宋体 Char Char"/>
    <w:basedOn w:val="33"/>
    <w:link w:val="3CharCharChar0"/>
    <w:qFormat/>
    <w:pPr>
      <w:keepNext w:val="0"/>
      <w:adjustRightInd w:val="0"/>
      <w:spacing w:beforeLines="50" w:afterLines="50" w:line="420" w:lineRule="auto"/>
    </w:pPr>
    <w:rPr>
      <w:rFonts w:hAnsi="黑体"/>
      <w:b/>
      <w:bCs/>
      <w:spacing w:val="0"/>
      <w:sz w:val="32"/>
      <w:szCs w:val="32"/>
    </w:rPr>
  </w:style>
  <w:style w:type="character" w:customStyle="1" w:styleId="f91">
    <w:name w:val="f91"/>
    <w:qFormat/>
    <w:rPr>
      <w:rFonts w:hint="default"/>
      <w:sz w:val="18"/>
      <w:szCs w:val="18"/>
    </w:rPr>
  </w:style>
  <w:style w:type="character" w:customStyle="1" w:styleId="CharCharCharff">
    <w:name w:val="表格内字体 Char Char Char"/>
    <w:qFormat/>
    <w:rPr>
      <w:rFonts w:ascii="宋体" w:eastAsia="宋体" w:hAnsi="宋体"/>
      <w:color w:val="FF0000"/>
      <w:sz w:val="21"/>
      <w:szCs w:val="24"/>
      <w:lang w:val="en-US" w:eastAsia="zh-CN" w:bidi="ar-SA"/>
    </w:rPr>
  </w:style>
  <w:style w:type="character" w:customStyle="1" w:styleId="ca-110">
    <w:name w:val="ca-110"/>
    <w:qFormat/>
    <w:rPr>
      <w:rFonts w:ascii="宋体" w:eastAsia="宋体" w:hAnsi="宋体" w:hint="eastAsia"/>
      <w:color w:val="000000"/>
      <w:sz w:val="24"/>
      <w:szCs w:val="24"/>
    </w:rPr>
  </w:style>
  <w:style w:type="character" w:customStyle="1" w:styleId="CharCharfffff5">
    <w:name w:val="无节项 Char Char"/>
    <w:qFormat/>
    <w:rPr>
      <w:rFonts w:ascii="Arial" w:eastAsia="黑体" w:hAnsi="Arial"/>
      <w:kern w:val="2"/>
      <w:sz w:val="24"/>
      <w:szCs w:val="21"/>
      <w:lang w:val="en-US" w:eastAsia="zh-CN" w:bidi="ar-SA"/>
    </w:rPr>
  </w:style>
  <w:style w:type="character" w:customStyle="1" w:styleId="1fff2">
    <w:name w:val="样式 宋体 四号 黑色1"/>
    <w:qFormat/>
    <w:rPr>
      <w:rFonts w:ascii="宋体" w:hAnsi="宋体"/>
      <w:color w:val="000000"/>
      <w:sz w:val="24"/>
      <w:szCs w:val="24"/>
    </w:rPr>
  </w:style>
  <w:style w:type="character" w:customStyle="1" w:styleId="Charfffffffff8">
    <w:name w:val="表底说明 Char"/>
    <w:qFormat/>
    <w:rPr>
      <w:rFonts w:eastAsia="宋体"/>
      <w:kern w:val="2"/>
      <w:sz w:val="18"/>
      <w:szCs w:val="24"/>
      <w:lang w:val="en-US" w:eastAsia="zh-CN" w:bidi="ar-SA"/>
    </w:rPr>
  </w:style>
  <w:style w:type="character" w:customStyle="1" w:styleId="Charfffffffff9">
    <w:name w:val="正文文 Char"/>
    <w:link w:val="affffffffffffff6"/>
    <w:qFormat/>
    <w:rPr>
      <w:sz w:val="24"/>
      <w:szCs w:val="24"/>
    </w:rPr>
  </w:style>
  <w:style w:type="paragraph" w:customStyle="1" w:styleId="affffffffffffff6">
    <w:name w:val="正文文"/>
    <w:link w:val="Charfffffffff9"/>
    <w:qFormat/>
    <w:pPr>
      <w:adjustRightInd w:val="0"/>
      <w:ind w:firstLineChars="200" w:firstLine="480"/>
      <w:textAlignment w:val="baseline"/>
    </w:pPr>
    <w:rPr>
      <w:sz w:val="24"/>
    </w:rPr>
  </w:style>
  <w:style w:type="paragraph" w:customStyle="1" w:styleId="affffffffffffff7">
    <w:name w:val="正文 + 宋体"/>
    <w:basedOn w:val="a6"/>
    <w:qFormat/>
    <w:pPr>
      <w:spacing w:line="520" w:lineRule="exact"/>
    </w:pPr>
    <w:rPr>
      <w:rFonts w:ascii="宋体" w:hAnsi="宋体"/>
    </w:rPr>
  </w:style>
  <w:style w:type="character" w:customStyle="1" w:styleId="3zw">
    <w:name w:val="3zw"/>
    <w:qFormat/>
  </w:style>
  <w:style w:type="character" w:customStyle="1" w:styleId="1CharCharf3">
    <w:name w:val="正文1 Char Char"/>
    <w:qFormat/>
    <w:rPr>
      <w:snapToGrid w:val="0"/>
      <w:kern w:val="21"/>
      <w:sz w:val="21"/>
    </w:rPr>
  </w:style>
  <w:style w:type="character" w:customStyle="1" w:styleId="Char2f8">
    <w:name w:val="批注主题 Char2"/>
    <w:uiPriority w:val="99"/>
    <w:qFormat/>
    <w:rPr>
      <w:rFonts w:ascii="Times New Roman" w:hAnsi="Times New Roman"/>
      <w:b/>
      <w:bCs/>
      <w:szCs w:val="24"/>
    </w:rPr>
  </w:style>
  <w:style w:type="character" w:customStyle="1" w:styleId="CharCharfffff6">
    <w:name w:val="【图片】 Char Char"/>
    <w:link w:val="affffffffffffff8"/>
    <w:qFormat/>
    <w:rPr>
      <w:rFonts w:ascii="宋体"/>
      <w:sz w:val="24"/>
      <w:lang w:bidi="ar-SA"/>
    </w:rPr>
  </w:style>
  <w:style w:type="paragraph" w:customStyle="1" w:styleId="affffffffffffff8">
    <w:name w:val="【图片】"/>
    <w:next w:val="a6"/>
    <w:link w:val="CharCharfffff6"/>
    <w:qFormat/>
    <w:pPr>
      <w:spacing w:line="360" w:lineRule="auto"/>
      <w:jc w:val="center"/>
    </w:pPr>
    <w:rPr>
      <w:rFonts w:ascii="宋体"/>
      <w:sz w:val="24"/>
    </w:rPr>
  </w:style>
  <w:style w:type="character" w:customStyle="1" w:styleId="CharCharfffff7">
    <w:name w:val="四级格式 Char Char"/>
    <w:link w:val="affffffffffffff9"/>
    <w:qFormat/>
    <w:rPr>
      <w:rFonts w:eastAsia="黑体"/>
      <w:b/>
      <w:kern w:val="2"/>
      <w:sz w:val="21"/>
    </w:rPr>
  </w:style>
  <w:style w:type="paragraph" w:customStyle="1" w:styleId="affffffffffffff9">
    <w:name w:val="四级格式"/>
    <w:basedOn w:val="a6"/>
    <w:link w:val="CharCharfffff7"/>
    <w:qFormat/>
    <w:pPr>
      <w:adjustRightInd w:val="0"/>
      <w:snapToGrid w:val="0"/>
      <w:spacing w:line="330" w:lineRule="exact"/>
      <w:ind w:firstLineChars="200" w:firstLine="420"/>
      <w:jc w:val="left"/>
      <w:outlineLvl w:val="3"/>
    </w:pPr>
    <w:rPr>
      <w:rFonts w:eastAsia="黑体"/>
      <w:b/>
      <w:szCs w:val="20"/>
    </w:rPr>
  </w:style>
  <w:style w:type="character" w:customStyle="1" w:styleId="Charfffffffffa">
    <w:name w:val="段落 Char"/>
    <w:link w:val="affffffffffffffa"/>
    <w:qFormat/>
    <w:rPr>
      <w:kern w:val="2"/>
      <w:sz w:val="24"/>
      <w:szCs w:val="24"/>
    </w:rPr>
  </w:style>
  <w:style w:type="paragraph" w:customStyle="1" w:styleId="affffffffffffffa">
    <w:name w:val="段落"/>
    <w:basedOn w:val="a6"/>
    <w:link w:val="Charfffffffffa"/>
    <w:qFormat/>
    <w:pPr>
      <w:spacing w:line="360" w:lineRule="auto"/>
      <w:ind w:firstLineChars="200" w:firstLine="200"/>
    </w:pPr>
    <w:rPr>
      <w:sz w:val="24"/>
    </w:rPr>
  </w:style>
  <w:style w:type="character" w:customStyle="1" w:styleId="5CharChar10">
    <w:name w:val="标题5 Char Char1"/>
    <w:link w:val="5f1"/>
    <w:qFormat/>
    <w:rPr>
      <w:rFonts w:ascii="宋体"/>
      <w:b/>
      <w:kern w:val="2"/>
      <w:sz w:val="30"/>
    </w:rPr>
  </w:style>
  <w:style w:type="paragraph" w:customStyle="1" w:styleId="5f1">
    <w:name w:val="标题5"/>
    <w:basedOn w:val="af0"/>
    <w:link w:val="5CharChar10"/>
    <w:qFormat/>
    <w:pPr>
      <w:widowControl/>
      <w:tabs>
        <w:tab w:val="left" w:pos="1054"/>
        <w:tab w:val="left" w:pos="1680"/>
      </w:tabs>
      <w:adjustRightInd/>
      <w:spacing w:before="40" w:after="20" w:line="264" w:lineRule="auto"/>
      <w:ind w:left="493" w:hanging="493"/>
      <w:jc w:val="both"/>
      <w:textAlignment w:val="auto"/>
      <w:outlineLvl w:val="0"/>
    </w:pPr>
    <w:rPr>
      <w:rFonts w:hAnsi="Times New Roman"/>
      <w:b/>
      <w:kern w:val="2"/>
      <w:sz w:val="30"/>
      <w:szCs w:val="20"/>
    </w:rPr>
  </w:style>
  <w:style w:type="character" w:customStyle="1" w:styleId="CharCharfffff8">
    <w:name w:val="表标题 Char Char"/>
    <w:link w:val="affffffffffffffb"/>
    <w:qFormat/>
    <w:rPr>
      <w:rFonts w:ascii="黑体" w:eastAsia="黑体"/>
      <w:color w:val="003300"/>
      <w:kern w:val="2"/>
      <w:sz w:val="21"/>
      <w:szCs w:val="24"/>
    </w:rPr>
  </w:style>
  <w:style w:type="paragraph" w:customStyle="1" w:styleId="affffffffffffffb">
    <w:name w:val="表标题"/>
    <w:basedOn w:val="a6"/>
    <w:next w:val="a6"/>
    <w:link w:val="CharCharfffff8"/>
    <w:qFormat/>
    <w:pPr>
      <w:spacing w:line="360" w:lineRule="auto"/>
      <w:ind w:firstLineChars="200" w:firstLine="200"/>
      <w:jc w:val="center"/>
    </w:pPr>
    <w:rPr>
      <w:rFonts w:ascii="黑体" w:eastAsia="黑体"/>
      <w:color w:val="003300"/>
    </w:rPr>
  </w:style>
  <w:style w:type="character" w:customStyle="1" w:styleId="3H3BHead3Char1113h33rdlevel1CharCharChar">
    <w:name w:val="样式 标题 3H3B Head标题 3 Char条标题1.1.1三级标题标题3h33rd level第二层条...1 Char Char Char"/>
    <w:link w:val="3H3BHead3Char1113h33rdlevel1Char"/>
    <w:qFormat/>
    <w:rPr>
      <w:rFonts w:ascii="仿宋_GB2312" w:eastAsia="仿宋_GB2312" w:hAnsi="宋体"/>
      <w:bCs/>
      <w:color w:val="FF0000"/>
      <w:sz w:val="24"/>
      <w:szCs w:val="24"/>
    </w:rPr>
  </w:style>
  <w:style w:type="paragraph" w:customStyle="1" w:styleId="3H3BHead3Char1113h33rdlevel1Char">
    <w:name w:val="样式 标题 3H3B Head标题 3 Char条标题1.1.1三级标题标题3h33rd level第二层条...1 Char"/>
    <w:basedOn w:val="33"/>
    <w:link w:val="3H3BHead3Char1113h33rdlevel1CharCharChar"/>
    <w:qFormat/>
    <w:pPr>
      <w:keepNext w:val="0"/>
      <w:keepLines w:val="0"/>
      <w:overflowPunct w:val="0"/>
      <w:autoSpaceDE w:val="0"/>
      <w:autoSpaceDN w:val="0"/>
      <w:adjustRightInd w:val="0"/>
      <w:snapToGrid w:val="0"/>
      <w:spacing w:before="31" w:after="31" w:line="360" w:lineRule="auto"/>
      <w:textAlignment w:val="baseline"/>
    </w:pPr>
    <w:rPr>
      <w:rFonts w:ascii="仿宋_GB2312" w:eastAsia="仿宋_GB2312" w:hAnsi="宋体"/>
      <w:bCs/>
      <w:color w:val="FF0000"/>
      <w:spacing w:val="0"/>
      <w:kern w:val="0"/>
      <w:sz w:val="24"/>
      <w:szCs w:val="24"/>
    </w:rPr>
  </w:style>
  <w:style w:type="character" w:customStyle="1" w:styleId="CharCharChar12">
    <w:name w:val="右 Char Char Char1"/>
    <w:qFormat/>
    <w:rPr>
      <w:kern w:val="2"/>
      <w:sz w:val="18"/>
      <w:szCs w:val="18"/>
    </w:rPr>
  </w:style>
  <w:style w:type="character" w:customStyle="1" w:styleId="apple-style-span">
    <w:name w:val="apple-style-span"/>
    <w:qFormat/>
  </w:style>
  <w:style w:type="character" w:customStyle="1" w:styleId="CharCharfffff9">
    <w:name w:val="二级条标题 Char Char"/>
    <w:qFormat/>
    <w:rPr>
      <w:rFonts w:ascii="宋体"/>
      <w:sz w:val="24"/>
      <w:szCs w:val="24"/>
    </w:rPr>
  </w:style>
  <w:style w:type="character" w:customStyle="1" w:styleId="hangju1">
    <w:name w:val="hangju1"/>
    <w:qFormat/>
    <w:rPr>
      <w:u w:val="none"/>
    </w:rPr>
  </w:style>
  <w:style w:type="character" w:customStyle="1" w:styleId="22CharCharChar">
    <w:name w:val="样式 题注 + 首行缩进:  2 字符2 Char Char Char"/>
    <w:qFormat/>
    <w:rPr>
      <w:rFonts w:ascii="黑体" w:eastAsia="黑体" w:hAnsi="宋体" w:cs="宋体"/>
      <w:b/>
      <w:bCs/>
      <w:kern w:val="2"/>
      <w:sz w:val="24"/>
      <w:szCs w:val="24"/>
      <w:lang w:val="en-US" w:eastAsia="zh-CN" w:bidi="ar-SA"/>
    </w:rPr>
  </w:style>
  <w:style w:type="character" w:customStyle="1" w:styleId="3GB2312CharChar">
    <w:name w:val="样式 正文文本缩进 3 + 仿宋_GB2312 Char Char"/>
    <w:link w:val="3GB2312"/>
    <w:qFormat/>
    <w:rPr>
      <w:rFonts w:ascii="仿宋_GB2312" w:eastAsia="仿宋_GB2312" w:hAnsi="仿宋_GB2312" w:cs="黑体"/>
      <w:kern w:val="2"/>
      <w:sz w:val="28"/>
      <w:szCs w:val="24"/>
    </w:rPr>
  </w:style>
  <w:style w:type="paragraph" w:customStyle="1" w:styleId="3GB2312">
    <w:name w:val="样式 正文文本缩进 3 + 仿宋_GB2312"/>
    <w:basedOn w:val="39"/>
    <w:link w:val="3GB2312CharChar"/>
    <w:qFormat/>
    <w:pPr>
      <w:adjustRightInd/>
      <w:snapToGrid/>
      <w:spacing w:line="360" w:lineRule="auto"/>
      <w:ind w:firstLineChars="200" w:firstLine="200"/>
    </w:pPr>
    <w:rPr>
      <w:rFonts w:ascii="仿宋_GB2312" w:eastAsia="仿宋_GB2312" w:hAnsi="仿宋_GB2312"/>
      <w:color w:val="auto"/>
    </w:rPr>
  </w:style>
  <w:style w:type="character" w:customStyle="1" w:styleId="z-Char2">
    <w:name w:val="z-窗体底端 Char2"/>
    <w:qFormat/>
    <w:rPr>
      <w:rFonts w:ascii="Arial" w:hAnsi="Arial" w:cs="Arial"/>
      <w:vanish/>
      <w:kern w:val="2"/>
      <w:sz w:val="16"/>
      <w:szCs w:val="16"/>
    </w:rPr>
  </w:style>
  <w:style w:type="character" w:customStyle="1" w:styleId="10115Char">
    <w:name w:val="样式 小四 首行缩进:  1.01 厘米 行距: 1.5 倍行距 Char"/>
    <w:link w:val="10115"/>
    <w:qFormat/>
    <w:rPr>
      <w:sz w:val="24"/>
    </w:rPr>
  </w:style>
  <w:style w:type="paragraph" w:customStyle="1" w:styleId="10115">
    <w:name w:val="样式 小四 首行缩进:  1.01 厘米 行距: 1.5 倍行距"/>
    <w:basedOn w:val="a6"/>
    <w:link w:val="10115Char"/>
    <w:qFormat/>
    <w:pPr>
      <w:adjustRightInd w:val="0"/>
      <w:spacing w:line="360" w:lineRule="auto"/>
      <w:ind w:firstLine="570"/>
      <w:jc w:val="left"/>
      <w:textAlignment w:val="baseline"/>
    </w:pPr>
    <w:rPr>
      <w:kern w:val="0"/>
      <w:sz w:val="24"/>
      <w:szCs w:val="20"/>
    </w:rPr>
  </w:style>
  <w:style w:type="character" w:customStyle="1" w:styleId="313Char123453Char2CharCharChar">
    <w:name w:val="样式 标题 3三级标题三级标题1标题 3 Char1三级标题2三级标题3三级标题4三级标题5标题 3 Char2... Char Char Char"/>
    <w:qFormat/>
    <w:rPr>
      <w:rFonts w:ascii="黑体" w:eastAsia="黑体" w:cs="宋体"/>
      <w:b/>
      <w:bCs/>
      <w:color w:val="000000"/>
      <w:sz w:val="28"/>
      <w:szCs w:val="28"/>
      <w:lang w:val="en-US" w:eastAsia="zh-CN" w:bidi="ar-SA"/>
    </w:rPr>
  </w:style>
  <w:style w:type="character" w:customStyle="1" w:styleId="TimesNewRomanCharCharChar">
    <w:name w:val="样式 题注 + (西文) Times New Roman (中文) 宋体 小四 加粗 黑色 Char Char Char"/>
    <w:link w:val="TimesNewRomanChar"/>
    <w:qFormat/>
    <w:rPr>
      <w:rFonts w:ascii="Calibri" w:hAnsi="Calibri" w:cs="Arial"/>
      <w:b/>
      <w:bCs/>
      <w:color w:val="000000"/>
      <w:kern w:val="2"/>
      <w:sz w:val="24"/>
      <w:szCs w:val="24"/>
    </w:rPr>
  </w:style>
  <w:style w:type="paragraph" w:customStyle="1" w:styleId="TimesNewRomanChar">
    <w:name w:val="样式 题注 + (西文) Times New Roman (中文) 宋体 小四 加粗 黑色 Char"/>
    <w:basedOn w:val="af1"/>
    <w:link w:val="TimesNewRomanCharCharChar"/>
    <w:qFormat/>
    <w:pPr>
      <w:widowControl w:val="0"/>
      <w:adjustRightInd w:val="0"/>
      <w:spacing w:beforeLines="100" w:line="360" w:lineRule="auto"/>
      <w:ind w:firstLineChars="0" w:firstLine="0"/>
      <w:jc w:val="center"/>
      <w:textAlignment w:val="baseline"/>
    </w:pPr>
    <w:rPr>
      <w:rFonts w:ascii="Calibri" w:hAnsi="Calibri"/>
      <w:bCs/>
      <w:color w:val="000000"/>
    </w:rPr>
  </w:style>
  <w:style w:type="character" w:customStyle="1" w:styleId="2TimesNewRomanCharChar">
    <w:name w:val="正文首行缩进 2 + Times New Roman Char Char"/>
    <w:qFormat/>
    <w:rPr>
      <w:rFonts w:ascii="宋体" w:eastAsia="宋体" w:hAnsi="宋体" w:cs="Times New Roman"/>
      <w:bCs/>
      <w:color w:val="000000"/>
      <w:w w:val="110"/>
      <w:kern w:val="0"/>
      <w:sz w:val="24"/>
      <w:szCs w:val="24"/>
    </w:rPr>
  </w:style>
  <w:style w:type="character" w:customStyle="1" w:styleId="2CharCharChar2">
    <w:name w:val="样式 正文首行缩进 2 + (符号) 宋体 + (符号) 宋体 Char Char Char"/>
    <w:qFormat/>
  </w:style>
  <w:style w:type="character" w:customStyle="1" w:styleId="CharCharfffffa">
    <w:name w:val="款 Char Char"/>
    <w:qFormat/>
    <w:rPr>
      <w:rFonts w:eastAsia="宋体"/>
      <w:snapToGrid/>
      <w:kern w:val="2"/>
      <w:sz w:val="24"/>
      <w:szCs w:val="24"/>
      <w:lang w:val="en-US" w:eastAsia="zh-CN" w:bidi="ar-SA"/>
    </w:rPr>
  </w:style>
  <w:style w:type="character" w:customStyle="1" w:styleId="TTCharChar1">
    <w:name w:val="TT标题 Char Char"/>
    <w:link w:val="TT1"/>
    <w:qFormat/>
    <w:rPr>
      <w:b/>
      <w:sz w:val="24"/>
    </w:rPr>
  </w:style>
  <w:style w:type="paragraph" w:customStyle="1" w:styleId="TT1">
    <w:name w:val="TT标题"/>
    <w:basedOn w:val="a6"/>
    <w:link w:val="TTCharChar1"/>
    <w:qFormat/>
    <w:pPr>
      <w:jc w:val="center"/>
    </w:pPr>
    <w:rPr>
      <w:b/>
      <w:kern w:val="0"/>
      <w:sz w:val="24"/>
      <w:szCs w:val="20"/>
    </w:rPr>
  </w:style>
  <w:style w:type="character" w:customStyle="1" w:styleId="Charfffffffffb">
    <w:name w:val="表－左对齐 Char"/>
    <w:link w:val="affffffffffffffc"/>
    <w:qFormat/>
    <w:rPr>
      <w:rFonts w:cs="Arial"/>
      <w:sz w:val="21"/>
      <w:szCs w:val="21"/>
      <w:lang w:eastAsia="ja-JP"/>
    </w:rPr>
  </w:style>
  <w:style w:type="paragraph" w:customStyle="1" w:styleId="affffffffffffffc">
    <w:name w:val="表－左对齐"/>
    <w:basedOn w:val="a6"/>
    <w:link w:val="Charfffffffffb"/>
    <w:qFormat/>
    <w:pPr>
      <w:suppressLineNumbers/>
      <w:suppressAutoHyphens/>
      <w:snapToGrid w:val="0"/>
      <w:spacing w:before="60" w:after="60"/>
      <w:jc w:val="left"/>
    </w:pPr>
    <w:rPr>
      <w:kern w:val="0"/>
      <w:szCs w:val="21"/>
      <w:lang w:eastAsia="ja-JP"/>
    </w:rPr>
  </w:style>
  <w:style w:type="character" w:customStyle="1" w:styleId="style281">
    <w:name w:val="style281"/>
    <w:qFormat/>
    <w:rPr>
      <w:b/>
      <w:bCs/>
      <w:color w:val="000000"/>
      <w:sz w:val="17"/>
      <w:szCs w:val="17"/>
    </w:rPr>
  </w:style>
  <w:style w:type="character" w:customStyle="1" w:styleId="EmailStyle5081">
    <w:name w:val="EmailStyle5081"/>
    <w:qFormat/>
    <w:rPr>
      <w:rFonts w:ascii="Arial" w:eastAsia="宋体" w:hAnsi="Arial" w:cs="Arial"/>
      <w:color w:val="auto"/>
      <w:sz w:val="20"/>
    </w:rPr>
  </w:style>
  <w:style w:type="character" w:customStyle="1" w:styleId="CharCharCharff0">
    <w:name w:val="规划正文样式 Char Char Char"/>
    <w:qFormat/>
    <w:rPr>
      <w:rFonts w:eastAsia="宋体"/>
      <w:kern w:val="2"/>
      <w:sz w:val="24"/>
      <w:szCs w:val="24"/>
      <w:lang w:val="en-US" w:eastAsia="zh-CN" w:bidi="ar-SA"/>
    </w:rPr>
  </w:style>
  <w:style w:type="character" w:customStyle="1" w:styleId="CharCharfffffb">
    <w:name w:val="段落 Char Char"/>
    <w:qFormat/>
    <w:rPr>
      <w:rFonts w:eastAsia="宋体"/>
      <w:snapToGrid/>
      <w:color w:val="000000"/>
      <w:sz w:val="28"/>
      <w:lang w:val="en-US" w:eastAsia="zh-CN" w:bidi="ar-SA"/>
    </w:rPr>
  </w:style>
  <w:style w:type="character" w:customStyle="1" w:styleId="Char1ffa">
    <w:name w:val="明显引用 Char1"/>
    <w:qFormat/>
    <w:rPr>
      <w:b/>
      <w:bCs/>
      <w:i/>
      <w:iCs/>
      <w:color w:val="4F81BD"/>
      <w:kern w:val="2"/>
      <w:sz w:val="21"/>
      <w:szCs w:val="22"/>
    </w:rPr>
  </w:style>
  <w:style w:type="character" w:customStyle="1" w:styleId="CharCharfffffc">
    <w:name w:val="正文文本 Char Char"/>
    <w:qFormat/>
    <w:rPr>
      <w:rFonts w:eastAsia="宋体"/>
      <w:kern w:val="2"/>
      <w:sz w:val="21"/>
      <w:lang w:val="en-US" w:eastAsia="zh-CN" w:bidi="ar-SA"/>
    </w:rPr>
  </w:style>
  <w:style w:type="character" w:customStyle="1" w:styleId="news1">
    <w:name w:val="news1"/>
    <w:qFormat/>
    <w:rPr>
      <w:sz w:val="20"/>
      <w:szCs w:val="20"/>
    </w:rPr>
  </w:style>
  <w:style w:type="character" w:customStyle="1" w:styleId="Charfffffffffc">
    <w:name w:val="居中 Char"/>
    <w:link w:val="affffffffffffffd"/>
    <w:qFormat/>
    <w:rPr>
      <w:sz w:val="24"/>
    </w:rPr>
  </w:style>
  <w:style w:type="paragraph" w:customStyle="1" w:styleId="affffffffffffffd">
    <w:name w:val="居中"/>
    <w:basedOn w:val="a6"/>
    <w:link w:val="Charfffffffffc"/>
    <w:qFormat/>
    <w:pPr>
      <w:jc w:val="center"/>
    </w:pPr>
    <w:rPr>
      <w:kern w:val="0"/>
      <w:sz w:val="24"/>
      <w:szCs w:val="20"/>
    </w:rPr>
  </w:style>
  <w:style w:type="character" w:customStyle="1" w:styleId="Charfffffffffd">
    <w:name w:val="正文段落（缩进） Char"/>
    <w:link w:val="affffffffffffffe"/>
    <w:qFormat/>
    <w:rPr>
      <w:rFonts w:ascii="宋体"/>
      <w:sz w:val="24"/>
    </w:rPr>
  </w:style>
  <w:style w:type="paragraph" w:customStyle="1" w:styleId="affffffffffffffe">
    <w:name w:val="正文段落（缩进）"/>
    <w:basedOn w:val="a6"/>
    <w:next w:val="a6"/>
    <w:link w:val="Charfffffffffd"/>
    <w:qFormat/>
    <w:pPr>
      <w:adjustRightInd w:val="0"/>
      <w:snapToGrid w:val="0"/>
      <w:spacing w:line="360" w:lineRule="auto"/>
      <w:ind w:firstLineChars="200" w:firstLine="200"/>
      <w:jc w:val="left"/>
    </w:pPr>
    <w:rPr>
      <w:rFonts w:ascii="宋体"/>
      <w:kern w:val="0"/>
      <w:sz w:val="24"/>
      <w:szCs w:val="20"/>
    </w:rPr>
  </w:style>
  <w:style w:type="character" w:customStyle="1" w:styleId="HTMLChar10">
    <w:name w:val="HTML 地址 Char1"/>
    <w:uiPriority w:val="99"/>
    <w:qFormat/>
    <w:rPr>
      <w:i/>
      <w:iCs/>
      <w:kern w:val="2"/>
      <w:sz w:val="21"/>
      <w:szCs w:val="24"/>
    </w:rPr>
  </w:style>
  <w:style w:type="character" w:customStyle="1" w:styleId="Charfffffffffe">
    <w:name w:val="正文文字 Char"/>
    <w:qFormat/>
    <w:rPr>
      <w:rFonts w:eastAsia="宋体"/>
      <w:kern w:val="2"/>
      <w:sz w:val="24"/>
      <w:szCs w:val="24"/>
      <w:lang w:val="en-US" w:eastAsia="zh-CN" w:bidi="ar-SA"/>
    </w:rPr>
  </w:style>
  <w:style w:type="character" w:customStyle="1" w:styleId="2GB2312Char">
    <w:name w:val="样式 标题 2 + 楷体_GB2312 Char"/>
    <w:qFormat/>
    <w:rPr>
      <w:rFonts w:ascii="楷体_GB2312" w:eastAsia="楷体_GB2312" w:hAnsi="楷体_GB2312"/>
      <w:b/>
      <w:bCs/>
      <w:kern w:val="2"/>
      <w:sz w:val="30"/>
      <w:szCs w:val="32"/>
      <w:lang w:val="en-US" w:eastAsia="zh-CN" w:bidi="ar-SA"/>
    </w:rPr>
  </w:style>
  <w:style w:type="character" w:customStyle="1" w:styleId="ulmenu1">
    <w:name w:val="ulmenu1"/>
    <w:qFormat/>
  </w:style>
  <w:style w:type="character" w:customStyle="1" w:styleId="FontStyle336">
    <w:name w:val="Font Style336"/>
    <w:qFormat/>
    <w:rPr>
      <w:rFonts w:ascii="宋体" w:eastAsia="宋体" w:cs="宋体"/>
      <w:sz w:val="16"/>
      <w:szCs w:val="16"/>
    </w:rPr>
  </w:style>
  <w:style w:type="character" w:customStyle="1" w:styleId="CharChar160">
    <w:name w:val="Char Char16"/>
    <w:qFormat/>
    <w:rPr>
      <w:rFonts w:eastAsia="黑体"/>
      <w:kern w:val="2"/>
      <w:sz w:val="24"/>
      <w:szCs w:val="24"/>
      <w:lang w:val="en-US" w:eastAsia="zh-CN" w:bidi="ar-SA"/>
    </w:rPr>
  </w:style>
  <w:style w:type="character" w:customStyle="1" w:styleId="Char1ffb">
    <w:name w:val="表号 Char1"/>
    <w:qFormat/>
    <w:rPr>
      <w:rFonts w:ascii="宋体" w:eastAsia="宋体" w:hAnsi="宋体"/>
      <w:sz w:val="24"/>
      <w:szCs w:val="24"/>
      <w:lang w:val="en-US" w:eastAsia="zh-CN" w:bidi="ar-SA"/>
    </w:rPr>
  </w:style>
  <w:style w:type="character" w:customStyle="1" w:styleId="BodytextChar">
    <w:name w:val="Body text Char"/>
    <w:link w:val="3fa"/>
    <w:qFormat/>
    <w:rPr>
      <w:rFonts w:ascii="Arial" w:hAnsi="Arial"/>
      <w:color w:val="000000"/>
      <w:sz w:val="24"/>
      <w:szCs w:val="24"/>
      <w:lang w:eastAsia="en-US" w:bidi="ar-SA"/>
    </w:rPr>
  </w:style>
  <w:style w:type="paragraph" w:customStyle="1" w:styleId="3fa">
    <w:name w:val="正文文本3"/>
    <w:link w:val="BodytextChar"/>
    <w:qFormat/>
    <w:pPr>
      <w:autoSpaceDE w:val="0"/>
      <w:autoSpaceDN w:val="0"/>
      <w:adjustRightInd w:val="0"/>
      <w:jc w:val="both"/>
    </w:pPr>
    <w:rPr>
      <w:rFonts w:ascii="Arial" w:hAnsi="Arial"/>
      <w:color w:val="000000"/>
      <w:sz w:val="24"/>
      <w:szCs w:val="24"/>
      <w:lang w:eastAsia="en-US"/>
    </w:rPr>
  </w:style>
  <w:style w:type="character" w:customStyle="1" w:styleId="Charffffffffff">
    <w:name w:val="正文表格 Char"/>
    <w:link w:val="afffffffffffffff"/>
    <w:qFormat/>
    <w:rPr>
      <w:sz w:val="28"/>
    </w:rPr>
  </w:style>
  <w:style w:type="paragraph" w:customStyle="1" w:styleId="afffffffffffffff">
    <w:name w:val="正文表格"/>
    <w:basedOn w:val="a6"/>
    <w:link w:val="Charffffffffff"/>
    <w:qFormat/>
    <w:pPr>
      <w:keepNext/>
      <w:keepLines/>
      <w:overflowPunct w:val="0"/>
      <w:adjustRightInd w:val="0"/>
      <w:spacing w:before="80"/>
      <w:jc w:val="center"/>
      <w:textAlignment w:val="bottom"/>
    </w:pPr>
    <w:rPr>
      <w:kern w:val="0"/>
      <w:sz w:val="28"/>
      <w:szCs w:val="20"/>
    </w:rPr>
  </w:style>
  <w:style w:type="character" w:customStyle="1" w:styleId="f241">
    <w:name w:val="f241"/>
    <w:qFormat/>
    <w:rPr>
      <w:sz w:val="36"/>
    </w:rPr>
  </w:style>
  <w:style w:type="character" w:customStyle="1" w:styleId="CharCharfffffd">
    <w:name w:val="小表左 Char Char"/>
    <w:link w:val="afffffffffffffff0"/>
    <w:qFormat/>
    <w:rPr>
      <w:rFonts w:eastAsia="楷体_GB2312"/>
      <w:color w:val="000000"/>
      <w:w w:val="110"/>
      <w:sz w:val="24"/>
      <w:szCs w:val="21"/>
    </w:rPr>
  </w:style>
  <w:style w:type="paragraph" w:customStyle="1" w:styleId="afffffffffffffff0">
    <w:name w:val="小表左"/>
    <w:basedOn w:val="a6"/>
    <w:link w:val="CharCharfffffd"/>
    <w:qFormat/>
    <w:pPr>
      <w:keepNext/>
      <w:tabs>
        <w:tab w:val="left" w:pos="2190"/>
      </w:tabs>
      <w:adjustRightInd w:val="0"/>
      <w:snapToGrid w:val="0"/>
    </w:pPr>
    <w:rPr>
      <w:rFonts w:eastAsia="楷体_GB2312"/>
      <w:color w:val="000000"/>
      <w:w w:val="110"/>
      <w:kern w:val="0"/>
      <w:sz w:val="24"/>
      <w:szCs w:val="21"/>
    </w:rPr>
  </w:style>
  <w:style w:type="character" w:customStyle="1" w:styleId="pleft4">
    <w:name w:val="pleft4"/>
    <w:qFormat/>
  </w:style>
  <w:style w:type="character" w:customStyle="1" w:styleId="Charffffffffff0">
    <w:name w:val="图表标题 Char"/>
    <w:link w:val="afffffffffffffff1"/>
    <w:qFormat/>
    <w:rPr>
      <w:rFonts w:ascii="黑体" w:eastAsia="黑体"/>
      <w:b/>
      <w:kern w:val="2"/>
      <w:sz w:val="24"/>
      <w:szCs w:val="24"/>
      <w:lang w:val="en-US" w:eastAsia="zh-CN" w:bidi="ar-SA"/>
    </w:rPr>
  </w:style>
  <w:style w:type="paragraph" w:customStyle="1" w:styleId="afffffffffffffff1">
    <w:name w:val="图表标题"/>
    <w:link w:val="Charffffffffff0"/>
    <w:qFormat/>
    <w:pPr>
      <w:adjustRightInd w:val="0"/>
      <w:snapToGrid w:val="0"/>
      <w:spacing w:line="360" w:lineRule="auto"/>
      <w:jc w:val="center"/>
    </w:pPr>
    <w:rPr>
      <w:rFonts w:ascii="黑体" w:eastAsia="黑体"/>
      <w:b/>
      <w:kern w:val="2"/>
      <w:sz w:val="24"/>
      <w:szCs w:val="24"/>
    </w:rPr>
  </w:style>
  <w:style w:type="character" w:customStyle="1" w:styleId="dandan6-13CharCharChar0">
    <w:name w:val="样式 dandan6-13四级以下 + Char Char Char"/>
    <w:qFormat/>
    <w:rPr>
      <w:rFonts w:eastAsia="仿宋_GB2312"/>
      <w:b/>
      <w:bCs/>
      <w:kern w:val="2"/>
      <w:sz w:val="24"/>
      <w:szCs w:val="24"/>
      <w:lang w:val="en-US" w:eastAsia="zh-CN" w:bidi="ar-SA"/>
    </w:rPr>
  </w:style>
  <w:style w:type="character" w:customStyle="1" w:styleId="1fff3">
    <w:name w:val="批注引用1"/>
    <w:qFormat/>
    <w:rPr>
      <w:sz w:val="21"/>
      <w:szCs w:val="21"/>
    </w:rPr>
  </w:style>
  <w:style w:type="character" w:customStyle="1" w:styleId="CharCharfffffe">
    <w:name w:val="标题 Char Char"/>
    <w:qFormat/>
    <w:rPr>
      <w:rFonts w:ascii="Cambria" w:hAnsi="Cambria" w:cs="Times New Roman"/>
      <w:b/>
      <w:bCs/>
      <w:kern w:val="2"/>
      <w:sz w:val="32"/>
      <w:szCs w:val="32"/>
    </w:rPr>
  </w:style>
  <w:style w:type="character" w:customStyle="1" w:styleId="Char1ffc">
    <w:name w:val="正文文本 Char1"/>
    <w:qFormat/>
    <w:rPr>
      <w:rFonts w:ascii="Times New Roman" w:eastAsia="宋体" w:hAnsi="Times New Roman" w:cs="Times New Roman"/>
      <w:szCs w:val="20"/>
    </w:rPr>
  </w:style>
  <w:style w:type="character" w:customStyle="1" w:styleId="editsChar">
    <w:name w:val="edits Char"/>
    <w:link w:val="edits"/>
    <w:qFormat/>
    <w:rPr>
      <w:rFonts w:ascii="Arial" w:eastAsia="Times New Roman" w:hAnsi="Arial"/>
      <w:i/>
      <w:color w:val="FF0000"/>
      <w:sz w:val="22"/>
      <w:szCs w:val="24"/>
      <w:lang w:eastAsia="en-US"/>
    </w:rPr>
  </w:style>
  <w:style w:type="paragraph" w:customStyle="1" w:styleId="edits">
    <w:name w:val="edits"/>
    <w:basedOn w:val="a6"/>
    <w:link w:val="editsChar"/>
    <w:qFormat/>
    <w:pPr>
      <w:widowControl/>
      <w:tabs>
        <w:tab w:val="left" w:pos="540"/>
      </w:tabs>
      <w:spacing w:after="120"/>
      <w:ind w:left="720"/>
      <w:jc w:val="left"/>
      <w:outlineLvl w:val="1"/>
    </w:pPr>
    <w:rPr>
      <w:rFonts w:ascii="Arial" w:eastAsia="Times New Roman" w:hAnsi="Arial"/>
      <w:i/>
      <w:color w:val="FF0000"/>
      <w:kern w:val="0"/>
      <w:sz w:val="22"/>
      <w:lang w:eastAsia="en-US"/>
    </w:rPr>
  </w:style>
  <w:style w:type="character" w:customStyle="1" w:styleId="Charffffffffff1">
    <w:name w:val="表头标题格式 Char"/>
    <w:uiPriority w:val="99"/>
    <w:qFormat/>
    <w:rPr>
      <w:rFonts w:ascii="黑体" w:eastAsia="黑体" w:hAnsi="宋体"/>
      <w:b/>
      <w:bCs/>
      <w:kern w:val="2"/>
      <w:sz w:val="24"/>
    </w:rPr>
  </w:style>
  <w:style w:type="character" w:customStyle="1" w:styleId="Footer1Char2">
    <w:name w:val="Footer1 Char2"/>
    <w:qFormat/>
    <w:rPr>
      <w:sz w:val="18"/>
      <w:szCs w:val="18"/>
    </w:rPr>
  </w:style>
  <w:style w:type="character" w:customStyle="1" w:styleId="21Char1">
    <w:name w:val="正文文字 21 Char1"/>
    <w:qFormat/>
    <w:rPr>
      <w:rFonts w:eastAsia="宋体"/>
      <w:kern w:val="2"/>
      <w:sz w:val="21"/>
      <w:szCs w:val="24"/>
      <w:lang w:val="en-US" w:eastAsia="zh-CN" w:bidi="ar-SA"/>
    </w:rPr>
  </w:style>
  <w:style w:type="character" w:customStyle="1" w:styleId="CharCharCharff1">
    <w:name w:val="样式 样式 表格 + (符号) 宋体 五号 居中 + 小五 Char Char Char"/>
    <w:qFormat/>
    <w:rPr>
      <w:rFonts w:ascii="宋体" w:eastAsia="宋体" w:hAnsi="宋体" w:cs="宋体"/>
      <w:snapToGrid/>
      <w:kern w:val="0"/>
      <w:sz w:val="18"/>
      <w:szCs w:val="21"/>
    </w:rPr>
  </w:style>
  <w:style w:type="paragraph" w:customStyle="1" w:styleId="CharCharCharCharCharCharCharCharCharCharCharChar1Char1">
    <w:name w:val="Char Char Char Char Char Char Char Char Char Char Char Char1 Char1"/>
    <w:basedOn w:val="a6"/>
    <w:next w:val="a6"/>
    <w:qFormat/>
    <w:pPr>
      <w:spacing w:line="360" w:lineRule="auto"/>
      <w:ind w:firstLineChars="200" w:firstLine="200"/>
    </w:pPr>
    <w:rPr>
      <w:rFonts w:ascii="宋体" w:hAnsi="宋体" w:cs="宋体"/>
      <w:sz w:val="24"/>
    </w:rPr>
  </w:style>
  <w:style w:type="paragraph" w:customStyle="1" w:styleId="afffffffffffffff2">
    <w:name w:val="单晶硅表头"/>
    <w:basedOn w:val="a6"/>
    <w:qFormat/>
    <w:pPr>
      <w:spacing w:line="560" w:lineRule="exact"/>
      <w:jc w:val="center"/>
    </w:pPr>
    <w:rPr>
      <w:rFonts w:ascii="黑体" w:eastAsia="黑体" w:hAnsi="宋体" w:cs="仿宋_GB2312"/>
      <w:kern w:val="0"/>
      <w:sz w:val="24"/>
    </w:rPr>
  </w:style>
  <w:style w:type="paragraph" w:customStyle="1" w:styleId="2230">
    <w:name w:val="样式 首行缩进:  2 字符 行距: 固定值 23 磅"/>
    <w:basedOn w:val="a6"/>
    <w:qFormat/>
    <w:pPr>
      <w:spacing w:line="460" w:lineRule="exact"/>
      <w:ind w:firstLineChars="200" w:firstLine="648"/>
    </w:pPr>
    <w:rPr>
      <w:rFonts w:cs="宋体"/>
      <w:sz w:val="24"/>
    </w:rPr>
  </w:style>
  <w:style w:type="paragraph" w:customStyle="1" w:styleId="zxl152">
    <w:name w:val="zxl行距: 1.5 倍行距 首行缩进:  2 字符"/>
    <w:basedOn w:val="a6"/>
    <w:next w:val="a6"/>
    <w:qFormat/>
    <w:pPr>
      <w:spacing w:line="360" w:lineRule="auto"/>
      <w:ind w:firstLineChars="200" w:firstLine="480"/>
      <w:jc w:val="left"/>
    </w:pPr>
    <w:rPr>
      <w:rFonts w:hAnsi="宋体"/>
      <w:color w:val="FF0000"/>
      <w:sz w:val="24"/>
    </w:rPr>
  </w:style>
  <w:style w:type="paragraph" w:customStyle="1" w:styleId="66">
    <w:name w:val="样式66"/>
    <w:basedOn w:val="a6"/>
    <w:qFormat/>
    <w:pPr>
      <w:widowControl/>
      <w:ind w:firstLineChars="200" w:firstLine="560"/>
      <w:jc w:val="left"/>
    </w:pPr>
    <w:rPr>
      <w:rFonts w:ascii="宋体" w:hAnsi="宋体" w:cs="宋体"/>
      <w:kern w:val="0"/>
      <w:sz w:val="28"/>
      <w:szCs w:val="20"/>
    </w:rPr>
  </w:style>
  <w:style w:type="paragraph" w:customStyle="1" w:styleId="xl238">
    <w:name w:val="xl238"/>
    <w:basedOn w:val="a6"/>
    <w:qFormat/>
    <w:pPr>
      <w:widowControl/>
      <w:spacing w:before="100" w:beforeAutospacing="1" w:after="100" w:afterAutospacing="1"/>
      <w:jc w:val="left"/>
      <w:textAlignment w:val="bottom"/>
    </w:pPr>
    <w:rPr>
      <w:rFonts w:ascii="宋体" w:hAnsi="宋体" w:cs="宋体"/>
      <w:kern w:val="0"/>
      <w:sz w:val="24"/>
    </w:rPr>
  </w:style>
  <w:style w:type="paragraph" w:customStyle="1" w:styleId="pa-1">
    <w:name w:val="pa-1"/>
    <w:basedOn w:val="a6"/>
    <w:qFormat/>
    <w:pPr>
      <w:widowControl/>
      <w:spacing w:line="320" w:lineRule="atLeast"/>
      <w:ind w:firstLine="560"/>
    </w:pPr>
    <w:rPr>
      <w:rFonts w:ascii="宋体" w:hAnsi="宋体" w:cs="宋体"/>
      <w:kern w:val="0"/>
      <w:sz w:val="24"/>
    </w:rPr>
  </w:style>
  <w:style w:type="paragraph" w:customStyle="1" w:styleId="Head52">
    <w:name w:val="Head 5.2"/>
    <w:basedOn w:val="a6"/>
    <w:qFormat/>
    <w:pPr>
      <w:widowControl/>
      <w:tabs>
        <w:tab w:val="left" w:pos="533"/>
      </w:tabs>
      <w:suppressAutoHyphens/>
      <w:ind w:left="533" w:hanging="533"/>
      <w:jc w:val="left"/>
    </w:pPr>
    <w:rPr>
      <w:rFonts w:cs="宋体"/>
      <w:b/>
      <w:kern w:val="0"/>
      <w:sz w:val="24"/>
      <w:szCs w:val="20"/>
      <w:lang w:eastAsia="en-US"/>
    </w:rPr>
  </w:style>
  <w:style w:type="paragraph" w:customStyle="1" w:styleId="xl225">
    <w:name w:val="xl225"/>
    <w:basedOn w:val="a6"/>
    <w:qFormat/>
    <w:pPr>
      <w:widowControl/>
      <w:pBdr>
        <w:top w:val="single" w:sz="8" w:space="0" w:color="auto"/>
        <w:bottom w:val="single" w:sz="4" w:space="0" w:color="auto"/>
      </w:pBdr>
      <w:spacing w:before="100" w:beforeAutospacing="1" w:after="100" w:afterAutospacing="1"/>
      <w:jc w:val="center"/>
      <w:textAlignment w:val="center"/>
    </w:pPr>
    <w:rPr>
      <w:rFonts w:cs="宋体"/>
      <w:kern w:val="0"/>
      <w:sz w:val="20"/>
      <w:szCs w:val="20"/>
    </w:rPr>
  </w:style>
  <w:style w:type="paragraph" w:customStyle="1" w:styleId="310">
    <w:name w:val="标题 31"/>
    <w:basedOn w:val="a6"/>
    <w:next w:val="a6"/>
    <w:qFormat/>
    <w:pPr>
      <w:keepNext/>
      <w:keepLines/>
      <w:spacing w:before="260" w:after="260" w:line="413" w:lineRule="auto"/>
      <w:outlineLvl w:val="2"/>
    </w:pPr>
    <w:rPr>
      <w:b/>
      <w:bCs/>
      <w:color w:val="000000"/>
      <w:w w:val="110"/>
      <w:kern w:val="0"/>
      <w:sz w:val="32"/>
      <w:szCs w:val="32"/>
    </w:rPr>
  </w:style>
  <w:style w:type="paragraph" w:customStyle="1" w:styleId="3fb">
    <w:name w:val="图表目录3"/>
    <w:basedOn w:val="1ff9"/>
    <w:next w:val="1ff9"/>
    <w:qFormat/>
    <w:pPr>
      <w:tabs>
        <w:tab w:val="right" w:leader="dot" w:pos="8051"/>
      </w:tabs>
      <w:adjustRightInd w:val="0"/>
      <w:spacing w:line="360" w:lineRule="atLeast"/>
      <w:ind w:left="840" w:hanging="840"/>
      <w:jc w:val="left"/>
      <w:textAlignment w:val="baseline"/>
    </w:pPr>
    <w:rPr>
      <w:rFonts w:ascii="宋体" w:hAnsi="Calibri"/>
      <w:kern w:val="0"/>
      <w:sz w:val="24"/>
      <w:szCs w:val="20"/>
    </w:rPr>
  </w:style>
  <w:style w:type="paragraph" w:customStyle="1" w:styleId="2H211lxb2211h2Char2">
    <w:name w:val="样式 标题 2节H2节标题 1.1二级标题标题 lxb2标题21.1h2第一层条二级标题 Char表标题...2"/>
    <w:basedOn w:val="210"/>
    <w:qFormat/>
    <w:pPr>
      <w:spacing w:before="156" w:after="0" w:line="520" w:lineRule="exact"/>
    </w:pPr>
    <w:rPr>
      <w:rFonts w:cs="宋体"/>
      <w:sz w:val="28"/>
      <w:szCs w:val="20"/>
    </w:rPr>
  </w:style>
  <w:style w:type="paragraph" w:customStyle="1" w:styleId="1fff4">
    <w:name w:val="页脚1"/>
    <w:basedOn w:val="1ff9"/>
    <w:qFormat/>
    <w:pPr>
      <w:tabs>
        <w:tab w:val="center" w:pos="4153"/>
        <w:tab w:val="right" w:pos="8306"/>
      </w:tabs>
      <w:adjustRightInd w:val="0"/>
      <w:spacing w:line="240" w:lineRule="atLeast"/>
      <w:jc w:val="left"/>
      <w:textAlignment w:val="baseline"/>
    </w:pPr>
    <w:rPr>
      <w:rFonts w:ascii="宋体" w:hAnsi="Calibri"/>
      <w:kern w:val="0"/>
      <w:sz w:val="18"/>
      <w:szCs w:val="20"/>
    </w:rPr>
  </w:style>
  <w:style w:type="paragraph" w:customStyle="1" w:styleId="afffffffffffffff3">
    <w:name w:val="段落_首行缩进"/>
    <w:qFormat/>
    <w:pPr>
      <w:snapToGrid w:val="0"/>
      <w:spacing w:after="120" w:line="360" w:lineRule="exact"/>
      <w:ind w:firstLine="482"/>
      <w:jc w:val="both"/>
    </w:pPr>
    <w:rPr>
      <w:rFonts w:ascii="Adobe 宋体 Std L" w:hAnsi="Adobe 宋体 Std L"/>
      <w:color w:val="000000"/>
      <w:sz w:val="24"/>
    </w:rPr>
  </w:style>
  <w:style w:type="paragraph" w:customStyle="1" w:styleId="11051">
    <w:name w:val="样式 1.1二级标题 + 段前: 0.5 行1"/>
    <w:basedOn w:val="112"/>
    <w:qFormat/>
    <w:pPr>
      <w:ind w:left="11"/>
    </w:pPr>
    <w:rPr>
      <w:rFonts w:cs="宋体"/>
      <w:b w:val="0"/>
    </w:rPr>
  </w:style>
  <w:style w:type="paragraph" w:customStyle="1" w:styleId="CharCharChar14">
    <w:name w:val="Char Char Char14"/>
    <w:basedOn w:val="a6"/>
    <w:qFormat/>
    <w:rPr>
      <w:sz w:val="30"/>
    </w:rPr>
  </w:style>
  <w:style w:type="paragraph" w:customStyle="1" w:styleId="2fff">
    <w:name w:val="样式 四号2"/>
    <w:basedOn w:val="a6"/>
    <w:qFormat/>
    <w:pPr>
      <w:spacing w:line="440" w:lineRule="exact"/>
      <w:ind w:firstLineChars="200" w:firstLine="200"/>
    </w:pPr>
    <w:rPr>
      <w:color w:val="000000"/>
      <w:w w:val="110"/>
      <w:kern w:val="0"/>
      <w:sz w:val="28"/>
    </w:rPr>
  </w:style>
  <w:style w:type="paragraph" w:customStyle="1" w:styleId="afffffffffffffff4">
    <w:name w:val="小标题规定"/>
    <w:basedOn w:val="a6"/>
    <w:qFormat/>
    <w:pPr>
      <w:spacing w:before="40" w:after="40" w:line="360" w:lineRule="auto"/>
      <w:outlineLvl w:val="4"/>
    </w:pPr>
    <w:rPr>
      <w:rFonts w:ascii="仿宋_GB2312" w:eastAsia="仿宋_GB2312" w:hAnsi="宋体" w:cs="宋体"/>
      <w:b/>
      <w:bCs/>
      <w:sz w:val="24"/>
      <w:szCs w:val="20"/>
    </w:rPr>
  </w:style>
  <w:style w:type="paragraph" w:customStyle="1" w:styleId="1323">
    <w:name w:val="样式 13 磅 行距: 固定值 23 磅"/>
    <w:basedOn w:val="a6"/>
    <w:qFormat/>
    <w:pPr>
      <w:spacing w:line="460" w:lineRule="exact"/>
      <w:ind w:firstLineChars="200" w:firstLine="200"/>
    </w:pPr>
    <w:rPr>
      <w:rFonts w:eastAsia="仿宋_GB2312"/>
      <w:sz w:val="24"/>
      <w:szCs w:val="20"/>
    </w:rPr>
  </w:style>
  <w:style w:type="paragraph" w:customStyle="1" w:styleId="1">
    <w:name w:val="正文1级"/>
    <w:basedOn w:val="a6"/>
    <w:qFormat/>
    <w:pPr>
      <w:widowControl/>
      <w:numPr>
        <w:numId w:val="8"/>
      </w:numPr>
      <w:spacing w:line="360" w:lineRule="auto"/>
      <w:ind w:firstLine="0"/>
      <w:jc w:val="left"/>
    </w:pPr>
    <w:rPr>
      <w:rFonts w:ascii="Arial" w:hAnsi="Arial" w:cs="宋体"/>
      <w:kern w:val="0"/>
      <w:sz w:val="28"/>
    </w:rPr>
  </w:style>
  <w:style w:type="paragraph" w:customStyle="1" w:styleId="ParaAttribute6">
    <w:name w:val="ParaAttribute6"/>
    <w:qFormat/>
    <w:pPr>
      <w:widowControl w:val="0"/>
      <w:wordWrap w:val="0"/>
      <w:spacing w:line="240" w:lineRule="exact"/>
    </w:pPr>
  </w:style>
  <w:style w:type="paragraph" w:customStyle="1" w:styleId="afffffffffffffff5">
    <w:name w:val="标题二！！！"/>
    <w:basedOn w:val="22"/>
    <w:qFormat/>
    <w:pPr>
      <w:keepNext w:val="0"/>
      <w:keepLines w:val="0"/>
      <w:tabs>
        <w:tab w:val="left" w:pos="567"/>
      </w:tabs>
      <w:overflowPunct w:val="0"/>
      <w:autoSpaceDE w:val="0"/>
      <w:autoSpaceDN w:val="0"/>
      <w:adjustRightInd w:val="0"/>
      <w:spacing w:line="500" w:lineRule="exact"/>
      <w:textAlignment w:val="baseline"/>
    </w:pPr>
    <w:rPr>
      <w:rFonts w:ascii="黑体" w:eastAsia="楷体_GB2312" w:cs="宋体"/>
      <w:spacing w:val="0"/>
      <w:w w:val="100"/>
      <w:kern w:val="2"/>
      <w:szCs w:val="20"/>
    </w:rPr>
  </w:style>
  <w:style w:type="paragraph" w:customStyle="1" w:styleId="CharCharCharCharCharCharCharCharCharCharChar11">
    <w:name w:val="Char Char Char Char Char Char Char Char Char Char Char11"/>
    <w:basedOn w:val="a6"/>
    <w:qFormat/>
  </w:style>
  <w:style w:type="paragraph" w:customStyle="1" w:styleId="411">
    <w:name w:val="标题 41"/>
    <w:basedOn w:val="a6"/>
    <w:next w:val="a6"/>
    <w:qFormat/>
    <w:pPr>
      <w:keepNext/>
      <w:keepLines/>
      <w:spacing w:before="280" w:after="290" w:line="372" w:lineRule="auto"/>
      <w:outlineLvl w:val="3"/>
    </w:pPr>
    <w:rPr>
      <w:rFonts w:ascii="Arial" w:eastAsia="黑体" w:hAnsi="Arial"/>
      <w:b/>
      <w:bCs/>
      <w:color w:val="000000"/>
      <w:w w:val="110"/>
      <w:kern w:val="0"/>
      <w:sz w:val="28"/>
      <w:szCs w:val="28"/>
    </w:rPr>
  </w:style>
  <w:style w:type="paragraph" w:customStyle="1" w:styleId="4f2">
    <w:name w:val="副标题4"/>
    <w:qFormat/>
    <w:pPr>
      <w:tabs>
        <w:tab w:val="left" w:pos="672"/>
        <w:tab w:val="left" w:pos="720"/>
        <w:tab w:val="left" w:pos="1275"/>
        <w:tab w:val="left" w:pos="1575"/>
        <w:tab w:val="left" w:pos="2100"/>
      </w:tabs>
      <w:ind w:left="1275" w:hanging="705"/>
      <w:outlineLvl w:val="4"/>
    </w:pPr>
  </w:style>
  <w:style w:type="paragraph" w:customStyle="1" w:styleId="3fc">
    <w:name w:val="副标题3"/>
    <w:basedOn w:val="a6"/>
    <w:qFormat/>
    <w:pPr>
      <w:keepLines/>
      <w:tabs>
        <w:tab w:val="left" w:pos="672"/>
        <w:tab w:val="left" w:pos="720"/>
      </w:tabs>
      <w:adjustRightInd w:val="0"/>
      <w:snapToGrid w:val="0"/>
      <w:spacing w:line="400" w:lineRule="atLeast"/>
      <w:ind w:left="672" w:hanging="348"/>
      <w:outlineLvl w:val="3"/>
    </w:pPr>
    <w:rPr>
      <w:rFonts w:ascii="宋体"/>
      <w:snapToGrid w:val="0"/>
      <w:kern w:val="0"/>
      <w:sz w:val="24"/>
    </w:rPr>
  </w:style>
  <w:style w:type="paragraph" w:customStyle="1" w:styleId="CharCharCharCharCharCharCharCharCharCharCharCharCharCharCharCharChar">
    <w:name w:val="Char Char Char Char Char Char Char Char Char Char Char Char Char Char Char Char Char"/>
    <w:basedOn w:val="a6"/>
    <w:qFormat/>
  </w:style>
  <w:style w:type="paragraph" w:customStyle="1" w:styleId="afffffffffffffff6">
    <w:name w:val="小表右"/>
    <w:basedOn w:val="a6"/>
    <w:qFormat/>
    <w:pPr>
      <w:keepNext/>
      <w:widowControl/>
      <w:snapToGrid w:val="0"/>
      <w:spacing w:line="240" w:lineRule="atLeast"/>
      <w:ind w:rightChars="10" w:right="10"/>
      <w:jc w:val="right"/>
    </w:pPr>
    <w:rPr>
      <w:rFonts w:ascii="宋体" w:hAnsi="宋体" w:cs="宋体"/>
      <w:kern w:val="0"/>
      <w:sz w:val="24"/>
    </w:rPr>
  </w:style>
  <w:style w:type="paragraph" w:customStyle="1" w:styleId="131">
    <w:name w:val="样式1.3"/>
    <w:qFormat/>
    <w:pPr>
      <w:outlineLvl w:val="2"/>
    </w:pPr>
  </w:style>
  <w:style w:type="paragraph" w:customStyle="1" w:styleId="121">
    <w:name w:val="样式1.2"/>
    <w:qFormat/>
    <w:pPr>
      <w:outlineLvl w:val="1"/>
    </w:pPr>
    <w:rPr>
      <w:sz w:val="24"/>
    </w:rPr>
  </w:style>
  <w:style w:type="paragraph" w:customStyle="1" w:styleId="117">
    <w:name w:val="样式1.1"/>
    <w:basedOn w:val="12"/>
    <w:qFormat/>
    <w:pPr>
      <w:spacing w:before="156" w:after="156" w:line="360" w:lineRule="auto"/>
      <w:jc w:val="center"/>
    </w:pPr>
    <w:rPr>
      <w:rFonts w:ascii="宋体" w:hAnsi="宋体"/>
      <w:bCs w:val="0"/>
      <w:kern w:val="2"/>
      <w:sz w:val="28"/>
      <w:szCs w:val="20"/>
    </w:rPr>
  </w:style>
  <w:style w:type="paragraph" w:customStyle="1" w:styleId="1fff5">
    <w:name w:val="称呼1"/>
    <w:basedOn w:val="a6"/>
    <w:next w:val="a6"/>
    <w:qFormat/>
  </w:style>
  <w:style w:type="paragraph" w:customStyle="1" w:styleId="ZchnZchnCharCharZchnZchn1">
    <w:name w:val="Zchn Zchn Char Char Zchn Zchn1"/>
    <w:basedOn w:val="a6"/>
    <w:qFormat/>
    <w:pPr>
      <w:tabs>
        <w:tab w:val="left" w:pos="492"/>
      </w:tabs>
      <w:ind w:left="492" w:hanging="132"/>
    </w:pPr>
    <w:rPr>
      <w:rFonts w:ascii="Tahoma" w:eastAsia="楷体_GB2312" w:hAnsi="Tahoma"/>
      <w:color w:val="000000"/>
      <w:spacing w:val="10"/>
      <w:w w:val="110"/>
      <w:kern w:val="0"/>
      <w:sz w:val="24"/>
      <w:szCs w:val="20"/>
    </w:rPr>
  </w:style>
  <w:style w:type="paragraph" w:customStyle="1" w:styleId="afffffffffffffff7">
    <w:name w:val="表格文字样式"/>
    <w:basedOn w:val="affffffffffffe"/>
    <w:qFormat/>
    <w:pPr>
      <w:spacing w:line="240" w:lineRule="auto"/>
      <w:ind w:firstLine="0"/>
      <w:jc w:val="center"/>
    </w:pPr>
  </w:style>
  <w:style w:type="paragraph" w:customStyle="1" w:styleId="3fd">
    <w:name w:val="正文首行缩进3"/>
    <w:basedOn w:val="af8"/>
    <w:qFormat/>
    <w:pPr>
      <w:ind w:firstLineChars="100" w:firstLine="420"/>
    </w:pPr>
    <w:rPr>
      <w:rFonts w:ascii="Calibri" w:hAnsi="Calibri"/>
      <w:kern w:val="0"/>
      <w:sz w:val="24"/>
      <w:szCs w:val="20"/>
    </w:rPr>
  </w:style>
  <w:style w:type="paragraph" w:customStyle="1" w:styleId="afffffffffffffff8">
    <w:name w:val="正文宋体"/>
    <w:basedOn w:val="a6"/>
    <w:qFormat/>
    <w:pPr>
      <w:spacing w:line="300" w:lineRule="auto"/>
    </w:pPr>
    <w:rPr>
      <w:sz w:val="28"/>
      <w:szCs w:val="20"/>
    </w:rPr>
  </w:style>
  <w:style w:type="paragraph" w:customStyle="1" w:styleId="1MainHeadingHeading1pHeading1p1Heading1p2Heading1">
    <w:name w:val="样式 标题 1Main HeadingHeading 1pHeading 1p1Heading 1p2Heading ...1"/>
    <w:basedOn w:val="12"/>
    <w:qFormat/>
    <w:pPr>
      <w:pageBreakBefore/>
      <w:tabs>
        <w:tab w:val="left" w:pos="432"/>
      </w:tabs>
      <w:spacing w:after="0" w:line="578" w:lineRule="auto"/>
      <w:ind w:left="431" w:hanging="431"/>
    </w:pPr>
    <w:rPr>
      <w:rFonts w:ascii="Arial" w:hAnsi="Arial"/>
      <w:b w:val="0"/>
      <w:bCs w:val="0"/>
      <w:sz w:val="24"/>
    </w:rPr>
  </w:style>
  <w:style w:type="paragraph" w:customStyle="1" w:styleId="21121122Char1Heading22051">
    <w:name w:val="样式 样式 标题 21.1标题 21.1标题2标题 2 Char1节_Heading 2标2 + 段前: 0.5 行... + ...1"/>
    <w:basedOn w:val="41"/>
    <w:qFormat/>
    <w:pPr>
      <w:keepLines w:val="0"/>
      <w:numPr>
        <w:ilvl w:val="3"/>
        <w:numId w:val="9"/>
      </w:numPr>
      <w:tabs>
        <w:tab w:val="left" w:pos="3018"/>
      </w:tabs>
      <w:spacing w:beforeLines="0" w:before="0" w:line="360" w:lineRule="auto"/>
      <w:jc w:val="left"/>
    </w:pPr>
    <w:rPr>
      <w:rFonts w:ascii="宋体" w:eastAsia="宋体"/>
      <w:sz w:val="24"/>
      <w:szCs w:val="28"/>
    </w:rPr>
  </w:style>
  <w:style w:type="paragraph" w:customStyle="1" w:styleId="xl42">
    <w:name w:val="xl42"/>
    <w:basedOn w:val="a6"/>
    <w:qFormat/>
    <w:pPr>
      <w:widowControl/>
      <w:pBdr>
        <w:top w:val="single" w:sz="4" w:space="0" w:color="auto"/>
        <w:left w:val="single" w:sz="4" w:space="0" w:color="auto"/>
        <w:right w:val="single" w:sz="4" w:space="0" w:color="auto"/>
      </w:pBdr>
      <w:spacing w:before="100" w:after="100"/>
      <w:textAlignment w:val="center"/>
    </w:pPr>
    <w:rPr>
      <w:rFonts w:ascii="宋体" w:hAnsi="宋体"/>
      <w:kern w:val="0"/>
      <w:szCs w:val="20"/>
    </w:rPr>
  </w:style>
  <w:style w:type="paragraph" w:customStyle="1" w:styleId="5f2">
    <w:name w:val="表格5"/>
    <w:qFormat/>
    <w:pPr>
      <w:jc w:val="both"/>
    </w:pPr>
    <w:rPr>
      <w:rFonts w:ascii="宋体" w:hAnsi="宋体"/>
      <w:color w:val="000000"/>
      <w:sz w:val="24"/>
      <w:szCs w:val="24"/>
    </w:rPr>
  </w:style>
  <w:style w:type="paragraph" w:customStyle="1" w:styleId="CharChar32">
    <w:name w:val="Char Char32"/>
    <w:basedOn w:val="a6"/>
    <w:qFormat/>
    <w:pPr>
      <w:snapToGrid w:val="0"/>
      <w:spacing w:line="440" w:lineRule="atLeast"/>
    </w:pPr>
    <w:rPr>
      <w:rFonts w:ascii="宋体"/>
      <w:sz w:val="24"/>
    </w:rPr>
  </w:style>
  <w:style w:type="paragraph" w:customStyle="1" w:styleId="afffffffffffffff9">
    <w:name w:val="图表中文字"/>
    <w:basedOn w:val="a6"/>
    <w:qFormat/>
    <w:pPr>
      <w:overflowPunct w:val="0"/>
      <w:topLinePunct/>
      <w:adjustRightInd w:val="0"/>
      <w:snapToGrid w:val="0"/>
      <w:jc w:val="center"/>
      <w:textAlignment w:val="center"/>
    </w:pPr>
    <w:rPr>
      <w:snapToGrid w:val="0"/>
      <w:sz w:val="18"/>
      <w:szCs w:val="21"/>
    </w:rPr>
  </w:style>
  <w:style w:type="paragraph" w:customStyle="1" w:styleId="118">
    <w:name w:val="纯文本11"/>
    <w:basedOn w:val="a6"/>
    <w:qFormat/>
    <w:pPr>
      <w:spacing w:after="60"/>
      <w:ind w:firstLineChars="200" w:firstLine="200"/>
    </w:pPr>
    <w:rPr>
      <w:rFonts w:ascii="宋体" w:hAnsi="Courier New" w:cs="Courier New"/>
      <w:color w:val="000000"/>
      <w:w w:val="110"/>
      <w:kern w:val="0"/>
      <w:sz w:val="24"/>
      <w:szCs w:val="21"/>
    </w:rPr>
  </w:style>
  <w:style w:type="paragraph" w:customStyle="1" w:styleId="CharCharCharCharCharCharCharCharChar1CharCharCharChar">
    <w:name w:val="Char Char Char Char Char Char Char Char Char1 Char Char Char Char"/>
    <w:basedOn w:val="a6"/>
    <w:qFormat/>
    <w:pPr>
      <w:spacing w:line="360" w:lineRule="auto"/>
      <w:ind w:firstLineChars="200" w:firstLine="200"/>
    </w:pPr>
    <w:rPr>
      <w:rFonts w:ascii="宋体" w:hAnsi="宋体" w:cs="宋体"/>
      <w:color w:val="000000"/>
      <w:w w:val="110"/>
      <w:kern w:val="0"/>
      <w:sz w:val="24"/>
      <w:szCs w:val="26"/>
    </w:rPr>
  </w:style>
  <w:style w:type="paragraph" w:customStyle="1" w:styleId="323CharCharCharAltC111033">
    <w:name w:val="样式 标题 3标2标题 3 Char Char Char三级标题Alt+C节标题1.1.1流标题03标题 3 ..."/>
    <w:basedOn w:val="33"/>
    <w:qFormat/>
    <w:pPr>
      <w:tabs>
        <w:tab w:val="left" w:pos="720"/>
      </w:tabs>
      <w:adjustRightInd w:val="0"/>
      <w:spacing w:line="360" w:lineRule="auto"/>
      <w:jc w:val="left"/>
    </w:pPr>
    <w:rPr>
      <w:rFonts w:ascii="Arial" w:hAnsi="Arial" w:cs="宋体"/>
      <w:bCs/>
      <w:spacing w:val="0"/>
      <w:sz w:val="24"/>
      <w:szCs w:val="20"/>
    </w:rPr>
  </w:style>
  <w:style w:type="paragraph" w:customStyle="1" w:styleId="1111">
    <w:name w:val="1.11"/>
    <w:basedOn w:val="afc"/>
    <w:qFormat/>
    <w:pPr>
      <w:widowControl/>
      <w:spacing w:line="360" w:lineRule="auto"/>
      <w:ind w:firstLineChars="0" w:firstLine="0"/>
      <w:jc w:val="left"/>
      <w:outlineLvl w:val="1"/>
    </w:pPr>
    <w:rPr>
      <w:rFonts w:ascii="Times New Roman" w:eastAsia="仿宋_GB2312" w:hAnsi="Times New Roman"/>
      <w:b/>
      <w:spacing w:val="0"/>
      <w:kern w:val="0"/>
      <w:sz w:val="30"/>
      <w:szCs w:val="30"/>
    </w:rPr>
  </w:style>
  <w:style w:type="paragraph" w:customStyle="1" w:styleId="2fff0">
    <w:name w:val="日期2"/>
    <w:basedOn w:val="a6"/>
    <w:next w:val="a6"/>
    <w:qFormat/>
    <w:pPr>
      <w:adjustRightInd w:val="0"/>
      <w:spacing w:line="360" w:lineRule="atLeast"/>
      <w:textAlignment w:val="baseline"/>
    </w:pPr>
    <w:rPr>
      <w:rFonts w:ascii="宋体"/>
      <w:kern w:val="0"/>
      <w:sz w:val="28"/>
      <w:szCs w:val="20"/>
    </w:rPr>
  </w:style>
  <w:style w:type="paragraph" w:customStyle="1" w:styleId="Char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 Char1"/>
    <w:basedOn w:val="a6"/>
    <w:qFormat/>
    <w:rPr>
      <w:sz w:val="24"/>
    </w:rPr>
  </w:style>
  <w:style w:type="paragraph" w:customStyle="1" w:styleId="76">
    <w:name w:val="样式76"/>
    <w:basedOn w:val="22"/>
    <w:qFormat/>
    <w:pPr>
      <w:numPr>
        <w:numId w:val="10"/>
      </w:numPr>
      <w:spacing w:afterLines="50" w:line="440" w:lineRule="exact"/>
      <w:jc w:val="center"/>
    </w:pPr>
    <w:rPr>
      <w:b/>
      <w:spacing w:val="0"/>
      <w:w w:val="100"/>
      <w:kern w:val="2"/>
    </w:rPr>
  </w:style>
  <w:style w:type="paragraph" w:customStyle="1" w:styleId="2fff1">
    <w:name w:val="缩 2"/>
    <w:basedOn w:val="a6"/>
    <w:qFormat/>
    <w:pPr>
      <w:widowControl/>
      <w:spacing w:line="300" w:lineRule="auto"/>
      <w:ind w:firstLineChars="200" w:firstLine="200"/>
      <w:jc w:val="left"/>
    </w:pPr>
    <w:rPr>
      <w:rFonts w:cs="宋体"/>
      <w:kern w:val="0"/>
      <w:sz w:val="24"/>
    </w:rPr>
  </w:style>
  <w:style w:type="paragraph" w:customStyle="1" w:styleId="Head31">
    <w:name w:val="Head 3.1"/>
    <w:basedOn w:val="a6"/>
    <w:qFormat/>
    <w:pPr>
      <w:widowControl/>
      <w:suppressAutoHyphens/>
      <w:ind w:firstLine="360"/>
      <w:jc w:val="left"/>
    </w:pPr>
    <w:rPr>
      <w:rFonts w:cs="宋体"/>
      <w:b/>
      <w:kern w:val="0"/>
      <w:sz w:val="24"/>
      <w:szCs w:val="20"/>
      <w:lang w:val="fr-FR" w:eastAsia="en-US"/>
    </w:rPr>
  </w:style>
  <w:style w:type="paragraph" w:customStyle="1" w:styleId="TimesNewRoman121">
    <w:name w:val="样式 表格文字居中 + Times New Roman 五号 行距: 固定值 12 磅1"/>
    <w:basedOn w:val="CharChar8"/>
    <w:qFormat/>
    <w:pPr>
      <w:keepNext w:val="0"/>
      <w:adjustRightInd/>
      <w:snapToGrid/>
      <w:spacing w:line="240" w:lineRule="auto"/>
    </w:pPr>
    <w:rPr>
      <w:rFonts w:ascii="Times New Roman" w:hAnsi="Times New Roman" w:cs="宋体"/>
      <w:kern w:val="0"/>
      <w:sz w:val="21"/>
    </w:rPr>
  </w:style>
  <w:style w:type="paragraph" w:customStyle="1" w:styleId="xl968">
    <w:name w:val="xl96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18"/>
      <w:szCs w:val="18"/>
    </w:rPr>
  </w:style>
  <w:style w:type="paragraph" w:customStyle="1" w:styleId="InTable">
    <w:name w:val="In Table"/>
    <w:basedOn w:val="a6"/>
    <w:qFormat/>
    <w:pPr>
      <w:tabs>
        <w:tab w:val="left" w:pos="3960"/>
        <w:tab w:val="left" w:pos="5280"/>
      </w:tabs>
      <w:spacing w:beforeLines="40" w:afterLines="40" w:line="0" w:lineRule="atLeast"/>
      <w:jc w:val="center"/>
    </w:pPr>
    <w:rPr>
      <w:rFonts w:ascii="Tahoma" w:eastAsia="华文中宋" w:hAnsi="Tahoma"/>
      <w:color w:val="000000"/>
      <w:w w:val="110"/>
      <w:kern w:val="0"/>
      <w:sz w:val="24"/>
      <w:szCs w:val="20"/>
    </w:rPr>
  </w:style>
  <w:style w:type="paragraph" w:customStyle="1" w:styleId="afffffffffffffffa">
    <w:name w:val="表 头"/>
    <w:basedOn w:val="a6"/>
    <w:qFormat/>
    <w:pPr>
      <w:adjustRightInd w:val="0"/>
      <w:spacing w:before="120" w:after="120"/>
      <w:jc w:val="center"/>
    </w:pPr>
    <w:rPr>
      <w:rFonts w:hAnsi="宋体"/>
      <w:b/>
      <w:kern w:val="0"/>
      <w:sz w:val="24"/>
    </w:rPr>
  </w:style>
  <w:style w:type="paragraph" w:customStyle="1" w:styleId="Charffffffffff2">
    <w:name w:val="文本匡小五号 Char"/>
    <w:qFormat/>
    <w:pPr>
      <w:snapToGrid w:val="0"/>
      <w:spacing w:line="100" w:lineRule="atLeast"/>
      <w:jc w:val="center"/>
    </w:pPr>
    <w:rPr>
      <w:rFonts w:eastAsia="仿宋_GB2312"/>
      <w:snapToGrid w:val="0"/>
      <w:sz w:val="21"/>
      <w:szCs w:val="21"/>
    </w:rPr>
  </w:style>
  <w:style w:type="paragraph" w:customStyle="1" w:styleId="GB2312GB2312Arial2">
    <w:name w:val="样式 (西文) 楷体_GB2312 (中文) 楷体_GB2312 (符号) Arial 四号 黑色 首行缩进:  2 ..."/>
    <w:basedOn w:val="a6"/>
    <w:qFormat/>
    <w:pPr>
      <w:adjustRightInd w:val="0"/>
      <w:snapToGrid w:val="0"/>
      <w:spacing w:line="360" w:lineRule="auto"/>
      <w:ind w:firstLineChars="200" w:firstLine="560"/>
    </w:pPr>
    <w:rPr>
      <w:rFonts w:ascii="Arial" w:eastAsia="楷体_GB2312" w:hAnsi="Arial" w:cs="宋体"/>
      <w:color w:val="000000"/>
      <w:sz w:val="28"/>
      <w:szCs w:val="28"/>
    </w:rPr>
  </w:style>
  <w:style w:type="paragraph" w:customStyle="1" w:styleId="xl182">
    <w:name w:val="xl182"/>
    <w:basedOn w:val="a6"/>
    <w:qFormat/>
    <w:pPr>
      <w:widowControl/>
      <w:pBdr>
        <w:top w:val="double" w:sz="6" w:space="0" w:color="auto"/>
        <w:right w:val="single" w:sz="4" w:space="0" w:color="auto"/>
      </w:pBdr>
      <w:spacing w:before="100" w:beforeAutospacing="1" w:after="100" w:afterAutospacing="1" w:line="360" w:lineRule="auto"/>
      <w:jc w:val="center"/>
      <w:textAlignment w:val="center"/>
    </w:pPr>
    <w:rPr>
      <w:rFonts w:ascii="Arial Unicode MS" w:eastAsia="Arial Unicode MS" w:hAnsi="Arial Unicode MS" w:cs="Arial Unicode MS"/>
      <w:kern w:val="0"/>
      <w:sz w:val="20"/>
      <w:szCs w:val="20"/>
    </w:rPr>
  </w:style>
  <w:style w:type="paragraph" w:customStyle="1" w:styleId="afffffffffffffffb">
    <w:name w:val="表内文字规定"/>
    <w:basedOn w:val="a6"/>
    <w:qFormat/>
    <w:pPr>
      <w:spacing w:line="360" w:lineRule="exact"/>
      <w:jc w:val="center"/>
    </w:pPr>
    <w:rPr>
      <w:rFonts w:cs="宋体"/>
      <w:szCs w:val="20"/>
    </w:rPr>
  </w:style>
  <w:style w:type="paragraph" w:customStyle="1" w:styleId="xl35">
    <w:name w:val="xl35"/>
    <w:basedOn w:val="a6"/>
    <w:qFormat/>
    <w:pPr>
      <w:widowControl/>
      <w:pBdr>
        <w:top w:val="single" w:sz="4" w:space="0" w:color="auto"/>
        <w:left w:val="single" w:sz="4" w:space="0" w:color="auto"/>
        <w:bottom w:val="single" w:sz="4" w:space="0" w:color="auto"/>
        <w:right w:val="single" w:sz="4" w:space="0" w:color="auto"/>
      </w:pBdr>
      <w:spacing w:before="100" w:after="100"/>
      <w:jc w:val="center"/>
      <w:textAlignment w:val="center"/>
    </w:pPr>
    <w:rPr>
      <w:kern w:val="0"/>
      <w:szCs w:val="20"/>
    </w:rPr>
  </w:style>
  <w:style w:type="paragraph" w:customStyle="1" w:styleId="160">
    <w:name w:val="样式1.6"/>
    <w:qFormat/>
  </w:style>
  <w:style w:type="paragraph" w:customStyle="1" w:styleId="151">
    <w:name w:val="样式1.5"/>
    <w:qFormat/>
    <w:pPr>
      <w:spacing w:line="360" w:lineRule="auto"/>
      <w:jc w:val="center"/>
    </w:pPr>
    <w:rPr>
      <w:rFonts w:ascii="宋体" w:eastAsia="黑体" w:hAnsi="宋体"/>
      <w:snapToGrid w:val="0"/>
      <w:kern w:val="24"/>
      <w:sz w:val="24"/>
    </w:rPr>
  </w:style>
  <w:style w:type="paragraph" w:customStyle="1" w:styleId="A-4">
    <w:name w:val="A-标题4"/>
    <w:basedOn w:val="41"/>
    <w:qFormat/>
    <w:pPr>
      <w:snapToGrid/>
      <w:spacing w:beforeLines="0" w:before="0" w:line="360" w:lineRule="auto"/>
      <w:jc w:val="left"/>
      <w:textAlignment w:val="baseline"/>
    </w:pPr>
    <w:rPr>
      <w:rFonts w:ascii="Times New Roman" w:eastAsia="宋体" w:hAnsi="Times New Roman"/>
      <w:bCs w:val="0"/>
      <w:sz w:val="24"/>
    </w:rPr>
  </w:style>
  <w:style w:type="paragraph" w:customStyle="1" w:styleId="afffffffffffffffc">
    <w:name w:val="样式 宋体 居中"/>
    <w:basedOn w:val="a6"/>
    <w:qFormat/>
    <w:pPr>
      <w:jc w:val="center"/>
    </w:pPr>
    <w:rPr>
      <w:rFonts w:ascii="宋体" w:eastAsia="楷体_GB2312" w:hAnsi="宋体" w:cs="宋体"/>
      <w:szCs w:val="20"/>
    </w:rPr>
  </w:style>
  <w:style w:type="paragraph" w:customStyle="1" w:styleId="font0">
    <w:name w:val="font0"/>
    <w:basedOn w:val="a6"/>
    <w:qFormat/>
    <w:pPr>
      <w:widowControl/>
      <w:spacing w:before="100" w:after="100"/>
      <w:jc w:val="left"/>
    </w:pPr>
    <w:rPr>
      <w:rFonts w:ascii="宋体" w:hAnsi="宋体" w:hint="eastAsia"/>
      <w:kern w:val="0"/>
      <w:sz w:val="24"/>
      <w:szCs w:val="20"/>
    </w:rPr>
  </w:style>
  <w:style w:type="paragraph" w:customStyle="1" w:styleId="xl102">
    <w:name w:val="xl102"/>
    <w:basedOn w:val="a6"/>
    <w:qFormat/>
    <w:pPr>
      <w:widowControl/>
      <w:pBdr>
        <w:top w:val="single" w:sz="4" w:space="0" w:color="auto"/>
        <w:left w:val="single" w:sz="4" w:space="0" w:color="auto"/>
        <w:bottom w:val="single" w:sz="4" w:space="0" w:color="auto"/>
      </w:pBdr>
      <w:shd w:val="clear" w:color="000000" w:fill="FFFF99"/>
      <w:spacing w:before="100" w:beforeAutospacing="1" w:after="100" w:afterAutospacing="1"/>
      <w:jc w:val="left"/>
      <w:textAlignment w:val="center"/>
    </w:pPr>
    <w:rPr>
      <w:kern w:val="0"/>
      <w:sz w:val="20"/>
      <w:szCs w:val="20"/>
    </w:rPr>
  </w:style>
  <w:style w:type="paragraph" w:customStyle="1" w:styleId="002">
    <w:name w:val="00表名"/>
    <w:basedOn w:val="a6"/>
    <w:qFormat/>
    <w:rPr>
      <w:rFonts w:eastAsia="黑体"/>
      <w:sz w:val="24"/>
    </w:rPr>
  </w:style>
  <w:style w:type="paragraph" w:customStyle="1" w:styleId="65">
    <w:name w:val="表名6"/>
    <w:qFormat/>
    <w:pPr>
      <w:tabs>
        <w:tab w:val="left" w:pos="360"/>
      </w:tabs>
      <w:ind w:left="425" w:hanging="425"/>
    </w:pPr>
  </w:style>
  <w:style w:type="paragraph" w:customStyle="1" w:styleId="afffffffffffffffd">
    <w:name w:val="图名"/>
    <w:basedOn w:val="a6"/>
    <w:qFormat/>
    <w:pPr>
      <w:spacing w:line="360" w:lineRule="auto"/>
      <w:ind w:firstLineChars="200" w:firstLine="200"/>
      <w:jc w:val="center"/>
    </w:pPr>
    <w:rPr>
      <w:rFonts w:ascii="黑体" w:eastAsia="黑体" w:hAnsi="黑体"/>
      <w:sz w:val="24"/>
    </w:rPr>
  </w:style>
  <w:style w:type="paragraph" w:customStyle="1" w:styleId="3fe">
    <w:name w:val="文档结构图3"/>
    <w:basedOn w:val="a6"/>
    <w:qFormat/>
    <w:pPr>
      <w:shd w:val="clear" w:color="auto" w:fill="000080"/>
      <w:tabs>
        <w:tab w:val="left" w:pos="480"/>
        <w:tab w:val="left" w:pos="1680"/>
        <w:tab w:val="left" w:pos="3960"/>
        <w:tab w:val="left" w:pos="5400"/>
        <w:tab w:val="left" w:pos="6840"/>
      </w:tabs>
      <w:adjustRightInd w:val="0"/>
      <w:spacing w:line="240" w:lineRule="atLeast"/>
      <w:ind w:firstLine="482"/>
      <w:jc w:val="left"/>
      <w:textAlignment w:val="baseline"/>
    </w:pPr>
    <w:rPr>
      <w:rFonts w:eastAsia="创艺简楷体"/>
      <w:kern w:val="0"/>
      <w:sz w:val="28"/>
      <w:szCs w:val="20"/>
    </w:rPr>
  </w:style>
  <w:style w:type="paragraph" w:customStyle="1" w:styleId="a01">
    <w:name w:val="a01"/>
    <w:basedOn w:val="a6"/>
    <w:qFormat/>
    <w:pPr>
      <w:widowControl/>
      <w:spacing w:before="100" w:beforeAutospacing="1" w:after="100" w:afterAutospacing="1" w:line="345" w:lineRule="atLeast"/>
      <w:jc w:val="left"/>
    </w:pPr>
    <w:rPr>
      <w:rFonts w:ascii="宋体" w:hAnsi="宋体" w:cs="宋体"/>
      <w:color w:val="000000"/>
      <w:w w:val="110"/>
      <w:kern w:val="0"/>
      <w:sz w:val="23"/>
      <w:szCs w:val="23"/>
    </w:rPr>
  </w:style>
  <w:style w:type="paragraph" w:customStyle="1" w:styleId="reader-word-layerreader-word-s2-4">
    <w:name w:val="reader-word-layer reader-word-s2-4"/>
    <w:basedOn w:val="a6"/>
    <w:qFormat/>
    <w:pPr>
      <w:widowControl/>
      <w:spacing w:before="100" w:beforeAutospacing="1" w:after="100" w:afterAutospacing="1"/>
      <w:jc w:val="left"/>
    </w:pPr>
    <w:rPr>
      <w:rFonts w:ascii="宋体" w:hAnsi="宋体" w:cs="宋体"/>
      <w:kern w:val="0"/>
      <w:sz w:val="24"/>
    </w:rPr>
  </w:style>
  <w:style w:type="paragraph" w:customStyle="1" w:styleId="afffffffffffffffe">
    <w:name w:val="(a)"/>
    <w:qFormat/>
  </w:style>
  <w:style w:type="paragraph" w:customStyle="1" w:styleId="777777777CharChar">
    <w:name w:val="777777777 Char Char"/>
    <w:basedOn w:val="a6"/>
    <w:qFormat/>
    <w:pPr>
      <w:widowControl/>
      <w:spacing w:line="400" w:lineRule="exact"/>
      <w:ind w:firstLineChars="200" w:firstLine="560"/>
      <w:jc w:val="left"/>
    </w:pPr>
    <w:rPr>
      <w:rFonts w:ascii="宋体" w:hAnsi="宋体" w:cs="宋体"/>
      <w:kern w:val="0"/>
      <w:sz w:val="28"/>
      <w:szCs w:val="20"/>
    </w:rPr>
  </w:style>
  <w:style w:type="paragraph" w:customStyle="1" w:styleId="311">
    <w:name w:val="正文文本 31"/>
    <w:basedOn w:val="a6"/>
    <w:qFormat/>
    <w:pPr>
      <w:adjustRightInd w:val="0"/>
      <w:spacing w:line="360" w:lineRule="atLeast"/>
      <w:jc w:val="center"/>
      <w:textAlignment w:val="baseline"/>
    </w:pPr>
    <w:rPr>
      <w:rFonts w:ascii="仿宋体" w:eastAsia="仿宋体" w:hAnsi="宋体"/>
      <w:color w:val="000000"/>
      <w:w w:val="110"/>
      <w:kern w:val="0"/>
      <w:sz w:val="24"/>
      <w:szCs w:val="20"/>
    </w:rPr>
  </w:style>
  <w:style w:type="paragraph" w:customStyle="1" w:styleId="412">
    <w:name w:val="标题41"/>
    <w:basedOn w:val="33"/>
    <w:qFormat/>
    <w:pPr>
      <w:keepNext w:val="0"/>
      <w:adjustRightInd w:val="0"/>
      <w:spacing w:beforeLines="50" w:afterLines="50" w:line="520" w:lineRule="exact"/>
    </w:pPr>
    <w:rPr>
      <w:rFonts w:hAnsi="黑体"/>
      <w:spacing w:val="0"/>
      <w:szCs w:val="32"/>
    </w:rPr>
  </w:style>
  <w:style w:type="paragraph" w:customStyle="1" w:styleId="affffffffffffffff">
    <w:name w:val="样式_表格小四居中"/>
    <w:qFormat/>
    <w:pPr>
      <w:adjustRightInd w:val="0"/>
      <w:snapToGrid w:val="0"/>
      <w:jc w:val="center"/>
    </w:pPr>
    <w:rPr>
      <w:sz w:val="24"/>
    </w:rPr>
  </w:style>
  <w:style w:type="paragraph" w:customStyle="1" w:styleId="xl973">
    <w:name w:val="xl973"/>
    <w:basedOn w:val="a6"/>
    <w:qFormat/>
    <w:pPr>
      <w:widowControl/>
      <w:spacing w:before="100" w:beforeAutospacing="1" w:after="100" w:afterAutospacing="1"/>
      <w:jc w:val="center"/>
    </w:pPr>
    <w:rPr>
      <w:kern w:val="0"/>
      <w:sz w:val="18"/>
      <w:szCs w:val="18"/>
    </w:rPr>
  </w:style>
  <w:style w:type="paragraph" w:customStyle="1" w:styleId="xl1039">
    <w:name w:val="xl1039"/>
    <w:basedOn w:val="a6"/>
    <w:qFormat/>
    <w:pPr>
      <w:widowControl/>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jc w:val="center"/>
    </w:pPr>
    <w:rPr>
      <w:rFonts w:ascii="Arial" w:hAnsi="Arial" w:cs="Arial"/>
      <w:kern w:val="0"/>
      <w:sz w:val="18"/>
      <w:szCs w:val="18"/>
    </w:rPr>
  </w:style>
  <w:style w:type="paragraph" w:customStyle="1" w:styleId="reader-word-layerreader-word-s1-31">
    <w:name w:val="reader-word-layer reader-word-s1-31"/>
    <w:basedOn w:val="a6"/>
    <w:qFormat/>
    <w:pPr>
      <w:widowControl/>
      <w:spacing w:before="100" w:beforeAutospacing="1" w:after="100" w:afterAutospacing="1"/>
      <w:jc w:val="left"/>
    </w:pPr>
    <w:rPr>
      <w:rFonts w:ascii="宋体" w:hAnsi="宋体" w:cs="宋体"/>
      <w:kern w:val="0"/>
      <w:sz w:val="24"/>
    </w:rPr>
  </w:style>
  <w:style w:type="paragraph" w:customStyle="1" w:styleId="affffffffffffffff0">
    <w:name w:val="标题二！"/>
    <w:basedOn w:val="22"/>
    <w:qFormat/>
    <w:pPr>
      <w:keepNext w:val="0"/>
      <w:keepLines w:val="0"/>
      <w:widowControl/>
      <w:spacing w:before="120" w:line="500" w:lineRule="exact"/>
      <w:jc w:val="left"/>
    </w:pPr>
    <w:rPr>
      <w:rFonts w:cs="宋体"/>
      <w:spacing w:val="0"/>
      <w:w w:val="100"/>
      <w:kern w:val="2"/>
      <w:sz w:val="30"/>
      <w:szCs w:val="30"/>
    </w:rPr>
  </w:style>
  <w:style w:type="paragraph" w:customStyle="1" w:styleId="CYQ1">
    <w:name w:val="CYQ 表格文字小四字体样式1"/>
    <w:basedOn w:val="a6"/>
    <w:qFormat/>
    <w:pPr>
      <w:widowControl/>
      <w:spacing w:line="360" w:lineRule="atLeast"/>
      <w:jc w:val="center"/>
    </w:pPr>
    <w:rPr>
      <w:rFonts w:cs="宋体"/>
      <w:kern w:val="0"/>
      <w:sz w:val="24"/>
    </w:rPr>
  </w:style>
  <w:style w:type="paragraph" w:customStyle="1" w:styleId="affffffffffffffff1">
    <w:name w:val="天康正文"/>
    <w:basedOn w:val="a6"/>
    <w:qFormat/>
    <w:pPr>
      <w:spacing w:line="560" w:lineRule="exact"/>
      <w:ind w:firstLineChars="200" w:firstLine="200"/>
    </w:pPr>
    <w:rPr>
      <w:rFonts w:ascii="宋体" w:cs="宋体"/>
      <w:spacing w:val="8"/>
      <w:sz w:val="24"/>
      <w:szCs w:val="20"/>
    </w:rPr>
  </w:style>
  <w:style w:type="paragraph" w:customStyle="1" w:styleId="affffffffffffffff2">
    <w:name w:val="於"/>
    <w:basedOn w:val="a6"/>
    <w:qFormat/>
    <w:pPr>
      <w:spacing w:line="360" w:lineRule="auto"/>
      <w:ind w:firstLineChars="200" w:firstLine="600"/>
    </w:pPr>
    <w:rPr>
      <w:sz w:val="30"/>
      <w:szCs w:val="20"/>
    </w:rPr>
  </w:style>
  <w:style w:type="paragraph" w:customStyle="1" w:styleId="GB2312GB2312">
    <w:name w:val="样式 样式 样式 楷体_GB2312 小四 居中 行距: 单倍行距 + 宋体 + 楷体_GB2312"/>
    <w:basedOn w:val="GB23122"/>
    <w:qFormat/>
  </w:style>
  <w:style w:type="paragraph" w:customStyle="1" w:styleId="xl82">
    <w:name w:val="xl82"/>
    <w:basedOn w:val="a6"/>
    <w:qFormat/>
    <w:pPr>
      <w:widowControl/>
      <w:pBdr>
        <w:top w:val="single" w:sz="4" w:space="0" w:color="auto"/>
        <w:left w:val="single" w:sz="4" w:space="0" w:color="auto"/>
        <w:bottom w:val="single" w:sz="4" w:space="0" w:color="auto"/>
        <w:right w:val="single" w:sz="4" w:space="0" w:color="auto"/>
      </w:pBdr>
      <w:shd w:val="clear" w:color="000000" w:fill="FF8080"/>
      <w:spacing w:before="100" w:beforeAutospacing="1" w:after="100" w:afterAutospacing="1"/>
      <w:jc w:val="right"/>
      <w:textAlignment w:val="center"/>
    </w:pPr>
    <w:rPr>
      <w:b/>
      <w:bCs/>
      <w:kern w:val="0"/>
      <w:sz w:val="20"/>
      <w:szCs w:val="20"/>
    </w:rPr>
  </w:style>
  <w:style w:type="paragraph" w:customStyle="1" w:styleId="SAR1">
    <w:name w:val="SAR 1"/>
    <w:qFormat/>
    <w:pPr>
      <w:tabs>
        <w:tab w:val="left" w:pos="605"/>
        <w:tab w:val="left" w:pos="1210"/>
        <w:tab w:val="left" w:pos="1814"/>
        <w:tab w:val="left" w:pos="2419"/>
        <w:tab w:val="left" w:pos="3024"/>
      </w:tabs>
      <w:suppressAutoHyphens/>
    </w:pPr>
    <w:rPr>
      <w:rFonts w:ascii="Courier" w:hAnsi="Courier"/>
      <w:sz w:val="24"/>
      <w:lang w:eastAsia="en-US"/>
    </w:rPr>
  </w:style>
  <w:style w:type="paragraph" w:customStyle="1" w:styleId="1fff6">
    <w:name w:val="样式 非标题一级条 + 小四1"/>
    <w:basedOn w:val="a6"/>
    <w:qFormat/>
    <w:pPr>
      <w:widowControl/>
      <w:spacing w:line="360" w:lineRule="auto"/>
      <w:jc w:val="left"/>
      <w:outlineLvl w:val="2"/>
    </w:pPr>
    <w:rPr>
      <w:rFonts w:ascii="宋体" w:cs="宋体"/>
      <w:kern w:val="0"/>
      <w:sz w:val="24"/>
    </w:rPr>
  </w:style>
  <w:style w:type="paragraph" w:customStyle="1" w:styleId="CharCharCharCharCharCharCharCharCharCharCharCharCharCharCharCharCharCharCharCharCharCharCharChar6">
    <w:name w:val="Char Char Char Char Char Char Char Char Char Char Char Char Char Char Char Char Char Char Char Char Char Char Char Char6"/>
    <w:basedOn w:val="a6"/>
    <w:qFormat/>
    <w:pPr>
      <w:widowControl/>
      <w:spacing w:line="360" w:lineRule="auto"/>
      <w:jc w:val="left"/>
    </w:pPr>
    <w:rPr>
      <w:szCs w:val="21"/>
    </w:rPr>
  </w:style>
  <w:style w:type="paragraph" w:customStyle="1" w:styleId="Char230">
    <w:name w:val="Char23"/>
    <w:basedOn w:val="a6"/>
    <w:qFormat/>
    <w:pPr>
      <w:spacing w:line="360" w:lineRule="auto"/>
      <w:ind w:firstLineChars="200" w:firstLine="200"/>
    </w:pPr>
    <w:rPr>
      <w:rFonts w:ascii="宋体" w:hAnsi="宋体" w:cs="宋体"/>
      <w:sz w:val="24"/>
    </w:rPr>
  </w:style>
  <w:style w:type="paragraph" w:customStyle="1" w:styleId="affffffffffffffff3">
    <w:name w:val="表格尾注"/>
    <w:basedOn w:val="a6"/>
    <w:qFormat/>
    <w:pPr>
      <w:adjustRightInd w:val="0"/>
      <w:snapToGrid w:val="0"/>
      <w:spacing w:after="120"/>
      <w:ind w:left="561"/>
      <w:jc w:val="left"/>
    </w:pPr>
    <w:rPr>
      <w:rFonts w:ascii="宋体" w:eastAsia="楷体_GB2312" w:hAnsi="宋体"/>
      <w:snapToGrid w:val="0"/>
      <w:kern w:val="0"/>
      <w:sz w:val="24"/>
      <w:szCs w:val="20"/>
    </w:rPr>
  </w:style>
  <w:style w:type="paragraph" w:customStyle="1" w:styleId="2105">
    <w:name w:val="样式 标题 2 + 段前: 1 行 段后: 0.5 行"/>
    <w:basedOn w:val="22"/>
    <w:qFormat/>
    <w:pPr>
      <w:keepNext w:val="0"/>
      <w:keepLines w:val="0"/>
      <w:spacing w:afterLines="50" w:line="300" w:lineRule="exact"/>
      <w:jc w:val="center"/>
      <w:outlineLvl w:val="9"/>
    </w:pPr>
    <w:rPr>
      <w:b/>
      <w:bCs w:val="0"/>
      <w:spacing w:val="0"/>
      <w:w w:val="100"/>
      <w:kern w:val="2"/>
      <w:sz w:val="24"/>
      <w:szCs w:val="24"/>
    </w:rPr>
  </w:style>
  <w:style w:type="paragraph" w:customStyle="1" w:styleId="4f3">
    <w:name w:val="4标"/>
    <w:basedOn w:val="a6"/>
    <w:qFormat/>
    <w:pPr>
      <w:keepNext/>
      <w:keepLines/>
      <w:spacing w:beforeLines="50" w:afterLines="50"/>
      <w:outlineLvl w:val="3"/>
    </w:pPr>
    <w:rPr>
      <w:rFonts w:eastAsia="黑体"/>
      <w:color w:val="000000"/>
      <w:w w:val="110"/>
      <w:kern w:val="0"/>
      <w:sz w:val="24"/>
      <w:szCs w:val="20"/>
    </w:rPr>
  </w:style>
  <w:style w:type="paragraph" w:customStyle="1" w:styleId="affffffffffffffff4">
    <w:name w:val="文字缩"/>
    <w:basedOn w:val="a6"/>
    <w:qFormat/>
    <w:pPr>
      <w:autoSpaceDE w:val="0"/>
      <w:autoSpaceDN w:val="0"/>
      <w:adjustRightInd w:val="0"/>
      <w:snapToGrid w:val="0"/>
      <w:spacing w:line="480" w:lineRule="atLeast"/>
      <w:ind w:firstLineChars="200" w:firstLine="200"/>
      <w:jc w:val="left"/>
    </w:pPr>
    <w:rPr>
      <w:rFonts w:ascii="宋体"/>
      <w:snapToGrid w:val="0"/>
      <w:spacing w:val="6"/>
      <w:kern w:val="0"/>
      <w:sz w:val="28"/>
      <w:szCs w:val="20"/>
    </w:rPr>
  </w:style>
  <w:style w:type="paragraph" w:customStyle="1" w:styleId="xl163">
    <w:name w:val="xl163"/>
    <w:basedOn w:val="a6"/>
    <w:qFormat/>
    <w:pPr>
      <w:widowControl/>
      <w:pBdr>
        <w:bottom w:val="double" w:sz="6" w:space="0" w:color="auto"/>
        <w:right w:val="single" w:sz="4" w:space="0" w:color="auto"/>
      </w:pBdr>
      <w:spacing w:before="100" w:beforeAutospacing="1" w:after="100" w:afterAutospacing="1" w:line="360" w:lineRule="auto"/>
      <w:jc w:val="center"/>
      <w:textAlignment w:val="center"/>
    </w:pPr>
    <w:rPr>
      <w:rFonts w:eastAsia="Arial Unicode MS" w:cs="宋体"/>
      <w:color w:val="000000"/>
      <w:kern w:val="0"/>
      <w:sz w:val="20"/>
      <w:szCs w:val="20"/>
    </w:rPr>
  </w:style>
  <w:style w:type="paragraph" w:customStyle="1" w:styleId="1fff7">
    <w:name w:val="样式1－表头"/>
    <w:basedOn w:val="a6"/>
    <w:qFormat/>
    <w:pPr>
      <w:adjustRightInd w:val="0"/>
      <w:snapToGrid w:val="0"/>
      <w:spacing w:beforeLines="50" w:afterLines="50" w:line="336" w:lineRule="auto"/>
      <w:jc w:val="center"/>
    </w:pPr>
    <w:rPr>
      <w:rFonts w:ascii="宋体" w:eastAsia="黑体"/>
      <w:spacing w:val="6"/>
      <w:kern w:val="0"/>
      <w:sz w:val="24"/>
      <w:szCs w:val="20"/>
    </w:rPr>
  </w:style>
  <w:style w:type="paragraph" w:customStyle="1" w:styleId="xl969">
    <w:name w:val="xl96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18"/>
      <w:szCs w:val="18"/>
    </w:rPr>
  </w:style>
  <w:style w:type="paragraph" w:customStyle="1" w:styleId="CharCharChar1CharCharCharCharCharCharCharCharCharCharCharCharCharCharCharCharCharCharChar">
    <w:name w:val="Char Char Char1 Char Char Char Char Char Char Char Char Char Char Char Char Char Char Char Char Char Char Char"/>
    <w:basedOn w:val="a6"/>
    <w:qFormat/>
    <w:rPr>
      <w:color w:val="000000"/>
      <w:w w:val="110"/>
      <w:kern w:val="0"/>
      <w:sz w:val="24"/>
    </w:rPr>
  </w:style>
  <w:style w:type="paragraph" w:customStyle="1" w:styleId="ParaAttribute32">
    <w:name w:val="ParaAttribute32"/>
    <w:qFormat/>
    <w:pPr>
      <w:widowControl w:val="0"/>
      <w:wordWrap w:val="0"/>
      <w:spacing w:line="144" w:lineRule="exact"/>
    </w:pPr>
  </w:style>
  <w:style w:type="paragraph" w:customStyle="1" w:styleId="Char60">
    <w:name w:val="Char6"/>
    <w:basedOn w:val="a6"/>
    <w:qFormat/>
  </w:style>
  <w:style w:type="paragraph" w:customStyle="1" w:styleId="xl1035">
    <w:name w:val="xl1035"/>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kern w:val="0"/>
      <w:sz w:val="18"/>
      <w:szCs w:val="18"/>
    </w:rPr>
  </w:style>
  <w:style w:type="paragraph" w:customStyle="1" w:styleId="152">
    <w:name w:val="1 5"/>
    <w:qFormat/>
    <w:pPr>
      <w:tabs>
        <w:tab w:val="left" w:pos="-720"/>
      </w:tabs>
      <w:suppressAutoHyphens/>
    </w:pPr>
    <w:rPr>
      <w:rFonts w:ascii="Courier" w:hAnsi="Courier"/>
      <w:sz w:val="24"/>
      <w:lang w:eastAsia="en-US"/>
    </w:rPr>
  </w:style>
  <w:style w:type="paragraph" w:customStyle="1" w:styleId="CharCharCharCharCharCharCharCharCharCharCharChar1CharCharCharChar">
    <w:name w:val="Char Char Char Char Char Char Char Char Char Char Char Char1 Char Char Char Char"/>
    <w:basedOn w:val="a6"/>
    <w:next w:val="a6"/>
    <w:qFormat/>
    <w:pPr>
      <w:spacing w:line="336" w:lineRule="auto"/>
      <w:ind w:firstLineChars="200" w:firstLine="200"/>
    </w:pPr>
    <w:rPr>
      <w:rFonts w:ascii="宋体" w:eastAsia="汉鼎简书宋" w:hAnsi="宋体" w:cs="宋体"/>
      <w:sz w:val="24"/>
    </w:rPr>
  </w:style>
  <w:style w:type="paragraph" w:customStyle="1" w:styleId="affffffffffffffff5">
    <w:name w:val="表中文字居中"/>
    <w:basedOn w:val="a6"/>
    <w:next w:val="affc"/>
    <w:qFormat/>
    <w:pPr>
      <w:keepNext/>
      <w:widowControl/>
      <w:jc w:val="center"/>
    </w:pPr>
    <w:rPr>
      <w:rFonts w:ascii="宋体" w:hAnsi="宋体" w:cs="宋体"/>
      <w:bCs/>
      <w:color w:val="000000"/>
      <w:kern w:val="0"/>
      <w:sz w:val="24"/>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6"/>
    <w:qFormat/>
    <w:pPr>
      <w:spacing w:line="360" w:lineRule="auto"/>
      <w:ind w:firstLineChars="200" w:firstLine="200"/>
    </w:pPr>
    <w:rPr>
      <w:rFonts w:ascii="宋体" w:hAnsi="宋体" w:cs="宋体"/>
      <w:color w:val="000000"/>
      <w:w w:val="110"/>
      <w:kern w:val="0"/>
      <w:sz w:val="24"/>
    </w:rPr>
  </w:style>
  <w:style w:type="paragraph" w:customStyle="1" w:styleId="3ff">
    <w:name w:val="样式 正文文本缩进 3 + 小四"/>
    <w:basedOn w:val="39"/>
    <w:qFormat/>
    <w:pPr>
      <w:adjustRightInd/>
      <w:snapToGrid/>
      <w:spacing w:line="240" w:lineRule="auto"/>
      <w:ind w:firstLineChars="0" w:firstLine="0"/>
    </w:pPr>
    <w:rPr>
      <w:rFonts w:ascii="Times New Roman"/>
      <w:color w:val="auto"/>
      <w:w w:val="90"/>
      <w:kern w:val="0"/>
      <w:sz w:val="24"/>
      <w:szCs w:val="16"/>
    </w:rPr>
  </w:style>
  <w:style w:type="paragraph" w:customStyle="1" w:styleId="2fff2">
    <w:name w:val="样式 小四 左侧:  2 字符"/>
    <w:basedOn w:val="a6"/>
    <w:qFormat/>
    <w:pPr>
      <w:spacing w:line="500" w:lineRule="exact"/>
      <w:ind w:leftChars="200" w:left="200"/>
    </w:pPr>
    <w:rPr>
      <w:rFonts w:cs="宋体"/>
      <w:sz w:val="24"/>
      <w:szCs w:val="20"/>
    </w:rPr>
  </w:style>
  <w:style w:type="paragraph" w:customStyle="1" w:styleId="04">
    <w:name w:val="题注 + 居中 左侧:  0 毫米"/>
    <w:basedOn w:val="af1"/>
    <w:qFormat/>
    <w:pPr>
      <w:widowControl w:val="0"/>
      <w:tabs>
        <w:tab w:val="left" w:pos="2268"/>
      </w:tabs>
      <w:ind w:firstLineChars="0" w:firstLine="0"/>
      <w:jc w:val="center"/>
    </w:pPr>
    <w:rPr>
      <w:rFonts w:cs="宋体"/>
      <w:b w:val="0"/>
      <w:sz w:val="21"/>
      <w:szCs w:val="20"/>
    </w:rPr>
  </w:style>
  <w:style w:type="paragraph" w:customStyle="1" w:styleId="5155Char21Char2Char252122">
    <w:name w:val="样式 标题 51)项标5标题 5 Char21) Char2项 Char2一级项标题 521)2项2标题 ..."/>
    <w:basedOn w:val="50"/>
    <w:qFormat/>
    <w:pPr>
      <w:keepNext w:val="0"/>
      <w:keepLines w:val="0"/>
      <w:widowControl/>
      <w:tabs>
        <w:tab w:val="left" w:pos="360"/>
      </w:tabs>
      <w:adjustRightInd w:val="0"/>
      <w:snapToGrid w:val="0"/>
      <w:spacing w:before="0" w:after="0" w:line="360" w:lineRule="auto"/>
      <w:ind w:firstLineChars="200" w:firstLine="560"/>
      <w:jc w:val="left"/>
    </w:pPr>
    <w:rPr>
      <w:rFonts w:ascii="宋体" w:hAnsi="宋体" w:cs="宋体"/>
      <w:b w:val="0"/>
      <w:color w:val="000000"/>
      <w:kern w:val="0"/>
      <w:sz w:val="24"/>
    </w:rPr>
  </w:style>
  <w:style w:type="paragraph" w:customStyle="1" w:styleId="30">
    <w:name w:val="新标题3"/>
    <w:qFormat/>
    <w:pPr>
      <w:numPr>
        <w:numId w:val="11"/>
      </w:numPr>
      <w:tabs>
        <w:tab w:val="left" w:pos="360"/>
        <w:tab w:val="left" w:pos="840"/>
        <w:tab w:val="left" w:pos="4686"/>
      </w:tabs>
    </w:pPr>
  </w:style>
  <w:style w:type="paragraph" w:customStyle="1" w:styleId="1fff8">
    <w:name w:val="新标题1"/>
    <w:qFormat/>
    <w:pPr>
      <w:tabs>
        <w:tab w:val="left" w:pos="360"/>
        <w:tab w:val="left" w:pos="840"/>
        <w:tab w:val="left" w:pos="4686"/>
      </w:tabs>
      <w:spacing w:line="500" w:lineRule="exact"/>
      <w:ind w:right="284"/>
    </w:pPr>
    <w:rPr>
      <w:rFonts w:ascii="Arial" w:hAnsi="Arial"/>
      <w:b/>
      <w:bCs/>
      <w:sz w:val="24"/>
      <w:u w:val="single"/>
    </w:rPr>
  </w:style>
  <w:style w:type="paragraph" w:customStyle="1" w:styleId="Charffffffffff3">
    <w:name w:val="高表标 Char"/>
    <w:basedOn w:val="a6"/>
    <w:qFormat/>
    <w:pPr>
      <w:widowControl/>
      <w:snapToGrid w:val="0"/>
      <w:spacing w:line="300" w:lineRule="auto"/>
      <w:jc w:val="right"/>
    </w:pPr>
    <w:rPr>
      <w:rFonts w:ascii="Arial" w:eastAsia="黑体" w:hAnsi="Arial" w:cs="宋体"/>
      <w:bCs/>
      <w:kern w:val="0"/>
      <w:sz w:val="24"/>
    </w:rPr>
  </w:style>
  <w:style w:type="paragraph" w:customStyle="1" w:styleId="3ff0">
    <w:name w:val="附录3"/>
    <w:qFormat/>
    <w:pPr>
      <w:outlineLvl w:val="2"/>
    </w:pPr>
    <w:rPr>
      <w:rFonts w:ascii="宋体" w:hAnsi="宋体"/>
      <w:sz w:val="24"/>
    </w:rPr>
  </w:style>
  <w:style w:type="paragraph" w:customStyle="1" w:styleId="affffffffffffffff6">
    <w:name w:val="表文字（小行距）"/>
    <w:basedOn w:val="a6"/>
    <w:qFormat/>
    <w:pPr>
      <w:adjustRightInd w:val="0"/>
      <w:spacing w:line="240" w:lineRule="exact"/>
      <w:textAlignment w:val="baseline"/>
    </w:pPr>
    <w:rPr>
      <w:rFonts w:eastAsia="汉鼎简书宋"/>
      <w:kern w:val="0"/>
      <w:szCs w:val="21"/>
    </w:rPr>
  </w:style>
  <w:style w:type="paragraph" w:customStyle="1" w:styleId="0085">
    <w:name w:val="样式 左侧:  0 厘米 首行缩进:  0.85 厘米"/>
    <w:basedOn w:val="a6"/>
    <w:qFormat/>
    <w:pPr>
      <w:widowControl/>
      <w:ind w:firstLine="480"/>
      <w:jc w:val="left"/>
    </w:pPr>
    <w:rPr>
      <w:rFonts w:ascii="宋体" w:eastAsia="仿宋_GB2312" w:hAnsi="宋体" w:cs="宋体"/>
      <w:kern w:val="0"/>
      <w:sz w:val="24"/>
      <w:szCs w:val="20"/>
    </w:rPr>
  </w:style>
  <w:style w:type="paragraph" w:customStyle="1" w:styleId="zhwb2">
    <w:name w:val="zhwb2"/>
    <w:basedOn w:val="a6"/>
    <w:next w:val="af0"/>
    <w:qFormat/>
    <w:pPr>
      <w:tabs>
        <w:tab w:val="left" w:pos="360"/>
      </w:tabs>
      <w:spacing w:before="120" w:after="120" w:line="360" w:lineRule="auto"/>
      <w:jc w:val="left"/>
      <w:outlineLvl w:val="1"/>
    </w:pPr>
    <w:rPr>
      <w:color w:val="FF00FF"/>
      <w:sz w:val="28"/>
      <w:szCs w:val="20"/>
    </w:rPr>
  </w:style>
  <w:style w:type="paragraph" w:customStyle="1" w:styleId="1105105">
    <w:name w:val="样式 样式 1.1二级标题 + 段前: 0.5 行1 + 段前: 0.5 行"/>
    <w:basedOn w:val="11051"/>
    <w:qFormat/>
    <w:rPr>
      <w:bCs/>
    </w:rPr>
  </w:style>
  <w:style w:type="paragraph" w:customStyle="1" w:styleId="xl995">
    <w:name w:val="xl995"/>
    <w:basedOn w:val="a6"/>
    <w:qFormat/>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CharCharChar1CharCharCharCharCharCharChar">
    <w:name w:val="Char Char Char1 Char Char Char Char Char Char Char"/>
    <w:basedOn w:val="a6"/>
    <w:qFormat/>
    <w:pPr>
      <w:adjustRightInd w:val="0"/>
      <w:spacing w:line="312" w:lineRule="auto"/>
      <w:textAlignment w:val="baseline"/>
    </w:pPr>
    <w:rPr>
      <w:rFonts w:ascii="Tahoma" w:hAnsi="Tahoma"/>
      <w:kern w:val="0"/>
      <w:sz w:val="24"/>
      <w:szCs w:val="20"/>
    </w:rPr>
  </w:style>
  <w:style w:type="paragraph" w:customStyle="1" w:styleId="240">
    <w:name w:val="正文文本缩进 24"/>
    <w:basedOn w:val="a6"/>
    <w:qFormat/>
    <w:pPr>
      <w:adjustRightInd w:val="0"/>
      <w:spacing w:line="480" w:lineRule="exact"/>
      <w:ind w:firstLine="560"/>
      <w:textAlignment w:val="baseline"/>
    </w:pPr>
    <w:rPr>
      <w:color w:val="000000"/>
      <w:kern w:val="0"/>
      <w:sz w:val="24"/>
      <w:szCs w:val="20"/>
    </w:rPr>
  </w:style>
  <w:style w:type="paragraph" w:customStyle="1" w:styleId="111110">
    <w:name w:val="1.1.1.11"/>
    <w:basedOn w:val="afc"/>
    <w:qFormat/>
    <w:pPr>
      <w:widowControl/>
      <w:spacing w:line="360" w:lineRule="auto"/>
      <w:ind w:firstLineChars="0" w:firstLine="0"/>
      <w:jc w:val="left"/>
      <w:outlineLvl w:val="3"/>
    </w:pPr>
    <w:rPr>
      <w:rFonts w:ascii="Times New Roman" w:eastAsia="仿宋_GB2312" w:hAnsi="Times New Roman"/>
      <w:b/>
      <w:color w:val="auto"/>
      <w:spacing w:val="0"/>
      <w:kern w:val="0"/>
      <w:szCs w:val="28"/>
    </w:rPr>
  </w:style>
  <w:style w:type="paragraph" w:customStyle="1" w:styleId="CharCharCharChar70">
    <w:name w:val="Char Char Char Char7"/>
    <w:basedOn w:val="a6"/>
    <w:qFormat/>
    <w:rPr>
      <w:rFonts w:ascii="宋体"/>
      <w:kern w:val="0"/>
      <w:sz w:val="24"/>
      <w:szCs w:val="20"/>
    </w:rPr>
  </w:style>
  <w:style w:type="paragraph" w:customStyle="1" w:styleId="122">
    <w:name w:val="纯文本12"/>
    <w:basedOn w:val="a6"/>
    <w:qFormat/>
    <w:pPr>
      <w:adjustRightInd w:val="0"/>
      <w:jc w:val="left"/>
    </w:pPr>
    <w:rPr>
      <w:rFonts w:ascii="宋体"/>
      <w:kern w:val="0"/>
      <w:sz w:val="24"/>
      <w:szCs w:val="20"/>
    </w:rPr>
  </w:style>
  <w:style w:type="paragraph" w:customStyle="1" w:styleId="214">
    <w:name w:val="列表 21"/>
    <w:basedOn w:val="a6"/>
    <w:qFormat/>
    <w:pPr>
      <w:ind w:left="840" w:hanging="420"/>
    </w:pPr>
    <w:rPr>
      <w:rFonts w:eastAsia="仿宋_GB2312"/>
      <w:sz w:val="28"/>
      <w:szCs w:val="20"/>
    </w:rPr>
  </w:style>
  <w:style w:type="paragraph" w:customStyle="1" w:styleId="lefttitle3">
    <w:name w:val="left_title3"/>
    <w:basedOn w:val="a6"/>
    <w:qFormat/>
    <w:pPr>
      <w:widowControl/>
      <w:spacing w:before="100" w:beforeAutospacing="1" w:after="100" w:afterAutospacing="1"/>
      <w:jc w:val="left"/>
    </w:pPr>
    <w:rPr>
      <w:rFonts w:ascii="宋体" w:hAnsi="宋体" w:cs="宋体"/>
      <w:b/>
      <w:bCs/>
      <w:color w:val="FF7F00"/>
      <w:spacing w:val="61"/>
      <w:kern w:val="0"/>
      <w:sz w:val="24"/>
    </w:rPr>
  </w:style>
  <w:style w:type="paragraph" w:customStyle="1" w:styleId="215">
    <w:name w:val="样式 正文首行缩进 + 黑色 首行缩进:  2 字符1"/>
    <w:basedOn w:val="affc"/>
    <w:qFormat/>
    <w:pPr>
      <w:adjustRightInd w:val="0"/>
      <w:snapToGrid w:val="0"/>
      <w:spacing w:line="300" w:lineRule="auto"/>
      <w:ind w:firstLine="560"/>
    </w:pPr>
    <w:rPr>
      <w:rFonts w:ascii="Times New Roman" w:hAnsi="Times New Roman"/>
      <w:bCs w:val="0"/>
      <w:color w:val="000000"/>
      <w:spacing w:val="0"/>
      <w:kern w:val="2"/>
      <w:sz w:val="28"/>
      <w:szCs w:val="20"/>
    </w:rPr>
  </w:style>
  <w:style w:type="paragraph" w:customStyle="1" w:styleId="xl173">
    <w:name w:val="xl173"/>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Unicode MS" w:eastAsia="Arial Unicode MS" w:hAnsi="Arial Unicode MS" w:cs="Arial Unicode MS"/>
      <w:color w:val="000000"/>
      <w:kern w:val="0"/>
      <w:sz w:val="24"/>
      <w:szCs w:val="21"/>
    </w:rPr>
  </w:style>
  <w:style w:type="paragraph" w:customStyle="1" w:styleId="2fff3">
    <w:name w:val="中石油2级"/>
    <w:basedOn w:val="22"/>
    <w:qFormat/>
    <w:pPr>
      <w:tabs>
        <w:tab w:val="left" w:pos="567"/>
      </w:tabs>
      <w:snapToGrid w:val="0"/>
      <w:spacing w:line="480" w:lineRule="exact"/>
    </w:pPr>
    <w:rPr>
      <w:rFonts w:ascii="黑体" w:hAnsi="黑体"/>
      <w:b/>
      <w:bCs w:val="0"/>
      <w:spacing w:val="0"/>
      <w:w w:val="100"/>
      <w:kern w:val="2"/>
      <w:sz w:val="36"/>
      <w:szCs w:val="32"/>
    </w:rPr>
  </w:style>
  <w:style w:type="paragraph" w:customStyle="1" w:styleId="NewNewNew">
    <w:name w:val="正文 New New New"/>
    <w:qFormat/>
    <w:pPr>
      <w:widowControl w:val="0"/>
      <w:jc w:val="both"/>
    </w:pPr>
    <w:rPr>
      <w:kern w:val="2"/>
      <w:sz w:val="21"/>
    </w:rPr>
  </w:style>
  <w:style w:type="paragraph" w:customStyle="1" w:styleId="2fff4">
    <w:name w:val="样式 表格后正文 + 首行缩进:  2 字符"/>
    <w:qFormat/>
    <w:pPr>
      <w:tabs>
        <w:tab w:val="left" w:pos="567"/>
      </w:tabs>
      <w:ind w:firstLine="560"/>
    </w:pPr>
    <w:rPr>
      <w:rFonts w:cs="宋体"/>
    </w:rPr>
  </w:style>
  <w:style w:type="paragraph" w:customStyle="1" w:styleId="affffffffffffffff7">
    <w:name w:val="表格后正文"/>
    <w:basedOn w:val="affffffffffffe"/>
    <w:qFormat/>
    <w:pPr>
      <w:spacing w:before="200"/>
      <w:ind w:firstLineChars="200" w:firstLine="200"/>
    </w:pPr>
    <w:rPr>
      <w:rFonts w:eastAsia="华文中宋"/>
      <w:color w:val="auto"/>
      <w:szCs w:val="24"/>
    </w:rPr>
  </w:style>
  <w:style w:type="paragraph" w:customStyle="1" w:styleId="xl965">
    <w:name w:val="xl96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kern w:val="0"/>
      <w:sz w:val="18"/>
      <w:szCs w:val="18"/>
    </w:rPr>
  </w:style>
  <w:style w:type="paragraph" w:customStyle="1" w:styleId="CharCharCharCharCharChar1CharCharCharChar">
    <w:name w:val="Char Char Char Char Char Char1 Char Char Char Char"/>
    <w:basedOn w:val="a6"/>
    <w:qFormat/>
    <w:rPr>
      <w:rFonts w:ascii="Tahoma" w:hAnsi="Tahoma"/>
      <w:sz w:val="24"/>
      <w:szCs w:val="20"/>
    </w:rPr>
  </w:style>
  <w:style w:type="paragraph" w:customStyle="1" w:styleId="4f4">
    <w:name w:val="图名4"/>
    <w:basedOn w:val="a6"/>
    <w:qFormat/>
    <w:pPr>
      <w:tabs>
        <w:tab w:val="left" w:pos="360"/>
      </w:tabs>
      <w:jc w:val="center"/>
    </w:pPr>
    <w:rPr>
      <w:rFonts w:eastAsia="黑体"/>
      <w:sz w:val="24"/>
      <w:szCs w:val="20"/>
    </w:rPr>
  </w:style>
  <w:style w:type="paragraph" w:customStyle="1" w:styleId="312">
    <w:name w:val="正文文本缩进 31"/>
    <w:basedOn w:val="a6"/>
    <w:qFormat/>
    <w:pPr>
      <w:tabs>
        <w:tab w:val="center" w:pos="4252"/>
      </w:tabs>
      <w:adjustRightInd w:val="0"/>
      <w:snapToGrid w:val="0"/>
      <w:spacing w:line="360" w:lineRule="auto"/>
      <w:ind w:firstLineChars="150" w:firstLine="360"/>
    </w:pPr>
    <w:rPr>
      <w:color w:val="000000"/>
      <w:w w:val="110"/>
      <w:kern w:val="0"/>
      <w:sz w:val="24"/>
    </w:rPr>
  </w:style>
  <w:style w:type="paragraph" w:customStyle="1" w:styleId="affffffffffffffff8">
    <w:name w:val="表格文字 五号 居中"/>
    <w:basedOn w:val="a6"/>
    <w:qFormat/>
    <w:pPr>
      <w:snapToGrid w:val="0"/>
      <w:spacing w:line="300" w:lineRule="auto"/>
      <w:jc w:val="center"/>
    </w:pPr>
    <w:rPr>
      <w:rFonts w:cs="宋体"/>
      <w:spacing w:val="-6"/>
      <w:szCs w:val="20"/>
    </w:rPr>
  </w:style>
  <w:style w:type="paragraph" w:customStyle="1" w:styleId="-7">
    <w:name w:val="表格内容-左对齐"/>
    <w:basedOn w:val="a6"/>
    <w:qFormat/>
    <w:pPr>
      <w:spacing w:line="240" w:lineRule="atLeast"/>
      <w:jc w:val="left"/>
    </w:pPr>
    <w:rPr>
      <w:rFonts w:ascii="Arial" w:hAnsi="Arial"/>
      <w:bCs/>
      <w:szCs w:val="20"/>
    </w:rPr>
  </w:style>
  <w:style w:type="paragraph" w:customStyle="1" w:styleId="hb40">
    <w:name w:val="样式 hb4 + 首行缩进:  0 厘米"/>
    <w:basedOn w:val="hb4CharCharCharCharChar"/>
    <w:qFormat/>
  </w:style>
  <w:style w:type="paragraph" w:customStyle="1" w:styleId="REGULAR5">
    <w:name w:val="REGULAR 5"/>
    <w:qFormat/>
    <w:pPr>
      <w:tabs>
        <w:tab w:val="right" w:pos="2520"/>
        <w:tab w:val="left" w:pos="2760"/>
      </w:tabs>
      <w:suppressAutoHyphens/>
      <w:ind w:firstLine="3960"/>
    </w:pPr>
    <w:rPr>
      <w:rFonts w:ascii="Courier" w:hAnsi="Courier"/>
      <w:sz w:val="24"/>
      <w:lang w:eastAsia="en-US"/>
    </w:rPr>
  </w:style>
  <w:style w:type="paragraph" w:customStyle="1" w:styleId="510">
    <w:name w:val="样式 表内小5 +1"/>
    <w:basedOn w:val="a6"/>
    <w:qFormat/>
    <w:pPr>
      <w:adjustRightInd w:val="0"/>
      <w:snapToGrid w:val="0"/>
      <w:spacing w:line="300" w:lineRule="auto"/>
    </w:pPr>
    <w:rPr>
      <w:rFonts w:ascii="宋体" w:hAnsi="宋体"/>
      <w:kern w:val="0"/>
      <w:sz w:val="18"/>
    </w:rPr>
  </w:style>
  <w:style w:type="paragraph" w:customStyle="1" w:styleId="CharCharCharCharCharCharCharCharCharCharCharCharCharCharCharCharCharCharCharCharCharCharCharCharCharCharCharCharCharCharCharCharCharCharCharCharCharCharCharCharCharChar4">
    <w:name w:val="Char Char Char Char Char Char Char Char Char Char Char Char Char Char Char Char Char Char Char Char Char Char Char Char Char Char Char Char Char Char Char Char Char Char Char Char Char Char Char Char Char Char4"/>
    <w:basedOn w:val="a6"/>
    <w:qFormat/>
  </w:style>
  <w:style w:type="paragraph" w:customStyle="1" w:styleId="4f5">
    <w:name w:val="4号两端对齐"/>
    <w:qFormat/>
    <w:pPr>
      <w:widowControl w:val="0"/>
      <w:jc w:val="center"/>
    </w:pPr>
    <w:rPr>
      <w:rFonts w:ascii="宋体" w:hAnsi="宋体"/>
      <w:kern w:val="2"/>
      <w:sz w:val="21"/>
      <w:szCs w:val="24"/>
    </w:rPr>
  </w:style>
  <w:style w:type="paragraph" w:customStyle="1" w:styleId="2fff5">
    <w:name w:val="2级标题"/>
    <w:basedOn w:val="22"/>
    <w:qFormat/>
    <w:pPr>
      <w:keepNext w:val="0"/>
      <w:keepLines w:val="0"/>
      <w:tabs>
        <w:tab w:val="left" w:pos="3564"/>
      </w:tabs>
      <w:adjustRightInd w:val="0"/>
      <w:snapToGrid w:val="0"/>
      <w:spacing w:afterLines="50"/>
    </w:pPr>
    <w:rPr>
      <w:rFonts w:ascii="黑体" w:hAnsi="黑体"/>
      <w:bCs w:val="0"/>
      <w:snapToGrid w:val="0"/>
      <w:spacing w:val="0"/>
      <w:w w:val="100"/>
      <w:kern w:val="2"/>
      <w:sz w:val="30"/>
      <w:szCs w:val="24"/>
    </w:rPr>
  </w:style>
  <w:style w:type="paragraph" w:customStyle="1" w:styleId="1fff9">
    <w:name w:val="列表接续1"/>
    <w:basedOn w:val="a6"/>
    <w:qFormat/>
    <w:pPr>
      <w:spacing w:after="120"/>
      <w:ind w:leftChars="200" w:left="420"/>
    </w:pPr>
  </w:style>
  <w:style w:type="paragraph" w:customStyle="1" w:styleId="CharCharCharCharCharCharCharCharChar8">
    <w:name w:val="Char Char Char Char Char Char Char Char Char8"/>
    <w:basedOn w:val="a6"/>
    <w:qFormat/>
  </w:style>
  <w:style w:type="paragraph" w:customStyle="1" w:styleId="Technical8">
    <w:name w:val="Technical 8"/>
    <w:qFormat/>
    <w:pPr>
      <w:tabs>
        <w:tab w:val="left" w:pos="-720"/>
      </w:tabs>
      <w:suppressAutoHyphens/>
      <w:ind w:firstLine="720"/>
    </w:pPr>
    <w:rPr>
      <w:rFonts w:ascii="Courier" w:hAnsi="Courier"/>
      <w:b/>
      <w:sz w:val="24"/>
      <w:lang w:eastAsia="en-US"/>
    </w:rPr>
  </w:style>
  <w:style w:type="paragraph" w:customStyle="1" w:styleId="affffffffffffffff9">
    <w:name w:val="表中居中文字"/>
    <w:basedOn w:val="a6"/>
    <w:semiHidden/>
    <w:qFormat/>
    <w:pPr>
      <w:widowControl/>
      <w:autoSpaceDE w:val="0"/>
      <w:autoSpaceDN w:val="0"/>
      <w:adjustRightInd w:val="0"/>
      <w:jc w:val="center"/>
    </w:pPr>
    <w:rPr>
      <w:rFonts w:ascii="宋体" w:cs="宋体"/>
      <w:w w:val="90"/>
      <w:kern w:val="0"/>
      <w:sz w:val="24"/>
      <w:lang w:val="zh-CN"/>
    </w:rPr>
  </w:style>
  <w:style w:type="paragraph" w:customStyle="1" w:styleId="CharCharCharCharCharChar2">
    <w:name w:val="Char Char 字元 字元 字元 Char Char Char Char"/>
    <w:basedOn w:val="a6"/>
    <w:qFormat/>
    <w:pPr>
      <w:adjustRightInd w:val="0"/>
      <w:spacing w:line="360" w:lineRule="auto"/>
    </w:pPr>
    <w:rPr>
      <w:kern w:val="0"/>
      <w:sz w:val="24"/>
      <w:szCs w:val="20"/>
    </w:rPr>
  </w:style>
  <w:style w:type="paragraph" w:customStyle="1" w:styleId="affffffffffffffffa">
    <w:name w:val="图编号 + 居中"/>
    <w:basedOn w:val="af1"/>
    <w:qFormat/>
    <w:pPr>
      <w:widowControl w:val="0"/>
      <w:tabs>
        <w:tab w:val="left" w:pos="2268"/>
      </w:tabs>
      <w:ind w:left="851" w:firstLineChars="0" w:firstLine="0"/>
      <w:jc w:val="center"/>
    </w:pPr>
    <w:rPr>
      <w:rFonts w:cs="宋体"/>
      <w:b w:val="0"/>
    </w:rPr>
  </w:style>
  <w:style w:type="paragraph" w:customStyle="1" w:styleId="xl181">
    <w:name w:val="xl181"/>
    <w:basedOn w:val="a6"/>
    <w:qFormat/>
    <w:pPr>
      <w:widowControl/>
      <w:pBdr>
        <w:top w:val="single" w:sz="4" w:space="0" w:color="auto"/>
        <w:bottom w:val="double" w:sz="6" w:space="0" w:color="auto"/>
        <w:right w:val="single" w:sz="4" w:space="0" w:color="auto"/>
      </w:pBdr>
      <w:spacing w:before="100" w:beforeAutospacing="1" w:after="100" w:afterAutospacing="1" w:line="360" w:lineRule="auto"/>
      <w:jc w:val="center"/>
      <w:textAlignment w:val="center"/>
    </w:pPr>
    <w:rPr>
      <w:rFonts w:eastAsia="Arial Unicode MS" w:cs="宋体"/>
      <w:color w:val="000000"/>
      <w:kern w:val="0"/>
      <w:sz w:val="20"/>
      <w:szCs w:val="20"/>
    </w:rPr>
  </w:style>
  <w:style w:type="paragraph" w:customStyle="1" w:styleId="GB2312GB23120515">
    <w:name w:val="样式 样式 (西文) 仿宋_GB2312 (中文) 仿宋_GB2312 (符号) 宋体 段前: 0.5 行 行距: 1.5 倍...."/>
    <w:basedOn w:val="a6"/>
    <w:qFormat/>
    <w:pPr>
      <w:adjustRightInd w:val="0"/>
      <w:snapToGrid w:val="0"/>
      <w:spacing w:afterLines="100" w:line="300" w:lineRule="auto"/>
      <w:ind w:firstLineChars="200" w:firstLine="200"/>
    </w:pPr>
    <w:rPr>
      <w:rFonts w:ascii="仿宋_GB2312" w:eastAsia="仿宋_GB2312" w:hAnsi="宋体" w:cs="宋体"/>
      <w:sz w:val="28"/>
      <w:szCs w:val="20"/>
    </w:rPr>
  </w:style>
  <w:style w:type="paragraph" w:customStyle="1" w:styleId="21">
    <w:name w:val="示例和注释(不缩进2)"/>
    <w:basedOn w:val="a6"/>
    <w:semiHidden/>
    <w:qFormat/>
    <w:pPr>
      <w:widowControl/>
      <w:numPr>
        <w:ilvl w:val="5"/>
        <w:numId w:val="12"/>
      </w:numPr>
      <w:ind w:firstLine="0"/>
      <w:jc w:val="left"/>
    </w:pPr>
    <w:rPr>
      <w:rFonts w:ascii="Arial" w:hAnsi="Arial" w:cs="宋体"/>
      <w:kern w:val="0"/>
      <w:sz w:val="24"/>
    </w:rPr>
  </w:style>
  <w:style w:type="paragraph" w:customStyle="1" w:styleId="bw1">
    <w:name w:val="bw1"/>
    <w:basedOn w:val="a6"/>
    <w:qFormat/>
    <w:pPr>
      <w:adjustRightInd w:val="0"/>
      <w:snapToGrid w:val="0"/>
      <w:spacing w:line="240" w:lineRule="atLeast"/>
      <w:ind w:left="-57" w:right="-57"/>
      <w:jc w:val="center"/>
    </w:pPr>
    <w:rPr>
      <w:rFonts w:ascii="Arial Narrow" w:eastAsia="楷体_GB2312" w:hAnsi="Arial Narrow"/>
      <w:color w:val="000000"/>
      <w:w w:val="90"/>
      <w:kern w:val="0"/>
      <w:sz w:val="18"/>
      <w:szCs w:val="20"/>
    </w:rPr>
  </w:style>
  <w:style w:type="paragraph" w:customStyle="1" w:styleId="910">
    <w:name w:val="标题 91"/>
    <w:basedOn w:val="a6"/>
    <w:next w:val="a6"/>
    <w:qFormat/>
    <w:pPr>
      <w:keepNext/>
      <w:keepLines/>
      <w:adjustRightInd w:val="0"/>
      <w:spacing w:before="240" w:after="64" w:line="320" w:lineRule="atLeast"/>
      <w:textAlignment w:val="baseline"/>
      <w:outlineLvl w:val="8"/>
    </w:pPr>
    <w:rPr>
      <w:rFonts w:ascii="Arial" w:eastAsia="黑体" w:hAnsi="Arial"/>
      <w:color w:val="000000"/>
      <w:w w:val="110"/>
      <w:kern w:val="0"/>
      <w:sz w:val="28"/>
      <w:szCs w:val="20"/>
    </w:rPr>
  </w:style>
  <w:style w:type="paragraph" w:customStyle="1" w:styleId="affffffffffffffffb">
    <w:name w:val="签署内容"/>
    <w:basedOn w:val="a6"/>
    <w:qFormat/>
    <w:pPr>
      <w:keepNext/>
      <w:widowControl/>
      <w:spacing w:line="300" w:lineRule="auto"/>
      <w:ind w:firstLineChars="250" w:firstLine="800"/>
      <w:jc w:val="left"/>
    </w:pPr>
    <w:rPr>
      <w:rFonts w:cs="宋体"/>
      <w:kern w:val="0"/>
      <w:sz w:val="32"/>
      <w:szCs w:val="20"/>
    </w:rPr>
  </w:style>
  <w:style w:type="paragraph" w:customStyle="1" w:styleId="ParaCharCharChar1CharCharCharCharCharCharCharCharCharChar">
    <w:name w:val="默认段落字体 Para Char Char Char1 Char Char Char Char Char Char Char Char Char Char"/>
    <w:basedOn w:val="a6"/>
    <w:qFormat/>
    <w:rPr>
      <w:sz w:val="24"/>
    </w:rPr>
  </w:style>
  <w:style w:type="paragraph" w:customStyle="1" w:styleId="hb40505">
    <w:name w:val="样式 hb4 + 段前: 0.5 行 段后: 0.5 行"/>
    <w:basedOn w:val="hb4CharCharCharCharChar"/>
    <w:next w:val="hb4CharCharCharCharChar"/>
    <w:qFormat/>
  </w:style>
  <w:style w:type="paragraph" w:customStyle="1" w:styleId="230">
    <w:name w:val="正文文本缩进 23"/>
    <w:basedOn w:val="a6"/>
    <w:qFormat/>
    <w:pPr>
      <w:adjustRightInd w:val="0"/>
      <w:spacing w:line="480" w:lineRule="exact"/>
      <w:ind w:firstLine="560"/>
      <w:textAlignment w:val="baseline"/>
    </w:pPr>
    <w:rPr>
      <w:color w:val="000000"/>
      <w:kern w:val="0"/>
      <w:sz w:val="24"/>
      <w:szCs w:val="20"/>
    </w:rPr>
  </w:style>
  <w:style w:type="paragraph" w:customStyle="1" w:styleId="affffffffffffffffc">
    <w:name w:val="申报章题"/>
    <w:basedOn w:val="a6"/>
    <w:qFormat/>
    <w:pPr>
      <w:pageBreakBefore/>
      <w:spacing w:before="100" w:beforeAutospacing="1" w:after="100" w:afterAutospacing="1" w:line="500" w:lineRule="atLeast"/>
      <w:jc w:val="center"/>
      <w:outlineLvl w:val="0"/>
    </w:pPr>
    <w:rPr>
      <w:rFonts w:ascii="宋体" w:hAnsi="宋体"/>
      <w:b/>
      <w:sz w:val="36"/>
      <w:szCs w:val="20"/>
    </w:rPr>
  </w:style>
  <w:style w:type="paragraph" w:customStyle="1" w:styleId="xl60">
    <w:name w:val="xl60"/>
    <w:basedOn w:val="a6"/>
    <w:qFormat/>
    <w:pPr>
      <w:widowControl/>
      <w:pBdr>
        <w:top w:val="single" w:sz="8"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Arial Unicode MS" w:eastAsia="Arial Unicode MS" w:hAnsi="Arial Unicode MS"/>
      <w:kern w:val="0"/>
      <w:sz w:val="24"/>
      <w:szCs w:val="20"/>
    </w:rPr>
  </w:style>
  <w:style w:type="paragraph" w:customStyle="1" w:styleId="1fffa">
    <w:name w:val="字元 字元 字元1"/>
    <w:basedOn w:val="a6"/>
    <w:semiHidden/>
    <w:qFormat/>
    <w:pPr>
      <w:widowControl/>
      <w:spacing w:line="360" w:lineRule="auto"/>
      <w:ind w:firstLineChars="200" w:firstLine="200"/>
      <w:jc w:val="left"/>
    </w:pPr>
    <w:rPr>
      <w:rFonts w:ascii="宋体" w:hAnsi="宋体" w:cs="宋体"/>
      <w:kern w:val="0"/>
      <w:sz w:val="24"/>
    </w:rPr>
  </w:style>
  <w:style w:type="paragraph" w:customStyle="1" w:styleId="WPSPlain">
    <w:name w:val="WPS Plain"/>
    <w:qFormat/>
  </w:style>
  <w:style w:type="paragraph" w:customStyle="1" w:styleId="6Char1">
    <w:name w:val="6 Char"/>
    <w:basedOn w:val="a6"/>
    <w:qFormat/>
  </w:style>
  <w:style w:type="paragraph" w:customStyle="1" w:styleId="reader-word-layerreader-word-s39-13">
    <w:name w:val="reader-word-layer reader-word-s39-13"/>
    <w:basedOn w:val="a6"/>
    <w:qFormat/>
    <w:pPr>
      <w:widowControl/>
      <w:spacing w:before="100" w:beforeAutospacing="1" w:after="100" w:afterAutospacing="1"/>
      <w:jc w:val="left"/>
    </w:pPr>
    <w:rPr>
      <w:rFonts w:ascii="宋体" w:hAnsi="宋体" w:cs="宋体"/>
      <w:color w:val="000000"/>
      <w:w w:val="110"/>
      <w:kern w:val="0"/>
      <w:sz w:val="24"/>
    </w:rPr>
  </w:style>
  <w:style w:type="paragraph" w:customStyle="1" w:styleId="affffffffffffffffd">
    <w:name w:val="附件名"/>
    <w:qFormat/>
    <w:pPr>
      <w:jc w:val="center"/>
    </w:pPr>
    <w:rPr>
      <w:rFonts w:eastAsia="黑体"/>
      <w:sz w:val="36"/>
    </w:rPr>
  </w:style>
  <w:style w:type="paragraph" w:customStyle="1" w:styleId="1fffb">
    <w:name w:val="正文缩进1"/>
    <w:basedOn w:val="a6"/>
    <w:qFormat/>
    <w:pPr>
      <w:ind w:firstLine="420"/>
    </w:pPr>
    <w:rPr>
      <w:snapToGrid w:val="0"/>
      <w:kern w:val="0"/>
      <w:sz w:val="28"/>
      <w:szCs w:val="20"/>
    </w:rPr>
  </w:style>
  <w:style w:type="paragraph" w:customStyle="1" w:styleId="1fffc">
    <w:name w:val="签名1"/>
    <w:basedOn w:val="a6"/>
    <w:qFormat/>
    <w:pPr>
      <w:ind w:leftChars="2100" w:left="100"/>
    </w:pPr>
  </w:style>
  <w:style w:type="paragraph" w:customStyle="1" w:styleId="xl978">
    <w:name w:val="xl97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ffffffffffffffe">
    <w:name w:val="标题三！"/>
    <w:basedOn w:val="33"/>
    <w:qFormat/>
    <w:pPr>
      <w:keepNext w:val="0"/>
      <w:keepLines w:val="0"/>
      <w:widowControl/>
      <w:adjustRightInd w:val="0"/>
      <w:snapToGrid w:val="0"/>
      <w:spacing w:line="500" w:lineRule="exact"/>
      <w:jc w:val="left"/>
    </w:pPr>
    <w:rPr>
      <w:rFonts w:ascii="宋体" w:eastAsia="宋体" w:hAnsi="宋体" w:cs="宋体"/>
      <w:b/>
      <w:spacing w:val="0"/>
      <w:szCs w:val="28"/>
    </w:rPr>
  </w:style>
  <w:style w:type="paragraph" w:customStyle="1" w:styleId="Blockquote">
    <w:name w:val="Blockquote"/>
    <w:basedOn w:val="a6"/>
    <w:qFormat/>
    <w:pPr>
      <w:widowControl/>
      <w:autoSpaceDE w:val="0"/>
      <w:autoSpaceDN w:val="0"/>
      <w:adjustRightInd w:val="0"/>
      <w:spacing w:before="100" w:after="100"/>
      <w:ind w:left="360" w:right="360"/>
      <w:jc w:val="left"/>
    </w:pPr>
    <w:rPr>
      <w:rFonts w:cs="宋体"/>
      <w:kern w:val="0"/>
      <w:sz w:val="24"/>
      <w:szCs w:val="20"/>
    </w:rPr>
  </w:style>
  <w:style w:type="paragraph" w:customStyle="1" w:styleId="afffffffffffffffff">
    <w:name w:val="表格文字，居中"/>
    <w:basedOn w:val="affc"/>
    <w:qFormat/>
    <w:pPr>
      <w:tabs>
        <w:tab w:val="left" w:pos="628"/>
        <w:tab w:val="left" w:pos="1727"/>
        <w:tab w:val="left" w:pos="1884"/>
      </w:tabs>
      <w:spacing w:line="300" w:lineRule="auto"/>
      <w:ind w:firstLine="0"/>
      <w:outlineLvl w:val="0"/>
    </w:pPr>
    <w:rPr>
      <w:bCs w:val="0"/>
      <w:spacing w:val="0"/>
      <w:kern w:val="2"/>
      <w:sz w:val="24"/>
      <w:szCs w:val="20"/>
    </w:rPr>
  </w:style>
  <w:style w:type="paragraph" w:customStyle="1" w:styleId="afffffffffffffffff0">
    <w:name w:val="表格文字（居中）"/>
    <w:basedOn w:val="a6"/>
    <w:qFormat/>
    <w:pPr>
      <w:jc w:val="center"/>
    </w:pPr>
    <w:rPr>
      <w:szCs w:val="21"/>
    </w:rPr>
  </w:style>
  <w:style w:type="paragraph" w:customStyle="1" w:styleId="31113CharChar3Char3-31111">
    <w:name w:val="样式 样式 标题 31.1.1条标题 3 Char Char标题 3 Char标3可研-标题 3§1.1.1.. (1... +..."/>
    <w:basedOn w:val="a6"/>
    <w:qFormat/>
    <w:pPr>
      <w:keepNext/>
      <w:keepLines/>
      <w:widowControl/>
      <w:numPr>
        <w:ilvl w:val="2"/>
        <w:numId w:val="9"/>
      </w:numPr>
      <w:spacing w:line="360" w:lineRule="auto"/>
      <w:jc w:val="left"/>
      <w:outlineLvl w:val="2"/>
    </w:pPr>
    <w:rPr>
      <w:rFonts w:ascii="宋体" w:hAnsi="宋体" w:cs="宋体"/>
      <w:color w:val="000000"/>
      <w:kern w:val="0"/>
      <w:sz w:val="28"/>
      <w:szCs w:val="32"/>
    </w:rPr>
  </w:style>
  <w:style w:type="paragraph" w:customStyle="1" w:styleId="CM6">
    <w:name w:val="CM6"/>
    <w:basedOn w:val="Default"/>
    <w:next w:val="Default"/>
    <w:qFormat/>
    <w:pPr>
      <w:spacing w:line="623" w:lineRule="atLeast"/>
    </w:pPr>
    <w:rPr>
      <w:rFonts w:ascii="黑体" w:eastAsia="黑体"/>
      <w:color w:val="auto"/>
    </w:rPr>
  </w:style>
  <w:style w:type="paragraph" w:customStyle="1" w:styleId="CharCharffffff">
    <w:name w:val="文本匡小五号 Char Char"/>
    <w:qFormat/>
    <w:pPr>
      <w:jc w:val="center"/>
    </w:pPr>
    <w:rPr>
      <w:rFonts w:eastAsia="仿宋_GB2312"/>
      <w:sz w:val="18"/>
      <w:szCs w:val="24"/>
    </w:rPr>
  </w:style>
  <w:style w:type="paragraph" w:customStyle="1" w:styleId="5f3">
    <w:name w:val="右5"/>
    <w:basedOn w:val="a6"/>
    <w:qFormat/>
    <w:pPr>
      <w:adjustRightInd w:val="0"/>
      <w:snapToGrid w:val="0"/>
      <w:spacing w:line="360" w:lineRule="auto"/>
      <w:ind w:left="42"/>
      <w:jc w:val="right"/>
    </w:pPr>
    <w:rPr>
      <w:rFonts w:ascii="宋体" w:hAnsi="宋体"/>
      <w:color w:val="000080"/>
      <w:kern w:val="28"/>
      <w:sz w:val="18"/>
      <w:szCs w:val="18"/>
    </w:rPr>
  </w:style>
  <w:style w:type="paragraph" w:customStyle="1" w:styleId="NewNewNewNewNew">
    <w:name w:val="正文 New New New New New"/>
    <w:qFormat/>
    <w:pPr>
      <w:widowControl w:val="0"/>
      <w:adjustRightInd w:val="0"/>
      <w:snapToGrid w:val="0"/>
      <w:spacing w:line="360" w:lineRule="auto"/>
      <w:jc w:val="both"/>
    </w:pPr>
    <w:rPr>
      <w:snapToGrid w:val="0"/>
      <w:sz w:val="24"/>
    </w:rPr>
  </w:style>
  <w:style w:type="paragraph" w:customStyle="1" w:styleId="CharCharChar1CharCharCharCharCharCharChar3">
    <w:name w:val="Char Char Char1 Char Char Char Char Char Char Char3"/>
    <w:basedOn w:val="a6"/>
    <w:qFormat/>
    <w:rPr>
      <w:kern w:val="0"/>
      <w:sz w:val="24"/>
      <w:szCs w:val="20"/>
    </w:rPr>
  </w:style>
  <w:style w:type="paragraph" w:customStyle="1" w:styleId="dandan6-131">
    <w:name w:val="dandan6-13正文"/>
    <w:basedOn w:val="a6"/>
    <w:next w:val="a6"/>
    <w:qFormat/>
    <w:pPr>
      <w:keepNext/>
      <w:keepLines/>
      <w:widowControl/>
      <w:adjustRightInd w:val="0"/>
      <w:spacing w:before="40" w:after="40" w:line="360" w:lineRule="auto"/>
      <w:ind w:firstLineChars="200" w:firstLine="200"/>
      <w:textAlignment w:val="baseline"/>
    </w:pPr>
    <w:rPr>
      <w:rFonts w:ascii="宋体"/>
      <w:kern w:val="0"/>
      <w:sz w:val="24"/>
      <w:szCs w:val="20"/>
    </w:rPr>
  </w:style>
  <w:style w:type="paragraph" w:customStyle="1" w:styleId="12CharCharCharCharCharCharChar">
    <w:name w:val="12 Char Char Char Char Char Char Char"/>
    <w:basedOn w:val="a6"/>
    <w:qFormat/>
    <w:pPr>
      <w:spacing w:line="360" w:lineRule="auto"/>
      <w:ind w:firstLineChars="200" w:firstLine="200"/>
      <w:jc w:val="left"/>
    </w:pPr>
    <w:rPr>
      <w:rFonts w:ascii="宋体" w:hAnsi="宋体"/>
      <w:position w:val="-6"/>
      <w:sz w:val="28"/>
      <w:szCs w:val="20"/>
      <w:u w:val="single"/>
    </w:rPr>
  </w:style>
  <w:style w:type="paragraph" w:customStyle="1" w:styleId="afffffffffffffffff1">
    <w:name w:val="正文新"/>
    <w:basedOn w:val="afc"/>
    <w:qFormat/>
    <w:pPr>
      <w:spacing w:line="300" w:lineRule="auto"/>
      <w:ind w:firstLineChars="0" w:firstLine="510"/>
    </w:pPr>
    <w:rPr>
      <w:rFonts w:eastAsia="宋体" w:hAnsi="Arial"/>
      <w:snapToGrid w:val="0"/>
      <w:color w:val="auto"/>
      <w:spacing w:val="0"/>
      <w:kern w:val="0"/>
      <w:sz w:val="24"/>
      <w:szCs w:val="20"/>
    </w:rPr>
  </w:style>
  <w:style w:type="paragraph" w:customStyle="1" w:styleId="099">
    <w:name w:val="样式 正文首行缩进 + 左侧:  0.99 厘米"/>
    <w:basedOn w:val="affc"/>
    <w:qFormat/>
    <w:pPr>
      <w:widowControl/>
      <w:tabs>
        <w:tab w:val="left" w:pos="628"/>
      </w:tabs>
      <w:spacing w:line="264" w:lineRule="auto"/>
      <w:ind w:firstLine="560"/>
    </w:pPr>
    <w:rPr>
      <w:rFonts w:cs="宋体"/>
      <w:color w:val="000000"/>
      <w:spacing w:val="0"/>
      <w:kern w:val="0"/>
      <w:sz w:val="24"/>
      <w:szCs w:val="28"/>
    </w:rPr>
  </w:style>
  <w:style w:type="paragraph" w:customStyle="1" w:styleId="afffffffffffffffff2">
    <w:name w:val="公式"/>
    <w:basedOn w:val="a6"/>
    <w:qFormat/>
    <w:pPr>
      <w:adjustRightInd w:val="0"/>
      <w:spacing w:line="288" w:lineRule="auto"/>
      <w:jc w:val="center"/>
      <w:textAlignment w:val="baseline"/>
    </w:pPr>
    <w:rPr>
      <w:kern w:val="0"/>
      <w:sz w:val="24"/>
    </w:rPr>
  </w:style>
  <w:style w:type="paragraph" w:customStyle="1" w:styleId="xl1012">
    <w:name w:val="xl1012"/>
    <w:basedOn w:val="a6"/>
    <w:qFormat/>
    <w:pPr>
      <w:widowControl/>
      <w:pBdr>
        <w:top w:val="single" w:sz="4" w:space="0" w:color="auto"/>
        <w:left w:val="single" w:sz="4" w:space="0" w:color="auto"/>
        <w:bottom w:val="single" w:sz="4" w:space="0" w:color="auto"/>
      </w:pBdr>
      <w:spacing w:before="100" w:beforeAutospacing="1" w:after="100" w:afterAutospacing="1"/>
      <w:jc w:val="center"/>
    </w:pPr>
    <w:rPr>
      <w:rFonts w:ascii="Arial" w:hAnsi="Arial" w:cs="Arial"/>
      <w:kern w:val="0"/>
      <w:sz w:val="18"/>
      <w:szCs w:val="18"/>
    </w:rPr>
  </w:style>
  <w:style w:type="paragraph" w:customStyle="1" w:styleId="p18">
    <w:name w:val="p18"/>
    <w:basedOn w:val="a6"/>
    <w:qFormat/>
    <w:pPr>
      <w:widowControl/>
      <w:spacing w:line="480" w:lineRule="exact"/>
      <w:ind w:firstLineChars="200" w:firstLine="200"/>
      <w:jc w:val="left"/>
    </w:pPr>
    <w:rPr>
      <w:kern w:val="0"/>
      <w:sz w:val="24"/>
      <w:szCs w:val="20"/>
    </w:rPr>
  </w:style>
  <w:style w:type="paragraph" w:customStyle="1" w:styleId="1111111111111">
    <w:name w:val="表头1111111111111"/>
    <w:basedOn w:val="a6"/>
    <w:qFormat/>
    <w:pPr>
      <w:keepNext/>
      <w:spacing w:line="360" w:lineRule="auto"/>
      <w:jc w:val="center"/>
    </w:pPr>
    <w:rPr>
      <w:rFonts w:ascii="黑体" w:eastAsia="黑体" w:hAnsi="Arial" w:cs="Arial"/>
      <w:b/>
      <w:sz w:val="28"/>
      <w:szCs w:val="28"/>
    </w:rPr>
  </w:style>
  <w:style w:type="paragraph" w:customStyle="1" w:styleId="0772043">
    <w:name w:val="样式 首行缩进:  0.77 厘米 行距: 固定值 20 磅43"/>
    <w:basedOn w:val="a6"/>
    <w:qFormat/>
    <w:pPr>
      <w:spacing w:line="360" w:lineRule="auto"/>
      <w:ind w:firstLineChars="200" w:firstLine="480"/>
    </w:pPr>
    <w:rPr>
      <w:rFonts w:ascii="宋体" w:hAnsi="宋体"/>
      <w:color w:val="000000"/>
      <w:kern w:val="0"/>
      <w:sz w:val="24"/>
      <w:szCs w:val="20"/>
    </w:rPr>
  </w:style>
  <w:style w:type="paragraph" w:customStyle="1" w:styleId="Char1CharCharCharCharCharCharCharCharChar">
    <w:name w:val="Char1 Char Char Char Char Char Char Char Char Char"/>
    <w:basedOn w:val="a6"/>
    <w:qFormat/>
    <w:rPr>
      <w:rFonts w:ascii="Tahoma" w:hAnsi="Tahoma"/>
      <w:sz w:val="24"/>
      <w:szCs w:val="20"/>
    </w:rPr>
  </w:style>
  <w:style w:type="paragraph" w:customStyle="1" w:styleId="Style82">
    <w:name w:val="Style82"/>
    <w:basedOn w:val="a6"/>
    <w:qFormat/>
    <w:pPr>
      <w:adjustRightInd w:val="0"/>
      <w:jc w:val="left"/>
    </w:pPr>
    <w:rPr>
      <w:rFonts w:ascii="宋体"/>
      <w:kern w:val="0"/>
      <w:sz w:val="24"/>
      <w:szCs w:val="20"/>
    </w:rPr>
  </w:style>
  <w:style w:type="paragraph" w:customStyle="1" w:styleId="afffffffffffffffff3">
    <w:name w:val="环保节标题"/>
    <w:basedOn w:val="a6"/>
    <w:qFormat/>
    <w:pPr>
      <w:keepNext/>
      <w:keepLines/>
      <w:adjustRightInd w:val="0"/>
      <w:spacing w:before="260" w:after="260" w:line="416" w:lineRule="atLeast"/>
      <w:ind w:firstLineChars="200" w:firstLine="200"/>
      <w:jc w:val="left"/>
      <w:textAlignment w:val="baseline"/>
      <w:outlineLvl w:val="2"/>
    </w:pPr>
    <w:rPr>
      <w:rFonts w:eastAsia="汉鼎简书宋"/>
      <w:kern w:val="0"/>
      <w:sz w:val="24"/>
    </w:rPr>
  </w:style>
  <w:style w:type="paragraph" w:customStyle="1" w:styleId="4f6">
    <w:name w:val="文档结构图4"/>
    <w:basedOn w:val="a6"/>
    <w:qFormat/>
    <w:pPr>
      <w:shd w:val="clear" w:color="auto" w:fill="000080"/>
      <w:tabs>
        <w:tab w:val="left" w:pos="480"/>
        <w:tab w:val="left" w:pos="1680"/>
        <w:tab w:val="left" w:pos="3960"/>
        <w:tab w:val="left" w:pos="5400"/>
        <w:tab w:val="left" w:pos="6840"/>
      </w:tabs>
      <w:adjustRightInd w:val="0"/>
      <w:spacing w:line="240" w:lineRule="atLeast"/>
      <w:ind w:firstLine="482"/>
      <w:jc w:val="left"/>
      <w:textAlignment w:val="baseline"/>
    </w:pPr>
    <w:rPr>
      <w:rFonts w:eastAsia="创艺简楷体"/>
      <w:kern w:val="0"/>
      <w:sz w:val="28"/>
      <w:szCs w:val="20"/>
    </w:rPr>
  </w:style>
  <w:style w:type="paragraph" w:customStyle="1" w:styleId="610">
    <w:name w:val="标题 61"/>
    <w:basedOn w:val="a6"/>
    <w:next w:val="a6"/>
    <w:qFormat/>
    <w:pPr>
      <w:keepNext/>
      <w:keepLines/>
      <w:adjustRightInd w:val="0"/>
      <w:spacing w:before="240" w:after="64" w:line="320" w:lineRule="atLeast"/>
      <w:textAlignment w:val="baseline"/>
      <w:outlineLvl w:val="5"/>
    </w:pPr>
    <w:rPr>
      <w:rFonts w:ascii="Arial" w:eastAsia="黑体" w:hAnsi="Arial"/>
      <w:b/>
      <w:color w:val="000000"/>
      <w:w w:val="110"/>
      <w:kern w:val="0"/>
      <w:sz w:val="24"/>
      <w:szCs w:val="20"/>
    </w:rPr>
  </w:style>
  <w:style w:type="paragraph" w:customStyle="1" w:styleId="5f4">
    <w:name w:val="纯文本5"/>
    <w:basedOn w:val="a6"/>
    <w:qFormat/>
    <w:pPr>
      <w:adjustRightInd w:val="0"/>
      <w:jc w:val="left"/>
      <w:textAlignment w:val="baseline"/>
    </w:pPr>
    <w:rPr>
      <w:rFonts w:ascii="宋体"/>
      <w:kern w:val="0"/>
      <w:sz w:val="24"/>
      <w:szCs w:val="20"/>
    </w:rPr>
  </w:style>
  <w:style w:type="paragraph" w:customStyle="1" w:styleId="afffffffffffffffff4">
    <w:name w:val="题注图名"/>
    <w:basedOn w:val="a6"/>
    <w:qFormat/>
    <w:pPr>
      <w:spacing w:after="120" w:line="300" w:lineRule="auto"/>
      <w:jc w:val="center"/>
    </w:pPr>
    <w:rPr>
      <w:rFonts w:eastAsia="仿宋_GB2312"/>
      <w:b/>
      <w:bCs/>
      <w:szCs w:val="20"/>
      <w:lang w:val="zh-CN"/>
    </w:rPr>
  </w:style>
  <w:style w:type="paragraph" w:customStyle="1" w:styleId="GB23121052">
    <w:name w:val="样式 样式 环评正文 + (西文) 仿宋_GB2312 (中文) 宋体 10.5 磅 首行缩进:  2 字符 + 首行缩进:  ..."/>
    <w:basedOn w:val="a6"/>
    <w:qFormat/>
    <w:pPr>
      <w:spacing w:line="400" w:lineRule="exact"/>
      <w:ind w:firstLineChars="200" w:firstLine="200"/>
    </w:pPr>
    <w:rPr>
      <w:rFonts w:ascii="仿宋_GB2312" w:hAnsi="仿宋_GB2312"/>
      <w:sz w:val="24"/>
      <w:szCs w:val="20"/>
    </w:rPr>
  </w:style>
  <w:style w:type="paragraph" w:customStyle="1" w:styleId="6CharCharCharCharCharChar1Char">
    <w:name w:val="6 Char Char Char Char Char Char1 Char"/>
    <w:basedOn w:val="a6"/>
    <w:qFormat/>
  </w:style>
  <w:style w:type="paragraph" w:customStyle="1" w:styleId="CharCharCharCharCharCharCharCharCharCharCharCharCharCharCharCharCharCharCharCharCharCharCharCharCharCharCharCharCharCharCharCharCharCharCharCharCharCharChar3">
    <w:name w:val="Char Char Char Char Char Char Char Char Char Char Char Char Char Char Char Char Char Char Char Char Char Char Char Char Char Char Char Char Char Char Char Char Char Char Char Char Char Char Char3"/>
    <w:basedOn w:val="a6"/>
    <w:qFormat/>
  </w:style>
  <w:style w:type="paragraph" w:customStyle="1" w:styleId="xl55">
    <w:name w:val="xl55"/>
    <w:basedOn w:val="a6"/>
    <w:qFormat/>
    <w:pPr>
      <w:widowControl/>
      <w:pBdr>
        <w:bottom w:val="single" w:sz="4" w:space="0" w:color="auto"/>
      </w:pBdr>
      <w:spacing w:before="100" w:beforeAutospacing="1" w:after="100" w:afterAutospacing="1"/>
      <w:jc w:val="center"/>
      <w:textAlignment w:val="center"/>
    </w:pPr>
    <w:rPr>
      <w:rFonts w:ascii="宋体" w:hAnsi="宋体" w:hint="eastAsia"/>
      <w:b/>
      <w:bCs/>
      <w:kern w:val="0"/>
      <w:sz w:val="24"/>
    </w:rPr>
  </w:style>
  <w:style w:type="paragraph" w:customStyle="1" w:styleId="xl76">
    <w:name w:val="xl76"/>
    <w:basedOn w:val="a6"/>
    <w:qFormat/>
    <w:pPr>
      <w:widowControl/>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left"/>
      <w:textAlignment w:val="center"/>
    </w:pPr>
    <w:rPr>
      <w:rFonts w:ascii="宋体" w:hAnsi="宋体" w:cs="宋体"/>
      <w:b/>
      <w:bCs/>
      <w:kern w:val="0"/>
      <w:sz w:val="20"/>
      <w:szCs w:val="20"/>
    </w:rPr>
  </w:style>
  <w:style w:type="paragraph" w:customStyle="1" w:styleId="xl106">
    <w:name w:val="xl106"/>
    <w:basedOn w:val="a6"/>
    <w:qFormat/>
    <w:pPr>
      <w:widowControl/>
      <w:pBdr>
        <w:top w:val="single" w:sz="4" w:space="0" w:color="auto"/>
        <w:left w:val="single" w:sz="4" w:space="0" w:color="auto"/>
        <w:bottom w:val="single" w:sz="4" w:space="0" w:color="auto"/>
      </w:pBdr>
      <w:shd w:val="clear" w:color="000000" w:fill="FFFF99"/>
      <w:spacing w:before="100" w:beforeAutospacing="1" w:after="100" w:afterAutospacing="1"/>
      <w:jc w:val="left"/>
      <w:textAlignment w:val="center"/>
    </w:pPr>
    <w:rPr>
      <w:rFonts w:ascii="宋体" w:hAnsi="宋体" w:cs="宋体"/>
      <w:kern w:val="0"/>
      <w:sz w:val="20"/>
      <w:szCs w:val="20"/>
    </w:rPr>
  </w:style>
  <w:style w:type="paragraph" w:customStyle="1" w:styleId="CharChar1CharCharCharCharCharChar1">
    <w:name w:val="Char Char1 Char Char Char Char Char Char1"/>
    <w:basedOn w:val="a6"/>
    <w:qFormat/>
  </w:style>
  <w:style w:type="paragraph" w:customStyle="1" w:styleId="afffffffffffffffff5">
    <w:name w:val="样式(a)"/>
    <w:basedOn w:val="a6"/>
    <w:qFormat/>
    <w:pPr>
      <w:widowControl/>
      <w:ind w:firstLineChars="200" w:firstLine="560"/>
      <w:jc w:val="left"/>
    </w:pPr>
    <w:rPr>
      <w:rFonts w:ascii="宋体" w:hAnsi="宋体" w:cs="宋体"/>
      <w:kern w:val="0"/>
      <w:sz w:val="28"/>
      <w:szCs w:val="20"/>
    </w:rPr>
  </w:style>
  <w:style w:type="paragraph" w:customStyle="1" w:styleId="CharCharChar15">
    <w:name w:val="Char Char Char15"/>
    <w:basedOn w:val="a6"/>
    <w:qFormat/>
    <w:rPr>
      <w:sz w:val="30"/>
    </w:rPr>
  </w:style>
  <w:style w:type="paragraph" w:customStyle="1" w:styleId="CharChar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Char Char"/>
    <w:basedOn w:val="a6"/>
    <w:qFormat/>
  </w:style>
  <w:style w:type="paragraph" w:customStyle="1" w:styleId="afffffffffffffffff6">
    <w:name w:val="四级标题王"/>
    <w:basedOn w:val="a6"/>
    <w:qFormat/>
    <w:pPr>
      <w:adjustRightInd w:val="0"/>
      <w:snapToGrid w:val="0"/>
      <w:spacing w:line="360" w:lineRule="auto"/>
      <w:outlineLvl w:val="3"/>
    </w:pPr>
    <w:rPr>
      <w:rFonts w:ascii="黑体" w:eastAsia="黑体"/>
      <w:bCs/>
      <w:color w:val="000000"/>
      <w:w w:val="110"/>
      <w:kern w:val="0"/>
      <w:sz w:val="24"/>
      <w:szCs w:val="28"/>
    </w:rPr>
  </w:style>
  <w:style w:type="paragraph" w:customStyle="1" w:styleId="reader-word-layerreader-word-s1-8reader-word-s1-13">
    <w:name w:val="reader-word-layer reader-word-s1-8 reader-word-s1-13"/>
    <w:basedOn w:val="a6"/>
    <w:qFormat/>
    <w:pPr>
      <w:widowControl/>
      <w:spacing w:before="100" w:beforeAutospacing="1" w:after="100" w:afterAutospacing="1"/>
      <w:jc w:val="left"/>
    </w:pPr>
    <w:rPr>
      <w:rFonts w:ascii="宋体" w:hAnsi="宋体" w:cs="宋体"/>
      <w:kern w:val="0"/>
      <w:sz w:val="24"/>
    </w:rPr>
  </w:style>
  <w:style w:type="paragraph" w:customStyle="1" w:styleId="CharCharChar1CharCharCharChar4">
    <w:name w:val="Char Char Char1 Char Char Char Char4"/>
    <w:basedOn w:val="a6"/>
    <w:next w:val="a6"/>
    <w:qFormat/>
    <w:pPr>
      <w:spacing w:line="360" w:lineRule="auto"/>
      <w:ind w:firstLineChars="200" w:firstLine="200"/>
    </w:pPr>
    <w:rPr>
      <w:rFonts w:ascii="宋体" w:eastAsia="汉鼎简书宋" w:hAnsi="宋体" w:cs="宋体"/>
      <w:sz w:val="24"/>
    </w:rPr>
  </w:style>
  <w:style w:type="paragraph" w:customStyle="1" w:styleId="zz2">
    <w:name w:val="zz标题2"/>
    <w:basedOn w:val="a6"/>
    <w:qFormat/>
    <w:pPr>
      <w:widowControl/>
      <w:spacing w:line="288" w:lineRule="auto"/>
      <w:jc w:val="center"/>
    </w:pPr>
    <w:rPr>
      <w:rFonts w:ascii="黑体" w:eastAsia="黑体" w:hAnsi="宋体" w:cs="宋体"/>
      <w:b/>
      <w:bCs/>
      <w:color w:val="000000"/>
      <w:spacing w:val="10"/>
      <w:kern w:val="0"/>
      <w:sz w:val="36"/>
      <w:szCs w:val="44"/>
    </w:rPr>
  </w:style>
  <w:style w:type="paragraph" w:customStyle="1" w:styleId="CharCharCharCharCharCharCharCharCharCharCharCharCharCharCharCharCharCharCharCharCharCharCharCharCharCharCharCharCharCharCharCharCharCharCharCharCharCharCharCharCharChar3">
    <w:name w:val="Char Char Char Char Char Char Char Char Char Char Char Char Char Char Char Char Char Char Char Char Char Char Char Char Char Char Char Char Char Char Char Char Char Char Char Char Char Char Char Char Char Char3"/>
    <w:basedOn w:val="a6"/>
    <w:qFormat/>
    <w:rPr>
      <w:color w:val="000000"/>
      <w:w w:val="110"/>
      <w:kern w:val="0"/>
      <w:sz w:val="24"/>
      <w:szCs w:val="20"/>
    </w:rPr>
  </w:style>
  <w:style w:type="paragraph" w:customStyle="1" w:styleId="CM93">
    <w:name w:val="CM93"/>
    <w:basedOn w:val="Default"/>
    <w:next w:val="Default"/>
    <w:qFormat/>
    <w:pPr>
      <w:spacing w:after="453"/>
    </w:pPr>
    <w:rPr>
      <w:rFonts w:ascii="黑体" w:eastAsia="黑体"/>
      <w:color w:val="auto"/>
    </w:rPr>
  </w:style>
  <w:style w:type="paragraph" w:customStyle="1" w:styleId="ParaCharCharCharChar">
    <w:name w:val="默认段落字体 Para Char Char Char Char"/>
    <w:basedOn w:val="a6"/>
    <w:qFormat/>
  </w:style>
  <w:style w:type="paragraph" w:customStyle="1" w:styleId="afffffffffffffffff7">
    <w:name w:val="首页页眉样式"/>
    <w:basedOn w:val="a6"/>
    <w:qFormat/>
    <w:pPr>
      <w:widowControl/>
      <w:spacing w:line="240" w:lineRule="exact"/>
    </w:pPr>
    <w:rPr>
      <w:rFonts w:ascii="宋体" w:hAnsi="宋体"/>
      <w:kern w:val="0"/>
      <w:sz w:val="24"/>
      <w:szCs w:val="20"/>
    </w:rPr>
  </w:style>
  <w:style w:type="paragraph" w:customStyle="1" w:styleId="Char8CharCharCharCharChar">
    <w:name w:val="Char8 Char Char Char Char Char"/>
    <w:basedOn w:val="a6"/>
    <w:qFormat/>
    <w:pPr>
      <w:widowControl/>
      <w:spacing w:after="160" w:line="240" w:lineRule="exact"/>
      <w:jc w:val="left"/>
    </w:pPr>
    <w:rPr>
      <w:rFonts w:ascii="Arial" w:eastAsia="Times New Roman" w:hAnsi="Arial" w:cs="Verdana"/>
      <w:b/>
      <w:kern w:val="0"/>
      <w:sz w:val="24"/>
      <w:lang w:eastAsia="en-US"/>
    </w:rPr>
  </w:style>
  <w:style w:type="paragraph" w:customStyle="1" w:styleId="67">
    <w:name w:val="日期6"/>
    <w:basedOn w:val="a6"/>
    <w:next w:val="a6"/>
    <w:qFormat/>
    <w:pPr>
      <w:adjustRightInd w:val="0"/>
      <w:spacing w:line="240" w:lineRule="atLeast"/>
      <w:jc w:val="left"/>
      <w:textAlignment w:val="baseline"/>
    </w:pPr>
    <w:rPr>
      <w:rFonts w:ascii="宋体"/>
      <w:kern w:val="0"/>
      <w:sz w:val="28"/>
      <w:szCs w:val="20"/>
    </w:rPr>
  </w:style>
  <w:style w:type="paragraph" w:customStyle="1" w:styleId="4f7">
    <w:name w:val="纯文本4"/>
    <w:basedOn w:val="a6"/>
    <w:qFormat/>
    <w:pPr>
      <w:adjustRightInd w:val="0"/>
      <w:textAlignment w:val="baseline"/>
    </w:pPr>
    <w:rPr>
      <w:rFonts w:ascii="宋体" w:hAnsi="Courier New"/>
      <w:color w:val="000000"/>
      <w:kern w:val="0"/>
      <w:szCs w:val="20"/>
    </w:rPr>
  </w:style>
  <w:style w:type="paragraph" w:customStyle="1" w:styleId="xl986">
    <w:name w:val="xl986"/>
    <w:basedOn w:val="a6"/>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afffffffffffffffff8">
    <w:name w:val="可研报告正文"/>
    <w:basedOn w:val="a6"/>
    <w:qFormat/>
    <w:pPr>
      <w:tabs>
        <w:tab w:val="left" w:pos="5880"/>
      </w:tabs>
      <w:spacing w:beforeLines="50" w:line="440" w:lineRule="exact"/>
      <w:ind w:left="425" w:firstLine="482"/>
    </w:pPr>
    <w:rPr>
      <w:sz w:val="24"/>
    </w:rPr>
  </w:style>
  <w:style w:type="paragraph" w:customStyle="1" w:styleId="xl41">
    <w:name w:val="xl41"/>
    <w:basedOn w:val="a6"/>
    <w:qFormat/>
    <w:pPr>
      <w:widowControl/>
      <w:pBdr>
        <w:left w:val="single" w:sz="4" w:space="0" w:color="auto"/>
        <w:bottom w:val="single" w:sz="4" w:space="0" w:color="auto"/>
        <w:right w:val="single" w:sz="4" w:space="0" w:color="auto"/>
      </w:pBdr>
      <w:spacing w:before="100" w:after="100"/>
      <w:jc w:val="center"/>
      <w:textAlignment w:val="center"/>
    </w:pPr>
    <w:rPr>
      <w:kern w:val="0"/>
      <w:szCs w:val="20"/>
    </w:rPr>
  </w:style>
  <w:style w:type="paragraph" w:customStyle="1" w:styleId="afffffffffffffffff9">
    <w:name w:val="文本框五号"/>
    <w:qFormat/>
    <w:pPr>
      <w:adjustRightInd w:val="0"/>
      <w:spacing w:line="240" w:lineRule="atLeast"/>
      <w:jc w:val="center"/>
    </w:pPr>
    <w:rPr>
      <w:rFonts w:eastAsia="仿宋_GB2312"/>
      <w:snapToGrid w:val="0"/>
      <w:kern w:val="2"/>
      <w:sz w:val="21"/>
      <w:szCs w:val="21"/>
    </w:rPr>
  </w:style>
  <w:style w:type="paragraph" w:customStyle="1" w:styleId="afffffffffffffffffa">
    <w:name w:val="编制人员"/>
    <w:basedOn w:val="a6"/>
    <w:qFormat/>
    <w:pPr>
      <w:keepNext/>
      <w:widowControl/>
      <w:snapToGrid w:val="0"/>
      <w:spacing w:line="300" w:lineRule="auto"/>
      <w:jc w:val="center"/>
    </w:pPr>
    <w:rPr>
      <w:rFonts w:ascii="黑体" w:eastAsia="黑体" w:cs="宋体"/>
      <w:kern w:val="0"/>
      <w:sz w:val="32"/>
      <w:szCs w:val="20"/>
    </w:rPr>
  </w:style>
  <w:style w:type="paragraph" w:customStyle="1" w:styleId="reader-word-layerreader-word-s4-8reader-word-s4-14">
    <w:name w:val="reader-word-layer reader-word-s4-8 reader-word-s4-14"/>
    <w:basedOn w:val="a6"/>
    <w:qFormat/>
    <w:pPr>
      <w:widowControl/>
      <w:spacing w:before="100" w:beforeAutospacing="1" w:after="100" w:afterAutospacing="1"/>
      <w:jc w:val="left"/>
    </w:pPr>
    <w:rPr>
      <w:rFonts w:ascii="宋体" w:hAnsi="宋体" w:cs="宋体"/>
      <w:kern w:val="0"/>
      <w:sz w:val="24"/>
    </w:rPr>
  </w:style>
  <w:style w:type="paragraph" w:customStyle="1" w:styleId="reader-word-layerreader-word-s1-72">
    <w:name w:val="reader-word-layer reader-word-s1-72"/>
    <w:basedOn w:val="a6"/>
    <w:qFormat/>
    <w:pPr>
      <w:widowControl/>
      <w:spacing w:before="100" w:beforeAutospacing="1" w:after="100" w:afterAutospacing="1"/>
      <w:jc w:val="left"/>
    </w:pPr>
    <w:rPr>
      <w:rFonts w:ascii="宋体" w:hAnsi="宋体" w:cs="宋体"/>
      <w:kern w:val="0"/>
      <w:sz w:val="24"/>
    </w:rPr>
  </w:style>
  <w:style w:type="paragraph" w:customStyle="1" w:styleId="5f5">
    <w:name w:val="表名5"/>
    <w:basedOn w:val="affffffa"/>
    <w:qFormat/>
    <w:pPr>
      <w:tabs>
        <w:tab w:val="left" w:pos="360"/>
      </w:tabs>
      <w:snapToGrid/>
      <w:spacing w:before="240"/>
      <w:ind w:left="425" w:hanging="425"/>
      <w:jc w:val="left"/>
    </w:pPr>
    <w:rPr>
      <w:rFonts w:ascii="Calibri" w:eastAsia="黑体" w:hAnsi="Calibri"/>
      <w:sz w:val="24"/>
      <w:szCs w:val="20"/>
    </w:rPr>
  </w:style>
  <w:style w:type="paragraph" w:customStyle="1" w:styleId="afffffffffffffffffb">
    <w:name w:val="表－居中列"/>
    <w:basedOn w:val="a6"/>
    <w:qFormat/>
    <w:pPr>
      <w:adjustRightInd w:val="0"/>
      <w:snapToGrid w:val="0"/>
      <w:spacing w:line="320" w:lineRule="exact"/>
      <w:jc w:val="center"/>
    </w:pPr>
    <w:rPr>
      <w:rFonts w:ascii="楷体_GB2312" w:eastAsia="楷体_GB2312" w:cs="Arial"/>
      <w:snapToGrid w:val="0"/>
      <w:spacing w:val="-20"/>
      <w:kern w:val="0"/>
      <w:szCs w:val="21"/>
      <w:lang w:eastAsia="ja-JP"/>
    </w:rPr>
  </w:style>
  <w:style w:type="paragraph" w:customStyle="1" w:styleId="CharCharCharCharCharCharCharCharCharCharCharChar1Char">
    <w:name w:val="Char Char Char Char Char Char Char Char Char Char Char Char1 Char"/>
    <w:basedOn w:val="a6"/>
    <w:next w:val="a6"/>
    <w:qFormat/>
    <w:pPr>
      <w:spacing w:line="360" w:lineRule="auto"/>
      <w:ind w:firstLineChars="200" w:firstLine="200"/>
    </w:pPr>
    <w:rPr>
      <w:rFonts w:ascii="宋体" w:hAnsi="宋体" w:cs="宋体"/>
      <w:color w:val="000000"/>
      <w:w w:val="110"/>
      <w:kern w:val="0"/>
      <w:sz w:val="24"/>
    </w:rPr>
  </w:style>
  <w:style w:type="paragraph" w:customStyle="1" w:styleId="xl197">
    <w:name w:val="xl197"/>
    <w:basedOn w:val="a6"/>
    <w:qFormat/>
    <w:pPr>
      <w:widowControl/>
      <w:pBdr>
        <w:bottom w:val="single" w:sz="4" w:space="0" w:color="auto"/>
        <w:right w:val="single" w:sz="4" w:space="0" w:color="auto"/>
      </w:pBdr>
      <w:spacing w:before="100" w:beforeAutospacing="1" w:after="100" w:afterAutospacing="1"/>
      <w:jc w:val="left"/>
      <w:textAlignment w:val="center"/>
    </w:pPr>
    <w:rPr>
      <w:rFonts w:cs="宋体"/>
      <w:color w:val="000000"/>
      <w:kern w:val="0"/>
      <w:sz w:val="24"/>
    </w:rPr>
  </w:style>
  <w:style w:type="paragraph" w:customStyle="1" w:styleId="xl186">
    <w:name w:val="xl18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4"/>
    </w:rPr>
  </w:style>
  <w:style w:type="paragraph" w:customStyle="1" w:styleId="font10">
    <w:name w:val="font10"/>
    <w:basedOn w:val="a6"/>
    <w:qFormat/>
    <w:pPr>
      <w:widowControl/>
      <w:spacing w:before="100" w:beforeAutospacing="1" w:after="100" w:afterAutospacing="1"/>
      <w:jc w:val="left"/>
    </w:pPr>
    <w:rPr>
      <w:rFonts w:ascii="宋体" w:hAnsi="宋体" w:hint="eastAsia"/>
      <w:kern w:val="0"/>
      <w:sz w:val="20"/>
      <w:szCs w:val="20"/>
    </w:rPr>
  </w:style>
  <w:style w:type="paragraph" w:customStyle="1" w:styleId="NewNew">
    <w:name w:val="标题三！！！！！！！ New New"/>
    <w:basedOn w:val="a6"/>
    <w:qFormat/>
    <w:pPr>
      <w:keepLines/>
      <w:spacing w:line="500" w:lineRule="exact"/>
      <w:outlineLvl w:val="2"/>
    </w:pPr>
    <w:rPr>
      <w:rFonts w:ascii="楷体_GB2312" w:eastAsia="楷体_GB2312" w:hAnsi="楷体_GB2312" w:hint="eastAsia"/>
      <w:b/>
      <w:sz w:val="28"/>
      <w:szCs w:val="20"/>
    </w:rPr>
  </w:style>
  <w:style w:type="paragraph" w:customStyle="1" w:styleId="xl214">
    <w:name w:val="xl214"/>
    <w:basedOn w:val="a6"/>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4"/>
    </w:rPr>
  </w:style>
  <w:style w:type="paragraph" w:customStyle="1" w:styleId="aaaaaaaaaaaaaaa">
    <w:name w:val="aaaaaaaaaaaaaaa"/>
    <w:basedOn w:val="a6"/>
    <w:qFormat/>
    <w:pPr>
      <w:spacing w:line="360" w:lineRule="auto"/>
      <w:ind w:leftChars="300" w:left="630" w:firstLineChars="200" w:firstLine="420"/>
    </w:pPr>
    <w:rPr>
      <w:rFonts w:ascii="宋体" w:hAnsi="宋体"/>
      <w:szCs w:val="21"/>
    </w:rPr>
  </w:style>
  <w:style w:type="paragraph" w:customStyle="1" w:styleId="afffffffffffffffffc">
    <w:name w:val="标准条文"/>
    <w:qFormat/>
    <w:pPr>
      <w:spacing w:beforeLines="20" w:afterLines="20"/>
      <w:ind w:firstLineChars="200" w:firstLine="200"/>
    </w:pPr>
    <w:rPr>
      <w:bCs/>
      <w:kern w:val="2"/>
      <w:sz w:val="21"/>
      <w:szCs w:val="24"/>
    </w:rPr>
  </w:style>
  <w:style w:type="paragraph" w:customStyle="1" w:styleId="xl218">
    <w:name w:val="xl218"/>
    <w:basedOn w:val="a6"/>
    <w:qFormat/>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rPr>
  </w:style>
  <w:style w:type="paragraph" w:customStyle="1" w:styleId="xl63">
    <w:name w:val="xl63"/>
    <w:basedOn w:val="a6"/>
    <w:qFormat/>
    <w:pPr>
      <w:widowControl/>
      <w:spacing w:before="100" w:after="100"/>
      <w:jc w:val="center"/>
      <w:textAlignment w:val="center"/>
    </w:pPr>
    <w:rPr>
      <w:rFonts w:ascii="黑体" w:eastAsia="黑体" w:hAnsi="宋体" w:hint="eastAsia"/>
      <w:kern w:val="0"/>
      <w:sz w:val="24"/>
      <w:szCs w:val="20"/>
    </w:rPr>
  </w:style>
  <w:style w:type="paragraph" w:customStyle="1" w:styleId="xl141">
    <w:name w:val="xl141"/>
    <w:basedOn w:val="a6"/>
    <w:qFormat/>
    <w:pPr>
      <w:widowControl/>
      <w:pBdr>
        <w:top w:val="double" w:sz="6" w:space="0" w:color="auto"/>
        <w:left w:val="single" w:sz="4" w:space="0" w:color="auto"/>
        <w:right w:val="single" w:sz="4" w:space="0" w:color="auto"/>
      </w:pBdr>
      <w:spacing w:before="100" w:beforeAutospacing="1" w:after="100" w:afterAutospacing="1" w:line="360" w:lineRule="auto"/>
      <w:jc w:val="center"/>
      <w:textAlignment w:val="center"/>
    </w:pPr>
    <w:rPr>
      <w:rFonts w:eastAsia="Arial Unicode MS" w:cs="宋体"/>
      <w:kern w:val="0"/>
      <w:sz w:val="20"/>
      <w:szCs w:val="20"/>
    </w:rPr>
  </w:style>
  <w:style w:type="paragraph" w:customStyle="1" w:styleId="afffffffffffffffffd">
    <w:name w:val="正文王"/>
    <w:basedOn w:val="a6"/>
    <w:qFormat/>
    <w:pPr>
      <w:spacing w:line="440" w:lineRule="exact"/>
      <w:ind w:firstLineChars="200" w:firstLine="480"/>
    </w:pPr>
    <w:rPr>
      <w:rFonts w:ascii="宋体" w:hAnsi="宋体"/>
      <w:kern w:val="0"/>
      <w:sz w:val="24"/>
      <w:szCs w:val="20"/>
    </w:rPr>
  </w:style>
  <w:style w:type="paragraph" w:customStyle="1" w:styleId="afffffffffffffffffe">
    <w:name w:val="中石油表头"/>
    <w:basedOn w:val="a6"/>
    <w:qFormat/>
    <w:pPr>
      <w:spacing w:line="560" w:lineRule="exact"/>
      <w:jc w:val="center"/>
    </w:pPr>
    <w:rPr>
      <w:rFonts w:ascii="黑体" w:eastAsia="黑体" w:hAnsi="宋体" w:cs="仿宋_GB2312"/>
      <w:kern w:val="0"/>
      <w:sz w:val="24"/>
    </w:rPr>
  </w:style>
  <w:style w:type="paragraph" w:customStyle="1" w:styleId="xl126">
    <w:name w:val="xl126"/>
    <w:basedOn w:val="a6"/>
    <w:qFormat/>
    <w:pPr>
      <w:widowControl/>
      <w:pBdr>
        <w:top w:val="single" w:sz="4" w:space="0" w:color="auto"/>
        <w:left w:val="single" w:sz="4" w:space="0" w:color="auto"/>
        <w:bottom w:val="single" w:sz="4" w:space="0" w:color="auto"/>
      </w:pBdr>
      <w:spacing w:before="100" w:beforeAutospacing="1" w:after="100" w:afterAutospacing="1" w:line="360" w:lineRule="auto"/>
      <w:jc w:val="center"/>
      <w:textAlignment w:val="center"/>
    </w:pPr>
    <w:rPr>
      <w:rFonts w:eastAsia="Arial Unicode MS" w:cs="宋体"/>
      <w:kern w:val="0"/>
      <w:sz w:val="20"/>
      <w:szCs w:val="20"/>
    </w:rPr>
  </w:style>
  <w:style w:type="paragraph" w:customStyle="1" w:styleId="CharCharChar1CharCharCharChar5">
    <w:name w:val="Char Char Char1 Char Char Char Char5"/>
    <w:basedOn w:val="a6"/>
    <w:next w:val="a6"/>
    <w:qFormat/>
    <w:pPr>
      <w:spacing w:line="360" w:lineRule="auto"/>
      <w:ind w:firstLineChars="200" w:firstLine="200"/>
    </w:pPr>
    <w:rPr>
      <w:szCs w:val="20"/>
    </w:rPr>
  </w:style>
  <w:style w:type="paragraph" w:customStyle="1" w:styleId="c2">
    <w:name w:val="c2"/>
    <w:basedOn w:val="a6"/>
    <w:qFormat/>
    <w:rPr>
      <w:rFonts w:ascii="Calisto MT" w:hAnsi="Calisto MT"/>
      <w:b/>
      <w:sz w:val="30"/>
      <w:szCs w:val="20"/>
    </w:rPr>
  </w:style>
  <w:style w:type="paragraph" w:customStyle="1" w:styleId="xl69">
    <w:name w:val="xl69"/>
    <w:basedOn w:val="a6"/>
    <w:qFormat/>
    <w:pPr>
      <w:widowControl/>
      <w:pBdr>
        <w:left w:val="single" w:sz="4"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24"/>
      <w:szCs w:val="20"/>
    </w:rPr>
  </w:style>
  <w:style w:type="paragraph" w:customStyle="1" w:styleId="10">
    <w:name w:val="示例和注释(左缩进1)"/>
    <w:basedOn w:val="a6"/>
    <w:semiHidden/>
    <w:qFormat/>
    <w:pPr>
      <w:widowControl/>
      <w:numPr>
        <w:numId w:val="12"/>
      </w:numPr>
      <w:ind w:firstLine="0"/>
      <w:jc w:val="left"/>
    </w:pPr>
    <w:rPr>
      <w:rFonts w:ascii="Arial" w:hAnsi="Arial" w:cs="宋体"/>
      <w:kern w:val="0"/>
      <w:sz w:val="24"/>
    </w:rPr>
  </w:style>
  <w:style w:type="paragraph" w:customStyle="1" w:styleId="10101">
    <w:name w:val="样式 样式 正文1 + 段前: 0.1 行 + 段前: 0.1 行"/>
    <w:basedOn w:val="a6"/>
    <w:qFormat/>
    <w:pPr>
      <w:snapToGrid w:val="0"/>
      <w:spacing w:beforeLines="10" w:line="440" w:lineRule="atLeast"/>
      <w:ind w:firstLine="567"/>
    </w:pPr>
    <w:rPr>
      <w:rFonts w:ascii="宋体"/>
      <w:kern w:val="0"/>
      <w:sz w:val="24"/>
      <w:szCs w:val="20"/>
    </w:rPr>
  </w:style>
  <w:style w:type="paragraph" w:customStyle="1" w:styleId="affffffffffffffffff">
    <w:name w:val="设计文本"/>
    <w:basedOn w:val="a6"/>
    <w:qFormat/>
    <w:pPr>
      <w:jc w:val="center"/>
    </w:pPr>
    <w:rPr>
      <w:color w:val="000000"/>
      <w:w w:val="110"/>
      <w:kern w:val="0"/>
      <w:sz w:val="24"/>
      <w:szCs w:val="20"/>
    </w:rPr>
  </w:style>
  <w:style w:type="paragraph" w:customStyle="1" w:styleId="1fffd">
    <w:name w:val="封面标准号1"/>
    <w:qFormat/>
    <w:pPr>
      <w:widowControl w:val="0"/>
      <w:kinsoku w:val="0"/>
      <w:overflowPunct w:val="0"/>
      <w:autoSpaceDE w:val="0"/>
      <w:autoSpaceDN w:val="0"/>
      <w:spacing w:before="308"/>
      <w:jc w:val="right"/>
      <w:textAlignment w:val="center"/>
    </w:pPr>
    <w:rPr>
      <w:sz w:val="28"/>
    </w:rPr>
  </w:style>
  <w:style w:type="paragraph" w:customStyle="1" w:styleId="xl138">
    <w:name w:val="xl138"/>
    <w:basedOn w:val="a6"/>
    <w:qFormat/>
    <w:pPr>
      <w:widowControl/>
      <w:pBdr>
        <w:top w:val="single" w:sz="4" w:space="0" w:color="auto"/>
        <w:left w:val="single" w:sz="4" w:space="0" w:color="auto"/>
        <w:bottom w:val="double" w:sz="6" w:space="0" w:color="auto"/>
        <w:right w:val="single" w:sz="4" w:space="0" w:color="auto"/>
      </w:pBdr>
      <w:spacing w:before="100" w:beforeAutospacing="1" w:after="100" w:afterAutospacing="1" w:line="360" w:lineRule="auto"/>
      <w:jc w:val="center"/>
      <w:textAlignment w:val="center"/>
    </w:pPr>
    <w:rPr>
      <w:rFonts w:ascii="Arial Unicode MS" w:eastAsia="Arial Unicode MS" w:hAnsi="Arial Unicode MS" w:cs="Arial Unicode MS"/>
      <w:kern w:val="0"/>
      <w:sz w:val="20"/>
      <w:szCs w:val="20"/>
    </w:rPr>
  </w:style>
  <w:style w:type="paragraph" w:customStyle="1" w:styleId="CM86">
    <w:name w:val="CM86"/>
    <w:basedOn w:val="Default"/>
    <w:next w:val="Default"/>
    <w:qFormat/>
    <w:pPr>
      <w:spacing w:after="480"/>
    </w:pPr>
    <w:rPr>
      <w:rFonts w:eastAsia="Times New Roman"/>
      <w:color w:val="auto"/>
      <w:sz w:val="20"/>
    </w:rPr>
  </w:style>
  <w:style w:type="paragraph" w:customStyle="1" w:styleId="xl140">
    <w:name w:val="xl140"/>
    <w:basedOn w:val="a6"/>
    <w:qFormat/>
    <w:pPr>
      <w:widowControl/>
      <w:pBdr>
        <w:top w:val="single" w:sz="4" w:space="0" w:color="auto"/>
        <w:left w:val="single" w:sz="4" w:space="0" w:color="auto"/>
        <w:bottom w:val="double" w:sz="6" w:space="0" w:color="auto"/>
        <w:right w:val="single" w:sz="4" w:space="0" w:color="auto"/>
      </w:pBdr>
      <w:spacing w:before="100" w:beforeAutospacing="1" w:after="100" w:afterAutospacing="1" w:line="360" w:lineRule="auto"/>
      <w:jc w:val="center"/>
      <w:textAlignment w:val="center"/>
    </w:pPr>
    <w:rPr>
      <w:rFonts w:eastAsia="Arial Unicode MS" w:cs="宋体"/>
      <w:kern w:val="0"/>
      <w:sz w:val="20"/>
      <w:szCs w:val="20"/>
    </w:rPr>
  </w:style>
  <w:style w:type="paragraph" w:customStyle="1" w:styleId="xl1046">
    <w:name w:val="xl1046"/>
    <w:basedOn w:val="a6"/>
    <w:qFormat/>
    <w:pPr>
      <w:widowControl/>
      <w:pBdr>
        <w:top w:val="single" w:sz="8" w:space="0" w:color="FFFF00"/>
        <w:left w:val="single" w:sz="8" w:space="0" w:color="FFFF00"/>
        <w:bottom w:val="single" w:sz="8" w:space="0" w:color="FFFF00"/>
        <w:right w:val="single" w:sz="8" w:space="0" w:color="FFFF00"/>
      </w:pBdr>
      <w:shd w:val="clear" w:color="000000" w:fill="0070C0"/>
      <w:spacing w:before="100" w:beforeAutospacing="1" w:after="100" w:afterAutospacing="1"/>
      <w:jc w:val="center"/>
    </w:pPr>
    <w:rPr>
      <w:rFonts w:ascii="Arial" w:hAnsi="Arial" w:cs="Arial"/>
      <w:kern w:val="0"/>
      <w:sz w:val="18"/>
      <w:szCs w:val="18"/>
    </w:rPr>
  </w:style>
  <w:style w:type="paragraph" w:customStyle="1" w:styleId="TOC1">
    <w:name w:val="TOC 标题1"/>
    <w:basedOn w:val="12"/>
    <w:next w:val="a6"/>
    <w:qFormat/>
    <w:pPr>
      <w:widowControl/>
      <w:spacing w:before="480" w:after="0" w:line="276" w:lineRule="auto"/>
      <w:jc w:val="left"/>
      <w:outlineLvl w:val="9"/>
    </w:pPr>
    <w:rPr>
      <w:rFonts w:ascii="Cambria" w:hAnsi="Cambria"/>
      <w:color w:val="365F91"/>
      <w:kern w:val="0"/>
      <w:sz w:val="28"/>
      <w:szCs w:val="28"/>
    </w:rPr>
  </w:style>
  <w:style w:type="paragraph" w:customStyle="1" w:styleId="affffffffffffffffff0">
    <w:name w:val="五级条"/>
    <w:basedOn w:val="a6"/>
    <w:qFormat/>
    <w:pPr>
      <w:widowControl/>
      <w:spacing w:line="440" w:lineRule="exact"/>
      <w:jc w:val="left"/>
      <w:outlineLvl w:val="5"/>
    </w:pPr>
    <w:rPr>
      <w:rFonts w:ascii="宋体" w:cs="宋体"/>
      <w:kern w:val="0"/>
      <w:sz w:val="24"/>
      <w:szCs w:val="20"/>
    </w:rPr>
  </w:style>
  <w:style w:type="paragraph" w:customStyle="1" w:styleId="xl939">
    <w:name w:val="xl939"/>
    <w:basedOn w:val="a6"/>
    <w:qFormat/>
    <w:pPr>
      <w:widowControl/>
      <w:spacing w:before="100" w:beforeAutospacing="1" w:after="100" w:afterAutospacing="1"/>
      <w:jc w:val="left"/>
      <w:textAlignment w:val="bottom"/>
    </w:pPr>
    <w:rPr>
      <w:rFonts w:ascii="宋体" w:hAnsi="宋体" w:cs="宋体"/>
      <w:kern w:val="0"/>
      <w:sz w:val="24"/>
    </w:rPr>
  </w:style>
  <w:style w:type="paragraph" w:customStyle="1" w:styleId="xl219">
    <w:name w:val="xl219"/>
    <w:basedOn w:val="a6"/>
    <w:qFormat/>
    <w:pPr>
      <w:widowControl/>
      <w:pBdr>
        <w:left w:val="single" w:sz="4" w:space="0" w:color="auto"/>
        <w:bottom w:val="single" w:sz="4" w:space="0" w:color="auto"/>
        <w:right w:val="single" w:sz="8" w:space="0" w:color="auto"/>
      </w:pBdr>
      <w:spacing w:before="100" w:beforeAutospacing="1" w:after="100" w:afterAutospacing="1"/>
      <w:jc w:val="left"/>
      <w:textAlignment w:val="center"/>
    </w:pPr>
    <w:rPr>
      <w:rFonts w:ascii="宋体" w:hAnsi="宋体" w:cs="宋体"/>
      <w:kern w:val="0"/>
      <w:sz w:val="24"/>
    </w:rPr>
  </w:style>
  <w:style w:type="paragraph" w:customStyle="1" w:styleId="xl135">
    <w:name w:val="xl135"/>
    <w:basedOn w:val="a6"/>
    <w:qFormat/>
    <w:pPr>
      <w:widowControl/>
      <w:pBdr>
        <w:top w:val="double" w:sz="6" w:space="0" w:color="auto"/>
        <w:right w:val="single" w:sz="4" w:space="0" w:color="auto"/>
      </w:pBdr>
      <w:spacing w:before="100" w:beforeAutospacing="1" w:after="100" w:afterAutospacing="1" w:line="360" w:lineRule="auto"/>
      <w:jc w:val="left"/>
    </w:pPr>
    <w:rPr>
      <w:rFonts w:ascii="Arial Unicode MS" w:eastAsia="Arial Unicode MS" w:hAnsi="Arial Unicode MS" w:cs="Arial Unicode MS"/>
      <w:kern w:val="0"/>
      <w:sz w:val="24"/>
    </w:rPr>
  </w:style>
  <w:style w:type="paragraph" w:customStyle="1" w:styleId="affffffffffffffffff1">
    <w:name w:val="加粗正文"/>
    <w:basedOn w:val="a6"/>
    <w:next w:val="afc"/>
    <w:qFormat/>
    <w:rPr>
      <w:rFonts w:ascii="宋体" w:hAnsi="Courier New" w:cs="Courier New"/>
      <w:szCs w:val="21"/>
    </w:rPr>
  </w:style>
  <w:style w:type="paragraph" w:customStyle="1" w:styleId="GB2312152">
    <w:name w:val="样式 仿宋_GB2312 四号 行距: 1.5 倍行距 首行缩进:  2 字符"/>
    <w:basedOn w:val="a6"/>
    <w:qFormat/>
    <w:pPr>
      <w:spacing w:line="360" w:lineRule="auto"/>
      <w:ind w:firstLineChars="200" w:firstLine="560"/>
    </w:pPr>
    <w:rPr>
      <w:rFonts w:ascii="仿宋_GB2312" w:eastAsia="仿宋_GB2312" w:cs="宋体"/>
      <w:sz w:val="28"/>
      <w:szCs w:val="20"/>
    </w:rPr>
  </w:style>
  <w:style w:type="paragraph" w:customStyle="1" w:styleId="xl137">
    <w:name w:val="xl137"/>
    <w:basedOn w:val="a6"/>
    <w:qFormat/>
    <w:pPr>
      <w:widowControl/>
      <w:pBdr>
        <w:top w:val="double" w:sz="6"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eastAsia="Arial Unicode MS" w:cs="宋体"/>
      <w:kern w:val="0"/>
      <w:sz w:val="20"/>
      <w:szCs w:val="20"/>
    </w:rPr>
  </w:style>
  <w:style w:type="paragraph" w:customStyle="1" w:styleId="affffffffffffffffff2">
    <w:name w:val="注："/>
    <w:next w:val="affffffffffffff"/>
    <w:qFormat/>
    <w:pPr>
      <w:widowControl w:val="0"/>
      <w:tabs>
        <w:tab w:val="left" w:pos="795"/>
      </w:tabs>
      <w:autoSpaceDE w:val="0"/>
      <w:autoSpaceDN w:val="0"/>
      <w:ind w:left="795" w:hanging="255"/>
      <w:jc w:val="both"/>
    </w:pPr>
    <w:rPr>
      <w:rFonts w:ascii="宋体"/>
      <w:sz w:val="18"/>
    </w:rPr>
  </w:style>
  <w:style w:type="paragraph" w:customStyle="1" w:styleId="xl955">
    <w:name w:val="xl955"/>
    <w:basedOn w:val="a6"/>
    <w:qFormat/>
    <w:pPr>
      <w:widowControl/>
      <w:spacing w:before="100" w:beforeAutospacing="1" w:after="100" w:afterAutospacing="1"/>
      <w:jc w:val="left"/>
    </w:pPr>
    <w:rPr>
      <w:rFonts w:ascii="宋体" w:hAnsi="宋体" w:cs="宋体"/>
      <w:kern w:val="0"/>
      <w:sz w:val="18"/>
      <w:szCs w:val="18"/>
    </w:rPr>
  </w:style>
  <w:style w:type="paragraph" w:customStyle="1" w:styleId="xl211">
    <w:name w:val="xl211"/>
    <w:basedOn w:val="a6"/>
    <w:qFormat/>
    <w:pPr>
      <w:widowControl/>
      <w:pBdr>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4"/>
    </w:rPr>
  </w:style>
  <w:style w:type="paragraph" w:customStyle="1" w:styleId="-10">
    <w:name w:val="编号-列项1级"/>
    <w:basedOn w:val="a6"/>
    <w:qFormat/>
    <w:pPr>
      <w:widowControl/>
      <w:numPr>
        <w:numId w:val="13"/>
      </w:numPr>
      <w:ind w:firstLine="0"/>
      <w:jc w:val="left"/>
    </w:pPr>
    <w:rPr>
      <w:rFonts w:ascii="Arial" w:hAnsi="Arial" w:cs="宋体"/>
      <w:kern w:val="0"/>
      <w:sz w:val="24"/>
    </w:rPr>
  </w:style>
  <w:style w:type="paragraph" w:customStyle="1" w:styleId="Heading4a">
    <w:name w:val="Heading4(a.)"/>
    <w:basedOn w:val="a6"/>
    <w:qFormat/>
    <w:pPr>
      <w:keepLines/>
      <w:widowControl/>
      <w:tabs>
        <w:tab w:val="left" w:pos="1800"/>
      </w:tabs>
      <w:ind w:left="1440"/>
      <w:jc w:val="left"/>
    </w:pPr>
    <w:rPr>
      <w:rFonts w:ascii="Calibri" w:hAnsi="Calibri"/>
      <w:sz w:val="20"/>
      <w:szCs w:val="22"/>
      <w:lang w:eastAsia="en-US"/>
    </w:rPr>
  </w:style>
  <w:style w:type="paragraph" w:customStyle="1" w:styleId="Title2">
    <w:name w:val="Title 2"/>
    <w:basedOn w:val="a6"/>
    <w:qFormat/>
    <w:pPr>
      <w:widowControl/>
      <w:spacing w:after="120"/>
      <w:ind w:left="851" w:hanging="851"/>
      <w:jc w:val="left"/>
    </w:pPr>
    <w:rPr>
      <w:rFonts w:ascii="Arial" w:hAnsi="Arial" w:cs="宋体"/>
      <w:kern w:val="0"/>
      <w:sz w:val="24"/>
      <w:szCs w:val="20"/>
    </w:rPr>
  </w:style>
  <w:style w:type="paragraph" w:customStyle="1" w:styleId="xl134">
    <w:name w:val="xl134"/>
    <w:basedOn w:val="a6"/>
    <w:qFormat/>
    <w:pPr>
      <w:widowControl/>
      <w:pBdr>
        <w:top w:val="double" w:sz="6" w:space="0" w:color="auto"/>
      </w:pBdr>
      <w:spacing w:before="100" w:beforeAutospacing="1" w:after="100" w:afterAutospacing="1" w:line="360" w:lineRule="auto"/>
      <w:jc w:val="left"/>
    </w:pPr>
    <w:rPr>
      <w:rFonts w:ascii="Arial Unicode MS" w:eastAsia="Arial Unicode MS" w:hAnsi="Arial Unicode MS" w:cs="Arial Unicode MS"/>
      <w:kern w:val="0"/>
      <w:sz w:val="24"/>
    </w:rPr>
  </w:style>
  <w:style w:type="paragraph" w:customStyle="1" w:styleId="affffffffffffffffff3">
    <w:name w:val="干法乙炔正文"/>
    <w:basedOn w:val="a6"/>
    <w:qFormat/>
    <w:pPr>
      <w:autoSpaceDE w:val="0"/>
      <w:autoSpaceDN w:val="0"/>
      <w:adjustRightInd w:val="0"/>
      <w:spacing w:line="560" w:lineRule="exact"/>
      <w:ind w:firstLineChars="200" w:firstLine="480"/>
    </w:pPr>
    <w:rPr>
      <w:rFonts w:ascii="宋体" w:hAnsi="宋体"/>
      <w:color w:val="FF0000"/>
      <w:sz w:val="24"/>
    </w:rPr>
  </w:style>
  <w:style w:type="paragraph" w:customStyle="1" w:styleId="2140">
    <w:name w:val="正文文本缩进 214"/>
    <w:basedOn w:val="a6"/>
    <w:qFormat/>
    <w:pPr>
      <w:adjustRightInd w:val="0"/>
      <w:spacing w:line="360" w:lineRule="auto"/>
      <w:ind w:firstLine="510"/>
    </w:pPr>
    <w:rPr>
      <w:rFonts w:ascii="宋体" w:hAnsi="宋体"/>
      <w:sz w:val="28"/>
      <w:szCs w:val="20"/>
    </w:rPr>
  </w:style>
  <w:style w:type="paragraph" w:customStyle="1" w:styleId="xl133">
    <w:name w:val="xl133"/>
    <w:basedOn w:val="a6"/>
    <w:qFormat/>
    <w:pPr>
      <w:widowControl/>
      <w:pBdr>
        <w:top w:val="double" w:sz="6" w:space="0" w:color="auto"/>
        <w:left w:val="single" w:sz="4" w:space="0" w:color="auto"/>
      </w:pBdr>
      <w:spacing w:before="100" w:beforeAutospacing="1" w:after="100" w:afterAutospacing="1" w:line="360" w:lineRule="auto"/>
      <w:jc w:val="center"/>
      <w:textAlignment w:val="center"/>
    </w:pPr>
    <w:rPr>
      <w:rFonts w:ascii="Arial Unicode MS" w:eastAsia="Arial Unicode MS" w:hAnsi="Arial Unicode MS" w:cs="Arial Unicode MS"/>
      <w:kern w:val="0"/>
      <w:sz w:val="20"/>
      <w:szCs w:val="20"/>
    </w:rPr>
  </w:style>
  <w:style w:type="paragraph" w:customStyle="1" w:styleId="xl1061">
    <w:name w:val="xl1061"/>
    <w:basedOn w:val="a6"/>
    <w:qFormat/>
    <w:pPr>
      <w:widowControl/>
      <w:pBdr>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20"/>
      <w:szCs w:val="20"/>
    </w:rPr>
  </w:style>
  <w:style w:type="paragraph" w:customStyle="1" w:styleId="xl215">
    <w:name w:val="xl21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4"/>
    </w:rPr>
  </w:style>
  <w:style w:type="paragraph" w:customStyle="1" w:styleId="affffffffffffffffff4">
    <w:name w:val="勘察正文"/>
    <w:basedOn w:val="a6"/>
    <w:qFormat/>
    <w:pPr>
      <w:widowControl/>
      <w:spacing w:line="480" w:lineRule="exact"/>
      <w:ind w:firstLine="567"/>
      <w:jc w:val="left"/>
    </w:pPr>
    <w:rPr>
      <w:rFonts w:ascii="宋体" w:hAnsi="宋体" w:cs="宋体"/>
      <w:kern w:val="0"/>
      <w:sz w:val="28"/>
      <w:szCs w:val="20"/>
    </w:rPr>
  </w:style>
  <w:style w:type="paragraph" w:customStyle="1" w:styleId="CharCharChar1CharCharCharCharCharCharChar5">
    <w:name w:val="Char Char Char1 Char Char Char Char Char Char Char5"/>
    <w:basedOn w:val="a6"/>
    <w:qFormat/>
    <w:rPr>
      <w:kern w:val="0"/>
      <w:sz w:val="24"/>
      <w:szCs w:val="20"/>
    </w:rPr>
  </w:style>
  <w:style w:type="paragraph" w:customStyle="1" w:styleId="CharCharCharCharCharCharCharCharCharCharCharChar1">
    <w:name w:val="Char Char Char Char Char Char Char Char Char Char Char Char1"/>
    <w:basedOn w:val="a6"/>
    <w:next w:val="a6"/>
    <w:uiPriority w:val="99"/>
    <w:qFormat/>
    <w:pPr>
      <w:spacing w:line="360" w:lineRule="auto"/>
      <w:ind w:firstLineChars="200" w:firstLine="200"/>
    </w:pPr>
    <w:rPr>
      <w:rFonts w:ascii="宋体" w:hAnsi="宋体" w:cs="宋体"/>
      <w:sz w:val="24"/>
    </w:rPr>
  </w:style>
  <w:style w:type="paragraph" w:customStyle="1" w:styleId="affffffffffffffffff5">
    <w:name w:val="表名图名"/>
    <w:basedOn w:val="a6"/>
    <w:qFormat/>
    <w:pPr>
      <w:keepNext/>
      <w:adjustRightInd w:val="0"/>
      <w:spacing w:line="240" w:lineRule="exact"/>
      <w:jc w:val="center"/>
      <w:textAlignment w:val="baseline"/>
    </w:pPr>
    <w:rPr>
      <w:rFonts w:ascii="宋体" w:hAnsi="Times"/>
      <w:b/>
      <w:sz w:val="20"/>
      <w:szCs w:val="21"/>
    </w:rPr>
  </w:style>
  <w:style w:type="paragraph" w:customStyle="1" w:styleId="xl220">
    <w:name w:val="xl220"/>
    <w:basedOn w:val="a6"/>
    <w:qFormat/>
    <w:pPr>
      <w:widowControl/>
      <w:pBdr>
        <w:bottom w:val="single" w:sz="4" w:space="0" w:color="auto"/>
        <w:right w:val="single" w:sz="8" w:space="0" w:color="auto"/>
      </w:pBdr>
      <w:spacing w:before="100" w:beforeAutospacing="1" w:after="100" w:afterAutospacing="1"/>
      <w:jc w:val="left"/>
      <w:textAlignment w:val="center"/>
    </w:pPr>
    <w:rPr>
      <w:rFonts w:ascii="宋体" w:hAnsi="宋体" w:cs="宋体"/>
      <w:kern w:val="0"/>
      <w:sz w:val="24"/>
    </w:rPr>
  </w:style>
  <w:style w:type="paragraph" w:customStyle="1" w:styleId="-43">
    <w:name w:val="编号-正文章条4级标题和3级条(不进目录)"/>
    <w:basedOn w:val="a6"/>
    <w:qFormat/>
    <w:pPr>
      <w:widowControl/>
      <w:numPr>
        <w:ilvl w:val="3"/>
        <w:numId w:val="14"/>
      </w:numPr>
      <w:jc w:val="left"/>
      <w:outlineLvl w:val="3"/>
    </w:pPr>
    <w:rPr>
      <w:rFonts w:ascii="Arial" w:hAnsi="Arial" w:cs="宋体"/>
      <w:kern w:val="0"/>
      <w:sz w:val="24"/>
    </w:rPr>
  </w:style>
  <w:style w:type="paragraph" w:customStyle="1" w:styleId="xl130">
    <w:name w:val="xl130"/>
    <w:basedOn w:val="a6"/>
    <w:qFormat/>
    <w:pPr>
      <w:widowControl/>
      <w:pBdr>
        <w:top w:val="single" w:sz="4" w:space="0" w:color="auto"/>
        <w:left w:val="single" w:sz="4" w:space="0" w:color="auto"/>
        <w:bottom w:val="single" w:sz="4" w:space="0" w:color="auto"/>
      </w:pBdr>
      <w:spacing w:before="100" w:beforeAutospacing="1" w:after="100" w:afterAutospacing="1" w:line="360" w:lineRule="auto"/>
      <w:jc w:val="center"/>
      <w:textAlignment w:val="center"/>
    </w:pPr>
    <w:rPr>
      <w:rFonts w:ascii="Arial Unicode MS" w:eastAsia="Arial Unicode MS" w:hAnsi="Arial Unicode MS" w:cs="Arial Unicode MS"/>
      <w:kern w:val="0"/>
      <w:sz w:val="20"/>
      <w:szCs w:val="20"/>
    </w:rPr>
  </w:style>
  <w:style w:type="paragraph" w:customStyle="1" w:styleId="CM87">
    <w:name w:val="CM87"/>
    <w:basedOn w:val="Default"/>
    <w:next w:val="Default"/>
    <w:qFormat/>
    <w:pPr>
      <w:spacing w:after="263"/>
    </w:pPr>
    <w:rPr>
      <w:rFonts w:eastAsia="Times New Roman"/>
      <w:color w:val="auto"/>
      <w:sz w:val="20"/>
    </w:rPr>
  </w:style>
  <w:style w:type="paragraph" w:customStyle="1" w:styleId="xl1037">
    <w:name w:val="xl1037"/>
    <w:basedOn w:val="a6"/>
    <w:qFormat/>
    <w:pPr>
      <w:widowControl/>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jc w:val="center"/>
    </w:pPr>
    <w:rPr>
      <w:rFonts w:ascii="Arial" w:hAnsi="Arial" w:cs="Arial"/>
      <w:kern w:val="0"/>
      <w:sz w:val="18"/>
      <w:szCs w:val="18"/>
    </w:rPr>
  </w:style>
  <w:style w:type="paragraph" w:customStyle="1" w:styleId="xl212">
    <w:name w:val="xl212"/>
    <w:basedOn w:val="a6"/>
    <w:qFormat/>
    <w:pPr>
      <w:widowControl/>
      <w:pBdr>
        <w:top w:val="single" w:sz="4" w:space="0" w:color="auto"/>
        <w:left w:val="single" w:sz="8" w:space="0" w:color="auto"/>
        <w:bottom w:val="single" w:sz="4" w:space="0" w:color="auto"/>
      </w:pBdr>
      <w:spacing w:before="100" w:beforeAutospacing="1" w:after="100" w:afterAutospacing="1"/>
      <w:jc w:val="left"/>
      <w:textAlignment w:val="center"/>
    </w:pPr>
    <w:rPr>
      <w:rFonts w:ascii="宋体" w:hAnsi="宋体" w:cs="宋体"/>
      <w:kern w:val="0"/>
      <w:sz w:val="24"/>
    </w:rPr>
  </w:style>
  <w:style w:type="paragraph" w:customStyle="1" w:styleId="-1">
    <w:name w:val="编号-正文章条1级标题(进目录)"/>
    <w:basedOn w:val="a6"/>
    <w:qFormat/>
    <w:pPr>
      <w:widowControl/>
      <w:numPr>
        <w:numId w:val="14"/>
      </w:numPr>
      <w:spacing w:beforeLines="50" w:afterLines="50"/>
      <w:jc w:val="left"/>
      <w:outlineLvl w:val="0"/>
    </w:pPr>
    <w:rPr>
      <w:rFonts w:ascii="Arial" w:eastAsia="黑体" w:hAnsi="Arial" w:cs="宋体"/>
      <w:kern w:val="0"/>
      <w:sz w:val="24"/>
    </w:rPr>
  </w:style>
  <w:style w:type="paragraph" w:customStyle="1" w:styleId="xl1024">
    <w:name w:val="xl1024"/>
    <w:basedOn w:val="a6"/>
    <w:qFormat/>
    <w:pPr>
      <w:widowControl/>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left"/>
    </w:pPr>
    <w:rPr>
      <w:rFonts w:ascii="Arial" w:hAnsi="Arial" w:cs="Arial"/>
      <w:b/>
      <w:bCs/>
      <w:kern w:val="0"/>
      <w:sz w:val="18"/>
      <w:szCs w:val="18"/>
    </w:rPr>
  </w:style>
  <w:style w:type="paragraph" w:customStyle="1" w:styleId="-13">
    <w:name w:val="标-1"/>
    <w:basedOn w:val="a6"/>
    <w:qFormat/>
    <w:pPr>
      <w:widowControl/>
      <w:spacing w:before="120"/>
      <w:ind w:left="851" w:hanging="851"/>
      <w:jc w:val="left"/>
    </w:pPr>
    <w:rPr>
      <w:rFonts w:cs="宋体"/>
      <w:b/>
      <w:kern w:val="0"/>
      <w:sz w:val="24"/>
      <w:szCs w:val="20"/>
    </w:rPr>
  </w:style>
  <w:style w:type="paragraph" w:customStyle="1" w:styleId="xl128">
    <w:name w:val="xl128"/>
    <w:basedOn w:val="a6"/>
    <w:qFormat/>
    <w:pPr>
      <w:widowControl/>
      <w:pBdr>
        <w:left w:val="single" w:sz="4" w:space="0" w:color="auto"/>
        <w:right w:val="single" w:sz="4" w:space="0" w:color="auto"/>
      </w:pBdr>
      <w:spacing w:before="100" w:beforeAutospacing="1" w:after="100" w:afterAutospacing="1" w:line="360" w:lineRule="auto"/>
      <w:jc w:val="center"/>
      <w:textAlignment w:val="center"/>
    </w:pPr>
    <w:rPr>
      <w:rFonts w:ascii="Arial Unicode MS" w:eastAsia="Arial Unicode MS" w:hAnsi="Arial Unicode MS" w:cs="Arial Unicode MS"/>
      <w:color w:val="000000"/>
      <w:kern w:val="0"/>
      <w:sz w:val="24"/>
      <w:szCs w:val="21"/>
    </w:rPr>
  </w:style>
  <w:style w:type="paragraph" w:customStyle="1" w:styleId="affffffffffffffffff6">
    <w:name w:val="二级标题"/>
    <w:basedOn w:val="22"/>
    <w:qFormat/>
    <w:pPr>
      <w:tabs>
        <w:tab w:val="left" w:pos="480"/>
        <w:tab w:val="left" w:pos="845"/>
      </w:tabs>
      <w:adjustRightInd w:val="0"/>
      <w:snapToGrid w:val="0"/>
      <w:spacing w:after="40" w:line="324" w:lineRule="auto"/>
      <w:ind w:left="845" w:hanging="425"/>
      <w:jc w:val="left"/>
    </w:pPr>
    <w:rPr>
      <w:rFonts w:eastAsia="方正大标宋简体"/>
      <w:b/>
      <w:spacing w:val="0"/>
      <w:w w:val="100"/>
      <w:kern w:val="2"/>
      <w:sz w:val="30"/>
      <w:szCs w:val="20"/>
    </w:rPr>
  </w:style>
  <w:style w:type="paragraph" w:customStyle="1" w:styleId="08505051">
    <w:name w:val="样式 正文样式 + 首行缩进:  0.85 厘米 段前: 0.5 行 段后: 0.5 行1"/>
    <w:basedOn w:val="a6"/>
    <w:next w:val="a6"/>
    <w:qFormat/>
    <w:pPr>
      <w:spacing w:before="120" w:after="120" w:line="360" w:lineRule="auto"/>
    </w:pPr>
    <w:rPr>
      <w:rFonts w:ascii="Arial" w:hAnsi="Arial"/>
      <w:sz w:val="24"/>
      <w:szCs w:val="20"/>
    </w:rPr>
  </w:style>
  <w:style w:type="paragraph" w:customStyle="1" w:styleId="hp2">
    <w:name w:val="hp2"/>
    <w:basedOn w:val="22"/>
    <w:qFormat/>
    <w:pPr>
      <w:keepNext w:val="0"/>
      <w:keepLines w:val="0"/>
      <w:adjustRightInd w:val="0"/>
      <w:spacing w:before="100" w:beforeAutospacing="1" w:afterLines="50" w:after="100" w:afterAutospacing="1" w:line="520" w:lineRule="exact"/>
      <w:jc w:val="left"/>
      <w:textAlignment w:val="baseline"/>
      <w:outlineLvl w:val="9"/>
    </w:pPr>
    <w:rPr>
      <w:rFonts w:ascii="楷体_GB2312" w:eastAsia="楷体_GB2312"/>
      <w:b/>
      <w:spacing w:val="0"/>
      <w:w w:val="100"/>
      <w:kern w:val="2"/>
      <w:sz w:val="30"/>
      <w:szCs w:val="30"/>
    </w:rPr>
  </w:style>
  <w:style w:type="paragraph" w:customStyle="1" w:styleId="2TimesNewRoman051">
    <w:name w:val="样式 标题 2 + (西文) Times New Roman (中文) 黑体 段前: 0.5 行1"/>
    <w:basedOn w:val="22"/>
    <w:qFormat/>
    <w:pPr>
      <w:keepLines w:val="0"/>
      <w:widowControl/>
      <w:tabs>
        <w:tab w:val="left" w:pos="998"/>
      </w:tabs>
      <w:adjustRightInd w:val="0"/>
      <w:snapToGrid w:val="0"/>
      <w:spacing w:beforeLines="100"/>
      <w:ind w:left="576" w:hanging="576"/>
      <w:jc w:val="left"/>
      <w:textAlignment w:val="center"/>
    </w:pPr>
    <w:rPr>
      <w:rFonts w:cs="宋体"/>
      <w:b/>
      <w:color w:val="000000"/>
      <w:spacing w:val="0"/>
      <w:w w:val="100"/>
      <w:kern w:val="16"/>
      <w:szCs w:val="20"/>
    </w:rPr>
  </w:style>
  <w:style w:type="paragraph" w:customStyle="1" w:styleId="xl216">
    <w:name w:val="xl216"/>
    <w:basedOn w:val="a6"/>
    <w:qFormat/>
    <w:pPr>
      <w:widowControl/>
      <w:pBdr>
        <w:left w:val="single" w:sz="8"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rPr>
  </w:style>
  <w:style w:type="paragraph" w:customStyle="1" w:styleId="Char110">
    <w:name w:val="Char11"/>
    <w:basedOn w:val="a6"/>
    <w:qFormat/>
    <w:rPr>
      <w:color w:val="000000"/>
      <w:w w:val="110"/>
      <w:kern w:val="0"/>
      <w:sz w:val="24"/>
    </w:rPr>
  </w:style>
  <w:style w:type="paragraph" w:customStyle="1" w:styleId="119">
    <w:name w:val="索引 11"/>
    <w:basedOn w:val="a6"/>
    <w:next w:val="a6"/>
    <w:qFormat/>
    <w:pPr>
      <w:widowControl/>
      <w:snapToGrid w:val="0"/>
      <w:ind w:leftChars="-25" w:left="-53" w:right="-1"/>
      <w:jc w:val="center"/>
    </w:pPr>
    <w:rPr>
      <w:kern w:val="0"/>
      <w:szCs w:val="21"/>
    </w:rPr>
  </w:style>
  <w:style w:type="paragraph" w:customStyle="1" w:styleId="216">
    <w:name w:val="列表编号 21"/>
    <w:basedOn w:val="a6"/>
    <w:qFormat/>
    <w:pPr>
      <w:tabs>
        <w:tab w:val="left" w:pos="360"/>
      </w:tabs>
      <w:ind w:left="360" w:hanging="360"/>
    </w:pPr>
    <w:rPr>
      <w:szCs w:val="20"/>
    </w:rPr>
  </w:style>
  <w:style w:type="paragraph" w:customStyle="1" w:styleId="xl125">
    <w:name w:val="xl125"/>
    <w:basedOn w:val="a6"/>
    <w:qFormat/>
    <w:pPr>
      <w:widowControl/>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Unicode MS" w:eastAsia="Arial Unicode MS" w:hAnsi="Arial Unicode MS" w:cs="Arial Unicode MS"/>
      <w:kern w:val="0"/>
      <w:sz w:val="20"/>
      <w:szCs w:val="20"/>
    </w:rPr>
  </w:style>
  <w:style w:type="paragraph" w:customStyle="1" w:styleId="CharCharCharCharCharCharCharCharCharCharCharChar11">
    <w:name w:val="Char Char Char Char Char Char Char Char Char Char Char Char11"/>
    <w:basedOn w:val="a6"/>
    <w:next w:val="a6"/>
    <w:qFormat/>
    <w:pPr>
      <w:spacing w:line="360" w:lineRule="auto"/>
      <w:ind w:firstLineChars="200" w:firstLine="200"/>
    </w:pPr>
    <w:rPr>
      <w:rFonts w:ascii="宋体" w:hAnsi="宋体" w:cs="宋体"/>
      <w:sz w:val="24"/>
    </w:rPr>
  </w:style>
  <w:style w:type="paragraph" w:customStyle="1" w:styleId="313">
    <w:name w:val="列表编号 31"/>
    <w:basedOn w:val="a6"/>
    <w:qFormat/>
    <w:pPr>
      <w:tabs>
        <w:tab w:val="left" w:pos="960"/>
      </w:tabs>
      <w:ind w:left="960" w:hanging="450"/>
    </w:pPr>
    <w:rPr>
      <w:szCs w:val="20"/>
    </w:rPr>
  </w:style>
  <w:style w:type="paragraph" w:customStyle="1" w:styleId="68">
    <w:name w:val="样式 标题 6二级项 + 非加粗"/>
    <w:basedOn w:val="6"/>
    <w:qFormat/>
    <w:pPr>
      <w:tabs>
        <w:tab w:val="clear" w:pos="1185"/>
        <w:tab w:val="left" w:pos="360"/>
      </w:tabs>
      <w:spacing w:beforeLines="0" w:before="240" w:after="64" w:line="320" w:lineRule="auto"/>
      <w:ind w:left="227" w:hanging="227"/>
    </w:pPr>
    <w:rPr>
      <w:rFonts w:ascii="Arial" w:hAnsi="Arial"/>
      <w:spacing w:val="0"/>
      <w:w w:val="100"/>
      <w:sz w:val="24"/>
      <w:szCs w:val="24"/>
    </w:rPr>
  </w:style>
  <w:style w:type="paragraph" w:customStyle="1" w:styleId="xl124">
    <w:name w:val="xl124"/>
    <w:basedOn w:val="a6"/>
    <w:qFormat/>
    <w:pPr>
      <w:widowControl/>
      <w:pBdr>
        <w:top w:val="single" w:sz="4" w:space="0" w:color="auto"/>
        <w:left w:val="single" w:sz="4" w:space="0" w:color="auto"/>
        <w:bottom w:val="single" w:sz="4" w:space="0" w:color="auto"/>
      </w:pBdr>
      <w:spacing w:before="100" w:beforeAutospacing="1" w:after="100" w:afterAutospacing="1" w:line="360" w:lineRule="auto"/>
      <w:jc w:val="center"/>
      <w:textAlignment w:val="center"/>
    </w:pPr>
    <w:rPr>
      <w:rFonts w:ascii="Arial Unicode MS" w:eastAsia="Arial Unicode MS" w:hAnsi="Arial Unicode MS" w:cs="Arial Unicode MS"/>
      <w:kern w:val="0"/>
      <w:sz w:val="20"/>
      <w:szCs w:val="20"/>
    </w:rPr>
  </w:style>
  <w:style w:type="paragraph" w:customStyle="1" w:styleId="xl28">
    <w:name w:val="xl28"/>
    <w:basedOn w:val="a6"/>
    <w:qFormat/>
    <w:pPr>
      <w:widowControl/>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18"/>
      <w:szCs w:val="18"/>
    </w:rPr>
  </w:style>
  <w:style w:type="paragraph" w:customStyle="1" w:styleId="ZchnZchnCharCharZchnZchn2">
    <w:name w:val="Zchn Zchn Char Char Zchn Zchn2"/>
    <w:basedOn w:val="a6"/>
    <w:qFormat/>
    <w:pPr>
      <w:tabs>
        <w:tab w:val="left" w:pos="492"/>
      </w:tabs>
      <w:ind w:left="492" w:hanging="132"/>
    </w:pPr>
    <w:rPr>
      <w:rFonts w:ascii="Tahoma" w:eastAsia="楷体_GB2312" w:hAnsi="Tahoma"/>
      <w:color w:val="000000"/>
      <w:spacing w:val="10"/>
      <w:w w:val="110"/>
      <w:kern w:val="0"/>
      <w:sz w:val="24"/>
      <w:szCs w:val="20"/>
    </w:rPr>
  </w:style>
  <w:style w:type="paragraph" w:customStyle="1" w:styleId="CharCharCharCharCharCharCharCharChar6">
    <w:name w:val="Char Char Char Char Char Char Char Char Char6"/>
    <w:basedOn w:val="a6"/>
    <w:qFormat/>
    <w:rPr>
      <w:szCs w:val="21"/>
    </w:rPr>
  </w:style>
  <w:style w:type="paragraph" w:customStyle="1" w:styleId="xl1065">
    <w:name w:val="xl1065"/>
    <w:basedOn w:val="a6"/>
    <w:qFormat/>
    <w:pPr>
      <w:widowControl/>
      <w:pBdr>
        <w:top w:val="single" w:sz="8" w:space="0" w:color="FFFF00"/>
        <w:left w:val="single" w:sz="4" w:space="0" w:color="auto"/>
        <w:bottom w:val="single" w:sz="8" w:space="0" w:color="FFFF00"/>
        <w:right w:val="single" w:sz="4" w:space="0" w:color="auto"/>
      </w:pBdr>
      <w:shd w:val="clear" w:color="000000" w:fill="0070C0"/>
      <w:spacing w:before="100" w:beforeAutospacing="1" w:after="100" w:afterAutospacing="1"/>
      <w:jc w:val="center"/>
    </w:pPr>
    <w:rPr>
      <w:rFonts w:ascii="Arial" w:hAnsi="Arial" w:cs="Arial"/>
      <w:kern w:val="0"/>
      <w:sz w:val="18"/>
      <w:szCs w:val="18"/>
    </w:rPr>
  </w:style>
  <w:style w:type="paragraph" w:customStyle="1" w:styleId="xl213">
    <w:name w:val="xl213"/>
    <w:basedOn w:val="a6"/>
    <w:qFormat/>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rPr>
  </w:style>
  <w:style w:type="paragraph" w:customStyle="1" w:styleId="TableBody">
    <w:name w:val="Table Body"/>
    <w:basedOn w:val="a6"/>
    <w:qFormat/>
    <w:pPr>
      <w:widowControl/>
      <w:spacing w:before="80" w:after="80"/>
      <w:jc w:val="left"/>
    </w:pPr>
    <w:rPr>
      <w:rFonts w:ascii="Arial" w:eastAsia="MS Mincho" w:hAnsi="Arial" w:cs="宋体"/>
      <w:kern w:val="0"/>
      <w:sz w:val="18"/>
      <w:szCs w:val="20"/>
      <w:lang w:eastAsia="ja-JP"/>
    </w:rPr>
  </w:style>
  <w:style w:type="paragraph" w:customStyle="1" w:styleId="Byline">
    <w:name w:val="Byline"/>
    <w:basedOn w:val="af8"/>
    <w:qFormat/>
    <w:pPr>
      <w:widowControl/>
      <w:spacing w:after="0" w:line="360" w:lineRule="auto"/>
      <w:jc w:val="left"/>
    </w:pPr>
    <w:rPr>
      <w:rFonts w:ascii="Arial" w:hAnsi="Arial" w:cs="宋体"/>
      <w:kern w:val="0"/>
      <w:sz w:val="24"/>
      <w:szCs w:val="20"/>
    </w:rPr>
  </w:style>
  <w:style w:type="paragraph" w:customStyle="1" w:styleId="777777777CharCharCharChar">
    <w:name w:val="777777777 Char Char Char Char"/>
    <w:basedOn w:val="a6"/>
    <w:qFormat/>
    <w:pPr>
      <w:widowControl/>
      <w:spacing w:line="400" w:lineRule="exact"/>
      <w:ind w:firstLineChars="200" w:firstLine="560"/>
      <w:jc w:val="left"/>
    </w:pPr>
    <w:rPr>
      <w:rFonts w:ascii="宋体" w:hAnsi="宋体" w:cs="宋体"/>
      <w:kern w:val="0"/>
      <w:sz w:val="28"/>
      <w:szCs w:val="20"/>
    </w:rPr>
  </w:style>
  <w:style w:type="paragraph" w:customStyle="1" w:styleId="-8">
    <w:name w:val="标-8"/>
    <w:qFormat/>
    <w:pPr>
      <w:numPr>
        <w:numId w:val="15"/>
      </w:numPr>
      <w:ind w:left="2126"/>
    </w:pPr>
    <w:rPr>
      <w:rFonts w:cs="宋体"/>
    </w:rPr>
  </w:style>
  <w:style w:type="paragraph" w:customStyle="1" w:styleId="-70">
    <w:name w:val="标-7"/>
    <w:basedOn w:val="a6"/>
    <w:qFormat/>
    <w:pPr>
      <w:tabs>
        <w:tab w:val="left" w:pos="420"/>
      </w:tabs>
      <w:spacing w:before="120"/>
      <w:ind w:left="1701" w:hanging="425"/>
    </w:pPr>
    <w:rPr>
      <w:sz w:val="24"/>
      <w:szCs w:val="20"/>
    </w:rPr>
  </w:style>
  <w:style w:type="paragraph" w:customStyle="1" w:styleId="CharChar3CharCharCharChar2">
    <w:name w:val="Char Char3 Char Char Char Char2"/>
    <w:basedOn w:val="a6"/>
    <w:qFormat/>
    <w:pPr>
      <w:widowControl/>
      <w:spacing w:after="160" w:line="240" w:lineRule="exact"/>
      <w:jc w:val="left"/>
    </w:pPr>
    <w:rPr>
      <w:rFonts w:ascii="Verdana" w:hAnsi="Verdana" w:cs="Verdana"/>
      <w:kern w:val="0"/>
      <w:sz w:val="20"/>
      <w:lang w:eastAsia="en-US"/>
    </w:rPr>
  </w:style>
  <w:style w:type="paragraph" w:customStyle="1" w:styleId="affffffffffffffffff7">
    <w:name w:val="表格文字－小四"/>
    <w:basedOn w:val="a6"/>
    <w:qFormat/>
    <w:pPr>
      <w:widowControl/>
      <w:adjustRightInd w:val="0"/>
      <w:snapToGrid w:val="0"/>
      <w:spacing w:line="360" w:lineRule="auto"/>
      <w:jc w:val="left"/>
    </w:pPr>
    <w:rPr>
      <w:rFonts w:cs="宋体"/>
      <w:kern w:val="0"/>
      <w:sz w:val="24"/>
    </w:rPr>
  </w:style>
  <w:style w:type="paragraph" w:customStyle="1" w:styleId="2H211lxb211h2Char">
    <w:name w:val="样式 标题 2节H2节标题 1.1二级标题标题 lxb21.1h2第一层条二级标题 Char表标题单位名..."/>
    <w:basedOn w:val="22"/>
    <w:qFormat/>
    <w:rPr>
      <w:rFonts w:ascii="黑体" w:hAnsi="黑体" w:cs="宋体"/>
      <w:color w:val="000000"/>
      <w:spacing w:val="0"/>
      <w:w w:val="100"/>
      <w:kern w:val="2"/>
      <w:szCs w:val="20"/>
    </w:rPr>
  </w:style>
  <w:style w:type="paragraph" w:customStyle="1" w:styleId="CharChar211">
    <w:name w:val="Char Char211"/>
    <w:basedOn w:val="a6"/>
    <w:qFormat/>
    <w:rPr>
      <w:szCs w:val="20"/>
    </w:rPr>
  </w:style>
  <w:style w:type="paragraph" w:customStyle="1" w:styleId="xl960">
    <w:name w:val="xl960"/>
    <w:basedOn w:val="a6"/>
    <w:qFormat/>
    <w:pPr>
      <w:widowControl/>
      <w:spacing w:before="100" w:beforeAutospacing="1" w:after="100" w:afterAutospacing="1"/>
      <w:jc w:val="left"/>
    </w:pPr>
    <w:rPr>
      <w:rFonts w:ascii="宋体" w:hAnsi="宋体" w:cs="宋体"/>
      <w:kern w:val="0"/>
      <w:sz w:val="18"/>
      <w:szCs w:val="18"/>
    </w:rPr>
  </w:style>
  <w:style w:type="paragraph" w:customStyle="1" w:styleId="xl114">
    <w:name w:val="xl11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kern w:val="0"/>
      <w:sz w:val="20"/>
      <w:szCs w:val="20"/>
    </w:rPr>
  </w:style>
  <w:style w:type="paragraph" w:customStyle="1" w:styleId="pl">
    <w:name w:val="pl表格后"/>
    <w:basedOn w:val="a6"/>
    <w:qFormat/>
    <w:pPr>
      <w:widowControl/>
      <w:adjustRightInd w:val="0"/>
      <w:snapToGrid w:val="0"/>
      <w:ind w:firstLineChars="200" w:firstLine="560"/>
      <w:jc w:val="left"/>
    </w:pPr>
    <w:rPr>
      <w:rFonts w:ascii="宋体" w:hAnsi="宋体" w:cs="宋体"/>
      <w:kern w:val="0"/>
      <w:sz w:val="28"/>
    </w:rPr>
  </w:style>
  <w:style w:type="paragraph" w:customStyle="1" w:styleId="c">
    <w:name w:val="c_"/>
    <w:qFormat/>
    <w:pPr>
      <w:widowControl w:val="0"/>
      <w:autoSpaceDE w:val="0"/>
      <w:autoSpaceDN w:val="0"/>
      <w:adjustRightInd w:val="0"/>
      <w:jc w:val="both"/>
    </w:pPr>
    <w:rPr>
      <w:rFonts w:ascii="五" w:eastAsia="五"/>
      <w:sz w:val="24"/>
    </w:rPr>
  </w:style>
  <w:style w:type="paragraph" w:customStyle="1" w:styleId="Charffffffffff4">
    <w:name w:val="小标 Char"/>
    <w:basedOn w:val="afc"/>
    <w:qFormat/>
    <w:pPr>
      <w:spacing w:line="240" w:lineRule="auto"/>
      <w:ind w:firstLineChars="0" w:firstLine="0"/>
    </w:pPr>
    <w:rPr>
      <w:rFonts w:eastAsia="宋体" w:cs="仿宋_GB2312"/>
      <w:color w:val="auto"/>
      <w:spacing w:val="0"/>
      <w:kern w:val="0"/>
      <w:sz w:val="20"/>
    </w:rPr>
  </w:style>
  <w:style w:type="paragraph" w:customStyle="1" w:styleId="xl1016">
    <w:name w:val="xl1016"/>
    <w:basedOn w:val="a6"/>
    <w:qFormat/>
    <w:pPr>
      <w:widowControl/>
      <w:pBdr>
        <w:top w:val="single" w:sz="4" w:space="0" w:color="auto"/>
        <w:right w:val="single" w:sz="4" w:space="0" w:color="auto"/>
      </w:pBdr>
      <w:spacing w:before="100" w:beforeAutospacing="1" w:after="100" w:afterAutospacing="1"/>
      <w:jc w:val="center"/>
    </w:pPr>
    <w:rPr>
      <w:rFonts w:ascii="Arial" w:hAnsi="Arial" w:cs="Arial"/>
      <w:kern w:val="0"/>
      <w:sz w:val="18"/>
      <w:szCs w:val="18"/>
    </w:rPr>
  </w:style>
  <w:style w:type="paragraph" w:customStyle="1" w:styleId="Bullet">
    <w:name w:val="Bullet"/>
    <w:basedOn w:val="a6"/>
    <w:next w:val="a6"/>
    <w:qFormat/>
    <w:pPr>
      <w:widowControl/>
      <w:suppressLineNumbers/>
      <w:tabs>
        <w:tab w:val="left" w:pos="840"/>
      </w:tabs>
      <w:suppressAutoHyphens/>
      <w:spacing w:after="240"/>
      <w:ind w:left="720" w:hanging="360"/>
    </w:pPr>
    <w:rPr>
      <w:kern w:val="0"/>
      <w:sz w:val="23"/>
      <w:szCs w:val="20"/>
      <w:lang w:eastAsia="en-US"/>
    </w:rPr>
  </w:style>
  <w:style w:type="paragraph" w:customStyle="1" w:styleId="pl0">
    <w:name w:val="pl标题"/>
    <w:basedOn w:val="33"/>
    <w:qFormat/>
    <w:pPr>
      <w:keepNext w:val="0"/>
      <w:widowControl/>
      <w:tabs>
        <w:tab w:val="left" w:pos="720"/>
      </w:tabs>
      <w:adjustRightInd w:val="0"/>
      <w:snapToGrid w:val="0"/>
      <w:spacing w:line="360" w:lineRule="auto"/>
      <w:jc w:val="left"/>
    </w:pPr>
    <w:rPr>
      <w:rFonts w:ascii="Calibri" w:eastAsia="宋体" w:hAnsi="Calibri"/>
      <w:b/>
      <w:bCs/>
      <w:spacing w:val="0"/>
      <w:szCs w:val="24"/>
    </w:rPr>
  </w:style>
  <w:style w:type="paragraph" w:customStyle="1" w:styleId="HeaderBase">
    <w:name w:val="Header Base"/>
    <w:basedOn w:val="a6"/>
    <w:qFormat/>
    <w:pPr>
      <w:widowControl/>
      <w:spacing w:line="360" w:lineRule="auto"/>
      <w:ind w:right="-360"/>
      <w:jc w:val="left"/>
    </w:pPr>
    <w:rPr>
      <w:rFonts w:cs="宋体"/>
      <w:kern w:val="0"/>
      <w:sz w:val="20"/>
      <w:szCs w:val="20"/>
    </w:rPr>
  </w:style>
  <w:style w:type="paragraph" w:customStyle="1" w:styleId="affffffffffffffffff8">
    <w:name w:val="自定义正文"/>
    <w:basedOn w:val="a6"/>
    <w:uiPriority w:val="99"/>
    <w:qFormat/>
    <w:pPr>
      <w:adjustRightInd w:val="0"/>
      <w:spacing w:line="360" w:lineRule="auto"/>
      <w:ind w:firstLine="560"/>
    </w:pPr>
    <w:rPr>
      <w:kern w:val="0"/>
      <w:sz w:val="28"/>
      <w:szCs w:val="20"/>
    </w:rPr>
  </w:style>
  <w:style w:type="paragraph" w:customStyle="1" w:styleId="550">
    <w:name w:val="样式55"/>
    <w:basedOn w:val="a6"/>
    <w:qFormat/>
    <w:pPr>
      <w:widowControl/>
      <w:ind w:firstLineChars="200" w:firstLine="562"/>
      <w:jc w:val="left"/>
    </w:pPr>
    <w:rPr>
      <w:rFonts w:ascii="宋体" w:hAnsi="宋体" w:cs="宋体"/>
      <w:b/>
      <w:kern w:val="0"/>
      <w:sz w:val="28"/>
      <w:szCs w:val="20"/>
    </w:rPr>
  </w:style>
  <w:style w:type="paragraph" w:customStyle="1" w:styleId="0020">
    <w:name w:val="标题002"/>
    <w:basedOn w:val="22"/>
    <w:qFormat/>
    <w:rPr>
      <w:rFonts w:eastAsia="Times New Roman"/>
      <w:bCs w:val="0"/>
      <w:spacing w:val="0"/>
      <w:w w:val="100"/>
      <w:kern w:val="2"/>
      <w:szCs w:val="20"/>
    </w:rPr>
  </w:style>
  <w:style w:type="paragraph" w:customStyle="1" w:styleId="3H3BHead3Char111h33rdlevelReH">
    <w:name w:val="样式 标题 3H3B Head标题 3 Char条标题1.1.1三级标题h33rd level第二层条ReH..."/>
    <w:basedOn w:val="33"/>
    <w:qFormat/>
    <w:pPr>
      <w:keepNext w:val="0"/>
      <w:keepLines w:val="0"/>
      <w:adjustRightInd w:val="0"/>
      <w:spacing w:line="500" w:lineRule="exact"/>
    </w:pPr>
    <w:rPr>
      <w:rFonts w:ascii="楷体_GB2312" w:eastAsia="楷体_GB2312" w:hAnsi="楷体_GB2312" w:cs="楷体_GB2312"/>
      <w:b/>
      <w:spacing w:val="0"/>
      <w:szCs w:val="28"/>
    </w:rPr>
  </w:style>
  <w:style w:type="paragraph" w:customStyle="1" w:styleId="CharChar3CharCharCharChar">
    <w:name w:val="Char Char3 Char Char Char Char"/>
    <w:basedOn w:val="a6"/>
    <w:qFormat/>
    <w:pPr>
      <w:widowControl/>
      <w:spacing w:after="160" w:line="240" w:lineRule="exact"/>
      <w:jc w:val="left"/>
    </w:pPr>
    <w:rPr>
      <w:rFonts w:ascii="Verdana" w:hAnsi="Verdana" w:cs="宋体"/>
      <w:kern w:val="0"/>
      <w:sz w:val="20"/>
      <w:lang w:eastAsia="en-US"/>
    </w:rPr>
  </w:style>
  <w:style w:type="paragraph" w:customStyle="1" w:styleId="xl123">
    <w:name w:val="xl123"/>
    <w:basedOn w:val="a6"/>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a30">
    <w:name w:val="a3"/>
    <w:basedOn w:val="a6"/>
    <w:qFormat/>
    <w:pPr>
      <w:widowControl/>
      <w:spacing w:before="100" w:beforeAutospacing="1" w:after="100" w:afterAutospacing="1"/>
      <w:jc w:val="left"/>
    </w:pPr>
    <w:rPr>
      <w:rFonts w:ascii="宋体" w:hAnsi="宋体" w:cs="宋体"/>
      <w:color w:val="000000"/>
      <w:kern w:val="0"/>
      <w:sz w:val="24"/>
    </w:rPr>
  </w:style>
  <w:style w:type="paragraph" w:customStyle="1" w:styleId="reader-word-layerreader-word-s3-28">
    <w:name w:val="reader-word-layer reader-word-s3-28"/>
    <w:basedOn w:val="a6"/>
    <w:qFormat/>
    <w:pPr>
      <w:widowControl/>
      <w:spacing w:before="100" w:beforeAutospacing="1" w:after="100" w:afterAutospacing="1"/>
      <w:jc w:val="left"/>
    </w:pPr>
    <w:rPr>
      <w:rFonts w:ascii="宋体" w:hAnsi="宋体" w:cs="宋体"/>
      <w:kern w:val="0"/>
      <w:sz w:val="24"/>
    </w:rPr>
  </w:style>
  <w:style w:type="paragraph" w:customStyle="1" w:styleId="affffffffffffffffff9">
    <w:name w:val="地方"/>
    <w:basedOn w:val="a6"/>
    <w:qFormat/>
    <w:pPr>
      <w:widowControl/>
      <w:spacing w:line="360" w:lineRule="auto"/>
      <w:jc w:val="left"/>
    </w:pPr>
    <w:rPr>
      <w:rFonts w:ascii="宋体" w:hAnsi="宋体" w:cs="宋体"/>
      <w:b/>
      <w:kern w:val="0"/>
      <w:sz w:val="24"/>
    </w:rPr>
  </w:style>
  <w:style w:type="paragraph" w:customStyle="1" w:styleId="xl121">
    <w:name w:val="xl121"/>
    <w:basedOn w:val="a6"/>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1fffe">
    <w:name w:val="日期1"/>
    <w:basedOn w:val="a6"/>
    <w:next w:val="a6"/>
    <w:qFormat/>
    <w:pPr>
      <w:adjustRightInd w:val="0"/>
      <w:spacing w:line="360" w:lineRule="atLeast"/>
      <w:textAlignment w:val="baseline"/>
    </w:pPr>
    <w:rPr>
      <w:rFonts w:ascii="宋体"/>
      <w:kern w:val="0"/>
      <w:sz w:val="28"/>
      <w:szCs w:val="20"/>
    </w:rPr>
  </w:style>
  <w:style w:type="paragraph" w:customStyle="1" w:styleId="xl217">
    <w:name w:val="xl217"/>
    <w:basedOn w:val="a6"/>
    <w:qFormat/>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rPr>
  </w:style>
  <w:style w:type="paragraph" w:customStyle="1" w:styleId="APMingLiUChar">
    <w:name w:val="样式 正文A + (中文) PMingLiU Char"/>
    <w:basedOn w:val="a6"/>
    <w:qFormat/>
    <w:pPr>
      <w:widowControl/>
      <w:spacing w:line="480" w:lineRule="auto"/>
      <w:ind w:firstLineChars="200" w:firstLine="200"/>
      <w:jc w:val="left"/>
    </w:pPr>
    <w:rPr>
      <w:rFonts w:cs="宋体"/>
      <w:kern w:val="0"/>
      <w:sz w:val="24"/>
    </w:rPr>
  </w:style>
  <w:style w:type="paragraph" w:customStyle="1" w:styleId="xl119">
    <w:name w:val="xl119"/>
    <w:basedOn w:val="a6"/>
    <w:qFormat/>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2CharChar8">
    <w:name w:val="样式2 Char Char"/>
    <w:basedOn w:val="a6"/>
    <w:qFormat/>
    <w:pPr>
      <w:tabs>
        <w:tab w:val="decimal" w:pos="0"/>
      </w:tabs>
      <w:jc w:val="center"/>
    </w:pPr>
    <w:rPr>
      <w:rFonts w:ascii="宋体" w:hAnsi="宋体" w:cs="Arial"/>
      <w:color w:val="000000"/>
      <w:w w:val="80"/>
      <w:sz w:val="24"/>
      <w:szCs w:val="18"/>
    </w:rPr>
  </w:style>
  <w:style w:type="paragraph" w:customStyle="1" w:styleId="02135">
    <w:name w:val="样式 四号 非加粗 加宽量  0.2 磅 行距: 多倍行距 1.35 字行"/>
    <w:basedOn w:val="a6"/>
    <w:qFormat/>
    <w:pPr>
      <w:spacing w:line="324" w:lineRule="auto"/>
      <w:ind w:firstLineChars="200" w:firstLine="576"/>
    </w:pPr>
    <w:rPr>
      <w:spacing w:val="4"/>
      <w:sz w:val="28"/>
      <w:szCs w:val="20"/>
    </w:rPr>
  </w:style>
  <w:style w:type="paragraph" w:customStyle="1" w:styleId="q4">
    <w:name w:val="q4"/>
    <w:basedOn w:val="a6"/>
    <w:qFormat/>
    <w:pPr>
      <w:keepNext/>
      <w:keepLines/>
      <w:widowControl/>
      <w:tabs>
        <w:tab w:val="left" w:pos="851"/>
      </w:tabs>
      <w:adjustRightInd w:val="0"/>
      <w:spacing w:before="120" w:after="120" w:line="300" w:lineRule="exact"/>
      <w:ind w:firstLine="510"/>
      <w:jc w:val="left"/>
      <w:textAlignment w:val="baseline"/>
    </w:pPr>
    <w:rPr>
      <w:rFonts w:ascii="Arial" w:hAnsi="Arial" w:cs="宋体"/>
      <w:b/>
      <w:color w:val="000000"/>
      <w:kern w:val="44"/>
      <w:sz w:val="24"/>
      <w:szCs w:val="20"/>
    </w:rPr>
  </w:style>
  <w:style w:type="paragraph" w:customStyle="1" w:styleId="1ffff">
    <w:name w:val="表格文字 1"/>
    <w:basedOn w:val="a6"/>
    <w:qFormat/>
    <w:pPr>
      <w:widowControl/>
      <w:adjustRightInd w:val="0"/>
      <w:snapToGrid w:val="0"/>
      <w:jc w:val="center"/>
    </w:pPr>
    <w:rPr>
      <w:rFonts w:cs="宋体"/>
      <w:kern w:val="0"/>
      <w:sz w:val="24"/>
      <w:szCs w:val="21"/>
    </w:rPr>
  </w:style>
  <w:style w:type="paragraph" w:customStyle="1" w:styleId="440">
    <w:name w:val="标题44"/>
    <w:basedOn w:val="a6"/>
    <w:qFormat/>
    <w:pPr>
      <w:spacing w:line="360" w:lineRule="auto"/>
      <w:outlineLvl w:val="0"/>
    </w:pPr>
    <w:rPr>
      <w:sz w:val="24"/>
      <w:szCs w:val="32"/>
    </w:rPr>
  </w:style>
  <w:style w:type="paragraph" w:customStyle="1" w:styleId="chn">
    <w:name w:val="chn中文正文"/>
    <w:qFormat/>
    <w:pPr>
      <w:spacing w:beforeLines="50" w:afterLines="50" w:line="300" w:lineRule="auto"/>
      <w:ind w:firstLineChars="200" w:firstLine="480"/>
    </w:pPr>
    <w:rPr>
      <w:sz w:val="24"/>
    </w:rPr>
  </w:style>
  <w:style w:type="paragraph" w:customStyle="1" w:styleId="affffffffffffffffffa">
    <w:name w:val="作者"/>
    <w:basedOn w:val="a6"/>
    <w:qFormat/>
    <w:pPr>
      <w:overflowPunct w:val="0"/>
      <w:topLinePunct/>
      <w:adjustRightInd w:val="0"/>
      <w:snapToGrid w:val="0"/>
      <w:spacing w:line="300" w:lineRule="auto"/>
      <w:jc w:val="center"/>
      <w:textAlignment w:val="center"/>
    </w:pPr>
    <w:rPr>
      <w:rFonts w:eastAsia="楷体_GB2312"/>
      <w:snapToGrid w:val="0"/>
      <w:sz w:val="28"/>
      <w:szCs w:val="28"/>
    </w:rPr>
  </w:style>
  <w:style w:type="paragraph" w:customStyle="1" w:styleId="314">
    <w:name w:val="日期31"/>
    <w:basedOn w:val="a6"/>
    <w:next w:val="a6"/>
    <w:qFormat/>
    <w:pPr>
      <w:adjustRightInd w:val="0"/>
      <w:jc w:val="left"/>
    </w:pPr>
    <w:rPr>
      <w:rFonts w:ascii="宋体" w:hint="eastAsia"/>
      <w:spacing w:val="24"/>
      <w:kern w:val="24"/>
      <w:sz w:val="24"/>
      <w:szCs w:val="20"/>
    </w:rPr>
  </w:style>
  <w:style w:type="paragraph" w:customStyle="1" w:styleId="1000505">
    <w:name w:val="样式 标题 1 + 左侧:  0 厘米 首行缩进:  0 厘米 段前: 0.5 行 段后: 0.5 行"/>
    <w:basedOn w:val="12"/>
    <w:qFormat/>
    <w:pPr>
      <w:keepNext w:val="0"/>
      <w:keepLines w:val="0"/>
      <w:tabs>
        <w:tab w:val="left" w:pos="0"/>
      </w:tabs>
      <w:adjustRightInd w:val="0"/>
      <w:snapToGrid w:val="0"/>
      <w:spacing w:before="100" w:beforeAutospacing="1" w:after="100" w:afterAutospacing="1" w:line="324" w:lineRule="auto"/>
      <w:jc w:val="left"/>
    </w:pPr>
    <w:rPr>
      <w:rFonts w:hAnsi="黑体"/>
      <w:b w:val="0"/>
      <w:spacing w:val="8"/>
      <w:kern w:val="2"/>
      <w:sz w:val="32"/>
      <w:szCs w:val="20"/>
    </w:rPr>
  </w:style>
  <w:style w:type="paragraph" w:customStyle="1" w:styleId="2fff6">
    <w:name w:val="正文(首行缩进两字2)"/>
    <w:basedOn w:val="a6"/>
    <w:qFormat/>
    <w:pPr>
      <w:spacing w:line="480" w:lineRule="exact"/>
      <w:ind w:rightChars="-6" w:right="-13" w:firstLineChars="200" w:firstLine="560"/>
    </w:pPr>
    <w:rPr>
      <w:rFonts w:ascii="Calibri" w:eastAsia="仿宋_GB2312" w:hAnsi="Calibri"/>
      <w:color w:val="000000"/>
      <w:w w:val="110"/>
      <w:kern w:val="0"/>
      <w:sz w:val="28"/>
      <w:szCs w:val="20"/>
    </w:rPr>
  </w:style>
  <w:style w:type="paragraph" w:customStyle="1" w:styleId="CharCharCharChar10">
    <w:name w:val="Char Char Char Char1"/>
    <w:basedOn w:val="a6"/>
    <w:qFormat/>
    <w:rPr>
      <w:color w:val="000000"/>
      <w:w w:val="110"/>
      <w:kern w:val="0"/>
      <w:sz w:val="24"/>
    </w:rPr>
  </w:style>
  <w:style w:type="paragraph" w:customStyle="1" w:styleId="21222">
    <w:name w:val="样式 样式 样式 样式 首行缩进:  2 字符1 + 首行缩进:  2 字符 + 首行缩进:  2 字符 + 首行缩进:  2 ..."/>
    <w:basedOn w:val="a6"/>
    <w:qFormat/>
    <w:pPr>
      <w:ind w:firstLineChars="200" w:firstLine="500"/>
    </w:pPr>
    <w:rPr>
      <w:sz w:val="24"/>
      <w:szCs w:val="20"/>
    </w:rPr>
  </w:style>
  <w:style w:type="paragraph" w:customStyle="1" w:styleId="xl983">
    <w:name w:val="xl983"/>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ffffffffffffffffffb">
    <w:name w:val="表里"/>
    <w:basedOn w:val="a6"/>
    <w:qFormat/>
    <w:pPr>
      <w:keepNext/>
      <w:widowControl/>
      <w:adjustRightInd w:val="0"/>
      <w:snapToGrid w:val="0"/>
      <w:spacing w:line="300" w:lineRule="auto"/>
      <w:jc w:val="center"/>
      <w:outlineLvl w:val="8"/>
    </w:pPr>
    <w:rPr>
      <w:rFonts w:ascii="宋体" w:hAnsi="宋体" w:cs="宋体"/>
      <w:kern w:val="0"/>
      <w:sz w:val="24"/>
    </w:rPr>
  </w:style>
  <w:style w:type="paragraph" w:customStyle="1" w:styleId="1202">
    <w:name w:val="样式 目录 1 + 小三 首行缩进:  2 字符 段前: 0.2 行"/>
    <w:basedOn w:val="aa"/>
    <w:next w:val="13"/>
    <w:qFormat/>
    <w:pPr>
      <w:pageBreakBefore w:val="0"/>
      <w:spacing w:beforeLines="20" w:before="0" w:afterLines="20" w:after="0" w:line="300" w:lineRule="auto"/>
      <w:ind w:left="1138"/>
      <w:jc w:val="both"/>
    </w:pPr>
    <w:rPr>
      <w:rFonts w:ascii="Arial" w:hAnsi="Arial"/>
      <w:bCs w:val="0"/>
      <w:kern w:val="0"/>
      <w:sz w:val="24"/>
      <w:lang w:val="en-GB"/>
    </w:rPr>
  </w:style>
  <w:style w:type="paragraph" w:customStyle="1" w:styleId="xl152">
    <w:name w:val="xl152"/>
    <w:basedOn w:val="a6"/>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04">
    <w:name w:val="xl104"/>
    <w:basedOn w:val="a6"/>
    <w:qFormat/>
    <w:pPr>
      <w:widowControl/>
      <w:pBdr>
        <w:top w:val="single" w:sz="4" w:space="0" w:color="auto"/>
        <w:left w:val="single" w:sz="4" w:space="0" w:color="auto"/>
        <w:bottom w:val="single" w:sz="4" w:space="0" w:color="auto"/>
      </w:pBdr>
      <w:shd w:val="clear" w:color="000000" w:fill="FFFF99"/>
      <w:spacing w:before="100" w:beforeAutospacing="1" w:after="100" w:afterAutospacing="1"/>
      <w:jc w:val="left"/>
      <w:textAlignment w:val="center"/>
    </w:pPr>
    <w:rPr>
      <w:rFonts w:ascii="宋体" w:hAnsi="宋体" w:cs="宋体"/>
      <w:kern w:val="0"/>
      <w:sz w:val="20"/>
      <w:szCs w:val="20"/>
    </w:rPr>
  </w:style>
  <w:style w:type="paragraph" w:customStyle="1" w:styleId="1ffff0">
    <w:name w:val="样式 标题 1 + 加粗"/>
    <w:qFormat/>
    <w:pPr>
      <w:spacing w:before="100" w:beforeAutospacing="1" w:after="100" w:afterAutospacing="1" w:line="360" w:lineRule="auto"/>
    </w:pPr>
    <w:rPr>
      <w:rFonts w:eastAsia="黑体"/>
      <w:sz w:val="32"/>
      <w:vertAlign w:val="superscript"/>
    </w:rPr>
  </w:style>
  <w:style w:type="paragraph" w:customStyle="1" w:styleId="11a">
    <w:name w:val="标题 11"/>
    <w:basedOn w:val="a6"/>
    <w:next w:val="a6"/>
    <w:qFormat/>
    <w:pPr>
      <w:keepNext/>
      <w:keepLines/>
      <w:spacing w:before="340" w:after="330" w:line="576" w:lineRule="auto"/>
      <w:outlineLvl w:val="0"/>
    </w:pPr>
    <w:rPr>
      <w:rFonts w:ascii="宋体" w:hAnsi="宋体"/>
      <w:b/>
      <w:bCs/>
      <w:color w:val="000000"/>
      <w:w w:val="110"/>
      <w:kern w:val="44"/>
      <w:sz w:val="30"/>
      <w:szCs w:val="44"/>
    </w:rPr>
  </w:style>
  <w:style w:type="paragraph" w:customStyle="1" w:styleId="3H3BHead3Char1113h33rdlevel">
    <w:name w:val="样式 样式 标题 3H3B Head标题 3 Char条标题1.1.1三级标题标题3h33rd level第二层条... + 加粗"/>
    <w:uiPriority w:val="99"/>
    <w:qFormat/>
    <w:rPr>
      <w:b/>
    </w:rPr>
  </w:style>
  <w:style w:type="paragraph" w:customStyle="1" w:styleId="3H3BHead3Char1113h33rdlevel0">
    <w:name w:val="样式 标题 3H3B Head标题 3 Char条标题1.1.1三级标题标题3h33rd level第二层条..."/>
    <w:basedOn w:val="33"/>
    <w:qFormat/>
    <w:pPr>
      <w:keepNext w:val="0"/>
      <w:keepLines w:val="0"/>
      <w:overflowPunct w:val="0"/>
      <w:autoSpaceDE w:val="0"/>
      <w:autoSpaceDN w:val="0"/>
      <w:adjustRightInd w:val="0"/>
      <w:snapToGrid w:val="0"/>
      <w:spacing w:before="31" w:after="31" w:line="360" w:lineRule="auto"/>
      <w:jc w:val="left"/>
      <w:textAlignment w:val="baseline"/>
    </w:pPr>
    <w:rPr>
      <w:rFonts w:hAnsi="宋体" w:cs="宋体"/>
      <w:bCs/>
      <w:snapToGrid w:val="0"/>
      <w:color w:val="000000"/>
      <w:spacing w:val="0"/>
      <w:sz w:val="24"/>
      <w:szCs w:val="24"/>
    </w:rPr>
  </w:style>
  <w:style w:type="paragraph" w:customStyle="1" w:styleId="bullets">
    <w:name w:val="bullets"/>
    <w:basedOn w:val="af2"/>
    <w:qFormat/>
    <w:pPr>
      <w:widowControl/>
      <w:numPr>
        <w:numId w:val="16"/>
      </w:numPr>
      <w:tabs>
        <w:tab w:val="clear" w:pos="360"/>
        <w:tab w:val="left" w:pos="1152"/>
      </w:tabs>
      <w:jc w:val="left"/>
    </w:pPr>
    <w:rPr>
      <w:rFonts w:ascii="Arial" w:hAnsi="Arial"/>
      <w:sz w:val="22"/>
      <w:szCs w:val="24"/>
      <w:lang w:eastAsia="en-US"/>
    </w:rPr>
  </w:style>
  <w:style w:type="paragraph" w:customStyle="1" w:styleId="hb2Char">
    <w:name w:val="hb2 Char"/>
    <w:basedOn w:val="22"/>
    <w:qFormat/>
    <w:pPr>
      <w:keepNext w:val="0"/>
      <w:keepLines w:val="0"/>
      <w:topLinePunct/>
      <w:adjustRightInd w:val="0"/>
      <w:spacing w:before="100" w:beforeAutospacing="1" w:afterLines="50" w:after="100" w:afterAutospacing="1" w:line="416" w:lineRule="atLeast"/>
      <w:jc w:val="left"/>
      <w:textAlignment w:val="baseline"/>
    </w:pPr>
    <w:rPr>
      <w:rFonts w:ascii="黑体" w:hAnsi="黑体" w:cs="Arial"/>
      <w:b/>
      <w:bCs w:val="0"/>
      <w:spacing w:val="0"/>
      <w:w w:val="100"/>
      <w:kern w:val="2"/>
      <w:sz w:val="30"/>
      <w:szCs w:val="24"/>
    </w:rPr>
  </w:style>
  <w:style w:type="paragraph" w:customStyle="1" w:styleId="zxl2Char10">
    <w:name w:val="zxl正文首行缩进  2 字符 行距: Char10"/>
    <w:basedOn w:val="a6"/>
    <w:qFormat/>
    <w:pPr>
      <w:widowControl/>
      <w:tabs>
        <w:tab w:val="left" w:pos="-1843"/>
        <w:tab w:val="left" w:pos="1727"/>
        <w:tab w:val="left" w:pos="1884"/>
      </w:tabs>
      <w:spacing w:line="336" w:lineRule="auto"/>
      <w:ind w:firstLineChars="233" w:firstLine="559"/>
      <w:textAlignment w:val="bottom"/>
      <w:outlineLvl w:val="0"/>
    </w:pPr>
    <w:rPr>
      <w:rFonts w:hAnsi="宋体"/>
      <w:sz w:val="24"/>
    </w:rPr>
  </w:style>
  <w:style w:type="paragraph" w:customStyle="1" w:styleId="affffffffffffffffffc">
    <w:name w:val="奉读大示，心折殊深。"/>
    <w:qFormat/>
    <w:pPr>
      <w:widowControl w:val="0"/>
      <w:jc w:val="both"/>
    </w:pPr>
    <w:rPr>
      <w:kern w:val="2"/>
      <w:sz w:val="21"/>
    </w:rPr>
  </w:style>
  <w:style w:type="paragraph" w:customStyle="1" w:styleId="affffffffffffffffffd">
    <w:name w:val="表格内"/>
    <w:qFormat/>
    <w:pPr>
      <w:keepLines/>
      <w:widowControl w:val="0"/>
      <w:tabs>
        <w:tab w:val="left" w:pos="9356"/>
      </w:tabs>
      <w:adjustRightInd w:val="0"/>
      <w:spacing w:before="80" w:after="80" w:line="80" w:lineRule="atLeast"/>
      <w:textAlignment w:val="baseline"/>
    </w:pPr>
    <w:rPr>
      <w:rFonts w:ascii="Arial"/>
      <w:sz w:val="24"/>
    </w:rPr>
  </w:style>
  <w:style w:type="paragraph" w:customStyle="1" w:styleId="1200">
    <w:name w:val="样式 样式12 + 左侧:  0 厘米 首行缩进:  0 厘米"/>
    <w:basedOn w:val="a6"/>
    <w:qFormat/>
    <w:pPr>
      <w:widowControl/>
      <w:tabs>
        <w:tab w:val="left" w:pos="880"/>
      </w:tabs>
      <w:spacing w:line="300" w:lineRule="auto"/>
      <w:ind w:left="767" w:hanging="567"/>
      <w:jc w:val="left"/>
      <w:outlineLvl w:val="2"/>
    </w:pPr>
    <w:rPr>
      <w:rFonts w:ascii="Arial" w:hAnsi="Arial" w:cs="宋体"/>
      <w:snapToGrid w:val="0"/>
      <w:kern w:val="0"/>
      <w:sz w:val="24"/>
      <w:szCs w:val="20"/>
    </w:rPr>
  </w:style>
  <w:style w:type="paragraph" w:customStyle="1" w:styleId="Char8CharChar1">
    <w:name w:val="Char8 Char Char1"/>
    <w:basedOn w:val="a6"/>
    <w:qFormat/>
    <w:pPr>
      <w:widowControl/>
      <w:spacing w:after="160" w:line="240" w:lineRule="exact"/>
      <w:jc w:val="left"/>
    </w:pPr>
    <w:rPr>
      <w:rFonts w:ascii="Arial" w:eastAsia="Times New Roman" w:hAnsi="Arial" w:cs="Verdana"/>
      <w:b/>
      <w:kern w:val="0"/>
      <w:sz w:val="24"/>
      <w:lang w:eastAsia="en-US"/>
    </w:rPr>
  </w:style>
  <w:style w:type="paragraph" w:customStyle="1" w:styleId="affffffffffffffffffe">
    <w:name w:val="图、表头文字"/>
    <w:basedOn w:val="a6"/>
    <w:qFormat/>
    <w:pPr>
      <w:autoSpaceDE w:val="0"/>
      <w:autoSpaceDN w:val="0"/>
      <w:adjustRightInd w:val="0"/>
      <w:spacing w:before="80" w:after="80"/>
      <w:jc w:val="center"/>
      <w:textAlignment w:val="baseline"/>
    </w:pPr>
    <w:rPr>
      <w:rFonts w:ascii="黑体" w:eastAsia="黑体"/>
      <w:kern w:val="0"/>
      <w:szCs w:val="20"/>
    </w:rPr>
  </w:style>
  <w:style w:type="paragraph" w:customStyle="1" w:styleId="ParaCharCharCharCharCharCharCharCharCharChar">
    <w:name w:val="默认段落字体 Para Char Char Char Char Char Char Char Char Char Char"/>
    <w:basedOn w:val="33"/>
    <w:qFormat/>
    <w:pPr>
      <w:tabs>
        <w:tab w:val="left" w:pos="360"/>
        <w:tab w:val="left" w:pos="900"/>
      </w:tabs>
      <w:adjustRightInd w:val="0"/>
      <w:snapToGrid w:val="0"/>
      <w:spacing w:after="120" w:line="360" w:lineRule="auto"/>
      <w:ind w:leftChars="-12" w:left="542" w:firstLineChars="200" w:firstLine="200"/>
      <w:jc w:val="left"/>
    </w:pPr>
    <w:rPr>
      <w:rFonts w:ascii="宋体" w:hAnsi="宋体" w:cs="宋体"/>
      <w:bCs/>
      <w:color w:val="000000"/>
      <w:spacing w:val="0"/>
      <w:sz w:val="24"/>
      <w:szCs w:val="24"/>
    </w:rPr>
  </w:style>
  <w:style w:type="paragraph" w:customStyle="1" w:styleId="afffffffffffffffffff">
    <w:name w:val="三级条"/>
    <w:basedOn w:val="a6"/>
    <w:qFormat/>
    <w:pPr>
      <w:widowControl/>
      <w:spacing w:line="440" w:lineRule="exact"/>
      <w:jc w:val="left"/>
    </w:pPr>
    <w:rPr>
      <w:rFonts w:ascii="宋体" w:cs="宋体"/>
      <w:kern w:val="0"/>
      <w:sz w:val="24"/>
      <w:szCs w:val="20"/>
    </w:rPr>
  </w:style>
  <w:style w:type="paragraph" w:customStyle="1" w:styleId="afffffffffffffffffff0">
    <w:name w:val="样式王鹏"/>
    <w:basedOn w:val="a6"/>
    <w:qFormat/>
    <w:pPr>
      <w:widowControl/>
      <w:spacing w:line="300" w:lineRule="auto"/>
      <w:ind w:firstLineChars="200" w:firstLine="504"/>
      <w:jc w:val="left"/>
    </w:pPr>
    <w:rPr>
      <w:rFonts w:cs="宋体"/>
      <w:color w:val="000000"/>
      <w:spacing w:val="6"/>
      <w:kern w:val="0"/>
      <w:sz w:val="24"/>
    </w:rPr>
  </w:style>
  <w:style w:type="paragraph" w:customStyle="1" w:styleId="afffffffffffffffffff1">
    <w:name w:val="麦志勤正文"/>
    <w:basedOn w:val="a6"/>
    <w:qFormat/>
    <w:pPr>
      <w:adjustRightInd w:val="0"/>
      <w:snapToGrid w:val="0"/>
      <w:spacing w:beforeLines="20" w:line="300" w:lineRule="auto"/>
      <w:ind w:firstLineChars="200" w:firstLine="480"/>
    </w:pPr>
    <w:rPr>
      <w:sz w:val="24"/>
      <w:szCs w:val="28"/>
    </w:rPr>
  </w:style>
  <w:style w:type="paragraph" w:customStyle="1" w:styleId="5f6">
    <w:name w:val="表格文字5号"/>
    <w:basedOn w:val="a6"/>
    <w:qFormat/>
    <w:pPr>
      <w:jc w:val="center"/>
    </w:pPr>
    <w:rPr>
      <w:rFonts w:ascii="宋体"/>
    </w:rPr>
  </w:style>
  <w:style w:type="paragraph" w:customStyle="1" w:styleId="1ffff1">
    <w:name w:val="正文（1）"/>
    <w:basedOn w:val="af0"/>
    <w:next w:val="affc"/>
    <w:qFormat/>
    <w:pPr>
      <w:snapToGrid w:val="0"/>
      <w:spacing w:line="460" w:lineRule="exact"/>
      <w:ind w:firstLineChars="200" w:firstLine="480"/>
      <w:textAlignment w:val="auto"/>
    </w:pPr>
    <w:rPr>
      <w:rFonts w:ascii="Times New Roman" w:hAnsi="Times New Roman" w:cs="宋体"/>
      <w:szCs w:val="24"/>
    </w:rPr>
  </w:style>
  <w:style w:type="paragraph" w:customStyle="1" w:styleId="1ffff2">
    <w:name w:val="表格正文1"/>
    <w:basedOn w:val="a6"/>
    <w:qFormat/>
    <w:pPr>
      <w:widowControl/>
      <w:spacing w:line="360" w:lineRule="auto"/>
      <w:jc w:val="left"/>
    </w:pPr>
    <w:rPr>
      <w:rFonts w:ascii="宋体" w:hAnsi="宋体" w:cs="宋体"/>
      <w:b/>
      <w:bCs/>
      <w:spacing w:val="20"/>
      <w:kern w:val="0"/>
      <w:sz w:val="24"/>
    </w:rPr>
  </w:style>
  <w:style w:type="paragraph" w:customStyle="1" w:styleId="xl109">
    <w:name w:val="xl109"/>
    <w:basedOn w:val="a6"/>
    <w:qFormat/>
    <w:pPr>
      <w:widowControl/>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b/>
      <w:bCs/>
      <w:color w:val="FF0000"/>
      <w:kern w:val="0"/>
      <w:sz w:val="20"/>
      <w:szCs w:val="20"/>
    </w:rPr>
  </w:style>
  <w:style w:type="paragraph" w:customStyle="1" w:styleId="3ff1">
    <w:name w:val="正文样式3"/>
    <w:basedOn w:val="a6"/>
    <w:qFormat/>
    <w:pPr>
      <w:keepLines/>
      <w:adjustRightInd w:val="0"/>
      <w:spacing w:line="20" w:lineRule="atLeast"/>
      <w:jc w:val="center"/>
      <w:textAlignment w:val="baseline"/>
    </w:pPr>
    <w:rPr>
      <w:kern w:val="0"/>
      <w:sz w:val="24"/>
      <w:szCs w:val="20"/>
    </w:rPr>
  </w:style>
  <w:style w:type="paragraph" w:customStyle="1" w:styleId="mhy">
    <w:name w:val="mhy"/>
    <w:basedOn w:val="a6"/>
    <w:qFormat/>
    <w:pPr>
      <w:jc w:val="left"/>
    </w:pPr>
    <w:rPr>
      <w:rFonts w:ascii="宋体"/>
      <w:kern w:val="0"/>
      <w:sz w:val="24"/>
      <w:szCs w:val="20"/>
    </w:rPr>
  </w:style>
  <w:style w:type="paragraph" w:customStyle="1" w:styleId="11b">
    <w:name w:val="页脚11"/>
    <w:basedOn w:val="120"/>
    <w:qFormat/>
    <w:pPr>
      <w:tabs>
        <w:tab w:val="center" w:pos="4153"/>
        <w:tab w:val="right" w:pos="8306"/>
      </w:tabs>
      <w:adjustRightInd w:val="0"/>
      <w:spacing w:line="240" w:lineRule="atLeast"/>
      <w:ind w:firstLineChars="0" w:firstLine="0"/>
      <w:jc w:val="left"/>
      <w:textAlignment w:val="baseline"/>
    </w:pPr>
    <w:rPr>
      <w:rFonts w:ascii="宋体"/>
      <w:sz w:val="18"/>
    </w:rPr>
  </w:style>
  <w:style w:type="paragraph" w:customStyle="1" w:styleId="5f7">
    <w:name w:val="环5表格"/>
    <w:basedOn w:val="a6"/>
    <w:qFormat/>
    <w:pPr>
      <w:jc w:val="center"/>
    </w:pPr>
    <w:rPr>
      <w:rFonts w:ascii="Calibri" w:eastAsia="黑体" w:hAnsi="Calibri" w:cs="黑体"/>
      <w:szCs w:val="22"/>
    </w:rPr>
  </w:style>
  <w:style w:type="paragraph" w:customStyle="1" w:styleId="2150">
    <w:name w:val="样式 首行缩进:  2 字符 行距: 固定值 15 磅"/>
    <w:basedOn w:val="a6"/>
    <w:qFormat/>
    <w:pPr>
      <w:spacing w:line="400" w:lineRule="exact"/>
      <w:ind w:firstLineChars="200" w:firstLine="560"/>
    </w:pPr>
    <w:rPr>
      <w:sz w:val="28"/>
      <w:szCs w:val="28"/>
    </w:rPr>
  </w:style>
  <w:style w:type="paragraph" w:customStyle="1" w:styleId="21121122Char1Heading22112">
    <w:name w:val="样式 标题 21.1标题 21.1标题2标题 2 Char1节_Heading 2标2二级标题1.1标题 +...2"/>
    <w:basedOn w:val="22"/>
    <w:qFormat/>
    <w:pPr>
      <w:tabs>
        <w:tab w:val="left" w:pos="998"/>
      </w:tabs>
      <w:autoSpaceDE w:val="0"/>
      <w:autoSpaceDN w:val="0"/>
      <w:adjustRightInd w:val="0"/>
      <w:snapToGrid w:val="0"/>
      <w:spacing w:afterLines="50" w:line="240" w:lineRule="auto"/>
      <w:ind w:left="576" w:hanging="576"/>
      <w:jc w:val="left"/>
      <w:textAlignment w:val="bottom"/>
    </w:pPr>
    <w:rPr>
      <w:rFonts w:ascii="黑体" w:hAnsi="Arial"/>
      <w:b/>
      <w:bCs w:val="0"/>
      <w:spacing w:val="0"/>
      <w:w w:val="100"/>
      <w:kern w:val="2"/>
    </w:rPr>
  </w:style>
  <w:style w:type="paragraph" w:customStyle="1" w:styleId="ZhGP2">
    <w:name w:val="ZhGP_正文 2"/>
    <w:basedOn w:val="a6"/>
    <w:qFormat/>
    <w:pPr>
      <w:widowControl/>
      <w:spacing w:line="360" w:lineRule="auto"/>
      <w:ind w:left="799" w:firstLineChars="200" w:firstLine="480"/>
      <w:jc w:val="left"/>
    </w:pPr>
    <w:rPr>
      <w:rFonts w:cs="宋体"/>
      <w:color w:val="0000FF"/>
      <w:kern w:val="0"/>
      <w:sz w:val="24"/>
      <w:szCs w:val="20"/>
    </w:rPr>
  </w:style>
  <w:style w:type="paragraph" w:customStyle="1" w:styleId="CharCharCharCharCharChar1Char1">
    <w:name w:val="Char Char Char Char Char Char1 Char1"/>
    <w:basedOn w:val="a6"/>
    <w:qFormat/>
    <w:rPr>
      <w:color w:val="000000"/>
      <w:w w:val="110"/>
      <w:kern w:val="0"/>
      <w:sz w:val="24"/>
    </w:rPr>
  </w:style>
  <w:style w:type="paragraph" w:customStyle="1" w:styleId="142">
    <w:name w:val="样式 样式 宋体 小四 行距: 多倍行距 1.4 字行 + 首行缩进:  2 字符"/>
    <w:basedOn w:val="a6"/>
    <w:qFormat/>
    <w:pPr>
      <w:spacing w:line="360" w:lineRule="auto"/>
      <w:ind w:firstLineChars="200" w:firstLine="200"/>
    </w:pPr>
    <w:rPr>
      <w:rFonts w:ascii="宋体" w:hAnsi="宋体"/>
      <w:kern w:val="28"/>
      <w:sz w:val="28"/>
      <w:szCs w:val="20"/>
    </w:rPr>
  </w:style>
  <w:style w:type="paragraph" w:customStyle="1" w:styleId="211211H211CharHeadin">
    <w:name w:val="样式 标题 2标题节1.1标题 2节½Ú?¨²节标题节标题 1.1H2节标题 1.1 Char_Headin..."/>
    <w:basedOn w:val="22"/>
    <w:qFormat/>
    <w:pPr>
      <w:spacing w:afterLines="50" w:line="240" w:lineRule="auto"/>
    </w:pPr>
    <w:rPr>
      <w:color w:val="FF0000"/>
      <w:spacing w:val="0"/>
      <w:w w:val="100"/>
      <w:kern w:val="2"/>
      <w:sz w:val="30"/>
      <w:szCs w:val="20"/>
    </w:rPr>
  </w:style>
  <w:style w:type="paragraph" w:customStyle="1" w:styleId="413">
    <w:name w:val="列表 41"/>
    <w:basedOn w:val="a6"/>
    <w:qFormat/>
    <w:pPr>
      <w:ind w:leftChars="600" w:left="100" w:hangingChars="200" w:hanging="200"/>
    </w:pPr>
  </w:style>
  <w:style w:type="paragraph" w:customStyle="1" w:styleId="ParaAttribute35">
    <w:name w:val="ParaAttribute35"/>
    <w:qFormat/>
    <w:pPr>
      <w:widowControl w:val="0"/>
      <w:wordWrap w:val="0"/>
      <w:spacing w:line="158" w:lineRule="exact"/>
    </w:pPr>
  </w:style>
  <w:style w:type="paragraph" w:customStyle="1" w:styleId="font14">
    <w:name w:val="font14"/>
    <w:basedOn w:val="a6"/>
    <w:qFormat/>
    <w:pPr>
      <w:widowControl/>
      <w:spacing w:before="100" w:beforeAutospacing="1" w:after="100" w:afterAutospacing="1"/>
      <w:jc w:val="left"/>
    </w:pPr>
    <w:rPr>
      <w:rFonts w:ascii="宋体" w:hAnsi="宋体" w:hint="eastAsia"/>
      <w:kern w:val="0"/>
      <w:sz w:val="22"/>
      <w:szCs w:val="22"/>
    </w:rPr>
  </w:style>
  <w:style w:type="paragraph" w:customStyle="1" w:styleId="2fff7">
    <w:name w:val="正文首行缩进2字符"/>
    <w:basedOn w:val="a6"/>
    <w:qFormat/>
    <w:pPr>
      <w:widowControl/>
      <w:adjustRightInd w:val="0"/>
      <w:snapToGrid w:val="0"/>
      <w:spacing w:line="360" w:lineRule="auto"/>
      <w:ind w:firstLineChars="200" w:firstLine="560"/>
      <w:jc w:val="left"/>
    </w:pPr>
    <w:rPr>
      <w:rFonts w:ascii="宋体" w:hAnsi="宋体" w:cs="宋体"/>
      <w:kern w:val="0"/>
      <w:sz w:val="28"/>
      <w:szCs w:val="20"/>
    </w:rPr>
  </w:style>
  <w:style w:type="paragraph" w:customStyle="1" w:styleId="CharCharCharCharCharCharChar0">
    <w:name w:val="Char Char Char Char Char Char Char"/>
    <w:basedOn w:val="a6"/>
    <w:next w:val="a6"/>
    <w:qFormat/>
    <w:pPr>
      <w:widowControl/>
      <w:jc w:val="left"/>
    </w:pPr>
  </w:style>
  <w:style w:type="paragraph" w:customStyle="1" w:styleId="CharCharChar1CharCharCharCharCharCharChar4">
    <w:name w:val="Char Char Char1 Char Char Char Char Char Char Char4"/>
    <w:basedOn w:val="a6"/>
    <w:qFormat/>
    <w:rPr>
      <w:kern w:val="0"/>
      <w:sz w:val="24"/>
      <w:szCs w:val="20"/>
    </w:rPr>
  </w:style>
  <w:style w:type="paragraph" w:customStyle="1" w:styleId="CharCharCharCharCharCharCharCharCharCharCharCharCharCharCharCharCharCharCharCharChar1">
    <w:name w:val="Char Char Char Char Char Char Char Char Char Char Char Char Char Char Char Char Char Char Char Char Char1"/>
    <w:basedOn w:val="a6"/>
    <w:qFormat/>
    <w:pPr>
      <w:spacing w:line="360" w:lineRule="auto"/>
      <w:ind w:firstLineChars="200" w:firstLine="200"/>
    </w:pPr>
    <w:rPr>
      <w:rFonts w:ascii="宋体" w:hAnsi="宋体" w:cs="宋体"/>
      <w:sz w:val="24"/>
    </w:rPr>
  </w:style>
  <w:style w:type="paragraph" w:customStyle="1" w:styleId="cd6">
    <w:name w:val="cd6"/>
    <w:basedOn w:val="a6"/>
    <w:qFormat/>
    <w:pPr>
      <w:spacing w:before="120"/>
    </w:pPr>
    <w:rPr>
      <w:color w:val="000000"/>
      <w:w w:val="110"/>
      <w:kern w:val="0"/>
      <w:sz w:val="24"/>
      <w:szCs w:val="20"/>
    </w:rPr>
  </w:style>
  <w:style w:type="paragraph" w:customStyle="1" w:styleId="afffffffffffffffffff2">
    <w:name w:val="方框文字"/>
    <w:basedOn w:val="28"/>
    <w:qFormat/>
    <w:pPr>
      <w:tabs>
        <w:tab w:val="left" w:pos="0"/>
      </w:tabs>
      <w:spacing w:beforeLines="0" w:before="0" w:after="0"/>
      <w:ind w:firstLineChars="0" w:firstLine="0"/>
      <w:jc w:val="center"/>
    </w:pPr>
    <w:rPr>
      <w:rFonts w:ascii="宋体" w:eastAsia="宋体" w:hAnsi="宋体"/>
      <w:w w:val="90"/>
      <w:kern w:val="0"/>
      <w:szCs w:val="20"/>
    </w:rPr>
  </w:style>
  <w:style w:type="paragraph" w:customStyle="1" w:styleId="afffffffffffffffffff3">
    <w:name w:val="通州正文"/>
    <w:next w:val="a6"/>
    <w:qFormat/>
    <w:pPr>
      <w:spacing w:line="360" w:lineRule="auto"/>
      <w:ind w:firstLine="480"/>
    </w:pPr>
    <w:rPr>
      <w:rFonts w:ascii="宋体" w:hAnsi="宋体"/>
      <w:kern w:val="2"/>
      <w:sz w:val="24"/>
      <w:szCs w:val="24"/>
    </w:rPr>
  </w:style>
  <w:style w:type="paragraph" w:customStyle="1" w:styleId="2fff8">
    <w:name w:val="框图格式2"/>
    <w:basedOn w:val="a6"/>
    <w:qFormat/>
    <w:rPr>
      <w:sz w:val="18"/>
    </w:rPr>
  </w:style>
  <w:style w:type="paragraph" w:customStyle="1" w:styleId="afffffffffffffffffff4">
    <w:name w:val="标题三"/>
    <w:basedOn w:val="22"/>
    <w:qFormat/>
    <w:pPr>
      <w:keepNext w:val="0"/>
      <w:keepLines w:val="0"/>
      <w:snapToGrid w:val="0"/>
      <w:spacing w:line="480" w:lineRule="exact"/>
      <w:outlineLvl w:val="2"/>
    </w:pPr>
    <w:rPr>
      <w:rFonts w:ascii="楷体_GB2312" w:eastAsia="楷体_GB2312" w:hAnsi="黑体"/>
      <w:bCs w:val="0"/>
      <w:color w:val="000000"/>
      <w:spacing w:val="0"/>
      <w:w w:val="100"/>
      <w:kern w:val="2"/>
      <w:sz w:val="24"/>
      <w:szCs w:val="24"/>
    </w:rPr>
  </w:style>
  <w:style w:type="paragraph" w:customStyle="1" w:styleId="332345673Char3">
    <w:name w:val="样式 标题 3国寰 标题 3三级标题2三级标题3三级标题4三级标题5三级标题6三级标题7标题 3 Char3三..."/>
    <w:basedOn w:val="33"/>
    <w:qFormat/>
    <w:pPr>
      <w:adjustRightInd w:val="0"/>
      <w:spacing w:line="360" w:lineRule="auto"/>
      <w:ind w:left="2705"/>
    </w:pPr>
    <w:rPr>
      <w:rFonts w:cs="宋体"/>
      <w:bCs/>
      <w:spacing w:val="0"/>
      <w:sz w:val="24"/>
      <w:szCs w:val="20"/>
    </w:rPr>
  </w:style>
  <w:style w:type="paragraph" w:customStyle="1" w:styleId="21121122Char1Heading2211">
    <w:name w:val="标题 21.1标题 21.1标题2标题 2 Char1节_Heading 2标2二级标题1.1标题 +..."/>
    <w:basedOn w:val="a6"/>
    <w:qFormat/>
    <w:pPr>
      <w:widowControl/>
      <w:tabs>
        <w:tab w:val="left" w:pos="998"/>
      </w:tabs>
      <w:spacing w:line="360" w:lineRule="auto"/>
      <w:ind w:left="576" w:firstLineChars="200" w:firstLine="200"/>
      <w:jc w:val="left"/>
    </w:pPr>
    <w:rPr>
      <w:rFonts w:ascii="Arial" w:hAnsi="Arial" w:cs="Arial"/>
      <w:kern w:val="0"/>
      <w:sz w:val="28"/>
      <w:szCs w:val="28"/>
    </w:rPr>
  </w:style>
  <w:style w:type="paragraph" w:customStyle="1" w:styleId="Char1CharCharCharCharCharCharCharChar">
    <w:name w:val="Char1 Char Char Char Char Char Char Char Char"/>
    <w:basedOn w:val="a6"/>
    <w:qFormat/>
    <w:pPr>
      <w:widowControl/>
      <w:jc w:val="left"/>
    </w:pPr>
    <w:rPr>
      <w:rFonts w:cs="宋体"/>
      <w:kern w:val="0"/>
      <w:sz w:val="24"/>
    </w:rPr>
  </w:style>
  <w:style w:type="paragraph" w:customStyle="1" w:styleId="5f8">
    <w:name w:val="文档结构图5"/>
    <w:basedOn w:val="a6"/>
    <w:qFormat/>
    <w:pPr>
      <w:shd w:val="clear" w:color="auto" w:fill="000080"/>
      <w:tabs>
        <w:tab w:val="left" w:pos="480"/>
        <w:tab w:val="left" w:pos="1680"/>
        <w:tab w:val="left" w:pos="3960"/>
        <w:tab w:val="left" w:pos="5400"/>
        <w:tab w:val="left" w:pos="6840"/>
      </w:tabs>
      <w:adjustRightInd w:val="0"/>
      <w:spacing w:line="240" w:lineRule="atLeast"/>
      <w:ind w:firstLine="482"/>
      <w:jc w:val="left"/>
      <w:textAlignment w:val="baseline"/>
    </w:pPr>
    <w:rPr>
      <w:rFonts w:eastAsia="创艺简楷体"/>
      <w:kern w:val="0"/>
      <w:sz w:val="28"/>
      <w:szCs w:val="20"/>
    </w:rPr>
  </w:style>
  <w:style w:type="paragraph" w:customStyle="1" w:styleId="afffffffffffffffffff5">
    <w:name w:val="节以下标题样式"/>
    <w:basedOn w:val="affffffffffffe"/>
    <w:qFormat/>
    <w:pPr>
      <w:ind w:firstLine="0"/>
    </w:pPr>
  </w:style>
  <w:style w:type="paragraph" w:customStyle="1" w:styleId="217">
    <w:name w:val="样式 正文格式 + 首行缩进:  2 字符1"/>
    <w:basedOn w:val="affffa"/>
    <w:qFormat/>
    <w:pPr>
      <w:adjustRightInd w:val="0"/>
      <w:snapToGrid w:val="0"/>
      <w:spacing w:line="480" w:lineRule="exact"/>
      <w:ind w:firstLineChars="200" w:firstLine="560"/>
    </w:pPr>
    <w:rPr>
      <w:rFonts w:cs="宋体"/>
      <w:kern w:val="0"/>
      <w:sz w:val="28"/>
    </w:rPr>
  </w:style>
  <w:style w:type="paragraph" w:customStyle="1" w:styleId="CharChar2Char">
    <w:name w:val="Char Char2 Char"/>
    <w:basedOn w:val="a6"/>
    <w:qFormat/>
    <w:rPr>
      <w:szCs w:val="20"/>
    </w:rPr>
  </w:style>
  <w:style w:type="paragraph" w:customStyle="1" w:styleId="121215Char">
    <w:name w:val="样式 表格1 + 黑体 两端对齐 首行缩进:  2.12 厘米 行距: 1.5 倍行距 Char"/>
    <w:basedOn w:val="a6"/>
    <w:qFormat/>
    <w:pPr>
      <w:keepNext/>
      <w:widowControl/>
      <w:adjustRightInd w:val="0"/>
      <w:spacing w:line="360" w:lineRule="auto"/>
      <w:ind w:left="567"/>
      <w:jc w:val="center"/>
    </w:pPr>
    <w:rPr>
      <w:rFonts w:ascii="黑体" w:eastAsia="黑体" w:cs="宋体"/>
      <w:kern w:val="0"/>
      <w:sz w:val="24"/>
      <w:szCs w:val="20"/>
    </w:rPr>
  </w:style>
  <w:style w:type="paragraph" w:customStyle="1" w:styleId="CharChar1100">
    <w:name w:val="Char Char110"/>
    <w:basedOn w:val="a6"/>
    <w:qFormat/>
    <w:pPr>
      <w:widowControl/>
      <w:tabs>
        <w:tab w:val="left" w:pos="0"/>
      </w:tabs>
      <w:spacing w:line="360" w:lineRule="auto"/>
      <w:ind w:firstLineChars="200" w:firstLine="200"/>
      <w:jc w:val="left"/>
    </w:pPr>
    <w:rPr>
      <w:rFonts w:ascii="宋体" w:hAnsi="宋体" w:cs="宋体"/>
      <w:color w:val="0000FF"/>
      <w:kern w:val="0"/>
      <w:sz w:val="24"/>
    </w:rPr>
  </w:style>
  <w:style w:type="paragraph" w:customStyle="1" w:styleId="1ffff3">
    <w:name w:val="样式（1）"/>
    <w:basedOn w:val="1fc"/>
    <w:qFormat/>
  </w:style>
  <w:style w:type="paragraph" w:customStyle="1" w:styleId="21121122Char12Heading2">
    <w:name w:val="样式 标题 21.1标题 21.1标题2标题 2 Char1节标2_Heading 2一级条 + 行距: 单倍..."/>
    <w:basedOn w:val="22"/>
    <w:qFormat/>
    <w:pPr>
      <w:keepNext w:val="0"/>
      <w:numPr>
        <w:numId w:val="17"/>
      </w:numPr>
      <w:snapToGrid w:val="0"/>
      <w:spacing w:afterLines="50" w:line="240" w:lineRule="auto"/>
      <w:jc w:val="left"/>
    </w:pPr>
    <w:rPr>
      <w:rFonts w:ascii="黑体" w:hAnsi="Arial" w:cs="宋体"/>
      <w:b/>
      <w:bCs w:val="0"/>
      <w:color w:val="000000"/>
      <w:spacing w:val="0"/>
      <w:w w:val="100"/>
      <w:kern w:val="2"/>
      <w:szCs w:val="20"/>
      <w:lang w:val="zh-CN"/>
    </w:rPr>
  </w:style>
  <w:style w:type="paragraph" w:customStyle="1" w:styleId="Head51">
    <w:name w:val="Head 5.1"/>
    <w:basedOn w:val="a6"/>
    <w:qFormat/>
    <w:pPr>
      <w:widowControl/>
      <w:suppressAutoHyphens/>
      <w:ind w:left="720" w:hanging="720"/>
      <w:jc w:val="left"/>
    </w:pPr>
    <w:rPr>
      <w:rFonts w:cs="宋体"/>
      <w:b/>
      <w:kern w:val="0"/>
      <w:sz w:val="24"/>
      <w:szCs w:val="20"/>
      <w:lang w:val="fr-FR" w:eastAsia="en-US"/>
    </w:rPr>
  </w:style>
  <w:style w:type="paragraph" w:customStyle="1" w:styleId="xl1004">
    <w:name w:val="xl1004"/>
    <w:basedOn w:val="a6"/>
    <w:qFormat/>
    <w:pPr>
      <w:widowControl/>
      <w:pBdr>
        <w:top w:val="single" w:sz="4" w:space="0" w:color="auto"/>
        <w:left w:val="single" w:sz="4" w:space="0" w:color="auto"/>
        <w:bottom w:val="single" w:sz="8" w:space="0" w:color="auto"/>
        <w:right w:val="single" w:sz="4" w:space="0" w:color="auto"/>
      </w:pBdr>
      <w:shd w:val="clear" w:color="000000" w:fill="E26B0A"/>
      <w:spacing w:before="100" w:beforeAutospacing="1" w:after="100" w:afterAutospacing="1"/>
      <w:jc w:val="center"/>
    </w:pPr>
    <w:rPr>
      <w:rFonts w:ascii="Arial" w:hAnsi="Arial" w:cs="Arial"/>
      <w:kern w:val="0"/>
      <w:sz w:val="18"/>
      <w:szCs w:val="18"/>
    </w:rPr>
  </w:style>
  <w:style w:type="paragraph" w:customStyle="1" w:styleId="CharCharCharCharCharCharCharCharCharCharCharCharCharCharCharCharCharCharCharCharCharCharCharCharCharChar">
    <w:name w:val="Char Char Char Char Char Char Char Char Char Char Char Char Char Char Char Char Char Char Char Char Char Char Char Char Char Char"/>
    <w:basedOn w:val="a6"/>
    <w:qFormat/>
  </w:style>
  <w:style w:type="paragraph" w:customStyle="1" w:styleId="21121122Char12Heading202">
    <w:name w:val="样式 标题 21.1标题 21.1标题2标题 2 Char1节标2_Heading 2一级条 + 段前: 0....2"/>
    <w:basedOn w:val="a6"/>
    <w:next w:val="affc"/>
    <w:qFormat/>
    <w:pPr>
      <w:keepNext/>
      <w:widowControl/>
      <w:numPr>
        <w:ilvl w:val="3"/>
        <w:numId w:val="18"/>
      </w:numPr>
      <w:tabs>
        <w:tab w:val="clear" w:pos="2249"/>
      </w:tabs>
      <w:autoSpaceDE w:val="0"/>
      <w:autoSpaceDN w:val="0"/>
      <w:adjustRightInd w:val="0"/>
      <w:spacing w:before="120" w:after="120" w:line="360" w:lineRule="auto"/>
      <w:ind w:left="0" w:firstLine="0"/>
      <w:jc w:val="left"/>
    </w:pPr>
    <w:rPr>
      <w:rFonts w:ascii="宋体" w:cs="宋体"/>
      <w:color w:val="000000"/>
      <w:kern w:val="0"/>
      <w:sz w:val="28"/>
      <w:szCs w:val="28"/>
      <w:lang w:val="zh-CN"/>
    </w:rPr>
  </w:style>
  <w:style w:type="paragraph" w:customStyle="1" w:styleId="Head82">
    <w:name w:val="Head 8.2"/>
    <w:basedOn w:val="a6"/>
    <w:qFormat/>
    <w:pPr>
      <w:widowControl/>
      <w:suppressAutoHyphens/>
      <w:jc w:val="center"/>
    </w:pPr>
    <w:rPr>
      <w:rFonts w:cs="宋体"/>
      <w:b/>
      <w:kern w:val="0"/>
      <w:sz w:val="28"/>
      <w:szCs w:val="20"/>
      <w:lang w:eastAsia="en-US"/>
    </w:rPr>
  </w:style>
  <w:style w:type="paragraph" w:customStyle="1" w:styleId="2fff9">
    <w:name w:val="汽油2级标题"/>
    <w:basedOn w:val="22"/>
    <w:qFormat/>
    <w:pPr>
      <w:adjustRightInd w:val="0"/>
      <w:spacing w:line="480" w:lineRule="exact"/>
      <w:textAlignment w:val="baseline"/>
    </w:pPr>
    <w:rPr>
      <w:rFonts w:cs="宋体"/>
      <w:b/>
      <w:spacing w:val="0"/>
      <w:w w:val="100"/>
      <w:kern w:val="0"/>
      <w:sz w:val="24"/>
      <w:szCs w:val="20"/>
    </w:rPr>
  </w:style>
  <w:style w:type="paragraph" w:customStyle="1" w:styleId="09923">
    <w:name w:val="样式 左侧:  0.99 厘米 首行缩进:  2 字符3"/>
    <w:basedOn w:val="a6"/>
    <w:semiHidden/>
    <w:qFormat/>
    <w:pPr>
      <w:widowControl/>
      <w:adjustRightInd w:val="0"/>
      <w:snapToGrid w:val="0"/>
      <w:spacing w:line="300" w:lineRule="auto"/>
      <w:ind w:firstLineChars="200" w:firstLine="560"/>
      <w:jc w:val="left"/>
    </w:pPr>
    <w:rPr>
      <w:rFonts w:cs="宋体"/>
      <w:kern w:val="0"/>
      <w:sz w:val="28"/>
      <w:szCs w:val="20"/>
    </w:rPr>
  </w:style>
  <w:style w:type="paragraph" w:customStyle="1" w:styleId="CharCharCharCharCharCharCharCharCharCharCharCharCharCharCharCharCharCharCharCharCharCharChar2">
    <w:name w:val="Char Char Char Char Char Char Char Char Char Char Char Char Char Char Char Char Char Char Char Char Char Char Char2"/>
    <w:basedOn w:val="a6"/>
    <w:qFormat/>
  </w:style>
  <w:style w:type="paragraph" w:customStyle="1" w:styleId="352">
    <w:name w:val="样式 燕山正文 + 首行缩进:  3.5 字符2"/>
    <w:basedOn w:val="afffffffffffff9"/>
    <w:qFormat/>
    <w:rPr>
      <w:szCs w:val="20"/>
    </w:rPr>
  </w:style>
  <w:style w:type="paragraph" w:customStyle="1" w:styleId="afffffffffffffffffff6">
    <w:name w:val="表格后文"/>
    <w:basedOn w:val="011"/>
    <w:qFormat/>
    <w:pPr>
      <w:spacing w:before="300"/>
    </w:pPr>
  </w:style>
  <w:style w:type="paragraph" w:customStyle="1" w:styleId="CharCharChar2CharCharCharCharCharCharChar">
    <w:name w:val="Char Char Char2 Char Char Char Char Char Char Char"/>
    <w:basedOn w:val="a6"/>
    <w:qFormat/>
    <w:pPr>
      <w:spacing w:line="400" w:lineRule="exact"/>
      <w:ind w:firstLineChars="150" w:firstLine="360"/>
    </w:pPr>
    <w:rPr>
      <w:rFonts w:hAnsi="宋体"/>
      <w:kern w:val="0"/>
      <w:sz w:val="24"/>
    </w:rPr>
  </w:style>
  <w:style w:type="paragraph" w:customStyle="1" w:styleId="-01">
    <w:name w:val="样式 表格文字中 + 左侧:  -0.1 字符"/>
    <w:basedOn w:val="affffffff2"/>
    <w:qFormat/>
    <w:pPr>
      <w:widowControl/>
      <w:tabs>
        <w:tab w:val="left" w:pos="1727"/>
        <w:tab w:val="left" w:pos="1884"/>
      </w:tabs>
      <w:autoSpaceDE w:val="0"/>
      <w:autoSpaceDN w:val="0"/>
      <w:adjustRightInd w:val="0"/>
      <w:snapToGrid w:val="0"/>
      <w:spacing w:line="360" w:lineRule="auto"/>
      <w:ind w:left="-10"/>
      <w:jc w:val="left"/>
    </w:pPr>
    <w:rPr>
      <w:rFonts w:ascii="宋体" w:cs="宋体"/>
      <w:color w:val="000000"/>
      <w:sz w:val="24"/>
      <w:szCs w:val="20"/>
      <w:lang w:val="zh-CN"/>
    </w:rPr>
  </w:style>
  <w:style w:type="paragraph" w:customStyle="1" w:styleId="Head21">
    <w:name w:val="Head 2.1"/>
    <w:basedOn w:val="a6"/>
    <w:qFormat/>
    <w:pPr>
      <w:widowControl/>
      <w:suppressAutoHyphens/>
      <w:jc w:val="center"/>
    </w:pPr>
    <w:rPr>
      <w:rFonts w:ascii="Times New Roman Bold" w:hAnsi="Times New Roman Bold" w:cs="宋体"/>
      <w:b/>
      <w:kern w:val="0"/>
      <w:sz w:val="28"/>
      <w:szCs w:val="20"/>
      <w:lang w:eastAsia="en-US"/>
    </w:rPr>
  </w:style>
  <w:style w:type="paragraph" w:customStyle="1" w:styleId="afffffffffffffffffff7">
    <w:name w:val="环正文"/>
    <w:basedOn w:val="a6"/>
    <w:qFormat/>
    <w:pPr>
      <w:widowControl/>
      <w:suppressAutoHyphens/>
      <w:adjustRightInd w:val="0"/>
      <w:spacing w:line="480" w:lineRule="exact"/>
      <w:ind w:firstLineChars="200" w:firstLine="480"/>
      <w:textAlignment w:val="baseline"/>
    </w:pPr>
    <w:rPr>
      <w:kern w:val="0"/>
      <w:sz w:val="24"/>
      <w:szCs w:val="20"/>
    </w:rPr>
  </w:style>
  <w:style w:type="paragraph" w:customStyle="1" w:styleId="afffffffffffffffffff8">
    <w:name w:val="缩进正文"/>
    <w:basedOn w:val="af9"/>
    <w:qFormat/>
    <w:pPr>
      <w:adjustRightInd w:val="0"/>
      <w:snapToGrid w:val="0"/>
      <w:spacing w:line="300" w:lineRule="auto"/>
      <w:ind w:firstLine="200"/>
    </w:pPr>
    <w:rPr>
      <w:rFonts w:hAnsi="Times New Roman"/>
      <w:sz w:val="28"/>
      <w:szCs w:val="20"/>
    </w:rPr>
  </w:style>
  <w:style w:type="paragraph" w:customStyle="1" w:styleId="25a">
    <w:name w:val="2 5a"/>
    <w:qFormat/>
    <w:pPr>
      <w:tabs>
        <w:tab w:val="left" w:pos="-720"/>
      </w:tabs>
      <w:suppressAutoHyphens/>
    </w:pPr>
    <w:rPr>
      <w:rFonts w:ascii="Courier" w:hAnsi="Courier"/>
      <w:sz w:val="24"/>
      <w:lang w:eastAsia="en-US"/>
    </w:rPr>
  </w:style>
  <w:style w:type="paragraph" w:customStyle="1" w:styleId="afffffffffffffffffff9">
    <w:name w:val="论文名称"/>
    <w:basedOn w:val="a6"/>
    <w:qFormat/>
    <w:pPr>
      <w:overflowPunct w:val="0"/>
      <w:topLinePunct/>
      <w:adjustRightInd w:val="0"/>
      <w:snapToGrid w:val="0"/>
      <w:spacing w:line="360" w:lineRule="auto"/>
      <w:ind w:firstLineChars="200" w:firstLine="480"/>
      <w:textAlignment w:val="center"/>
    </w:pPr>
    <w:rPr>
      <w:rFonts w:eastAsia="华文新魏" w:cs="Arial"/>
      <w:b/>
      <w:sz w:val="24"/>
    </w:rPr>
  </w:style>
  <w:style w:type="paragraph" w:customStyle="1" w:styleId="0992">
    <w:name w:val="样式 左侧:  0.99 厘米 首行缩进:  2 字符"/>
    <w:basedOn w:val="a6"/>
    <w:next w:val="a6"/>
    <w:semiHidden/>
    <w:qFormat/>
    <w:pPr>
      <w:widowControl/>
      <w:adjustRightInd w:val="0"/>
      <w:snapToGrid w:val="0"/>
      <w:spacing w:line="300" w:lineRule="auto"/>
      <w:ind w:firstLineChars="200" w:firstLine="560"/>
      <w:jc w:val="left"/>
    </w:pPr>
    <w:rPr>
      <w:rFonts w:cs="宋体"/>
      <w:kern w:val="0"/>
      <w:sz w:val="28"/>
    </w:rPr>
  </w:style>
  <w:style w:type="paragraph" w:customStyle="1" w:styleId="124">
    <w:name w:val="12"/>
    <w:basedOn w:val="a6"/>
    <w:next w:val="aff5"/>
    <w:qFormat/>
    <w:pPr>
      <w:spacing w:line="360" w:lineRule="auto"/>
      <w:ind w:firstLine="420"/>
      <w:jc w:val="center"/>
    </w:pPr>
    <w:rPr>
      <w:rFonts w:ascii="黑体" w:eastAsia="黑体" w:hAnsi="Arial"/>
      <w:color w:val="000000"/>
      <w:kern w:val="28"/>
      <w:szCs w:val="28"/>
    </w:rPr>
  </w:style>
  <w:style w:type="paragraph" w:customStyle="1" w:styleId="CharCharCharCharb">
    <w:name w:val="Char Char Char Char"/>
    <w:basedOn w:val="a6"/>
    <w:qFormat/>
    <w:pPr>
      <w:spacing w:line="360" w:lineRule="auto"/>
      <w:ind w:firstLineChars="200" w:firstLine="200"/>
    </w:pPr>
    <w:rPr>
      <w:sz w:val="24"/>
      <w:szCs w:val="20"/>
    </w:rPr>
  </w:style>
  <w:style w:type="paragraph" w:customStyle="1" w:styleId="05">
    <w:name w:val="样式 正文缩进 + 黑体 小四 非加粗 居中 首行缩进:  0 厘米"/>
    <w:basedOn w:val="af0"/>
    <w:semiHidden/>
    <w:qFormat/>
    <w:pPr>
      <w:snapToGrid w:val="0"/>
      <w:spacing w:afterLines="50" w:line="300" w:lineRule="auto"/>
      <w:ind w:firstLine="0"/>
      <w:jc w:val="center"/>
      <w:textAlignment w:val="auto"/>
    </w:pPr>
    <w:rPr>
      <w:rFonts w:ascii="黑体" w:eastAsia="黑体" w:hAnsi="Times New Roman" w:cs="宋体"/>
      <w:b/>
      <w:kern w:val="2"/>
      <w:sz w:val="28"/>
      <w:szCs w:val="24"/>
    </w:rPr>
  </w:style>
  <w:style w:type="paragraph" w:customStyle="1" w:styleId="400">
    <w:name w:val="样式 黑体 一号 加粗 居中 行距: 固定值 40 磅"/>
    <w:basedOn w:val="a6"/>
    <w:qFormat/>
    <w:pPr>
      <w:spacing w:line="800" w:lineRule="exact"/>
      <w:jc w:val="center"/>
    </w:pPr>
    <w:rPr>
      <w:rFonts w:ascii="黑体" w:eastAsia="黑体" w:cs="宋体"/>
      <w:b/>
      <w:bCs/>
      <w:spacing w:val="40"/>
      <w:sz w:val="72"/>
      <w:szCs w:val="20"/>
    </w:rPr>
  </w:style>
  <w:style w:type="paragraph" w:customStyle="1" w:styleId="143">
    <w:name w:val="样式 行距: 多倍行距 1.4 字行"/>
    <w:basedOn w:val="a6"/>
    <w:qFormat/>
    <w:pPr>
      <w:widowControl/>
      <w:tabs>
        <w:tab w:val="left" w:pos="1727"/>
        <w:tab w:val="left" w:pos="1884"/>
      </w:tabs>
      <w:spacing w:beforeLines="20" w:line="300" w:lineRule="auto"/>
      <w:jc w:val="left"/>
      <w:outlineLvl w:val="0"/>
    </w:pPr>
    <w:rPr>
      <w:rFonts w:ascii="宋体" w:hAnsi="宋体" w:cs="宋体"/>
      <w:kern w:val="0"/>
      <w:sz w:val="28"/>
      <w:szCs w:val="28"/>
    </w:rPr>
  </w:style>
  <w:style w:type="paragraph" w:customStyle="1" w:styleId="reader-word-layerreader-word-s4-31">
    <w:name w:val="reader-word-layer reader-word-s4-31"/>
    <w:basedOn w:val="a6"/>
    <w:qFormat/>
    <w:pPr>
      <w:widowControl/>
      <w:spacing w:before="100" w:beforeAutospacing="1" w:after="100" w:afterAutospacing="1"/>
      <w:jc w:val="left"/>
    </w:pPr>
    <w:rPr>
      <w:rFonts w:ascii="宋体" w:hAnsi="宋体" w:cs="宋体"/>
      <w:kern w:val="0"/>
      <w:sz w:val="24"/>
    </w:rPr>
  </w:style>
  <w:style w:type="paragraph" w:customStyle="1" w:styleId="050">
    <w:name w:val="样式 正文首行缩进 + 段前: 0.5 行"/>
    <w:basedOn w:val="affc"/>
    <w:qFormat/>
    <w:pPr>
      <w:spacing w:beforeLines="50" w:line="360" w:lineRule="auto"/>
      <w:ind w:firstLineChars="0" w:firstLine="567"/>
    </w:pPr>
    <w:rPr>
      <w:rFonts w:ascii="Times New Roman" w:hAnsi="Times New Roman"/>
      <w:bCs w:val="0"/>
      <w:spacing w:val="0"/>
      <w:kern w:val="2"/>
      <w:sz w:val="28"/>
      <w:szCs w:val="20"/>
    </w:rPr>
  </w:style>
  <w:style w:type="paragraph" w:customStyle="1" w:styleId="afffffffffffffffffffa">
    <w:name w:val="居中四号"/>
    <w:qFormat/>
    <w:pPr>
      <w:spacing w:line="300" w:lineRule="auto"/>
      <w:jc w:val="center"/>
    </w:pPr>
    <w:rPr>
      <w:sz w:val="28"/>
    </w:rPr>
  </w:style>
  <w:style w:type="paragraph" w:customStyle="1" w:styleId="180">
    <w:name w:val="1 8"/>
    <w:qFormat/>
    <w:pPr>
      <w:tabs>
        <w:tab w:val="left" w:pos="-720"/>
      </w:tabs>
      <w:suppressAutoHyphens/>
    </w:pPr>
    <w:rPr>
      <w:rFonts w:ascii="Courier" w:hAnsi="Courier"/>
      <w:sz w:val="24"/>
      <w:lang w:eastAsia="en-US"/>
    </w:rPr>
  </w:style>
  <w:style w:type="paragraph" w:customStyle="1" w:styleId="CharCharCharCharCharCharCharCharCharCharCharCharCharCharCharChar1">
    <w:name w:val="Char Char Char Char Char Char Char Char Char Char Char Char Char Char Char Char1"/>
    <w:basedOn w:val="a6"/>
    <w:qFormat/>
    <w:rPr>
      <w:color w:val="000000"/>
      <w:w w:val="110"/>
      <w:kern w:val="0"/>
      <w:sz w:val="24"/>
    </w:rPr>
  </w:style>
  <w:style w:type="paragraph" w:customStyle="1" w:styleId="font9">
    <w:name w:val="font9"/>
    <w:basedOn w:val="a6"/>
    <w:qFormat/>
    <w:pPr>
      <w:widowControl/>
      <w:spacing w:before="100" w:beforeAutospacing="1" w:after="100" w:afterAutospacing="1"/>
      <w:jc w:val="left"/>
    </w:pPr>
    <w:rPr>
      <w:rFonts w:ascii="宋体" w:hAnsi="宋体" w:hint="eastAsia"/>
      <w:color w:val="FF00FF"/>
      <w:kern w:val="0"/>
      <w:sz w:val="24"/>
    </w:rPr>
  </w:style>
  <w:style w:type="paragraph" w:customStyle="1" w:styleId="105">
    <w:name w:val="样式 标题 1一级标题 + 段后: 0.5 行"/>
    <w:basedOn w:val="12"/>
    <w:semiHidden/>
    <w:qFormat/>
    <w:pPr>
      <w:keepNext w:val="0"/>
      <w:adjustRightInd w:val="0"/>
      <w:snapToGrid w:val="0"/>
      <w:spacing w:before="0" w:after="0" w:line="420" w:lineRule="auto"/>
    </w:pPr>
    <w:rPr>
      <w:rFonts w:cs="宋体"/>
      <w:b w:val="0"/>
      <w:sz w:val="28"/>
      <w:szCs w:val="28"/>
    </w:rPr>
  </w:style>
  <w:style w:type="paragraph" w:customStyle="1" w:styleId="1150">
    <w:name w:val="样式 标题 1 + 段后: 1.5 行"/>
    <w:basedOn w:val="12"/>
    <w:qFormat/>
    <w:pPr>
      <w:tabs>
        <w:tab w:val="left" w:pos="2629"/>
      </w:tabs>
      <w:adjustRightInd w:val="0"/>
      <w:snapToGrid w:val="0"/>
      <w:spacing w:beforeLines="100" w:before="0" w:afterLines="100" w:after="0" w:line="460" w:lineRule="exact"/>
      <w:jc w:val="center"/>
    </w:pPr>
    <w:rPr>
      <w:rFonts w:eastAsia="仿宋_GB2312" w:cs="宋体"/>
      <w:bCs w:val="0"/>
      <w:szCs w:val="20"/>
    </w:rPr>
  </w:style>
  <w:style w:type="paragraph" w:customStyle="1" w:styleId="afffffffffffffffffffb">
    <w:name w:val="郭峰定义"/>
    <w:basedOn w:val="a6"/>
    <w:semiHidden/>
    <w:qFormat/>
    <w:pPr>
      <w:widowControl/>
      <w:adjustRightInd w:val="0"/>
      <w:snapToGrid w:val="0"/>
      <w:spacing w:line="300" w:lineRule="auto"/>
      <w:ind w:firstLineChars="200" w:firstLine="560"/>
      <w:jc w:val="left"/>
    </w:pPr>
    <w:rPr>
      <w:rFonts w:cs="宋体"/>
      <w:kern w:val="0"/>
      <w:sz w:val="28"/>
      <w:szCs w:val="28"/>
    </w:rPr>
  </w:style>
  <w:style w:type="paragraph" w:customStyle="1" w:styleId="afffffffffffffffffffc">
    <w:name w:val="标准"/>
    <w:basedOn w:val="a6"/>
    <w:qFormat/>
    <w:pPr>
      <w:adjustRightInd w:val="0"/>
      <w:spacing w:before="120" w:line="336" w:lineRule="auto"/>
      <w:jc w:val="center"/>
    </w:pPr>
    <w:rPr>
      <w:rFonts w:ascii="黑体" w:eastAsia="黑体" w:hint="eastAsia"/>
      <w:szCs w:val="20"/>
    </w:rPr>
  </w:style>
  <w:style w:type="paragraph" w:customStyle="1" w:styleId="125">
    <w:name w:val="1 2"/>
    <w:qFormat/>
    <w:pPr>
      <w:tabs>
        <w:tab w:val="left" w:pos="-720"/>
      </w:tabs>
      <w:suppressAutoHyphens/>
    </w:pPr>
    <w:rPr>
      <w:rFonts w:ascii="Courier" w:hAnsi="Courier"/>
      <w:sz w:val="24"/>
      <w:lang w:eastAsia="en-US"/>
    </w:rPr>
  </w:style>
  <w:style w:type="paragraph" w:customStyle="1" w:styleId="reader-word-layerreader-word-s5-24">
    <w:name w:val="reader-word-layer reader-word-s5-24"/>
    <w:basedOn w:val="a6"/>
    <w:qFormat/>
    <w:pPr>
      <w:widowControl/>
      <w:spacing w:before="100" w:beforeAutospacing="1" w:after="100" w:afterAutospacing="1"/>
      <w:jc w:val="left"/>
    </w:pPr>
    <w:rPr>
      <w:rFonts w:ascii="宋体" w:hAnsi="宋体" w:cs="宋体"/>
      <w:kern w:val="0"/>
      <w:sz w:val="24"/>
    </w:rPr>
  </w:style>
  <w:style w:type="paragraph" w:customStyle="1" w:styleId="2fffa">
    <w:name w:val="表格2"/>
    <w:qFormat/>
    <w:pPr>
      <w:spacing w:line="400" w:lineRule="exact"/>
      <w:jc w:val="center"/>
    </w:pPr>
    <w:rPr>
      <w:sz w:val="21"/>
    </w:rPr>
  </w:style>
  <w:style w:type="paragraph" w:customStyle="1" w:styleId="11c">
    <w:name w:val="1 1"/>
    <w:qFormat/>
    <w:pPr>
      <w:tabs>
        <w:tab w:val="left" w:pos="-720"/>
      </w:tabs>
      <w:suppressAutoHyphens/>
    </w:pPr>
    <w:rPr>
      <w:rFonts w:ascii="Courier" w:hAnsi="Courier"/>
      <w:sz w:val="24"/>
      <w:lang w:eastAsia="en-US"/>
    </w:rPr>
  </w:style>
  <w:style w:type="paragraph" w:customStyle="1" w:styleId="CharCharCharCharCharChar1Char4">
    <w:name w:val="Char Char Char Char Char Char1 Char4"/>
    <w:basedOn w:val="a6"/>
    <w:qFormat/>
    <w:pPr>
      <w:widowControl/>
      <w:spacing w:after="160" w:line="240" w:lineRule="exact"/>
      <w:jc w:val="left"/>
    </w:pPr>
    <w:rPr>
      <w:rFonts w:ascii="Arial" w:eastAsia="Times New Roman" w:hAnsi="Arial"/>
      <w:b/>
      <w:kern w:val="0"/>
      <w:sz w:val="24"/>
      <w:szCs w:val="20"/>
      <w:lang w:eastAsia="en-US"/>
    </w:rPr>
  </w:style>
  <w:style w:type="paragraph" w:customStyle="1" w:styleId="CharCharChar1Char4">
    <w:name w:val="Char Char Char1 Char4"/>
    <w:basedOn w:val="a6"/>
    <w:next w:val="a6"/>
    <w:qFormat/>
    <w:pPr>
      <w:spacing w:line="360" w:lineRule="auto"/>
      <w:ind w:firstLineChars="200" w:firstLine="200"/>
    </w:pPr>
    <w:rPr>
      <w:rFonts w:ascii="宋体" w:eastAsia="汉鼎简书宋" w:hAnsi="宋体" w:cs="宋体"/>
      <w:sz w:val="24"/>
    </w:rPr>
  </w:style>
  <w:style w:type="paragraph" w:customStyle="1" w:styleId="afffffffffffffffffffd">
    <w:name w:val="表名称－图名称"/>
    <w:basedOn w:val="a6"/>
    <w:semiHidden/>
    <w:qFormat/>
    <w:pPr>
      <w:widowControl/>
      <w:adjustRightInd w:val="0"/>
      <w:snapToGrid w:val="0"/>
      <w:spacing w:line="300" w:lineRule="auto"/>
      <w:ind w:firstLineChars="200" w:firstLine="560"/>
      <w:jc w:val="left"/>
    </w:pPr>
    <w:rPr>
      <w:rFonts w:eastAsia="黑体" w:cs="宋体"/>
      <w:kern w:val="0"/>
      <w:sz w:val="24"/>
    </w:rPr>
  </w:style>
  <w:style w:type="paragraph" w:customStyle="1" w:styleId="CharCharCharCharCharCharCharCharCharCharCharChar1CharCharCharChar3">
    <w:name w:val="Char Char Char Char Char Char Char Char Char Char Char Char1 Char Char Char Char3"/>
    <w:basedOn w:val="a6"/>
    <w:next w:val="a6"/>
    <w:qFormat/>
    <w:pPr>
      <w:spacing w:line="336" w:lineRule="auto"/>
      <w:ind w:firstLineChars="200" w:firstLine="200"/>
    </w:pPr>
    <w:rPr>
      <w:rFonts w:ascii="宋体" w:eastAsia="汉鼎简书宋" w:hAnsi="宋体" w:cs="宋体"/>
      <w:sz w:val="24"/>
    </w:rPr>
  </w:style>
  <w:style w:type="paragraph" w:customStyle="1" w:styleId="T1">
    <w:name w:val="T标题1级"/>
    <w:basedOn w:val="12"/>
    <w:next w:val="a6"/>
    <w:qFormat/>
    <w:pPr>
      <w:keepLines w:val="0"/>
      <w:widowControl/>
      <w:numPr>
        <w:numId w:val="19"/>
      </w:numPr>
      <w:tabs>
        <w:tab w:val="left" w:pos="360"/>
        <w:tab w:val="center" w:pos="500"/>
        <w:tab w:val="left" w:pos="4300"/>
        <w:tab w:val="left" w:pos="4500"/>
        <w:tab w:val="left" w:pos="4600"/>
      </w:tabs>
      <w:overflowPunct w:val="0"/>
      <w:adjustRightInd w:val="0"/>
      <w:spacing w:before="0" w:after="0" w:line="360" w:lineRule="auto"/>
      <w:ind w:left="0" w:firstLine="0"/>
      <w:jc w:val="left"/>
      <w:textAlignment w:val="center"/>
    </w:pPr>
    <w:rPr>
      <w:rFonts w:ascii="宋体" w:hAnsi="宋体"/>
      <w:bCs w:val="0"/>
      <w:sz w:val="28"/>
      <w:szCs w:val="28"/>
    </w:rPr>
  </w:style>
  <w:style w:type="paragraph" w:customStyle="1" w:styleId="005">
    <w:name w:val="表格内容005"/>
    <w:basedOn w:val="a6"/>
    <w:qFormat/>
    <w:pPr>
      <w:tabs>
        <w:tab w:val="left" w:pos="3700"/>
      </w:tabs>
      <w:jc w:val="center"/>
    </w:pPr>
    <w:rPr>
      <w:rFonts w:ascii="宋体" w:eastAsia="楷体_GB2312" w:hAnsi="Bodoni PosterCompressed"/>
      <w:color w:val="000000"/>
      <w:sz w:val="24"/>
      <w:szCs w:val="20"/>
    </w:rPr>
  </w:style>
  <w:style w:type="paragraph" w:customStyle="1" w:styleId="CharCharCharCharCharCharCharCharCharCharCharChar3">
    <w:name w:val="Char Char Char Char Char Char Char Char Char Char Char Char3"/>
    <w:basedOn w:val="a6"/>
    <w:next w:val="a6"/>
    <w:qFormat/>
    <w:pPr>
      <w:spacing w:line="360" w:lineRule="auto"/>
      <w:ind w:firstLineChars="200" w:firstLine="200"/>
    </w:pPr>
    <w:rPr>
      <w:rFonts w:ascii="宋体" w:hAnsi="宋体" w:cs="宋体"/>
      <w:color w:val="000000"/>
      <w:w w:val="110"/>
      <w:kern w:val="0"/>
      <w:sz w:val="24"/>
    </w:rPr>
  </w:style>
  <w:style w:type="paragraph" w:customStyle="1" w:styleId="REGULAR7">
    <w:name w:val="REGULAR 7"/>
    <w:qFormat/>
    <w:pPr>
      <w:tabs>
        <w:tab w:val="left" w:pos="-720"/>
      </w:tabs>
      <w:suppressAutoHyphens/>
    </w:pPr>
    <w:rPr>
      <w:rFonts w:ascii="Courier" w:hAnsi="Courier"/>
      <w:sz w:val="24"/>
      <w:lang w:eastAsia="en-US"/>
    </w:rPr>
  </w:style>
  <w:style w:type="paragraph" w:customStyle="1" w:styleId="3ff2">
    <w:name w:val="标题 3，第三标题"/>
    <w:basedOn w:val="a6"/>
    <w:qFormat/>
    <w:pPr>
      <w:tabs>
        <w:tab w:val="left" w:pos="628"/>
        <w:tab w:val="left" w:pos="1727"/>
        <w:tab w:val="left" w:pos="1840"/>
        <w:tab w:val="left" w:pos="1884"/>
        <w:tab w:val="left" w:pos="2660"/>
        <w:tab w:val="left" w:pos="5460"/>
      </w:tabs>
      <w:snapToGrid w:val="0"/>
      <w:spacing w:beforeLines="50" w:afterLines="50" w:line="440" w:lineRule="exact"/>
      <w:ind w:left="1840" w:hanging="720"/>
      <w:jc w:val="left"/>
      <w:outlineLvl w:val="2"/>
    </w:pPr>
    <w:rPr>
      <w:rFonts w:eastAsia="黑体" w:cs="宋体"/>
      <w:color w:val="000000"/>
      <w:w w:val="110"/>
      <w:kern w:val="0"/>
      <w:sz w:val="24"/>
      <w:szCs w:val="20"/>
    </w:rPr>
  </w:style>
  <w:style w:type="paragraph" w:customStyle="1" w:styleId="afffffffffffffffffffe">
    <w:name w:val="表中字"/>
    <w:basedOn w:val="a6"/>
    <w:qFormat/>
    <w:pPr>
      <w:tabs>
        <w:tab w:val="left" w:pos="180"/>
      </w:tabs>
      <w:spacing w:line="240" w:lineRule="atLeast"/>
      <w:ind w:firstLineChars="200" w:firstLine="200"/>
    </w:pPr>
    <w:rPr>
      <w:rFonts w:hAnsi="宋体"/>
      <w:sz w:val="24"/>
      <w:szCs w:val="20"/>
    </w:rPr>
  </w:style>
  <w:style w:type="paragraph" w:customStyle="1" w:styleId="affffffffffffffffffff">
    <w:name w:val="三级条标题"/>
    <w:basedOn w:val="afffff1"/>
    <w:next w:val="a6"/>
    <w:qFormat/>
    <w:pPr>
      <w:numPr>
        <w:ilvl w:val="4"/>
      </w:numPr>
      <w:ind w:left="425" w:hanging="425"/>
      <w:outlineLvl w:val="4"/>
    </w:pPr>
  </w:style>
  <w:style w:type="paragraph" w:customStyle="1" w:styleId="SAR5">
    <w:name w:val="SAR 5"/>
    <w:qFormat/>
    <w:pPr>
      <w:tabs>
        <w:tab w:val="right" w:pos="2520"/>
        <w:tab w:val="left" w:pos="2765"/>
      </w:tabs>
      <w:suppressAutoHyphens/>
      <w:ind w:firstLine="3960"/>
    </w:pPr>
    <w:rPr>
      <w:rFonts w:ascii="Courier" w:hAnsi="Courier"/>
      <w:sz w:val="24"/>
      <w:lang w:eastAsia="en-US"/>
    </w:rPr>
  </w:style>
  <w:style w:type="paragraph" w:customStyle="1" w:styleId="50098">
    <w:name w:val="样式 表内小5 + 左侧:  0 厘米 悬挂缩进: 0.98 字符"/>
    <w:basedOn w:val="5d"/>
    <w:qFormat/>
    <w:pPr>
      <w:ind w:left="0"/>
    </w:pPr>
  </w:style>
  <w:style w:type="paragraph" w:customStyle="1" w:styleId="TAB">
    <w:name w:val="TAB"/>
    <w:basedOn w:val="af8"/>
    <w:qFormat/>
    <w:pPr>
      <w:widowControl/>
      <w:spacing w:before="60" w:after="60"/>
      <w:jc w:val="left"/>
    </w:pPr>
    <w:rPr>
      <w:rFonts w:ascii="Arial" w:hAnsi="Arial"/>
      <w:kern w:val="0"/>
      <w:sz w:val="18"/>
      <w:szCs w:val="20"/>
      <w:lang w:eastAsia="fr-FR"/>
    </w:rPr>
  </w:style>
  <w:style w:type="paragraph" w:customStyle="1" w:styleId="affffffffffffffffffff0">
    <w:name w:val="样式 普通文字 + (符号) 宋体 小四"/>
    <w:basedOn w:val="afc"/>
    <w:qFormat/>
    <w:pPr>
      <w:spacing w:line="240" w:lineRule="auto"/>
      <w:ind w:firstLineChars="0" w:firstLine="0"/>
    </w:pPr>
    <w:rPr>
      <w:rFonts w:eastAsia="宋体"/>
      <w:color w:val="auto"/>
      <w:spacing w:val="0"/>
      <w:sz w:val="24"/>
      <w:szCs w:val="20"/>
    </w:rPr>
  </w:style>
  <w:style w:type="paragraph" w:customStyle="1" w:styleId="SAR2">
    <w:name w:val="SAR 2"/>
    <w:qFormat/>
    <w:pPr>
      <w:tabs>
        <w:tab w:val="left" w:pos="605"/>
        <w:tab w:val="left" w:pos="1210"/>
      </w:tabs>
      <w:suppressAutoHyphens/>
      <w:ind w:firstLine="605"/>
    </w:pPr>
    <w:rPr>
      <w:rFonts w:ascii="Courier" w:hAnsi="Courier"/>
      <w:sz w:val="24"/>
      <w:lang w:eastAsia="en-US"/>
    </w:rPr>
  </w:style>
  <w:style w:type="paragraph" w:customStyle="1" w:styleId="reader-word-layerreader-word-s1-14">
    <w:name w:val="reader-word-layer reader-word-s1-14"/>
    <w:basedOn w:val="a6"/>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w:basedOn w:val="a6"/>
    <w:qFormat/>
    <w:rPr>
      <w:sz w:val="24"/>
    </w:rPr>
  </w:style>
  <w:style w:type="paragraph" w:customStyle="1" w:styleId="GM">
    <w:name w:val="GM"/>
    <w:basedOn w:val="12"/>
    <w:qFormat/>
    <w:pPr>
      <w:keepNext w:val="0"/>
      <w:keepLines w:val="0"/>
      <w:widowControl/>
      <w:tabs>
        <w:tab w:val="left" w:pos="2260"/>
        <w:tab w:val="left" w:pos="2820"/>
        <w:tab w:val="left" w:pos="3420"/>
      </w:tabs>
      <w:adjustRightInd w:val="0"/>
      <w:snapToGrid w:val="0"/>
      <w:spacing w:beforeLines="100" w:before="0" w:afterLines="100" w:after="0" w:line="520" w:lineRule="exact"/>
      <w:ind w:left="851" w:right="-28" w:hanging="851"/>
    </w:pPr>
    <w:rPr>
      <w:rFonts w:ascii="Arial" w:hAnsi="Arial"/>
      <w:b w:val="0"/>
      <w:bCs w:val="0"/>
      <w:kern w:val="2"/>
      <w:sz w:val="22"/>
      <w:szCs w:val="20"/>
      <w:lang w:val="en-GB"/>
    </w:rPr>
  </w:style>
  <w:style w:type="paragraph" w:customStyle="1" w:styleId="085135201">
    <w:name w:val="正文文本 首行缩进:  0.85 厘米 行距: 多倍行距 1.35 字行 + 宋体 行距: 固定值 20 磅1"/>
    <w:basedOn w:val="a6"/>
    <w:qFormat/>
    <w:pPr>
      <w:spacing w:line="400" w:lineRule="exact"/>
      <w:ind w:firstLine="482"/>
    </w:pPr>
    <w:rPr>
      <w:rFonts w:ascii="宋体" w:hAnsi="宋体" w:cs="宋体"/>
      <w:sz w:val="24"/>
      <w:szCs w:val="20"/>
    </w:rPr>
  </w:style>
  <w:style w:type="paragraph" w:customStyle="1" w:styleId="2fffb">
    <w:name w:val="标题样式2"/>
    <w:basedOn w:val="22"/>
    <w:qFormat/>
    <w:pPr>
      <w:keepNext w:val="0"/>
      <w:keepLines w:val="0"/>
      <w:tabs>
        <w:tab w:val="left" w:pos="4142"/>
        <w:tab w:val="left" w:pos="6833"/>
        <w:tab w:val="left" w:pos="9030"/>
        <w:tab w:val="left" w:pos="9287"/>
      </w:tabs>
      <w:overflowPunct w:val="0"/>
      <w:topLinePunct/>
      <w:autoSpaceDE w:val="0"/>
      <w:autoSpaceDN w:val="0"/>
      <w:adjustRightInd w:val="0"/>
      <w:snapToGrid w:val="0"/>
      <w:spacing w:beforeLines="5" w:afterLines="5" w:line="360" w:lineRule="atLeast"/>
      <w:jc w:val="center"/>
      <w:textAlignment w:val="baseline"/>
      <w:outlineLvl w:val="9"/>
    </w:pPr>
    <w:rPr>
      <w:rFonts w:hAnsi="黑体"/>
      <w:snapToGrid w:val="0"/>
      <w:spacing w:val="0"/>
      <w:w w:val="100"/>
      <w:kern w:val="2"/>
      <w:sz w:val="21"/>
      <w:szCs w:val="20"/>
    </w:rPr>
  </w:style>
  <w:style w:type="paragraph" w:customStyle="1" w:styleId="affffffffffffffffffff1">
    <w:name w:val="农贸市场表格表头"/>
    <w:basedOn w:val="a6"/>
    <w:qFormat/>
    <w:pPr>
      <w:jc w:val="center"/>
    </w:pPr>
    <w:rPr>
      <w:rFonts w:ascii="宋体" w:hAnsi="宋体" w:cs="仿宋_GB2312"/>
      <w:b/>
      <w:kern w:val="0"/>
      <w:szCs w:val="21"/>
    </w:rPr>
  </w:style>
  <w:style w:type="paragraph" w:customStyle="1" w:styleId="yiv7844428264">
    <w:name w:val="yiv7844428264"/>
    <w:basedOn w:val="a6"/>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CharCharCharCharCharCharCharCharCharCharCharCharCharCharChar2">
    <w:name w:val="Char Char Char Char Char Char Char Char Char Char Char Char Char Char Char Char Char Char Char Char Char Char Char Char2"/>
    <w:basedOn w:val="a6"/>
    <w:qFormat/>
    <w:pPr>
      <w:widowControl/>
      <w:spacing w:after="200" w:line="276" w:lineRule="auto"/>
      <w:jc w:val="left"/>
    </w:pPr>
    <w:rPr>
      <w:rFonts w:ascii="Calibri" w:hAnsi="Calibri"/>
      <w:kern w:val="0"/>
      <w:sz w:val="22"/>
      <w:lang w:eastAsia="en-US" w:bidi="en-US"/>
    </w:rPr>
  </w:style>
  <w:style w:type="paragraph" w:customStyle="1" w:styleId="5f9">
    <w:name w:val="日期5"/>
    <w:basedOn w:val="a6"/>
    <w:next w:val="a6"/>
    <w:qFormat/>
    <w:pPr>
      <w:adjustRightInd w:val="0"/>
      <w:spacing w:line="240" w:lineRule="atLeast"/>
      <w:jc w:val="left"/>
      <w:textAlignment w:val="baseline"/>
    </w:pPr>
    <w:rPr>
      <w:rFonts w:ascii="宋体"/>
      <w:kern w:val="0"/>
      <w:sz w:val="28"/>
      <w:szCs w:val="20"/>
    </w:rPr>
  </w:style>
  <w:style w:type="paragraph" w:customStyle="1" w:styleId="xx">
    <w:name w:val="x.x"/>
    <w:basedOn w:val="a6"/>
    <w:qFormat/>
    <w:pPr>
      <w:spacing w:line="360" w:lineRule="auto"/>
      <w:ind w:leftChars="200" w:left="420" w:firstLineChars="200" w:firstLine="420"/>
    </w:pPr>
    <w:rPr>
      <w:rFonts w:ascii="宋体" w:hAnsi="宋体"/>
      <w:szCs w:val="21"/>
    </w:rPr>
  </w:style>
  <w:style w:type="paragraph" w:customStyle="1" w:styleId="xl47">
    <w:name w:val="xl47"/>
    <w:basedOn w:val="a6"/>
    <w:qFormat/>
    <w:pPr>
      <w:widowControl/>
      <w:pBdr>
        <w:bottom w:val="single" w:sz="8" w:space="0" w:color="auto"/>
      </w:pBdr>
      <w:spacing w:before="100" w:beforeAutospacing="1" w:after="100" w:afterAutospacing="1"/>
      <w:jc w:val="center"/>
    </w:pPr>
    <w:rPr>
      <w:rFonts w:ascii="Arial Unicode MS" w:eastAsia="Arial Unicode MS" w:hAnsi="Arial Unicode MS"/>
      <w:kern w:val="0"/>
      <w:sz w:val="20"/>
      <w:szCs w:val="20"/>
    </w:rPr>
  </w:style>
  <w:style w:type="paragraph" w:customStyle="1" w:styleId="3388">
    <w:name w:val="样式 标题 3国寰 标题 3 + 四号 加粗 段前: 8 磅 段后: 8 磅"/>
    <w:basedOn w:val="33"/>
    <w:qFormat/>
    <w:pPr>
      <w:adjustRightInd w:val="0"/>
      <w:spacing w:line="360" w:lineRule="auto"/>
    </w:pPr>
    <w:rPr>
      <w:rFonts w:cs="宋体"/>
      <w:spacing w:val="0"/>
      <w:sz w:val="24"/>
      <w:szCs w:val="20"/>
    </w:rPr>
  </w:style>
  <w:style w:type="paragraph" w:customStyle="1" w:styleId="-14">
    <w:name w:val="表名-1"/>
    <w:basedOn w:val="a6"/>
    <w:qFormat/>
    <w:pPr>
      <w:spacing w:beforeLines="50" w:before="50" w:line="300" w:lineRule="auto"/>
      <w:jc w:val="center"/>
    </w:pPr>
    <w:rPr>
      <w:sz w:val="24"/>
      <w:szCs w:val="21"/>
    </w:rPr>
  </w:style>
  <w:style w:type="paragraph" w:customStyle="1" w:styleId="CharCharCharCharCharCharCharCharCharChar2CharCharCharCharCharChar">
    <w:name w:val="Char Char Char Char Char Char Char Char Char Char2 Char Char Char Char Char Char"/>
    <w:basedOn w:val="af4"/>
    <w:qFormat/>
    <w:pPr>
      <w:keepNext/>
      <w:widowControl/>
      <w:spacing w:beforeLines="100" w:after="200" w:line="276" w:lineRule="auto"/>
      <w:jc w:val="left"/>
    </w:pPr>
    <w:rPr>
      <w:rFonts w:ascii="Tahoma" w:eastAsia="Times New Roman" w:hAnsi="Tahoma"/>
      <w:sz w:val="24"/>
      <w:shd w:val="clear" w:color="auto" w:fill="000080"/>
    </w:rPr>
  </w:style>
  <w:style w:type="paragraph" w:customStyle="1" w:styleId="1ffff4">
    <w:name w:val="图表目录1"/>
    <w:basedOn w:val="aff8"/>
    <w:qFormat/>
    <w:pPr>
      <w:spacing w:beforeLines="60" w:before="187"/>
      <w:ind w:firstLineChars="200" w:firstLine="420"/>
      <w:jc w:val="left"/>
    </w:pPr>
  </w:style>
  <w:style w:type="paragraph" w:customStyle="1" w:styleId="affffffffffffffffffff2">
    <w:name w:val="表标"/>
    <w:basedOn w:val="a6"/>
    <w:qFormat/>
    <w:pPr>
      <w:widowControl/>
      <w:spacing w:after="200" w:line="300" w:lineRule="auto"/>
      <w:jc w:val="center"/>
    </w:pPr>
    <w:rPr>
      <w:rFonts w:ascii="Calibri" w:eastAsia="黑体" w:hAnsi="Calibri"/>
      <w:kern w:val="0"/>
      <w:sz w:val="24"/>
      <w:szCs w:val="22"/>
      <w:lang w:eastAsia="en-US" w:bidi="en-US"/>
    </w:rPr>
  </w:style>
  <w:style w:type="paragraph" w:customStyle="1" w:styleId="93">
    <w:name w:val="9点"/>
    <w:basedOn w:val="a6"/>
    <w:qFormat/>
    <w:pPr>
      <w:tabs>
        <w:tab w:val="left" w:pos="1290"/>
      </w:tabs>
      <w:adjustRightInd w:val="0"/>
      <w:snapToGrid w:val="0"/>
      <w:spacing w:line="300" w:lineRule="auto"/>
      <w:ind w:left="1290" w:hanging="720"/>
      <w:jc w:val="center"/>
    </w:pPr>
    <w:rPr>
      <w:rFonts w:ascii="宋体"/>
      <w:sz w:val="24"/>
      <w:szCs w:val="20"/>
    </w:rPr>
  </w:style>
  <w:style w:type="paragraph" w:customStyle="1" w:styleId="1-0">
    <w:name w:val="1-正文"/>
    <w:basedOn w:val="a6"/>
    <w:qFormat/>
    <w:pPr>
      <w:spacing w:line="360" w:lineRule="auto"/>
      <w:ind w:firstLineChars="200" w:firstLine="200"/>
    </w:pPr>
    <w:rPr>
      <w:rFonts w:ascii="宋体" w:hAnsi="宋体"/>
      <w:kern w:val="0"/>
      <w:sz w:val="24"/>
      <w:szCs w:val="20"/>
    </w:rPr>
  </w:style>
  <w:style w:type="paragraph" w:customStyle="1" w:styleId="TableParagraph">
    <w:name w:val="Table Paragraph"/>
    <w:basedOn w:val="a6"/>
    <w:uiPriority w:val="1"/>
    <w:qFormat/>
    <w:rPr>
      <w:rFonts w:ascii="宋体" w:hAnsi="宋体" w:cs="宋体"/>
    </w:rPr>
  </w:style>
  <w:style w:type="paragraph" w:customStyle="1" w:styleId="Style50">
    <w:name w:val="Style50"/>
    <w:basedOn w:val="a6"/>
    <w:qFormat/>
    <w:pPr>
      <w:adjustRightInd w:val="0"/>
      <w:jc w:val="left"/>
    </w:pPr>
    <w:rPr>
      <w:rFonts w:ascii="宋体"/>
      <w:kern w:val="0"/>
      <w:sz w:val="24"/>
      <w:szCs w:val="20"/>
    </w:rPr>
  </w:style>
  <w:style w:type="paragraph" w:customStyle="1" w:styleId="2fffc">
    <w:name w:val="样式2"/>
    <w:basedOn w:val="a6"/>
    <w:qFormat/>
    <w:pPr>
      <w:spacing w:line="340" w:lineRule="exact"/>
    </w:pPr>
    <w:rPr>
      <w:rFonts w:ascii="仿宋_GB2312" w:eastAsia="仿宋_GB2312"/>
      <w:szCs w:val="20"/>
    </w:rPr>
  </w:style>
  <w:style w:type="paragraph" w:customStyle="1" w:styleId="affffffffffffffffffff3">
    <w:name w:val="样式 左"/>
    <w:basedOn w:val="a6"/>
    <w:qFormat/>
    <w:pPr>
      <w:autoSpaceDE w:val="0"/>
      <w:autoSpaceDN w:val="0"/>
      <w:adjustRightInd w:val="0"/>
      <w:snapToGrid w:val="0"/>
      <w:spacing w:line="360" w:lineRule="auto"/>
      <w:ind w:firstLineChars="200" w:firstLine="200"/>
      <w:jc w:val="left"/>
    </w:pPr>
    <w:rPr>
      <w:rFonts w:ascii="宋体" w:hAnsi="宋体"/>
      <w:color w:val="000000"/>
      <w:sz w:val="24"/>
      <w:szCs w:val="20"/>
    </w:rPr>
  </w:style>
  <w:style w:type="paragraph" w:customStyle="1" w:styleId="affffffffffffffffffff4">
    <w:name w:val="正文版本"/>
    <w:basedOn w:val="a6"/>
    <w:qFormat/>
    <w:pPr>
      <w:autoSpaceDE w:val="0"/>
      <w:autoSpaceDN w:val="0"/>
      <w:adjustRightInd w:val="0"/>
      <w:snapToGrid w:val="0"/>
      <w:spacing w:line="529" w:lineRule="exact"/>
      <w:ind w:firstLineChars="200" w:firstLine="480"/>
    </w:pPr>
    <w:rPr>
      <w:sz w:val="24"/>
      <w:lang w:val="zh-CN"/>
    </w:rPr>
  </w:style>
  <w:style w:type="paragraph" w:customStyle="1" w:styleId="xl52">
    <w:name w:val="xl52"/>
    <w:basedOn w:val="a6"/>
    <w:qFormat/>
    <w:pPr>
      <w:widowControl/>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20"/>
      <w:szCs w:val="20"/>
    </w:rPr>
  </w:style>
  <w:style w:type="paragraph" w:customStyle="1" w:styleId="SubHeading">
    <w:name w:val="Sub Heading"/>
    <w:basedOn w:val="a6"/>
    <w:qFormat/>
    <w:pPr>
      <w:widowControl/>
      <w:spacing w:after="200" w:line="276" w:lineRule="auto"/>
      <w:jc w:val="left"/>
    </w:pPr>
    <w:rPr>
      <w:rFonts w:ascii="Helv" w:eastAsia="PMingLiU" w:hAnsi="Helv"/>
      <w:b/>
      <w:kern w:val="0"/>
      <w:sz w:val="24"/>
      <w:szCs w:val="20"/>
      <w:lang w:val="en-GB" w:eastAsia="zh-TW" w:bidi="en-US"/>
    </w:rPr>
  </w:style>
  <w:style w:type="paragraph" w:customStyle="1" w:styleId="affffffffffffffffffff5">
    <w:name w:val="油藏描述正文 宋体 小四"/>
    <w:basedOn w:val="a6"/>
    <w:qFormat/>
    <w:pPr>
      <w:adjustRightInd w:val="0"/>
      <w:snapToGrid w:val="0"/>
      <w:ind w:leftChars="-1" w:left="-2"/>
      <w:jc w:val="center"/>
    </w:pPr>
    <w:rPr>
      <w:szCs w:val="28"/>
    </w:rPr>
  </w:style>
  <w:style w:type="paragraph" w:customStyle="1" w:styleId="xl942">
    <w:name w:val="xl942"/>
    <w:basedOn w:val="a6"/>
    <w:qFormat/>
    <w:pPr>
      <w:widowControl/>
      <w:spacing w:before="100" w:beforeAutospacing="1" w:after="100" w:afterAutospacing="1"/>
      <w:jc w:val="left"/>
      <w:textAlignment w:val="bottom"/>
    </w:pPr>
    <w:rPr>
      <w:rFonts w:ascii="宋体" w:hAnsi="宋体" w:cs="宋体"/>
      <w:b/>
      <w:bCs/>
      <w:kern w:val="0"/>
      <w:sz w:val="24"/>
    </w:rPr>
  </w:style>
  <w:style w:type="paragraph" w:customStyle="1" w:styleId="affffffffffffffffffff6">
    <w:name w:val="正文（自定）"/>
    <w:basedOn w:val="a6"/>
    <w:qFormat/>
    <w:pPr>
      <w:widowControl/>
      <w:spacing w:line="360" w:lineRule="auto"/>
      <w:ind w:firstLineChars="200" w:firstLine="200"/>
      <w:jc w:val="left"/>
    </w:pPr>
    <w:rPr>
      <w:rFonts w:ascii="宋体" w:hAnsi="宋体" w:cs="宋体"/>
      <w:kern w:val="0"/>
      <w:sz w:val="24"/>
    </w:rPr>
  </w:style>
  <w:style w:type="paragraph" w:customStyle="1" w:styleId="Charffffffffff5">
    <w:name w:val="表题 Char"/>
    <w:basedOn w:val="a6"/>
    <w:qFormat/>
    <w:pPr>
      <w:spacing w:line="360" w:lineRule="auto"/>
      <w:jc w:val="center"/>
    </w:pPr>
    <w:rPr>
      <w:rFonts w:ascii="黑体" w:eastAsia="黑体"/>
      <w:bCs/>
      <w:sz w:val="24"/>
    </w:rPr>
  </w:style>
  <w:style w:type="paragraph" w:customStyle="1" w:styleId="affffffffffffffffffff7">
    <w:name w:val="表格标题 五号"/>
    <w:basedOn w:val="a6"/>
    <w:qFormat/>
    <w:pPr>
      <w:autoSpaceDE w:val="0"/>
      <w:autoSpaceDN w:val="0"/>
      <w:adjustRightInd w:val="0"/>
      <w:spacing w:after="120" w:line="400" w:lineRule="exact"/>
      <w:jc w:val="center"/>
    </w:pPr>
    <w:rPr>
      <w:rFonts w:ascii="宋体" w:cs="宋体"/>
      <w:b/>
      <w:snapToGrid w:val="0"/>
      <w:szCs w:val="20"/>
      <w:lang w:val="zh-CN"/>
    </w:rPr>
  </w:style>
  <w:style w:type="paragraph" w:customStyle="1" w:styleId="affffffffffffffffffff8">
    <w:name w:val="小标题"/>
    <w:basedOn w:val="a6"/>
    <w:qFormat/>
    <w:pPr>
      <w:widowControl/>
      <w:overflowPunct w:val="0"/>
      <w:snapToGrid w:val="0"/>
      <w:spacing w:after="200" w:line="480" w:lineRule="exact"/>
      <w:ind w:firstLineChars="200" w:firstLine="200"/>
      <w:jc w:val="left"/>
    </w:pPr>
    <w:rPr>
      <w:rFonts w:ascii="Arial" w:eastAsia="仿宋_GB2312" w:hAnsi="Arial"/>
      <w:b/>
      <w:kern w:val="0"/>
      <w:sz w:val="28"/>
      <w:szCs w:val="20"/>
      <w:lang w:eastAsia="en-US" w:bidi="en-US"/>
    </w:rPr>
  </w:style>
  <w:style w:type="paragraph" w:customStyle="1" w:styleId="affffffffffffffffffff9">
    <w:name w:val="农贸市场三级标题"/>
    <w:basedOn w:val="afffffffffffff7"/>
    <w:qFormat/>
    <w:pPr>
      <w:spacing w:beforeLines="50" w:before="120" w:afterLines="50" w:after="120"/>
      <w:ind w:firstLineChars="0" w:firstLine="0"/>
      <w:outlineLvl w:val="2"/>
    </w:pPr>
    <w:rPr>
      <w:rFonts w:ascii="Times New Roman" w:hAnsi="Times New Roman"/>
      <w:kern w:val="0"/>
      <w:sz w:val="28"/>
    </w:rPr>
  </w:style>
  <w:style w:type="paragraph" w:customStyle="1" w:styleId="44Char15">
    <w:name w:val="样式 标题 4标题 4 Char + 左 行距: 1.5 倍行距"/>
    <w:basedOn w:val="41"/>
    <w:qFormat/>
    <w:pPr>
      <w:keepNext w:val="0"/>
      <w:keepLines w:val="0"/>
      <w:tabs>
        <w:tab w:val="left" w:pos="1064"/>
        <w:tab w:val="left" w:pos="1200"/>
        <w:tab w:val="left" w:pos="1361"/>
      </w:tabs>
      <w:spacing w:beforeLines="0" w:before="0" w:line="360" w:lineRule="auto"/>
      <w:ind w:leftChars="400" w:left="400" w:hangingChars="200" w:hanging="200"/>
      <w:jc w:val="left"/>
    </w:pPr>
    <w:rPr>
      <w:rFonts w:ascii="Times New Roman" w:eastAsia="宋体" w:hAnsi="Times New Roman" w:cs="宋体"/>
      <w:bCs w:val="0"/>
      <w:sz w:val="24"/>
    </w:rPr>
  </w:style>
  <w:style w:type="paragraph" w:customStyle="1" w:styleId="CM26">
    <w:name w:val="CM26"/>
    <w:basedOn w:val="a6"/>
    <w:next w:val="a6"/>
    <w:qFormat/>
    <w:pPr>
      <w:autoSpaceDE w:val="0"/>
      <w:autoSpaceDN w:val="0"/>
      <w:adjustRightInd w:val="0"/>
      <w:spacing w:line="440" w:lineRule="atLeast"/>
      <w:jc w:val="left"/>
    </w:pPr>
    <w:rPr>
      <w:rFonts w:ascii="宋体-方正超大字符集" w:eastAsia="宋体-方正超大字符集"/>
      <w:color w:val="000000"/>
      <w:w w:val="110"/>
      <w:kern w:val="0"/>
      <w:sz w:val="20"/>
    </w:rPr>
  </w:style>
  <w:style w:type="paragraph" w:customStyle="1" w:styleId="132">
    <w:name w:val="13点"/>
    <w:basedOn w:val="a6"/>
    <w:qFormat/>
    <w:pPr>
      <w:adjustRightInd w:val="0"/>
      <w:snapToGrid w:val="0"/>
      <w:ind w:leftChars="-50" w:left="-105" w:rightChars="-50" w:right="-105"/>
      <w:jc w:val="center"/>
    </w:pPr>
    <w:rPr>
      <w:rFonts w:ascii="宋体" w:hAnsi="宋体"/>
      <w:sz w:val="24"/>
      <w:szCs w:val="28"/>
    </w:rPr>
  </w:style>
  <w:style w:type="paragraph" w:customStyle="1" w:styleId="3Arial0622">
    <w:name w:val="标题 3 + Arial 小四 非加粗 段前: 0 磅 段后: 6 磅 行距: 固定值 22 磅"/>
    <w:basedOn w:val="33"/>
    <w:next w:val="a6"/>
    <w:qFormat/>
    <w:pPr>
      <w:keepNext w:val="0"/>
      <w:keepLines w:val="0"/>
      <w:widowControl/>
      <w:tabs>
        <w:tab w:val="left" w:pos="720"/>
      </w:tabs>
      <w:adjustRightInd w:val="0"/>
      <w:spacing w:before="200" w:line="440" w:lineRule="exact"/>
      <w:jc w:val="left"/>
    </w:pPr>
    <w:rPr>
      <w:rFonts w:ascii="宋体" w:eastAsia="宋体" w:hAnsi="宋体"/>
      <w:b/>
      <w:spacing w:val="0"/>
      <w:kern w:val="0"/>
      <w:sz w:val="24"/>
      <w:szCs w:val="20"/>
      <w:lang w:eastAsia="en-US" w:bidi="en-US"/>
    </w:rPr>
  </w:style>
  <w:style w:type="paragraph" w:customStyle="1" w:styleId="J0">
    <w:name w:val="J【表中文字】"/>
    <w:basedOn w:val="a6"/>
    <w:qFormat/>
    <w:pPr>
      <w:jc w:val="center"/>
      <w:textAlignment w:val="center"/>
    </w:pPr>
    <w:rPr>
      <w:rFonts w:cs="宋体"/>
      <w:szCs w:val="21"/>
    </w:rPr>
  </w:style>
  <w:style w:type="paragraph" w:customStyle="1" w:styleId="xl934">
    <w:name w:val="xl934"/>
    <w:basedOn w:val="a6"/>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126">
    <w:name w:val="样式 正文文本缩进 + 首行缩进:  1 字符 行距: 固定值 26 磅"/>
    <w:basedOn w:val="a6"/>
    <w:qFormat/>
    <w:pPr>
      <w:spacing w:before="50" w:line="360" w:lineRule="auto"/>
      <w:ind w:firstLine="561"/>
      <w:jc w:val="left"/>
    </w:pPr>
    <w:rPr>
      <w:rFonts w:ascii="宋体"/>
      <w:kern w:val="0"/>
      <w:sz w:val="24"/>
      <w:szCs w:val="20"/>
    </w:rPr>
  </w:style>
  <w:style w:type="paragraph" w:customStyle="1" w:styleId="xl1067">
    <w:name w:val="xl1067"/>
    <w:basedOn w:val="a6"/>
    <w:qFormat/>
    <w:pPr>
      <w:widowControl/>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jc w:val="left"/>
    </w:pPr>
    <w:rPr>
      <w:rFonts w:ascii="Arial" w:hAnsi="Arial" w:cs="Arial"/>
      <w:kern w:val="0"/>
      <w:sz w:val="18"/>
      <w:szCs w:val="18"/>
    </w:rPr>
  </w:style>
  <w:style w:type="paragraph" w:customStyle="1" w:styleId="bt1">
    <w:name w:val="bt1"/>
    <w:basedOn w:val="a6"/>
    <w:qFormat/>
    <w:pPr>
      <w:widowControl/>
      <w:spacing w:before="100" w:beforeAutospacing="1" w:after="100" w:afterAutospacing="1" w:line="700" w:lineRule="atLeast"/>
      <w:jc w:val="left"/>
    </w:pPr>
    <w:rPr>
      <w:rFonts w:ascii="黑体" w:eastAsia="黑体" w:hAnsi="宋体" w:hint="eastAsia"/>
      <w:color w:val="000000"/>
      <w:kern w:val="0"/>
      <w:sz w:val="28"/>
      <w:szCs w:val="28"/>
    </w:rPr>
  </w:style>
  <w:style w:type="paragraph" w:customStyle="1" w:styleId="xl23">
    <w:name w:val="xl23"/>
    <w:basedOn w:val="a6"/>
    <w:qFormat/>
    <w:pPr>
      <w:widowControl/>
      <w:spacing w:beforeLines="15" w:before="100" w:beforeAutospacing="1" w:afterLines="15" w:after="100" w:afterAutospacing="1" w:line="500" w:lineRule="atLeast"/>
      <w:jc w:val="center"/>
      <w:textAlignment w:val="center"/>
    </w:pPr>
    <w:rPr>
      <w:rFonts w:ascii="宋体" w:hAnsi="宋体"/>
      <w:kern w:val="0"/>
      <w:sz w:val="28"/>
    </w:rPr>
  </w:style>
  <w:style w:type="paragraph" w:customStyle="1" w:styleId="xl1013">
    <w:name w:val="xl1013"/>
    <w:basedOn w:val="a6"/>
    <w:qFormat/>
    <w:pPr>
      <w:widowControl/>
      <w:pBdr>
        <w:top w:val="single" w:sz="8" w:space="0" w:color="FFFF00"/>
        <w:left w:val="single" w:sz="8" w:space="0" w:color="FFFF00"/>
        <w:right w:val="single" w:sz="8" w:space="0" w:color="FFFF00"/>
      </w:pBdr>
      <w:shd w:val="clear" w:color="000000" w:fill="E26B0A"/>
      <w:spacing w:before="100" w:beforeAutospacing="1" w:after="100" w:afterAutospacing="1"/>
      <w:jc w:val="center"/>
    </w:pPr>
    <w:rPr>
      <w:rFonts w:ascii="Arial" w:hAnsi="Arial" w:cs="Arial"/>
      <w:kern w:val="0"/>
      <w:sz w:val="18"/>
      <w:szCs w:val="18"/>
    </w:rPr>
  </w:style>
  <w:style w:type="paragraph" w:customStyle="1" w:styleId="affffffffffffffffffffa">
    <w:name w:val="标题三！！！！！！！"/>
    <w:basedOn w:val="33"/>
    <w:qFormat/>
    <w:pPr>
      <w:keepNext w:val="0"/>
      <w:keepLines w:val="0"/>
      <w:tabs>
        <w:tab w:val="left" w:pos="1070"/>
      </w:tabs>
      <w:spacing w:line="500" w:lineRule="exact"/>
      <w:ind w:leftChars="400" w:left="1070" w:hangingChars="200" w:hanging="360"/>
    </w:pPr>
    <w:rPr>
      <w:rFonts w:ascii="楷体_GB2312" w:eastAsia="楷体_GB2312" w:hAnsi="楷体_GB2312" w:cs="楷体_GB2312"/>
      <w:b/>
      <w:spacing w:val="0"/>
      <w:szCs w:val="28"/>
    </w:rPr>
  </w:style>
  <w:style w:type="paragraph" w:customStyle="1" w:styleId="xl1033">
    <w:name w:val="xl1033"/>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kern w:val="0"/>
      <w:sz w:val="18"/>
      <w:szCs w:val="18"/>
    </w:rPr>
  </w:style>
  <w:style w:type="paragraph" w:customStyle="1" w:styleId="2210">
    <w:name w:val="样式 宋体 小四 行距: 固定值 22 磅1"/>
    <w:basedOn w:val="a6"/>
    <w:semiHidden/>
    <w:qFormat/>
    <w:pPr>
      <w:widowControl/>
      <w:spacing w:after="200" w:line="440" w:lineRule="exact"/>
      <w:ind w:firstLineChars="200" w:firstLine="480"/>
      <w:jc w:val="left"/>
    </w:pPr>
    <w:rPr>
      <w:rFonts w:ascii="Arial Unicode MS" w:hAnsi="Arial Unicode MS"/>
      <w:kern w:val="0"/>
      <w:sz w:val="24"/>
      <w:szCs w:val="20"/>
      <w:lang w:eastAsia="en-US" w:bidi="en-US"/>
    </w:rPr>
  </w:style>
  <w:style w:type="paragraph" w:customStyle="1" w:styleId="affffffffffffffffffffb">
    <w:name w:val="正文标准样式"/>
    <w:basedOn w:val="a6"/>
    <w:qFormat/>
    <w:pPr>
      <w:adjustRightInd w:val="0"/>
      <w:spacing w:line="300" w:lineRule="auto"/>
      <w:ind w:firstLine="482"/>
      <w:textAlignment w:val="baseline"/>
    </w:pPr>
    <w:rPr>
      <w:color w:val="000000"/>
      <w:w w:val="110"/>
      <w:kern w:val="0"/>
      <w:sz w:val="24"/>
      <w:szCs w:val="20"/>
    </w:rPr>
  </w:style>
  <w:style w:type="paragraph" w:customStyle="1" w:styleId="affffffffffffffffffffc">
    <w:name w:val="特点标题"/>
    <w:basedOn w:val="a6"/>
    <w:next w:val="af9"/>
    <w:qFormat/>
    <w:pPr>
      <w:spacing w:after="120"/>
      <w:ind w:leftChars="200" w:left="420"/>
    </w:pPr>
  </w:style>
  <w:style w:type="paragraph" w:customStyle="1" w:styleId="T4">
    <w:name w:val="T标题4级"/>
    <w:basedOn w:val="41"/>
    <w:next w:val="a6"/>
    <w:qFormat/>
    <w:pPr>
      <w:widowControl/>
      <w:numPr>
        <w:ilvl w:val="3"/>
        <w:numId w:val="19"/>
      </w:numPr>
      <w:tabs>
        <w:tab w:val="left" w:pos="360"/>
      </w:tabs>
      <w:overflowPunct w:val="0"/>
      <w:autoSpaceDE w:val="0"/>
      <w:autoSpaceDN w:val="0"/>
      <w:snapToGrid/>
      <w:spacing w:beforeLines="0" w:before="0" w:afterLines="50" w:after="50" w:line="360" w:lineRule="auto"/>
      <w:ind w:leftChars="250" w:left="450" w:rightChars="50" w:right="50" w:hangingChars="200" w:hanging="200"/>
      <w:jc w:val="left"/>
      <w:textAlignment w:val="baseline"/>
    </w:pPr>
    <w:rPr>
      <w:rFonts w:ascii="Times New Roman" w:eastAsia="仿宋_GB2312" w:hAnsi="Times New Roman"/>
      <w:bCs w:val="0"/>
      <w:kern w:val="0"/>
      <w:sz w:val="24"/>
      <w:szCs w:val="24"/>
    </w:rPr>
  </w:style>
  <w:style w:type="paragraph" w:customStyle="1" w:styleId="1112">
    <w:name w:val="标题111"/>
    <w:basedOn w:val="12"/>
    <w:qFormat/>
    <w:pPr>
      <w:adjustRightInd w:val="0"/>
      <w:snapToGrid w:val="0"/>
      <w:spacing w:before="0" w:after="0" w:line="300" w:lineRule="auto"/>
    </w:pPr>
    <w:rPr>
      <w:rFonts w:ascii="黑体"/>
      <w:b w:val="0"/>
      <w:bCs w:val="0"/>
      <w:sz w:val="28"/>
    </w:rPr>
  </w:style>
  <w:style w:type="paragraph" w:customStyle="1" w:styleId="11d">
    <w:name w:val="样式 宋体 11 磅 黑色 居中"/>
    <w:basedOn w:val="a6"/>
    <w:qFormat/>
    <w:pPr>
      <w:widowControl/>
      <w:tabs>
        <w:tab w:val="left" w:pos="1727"/>
        <w:tab w:val="left" w:pos="1884"/>
      </w:tabs>
      <w:adjustRightInd w:val="0"/>
      <w:snapToGrid w:val="0"/>
      <w:spacing w:line="300" w:lineRule="auto"/>
      <w:ind w:firstLineChars="200" w:firstLine="560"/>
      <w:jc w:val="center"/>
    </w:pPr>
    <w:rPr>
      <w:rFonts w:ascii="宋体" w:hAnsi="宋体" w:cs="宋体"/>
      <w:color w:val="000000"/>
      <w:kern w:val="0"/>
      <w:sz w:val="22"/>
      <w:szCs w:val="20"/>
    </w:rPr>
  </w:style>
  <w:style w:type="paragraph" w:customStyle="1" w:styleId="affffffffffffffffffffd">
    <w:name w:val="正文+居中"/>
    <w:basedOn w:val="afc"/>
    <w:qFormat/>
    <w:pPr>
      <w:spacing w:line="240" w:lineRule="atLeast"/>
      <w:ind w:firstLineChars="0" w:firstLine="0"/>
      <w:jc w:val="center"/>
    </w:pPr>
    <w:rPr>
      <w:rFonts w:ascii="Times New Roman" w:eastAsia="宋体" w:hAnsi="Times New Roman"/>
      <w:color w:val="auto"/>
      <w:spacing w:val="0"/>
      <w:sz w:val="21"/>
      <w:szCs w:val="20"/>
    </w:rPr>
  </w:style>
  <w:style w:type="paragraph" w:customStyle="1" w:styleId="07415">
    <w:name w:val="样式 宋体 小四 首行缩进:  0.74 厘米 行距: 1.5 倍行距"/>
    <w:basedOn w:val="a6"/>
    <w:qFormat/>
    <w:pPr>
      <w:widowControl/>
      <w:spacing w:after="200" w:line="360" w:lineRule="auto"/>
      <w:jc w:val="left"/>
    </w:pPr>
    <w:rPr>
      <w:rFonts w:ascii="Arial" w:hAnsi="Arial"/>
      <w:kern w:val="0"/>
      <w:sz w:val="24"/>
      <w:szCs w:val="22"/>
      <w:lang w:eastAsia="en-US" w:bidi="en-US"/>
    </w:rPr>
  </w:style>
  <w:style w:type="paragraph" w:customStyle="1" w:styleId="5fa">
    <w:name w:val="表内5"/>
    <w:basedOn w:val="afffffffffffff9"/>
    <w:qFormat/>
    <w:pPr>
      <w:spacing w:line="240" w:lineRule="auto"/>
      <w:ind w:firstLineChars="0" w:firstLine="0"/>
      <w:jc w:val="center"/>
    </w:pPr>
    <w:rPr>
      <w:sz w:val="21"/>
      <w:szCs w:val="21"/>
    </w:rPr>
  </w:style>
  <w:style w:type="paragraph" w:customStyle="1" w:styleId="-54">
    <w:name w:val="编号-正文章条5级标题和4级条(不进目录)"/>
    <w:basedOn w:val="a6"/>
    <w:qFormat/>
    <w:pPr>
      <w:widowControl/>
      <w:numPr>
        <w:ilvl w:val="4"/>
        <w:numId w:val="14"/>
      </w:numPr>
      <w:jc w:val="left"/>
      <w:outlineLvl w:val="4"/>
    </w:pPr>
    <w:rPr>
      <w:rFonts w:ascii="Arial" w:hAnsi="Arial" w:cs="宋体"/>
      <w:kern w:val="0"/>
      <w:sz w:val="24"/>
    </w:rPr>
  </w:style>
  <w:style w:type="paragraph" w:customStyle="1" w:styleId="p0">
    <w:name w:val="p0"/>
    <w:basedOn w:val="a6"/>
    <w:qFormat/>
    <w:pPr>
      <w:widowControl/>
      <w:spacing w:line="360" w:lineRule="auto"/>
      <w:ind w:firstLine="420"/>
    </w:pPr>
    <w:rPr>
      <w:kern w:val="0"/>
      <w:sz w:val="24"/>
    </w:rPr>
  </w:style>
  <w:style w:type="paragraph" w:customStyle="1" w:styleId="xl1038">
    <w:name w:val="xl1038"/>
    <w:basedOn w:val="a6"/>
    <w:qFormat/>
    <w:pPr>
      <w:widowControl/>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jc w:val="center"/>
    </w:pPr>
    <w:rPr>
      <w:rFonts w:ascii="Arial" w:hAnsi="Arial" w:cs="Arial"/>
      <w:kern w:val="0"/>
      <w:sz w:val="18"/>
      <w:szCs w:val="18"/>
    </w:rPr>
  </w:style>
  <w:style w:type="paragraph" w:customStyle="1" w:styleId="chin">
    <w:name w:val="样式　正文缩进chin"/>
    <w:basedOn w:val="a6"/>
    <w:qFormat/>
    <w:pPr>
      <w:spacing w:line="360" w:lineRule="auto"/>
      <w:ind w:firstLineChars="218" w:firstLine="523"/>
    </w:pPr>
    <w:rPr>
      <w:rFonts w:cs="宋体"/>
      <w:kern w:val="0"/>
      <w:sz w:val="24"/>
    </w:rPr>
  </w:style>
  <w:style w:type="paragraph" w:customStyle="1" w:styleId="affffffffffffffffffffe">
    <w:name w:val="裴正文"/>
    <w:qFormat/>
    <w:pPr>
      <w:adjustRightInd w:val="0"/>
      <w:snapToGrid w:val="0"/>
      <w:spacing w:after="200" w:line="500" w:lineRule="exact"/>
      <w:ind w:firstLineChars="200" w:firstLine="200"/>
    </w:pPr>
    <w:rPr>
      <w:rFonts w:ascii="Calibri" w:hAnsi="Calibri"/>
      <w:bCs/>
      <w:snapToGrid w:val="0"/>
      <w:sz w:val="24"/>
      <w:szCs w:val="22"/>
    </w:rPr>
  </w:style>
  <w:style w:type="paragraph" w:customStyle="1" w:styleId="afffffffffffffffffffff">
    <w:name w:val="样式 标题 + 两端对齐"/>
    <w:basedOn w:val="aa"/>
    <w:qFormat/>
    <w:pPr>
      <w:pageBreakBefore w:val="0"/>
      <w:tabs>
        <w:tab w:val="left" w:pos="0"/>
      </w:tabs>
      <w:spacing w:before="0" w:after="100" w:afterAutospacing="1" w:line="360" w:lineRule="auto"/>
      <w:ind w:left="57" w:hanging="57"/>
    </w:pPr>
    <w:rPr>
      <w:rFonts w:ascii="隶书" w:eastAsia="隶书" w:hAnsi="Arial" w:cs="宋体"/>
      <w:kern w:val="0"/>
      <w:sz w:val="44"/>
      <w:szCs w:val="44"/>
    </w:rPr>
  </w:style>
  <w:style w:type="paragraph" w:customStyle="1" w:styleId="xl1023">
    <w:name w:val="xl1023"/>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8"/>
      <w:szCs w:val="18"/>
    </w:rPr>
  </w:style>
  <w:style w:type="paragraph" w:customStyle="1" w:styleId="IDDS">
    <w:name w:val="IDDS表格正文"/>
    <w:basedOn w:val="a6"/>
    <w:qFormat/>
    <w:pPr>
      <w:spacing w:line="300" w:lineRule="auto"/>
      <w:ind w:firstLineChars="200" w:firstLine="200"/>
      <w:jc w:val="center"/>
    </w:pPr>
    <w:rPr>
      <w:rFonts w:cs="宋体"/>
      <w:sz w:val="24"/>
      <w:szCs w:val="20"/>
    </w:rPr>
  </w:style>
  <w:style w:type="paragraph" w:customStyle="1" w:styleId="xl1031">
    <w:name w:val="xl1031"/>
    <w:basedOn w:val="a6"/>
    <w:qFormat/>
    <w:pPr>
      <w:widowControl/>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jc w:val="left"/>
    </w:pPr>
    <w:rPr>
      <w:rFonts w:ascii="宋体" w:hAnsi="宋体" w:cs="宋体"/>
      <w:kern w:val="0"/>
      <w:sz w:val="18"/>
      <w:szCs w:val="18"/>
    </w:rPr>
  </w:style>
  <w:style w:type="paragraph" w:customStyle="1" w:styleId="CharCharCharChar50">
    <w:name w:val="Char Char Char Char5"/>
    <w:basedOn w:val="a6"/>
    <w:qFormat/>
    <w:pPr>
      <w:snapToGrid w:val="0"/>
      <w:spacing w:line="440" w:lineRule="atLeast"/>
    </w:pPr>
    <w:rPr>
      <w:rFonts w:ascii="宋体"/>
      <w:sz w:val="24"/>
    </w:rPr>
  </w:style>
  <w:style w:type="paragraph" w:customStyle="1" w:styleId="afffffffffffffffffffff0">
    <w:name w:val="表头文字"/>
    <w:basedOn w:val="af0"/>
    <w:qFormat/>
    <w:pPr>
      <w:widowControl/>
      <w:adjustRightInd/>
      <w:snapToGrid w:val="0"/>
      <w:spacing w:after="200" w:line="276" w:lineRule="auto"/>
      <w:ind w:firstLineChars="200" w:firstLine="0"/>
      <w:jc w:val="center"/>
      <w:textAlignment w:val="auto"/>
    </w:pPr>
    <w:rPr>
      <w:rFonts w:ascii="Arial" w:eastAsia="楷体_GB2312" w:hAnsi="Arial"/>
      <w:b/>
      <w:kern w:val="2"/>
      <w:sz w:val="21"/>
      <w:szCs w:val="20"/>
    </w:rPr>
  </w:style>
  <w:style w:type="paragraph" w:customStyle="1" w:styleId="2fffd">
    <w:name w:val="2"/>
    <w:basedOn w:val="a6"/>
    <w:next w:val="a6"/>
    <w:uiPriority w:val="99"/>
    <w:qFormat/>
    <w:rPr>
      <w:rFonts w:ascii="宋体" w:hAnsi="宋体"/>
      <w:spacing w:val="-24"/>
      <w:sz w:val="24"/>
      <w:szCs w:val="20"/>
    </w:rPr>
  </w:style>
  <w:style w:type="paragraph" w:customStyle="1" w:styleId="xl1050">
    <w:name w:val="xl1050"/>
    <w:basedOn w:val="a6"/>
    <w:qFormat/>
    <w:pPr>
      <w:widowControl/>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jc w:val="center"/>
    </w:pPr>
    <w:rPr>
      <w:rFonts w:ascii="Arial" w:hAnsi="Arial" w:cs="Arial"/>
      <w:kern w:val="0"/>
      <w:sz w:val="18"/>
      <w:szCs w:val="18"/>
    </w:rPr>
  </w:style>
  <w:style w:type="paragraph" w:customStyle="1" w:styleId="afffffffffffffffffffff1">
    <w:name w:val="国寰 正文"/>
    <w:basedOn w:val="a6"/>
    <w:qFormat/>
    <w:pPr>
      <w:spacing w:line="360" w:lineRule="auto"/>
      <w:ind w:firstLineChars="200" w:firstLine="200"/>
    </w:pPr>
    <w:rPr>
      <w:rFonts w:cs="宋体"/>
      <w:color w:val="000000"/>
      <w:sz w:val="24"/>
      <w:szCs w:val="20"/>
    </w:rPr>
  </w:style>
  <w:style w:type="paragraph" w:customStyle="1" w:styleId="320">
    <w:name w:val="样式32"/>
    <w:basedOn w:val="a6"/>
    <w:qFormat/>
    <w:pPr>
      <w:tabs>
        <w:tab w:val="left" w:pos="5865"/>
      </w:tabs>
      <w:adjustRightInd w:val="0"/>
      <w:snapToGrid w:val="0"/>
      <w:spacing w:beforeLines="50" w:before="120" w:line="300" w:lineRule="auto"/>
      <w:ind w:firstLine="489"/>
      <w:jc w:val="center"/>
    </w:pPr>
    <w:rPr>
      <w:rFonts w:ascii="黑体" w:eastAsia="黑体"/>
      <w:kern w:val="0"/>
      <w:szCs w:val="21"/>
    </w:rPr>
  </w:style>
  <w:style w:type="paragraph" w:customStyle="1" w:styleId="20505TimesNewRoman02">
    <w:name w:val="样式 样式 标题 2 + 段前: 0.5 行 段后: 0.5 行 + Times New Roman 段前: 0.2 行 段..."/>
    <w:basedOn w:val="a6"/>
    <w:qFormat/>
    <w:pPr>
      <w:keepNext/>
      <w:keepLines/>
      <w:spacing w:beforeLines="20" w:afterLines="20" w:line="360" w:lineRule="auto"/>
      <w:outlineLvl w:val="1"/>
    </w:pPr>
    <w:rPr>
      <w:rFonts w:cs="宋体"/>
      <w:b/>
      <w:bCs/>
      <w:sz w:val="30"/>
      <w:szCs w:val="20"/>
    </w:rPr>
  </w:style>
  <w:style w:type="paragraph" w:customStyle="1" w:styleId="0742">
    <w:name w:val="样式 样式 左侧:  0.74 厘米 + 首行缩进:  2 字符"/>
    <w:basedOn w:val="a6"/>
    <w:qFormat/>
    <w:pPr>
      <w:spacing w:line="400" w:lineRule="exact"/>
      <w:ind w:firstLineChars="200" w:firstLine="480"/>
    </w:pPr>
    <w:rPr>
      <w:rFonts w:ascii="宋体" w:hAnsi="宋体" w:cs="宋体"/>
      <w:sz w:val="24"/>
      <w:szCs w:val="20"/>
    </w:rPr>
  </w:style>
  <w:style w:type="paragraph" w:customStyle="1" w:styleId="xl1052">
    <w:name w:val="xl1052"/>
    <w:basedOn w:val="a6"/>
    <w:qFormat/>
    <w:pPr>
      <w:widowControl/>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jc w:val="left"/>
    </w:pPr>
    <w:rPr>
      <w:rFonts w:ascii="Arial" w:hAnsi="Arial" w:cs="Arial"/>
      <w:kern w:val="0"/>
      <w:sz w:val="18"/>
      <w:szCs w:val="18"/>
    </w:rPr>
  </w:style>
  <w:style w:type="paragraph" w:customStyle="1" w:styleId="1q">
    <w:name w:val="标题1q"/>
    <w:basedOn w:val="12"/>
    <w:qFormat/>
    <w:pPr>
      <w:tabs>
        <w:tab w:val="left" w:pos="432"/>
      </w:tabs>
      <w:spacing w:before="340" w:after="330" w:line="360" w:lineRule="auto"/>
      <w:ind w:left="431" w:firstLineChars="200" w:firstLine="200"/>
      <w:jc w:val="center"/>
    </w:pPr>
    <w:rPr>
      <w:rFonts w:ascii="华文仿宋" w:eastAsia="华文仿宋" w:cs="宋体"/>
      <w:b w:val="0"/>
      <w:sz w:val="32"/>
      <w:szCs w:val="32"/>
    </w:rPr>
  </w:style>
  <w:style w:type="paragraph" w:customStyle="1" w:styleId="p17">
    <w:name w:val="p17"/>
    <w:basedOn w:val="a6"/>
    <w:qFormat/>
    <w:pPr>
      <w:widowControl/>
      <w:snapToGrid w:val="0"/>
      <w:spacing w:line="360" w:lineRule="auto"/>
      <w:jc w:val="center"/>
      <w:textAlignment w:val="baseline"/>
    </w:pPr>
    <w:rPr>
      <w:rFonts w:ascii="宋体" w:hAnsi="宋体"/>
      <w:kern w:val="0"/>
      <w:sz w:val="24"/>
      <w:szCs w:val="20"/>
    </w:rPr>
  </w:style>
  <w:style w:type="paragraph" w:customStyle="1" w:styleId="SLCON1">
    <w:name w:val="表（或图）标题 样式 宋体 小四号 居中 SL CON"/>
    <w:basedOn w:val="a6"/>
    <w:qFormat/>
    <w:pPr>
      <w:widowControl/>
      <w:tabs>
        <w:tab w:val="left" w:pos="377"/>
      </w:tabs>
      <w:spacing w:before="100" w:beforeAutospacing="1" w:line="360" w:lineRule="auto"/>
      <w:jc w:val="center"/>
    </w:pPr>
    <w:rPr>
      <w:rFonts w:ascii="宋体" w:hAnsi="宋体" w:cs="宋体"/>
      <w:b/>
      <w:kern w:val="0"/>
      <w:sz w:val="24"/>
      <w:szCs w:val="20"/>
    </w:rPr>
  </w:style>
  <w:style w:type="paragraph" w:customStyle="1" w:styleId="xl957">
    <w:name w:val="xl95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fffffffffffffffffff2">
    <w:name w:val="四级条标题"/>
    <w:basedOn w:val="affffffffffffffffffff"/>
    <w:next w:val="a6"/>
    <w:qFormat/>
    <w:pPr>
      <w:numPr>
        <w:ilvl w:val="5"/>
      </w:numPr>
      <w:ind w:left="425" w:hanging="425"/>
      <w:outlineLvl w:val="5"/>
    </w:pPr>
  </w:style>
  <w:style w:type="paragraph" w:customStyle="1" w:styleId="xl1026">
    <w:name w:val="xl102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8"/>
      <w:szCs w:val="18"/>
    </w:rPr>
  </w:style>
  <w:style w:type="paragraph" w:customStyle="1" w:styleId="CharChar1CharCharCharChar">
    <w:name w:val="Char Char1 Char Char Char Char"/>
    <w:basedOn w:val="a6"/>
    <w:qFormat/>
    <w:rPr>
      <w:sz w:val="24"/>
    </w:rPr>
  </w:style>
  <w:style w:type="paragraph" w:customStyle="1" w:styleId="300">
    <w:name w:val="样式 行距: 固定值 30 磅"/>
    <w:basedOn w:val="a6"/>
    <w:uiPriority w:val="99"/>
    <w:qFormat/>
    <w:pPr>
      <w:spacing w:line="600" w:lineRule="exact"/>
      <w:ind w:firstLineChars="200" w:firstLine="560"/>
    </w:pPr>
    <w:rPr>
      <w:rFonts w:ascii="宋体" w:cs="宋体"/>
      <w:szCs w:val="21"/>
    </w:rPr>
  </w:style>
  <w:style w:type="paragraph" w:customStyle="1" w:styleId="xl1001">
    <w:name w:val="xl1001"/>
    <w:basedOn w:val="a6"/>
    <w:qFormat/>
    <w:pPr>
      <w:widowControl/>
      <w:pBdr>
        <w:top w:val="single" w:sz="8" w:space="0" w:color="auto"/>
        <w:left w:val="single" w:sz="4" w:space="0" w:color="auto"/>
        <w:bottom w:val="single" w:sz="4" w:space="0" w:color="auto"/>
        <w:right w:val="single" w:sz="4" w:space="0" w:color="auto"/>
      </w:pBdr>
      <w:shd w:val="clear" w:color="000000" w:fill="E26B0A"/>
      <w:spacing w:before="100" w:beforeAutospacing="1" w:after="100" w:afterAutospacing="1"/>
      <w:jc w:val="center"/>
    </w:pPr>
    <w:rPr>
      <w:rFonts w:ascii="Arial" w:hAnsi="Arial" w:cs="Arial"/>
      <w:kern w:val="0"/>
      <w:sz w:val="18"/>
      <w:szCs w:val="18"/>
    </w:rPr>
  </w:style>
  <w:style w:type="paragraph" w:customStyle="1" w:styleId="afffffffffffffffffffff3">
    <w:name w:val="节的样式"/>
    <w:basedOn w:val="a6"/>
    <w:qFormat/>
    <w:pPr>
      <w:widowControl/>
      <w:ind w:firstLineChars="200" w:firstLine="560"/>
      <w:jc w:val="center"/>
    </w:pPr>
    <w:rPr>
      <w:rFonts w:ascii="宋体" w:hAnsi="宋体" w:cs="宋体"/>
      <w:kern w:val="0"/>
      <w:sz w:val="28"/>
      <w:szCs w:val="20"/>
    </w:rPr>
  </w:style>
  <w:style w:type="paragraph" w:customStyle="1" w:styleId="afffffffffffffffffffff4">
    <w:name w:val="章标题(不加入目录内)"/>
    <w:basedOn w:val="aa"/>
    <w:qFormat/>
    <w:pPr>
      <w:keepLines/>
      <w:spacing w:after="120" w:line="240" w:lineRule="auto"/>
      <w:outlineLvl w:val="9"/>
    </w:pPr>
    <w:rPr>
      <w:rFonts w:eastAsia="黑体"/>
      <w:bCs w:val="0"/>
      <w:kern w:val="0"/>
      <w:sz w:val="36"/>
      <w:szCs w:val="20"/>
    </w:rPr>
  </w:style>
  <w:style w:type="paragraph" w:customStyle="1" w:styleId="Char3e">
    <w:name w:val="Char3"/>
    <w:basedOn w:val="a6"/>
    <w:qFormat/>
    <w:pPr>
      <w:snapToGrid w:val="0"/>
      <w:spacing w:line="360" w:lineRule="auto"/>
      <w:ind w:firstLineChars="200" w:firstLine="529"/>
    </w:pPr>
    <w:rPr>
      <w:rFonts w:ascii="宋体" w:hAnsi="宋体"/>
      <w:b/>
    </w:rPr>
  </w:style>
  <w:style w:type="paragraph" w:customStyle="1" w:styleId="xl1055">
    <w:name w:val="xl1055"/>
    <w:basedOn w:val="a6"/>
    <w:qFormat/>
    <w:pPr>
      <w:widowControl/>
      <w:shd w:val="clear" w:color="000000" w:fill="0070C0"/>
      <w:spacing w:before="100" w:beforeAutospacing="1" w:after="100" w:afterAutospacing="1"/>
      <w:jc w:val="left"/>
      <w:textAlignment w:val="bottom"/>
    </w:pPr>
    <w:rPr>
      <w:rFonts w:ascii="Arial" w:hAnsi="Arial" w:cs="Arial"/>
      <w:kern w:val="0"/>
      <w:sz w:val="24"/>
    </w:rPr>
  </w:style>
  <w:style w:type="paragraph" w:customStyle="1" w:styleId="218">
    <w:name w:val="纯文本21"/>
    <w:basedOn w:val="a6"/>
    <w:qFormat/>
    <w:pPr>
      <w:adjustRightInd w:val="0"/>
      <w:jc w:val="left"/>
      <w:textAlignment w:val="baseline"/>
    </w:pPr>
    <w:rPr>
      <w:rFonts w:ascii="宋体"/>
      <w:kern w:val="0"/>
      <w:sz w:val="24"/>
      <w:szCs w:val="20"/>
    </w:rPr>
  </w:style>
  <w:style w:type="paragraph" w:customStyle="1" w:styleId="CharCharCharCharCharCharCharCharCharCharCharCharChar">
    <w:name w:val="Char Char Char Char Char Char Char Char Char Char Char Char Char"/>
    <w:basedOn w:val="a6"/>
    <w:qFormat/>
    <w:pPr>
      <w:spacing w:line="360" w:lineRule="auto"/>
    </w:pPr>
    <w:rPr>
      <w:rFonts w:eastAsia="黑体"/>
      <w:kern w:val="0"/>
      <w:sz w:val="32"/>
      <w:szCs w:val="32"/>
    </w:rPr>
  </w:style>
  <w:style w:type="paragraph" w:customStyle="1" w:styleId="xl945">
    <w:name w:val="xl94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54">
    <w:name w:val="xl54"/>
    <w:basedOn w:val="a6"/>
    <w:qFormat/>
    <w:pPr>
      <w:widowControl/>
      <w:pBdr>
        <w:left w:val="single" w:sz="4" w:space="0" w:color="auto"/>
        <w:bottom w:val="single" w:sz="4" w:space="0" w:color="auto"/>
      </w:pBdr>
      <w:spacing w:before="100" w:beforeAutospacing="1" w:after="100" w:afterAutospacing="1"/>
      <w:jc w:val="center"/>
      <w:textAlignment w:val="center"/>
    </w:pPr>
    <w:rPr>
      <w:rFonts w:ascii="宋体" w:eastAsia="Arial Unicode MS"/>
      <w:kern w:val="0"/>
      <w:sz w:val="24"/>
      <w:szCs w:val="20"/>
    </w:rPr>
  </w:style>
  <w:style w:type="paragraph" w:customStyle="1" w:styleId="afffffffffffffffffffff5">
    <w:name w:val="表中五"/>
    <w:basedOn w:val="a6"/>
    <w:qFormat/>
    <w:pPr>
      <w:framePr w:hSpace="180" w:wrap="around" w:vAnchor="text" w:hAnchor="margin" w:y="314"/>
      <w:snapToGrid w:val="0"/>
      <w:ind w:leftChars="-46" w:left="-110" w:firstLineChars="19" w:firstLine="40"/>
      <w:jc w:val="center"/>
    </w:pPr>
    <w:rPr>
      <w:kern w:val="0"/>
      <w:szCs w:val="20"/>
    </w:rPr>
  </w:style>
  <w:style w:type="paragraph" w:customStyle="1" w:styleId="font17">
    <w:name w:val="font17"/>
    <w:basedOn w:val="a6"/>
    <w:qFormat/>
    <w:pPr>
      <w:widowControl/>
      <w:spacing w:before="100" w:beforeAutospacing="1" w:after="100" w:afterAutospacing="1"/>
      <w:jc w:val="left"/>
    </w:pPr>
    <w:rPr>
      <w:rFonts w:ascii="宋体" w:hAnsi="宋体" w:cs="宋体"/>
      <w:color w:val="000000"/>
      <w:kern w:val="0"/>
      <w:sz w:val="18"/>
      <w:szCs w:val="18"/>
    </w:rPr>
  </w:style>
  <w:style w:type="paragraph" w:customStyle="1" w:styleId="HP3">
    <w:name w:val="HP3"/>
    <w:basedOn w:val="33"/>
    <w:qFormat/>
    <w:pPr>
      <w:keepNext w:val="0"/>
      <w:adjustRightInd w:val="0"/>
      <w:spacing w:beforeLines="50" w:afterLines="50" w:line="520" w:lineRule="exact"/>
      <w:jc w:val="left"/>
    </w:pPr>
    <w:rPr>
      <w:rFonts w:ascii="宋体" w:hAnsi="宋体" w:cs="宋体"/>
      <w:b/>
      <w:spacing w:val="0"/>
      <w:szCs w:val="24"/>
    </w:rPr>
  </w:style>
  <w:style w:type="paragraph" w:customStyle="1" w:styleId="321">
    <w:name w:val="正文文本缩进 32"/>
    <w:basedOn w:val="a6"/>
    <w:qFormat/>
    <w:pPr>
      <w:tabs>
        <w:tab w:val="left" w:pos="0"/>
      </w:tabs>
      <w:adjustRightInd w:val="0"/>
      <w:spacing w:line="396" w:lineRule="atLeast"/>
      <w:ind w:firstLine="560"/>
      <w:jc w:val="left"/>
      <w:textAlignment w:val="baseline"/>
    </w:pPr>
    <w:rPr>
      <w:rFonts w:ascii="宋体"/>
      <w:kern w:val="0"/>
      <w:sz w:val="24"/>
      <w:szCs w:val="20"/>
    </w:rPr>
  </w:style>
  <w:style w:type="paragraph" w:customStyle="1" w:styleId="94">
    <w:name w:val="9"/>
    <w:basedOn w:val="a6"/>
    <w:next w:val="afc"/>
    <w:qFormat/>
    <w:rPr>
      <w:rFonts w:ascii="宋体" w:hAnsi="Courier New" w:cs="Courier New"/>
      <w:szCs w:val="21"/>
    </w:rPr>
  </w:style>
  <w:style w:type="paragraph" w:customStyle="1" w:styleId="xl1036">
    <w:name w:val="xl1036"/>
    <w:basedOn w:val="a6"/>
    <w:qFormat/>
    <w:pPr>
      <w:widowControl/>
      <w:pBdr>
        <w:top w:val="single" w:sz="8" w:space="0" w:color="FFFF00"/>
        <w:left w:val="single" w:sz="8" w:space="0" w:color="FFFF00"/>
        <w:bottom w:val="single" w:sz="8" w:space="0" w:color="FFFF00"/>
        <w:right w:val="single" w:sz="8" w:space="0" w:color="FFFF00"/>
      </w:pBdr>
      <w:shd w:val="clear" w:color="000000" w:fill="C7EDCC"/>
      <w:spacing w:before="100" w:beforeAutospacing="1" w:after="100" w:afterAutospacing="1"/>
      <w:jc w:val="center"/>
    </w:pPr>
    <w:rPr>
      <w:rFonts w:ascii="Arial" w:hAnsi="Arial" w:cs="Arial"/>
      <w:kern w:val="0"/>
      <w:sz w:val="18"/>
      <w:szCs w:val="18"/>
    </w:rPr>
  </w:style>
  <w:style w:type="paragraph" w:customStyle="1" w:styleId="CharCharCharCharCharCharCharCharCharCharCharCharCharCharCharCharCharCharCharCharCharCharChar1">
    <w:name w:val="Char Char Char Char Char Char Char Char Char Char Char Char Char Char Char Char Char Char Char Char Char Char Char1"/>
    <w:basedOn w:val="a6"/>
    <w:qFormat/>
  </w:style>
  <w:style w:type="paragraph" w:customStyle="1" w:styleId="a2">
    <w:name w:val="前言、引言标题"/>
    <w:next w:val="a6"/>
    <w:qFormat/>
    <w:pPr>
      <w:numPr>
        <w:numId w:val="6"/>
      </w:numPr>
      <w:shd w:val="clear" w:color="FFFFFF" w:fill="FFFFFF"/>
      <w:spacing w:before="640" w:after="560"/>
      <w:jc w:val="center"/>
      <w:outlineLvl w:val="0"/>
    </w:pPr>
    <w:rPr>
      <w:rFonts w:ascii="黑体" w:eastAsia="黑体"/>
      <w:sz w:val="32"/>
    </w:rPr>
  </w:style>
  <w:style w:type="paragraph" w:customStyle="1" w:styleId="afffffffffffffffffffff6">
    <w:name w:val="正文式样"/>
    <w:basedOn w:val="af0"/>
    <w:qFormat/>
    <w:pPr>
      <w:adjustRightInd/>
      <w:spacing w:line="240" w:lineRule="auto"/>
      <w:ind w:firstLine="601"/>
      <w:jc w:val="both"/>
      <w:textAlignment w:val="auto"/>
    </w:pPr>
    <w:rPr>
      <w:rFonts w:ascii="Times New Roman" w:hAnsi="Times New Roman"/>
      <w:kern w:val="2"/>
      <w:sz w:val="28"/>
      <w:szCs w:val="20"/>
    </w:rPr>
  </w:style>
  <w:style w:type="paragraph" w:customStyle="1" w:styleId="xl998">
    <w:name w:val="xl998"/>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afffffffffffffffffffff7">
    <w:name w:val="样式"/>
    <w:basedOn w:val="a6"/>
    <w:next w:val="afc"/>
    <w:qFormat/>
    <w:rPr>
      <w:rFonts w:ascii="宋体" w:hAnsi="Courier New"/>
      <w:szCs w:val="21"/>
    </w:rPr>
  </w:style>
  <w:style w:type="paragraph" w:customStyle="1" w:styleId="afffffffffffffffffffff8">
    <w:name w:val="图框"/>
    <w:basedOn w:val="a6"/>
    <w:qFormat/>
    <w:pPr>
      <w:jc w:val="center"/>
    </w:pPr>
  </w:style>
  <w:style w:type="paragraph" w:customStyle="1" w:styleId="CharCharCharCharCharCharChar3">
    <w:name w:val="Char Char Char Char Char Char Char3"/>
    <w:basedOn w:val="a6"/>
    <w:qFormat/>
    <w:rPr>
      <w:sz w:val="28"/>
      <w:szCs w:val="20"/>
    </w:rPr>
  </w:style>
  <w:style w:type="paragraph" w:customStyle="1" w:styleId="3ff3">
    <w:name w:val="封面3"/>
    <w:qFormat/>
    <w:rPr>
      <w:rFonts w:ascii="宋体" w:hAnsi="宋体"/>
      <w:sz w:val="96"/>
      <w:szCs w:val="96"/>
    </w:rPr>
  </w:style>
  <w:style w:type="paragraph" w:customStyle="1" w:styleId="2fffe">
    <w:name w:val="封面2"/>
    <w:basedOn w:val="a6"/>
    <w:qFormat/>
    <w:pPr>
      <w:jc w:val="center"/>
    </w:pPr>
    <w:rPr>
      <w:b/>
      <w:sz w:val="44"/>
    </w:rPr>
  </w:style>
  <w:style w:type="paragraph" w:customStyle="1" w:styleId="CharCharCharCharCharCharCharCharCharCharCharChar1CharCharCharChar1">
    <w:name w:val="Char Char Char Char Char Char Char Char Char Char Char Char1 Char Char Char Char1"/>
    <w:basedOn w:val="a6"/>
    <w:next w:val="a6"/>
    <w:qFormat/>
    <w:pPr>
      <w:spacing w:line="336" w:lineRule="auto"/>
      <w:ind w:firstLineChars="200" w:firstLine="200"/>
    </w:pPr>
    <w:rPr>
      <w:rFonts w:ascii="宋体" w:eastAsia="汉鼎简书宋" w:hAnsi="宋体" w:cs="宋体"/>
      <w:sz w:val="24"/>
    </w:rPr>
  </w:style>
  <w:style w:type="paragraph" w:customStyle="1" w:styleId="xl987">
    <w:name w:val="xl98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18"/>
      <w:szCs w:val="18"/>
    </w:rPr>
  </w:style>
  <w:style w:type="paragraph" w:customStyle="1" w:styleId="reader-word-layerreader-word-s3-7">
    <w:name w:val="reader-word-layer reader-word-s3-7"/>
    <w:basedOn w:val="a6"/>
    <w:qFormat/>
    <w:pPr>
      <w:widowControl/>
      <w:spacing w:before="100" w:beforeAutospacing="1" w:after="100" w:afterAutospacing="1"/>
      <w:jc w:val="left"/>
    </w:pPr>
    <w:rPr>
      <w:rFonts w:ascii="宋体" w:hAnsi="宋体" w:cs="宋体"/>
      <w:kern w:val="0"/>
      <w:sz w:val="24"/>
    </w:rPr>
  </w:style>
  <w:style w:type="paragraph" w:customStyle="1" w:styleId="CM126">
    <w:name w:val="CM126"/>
    <w:basedOn w:val="Default"/>
    <w:next w:val="Default"/>
    <w:qFormat/>
    <w:pPr>
      <w:spacing w:after="158"/>
    </w:pPr>
    <w:rPr>
      <w:rFonts w:ascii="Sim Sun" w:eastAsia="Sim Sun" w:hAnsi="Calibri"/>
      <w:color w:val="auto"/>
    </w:rPr>
  </w:style>
  <w:style w:type="paragraph" w:customStyle="1" w:styleId="afffffffffffffffffffff9">
    <w:name w:val="关键词"/>
    <w:qFormat/>
    <w:pPr>
      <w:widowControl w:val="0"/>
      <w:adjustRightInd w:val="0"/>
      <w:spacing w:line="360" w:lineRule="auto"/>
      <w:jc w:val="both"/>
      <w:textAlignment w:val="baseline"/>
    </w:pPr>
    <w:rPr>
      <w:rFonts w:eastAsia="黑体"/>
      <w:sz w:val="24"/>
      <w:szCs w:val="24"/>
    </w:rPr>
  </w:style>
  <w:style w:type="paragraph" w:customStyle="1" w:styleId="xl1064">
    <w:name w:val="xl1064"/>
    <w:basedOn w:val="a6"/>
    <w:qFormat/>
    <w:pPr>
      <w:widowControl/>
      <w:pBdr>
        <w:top w:val="single" w:sz="8" w:space="0" w:color="FFFF00"/>
        <w:left w:val="single" w:sz="8" w:space="0" w:color="FFFF00"/>
        <w:bottom w:val="single" w:sz="8" w:space="0" w:color="FFFF00"/>
        <w:right w:val="single" w:sz="4" w:space="0" w:color="auto"/>
      </w:pBdr>
      <w:shd w:val="clear" w:color="000000" w:fill="0070C0"/>
      <w:spacing w:before="100" w:beforeAutospacing="1" w:after="100" w:afterAutospacing="1"/>
      <w:jc w:val="center"/>
    </w:pPr>
    <w:rPr>
      <w:rFonts w:ascii="Arial" w:hAnsi="Arial" w:cs="Arial"/>
      <w:kern w:val="0"/>
      <w:sz w:val="18"/>
      <w:szCs w:val="18"/>
    </w:rPr>
  </w:style>
  <w:style w:type="paragraph" w:customStyle="1" w:styleId="CharChar1Char2">
    <w:name w:val="Char Char1 Char2"/>
    <w:basedOn w:val="a6"/>
    <w:next w:val="a6"/>
    <w:qFormat/>
    <w:pPr>
      <w:spacing w:line="360" w:lineRule="auto"/>
      <w:ind w:firstLineChars="200" w:firstLine="200"/>
    </w:pPr>
    <w:rPr>
      <w:rFonts w:ascii="宋体" w:hAnsi="宋体" w:cs="宋体"/>
      <w:sz w:val="24"/>
    </w:rPr>
  </w:style>
  <w:style w:type="paragraph" w:customStyle="1" w:styleId="TOC2">
    <w:name w:val="TOC 标题2"/>
    <w:basedOn w:val="12"/>
    <w:next w:val="a6"/>
    <w:qFormat/>
    <w:pPr>
      <w:widowControl/>
      <w:tabs>
        <w:tab w:val="left" w:pos="2629"/>
      </w:tabs>
      <w:spacing w:before="480" w:after="0" w:line="276" w:lineRule="auto"/>
      <w:jc w:val="left"/>
      <w:outlineLvl w:val="9"/>
    </w:pPr>
    <w:rPr>
      <w:rFonts w:ascii="Cambria" w:hAnsi="Cambria"/>
      <w:color w:val="365F91"/>
      <w:kern w:val="0"/>
      <w:sz w:val="28"/>
      <w:szCs w:val="28"/>
    </w:rPr>
  </w:style>
  <w:style w:type="paragraph" w:customStyle="1" w:styleId="CharCharCharCharCharCharCharCharCharCharCharCharCharCharCharCharChar1">
    <w:name w:val="Char Char Char Char Char Char Char Char Char Char Char Char Char Char Char Char Char1"/>
    <w:basedOn w:val="a6"/>
    <w:qFormat/>
  </w:style>
  <w:style w:type="paragraph" w:customStyle="1" w:styleId="afffffffffffffffffffffa">
    <w:name w:val="框图"/>
    <w:basedOn w:val="a6"/>
    <w:qFormat/>
    <w:pPr>
      <w:jc w:val="center"/>
    </w:pPr>
    <w:rPr>
      <w:sz w:val="18"/>
    </w:rPr>
  </w:style>
  <w:style w:type="paragraph" w:customStyle="1" w:styleId="afffffffffffffffffffffb">
    <w:name w:val="南郊正文"/>
    <w:basedOn w:val="a6"/>
    <w:next w:val="a6"/>
    <w:qFormat/>
    <w:rPr>
      <w:rFonts w:eastAsia="仿宋_GB2312" w:cs="宋体"/>
      <w:szCs w:val="21"/>
    </w:rPr>
  </w:style>
  <w:style w:type="paragraph" w:customStyle="1" w:styleId="Charffffffffff6">
    <w:name w:val="Char"/>
    <w:basedOn w:val="a6"/>
    <w:qFormat/>
  </w:style>
  <w:style w:type="paragraph" w:customStyle="1" w:styleId="afffffffffffffffffffffc">
    <w:name w:val="样式 表格内容 + (中文) 宋体 居中"/>
    <w:basedOn w:val="a6"/>
    <w:qFormat/>
    <w:pPr>
      <w:overflowPunct w:val="0"/>
      <w:adjustRightInd w:val="0"/>
      <w:snapToGrid w:val="0"/>
      <w:spacing w:after="120" w:line="440" w:lineRule="exact"/>
      <w:jc w:val="center"/>
      <w:textAlignment w:val="baseline"/>
    </w:pPr>
    <w:rPr>
      <w:rFonts w:ascii="Arial" w:hAnsi="Arial" w:cs="宋体"/>
      <w:kern w:val="0"/>
      <w:szCs w:val="21"/>
    </w:rPr>
  </w:style>
  <w:style w:type="paragraph" w:customStyle="1" w:styleId="2051">
    <w:name w:val="样式 首行缩进:  2 字符 段前: 0.5 行1"/>
    <w:basedOn w:val="a6"/>
    <w:semiHidden/>
    <w:qFormat/>
    <w:pPr>
      <w:keepNext/>
      <w:widowControl/>
      <w:tabs>
        <w:tab w:val="left" w:pos="432"/>
      </w:tabs>
      <w:snapToGrid w:val="0"/>
      <w:ind w:left="432" w:firstLineChars="200" w:firstLine="200"/>
      <w:jc w:val="left"/>
    </w:pPr>
    <w:rPr>
      <w:rFonts w:ascii="宋体" w:cs="宋体"/>
      <w:kern w:val="0"/>
      <w:sz w:val="28"/>
      <w:szCs w:val="20"/>
    </w:rPr>
  </w:style>
  <w:style w:type="paragraph" w:customStyle="1" w:styleId="511">
    <w:name w:val="标题51"/>
    <w:basedOn w:val="a6"/>
    <w:next w:val="affc"/>
    <w:qFormat/>
    <w:pPr>
      <w:keepNext/>
      <w:spacing w:line="360" w:lineRule="auto"/>
      <w:ind w:firstLine="567"/>
      <w:outlineLvl w:val="4"/>
    </w:pPr>
    <w:rPr>
      <w:color w:val="000000"/>
      <w:w w:val="110"/>
      <w:kern w:val="0"/>
      <w:sz w:val="28"/>
      <w:szCs w:val="21"/>
    </w:rPr>
  </w:style>
  <w:style w:type="paragraph" w:customStyle="1" w:styleId="T30">
    <w:name w:val="T标题3级"/>
    <w:basedOn w:val="33"/>
    <w:next w:val="a6"/>
    <w:qFormat/>
    <w:pPr>
      <w:widowControl/>
      <w:tabs>
        <w:tab w:val="left" w:pos="360"/>
        <w:tab w:val="left" w:pos="500"/>
      </w:tabs>
      <w:overflowPunct w:val="0"/>
      <w:spacing w:line="360" w:lineRule="auto"/>
      <w:ind w:rightChars="50" w:right="100"/>
      <w:jc w:val="left"/>
      <w:textAlignment w:val="baseline"/>
    </w:pPr>
    <w:rPr>
      <w:rFonts w:ascii="宋体" w:eastAsia="宋体" w:hAnsi="宋体"/>
      <w:b/>
      <w:spacing w:val="0"/>
      <w:kern w:val="0"/>
      <w:sz w:val="24"/>
      <w:szCs w:val="24"/>
    </w:rPr>
  </w:style>
  <w:style w:type="paragraph" w:customStyle="1" w:styleId="afffffffffffffffffffffd">
    <w:name w:val="中文表标题"/>
    <w:basedOn w:val="a6"/>
    <w:next w:val="a6"/>
    <w:qFormat/>
    <w:pPr>
      <w:keepNext/>
      <w:widowControl/>
      <w:overflowPunct w:val="0"/>
      <w:adjustRightInd w:val="0"/>
      <w:snapToGrid w:val="0"/>
      <w:spacing w:before="480" w:after="360" w:line="500" w:lineRule="exact"/>
      <w:jc w:val="center"/>
      <w:textAlignment w:val="baseline"/>
    </w:pPr>
    <w:rPr>
      <w:rFonts w:eastAsia="楷体_GB2312"/>
      <w:kern w:val="0"/>
      <w:sz w:val="28"/>
      <w:szCs w:val="20"/>
    </w:rPr>
  </w:style>
  <w:style w:type="paragraph" w:customStyle="1" w:styleId="xl972">
    <w:name w:val="xl972"/>
    <w:basedOn w:val="a6"/>
    <w:qFormat/>
    <w:pPr>
      <w:widowControl/>
      <w:spacing w:before="100" w:beforeAutospacing="1" w:after="100" w:afterAutospacing="1"/>
      <w:jc w:val="center"/>
    </w:pPr>
    <w:rPr>
      <w:kern w:val="0"/>
      <w:sz w:val="18"/>
      <w:szCs w:val="18"/>
    </w:rPr>
  </w:style>
  <w:style w:type="paragraph" w:customStyle="1" w:styleId="340">
    <w:name w:val="正文文本缩进 34"/>
    <w:basedOn w:val="a6"/>
    <w:qFormat/>
    <w:pPr>
      <w:tabs>
        <w:tab w:val="left" w:pos="0"/>
      </w:tabs>
      <w:adjustRightInd w:val="0"/>
      <w:spacing w:line="396" w:lineRule="atLeast"/>
      <w:ind w:firstLine="560"/>
      <w:jc w:val="left"/>
      <w:textAlignment w:val="baseline"/>
    </w:pPr>
    <w:rPr>
      <w:rFonts w:ascii="宋体"/>
      <w:kern w:val="0"/>
      <w:sz w:val="24"/>
      <w:szCs w:val="20"/>
    </w:rPr>
  </w:style>
  <w:style w:type="paragraph" w:customStyle="1" w:styleId="xl1009">
    <w:name w:val="xl1009"/>
    <w:basedOn w:val="a6"/>
    <w:qFormat/>
    <w:pPr>
      <w:widowControl/>
      <w:pBdr>
        <w:top w:val="single" w:sz="8" w:space="0" w:color="FFFF00"/>
        <w:left w:val="single" w:sz="8" w:space="0" w:color="FFFF00"/>
        <w:bottom w:val="single" w:sz="8" w:space="0" w:color="FFFF00"/>
        <w:right w:val="single" w:sz="8" w:space="0" w:color="FFFF00"/>
      </w:pBdr>
      <w:shd w:val="clear" w:color="000000" w:fill="E26B0A"/>
      <w:spacing w:before="100" w:beforeAutospacing="1" w:after="100" w:afterAutospacing="1"/>
      <w:jc w:val="center"/>
    </w:pPr>
    <w:rPr>
      <w:rFonts w:ascii="Arial" w:hAnsi="Arial" w:cs="Arial"/>
      <w:kern w:val="0"/>
      <w:sz w:val="18"/>
      <w:szCs w:val="18"/>
    </w:rPr>
  </w:style>
  <w:style w:type="paragraph" w:customStyle="1" w:styleId="afffffffffffffffffffffe">
    <w:name w:val="表中"/>
    <w:qFormat/>
    <w:pPr>
      <w:spacing w:line="280" w:lineRule="exact"/>
      <w:jc w:val="center"/>
    </w:pPr>
    <w:rPr>
      <w:rFonts w:hAnsi="Batang"/>
      <w:color w:val="000000"/>
      <w:spacing w:val="20"/>
      <w:sz w:val="18"/>
    </w:rPr>
  </w:style>
  <w:style w:type="paragraph" w:customStyle="1" w:styleId="xl22">
    <w:name w:val="xl2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kern w:val="0"/>
      <w:sz w:val="24"/>
      <w:szCs w:val="20"/>
    </w:rPr>
  </w:style>
  <w:style w:type="paragraph" w:customStyle="1" w:styleId="T2">
    <w:name w:val="T标题2级"/>
    <w:basedOn w:val="22"/>
    <w:next w:val="33"/>
    <w:qFormat/>
    <w:pPr>
      <w:widowControl/>
      <w:numPr>
        <w:ilvl w:val="1"/>
        <w:numId w:val="19"/>
      </w:numPr>
      <w:tabs>
        <w:tab w:val="center" w:pos="500"/>
      </w:tabs>
      <w:overflowPunct w:val="0"/>
      <w:ind w:rightChars="50" w:right="100"/>
      <w:contextualSpacing/>
      <w:jc w:val="center"/>
      <w:textAlignment w:val="center"/>
    </w:pPr>
    <w:rPr>
      <w:bCs w:val="0"/>
      <w:spacing w:val="0"/>
      <w:w w:val="100"/>
      <w:kern w:val="0"/>
      <w:sz w:val="24"/>
      <w:szCs w:val="24"/>
    </w:rPr>
  </w:style>
  <w:style w:type="paragraph" w:customStyle="1" w:styleId="10303">
    <w:name w:val="样式 标题 1第一标题 + 段前: 0.3 行 段后: 0.3 行"/>
    <w:basedOn w:val="11a"/>
    <w:qFormat/>
    <w:pPr>
      <w:tabs>
        <w:tab w:val="left" w:pos="405"/>
      </w:tabs>
      <w:autoSpaceDE w:val="0"/>
      <w:autoSpaceDN w:val="0"/>
      <w:adjustRightInd w:val="0"/>
      <w:spacing w:beforeLines="50" w:afterLines="30" w:line="240" w:lineRule="auto"/>
      <w:ind w:left="405" w:hanging="405"/>
    </w:pPr>
    <w:rPr>
      <w:rFonts w:ascii="Times New Roman" w:eastAsia="黑体" w:hAnsi="Times New Roman" w:cs="宋体"/>
      <w:b w:val="0"/>
      <w:bCs w:val="0"/>
      <w:kern w:val="0"/>
      <w:sz w:val="32"/>
      <w:szCs w:val="24"/>
      <w:lang w:val="zh-CN"/>
    </w:rPr>
  </w:style>
  <w:style w:type="paragraph" w:customStyle="1" w:styleId="affffffffffffffffffffff">
    <w:name w:val="表名、图名"/>
    <w:basedOn w:val="a6"/>
    <w:qFormat/>
    <w:pPr>
      <w:adjustRightInd w:val="0"/>
      <w:snapToGrid w:val="0"/>
      <w:spacing w:line="360" w:lineRule="auto"/>
      <w:ind w:firstLineChars="200" w:firstLine="200"/>
      <w:jc w:val="center"/>
    </w:pPr>
    <w:rPr>
      <w:rFonts w:ascii="Arial" w:eastAsia="黑体" w:hAnsi="Arial"/>
      <w:color w:val="FF0000"/>
      <w:spacing w:val="4"/>
      <w:kern w:val="0"/>
      <w:sz w:val="24"/>
      <w:szCs w:val="21"/>
    </w:rPr>
  </w:style>
  <w:style w:type="paragraph" w:customStyle="1" w:styleId="xl943">
    <w:name w:val="xl943"/>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8"/>
      <w:szCs w:val="18"/>
    </w:rPr>
  </w:style>
  <w:style w:type="paragraph" w:customStyle="1" w:styleId="affffffffffffffffffffff0">
    <w:name w:val="样式 表左 +"/>
    <w:qFormat/>
    <w:pPr>
      <w:keepNext/>
      <w:tabs>
        <w:tab w:val="left" w:pos="1727"/>
        <w:tab w:val="left" w:pos="1884"/>
      </w:tabs>
      <w:snapToGrid w:val="0"/>
      <w:spacing w:line="240" w:lineRule="atLeast"/>
      <w:ind w:leftChars="20" w:left="56"/>
      <w:outlineLvl w:val="0"/>
    </w:pPr>
    <w:rPr>
      <w:rFonts w:ascii="宋体" w:hAnsi="宋体" w:cs="宋体"/>
    </w:rPr>
  </w:style>
  <w:style w:type="paragraph" w:customStyle="1" w:styleId="affffffffffffffffffffff1">
    <w:name w:val="表左"/>
    <w:basedOn w:val="a6"/>
    <w:next w:val="a6"/>
    <w:qFormat/>
    <w:pPr>
      <w:adjustRightInd w:val="0"/>
      <w:spacing w:line="280" w:lineRule="exact"/>
      <w:ind w:firstLine="567"/>
      <w:jc w:val="center"/>
      <w:textAlignment w:val="baseline"/>
    </w:pPr>
    <w:rPr>
      <w:rFonts w:ascii="仿宋_GB2312" w:eastAsia="仿宋_GB2312"/>
      <w:color w:val="000000"/>
      <w:szCs w:val="21"/>
    </w:rPr>
  </w:style>
  <w:style w:type="paragraph" w:customStyle="1" w:styleId="reader-word-layerreader-word-s1-15">
    <w:name w:val="reader-word-layer reader-word-s1-15"/>
    <w:basedOn w:val="a6"/>
    <w:qFormat/>
    <w:pPr>
      <w:widowControl/>
      <w:spacing w:before="100" w:beforeAutospacing="1" w:after="100" w:afterAutospacing="1"/>
      <w:jc w:val="left"/>
    </w:pPr>
    <w:rPr>
      <w:rFonts w:ascii="宋体" w:hAnsi="宋体" w:cs="宋体"/>
      <w:kern w:val="0"/>
      <w:sz w:val="24"/>
    </w:rPr>
  </w:style>
  <w:style w:type="paragraph" w:customStyle="1" w:styleId="050510">
    <w:name w:val="样式 样式 段前: 0.5 行 段后: 0.5 行 + 左侧:  1 厘米 首行缩进:  0 厘米"/>
    <w:qFormat/>
    <w:pPr>
      <w:tabs>
        <w:tab w:val="left" w:pos="1727"/>
        <w:tab w:val="left" w:pos="1884"/>
      </w:tabs>
    </w:pPr>
  </w:style>
  <w:style w:type="paragraph" w:customStyle="1" w:styleId="0505">
    <w:name w:val="样式 段前: 0.5 行 段后: 0.5 行"/>
    <w:basedOn w:val="a6"/>
    <w:qFormat/>
    <w:pPr>
      <w:widowControl/>
      <w:tabs>
        <w:tab w:val="left" w:pos="1727"/>
        <w:tab w:val="left" w:pos="1884"/>
      </w:tabs>
      <w:spacing w:line="300" w:lineRule="auto"/>
      <w:ind w:firstLine="567"/>
      <w:jc w:val="left"/>
      <w:outlineLvl w:val="0"/>
    </w:pPr>
    <w:rPr>
      <w:rFonts w:ascii="宋体" w:cs="宋体"/>
      <w:kern w:val="0"/>
      <w:sz w:val="28"/>
      <w:szCs w:val="20"/>
    </w:rPr>
  </w:style>
  <w:style w:type="paragraph" w:customStyle="1" w:styleId="HD3">
    <w:name w:val="HD3"/>
    <w:basedOn w:val="a6"/>
    <w:qFormat/>
    <w:pPr>
      <w:keepNext/>
      <w:keepLines/>
      <w:spacing w:before="120" w:after="120" w:line="480" w:lineRule="exact"/>
      <w:outlineLvl w:val="4"/>
    </w:pPr>
    <w:rPr>
      <w:b/>
      <w:sz w:val="28"/>
      <w:szCs w:val="20"/>
    </w:rPr>
  </w:style>
  <w:style w:type="paragraph" w:customStyle="1" w:styleId="affffffffffffffffffffff2">
    <w:name w:val="第一章章节"/>
    <w:basedOn w:val="12"/>
    <w:qFormat/>
    <w:pPr>
      <w:keepNext w:val="0"/>
      <w:keepLines w:val="0"/>
      <w:tabs>
        <w:tab w:val="left" w:pos="2629"/>
      </w:tabs>
      <w:spacing w:before="0" w:afterLines="50" w:after="0" w:line="360" w:lineRule="auto"/>
      <w:ind w:left="2159" w:hanging="1619"/>
      <w:jc w:val="center"/>
    </w:pPr>
    <w:rPr>
      <w:rFonts w:eastAsia="隶书"/>
      <w:bCs w:val="0"/>
      <w:color w:val="000000"/>
      <w:kern w:val="2"/>
      <w:sz w:val="44"/>
    </w:rPr>
  </w:style>
  <w:style w:type="paragraph" w:customStyle="1" w:styleId="219">
    <w:name w:val="样式 表格文字 + 首行缩进:  2 字符1"/>
    <w:basedOn w:val="afffb"/>
    <w:qFormat/>
    <w:pPr>
      <w:keepNext/>
      <w:tabs>
        <w:tab w:val="left" w:pos="1727"/>
        <w:tab w:val="left" w:pos="1884"/>
      </w:tabs>
      <w:autoSpaceDE/>
      <w:autoSpaceDN/>
      <w:spacing w:line="0" w:lineRule="atLeast"/>
      <w:jc w:val="both"/>
    </w:pPr>
    <w:rPr>
      <w:rFonts w:hAnsi="Calibri" w:cs="宋体"/>
      <w:kern w:val="0"/>
    </w:rPr>
  </w:style>
  <w:style w:type="paragraph" w:customStyle="1" w:styleId="mxj">
    <w:name w:val="mxj表格文字"/>
    <w:basedOn w:val="a6"/>
    <w:qFormat/>
    <w:pPr>
      <w:tabs>
        <w:tab w:val="right" w:leader="dot" w:pos="-296"/>
        <w:tab w:val="left" w:pos="492"/>
      </w:tabs>
      <w:autoSpaceDE w:val="0"/>
      <w:autoSpaceDN w:val="0"/>
      <w:snapToGrid w:val="0"/>
      <w:jc w:val="center"/>
    </w:pPr>
    <w:rPr>
      <w:kern w:val="0"/>
      <w:szCs w:val="20"/>
    </w:rPr>
  </w:style>
  <w:style w:type="paragraph" w:customStyle="1" w:styleId="PlainText3">
    <w:name w:val="Plain Text3"/>
    <w:basedOn w:val="a6"/>
    <w:qFormat/>
    <w:pPr>
      <w:adjustRightInd w:val="0"/>
      <w:jc w:val="left"/>
    </w:pPr>
    <w:rPr>
      <w:rFonts w:ascii="宋体" w:hAnsi="Courier New" w:hint="eastAsia"/>
      <w:sz w:val="24"/>
      <w:szCs w:val="20"/>
    </w:rPr>
  </w:style>
  <w:style w:type="paragraph" w:customStyle="1" w:styleId="affffffffffffffffffffff3">
    <w:name w:val="环保章标题"/>
    <w:basedOn w:val="33"/>
    <w:qFormat/>
    <w:pPr>
      <w:keepNext w:val="0"/>
      <w:adjustRightInd w:val="0"/>
      <w:spacing w:beforeLines="50" w:afterLines="50" w:line="416" w:lineRule="atLeast"/>
      <w:ind w:firstLineChars="200" w:firstLine="200"/>
      <w:jc w:val="left"/>
    </w:pPr>
    <w:rPr>
      <w:rFonts w:hAnsi="黑体"/>
      <w:b/>
      <w:spacing w:val="0"/>
      <w:szCs w:val="24"/>
    </w:rPr>
  </w:style>
  <w:style w:type="paragraph" w:customStyle="1" w:styleId="2ffff">
    <w:name w:val="样式 表格文字 + 首行缩进:  2 字符"/>
    <w:basedOn w:val="afffb"/>
    <w:qFormat/>
    <w:pPr>
      <w:keepNext/>
      <w:autoSpaceDE/>
      <w:autoSpaceDN/>
      <w:spacing w:line="0" w:lineRule="atLeast"/>
      <w:ind w:firstLineChars="200" w:firstLine="560"/>
      <w:jc w:val="both"/>
    </w:pPr>
    <w:rPr>
      <w:rFonts w:hAnsi="Calibri" w:cs="宋体"/>
      <w:kern w:val="0"/>
    </w:rPr>
  </w:style>
  <w:style w:type="paragraph" w:customStyle="1" w:styleId="reader-word-layerreader-word-s39-3reader-word-s39-4">
    <w:name w:val="reader-word-layer reader-word-s39-3 reader-word-s39-4"/>
    <w:basedOn w:val="a6"/>
    <w:qFormat/>
    <w:pPr>
      <w:widowControl/>
      <w:spacing w:before="100" w:beforeAutospacing="1" w:after="100" w:afterAutospacing="1"/>
      <w:jc w:val="left"/>
    </w:pPr>
    <w:rPr>
      <w:rFonts w:ascii="宋体" w:hAnsi="宋体" w:cs="宋体"/>
      <w:color w:val="000000"/>
      <w:w w:val="110"/>
      <w:kern w:val="0"/>
      <w:sz w:val="24"/>
    </w:rPr>
  </w:style>
  <w:style w:type="paragraph" w:customStyle="1" w:styleId="06">
    <w:name w:val="样式 正文首行缩进 + 首行缩进:  0 厘米"/>
    <w:basedOn w:val="affc"/>
    <w:qFormat/>
    <w:pPr>
      <w:tabs>
        <w:tab w:val="left" w:pos="628"/>
        <w:tab w:val="left" w:pos="1727"/>
        <w:tab w:val="left" w:pos="1884"/>
      </w:tabs>
      <w:spacing w:line="300" w:lineRule="auto"/>
      <w:ind w:firstLine="0"/>
      <w:outlineLvl w:val="0"/>
    </w:pPr>
    <w:rPr>
      <w:rFonts w:cs="宋体"/>
      <w:bCs w:val="0"/>
      <w:spacing w:val="0"/>
      <w:kern w:val="2"/>
      <w:sz w:val="21"/>
      <w:szCs w:val="21"/>
    </w:rPr>
  </w:style>
  <w:style w:type="paragraph" w:customStyle="1" w:styleId="affffffffffffffffffffff4">
    <w:name w:val="标题二！！！！！"/>
    <w:basedOn w:val="22"/>
    <w:qFormat/>
    <w:pPr>
      <w:keepNext w:val="0"/>
      <w:keepLines w:val="0"/>
      <w:spacing w:before="120" w:line="500" w:lineRule="exact"/>
    </w:pPr>
    <w:rPr>
      <w:rFonts w:ascii="楷体_GB2312" w:eastAsia="楷体_GB2312" w:hAnsi="楷体_GB2312" w:cs="楷体_GB2312"/>
      <w:spacing w:val="0"/>
      <w:w w:val="100"/>
      <w:kern w:val="2"/>
      <w:sz w:val="30"/>
      <w:szCs w:val="30"/>
    </w:rPr>
  </w:style>
  <w:style w:type="paragraph" w:customStyle="1" w:styleId="T5">
    <w:name w:val="T标题5级"/>
    <w:basedOn w:val="50"/>
    <w:next w:val="a6"/>
    <w:qFormat/>
    <w:pPr>
      <w:widowControl/>
      <w:numPr>
        <w:ilvl w:val="4"/>
        <w:numId w:val="19"/>
      </w:numPr>
      <w:tabs>
        <w:tab w:val="left" w:pos="360"/>
      </w:tabs>
      <w:overflowPunct w:val="0"/>
      <w:autoSpaceDE w:val="0"/>
      <w:autoSpaceDN w:val="0"/>
      <w:adjustRightInd w:val="0"/>
      <w:spacing w:before="0" w:after="0" w:line="360" w:lineRule="auto"/>
      <w:ind w:leftChars="350" w:left="550" w:rightChars="50" w:right="50" w:hangingChars="200" w:hanging="200"/>
      <w:jc w:val="left"/>
      <w:textAlignment w:val="baseline"/>
    </w:pPr>
    <w:rPr>
      <w:rFonts w:eastAsia="仿宋_GB2312"/>
      <w:b w:val="0"/>
      <w:bCs w:val="0"/>
      <w:kern w:val="0"/>
      <w:sz w:val="24"/>
      <w:szCs w:val="24"/>
    </w:rPr>
  </w:style>
  <w:style w:type="paragraph" w:customStyle="1" w:styleId="BodyTextIndent23">
    <w:name w:val="Body Text Indent 23"/>
    <w:basedOn w:val="a6"/>
    <w:qFormat/>
    <w:pPr>
      <w:adjustRightInd w:val="0"/>
      <w:ind w:firstLine="425"/>
      <w:jc w:val="left"/>
    </w:pPr>
    <w:rPr>
      <w:sz w:val="24"/>
      <w:szCs w:val="20"/>
    </w:rPr>
  </w:style>
  <w:style w:type="paragraph" w:customStyle="1" w:styleId="affffffffffffffffffffff5">
    <w:name w:val="样式 小四 行距: 单倍行距"/>
    <w:basedOn w:val="a6"/>
    <w:qFormat/>
    <w:rPr>
      <w:rFonts w:ascii="Arial" w:hAnsi="Arial" w:cs="宋体"/>
      <w:sz w:val="24"/>
      <w:szCs w:val="20"/>
    </w:rPr>
  </w:style>
  <w:style w:type="paragraph" w:customStyle="1" w:styleId="CM22">
    <w:name w:val="CM22"/>
    <w:basedOn w:val="Default"/>
    <w:next w:val="Default"/>
    <w:qFormat/>
    <w:rPr>
      <w:rFonts w:ascii="黑体" w:eastAsia="黑体"/>
      <w:color w:val="auto"/>
    </w:rPr>
  </w:style>
  <w:style w:type="paragraph" w:customStyle="1" w:styleId="CharCharCharCharCharCharCharCharCharCharCharCharCharChar0">
    <w:name w:val="Char Char Char Char Char Char Char Char Char Char Char Char Char Char"/>
    <w:basedOn w:val="af4"/>
    <w:qFormat/>
    <w:pPr>
      <w:keepNext/>
      <w:spacing w:beforeLines="100"/>
    </w:pPr>
    <w:rPr>
      <w:rFonts w:ascii="Tahoma" w:hAnsi="Tahoma"/>
      <w:sz w:val="24"/>
    </w:rPr>
  </w:style>
  <w:style w:type="paragraph" w:customStyle="1" w:styleId="affffffffffffffffffffff6">
    <w:name w:val="表内文字"/>
    <w:basedOn w:val="a6"/>
    <w:uiPriority w:val="99"/>
    <w:qFormat/>
    <w:pPr>
      <w:wordWrap w:val="0"/>
      <w:topLinePunct/>
      <w:autoSpaceDE w:val="0"/>
      <w:autoSpaceDN w:val="0"/>
      <w:adjustRightInd w:val="0"/>
      <w:snapToGrid w:val="0"/>
      <w:jc w:val="center"/>
    </w:pPr>
    <w:rPr>
      <w:rFonts w:ascii="宋体" w:hAnsi="宋体"/>
      <w:snapToGrid w:val="0"/>
      <w:kern w:val="0"/>
    </w:rPr>
  </w:style>
  <w:style w:type="paragraph" w:customStyle="1" w:styleId="BodyText24">
    <w:name w:val="Body Text 24"/>
    <w:basedOn w:val="a6"/>
    <w:qFormat/>
    <w:pPr>
      <w:adjustRightInd w:val="0"/>
      <w:ind w:firstLine="567"/>
      <w:jc w:val="left"/>
      <w:textAlignment w:val="baseline"/>
    </w:pPr>
    <w:rPr>
      <w:sz w:val="28"/>
      <w:szCs w:val="20"/>
    </w:rPr>
  </w:style>
  <w:style w:type="paragraph" w:customStyle="1" w:styleId="12Char">
    <w:name w:val="12 Char"/>
    <w:basedOn w:val="a6"/>
    <w:qFormat/>
    <w:pPr>
      <w:spacing w:line="360" w:lineRule="auto"/>
      <w:ind w:firstLineChars="200" w:firstLine="200"/>
      <w:jc w:val="left"/>
    </w:pPr>
    <w:rPr>
      <w:rFonts w:ascii="宋体" w:hAnsi="宋体"/>
      <w:position w:val="-6"/>
      <w:sz w:val="28"/>
      <w:szCs w:val="20"/>
      <w:u w:val="single"/>
    </w:rPr>
  </w:style>
  <w:style w:type="paragraph" w:customStyle="1" w:styleId="21121122Char1TimesNewRoman">
    <w:name w:val="样式 标题 21.1标题 21.1标题2标题 2 Char1节 + (符号) Times New Roman"/>
    <w:basedOn w:val="22"/>
    <w:qFormat/>
    <w:pPr>
      <w:keepLines w:val="0"/>
      <w:tabs>
        <w:tab w:val="left" w:pos="0"/>
        <w:tab w:val="left" w:pos="700"/>
        <w:tab w:val="left" w:pos="998"/>
      </w:tabs>
      <w:snapToGrid w:val="0"/>
      <w:spacing w:line="336" w:lineRule="auto"/>
      <w:ind w:left="180" w:hanging="576"/>
      <w:outlineLvl w:val="2"/>
    </w:pPr>
    <w:rPr>
      <w:b/>
      <w:bCs w:val="0"/>
      <w:color w:val="000000"/>
      <w:spacing w:val="0"/>
      <w:w w:val="100"/>
      <w:kern w:val="2"/>
    </w:rPr>
  </w:style>
  <w:style w:type="paragraph" w:customStyle="1" w:styleId="new">
    <w:name w:val="new"/>
    <w:basedOn w:val="a6"/>
    <w:qFormat/>
    <w:pPr>
      <w:snapToGrid w:val="0"/>
      <w:spacing w:line="360" w:lineRule="auto"/>
      <w:ind w:firstLineChars="200" w:firstLine="480"/>
    </w:pPr>
    <w:rPr>
      <w:rFonts w:eastAsia="仿宋_GB2312"/>
      <w:sz w:val="24"/>
    </w:rPr>
  </w:style>
  <w:style w:type="paragraph" w:customStyle="1" w:styleId="351">
    <w:name w:val="样式 燕山正文 + 首行缩进:  3.5 字符1"/>
    <w:basedOn w:val="afffffffffffff9"/>
    <w:qFormat/>
    <w:pPr>
      <w:ind w:firstLine="200"/>
    </w:pPr>
    <w:rPr>
      <w:szCs w:val="20"/>
    </w:rPr>
  </w:style>
  <w:style w:type="paragraph" w:customStyle="1" w:styleId="CharChar12CharChar">
    <w:name w:val="Char Char12 Char Char"/>
    <w:basedOn w:val="af4"/>
    <w:qFormat/>
    <w:pPr>
      <w:keepNext/>
      <w:spacing w:beforeLines="100"/>
    </w:pPr>
    <w:rPr>
      <w:rFonts w:ascii="Tahoma" w:hAnsi="Tahoma"/>
      <w:sz w:val="24"/>
    </w:rPr>
  </w:style>
  <w:style w:type="paragraph" w:customStyle="1" w:styleId="affffffffffffffffffffff7">
    <w:name w:val="报告标题"/>
    <w:basedOn w:val="a6"/>
    <w:next w:val="a6"/>
    <w:qFormat/>
    <w:pPr>
      <w:widowControl/>
      <w:jc w:val="center"/>
    </w:pPr>
    <w:rPr>
      <w:rFonts w:eastAsia="文鼎大标宋简" w:cs="宋体"/>
      <w:b/>
      <w:kern w:val="0"/>
      <w:sz w:val="28"/>
      <w:szCs w:val="20"/>
    </w:rPr>
  </w:style>
  <w:style w:type="paragraph" w:customStyle="1" w:styleId="affffffffffffffffffffff8">
    <w:name w:val="正文图五"/>
    <w:basedOn w:val="a6"/>
    <w:qFormat/>
    <w:pPr>
      <w:adjustRightInd w:val="0"/>
      <w:snapToGrid w:val="0"/>
      <w:jc w:val="center"/>
    </w:pPr>
    <w:rPr>
      <w:rFonts w:eastAsia="仿宋_GB2312"/>
      <w:snapToGrid w:val="0"/>
      <w:spacing w:val="6"/>
      <w:szCs w:val="20"/>
    </w:rPr>
  </w:style>
  <w:style w:type="paragraph" w:customStyle="1" w:styleId="1ffff5">
    <w:name w:val="样式1 + 四号 居中"/>
    <w:basedOn w:val="1e"/>
    <w:qFormat/>
    <w:pPr>
      <w:adjustRightInd/>
      <w:snapToGrid/>
      <w:spacing w:beforeLines="0" w:before="0" w:afterLines="0" w:after="0" w:line="336" w:lineRule="auto"/>
      <w:ind w:firstLineChars="0" w:firstLine="0"/>
      <w:jc w:val="center"/>
    </w:pPr>
    <w:rPr>
      <w:rFonts w:ascii="Calibri" w:hAnsi="Calibri"/>
      <w:bCs w:val="0"/>
      <w:sz w:val="28"/>
    </w:rPr>
  </w:style>
  <w:style w:type="paragraph" w:customStyle="1" w:styleId="5155Char21Char2Char25Char1Char">
    <w:name w:val="样式 标题 51)项标5标题 5 Char21) Char2项 Char2标题 5 Char1) Char项 ..."/>
    <w:basedOn w:val="a6"/>
    <w:qFormat/>
    <w:pPr>
      <w:keepNext/>
      <w:widowControl/>
      <w:spacing w:line="300" w:lineRule="auto"/>
      <w:ind w:firstLineChars="200" w:firstLine="560"/>
      <w:jc w:val="left"/>
    </w:pPr>
    <w:rPr>
      <w:rFonts w:cs="宋体"/>
      <w:b/>
      <w:bCs/>
      <w:kern w:val="0"/>
      <w:sz w:val="28"/>
    </w:rPr>
  </w:style>
  <w:style w:type="paragraph" w:customStyle="1" w:styleId="290">
    <w:name w:val="样式29"/>
    <w:basedOn w:val="a6"/>
    <w:qFormat/>
    <w:pPr>
      <w:keepNext/>
      <w:keepLines/>
      <w:spacing w:before="120" w:after="120"/>
      <w:jc w:val="left"/>
      <w:outlineLvl w:val="3"/>
    </w:pPr>
    <w:rPr>
      <w:rFonts w:ascii="宋体" w:hAnsi="宋体"/>
      <w:b/>
      <w:bCs/>
      <w:sz w:val="24"/>
      <w:szCs w:val="28"/>
    </w:rPr>
  </w:style>
  <w:style w:type="paragraph" w:customStyle="1" w:styleId="006">
    <w:name w:val="正文00"/>
    <w:basedOn w:val="a6"/>
    <w:qFormat/>
    <w:pPr>
      <w:snapToGrid w:val="0"/>
      <w:spacing w:line="360" w:lineRule="auto"/>
      <w:ind w:firstLineChars="200" w:firstLine="200"/>
    </w:pPr>
    <w:rPr>
      <w:sz w:val="24"/>
      <w:szCs w:val="32"/>
    </w:rPr>
  </w:style>
  <w:style w:type="paragraph" w:customStyle="1" w:styleId="CharCharCharCharCharCharChar11">
    <w:name w:val="Char Char Char Char Char Char Char11"/>
    <w:basedOn w:val="a6"/>
    <w:qFormat/>
    <w:rPr>
      <w:sz w:val="24"/>
    </w:rPr>
  </w:style>
  <w:style w:type="paragraph" w:customStyle="1" w:styleId="BodyText23">
    <w:name w:val="Body Text 23"/>
    <w:basedOn w:val="a6"/>
    <w:qFormat/>
    <w:pPr>
      <w:adjustRightInd w:val="0"/>
      <w:ind w:firstLine="567"/>
      <w:jc w:val="left"/>
      <w:textAlignment w:val="baseline"/>
    </w:pPr>
    <w:rPr>
      <w:sz w:val="28"/>
      <w:szCs w:val="20"/>
    </w:rPr>
  </w:style>
  <w:style w:type="paragraph" w:customStyle="1" w:styleId="2ffff0">
    <w:name w:val="样式 (符号) 宋体 首行缩进:  2 字符"/>
    <w:basedOn w:val="a6"/>
    <w:qFormat/>
    <w:pPr>
      <w:widowControl/>
      <w:spacing w:line="336" w:lineRule="auto"/>
      <w:ind w:firstLineChars="200" w:firstLine="200"/>
      <w:jc w:val="left"/>
    </w:pPr>
    <w:rPr>
      <w:rFonts w:hAnsi="宋体" w:cs="宋体"/>
      <w:kern w:val="0"/>
      <w:sz w:val="28"/>
      <w:szCs w:val="20"/>
    </w:rPr>
  </w:style>
  <w:style w:type="paragraph" w:customStyle="1" w:styleId="affffffffffffffffffffff9">
    <w:name w:val="正文（首行缩进）"/>
    <w:basedOn w:val="a6"/>
    <w:qFormat/>
    <w:pPr>
      <w:adjustRightInd w:val="0"/>
      <w:snapToGrid w:val="0"/>
      <w:spacing w:line="360" w:lineRule="auto"/>
      <w:ind w:firstLineChars="200" w:firstLine="200"/>
    </w:pPr>
    <w:rPr>
      <w:snapToGrid w:val="0"/>
      <w:kern w:val="0"/>
      <w:sz w:val="24"/>
    </w:rPr>
  </w:style>
  <w:style w:type="paragraph" w:customStyle="1" w:styleId="CharChar1CharCharCharCharCharChar">
    <w:name w:val="Char Char1 Char Char Char Char Char Char"/>
    <w:basedOn w:val="a6"/>
    <w:qFormat/>
  </w:style>
  <w:style w:type="paragraph" w:customStyle="1" w:styleId="CharChar1b">
    <w:name w:val="Char Char1"/>
    <w:basedOn w:val="a6"/>
    <w:next w:val="a6"/>
    <w:qFormat/>
    <w:pPr>
      <w:spacing w:line="360" w:lineRule="auto"/>
      <w:ind w:firstLineChars="200" w:firstLine="200"/>
    </w:pPr>
    <w:rPr>
      <w:rFonts w:ascii="宋体" w:hAnsi="宋体" w:cs="宋体"/>
      <w:sz w:val="24"/>
    </w:rPr>
  </w:style>
  <w:style w:type="paragraph" w:customStyle="1" w:styleId="affffffffffffffffffffffa">
    <w:name w:val="新正文"/>
    <w:basedOn w:val="a6"/>
    <w:qFormat/>
    <w:pPr>
      <w:spacing w:before="60" w:line="460" w:lineRule="exact"/>
      <w:ind w:firstLineChars="200" w:firstLine="200"/>
    </w:pPr>
    <w:rPr>
      <w:sz w:val="24"/>
      <w:szCs w:val="20"/>
    </w:rPr>
  </w:style>
  <w:style w:type="paragraph" w:customStyle="1" w:styleId="2ffff1">
    <w:name w:val="样式 正文首行缩进 + (符号) 宋体 四号 首行缩进:  2 字符"/>
    <w:basedOn w:val="affc"/>
    <w:qFormat/>
    <w:pPr>
      <w:tabs>
        <w:tab w:val="left" w:pos="628"/>
        <w:tab w:val="left" w:pos="1727"/>
        <w:tab w:val="left" w:pos="1884"/>
        <w:tab w:val="left" w:pos="4900"/>
      </w:tabs>
      <w:autoSpaceDE w:val="0"/>
      <w:autoSpaceDN w:val="0"/>
      <w:adjustRightInd w:val="0"/>
      <w:snapToGrid w:val="0"/>
      <w:spacing w:line="360" w:lineRule="auto"/>
      <w:ind w:firstLine="560"/>
      <w:jc w:val="left"/>
    </w:pPr>
    <w:rPr>
      <w:rFonts w:cs="宋体"/>
      <w:bCs w:val="0"/>
      <w:spacing w:val="0"/>
      <w:kern w:val="0"/>
      <w:sz w:val="28"/>
      <w:szCs w:val="20"/>
      <w:lang w:val="zh-CN"/>
    </w:rPr>
  </w:style>
  <w:style w:type="paragraph" w:customStyle="1" w:styleId="31113CharChar3Char3111111-">
    <w:name w:val="样式 标题 31.1.1条标题 3 Char Char标题 3 Char标3§1.1.1.. (1.1.1)- ..."/>
    <w:basedOn w:val="33"/>
    <w:qFormat/>
    <w:pPr>
      <w:keepLines w:val="0"/>
      <w:tabs>
        <w:tab w:val="left" w:pos="720"/>
        <w:tab w:val="left" w:pos="840"/>
      </w:tabs>
      <w:autoSpaceDE w:val="0"/>
      <w:autoSpaceDN w:val="0"/>
      <w:adjustRightInd w:val="0"/>
      <w:spacing w:line="360" w:lineRule="auto"/>
    </w:pPr>
    <w:rPr>
      <w:rFonts w:eastAsia="宋体" w:hAnsi="宋体" w:cs="宋体"/>
      <w:bCs/>
      <w:spacing w:val="0"/>
      <w:szCs w:val="28"/>
    </w:rPr>
  </w:style>
  <w:style w:type="paragraph" w:customStyle="1" w:styleId="127">
    <w:name w:val="表格内字体12"/>
    <w:basedOn w:val="affffa"/>
    <w:next w:val="affffa"/>
    <w:qFormat/>
    <w:pPr>
      <w:spacing w:line="240" w:lineRule="auto"/>
      <w:ind w:firstLine="0"/>
      <w:jc w:val="center"/>
    </w:pPr>
    <w:rPr>
      <w:sz w:val="21"/>
    </w:rPr>
  </w:style>
  <w:style w:type="paragraph" w:customStyle="1" w:styleId="3ff4">
    <w:name w:val="样式 标题 3 + (中文) 黑体"/>
    <w:basedOn w:val="33"/>
    <w:qFormat/>
    <w:pPr>
      <w:adjustRightInd w:val="0"/>
      <w:snapToGrid w:val="0"/>
      <w:spacing w:beforeLines="50" w:line="360" w:lineRule="auto"/>
      <w:jc w:val="left"/>
    </w:pPr>
    <w:rPr>
      <w:b/>
      <w:bCs/>
      <w:spacing w:val="0"/>
      <w:sz w:val="24"/>
      <w:szCs w:val="24"/>
    </w:rPr>
  </w:style>
  <w:style w:type="paragraph" w:customStyle="1" w:styleId="4f8">
    <w:name w:val="标题－4"/>
    <w:basedOn w:val="affffff3"/>
    <w:next w:val="affffff3"/>
    <w:qFormat/>
    <w:pPr>
      <w:widowControl/>
      <w:autoSpaceDE/>
      <w:autoSpaceDN/>
      <w:ind w:firstLine="0"/>
      <w:jc w:val="left"/>
      <w:textAlignment w:val="center"/>
      <w:outlineLvl w:val="3"/>
    </w:pPr>
    <w:rPr>
      <w:rFonts w:ascii="Times New Roman" w:hAnsi="Times New Roman"/>
      <w:b/>
      <w:bCs w:val="0"/>
    </w:rPr>
  </w:style>
  <w:style w:type="paragraph" w:customStyle="1" w:styleId="Char2CharCharCharCharCharChar">
    <w:name w:val="Char2 Char Char Char Char Char Char"/>
    <w:basedOn w:val="a6"/>
    <w:qFormat/>
    <w:pPr>
      <w:numPr>
        <w:numId w:val="20"/>
      </w:numPr>
      <w:tabs>
        <w:tab w:val="left" w:pos="360"/>
      </w:tabs>
      <w:ind w:left="0" w:firstLine="0"/>
    </w:pPr>
  </w:style>
  <w:style w:type="paragraph" w:customStyle="1" w:styleId="affffffffffffffffffffffb">
    <w:name w:val="表格头"/>
    <w:basedOn w:val="a6"/>
    <w:qFormat/>
    <w:pPr>
      <w:adjustRightInd w:val="0"/>
      <w:spacing w:line="280" w:lineRule="exact"/>
      <w:jc w:val="center"/>
    </w:pPr>
    <w:rPr>
      <w:rFonts w:ascii="Arial" w:eastAsia="黑体" w:hAnsi="Arial"/>
      <w:snapToGrid w:val="0"/>
      <w:color w:val="000000"/>
      <w:kern w:val="0"/>
    </w:rPr>
  </w:style>
  <w:style w:type="paragraph" w:customStyle="1" w:styleId="CharCharCharChar1CharChar">
    <w:name w:val="Char Char Char Char1 字元 字元 Char Char"/>
    <w:basedOn w:val="a6"/>
    <w:qFormat/>
    <w:pPr>
      <w:adjustRightInd w:val="0"/>
      <w:spacing w:line="360" w:lineRule="atLeast"/>
      <w:textAlignment w:val="baseline"/>
    </w:pPr>
  </w:style>
  <w:style w:type="paragraph" w:customStyle="1" w:styleId="affffffffffffffffffffffc">
    <w:name w:val="续表表头"/>
    <w:basedOn w:val="7"/>
    <w:qFormat/>
    <w:pPr>
      <w:framePr w:hSpace="0" w:wrap="auto" w:vAnchor="margin" w:hAnchor="text" w:xAlign="left" w:yAlign="inline"/>
      <w:tabs>
        <w:tab w:val="left" w:pos="737"/>
        <w:tab w:val="left" w:pos="1260"/>
      </w:tabs>
      <w:spacing w:line="300" w:lineRule="auto"/>
      <w:outlineLvl w:val="9"/>
    </w:pPr>
    <w:rPr>
      <w:rFonts w:ascii="宋体" w:eastAsia="宋体" w:hAnsi="宋体"/>
      <w:b/>
      <w:i w:val="0"/>
      <w:iCs w:val="0"/>
      <w:sz w:val="24"/>
      <w:szCs w:val="20"/>
    </w:rPr>
  </w:style>
  <w:style w:type="paragraph" w:customStyle="1" w:styleId="11e">
    <w:name w:val="尾注文本11"/>
    <w:basedOn w:val="120"/>
    <w:qFormat/>
    <w:pPr>
      <w:adjustRightInd w:val="0"/>
      <w:spacing w:line="360" w:lineRule="atLeast"/>
      <w:ind w:firstLineChars="0" w:firstLine="0"/>
      <w:jc w:val="left"/>
    </w:pPr>
    <w:rPr>
      <w:rFonts w:ascii="宋体"/>
      <w:sz w:val="21"/>
    </w:rPr>
  </w:style>
  <w:style w:type="paragraph" w:customStyle="1" w:styleId="style1style2">
    <w:name w:val="style1 style2"/>
    <w:basedOn w:val="a6"/>
    <w:qFormat/>
    <w:pPr>
      <w:widowControl/>
      <w:spacing w:before="100" w:beforeAutospacing="1" w:after="100" w:afterAutospacing="1"/>
      <w:jc w:val="left"/>
    </w:pPr>
    <w:rPr>
      <w:rFonts w:ascii="宋体" w:hAnsi="宋体" w:cs="宋体"/>
      <w:color w:val="000000"/>
      <w:w w:val="110"/>
      <w:kern w:val="0"/>
      <w:sz w:val="24"/>
    </w:rPr>
  </w:style>
  <w:style w:type="paragraph" w:customStyle="1" w:styleId="1051">
    <w:name w:val="样式 标题 1 + 段前: 0.5 行1"/>
    <w:basedOn w:val="12"/>
    <w:qFormat/>
    <w:pPr>
      <w:pageBreakBefore/>
      <w:snapToGrid w:val="0"/>
      <w:spacing w:beforeLines="50" w:before="0" w:after="0"/>
    </w:pPr>
    <w:rPr>
      <w:rFonts w:cs="宋体"/>
      <w:b w:val="0"/>
      <w:bCs w:val="0"/>
      <w:sz w:val="28"/>
      <w:szCs w:val="20"/>
    </w:rPr>
  </w:style>
  <w:style w:type="paragraph" w:customStyle="1" w:styleId="affffffffffffffffffffffd">
    <w:name w:val="五级条标题"/>
    <w:basedOn w:val="afffffffffffffffffffff2"/>
    <w:next w:val="a6"/>
    <w:qFormat/>
    <w:pPr>
      <w:numPr>
        <w:ilvl w:val="6"/>
      </w:numPr>
      <w:ind w:left="425" w:hanging="425"/>
      <w:outlineLvl w:val="6"/>
    </w:pPr>
  </w:style>
  <w:style w:type="paragraph" w:customStyle="1" w:styleId="BodyTextIndent21">
    <w:name w:val="Body Text Indent 21"/>
    <w:basedOn w:val="a6"/>
    <w:qFormat/>
    <w:pPr>
      <w:adjustRightInd w:val="0"/>
      <w:ind w:firstLine="425"/>
      <w:jc w:val="left"/>
    </w:pPr>
    <w:rPr>
      <w:sz w:val="24"/>
      <w:szCs w:val="20"/>
    </w:rPr>
  </w:style>
  <w:style w:type="paragraph" w:customStyle="1" w:styleId="affffffffffffffffffffffe">
    <w:name w:val="图中字"/>
    <w:qFormat/>
    <w:rPr>
      <w:rFonts w:ascii="Verdana" w:eastAsia="幼圆" w:hAnsi="Verdana"/>
      <w:b/>
      <w:color w:val="FF0000"/>
      <w:sz w:val="18"/>
      <w:szCs w:val="18"/>
    </w:rPr>
  </w:style>
  <w:style w:type="paragraph" w:customStyle="1" w:styleId="afffffffffffffffffffffff">
    <w:name w:val="小表中"/>
    <w:basedOn w:val="a6"/>
    <w:qFormat/>
    <w:pPr>
      <w:keepNext/>
      <w:widowControl/>
      <w:snapToGrid w:val="0"/>
      <w:spacing w:line="240" w:lineRule="atLeast"/>
      <w:jc w:val="center"/>
    </w:pPr>
    <w:rPr>
      <w:rFonts w:ascii="宋体" w:hAnsi="宋体" w:cs="宋体"/>
      <w:kern w:val="0"/>
      <w:sz w:val="24"/>
    </w:rPr>
  </w:style>
  <w:style w:type="paragraph" w:customStyle="1" w:styleId="CharCharCharChar80">
    <w:name w:val="Char Char Char Char8"/>
    <w:basedOn w:val="a6"/>
    <w:next w:val="12"/>
    <w:qFormat/>
    <w:rPr>
      <w:rFonts w:ascii="Tahoma" w:eastAsia="黑体" w:hAnsi="Tahoma" w:cs="宋体"/>
      <w:sz w:val="24"/>
      <w:szCs w:val="20"/>
    </w:rPr>
  </w:style>
  <w:style w:type="paragraph" w:customStyle="1" w:styleId="xl100">
    <w:name w:val="xl100"/>
    <w:basedOn w:val="a6"/>
    <w:qFormat/>
    <w:pPr>
      <w:widowControl/>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kern w:val="0"/>
      <w:sz w:val="24"/>
    </w:rPr>
  </w:style>
  <w:style w:type="paragraph" w:customStyle="1" w:styleId="xl984">
    <w:name w:val="xl984"/>
    <w:basedOn w:val="a6"/>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3ff5">
    <w:name w:val="表名3"/>
    <w:basedOn w:val="affffffa"/>
    <w:qFormat/>
    <w:pPr>
      <w:tabs>
        <w:tab w:val="left" w:pos="360"/>
      </w:tabs>
      <w:snapToGrid/>
      <w:ind w:left="360" w:hanging="360"/>
      <w:jc w:val="left"/>
    </w:pPr>
    <w:rPr>
      <w:rFonts w:ascii="黑体" w:eastAsia="黑体" w:hAnsi="Calibri"/>
      <w:sz w:val="24"/>
      <w:szCs w:val="20"/>
    </w:rPr>
  </w:style>
  <w:style w:type="paragraph" w:customStyle="1" w:styleId="144">
    <w:name w:val="表格文字样式14"/>
    <w:basedOn w:val="a6"/>
    <w:qFormat/>
    <w:pPr>
      <w:overflowPunct w:val="0"/>
      <w:adjustRightInd w:val="0"/>
      <w:snapToGrid w:val="0"/>
      <w:spacing w:line="360" w:lineRule="exact"/>
      <w:jc w:val="center"/>
    </w:pPr>
    <w:rPr>
      <w:rFonts w:ascii="宋体" w:hAnsi="宋体"/>
      <w:bCs/>
      <w:snapToGrid w:val="0"/>
      <w:kern w:val="0"/>
      <w:szCs w:val="21"/>
    </w:rPr>
  </w:style>
  <w:style w:type="paragraph" w:customStyle="1" w:styleId="1050">
    <w:name w:val="样式 标题 1 + 段前: 0.5 行"/>
    <w:basedOn w:val="12"/>
    <w:qFormat/>
    <w:pPr>
      <w:pageBreakBefore/>
      <w:snapToGrid w:val="0"/>
      <w:spacing w:beforeLines="50" w:before="0" w:after="0"/>
    </w:pPr>
    <w:rPr>
      <w:rFonts w:cs="宋体"/>
      <w:b w:val="0"/>
      <w:bCs w:val="0"/>
      <w:sz w:val="28"/>
      <w:szCs w:val="20"/>
    </w:rPr>
  </w:style>
  <w:style w:type="paragraph" w:customStyle="1" w:styleId="ParaChar">
    <w:name w:val="默认段落字体 Para Char"/>
    <w:basedOn w:val="a6"/>
    <w:qFormat/>
  </w:style>
  <w:style w:type="paragraph" w:customStyle="1" w:styleId="afffffffffffffffffffffff0">
    <w:name w:val="专业签署"/>
    <w:basedOn w:val="a6"/>
    <w:qFormat/>
    <w:pPr>
      <w:keepNext/>
      <w:widowControl/>
      <w:snapToGrid w:val="0"/>
      <w:spacing w:beforeLines="50" w:after="120" w:line="300" w:lineRule="auto"/>
      <w:jc w:val="center"/>
    </w:pPr>
    <w:rPr>
      <w:rFonts w:ascii="宋体" w:cs="宋体"/>
      <w:kern w:val="0"/>
      <w:sz w:val="32"/>
      <w:szCs w:val="20"/>
    </w:rPr>
  </w:style>
  <w:style w:type="paragraph" w:customStyle="1" w:styleId="CharCharChar1CharCharChar2">
    <w:name w:val="Char Char Char1 Char Char Char2"/>
    <w:basedOn w:val="a6"/>
    <w:qFormat/>
  </w:style>
  <w:style w:type="paragraph" w:customStyle="1" w:styleId="afffffffffffffffffffffff1">
    <w:name w:val="续表"/>
    <w:basedOn w:val="7"/>
    <w:qFormat/>
    <w:pPr>
      <w:framePr w:hSpace="0" w:wrap="auto" w:vAnchor="margin" w:hAnchor="text" w:xAlign="left" w:yAlign="inline"/>
      <w:tabs>
        <w:tab w:val="left" w:pos="1260"/>
      </w:tabs>
      <w:snapToGrid w:val="0"/>
      <w:spacing w:beforeLines="50" w:before="240" w:line="300" w:lineRule="auto"/>
    </w:pPr>
    <w:rPr>
      <w:rFonts w:ascii="宋体" w:eastAsia="宋体" w:hAnsi="宋体"/>
      <w:b/>
      <w:i w:val="0"/>
      <w:iCs w:val="0"/>
      <w:sz w:val="24"/>
      <w:szCs w:val="20"/>
    </w:rPr>
  </w:style>
  <w:style w:type="paragraph" w:customStyle="1" w:styleId="afffffffffffffffffffffff2">
    <w:name w:val="表文"/>
    <w:basedOn w:val="affffffa"/>
    <w:qFormat/>
    <w:pPr>
      <w:snapToGrid/>
    </w:pPr>
    <w:rPr>
      <w:rFonts w:cs="Arial Unicode MS"/>
      <w:kern w:val="0"/>
      <w:sz w:val="20"/>
    </w:rPr>
  </w:style>
  <w:style w:type="paragraph" w:customStyle="1" w:styleId="font1">
    <w:name w:val="font1"/>
    <w:basedOn w:val="a6"/>
    <w:qFormat/>
    <w:pPr>
      <w:widowControl/>
      <w:spacing w:before="100" w:after="100"/>
      <w:jc w:val="left"/>
    </w:pPr>
    <w:rPr>
      <w:rFonts w:ascii="宋体" w:hAnsi="宋体" w:hint="eastAsia"/>
      <w:kern w:val="0"/>
      <w:sz w:val="24"/>
      <w:szCs w:val="20"/>
    </w:rPr>
  </w:style>
  <w:style w:type="paragraph" w:customStyle="1" w:styleId="Char1CharCharCharCharCharCharCharCharCharCharCharCharCharCharChar">
    <w:name w:val="Char1 Char Char Char Char Char Char Char Char Char Char Char Char Char Char Char"/>
    <w:basedOn w:val="a6"/>
    <w:qFormat/>
    <w:pPr>
      <w:spacing w:line="180" w:lineRule="auto"/>
      <w:ind w:firstLineChars="200" w:firstLine="200"/>
    </w:pPr>
    <w:rPr>
      <w:sz w:val="24"/>
    </w:rPr>
  </w:style>
  <w:style w:type="paragraph" w:customStyle="1" w:styleId="afffffffffffffffffffffff3">
    <w:name w:val="附件"/>
    <w:basedOn w:val="12"/>
    <w:qFormat/>
    <w:pPr>
      <w:snapToGrid w:val="0"/>
      <w:spacing w:beforeLines="10" w:before="0" w:after="2" w:line="300" w:lineRule="auto"/>
      <w:jc w:val="left"/>
      <w:outlineLvl w:val="9"/>
    </w:pPr>
    <w:rPr>
      <w:rFonts w:ascii="黑体"/>
      <w:b w:val="0"/>
      <w:bCs w:val="0"/>
      <w:sz w:val="28"/>
      <w:szCs w:val="20"/>
    </w:rPr>
  </w:style>
  <w:style w:type="paragraph" w:customStyle="1" w:styleId="1ffff6">
    <w:name w:val="图名1"/>
    <w:basedOn w:val="a6"/>
    <w:qFormat/>
    <w:pPr>
      <w:adjustRightInd w:val="0"/>
      <w:snapToGrid w:val="0"/>
      <w:ind w:firstLineChars="200" w:firstLine="200"/>
    </w:pPr>
    <w:rPr>
      <w:rFonts w:ascii="Arial" w:eastAsia="黑体" w:hAnsi="Arial"/>
      <w:b/>
      <w:iCs/>
      <w:color w:val="000000"/>
      <w:spacing w:val="4"/>
      <w:kern w:val="0"/>
      <w:sz w:val="24"/>
      <w:szCs w:val="20"/>
    </w:rPr>
  </w:style>
  <w:style w:type="paragraph" w:customStyle="1" w:styleId="xl1027">
    <w:name w:val="xl1027"/>
    <w:basedOn w:val="a6"/>
    <w:qFormat/>
    <w:pPr>
      <w:widowControl/>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left"/>
    </w:pPr>
    <w:rPr>
      <w:rFonts w:ascii="Arial" w:hAnsi="Arial" w:cs="Arial"/>
      <w:kern w:val="0"/>
      <w:sz w:val="18"/>
      <w:szCs w:val="18"/>
    </w:rPr>
  </w:style>
  <w:style w:type="paragraph" w:customStyle="1" w:styleId="afffffffffffffffffffffff4">
    <w:name w:val="样式 表格文字居中 + 五号"/>
    <w:basedOn w:val="a6"/>
    <w:qFormat/>
    <w:pPr>
      <w:keepNext/>
      <w:widowControl/>
      <w:adjustRightInd w:val="0"/>
      <w:jc w:val="center"/>
    </w:pPr>
    <w:rPr>
      <w:rFonts w:ascii="宋体" w:hAnsi="宋体" w:cs="宋体"/>
      <w:kern w:val="0"/>
      <w:sz w:val="18"/>
    </w:rPr>
  </w:style>
  <w:style w:type="paragraph" w:customStyle="1" w:styleId="reader-word-layerreader-word-s1-5">
    <w:name w:val="reader-word-layer reader-word-s1-5"/>
    <w:basedOn w:val="a6"/>
    <w:uiPriority w:val="99"/>
    <w:qFormat/>
    <w:pPr>
      <w:widowControl/>
      <w:spacing w:before="100" w:beforeAutospacing="1" w:after="100" w:afterAutospacing="1"/>
      <w:jc w:val="left"/>
    </w:pPr>
    <w:rPr>
      <w:rFonts w:ascii="宋体" w:hAnsi="宋体" w:cs="宋体"/>
      <w:kern w:val="0"/>
      <w:sz w:val="24"/>
    </w:rPr>
  </w:style>
  <w:style w:type="paragraph" w:customStyle="1" w:styleId="TimesNewRoman12">
    <w:name w:val="样式 表格文字居中 + Times New Roman 五号 行距: 固定值 12 磅"/>
    <w:basedOn w:val="CharChar8"/>
    <w:qFormat/>
    <w:pPr>
      <w:keepNext w:val="0"/>
      <w:adjustRightInd/>
      <w:snapToGrid/>
      <w:spacing w:line="240" w:lineRule="auto"/>
    </w:pPr>
    <w:rPr>
      <w:rFonts w:ascii="Times New Roman" w:hAnsi="Times New Roman" w:cs="宋体"/>
      <w:kern w:val="0"/>
      <w:sz w:val="21"/>
    </w:rPr>
  </w:style>
  <w:style w:type="paragraph" w:customStyle="1" w:styleId="afffffffffffffffffffffff5">
    <w:name w:val="中气三级"/>
    <w:basedOn w:val="33"/>
    <w:next w:val="a6"/>
    <w:qFormat/>
    <w:pPr>
      <w:tabs>
        <w:tab w:val="left" w:pos="1080"/>
        <w:tab w:val="left" w:pos="2760"/>
      </w:tabs>
      <w:spacing w:beforeLines="50" w:before="50" w:afterLines="50" w:after="50" w:line="360" w:lineRule="auto"/>
      <w:ind w:leftChars="400" w:left="1070" w:hangingChars="200" w:hanging="360"/>
      <w:textAlignment w:val="baseline"/>
    </w:pPr>
    <w:rPr>
      <w:rFonts w:hAnsi="宋体"/>
      <w:snapToGrid w:val="0"/>
      <w:spacing w:val="0"/>
      <w:sz w:val="24"/>
      <w:szCs w:val="24"/>
      <w:lang w:val="sq-AL"/>
    </w:rPr>
  </w:style>
  <w:style w:type="paragraph" w:customStyle="1" w:styleId="2103">
    <w:name w:val="样式 备注 + 首行缩进:  2 字符 段前: 1 行 段后: 0.3 行"/>
    <w:basedOn w:val="a6"/>
    <w:qFormat/>
    <w:pPr>
      <w:widowControl/>
      <w:adjustRightInd w:val="0"/>
      <w:snapToGrid w:val="0"/>
      <w:spacing w:after="129" w:line="240" w:lineRule="atLeast"/>
      <w:ind w:firstLineChars="200" w:firstLine="420"/>
      <w:jc w:val="left"/>
    </w:pPr>
    <w:rPr>
      <w:rFonts w:cs="宋体"/>
      <w:color w:val="000000"/>
      <w:kern w:val="0"/>
      <w:sz w:val="24"/>
      <w:szCs w:val="20"/>
    </w:rPr>
  </w:style>
  <w:style w:type="paragraph" w:customStyle="1" w:styleId="4f9">
    <w:name w:val="标题4 国寰"/>
    <w:basedOn w:val="41"/>
    <w:qFormat/>
    <w:pPr>
      <w:snapToGrid/>
      <w:spacing w:beforeLines="0" w:before="0" w:line="240" w:lineRule="auto"/>
    </w:pPr>
    <w:rPr>
      <w:rFonts w:ascii="Times New Roman" w:eastAsia="宋体" w:hAnsi="Times New Roman"/>
      <w:sz w:val="24"/>
      <w:szCs w:val="28"/>
    </w:rPr>
  </w:style>
  <w:style w:type="paragraph" w:customStyle="1" w:styleId="afffffffffffffffffffffff6">
    <w:name w:val="文本格式"/>
    <w:basedOn w:val="af4"/>
    <w:qFormat/>
    <w:pPr>
      <w:keepNext/>
      <w:adjustRightInd w:val="0"/>
      <w:snapToGrid w:val="0"/>
      <w:spacing w:beforeLines="100" w:line="360" w:lineRule="auto"/>
    </w:pPr>
    <w:rPr>
      <w:rFonts w:ascii="Tahoma" w:hAnsi="Tahoma"/>
      <w:snapToGrid w:val="0"/>
      <w:kern w:val="0"/>
      <w:sz w:val="24"/>
    </w:rPr>
  </w:style>
  <w:style w:type="paragraph" w:customStyle="1" w:styleId="41111411114Char1111Char40">
    <w:name w:val="样式 标题 41.1.1.1标题 4.1.1.1.1标题 4 Char款1.1.1.1 Char标4 +"/>
    <w:basedOn w:val="41"/>
    <w:qFormat/>
    <w:pPr>
      <w:keepNext w:val="0"/>
      <w:tabs>
        <w:tab w:val="left" w:pos="864"/>
        <w:tab w:val="left" w:pos="1064"/>
        <w:tab w:val="left" w:pos="3018"/>
      </w:tabs>
      <w:autoSpaceDE w:val="0"/>
      <w:autoSpaceDN w:val="0"/>
      <w:spacing w:before="0" w:line="360" w:lineRule="auto"/>
      <w:ind w:left="864" w:hanging="864"/>
      <w:jc w:val="left"/>
      <w:textAlignment w:val="baseline"/>
    </w:pPr>
    <w:rPr>
      <w:rFonts w:ascii="宋体" w:eastAsia="宋体" w:hAnsi="Arial"/>
      <w:bCs w:val="0"/>
      <w:color w:val="000000"/>
      <w:sz w:val="24"/>
      <w:lang w:val="zh-CN"/>
    </w:rPr>
  </w:style>
  <w:style w:type="paragraph" w:customStyle="1" w:styleId="HD2">
    <w:name w:val="HD2"/>
    <w:basedOn w:val="a6"/>
    <w:qFormat/>
    <w:pPr>
      <w:spacing w:before="240" w:after="240"/>
    </w:pPr>
    <w:rPr>
      <w:rFonts w:eastAsia="楷体_GB2312"/>
      <w:b/>
      <w:sz w:val="32"/>
      <w:szCs w:val="20"/>
    </w:rPr>
  </w:style>
  <w:style w:type="paragraph" w:customStyle="1" w:styleId="afffffffffffffffffffffff7">
    <w:name w:val="图表文字"/>
    <w:basedOn w:val="a6"/>
    <w:qFormat/>
    <w:pPr>
      <w:spacing w:line="260" w:lineRule="exact"/>
      <w:jc w:val="center"/>
    </w:pPr>
    <w:rPr>
      <w:sz w:val="18"/>
    </w:rPr>
  </w:style>
  <w:style w:type="paragraph" w:customStyle="1" w:styleId="--">
    <w:name w:val="标题（--）"/>
    <w:basedOn w:val="12"/>
    <w:qFormat/>
    <w:pPr>
      <w:adjustRightInd w:val="0"/>
      <w:snapToGrid w:val="0"/>
      <w:spacing w:line="300" w:lineRule="auto"/>
      <w:jc w:val="center"/>
    </w:pPr>
    <w:rPr>
      <w:b w:val="0"/>
      <w:color w:val="000000"/>
      <w:sz w:val="28"/>
      <w:szCs w:val="20"/>
    </w:rPr>
  </w:style>
  <w:style w:type="paragraph" w:customStyle="1" w:styleId="xl958">
    <w:name w:val="xl95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18"/>
      <w:szCs w:val="18"/>
    </w:rPr>
  </w:style>
  <w:style w:type="paragraph" w:customStyle="1" w:styleId="B1">
    <w:name w:val="B"/>
    <w:basedOn w:val="33"/>
    <w:next w:val="af8"/>
    <w:qFormat/>
    <w:pPr>
      <w:adjustRightInd w:val="0"/>
      <w:snapToGrid w:val="0"/>
      <w:spacing w:beforeLines="50" w:afterLines="50" w:line="360" w:lineRule="auto"/>
    </w:pPr>
    <w:rPr>
      <w:spacing w:val="0"/>
      <w:sz w:val="24"/>
      <w:szCs w:val="24"/>
    </w:rPr>
  </w:style>
  <w:style w:type="paragraph" w:customStyle="1" w:styleId="afffffffffffffffffffffff8">
    <w:name w:val="项目"/>
    <w:basedOn w:val="a6"/>
    <w:qFormat/>
    <w:pPr>
      <w:tabs>
        <w:tab w:val="left" w:pos="561"/>
      </w:tabs>
      <w:adjustRightInd w:val="0"/>
      <w:spacing w:line="360" w:lineRule="atLeast"/>
      <w:ind w:left="561" w:hanging="561"/>
      <w:textAlignment w:val="baseline"/>
    </w:pPr>
    <w:rPr>
      <w:sz w:val="24"/>
    </w:rPr>
  </w:style>
  <w:style w:type="paragraph" w:customStyle="1" w:styleId="afffffffffffffffffffffff9">
    <w:name w:val="表格名"/>
    <w:basedOn w:val="Default"/>
    <w:qFormat/>
    <w:pPr>
      <w:adjustRightInd/>
      <w:jc w:val="center"/>
    </w:pPr>
    <w:rPr>
      <w:rFonts w:eastAsia="黑体"/>
      <w:sz w:val="21"/>
    </w:rPr>
  </w:style>
  <w:style w:type="paragraph" w:customStyle="1" w:styleId="3-3">
    <w:name w:val="标题3-3"/>
    <w:basedOn w:val="33"/>
    <w:qFormat/>
    <w:pPr>
      <w:keepNext w:val="0"/>
      <w:keepLines w:val="0"/>
      <w:tabs>
        <w:tab w:val="left" w:pos="1260"/>
      </w:tabs>
      <w:adjustRightInd w:val="0"/>
      <w:spacing w:beforeLines="50" w:afterLines="25" w:line="360" w:lineRule="auto"/>
      <w:ind w:left="1260" w:hanging="420"/>
      <w:jc w:val="left"/>
      <w:textAlignment w:val="baseline"/>
    </w:pPr>
    <w:rPr>
      <w:rFonts w:ascii="Arial" w:hAnsi="Arial"/>
      <w:bCs/>
      <w:color w:val="000000"/>
      <w:spacing w:val="0"/>
      <w:sz w:val="24"/>
      <w:szCs w:val="24"/>
    </w:rPr>
  </w:style>
  <w:style w:type="paragraph" w:customStyle="1" w:styleId="77">
    <w:name w:val="7"/>
    <w:basedOn w:val="a6"/>
    <w:next w:val="af0"/>
    <w:qFormat/>
    <w:pPr>
      <w:ind w:firstLineChars="200" w:firstLine="420"/>
    </w:pPr>
    <w:rPr>
      <w:rFonts w:ascii="宋体"/>
      <w:kern w:val="0"/>
      <w:sz w:val="24"/>
      <w:szCs w:val="20"/>
    </w:rPr>
  </w:style>
  <w:style w:type="paragraph" w:customStyle="1" w:styleId="afffffffffffffffffffffffa">
    <w:name w:val="样式 正文文本 + (符号) 宋体 小四"/>
    <w:basedOn w:val="af8"/>
    <w:qFormat/>
    <w:pPr>
      <w:widowControl/>
      <w:tabs>
        <w:tab w:val="left" w:pos="628"/>
        <w:tab w:val="left" w:pos="1727"/>
        <w:tab w:val="left" w:pos="1884"/>
      </w:tabs>
      <w:adjustRightInd w:val="0"/>
      <w:spacing w:after="0" w:line="300" w:lineRule="auto"/>
      <w:jc w:val="center"/>
      <w:outlineLvl w:val="8"/>
    </w:pPr>
    <w:rPr>
      <w:rFonts w:ascii="宋体" w:cs="宋体"/>
      <w:kern w:val="0"/>
      <w:sz w:val="24"/>
      <w:szCs w:val="20"/>
    </w:rPr>
  </w:style>
  <w:style w:type="paragraph" w:customStyle="1" w:styleId="HD4">
    <w:name w:val="HD4"/>
    <w:basedOn w:val="a6"/>
    <w:qFormat/>
    <w:pPr>
      <w:spacing w:before="240" w:after="120" w:line="520" w:lineRule="exact"/>
    </w:pPr>
    <w:rPr>
      <w:b/>
      <w:sz w:val="28"/>
      <w:szCs w:val="20"/>
    </w:rPr>
  </w:style>
  <w:style w:type="paragraph" w:customStyle="1" w:styleId="afffffffffffffffffffffffb">
    <w:name w:val="样式 正文首行缩进 + 四号"/>
    <w:basedOn w:val="affc"/>
    <w:qFormat/>
    <w:pPr>
      <w:keepNext/>
      <w:keepLines/>
      <w:tabs>
        <w:tab w:val="left" w:pos="628"/>
        <w:tab w:val="left" w:pos="1727"/>
        <w:tab w:val="left" w:pos="1884"/>
      </w:tabs>
      <w:snapToGrid w:val="0"/>
      <w:spacing w:line="300" w:lineRule="auto"/>
      <w:ind w:firstLine="560"/>
      <w:outlineLvl w:val="0"/>
    </w:pPr>
    <w:rPr>
      <w:color w:val="000000"/>
      <w:spacing w:val="0"/>
      <w:kern w:val="2"/>
      <w:sz w:val="28"/>
      <w:szCs w:val="28"/>
    </w:rPr>
  </w:style>
  <w:style w:type="paragraph" w:customStyle="1" w:styleId="228">
    <w:name w:val="样式 标题 2 + 行距: 固定值 28 磅"/>
    <w:basedOn w:val="22"/>
    <w:qFormat/>
    <w:pPr>
      <w:tabs>
        <w:tab w:val="left" w:pos="567"/>
      </w:tabs>
      <w:adjustRightInd w:val="0"/>
      <w:spacing w:before="120" w:line="560" w:lineRule="exact"/>
    </w:pPr>
    <w:rPr>
      <w:rFonts w:cs="宋体"/>
      <w:spacing w:val="0"/>
      <w:w w:val="100"/>
      <w:kern w:val="2"/>
      <w:szCs w:val="20"/>
    </w:rPr>
  </w:style>
  <w:style w:type="paragraph" w:customStyle="1" w:styleId="CharCharCharCharCharCharChar1">
    <w:name w:val="Char Char Char Char Char Char Char1"/>
    <w:basedOn w:val="a6"/>
    <w:next w:val="a6"/>
    <w:qFormat/>
    <w:pPr>
      <w:spacing w:line="360" w:lineRule="auto"/>
      <w:ind w:firstLineChars="200" w:firstLine="200"/>
    </w:pPr>
    <w:rPr>
      <w:rFonts w:ascii="宋体" w:hAnsi="宋体" w:cs="宋体"/>
      <w:color w:val="000000"/>
      <w:w w:val="110"/>
      <w:kern w:val="0"/>
      <w:sz w:val="24"/>
    </w:rPr>
  </w:style>
  <w:style w:type="paragraph" w:customStyle="1" w:styleId="200">
    <w:name w:val="20"/>
    <w:basedOn w:val="a6"/>
    <w:qFormat/>
    <w:pPr>
      <w:widowControl/>
      <w:snapToGrid w:val="0"/>
      <w:spacing w:before="100" w:beforeAutospacing="1" w:after="100" w:afterAutospacing="1" w:line="360" w:lineRule="atLeast"/>
      <w:ind w:left="200"/>
    </w:pPr>
    <w:rPr>
      <w:kern w:val="0"/>
      <w:sz w:val="24"/>
    </w:rPr>
  </w:style>
  <w:style w:type="paragraph" w:customStyle="1" w:styleId="xl985">
    <w:name w:val="xl985"/>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128">
    <w:name w:val="列表项目符号1.缩2"/>
    <w:qFormat/>
    <w:pPr>
      <w:tabs>
        <w:tab w:val="left" w:pos="720"/>
        <w:tab w:val="left" w:pos="900"/>
        <w:tab w:val="left" w:pos="945"/>
      </w:tabs>
      <w:spacing w:line="360" w:lineRule="auto"/>
      <w:ind w:firstLine="425"/>
    </w:pPr>
    <w:rPr>
      <w:sz w:val="24"/>
    </w:rPr>
  </w:style>
  <w:style w:type="paragraph" w:customStyle="1" w:styleId="1ffff7">
    <w:name w:val="列表项目符号1."/>
    <w:basedOn w:val="a6"/>
    <w:qFormat/>
    <w:pPr>
      <w:tabs>
        <w:tab w:val="left" w:pos="900"/>
      </w:tabs>
      <w:adjustRightInd w:val="0"/>
      <w:spacing w:line="312" w:lineRule="atLeast"/>
      <w:ind w:left="425" w:hanging="425"/>
      <w:textAlignment w:val="baseline"/>
    </w:pPr>
    <w:rPr>
      <w:kern w:val="0"/>
      <w:szCs w:val="20"/>
    </w:rPr>
  </w:style>
  <w:style w:type="paragraph" w:customStyle="1" w:styleId="4fa">
    <w:name w:val="4  级标题"/>
    <w:basedOn w:val="a6"/>
    <w:next w:val="a6"/>
    <w:qFormat/>
    <w:pPr>
      <w:spacing w:beforeLines="100" w:before="312" w:line="360" w:lineRule="auto"/>
      <w:ind w:left="1276"/>
      <w:jc w:val="left"/>
      <w:outlineLvl w:val="3"/>
    </w:pPr>
    <w:rPr>
      <w:rFonts w:ascii="Arial" w:hAnsi="Arial" w:cs="Arial"/>
      <w:b/>
      <w:kern w:val="0"/>
      <w:sz w:val="24"/>
      <w:szCs w:val="28"/>
    </w:rPr>
  </w:style>
  <w:style w:type="paragraph" w:customStyle="1" w:styleId="afffffffffffffffffffffffc">
    <w:name w:val="样式 表格文字居中 + (符号) 宋体"/>
    <w:basedOn w:val="affff5"/>
    <w:qFormat/>
    <w:pPr>
      <w:keepNext/>
      <w:widowControl/>
      <w:tabs>
        <w:tab w:val="left" w:pos="240"/>
        <w:tab w:val="left" w:pos="628"/>
        <w:tab w:val="left" w:pos="1727"/>
        <w:tab w:val="left" w:pos="1884"/>
        <w:tab w:val="left" w:pos="7252"/>
      </w:tabs>
      <w:adjustRightInd/>
      <w:ind w:leftChars="-1" w:left="-3" w:rightChars="0" w:right="0" w:firstLineChars="200" w:firstLine="200"/>
      <w:outlineLvl w:val="0"/>
    </w:pPr>
    <w:rPr>
      <w:rFonts w:ascii="宋体" w:eastAsia="宋体"/>
      <w:color w:val="0000FF"/>
      <w:spacing w:val="0"/>
      <w:sz w:val="21"/>
    </w:rPr>
  </w:style>
  <w:style w:type="paragraph" w:customStyle="1" w:styleId="Style20">
    <w:name w:val="_Style 2"/>
    <w:basedOn w:val="a6"/>
    <w:uiPriority w:val="34"/>
    <w:qFormat/>
    <w:pPr>
      <w:spacing w:line="360" w:lineRule="auto"/>
      <w:ind w:firstLineChars="200" w:firstLine="420"/>
    </w:pPr>
    <w:rPr>
      <w:rFonts w:ascii="Calibri" w:hAnsi="Calibri"/>
      <w:sz w:val="24"/>
      <w:szCs w:val="22"/>
    </w:rPr>
  </w:style>
  <w:style w:type="paragraph" w:customStyle="1" w:styleId="afffffffffffffffffffffffd">
    <w:name w:val="图章"/>
    <w:basedOn w:val="a6"/>
    <w:qFormat/>
    <w:pPr>
      <w:widowControl/>
      <w:adjustRightInd w:val="0"/>
      <w:snapToGrid w:val="0"/>
      <w:jc w:val="left"/>
    </w:pPr>
    <w:rPr>
      <w:rFonts w:ascii="宋体" w:cs="宋体"/>
      <w:snapToGrid w:val="0"/>
      <w:kern w:val="0"/>
      <w:sz w:val="18"/>
      <w:szCs w:val="20"/>
    </w:rPr>
  </w:style>
  <w:style w:type="paragraph" w:customStyle="1" w:styleId="reader-word-layerreader-word-s4-28">
    <w:name w:val="reader-word-layer reader-word-s4-28"/>
    <w:basedOn w:val="a6"/>
    <w:qFormat/>
    <w:pPr>
      <w:widowControl/>
      <w:spacing w:before="100" w:beforeAutospacing="1" w:after="100" w:afterAutospacing="1"/>
      <w:jc w:val="left"/>
    </w:pPr>
    <w:rPr>
      <w:rFonts w:ascii="宋体" w:hAnsi="宋体" w:cs="宋体"/>
      <w:kern w:val="0"/>
      <w:sz w:val="24"/>
    </w:rPr>
  </w:style>
  <w:style w:type="paragraph" w:customStyle="1" w:styleId="Char1Char">
    <w:name w:val="Char1 Char"/>
    <w:basedOn w:val="a6"/>
    <w:qFormat/>
    <w:pPr>
      <w:spacing w:line="360" w:lineRule="auto"/>
      <w:ind w:firstLineChars="200" w:firstLine="200"/>
    </w:pPr>
    <w:rPr>
      <w:rFonts w:ascii="宋体" w:hAnsi="宋体" w:cs="宋体"/>
      <w:sz w:val="24"/>
    </w:rPr>
  </w:style>
  <w:style w:type="paragraph" w:customStyle="1" w:styleId="BodyText22">
    <w:name w:val="Body Text 22"/>
    <w:basedOn w:val="a6"/>
    <w:qFormat/>
    <w:pPr>
      <w:adjustRightInd w:val="0"/>
      <w:spacing w:line="440" w:lineRule="atLeast"/>
      <w:ind w:firstLine="480"/>
      <w:textAlignment w:val="baseline"/>
    </w:pPr>
    <w:rPr>
      <w:rFonts w:eastAsia="仿宋_GB2312"/>
      <w:sz w:val="24"/>
      <w:szCs w:val="20"/>
    </w:rPr>
  </w:style>
  <w:style w:type="paragraph" w:customStyle="1" w:styleId="xl1062">
    <w:name w:val="xl1062"/>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Arial" w:hAnsi="Arial" w:cs="Arial"/>
      <w:kern w:val="0"/>
      <w:sz w:val="18"/>
      <w:szCs w:val="18"/>
    </w:rPr>
  </w:style>
  <w:style w:type="paragraph" w:customStyle="1" w:styleId="afffffffffffffffffffffffe">
    <w:name w:val="表格小四"/>
    <w:basedOn w:val="a6"/>
    <w:qFormat/>
    <w:pPr>
      <w:adjustRightInd w:val="0"/>
      <w:snapToGrid w:val="0"/>
      <w:spacing w:beforeLines="30" w:line="360" w:lineRule="auto"/>
    </w:pPr>
    <w:rPr>
      <w:sz w:val="24"/>
    </w:rPr>
  </w:style>
  <w:style w:type="paragraph" w:customStyle="1" w:styleId="11f">
    <w:name w:val="列表11"/>
    <w:basedOn w:val="aff6"/>
    <w:qFormat/>
    <w:pPr>
      <w:tabs>
        <w:tab w:val="left" w:pos="5320"/>
      </w:tabs>
      <w:adjustRightInd w:val="0"/>
      <w:snapToGrid w:val="0"/>
      <w:spacing w:line="360" w:lineRule="auto"/>
      <w:ind w:left="0" w:firstLineChars="0" w:firstLine="0"/>
      <w:jc w:val="center"/>
    </w:pPr>
    <w:rPr>
      <w:rFonts w:ascii="宋体"/>
      <w:sz w:val="32"/>
      <w:szCs w:val="20"/>
    </w:rPr>
  </w:style>
  <w:style w:type="paragraph" w:customStyle="1" w:styleId="CSD-3">
    <w:name w:val="CSD-标题 3"/>
    <w:basedOn w:val="33"/>
    <w:qFormat/>
    <w:pPr>
      <w:keepLines w:val="0"/>
      <w:widowControl/>
      <w:tabs>
        <w:tab w:val="left" w:pos="720"/>
        <w:tab w:val="left" w:pos="822"/>
      </w:tabs>
      <w:spacing w:beforeLines="50" w:before="156" w:afterLines="50" w:after="156"/>
      <w:contextualSpacing/>
      <w:jc w:val="left"/>
    </w:pPr>
    <w:rPr>
      <w:rFonts w:hAnsi="黑体" w:cs="Arial"/>
      <w:spacing w:val="0"/>
      <w:kern w:val="0"/>
      <w:szCs w:val="28"/>
      <w:lang w:eastAsia="en-US" w:bidi="en-US"/>
    </w:rPr>
  </w:style>
  <w:style w:type="paragraph" w:customStyle="1" w:styleId="xl43">
    <w:name w:val="xl43"/>
    <w:basedOn w:val="a6"/>
    <w:qFormat/>
    <w:pPr>
      <w:widowControl/>
      <w:pBdr>
        <w:left w:val="single" w:sz="4" w:space="0" w:color="auto"/>
        <w:bottom w:val="single" w:sz="4" w:space="0" w:color="auto"/>
        <w:right w:val="single" w:sz="4" w:space="0" w:color="auto"/>
      </w:pBdr>
      <w:spacing w:before="100" w:after="100"/>
      <w:textAlignment w:val="center"/>
    </w:pPr>
    <w:rPr>
      <w:rFonts w:ascii="宋体" w:hAnsi="宋体"/>
      <w:kern w:val="0"/>
      <w:szCs w:val="20"/>
    </w:rPr>
  </w:style>
  <w:style w:type="paragraph" w:customStyle="1" w:styleId="xl933">
    <w:name w:val="xl933"/>
    <w:basedOn w:val="a6"/>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1ffff8">
    <w:name w:val="标题 1 + (中文) 宋体"/>
    <w:basedOn w:val="12"/>
    <w:qFormat/>
    <w:pPr>
      <w:pageBreakBefore/>
      <w:tabs>
        <w:tab w:val="left" w:pos="360"/>
      </w:tabs>
      <w:spacing w:before="0" w:afterLines="50" w:after="0" w:line="500" w:lineRule="atLeast"/>
      <w:textAlignment w:val="center"/>
    </w:pPr>
    <w:rPr>
      <w:rFonts w:hAnsi="宋体"/>
      <w:bCs w:val="0"/>
      <w:kern w:val="32"/>
      <w:szCs w:val="36"/>
    </w:rPr>
  </w:style>
  <w:style w:type="paragraph" w:customStyle="1" w:styleId="a0">
    <w:name w:val="摘要"/>
    <w:basedOn w:val="a6"/>
    <w:qFormat/>
    <w:pPr>
      <w:widowControl/>
      <w:numPr>
        <w:numId w:val="21"/>
      </w:numPr>
      <w:adjustRightInd w:val="0"/>
      <w:snapToGrid w:val="0"/>
      <w:spacing w:beforeLines="100" w:afterLines="100" w:line="500" w:lineRule="atLeast"/>
      <w:ind w:left="840" w:firstLineChars="28" w:firstLine="59"/>
      <w:jc w:val="left"/>
    </w:pPr>
    <w:rPr>
      <w:rFonts w:ascii="华文细黑" w:eastAsia="华文细黑" w:hAnsi="宋体" w:cs="宋体"/>
      <w:kern w:val="0"/>
      <w:sz w:val="24"/>
      <w:szCs w:val="20"/>
    </w:rPr>
  </w:style>
  <w:style w:type="paragraph" w:customStyle="1" w:styleId="3ff6">
    <w:name w:val="3"/>
    <w:qFormat/>
    <w:pPr>
      <w:widowControl w:val="0"/>
      <w:spacing w:line="360" w:lineRule="auto"/>
      <w:ind w:firstLineChars="200" w:firstLine="200"/>
      <w:jc w:val="both"/>
    </w:pPr>
    <w:rPr>
      <w:kern w:val="2"/>
      <w:sz w:val="24"/>
      <w:szCs w:val="24"/>
    </w:rPr>
  </w:style>
  <w:style w:type="paragraph" w:customStyle="1" w:styleId="xl207">
    <w:name w:val="xl207"/>
    <w:basedOn w:val="a6"/>
    <w:qFormat/>
    <w:pPr>
      <w:widowControl/>
      <w:pBdr>
        <w:bottom w:val="single" w:sz="4" w:space="0" w:color="auto"/>
      </w:pBdr>
      <w:spacing w:before="100" w:beforeAutospacing="1" w:after="100" w:afterAutospacing="1"/>
      <w:jc w:val="left"/>
      <w:textAlignment w:val="center"/>
    </w:pPr>
    <w:rPr>
      <w:rFonts w:cs="宋体"/>
      <w:color w:val="000000"/>
      <w:kern w:val="0"/>
      <w:sz w:val="24"/>
    </w:rPr>
  </w:style>
  <w:style w:type="paragraph" w:customStyle="1" w:styleId="xl1010">
    <w:name w:val="xl1010"/>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kern w:val="0"/>
      <w:sz w:val="18"/>
      <w:szCs w:val="18"/>
    </w:rPr>
  </w:style>
  <w:style w:type="paragraph" w:customStyle="1" w:styleId="cdb">
    <w:name w:val="cdb"/>
    <w:basedOn w:val="a6"/>
    <w:qFormat/>
    <w:pPr>
      <w:widowControl/>
      <w:spacing w:before="120"/>
      <w:ind w:left="851" w:firstLine="482"/>
      <w:jc w:val="left"/>
    </w:pPr>
    <w:rPr>
      <w:rFonts w:cs="宋体"/>
      <w:kern w:val="0"/>
      <w:sz w:val="24"/>
      <w:szCs w:val="20"/>
    </w:rPr>
  </w:style>
  <w:style w:type="paragraph" w:customStyle="1" w:styleId="xl1018">
    <w:name w:val="xl1018"/>
    <w:basedOn w:val="a6"/>
    <w:qFormat/>
    <w:pPr>
      <w:widowControl/>
      <w:pBdr>
        <w:bottom w:val="single" w:sz="4" w:space="0" w:color="auto"/>
        <w:right w:val="single" w:sz="4" w:space="0" w:color="auto"/>
      </w:pBdr>
      <w:shd w:val="clear" w:color="000000" w:fill="00B050"/>
      <w:spacing w:before="100" w:beforeAutospacing="1" w:after="100" w:afterAutospacing="1"/>
      <w:jc w:val="center"/>
    </w:pPr>
    <w:rPr>
      <w:rFonts w:ascii="Arial" w:hAnsi="Arial" w:cs="Arial"/>
      <w:kern w:val="0"/>
      <w:sz w:val="18"/>
      <w:szCs w:val="18"/>
    </w:rPr>
  </w:style>
  <w:style w:type="paragraph" w:customStyle="1" w:styleId="1ffff9">
    <w:name w:val="(1)"/>
    <w:qFormat/>
    <w:pPr>
      <w:spacing w:line="360" w:lineRule="auto"/>
      <w:ind w:firstLineChars="200" w:firstLine="480"/>
    </w:pPr>
    <w:rPr>
      <w:rFonts w:ascii="仿宋_GB2312" w:eastAsia="仿宋_GB2312"/>
      <w:sz w:val="24"/>
    </w:rPr>
  </w:style>
  <w:style w:type="paragraph" w:customStyle="1" w:styleId="pa-9">
    <w:name w:val="pa-9"/>
    <w:basedOn w:val="a6"/>
    <w:qFormat/>
    <w:pPr>
      <w:widowControl/>
      <w:spacing w:line="280" w:lineRule="atLeast"/>
      <w:jc w:val="left"/>
    </w:pPr>
    <w:rPr>
      <w:rFonts w:ascii="宋体" w:hAnsi="宋体" w:cs="宋体"/>
      <w:kern w:val="0"/>
      <w:sz w:val="24"/>
    </w:rPr>
  </w:style>
  <w:style w:type="paragraph" w:customStyle="1" w:styleId="affffffffffffffffffffffff">
    <w:name w:val="国寰 表格标题"/>
    <w:basedOn w:val="a6"/>
    <w:qFormat/>
    <w:pPr>
      <w:tabs>
        <w:tab w:val="left" w:pos="905"/>
      </w:tabs>
      <w:jc w:val="center"/>
    </w:pPr>
    <w:rPr>
      <w:rFonts w:eastAsia="黑体"/>
      <w:bCs/>
      <w:szCs w:val="20"/>
    </w:rPr>
  </w:style>
  <w:style w:type="paragraph" w:customStyle="1" w:styleId="421">
    <w:name w:val="正文格式42"/>
    <w:basedOn w:val="a6"/>
    <w:qFormat/>
    <w:pPr>
      <w:spacing w:line="360" w:lineRule="auto"/>
      <w:ind w:firstLine="482"/>
    </w:pPr>
    <w:rPr>
      <w:rFonts w:ascii="宋体" w:hAnsi="宋体"/>
      <w:sz w:val="24"/>
    </w:rPr>
  </w:style>
  <w:style w:type="paragraph" w:customStyle="1" w:styleId="affffffffffffffffffffffff0">
    <w:name w:val="制表"/>
    <w:basedOn w:val="aa"/>
    <w:next w:val="a6"/>
    <w:qFormat/>
    <w:pPr>
      <w:pageBreakBefore w:val="0"/>
      <w:widowControl/>
      <w:spacing w:before="0" w:after="0" w:line="240" w:lineRule="auto"/>
      <w:ind w:firstLine="454"/>
      <w:jc w:val="left"/>
      <w:outlineLvl w:val="4"/>
    </w:pPr>
    <w:rPr>
      <w:b w:val="0"/>
      <w:bCs w:val="0"/>
      <w:kern w:val="0"/>
      <w:sz w:val="21"/>
      <w:szCs w:val="20"/>
    </w:rPr>
  </w:style>
  <w:style w:type="paragraph" w:customStyle="1" w:styleId="xl1021">
    <w:name w:val="xl1021"/>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18"/>
      <w:szCs w:val="18"/>
    </w:rPr>
  </w:style>
  <w:style w:type="paragraph" w:customStyle="1" w:styleId="affffffffffffffffffffffff1">
    <w:name w:val="表格小四居中"/>
    <w:basedOn w:val="a6"/>
    <w:qFormat/>
    <w:pPr>
      <w:adjustRightInd w:val="0"/>
      <w:snapToGrid w:val="0"/>
      <w:spacing w:line="300" w:lineRule="auto"/>
      <w:jc w:val="center"/>
    </w:pPr>
    <w:rPr>
      <w:rFonts w:eastAsia="仿宋_GB2312"/>
      <w:sz w:val="24"/>
    </w:rPr>
  </w:style>
  <w:style w:type="paragraph" w:customStyle="1" w:styleId="CYQ10">
    <w:name w:val="CYQ 正文四号字体样式1"/>
    <w:basedOn w:val="a6"/>
    <w:qFormat/>
    <w:pPr>
      <w:widowControl/>
      <w:spacing w:line="360" w:lineRule="auto"/>
      <w:jc w:val="left"/>
    </w:pPr>
    <w:rPr>
      <w:rFonts w:cs="宋体"/>
      <w:color w:val="000000"/>
      <w:kern w:val="0"/>
      <w:sz w:val="24"/>
    </w:rPr>
  </w:style>
  <w:style w:type="paragraph" w:customStyle="1" w:styleId="affffffffffffffffffffffff2">
    <w:name w:val="久不通函，至以为念。"/>
    <w:qFormat/>
    <w:pPr>
      <w:widowControl w:val="0"/>
      <w:jc w:val="both"/>
    </w:pPr>
    <w:rPr>
      <w:kern w:val="2"/>
      <w:sz w:val="21"/>
      <w:szCs w:val="24"/>
    </w:rPr>
  </w:style>
  <w:style w:type="paragraph" w:customStyle="1" w:styleId="020">
    <w:name w:val="02"/>
    <w:basedOn w:val="a6"/>
    <w:qFormat/>
    <w:pPr>
      <w:keepNext/>
      <w:keepLines/>
      <w:spacing w:before="100" w:line="360" w:lineRule="auto"/>
      <w:outlineLvl w:val="1"/>
    </w:pPr>
    <w:rPr>
      <w:rFonts w:ascii="黑体" w:eastAsia="黑体" w:hAnsi="黑体"/>
      <w:color w:val="333333"/>
      <w:sz w:val="24"/>
      <w:szCs w:val="20"/>
    </w:rPr>
  </w:style>
  <w:style w:type="paragraph" w:customStyle="1" w:styleId="affffffffffffffffffffffff3">
    <w:name w:val="新标题样式"/>
    <w:basedOn w:val="a6"/>
    <w:qFormat/>
    <w:pPr>
      <w:tabs>
        <w:tab w:val="left" w:pos="567"/>
      </w:tabs>
      <w:spacing w:line="360" w:lineRule="auto"/>
    </w:pPr>
    <w:rPr>
      <w:rFonts w:eastAsia="黑体"/>
      <w:b/>
      <w:spacing w:val="20"/>
      <w:sz w:val="24"/>
      <w:szCs w:val="20"/>
    </w:rPr>
  </w:style>
  <w:style w:type="paragraph" w:customStyle="1" w:styleId="4fb">
    <w:name w:val="页眉4"/>
    <w:basedOn w:val="1ff9"/>
    <w:qFormat/>
    <w:pPr>
      <w:pBdr>
        <w:bottom w:val="single" w:sz="6" w:space="1" w:color="auto"/>
      </w:pBdr>
      <w:tabs>
        <w:tab w:val="center" w:pos="4153"/>
        <w:tab w:val="right" w:pos="8306"/>
      </w:tabs>
      <w:adjustRightInd w:val="0"/>
      <w:spacing w:line="240" w:lineRule="atLeast"/>
    </w:pPr>
    <w:rPr>
      <w:rFonts w:ascii="宋体" w:hAnsi="Calibri" w:hint="eastAsia"/>
      <w:kern w:val="0"/>
      <w:sz w:val="18"/>
      <w:szCs w:val="20"/>
    </w:rPr>
  </w:style>
  <w:style w:type="paragraph" w:customStyle="1" w:styleId="xl209">
    <w:name w:val="xl209"/>
    <w:basedOn w:val="a6"/>
    <w:qFormat/>
    <w:pPr>
      <w:widowControl/>
      <w:pBdr>
        <w:bottom w:val="single" w:sz="4" w:space="0" w:color="auto"/>
        <w:right w:val="single" w:sz="4" w:space="0" w:color="auto"/>
      </w:pBdr>
      <w:spacing w:before="100" w:beforeAutospacing="1" w:after="100" w:afterAutospacing="1"/>
      <w:jc w:val="left"/>
      <w:textAlignment w:val="center"/>
    </w:pPr>
    <w:rPr>
      <w:rFonts w:cs="宋体"/>
      <w:color w:val="000000"/>
      <w:kern w:val="0"/>
      <w:sz w:val="24"/>
    </w:rPr>
  </w:style>
  <w:style w:type="paragraph" w:customStyle="1" w:styleId="xl1020">
    <w:name w:val="xl1020"/>
    <w:basedOn w:val="a6"/>
    <w:qFormat/>
    <w:pPr>
      <w:widowControl/>
      <w:pBdr>
        <w:top w:val="single" w:sz="8" w:space="0" w:color="FFFF00"/>
        <w:left w:val="single" w:sz="4" w:space="0" w:color="auto"/>
        <w:bottom w:val="single" w:sz="8" w:space="0" w:color="FFFF00"/>
        <w:right w:val="single" w:sz="4" w:space="0" w:color="auto"/>
      </w:pBdr>
      <w:shd w:val="clear" w:color="000000" w:fill="00B050"/>
      <w:spacing w:before="100" w:beforeAutospacing="1" w:after="100" w:afterAutospacing="1"/>
      <w:jc w:val="center"/>
    </w:pPr>
    <w:rPr>
      <w:rFonts w:ascii="Arial" w:hAnsi="Arial" w:cs="Arial"/>
      <w:kern w:val="0"/>
      <w:sz w:val="18"/>
      <w:szCs w:val="18"/>
    </w:rPr>
  </w:style>
  <w:style w:type="paragraph" w:customStyle="1" w:styleId="5-">
    <w:name w:val="标题5-国寰"/>
    <w:qFormat/>
    <w:rPr>
      <w:szCs w:val="21"/>
    </w:rPr>
  </w:style>
  <w:style w:type="paragraph" w:customStyle="1" w:styleId="5fb">
    <w:name w:val="5级标题"/>
    <w:qFormat/>
  </w:style>
  <w:style w:type="paragraph" w:customStyle="1" w:styleId="5fc">
    <w:name w:val="标题5 国寰"/>
    <w:basedOn w:val="a6"/>
    <w:qFormat/>
    <w:pPr>
      <w:spacing w:line="360" w:lineRule="auto"/>
      <w:outlineLvl w:val="4"/>
    </w:pPr>
    <w:rPr>
      <w:sz w:val="24"/>
    </w:rPr>
  </w:style>
  <w:style w:type="paragraph" w:customStyle="1" w:styleId="affffffffffffffffffffffff4">
    <w:name w:val="正文."/>
    <w:qFormat/>
    <w:pPr>
      <w:widowControl w:val="0"/>
      <w:autoSpaceDE w:val="0"/>
      <w:autoSpaceDN w:val="0"/>
      <w:adjustRightInd w:val="0"/>
      <w:jc w:val="both"/>
    </w:pPr>
    <w:rPr>
      <w:rFonts w:ascii="Times New Roman;Symbol;Arial;婼" w:eastAsia="Times New Roman;Symbol;Arial;婼"/>
      <w:sz w:val="21"/>
      <w:szCs w:val="21"/>
    </w:rPr>
  </w:style>
  <w:style w:type="paragraph" w:customStyle="1" w:styleId="affffffffffffffffffffffff5">
    <w:name w:val="表右"/>
    <w:basedOn w:val="a6"/>
    <w:qFormat/>
    <w:pPr>
      <w:spacing w:line="280" w:lineRule="exact"/>
      <w:jc w:val="right"/>
    </w:pPr>
    <w:rPr>
      <w:rFonts w:ascii="宋体"/>
      <w:color w:val="000000"/>
      <w:sz w:val="18"/>
    </w:rPr>
  </w:style>
  <w:style w:type="paragraph" w:customStyle="1" w:styleId="1ffffa">
    <w:name w:val="样式 标题 1 + (符号) 宋体"/>
    <w:basedOn w:val="12"/>
    <w:qFormat/>
    <w:pPr>
      <w:keepNext w:val="0"/>
      <w:keepLines w:val="0"/>
      <w:pageBreakBefore/>
      <w:tabs>
        <w:tab w:val="left" w:pos="360"/>
      </w:tabs>
      <w:autoSpaceDE w:val="0"/>
      <w:autoSpaceDN w:val="0"/>
      <w:adjustRightInd w:val="0"/>
      <w:spacing w:before="0" w:afterLines="50" w:after="0" w:line="360" w:lineRule="auto"/>
      <w:ind w:left="688" w:hanging="432"/>
      <w:jc w:val="center"/>
    </w:pPr>
    <w:rPr>
      <w:b w:val="0"/>
      <w:kern w:val="0"/>
      <w:sz w:val="28"/>
      <w:szCs w:val="32"/>
    </w:rPr>
  </w:style>
  <w:style w:type="paragraph" w:customStyle="1" w:styleId="Title9">
    <w:name w:val="Title 9"/>
    <w:basedOn w:val="a6"/>
    <w:qFormat/>
    <w:pPr>
      <w:widowControl/>
      <w:tabs>
        <w:tab w:val="left" w:pos="900"/>
      </w:tabs>
      <w:spacing w:after="120"/>
      <w:ind w:left="900" w:hanging="360"/>
      <w:jc w:val="left"/>
    </w:pPr>
    <w:rPr>
      <w:rFonts w:ascii="Arial" w:hAnsi="Arial" w:cs="宋体"/>
      <w:kern w:val="0"/>
      <w:sz w:val="24"/>
      <w:szCs w:val="20"/>
    </w:rPr>
  </w:style>
  <w:style w:type="paragraph" w:customStyle="1" w:styleId="CharCharCharCharCharCharCharCharCharCharCharCharCharCharCharCharCharCharCharCharCharCharCharCharCharCharCharCharCharCharCharCharCharCharCharCharCharCharChar5">
    <w:name w:val="Char Char Char Char Char Char Char Char Char Char Char Char Char Char Char Char Char Char Char Char Char Char Char Char Char Char Char Char Char Char Char Char Char Char Char Char Char Char Char5"/>
    <w:basedOn w:val="a6"/>
    <w:qFormat/>
    <w:rPr>
      <w:szCs w:val="20"/>
    </w:rPr>
  </w:style>
  <w:style w:type="paragraph" w:customStyle="1" w:styleId="3H3h3subheadingh3zhenwen1113CharChar31">
    <w:name w:val="样式 标题 3条H3h3 sub headingh3zhenwen1.1.1标题 3 Char Char标题 3...1"/>
    <w:basedOn w:val="33"/>
    <w:qFormat/>
    <w:pPr>
      <w:tabs>
        <w:tab w:val="left" w:pos="720"/>
        <w:tab w:val="left" w:pos="1260"/>
      </w:tabs>
      <w:adjustRightInd w:val="0"/>
      <w:spacing w:line="360" w:lineRule="auto"/>
      <w:ind w:left="1260" w:hanging="420"/>
      <w:jc w:val="left"/>
    </w:pPr>
    <w:rPr>
      <w:rFonts w:eastAsia="宋体"/>
      <w:bCs/>
      <w:spacing w:val="0"/>
      <w:kern w:val="0"/>
      <w:szCs w:val="20"/>
    </w:rPr>
  </w:style>
  <w:style w:type="paragraph" w:customStyle="1" w:styleId="3ff7">
    <w:name w:val="样式 标题 3 + 黑体"/>
    <w:basedOn w:val="33"/>
    <w:qFormat/>
    <w:pPr>
      <w:keepNext w:val="0"/>
      <w:adjustRightInd w:val="0"/>
      <w:spacing w:beforeLines="50" w:afterLines="50" w:line="520" w:lineRule="exact"/>
    </w:pPr>
    <w:rPr>
      <w:rFonts w:hAnsi="黑体"/>
      <w:b/>
      <w:spacing w:val="0"/>
      <w:szCs w:val="32"/>
    </w:rPr>
  </w:style>
  <w:style w:type="paragraph" w:customStyle="1" w:styleId="153">
    <w:name w:val="样式 行距: 1.5 倍行距"/>
    <w:basedOn w:val="a6"/>
    <w:qFormat/>
    <w:pPr>
      <w:tabs>
        <w:tab w:val="left" w:pos="630"/>
      </w:tabs>
      <w:spacing w:line="360" w:lineRule="auto"/>
    </w:pPr>
    <w:rPr>
      <w:rFonts w:ascii="宋体" w:hAnsi="宋体"/>
      <w:color w:val="000000"/>
      <w:sz w:val="24"/>
      <w:szCs w:val="20"/>
    </w:rPr>
  </w:style>
  <w:style w:type="paragraph" w:customStyle="1" w:styleId="1ffffb">
    <w:name w:val="正文段1"/>
    <w:basedOn w:val="a6"/>
    <w:qFormat/>
    <w:pPr>
      <w:widowControl/>
      <w:autoSpaceDE w:val="0"/>
      <w:autoSpaceDN w:val="0"/>
      <w:adjustRightInd w:val="0"/>
      <w:spacing w:line="360" w:lineRule="auto"/>
      <w:ind w:firstLineChars="100" w:firstLine="240"/>
      <w:jc w:val="center"/>
    </w:pPr>
    <w:rPr>
      <w:rFonts w:ascii="宋体" w:hAnsi="宋体" w:cs="宋体"/>
      <w:kern w:val="0"/>
      <w:sz w:val="24"/>
      <w:lang w:val="zh-CN"/>
    </w:rPr>
  </w:style>
  <w:style w:type="paragraph" w:customStyle="1" w:styleId="affffffffffffffffffffffff6">
    <w:name w:val="样式 题注"/>
    <w:basedOn w:val="af1"/>
    <w:qFormat/>
    <w:pPr>
      <w:widowControl w:val="0"/>
      <w:ind w:firstLineChars="0" w:firstLine="0"/>
      <w:jc w:val="center"/>
    </w:pPr>
    <w:rPr>
      <w:rFonts w:ascii="Arial" w:eastAsia="黑体" w:hAnsi="Arial" w:cs="宋体"/>
      <w:b w:val="0"/>
      <w:color w:val="000000"/>
      <w:szCs w:val="20"/>
    </w:rPr>
  </w:style>
  <w:style w:type="paragraph" w:customStyle="1" w:styleId="reader-word-layerreader-word-s1-24">
    <w:name w:val="reader-word-layer reader-word-s1-24"/>
    <w:basedOn w:val="a6"/>
    <w:qFormat/>
    <w:pPr>
      <w:widowControl/>
      <w:spacing w:before="100" w:beforeAutospacing="1" w:after="100" w:afterAutospacing="1"/>
      <w:jc w:val="left"/>
    </w:pPr>
    <w:rPr>
      <w:rFonts w:ascii="宋体" w:hAnsi="宋体" w:cs="宋体"/>
      <w:kern w:val="0"/>
      <w:sz w:val="24"/>
    </w:rPr>
  </w:style>
  <w:style w:type="paragraph" w:customStyle="1" w:styleId="xl233">
    <w:name w:val="xl233"/>
    <w:basedOn w:val="a6"/>
    <w:qFormat/>
    <w:pPr>
      <w:widowControl/>
      <w:pBdr>
        <w:top w:val="single" w:sz="4" w:space="0" w:color="auto"/>
        <w:left w:val="single" w:sz="4" w:space="0" w:color="auto"/>
      </w:pBdr>
      <w:spacing w:before="100" w:beforeAutospacing="1" w:after="100" w:afterAutospacing="1"/>
      <w:jc w:val="center"/>
    </w:pPr>
    <w:rPr>
      <w:rFonts w:ascii="宋体" w:hAnsi="宋体" w:cs="宋体"/>
      <w:kern w:val="0"/>
      <w:sz w:val="18"/>
      <w:szCs w:val="18"/>
    </w:rPr>
  </w:style>
  <w:style w:type="paragraph" w:customStyle="1" w:styleId="4fc">
    <w:name w:val="样式 标题 4 + 小四 两端对齐"/>
    <w:basedOn w:val="41"/>
    <w:qFormat/>
    <w:pPr>
      <w:keepNext w:val="0"/>
      <w:widowControl/>
      <w:tabs>
        <w:tab w:val="left" w:pos="454"/>
      </w:tabs>
      <w:adjustRightInd/>
      <w:snapToGrid/>
      <w:spacing w:beforeLines="0" w:before="76" w:after="76" w:line="360" w:lineRule="auto"/>
      <w:ind w:left="454" w:hanging="454"/>
    </w:pPr>
    <w:rPr>
      <w:rFonts w:ascii="宋体" w:eastAsia="宋体"/>
      <w:bCs w:val="0"/>
      <w:kern w:val="0"/>
      <w:sz w:val="24"/>
    </w:rPr>
  </w:style>
  <w:style w:type="paragraph" w:customStyle="1" w:styleId="ParaAttribute50">
    <w:name w:val="ParaAttribute50"/>
    <w:qFormat/>
    <w:pPr>
      <w:widowControl w:val="0"/>
      <w:wordWrap w:val="0"/>
      <w:spacing w:line="154" w:lineRule="exact"/>
    </w:pPr>
  </w:style>
  <w:style w:type="paragraph" w:customStyle="1" w:styleId="xl1005">
    <w:name w:val="xl1005"/>
    <w:basedOn w:val="a6"/>
    <w:qFormat/>
    <w:pPr>
      <w:widowControl/>
      <w:pBdr>
        <w:top w:val="single" w:sz="4" w:space="0" w:color="auto"/>
        <w:left w:val="single" w:sz="4" w:space="0" w:color="auto"/>
        <w:bottom w:val="single" w:sz="8" w:space="0" w:color="auto"/>
        <w:right w:val="single" w:sz="8" w:space="0" w:color="auto"/>
      </w:pBdr>
      <w:shd w:val="clear" w:color="000000" w:fill="E26B0A"/>
      <w:spacing w:before="100" w:beforeAutospacing="1" w:after="100" w:afterAutospacing="1"/>
      <w:jc w:val="center"/>
    </w:pPr>
    <w:rPr>
      <w:rFonts w:ascii="Arial" w:hAnsi="Arial" w:cs="Arial"/>
      <w:kern w:val="0"/>
      <w:sz w:val="18"/>
      <w:szCs w:val="18"/>
    </w:rPr>
  </w:style>
  <w:style w:type="paragraph" w:customStyle="1" w:styleId="4fd">
    <w:name w:val="正文4"/>
    <w:qFormat/>
    <w:pPr>
      <w:widowControl w:val="0"/>
      <w:adjustRightInd w:val="0"/>
      <w:spacing w:line="360" w:lineRule="atLeast"/>
      <w:textAlignment w:val="baseline"/>
    </w:pPr>
    <w:rPr>
      <w:rFonts w:ascii="宋体"/>
      <w:sz w:val="34"/>
    </w:rPr>
  </w:style>
  <w:style w:type="paragraph" w:customStyle="1" w:styleId="affffffffffffffffffffffff7">
    <w:name w:val="正文段"/>
    <w:basedOn w:val="a6"/>
    <w:qFormat/>
    <w:pPr>
      <w:widowControl/>
      <w:autoSpaceDE w:val="0"/>
      <w:autoSpaceDN w:val="0"/>
      <w:adjustRightInd w:val="0"/>
      <w:spacing w:line="360" w:lineRule="auto"/>
      <w:ind w:firstLineChars="200" w:firstLine="480"/>
      <w:jc w:val="left"/>
    </w:pPr>
    <w:rPr>
      <w:rFonts w:ascii="Arial" w:hAnsi="Arial" w:cs="宋体"/>
      <w:bCs/>
      <w:kern w:val="0"/>
      <w:sz w:val="24"/>
    </w:rPr>
  </w:style>
  <w:style w:type="paragraph" w:customStyle="1" w:styleId="affffffffffffffffffffffff8">
    <w:name w:val="字元 字元 字元"/>
    <w:basedOn w:val="a6"/>
    <w:semiHidden/>
    <w:qFormat/>
    <w:pPr>
      <w:widowControl/>
      <w:spacing w:line="360" w:lineRule="auto"/>
      <w:ind w:firstLineChars="200" w:firstLine="200"/>
      <w:jc w:val="left"/>
    </w:pPr>
    <w:rPr>
      <w:rFonts w:ascii="宋体" w:hAnsi="宋体" w:cs="宋体"/>
      <w:kern w:val="0"/>
      <w:sz w:val="24"/>
    </w:rPr>
  </w:style>
  <w:style w:type="paragraph" w:customStyle="1" w:styleId="CharCharCharCharCharCharCharChar0">
    <w:name w:val="Char Char Char Char Char Char Char Char"/>
    <w:basedOn w:val="a6"/>
    <w:qFormat/>
    <w:pPr>
      <w:widowControl/>
      <w:spacing w:after="160" w:line="240" w:lineRule="exact"/>
      <w:jc w:val="left"/>
    </w:pPr>
    <w:rPr>
      <w:rFonts w:ascii="Verdana" w:hAnsi="Verdana"/>
      <w:kern w:val="0"/>
      <w:sz w:val="20"/>
      <w:szCs w:val="20"/>
      <w:lang w:eastAsia="en-US"/>
    </w:rPr>
  </w:style>
  <w:style w:type="paragraph" w:customStyle="1" w:styleId="affffffffffffffffffffffff9">
    <w:name w:val="水文气象报告正文"/>
    <w:basedOn w:val="a6"/>
    <w:qFormat/>
    <w:pPr>
      <w:widowControl/>
      <w:ind w:firstLineChars="200" w:firstLine="560"/>
      <w:jc w:val="left"/>
    </w:pPr>
    <w:rPr>
      <w:rFonts w:cs="宋体"/>
      <w:color w:val="000000"/>
      <w:kern w:val="0"/>
      <w:sz w:val="28"/>
      <w:szCs w:val="28"/>
    </w:rPr>
  </w:style>
  <w:style w:type="paragraph" w:customStyle="1" w:styleId="xl183">
    <w:name w:val="xl183"/>
    <w:basedOn w:val="a6"/>
    <w:qFormat/>
    <w:pPr>
      <w:widowControl/>
      <w:pBdr>
        <w:top w:val="single" w:sz="4" w:space="0" w:color="auto"/>
        <w:bottom w:val="double" w:sz="6" w:space="0" w:color="auto"/>
        <w:right w:val="single" w:sz="4" w:space="0" w:color="auto"/>
      </w:pBdr>
      <w:spacing w:before="100" w:beforeAutospacing="1" w:after="100" w:afterAutospacing="1" w:line="360" w:lineRule="auto"/>
      <w:jc w:val="center"/>
      <w:textAlignment w:val="center"/>
    </w:pPr>
    <w:rPr>
      <w:rFonts w:eastAsia="Arial Unicode MS" w:cs="宋体"/>
      <w:kern w:val="0"/>
      <w:sz w:val="20"/>
      <w:szCs w:val="20"/>
    </w:rPr>
  </w:style>
  <w:style w:type="paragraph" w:customStyle="1" w:styleId="xl34">
    <w:name w:val="xl34"/>
    <w:basedOn w:val="a6"/>
    <w:qFormat/>
    <w:pPr>
      <w:widowControl/>
      <w:pBdr>
        <w:top w:val="single" w:sz="4" w:space="0" w:color="auto"/>
        <w:left w:val="single" w:sz="4" w:space="0" w:color="auto"/>
        <w:bottom w:val="single" w:sz="4" w:space="0" w:color="auto"/>
      </w:pBdr>
      <w:spacing w:before="100" w:after="100"/>
      <w:jc w:val="center"/>
      <w:textAlignment w:val="center"/>
    </w:pPr>
    <w:rPr>
      <w:kern w:val="0"/>
      <w:szCs w:val="20"/>
    </w:rPr>
  </w:style>
  <w:style w:type="paragraph" w:customStyle="1" w:styleId="xl246">
    <w:name w:val="xl246"/>
    <w:basedOn w:val="a6"/>
    <w:qFormat/>
    <w:pPr>
      <w:widowControl/>
      <w:pBdr>
        <w:top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ffffffffffffffffffffffffa">
    <w:name w:val="正文并立"/>
    <w:basedOn w:val="a6"/>
    <w:qFormat/>
    <w:pPr>
      <w:widowControl/>
      <w:adjustRightInd w:val="0"/>
      <w:spacing w:line="408" w:lineRule="atLeast"/>
      <w:ind w:firstLine="601"/>
      <w:jc w:val="left"/>
      <w:textAlignment w:val="baseline"/>
    </w:pPr>
    <w:rPr>
      <w:rFonts w:cs="宋体"/>
      <w:kern w:val="0"/>
      <w:sz w:val="28"/>
      <w:szCs w:val="20"/>
    </w:rPr>
  </w:style>
  <w:style w:type="paragraph" w:customStyle="1" w:styleId="133">
    <w:name w:val="13"/>
    <w:basedOn w:val="a6"/>
    <w:next w:val="aff5"/>
    <w:qFormat/>
    <w:pPr>
      <w:spacing w:line="360" w:lineRule="auto"/>
      <w:ind w:firstLine="420"/>
      <w:jc w:val="center"/>
    </w:pPr>
    <w:rPr>
      <w:rFonts w:ascii="黑体" w:eastAsia="黑体" w:hAnsi="Arial"/>
      <w:color w:val="000000"/>
      <w:kern w:val="28"/>
      <w:szCs w:val="28"/>
    </w:rPr>
  </w:style>
  <w:style w:type="paragraph" w:customStyle="1" w:styleId="xl1053">
    <w:name w:val="xl1053"/>
    <w:basedOn w:val="a6"/>
    <w:qFormat/>
    <w:pPr>
      <w:widowControl/>
      <w:pBdr>
        <w:top w:val="single" w:sz="4" w:space="0" w:color="auto"/>
        <w:left w:val="single" w:sz="4" w:space="0" w:color="auto"/>
        <w:right w:val="single" w:sz="4" w:space="0" w:color="auto"/>
      </w:pBdr>
      <w:shd w:val="clear" w:color="000000" w:fill="0070C0"/>
      <w:spacing w:before="100" w:beforeAutospacing="1" w:after="100" w:afterAutospacing="1"/>
      <w:jc w:val="center"/>
    </w:pPr>
    <w:rPr>
      <w:rFonts w:ascii="Arial" w:hAnsi="Arial" w:cs="Arial"/>
      <w:kern w:val="0"/>
      <w:sz w:val="18"/>
      <w:szCs w:val="18"/>
    </w:rPr>
  </w:style>
  <w:style w:type="paragraph" w:customStyle="1" w:styleId="CharCharCharCharCharCharCharCharCharCharCharCharCharCharCharCharCharCharChar2">
    <w:name w:val="Char Char Char Char Char Char Char Char Char Char Char Char Char Char Char Char Char Char Char2"/>
    <w:basedOn w:val="a6"/>
    <w:qFormat/>
    <w:rPr>
      <w:szCs w:val="20"/>
    </w:rPr>
  </w:style>
  <w:style w:type="paragraph" w:customStyle="1" w:styleId="xl231">
    <w:name w:val="xl231"/>
    <w:basedOn w:val="a6"/>
    <w:qFormat/>
    <w:pPr>
      <w:widowControl/>
      <w:pBdr>
        <w:left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80">
    <w:name w:val="xl180"/>
    <w:basedOn w:val="a6"/>
    <w:qFormat/>
    <w:pPr>
      <w:widowControl/>
      <w:pBdr>
        <w:top w:val="single" w:sz="4" w:space="0" w:color="auto"/>
        <w:left w:val="single" w:sz="4" w:space="0" w:color="auto"/>
        <w:bottom w:val="double" w:sz="6" w:space="0" w:color="auto"/>
        <w:right w:val="single" w:sz="4" w:space="0" w:color="auto"/>
      </w:pBdr>
      <w:spacing w:before="100" w:beforeAutospacing="1" w:after="100" w:afterAutospacing="1" w:line="360" w:lineRule="auto"/>
      <w:jc w:val="center"/>
      <w:textAlignment w:val="center"/>
    </w:pPr>
    <w:rPr>
      <w:rFonts w:eastAsia="Arial Unicode MS" w:cs="宋体"/>
      <w:color w:val="000000"/>
      <w:kern w:val="0"/>
      <w:sz w:val="20"/>
      <w:szCs w:val="20"/>
    </w:rPr>
  </w:style>
  <w:style w:type="paragraph" w:customStyle="1" w:styleId="affffffffffffffffffffffffb">
    <w:name w:val="正文+字体"/>
    <w:basedOn w:val="a6"/>
    <w:next w:val="a6"/>
    <w:qFormat/>
    <w:pPr>
      <w:spacing w:line="360" w:lineRule="auto"/>
      <w:ind w:firstLineChars="200" w:firstLine="200"/>
    </w:pPr>
  </w:style>
  <w:style w:type="paragraph" w:customStyle="1" w:styleId="affffffffffffffffffffffffc">
    <w:name w:val="流程文字"/>
    <w:basedOn w:val="a6"/>
    <w:qFormat/>
    <w:pPr>
      <w:tabs>
        <w:tab w:val="left" w:pos="6480"/>
      </w:tabs>
      <w:topLinePunct/>
      <w:adjustRightInd w:val="0"/>
      <w:snapToGrid w:val="0"/>
      <w:spacing w:line="360" w:lineRule="atLeast"/>
      <w:jc w:val="center"/>
      <w:textAlignment w:val="baseline"/>
    </w:pPr>
    <w:rPr>
      <w:rFonts w:eastAsia="仿宋_GB2312"/>
      <w:szCs w:val="20"/>
    </w:rPr>
  </w:style>
  <w:style w:type="paragraph" w:customStyle="1" w:styleId="3ff8">
    <w:name w:val="样式 标题 3 + 宋体"/>
    <w:basedOn w:val="33"/>
    <w:qFormat/>
    <w:pPr>
      <w:keepNext w:val="0"/>
      <w:adjustRightInd w:val="0"/>
      <w:spacing w:beforeLines="50" w:afterLines="50" w:line="360" w:lineRule="auto"/>
    </w:pPr>
    <w:rPr>
      <w:rFonts w:hAnsi="黑体"/>
      <w:bCs/>
      <w:color w:val="000000"/>
      <w:spacing w:val="0"/>
      <w:szCs w:val="24"/>
    </w:rPr>
  </w:style>
  <w:style w:type="paragraph" w:customStyle="1" w:styleId="227">
    <w:name w:val="样式 正文缩进正文（首行缩进两字）正文2 + 首行缩进:  2 字符"/>
    <w:basedOn w:val="af0"/>
    <w:qFormat/>
    <w:pPr>
      <w:adjustRightInd/>
      <w:spacing w:line="500" w:lineRule="exact"/>
      <w:ind w:firstLineChars="200" w:firstLine="200"/>
      <w:jc w:val="both"/>
      <w:textAlignment w:val="auto"/>
    </w:pPr>
    <w:rPr>
      <w:rFonts w:ascii="Times New Roman" w:hAnsi="Times New Roman" w:cs="宋体"/>
      <w:kern w:val="2"/>
      <w:szCs w:val="20"/>
    </w:rPr>
  </w:style>
  <w:style w:type="paragraph" w:customStyle="1" w:styleId="1111-">
    <w:name w:val="1.1.1.1-"/>
    <w:qFormat/>
    <w:pPr>
      <w:numPr>
        <w:ilvl w:val="3"/>
      </w:numPr>
      <w:outlineLvl w:val="3"/>
    </w:pPr>
  </w:style>
  <w:style w:type="paragraph" w:customStyle="1" w:styleId="111-">
    <w:name w:val="1.1.1-"/>
    <w:qFormat/>
    <w:pPr>
      <w:numPr>
        <w:ilvl w:val="2"/>
      </w:numPr>
      <w:outlineLvl w:val="2"/>
    </w:pPr>
  </w:style>
  <w:style w:type="paragraph" w:customStyle="1" w:styleId="11-">
    <w:name w:val="1.1-"/>
    <w:basedOn w:val="a6"/>
    <w:qFormat/>
    <w:pPr>
      <w:widowControl/>
      <w:numPr>
        <w:ilvl w:val="1"/>
        <w:numId w:val="22"/>
      </w:numPr>
      <w:spacing w:beforeLines="50" w:afterLines="50" w:line="360" w:lineRule="auto"/>
      <w:ind w:firstLine="0"/>
      <w:jc w:val="left"/>
      <w:outlineLvl w:val="1"/>
    </w:pPr>
    <w:rPr>
      <w:rFonts w:ascii="Arial" w:hAnsi="Arial" w:cs="Arial"/>
      <w:kern w:val="0"/>
      <w:sz w:val="24"/>
    </w:rPr>
  </w:style>
  <w:style w:type="paragraph" w:customStyle="1" w:styleId="CharCharCharCharCharCharCharCharCharCharCharCharCharCharCharCharCharCharCharCharCharCharCharCharCharChar2">
    <w:name w:val="Char Char Char Char Char Char Char Char Char Char Char Char Char Char Char Char Char Char Char Char Char Char Char Char Char Char2"/>
    <w:basedOn w:val="a6"/>
    <w:qFormat/>
  </w:style>
  <w:style w:type="paragraph" w:customStyle="1" w:styleId="xl993">
    <w:name w:val="xl993"/>
    <w:basedOn w:val="a6"/>
    <w:qFormat/>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kern w:val="0"/>
      <w:sz w:val="20"/>
      <w:szCs w:val="20"/>
    </w:rPr>
  </w:style>
  <w:style w:type="paragraph" w:customStyle="1" w:styleId="xl105">
    <w:name w:val="xl105"/>
    <w:basedOn w:val="a6"/>
    <w:qFormat/>
    <w:pPr>
      <w:widowControl/>
      <w:pBdr>
        <w:top w:val="single" w:sz="4" w:space="0" w:color="auto"/>
        <w:left w:val="single" w:sz="4" w:space="0" w:color="auto"/>
        <w:bottom w:val="single" w:sz="4" w:space="0" w:color="auto"/>
      </w:pBdr>
      <w:shd w:val="clear" w:color="000000" w:fill="FFFF99"/>
      <w:spacing w:before="100" w:beforeAutospacing="1" w:after="100" w:afterAutospacing="1"/>
      <w:jc w:val="left"/>
      <w:textAlignment w:val="center"/>
    </w:pPr>
    <w:rPr>
      <w:rFonts w:ascii="宋体" w:hAnsi="宋体" w:cs="宋体"/>
      <w:kern w:val="0"/>
      <w:sz w:val="20"/>
      <w:szCs w:val="20"/>
    </w:rPr>
  </w:style>
  <w:style w:type="paragraph" w:customStyle="1" w:styleId="CM65">
    <w:name w:val="CM65"/>
    <w:basedOn w:val="Default"/>
    <w:next w:val="Default"/>
    <w:qFormat/>
    <w:pPr>
      <w:spacing w:line="626" w:lineRule="atLeast"/>
    </w:pPr>
    <w:rPr>
      <w:rFonts w:ascii="黑体" w:eastAsia="黑体"/>
      <w:color w:val="auto"/>
    </w:rPr>
  </w:style>
  <w:style w:type="paragraph" w:customStyle="1" w:styleId="xl256">
    <w:name w:val="xl256"/>
    <w:basedOn w:val="a6"/>
    <w:qFormat/>
    <w:pPr>
      <w:widowControl/>
      <w:pBdr>
        <w:left w:val="single" w:sz="4" w:space="0" w:color="auto"/>
      </w:pBdr>
      <w:spacing w:before="100" w:beforeAutospacing="1" w:after="100" w:afterAutospacing="1"/>
      <w:jc w:val="center"/>
    </w:pPr>
    <w:rPr>
      <w:rFonts w:ascii="宋体" w:hAnsi="宋体" w:cs="宋体"/>
      <w:kern w:val="0"/>
      <w:sz w:val="20"/>
      <w:szCs w:val="20"/>
    </w:rPr>
  </w:style>
  <w:style w:type="paragraph" w:customStyle="1" w:styleId="xl174">
    <w:name w:val="xl174"/>
    <w:basedOn w:val="a6"/>
    <w:qFormat/>
    <w:pPr>
      <w:widowControl/>
      <w:pBdr>
        <w:right w:val="single" w:sz="4" w:space="0" w:color="auto"/>
      </w:pBdr>
      <w:spacing w:before="100" w:beforeAutospacing="1" w:after="100" w:afterAutospacing="1" w:line="360" w:lineRule="auto"/>
      <w:jc w:val="center"/>
      <w:textAlignment w:val="center"/>
    </w:pPr>
    <w:rPr>
      <w:rFonts w:ascii="Arial Unicode MS" w:eastAsia="Arial Unicode MS" w:hAnsi="Arial Unicode MS" w:cs="Arial Unicode MS"/>
      <w:color w:val="000000"/>
      <w:kern w:val="0"/>
      <w:sz w:val="20"/>
      <w:szCs w:val="20"/>
    </w:rPr>
  </w:style>
  <w:style w:type="paragraph" w:customStyle="1" w:styleId="CharCharChar1CharCharChar">
    <w:name w:val="Char Char Char1 Char Char Char"/>
    <w:basedOn w:val="a6"/>
    <w:qFormat/>
  </w:style>
  <w:style w:type="paragraph" w:customStyle="1" w:styleId="xl228">
    <w:name w:val="xl228"/>
    <w:basedOn w:val="a6"/>
    <w:qFormat/>
    <w:pPr>
      <w:widowControl/>
      <w:pBdr>
        <w:top w:val="single" w:sz="4" w:space="0" w:color="auto"/>
        <w:bottom w:val="single" w:sz="8" w:space="0" w:color="auto"/>
      </w:pBdr>
      <w:shd w:val="clear" w:color="auto" w:fill="FFFF00"/>
      <w:spacing w:before="100" w:beforeAutospacing="1" w:after="100" w:afterAutospacing="1"/>
      <w:jc w:val="center"/>
      <w:textAlignment w:val="center"/>
    </w:pPr>
    <w:rPr>
      <w:rFonts w:cs="宋体"/>
      <w:kern w:val="0"/>
      <w:sz w:val="20"/>
      <w:szCs w:val="20"/>
    </w:rPr>
  </w:style>
  <w:style w:type="paragraph" w:customStyle="1" w:styleId="xl176">
    <w:name w:val="xl176"/>
    <w:basedOn w:val="a6"/>
    <w:qFormat/>
    <w:pPr>
      <w:widowControl/>
      <w:pBdr>
        <w:top w:val="single" w:sz="4" w:space="0" w:color="auto"/>
        <w:left w:val="single" w:sz="4" w:space="0" w:color="auto"/>
        <w:right w:val="single" w:sz="4" w:space="0" w:color="auto"/>
      </w:pBdr>
      <w:spacing w:before="100" w:beforeAutospacing="1" w:after="100" w:afterAutospacing="1" w:line="360" w:lineRule="auto"/>
      <w:jc w:val="center"/>
      <w:textAlignment w:val="center"/>
    </w:pPr>
    <w:rPr>
      <w:rFonts w:ascii="Arial Unicode MS" w:eastAsia="Arial Unicode MS" w:hAnsi="Arial Unicode MS" w:cs="Arial Unicode MS"/>
      <w:color w:val="000000"/>
      <w:kern w:val="0"/>
      <w:sz w:val="24"/>
      <w:szCs w:val="21"/>
    </w:rPr>
  </w:style>
  <w:style w:type="paragraph" w:customStyle="1" w:styleId="xl45">
    <w:name w:val="xl45"/>
    <w:basedOn w:val="a6"/>
    <w:qFormat/>
    <w:pPr>
      <w:widowControl/>
      <w:pBdr>
        <w:left w:val="single" w:sz="4" w:space="0" w:color="auto"/>
        <w:bottom w:val="single" w:sz="4" w:space="0" w:color="auto"/>
        <w:right w:val="single" w:sz="4" w:space="0" w:color="auto"/>
      </w:pBdr>
      <w:spacing w:before="100" w:after="100"/>
      <w:jc w:val="center"/>
      <w:textAlignment w:val="center"/>
    </w:pPr>
    <w:rPr>
      <w:rFonts w:ascii="宋体" w:hAnsi="宋体"/>
      <w:kern w:val="0"/>
      <w:szCs w:val="20"/>
    </w:rPr>
  </w:style>
  <w:style w:type="paragraph" w:customStyle="1" w:styleId="xl936">
    <w:name w:val="xl93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kern w:val="0"/>
      <w:sz w:val="18"/>
      <w:szCs w:val="18"/>
    </w:rPr>
  </w:style>
  <w:style w:type="paragraph" w:customStyle="1" w:styleId="xl947">
    <w:name w:val="xl94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kern w:val="0"/>
      <w:sz w:val="18"/>
      <w:szCs w:val="18"/>
    </w:rPr>
  </w:style>
  <w:style w:type="paragraph" w:customStyle="1" w:styleId="590">
    <w:name w:val="表内59"/>
    <w:basedOn w:val="a6"/>
    <w:qFormat/>
    <w:pPr>
      <w:adjustRightInd w:val="0"/>
      <w:snapToGrid w:val="0"/>
      <w:spacing w:line="300" w:lineRule="auto"/>
      <w:jc w:val="center"/>
    </w:pPr>
    <w:rPr>
      <w:rFonts w:ascii="宋体"/>
      <w:snapToGrid w:val="0"/>
      <w:kern w:val="0"/>
      <w:sz w:val="24"/>
      <w:szCs w:val="20"/>
    </w:rPr>
  </w:style>
  <w:style w:type="paragraph" w:customStyle="1" w:styleId="xl226">
    <w:name w:val="xl226"/>
    <w:basedOn w:val="a6"/>
    <w:qFormat/>
    <w:pPr>
      <w:widowControl/>
      <w:pBdr>
        <w:top w:val="single" w:sz="8" w:space="0" w:color="auto"/>
        <w:bottom w:val="single" w:sz="4" w:space="0" w:color="auto"/>
        <w:right w:val="single" w:sz="4" w:space="0" w:color="auto"/>
      </w:pBdr>
      <w:spacing w:before="100" w:beforeAutospacing="1" w:after="100" w:afterAutospacing="1"/>
      <w:jc w:val="center"/>
      <w:textAlignment w:val="center"/>
    </w:pPr>
    <w:rPr>
      <w:rFonts w:cs="宋体"/>
      <w:kern w:val="0"/>
      <w:sz w:val="20"/>
      <w:szCs w:val="20"/>
    </w:rPr>
  </w:style>
  <w:style w:type="paragraph" w:customStyle="1" w:styleId="xl172">
    <w:name w:val="xl172"/>
    <w:basedOn w:val="a6"/>
    <w:qFormat/>
    <w:pPr>
      <w:widowControl/>
      <w:pBdr>
        <w:top w:val="double" w:sz="6"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Unicode MS" w:eastAsia="Arial Unicode MS" w:hAnsi="Arial Unicode MS" w:cs="Arial Unicode MS"/>
      <w:color w:val="000000"/>
      <w:kern w:val="0"/>
      <w:sz w:val="24"/>
      <w:szCs w:val="21"/>
    </w:rPr>
  </w:style>
  <w:style w:type="paragraph" w:customStyle="1" w:styleId="CharCharChar120">
    <w:name w:val="Char Char Char12"/>
    <w:basedOn w:val="a6"/>
    <w:qFormat/>
  </w:style>
  <w:style w:type="paragraph" w:customStyle="1" w:styleId="xl236">
    <w:name w:val="xl236"/>
    <w:basedOn w:val="a6"/>
    <w:qFormat/>
    <w:pPr>
      <w:widowControl/>
      <w:pBdr>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168">
    <w:name w:val="xl168"/>
    <w:basedOn w:val="a6"/>
    <w:qFormat/>
    <w:pPr>
      <w:widowControl/>
      <w:pBdr>
        <w:top w:val="double" w:sz="6" w:space="0" w:color="auto"/>
        <w:left w:val="single" w:sz="4" w:space="0" w:color="auto"/>
      </w:pBdr>
      <w:spacing w:before="100" w:beforeAutospacing="1" w:after="100" w:afterAutospacing="1" w:line="360" w:lineRule="auto"/>
      <w:jc w:val="left"/>
      <w:textAlignment w:val="center"/>
    </w:pPr>
    <w:rPr>
      <w:rFonts w:ascii="Arial Unicode MS" w:eastAsia="Arial Unicode MS" w:hAnsi="Arial Unicode MS" w:cs="Arial Unicode MS"/>
      <w:color w:val="000000"/>
      <w:kern w:val="0"/>
      <w:sz w:val="20"/>
      <w:szCs w:val="20"/>
    </w:rPr>
  </w:style>
  <w:style w:type="paragraph" w:customStyle="1" w:styleId="affffffffffffffffffffffffd">
    <w:name w:val="目次"/>
    <w:qFormat/>
    <w:pPr>
      <w:spacing w:beforeLines="200" w:afterLines="100" w:line="440" w:lineRule="exact"/>
      <w:ind w:hanging="1619"/>
      <w:jc w:val="center"/>
    </w:pPr>
    <w:rPr>
      <w:rFonts w:ascii="黑体" w:eastAsia="黑体"/>
      <w:sz w:val="24"/>
    </w:rPr>
  </w:style>
  <w:style w:type="paragraph" w:customStyle="1" w:styleId="154">
    <w:name w:val="样式 宋体 四号 行距: 1.5 倍行距"/>
    <w:basedOn w:val="a6"/>
    <w:qFormat/>
    <w:pPr>
      <w:spacing w:line="360" w:lineRule="auto"/>
      <w:ind w:right="-169" w:firstLine="482"/>
    </w:pPr>
    <w:rPr>
      <w:rFonts w:ascii="宋体"/>
      <w:b/>
      <w:sz w:val="24"/>
      <w:szCs w:val="20"/>
    </w:rPr>
  </w:style>
  <w:style w:type="paragraph" w:customStyle="1" w:styleId="xl205">
    <w:name w:val="xl205"/>
    <w:basedOn w:val="a6"/>
    <w:qFormat/>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cs="宋体"/>
      <w:color w:val="000000"/>
      <w:kern w:val="0"/>
      <w:sz w:val="24"/>
    </w:rPr>
  </w:style>
  <w:style w:type="paragraph" w:customStyle="1" w:styleId="xl164">
    <w:name w:val="xl164"/>
    <w:basedOn w:val="a6"/>
    <w:qFormat/>
    <w:pPr>
      <w:widowControl/>
      <w:pBdr>
        <w:top w:val="double" w:sz="6"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eastAsia="Arial Unicode MS" w:cs="宋体"/>
      <w:color w:val="000000"/>
      <w:kern w:val="0"/>
      <w:sz w:val="20"/>
      <w:szCs w:val="20"/>
    </w:rPr>
  </w:style>
  <w:style w:type="paragraph" w:customStyle="1" w:styleId="CM18">
    <w:name w:val="CM18"/>
    <w:basedOn w:val="Default"/>
    <w:next w:val="Default"/>
    <w:qFormat/>
    <w:pPr>
      <w:spacing w:line="546" w:lineRule="atLeast"/>
    </w:pPr>
    <w:rPr>
      <w:rFonts w:ascii="黑体" w:eastAsia="黑体" w:cs="黑体"/>
    </w:rPr>
  </w:style>
  <w:style w:type="paragraph" w:customStyle="1" w:styleId="2ffff2">
    <w:name w:val="表标题2"/>
    <w:basedOn w:val="a6"/>
    <w:qFormat/>
    <w:pPr>
      <w:tabs>
        <w:tab w:val="left" w:pos="0"/>
      </w:tabs>
      <w:autoSpaceDE w:val="0"/>
      <w:autoSpaceDN w:val="0"/>
      <w:adjustRightInd w:val="0"/>
      <w:spacing w:beforeLines="50" w:afterLines="50" w:line="300" w:lineRule="exact"/>
      <w:jc w:val="center"/>
      <w:textAlignment w:val="baseline"/>
    </w:pPr>
    <w:rPr>
      <w:rFonts w:ascii="黑体" w:eastAsia="黑体"/>
      <w:kern w:val="0"/>
      <w:sz w:val="24"/>
      <w:szCs w:val="20"/>
    </w:rPr>
  </w:style>
  <w:style w:type="paragraph" w:customStyle="1" w:styleId="1231">
    <w:name w:val="表格123"/>
    <w:qFormat/>
    <w:pPr>
      <w:jc w:val="center"/>
    </w:pPr>
    <w:rPr>
      <w:kern w:val="2"/>
      <w:sz w:val="21"/>
      <w:szCs w:val="21"/>
    </w:rPr>
  </w:style>
  <w:style w:type="paragraph" w:customStyle="1" w:styleId="1ffffc">
    <w:name w:val="（1）"/>
    <w:basedOn w:val="777777777CharChar"/>
    <w:qFormat/>
  </w:style>
  <w:style w:type="paragraph" w:customStyle="1" w:styleId="2ffff3">
    <w:name w:val="2级"/>
    <w:basedOn w:val="22"/>
    <w:qFormat/>
    <w:pPr>
      <w:spacing w:line="348" w:lineRule="auto"/>
    </w:pPr>
    <w:rPr>
      <w:rFonts w:ascii="黑体" w:hAnsi="黑体" w:cs="宋体"/>
      <w:color w:val="FF0000"/>
      <w:spacing w:val="0"/>
      <w:w w:val="100"/>
      <w:kern w:val="2"/>
      <w:szCs w:val="20"/>
    </w:rPr>
  </w:style>
  <w:style w:type="paragraph" w:customStyle="1" w:styleId="xl946">
    <w:name w:val="xl94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8"/>
      <w:szCs w:val="18"/>
    </w:rPr>
  </w:style>
  <w:style w:type="paragraph" w:customStyle="1" w:styleId="xl1022">
    <w:name w:val="xl102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203">
    <w:name w:val="xl203"/>
    <w:basedOn w:val="a6"/>
    <w:qFormat/>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4"/>
    </w:rPr>
  </w:style>
  <w:style w:type="paragraph" w:customStyle="1" w:styleId="xl160">
    <w:name w:val="xl160"/>
    <w:basedOn w:val="a6"/>
    <w:qFormat/>
    <w:pPr>
      <w:widowControl/>
      <w:pBdr>
        <w:bottom w:val="double" w:sz="6" w:space="0" w:color="auto"/>
        <w:right w:val="single" w:sz="4" w:space="0" w:color="auto"/>
      </w:pBdr>
      <w:spacing w:before="100" w:beforeAutospacing="1" w:after="100" w:afterAutospacing="1" w:line="360" w:lineRule="auto"/>
      <w:jc w:val="center"/>
      <w:textAlignment w:val="center"/>
    </w:pPr>
    <w:rPr>
      <w:rFonts w:eastAsia="Arial Unicode MS" w:cs="宋体"/>
      <w:color w:val="000000"/>
      <w:kern w:val="0"/>
      <w:sz w:val="20"/>
      <w:szCs w:val="20"/>
    </w:rPr>
  </w:style>
  <w:style w:type="paragraph" w:customStyle="1" w:styleId="CharCharCharCharCharCharCharCharCharCharCharCharCharCharCharCharCharCharCharCharCharCharCharChar5">
    <w:name w:val="Char Char Char Char Char Char Char Char Char Char Char Char Char Char Char Char Char Char Char Char Char Char Char Char5"/>
    <w:basedOn w:val="a6"/>
    <w:qFormat/>
    <w:pPr>
      <w:widowControl/>
      <w:spacing w:line="360" w:lineRule="auto"/>
      <w:jc w:val="left"/>
    </w:pPr>
    <w:rPr>
      <w:szCs w:val="21"/>
    </w:rPr>
  </w:style>
  <w:style w:type="paragraph" w:customStyle="1" w:styleId="xl1056">
    <w:name w:val="xl1056"/>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Arial" w:hAnsi="Arial" w:cs="Arial"/>
      <w:kern w:val="0"/>
      <w:sz w:val="18"/>
      <w:szCs w:val="18"/>
    </w:rPr>
  </w:style>
  <w:style w:type="paragraph" w:customStyle="1" w:styleId="font12">
    <w:name w:val="font12"/>
    <w:basedOn w:val="a6"/>
    <w:qFormat/>
    <w:pPr>
      <w:widowControl/>
      <w:spacing w:before="100" w:beforeAutospacing="1" w:after="100" w:afterAutospacing="1"/>
      <w:jc w:val="left"/>
    </w:pPr>
    <w:rPr>
      <w:rFonts w:ascii="宋体" w:hAnsi="宋体" w:cs="Arial Unicode MS" w:hint="eastAsia"/>
      <w:color w:val="000000"/>
      <w:kern w:val="0"/>
      <w:sz w:val="24"/>
    </w:rPr>
  </w:style>
  <w:style w:type="paragraph" w:customStyle="1" w:styleId="xl147">
    <w:name w:val="xl147"/>
    <w:basedOn w:val="a6"/>
    <w:qFormat/>
    <w:pPr>
      <w:widowControl/>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eastAsia="Arial Unicode MS" w:cs="宋体"/>
      <w:color w:val="000000"/>
      <w:kern w:val="0"/>
      <w:sz w:val="20"/>
      <w:szCs w:val="20"/>
    </w:rPr>
  </w:style>
  <w:style w:type="paragraph" w:customStyle="1" w:styleId="affffffffffffffffffffffffe">
    <w:name w:val="表字"/>
    <w:basedOn w:val="a6"/>
    <w:qFormat/>
    <w:pPr>
      <w:jc w:val="center"/>
    </w:pPr>
    <w:rPr>
      <w:rFonts w:ascii="宋体"/>
      <w:kern w:val="0"/>
      <w:sz w:val="24"/>
      <w:szCs w:val="20"/>
    </w:rPr>
  </w:style>
  <w:style w:type="paragraph" w:customStyle="1" w:styleId="2ffff4">
    <w:name w:val="新标题2"/>
    <w:basedOn w:val="1fff8"/>
    <w:qFormat/>
    <w:pPr>
      <w:spacing w:line="320" w:lineRule="exact"/>
    </w:pPr>
    <w:rPr>
      <w:rFonts w:ascii="宋体" w:hAnsi="宋体"/>
      <w:bCs w:val="0"/>
      <w:sz w:val="32"/>
      <w:u w:val="none"/>
    </w:rPr>
  </w:style>
  <w:style w:type="paragraph" w:customStyle="1" w:styleId="xl157">
    <w:name w:val="xl15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eastAsia="Arial Unicode MS" w:cs="宋体"/>
      <w:color w:val="000000"/>
      <w:kern w:val="0"/>
      <w:sz w:val="20"/>
      <w:szCs w:val="20"/>
    </w:rPr>
  </w:style>
  <w:style w:type="paragraph" w:customStyle="1" w:styleId="xl201">
    <w:name w:val="xl201"/>
    <w:basedOn w:val="a6"/>
    <w:qFormat/>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宋体" w:hAnsi="宋体" w:cs="宋体"/>
      <w:color w:val="000000"/>
      <w:kern w:val="0"/>
      <w:sz w:val="24"/>
    </w:rPr>
  </w:style>
  <w:style w:type="paragraph" w:customStyle="1" w:styleId="xl156">
    <w:name w:val="xl156"/>
    <w:basedOn w:val="a6"/>
    <w:qFormat/>
    <w:pPr>
      <w:widowControl/>
      <w:pBdr>
        <w:top w:val="double" w:sz="6"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eastAsia="Arial Unicode MS" w:cs="宋体"/>
      <w:color w:val="000000"/>
      <w:kern w:val="0"/>
      <w:sz w:val="20"/>
      <w:szCs w:val="20"/>
    </w:rPr>
  </w:style>
  <w:style w:type="paragraph" w:customStyle="1" w:styleId="afffffffffffffffffffffffff">
    <w:name w:val="自制表格"/>
    <w:basedOn w:val="a6"/>
    <w:next w:val="a6"/>
    <w:qFormat/>
    <w:pPr>
      <w:spacing w:after="120"/>
    </w:pPr>
    <w:rPr>
      <w:rFonts w:ascii="宋体"/>
      <w:kern w:val="10"/>
      <w:sz w:val="28"/>
      <w:szCs w:val="20"/>
    </w:rPr>
  </w:style>
  <w:style w:type="paragraph" w:customStyle="1" w:styleId="xl122">
    <w:name w:val="xl122"/>
    <w:basedOn w:val="a6"/>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CharCharCharCharCharCharCharCharCharCharChar1CharCharCharCharCharCharChar2">
    <w:name w:val="Char Char Char Char Char Char Char Char Char Char Char1 Char Char Char Char Char Char Char2"/>
    <w:basedOn w:val="a6"/>
    <w:qFormat/>
  </w:style>
  <w:style w:type="paragraph" w:customStyle="1" w:styleId="xl1060">
    <w:name w:val="xl1060"/>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Arial" w:hAnsi="Arial" w:cs="Arial"/>
      <w:kern w:val="0"/>
      <w:sz w:val="20"/>
      <w:szCs w:val="20"/>
    </w:rPr>
  </w:style>
  <w:style w:type="paragraph" w:customStyle="1" w:styleId="2ffff5">
    <w:name w:val="样式 小三 加粗 首行缩进:  2 字符"/>
    <w:basedOn w:val="a6"/>
    <w:qFormat/>
    <w:pPr>
      <w:adjustRightInd w:val="0"/>
      <w:snapToGrid w:val="0"/>
      <w:spacing w:line="396" w:lineRule="auto"/>
      <w:ind w:firstLineChars="200" w:firstLine="480"/>
    </w:pPr>
    <w:rPr>
      <w:bCs/>
      <w:color w:val="000000"/>
      <w:sz w:val="24"/>
    </w:rPr>
  </w:style>
  <w:style w:type="paragraph" w:customStyle="1" w:styleId="CharCharChar1CharCharCharChar2">
    <w:name w:val="Char Char Char1 Char Char Char Char2"/>
    <w:basedOn w:val="a6"/>
    <w:qFormat/>
  </w:style>
  <w:style w:type="paragraph" w:customStyle="1" w:styleId="afffffffffffffffffffffffff0">
    <w:name w:val="表格 左"/>
    <w:basedOn w:val="a6"/>
    <w:qFormat/>
    <w:pPr>
      <w:widowControl/>
      <w:snapToGrid w:val="0"/>
      <w:spacing w:line="300" w:lineRule="auto"/>
      <w:jc w:val="left"/>
    </w:pPr>
    <w:rPr>
      <w:color w:val="000000"/>
      <w:kern w:val="0"/>
      <w:sz w:val="24"/>
    </w:rPr>
  </w:style>
  <w:style w:type="paragraph" w:customStyle="1" w:styleId="xl977">
    <w:name w:val="xl97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1ffffd">
    <w:name w:val="正文位子1"/>
    <w:basedOn w:val="af8"/>
    <w:uiPriority w:val="99"/>
    <w:qFormat/>
    <w:pPr>
      <w:wordWrap w:val="0"/>
      <w:topLinePunct/>
      <w:autoSpaceDN w:val="0"/>
      <w:spacing w:after="0"/>
      <w:jc w:val="center"/>
    </w:pPr>
    <w:rPr>
      <w:rFonts w:eastAsia="楷体_GB2312"/>
      <w:w w:val="90"/>
    </w:rPr>
  </w:style>
  <w:style w:type="paragraph" w:customStyle="1" w:styleId="-32">
    <w:name w:val="编号-正文章条3级标题和2级条(不进目录)"/>
    <w:basedOn w:val="a6"/>
    <w:qFormat/>
    <w:pPr>
      <w:widowControl/>
      <w:numPr>
        <w:ilvl w:val="2"/>
        <w:numId w:val="14"/>
      </w:numPr>
      <w:jc w:val="left"/>
      <w:outlineLvl w:val="2"/>
    </w:pPr>
    <w:rPr>
      <w:rFonts w:ascii="Arial" w:hAnsi="Arial" w:cs="宋体"/>
      <w:kern w:val="0"/>
      <w:sz w:val="24"/>
    </w:rPr>
  </w:style>
  <w:style w:type="paragraph" w:customStyle="1" w:styleId="xl146">
    <w:name w:val="xl146"/>
    <w:basedOn w:val="a6"/>
    <w:qFormat/>
    <w:pPr>
      <w:widowControl/>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eastAsia="Arial Unicode MS" w:cs="宋体"/>
      <w:kern w:val="0"/>
      <w:sz w:val="20"/>
      <w:szCs w:val="20"/>
    </w:rPr>
  </w:style>
  <w:style w:type="paragraph" w:customStyle="1" w:styleId="-9">
    <w:name w:val="正文-使用"/>
    <w:basedOn w:val="a6"/>
    <w:qFormat/>
    <w:pPr>
      <w:spacing w:line="360" w:lineRule="auto"/>
      <w:ind w:firstLine="482"/>
    </w:pPr>
    <w:rPr>
      <w:rFonts w:ascii="宋体"/>
      <w:kern w:val="0"/>
      <w:sz w:val="24"/>
      <w:szCs w:val="20"/>
    </w:rPr>
  </w:style>
  <w:style w:type="paragraph" w:customStyle="1" w:styleId="xl1041">
    <w:name w:val="xl1041"/>
    <w:basedOn w:val="a6"/>
    <w:qFormat/>
    <w:pPr>
      <w:widowControl/>
      <w:pBdr>
        <w:top w:val="single" w:sz="4" w:space="0" w:color="auto"/>
        <w:left w:val="single" w:sz="4" w:space="0" w:color="auto"/>
        <w:bottom w:val="single" w:sz="4" w:space="0" w:color="auto"/>
      </w:pBdr>
      <w:shd w:val="clear" w:color="000000" w:fill="0070C0"/>
      <w:spacing w:before="100" w:beforeAutospacing="1" w:after="100" w:afterAutospacing="1"/>
      <w:jc w:val="center"/>
    </w:pPr>
    <w:rPr>
      <w:rFonts w:ascii="Arial" w:hAnsi="Arial" w:cs="Arial"/>
      <w:kern w:val="0"/>
      <w:sz w:val="18"/>
      <w:szCs w:val="18"/>
    </w:rPr>
  </w:style>
  <w:style w:type="paragraph" w:customStyle="1" w:styleId="11">
    <w:name w:val="示例和注释(不缩进1)"/>
    <w:basedOn w:val="a6"/>
    <w:semiHidden/>
    <w:qFormat/>
    <w:pPr>
      <w:widowControl/>
      <w:numPr>
        <w:ilvl w:val="4"/>
        <w:numId w:val="12"/>
      </w:numPr>
      <w:ind w:firstLine="0"/>
      <w:jc w:val="left"/>
    </w:pPr>
    <w:rPr>
      <w:rFonts w:ascii="Arial" w:hAnsi="Arial" w:cs="宋体"/>
      <w:kern w:val="0"/>
      <w:sz w:val="24"/>
    </w:rPr>
  </w:style>
  <w:style w:type="paragraph" w:customStyle="1" w:styleId="xl37">
    <w:name w:val="xl37"/>
    <w:basedOn w:val="a6"/>
    <w:qFormat/>
    <w:pPr>
      <w:widowControl/>
      <w:pBdr>
        <w:top w:val="single" w:sz="4" w:space="0" w:color="auto"/>
        <w:left w:val="single" w:sz="4" w:space="0" w:color="auto"/>
        <w:right w:val="single" w:sz="4" w:space="0" w:color="auto"/>
      </w:pBdr>
      <w:spacing w:before="100" w:after="100"/>
      <w:jc w:val="center"/>
      <w:textAlignment w:val="center"/>
    </w:pPr>
    <w:rPr>
      <w:kern w:val="0"/>
      <w:szCs w:val="20"/>
    </w:rPr>
  </w:style>
  <w:style w:type="paragraph" w:customStyle="1" w:styleId="3110">
    <w:name w:val="正文样式311"/>
    <w:basedOn w:val="a6"/>
    <w:qFormat/>
    <w:pPr>
      <w:adjustRightInd w:val="0"/>
      <w:snapToGrid w:val="0"/>
      <w:spacing w:beforeLines="50" w:afterLines="50" w:line="312" w:lineRule="auto"/>
      <w:ind w:firstLineChars="200" w:firstLine="480"/>
    </w:pPr>
    <w:rPr>
      <w:rFonts w:cs="宋体"/>
      <w:sz w:val="24"/>
    </w:rPr>
  </w:style>
  <w:style w:type="paragraph" w:customStyle="1" w:styleId="xl144">
    <w:name w:val="xl144"/>
    <w:basedOn w:val="a6"/>
    <w:qFormat/>
    <w:pPr>
      <w:widowControl/>
      <w:pBdr>
        <w:right w:val="single" w:sz="4" w:space="0" w:color="auto"/>
      </w:pBdr>
      <w:spacing w:before="100" w:beforeAutospacing="1" w:after="100" w:afterAutospacing="1" w:line="360" w:lineRule="auto"/>
      <w:jc w:val="center"/>
      <w:textAlignment w:val="center"/>
    </w:pPr>
    <w:rPr>
      <w:rFonts w:eastAsia="Arial Unicode MS" w:cs="宋体"/>
      <w:kern w:val="0"/>
      <w:sz w:val="20"/>
      <w:szCs w:val="20"/>
    </w:rPr>
  </w:style>
  <w:style w:type="paragraph" w:customStyle="1" w:styleId="155">
    <w:name w:val="样式 表格文字 + 行距: 1.5 倍行距"/>
    <w:basedOn w:val="afc"/>
    <w:qFormat/>
    <w:pPr>
      <w:tabs>
        <w:tab w:val="left" w:pos="972"/>
      </w:tabs>
      <w:spacing w:line="360" w:lineRule="auto"/>
      <w:ind w:firstLineChars="0" w:firstLine="0"/>
      <w:jc w:val="center"/>
    </w:pPr>
    <w:rPr>
      <w:rFonts w:eastAsia="宋体" w:hAnsi="宋体" w:cs="宋体"/>
      <w:color w:val="auto"/>
      <w:spacing w:val="0"/>
      <w:kern w:val="0"/>
      <w:sz w:val="18"/>
      <w:szCs w:val="20"/>
    </w:rPr>
  </w:style>
  <w:style w:type="paragraph" w:customStyle="1" w:styleId="afffffffffffffffffffffffff1">
    <w:name w:val="发"/>
    <w:basedOn w:val="a6"/>
    <w:semiHidden/>
    <w:qFormat/>
    <w:pPr>
      <w:spacing w:before="156" w:after="156"/>
      <w:ind w:left="480" w:firstLine="480"/>
      <w:jc w:val="center"/>
    </w:pPr>
    <w:rPr>
      <w:sz w:val="24"/>
    </w:rPr>
  </w:style>
  <w:style w:type="paragraph" w:customStyle="1" w:styleId="xl143">
    <w:name w:val="xl143"/>
    <w:basedOn w:val="a6"/>
    <w:qFormat/>
    <w:pPr>
      <w:widowControl/>
      <w:pBdr>
        <w:bottom w:val="double" w:sz="6" w:space="0" w:color="auto"/>
        <w:right w:val="single" w:sz="4" w:space="0" w:color="auto"/>
      </w:pBdr>
      <w:spacing w:before="100" w:beforeAutospacing="1" w:after="100" w:afterAutospacing="1" w:line="360" w:lineRule="auto"/>
      <w:jc w:val="center"/>
      <w:textAlignment w:val="center"/>
    </w:pPr>
    <w:rPr>
      <w:rFonts w:ascii="Arial Unicode MS" w:eastAsia="Arial Unicode MS" w:hAnsi="Arial Unicode MS" w:cs="Arial Unicode MS"/>
      <w:kern w:val="0"/>
      <w:sz w:val="20"/>
      <w:szCs w:val="20"/>
    </w:rPr>
  </w:style>
  <w:style w:type="paragraph" w:customStyle="1" w:styleId="xl99">
    <w:name w:val="xl99"/>
    <w:basedOn w:val="a6"/>
    <w:qFormat/>
    <w:pPr>
      <w:widowControl/>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kern w:val="0"/>
      <w:sz w:val="24"/>
    </w:rPr>
  </w:style>
  <w:style w:type="paragraph" w:customStyle="1" w:styleId="31">
    <w:name w:val="示例和注释(左缩进3)"/>
    <w:basedOn w:val="a6"/>
    <w:semiHidden/>
    <w:qFormat/>
    <w:pPr>
      <w:widowControl/>
      <w:numPr>
        <w:ilvl w:val="2"/>
        <w:numId w:val="12"/>
      </w:numPr>
      <w:ind w:firstLine="0"/>
      <w:jc w:val="left"/>
    </w:pPr>
    <w:rPr>
      <w:rFonts w:ascii="Arial" w:hAnsi="Arial" w:cs="宋体"/>
      <w:kern w:val="0"/>
      <w:sz w:val="24"/>
    </w:rPr>
  </w:style>
  <w:style w:type="paragraph" w:customStyle="1" w:styleId="xl1015">
    <w:name w:val="xl1015"/>
    <w:basedOn w:val="a6"/>
    <w:qFormat/>
    <w:pPr>
      <w:widowControl/>
      <w:pBdr>
        <w:top w:val="single" w:sz="4" w:space="0" w:color="auto"/>
        <w:left w:val="single" w:sz="4" w:space="0" w:color="auto"/>
        <w:right w:val="single" w:sz="4" w:space="0" w:color="auto"/>
      </w:pBdr>
      <w:shd w:val="clear" w:color="000000" w:fill="E26B0A"/>
      <w:spacing w:before="100" w:beforeAutospacing="1" w:after="100" w:afterAutospacing="1"/>
      <w:jc w:val="center"/>
    </w:pPr>
    <w:rPr>
      <w:rFonts w:ascii="Arial" w:hAnsi="Arial" w:cs="Arial"/>
      <w:kern w:val="0"/>
      <w:sz w:val="18"/>
      <w:szCs w:val="18"/>
    </w:rPr>
  </w:style>
  <w:style w:type="paragraph" w:customStyle="1" w:styleId="CharCharCharCharCharCharCharCharCharCharCharCharCharCharCharChar4">
    <w:name w:val="Char Char Char Char Char Char Char Char Char Char Char Char Char Char Char Char4"/>
    <w:basedOn w:val="a6"/>
    <w:qFormat/>
    <w:rPr>
      <w:szCs w:val="21"/>
    </w:rPr>
  </w:style>
  <w:style w:type="paragraph" w:customStyle="1" w:styleId="afffffffffffffffffffffffff2">
    <w:name w:val="传统正文"/>
    <w:basedOn w:val="a6"/>
    <w:semiHidden/>
    <w:qFormat/>
    <w:pPr>
      <w:spacing w:after="120" w:line="360" w:lineRule="auto"/>
    </w:pPr>
    <w:rPr>
      <w:bCs/>
      <w:sz w:val="24"/>
    </w:rPr>
  </w:style>
  <w:style w:type="paragraph" w:customStyle="1" w:styleId="20">
    <w:name w:val="示例和注释(左缩进2)"/>
    <w:basedOn w:val="a6"/>
    <w:semiHidden/>
    <w:qFormat/>
    <w:pPr>
      <w:widowControl/>
      <w:numPr>
        <w:ilvl w:val="1"/>
        <w:numId w:val="12"/>
      </w:numPr>
      <w:ind w:firstLine="0"/>
      <w:jc w:val="left"/>
    </w:pPr>
    <w:rPr>
      <w:rFonts w:ascii="Arial" w:hAnsi="Arial" w:cs="宋体"/>
      <w:kern w:val="0"/>
      <w:sz w:val="24"/>
    </w:rPr>
  </w:style>
  <w:style w:type="paragraph" w:customStyle="1" w:styleId="Date1">
    <w:name w:val="Date1"/>
    <w:basedOn w:val="a6"/>
    <w:next w:val="a6"/>
    <w:qFormat/>
    <w:pPr>
      <w:adjustRightInd w:val="0"/>
      <w:spacing w:line="480" w:lineRule="exact"/>
      <w:ind w:firstLineChars="200" w:firstLine="200"/>
      <w:jc w:val="left"/>
      <w:textAlignment w:val="baseline"/>
    </w:pPr>
    <w:rPr>
      <w:rFonts w:ascii="宋体"/>
      <w:spacing w:val="24"/>
      <w:kern w:val="24"/>
      <w:sz w:val="24"/>
      <w:szCs w:val="20"/>
    </w:rPr>
  </w:style>
  <w:style w:type="paragraph" w:customStyle="1" w:styleId="xl1008">
    <w:name w:val="xl1008"/>
    <w:basedOn w:val="a6"/>
    <w:qFormat/>
    <w:pPr>
      <w:widowControl/>
      <w:pBdr>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8"/>
      <w:szCs w:val="18"/>
    </w:rPr>
  </w:style>
  <w:style w:type="paragraph" w:customStyle="1" w:styleId="CharCharChar1CharCharChar1CharCharChar1CharCharCharChar">
    <w:name w:val="Char Char Char1 Char Char Char1 Char Char Char1 Char Char Char Char"/>
    <w:basedOn w:val="a6"/>
    <w:qFormat/>
    <w:pPr>
      <w:widowControl/>
      <w:spacing w:line="240" w:lineRule="exact"/>
      <w:ind w:firstLineChars="200" w:firstLine="200"/>
      <w:jc w:val="left"/>
    </w:pPr>
    <w:rPr>
      <w:rFonts w:cs="宋体"/>
      <w:kern w:val="0"/>
      <w:sz w:val="28"/>
      <w:szCs w:val="28"/>
    </w:rPr>
  </w:style>
  <w:style w:type="paragraph" w:customStyle="1" w:styleId="xl996">
    <w:name w:val="xl996"/>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CharCharCharCharCharCharCharCharChar5">
    <w:name w:val="Char Char Char Char Char Char Char Char Char5"/>
    <w:basedOn w:val="a6"/>
    <w:qFormat/>
  </w:style>
  <w:style w:type="paragraph" w:customStyle="1" w:styleId="030">
    <w:name w:val="表格03"/>
    <w:basedOn w:val="a6"/>
    <w:qFormat/>
    <w:pPr>
      <w:spacing w:line="400" w:lineRule="exact"/>
      <w:jc w:val="center"/>
    </w:pPr>
    <w:rPr>
      <w:color w:val="000000"/>
      <w:w w:val="110"/>
      <w:kern w:val="0"/>
      <w:sz w:val="24"/>
      <w:szCs w:val="21"/>
    </w:rPr>
  </w:style>
  <w:style w:type="paragraph" w:customStyle="1" w:styleId="afffffffffffffffffffffffff3">
    <w:name w:val="二级条"/>
    <w:next w:val="a6"/>
    <w:qFormat/>
    <w:pPr>
      <w:widowControl w:val="0"/>
      <w:spacing w:line="440" w:lineRule="exact"/>
      <w:ind w:left="720"/>
    </w:pPr>
    <w:rPr>
      <w:rFonts w:ascii="宋体"/>
      <w:sz w:val="24"/>
    </w:rPr>
  </w:style>
  <w:style w:type="paragraph" w:customStyle="1" w:styleId="Char1CharCharCharCharCharChar0">
    <w:name w:val="Char1 Char Char Char Char Char Char"/>
    <w:basedOn w:val="a6"/>
    <w:qFormat/>
  </w:style>
  <w:style w:type="paragraph" w:customStyle="1" w:styleId="RIENTRO">
    <w:name w:val="RIENTRO"/>
    <w:basedOn w:val="a6"/>
    <w:qFormat/>
    <w:pPr>
      <w:widowControl/>
      <w:ind w:left="1134"/>
    </w:pPr>
    <w:rPr>
      <w:rFonts w:ascii="Arial" w:hAnsi="Arial"/>
      <w:kern w:val="0"/>
      <w:sz w:val="22"/>
      <w:szCs w:val="20"/>
    </w:rPr>
  </w:style>
  <w:style w:type="paragraph" w:customStyle="1" w:styleId="Bodytext">
    <w:name w:val="Bodytext"/>
    <w:basedOn w:val="a6"/>
    <w:qFormat/>
    <w:pPr>
      <w:widowControl/>
      <w:ind w:left="1134"/>
      <w:jc w:val="left"/>
    </w:pPr>
    <w:rPr>
      <w:rFonts w:ascii="Arial" w:hAnsi="Arial" w:cs="宋体"/>
      <w:kern w:val="0"/>
      <w:sz w:val="22"/>
      <w:szCs w:val="20"/>
      <w:lang w:val="en-GB"/>
    </w:rPr>
  </w:style>
  <w:style w:type="paragraph" w:customStyle="1" w:styleId="3099">
    <w:name w:val="样式 正文文本缩进 3 + 宋体 首行缩进:  0.99 厘米 行距: 单倍行距"/>
    <w:basedOn w:val="39"/>
    <w:qFormat/>
    <w:pPr>
      <w:adjustRightInd/>
      <w:snapToGrid/>
      <w:spacing w:line="360" w:lineRule="auto"/>
      <w:ind w:firstLineChars="0" w:firstLine="561"/>
      <w:jc w:val="left"/>
    </w:pPr>
    <w:rPr>
      <w:rFonts w:hAnsi="宋体" w:cs="宋体"/>
      <w:color w:val="auto"/>
      <w:kern w:val="0"/>
      <w:szCs w:val="28"/>
    </w:rPr>
  </w:style>
  <w:style w:type="paragraph" w:customStyle="1" w:styleId="13Char0">
    <w:name w:val="样式 正文文本缩进 + 行距: 多倍行距 1.3 字行 Char"/>
    <w:basedOn w:val="af9"/>
    <w:qFormat/>
    <w:pPr>
      <w:autoSpaceDE w:val="0"/>
      <w:autoSpaceDN w:val="0"/>
      <w:adjustRightInd w:val="0"/>
      <w:snapToGrid w:val="0"/>
      <w:spacing w:line="360" w:lineRule="auto"/>
      <w:ind w:firstLine="0"/>
      <w:textAlignment w:val="baseline"/>
    </w:pPr>
    <w:rPr>
      <w:rFonts w:ascii="黑体" w:eastAsia="黑体"/>
      <w:b/>
      <w:color w:val="000000"/>
      <w:kern w:val="0"/>
    </w:rPr>
  </w:style>
  <w:style w:type="paragraph" w:customStyle="1" w:styleId="4fe">
    <w:name w:val="勘察表格4"/>
    <w:basedOn w:val="a6"/>
    <w:next w:val="affffffffffffffffff4"/>
    <w:qFormat/>
    <w:pPr>
      <w:widowControl/>
      <w:jc w:val="center"/>
    </w:pPr>
    <w:rPr>
      <w:rFonts w:ascii="宋体" w:hAnsi="宋体" w:cs="宋体"/>
      <w:kern w:val="0"/>
      <w:sz w:val="24"/>
    </w:rPr>
  </w:style>
  <w:style w:type="paragraph" w:customStyle="1" w:styleId="afffffffffffffffffffffffff4">
    <w:name w:val="麦志勤表格式"/>
    <w:basedOn w:val="a6"/>
    <w:qFormat/>
    <w:pPr>
      <w:adjustRightInd w:val="0"/>
      <w:snapToGrid w:val="0"/>
      <w:spacing w:line="0" w:lineRule="atLeast"/>
      <w:jc w:val="center"/>
    </w:pPr>
    <w:rPr>
      <w:rFonts w:ascii="宋体" w:hAnsi="宋体"/>
      <w:sz w:val="24"/>
    </w:rPr>
  </w:style>
  <w:style w:type="paragraph" w:customStyle="1" w:styleId="xl953">
    <w:name w:val="xl953"/>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18"/>
      <w:szCs w:val="18"/>
    </w:rPr>
  </w:style>
  <w:style w:type="paragraph" w:customStyle="1" w:styleId="xl132">
    <w:name w:val="xl132"/>
    <w:basedOn w:val="a6"/>
    <w:qFormat/>
    <w:pPr>
      <w:widowControl/>
      <w:pBdr>
        <w:top w:val="single" w:sz="4" w:space="0" w:color="auto"/>
        <w:bottom w:val="single" w:sz="4" w:space="0" w:color="auto"/>
        <w:right w:val="single" w:sz="4" w:space="0" w:color="auto"/>
      </w:pBdr>
      <w:spacing w:before="100" w:beforeAutospacing="1" w:after="100" w:afterAutospacing="1" w:line="360" w:lineRule="auto"/>
      <w:jc w:val="left"/>
    </w:pPr>
    <w:rPr>
      <w:rFonts w:ascii="Arial Unicode MS" w:eastAsia="Arial Unicode MS" w:hAnsi="Arial Unicode MS" w:cs="Arial Unicode MS"/>
      <w:kern w:val="0"/>
      <w:sz w:val="24"/>
    </w:rPr>
  </w:style>
  <w:style w:type="paragraph" w:customStyle="1" w:styleId="2ffff6">
    <w:name w:val="正文 首行缩进:  2 字符"/>
    <w:basedOn w:val="a6"/>
    <w:qFormat/>
    <w:pPr>
      <w:ind w:firstLineChars="200" w:firstLine="579"/>
    </w:pPr>
    <w:rPr>
      <w:sz w:val="28"/>
      <w:szCs w:val="20"/>
    </w:rPr>
  </w:style>
  <w:style w:type="paragraph" w:customStyle="1" w:styleId="CharCharCharCharChar10">
    <w:name w:val="Char Char Char Char Char1"/>
    <w:basedOn w:val="a6"/>
    <w:qFormat/>
  </w:style>
  <w:style w:type="paragraph" w:customStyle="1" w:styleId="ParaCharCharCharCharCharCharCharCharCharCharCharCharCharCharCharCharCharCharChar">
    <w:name w:val="默认段落字体 Para Char Char Char Char Char Char Char Char Char Char Char Char Char Char Char Char Char Char Char"/>
    <w:basedOn w:val="33"/>
    <w:qFormat/>
    <w:pPr>
      <w:tabs>
        <w:tab w:val="left" w:pos="851"/>
        <w:tab w:val="left" w:pos="900"/>
      </w:tabs>
      <w:adjustRightInd w:val="0"/>
      <w:snapToGrid w:val="0"/>
      <w:spacing w:after="120" w:line="360" w:lineRule="auto"/>
      <w:ind w:leftChars="-12" w:left="-12" w:firstLineChars="200" w:firstLine="200"/>
      <w:jc w:val="left"/>
    </w:pPr>
    <w:rPr>
      <w:rFonts w:ascii="宋体" w:eastAsia="仿宋_GB2312" w:hAnsi="宋体"/>
      <w:b/>
      <w:bCs/>
      <w:spacing w:val="0"/>
      <w:sz w:val="32"/>
      <w:szCs w:val="20"/>
    </w:rPr>
  </w:style>
  <w:style w:type="paragraph" w:customStyle="1" w:styleId="2222">
    <w:name w:val="样式 样式 样式 设计正文 + 首行缩进:  2 字符 + 首行缩进:  2 字符 + 首行缩进:  2 字符"/>
    <w:basedOn w:val="a6"/>
    <w:qFormat/>
    <w:pPr>
      <w:keepNext/>
      <w:spacing w:line="360" w:lineRule="auto"/>
      <w:ind w:firstLineChars="192" w:firstLine="538"/>
    </w:pPr>
    <w:rPr>
      <w:rFonts w:ascii="仿宋_GB2312" w:eastAsia="仿宋_GB2312" w:cs="宋体"/>
      <w:color w:val="000000"/>
      <w:w w:val="110"/>
      <w:kern w:val="0"/>
      <w:sz w:val="28"/>
      <w:szCs w:val="20"/>
    </w:rPr>
  </w:style>
  <w:style w:type="paragraph" w:customStyle="1" w:styleId="TOC12">
    <w:name w:val="TOC 标题12"/>
    <w:basedOn w:val="12"/>
    <w:next w:val="a6"/>
    <w:uiPriority w:val="39"/>
    <w:unhideWhenUsed/>
    <w:qFormat/>
    <w:pPr>
      <w:widowControl/>
      <w:tabs>
        <w:tab w:val="left" w:pos="567"/>
      </w:tabs>
      <w:spacing w:before="480" w:after="0" w:line="276" w:lineRule="auto"/>
      <w:jc w:val="left"/>
      <w:outlineLvl w:val="9"/>
    </w:pPr>
    <w:rPr>
      <w:rFonts w:ascii="Cambria" w:hAnsi="Cambria"/>
      <w:color w:val="365F91"/>
      <w:kern w:val="0"/>
      <w:sz w:val="28"/>
      <w:szCs w:val="28"/>
    </w:rPr>
  </w:style>
  <w:style w:type="paragraph" w:customStyle="1" w:styleId="afffffffffffffffffffffffff5">
    <w:name w:val="表名称"/>
    <w:basedOn w:val="a6"/>
    <w:qFormat/>
    <w:pPr>
      <w:widowControl/>
      <w:spacing w:beforeLines="50" w:line="360" w:lineRule="auto"/>
      <w:ind w:firstLineChars="200" w:firstLine="200"/>
      <w:jc w:val="left"/>
    </w:pPr>
    <w:rPr>
      <w:rFonts w:hAnsi="宋体"/>
      <w:b/>
      <w:kern w:val="0"/>
      <w:sz w:val="24"/>
      <w:szCs w:val="20"/>
    </w:rPr>
  </w:style>
  <w:style w:type="paragraph" w:customStyle="1" w:styleId="2ffff7">
    <w:name w:val="2  级标题"/>
    <w:basedOn w:val="aff5"/>
    <w:qFormat/>
    <w:pPr>
      <w:keepNext/>
      <w:widowControl/>
      <w:tabs>
        <w:tab w:val="left" w:pos="360"/>
      </w:tabs>
      <w:wordWrap/>
      <w:topLinePunct w:val="0"/>
      <w:autoSpaceDN/>
      <w:adjustRightInd w:val="0"/>
      <w:snapToGrid w:val="0"/>
      <w:spacing w:beforeLines="100" w:before="312" w:line="360" w:lineRule="auto"/>
      <w:ind w:firstLineChars="0" w:firstLine="0"/>
      <w:jc w:val="left"/>
    </w:pPr>
    <w:rPr>
      <w:rFonts w:ascii="Arial" w:eastAsia="宋体" w:hAnsi="Arial" w:cs="Arial"/>
      <w:b/>
      <w:iCs/>
      <w:kern w:val="0"/>
      <w:sz w:val="24"/>
      <w:szCs w:val="24"/>
    </w:rPr>
  </w:style>
  <w:style w:type="paragraph" w:customStyle="1" w:styleId="afffffffffffffffffffffffff6">
    <w:name w:val="正文表格文字"/>
    <w:basedOn w:val="a6"/>
    <w:qFormat/>
    <w:pPr>
      <w:widowControl/>
      <w:jc w:val="center"/>
    </w:pPr>
    <w:rPr>
      <w:rFonts w:ascii="Arial" w:hAnsi="Arial" w:cs="宋体"/>
      <w:kern w:val="0"/>
      <w:sz w:val="24"/>
    </w:rPr>
  </w:style>
  <w:style w:type="paragraph" w:customStyle="1" w:styleId="07">
    <w:name w:val="样式 题注 + 小四 居中 左侧:  0 毫米"/>
    <w:basedOn w:val="af1"/>
    <w:qFormat/>
    <w:pPr>
      <w:widowControl w:val="0"/>
      <w:tabs>
        <w:tab w:val="left" w:pos="2268"/>
      </w:tabs>
      <w:ind w:firstLineChars="0" w:firstLine="0"/>
      <w:jc w:val="center"/>
    </w:pPr>
    <w:rPr>
      <w:rFonts w:cs="宋体"/>
      <w:b w:val="0"/>
      <w:szCs w:val="20"/>
    </w:rPr>
  </w:style>
  <w:style w:type="paragraph" w:customStyle="1" w:styleId="xl93">
    <w:name w:val="xl93"/>
    <w:basedOn w:val="a6"/>
    <w:qFormat/>
    <w:pPr>
      <w:widowControl/>
      <w:spacing w:before="100" w:beforeAutospacing="1" w:after="100" w:afterAutospacing="1"/>
      <w:jc w:val="left"/>
    </w:pPr>
    <w:rPr>
      <w:b/>
      <w:bCs/>
      <w:kern w:val="0"/>
      <w:sz w:val="20"/>
      <w:szCs w:val="20"/>
    </w:rPr>
  </w:style>
  <w:style w:type="paragraph" w:customStyle="1" w:styleId="1ffffe">
    <w:name w:val="列表1"/>
    <w:basedOn w:val="a6"/>
    <w:qFormat/>
    <w:pPr>
      <w:adjustRightInd w:val="0"/>
      <w:spacing w:line="360" w:lineRule="auto"/>
      <w:ind w:leftChars="-1" w:left="-2" w:rightChars="-45" w:right="-108" w:firstLineChars="200" w:firstLine="420"/>
      <w:jc w:val="left"/>
      <w:textAlignment w:val="baseline"/>
    </w:pPr>
    <w:rPr>
      <w:rFonts w:ascii="黑体" w:eastAsia="黑体"/>
      <w:szCs w:val="20"/>
    </w:rPr>
  </w:style>
  <w:style w:type="paragraph" w:customStyle="1" w:styleId="11111h11stlevelSectionHeadl1b1-3">
    <w:name w:val="样式 样式 标题 11.标题 1§1.?.章标题 1h11st levelSection Headl1b1-*+ ...3 + ..."/>
    <w:qFormat/>
    <w:pPr>
      <w:tabs>
        <w:tab w:val="left" w:pos="432"/>
      </w:tabs>
      <w:jc w:val="center"/>
    </w:pPr>
    <w:rPr>
      <w:rFonts w:ascii="楷体_GB2312" w:eastAsia="楷体_GB2312" w:hAnsi="Arial" w:cs="宋体"/>
      <w:sz w:val="32"/>
      <w:szCs w:val="32"/>
    </w:rPr>
  </w:style>
  <w:style w:type="paragraph" w:customStyle="1" w:styleId="11111h11stlevelSectionHeadl1b1-30">
    <w:name w:val="样式 标题 11.标题 1§1.?.章标题 1h11st levelSection Headl1b1-*+ ...3"/>
    <w:basedOn w:val="12"/>
    <w:qFormat/>
    <w:pPr>
      <w:keepNext w:val="0"/>
      <w:keepLines w:val="0"/>
      <w:tabs>
        <w:tab w:val="left" w:pos="432"/>
      </w:tabs>
      <w:autoSpaceDE w:val="0"/>
      <w:autoSpaceDN w:val="0"/>
      <w:spacing w:beforeLines="100" w:before="0" w:afterLines="100" w:after="0" w:line="300" w:lineRule="auto"/>
      <w:ind w:left="431" w:hanging="431"/>
      <w:jc w:val="left"/>
    </w:pPr>
    <w:rPr>
      <w:rFonts w:ascii="宋体" w:hAnsi="黑体"/>
      <w:b w:val="0"/>
      <w:w w:val="90"/>
      <w:kern w:val="2"/>
      <w:sz w:val="24"/>
      <w:szCs w:val="24"/>
    </w:rPr>
  </w:style>
  <w:style w:type="paragraph" w:customStyle="1" w:styleId="55165">
    <w:name w:val="样式 宋体 小四 左 段前: 5 磅 段后: 5 磅 行距: 最小值 16.5 磅"/>
    <w:basedOn w:val="a6"/>
    <w:qFormat/>
    <w:pPr>
      <w:widowControl/>
      <w:spacing w:before="100" w:after="100" w:line="360" w:lineRule="auto"/>
      <w:jc w:val="left"/>
    </w:pPr>
    <w:rPr>
      <w:rFonts w:ascii="宋体" w:hAnsi="宋体" w:cs="宋体"/>
      <w:kern w:val="0"/>
      <w:sz w:val="24"/>
      <w:szCs w:val="20"/>
    </w:rPr>
  </w:style>
  <w:style w:type="paragraph" w:customStyle="1" w:styleId="afffffffffffffffffffffffff7">
    <w:name w:val="项目编号文字"/>
    <w:basedOn w:val="a6"/>
    <w:next w:val="af0"/>
    <w:qFormat/>
    <w:pPr>
      <w:widowControl/>
      <w:spacing w:before="120" w:after="120" w:line="360" w:lineRule="auto"/>
      <w:ind w:left="1077"/>
      <w:jc w:val="left"/>
    </w:pPr>
    <w:rPr>
      <w:rFonts w:cs="宋体"/>
      <w:kern w:val="0"/>
      <w:sz w:val="24"/>
      <w:szCs w:val="20"/>
    </w:rPr>
  </w:style>
  <w:style w:type="paragraph" w:customStyle="1" w:styleId="-15">
    <w:name w:val="文-1"/>
    <w:basedOn w:val="a6"/>
    <w:qFormat/>
    <w:pPr>
      <w:spacing w:before="120"/>
      <w:ind w:left="851" w:firstLine="482"/>
    </w:pPr>
    <w:rPr>
      <w:sz w:val="24"/>
      <w:szCs w:val="20"/>
    </w:rPr>
  </w:style>
  <w:style w:type="paragraph" w:customStyle="1" w:styleId="2CharCharChar3">
    <w:name w:val="2 Char Char Char"/>
    <w:basedOn w:val="a6"/>
    <w:qFormat/>
  </w:style>
  <w:style w:type="paragraph" w:customStyle="1" w:styleId="afffffffffffffffffffffffff8">
    <w:name w:val="图编号"/>
    <w:basedOn w:val="af1"/>
    <w:qFormat/>
    <w:pPr>
      <w:widowControl w:val="0"/>
      <w:tabs>
        <w:tab w:val="left" w:pos="2268"/>
      </w:tabs>
      <w:ind w:firstLineChars="0" w:firstLine="0"/>
      <w:jc w:val="center"/>
    </w:pPr>
    <w:rPr>
      <w:rFonts w:cs="宋体"/>
      <w:b w:val="0"/>
      <w:szCs w:val="20"/>
    </w:rPr>
  </w:style>
  <w:style w:type="paragraph" w:customStyle="1" w:styleId="7E82FF1F1BAC484EA3BC388F7AE1D4EC">
    <w:name w:val="7E82FF1F1BAC484EA3BC388F7AE1D4EC"/>
    <w:qFormat/>
    <w:pPr>
      <w:spacing w:after="200" w:line="276" w:lineRule="auto"/>
    </w:pPr>
    <w:rPr>
      <w:rFonts w:ascii="Calibri" w:hAnsi="Calibri"/>
      <w:sz w:val="22"/>
      <w:szCs w:val="22"/>
      <w:lang w:eastAsia="en-US"/>
    </w:rPr>
  </w:style>
  <w:style w:type="paragraph" w:customStyle="1" w:styleId="xl974">
    <w:name w:val="xl974"/>
    <w:basedOn w:val="a6"/>
    <w:qFormat/>
    <w:pPr>
      <w:widowControl/>
      <w:spacing w:before="100" w:beforeAutospacing="1" w:after="100" w:afterAutospacing="1"/>
      <w:jc w:val="center"/>
    </w:pPr>
    <w:rPr>
      <w:kern w:val="0"/>
      <w:sz w:val="18"/>
      <w:szCs w:val="18"/>
    </w:rPr>
  </w:style>
  <w:style w:type="paragraph" w:customStyle="1" w:styleId="xl103">
    <w:name w:val="xl103"/>
    <w:basedOn w:val="a6"/>
    <w:qFormat/>
    <w:pPr>
      <w:widowControl/>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jc w:val="center"/>
      <w:textAlignment w:val="center"/>
    </w:pPr>
    <w:rPr>
      <w:kern w:val="0"/>
      <w:sz w:val="24"/>
    </w:rPr>
  </w:style>
  <w:style w:type="paragraph" w:customStyle="1" w:styleId="330">
    <w:name w:val="正文文本缩进 33"/>
    <w:basedOn w:val="a6"/>
    <w:qFormat/>
    <w:pPr>
      <w:tabs>
        <w:tab w:val="left" w:pos="0"/>
      </w:tabs>
      <w:adjustRightInd w:val="0"/>
      <w:spacing w:line="396" w:lineRule="atLeast"/>
      <w:ind w:firstLine="560"/>
      <w:jc w:val="left"/>
      <w:textAlignment w:val="baseline"/>
    </w:pPr>
    <w:rPr>
      <w:rFonts w:ascii="宋体"/>
      <w:kern w:val="0"/>
      <w:sz w:val="24"/>
      <w:szCs w:val="20"/>
    </w:rPr>
  </w:style>
  <w:style w:type="paragraph" w:customStyle="1" w:styleId="xl1054">
    <w:name w:val="xl1054"/>
    <w:basedOn w:val="a6"/>
    <w:qFormat/>
    <w:pPr>
      <w:widowControl/>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jc w:val="center"/>
    </w:pPr>
    <w:rPr>
      <w:rFonts w:ascii="Arial" w:hAnsi="Arial" w:cs="Arial"/>
      <w:kern w:val="0"/>
      <w:sz w:val="18"/>
      <w:szCs w:val="18"/>
    </w:rPr>
  </w:style>
  <w:style w:type="paragraph" w:customStyle="1" w:styleId="afffffffffffffffffffffffff9">
    <w:name w:val="正文应用"/>
    <w:basedOn w:val="a6"/>
    <w:qFormat/>
    <w:pPr>
      <w:spacing w:line="360" w:lineRule="auto"/>
      <w:ind w:firstLineChars="200" w:firstLine="200"/>
    </w:pPr>
    <w:rPr>
      <w:sz w:val="24"/>
    </w:rPr>
  </w:style>
  <w:style w:type="paragraph" w:customStyle="1" w:styleId="xl88">
    <w:name w:val="xl88"/>
    <w:basedOn w:val="a6"/>
    <w:qFormat/>
    <w:pPr>
      <w:widowControl/>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b/>
      <w:bCs/>
      <w:kern w:val="0"/>
      <w:sz w:val="20"/>
      <w:szCs w:val="20"/>
    </w:rPr>
  </w:style>
  <w:style w:type="paragraph" w:customStyle="1" w:styleId="xl1028">
    <w:name w:val="xl102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8"/>
      <w:szCs w:val="18"/>
    </w:rPr>
  </w:style>
  <w:style w:type="paragraph" w:customStyle="1" w:styleId="145">
    <w:name w:val="样式14"/>
    <w:basedOn w:val="affc"/>
    <w:qFormat/>
    <w:pPr>
      <w:tabs>
        <w:tab w:val="left" w:pos="720"/>
      </w:tabs>
      <w:adjustRightInd w:val="0"/>
      <w:snapToGrid w:val="0"/>
      <w:spacing w:line="360" w:lineRule="auto"/>
      <w:ind w:left="720" w:firstLineChars="0" w:hanging="720"/>
      <w:jc w:val="left"/>
      <w:outlineLvl w:val="3"/>
    </w:pPr>
    <w:rPr>
      <w:rFonts w:ascii="Arial" w:hAnsi="Arial"/>
      <w:bCs w:val="0"/>
      <w:color w:val="000000"/>
      <w:spacing w:val="6"/>
      <w:kern w:val="2"/>
      <w:sz w:val="24"/>
      <w:szCs w:val="24"/>
    </w:rPr>
  </w:style>
  <w:style w:type="paragraph" w:customStyle="1" w:styleId="44H4H4141H42H411142H43H4122">
    <w:name w:val="样式 标题 4河石管道4H4H41小小节河石管道41H42H411小小节1河石管道42H43H412小小...2"/>
    <w:basedOn w:val="41"/>
    <w:qFormat/>
    <w:pPr>
      <w:adjustRightInd/>
      <w:snapToGrid/>
      <w:spacing w:beforeLines="0" w:before="160" w:after="120" w:line="360" w:lineRule="auto"/>
      <w:ind w:left="664" w:hanging="864"/>
      <w:jc w:val="left"/>
    </w:pPr>
    <w:rPr>
      <w:rFonts w:hAnsi="Arial"/>
      <w:bCs w:val="0"/>
      <w:color w:val="000000"/>
      <w:sz w:val="24"/>
    </w:rPr>
  </w:style>
  <w:style w:type="paragraph" w:customStyle="1" w:styleId="font7">
    <w:name w:val="font7"/>
    <w:basedOn w:val="a6"/>
    <w:qFormat/>
    <w:pPr>
      <w:widowControl/>
      <w:spacing w:before="100" w:after="100"/>
      <w:jc w:val="left"/>
    </w:pPr>
    <w:rPr>
      <w:kern w:val="0"/>
      <w:szCs w:val="20"/>
    </w:rPr>
  </w:style>
  <w:style w:type="paragraph" w:customStyle="1" w:styleId="CharCharChar1CharCharCharChar1">
    <w:name w:val="Char Char Char1 Char Char Char Char1"/>
    <w:basedOn w:val="a6"/>
    <w:qFormat/>
  </w:style>
  <w:style w:type="paragraph" w:customStyle="1" w:styleId="xl980">
    <w:name w:val="xl980"/>
    <w:basedOn w:val="a6"/>
    <w:qFormat/>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kern w:val="0"/>
      <w:sz w:val="20"/>
      <w:szCs w:val="20"/>
    </w:rPr>
  </w:style>
  <w:style w:type="paragraph" w:customStyle="1" w:styleId="2ffff8">
    <w:name w:val="样表2"/>
    <w:basedOn w:val="affffffff5"/>
    <w:qFormat/>
    <w:pPr>
      <w:overflowPunct w:val="0"/>
      <w:snapToGrid/>
      <w:spacing w:before="40" w:after="60" w:line="320" w:lineRule="exact"/>
      <w:ind w:leftChars="0" w:left="0" w:rightChars="0" w:right="0"/>
      <w:textAlignment w:val="baseline"/>
    </w:pPr>
    <w:rPr>
      <w:rFonts w:ascii="Arial" w:eastAsia="仿宋_GB2312" w:hAnsi="Arial"/>
      <w:color w:val="auto"/>
      <w:kern w:val="0"/>
      <w:sz w:val="24"/>
      <w:szCs w:val="20"/>
    </w:rPr>
  </w:style>
  <w:style w:type="paragraph" w:customStyle="1" w:styleId="CharCharCharCharCharCharCharCharCharCharCharCharCharCharCharCharCharCharCharCharCharCharChar">
    <w:name w:val="Char Char Char Char Char Char Char Char Char Char Char Char Char Char Char Char Char Char Char Char Char Char Char"/>
    <w:basedOn w:val="a6"/>
    <w:qFormat/>
  </w:style>
  <w:style w:type="paragraph" w:customStyle="1" w:styleId="xl1063">
    <w:name w:val="xl1063"/>
    <w:basedOn w:val="a6"/>
    <w:qFormat/>
    <w:pPr>
      <w:widowControl/>
      <w:pBdr>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8"/>
      <w:szCs w:val="18"/>
    </w:rPr>
  </w:style>
  <w:style w:type="paragraph" w:customStyle="1" w:styleId="afffffffffffffffffffffffffa">
    <w:name w:val="申报节题"/>
    <w:basedOn w:val="22"/>
    <w:qFormat/>
    <w:pPr>
      <w:keepNext w:val="0"/>
      <w:keepLines w:val="0"/>
      <w:adjustRightInd w:val="0"/>
      <w:spacing w:afterLines="50" w:line="336" w:lineRule="auto"/>
      <w:jc w:val="left"/>
      <w:textAlignment w:val="baseline"/>
    </w:pPr>
    <w:rPr>
      <w:rFonts w:ascii="黑体" w:hAnsi="黑体"/>
      <w:bCs w:val="0"/>
      <w:snapToGrid w:val="0"/>
      <w:spacing w:val="0"/>
      <w:w w:val="100"/>
      <w:kern w:val="44"/>
      <w:sz w:val="30"/>
      <w:szCs w:val="20"/>
    </w:rPr>
  </w:style>
  <w:style w:type="paragraph" w:customStyle="1" w:styleId="CharCharCharCharCharChar20">
    <w:name w:val="Char Char 字元 字元 字元 Char Char Char Char2"/>
    <w:basedOn w:val="a6"/>
    <w:qFormat/>
    <w:pPr>
      <w:widowControl/>
      <w:adjustRightInd w:val="0"/>
      <w:spacing w:line="360" w:lineRule="auto"/>
      <w:jc w:val="left"/>
    </w:pPr>
    <w:rPr>
      <w:rFonts w:ascii="宋体" w:hAnsi="宋体" w:cs="宋体"/>
      <w:kern w:val="0"/>
      <w:sz w:val="24"/>
      <w:szCs w:val="20"/>
    </w:rPr>
  </w:style>
  <w:style w:type="paragraph" w:customStyle="1" w:styleId="21121122Char12Heading205">
    <w:name w:val="样式 标题 21.1标题 21.1标题2标题 2 Char1节标2_Heading 2一级条 + 段前: 0....5"/>
    <w:basedOn w:val="22"/>
    <w:next w:val="affc"/>
    <w:qFormat/>
    <w:pPr>
      <w:keepNext w:val="0"/>
      <w:keepLines w:val="0"/>
      <w:autoSpaceDE w:val="0"/>
      <w:autoSpaceDN w:val="0"/>
      <w:adjustRightInd w:val="0"/>
      <w:snapToGrid w:val="0"/>
      <w:spacing w:afterLines="50" w:line="240" w:lineRule="auto"/>
      <w:jc w:val="left"/>
    </w:pPr>
    <w:rPr>
      <w:rFonts w:ascii="黑体" w:hAnsi="Arial" w:cs="宋体"/>
      <w:b/>
      <w:bCs w:val="0"/>
      <w:color w:val="000000"/>
      <w:spacing w:val="0"/>
      <w:w w:val="100"/>
      <w:kern w:val="2"/>
      <w:szCs w:val="20"/>
      <w:lang w:val="zh-CN"/>
    </w:rPr>
  </w:style>
  <w:style w:type="paragraph" w:customStyle="1" w:styleId="060">
    <w:name w:val="标题06"/>
    <w:basedOn w:val="a6"/>
    <w:qFormat/>
    <w:pPr>
      <w:widowControl/>
      <w:adjustRightInd w:val="0"/>
      <w:spacing w:before="2040" w:line="400" w:lineRule="atLeast"/>
      <w:jc w:val="left"/>
      <w:textAlignment w:val="baseline"/>
    </w:pPr>
    <w:rPr>
      <w:rFonts w:eastAsia="黑体" w:cs="宋体"/>
      <w:spacing w:val="10"/>
      <w:kern w:val="0"/>
      <w:sz w:val="24"/>
      <w:szCs w:val="20"/>
    </w:rPr>
  </w:style>
  <w:style w:type="paragraph" w:customStyle="1" w:styleId="reader-word-layerreader-word-s4-8">
    <w:name w:val="reader-word-layer reader-word-s4-8"/>
    <w:basedOn w:val="a6"/>
    <w:qFormat/>
    <w:pPr>
      <w:widowControl/>
      <w:spacing w:before="100" w:beforeAutospacing="1" w:after="100" w:afterAutospacing="1"/>
      <w:jc w:val="left"/>
    </w:pPr>
    <w:rPr>
      <w:rFonts w:ascii="宋体" w:hAnsi="宋体" w:cs="宋体"/>
      <w:kern w:val="0"/>
      <w:sz w:val="24"/>
    </w:rPr>
  </w:style>
  <w:style w:type="paragraph" w:customStyle="1" w:styleId="afffffffffffffffffffffffffb">
    <w:name w:val="表格内正文"/>
    <w:uiPriority w:val="99"/>
    <w:qFormat/>
    <w:pPr>
      <w:spacing w:before="20" w:line="180" w:lineRule="atLeast"/>
      <w:jc w:val="center"/>
    </w:pPr>
    <w:rPr>
      <w:rFonts w:ascii="Arial" w:hAnsi="Arial"/>
      <w:sz w:val="24"/>
    </w:rPr>
  </w:style>
  <w:style w:type="paragraph" w:customStyle="1" w:styleId="xl81">
    <w:name w:val="xl81"/>
    <w:basedOn w:val="a6"/>
    <w:qFormat/>
    <w:pPr>
      <w:widowControl/>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b/>
      <w:bCs/>
      <w:kern w:val="0"/>
      <w:sz w:val="20"/>
      <w:szCs w:val="20"/>
    </w:rPr>
  </w:style>
  <w:style w:type="paragraph" w:customStyle="1" w:styleId="21121122Char12Heading211">
    <w:name w:val="样式 标题 21.1标题 21.1标题2标题 2 Char1节标2_Heading 2二级标题1.1标题一..."/>
    <w:basedOn w:val="22"/>
    <w:qFormat/>
    <w:pPr>
      <w:keepLines w:val="0"/>
      <w:tabs>
        <w:tab w:val="left" w:pos="998"/>
        <w:tab w:val="left" w:pos="1727"/>
        <w:tab w:val="left" w:pos="1884"/>
        <w:tab w:val="left" w:pos="4900"/>
      </w:tabs>
      <w:snapToGrid w:val="0"/>
      <w:spacing w:afterLines="50" w:line="240" w:lineRule="auto"/>
      <w:ind w:left="576" w:hanging="576"/>
      <w:jc w:val="left"/>
    </w:pPr>
    <w:rPr>
      <w:rFonts w:ascii="黑体" w:hAnsi="Arial" w:cs="宋体"/>
      <w:b/>
      <w:bCs w:val="0"/>
      <w:color w:val="000000"/>
      <w:spacing w:val="0"/>
      <w:w w:val="100"/>
      <w:kern w:val="0"/>
      <w:szCs w:val="20"/>
    </w:rPr>
  </w:style>
  <w:style w:type="paragraph" w:customStyle="1" w:styleId="afffffffffffffffffffffffffc">
    <w:name w:val="数字编号"/>
    <w:basedOn w:val="a6"/>
    <w:qFormat/>
    <w:pPr>
      <w:widowControl/>
      <w:tabs>
        <w:tab w:val="left" w:pos="620"/>
      </w:tabs>
      <w:spacing w:before="50" w:line="300" w:lineRule="auto"/>
      <w:ind w:firstLineChars="200" w:firstLine="200"/>
      <w:jc w:val="left"/>
    </w:pPr>
    <w:rPr>
      <w:rFonts w:cs="宋体"/>
      <w:spacing w:val="6"/>
      <w:kern w:val="0"/>
      <w:sz w:val="24"/>
    </w:rPr>
  </w:style>
  <w:style w:type="paragraph" w:customStyle="1" w:styleId="xl97">
    <w:name w:val="xl97"/>
    <w:basedOn w:val="a6"/>
    <w:qFormat/>
    <w:pPr>
      <w:widowControl/>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ascii="宋体" w:hAnsi="宋体" w:cs="宋体"/>
      <w:b/>
      <w:bCs/>
      <w:kern w:val="0"/>
      <w:sz w:val="20"/>
      <w:szCs w:val="20"/>
    </w:rPr>
  </w:style>
  <w:style w:type="paragraph" w:customStyle="1" w:styleId="afffffffffffffffffffffffffd">
    <w:name w:val="表注"/>
    <w:basedOn w:val="af9"/>
    <w:qFormat/>
    <w:pPr>
      <w:spacing w:line="360" w:lineRule="auto"/>
      <w:ind w:firstLine="0"/>
    </w:pPr>
    <w:rPr>
      <w:rFonts w:ascii="Calibri" w:hAnsi="Calibri"/>
      <w:sz w:val="18"/>
      <w:szCs w:val="22"/>
    </w:rPr>
  </w:style>
  <w:style w:type="paragraph" w:customStyle="1" w:styleId="21121122Char12Heading204">
    <w:name w:val="样式 标题 21.1标题 21.1标题2标题 2 Char1节标2_Heading 2一级条 + 段前: 0....4"/>
    <w:basedOn w:val="a6"/>
    <w:next w:val="affc"/>
    <w:qFormat/>
    <w:pPr>
      <w:keepNext/>
      <w:widowControl/>
      <w:autoSpaceDE w:val="0"/>
      <w:autoSpaceDN w:val="0"/>
      <w:adjustRightInd w:val="0"/>
      <w:spacing w:before="156" w:after="156" w:line="360" w:lineRule="auto"/>
      <w:ind w:firstLineChars="200" w:firstLine="560"/>
      <w:jc w:val="left"/>
    </w:pPr>
    <w:rPr>
      <w:rFonts w:ascii="宋体" w:cs="宋体"/>
      <w:kern w:val="0"/>
      <w:sz w:val="28"/>
      <w:szCs w:val="20"/>
      <w:lang w:val="zh-CN"/>
    </w:rPr>
  </w:style>
  <w:style w:type="paragraph" w:customStyle="1" w:styleId="2ffff9">
    <w:name w:val="缩2"/>
    <w:basedOn w:val="a6"/>
    <w:qFormat/>
    <w:pPr>
      <w:widowControl/>
      <w:spacing w:line="300" w:lineRule="auto"/>
      <w:ind w:firstLineChars="200" w:firstLine="200"/>
      <w:jc w:val="left"/>
    </w:pPr>
    <w:rPr>
      <w:rFonts w:cs="宋体"/>
      <w:kern w:val="0"/>
      <w:sz w:val="24"/>
    </w:rPr>
  </w:style>
  <w:style w:type="paragraph" w:customStyle="1" w:styleId="3ff9">
    <w:name w:val="环标3"/>
    <w:basedOn w:val="afffffffffffffffffff7"/>
    <w:next w:val="afffffffffffffffffff7"/>
    <w:qFormat/>
    <w:pPr>
      <w:keepNext/>
      <w:keepLines/>
      <w:tabs>
        <w:tab w:val="left" w:pos="5094"/>
      </w:tabs>
      <w:suppressAutoHyphens w:val="0"/>
      <w:spacing w:line="312" w:lineRule="atLeast"/>
      <w:ind w:right="-11" w:firstLineChars="0" w:firstLine="0"/>
      <w:outlineLvl w:val="2"/>
    </w:pPr>
    <w:rPr>
      <w:rFonts w:ascii="宋体" w:hAnsi="宋体"/>
    </w:rPr>
  </w:style>
  <w:style w:type="paragraph" w:customStyle="1" w:styleId="211H2Underrubrik1prop2Heading2HiddenHea2">
    <w:name w:val="样式 标题 2节节标题 1.1H2（一）Underrubrik1prop2Heading 2 HiddenHea...2"/>
    <w:basedOn w:val="22"/>
    <w:qFormat/>
    <w:pPr>
      <w:tabs>
        <w:tab w:val="left" w:pos="576"/>
        <w:tab w:val="left" w:pos="1070"/>
      </w:tabs>
      <w:jc w:val="left"/>
    </w:pPr>
    <w:rPr>
      <w:rFonts w:hAnsi="黑体"/>
      <w:color w:val="000000"/>
      <w:spacing w:val="0"/>
      <w:w w:val="100"/>
      <w:kern w:val="2"/>
      <w:sz w:val="30"/>
      <w:szCs w:val="32"/>
    </w:rPr>
  </w:style>
  <w:style w:type="paragraph" w:customStyle="1" w:styleId="322">
    <w:name w:val="正文文本 32"/>
    <w:basedOn w:val="a6"/>
    <w:qFormat/>
    <w:pPr>
      <w:spacing w:line="360" w:lineRule="auto"/>
    </w:pPr>
    <w:rPr>
      <w:rFonts w:ascii="仿宋_GB2312" w:eastAsia="仿宋_GB2312" w:hAnsi="宋体"/>
      <w:sz w:val="24"/>
      <w:szCs w:val="20"/>
    </w:rPr>
  </w:style>
  <w:style w:type="paragraph" w:customStyle="1" w:styleId="21121122Char12Heading203">
    <w:name w:val="样式 标题 21.1标题 21.1标题2标题 2 Char1节标2_Heading 2一级条 + 段前: 0....3"/>
    <w:basedOn w:val="affc"/>
    <w:next w:val="affc"/>
    <w:qFormat/>
    <w:pPr>
      <w:tabs>
        <w:tab w:val="left" w:pos="628"/>
        <w:tab w:val="left" w:pos="1727"/>
        <w:tab w:val="left" w:pos="1884"/>
        <w:tab w:val="left" w:pos="2040"/>
        <w:tab w:val="left" w:pos="4900"/>
      </w:tabs>
      <w:autoSpaceDE w:val="0"/>
      <w:autoSpaceDN w:val="0"/>
      <w:adjustRightInd w:val="0"/>
      <w:spacing w:beforeLines="50" w:afterLines="50" w:after="120" w:line="360" w:lineRule="auto"/>
      <w:ind w:leftChars="800" w:left="-200" w:hangingChars="200" w:hanging="200"/>
      <w:jc w:val="left"/>
    </w:pPr>
    <w:rPr>
      <w:rFonts w:eastAsia="黑体" w:hAnsi="Times New Roman" w:cs="宋体"/>
      <w:bCs w:val="0"/>
      <w:color w:val="000000"/>
      <w:spacing w:val="0"/>
      <w:kern w:val="0"/>
      <w:sz w:val="28"/>
      <w:szCs w:val="28"/>
      <w:lang w:val="zh-CN"/>
    </w:rPr>
  </w:style>
  <w:style w:type="paragraph" w:customStyle="1" w:styleId="Head32">
    <w:name w:val="Head 3.2"/>
    <w:basedOn w:val="a6"/>
    <w:qFormat/>
    <w:pPr>
      <w:widowControl/>
      <w:suppressAutoHyphens/>
      <w:ind w:left="360" w:hanging="360"/>
      <w:jc w:val="left"/>
    </w:pPr>
    <w:rPr>
      <w:rFonts w:cs="宋体"/>
      <w:b/>
      <w:kern w:val="0"/>
      <w:sz w:val="24"/>
      <w:szCs w:val="20"/>
      <w:lang w:val="fr-FR" w:eastAsia="en-US"/>
    </w:rPr>
  </w:style>
  <w:style w:type="paragraph" w:customStyle="1" w:styleId="41111">
    <w:name w:val="样式 标题4 1.1.1.1"/>
    <w:basedOn w:val="41"/>
    <w:next w:val="affffa"/>
    <w:qFormat/>
    <w:pPr>
      <w:adjustRightInd/>
      <w:snapToGrid/>
      <w:spacing w:beforeLines="0" w:before="0" w:line="360" w:lineRule="auto"/>
    </w:pPr>
    <w:rPr>
      <w:rFonts w:ascii="宋体" w:eastAsia="宋体" w:cs="宋体"/>
      <w:sz w:val="24"/>
    </w:rPr>
  </w:style>
  <w:style w:type="paragraph" w:customStyle="1" w:styleId="09922">
    <w:name w:val="样式 左侧:  0.99 厘米 首行缩进:  2 字符2"/>
    <w:basedOn w:val="a6"/>
    <w:next w:val="a6"/>
    <w:semiHidden/>
    <w:qFormat/>
    <w:pPr>
      <w:widowControl/>
      <w:adjustRightInd w:val="0"/>
      <w:snapToGrid w:val="0"/>
      <w:spacing w:line="300" w:lineRule="auto"/>
      <w:ind w:left="560" w:firstLineChars="200" w:firstLine="560"/>
      <w:jc w:val="left"/>
    </w:pPr>
    <w:rPr>
      <w:rFonts w:cs="宋体"/>
      <w:kern w:val="0"/>
      <w:sz w:val="28"/>
      <w:szCs w:val="20"/>
    </w:rPr>
  </w:style>
  <w:style w:type="paragraph" w:customStyle="1" w:styleId="Para">
    <w:name w:val="默认段落字体 Para"/>
    <w:basedOn w:val="a6"/>
    <w:qFormat/>
    <w:rPr>
      <w:rFonts w:ascii="宋体"/>
      <w:kern w:val="0"/>
      <w:sz w:val="24"/>
      <w:szCs w:val="20"/>
    </w:rPr>
  </w:style>
  <w:style w:type="paragraph" w:customStyle="1" w:styleId="23a">
    <w:name w:val="2 3a"/>
    <w:qFormat/>
    <w:pPr>
      <w:tabs>
        <w:tab w:val="left" w:pos="-720"/>
      </w:tabs>
      <w:suppressAutoHyphens/>
    </w:pPr>
    <w:rPr>
      <w:rFonts w:ascii="Courier" w:hAnsi="Courier"/>
      <w:sz w:val="24"/>
      <w:lang w:eastAsia="en-US"/>
    </w:rPr>
  </w:style>
  <w:style w:type="paragraph" w:customStyle="1" w:styleId="afffffffffffffffffffffffffe">
    <w:name w:val="单倍行距"/>
    <w:basedOn w:val="a6"/>
    <w:qFormat/>
    <w:pPr>
      <w:adjustRightInd w:val="0"/>
      <w:spacing w:line="240" w:lineRule="atLeast"/>
      <w:jc w:val="center"/>
    </w:pPr>
    <w:rPr>
      <w:sz w:val="18"/>
    </w:rPr>
  </w:style>
  <w:style w:type="paragraph" w:customStyle="1" w:styleId="2ffffa">
    <w:name w:val="样式 样式 正文缩进 + 非加粗 + 首行缩进:  2 字符"/>
    <w:basedOn w:val="a6"/>
    <w:semiHidden/>
    <w:qFormat/>
    <w:pPr>
      <w:widowControl/>
      <w:adjustRightInd w:val="0"/>
      <w:snapToGrid w:val="0"/>
      <w:spacing w:line="300" w:lineRule="auto"/>
      <w:ind w:firstLineChars="200" w:firstLine="560"/>
      <w:jc w:val="left"/>
    </w:pPr>
    <w:rPr>
      <w:rFonts w:cs="宋体"/>
      <w:kern w:val="0"/>
      <w:sz w:val="28"/>
    </w:rPr>
  </w:style>
  <w:style w:type="paragraph" w:customStyle="1" w:styleId="11f0">
    <w:name w:val="样式11"/>
    <w:basedOn w:val="afc"/>
    <w:qFormat/>
    <w:pPr>
      <w:spacing w:line="240" w:lineRule="auto"/>
      <w:ind w:firstLineChars="0" w:firstLine="0"/>
    </w:pPr>
    <w:rPr>
      <w:rFonts w:eastAsia="宋体" w:cs="仿宋_GB2312"/>
      <w:color w:val="auto"/>
      <w:spacing w:val="0"/>
      <w:kern w:val="0"/>
      <w:sz w:val="20"/>
    </w:rPr>
  </w:style>
  <w:style w:type="paragraph" w:customStyle="1" w:styleId="21a">
    <w:name w:val="2 1a"/>
    <w:qFormat/>
    <w:pPr>
      <w:tabs>
        <w:tab w:val="left" w:pos="-720"/>
      </w:tabs>
      <w:suppressAutoHyphens/>
    </w:pPr>
    <w:rPr>
      <w:rFonts w:ascii="Courier" w:hAnsi="Courier"/>
      <w:sz w:val="24"/>
      <w:lang w:eastAsia="en-US"/>
    </w:rPr>
  </w:style>
  <w:style w:type="paragraph" w:customStyle="1" w:styleId="5fd">
    <w:name w:val="表内5中"/>
    <w:basedOn w:val="a6"/>
    <w:qFormat/>
    <w:pPr>
      <w:jc w:val="center"/>
    </w:pPr>
    <w:rPr>
      <w:rFonts w:ascii="宋体"/>
      <w:kern w:val="0"/>
      <w:sz w:val="24"/>
      <w:szCs w:val="20"/>
    </w:rPr>
  </w:style>
  <w:style w:type="paragraph" w:customStyle="1" w:styleId="1113">
    <w:name w:val="样式 标题 1 + 段前: 1 行 段后: 1 行"/>
    <w:basedOn w:val="12"/>
    <w:semiHidden/>
    <w:qFormat/>
    <w:pPr>
      <w:keepNext w:val="0"/>
      <w:adjustRightInd w:val="0"/>
      <w:snapToGrid w:val="0"/>
      <w:spacing w:before="0" w:after="0" w:line="420" w:lineRule="auto"/>
    </w:pPr>
    <w:rPr>
      <w:rFonts w:cs="宋体"/>
      <w:b w:val="0"/>
      <w:bCs w:val="0"/>
      <w:sz w:val="28"/>
      <w:szCs w:val="20"/>
    </w:rPr>
  </w:style>
  <w:style w:type="paragraph" w:customStyle="1" w:styleId="CharCharCharCharCharCharChar6">
    <w:name w:val="Char Char Char Char Char Char Char6"/>
    <w:basedOn w:val="a6"/>
    <w:qFormat/>
  </w:style>
  <w:style w:type="paragraph" w:customStyle="1" w:styleId="161">
    <w:name w:val="1 6"/>
    <w:qFormat/>
    <w:pPr>
      <w:tabs>
        <w:tab w:val="left" w:pos="-720"/>
      </w:tabs>
      <w:suppressAutoHyphens/>
    </w:pPr>
    <w:rPr>
      <w:rFonts w:ascii="Courier" w:hAnsi="Courier"/>
      <w:sz w:val="24"/>
      <w:lang w:eastAsia="en-US"/>
    </w:rPr>
  </w:style>
  <w:style w:type="paragraph" w:customStyle="1" w:styleId="205">
    <w:name w:val="样式 标题 2 + 段后: 0.5 行"/>
    <w:basedOn w:val="210"/>
    <w:qFormat/>
    <w:pPr>
      <w:tabs>
        <w:tab w:val="left" w:pos="630"/>
        <w:tab w:val="left" w:pos="840"/>
        <w:tab w:val="left" w:pos="1287"/>
        <w:tab w:val="left" w:pos="3920"/>
        <w:tab w:val="left" w:pos="5670"/>
      </w:tabs>
      <w:adjustRightInd w:val="0"/>
      <w:spacing w:before="60" w:afterLines="50" w:line="240" w:lineRule="auto"/>
      <w:ind w:firstLine="567"/>
    </w:pPr>
    <w:rPr>
      <w:rFonts w:ascii="Times New Roman" w:eastAsia="仿宋_GB2312" w:hAnsi="Times New Roman"/>
      <w:b w:val="0"/>
      <w:bCs w:val="0"/>
      <w:sz w:val="30"/>
    </w:rPr>
  </w:style>
  <w:style w:type="paragraph" w:customStyle="1" w:styleId="REGULAR8">
    <w:name w:val="REGULAR 8"/>
    <w:qFormat/>
    <w:pPr>
      <w:tabs>
        <w:tab w:val="left" w:pos="-720"/>
      </w:tabs>
      <w:suppressAutoHyphens/>
    </w:pPr>
    <w:rPr>
      <w:rFonts w:ascii="Courier" w:hAnsi="Courier"/>
      <w:sz w:val="24"/>
      <w:lang w:eastAsia="en-US"/>
    </w:rPr>
  </w:style>
  <w:style w:type="paragraph" w:customStyle="1" w:styleId="affffffffffffffffffffffffff">
    <w:name w:val="小于节标题"/>
    <w:basedOn w:val="affffffffffffe"/>
    <w:qFormat/>
    <w:pPr>
      <w:ind w:firstLine="0"/>
    </w:pPr>
    <w:rPr>
      <w:rFonts w:eastAsia="华文中宋"/>
      <w:color w:val="auto"/>
    </w:rPr>
  </w:style>
  <w:style w:type="paragraph" w:customStyle="1" w:styleId="SAR3">
    <w:name w:val="SAR 3"/>
    <w:qFormat/>
    <w:pPr>
      <w:tabs>
        <w:tab w:val="right" w:pos="1560"/>
        <w:tab w:val="left" w:pos="1800"/>
      </w:tabs>
      <w:suppressAutoHyphens/>
      <w:ind w:firstLine="3000"/>
    </w:pPr>
    <w:rPr>
      <w:rFonts w:ascii="Courier" w:hAnsi="Courier"/>
      <w:sz w:val="24"/>
      <w:lang w:eastAsia="en-US"/>
    </w:rPr>
  </w:style>
  <w:style w:type="paragraph" w:customStyle="1" w:styleId="affffffffffffffffffffffffff0">
    <w:name w:val="表格小"/>
    <w:basedOn w:val="a6"/>
    <w:qFormat/>
    <w:pPr>
      <w:jc w:val="center"/>
    </w:pPr>
    <w:rPr>
      <w:sz w:val="18"/>
    </w:rPr>
  </w:style>
  <w:style w:type="paragraph" w:customStyle="1" w:styleId="SAR7">
    <w:name w:val="SAR 7"/>
    <w:qFormat/>
    <w:pPr>
      <w:tabs>
        <w:tab w:val="left" w:pos="-720"/>
      </w:tabs>
      <w:suppressAutoHyphens/>
    </w:pPr>
    <w:rPr>
      <w:rFonts w:ascii="Courier" w:hAnsi="Courier"/>
      <w:sz w:val="24"/>
      <w:lang w:eastAsia="en-US"/>
    </w:rPr>
  </w:style>
  <w:style w:type="paragraph" w:customStyle="1" w:styleId="default0">
    <w:name w:val="default"/>
    <w:basedOn w:val="a6"/>
    <w:qFormat/>
    <w:pPr>
      <w:widowControl/>
      <w:jc w:val="left"/>
    </w:pPr>
    <w:rPr>
      <w:rFonts w:ascii="宋体" w:hAnsi="宋体"/>
      <w:color w:val="000000"/>
      <w:kern w:val="0"/>
      <w:sz w:val="24"/>
      <w:szCs w:val="20"/>
    </w:rPr>
  </w:style>
  <w:style w:type="paragraph" w:customStyle="1" w:styleId="REGULAR3">
    <w:name w:val="REGULAR 3"/>
    <w:qFormat/>
    <w:pPr>
      <w:tabs>
        <w:tab w:val="right" w:pos="1560"/>
        <w:tab w:val="left" w:pos="1800"/>
      </w:tabs>
      <w:suppressAutoHyphens/>
      <w:ind w:firstLine="3000"/>
    </w:pPr>
    <w:rPr>
      <w:rFonts w:ascii="Courier" w:hAnsi="Courier"/>
      <w:sz w:val="24"/>
      <w:lang w:eastAsia="en-US"/>
    </w:rPr>
  </w:style>
  <w:style w:type="paragraph" w:customStyle="1" w:styleId="affffffffffffffffffffffffff1">
    <w:name w:val="二标题"/>
    <w:basedOn w:val="a6"/>
    <w:qFormat/>
    <w:pPr>
      <w:keepNext/>
      <w:keepLines/>
      <w:tabs>
        <w:tab w:val="left" w:pos="360"/>
        <w:tab w:val="left" w:pos="1275"/>
      </w:tabs>
      <w:spacing w:before="260" w:after="260" w:line="413" w:lineRule="auto"/>
      <w:ind w:left="1275" w:hanging="1275"/>
      <w:jc w:val="center"/>
      <w:outlineLvl w:val="2"/>
    </w:pPr>
    <w:rPr>
      <w:rFonts w:ascii="宋体" w:hAnsi="宋体"/>
      <w:sz w:val="32"/>
      <w:szCs w:val="32"/>
    </w:rPr>
  </w:style>
  <w:style w:type="paragraph" w:customStyle="1" w:styleId="SAR4">
    <w:name w:val="SAR 4"/>
    <w:qFormat/>
    <w:pPr>
      <w:tabs>
        <w:tab w:val="left" w:pos="1814"/>
        <w:tab w:val="left" w:pos="2280"/>
      </w:tabs>
      <w:suppressAutoHyphens/>
      <w:ind w:firstLine="1814"/>
    </w:pPr>
    <w:rPr>
      <w:rFonts w:ascii="Courier" w:hAnsi="Courier"/>
      <w:sz w:val="24"/>
      <w:lang w:eastAsia="en-US"/>
    </w:rPr>
  </w:style>
  <w:style w:type="paragraph" w:customStyle="1" w:styleId="2ffffb">
    <w:name w:val="样式 正文文本缩进 2 + (符号) 宋体 小四 两端对齐"/>
    <w:basedOn w:val="26"/>
    <w:qFormat/>
    <w:pPr>
      <w:spacing w:line="360" w:lineRule="auto"/>
    </w:pPr>
    <w:rPr>
      <w:rFonts w:ascii="宋体" w:hAnsi="宋体"/>
      <w:kern w:val="0"/>
      <w:szCs w:val="20"/>
    </w:rPr>
  </w:style>
  <w:style w:type="paragraph" w:customStyle="1" w:styleId="affffffffffffffffffffffffff2">
    <w:name w:val="标准书脚_奇数页"/>
    <w:qFormat/>
    <w:pPr>
      <w:spacing w:before="120"/>
      <w:jc w:val="right"/>
    </w:pPr>
    <w:rPr>
      <w:sz w:val="18"/>
    </w:rPr>
  </w:style>
  <w:style w:type="paragraph" w:customStyle="1" w:styleId="CharCharCharCharCharCharCharCharChar1">
    <w:name w:val="Char Char Char Char Char Char Char Char Char"/>
    <w:basedOn w:val="a6"/>
    <w:qFormat/>
    <w:rPr>
      <w:color w:val="000000"/>
      <w:w w:val="110"/>
      <w:kern w:val="0"/>
      <w:sz w:val="24"/>
    </w:rPr>
  </w:style>
  <w:style w:type="paragraph" w:customStyle="1" w:styleId="font13">
    <w:name w:val="font13"/>
    <w:basedOn w:val="a6"/>
    <w:qFormat/>
    <w:pPr>
      <w:widowControl/>
      <w:spacing w:before="100" w:beforeAutospacing="1" w:after="100" w:afterAutospacing="1"/>
      <w:jc w:val="left"/>
    </w:pPr>
    <w:rPr>
      <w:rFonts w:ascii="宋体" w:hAnsi="宋体" w:cs="宋体"/>
      <w:kern w:val="0"/>
      <w:sz w:val="20"/>
      <w:szCs w:val="20"/>
    </w:rPr>
  </w:style>
  <w:style w:type="paragraph" w:customStyle="1" w:styleId="69">
    <w:name w:val="表头6"/>
    <w:basedOn w:val="a6"/>
    <w:qFormat/>
    <w:pPr>
      <w:tabs>
        <w:tab w:val="left" w:pos="1620"/>
      </w:tabs>
      <w:spacing w:before="40" w:after="40" w:line="360" w:lineRule="auto"/>
    </w:pPr>
    <w:rPr>
      <w:rFonts w:eastAsia="黑体"/>
      <w:b/>
      <w:color w:val="000000"/>
      <w:sz w:val="24"/>
    </w:rPr>
  </w:style>
  <w:style w:type="paragraph" w:customStyle="1" w:styleId="3ffa">
    <w:name w:val="标题标题 3"/>
    <w:basedOn w:val="22"/>
    <w:qFormat/>
    <w:rPr>
      <w:rFonts w:ascii="黑体" w:hAnsi="黑体"/>
      <w:color w:val="000000"/>
      <w:spacing w:val="0"/>
      <w:w w:val="100"/>
      <w:kern w:val="2"/>
      <w:sz w:val="24"/>
      <w:szCs w:val="32"/>
    </w:rPr>
  </w:style>
  <w:style w:type="paragraph" w:customStyle="1" w:styleId="affffffffffffffffffffffffff3">
    <w:name w:val="基准页脚样式"/>
    <w:basedOn w:val="af8"/>
    <w:qFormat/>
    <w:pPr>
      <w:spacing w:after="0"/>
      <w:jc w:val="center"/>
    </w:pPr>
    <w:rPr>
      <w:rFonts w:ascii="宋体"/>
      <w:szCs w:val="20"/>
    </w:rPr>
  </w:style>
  <w:style w:type="paragraph" w:customStyle="1" w:styleId="3ffb">
    <w:name w:val="标3正文项"/>
    <w:basedOn w:val="a6"/>
    <w:qFormat/>
    <w:pPr>
      <w:tabs>
        <w:tab w:val="left" w:pos="720"/>
      </w:tabs>
      <w:spacing w:line="360" w:lineRule="auto"/>
      <w:ind w:left="822" w:hanging="397"/>
    </w:pPr>
    <w:rPr>
      <w:kern w:val="0"/>
      <w:sz w:val="24"/>
      <w:szCs w:val="20"/>
    </w:rPr>
  </w:style>
  <w:style w:type="paragraph" w:customStyle="1" w:styleId="Head22">
    <w:name w:val="Head 2.2"/>
    <w:basedOn w:val="a6"/>
    <w:qFormat/>
    <w:pPr>
      <w:widowControl/>
      <w:tabs>
        <w:tab w:val="left" w:pos="360"/>
      </w:tabs>
      <w:suppressAutoHyphens/>
      <w:ind w:left="360" w:hanging="360"/>
      <w:jc w:val="left"/>
    </w:pPr>
    <w:rPr>
      <w:rFonts w:cs="宋体"/>
      <w:b/>
      <w:kern w:val="0"/>
      <w:sz w:val="24"/>
      <w:szCs w:val="20"/>
      <w:lang w:eastAsia="en-US"/>
    </w:rPr>
  </w:style>
  <w:style w:type="paragraph" w:customStyle="1" w:styleId="affffffffffffffffffffffffff4">
    <w:name w:val="标题一"/>
    <w:basedOn w:val="22"/>
    <w:qFormat/>
    <w:pPr>
      <w:keepNext w:val="0"/>
      <w:keepLines w:val="0"/>
      <w:spacing w:line="480" w:lineRule="exact"/>
      <w:jc w:val="center"/>
      <w:outlineLvl w:val="0"/>
    </w:pPr>
    <w:rPr>
      <w:rFonts w:ascii="楷体_GB2312" w:eastAsia="楷体_GB2312"/>
      <w:bCs w:val="0"/>
      <w:snapToGrid w:val="0"/>
      <w:spacing w:val="0"/>
      <w:w w:val="100"/>
      <w:kern w:val="2"/>
      <w:sz w:val="30"/>
      <w:szCs w:val="30"/>
    </w:rPr>
  </w:style>
  <w:style w:type="paragraph" w:customStyle="1" w:styleId="affffffffffffffffffffffffff5">
    <w:name w:val="正文图小四"/>
    <w:basedOn w:val="a6"/>
    <w:qFormat/>
    <w:pPr>
      <w:adjustRightInd w:val="0"/>
      <w:snapToGrid w:val="0"/>
      <w:jc w:val="center"/>
      <w:textAlignment w:val="baseline"/>
    </w:pPr>
    <w:rPr>
      <w:rFonts w:ascii="宋体"/>
      <w:color w:val="000000"/>
      <w:w w:val="110"/>
      <w:kern w:val="0"/>
      <w:sz w:val="24"/>
    </w:rPr>
  </w:style>
  <w:style w:type="paragraph" w:customStyle="1" w:styleId="Technical4">
    <w:name w:val="Technical 4"/>
    <w:qFormat/>
    <w:pPr>
      <w:tabs>
        <w:tab w:val="left" w:pos="-720"/>
      </w:tabs>
      <w:suppressAutoHyphens/>
    </w:pPr>
    <w:rPr>
      <w:rFonts w:ascii="Courier" w:hAnsi="Courier"/>
      <w:b/>
      <w:sz w:val="24"/>
      <w:lang w:eastAsia="en-US"/>
    </w:rPr>
  </w:style>
  <w:style w:type="paragraph" w:customStyle="1" w:styleId="CM9">
    <w:name w:val="CM9"/>
    <w:basedOn w:val="Default"/>
    <w:next w:val="Default"/>
    <w:qFormat/>
    <w:pPr>
      <w:spacing w:line="626" w:lineRule="atLeast"/>
    </w:pPr>
    <w:rPr>
      <w:rFonts w:ascii="黑体" w:eastAsia="黑体"/>
      <w:color w:val="auto"/>
    </w:rPr>
  </w:style>
  <w:style w:type="paragraph" w:customStyle="1" w:styleId="2110">
    <w:name w:val="正文文本 211"/>
    <w:basedOn w:val="a6"/>
    <w:qFormat/>
    <w:pPr>
      <w:overflowPunct w:val="0"/>
      <w:autoSpaceDE w:val="0"/>
      <w:autoSpaceDN w:val="0"/>
      <w:adjustRightInd w:val="0"/>
      <w:spacing w:after="120" w:line="360" w:lineRule="auto"/>
      <w:textAlignment w:val="baseline"/>
    </w:pPr>
    <w:rPr>
      <w:sz w:val="24"/>
      <w:szCs w:val="20"/>
    </w:rPr>
  </w:style>
  <w:style w:type="paragraph" w:customStyle="1" w:styleId="315">
    <w:name w:val="3 1"/>
    <w:qFormat/>
    <w:pPr>
      <w:tabs>
        <w:tab w:val="left" w:pos="-720"/>
        <w:tab w:val="left" w:pos="0"/>
        <w:tab w:val="decimal" w:pos="720"/>
      </w:tabs>
      <w:suppressAutoHyphens/>
      <w:ind w:firstLine="720"/>
    </w:pPr>
    <w:rPr>
      <w:rFonts w:ascii="Courier" w:hAnsi="Courier"/>
      <w:sz w:val="24"/>
      <w:lang w:eastAsia="en-US"/>
    </w:rPr>
  </w:style>
  <w:style w:type="paragraph" w:customStyle="1" w:styleId="affffffffffffffffffffffffff6">
    <w:name w:val="标题后正文"/>
    <w:basedOn w:val="a6"/>
    <w:qFormat/>
    <w:pPr>
      <w:adjustRightInd w:val="0"/>
      <w:spacing w:line="360" w:lineRule="auto"/>
      <w:ind w:firstLineChars="200" w:firstLine="200"/>
      <w:textAlignment w:val="baseline"/>
    </w:pPr>
    <w:rPr>
      <w:rFonts w:ascii="Arial" w:hAnsi="Arial"/>
      <w:snapToGrid w:val="0"/>
      <w:kern w:val="28"/>
      <w:sz w:val="24"/>
      <w:szCs w:val="20"/>
    </w:rPr>
  </w:style>
  <w:style w:type="paragraph" w:customStyle="1" w:styleId="affffffffffffffffffffffffff7">
    <w:name w:val="正文（表格）"/>
    <w:basedOn w:val="a6"/>
    <w:qFormat/>
    <w:pPr>
      <w:jc w:val="center"/>
    </w:pPr>
  </w:style>
  <w:style w:type="paragraph" w:customStyle="1" w:styleId="affffffffffffffffffffffffff8">
    <w:name w:val="正文仿宋"/>
    <w:basedOn w:val="a6"/>
    <w:qFormat/>
    <w:pPr>
      <w:adjustRightInd w:val="0"/>
      <w:snapToGrid w:val="0"/>
      <w:spacing w:line="360" w:lineRule="auto"/>
      <w:ind w:firstLine="567"/>
    </w:pPr>
    <w:rPr>
      <w:rFonts w:eastAsia="仿宋_GB2312"/>
      <w:snapToGrid w:val="0"/>
      <w:color w:val="000000"/>
      <w:w w:val="110"/>
      <w:kern w:val="0"/>
      <w:sz w:val="24"/>
      <w:szCs w:val="20"/>
    </w:rPr>
  </w:style>
  <w:style w:type="paragraph" w:customStyle="1" w:styleId="xl86">
    <w:name w:val="xl86"/>
    <w:basedOn w:val="a6"/>
    <w:qFormat/>
    <w:pPr>
      <w:widowControl/>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b/>
      <w:bCs/>
      <w:kern w:val="0"/>
      <w:sz w:val="20"/>
      <w:szCs w:val="20"/>
    </w:rPr>
  </w:style>
  <w:style w:type="paragraph" w:customStyle="1" w:styleId="-006">
    <w:name w:val="样式 表格文字居中 + 右侧:  -0.06 字符"/>
    <w:basedOn w:val="a6"/>
    <w:next w:val="affc"/>
    <w:qFormat/>
    <w:pPr>
      <w:keepNext/>
      <w:widowControl/>
      <w:autoSpaceDE w:val="0"/>
      <w:autoSpaceDN w:val="0"/>
      <w:adjustRightInd w:val="0"/>
      <w:spacing w:line="360" w:lineRule="auto"/>
      <w:ind w:left="-28" w:right="-17" w:firstLineChars="200" w:firstLine="200"/>
      <w:jc w:val="left"/>
    </w:pPr>
    <w:rPr>
      <w:rFonts w:ascii="宋体" w:cs="宋体"/>
      <w:color w:val="000000"/>
      <w:kern w:val="0"/>
      <w:sz w:val="28"/>
      <w:szCs w:val="20"/>
      <w:lang w:val="zh-CN"/>
    </w:rPr>
  </w:style>
  <w:style w:type="paragraph" w:customStyle="1" w:styleId="affffffffffffffffffffffffff9">
    <w:name w:val="项目符号"/>
    <w:basedOn w:val="a6"/>
    <w:qFormat/>
    <w:pPr>
      <w:widowControl/>
      <w:tabs>
        <w:tab w:val="left" w:pos="170"/>
      </w:tabs>
      <w:overflowPunct w:val="0"/>
      <w:snapToGrid w:val="0"/>
      <w:spacing w:line="380" w:lineRule="exact"/>
      <w:ind w:firstLineChars="200" w:firstLine="454"/>
      <w:jc w:val="left"/>
    </w:pPr>
    <w:rPr>
      <w:rFonts w:ascii="Arial" w:eastAsia="仿宋_GB2312" w:hAnsi="Arial" w:cs="宋体"/>
      <w:kern w:val="0"/>
      <w:sz w:val="24"/>
      <w:szCs w:val="20"/>
    </w:rPr>
  </w:style>
  <w:style w:type="paragraph" w:customStyle="1" w:styleId="2234234">
    <w:name w:val="样式 标题 2 + 段前: 23.4 磅 段后: 23.4 磅"/>
    <w:basedOn w:val="22"/>
    <w:qFormat/>
    <w:pPr>
      <w:keepLines w:val="0"/>
      <w:tabs>
        <w:tab w:val="left" w:pos="567"/>
      </w:tabs>
      <w:adjustRightInd w:val="0"/>
      <w:spacing w:before="100" w:beforeAutospacing="1" w:after="100" w:afterAutospacing="1" w:line="0" w:lineRule="atLeast"/>
      <w:ind w:left="567" w:hanging="567"/>
      <w:jc w:val="left"/>
      <w:textAlignment w:val="baseline"/>
    </w:pPr>
    <w:rPr>
      <w:b/>
      <w:bCs w:val="0"/>
      <w:color w:val="0000FF"/>
      <w:spacing w:val="0"/>
      <w:w w:val="100"/>
      <w:kern w:val="0"/>
      <w:sz w:val="24"/>
      <w:szCs w:val="20"/>
    </w:rPr>
  </w:style>
  <w:style w:type="paragraph" w:customStyle="1" w:styleId="-320">
    <w:name w:val="编号-附录章条3级标题或2级条(不进目录)"/>
    <w:basedOn w:val="a6"/>
    <w:qFormat/>
    <w:pPr>
      <w:widowControl/>
      <w:ind w:left="3990"/>
      <w:jc w:val="left"/>
      <w:outlineLvl w:val="2"/>
    </w:pPr>
    <w:rPr>
      <w:rFonts w:ascii="Arial" w:hAnsi="Arial" w:cs="宋体"/>
      <w:kern w:val="0"/>
      <w:sz w:val="24"/>
    </w:rPr>
  </w:style>
  <w:style w:type="paragraph" w:customStyle="1" w:styleId="-a">
    <w:name w:val="表格-标题"/>
    <w:basedOn w:val="a6"/>
    <w:qFormat/>
    <w:pPr>
      <w:tabs>
        <w:tab w:val="left" w:pos="1950"/>
      </w:tabs>
      <w:autoSpaceDE w:val="0"/>
      <w:autoSpaceDN w:val="0"/>
      <w:adjustRightInd w:val="0"/>
      <w:spacing w:line="300" w:lineRule="auto"/>
      <w:jc w:val="center"/>
    </w:pPr>
    <w:rPr>
      <w:rFonts w:eastAsia="黑体"/>
      <w:sz w:val="24"/>
    </w:rPr>
  </w:style>
  <w:style w:type="paragraph" w:customStyle="1" w:styleId="affffffffffffffffffffffffffa">
    <w:name w:val="——"/>
    <w:qFormat/>
    <w:pPr>
      <w:ind w:firstLineChars="300" w:firstLine="660"/>
    </w:pPr>
  </w:style>
  <w:style w:type="paragraph" w:customStyle="1" w:styleId="Texte">
    <w:name w:val="Texte"/>
    <w:basedOn w:val="a6"/>
    <w:qFormat/>
    <w:pPr>
      <w:widowControl/>
      <w:spacing w:before="120" w:after="120"/>
      <w:ind w:left="851" w:firstLineChars="200" w:firstLine="200"/>
    </w:pPr>
    <w:rPr>
      <w:rFonts w:ascii="Arial" w:hAnsi="Arial"/>
      <w:kern w:val="0"/>
      <w:sz w:val="22"/>
      <w:szCs w:val="20"/>
      <w:lang w:val="en-GB"/>
    </w:rPr>
  </w:style>
  <w:style w:type="paragraph" w:customStyle="1" w:styleId="CharCharCharCharCharCharCharCharCharCharCharChar12">
    <w:name w:val="Char Char Char Char Char Char Char Char Char Char Char Char12"/>
    <w:basedOn w:val="a6"/>
    <w:next w:val="a6"/>
    <w:qFormat/>
    <w:pPr>
      <w:spacing w:line="360" w:lineRule="auto"/>
      <w:ind w:firstLineChars="200" w:firstLine="200"/>
    </w:pPr>
    <w:rPr>
      <w:rFonts w:ascii="宋体" w:hAnsi="宋体" w:cs="宋体"/>
      <w:sz w:val="24"/>
    </w:rPr>
  </w:style>
  <w:style w:type="paragraph" w:customStyle="1" w:styleId="xl254">
    <w:name w:val="xl254"/>
    <w:basedOn w:val="a6"/>
    <w:qFormat/>
    <w:pPr>
      <w:widowControl/>
      <w:pBdr>
        <w:top w:val="single" w:sz="4" w:space="0" w:color="auto"/>
        <w:left w:val="single" w:sz="4" w:space="0" w:color="auto"/>
      </w:pBdr>
      <w:spacing w:before="100" w:beforeAutospacing="1" w:after="100" w:afterAutospacing="1"/>
      <w:jc w:val="center"/>
    </w:pPr>
    <w:rPr>
      <w:rFonts w:ascii="宋体" w:hAnsi="宋体" w:cs="宋体"/>
      <w:kern w:val="0"/>
      <w:sz w:val="20"/>
      <w:szCs w:val="20"/>
    </w:rPr>
  </w:style>
  <w:style w:type="paragraph" w:customStyle="1" w:styleId="xl170">
    <w:name w:val="xl170"/>
    <w:basedOn w:val="a6"/>
    <w:qFormat/>
    <w:pPr>
      <w:widowControl/>
      <w:pBdr>
        <w:top w:val="double" w:sz="6" w:space="0" w:color="auto"/>
        <w:left w:val="single" w:sz="4" w:space="0" w:color="auto"/>
        <w:right w:val="single" w:sz="4" w:space="0" w:color="auto"/>
      </w:pBdr>
      <w:spacing w:before="100" w:beforeAutospacing="1" w:after="100" w:afterAutospacing="1" w:line="360" w:lineRule="auto"/>
      <w:jc w:val="center"/>
      <w:textAlignment w:val="center"/>
    </w:pPr>
    <w:rPr>
      <w:rFonts w:ascii="Arial Unicode MS" w:eastAsia="Arial Unicode MS" w:hAnsi="Arial Unicode MS" w:cs="Arial Unicode MS"/>
      <w:color w:val="000000"/>
      <w:kern w:val="0"/>
      <w:sz w:val="24"/>
      <w:szCs w:val="21"/>
    </w:rPr>
  </w:style>
  <w:style w:type="paragraph" w:customStyle="1" w:styleId="xl90">
    <w:name w:val="xl90"/>
    <w:basedOn w:val="a6"/>
    <w:qFormat/>
    <w:pPr>
      <w:widowControl/>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kern w:val="0"/>
      <w:sz w:val="20"/>
      <w:szCs w:val="20"/>
    </w:rPr>
  </w:style>
  <w:style w:type="paragraph" w:customStyle="1" w:styleId="xl961">
    <w:name w:val="xl961"/>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ffffffffffffffffffffffffb">
    <w:name w:val="附录表标号"/>
    <w:basedOn w:val="a6"/>
    <w:next w:val="a6"/>
    <w:qFormat/>
    <w:pPr>
      <w:spacing w:line="14" w:lineRule="exact"/>
      <w:ind w:left="811" w:hanging="448"/>
      <w:jc w:val="center"/>
      <w:outlineLvl w:val="0"/>
    </w:pPr>
    <w:rPr>
      <w:color w:val="FFFFFF"/>
      <w:w w:val="110"/>
      <w:kern w:val="0"/>
      <w:sz w:val="24"/>
    </w:rPr>
  </w:style>
  <w:style w:type="paragraph" w:customStyle="1" w:styleId="xl32">
    <w:name w:val="xl32"/>
    <w:basedOn w:val="a6"/>
    <w:qFormat/>
    <w:pPr>
      <w:widowControl/>
      <w:pBdr>
        <w:top w:val="single" w:sz="4" w:space="0" w:color="auto"/>
        <w:left w:val="double" w:sz="6" w:space="0" w:color="auto"/>
        <w:bottom w:val="single" w:sz="4" w:space="0" w:color="auto"/>
        <w:right w:val="single" w:sz="4" w:space="0" w:color="auto"/>
      </w:pBdr>
      <w:spacing w:before="100" w:after="100"/>
      <w:jc w:val="center"/>
      <w:textAlignment w:val="center"/>
    </w:pPr>
    <w:rPr>
      <w:kern w:val="0"/>
      <w:szCs w:val="20"/>
    </w:rPr>
  </w:style>
  <w:style w:type="paragraph" w:customStyle="1" w:styleId="xl1044">
    <w:name w:val="xl1044"/>
    <w:basedOn w:val="a6"/>
    <w:qFormat/>
    <w:pPr>
      <w:widowControl/>
      <w:pBdr>
        <w:left w:val="single" w:sz="4" w:space="0" w:color="auto"/>
        <w:bottom w:val="single" w:sz="4" w:space="0" w:color="auto"/>
        <w:right w:val="single" w:sz="4" w:space="0" w:color="auto"/>
      </w:pBdr>
      <w:shd w:val="clear" w:color="000000" w:fill="0070C0"/>
      <w:spacing w:before="100" w:beforeAutospacing="1" w:after="100" w:afterAutospacing="1"/>
      <w:jc w:val="center"/>
    </w:pPr>
    <w:rPr>
      <w:rFonts w:ascii="Arial" w:hAnsi="Arial" w:cs="Arial"/>
      <w:kern w:val="0"/>
      <w:sz w:val="18"/>
      <w:szCs w:val="18"/>
    </w:rPr>
  </w:style>
  <w:style w:type="paragraph" w:customStyle="1" w:styleId="CharCharChar1Char2">
    <w:name w:val="Char Char Char1 Char2"/>
    <w:basedOn w:val="a6"/>
    <w:qFormat/>
  </w:style>
  <w:style w:type="paragraph" w:customStyle="1" w:styleId="10128">
    <w:name w:val="样式 纯文本 + 黑体 小四 加粗 首行缩进:  1.01 厘米 行距: 固定值 28 磅"/>
    <w:basedOn w:val="afc"/>
    <w:qFormat/>
    <w:pPr>
      <w:widowControl/>
      <w:spacing w:after="200" w:line="560" w:lineRule="exact"/>
      <w:ind w:firstLineChars="0" w:firstLine="570"/>
      <w:jc w:val="left"/>
    </w:pPr>
    <w:rPr>
      <w:rFonts w:ascii="黑体" w:eastAsia="黑体" w:hAnsi="Times New Roman" w:cs="宋体"/>
      <w:b/>
      <w:bCs/>
      <w:color w:val="auto"/>
      <w:spacing w:val="0"/>
      <w:sz w:val="24"/>
      <w:szCs w:val="20"/>
    </w:rPr>
  </w:style>
  <w:style w:type="paragraph" w:customStyle="1" w:styleId="xl27">
    <w:name w:val="xl27"/>
    <w:basedOn w:val="a6"/>
    <w:qFormat/>
    <w:pPr>
      <w:widowControl/>
      <w:pBdr>
        <w:top w:val="single" w:sz="4" w:space="0" w:color="auto"/>
        <w:left w:val="single" w:sz="4" w:space="0" w:color="auto"/>
        <w:bottom w:val="single" w:sz="4" w:space="0" w:color="auto"/>
        <w:right w:val="single" w:sz="4" w:space="0" w:color="auto"/>
      </w:pBdr>
      <w:spacing w:before="100" w:after="100"/>
      <w:jc w:val="center"/>
      <w:textAlignment w:val="center"/>
    </w:pPr>
    <w:rPr>
      <w:kern w:val="0"/>
      <w:szCs w:val="20"/>
    </w:rPr>
  </w:style>
  <w:style w:type="paragraph" w:customStyle="1" w:styleId="font5">
    <w:name w:val="font5"/>
    <w:basedOn w:val="a6"/>
    <w:qFormat/>
    <w:pPr>
      <w:widowControl/>
      <w:spacing w:before="100" w:after="100"/>
      <w:jc w:val="left"/>
    </w:pPr>
    <w:rPr>
      <w:rFonts w:ascii="宋体" w:hAnsi="宋体" w:hint="eastAsia"/>
      <w:kern w:val="0"/>
      <w:szCs w:val="20"/>
    </w:rPr>
  </w:style>
  <w:style w:type="paragraph" w:customStyle="1" w:styleId="Bulletlevel1">
    <w:name w:val="Bullet level 1"/>
    <w:basedOn w:val="a6"/>
    <w:qFormat/>
    <w:pPr>
      <w:widowControl/>
      <w:tabs>
        <w:tab w:val="left" w:pos="1440"/>
      </w:tabs>
      <w:wordWrap w:val="0"/>
      <w:spacing w:before="120"/>
      <w:ind w:left="1440" w:hanging="360"/>
      <w:jc w:val="left"/>
    </w:pPr>
    <w:rPr>
      <w:rFonts w:ascii="Arial" w:hAnsi="Arial" w:cs="宋体"/>
      <w:kern w:val="0"/>
      <w:sz w:val="22"/>
      <w:szCs w:val="20"/>
    </w:rPr>
  </w:style>
  <w:style w:type="paragraph" w:customStyle="1" w:styleId="reader-word-layerreader-word-s1-1">
    <w:name w:val="reader-word-layer reader-word-s1-1"/>
    <w:basedOn w:val="a6"/>
    <w:qFormat/>
    <w:pPr>
      <w:widowControl/>
      <w:spacing w:before="100" w:beforeAutospacing="1" w:after="100" w:afterAutospacing="1"/>
      <w:jc w:val="left"/>
    </w:pPr>
    <w:rPr>
      <w:rFonts w:ascii="宋体" w:hAnsi="宋体" w:cs="宋体"/>
      <w:kern w:val="0"/>
      <w:sz w:val="24"/>
    </w:rPr>
  </w:style>
  <w:style w:type="paragraph" w:customStyle="1" w:styleId="affffffffffffffffffffffffffc">
    <w:name w:val="悬挂式正文"/>
    <w:basedOn w:val="a6"/>
    <w:qFormat/>
    <w:pPr>
      <w:tabs>
        <w:tab w:val="left" w:pos="1134"/>
        <w:tab w:val="right" w:pos="7371"/>
      </w:tabs>
      <w:overflowPunct w:val="0"/>
      <w:adjustRightInd w:val="0"/>
      <w:spacing w:line="360" w:lineRule="auto"/>
      <w:ind w:left="1701" w:hanging="1134"/>
      <w:textAlignment w:val="baseline"/>
    </w:pPr>
    <w:rPr>
      <w:kern w:val="0"/>
      <w:sz w:val="28"/>
      <w:szCs w:val="20"/>
    </w:rPr>
  </w:style>
  <w:style w:type="paragraph" w:customStyle="1" w:styleId="Bulletlevel2">
    <w:name w:val="Bullet level 2"/>
    <w:basedOn w:val="a6"/>
    <w:qFormat/>
    <w:pPr>
      <w:widowControl/>
      <w:tabs>
        <w:tab w:val="left" w:pos="420"/>
      </w:tabs>
      <w:ind w:left="420" w:hanging="420"/>
      <w:jc w:val="left"/>
    </w:pPr>
    <w:rPr>
      <w:rFonts w:ascii="Arial" w:hAnsi="Arial" w:cs="宋体"/>
      <w:kern w:val="0"/>
      <w:sz w:val="22"/>
      <w:szCs w:val="20"/>
    </w:rPr>
  </w:style>
  <w:style w:type="paragraph" w:customStyle="1" w:styleId="affffffffffffffffffffffffffd">
    <w:name w:val="标准段落"/>
    <w:basedOn w:val="a6"/>
    <w:next w:val="a6"/>
    <w:qFormat/>
    <w:pPr>
      <w:spacing w:line="500" w:lineRule="exact"/>
      <w:ind w:firstLineChars="200" w:firstLine="560"/>
    </w:pPr>
    <w:rPr>
      <w:rFonts w:hAnsi="宋体"/>
      <w:sz w:val="28"/>
      <w:szCs w:val="28"/>
    </w:rPr>
  </w:style>
  <w:style w:type="paragraph" w:customStyle="1" w:styleId="2ffffc">
    <w:name w:val="標準インデント　2"/>
    <w:basedOn w:val="af0"/>
    <w:qFormat/>
    <w:pPr>
      <w:overflowPunct w:val="0"/>
      <w:autoSpaceDE w:val="0"/>
      <w:autoSpaceDN w:val="0"/>
      <w:spacing w:line="240" w:lineRule="auto"/>
      <w:ind w:left="2900" w:hanging="2038"/>
    </w:pPr>
    <w:rPr>
      <w:rFonts w:ascii="Times New Roman" w:eastAsia="MS Mincho" w:hAnsi="Times New Roman"/>
      <w:sz w:val="20"/>
      <w:szCs w:val="20"/>
      <w:lang w:eastAsia="ja-JP"/>
    </w:rPr>
  </w:style>
  <w:style w:type="paragraph" w:customStyle="1" w:styleId="word">
    <w:name w:val="word"/>
    <w:basedOn w:val="a6"/>
    <w:qFormat/>
    <w:pPr>
      <w:spacing w:beforeLines="50" w:line="360" w:lineRule="auto"/>
      <w:ind w:firstLineChars="200" w:firstLine="480"/>
    </w:pPr>
    <w:rPr>
      <w:rFonts w:ascii="宋体" w:hAnsi="宋体"/>
      <w:color w:val="0000FF"/>
      <w:sz w:val="24"/>
    </w:rPr>
  </w:style>
  <w:style w:type="paragraph" w:customStyle="1" w:styleId="5fe">
    <w:name w:val="文本框5号两端齐"/>
    <w:basedOn w:val="a6"/>
    <w:qFormat/>
    <w:pPr>
      <w:widowControl/>
    </w:pPr>
    <w:rPr>
      <w:rFonts w:eastAsia="仿宋_GB2312"/>
      <w:szCs w:val="21"/>
    </w:rPr>
  </w:style>
  <w:style w:type="paragraph" w:customStyle="1" w:styleId="affffffffffffffffffffffffffe">
    <w:name w:val="表第一列"/>
    <w:basedOn w:val="affc"/>
    <w:qFormat/>
    <w:pPr>
      <w:keepNext/>
      <w:keepLines/>
      <w:tabs>
        <w:tab w:val="left" w:pos="1727"/>
        <w:tab w:val="left" w:pos="1884"/>
        <w:tab w:val="left" w:pos="2940"/>
      </w:tabs>
      <w:spacing w:line="0" w:lineRule="atLeast"/>
      <w:ind w:firstLine="0"/>
      <w:jc w:val="center"/>
    </w:pPr>
    <w:rPr>
      <w:bCs w:val="0"/>
      <w:color w:val="000000"/>
      <w:spacing w:val="0"/>
      <w:kern w:val="2"/>
      <w:sz w:val="21"/>
      <w:szCs w:val="21"/>
    </w:rPr>
  </w:style>
  <w:style w:type="paragraph" w:customStyle="1" w:styleId="Bullet3">
    <w:name w:val="Bullet 3"/>
    <w:basedOn w:val="a6"/>
    <w:next w:val="a6"/>
    <w:qFormat/>
    <w:pPr>
      <w:widowControl/>
      <w:tabs>
        <w:tab w:val="left" w:pos="900"/>
        <w:tab w:val="left" w:pos="1440"/>
      </w:tabs>
      <w:ind w:left="3600" w:hanging="420"/>
      <w:jc w:val="left"/>
    </w:pPr>
    <w:rPr>
      <w:rFonts w:ascii="Arial" w:hAnsi="Arial" w:cs="宋体"/>
      <w:kern w:val="0"/>
      <w:sz w:val="22"/>
      <w:szCs w:val="20"/>
      <w:lang w:eastAsia="en-US"/>
    </w:rPr>
  </w:style>
  <w:style w:type="paragraph" w:customStyle="1" w:styleId="afffffffffffffffffffffffffff">
    <w:name w:val="麦志勤标题五"/>
    <w:basedOn w:val="a6"/>
    <w:qFormat/>
    <w:pPr>
      <w:adjustRightInd w:val="0"/>
      <w:snapToGrid w:val="0"/>
      <w:spacing w:beforeLines="50" w:line="300" w:lineRule="auto"/>
      <w:ind w:firstLineChars="200" w:firstLine="560"/>
    </w:pPr>
    <w:rPr>
      <w:rFonts w:ascii="黑体" w:eastAsia="黑体"/>
      <w:bCs/>
      <w:sz w:val="28"/>
    </w:rPr>
  </w:style>
  <w:style w:type="paragraph" w:customStyle="1" w:styleId="afffffffffffffffffffffffffff0">
    <w:name w:val="中石油正文"/>
    <w:basedOn w:val="a6"/>
    <w:qFormat/>
    <w:pPr>
      <w:spacing w:line="560" w:lineRule="exact"/>
      <w:ind w:firstLineChars="200" w:firstLine="480"/>
    </w:pPr>
    <w:rPr>
      <w:rFonts w:ascii="宋体" w:hAnsi="宋体"/>
      <w:sz w:val="24"/>
    </w:rPr>
  </w:style>
  <w:style w:type="paragraph" w:customStyle="1" w:styleId="heading">
    <w:name w:val="heading"/>
    <w:basedOn w:val="a6"/>
    <w:next w:val="a6"/>
    <w:qFormat/>
    <w:pPr>
      <w:keepNext/>
      <w:keepLines/>
      <w:spacing w:line="360" w:lineRule="auto"/>
      <w:outlineLvl w:val="1"/>
    </w:pPr>
    <w:rPr>
      <w:rFonts w:ascii="宋体" w:hAnsi="Arial Black" w:cs="宋体"/>
      <w:sz w:val="24"/>
    </w:rPr>
  </w:style>
  <w:style w:type="paragraph" w:customStyle="1" w:styleId="Bullet4">
    <w:name w:val="Bullet 4"/>
    <w:basedOn w:val="a6"/>
    <w:next w:val="a6"/>
    <w:qFormat/>
    <w:pPr>
      <w:widowControl/>
      <w:tabs>
        <w:tab w:val="left" w:pos="360"/>
        <w:tab w:val="left" w:pos="1440"/>
      </w:tabs>
      <w:ind w:left="4320" w:hanging="360"/>
      <w:jc w:val="left"/>
    </w:pPr>
    <w:rPr>
      <w:rFonts w:ascii="Arial" w:hAnsi="Arial" w:cs="宋体"/>
      <w:kern w:val="0"/>
      <w:sz w:val="22"/>
      <w:szCs w:val="20"/>
      <w:lang w:eastAsia="en-US"/>
    </w:rPr>
  </w:style>
  <w:style w:type="paragraph" w:customStyle="1" w:styleId="wxd">
    <w:name w:val="wxd正文"/>
    <w:basedOn w:val="a6"/>
    <w:qFormat/>
    <w:pPr>
      <w:adjustRightInd w:val="0"/>
      <w:snapToGrid w:val="0"/>
      <w:spacing w:line="360" w:lineRule="auto"/>
      <w:ind w:firstLineChars="200" w:firstLine="200"/>
    </w:pPr>
    <w:rPr>
      <w:kern w:val="0"/>
      <w:sz w:val="24"/>
      <w:szCs w:val="28"/>
    </w:rPr>
  </w:style>
  <w:style w:type="paragraph" w:customStyle="1" w:styleId="CharCharCharCharCharCharCharCharCharCharCharCharCharCharCharCharCharCharCharCharCharCharCharChar3">
    <w:name w:val="Char Char Char Char Char Char Char Char Char Char Char Char Char Char Char Char Char Char Char Char Char Char Char Char3"/>
    <w:basedOn w:val="a6"/>
    <w:qFormat/>
  </w:style>
  <w:style w:type="paragraph" w:customStyle="1" w:styleId="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w:basedOn w:val="a6"/>
    <w:qFormat/>
    <w:rPr>
      <w:color w:val="000000"/>
      <w:w w:val="110"/>
      <w:kern w:val="0"/>
      <w:sz w:val="24"/>
      <w:szCs w:val="20"/>
    </w:rPr>
  </w:style>
  <w:style w:type="paragraph" w:customStyle="1" w:styleId="229">
    <w:name w:val="样式 样式 首行缩进:  2 字符 + 首行缩进:  2 字符"/>
    <w:basedOn w:val="a6"/>
    <w:qFormat/>
    <w:pPr>
      <w:ind w:firstLineChars="200" w:firstLine="587"/>
    </w:pPr>
    <w:rPr>
      <w:rFonts w:ascii="宋体"/>
      <w:kern w:val="0"/>
      <w:sz w:val="27"/>
      <w:szCs w:val="20"/>
    </w:rPr>
  </w:style>
  <w:style w:type="paragraph" w:customStyle="1" w:styleId="afffffffffffffffffffffffffff1">
    <w:name w:val="图表头"/>
    <w:basedOn w:val="a6"/>
    <w:qFormat/>
    <w:pPr>
      <w:spacing w:beforeLines="50" w:afterLines="25"/>
      <w:jc w:val="center"/>
    </w:pPr>
    <w:rPr>
      <w:rFonts w:eastAsia="黑体"/>
      <w:color w:val="000000"/>
      <w:szCs w:val="21"/>
    </w:rPr>
  </w:style>
  <w:style w:type="paragraph" w:customStyle="1" w:styleId="Technical5">
    <w:name w:val="Technical 5"/>
    <w:qFormat/>
    <w:pPr>
      <w:tabs>
        <w:tab w:val="left" w:pos="-720"/>
      </w:tabs>
      <w:suppressAutoHyphens/>
      <w:ind w:firstLine="720"/>
    </w:pPr>
    <w:rPr>
      <w:rFonts w:ascii="Courier" w:hAnsi="Courier"/>
      <w:b/>
      <w:sz w:val="24"/>
      <w:lang w:eastAsia="en-US"/>
    </w:rPr>
  </w:style>
  <w:style w:type="paragraph" w:customStyle="1" w:styleId="xl65">
    <w:name w:val="xl65"/>
    <w:basedOn w:val="a6"/>
    <w:qFormat/>
    <w:pPr>
      <w:widowControl/>
      <w:pBdr>
        <w:left w:val="single" w:sz="8" w:space="0" w:color="auto"/>
        <w:right w:val="single" w:sz="4" w:space="0" w:color="auto"/>
      </w:pBdr>
      <w:spacing w:before="100" w:beforeAutospacing="1" w:after="100" w:afterAutospacing="1"/>
      <w:jc w:val="center"/>
      <w:textAlignment w:val="center"/>
    </w:pPr>
    <w:rPr>
      <w:rFonts w:ascii="宋体" w:eastAsia="Arial Unicode MS"/>
      <w:kern w:val="0"/>
      <w:sz w:val="20"/>
      <w:szCs w:val="20"/>
    </w:rPr>
  </w:style>
  <w:style w:type="paragraph" w:customStyle="1" w:styleId="350">
    <w:name w:val="3 5"/>
    <w:qFormat/>
    <w:pPr>
      <w:tabs>
        <w:tab w:val="left" w:pos="-720"/>
        <w:tab w:val="left" w:pos="0"/>
        <w:tab w:val="left" w:pos="720"/>
        <w:tab w:val="left" w:pos="1440"/>
        <w:tab w:val="left" w:pos="2160"/>
        <w:tab w:val="left" w:pos="2880"/>
        <w:tab w:val="decimal" w:pos="3600"/>
      </w:tabs>
      <w:suppressAutoHyphens/>
      <w:ind w:firstLine="3600"/>
    </w:pPr>
    <w:rPr>
      <w:rFonts w:ascii="Courier" w:hAnsi="Courier"/>
      <w:sz w:val="24"/>
      <w:lang w:eastAsia="en-US"/>
    </w:rPr>
  </w:style>
  <w:style w:type="paragraph" w:customStyle="1" w:styleId="dan6-16">
    <w:name w:val="dan6-16正文"/>
    <w:basedOn w:val="a6"/>
    <w:qFormat/>
    <w:pPr>
      <w:spacing w:before="40" w:after="40" w:line="360" w:lineRule="auto"/>
      <w:ind w:firstLineChars="200" w:firstLine="200"/>
    </w:pPr>
    <w:rPr>
      <w:rFonts w:ascii="宋体"/>
      <w:kern w:val="0"/>
      <w:sz w:val="24"/>
      <w:szCs w:val="20"/>
    </w:rPr>
  </w:style>
  <w:style w:type="paragraph" w:customStyle="1" w:styleId="360">
    <w:name w:val="3 6"/>
    <w:qFormat/>
    <w:pPr>
      <w:tabs>
        <w:tab w:val="left" w:pos="-720"/>
        <w:tab w:val="left" w:pos="0"/>
        <w:tab w:val="left" w:pos="720"/>
        <w:tab w:val="left" w:pos="1440"/>
        <w:tab w:val="left" w:pos="2160"/>
        <w:tab w:val="left" w:pos="2880"/>
        <w:tab w:val="left" w:pos="3600"/>
        <w:tab w:val="decimal" w:pos="4320"/>
      </w:tabs>
      <w:suppressAutoHyphens/>
      <w:ind w:firstLine="4320"/>
    </w:pPr>
    <w:rPr>
      <w:rFonts w:ascii="Courier" w:hAnsi="Courier"/>
      <w:sz w:val="24"/>
      <w:lang w:eastAsia="en-US"/>
    </w:rPr>
  </w:style>
  <w:style w:type="paragraph" w:customStyle="1" w:styleId="CharChar1Char3">
    <w:name w:val="Char Char1 Char3"/>
    <w:basedOn w:val="a6"/>
    <w:qFormat/>
  </w:style>
  <w:style w:type="paragraph" w:customStyle="1" w:styleId="146">
    <w:name w:val="14"/>
    <w:basedOn w:val="a6"/>
    <w:next w:val="afc"/>
    <w:qFormat/>
    <w:rPr>
      <w:rFonts w:ascii="宋体" w:hAnsi="Courier New"/>
      <w:szCs w:val="20"/>
    </w:rPr>
  </w:style>
  <w:style w:type="paragraph" w:customStyle="1" w:styleId="CM2">
    <w:name w:val="CM2"/>
    <w:basedOn w:val="a6"/>
    <w:next w:val="a6"/>
    <w:qFormat/>
    <w:pPr>
      <w:autoSpaceDE w:val="0"/>
      <w:autoSpaceDN w:val="0"/>
      <w:adjustRightInd w:val="0"/>
      <w:spacing w:line="468" w:lineRule="atLeast"/>
      <w:jc w:val="left"/>
    </w:pPr>
    <w:rPr>
      <w:rFonts w:ascii="宋体"/>
      <w:kern w:val="0"/>
      <w:sz w:val="24"/>
    </w:rPr>
  </w:style>
  <w:style w:type="paragraph" w:customStyle="1" w:styleId="afffffffffffffffffffffffffff2">
    <w:name w:val="初设正文"/>
    <w:basedOn w:val="a6"/>
    <w:qFormat/>
    <w:pPr>
      <w:spacing w:after="120" w:line="440" w:lineRule="exact"/>
      <w:ind w:left="425" w:firstLine="425"/>
    </w:pPr>
    <w:rPr>
      <w:rFonts w:ascii="Arial" w:hAnsi="Arial"/>
      <w:kern w:val="0"/>
      <w:sz w:val="24"/>
      <w:szCs w:val="20"/>
    </w:rPr>
  </w:style>
  <w:style w:type="paragraph" w:customStyle="1" w:styleId="Char2f9">
    <w:name w:val="Char2"/>
    <w:basedOn w:val="a6"/>
    <w:qFormat/>
    <w:rPr>
      <w:color w:val="000000"/>
      <w:w w:val="110"/>
      <w:kern w:val="0"/>
      <w:sz w:val="24"/>
    </w:rPr>
  </w:style>
  <w:style w:type="paragraph" w:customStyle="1" w:styleId="xl56">
    <w:name w:val="xl56"/>
    <w:basedOn w:val="a6"/>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Arial Unicode MS"/>
      <w:b/>
      <w:bCs/>
      <w:kern w:val="0"/>
      <w:sz w:val="24"/>
    </w:rPr>
  </w:style>
  <w:style w:type="paragraph" w:customStyle="1" w:styleId="afffffffffffffffffffffffffff3">
    <w:name w:val="二级无标题条"/>
    <w:basedOn w:val="a6"/>
    <w:qFormat/>
  </w:style>
  <w:style w:type="paragraph" w:customStyle="1" w:styleId="xl95">
    <w:name w:val="xl95"/>
    <w:basedOn w:val="a6"/>
    <w:qFormat/>
    <w:pPr>
      <w:widowControl/>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kern w:val="0"/>
      <w:sz w:val="20"/>
      <w:szCs w:val="20"/>
    </w:rPr>
  </w:style>
  <w:style w:type="paragraph" w:customStyle="1" w:styleId="Char410">
    <w:name w:val="Char41"/>
    <w:basedOn w:val="a6"/>
    <w:qFormat/>
  </w:style>
  <w:style w:type="paragraph" w:customStyle="1" w:styleId="zhwb3">
    <w:name w:val="zhwb3"/>
    <w:basedOn w:val="a6"/>
    <w:next w:val="af0"/>
    <w:qFormat/>
    <w:pPr>
      <w:tabs>
        <w:tab w:val="left" w:pos="360"/>
        <w:tab w:val="left" w:pos="1080"/>
      </w:tabs>
      <w:spacing w:line="360" w:lineRule="auto"/>
      <w:ind w:left="720" w:hanging="720"/>
    </w:pPr>
    <w:rPr>
      <w:color w:val="0000FF"/>
      <w:sz w:val="28"/>
      <w:szCs w:val="20"/>
    </w:rPr>
  </w:style>
  <w:style w:type="paragraph" w:customStyle="1" w:styleId="couv">
    <w:name w:val="couv"/>
    <w:basedOn w:val="a6"/>
    <w:qFormat/>
    <w:pPr>
      <w:widowControl/>
      <w:spacing w:before="120" w:after="120"/>
      <w:ind w:firstLineChars="200" w:firstLine="200"/>
      <w:jc w:val="center"/>
    </w:pPr>
    <w:rPr>
      <w:b/>
      <w:kern w:val="0"/>
      <w:sz w:val="40"/>
      <w:szCs w:val="20"/>
      <w:lang w:val="en-GB"/>
    </w:rPr>
  </w:style>
  <w:style w:type="paragraph" w:customStyle="1" w:styleId="251">
    <w:name w:val="样式 四号 加粗 左 行距: 固定值 25 磅"/>
    <w:basedOn w:val="33"/>
    <w:qFormat/>
    <w:pPr>
      <w:adjustRightInd w:val="0"/>
      <w:spacing w:before="260" w:after="260" w:line="400" w:lineRule="exact"/>
      <w:ind w:firstLineChars="64" w:firstLine="180"/>
      <w:jc w:val="left"/>
    </w:pPr>
    <w:rPr>
      <w:rFonts w:ascii="仿宋_GB2312" w:eastAsia="仿宋_GB2312" w:cs="宋体"/>
      <w:b/>
      <w:bCs/>
      <w:spacing w:val="0"/>
      <w:szCs w:val="20"/>
      <w:lang w:val="zh-CN"/>
    </w:rPr>
  </w:style>
  <w:style w:type="paragraph" w:customStyle="1" w:styleId="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w:basedOn w:val="a6"/>
    <w:qFormat/>
    <w:rPr>
      <w:rFonts w:ascii="宋体"/>
      <w:kern w:val="0"/>
      <w:sz w:val="24"/>
      <w:szCs w:val="20"/>
    </w:rPr>
  </w:style>
  <w:style w:type="paragraph" w:customStyle="1" w:styleId="CharCharChar40">
    <w:name w:val="Char Char Char4"/>
    <w:basedOn w:val="a6"/>
    <w:qFormat/>
  </w:style>
  <w:style w:type="paragraph" w:customStyle="1" w:styleId="afffffffffffffffffffffffffff4">
    <w:name w:val="样式 日期 + 黑体"/>
    <w:basedOn w:val="afd"/>
    <w:qFormat/>
    <w:pPr>
      <w:spacing w:line="500" w:lineRule="exact"/>
    </w:pPr>
    <w:rPr>
      <w:rFonts w:ascii="黑体" w:eastAsia="黑体" w:hAnsi="黑体"/>
      <w:b/>
      <w:spacing w:val="40"/>
      <w:kern w:val="0"/>
      <w:sz w:val="30"/>
      <w:szCs w:val="30"/>
    </w:rPr>
  </w:style>
  <w:style w:type="paragraph" w:customStyle="1" w:styleId="xl981">
    <w:name w:val="xl981"/>
    <w:basedOn w:val="a6"/>
    <w:qFormat/>
    <w:pPr>
      <w:widowControl/>
      <w:pBdr>
        <w:top w:val="single" w:sz="4" w:space="0" w:color="auto"/>
        <w:bottom w:val="single" w:sz="4" w:space="0" w:color="auto"/>
      </w:pBdr>
      <w:spacing w:before="100" w:beforeAutospacing="1" w:after="100" w:afterAutospacing="1"/>
      <w:jc w:val="center"/>
    </w:pPr>
    <w:rPr>
      <w:rFonts w:ascii="宋体" w:hAnsi="宋体" w:cs="宋体"/>
      <w:kern w:val="0"/>
      <w:sz w:val="20"/>
      <w:szCs w:val="20"/>
    </w:rPr>
  </w:style>
  <w:style w:type="paragraph" w:customStyle="1" w:styleId="xl107">
    <w:name w:val="xl107"/>
    <w:basedOn w:val="a6"/>
    <w:qFormat/>
    <w:pPr>
      <w:widowControl/>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kern w:val="0"/>
      <w:sz w:val="18"/>
      <w:szCs w:val="18"/>
    </w:rPr>
  </w:style>
  <w:style w:type="paragraph" w:customStyle="1" w:styleId="xl33">
    <w:name w:val="xl33"/>
    <w:basedOn w:val="a6"/>
    <w:qFormat/>
    <w:pPr>
      <w:widowControl/>
      <w:pBdr>
        <w:top w:val="single" w:sz="4" w:space="0" w:color="auto"/>
        <w:left w:val="single" w:sz="4" w:space="0" w:color="auto"/>
        <w:bottom w:val="single" w:sz="4" w:space="0" w:color="auto"/>
        <w:right w:val="single" w:sz="4" w:space="0" w:color="auto"/>
      </w:pBdr>
      <w:spacing w:before="100" w:after="100"/>
      <w:textAlignment w:val="center"/>
    </w:pPr>
    <w:rPr>
      <w:kern w:val="0"/>
      <w:szCs w:val="20"/>
    </w:rPr>
  </w:style>
  <w:style w:type="paragraph" w:customStyle="1" w:styleId="2ffffd">
    <w:name w:val="正文首行缩进2"/>
    <w:basedOn w:val="a6"/>
    <w:qFormat/>
    <w:pPr>
      <w:spacing w:line="540" w:lineRule="exact"/>
      <w:ind w:firstLine="567"/>
    </w:pPr>
    <w:rPr>
      <w:sz w:val="28"/>
      <w:szCs w:val="28"/>
    </w:rPr>
  </w:style>
  <w:style w:type="paragraph" w:customStyle="1" w:styleId="3221GB2312">
    <w:name w:val="样式 样式 样式 样式 样式 标题 3 + 首行缩进:  2 字符 + 首行缩进:  2 字符1 + 仿宋_GB2312 行距:..."/>
    <w:basedOn w:val="a6"/>
    <w:qFormat/>
    <w:pPr>
      <w:keepNext/>
      <w:keepLines/>
      <w:spacing w:before="120" w:afterLines="50" w:line="440" w:lineRule="exact"/>
      <w:ind w:firstLineChars="200" w:firstLine="200"/>
      <w:jc w:val="left"/>
      <w:outlineLvl w:val="2"/>
    </w:pPr>
    <w:rPr>
      <w:rFonts w:eastAsia="黑体"/>
      <w:spacing w:val="6"/>
      <w:sz w:val="28"/>
      <w:szCs w:val="20"/>
    </w:rPr>
  </w:style>
  <w:style w:type="paragraph" w:customStyle="1" w:styleId="reader-word-layerreader-word-s1-20">
    <w:name w:val="reader-word-layer reader-word-s1-20"/>
    <w:basedOn w:val="a6"/>
    <w:qFormat/>
    <w:pPr>
      <w:widowControl/>
      <w:spacing w:before="100" w:beforeAutospacing="1" w:after="100" w:afterAutospacing="1"/>
      <w:jc w:val="left"/>
    </w:pPr>
    <w:rPr>
      <w:rFonts w:ascii="宋体" w:hAnsi="宋体" w:cs="宋体"/>
      <w:kern w:val="0"/>
      <w:sz w:val="24"/>
    </w:rPr>
  </w:style>
  <w:style w:type="paragraph" w:customStyle="1" w:styleId="afffffffffffffffffffffffffff5">
    <w:name w:val="领结"/>
    <w:basedOn w:val="a6"/>
    <w:qFormat/>
    <w:pPr>
      <w:widowControl/>
      <w:jc w:val="center"/>
    </w:pPr>
    <w:rPr>
      <w:rFonts w:ascii="宋体" w:hAnsi="宋体"/>
      <w:kern w:val="0"/>
      <w:szCs w:val="20"/>
    </w:rPr>
  </w:style>
  <w:style w:type="paragraph" w:customStyle="1" w:styleId="66-00">
    <w:name w:val="标题66-正文00"/>
    <w:basedOn w:val="a6"/>
    <w:qFormat/>
    <w:pPr>
      <w:spacing w:line="360" w:lineRule="auto"/>
      <w:ind w:firstLineChars="200" w:firstLine="200"/>
    </w:pPr>
    <w:rPr>
      <w:sz w:val="24"/>
      <w:szCs w:val="32"/>
    </w:rPr>
  </w:style>
  <w:style w:type="paragraph" w:customStyle="1" w:styleId="CharCharCharCharCharChar3">
    <w:name w:val="Char Char Char Char Char Char"/>
    <w:basedOn w:val="a6"/>
    <w:qFormat/>
    <w:rPr>
      <w:color w:val="000000"/>
      <w:w w:val="110"/>
      <w:kern w:val="0"/>
      <w:sz w:val="24"/>
    </w:rPr>
  </w:style>
  <w:style w:type="paragraph" w:customStyle="1" w:styleId="22a">
    <w:name w:val="样式 样式 正文首行缩进 2 + (符号) 宋体 + (符号) 宋体 + (符号) 宋体 首行缩进:  2 字符"/>
    <w:basedOn w:val="2f8"/>
    <w:qFormat/>
    <w:pPr>
      <w:spacing w:line="480" w:lineRule="auto"/>
      <w:ind w:firstLine="464"/>
    </w:pPr>
    <w:rPr>
      <w:rFonts w:ascii="宋体" w:hAnsi="宋体" w:cs="宋体"/>
      <w:color w:val="auto"/>
      <w:spacing w:val="-4"/>
      <w:w w:val="100"/>
    </w:rPr>
  </w:style>
  <w:style w:type="paragraph" w:customStyle="1" w:styleId="afffffffffffffffffffffffffff6">
    <w:name w:val="样式 四号 左"/>
    <w:basedOn w:val="a6"/>
    <w:qFormat/>
    <w:pPr>
      <w:ind w:firstLineChars="200" w:firstLine="480"/>
    </w:pPr>
    <w:rPr>
      <w:rFonts w:cs="宋体"/>
      <w:sz w:val="24"/>
    </w:rPr>
  </w:style>
  <w:style w:type="paragraph" w:customStyle="1" w:styleId="reader-word-layerreader-word-s1-16">
    <w:name w:val="reader-word-layer reader-word-s1-16"/>
    <w:basedOn w:val="a6"/>
    <w:qFormat/>
    <w:pPr>
      <w:widowControl/>
      <w:spacing w:before="100" w:beforeAutospacing="1" w:after="100" w:afterAutospacing="1"/>
      <w:jc w:val="left"/>
    </w:pPr>
    <w:rPr>
      <w:rFonts w:ascii="宋体" w:hAnsi="宋体" w:cs="宋体"/>
      <w:kern w:val="0"/>
      <w:sz w:val="24"/>
    </w:rPr>
  </w:style>
  <w:style w:type="paragraph" w:customStyle="1" w:styleId="3ffc">
    <w:name w:val="3级"/>
    <w:basedOn w:val="a6"/>
    <w:qFormat/>
    <w:pPr>
      <w:spacing w:beforeLines="50" w:afterLines="50" w:line="360" w:lineRule="auto"/>
      <w:outlineLvl w:val="2"/>
    </w:pPr>
    <w:rPr>
      <w:rFonts w:ascii="黑体" w:eastAsia="黑体" w:hAnsi="宋体" w:cs="宋体"/>
      <w:b/>
      <w:bCs/>
      <w:sz w:val="24"/>
      <w:szCs w:val="20"/>
    </w:rPr>
  </w:style>
  <w:style w:type="paragraph" w:customStyle="1" w:styleId="reader-word-layerreader-word-s3-5">
    <w:name w:val="reader-word-layer reader-word-s3-5"/>
    <w:basedOn w:val="a6"/>
    <w:qFormat/>
    <w:pPr>
      <w:widowControl/>
      <w:spacing w:before="100" w:beforeAutospacing="1" w:after="100" w:afterAutospacing="1"/>
      <w:jc w:val="left"/>
    </w:pPr>
    <w:rPr>
      <w:rFonts w:ascii="宋体" w:hAnsi="宋体" w:cs="宋体"/>
      <w:kern w:val="0"/>
      <w:sz w:val="24"/>
    </w:rPr>
  </w:style>
  <w:style w:type="paragraph" w:customStyle="1" w:styleId="2ffffe">
    <w:name w:val="样式 宋体 四号 首行缩进:  2 字符"/>
    <w:basedOn w:val="a6"/>
    <w:qFormat/>
    <w:pPr>
      <w:spacing w:line="240" w:lineRule="exact"/>
    </w:pPr>
    <w:rPr>
      <w:color w:val="000000"/>
      <w:sz w:val="18"/>
      <w:szCs w:val="20"/>
    </w:rPr>
  </w:style>
  <w:style w:type="paragraph" w:customStyle="1" w:styleId="hb405052">
    <w:name w:val="样式 hb4 + 段前: 0.5 行 段后: 0.5 行2"/>
    <w:basedOn w:val="hb4CharCharCharCharChar"/>
    <w:qFormat/>
  </w:style>
  <w:style w:type="paragraph" w:customStyle="1" w:styleId="11f1">
    <w:name w:val="样式 标题 1副标题 1一、 + 小三"/>
    <w:basedOn w:val="12"/>
    <w:qFormat/>
    <w:pPr>
      <w:tabs>
        <w:tab w:val="left" w:pos="2629"/>
      </w:tabs>
      <w:spacing w:beforeLines="100" w:before="0" w:after="50" w:line="560" w:lineRule="exact"/>
    </w:pPr>
    <w:rPr>
      <w:rFonts w:cs="Arial"/>
      <w:bCs w:val="0"/>
      <w:kern w:val="0"/>
      <w:sz w:val="32"/>
      <w:szCs w:val="32"/>
    </w:rPr>
  </w:style>
  <w:style w:type="paragraph" w:customStyle="1" w:styleId="ParaAttribute14">
    <w:name w:val="ParaAttribute14"/>
    <w:qFormat/>
    <w:pPr>
      <w:widowControl w:val="0"/>
      <w:wordWrap w:val="0"/>
      <w:spacing w:line="268" w:lineRule="exact"/>
    </w:pPr>
  </w:style>
  <w:style w:type="paragraph" w:customStyle="1" w:styleId="afffffffffffffffffffffffffff7">
    <w:name w:val="小节标题"/>
    <w:basedOn w:val="a6"/>
    <w:next w:val="a6"/>
    <w:qFormat/>
    <w:pPr>
      <w:widowControl/>
      <w:spacing w:before="175" w:after="102" w:line="782" w:lineRule="atLeast"/>
      <w:textAlignment w:val="baseline"/>
    </w:pPr>
    <w:rPr>
      <w:rFonts w:eastAsia="黑体"/>
      <w:color w:val="000000"/>
      <w:w w:val="110"/>
      <w:kern w:val="0"/>
      <w:sz w:val="24"/>
      <w:szCs w:val="20"/>
      <w:u w:color="000000"/>
    </w:rPr>
  </w:style>
  <w:style w:type="paragraph" w:customStyle="1" w:styleId="007">
    <w:name w:val="样式 居中 左侧:  0 厘米 首行缩进:  0 厘米"/>
    <w:basedOn w:val="a6"/>
    <w:qFormat/>
    <w:pPr>
      <w:jc w:val="center"/>
    </w:pPr>
    <w:rPr>
      <w:rFonts w:eastAsia="Times New Roman"/>
      <w:color w:val="000000"/>
      <w:spacing w:val="20"/>
      <w:w w:val="110"/>
      <w:kern w:val="0"/>
      <w:sz w:val="24"/>
      <w:szCs w:val="20"/>
    </w:rPr>
  </w:style>
  <w:style w:type="paragraph" w:customStyle="1" w:styleId="reader-word-layerreader-word-s1-25">
    <w:name w:val="reader-word-layer reader-word-s1-25"/>
    <w:basedOn w:val="a6"/>
    <w:qFormat/>
    <w:pPr>
      <w:widowControl/>
      <w:spacing w:before="100" w:beforeAutospacing="1" w:after="100" w:afterAutospacing="1"/>
      <w:jc w:val="left"/>
    </w:pPr>
    <w:rPr>
      <w:rFonts w:ascii="宋体" w:hAnsi="宋体" w:cs="宋体"/>
      <w:kern w:val="0"/>
      <w:sz w:val="24"/>
    </w:rPr>
  </w:style>
  <w:style w:type="paragraph" w:customStyle="1" w:styleId="11f2">
    <w:name w:val="日期11"/>
    <w:basedOn w:val="a6"/>
    <w:next w:val="a6"/>
    <w:qFormat/>
    <w:pPr>
      <w:adjustRightInd w:val="0"/>
      <w:spacing w:line="360" w:lineRule="atLeast"/>
    </w:pPr>
    <w:rPr>
      <w:rFonts w:ascii="宋体"/>
      <w:kern w:val="0"/>
      <w:sz w:val="28"/>
      <w:szCs w:val="20"/>
    </w:rPr>
  </w:style>
  <w:style w:type="paragraph" w:customStyle="1" w:styleId="afffffffffffffffffffffffffff8">
    <w:name w:val="表格名和图名"/>
    <w:basedOn w:val="a6"/>
    <w:qFormat/>
    <w:pPr>
      <w:spacing w:line="360" w:lineRule="auto"/>
      <w:jc w:val="center"/>
    </w:pPr>
    <w:rPr>
      <w:color w:val="000000"/>
      <w:sz w:val="24"/>
    </w:rPr>
  </w:style>
  <w:style w:type="paragraph" w:customStyle="1" w:styleId="font16">
    <w:name w:val="font16"/>
    <w:basedOn w:val="a6"/>
    <w:qFormat/>
    <w:pPr>
      <w:widowControl/>
      <w:spacing w:before="100" w:beforeAutospacing="1" w:after="100" w:afterAutospacing="1"/>
      <w:jc w:val="left"/>
    </w:pPr>
    <w:rPr>
      <w:kern w:val="0"/>
      <w:sz w:val="22"/>
      <w:szCs w:val="22"/>
    </w:rPr>
  </w:style>
  <w:style w:type="paragraph" w:customStyle="1" w:styleId="afffffffffffffffffffffffffff9">
    <w:name w:val="标题二"/>
    <w:basedOn w:val="a6"/>
    <w:qFormat/>
    <w:pPr>
      <w:spacing w:line="480" w:lineRule="exact"/>
    </w:pPr>
    <w:rPr>
      <w:rFonts w:eastAsia="黑体"/>
      <w:b/>
      <w:sz w:val="28"/>
      <w:szCs w:val="20"/>
    </w:rPr>
  </w:style>
  <w:style w:type="paragraph" w:customStyle="1" w:styleId="1CharCharCharCharCharCharChar">
    <w:name w:val="1 Char Char Char Char Char Char Char"/>
    <w:basedOn w:val="a6"/>
    <w:qFormat/>
    <w:pPr>
      <w:spacing w:line="360" w:lineRule="auto"/>
      <w:ind w:firstLineChars="200" w:firstLine="200"/>
    </w:pPr>
  </w:style>
  <w:style w:type="paragraph" w:customStyle="1" w:styleId="1fffff">
    <w:name w:val="普通(网站)1"/>
    <w:basedOn w:val="a6"/>
    <w:qFormat/>
    <w:pPr>
      <w:widowControl/>
      <w:spacing w:before="100" w:beforeAutospacing="1" w:after="100" w:afterAutospacing="1"/>
      <w:jc w:val="left"/>
    </w:pPr>
    <w:rPr>
      <w:rFonts w:ascii="宋体" w:hAnsi="宋体"/>
      <w:kern w:val="0"/>
      <w:sz w:val="24"/>
      <w:szCs w:val="20"/>
    </w:rPr>
  </w:style>
  <w:style w:type="paragraph" w:customStyle="1" w:styleId="hb3">
    <w:name w:val="hb3新"/>
    <w:basedOn w:val="33"/>
    <w:qFormat/>
    <w:pPr>
      <w:keepNext w:val="0"/>
      <w:topLinePunct/>
      <w:adjustRightInd w:val="0"/>
      <w:spacing w:beforeLines="50" w:afterLines="50" w:line="520" w:lineRule="exact"/>
      <w:ind w:firstLineChars="200" w:firstLine="200"/>
      <w:jc w:val="left"/>
    </w:pPr>
    <w:rPr>
      <w:rFonts w:ascii="宋体" w:hAnsi="宋体"/>
      <w:b/>
      <w:bCs/>
      <w:spacing w:val="0"/>
      <w:szCs w:val="24"/>
    </w:rPr>
  </w:style>
  <w:style w:type="paragraph" w:customStyle="1" w:styleId="mytext11">
    <w:name w:val="mytext11"/>
    <w:basedOn w:val="a6"/>
    <w:qFormat/>
    <w:pPr>
      <w:widowControl/>
      <w:spacing w:before="100" w:beforeAutospacing="1" w:after="100" w:afterAutospacing="1"/>
      <w:jc w:val="left"/>
    </w:pPr>
    <w:rPr>
      <w:rFonts w:ascii="宋体" w:hAnsi="宋体"/>
      <w:color w:val="000000"/>
      <w:kern w:val="0"/>
      <w:sz w:val="24"/>
      <w:szCs w:val="20"/>
    </w:rPr>
  </w:style>
  <w:style w:type="paragraph" w:customStyle="1" w:styleId="5555">
    <w:name w:val="5555图表标号"/>
    <w:basedOn w:val="a6"/>
    <w:qFormat/>
    <w:pPr>
      <w:spacing w:line="440" w:lineRule="exact"/>
      <w:jc w:val="center"/>
    </w:pPr>
    <w:rPr>
      <w:rFonts w:eastAsia="黑体"/>
      <w:sz w:val="24"/>
      <w:szCs w:val="21"/>
    </w:rPr>
  </w:style>
  <w:style w:type="paragraph" w:customStyle="1" w:styleId="Content">
    <w:name w:val="Content"/>
    <w:basedOn w:val="a6"/>
    <w:qFormat/>
    <w:pPr>
      <w:widowControl/>
      <w:tabs>
        <w:tab w:val="left" w:pos="9480"/>
        <w:tab w:val="left" w:pos="9600"/>
      </w:tabs>
      <w:spacing w:before="120" w:after="120" w:line="240" w:lineRule="atLeast"/>
      <w:jc w:val="center"/>
    </w:pPr>
    <w:rPr>
      <w:rFonts w:ascii="Arial" w:hAnsi="Arial"/>
      <w:b/>
      <w:kern w:val="0"/>
      <w:sz w:val="28"/>
      <w:szCs w:val="20"/>
      <w:lang w:val="fr-FR"/>
    </w:rPr>
  </w:style>
  <w:style w:type="paragraph" w:customStyle="1" w:styleId="1CharCharCharCharCharCharCharCharCharCharCharCharCharCharCharCharCharCharCharCharCharChar">
    <w:name w:val="1 Char Char Char Char Char Char Char Char Char Char Char Char Char Char Char Char Char Char Char Char Char Char"/>
    <w:basedOn w:val="a6"/>
    <w:qFormat/>
    <w:pPr>
      <w:widowControl/>
      <w:jc w:val="left"/>
    </w:pPr>
    <w:rPr>
      <w:rFonts w:ascii="宋体" w:hAnsi="宋体" w:cs="宋体"/>
      <w:kern w:val="0"/>
      <w:sz w:val="24"/>
    </w:rPr>
  </w:style>
  <w:style w:type="paragraph" w:customStyle="1" w:styleId="260">
    <w:name w:val="表标2.6"/>
    <w:next w:val="a6"/>
    <w:qFormat/>
    <w:pPr>
      <w:tabs>
        <w:tab w:val="left" w:pos="8207"/>
      </w:tabs>
      <w:adjustRightInd w:val="0"/>
      <w:snapToGrid w:val="0"/>
      <w:spacing w:before="240" w:line="0" w:lineRule="atLeast"/>
      <w:ind w:left="432" w:hanging="432"/>
      <w:jc w:val="center"/>
      <w:textAlignment w:val="baseline"/>
    </w:pPr>
    <w:rPr>
      <w:rFonts w:eastAsia="黑体"/>
      <w:b/>
      <w:color w:val="000000"/>
      <w:kern w:val="2"/>
      <w:sz w:val="24"/>
      <w:szCs w:val="24"/>
    </w:rPr>
  </w:style>
  <w:style w:type="paragraph" w:customStyle="1" w:styleId="CharCharCharCharChar20">
    <w:name w:val="Char Char Char Char Char2"/>
    <w:basedOn w:val="a6"/>
    <w:qFormat/>
    <w:pPr>
      <w:snapToGrid w:val="0"/>
      <w:spacing w:line="360" w:lineRule="auto"/>
      <w:ind w:firstLineChars="200" w:firstLine="200"/>
    </w:pPr>
    <w:rPr>
      <w:rFonts w:eastAsia="仿宋_GB2312"/>
      <w:sz w:val="24"/>
    </w:rPr>
  </w:style>
  <w:style w:type="paragraph" w:customStyle="1" w:styleId="afffffffffffffffffffffffffffa">
    <w:name w:val="题目"/>
    <w:qFormat/>
    <w:pPr>
      <w:spacing w:beforeLines="200" w:afterLines="100" w:line="360" w:lineRule="auto"/>
      <w:jc w:val="center"/>
    </w:pPr>
    <w:rPr>
      <w:b/>
      <w:sz w:val="36"/>
    </w:rPr>
  </w:style>
  <w:style w:type="paragraph" w:customStyle="1" w:styleId="Charffffffffff7">
    <w:name w:val="表格文字居中 Char"/>
    <w:basedOn w:val="affc"/>
    <w:qFormat/>
    <w:pPr>
      <w:tabs>
        <w:tab w:val="left" w:pos="900"/>
        <w:tab w:val="left" w:pos="1727"/>
        <w:tab w:val="left" w:pos="1884"/>
      </w:tabs>
      <w:spacing w:beforeLines="20" w:afterLines="20" w:after="120" w:line="320" w:lineRule="exact"/>
      <w:ind w:rightChars="50" w:right="105" w:firstLineChars="0" w:firstLine="0"/>
      <w:jc w:val="center"/>
    </w:pPr>
    <w:rPr>
      <w:rFonts w:ascii="Times New Roman" w:hAnsi="Times New Roman"/>
      <w:bCs w:val="0"/>
      <w:snapToGrid w:val="0"/>
      <w:color w:val="000000"/>
      <w:spacing w:val="0"/>
      <w:kern w:val="2"/>
      <w:sz w:val="21"/>
      <w:szCs w:val="20"/>
    </w:rPr>
  </w:style>
  <w:style w:type="paragraph" w:customStyle="1" w:styleId="3ffd">
    <w:name w:val=".. 3"/>
    <w:basedOn w:val="Default"/>
    <w:next w:val="Default"/>
    <w:qFormat/>
    <w:pPr>
      <w:spacing w:before="260" w:after="260"/>
    </w:pPr>
    <w:rPr>
      <w:rFonts w:eastAsia="Times New Roman"/>
      <w:color w:val="auto"/>
    </w:rPr>
  </w:style>
  <w:style w:type="paragraph" w:customStyle="1" w:styleId="3ffe">
    <w:name w:val="晏?3"/>
    <w:basedOn w:val="a6"/>
    <w:next w:val="a6"/>
    <w:qFormat/>
    <w:pPr>
      <w:keepNext/>
      <w:keepLines/>
      <w:adjustRightInd w:val="0"/>
      <w:spacing w:line="360" w:lineRule="auto"/>
      <w:ind w:firstLine="567"/>
      <w:textAlignment w:val="baseline"/>
    </w:pPr>
    <w:rPr>
      <w:b/>
      <w:bCs/>
      <w:kern w:val="0"/>
      <w:sz w:val="28"/>
      <w:szCs w:val="28"/>
    </w:rPr>
  </w:style>
  <w:style w:type="paragraph" w:customStyle="1" w:styleId="afffffffffffffffffffffffffffb">
    <w:name w:val="简单回函地址"/>
    <w:basedOn w:val="a6"/>
    <w:qFormat/>
    <w:rPr>
      <w:rFonts w:ascii="宋体"/>
      <w:kern w:val="0"/>
      <w:sz w:val="24"/>
      <w:szCs w:val="20"/>
    </w:rPr>
  </w:style>
  <w:style w:type="paragraph" w:customStyle="1" w:styleId="hb3Char">
    <w:name w:val="hb3 Char"/>
    <w:basedOn w:val="33"/>
    <w:qFormat/>
    <w:pPr>
      <w:keepNext w:val="0"/>
      <w:adjustRightInd w:val="0"/>
      <w:spacing w:beforeLines="50" w:afterLines="50" w:line="520" w:lineRule="exact"/>
      <w:jc w:val="left"/>
    </w:pPr>
    <w:rPr>
      <w:rFonts w:hAnsi="黑体"/>
      <w:b/>
      <w:spacing w:val="0"/>
      <w:szCs w:val="24"/>
    </w:rPr>
  </w:style>
  <w:style w:type="paragraph" w:customStyle="1" w:styleId="xl111">
    <w:name w:val="xl111"/>
    <w:basedOn w:val="a6"/>
    <w:qFormat/>
    <w:pPr>
      <w:widowControl/>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kern w:val="0"/>
      <w:sz w:val="24"/>
    </w:rPr>
  </w:style>
  <w:style w:type="paragraph" w:customStyle="1" w:styleId="-50">
    <w:name w:val="文-5"/>
    <w:basedOn w:val="a6"/>
    <w:qFormat/>
    <w:pPr>
      <w:tabs>
        <w:tab w:val="right" w:leader="dot" w:pos="8789"/>
      </w:tabs>
      <w:spacing w:before="120"/>
      <w:ind w:left="1276" w:firstLine="482"/>
    </w:pPr>
    <w:rPr>
      <w:sz w:val="24"/>
      <w:szCs w:val="20"/>
    </w:rPr>
  </w:style>
  <w:style w:type="paragraph" w:customStyle="1" w:styleId="afffffffffffffffffffffffffffc">
    <w:name w:val="表内文字小"/>
    <w:basedOn w:val="a6"/>
    <w:qFormat/>
    <w:pPr>
      <w:adjustRightInd w:val="0"/>
      <w:jc w:val="center"/>
    </w:pPr>
    <w:rPr>
      <w:rFonts w:ascii="宋体" w:hAnsi="Times"/>
      <w:szCs w:val="21"/>
    </w:rPr>
  </w:style>
  <w:style w:type="paragraph" w:customStyle="1" w:styleId="11110">
    <w:name w:val="四级标题1.1.1.1"/>
    <w:basedOn w:val="a6"/>
    <w:next w:val="a6"/>
    <w:qFormat/>
    <w:pPr>
      <w:keepNext/>
      <w:keepLines/>
      <w:widowControl/>
      <w:adjustRightInd w:val="0"/>
      <w:spacing w:before="40" w:after="40" w:line="360" w:lineRule="auto"/>
      <w:ind w:firstLineChars="200" w:firstLine="200"/>
      <w:textAlignment w:val="baseline"/>
      <w:outlineLvl w:val="3"/>
    </w:pPr>
    <w:rPr>
      <w:rFonts w:eastAsia="仿宋_GB2312" w:cs="宋体"/>
      <w:b/>
      <w:kern w:val="0"/>
      <w:sz w:val="24"/>
      <w:szCs w:val="28"/>
    </w:rPr>
  </w:style>
  <w:style w:type="paragraph" w:customStyle="1" w:styleId="Char310">
    <w:name w:val="Char31"/>
    <w:basedOn w:val="a6"/>
    <w:qFormat/>
    <w:rPr>
      <w:color w:val="000000"/>
      <w:w w:val="110"/>
      <w:kern w:val="0"/>
      <w:sz w:val="24"/>
    </w:rPr>
  </w:style>
  <w:style w:type="paragraph" w:customStyle="1" w:styleId="afffffffffffffffffffffffffffd">
    <w:name w:val="右侧"/>
    <w:qFormat/>
    <w:pPr>
      <w:spacing w:line="280" w:lineRule="exact"/>
      <w:jc w:val="right"/>
    </w:pPr>
    <w:rPr>
      <w:rFonts w:ascii="宋体" w:hAnsi="宋体"/>
      <w:color w:val="000000"/>
      <w:sz w:val="18"/>
      <w:szCs w:val="18"/>
    </w:rPr>
  </w:style>
  <w:style w:type="paragraph" w:customStyle="1" w:styleId="table">
    <w:name w:val="table"/>
    <w:basedOn w:val="a6"/>
    <w:qFormat/>
    <w:pPr>
      <w:widowControl/>
      <w:adjustRightInd w:val="0"/>
      <w:snapToGrid w:val="0"/>
      <w:jc w:val="center"/>
    </w:pPr>
    <w:rPr>
      <w:rFonts w:cs="宋体"/>
      <w:snapToGrid w:val="0"/>
      <w:kern w:val="0"/>
      <w:sz w:val="24"/>
    </w:rPr>
  </w:style>
  <w:style w:type="paragraph" w:customStyle="1" w:styleId="gb1">
    <w:name w:val="gb1"/>
    <w:basedOn w:val="a6"/>
    <w:qFormat/>
    <w:pPr>
      <w:widowControl/>
      <w:tabs>
        <w:tab w:val="left" w:pos="227"/>
      </w:tabs>
      <w:overflowPunct w:val="0"/>
      <w:autoSpaceDE w:val="0"/>
      <w:autoSpaceDN w:val="0"/>
      <w:adjustRightInd w:val="0"/>
      <w:spacing w:before="120" w:after="120"/>
      <w:textAlignment w:val="baseline"/>
    </w:pPr>
    <w:rPr>
      <w:rFonts w:ascii="Arial" w:eastAsia="仿宋体" w:hAnsi="Arial"/>
      <w:kern w:val="0"/>
      <w:szCs w:val="20"/>
    </w:rPr>
  </w:style>
  <w:style w:type="paragraph" w:customStyle="1" w:styleId="2151">
    <w:name w:val="样式 首行缩进:  2 字符 行距: 1.5 倍行距"/>
    <w:basedOn w:val="a6"/>
    <w:qFormat/>
    <w:pPr>
      <w:widowControl/>
      <w:spacing w:line="360" w:lineRule="auto"/>
      <w:ind w:firstLineChars="200" w:firstLine="200"/>
      <w:jc w:val="left"/>
    </w:pPr>
    <w:rPr>
      <w:rFonts w:ascii="宋体" w:hAnsi="宋体" w:cs="宋体"/>
      <w:kern w:val="0"/>
      <w:sz w:val="28"/>
      <w:szCs w:val="20"/>
    </w:rPr>
  </w:style>
  <w:style w:type="paragraph" w:customStyle="1" w:styleId="afffffffffffffffffffffffffffe">
    <w:name w:val="列表标题"/>
    <w:basedOn w:val="a6"/>
    <w:next w:val="a6"/>
    <w:qFormat/>
    <w:pPr>
      <w:jc w:val="center"/>
    </w:pPr>
    <w:rPr>
      <w:sz w:val="24"/>
      <w:szCs w:val="20"/>
    </w:rPr>
  </w:style>
  <w:style w:type="paragraph" w:customStyle="1" w:styleId="TOC11">
    <w:name w:val="TOC 标题11"/>
    <w:basedOn w:val="12"/>
    <w:next w:val="a6"/>
    <w:qFormat/>
    <w:pPr>
      <w:keepNext w:val="0"/>
      <w:keepLines w:val="0"/>
      <w:widowControl/>
      <w:spacing w:beforeLines="100" w:before="0" w:afterLines="100" w:after="0" w:line="276" w:lineRule="auto"/>
      <w:jc w:val="left"/>
      <w:outlineLvl w:val="9"/>
    </w:pPr>
    <w:rPr>
      <w:rFonts w:ascii="Cambria" w:hAnsi="Cambria"/>
      <w:b w:val="0"/>
      <w:color w:val="365F91"/>
      <w:kern w:val="2"/>
      <w:sz w:val="32"/>
      <w:szCs w:val="24"/>
    </w:rPr>
  </w:style>
  <w:style w:type="paragraph" w:customStyle="1" w:styleId="xl941">
    <w:name w:val="xl941"/>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1114">
    <w:name w:val="表－左对齐111"/>
    <w:basedOn w:val="a6"/>
    <w:qFormat/>
    <w:pPr>
      <w:suppressLineNumbers/>
      <w:suppressAutoHyphens/>
      <w:snapToGrid w:val="0"/>
      <w:spacing w:before="60" w:after="60"/>
      <w:jc w:val="left"/>
    </w:pPr>
    <w:rPr>
      <w:rFonts w:cs="Arial"/>
      <w:kern w:val="0"/>
      <w:sz w:val="24"/>
      <w:szCs w:val="21"/>
      <w:lang w:eastAsia="ja-JP"/>
    </w:rPr>
  </w:style>
  <w:style w:type="paragraph" w:customStyle="1" w:styleId="252">
    <w:name w:val="样式 正文文字缩进 + 左侧:  2.5 字符"/>
    <w:basedOn w:val="af9"/>
    <w:qFormat/>
    <w:pPr>
      <w:spacing w:after="120" w:line="240" w:lineRule="auto"/>
      <w:ind w:leftChars="200" w:left="420" w:firstLine="0"/>
    </w:pPr>
    <w:rPr>
      <w:rFonts w:ascii="Times New Roman" w:hAnsi="Times New Roman"/>
      <w:sz w:val="21"/>
    </w:rPr>
  </w:style>
  <w:style w:type="paragraph" w:customStyle="1" w:styleId="CharCharCharCharCharCharCharCharCharCharChar1CharCharCharChar1">
    <w:name w:val="Char Char Char Char Char Char Char Char Char Char Char1 Char Char Char Char1"/>
    <w:basedOn w:val="a6"/>
    <w:qFormat/>
  </w:style>
  <w:style w:type="paragraph" w:customStyle="1" w:styleId="0850505">
    <w:name w:val="样式 正文样式 + 首行缩进:  0.85 厘米 段前: 0.5 行 段后: 0.5 行"/>
    <w:basedOn w:val="a6"/>
    <w:next w:val="a6"/>
    <w:qFormat/>
    <w:pPr>
      <w:spacing w:before="120" w:after="120" w:line="360" w:lineRule="auto"/>
      <w:ind w:firstLine="482"/>
    </w:pPr>
    <w:rPr>
      <w:rFonts w:ascii="Arial" w:hAnsi="Arial"/>
      <w:sz w:val="24"/>
      <w:szCs w:val="20"/>
    </w:rPr>
  </w:style>
  <w:style w:type="paragraph" w:customStyle="1" w:styleId="Web2">
    <w:name w:val="普通(Web)2"/>
    <w:basedOn w:val="a6"/>
    <w:qFormat/>
    <w:pPr>
      <w:widowControl/>
      <w:spacing w:before="225" w:after="225" w:line="345" w:lineRule="atLeast"/>
      <w:jc w:val="left"/>
    </w:pPr>
    <w:rPr>
      <w:rFonts w:ascii="宋体" w:hAnsi="宋体" w:cs="宋体"/>
      <w:kern w:val="0"/>
      <w:szCs w:val="21"/>
    </w:rPr>
  </w:style>
  <w:style w:type="paragraph" w:customStyle="1" w:styleId="3-ls">
    <w:name w:val="标3-ls"/>
    <w:basedOn w:val="33"/>
    <w:qFormat/>
    <w:pPr>
      <w:adjustRightInd w:val="0"/>
      <w:spacing w:beforeLines="10" w:afterLines="10" w:line="360" w:lineRule="auto"/>
    </w:pPr>
    <w:rPr>
      <w:rFonts w:cs="宋体"/>
      <w:spacing w:val="0"/>
      <w:sz w:val="24"/>
      <w:szCs w:val="20"/>
    </w:rPr>
  </w:style>
  <w:style w:type="paragraph" w:customStyle="1" w:styleId="CharCharCharCharCharCharCharCharCharCharCharCharCharCharCharCharCharCharCharCharCharCharCharCharCharChar1">
    <w:name w:val="Char Char Char Char Char Char Char Char Char Char Char Char Char Char Char Char Char Char Char Char Char Char Char Char Char Char1"/>
    <w:basedOn w:val="a6"/>
    <w:qFormat/>
  </w:style>
  <w:style w:type="paragraph" w:customStyle="1" w:styleId="affffffffffffffffffffffffffff">
    <w:name w:val="表头！！！！"/>
    <w:basedOn w:val="a6"/>
    <w:qFormat/>
    <w:pPr>
      <w:spacing w:line="360" w:lineRule="auto"/>
      <w:jc w:val="center"/>
    </w:pPr>
    <w:rPr>
      <w:rFonts w:ascii="楷体_GB2312" w:eastAsia="楷体_GB2312" w:hAnsi="宋体"/>
      <w:b/>
      <w:sz w:val="24"/>
    </w:rPr>
  </w:style>
  <w:style w:type="paragraph" w:customStyle="1" w:styleId="CharCharCharCharCharCharCharCharCharCharCharCharCharCharCharChar">
    <w:name w:val="Char Char Char Char Char Char Char Char Char Char Char Char Char Char Char Char"/>
    <w:basedOn w:val="a6"/>
    <w:qFormat/>
  </w:style>
  <w:style w:type="paragraph" w:customStyle="1" w:styleId="reader-word-layerreader-word-s10-7">
    <w:name w:val="reader-word-layer reader-word-s10-7"/>
    <w:basedOn w:val="a6"/>
    <w:qFormat/>
    <w:pPr>
      <w:widowControl/>
      <w:spacing w:before="100" w:beforeAutospacing="1" w:after="100" w:afterAutospacing="1"/>
      <w:jc w:val="left"/>
    </w:pPr>
    <w:rPr>
      <w:rFonts w:ascii="宋体" w:hAnsi="宋体" w:cs="宋体"/>
      <w:color w:val="000000"/>
      <w:w w:val="110"/>
      <w:kern w:val="0"/>
      <w:sz w:val="24"/>
    </w:rPr>
  </w:style>
  <w:style w:type="paragraph" w:customStyle="1" w:styleId="xl988">
    <w:name w:val="xl988"/>
    <w:basedOn w:val="a6"/>
    <w:qFormat/>
    <w:pPr>
      <w:widowControl/>
      <w:spacing w:before="100" w:beforeAutospacing="1" w:after="100" w:afterAutospacing="1"/>
      <w:jc w:val="left"/>
    </w:pPr>
    <w:rPr>
      <w:rFonts w:ascii="宋体" w:hAnsi="宋体" w:cs="宋体"/>
      <w:kern w:val="0"/>
      <w:sz w:val="18"/>
      <w:szCs w:val="18"/>
    </w:rPr>
  </w:style>
  <w:style w:type="paragraph" w:customStyle="1" w:styleId="480">
    <w:name w:val="短简表48"/>
    <w:basedOn w:val="a6"/>
    <w:qFormat/>
    <w:pPr>
      <w:adjustRightInd w:val="0"/>
      <w:snapToGrid w:val="0"/>
      <w:spacing w:before="120" w:after="120"/>
      <w:ind w:leftChars="245" w:left="1068" w:hangingChars="200" w:hanging="480"/>
    </w:pPr>
    <w:rPr>
      <w:sz w:val="24"/>
    </w:rPr>
  </w:style>
  <w:style w:type="paragraph" w:customStyle="1" w:styleId="reader-word-layerreader-word-s1-7">
    <w:name w:val="reader-word-layer reader-word-s1-7"/>
    <w:basedOn w:val="a6"/>
    <w:qFormat/>
    <w:pPr>
      <w:widowControl/>
      <w:spacing w:before="100" w:beforeAutospacing="1" w:after="100" w:afterAutospacing="1"/>
      <w:jc w:val="left"/>
    </w:pPr>
    <w:rPr>
      <w:rFonts w:ascii="宋体" w:hAnsi="宋体" w:cs="宋体"/>
      <w:kern w:val="0"/>
      <w:sz w:val="24"/>
    </w:rPr>
  </w:style>
  <w:style w:type="paragraph" w:customStyle="1" w:styleId="xl1011">
    <w:name w:val="xl1011"/>
    <w:basedOn w:val="a6"/>
    <w:qFormat/>
    <w:pPr>
      <w:widowControl/>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kern w:val="0"/>
      <w:sz w:val="18"/>
      <w:szCs w:val="18"/>
    </w:rPr>
  </w:style>
  <w:style w:type="paragraph" w:customStyle="1" w:styleId="Style">
    <w:name w:val="Style"/>
    <w:basedOn w:val="a6"/>
    <w:qFormat/>
    <w:pPr>
      <w:widowControl/>
      <w:numPr>
        <w:numId w:val="23"/>
      </w:numPr>
      <w:tabs>
        <w:tab w:val="clear" w:pos="360"/>
        <w:tab w:val="left" w:pos="540"/>
        <w:tab w:val="left" w:pos="1080"/>
        <w:tab w:val="left" w:pos="1620"/>
        <w:tab w:val="left" w:pos="2160"/>
        <w:tab w:val="left" w:pos="2700"/>
        <w:tab w:val="left" w:pos="3240"/>
      </w:tabs>
      <w:spacing w:line="312" w:lineRule="auto"/>
      <w:ind w:left="1620" w:hanging="540"/>
    </w:pPr>
    <w:rPr>
      <w:rFonts w:ascii="Arial" w:hAnsi="Arial"/>
      <w:b/>
      <w:snapToGrid w:val="0"/>
      <w:kern w:val="0"/>
      <w:sz w:val="24"/>
      <w:szCs w:val="20"/>
      <w:u w:val="single"/>
      <w:lang w:eastAsia="en-US"/>
    </w:rPr>
  </w:style>
  <w:style w:type="paragraph" w:customStyle="1" w:styleId="haydonli2">
    <w:name w:val="样式 haydonli + 首行缩进:  2 字符"/>
    <w:basedOn w:val="a6"/>
    <w:qFormat/>
    <w:pPr>
      <w:adjustRightInd w:val="0"/>
      <w:snapToGrid w:val="0"/>
      <w:spacing w:before="93" w:after="93" w:line="420" w:lineRule="exact"/>
      <w:ind w:left="-60" w:right="-60" w:firstLineChars="225" w:firstLine="540"/>
    </w:pPr>
    <w:rPr>
      <w:rFonts w:ascii="宋体" w:hAnsi="宋体" w:cs="宋体"/>
      <w:bCs/>
      <w:sz w:val="24"/>
    </w:rPr>
  </w:style>
  <w:style w:type="paragraph" w:customStyle="1" w:styleId="NewNewNewNew">
    <w:name w:val="正文 New New New New"/>
    <w:qFormat/>
    <w:pPr>
      <w:widowControl w:val="0"/>
      <w:adjustRightInd w:val="0"/>
      <w:snapToGrid w:val="0"/>
      <w:spacing w:line="360" w:lineRule="auto"/>
      <w:jc w:val="both"/>
    </w:pPr>
    <w:rPr>
      <w:snapToGrid w:val="0"/>
      <w:sz w:val="24"/>
    </w:rPr>
  </w:style>
  <w:style w:type="paragraph" w:customStyle="1" w:styleId="reader-word-layerreader-word-s1-9">
    <w:name w:val="reader-word-layer reader-word-s1-9"/>
    <w:basedOn w:val="a6"/>
    <w:qFormat/>
    <w:pPr>
      <w:widowControl/>
      <w:spacing w:before="100" w:beforeAutospacing="1" w:after="100" w:afterAutospacing="1"/>
      <w:jc w:val="left"/>
    </w:pPr>
    <w:rPr>
      <w:rFonts w:ascii="宋体" w:hAnsi="宋体" w:cs="宋体"/>
      <w:kern w:val="0"/>
      <w:sz w:val="24"/>
    </w:rPr>
  </w:style>
  <w:style w:type="paragraph" w:customStyle="1" w:styleId="200101">
    <w:name w:val="样式 样式 标题 2 + 首行缩进： 0磅 + + 段前: 0.1 行 段后: 0.1 行"/>
    <w:basedOn w:val="a6"/>
    <w:qFormat/>
    <w:pPr>
      <w:keepNext/>
      <w:keepLines/>
      <w:tabs>
        <w:tab w:val="left" w:pos="8140"/>
      </w:tabs>
      <w:spacing w:beforeLines="10" w:afterLines="10" w:line="560" w:lineRule="exact"/>
      <w:jc w:val="left"/>
      <w:outlineLvl w:val="1"/>
    </w:pPr>
    <w:rPr>
      <w:rFonts w:ascii="宋体" w:eastAsia="黑体" w:hAnsi="宋体" w:cs="宋体"/>
      <w:color w:val="000000"/>
      <w:sz w:val="30"/>
      <w:szCs w:val="20"/>
    </w:rPr>
  </w:style>
  <w:style w:type="paragraph" w:customStyle="1" w:styleId="affffffffffffffffffffffffffff0">
    <w:name w:val="正文小四缩"/>
    <w:basedOn w:val="a6"/>
    <w:qFormat/>
    <w:pPr>
      <w:widowControl/>
      <w:adjustRightInd w:val="0"/>
      <w:spacing w:before="120" w:line="460" w:lineRule="atLeast"/>
      <w:ind w:firstLine="510"/>
      <w:jc w:val="left"/>
      <w:textAlignment w:val="baseline"/>
    </w:pPr>
    <w:rPr>
      <w:rFonts w:ascii="仿宋_GB2312" w:eastAsia="仿宋_GB2312" w:hAnsi="宋体" w:cs="宋体"/>
      <w:bCs/>
      <w:kern w:val="0"/>
      <w:sz w:val="28"/>
      <w:szCs w:val="20"/>
    </w:rPr>
  </w:style>
  <w:style w:type="paragraph" w:customStyle="1" w:styleId="affffffffffffffffffffffffffff1">
    <w:name w:val="表格文字五号"/>
    <w:basedOn w:val="a6"/>
    <w:next w:val="a6"/>
    <w:qFormat/>
    <w:pPr>
      <w:jc w:val="center"/>
    </w:pPr>
    <w:rPr>
      <w:rFonts w:ascii="Times" w:hAnsi="Times"/>
      <w:kern w:val="21"/>
      <w:sz w:val="24"/>
      <w:szCs w:val="20"/>
    </w:rPr>
  </w:style>
  <w:style w:type="paragraph" w:customStyle="1" w:styleId="NormalIndent1">
    <w:name w:val="Normal Indent1"/>
    <w:basedOn w:val="a6"/>
    <w:qFormat/>
    <w:pPr>
      <w:spacing w:line="360" w:lineRule="auto"/>
      <w:ind w:left="432" w:firstLineChars="200" w:hanging="432"/>
      <w:jc w:val="left"/>
    </w:pPr>
    <w:rPr>
      <w:spacing w:val="20"/>
      <w:kern w:val="0"/>
      <w:sz w:val="24"/>
      <w:szCs w:val="20"/>
    </w:rPr>
  </w:style>
  <w:style w:type="paragraph" w:customStyle="1" w:styleId="21b">
    <w:name w:val="日期21"/>
    <w:basedOn w:val="a6"/>
    <w:next w:val="a6"/>
    <w:qFormat/>
    <w:pPr>
      <w:adjustRightInd w:val="0"/>
      <w:spacing w:line="240" w:lineRule="atLeast"/>
      <w:jc w:val="left"/>
      <w:textAlignment w:val="baseline"/>
    </w:pPr>
    <w:rPr>
      <w:rFonts w:ascii="宋体"/>
      <w:kern w:val="0"/>
      <w:sz w:val="28"/>
      <w:szCs w:val="20"/>
    </w:rPr>
  </w:style>
  <w:style w:type="paragraph" w:customStyle="1" w:styleId="DefaultText">
    <w:name w:val="Default Text"/>
    <w:qFormat/>
    <w:pPr>
      <w:widowControl w:val="0"/>
      <w:autoSpaceDE w:val="0"/>
      <w:autoSpaceDN w:val="0"/>
      <w:adjustRightInd w:val="0"/>
    </w:pPr>
    <w:rPr>
      <w:color w:val="000000"/>
      <w:sz w:val="24"/>
    </w:rPr>
  </w:style>
  <w:style w:type="paragraph" w:customStyle="1" w:styleId="4Arial125">
    <w:name w:val="样式 标题 4 + Arial 行距: 多倍行距 1.25 字行"/>
    <w:basedOn w:val="41"/>
    <w:qFormat/>
    <w:pPr>
      <w:keepLines w:val="0"/>
      <w:tabs>
        <w:tab w:val="left" w:pos="864"/>
      </w:tabs>
      <w:adjustRightInd/>
      <w:snapToGrid/>
      <w:spacing w:beforeLines="0" w:before="0" w:line="336" w:lineRule="auto"/>
      <w:ind w:firstLineChars="200" w:firstLine="560"/>
    </w:pPr>
    <w:rPr>
      <w:rFonts w:hAnsi="Arial" w:cs="宋体"/>
      <w:bCs w:val="0"/>
      <w:kern w:val="0"/>
      <w:sz w:val="24"/>
      <w:szCs w:val="28"/>
    </w:rPr>
  </w:style>
  <w:style w:type="paragraph" w:customStyle="1" w:styleId="xl72">
    <w:name w:val="xl72"/>
    <w:basedOn w:val="a6"/>
    <w:qFormat/>
    <w:pPr>
      <w:widowControl/>
      <w:pBdr>
        <w:left w:val="single" w:sz="4" w:space="0" w:color="auto"/>
        <w:bottom w:val="single" w:sz="8" w:space="0" w:color="auto"/>
        <w:right w:val="single" w:sz="8" w:space="0" w:color="auto"/>
      </w:pBdr>
      <w:spacing w:before="100" w:beforeAutospacing="1" w:after="100" w:afterAutospacing="1"/>
      <w:jc w:val="left"/>
      <w:textAlignment w:val="center"/>
    </w:pPr>
    <w:rPr>
      <w:rFonts w:ascii="Arial Unicode MS" w:eastAsia="Arial Unicode MS" w:hAnsi="Arial Unicode MS"/>
      <w:kern w:val="0"/>
      <w:sz w:val="24"/>
      <w:szCs w:val="20"/>
    </w:rPr>
  </w:style>
  <w:style w:type="paragraph" w:customStyle="1" w:styleId="6a">
    <w:name w:val="样式 表头6 + 居中"/>
    <w:basedOn w:val="69"/>
    <w:qFormat/>
    <w:pPr>
      <w:jc w:val="center"/>
    </w:pPr>
    <w:rPr>
      <w:rFonts w:cs="宋体"/>
      <w:b w:val="0"/>
      <w:bCs/>
      <w:szCs w:val="20"/>
    </w:rPr>
  </w:style>
  <w:style w:type="paragraph" w:customStyle="1" w:styleId="Char2CharCharChar">
    <w:name w:val="Char2 Char Char Char"/>
    <w:basedOn w:val="a6"/>
    <w:qFormat/>
    <w:pPr>
      <w:spacing w:line="360" w:lineRule="auto"/>
      <w:ind w:firstLineChars="200" w:firstLine="200"/>
    </w:pPr>
    <w:rPr>
      <w:rFonts w:ascii="宋体" w:hAnsi="宋体" w:cs="宋体"/>
      <w:sz w:val="24"/>
    </w:rPr>
  </w:style>
  <w:style w:type="paragraph" w:customStyle="1" w:styleId="1fffff0">
    <w:name w:val="纯文本1"/>
    <w:basedOn w:val="a6"/>
    <w:qFormat/>
    <w:pPr>
      <w:adjustRightInd w:val="0"/>
      <w:jc w:val="left"/>
      <w:textAlignment w:val="baseline"/>
    </w:pPr>
    <w:rPr>
      <w:rFonts w:ascii="宋体"/>
      <w:kern w:val="0"/>
      <w:sz w:val="24"/>
      <w:szCs w:val="20"/>
    </w:rPr>
  </w:style>
  <w:style w:type="paragraph" w:customStyle="1" w:styleId="CharCharCharCharCharCharCharCharCharCharCharCharCharCharCharCharCharCharChar0">
    <w:name w:val="Char Char Char Char Char Char Char Char Char Char Char Char Char Char Char Char Char Char Char"/>
    <w:basedOn w:val="a6"/>
    <w:qFormat/>
    <w:rPr>
      <w:szCs w:val="20"/>
    </w:rPr>
  </w:style>
  <w:style w:type="paragraph" w:customStyle="1" w:styleId="c0">
    <w:name w:val="c"/>
    <w:qFormat/>
    <w:pPr>
      <w:widowControl w:val="0"/>
      <w:autoSpaceDE w:val="0"/>
      <w:autoSpaceDN w:val="0"/>
      <w:adjustRightInd w:val="0"/>
      <w:jc w:val="both"/>
    </w:pPr>
    <w:rPr>
      <w:rFonts w:ascii="Arial" w:hAnsi="Arial"/>
      <w:sz w:val="24"/>
      <w:szCs w:val="24"/>
    </w:rPr>
  </w:style>
  <w:style w:type="paragraph" w:customStyle="1" w:styleId="xl68">
    <w:name w:val="xl68"/>
    <w:basedOn w:val="a6"/>
    <w:qFormat/>
    <w:pPr>
      <w:widowControl/>
      <w:pBdr>
        <w:left w:val="single" w:sz="8" w:space="0" w:color="auto"/>
        <w:bottom w:val="single" w:sz="8" w:space="0" w:color="auto"/>
        <w:right w:val="single" w:sz="4" w:space="0" w:color="auto"/>
      </w:pBdr>
      <w:spacing w:before="100" w:beforeAutospacing="1" w:after="100" w:afterAutospacing="1"/>
      <w:jc w:val="center"/>
      <w:textAlignment w:val="center"/>
    </w:pPr>
    <w:rPr>
      <w:rFonts w:ascii="宋体" w:eastAsia="Arial Unicode MS"/>
      <w:kern w:val="0"/>
      <w:sz w:val="20"/>
      <w:szCs w:val="20"/>
    </w:rPr>
  </w:style>
  <w:style w:type="paragraph" w:customStyle="1" w:styleId="CharCharCharCharChar2CharCharCharChar">
    <w:name w:val="Char Char Char Char Char2 Char Char Char Char"/>
    <w:basedOn w:val="a6"/>
    <w:qFormat/>
    <w:pPr>
      <w:adjustRightInd w:val="0"/>
      <w:snapToGrid w:val="0"/>
      <w:spacing w:line="360" w:lineRule="auto"/>
      <w:ind w:firstLineChars="200" w:firstLine="200"/>
    </w:pPr>
    <w:rPr>
      <w:rFonts w:ascii="宋体" w:hAnsi="宋体" w:cs="宋体"/>
      <w:sz w:val="24"/>
      <w:szCs w:val="26"/>
    </w:rPr>
  </w:style>
  <w:style w:type="paragraph" w:customStyle="1" w:styleId="CM64">
    <w:name w:val="CM64"/>
    <w:basedOn w:val="Default"/>
    <w:next w:val="Default"/>
    <w:qFormat/>
    <w:rPr>
      <w:rFonts w:ascii="黑体" w:eastAsia="黑体"/>
      <w:color w:val="auto"/>
    </w:rPr>
  </w:style>
  <w:style w:type="paragraph" w:customStyle="1" w:styleId="CharCharCharCharCharChar1CharCharChar">
    <w:name w:val="Char Char Char Char Char Char1 Char Char Char"/>
    <w:basedOn w:val="a6"/>
    <w:qFormat/>
    <w:rPr>
      <w:color w:val="000000"/>
      <w:w w:val="110"/>
      <w:kern w:val="0"/>
      <w:sz w:val="24"/>
    </w:rPr>
  </w:style>
  <w:style w:type="paragraph" w:customStyle="1" w:styleId="11112">
    <w:name w:val="样式 1.1.1.1 厘米"/>
    <w:basedOn w:val="41"/>
    <w:qFormat/>
    <w:pPr>
      <w:keepNext w:val="0"/>
      <w:keepLines w:val="0"/>
      <w:tabs>
        <w:tab w:val="left" w:pos="1070"/>
      </w:tabs>
      <w:overflowPunct w:val="0"/>
      <w:autoSpaceDE w:val="0"/>
      <w:autoSpaceDN w:val="0"/>
      <w:spacing w:beforeLines="0" w:before="0" w:line="240" w:lineRule="exact"/>
      <w:jc w:val="left"/>
      <w:textAlignment w:val="baseline"/>
    </w:pPr>
    <w:rPr>
      <w:rFonts w:ascii="宋体" w:eastAsia="宋体" w:hAnsi="Times New Roman" w:cs="TimesNewRoman"/>
      <w:bCs w:val="0"/>
      <w:snapToGrid w:val="0"/>
      <w:sz w:val="24"/>
    </w:rPr>
  </w:style>
  <w:style w:type="paragraph" w:customStyle="1" w:styleId="affffffffffffffffffffffffffff2">
    <w:name w:val="表内图注"/>
    <w:basedOn w:val="a6"/>
    <w:qFormat/>
    <w:pPr>
      <w:keepNext/>
      <w:adjustRightInd w:val="0"/>
      <w:jc w:val="center"/>
      <w:textAlignment w:val="baseline"/>
    </w:pPr>
    <w:rPr>
      <w:rFonts w:ascii="Times" w:hAnsi="Times"/>
      <w:b/>
      <w:szCs w:val="21"/>
    </w:rPr>
  </w:style>
  <w:style w:type="paragraph" w:customStyle="1" w:styleId="Achievement">
    <w:name w:val="Achievement"/>
    <w:basedOn w:val="a6"/>
    <w:qFormat/>
    <w:pPr>
      <w:tabs>
        <w:tab w:val="left" w:pos="1620"/>
        <w:tab w:val="left" w:pos="2040"/>
      </w:tabs>
      <w:spacing w:line="440" w:lineRule="exact"/>
      <w:ind w:leftChars="800" w:left="2040" w:hangingChars="200" w:hanging="360"/>
    </w:pPr>
    <w:rPr>
      <w:szCs w:val="20"/>
    </w:rPr>
  </w:style>
  <w:style w:type="paragraph" w:customStyle="1" w:styleId="353">
    <w:name w:val="样式 燕山正文 + 首行缩进:  3.5 字符"/>
    <w:basedOn w:val="afffffffffffff9"/>
    <w:qFormat/>
    <w:pPr>
      <w:spacing w:beforeLines="50" w:line="240" w:lineRule="auto"/>
      <w:ind w:firstLine="520"/>
    </w:pPr>
    <w:rPr>
      <w:rFonts w:ascii="Times New Roman" w:hAnsi="Times New Roman"/>
      <w:color w:val="auto"/>
      <w:spacing w:val="10"/>
      <w:shd w:val="clear" w:color="auto" w:fill="auto"/>
    </w:rPr>
  </w:style>
  <w:style w:type="paragraph" w:customStyle="1" w:styleId="declear">
    <w:name w:val="declear"/>
    <w:basedOn w:val="a6"/>
    <w:qFormat/>
    <w:pPr>
      <w:widowControl/>
      <w:spacing w:before="100" w:beforeAutospacing="1" w:after="100" w:afterAutospacing="1"/>
      <w:jc w:val="left"/>
    </w:pPr>
    <w:rPr>
      <w:rFonts w:ascii="宋体" w:hAnsi="宋体"/>
      <w:color w:val="000000"/>
      <w:w w:val="110"/>
      <w:kern w:val="0"/>
      <w:sz w:val="24"/>
      <w:szCs w:val="20"/>
    </w:rPr>
  </w:style>
  <w:style w:type="paragraph" w:customStyle="1" w:styleId="2fffff">
    <w:name w:val="表格方案样式2"/>
    <w:basedOn w:val="afffffffffffffff7"/>
    <w:qFormat/>
    <w:pPr>
      <w:tabs>
        <w:tab w:val="clear" w:pos="567"/>
      </w:tabs>
    </w:pPr>
    <w:rPr>
      <w:rFonts w:eastAsia="华文中宋"/>
      <w:color w:val="auto"/>
      <w:spacing w:val="0"/>
      <w:szCs w:val="24"/>
    </w:rPr>
  </w:style>
  <w:style w:type="paragraph" w:customStyle="1" w:styleId="ParaAttribute43">
    <w:name w:val="ParaAttribute43"/>
    <w:qFormat/>
    <w:pPr>
      <w:widowControl w:val="0"/>
      <w:wordWrap w:val="0"/>
      <w:spacing w:line="163" w:lineRule="exact"/>
    </w:pPr>
  </w:style>
  <w:style w:type="paragraph" w:customStyle="1" w:styleId="affffffffffffffffffffffffffff3">
    <w:name w:val="湛江码头表"/>
    <w:basedOn w:val="a6"/>
    <w:qFormat/>
    <w:pPr>
      <w:jc w:val="center"/>
    </w:pPr>
    <w:rPr>
      <w:rFonts w:eastAsia="仿宋_GB2312"/>
      <w:color w:val="000000"/>
      <w:w w:val="110"/>
      <w:kern w:val="0"/>
      <w:sz w:val="24"/>
      <w:lang w:eastAsia="zh-TW"/>
    </w:rPr>
  </w:style>
  <w:style w:type="paragraph" w:customStyle="1" w:styleId="3210">
    <w:name w:val="正文文本 321"/>
    <w:basedOn w:val="a6"/>
    <w:qFormat/>
    <w:pPr>
      <w:adjustRightInd w:val="0"/>
      <w:spacing w:line="360" w:lineRule="atLeast"/>
      <w:jc w:val="center"/>
      <w:textAlignment w:val="baseline"/>
    </w:pPr>
    <w:rPr>
      <w:rFonts w:ascii="仿宋体" w:eastAsia="仿宋体" w:hAnsi="宋体"/>
      <w:kern w:val="0"/>
      <w:sz w:val="24"/>
      <w:szCs w:val="20"/>
    </w:rPr>
  </w:style>
  <w:style w:type="paragraph" w:customStyle="1" w:styleId="2h22Header2ndPageABCh2mainh2GB2312">
    <w:name w:val="样式 标题 2h22Header 2nd PageA.B.C.h2 main h标题2 + 仿宋_GB2312 行距..."/>
    <w:basedOn w:val="22"/>
    <w:qFormat/>
    <w:pPr>
      <w:keepNext w:val="0"/>
      <w:keepLines w:val="0"/>
      <w:widowControl/>
      <w:spacing w:afterLines="50"/>
      <w:ind w:firstLineChars="162" w:firstLine="455"/>
      <w:jc w:val="left"/>
    </w:pPr>
    <w:rPr>
      <w:rFonts w:ascii="仿宋_GB2312" w:eastAsia="仿宋_GB2312" w:hAnsi="ˎ̥" w:cs="宋体"/>
      <w:spacing w:val="0"/>
      <w:w w:val="100"/>
      <w:kern w:val="2"/>
      <w:szCs w:val="20"/>
    </w:rPr>
  </w:style>
  <w:style w:type="paragraph" w:customStyle="1" w:styleId="319">
    <w:name w:val="样式 正文文本缩进 3 + 行距: 固定值 19 磅"/>
    <w:basedOn w:val="39"/>
    <w:qFormat/>
    <w:pPr>
      <w:adjustRightInd/>
      <w:snapToGrid/>
      <w:spacing w:after="120" w:line="380" w:lineRule="exact"/>
      <w:ind w:firstLineChars="0" w:firstLine="0"/>
      <w:jc w:val="center"/>
    </w:pPr>
    <w:rPr>
      <w:rFonts w:ascii="Times New Roman" w:cs="宋体"/>
      <w:color w:val="auto"/>
      <w:kern w:val="0"/>
      <w:sz w:val="16"/>
      <w:szCs w:val="20"/>
    </w:rPr>
  </w:style>
  <w:style w:type="paragraph" w:customStyle="1" w:styleId="40">
    <w:name w:val="示例和注释(不缩进4)"/>
    <w:basedOn w:val="a6"/>
    <w:semiHidden/>
    <w:qFormat/>
    <w:pPr>
      <w:widowControl/>
      <w:numPr>
        <w:ilvl w:val="7"/>
        <w:numId w:val="12"/>
      </w:numPr>
      <w:ind w:firstLine="0"/>
      <w:jc w:val="left"/>
    </w:pPr>
    <w:rPr>
      <w:rFonts w:ascii="Arial" w:hAnsi="Arial" w:cs="宋体"/>
      <w:kern w:val="0"/>
      <w:sz w:val="24"/>
    </w:rPr>
  </w:style>
  <w:style w:type="paragraph" w:customStyle="1" w:styleId="1fffff1">
    <w:name w:val="目录1"/>
    <w:basedOn w:val="13"/>
    <w:next w:val="13"/>
    <w:qFormat/>
    <w:pPr>
      <w:widowControl/>
      <w:tabs>
        <w:tab w:val="left" w:leader="dot" w:pos="8492"/>
        <w:tab w:val="right" w:leader="dot" w:pos="8525"/>
      </w:tabs>
      <w:adjustRightInd w:val="0"/>
      <w:spacing w:before="0" w:afterLines="50" w:after="0" w:line="360" w:lineRule="auto"/>
      <w:textAlignment w:val="baseline"/>
    </w:pPr>
    <w:rPr>
      <w:rFonts w:ascii="宋体" w:eastAsia="Times New Roman"/>
      <w:bCs w:val="0"/>
      <w:color w:val="000000"/>
      <w:kern w:val="0"/>
      <w:sz w:val="24"/>
      <w:szCs w:val="21"/>
      <w:u w:color="000000"/>
    </w:rPr>
  </w:style>
  <w:style w:type="paragraph" w:customStyle="1" w:styleId="affffffffffffffffffffffffffff4">
    <w:name w:val="表格文字右"/>
    <w:basedOn w:val="affffffff2"/>
    <w:qFormat/>
    <w:pPr>
      <w:keepNext/>
      <w:widowControl/>
      <w:spacing w:line="360" w:lineRule="auto"/>
      <w:ind w:rightChars="20" w:right="56"/>
      <w:jc w:val="right"/>
    </w:pPr>
    <w:rPr>
      <w:rFonts w:cs="宋体"/>
      <w:sz w:val="24"/>
      <w:szCs w:val="21"/>
    </w:rPr>
  </w:style>
  <w:style w:type="paragraph" w:customStyle="1" w:styleId="reader-word-layerreader-word-s1-0reader-word-s1-3">
    <w:name w:val="reader-word-layer reader-word-s1-0 reader-word-s1-3"/>
    <w:basedOn w:val="a6"/>
    <w:qFormat/>
    <w:pPr>
      <w:widowControl/>
      <w:spacing w:before="100" w:beforeAutospacing="1" w:after="100" w:afterAutospacing="1"/>
      <w:jc w:val="left"/>
    </w:pPr>
    <w:rPr>
      <w:rFonts w:ascii="宋体" w:hAnsi="宋体" w:cs="宋体"/>
      <w:kern w:val="0"/>
      <w:sz w:val="24"/>
    </w:rPr>
  </w:style>
  <w:style w:type="paragraph" w:customStyle="1" w:styleId="affffffffffffffffffffffffffff5">
    <w:name w:val="二级标题！！！"/>
    <w:basedOn w:val="a6"/>
    <w:qFormat/>
    <w:pPr>
      <w:spacing w:line="500" w:lineRule="exact"/>
      <w:outlineLvl w:val="1"/>
    </w:pPr>
    <w:rPr>
      <w:rFonts w:ascii="楷体_GB2312" w:eastAsia="楷体_GB2312" w:hAnsi="宋体"/>
      <w:b/>
      <w:sz w:val="28"/>
    </w:rPr>
  </w:style>
  <w:style w:type="paragraph" w:customStyle="1" w:styleId="323">
    <w:name w:val="表格 32"/>
    <w:basedOn w:val="a6"/>
    <w:qFormat/>
    <w:pPr>
      <w:autoSpaceDE w:val="0"/>
      <w:autoSpaceDN w:val="0"/>
      <w:adjustRightInd w:val="0"/>
      <w:spacing w:line="360" w:lineRule="auto"/>
      <w:ind w:firstLineChars="200" w:firstLine="200"/>
      <w:jc w:val="center"/>
      <w:textAlignment w:val="baseline"/>
    </w:pPr>
    <w:rPr>
      <w:kern w:val="0"/>
      <w:sz w:val="24"/>
    </w:rPr>
  </w:style>
  <w:style w:type="paragraph" w:customStyle="1" w:styleId="affffffffffffffffffffffffffff6">
    <w:name w:val="表体宋旭峰"/>
    <w:basedOn w:val="a6"/>
    <w:qFormat/>
    <w:pPr>
      <w:tabs>
        <w:tab w:val="left" w:pos="3685"/>
      </w:tabs>
      <w:overflowPunct w:val="0"/>
      <w:spacing w:line="300" w:lineRule="exact"/>
      <w:jc w:val="center"/>
      <w:textAlignment w:val="baseline"/>
    </w:pPr>
    <w:rPr>
      <w:rFonts w:ascii="宋体" w:hAnsi="Courier New" w:cs="Courier New"/>
      <w:snapToGrid w:val="0"/>
      <w:kern w:val="0"/>
      <w:sz w:val="18"/>
      <w:szCs w:val="18"/>
    </w:rPr>
  </w:style>
  <w:style w:type="paragraph" w:customStyle="1" w:styleId="xl71">
    <w:name w:val="xl71"/>
    <w:basedOn w:val="a6"/>
    <w:qFormat/>
    <w:pPr>
      <w:widowControl/>
      <w:pBdr>
        <w:left w:val="single" w:sz="4" w:space="0" w:color="auto"/>
        <w:bottom w:val="single" w:sz="8" w:space="0" w:color="auto"/>
      </w:pBdr>
      <w:spacing w:before="100" w:beforeAutospacing="1" w:after="100" w:afterAutospacing="1"/>
      <w:jc w:val="center"/>
      <w:textAlignment w:val="center"/>
    </w:pPr>
    <w:rPr>
      <w:rFonts w:ascii="宋体" w:eastAsia="Arial Unicode MS"/>
      <w:kern w:val="0"/>
      <w:sz w:val="24"/>
      <w:szCs w:val="20"/>
    </w:rPr>
  </w:style>
  <w:style w:type="paragraph" w:customStyle="1" w:styleId="5155Char21Char2Char2-004">
    <w:name w:val="样式 标题 51)项标5标题 5 Char21) Char2项 Char2 + 左侧:  -0.04 厘米"/>
    <w:basedOn w:val="a6"/>
    <w:semiHidden/>
    <w:qFormat/>
    <w:pPr>
      <w:keepNext/>
      <w:widowControl/>
      <w:tabs>
        <w:tab w:val="left" w:pos="432"/>
        <w:tab w:val="left" w:pos="560"/>
        <w:tab w:val="left" w:pos="628"/>
        <w:tab w:val="left" w:pos="1727"/>
        <w:tab w:val="left" w:pos="1884"/>
        <w:tab w:val="left" w:pos="2660"/>
        <w:tab w:val="left" w:pos="5460"/>
        <w:tab w:val="left" w:leader="middleDot" w:pos="7915"/>
      </w:tabs>
      <w:autoSpaceDE w:val="0"/>
      <w:autoSpaceDN w:val="0"/>
      <w:adjustRightInd w:val="0"/>
      <w:snapToGrid w:val="0"/>
      <w:spacing w:line="360" w:lineRule="auto"/>
      <w:ind w:leftChars="153" w:left="432" w:firstLineChars="50" w:hanging="432"/>
      <w:jc w:val="left"/>
    </w:pPr>
    <w:rPr>
      <w:rFonts w:ascii="黑体" w:eastAsia="黑体" w:cs="宋体"/>
      <w:kern w:val="0"/>
      <w:sz w:val="28"/>
      <w:szCs w:val="28"/>
    </w:rPr>
  </w:style>
  <w:style w:type="paragraph" w:customStyle="1" w:styleId="affffffffffffffffffffffffffff7">
    <w:name w:val="首行缩进"/>
    <w:basedOn w:val="a6"/>
    <w:qFormat/>
    <w:pPr>
      <w:spacing w:line="400" w:lineRule="exact"/>
      <w:jc w:val="center"/>
    </w:pPr>
    <w:rPr>
      <w:rFonts w:ascii="宋体" w:eastAsia="黑体"/>
      <w:kern w:val="0"/>
      <w:sz w:val="24"/>
      <w:szCs w:val="20"/>
    </w:rPr>
  </w:style>
  <w:style w:type="paragraph" w:customStyle="1" w:styleId="3fff">
    <w:name w:val="纯文本3"/>
    <w:basedOn w:val="a6"/>
    <w:qFormat/>
    <w:pPr>
      <w:adjustRightInd w:val="0"/>
      <w:textAlignment w:val="baseline"/>
    </w:pPr>
    <w:rPr>
      <w:rFonts w:ascii="宋体" w:hAnsi="Courier New"/>
      <w:color w:val="000000"/>
      <w:kern w:val="0"/>
      <w:szCs w:val="20"/>
    </w:rPr>
  </w:style>
  <w:style w:type="paragraph" w:customStyle="1" w:styleId="CharCharCharCharCharCharCharCharCharCharCharCharCharCharCharCharChar2">
    <w:name w:val="Char Char Char Char Char Char Char Char Char Char Char Char Char Char Char Char Char2"/>
    <w:basedOn w:val="a6"/>
    <w:qFormat/>
  </w:style>
  <w:style w:type="paragraph" w:customStyle="1" w:styleId="affffffffffffffffffffffffffff8">
    <w:name w:val="三级无标题条"/>
    <w:basedOn w:val="a6"/>
    <w:qFormat/>
  </w:style>
  <w:style w:type="paragraph" w:customStyle="1" w:styleId="CM70">
    <w:name w:val="CM70"/>
    <w:basedOn w:val="a6"/>
    <w:next w:val="a6"/>
    <w:qFormat/>
    <w:pPr>
      <w:autoSpaceDE w:val="0"/>
      <w:autoSpaceDN w:val="0"/>
      <w:adjustRightInd w:val="0"/>
      <w:spacing w:after="173"/>
      <w:jc w:val="left"/>
    </w:pPr>
    <w:rPr>
      <w:rFonts w:ascii="宋体" w:hAnsi="Calibri"/>
      <w:kern w:val="0"/>
      <w:sz w:val="24"/>
      <w:szCs w:val="20"/>
    </w:rPr>
  </w:style>
  <w:style w:type="paragraph" w:customStyle="1" w:styleId="11f3">
    <w:name w:val="11"/>
    <w:basedOn w:val="a6"/>
    <w:next w:val="af0"/>
    <w:qFormat/>
    <w:pPr>
      <w:widowControl/>
      <w:ind w:firstLine="420"/>
      <w:jc w:val="left"/>
    </w:pPr>
    <w:rPr>
      <w:kern w:val="0"/>
      <w:sz w:val="28"/>
      <w:szCs w:val="20"/>
    </w:rPr>
  </w:style>
  <w:style w:type="paragraph" w:customStyle="1" w:styleId="affffffffffffffffffffffffffff9">
    <w:name w:val="页号"/>
    <w:basedOn w:val="aff0"/>
    <w:qFormat/>
    <w:pPr>
      <w:tabs>
        <w:tab w:val="clear" w:pos="4153"/>
        <w:tab w:val="clear" w:pos="9214"/>
        <w:tab w:val="center" w:pos="4320"/>
        <w:tab w:val="right" w:pos="8640"/>
      </w:tabs>
      <w:snapToGrid/>
      <w:jc w:val="center"/>
      <w:textAlignment w:val="baseline"/>
    </w:pPr>
    <w:rPr>
      <w:rFonts w:ascii="宋体" w:eastAsia="Times New Roman" w:hAnsi="Arial"/>
      <w:b w:val="0"/>
      <w:color w:val="000000"/>
      <w:spacing w:val="3"/>
      <w:w w:val="110"/>
      <w:kern w:val="24"/>
      <w:sz w:val="24"/>
      <w:szCs w:val="20"/>
      <w:lang w:val="en-US"/>
    </w:rPr>
  </w:style>
  <w:style w:type="paragraph" w:customStyle="1" w:styleId="7Char2">
    <w:name w:val="标题7 Char"/>
    <w:basedOn w:val="a6"/>
    <w:next w:val="a6"/>
    <w:qFormat/>
    <w:pPr>
      <w:keepNext/>
      <w:widowControl/>
      <w:tabs>
        <w:tab w:val="left" w:pos="360"/>
        <w:tab w:val="left" w:pos="560"/>
      </w:tabs>
      <w:jc w:val="center"/>
    </w:pPr>
    <w:rPr>
      <w:rFonts w:eastAsia="黑体" w:cs="黑体"/>
      <w:bCs/>
      <w:color w:val="000000"/>
      <w:kern w:val="0"/>
      <w:sz w:val="24"/>
    </w:rPr>
  </w:style>
  <w:style w:type="paragraph" w:customStyle="1" w:styleId="134">
    <w:name w:val="样式 宋体 小四 行距: 多倍行距 1.3 字行"/>
    <w:basedOn w:val="a6"/>
    <w:qFormat/>
    <w:pPr>
      <w:spacing w:line="312" w:lineRule="auto"/>
      <w:ind w:firstLineChars="200" w:firstLine="480"/>
    </w:pPr>
    <w:rPr>
      <w:rFonts w:ascii="宋体" w:hAnsi="宋体" w:cs="宋体"/>
      <w:sz w:val="24"/>
      <w:szCs w:val="20"/>
    </w:rPr>
  </w:style>
  <w:style w:type="paragraph" w:customStyle="1" w:styleId="affffffffffffffffffffffffffffa">
    <w:name w:val="样式_表头"/>
    <w:qFormat/>
    <w:pPr>
      <w:tabs>
        <w:tab w:val="left" w:pos="720"/>
      </w:tabs>
      <w:adjustRightInd w:val="0"/>
      <w:snapToGrid w:val="0"/>
      <w:jc w:val="center"/>
    </w:pPr>
    <w:rPr>
      <w:b/>
      <w:kern w:val="2"/>
      <w:sz w:val="24"/>
    </w:rPr>
  </w:style>
  <w:style w:type="paragraph" w:customStyle="1" w:styleId="affffffffffffffffffffffffffffb">
    <w:name w:val="正文图竖五"/>
    <w:basedOn w:val="a6"/>
    <w:qFormat/>
    <w:pPr>
      <w:jc w:val="center"/>
    </w:pPr>
    <w:rPr>
      <w:rFonts w:eastAsia="仿宋_GB2312"/>
      <w:color w:val="000000"/>
      <w:kern w:val="0"/>
      <w:szCs w:val="21"/>
    </w:rPr>
  </w:style>
  <w:style w:type="paragraph" w:customStyle="1" w:styleId="xl51">
    <w:name w:val="xl51"/>
    <w:basedOn w:val="a6"/>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eastAsia="Arial Unicode MS"/>
      <w:kern w:val="0"/>
      <w:sz w:val="24"/>
      <w:szCs w:val="20"/>
    </w:rPr>
  </w:style>
  <w:style w:type="paragraph" w:customStyle="1" w:styleId="1fffff2">
    <w:name w:val="1、"/>
    <w:basedOn w:val="a6"/>
    <w:qFormat/>
    <w:pPr>
      <w:widowControl/>
      <w:spacing w:line="360" w:lineRule="auto"/>
      <w:ind w:firstLineChars="192" w:firstLine="461"/>
      <w:jc w:val="left"/>
    </w:pPr>
    <w:rPr>
      <w:rFonts w:ascii="宋体" w:hAnsi="宋体" w:cs="宋体"/>
      <w:kern w:val="0"/>
      <w:sz w:val="24"/>
      <w:szCs w:val="20"/>
    </w:rPr>
  </w:style>
  <w:style w:type="paragraph" w:customStyle="1" w:styleId="InTableII">
    <w:name w:val="In Table (II)"/>
    <w:basedOn w:val="InTable"/>
    <w:qFormat/>
    <w:pPr>
      <w:tabs>
        <w:tab w:val="left" w:pos="2200"/>
      </w:tabs>
      <w:spacing w:beforeLines="25" w:afterLines="25"/>
      <w:ind w:leftChars="20" w:left="52"/>
      <w:jc w:val="left"/>
    </w:pPr>
    <w:rPr>
      <w:bCs/>
    </w:rPr>
  </w:style>
  <w:style w:type="paragraph" w:customStyle="1" w:styleId="qilu">
    <w:name w:val="qilu"/>
    <w:basedOn w:val="a6"/>
    <w:qFormat/>
    <w:pPr>
      <w:autoSpaceDE w:val="0"/>
      <w:autoSpaceDN w:val="0"/>
      <w:adjustRightInd w:val="0"/>
      <w:snapToGrid w:val="0"/>
      <w:spacing w:line="480" w:lineRule="atLeast"/>
      <w:jc w:val="left"/>
      <w:textAlignment w:val="baseline"/>
    </w:pPr>
    <w:rPr>
      <w:rFonts w:ascii="宋体"/>
      <w:b/>
      <w:snapToGrid w:val="0"/>
      <w:spacing w:val="6"/>
      <w:kern w:val="0"/>
      <w:sz w:val="28"/>
      <w:szCs w:val="20"/>
    </w:rPr>
  </w:style>
  <w:style w:type="paragraph" w:customStyle="1" w:styleId="TimesNewRoman120">
    <w:name w:val="样式 表格文字居中 + Times New Roman 五号 两端对齐 行距: 固定值 12 磅"/>
    <w:basedOn w:val="CharChar8"/>
    <w:qFormat/>
    <w:pPr>
      <w:keepNext w:val="0"/>
      <w:adjustRightInd/>
      <w:snapToGrid/>
      <w:spacing w:line="240" w:lineRule="auto"/>
      <w:jc w:val="both"/>
    </w:pPr>
    <w:rPr>
      <w:rFonts w:ascii="Times New Roman" w:hAnsi="Times New Roman" w:cs="宋体"/>
      <w:kern w:val="0"/>
      <w:sz w:val="21"/>
    </w:rPr>
  </w:style>
  <w:style w:type="paragraph" w:customStyle="1" w:styleId="TableHead">
    <w:name w:val="Table Head"/>
    <w:basedOn w:val="a6"/>
    <w:next w:val="a6"/>
    <w:qFormat/>
    <w:pPr>
      <w:widowControl/>
      <w:spacing w:before="80" w:after="80"/>
      <w:jc w:val="center"/>
    </w:pPr>
    <w:rPr>
      <w:rFonts w:ascii="Arial" w:eastAsia="MS Mincho" w:hAnsi="Arial"/>
      <w:b/>
      <w:kern w:val="0"/>
      <w:sz w:val="18"/>
      <w:szCs w:val="20"/>
      <w:lang w:eastAsia="ja-JP"/>
    </w:rPr>
  </w:style>
  <w:style w:type="paragraph" w:customStyle="1" w:styleId="95">
    <w:name w:val="表格内字体9"/>
    <w:basedOn w:val="affffa"/>
    <w:next w:val="affffa"/>
    <w:qFormat/>
    <w:pPr>
      <w:spacing w:line="240" w:lineRule="auto"/>
      <w:ind w:firstLine="0"/>
      <w:jc w:val="center"/>
    </w:pPr>
    <w:rPr>
      <w:sz w:val="21"/>
    </w:rPr>
  </w:style>
  <w:style w:type="paragraph" w:customStyle="1" w:styleId="affffffffffffffffffffffffffffc">
    <w:name w:val="专业名称"/>
    <w:basedOn w:val="a6"/>
    <w:qFormat/>
    <w:pPr>
      <w:keepNext/>
      <w:widowControl/>
      <w:snapToGrid w:val="0"/>
      <w:spacing w:beforeLines="50" w:line="300" w:lineRule="auto"/>
      <w:jc w:val="center"/>
    </w:pPr>
    <w:rPr>
      <w:rFonts w:ascii="黑体" w:eastAsia="黑体" w:cs="宋体"/>
      <w:kern w:val="0"/>
      <w:sz w:val="32"/>
      <w:szCs w:val="20"/>
    </w:rPr>
  </w:style>
  <w:style w:type="paragraph" w:customStyle="1" w:styleId="008">
    <w:name w:val="00"/>
    <w:basedOn w:val="a6"/>
    <w:qFormat/>
    <w:pPr>
      <w:spacing w:line="360" w:lineRule="auto"/>
      <w:ind w:firstLineChars="200" w:firstLine="200"/>
      <w:jc w:val="left"/>
    </w:pPr>
    <w:rPr>
      <w:rFonts w:ascii="宋体" w:hAnsi="宋体" w:cs="宋体"/>
      <w:color w:val="000000"/>
      <w:kern w:val="0"/>
      <w:sz w:val="24"/>
    </w:rPr>
  </w:style>
  <w:style w:type="paragraph" w:customStyle="1" w:styleId="2fffff0">
    <w:name w:val="标题2，第二标题"/>
    <w:basedOn w:val="affc"/>
    <w:next w:val="affc"/>
    <w:qFormat/>
    <w:pPr>
      <w:tabs>
        <w:tab w:val="left" w:pos="628"/>
        <w:tab w:val="left" w:pos="1240"/>
        <w:tab w:val="left" w:pos="1727"/>
        <w:tab w:val="left" w:pos="1884"/>
        <w:tab w:val="left" w:pos="2660"/>
        <w:tab w:val="left" w:pos="5460"/>
      </w:tabs>
      <w:snapToGrid w:val="0"/>
      <w:spacing w:beforeLines="30" w:afterLines="30" w:after="120" w:line="440" w:lineRule="exact"/>
      <w:ind w:left="1240" w:firstLineChars="0" w:hanging="720"/>
      <w:outlineLvl w:val="1"/>
    </w:pPr>
    <w:rPr>
      <w:rFonts w:ascii="Times New Roman" w:eastAsia="黑体" w:hAnsi="Times New Roman"/>
      <w:bCs w:val="0"/>
      <w:color w:val="000000"/>
      <w:spacing w:val="0"/>
      <w:w w:val="110"/>
      <w:kern w:val="2"/>
      <w:sz w:val="28"/>
      <w:szCs w:val="20"/>
    </w:rPr>
  </w:style>
  <w:style w:type="paragraph" w:customStyle="1" w:styleId="Style97">
    <w:name w:val="Style97"/>
    <w:basedOn w:val="a6"/>
    <w:qFormat/>
    <w:pPr>
      <w:adjustRightInd w:val="0"/>
      <w:jc w:val="center"/>
    </w:pPr>
    <w:rPr>
      <w:rFonts w:ascii="宋体"/>
      <w:kern w:val="0"/>
      <w:sz w:val="24"/>
      <w:szCs w:val="20"/>
    </w:rPr>
  </w:style>
  <w:style w:type="paragraph" w:customStyle="1" w:styleId="p16">
    <w:name w:val="p16"/>
    <w:basedOn w:val="a6"/>
    <w:qFormat/>
    <w:pPr>
      <w:widowControl/>
      <w:snapToGrid w:val="0"/>
      <w:spacing w:before="62" w:after="156" w:line="480" w:lineRule="exact"/>
      <w:ind w:firstLineChars="200" w:firstLine="200"/>
      <w:jc w:val="left"/>
    </w:pPr>
    <w:rPr>
      <w:b/>
      <w:kern w:val="0"/>
      <w:sz w:val="24"/>
      <w:szCs w:val="20"/>
    </w:rPr>
  </w:style>
  <w:style w:type="paragraph" w:customStyle="1" w:styleId="affffffffffffffffffffffffffffd">
    <w:name w:val="签署栏"/>
    <w:basedOn w:val="a6"/>
    <w:qFormat/>
    <w:pPr>
      <w:keepNext/>
      <w:widowControl/>
      <w:spacing w:line="300" w:lineRule="auto"/>
      <w:jc w:val="center"/>
    </w:pPr>
    <w:rPr>
      <w:rFonts w:ascii="黑体" w:eastAsia="黑体" w:cs="宋体"/>
      <w:spacing w:val="80"/>
      <w:kern w:val="0"/>
      <w:sz w:val="32"/>
      <w:szCs w:val="20"/>
    </w:rPr>
  </w:style>
  <w:style w:type="paragraph" w:customStyle="1" w:styleId="Style108">
    <w:name w:val="Style108"/>
    <w:basedOn w:val="a6"/>
    <w:qFormat/>
    <w:pPr>
      <w:adjustRightInd w:val="0"/>
      <w:jc w:val="left"/>
    </w:pPr>
    <w:rPr>
      <w:rFonts w:ascii="宋体"/>
      <w:kern w:val="0"/>
      <w:sz w:val="24"/>
      <w:szCs w:val="20"/>
    </w:rPr>
  </w:style>
  <w:style w:type="paragraph" w:customStyle="1" w:styleId="5ff">
    <w:name w:val="左5"/>
    <w:basedOn w:val="a6"/>
    <w:qFormat/>
    <w:pPr>
      <w:snapToGrid w:val="0"/>
      <w:jc w:val="left"/>
    </w:pPr>
    <w:rPr>
      <w:rFonts w:ascii="宋体"/>
      <w:color w:val="000000"/>
      <w:sz w:val="18"/>
    </w:rPr>
  </w:style>
  <w:style w:type="paragraph" w:customStyle="1" w:styleId="CharCharChar1CharCharChar4">
    <w:name w:val="Char Char Char1 Char Char Char4"/>
    <w:basedOn w:val="a6"/>
    <w:qFormat/>
  </w:style>
  <w:style w:type="paragraph" w:customStyle="1" w:styleId="xl101">
    <w:name w:val="xl101"/>
    <w:basedOn w:val="a6"/>
    <w:qFormat/>
    <w:pPr>
      <w:widowControl/>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ascii="宋体" w:hAnsi="宋体" w:cs="宋体"/>
      <w:kern w:val="0"/>
      <w:sz w:val="20"/>
      <w:szCs w:val="20"/>
    </w:rPr>
  </w:style>
  <w:style w:type="paragraph" w:customStyle="1" w:styleId="affffffffffffffffffffffffffffe">
    <w:name w:val="项目负责人"/>
    <w:basedOn w:val="a6"/>
    <w:qFormat/>
    <w:pPr>
      <w:keepNext/>
      <w:widowControl/>
      <w:snapToGrid w:val="0"/>
      <w:spacing w:beforeLines="50" w:line="300" w:lineRule="auto"/>
      <w:jc w:val="left"/>
    </w:pPr>
    <w:rPr>
      <w:rFonts w:ascii="宋体" w:cs="宋体"/>
      <w:spacing w:val="66"/>
      <w:kern w:val="0"/>
      <w:sz w:val="32"/>
      <w:szCs w:val="20"/>
    </w:rPr>
  </w:style>
  <w:style w:type="paragraph" w:customStyle="1" w:styleId="Char4CharCharChar">
    <w:name w:val="Char4 Char Char Char"/>
    <w:basedOn w:val="a6"/>
    <w:qFormat/>
    <w:pPr>
      <w:adjustRightInd w:val="0"/>
      <w:snapToGrid w:val="0"/>
      <w:spacing w:line="360" w:lineRule="auto"/>
      <w:ind w:firstLineChars="200" w:firstLine="200"/>
    </w:pPr>
    <w:rPr>
      <w:rFonts w:ascii="宋体" w:hAnsi="宋体" w:cs="宋体"/>
      <w:sz w:val="24"/>
      <w:szCs w:val="26"/>
    </w:rPr>
  </w:style>
  <w:style w:type="paragraph" w:customStyle="1" w:styleId="afffffffffffffffffffffffffffff">
    <w:name w:val="讲稿"/>
    <w:basedOn w:val="a6"/>
    <w:qFormat/>
    <w:pPr>
      <w:ind w:firstLine="431"/>
    </w:pPr>
    <w:rPr>
      <w:rFonts w:ascii="Arial" w:hAnsi="Arial"/>
      <w:kern w:val="0"/>
      <w:szCs w:val="20"/>
    </w:rPr>
  </w:style>
  <w:style w:type="paragraph" w:customStyle="1" w:styleId="129">
    <w:name w:val="样式 标题 1 + 首行缩进:  2 字符"/>
    <w:basedOn w:val="12"/>
    <w:qFormat/>
    <w:pPr>
      <w:keepNext w:val="0"/>
      <w:keepLines w:val="0"/>
      <w:tabs>
        <w:tab w:val="left" w:pos="1152"/>
      </w:tabs>
      <w:spacing w:beforeLines="100" w:before="0" w:afterLines="100" w:after="0" w:line="500" w:lineRule="exact"/>
      <w:jc w:val="left"/>
    </w:pPr>
    <w:rPr>
      <w:rFonts w:hAnsi="黑体"/>
      <w:bCs w:val="0"/>
      <w:kern w:val="2"/>
      <w:szCs w:val="30"/>
    </w:rPr>
  </w:style>
  <w:style w:type="paragraph" w:customStyle="1" w:styleId="xl57">
    <w:name w:val="xl57"/>
    <w:basedOn w:val="a6"/>
    <w:qFormat/>
    <w:pPr>
      <w:widowControl/>
      <w:pBdr>
        <w:top w:val="single" w:sz="8"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24"/>
      <w:szCs w:val="20"/>
    </w:rPr>
  </w:style>
  <w:style w:type="paragraph" w:customStyle="1" w:styleId="Char1ffd">
    <w:name w:val="Char1"/>
    <w:basedOn w:val="a6"/>
    <w:uiPriority w:val="99"/>
    <w:qFormat/>
  </w:style>
  <w:style w:type="paragraph" w:customStyle="1" w:styleId="Style25">
    <w:name w:val="Style25"/>
    <w:basedOn w:val="a6"/>
    <w:qFormat/>
    <w:pPr>
      <w:adjustRightInd w:val="0"/>
      <w:jc w:val="center"/>
    </w:pPr>
    <w:rPr>
      <w:rFonts w:ascii="宋体"/>
      <w:kern w:val="0"/>
      <w:sz w:val="24"/>
      <w:szCs w:val="20"/>
    </w:rPr>
  </w:style>
  <w:style w:type="paragraph" w:customStyle="1" w:styleId="charffffffffff8">
    <w:name w:val="char"/>
    <w:basedOn w:val="a6"/>
    <w:qFormat/>
    <w:pPr>
      <w:widowControl/>
      <w:spacing w:after="160" w:line="240" w:lineRule="exact"/>
      <w:jc w:val="left"/>
    </w:pPr>
    <w:rPr>
      <w:rFonts w:ascii="Verdana" w:eastAsia="仿宋_GB2312" w:hAnsi="Verdana" w:cs="”“Times New Roman”“"/>
      <w:color w:val="000000"/>
      <w:w w:val="110"/>
      <w:kern w:val="0"/>
      <w:sz w:val="24"/>
      <w:szCs w:val="20"/>
      <w:lang w:eastAsia="en-US"/>
    </w:rPr>
  </w:style>
  <w:style w:type="paragraph" w:customStyle="1" w:styleId="afffffffffffffffffffffffffffff0">
    <w:name w:val="正文表头"/>
    <w:basedOn w:val="a6"/>
    <w:next w:val="afffffffffffffff"/>
    <w:qFormat/>
    <w:pPr>
      <w:keepNext/>
      <w:tabs>
        <w:tab w:val="center" w:pos="4253"/>
        <w:tab w:val="right" w:pos="8505"/>
      </w:tabs>
      <w:overflowPunct w:val="0"/>
      <w:adjustRightInd w:val="0"/>
      <w:spacing w:before="120" w:line="360" w:lineRule="auto"/>
      <w:jc w:val="center"/>
      <w:textAlignment w:val="baseline"/>
    </w:pPr>
    <w:rPr>
      <w:rFonts w:eastAsia="黑体"/>
      <w:kern w:val="0"/>
      <w:sz w:val="28"/>
      <w:szCs w:val="20"/>
    </w:rPr>
  </w:style>
  <w:style w:type="paragraph" w:customStyle="1" w:styleId="xl38">
    <w:name w:val="xl38"/>
    <w:basedOn w:val="a6"/>
    <w:qFormat/>
    <w:pPr>
      <w:widowControl/>
      <w:pBdr>
        <w:left w:val="single" w:sz="4" w:space="0" w:color="auto"/>
        <w:bottom w:val="single" w:sz="4" w:space="0" w:color="auto"/>
        <w:right w:val="single" w:sz="4" w:space="0" w:color="auto"/>
      </w:pBdr>
      <w:spacing w:before="100" w:after="100"/>
      <w:jc w:val="center"/>
      <w:textAlignment w:val="center"/>
    </w:pPr>
    <w:rPr>
      <w:kern w:val="0"/>
      <w:szCs w:val="20"/>
    </w:rPr>
  </w:style>
  <w:style w:type="paragraph" w:customStyle="1" w:styleId="44440">
    <w:name w:val="4444表格"/>
    <w:basedOn w:val="a6"/>
    <w:qFormat/>
    <w:pPr>
      <w:spacing w:line="300" w:lineRule="exact"/>
      <w:jc w:val="center"/>
    </w:pPr>
    <w:rPr>
      <w:szCs w:val="21"/>
    </w:rPr>
  </w:style>
  <w:style w:type="paragraph" w:customStyle="1" w:styleId="xl30">
    <w:name w:val="xl30"/>
    <w:basedOn w:val="a6"/>
    <w:qFormat/>
    <w:pPr>
      <w:widowControl/>
      <w:pBdr>
        <w:top w:val="single" w:sz="4" w:space="0" w:color="auto"/>
        <w:left w:val="single" w:sz="4" w:space="0" w:color="auto"/>
        <w:bottom w:val="single" w:sz="4" w:space="0" w:color="auto"/>
        <w:right w:val="single" w:sz="4" w:space="0" w:color="auto"/>
      </w:pBdr>
      <w:spacing w:before="100" w:after="100"/>
      <w:jc w:val="center"/>
      <w:textAlignment w:val="center"/>
    </w:pPr>
    <w:rPr>
      <w:kern w:val="0"/>
      <w:szCs w:val="20"/>
    </w:rPr>
  </w:style>
  <w:style w:type="paragraph" w:customStyle="1" w:styleId="316">
    <w:name w:val="正文31"/>
    <w:basedOn w:val="a6"/>
    <w:next w:val="a6"/>
    <w:qFormat/>
    <w:pPr>
      <w:spacing w:line="529" w:lineRule="exact"/>
      <w:ind w:firstLine="420"/>
    </w:pPr>
    <w:rPr>
      <w:rFonts w:ascii="宋体" w:hAnsi="宋体" w:hint="eastAsia"/>
      <w:spacing w:val="4"/>
      <w:kern w:val="0"/>
      <w:sz w:val="24"/>
      <w:szCs w:val="20"/>
    </w:rPr>
  </w:style>
  <w:style w:type="paragraph" w:customStyle="1" w:styleId="Technical6">
    <w:name w:val="Technical 6"/>
    <w:qFormat/>
    <w:pPr>
      <w:tabs>
        <w:tab w:val="left" w:pos="-720"/>
      </w:tabs>
      <w:suppressAutoHyphens/>
      <w:ind w:firstLine="720"/>
    </w:pPr>
    <w:rPr>
      <w:rFonts w:ascii="Courier" w:hAnsi="Courier"/>
      <w:b/>
      <w:sz w:val="24"/>
      <w:lang w:eastAsia="en-US"/>
    </w:rPr>
  </w:style>
  <w:style w:type="paragraph" w:customStyle="1" w:styleId="HeadingBase">
    <w:name w:val="Heading Base"/>
    <w:basedOn w:val="af8"/>
    <w:next w:val="af8"/>
    <w:qFormat/>
    <w:pPr>
      <w:keepNext/>
      <w:keepLines/>
      <w:widowControl/>
      <w:spacing w:after="0" w:line="220" w:lineRule="atLeast"/>
      <w:ind w:right="-360"/>
      <w:jc w:val="left"/>
    </w:pPr>
    <w:rPr>
      <w:rFonts w:ascii="Arial" w:hAnsi="Arial"/>
      <w:spacing w:val="-4"/>
      <w:kern w:val="0"/>
      <w:sz w:val="18"/>
      <w:szCs w:val="20"/>
    </w:rPr>
  </w:style>
  <w:style w:type="paragraph" w:customStyle="1" w:styleId="afffffffffffffffffffffffffffff1">
    <w:name w:val="丰水试验"/>
    <w:basedOn w:val="a6"/>
    <w:qFormat/>
    <w:pPr>
      <w:adjustRightInd w:val="0"/>
      <w:spacing w:line="360" w:lineRule="atLeast"/>
      <w:jc w:val="left"/>
      <w:textAlignment w:val="baseline"/>
    </w:pPr>
    <w:rPr>
      <w:spacing w:val="4"/>
      <w:kern w:val="0"/>
      <w:sz w:val="24"/>
      <w:szCs w:val="20"/>
    </w:rPr>
  </w:style>
  <w:style w:type="paragraph" w:customStyle="1" w:styleId="2120">
    <w:name w:val="正文文本缩进 212"/>
    <w:basedOn w:val="a6"/>
    <w:qFormat/>
    <w:pPr>
      <w:adjustRightInd w:val="0"/>
      <w:spacing w:before="240" w:line="480" w:lineRule="exact"/>
      <w:ind w:firstLine="480"/>
      <w:textAlignment w:val="baseline"/>
    </w:pPr>
    <w:rPr>
      <w:rFonts w:ascii="宋体"/>
      <w:color w:val="000000"/>
      <w:w w:val="110"/>
      <w:kern w:val="0"/>
      <w:sz w:val="24"/>
    </w:rPr>
  </w:style>
  <w:style w:type="paragraph" w:customStyle="1" w:styleId="1fffff3">
    <w:name w:val="收信人地址1"/>
    <w:basedOn w:val="a6"/>
    <w:qFormat/>
    <w:pPr>
      <w:snapToGrid w:val="0"/>
      <w:ind w:leftChars="1400" w:left="100"/>
    </w:pPr>
    <w:rPr>
      <w:rFonts w:ascii="Arial" w:hAnsi="Arial" w:cs="Arial"/>
      <w:sz w:val="24"/>
    </w:rPr>
  </w:style>
  <w:style w:type="paragraph" w:customStyle="1" w:styleId="05051">
    <w:name w:val="样式 样式 表格标题 + 段前: 0.5 行 + 段前: 0.5 行1"/>
    <w:basedOn w:val="a6"/>
    <w:qFormat/>
    <w:pPr>
      <w:autoSpaceDE w:val="0"/>
      <w:autoSpaceDN w:val="0"/>
      <w:adjustRightInd w:val="0"/>
      <w:spacing w:beforeLines="50" w:line="400" w:lineRule="exact"/>
      <w:jc w:val="center"/>
    </w:pPr>
    <w:rPr>
      <w:rFonts w:ascii="黑体" w:eastAsia="黑体" w:cs="宋体"/>
      <w:sz w:val="24"/>
      <w:szCs w:val="20"/>
      <w:lang w:val="zh-CN"/>
    </w:rPr>
  </w:style>
  <w:style w:type="paragraph" w:customStyle="1" w:styleId="324">
    <w:name w:val="3 2"/>
    <w:qFormat/>
    <w:pPr>
      <w:tabs>
        <w:tab w:val="left" w:pos="-720"/>
        <w:tab w:val="left" w:pos="0"/>
        <w:tab w:val="left" w:pos="720"/>
        <w:tab w:val="decimal" w:pos="1440"/>
      </w:tabs>
      <w:suppressAutoHyphens/>
      <w:ind w:firstLine="1440"/>
    </w:pPr>
    <w:rPr>
      <w:rFonts w:ascii="Courier" w:hAnsi="Courier"/>
      <w:sz w:val="24"/>
      <w:lang w:eastAsia="en-US"/>
    </w:rPr>
  </w:style>
  <w:style w:type="paragraph" w:customStyle="1" w:styleId="afffffffffffffffffffffffffffff2">
    <w:name w:val="我爱的表格文字"/>
    <w:basedOn w:val="a6"/>
    <w:qFormat/>
    <w:pPr>
      <w:spacing w:line="360" w:lineRule="exact"/>
      <w:jc w:val="center"/>
    </w:pPr>
    <w:rPr>
      <w:rFonts w:ascii="宋体" w:hAnsi="宋体" w:cs="宋体"/>
      <w:kern w:val="0"/>
      <w:szCs w:val="20"/>
    </w:rPr>
  </w:style>
  <w:style w:type="paragraph" w:customStyle="1" w:styleId="341">
    <w:name w:val="3 4"/>
    <w:qFormat/>
    <w:pPr>
      <w:tabs>
        <w:tab w:val="left" w:pos="-720"/>
        <w:tab w:val="left" w:pos="0"/>
        <w:tab w:val="left" w:pos="720"/>
        <w:tab w:val="left" w:pos="1440"/>
        <w:tab w:val="left" w:pos="2160"/>
        <w:tab w:val="decimal" w:pos="2880"/>
      </w:tabs>
      <w:suppressAutoHyphens/>
      <w:ind w:firstLine="2880"/>
    </w:pPr>
    <w:rPr>
      <w:rFonts w:ascii="Courier" w:hAnsi="Courier"/>
      <w:sz w:val="24"/>
      <w:lang w:eastAsia="en-US"/>
    </w:rPr>
  </w:style>
  <w:style w:type="paragraph" w:customStyle="1" w:styleId="370">
    <w:name w:val="3 7"/>
    <w:qFormat/>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Courier" w:hAnsi="Courier"/>
      <w:sz w:val="24"/>
      <w:lang w:eastAsia="en-US"/>
    </w:rPr>
  </w:style>
  <w:style w:type="paragraph" w:customStyle="1" w:styleId="reader-word-layerreader-word-s10-11">
    <w:name w:val="reader-word-layer reader-word-s10-11"/>
    <w:basedOn w:val="a6"/>
    <w:qFormat/>
    <w:pPr>
      <w:widowControl/>
      <w:spacing w:before="100" w:beforeAutospacing="1" w:after="100" w:afterAutospacing="1"/>
      <w:jc w:val="left"/>
    </w:pPr>
    <w:rPr>
      <w:rFonts w:ascii="宋体" w:hAnsi="宋体" w:cs="宋体"/>
      <w:color w:val="000000"/>
      <w:w w:val="110"/>
      <w:kern w:val="0"/>
      <w:sz w:val="24"/>
    </w:rPr>
  </w:style>
  <w:style w:type="paragraph" w:customStyle="1" w:styleId="253">
    <w:name w:val="正文文本缩进 25"/>
    <w:basedOn w:val="a6"/>
    <w:qFormat/>
    <w:pPr>
      <w:adjustRightInd w:val="0"/>
      <w:spacing w:line="360" w:lineRule="atLeast"/>
      <w:ind w:firstLine="425"/>
      <w:jc w:val="left"/>
      <w:textAlignment w:val="baseline"/>
    </w:pPr>
    <w:rPr>
      <w:rFonts w:ascii="宋体"/>
      <w:spacing w:val="20"/>
      <w:kern w:val="0"/>
      <w:sz w:val="24"/>
      <w:szCs w:val="20"/>
    </w:rPr>
  </w:style>
  <w:style w:type="paragraph" w:customStyle="1" w:styleId="REGULAR2">
    <w:name w:val="REGULAR 2"/>
    <w:qFormat/>
    <w:pPr>
      <w:tabs>
        <w:tab w:val="left" w:pos="605"/>
        <w:tab w:val="left" w:pos="1210"/>
        <w:tab w:val="left" w:pos="1814"/>
        <w:tab w:val="left" w:pos="2419"/>
        <w:tab w:val="left" w:pos="3024"/>
        <w:tab w:val="left" w:pos="3629"/>
      </w:tabs>
      <w:suppressAutoHyphens/>
      <w:ind w:firstLine="605"/>
    </w:pPr>
    <w:rPr>
      <w:rFonts w:ascii="Courier" w:hAnsi="Courier"/>
      <w:sz w:val="24"/>
      <w:lang w:eastAsia="en-US"/>
    </w:rPr>
  </w:style>
  <w:style w:type="paragraph" w:customStyle="1" w:styleId="afffffffffffffffffffffffffffff3">
    <w:name w:val="表内"/>
    <w:basedOn w:val="a6"/>
    <w:qFormat/>
    <w:pPr>
      <w:spacing w:line="360" w:lineRule="atLeast"/>
    </w:pPr>
    <w:rPr>
      <w:szCs w:val="20"/>
    </w:rPr>
  </w:style>
  <w:style w:type="paragraph" w:customStyle="1" w:styleId="afffffffffffffffffffffffffffff4">
    <w:name w:val="表格文字小四"/>
    <w:basedOn w:val="a6"/>
    <w:next w:val="a6"/>
    <w:qFormat/>
    <w:pPr>
      <w:jc w:val="center"/>
    </w:pPr>
    <w:rPr>
      <w:rFonts w:ascii="Times" w:hAnsi="Times"/>
      <w:kern w:val="24"/>
      <w:sz w:val="24"/>
      <w:szCs w:val="20"/>
    </w:rPr>
  </w:style>
  <w:style w:type="paragraph" w:customStyle="1" w:styleId="afffffffffffffffffffffffffffff5">
    <w:name w:val="奇页页眉样式"/>
    <w:basedOn w:val="a6"/>
    <w:qFormat/>
    <w:pPr>
      <w:keepLines/>
      <w:widowControl/>
      <w:tabs>
        <w:tab w:val="center" w:pos="-18551"/>
        <w:tab w:val="right" w:pos="4320"/>
      </w:tabs>
      <w:spacing w:after="480" w:line="240" w:lineRule="atLeast"/>
      <w:jc w:val="center"/>
    </w:pPr>
    <w:rPr>
      <w:rFonts w:ascii="Garamond" w:hAnsi="Garamond"/>
      <w:smallCaps/>
      <w:spacing w:val="15"/>
      <w:kern w:val="0"/>
      <w:szCs w:val="20"/>
    </w:rPr>
  </w:style>
  <w:style w:type="paragraph" w:customStyle="1" w:styleId="REGULAR1">
    <w:name w:val="REGULAR 1"/>
    <w:qFormat/>
    <w:pPr>
      <w:tabs>
        <w:tab w:val="left" w:pos="605"/>
        <w:tab w:val="left" w:pos="1210"/>
      </w:tabs>
      <w:suppressAutoHyphens/>
    </w:pPr>
    <w:rPr>
      <w:rFonts w:ascii="Courier" w:hAnsi="Courier"/>
      <w:sz w:val="24"/>
      <w:lang w:eastAsia="en-US"/>
    </w:rPr>
  </w:style>
  <w:style w:type="paragraph" w:customStyle="1" w:styleId="Style260">
    <w:name w:val="_Style 260"/>
    <w:basedOn w:val="a6"/>
    <w:next w:val="a6"/>
    <w:qFormat/>
    <w:pPr>
      <w:tabs>
        <w:tab w:val="left" w:pos="700"/>
      </w:tabs>
      <w:snapToGrid w:val="0"/>
      <w:spacing w:beforeLines="50" w:line="360" w:lineRule="auto"/>
      <w:ind w:firstLineChars="200" w:firstLine="424"/>
      <w:jc w:val="left"/>
    </w:pPr>
    <w:rPr>
      <w:szCs w:val="20"/>
    </w:rPr>
  </w:style>
  <w:style w:type="paragraph" w:customStyle="1" w:styleId="2fffff1">
    <w:name w:val="正文（首行缩进两个字） + 首行缩进:  2 字符"/>
    <w:basedOn w:val="a6"/>
    <w:qFormat/>
    <w:pPr>
      <w:widowControl/>
      <w:spacing w:line="440" w:lineRule="exact"/>
      <w:ind w:firstLineChars="200" w:firstLine="200"/>
      <w:jc w:val="left"/>
    </w:pPr>
    <w:rPr>
      <w:rFonts w:eastAsia="仿宋_GB2312" w:cs="宋体"/>
      <w:sz w:val="24"/>
      <w:szCs w:val="20"/>
      <w:lang w:val="zh-CN"/>
    </w:rPr>
  </w:style>
  <w:style w:type="paragraph" w:customStyle="1" w:styleId="REGULAR4">
    <w:name w:val="REGULAR 4"/>
    <w:qFormat/>
    <w:pPr>
      <w:tabs>
        <w:tab w:val="left" w:pos="1814"/>
        <w:tab w:val="left" w:pos="2280"/>
      </w:tabs>
      <w:suppressAutoHyphens/>
      <w:ind w:firstLine="1814"/>
    </w:pPr>
    <w:rPr>
      <w:rFonts w:ascii="Courier" w:hAnsi="Courier"/>
      <w:sz w:val="24"/>
      <w:lang w:eastAsia="en-US"/>
    </w:rPr>
  </w:style>
  <w:style w:type="paragraph" w:customStyle="1" w:styleId="CM96">
    <w:name w:val="CM96"/>
    <w:basedOn w:val="Default"/>
    <w:next w:val="Default"/>
    <w:qFormat/>
    <w:pPr>
      <w:spacing w:after="78"/>
    </w:pPr>
    <w:rPr>
      <w:rFonts w:ascii="黑体" w:eastAsia="黑体"/>
      <w:color w:val="auto"/>
    </w:rPr>
  </w:style>
  <w:style w:type="paragraph" w:customStyle="1" w:styleId="2fffff2">
    <w:name w:val="样式 标题 2 + 宋体 三号 加粗"/>
    <w:basedOn w:val="22"/>
    <w:qFormat/>
    <w:pPr>
      <w:spacing w:before="260" w:line="413" w:lineRule="auto"/>
    </w:pPr>
    <w:rPr>
      <w:spacing w:val="0"/>
      <w:w w:val="100"/>
      <w:kern w:val="2"/>
      <w:szCs w:val="24"/>
    </w:rPr>
  </w:style>
  <w:style w:type="paragraph" w:customStyle="1" w:styleId="2W22">
    <w:name w:val="样式 标题 2W2 +2"/>
    <w:basedOn w:val="22"/>
    <w:qFormat/>
    <w:pPr>
      <w:keepNext w:val="0"/>
      <w:keepLines w:val="0"/>
      <w:spacing w:afterLines="50" w:line="520" w:lineRule="exact"/>
      <w:ind w:left="-288"/>
    </w:pPr>
    <w:rPr>
      <w:rFonts w:ascii="黑体"/>
      <w:b/>
      <w:bCs w:val="0"/>
      <w:spacing w:val="0"/>
      <w:w w:val="100"/>
      <w:kern w:val="2"/>
      <w:sz w:val="30"/>
      <w:szCs w:val="20"/>
    </w:rPr>
  </w:style>
  <w:style w:type="paragraph" w:customStyle="1" w:styleId="pvc11">
    <w:name w:val="pvc1.1"/>
    <w:basedOn w:val="22"/>
    <w:next w:val="22"/>
    <w:qFormat/>
    <w:pPr>
      <w:tabs>
        <w:tab w:val="left" w:pos="576"/>
        <w:tab w:val="left" w:pos="768"/>
        <w:tab w:val="left" w:pos="1070"/>
      </w:tabs>
      <w:adjustRightInd w:val="0"/>
      <w:spacing w:beforeLines="100" w:afterLines="100" w:line="324" w:lineRule="auto"/>
      <w:ind w:left="576" w:hanging="576"/>
    </w:pPr>
    <w:rPr>
      <w:rFonts w:ascii="黑体" w:eastAsia="华文中宋" w:hAnsi="黑体" w:cs="宋体"/>
      <w:b/>
      <w:bCs w:val="0"/>
      <w:spacing w:val="0"/>
      <w:w w:val="100"/>
      <w:kern w:val="2"/>
      <w:sz w:val="44"/>
      <w:szCs w:val="44"/>
    </w:rPr>
  </w:style>
  <w:style w:type="paragraph" w:customStyle="1" w:styleId="CharCharCharCharc">
    <w:name w:val="表文字 Char Char Char Char"/>
    <w:qFormat/>
    <w:pPr>
      <w:spacing w:line="300" w:lineRule="exact"/>
    </w:pPr>
    <w:rPr>
      <w:kern w:val="2"/>
      <w:sz w:val="21"/>
      <w:szCs w:val="21"/>
    </w:rPr>
  </w:style>
  <w:style w:type="paragraph" w:customStyle="1" w:styleId="afffffffffffffffffffffffffffff6">
    <w:name w:val="附录表标题"/>
    <w:basedOn w:val="a6"/>
    <w:next w:val="a6"/>
    <w:qFormat/>
    <w:pPr>
      <w:tabs>
        <w:tab w:val="left" w:pos="180"/>
      </w:tabs>
      <w:spacing w:beforeLines="50" w:afterLines="50"/>
      <w:jc w:val="center"/>
    </w:pPr>
    <w:rPr>
      <w:rFonts w:ascii="黑体" w:eastAsia="黑体"/>
      <w:color w:val="000000"/>
      <w:w w:val="110"/>
      <w:kern w:val="0"/>
      <w:sz w:val="24"/>
      <w:szCs w:val="21"/>
    </w:rPr>
  </w:style>
  <w:style w:type="paragraph" w:customStyle="1" w:styleId="-51">
    <w:name w:val="标-5"/>
    <w:basedOn w:val="a6"/>
    <w:qFormat/>
    <w:pPr>
      <w:tabs>
        <w:tab w:val="right" w:leader="dot" w:pos="8789"/>
      </w:tabs>
      <w:spacing w:before="120"/>
      <w:ind w:left="1276" w:hanging="425"/>
    </w:pPr>
    <w:rPr>
      <w:color w:val="000000"/>
      <w:w w:val="110"/>
      <w:kern w:val="0"/>
      <w:sz w:val="24"/>
      <w:szCs w:val="20"/>
    </w:rPr>
  </w:style>
  <w:style w:type="paragraph" w:customStyle="1" w:styleId="2fffff3">
    <w:name w:val="目录2"/>
    <w:basedOn w:val="27"/>
    <w:next w:val="a6"/>
    <w:qFormat/>
    <w:pPr>
      <w:widowControl/>
      <w:tabs>
        <w:tab w:val="right" w:leader="dot" w:pos="8302"/>
        <w:tab w:val="left" w:leader="dot" w:pos="8492"/>
      </w:tabs>
      <w:adjustRightInd w:val="0"/>
      <w:spacing w:beforeLines="50" w:line="520" w:lineRule="exact"/>
      <w:ind w:left="0" w:firstLineChars="177" w:firstLine="420"/>
      <w:jc w:val="both"/>
      <w:textAlignment w:val="baseline"/>
    </w:pPr>
    <w:rPr>
      <w:rFonts w:ascii="宋体" w:hAnsi="Arial"/>
      <w:color w:val="000000"/>
      <w:kern w:val="0"/>
      <w:sz w:val="21"/>
      <w:u w:color="000000"/>
    </w:rPr>
  </w:style>
  <w:style w:type="paragraph" w:customStyle="1" w:styleId="1-ls">
    <w:name w:val="标题1-ls"/>
    <w:basedOn w:val="12"/>
    <w:qFormat/>
    <w:pPr>
      <w:keepNext w:val="0"/>
      <w:keepLines w:val="0"/>
      <w:spacing w:beforeLines="100" w:before="0" w:afterLines="100" w:after="0" w:line="360" w:lineRule="auto"/>
      <w:jc w:val="center"/>
    </w:pPr>
    <w:rPr>
      <w:rFonts w:hAnsi="黑体"/>
      <w:b w:val="0"/>
      <w:bCs w:val="0"/>
      <w:color w:val="000000"/>
      <w:w w:val="110"/>
      <w:kern w:val="2"/>
      <w:szCs w:val="32"/>
    </w:rPr>
  </w:style>
  <w:style w:type="paragraph" w:customStyle="1" w:styleId="CharCharCharCharCharCharCharCharCharCharChar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 Char Char Char Char Char Char Char Char Char Char Char2"/>
    <w:basedOn w:val="a6"/>
    <w:qFormat/>
  </w:style>
  <w:style w:type="paragraph" w:customStyle="1" w:styleId="afffffffffffffffffffffffffffff7">
    <w:name w:val="正文图"/>
    <w:basedOn w:val="a6"/>
    <w:qFormat/>
    <w:pPr>
      <w:adjustRightInd w:val="0"/>
      <w:snapToGrid w:val="0"/>
      <w:spacing w:before="40"/>
      <w:jc w:val="center"/>
      <w:textAlignment w:val="baseline"/>
    </w:pPr>
    <w:rPr>
      <w:rFonts w:ascii="宋体"/>
      <w:kern w:val="0"/>
      <w:sz w:val="24"/>
      <w:szCs w:val="20"/>
    </w:rPr>
  </w:style>
  <w:style w:type="paragraph" w:customStyle="1" w:styleId="26a">
    <w:name w:val="2 6a"/>
    <w:qFormat/>
    <w:pPr>
      <w:tabs>
        <w:tab w:val="left" w:pos="-720"/>
      </w:tabs>
      <w:suppressAutoHyphens/>
    </w:pPr>
    <w:rPr>
      <w:rFonts w:ascii="Courier" w:hAnsi="Courier"/>
      <w:sz w:val="24"/>
      <w:lang w:eastAsia="en-US"/>
    </w:rPr>
  </w:style>
  <w:style w:type="paragraph" w:customStyle="1" w:styleId="reader-word-layerreader-word-s1-3">
    <w:name w:val="reader-word-layer reader-word-s1-3"/>
    <w:basedOn w:val="a6"/>
    <w:qFormat/>
    <w:pPr>
      <w:widowControl/>
      <w:spacing w:before="100" w:beforeAutospacing="1" w:after="100" w:afterAutospacing="1"/>
      <w:jc w:val="left"/>
    </w:pPr>
    <w:rPr>
      <w:rFonts w:ascii="宋体" w:hAnsi="宋体" w:cs="宋体"/>
      <w:kern w:val="0"/>
      <w:sz w:val="24"/>
    </w:rPr>
  </w:style>
  <w:style w:type="paragraph" w:customStyle="1" w:styleId="3wb0505">
    <w:name w:val="样式 标题 3 wb + 段前: 0.5 行 段后: 0.5 行"/>
    <w:basedOn w:val="a6"/>
    <w:qFormat/>
    <w:pPr>
      <w:spacing w:line="400" w:lineRule="exact"/>
      <w:outlineLvl w:val="2"/>
    </w:pPr>
    <w:rPr>
      <w:rFonts w:cs="宋体"/>
      <w:sz w:val="24"/>
      <w:szCs w:val="20"/>
    </w:rPr>
  </w:style>
  <w:style w:type="paragraph" w:customStyle="1" w:styleId="Style141">
    <w:name w:val="Style141"/>
    <w:basedOn w:val="a6"/>
    <w:qFormat/>
    <w:pPr>
      <w:adjustRightInd w:val="0"/>
      <w:jc w:val="left"/>
    </w:pPr>
    <w:rPr>
      <w:rFonts w:ascii="宋体"/>
      <w:kern w:val="0"/>
      <w:sz w:val="24"/>
      <w:szCs w:val="20"/>
    </w:rPr>
  </w:style>
  <w:style w:type="paragraph" w:customStyle="1" w:styleId="afffffffffffffffffffffffffffff8">
    <w:name w:val="表格文字加粗"/>
    <w:basedOn w:val="a6"/>
    <w:qFormat/>
    <w:pPr>
      <w:adjustRightInd w:val="0"/>
      <w:spacing w:after="120"/>
      <w:jc w:val="center"/>
    </w:pPr>
    <w:rPr>
      <w:b/>
      <w:snapToGrid w:val="0"/>
      <w:color w:val="0000FF"/>
      <w:lang w:val="zh-CN"/>
    </w:rPr>
  </w:style>
  <w:style w:type="paragraph" w:customStyle="1" w:styleId="BodyText1">
    <w:name w:val="Body Text 1"/>
    <w:basedOn w:val="a6"/>
    <w:qFormat/>
    <w:pPr>
      <w:widowControl/>
      <w:spacing w:after="120"/>
      <w:ind w:left="720" w:right="357"/>
      <w:jc w:val="center"/>
    </w:pPr>
    <w:rPr>
      <w:rFonts w:ascii="宋体" w:cs="宋体"/>
      <w:b/>
      <w:bCs/>
      <w:color w:val="000000"/>
      <w:kern w:val="0"/>
      <w:sz w:val="24"/>
      <w:u w:color="000000"/>
    </w:rPr>
  </w:style>
  <w:style w:type="paragraph" w:customStyle="1" w:styleId="xl162">
    <w:name w:val="xl162"/>
    <w:basedOn w:val="a6"/>
    <w:qFormat/>
    <w:pPr>
      <w:widowControl/>
      <w:pBdr>
        <w:right w:val="single" w:sz="4" w:space="0" w:color="auto"/>
      </w:pBdr>
      <w:spacing w:before="100" w:beforeAutospacing="1" w:after="100" w:afterAutospacing="1" w:line="360" w:lineRule="auto"/>
      <w:jc w:val="center"/>
      <w:textAlignment w:val="center"/>
    </w:pPr>
    <w:rPr>
      <w:rFonts w:eastAsia="Arial Unicode MS" w:cs="宋体"/>
      <w:color w:val="000000"/>
      <w:kern w:val="0"/>
      <w:sz w:val="20"/>
      <w:szCs w:val="20"/>
    </w:rPr>
  </w:style>
  <w:style w:type="paragraph" w:customStyle="1" w:styleId="CharCharffffff0">
    <w:name w:val="纯文本 Char Char"/>
    <w:basedOn w:val="a6"/>
    <w:qFormat/>
    <w:pPr>
      <w:spacing w:line="408" w:lineRule="auto"/>
      <w:ind w:left="1"/>
      <w:textAlignment w:val="bottom"/>
    </w:pPr>
    <w:rPr>
      <w:rFonts w:ascii="仿宋_GB2312" w:eastAsia="仿宋_GB2312" w:hAnsi="仿宋_GB2312"/>
      <w:color w:val="000000"/>
      <w:kern w:val="0"/>
      <w:sz w:val="32"/>
      <w:szCs w:val="20"/>
    </w:rPr>
  </w:style>
  <w:style w:type="paragraph" w:customStyle="1" w:styleId="afffffffffffffffffffffffffffff9">
    <w:name w:val="报告一"/>
    <w:basedOn w:val="a6"/>
    <w:qFormat/>
    <w:pPr>
      <w:keepNext/>
      <w:widowControl/>
      <w:tabs>
        <w:tab w:val="left" w:pos="3319"/>
        <w:tab w:val="left" w:pos="3600"/>
      </w:tabs>
      <w:ind w:left="560"/>
      <w:outlineLvl w:val="3"/>
    </w:pPr>
    <w:rPr>
      <w:rFonts w:ascii="仿宋_GB2312" w:eastAsia="仿宋_GB2312" w:hAnsi="宋体"/>
      <w:b/>
      <w:bCs/>
      <w:color w:val="000000"/>
      <w:w w:val="110"/>
      <w:kern w:val="0"/>
      <w:sz w:val="28"/>
      <w:szCs w:val="28"/>
    </w:rPr>
  </w:style>
  <w:style w:type="paragraph" w:customStyle="1" w:styleId="xl167">
    <w:name w:val="xl167"/>
    <w:basedOn w:val="a6"/>
    <w:qFormat/>
    <w:pPr>
      <w:widowControl/>
      <w:pBdr>
        <w:right w:val="single" w:sz="4" w:space="0" w:color="auto"/>
      </w:pBdr>
      <w:spacing w:before="100" w:beforeAutospacing="1" w:after="100" w:afterAutospacing="1" w:line="360" w:lineRule="auto"/>
      <w:jc w:val="left"/>
      <w:textAlignment w:val="center"/>
    </w:pPr>
    <w:rPr>
      <w:rFonts w:ascii="Arial Unicode MS" w:eastAsia="Arial Unicode MS" w:hAnsi="Arial Unicode MS" w:cs="Arial Unicode MS"/>
      <w:color w:val="000000"/>
      <w:kern w:val="0"/>
      <w:sz w:val="20"/>
      <w:szCs w:val="20"/>
    </w:rPr>
  </w:style>
  <w:style w:type="paragraph" w:customStyle="1" w:styleId="CharCharCharCharCharChar1CharCharCharCharCharCharCharCharCharCharCharCharCharCharCharChar">
    <w:name w:val="Char Char Char Char Char Char1 Char Char Char Char Char Char Char Char Char Char Char Char Char Char Char Char"/>
    <w:basedOn w:val="a6"/>
    <w:qFormat/>
  </w:style>
  <w:style w:type="paragraph" w:customStyle="1" w:styleId="xl179">
    <w:name w:val="xl179"/>
    <w:basedOn w:val="a6"/>
    <w:qFormat/>
    <w:pPr>
      <w:widowControl/>
      <w:pBdr>
        <w:top w:val="single" w:sz="4" w:space="0" w:color="auto"/>
        <w:left w:val="single" w:sz="4" w:space="0" w:color="auto"/>
        <w:bottom w:val="double" w:sz="6" w:space="0" w:color="auto"/>
        <w:right w:val="single" w:sz="4" w:space="0" w:color="auto"/>
      </w:pBdr>
      <w:spacing w:before="100" w:beforeAutospacing="1" w:after="100" w:afterAutospacing="1" w:line="360" w:lineRule="auto"/>
      <w:jc w:val="center"/>
      <w:textAlignment w:val="center"/>
    </w:pPr>
    <w:rPr>
      <w:rFonts w:ascii="Arial Unicode MS" w:eastAsia="Arial Unicode MS" w:hAnsi="Arial Unicode MS" w:cs="Arial Unicode MS"/>
      <w:color w:val="000000"/>
      <w:kern w:val="0"/>
      <w:sz w:val="24"/>
      <w:szCs w:val="21"/>
    </w:rPr>
  </w:style>
  <w:style w:type="paragraph" w:customStyle="1" w:styleId="512">
    <w:name w:val="列表 51"/>
    <w:basedOn w:val="a6"/>
    <w:qFormat/>
    <w:pPr>
      <w:ind w:leftChars="800" w:left="100" w:hangingChars="200" w:hanging="200"/>
    </w:pPr>
  </w:style>
  <w:style w:type="paragraph" w:customStyle="1" w:styleId="xl184">
    <w:name w:val="xl184"/>
    <w:basedOn w:val="a6"/>
    <w:qFormat/>
    <w:pPr>
      <w:widowControl/>
      <w:pBdr>
        <w:top w:val="single" w:sz="4" w:space="0" w:color="auto"/>
        <w:bottom w:val="double" w:sz="6" w:space="0" w:color="auto"/>
        <w:right w:val="single" w:sz="4" w:space="0" w:color="auto"/>
      </w:pBdr>
      <w:spacing w:before="100" w:beforeAutospacing="1" w:after="100" w:afterAutospacing="1" w:line="360" w:lineRule="auto"/>
      <w:jc w:val="center"/>
      <w:textAlignment w:val="center"/>
    </w:pPr>
    <w:rPr>
      <w:rFonts w:eastAsia="Arial Unicode MS" w:cs="宋体"/>
      <w:kern w:val="0"/>
      <w:sz w:val="20"/>
      <w:szCs w:val="20"/>
    </w:rPr>
  </w:style>
  <w:style w:type="paragraph" w:customStyle="1" w:styleId="a4">
    <w:name w:val="字母编号（一级）"/>
    <w:qFormat/>
    <w:pPr>
      <w:numPr>
        <w:numId w:val="24"/>
      </w:numPr>
      <w:spacing w:line="360" w:lineRule="auto"/>
    </w:pPr>
    <w:rPr>
      <w:rFonts w:ascii="宋体"/>
      <w:kern w:val="2"/>
      <w:sz w:val="24"/>
      <w:szCs w:val="24"/>
    </w:rPr>
  </w:style>
  <w:style w:type="paragraph" w:customStyle="1" w:styleId="afffffffffffffffffffffffffffffa">
    <w:name w:val="普通段落文字"/>
    <w:basedOn w:val="a6"/>
    <w:qFormat/>
    <w:pPr>
      <w:adjustRightInd w:val="0"/>
      <w:snapToGrid w:val="0"/>
      <w:spacing w:line="300" w:lineRule="auto"/>
      <w:ind w:firstLineChars="200" w:firstLine="200"/>
    </w:pPr>
    <w:rPr>
      <w:rFonts w:ascii="宋体" w:hAnsi="宋体"/>
      <w:sz w:val="28"/>
      <w:szCs w:val="28"/>
    </w:rPr>
  </w:style>
  <w:style w:type="paragraph" w:customStyle="1" w:styleId="afffffffffffffffffffffffffffffb">
    <w:name w:val="表头字"/>
    <w:basedOn w:val="af0"/>
    <w:qFormat/>
    <w:pPr>
      <w:adjustRightInd/>
      <w:spacing w:beforeLines="50" w:afterLines="50" w:line="240" w:lineRule="auto"/>
      <w:ind w:firstLineChars="400" w:firstLine="400"/>
      <w:jc w:val="both"/>
      <w:textAlignment w:val="auto"/>
    </w:pPr>
    <w:rPr>
      <w:rFonts w:ascii="Times New Roman" w:eastAsia="黑体" w:hAnsi="Times New Roman"/>
      <w:kern w:val="2"/>
      <w:szCs w:val="24"/>
    </w:rPr>
  </w:style>
  <w:style w:type="paragraph" w:customStyle="1" w:styleId="E">
    <w:name w:val="正文E"/>
    <w:basedOn w:val="a6"/>
    <w:qFormat/>
    <w:pPr>
      <w:widowControl/>
      <w:adjustRightInd w:val="0"/>
      <w:snapToGrid w:val="0"/>
      <w:spacing w:line="560" w:lineRule="exact"/>
      <w:jc w:val="left"/>
      <w:textAlignment w:val="baseline"/>
    </w:pPr>
    <w:rPr>
      <w:rFonts w:cs="宋体"/>
      <w:kern w:val="0"/>
      <w:sz w:val="28"/>
      <w:szCs w:val="20"/>
    </w:rPr>
  </w:style>
  <w:style w:type="paragraph" w:customStyle="1" w:styleId="afffffffffffffffffffffffffffffc">
    <w:name w:val="文本框文字"/>
    <w:basedOn w:val="a6"/>
    <w:qFormat/>
    <w:pPr>
      <w:adjustRightInd w:val="0"/>
      <w:jc w:val="center"/>
      <w:textAlignment w:val="baseline"/>
    </w:pPr>
    <w:rPr>
      <w:kern w:val="0"/>
      <w:szCs w:val="20"/>
    </w:rPr>
  </w:style>
  <w:style w:type="paragraph" w:customStyle="1" w:styleId="32">
    <w:name w:val="示例和注释(不缩进3)"/>
    <w:basedOn w:val="a6"/>
    <w:semiHidden/>
    <w:qFormat/>
    <w:pPr>
      <w:widowControl/>
      <w:numPr>
        <w:ilvl w:val="6"/>
        <w:numId w:val="12"/>
      </w:numPr>
      <w:ind w:firstLine="0"/>
      <w:jc w:val="left"/>
    </w:pPr>
    <w:rPr>
      <w:rFonts w:ascii="Arial" w:hAnsi="Arial" w:cs="宋体"/>
      <w:kern w:val="0"/>
      <w:sz w:val="24"/>
    </w:rPr>
  </w:style>
  <w:style w:type="paragraph" w:customStyle="1" w:styleId="2191">
    <w:name w:val="样式 表格 + 首行缩进:  2.19 字符1"/>
    <w:basedOn w:val="a6"/>
    <w:qFormat/>
    <w:pPr>
      <w:adjustRightInd w:val="0"/>
      <w:spacing w:line="360" w:lineRule="exact"/>
      <w:jc w:val="center"/>
    </w:pPr>
    <w:rPr>
      <w:rFonts w:cs="宋体"/>
      <w:spacing w:val="10"/>
      <w:kern w:val="0"/>
      <w:sz w:val="24"/>
    </w:rPr>
  </w:style>
  <w:style w:type="paragraph" w:customStyle="1" w:styleId="156">
    <w:name w:val="样式 宋体 小四 行距: 1.5 倍行距"/>
    <w:basedOn w:val="a6"/>
    <w:qFormat/>
    <w:pPr>
      <w:spacing w:line="360" w:lineRule="auto"/>
      <w:ind w:firstLineChars="225" w:firstLine="540"/>
    </w:pPr>
    <w:rPr>
      <w:rFonts w:ascii="宋体" w:hAnsi="宋体"/>
      <w:color w:val="000000"/>
      <w:w w:val="110"/>
      <w:kern w:val="0"/>
      <w:sz w:val="24"/>
      <w:szCs w:val="20"/>
    </w:rPr>
  </w:style>
  <w:style w:type="paragraph" w:customStyle="1" w:styleId="Char4CharCharCharCharCharChar1">
    <w:name w:val="Char4 Char Char Char Char Char Char1"/>
    <w:basedOn w:val="a6"/>
    <w:qFormat/>
    <w:pPr>
      <w:spacing w:line="360" w:lineRule="auto"/>
      <w:ind w:firstLineChars="200" w:firstLine="200"/>
    </w:pPr>
    <w:rPr>
      <w:rFonts w:ascii="宋体" w:hAnsi="宋体" w:cs="宋体"/>
      <w:sz w:val="24"/>
    </w:rPr>
  </w:style>
  <w:style w:type="paragraph" w:customStyle="1" w:styleId="2fffff4">
    <w:name w:val="样式 左侧:  2 字符"/>
    <w:basedOn w:val="a6"/>
    <w:qFormat/>
    <w:pPr>
      <w:spacing w:line="360" w:lineRule="auto"/>
      <w:ind w:firstLineChars="200" w:firstLine="200"/>
    </w:pPr>
    <w:rPr>
      <w:rFonts w:cs="宋体"/>
      <w:sz w:val="24"/>
      <w:szCs w:val="20"/>
    </w:rPr>
  </w:style>
  <w:style w:type="paragraph" w:customStyle="1" w:styleId="Charffffffffff9">
    <w:name w:val="文本框五号 Char"/>
    <w:qFormat/>
    <w:pPr>
      <w:jc w:val="center"/>
    </w:pPr>
    <w:rPr>
      <w:rFonts w:eastAsia="仿宋_GB2312"/>
      <w:kern w:val="2"/>
      <w:sz w:val="21"/>
      <w:szCs w:val="21"/>
    </w:rPr>
  </w:style>
  <w:style w:type="paragraph" w:customStyle="1" w:styleId="CharCharCharCharCharCharChar1CharCharChar1">
    <w:name w:val="Char Char Char Char Char Char Char1 Char Char Char1"/>
    <w:basedOn w:val="a6"/>
    <w:next w:val="a6"/>
    <w:qFormat/>
    <w:pPr>
      <w:widowControl/>
      <w:tabs>
        <w:tab w:val="left" w:pos="777"/>
        <w:tab w:val="left" w:pos="5744"/>
      </w:tabs>
      <w:spacing w:beforeLines="50" w:afterLines="100" w:line="360" w:lineRule="auto"/>
      <w:ind w:left="1105" w:hanging="748"/>
      <w:jc w:val="center"/>
    </w:pPr>
    <w:rPr>
      <w:rFonts w:cs="宋体"/>
      <w:kern w:val="0"/>
      <w:sz w:val="24"/>
      <w:szCs w:val="21"/>
    </w:rPr>
  </w:style>
  <w:style w:type="paragraph" w:customStyle="1" w:styleId="21c">
    <w:name w:val="样式 首行缩进:  2 字符1"/>
    <w:basedOn w:val="a6"/>
    <w:qFormat/>
    <w:pPr>
      <w:widowControl/>
      <w:spacing w:line="360" w:lineRule="auto"/>
      <w:ind w:firstLineChars="200" w:firstLine="480"/>
      <w:jc w:val="left"/>
    </w:pPr>
    <w:rPr>
      <w:rFonts w:ascii="宋体" w:hAnsi="宋体" w:cs="宋体"/>
      <w:kern w:val="0"/>
      <w:sz w:val="24"/>
    </w:rPr>
  </w:style>
  <w:style w:type="paragraph" w:customStyle="1" w:styleId="xl185">
    <w:name w:val="xl185"/>
    <w:basedOn w:val="a6"/>
    <w:qFormat/>
    <w:pPr>
      <w:widowControl/>
      <w:pBdr>
        <w:right w:val="single" w:sz="4" w:space="0" w:color="auto"/>
      </w:pBdr>
      <w:spacing w:before="100" w:beforeAutospacing="1" w:after="100" w:afterAutospacing="1" w:line="360" w:lineRule="auto"/>
      <w:jc w:val="left"/>
      <w:textAlignment w:val="center"/>
    </w:pPr>
    <w:rPr>
      <w:rFonts w:ascii="Arial Unicode MS" w:hAnsi="Arial Unicode MS" w:cs="宋体"/>
      <w:color w:val="000000"/>
      <w:kern w:val="0"/>
      <w:sz w:val="20"/>
      <w:szCs w:val="20"/>
    </w:rPr>
  </w:style>
  <w:style w:type="paragraph" w:customStyle="1" w:styleId="a1">
    <w:name w:val="表格文字左"/>
    <w:basedOn w:val="affffffff2"/>
    <w:qFormat/>
    <w:pPr>
      <w:keepNext/>
      <w:widowControl/>
      <w:numPr>
        <w:numId w:val="25"/>
      </w:numPr>
      <w:tabs>
        <w:tab w:val="left" w:pos="360"/>
        <w:tab w:val="left" w:pos="1005"/>
      </w:tabs>
      <w:spacing w:line="360" w:lineRule="auto"/>
      <w:ind w:leftChars="20" w:left="56" w:hanging="1005"/>
      <w:jc w:val="left"/>
    </w:pPr>
    <w:rPr>
      <w:rFonts w:cs="宋体"/>
      <w:sz w:val="24"/>
      <w:szCs w:val="18"/>
    </w:rPr>
  </w:style>
  <w:style w:type="paragraph" w:customStyle="1" w:styleId="CM16">
    <w:name w:val="CM16"/>
    <w:basedOn w:val="Default"/>
    <w:next w:val="Default"/>
    <w:qFormat/>
    <w:pPr>
      <w:spacing w:line="546" w:lineRule="atLeast"/>
    </w:pPr>
    <w:rPr>
      <w:rFonts w:ascii="黑体" w:eastAsia="黑体" w:cs="黑体"/>
    </w:rPr>
  </w:style>
  <w:style w:type="paragraph" w:customStyle="1" w:styleId="afffffffffffffffffffffffffffffd">
    <w:name w:val="二期三级样式"/>
    <w:basedOn w:val="a6"/>
    <w:qFormat/>
    <w:pPr>
      <w:widowControl/>
      <w:tabs>
        <w:tab w:val="left" w:pos="1260"/>
      </w:tabs>
      <w:ind w:left="1260" w:hanging="420"/>
      <w:jc w:val="left"/>
    </w:pPr>
    <w:rPr>
      <w:kern w:val="0"/>
      <w:sz w:val="24"/>
    </w:rPr>
  </w:style>
  <w:style w:type="paragraph" w:customStyle="1" w:styleId="afffffffffffffffffffffffffffffe">
    <w:name w:val="封面正文"/>
    <w:qFormat/>
    <w:pPr>
      <w:jc w:val="both"/>
    </w:pPr>
  </w:style>
  <w:style w:type="paragraph" w:customStyle="1" w:styleId="CharCharCharCharCharCharCharCharCharCharCharCharChar1">
    <w:name w:val="Char Char Char Char Char Char Char Char Char Char Char Char Char1"/>
    <w:basedOn w:val="a6"/>
    <w:qFormat/>
    <w:pPr>
      <w:autoSpaceDE w:val="0"/>
      <w:autoSpaceDN w:val="0"/>
      <w:adjustRightInd w:val="0"/>
      <w:snapToGrid w:val="0"/>
      <w:spacing w:before="50" w:after="50" w:line="360" w:lineRule="auto"/>
      <w:ind w:firstLineChars="200" w:firstLine="560"/>
    </w:pPr>
    <w:rPr>
      <w:rFonts w:eastAsia="仿宋_GB2312"/>
      <w:color w:val="000000"/>
      <w:sz w:val="24"/>
    </w:rPr>
  </w:style>
  <w:style w:type="paragraph" w:customStyle="1" w:styleId="CharChar4CharCharCharChar">
    <w:name w:val="Char Char4 Char Char Char Char"/>
    <w:basedOn w:val="a6"/>
    <w:qFormat/>
    <w:pPr>
      <w:kinsoku w:val="0"/>
      <w:spacing w:afterLines="50"/>
    </w:pPr>
    <w:rPr>
      <w:sz w:val="18"/>
    </w:rPr>
  </w:style>
  <w:style w:type="paragraph" w:customStyle="1" w:styleId="affffffffffffffffffffffffffffff">
    <w:name w:val="表头或图题"/>
    <w:basedOn w:val="a6"/>
    <w:next w:val="a6"/>
    <w:qFormat/>
    <w:pPr>
      <w:widowControl/>
      <w:tabs>
        <w:tab w:val="left" w:pos="1727"/>
        <w:tab w:val="left" w:pos="1884"/>
      </w:tabs>
      <w:adjustRightInd w:val="0"/>
      <w:snapToGrid w:val="0"/>
      <w:jc w:val="center"/>
    </w:pPr>
    <w:rPr>
      <w:rFonts w:ascii="黑体" w:eastAsia="黑体" w:cs="宋体"/>
      <w:kern w:val="0"/>
      <w:sz w:val="28"/>
      <w:szCs w:val="20"/>
    </w:rPr>
  </w:style>
  <w:style w:type="paragraph" w:customStyle="1" w:styleId="12a">
    <w:name w:val="样式 表格文字居中 + 行距: 固定值 12 磅"/>
    <w:basedOn w:val="CharChar8"/>
    <w:qFormat/>
    <w:pPr>
      <w:keepNext w:val="0"/>
      <w:adjustRightInd/>
      <w:snapToGrid/>
      <w:spacing w:line="240" w:lineRule="auto"/>
    </w:pPr>
    <w:rPr>
      <w:rFonts w:cs="宋体"/>
    </w:rPr>
  </w:style>
  <w:style w:type="paragraph" w:customStyle="1" w:styleId="5ff0">
    <w:name w:val="表格内容5"/>
    <w:basedOn w:val="a6"/>
    <w:next w:val="a6"/>
    <w:qFormat/>
    <w:pPr>
      <w:spacing w:before="40" w:after="60" w:line="200" w:lineRule="atLeast"/>
      <w:jc w:val="left"/>
      <w:textAlignment w:val="baseline"/>
    </w:pPr>
    <w:rPr>
      <w:rFonts w:ascii="Arial" w:eastAsia="仿宋_GB2312" w:hAnsi="Arial"/>
      <w:color w:val="000000"/>
      <w:w w:val="110"/>
      <w:kern w:val="0"/>
      <w:sz w:val="24"/>
    </w:rPr>
  </w:style>
  <w:style w:type="paragraph" w:customStyle="1" w:styleId="affffffffffffffffffffffffffffff0">
    <w:name w:val="编制单位"/>
    <w:basedOn w:val="a6"/>
    <w:qFormat/>
    <w:pPr>
      <w:keepNext/>
      <w:widowControl/>
      <w:snapToGrid w:val="0"/>
      <w:spacing w:beforeLines="50" w:line="300" w:lineRule="auto"/>
      <w:jc w:val="center"/>
    </w:pPr>
    <w:rPr>
      <w:rFonts w:ascii="黑体" w:eastAsia="黑体" w:cs="宋体"/>
      <w:kern w:val="0"/>
      <w:sz w:val="32"/>
      <w:szCs w:val="20"/>
    </w:rPr>
  </w:style>
  <w:style w:type="paragraph" w:customStyle="1" w:styleId="affffffffffffffffffffffffffffff1">
    <w:name w:val="表格式"/>
    <w:basedOn w:val="aff6"/>
    <w:qFormat/>
    <w:pPr>
      <w:spacing w:beforeLines="50" w:before="20" w:afterLines="50" w:after="20" w:line="200" w:lineRule="exact"/>
      <w:ind w:left="0" w:firstLineChars="0" w:firstLine="0"/>
      <w:jc w:val="center"/>
    </w:pPr>
    <w:rPr>
      <w:kern w:val="0"/>
      <w:szCs w:val="20"/>
    </w:rPr>
  </w:style>
  <w:style w:type="paragraph" w:customStyle="1" w:styleId="p15">
    <w:name w:val="p15"/>
    <w:basedOn w:val="a6"/>
    <w:qFormat/>
    <w:pPr>
      <w:widowControl/>
    </w:pPr>
    <w:rPr>
      <w:rFonts w:ascii="仿宋_GB2312" w:eastAsia="仿宋_GB2312" w:hAnsi="宋体" w:cs="宋体"/>
      <w:kern w:val="0"/>
      <w:sz w:val="32"/>
      <w:szCs w:val="32"/>
    </w:rPr>
  </w:style>
  <w:style w:type="paragraph" w:customStyle="1" w:styleId="xl78">
    <w:name w:val="xl78"/>
    <w:basedOn w:val="a6"/>
    <w:qFormat/>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kern w:val="0"/>
      <w:sz w:val="24"/>
    </w:rPr>
  </w:style>
  <w:style w:type="paragraph" w:customStyle="1" w:styleId="affffffffffffffffffffffffffffff2">
    <w:name w:val="项目号"/>
    <w:basedOn w:val="a6"/>
    <w:qFormat/>
    <w:pPr>
      <w:keepNext/>
      <w:widowControl/>
      <w:snapToGrid w:val="0"/>
      <w:spacing w:beforeLines="50" w:line="300" w:lineRule="auto"/>
      <w:jc w:val="center"/>
    </w:pPr>
    <w:rPr>
      <w:rFonts w:ascii="宋体" w:cs="宋体"/>
      <w:kern w:val="0"/>
      <w:sz w:val="32"/>
      <w:szCs w:val="20"/>
    </w:rPr>
  </w:style>
  <w:style w:type="paragraph" w:customStyle="1" w:styleId="affffffffffffffffffffffffffffff3">
    <w:name w:val="图表名"/>
    <w:basedOn w:val="a6"/>
    <w:qFormat/>
    <w:pPr>
      <w:adjustRightInd w:val="0"/>
      <w:snapToGrid w:val="0"/>
      <w:spacing w:line="360" w:lineRule="auto"/>
      <w:jc w:val="center"/>
    </w:pPr>
    <w:rPr>
      <w:rFonts w:eastAsia="黑体"/>
      <w:snapToGrid w:val="0"/>
      <w:color w:val="000000"/>
      <w:kern w:val="0"/>
      <w:sz w:val="28"/>
      <w:szCs w:val="28"/>
    </w:rPr>
  </w:style>
  <w:style w:type="paragraph" w:customStyle="1" w:styleId="CharCharCharCharCharCharCharCharCharCharCharChar1CharCharCharChar2">
    <w:name w:val="Char Char Char Char Char Char Char Char Char Char Char Char1 Char Char Char Char2"/>
    <w:basedOn w:val="a6"/>
    <w:next w:val="a6"/>
    <w:qFormat/>
    <w:pPr>
      <w:spacing w:line="336" w:lineRule="auto"/>
      <w:ind w:firstLineChars="200" w:firstLine="200"/>
    </w:pPr>
    <w:rPr>
      <w:rFonts w:ascii="宋体" w:eastAsia="汉鼎简书宋" w:hAnsi="宋体" w:cs="宋体"/>
      <w:sz w:val="24"/>
    </w:rPr>
  </w:style>
  <w:style w:type="paragraph" w:customStyle="1" w:styleId="190">
    <w:name w:val="样式19"/>
    <w:basedOn w:val="210"/>
    <w:qFormat/>
    <w:pPr>
      <w:tabs>
        <w:tab w:val="left" w:pos="630"/>
        <w:tab w:val="left" w:pos="840"/>
        <w:tab w:val="left" w:pos="1287"/>
        <w:tab w:val="left" w:pos="3920"/>
        <w:tab w:val="left" w:pos="5670"/>
      </w:tabs>
      <w:spacing w:before="60" w:after="60" w:line="520" w:lineRule="exact"/>
      <w:ind w:firstLine="567"/>
    </w:pPr>
    <w:rPr>
      <w:rFonts w:ascii="Times New Roman" w:eastAsia="华文行楷" w:hAnsi="Times New Roman"/>
      <w:b w:val="0"/>
      <w:sz w:val="30"/>
      <w:szCs w:val="30"/>
    </w:rPr>
  </w:style>
  <w:style w:type="paragraph" w:customStyle="1" w:styleId="Style5">
    <w:name w:val="Style5"/>
    <w:basedOn w:val="a6"/>
    <w:qFormat/>
    <w:pPr>
      <w:tabs>
        <w:tab w:val="left" w:pos="492"/>
      </w:tabs>
      <w:adjustRightInd w:val="0"/>
      <w:jc w:val="left"/>
    </w:pPr>
    <w:rPr>
      <w:rFonts w:ascii="宋体"/>
      <w:kern w:val="0"/>
      <w:sz w:val="24"/>
    </w:rPr>
  </w:style>
  <w:style w:type="paragraph" w:customStyle="1" w:styleId="1fffff4">
    <w:name w:val="样式 标题 1"/>
    <w:basedOn w:val="12"/>
    <w:qFormat/>
    <w:pPr>
      <w:tabs>
        <w:tab w:val="left" w:pos="2629"/>
      </w:tabs>
      <w:spacing w:before="0" w:after="0" w:line="360" w:lineRule="auto"/>
      <w:jc w:val="center"/>
    </w:pPr>
    <w:rPr>
      <w:rFonts w:ascii="宋体" w:hAnsi="宋体" w:cs="宋体"/>
      <w:sz w:val="32"/>
      <w:szCs w:val="20"/>
    </w:rPr>
  </w:style>
  <w:style w:type="paragraph" w:customStyle="1" w:styleId="441">
    <w:name w:val="样式 居中 段前: 4 磅 段后: 4 磅"/>
    <w:basedOn w:val="a6"/>
    <w:qFormat/>
    <w:pPr>
      <w:widowControl/>
      <w:snapToGrid w:val="0"/>
      <w:spacing w:after="200" w:line="276" w:lineRule="auto"/>
      <w:jc w:val="center"/>
    </w:pPr>
    <w:rPr>
      <w:rFonts w:ascii="Calibri" w:hAnsi="Calibri"/>
      <w:kern w:val="0"/>
      <w:sz w:val="22"/>
      <w:szCs w:val="20"/>
      <w:lang w:eastAsia="en-US" w:bidi="en-US"/>
    </w:rPr>
  </w:style>
  <w:style w:type="paragraph" w:customStyle="1" w:styleId="MG">
    <w:name w:val="MG"/>
    <w:basedOn w:val="12"/>
    <w:qFormat/>
    <w:pPr>
      <w:keepNext w:val="0"/>
      <w:keepLines w:val="0"/>
      <w:widowControl/>
      <w:tabs>
        <w:tab w:val="left" w:pos="2260"/>
        <w:tab w:val="left" w:pos="2820"/>
        <w:tab w:val="left" w:pos="3420"/>
      </w:tabs>
      <w:adjustRightInd w:val="0"/>
      <w:snapToGrid w:val="0"/>
      <w:spacing w:beforeLines="100" w:before="0" w:afterLines="100" w:after="0" w:line="520" w:lineRule="exact"/>
      <w:ind w:left="851" w:right="-28" w:hanging="851"/>
    </w:pPr>
    <w:rPr>
      <w:rFonts w:ascii="Arial" w:hAnsi="Arial"/>
      <w:b w:val="0"/>
      <w:bCs w:val="0"/>
      <w:kern w:val="2"/>
      <w:sz w:val="22"/>
      <w:szCs w:val="20"/>
      <w:lang w:val="en-GB"/>
    </w:rPr>
  </w:style>
  <w:style w:type="paragraph" w:customStyle="1" w:styleId="xl935">
    <w:name w:val="xl93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18"/>
      <w:szCs w:val="18"/>
    </w:rPr>
  </w:style>
  <w:style w:type="paragraph" w:customStyle="1" w:styleId="affffffffffffffffffffffffffffff4">
    <w:name w:val="表后注释行"/>
    <w:basedOn w:val="a6"/>
    <w:next w:val="a6"/>
    <w:qFormat/>
    <w:pPr>
      <w:widowControl/>
      <w:adjustRightInd w:val="0"/>
      <w:snapToGrid w:val="0"/>
      <w:spacing w:beforeLines="50" w:afterLines="100" w:line="276" w:lineRule="auto"/>
      <w:ind w:firstLine="567"/>
      <w:jc w:val="left"/>
    </w:pPr>
    <w:rPr>
      <w:rFonts w:ascii="Arial" w:eastAsia="楷体_GB2312" w:hAnsi="Arial"/>
      <w:kern w:val="0"/>
      <w:sz w:val="18"/>
      <w:szCs w:val="20"/>
      <w:lang w:eastAsia="en-US" w:bidi="en-US"/>
    </w:rPr>
  </w:style>
  <w:style w:type="paragraph" w:customStyle="1" w:styleId="S0">
    <w:name w:val="正文段落S"/>
    <w:basedOn w:val="a6"/>
    <w:qFormat/>
    <w:pPr>
      <w:spacing w:line="360" w:lineRule="auto"/>
      <w:ind w:firstLineChars="200" w:firstLine="420"/>
    </w:pPr>
    <w:rPr>
      <w:rFonts w:eastAsia="仿宋_GB2312"/>
      <w:snapToGrid w:val="0"/>
      <w:kern w:val="0"/>
      <w:sz w:val="24"/>
      <w:szCs w:val="20"/>
    </w:rPr>
  </w:style>
  <w:style w:type="paragraph" w:customStyle="1" w:styleId="affffffffffffffffffffffffffffff5">
    <w:name w:val="一"/>
    <w:next w:val="1f8"/>
    <w:qFormat/>
    <w:pPr>
      <w:keepNext/>
      <w:keepLines/>
      <w:pageBreakBefore/>
      <w:spacing w:before="340" w:after="330" w:line="400" w:lineRule="exact"/>
      <w:jc w:val="both"/>
      <w:outlineLvl w:val="0"/>
    </w:pPr>
    <w:rPr>
      <w:rFonts w:eastAsia="黑体"/>
      <w:b/>
      <w:kern w:val="2"/>
      <w:sz w:val="32"/>
      <w:szCs w:val="32"/>
    </w:rPr>
  </w:style>
  <w:style w:type="paragraph" w:customStyle="1" w:styleId="affffffffffffffffffffffffffffff6">
    <w:name w:val="正文（缩进）"/>
    <w:basedOn w:val="a6"/>
    <w:qFormat/>
    <w:pPr>
      <w:adjustRightInd w:val="0"/>
      <w:snapToGrid w:val="0"/>
      <w:spacing w:line="360" w:lineRule="auto"/>
      <w:ind w:firstLineChars="200" w:firstLine="200"/>
    </w:pPr>
    <w:rPr>
      <w:snapToGrid w:val="0"/>
      <w:kern w:val="0"/>
      <w:sz w:val="24"/>
    </w:rPr>
  </w:style>
  <w:style w:type="paragraph" w:customStyle="1" w:styleId="xl46">
    <w:name w:val="xl46"/>
    <w:basedOn w:val="a6"/>
    <w:qFormat/>
    <w:pPr>
      <w:widowControl/>
      <w:pBdr>
        <w:top w:val="single" w:sz="8" w:space="0" w:color="auto"/>
        <w:bottom w:val="single" w:sz="4" w:space="0" w:color="auto"/>
        <w:right w:val="single" w:sz="8" w:space="0" w:color="auto"/>
      </w:pBdr>
      <w:spacing w:before="100" w:after="100"/>
      <w:jc w:val="center"/>
      <w:textAlignment w:val="center"/>
    </w:pPr>
    <w:rPr>
      <w:rFonts w:ascii="宋体" w:hAnsi="宋体" w:hint="eastAsia"/>
      <w:kern w:val="0"/>
      <w:sz w:val="24"/>
      <w:szCs w:val="20"/>
    </w:rPr>
  </w:style>
  <w:style w:type="paragraph" w:customStyle="1" w:styleId="affffffffffffffffffffffffffffff7">
    <w:name w:val="我的表格"/>
    <w:basedOn w:val="a6"/>
    <w:qFormat/>
    <w:pPr>
      <w:autoSpaceDE w:val="0"/>
      <w:autoSpaceDN w:val="0"/>
      <w:adjustRightInd w:val="0"/>
      <w:jc w:val="center"/>
    </w:pPr>
    <w:rPr>
      <w:kern w:val="0"/>
      <w:szCs w:val="21"/>
    </w:rPr>
  </w:style>
  <w:style w:type="paragraph" w:customStyle="1" w:styleId="GB231212">
    <w:name w:val="样式 (中文) 楷体_GB2312 居中 行距: 固定值 12 磅"/>
    <w:basedOn w:val="a6"/>
    <w:qFormat/>
    <w:pPr>
      <w:spacing w:line="240" w:lineRule="exact"/>
      <w:jc w:val="center"/>
    </w:pPr>
    <w:rPr>
      <w:rFonts w:eastAsia="楷体_GB2312"/>
      <w:szCs w:val="20"/>
    </w:rPr>
  </w:style>
  <w:style w:type="paragraph" w:customStyle="1" w:styleId="2H2110015">
    <w:name w:val="样式 标题 2节H2节标题 1.1 + 宋体 小四 段前: 0 磅 段后: 0 磅 行距: 1.5 倍行距"/>
    <w:basedOn w:val="210"/>
    <w:qFormat/>
    <w:pPr>
      <w:snapToGrid w:val="0"/>
      <w:spacing w:before="0" w:after="0" w:line="360" w:lineRule="auto"/>
    </w:pPr>
    <w:rPr>
      <w:rFonts w:ascii="黑体" w:hAnsi="Times New Roman"/>
      <w:sz w:val="28"/>
      <w:szCs w:val="28"/>
    </w:rPr>
  </w:style>
  <w:style w:type="paragraph" w:customStyle="1" w:styleId="551">
    <w:name w:val="样式 左 段前: 5 磅 段后: 5 磅1"/>
    <w:basedOn w:val="a6"/>
    <w:qFormat/>
    <w:pPr>
      <w:widowControl/>
      <w:spacing w:before="100" w:after="100" w:line="240" w:lineRule="atLeast"/>
      <w:jc w:val="center"/>
    </w:pPr>
    <w:rPr>
      <w:rFonts w:cs="宋体"/>
      <w:kern w:val="52"/>
      <w:sz w:val="24"/>
      <w:szCs w:val="20"/>
    </w:rPr>
  </w:style>
  <w:style w:type="paragraph" w:customStyle="1" w:styleId="222GB2312">
    <w:name w:val="样式 样式 样式 样式 样式 样式 首行缩进:  2 字符 + 首行缩进:  2 字符2 + 仿宋_GB2312 + 首行缩进:..."/>
    <w:basedOn w:val="a6"/>
    <w:qFormat/>
    <w:pPr>
      <w:spacing w:line="560" w:lineRule="exact"/>
      <w:ind w:firstLineChars="200" w:firstLine="624"/>
    </w:pPr>
    <w:rPr>
      <w:rFonts w:eastAsia="楷体_GB2312"/>
      <w:spacing w:val="12"/>
      <w:kern w:val="0"/>
      <w:sz w:val="28"/>
      <w:szCs w:val="20"/>
    </w:rPr>
  </w:style>
  <w:style w:type="paragraph" w:customStyle="1" w:styleId="Indent1">
    <w:name w:val="Indent1"/>
    <w:basedOn w:val="a6"/>
    <w:qFormat/>
    <w:pPr>
      <w:widowControl/>
      <w:autoSpaceDE w:val="0"/>
      <w:autoSpaceDN w:val="0"/>
      <w:spacing w:before="120"/>
      <w:ind w:left="1134" w:right="284"/>
      <w:jc w:val="left"/>
    </w:pPr>
    <w:rPr>
      <w:rFonts w:ascii="Arial" w:hAnsi="Arial" w:cs="宋体"/>
      <w:color w:val="000000"/>
      <w:kern w:val="0"/>
      <w:sz w:val="20"/>
      <w:szCs w:val="20"/>
      <w:lang w:val="en-GB"/>
    </w:rPr>
  </w:style>
  <w:style w:type="paragraph" w:customStyle="1" w:styleId="reader-word-layerreader-word-s39-7reader-word-s39-11">
    <w:name w:val="reader-word-layer reader-word-s39-7 reader-word-s39-11"/>
    <w:basedOn w:val="a6"/>
    <w:qFormat/>
    <w:pPr>
      <w:widowControl/>
      <w:spacing w:before="100" w:beforeAutospacing="1" w:after="100" w:afterAutospacing="1"/>
      <w:jc w:val="left"/>
    </w:pPr>
    <w:rPr>
      <w:rFonts w:ascii="宋体" w:hAnsi="宋体" w:cs="宋体"/>
      <w:color w:val="000000"/>
      <w:w w:val="110"/>
      <w:kern w:val="0"/>
      <w:sz w:val="24"/>
    </w:rPr>
  </w:style>
  <w:style w:type="paragraph" w:customStyle="1" w:styleId="Bulletlevel3">
    <w:name w:val="Bullet level 3"/>
    <w:basedOn w:val="a6"/>
    <w:qFormat/>
    <w:pPr>
      <w:widowControl/>
      <w:tabs>
        <w:tab w:val="left" w:pos="420"/>
      </w:tabs>
      <w:wordWrap w:val="0"/>
      <w:spacing w:before="120"/>
      <w:ind w:left="420" w:hanging="420"/>
      <w:jc w:val="left"/>
    </w:pPr>
    <w:rPr>
      <w:rFonts w:ascii="Arial" w:hAnsi="Arial" w:cs="宋体"/>
      <w:kern w:val="0"/>
      <w:sz w:val="22"/>
      <w:szCs w:val="20"/>
    </w:rPr>
  </w:style>
  <w:style w:type="paragraph" w:customStyle="1" w:styleId="2fffff5">
    <w:name w:val="图表目录2"/>
    <w:basedOn w:val="4fd"/>
    <w:next w:val="4fd"/>
    <w:qFormat/>
    <w:pPr>
      <w:tabs>
        <w:tab w:val="right" w:leader="dot" w:pos="8051"/>
      </w:tabs>
      <w:ind w:left="840" w:hanging="840"/>
    </w:pPr>
    <w:rPr>
      <w:sz w:val="24"/>
    </w:rPr>
  </w:style>
  <w:style w:type="paragraph" w:customStyle="1" w:styleId="reader-word-layerreader-word-s1-6">
    <w:name w:val="reader-word-layer reader-word-s1-6"/>
    <w:basedOn w:val="a6"/>
    <w:qFormat/>
    <w:pPr>
      <w:widowControl/>
      <w:spacing w:before="100" w:beforeAutospacing="1" w:after="100" w:afterAutospacing="1"/>
      <w:jc w:val="left"/>
    </w:pPr>
    <w:rPr>
      <w:rFonts w:ascii="宋体" w:hAnsi="宋体" w:cs="宋体"/>
      <w:kern w:val="0"/>
      <w:sz w:val="24"/>
    </w:rPr>
  </w:style>
  <w:style w:type="paragraph" w:customStyle="1" w:styleId="ZchnZchnCharCharZchnZchn">
    <w:name w:val="Zchn Zchn Char Char Zchn Zchn"/>
    <w:basedOn w:val="a6"/>
    <w:qFormat/>
    <w:pPr>
      <w:tabs>
        <w:tab w:val="left" w:pos="492"/>
      </w:tabs>
      <w:ind w:left="492" w:hanging="132"/>
    </w:pPr>
    <w:rPr>
      <w:rFonts w:ascii="Tahoma" w:eastAsia="楷体_GB2312" w:hAnsi="Tahoma"/>
      <w:color w:val="000000"/>
      <w:spacing w:val="10"/>
      <w:w w:val="110"/>
      <w:kern w:val="0"/>
      <w:sz w:val="24"/>
      <w:szCs w:val="20"/>
    </w:rPr>
  </w:style>
  <w:style w:type="paragraph" w:customStyle="1" w:styleId="1fffff5">
    <w:name w:val="表样式1"/>
    <w:basedOn w:val="a6"/>
    <w:qFormat/>
    <w:pPr>
      <w:spacing w:line="380" w:lineRule="exact"/>
      <w:ind w:rightChars="-131" w:right="-275"/>
    </w:pPr>
    <w:rPr>
      <w:rFonts w:ascii="宋体" w:hAnsi="宋体"/>
      <w:color w:val="000000"/>
      <w:w w:val="110"/>
      <w:kern w:val="0"/>
      <w:sz w:val="24"/>
      <w:szCs w:val="21"/>
    </w:rPr>
  </w:style>
  <w:style w:type="paragraph" w:customStyle="1" w:styleId="CharCharffffff1">
    <w:name w:val="Char Char 字元 字元"/>
    <w:basedOn w:val="a6"/>
    <w:qFormat/>
    <w:pPr>
      <w:widowControl/>
      <w:spacing w:after="160" w:line="240" w:lineRule="exact"/>
      <w:jc w:val="left"/>
    </w:pPr>
    <w:rPr>
      <w:rFonts w:ascii="Verdana" w:hAnsi="Verdana"/>
      <w:kern w:val="0"/>
      <w:sz w:val="20"/>
      <w:szCs w:val="20"/>
      <w:lang w:eastAsia="en-US"/>
    </w:rPr>
  </w:style>
  <w:style w:type="paragraph" w:customStyle="1" w:styleId="p21">
    <w:name w:val="p21"/>
    <w:basedOn w:val="a6"/>
    <w:qFormat/>
    <w:pPr>
      <w:widowControl/>
      <w:spacing w:beforeLines="10" w:afterLines="10" w:line="360" w:lineRule="auto"/>
      <w:ind w:firstLine="420"/>
    </w:pPr>
    <w:rPr>
      <w:color w:val="000000"/>
      <w:kern w:val="0"/>
      <w:sz w:val="24"/>
    </w:rPr>
  </w:style>
  <w:style w:type="paragraph" w:customStyle="1" w:styleId="xl196">
    <w:name w:val="xl196"/>
    <w:basedOn w:val="a6"/>
    <w:qFormat/>
    <w:pPr>
      <w:widowControl/>
      <w:pBdr>
        <w:left w:val="single" w:sz="8" w:space="0" w:color="auto"/>
        <w:bottom w:val="single" w:sz="4" w:space="0" w:color="auto"/>
      </w:pBdr>
      <w:spacing w:before="100" w:beforeAutospacing="1" w:after="100" w:afterAutospacing="1"/>
      <w:jc w:val="left"/>
      <w:textAlignment w:val="center"/>
    </w:pPr>
    <w:rPr>
      <w:rFonts w:cs="宋体"/>
      <w:color w:val="000000"/>
      <w:kern w:val="0"/>
      <w:sz w:val="24"/>
    </w:rPr>
  </w:style>
  <w:style w:type="paragraph" w:customStyle="1" w:styleId="xl154">
    <w:name w:val="xl154"/>
    <w:basedOn w:val="a6"/>
    <w:qFormat/>
    <w:pPr>
      <w:widowControl/>
      <w:pBdr>
        <w:top w:val="double" w:sz="6" w:space="0" w:color="auto"/>
        <w:bottom w:val="single" w:sz="4" w:space="0" w:color="auto"/>
        <w:right w:val="single" w:sz="4" w:space="0" w:color="auto"/>
      </w:pBdr>
      <w:spacing w:before="100" w:beforeAutospacing="1" w:after="100" w:afterAutospacing="1" w:line="360" w:lineRule="auto"/>
      <w:jc w:val="center"/>
      <w:textAlignment w:val="center"/>
    </w:pPr>
    <w:rPr>
      <w:rFonts w:eastAsia="Arial Unicode MS" w:cs="宋体"/>
      <w:color w:val="000000"/>
      <w:kern w:val="0"/>
      <w:sz w:val="20"/>
      <w:szCs w:val="20"/>
    </w:rPr>
  </w:style>
  <w:style w:type="paragraph" w:customStyle="1" w:styleId="CharChar1CharCharCharCharCharCharCharCharCharCharCharCharCharCharCharCharCharCharCharChar1Char1">
    <w:name w:val="Char Char1 Char Char Char Char Char Char Char Char Char Char Char Char Char Char Char Char Char Char Char Char1 Char1"/>
    <w:basedOn w:val="a6"/>
    <w:qFormat/>
    <w:pPr>
      <w:spacing w:line="360" w:lineRule="auto"/>
      <w:ind w:firstLineChars="200" w:firstLine="200"/>
    </w:pPr>
    <w:rPr>
      <w:rFonts w:ascii="宋体" w:hAnsi="宋体" w:cs="宋体"/>
      <w:sz w:val="24"/>
    </w:rPr>
  </w:style>
  <w:style w:type="paragraph" w:customStyle="1" w:styleId="xl1029">
    <w:name w:val="xl102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8"/>
      <w:szCs w:val="18"/>
    </w:rPr>
  </w:style>
  <w:style w:type="paragraph" w:customStyle="1" w:styleId="-STD6">
    <w:name w:val="样式 正文首行缩进-STD + (符号) 宋体 段前: 6 磅"/>
    <w:basedOn w:val="a6"/>
    <w:qFormat/>
    <w:pPr>
      <w:spacing w:before="100" w:beforeAutospacing="1" w:line="360" w:lineRule="auto"/>
      <w:ind w:firstLineChars="200" w:firstLine="480"/>
    </w:pPr>
    <w:rPr>
      <w:rFonts w:hAnsi="宋体" w:cs="宋体"/>
      <w:sz w:val="24"/>
      <w:szCs w:val="20"/>
    </w:rPr>
  </w:style>
  <w:style w:type="paragraph" w:customStyle="1" w:styleId="CharCharCharCharCharChar6">
    <w:name w:val="Char Char Char Char Char Char6"/>
    <w:basedOn w:val="a6"/>
    <w:qFormat/>
  </w:style>
  <w:style w:type="paragraph" w:customStyle="1" w:styleId="xl151">
    <w:name w:val="xl151"/>
    <w:basedOn w:val="a6"/>
    <w:qFormat/>
    <w:pPr>
      <w:widowControl/>
      <w:pBdr>
        <w:bottom w:val="single" w:sz="4" w:space="0" w:color="auto"/>
        <w:right w:val="single" w:sz="4" w:space="0" w:color="auto"/>
      </w:pBdr>
      <w:spacing w:before="100" w:beforeAutospacing="1" w:after="100" w:afterAutospacing="1" w:line="360" w:lineRule="auto"/>
      <w:jc w:val="center"/>
      <w:textAlignment w:val="center"/>
    </w:pPr>
    <w:rPr>
      <w:rFonts w:eastAsia="Arial Unicode MS" w:cs="宋体"/>
      <w:color w:val="000000"/>
      <w:kern w:val="0"/>
      <w:sz w:val="20"/>
      <w:szCs w:val="20"/>
    </w:rPr>
  </w:style>
  <w:style w:type="paragraph" w:customStyle="1" w:styleId="S2">
    <w:name w:val="S表格"/>
    <w:basedOn w:val="a6"/>
    <w:qFormat/>
    <w:pPr>
      <w:spacing w:before="240" w:line="360" w:lineRule="auto"/>
      <w:outlineLvl w:val="2"/>
    </w:pPr>
    <w:rPr>
      <w:rFonts w:ascii="宋体"/>
      <w:kern w:val="0"/>
      <w:sz w:val="24"/>
      <w:szCs w:val="20"/>
    </w:rPr>
  </w:style>
  <w:style w:type="paragraph" w:customStyle="1" w:styleId="T32">
    <w:name w:val="T3"/>
    <w:qFormat/>
    <w:pPr>
      <w:tabs>
        <w:tab w:val="left" w:pos="360"/>
        <w:tab w:val="left" w:pos="1277"/>
        <w:tab w:val="left" w:pos="1410"/>
        <w:tab w:val="left" w:pos="1697"/>
      </w:tabs>
      <w:ind w:left="1410" w:hanging="1410"/>
    </w:pPr>
  </w:style>
  <w:style w:type="paragraph" w:customStyle="1" w:styleId="T20">
    <w:name w:val="T2"/>
    <w:basedOn w:val="a6"/>
    <w:qFormat/>
    <w:pPr>
      <w:widowControl/>
      <w:tabs>
        <w:tab w:val="left" w:pos="1277"/>
      </w:tabs>
      <w:adjustRightInd w:val="0"/>
      <w:spacing w:before="60" w:line="288" w:lineRule="auto"/>
      <w:ind w:left="1277" w:hanging="420"/>
      <w:jc w:val="left"/>
      <w:textAlignment w:val="baseline"/>
    </w:pPr>
    <w:rPr>
      <w:rFonts w:cs="宋体"/>
      <w:spacing w:val="16"/>
      <w:kern w:val="20"/>
      <w:sz w:val="28"/>
      <w:szCs w:val="20"/>
    </w:rPr>
  </w:style>
  <w:style w:type="paragraph" w:customStyle="1" w:styleId="xl149">
    <w:name w:val="xl149"/>
    <w:basedOn w:val="a6"/>
    <w:qFormat/>
    <w:pPr>
      <w:widowControl/>
      <w:pBdr>
        <w:right w:val="single" w:sz="4" w:space="0" w:color="auto"/>
      </w:pBdr>
      <w:spacing w:before="100" w:beforeAutospacing="1" w:after="100" w:afterAutospacing="1" w:line="360" w:lineRule="auto"/>
      <w:jc w:val="center"/>
      <w:textAlignment w:val="center"/>
    </w:pPr>
    <w:rPr>
      <w:rFonts w:eastAsia="Arial Unicode MS" w:cs="宋体"/>
      <w:color w:val="000000"/>
      <w:kern w:val="0"/>
      <w:sz w:val="20"/>
      <w:szCs w:val="20"/>
    </w:rPr>
  </w:style>
  <w:style w:type="paragraph" w:customStyle="1" w:styleId="affffffffffffffffffffffffffffff8">
    <w:name w:val="污染物"/>
    <w:basedOn w:val="a6"/>
    <w:qFormat/>
    <w:pPr>
      <w:jc w:val="center"/>
    </w:pPr>
    <w:rPr>
      <w:rFonts w:eastAsia="黑体"/>
      <w:szCs w:val="21"/>
      <w:u w:val="double"/>
    </w:rPr>
  </w:style>
  <w:style w:type="paragraph" w:customStyle="1" w:styleId="Charffffffffffa">
    <w:name w:val="样式 图号 + 宋体 Char"/>
    <w:basedOn w:val="affffffb"/>
    <w:qFormat/>
  </w:style>
  <w:style w:type="paragraph" w:customStyle="1" w:styleId="2fffff6">
    <w:name w:val="正文缩进2"/>
    <w:basedOn w:val="3f5"/>
    <w:qFormat/>
    <w:pPr>
      <w:adjustRightInd w:val="0"/>
      <w:spacing w:line="318" w:lineRule="atLeast"/>
      <w:jc w:val="left"/>
    </w:pPr>
    <w:rPr>
      <w:rFonts w:ascii="宋体" w:hint="eastAsia"/>
      <w:spacing w:val="0"/>
      <w:kern w:val="0"/>
    </w:rPr>
  </w:style>
  <w:style w:type="paragraph" w:customStyle="1" w:styleId="font8">
    <w:name w:val="font8"/>
    <w:basedOn w:val="a6"/>
    <w:qFormat/>
    <w:pPr>
      <w:widowControl/>
      <w:spacing w:before="100" w:after="100"/>
      <w:jc w:val="left"/>
    </w:pPr>
    <w:rPr>
      <w:kern w:val="0"/>
      <w:szCs w:val="20"/>
    </w:rPr>
  </w:style>
  <w:style w:type="paragraph" w:customStyle="1" w:styleId="4">
    <w:name w:val="示例和注释(左缩进4)"/>
    <w:basedOn w:val="a6"/>
    <w:semiHidden/>
    <w:qFormat/>
    <w:pPr>
      <w:widowControl/>
      <w:numPr>
        <w:ilvl w:val="3"/>
        <w:numId w:val="12"/>
      </w:numPr>
      <w:ind w:firstLine="0"/>
      <w:jc w:val="left"/>
    </w:pPr>
    <w:rPr>
      <w:rFonts w:ascii="Arial" w:hAnsi="Arial" w:cs="宋体"/>
      <w:kern w:val="0"/>
      <w:sz w:val="24"/>
    </w:rPr>
  </w:style>
  <w:style w:type="paragraph" w:customStyle="1" w:styleId="GB231210">
    <w:name w:val="样式 仿宋_GB2312 小四1"/>
    <w:basedOn w:val="a6"/>
    <w:qFormat/>
    <w:pPr>
      <w:adjustRightInd w:val="0"/>
      <w:spacing w:line="360" w:lineRule="auto"/>
      <w:ind w:firstLineChars="200" w:firstLine="480"/>
      <w:textAlignment w:val="baseline"/>
    </w:pPr>
    <w:rPr>
      <w:rFonts w:eastAsia="仿宋_GB2312"/>
      <w:color w:val="000000"/>
      <w:w w:val="110"/>
      <w:kern w:val="0"/>
      <w:sz w:val="24"/>
    </w:rPr>
  </w:style>
  <w:style w:type="paragraph" w:customStyle="1" w:styleId="CharCharCharCharCharCharCharCharCharCharCharCharCharCharCharCharCharCharCharCharCharCharCharCharCharCharCharCharCharCharCharCharCharCharCharCharCharCharCharChar3">
    <w:name w:val="Char Char Char Char Char Char Char Char Char Char Char Char Char Char Char Char Char Char Char Char Char Char Char Char Char Char Char Char Char Char Char Char Char Char Char Char Char Char Char Char3"/>
    <w:basedOn w:val="a6"/>
    <w:qFormat/>
    <w:rPr>
      <w:sz w:val="24"/>
    </w:rPr>
  </w:style>
  <w:style w:type="paragraph" w:customStyle="1" w:styleId="5ff1">
    <w:name w:val="表文字5"/>
    <w:basedOn w:val="a6"/>
    <w:qFormat/>
    <w:pPr>
      <w:widowControl/>
      <w:adjustRightInd w:val="0"/>
      <w:jc w:val="left"/>
      <w:textAlignment w:val="baseline"/>
    </w:pPr>
    <w:rPr>
      <w:rFonts w:ascii="宋体" w:cs="宋体"/>
      <w:kern w:val="0"/>
      <w:sz w:val="24"/>
      <w:szCs w:val="20"/>
    </w:rPr>
  </w:style>
  <w:style w:type="paragraph" w:customStyle="1" w:styleId="CharCharCharCharCharCharCharCharCharCharChar1">
    <w:name w:val="Char Char Char Char Char Char Char Char Char Char Char1"/>
    <w:basedOn w:val="a6"/>
    <w:qFormat/>
  </w:style>
  <w:style w:type="paragraph" w:customStyle="1" w:styleId="xl40">
    <w:name w:val="xl40"/>
    <w:basedOn w:val="a6"/>
    <w:qFormat/>
    <w:pPr>
      <w:widowControl/>
      <w:pBdr>
        <w:top w:val="single" w:sz="4" w:space="0" w:color="auto"/>
        <w:left w:val="single" w:sz="4" w:space="0" w:color="auto"/>
        <w:right w:val="single" w:sz="4" w:space="0" w:color="auto"/>
      </w:pBdr>
      <w:spacing w:before="100" w:after="100"/>
      <w:jc w:val="center"/>
      <w:textAlignment w:val="center"/>
    </w:pPr>
    <w:rPr>
      <w:kern w:val="0"/>
      <w:szCs w:val="20"/>
    </w:rPr>
  </w:style>
  <w:style w:type="paragraph" w:customStyle="1" w:styleId="xl136">
    <w:name w:val="xl136"/>
    <w:basedOn w:val="a6"/>
    <w:qFormat/>
    <w:pPr>
      <w:widowControl/>
      <w:pBdr>
        <w:left w:val="single" w:sz="4" w:space="0" w:color="auto"/>
      </w:pBdr>
      <w:spacing w:before="100" w:beforeAutospacing="1" w:after="100" w:afterAutospacing="1" w:line="360" w:lineRule="auto"/>
      <w:jc w:val="center"/>
      <w:textAlignment w:val="center"/>
    </w:pPr>
    <w:rPr>
      <w:rFonts w:ascii="Arial Unicode MS" w:eastAsia="Arial Unicode MS" w:hAnsi="Arial Unicode MS" w:cs="Arial Unicode MS"/>
      <w:kern w:val="0"/>
      <w:sz w:val="20"/>
      <w:szCs w:val="20"/>
    </w:rPr>
  </w:style>
  <w:style w:type="paragraph" w:customStyle="1" w:styleId="3220">
    <w:name w:val="样式 表格 32 + 首行缩进:  2 字符"/>
    <w:basedOn w:val="a6"/>
    <w:qFormat/>
    <w:pPr>
      <w:widowControl/>
      <w:autoSpaceDE w:val="0"/>
      <w:autoSpaceDN w:val="0"/>
      <w:adjustRightInd w:val="0"/>
      <w:spacing w:line="240" w:lineRule="atLeast"/>
      <w:jc w:val="center"/>
    </w:pPr>
    <w:rPr>
      <w:rFonts w:ascii="宋体" w:hAnsi="宋体" w:cs="宋体"/>
      <w:kern w:val="0"/>
      <w:szCs w:val="21"/>
    </w:rPr>
  </w:style>
  <w:style w:type="paragraph" w:customStyle="1" w:styleId="xl131">
    <w:name w:val="xl131"/>
    <w:basedOn w:val="a6"/>
    <w:qFormat/>
    <w:pPr>
      <w:widowControl/>
      <w:pBdr>
        <w:top w:val="single" w:sz="4" w:space="0" w:color="auto"/>
        <w:bottom w:val="single" w:sz="4" w:space="0" w:color="auto"/>
      </w:pBdr>
      <w:spacing w:before="100" w:beforeAutospacing="1" w:after="100" w:afterAutospacing="1" w:line="360" w:lineRule="auto"/>
      <w:jc w:val="left"/>
    </w:pPr>
    <w:rPr>
      <w:rFonts w:ascii="Arial Unicode MS" w:eastAsia="Arial Unicode MS" w:hAnsi="Arial Unicode MS" w:cs="Arial Unicode MS"/>
      <w:kern w:val="0"/>
      <w:sz w:val="24"/>
    </w:rPr>
  </w:style>
  <w:style w:type="paragraph" w:customStyle="1" w:styleId="3fff0">
    <w:name w:val="正文标题3"/>
    <w:basedOn w:val="33"/>
    <w:qFormat/>
    <w:pPr>
      <w:adjustRightInd w:val="0"/>
    </w:pPr>
    <w:rPr>
      <w:rFonts w:ascii="宋体"/>
      <w:bCs/>
      <w:spacing w:val="0"/>
      <w:szCs w:val="20"/>
    </w:rPr>
  </w:style>
  <w:style w:type="paragraph" w:customStyle="1" w:styleId="CM94">
    <w:name w:val="CM94"/>
    <w:basedOn w:val="Default"/>
    <w:next w:val="Default"/>
    <w:qFormat/>
    <w:pPr>
      <w:spacing w:after="480"/>
    </w:pPr>
    <w:rPr>
      <w:rFonts w:ascii="黑体" w:eastAsia="黑体"/>
      <w:color w:val="auto"/>
    </w:rPr>
  </w:style>
  <w:style w:type="paragraph" w:customStyle="1" w:styleId="-b">
    <w:name w:val="正文-采用"/>
    <w:basedOn w:val="a6"/>
    <w:qFormat/>
    <w:pPr>
      <w:snapToGrid w:val="0"/>
      <w:spacing w:line="360" w:lineRule="auto"/>
      <w:ind w:firstLineChars="200" w:firstLine="480"/>
    </w:pPr>
    <w:rPr>
      <w:rFonts w:ascii="宋体"/>
      <w:snapToGrid w:val="0"/>
      <w:color w:val="000000"/>
      <w:kern w:val="0"/>
      <w:sz w:val="24"/>
      <w:szCs w:val="20"/>
    </w:rPr>
  </w:style>
  <w:style w:type="paragraph" w:customStyle="1" w:styleId="affffffffffffffffffffffffffffff9">
    <w:name w:val="正文正文正文"/>
    <w:basedOn w:val="a6"/>
    <w:next w:val="a6"/>
    <w:qFormat/>
    <w:pPr>
      <w:keepNext/>
      <w:keepLines/>
      <w:widowControl/>
      <w:adjustRightInd w:val="0"/>
      <w:spacing w:before="40" w:after="40" w:line="360" w:lineRule="auto"/>
      <w:ind w:firstLineChars="200" w:firstLine="200"/>
      <w:textAlignment w:val="baseline"/>
    </w:pPr>
    <w:rPr>
      <w:rFonts w:cs="宋体"/>
      <w:bCs/>
      <w:kern w:val="0"/>
      <w:sz w:val="24"/>
      <w:szCs w:val="28"/>
    </w:rPr>
  </w:style>
  <w:style w:type="paragraph" w:customStyle="1" w:styleId="1fffff6">
    <w:name w:val="尾注文本1"/>
    <w:basedOn w:val="120"/>
    <w:qFormat/>
    <w:pPr>
      <w:adjustRightInd w:val="0"/>
      <w:spacing w:line="360" w:lineRule="atLeast"/>
      <w:ind w:firstLineChars="0" w:firstLine="0"/>
      <w:jc w:val="left"/>
      <w:textAlignment w:val="baseline"/>
    </w:pPr>
    <w:rPr>
      <w:rFonts w:ascii="宋体"/>
      <w:sz w:val="21"/>
    </w:rPr>
  </w:style>
  <w:style w:type="paragraph" w:customStyle="1" w:styleId="affffffffffffffffffffffffffffffa">
    <w:name w:val="款标题"/>
    <w:basedOn w:val="a6"/>
    <w:qFormat/>
    <w:pPr>
      <w:widowControl/>
      <w:adjustRightInd w:val="0"/>
      <w:snapToGrid w:val="0"/>
      <w:spacing w:line="420" w:lineRule="exact"/>
      <w:ind w:firstLineChars="218" w:firstLine="523"/>
      <w:jc w:val="left"/>
    </w:pPr>
    <w:rPr>
      <w:rFonts w:cs="宋体"/>
      <w:kern w:val="0"/>
      <w:sz w:val="24"/>
    </w:rPr>
  </w:style>
  <w:style w:type="paragraph" w:customStyle="1" w:styleId="xl120">
    <w:name w:val="xl120"/>
    <w:basedOn w:val="a6"/>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1fffff7">
    <w:name w:val="1名"/>
    <w:basedOn w:val="a6"/>
    <w:qFormat/>
    <w:pPr>
      <w:spacing w:before="120"/>
    </w:pPr>
    <w:rPr>
      <w:rFonts w:ascii="宋体"/>
      <w:sz w:val="28"/>
      <w:szCs w:val="20"/>
    </w:rPr>
  </w:style>
  <w:style w:type="paragraph" w:customStyle="1" w:styleId="Char70">
    <w:name w:val="Char7"/>
    <w:basedOn w:val="a6"/>
    <w:qFormat/>
    <w:pPr>
      <w:spacing w:after="160" w:line="240" w:lineRule="exact"/>
      <w:jc w:val="left"/>
    </w:pPr>
    <w:rPr>
      <w:rFonts w:ascii="Arial" w:eastAsia="Times New Roman" w:hAnsi="Arial" w:cs="Verdana"/>
      <w:b/>
      <w:kern w:val="0"/>
      <w:sz w:val="24"/>
      <w:lang w:eastAsia="en-US"/>
    </w:rPr>
  </w:style>
  <w:style w:type="paragraph" w:customStyle="1" w:styleId="affffffffffffffffffffffffffffffb">
    <w:name w:val="表格编号"/>
    <w:basedOn w:val="a6"/>
    <w:next w:val="a6"/>
    <w:qFormat/>
    <w:pPr>
      <w:widowControl/>
      <w:tabs>
        <w:tab w:val="left" w:pos="360"/>
      </w:tabs>
      <w:spacing w:before="300" w:after="200" w:line="360" w:lineRule="auto"/>
      <w:ind w:left="360" w:hangingChars="200" w:hanging="360"/>
      <w:jc w:val="center"/>
    </w:pPr>
    <w:rPr>
      <w:rFonts w:cs="宋体"/>
      <w:kern w:val="0"/>
      <w:sz w:val="24"/>
      <w:szCs w:val="20"/>
    </w:rPr>
  </w:style>
  <w:style w:type="paragraph" w:customStyle="1" w:styleId="reader-word-layerreader-word-s1-11">
    <w:name w:val="reader-word-layer reader-word-s1-11"/>
    <w:basedOn w:val="a6"/>
    <w:qFormat/>
    <w:pPr>
      <w:widowControl/>
      <w:spacing w:before="100" w:beforeAutospacing="1" w:after="100" w:afterAutospacing="1"/>
      <w:jc w:val="left"/>
    </w:pPr>
    <w:rPr>
      <w:rFonts w:ascii="宋体" w:hAnsi="宋体" w:cs="宋体"/>
      <w:kern w:val="0"/>
      <w:sz w:val="24"/>
    </w:rPr>
  </w:style>
  <w:style w:type="paragraph" w:customStyle="1" w:styleId="xl962">
    <w:name w:val="xl962"/>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宋体" w:hAnsi="宋体" w:cs="宋体"/>
      <w:kern w:val="0"/>
      <w:sz w:val="18"/>
      <w:szCs w:val="18"/>
    </w:rPr>
  </w:style>
  <w:style w:type="paragraph" w:customStyle="1" w:styleId="CharCharCharCharCharCharChar1CharCharChar">
    <w:name w:val="Char Char Char Char Char Char Char1 Char Char Char"/>
    <w:basedOn w:val="a6"/>
    <w:next w:val="a6"/>
    <w:qFormat/>
    <w:pPr>
      <w:widowControl/>
      <w:tabs>
        <w:tab w:val="left" w:pos="777"/>
        <w:tab w:val="left" w:pos="5744"/>
      </w:tabs>
      <w:spacing w:beforeLines="50" w:afterLines="100" w:line="360" w:lineRule="auto"/>
      <w:ind w:left="1105" w:hanging="748"/>
      <w:jc w:val="center"/>
    </w:pPr>
    <w:rPr>
      <w:rFonts w:cs="宋体"/>
      <w:kern w:val="0"/>
      <w:sz w:val="24"/>
      <w:szCs w:val="21"/>
    </w:rPr>
  </w:style>
  <w:style w:type="paragraph" w:customStyle="1" w:styleId="affffffffffffffffffffffffffffffc">
    <w:name w:val="条目"/>
    <w:next w:val="a6"/>
    <w:qFormat/>
    <w:pPr>
      <w:tabs>
        <w:tab w:val="left" w:pos="284"/>
      </w:tabs>
      <w:adjustRightInd w:val="0"/>
      <w:ind w:left="567" w:hanging="283"/>
    </w:pPr>
    <w:rPr>
      <w:rFonts w:ascii="宋体"/>
      <w:bCs/>
      <w:sz w:val="28"/>
      <w:szCs w:val="28"/>
      <w:lang w:val="zh-CN"/>
    </w:rPr>
  </w:style>
  <w:style w:type="paragraph" w:customStyle="1" w:styleId="xl80">
    <w:name w:val="xl80"/>
    <w:basedOn w:val="a6"/>
    <w:qFormat/>
    <w:pPr>
      <w:widowControl/>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ascii="宋体" w:hAnsi="宋体" w:cs="宋体"/>
      <w:b/>
      <w:bCs/>
      <w:kern w:val="0"/>
      <w:sz w:val="20"/>
      <w:szCs w:val="20"/>
    </w:rPr>
  </w:style>
  <w:style w:type="paragraph" w:customStyle="1" w:styleId="Style102">
    <w:name w:val="Style102"/>
    <w:basedOn w:val="a6"/>
    <w:qFormat/>
    <w:pPr>
      <w:adjustRightInd w:val="0"/>
      <w:spacing w:line="466" w:lineRule="exact"/>
      <w:jc w:val="center"/>
    </w:pPr>
    <w:rPr>
      <w:rFonts w:ascii="宋体"/>
      <w:kern w:val="0"/>
      <w:sz w:val="24"/>
      <w:szCs w:val="20"/>
    </w:rPr>
  </w:style>
  <w:style w:type="paragraph" w:customStyle="1" w:styleId="affffffffffffffffffffffffffffffd">
    <w:name w:val="题注 + 居中"/>
    <w:basedOn w:val="af1"/>
    <w:qFormat/>
    <w:pPr>
      <w:widowControl w:val="0"/>
      <w:adjustRightInd w:val="0"/>
      <w:snapToGrid w:val="0"/>
      <w:ind w:firstLineChars="0" w:firstLine="0"/>
      <w:jc w:val="center"/>
    </w:pPr>
    <w:rPr>
      <w:rFonts w:ascii="黑体" w:eastAsia="黑体" w:hAnsi="Arial" w:cs="宋体"/>
      <w:b w:val="0"/>
      <w:szCs w:val="20"/>
    </w:rPr>
  </w:style>
  <w:style w:type="paragraph" w:customStyle="1" w:styleId="96">
    <w:name w:val="标题9"/>
    <w:next w:val="a6"/>
    <w:qFormat/>
    <w:pPr>
      <w:adjustRightInd w:val="0"/>
      <w:snapToGrid w:val="0"/>
      <w:spacing w:line="312" w:lineRule="auto"/>
      <w:jc w:val="center"/>
    </w:pPr>
    <w:rPr>
      <w:rFonts w:eastAsia="黑体"/>
      <w:sz w:val="18"/>
    </w:rPr>
  </w:style>
  <w:style w:type="paragraph" w:customStyle="1" w:styleId="affffffffffffffffffffffffffffffe">
    <w:name w:val="左五"/>
    <w:basedOn w:val="a6"/>
    <w:qFormat/>
    <w:pPr>
      <w:adjustRightInd w:val="0"/>
      <w:snapToGrid w:val="0"/>
      <w:spacing w:line="280" w:lineRule="exact"/>
      <w:jc w:val="left"/>
    </w:pPr>
    <w:rPr>
      <w:rFonts w:ascii="宋体" w:hAnsi="Symusic"/>
      <w:color w:val="000000"/>
      <w:sz w:val="18"/>
    </w:rPr>
  </w:style>
  <w:style w:type="paragraph" w:customStyle="1" w:styleId="afffffffffffffffffffffffffffffff">
    <w:name w:val="样式 表格备注"/>
    <w:basedOn w:val="a6"/>
    <w:semiHidden/>
    <w:qFormat/>
    <w:pPr>
      <w:keepNext/>
      <w:widowControl/>
      <w:tabs>
        <w:tab w:val="left" w:pos="628"/>
        <w:tab w:val="left" w:pos="1727"/>
        <w:tab w:val="left" w:pos="1884"/>
        <w:tab w:val="left" w:pos="4325"/>
        <w:tab w:val="left" w:pos="4900"/>
      </w:tabs>
      <w:adjustRightInd w:val="0"/>
      <w:snapToGrid w:val="0"/>
      <w:spacing w:line="360" w:lineRule="auto"/>
      <w:ind w:firstLineChars="200" w:firstLine="480"/>
      <w:jc w:val="left"/>
    </w:pPr>
    <w:rPr>
      <w:rFonts w:ascii="宋体" w:eastAsia="楷体_GB2312" w:hAnsi="宋体" w:cs="宋体"/>
      <w:kern w:val="0"/>
      <w:sz w:val="24"/>
      <w:szCs w:val="20"/>
    </w:rPr>
  </w:style>
  <w:style w:type="paragraph" w:customStyle="1" w:styleId="11f4">
    <w:name w:val="标题11"/>
    <w:qFormat/>
    <w:pPr>
      <w:adjustRightInd w:val="0"/>
      <w:snapToGrid w:val="0"/>
      <w:spacing w:before="120" w:after="120" w:line="360" w:lineRule="auto"/>
      <w:jc w:val="center"/>
    </w:pPr>
    <w:rPr>
      <w:b/>
      <w:sz w:val="24"/>
    </w:rPr>
  </w:style>
  <w:style w:type="paragraph" w:customStyle="1" w:styleId="reader-word-layerreader-word-s39-15">
    <w:name w:val="reader-word-layer reader-word-s39-15"/>
    <w:basedOn w:val="a6"/>
    <w:qFormat/>
    <w:pPr>
      <w:widowControl/>
      <w:spacing w:before="100" w:beforeAutospacing="1" w:after="100" w:afterAutospacing="1"/>
      <w:jc w:val="left"/>
    </w:pPr>
    <w:rPr>
      <w:rFonts w:ascii="宋体" w:hAnsi="宋体" w:cs="宋体"/>
      <w:color w:val="000000"/>
      <w:w w:val="110"/>
      <w:kern w:val="0"/>
      <w:sz w:val="24"/>
    </w:rPr>
  </w:style>
  <w:style w:type="paragraph" w:customStyle="1" w:styleId="afffffffffffffffffffffffffffffff0">
    <w:name w:val="表后空行"/>
    <w:basedOn w:val="a6"/>
    <w:qFormat/>
    <w:pPr>
      <w:overflowPunct w:val="0"/>
      <w:adjustRightInd w:val="0"/>
      <w:ind w:firstLineChars="200" w:firstLine="567"/>
      <w:textAlignment w:val="baseline"/>
    </w:pPr>
    <w:rPr>
      <w:kern w:val="28"/>
      <w:sz w:val="10"/>
      <w:szCs w:val="20"/>
    </w:rPr>
  </w:style>
  <w:style w:type="paragraph" w:customStyle="1" w:styleId="11052">
    <w:name w:val="样式 1.1二级标题 + 段前: 0.5 行2"/>
    <w:basedOn w:val="112"/>
    <w:qFormat/>
    <w:rPr>
      <w:rFonts w:cs="宋体"/>
      <w:b w:val="0"/>
    </w:rPr>
  </w:style>
  <w:style w:type="paragraph" w:customStyle="1" w:styleId="afffffffffffffffffffffffffffffff1">
    <w:name w:val="报告节"/>
    <w:basedOn w:val="a6"/>
    <w:next w:val="a6"/>
    <w:qFormat/>
    <w:pPr>
      <w:keepNext/>
      <w:widowControl/>
      <w:tabs>
        <w:tab w:val="left" w:pos="3319"/>
        <w:tab w:val="left" w:pos="3600"/>
      </w:tabs>
      <w:spacing w:line="720" w:lineRule="auto"/>
      <w:jc w:val="center"/>
      <w:outlineLvl w:val="1"/>
    </w:pPr>
    <w:rPr>
      <w:rFonts w:ascii="仿宋_GB2312" w:eastAsia="仿宋_GB2312" w:hAnsi="Calibri"/>
      <w:b/>
      <w:snapToGrid w:val="0"/>
      <w:color w:val="000000"/>
      <w:w w:val="110"/>
      <w:kern w:val="0"/>
      <w:sz w:val="32"/>
      <w:szCs w:val="32"/>
    </w:rPr>
  </w:style>
  <w:style w:type="paragraph" w:customStyle="1" w:styleId="261">
    <w:name w:val="正文文本缩进 26"/>
    <w:basedOn w:val="a6"/>
    <w:qFormat/>
    <w:pPr>
      <w:adjustRightInd w:val="0"/>
      <w:spacing w:line="360" w:lineRule="atLeast"/>
      <w:ind w:firstLine="425"/>
      <w:jc w:val="left"/>
      <w:textAlignment w:val="baseline"/>
    </w:pPr>
    <w:rPr>
      <w:rFonts w:ascii="宋体"/>
      <w:spacing w:val="20"/>
      <w:kern w:val="0"/>
      <w:sz w:val="24"/>
      <w:szCs w:val="20"/>
    </w:rPr>
  </w:style>
  <w:style w:type="paragraph" w:customStyle="1" w:styleId="afffffffffffffffffffffffffffffff2">
    <w:name w:val="环表头"/>
    <w:basedOn w:val="a6"/>
    <w:next w:val="a6"/>
    <w:qFormat/>
    <w:pPr>
      <w:widowControl/>
      <w:suppressAutoHyphens/>
      <w:adjustRightInd w:val="0"/>
      <w:spacing w:before="60" w:after="60" w:line="312" w:lineRule="atLeast"/>
      <w:ind w:right="28"/>
      <w:jc w:val="center"/>
      <w:textAlignment w:val="baseline"/>
    </w:pPr>
    <w:rPr>
      <w:rFonts w:ascii="黑体" w:eastAsia="黑体" w:hAnsi="宋体"/>
      <w:kern w:val="0"/>
      <w:sz w:val="24"/>
      <w:szCs w:val="20"/>
    </w:rPr>
  </w:style>
  <w:style w:type="paragraph" w:customStyle="1" w:styleId="41111411114Char1111Char41">
    <w:name w:val="样式 样式 标题 41.1.1.1标题 4.1.1.1.1标题 4 Char款1.1.1.1 Char标4 + (符号) ......"/>
    <w:basedOn w:val="a6"/>
    <w:qFormat/>
    <w:pPr>
      <w:keepLines/>
      <w:widowControl/>
      <w:autoSpaceDE w:val="0"/>
      <w:autoSpaceDN w:val="0"/>
      <w:adjustRightInd w:val="0"/>
      <w:snapToGrid w:val="0"/>
      <w:spacing w:line="360" w:lineRule="auto"/>
      <w:jc w:val="left"/>
      <w:textAlignment w:val="bottom"/>
      <w:outlineLvl w:val="3"/>
    </w:pPr>
    <w:rPr>
      <w:rFonts w:ascii="宋体" w:hAnsi="宋体" w:cs="宋体"/>
      <w:kern w:val="0"/>
      <w:sz w:val="28"/>
      <w:szCs w:val="20"/>
    </w:rPr>
  </w:style>
  <w:style w:type="paragraph" w:customStyle="1" w:styleId="CM34">
    <w:name w:val="CM34"/>
    <w:basedOn w:val="Default"/>
    <w:next w:val="Default"/>
    <w:qFormat/>
    <w:pPr>
      <w:spacing w:line="436" w:lineRule="atLeast"/>
    </w:pPr>
    <w:rPr>
      <w:rFonts w:eastAsia="Times New Roman"/>
      <w:color w:val="auto"/>
      <w:sz w:val="20"/>
    </w:rPr>
  </w:style>
  <w:style w:type="paragraph" w:customStyle="1" w:styleId="85">
    <w:name w:val="8"/>
    <w:basedOn w:val="a6"/>
    <w:next w:val="39"/>
    <w:qFormat/>
    <w:pPr>
      <w:spacing w:line="360" w:lineRule="auto"/>
      <w:ind w:firstLineChars="181" w:firstLine="434"/>
    </w:pPr>
    <w:rPr>
      <w:sz w:val="24"/>
      <w:szCs w:val="28"/>
    </w:rPr>
  </w:style>
  <w:style w:type="paragraph" w:customStyle="1" w:styleId="wtext">
    <w:name w:val="wtext"/>
    <w:basedOn w:val="a6"/>
    <w:qFormat/>
    <w:pPr>
      <w:widowControl/>
      <w:spacing w:before="100" w:beforeAutospacing="1" w:after="100" w:afterAutospacing="1"/>
      <w:ind w:firstLine="480"/>
      <w:jc w:val="left"/>
    </w:pPr>
    <w:rPr>
      <w:rFonts w:eastAsia="Arial Unicode MS"/>
      <w:color w:val="000000"/>
      <w:kern w:val="0"/>
      <w:sz w:val="22"/>
      <w:szCs w:val="20"/>
      <w:lang w:eastAsia="en-US"/>
    </w:rPr>
  </w:style>
  <w:style w:type="paragraph" w:customStyle="1" w:styleId="CharChar1Char1">
    <w:name w:val="Char Char1 Char1"/>
    <w:basedOn w:val="a6"/>
    <w:qFormat/>
    <w:pPr>
      <w:widowControl/>
      <w:spacing w:before="100" w:beforeAutospacing="1" w:after="100" w:afterAutospacing="1" w:line="360" w:lineRule="auto"/>
      <w:ind w:left="360" w:firstLine="624"/>
      <w:jc w:val="left"/>
    </w:pPr>
    <w:rPr>
      <w:rFonts w:ascii="ˎ̥" w:eastAsia="仿宋_GB2312" w:hAnsi="ˎ̥" w:cs="宋体"/>
      <w:color w:val="51585D"/>
      <w:kern w:val="0"/>
      <w:sz w:val="32"/>
      <w:szCs w:val="18"/>
    </w:rPr>
  </w:style>
  <w:style w:type="paragraph" w:customStyle="1" w:styleId="xl199">
    <w:name w:val="xl199"/>
    <w:basedOn w:val="a6"/>
    <w:qFormat/>
    <w:pPr>
      <w:widowControl/>
      <w:pBdr>
        <w:top w:val="single" w:sz="4" w:space="0" w:color="auto"/>
        <w:bottom w:val="single" w:sz="4" w:space="0" w:color="auto"/>
      </w:pBdr>
      <w:spacing w:before="100" w:beforeAutospacing="1" w:after="100" w:afterAutospacing="1"/>
      <w:jc w:val="left"/>
      <w:textAlignment w:val="center"/>
    </w:pPr>
    <w:rPr>
      <w:rFonts w:cs="宋体"/>
      <w:color w:val="000000"/>
      <w:kern w:val="0"/>
      <w:sz w:val="24"/>
    </w:rPr>
  </w:style>
  <w:style w:type="paragraph" w:customStyle="1" w:styleId="ParaAttribute34">
    <w:name w:val="ParaAttribute34"/>
    <w:qFormat/>
    <w:pPr>
      <w:widowControl w:val="0"/>
      <w:wordWrap w:val="0"/>
      <w:spacing w:line="159" w:lineRule="exact"/>
    </w:pPr>
  </w:style>
  <w:style w:type="paragraph" w:customStyle="1" w:styleId="4ff">
    <w:name w:val="报告样式4"/>
    <w:basedOn w:val="af0"/>
    <w:qFormat/>
    <w:pPr>
      <w:adjustRightInd/>
      <w:ind w:firstLineChars="200" w:firstLine="480"/>
      <w:jc w:val="both"/>
      <w:textAlignment w:val="auto"/>
    </w:pPr>
    <w:rPr>
      <w:rFonts w:ascii="Times New Roman" w:hAnsi="Times New Roman"/>
      <w:bCs/>
      <w:kern w:val="2"/>
      <w:szCs w:val="20"/>
    </w:rPr>
  </w:style>
  <w:style w:type="paragraph" w:customStyle="1" w:styleId="afffffffffffffffffffffffffffffff3">
    <w:name w:val="四级无标题条"/>
    <w:basedOn w:val="a6"/>
    <w:qFormat/>
  </w:style>
  <w:style w:type="paragraph" w:customStyle="1" w:styleId="GB231215">
    <w:name w:val="样式 仿宋_GB2312 四号 黑色 行距: 1.5 倍行距"/>
    <w:basedOn w:val="a6"/>
    <w:qFormat/>
    <w:pPr>
      <w:spacing w:line="480" w:lineRule="exact"/>
      <w:ind w:firstLineChars="200" w:firstLine="200"/>
    </w:pPr>
    <w:rPr>
      <w:rFonts w:ascii="仿宋_GB2312" w:eastAsia="仿宋_GB2312" w:hAnsi="宋体" w:cs="宋体"/>
      <w:color w:val="000000"/>
      <w:sz w:val="28"/>
      <w:szCs w:val="20"/>
    </w:rPr>
  </w:style>
  <w:style w:type="paragraph" w:customStyle="1" w:styleId="111111">
    <w:name w:val="样式 1.1.1.1 + 右侧:  1 字符"/>
    <w:basedOn w:val="41"/>
    <w:qFormat/>
    <w:pPr>
      <w:keepNext w:val="0"/>
      <w:keepLines w:val="0"/>
      <w:tabs>
        <w:tab w:val="left" w:pos="1070"/>
      </w:tabs>
      <w:overflowPunct w:val="0"/>
      <w:autoSpaceDE w:val="0"/>
      <w:autoSpaceDN w:val="0"/>
      <w:spacing w:beforeLines="0" w:before="0" w:line="240" w:lineRule="exact"/>
      <w:jc w:val="left"/>
      <w:textAlignment w:val="baseline"/>
    </w:pPr>
    <w:rPr>
      <w:rFonts w:ascii="宋体" w:eastAsia="宋体" w:hAnsi="Times New Roman" w:cs="TimesNewRoman"/>
      <w:bCs w:val="0"/>
      <w:snapToGrid w:val="0"/>
      <w:sz w:val="24"/>
    </w:rPr>
  </w:style>
  <w:style w:type="paragraph" w:customStyle="1" w:styleId="xl187">
    <w:name w:val="xl187"/>
    <w:basedOn w:val="a6"/>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宋体" w:hAnsi="宋体" w:cs="宋体"/>
      <w:color w:val="000000"/>
      <w:kern w:val="0"/>
      <w:sz w:val="24"/>
    </w:rPr>
  </w:style>
  <w:style w:type="paragraph" w:customStyle="1" w:styleId="CM13">
    <w:name w:val="CM13"/>
    <w:basedOn w:val="Default"/>
    <w:next w:val="Default"/>
    <w:qFormat/>
    <w:pPr>
      <w:spacing w:line="626" w:lineRule="atLeast"/>
    </w:pPr>
    <w:rPr>
      <w:rFonts w:ascii="黑体" w:eastAsia="黑体"/>
      <w:color w:val="auto"/>
    </w:rPr>
  </w:style>
  <w:style w:type="paragraph" w:customStyle="1" w:styleId="78">
    <w:name w:val="表格7"/>
    <w:basedOn w:val="a6"/>
    <w:qFormat/>
    <w:pPr>
      <w:widowControl/>
      <w:jc w:val="center"/>
    </w:pPr>
    <w:rPr>
      <w:rFonts w:hAnsi="宋体"/>
      <w:kern w:val="0"/>
      <w:sz w:val="18"/>
      <w:szCs w:val="18"/>
    </w:rPr>
  </w:style>
  <w:style w:type="paragraph" w:customStyle="1" w:styleId="22b">
    <w:name w:val="样式 样式 首行缩进 + 四号 首行缩进:  2 字符 + 首行缩进:  2 字符"/>
    <w:basedOn w:val="a6"/>
    <w:qFormat/>
    <w:pPr>
      <w:snapToGrid w:val="0"/>
      <w:spacing w:line="360" w:lineRule="auto"/>
      <w:ind w:firstLineChars="200" w:firstLine="560"/>
      <w:jc w:val="left"/>
    </w:pPr>
    <w:rPr>
      <w:rFonts w:ascii="仿宋_GB2312" w:eastAsia="仿宋_GB2312" w:hAnsi="宋体" w:cs="宋体"/>
      <w:color w:val="000000"/>
      <w:sz w:val="28"/>
      <w:szCs w:val="20"/>
    </w:rPr>
  </w:style>
  <w:style w:type="paragraph" w:customStyle="1" w:styleId="f12">
    <w:name w:val="f12"/>
    <w:basedOn w:val="a6"/>
    <w:qFormat/>
    <w:pPr>
      <w:widowControl/>
      <w:spacing w:before="100" w:beforeAutospacing="1" w:after="100" w:afterAutospacing="1" w:line="300" w:lineRule="atLeast"/>
      <w:jc w:val="left"/>
    </w:pPr>
    <w:rPr>
      <w:rFonts w:ascii="宋体" w:hAnsi="宋体" w:cs="宋体"/>
      <w:kern w:val="0"/>
      <w:sz w:val="18"/>
      <w:szCs w:val="18"/>
    </w:rPr>
  </w:style>
  <w:style w:type="paragraph" w:customStyle="1" w:styleId="Style43">
    <w:name w:val="Style43"/>
    <w:basedOn w:val="a6"/>
    <w:qFormat/>
    <w:pPr>
      <w:adjustRightInd w:val="0"/>
      <w:jc w:val="left"/>
    </w:pPr>
    <w:rPr>
      <w:rFonts w:ascii="宋体"/>
      <w:kern w:val="0"/>
      <w:sz w:val="24"/>
      <w:szCs w:val="20"/>
    </w:rPr>
  </w:style>
  <w:style w:type="paragraph" w:customStyle="1" w:styleId="ParaCharCharCharCharCharCharCharCharChar1CharCharCharCharCharCharChar">
    <w:name w:val="默认段落字体 Para Char Char Char Char Char Char Char Char Char1 Char Char Char Char Char Char Char"/>
    <w:basedOn w:val="af4"/>
    <w:qFormat/>
    <w:rPr>
      <w:rFonts w:ascii="Tahoma" w:hAnsi="Tahoma" w:cs="Tahoma"/>
      <w:kern w:val="0"/>
      <w:sz w:val="24"/>
    </w:rPr>
  </w:style>
  <w:style w:type="paragraph" w:customStyle="1" w:styleId="ENUM">
    <w:name w:val="ENUM"/>
    <w:basedOn w:val="a6"/>
    <w:qFormat/>
    <w:pPr>
      <w:widowControl/>
      <w:tabs>
        <w:tab w:val="left" w:pos="840"/>
        <w:tab w:val="left" w:pos="1418"/>
      </w:tabs>
      <w:spacing w:before="60" w:after="60"/>
      <w:ind w:left="1418" w:firstLineChars="200" w:hanging="284"/>
    </w:pPr>
    <w:rPr>
      <w:rFonts w:ascii="Arial" w:hAnsi="Arial"/>
      <w:kern w:val="0"/>
      <w:sz w:val="22"/>
      <w:szCs w:val="20"/>
      <w:lang w:val="en-GB"/>
    </w:rPr>
  </w:style>
  <w:style w:type="paragraph" w:customStyle="1" w:styleId="xl31">
    <w:name w:val="xl31"/>
    <w:basedOn w:val="a6"/>
    <w:qFormat/>
    <w:pPr>
      <w:widowControl/>
      <w:pBdr>
        <w:top w:val="single" w:sz="4" w:space="0" w:color="auto"/>
        <w:left w:val="single" w:sz="4" w:space="0" w:color="auto"/>
        <w:bottom w:val="single" w:sz="4" w:space="0" w:color="auto"/>
      </w:pBdr>
      <w:spacing w:before="100" w:after="100"/>
      <w:jc w:val="center"/>
      <w:textAlignment w:val="center"/>
    </w:pPr>
    <w:rPr>
      <w:kern w:val="0"/>
      <w:szCs w:val="20"/>
    </w:rPr>
  </w:style>
  <w:style w:type="paragraph" w:customStyle="1" w:styleId="hp1">
    <w:name w:val="hp1"/>
    <w:basedOn w:val="12"/>
    <w:qFormat/>
    <w:pPr>
      <w:keepNext w:val="0"/>
      <w:keepLines w:val="0"/>
      <w:adjustRightInd w:val="0"/>
      <w:spacing w:beforeLines="100" w:before="100" w:beforeAutospacing="1" w:after="100" w:afterAutospacing="1" w:line="578" w:lineRule="atLeast"/>
      <w:jc w:val="center"/>
      <w:textAlignment w:val="baseline"/>
    </w:pPr>
    <w:rPr>
      <w:rFonts w:ascii="黑体" w:hAnsi="宋体" w:cs="Arial"/>
      <w:b w:val="0"/>
      <w:bCs w:val="0"/>
      <w:sz w:val="32"/>
      <w:szCs w:val="32"/>
    </w:rPr>
  </w:style>
  <w:style w:type="paragraph" w:customStyle="1" w:styleId="CM28">
    <w:name w:val="CM28"/>
    <w:basedOn w:val="Default"/>
    <w:next w:val="Default"/>
    <w:qFormat/>
    <w:pPr>
      <w:spacing w:line="546" w:lineRule="atLeast"/>
    </w:pPr>
    <w:rPr>
      <w:rFonts w:ascii="楷体_GB2312" w:eastAsia="楷体_GB2312"/>
      <w:color w:val="auto"/>
    </w:rPr>
  </w:style>
  <w:style w:type="paragraph" w:customStyle="1" w:styleId="afffffffffffffffffffffffffffffff4">
    <w:name w:val="表格内格式"/>
    <w:basedOn w:val="a6"/>
    <w:qFormat/>
    <w:pPr>
      <w:spacing w:line="240" w:lineRule="exact"/>
      <w:jc w:val="center"/>
    </w:pPr>
    <w:rPr>
      <w:rFonts w:ascii="宋体"/>
    </w:rPr>
  </w:style>
  <w:style w:type="paragraph" w:customStyle="1" w:styleId="afffffffffffffffffffffffffffffff5">
    <w:name w:val="地质报告正文"/>
    <w:basedOn w:val="a6"/>
    <w:qFormat/>
    <w:pPr>
      <w:ind w:firstLineChars="200" w:firstLine="200"/>
    </w:pPr>
    <w:rPr>
      <w:sz w:val="28"/>
    </w:rPr>
  </w:style>
  <w:style w:type="paragraph" w:customStyle="1" w:styleId="Char421">
    <w:name w:val="Char421"/>
    <w:basedOn w:val="33"/>
    <w:uiPriority w:val="99"/>
    <w:qFormat/>
    <w:pPr>
      <w:tabs>
        <w:tab w:val="left" w:pos="851"/>
        <w:tab w:val="left" w:pos="900"/>
      </w:tabs>
      <w:adjustRightInd w:val="0"/>
      <w:snapToGrid w:val="0"/>
      <w:spacing w:after="120" w:line="360" w:lineRule="auto"/>
      <w:ind w:leftChars="-12" w:left="542" w:firstLineChars="200" w:firstLine="200"/>
      <w:jc w:val="left"/>
    </w:pPr>
    <w:rPr>
      <w:bCs/>
      <w:snapToGrid w:val="0"/>
      <w:spacing w:val="0"/>
      <w:sz w:val="24"/>
      <w:szCs w:val="24"/>
    </w:rPr>
  </w:style>
  <w:style w:type="paragraph" w:customStyle="1" w:styleId="326">
    <w:name w:val="样式 标题 3 + 小三 加粗 行距: 固定值 26 磅"/>
    <w:basedOn w:val="33"/>
    <w:qFormat/>
    <w:pPr>
      <w:adjustRightInd w:val="0"/>
      <w:spacing w:before="260" w:after="260" w:line="520" w:lineRule="exact"/>
    </w:pPr>
    <w:rPr>
      <w:rFonts w:eastAsia="宋体" w:cs="宋体"/>
      <w:b/>
      <w:spacing w:val="0"/>
      <w:szCs w:val="20"/>
    </w:rPr>
  </w:style>
  <w:style w:type="paragraph" w:customStyle="1" w:styleId="03615">
    <w:name w:val="样式 小四 黑色 首行缩进:  0.36 厘米 行距: 1.5 倍行距"/>
    <w:basedOn w:val="a6"/>
    <w:qFormat/>
    <w:pPr>
      <w:spacing w:line="360" w:lineRule="auto"/>
    </w:pPr>
    <w:rPr>
      <w:color w:val="000000"/>
      <w:sz w:val="24"/>
      <w:szCs w:val="20"/>
    </w:rPr>
  </w:style>
  <w:style w:type="paragraph" w:customStyle="1" w:styleId="CharChar1Char">
    <w:name w:val="Char Char1 Char"/>
    <w:basedOn w:val="a6"/>
    <w:next w:val="a6"/>
    <w:uiPriority w:val="99"/>
    <w:qFormat/>
    <w:pPr>
      <w:spacing w:line="360" w:lineRule="auto"/>
      <w:ind w:firstLineChars="200" w:firstLine="200"/>
    </w:pPr>
    <w:rPr>
      <w:rFonts w:ascii="宋体" w:hAnsi="宋体" w:cs="宋体"/>
      <w:sz w:val="24"/>
    </w:rPr>
  </w:style>
  <w:style w:type="paragraph" w:customStyle="1" w:styleId="2223">
    <w:name w:val="样式222"/>
    <w:basedOn w:val="22"/>
    <w:qFormat/>
    <w:pPr>
      <w:keepNext w:val="0"/>
      <w:keepLines w:val="0"/>
      <w:widowControl/>
      <w:spacing w:line="240" w:lineRule="auto"/>
      <w:ind w:firstLineChars="200" w:firstLine="560"/>
      <w:jc w:val="left"/>
      <w:outlineLvl w:val="9"/>
    </w:pPr>
    <w:rPr>
      <w:rFonts w:cs="宋体"/>
      <w:b/>
      <w:bCs w:val="0"/>
      <w:spacing w:val="0"/>
      <w:w w:val="100"/>
      <w:kern w:val="2"/>
      <w:szCs w:val="20"/>
    </w:rPr>
  </w:style>
  <w:style w:type="paragraph" w:customStyle="1" w:styleId="xl249">
    <w:name w:val="xl249"/>
    <w:basedOn w:val="a6"/>
    <w:qFormat/>
    <w:pPr>
      <w:widowControl/>
      <w:pBdr>
        <w:top w:val="single" w:sz="4" w:space="0" w:color="auto"/>
        <w:right w:val="single" w:sz="4" w:space="0" w:color="auto"/>
      </w:pBdr>
      <w:spacing w:before="100" w:beforeAutospacing="1" w:after="100" w:afterAutospacing="1"/>
      <w:jc w:val="center"/>
    </w:pPr>
    <w:rPr>
      <w:rFonts w:cs="宋体"/>
      <w:kern w:val="0"/>
      <w:sz w:val="16"/>
      <w:szCs w:val="16"/>
    </w:rPr>
  </w:style>
  <w:style w:type="paragraph" w:customStyle="1" w:styleId="11f5">
    <w:name w:val="样式 样式 1.1二级标题 + 加粗"/>
    <w:basedOn w:val="113"/>
    <w:qFormat/>
    <w:rPr>
      <w:b w:val="0"/>
      <w:bCs/>
    </w:rPr>
  </w:style>
  <w:style w:type="paragraph" w:customStyle="1" w:styleId="12b">
    <w:name w:val="表1表2"/>
    <w:basedOn w:val="a6"/>
    <w:qFormat/>
    <w:pPr>
      <w:widowControl/>
      <w:autoSpaceDE w:val="0"/>
      <w:autoSpaceDN w:val="0"/>
      <w:adjustRightInd w:val="0"/>
      <w:jc w:val="center"/>
    </w:pPr>
    <w:rPr>
      <w:rFonts w:ascii="宋体" w:eastAsia="仿宋体" w:hAnsi="宋体" w:cs="宋体"/>
      <w:kern w:val="0"/>
      <w:sz w:val="24"/>
      <w:szCs w:val="20"/>
    </w:rPr>
  </w:style>
  <w:style w:type="paragraph" w:customStyle="1" w:styleId="CharCharChar13">
    <w:name w:val="大纲三级标题 Char Char Char1"/>
    <w:basedOn w:val="a6"/>
    <w:qFormat/>
    <w:pPr>
      <w:tabs>
        <w:tab w:val="left" w:pos="4665"/>
        <w:tab w:val="left" w:pos="8970"/>
      </w:tabs>
      <w:spacing w:beforeLines="50" w:afterLines="50"/>
      <w:ind w:firstLine="403"/>
      <w:jc w:val="center"/>
    </w:pPr>
    <w:rPr>
      <w:rFonts w:ascii="Tahoma" w:hAnsi="Tahoma"/>
      <w:b/>
      <w:kern w:val="0"/>
      <w:sz w:val="28"/>
      <w:szCs w:val="20"/>
    </w:rPr>
  </w:style>
  <w:style w:type="paragraph" w:customStyle="1" w:styleId="22c">
    <w:name w:val="样式 正文 首行缩进:  2 字符 + 首行缩进:  2 字符"/>
    <w:basedOn w:val="a6"/>
    <w:qFormat/>
    <w:pPr>
      <w:spacing w:line="480" w:lineRule="exact"/>
      <w:ind w:firstLineChars="200" w:firstLine="560"/>
    </w:pPr>
    <w:rPr>
      <w:color w:val="000000"/>
      <w:w w:val="110"/>
      <w:kern w:val="0"/>
      <w:sz w:val="28"/>
      <w:szCs w:val="20"/>
    </w:rPr>
  </w:style>
  <w:style w:type="paragraph" w:customStyle="1" w:styleId="820">
    <w:name w:val="样式 正文(首行缩进) + 8 磅 加粗 首行缩进:  2 字符"/>
    <w:basedOn w:val="a6"/>
    <w:qFormat/>
    <w:pPr>
      <w:adjustRightInd w:val="0"/>
      <w:snapToGrid w:val="0"/>
      <w:ind w:firstLineChars="200" w:firstLine="200"/>
    </w:pPr>
    <w:rPr>
      <w:rFonts w:cs="宋体"/>
      <w:b/>
      <w:bCs/>
      <w:snapToGrid w:val="0"/>
      <w:kern w:val="0"/>
      <w:sz w:val="16"/>
      <w:szCs w:val="20"/>
    </w:rPr>
  </w:style>
  <w:style w:type="paragraph" w:customStyle="1" w:styleId="6b">
    <w:name w:val="标题6"/>
    <w:basedOn w:val="a6"/>
    <w:next w:val="affc"/>
    <w:qFormat/>
    <w:pPr>
      <w:keepNext/>
      <w:spacing w:line="360" w:lineRule="auto"/>
      <w:ind w:firstLine="567"/>
      <w:jc w:val="left"/>
      <w:outlineLvl w:val="5"/>
    </w:pPr>
    <w:rPr>
      <w:color w:val="000000"/>
      <w:w w:val="110"/>
      <w:kern w:val="0"/>
      <w:sz w:val="28"/>
      <w:szCs w:val="21"/>
    </w:rPr>
  </w:style>
  <w:style w:type="paragraph" w:customStyle="1" w:styleId="414">
    <w:name w:val="正文41"/>
    <w:qFormat/>
    <w:pPr>
      <w:widowControl w:val="0"/>
      <w:adjustRightInd w:val="0"/>
      <w:spacing w:line="312" w:lineRule="atLeast"/>
      <w:jc w:val="both"/>
      <w:textAlignment w:val="baseline"/>
    </w:pPr>
    <w:rPr>
      <w:rFonts w:ascii="宋体"/>
      <w:sz w:val="34"/>
    </w:rPr>
  </w:style>
  <w:style w:type="paragraph" w:customStyle="1" w:styleId="2CharCharCharCharCharCharCharCharCharChar">
    <w:name w:val="2 Char Char Char Char Char Char Char Char Char Char"/>
    <w:basedOn w:val="a6"/>
    <w:qFormat/>
  </w:style>
  <w:style w:type="paragraph" w:customStyle="1" w:styleId="afffffffffffffffffffffffffffffff6">
    <w:name w:val="小四表文左齐"/>
    <w:basedOn w:val="a6"/>
    <w:qFormat/>
    <w:pPr>
      <w:spacing w:line="360" w:lineRule="exact"/>
      <w:jc w:val="center"/>
    </w:pPr>
    <w:rPr>
      <w:rFonts w:ascii="宋体"/>
      <w:kern w:val="0"/>
      <w:sz w:val="24"/>
      <w:szCs w:val="20"/>
    </w:rPr>
  </w:style>
  <w:style w:type="paragraph" w:customStyle="1" w:styleId="101">
    <w:name w:val="样式 正文1 + 段前: 0.1 行"/>
    <w:basedOn w:val="a6"/>
    <w:qFormat/>
    <w:pPr>
      <w:snapToGrid w:val="0"/>
      <w:spacing w:beforeLines="10" w:line="440" w:lineRule="atLeast"/>
      <w:ind w:firstLine="510"/>
    </w:pPr>
    <w:rPr>
      <w:rFonts w:cs="宋体"/>
      <w:sz w:val="24"/>
      <w:szCs w:val="20"/>
    </w:rPr>
  </w:style>
  <w:style w:type="paragraph" w:customStyle="1" w:styleId="1fffff8">
    <w:name w:val="信息标题1"/>
    <w:basedOn w:val="a6"/>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sz w:val="24"/>
      <w:shd w:val="pct20" w:color="auto" w:fill="auto"/>
    </w:rPr>
  </w:style>
  <w:style w:type="paragraph" w:customStyle="1" w:styleId="CharCharChar1CharCharCharCharCharCharChar2">
    <w:name w:val="Char Char Char1 Char Char Char Char Char Char Char2"/>
    <w:basedOn w:val="a6"/>
    <w:qFormat/>
    <w:pPr>
      <w:adjustRightInd w:val="0"/>
      <w:spacing w:line="312" w:lineRule="auto"/>
      <w:textAlignment w:val="baseline"/>
    </w:pPr>
    <w:rPr>
      <w:rFonts w:ascii="Tahoma" w:hAnsi="Tahoma"/>
      <w:kern w:val="0"/>
      <w:sz w:val="24"/>
      <w:szCs w:val="20"/>
    </w:rPr>
  </w:style>
  <w:style w:type="paragraph" w:customStyle="1" w:styleId="CM15">
    <w:name w:val="CM15"/>
    <w:basedOn w:val="Default"/>
    <w:next w:val="Default"/>
    <w:qFormat/>
    <w:pPr>
      <w:spacing w:line="626" w:lineRule="atLeast"/>
    </w:pPr>
    <w:rPr>
      <w:rFonts w:ascii="黑体" w:eastAsia="黑体"/>
      <w:color w:val="auto"/>
    </w:rPr>
  </w:style>
  <w:style w:type="paragraph" w:customStyle="1" w:styleId="xl66">
    <w:name w:val="xl66"/>
    <w:basedOn w:val="a6"/>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Arial Unicode MS" w:eastAsia="Arial Unicode MS" w:hAnsi="Arial Unicode MS"/>
      <w:kern w:val="0"/>
      <w:sz w:val="24"/>
      <w:szCs w:val="20"/>
    </w:rPr>
  </w:style>
  <w:style w:type="paragraph" w:customStyle="1" w:styleId="Address1">
    <w:name w:val="Address 1"/>
    <w:basedOn w:val="a6"/>
    <w:qFormat/>
    <w:pPr>
      <w:widowControl/>
      <w:spacing w:line="200" w:lineRule="atLeast"/>
      <w:jc w:val="left"/>
    </w:pPr>
    <w:rPr>
      <w:color w:val="000000"/>
      <w:w w:val="110"/>
      <w:kern w:val="0"/>
      <w:sz w:val="16"/>
      <w:szCs w:val="20"/>
    </w:rPr>
  </w:style>
  <w:style w:type="paragraph" w:customStyle="1" w:styleId="22d">
    <w:name w:val="表格（22磅）"/>
    <w:basedOn w:val="a6"/>
    <w:next w:val="a6"/>
    <w:qFormat/>
    <w:pPr>
      <w:spacing w:line="440" w:lineRule="exact"/>
      <w:ind w:firstLineChars="200" w:firstLine="200"/>
      <w:jc w:val="center"/>
    </w:pPr>
    <w:rPr>
      <w:rFonts w:ascii="宋体"/>
      <w:sz w:val="24"/>
      <w:szCs w:val="20"/>
    </w:rPr>
  </w:style>
  <w:style w:type="paragraph" w:customStyle="1" w:styleId="CharCharCharCharCharChar1Char">
    <w:name w:val="Char Char Char Char Char Char1 Char"/>
    <w:basedOn w:val="a6"/>
    <w:qFormat/>
    <w:pPr>
      <w:widowControl/>
      <w:spacing w:after="160" w:line="240" w:lineRule="exact"/>
      <w:jc w:val="left"/>
    </w:pPr>
    <w:rPr>
      <w:rFonts w:ascii="Arial" w:eastAsia="Times New Roman" w:hAnsi="Arial"/>
      <w:b/>
      <w:kern w:val="0"/>
      <w:sz w:val="24"/>
      <w:szCs w:val="20"/>
      <w:lang w:eastAsia="en-US"/>
    </w:rPr>
  </w:style>
  <w:style w:type="paragraph" w:customStyle="1" w:styleId="C20">
    <w:name w:val="C2"/>
    <w:basedOn w:val="a6"/>
    <w:qFormat/>
    <w:rPr>
      <w:kern w:val="0"/>
      <w:sz w:val="28"/>
      <w:szCs w:val="20"/>
    </w:rPr>
  </w:style>
  <w:style w:type="paragraph" w:customStyle="1" w:styleId="afffffffffffffffffffffffffffffff7">
    <w:name w:val="样式 五号 行距: 单倍行距"/>
    <w:basedOn w:val="a6"/>
    <w:qFormat/>
    <w:pPr>
      <w:tabs>
        <w:tab w:val="left" w:pos="3780"/>
      </w:tabs>
      <w:spacing w:line="240" w:lineRule="exact"/>
    </w:pPr>
    <w:rPr>
      <w:rFonts w:cs="宋体"/>
      <w:szCs w:val="20"/>
    </w:rPr>
  </w:style>
  <w:style w:type="paragraph" w:customStyle="1" w:styleId="Normal3">
    <w:name w:val="Normal3"/>
    <w:qFormat/>
    <w:pPr>
      <w:widowControl w:val="0"/>
      <w:adjustRightInd w:val="0"/>
      <w:spacing w:line="360" w:lineRule="atLeast"/>
    </w:pPr>
    <w:rPr>
      <w:rFonts w:ascii="宋体" w:hint="eastAsia"/>
      <w:sz w:val="34"/>
    </w:rPr>
  </w:style>
  <w:style w:type="paragraph" w:customStyle="1" w:styleId="T40">
    <w:name w:val="T4标题"/>
    <w:basedOn w:val="41"/>
    <w:qFormat/>
    <w:pPr>
      <w:keepNext w:val="0"/>
      <w:keepLines w:val="0"/>
      <w:tabs>
        <w:tab w:val="left" w:pos="480"/>
        <w:tab w:val="left" w:pos="1070"/>
      </w:tabs>
      <w:spacing w:beforeLines="0" w:before="0" w:line="360" w:lineRule="auto"/>
      <w:ind w:leftChars="400" w:left="1070" w:hangingChars="200" w:hanging="200"/>
      <w:outlineLvl w:val="0"/>
    </w:pPr>
    <w:rPr>
      <w:rFonts w:ascii="宋体" w:eastAsia="宋体"/>
      <w:bCs w:val="0"/>
      <w:color w:val="000000"/>
      <w:sz w:val="24"/>
      <w:szCs w:val="24"/>
    </w:rPr>
  </w:style>
  <w:style w:type="paragraph" w:customStyle="1" w:styleId="000000">
    <w:name w:val="正文000000"/>
    <w:basedOn w:val="a6"/>
    <w:next w:val="a6"/>
    <w:qFormat/>
    <w:pPr>
      <w:adjustRightInd w:val="0"/>
      <w:snapToGrid w:val="0"/>
      <w:spacing w:line="360" w:lineRule="auto"/>
      <w:ind w:firstLineChars="200" w:firstLine="200"/>
    </w:pPr>
    <w:rPr>
      <w:rFonts w:ascii="宋体" w:hAnsi="宋体" w:cs="宋体"/>
      <w:sz w:val="24"/>
    </w:rPr>
  </w:style>
  <w:style w:type="paragraph" w:customStyle="1" w:styleId="2h22Header2ndPageABCh2mainh2GB23121">
    <w:name w:val="样式 样式 标题 2h22Header 2nd PageA.B.C.h2 main h标题2 + 仿宋_GB2312 行距......1"/>
    <w:basedOn w:val="2h22Header2ndPageABCh2mainh2GB2312"/>
    <w:qFormat/>
    <w:pPr>
      <w:ind w:firstLine="454"/>
    </w:pPr>
    <w:rPr>
      <w:b/>
      <w:bCs w:val="0"/>
    </w:rPr>
  </w:style>
  <w:style w:type="paragraph" w:customStyle="1" w:styleId="CharCharCharChar12">
    <w:name w:val="Char Char Char Char12"/>
    <w:basedOn w:val="a6"/>
    <w:qFormat/>
    <w:rPr>
      <w:sz w:val="24"/>
    </w:rPr>
  </w:style>
  <w:style w:type="paragraph" w:customStyle="1" w:styleId="afffffffffffffffffffffffffffffff8">
    <w:name w:val="空行"/>
    <w:basedOn w:val="a6"/>
    <w:qFormat/>
    <w:pPr>
      <w:adjustRightInd w:val="0"/>
      <w:snapToGrid w:val="0"/>
      <w:spacing w:line="180" w:lineRule="exact"/>
    </w:pPr>
    <w:rPr>
      <w:spacing w:val="4"/>
      <w:sz w:val="24"/>
      <w:szCs w:val="20"/>
    </w:rPr>
  </w:style>
  <w:style w:type="paragraph" w:customStyle="1" w:styleId="CharCharCharCharCharChar1CharCharChar1">
    <w:name w:val="Char Char Char Char Char Char1 Char Char Char1"/>
    <w:basedOn w:val="a6"/>
    <w:qFormat/>
  </w:style>
  <w:style w:type="paragraph" w:customStyle="1" w:styleId="hb30">
    <w:name w:val="hb3"/>
    <w:basedOn w:val="33"/>
    <w:qFormat/>
    <w:pPr>
      <w:keepNext w:val="0"/>
      <w:adjustRightInd w:val="0"/>
      <w:spacing w:beforeLines="50" w:afterLines="50" w:line="520" w:lineRule="exact"/>
      <w:jc w:val="left"/>
    </w:pPr>
    <w:rPr>
      <w:rFonts w:hAnsi="黑体"/>
      <w:b/>
      <w:spacing w:val="0"/>
      <w:szCs w:val="24"/>
    </w:rPr>
  </w:style>
  <w:style w:type="paragraph" w:customStyle="1" w:styleId="afffffffffffffffffffffffffffffff9">
    <w:name w:val="图文字"/>
    <w:basedOn w:val="a6"/>
    <w:next w:val="a6"/>
    <w:qFormat/>
    <w:pPr>
      <w:snapToGrid w:val="0"/>
    </w:pPr>
    <w:rPr>
      <w:rFonts w:ascii="Arial" w:eastAsia="楷体_GB2312" w:hAnsi="Arial"/>
      <w:sz w:val="24"/>
      <w:szCs w:val="20"/>
    </w:rPr>
  </w:style>
  <w:style w:type="paragraph" w:customStyle="1" w:styleId="2125">
    <w:name w:val="样式 标题 2 + (中文) 宋体 行距: 多倍行距 1.25 字行"/>
    <w:basedOn w:val="33"/>
    <w:qFormat/>
    <w:pPr>
      <w:keepNext w:val="0"/>
      <w:adjustRightInd w:val="0"/>
      <w:spacing w:beforeLines="50" w:afterLines="50" w:line="336" w:lineRule="auto"/>
      <w:jc w:val="center"/>
    </w:pPr>
    <w:rPr>
      <w:rFonts w:hAnsi="黑体"/>
      <w:spacing w:val="0"/>
      <w:szCs w:val="24"/>
    </w:rPr>
  </w:style>
  <w:style w:type="paragraph" w:customStyle="1" w:styleId="1fffff9">
    <w:name w:val="封面标准文稿编辑信息1"/>
    <w:qFormat/>
    <w:pPr>
      <w:spacing w:before="180" w:line="180" w:lineRule="exact"/>
      <w:jc w:val="center"/>
    </w:pPr>
    <w:rPr>
      <w:rFonts w:ascii="宋体"/>
      <w:sz w:val="21"/>
    </w:rPr>
  </w:style>
  <w:style w:type="paragraph" w:customStyle="1" w:styleId="reader-word-layerreader-word-s39-0reader-word-s39-1">
    <w:name w:val="reader-word-layer reader-word-s39-0 reader-word-s39-1"/>
    <w:basedOn w:val="a6"/>
    <w:qFormat/>
    <w:pPr>
      <w:widowControl/>
      <w:spacing w:before="100" w:beforeAutospacing="1" w:after="100" w:afterAutospacing="1"/>
      <w:jc w:val="left"/>
    </w:pPr>
    <w:rPr>
      <w:rFonts w:ascii="宋体" w:hAnsi="宋体" w:cs="宋体"/>
      <w:color w:val="000000"/>
      <w:w w:val="110"/>
      <w:kern w:val="0"/>
      <w:sz w:val="24"/>
    </w:rPr>
  </w:style>
  <w:style w:type="paragraph" w:customStyle="1" w:styleId="CM90">
    <w:name w:val="CM90"/>
    <w:basedOn w:val="Default"/>
    <w:next w:val="Default"/>
    <w:qFormat/>
    <w:pPr>
      <w:spacing w:after="57"/>
    </w:pPr>
    <w:rPr>
      <w:rFonts w:ascii="黑体" w:eastAsia="黑体"/>
      <w:color w:val="auto"/>
    </w:rPr>
  </w:style>
  <w:style w:type="paragraph" w:customStyle="1" w:styleId="CharCharChar1CharCharCharCharCharCharCharCharCharCharCharCharCharCharCharCharChar">
    <w:name w:val="Char Char Char1 Char Char Char Char Char Char Char Char Char Char Char Char Char Char Char Char Char"/>
    <w:basedOn w:val="a6"/>
    <w:uiPriority w:val="99"/>
    <w:qFormat/>
  </w:style>
  <w:style w:type="paragraph" w:customStyle="1" w:styleId="CharCharChar1CharChar">
    <w:name w:val="Char Char Char1 Char Char"/>
    <w:basedOn w:val="a6"/>
    <w:qFormat/>
  </w:style>
  <w:style w:type="paragraph" w:customStyle="1" w:styleId="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1"/>
    <w:basedOn w:val="a6"/>
    <w:qFormat/>
    <w:rPr>
      <w:color w:val="000000"/>
      <w:w w:val="110"/>
      <w:kern w:val="0"/>
      <w:sz w:val="24"/>
    </w:rPr>
  </w:style>
  <w:style w:type="paragraph" w:customStyle="1" w:styleId="zxz5">
    <w:name w:val="zxz5"/>
    <w:next w:val="1f8"/>
    <w:qFormat/>
    <w:pPr>
      <w:tabs>
        <w:tab w:val="left" w:pos="0"/>
      </w:tabs>
      <w:jc w:val="center"/>
    </w:pPr>
    <w:rPr>
      <w:rFonts w:ascii="宋体" w:eastAsia="Times New Roman" w:hAnsi="宋体" w:cs="宋体"/>
      <w:bCs/>
      <w:kern w:val="2"/>
      <w:sz w:val="18"/>
      <w:szCs w:val="18"/>
    </w:rPr>
  </w:style>
  <w:style w:type="paragraph" w:customStyle="1" w:styleId="BodyTextFirstIndent1">
    <w:name w:val="Body Text First Indent1"/>
    <w:basedOn w:val="af8"/>
    <w:qFormat/>
    <w:pPr>
      <w:adjustRightInd w:val="0"/>
      <w:spacing w:after="0" w:line="312" w:lineRule="auto"/>
      <w:ind w:firstLine="720"/>
      <w:textAlignment w:val="baseline"/>
    </w:pPr>
    <w:rPr>
      <w:b/>
      <w:kern w:val="0"/>
      <w:sz w:val="28"/>
      <w:szCs w:val="20"/>
    </w:rPr>
  </w:style>
  <w:style w:type="paragraph" w:customStyle="1" w:styleId="xl25">
    <w:name w:val="xl25"/>
    <w:basedOn w:val="a6"/>
    <w:qFormat/>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hint="eastAsia"/>
      <w:kern w:val="0"/>
      <w:sz w:val="18"/>
      <w:szCs w:val="18"/>
    </w:rPr>
  </w:style>
  <w:style w:type="paragraph" w:customStyle="1" w:styleId="231">
    <w:name w:val="样式 首行缩进:  2 字符3"/>
    <w:basedOn w:val="a6"/>
    <w:qFormat/>
    <w:pPr>
      <w:ind w:firstLineChars="200" w:firstLine="200"/>
    </w:pPr>
    <w:rPr>
      <w:rFonts w:cs="宋体"/>
      <w:sz w:val="24"/>
    </w:rPr>
  </w:style>
  <w:style w:type="paragraph" w:customStyle="1" w:styleId="22e">
    <w:name w:val="样式 标题 2 + 宋体 居中 首行缩进:  2 字符"/>
    <w:basedOn w:val="22"/>
    <w:qFormat/>
    <w:pPr>
      <w:widowControl/>
      <w:spacing w:line="500" w:lineRule="exact"/>
      <w:ind w:firstLine="601"/>
      <w:jc w:val="center"/>
    </w:pPr>
    <w:rPr>
      <w:rFonts w:cs="宋体"/>
      <w:spacing w:val="0"/>
      <w:w w:val="100"/>
      <w:kern w:val="2"/>
      <w:sz w:val="30"/>
      <w:szCs w:val="30"/>
    </w:rPr>
  </w:style>
  <w:style w:type="paragraph" w:customStyle="1" w:styleId="Charffffffffffb">
    <w:name w:val="Char 正文"/>
    <w:basedOn w:val="12"/>
    <w:qFormat/>
    <w:pPr>
      <w:tabs>
        <w:tab w:val="left" w:pos="2629"/>
      </w:tabs>
      <w:adjustRightInd w:val="0"/>
      <w:snapToGrid w:val="0"/>
      <w:spacing w:before="240" w:after="240" w:line="348" w:lineRule="auto"/>
    </w:pPr>
    <w:rPr>
      <w:rFonts w:ascii="Tahoma" w:hAnsi="Tahoma"/>
      <w:bCs w:val="0"/>
      <w:sz w:val="24"/>
      <w:szCs w:val="20"/>
    </w:rPr>
  </w:style>
  <w:style w:type="paragraph" w:customStyle="1" w:styleId="Style13">
    <w:name w:val="Style13"/>
    <w:basedOn w:val="a6"/>
    <w:qFormat/>
    <w:pPr>
      <w:adjustRightInd w:val="0"/>
      <w:jc w:val="left"/>
    </w:pPr>
    <w:rPr>
      <w:rFonts w:ascii="宋体"/>
      <w:kern w:val="0"/>
      <w:sz w:val="24"/>
      <w:szCs w:val="20"/>
    </w:rPr>
  </w:style>
  <w:style w:type="paragraph" w:customStyle="1" w:styleId="22f">
    <w:name w:val="样式 标题 + 两端对齐 左侧:  2.2 厘米"/>
    <w:basedOn w:val="aa"/>
    <w:qFormat/>
    <w:pPr>
      <w:pageBreakBefore w:val="0"/>
      <w:tabs>
        <w:tab w:val="left" w:pos="0"/>
      </w:tabs>
      <w:spacing w:before="0" w:after="100" w:afterAutospacing="1" w:line="360" w:lineRule="auto"/>
      <w:ind w:left="1247" w:hanging="57"/>
      <w:jc w:val="left"/>
    </w:pPr>
    <w:rPr>
      <w:rFonts w:ascii="楷体_GB2312" w:eastAsia="隶书" w:hAnsi="Arial" w:cs="宋体"/>
      <w:kern w:val="0"/>
      <w:sz w:val="44"/>
      <w:szCs w:val="20"/>
    </w:rPr>
  </w:style>
  <w:style w:type="paragraph" w:customStyle="1" w:styleId="pl1">
    <w:name w:val="pl表格标题"/>
    <w:basedOn w:val="a6"/>
    <w:qFormat/>
    <w:pPr>
      <w:widowControl/>
      <w:snapToGrid w:val="0"/>
      <w:spacing w:line="360" w:lineRule="auto"/>
      <w:jc w:val="center"/>
    </w:pPr>
    <w:rPr>
      <w:rFonts w:ascii="宋体" w:hAnsi="宋体" w:cs="宋体"/>
      <w:b/>
      <w:bCs/>
      <w:color w:val="000000"/>
      <w:kern w:val="0"/>
      <w:sz w:val="28"/>
    </w:rPr>
  </w:style>
  <w:style w:type="paragraph" w:customStyle="1" w:styleId="hb405051">
    <w:name w:val="样式 hb4 + 段前: 0.5 行 段后: 0.5 行1"/>
    <w:basedOn w:val="hb4CharCharCharCharChar"/>
    <w:next w:val="hb4CharCharCharCharChar"/>
    <w:qFormat/>
  </w:style>
  <w:style w:type="paragraph" w:customStyle="1" w:styleId="CharCharChar1CharCharCharCharCharCharCharCharCharCharCharCharCharCharCharCharCharCharChar3">
    <w:name w:val="Char Char Char1 Char Char Char Char Char Char Char Char Char Char Char Char Char Char Char Char Char Char Char3"/>
    <w:basedOn w:val="a6"/>
    <w:qFormat/>
  </w:style>
  <w:style w:type="paragraph" w:customStyle="1" w:styleId="afffffffffffffffffffffffffffffffa">
    <w:name w:val="样式 标题三！！！！"/>
    <w:basedOn w:val="a6"/>
    <w:qFormat/>
    <w:pPr>
      <w:autoSpaceDE w:val="0"/>
      <w:autoSpaceDN w:val="0"/>
      <w:adjustRightInd w:val="0"/>
      <w:spacing w:line="500" w:lineRule="exact"/>
      <w:outlineLvl w:val="2"/>
    </w:pPr>
    <w:rPr>
      <w:rFonts w:ascii="楷体_GB2312" w:eastAsia="楷体_GB2312" w:hAnsi="楷体_GB2312" w:cs="楷体_GB2312"/>
      <w:b/>
      <w:bCs/>
      <w:kern w:val="0"/>
      <w:sz w:val="28"/>
      <w:szCs w:val="28"/>
      <w:lang w:val="zh-CN"/>
    </w:rPr>
  </w:style>
  <w:style w:type="paragraph" w:customStyle="1" w:styleId="CharCharCharCharCharCharCharCharCharCharCharCharChar21">
    <w:name w:val="Char Char Char Char Char Char Char Char Char Char Char Char Char21"/>
    <w:basedOn w:val="a6"/>
    <w:uiPriority w:val="99"/>
    <w:qFormat/>
    <w:pPr>
      <w:autoSpaceDE w:val="0"/>
      <w:autoSpaceDN w:val="0"/>
      <w:adjustRightInd w:val="0"/>
      <w:snapToGrid w:val="0"/>
      <w:spacing w:before="50" w:after="50" w:line="360" w:lineRule="auto"/>
      <w:ind w:firstLineChars="200" w:firstLine="560"/>
    </w:pPr>
    <w:rPr>
      <w:rFonts w:eastAsia="仿宋_GB2312"/>
      <w:color w:val="000000"/>
      <w:sz w:val="24"/>
    </w:rPr>
  </w:style>
  <w:style w:type="paragraph" w:customStyle="1" w:styleId="2CharCharCharCharCharChar">
    <w:name w:val="2 Char Char Char Char Char Char"/>
    <w:basedOn w:val="a6"/>
    <w:qFormat/>
  </w:style>
  <w:style w:type="paragraph" w:customStyle="1" w:styleId="HTML18">
    <w:name w:val="HTML 预设格式1"/>
    <w:basedOn w:val="a6"/>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olor w:val="000000"/>
      <w:kern w:val="0"/>
      <w:szCs w:val="21"/>
    </w:rPr>
  </w:style>
  <w:style w:type="paragraph" w:customStyle="1" w:styleId="afffffffffffffffffffffffffffffffb">
    <w:name w:val="大标题"/>
    <w:basedOn w:val="a6"/>
    <w:qFormat/>
    <w:pPr>
      <w:keepNext/>
      <w:keepLines/>
      <w:tabs>
        <w:tab w:val="left" w:pos="360"/>
        <w:tab w:val="left" w:pos="2190"/>
      </w:tabs>
      <w:spacing w:before="340" w:after="330" w:line="576" w:lineRule="auto"/>
      <w:ind w:left="2190" w:hanging="2190"/>
      <w:jc w:val="center"/>
      <w:outlineLvl w:val="0"/>
    </w:pPr>
    <w:rPr>
      <w:b/>
      <w:bCs/>
      <w:kern w:val="44"/>
      <w:sz w:val="44"/>
      <w:szCs w:val="44"/>
    </w:rPr>
  </w:style>
  <w:style w:type="paragraph" w:customStyle="1" w:styleId="157">
    <w:name w:val="样式 小四 行距: 1.5 倍行距"/>
    <w:basedOn w:val="a6"/>
    <w:qFormat/>
    <w:pPr>
      <w:widowControl/>
      <w:spacing w:line="360" w:lineRule="auto"/>
      <w:jc w:val="left"/>
    </w:pPr>
    <w:rPr>
      <w:rFonts w:ascii="宋体" w:hAnsi="宋体" w:cs="宋体"/>
      <w:kern w:val="0"/>
      <w:sz w:val="24"/>
      <w:szCs w:val="20"/>
    </w:rPr>
  </w:style>
  <w:style w:type="paragraph" w:customStyle="1" w:styleId="xl24">
    <w:name w:val="xl24"/>
    <w:basedOn w:val="a6"/>
    <w:qFormat/>
    <w:pPr>
      <w:widowControl/>
      <w:spacing w:before="100" w:beforeAutospacing="1" w:after="100" w:afterAutospacing="1"/>
      <w:jc w:val="center"/>
      <w:textAlignment w:val="center"/>
    </w:pPr>
    <w:rPr>
      <w:rFonts w:ascii="Arial Unicode MS" w:eastAsia="Arial Unicode MS" w:hAnsi="Arial Unicode MS" w:cs="Arial Unicode MS"/>
      <w:kern w:val="0"/>
      <w:sz w:val="24"/>
    </w:rPr>
  </w:style>
  <w:style w:type="paragraph" w:customStyle="1" w:styleId="xl36">
    <w:name w:val="xl36"/>
    <w:basedOn w:val="a6"/>
    <w:qFormat/>
    <w:pPr>
      <w:widowControl/>
      <w:pBdr>
        <w:top w:val="single" w:sz="4" w:space="0" w:color="auto"/>
        <w:left w:val="single" w:sz="4" w:space="0" w:color="auto"/>
        <w:bottom w:val="single" w:sz="4" w:space="0" w:color="auto"/>
        <w:right w:val="single" w:sz="4" w:space="0" w:color="auto"/>
      </w:pBdr>
      <w:spacing w:before="100" w:after="100"/>
      <w:jc w:val="center"/>
      <w:textAlignment w:val="center"/>
    </w:pPr>
    <w:rPr>
      <w:rFonts w:ascii="宋体" w:hAnsi="宋体"/>
      <w:kern w:val="0"/>
      <w:szCs w:val="20"/>
    </w:rPr>
  </w:style>
  <w:style w:type="paragraph" w:customStyle="1" w:styleId="CharCharCharCharCharCharCharCharCharCharChar1CharCharCharChar">
    <w:name w:val="Char Char Char Char Char Char Char Char Char Char Char1 Char Char Char Char"/>
    <w:basedOn w:val="a6"/>
    <w:qFormat/>
  </w:style>
  <w:style w:type="paragraph" w:customStyle="1" w:styleId="myformatcontentChar">
    <w:name w:val="myformat_content Char"/>
    <w:basedOn w:val="a6"/>
    <w:uiPriority w:val="99"/>
    <w:qFormat/>
    <w:pPr>
      <w:spacing w:beforeLines="50" w:afterLines="50" w:line="360" w:lineRule="exact"/>
      <w:ind w:firstLineChars="200" w:firstLine="480"/>
    </w:pPr>
    <w:rPr>
      <w:sz w:val="24"/>
    </w:rPr>
  </w:style>
  <w:style w:type="paragraph" w:customStyle="1" w:styleId="hb4Char">
    <w:name w:val="hb4 Char"/>
    <w:basedOn w:val="41"/>
    <w:qFormat/>
    <w:pPr>
      <w:adjustRightInd/>
      <w:snapToGrid/>
      <w:spacing w:before="0" w:afterLines="50" w:line="529" w:lineRule="exact"/>
    </w:pPr>
    <w:rPr>
      <w:rFonts w:ascii="Times New Roman" w:hAnsi="Arial" w:cs="宋体"/>
      <w:bCs w:val="0"/>
      <w:kern w:val="24"/>
      <w:sz w:val="24"/>
      <w:szCs w:val="24"/>
    </w:rPr>
  </w:style>
  <w:style w:type="paragraph" w:customStyle="1" w:styleId="Charffffffffffc">
    <w:name w:val="表头样式 Char"/>
    <w:qFormat/>
    <w:pPr>
      <w:jc w:val="center"/>
    </w:pPr>
    <w:rPr>
      <w:rFonts w:ascii="宋体" w:hAnsi="宋体"/>
      <w:b/>
      <w:kern w:val="2"/>
      <w:sz w:val="28"/>
      <w:szCs w:val="28"/>
    </w:rPr>
  </w:style>
  <w:style w:type="paragraph" w:customStyle="1" w:styleId="afffffffffffffffffffffffffffffffc">
    <w:name w:val="左侧"/>
    <w:qFormat/>
    <w:pPr>
      <w:jc w:val="center"/>
    </w:pPr>
    <w:rPr>
      <w:color w:val="000000"/>
      <w:sz w:val="21"/>
      <w:szCs w:val="21"/>
    </w:rPr>
  </w:style>
  <w:style w:type="paragraph" w:customStyle="1" w:styleId="afffffffffffffffffffffffffffffffd">
    <w:name w:val="封面标准文稿编辑信息"/>
    <w:uiPriority w:val="99"/>
    <w:qFormat/>
    <w:pPr>
      <w:spacing w:before="180" w:line="180" w:lineRule="exact"/>
      <w:jc w:val="center"/>
    </w:pPr>
    <w:rPr>
      <w:rFonts w:ascii="宋体"/>
      <w:sz w:val="21"/>
    </w:rPr>
  </w:style>
  <w:style w:type="paragraph" w:customStyle="1" w:styleId="afffffffffffffffffffffffffffffffe">
    <w:name w:val="正文缩"/>
    <w:basedOn w:val="a6"/>
    <w:qFormat/>
    <w:pPr>
      <w:adjustRightInd w:val="0"/>
      <w:spacing w:line="480" w:lineRule="atLeast"/>
      <w:ind w:firstLine="567"/>
      <w:textAlignment w:val="baseline"/>
    </w:pPr>
    <w:rPr>
      <w:rFonts w:ascii="宋体"/>
      <w:color w:val="000000"/>
      <w:spacing w:val="6"/>
      <w:kern w:val="0"/>
      <w:sz w:val="24"/>
      <w:szCs w:val="20"/>
    </w:rPr>
  </w:style>
  <w:style w:type="paragraph" w:customStyle="1" w:styleId="Paratitre">
    <w:name w:val="Paratitre"/>
    <w:basedOn w:val="a6"/>
    <w:qFormat/>
    <w:pPr>
      <w:widowControl/>
      <w:overflowPunct w:val="0"/>
      <w:autoSpaceDE w:val="0"/>
      <w:autoSpaceDN w:val="0"/>
      <w:adjustRightInd w:val="0"/>
      <w:spacing w:before="240"/>
      <w:ind w:left="700"/>
      <w:textAlignment w:val="baseline"/>
    </w:pPr>
    <w:rPr>
      <w:rFonts w:ascii="Arial" w:hAnsi="Arial"/>
      <w:kern w:val="0"/>
      <w:sz w:val="20"/>
      <w:szCs w:val="20"/>
      <w:lang w:val="fr-FR"/>
    </w:rPr>
  </w:style>
  <w:style w:type="paragraph" w:customStyle="1" w:styleId="21d">
    <w:name w:val="样式 图表 + 首行缩进:  2 字符1"/>
    <w:basedOn w:val="a6"/>
    <w:qFormat/>
    <w:pPr>
      <w:adjustRightInd w:val="0"/>
      <w:snapToGrid w:val="0"/>
      <w:spacing w:beforeLines="20" w:afterLines="20"/>
      <w:ind w:leftChars="-50" w:left="-102" w:rightChars="-50" w:right="-105" w:hanging="3"/>
      <w:jc w:val="center"/>
    </w:pPr>
    <w:rPr>
      <w:rFonts w:eastAsia="仿宋_GB2312"/>
      <w:color w:val="000000"/>
      <w:w w:val="110"/>
      <w:kern w:val="0"/>
      <w:sz w:val="24"/>
    </w:rPr>
  </w:style>
  <w:style w:type="paragraph" w:customStyle="1" w:styleId="CharCharCharCharCharCharCharCharCharCharCharCharCharCharCharCharCharCharCharCharCharCharCharCharCharCharCharCharCharCharCharCharCharCharCharCharCharCharChar4">
    <w:name w:val="Char Char Char Char Char Char Char Char Char Char Char Char Char Char Char Char Char Char Char Char Char Char Char Char Char Char Char Char Char Char Char Char Char Char Char Char Char Char Char4"/>
    <w:basedOn w:val="a6"/>
    <w:qFormat/>
    <w:rPr>
      <w:szCs w:val="20"/>
    </w:rPr>
  </w:style>
  <w:style w:type="paragraph" w:customStyle="1" w:styleId="1fffffa">
    <w:name w:val="正文格式1"/>
    <w:basedOn w:val="a6"/>
    <w:qFormat/>
    <w:pPr>
      <w:spacing w:line="360" w:lineRule="auto"/>
      <w:ind w:firstLine="482"/>
    </w:pPr>
    <w:rPr>
      <w:rFonts w:ascii="宋体"/>
      <w:kern w:val="0"/>
      <w:sz w:val="24"/>
      <w:szCs w:val="20"/>
    </w:rPr>
  </w:style>
  <w:style w:type="paragraph" w:customStyle="1" w:styleId="affffffffffffffffffffffffffffffff">
    <w:name w:val="封面落款"/>
    <w:basedOn w:val="a6"/>
    <w:qFormat/>
    <w:pPr>
      <w:tabs>
        <w:tab w:val="left" w:pos="1134"/>
        <w:tab w:val="right" w:pos="7371"/>
      </w:tabs>
      <w:overflowPunct w:val="0"/>
      <w:adjustRightInd w:val="0"/>
      <w:spacing w:line="360" w:lineRule="auto"/>
      <w:jc w:val="center"/>
      <w:textAlignment w:val="baseline"/>
    </w:pPr>
    <w:rPr>
      <w:rFonts w:eastAsia="黑体"/>
      <w:color w:val="0000FF"/>
      <w:spacing w:val="20"/>
      <w:kern w:val="0"/>
      <w:sz w:val="44"/>
      <w:szCs w:val="20"/>
    </w:rPr>
  </w:style>
  <w:style w:type="paragraph" w:customStyle="1" w:styleId="2fffff7">
    <w:name w:val="正文文字首航缩2字"/>
    <w:basedOn w:val="a6"/>
    <w:qFormat/>
    <w:pPr>
      <w:spacing w:line="360" w:lineRule="auto"/>
      <w:ind w:firstLineChars="200" w:firstLine="200"/>
    </w:pPr>
    <w:rPr>
      <w:sz w:val="24"/>
    </w:rPr>
  </w:style>
  <w:style w:type="paragraph" w:customStyle="1" w:styleId="821">
    <w:name w:val="样式 正文(首行缩进) + 8 磅 加粗 首行缩进:  2 字符1"/>
    <w:basedOn w:val="a6"/>
    <w:qFormat/>
    <w:pPr>
      <w:adjustRightInd w:val="0"/>
      <w:snapToGrid w:val="0"/>
      <w:ind w:firstLineChars="200" w:firstLine="200"/>
    </w:pPr>
    <w:rPr>
      <w:rFonts w:cs="宋体"/>
      <w:b/>
      <w:bCs/>
      <w:snapToGrid w:val="0"/>
      <w:kern w:val="0"/>
      <w:sz w:val="16"/>
      <w:szCs w:val="20"/>
    </w:rPr>
  </w:style>
  <w:style w:type="paragraph" w:customStyle="1" w:styleId="xl94">
    <w:name w:val="xl94"/>
    <w:basedOn w:val="a6"/>
    <w:qFormat/>
    <w:pPr>
      <w:widowControl/>
      <w:spacing w:before="100" w:beforeAutospacing="1" w:after="100" w:afterAutospacing="1"/>
      <w:jc w:val="left"/>
    </w:pPr>
    <w:rPr>
      <w:b/>
      <w:bCs/>
      <w:kern w:val="0"/>
      <w:sz w:val="20"/>
      <w:szCs w:val="20"/>
    </w:rPr>
  </w:style>
  <w:style w:type="paragraph" w:customStyle="1" w:styleId="ParaAttribute234">
    <w:name w:val="ParaAttribute234"/>
    <w:qFormat/>
    <w:pPr>
      <w:widowControl w:val="0"/>
      <w:wordWrap w:val="0"/>
      <w:spacing w:line="140" w:lineRule="exact"/>
    </w:pPr>
  </w:style>
  <w:style w:type="paragraph" w:customStyle="1" w:styleId="CharCharChar1Char1">
    <w:name w:val="Char Char Char1 Char1"/>
    <w:basedOn w:val="a6"/>
    <w:qFormat/>
  </w:style>
  <w:style w:type="paragraph" w:customStyle="1" w:styleId="reader-word-layerreader-word-s39-16">
    <w:name w:val="reader-word-layer reader-word-s39-16"/>
    <w:basedOn w:val="a6"/>
    <w:qFormat/>
    <w:pPr>
      <w:widowControl/>
      <w:spacing w:before="100" w:beforeAutospacing="1" w:after="100" w:afterAutospacing="1"/>
      <w:jc w:val="left"/>
    </w:pPr>
    <w:rPr>
      <w:rFonts w:ascii="宋体" w:hAnsi="宋体" w:cs="宋体"/>
      <w:color w:val="000000"/>
      <w:w w:val="110"/>
      <w:kern w:val="0"/>
      <w:sz w:val="24"/>
    </w:rPr>
  </w:style>
  <w:style w:type="paragraph" w:customStyle="1" w:styleId="2fffff8">
    <w:name w:val="样式 正文首行缩进 2 + 黑体 加粗"/>
    <w:basedOn w:val="2b"/>
    <w:next w:val="2b"/>
    <w:qFormat/>
    <w:pPr>
      <w:spacing w:after="0" w:line="360" w:lineRule="auto"/>
      <w:ind w:leftChars="0" w:left="0" w:firstLine="200"/>
    </w:pPr>
    <w:rPr>
      <w:rFonts w:hAnsi="黑体"/>
      <w:bCs/>
      <w:sz w:val="24"/>
    </w:rPr>
  </w:style>
  <w:style w:type="paragraph" w:customStyle="1" w:styleId="21e">
    <w:name w:val="正文文本缩进 21"/>
    <w:basedOn w:val="a6"/>
    <w:qFormat/>
    <w:pPr>
      <w:adjustRightInd w:val="0"/>
      <w:spacing w:line="360" w:lineRule="auto"/>
      <w:ind w:firstLine="510"/>
      <w:textAlignment w:val="baseline"/>
    </w:pPr>
    <w:rPr>
      <w:rFonts w:ascii="宋体" w:hAnsi="宋体"/>
      <w:sz w:val="28"/>
      <w:szCs w:val="20"/>
    </w:rPr>
  </w:style>
  <w:style w:type="paragraph" w:customStyle="1" w:styleId="2fffff9">
    <w:name w:val="我的2"/>
    <w:basedOn w:val="a6"/>
    <w:qFormat/>
    <w:pPr>
      <w:spacing w:line="440" w:lineRule="exact"/>
      <w:ind w:firstLineChars="206" w:firstLine="496"/>
    </w:pPr>
    <w:rPr>
      <w:rFonts w:hAnsi="宋体"/>
      <w:b/>
      <w:bCs/>
      <w:sz w:val="24"/>
    </w:rPr>
  </w:style>
  <w:style w:type="paragraph" w:customStyle="1" w:styleId="Char8CharChar">
    <w:name w:val="Char8 Char Char"/>
    <w:basedOn w:val="a6"/>
    <w:qFormat/>
    <w:pPr>
      <w:widowControl/>
      <w:spacing w:after="160" w:line="240" w:lineRule="exact"/>
      <w:jc w:val="left"/>
    </w:pPr>
    <w:rPr>
      <w:rFonts w:ascii="Arial" w:eastAsia="Times New Roman" w:hAnsi="Arial" w:cs="Verdana"/>
      <w:b/>
      <w:kern w:val="0"/>
      <w:sz w:val="24"/>
      <w:lang w:eastAsia="en-US"/>
    </w:rPr>
  </w:style>
  <w:style w:type="paragraph" w:customStyle="1" w:styleId="xl202">
    <w:name w:val="xl202"/>
    <w:basedOn w:val="a6"/>
    <w:qFormat/>
    <w:pPr>
      <w:widowControl/>
      <w:pBdr>
        <w:top w:val="single" w:sz="4" w:space="0" w:color="auto"/>
        <w:bottom w:val="single" w:sz="4" w:space="0" w:color="auto"/>
      </w:pBdr>
      <w:spacing w:before="100" w:beforeAutospacing="1" w:after="100" w:afterAutospacing="1"/>
      <w:jc w:val="left"/>
      <w:textAlignment w:val="center"/>
    </w:pPr>
    <w:rPr>
      <w:rFonts w:ascii="宋体" w:hAnsi="宋体" w:cs="宋体"/>
      <w:color w:val="000000"/>
      <w:kern w:val="0"/>
      <w:sz w:val="24"/>
    </w:rPr>
  </w:style>
  <w:style w:type="paragraph" w:customStyle="1" w:styleId="21f">
    <w:name w:val="表格内字体21"/>
    <w:basedOn w:val="a6"/>
    <w:next w:val="a6"/>
    <w:qFormat/>
    <w:pPr>
      <w:adjustRightInd w:val="0"/>
      <w:snapToGrid w:val="0"/>
    </w:pPr>
    <w:rPr>
      <w:rFonts w:ascii="宋体" w:hAnsi="宋体"/>
    </w:rPr>
  </w:style>
  <w:style w:type="paragraph" w:customStyle="1" w:styleId="xl189">
    <w:name w:val="xl189"/>
    <w:basedOn w:val="a6"/>
    <w:qFormat/>
    <w:pPr>
      <w:widowControl/>
      <w:pBdr>
        <w:top w:val="single" w:sz="4" w:space="0" w:color="auto"/>
        <w:bottom w:val="single" w:sz="4" w:space="0" w:color="auto"/>
      </w:pBdr>
      <w:spacing w:before="100" w:beforeAutospacing="1" w:after="100" w:afterAutospacing="1"/>
      <w:jc w:val="left"/>
      <w:textAlignment w:val="center"/>
    </w:pPr>
    <w:rPr>
      <w:rFonts w:ascii="宋体" w:hAnsi="宋体" w:cs="宋体"/>
      <w:color w:val="000000"/>
      <w:kern w:val="0"/>
      <w:sz w:val="24"/>
    </w:rPr>
  </w:style>
  <w:style w:type="paragraph" w:customStyle="1" w:styleId="21f0">
    <w:name w:val="正文首行缩进 21"/>
    <w:qFormat/>
    <w:pPr>
      <w:adjustRightInd w:val="0"/>
      <w:snapToGrid w:val="0"/>
      <w:spacing w:after="120"/>
      <w:ind w:leftChars="200" w:left="420" w:firstLine="420"/>
    </w:pPr>
    <w:rPr>
      <w:rFonts w:eastAsia="仿宋_GB2312"/>
      <w:szCs w:val="22"/>
    </w:rPr>
  </w:style>
  <w:style w:type="paragraph" w:customStyle="1" w:styleId="1fffffb">
    <w:name w:val="正文文本缩进1"/>
    <w:basedOn w:val="a6"/>
    <w:qFormat/>
    <w:pPr>
      <w:spacing w:line="360" w:lineRule="auto"/>
      <w:ind w:firstLineChars="200" w:firstLine="480"/>
    </w:pPr>
    <w:rPr>
      <w:rFonts w:ascii="宋体" w:hAnsi="宋体"/>
      <w:sz w:val="24"/>
    </w:rPr>
  </w:style>
  <w:style w:type="paragraph" w:customStyle="1" w:styleId="-STD6122">
    <w:name w:val="样式 样式 样式 正文首行缩进-STD + 段前: 6 磅1 + 首行缩进:  2 字符 + 首行缩进:  2 字符"/>
    <w:basedOn w:val="a6"/>
    <w:qFormat/>
    <w:pPr>
      <w:spacing w:line="360" w:lineRule="auto"/>
      <w:ind w:firstLineChars="200" w:firstLine="480"/>
    </w:pPr>
    <w:rPr>
      <w:rFonts w:ascii="宋体" w:hAnsi="宋体" w:cs="宋体"/>
      <w:sz w:val="24"/>
    </w:rPr>
  </w:style>
  <w:style w:type="paragraph" w:customStyle="1" w:styleId="xl204">
    <w:name w:val="xl204"/>
    <w:basedOn w:val="a6"/>
    <w:qFormat/>
    <w:pPr>
      <w:widowControl/>
      <w:pBdr>
        <w:top w:val="single" w:sz="4" w:space="0" w:color="auto"/>
        <w:bottom w:val="single" w:sz="4" w:space="0" w:color="auto"/>
      </w:pBdr>
      <w:spacing w:before="100" w:beforeAutospacing="1" w:after="100" w:afterAutospacing="1"/>
      <w:jc w:val="left"/>
      <w:textAlignment w:val="center"/>
    </w:pPr>
    <w:rPr>
      <w:rFonts w:cs="宋体"/>
      <w:color w:val="000000"/>
      <w:kern w:val="0"/>
      <w:sz w:val="24"/>
    </w:rPr>
  </w:style>
  <w:style w:type="paragraph" w:customStyle="1" w:styleId="xl191">
    <w:name w:val="xl191"/>
    <w:basedOn w:val="a6"/>
    <w:qFormat/>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cs="宋体"/>
      <w:color w:val="000000"/>
      <w:kern w:val="0"/>
      <w:sz w:val="24"/>
    </w:rPr>
  </w:style>
  <w:style w:type="paragraph" w:customStyle="1" w:styleId="21f1">
    <w:name w:val="正文文本 21"/>
    <w:basedOn w:val="a6"/>
    <w:next w:val="a6"/>
    <w:qFormat/>
    <w:pPr>
      <w:spacing w:line="360" w:lineRule="auto"/>
      <w:ind w:firstLineChars="200" w:firstLine="480"/>
      <w:jc w:val="left"/>
    </w:pPr>
    <w:rPr>
      <w:rFonts w:ascii="宋体" w:hAnsi="宋体"/>
      <w:sz w:val="24"/>
    </w:rPr>
  </w:style>
  <w:style w:type="paragraph" w:customStyle="1" w:styleId="Normala">
    <w:name w:val="Normal a"/>
    <w:basedOn w:val="a6"/>
    <w:qFormat/>
    <w:pPr>
      <w:widowControl/>
      <w:ind w:left="284"/>
    </w:pPr>
    <w:rPr>
      <w:rFonts w:ascii="Arial" w:eastAsia="Times New Roman" w:hAnsi="Arial"/>
      <w:color w:val="000000"/>
      <w:w w:val="110"/>
      <w:kern w:val="0"/>
      <w:sz w:val="24"/>
      <w:szCs w:val="20"/>
      <w:lang w:val="en-GB" w:eastAsia="en-US"/>
    </w:rPr>
  </w:style>
  <w:style w:type="paragraph" w:customStyle="1" w:styleId="1-1">
    <w:name w:val="1-表内"/>
    <w:basedOn w:val="a6"/>
    <w:qFormat/>
    <w:pPr>
      <w:spacing w:line="360" w:lineRule="auto"/>
      <w:ind w:firstLineChars="200" w:firstLine="480"/>
    </w:pPr>
    <w:rPr>
      <w:rFonts w:ascii="宋体" w:hAnsi="宋体"/>
      <w:sz w:val="24"/>
      <w:szCs w:val="21"/>
    </w:rPr>
  </w:style>
  <w:style w:type="paragraph" w:customStyle="1" w:styleId="Style510">
    <w:name w:val="Style51"/>
    <w:basedOn w:val="a6"/>
    <w:qFormat/>
    <w:pPr>
      <w:adjustRightInd w:val="0"/>
      <w:jc w:val="left"/>
    </w:pPr>
    <w:rPr>
      <w:rFonts w:ascii="宋体"/>
      <w:kern w:val="0"/>
      <w:sz w:val="24"/>
      <w:szCs w:val="20"/>
    </w:rPr>
  </w:style>
  <w:style w:type="paragraph" w:customStyle="1" w:styleId="xl206">
    <w:name w:val="xl206"/>
    <w:basedOn w:val="a6"/>
    <w:qFormat/>
    <w:pPr>
      <w:widowControl/>
      <w:pBdr>
        <w:left w:val="single" w:sz="4" w:space="0" w:color="auto"/>
        <w:bottom w:val="single" w:sz="4" w:space="0" w:color="auto"/>
      </w:pBdr>
      <w:spacing w:before="100" w:beforeAutospacing="1" w:after="100" w:afterAutospacing="1"/>
      <w:jc w:val="left"/>
      <w:textAlignment w:val="center"/>
    </w:pPr>
    <w:rPr>
      <w:rFonts w:ascii="宋体" w:hAnsi="宋体" w:cs="宋体"/>
      <w:color w:val="000000"/>
      <w:kern w:val="0"/>
      <w:sz w:val="24"/>
    </w:rPr>
  </w:style>
  <w:style w:type="paragraph" w:customStyle="1" w:styleId="xl98">
    <w:name w:val="xl98"/>
    <w:basedOn w:val="a6"/>
    <w:qFormat/>
    <w:pPr>
      <w:widowControl/>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ascii="宋体" w:hAnsi="宋体" w:cs="宋体"/>
      <w:kern w:val="0"/>
      <w:sz w:val="24"/>
    </w:rPr>
  </w:style>
  <w:style w:type="paragraph" w:customStyle="1" w:styleId="xl193">
    <w:name w:val="xl193"/>
    <w:basedOn w:val="a6"/>
    <w:qFormat/>
    <w:pPr>
      <w:widowControl/>
      <w:pBdr>
        <w:top w:val="single" w:sz="4" w:space="0" w:color="auto"/>
        <w:bottom w:val="single" w:sz="4" w:space="0" w:color="auto"/>
        <w:right w:val="single" w:sz="8" w:space="0" w:color="auto"/>
      </w:pBdr>
      <w:spacing w:before="100" w:beforeAutospacing="1" w:after="100" w:afterAutospacing="1"/>
      <w:jc w:val="left"/>
      <w:textAlignment w:val="center"/>
    </w:pPr>
    <w:rPr>
      <w:rFonts w:ascii="Arial" w:hAnsi="Arial" w:cs="Arial"/>
      <w:color w:val="000000"/>
      <w:kern w:val="0"/>
      <w:sz w:val="24"/>
    </w:rPr>
  </w:style>
  <w:style w:type="paragraph" w:customStyle="1" w:styleId="3Arial">
    <w:name w:val="样式 标题 3 + Arial"/>
    <w:basedOn w:val="a6"/>
    <w:qFormat/>
    <w:rPr>
      <w:rFonts w:ascii="宋体"/>
      <w:kern w:val="0"/>
      <w:sz w:val="24"/>
      <w:szCs w:val="20"/>
    </w:rPr>
  </w:style>
  <w:style w:type="paragraph" w:customStyle="1" w:styleId="xl117">
    <w:name w:val="xl11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0"/>
      <w:szCs w:val="20"/>
    </w:rPr>
  </w:style>
  <w:style w:type="paragraph" w:customStyle="1" w:styleId="affffffffffffffffffffffffffffffff0">
    <w:name w:val="叙述小标题"/>
    <w:basedOn w:val="a6"/>
    <w:qFormat/>
    <w:pPr>
      <w:tabs>
        <w:tab w:val="left" w:pos="567"/>
      </w:tabs>
    </w:pPr>
    <w:rPr>
      <w:rFonts w:eastAsia="黑体"/>
      <w:sz w:val="28"/>
    </w:rPr>
  </w:style>
  <w:style w:type="paragraph" w:customStyle="1" w:styleId="affffffffffffffffffffffffffffffff1">
    <w:name w:val="样式 表格 + 居中"/>
    <w:basedOn w:val="a6"/>
    <w:qFormat/>
    <w:pPr>
      <w:kinsoku w:val="0"/>
      <w:overflowPunct w:val="0"/>
      <w:adjustRightInd w:val="0"/>
      <w:snapToGrid w:val="0"/>
      <w:jc w:val="center"/>
    </w:pPr>
    <w:rPr>
      <w:snapToGrid w:val="0"/>
      <w:color w:val="000000"/>
      <w:kern w:val="0"/>
      <w:sz w:val="24"/>
    </w:rPr>
  </w:style>
  <w:style w:type="paragraph" w:customStyle="1" w:styleId="1fffffc">
    <w:name w:val="表格样式1"/>
    <w:basedOn w:val="a6"/>
    <w:qFormat/>
    <w:pPr>
      <w:adjustRightInd w:val="0"/>
      <w:spacing w:line="20" w:lineRule="atLeast"/>
      <w:jc w:val="center"/>
      <w:textAlignment w:val="baseline"/>
    </w:pPr>
    <w:rPr>
      <w:rFonts w:ascii="宋体"/>
      <w:kern w:val="0"/>
      <w:sz w:val="24"/>
      <w:szCs w:val="20"/>
    </w:rPr>
  </w:style>
  <w:style w:type="paragraph" w:customStyle="1" w:styleId="affffffffffffffffffffffffffffffff2">
    <w:name w:val="水印"/>
    <w:basedOn w:val="a6"/>
    <w:qFormat/>
    <w:pPr>
      <w:adjustRightInd w:val="0"/>
      <w:spacing w:line="240" w:lineRule="atLeast"/>
      <w:textAlignment w:val="baseline"/>
    </w:pPr>
    <w:rPr>
      <w:kern w:val="0"/>
      <w:szCs w:val="20"/>
    </w:rPr>
  </w:style>
  <w:style w:type="paragraph" w:customStyle="1" w:styleId="affffffffffffffffffffffffffffffff3">
    <w:name w:val="附件正文"/>
    <w:qFormat/>
    <w:pPr>
      <w:spacing w:after="100" w:afterAutospacing="1" w:line="440" w:lineRule="exact"/>
      <w:ind w:left="448" w:firstLine="459"/>
      <w:jc w:val="both"/>
    </w:pPr>
    <w:rPr>
      <w:snapToGrid w:val="0"/>
      <w:sz w:val="24"/>
      <w:szCs w:val="24"/>
    </w:rPr>
  </w:style>
  <w:style w:type="paragraph" w:customStyle="1" w:styleId="affffffffffffffffffffffffffffffff4">
    <w:name w:val="表头！！！"/>
    <w:basedOn w:val="a6"/>
    <w:qFormat/>
    <w:pPr>
      <w:spacing w:line="360" w:lineRule="auto"/>
      <w:jc w:val="center"/>
    </w:pPr>
    <w:rPr>
      <w:rFonts w:ascii="黑体" w:eastAsia="楷体_GB2312" w:cs="宋体"/>
      <w:b/>
      <w:sz w:val="24"/>
      <w:szCs w:val="20"/>
    </w:rPr>
  </w:style>
  <w:style w:type="paragraph" w:customStyle="1" w:styleId="415">
    <w:name w:val="列表编号 41"/>
    <w:basedOn w:val="a6"/>
    <w:qFormat/>
    <w:pPr>
      <w:tabs>
        <w:tab w:val="left" w:pos="720"/>
      </w:tabs>
      <w:ind w:left="720" w:hanging="720"/>
    </w:pPr>
    <w:rPr>
      <w:szCs w:val="20"/>
    </w:rPr>
  </w:style>
  <w:style w:type="paragraph" w:customStyle="1" w:styleId="3New">
    <w:name w:val="标题 3 New"/>
    <w:qFormat/>
    <w:pPr>
      <w:keepNext/>
      <w:keepLines/>
      <w:spacing w:before="260" w:after="260" w:line="413" w:lineRule="auto"/>
      <w:outlineLvl w:val="2"/>
    </w:pPr>
    <w:rPr>
      <w:b/>
      <w:sz w:val="32"/>
    </w:rPr>
  </w:style>
  <w:style w:type="paragraph" w:customStyle="1" w:styleId="New0">
    <w:name w:val="正文 New"/>
    <w:qFormat/>
    <w:pPr>
      <w:widowControl w:val="0"/>
      <w:jc w:val="both"/>
    </w:pPr>
    <w:rPr>
      <w:kern w:val="2"/>
      <w:sz w:val="21"/>
    </w:rPr>
  </w:style>
  <w:style w:type="paragraph" w:customStyle="1" w:styleId="11f6">
    <w:name w:val="正文缩进11"/>
    <w:basedOn w:val="af0"/>
    <w:qFormat/>
    <w:pPr>
      <w:adjustRightInd/>
      <w:spacing w:line="540" w:lineRule="exact"/>
      <w:ind w:rightChars="-6" w:right="-13" w:firstLineChars="200" w:firstLine="1701"/>
      <w:jc w:val="both"/>
      <w:textAlignment w:val="auto"/>
    </w:pPr>
    <w:rPr>
      <w:rFonts w:ascii="Times New Roman" w:eastAsia="仿宋_GB2312" w:hAnsi="Times New Roman"/>
      <w:kern w:val="2"/>
      <w:sz w:val="28"/>
      <w:szCs w:val="20"/>
    </w:rPr>
  </w:style>
  <w:style w:type="paragraph" w:customStyle="1" w:styleId="affffffffffffffffffffffffffffffff5">
    <w:name w:val="备注"/>
    <w:basedOn w:val="a6"/>
    <w:qFormat/>
    <w:pPr>
      <w:keepNext/>
      <w:widowControl/>
      <w:snapToGrid w:val="0"/>
      <w:ind w:firstLineChars="200" w:firstLine="420"/>
      <w:jc w:val="left"/>
    </w:pPr>
    <w:rPr>
      <w:rFonts w:ascii="宋体" w:hAnsi="宋体" w:cs="宋体"/>
      <w:kern w:val="0"/>
      <w:sz w:val="24"/>
      <w:szCs w:val="18"/>
    </w:rPr>
  </w:style>
  <w:style w:type="paragraph" w:customStyle="1" w:styleId="-40">
    <w:name w:val="标-4"/>
    <w:basedOn w:val="a6"/>
    <w:qFormat/>
    <w:pPr>
      <w:spacing w:before="120"/>
      <w:ind w:left="851" w:hanging="851"/>
    </w:pPr>
    <w:rPr>
      <w:sz w:val="24"/>
      <w:szCs w:val="20"/>
    </w:rPr>
  </w:style>
  <w:style w:type="paragraph" w:customStyle="1" w:styleId="CharChar3CharCharCharChar1">
    <w:name w:val="Char Char3 Char Char Char Char1"/>
    <w:basedOn w:val="a6"/>
    <w:qFormat/>
    <w:pPr>
      <w:widowControl/>
      <w:spacing w:after="160" w:line="240" w:lineRule="exact"/>
      <w:jc w:val="left"/>
    </w:pPr>
    <w:rPr>
      <w:rFonts w:ascii="Verdana" w:hAnsi="Verdana" w:cs="Verdana"/>
      <w:kern w:val="0"/>
      <w:sz w:val="20"/>
      <w:lang w:eastAsia="en-US"/>
    </w:rPr>
  </w:style>
  <w:style w:type="paragraph" w:customStyle="1" w:styleId="affffffffffffffffffffffffffffffff6">
    <w:name w:val="图标名"/>
    <w:next w:val="afffd"/>
    <w:qFormat/>
    <w:pPr>
      <w:spacing w:line="360" w:lineRule="auto"/>
      <w:jc w:val="center"/>
    </w:pPr>
    <w:rPr>
      <w:rFonts w:eastAsia="黑体"/>
      <w:kern w:val="2"/>
      <w:sz w:val="24"/>
      <w:szCs w:val="24"/>
    </w:rPr>
  </w:style>
  <w:style w:type="paragraph" w:customStyle="1" w:styleId="11H1h11stlevelSectionHeadl1H11H12A2">
    <w:name w:val="样式 样式 标题 1标题1章节H1一、h11st levelSection Headl1H11H12第A章第*...2 + 加粗..."/>
    <w:basedOn w:val="a6"/>
    <w:qFormat/>
    <w:pPr>
      <w:keepNext/>
      <w:keepLines/>
      <w:spacing w:before="240" w:after="240" w:line="520" w:lineRule="exact"/>
      <w:outlineLvl w:val="0"/>
    </w:pPr>
    <w:rPr>
      <w:rFonts w:ascii="宋体" w:eastAsia="黑体" w:hAnsi="宋体" w:cs="宋体"/>
      <w:b/>
      <w:bCs/>
      <w:color w:val="000000"/>
      <w:sz w:val="32"/>
      <w:szCs w:val="20"/>
    </w:rPr>
  </w:style>
  <w:style w:type="paragraph" w:customStyle="1" w:styleId="21f2">
    <w:name w:val="页脚21"/>
    <w:basedOn w:val="af0"/>
    <w:qFormat/>
    <w:pPr>
      <w:tabs>
        <w:tab w:val="center" w:pos="4153"/>
        <w:tab w:val="right" w:pos="8306"/>
      </w:tabs>
      <w:spacing w:line="240" w:lineRule="atLeast"/>
      <w:ind w:firstLine="0"/>
      <w:textAlignment w:val="auto"/>
    </w:pPr>
    <w:rPr>
      <w:rFonts w:hint="eastAsia"/>
      <w:sz w:val="18"/>
      <w:szCs w:val="20"/>
    </w:rPr>
  </w:style>
  <w:style w:type="paragraph" w:customStyle="1" w:styleId="HD1">
    <w:name w:val="HD1"/>
    <w:basedOn w:val="12"/>
    <w:qFormat/>
    <w:pPr>
      <w:keepNext w:val="0"/>
      <w:keepLines w:val="0"/>
      <w:spacing w:beforeLines="100" w:before="0" w:afterLines="100" w:after="0" w:line="480" w:lineRule="exact"/>
      <w:jc w:val="center"/>
    </w:pPr>
    <w:rPr>
      <w:rFonts w:hAnsi="黑体"/>
      <w:bCs w:val="0"/>
      <w:sz w:val="32"/>
      <w:szCs w:val="20"/>
    </w:rPr>
  </w:style>
  <w:style w:type="paragraph" w:customStyle="1" w:styleId="2211b22">
    <w:name w:val="样式 标题 2二级标题标题2节标题 1.1b2 + 首行缩进:  2 字符"/>
    <w:basedOn w:val="22"/>
    <w:qFormat/>
    <w:pPr>
      <w:snapToGrid w:val="0"/>
      <w:spacing w:before="40" w:after="40" w:line="300" w:lineRule="auto"/>
    </w:pPr>
    <w:rPr>
      <w:rFonts w:ascii="黑体" w:eastAsia="楷体_GB2312" w:hAnsi="黑体" w:cs="宋体"/>
      <w:spacing w:val="-6"/>
      <w:w w:val="100"/>
      <w:kern w:val="2"/>
      <w:sz w:val="30"/>
      <w:szCs w:val="20"/>
    </w:rPr>
  </w:style>
  <w:style w:type="paragraph" w:customStyle="1" w:styleId="710">
    <w:name w:val="索引 71"/>
    <w:basedOn w:val="a6"/>
    <w:next w:val="a6"/>
    <w:qFormat/>
    <w:pPr>
      <w:ind w:leftChars="1200" w:left="1200"/>
    </w:pPr>
  </w:style>
  <w:style w:type="paragraph" w:customStyle="1" w:styleId="T21">
    <w:name w:val="T2标题"/>
    <w:basedOn w:val="22"/>
    <w:qFormat/>
    <w:pPr>
      <w:keepNext w:val="0"/>
      <w:keepLines w:val="0"/>
      <w:tabs>
        <w:tab w:val="left" w:pos="630"/>
        <w:tab w:val="left" w:pos="720"/>
        <w:tab w:val="left" w:pos="1070"/>
      </w:tabs>
      <w:adjustRightInd w:val="0"/>
      <w:snapToGrid w:val="0"/>
      <w:ind w:leftChars="400" w:left="1070" w:hangingChars="200" w:hanging="360"/>
      <w:jc w:val="left"/>
    </w:pPr>
    <w:rPr>
      <w:color w:val="000000"/>
      <w:spacing w:val="0"/>
      <w:w w:val="100"/>
      <w:kern w:val="2"/>
      <w:sz w:val="30"/>
      <w:szCs w:val="30"/>
    </w:rPr>
  </w:style>
  <w:style w:type="paragraph" w:customStyle="1" w:styleId="4TimesNewRomanGB2312">
    <w:name w:val="样式 标题 4 + (西文) Times New Roman (中文) 楷体_GB2312 非加粗 黑色 首行缩进:  ..."/>
    <w:basedOn w:val="41"/>
    <w:qFormat/>
    <w:pPr>
      <w:tabs>
        <w:tab w:val="left" w:pos="1070"/>
      </w:tabs>
      <w:adjustRightInd/>
      <w:snapToGrid/>
      <w:spacing w:beforeLines="0" w:before="0" w:line="374" w:lineRule="auto"/>
      <w:ind w:leftChars="400" w:left="1070" w:hangingChars="200" w:hanging="360"/>
    </w:pPr>
    <w:rPr>
      <w:rFonts w:ascii="Cambria" w:eastAsia="宋体" w:hAnsi="Cambria"/>
      <w:snapToGrid w:val="0"/>
      <w:color w:val="000000"/>
      <w:sz w:val="24"/>
      <w:szCs w:val="28"/>
    </w:rPr>
  </w:style>
  <w:style w:type="paragraph" w:customStyle="1" w:styleId="affffffffffffffffffffffffffffffff7">
    <w:name w:val="报告表格"/>
    <w:basedOn w:val="a6"/>
    <w:uiPriority w:val="99"/>
    <w:qFormat/>
    <w:pPr>
      <w:autoSpaceDE w:val="0"/>
      <w:autoSpaceDN w:val="0"/>
      <w:adjustRightInd w:val="0"/>
      <w:spacing w:before="40" w:after="40"/>
      <w:jc w:val="center"/>
      <w:textAlignment w:val="baseline"/>
    </w:pPr>
    <w:rPr>
      <w:kern w:val="0"/>
      <w:szCs w:val="20"/>
    </w:rPr>
  </w:style>
  <w:style w:type="paragraph" w:customStyle="1" w:styleId="CharCharCharCharCharCharCharCharCharCharCharCharCharCharChar">
    <w:name w:val="Char Char Char Char Char Char Char Char Char Char Char Char Char Char Char"/>
    <w:basedOn w:val="a6"/>
    <w:qFormat/>
  </w:style>
  <w:style w:type="paragraph" w:customStyle="1" w:styleId="2H211lxb211h2Char1">
    <w:name w:val="样式 标题 2节H2节标题 1.1二级标题标题 lxb21.1h2第一层条二级标题 Char表标题单位名...1"/>
    <w:basedOn w:val="22"/>
    <w:qFormat/>
    <w:pPr>
      <w:keepNext w:val="0"/>
      <w:keepLines w:val="0"/>
      <w:overflowPunct w:val="0"/>
      <w:autoSpaceDE w:val="0"/>
      <w:autoSpaceDN w:val="0"/>
      <w:adjustRightInd w:val="0"/>
      <w:textAlignment w:val="baseline"/>
    </w:pPr>
    <w:rPr>
      <w:rFonts w:ascii="黑体"/>
      <w:color w:val="000000"/>
      <w:spacing w:val="0"/>
      <w:w w:val="100"/>
      <w:kern w:val="32"/>
      <w:sz w:val="30"/>
      <w:szCs w:val="32"/>
    </w:rPr>
  </w:style>
  <w:style w:type="paragraph" w:customStyle="1" w:styleId="2fffffa">
    <w:name w:val="正文样式2"/>
    <w:basedOn w:val="a6"/>
    <w:next w:val="3ff1"/>
    <w:qFormat/>
    <w:pPr>
      <w:keepNext/>
      <w:adjustRightInd w:val="0"/>
      <w:spacing w:line="480" w:lineRule="atLeast"/>
      <w:ind w:firstLine="567"/>
      <w:textAlignment w:val="baseline"/>
    </w:pPr>
    <w:rPr>
      <w:rFonts w:ascii="黑体" w:eastAsia="黑体"/>
      <w:kern w:val="0"/>
      <w:sz w:val="28"/>
      <w:szCs w:val="20"/>
    </w:rPr>
  </w:style>
  <w:style w:type="paragraph" w:customStyle="1" w:styleId="305051">
    <w:name w:val="样式 标题 3 + 段前: 0.5 行 段后: 0.5 行1"/>
    <w:basedOn w:val="33"/>
    <w:qFormat/>
    <w:pPr>
      <w:tabs>
        <w:tab w:val="left" w:pos="1070"/>
      </w:tabs>
      <w:adjustRightInd w:val="0"/>
      <w:spacing w:before="50" w:after="50" w:line="360" w:lineRule="auto"/>
    </w:pPr>
    <w:rPr>
      <w:rFonts w:eastAsia="宋体" w:hAnsi="宋体" w:cs="宋体"/>
      <w:bCs/>
      <w:spacing w:val="0"/>
      <w:sz w:val="24"/>
      <w:szCs w:val="20"/>
    </w:rPr>
  </w:style>
  <w:style w:type="paragraph" w:customStyle="1" w:styleId="CM97">
    <w:name w:val="CM97"/>
    <w:basedOn w:val="Default"/>
    <w:next w:val="Default"/>
    <w:qFormat/>
    <w:pPr>
      <w:spacing w:after="215"/>
    </w:pPr>
    <w:rPr>
      <w:rFonts w:ascii="黑体" w:eastAsia="黑体"/>
      <w:color w:val="auto"/>
    </w:rPr>
  </w:style>
  <w:style w:type="paragraph" w:customStyle="1" w:styleId="CharCharChar1Char3">
    <w:name w:val="Char Char Char1 Char3"/>
    <w:basedOn w:val="a6"/>
    <w:qFormat/>
  </w:style>
  <w:style w:type="paragraph" w:customStyle="1" w:styleId="xl85">
    <w:name w:val="xl85"/>
    <w:basedOn w:val="a6"/>
    <w:qFormat/>
    <w:pPr>
      <w:widowControl/>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ascii="宋体" w:hAnsi="宋体" w:cs="宋体"/>
      <w:b/>
      <w:bCs/>
      <w:kern w:val="0"/>
      <w:sz w:val="20"/>
      <w:szCs w:val="20"/>
    </w:rPr>
  </w:style>
  <w:style w:type="paragraph" w:customStyle="1" w:styleId="hb2">
    <w:name w:val="hb2"/>
    <w:basedOn w:val="22"/>
    <w:qFormat/>
    <w:pPr>
      <w:keepNext w:val="0"/>
      <w:keepLines w:val="0"/>
      <w:topLinePunct/>
      <w:adjustRightInd w:val="0"/>
      <w:spacing w:before="100" w:beforeAutospacing="1" w:afterLines="50" w:after="100" w:afterAutospacing="1" w:line="416" w:lineRule="atLeast"/>
      <w:jc w:val="left"/>
      <w:textAlignment w:val="baseline"/>
    </w:pPr>
    <w:rPr>
      <w:rFonts w:hAnsi="黑体" w:cs="Arial"/>
      <w:b/>
      <w:bCs w:val="0"/>
      <w:spacing w:val="0"/>
      <w:w w:val="100"/>
      <w:kern w:val="2"/>
      <w:sz w:val="30"/>
      <w:szCs w:val="24"/>
    </w:rPr>
  </w:style>
  <w:style w:type="paragraph" w:customStyle="1" w:styleId="Char4CharCharChar1">
    <w:name w:val="Char4 Char Char Char1"/>
    <w:basedOn w:val="a6"/>
    <w:qFormat/>
    <w:rPr>
      <w:color w:val="000000"/>
      <w:w w:val="110"/>
      <w:kern w:val="0"/>
      <w:sz w:val="24"/>
    </w:rPr>
  </w:style>
  <w:style w:type="paragraph" w:customStyle="1" w:styleId="affffffffffffffffffffffffffffffff8">
    <w:name w:val="基准页眉样式"/>
    <w:basedOn w:val="af8"/>
    <w:qFormat/>
    <w:pPr>
      <w:spacing w:after="0" w:line="240" w:lineRule="atLeast"/>
      <w:jc w:val="center"/>
    </w:pPr>
    <w:rPr>
      <w:rFonts w:ascii="宋体"/>
      <w:color w:val="000000"/>
      <w:szCs w:val="20"/>
    </w:rPr>
  </w:style>
  <w:style w:type="paragraph" w:customStyle="1" w:styleId="-80">
    <w:name w:val="文-8"/>
    <w:qFormat/>
    <w:pPr>
      <w:tabs>
        <w:tab w:val="right" w:leader="dot" w:pos="8789"/>
      </w:tabs>
      <w:ind w:left="2126"/>
    </w:pPr>
    <w:rPr>
      <w:rFonts w:cs="宋体"/>
    </w:rPr>
  </w:style>
  <w:style w:type="paragraph" w:customStyle="1" w:styleId="-71">
    <w:name w:val="文-7"/>
    <w:basedOn w:val="-50"/>
    <w:qFormat/>
    <w:pPr>
      <w:ind w:left="1701"/>
    </w:pPr>
    <w:rPr>
      <w:color w:val="000000"/>
      <w:w w:val="110"/>
      <w:kern w:val="0"/>
    </w:rPr>
  </w:style>
  <w:style w:type="paragraph" w:customStyle="1" w:styleId="CharCharChar1CharCharCharChar3">
    <w:name w:val="Char Char Char1 Char Char Char Char3"/>
    <w:basedOn w:val="a6"/>
    <w:qFormat/>
  </w:style>
  <w:style w:type="paragraph" w:customStyle="1" w:styleId="bg">
    <w:name w:val="bg正文首行缩进"/>
    <w:basedOn w:val="a6"/>
    <w:qFormat/>
    <w:pPr>
      <w:widowControl/>
      <w:spacing w:line="400" w:lineRule="exact"/>
      <w:ind w:firstLine="482"/>
      <w:jc w:val="left"/>
    </w:pPr>
    <w:rPr>
      <w:rFonts w:ascii="宋体" w:hAnsi="宋体" w:cs="宋体"/>
      <w:kern w:val="0"/>
      <w:sz w:val="24"/>
      <w:szCs w:val="20"/>
    </w:rPr>
  </w:style>
  <w:style w:type="paragraph" w:customStyle="1" w:styleId="xl251">
    <w:name w:val="xl251"/>
    <w:basedOn w:val="a6"/>
    <w:qFormat/>
    <w:pPr>
      <w:widowControl/>
      <w:pBdr>
        <w:top w:val="single" w:sz="4" w:space="0" w:color="auto"/>
        <w:right w:val="single" w:sz="4" w:space="0" w:color="auto"/>
      </w:pBdr>
      <w:spacing w:before="100" w:beforeAutospacing="1" w:after="100" w:afterAutospacing="1"/>
      <w:jc w:val="center"/>
    </w:pPr>
    <w:rPr>
      <w:rFonts w:ascii="宋体" w:hAnsi="宋体" w:cs="宋体"/>
      <w:kern w:val="0"/>
      <w:sz w:val="16"/>
      <w:szCs w:val="16"/>
    </w:rPr>
  </w:style>
  <w:style w:type="paragraph" w:customStyle="1" w:styleId="affffffffffffffffffffffffffffffff9">
    <w:name w:val="其他标准称谓"/>
    <w:qFormat/>
    <w:pPr>
      <w:spacing w:line="0" w:lineRule="atLeast"/>
      <w:jc w:val="distribute"/>
    </w:pPr>
    <w:rPr>
      <w:rFonts w:ascii="黑体" w:eastAsia="黑体" w:hAnsi="宋体"/>
      <w:sz w:val="52"/>
    </w:rPr>
  </w:style>
  <w:style w:type="paragraph" w:customStyle="1" w:styleId="xl237">
    <w:name w:val="xl237"/>
    <w:basedOn w:val="a6"/>
    <w:qFormat/>
    <w:pPr>
      <w:widowControl/>
      <w:pBdr>
        <w:left w:val="single" w:sz="4" w:space="0" w:color="auto"/>
      </w:pBdr>
      <w:spacing w:before="100" w:beforeAutospacing="1" w:after="100" w:afterAutospacing="1"/>
      <w:jc w:val="center"/>
      <w:textAlignment w:val="top"/>
    </w:pPr>
    <w:rPr>
      <w:rFonts w:ascii="黑体" w:eastAsia="黑体" w:hAnsi="宋体" w:cs="宋体"/>
      <w:b/>
      <w:bCs/>
      <w:kern w:val="0"/>
      <w:sz w:val="28"/>
      <w:szCs w:val="28"/>
    </w:rPr>
  </w:style>
  <w:style w:type="paragraph" w:customStyle="1" w:styleId="xl223">
    <w:name w:val="xl223"/>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rPr>
  </w:style>
  <w:style w:type="paragraph" w:customStyle="1" w:styleId="513">
    <w:name w:val="列表接续 51"/>
    <w:basedOn w:val="a6"/>
    <w:qFormat/>
    <w:pPr>
      <w:spacing w:after="120"/>
      <w:ind w:leftChars="1000" w:left="2100"/>
    </w:pPr>
  </w:style>
  <w:style w:type="paragraph" w:customStyle="1" w:styleId="xl87">
    <w:name w:val="xl87"/>
    <w:basedOn w:val="a6"/>
    <w:qFormat/>
    <w:pPr>
      <w:widowControl/>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b/>
      <w:bCs/>
      <w:kern w:val="0"/>
      <w:sz w:val="20"/>
      <w:szCs w:val="20"/>
    </w:rPr>
  </w:style>
  <w:style w:type="paragraph" w:customStyle="1" w:styleId="xl252">
    <w:name w:val="xl252"/>
    <w:basedOn w:val="a6"/>
    <w:qFormat/>
    <w:pPr>
      <w:widowControl/>
      <w:pBdr>
        <w:left w:val="single" w:sz="4" w:space="0" w:color="auto"/>
        <w:bottom w:val="single" w:sz="4" w:space="0" w:color="auto"/>
      </w:pBdr>
      <w:spacing w:before="100" w:beforeAutospacing="1" w:after="100" w:afterAutospacing="1"/>
      <w:jc w:val="center"/>
    </w:pPr>
    <w:rPr>
      <w:rFonts w:ascii="宋体" w:hAnsi="宋体" w:cs="宋体"/>
      <w:kern w:val="0"/>
      <w:sz w:val="16"/>
      <w:szCs w:val="16"/>
    </w:rPr>
  </w:style>
  <w:style w:type="paragraph" w:customStyle="1" w:styleId="12c">
    <w:name w:val="样式 目录 1 + 首行缩进:  2 字符"/>
    <w:basedOn w:val="13"/>
    <w:qFormat/>
    <w:pPr>
      <w:widowControl/>
      <w:tabs>
        <w:tab w:val="right" w:leader="dot" w:pos="8303"/>
      </w:tabs>
      <w:spacing w:before="0" w:after="0" w:line="500" w:lineRule="exact"/>
      <w:jc w:val="both"/>
    </w:pPr>
    <w:rPr>
      <w:rFonts w:ascii="黑体" w:eastAsia="Times New Roman" w:hAnsi="黑体" w:cs="宋体"/>
      <w:caps w:val="0"/>
      <w:kern w:val="0"/>
      <w:sz w:val="28"/>
    </w:rPr>
  </w:style>
  <w:style w:type="paragraph" w:customStyle="1" w:styleId="xl224">
    <w:name w:val="xl224"/>
    <w:basedOn w:val="a6"/>
    <w:qFormat/>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cs="宋体"/>
      <w:kern w:val="0"/>
      <w:sz w:val="20"/>
      <w:szCs w:val="20"/>
    </w:rPr>
  </w:style>
  <w:style w:type="paragraph" w:customStyle="1" w:styleId="affffffffffffffffffffffffffffffffa">
    <w:name w:val="框图内容"/>
    <w:basedOn w:val="a6"/>
    <w:qFormat/>
    <w:pPr>
      <w:jc w:val="center"/>
    </w:pPr>
    <w:rPr>
      <w:rFonts w:ascii="宋体"/>
      <w:lang w:val="en-GB"/>
    </w:rPr>
  </w:style>
  <w:style w:type="paragraph" w:customStyle="1" w:styleId="xl253">
    <w:name w:val="xl253"/>
    <w:basedOn w:val="a6"/>
    <w:qFormat/>
    <w:pPr>
      <w:widowControl/>
      <w:pBdr>
        <w:bottom w:val="single" w:sz="4" w:space="0" w:color="auto"/>
        <w:right w:val="single" w:sz="4" w:space="0" w:color="auto"/>
      </w:pBdr>
      <w:spacing w:before="100" w:beforeAutospacing="1" w:after="100" w:afterAutospacing="1"/>
      <w:jc w:val="center"/>
    </w:pPr>
    <w:rPr>
      <w:rFonts w:ascii="宋体" w:hAnsi="宋体" w:cs="宋体"/>
      <w:kern w:val="0"/>
      <w:sz w:val="16"/>
      <w:szCs w:val="16"/>
    </w:rPr>
  </w:style>
  <w:style w:type="paragraph" w:customStyle="1" w:styleId="xl239">
    <w:name w:val="xl239"/>
    <w:basedOn w:val="a6"/>
    <w:qFormat/>
    <w:pPr>
      <w:widowControl/>
      <w:pBdr>
        <w:right w:val="single" w:sz="4" w:space="0" w:color="auto"/>
      </w:pBdr>
      <w:spacing w:before="100" w:beforeAutospacing="1" w:after="100" w:afterAutospacing="1"/>
      <w:jc w:val="left"/>
      <w:textAlignment w:val="bottom"/>
    </w:pPr>
    <w:rPr>
      <w:rFonts w:ascii="宋体" w:hAnsi="宋体" w:cs="宋体"/>
      <w:kern w:val="0"/>
      <w:sz w:val="24"/>
    </w:rPr>
  </w:style>
  <w:style w:type="paragraph" w:customStyle="1" w:styleId="affffffffffffffffffffffffffffffffb">
    <w:name w:val="项目点符号"/>
    <w:basedOn w:val="a6"/>
    <w:qFormat/>
    <w:pPr>
      <w:spacing w:line="240" w:lineRule="exact"/>
      <w:jc w:val="center"/>
    </w:pPr>
    <w:rPr>
      <w:rFonts w:ascii="宋体" w:hAnsi="宋体"/>
      <w:spacing w:val="-10"/>
      <w:kern w:val="0"/>
      <w:sz w:val="24"/>
      <w:szCs w:val="20"/>
    </w:rPr>
  </w:style>
  <w:style w:type="paragraph" w:customStyle="1" w:styleId="T10">
    <w:name w:val="T1"/>
    <w:basedOn w:val="a6"/>
    <w:next w:val="T20"/>
    <w:qFormat/>
    <w:pPr>
      <w:widowControl/>
      <w:tabs>
        <w:tab w:val="left" w:pos="857"/>
      </w:tabs>
      <w:adjustRightInd w:val="0"/>
      <w:spacing w:before="240" w:line="312" w:lineRule="auto"/>
      <w:ind w:left="857" w:hanging="420"/>
      <w:jc w:val="left"/>
      <w:textAlignment w:val="baseline"/>
    </w:pPr>
    <w:rPr>
      <w:rFonts w:cs="宋体"/>
      <w:b/>
      <w:color w:val="000080"/>
      <w:spacing w:val="16"/>
      <w:kern w:val="20"/>
      <w:sz w:val="30"/>
      <w:szCs w:val="20"/>
    </w:rPr>
  </w:style>
  <w:style w:type="paragraph" w:customStyle="1" w:styleId="affffffffffffffffffffffffffffffffc">
    <w:name w:val="行左"/>
    <w:basedOn w:val="a6"/>
    <w:qFormat/>
    <w:pPr>
      <w:spacing w:line="360" w:lineRule="auto"/>
      <w:ind w:firstLineChars="200" w:firstLine="480"/>
      <w:jc w:val="left"/>
    </w:pPr>
    <w:rPr>
      <w:rFonts w:ascii="仿宋_GB2312" w:eastAsia="仿宋_GB2312" w:hAnsi="宋体"/>
      <w:color w:val="000000"/>
      <w:position w:val="-32"/>
      <w:sz w:val="24"/>
    </w:rPr>
  </w:style>
  <w:style w:type="paragraph" w:customStyle="1" w:styleId="xl255">
    <w:name w:val="xl255"/>
    <w:basedOn w:val="a6"/>
    <w:qFormat/>
    <w:pPr>
      <w:widowControl/>
      <w:pBdr>
        <w:top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241">
    <w:name w:val="xl241"/>
    <w:basedOn w:val="a6"/>
    <w:qFormat/>
    <w:pPr>
      <w:widowControl/>
      <w:pBdr>
        <w:top w:val="single" w:sz="4" w:space="0" w:color="auto"/>
        <w:left w:val="single" w:sz="4" w:space="0" w:color="auto"/>
      </w:pBdr>
      <w:spacing w:before="100" w:beforeAutospacing="1" w:after="100" w:afterAutospacing="1"/>
      <w:jc w:val="center"/>
    </w:pPr>
    <w:rPr>
      <w:rFonts w:ascii="宋体" w:hAnsi="宋体" w:cs="宋体"/>
      <w:kern w:val="0"/>
      <w:sz w:val="18"/>
      <w:szCs w:val="18"/>
    </w:rPr>
  </w:style>
  <w:style w:type="paragraph" w:customStyle="1" w:styleId="xl227">
    <w:name w:val="xl227"/>
    <w:basedOn w:val="a6"/>
    <w:qFormat/>
    <w:pPr>
      <w:widowControl/>
      <w:pBdr>
        <w:top w:val="single" w:sz="4" w:space="0" w:color="auto"/>
        <w:left w:val="single" w:sz="4" w:space="0" w:color="auto"/>
        <w:bottom w:val="single" w:sz="8" w:space="0" w:color="auto"/>
      </w:pBdr>
      <w:shd w:val="clear" w:color="auto" w:fill="FFFF00"/>
      <w:spacing w:before="100" w:beforeAutospacing="1" w:after="100" w:afterAutospacing="1"/>
      <w:jc w:val="center"/>
      <w:textAlignment w:val="center"/>
    </w:pPr>
    <w:rPr>
      <w:rFonts w:cs="宋体"/>
      <w:kern w:val="0"/>
      <w:sz w:val="20"/>
      <w:szCs w:val="20"/>
    </w:rPr>
  </w:style>
  <w:style w:type="paragraph" w:customStyle="1" w:styleId="xxx">
    <w:name w:val="x.x.x"/>
    <w:basedOn w:val="a6"/>
    <w:qFormat/>
    <w:pPr>
      <w:spacing w:line="360" w:lineRule="auto"/>
      <w:ind w:leftChars="400" w:left="840" w:firstLineChars="200" w:firstLine="420"/>
    </w:pPr>
    <w:rPr>
      <w:rFonts w:ascii="宋体" w:hAnsi="宋体"/>
      <w:szCs w:val="21"/>
    </w:rPr>
  </w:style>
  <w:style w:type="paragraph" w:customStyle="1" w:styleId="3fff1">
    <w:name w:val="自定义标题3"/>
    <w:next w:val="a6"/>
    <w:qFormat/>
    <w:pPr>
      <w:numPr>
        <w:ilvl w:val="2"/>
      </w:numPr>
      <w:tabs>
        <w:tab w:val="left" w:pos="840"/>
        <w:tab w:val="left" w:pos="1009"/>
        <w:tab w:val="left" w:pos="1260"/>
      </w:tabs>
      <w:spacing w:before="100"/>
    </w:pPr>
  </w:style>
  <w:style w:type="paragraph" w:customStyle="1" w:styleId="2">
    <w:name w:val="自定义标题2"/>
    <w:next w:val="a6"/>
    <w:qFormat/>
    <w:pPr>
      <w:numPr>
        <w:ilvl w:val="1"/>
        <w:numId w:val="26"/>
      </w:numPr>
      <w:tabs>
        <w:tab w:val="left" w:pos="1009"/>
      </w:tabs>
      <w:spacing w:before="200"/>
    </w:pPr>
    <w:rPr>
      <w:sz w:val="24"/>
    </w:rPr>
  </w:style>
  <w:style w:type="paragraph" w:customStyle="1" w:styleId="1fffffd">
    <w:name w:val="自定义标题1"/>
    <w:next w:val="a6"/>
    <w:qFormat/>
    <w:pPr>
      <w:widowControl w:val="0"/>
      <w:tabs>
        <w:tab w:val="left" w:pos="1009"/>
      </w:tabs>
      <w:adjustRightInd w:val="0"/>
      <w:spacing w:before="400" w:after="120" w:line="320" w:lineRule="exact"/>
      <w:ind w:left="1009" w:hanging="1009"/>
      <w:jc w:val="both"/>
      <w:textAlignment w:val="baseline"/>
    </w:pPr>
    <w:rPr>
      <w:rFonts w:ascii="Arial" w:hAnsi="Arial"/>
      <w:color w:val="0000FF"/>
      <w:sz w:val="28"/>
    </w:rPr>
  </w:style>
  <w:style w:type="paragraph" w:customStyle="1" w:styleId="711">
    <w:name w:val="标题 71"/>
    <w:basedOn w:val="a6"/>
    <w:next w:val="a6"/>
    <w:qFormat/>
    <w:pPr>
      <w:keepNext/>
      <w:keepLines/>
      <w:spacing w:before="240" w:after="64" w:line="317" w:lineRule="auto"/>
      <w:outlineLvl w:val="6"/>
    </w:pPr>
    <w:rPr>
      <w:b/>
      <w:bCs/>
      <w:color w:val="000000"/>
      <w:w w:val="110"/>
      <w:kern w:val="13"/>
      <w:sz w:val="24"/>
    </w:rPr>
  </w:style>
  <w:style w:type="paragraph" w:customStyle="1" w:styleId="xl257">
    <w:name w:val="xl257"/>
    <w:basedOn w:val="a6"/>
    <w:qFormat/>
    <w:pPr>
      <w:widowControl/>
      <w:pBdr>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243">
    <w:name w:val="xl243"/>
    <w:basedOn w:val="a6"/>
    <w:qFormat/>
    <w:pPr>
      <w:widowControl/>
      <w:pBdr>
        <w:left w:val="single" w:sz="4" w:space="0" w:color="auto"/>
        <w:bottom w:val="single" w:sz="4" w:space="0" w:color="auto"/>
      </w:pBdr>
      <w:spacing w:before="100" w:beforeAutospacing="1" w:after="100" w:afterAutospacing="1"/>
      <w:jc w:val="center"/>
    </w:pPr>
    <w:rPr>
      <w:rFonts w:ascii="宋体" w:hAnsi="宋体" w:cs="宋体"/>
      <w:kern w:val="0"/>
      <w:sz w:val="24"/>
    </w:rPr>
  </w:style>
  <w:style w:type="paragraph" w:customStyle="1" w:styleId="xl229">
    <w:name w:val="xl229"/>
    <w:basedOn w:val="a6"/>
    <w:qFormat/>
    <w:pPr>
      <w:widowControl/>
      <w:pBdr>
        <w:top w:val="single" w:sz="4" w:space="0" w:color="auto"/>
        <w:bottom w:val="single" w:sz="8" w:space="0" w:color="auto"/>
        <w:right w:val="single" w:sz="4" w:space="0" w:color="auto"/>
      </w:pBdr>
      <w:shd w:val="clear" w:color="auto" w:fill="FFFF00"/>
      <w:spacing w:before="100" w:beforeAutospacing="1" w:after="100" w:afterAutospacing="1"/>
      <w:jc w:val="center"/>
      <w:textAlignment w:val="center"/>
    </w:pPr>
    <w:rPr>
      <w:rFonts w:cs="宋体"/>
      <w:kern w:val="0"/>
      <w:sz w:val="20"/>
      <w:szCs w:val="20"/>
    </w:rPr>
  </w:style>
  <w:style w:type="paragraph" w:customStyle="1" w:styleId="Charffffffffffd">
    <w:name w:val="我的编辑—正文 Char"/>
    <w:basedOn w:val="a6"/>
    <w:qFormat/>
    <w:pPr>
      <w:spacing w:line="360" w:lineRule="auto"/>
      <w:ind w:firstLineChars="200" w:firstLine="200"/>
    </w:pPr>
    <w:rPr>
      <w:rFonts w:ascii="仿宋_GB2312" w:hAnsi="宋体"/>
      <w:color w:val="000000"/>
      <w:sz w:val="24"/>
      <w:szCs w:val="28"/>
    </w:rPr>
  </w:style>
  <w:style w:type="paragraph" w:customStyle="1" w:styleId="xl258">
    <w:name w:val="xl258"/>
    <w:basedOn w:val="a6"/>
    <w:qFormat/>
    <w:pPr>
      <w:widowControl/>
      <w:pBdr>
        <w:left w:val="single" w:sz="4" w:space="0" w:color="auto"/>
        <w:bottom w:val="single" w:sz="4" w:space="0" w:color="auto"/>
      </w:pBdr>
      <w:spacing w:before="100" w:beforeAutospacing="1" w:after="100" w:afterAutospacing="1"/>
      <w:jc w:val="center"/>
    </w:pPr>
    <w:rPr>
      <w:rFonts w:ascii="宋体" w:hAnsi="宋体" w:cs="宋体"/>
      <w:kern w:val="0"/>
      <w:sz w:val="20"/>
      <w:szCs w:val="20"/>
    </w:rPr>
  </w:style>
  <w:style w:type="paragraph" w:customStyle="1" w:styleId="xl244">
    <w:name w:val="xl244"/>
    <w:basedOn w:val="a6"/>
    <w:qFormat/>
    <w:pPr>
      <w:widowControl/>
      <w:pBdr>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230">
    <w:name w:val="xl230"/>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CharCharCharCharCharCharCharCharCharChar2">
    <w:name w:val="Char Char Char Char Char Char Char Char Char Char2"/>
    <w:basedOn w:val="hb2"/>
    <w:next w:val="a6"/>
    <w:qFormat/>
    <w:pPr>
      <w:adjustRightInd/>
    </w:pPr>
    <w:rPr>
      <w:rFonts w:ascii="宋体" w:hAnsi="宋体"/>
      <w:lang w:val="en-GB"/>
    </w:rPr>
  </w:style>
  <w:style w:type="paragraph" w:customStyle="1" w:styleId="affffffffffffffffffffffffffffffffd">
    <w:name w:val="居中正文"/>
    <w:basedOn w:val="a6"/>
    <w:qFormat/>
    <w:pPr>
      <w:spacing w:line="540" w:lineRule="exact"/>
      <w:ind w:rightChars="-6" w:right="-13" w:firstLineChars="200" w:firstLine="200"/>
      <w:jc w:val="center"/>
    </w:pPr>
    <w:rPr>
      <w:rFonts w:ascii="Calibri" w:eastAsia="仿宋_GB2312" w:hAnsi="Calibri"/>
      <w:color w:val="000000"/>
      <w:w w:val="110"/>
      <w:kern w:val="0"/>
      <w:sz w:val="28"/>
      <w:szCs w:val="20"/>
    </w:rPr>
  </w:style>
  <w:style w:type="paragraph" w:customStyle="1" w:styleId="reader-word-layerreader-word-s1-9reader-word-s1-24">
    <w:name w:val="reader-word-layer reader-word-s1-9 reader-word-s1-24"/>
    <w:basedOn w:val="a6"/>
    <w:qFormat/>
    <w:pPr>
      <w:widowControl/>
      <w:spacing w:before="100" w:beforeAutospacing="1" w:after="100" w:afterAutospacing="1"/>
      <w:jc w:val="left"/>
    </w:pPr>
    <w:rPr>
      <w:rFonts w:ascii="宋体" w:hAnsi="宋体" w:cs="宋体"/>
      <w:kern w:val="0"/>
      <w:sz w:val="24"/>
    </w:rPr>
  </w:style>
  <w:style w:type="paragraph" w:customStyle="1" w:styleId="reader-word-layerreader-word-s1-2">
    <w:name w:val="reader-word-layer reader-word-s1-2"/>
    <w:basedOn w:val="a6"/>
    <w:qFormat/>
    <w:pPr>
      <w:widowControl/>
      <w:spacing w:before="100" w:beforeAutospacing="1" w:after="100" w:afterAutospacing="1"/>
      <w:jc w:val="left"/>
    </w:pPr>
    <w:rPr>
      <w:rFonts w:ascii="宋体" w:hAnsi="宋体" w:cs="宋体"/>
      <w:kern w:val="0"/>
      <w:sz w:val="24"/>
    </w:rPr>
  </w:style>
  <w:style w:type="paragraph" w:customStyle="1" w:styleId="affffffffffffffffffffffffffffffffe">
    <w:name w:val="表头名称"/>
    <w:basedOn w:val="af0"/>
    <w:qFormat/>
    <w:pPr>
      <w:autoSpaceDE w:val="0"/>
      <w:autoSpaceDN w:val="0"/>
      <w:spacing w:line="520" w:lineRule="exact"/>
      <w:ind w:firstLineChars="200" w:firstLine="480"/>
      <w:jc w:val="both"/>
    </w:pPr>
    <w:rPr>
      <w:rFonts w:ascii="黑体" w:eastAsia="黑体"/>
      <w:b/>
      <w:sz w:val="21"/>
      <w:szCs w:val="20"/>
    </w:rPr>
  </w:style>
  <w:style w:type="paragraph" w:customStyle="1" w:styleId="325">
    <w:name w:val="样式 标题 3 + 首行缩进:  2 字符"/>
    <w:basedOn w:val="33"/>
    <w:next w:val="a6"/>
    <w:qFormat/>
    <w:pPr>
      <w:adjustRightInd w:val="0"/>
      <w:snapToGrid w:val="0"/>
      <w:spacing w:after="120"/>
    </w:pPr>
    <w:rPr>
      <w:rFonts w:cs="宋体"/>
      <w:spacing w:val="-6"/>
      <w:szCs w:val="20"/>
    </w:rPr>
  </w:style>
  <w:style w:type="paragraph" w:customStyle="1" w:styleId="New1">
    <w:name w:val="正文 楷体 New"/>
    <w:qFormat/>
    <w:pPr>
      <w:spacing w:line="500" w:lineRule="exact"/>
      <w:ind w:firstLineChars="200" w:firstLine="200"/>
    </w:pPr>
    <w:rPr>
      <w:rFonts w:ascii="楷体_GB2312" w:eastAsia="楷体_GB2312" w:hAnsi="楷体_GB2312"/>
      <w:sz w:val="24"/>
    </w:rPr>
  </w:style>
  <w:style w:type="paragraph" w:customStyle="1" w:styleId="NormalNewNewNewNewNew">
    <w:name w:val="Normal New New New New New"/>
    <w:qFormat/>
    <w:pPr>
      <w:widowControl w:val="0"/>
      <w:jc w:val="both"/>
    </w:pPr>
    <w:rPr>
      <w:rFonts w:hint="eastAsia"/>
      <w:kern w:val="2"/>
      <w:sz w:val="21"/>
    </w:rPr>
  </w:style>
  <w:style w:type="paragraph" w:customStyle="1" w:styleId="fontviewtitle">
    <w:name w:val="font_viewtitle"/>
    <w:basedOn w:val="a6"/>
    <w:qFormat/>
    <w:pPr>
      <w:widowControl/>
      <w:spacing w:before="111" w:after="111"/>
      <w:jc w:val="left"/>
    </w:pPr>
    <w:rPr>
      <w:rFonts w:ascii="宋体" w:hAnsi="宋体" w:cs="宋体"/>
      <w:kern w:val="0"/>
      <w:sz w:val="24"/>
    </w:rPr>
  </w:style>
  <w:style w:type="paragraph" w:customStyle="1" w:styleId="GB231221">
    <w:name w:val="样式 (西文) 仿宋_GB2312 四号 首行缩进:  2 字符"/>
    <w:basedOn w:val="a6"/>
    <w:qFormat/>
    <w:pPr>
      <w:spacing w:line="360" w:lineRule="auto"/>
      <w:ind w:firstLineChars="200" w:firstLine="200"/>
    </w:pPr>
    <w:rPr>
      <w:rFonts w:ascii="仿宋_GB2312" w:hAnsi="Calibri"/>
      <w:sz w:val="24"/>
      <w:szCs w:val="20"/>
    </w:rPr>
  </w:style>
  <w:style w:type="paragraph" w:customStyle="1" w:styleId="afffffffffffffffffffffffffffffffff">
    <w:name w:val="流程图"/>
    <w:basedOn w:val="a6"/>
    <w:qFormat/>
    <w:rPr>
      <w:szCs w:val="18"/>
    </w:rPr>
  </w:style>
  <w:style w:type="paragraph" w:customStyle="1" w:styleId="xl73">
    <w:name w:val="xl73"/>
    <w:basedOn w:val="a6"/>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eastAsia="Arial Unicode MS"/>
      <w:kern w:val="0"/>
      <w:sz w:val="22"/>
      <w:szCs w:val="22"/>
    </w:rPr>
  </w:style>
  <w:style w:type="paragraph" w:customStyle="1" w:styleId="afffffffffffffffffffffffffffffffff0">
    <w:name w:val="正文居中"/>
    <w:basedOn w:val="affc"/>
    <w:qFormat/>
    <w:pPr>
      <w:tabs>
        <w:tab w:val="left" w:pos="1960"/>
        <w:tab w:val="left" w:pos="2380"/>
        <w:tab w:val="left" w:pos="3080"/>
      </w:tabs>
      <w:adjustRightInd w:val="0"/>
      <w:spacing w:before="48" w:line="360" w:lineRule="auto"/>
      <w:ind w:firstLine="464"/>
      <w:textAlignment w:val="baseline"/>
    </w:pPr>
    <w:rPr>
      <w:rFonts w:ascii="Times New Roman"/>
      <w:bCs w:val="0"/>
      <w:color w:val="000000"/>
      <w:spacing w:val="-4"/>
      <w:w w:val="110"/>
      <w:kern w:val="2"/>
      <w:sz w:val="24"/>
      <w:szCs w:val="22"/>
      <w:lang w:val="zh-CN"/>
    </w:rPr>
  </w:style>
  <w:style w:type="paragraph" w:customStyle="1" w:styleId="cm1">
    <w:name w:val="cm1"/>
    <w:basedOn w:val="a6"/>
    <w:qFormat/>
    <w:pPr>
      <w:widowControl/>
      <w:spacing w:before="100" w:beforeAutospacing="1" w:after="100" w:afterAutospacing="1"/>
      <w:jc w:val="left"/>
    </w:pPr>
    <w:rPr>
      <w:rFonts w:ascii="宋体" w:hAnsi="宋体" w:cs="宋体"/>
      <w:kern w:val="0"/>
      <w:sz w:val="24"/>
    </w:rPr>
  </w:style>
  <w:style w:type="paragraph" w:customStyle="1" w:styleId="2fffffb">
    <w:name w:val="样式 四号 首行缩进:  2 字符"/>
    <w:basedOn w:val="a6"/>
    <w:qFormat/>
    <w:pPr>
      <w:spacing w:line="480" w:lineRule="atLeast"/>
      <w:ind w:firstLineChars="200" w:firstLine="200"/>
    </w:pPr>
    <w:rPr>
      <w:sz w:val="24"/>
    </w:rPr>
  </w:style>
  <w:style w:type="paragraph" w:customStyle="1" w:styleId="CharCharCharCharCharCharCharCharCharCharCharChar2">
    <w:name w:val="Char Char Char Char Char Char Char Char Char Char Char Char2"/>
    <w:basedOn w:val="a6"/>
    <w:next w:val="a6"/>
    <w:qFormat/>
    <w:pPr>
      <w:spacing w:line="360" w:lineRule="auto"/>
      <w:ind w:firstLineChars="200" w:firstLine="200"/>
    </w:pPr>
    <w:rPr>
      <w:rFonts w:ascii="宋体" w:hAnsi="宋体" w:cs="宋体"/>
      <w:sz w:val="24"/>
    </w:rPr>
  </w:style>
  <w:style w:type="paragraph" w:customStyle="1" w:styleId="CharCharCharCharCharCharCharCharCharChar">
    <w:name w:val="Char Char Char Char Char Char Char Char Char Char"/>
    <w:basedOn w:val="a6"/>
    <w:qFormat/>
    <w:pPr>
      <w:spacing w:line="240" w:lineRule="exact"/>
      <w:ind w:firstLineChars="200" w:firstLine="200"/>
    </w:pPr>
    <w:rPr>
      <w:rFonts w:ascii="宋体" w:hAnsi="宋体"/>
      <w:kern w:val="0"/>
      <w:sz w:val="24"/>
      <w:szCs w:val="20"/>
    </w:rPr>
  </w:style>
  <w:style w:type="paragraph" w:customStyle="1" w:styleId="2224">
    <w:name w:val="样式 样式 样式 首行缩进:  2 字符 + 首行缩进:  2 字符 + 首行缩进:  2 字符"/>
    <w:basedOn w:val="229"/>
    <w:qFormat/>
    <w:pPr>
      <w:ind w:firstLine="567"/>
    </w:pPr>
  </w:style>
  <w:style w:type="paragraph" w:customStyle="1" w:styleId="2fffffc">
    <w:name w:val="列出段落2"/>
    <w:basedOn w:val="a6"/>
    <w:qFormat/>
    <w:pPr>
      <w:ind w:firstLineChars="200" w:firstLine="420"/>
    </w:pPr>
  </w:style>
  <w:style w:type="paragraph" w:customStyle="1" w:styleId="font11">
    <w:name w:val="font11"/>
    <w:basedOn w:val="a6"/>
    <w:qFormat/>
    <w:pPr>
      <w:widowControl/>
      <w:spacing w:before="100" w:beforeAutospacing="1" w:after="100" w:afterAutospacing="1"/>
      <w:jc w:val="left"/>
    </w:pPr>
    <w:rPr>
      <w:rFonts w:ascii="宋体" w:hAnsi="宋体" w:cs="Arial Unicode MS" w:hint="eastAsia"/>
      <w:kern w:val="0"/>
      <w:sz w:val="24"/>
    </w:rPr>
  </w:style>
  <w:style w:type="paragraph" w:customStyle="1" w:styleId="reader-word-layerreader-word-s39-7">
    <w:name w:val="reader-word-layer reader-word-s39-7"/>
    <w:basedOn w:val="a6"/>
    <w:qFormat/>
    <w:pPr>
      <w:widowControl/>
      <w:spacing w:before="100" w:beforeAutospacing="1" w:after="100" w:afterAutospacing="1"/>
      <w:jc w:val="left"/>
    </w:pPr>
    <w:rPr>
      <w:rFonts w:ascii="宋体" w:hAnsi="宋体" w:cs="宋体"/>
      <w:color w:val="000000"/>
      <w:w w:val="110"/>
      <w:kern w:val="0"/>
      <w:sz w:val="24"/>
    </w:rPr>
  </w:style>
  <w:style w:type="paragraph" w:customStyle="1" w:styleId="afffffffffffffffffffffffffffffffff1">
    <w:name w:val="图例"/>
    <w:basedOn w:val="a6"/>
    <w:qFormat/>
    <w:pPr>
      <w:spacing w:before="240" w:after="120"/>
      <w:jc w:val="center"/>
    </w:pPr>
    <w:rPr>
      <w:rFonts w:eastAsia="楷体_GB2312"/>
      <w:sz w:val="28"/>
    </w:rPr>
  </w:style>
  <w:style w:type="paragraph" w:customStyle="1" w:styleId="1115">
    <w:name w:val="1.1.1"/>
    <w:basedOn w:val="a6"/>
    <w:qFormat/>
    <w:pPr>
      <w:adjustRightInd w:val="0"/>
      <w:snapToGrid w:val="0"/>
      <w:spacing w:beforeLines="15" w:afterLines="15" w:line="360" w:lineRule="auto"/>
      <w:outlineLvl w:val="2"/>
    </w:pPr>
    <w:rPr>
      <w:rFonts w:eastAsia="仿宋_GB2312"/>
      <w:b/>
      <w:sz w:val="28"/>
      <w:szCs w:val="28"/>
    </w:rPr>
  </w:style>
  <w:style w:type="paragraph" w:customStyle="1" w:styleId="3Char8">
    <w:name w:val="标题3+ Char"/>
    <w:basedOn w:val="33"/>
    <w:qFormat/>
    <w:pPr>
      <w:adjustRightInd w:val="0"/>
      <w:spacing w:line="440" w:lineRule="exact"/>
      <w:ind w:firstLineChars="200" w:firstLine="200"/>
    </w:pPr>
    <w:rPr>
      <w:spacing w:val="0"/>
      <w:sz w:val="24"/>
      <w:szCs w:val="32"/>
    </w:rPr>
  </w:style>
  <w:style w:type="paragraph" w:customStyle="1" w:styleId="afffffffffffffffffffffffffffffffff2">
    <w:name w:val="正文格式－表格－中"/>
    <w:basedOn w:val="a6"/>
    <w:qFormat/>
    <w:pPr>
      <w:widowControl/>
      <w:spacing w:line="360" w:lineRule="auto"/>
      <w:jc w:val="center"/>
      <w:textAlignment w:val="center"/>
    </w:pPr>
    <w:rPr>
      <w:rFonts w:cs="宋体"/>
      <w:kern w:val="0"/>
      <w:sz w:val="24"/>
    </w:rPr>
  </w:style>
  <w:style w:type="paragraph" w:customStyle="1" w:styleId="Char120">
    <w:name w:val="Char12"/>
    <w:basedOn w:val="a6"/>
    <w:qFormat/>
    <w:rPr>
      <w:color w:val="000000"/>
      <w:w w:val="110"/>
      <w:kern w:val="0"/>
      <w:sz w:val="24"/>
    </w:rPr>
  </w:style>
  <w:style w:type="paragraph" w:customStyle="1" w:styleId="y">
    <w:name w:val="?y??"/>
    <w:qFormat/>
    <w:pPr>
      <w:widowControl w:val="0"/>
      <w:overflowPunct w:val="0"/>
      <w:autoSpaceDE w:val="0"/>
      <w:autoSpaceDN w:val="0"/>
      <w:adjustRightInd w:val="0"/>
      <w:spacing w:line="425" w:lineRule="atLeast"/>
      <w:jc w:val="both"/>
      <w:textAlignment w:val="baseline"/>
    </w:pPr>
    <w:rPr>
      <w:color w:val="000000"/>
      <w:sz w:val="21"/>
    </w:rPr>
  </w:style>
  <w:style w:type="paragraph" w:customStyle="1" w:styleId="CharCharCharCharCharCharCharCharCharCharChar1CharCharCharCharCharCharChar1">
    <w:name w:val="Char Char Char Char Char Char Char Char Char Char Char1 Char Char Char Char Char Char Char1"/>
    <w:basedOn w:val="a6"/>
    <w:qFormat/>
  </w:style>
  <w:style w:type="paragraph" w:customStyle="1" w:styleId="CharCharCharCharChar2CharCharCharChar1">
    <w:name w:val="Char Char Char Char Char2 Char Char Char Char1"/>
    <w:basedOn w:val="a6"/>
    <w:qFormat/>
    <w:pPr>
      <w:adjustRightInd w:val="0"/>
      <w:snapToGrid w:val="0"/>
      <w:spacing w:line="360" w:lineRule="auto"/>
      <w:ind w:firstLineChars="200" w:firstLine="200"/>
    </w:pPr>
    <w:rPr>
      <w:rFonts w:ascii="宋体" w:hAnsi="宋体" w:cs="宋体"/>
      <w:sz w:val="24"/>
      <w:szCs w:val="26"/>
    </w:rPr>
  </w:style>
  <w:style w:type="paragraph" w:customStyle="1" w:styleId="5ff2">
    <w:name w:val="样式 标题5 国寰 + 黑体"/>
    <w:basedOn w:val="4f9"/>
    <w:qFormat/>
    <w:pPr>
      <w:outlineLvl w:val="4"/>
    </w:pPr>
    <w:rPr>
      <w:rFonts w:ascii="黑体" w:eastAsia="黑体" w:hAnsi="黑体"/>
      <w:bCs w:val="0"/>
    </w:rPr>
  </w:style>
  <w:style w:type="paragraph" w:customStyle="1" w:styleId="afffffffffffffffffffffffffffffffff3">
    <w:name w:val="正文(齐头)"/>
    <w:basedOn w:val="a6"/>
    <w:qFormat/>
    <w:pPr>
      <w:widowControl/>
      <w:adjustRightInd w:val="0"/>
      <w:spacing w:after="180" w:line="320" w:lineRule="exact"/>
      <w:ind w:left="1009" w:hanging="1009"/>
      <w:jc w:val="left"/>
      <w:textAlignment w:val="bottom"/>
    </w:pPr>
    <w:rPr>
      <w:rFonts w:ascii="Arial" w:hAnsi="Arial" w:cs="宋体"/>
      <w:kern w:val="0"/>
      <w:sz w:val="24"/>
      <w:szCs w:val="20"/>
    </w:rPr>
  </w:style>
  <w:style w:type="paragraph" w:customStyle="1" w:styleId="1fffffe">
    <w:name w:val="修订1"/>
    <w:qFormat/>
    <w:rPr>
      <w:kern w:val="2"/>
      <w:sz w:val="21"/>
      <w:szCs w:val="24"/>
    </w:rPr>
  </w:style>
  <w:style w:type="paragraph" w:customStyle="1" w:styleId="B4">
    <w:name w:val="B4"/>
    <w:basedOn w:val="33"/>
    <w:qFormat/>
    <w:pPr>
      <w:tabs>
        <w:tab w:val="left" w:pos="420"/>
        <w:tab w:val="left" w:pos="1260"/>
      </w:tabs>
      <w:adjustRightInd w:val="0"/>
      <w:spacing w:line="360" w:lineRule="auto"/>
      <w:ind w:left="1260" w:hanging="690"/>
    </w:pPr>
    <w:rPr>
      <w:rFonts w:eastAsia="宋体"/>
      <w:b/>
      <w:bCs/>
      <w:spacing w:val="10"/>
      <w:kern w:val="24"/>
      <w:szCs w:val="20"/>
    </w:rPr>
  </w:style>
  <w:style w:type="paragraph" w:customStyle="1" w:styleId="2fffffd">
    <w:name w:val="标2正文项"/>
    <w:basedOn w:val="a6"/>
    <w:qFormat/>
    <w:pPr>
      <w:tabs>
        <w:tab w:val="left" w:pos="450"/>
      </w:tabs>
      <w:spacing w:line="360" w:lineRule="auto"/>
      <w:ind w:left="425" w:firstLine="425"/>
      <w:jc w:val="left"/>
    </w:pPr>
    <w:rPr>
      <w:kern w:val="0"/>
      <w:sz w:val="24"/>
      <w:szCs w:val="20"/>
    </w:rPr>
  </w:style>
  <w:style w:type="paragraph" w:customStyle="1" w:styleId="CM71">
    <w:name w:val="CM71"/>
    <w:basedOn w:val="Default"/>
    <w:next w:val="Default"/>
    <w:uiPriority w:val="99"/>
    <w:qFormat/>
    <w:rPr>
      <w:rFonts w:ascii="黑体" w:eastAsia="黑体" w:hAnsi="Calibri"/>
      <w:color w:val="auto"/>
    </w:rPr>
  </w:style>
  <w:style w:type="paragraph" w:customStyle="1" w:styleId="CM7">
    <w:name w:val="CM7"/>
    <w:basedOn w:val="Default"/>
    <w:next w:val="Default"/>
    <w:qFormat/>
    <w:pPr>
      <w:spacing w:line="436" w:lineRule="atLeast"/>
    </w:pPr>
    <w:rPr>
      <w:rFonts w:eastAsia="Times New Roman"/>
      <w:color w:val="auto"/>
      <w:sz w:val="20"/>
    </w:rPr>
  </w:style>
  <w:style w:type="paragraph" w:customStyle="1" w:styleId="CharCharChar1Char">
    <w:name w:val="Char Char Char1 Char"/>
    <w:basedOn w:val="a6"/>
    <w:qFormat/>
    <w:rPr>
      <w:szCs w:val="20"/>
    </w:rPr>
  </w:style>
  <w:style w:type="paragraph" w:customStyle="1" w:styleId="CM69">
    <w:name w:val="CM69"/>
    <w:basedOn w:val="Default"/>
    <w:next w:val="Default"/>
    <w:qFormat/>
    <w:rPr>
      <w:rFonts w:ascii="黑体" w:eastAsia="黑体" w:hAnsi="Calibri"/>
      <w:color w:val="auto"/>
    </w:rPr>
  </w:style>
  <w:style w:type="paragraph" w:customStyle="1" w:styleId="afffffffffffffffffffffffffffffffff4">
    <w:name w:val="表内式样"/>
    <w:qFormat/>
    <w:pPr>
      <w:widowControl w:val="0"/>
      <w:adjustRightInd w:val="0"/>
      <w:spacing w:line="320" w:lineRule="exact"/>
      <w:jc w:val="center"/>
      <w:textAlignment w:val="baseline"/>
    </w:pPr>
    <w:rPr>
      <w:w w:val="80"/>
      <w:sz w:val="21"/>
    </w:rPr>
  </w:style>
  <w:style w:type="paragraph" w:customStyle="1" w:styleId="afffffffffffffffffffffffffffffffff5">
    <w:name w:val="图标标题"/>
    <w:basedOn w:val="a6"/>
    <w:qFormat/>
    <w:pPr>
      <w:adjustRightInd w:val="0"/>
      <w:snapToGrid w:val="0"/>
      <w:spacing w:line="360" w:lineRule="auto"/>
      <w:jc w:val="center"/>
    </w:pPr>
    <w:rPr>
      <w:rFonts w:ascii="黑体" w:eastAsia="黑体"/>
      <w:sz w:val="28"/>
      <w:szCs w:val="28"/>
    </w:rPr>
  </w:style>
  <w:style w:type="paragraph" w:customStyle="1" w:styleId="162">
    <w:name w:val="16"/>
    <w:basedOn w:val="a6"/>
    <w:qFormat/>
  </w:style>
  <w:style w:type="paragraph" w:customStyle="1" w:styleId="CharCharChar2CharCharCharCharCharCharCharCharCharChar">
    <w:name w:val="Char Char Char2 Char Char Char Char Char Char Char Char Char Char"/>
    <w:basedOn w:val="a6"/>
    <w:qFormat/>
  </w:style>
  <w:style w:type="paragraph" w:customStyle="1" w:styleId="Style129">
    <w:name w:val="_Style 129"/>
    <w:basedOn w:val="a6"/>
    <w:qFormat/>
  </w:style>
  <w:style w:type="paragraph" w:customStyle="1" w:styleId="3H3BHead111h3level3PIM3Level3HeadHeading">
    <w:name w:val="样式 标题 3H3B Head条标题1.1.1h3level_3PIM 3Level 3 HeadHeading..."/>
    <w:basedOn w:val="33"/>
    <w:qFormat/>
    <w:pPr>
      <w:numPr>
        <w:numId w:val="27"/>
      </w:numPr>
      <w:tabs>
        <w:tab w:val="left" w:pos="1070"/>
      </w:tabs>
      <w:adjustRightInd w:val="0"/>
      <w:spacing w:before="156"/>
    </w:pPr>
    <w:rPr>
      <w:rFonts w:hAnsi="黑体" w:cs="宋体"/>
      <w:b/>
      <w:spacing w:val="0"/>
      <w:sz w:val="24"/>
      <w:szCs w:val="20"/>
    </w:rPr>
  </w:style>
  <w:style w:type="paragraph" w:customStyle="1" w:styleId="CharCharChar2CharCharCharCharCharCharCharCharCharChar3">
    <w:name w:val="Char Char Char2 Char Char Char Char Char Char Char Char Char Char3"/>
    <w:basedOn w:val="a6"/>
    <w:qFormat/>
  </w:style>
  <w:style w:type="paragraph" w:customStyle="1" w:styleId="HTML19">
    <w:name w:val="HTML 地址1"/>
    <w:basedOn w:val="a6"/>
    <w:qFormat/>
    <w:rPr>
      <w:i/>
      <w:iCs/>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6"/>
    <w:qFormat/>
    <w:pPr>
      <w:widowControl/>
      <w:spacing w:after="160" w:line="240" w:lineRule="exact"/>
      <w:jc w:val="left"/>
    </w:pPr>
  </w:style>
  <w:style w:type="paragraph" w:customStyle="1" w:styleId="3203528">
    <w:name w:val="样式 样式 标题 3 + 首行缩进:  2 字符 + 首行缩进:  0.35 厘米 行距: 固定值 28 磅"/>
    <w:basedOn w:val="a6"/>
    <w:qFormat/>
    <w:pPr>
      <w:keepNext/>
      <w:keepLines/>
      <w:widowControl/>
      <w:spacing w:line="560" w:lineRule="exact"/>
      <w:jc w:val="left"/>
      <w:outlineLvl w:val="2"/>
    </w:pPr>
    <w:rPr>
      <w:rFonts w:ascii="宋体" w:hAnsi="宋体" w:cs="宋体"/>
      <w:b/>
      <w:bCs/>
      <w:kern w:val="0"/>
      <w:sz w:val="28"/>
      <w:szCs w:val="28"/>
    </w:rPr>
  </w:style>
  <w:style w:type="paragraph" w:customStyle="1" w:styleId="11f7">
    <w:name w:val="（11）标题"/>
    <w:basedOn w:val="a6"/>
    <w:qFormat/>
    <w:pPr>
      <w:widowControl/>
      <w:ind w:firstLineChars="192" w:firstLine="538"/>
      <w:jc w:val="left"/>
    </w:pPr>
    <w:rPr>
      <w:rFonts w:ascii="宋体" w:hAnsi="宋体" w:cs="宋体"/>
      <w:kern w:val="0"/>
      <w:sz w:val="28"/>
      <w:szCs w:val="20"/>
    </w:rPr>
  </w:style>
  <w:style w:type="paragraph" w:customStyle="1" w:styleId="afffffffffffffffffffffffffffffffff6">
    <w:name w:val="正文仿宋小四"/>
    <w:basedOn w:val="a6"/>
    <w:qFormat/>
    <w:pPr>
      <w:adjustRightInd w:val="0"/>
      <w:snapToGrid w:val="0"/>
      <w:spacing w:line="360" w:lineRule="auto"/>
      <w:ind w:firstLineChars="200" w:firstLine="480"/>
    </w:pPr>
    <w:rPr>
      <w:rFonts w:eastAsia="仿宋_GB2312"/>
      <w:color w:val="000000"/>
      <w:w w:val="110"/>
      <w:kern w:val="0"/>
      <w:sz w:val="24"/>
    </w:rPr>
  </w:style>
  <w:style w:type="paragraph" w:customStyle="1" w:styleId="CharCharCharCharCharCharChar5">
    <w:name w:val="Char Char Char Char Char Char Char5"/>
    <w:basedOn w:val="a6"/>
    <w:qFormat/>
  </w:style>
  <w:style w:type="paragraph" w:customStyle="1" w:styleId="CharCharChar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 Char Char Char1"/>
    <w:basedOn w:val="a6"/>
    <w:qFormat/>
  </w:style>
  <w:style w:type="paragraph" w:customStyle="1" w:styleId="M">
    <w:name w:val="M"/>
    <w:basedOn w:val="12"/>
    <w:qFormat/>
    <w:pPr>
      <w:keepNext w:val="0"/>
      <w:keepLines w:val="0"/>
      <w:widowControl/>
      <w:tabs>
        <w:tab w:val="left" w:pos="2260"/>
        <w:tab w:val="left" w:pos="2820"/>
        <w:tab w:val="left" w:pos="3420"/>
      </w:tabs>
      <w:adjustRightInd w:val="0"/>
      <w:snapToGrid w:val="0"/>
      <w:spacing w:beforeLines="100" w:before="0" w:afterLines="100" w:after="0" w:line="520" w:lineRule="exact"/>
      <w:ind w:left="851" w:right="-28" w:hanging="851"/>
    </w:pPr>
    <w:rPr>
      <w:rFonts w:ascii="Arial" w:hAnsi="Arial"/>
      <w:bCs w:val="0"/>
      <w:kern w:val="2"/>
      <w:sz w:val="22"/>
      <w:szCs w:val="20"/>
      <w:lang w:val="en-GB"/>
    </w:rPr>
  </w:style>
  <w:style w:type="paragraph" w:customStyle="1" w:styleId="2Charf6">
    <w:name w:val="样式2 Char"/>
    <w:basedOn w:val="af0"/>
    <w:qFormat/>
    <w:pPr>
      <w:widowControl/>
      <w:snapToGrid w:val="0"/>
      <w:ind w:firstLine="567"/>
      <w:jc w:val="both"/>
    </w:pPr>
    <w:rPr>
      <w:rFonts w:ascii="Times New Roman" w:hAnsi="Times New Roman"/>
      <w:snapToGrid w:val="0"/>
      <w:szCs w:val="24"/>
    </w:rPr>
  </w:style>
  <w:style w:type="paragraph" w:customStyle="1" w:styleId="afffffffffffffffffffffffffffffffff7">
    <w:name w:val="样式 图号 + 宋体"/>
    <w:basedOn w:val="affffffb"/>
    <w:qFormat/>
  </w:style>
  <w:style w:type="paragraph" w:customStyle="1" w:styleId="CharCharChar110">
    <w:name w:val="Char Char Char11"/>
    <w:basedOn w:val="a6"/>
    <w:qFormat/>
    <w:rPr>
      <w:sz w:val="30"/>
    </w:rPr>
  </w:style>
  <w:style w:type="paragraph" w:customStyle="1" w:styleId="f14">
    <w:name w:val="f14"/>
    <w:basedOn w:val="a6"/>
    <w:qFormat/>
    <w:pPr>
      <w:widowControl/>
      <w:spacing w:before="100" w:beforeAutospacing="1" w:after="100" w:afterAutospacing="1" w:line="312" w:lineRule="auto"/>
      <w:jc w:val="left"/>
    </w:pPr>
    <w:rPr>
      <w:rFonts w:ascii="宋体" w:hAnsi="宋体" w:cs="宋体"/>
      <w:kern w:val="0"/>
      <w:szCs w:val="21"/>
    </w:rPr>
  </w:style>
  <w:style w:type="paragraph" w:customStyle="1" w:styleId="reader-word-layerreader-word-s39-6reader-word-s39-10">
    <w:name w:val="reader-word-layer reader-word-s39-6 reader-word-s39-10"/>
    <w:basedOn w:val="a6"/>
    <w:qFormat/>
    <w:pPr>
      <w:widowControl/>
      <w:spacing w:before="100" w:beforeAutospacing="1" w:after="100" w:afterAutospacing="1"/>
      <w:jc w:val="left"/>
    </w:pPr>
    <w:rPr>
      <w:rFonts w:ascii="宋体" w:hAnsi="宋体" w:cs="宋体"/>
      <w:color w:val="000000"/>
      <w:w w:val="110"/>
      <w:kern w:val="0"/>
      <w:sz w:val="24"/>
    </w:rPr>
  </w:style>
  <w:style w:type="paragraph" w:customStyle="1" w:styleId="Text0">
    <w:name w:val="Text"/>
    <w:qFormat/>
    <w:pPr>
      <w:spacing w:before="120" w:line="360" w:lineRule="auto"/>
      <w:ind w:left="1100" w:right="567"/>
      <w:jc w:val="both"/>
    </w:pPr>
    <w:rPr>
      <w:rFonts w:ascii="Arial" w:hAnsi="Arial"/>
    </w:rPr>
  </w:style>
  <w:style w:type="paragraph" w:customStyle="1" w:styleId="1ffffff">
    <w:name w:val="文本块1"/>
    <w:basedOn w:val="a6"/>
    <w:qFormat/>
    <w:pPr>
      <w:ind w:left="525" w:right="651"/>
      <w:jc w:val="left"/>
    </w:pPr>
    <w:rPr>
      <w:rFonts w:eastAsia="仿宋_GB2312"/>
      <w:sz w:val="32"/>
      <w:szCs w:val="20"/>
    </w:rPr>
  </w:style>
  <w:style w:type="paragraph" w:customStyle="1" w:styleId="reader-word-layerreader-word-s1-18">
    <w:name w:val="reader-word-layer reader-word-s1-18"/>
    <w:basedOn w:val="a6"/>
    <w:qFormat/>
    <w:pPr>
      <w:widowControl/>
      <w:spacing w:before="100" w:beforeAutospacing="1" w:after="100" w:afterAutospacing="1"/>
      <w:jc w:val="left"/>
    </w:pPr>
    <w:rPr>
      <w:rFonts w:ascii="宋体" w:hAnsi="宋体" w:cs="宋体"/>
      <w:kern w:val="0"/>
      <w:sz w:val="24"/>
    </w:rPr>
  </w:style>
  <w:style w:type="paragraph" w:customStyle="1" w:styleId="reader-word-layerreader-word-s10-8">
    <w:name w:val="reader-word-layer reader-word-s10-8"/>
    <w:basedOn w:val="a6"/>
    <w:qFormat/>
    <w:pPr>
      <w:widowControl/>
      <w:spacing w:before="100" w:beforeAutospacing="1" w:after="100" w:afterAutospacing="1"/>
      <w:jc w:val="left"/>
    </w:pPr>
    <w:rPr>
      <w:rFonts w:ascii="宋体" w:hAnsi="宋体" w:cs="宋体"/>
      <w:color w:val="000000"/>
      <w:w w:val="110"/>
      <w:kern w:val="0"/>
      <w:sz w:val="24"/>
    </w:rPr>
  </w:style>
  <w:style w:type="paragraph" w:customStyle="1" w:styleId="037037">
    <w:name w:val="样式 正文缩进 + 左侧:  0.37 厘米 右侧:  0.37 厘米"/>
    <w:basedOn w:val="a6"/>
    <w:next w:val="a6"/>
    <w:qFormat/>
    <w:pPr>
      <w:autoSpaceDE w:val="0"/>
      <w:autoSpaceDN w:val="0"/>
      <w:adjustRightInd w:val="0"/>
      <w:jc w:val="left"/>
    </w:pPr>
    <w:rPr>
      <w:rFonts w:ascii="黑体" w:eastAsia="黑体" w:hAnsi="Calibri"/>
      <w:color w:val="000000"/>
      <w:w w:val="110"/>
      <w:kern w:val="0"/>
      <w:sz w:val="24"/>
    </w:rPr>
  </w:style>
  <w:style w:type="paragraph" w:customStyle="1" w:styleId="yypGB2312">
    <w:name w:val="样式 yyp + (西文) 宋体 (中文) 楷体_GB2312 四号 加粗"/>
    <w:basedOn w:val="yyp"/>
    <w:qFormat/>
    <w:rPr>
      <w:rFonts w:ascii="宋体" w:eastAsia="楷体_GB2312" w:hAnsi="宋体" w:cs="Times New Roman"/>
      <w:bCs/>
      <w:kern w:val="2"/>
      <w:sz w:val="28"/>
      <w:szCs w:val="24"/>
      <w:lang w:bidi="ar-SA"/>
    </w:rPr>
  </w:style>
  <w:style w:type="paragraph" w:customStyle="1" w:styleId="afffffffffffffffffffffffffffffffff8">
    <w:name w:val="正文（五家渠）"/>
    <w:basedOn w:val="a6"/>
    <w:qFormat/>
    <w:pPr>
      <w:spacing w:line="360" w:lineRule="auto"/>
      <w:ind w:firstLineChars="200" w:firstLine="560"/>
    </w:pPr>
    <w:rPr>
      <w:sz w:val="24"/>
      <w:szCs w:val="20"/>
    </w:rPr>
  </w:style>
  <w:style w:type="paragraph" w:customStyle="1" w:styleId="reader-word-layerreader-word-s4-30">
    <w:name w:val="reader-word-layer reader-word-s4-30"/>
    <w:basedOn w:val="a6"/>
    <w:qFormat/>
    <w:pPr>
      <w:widowControl/>
      <w:spacing w:before="100" w:beforeAutospacing="1" w:after="100" w:afterAutospacing="1"/>
      <w:jc w:val="left"/>
    </w:pPr>
    <w:rPr>
      <w:rFonts w:ascii="宋体" w:hAnsi="宋体" w:cs="宋体"/>
      <w:kern w:val="0"/>
      <w:sz w:val="24"/>
    </w:rPr>
  </w:style>
  <w:style w:type="paragraph" w:customStyle="1" w:styleId="reader-word-layerreader-word-s1-8">
    <w:name w:val="reader-word-layer reader-word-s1-8"/>
    <w:basedOn w:val="a6"/>
    <w:qFormat/>
    <w:pPr>
      <w:widowControl/>
      <w:spacing w:before="100" w:beforeAutospacing="1" w:after="100" w:afterAutospacing="1"/>
      <w:jc w:val="left"/>
    </w:pPr>
    <w:rPr>
      <w:rFonts w:ascii="宋体" w:hAnsi="宋体" w:cs="宋体"/>
      <w:kern w:val="0"/>
      <w:sz w:val="24"/>
    </w:rPr>
  </w:style>
  <w:style w:type="paragraph" w:customStyle="1" w:styleId="3style3h3H3sect1233CharCharsect1231sect12">
    <w:name w:val="样式 标题 3style3h3H3sect1.2.3标题 3 Char Charsect1.2.31sect1.2..."/>
    <w:basedOn w:val="33"/>
    <w:qFormat/>
    <w:pPr>
      <w:adjustRightInd w:val="0"/>
      <w:spacing w:after="120" w:line="413" w:lineRule="auto"/>
      <w:ind w:firstLineChars="200" w:firstLine="200"/>
    </w:pPr>
    <w:rPr>
      <w:rFonts w:eastAsia="宋体" w:cs="宋体"/>
      <w:b/>
      <w:spacing w:val="0"/>
      <w:szCs w:val="20"/>
    </w:rPr>
  </w:style>
  <w:style w:type="paragraph" w:customStyle="1" w:styleId="2fffffe">
    <w:name w:val="样式 标题 2 + 宋体"/>
    <w:basedOn w:val="22"/>
    <w:qFormat/>
    <w:pPr>
      <w:spacing w:afterLines="50"/>
    </w:pPr>
    <w:rPr>
      <w:spacing w:val="0"/>
      <w:w w:val="100"/>
      <w:kern w:val="2"/>
      <w:szCs w:val="32"/>
    </w:rPr>
  </w:style>
  <w:style w:type="paragraph" w:customStyle="1" w:styleId="2510">
    <w:name w:val="样式 表格 + 左  25 字符1"/>
    <w:basedOn w:val="afc"/>
    <w:qFormat/>
    <w:pPr>
      <w:widowControl/>
      <w:spacing w:line="240" w:lineRule="auto"/>
      <w:ind w:firstLineChars="0" w:firstLine="0"/>
      <w:jc w:val="center"/>
    </w:pPr>
    <w:rPr>
      <w:rFonts w:ascii="Times New Roman" w:eastAsia="宋体" w:hAnsi="宋体" w:cs="宋体"/>
      <w:color w:val="auto"/>
      <w:spacing w:val="0"/>
      <w:kern w:val="0"/>
      <w:sz w:val="18"/>
      <w:szCs w:val="20"/>
    </w:rPr>
  </w:style>
  <w:style w:type="paragraph" w:customStyle="1" w:styleId="3fff2">
    <w:name w:val="3级别标题王"/>
    <w:basedOn w:val="a6"/>
    <w:qFormat/>
    <w:pPr>
      <w:keepNext/>
      <w:keepLines/>
      <w:spacing w:line="440" w:lineRule="exact"/>
      <w:jc w:val="left"/>
    </w:pPr>
    <w:rPr>
      <w:b/>
      <w:kern w:val="0"/>
      <w:sz w:val="24"/>
    </w:rPr>
  </w:style>
  <w:style w:type="paragraph" w:customStyle="1" w:styleId="3fff3">
    <w:name w:val="页脚3"/>
    <w:basedOn w:val="4fd"/>
    <w:qFormat/>
    <w:pPr>
      <w:tabs>
        <w:tab w:val="center" w:pos="4153"/>
        <w:tab w:val="right" w:pos="8306"/>
      </w:tabs>
      <w:spacing w:line="240" w:lineRule="atLeast"/>
    </w:pPr>
    <w:rPr>
      <w:sz w:val="18"/>
    </w:rPr>
  </w:style>
  <w:style w:type="paragraph" w:customStyle="1" w:styleId="201">
    <w:name w:val="样式 行距: 最小值 20 磅"/>
    <w:basedOn w:val="a6"/>
    <w:next w:val="af8"/>
    <w:qFormat/>
    <w:pPr>
      <w:adjustRightInd w:val="0"/>
      <w:spacing w:line="400" w:lineRule="atLeast"/>
      <w:ind w:firstLineChars="200" w:firstLine="200"/>
      <w:jc w:val="left"/>
      <w:textAlignment w:val="baseline"/>
    </w:pPr>
    <w:rPr>
      <w:rFonts w:eastAsia="汉鼎简书宋"/>
      <w:kern w:val="0"/>
      <w:sz w:val="24"/>
    </w:rPr>
  </w:style>
  <w:style w:type="paragraph" w:customStyle="1" w:styleId="afffffffffffffffffffffffffffffffff9">
    <w:name w:val="表（左对齐）"/>
    <w:basedOn w:val="a6"/>
    <w:qFormat/>
    <w:pPr>
      <w:ind w:leftChars="-20" w:left="-20" w:hangingChars="20" w:hanging="42"/>
      <w:jc w:val="center"/>
    </w:pPr>
  </w:style>
  <w:style w:type="paragraph" w:customStyle="1" w:styleId="font6">
    <w:name w:val="font6"/>
    <w:basedOn w:val="a6"/>
    <w:qFormat/>
    <w:pPr>
      <w:widowControl/>
      <w:spacing w:before="100" w:beforeAutospacing="1" w:after="100" w:afterAutospacing="1"/>
      <w:jc w:val="left"/>
    </w:pPr>
    <w:rPr>
      <w:rFonts w:ascii="宋体" w:hAnsi="宋体" w:hint="eastAsia"/>
      <w:b/>
      <w:bCs/>
      <w:kern w:val="0"/>
      <w:sz w:val="24"/>
    </w:rPr>
  </w:style>
  <w:style w:type="paragraph" w:customStyle="1" w:styleId="CharCharChar1CharCharChar1">
    <w:name w:val="Char Char Char1 Char Char Char1"/>
    <w:basedOn w:val="a6"/>
    <w:qFormat/>
    <w:rPr>
      <w:szCs w:val="21"/>
    </w:rPr>
  </w:style>
  <w:style w:type="paragraph" w:customStyle="1" w:styleId="CharCharCharCharCharCharCharCharCharCharCharChar">
    <w:name w:val="Char Char Char Char Char Char Char Char Char Char Char Char"/>
    <w:basedOn w:val="a6"/>
    <w:next w:val="a6"/>
    <w:qFormat/>
    <w:pPr>
      <w:spacing w:line="360" w:lineRule="auto"/>
      <w:ind w:firstLineChars="200" w:firstLine="200"/>
    </w:pPr>
    <w:rPr>
      <w:rFonts w:ascii="宋体" w:hAnsi="宋体" w:cs="宋体"/>
      <w:sz w:val="24"/>
    </w:rPr>
  </w:style>
  <w:style w:type="paragraph" w:customStyle="1" w:styleId="3fff4">
    <w:name w:val="标题样式3"/>
    <w:basedOn w:val="33"/>
    <w:qFormat/>
    <w:pPr>
      <w:keepNext w:val="0"/>
      <w:keepLines w:val="0"/>
      <w:adjustRightInd w:val="0"/>
      <w:spacing w:beforeLines="50" w:afterLines="50" w:line="400" w:lineRule="atLeast"/>
      <w:ind w:firstLine="510"/>
    </w:pPr>
    <w:rPr>
      <w:rFonts w:hAnsi="黑体"/>
      <w:bCs/>
      <w:snapToGrid w:val="0"/>
      <w:spacing w:val="0"/>
      <w:szCs w:val="20"/>
    </w:rPr>
  </w:style>
  <w:style w:type="paragraph" w:customStyle="1" w:styleId="CharCharChar1Char5">
    <w:name w:val="Char Char Char1 Char5"/>
    <w:basedOn w:val="a6"/>
    <w:qFormat/>
    <w:rPr>
      <w:szCs w:val="20"/>
    </w:rPr>
  </w:style>
  <w:style w:type="paragraph" w:customStyle="1" w:styleId="afffffffffffffffffffffffffffffffffa">
    <w:name w:val="表内字一"/>
    <w:basedOn w:val="affffffff9"/>
    <w:qFormat/>
    <w:pPr>
      <w:widowControl w:val="0"/>
      <w:spacing w:before="80" w:after="80" w:line="280" w:lineRule="atLeast"/>
      <w:jc w:val="both"/>
    </w:pPr>
    <w:rPr>
      <w:color w:val="FF0000"/>
      <w:kern w:val="2"/>
    </w:rPr>
  </w:style>
  <w:style w:type="paragraph" w:customStyle="1" w:styleId="3111BSH-3W3GB2312">
    <w:name w:val="样式 标题 3条标题1.1.1条标题BSH-3W3 + 仿宋_GB2312 非加粗"/>
    <w:basedOn w:val="33"/>
    <w:qFormat/>
    <w:pPr>
      <w:keepNext w:val="0"/>
      <w:tabs>
        <w:tab w:val="left" w:pos="578"/>
      </w:tabs>
      <w:adjustRightInd w:val="0"/>
      <w:snapToGrid w:val="0"/>
      <w:spacing w:beforeLines="50" w:afterLines="50" w:line="360" w:lineRule="auto"/>
    </w:pPr>
    <w:rPr>
      <w:rFonts w:ascii="仿宋_GB2312" w:eastAsia="仿宋_GB2312" w:hAnsi="仿宋_GB2312" w:cs="Arial Unicode MS"/>
      <w:b/>
      <w:bCs/>
      <w:spacing w:val="0"/>
      <w:szCs w:val="32"/>
    </w:rPr>
  </w:style>
  <w:style w:type="paragraph" w:customStyle="1" w:styleId="CM10">
    <w:name w:val="CM10"/>
    <w:basedOn w:val="Default"/>
    <w:next w:val="Default"/>
    <w:qFormat/>
    <w:pPr>
      <w:spacing w:line="436" w:lineRule="atLeast"/>
    </w:pPr>
    <w:rPr>
      <w:rFonts w:eastAsia="Times New Roman"/>
      <w:color w:val="auto"/>
      <w:sz w:val="20"/>
    </w:rPr>
  </w:style>
  <w:style w:type="paragraph" w:customStyle="1" w:styleId="afffffffffffffffffffffffffffffffffb">
    <w:name w:val="依据文字"/>
    <w:basedOn w:val="2b"/>
    <w:qFormat/>
    <w:pPr>
      <w:tabs>
        <w:tab w:val="left" w:pos="420"/>
        <w:tab w:val="left" w:pos="870"/>
        <w:tab w:val="left" w:pos="3150"/>
      </w:tabs>
      <w:autoSpaceDE w:val="0"/>
      <w:autoSpaceDN w:val="0"/>
      <w:adjustRightInd w:val="0"/>
      <w:spacing w:before="60" w:after="0" w:line="336" w:lineRule="auto"/>
      <w:ind w:leftChars="0" w:left="0" w:firstLineChars="0" w:firstLine="527"/>
      <w:textAlignment w:val="baseline"/>
    </w:pPr>
    <w:rPr>
      <w:color w:val="000000"/>
      <w:w w:val="110"/>
      <w:kern w:val="0"/>
      <w:sz w:val="24"/>
      <w:szCs w:val="20"/>
    </w:rPr>
  </w:style>
  <w:style w:type="paragraph" w:customStyle="1" w:styleId="2ffffff">
    <w:name w:val="样式 表头 + 首行缩进:  2 字符"/>
    <w:basedOn w:val="a6"/>
    <w:qFormat/>
    <w:pPr>
      <w:keepNext/>
      <w:tabs>
        <w:tab w:val="left" w:pos="3319"/>
        <w:tab w:val="left" w:pos="3600"/>
      </w:tabs>
      <w:jc w:val="center"/>
    </w:pPr>
    <w:rPr>
      <w:rFonts w:eastAsia="仿宋_GB2312"/>
      <w:b/>
      <w:bCs/>
      <w:color w:val="000000"/>
      <w:w w:val="110"/>
      <w:kern w:val="0"/>
      <w:sz w:val="24"/>
      <w:szCs w:val="20"/>
    </w:rPr>
  </w:style>
  <w:style w:type="paragraph" w:customStyle="1" w:styleId="content0">
    <w:name w:val="content"/>
    <w:basedOn w:val="a6"/>
    <w:qFormat/>
    <w:pPr>
      <w:widowControl/>
      <w:spacing w:before="100" w:beforeAutospacing="1" w:after="100" w:afterAutospacing="1"/>
      <w:jc w:val="left"/>
    </w:pPr>
    <w:rPr>
      <w:rFonts w:ascii="宋体" w:hAnsi="宋体" w:cs="宋体"/>
      <w:color w:val="000000"/>
      <w:w w:val="110"/>
      <w:kern w:val="0"/>
      <w:sz w:val="22"/>
      <w:szCs w:val="22"/>
    </w:rPr>
  </w:style>
  <w:style w:type="paragraph" w:customStyle="1" w:styleId="12095">
    <w:name w:val="样式 样式 标题 1 + 首行缩进:  2 字符 + 首行缩进:  0.95 厘米"/>
    <w:basedOn w:val="129"/>
    <w:qFormat/>
    <w:pPr>
      <w:keepNext/>
      <w:keepLines/>
      <w:tabs>
        <w:tab w:val="clear" w:pos="1152"/>
        <w:tab w:val="left" w:pos="2629"/>
      </w:tabs>
      <w:snapToGrid w:val="0"/>
      <w:spacing w:beforeLines="0" w:afterLines="0" w:line="300" w:lineRule="auto"/>
      <w:jc w:val="both"/>
    </w:pPr>
    <w:rPr>
      <w:rFonts w:hAnsi="Times New Roman" w:cs="宋体"/>
      <w:bCs/>
      <w:spacing w:val="-6"/>
      <w:kern w:val="44"/>
      <w:sz w:val="32"/>
      <w:szCs w:val="20"/>
    </w:rPr>
  </w:style>
  <w:style w:type="paragraph" w:customStyle="1" w:styleId="CM5">
    <w:name w:val="CM5"/>
    <w:basedOn w:val="Default"/>
    <w:next w:val="Default"/>
    <w:qFormat/>
    <w:pPr>
      <w:spacing w:line="626" w:lineRule="atLeast"/>
    </w:pPr>
    <w:rPr>
      <w:rFonts w:ascii="黑体" w:eastAsia="黑体"/>
      <w:color w:val="auto"/>
    </w:rPr>
  </w:style>
  <w:style w:type="paragraph" w:customStyle="1" w:styleId="CM92">
    <w:name w:val="CM92"/>
    <w:basedOn w:val="Default"/>
    <w:next w:val="Default"/>
    <w:qFormat/>
    <w:pPr>
      <w:spacing w:after="140"/>
    </w:pPr>
    <w:rPr>
      <w:rFonts w:ascii="黑体" w:eastAsia="黑体"/>
      <w:color w:val="auto"/>
    </w:rPr>
  </w:style>
  <w:style w:type="paragraph" w:customStyle="1" w:styleId="CharCharChar1CharCharCharCharCharCharChar6">
    <w:name w:val="Char Char Char1 Char Char Char Char Char Char Char6"/>
    <w:basedOn w:val="a6"/>
    <w:qFormat/>
    <w:rPr>
      <w:kern w:val="0"/>
      <w:sz w:val="24"/>
      <w:szCs w:val="20"/>
    </w:rPr>
  </w:style>
  <w:style w:type="paragraph" w:customStyle="1" w:styleId="5ff3">
    <w:name w:val="正文5"/>
    <w:qFormat/>
    <w:pPr>
      <w:widowControl w:val="0"/>
      <w:adjustRightInd w:val="0"/>
      <w:spacing w:line="312" w:lineRule="atLeast"/>
      <w:jc w:val="both"/>
      <w:textAlignment w:val="baseline"/>
    </w:pPr>
    <w:rPr>
      <w:rFonts w:ascii="宋体"/>
      <w:sz w:val="34"/>
    </w:rPr>
  </w:style>
  <w:style w:type="paragraph" w:customStyle="1" w:styleId="2ffffff0">
    <w:name w:val="环标2"/>
    <w:basedOn w:val="22"/>
    <w:next w:val="3ff9"/>
    <w:qFormat/>
    <w:pPr>
      <w:tabs>
        <w:tab w:val="left" w:pos="1070"/>
      </w:tabs>
      <w:spacing w:before="260" w:after="260" w:line="415" w:lineRule="auto"/>
      <w:ind w:leftChars="400" w:left="1070" w:hangingChars="200" w:hanging="360"/>
    </w:pPr>
    <w:rPr>
      <w:rFonts w:ascii="Cambria" w:hAnsi="Cambria"/>
      <w:spacing w:val="0"/>
      <w:w w:val="100"/>
      <w:kern w:val="2"/>
      <w:szCs w:val="32"/>
    </w:rPr>
  </w:style>
  <w:style w:type="paragraph" w:customStyle="1" w:styleId="afffffffffffffffffffffffffffffffffc">
    <w:name w:val="项目编号"/>
    <w:basedOn w:val="a6"/>
    <w:next w:val="a6"/>
    <w:qFormat/>
    <w:pPr>
      <w:spacing w:before="120" w:after="120" w:line="360" w:lineRule="auto"/>
    </w:pPr>
    <w:rPr>
      <w:sz w:val="24"/>
      <w:szCs w:val="20"/>
    </w:rPr>
  </w:style>
  <w:style w:type="paragraph" w:customStyle="1" w:styleId="afffffffffffffffffffffffffffffffffd">
    <w:name w:val="章章"/>
    <w:basedOn w:val="12"/>
    <w:qFormat/>
    <w:pPr>
      <w:keepNext w:val="0"/>
      <w:keepLines w:val="0"/>
      <w:widowControl/>
      <w:tabs>
        <w:tab w:val="left" w:pos="2629"/>
      </w:tabs>
      <w:spacing w:before="0" w:after="0" w:line="240" w:lineRule="auto"/>
      <w:jc w:val="center"/>
      <w:outlineLvl w:val="9"/>
    </w:pPr>
    <w:rPr>
      <w:rFonts w:ascii="宋体" w:hAnsi="宋体" w:cs="宋体"/>
      <w:b w:val="0"/>
      <w:bCs w:val="0"/>
      <w:kern w:val="2"/>
      <w:sz w:val="28"/>
      <w:szCs w:val="20"/>
    </w:rPr>
  </w:style>
  <w:style w:type="paragraph" w:customStyle="1" w:styleId="afffffffffffffffffffffffffffffffffe">
    <w:name w:val="正文一"/>
    <w:basedOn w:val="a6"/>
    <w:qFormat/>
    <w:pPr>
      <w:widowControl/>
      <w:adjustRightInd w:val="0"/>
      <w:snapToGrid w:val="0"/>
      <w:spacing w:line="480" w:lineRule="atLeast"/>
    </w:pPr>
    <w:rPr>
      <w:rFonts w:ascii="宋体" w:cs="宋体"/>
      <w:spacing w:val="6"/>
      <w:kern w:val="0"/>
      <w:sz w:val="24"/>
    </w:rPr>
  </w:style>
  <w:style w:type="paragraph" w:customStyle="1" w:styleId="xl194">
    <w:name w:val="xl194"/>
    <w:basedOn w:val="a6"/>
    <w:qFormat/>
    <w:pPr>
      <w:widowControl/>
      <w:pBdr>
        <w:top w:val="single" w:sz="4" w:space="0" w:color="auto"/>
        <w:left w:val="single" w:sz="8" w:space="0" w:color="auto"/>
        <w:bottom w:val="single" w:sz="4" w:space="0" w:color="auto"/>
      </w:pBdr>
      <w:spacing w:before="100" w:beforeAutospacing="1" w:after="100" w:afterAutospacing="1"/>
      <w:jc w:val="left"/>
      <w:textAlignment w:val="center"/>
    </w:pPr>
    <w:rPr>
      <w:rFonts w:ascii="宋体" w:hAnsi="宋体" w:cs="宋体"/>
      <w:color w:val="000000"/>
      <w:kern w:val="0"/>
      <w:sz w:val="24"/>
    </w:rPr>
  </w:style>
  <w:style w:type="paragraph" w:customStyle="1" w:styleId="2121">
    <w:name w:val="样式 正文缩进首行缩进文本条款特点表正文2正文非缩进1正文（首行缩进两字）2正文非缩进"/>
    <w:basedOn w:val="af0"/>
    <w:qFormat/>
    <w:pPr>
      <w:widowControl/>
      <w:adjustRightInd/>
      <w:snapToGrid w:val="0"/>
      <w:spacing w:line="440" w:lineRule="exact"/>
      <w:ind w:firstLine="540"/>
      <w:jc w:val="both"/>
      <w:textAlignment w:val="auto"/>
    </w:pPr>
    <w:rPr>
      <w:rFonts w:cs="宋体"/>
      <w:szCs w:val="20"/>
    </w:rPr>
  </w:style>
  <w:style w:type="paragraph" w:customStyle="1" w:styleId="Web4">
    <w:name w:val="普通(Web)4"/>
    <w:basedOn w:val="a6"/>
    <w:qFormat/>
    <w:pPr>
      <w:widowControl/>
      <w:spacing w:before="120" w:line="432" w:lineRule="auto"/>
      <w:ind w:firstLine="360"/>
      <w:jc w:val="left"/>
    </w:pPr>
    <w:rPr>
      <w:rFonts w:ascii="宋体" w:hAnsi="宋体" w:cs="宋体"/>
      <w:color w:val="000000"/>
      <w:w w:val="110"/>
      <w:kern w:val="0"/>
      <w:sz w:val="24"/>
    </w:rPr>
  </w:style>
  <w:style w:type="paragraph" w:customStyle="1" w:styleId="affffffffffffffffffffffffffffffffff">
    <w:name w:val="样式 正文缩进 + 行距: 单倍行距"/>
    <w:basedOn w:val="af0"/>
    <w:qFormat/>
    <w:pPr>
      <w:snapToGrid w:val="0"/>
      <w:spacing w:line="440" w:lineRule="exact"/>
      <w:ind w:firstLine="0"/>
      <w:jc w:val="both"/>
      <w:textAlignment w:val="auto"/>
    </w:pPr>
    <w:rPr>
      <w:rFonts w:ascii="Times New Roman" w:eastAsia="仿宋_GB2312" w:hAnsi="Times New Roman"/>
      <w:kern w:val="2"/>
      <w:sz w:val="28"/>
      <w:szCs w:val="20"/>
    </w:rPr>
  </w:style>
  <w:style w:type="paragraph" w:customStyle="1" w:styleId="xl198">
    <w:name w:val="xl198"/>
    <w:basedOn w:val="a6"/>
    <w:qFormat/>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cs="宋体"/>
      <w:color w:val="000000"/>
      <w:kern w:val="0"/>
      <w:sz w:val="24"/>
    </w:rPr>
  </w:style>
  <w:style w:type="paragraph" w:customStyle="1" w:styleId="xl200">
    <w:name w:val="xl200"/>
    <w:basedOn w:val="a6"/>
    <w:qFormat/>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cs="宋体"/>
      <w:color w:val="000000"/>
      <w:kern w:val="0"/>
      <w:sz w:val="24"/>
    </w:rPr>
  </w:style>
  <w:style w:type="paragraph" w:customStyle="1" w:styleId="CM89">
    <w:name w:val="CM89"/>
    <w:basedOn w:val="Default"/>
    <w:next w:val="Default"/>
    <w:qFormat/>
    <w:pPr>
      <w:spacing w:after="113"/>
    </w:pPr>
    <w:rPr>
      <w:rFonts w:eastAsia="Times New Roman"/>
      <w:color w:val="auto"/>
      <w:sz w:val="20"/>
    </w:rPr>
  </w:style>
  <w:style w:type="paragraph" w:customStyle="1" w:styleId="xl26">
    <w:name w:val="xl26"/>
    <w:basedOn w:val="a6"/>
    <w:qFormat/>
    <w:pPr>
      <w:widowControl/>
      <w:pBdr>
        <w:top w:val="single" w:sz="4" w:space="0" w:color="auto"/>
        <w:left w:val="single" w:sz="4" w:space="0" w:color="auto"/>
        <w:bottom w:val="single" w:sz="4" w:space="0" w:color="auto"/>
      </w:pBdr>
      <w:spacing w:before="100" w:after="100"/>
      <w:jc w:val="center"/>
      <w:textAlignment w:val="center"/>
    </w:pPr>
    <w:rPr>
      <w:rFonts w:ascii="宋体" w:hAnsi="宋体"/>
      <w:kern w:val="0"/>
      <w:szCs w:val="20"/>
    </w:rPr>
  </w:style>
  <w:style w:type="paragraph" w:customStyle="1" w:styleId="CharCharCharChar40">
    <w:name w:val="Char Char Char Char4"/>
    <w:basedOn w:val="a6"/>
    <w:qFormat/>
    <w:pPr>
      <w:widowControl/>
      <w:spacing w:after="160" w:line="240" w:lineRule="exact"/>
      <w:jc w:val="left"/>
    </w:pPr>
    <w:rPr>
      <w:rFonts w:ascii="Verdana" w:hAnsi="Verdana"/>
      <w:kern w:val="0"/>
      <w:sz w:val="20"/>
      <w:szCs w:val="20"/>
      <w:lang w:eastAsia="en-US"/>
    </w:rPr>
  </w:style>
  <w:style w:type="paragraph" w:customStyle="1" w:styleId="affffffffffffffffffffffffffffffffff0">
    <w:name w:val="表格(新)"/>
    <w:basedOn w:val="a6"/>
    <w:qFormat/>
    <w:pPr>
      <w:spacing w:line="240" w:lineRule="atLeast"/>
      <w:jc w:val="center"/>
    </w:pPr>
    <w:rPr>
      <w:rFonts w:ascii="Arial Narrow" w:hAnsi="Arial Narrow"/>
      <w:kern w:val="24"/>
      <w:szCs w:val="21"/>
    </w:rPr>
  </w:style>
  <w:style w:type="paragraph" w:customStyle="1" w:styleId="CharCharCharCharCharCharCharCharCharCharCharCharCharCharCharChar3">
    <w:name w:val="Char Char Char Char Char Char Char Char Char Char Char Char Char Char Char Char3"/>
    <w:basedOn w:val="a6"/>
    <w:qFormat/>
    <w:rPr>
      <w:szCs w:val="21"/>
    </w:rPr>
  </w:style>
  <w:style w:type="paragraph" w:customStyle="1" w:styleId="affffffffffffffffffffffffffffffffff1">
    <w:name w:val="图片居中"/>
    <w:basedOn w:val="affffa"/>
    <w:next w:val="affffa"/>
    <w:qFormat/>
    <w:pPr>
      <w:spacing w:line="240" w:lineRule="auto"/>
      <w:ind w:firstLine="0"/>
      <w:jc w:val="center"/>
    </w:pPr>
    <w:rPr>
      <w:sz w:val="21"/>
    </w:rPr>
  </w:style>
  <w:style w:type="paragraph" w:customStyle="1" w:styleId="xl235">
    <w:name w:val="xl235"/>
    <w:basedOn w:val="a6"/>
    <w:qFormat/>
    <w:pPr>
      <w:widowControl/>
      <w:pBdr>
        <w:left w:val="single" w:sz="4" w:space="0" w:color="auto"/>
        <w:bottom w:val="single" w:sz="4" w:space="0" w:color="auto"/>
      </w:pBdr>
      <w:spacing w:before="100" w:beforeAutospacing="1" w:after="100" w:afterAutospacing="1"/>
      <w:jc w:val="center"/>
    </w:pPr>
    <w:rPr>
      <w:rFonts w:ascii="宋体" w:hAnsi="宋体" w:cs="宋体"/>
      <w:kern w:val="0"/>
      <w:sz w:val="24"/>
    </w:rPr>
  </w:style>
  <w:style w:type="paragraph" w:customStyle="1" w:styleId="CM19">
    <w:name w:val="CM19"/>
    <w:basedOn w:val="Default"/>
    <w:next w:val="Default"/>
    <w:qFormat/>
    <w:pPr>
      <w:spacing w:line="546" w:lineRule="atLeast"/>
    </w:pPr>
    <w:rPr>
      <w:rFonts w:ascii="黑体" w:eastAsia="黑体"/>
      <w:color w:val="auto"/>
    </w:rPr>
  </w:style>
  <w:style w:type="paragraph" w:customStyle="1" w:styleId="xl221">
    <w:name w:val="xl221"/>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4"/>
    </w:rPr>
  </w:style>
  <w:style w:type="paragraph" w:customStyle="1" w:styleId="xl61">
    <w:name w:val="xl61"/>
    <w:basedOn w:val="a6"/>
    <w:qFormat/>
    <w:pPr>
      <w:widowControl/>
      <w:pBdr>
        <w:top w:val="single" w:sz="4" w:space="0" w:color="auto"/>
        <w:left w:val="single" w:sz="8" w:space="0" w:color="auto"/>
        <w:right w:val="single" w:sz="4" w:space="0" w:color="auto"/>
      </w:pBdr>
      <w:spacing w:before="100" w:beforeAutospacing="1" w:after="100" w:afterAutospacing="1"/>
      <w:jc w:val="center"/>
      <w:textAlignment w:val="center"/>
    </w:pPr>
    <w:rPr>
      <w:rFonts w:ascii="宋体" w:eastAsia="Arial Unicode MS"/>
      <w:kern w:val="0"/>
      <w:sz w:val="20"/>
      <w:szCs w:val="20"/>
    </w:rPr>
  </w:style>
  <w:style w:type="paragraph" w:customStyle="1" w:styleId="3fff5">
    <w:name w:val="样式 首行缩进:  3 字符"/>
    <w:basedOn w:val="a6"/>
    <w:qFormat/>
    <w:pPr>
      <w:ind w:firstLineChars="300" w:firstLine="720"/>
    </w:pPr>
    <w:rPr>
      <w:rFonts w:cs="宋体"/>
      <w:sz w:val="24"/>
      <w:szCs w:val="20"/>
    </w:rPr>
  </w:style>
  <w:style w:type="paragraph" w:customStyle="1" w:styleId="NewNew0">
    <w:name w:val="正文 New New"/>
    <w:qFormat/>
    <w:pPr>
      <w:widowControl w:val="0"/>
      <w:jc w:val="both"/>
    </w:pPr>
    <w:rPr>
      <w:kern w:val="2"/>
      <w:sz w:val="21"/>
      <w:szCs w:val="21"/>
    </w:rPr>
  </w:style>
  <w:style w:type="paragraph" w:customStyle="1" w:styleId="30505">
    <w:name w:val="样式 3级 + 段前: 0.5 行 段后: 0.5 行"/>
    <w:basedOn w:val="3ffc"/>
    <w:qFormat/>
    <w:pPr>
      <w:spacing w:beforeLines="0" w:afterLines="0"/>
    </w:pPr>
  </w:style>
  <w:style w:type="paragraph" w:customStyle="1" w:styleId="pa-3">
    <w:name w:val="pa-3"/>
    <w:basedOn w:val="a6"/>
    <w:qFormat/>
    <w:pPr>
      <w:widowControl/>
      <w:spacing w:line="280" w:lineRule="atLeast"/>
      <w:ind w:firstLine="420"/>
    </w:pPr>
    <w:rPr>
      <w:rFonts w:ascii="宋体" w:hAnsi="宋体" w:cs="宋体"/>
      <w:kern w:val="0"/>
      <w:sz w:val="24"/>
    </w:rPr>
  </w:style>
  <w:style w:type="paragraph" w:customStyle="1" w:styleId="CM3">
    <w:name w:val="CM3"/>
    <w:basedOn w:val="Default"/>
    <w:next w:val="Default"/>
    <w:uiPriority w:val="99"/>
    <w:qFormat/>
    <w:pPr>
      <w:spacing w:line="626" w:lineRule="atLeast"/>
    </w:pPr>
    <w:rPr>
      <w:rFonts w:ascii="黑体" w:eastAsia="黑体"/>
      <w:color w:val="auto"/>
    </w:rPr>
  </w:style>
  <w:style w:type="paragraph" w:customStyle="1" w:styleId="CM20">
    <w:name w:val="CM20"/>
    <w:basedOn w:val="Default"/>
    <w:next w:val="Default"/>
    <w:qFormat/>
    <w:pPr>
      <w:spacing w:line="436" w:lineRule="atLeast"/>
    </w:pPr>
    <w:rPr>
      <w:rFonts w:eastAsia="Times New Roman"/>
      <w:color w:val="auto"/>
      <w:sz w:val="20"/>
    </w:rPr>
  </w:style>
  <w:style w:type="paragraph" w:customStyle="1" w:styleId="422222">
    <w:name w:val="样式 样式 样式 标题4 + 加粗 首行缩进:  2.2 字符 + 首行缩进:  2.2 字符 + 首行缩进:  2 字符"/>
    <w:basedOn w:val="a6"/>
    <w:qFormat/>
    <w:pPr>
      <w:adjustRightInd w:val="0"/>
      <w:snapToGrid w:val="0"/>
      <w:spacing w:beforeLines="50" w:line="360" w:lineRule="auto"/>
      <w:ind w:firstLineChars="200" w:firstLine="200"/>
    </w:pPr>
    <w:rPr>
      <w:rFonts w:eastAsia="黑体" w:cs="宋体"/>
      <w:b/>
      <w:bCs/>
      <w:snapToGrid w:val="0"/>
      <w:kern w:val="0"/>
      <w:sz w:val="24"/>
      <w:szCs w:val="20"/>
    </w:rPr>
  </w:style>
  <w:style w:type="paragraph" w:customStyle="1" w:styleId="CharCharChar1Char6">
    <w:name w:val="Char Char Char1 Char6"/>
    <w:basedOn w:val="a6"/>
    <w:qFormat/>
    <w:rPr>
      <w:rFonts w:ascii="宋体"/>
      <w:kern w:val="0"/>
      <w:sz w:val="24"/>
      <w:szCs w:val="20"/>
    </w:rPr>
  </w:style>
  <w:style w:type="paragraph" w:customStyle="1" w:styleId="2ffffff1">
    <w:name w:val="正文文本2"/>
    <w:basedOn w:val="a6"/>
    <w:qFormat/>
    <w:pPr>
      <w:autoSpaceDE w:val="0"/>
      <w:autoSpaceDN w:val="0"/>
      <w:adjustRightInd w:val="0"/>
      <w:snapToGrid w:val="0"/>
      <w:spacing w:line="360" w:lineRule="auto"/>
      <w:ind w:firstLineChars="200" w:firstLine="480"/>
    </w:pPr>
    <w:rPr>
      <w:rFonts w:ascii="宋体"/>
      <w:sz w:val="24"/>
      <w:szCs w:val="20"/>
    </w:rPr>
  </w:style>
  <w:style w:type="paragraph" w:customStyle="1" w:styleId="affffffffffffffffffffffffffffffffff2">
    <w:name w:val="标题符"/>
    <w:basedOn w:val="a6"/>
    <w:qFormat/>
    <w:pPr>
      <w:tabs>
        <w:tab w:val="left" w:pos="360"/>
      </w:tabs>
      <w:overflowPunct w:val="0"/>
      <w:snapToGrid w:val="0"/>
      <w:spacing w:line="480" w:lineRule="exact"/>
      <w:ind w:firstLineChars="200" w:firstLine="560"/>
    </w:pPr>
    <w:rPr>
      <w:rFonts w:ascii="Arial" w:eastAsia="仿宋_GB2312" w:hAnsi="Arial"/>
      <w:sz w:val="28"/>
      <w:szCs w:val="20"/>
    </w:rPr>
  </w:style>
  <w:style w:type="paragraph" w:customStyle="1" w:styleId="12d">
    <w:name w:val="样式 样式1 + 宋体 首行缩进:  2 字符"/>
    <w:basedOn w:val="a6"/>
    <w:qFormat/>
    <w:pPr>
      <w:spacing w:line="180" w:lineRule="atLeast"/>
      <w:ind w:firstLineChars="200" w:firstLine="520"/>
    </w:pPr>
    <w:rPr>
      <w:rFonts w:ascii="宋体" w:hAnsi="宋体"/>
      <w:sz w:val="28"/>
      <w:szCs w:val="28"/>
    </w:rPr>
  </w:style>
  <w:style w:type="paragraph" w:customStyle="1" w:styleId="354">
    <w:name w:val="正文文本缩进 35"/>
    <w:basedOn w:val="a6"/>
    <w:qFormat/>
    <w:pPr>
      <w:tabs>
        <w:tab w:val="left" w:pos="0"/>
      </w:tabs>
      <w:adjustRightInd w:val="0"/>
      <w:spacing w:line="396" w:lineRule="atLeast"/>
      <w:ind w:firstLine="560"/>
      <w:jc w:val="left"/>
      <w:textAlignment w:val="baseline"/>
    </w:pPr>
    <w:rPr>
      <w:rFonts w:ascii="宋体"/>
      <w:kern w:val="0"/>
      <w:sz w:val="24"/>
      <w:szCs w:val="20"/>
    </w:rPr>
  </w:style>
  <w:style w:type="paragraph" w:customStyle="1" w:styleId="CharCharCharCharCharCharCharCharCharCharCharCharCharCharCharChar5">
    <w:name w:val="Char Char Char Char Char Char Char Char Char Char Char Char Char Char Char Char5"/>
    <w:basedOn w:val="a6"/>
    <w:qFormat/>
    <w:rPr>
      <w:szCs w:val="21"/>
    </w:rPr>
  </w:style>
  <w:style w:type="paragraph" w:customStyle="1" w:styleId="reader-word-layer">
    <w:name w:val="reader-word-layer"/>
    <w:basedOn w:val="a6"/>
    <w:qFormat/>
    <w:pPr>
      <w:widowControl/>
      <w:spacing w:before="100" w:beforeAutospacing="1" w:after="100" w:afterAutospacing="1"/>
      <w:jc w:val="left"/>
    </w:pPr>
    <w:rPr>
      <w:rFonts w:ascii="宋体" w:hAnsi="宋体" w:cs="宋体"/>
      <w:kern w:val="0"/>
      <w:sz w:val="24"/>
    </w:rPr>
  </w:style>
  <w:style w:type="paragraph" w:customStyle="1" w:styleId="CharCharCharCharCharChar21">
    <w:name w:val="Char Char Char Char Char Char2"/>
    <w:basedOn w:val="a6"/>
    <w:qFormat/>
    <w:rPr>
      <w:color w:val="000000"/>
      <w:w w:val="110"/>
      <w:kern w:val="0"/>
      <w:sz w:val="24"/>
    </w:rPr>
  </w:style>
  <w:style w:type="paragraph" w:customStyle="1" w:styleId="Retrait1">
    <w:name w:val="Retrait1"/>
    <w:basedOn w:val="a6"/>
    <w:qFormat/>
    <w:pPr>
      <w:widowControl/>
      <w:ind w:left="357"/>
      <w:jc w:val="left"/>
    </w:pPr>
    <w:rPr>
      <w:rFonts w:ascii="Arial" w:eastAsia="Times New Roman" w:hAnsi="Arial"/>
      <w:kern w:val="0"/>
      <w:sz w:val="24"/>
      <w:szCs w:val="20"/>
      <w:lang w:val="fr-FR" w:eastAsia="en-US"/>
    </w:rPr>
  </w:style>
  <w:style w:type="paragraph" w:customStyle="1" w:styleId="CharCharffffff2">
    <w:name w:val="样式 图号 + 宋体 Char Char"/>
    <w:basedOn w:val="affffffb"/>
    <w:qFormat/>
  </w:style>
  <w:style w:type="paragraph" w:customStyle="1" w:styleId="CharCharCharCharCharCharCharCharCharCharCharCharCharCharCharCharCharChar1">
    <w:name w:val="Char Char Char Char Char Char Char Char Char Char Char Char Char Char Char Char Char Char1"/>
    <w:basedOn w:val="a6"/>
    <w:qFormat/>
    <w:pPr>
      <w:widowControl/>
      <w:jc w:val="left"/>
    </w:pPr>
    <w:rPr>
      <w:rFonts w:cs="宋体"/>
      <w:kern w:val="0"/>
      <w:sz w:val="24"/>
    </w:rPr>
  </w:style>
  <w:style w:type="paragraph" w:customStyle="1" w:styleId="CharCharChar1CharCharChar1CharCharChar1CharCharCharChar1">
    <w:name w:val="Char Char Char1 Char Char Char1 Char Char Char1 Char Char Char Char1"/>
    <w:basedOn w:val="a6"/>
    <w:qFormat/>
    <w:pPr>
      <w:widowControl/>
      <w:spacing w:line="240" w:lineRule="exact"/>
      <w:ind w:firstLineChars="200" w:firstLine="200"/>
      <w:jc w:val="left"/>
    </w:pPr>
    <w:rPr>
      <w:rFonts w:cs="宋体"/>
      <w:kern w:val="0"/>
      <w:sz w:val="28"/>
      <w:szCs w:val="28"/>
    </w:rPr>
  </w:style>
  <w:style w:type="paragraph" w:customStyle="1" w:styleId="reader-word-layerreader-word-s1-10">
    <w:name w:val="reader-word-layer reader-word-s1-10"/>
    <w:basedOn w:val="a6"/>
    <w:qFormat/>
    <w:pPr>
      <w:widowControl/>
      <w:spacing w:before="100" w:beforeAutospacing="1" w:after="100" w:afterAutospacing="1"/>
      <w:jc w:val="left"/>
    </w:pPr>
    <w:rPr>
      <w:rFonts w:ascii="宋体" w:hAnsi="宋体" w:cs="宋体"/>
      <w:kern w:val="0"/>
      <w:sz w:val="24"/>
    </w:rPr>
  </w:style>
  <w:style w:type="paragraph" w:customStyle="1" w:styleId="1ffffff0">
    <w:name w:val="样式1 + 加粗"/>
    <w:basedOn w:val="1e"/>
    <w:qFormat/>
    <w:pPr>
      <w:adjustRightInd/>
      <w:snapToGrid/>
      <w:spacing w:beforeLines="0" w:before="0" w:afterLines="0" w:after="0" w:line="336" w:lineRule="auto"/>
      <w:ind w:firstLineChars="0" w:firstLine="0"/>
    </w:pPr>
    <w:rPr>
      <w:rFonts w:ascii="Calibri" w:eastAsia="黑体" w:hAnsi="Calibri"/>
      <w:bCs w:val="0"/>
    </w:rPr>
  </w:style>
  <w:style w:type="paragraph" w:customStyle="1" w:styleId="1ffffff1">
    <w:name w:val="表格备注1"/>
    <w:basedOn w:val="affffffffffffffffffffffffffffffff5"/>
    <w:next w:val="af0"/>
    <w:qFormat/>
    <w:pPr>
      <w:tabs>
        <w:tab w:val="left" w:pos="628"/>
        <w:tab w:val="left" w:pos="1727"/>
        <w:tab w:val="left" w:pos="1884"/>
        <w:tab w:val="left" w:pos="4325"/>
        <w:tab w:val="left" w:pos="4900"/>
      </w:tabs>
      <w:adjustRightInd w:val="0"/>
      <w:ind w:firstLine="480"/>
    </w:pPr>
    <w:rPr>
      <w:rFonts w:eastAsia="楷体_GB2312"/>
      <w:szCs w:val="20"/>
    </w:rPr>
  </w:style>
  <w:style w:type="paragraph" w:customStyle="1" w:styleId="bt">
    <w:name w:val="bt"/>
    <w:basedOn w:val="a6"/>
    <w:qFormat/>
    <w:pPr>
      <w:adjustRightInd w:val="0"/>
      <w:spacing w:line="440" w:lineRule="exact"/>
      <w:ind w:firstLine="482"/>
      <w:textAlignment w:val="baseline"/>
    </w:pPr>
    <w:rPr>
      <w:rFonts w:eastAsia="黑体"/>
      <w:spacing w:val="4"/>
      <w:kern w:val="0"/>
      <w:sz w:val="24"/>
      <w:szCs w:val="20"/>
    </w:rPr>
  </w:style>
  <w:style w:type="paragraph" w:customStyle="1" w:styleId="540">
    <w:name w:val="表内5中4"/>
    <w:basedOn w:val="a6"/>
    <w:qFormat/>
    <w:pPr>
      <w:adjustRightInd w:val="0"/>
      <w:snapToGrid w:val="0"/>
      <w:jc w:val="center"/>
    </w:pPr>
    <w:rPr>
      <w:rFonts w:ascii="宋体"/>
      <w:kern w:val="0"/>
      <w:sz w:val="24"/>
      <w:szCs w:val="20"/>
    </w:rPr>
  </w:style>
  <w:style w:type="paragraph" w:customStyle="1" w:styleId="CharCharCharChar1Char11">
    <w:name w:val="正文（首行缩进两字） Char Char Char Char1 Char11"/>
    <w:basedOn w:val="a6"/>
    <w:qFormat/>
    <w:pPr>
      <w:spacing w:line="440" w:lineRule="exact"/>
      <w:ind w:firstLineChars="200" w:firstLine="200"/>
    </w:pPr>
    <w:rPr>
      <w:rFonts w:ascii="Arial" w:hAnsi="Arial"/>
      <w:color w:val="000000"/>
      <w:w w:val="110"/>
      <w:kern w:val="0"/>
      <w:sz w:val="24"/>
    </w:rPr>
  </w:style>
  <w:style w:type="paragraph" w:customStyle="1" w:styleId="CharCharCharChar21">
    <w:name w:val="Char Char Char Char2"/>
    <w:basedOn w:val="a6"/>
    <w:qFormat/>
    <w:rPr>
      <w:color w:val="000000"/>
      <w:w w:val="110"/>
      <w:kern w:val="0"/>
      <w:sz w:val="24"/>
    </w:rPr>
  </w:style>
  <w:style w:type="paragraph" w:customStyle="1" w:styleId="5ff4">
    <w:name w:val="样式 表格内容（5号字体版本） + (中文) 宋体"/>
    <w:qFormat/>
    <w:rPr>
      <w:smallCaps/>
      <w:color w:val="000000"/>
      <w:sz w:val="21"/>
    </w:rPr>
  </w:style>
  <w:style w:type="paragraph" w:customStyle="1" w:styleId="Style116">
    <w:name w:val="Style116"/>
    <w:basedOn w:val="a6"/>
    <w:qFormat/>
    <w:pPr>
      <w:adjustRightInd w:val="0"/>
      <w:jc w:val="left"/>
    </w:pPr>
    <w:rPr>
      <w:rFonts w:ascii="宋体"/>
      <w:kern w:val="0"/>
      <w:sz w:val="24"/>
      <w:szCs w:val="20"/>
    </w:rPr>
  </w:style>
  <w:style w:type="paragraph" w:customStyle="1" w:styleId="CharCharChar1CharCharChar1CharCharCharCharCharChar1CharCharChar1Char">
    <w:name w:val="Char Char Char1 Char Char Char1 Char Char Char Char Char Char1 Char Char Char1 Char"/>
    <w:basedOn w:val="a6"/>
    <w:qFormat/>
  </w:style>
  <w:style w:type="paragraph" w:customStyle="1" w:styleId="xl67">
    <w:name w:val="xl67"/>
    <w:basedOn w:val="a6"/>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宋体" w:eastAsia="Arial Unicode MS"/>
      <w:kern w:val="0"/>
      <w:sz w:val="20"/>
      <w:szCs w:val="20"/>
    </w:rPr>
  </w:style>
  <w:style w:type="paragraph" w:customStyle="1" w:styleId="11111h11stlevelSectionHeadl1b1-">
    <w:name w:val="样式 标题 11.标题 1§1.?.章标题 1h11st levelSection Headl1b1-*+ ..."/>
    <w:basedOn w:val="12"/>
    <w:qFormat/>
    <w:pPr>
      <w:keepNext w:val="0"/>
      <w:keepLines w:val="0"/>
      <w:tabs>
        <w:tab w:val="left" w:pos="432"/>
      </w:tabs>
      <w:autoSpaceDE w:val="0"/>
      <w:autoSpaceDN w:val="0"/>
      <w:spacing w:beforeLines="100" w:before="0" w:afterLines="100" w:after="0" w:line="240" w:lineRule="exact"/>
      <w:ind w:left="432" w:hanging="432"/>
    </w:pPr>
    <w:rPr>
      <w:rFonts w:ascii="宋体" w:hAnsi="宋体" w:cs="宋体"/>
      <w:w w:val="90"/>
      <w:kern w:val="2"/>
      <w:sz w:val="24"/>
      <w:szCs w:val="20"/>
    </w:rPr>
  </w:style>
  <w:style w:type="paragraph" w:customStyle="1" w:styleId="Style100">
    <w:name w:val="_Style 10"/>
    <w:basedOn w:val="a6"/>
    <w:next w:val="af8"/>
    <w:qFormat/>
    <w:pPr>
      <w:spacing w:line="360" w:lineRule="auto"/>
    </w:pPr>
    <w:rPr>
      <w:sz w:val="24"/>
      <w:szCs w:val="20"/>
    </w:rPr>
  </w:style>
  <w:style w:type="paragraph" w:customStyle="1" w:styleId="affffffffffffffffffffffffffffffffff3">
    <w:name w:val="封面标题"/>
    <w:basedOn w:val="a6"/>
    <w:next w:val="affffffffffffffffffffffffffffffff"/>
    <w:qFormat/>
    <w:pPr>
      <w:tabs>
        <w:tab w:val="left" w:pos="1134"/>
        <w:tab w:val="right" w:pos="7371"/>
      </w:tabs>
      <w:overflowPunct w:val="0"/>
      <w:adjustRightInd w:val="0"/>
      <w:spacing w:line="360" w:lineRule="auto"/>
      <w:jc w:val="center"/>
      <w:textAlignment w:val="baseline"/>
    </w:pPr>
    <w:rPr>
      <w:rFonts w:ascii="Arial" w:eastAsia="黑体"/>
      <w:color w:val="FF0000"/>
      <w:spacing w:val="20"/>
      <w:kern w:val="52"/>
      <w:sz w:val="52"/>
      <w:szCs w:val="20"/>
    </w:rPr>
  </w:style>
  <w:style w:type="paragraph" w:customStyle="1" w:styleId="affffffffffffffffffffffffffffffffff4">
    <w:name w:val="正文排版"/>
    <w:basedOn w:val="afc"/>
    <w:qFormat/>
    <w:pPr>
      <w:tabs>
        <w:tab w:val="left" w:pos="0"/>
      </w:tabs>
      <w:autoSpaceDE w:val="0"/>
      <w:autoSpaceDN w:val="0"/>
      <w:adjustRightInd w:val="0"/>
      <w:spacing w:line="360" w:lineRule="auto"/>
      <w:ind w:firstLineChars="0" w:firstLine="0"/>
      <w:textAlignment w:val="baseline"/>
    </w:pPr>
    <w:rPr>
      <w:rFonts w:ascii="Times New Roman" w:eastAsia="宋体" w:hAnsi="Times New Roman"/>
      <w:color w:val="auto"/>
      <w:spacing w:val="0"/>
      <w:kern w:val="0"/>
      <w:sz w:val="24"/>
    </w:rPr>
  </w:style>
  <w:style w:type="paragraph" w:customStyle="1" w:styleId="CM4">
    <w:name w:val="CM4"/>
    <w:basedOn w:val="Default"/>
    <w:next w:val="Default"/>
    <w:qFormat/>
    <w:pPr>
      <w:spacing w:line="626" w:lineRule="atLeast"/>
    </w:pPr>
    <w:rPr>
      <w:rFonts w:ascii="黑体" w:eastAsia="黑体"/>
      <w:color w:val="auto"/>
    </w:rPr>
  </w:style>
  <w:style w:type="paragraph" w:customStyle="1" w:styleId="xl118">
    <w:name w:val="xl11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kern w:val="0"/>
      <w:sz w:val="20"/>
      <w:szCs w:val="20"/>
    </w:rPr>
  </w:style>
  <w:style w:type="paragraph" w:customStyle="1" w:styleId="affffffffffffffffffffffffffffffffff5">
    <w:name w:val="责任页"/>
    <w:basedOn w:val="a6"/>
    <w:qFormat/>
    <w:pPr>
      <w:spacing w:line="300" w:lineRule="auto"/>
    </w:pPr>
    <w:rPr>
      <w:sz w:val="28"/>
    </w:rPr>
  </w:style>
  <w:style w:type="paragraph" w:customStyle="1" w:styleId="CharCharCharCharCharCharCharCharCharCharChar">
    <w:name w:val="Char Char Char Char Char Char Char Char Char Char Char"/>
    <w:basedOn w:val="a6"/>
    <w:qFormat/>
  </w:style>
  <w:style w:type="paragraph" w:customStyle="1" w:styleId="1ffffff2">
    <w:name w:val="无间隔1"/>
    <w:qFormat/>
    <w:pPr>
      <w:widowControl w:val="0"/>
      <w:jc w:val="both"/>
    </w:pPr>
    <w:rPr>
      <w:kern w:val="2"/>
      <w:sz w:val="21"/>
      <w:szCs w:val="22"/>
    </w:rPr>
  </w:style>
  <w:style w:type="paragraph" w:customStyle="1" w:styleId="affffffffffffffffffffffffffffffffff6">
    <w:name w:val=".."/>
    <w:basedOn w:val="Default"/>
    <w:next w:val="Default"/>
    <w:qFormat/>
    <w:rPr>
      <w:rFonts w:eastAsia="Times New Roman"/>
      <w:color w:val="auto"/>
    </w:rPr>
  </w:style>
  <w:style w:type="paragraph" w:customStyle="1" w:styleId="1-2">
    <w:name w:val="样式1-正文"/>
    <w:qFormat/>
    <w:pPr>
      <w:widowControl w:val="0"/>
      <w:spacing w:line="360" w:lineRule="auto"/>
      <w:ind w:firstLineChars="200" w:firstLine="200"/>
    </w:pPr>
    <w:rPr>
      <w:spacing w:val="20"/>
      <w:kern w:val="2"/>
      <w:sz w:val="24"/>
      <w:szCs w:val="24"/>
    </w:rPr>
  </w:style>
  <w:style w:type="paragraph" w:customStyle="1" w:styleId="2130">
    <w:name w:val="正文文本缩进 213"/>
    <w:basedOn w:val="a6"/>
    <w:qFormat/>
    <w:pPr>
      <w:adjustRightInd w:val="0"/>
      <w:snapToGrid w:val="0"/>
      <w:spacing w:line="360" w:lineRule="auto"/>
      <w:ind w:firstLineChars="300" w:firstLine="720"/>
    </w:pPr>
    <w:rPr>
      <w:color w:val="000000"/>
      <w:w w:val="110"/>
      <w:kern w:val="0"/>
      <w:sz w:val="24"/>
    </w:rPr>
  </w:style>
  <w:style w:type="paragraph" w:customStyle="1" w:styleId="2New">
    <w:name w:val="标题 2 New"/>
    <w:basedOn w:val="New0"/>
    <w:next w:val="New0"/>
    <w:qFormat/>
    <w:pPr>
      <w:keepNext/>
      <w:keepLines/>
      <w:spacing w:before="260" w:after="260" w:line="413" w:lineRule="auto"/>
      <w:outlineLvl w:val="1"/>
    </w:pPr>
    <w:rPr>
      <w:rFonts w:ascii="Arial" w:eastAsia="黑体" w:hAnsi="Arial"/>
      <w:b/>
      <w:sz w:val="32"/>
    </w:rPr>
  </w:style>
  <w:style w:type="paragraph" w:customStyle="1" w:styleId="Z">
    <w:name w:val="Z"/>
    <w:basedOn w:val="a6"/>
    <w:qFormat/>
    <w:pPr>
      <w:spacing w:line="460" w:lineRule="exact"/>
      <w:ind w:firstLineChars="200" w:firstLine="200"/>
    </w:pPr>
    <w:rPr>
      <w:rFonts w:ascii="宋体" w:hAnsi="宋体"/>
      <w:sz w:val="25"/>
    </w:rPr>
  </w:style>
  <w:style w:type="paragraph" w:customStyle="1" w:styleId="CM14">
    <w:name w:val="CM14"/>
    <w:basedOn w:val="Default"/>
    <w:next w:val="Default"/>
    <w:qFormat/>
    <w:pPr>
      <w:spacing w:line="546" w:lineRule="atLeast"/>
    </w:pPr>
    <w:rPr>
      <w:rFonts w:ascii="黑体" w:eastAsia="黑体" w:cs="黑体"/>
      <w:color w:val="auto"/>
    </w:rPr>
  </w:style>
  <w:style w:type="paragraph" w:customStyle="1" w:styleId="2122">
    <w:name w:val="样式 标题 2 + 四号 段前: 12 磅"/>
    <w:basedOn w:val="22"/>
    <w:qFormat/>
    <w:pPr>
      <w:tabs>
        <w:tab w:val="left" w:pos="567"/>
      </w:tabs>
      <w:spacing w:before="240"/>
    </w:pPr>
    <w:rPr>
      <w:rFonts w:cs="宋体"/>
      <w:b/>
      <w:bCs w:val="0"/>
      <w:spacing w:val="0"/>
      <w:w w:val="100"/>
      <w:kern w:val="2"/>
      <w:lang w:bidi="sa-IN"/>
    </w:rPr>
  </w:style>
  <w:style w:type="paragraph" w:customStyle="1" w:styleId="12CharCharCharChar">
    <w:name w:val="12 Char Char Char Char"/>
    <w:basedOn w:val="a6"/>
    <w:qFormat/>
    <w:pPr>
      <w:spacing w:line="360" w:lineRule="auto"/>
      <w:ind w:firstLineChars="200" w:firstLine="200"/>
      <w:jc w:val="left"/>
    </w:pPr>
    <w:rPr>
      <w:szCs w:val="20"/>
    </w:rPr>
  </w:style>
  <w:style w:type="paragraph" w:customStyle="1" w:styleId="999">
    <w:name w:val="正文999"/>
    <w:basedOn w:val="a6"/>
    <w:qFormat/>
    <w:pPr>
      <w:spacing w:line="360" w:lineRule="auto"/>
      <w:ind w:firstLineChars="200" w:firstLine="480"/>
    </w:pPr>
    <w:rPr>
      <w:rFonts w:ascii="宋体" w:hAnsi="宋体"/>
      <w:color w:val="000000"/>
      <w:w w:val="110"/>
      <w:kern w:val="0"/>
      <w:sz w:val="24"/>
    </w:rPr>
  </w:style>
  <w:style w:type="paragraph" w:customStyle="1" w:styleId="xl58">
    <w:name w:val="xl58"/>
    <w:basedOn w:val="a6"/>
    <w:qFormat/>
    <w:pPr>
      <w:widowControl/>
      <w:pBdr>
        <w:top w:val="single" w:sz="8" w:space="0" w:color="auto"/>
        <w:bottom w:val="single" w:sz="4" w:space="0" w:color="auto"/>
        <w:right w:val="single" w:sz="4" w:space="0" w:color="auto"/>
      </w:pBdr>
      <w:spacing w:before="100" w:beforeAutospacing="1" w:after="100" w:afterAutospacing="1"/>
      <w:jc w:val="center"/>
      <w:textAlignment w:val="center"/>
    </w:pPr>
    <w:rPr>
      <w:rFonts w:ascii="宋体" w:eastAsia="Arial Unicode MS"/>
      <w:kern w:val="0"/>
      <w:sz w:val="24"/>
      <w:szCs w:val="20"/>
    </w:rPr>
  </w:style>
  <w:style w:type="paragraph" w:customStyle="1" w:styleId="reader-word-layerreader-word-s1-32">
    <w:name w:val="reader-word-layer reader-word-s1-32"/>
    <w:basedOn w:val="a6"/>
    <w:qFormat/>
    <w:pPr>
      <w:widowControl/>
      <w:spacing w:before="100" w:beforeAutospacing="1" w:after="100" w:afterAutospacing="1"/>
      <w:jc w:val="left"/>
    </w:pPr>
    <w:rPr>
      <w:rFonts w:ascii="宋体" w:hAnsi="宋体" w:cs="宋体"/>
      <w:kern w:val="0"/>
      <w:sz w:val="24"/>
    </w:rPr>
  </w:style>
  <w:style w:type="paragraph" w:customStyle="1" w:styleId="affffffffffffffffffffffffffffffffff7">
    <w:name w:val="正文！"/>
    <w:basedOn w:val="a6"/>
    <w:qFormat/>
    <w:pPr>
      <w:spacing w:line="500" w:lineRule="exact"/>
      <w:ind w:firstLine="482"/>
    </w:pPr>
    <w:rPr>
      <w:rFonts w:ascii="楷体_GB2312" w:eastAsia="楷体_GB2312" w:cs="宋体"/>
      <w:sz w:val="24"/>
      <w:szCs w:val="20"/>
    </w:rPr>
  </w:style>
  <w:style w:type="paragraph" w:customStyle="1" w:styleId="affffffffffffffffffffffffffffffffff8">
    <w:name w:val="表内容中"/>
    <w:basedOn w:val="afd"/>
    <w:uiPriority w:val="99"/>
    <w:qFormat/>
    <w:pPr>
      <w:jc w:val="center"/>
    </w:pPr>
    <w:rPr>
      <w:rFonts w:ascii="楷体_GB2312" w:eastAsia="楷体_GB2312" w:hAnsi="宋体"/>
      <w:color w:val="000000"/>
      <w:kern w:val="0"/>
      <w:sz w:val="24"/>
      <w:szCs w:val="20"/>
    </w:rPr>
  </w:style>
  <w:style w:type="paragraph" w:customStyle="1" w:styleId="xl83">
    <w:name w:val="xl83"/>
    <w:basedOn w:val="a6"/>
    <w:qFormat/>
    <w:pPr>
      <w:widowControl/>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b/>
      <w:bCs/>
      <w:kern w:val="0"/>
      <w:sz w:val="20"/>
      <w:szCs w:val="20"/>
    </w:rPr>
  </w:style>
  <w:style w:type="paragraph" w:customStyle="1" w:styleId="xl108">
    <w:name w:val="xl108"/>
    <w:basedOn w:val="a6"/>
    <w:qFormat/>
    <w:pPr>
      <w:widowControl/>
      <w:pBdr>
        <w:top w:val="single" w:sz="4" w:space="0" w:color="auto"/>
        <w:left w:val="single" w:sz="4" w:space="0" w:color="auto"/>
        <w:bottom w:val="single" w:sz="4" w:space="0" w:color="auto"/>
      </w:pBdr>
      <w:shd w:val="clear" w:color="000000" w:fill="FFFF99"/>
      <w:spacing w:before="100" w:beforeAutospacing="1" w:after="100" w:afterAutospacing="1"/>
      <w:jc w:val="left"/>
      <w:textAlignment w:val="center"/>
    </w:pPr>
    <w:rPr>
      <w:rFonts w:ascii="宋体" w:hAnsi="宋体" w:cs="宋体"/>
      <w:kern w:val="0"/>
      <w:sz w:val="20"/>
      <w:szCs w:val="20"/>
    </w:rPr>
  </w:style>
  <w:style w:type="paragraph" w:customStyle="1" w:styleId="CM83">
    <w:name w:val="CM83"/>
    <w:basedOn w:val="Default"/>
    <w:next w:val="Default"/>
    <w:qFormat/>
    <w:pPr>
      <w:spacing w:after="128"/>
    </w:pPr>
    <w:rPr>
      <w:rFonts w:ascii="楷体_GB2312" w:eastAsia="楷体_GB2312"/>
      <w:color w:val="auto"/>
    </w:rPr>
  </w:style>
  <w:style w:type="paragraph" w:customStyle="1" w:styleId="2ffffff2">
    <w:name w:val="项目符号2"/>
    <w:qFormat/>
    <w:pPr>
      <w:tabs>
        <w:tab w:val="left" w:pos="360"/>
      </w:tabs>
      <w:spacing w:line="312" w:lineRule="auto"/>
      <w:ind w:left="850" w:hanging="425"/>
    </w:pPr>
  </w:style>
  <w:style w:type="paragraph" w:customStyle="1" w:styleId="1ffffff3">
    <w:name w:val="项目符号1"/>
    <w:basedOn w:val="a6"/>
    <w:qFormat/>
    <w:pPr>
      <w:tabs>
        <w:tab w:val="left" w:pos="360"/>
      </w:tabs>
      <w:snapToGrid w:val="0"/>
      <w:spacing w:before="120" w:after="120" w:line="300" w:lineRule="auto"/>
      <w:ind w:left="360" w:hanging="360"/>
    </w:pPr>
    <w:rPr>
      <w:rFonts w:ascii="Arial" w:eastAsia="楷体_GB2312" w:hAnsi="Arial"/>
      <w:b/>
      <w:sz w:val="28"/>
      <w:szCs w:val="20"/>
    </w:rPr>
  </w:style>
  <w:style w:type="paragraph" w:customStyle="1" w:styleId="3Arial125">
    <w:name w:val="样式 标题 3 + Arial 行距: 多倍行距 1.25 字行"/>
    <w:basedOn w:val="33"/>
    <w:qFormat/>
    <w:pPr>
      <w:keepNext w:val="0"/>
      <w:tabs>
        <w:tab w:val="left" w:pos="720"/>
      </w:tabs>
      <w:adjustRightInd w:val="0"/>
      <w:spacing w:beforeLines="50" w:afterLines="50" w:line="336" w:lineRule="auto"/>
      <w:ind w:firstLineChars="200" w:firstLine="560"/>
    </w:pPr>
    <w:rPr>
      <w:rFonts w:hAnsi="Arial" w:cs="宋体"/>
      <w:bCs/>
      <w:spacing w:val="0"/>
      <w:szCs w:val="24"/>
    </w:rPr>
  </w:style>
  <w:style w:type="paragraph" w:customStyle="1" w:styleId="280">
    <w:name w:val="样式 行距: 固定值 28 磅"/>
    <w:basedOn w:val="a6"/>
    <w:qFormat/>
    <w:pPr>
      <w:widowControl/>
      <w:spacing w:line="360" w:lineRule="auto"/>
      <w:ind w:firstLineChars="200" w:firstLine="480"/>
      <w:jc w:val="left"/>
    </w:pPr>
    <w:rPr>
      <w:rFonts w:ascii="宋体" w:hAnsi="宋体" w:cs="宋体"/>
      <w:kern w:val="0"/>
      <w:sz w:val="24"/>
    </w:rPr>
  </w:style>
  <w:style w:type="paragraph" w:customStyle="1" w:styleId="xl116">
    <w:name w:val="xl11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kern w:val="0"/>
      <w:sz w:val="20"/>
      <w:szCs w:val="20"/>
    </w:rPr>
  </w:style>
  <w:style w:type="paragraph" w:customStyle="1" w:styleId="Char42">
    <w:name w:val="Char4"/>
    <w:basedOn w:val="a6"/>
    <w:qFormat/>
    <w:rPr>
      <w:color w:val="000000"/>
      <w:w w:val="110"/>
      <w:kern w:val="0"/>
      <w:sz w:val="24"/>
    </w:rPr>
  </w:style>
  <w:style w:type="paragraph" w:customStyle="1" w:styleId="affffffffffffffffffffffffffffffffff9">
    <w:name w:val="缺省文本_宋体"/>
    <w:basedOn w:val="a6"/>
    <w:qFormat/>
    <w:pPr>
      <w:tabs>
        <w:tab w:val="left" w:pos="525"/>
        <w:tab w:val="center" w:pos="5670"/>
        <w:tab w:val="right" w:pos="7655"/>
      </w:tabs>
      <w:spacing w:before="80" w:after="120" w:line="360" w:lineRule="auto"/>
      <w:outlineLvl w:val="7"/>
    </w:pPr>
    <w:rPr>
      <w:spacing w:val="16"/>
      <w:kern w:val="28"/>
      <w:sz w:val="24"/>
      <w:szCs w:val="20"/>
    </w:rPr>
  </w:style>
  <w:style w:type="paragraph" w:customStyle="1" w:styleId="099152">
    <w:name w:val="样式 首行缩进:  0.99 厘米 行距: 1.5 倍行距2"/>
    <w:basedOn w:val="a6"/>
    <w:qFormat/>
    <w:pPr>
      <w:widowControl/>
      <w:ind w:firstLine="420"/>
      <w:jc w:val="center"/>
    </w:pPr>
    <w:rPr>
      <w:rFonts w:ascii="宋体" w:hAnsi="宋体"/>
      <w:szCs w:val="21"/>
    </w:rPr>
  </w:style>
  <w:style w:type="paragraph" w:customStyle="1" w:styleId="xl62">
    <w:name w:val="xl62"/>
    <w:basedOn w:val="a6"/>
    <w:qFormat/>
    <w:pPr>
      <w:widowControl/>
      <w:pBdr>
        <w:top w:val="single" w:sz="4" w:space="0" w:color="auto"/>
        <w:left w:val="single" w:sz="4" w:space="0" w:color="auto"/>
        <w:right w:val="single" w:sz="8" w:space="0" w:color="auto"/>
      </w:pBdr>
      <w:spacing w:before="100" w:beforeAutospacing="1" w:after="100" w:afterAutospacing="1"/>
      <w:jc w:val="left"/>
      <w:textAlignment w:val="center"/>
    </w:pPr>
    <w:rPr>
      <w:rFonts w:ascii="Arial Unicode MS" w:eastAsia="Arial Unicode MS" w:hAnsi="Arial Unicode MS"/>
      <w:kern w:val="0"/>
      <w:sz w:val="24"/>
      <w:szCs w:val="20"/>
    </w:rPr>
  </w:style>
  <w:style w:type="paragraph" w:customStyle="1" w:styleId="affffffffffffffffffffffffffffffffffa">
    <w:name w:val="五级无标题条"/>
    <w:basedOn w:val="a6"/>
    <w:qFormat/>
    <w:pPr>
      <w:ind w:left="1460" w:hanging="420"/>
    </w:pPr>
  </w:style>
  <w:style w:type="paragraph" w:customStyle="1" w:styleId="CM24">
    <w:name w:val="CM24"/>
    <w:basedOn w:val="Default"/>
    <w:next w:val="Default"/>
    <w:qFormat/>
    <w:pPr>
      <w:spacing w:line="546" w:lineRule="atLeast"/>
    </w:pPr>
    <w:rPr>
      <w:rFonts w:ascii="黑体" w:eastAsia="黑体"/>
      <w:color w:val="auto"/>
    </w:rPr>
  </w:style>
  <w:style w:type="paragraph" w:customStyle="1" w:styleId="affffffffffffffffffffffffffffffffffb">
    <w:name w:val="表前文字"/>
    <w:basedOn w:val="a6"/>
    <w:qFormat/>
    <w:pPr>
      <w:jc w:val="center"/>
    </w:pPr>
    <w:rPr>
      <w:rFonts w:ascii="宋体" w:hAnsi="宋体"/>
      <w:b/>
      <w:sz w:val="24"/>
      <w:szCs w:val="21"/>
    </w:rPr>
  </w:style>
  <w:style w:type="paragraph" w:customStyle="1" w:styleId="158">
    <w:name w:val="样式 纯文本 + 小四 行距: 1.5 倍行距"/>
    <w:basedOn w:val="af4"/>
    <w:next w:val="affff4"/>
    <w:qFormat/>
    <w:rPr>
      <w:kern w:val="0"/>
    </w:rPr>
  </w:style>
  <w:style w:type="paragraph" w:customStyle="1" w:styleId="xl53">
    <w:name w:val="xl53"/>
    <w:basedOn w:val="a6"/>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xl113">
    <w:name w:val="xl113"/>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0"/>
      <w:szCs w:val="20"/>
    </w:rPr>
  </w:style>
  <w:style w:type="paragraph" w:customStyle="1" w:styleId="1105">
    <w:name w:val="样式 1.1二级标题 + 段前: 0.5 行"/>
    <w:basedOn w:val="112"/>
    <w:qFormat/>
    <w:rPr>
      <w:rFonts w:cs="宋体"/>
      <w:b w:val="0"/>
    </w:rPr>
  </w:style>
  <w:style w:type="paragraph" w:customStyle="1" w:styleId="2ffffff3">
    <w:name w:val="正文文本缩进2"/>
    <w:basedOn w:val="a6"/>
    <w:qFormat/>
    <w:pPr>
      <w:spacing w:after="120"/>
      <w:ind w:leftChars="200" w:left="420"/>
    </w:pPr>
  </w:style>
  <w:style w:type="paragraph" w:customStyle="1" w:styleId="21f3">
    <w:name w:val="列表接续 21"/>
    <w:basedOn w:val="a6"/>
    <w:qFormat/>
    <w:pPr>
      <w:spacing w:after="120"/>
      <w:ind w:leftChars="400" w:left="840"/>
    </w:pPr>
  </w:style>
  <w:style w:type="paragraph" w:customStyle="1" w:styleId="20125">
    <w:name w:val="样式 (西文) 宋体 首行缩进:  2 字符 加宽量  0.1 磅 行距: 固定值 25 磅"/>
    <w:basedOn w:val="a6"/>
    <w:qFormat/>
    <w:pPr>
      <w:topLinePunct/>
      <w:spacing w:line="500" w:lineRule="exact"/>
      <w:ind w:firstLineChars="200" w:firstLine="488"/>
    </w:pPr>
    <w:rPr>
      <w:rFonts w:ascii="宋体" w:eastAsia="汉鼎简书宋" w:hAnsi="宋体" w:cs="宋体"/>
      <w:spacing w:val="2"/>
      <w:sz w:val="24"/>
      <w:szCs w:val="20"/>
    </w:rPr>
  </w:style>
  <w:style w:type="paragraph" w:customStyle="1" w:styleId="CharCharCharCharCharCharCharCharChar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 Char Char Char Char Char Char Char Char Char2"/>
    <w:basedOn w:val="a6"/>
    <w:qFormat/>
    <w:rPr>
      <w:sz w:val="24"/>
    </w:rPr>
  </w:style>
  <w:style w:type="paragraph" w:customStyle="1" w:styleId="affffffffffffffffffffffffffffffffffc">
    <w:name w:val="二"/>
    <w:next w:val="1f8"/>
    <w:qFormat/>
    <w:pPr>
      <w:keepNext/>
      <w:keepLines/>
      <w:spacing w:before="260" w:after="260" w:line="520" w:lineRule="exact"/>
      <w:jc w:val="both"/>
      <w:outlineLvl w:val="1"/>
    </w:pPr>
    <w:rPr>
      <w:b/>
      <w:kern w:val="2"/>
      <w:sz w:val="30"/>
      <w:szCs w:val="30"/>
    </w:rPr>
  </w:style>
  <w:style w:type="paragraph" w:customStyle="1" w:styleId="Char1CharCharChar2">
    <w:name w:val="Char1 Char Char Char2"/>
    <w:basedOn w:val="a6"/>
    <w:qFormat/>
    <w:rPr>
      <w:rFonts w:ascii="Tahoma" w:hAnsi="Tahoma"/>
      <w:sz w:val="24"/>
      <w:szCs w:val="20"/>
    </w:rPr>
  </w:style>
  <w:style w:type="paragraph" w:customStyle="1" w:styleId="affffffffffffffffffffffffffffffffffd">
    <w:name w:val="报告表正文"/>
    <w:basedOn w:val="a6"/>
    <w:qFormat/>
    <w:pPr>
      <w:adjustRightInd w:val="0"/>
      <w:spacing w:line="300" w:lineRule="auto"/>
      <w:ind w:left="113" w:right="113"/>
      <w:textAlignment w:val="baseline"/>
    </w:pPr>
    <w:rPr>
      <w:color w:val="000000"/>
      <w:w w:val="110"/>
      <w:kern w:val="0"/>
      <w:sz w:val="24"/>
      <w:szCs w:val="20"/>
    </w:rPr>
  </w:style>
  <w:style w:type="paragraph" w:customStyle="1" w:styleId="xl84">
    <w:name w:val="xl84"/>
    <w:basedOn w:val="a6"/>
    <w:qFormat/>
    <w:pPr>
      <w:widowControl/>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b/>
      <w:bCs/>
      <w:kern w:val="0"/>
      <w:sz w:val="20"/>
      <w:szCs w:val="20"/>
    </w:rPr>
  </w:style>
  <w:style w:type="paragraph" w:customStyle="1" w:styleId="CharCharCharCharCharCharCharCharChar10">
    <w:name w:val="Char Char Char Char Char Char Char Char Char1"/>
    <w:basedOn w:val="a6"/>
    <w:qFormat/>
    <w:rPr>
      <w:color w:val="000000"/>
      <w:w w:val="110"/>
      <w:kern w:val="0"/>
      <w:sz w:val="24"/>
    </w:rPr>
  </w:style>
  <w:style w:type="paragraph" w:customStyle="1" w:styleId="affffffffffffffffffffffffffffffffffe">
    <w:name w:val="表格样式"/>
    <w:basedOn w:val="a6"/>
    <w:qFormat/>
    <w:pPr>
      <w:spacing w:line="460" w:lineRule="exact"/>
      <w:jc w:val="center"/>
    </w:pPr>
    <w:rPr>
      <w:rFonts w:ascii="宋体"/>
      <w:sz w:val="24"/>
    </w:rPr>
  </w:style>
  <w:style w:type="paragraph" w:customStyle="1" w:styleId="reader-word-layerreader-word-s1-17">
    <w:name w:val="reader-word-layer reader-word-s1-17"/>
    <w:basedOn w:val="a6"/>
    <w:qFormat/>
    <w:pPr>
      <w:widowControl/>
      <w:spacing w:before="100" w:beforeAutospacing="1" w:after="100" w:afterAutospacing="1"/>
      <w:jc w:val="left"/>
    </w:pPr>
    <w:rPr>
      <w:rFonts w:ascii="宋体" w:hAnsi="宋体" w:cs="宋体"/>
      <w:kern w:val="0"/>
      <w:sz w:val="24"/>
    </w:rPr>
  </w:style>
  <w:style w:type="paragraph" w:customStyle="1" w:styleId="GB23120851">
    <w:name w:val="样式 (西文) 楷体_GB2312 首行缩进:  0.85 厘米1"/>
    <w:basedOn w:val="a6"/>
    <w:qFormat/>
    <w:pPr>
      <w:spacing w:line="500" w:lineRule="exact"/>
      <w:ind w:firstLineChars="200" w:firstLine="200"/>
    </w:pPr>
    <w:rPr>
      <w:rFonts w:ascii="楷体_GB2312" w:eastAsia="楷体_GB2312" w:hAnsi="楷体_GB2312" w:cs="楷体_GB2312"/>
      <w:sz w:val="24"/>
    </w:rPr>
  </w:style>
  <w:style w:type="paragraph" w:customStyle="1" w:styleId="reader-word-layerreader-word-s1-13">
    <w:name w:val="reader-word-layer reader-word-s1-13"/>
    <w:basedOn w:val="a6"/>
    <w:qFormat/>
    <w:pPr>
      <w:widowControl/>
      <w:spacing w:before="100" w:beforeAutospacing="1" w:after="100" w:afterAutospacing="1"/>
      <w:jc w:val="left"/>
    </w:pPr>
    <w:rPr>
      <w:rFonts w:ascii="宋体" w:hAnsi="宋体" w:cs="宋体"/>
      <w:kern w:val="0"/>
      <w:sz w:val="24"/>
    </w:rPr>
  </w:style>
  <w:style w:type="paragraph" w:customStyle="1" w:styleId="afffffffffffffffffffffffffffffffffff">
    <w:name w:val="【表格】"/>
    <w:next w:val="a6"/>
    <w:qFormat/>
    <w:pPr>
      <w:spacing w:line="0" w:lineRule="atLeast"/>
      <w:jc w:val="center"/>
    </w:pPr>
    <w:rPr>
      <w:sz w:val="21"/>
      <w:szCs w:val="24"/>
    </w:rPr>
  </w:style>
  <w:style w:type="paragraph" w:customStyle="1" w:styleId="afffffffffffffffffffffffffffffffffff0">
    <w:name w:val="方框"/>
    <w:basedOn w:val="a6"/>
    <w:qFormat/>
    <w:pPr>
      <w:widowControl/>
      <w:spacing w:line="240" w:lineRule="atLeast"/>
    </w:pPr>
    <w:rPr>
      <w:rFonts w:ascii="宋体" w:eastAsia="仿宋_GB2312"/>
      <w:kern w:val="0"/>
      <w:sz w:val="24"/>
      <w:szCs w:val="20"/>
    </w:rPr>
  </w:style>
  <w:style w:type="paragraph" w:customStyle="1" w:styleId="afffffffffffffffffffffffffffffffffff1">
    <w:name w:val="表格侧编号"/>
    <w:next w:val="a6"/>
    <w:qFormat/>
    <w:pPr>
      <w:widowControl w:val="0"/>
      <w:adjustRightInd w:val="0"/>
      <w:spacing w:before="120"/>
      <w:jc w:val="center"/>
      <w:textAlignment w:val="baseline"/>
    </w:pPr>
    <w:rPr>
      <w:rFonts w:ascii="宋体"/>
      <w:sz w:val="24"/>
    </w:rPr>
  </w:style>
  <w:style w:type="paragraph" w:customStyle="1" w:styleId="1128">
    <w:name w:val="样式 标题 1副标题 1 + 宋体 行距: 固定值 28 磅"/>
    <w:basedOn w:val="12"/>
    <w:qFormat/>
    <w:pPr>
      <w:tabs>
        <w:tab w:val="left" w:pos="2629"/>
      </w:tabs>
      <w:spacing w:line="560" w:lineRule="exact"/>
    </w:pPr>
    <w:rPr>
      <w:rFonts w:ascii="宋体" w:hAnsi="宋体" w:cs="宋体"/>
      <w:bCs w:val="0"/>
      <w:sz w:val="44"/>
      <w:szCs w:val="20"/>
    </w:rPr>
  </w:style>
  <w:style w:type="paragraph" w:customStyle="1" w:styleId="BG1">
    <w:name w:val="BG1"/>
    <w:basedOn w:val="a6"/>
    <w:qFormat/>
    <w:pPr>
      <w:autoSpaceDE w:val="0"/>
      <w:autoSpaceDN w:val="0"/>
      <w:jc w:val="center"/>
    </w:pPr>
    <w:rPr>
      <w:color w:val="000000"/>
      <w:kern w:val="0"/>
    </w:rPr>
  </w:style>
  <w:style w:type="paragraph" w:customStyle="1" w:styleId="08">
    <w:name w:val="正文缩进0"/>
    <w:basedOn w:val="a6"/>
    <w:qFormat/>
    <w:pPr>
      <w:spacing w:line="360" w:lineRule="auto"/>
      <w:ind w:firstLine="590"/>
    </w:pPr>
    <w:rPr>
      <w:rFonts w:eastAsia="仿宋_GB2312"/>
      <w:sz w:val="28"/>
      <w:szCs w:val="28"/>
    </w:rPr>
  </w:style>
  <w:style w:type="paragraph" w:customStyle="1" w:styleId="CharCharCharCharCharCharCharCharCharCharChar3">
    <w:name w:val="Char Char Char Char Char Char Char Char Char Char Char3"/>
    <w:basedOn w:val="a6"/>
    <w:qFormat/>
  </w:style>
  <w:style w:type="paragraph" w:customStyle="1" w:styleId="4ff0">
    <w:name w:val="样式 标题 4 + 宋体"/>
    <w:basedOn w:val="41"/>
    <w:qFormat/>
    <w:pPr>
      <w:keepNext w:val="0"/>
      <w:keepLines w:val="0"/>
      <w:widowControl/>
      <w:spacing w:beforeLines="0" w:before="0" w:line="360" w:lineRule="auto"/>
    </w:pPr>
    <w:rPr>
      <w:rFonts w:ascii="宋体" w:eastAsia="宋体"/>
      <w:bCs w:val="0"/>
      <w:color w:val="000000"/>
      <w:spacing w:val="20"/>
      <w:sz w:val="24"/>
    </w:rPr>
  </w:style>
  <w:style w:type="paragraph" w:customStyle="1" w:styleId="11111h11stlevelSectionHeadl1b1-1">
    <w:name w:val="样式 标题 11.标题 1§1.?.章标题 1h11st levelSection Headl1b1-*+ ...1"/>
    <w:next w:val="aa"/>
    <w:qFormat/>
    <w:pPr>
      <w:tabs>
        <w:tab w:val="left" w:pos="432"/>
      </w:tabs>
      <w:spacing w:line="240" w:lineRule="exact"/>
      <w:ind w:left="432" w:hanging="432"/>
      <w:jc w:val="both"/>
    </w:pPr>
    <w:rPr>
      <w:rFonts w:ascii="宋体" w:cs="宋体"/>
      <w:b/>
      <w:bCs/>
      <w:w w:val="90"/>
      <w:sz w:val="24"/>
    </w:rPr>
  </w:style>
  <w:style w:type="paragraph" w:customStyle="1" w:styleId="p-r4">
    <w:name w:val="p-r4"/>
    <w:basedOn w:val="a6"/>
    <w:qFormat/>
    <w:pPr>
      <w:spacing w:line="440" w:lineRule="exact"/>
      <w:jc w:val="left"/>
    </w:pPr>
    <w:rPr>
      <w:rFonts w:ascii="宋体" w:hAnsi="宋体" w:cs="宋体"/>
      <w:sz w:val="24"/>
    </w:rPr>
  </w:style>
  <w:style w:type="paragraph" w:customStyle="1" w:styleId="afffffffffffffffffffffffffffffffffff2">
    <w:name w:val="表哥标题"/>
    <w:basedOn w:val="a6"/>
    <w:qFormat/>
    <w:pPr>
      <w:spacing w:line="360" w:lineRule="auto"/>
      <w:ind w:firstLineChars="400" w:firstLine="964"/>
    </w:pPr>
    <w:rPr>
      <w:rFonts w:ascii="黑体" w:eastAsia="黑体" w:hAnsi="宋体"/>
      <w:b/>
      <w:sz w:val="24"/>
    </w:rPr>
  </w:style>
  <w:style w:type="paragraph" w:customStyle="1" w:styleId="514">
    <w:name w:val="列表编号 51"/>
    <w:basedOn w:val="a6"/>
    <w:qFormat/>
    <w:pPr>
      <w:tabs>
        <w:tab w:val="left" w:pos="720"/>
      </w:tabs>
      <w:ind w:left="720" w:hanging="720"/>
    </w:pPr>
    <w:rPr>
      <w:szCs w:val="20"/>
    </w:rPr>
  </w:style>
  <w:style w:type="paragraph" w:customStyle="1" w:styleId="1ffffff4">
    <w:name w:val="表1"/>
    <w:next w:val="a6"/>
    <w:qFormat/>
    <w:pPr>
      <w:adjustRightInd w:val="0"/>
      <w:snapToGrid w:val="0"/>
      <w:jc w:val="center"/>
    </w:pPr>
    <w:rPr>
      <w:rFonts w:ascii="宋体"/>
      <w:sz w:val="21"/>
    </w:rPr>
  </w:style>
  <w:style w:type="paragraph" w:customStyle="1" w:styleId="xl91">
    <w:name w:val="xl91"/>
    <w:basedOn w:val="a6"/>
    <w:qFormat/>
    <w:pPr>
      <w:widowControl/>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left"/>
      <w:textAlignment w:val="center"/>
    </w:pPr>
    <w:rPr>
      <w:b/>
      <w:bCs/>
      <w:kern w:val="0"/>
      <w:sz w:val="20"/>
      <w:szCs w:val="20"/>
    </w:rPr>
  </w:style>
  <w:style w:type="paragraph" w:customStyle="1" w:styleId="1ffffff5">
    <w:name w:val="1"/>
    <w:next w:val="afffffffffffffffffd"/>
    <w:qFormat/>
    <w:pPr>
      <w:spacing w:beforeLines="50" w:afterLines="50" w:line="440" w:lineRule="exact"/>
    </w:pPr>
    <w:rPr>
      <w:color w:val="000000"/>
      <w:sz w:val="24"/>
    </w:rPr>
  </w:style>
  <w:style w:type="paragraph" w:customStyle="1" w:styleId="afffffffffffffffffffffffffffffffffff3">
    <w:name w:val="环评报告书"/>
    <w:basedOn w:val="41"/>
    <w:qFormat/>
    <w:pPr>
      <w:tabs>
        <w:tab w:val="left" w:pos="840"/>
        <w:tab w:val="left" w:pos="1080"/>
      </w:tabs>
      <w:snapToGrid/>
      <w:spacing w:beforeLines="0" w:before="0" w:line="360" w:lineRule="auto"/>
      <w:ind w:left="561" w:hanging="561"/>
      <w:textAlignment w:val="baseline"/>
      <w:outlineLvl w:val="9"/>
    </w:pPr>
    <w:rPr>
      <w:rFonts w:ascii="Times New Roman" w:eastAsia="长城楷体" w:hAnsi="Times New Roman"/>
      <w:bCs w:val="0"/>
      <w:kern w:val="0"/>
      <w:sz w:val="24"/>
    </w:rPr>
  </w:style>
  <w:style w:type="paragraph" w:customStyle="1" w:styleId="xl44">
    <w:name w:val="xl44"/>
    <w:basedOn w:val="a6"/>
    <w:qFormat/>
    <w:pPr>
      <w:widowControl/>
      <w:pBdr>
        <w:top w:val="single" w:sz="4" w:space="0" w:color="auto"/>
        <w:left w:val="single" w:sz="4" w:space="0" w:color="auto"/>
        <w:right w:val="single" w:sz="4" w:space="0" w:color="auto"/>
      </w:pBdr>
      <w:spacing w:before="100" w:after="100"/>
      <w:jc w:val="center"/>
      <w:textAlignment w:val="center"/>
    </w:pPr>
    <w:rPr>
      <w:rFonts w:ascii="宋体" w:hAnsi="宋体"/>
      <w:kern w:val="0"/>
      <w:szCs w:val="20"/>
    </w:rPr>
  </w:style>
  <w:style w:type="paragraph" w:customStyle="1" w:styleId="CharCharCharCharCharCharCharCharCharChar3">
    <w:name w:val="Char Char Char Char Char Char Char Char Char Char3"/>
    <w:basedOn w:val="a6"/>
    <w:qFormat/>
    <w:pPr>
      <w:widowControl/>
      <w:spacing w:after="160" w:line="240" w:lineRule="exact"/>
      <w:jc w:val="left"/>
    </w:pPr>
    <w:rPr>
      <w:rFonts w:ascii="Verdana" w:hAnsi="Verdana" w:cs="Verdana"/>
      <w:kern w:val="0"/>
      <w:sz w:val="20"/>
      <w:szCs w:val="20"/>
      <w:lang w:eastAsia="en-US"/>
    </w:rPr>
  </w:style>
  <w:style w:type="paragraph" w:customStyle="1" w:styleId="111H1h11headingHeader1stPageh1chapte">
    <w:name w:val="样式 标题 1标题 1宋旭峰标题1章节H1h11headingHeader 1st Pageh1 chapte..."/>
    <w:basedOn w:val="12"/>
    <w:qFormat/>
    <w:pPr>
      <w:keepNext w:val="0"/>
      <w:keepLines w:val="0"/>
      <w:adjustRightInd w:val="0"/>
      <w:snapToGrid w:val="0"/>
      <w:spacing w:beforeLines="100" w:before="0" w:afterLines="100" w:after="0" w:line="360" w:lineRule="auto"/>
      <w:jc w:val="left"/>
    </w:pPr>
    <w:rPr>
      <w:rFonts w:ascii="黑体" w:hAnsi="黑体"/>
      <w:b w:val="0"/>
      <w:kern w:val="2"/>
      <w:sz w:val="32"/>
      <w:szCs w:val="30"/>
    </w:rPr>
  </w:style>
  <w:style w:type="paragraph" w:customStyle="1" w:styleId="3ReHead3WSAh33Char32311Re11Head3WSA1">
    <w:name w:val="样式 标题 3ReHead 3 WSAh3标题 3 Char标题 32标题 311Re11Head 3 WSA1..."/>
    <w:basedOn w:val="33"/>
    <w:qFormat/>
    <w:pPr>
      <w:tabs>
        <w:tab w:val="left" w:pos="1070"/>
      </w:tabs>
      <w:adjustRightInd w:val="0"/>
      <w:spacing w:beforeLines="50" w:line="480" w:lineRule="exact"/>
    </w:pPr>
    <w:rPr>
      <w:rFonts w:eastAsia="宋体"/>
      <w:b/>
      <w:spacing w:val="0"/>
      <w:sz w:val="24"/>
      <w:szCs w:val="20"/>
    </w:rPr>
  </w:style>
  <w:style w:type="paragraph" w:customStyle="1" w:styleId="afffffffffffffffffffffffffffffffffff4">
    <w:name w:val="高表内"/>
    <w:basedOn w:val="a6"/>
    <w:qFormat/>
    <w:pPr>
      <w:autoSpaceDE w:val="0"/>
      <w:adjustRightInd w:val="0"/>
      <w:snapToGrid w:val="0"/>
      <w:spacing w:line="360" w:lineRule="auto"/>
      <w:jc w:val="center"/>
      <w:textAlignment w:val="baseline"/>
    </w:pPr>
    <w:rPr>
      <w:rFonts w:ascii="Arial" w:eastAsia="楷体_GB2312" w:hAnsi="Arial"/>
      <w:kern w:val="0"/>
      <w:sz w:val="24"/>
      <w:szCs w:val="20"/>
    </w:rPr>
  </w:style>
  <w:style w:type="paragraph" w:customStyle="1" w:styleId="CM23">
    <w:name w:val="CM23"/>
    <w:basedOn w:val="Default"/>
    <w:next w:val="Default"/>
    <w:qFormat/>
    <w:pPr>
      <w:spacing w:line="546" w:lineRule="atLeast"/>
    </w:pPr>
    <w:rPr>
      <w:rFonts w:ascii="黑体" w:eastAsia="黑体"/>
      <w:color w:val="auto"/>
    </w:rPr>
  </w:style>
  <w:style w:type="paragraph" w:customStyle="1" w:styleId="fs-00">
    <w:name w:val="fs-00"/>
    <w:qFormat/>
    <w:pPr>
      <w:ind w:rightChars="100" w:right="221" w:firstLineChars="200" w:firstLine="501"/>
      <w:jc w:val="both"/>
    </w:pPr>
    <w:rPr>
      <w:sz w:val="24"/>
      <w:szCs w:val="24"/>
    </w:rPr>
  </w:style>
  <w:style w:type="paragraph" w:customStyle="1" w:styleId="CM112">
    <w:name w:val="CM112"/>
    <w:basedOn w:val="Default"/>
    <w:next w:val="Default"/>
    <w:qFormat/>
    <w:pPr>
      <w:spacing w:after="498"/>
    </w:pPr>
    <w:rPr>
      <w:rFonts w:ascii="黑体" w:eastAsia="黑体"/>
      <w:color w:val="auto"/>
    </w:rPr>
  </w:style>
  <w:style w:type="paragraph" w:customStyle="1" w:styleId="BodyText21">
    <w:name w:val="Body Text 21"/>
    <w:basedOn w:val="a6"/>
    <w:qFormat/>
    <w:pPr>
      <w:tabs>
        <w:tab w:val="left" w:pos="567"/>
      </w:tabs>
      <w:adjustRightInd w:val="0"/>
      <w:spacing w:line="410" w:lineRule="atLeast"/>
      <w:ind w:firstLine="480"/>
      <w:textAlignment w:val="baseline"/>
    </w:pPr>
    <w:rPr>
      <w:rFonts w:ascii="宋体"/>
      <w:kern w:val="0"/>
      <w:sz w:val="24"/>
      <w:szCs w:val="20"/>
    </w:rPr>
  </w:style>
  <w:style w:type="paragraph" w:customStyle="1" w:styleId="3fff6">
    <w:name w:val="大华农3级标题"/>
    <w:basedOn w:val="a6"/>
    <w:qFormat/>
    <w:pPr>
      <w:keepNext/>
      <w:keepLines/>
      <w:spacing w:before="120" w:after="120" w:line="360" w:lineRule="auto"/>
      <w:outlineLvl w:val="2"/>
    </w:pPr>
    <w:rPr>
      <w:rFonts w:ascii="宋体" w:hAnsi="宋体"/>
      <w:b/>
      <w:bCs/>
      <w:snapToGrid w:val="0"/>
      <w:kern w:val="0"/>
      <w:sz w:val="28"/>
      <w:szCs w:val="32"/>
    </w:rPr>
  </w:style>
  <w:style w:type="paragraph" w:customStyle="1" w:styleId="Char300">
    <w:name w:val="Char30"/>
    <w:basedOn w:val="a6"/>
    <w:uiPriority w:val="99"/>
    <w:qFormat/>
    <w:rPr>
      <w:sz w:val="24"/>
    </w:rPr>
  </w:style>
  <w:style w:type="paragraph" w:customStyle="1" w:styleId="2CharCharCharCharCharCharChar">
    <w:name w:val="2 Char Char Char Char Char Char Char"/>
    <w:basedOn w:val="a6"/>
    <w:qFormat/>
  </w:style>
  <w:style w:type="paragraph" w:customStyle="1" w:styleId="afffffffffffffffffffffffffffffffffff5">
    <w:name w:val="小标"/>
    <w:basedOn w:val="afc"/>
    <w:qFormat/>
    <w:pPr>
      <w:spacing w:line="240" w:lineRule="auto"/>
      <w:ind w:firstLineChars="0" w:firstLine="0"/>
    </w:pPr>
    <w:rPr>
      <w:rFonts w:eastAsia="宋体" w:cs="仿宋_GB2312"/>
      <w:color w:val="auto"/>
      <w:spacing w:val="0"/>
      <w:kern w:val="0"/>
      <w:sz w:val="20"/>
    </w:rPr>
  </w:style>
  <w:style w:type="paragraph" w:customStyle="1" w:styleId="xl79">
    <w:name w:val="xl79"/>
    <w:basedOn w:val="a6"/>
    <w:qFormat/>
    <w:pPr>
      <w:widowControl/>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kern w:val="0"/>
      <w:sz w:val="20"/>
      <w:szCs w:val="20"/>
    </w:rPr>
  </w:style>
  <w:style w:type="paragraph" w:customStyle="1" w:styleId="11f8">
    <w:name w:val="文档结构图11"/>
    <w:basedOn w:val="a6"/>
    <w:qFormat/>
    <w:pPr>
      <w:shd w:val="clear" w:color="auto" w:fill="000080"/>
      <w:tabs>
        <w:tab w:val="left" w:pos="480"/>
        <w:tab w:val="left" w:pos="1680"/>
        <w:tab w:val="left" w:pos="3960"/>
        <w:tab w:val="left" w:pos="5400"/>
        <w:tab w:val="left" w:pos="6840"/>
      </w:tabs>
      <w:adjustRightInd w:val="0"/>
      <w:spacing w:line="240" w:lineRule="atLeast"/>
      <w:ind w:firstLine="482"/>
      <w:jc w:val="left"/>
      <w:textAlignment w:val="baseline"/>
    </w:pPr>
    <w:rPr>
      <w:rFonts w:eastAsia="创艺简楷体"/>
      <w:kern w:val="0"/>
      <w:sz w:val="28"/>
      <w:szCs w:val="20"/>
    </w:rPr>
  </w:style>
  <w:style w:type="paragraph" w:customStyle="1" w:styleId="zw">
    <w:name w:val="zw"/>
    <w:basedOn w:val="afc"/>
    <w:qFormat/>
    <w:pPr>
      <w:spacing w:line="360" w:lineRule="auto"/>
      <w:ind w:firstLine="200"/>
    </w:pPr>
    <w:rPr>
      <w:rFonts w:eastAsia="宋体" w:hAnsi="宋体"/>
      <w:color w:val="auto"/>
      <w:spacing w:val="0"/>
      <w:kern w:val="10"/>
      <w:sz w:val="24"/>
      <w:szCs w:val="20"/>
    </w:rPr>
  </w:style>
  <w:style w:type="paragraph" w:customStyle="1" w:styleId="ParaCharCharCharCharChar">
    <w:name w:val="默认段落字体 Para Char Char Char Char Char"/>
    <w:basedOn w:val="a6"/>
    <w:qFormat/>
  </w:style>
  <w:style w:type="paragraph" w:customStyle="1" w:styleId="1ffffff6">
    <w:name w:val="1表格"/>
    <w:basedOn w:val="a6"/>
    <w:qFormat/>
    <w:pPr>
      <w:snapToGrid w:val="0"/>
      <w:spacing w:line="360" w:lineRule="auto"/>
      <w:ind w:firstLineChars="200" w:firstLine="420"/>
      <w:jc w:val="center"/>
      <w:outlineLvl w:val="4"/>
    </w:pPr>
    <w:rPr>
      <w:spacing w:val="4"/>
      <w:kern w:val="0"/>
      <w:sz w:val="24"/>
      <w:szCs w:val="20"/>
    </w:rPr>
  </w:style>
  <w:style w:type="paragraph" w:customStyle="1" w:styleId="1ffffff7">
    <w:name w:val="批注主题1"/>
    <w:basedOn w:val="af6"/>
    <w:next w:val="af6"/>
    <w:qFormat/>
    <w:rPr>
      <w:b/>
      <w:bCs/>
    </w:rPr>
  </w:style>
  <w:style w:type="paragraph" w:customStyle="1" w:styleId="2ffffff4">
    <w:name w:val="样式 标题 2 + 四号"/>
    <w:basedOn w:val="22"/>
    <w:qFormat/>
    <w:pPr>
      <w:widowControl/>
      <w:spacing w:before="260" w:after="260" w:line="415" w:lineRule="auto"/>
      <w:jc w:val="left"/>
    </w:pPr>
    <w:rPr>
      <w:rFonts w:ascii="黑体" w:hAnsi="黑体" w:cs="宋体"/>
      <w:spacing w:val="0"/>
      <w:w w:val="100"/>
      <w:kern w:val="2"/>
      <w:szCs w:val="32"/>
    </w:rPr>
  </w:style>
  <w:style w:type="paragraph" w:customStyle="1" w:styleId="317">
    <w:name w:val="列表 31"/>
    <w:basedOn w:val="a6"/>
    <w:qFormat/>
    <w:pPr>
      <w:ind w:leftChars="400" w:left="100" w:hangingChars="200" w:hanging="200"/>
    </w:pPr>
  </w:style>
  <w:style w:type="paragraph" w:customStyle="1" w:styleId="416">
    <w:name w:val="列表接续 41"/>
    <w:basedOn w:val="a6"/>
    <w:qFormat/>
    <w:pPr>
      <w:spacing w:after="120"/>
      <w:ind w:leftChars="800" w:left="1680"/>
    </w:pPr>
  </w:style>
  <w:style w:type="paragraph" w:customStyle="1" w:styleId="CharCharCharCharCharCharCharCharChar4">
    <w:name w:val="Char Char Char Char Char Char Char Char Char4"/>
    <w:basedOn w:val="a6"/>
    <w:qFormat/>
  </w:style>
  <w:style w:type="paragraph" w:customStyle="1" w:styleId="313Char123453Char22">
    <w:name w:val="样式 标题 3三级标题三级标题1标题 3 Char1三级标题2三级标题3三级标题4三级标题5标题 3 Char2...2"/>
    <w:basedOn w:val="33"/>
    <w:qFormat/>
    <w:pPr>
      <w:adjustRightInd w:val="0"/>
      <w:spacing w:line="360" w:lineRule="auto"/>
      <w:ind w:left="520"/>
    </w:pPr>
    <w:rPr>
      <w:rFonts w:hAnsi="宋体"/>
      <w:b/>
      <w:bCs/>
      <w:spacing w:val="0"/>
      <w:szCs w:val="20"/>
    </w:rPr>
  </w:style>
  <w:style w:type="paragraph" w:customStyle="1" w:styleId="810">
    <w:name w:val="标题 81"/>
    <w:basedOn w:val="a6"/>
    <w:next w:val="a6"/>
    <w:qFormat/>
    <w:pPr>
      <w:keepNext/>
      <w:keepLines/>
      <w:adjustRightInd w:val="0"/>
      <w:spacing w:before="240" w:after="64" w:line="320" w:lineRule="atLeast"/>
      <w:textAlignment w:val="baseline"/>
      <w:outlineLvl w:val="7"/>
    </w:pPr>
    <w:rPr>
      <w:rFonts w:ascii="Arial" w:eastAsia="黑体" w:hAnsi="Arial"/>
      <w:color w:val="000000"/>
      <w:w w:val="110"/>
      <w:kern w:val="0"/>
      <w:sz w:val="24"/>
      <w:szCs w:val="20"/>
    </w:rPr>
  </w:style>
  <w:style w:type="paragraph" w:customStyle="1" w:styleId="CharCharChar51">
    <w:name w:val="Char Char Char5"/>
    <w:basedOn w:val="a6"/>
    <w:qFormat/>
  </w:style>
  <w:style w:type="paragraph" w:customStyle="1" w:styleId="Char80">
    <w:name w:val="Char8"/>
    <w:basedOn w:val="a6"/>
    <w:qFormat/>
    <w:pPr>
      <w:spacing w:after="160" w:line="240" w:lineRule="exact"/>
      <w:jc w:val="left"/>
    </w:pPr>
    <w:rPr>
      <w:rFonts w:ascii="Arial" w:eastAsia="Times New Roman" w:hAnsi="Arial" w:cs="Verdana"/>
      <w:b/>
      <w:kern w:val="0"/>
      <w:sz w:val="24"/>
      <w:lang w:eastAsia="en-US"/>
    </w:rPr>
  </w:style>
  <w:style w:type="paragraph" w:customStyle="1" w:styleId="11f9">
    <w:name w:val="普通(网站)11"/>
    <w:basedOn w:val="a6"/>
    <w:qFormat/>
    <w:pPr>
      <w:widowControl/>
      <w:spacing w:before="100" w:beforeAutospacing="1" w:after="100" w:afterAutospacing="1"/>
      <w:jc w:val="left"/>
    </w:pPr>
    <w:rPr>
      <w:rFonts w:ascii="宋体" w:hAnsi="宋体" w:cs="宋体"/>
      <w:color w:val="000000"/>
      <w:w w:val="110"/>
      <w:kern w:val="0"/>
      <w:sz w:val="24"/>
    </w:rPr>
  </w:style>
  <w:style w:type="paragraph" w:customStyle="1" w:styleId="afffffffffffffffffffffffffffffffffff6">
    <w:name w:val="表样式"/>
    <w:qFormat/>
    <w:pPr>
      <w:widowControl w:val="0"/>
    </w:pPr>
    <w:rPr>
      <w:rFonts w:ascii="仿宋_GB2312" w:eastAsia="黑体"/>
      <w:sz w:val="21"/>
    </w:rPr>
  </w:style>
  <w:style w:type="paragraph" w:customStyle="1" w:styleId="afffffffffffffffffffffffffffffffffff7">
    <w:name w:val="表头样式"/>
    <w:basedOn w:val="a6"/>
    <w:qFormat/>
    <w:pPr>
      <w:keepNext/>
      <w:widowControl/>
      <w:spacing w:beforeLines="50" w:afterLines="50" w:line="520" w:lineRule="exact"/>
      <w:ind w:firstLineChars="100" w:firstLine="280"/>
    </w:pPr>
    <w:rPr>
      <w:rFonts w:ascii="宋体" w:hAnsi="宋体"/>
      <w:kern w:val="0"/>
      <w:sz w:val="28"/>
      <w:szCs w:val="20"/>
    </w:rPr>
  </w:style>
  <w:style w:type="paragraph" w:customStyle="1" w:styleId="1ffffff8">
    <w:name w:val="表名1"/>
    <w:basedOn w:val="affffffa"/>
    <w:qFormat/>
    <w:pPr>
      <w:tabs>
        <w:tab w:val="left" w:pos="360"/>
      </w:tabs>
      <w:snapToGrid/>
      <w:ind w:left="425" w:hanging="425"/>
      <w:jc w:val="left"/>
    </w:pPr>
    <w:rPr>
      <w:rFonts w:ascii="Calibri" w:eastAsia="黑体" w:hAnsi="Calibri"/>
      <w:sz w:val="24"/>
      <w:szCs w:val="20"/>
    </w:rPr>
  </w:style>
  <w:style w:type="paragraph" w:customStyle="1" w:styleId="P150">
    <w:name w:val="正文P 黑色 行距: 1.5 倍行距"/>
    <w:basedOn w:val="a6"/>
    <w:qFormat/>
    <w:pPr>
      <w:spacing w:line="360" w:lineRule="auto"/>
      <w:ind w:firstLineChars="200" w:firstLine="200"/>
    </w:pPr>
    <w:rPr>
      <w:rFonts w:ascii="宋体" w:hAnsi="宋体" w:cs="宋体"/>
      <w:color w:val="000000"/>
      <w:sz w:val="24"/>
      <w:szCs w:val="20"/>
    </w:rPr>
  </w:style>
  <w:style w:type="paragraph" w:customStyle="1" w:styleId="Style4">
    <w:name w:val="_Style 4"/>
    <w:basedOn w:val="a6"/>
    <w:qFormat/>
    <w:rPr>
      <w:szCs w:val="20"/>
    </w:rPr>
  </w:style>
  <w:style w:type="paragraph" w:customStyle="1" w:styleId="-2">
    <w:name w:val="编号-列项2级"/>
    <w:basedOn w:val="a6"/>
    <w:qFormat/>
    <w:pPr>
      <w:widowControl/>
      <w:numPr>
        <w:ilvl w:val="1"/>
        <w:numId w:val="13"/>
      </w:numPr>
      <w:ind w:firstLine="0"/>
      <w:jc w:val="left"/>
    </w:pPr>
    <w:rPr>
      <w:rFonts w:ascii="Arial" w:hAnsi="Arial" w:cs="宋体"/>
      <w:kern w:val="0"/>
      <w:sz w:val="24"/>
    </w:rPr>
  </w:style>
  <w:style w:type="paragraph" w:customStyle="1" w:styleId="dandan6-133">
    <w:name w:val="dandan6-13标题3"/>
    <w:basedOn w:val="33"/>
    <w:qFormat/>
    <w:pPr>
      <w:keepNext w:val="0"/>
      <w:adjustRightInd w:val="0"/>
      <w:spacing w:beforeLines="50" w:afterLines="50" w:line="360" w:lineRule="auto"/>
    </w:pPr>
    <w:rPr>
      <w:rFonts w:hAnsi="黑体"/>
      <w:b/>
      <w:bCs/>
      <w:spacing w:val="0"/>
      <w:szCs w:val="32"/>
    </w:rPr>
  </w:style>
  <w:style w:type="paragraph" w:customStyle="1" w:styleId="afffffffffffffffffffffffffffffffffff8">
    <w:name w:val="正文缩小四"/>
    <w:basedOn w:val="a6"/>
    <w:qFormat/>
    <w:pPr>
      <w:spacing w:line="360" w:lineRule="auto"/>
      <w:ind w:firstLineChars="200" w:firstLine="200"/>
      <w:jc w:val="left"/>
    </w:pPr>
    <w:rPr>
      <w:rFonts w:ascii="宋体"/>
      <w:color w:val="000080"/>
      <w:sz w:val="24"/>
    </w:rPr>
  </w:style>
  <w:style w:type="paragraph" w:customStyle="1" w:styleId="afffffffffffffffffffffffffffffffffff9">
    <w:name w:val="表后空行格式"/>
    <w:basedOn w:val="affffa"/>
    <w:qFormat/>
    <w:pPr>
      <w:spacing w:line="240" w:lineRule="exact"/>
      <w:ind w:firstLine="0"/>
    </w:pPr>
    <w:rPr>
      <w:rFonts w:hAnsi="Times New Roman"/>
      <w:color w:val="000000"/>
      <w:w w:val="110"/>
      <w:sz w:val="18"/>
      <w:szCs w:val="24"/>
    </w:rPr>
  </w:style>
  <w:style w:type="paragraph" w:customStyle="1" w:styleId="2ffffff5">
    <w:name w:val="尾注文本2"/>
    <w:basedOn w:val="4fd"/>
    <w:qFormat/>
    <w:rPr>
      <w:sz w:val="21"/>
    </w:rPr>
  </w:style>
  <w:style w:type="paragraph" w:customStyle="1" w:styleId="afffffffffffffffffffffffffffffffffffa">
    <w:name w:val="条文表号表题、图号图题及目次标题"/>
    <w:basedOn w:val="a6"/>
    <w:qFormat/>
    <w:pPr>
      <w:widowControl/>
      <w:jc w:val="center"/>
    </w:pPr>
    <w:rPr>
      <w:rFonts w:ascii="Arial" w:eastAsia="黑体" w:hAnsi="Arial" w:cs="Arial"/>
      <w:kern w:val="0"/>
      <w:sz w:val="24"/>
    </w:rPr>
  </w:style>
  <w:style w:type="paragraph" w:customStyle="1" w:styleId="xl70">
    <w:name w:val="xl70"/>
    <w:basedOn w:val="a6"/>
    <w:qFormat/>
    <w:pPr>
      <w:widowControl/>
      <w:spacing w:before="100" w:beforeAutospacing="1" w:after="100" w:afterAutospacing="1"/>
      <w:jc w:val="center"/>
    </w:pPr>
    <w:rPr>
      <w:rFonts w:ascii="宋体"/>
      <w:kern w:val="0"/>
      <w:sz w:val="24"/>
      <w:szCs w:val="20"/>
    </w:rPr>
  </w:style>
  <w:style w:type="paragraph" w:customStyle="1" w:styleId="afffffffffffffffffffffffffffffffffffb">
    <w:name w:val="正文样式"/>
    <w:basedOn w:val="a6"/>
    <w:qFormat/>
    <w:pPr>
      <w:spacing w:line="460" w:lineRule="exact"/>
      <w:ind w:firstLineChars="200" w:firstLine="200"/>
    </w:pPr>
    <w:rPr>
      <w:rFonts w:ascii="宋体" w:hAnsi="宋体"/>
      <w:sz w:val="24"/>
    </w:rPr>
  </w:style>
  <w:style w:type="paragraph" w:customStyle="1" w:styleId="afffffffffffffffffffffffffffffffffffc">
    <w:name w:val="字母编号列项（一级）"/>
    <w:basedOn w:val="a6"/>
    <w:next w:val="a6"/>
    <w:qFormat/>
    <w:pPr>
      <w:widowControl/>
      <w:spacing w:line="440" w:lineRule="exact"/>
      <w:ind w:leftChars="210" w:left="410" w:hangingChars="200" w:hanging="200"/>
      <w:jc w:val="left"/>
    </w:pPr>
    <w:rPr>
      <w:rFonts w:ascii="宋体" w:cs="宋体"/>
      <w:kern w:val="0"/>
      <w:sz w:val="24"/>
      <w:szCs w:val="20"/>
    </w:rPr>
  </w:style>
  <w:style w:type="paragraph" w:customStyle="1" w:styleId="afffffffffffffffffffffffffffffffffffd">
    <w:name w:val="表头！！！！！！！！！！！！！！！"/>
    <w:basedOn w:val="a6"/>
    <w:qFormat/>
    <w:pPr>
      <w:spacing w:line="500" w:lineRule="exact"/>
      <w:jc w:val="center"/>
    </w:pPr>
    <w:rPr>
      <w:rFonts w:ascii="宋体" w:hAnsi="宋体" w:cs="宋体"/>
      <w:b/>
      <w:sz w:val="24"/>
    </w:rPr>
  </w:style>
  <w:style w:type="paragraph" w:customStyle="1" w:styleId="CharCharChar1CharCharCharChar">
    <w:name w:val="Char Char Char1 Char Char Char Char"/>
    <w:basedOn w:val="a6"/>
    <w:next w:val="a6"/>
    <w:qFormat/>
    <w:pPr>
      <w:spacing w:line="360" w:lineRule="auto"/>
      <w:ind w:firstLineChars="200" w:firstLine="200"/>
    </w:pPr>
    <w:rPr>
      <w:rFonts w:ascii="宋体" w:eastAsia="汉鼎简书宋" w:hAnsi="宋体" w:cs="宋体"/>
      <w:sz w:val="24"/>
    </w:rPr>
  </w:style>
  <w:style w:type="paragraph" w:customStyle="1" w:styleId="3fff7">
    <w:name w:val="样式 正文文本缩进 3 +"/>
    <w:basedOn w:val="39"/>
    <w:qFormat/>
    <w:pPr>
      <w:adjustRightInd/>
      <w:snapToGrid/>
      <w:spacing w:line="560" w:lineRule="exact"/>
      <w:ind w:firstLineChars="200" w:firstLine="200"/>
    </w:pPr>
    <w:rPr>
      <w:rFonts w:ascii="Times New Roman"/>
      <w:color w:val="auto"/>
      <w:kern w:val="0"/>
    </w:rPr>
  </w:style>
  <w:style w:type="paragraph" w:customStyle="1" w:styleId="CM27">
    <w:name w:val="CM27"/>
    <w:basedOn w:val="a6"/>
    <w:next w:val="a6"/>
    <w:qFormat/>
    <w:pPr>
      <w:autoSpaceDE w:val="0"/>
      <w:autoSpaceDN w:val="0"/>
      <w:adjustRightInd w:val="0"/>
      <w:spacing w:line="440" w:lineRule="atLeast"/>
      <w:jc w:val="left"/>
    </w:pPr>
    <w:rPr>
      <w:rFonts w:ascii="宋体-方正超大字符集" w:eastAsia="宋体-方正超大字符集"/>
      <w:color w:val="000000"/>
      <w:w w:val="110"/>
      <w:kern w:val="0"/>
      <w:sz w:val="20"/>
    </w:rPr>
  </w:style>
  <w:style w:type="paragraph" w:customStyle="1" w:styleId="reader-word-layerreader-word-s3-3">
    <w:name w:val="reader-word-layer reader-word-s3-3"/>
    <w:basedOn w:val="a6"/>
    <w:qFormat/>
    <w:pPr>
      <w:widowControl/>
      <w:spacing w:before="100" w:beforeAutospacing="1" w:after="100" w:afterAutospacing="1"/>
      <w:jc w:val="left"/>
    </w:pPr>
    <w:rPr>
      <w:rFonts w:ascii="宋体" w:hAnsi="宋体" w:cs="宋体"/>
      <w:kern w:val="0"/>
      <w:sz w:val="24"/>
    </w:rPr>
  </w:style>
  <w:style w:type="paragraph" w:customStyle="1" w:styleId="2ffffff6">
    <w:name w:val="小标题2"/>
    <w:basedOn w:val="a6"/>
    <w:qFormat/>
    <w:pPr>
      <w:spacing w:line="336" w:lineRule="auto"/>
      <w:ind w:firstLineChars="233" w:firstLine="559"/>
    </w:pPr>
    <w:rPr>
      <w:sz w:val="24"/>
      <w:szCs w:val="20"/>
    </w:rPr>
  </w:style>
  <w:style w:type="paragraph" w:customStyle="1" w:styleId="xl39">
    <w:name w:val="xl39"/>
    <w:basedOn w:val="a6"/>
    <w:qFormat/>
    <w:pPr>
      <w:widowControl/>
      <w:pBdr>
        <w:top w:val="single" w:sz="4" w:space="0" w:color="auto"/>
        <w:left w:val="double" w:sz="6" w:space="0" w:color="auto"/>
        <w:bottom w:val="single" w:sz="4" w:space="0" w:color="auto"/>
        <w:right w:val="single" w:sz="4" w:space="0" w:color="auto"/>
      </w:pBdr>
      <w:spacing w:before="100" w:after="100"/>
      <w:jc w:val="center"/>
      <w:textAlignment w:val="center"/>
    </w:pPr>
    <w:rPr>
      <w:rFonts w:ascii="宋体" w:hAnsi="宋体"/>
      <w:kern w:val="0"/>
      <w:szCs w:val="20"/>
    </w:rPr>
  </w:style>
  <w:style w:type="paragraph" w:customStyle="1" w:styleId="2ffffff7">
    <w:name w:val="样式 宋体 首行缩进:  2 字符"/>
    <w:basedOn w:val="a6"/>
    <w:qFormat/>
    <w:pPr>
      <w:spacing w:line="360" w:lineRule="auto"/>
      <w:ind w:firstLineChars="200" w:firstLine="200"/>
    </w:pPr>
    <w:rPr>
      <w:rFonts w:ascii="宋体" w:hAnsi="宋体" w:cs="宋体"/>
      <w:sz w:val="24"/>
      <w:szCs w:val="20"/>
    </w:rPr>
  </w:style>
  <w:style w:type="paragraph" w:customStyle="1" w:styleId="afffffffffffffffffffffffffffffffffffe">
    <w:name w:val="正缩"/>
    <w:basedOn w:val="a6"/>
    <w:qFormat/>
    <w:pPr>
      <w:adjustRightInd w:val="0"/>
      <w:ind w:firstLine="567"/>
      <w:textAlignment w:val="baseline"/>
    </w:pPr>
    <w:rPr>
      <w:sz w:val="24"/>
      <w:szCs w:val="20"/>
    </w:rPr>
  </w:style>
  <w:style w:type="paragraph" w:customStyle="1" w:styleId="affffffffffffffffffffffffffffffffffff">
    <w:name w:val="插图标题"/>
    <w:basedOn w:val="a6"/>
    <w:qFormat/>
    <w:pPr>
      <w:tabs>
        <w:tab w:val="left" w:pos="1134"/>
        <w:tab w:val="right" w:pos="7371"/>
      </w:tabs>
      <w:overflowPunct w:val="0"/>
      <w:adjustRightInd w:val="0"/>
      <w:ind w:firstLine="567"/>
      <w:jc w:val="center"/>
      <w:textAlignment w:val="baseline"/>
    </w:pPr>
    <w:rPr>
      <w:rFonts w:ascii="黑体" w:eastAsia="黑体"/>
      <w:kern w:val="0"/>
      <w:sz w:val="28"/>
      <w:szCs w:val="20"/>
    </w:rPr>
  </w:style>
  <w:style w:type="paragraph" w:customStyle="1" w:styleId="1ffffff9">
    <w:name w:val="1级标题"/>
    <w:basedOn w:val="12"/>
    <w:qFormat/>
    <w:pPr>
      <w:spacing w:before="240" w:after="240" w:line="600" w:lineRule="exact"/>
    </w:pPr>
    <w:rPr>
      <w:sz w:val="32"/>
    </w:rPr>
  </w:style>
  <w:style w:type="paragraph" w:customStyle="1" w:styleId="2135">
    <w:name w:val="样式 化工城正文 + 首行缩进:  2 字符 行距: 多倍行距 1.35 字行"/>
    <w:basedOn w:val="a6"/>
    <w:qFormat/>
    <w:pPr>
      <w:spacing w:line="324" w:lineRule="auto"/>
      <w:ind w:firstLineChars="200" w:firstLine="480"/>
    </w:pPr>
    <w:rPr>
      <w:rFonts w:ascii="宋体" w:hAnsi="宋体" w:cs="宋体"/>
      <w:sz w:val="24"/>
      <w:szCs w:val="20"/>
    </w:rPr>
  </w:style>
  <w:style w:type="paragraph" w:customStyle="1" w:styleId="puce">
    <w:name w:val="puce"/>
    <w:basedOn w:val="a6"/>
    <w:qFormat/>
    <w:pPr>
      <w:widowControl/>
      <w:numPr>
        <w:ilvl w:val="1"/>
        <w:numId w:val="28"/>
      </w:numPr>
      <w:tabs>
        <w:tab w:val="left" w:pos="1200"/>
      </w:tabs>
      <w:adjustRightInd w:val="0"/>
      <w:snapToGrid w:val="0"/>
      <w:spacing w:line="360" w:lineRule="auto"/>
      <w:ind w:left="0" w:firstLineChars="200" w:firstLine="480"/>
    </w:pPr>
    <w:rPr>
      <w:rFonts w:ascii="Arial" w:hAnsi="Arial"/>
      <w:snapToGrid w:val="0"/>
      <w:color w:val="FF00FF"/>
      <w:kern w:val="0"/>
      <w:sz w:val="24"/>
    </w:rPr>
  </w:style>
  <w:style w:type="paragraph" w:customStyle="1" w:styleId="1ffffffa">
    <w:name w:val="封面1"/>
    <w:basedOn w:val="a6"/>
    <w:qFormat/>
    <w:pPr>
      <w:spacing w:line="300" w:lineRule="auto"/>
      <w:jc w:val="left"/>
    </w:pPr>
    <w:rPr>
      <w:b/>
      <w:bCs/>
      <w:color w:val="000000"/>
      <w:sz w:val="32"/>
      <w:bdr w:val="single" w:sz="4" w:space="0" w:color="auto"/>
    </w:rPr>
  </w:style>
  <w:style w:type="paragraph" w:customStyle="1" w:styleId="11111h11stlevelSectionHeadl1b1-2">
    <w:name w:val="样式 样式 标题 11.标题 1§1.?.章标题 1h11st levelSection Headl1b1-*+ ...2 + ..."/>
    <w:qFormat/>
    <w:pPr>
      <w:tabs>
        <w:tab w:val="left" w:pos="432"/>
      </w:tabs>
      <w:spacing w:line="336" w:lineRule="auto"/>
      <w:jc w:val="center"/>
    </w:pPr>
    <w:rPr>
      <w:rFonts w:ascii="楷体_GB2312" w:eastAsia="楷体_GB2312"/>
      <w:sz w:val="32"/>
      <w:szCs w:val="32"/>
    </w:rPr>
  </w:style>
  <w:style w:type="paragraph" w:customStyle="1" w:styleId="11111h11stlevelSectionHeadl1b1-20">
    <w:name w:val="样式 标题 11.标题 1§1.?.章标题 1h11st levelSection Headl1b1-*+ ...2"/>
    <w:basedOn w:val="12"/>
    <w:qFormat/>
    <w:pPr>
      <w:keepNext w:val="0"/>
      <w:keepLines w:val="0"/>
      <w:tabs>
        <w:tab w:val="left" w:pos="432"/>
      </w:tabs>
      <w:autoSpaceDE w:val="0"/>
      <w:autoSpaceDN w:val="0"/>
      <w:spacing w:beforeLines="100" w:before="0" w:afterLines="100" w:after="0" w:line="360" w:lineRule="auto"/>
      <w:ind w:left="431" w:hanging="431"/>
      <w:jc w:val="left"/>
    </w:pPr>
    <w:rPr>
      <w:rFonts w:ascii="Arial" w:hAnsi="Arial" w:cs="宋体"/>
      <w:b w:val="0"/>
      <w:kern w:val="2"/>
      <w:sz w:val="24"/>
      <w:szCs w:val="20"/>
    </w:rPr>
  </w:style>
  <w:style w:type="paragraph" w:customStyle="1" w:styleId="affffffffffffffffffffffffffffffffffff0">
    <w:name w:val="图表脚注说明"/>
    <w:basedOn w:val="a6"/>
    <w:qFormat/>
    <w:pPr>
      <w:tabs>
        <w:tab w:val="left" w:pos="360"/>
      </w:tabs>
    </w:pPr>
    <w:rPr>
      <w:rFonts w:ascii="宋体"/>
      <w:color w:val="000000"/>
      <w:w w:val="110"/>
      <w:kern w:val="0"/>
      <w:sz w:val="18"/>
      <w:szCs w:val="18"/>
    </w:rPr>
  </w:style>
  <w:style w:type="paragraph" w:customStyle="1" w:styleId="44XWTimesNewRoman15">
    <w:name w:val="样式 标题 4标题 4XW + (西文) Times New Roman 行距: 1.5 倍行距"/>
    <w:basedOn w:val="41"/>
    <w:next w:val="a6"/>
    <w:qFormat/>
    <w:pPr>
      <w:keepNext w:val="0"/>
      <w:keepLines w:val="0"/>
      <w:wordWrap w:val="0"/>
      <w:adjustRightInd/>
      <w:spacing w:beforeLines="0" w:before="0" w:line="360" w:lineRule="auto"/>
      <w:ind w:firstLineChars="200" w:firstLine="200"/>
    </w:pPr>
    <w:rPr>
      <w:rFonts w:ascii="Times New Roman" w:eastAsia="宋体" w:hAnsi="Times New Roman" w:cs="宋体"/>
      <w:bCs w:val="0"/>
      <w:sz w:val="24"/>
    </w:rPr>
  </w:style>
  <w:style w:type="paragraph" w:customStyle="1" w:styleId="affffffffffffffffffffffffffffffffffff1">
    <w:name w:val="标题三 楷体"/>
    <w:basedOn w:val="33"/>
    <w:qFormat/>
    <w:pPr>
      <w:keepNext w:val="0"/>
      <w:keepLines w:val="0"/>
      <w:adjustRightInd w:val="0"/>
      <w:spacing w:line="500" w:lineRule="exact"/>
    </w:pPr>
    <w:rPr>
      <w:rFonts w:ascii="楷体_GB2312" w:eastAsia="楷体_GB2312"/>
      <w:b/>
      <w:bCs/>
      <w:snapToGrid w:val="0"/>
      <w:spacing w:val="0"/>
      <w:sz w:val="24"/>
      <w:szCs w:val="24"/>
    </w:rPr>
  </w:style>
  <w:style w:type="paragraph" w:customStyle="1" w:styleId="6c">
    <w:name w:val="样式6"/>
    <w:basedOn w:val="a6"/>
    <w:qFormat/>
    <w:pPr>
      <w:adjustRightInd w:val="0"/>
      <w:spacing w:line="360" w:lineRule="atLeast"/>
      <w:ind w:firstLine="482"/>
      <w:textAlignment w:val="baseline"/>
    </w:pPr>
    <w:rPr>
      <w:spacing w:val="4"/>
      <w:kern w:val="0"/>
      <w:szCs w:val="20"/>
    </w:rPr>
  </w:style>
  <w:style w:type="paragraph" w:customStyle="1" w:styleId="2ffffff8">
    <w:name w:val="页脚2"/>
    <w:basedOn w:val="af0"/>
    <w:qFormat/>
    <w:pPr>
      <w:tabs>
        <w:tab w:val="center" w:pos="4153"/>
        <w:tab w:val="right" w:pos="8306"/>
      </w:tabs>
      <w:spacing w:line="240" w:lineRule="atLeast"/>
      <w:ind w:firstLine="0"/>
    </w:pPr>
    <w:rPr>
      <w:rFonts w:hAnsi="Times New Roman"/>
      <w:sz w:val="18"/>
      <w:szCs w:val="20"/>
    </w:rPr>
  </w:style>
  <w:style w:type="paragraph" w:customStyle="1" w:styleId="12e">
    <w:name w:val="样式 样式1 + 首行缩进:  2 字符"/>
    <w:basedOn w:val="1e"/>
    <w:qFormat/>
    <w:pPr>
      <w:adjustRightInd/>
      <w:snapToGrid/>
      <w:spacing w:beforeLines="0" w:before="0" w:afterLines="0" w:after="0" w:line="440" w:lineRule="exact"/>
    </w:pPr>
    <w:rPr>
      <w:rFonts w:ascii="Calibri" w:hAnsi="Calibri"/>
      <w:bCs w:val="0"/>
    </w:rPr>
  </w:style>
  <w:style w:type="paragraph" w:customStyle="1" w:styleId="1111110">
    <w:name w:val="样式 1.1.1.1 + 右侧:  1 字符1"/>
    <w:basedOn w:val="41"/>
    <w:qFormat/>
    <w:pPr>
      <w:keepNext w:val="0"/>
      <w:keepLines w:val="0"/>
      <w:tabs>
        <w:tab w:val="left" w:pos="1070"/>
      </w:tabs>
      <w:overflowPunct w:val="0"/>
      <w:autoSpaceDE w:val="0"/>
      <w:autoSpaceDN w:val="0"/>
      <w:spacing w:beforeLines="0" w:before="0" w:line="240" w:lineRule="exact"/>
      <w:jc w:val="left"/>
      <w:textAlignment w:val="baseline"/>
    </w:pPr>
    <w:rPr>
      <w:rFonts w:ascii="宋体" w:eastAsia="宋体" w:hAnsi="Times New Roman" w:cs="TimesNewRoman"/>
      <w:bCs w:val="0"/>
      <w:snapToGrid w:val="0"/>
      <w:sz w:val="24"/>
    </w:rPr>
  </w:style>
  <w:style w:type="paragraph" w:customStyle="1" w:styleId="CharCharCharCharCharCharCharCharCharChar1">
    <w:name w:val="Char Char Char Char Char Char Char Char Char Char1"/>
    <w:basedOn w:val="a6"/>
    <w:next w:val="a6"/>
    <w:qFormat/>
    <w:pPr>
      <w:spacing w:line="360" w:lineRule="auto"/>
      <w:ind w:firstLineChars="200" w:firstLine="200"/>
    </w:pPr>
    <w:rPr>
      <w:rFonts w:ascii="宋体" w:hAnsi="宋体" w:cs="宋体"/>
      <w:color w:val="000000"/>
      <w:w w:val="110"/>
      <w:kern w:val="0"/>
      <w:sz w:val="24"/>
    </w:rPr>
  </w:style>
  <w:style w:type="paragraph" w:customStyle="1" w:styleId="affffffffffffffffffffffffffffffffffff2">
    <w:name w:val="文件"/>
    <w:basedOn w:val="a6"/>
    <w:qFormat/>
    <w:pPr>
      <w:widowControl/>
      <w:tabs>
        <w:tab w:val="left" w:pos="300"/>
      </w:tabs>
      <w:spacing w:line="360" w:lineRule="auto"/>
      <w:ind w:left="900"/>
    </w:pPr>
    <w:rPr>
      <w:rFonts w:ascii="楷体_GB2312" w:eastAsia="楷体_GB2312" w:hAnsi="宋体"/>
      <w:kern w:val="0"/>
      <w:sz w:val="30"/>
    </w:rPr>
  </w:style>
  <w:style w:type="paragraph" w:customStyle="1" w:styleId="11fa">
    <w:name w:val="列出段落11"/>
    <w:basedOn w:val="a6"/>
    <w:qFormat/>
    <w:pPr>
      <w:ind w:firstLineChars="200" w:firstLine="420"/>
    </w:pPr>
  </w:style>
  <w:style w:type="paragraph" w:customStyle="1" w:styleId="1ffffffb">
    <w:name w:val="电子邮件签名1"/>
    <w:basedOn w:val="a6"/>
    <w:qFormat/>
  </w:style>
  <w:style w:type="paragraph" w:customStyle="1" w:styleId="affffffffffffffffffffffffffffffffffff3">
    <w:name w:val="一级无标题条"/>
    <w:basedOn w:val="a6"/>
    <w:qFormat/>
    <w:pPr>
      <w:ind w:firstLineChars="200" w:firstLine="200"/>
    </w:pPr>
  </w:style>
  <w:style w:type="paragraph" w:customStyle="1" w:styleId="T12">
    <w:name w:val="T1 标题"/>
    <w:basedOn w:val="12"/>
    <w:qFormat/>
    <w:pPr>
      <w:tabs>
        <w:tab w:val="left" w:pos="480"/>
        <w:tab w:val="left" w:pos="1778"/>
        <w:tab w:val="left" w:pos="2629"/>
      </w:tabs>
      <w:spacing w:line="360" w:lineRule="auto"/>
      <w:ind w:left="432"/>
      <w:jc w:val="center"/>
    </w:pPr>
    <w:rPr>
      <w:rFonts w:ascii="宋体" w:hAnsi="宋体" w:cs="宋体"/>
      <w:szCs w:val="20"/>
    </w:rPr>
  </w:style>
  <w:style w:type="paragraph" w:customStyle="1" w:styleId="affffffffffffffffffffffffffffffffffff4">
    <w:name w:val="文本框"/>
    <w:basedOn w:val="a6"/>
    <w:qFormat/>
    <w:pPr>
      <w:spacing w:line="240" w:lineRule="atLeast"/>
    </w:pPr>
    <w:rPr>
      <w:rFonts w:ascii="宋体"/>
      <w:szCs w:val="20"/>
    </w:rPr>
  </w:style>
  <w:style w:type="paragraph" w:customStyle="1" w:styleId="Char1CharCharChar3">
    <w:name w:val="Char1 Char Char Char3"/>
    <w:basedOn w:val="a6"/>
    <w:qFormat/>
    <w:rPr>
      <w:rFonts w:ascii="Tahoma" w:hAnsi="Tahoma"/>
      <w:sz w:val="24"/>
      <w:szCs w:val="20"/>
    </w:rPr>
  </w:style>
  <w:style w:type="paragraph" w:customStyle="1" w:styleId="CharCharChar60">
    <w:name w:val="Char Char Char6"/>
    <w:basedOn w:val="a6"/>
    <w:qFormat/>
  </w:style>
  <w:style w:type="paragraph" w:customStyle="1" w:styleId="318">
    <w:name w:val="列表接续 31"/>
    <w:basedOn w:val="a6"/>
    <w:qFormat/>
    <w:pPr>
      <w:spacing w:after="120"/>
      <w:ind w:leftChars="600" w:left="1260"/>
    </w:pPr>
  </w:style>
  <w:style w:type="paragraph" w:customStyle="1" w:styleId="2ffffff9">
    <w:name w:val="无间隔2"/>
    <w:basedOn w:val="a6"/>
    <w:uiPriority w:val="1"/>
    <w:qFormat/>
    <w:pPr>
      <w:widowControl/>
      <w:jc w:val="left"/>
    </w:pPr>
    <w:rPr>
      <w:rFonts w:ascii="Cambria" w:hAnsi="Cambria" w:cs="黑体"/>
      <w:kern w:val="0"/>
      <w:sz w:val="22"/>
      <w:szCs w:val="22"/>
      <w:lang w:eastAsia="en-US" w:bidi="en-US"/>
    </w:rPr>
  </w:style>
  <w:style w:type="paragraph" w:customStyle="1" w:styleId="1ffffffc">
    <w:name w:val="样式 正文首行缩进 + 首行缩进:  1 字符"/>
    <w:basedOn w:val="affc"/>
    <w:qFormat/>
    <w:pPr>
      <w:spacing w:line="440" w:lineRule="exact"/>
      <w:ind w:firstLine="200"/>
    </w:pPr>
    <w:rPr>
      <w:rFonts w:ascii="Times New Roman" w:hAnsi="Times New Roman" w:cs="宋体"/>
      <w:bCs w:val="0"/>
      <w:spacing w:val="6"/>
      <w:kern w:val="2"/>
      <w:sz w:val="24"/>
      <w:szCs w:val="24"/>
    </w:rPr>
  </w:style>
  <w:style w:type="paragraph" w:customStyle="1" w:styleId="affffffffffffffffffffffffffffffffffff5">
    <w:name w:val="四级标题"/>
    <w:basedOn w:val="a6"/>
    <w:qFormat/>
    <w:pPr>
      <w:outlineLvl w:val="3"/>
    </w:pPr>
    <w:rPr>
      <w:b/>
    </w:rPr>
  </w:style>
  <w:style w:type="paragraph" w:customStyle="1" w:styleId="CM11">
    <w:name w:val="CM11"/>
    <w:basedOn w:val="Default"/>
    <w:next w:val="Default"/>
    <w:qFormat/>
    <w:pPr>
      <w:spacing w:line="546" w:lineRule="atLeast"/>
    </w:pPr>
    <w:rPr>
      <w:rFonts w:ascii="黑体" w:eastAsia="黑体" w:cs="黑体"/>
    </w:rPr>
  </w:style>
  <w:style w:type="paragraph" w:customStyle="1" w:styleId="CM91">
    <w:name w:val="CM91"/>
    <w:basedOn w:val="Default"/>
    <w:next w:val="Default"/>
    <w:qFormat/>
    <w:pPr>
      <w:spacing w:after="300"/>
    </w:pPr>
    <w:rPr>
      <w:rFonts w:ascii="黑体" w:eastAsia="黑体"/>
      <w:color w:val="auto"/>
    </w:rPr>
  </w:style>
  <w:style w:type="paragraph" w:customStyle="1" w:styleId="CharCharCharCharCharCharCharCharChar1CharCharCharCharCharCharCharCharCharCharCharCharCharCharCharCharCharCharCharCharCharChar">
    <w:name w:val="Char Char Char Char Char Char Char Char Char1 Char Char Char Char Char Char Char Char Char Char Char Char Char Char Char Char Char Char Char Char Char Char"/>
    <w:basedOn w:val="a6"/>
    <w:qFormat/>
    <w:rPr>
      <w:sz w:val="24"/>
    </w:rPr>
  </w:style>
  <w:style w:type="paragraph" w:customStyle="1" w:styleId="CharCharCharCharCharChar1CharCharCharCharCharCharCharCharCharCharCharChar">
    <w:name w:val="Char Char Char Char Char Char1 Char Char Char Char Char Char Char Char Char Char Char Char"/>
    <w:basedOn w:val="a6"/>
    <w:qFormat/>
  </w:style>
  <w:style w:type="paragraph" w:customStyle="1" w:styleId="xl92">
    <w:name w:val="xl92"/>
    <w:basedOn w:val="a6"/>
    <w:qFormat/>
    <w:pPr>
      <w:widowControl/>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left"/>
      <w:textAlignment w:val="center"/>
    </w:pPr>
    <w:rPr>
      <w:b/>
      <w:bCs/>
      <w:kern w:val="0"/>
      <w:sz w:val="20"/>
      <w:szCs w:val="20"/>
    </w:rPr>
  </w:style>
  <w:style w:type="paragraph" w:customStyle="1" w:styleId="CharCharCharCharCharCharCharCharChar2">
    <w:name w:val="Char Char Char Char Char Char Char Char Char2"/>
    <w:basedOn w:val="a6"/>
    <w:qFormat/>
  </w:style>
  <w:style w:type="paragraph" w:customStyle="1" w:styleId="affffffffffffffffffffffffffffffffffff6">
    <w:name w:val="表格中"/>
    <w:basedOn w:val="a6"/>
    <w:qFormat/>
    <w:pPr>
      <w:spacing w:line="280" w:lineRule="exact"/>
      <w:jc w:val="center"/>
    </w:pPr>
    <w:rPr>
      <w:rFonts w:ascii="宋体"/>
      <w:sz w:val="18"/>
    </w:rPr>
  </w:style>
  <w:style w:type="paragraph" w:customStyle="1" w:styleId="CharCharChar1CharCharCharCharCharCharCharCharCharCharCharCharCharCharCharCharChar1">
    <w:name w:val="Char Char Char1 Char Char Char Char Char Char Char Char Char Char Char Char Char Char Char Char Char1"/>
    <w:basedOn w:val="a6"/>
    <w:qFormat/>
  </w:style>
  <w:style w:type="paragraph" w:customStyle="1" w:styleId="affffffffffffffffffffffffffffffffffff7">
    <w:name w:val="仿宋四号"/>
    <w:basedOn w:val="a6"/>
    <w:qFormat/>
    <w:pPr>
      <w:ind w:firstLineChars="200" w:firstLine="560"/>
    </w:pPr>
    <w:rPr>
      <w:rFonts w:ascii="仿宋_GB2312" w:eastAsia="仿宋_GB2312" w:hAnsi="Arial"/>
      <w:sz w:val="28"/>
      <w:szCs w:val="20"/>
    </w:rPr>
  </w:style>
  <w:style w:type="paragraph" w:customStyle="1" w:styleId="affffffffffffffffffffffffffffffffffff8">
    <w:name w:val="样式 标题 + 居中"/>
    <w:basedOn w:val="aa"/>
    <w:qFormat/>
    <w:pPr>
      <w:pageBreakBefore w:val="0"/>
      <w:tabs>
        <w:tab w:val="left" w:pos="0"/>
      </w:tabs>
      <w:spacing w:before="0" w:after="100" w:afterAutospacing="1" w:line="360" w:lineRule="auto"/>
      <w:ind w:left="57" w:hanging="57"/>
    </w:pPr>
    <w:rPr>
      <w:rFonts w:ascii="楷体_GB2312" w:eastAsia="隶书" w:hAnsi="Arial" w:cs="宋体"/>
      <w:kern w:val="0"/>
      <w:sz w:val="36"/>
      <w:szCs w:val="20"/>
    </w:rPr>
  </w:style>
  <w:style w:type="paragraph" w:customStyle="1" w:styleId="CharCharCharCharCharCharCharCharCharCharCharCharChar2">
    <w:name w:val="Char Char Char Char Char Char Char Char Char Char Char Char Char2"/>
    <w:basedOn w:val="a6"/>
    <w:qFormat/>
    <w:pPr>
      <w:autoSpaceDE w:val="0"/>
      <w:autoSpaceDN w:val="0"/>
      <w:adjustRightInd w:val="0"/>
      <w:snapToGrid w:val="0"/>
      <w:spacing w:before="50" w:after="50" w:line="360" w:lineRule="auto"/>
      <w:ind w:firstLineChars="200" w:firstLine="560"/>
    </w:pPr>
    <w:rPr>
      <w:rFonts w:eastAsia="仿宋_GB2312"/>
      <w:color w:val="000000"/>
      <w:sz w:val="24"/>
    </w:rPr>
  </w:style>
  <w:style w:type="paragraph" w:customStyle="1" w:styleId="361">
    <w:name w:val="样式 一号 加粗 居中 行距: 固定值 36 磅"/>
    <w:basedOn w:val="a6"/>
    <w:qFormat/>
    <w:pPr>
      <w:spacing w:line="720" w:lineRule="exact"/>
      <w:jc w:val="center"/>
    </w:pPr>
    <w:rPr>
      <w:rFonts w:eastAsia="汉鼎简书宋" w:cs="宋体"/>
      <w:b/>
      <w:bCs/>
      <w:kern w:val="0"/>
      <w:sz w:val="48"/>
      <w:szCs w:val="48"/>
    </w:rPr>
  </w:style>
  <w:style w:type="paragraph" w:customStyle="1" w:styleId="Char61">
    <w:name w:val="Char61"/>
    <w:basedOn w:val="a6"/>
    <w:qFormat/>
  </w:style>
  <w:style w:type="paragraph" w:customStyle="1" w:styleId="1ffffffd">
    <w:name w:val="寄信人地址1"/>
    <w:basedOn w:val="a6"/>
    <w:qFormat/>
    <w:pPr>
      <w:snapToGrid w:val="0"/>
    </w:pPr>
    <w:rPr>
      <w:rFonts w:ascii="Arial" w:hAnsi="Arial" w:cs="Arial"/>
    </w:rPr>
  </w:style>
  <w:style w:type="paragraph" w:customStyle="1" w:styleId="085">
    <w:name w:val="样式 首行缩进:  0.85 厘米"/>
    <w:basedOn w:val="a6"/>
    <w:qFormat/>
    <w:pPr>
      <w:spacing w:line="360" w:lineRule="auto"/>
      <w:ind w:firstLine="482"/>
    </w:pPr>
    <w:rPr>
      <w:rFonts w:cs="宋体"/>
      <w:sz w:val="24"/>
      <w:szCs w:val="20"/>
    </w:rPr>
  </w:style>
  <w:style w:type="paragraph" w:customStyle="1" w:styleId="22f0">
    <w:name w:val="样式 标题 2 + 首行缩进:  2 字符"/>
    <w:basedOn w:val="22"/>
    <w:qFormat/>
    <w:pPr>
      <w:widowControl/>
      <w:spacing w:afterLines="50"/>
      <w:jc w:val="center"/>
    </w:pPr>
    <w:rPr>
      <w:rFonts w:cs="宋体"/>
      <w:spacing w:val="0"/>
      <w:w w:val="100"/>
      <w:kern w:val="2"/>
      <w:sz w:val="30"/>
      <w:szCs w:val="30"/>
    </w:rPr>
  </w:style>
  <w:style w:type="paragraph" w:customStyle="1" w:styleId="4ff1">
    <w:name w:val="样式 标题 4"/>
    <w:basedOn w:val="41"/>
    <w:qFormat/>
    <w:pPr>
      <w:keepNext w:val="0"/>
      <w:keepLines w:val="0"/>
      <w:tabs>
        <w:tab w:val="left" w:pos="2280"/>
      </w:tabs>
      <w:overflowPunct w:val="0"/>
      <w:autoSpaceDE w:val="0"/>
      <w:autoSpaceDN w:val="0"/>
      <w:spacing w:beforeLines="0" w:before="0" w:line="240" w:lineRule="exact"/>
      <w:ind w:hanging="420"/>
      <w:textAlignment w:val="baseline"/>
    </w:pPr>
    <w:rPr>
      <w:rFonts w:ascii="宋体" w:eastAsia="宋体" w:hAnsi="Times New Roman"/>
      <w:sz w:val="24"/>
    </w:rPr>
  </w:style>
  <w:style w:type="paragraph" w:customStyle="1" w:styleId="2lxb2211H2h2Char41SeHea">
    <w:name w:val="样式 标题 2二级标题标题 lxb2标题21.1H2h2第一层条二级标题 Char单位名4.1SeHea..."/>
    <w:basedOn w:val="afffd"/>
    <w:next w:val="afffd"/>
    <w:qFormat/>
    <w:pPr>
      <w:ind w:firstLineChars="0" w:firstLine="0"/>
    </w:pPr>
    <w:rPr>
      <w:rFonts w:eastAsia="黑体" w:cs="宋体"/>
      <w:b/>
    </w:rPr>
  </w:style>
  <w:style w:type="paragraph" w:customStyle="1" w:styleId="PlainText1">
    <w:name w:val="Plain Text1"/>
    <w:basedOn w:val="a6"/>
    <w:qFormat/>
    <w:pPr>
      <w:tabs>
        <w:tab w:val="left" w:pos="1845"/>
      </w:tabs>
      <w:spacing w:line="240" w:lineRule="exact"/>
      <w:jc w:val="center"/>
    </w:pPr>
    <w:rPr>
      <w:sz w:val="18"/>
    </w:rPr>
  </w:style>
  <w:style w:type="paragraph" w:customStyle="1" w:styleId="TY">
    <w:name w:val="TY"/>
    <w:basedOn w:val="a6"/>
    <w:qFormat/>
    <w:pPr>
      <w:adjustRightInd w:val="0"/>
      <w:snapToGrid w:val="0"/>
      <w:spacing w:before="40" w:after="40"/>
    </w:pPr>
    <w:rPr>
      <w:color w:val="000000"/>
      <w:w w:val="110"/>
      <w:kern w:val="0"/>
      <w:sz w:val="24"/>
      <w:szCs w:val="20"/>
    </w:rPr>
  </w:style>
  <w:style w:type="paragraph" w:customStyle="1" w:styleId="test-">
    <w:name w:val="test-"/>
    <w:basedOn w:val="a6"/>
    <w:qFormat/>
    <w:pPr>
      <w:widowControl/>
      <w:spacing w:before="100" w:beforeAutospacing="1" w:after="100" w:afterAutospacing="1"/>
      <w:jc w:val="left"/>
    </w:pPr>
    <w:rPr>
      <w:rFonts w:ascii="宋体" w:hAnsi="宋体" w:cs="宋体"/>
      <w:kern w:val="0"/>
      <w:sz w:val="24"/>
    </w:rPr>
  </w:style>
  <w:style w:type="paragraph" w:customStyle="1" w:styleId="4ff2">
    <w:name w:val="标4"/>
    <w:basedOn w:val="a6"/>
    <w:qFormat/>
    <w:pPr>
      <w:tabs>
        <w:tab w:val="left" w:pos="425"/>
      </w:tabs>
      <w:ind w:left="425" w:hanging="425"/>
    </w:pPr>
    <w:rPr>
      <w:szCs w:val="20"/>
    </w:rPr>
  </w:style>
  <w:style w:type="paragraph" w:customStyle="1" w:styleId="111112">
    <w:name w:val="表提11111"/>
    <w:basedOn w:val="affc"/>
    <w:qFormat/>
    <w:pPr>
      <w:keepNext/>
      <w:tabs>
        <w:tab w:val="left" w:pos="628"/>
        <w:tab w:val="left" w:pos="1727"/>
        <w:tab w:val="left" w:pos="1884"/>
        <w:tab w:val="left" w:pos="2940"/>
      </w:tabs>
      <w:adjustRightInd w:val="0"/>
      <w:snapToGrid w:val="0"/>
      <w:spacing w:line="300" w:lineRule="auto"/>
      <w:ind w:firstLine="0"/>
      <w:jc w:val="center"/>
    </w:pPr>
    <w:rPr>
      <w:b/>
      <w:color w:val="000000"/>
      <w:spacing w:val="0"/>
      <w:kern w:val="2"/>
      <w:sz w:val="24"/>
      <w:szCs w:val="20"/>
    </w:rPr>
  </w:style>
  <w:style w:type="paragraph" w:customStyle="1" w:styleId="affffffffffffffffffffffffffffffffffff9">
    <w:name w:val="基准标题"/>
    <w:basedOn w:val="af8"/>
    <w:next w:val="af8"/>
    <w:qFormat/>
    <w:pPr>
      <w:spacing w:after="0" w:line="280" w:lineRule="exact"/>
      <w:outlineLvl w:val="0"/>
    </w:pPr>
    <w:rPr>
      <w:rFonts w:ascii="宋体" w:hAnsi="宋体"/>
      <w:bCs/>
      <w:spacing w:val="-10"/>
      <w:sz w:val="18"/>
    </w:rPr>
  </w:style>
  <w:style w:type="paragraph" w:customStyle="1" w:styleId="102">
    <w:name w:val="样式 宋体 10 磅 黑色 居中"/>
    <w:basedOn w:val="a6"/>
    <w:next w:val="afc"/>
    <w:qFormat/>
    <w:pPr>
      <w:jc w:val="center"/>
    </w:pPr>
    <w:rPr>
      <w:rFonts w:ascii="宋体" w:cs="宋体"/>
      <w:color w:val="000000"/>
      <w:kern w:val="0"/>
      <w:sz w:val="20"/>
      <w:szCs w:val="20"/>
    </w:rPr>
  </w:style>
  <w:style w:type="paragraph" w:customStyle="1" w:styleId="CharCharCharCharCharChar1Char3">
    <w:name w:val="Char Char Char Char Char Char1 Char3"/>
    <w:basedOn w:val="a6"/>
    <w:qFormat/>
  </w:style>
  <w:style w:type="paragraph" w:customStyle="1" w:styleId="CharCharCharff2">
    <w:name w:val="二级标题 Char Char Char"/>
    <w:basedOn w:val="a6"/>
    <w:next w:val="a6"/>
    <w:qFormat/>
    <w:pPr>
      <w:spacing w:line="529" w:lineRule="exact"/>
      <w:ind w:firstLineChars="200" w:firstLine="200"/>
    </w:pPr>
    <w:rPr>
      <w:rFonts w:ascii="宋体" w:hAnsi="宋体" w:cs="宋体"/>
      <w:sz w:val="24"/>
    </w:rPr>
  </w:style>
  <w:style w:type="paragraph" w:customStyle="1" w:styleId="Style610">
    <w:name w:val="Style61"/>
    <w:basedOn w:val="a6"/>
    <w:qFormat/>
    <w:pPr>
      <w:adjustRightInd w:val="0"/>
      <w:jc w:val="left"/>
    </w:pPr>
    <w:rPr>
      <w:rFonts w:ascii="宋体"/>
      <w:kern w:val="0"/>
      <w:sz w:val="24"/>
      <w:szCs w:val="20"/>
    </w:rPr>
  </w:style>
  <w:style w:type="paragraph" w:customStyle="1" w:styleId="affffffffffffffffffffffffffffffffffffa">
    <w:name w:val="条(二级)"/>
    <w:basedOn w:val="22"/>
    <w:next w:val="a6"/>
    <w:qFormat/>
    <w:pPr>
      <w:tabs>
        <w:tab w:val="left" w:pos="998"/>
      </w:tabs>
      <w:autoSpaceDE w:val="0"/>
      <w:autoSpaceDN w:val="0"/>
      <w:adjustRightInd w:val="0"/>
      <w:spacing w:line="460" w:lineRule="exact"/>
      <w:ind w:left="576" w:hanging="576"/>
      <w:jc w:val="left"/>
      <w:textAlignment w:val="baseline"/>
      <w:outlineLvl w:val="9"/>
    </w:pPr>
    <w:rPr>
      <w:rFonts w:cs="Arial"/>
      <w:spacing w:val="3"/>
      <w:w w:val="100"/>
      <w:kern w:val="24"/>
      <w:sz w:val="26"/>
      <w:szCs w:val="26"/>
    </w:rPr>
  </w:style>
  <w:style w:type="paragraph" w:customStyle="1" w:styleId="affffffffffffffffffffffffffffffffffffb">
    <w:name w:val="宋体"/>
    <w:basedOn w:val="a6"/>
    <w:qFormat/>
    <w:rPr>
      <w:b/>
      <w:sz w:val="24"/>
    </w:rPr>
  </w:style>
  <w:style w:type="paragraph" w:customStyle="1" w:styleId="CharCharCharChar30">
    <w:name w:val="Char Char Char Char3"/>
    <w:basedOn w:val="a6"/>
    <w:qFormat/>
    <w:rPr>
      <w:rFonts w:ascii="Tahoma" w:hAnsi="Tahoma"/>
      <w:sz w:val="24"/>
      <w:szCs w:val="20"/>
    </w:rPr>
  </w:style>
  <w:style w:type="paragraph" w:customStyle="1" w:styleId="CharCharCharCharCharCharCharChar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 Char Char Char Char Char Char Char Char2"/>
    <w:basedOn w:val="a6"/>
    <w:qFormat/>
    <w:rPr>
      <w:color w:val="000000"/>
      <w:w w:val="110"/>
      <w:kern w:val="0"/>
      <w:sz w:val="24"/>
    </w:rPr>
  </w:style>
  <w:style w:type="paragraph" w:customStyle="1" w:styleId="reader-word-layerreader-word-s1-30">
    <w:name w:val="reader-word-layer reader-word-s1-30"/>
    <w:basedOn w:val="a6"/>
    <w:qFormat/>
    <w:pPr>
      <w:widowControl/>
      <w:spacing w:before="100" w:beforeAutospacing="1" w:after="100" w:afterAutospacing="1"/>
      <w:jc w:val="left"/>
    </w:pPr>
    <w:rPr>
      <w:rFonts w:ascii="宋体" w:hAnsi="宋体" w:cs="宋体"/>
      <w:kern w:val="0"/>
      <w:sz w:val="24"/>
    </w:rPr>
  </w:style>
  <w:style w:type="paragraph" w:customStyle="1" w:styleId="2ffffffa">
    <w:name w:val="样式 样式 居中 + 首行缩进:  2 字符"/>
    <w:basedOn w:val="a6"/>
    <w:qFormat/>
    <w:pPr>
      <w:keepNext/>
      <w:keepLines/>
      <w:widowControl/>
      <w:tabs>
        <w:tab w:val="left" w:pos="1727"/>
        <w:tab w:val="left" w:pos="1884"/>
      </w:tabs>
      <w:autoSpaceDE w:val="0"/>
      <w:autoSpaceDN w:val="0"/>
      <w:adjustRightInd w:val="0"/>
      <w:spacing w:line="288" w:lineRule="auto"/>
      <w:jc w:val="center"/>
      <w:outlineLvl w:val="0"/>
    </w:pPr>
    <w:rPr>
      <w:rFonts w:cs="宋体"/>
      <w:kern w:val="0"/>
      <w:sz w:val="24"/>
      <w:szCs w:val="20"/>
    </w:rPr>
  </w:style>
  <w:style w:type="paragraph" w:customStyle="1" w:styleId="reader-word-layerreader-word-s1-19">
    <w:name w:val="reader-word-layer reader-word-s1-19"/>
    <w:basedOn w:val="a6"/>
    <w:qFormat/>
    <w:pPr>
      <w:widowControl/>
      <w:spacing w:before="100" w:beforeAutospacing="1" w:after="100" w:afterAutospacing="1"/>
      <w:jc w:val="left"/>
    </w:pPr>
    <w:rPr>
      <w:rFonts w:ascii="宋体" w:hAnsi="宋体" w:cs="宋体"/>
      <w:kern w:val="0"/>
      <w:sz w:val="24"/>
    </w:rPr>
  </w:style>
  <w:style w:type="paragraph" w:customStyle="1" w:styleId="CharCharChar1CharCharCharCharCharCharCharCharCharCharCharCharCharCharCharCharCharCharChar2">
    <w:name w:val="Char Char Char1 Char Char Char Char Char Char Char Char Char Char Char Char Char Char Char Char Char Char Char2"/>
    <w:basedOn w:val="a6"/>
    <w:qFormat/>
    <w:rPr>
      <w:color w:val="000000"/>
      <w:w w:val="110"/>
      <w:kern w:val="0"/>
      <w:sz w:val="24"/>
    </w:rPr>
  </w:style>
  <w:style w:type="paragraph" w:customStyle="1" w:styleId="affffffffffffffffffffffffffffffffffffc">
    <w:name w:val="表格文字居左"/>
    <w:basedOn w:val="a6"/>
    <w:qFormat/>
    <w:pPr>
      <w:widowControl/>
      <w:tabs>
        <w:tab w:val="left" w:pos="628"/>
        <w:tab w:val="left" w:pos="1727"/>
        <w:tab w:val="left" w:pos="1884"/>
      </w:tabs>
      <w:snapToGrid w:val="0"/>
      <w:spacing w:before="50" w:after="100" w:afterAutospacing="1"/>
      <w:ind w:firstLineChars="200" w:firstLine="480"/>
      <w:jc w:val="left"/>
      <w:outlineLvl w:val="0"/>
    </w:pPr>
    <w:rPr>
      <w:rFonts w:ascii="宋体" w:hAnsi="宋体" w:cs="宋体"/>
      <w:kern w:val="0"/>
      <w:sz w:val="24"/>
      <w:szCs w:val="21"/>
    </w:rPr>
  </w:style>
  <w:style w:type="paragraph" w:customStyle="1" w:styleId="reader-word-layerreader-word-s1-4">
    <w:name w:val="reader-word-layer reader-word-s1-4"/>
    <w:basedOn w:val="a6"/>
    <w:uiPriority w:val="99"/>
    <w:qFormat/>
    <w:pPr>
      <w:widowControl/>
      <w:spacing w:before="100" w:beforeAutospacing="1" w:after="100" w:afterAutospacing="1"/>
      <w:jc w:val="left"/>
    </w:pPr>
    <w:rPr>
      <w:rFonts w:ascii="宋体" w:hAnsi="宋体" w:cs="宋体"/>
      <w:kern w:val="0"/>
      <w:sz w:val="24"/>
    </w:rPr>
  </w:style>
  <w:style w:type="paragraph" w:customStyle="1" w:styleId="affffffffffffffffffffffffffffffffffffd">
    <w:name w:val="报告名"/>
    <w:basedOn w:val="a6"/>
    <w:qFormat/>
    <w:pPr>
      <w:widowControl/>
      <w:tabs>
        <w:tab w:val="left" w:pos="1727"/>
        <w:tab w:val="left" w:pos="1884"/>
      </w:tabs>
      <w:adjustRightInd w:val="0"/>
      <w:spacing w:line="300" w:lineRule="auto"/>
      <w:jc w:val="center"/>
      <w:outlineLvl w:val="0"/>
    </w:pPr>
    <w:rPr>
      <w:rFonts w:ascii="文鼎大标宋简" w:eastAsia="文鼎大标宋简" w:cs="宋体"/>
      <w:kern w:val="0"/>
      <w:sz w:val="56"/>
      <w:szCs w:val="20"/>
    </w:rPr>
  </w:style>
  <w:style w:type="paragraph" w:customStyle="1" w:styleId="11fb">
    <w:name w:val="批注主题11"/>
    <w:basedOn w:val="af6"/>
    <w:next w:val="af6"/>
    <w:qFormat/>
    <w:pPr>
      <w:adjustRightInd w:val="0"/>
      <w:snapToGrid w:val="0"/>
      <w:spacing w:line="360" w:lineRule="auto"/>
      <w:ind w:firstLineChars="200" w:firstLine="200"/>
    </w:pPr>
    <w:rPr>
      <w:rFonts w:eastAsia="仿宋_GB2312"/>
      <w:b/>
      <w:bCs/>
      <w:sz w:val="24"/>
      <w:szCs w:val="22"/>
    </w:rPr>
  </w:style>
  <w:style w:type="paragraph" w:customStyle="1" w:styleId="affffffffffffffffffffffffffffffffffffe">
    <w:name w:val="样式 表格文字居中 + 两端对齐"/>
    <w:basedOn w:val="a6"/>
    <w:qFormat/>
    <w:pPr>
      <w:keepNext/>
      <w:widowControl/>
      <w:tabs>
        <w:tab w:val="left" w:pos="827"/>
      </w:tabs>
      <w:adjustRightInd w:val="0"/>
      <w:snapToGrid w:val="0"/>
      <w:jc w:val="left"/>
    </w:pPr>
    <w:rPr>
      <w:rFonts w:ascii="宋体" w:hAnsi="宋体" w:cs="宋体"/>
      <w:color w:val="000000"/>
      <w:kern w:val="0"/>
      <w:sz w:val="24"/>
      <w:szCs w:val="20"/>
    </w:rPr>
  </w:style>
  <w:style w:type="paragraph" w:customStyle="1" w:styleId="2ffffffb">
    <w:name w:val="正文 + 首行缩进:  2 字符"/>
    <w:basedOn w:val="a6"/>
    <w:qFormat/>
    <w:pPr>
      <w:spacing w:line="460" w:lineRule="atLeast"/>
      <w:ind w:firstLineChars="200" w:firstLine="528"/>
    </w:pPr>
    <w:rPr>
      <w:rFonts w:ascii="宋体"/>
      <w:spacing w:val="12"/>
      <w:kern w:val="0"/>
      <w:sz w:val="24"/>
      <w:szCs w:val="20"/>
    </w:rPr>
  </w:style>
  <w:style w:type="paragraph" w:customStyle="1" w:styleId="CharCharChar1CharCharCharCharCharCharChar1">
    <w:name w:val="Char Char Char1 Char Char Char Char Char Char Char1"/>
    <w:basedOn w:val="a6"/>
    <w:qFormat/>
    <w:pPr>
      <w:adjustRightInd w:val="0"/>
      <w:spacing w:line="312" w:lineRule="auto"/>
      <w:textAlignment w:val="baseline"/>
    </w:pPr>
    <w:rPr>
      <w:rFonts w:ascii="Tahoma" w:hAnsi="Tahoma"/>
      <w:kern w:val="0"/>
      <w:sz w:val="24"/>
      <w:szCs w:val="20"/>
    </w:rPr>
  </w:style>
  <w:style w:type="paragraph" w:customStyle="1" w:styleId="4ff3">
    <w:name w:val="标题 4 宋体"/>
    <w:basedOn w:val="41"/>
    <w:next w:val="a6"/>
    <w:qFormat/>
    <w:pPr>
      <w:tabs>
        <w:tab w:val="left" w:pos="0"/>
        <w:tab w:val="left" w:pos="1064"/>
        <w:tab w:val="left" w:pos="3018"/>
      </w:tabs>
      <w:spacing w:beforeLines="0" w:before="0" w:line="360" w:lineRule="auto"/>
    </w:pPr>
    <w:rPr>
      <w:rFonts w:ascii="宋体" w:eastAsia="宋体" w:hAnsi="Times New Roman"/>
      <w:bCs w:val="0"/>
      <w:sz w:val="24"/>
      <w:szCs w:val="24"/>
    </w:rPr>
  </w:style>
  <w:style w:type="paragraph" w:customStyle="1" w:styleId="afffffffffffffffffffffffffffffffffffff">
    <w:name w:val="正文单倍行距"/>
    <w:basedOn w:val="a6"/>
    <w:qFormat/>
    <w:pPr>
      <w:tabs>
        <w:tab w:val="left" w:pos="8640"/>
      </w:tabs>
      <w:snapToGrid w:val="0"/>
      <w:ind w:firstLineChars="200" w:firstLine="200"/>
    </w:pPr>
    <w:rPr>
      <w:rFonts w:eastAsia="仿宋_GB2312"/>
      <w:color w:val="000000"/>
      <w:w w:val="110"/>
      <w:kern w:val="0"/>
      <w:sz w:val="24"/>
    </w:rPr>
  </w:style>
  <w:style w:type="paragraph" w:customStyle="1" w:styleId="afffffffffffffffffffffffffffffffffffff0">
    <w:name w:val="编制人员情况"/>
    <w:basedOn w:val="a6"/>
    <w:qFormat/>
    <w:pPr>
      <w:widowControl/>
      <w:tabs>
        <w:tab w:val="left" w:pos="600"/>
        <w:tab w:val="left" w:pos="3700"/>
        <w:tab w:val="left" w:pos="6900"/>
      </w:tabs>
      <w:adjustRightInd w:val="0"/>
      <w:snapToGrid w:val="0"/>
      <w:spacing w:after="120" w:line="360" w:lineRule="auto"/>
      <w:ind w:left="420" w:firstLine="180"/>
      <w:jc w:val="left"/>
    </w:pPr>
    <w:rPr>
      <w:rFonts w:ascii="宋体" w:cs="宋体"/>
      <w:kern w:val="0"/>
      <w:sz w:val="32"/>
      <w:szCs w:val="20"/>
    </w:rPr>
  </w:style>
  <w:style w:type="paragraph" w:customStyle="1" w:styleId="reader-word-layerreader-word-s1-12">
    <w:name w:val="reader-word-layer reader-word-s1-12"/>
    <w:basedOn w:val="a6"/>
    <w:uiPriority w:val="99"/>
    <w:qFormat/>
    <w:pPr>
      <w:widowControl/>
      <w:spacing w:before="100" w:beforeAutospacing="1" w:after="100" w:afterAutospacing="1"/>
      <w:jc w:val="left"/>
    </w:pPr>
    <w:rPr>
      <w:rFonts w:ascii="宋体" w:hAnsi="宋体" w:cs="宋体"/>
      <w:kern w:val="0"/>
      <w:sz w:val="24"/>
    </w:rPr>
  </w:style>
  <w:style w:type="paragraph" w:customStyle="1" w:styleId="afffffffffffffffffffffffffffffffffffff1">
    <w:name w:val="表格，五宋"/>
    <w:qFormat/>
    <w:pPr>
      <w:adjustRightInd w:val="0"/>
      <w:spacing w:line="360" w:lineRule="exact"/>
      <w:jc w:val="center"/>
    </w:pPr>
    <w:rPr>
      <w:sz w:val="21"/>
    </w:rPr>
  </w:style>
  <w:style w:type="paragraph" w:customStyle="1" w:styleId="afffffffffffffffffffffffffffffffffffff2">
    <w:name w:val="本册报告名称"/>
    <w:qFormat/>
    <w:rPr>
      <w:sz w:val="48"/>
    </w:rPr>
  </w:style>
  <w:style w:type="paragraph" w:customStyle="1" w:styleId="afffffffffffffffffffffffffffffffffffff3">
    <w:name w:val="项目名称"/>
    <w:basedOn w:val="a6"/>
    <w:qFormat/>
    <w:pPr>
      <w:widowControl/>
      <w:adjustRightInd w:val="0"/>
      <w:snapToGrid w:val="0"/>
      <w:spacing w:line="360" w:lineRule="auto"/>
      <w:jc w:val="center"/>
    </w:pPr>
    <w:rPr>
      <w:rFonts w:ascii="文鼎大标宋简" w:eastAsia="文鼎大标宋简" w:cs="宋体"/>
      <w:kern w:val="0"/>
      <w:sz w:val="56"/>
      <w:szCs w:val="20"/>
    </w:rPr>
  </w:style>
  <w:style w:type="paragraph" w:customStyle="1" w:styleId="4ff4">
    <w:name w:val="封面4"/>
    <w:basedOn w:val="1ffffffa"/>
    <w:qFormat/>
    <w:pPr>
      <w:snapToGrid w:val="0"/>
      <w:spacing w:line="240" w:lineRule="auto"/>
      <w:jc w:val="center"/>
    </w:pPr>
    <w:rPr>
      <w:sz w:val="36"/>
    </w:rPr>
  </w:style>
  <w:style w:type="paragraph" w:customStyle="1" w:styleId="afffffffffffffffffffffffffffffffffffff4">
    <w:name w:val="正文楷体"/>
    <w:basedOn w:val="a6"/>
    <w:qFormat/>
    <w:pPr>
      <w:spacing w:line="500" w:lineRule="exact"/>
      <w:ind w:firstLineChars="200" w:firstLine="200"/>
    </w:pPr>
    <w:rPr>
      <w:rFonts w:ascii="宋体" w:eastAsia="楷体_GB2312" w:hAnsi="宋体"/>
      <w:sz w:val="24"/>
    </w:rPr>
  </w:style>
  <w:style w:type="paragraph" w:customStyle="1" w:styleId="CharCharChar1CharCharCharCharCharCharCharCharCharCharCharCharCharCharCharCharCharCharChar1">
    <w:name w:val="Char Char Char1 Char Char Char Char Char Char Char Char Char Char Char Char Char Char Char Char Char Char Char1"/>
    <w:basedOn w:val="a6"/>
    <w:qFormat/>
    <w:rPr>
      <w:color w:val="000000"/>
      <w:w w:val="110"/>
      <w:kern w:val="0"/>
      <w:sz w:val="24"/>
    </w:rPr>
  </w:style>
  <w:style w:type="paragraph" w:customStyle="1" w:styleId="wg">
    <w:name w:val="wg"/>
    <w:basedOn w:val="a6"/>
    <w:qFormat/>
    <w:rPr>
      <w:color w:val="000000"/>
      <w:sz w:val="24"/>
      <w:szCs w:val="20"/>
    </w:rPr>
  </w:style>
  <w:style w:type="paragraph" w:customStyle="1" w:styleId="3fff8">
    <w:name w:val="列出段落3"/>
    <w:basedOn w:val="a6"/>
    <w:qFormat/>
    <w:pPr>
      <w:ind w:firstLineChars="200" w:firstLine="420"/>
    </w:pPr>
  </w:style>
  <w:style w:type="paragraph" w:customStyle="1" w:styleId="afffffffffffffffffffffffffffffffffffff5">
    <w:name w:val="目次 附件名"/>
    <w:basedOn w:val="13"/>
    <w:qFormat/>
    <w:pPr>
      <w:adjustRightInd w:val="0"/>
      <w:snapToGrid w:val="0"/>
      <w:spacing w:line="360" w:lineRule="auto"/>
      <w:ind w:firstLine="567"/>
    </w:pPr>
    <w:rPr>
      <w:rFonts w:ascii="Times New Roman" w:hAnsi="Times New Roman"/>
      <w:b w:val="0"/>
    </w:rPr>
  </w:style>
  <w:style w:type="paragraph" w:customStyle="1" w:styleId="reader-word-layerreader-word-s10-10">
    <w:name w:val="reader-word-layer reader-word-s10-10"/>
    <w:basedOn w:val="a6"/>
    <w:qFormat/>
    <w:pPr>
      <w:widowControl/>
      <w:spacing w:before="100" w:beforeAutospacing="1" w:after="100" w:afterAutospacing="1"/>
      <w:jc w:val="left"/>
    </w:pPr>
    <w:rPr>
      <w:rFonts w:ascii="宋体" w:hAnsi="宋体" w:cs="宋体"/>
      <w:color w:val="000000"/>
      <w:w w:val="110"/>
      <w:kern w:val="0"/>
      <w:sz w:val="24"/>
    </w:rPr>
  </w:style>
  <w:style w:type="paragraph" w:customStyle="1" w:styleId="afffffffffffffffffffffffffffffffffffff6">
    <w:name w:val="非缩进正文"/>
    <w:basedOn w:val="a6"/>
    <w:next w:val="a6"/>
    <w:qFormat/>
    <w:pPr>
      <w:widowControl/>
      <w:adjustRightInd w:val="0"/>
      <w:spacing w:line="440" w:lineRule="exact"/>
      <w:ind w:firstLine="420"/>
      <w:jc w:val="left"/>
    </w:pPr>
    <w:rPr>
      <w:rFonts w:ascii="Arial" w:hAnsi="Arial" w:cs="宋体"/>
      <w:kern w:val="0"/>
      <w:sz w:val="24"/>
      <w:szCs w:val="21"/>
    </w:rPr>
  </w:style>
  <w:style w:type="paragraph" w:customStyle="1" w:styleId="dandan6-134">
    <w:name w:val="dandan6-13五级"/>
    <w:basedOn w:val="dandan6-130"/>
    <w:qFormat/>
    <w:pPr>
      <w:spacing w:before="40" w:after="40" w:line="360" w:lineRule="auto"/>
      <w:ind w:firstLineChars="200" w:firstLine="200"/>
      <w:outlineLvl w:val="4"/>
    </w:pPr>
    <w:rPr>
      <w:kern w:val="0"/>
    </w:rPr>
  </w:style>
  <w:style w:type="paragraph" w:customStyle="1" w:styleId="CharCharCharCharCharCharCharCharCharCharCharCharCharCharCharCharCharChar">
    <w:name w:val="Char Char Char Char Char Char Char Char Char Char Char Char Char Char Char Char Char Char"/>
    <w:basedOn w:val="a6"/>
    <w:qFormat/>
    <w:pPr>
      <w:widowControl/>
      <w:jc w:val="left"/>
    </w:pPr>
    <w:rPr>
      <w:rFonts w:cs="宋体"/>
      <w:kern w:val="0"/>
      <w:sz w:val="24"/>
    </w:rPr>
  </w:style>
  <w:style w:type="paragraph" w:customStyle="1" w:styleId="afffffffffffffffffffffffffffffffffffff7">
    <w:name w:val="正文表标题"/>
    <w:next w:val="affffffffffffff"/>
    <w:uiPriority w:val="99"/>
    <w:qFormat/>
    <w:pPr>
      <w:tabs>
        <w:tab w:val="left" w:pos="540"/>
      </w:tabs>
      <w:ind w:left="540" w:hanging="540"/>
      <w:jc w:val="center"/>
    </w:pPr>
    <w:rPr>
      <w:rFonts w:ascii="黑体" w:eastAsia="黑体"/>
      <w:sz w:val="21"/>
    </w:rPr>
  </w:style>
  <w:style w:type="paragraph" w:customStyle="1" w:styleId="CharCharCharCharCharCharCharCharCharCharCharCharCharCharCharChar2">
    <w:name w:val="Char Char Char Char Char Char Char Char Char Char Char Char Char Char Char Char2"/>
    <w:basedOn w:val="a6"/>
    <w:qFormat/>
    <w:rPr>
      <w:color w:val="000000"/>
      <w:w w:val="110"/>
      <w:kern w:val="0"/>
      <w:sz w:val="24"/>
    </w:rPr>
  </w:style>
  <w:style w:type="paragraph" w:customStyle="1" w:styleId="4ff5">
    <w:name w:val="表格样式4"/>
    <w:basedOn w:val="118"/>
    <w:qFormat/>
    <w:pPr>
      <w:overflowPunct w:val="0"/>
      <w:adjustRightInd w:val="0"/>
      <w:snapToGrid w:val="0"/>
      <w:spacing w:after="0" w:line="120" w:lineRule="atLeast"/>
      <w:ind w:firstLineChars="0" w:firstLine="0"/>
      <w:jc w:val="center"/>
      <w:textAlignment w:val="baseline"/>
    </w:pPr>
    <w:rPr>
      <w:rFonts w:ascii="Arial" w:eastAsia="仿宋_GB2312" w:hAnsi="Arial"/>
      <w:sz w:val="21"/>
      <w:szCs w:val="20"/>
    </w:rPr>
  </w:style>
  <w:style w:type="paragraph" w:customStyle="1" w:styleId="3fff9">
    <w:name w:val="日期3"/>
    <w:basedOn w:val="a6"/>
    <w:next w:val="a6"/>
    <w:qFormat/>
    <w:pPr>
      <w:adjustRightInd w:val="0"/>
      <w:spacing w:line="360" w:lineRule="atLeast"/>
      <w:textAlignment w:val="baseline"/>
    </w:pPr>
    <w:rPr>
      <w:rFonts w:ascii="宋体"/>
      <w:kern w:val="0"/>
      <w:sz w:val="28"/>
      <w:szCs w:val="20"/>
    </w:rPr>
  </w:style>
  <w:style w:type="paragraph" w:customStyle="1" w:styleId="380">
    <w:name w:val="3 8"/>
    <w:qFormat/>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Courier" w:hAnsi="Courier"/>
      <w:sz w:val="24"/>
      <w:lang w:eastAsia="en-US"/>
    </w:rPr>
  </w:style>
  <w:style w:type="paragraph" w:customStyle="1" w:styleId="afffffffffffffffffffffffffffffffffffff8">
    <w:name w:val="一级标题"/>
    <w:basedOn w:val="a6"/>
    <w:qFormat/>
    <w:pPr>
      <w:spacing w:before="60" w:line="460" w:lineRule="exact"/>
      <w:outlineLvl w:val="0"/>
    </w:pPr>
    <w:rPr>
      <w:b/>
      <w:sz w:val="32"/>
    </w:rPr>
  </w:style>
  <w:style w:type="paragraph" w:customStyle="1" w:styleId="afffffffffffffffffffffffffffffffffffff9">
    <w:name w:val="二期二级样式"/>
    <w:basedOn w:val="a6"/>
    <w:qFormat/>
    <w:pPr>
      <w:widowControl/>
      <w:tabs>
        <w:tab w:val="left" w:pos="840"/>
      </w:tabs>
      <w:ind w:left="840" w:hanging="420"/>
      <w:jc w:val="left"/>
    </w:pPr>
    <w:rPr>
      <w:kern w:val="0"/>
      <w:sz w:val="24"/>
    </w:rPr>
  </w:style>
  <w:style w:type="paragraph" w:customStyle="1" w:styleId="100152">
    <w:name w:val="样式 样式 正文1 + 自动设置 左侧:  0 厘米 段后: 0 磅 行距: 1.5 倍行距 + 首行缩进:  2 字符"/>
    <w:basedOn w:val="a6"/>
    <w:qFormat/>
    <w:pPr>
      <w:autoSpaceDE w:val="0"/>
      <w:autoSpaceDN w:val="0"/>
      <w:adjustRightInd w:val="0"/>
      <w:snapToGrid w:val="0"/>
      <w:spacing w:line="360" w:lineRule="auto"/>
      <w:ind w:firstLineChars="200" w:firstLine="560"/>
      <w:textAlignment w:val="bottom"/>
    </w:pPr>
    <w:rPr>
      <w:rFonts w:cs="宋体"/>
      <w:kern w:val="0"/>
      <w:sz w:val="28"/>
      <w:szCs w:val="20"/>
    </w:rPr>
  </w:style>
  <w:style w:type="paragraph" w:customStyle="1" w:styleId="CM12">
    <w:name w:val="CM12"/>
    <w:basedOn w:val="Default"/>
    <w:next w:val="Default"/>
    <w:qFormat/>
    <w:pPr>
      <w:spacing w:line="626" w:lineRule="atLeast"/>
    </w:pPr>
    <w:rPr>
      <w:rFonts w:ascii="黑体" w:eastAsia="黑体"/>
      <w:color w:val="auto"/>
    </w:rPr>
  </w:style>
  <w:style w:type="paragraph" w:customStyle="1" w:styleId="xl966">
    <w:name w:val="xl96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18"/>
      <w:szCs w:val="18"/>
    </w:rPr>
  </w:style>
  <w:style w:type="paragraph" w:customStyle="1" w:styleId="afffffffffffffffffffffffffffffffffffffa">
    <w:name w:val="标准表格"/>
    <w:basedOn w:val="a6"/>
    <w:qFormat/>
    <w:pPr>
      <w:tabs>
        <w:tab w:val="left" w:pos="0"/>
      </w:tabs>
      <w:adjustRightInd w:val="0"/>
      <w:spacing w:line="360" w:lineRule="exact"/>
      <w:jc w:val="center"/>
      <w:textAlignment w:val="center"/>
    </w:pPr>
    <w:rPr>
      <w:rFonts w:ascii="宋体" w:hAnsi="宋体"/>
      <w:snapToGrid w:val="0"/>
      <w:kern w:val="0"/>
      <w:szCs w:val="20"/>
    </w:rPr>
  </w:style>
  <w:style w:type="paragraph" w:customStyle="1" w:styleId="afffffffffffffffffffffffffffffffffffffb">
    <w:name w:val="表内小四边"/>
    <w:basedOn w:val="a6"/>
    <w:qFormat/>
    <w:pPr>
      <w:adjustRightInd w:val="0"/>
      <w:snapToGrid w:val="0"/>
      <w:spacing w:line="300" w:lineRule="auto"/>
      <w:ind w:firstLineChars="200" w:firstLine="560"/>
    </w:pPr>
    <w:rPr>
      <w:rFonts w:ascii="Arial" w:hAnsi="Arial" w:cs="宋体"/>
      <w:color w:val="FF0000"/>
      <w:kern w:val="0"/>
      <w:sz w:val="24"/>
      <w:szCs w:val="32"/>
      <w:lang w:val="zh-CN"/>
    </w:rPr>
  </w:style>
  <w:style w:type="paragraph" w:customStyle="1" w:styleId="CharCharCharCharCharCharChar4">
    <w:name w:val="Char Char Char Char Char Char Char4"/>
    <w:basedOn w:val="a6"/>
    <w:qFormat/>
    <w:pPr>
      <w:widowControl/>
      <w:spacing w:after="160" w:line="240" w:lineRule="exact"/>
      <w:jc w:val="left"/>
    </w:pPr>
    <w:rPr>
      <w:rFonts w:ascii="Verdana" w:hAnsi="Verdana"/>
      <w:kern w:val="0"/>
      <w:sz w:val="20"/>
      <w:szCs w:val="20"/>
      <w:lang w:eastAsia="en-US"/>
    </w:rPr>
  </w:style>
  <w:style w:type="paragraph" w:customStyle="1" w:styleId="xl949">
    <w:name w:val="xl94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kern w:val="0"/>
      <w:sz w:val="18"/>
      <w:szCs w:val="18"/>
    </w:rPr>
  </w:style>
  <w:style w:type="paragraph" w:customStyle="1" w:styleId="xl75">
    <w:name w:val="xl75"/>
    <w:basedOn w:val="a6"/>
    <w:qFormat/>
    <w:pPr>
      <w:widowControl/>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left"/>
      <w:textAlignment w:val="center"/>
    </w:pPr>
    <w:rPr>
      <w:b/>
      <w:bCs/>
      <w:kern w:val="0"/>
      <w:sz w:val="20"/>
      <w:szCs w:val="20"/>
    </w:rPr>
  </w:style>
  <w:style w:type="paragraph" w:customStyle="1" w:styleId="xl1058">
    <w:name w:val="xl1058"/>
    <w:basedOn w:val="a6"/>
    <w:qFormat/>
    <w:pPr>
      <w:widowControl/>
      <w:pBdr>
        <w:top w:val="single" w:sz="4" w:space="0" w:color="auto"/>
        <w:bottom w:val="single" w:sz="4" w:space="0" w:color="auto"/>
      </w:pBdr>
      <w:spacing w:before="100" w:beforeAutospacing="1" w:after="100" w:afterAutospacing="1"/>
      <w:jc w:val="center"/>
    </w:pPr>
    <w:rPr>
      <w:rFonts w:ascii="Arial" w:hAnsi="Arial" w:cs="Arial"/>
      <w:kern w:val="0"/>
      <w:sz w:val="20"/>
      <w:szCs w:val="20"/>
    </w:rPr>
  </w:style>
  <w:style w:type="paragraph" w:customStyle="1" w:styleId="3111BSH-3BT33h33rdlevelH3l3CT3Cha">
    <w:name w:val="样式 标题 3条标题1.1.1BSH-3BT33h33rd levelH3l3CT二级节名标题 3 Cha..."/>
    <w:basedOn w:val="33"/>
    <w:qFormat/>
    <w:pPr>
      <w:adjustRightInd w:val="0"/>
      <w:spacing w:line="360" w:lineRule="auto"/>
    </w:pPr>
    <w:rPr>
      <w:rFonts w:eastAsia="宋体" w:cs="宋体"/>
      <w:b/>
      <w:spacing w:val="0"/>
      <w:szCs w:val="20"/>
    </w:rPr>
  </w:style>
  <w:style w:type="paragraph" w:customStyle="1" w:styleId="xl1049">
    <w:name w:val="xl1049"/>
    <w:basedOn w:val="a6"/>
    <w:qFormat/>
    <w:pPr>
      <w:widowControl/>
      <w:pBdr>
        <w:top w:val="single" w:sz="8" w:space="0" w:color="FFFF00"/>
        <w:left w:val="single" w:sz="8" w:space="0" w:color="FFFF00"/>
        <w:bottom w:val="single" w:sz="8" w:space="0" w:color="FFFF00"/>
        <w:right w:val="single" w:sz="8" w:space="0" w:color="FFFF00"/>
      </w:pBdr>
      <w:shd w:val="clear" w:color="000000" w:fill="0070C0"/>
      <w:spacing w:before="100" w:beforeAutospacing="1" w:after="100" w:afterAutospacing="1"/>
      <w:jc w:val="center"/>
    </w:pPr>
    <w:rPr>
      <w:rFonts w:ascii="Arial" w:hAnsi="Arial" w:cs="Arial"/>
      <w:kern w:val="0"/>
      <w:sz w:val="18"/>
      <w:szCs w:val="18"/>
    </w:rPr>
  </w:style>
  <w:style w:type="paragraph" w:customStyle="1" w:styleId="CharCharCharCharCharCharChar7">
    <w:name w:val="样式 正文缩进正文（首行缩进两字）正文（首行缩进两字） Char Char Char Char Char Char Char..."/>
    <w:basedOn w:val="a6"/>
    <w:qFormat/>
    <w:pPr>
      <w:tabs>
        <w:tab w:val="left" w:pos="3360"/>
      </w:tabs>
      <w:adjustRightInd w:val="0"/>
      <w:snapToGrid w:val="0"/>
      <w:spacing w:line="360" w:lineRule="auto"/>
      <w:ind w:firstLineChars="200" w:firstLine="480"/>
      <w:textAlignment w:val="baseline"/>
    </w:pPr>
    <w:rPr>
      <w:rFonts w:ascii="楷体_GB2312" w:eastAsia="楷体_GB2312" w:hAnsi="Calibri"/>
      <w:snapToGrid w:val="0"/>
      <w:color w:val="000000"/>
      <w:w w:val="110"/>
      <w:kern w:val="0"/>
      <w:sz w:val="24"/>
    </w:rPr>
  </w:style>
  <w:style w:type="paragraph" w:customStyle="1" w:styleId="a00">
    <w:name w:val="a0"/>
    <w:basedOn w:val="a6"/>
    <w:qFormat/>
    <w:pPr>
      <w:widowControl/>
      <w:snapToGrid w:val="0"/>
      <w:spacing w:before="80" w:after="80"/>
      <w:jc w:val="center"/>
    </w:pPr>
    <w:rPr>
      <w:rFonts w:ascii="宋体" w:hAnsi="宋体"/>
      <w:kern w:val="0"/>
      <w:szCs w:val="20"/>
    </w:rPr>
  </w:style>
  <w:style w:type="paragraph" w:customStyle="1" w:styleId="1ffffffe">
    <w:name w:val="样式 标题 1 + 自动设置"/>
    <w:basedOn w:val="12"/>
    <w:qFormat/>
    <w:pPr>
      <w:tabs>
        <w:tab w:val="left" w:pos="700"/>
      </w:tabs>
      <w:autoSpaceDE w:val="0"/>
      <w:autoSpaceDN w:val="0"/>
      <w:adjustRightInd w:val="0"/>
      <w:spacing w:beforeLines="50" w:before="0" w:afterLines="50" w:after="0" w:line="360" w:lineRule="auto"/>
      <w:ind w:left="431" w:hanging="431"/>
      <w:jc w:val="center"/>
    </w:pPr>
    <w:rPr>
      <w:bCs w:val="0"/>
      <w:sz w:val="28"/>
      <w:szCs w:val="20"/>
    </w:rPr>
  </w:style>
  <w:style w:type="paragraph" w:customStyle="1" w:styleId="21f4">
    <w:name w:val="图表目录21"/>
    <w:basedOn w:val="4fd"/>
    <w:next w:val="4fd"/>
    <w:qFormat/>
    <w:pPr>
      <w:tabs>
        <w:tab w:val="right" w:leader="dot" w:pos="8051"/>
      </w:tabs>
      <w:ind w:left="840" w:hanging="840"/>
      <w:textAlignment w:val="auto"/>
    </w:pPr>
    <w:rPr>
      <w:sz w:val="24"/>
    </w:rPr>
  </w:style>
  <w:style w:type="paragraph" w:customStyle="1" w:styleId="5ff5">
    <w:name w:val="无悬挂正文5号"/>
    <w:basedOn w:val="a6"/>
    <w:qFormat/>
    <w:pPr>
      <w:jc w:val="center"/>
    </w:pPr>
    <w:rPr>
      <w:color w:val="000000"/>
      <w:w w:val="110"/>
      <w:kern w:val="0"/>
      <w:sz w:val="24"/>
    </w:rPr>
  </w:style>
  <w:style w:type="paragraph" w:customStyle="1" w:styleId="CharCharCharCharCharChar1Char2">
    <w:name w:val="Char Char Char Char Char Char1 Char2"/>
    <w:basedOn w:val="a6"/>
    <w:qFormat/>
    <w:rPr>
      <w:color w:val="000000"/>
      <w:w w:val="110"/>
      <w:kern w:val="0"/>
      <w:sz w:val="24"/>
    </w:rPr>
  </w:style>
  <w:style w:type="paragraph" w:customStyle="1" w:styleId="5ff6">
    <w:name w:val="表5号字"/>
    <w:basedOn w:val="a6"/>
    <w:qFormat/>
    <w:pPr>
      <w:widowControl/>
      <w:jc w:val="left"/>
    </w:pPr>
  </w:style>
  <w:style w:type="paragraph" w:customStyle="1" w:styleId="0010">
    <w:name w:val="001"/>
    <w:basedOn w:val="a6"/>
    <w:qFormat/>
    <w:pPr>
      <w:widowControl/>
      <w:spacing w:before="100" w:beforeAutospacing="1" w:after="100" w:afterAutospacing="1"/>
      <w:jc w:val="left"/>
    </w:pPr>
    <w:rPr>
      <w:rFonts w:ascii="宋体" w:hAnsi="宋体" w:cs="宋体"/>
      <w:kern w:val="0"/>
      <w:sz w:val="24"/>
    </w:rPr>
  </w:style>
  <w:style w:type="paragraph" w:customStyle="1" w:styleId="reader-word-layerreader-word-s1-23">
    <w:name w:val="reader-word-layer reader-word-s1-23"/>
    <w:basedOn w:val="a6"/>
    <w:qFormat/>
    <w:pPr>
      <w:widowControl/>
      <w:spacing w:before="100" w:beforeAutospacing="1" w:after="100" w:afterAutospacing="1"/>
      <w:jc w:val="left"/>
    </w:pPr>
    <w:rPr>
      <w:rFonts w:ascii="宋体" w:hAnsi="宋体" w:cs="宋体"/>
      <w:kern w:val="0"/>
      <w:sz w:val="24"/>
    </w:rPr>
  </w:style>
  <w:style w:type="paragraph" w:customStyle="1" w:styleId="0850">
    <w:name w:val="样式 左侧:  0.85 厘米 首行缩进:  0 字符"/>
    <w:basedOn w:val="a6"/>
    <w:qFormat/>
    <w:pPr>
      <w:topLinePunct/>
      <w:spacing w:line="529" w:lineRule="exact"/>
      <w:ind w:left="480"/>
    </w:pPr>
    <w:rPr>
      <w:rFonts w:eastAsia="汉鼎简书宋" w:cs="宋体"/>
      <w:sz w:val="24"/>
      <w:szCs w:val="20"/>
    </w:rPr>
  </w:style>
  <w:style w:type="paragraph" w:customStyle="1" w:styleId="BodyTextFirstIndent3">
    <w:name w:val="Body Text First Indent3"/>
    <w:basedOn w:val="af8"/>
    <w:qFormat/>
    <w:pPr>
      <w:adjustRightInd w:val="0"/>
      <w:spacing w:after="0" w:line="312" w:lineRule="auto"/>
      <w:ind w:firstLine="567"/>
      <w:textAlignment w:val="baseline"/>
    </w:pPr>
    <w:rPr>
      <w:rFonts w:ascii="宋体"/>
      <w:kern w:val="0"/>
      <w:sz w:val="28"/>
      <w:szCs w:val="20"/>
    </w:rPr>
  </w:style>
  <w:style w:type="paragraph" w:customStyle="1" w:styleId="a21">
    <w:name w:val="a2"/>
    <w:basedOn w:val="a6"/>
    <w:qFormat/>
    <w:pPr>
      <w:widowControl/>
      <w:spacing w:before="100" w:beforeAutospacing="1" w:after="100" w:afterAutospacing="1"/>
      <w:jc w:val="left"/>
    </w:pPr>
    <w:rPr>
      <w:rFonts w:ascii="宋体" w:hAnsi="宋体" w:cs="宋体"/>
      <w:kern w:val="0"/>
      <w:sz w:val="24"/>
    </w:rPr>
  </w:style>
  <w:style w:type="paragraph" w:customStyle="1" w:styleId="xl49">
    <w:name w:val="xl49"/>
    <w:basedOn w:val="a6"/>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24"/>
      <w:szCs w:val="20"/>
    </w:rPr>
  </w:style>
  <w:style w:type="paragraph" w:customStyle="1" w:styleId="3fffa">
    <w:name w:val="样式 标题 3 + 黑色"/>
    <w:basedOn w:val="33"/>
    <w:qFormat/>
    <w:pPr>
      <w:keepNext w:val="0"/>
      <w:adjustRightInd w:val="0"/>
      <w:spacing w:beforeLines="50" w:afterLines="50" w:line="520" w:lineRule="exact"/>
    </w:pPr>
    <w:rPr>
      <w:rFonts w:hAnsi="黑体"/>
      <w:b/>
      <w:bCs/>
      <w:color w:val="000000"/>
      <w:spacing w:val="0"/>
      <w:szCs w:val="24"/>
    </w:rPr>
  </w:style>
  <w:style w:type="paragraph" w:customStyle="1" w:styleId="reader-word-layerreader-word-s1-22">
    <w:name w:val="reader-word-layer reader-word-s1-22"/>
    <w:basedOn w:val="a6"/>
    <w:qFormat/>
    <w:pPr>
      <w:widowControl/>
      <w:spacing w:before="100" w:beforeAutospacing="1" w:after="100" w:afterAutospacing="1"/>
      <w:jc w:val="left"/>
    </w:pPr>
    <w:rPr>
      <w:rFonts w:ascii="宋体" w:hAnsi="宋体" w:cs="宋体"/>
      <w:kern w:val="0"/>
      <w:sz w:val="24"/>
    </w:rPr>
  </w:style>
  <w:style w:type="paragraph" w:customStyle="1" w:styleId="Style104">
    <w:name w:val="Style104"/>
    <w:basedOn w:val="a6"/>
    <w:qFormat/>
    <w:pPr>
      <w:adjustRightInd w:val="0"/>
      <w:jc w:val="center"/>
    </w:pPr>
    <w:rPr>
      <w:rFonts w:ascii="宋体"/>
      <w:kern w:val="0"/>
      <w:sz w:val="24"/>
      <w:szCs w:val="20"/>
    </w:rPr>
  </w:style>
  <w:style w:type="paragraph" w:customStyle="1" w:styleId="CharCharCharChar11">
    <w:name w:val="Char Char Char Char11"/>
    <w:basedOn w:val="a6"/>
    <w:uiPriority w:val="99"/>
    <w:qFormat/>
    <w:rPr>
      <w:color w:val="000000"/>
      <w:w w:val="110"/>
      <w:kern w:val="0"/>
      <w:sz w:val="24"/>
    </w:rPr>
  </w:style>
  <w:style w:type="paragraph" w:customStyle="1" w:styleId="1fffffff">
    <w:name w:val="表格内字体1"/>
    <w:basedOn w:val="affffa"/>
    <w:qFormat/>
    <w:pPr>
      <w:spacing w:line="240" w:lineRule="auto"/>
      <w:ind w:firstLine="0"/>
      <w:jc w:val="center"/>
    </w:pPr>
    <w:rPr>
      <w:rFonts w:hAnsi="Times New Roman"/>
      <w:sz w:val="21"/>
    </w:rPr>
  </w:style>
  <w:style w:type="paragraph" w:customStyle="1" w:styleId="2211H2h22Header2ndPageABCh2mainhead">
    <w:name w:val="样式 标题 2标题21.1H2h2第一层条2Header 2nd PageA.B.C.h2 main head..."/>
    <w:basedOn w:val="22"/>
    <w:qFormat/>
    <w:pPr>
      <w:keepNext w:val="0"/>
      <w:keepLines w:val="0"/>
      <w:snapToGrid w:val="0"/>
      <w:spacing w:afterLines="50"/>
    </w:pPr>
    <w:rPr>
      <w:rFonts w:hAnsi="黑体"/>
      <w:b/>
      <w:bCs w:val="0"/>
      <w:spacing w:val="0"/>
      <w:w w:val="100"/>
      <w:kern w:val="2"/>
      <w:sz w:val="30"/>
      <w:szCs w:val="30"/>
    </w:rPr>
  </w:style>
  <w:style w:type="paragraph" w:customStyle="1" w:styleId="1fffffff0">
    <w:name w:val="注释标题1"/>
    <w:basedOn w:val="af0"/>
    <w:next w:val="af0"/>
    <w:qFormat/>
    <w:pPr>
      <w:tabs>
        <w:tab w:val="left" w:pos="420"/>
      </w:tabs>
      <w:adjustRightInd/>
      <w:ind w:left="420" w:firstLineChars="200" w:hanging="420"/>
      <w:jc w:val="both"/>
      <w:textAlignment w:val="auto"/>
    </w:pPr>
    <w:rPr>
      <w:rFonts w:ascii="Times New Roman" w:hAnsi="Times New Roman"/>
      <w:kern w:val="2"/>
      <w:szCs w:val="18"/>
    </w:rPr>
  </w:style>
  <w:style w:type="paragraph" w:customStyle="1" w:styleId="CharCharChar1CharCharChar5">
    <w:name w:val="Char Char Char1 Char Char Char5"/>
    <w:basedOn w:val="a6"/>
    <w:qFormat/>
  </w:style>
  <w:style w:type="paragraph" w:customStyle="1" w:styleId="103">
    <w:name w:val="10"/>
    <w:basedOn w:val="a6"/>
    <w:next w:val="a6"/>
    <w:qFormat/>
    <w:rPr>
      <w:rFonts w:ascii="宋体" w:hAnsi="Courier New"/>
      <w:kern w:val="0"/>
      <w:sz w:val="24"/>
      <w:szCs w:val="20"/>
    </w:rPr>
  </w:style>
  <w:style w:type="paragraph" w:customStyle="1" w:styleId="22f1">
    <w:name w:val="正文首行缩进 22"/>
    <w:basedOn w:val="2ffffff3"/>
    <w:qFormat/>
    <w:pPr>
      <w:ind w:firstLineChars="200" w:firstLine="420"/>
    </w:pPr>
  </w:style>
  <w:style w:type="paragraph" w:customStyle="1" w:styleId="afffffffffffffffffffffffffffffffffffffc">
    <w:name w:val="正文样式暗暗"/>
    <w:basedOn w:val="a6"/>
    <w:qFormat/>
    <w:pPr>
      <w:widowControl/>
      <w:spacing w:line="360" w:lineRule="auto"/>
      <w:ind w:firstLineChars="175" w:firstLine="175"/>
    </w:pPr>
    <w:rPr>
      <w:rFonts w:ascii="宋体" w:cs="宋体"/>
      <w:sz w:val="24"/>
    </w:rPr>
  </w:style>
  <w:style w:type="paragraph" w:customStyle="1" w:styleId="17878125">
    <w:name w:val="样式 标题 1 + (中文) 黑体 四号 段前: 7.8 磅 段后: 7.8 磅 行距: 多倍行距 1.25 字行"/>
    <w:basedOn w:val="12"/>
    <w:qFormat/>
    <w:pPr>
      <w:keepNext w:val="0"/>
      <w:keepLines w:val="0"/>
      <w:spacing w:beforeLines="100" w:before="0" w:afterLines="100" w:after="0"/>
      <w:ind w:firstLine="1800"/>
    </w:pPr>
    <w:rPr>
      <w:rFonts w:hAnsi="黑体"/>
      <w:b w:val="0"/>
      <w:color w:val="000000"/>
      <w:szCs w:val="30"/>
    </w:rPr>
  </w:style>
  <w:style w:type="paragraph" w:customStyle="1" w:styleId="522">
    <w:name w:val="样式 样式 5 + 首行缩进:  2 字符 + 首行缩进:  2 字符"/>
    <w:basedOn w:val="a6"/>
    <w:qFormat/>
    <w:pPr>
      <w:ind w:firstLineChars="200" w:firstLine="352"/>
    </w:pPr>
    <w:rPr>
      <w:rFonts w:ascii="楷体_GB2312" w:eastAsia="楷体_GB2312" w:hAnsi="宋体" w:cs="宋体"/>
      <w:spacing w:val="-2"/>
      <w:sz w:val="18"/>
      <w:szCs w:val="20"/>
    </w:rPr>
  </w:style>
  <w:style w:type="paragraph" w:customStyle="1" w:styleId="E001CharChar">
    <w:name w:val="E 正文001 Char Char"/>
    <w:basedOn w:val="a6"/>
    <w:next w:val="a6"/>
    <w:qFormat/>
    <w:pPr>
      <w:ind w:firstLineChars="200" w:firstLine="200"/>
    </w:pPr>
    <w:rPr>
      <w:sz w:val="28"/>
      <w:szCs w:val="28"/>
    </w:rPr>
  </w:style>
  <w:style w:type="paragraph" w:customStyle="1" w:styleId="22f2">
    <w:name w:val="标题22"/>
    <w:basedOn w:val="a6"/>
    <w:qFormat/>
    <w:pPr>
      <w:tabs>
        <w:tab w:val="left" w:pos="645"/>
      </w:tabs>
      <w:snapToGrid w:val="0"/>
      <w:spacing w:line="360" w:lineRule="auto"/>
      <w:outlineLvl w:val="1"/>
    </w:pPr>
    <w:rPr>
      <w:rFonts w:eastAsia="黑体"/>
      <w:sz w:val="28"/>
      <w:szCs w:val="32"/>
    </w:rPr>
  </w:style>
  <w:style w:type="paragraph" w:customStyle="1" w:styleId="22CharChar211">
    <w:name w:val="样式 样式 标题 2标题节标题 2 Char Char + 段前: 2 行 + 左侧:  1 字符 右侧:  1 字符"/>
    <w:basedOn w:val="a6"/>
    <w:qFormat/>
    <w:pPr>
      <w:keepNext/>
      <w:keepLines/>
      <w:adjustRightInd w:val="0"/>
      <w:snapToGrid w:val="0"/>
      <w:spacing w:line="460" w:lineRule="exact"/>
      <w:ind w:firstLineChars="200" w:firstLine="200"/>
      <w:outlineLvl w:val="1"/>
    </w:pPr>
    <w:rPr>
      <w:rFonts w:eastAsia="仿宋_GB2312"/>
      <w:b/>
      <w:bCs/>
      <w:sz w:val="24"/>
      <w:szCs w:val="26"/>
    </w:rPr>
  </w:style>
  <w:style w:type="paragraph" w:customStyle="1" w:styleId="0858">
    <w:name w:val="样式 首行缩进:  0.85 厘米8"/>
    <w:basedOn w:val="a6"/>
    <w:qFormat/>
    <w:pPr>
      <w:adjustRightInd w:val="0"/>
      <w:snapToGrid w:val="0"/>
      <w:spacing w:line="288" w:lineRule="auto"/>
      <w:ind w:firstLineChars="200" w:firstLine="482"/>
    </w:pPr>
    <w:rPr>
      <w:rFonts w:eastAsia="仿宋_GB2312" w:cs="宋体"/>
      <w:sz w:val="24"/>
      <w:szCs w:val="26"/>
    </w:rPr>
  </w:style>
  <w:style w:type="paragraph" w:customStyle="1" w:styleId="CharCharCharCharChar6">
    <w:name w:val="Char Char Char Char Char"/>
    <w:basedOn w:val="a6"/>
    <w:qFormat/>
  </w:style>
  <w:style w:type="paragraph" w:customStyle="1" w:styleId="Char62">
    <w:name w:val="Char62"/>
    <w:basedOn w:val="a6"/>
    <w:qFormat/>
    <w:pPr>
      <w:keepNext/>
      <w:keepLines/>
      <w:spacing w:line="360" w:lineRule="auto"/>
      <w:jc w:val="left"/>
    </w:pPr>
    <w:rPr>
      <w:rFonts w:ascii="Tahoma" w:hAnsi="Tahoma"/>
      <w:b/>
      <w:sz w:val="30"/>
      <w:szCs w:val="20"/>
    </w:rPr>
  </w:style>
  <w:style w:type="paragraph" w:customStyle="1" w:styleId="515">
    <w:name w:val="标题 51"/>
    <w:basedOn w:val="a6"/>
    <w:next w:val="a6"/>
    <w:qFormat/>
    <w:pPr>
      <w:keepNext/>
      <w:keepLines/>
      <w:adjustRightInd w:val="0"/>
      <w:spacing w:before="280" w:after="290" w:line="376" w:lineRule="atLeast"/>
      <w:textAlignment w:val="baseline"/>
      <w:outlineLvl w:val="4"/>
    </w:pPr>
    <w:rPr>
      <w:b/>
      <w:color w:val="000000"/>
      <w:w w:val="110"/>
      <w:kern w:val="0"/>
      <w:sz w:val="28"/>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a6"/>
    <w:qFormat/>
    <w:pPr>
      <w:widowControl/>
      <w:spacing w:line="360" w:lineRule="auto"/>
      <w:jc w:val="left"/>
    </w:pPr>
    <w:rPr>
      <w:szCs w:val="21"/>
    </w:rPr>
  </w:style>
  <w:style w:type="paragraph" w:customStyle="1" w:styleId="2TimesNewRoman1">
    <w:name w:val="标题 2 + Times New Roman1"/>
    <w:basedOn w:val="22"/>
    <w:qFormat/>
    <w:pPr>
      <w:tabs>
        <w:tab w:val="left" w:pos="1070"/>
      </w:tabs>
      <w:spacing w:before="260" w:after="260" w:line="415" w:lineRule="auto"/>
      <w:ind w:leftChars="400" w:left="1070" w:hangingChars="200" w:hanging="360"/>
    </w:pPr>
    <w:rPr>
      <w:rFonts w:ascii="Cambria" w:hAnsi="Cambria"/>
      <w:spacing w:val="0"/>
      <w:w w:val="100"/>
      <w:kern w:val="2"/>
      <w:szCs w:val="32"/>
    </w:rPr>
  </w:style>
  <w:style w:type="paragraph" w:customStyle="1" w:styleId="Style24">
    <w:name w:val="_Style 24"/>
    <w:basedOn w:val="a6"/>
    <w:qFormat/>
    <w:rPr>
      <w:rFonts w:eastAsia="华文中宋"/>
      <w:spacing w:val="20"/>
      <w:sz w:val="24"/>
      <w:szCs w:val="20"/>
    </w:rPr>
  </w:style>
  <w:style w:type="paragraph" w:customStyle="1" w:styleId="2ffffffc">
    <w:name w:val="注释标题2"/>
    <w:basedOn w:val="a6"/>
    <w:next w:val="a6"/>
    <w:qFormat/>
    <w:pPr>
      <w:spacing w:beforeLines="50" w:afterLines="50"/>
      <w:jc w:val="center"/>
    </w:pPr>
    <w:rPr>
      <w:rFonts w:eastAsia="黑体"/>
      <w:sz w:val="24"/>
    </w:rPr>
  </w:style>
  <w:style w:type="paragraph" w:customStyle="1" w:styleId="1Charf3">
    <w:name w:val="1） Char"/>
    <w:basedOn w:val="a6"/>
    <w:qFormat/>
    <w:pPr>
      <w:widowControl/>
      <w:spacing w:line="400" w:lineRule="exact"/>
      <w:ind w:firstLineChars="200" w:firstLine="200"/>
      <w:jc w:val="left"/>
    </w:pPr>
    <w:rPr>
      <w:rFonts w:ascii="宋体" w:hAnsi="宋体" w:cs="宋体"/>
      <w:kern w:val="0"/>
      <w:sz w:val="28"/>
      <w:szCs w:val="20"/>
    </w:rPr>
  </w:style>
  <w:style w:type="paragraph" w:customStyle="1" w:styleId="afffffffffffffffffffffffffffffffffffffd">
    <w:name w:val="Табличный"/>
    <w:basedOn w:val="a6"/>
    <w:qFormat/>
    <w:pPr>
      <w:widowControl/>
      <w:spacing w:after="120" w:line="276" w:lineRule="auto"/>
      <w:jc w:val="center"/>
    </w:pPr>
    <w:rPr>
      <w:rFonts w:ascii="Tahoma" w:hAnsi="Tahoma"/>
      <w:color w:val="0051A1"/>
      <w:kern w:val="0"/>
      <w:sz w:val="24"/>
      <w:szCs w:val="22"/>
      <w:u w:val="single"/>
      <w:lang w:val="ky-KG" w:eastAsia="ru-RU" w:bidi="km-KH"/>
    </w:rPr>
  </w:style>
  <w:style w:type="paragraph" w:customStyle="1" w:styleId="afffffffffffffffffffffffffffffffffffffe">
    <w:name w:val="插图"/>
    <w:next w:val="a6"/>
    <w:qFormat/>
    <w:pPr>
      <w:snapToGrid w:val="0"/>
      <w:spacing w:line="240" w:lineRule="exact"/>
      <w:jc w:val="center"/>
    </w:pPr>
    <w:rPr>
      <w:rFonts w:ascii="宋体"/>
      <w:kern w:val="2"/>
      <w:sz w:val="21"/>
      <w:szCs w:val="21"/>
    </w:rPr>
  </w:style>
  <w:style w:type="paragraph" w:customStyle="1" w:styleId="0011">
    <w:name w:val="表格001"/>
    <w:basedOn w:val="a6"/>
    <w:qFormat/>
    <w:pPr>
      <w:jc w:val="center"/>
    </w:pPr>
    <w:rPr>
      <w:szCs w:val="20"/>
    </w:rPr>
  </w:style>
  <w:style w:type="paragraph" w:customStyle="1" w:styleId="1fffffff1">
    <w:name w:val="公式样式1"/>
    <w:basedOn w:val="a6"/>
    <w:qFormat/>
    <w:pPr>
      <w:jc w:val="center"/>
    </w:pPr>
    <w:rPr>
      <w:rFonts w:ascii="宋体" w:hAnsi="宋体"/>
      <w:color w:val="FF0000"/>
      <w:w w:val="110"/>
      <w:kern w:val="0"/>
      <w:sz w:val="24"/>
    </w:rPr>
  </w:style>
  <w:style w:type="paragraph" w:customStyle="1" w:styleId="affffffffffffffffffffffffffffffffffffff">
    <w:name w:val="表格内容格式"/>
    <w:basedOn w:val="a6"/>
    <w:qFormat/>
    <w:pPr>
      <w:adjustRightInd w:val="0"/>
      <w:spacing w:line="240" w:lineRule="atLeast"/>
      <w:textAlignment w:val="baseline"/>
    </w:pPr>
    <w:rPr>
      <w:rFonts w:ascii="宋体" w:hAnsi="宋体"/>
      <w:snapToGrid w:val="0"/>
      <w:color w:val="000000"/>
      <w:kern w:val="0"/>
      <w:szCs w:val="20"/>
    </w:rPr>
  </w:style>
  <w:style w:type="paragraph" w:customStyle="1" w:styleId="1fffffff2">
    <w:name w:val="正文文本1"/>
    <w:basedOn w:val="a6"/>
    <w:qFormat/>
    <w:pPr>
      <w:spacing w:after="120"/>
    </w:pPr>
    <w:rPr>
      <w:color w:val="000000"/>
      <w:w w:val="110"/>
      <w:kern w:val="0"/>
      <w:sz w:val="20"/>
    </w:rPr>
  </w:style>
  <w:style w:type="paragraph" w:customStyle="1" w:styleId="CharCharCharCharCharChar1CharCharCharChar2">
    <w:name w:val="Char Char Char Char Char Char1 Char Char Char Char2"/>
    <w:basedOn w:val="a6"/>
    <w:qFormat/>
    <w:rPr>
      <w:sz w:val="24"/>
    </w:rPr>
  </w:style>
  <w:style w:type="paragraph" w:customStyle="1" w:styleId="affffffffffffffffffffffffffffffffffffff0">
    <w:name w:val="灯泡注释(打印无效)"/>
    <w:basedOn w:val="affc"/>
    <w:qFormat/>
    <w:pPr>
      <w:snapToGrid w:val="0"/>
      <w:spacing w:line="240" w:lineRule="auto"/>
      <w:ind w:firstLineChars="0" w:firstLine="0"/>
    </w:pPr>
    <w:rPr>
      <w:rFonts w:hAnsi="Times New Roman"/>
      <w:bCs w:val="0"/>
      <w:i/>
      <w:vanish/>
      <w:color w:val="FF0000"/>
      <w:spacing w:val="0"/>
      <w:kern w:val="2"/>
      <w:sz w:val="21"/>
      <w:szCs w:val="20"/>
    </w:rPr>
  </w:style>
  <w:style w:type="paragraph" w:customStyle="1" w:styleId="reader-word-layerreader-word-s1-11reader-word-s1-14">
    <w:name w:val="reader-word-layer reader-word-s1-11 reader-word-s1-14"/>
    <w:basedOn w:val="a6"/>
    <w:qFormat/>
    <w:pPr>
      <w:widowControl/>
      <w:spacing w:before="100" w:beforeAutospacing="1" w:after="100" w:afterAutospacing="1"/>
      <w:jc w:val="left"/>
    </w:pPr>
    <w:rPr>
      <w:rFonts w:ascii="宋体" w:hAnsi="宋体" w:cs="宋体"/>
      <w:kern w:val="0"/>
      <w:sz w:val="24"/>
    </w:rPr>
  </w:style>
  <w:style w:type="paragraph" w:customStyle="1" w:styleId="pt9">
    <w:name w:val="pt9"/>
    <w:basedOn w:val="a6"/>
    <w:qFormat/>
    <w:pPr>
      <w:widowControl/>
      <w:spacing w:before="100" w:beforeAutospacing="1" w:after="100" w:afterAutospacing="1"/>
      <w:jc w:val="left"/>
    </w:pPr>
    <w:rPr>
      <w:color w:val="000000"/>
      <w:kern w:val="0"/>
      <w:sz w:val="18"/>
      <w:szCs w:val="18"/>
    </w:rPr>
  </w:style>
  <w:style w:type="paragraph" w:customStyle="1" w:styleId="reader-word-layerreader-word-s4-4">
    <w:name w:val="reader-word-layer reader-word-s4-4"/>
    <w:basedOn w:val="a6"/>
    <w:qFormat/>
    <w:pPr>
      <w:widowControl/>
      <w:spacing w:before="100" w:beforeAutospacing="1" w:after="100" w:afterAutospacing="1"/>
      <w:jc w:val="left"/>
    </w:pPr>
    <w:rPr>
      <w:rFonts w:ascii="宋体" w:hAnsi="宋体" w:cs="宋体"/>
      <w:kern w:val="0"/>
      <w:sz w:val="24"/>
    </w:rPr>
  </w:style>
  <w:style w:type="paragraph" w:customStyle="1" w:styleId="affffffffffffffffffffffffffffffffffffff1">
    <w:name w:val="注×："/>
    <w:qFormat/>
    <w:pPr>
      <w:widowControl w:val="0"/>
      <w:tabs>
        <w:tab w:val="left" w:pos="630"/>
      </w:tabs>
      <w:autoSpaceDE w:val="0"/>
      <w:autoSpaceDN w:val="0"/>
      <w:jc w:val="both"/>
    </w:pPr>
    <w:rPr>
      <w:rFonts w:ascii="宋体"/>
      <w:sz w:val="18"/>
    </w:rPr>
  </w:style>
  <w:style w:type="paragraph" w:customStyle="1" w:styleId="pic-info">
    <w:name w:val="pic-info"/>
    <w:basedOn w:val="a6"/>
    <w:qFormat/>
    <w:pPr>
      <w:widowControl/>
      <w:spacing w:before="100" w:beforeAutospacing="1" w:after="100" w:afterAutospacing="1"/>
      <w:jc w:val="left"/>
    </w:pPr>
    <w:rPr>
      <w:rFonts w:ascii="宋体" w:hAnsi="宋体" w:cs="宋体"/>
      <w:kern w:val="0"/>
      <w:sz w:val="24"/>
    </w:rPr>
  </w:style>
  <w:style w:type="paragraph" w:customStyle="1" w:styleId="affffffffffffffffffffffffffffffffffffff2">
    <w:name w:val="申报小节题"/>
    <w:basedOn w:val="a6"/>
    <w:qFormat/>
    <w:pPr>
      <w:spacing w:line="336" w:lineRule="auto"/>
    </w:pPr>
    <w:rPr>
      <w:sz w:val="24"/>
      <w:szCs w:val="20"/>
    </w:rPr>
  </w:style>
  <w:style w:type="paragraph" w:customStyle="1" w:styleId="xl59">
    <w:name w:val="xl59"/>
    <w:basedOn w:val="a6"/>
    <w:qFormat/>
    <w:pPr>
      <w:widowControl/>
      <w:pBdr>
        <w:top w:val="single" w:sz="8" w:space="0" w:color="auto"/>
        <w:bottom w:val="single" w:sz="4" w:space="0" w:color="auto"/>
        <w:right w:val="single" w:sz="4" w:space="0" w:color="auto"/>
      </w:pBdr>
      <w:spacing w:before="100" w:beforeAutospacing="1" w:after="100" w:afterAutospacing="1"/>
      <w:jc w:val="center"/>
      <w:textAlignment w:val="center"/>
    </w:pPr>
    <w:rPr>
      <w:rFonts w:ascii="宋体" w:eastAsia="Arial Unicode MS"/>
      <w:kern w:val="0"/>
      <w:sz w:val="24"/>
      <w:szCs w:val="20"/>
    </w:rPr>
  </w:style>
  <w:style w:type="paragraph" w:customStyle="1" w:styleId="affffffffffffffffffffffffffffffffffffff3">
    <w:name w:val="表格后"/>
    <w:basedOn w:val="a6"/>
    <w:next w:val="a6"/>
    <w:qFormat/>
    <w:pPr>
      <w:spacing w:beforeLines="50" w:line="360" w:lineRule="auto"/>
    </w:pPr>
    <w:rPr>
      <w:rFonts w:ascii="宋体"/>
      <w:kern w:val="0"/>
      <w:sz w:val="24"/>
      <w:szCs w:val="20"/>
    </w:rPr>
  </w:style>
  <w:style w:type="paragraph" w:customStyle="1" w:styleId="270">
    <w:name w:val="正文文本缩进 27"/>
    <w:basedOn w:val="a6"/>
    <w:qFormat/>
    <w:pPr>
      <w:adjustRightInd w:val="0"/>
      <w:spacing w:line="360" w:lineRule="auto"/>
      <w:ind w:firstLine="510"/>
      <w:textAlignment w:val="baseline"/>
    </w:pPr>
    <w:rPr>
      <w:rFonts w:ascii="宋体" w:hAnsi="宋体"/>
      <w:kern w:val="0"/>
      <w:sz w:val="28"/>
      <w:szCs w:val="20"/>
    </w:rPr>
  </w:style>
  <w:style w:type="paragraph" w:customStyle="1" w:styleId="affffffffffffffffffffffffffffffffffffff4">
    <w:name w:val="表格注"/>
    <w:basedOn w:val="a6"/>
    <w:next w:val="a6"/>
    <w:qFormat/>
    <w:pPr>
      <w:spacing w:line="240" w:lineRule="exact"/>
      <w:jc w:val="left"/>
    </w:pPr>
    <w:rPr>
      <w:rFonts w:ascii="宋体"/>
      <w:kern w:val="0"/>
      <w:sz w:val="18"/>
      <w:szCs w:val="20"/>
    </w:rPr>
  </w:style>
  <w:style w:type="paragraph" w:customStyle="1" w:styleId="xl74">
    <w:name w:val="xl74"/>
    <w:basedOn w:val="a6"/>
    <w:qFormat/>
    <w:pPr>
      <w:widowControl/>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left"/>
      <w:textAlignment w:val="center"/>
    </w:pPr>
    <w:rPr>
      <w:b/>
      <w:bCs/>
      <w:kern w:val="0"/>
      <w:sz w:val="20"/>
      <w:szCs w:val="20"/>
    </w:rPr>
  </w:style>
  <w:style w:type="paragraph" w:customStyle="1" w:styleId="affffffffffffffffffffffffffffffffffffff5">
    <w:name w:val="申报正文"/>
    <w:basedOn w:val="affffffffff7"/>
    <w:qFormat/>
    <w:pPr>
      <w:ind w:firstLine="200"/>
    </w:pPr>
    <w:rPr>
      <w:sz w:val="24"/>
    </w:rPr>
  </w:style>
  <w:style w:type="paragraph" w:customStyle="1" w:styleId="Char420">
    <w:name w:val="Char42"/>
    <w:basedOn w:val="a6"/>
    <w:qFormat/>
  </w:style>
  <w:style w:type="paragraph" w:customStyle="1" w:styleId="2ffffffd">
    <w:name w:val="?2"/>
    <w:basedOn w:val="a6"/>
    <w:next w:val="a6"/>
    <w:qFormat/>
    <w:pPr>
      <w:autoSpaceDE w:val="0"/>
      <w:autoSpaceDN w:val="0"/>
      <w:adjustRightInd w:val="0"/>
      <w:jc w:val="left"/>
    </w:pPr>
    <w:rPr>
      <w:rFonts w:ascii="五" w:eastAsia="五"/>
      <w:kern w:val="0"/>
      <w:sz w:val="20"/>
    </w:rPr>
  </w:style>
  <w:style w:type="paragraph" w:customStyle="1" w:styleId="affffffffffffffffffffffffffffffffffffff6">
    <w:name w:val="表图名"/>
    <w:qFormat/>
    <w:pPr>
      <w:spacing w:beforeLines="50" w:afterLines="50" w:line="360" w:lineRule="auto"/>
      <w:jc w:val="center"/>
    </w:pPr>
    <w:rPr>
      <w:b/>
      <w:kern w:val="2"/>
      <w:sz w:val="21"/>
      <w:szCs w:val="21"/>
    </w:rPr>
  </w:style>
  <w:style w:type="paragraph" w:customStyle="1" w:styleId="CharCharCharCharCharCharCharCharCharCharCharCharCharCharCharCharCharChar1CharCharCharCharCharCharCharCharCharCharCharChar1CharCharChar1">
    <w:name w:val="Char Char Char Char Char Char Char Char Char Char Char Char Char Char Char Char Char Char1 Char Char Char Char Char Char Char Char Char Char Char Char1 Char Char Char1"/>
    <w:basedOn w:val="a6"/>
    <w:next w:val="a6"/>
    <w:qFormat/>
    <w:pPr>
      <w:spacing w:line="360" w:lineRule="auto"/>
      <w:ind w:firstLineChars="200" w:firstLine="200"/>
    </w:pPr>
    <w:rPr>
      <w:rFonts w:ascii="宋体" w:hAnsi="宋体" w:cs="宋体"/>
      <w:sz w:val="24"/>
    </w:rPr>
  </w:style>
  <w:style w:type="paragraph" w:customStyle="1" w:styleId="affffffffffffffffffffffffffffffffffffff7">
    <w:name w:val="表格——正文"/>
    <w:basedOn w:val="a6"/>
    <w:qFormat/>
    <w:pPr>
      <w:kinsoku w:val="0"/>
      <w:wordWrap w:val="0"/>
      <w:overflowPunct w:val="0"/>
      <w:autoSpaceDE w:val="0"/>
      <w:autoSpaceDN w:val="0"/>
      <w:adjustRightInd w:val="0"/>
      <w:spacing w:line="280" w:lineRule="exact"/>
      <w:textAlignment w:val="baseline"/>
    </w:pPr>
    <w:rPr>
      <w:rFonts w:eastAsia="仿宋_GB2312"/>
      <w:snapToGrid w:val="0"/>
      <w:color w:val="000000"/>
      <w:kern w:val="0"/>
      <w:szCs w:val="20"/>
    </w:rPr>
  </w:style>
  <w:style w:type="paragraph" w:customStyle="1" w:styleId="CharCharCharCharCharCharCharCharCharCharChar1CharCharCharCharCharCharChar">
    <w:name w:val="Char Char Char Char Char Char Char Char Char Char Char1 Char Char Char Char Char Char Char"/>
    <w:basedOn w:val="a6"/>
    <w:qFormat/>
  </w:style>
  <w:style w:type="paragraph" w:customStyle="1" w:styleId="CharCharChar1CharCharCharCharCharCharChar7">
    <w:name w:val="Char Char Char1 Char Char Char Char Char Char Char7"/>
    <w:basedOn w:val="a6"/>
    <w:qFormat/>
    <w:rPr>
      <w:kern w:val="0"/>
      <w:sz w:val="24"/>
      <w:szCs w:val="20"/>
    </w:rPr>
  </w:style>
  <w:style w:type="paragraph" w:customStyle="1" w:styleId="Charffffffffffe">
    <w:name w:val="图表名 Char"/>
    <w:basedOn w:val="a6"/>
    <w:qFormat/>
    <w:pPr>
      <w:adjustRightInd w:val="0"/>
      <w:snapToGrid w:val="0"/>
      <w:spacing w:line="360" w:lineRule="auto"/>
      <w:ind w:firstLineChars="200" w:firstLine="200"/>
      <w:jc w:val="center"/>
    </w:pPr>
    <w:rPr>
      <w:rFonts w:eastAsia="黑体"/>
      <w:snapToGrid w:val="0"/>
      <w:kern w:val="0"/>
      <w:sz w:val="24"/>
    </w:rPr>
  </w:style>
  <w:style w:type="paragraph" w:customStyle="1" w:styleId="CharCharChar1CharCharCharCharCharCharCharCharCharCharCharChar1CharCharCharCharCharCharCharCharCharChar">
    <w:name w:val="Char Char Char1 Char Char Char Char Char Char Char Char Char Char Char Char1 Char Char Char Char Char Char Char Char Char Char"/>
    <w:basedOn w:val="a6"/>
    <w:qFormat/>
    <w:rPr>
      <w:rFonts w:eastAsia="仿宋_GB2312"/>
      <w:color w:val="000000"/>
      <w:w w:val="110"/>
      <w:kern w:val="0"/>
      <w:sz w:val="24"/>
    </w:rPr>
  </w:style>
  <w:style w:type="paragraph" w:customStyle="1" w:styleId="1fffffff3">
    <w:name w:val="样式 正文 +1"/>
    <w:basedOn w:val="a6"/>
    <w:qFormat/>
    <w:pPr>
      <w:spacing w:line="360" w:lineRule="auto"/>
      <w:ind w:firstLineChars="200" w:firstLine="200"/>
      <w:jc w:val="left"/>
    </w:pPr>
    <w:rPr>
      <w:rFonts w:cs="宋体"/>
      <w:sz w:val="24"/>
      <w:szCs w:val="20"/>
    </w:rPr>
  </w:style>
  <w:style w:type="paragraph" w:customStyle="1" w:styleId="ParaCharCharCharCharCharCharChar">
    <w:name w:val="默认段落字体 Para Char Char Char Char Char Char Char"/>
    <w:basedOn w:val="a6"/>
    <w:qFormat/>
    <w:rPr>
      <w:rFonts w:ascii="Arial" w:hAnsi="Arial" w:cs="Arial"/>
      <w:sz w:val="20"/>
      <w:szCs w:val="20"/>
    </w:rPr>
  </w:style>
  <w:style w:type="paragraph" w:customStyle="1" w:styleId="C3">
    <w:name w:val="标题 C"/>
    <w:basedOn w:val="a6"/>
    <w:qFormat/>
    <w:pPr>
      <w:kinsoku w:val="0"/>
      <w:wordWrap w:val="0"/>
      <w:adjustRightInd w:val="0"/>
      <w:spacing w:before="60" w:after="60" w:line="120" w:lineRule="atLeast"/>
      <w:textAlignment w:val="baseline"/>
    </w:pPr>
    <w:rPr>
      <w:spacing w:val="32"/>
      <w:kern w:val="0"/>
      <w:sz w:val="24"/>
      <w:szCs w:val="20"/>
    </w:rPr>
  </w:style>
  <w:style w:type="paragraph" w:customStyle="1" w:styleId="2-ls">
    <w:name w:val="标2-ls."/>
    <w:basedOn w:val="22"/>
    <w:qFormat/>
    <w:pPr>
      <w:spacing w:beforeLines="10" w:afterLines="10"/>
    </w:pPr>
    <w:rPr>
      <w:rFonts w:cs="宋体"/>
      <w:spacing w:val="0"/>
      <w:w w:val="100"/>
      <w:kern w:val="2"/>
      <w:sz w:val="30"/>
      <w:szCs w:val="20"/>
    </w:rPr>
  </w:style>
  <w:style w:type="paragraph" w:customStyle="1" w:styleId="1fffffff4">
    <w:name w:val="结束语1"/>
    <w:basedOn w:val="a6"/>
    <w:qFormat/>
    <w:pPr>
      <w:ind w:leftChars="2100" w:left="100"/>
    </w:pPr>
  </w:style>
  <w:style w:type="paragraph" w:customStyle="1" w:styleId="affffffffffffffffffffffffffffffffffffff8">
    <w:name w:val="表居中（中文）"/>
    <w:basedOn w:val="a6"/>
    <w:qFormat/>
    <w:pPr>
      <w:widowControl/>
      <w:adjustRightInd w:val="0"/>
      <w:spacing w:line="380" w:lineRule="atLeast"/>
      <w:jc w:val="center"/>
      <w:textAlignment w:val="baseline"/>
    </w:pPr>
    <w:rPr>
      <w:rFonts w:ascii="宋体" w:eastAsia="楷体_GB2312" w:hAnsi="宋体" w:cs="宋体"/>
      <w:kern w:val="0"/>
      <w:sz w:val="24"/>
      <w:szCs w:val="20"/>
    </w:rPr>
  </w:style>
  <w:style w:type="paragraph" w:customStyle="1" w:styleId="CharCharChar30">
    <w:name w:val="Char Char Char3"/>
    <w:basedOn w:val="a6"/>
    <w:qFormat/>
  </w:style>
  <w:style w:type="paragraph" w:customStyle="1" w:styleId="ParaAttribute10">
    <w:name w:val="ParaAttribute10"/>
    <w:qFormat/>
    <w:pPr>
      <w:widowControl w:val="0"/>
      <w:wordWrap w:val="0"/>
      <w:spacing w:line="264" w:lineRule="exact"/>
    </w:pPr>
  </w:style>
  <w:style w:type="paragraph" w:customStyle="1" w:styleId="1520">
    <w:name w:val="样式 样式 宋体 四号 行距: 1.5 倍行距 + 首行缩进:  2 字符"/>
    <w:basedOn w:val="a6"/>
    <w:qFormat/>
    <w:pPr>
      <w:adjustRightInd w:val="0"/>
      <w:snapToGrid w:val="0"/>
      <w:spacing w:line="360" w:lineRule="auto"/>
      <w:ind w:firstLineChars="200" w:firstLine="560"/>
    </w:pPr>
    <w:rPr>
      <w:rFonts w:ascii="宋体" w:hAnsi="宋体" w:cs="宋体"/>
      <w:sz w:val="28"/>
      <w:szCs w:val="20"/>
    </w:rPr>
  </w:style>
  <w:style w:type="paragraph" w:customStyle="1" w:styleId="affffffffffffffffffffffffffffffffffffff9">
    <w:name w:val="数字编号列项（二级）"/>
    <w:qFormat/>
    <w:pPr>
      <w:ind w:leftChars="400" w:left="1260" w:hangingChars="200" w:hanging="420"/>
      <w:jc w:val="both"/>
    </w:pPr>
    <w:rPr>
      <w:rFonts w:ascii="宋体"/>
      <w:sz w:val="21"/>
    </w:rPr>
  </w:style>
  <w:style w:type="paragraph" w:customStyle="1" w:styleId="e0">
    <w:name w:val="e新正文"/>
    <w:basedOn w:val="a6"/>
    <w:qFormat/>
    <w:pPr>
      <w:widowControl/>
      <w:spacing w:line="360" w:lineRule="auto"/>
    </w:pPr>
    <w:rPr>
      <w:rFonts w:ascii="宋体" w:hAnsi="宋体"/>
      <w:snapToGrid w:val="0"/>
      <w:kern w:val="0"/>
      <w:sz w:val="24"/>
      <w:szCs w:val="20"/>
    </w:rPr>
  </w:style>
  <w:style w:type="paragraph" w:customStyle="1" w:styleId="CharCharCharCharCharCharCharCharCharCharCharCharCharCharCharCharCharCharCharCharChar">
    <w:name w:val="Char Char Char Char Char Char Char Char Char Char Char Char Char Char Char Char Char Char Char Char Char"/>
    <w:basedOn w:val="a6"/>
    <w:qFormat/>
    <w:pPr>
      <w:spacing w:line="480" w:lineRule="exact"/>
      <w:ind w:leftChars="200" w:left="200" w:firstLineChars="200" w:firstLine="200"/>
    </w:pPr>
    <w:rPr>
      <w:rFonts w:ascii="宋体" w:hAnsi="宋体" w:cs="宋体"/>
      <w:sz w:val="24"/>
    </w:rPr>
  </w:style>
  <w:style w:type="paragraph" w:customStyle="1" w:styleId="170">
    <w:name w:val="17"/>
    <w:basedOn w:val="a6"/>
    <w:next w:val="39"/>
    <w:qFormat/>
    <w:pPr>
      <w:spacing w:after="120"/>
      <w:ind w:leftChars="200" w:left="420"/>
    </w:pPr>
    <w:rPr>
      <w:sz w:val="16"/>
      <w:szCs w:val="16"/>
    </w:rPr>
  </w:style>
  <w:style w:type="paragraph" w:customStyle="1" w:styleId="affffffffffffffffffffffffffffffffffffffa">
    <w:name w:val="正文段落"/>
    <w:qFormat/>
    <w:pPr>
      <w:spacing w:beforeLines="50"/>
      <w:ind w:firstLineChars="200" w:firstLine="505"/>
    </w:pPr>
    <w:rPr>
      <w:bCs/>
      <w:kern w:val="2"/>
      <w:sz w:val="24"/>
      <w:szCs w:val="24"/>
    </w:rPr>
  </w:style>
  <w:style w:type="paragraph" w:customStyle="1" w:styleId="159">
    <w:name w:val="样式 小四 加粗 行距: 1.5 倍行距"/>
    <w:basedOn w:val="a6"/>
    <w:qFormat/>
    <w:pPr>
      <w:spacing w:line="360" w:lineRule="auto"/>
    </w:pPr>
    <w:rPr>
      <w:rFonts w:cs="宋体"/>
      <w:b/>
      <w:bCs/>
      <w:sz w:val="24"/>
      <w:szCs w:val="20"/>
    </w:rPr>
  </w:style>
  <w:style w:type="paragraph" w:customStyle="1" w:styleId="affffffffffffffffffffffffffffffffffffffb">
    <w:name w:val="样式 楷体"/>
    <w:basedOn w:val="a6"/>
    <w:qFormat/>
    <w:pPr>
      <w:tabs>
        <w:tab w:val="left" w:pos="3780"/>
      </w:tabs>
      <w:ind w:firstLineChars="200" w:firstLine="480"/>
    </w:pPr>
    <w:rPr>
      <w:rFonts w:ascii="楷体" w:eastAsia="楷体" w:hAnsi="楷体"/>
      <w:sz w:val="18"/>
      <w:szCs w:val="28"/>
    </w:rPr>
  </w:style>
  <w:style w:type="paragraph" w:customStyle="1" w:styleId="pa-2">
    <w:name w:val="pa-2"/>
    <w:basedOn w:val="a6"/>
    <w:qFormat/>
    <w:pPr>
      <w:widowControl/>
      <w:spacing w:before="100" w:beforeAutospacing="1" w:after="100" w:afterAutospacing="1"/>
      <w:jc w:val="left"/>
    </w:pPr>
    <w:rPr>
      <w:rFonts w:ascii="宋体" w:hAnsi="宋体" w:cs="宋体"/>
      <w:kern w:val="0"/>
      <w:sz w:val="24"/>
    </w:rPr>
  </w:style>
  <w:style w:type="paragraph" w:customStyle="1" w:styleId="affffffffffffffffffffffffffffffffffffffc">
    <w:name w:val="样式_表格 小四加粗居中"/>
    <w:qFormat/>
    <w:pPr>
      <w:adjustRightInd w:val="0"/>
      <w:snapToGrid w:val="0"/>
      <w:jc w:val="center"/>
    </w:pPr>
    <w:rPr>
      <w:b/>
      <w:kern w:val="2"/>
      <w:sz w:val="24"/>
    </w:rPr>
  </w:style>
  <w:style w:type="paragraph" w:customStyle="1" w:styleId="affffffffffffffffffffffffffffffffffffffd">
    <w:name w:val="目录"/>
    <w:basedOn w:val="a6"/>
    <w:qFormat/>
    <w:pPr>
      <w:tabs>
        <w:tab w:val="right" w:leader="dot" w:pos="8505"/>
      </w:tabs>
      <w:overflowPunct w:val="0"/>
      <w:adjustRightInd w:val="0"/>
      <w:spacing w:line="360" w:lineRule="auto"/>
      <w:ind w:left="568" w:right="851" w:hanging="284"/>
      <w:textAlignment w:val="baseline"/>
    </w:pPr>
    <w:rPr>
      <w:kern w:val="0"/>
      <w:sz w:val="28"/>
      <w:szCs w:val="20"/>
    </w:rPr>
  </w:style>
  <w:style w:type="paragraph" w:customStyle="1" w:styleId="affffffffffffffffffffffffffffffffffffffe">
    <w:name w:val="项目三级编号"/>
    <w:basedOn w:val="a6"/>
    <w:qFormat/>
    <w:pPr>
      <w:tabs>
        <w:tab w:val="left" w:pos="1440"/>
      </w:tabs>
      <w:ind w:left="851" w:hanging="851"/>
    </w:pPr>
  </w:style>
  <w:style w:type="paragraph" w:customStyle="1" w:styleId="reader-word-layerreader-word-s4-14reader-word-s4-31">
    <w:name w:val="reader-word-layer reader-word-s4-14 reader-word-s4-31"/>
    <w:basedOn w:val="a6"/>
    <w:qFormat/>
    <w:pPr>
      <w:widowControl/>
      <w:spacing w:before="100" w:beforeAutospacing="1" w:after="100" w:afterAutospacing="1"/>
      <w:jc w:val="left"/>
    </w:pPr>
    <w:rPr>
      <w:rFonts w:ascii="宋体" w:hAnsi="宋体" w:cs="宋体"/>
      <w:kern w:val="0"/>
      <w:sz w:val="24"/>
    </w:rPr>
  </w:style>
  <w:style w:type="paragraph" w:customStyle="1" w:styleId="afffffffffffffffffffffffffffffffffffffff">
    <w:name w:val="图片"/>
    <w:basedOn w:val="a6"/>
    <w:qFormat/>
    <w:pPr>
      <w:spacing w:line="360" w:lineRule="auto"/>
      <w:ind w:firstLineChars="197" w:firstLine="449"/>
      <w:jc w:val="center"/>
    </w:pPr>
    <w:rPr>
      <w:rFonts w:hAnsi="宋体"/>
      <w:spacing w:val="-6"/>
      <w:sz w:val="24"/>
    </w:rPr>
  </w:style>
  <w:style w:type="paragraph" w:customStyle="1" w:styleId="7110">
    <w:name w:val="表格内字体711"/>
    <w:basedOn w:val="affffa"/>
    <w:next w:val="affffa"/>
    <w:qFormat/>
    <w:pPr>
      <w:spacing w:line="240" w:lineRule="auto"/>
      <w:ind w:firstLine="0"/>
      <w:jc w:val="center"/>
    </w:pPr>
    <w:rPr>
      <w:sz w:val="21"/>
    </w:rPr>
  </w:style>
  <w:style w:type="paragraph" w:customStyle="1" w:styleId="reader-word-layerreader-word-s39-5">
    <w:name w:val="reader-word-layer reader-word-s39-5"/>
    <w:basedOn w:val="a6"/>
    <w:qFormat/>
    <w:pPr>
      <w:widowControl/>
      <w:spacing w:before="100" w:beforeAutospacing="1" w:after="100" w:afterAutospacing="1"/>
      <w:jc w:val="left"/>
    </w:pPr>
    <w:rPr>
      <w:rFonts w:ascii="宋体" w:hAnsi="宋体" w:cs="宋体"/>
      <w:color w:val="000000"/>
      <w:w w:val="110"/>
      <w:kern w:val="0"/>
      <w:sz w:val="24"/>
    </w:rPr>
  </w:style>
  <w:style w:type="paragraph" w:customStyle="1" w:styleId="CharCharCharCharCharCharCharCharCharCharChar2">
    <w:name w:val="Char Char Char Char Char Char Char Char Char Char Char2"/>
    <w:basedOn w:val="a6"/>
    <w:qFormat/>
  </w:style>
  <w:style w:type="paragraph" w:customStyle="1" w:styleId="013">
    <w:name w:val="正文缩进_01"/>
    <w:qFormat/>
    <w:pPr>
      <w:tabs>
        <w:tab w:val="left" w:pos="2126"/>
      </w:tabs>
      <w:adjustRightInd w:val="0"/>
      <w:snapToGrid w:val="0"/>
      <w:spacing w:line="360" w:lineRule="auto"/>
      <w:ind w:firstLineChars="750" w:firstLine="2100"/>
    </w:pPr>
    <w:rPr>
      <w:rFonts w:ascii="Garamond" w:eastAsia="Times New Roman" w:hAnsi="Garamond"/>
      <w:sz w:val="28"/>
    </w:rPr>
  </w:style>
  <w:style w:type="paragraph" w:customStyle="1" w:styleId="CharCharChar130">
    <w:name w:val="Char Char Char13"/>
    <w:basedOn w:val="a6"/>
    <w:qFormat/>
  </w:style>
  <w:style w:type="paragraph" w:customStyle="1" w:styleId="E00122">
    <w:name w:val="样式 样式 E 正文001 + 首行缩进:  2 字符 + 首行缩进:  2 字符"/>
    <w:basedOn w:val="a6"/>
    <w:qFormat/>
    <w:pPr>
      <w:spacing w:line="500" w:lineRule="exact"/>
      <w:ind w:firstLineChars="200" w:firstLine="200"/>
    </w:pPr>
    <w:rPr>
      <w:rFonts w:cs="宋体"/>
      <w:sz w:val="28"/>
      <w:szCs w:val="20"/>
    </w:rPr>
  </w:style>
  <w:style w:type="paragraph" w:customStyle="1" w:styleId="zi14">
    <w:name w:val="zi14"/>
    <w:basedOn w:val="a6"/>
    <w:qFormat/>
    <w:pPr>
      <w:widowControl/>
      <w:spacing w:before="100" w:beforeAutospacing="1" w:after="100" w:afterAutospacing="1"/>
      <w:jc w:val="left"/>
    </w:pPr>
    <w:rPr>
      <w:rFonts w:ascii="宋体" w:hAnsi="宋体" w:cs="宋体"/>
      <w:b/>
      <w:bCs/>
      <w:color w:val="004499"/>
      <w:kern w:val="0"/>
      <w:sz w:val="23"/>
      <w:szCs w:val="23"/>
    </w:rPr>
  </w:style>
  <w:style w:type="paragraph" w:customStyle="1" w:styleId="afffffffffffffffffffffffffffffffffffffff0">
    <w:name w:val="节正文"/>
    <w:basedOn w:val="a6"/>
    <w:qFormat/>
    <w:pPr>
      <w:spacing w:beforeLines="20" w:afterLines="20" w:line="360" w:lineRule="auto"/>
      <w:ind w:leftChars="100" w:left="100" w:firstLineChars="200" w:firstLine="200"/>
    </w:pPr>
    <w:rPr>
      <w:sz w:val="24"/>
    </w:rPr>
  </w:style>
  <w:style w:type="paragraph" w:customStyle="1" w:styleId="xl112">
    <w:name w:val="xl112"/>
    <w:basedOn w:val="a6"/>
    <w:qFormat/>
    <w:pPr>
      <w:widowControl/>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left"/>
      <w:textAlignment w:val="center"/>
    </w:pPr>
    <w:rPr>
      <w:rFonts w:ascii="宋体" w:hAnsi="宋体" w:cs="宋体"/>
      <w:b/>
      <w:bCs/>
      <w:kern w:val="0"/>
      <w:sz w:val="20"/>
      <w:szCs w:val="20"/>
    </w:rPr>
  </w:style>
  <w:style w:type="paragraph" w:customStyle="1" w:styleId="Char1CharCharChar">
    <w:name w:val="Char1 Char Char Char"/>
    <w:basedOn w:val="a6"/>
    <w:qFormat/>
    <w:rPr>
      <w:rFonts w:ascii="宋体" w:hAnsi="宋体"/>
      <w:szCs w:val="21"/>
    </w:rPr>
  </w:style>
  <w:style w:type="paragraph" w:customStyle="1" w:styleId="CharCharCharCharCharCharChar20">
    <w:name w:val="Char Char Char Char Char Char Char2"/>
    <w:basedOn w:val="a6"/>
    <w:qFormat/>
    <w:pPr>
      <w:widowControl/>
      <w:spacing w:after="160" w:line="240" w:lineRule="exact"/>
      <w:jc w:val="left"/>
    </w:pPr>
    <w:rPr>
      <w:rFonts w:ascii="Verdana" w:hAnsi="Verdana"/>
      <w:kern w:val="0"/>
      <w:sz w:val="20"/>
      <w:szCs w:val="20"/>
      <w:lang w:eastAsia="en-US"/>
    </w:rPr>
  </w:style>
  <w:style w:type="paragraph" w:customStyle="1" w:styleId="CharChar2CharChar">
    <w:name w:val="Char Char2 Char Char"/>
    <w:basedOn w:val="a6"/>
    <w:qFormat/>
  </w:style>
  <w:style w:type="paragraph" w:customStyle="1" w:styleId="xl50">
    <w:name w:val="xl50"/>
    <w:basedOn w:val="a6"/>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eastAsia="Arial Unicode MS"/>
      <w:kern w:val="0"/>
      <w:sz w:val="24"/>
      <w:szCs w:val="20"/>
    </w:rPr>
  </w:style>
  <w:style w:type="paragraph" w:customStyle="1" w:styleId="6d">
    <w:name w:val="纯文本6"/>
    <w:basedOn w:val="a6"/>
    <w:qFormat/>
    <w:pPr>
      <w:adjustRightInd w:val="0"/>
      <w:jc w:val="left"/>
      <w:textAlignment w:val="baseline"/>
    </w:pPr>
    <w:rPr>
      <w:rFonts w:ascii="宋体"/>
      <w:kern w:val="0"/>
      <w:sz w:val="24"/>
      <w:szCs w:val="20"/>
    </w:rPr>
  </w:style>
  <w:style w:type="paragraph" w:customStyle="1" w:styleId="CCCharCharCharCharCharChar">
    <w:name w:val="CC Char Char Char Char Char Char"/>
    <w:basedOn w:val="26"/>
    <w:next w:val="26"/>
    <w:qFormat/>
    <w:pPr>
      <w:adjustRightInd/>
      <w:snapToGrid/>
      <w:spacing w:after="120" w:line="480" w:lineRule="auto"/>
      <w:ind w:leftChars="100" w:left="630" w:rightChars="100" w:right="100" w:firstLineChars="0" w:firstLine="0"/>
    </w:pPr>
    <w:rPr>
      <w:sz w:val="28"/>
      <w:szCs w:val="28"/>
    </w:rPr>
  </w:style>
  <w:style w:type="paragraph" w:customStyle="1" w:styleId="Char4CharCharCharCharCharCharCharCharCharCharCharCharCharCharCharCharChar1CharCharCharCharCharChar1Char">
    <w:name w:val="Char4 Char Char Char Char Char Char Char Char Char Char Char Char Char Char Char Char Char1 Char Char Char Char Char Char1 Char"/>
    <w:basedOn w:val="a6"/>
    <w:qFormat/>
    <w:pPr>
      <w:spacing w:line="240" w:lineRule="exact"/>
      <w:ind w:firstLineChars="200" w:firstLine="200"/>
    </w:pPr>
    <w:rPr>
      <w:sz w:val="28"/>
      <w:szCs w:val="28"/>
    </w:rPr>
  </w:style>
  <w:style w:type="paragraph" w:customStyle="1" w:styleId="CharCharCharCharCharChar1Char5">
    <w:name w:val="Char Char Char Char Char Char1 Char5"/>
    <w:basedOn w:val="a6"/>
    <w:qFormat/>
    <w:pPr>
      <w:widowControl/>
      <w:spacing w:after="160" w:line="240" w:lineRule="exact"/>
      <w:jc w:val="left"/>
    </w:pPr>
    <w:rPr>
      <w:rFonts w:ascii="Arial" w:eastAsia="Times New Roman" w:hAnsi="Arial"/>
      <w:b/>
      <w:kern w:val="0"/>
      <w:sz w:val="24"/>
      <w:szCs w:val="20"/>
      <w:lang w:eastAsia="en-US"/>
    </w:rPr>
  </w:style>
  <w:style w:type="paragraph" w:customStyle="1" w:styleId="Char130">
    <w:name w:val="Char13"/>
    <w:basedOn w:val="a6"/>
    <w:qFormat/>
    <w:rPr>
      <w:rFonts w:ascii="宋体"/>
      <w:kern w:val="0"/>
      <w:sz w:val="24"/>
      <w:szCs w:val="20"/>
    </w:rPr>
  </w:style>
  <w:style w:type="paragraph" w:customStyle="1" w:styleId="afffffffffffffffffffffffffffffffffffffff1">
    <w:name w:val="二期四级样式"/>
    <w:basedOn w:val="a6"/>
    <w:qFormat/>
    <w:pPr>
      <w:widowControl/>
      <w:tabs>
        <w:tab w:val="left" w:pos="1680"/>
      </w:tabs>
      <w:ind w:left="1680" w:hanging="420"/>
      <w:jc w:val="left"/>
    </w:pPr>
    <w:rPr>
      <w:kern w:val="0"/>
      <w:sz w:val="24"/>
    </w:rPr>
  </w:style>
  <w:style w:type="paragraph" w:customStyle="1" w:styleId="T6">
    <w:name w:val="T表格"/>
    <w:qFormat/>
    <w:pPr>
      <w:spacing w:line="300" w:lineRule="exact"/>
      <w:jc w:val="both"/>
    </w:pPr>
    <w:rPr>
      <w:color w:val="000000"/>
      <w:sz w:val="21"/>
      <w:szCs w:val="21"/>
    </w:rPr>
  </w:style>
  <w:style w:type="paragraph" w:customStyle="1" w:styleId="5120">
    <w:name w:val="样式 标题5 国寰 + 黑体 + 文字 1 首行缩进:  2 字符"/>
    <w:qFormat/>
    <w:rPr>
      <w:rFonts w:cs="宋体"/>
      <w:color w:val="000000"/>
    </w:rPr>
  </w:style>
  <w:style w:type="paragraph" w:customStyle="1" w:styleId="5ff7">
    <w:name w:val="标题5 国寰 + 黑体"/>
    <w:basedOn w:val="afffe"/>
    <w:qFormat/>
    <w:pPr>
      <w:spacing w:line="360" w:lineRule="auto"/>
      <w:ind w:firstLineChars="200" w:firstLine="200"/>
      <w:outlineLvl w:val="4"/>
    </w:pPr>
    <w:rPr>
      <w:rFonts w:ascii="黑体" w:eastAsia="黑体" w:hAnsi="黑体"/>
      <w:snapToGrid w:val="0"/>
      <w:kern w:val="0"/>
      <w:sz w:val="24"/>
    </w:rPr>
  </w:style>
  <w:style w:type="paragraph" w:customStyle="1" w:styleId="xl64">
    <w:name w:val="xl64"/>
    <w:basedOn w:val="a6"/>
    <w:qFormat/>
    <w:pPr>
      <w:widowControl/>
      <w:pBdr>
        <w:left w:val="single" w:sz="4" w:space="0" w:color="auto"/>
        <w:bottom w:val="single" w:sz="4" w:space="0" w:color="auto"/>
        <w:right w:val="single" w:sz="8" w:space="0" w:color="auto"/>
      </w:pBdr>
      <w:spacing w:before="100" w:beforeAutospacing="1" w:after="100" w:afterAutospacing="1"/>
      <w:jc w:val="left"/>
      <w:textAlignment w:val="center"/>
    </w:pPr>
    <w:rPr>
      <w:rFonts w:ascii="Arial Unicode MS" w:eastAsia="Arial Unicode MS" w:hAnsi="Arial Unicode MS"/>
      <w:kern w:val="0"/>
      <w:sz w:val="24"/>
      <w:szCs w:val="20"/>
    </w:rPr>
  </w:style>
  <w:style w:type="paragraph" w:customStyle="1" w:styleId="Char220">
    <w:name w:val="Char22"/>
    <w:basedOn w:val="a6"/>
    <w:qFormat/>
    <w:rPr>
      <w:color w:val="000000"/>
      <w:w w:val="110"/>
      <w:kern w:val="0"/>
      <w:sz w:val="24"/>
    </w:rPr>
  </w:style>
  <w:style w:type="paragraph" w:customStyle="1" w:styleId="afffffffffffffffffffffffffffffffffffffff2">
    <w:name w:val="三级标题！！！"/>
    <w:basedOn w:val="affffffffffffffffffffffffffff5"/>
    <w:qFormat/>
    <w:pPr>
      <w:outlineLvl w:val="2"/>
    </w:pPr>
    <w:rPr>
      <w:sz w:val="24"/>
      <w:szCs w:val="28"/>
    </w:rPr>
  </w:style>
  <w:style w:type="paragraph" w:customStyle="1" w:styleId="CM95">
    <w:name w:val="CM95"/>
    <w:basedOn w:val="Default"/>
    <w:next w:val="Default"/>
    <w:qFormat/>
    <w:pPr>
      <w:spacing w:after="177"/>
    </w:pPr>
    <w:rPr>
      <w:rFonts w:ascii="黑体" w:eastAsia="黑体"/>
      <w:color w:val="auto"/>
    </w:rPr>
  </w:style>
  <w:style w:type="paragraph" w:customStyle="1" w:styleId="33Char11">
    <w:name w:val="样式 标题 3标题 3 Char + 左侧:  1 字符 右侧:  1 字符"/>
    <w:basedOn w:val="33"/>
    <w:qFormat/>
    <w:pPr>
      <w:widowControl/>
      <w:tabs>
        <w:tab w:val="left" w:pos="709"/>
      </w:tabs>
      <w:adjustRightInd w:val="0"/>
      <w:snapToGrid w:val="0"/>
      <w:spacing w:line="460" w:lineRule="exact"/>
      <w:ind w:firstLineChars="200" w:firstLine="200"/>
    </w:pPr>
    <w:rPr>
      <w:rFonts w:eastAsia="仿宋_GB2312" w:cs="宋体"/>
      <w:b/>
      <w:spacing w:val="0"/>
      <w:sz w:val="24"/>
      <w:szCs w:val="26"/>
    </w:rPr>
  </w:style>
  <w:style w:type="paragraph" w:customStyle="1" w:styleId="afffffffffffffffffffffffffffffffffffffff3">
    <w:name w:val="图标题"/>
    <w:basedOn w:val="a6"/>
    <w:qFormat/>
    <w:pPr>
      <w:widowControl/>
      <w:spacing w:beforeLines="25" w:line="360" w:lineRule="auto"/>
      <w:jc w:val="center"/>
    </w:pPr>
    <w:rPr>
      <w:rFonts w:ascii="Arial" w:eastAsia="黑体" w:hAnsi="Arial"/>
      <w:kern w:val="0"/>
      <w:sz w:val="24"/>
      <w:szCs w:val="20"/>
    </w:rPr>
  </w:style>
  <w:style w:type="paragraph" w:customStyle="1" w:styleId="font15">
    <w:name w:val="font15"/>
    <w:basedOn w:val="a6"/>
    <w:qFormat/>
    <w:pPr>
      <w:widowControl/>
      <w:spacing w:before="100" w:beforeAutospacing="1" w:after="100" w:afterAutospacing="1"/>
      <w:jc w:val="left"/>
    </w:pPr>
    <w:rPr>
      <w:kern w:val="0"/>
      <w:sz w:val="22"/>
      <w:szCs w:val="22"/>
    </w:rPr>
  </w:style>
  <w:style w:type="paragraph" w:customStyle="1" w:styleId="afffffffffffffffffffffffffffffffffffffff4">
    <w:name w:val="文"/>
    <w:basedOn w:val="33"/>
    <w:qFormat/>
    <w:pPr>
      <w:keepNext w:val="0"/>
      <w:keepLines w:val="0"/>
      <w:tabs>
        <w:tab w:val="left" w:pos="1070"/>
      </w:tabs>
      <w:adjustRightInd w:val="0"/>
      <w:spacing w:line="360" w:lineRule="auto"/>
      <w:ind w:firstLineChars="200" w:firstLine="480"/>
      <w:outlineLvl w:val="9"/>
    </w:pPr>
    <w:rPr>
      <w:rFonts w:eastAsia="宋体"/>
      <w:bCs/>
      <w:spacing w:val="0"/>
      <w:sz w:val="24"/>
      <w:szCs w:val="24"/>
    </w:rPr>
  </w:style>
  <w:style w:type="paragraph" w:customStyle="1" w:styleId="Char320">
    <w:name w:val="Char32"/>
    <w:basedOn w:val="a6"/>
    <w:qFormat/>
  </w:style>
  <w:style w:type="paragraph" w:customStyle="1" w:styleId="CharCharCharCharCharChar10">
    <w:name w:val="Char Char 字元 字元 字元 Char Char Char Char1"/>
    <w:basedOn w:val="a6"/>
    <w:qFormat/>
    <w:pPr>
      <w:widowControl/>
      <w:adjustRightInd w:val="0"/>
      <w:spacing w:line="360" w:lineRule="auto"/>
      <w:jc w:val="left"/>
    </w:pPr>
    <w:rPr>
      <w:rFonts w:ascii="宋体" w:hAnsi="宋体" w:cs="宋体"/>
      <w:kern w:val="0"/>
      <w:sz w:val="24"/>
      <w:szCs w:val="20"/>
    </w:rPr>
  </w:style>
  <w:style w:type="paragraph" w:customStyle="1" w:styleId="1fffffff5">
    <w:name w:val="表文1"/>
    <w:basedOn w:val="a6"/>
    <w:qFormat/>
    <w:pPr>
      <w:spacing w:beforeLines="50" w:afterLines="50" w:line="360" w:lineRule="auto"/>
    </w:pPr>
    <w:rPr>
      <w:rFonts w:ascii="宋体" w:hAnsi="宋体"/>
      <w:szCs w:val="20"/>
    </w:rPr>
  </w:style>
  <w:style w:type="paragraph" w:customStyle="1" w:styleId="16111">
    <w:name w:val="标题16.1.1.1"/>
    <w:basedOn w:val="41"/>
    <w:qFormat/>
    <w:pPr>
      <w:tabs>
        <w:tab w:val="left" w:pos="1200"/>
        <w:tab w:val="left" w:pos="1923"/>
      </w:tabs>
      <w:adjustRightInd/>
      <w:snapToGrid/>
      <w:spacing w:beforeLines="0" w:before="120" w:after="120" w:line="312" w:lineRule="auto"/>
      <w:ind w:left="1200" w:hanging="360"/>
    </w:pPr>
    <w:rPr>
      <w:rFonts w:ascii="Arial" w:hAnsi="Arial"/>
      <w:sz w:val="24"/>
      <w:szCs w:val="24"/>
    </w:rPr>
  </w:style>
  <w:style w:type="paragraph" w:customStyle="1" w:styleId="afffffffffffffffffffffffffffffffffffffff5">
    <w:name w:val="密级编号"/>
    <w:basedOn w:val="a6"/>
    <w:qFormat/>
    <w:pPr>
      <w:adjustRightInd w:val="0"/>
      <w:jc w:val="center"/>
      <w:textAlignment w:val="baseline"/>
    </w:pPr>
    <w:rPr>
      <w:rFonts w:ascii="仿宋_GB2312" w:eastAsia="仿宋_GB2312"/>
      <w:color w:val="000000"/>
      <w:w w:val="110"/>
      <w:kern w:val="0"/>
      <w:sz w:val="24"/>
      <w:szCs w:val="20"/>
    </w:rPr>
  </w:style>
  <w:style w:type="paragraph" w:customStyle="1" w:styleId="2ffffffe">
    <w:name w:val="样式 标题 2 + (符号) 宋体"/>
    <w:basedOn w:val="22"/>
    <w:qFormat/>
    <w:pPr>
      <w:keepNext w:val="0"/>
      <w:keepLines w:val="0"/>
      <w:spacing w:afterLines="50" w:line="300" w:lineRule="auto"/>
      <w:jc w:val="center"/>
    </w:pPr>
    <w:rPr>
      <w:rFonts w:ascii="楷体_GB2312" w:eastAsia="楷体_GB2312" w:hAnsi="黑体"/>
      <w:b/>
      <w:bCs w:val="0"/>
      <w:spacing w:val="0"/>
      <w:w w:val="100"/>
      <w:kern w:val="2"/>
      <w:szCs w:val="32"/>
    </w:rPr>
  </w:style>
  <w:style w:type="paragraph" w:customStyle="1" w:styleId="4ff6">
    <w:name w:val="日期4"/>
    <w:basedOn w:val="a6"/>
    <w:next w:val="a6"/>
    <w:qFormat/>
    <w:pPr>
      <w:adjustRightInd w:val="0"/>
      <w:jc w:val="left"/>
    </w:pPr>
    <w:rPr>
      <w:rFonts w:ascii="宋体" w:hint="eastAsia"/>
      <w:spacing w:val="24"/>
      <w:kern w:val="24"/>
      <w:sz w:val="24"/>
      <w:szCs w:val="20"/>
    </w:rPr>
  </w:style>
  <w:style w:type="paragraph" w:customStyle="1" w:styleId="afffffffffffffffffffffffffffffffffffffff6">
    <w:name w:val="列项——（一级）"/>
    <w:qFormat/>
    <w:pPr>
      <w:widowControl w:val="0"/>
      <w:tabs>
        <w:tab w:val="left" w:pos="854"/>
        <w:tab w:val="left" w:pos="1080"/>
      </w:tabs>
      <w:ind w:leftChars="200" w:left="780" w:hangingChars="200" w:hanging="420"/>
      <w:jc w:val="both"/>
    </w:pPr>
    <w:rPr>
      <w:rFonts w:ascii="宋体"/>
      <w:sz w:val="21"/>
    </w:rPr>
  </w:style>
  <w:style w:type="paragraph" w:customStyle="1" w:styleId="1fffffff6">
    <w:name w:val="正1"/>
    <w:basedOn w:val="a6"/>
    <w:qFormat/>
    <w:pPr>
      <w:spacing w:before="60" w:after="60" w:line="400" w:lineRule="exact"/>
      <w:ind w:right="32" w:firstLine="612"/>
    </w:pPr>
    <w:rPr>
      <w:rFonts w:ascii="宋体"/>
      <w:sz w:val="28"/>
      <w:szCs w:val="20"/>
    </w:rPr>
  </w:style>
  <w:style w:type="paragraph" w:customStyle="1" w:styleId="reader-word-layerreader-word-s39-12">
    <w:name w:val="reader-word-layer reader-word-s39-12"/>
    <w:basedOn w:val="a6"/>
    <w:qFormat/>
    <w:pPr>
      <w:widowControl/>
      <w:spacing w:before="100" w:beforeAutospacing="1" w:after="100" w:afterAutospacing="1"/>
      <w:jc w:val="left"/>
    </w:pPr>
    <w:rPr>
      <w:rFonts w:ascii="宋体" w:hAnsi="宋体" w:cs="宋体"/>
      <w:color w:val="000000"/>
      <w:w w:val="110"/>
      <w:kern w:val="0"/>
      <w:sz w:val="24"/>
    </w:rPr>
  </w:style>
  <w:style w:type="paragraph" w:customStyle="1" w:styleId="202">
    <w:name w:val="标题 2 + 首行缩进： 0磅"/>
    <w:basedOn w:val="a6"/>
    <w:qFormat/>
    <w:pPr>
      <w:keepNext/>
      <w:keepLines/>
      <w:tabs>
        <w:tab w:val="left" w:pos="8140"/>
      </w:tabs>
      <w:spacing w:line="360" w:lineRule="auto"/>
      <w:outlineLvl w:val="1"/>
    </w:pPr>
    <w:rPr>
      <w:rFonts w:ascii="黑体" w:eastAsia="黑体"/>
      <w:kern w:val="0"/>
      <w:sz w:val="30"/>
      <w:szCs w:val="20"/>
    </w:rPr>
  </w:style>
  <w:style w:type="paragraph" w:customStyle="1" w:styleId="CharCharCharCharCharCharCharCharChar7">
    <w:name w:val="Char Char Char Char Char Char Char Char Char7"/>
    <w:basedOn w:val="a6"/>
    <w:qFormat/>
    <w:rPr>
      <w:color w:val="000000"/>
      <w:w w:val="110"/>
      <w:kern w:val="0"/>
      <w:sz w:val="24"/>
    </w:rPr>
  </w:style>
  <w:style w:type="paragraph" w:customStyle="1" w:styleId="3fffb">
    <w:name w:val="尾注文本3"/>
    <w:basedOn w:val="1ff9"/>
    <w:qFormat/>
    <w:pPr>
      <w:adjustRightInd w:val="0"/>
      <w:spacing w:line="360" w:lineRule="atLeast"/>
      <w:jc w:val="left"/>
      <w:textAlignment w:val="baseline"/>
    </w:pPr>
    <w:rPr>
      <w:rFonts w:ascii="宋体" w:hAnsi="Calibri"/>
      <w:kern w:val="0"/>
      <w:szCs w:val="20"/>
    </w:rPr>
  </w:style>
  <w:style w:type="paragraph" w:customStyle="1" w:styleId="Document1">
    <w:name w:val="Document 1"/>
    <w:qFormat/>
    <w:pPr>
      <w:keepNext/>
      <w:keepLines/>
      <w:widowControl w:val="0"/>
      <w:tabs>
        <w:tab w:val="left" w:pos="-720"/>
      </w:tabs>
      <w:suppressAutoHyphens/>
    </w:pPr>
    <w:rPr>
      <w:rFonts w:ascii="Courier New" w:hAnsi="Courier New"/>
      <w:snapToGrid w:val="0"/>
      <w:lang w:eastAsia="en-US"/>
    </w:rPr>
  </w:style>
  <w:style w:type="paragraph" w:customStyle="1" w:styleId="5ff8">
    <w:name w:val="表格样式5"/>
    <w:basedOn w:val="afc"/>
    <w:qFormat/>
    <w:pPr>
      <w:widowControl/>
      <w:spacing w:line="240" w:lineRule="auto"/>
      <w:ind w:firstLineChars="0" w:firstLine="0"/>
      <w:jc w:val="center"/>
    </w:pPr>
    <w:rPr>
      <w:rFonts w:ascii="Times New Roman" w:eastAsia="宋体" w:hAnsi="Times New Roman"/>
      <w:color w:val="auto"/>
      <w:spacing w:val="0"/>
      <w:kern w:val="0"/>
      <w:sz w:val="18"/>
      <w:szCs w:val="18"/>
    </w:rPr>
  </w:style>
  <w:style w:type="paragraph" w:customStyle="1" w:styleId="3fffc">
    <w:name w:val="标题 3单独"/>
    <w:basedOn w:val="33"/>
    <w:qFormat/>
    <w:pPr>
      <w:adjustRightInd w:val="0"/>
      <w:spacing w:before="20" w:after="20" w:line="360" w:lineRule="auto"/>
      <w:jc w:val="left"/>
    </w:pPr>
    <w:rPr>
      <w:b/>
      <w:bCs/>
      <w:spacing w:val="0"/>
      <w:szCs w:val="20"/>
    </w:rPr>
  </w:style>
  <w:style w:type="paragraph" w:customStyle="1" w:styleId="xl29">
    <w:name w:val="xl29"/>
    <w:basedOn w:val="a6"/>
    <w:qFormat/>
    <w:pPr>
      <w:widowControl/>
      <w:pBdr>
        <w:top w:val="single" w:sz="4" w:space="0" w:color="auto"/>
        <w:left w:val="single" w:sz="4" w:space="0" w:color="auto"/>
        <w:bottom w:val="single" w:sz="4" w:space="0" w:color="auto"/>
        <w:right w:val="single" w:sz="4" w:space="0" w:color="auto"/>
      </w:pBdr>
      <w:spacing w:before="100" w:after="100"/>
      <w:jc w:val="center"/>
      <w:textAlignment w:val="center"/>
    </w:pPr>
    <w:rPr>
      <w:kern w:val="0"/>
      <w:szCs w:val="20"/>
    </w:rPr>
  </w:style>
  <w:style w:type="paragraph" w:customStyle="1" w:styleId="5ff9">
    <w:name w:val="封面5"/>
    <w:basedOn w:val="a6"/>
    <w:qFormat/>
    <w:pPr>
      <w:snapToGrid w:val="0"/>
    </w:pPr>
  </w:style>
  <w:style w:type="paragraph" w:customStyle="1" w:styleId="CharCharCharCharChar1Char">
    <w:name w:val="Char Char Char Char Char1 Char"/>
    <w:basedOn w:val="a6"/>
    <w:qFormat/>
    <w:pPr>
      <w:widowControl/>
      <w:adjustRightInd w:val="0"/>
      <w:spacing w:line="360" w:lineRule="auto"/>
      <w:jc w:val="left"/>
    </w:pPr>
    <w:rPr>
      <w:rFonts w:ascii="宋体" w:eastAsia="黑体" w:hAnsi="宋体" w:cs="宋体"/>
      <w:spacing w:val="20"/>
      <w:kern w:val="0"/>
      <w:sz w:val="32"/>
      <w:szCs w:val="32"/>
    </w:rPr>
  </w:style>
  <w:style w:type="paragraph" w:customStyle="1" w:styleId="Char210">
    <w:name w:val="Char21"/>
    <w:basedOn w:val="a6"/>
    <w:qFormat/>
    <w:rPr>
      <w:color w:val="000000"/>
      <w:w w:val="110"/>
      <w:kern w:val="0"/>
      <w:sz w:val="24"/>
    </w:rPr>
  </w:style>
  <w:style w:type="paragraph" w:customStyle="1" w:styleId="051">
    <w:name w:val="样式 第一章章节 + 段后: 0.5 行"/>
    <w:basedOn w:val="a6"/>
    <w:qFormat/>
    <w:pPr>
      <w:keepNext/>
      <w:keepLines/>
      <w:pageBreakBefore/>
      <w:tabs>
        <w:tab w:val="left" w:pos="6736"/>
      </w:tabs>
      <w:spacing w:afterLines="50" w:line="360" w:lineRule="auto"/>
      <w:ind w:left="2159" w:hanging="1619"/>
      <w:jc w:val="center"/>
      <w:outlineLvl w:val="0"/>
    </w:pPr>
    <w:rPr>
      <w:rFonts w:eastAsia="黑体" w:cs="宋体"/>
      <w:b/>
      <w:color w:val="000000"/>
      <w:kern w:val="44"/>
      <w:sz w:val="32"/>
      <w:szCs w:val="20"/>
    </w:rPr>
  </w:style>
  <w:style w:type="paragraph" w:customStyle="1" w:styleId="xl77">
    <w:name w:val="xl77"/>
    <w:basedOn w:val="a6"/>
    <w:qFormat/>
    <w:pPr>
      <w:widowControl/>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b/>
      <w:bCs/>
      <w:kern w:val="0"/>
      <w:sz w:val="20"/>
      <w:szCs w:val="20"/>
    </w:rPr>
  </w:style>
  <w:style w:type="paragraph" w:customStyle="1" w:styleId="Char8CharCharCharCharChar1">
    <w:name w:val="Char8 Char Char Char Char Char1"/>
    <w:basedOn w:val="a6"/>
    <w:qFormat/>
    <w:pPr>
      <w:widowControl/>
      <w:spacing w:after="160" w:line="240" w:lineRule="exact"/>
      <w:jc w:val="left"/>
    </w:pPr>
    <w:rPr>
      <w:rFonts w:ascii="Arial" w:eastAsia="Times New Roman" w:hAnsi="Arial" w:cs="Verdana"/>
      <w:b/>
      <w:kern w:val="0"/>
      <w:sz w:val="24"/>
      <w:lang w:eastAsia="en-US"/>
    </w:rPr>
  </w:style>
  <w:style w:type="paragraph" w:customStyle="1" w:styleId="XL501">
    <w:name w:val="表文_XL5_01"/>
    <w:qFormat/>
    <w:pPr>
      <w:ind w:leftChars="-26" w:left="-1" w:hangingChars="29" w:hanging="61"/>
    </w:pPr>
    <w:rPr>
      <w:rFonts w:ascii="Garamond" w:eastAsia="楷体_GB2312" w:hAnsi="Garamond"/>
      <w:kern w:val="28"/>
      <w:sz w:val="21"/>
    </w:rPr>
  </w:style>
  <w:style w:type="paragraph" w:customStyle="1" w:styleId="reader-word-layerreader-word-s1-21">
    <w:name w:val="reader-word-layer reader-word-s1-21"/>
    <w:basedOn w:val="a6"/>
    <w:qFormat/>
    <w:pPr>
      <w:widowControl/>
      <w:spacing w:before="100" w:beforeAutospacing="1" w:after="100" w:afterAutospacing="1"/>
      <w:jc w:val="left"/>
    </w:pPr>
    <w:rPr>
      <w:rFonts w:ascii="宋体" w:hAnsi="宋体" w:cs="宋体"/>
      <w:kern w:val="0"/>
      <w:sz w:val="24"/>
    </w:rPr>
  </w:style>
  <w:style w:type="paragraph" w:customStyle="1" w:styleId="afffffffffffffffffffffffffffffffffffffff7">
    <w:name w:val="清除格式"/>
    <w:basedOn w:val="a6"/>
    <w:qFormat/>
    <w:rPr>
      <w:rFonts w:ascii="宋体" w:hAnsi="宋体"/>
      <w:sz w:val="24"/>
    </w:rPr>
  </w:style>
  <w:style w:type="paragraph" w:customStyle="1" w:styleId="afffffffffffffffffffffffffffffffffffffff8">
    <w:name w:val="表格文字中对齐"/>
    <w:basedOn w:val="a6"/>
    <w:qFormat/>
    <w:pPr>
      <w:spacing w:line="300" w:lineRule="auto"/>
      <w:jc w:val="center"/>
    </w:pPr>
    <w:rPr>
      <w:rFonts w:ascii="仿宋_GB2312" w:eastAsia="仿宋_GB2312" w:hAnsi="Arial Narrow"/>
    </w:rPr>
  </w:style>
  <w:style w:type="paragraph" w:customStyle="1" w:styleId="reader-word-layerreader-word-s3-21">
    <w:name w:val="reader-word-layer reader-word-s3-21"/>
    <w:basedOn w:val="a6"/>
    <w:qFormat/>
    <w:pPr>
      <w:widowControl/>
      <w:spacing w:before="100" w:beforeAutospacing="1" w:after="100" w:afterAutospacing="1"/>
      <w:jc w:val="left"/>
    </w:pPr>
    <w:rPr>
      <w:rFonts w:ascii="宋体" w:hAnsi="宋体" w:cs="宋体"/>
      <w:kern w:val="0"/>
      <w:sz w:val="24"/>
    </w:rPr>
  </w:style>
  <w:style w:type="paragraph" w:customStyle="1" w:styleId="ParaCharCharCharCharCharCharCharCharCharCharCharCharChar">
    <w:name w:val="默认段落字体 Para Char Char Char Char Char Char Char Char Char Char Char Char Char"/>
    <w:basedOn w:val="a6"/>
    <w:qFormat/>
    <w:rPr>
      <w:color w:val="000000"/>
      <w:w w:val="110"/>
      <w:kern w:val="0"/>
      <w:sz w:val="24"/>
    </w:rPr>
  </w:style>
  <w:style w:type="paragraph" w:customStyle="1" w:styleId="afffffffffffffffffffffffffffffffffffffff9">
    <w:name w:val="表头格式"/>
    <w:basedOn w:val="a6"/>
    <w:qFormat/>
    <w:pPr>
      <w:spacing w:line="360" w:lineRule="auto"/>
      <w:jc w:val="center"/>
    </w:pPr>
    <w:rPr>
      <w:rFonts w:ascii="黑体" w:eastAsia="黑体" w:hAnsi="宋体"/>
      <w:b/>
      <w:sz w:val="24"/>
    </w:rPr>
  </w:style>
  <w:style w:type="paragraph" w:customStyle="1" w:styleId="ParaAttribute28">
    <w:name w:val="ParaAttribute28"/>
    <w:qFormat/>
    <w:pPr>
      <w:widowControl w:val="0"/>
      <w:wordWrap w:val="0"/>
      <w:spacing w:line="149" w:lineRule="exact"/>
    </w:pPr>
  </w:style>
  <w:style w:type="paragraph" w:customStyle="1" w:styleId="CharCharCharChar60">
    <w:name w:val="Char Char Char Char6"/>
    <w:basedOn w:val="a6"/>
    <w:qFormat/>
    <w:pPr>
      <w:spacing w:line="360" w:lineRule="auto"/>
      <w:ind w:firstLineChars="200" w:firstLine="200"/>
    </w:pPr>
    <w:rPr>
      <w:rFonts w:ascii="宋体" w:hAnsi="宋体" w:cs="宋体"/>
      <w:sz w:val="24"/>
    </w:rPr>
  </w:style>
  <w:style w:type="paragraph" w:customStyle="1" w:styleId="3fffd">
    <w:name w:val="目录3"/>
    <w:basedOn w:val="a6"/>
    <w:next w:val="a6"/>
    <w:qFormat/>
    <w:pPr>
      <w:widowControl/>
      <w:tabs>
        <w:tab w:val="left" w:leader="dot" w:pos="8492"/>
      </w:tabs>
      <w:spacing w:line="748" w:lineRule="atLeast"/>
      <w:ind w:left="419" w:firstLine="419"/>
    </w:pPr>
    <w:rPr>
      <w:rFonts w:ascii="宋体"/>
      <w:color w:val="000000"/>
      <w:kern w:val="0"/>
      <w:szCs w:val="20"/>
      <w:u w:color="000000"/>
    </w:rPr>
  </w:style>
  <w:style w:type="paragraph" w:customStyle="1" w:styleId="CharCharCharCharCharChar11">
    <w:name w:val="Char Char Char Char Char Char1"/>
    <w:basedOn w:val="a6"/>
    <w:qFormat/>
    <w:rPr>
      <w:color w:val="000000"/>
      <w:w w:val="110"/>
      <w:kern w:val="0"/>
      <w:sz w:val="24"/>
    </w:rPr>
  </w:style>
  <w:style w:type="paragraph" w:customStyle="1" w:styleId="afffffffffffffffffffffffffffffffffffffffa">
    <w:name w:val="图文框"/>
    <w:basedOn w:val="a6"/>
    <w:uiPriority w:val="99"/>
    <w:qFormat/>
    <w:pPr>
      <w:tabs>
        <w:tab w:val="left" w:pos="5400"/>
      </w:tabs>
      <w:ind w:left="-102" w:right="-102"/>
      <w:jc w:val="center"/>
    </w:pPr>
    <w:rPr>
      <w:spacing w:val="-2"/>
      <w:szCs w:val="20"/>
    </w:rPr>
  </w:style>
  <w:style w:type="paragraph" w:customStyle="1" w:styleId="CharCharCharCharCharChar1CharCharCharChar1">
    <w:name w:val="Char Char Char Char Char Char1 Char Char Char Char1"/>
    <w:basedOn w:val="a6"/>
    <w:qFormat/>
    <w:rPr>
      <w:sz w:val="24"/>
    </w:rPr>
  </w:style>
  <w:style w:type="paragraph" w:customStyle="1" w:styleId="CharCharChar1CharCharChar3">
    <w:name w:val="Char Char Char1 Char Char Char3"/>
    <w:basedOn w:val="a6"/>
    <w:qFormat/>
  </w:style>
  <w:style w:type="paragraph" w:customStyle="1" w:styleId="xl89">
    <w:name w:val="xl89"/>
    <w:basedOn w:val="a6"/>
    <w:qFormat/>
    <w:pPr>
      <w:widowControl/>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left"/>
      <w:textAlignment w:val="center"/>
    </w:pPr>
    <w:rPr>
      <w:rFonts w:ascii="宋体" w:hAnsi="宋体" w:cs="宋体"/>
      <w:b/>
      <w:bCs/>
      <w:kern w:val="0"/>
      <w:sz w:val="20"/>
      <w:szCs w:val="20"/>
    </w:rPr>
  </w:style>
  <w:style w:type="paragraph" w:customStyle="1" w:styleId="CharCharCharCharCharCharCharCharChar3">
    <w:name w:val="Char Char Char Char Char Char Char Char Char3"/>
    <w:basedOn w:val="a6"/>
    <w:qFormat/>
  </w:style>
  <w:style w:type="paragraph" w:customStyle="1" w:styleId="l-2">
    <w:name w:val="l-2"/>
    <w:basedOn w:val="a6"/>
    <w:qFormat/>
    <w:pPr>
      <w:widowControl/>
      <w:spacing w:before="100" w:beforeAutospacing="1" w:after="100" w:afterAutospacing="1"/>
      <w:jc w:val="left"/>
    </w:pPr>
    <w:rPr>
      <w:rFonts w:ascii="宋体" w:hAnsi="宋体" w:cs="宋体"/>
      <w:b/>
      <w:bCs/>
      <w:color w:val="000000"/>
      <w:kern w:val="0"/>
      <w:sz w:val="18"/>
      <w:szCs w:val="18"/>
    </w:rPr>
  </w:style>
  <w:style w:type="paragraph" w:customStyle="1" w:styleId="CM37">
    <w:name w:val="CM37"/>
    <w:basedOn w:val="Default"/>
    <w:next w:val="Default"/>
    <w:qFormat/>
    <w:rPr>
      <w:rFonts w:ascii="黑体" w:eastAsia="黑体"/>
      <w:color w:val="auto"/>
    </w:rPr>
  </w:style>
  <w:style w:type="paragraph" w:customStyle="1" w:styleId="2211">
    <w:name w:val="样式 标题 + 两端对齐 左侧:  2.2 厘米1"/>
    <w:basedOn w:val="aa"/>
    <w:qFormat/>
    <w:pPr>
      <w:pageBreakBefore w:val="0"/>
      <w:tabs>
        <w:tab w:val="left" w:pos="0"/>
      </w:tabs>
      <w:spacing w:before="0" w:after="100" w:afterAutospacing="1" w:line="360" w:lineRule="auto"/>
      <w:ind w:left="1247" w:hanging="57"/>
      <w:jc w:val="both"/>
    </w:pPr>
    <w:rPr>
      <w:rFonts w:ascii="楷体_GB2312" w:eastAsia="隶书" w:hAnsi="Arial" w:cs="宋体"/>
      <w:kern w:val="0"/>
      <w:szCs w:val="20"/>
    </w:rPr>
  </w:style>
  <w:style w:type="paragraph" w:customStyle="1" w:styleId="CharCharChar80">
    <w:name w:val="Char Char Char8"/>
    <w:basedOn w:val="a6"/>
    <w:qFormat/>
    <w:rPr>
      <w:spacing w:val="-2"/>
      <w:kern w:val="0"/>
      <w:sz w:val="28"/>
      <w:szCs w:val="20"/>
    </w:rPr>
  </w:style>
  <w:style w:type="paragraph" w:customStyle="1" w:styleId="afffffffffffffffffffffffffffffffffffffffb">
    <w:name w:val="样式 一级标题丹 +"/>
    <w:basedOn w:val="a6"/>
    <w:qFormat/>
    <w:pPr>
      <w:spacing w:before="200" w:after="200" w:line="360" w:lineRule="auto"/>
    </w:pPr>
    <w:rPr>
      <w:rFonts w:eastAsia="黑体" w:cs="宋体"/>
      <w:b/>
      <w:bCs/>
      <w:sz w:val="36"/>
      <w:szCs w:val="20"/>
    </w:rPr>
  </w:style>
  <w:style w:type="paragraph" w:customStyle="1" w:styleId="2fffffff">
    <w:name w:val="样式 正文格式 + 首行缩进:  2 字符"/>
    <w:basedOn w:val="a6"/>
    <w:qFormat/>
    <w:pPr>
      <w:adjustRightInd w:val="0"/>
      <w:snapToGrid w:val="0"/>
      <w:spacing w:line="480" w:lineRule="exact"/>
      <w:ind w:firstLineChars="200" w:firstLine="520"/>
    </w:pPr>
    <w:rPr>
      <w:rFonts w:ascii="宋体" w:hAnsi="宋体" w:cs="宋体"/>
      <w:kern w:val="0"/>
      <w:sz w:val="28"/>
      <w:szCs w:val="28"/>
    </w:rPr>
  </w:style>
  <w:style w:type="paragraph" w:customStyle="1" w:styleId="6e">
    <w:name w:val="6"/>
    <w:basedOn w:val="a6"/>
    <w:next w:val="26"/>
    <w:qFormat/>
    <w:pPr>
      <w:ind w:firstLine="555"/>
      <w:jc w:val="left"/>
    </w:pPr>
    <w:rPr>
      <w:sz w:val="28"/>
    </w:rPr>
  </w:style>
  <w:style w:type="paragraph" w:customStyle="1" w:styleId="hb4050526">
    <w:name w:val="样式 hb4 + 段前: 0.5 行 段后: 0.5 行 行距: 固定值 26 磅"/>
    <w:basedOn w:val="hb4CharCharCharCharChar"/>
    <w:qFormat/>
  </w:style>
  <w:style w:type="paragraph" w:customStyle="1" w:styleId="CharCharChar2CharCharCharCharCharCharChar1">
    <w:name w:val="Char Char Char2 Char Char Char Char Char Char Char1"/>
    <w:basedOn w:val="a6"/>
    <w:qFormat/>
    <w:rPr>
      <w:rFonts w:hAnsi="宋体"/>
      <w:kern w:val="0"/>
      <w:sz w:val="24"/>
    </w:rPr>
  </w:style>
  <w:style w:type="paragraph" w:customStyle="1" w:styleId="262">
    <w:name w:val="样式 (符号) 宋体 小四 行距: 固定值 26 磅"/>
    <w:basedOn w:val="a6"/>
    <w:qFormat/>
    <w:pPr>
      <w:widowControl/>
      <w:spacing w:line="280" w:lineRule="exact"/>
    </w:pPr>
    <w:rPr>
      <w:bCs/>
      <w:spacing w:val="-8"/>
      <w:kern w:val="0"/>
      <w:sz w:val="18"/>
      <w:szCs w:val="18"/>
    </w:rPr>
  </w:style>
  <w:style w:type="paragraph" w:customStyle="1" w:styleId="pl2">
    <w:name w:val="pl正文"/>
    <w:basedOn w:val="a6"/>
    <w:qFormat/>
    <w:pPr>
      <w:widowControl/>
      <w:snapToGrid w:val="0"/>
      <w:spacing w:line="360" w:lineRule="auto"/>
      <w:ind w:firstLine="492"/>
      <w:jc w:val="left"/>
    </w:pPr>
    <w:rPr>
      <w:rFonts w:ascii="宋体" w:hAnsi="宋体" w:cs="宋体"/>
      <w:color w:val="000000"/>
      <w:spacing w:val="6"/>
      <w:kern w:val="0"/>
      <w:sz w:val="28"/>
    </w:rPr>
  </w:style>
  <w:style w:type="paragraph" w:customStyle="1" w:styleId="afffffffffffffffffffffffffffffffffffffffc">
    <w:name w:val="高表标"/>
    <w:basedOn w:val="a6"/>
    <w:qFormat/>
    <w:pPr>
      <w:widowControl/>
      <w:snapToGrid w:val="0"/>
      <w:spacing w:line="300" w:lineRule="auto"/>
      <w:jc w:val="left"/>
    </w:pPr>
    <w:rPr>
      <w:rFonts w:ascii="Arial" w:eastAsia="黑体" w:hAnsi="Arial" w:cs="宋体"/>
      <w:bCs/>
      <w:kern w:val="0"/>
      <w:sz w:val="24"/>
    </w:rPr>
  </w:style>
  <w:style w:type="paragraph" w:customStyle="1" w:styleId="afffffffffffffffffffffffffffffffffffffffd">
    <w:name w:val="表格注释"/>
    <w:basedOn w:val="a6"/>
    <w:qFormat/>
    <w:pPr>
      <w:spacing w:line="360" w:lineRule="auto"/>
      <w:ind w:firstLineChars="200" w:firstLine="200"/>
    </w:pPr>
    <w:rPr>
      <w:rFonts w:ascii="Times" w:eastAsia="楷体" w:hAnsi="Times"/>
      <w:kern w:val="24"/>
      <w:sz w:val="24"/>
    </w:rPr>
  </w:style>
  <w:style w:type="paragraph" w:customStyle="1" w:styleId="reader-word-layerreader-word-s39-17">
    <w:name w:val="reader-word-layer reader-word-s39-17"/>
    <w:basedOn w:val="a6"/>
    <w:qFormat/>
    <w:pPr>
      <w:widowControl/>
      <w:spacing w:before="100" w:beforeAutospacing="1" w:after="100" w:afterAutospacing="1"/>
      <w:jc w:val="left"/>
    </w:pPr>
    <w:rPr>
      <w:rFonts w:ascii="宋体" w:hAnsi="宋体" w:cs="宋体"/>
      <w:color w:val="000000"/>
      <w:w w:val="110"/>
      <w:kern w:val="0"/>
      <w:sz w:val="24"/>
    </w:rPr>
  </w:style>
  <w:style w:type="paragraph" w:customStyle="1" w:styleId="xl127">
    <w:name w:val="xl127"/>
    <w:basedOn w:val="a6"/>
    <w:qFormat/>
    <w:pPr>
      <w:widowControl/>
      <w:pBdr>
        <w:top w:val="double" w:sz="6" w:space="0" w:color="auto"/>
        <w:left w:val="single" w:sz="4" w:space="0" w:color="auto"/>
        <w:right w:val="single" w:sz="4" w:space="0" w:color="auto"/>
      </w:pBdr>
      <w:spacing w:before="100" w:beforeAutospacing="1" w:after="100" w:afterAutospacing="1" w:line="360" w:lineRule="auto"/>
      <w:jc w:val="center"/>
      <w:textAlignment w:val="center"/>
    </w:pPr>
    <w:rPr>
      <w:rFonts w:ascii="Arial Unicode MS" w:eastAsia="Arial Unicode MS" w:hAnsi="Arial Unicode MS" w:cs="Arial Unicode MS"/>
      <w:color w:val="000000"/>
      <w:kern w:val="0"/>
      <w:sz w:val="24"/>
      <w:szCs w:val="21"/>
    </w:rPr>
  </w:style>
  <w:style w:type="paragraph" w:customStyle="1" w:styleId="CharCharCharCharCharCharCharCharCharCharCharCharCharCharCharCharCharChar1CharCharCharCharCharCharCharCharCharCharCharChar1CharCharChar">
    <w:name w:val="Char Char Char Char Char Char Char Char Char Char Char Char Char Char Char Char Char Char1 Char Char Char Char Char Char Char Char Char Char Char Char1 Char Char Char"/>
    <w:basedOn w:val="a6"/>
    <w:next w:val="a6"/>
    <w:qFormat/>
    <w:pPr>
      <w:spacing w:line="360" w:lineRule="auto"/>
      <w:ind w:firstLineChars="200" w:firstLine="200"/>
    </w:pPr>
    <w:rPr>
      <w:rFonts w:ascii="宋体" w:hAnsi="宋体" w:cs="宋体"/>
      <w:sz w:val="24"/>
    </w:rPr>
  </w:style>
  <w:style w:type="paragraph" w:customStyle="1" w:styleId="reader-word-layerreader-word-s1-7reader-word-s1-11">
    <w:name w:val="reader-word-layer reader-word-s1-7 reader-word-s1-11"/>
    <w:basedOn w:val="a6"/>
    <w:qFormat/>
    <w:pPr>
      <w:widowControl/>
      <w:spacing w:before="100" w:beforeAutospacing="1" w:after="100" w:afterAutospacing="1"/>
      <w:jc w:val="left"/>
    </w:pPr>
    <w:rPr>
      <w:rFonts w:ascii="宋体" w:hAnsi="宋体" w:cs="宋体"/>
      <w:kern w:val="0"/>
      <w:sz w:val="24"/>
    </w:rPr>
  </w:style>
  <w:style w:type="paragraph" w:customStyle="1" w:styleId="xl139">
    <w:name w:val="xl139"/>
    <w:basedOn w:val="a6"/>
    <w:qFormat/>
    <w:pPr>
      <w:widowControl/>
      <w:pBdr>
        <w:top w:val="single" w:sz="4" w:space="0" w:color="auto"/>
        <w:left w:val="single" w:sz="4" w:space="0" w:color="auto"/>
        <w:bottom w:val="double" w:sz="6" w:space="0" w:color="auto"/>
        <w:right w:val="single" w:sz="4" w:space="0" w:color="auto"/>
      </w:pBdr>
      <w:spacing w:before="100" w:beforeAutospacing="1" w:after="100" w:afterAutospacing="1" w:line="360" w:lineRule="auto"/>
      <w:jc w:val="center"/>
      <w:textAlignment w:val="center"/>
    </w:pPr>
    <w:rPr>
      <w:rFonts w:ascii="Arial Unicode MS" w:eastAsia="Arial Unicode MS" w:hAnsi="Arial Unicode MS" w:cs="Arial Unicode MS"/>
      <w:kern w:val="0"/>
      <w:sz w:val="20"/>
      <w:szCs w:val="20"/>
    </w:rPr>
  </w:style>
  <w:style w:type="paragraph" w:customStyle="1" w:styleId="15a">
    <w:name w:val="文本框五号1.5倍行距"/>
    <w:basedOn w:val="Charffffffffff9"/>
    <w:qFormat/>
    <w:pPr>
      <w:spacing w:line="360" w:lineRule="auto"/>
    </w:pPr>
  </w:style>
  <w:style w:type="paragraph" w:customStyle="1" w:styleId="417">
    <w:name w:val="页眉41"/>
    <w:basedOn w:val="3f5"/>
    <w:qFormat/>
    <w:pPr>
      <w:pBdr>
        <w:bottom w:val="single" w:sz="6" w:space="1" w:color="auto"/>
      </w:pBdr>
      <w:tabs>
        <w:tab w:val="center" w:pos="4153"/>
        <w:tab w:val="right" w:pos="8306"/>
      </w:tabs>
      <w:adjustRightInd w:val="0"/>
      <w:spacing w:line="240" w:lineRule="atLeast"/>
      <w:ind w:firstLine="0"/>
      <w:jc w:val="center"/>
    </w:pPr>
    <w:rPr>
      <w:rFonts w:ascii="宋体" w:hint="eastAsia"/>
      <w:spacing w:val="0"/>
      <w:kern w:val="0"/>
      <w:sz w:val="18"/>
    </w:rPr>
  </w:style>
  <w:style w:type="paragraph" w:customStyle="1" w:styleId="xl932">
    <w:name w:val="xl932"/>
    <w:basedOn w:val="a6"/>
    <w:qFormat/>
    <w:pPr>
      <w:widowControl/>
      <w:spacing w:before="100" w:beforeAutospacing="1" w:after="100" w:afterAutospacing="1"/>
      <w:jc w:val="left"/>
    </w:pPr>
    <w:rPr>
      <w:rFonts w:ascii="宋体" w:hAnsi="宋体" w:cs="宋体"/>
      <w:color w:val="000000"/>
      <w:kern w:val="0"/>
      <w:sz w:val="22"/>
      <w:szCs w:val="22"/>
    </w:rPr>
  </w:style>
  <w:style w:type="paragraph" w:customStyle="1" w:styleId="1-">
    <w:name w:val="1-"/>
    <w:basedOn w:val="a6"/>
    <w:qFormat/>
    <w:pPr>
      <w:widowControl/>
      <w:numPr>
        <w:numId w:val="22"/>
      </w:numPr>
      <w:spacing w:beforeLines="50" w:afterLines="50" w:line="360" w:lineRule="auto"/>
      <w:ind w:firstLine="0"/>
      <w:jc w:val="left"/>
      <w:outlineLvl w:val="0"/>
    </w:pPr>
    <w:rPr>
      <w:rFonts w:ascii="Arial" w:hAnsi="Arial" w:cs="Arial"/>
      <w:b/>
      <w:kern w:val="0"/>
      <w:sz w:val="24"/>
    </w:rPr>
  </w:style>
  <w:style w:type="paragraph" w:customStyle="1" w:styleId="xl153">
    <w:name w:val="xl153"/>
    <w:basedOn w:val="a6"/>
    <w:qFormat/>
    <w:pPr>
      <w:widowControl/>
      <w:pBdr>
        <w:right w:val="single" w:sz="4" w:space="0" w:color="auto"/>
      </w:pBdr>
      <w:spacing w:before="100" w:beforeAutospacing="1" w:after="100" w:afterAutospacing="1" w:line="360" w:lineRule="auto"/>
      <w:jc w:val="center"/>
      <w:textAlignment w:val="center"/>
    </w:pPr>
    <w:rPr>
      <w:rFonts w:eastAsia="Arial Unicode MS" w:cs="宋体"/>
      <w:color w:val="000000"/>
      <w:kern w:val="0"/>
      <w:sz w:val="20"/>
      <w:szCs w:val="20"/>
    </w:rPr>
  </w:style>
  <w:style w:type="paragraph" w:customStyle="1" w:styleId="CharChar26">
    <w:name w:val="Char Char26"/>
    <w:basedOn w:val="a6"/>
    <w:qFormat/>
    <w:pPr>
      <w:snapToGrid w:val="0"/>
      <w:spacing w:line="440" w:lineRule="atLeast"/>
    </w:pPr>
    <w:rPr>
      <w:rFonts w:ascii="宋体"/>
      <w:color w:val="000000"/>
      <w:w w:val="110"/>
      <w:kern w:val="0"/>
      <w:sz w:val="24"/>
    </w:rPr>
  </w:style>
  <w:style w:type="paragraph" w:customStyle="1" w:styleId="xl1069">
    <w:name w:val="xl1069"/>
    <w:basedOn w:val="a6"/>
    <w:qFormat/>
    <w:pPr>
      <w:widowControl/>
      <w:pBdr>
        <w:top w:val="single" w:sz="4" w:space="0" w:color="auto"/>
        <w:left w:val="single" w:sz="4" w:space="0" w:color="auto"/>
        <w:right w:val="single" w:sz="4" w:space="0" w:color="auto"/>
      </w:pBdr>
      <w:shd w:val="clear" w:color="000000" w:fill="0070C0"/>
      <w:spacing w:before="100" w:beforeAutospacing="1" w:after="100" w:afterAutospacing="1"/>
      <w:jc w:val="center"/>
    </w:pPr>
    <w:rPr>
      <w:rFonts w:ascii="Arial" w:hAnsi="Arial" w:cs="Arial"/>
      <w:kern w:val="0"/>
      <w:sz w:val="18"/>
      <w:szCs w:val="18"/>
    </w:rPr>
  </w:style>
  <w:style w:type="paragraph" w:customStyle="1" w:styleId="CharCharChar2CharCharCharCharCharCharCharCharCharChar2">
    <w:name w:val="Char Char Char2 Char Char Char Char Char Char Char Char Char Char2"/>
    <w:basedOn w:val="a6"/>
    <w:qFormat/>
  </w:style>
  <w:style w:type="paragraph" w:customStyle="1" w:styleId="xl192">
    <w:name w:val="xl192"/>
    <w:basedOn w:val="a6"/>
    <w:qFormat/>
    <w:pPr>
      <w:widowControl/>
      <w:pBdr>
        <w:top w:val="single" w:sz="4" w:space="0" w:color="auto"/>
        <w:bottom w:val="single" w:sz="4" w:space="0" w:color="auto"/>
      </w:pBdr>
      <w:spacing w:before="100" w:beforeAutospacing="1" w:after="100" w:afterAutospacing="1"/>
      <w:jc w:val="left"/>
      <w:textAlignment w:val="center"/>
    </w:pPr>
    <w:rPr>
      <w:rFonts w:ascii="Arial" w:hAnsi="Arial" w:cs="Arial"/>
      <w:color w:val="000000"/>
      <w:kern w:val="0"/>
      <w:sz w:val="24"/>
    </w:rPr>
  </w:style>
  <w:style w:type="paragraph" w:customStyle="1" w:styleId="xl165">
    <w:name w:val="xl165"/>
    <w:basedOn w:val="a6"/>
    <w:qFormat/>
    <w:pPr>
      <w:widowControl/>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eastAsia="Arial Unicode MS" w:cs="宋体"/>
      <w:color w:val="000000"/>
      <w:kern w:val="0"/>
      <w:sz w:val="20"/>
      <w:szCs w:val="20"/>
    </w:rPr>
  </w:style>
  <w:style w:type="paragraph" w:customStyle="1" w:styleId="1fffffff7">
    <w:name w:val="正文水资源论证1"/>
    <w:basedOn w:val="a6"/>
    <w:qFormat/>
    <w:pPr>
      <w:spacing w:line="520" w:lineRule="exact"/>
      <w:ind w:firstLineChars="200" w:firstLine="560"/>
    </w:pPr>
    <w:rPr>
      <w:rFonts w:ascii="宋体" w:hAnsi="宋体"/>
      <w:sz w:val="28"/>
    </w:rPr>
  </w:style>
  <w:style w:type="paragraph" w:customStyle="1" w:styleId="xl250">
    <w:name w:val="xl250"/>
    <w:basedOn w:val="a6"/>
    <w:qFormat/>
    <w:pPr>
      <w:widowControl/>
      <w:pBdr>
        <w:top w:val="single" w:sz="4" w:space="0" w:color="auto"/>
        <w:left w:val="single" w:sz="4" w:space="0" w:color="auto"/>
      </w:pBdr>
      <w:spacing w:before="100" w:beforeAutospacing="1" w:after="100" w:afterAutospacing="1"/>
      <w:jc w:val="center"/>
    </w:pPr>
    <w:rPr>
      <w:rFonts w:ascii="宋体" w:hAnsi="宋体" w:cs="宋体"/>
      <w:kern w:val="0"/>
      <w:sz w:val="20"/>
      <w:szCs w:val="20"/>
    </w:rPr>
  </w:style>
  <w:style w:type="paragraph" w:customStyle="1" w:styleId="xl166">
    <w:name w:val="xl166"/>
    <w:basedOn w:val="a6"/>
    <w:qFormat/>
    <w:pPr>
      <w:widowControl/>
      <w:pBdr>
        <w:left w:val="single" w:sz="4" w:space="0" w:color="auto"/>
      </w:pBdr>
      <w:spacing w:before="100" w:beforeAutospacing="1" w:after="100" w:afterAutospacing="1" w:line="360" w:lineRule="auto"/>
      <w:jc w:val="left"/>
      <w:textAlignment w:val="center"/>
    </w:pPr>
    <w:rPr>
      <w:rFonts w:ascii="Arial Unicode MS" w:eastAsia="Arial Unicode MS" w:hAnsi="Arial Unicode MS" w:cs="Arial Unicode MS"/>
      <w:color w:val="000000"/>
      <w:kern w:val="0"/>
      <w:sz w:val="20"/>
      <w:szCs w:val="20"/>
    </w:rPr>
  </w:style>
  <w:style w:type="paragraph" w:customStyle="1" w:styleId="15b">
    <w:name w:val="15"/>
    <w:basedOn w:val="a6"/>
    <w:next w:val="39"/>
    <w:qFormat/>
    <w:pPr>
      <w:spacing w:after="120"/>
      <w:ind w:leftChars="200" w:left="420"/>
    </w:pPr>
    <w:rPr>
      <w:sz w:val="16"/>
      <w:szCs w:val="16"/>
    </w:rPr>
  </w:style>
  <w:style w:type="paragraph" w:customStyle="1" w:styleId="xl994">
    <w:name w:val="xl994"/>
    <w:basedOn w:val="a6"/>
    <w:qFormat/>
    <w:pPr>
      <w:widowControl/>
      <w:pBdr>
        <w:top w:val="single" w:sz="4" w:space="0" w:color="auto"/>
        <w:bottom w:val="single" w:sz="4" w:space="0" w:color="auto"/>
      </w:pBdr>
      <w:spacing w:before="100" w:beforeAutospacing="1" w:after="100" w:afterAutospacing="1"/>
      <w:jc w:val="center"/>
    </w:pPr>
    <w:rPr>
      <w:rFonts w:ascii="宋体" w:hAnsi="宋体" w:cs="宋体"/>
      <w:kern w:val="0"/>
      <w:sz w:val="20"/>
      <w:szCs w:val="20"/>
    </w:rPr>
  </w:style>
  <w:style w:type="paragraph" w:customStyle="1" w:styleId="xl1030">
    <w:name w:val="xl1030"/>
    <w:basedOn w:val="a6"/>
    <w:qFormat/>
    <w:pPr>
      <w:widowControl/>
      <w:spacing w:before="100" w:beforeAutospacing="1" w:after="100" w:afterAutospacing="1"/>
      <w:jc w:val="left"/>
      <w:textAlignment w:val="bottom"/>
    </w:pPr>
    <w:rPr>
      <w:rFonts w:ascii="Arial" w:hAnsi="Arial" w:cs="Arial"/>
      <w:kern w:val="0"/>
      <w:sz w:val="24"/>
    </w:rPr>
  </w:style>
  <w:style w:type="paragraph" w:customStyle="1" w:styleId="XM501">
    <w:name w:val="表文_XM5_01"/>
    <w:qFormat/>
    <w:pPr>
      <w:widowControl w:val="0"/>
      <w:suppressAutoHyphens/>
      <w:spacing w:beforeLines="20" w:afterLines="20"/>
      <w:jc w:val="center"/>
    </w:pPr>
    <w:rPr>
      <w:rFonts w:ascii="Garamond" w:eastAsia="楷体_GB2312" w:hAnsi="Garamond"/>
      <w:color w:val="FF0000"/>
      <w:kern w:val="28"/>
      <w:sz w:val="24"/>
    </w:rPr>
  </w:style>
  <w:style w:type="paragraph" w:customStyle="1" w:styleId="CharCharCharCharCharCharCharCharCharCharCharCharCharCharChar1">
    <w:name w:val="Char Char Char Char Char Char Char Char Char Char Char Char Char Char Char1"/>
    <w:basedOn w:val="a6"/>
    <w:qFormat/>
  </w:style>
  <w:style w:type="paragraph" w:customStyle="1" w:styleId="xl1017">
    <w:name w:val="xl1017"/>
    <w:basedOn w:val="a6"/>
    <w:qFormat/>
    <w:pPr>
      <w:widowControl/>
      <w:pBdr>
        <w:top w:val="single" w:sz="4" w:space="0" w:color="auto"/>
        <w:left w:val="single" w:sz="4" w:space="0" w:color="auto"/>
        <w:bottom w:val="single" w:sz="4" w:space="0" w:color="auto"/>
      </w:pBdr>
      <w:shd w:val="clear" w:color="000000" w:fill="00B050"/>
      <w:spacing w:before="100" w:beforeAutospacing="1" w:after="100" w:afterAutospacing="1"/>
      <w:jc w:val="center"/>
    </w:pPr>
    <w:rPr>
      <w:rFonts w:ascii="Arial" w:hAnsi="Arial" w:cs="Arial"/>
      <w:kern w:val="0"/>
      <w:sz w:val="18"/>
      <w:szCs w:val="18"/>
    </w:rPr>
  </w:style>
  <w:style w:type="paragraph" w:customStyle="1" w:styleId="xl115">
    <w:name w:val="xl11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0"/>
      <w:szCs w:val="20"/>
    </w:rPr>
  </w:style>
  <w:style w:type="paragraph" w:customStyle="1" w:styleId="331">
    <w:name w:val="标题33"/>
    <w:basedOn w:val="a6"/>
    <w:qFormat/>
    <w:pPr>
      <w:tabs>
        <w:tab w:val="left" w:pos="825"/>
      </w:tabs>
      <w:jc w:val="left"/>
    </w:pPr>
    <w:rPr>
      <w:kern w:val="0"/>
      <w:sz w:val="24"/>
      <w:szCs w:val="18"/>
    </w:rPr>
  </w:style>
  <w:style w:type="paragraph" w:customStyle="1" w:styleId="reader-word-layerreader-word-s1-29">
    <w:name w:val="reader-word-layer reader-word-s1-29"/>
    <w:basedOn w:val="a6"/>
    <w:qFormat/>
    <w:pPr>
      <w:widowControl/>
      <w:spacing w:before="100" w:beforeAutospacing="1" w:after="100" w:afterAutospacing="1"/>
      <w:jc w:val="left"/>
    </w:pPr>
    <w:rPr>
      <w:rFonts w:ascii="宋体" w:hAnsi="宋体" w:cs="宋体"/>
      <w:kern w:val="0"/>
      <w:sz w:val="24"/>
    </w:rPr>
  </w:style>
  <w:style w:type="paragraph" w:customStyle="1" w:styleId="1fffffff8">
    <w:name w:val="标题样式1"/>
    <w:basedOn w:val="af8"/>
    <w:qFormat/>
    <w:pPr>
      <w:adjustRightInd w:val="0"/>
      <w:snapToGrid w:val="0"/>
      <w:spacing w:after="0" w:line="360" w:lineRule="atLeast"/>
      <w:jc w:val="center"/>
      <w:textAlignment w:val="baseline"/>
    </w:pPr>
    <w:rPr>
      <w:b/>
      <w:bCs/>
      <w:snapToGrid w:val="0"/>
      <w:kern w:val="0"/>
      <w:sz w:val="24"/>
      <w:szCs w:val="20"/>
    </w:rPr>
  </w:style>
  <w:style w:type="paragraph" w:customStyle="1" w:styleId="afffffffffffffffffffffffffffffffffffffffe">
    <w:name w:val="三"/>
    <w:qFormat/>
    <w:pPr>
      <w:keepNext/>
      <w:keepLines/>
      <w:widowControl w:val="0"/>
      <w:spacing w:before="120" w:after="80" w:line="520" w:lineRule="exact"/>
      <w:jc w:val="both"/>
      <w:outlineLvl w:val="2"/>
    </w:pPr>
    <w:rPr>
      <w:b/>
      <w:kern w:val="2"/>
      <w:sz w:val="28"/>
      <w:szCs w:val="28"/>
    </w:rPr>
  </w:style>
  <w:style w:type="paragraph" w:customStyle="1" w:styleId="xl210">
    <w:name w:val="xl210"/>
    <w:basedOn w:val="a6"/>
    <w:qFormat/>
    <w:pPr>
      <w:widowControl/>
      <w:pBdr>
        <w:bottom w:val="single" w:sz="4" w:space="0" w:color="auto"/>
      </w:pBdr>
      <w:spacing w:before="100" w:beforeAutospacing="1" w:after="100" w:afterAutospacing="1"/>
      <w:jc w:val="left"/>
      <w:textAlignment w:val="center"/>
    </w:pPr>
    <w:rPr>
      <w:rFonts w:ascii="宋体" w:hAnsi="宋体" w:cs="宋体"/>
      <w:color w:val="000000"/>
      <w:kern w:val="0"/>
      <w:sz w:val="24"/>
    </w:rPr>
  </w:style>
  <w:style w:type="paragraph" w:customStyle="1" w:styleId="22Major112-12H2Heading2sect11">
    <w:name w:val="样式 标题 2标题2Major节标题 1.1一级条标题 2-12H2节_Heading 2sect1.1标..."/>
    <w:basedOn w:val="22"/>
    <w:qFormat/>
    <w:pPr>
      <w:tabs>
        <w:tab w:val="left" w:pos="576"/>
        <w:tab w:val="left" w:pos="998"/>
      </w:tabs>
      <w:spacing w:before="120"/>
      <w:ind w:left="576" w:hanging="576"/>
    </w:pPr>
    <w:rPr>
      <w:rFonts w:ascii="Arial" w:hAnsi="Arial" w:cs="宋体"/>
      <w:b/>
      <w:bCs w:val="0"/>
      <w:spacing w:val="0"/>
      <w:w w:val="100"/>
      <w:kern w:val="2"/>
      <w:sz w:val="24"/>
      <w:szCs w:val="20"/>
    </w:rPr>
  </w:style>
  <w:style w:type="paragraph" w:customStyle="1" w:styleId="Title8">
    <w:name w:val="Title 8"/>
    <w:basedOn w:val="a6"/>
    <w:qFormat/>
    <w:pPr>
      <w:widowControl/>
      <w:numPr>
        <w:numId w:val="29"/>
      </w:numPr>
      <w:spacing w:after="120"/>
      <w:ind w:firstLine="0"/>
      <w:jc w:val="left"/>
    </w:pPr>
    <w:rPr>
      <w:rFonts w:ascii="Arial" w:hAnsi="Arial" w:cs="宋体"/>
      <w:kern w:val="0"/>
      <w:sz w:val="24"/>
      <w:szCs w:val="20"/>
    </w:rPr>
  </w:style>
  <w:style w:type="paragraph" w:customStyle="1" w:styleId="xl208">
    <w:name w:val="xl208"/>
    <w:basedOn w:val="a6"/>
    <w:qFormat/>
    <w:pPr>
      <w:widowControl/>
      <w:pBdr>
        <w:bottom w:val="single" w:sz="4" w:space="0" w:color="auto"/>
        <w:right w:val="single" w:sz="8" w:space="0" w:color="auto"/>
      </w:pBdr>
      <w:spacing w:before="100" w:beforeAutospacing="1" w:after="100" w:afterAutospacing="1"/>
      <w:jc w:val="left"/>
      <w:textAlignment w:val="center"/>
    </w:pPr>
    <w:rPr>
      <w:rFonts w:cs="宋体"/>
      <w:color w:val="000000"/>
      <w:kern w:val="0"/>
      <w:sz w:val="24"/>
    </w:rPr>
  </w:style>
  <w:style w:type="paragraph" w:customStyle="1" w:styleId="p19">
    <w:name w:val="p19"/>
    <w:basedOn w:val="a6"/>
    <w:qFormat/>
    <w:pPr>
      <w:widowControl/>
      <w:spacing w:before="31" w:after="31" w:line="420" w:lineRule="atLeast"/>
      <w:ind w:firstLine="420"/>
    </w:pPr>
    <w:rPr>
      <w:kern w:val="0"/>
      <w:sz w:val="24"/>
    </w:rPr>
  </w:style>
  <w:style w:type="paragraph" w:customStyle="1" w:styleId="CharCharCharCharCharCharCharCharChar1CharCharCharCharCharCharCharCharCharCharCharCharCharCharCharChar">
    <w:name w:val="Char Char Char Char Char Char Char Char Char1 Char Char Char Char Char Char Char Char Char Char Char Char Char Char Char Char"/>
    <w:basedOn w:val="a6"/>
    <w:qFormat/>
    <w:pPr>
      <w:spacing w:line="360" w:lineRule="auto"/>
      <w:ind w:firstLineChars="200" w:firstLine="200"/>
    </w:pPr>
    <w:rPr>
      <w:rFonts w:ascii="宋体" w:hAnsi="宋体" w:cs="宋体"/>
      <w:sz w:val="26"/>
      <w:szCs w:val="26"/>
    </w:rPr>
  </w:style>
  <w:style w:type="paragraph" w:customStyle="1" w:styleId="affffffffffffffffffffffffffffffffffffffff">
    <w:name w:val="篇号及标题"/>
    <w:qFormat/>
    <w:pPr>
      <w:spacing w:line="360" w:lineRule="auto"/>
      <w:jc w:val="center"/>
    </w:pPr>
    <w:rPr>
      <w:rFonts w:ascii="宋体"/>
      <w:kern w:val="2"/>
      <w:sz w:val="44"/>
    </w:rPr>
  </w:style>
  <w:style w:type="paragraph" w:customStyle="1" w:styleId="CharCharChar2CharCharCharCharCharCharCharCharCharChar1">
    <w:name w:val="Char Char Char2 Char Char Char Char Char Char Char Char Char Char1"/>
    <w:basedOn w:val="a6"/>
    <w:qFormat/>
  </w:style>
  <w:style w:type="paragraph" w:customStyle="1" w:styleId="affffffffffffffffffffffffffffffffffffffff0">
    <w:name w:val="样式 图表标题 + 两端对齐"/>
    <w:basedOn w:val="afffffffffffffff1"/>
    <w:qFormat/>
    <w:pPr>
      <w:adjustRightInd/>
      <w:snapToGrid/>
      <w:spacing w:line="260" w:lineRule="exact"/>
      <w:jc w:val="both"/>
    </w:pPr>
    <w:rPr>
      <w:rFonts w:ascii="Times New Roman"/>
      <w:b w:val="0"/>
      <w:spacing w:val="-10"/>
      <w:kern w:val="0"/>
    </w:rPr>
  </w:style>
  <w:style w:type="paragraph" w:customStyle="1" w:styleId="1235">
    <w:name w:val="样式 表（左对齐） + 左侧:  12.35 厘米"/>
    <w:basedOn w:val="a6"/>
    <w:qFormat/>
    <w:pPr>
      <w:jc w:val="center"/>
    </w:pPr>
    <w:rPr>
      <w:szCs w:val="21"/>
    </w:rPr>
  </w:style>
  <w:style w:type="paragraph" w:customStyle="1" w:styleId="affffffffffffffffffffffffffffffffffffffff1">
    <w:name w:val="附件标题"/>
    <w:qFormat/>
    <w:pPr>
      <w:spacing w:line="360" w:lineRule="auto"/>
      <w:jc w:val="center"/>
    </w:pPr>
    <w:rPr>
      <w:rFonts w:ascii="宋体" w:eastAsia="黑体"/>
      <w:kern w:val="2"/>
      <w:sz w:val="24"/>
    </w:rPr>
  </w:style>
  <w:style w:type="paragraph" w:customStyle="1" w:styleId="3sect123sect1231h3H3sect1232sect12311sect1">
    <w:name w:val="样式 标题 3sect1.2.3sect1.2.31h3H3sect1.2.32sect1.2.311sect1...."/>
    <w:basedOn w:val="33"/>
    <w:qFormat/>
    <w:pPr>
      <w:adjustRightInd w:val="0"/>
      <w:spacing w:line="360" w:lineRule="auto"/>
    </w:pPr>
    <w:rPr>
      <w:rFonts w:hAnsi="黑体" w:cs="宋体"/>
      <w:b/>
      <w:color w:val="FF0000"/>
      <w:spacing w:val="0"/>
      <w:sz w:val="24"/>
      <w:szCs w:val="20"/>
    </w:rPr>
  </w:style>
  <w:style w:type="paragraph" w:customStyle="1" w:styleId="affffffffffffffffffffffffffffffffffffffff2">
    <w:name w:val="表尾"/>
    <w:basedOn w:val="a6"/>
    <w:qFormat/>
    <w:pPr>
      <w:tabs>
        <w:tab w:val="left" w:pos="1021"/>
      </w:tabs>
      <w:spacing w:line="200" w:lineRule="exact"/>
    </w:pPr>
    <w:rPr>
      <w:sz w:val="10"/>
      <w:szCs w:val="20"/>
    </w:rPr>
  </w:style>
  <w:style w:type="paragraph" w:customStyle="1" w:styleId="3fffe">
    <w:name w:val="中石油3级"/>
    <w:basedOn w:val="a6"/>
    <w:qFormat/>
    <w:pPr>
      <w:spacing w:line="560" w:lineRule="exact"/>
    </w:pPr>
    <w:rPr>
      <w:rFonts w:ascii="黑体" w:eastAsia="黑体"/>
      <w:sz w:val="24"/>
    </w:rPr>
  </w:style>
  <w:style w:type="paragraph" w:customStyle="1" w:styleId="affffffffffffffffffffffffffffffffffffffff3">
    <w:name w:val="表－右对齐"/>
    <w:basedOn w:val="afffffffffffffffffb"/>
    <w:qFormat/>
    <w:pPr>
      <w:suppressLineNumbers/>
      <w:suppressAutoHyphens/>
      <w:adjustRightInd/>
      <w:spacing w:before="60" w:after="60" w:line="240" w:lineRule="auto"/>
      <w:jc w:val="right"/>
    </w:pPr>
    <w:rPr>
      <w:rFonts w:ascii="Times New Roman" w:eastAsia="宋体"/>
      <w:snapToGrid/>
      <w:spacing w:val="0"/>
    </w:rPr>
  </w:style>
  <w:style w:type="paragraph" w:customStyle="1" w:styleId="105051">
    <w:name w:val="标题 1 + 段前: 0.5 行 段后: 0.5 行1"/>
    <w:basedOn w:val="a6"/>
    <w:qFormat/>
    <w:pPr>
      <w:spacing w:before="480" w:after="360" w:line="720" w:lineRule="exact"/>
      <w:jc w:val="center"/>
      <w:outlineLvl w:val="0"/>
    </w:pPr>
    <w:rPr>
      <w:rFonts w:ascii="宋体" w:hAnsi="宋体"/>
      <w:b/>
      <w:kern w:val="44"/>
      <w:sz w:val="36"/>
      <w:szCs w:val="20"/>
    </w:rPr>
  </w:style>
  <w:style w:type="paragraph" w:customStyle="1" w:styleId="725">
    <w:name w:val="样式 标题 7 + 行距: 最小值 25 磅"/>
    <w:basedOn w:val="7"/>
    <w:qFormat/>
    <w:pPr>
      <w:framePr w:hSpace="0" w:wrap="auto" w:vAnchor="margin" w:hAnchor="text" w:xAlign="left" w:yAlign="inline"/>
      <w:tabs>
        <w:tab w:val="left" w:pos="737"/>
        <w:tab w:val="left" w:pos="1134"/>
        <w:tab w:val="left" w:pos="1260"/>
      </w:tabs>
      <w:spacing w:line="360" w:lineRule="auto"/>
      <w:ind w:left="1134" w:hanging="846"/>
    </w:pPr>
    <w:rPr>
      <w:rFonts w:ascii="宋体" w:eastAsia="宋体" w:hAnsi="宋体" w:cs="宋体"/>
      <w:b/>
      <w:i w:val="0"/>
      <w:iCs w:val="0"/>
      <w:sz w:val="24"/>
    </w:rPr>
  </w:style>
  <w:style w:type="paragraph" w:customStyle="1" w:styleId="w4">
    <w:name w:val="w4"/>
    <w:basedOn w:val="a6"/>
    <w:qFormat/>
    <w:pPr>
      <w:adjustRightInd w:val="0"/>
      <w:spacing w:line="360" w:lineRule="auto"/>
      <w:ind w:left="1200" w:firstLine="654"/>
      <w:textAlignment w:val="baseline"/>
    </w:pPr>
    <w:rPr>
      <w:rFonts w:ascii="宋体"/>
      <w:kern w:val="0"/>
      <w:sz w:val="28"/>
      <w:szCs w:val="20"/>
    </w:rPr>
  </w:style>
  <w:style w:type="paragraph" w:customStyle="1" w:styleId="xl1002">
    <w:name w:val="xl1002"/>
    <w:basedOn w:val="a6"/>
    <w:qFormat/>
    <w:pPr>
      <w:widowControl/>
      <w:pBdr>
        <w:top w:val="single" w:sz="8" w:space="0" w:color="auto"/>
        <w:left w:val="single" w:sz="4" w:space="0" w:color="auto"/>
        <w:bottom w:val="single" w:sz="4" w:space="0" w:color="auto"/>
        <w:right w:val="single" w:sz="8" w:space="0" w:color="auto"/>
      </w:pBdr>
      <w:shd w:val="clear" w:color="000000" w:fill="E26B0A"/>
      <w:spacing w:before="100" w:beforeAutospacing="1" w:after="100" w:afterAutospacing="1"/>
      <w:jc w:val="center"/>
    </w:pPr>
    <w:rPr>
      <w:rFonts w:ascii="Arial" w:hAnsi="Arial" w:cs="Arial"/>
      <w:kern w:val="0"/>
      <w:sz w:val="18"/>
      <w:szCs w:val="18"/>
    </w:rPr>
  </w:style>
  <w:style w:type="paragraph" w:customStyle="1" w:styleId="m0">
    <w:name w:val="正文（首行缩进两字）m"/>
    <w:basedOn w:val="af0"/>
    <w:qFormat/>
    <w:pPr>
      <w:tabs>
        <w:tab w:val="left" w:pos="1848"/>
        <w:tab w:val="left" w:pos="6061"/>
        <w:tab w:val="left" w:pos="8665"/>
      </w:tabs>
      <w:adjustRightInd/>
      <w:snapToGrid w:val="0"/>
      <w:spacing w:beforeLines="50" w:line="460" w:lineRule="exact"/>
      <w:ind w:firstLineChars="200" w:firstLine="480"/>
      <w:jc w:val="both"/>
      <w:textAlignment w:val="auto"/>
    </w:pPr>
    <w:rPr>
      <w:kern w:val="2"/>
      <w:szCs w:val="20"/>
    </w:rPr>
  </w:style>
  <w:style w:type="paragraph" w:customStyle="1" w:styleId="affffffffffffffffffffffffffffffffffffffff4">
    <w:name w:val="非标题一级条"/>
    <w:next w:val="41"/>
    <w:qFormat/>
    <w:pPr>
      <w:spacing w:line="440" w:lineRule="exact"/>
    </w:pPr>
    <w:rPr>
      <w:rFonts w:ascii="宋体"/>
      <w:sz w:val="24"/>
    </w:rPr>
  </w:style>
  <w:style w:type="paragraph" w:customStyle="1" w:styleId="2fffffff0">
    <w:name w:val="样式 正文缩进 + 首行缩进:  2 字符"/>
    <w:basedOn w:val="af0"/>
    <w:qFormat/>
    <w:pPr>
      <w:autoSpaceDE w:val="0"/>
      <w:autoSpaceDN w:val="0"/>
      <w:spacing w:line="240" w:lineRule="auto"/>
      <w:ind w:firstLineChars="200" w:firstLine="480"/>
      <w:jc w:val="both"/>
      <w:textAlignment w:val="auto"/>
    </w:pPr>
    <w:rPr>
      <w:rFonts w:ascii="仿宋_GB2312" w:eastAsia="仿宋_GB2312" w:hAnsi="Times New Roman" w:cs="宋体"/>
      <w:szCs w:val="20"/>
    </w:rPr>
  </w:style>
  <w:style w:type="paragraph" w:customStyle="1" w:styleId="Char3CharCharChar">
    <w:name w:val="Char3 Char Char Char"/>
    <w:basedOn w:val="a6"/>
    <w:qFormat/>
    <w:rPr>
      <w:sz w:val="24"/>
    </w:rPr>
  </w:style>
  <w:style w:type="paragraph" w:customStyle="1" w:styleId="affffffffffffffffffffffffffffffffffffffff5">
    <w:name w:val="样式 表－居中列 + 黑色"/>
    <w:basedOn w:val="a6"/>
    <w:qFormat/>
    <w:pPr>
      <w:suppressLineNumbers/>
      <w:suppressAutoHyphens/>
      <w:snapToGrid w:val="0"/>
      <w:spacing w:beforeLines="50" w:afterLines="50"/>
      <w:jc w:val="center"/>
    </w:pPr>
    <w:rPr>
      <w:rFonts w:cs="Arial"/>
      <w:color w:val="000000"/>
      <w:kern w:val="0"/>
      <w:sz w:val="24"/>
      <w:szCs w:val="21"/>
      <w:lang w:eastAsia="ja-JP"/>
    </w:rPr>
  </w:style>
  <w:style w:type="paragraph" w:customStyle="1" w:styleId="1New">
    <w:name w:val="标题 1 New"/>
    <w:basedOn w:val="New0"/>
    <w:next w:val="New0"/>
    <w:qFormat/>
    <w:pPr>
      <w:keepNext/>
      <w:keepLines/>
      <w:spacing w:before="340" w:after="330" w:line="576" w:lineRule="auto"/>
      <w:outlineLvl w:val="0"/>
    </w:pPr>
    <w:rPr>
      <w:b/>
      <w:kern w:val="44"/>
      <w:sz w:val="44"/>
    </w:rPr>
  </w:style>
  <w:style w:type="paragraph" w:customStyle="1" w:styleId="y0">
    <w:name w:val="?y???¨´¨º?"/>
    <w:basedOn w:val="a6"/>
    <w:qFormat/>
    <w:pPr>
      <w:adjustRightInd w:val="0"/>
      <w:snapToGrid w:val="0"/>
      <w:spacing w:beforeLines="50" w:afterLines="50" w:line="312" w:lineRule="auto"/>
      <w:ind w:firstLineChars="200" w:firstLine="560"/>
    </w:pPr>
    <w:rPr>
      <w:sz w:val="28"/>
      <w:szCs w:val="28"/>
    </w:rPr>
  </w:style>
  <w:style w:type="paragraph" w:customStyle="1" w:styleId="affffffffffffffffffffffffffffffffffffffff6">
    <w:name w:val="正文样式一"/>
    <w:basedOn w:val="a6"/>
    <w:qFormat/>
    <w:pPr>
      <w:adjustRightInd w:val="0"/>
      <w:spacing w:line="400" w:lineRule="atLeast"/>
      <w:ind w:firstLine="510"/>
      <w:textAlignment w:val="baseline"/>
    </w:pPr>
    <w:rPr>
      <w:kern w:val="0"/>
      <w:sz w:val="24"/>
      <w:szCs w:val="20"/>
    </w:rPr>
  </w:style>
  <w:style w:type="paragraph" w:customStyle="1" w:styleId="Normal1">
    <w:name w:val="Normal1"/>
    <w:qFormat/>
    <w:pPr>
      <w:widowControl w:val="0"/>
      <w:adjustRightInd w:val="0"/>
      <w:spacing w:line="360" w:lineRule="atLeast"/>
    </w:pPr>
    <w:rPr>
      <w:rFonts w:ascii="宋体" w:hint="eastAsia"/>
      <w:sz w:val="34"/>
    </w:rPr>
  </w:style>
  <w:style w:type="paragraph" w:customStyle="1" w:styleId="2fffffff1">
    <w:name w:val="文档结构图2"/>
    <w:basedOn w:val="a6"/>
    <w:qFormat/>
    <w:pPr>
      <w:shd w:val="clear" w:color="auto" w:fill="000080"/>
      <w:tabs>
        <w:tab w:val="left" w:pos="480"/>
        <w:tab w:val="left" w:pos="1680"/>
        <w:tab w:val="left" w:pos="3960"/>
        <w:tab w:val="left" w:pos="5400"/>
        <w:tab w:val="left" w:pos="6840"/>
      </w:tabs>
      <w:adjustRightInd w:val="0"/>
      <w:spacing w:line="240" w:lineRule="atLeast"/>
      <w:ind w:firstLine="482"/>
      <w:jc w:val="left"/>
      <w:textAlignment w:val="baseline"/>
    </w:pPr>
    <w:rPr>
      <w:rFonts w:eastAsia="创艺简楷体"/>
      <w:kern w:val="0"/>
      <w:sz w:val="28"/>
      <w:szCs w:val="20"/>
    </w:rPr>
  </w:style>
  <w:style w:type="paragraph" w:customStyle="1" w:styleId="CharChar2CharCharCharChar">
    <w:name w:val="Char Char2 Char Char Char Char"/>
    <w:basedOn w:val="a6"/>
    <w:qFormat/>
  </w:style>
  <w:style w:type="paragraph" w:customStyle="1" w:styleId="affffffffffffffffffffffffffffffffffffffff7">
    <w:name w:val="特别表中"/>
    <w:basedOn w:val="a6"/>
    <w:qFormat/>
    <w:pPr>
      <w:keepNext/>
      <w:widowControl/>
      <w:spacing w:line="120" w:lineRule="atLeast"/>
      <w:ind w:rightChars="20" w:right="56"/>
      <w:jc w:val="center"/>
    </w:pPr>
    <w:rPr>
      <w:rFonts w:cs="宋体"/>
      <w:kern w:val="0"/>
      <w:sz w:val="24"/>
    </w:rPr>
  </w:style>
  <w:style w:type="paragraph" w:customStyle="1" w:styleId="affffffffffffffffffffffffffffffffffffffff8">
    <w:name w:val="右五"/>
    <w:basedOn w:val="a6"/>
    <w:next w:val="a6"/>
    <w:qFormat/>
    <w:pPr>
      <w:spacing w:line="280" w:lineRule="exact"/>
      <w:ind w:left="42" w:rightChars="58" w:right="139"/>
      <w:jc w:val="right"/>
    </w:pPr>
    <w:rPr>
      <w:rFonts w:ascii="宋体" w:hAnsi="Symusic"/>
      <w:color w:val="000000"/>
      <w:sz w:val="18"/>
      <w:szCs w:val="20"/>
      <w:lang w:bidi="he-IL"/>
    </w:rPr>
  </w:style>
  <w:style w:type="paragraph" w:customStyle="1" w:styleId="PlainText2">
    <w:name w:val="Plain Text2"/>
    <w:basedOn w:val="a6"/>
    <w:qFormat/>
    <w:pPr>
      <w:adjustRightInd w:val="0"/>
      <w:jc w:val="left"/>
    </w:pPr>
    <w:rPr>
      <w:rFonts w:ascii="宋体" w:hAnsi="Courier New" w:hint="eastAsia"/>
      <w:sz w:val="24"/>
      <w:szCs w:val="20"/>
    </w:rPr>
  </w:style>
  <w:style w:type="paragraph" w:customStyle="1" w:styleId="reader-word-layerreader-word-s1-26">
    <w:name w:val="reader-word-layer reader-word-s1-26"/>
    <w:basedOn w:val="a6"/>
    <w:qFormat/>
    <w:pPr>
      <w:widowControl/>
      <w:spacing w:before="100" w:beforeAutospacing="1" w:after="100" w:afterAutospacing="1"/>
      <w:jc w:val="left"/>
    </w:pPr>
    <w:rPr>
      <w:rFonts w:ascii="宋体" w:hAnsi="宋体" w:cs="宋体"/>
      <w:kern w:val="0"/>
      <w:sz w:val="24"/>
    </w:rPr>
  </w:style>
  <w:style w:type="paragraph" w:customStyle="1" w:styleId="121215">
    <w:name w:val="样式 表格1 + 黑体 两端对齐 首行缩进:  2.12 厘米 行距: 1.5 倍行距"/>
    <w:basedOn w:val="a6"/>
    <w:qFormat/>
    <w:pPr>
      <w:keepNext/>
      <w:widowControl/>
      <w:adjustRightInd w:val="0"/>
      <w:spacing w:line="360" w:lineRule="auto"/>
      <w:jc w:val="center"/>
    </w:pPr>
    <w:rPr>
      <w:rFonts w:ascii="黑体" w:eastAsia="黑体" w:cs="黑体"/>
      <w:kern w:val="0"/>
      <w:sz w:val="24"/>
    </w:rPr>
  </w:style>
  <w:style w:type="paragraph" w:customStyle="1" w:styleId="CharCharCharCharChar30">
    <w:name w:val="Char Char Char Char Char3"/>
    <w:basedOn w:val="a6"/>
    <w:qFormat/>
    <w:pPr>
      <w:snapToGrid w:val="0"/>
      <w:spacing w:line="360" w:lineRule="auto"/>
      <w:ind w:firstLineChars="200" w:firstLine="200"/>
    </w:pPr>
    <w:rPr>
      <w:rFonts w:eastAsia="仿宋_GB2312"/>
      <w:sz w:val="24"/>
    </w:rPr>
  </w:style>
  <w:style w:type="paragraph" w:customStyle="1" w:styleId="affffffffffffffffffffffffffffffffffffffff9">
    <w:name w:val="表格标题—小四"/>
    <w:basedOn w:val="a6"/>
    <w:qFormat/>
    <w:pPr>
      <w:tabs>
        <w:tab w:val="left" w:pos="840"/>
      </w:tabs>
      <w:spacing w:before="100" w:beforeAutospacing="1"/>
      <w:ind w:left="840" w:hanging="360"/>
      <w:jc w:val="center"/>
    </w:pPr>
    <w:rPr>
      <w:rFonts w:hint="eastAsia"/>
      <w:b/>
      <w:sz w:val="24"/>
      <w:szCs w:val="20"/>
    </w:rPr>
  </w:style>
  <w:style w:type="paragraph" w:customStyle="1" w:styleId="affffffffffffffffffffffffffffffffffffffffa">
    <w:name w:val="样式 表中 +"/>
    <w:basedOn w:val="afffffffffffffffffffffe"/>
    <w:qFormat/>
    <w:pPr>
      <w:keepNext/>
      <w:widowControl w:val="0"/>
      <w:tabs>
        <w:tab w:val="left" w:pos="1727"/>
        <w:tab w:val="left" w:pos="1884"/>
      </w:tabs>
      <w:adjustRightInd w:val="0"/>
      <w:snapToGrid w:val="0"/>
      <w:spacing w:line="240" w:lineRule="atLeast"/>
    </w:pPr>
    <w:rPr>
      <w:rFonts w:ascii="宋体" w:hAnsi="宋体"/>
      <w:snapToGrid w:val="0"/>
      <w:color w:val="auto"/>
      <w:spacing w:val="0"/>
      <w:sz w:val="21"/>
      <w:szCs w:val="21"/>
    </w:rPr>
  </w:style>
  <w:style w:type="paragraph" w:customStyle="1" w:styleId="1116">
    <w:name w:val="1.1.1无标"/>
    <w:basedOn w:val="a6"/>
    <w:qFormat/>
    <w:pPr>
      <w:spacing w:line="360" w:lineRule="auto"/>
      <w:ind w:leftChars="300" w:left="300" w:rightChars="300" w:right="300" w:firstLineChars="200" w:firstLine="200"/>
    </w:pPr>
    <w:rPr>
      <w:rFonts w:ascii="宋体" w:hAnsi="宋体" w:cs="Century"/>
      <w:sz w:val="24"/>
    </w:rPr>
  </w:style>
  <w:style w:type="paragraph" w:customStyle="1" w:styleId="xl1025">
    <w:name w:val="xl1025"/>
    <w:basedOn w:val="a6"/>
    <w:qFormat/>
    <w:pPr>
      <w:widowControl/>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jc w:val="left"/>
    </w:pPr>
    <w:rPr>
      <w:rFonts w:ascii="Arial" w:hAnsi="Arial" w:cs="Arial"/>
      <w:kern w:val="0"/>
      <w:sz w:val="18"/>
      <w:szCs w:val="18"/>
    </w:rPr>
  </w:style>
  <w:style w:type="paragraph" w:customStyle="1" w:styleId="21f5">
    <w:name w:val="样式 正文首行缩进 + 首行缩进:  2 字符1"/>
    <w:basedOn w:val="affc"/>
    <w:uiPriority w:val="99"/>
    <w:qFormat/>
    <w:pPr>
      <w:spacing w:line="360" w:lineRule="auto"/>
      <w:ind w:firstLine="480"/>
    </w:pPr>
    <w:rPr>
      <w:rFonts w:ascii="Times New Roman" w:hAnsi="Times New Roman"/>
      <w:bCs w:val="0"/>
      <w:spacing w:val="0"/>
      <w:kern w:val="2"/>
      <w:sz w:val="24"/>
      <w:szCs w:val="24"/>
    </w:rPr>
  </w:style>
  <w:style w:type="paragraph" w:customStyle="1" w:styleId="xl96">
    <w:name w:val="xl96"/>
    <w:basedOn w:val="a6"/>
    <w:qFormat/>
    <w:pPr>
      <w:widowControl/>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ascii="宋体" w:hAnsi="宋体" w:cs="宋体"/>
      <w:b/>
      <w:bCs/>
      <w:kern w:val="0"/>
      <w:sz w:val="20"/>
      <w:szCs w:val="20"/>
    </w:rPr>
  </w:style>
  <w:style w:type="paragraph" w:customStyle="1" w:styleId="2fffffff2">
    <w:name w:val="样式 正文首行缩进 + 首行缩进:  2 字符"/>
    <w:basedOn w:val="affc"/>
    <w:qFormat/>
    <w:pPr>
      <w:tabs>
        <w:tab w:val="left" w:pos="7020"/>
      </w:tabs>
      <w:adjustRightInd w:val="0"/>
      <w:snapToGrid w:val="0"/>
      <w:spacing w:line="240" w:lineRule="auto"/>
      <w:ind w:firstLineChars="0" w:firstLine="0"/>
      <w:jc w:val="center"/>
      <w:textAlignment w:val="center"/>
    </w:pPr>
    <w:rPr>
      <w:rFonts w:ascii="Times New Roman" w:hAnsi="Times New Roman"/>
      <w:bCs w:val="0"/>
      <w:snapToGrid w:val="0"/>
      <w:spacing w:val="-6"/>
      <w:kern w:val="0"/>
      <w:sz w:val="21"/>
      <w:szCs w:val="21"/>
    </w:rPr>
  </w:style>
  <w:style w:type="paragraph" w:customStyle="1" w:styleId="CharCharCharCharCharCharCharCharCharCharCharCharCharCharCharCharCharCharChar1">
    <w:name w:val="Char Char Char Char Char Char Char Char Char Char Char Char Char Char Char Char Char Char Char1"/>
    <w:basedOn w:val="a6"/>
    <w:qFormat/>
  </w:style>
  <w:style w:type="paragraph" w:customStyle="1" w:styleId="xl1007">
    <w:name w:val="xl1007"/>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Arial" w:hAnsi="Arial" w:cs="Arial"/>
      <w:kern w:val="0"/>
      <w:sz w:val="18"/>
      <w:szCs w:val="18"/>
    </w:rPr>
  </w:style>
  <w:style w:type="paragraph" w:customStyle="1" w:styleId="222GB23120">
    <w:name w:val="样式 样式 样式 样式 样式 样式 样式 首行缩进:  2 字符 + 首行缩进:  2 字符2 + 仿宋_GB2312 + 首行..."/>
    <w:basedOn w:val="a6"/>
    <w:qFormat/>
    <w:pPr>
      <w:spacing w:line="480" w:lineRule="exact"/>
      <w:ind w:firstLineChars="200" w:firstLine="200"/>
    </w:pPr>
    <w:rPr>
      <w:rFonts w:eastAsia="楷体_GB2312"/>
      <w:spacing w:val="12"/>
      <w:kern w:val="0"/>
      <w:sz w:val="28"/>
      <w:szCs w:val="20"/>
    </w:rPr>
  </w:style>
  <w:style w:type="paragraph" w:customStyle="1" w:styleId="affffffffffffffffffffffffffffffffffffffffb">
    <w:name w:val="正文！！！！！！！！！！！！"/>
    <w:basedOn w:val="a6"/>
    <w:qFormat/>
    <w:pPr>
      <w:adjustRightInd w:val="0"/>
      <w:snapToGrid w:val="0"/>
      <w:spacing w:line="500" w:lineRule="exact"/>
      <w:ind w:firstLineChars="200" w:firstLine="480"/>
    </w:pPr>
    <w:rPr>
      <w:rFonts w:ascii="楷体_GB2312" w:eastAsia="楷体_GB2312" w:hAnsi="宋体" w:cs="宋体"/>
      <w:kern w:val="0"/>
      <w:sz w:val="24"/>
      <w:szCs w:val="20"/>
    </w:rPr>
  </w:style>
  <w:style w:type="paragraph" w:customStyle="1" w:styleId="xl944">
    <w:name w:val="xl94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8"/>
      <w:szCs w:val="18"/>
    </w:rPr>
  </w:style>
  <w:style w:type="paragraph" w:customStyle="1" w:styleId="CM150">
    <w:name w:val="CM150"/>
    <w:basedOn w:val="a6"/>
    <w:next w:val="a6"/>
    <w:qFormat/>
    <w:pPr>
      <w:spacing w:after="235"/>
    </w:pPr>
  </w:style>
  <w:style w:type="paragraph" w:customStyle="1" w:styleId="affffffffffffffffffffffffffffffffffffffffc">
    <w:name w:val="兴化美联表格"/>
    <w:basedOn w:val="a6"/>
    <w:qFormat/>
    <w:pPr>
      <w:widowControl/>
      <w:jc w:val="center"/>
    </w:pPr>
    <w:rPr>
      <w:rFonts w:ascii="宋体" w:hAnsi="宋体" w:cs="宋体"/>
      <w:kern w:val="0"/>
      <w:sz w:val="24"/>
    </w:rPr>
  </w:style>
  <w:style w:type="paragraph" w:customStyle="1" w:styleId="5ffa">
    <w:name w:val="表内文字(5号字）"/>
    <w:basedOn w:val="a6"/>
    <w:qFormat/>
    <w:pPr>
      <w:adjustRightInd w:val="0"/>
      <w:snapToGrid w:val="0"/>
      <w:spacing w:line="300" w:lineRule="auto"/>
      <w:jc w:val="center"/>
      <w:textAlignment w:val="baseline"/>
    </w:pPr>
    <w:rPr>
      <w:szCs w:val="20"/>
    </w:rPr>
  </w:style>
  <w:style w:type="paragraph" w:customStyle="1" w:styleId="Char4CharCharCharCharCharCharCharCharCharCharCharCharCharCharCharCharChar1CharCharCharCharCharChar1Char1">
    <w:name w:val="Char4 Char Char Char Char Char Char Char Char Char Char Char Char Char Char Char Char Char1 Char Char Char Char Char Char1 Char1"/>
    <w:basedOn w:val="a6"/>
    <w:qFormat/>
    <w:pPr>
      <w:spacing w:line="240" w:lineRule="exact"/>
      <w:ind w:firstLineChars="200" w:firstLine="200"/>
    </w:pPr>
    <w:rPr>
      <w:sz w:val="28"/>
      <w:szCs w:val="28"/>
    </w:rPr>
  </w:style>
  <w:style w:type="paragraph" w:customStyle="1" w:styleId="CM17">
    <w:name w:val="CM17"/>
    <w:basedOn w:val="Default"/>
    <w:next w:val="Default"/>
    <w:qFormat/>
    <w:pPr>
      <w:spacing w:line="546" w:lineRule="atLeast"/>
    </w:pPr>
    <w:rPr>
      <w:rFonts w:ascii="黑体" w:eastAsia="黑体"/>
      <w:color w:val="auto"/>
    </w:rPr>
  </w:style>
  <w:style w:type="paragraph" w:customStyle="1" w:styleId="xl1040">
    <w:name w:val="xl1040"/>
    <w:basedOn w:val="a6"/>
    <w:qFormat/>
    <w:pPr>
      <w:widowControl/>
      <w:pBdr>
        <w:top w:val="single" w:sz="8" w:space="0" w:color="FFFF00"/>
        <w:left w:val="single" w:sz="8" w:space="0" w:color="FFFF00"/>
        <w:bottom w:val="single" w:sz="4" w:space="0" w:color="auto"/>
        <w:right w:val="single" w:sz="8" w:space="0" w:color="FFFF00"/>
      </w:pBdr>
      <w:shd w:val="clear" w:color="000000" w:fill="0070C0"/>
      <w:spacing w:before="100" w:beforeAutospacing="1" w:after="100" w:afterAutospacing="1"/>
      <w:jc w:val="center"/>
    </w:pPr>
    <w:rPr>
      <w:rFonts w:ascii="Arial" w:hAnsi="Arial" w:cs="Arial"/>
      <w:kern w:val="0"/>
      <w:sz w:val="18"/>
      <w:szCs w:val="18"/>
    </w:rPr>
  </w:style>
  <w:style w:type="paragraph" w:customStyle="1" w:styleId="xl110">
    <w:name w:val="xl110"/>
    <w:basedOn w:val="a6"/>
    <w:qFormat/>
    <w:pPr>
      <w:widowControl/>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FF0000"/>
      <w:kern w:val="0"/>
      <w:sz w:val="24"/>
    </w:rPr>
  </w:style>
  <w:style w:type="paragraph" w:customStyle="1" w:styleId="xl950">
    <w:name w:val="xl95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CharCharCharCharCharCharCharCharCharCharCharCharCharCharCharCharCharCharCharCharCharCharCharChar1">
    <w:name w:val="Char Char Char Char Char Char Char Char Char Char Char Char Char Char Char Char Char Char Char Char Char Char Char Char1"/>
    <w:basedOn w:val="a6"/>
    <w:qFormat/>
  </w:style>
  <w:style w:type="paragraph" w:customStyle="1" w:styleId="affffffffffffffffffffffffffffffffffffffffd">
    <w:name w:val="自动更正"/>
    <w:qFormat/>
    <w:pPr>
      <w:widowControl w:val="0"/>
      <w:jc w:val="both"/>
    </w:pPr>
    <w:rPr>
      <w:kern w:val="2"/>
      <w:sz w:val="21"/>
    </w:rPr>
  </w:style>
  <w:style w:type="paragraph" w:customStyle="1" w:styleId="xl964">
    <w:name w:val="xl96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kern w:val="0"/>
      <w:sz w:val="18"/>
      <w:szCs w:val="18"/>
    </w:rPr>
  </w:style>
  <w:style w:type="paragraph" w:customStyle="1" w:styleId="Char1CharCharChar1">
    <w:name w:val="Char1 Char Char Char1"/>
    <w:basedOn w:val="a6"/>
    <w:qFormat/>
  </w:style>
  <w:style w:type="paragraph" w:customStyle="1" w:styleId="xl48">
    <w:name w:val="xl48"/>
    <w:basedOn w:val="a6"/>
    <w:qFormat/>
    <w:pPr>
      <w:widowControl/>
      <w:pBdr>
        <w:bottom w:val="single" w:sz="8" w:space="0" w:color="auto"/>
      </w:pBdr>
      <w:spacing w:before="100" w:beforeAutospacing="1" w:after="100" w:afterAutospacing="1"/>
      <w:jc w:val="left"/>
    </w:pPr>
    <w:rPr>
      <w:rFonts w:ascii="宋体" w:eastAsia="Arial Unicode MS"/>
      <w:b/>
      <w:kern w:val="0"/>
      <w:sz w:val="44"/>
      <w:szCs w:val="20"/>
    </w:rPr>
  </w:style>
  <w:style w:type="paragraph" w:customStyle="1" w:styleId="CharCharCharCharCharCharCharCharCharCharCharCharCharCharCharCharCharCharChar3">
    <w:name w:val="Char Char Char Char Char Char Char Char Char Char Char Char Char Char Char Char Char Char Char3"/>
    <w:basedOn w:val="a6"/>
    <w:qFormat/>
    <w:rPr>
      <w:rFonts w:ascii="宋体"/>
      <w:kern w:val="0"/>
      <w:sz w:val="24"/>
      <w:szCs w:val="20"/>
    </w:rPr>
  </w:style>
  <w:style w:type="paragraph" w:customStyle="1" w:styleId="22f3">
    <w:name w:val="样式 样式 正文首行缩进 + 首行缩进:  2 字符 + 首行缩进:  2 字符"/>
    <w:basedOn w:val="a6"/>
    <w:qFormat/>
    <w:pPr>
      <w:topLinePunct/>
      <w:adjustRightInd w:val="0"/>
      <w:snapToGrid w:val="0"/>
      <w:spacing w:line="360" w:lineRule="auto"/>
      <w:ind w:firstLine="480"/>
      <w:textAlignment w:val="baseline"/>
    </w:pPr>
    <w:rPr>
      <w:rFonts w:eastAsia="Times New Roman" w:hAnsi="宋体"/>
      <w:kern w:val="0"/>
      <w:sz w:val="24"/>
      <w:szCs w:val="20"/>
    </w:rPr>
  </w:style>
  <w:style w:type="paragraph" w:customStyle="1" w:styleId="affffffffffffffffffffffffffffffffffffffffe">
    <w:name w:val="国寰 表格文字"/>
    <w:basedOn w:val="a6"/>
    <w:qFormat/>
    <w:pPr>
      <w:widowControl/>
      <w:adjustRightInd w:val="0"/>
      <w:snapToGrid w:val="0"/>
    </w:pPr>
    <w:rPr>
      <w:sz w:val="18"/>
    </w:rPr>
  </w:style>
  <w:style w:type="paragraph" w:customStyle="1" w:styleId="afffffffffffffffffffffffffffffffffffffffff">
    <w:name w:val="调研内容"/>
    <w:basedOn w:val="a6"/>
    <w:qFormat/>
    <w:pPr>
      <w:widowControl/>
      <w:spacing w:after="200" w:line="360" w:lineRule="auto"/>
      <w:jc w:val="left"/>
    </w:pPr>
    <w:rPr>
      <w:rFonts w:ascii="Calibri" w:hAnsi="Calibri"/>
      <w:kern w:val="0"/>
      <w:sz w:val="28"/>
      <w:szCs w:val="20"/>
      <w:lang w:eastAsia="en-US" w:bidi="en-US"/>
    </w:rPr>
  </w:style>
  <w:style w:type="paragraph" w:customStyle="1" w:styleId="05050">
    <w:name w:val="样式 正文样式 + 段前: 0.5 行 段后: 0.5 行"/>
    <w:basedOn w:val="afffffffffffffffffffffffffffffffffffb"/>
    <w:qFormat/>
    <w:pPr>
      <w:widowControl/>
      <w:adjustRightInd w:val="0"/>
      <w:snapToGrid w:val="0"/>
      <w:spacing w:afterLines="50" w:line="360" w:lineRule="auto"/>
      <w:ind w:firstLine="480"/>
      <w:jc w:val="left"/>
    </w:pPr>
    <w:rPr>
      <w:color w:val="000000"/>
      <w:szCs w:val="20"/>
    </w:rPr>
  </w:style>
  <w:style w:type="paragraph" w:customStyle="1" w:styleId="xl999">
    <w:name w:val="xl999"/>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xx0">
    <w:name w:val="x.x.x."/>
    <w:basedOn w:val="a6"/>
    <w:qFormat/>
    <w:pPr>
      <w:widowControl/>
      <w:overflowPunct w:val="0"/>
      <w:autoSpaceDE w:val="0"/>
      <w:autoSpaceDN w:val="0"/>
      <w:adjustRightInd w:val="0"/>
      <w:spacing w:after="200" w:line="360" w:lineRule="atLeast"/>
      <w:ind w:left="993" w:hanging="993"/>
      <w:jc w:val="left"/>
      <w:textAlignment w:val="baseline"/>
    </w:pPr>
    <w:rPr>
      <w:rFonts w:ascii="MS Mincho" w:eastAsia="MS Mincho" w:hAnsi="Calibri"/>
      <w:kern w:val="0"/>
      <w:sz w:val="24"/>
      <w:szCs w:val="20"/>
      <w:lang w:eastAsia="ja-JP" w:bidi="en-US"/>
    </w:rPr>
  </w:style>
  <w:style w:type="paragraph" w:customStyle="1" w:styleId="xl1057">
    <w:name w:val="xl1057"/>
    <w:basedOn w:val="a6"/>
    <w:qFormat/>
    <w:pPr>
      <w:widowControl/>
      <w:pBdr>
        <w:top w:val="single" w:sz="4" w:space="0" w:color="auto"/>
        <w:left w:val="single" w:sz="4" w:space="0" w:color="auto"/>
        <w:bottom w:val="single" w:sz="4" w:space="0" w:color="auto"/>
      </w:pBdr>
      <w:spacing w:before="100" w:beforeAutospacing="1" w:after="100" w:afterAutospacing="1"/>
      <w:jc w:val="center"/>
    </w:pPr>
    <w:rPr>
      <w:rFonts w:ascii="Arial" w:hAnsi="Arial" w:cs="Arial"/>
      <w:kern w:val="0"/>
      <w:sz w:val="20"/>
      <w:szCs w:val="20"/>
    </w:rPr>
  </w:style>
  <w:style w:type="paragraph" w:customStyle="1" w:styleId="afffffffffffffffffffffffffffffffffffffffff0">
    <w:name w:val="表内五号"/>
    <w:basedOn w:val="a6"/>
    <w:qFormat/>
    <w:pPr>
      <w:widowControl/>
      <w:spacing w:beforeLines="10" w:afterLines="10" w:line="264" w:lineRule="auto"/>
      <w:jc w:val="center"/>
      <w:textAlignment w:val="center"/>
    </w:pPr>
    <w:rPr>
      <w:rFonts w:ascii="Arial" w:eastAsia="楷体_GB2312" w:hAnsi="Arial"/>
      <w:color w:val="000000"/>
      <w:kern w:val="0"/>
      <w:sz w:val="22"/>
      <w:szCs w:val="21"/>
      <w:lang w:eastAsia="en-US" w:bidi="en-US"/>
    </w:rPr>
  </w:style>
  <w:style w:type="paragraph" w:customStyle="1" w:styleId="xl979">
    <w:name w:val="xl979"/>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afffffffffffffffffffffffffffffffffffffffff1">
    <w:name w:val="表格单位行"/>
    <w:basedOn w:val="afc"/>
    <w:qFormat/>
    <w:pPr>
      <w:widowControl/>
      <w:overflowPunct w:val="0"/>
      <w:adjustRightInd w:val="0"/>
      <w:spacing w:after="200" w:line="200" w:lineRule="atLeast"/>
      <w:ind w:rightChars="285" w:right="285" w:firstLineChars="0" w:firstLine="0"/>
      <w:jc w:val="right"/>
      <w:textAlignment w:val="baseline"/>
    </w:pPr>
    <w:rPr>
      <w:rFonts w:ascii="Arial" w:eastAsia="黑体" w:hAnsi="Arial" w:cs="宋体"/>
      <w:color w:val="auto"/>
      <w:spacing w:val="0"/>
      <w:kern w:val="0"/>
      <w:sz w:val="24"/>
      <w:szCs w:val="24"/>
    </w:rPr>
  </w:style>
  <w:style w:type="paragraph" w:customStyle="1" w:styleId="xl1047">
    <w:name w:val="xl1047"/>
    <w:basedOn w:val="a6"/>
    <w:qFormat/>
    <w:pPr>
      <w:widowControl/>
      <w:pBdr>
        <w:left w:val="single" w:sz="4" w:space="0" w:color="auto"/>
        <w:bottom w:val="single" w:sz="4" w:space="0" w:color="auto"/>
        <w:right w:val="single" w:sz="4" w:space="0" w:color="auto"/>
      </w:pBdr>
      <w:shd w:val="clear" w:color="000000" w:fill="0070C0"/>
      <w:spacing w:before="100" w:beforeAutospacing="1" w:after="100" w:afterAutospacing="1"/>
      <w:jc w:val="center"/>
    </w:pPr>
    <w:rPr>
      <w:rFonts w:ascii="Arial" w:hAnsi="Arial" w:cs="Arial"/>
      <w:kern w:val="0"/>
      <w:sz w:val="18"/>
      <w:szCs w:val="18"/>
    </w:rPr>
  </w:style>
  <w:style w:type="paragraph" w:customStyle="1" w:styleId="afffffffffffffffffffffffffffffffffffffffff2">
    <w:name w:val="较紧表格"/>
    <w:basedOn w:val="a6"/>
    <w:qFormat/>
    <w:pPr>
      <w:widowControl/>
      <w:spacing w:beforeLines="10" w:afterLines="10" w:line="276" w:lineRule="auto"/>
      <w:jc w:val="center"/>
    </w:pPr>
    <w:rPr>
      <w:rFonts w:ascii="Calibri" w:hAnsi="Calibri"/>
      <w:kern w:val="0"/>
      <w:sz w:val="22"/>
      <w:szCs w:val="22"/>
      <w:lang w:eastAsia="en-US" w:bidi="en-US"/>
    </w:rPr>
  </w:style>
  <w:style w:type="paragraph" w:customStyle="1" w:styleId="xl1042">
    <w:name w:val="xl1042"/>
    <w:basedOn w:val="a6"/>
    <w:qFormat/>
    <w:pPr>
      <w:widowControl/>
      <w:pBdr>
        <w:top w:val="single" w:sz="4" w:space="0" w:color="auto"/>
        <w:left w:val="single" w:sz="4" w:space="0" w:color="auto"/>
      </w:pBdr>
      <w:shd w:val="clear" w:color="000000" w:fill="0070C0"/>
      <w:spacing w:before="100" w:beforeAutospacing="1" w:after="100" w:afterAutospacing="1"/>
      <w:jc w:val="center"/>
    </w:pPr>
    <w:rPr>
      <w:rFonts w:ascii="Arial" w:hAnsi="Arial" w:cs="Arial"/>
      <w:kern w:val="0"/>
      <w:sz w:val="18"/>
      <w:szCs w:val="18"/>
    </w:rPr>
  </w:style>
  <w:style w:type="paragraph" w:customStyle="1" w:styleId="TimesNewRoman26">
    <w:name w:val="样式 纯文本 + Times New Roman 小四 加粗 行距: 固定值 26 磅"/>
    <w:basedOn w:val="afc"/>
    <w:qFormat/>
    <w:pPr>
      <w:widowControl/>
      <w:spacing w:after="200" w:line="520" w:lineRule="exact"/>
      <w:ind w:firstLine="480"/>
      <w:jc w:val="left"/>
    </w:pPr>
    <w:rPr>
      <w:rFonts w:ascii="Times New Roman" w:eastAsia="宋体" w:hAnsi="Times New Roman" w:cs="宋体"/>
      <w:b/>
      <w:bCs/>
      <w:color w:val="auto"/>
      <w:spacing w:val="0"/>
      <w:sz w:val="24"/>
      <w:szCs w:val="20"/>
    </w:rPr>
  </w:style>
  <w:style w:type="paragraph" w:customStyle="1" w:styleId="22112112CharHD2Heading2">
    <w:name w:val="样式 标题 2标题21.1标题 21.1标题 2 Char节二级标题，黑粗，小三，序号HD2Heading 2 ..."/>
    <w:basedOn w:val="22"/>
    <w:qFormat/>
    <w:pPr>
      <w:keepNext w:val="0"/>
      <w:widowControl/>
      <w:tabs>
        <w:tab w:val="left" w:pos="0"/>
      </w:tabs>
      <w:overflowPunct w:val="0"/>
      <w:adjustRightInd w:val="0"/>
      <w:snapToGrid w:val="0"/>
      <w:spacing w:before="200" w:line="240" w:lineRule="auto"/>
      <w:ind w:left="33" w:firstLine="567"/>
      <w:jc w:val="left"/>
      <w:textAlignment w:val="baseline"/>
    </w:pPr>
    <w:rPr>
      <w:rFonts w:eastAsia="Arial" w:cs="宋体"/>
      <w:spacing w:val="0"/>
      <w:w w:val="100"/>
      <w:kern w:val="0"/>
      <w:sz w:val="30"/>
      <w:szCs w:val="20"/>
      <w:lang w:eastAsia="en-US" w:bidi="en-US"/>
    </w:rPr>
  </w:style>
  <w:style w:type="paragraph" w:customStyle="1" w:styleId="15c">
    <w:name w:val="样式 黑体 黑色 居中 行距: 1.5 倍行距"/>
    <w:basedOn w:val="a6"/>
    <w:qFormat/>
    <w:pPr>
      <w:widowControl/>
      <w:spacing w:after="200" w:line="360" w:lineRule="auto"/>
      <w:jc w:val="center"/>
    </w:pPr>
    <w:rPr>
      <w:rFonts w:ascii="黑体" w:eastAsia="黑体" w:hAnsi="Calibri"/>
      <w:color w:val="000000"/>
      <w:kern w:val="0"/>
      <w:sz w:val="22"/>
      <w:szCs w:val="20"/>
      <w:lang w:eastAsia="en-US" w:bidi="en-US"/>
    </w:rPr>
  </w:style>
  <w:style w:type="paragraph" w:customStyle="1" w:styleId="afffffffffffffffffffffffffffffffffffffffff3">
    <w:name w:val="正文表"/>
    <w:basedOn w:val="a6"/>
    <w:qFormat/>
    <w:pPr>
      <w:widowControl/>
      <w:tabs>
        <w:tab w:val="left" w:pos="2451"/>
        <w:tab w:val="left" w:pos="4614"/>
        <w:tab w:val="left" w:pos="6777"/>
        <w:tab w:val="left" w:pos="8940"/>
      </w:tabs>
      <w:autoSpaceDE w:val="0"/>
      <w:autoSpaceDN w:val="0"/>
      <w:adjustRightInd w:val="0"/>
      <w:spacing w:after="200" w:line="276" w:lineRule="auto"/>
      <w:jc w:val="center"/>
      <w:textAlignment w:val="bottom"/>
    </w:pPr>
    <w:rPr>
      <w:rFonts w:ascii="Calibri" w:hAnsi="Calibri"/>
      <w:color w:val="000000"/>
      <w:kern w:val="0"/>
      <w:sz w:val="28"/>
      <w:szCs w:val="20"/>
      <w:lang w:eastAsia="en-US" w:bidi="en-US"/>
    </w:rPr>
  </w:style>
  <w:style w:type="paragraph" w:customStyle="1" w:styleId="Bullet2">
    <w:name w:val="Bullet 2"/>
    <w:basedOn w:val="a6"/>
    <w:qFormat/>
    <w:pPr>
      <w:widowControl/>
      <w:tabs>
        <w:tab w:val="left" w:pos="420"/>
      </w:tabs>
      <w:spacing w:after="200" w:line="276" w:lineRule="auto"/>
      <w:ind w:left="420"/>
      <w:jc w:val="left"/>
    </w:pPr>
    <w:rPr>
      <w:rFonts w:ascii="Calibri" w:eastAsia="PMingLiU" w:hAnsi="Calibri"/>
      <w:kern w:val="0"/>
      <w:sz w:val="24"/>
      <w:szCs w:val="20"/>
      <w:lang w:val="en-GB" w:eastAsia="zh-TW" w:bidi="en-US"/>
    </w:rPr>
  </w:style>
  <w:style w:type="paragraph" w:customStyle="1" w:styleId="afffffffffffffffffffffffffffffffffffffffff4">
    <w:name w:val="表内小五"/>
    <w:basedOn w:val="a6"/>
    <w:qFormat/>
    <w:pPr>
      <w:widowControl/>
      <w:spacing w:after="200" w:line="264" w:lineRule="auto"/>
      <w:jc w:val="center"/>
      <w:textAlignment w:val="center"/>
    </w:pPr>
    <w:rPr>
      <w:rFonts w:ascii="Arial" w:eastAsia="楷体_GB2312" w:hAnsi="Arial"/>
      <w:kern w:val="0"/>
      <w:sz w:val="18"/>
      <w:szCs w:val="21"/>
      <w:lang w:eastAsia="en-US" w:bidi="en-US"/>
    </w:rPr>
  </w:style>
  <w:style w:type="paragraph" w:customStyle="1" w:styleId="afffffffffffffffffffffffffffffffffffffffff5">
    <w:name w:val="题栏"/>
    <w:basedOn w:val="aff2"/>
    <w:qFormat/>
    <w:pPr>
      <w:pBdr>
        <w:bottom w:val="none" w:sz="0" w:space="0" w:color="auto"/>
      </w:pBdr>
      <w:tabs>
        <w:tab w:val="clear" w:pos="4680"/>
        <w:tab w:val="clear" w:pos="9360"/>
        <w:tab w:val="center" w:pos="4153"/>
        <w:tab w:val="right" w:pos="8306"/>
      </w:tabs>
      <w:snapToGrid w:val="0"/>
      <w:spacing w:after="200" w:line="360" w:lineRule="auto"/>
      <w:jc w:val="center"/>
    </w:pPr>
    <w:rPr>
      <w:rFonts w:eastAsia="Times New Roman"/>
      <w:sz w:val="21"/>
      <w:szCs w:val="20"/>
    </w:rPr>
  </w:style>
  <w:style w:type="paragraph" w:customStyle="1" w:styleId="CharCharCharCharCharCharCharCharCharChar2CharCharCharCharCharChar1">
    <w:name w:val="Char Char Char Char Char Char Char Char Char Char2 Char Char Char Char Char Char1"/>
    <w:basedOn w:val="af4"/>
    <w:qFormat/>
    <w:pPr>
      <w:keepNext/>
      <w:widowControl/>
      <w:spacing w:beforeLines="100"/>
      <w:jc w:val="left"/>
    </w:pPr>
    <w:rPr>
      <w:rFonts w:ascii="Tahoma" w:hAnsi="Tahoma"/>
      <w:kern w:val="0"/>
      <w:sz w:val="24"/>
      <w:shd w:val="clear" w:color="auto" w:fill="000080"/>
    </w:rPr>
  </w:style>
  <w:style w:type="paragraph" w:customStyle="1" w:styleId="biao">
    <w:name w:val="biao"/>
    <w:basedOn w:val="a6"/>
    <w:qFormat/>
    <w:pPr>
      <w:widowControl/>
      <w:tabs>
        <w:tab w:val="left" w:pos="2340"/>
      </w:tabs>
      <w:autoSpaceDE w:val="0"/>
      <w:autoSpaceDN w:val="0"/>
      <w:adjustRightInd w:val="0"/>
      <w:spacing w:line="240" w:lineRule="atLeast"/>
      <w:jc w:val="center"/>
    </w:pPr>
    <w:rPr>
      <w:rFonts w:ascii="黑体" w:eastAsia="黑体" w:hAnsi="Tms Rmn" w:cs="宋体" w:hint="eastAsia"/>
      <w:b/>
      <w:bCs/>
      <w:kern w:val="0"/>
      <w:sz w:val="30"/>
      <w:szCs w:val="20"/>
    </w:rPr>
  </w:style>
  <w:style w:type="paragraph" w:customStyle="1" w:styleId="Bullet1">
    <w:name w:val="Bullet 1"/>
    <w:basedOn w:val="a6"/>
    <w:qFormat/>
    <w:pPr>
      <w:widowControl/>
      <w:tabs>
        <w:tab w:val="left" w:pos="420"/>
      </w:tabs>
      <w:ind w:left="420" w:hanging="420"/>
      <w:jc w:val="left"/>
    </w:pPr>
    <w:rPr>
      <w:rFonts w:ascii="Arial" w:hAnsi="Arial" w:cs="宋体"/>
      <w:b/>
      <w:bCs/>
      <w:kern w:val="0"/>
      <w:sz w:val="22"/>
      <w:szCs w:val="20"/>
    </w:rPr>
  </w:style>
  <w:style w:type="paragraph" w:customStyle="1" w:styleId="Bullet5">
    <w:name w:val="Bullet 5"/>
    <w:basedOn w:val="a6"/>
    <w:next w:val="a6"/>
    <w:qFormat/>
    <w:pPr>
      <w:widowControl/>
      <w:tabs>
        <w:tab w:val="left" w:pos="1440"/>
      </w:tabs>
      <w:ind w:left="5041" w:hanging="720"/>
      <w:jc w:val="left"/>
    </w:pPr>
    <w:rPr>
      <w:rFonts w:ascii="Arial" w:hAnsi="Arial" w:cs="宋体"/>
      <w:kern w:val="0"/>
      <w:sz w:val="22"/>
      <w:szCs w:val="20"/>
      <w:lang w:eastAsia="en-US"/>
    </w:rPr>
  </w:style>
  <w:style w:type="paragraph" w:customStyle="1" w:styleId="Head42">
    <w:name w:val="Head 4.2"/>
    <w:basedOn w:val="a6"/>
    <w:qFormat/>
    <w:pPr>
      <w:widowControl/>
      <w:tabs>
        <w:tab w:val="left" w:pos="360"/>
      </w:tabs>
      <w:suppressAutoHyphens/>
      <w:ind w:left="360" w:hanging="360"/>
      <w:jc w:val="left"/>
    </w:pPr>
    <w:rPr>
      <w:rFonts w:cs="宋体"/>
      <w:b/>
      <w:kern w:val="0"/>
      <w:sz w:val="24"/>
      <w:szCs w:val="20"/>
      <w:lang w:eastAsia="en-US"/>
    </w:rPr>
  </w:style>
  <w:style w:type="paragraph" w:customStyle="1" w:styleId="Technical7">
    <w:name w:val="Technical 7"/>
    <w:qFormat/>
    <w:pPr>
      <w:tabs>
        <w:tab w:val="left" w:pos="-720"/>
      </w:tabs>
      <w:suppressAutoHyphens/>
      <w:ind w:firstLine="720"/>
    </w:pPr>
    <w:rPr>
      <w:rFonts w:ascii="Courier" w:hAnsi="Courier"/>
      <w:b/>
      <w:sz w:val="24"/>
      <w:lang w:eastAsia="en-US"/>
    </w:rPr>
  </w:style>
  <w:style w:type="paragraph" w:customStyle="1" w:styleId="332">
    <w:name w:val="3 3"/>
    <w:qFormat/>
    <w:pPr>
      <w:tabs>
        <w:tab w:val="left" w:pos="-720"/>
        <w:tab w:val="left" w:pos="0"/>
        <w:tab w:val="left" w:pos="720"/>
        <w:tab w:val="left" w:pos="1440"/>
        <w:tab w:val="decimal" w:pos="2160"/>
      </w:tabs>
      <w:suppressAutoHyphens/>
      <w:ind w:firstLine="2160"/>
    </w:pPr>
    <w:rPr>
      <w:rFonts w:ascii="Courier" w:hAnsi="Courier"/>
      <w:sz w:val="24"/>
      <w:lang w:eastAsia="en-US"/>
    </w:rPr>
  </w:style>
  <w:style w:type="paragraph" w:customStyle="1" w:styleId="SAR6">
    <w:name w:val="SAR 6"/>
    <w:qFormat/>
    <w:pPr>
      <w:tabs>
        <w:tab w:val="left" w:pos="-720"/>
      </w:tabs>
      <w:suppressAutoHyphens/>
    </w:pPr>
    <w:rPr>
      <w:rFonts w:ascii="Courier" w:hAnsi="Courier"/>
      <w:sz w:val="24"/>
      <w:lang w:eastAsia="en-US"/>
    </w:rPr>
  </w:style>
  <w:style w:type="paragraph" w:customStyle="1" w:styleId="REGULAR6">
    <w:name w:val="REGULAR 6"/>
    <w:qFormat/>
    <w:pPr>
      <w:tabs>
        <w:tab w:val="left" w:pos="-720"/>
      </w:tabs>
      <w:suppressAutoHyphens/>
    </w:pPr>
    <w:rPr>
      <w:rFonts w:ascii="Courier" w:hAnsi="Courier"/>
      <w:sz w:val="24"/>
      <w:lang w:eastAsia="en-US"/>
    </w:rPr>
  </w:style>
  <w:style w:type="paragraph" w:customStyle="1" w:styleId="135">
    <w:name w:val="1 3"/>
    <w:qFormat/>
    <w:pPr>
      <w:tabs>
        <w:tab w:val="left" w:pos="-720"/>
      </w:tabs>
      <w:suppressAutoHyphens/>
    </w:pPr>
    <w:rPr>
      <w:rFonts w:ascii="Courier" w:hAnsi="Courier"/>
      <w:sz w:val="24"/>
      <w:lang w:eastAsia="en-US"/>
    </w:rPr>
  </w:style>
  <w:style w:type="paragraph" w:customStyle="1" w:styleId="147">
    <w:name w:val="1 4"/>
    <w:qFormat/>
    <w:pPr>
      <w:tabs>
        <w:tab w:val="left" w:pos="-720"/>
      </w:tabs>
      <w:suppressAutoHyphens/>
    </w:pPr>
    <w:rPr>
      <w:rFonts w:ascii="Courier" w:hAnsi="Courier"/>
      <w:sz w:val="24"/>
      <w:lang w:eastAsia="en-US"/>
    </w:rPr>
  </w:style>
  <w:style w:type="paragraph" w:customStyle="1" w:styleId="171">
    <w:name w:val="1 7"/>
    <w:qFormat/>
    <w:pPr>
      <w:tabs>
        <w:tab w:val="left" w:pos="-720"/>
      </w:tabs>
      <w:suppressAutoHyphens/>
    </w:pPr>
    <w:rPr>
      <w:rFonts w:ascii="Courier" w:hAnsi="Courier"/>
      <w:sz w:val="24"/>
      <w:lang w:eastAsia="en-US"/>
    </w:rPr>
  </w:style>
  <w:style w:type="paragraph" w:customStyle="1" w:styleId="22a0">
    <w:name w:val="2 2a"/>
    <w:qFormat/>
    <w:pPr>
      <w:tabs>
        <w:tab w:val="left" w:pos="-720"/>
      </w:tabs>
      <w:suppressAutoHyphens/>
    </w:pPr>
    <w:rPr>
      <w:rFonts w:ascii="Courier" w:hAnsi="Courier"/>
      <w:sz w:val="24"/>
      <w:lang w:eastAsia="en-US"/>
    </w:rPr>
  </w:style>
  <w:style w:type="paragraph" w:customStyle="1" w:styleId="24a">
    <w:name w:val="2 4a"/>
    <w:qFormat/>
    <w:pPr>
      <w:tabs>
        <w:tab w:val="left" w:pos="-720"/>
      </w:tabs>
      <w:suppressAutoHyphens/>
    </w:pPr>
    <w:rPr>
      <w:rFonts w:ascii="Courier" w:hAnsi="Courier"/>
      <w:sz w:val="24"/>
      <w:lang w:eastAsia="en-US"/>
    </w:rPr>
  </w:style>
  <w:style w:type="paragraph" w:customStyle="1" w:styleId="27a">
    <w:name w:val="2 7a"/>
    <w:qFormat/>
    <w:pPr>
      <w:tabs>
        <w:tab w:val="left" w:pos="-720"/>
      </w:tabs>
      <w:suppressAutoHyphens/>
    </w:pPr>
    <w:rPr>
      <w:rFonts w:ascii="Courier" w:hAnsi="Courier"/>
      <w:sz w:val="24"/>
      <w:lang w:eastAsia="en-US"/>
    </w:rPr>
  </w:style>
  <w:style w:type="paragraph" w:customStyle="1" w:styleId="28a">
    <w:name w:val="2 8a"/>
    <w:qFormat/>
    <w:pPr>
      <w:tabs>
        <w:tab w:val="left" w:pos="-720"/>
      </w:tabs>
      <w:suppressAutoHyphens/>
    </w:pPr>
    <w:rPr>
      <w:rFonts w:ascii="Courier" w:hAnsi="Courier"/>
      <w:sz w:val="24"/>
      <w:lang w:eastAsia="en-US"/>
    </w:rPr>
  </w:style>
  <w:style w:type="paragraph" w:customStyle="1" w:styleId="kk">
    <w:name w:val="kk"/>
    <w:basedOn w:val="af8"/>
    <w:qFormat/>
    <w:pPr>
      <w:widowControl/>
      <w:autoSpaceDE w:val="0"/>
      <w:autoSpaceDN w:val="0"/>
      <w:adjustRightInd w:val="0"/>
      <w:spacing w:after="0" w:line="360" w:lineRule="auto"/>
      <w:jc w:val="left"/>
      <w:textAlignment w:val="baseline"/>
    </w:pPr>
    <w:rPr>
      <w:rFonts w:cs="宋体"/>
      <w:spacing w:val="10"/>
      <w:kern w:val="0"/>
      <w:sz w:val="24"/>
      <w:szCs w:val="20"/>
    </w:rPr>
  </w:style>
  <w:style w:type="paragraph" w:customStyle="1" w:styleId="afffffffffffffffffffffffffffffffffffffffff6">
    <w:name w:val="字母编号"/>
    <w:basedOn w:val="affffffffffffffffffffffffffffffffb"/>
    <w:qFormat/>
    <w:pPr>
      <w:widowControl/>
      <w:tabs>
        <w:tab w:val="left" w:pos="981"/>
      </w:tabs>
      <w:spacing w:line="240" w:lineRule="auto"/>
      <w:ind w:firstLine="420"/>
      <w:jc w:val="left"/>
    </w:pPr>
    <w:rPr>
      <w:rFonts w:ascii="Times New Roman" w:hAnsi="Times New Roman" w:cs="宋体"/>
      <w:color w:val="000000"/>
      <w:spacing w:val="0"/>
      <w:szCs w:val="24"/>
    </w:rPr>
  </w:style>
  <w:style w:type="paragraph" w:customStyle="1" w:styleId="Style1">
    <w:name w:val="Style1"/>
    <w:basedOn w:val="a6"/>
    <w:qFormat/>
    <w:pPr>
      <w:widowControl/>
      <w:tabs>
        <w:tab w:val="left" w:pos="-720"/>
      </w:tabs>
      <w:spacing w:after="120"/>
      <w:jc w:val="left"/>
    </w:pPr>
    <w:rPr>
      <w:rFonts w:cs="宋体"/>
      <w:spacing w:val="-3"/>
      <w:kern w:val="0"/>
      <w:sz w:val="24"/>
      <w:szCs w:val="20"/>
      <w:lang w:val="en-AU" w:eastAsia="en-US"/>
    </w:rPr>
  </w:style>
  <w:style w:type="paragraph" w:customStyle="1" w:styleId="TxBrc4">
    <w:name w:val="TxBr_c4"/>
    <w:basedOn w:val="a6"/>
    <w:qFormat/>
    <w:pPr>
      <w:widowControl/>
      <w:spacing w:line="240" w:lineRule="atLeast"/>
      <w:jc w:val="center"/>
    </w:pPr>
    <w:rPr>
      <w:rFonts w:cs="宋体"/>
      <w:snapToGrid w:val="0"/>
      <w:kern w:val="0"/>
      <w:sz w:val="24"/>
      <w:szCs w:val="20"/>
      <w:lang w:eastAsia="en-US"/>
    </w:rPr>
  </w:style>
  <w:style w:type="paragraph" w:customStyle="1" w:styleId="afffffffffffffffffffffffffffffffffffffffff7">
    <w:name w:val="正文首行不缩进"/>
    <w:basedOn w:val="a6"/>
    <w:qFormat/>
    <w:pPr>
      <w:widowControl/>
      <w:tabs>
        <w:tab w:val="left" w:pos="4584"/>
        <w:tab w:val="left" w:pos="7640"/>
      </w:tabs>
      <w:adjustRightInd w:val="0"/>
      <w:snapToGrid w:val="0"/>
      <w:spacing w:line="360" w:lineRule="auto"/>
      <w:ind w:firstLineChars="200" w:firstLine="442"/>
      <w:jc w:val="left"/>
      <w:outlineLvl w:val="0"/>
    </w:pPr>
    <w:rPr>
      <w:rFonts w:ascii="宋体" w:hAnsi="宋体" w:cs="宋体"/>
      <w:kern w:val="52"/>
      <w:sz w:val="24"/>
    </w:rPr>
  </w:style>
  <w:style w:type="paragraph" w:customStyle="1" w:styleId="afffffffffffffffffffffffffffffffffffffffff8">
    <w:name w:val="表格文字－四号"/>
    <w:basedOn w:val="a6"/>
    <w:qFormat/>
    <w:pPr>
      <w:widowControl/>
      <w:adjustRightInd w:val="0"/>
      <w:snapToGrid w:val="0"/>
      <w:spacing w:line="360" w:lineRule="auto"/>
      <w:jc w:val="left"/>
    </w:pPr>
    <w:rPr>
      <w:rFonts w:cs="宋体"/>
      <w:kern w:val="0"/>
      <w:sz w:val="28"/>
    </w:rPr>
  </w:style>
  <w:style w:type="paragraph" w:customStyle="1" w:styleId="2fffffff3">
    <w:name w:val="修订2"/>
    <w:uiPriority w:val="99"/>
    <w:semiHidden/>
    <w:qFormat/>
    <w:rPr>
      <w:kern w:val="2"/>
      <w:sz w:val="21"/>
      <w:szCs w:val="24"/>
    </w:rPr>
  </w:style>
  <w:style w:type="paragraph" w:customStyle="1" w:styleId="xl129">
    <w:name w:val="xl129"/>
    <w:basedOn w:val="a6"/>
    <w:qFormat/>
    <w:pPr>
      <w:widowControl/>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Unicode MS" w:eastAsia="Arial Unicode MS" w:hAnsi="Arial Unicode MS" w:cs="Arial Unicode MS"/>
      <w:color w:val="000000"/>
      <w:kern w:val="0"/>
      <w:sz w:val="24"/>
      <w:szCs w:val="21"/>
    </w:rPr>
  </w:style>
  <w:style w:type="paragraph" w:customStyle="1" w:styleId="xl142">
    <w:name w:val="xl142"/>
    <w:basedOn w:val="a6"/>
    <w:qFormat/>
    <w:pPr>
      <w:widowControl/>
      <w:pBdr>
        <w:bottom w:val="double" w:sz="6" w:space="0" w:color="auto"/>
        <w:right w:val="single" w:sz="4" w:space="0" w:color="auto"/>
      </w:pBdr>
      <w:spacing w:before="100" w:beforeAutospacing="1" w:after="100" w:afterAutospacing="1" w:line="360" w:lineRule="auto"/>
      <w:jc w:val="center"/>
      <w:textAlignment w:val="center"/>
    </w:pPr>
    <w:rPr>
      <w:rFonts w:eastAsia="Arial Unicode MS" w:cs="宋体"/>
      <w:kern w:val="0"/>
      <w:sz w:val="20"/>
      <w:szCs w:val="20"/>
    </w:rPr>
  </w:style>
  <w:style w:type="paragraph" w:customStyle="1" w:styleId="11fc">
    <w:name w:val="样式 样式 宋体 11 磅 黑色 居中 + 自动设置"/>
    <w:basedOn w:val="11d"/>
    <w:qFormat/>
    <w:pPr>
      <w:spacing w:line="180" w:lineRule="auto"/>
    </w:pPr>
    <w:rPr>
      <w:color w:val="auto"/>
    </w:rPr>
  </w:style>
  <w:style w:type="paragraph" w:customStyle="1" w:styleId="xl145">
    <w:name w:val="xl145"/>
    <w:basedOn w:val="a6"/>
    <w:qFormat/>
    <w:pPr>
      <w:widowControl/>
      <w:pBdr>
        <w:top w:val="double" w:sz="6" w:space="0" w:color="auto"/>
        <w:right w:val="single" w:sz="4" w:space="0" w:color="auto"/>
      </w:pBdr>
      <w:spacing w:before="100" w:beforeAutospacing="1" w:after="100" w:afterAutospacing="1" w:line="360" w:lineRule="auto"/>
      <w:jc w:val="center"/>
      <w:textAlignment w:val="center"/>
    </w:pPr>
    <w:rPr>
      <w:rFonts w:eastAsia="Arial Unicode MS" w:cs="宋体"/>
      <w:kern w:val="0"/>
      <w:sz w:val="20"/>
      <w:szCs w:val="20"/>
    </w:rPr>
  </w:style>
  <w:style w:type="paragraph" w:customStyle="1" w:styleId="xl148">
    <w:name w:val="xl148"/>
    <w:basedOn w:val="a6"/>
    <w:qFormat/>
    <w:pPr>
      <w:widowControl/>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eastAsia="Arial Unicode MS" w:cs="宋体"/>
      <w:color w:val="000000"/>
      <w:kern w:val="0"/>
      <w:sz w:val="20"/>
      <w:szCs w:val="20"/>
    </w:rPr>
  </w:style>
  <w:style w:type="paragraph" w:customStyle="1" w:styleId="xl195">
    <w:name w:val="xl195"/>
    <w:basedOn w:val="a6"/>
    <w:qFormat/>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4"/>
    </w:rPr>
  </w:style>
  <w:style w:type="paragraph" w:customStyle="1" w:styleId="xl150">
    <w:name w:val="xl150"/>
    <w:basedOn w:val="a6"/>
    <w:qFormat/>
    <w:pPr>
      <w:widowControl/>
      <w:pBdr>
        <w:top w:val="double" w:sz="6" w:space="0" w:color="auto"/>
        <w:bottom w:val="single" w:sz="4" w:space="0" w:color="auto"/>
        <w:right w:val="single" w:sz="4" w:space="0" w:color="auto"/>
      </w:pBdr>
      <w:spacing w:before="100" w:beforeAutospacing="1" w:after="100" w:afterAutospacing="1" w:line="360" w:lineRule="auto"/>
      <w:jc w:val="center"/>
      <w:textAlignment w:val="center"/>
    </w:pPr>
    <w:rPr>
      <w:rFonts w:eastAsia="Arial Unicode MS" w:cs="宋体"/>
      <w:color w:val="000000"/>
      <w:kern w:val="0"/>
      <w:sz w:val="20"/>
      <w:szCs w:val="20"/>
    </w:rPr>
  </w:style>
  <w:style w:type="paragraph" w:customStyle="1" w:styleId="xl155">
    <w:name w:val="xl155"/>
    <w:basedOn w:val="a6"/>
    <w:qFormat/>
    <w:pPr>
      <w:widowControl/>
      <w:pBdr>
        <w:top w:val="double" w:sz="6" w:space="0" w:color="auto"/>
        <w:right w:val="single" w:sz="4" w:space="0" w:color="auto"/>
      </w:pBdr>
      <w:spacing w:before="100" w:beforeAutospacing="1" w:after="100" w:afterAutospacing="1" w:line="360" w:lineRule="auto"/>
      <w:jc w:val="center"/>
      <w:textAlignment w:val="center"/>
    </w:pPr>
    <w:rPr>
      <w:rFonts w:eastAsia="Arial Unicode MS" w:cs="宋体"/>
      <w:color w:val="000000"/>
      <w:kern w:val="0"/>
      <w:sz w:val="20"/>
      <w:szCs w:val="20"/>
    </w:rPr>
  </w:style>
  <w:style w:type="paragraph" w:customStyle="1" w:styleId="xl158">
    <w:name w:val="xl15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eastAsia="Arial Unicode MS" w:cs="宋体"/>
      <w:color w:val="000000"/>
      <w:kern w:val="0"/>
      <w:sz w:val="20"/>
      <w:szCs w:val="20"/>
    </w:rPr>
  </w:style>
  <w:style w:type="paragraph" w:customStyle="1" w:styleId="xl188">
    <w:name w:val="xl188"/>
    <w:basedOn w:val="a6"/>
    <w:qFormat/>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宋体" w:hAnsi="宋体" w:cs="宋体"/>
      <w:color w:val="000000"/>
      <w:kern w:val="0"/>
      <w:sz w:val="24"/>
    </w:rPr>
  </w:style>
  <w:style w:type="paragraph" w:customStyle="1" w:styleId="xl159">
    <w:name w:val="xl159"/>
    <w:basedOn w:val="a6"/>
    <w:qFormat/>
    <w:pPr>
      <w:widowControl/>
      <w:pBdr>
        <w:top w:val="double" w:sz="6" w:space="0" w:color="auto"/>
        <w:bottom w:val="single" w:sz="4" w:space="0" w:color="auto"/>
        <w:right w:val="single" w:sz="4" w:space="0" w:color="auto"/>
      </w:pBdr>
      <w:spacing w:before="100" w:beforeAutospacing="1" w:after="100" w:afterAutospacing="1" w:line="360" w:lineRule="auto"/>
      <w:jc w:val="center"/>
      <w:textAlignment w:val="center"/>
    </w:pPr>
    <w:rPr>
      <w:rFonts w:eastAsia="Arial Unicode MS" w:cs="宋体"/>
      <w:color w:val="000000"/>
      <w:kern w:val="0"/>
      <w:sz w:val="20"/>
      <w:szCs w:val="20"/>
    </w:rPr>
  </w:style>
  <w:style w:type="paragraph" w:customStyle="1" w:styleId="xl190">
    <w:name w:val="xl190"/>
    <w:basedOn w:val="a6"/>
    <w:qFormat/>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4"/>
    </w:rPr>
  </w:style>
  <w:style w:type="paragraph" w:customStyle="1" w:styleId="xl161">
    <w:name w:val="xl161"/>
    <w:basedOn w:val="a6"/>
    <w:qFormat/>
    <w:pPr>
      <w:widowControl/>
      <w:pBdr>
        <w:bottom w:val="double" w:sz="6" w:space="0" w:color="auto"/>
        <w:right w:val="single" w:sz="4" w:space="0" w:color="auto"/>
      </w:pBdr>
      <w:spacing w:before="100" w:beforeAutospacing="1" w:after="100" w:afterAutospacing="1" w:line="360" w:lineRule="auto"/>
      <w:jc w:val="center"/>
      <w:textAlignment w:val="center"/>
    </w:pPr>
    <w:rPr>
      <w:rFonts w:eastAsia="Arial Unicode MS" w:cs="宋体"/>
      <w:color w:val="000000"/>
      <w:kern w:val="0"/>
      <w:sz w:val="20"/>
      <w:szCs w:val="20"/>
    </w:rPr>
  </w:style>
  <w:style w:type="paragraph" w:customStyle="1" w:styleId="xl222">
    <w:name w:val="xl222"/>
    <w:basedOn w:val="a6"/>
    <w:qFormat/>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rPr>
  </w:style>
  <w:style w:type="paragraph" w:customStyle="1" w:styleId="xl169">
    <w:name w:val="xl169"/>
    <w:basedOn w:val="a6"/>
    <w:qFormat/>
    <w:pPr>
      <w:widowControl/>
      <w:pBdr>
        <w:top w:val="double" w:sz="6" w:space="0" w:color="auto"/>
        <w:right w:val="single" w:sz="4" w:space="0" w:color="auto"/>
      </w:pBdr>
      <w:spacing w:before="100" w:beforeAutospacing="1" w:after="100" w:afterAutospacing="1" w:line="360" w:lineRule="auto"/>
      <w:jc w:val="left"/>
      <w:textAlignment w:val="center"/>
    </w:pPr>
    <w:rPr>
      <w:rFonts w:ascii="Arial Unicode MS" w:eastAsia="Arial Unicode MS" w:hAnsi="Arial Unicode MS" w:cs="Arial Unicode MS"/>
      <w:color w:val="000000"/>
      <w:kern w:val="0"/>
      <w:sz w:val="20"/>
      <w:szCs w:val="20"/>
    </w:rPr>
  </w:style>
  <w:style w:type="paragraph" w:customStyle="1" w:styleId="xl240">
    <w:name w:val="xl240"/>
    <w:basedOn w:val="a6"/>
    <w:qFormat/>
    <w:pPr>
      <w:widowControl/>
      <w:pBdr>
        <w:left w:val="single" w:sz="4" w:space="0" w:color="auto"/>
      </w:pBdr>
      <w:spacing w:before="100" w:beforeAutospacing="1" w:after="100" w:afterAutospacing="1"/>
      <w:jc w:val="left"/>
      <w:textAlignment w:val="bottom"/>
    </w:pPr>
    <w:rPr>
      <w:rFonts w:ascii="宋体" w:hAnsi="宋体" w:cs="宋体"/>
      <w:kern w:val="0"/>
      <w:sz w:val="24"/>
    </w:rPr>
  </w:style>
  <w:style w:type="paragraph" w:customStyle="1" w:styleId="xl171">
    <w:name w:val="xl171"/>
    <w:basedOn w:val="a6"/>
    <w:qFormat/>
    <w:pPr>
      <w:widowControl/>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Unicode MS" w:eastAsia="Arial Unicode MS" w:hAnsi="Arial Unicode MS" w:cs="Arial Unicode MS"/>
      <w:color w:val="000000"/>
      <w:kern w:val="0"/>
      <w:sz w:val="24"/>
      <w:szCs w:val="21"/>
    </w:rPr>
  </w:style>
  <w:style w:type="paragraph" w:customStyle="1" w:styleId="xl242">
    <w:name w:val="xl242"/>
    <w:basedOn w:val="a6"/>
    <w:qFormat/>
    <w:pPr>
      <w:widowControl/>
      <w:pBdr>
        <w:top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175">
    <w:name w:val="xl175"/>
    <w:basedOn w:val="a6"/>
    <w:qFormat/>
    <w:pPr>
      <w:widowControl/>
      <w:pBdr>
        <w:top w:val="double" w:sz="6" w:space="0" w:color="auto"/>
        <w:right w:val="single" w:sz="4" w:space="0" w:color="auto"/>
      </w:pBdr>
      <w:spacing w:before="100" w:beforeAutospacing="1" w:after="100" w:afterAutospacing="1" w:line="360" w:lineRule="auto"/>
      <w:jc w:val="center"/>
      <w:textAlignment w:val="center"/>
    </w:pPr>
    <w:rPr>
      <w:rFonts w:eastAsia="Arial Unicode MS" w:cs="宋体"/>
      <w:color w:val="000000"/>
      <w:kern w:val="0"/>
      <w:sz w:val="20"/>
      <w:szCs w:val="20"/>
    </w:rPr>
  </w:style>
  <w:style w:type="paragraph" w:customStyle="1" w:styleId="xl259">
    <w:name w:val="xl259"/>
    <w:basedOn w:val="a6"/>
    <w:qFormat/>
    <w:pPr>
      <w:widowControl/>
      <w:pBdr>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77">
    <w:name w:val="xl177"/>
    <w:basedOn w:val="a6"/>
    <w:qFormat/>
    <w:pPr>
      <w:widowControl/>
      <w:pBdr>
        <w:top w:val="single" w:sz="4" w:space="0" w:color="auto"/>
        <w:bottom w:val="double" w:sz="6" w:space="0" w:color="auto"/>
        <w:right w:val="single" w:sz="4" w:space="0" w:color="auto"/>
      </w:pBdr>
      <w:spacing w:before="100" w:beforeAutospacing="1" w:after="100" w:afterAutospacing="1" w:line="360" w:lineRule="auto"/>
      <w:jc w:val="center"/>
      <w:textAlignment w:val="center"/>
    </w:pPr>
    <w:rPr>
      <w:rFonts w:eastAsia="Arial Unicode MS" w:cs="宋体"/>
      <w:kern w:val="0"/>
      <w:sz w:val="20"/>
      <w:szCs w:val="20"/>
    </w:rPr>
  </w:style>
  <w:style w:type="paragraph" w:customStyle="1" w:styleId="xl245">
    <w:name w:val="xl245"/>
    <w:basedOn w:val="a6"/>
    <w:qFormat/>
    <w:pPr>
      <w:widowControl/>
      <w:pBdr>
        <w:top w:val="single" w:sz="4" w:space="0" w:color="auto"/>
        <w:left w:val="single" w:sz="4" w:space="0" w:color="auto"/>
      </w:pBdr>
      <w:spacing w:before="100" w:beforeAutospacing="1" w:after="100" w:afterAutospacing="1"/>
      <w:jc w:val="center"/>
    </w:pPr>
    <w:rPr>
      <w:rFonts w:ascii="宋体" w:hAnsi="宋体" w:cs="宋体"/>
      <w:kern w:val="0"/>
      <w:sz w:val="20"/>
      <w:szCs w:val="20"/>
    </w:rPr>
  </w:style>
  <w:style w:type="paragraph" w:customStyle="1" w:styleId="xl178">
    <w:name w:val="xl178"/>
    <w:basedOn w:val="a6"/>
    <w:qFormat/>
    <w:pPr>
      <w:widowControl/>
      <w:pBdr>
        <w:top w:val="single" w:sz="4" w:space="0" w:color="auto"/>
        <w:bottom w:val="double" w:sz="6" w:space="0" w:color="auto"/>
        <w:right w:val="single" w:sz="4" w:space="0" w:color="auto"/>
      </w:pBdr>
      <w:spacing w:before="100" w:beforeAutospacing="1" w:after="100" w:afterAutospacing="1" w:line="360" w:lineRule="auto"/>
      <w:jc w:val="center"/>
      <w:textAlignment w:val="center"/>
    </w:pPr>
    <w:rPr>
      <w:rFonts w:ascii="Arial Unicode MS" w:eastAsia="Arial Unicode MS" w:hAnsi="Arial Unicode MS" w:cs="Arial Unicode MS"/>
      <w:kern w:val="0"/>
      <w:sz w:val="20"/>
      <w:szCs w:val="20"/>
    </w:rPr>
  </w:style>
  <w:style w:type="paragraph" w:customStyle="1" w:styleId="xl232">
    <w:name w:val="xl232"/>
    <w:basedOn w:val="a6"/>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fffffffffffffffffffffffffffffffffffffffff9">
    <w:name w:val="表格左对齐"/>
    <w:basedOn w:val="a6"/>
    <w:qFormat/>
    <w:pPr>
      <w:widowControl/>
      <w:adjustRightInd w:val="0"/>
      <w:snapToGrid w:val="0"/>
      <w:spacing w:line="360" w:lineRule="auto"/>
      <w:jc w:val="left"/>
      <w:textAlignment w:val="baseline"/>
    </w:pPr>
    <w:rPr>
      <w:rFonts w:ascii="宋体" w:hAnsi="Arial" w:cs="宋体"/>
      <w:bCs/>
      <w:kern w:val="0"/>
      <w:sz w:val="24"/>
      <w:szCs w:val="20"/>
    </w:rPr>
  </w:style>
  <w:style w:type="paragraph" w:customStyle="1" w:styleId="xl247">
    <w:name w:val="xl247"/>
    <w:basedOn w:val="a6"/>
    <w:qFormat/>
    <w:pPr>
      <w:widowControl/>
      <w:pBdr>
        <w:left w:val="single" w:sz="4" w:space="0" w:color="auto"/>
        <w:bottom w:val="single" w:sz="4" w:space="0" w:color="auto"/>
      </w:pBdr>
      <w:spacing w:before="100" w:beforeAutospacing="1" w:after="100" w:afterAutospacing="1"/>
      <w:jc w:val="center"/>
    </w:pPr>
    <w:rPr>
      <w:rFonts w:ascii="宋体" w:hAnsi="宋体" w:cs="宋体"/>
      <w:kern w:val="0"/>
      <w:sz w:val="20"/>
      <w:szCs w:val="20"/>
    </w:rPr>
  </w:style>
  <w:style w:type="paragraph" w:customStyle="1" w:styleId="3ffff">
    <w:name w:val="标3"/>
    <w:qFormat/>
    <w:pPr>
      <w:spacing w:line="300" w:lineRule="auto"/>
    </w:pPr>
    <w:rPr>
      <w:rFonts w:ascii="Arial" w:eastAsia="楷体_GB2312" w:hAnsi="Arial"/>
      <w:kern w:val="2"/>
      <w:sz w:val="24"/>
      <w:szCs w:val="24"/>
    </w:rPr>
  </w:style>
  <w:style w:type="paragraph" w:customStyle="1" w:styleId="afffffffffffffffffffffffffffffffffffffffffa">
    <w:name w:val="表格与图片标题"/>
    <w:basedOn w:val="a6"/>
    <w:qFormat/>
    <w:pPr>
      <w:adjustRightInd w:val="0"/>
      <w:snapToGrid w:val="0"/>
      <w:spacing w:line="360" w:lineRule="auto"/>
      <w:jc w:val="center"/>
    </w:pPr>
    <w:rPr>
      <w:rFonts w:cs="宋体"/>
      <w:b/>
      <w:sz w:val="24"/>
      <w:szCs w:val="21"/>
    </w:rPr>
  </w:style>
  <w:style w:type="paragraph" w:customStyle="1" w:styleId="Char1CharCharCharCharCharCharCharChar1">
    <w:name w:val="Char1 Char Char Char Char Char Char Char Char1"/>
    <w:basedOn w:val="a6"/>
    <w:qFormat/>
    <w:pPr>
      <w:widowControl/>
      <w:jc w:val="left"/>
    </w:pPr>
    <w:rPr>
      <w:rFonts w:cs="宋体"/>
      <w:kern w:val="0"/>
      <w:sz w:val="24"/>
    </w:rPr>
  </w:style>
  <w:style w:type="paragraph" w:customStyle="1" w:styleId="CYQ41">
    <w:name w:val="CYQ标题4 样式1"/>
    <w:basedOn w:val="41"/>
    <w:qFormat/>
    <w:pPr>
      <w:keepLines w:val="0"/>
      <w:adjustRightInd/>
      <w:snapToGrid/>
      <w:spacing w:beforeLines="0" w:before="0" w:line="360" w:lineRule="auto"/>
      <w:ind w:firstLineChars="200" w:firstLine="560"/>
    </w:pPr>
    <w:rPr>
      <w:rFonts w:ascii="Times New Roman" w:eastAsia="宋体" w:hAnsi="Times New Roman"/>
      <w:bCs w:val="0"/>
      <w:kern w:val="0"/>
      <w:sz w:val="24"/>
      <w:szCs w:val="28"/>
    </w:rPr>
  </w:style>
  <w:style w:type="paragraph" w:customStyle="1" w:styleId="CYQ51">
    <w:name w:val="CYQ标题5样式1"/>
    <w:basedOn w:val="a6"/>
    <w:qFormat/>
    <w:pPr>
      <w:widowControl/>
      <w:spacing w:line="360" w:lineRule="auto"/>
      <w:ind w:firstLineChars="200" w:firstLine="560"/>
      <w:jc w:val="left"/>
    </w:pPr>
    <w:rPr>
      <w:rFonts w:cs="宋体"/>
      <w:kern w:val="0"/>
      <w:sz w:val="28"/>
    </w:rPr>
  </w:style>
  <w:style w:type="paragraph" w:customStyle="1" w:styleId="Char211">
    <w:name w:val="样式  Char + 首行缩进:  2 字符1"/>
    <w:basedOn w:val="Char80"/>
    <w:qFormat/>
    <w:pPr>
      <w:spacing w:after="0" w:line="360" w:lineRule="auto"/>
      <w:ind w:firstLineChars="200" w:firstLine="480"/>
      <w:jc w:val="both"/>
    </w:pPr>
    <w:rPr>
      <w:rFonts w:ascii="宋体" w:eastAsia="宋体" w:hAnsi="宋体" w:cs="宋体"/>
      <w:b w:val="0"/>
      <w:kern w:val="2"/>
      <w:szCs w:val="20"/>
      <w:lang w:eastAsia="zh-CN"/>
    </w:rPr>
  </w:style>
  <w:style w:type="paragraph" w:customStyle="1" w:styleId="CYQ">
    <w:name w:val="CYQ表格名称四号字体"/>
    <w:basedOn w:val="a6"/>
    <w:qFormat/>
    <w:pPr>
      <w:widowControl/>
      <w:spacing w:line="360" w:lineRule="atLeast"/>
      <w:ind w:firstLineChars="100" w:firstLine="240"/>
      <w:jc w:val="center"/>
    </w:pPr>
    <w:rPr>
      <w:rFonts w:ascii="黑体" w:eastAsia="黑体" w:cs="宋体"/>
      <w:kern w:val="0"/>
      <w:sz w:val="24"/>
    </w:rPr>
  </w:style>
  <w:style w:type="paragraph" w:customStyle="1" w:styleId="014">
    <w:name w:val="表格标题01"/>
    <w:basedOn w:val="a6"/>
    <w:qFormat/>
    <w:pPr>
      <w:adjustRightInd w:val="0"/>
      <w:spacing w:line="480" w:lineRule="exact"/>
      <w:jc w:val="center"/>
      <w:textAlignment w:val="baseline"/>
    </w:pPr>
    <w:rPr>
      <w:snapToGrid w:val="0"/>
      <w:kern w:val="0"/>
      <w:sz w:val="28"/>
      <w:szCs w:val="28"/>
    </w:rPr>
  </w:style>
  <w:style w:type="paragraph" w:customStyle="1" w:styleId="afffffffffffffffffffffffffffffffffffffffffb">
    <w:name w:val="数字编号（二级）"/>
    <w:qFormat/>
    <w:pPr>
      <w:spacing w:line="360" w:lineRule="auto"/>
    </w:pPr>
    <w:rPr>
      <w:rFonts w:ascii="宋体"/>
      <w:sz w:val="21"/>
    </w:rPr>
  </w:style>
  <w:style w:type="paragraph" w:customStyle="1" w:styleId="afffffffffffffffffffffffffffffffffffffffffc">
    <w:name w:val="图形中文字"/>
    <w:basedOn w:val="a6"/>
    <w:qFormat/>
    <w:pPr>
      <w:autoSpaceDE w:val="0"/>
      <w:autoSpaceDN w:val="0"/>
      <w:adjustRightInd w:val="0"/>
      <w:spacing w:line="460" w:lineRule="exact"/>
      <w:jc w:val="center"/>
    </w:pPr>
    <w:rPr>
      <w:rFonts w:ascii="宋体" w:hAnsi="Tms Rmn"/>
      <w:kern w:val="0"/>
      <w:sz w:val="24"/>
      <w:szCs w:val="20"/>
    </w:rPr>
  </w:style>
  <w:style w:type="paragraph" w:customStyle="1" w:styleId="afffffffffffffffffffffffffffffffffffffffffd">
    <w:name w:val="页眉，无横线"/>
    <w:basedOn w:val="aff2"/>
    <w:qFormat/>
    <w:pPr>
      <w:pBdr>
        <w:bottom w:val="none" w:sz="0" w:space="0" w:color="auto"/>
      </w:pBdr>
      <w:tabs>
        <w:tab w:val="clear" w:pos="4680"/>
        <w:tab w:val="clear" w:pos="9360"/>
        <w:tab w:val="center" w:pos="4153"/>
        <w:tab w:val="right" w:pos="8306"/>
      </w:tabs>
      <w:adjustRightInd w:val="0"/>
      <w:snapToGrid w:val="0"/>
      <w:ind w:firstLine="567"/>
      <w:jc w:val="both"/>
    </w:pPr>
    <w:rPr>
      <w:rFonts w:ascii="宋体" w:hAnsi="Times New Roman"/>
      <w:kern w:val="2"/>
      <w:sz w:val="18"/>
      <w:szCs w:val="20"/>
    </w:rPr>
  </w:style>
  <w:style w:type="paragraph" w:customStyle="1" w:styleId="1fffffff9">
    <w:name w:val="样式 标题 1 + 宋体"/>
    <w:basedOn w:val="12"/>
    <w:qFormat/>
    <w:pPr>
      <w:spacing w:before="0" w:afterLines="50" w:after="0" w:line="420" w:lineRule="auto"/>
    </w:pPr>
    <w:rPr>
      <w:rFonts w:ascii="宋体" w:hAnsi="宋体"/>
      <w:sz w:val="32"/>
    </w:rPr>
  </w:style>
  <w:style w:type="paragraph" w:customStyle="1" w:styleId="21121122Char1sect12H2H21R2h2Leve">
    <w:name w:val="样式 标题 21.1标题 21.1标题2标题 2 Char1节sect 1.2H2H21R2h2Leve..."/>
    <w:basedOn w:val="22"/>
    <w:qFormat/>
    <w:pPr>
      <w:widowControl/>
      <w:tabs>
        <w:tab w:val="left" w:pos="567"/>
        <w:tab w:val="left" w:pos="998"/>
      </w:tabs>
      <w:spacing w:line="336" w:lineRule="auto"/>
      <w:ind w:left="567" w:hanging="567"/>
    </w:pPr>
    <w:rPr>
      <w:rFonts w:cs="宋体"/>
      <w:b/>
      <w:bCs w:val="0"/>
      <w:spacing w:val="0"/>
      <w:w w:val="100"/>
      <w:kern w:val="2"/>
      <w:szCs w:val="20"/>
    </w:rPr>
  </w:style>
  <w:style w:type="paragraph" w:customStyle="1" w:styleId="33Char">
    <w:name w:val="样式 标题 3标题 3 Char + 海绿"/>
    <w:basedOn w:val="33"/>
    <w:qFormat/>
    <w:pPr>
      <w:keepLines w:val="0"/>
      <w:tabs>
        <w:tab w:val="left" w:pos="720"/>
        <w:tab w:val="left" w:pos="840"/>
        <w:tab w:val="left" w:pos="1200"/>
      </w:tabs>
      <w:autoSpaceDE w:val="0"/>
      <w:autoSpaceDN w:val="0"/>
      <w:adjustRightInd w:val="0"/>
      <w:snapToGrid w:val="0"/>
      <w:spacing w:line="360" w:lineRule="auto"/>
      <w:ind w:leftChars="400" w:left="409" w:hangingChars="200" w:hanging="409"/>
    </w:pPr>
    <w:rPr>
      <w:rFonts w:eastAsia="宋体"/>
      <w:bCs/>
      <w:color w:val="000000"/>
      <w:spacing w:val="0"/>
      <w:szCs w:val="28"/>
    </w:rPr>
  </w:style>
  <w:style w:type="paragraph" w:customStyle="1" w:styleId="afffffffffffffffffffffffffffffffffffffffffe">
    <w:name w:val="编制日期"/>
    <w:basedOn w:val="a6"/>
    <w:qFormat/>
    <w:pPr>
      <w:keepNext/>
      <w:widowControl/>
      <w:snapToGrid w:val="0"/>
      <w:spacing w:line="300" w:lineRule="auto"/>
      <w:jc w:val="center"/>
    </w:pPr>
    <w:rPr>
      <w:rFonts w:ascii="宋体" w:cs="宋体"/>
      <w:kern w:val="0"/>
      <w:sz w:val="32"/>
      <w:szCs w:val="20"/>
    </w:rPr>
  </w:style>
  <w:style w:type="paragraph" w:customStyle="1" w:styleId="affffffffffffffffffffffffffffffffffffffffff">
    <w:name w:val="前言目次"/>
    <w:basedOn w:val="affffffffffffffffffffffffd"/>
    <w:qFormat/>
    <w:pPr>
      <w:keepNext/>
      <w:widowControl w:val="0"/>
      <w:snapToGrid w:val="0"/>
      <w:spacing w:beforeLines="50" w:afterLines="0" w:line="300" w:lineRule="auto"/>
      <w:ind w:firstLine="0"/>
      <w:jc w:val="left"/>
    </w:pPr>
    <w:rPr>
      <w:rFonts w:ascii="宋体" w:eastAsia="宋体"/>
      <w:b/>
      <w:kern w:val="2"/>
      <w:sz w:val="28"/>
    </w:rPr>
  </w:style>
  <w:style w:type="paragraph" w:customStyle="1" w:styleId="Normal2">
    <w:name w:val="Normal2"/>
    <w:qFormat/>
    <w:pPr>
      <w:widowControl w:val="0"/>
      <w:adjustRightInd w:val="0"/>
      <w:spacing w:line="360" w:lineRule="atLeast"/>
    </w:pPr>
    <w:rPr>
      <w:rFonts w:ascii="宋体" w:hint="eastAsia"/>
      <w:sz w:val="34"/>
    </w:rPr>
  </w:style>
  <w:style w:type="paragraph" w:customStyle="1" w:styleId="1052">
    <w:name w:val="样式 标题 1 + 段后: 0.5 行"/>
    <w:basedOn w:val="12"/>
    <w:qFormat/>
    <w:pPr>
      <w:tabs>
        <w:tab w:val="left" w:pos="432"/>
      </w:tabs>
      <w:spacing w:before="0" w:afterLines="50" w:after="0" w:line="240" w:lineRule="auto"/>
      <w:ind w:left="431" w:hanging="431"/>
    </w:pPr>
    <w:rPr>
      <w:rFonts w:ascii="黑体" w:cs="宋体"/>
      <w:b w:val="0"/>
      <w:bCs w:val="0"/>
      <w:sz w:val="28"/>
      <w:szCs w:val="20"/>
    </w:rPr>
  </w:style>
  <w:style w:type="paragraph" w:customStyle="1" w:styleId="xl1045">
    <w:name w:val="xl1045"/>
    <w:basedOn w:val="a6"/>
    <w:qFormat/>
    <w:pPr>
      <w:widowControl/>
      <w:pBdr>
        <w:top w:val="single" w:sz="4" w:space="0" w:color="auto"/>
        <w:left w:val="single" w:sz="4" w:space="0" w:color="auto"/>
        <w:bottom w:val="single" w:sz="4" w:space="0" w:color="auto"/>
      </w:pBdr>
      <w:shd w:val="clear" w:color="000000" w:fill="0070C0"/>
      <w:spacing w:before="100" w:beforeAutospacing="1" w:after="100" w:afterAutospacing="1"/>
      <w:jc w:val="center"/>
    </w:pPr>
    <w:rPr>
      <w:rFonts w:ascii="Arial" w:hAnsi="Arial" w:cs="Arial"/>
      <w:kern w:val="0"/>
      <w:sz w:val="18"/>
      <w:szCs w:val="18"/>
    </w:rPr>
  </w:style>
  <w:style w:type="paragraph" w:customStyle="1" w:styleId="2123">
    <w:name w:val="样式 样式 表格文字 + 首行缩进:  2 字符1 + 首行缩进:  2 字符"/>
    <w:basedOn w:val="a6"/>
    <w:qFormat/>
    <w:pPr>
      <w:widowControl/>
      <w:spacing w:line="0" w:lineRule="atLeast"/>
      <w:jc w:val="center"/>
    </w:pPr>
    <w:rPr>
      <w:rFonts w:ascii="宋体" w:cs="宋体"/>
      <w:kern w:val="0"/>
      <w:sz w:val="28"/>
      <w:szCs w:val="20"/>
    </w:rPr>
  </w:style>
  <w:style w:type="paragraph" w:customStyle="1" w:styleId="09">
    <w:name w:val="样式 正文首行缩进 + 居中 首行缩进:  0 厘米"/>
    <w:basedOn w:val="affc"/>
    <w:qFormat/>
    <w:pPr>
      <w:tabs>
        <w:tab w:val="left" w:pos="628"/>
        <w:tab w:val="left" w:pos="1727"/>
        <w:tab w:val="left" w:pos="1884"/>
      </w:tabs>
      <w:spacing w:line="300" w:lineRule="auto"/>
      <w:ind w:firstLine="0"/>
      <w:jc w:val="center"/>
      <w:outlineLvl w:val="0"/>
    </w:pPr>
    <w:rPr>
      <w:rFonts w:cs="宋体"/>
      <w:bCs w:val="0"/>
      <w:spacing w:val="0"/>
      <w:kern w:val="2"/>
      <w:sz w:val="21"/>
      <w:szCs w:val="21"/>
    </w:rPr>
  </w:style>
  <w:style w:type="paragraph" w:customStyle="1" w:styleId="BodyTextIndent22">
    <w:name w:val="Body Text Indent 22"/>
    <w:basedOn w:val="a6"/>
    <w:qFormat/>
    <w:pPr>
      <w:adjustRightInd w:val="0"/>
      <w:ind w:firstLine="425"/>
      <w:jc w:val="left"/>
    </w:pPr>
    <w:rPr>
      <w:sz w:val="24"/>
      <w:szCs w:val="20"/>
    </w:rPr>
  </w:style>
  <w:style w:type="paragraph" w:customStyle="1" w:styleId="01111">
    <w:name w:val="样式 五号 首行缩进:  0 厘米 段前: 11 磅 段后: 11 磅"/>
    <w:basedOn w:val="a6"/>
    <w:qFormat/>
    <w:pPr>
      <w:widowControl/>
      <w:tabs>
        <w:tab w:val="left" w:pos="1727"/>
        <w:tab w:val="left" w:pos="1884"/>
      </w:tabs>
      <w:spacing w:before="220" w:after="220" w:line="300" w:lineRule="auto"/>
      <w:jc w:val="left"/>
      <w:outlineLvl w:val="0"/>
    </w:pPr>
    <w:rPr>
      <w:rFonts w:ascii="宋体" w:cs="宋体"/>
      <w:kern w:val="0"/>
      <w:sz w:val="24"/>
      <w:szCs w:val="21"/>
    </w:rPr>
  </w:style>
  <w:style w:type="paragraph" w:customStyle="1" w:styleId="xl1000">
    <w:name w:val="xl1000"/>
    <w:basedOn w:val="a6"/>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1120">
    <w:name w:val="样式 宋体 11 磅 黑色 居中 行距: 最小值 2 磅"/>
    <w:basedOn w:val="a6"/>
    <w:qFormat/>
    <w:pPr>
      <w:widowControl/>
      <w:tabs>
        <w:tab w:val="left" w:pos="1727"/>
        <w:tab w:val="left" w:pos="1884"/>
      </w:tabs>
      <w:adjustRightInd w:val="0"/>
      <w:snapToGrid w:val="0"/>
      <w:spacing w:line="40" w:lineRule="atLeast"/>
      <w:ind w:firstLineChars="200" w:firstLine="560"/>
      <w:jc w:val="center"/>
    </w:pPr>
    <w:rPr>
      <w:rFonts w:ascii="宋体" w:hAnsi="宋体" w:cs="宋体"/>
      <w:color w:val="000000"/>
      <w:kern w:val="0"/>
      <w:sz w:val="22"/>
      <w:szCs w:val="20"/>
    </w:rPr>
  </w:style>
  <w:style w:type="paragraph" w:customStyle="1" w:styleId="4ff7">
    <w:name w:val="标题4，四级标题"/>
    <w:basedOn w:val="a6"/>
    <w:next w:val="a6"/>
    <w:semiHidden/>
    <w:qFormat/>
    <w:pPr>
      <w:widowControl/>
      <w:adjustRightInd w:val="0"/>
      <w:snapToGrid w:val="0"/>
      <w:spacing w:line="300" w:lineRule="auto"/>
      <w:ind w:firstLineChars="200" w:firstLine="560"/>
      <w:jc w:val="left"/>
      <w:outlineLvl w:val="3"/>
    </w:pPr>
    <w:rPr>
      <w:rFonts w:cs="宋体"/>
      <w:kern w:val="0"/>
      <w:sz w:val="28"/>
    </w:rPr>
  </w:style>
  <w:style w:type="paragraph" w:customStyle="1" w:styleId="affffffffffffffffffffffffffffffffffffffffff0">
    <w:name w:val="三级四级标题"/>
    <w:basedOn w:val="41"/>
    <w:semiHidden/>
    <w:qFormat/>
    <w:pPr>
      <w:keepNext w:val="0"/>
      <w:tabs>
        <w:tab w:val="left" w:pos="-280"/>
      </w:tabs>
      <w:spacing w:beforeLines="0" w:before="0" w:line="300" w:lineRule="auto"/>
      <w:jc w:val="left"/>
    </w:pPr>
    <w:rPr>
      <w:rFonts w:ascii="Times New Roman" w:eastAsia="宋体" w:hAnsi="Times New Roman"/>
      <w:bCs w:val="0"/>
      <w:sz w:val="24"/>
      <w:szCs w:val="28"/>
    </w:rPr>
  </w:style>
  <w:style w:type="paragraph" w:customStyle="1" w:styleId="09921">
    <w:name w:val="样式 左侧:  0.99 厘米 首行缩进:  2 字符1"/>
    <w:basedOn w:val="a6"/>
    <w:next w:val="a6"/>
    <w:semiHidden/>
    <w:qFormat/>
    <w:pPr>
      <w:widowControl/>
      <w:adjustRightInd w:val="0"/>
      <w:snapToGrid w:val="0"/>
      <w:spacing w:line="300" w:lineRule="auto"/>
      <w:ind w:firstLineChars="200" w:firstLine="560"/>
      <w:jc w:val="left"/>
    </w:pPr>
    <w:rPr>
      <w:rFonts w:cs="宋体"/>
      <w:kern w:val="0"/>
      <w:sz w:val="28"/>
      <w:szCs w:val="20"/>
    </w:rPr>
  </w:style>
  <w:style w:type="paragraph" w:customStyle="1" w:styleId="xl248">
    <w:name w:val="xl248"/>
    <w:basedOn w:val="a6"/>
    <w:qFormat/>
    <w:pPr>
      <w:widowControl/>
      <w:pBdr>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234">
    <w:name w:val="xl234"/>
    <w:basedOn w:val="a6"/>
    <w:qFormat/>
    <w:pPr>
      <w:widowControl/>
      <w:pBdr>
        <w:top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5ffb">
    <w:name w:val="标题5  国寰公司"/>
    <w:basedOn w:val="5-"/>
    <w:qFormat/>
  </w:style>
  <w:style w:type="paragraph" w:customStyle="1" w:styleId="TimesNewRoman3">
    <w:name w:val="样式 题注 + (西文) Times New Roman (中文) 宋体 小四 加粗 黑色 居中 段前: 3 磅 ..."/>
    <w:basedOn w:val="af1"/>
    <w:qFormat/>
    <w:pPr>
      <w:widowControl w:val="0"/>
      <w:adjustRightInd w:val="0"/>
      <w:spacing w:afterLines="100" w:line="360" w:lineRule="auto"/>
      <w:ind w:firstLineChars="0" w:firstLine="0"/>
      <w:jc w:val="center"/>
      <w:textAlignment w:val="baseline"/>
    </w:pPr>
    <w:rPr>
      <w:rFonts w:cs="宋体"/>
      <w:bCs/>
      <w:color w:val="000000"/>
      <w:kern w:val="0"/>
      <w:szCs w:val="20"/>
    </w:rPr>
  </w:style>
  <w:style w:type="paragraph" w:customStyle="1" w:styleId="dxj1">
    <w:name w:val="dxj表内容"/>
    <w:basedOn w:val="a6"/>
    <w:next w:val="a6"/>
    <w:qFormat/>
    <w:pPr>
      <w:spacing w:line="280" w:lineRule="exact"/>
      <w:jc w:val="center"/>
    </w:pPr>
    <w:rPr>
      <w:sz w:val="18"/>
      <w:szCs w:val="18"/>
    </w:rPr>
  </w:style>
  <w:style w:type="paragraph" w:customStyle="1" w:styleId="-0061">
    <w:name w:val="样式 表格文字居中 + 右侧:  -0.06 字符1"/>
    <w:basedOn w:val="affff5"/>
    <w:qFormat/>
    <w:pPr>
      <w:keepNext/>
      <w:snapToGrid/>
      <w:ind w:leftChars="0" w:left="0" w:rightChars="0" w:right="-17"/>
    </w:pPr>
    <w:rPr>
      <w:rFonts w:ascii="宋体" w:eastAsia="宋体" w:hAnsi="宋体" w:cs="宋体"/>
      <w:color w:val="000000"/>
      <w:spacing w:val="-20"/>
      <w:szCs w:val="20"/>
    </w:rPr>
  </w:style>
  <w:style w:type="paragraph" w:customStyle="1" w:styleId="CharCharCharCharCharCharCharCharCharCharCharCharCharCharCharCharCharCharCharCharCharCharCharChar4">
    <w:name w:val="Char Char Char Char Char Char Char Char Char Char Char Char Char Char Char Char Char Char Char Char Char Char Char Char4"/>
    <w:basedOn w:val="a6"/>
    <w:qFormat/>
    <w:pPr>
      <w:widowControl/>
      <w:spacing w:line="360" w:lineRule="auto"/>
      <w:jc w:val="left"/>
    </w:pPr>
    <w:rPr>
      <w:szCs w:val="21"/>
    </w:rPr>
  </w:style>
  <w:style w:type="paragraph" w:customStyle="1" w:styleId="xl1019">
    <w:name w:val="xl1019"/>
    <w:basedOn w:val="a6"/>
    <w:qFormat/>
    <w:pPr>
      <w:widowControl/>
      <w:pBdr>
        <w:top w:val="single" w:sz="4" w:space="0" w:color="auto"/>
        <w:left w:val="single" w:sz="4" w:space="0" w:color="auto"/>
        <w:right w:val="single" w:sz="4" w:space="0" w:color="auto"/>
      </w:pBdr>
      <w:shd w:val="clear" w:color="000000" w:fill="00B050"/>
      <w:spacing w:before="100" w:beforeAutospacing="1" w:after="100" w:afterAutospacing="1"/>
      <w:jc w:val="center"/>
    </w:pPr>
    <w:rPr>
      <w:rFonts w:ascii="Arial" w:hAnsi="Arial" w:cs="Arial"/>
      <w:kern w:val="0"/>
      <w:sz w:val="18"/>
      <w:szCs w:val="18"/>
    </w:rPr>
  </w:style>
  <w:style w:type="paragraph" w:customStyle="1" w:styleId="xl989">
    <w:name w:val="xl989"/>
    <w:basedOn w:val="a6"/>
    <w:qFormat/>
    <w:pPr>
      <w:widowControl/>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left"/>
    </w:pPr>
    <w:rPr>
      <w:rFonts w:ascii="宋体" w:hAnsi="宋体" w:cs="宋体"/>
      <w:kern w:val="0"/>
      <w:sz w:val="18"/>
      <w:szCs w:val="18"/>
    </w:rPr>
  </w:style>
  <w:style w:type="paragraph" w:customStyle="1" w:styleId="xl1048">
    <w:name w:val="xl1048"/>
    <w:basedOn w:val="a6"/>
    <w:qFormat/>
    <w:pPr>
      <w:widowControl/>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jc w:val="center"/>
    </w:pPr>
    <w:rPr>
      <w:rFonts w:ascii="Arial" w:hAnsi="Arial" w:cs="Arial"/>
      <w:kern w:val="0"/>
      <w:sz w:val="18"/>
      <w:szCs w:val="18"/>
    </w:rPr>
  </w:style>
  <w:style w:type="paragraph" w:customStyle="1" w:styleId="xl991">
    <w:name w:val="xl991"/>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kern w:val="0"/>
      <w:sz w:val="18"/>
      <w:szCs w:val="18"/>
    </w:rPr>
  </w:style>
  <w:style w:type="paragraph" w:customStyle="1" w:styleId="xl997">
    <w:name w:val="xl997"/>
    <w:basedOn w:val="a6"/>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066">
    <w:name w:val="xl1066"/>
    <w:basedOn w:val="a6"/>
    <w:qFormat/>
    <w:pPr>
      <w:widowControl/>
      <w:pBdr>
        <w:top w:val="single" w:sz="8" w:space="0" w:color="FFFF00"/>
        <w:left w:val="single" w:sz="4" w:space="0" w:color="auto"/>
        <w:bottom w:val="single" w:sz="8" w:space="0" w:color="FFFF00"/>
        <w:right w:val="single" w:sz="8" w:space="0" w:color="FFFF00"/>
      </w:pBdr>
      <w:shd w:val="clear" w:color="000000" w:fill="0070C0"/>
      <w:spacing w:before="100" w:beforeAutospacing="1" w:after="100" w:afterAutospacing="1"/>
      <w:jc w:val="center"/>
    </w:pPr>
    <w:rPr>
      <w:rFonts w:ascii="Arial" w:hAnsi="Arial" w:cs="Arial"/>
      <w:kern w:val="0"/>
      <w:sz w:val="18"/>
      <w:szCs w:val="18"/>
    </w:rPr>
  </w:style>
  <w:style w:type="paragraph" w:customStyle="1" w:styleId="xl938">
    <w:name w:val="xl93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kern w:val="0"/>
      <w:sz w:val="18"/>
      <w:szCs w:val="18"/>
    </w:rPr>
  </w:style>
  <w:style w:type="paragraph" w:customStyle="1" w:styleId="xl956">
    <w:name w:val="xl95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954">
    <w:name w:val="xl95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971">
    <w:name w:val="xl971"/>
    <w:basedOn w:val="a6"/>
    <w:qFormat/>
    <w:pPr>
      <w:widowControl/>
      <w:spacing w:before="100" w:beforeAutospacing="1" w:after="100" w:afterAutospacing="1"/>
      <w:jc w:val="left"/>
      <w:textAlignment w:val="bottom"/>
    </w:pPr>
    <w:rPr>
      <w:kern w:val="0"/>
      <w:sz w:val="24"/>
    </w:rPr>
  </w:style>
  <w:style w:type="paragraph" w:customStyle="1" w:styleId="xl959">
    <w:name w:val="xl959"/>
    <w:basedOn w:val="a6"/>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963">
    <w:name w:val="xl963"/>
    <w:basedOn w:val="a6"/>
    <w:qFormat/>
    <w:pPr>
      <w:widowControl/>
      <w:shd w:val="clear" w:color="000000" w:fill="FFFF00"/>
      <w:spacing w:before="100" w:beforeAutospacing="1" w:after="100" w:afterAutospacing="1"/>
      <w:jc w:val="left"/>
    </w:pPr>
    <w:rPr>
      <w:rFonts w:ascii="宋体" w:hAnsi="宋体" w:cs="宋体"/>
      <w:kern w:val="0"/>
      <w:sz w:val="18"/>
      <w:szCs w:val="18"/>
    </w:rPr>
  </w:style>
  <w:style w:type="paragraph" w:customStyle="1" w:styleId="xl967">
    <w:name w:val="xl96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18"/>
      <w:szCs w:val="18"/>
    </w:rPr>
  </w:style>
  <w:style w:type="paragraph" w:customStyle="1" w:styleId="xl992">
    <w:name w:val="xl99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948">
    <w:name w:val="xl94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kern w:val="0"/>
      <w:sz w:val="18"/>
      <w:szCs w:val="18"/>
    </w:rPr>
  </w:style>
  <w:style w:type="paragraph" w:customStyle="1" w:styleId="affffffffffffffffffffffffffffffffffffffffff1">
    <w:name w:val="靳佩"/>
    <w:basedOn w:val="a6"/>
    <w:next w:val="a6"/>
    <w:qFormat/>
    <w:pPr>
      <w:spacing w:line="300" w:lineRule="auto"/>
      <w:ind w:firstLineChars="200" w:firstLine="200"/>
    </w:pPr>
    <w:rPr>
      <w:sz w:val="24"/>
      <w:szCs w:val="20"/>
    </w:rPr>
  </w:style>
  <w:style w:type="table" w:customStyle="1" w:styleId="97">
    <w:name w:val="网格型9"/>
    <w:basedOn w:val="a8"/>
    <w:semiHidden/>
    <w:qFormat/>
    <w:pPr>
      <w:widowControl w:val="0"/>
      <w:spacing w:line="360" w:lineRule="auto"/>
      <w:ind w:firstLineChars="200" w:firstLine="20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s2">
    <w:name w:val="表格样式-ls2"/>
    <w:basedOn w:val="a8"/>
    <w:qFormat/>
    <w:pPr>
      <w:widowControl w:val="0"/>
      <w:adjustRightInd w:val="0"/>
      <w:spacing w:line="360" w:lineRule="exact"/>
      <w:jc w:val="center"/>
      <w:textAlignment w:val="center"/>
    </w:pPr>
    <w:rPr>
      <w:sz w:val="21"/>
      <w:szCs w:val="21"/>
    </w:rPr>
    <w:tblPr>
      <w:jc w:val="center"/>
      <w:tblInd w:w="0"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top w:w="0" w:type="dxa"/>
        <w:left w:w="108" w:type="dxa"/>
        <w:bottom w:w="0" w:type="dxa"/>
        <w:right w:w="108" w:type="dxa"/>
      </w:tblCellMar>
    </w:tblPr>
    <w:trPr>
      <w:jc w:val="center"/>
    </w:trPr>
    <w:tcPr>
      <w:shd w:val="clear" w:color="auto" w:fill="auto"/>
      <w:vAlign w:val="center"/>
    </w:tcPr>
    <w:tblStylePr w:type="firstRow">
      <w:pPr>
        <w:jc w:val="center"/>
      </w:pPr>
      <w:rPr>
        <w:b w:val="0"/>
        <w:bCs/>
        <w:color w:val="auto"/>
        <w:sz w:val="21"/>
      </w:rPr>
      <w:tblPr/>
      <w:tcPr>
        <w:shd w:val="pct20" w:color="000000" w:fill="FFFFFF"/>
      </w:tcPr>
    </w:tblStylePr>
  </w:style>
  <w:style w:type="table" w:customStyle="1" w:styleId="12f">
    <w:name w:val="网格型12"/>
    <w:basedOn w:val="a8"/>
    <w:qFormat/>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fff0">
    <w:name w:val="网格型3"/>
    <w:basedOn w:val="a8"/>
    <w:qFormat/>
    <w:pPr>
      <w:widowControl w:val="0"/>
      <w:snapToGrid w:val="0"/>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
    <w:name w:val="网格型13"/>
    <w:basedOn w:val="a8"/>
    <w:qFormat/>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s0">
    <w:name w:val="表格样式-ls"/>
    <w:basedOn w:val="a8"/>
    <w:qFormat/>
    <w:pPr>
      <w:widowControl w:val="0"/>
      <w:adjustRightInd w:val="0"/>
      <w:spacing w:line="360" w:lineRule="exact"/>
      <w:jc w:val="center"/>
      <w:textAlignment w:val="center"/>
    </w:pPr>
    <w:rPr>
      <w:sz w:val="21"/>
      <w:szCs w:val="21"/>
    </w:rPr>
    <w:tblPr>
      <w:jc w:val="center"/>
      <w:tblInd w:w="0"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top w:w="0" w:type="dxa"/>
        <w:left w:w="108" w:type="dxa"/>
        <w:bottom w:w="0" w:type="dxa"/>
        <w:right w:w="108" w:type="dxa"/>
      </w:tblCellMar>
    </w:tblPr>
    <w:trPr>
      <w:jc w:val="center"/>
    </w:trPr>
    <w:tcPr>
      <w:shd w:val="clear" w:color="auto" w:fill="auto"/>
      <w:vAlign w:val="center"/>
    </w:tcPr>
    <w:tblStylePr w:type="firstRow">
      <w:pPr>
        <w:jc w:val="center"/>
      </w:pPr>
      <w:rPr>
        <w:b w:val="0"/>
        <w:bCs/>
        <w:color w:val="auto"/>
        <w:sz w:val="21"/>
      </w:rPr>
      <w:tblPr/>
      <w:tcPr>
        <w:shd w:val="pct20" w:color="000000" w:fill="FFFFFF"/>
      </w:tcPr>
    </w:tblStylePr>
  </w:style>
  <w:style w:type="table" w:customStyle="1" w:styleId="1210">
    <w:name w:val="表格样式121"/>
    <w:basedOn w:val="afff0"/>
    <w:qFormat/>
    <w:pPr>
      <w:adjustRightInd w:val="0"/>
      <w:spacing w:line="360" w:lineRule="exact"/>
      <w:jc w:val="center"/>
      <w:textAlignment w:val="center"/>
    </w:pPr>
    <w:rPr>
      <w:szCs w:val="21"/>
    </w:rPr>
    <w:tblP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jc w:val="center"/>
      </w:pPr>
      <w:rPr>
        <w:b w:val="0"/>
        <w:bCs/>
        <w:color w:val="auto"/>
        <w:sz w:val="21"/>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2fffffff4">
    <w:name w:val="表格样式2"/>
    <w:basedOn w:val="a8"/>
    <w:qFormat/>
    <w:pPr>
      <w:jc w:val="center"/>
    </w:pPr>
    <w:rPr>
      <w:sz w:val="21"/>
    </w:rPr>
    <w:tblPr>
      <w:jc w:val="center"/>
      <w:tblInd w:w="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0" w:type="dxa"/>
        <w:left w:w="108" w:type="dxa"/>
        <w:bottom w:w="0" w:type="dxa"/>
        <w:right w:w="108" w:type="dxa"/>
      </w:tblCellMar>
    </w:tblPr>
    <w:trPr>
      <w:jc w:val="center"/>
    </w:trPr>
  </w:style>
  <w:style w:type="table" w:customStyle="1" w:styleId="79">
    <w:name w:val="网格型7"/>
    <w:basedOn w:val="a8"/>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f8">
    <w:name w:val="网格型4"/>
    <w:basedOn w:val="a8"/>
    <w:qFormat/>
    <w:pPr>
      <w:widowControl w:val="0"/>
      <w:snapToGrid w:val="0"/>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
    <w:name w:val="网格型8"/>
    <w:basedOn w:val="a8"/>
    <w:qFormat/>
    <w:pPr>
      <w:widowControl w:val="0"/>
      <w:snapToGrid w:val="0"/>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fffa">
    <w:name w:val="普通表格1"/>
    <w:semiHidden/>
    <w:qFormat/>
    <w:rPr>
      <w:rFonts w:eastAsia="Times New Roman"/>
    </w:rPr>
    <w:tblPr>
      <w:tblCellMar>
        <w:top w:w="0" w:type="dxa"/>
        <w:left w:w="108" w:type="dxa"/>
        <w:bottom w:w="0" w:type="dxa"/>
        <w:right w:w="108" w:type="dxa"/>
      </w:tblCellMar>
    </w:tblPr>
  </w:style>
  <w:style w:type="table" w:customStyle="1" w:styleId="affffffffffffffffffffffffffffffffffffffffff2">
    <w:name w:val="自定义"/>
    <w:basedOn w:val="afff"/>
    <w:qFormat/>
    <w:pPr>
      <w:spacing w:line="240" w:lineRule="auto"/>
      <w:ind w:firstLineChars="0" w:firstLine="0"/>
      <w:jc w:val="center"/>
    </w:pPr>
    <w:rPr>
      <w:sz w:val="21"/>
    </w:rPr>
    <w:tblPr>
      <w:tblInd w:w="0" w:type="dxa"/>
      <w:tblBorders>
        <w:top w:val="thinThickSmallGap" w:sz="12" w:space="0" w:color="auto"/>
        <w:left w:val="thinThickSmallGap" w:sz="12" w:space="0" w:color="auto"/>
        <w:bottom w:val="thickThinSmallGap" w:sz="12" w:space="0" w:color="auto"/>
        <w:right w:val="thickThinSmallGap" w:sz="12" w:space="0" w:color="auto"/>
      </w:tblBorders>
      <w:tblCellMar>
        <w:top w:w="0" w:type="dxa"/>
        <w:left w:w="0" w:type="dxa"/>
        <w:bottom w:w="0" w:type="dxa"/>
        <w:right w:w="0" w:type="dxa"/>
      </w:tblCellMar>
    </w:tblPr>
    <w:tcPr>
      <w:shd w:val="clear" w:color="auto" w:fill="auto"/>
      <w:vAlign w:val="center"/>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6f">
    <w:name w:val="网格型6"/>
    <w:basedOn w:val="a8"/>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d">
    <w:name w:val="自定义11"/>
    <w:basedOn w:val="58"/>
    <w:qFormat/>
    <w:pPr>
      <w:jc w:val="center"/>
    </w:pPr>
    <w:rPr>
      <w:sz w:val="21"/>
      <w:szCs w:val="21"/>
    </w:rPr>
    <w:tblPr>
      <w:tblInd w:w="0" w:type="dxa"/>
      <w:tblBorders>
        <w:top w:val="thinThickSmallGap" w:sz="12" w:space="0" w:color="auto"/>
        <w:left w:val="thinThickSmallGap" w:sz="12" w:space="0" w:color="auto"/>
        <w:bottom w:val="thickThinSmallGap" w:sz="12" w:space="0" w:color="auto"/>
        <w:right w:val="thickThinSmallGap" w:sz="12" w:space="0" w:color="auto"/>
      </w:tblBorders>
      <w:tblCellMar>
        <w:top w:w="0" w:type="dxa"/>
        <w:left w:w="0" w:type="dxa"/>
        <w:bottom w:w="0" w:type="dxa"/>
        <w:right w:w="0" w:type="dxa"/>
      </w:tblCellMar>
    </w:tblPr>
    <w:tcPr>
      <w:shd w:val="clear" w:color="auto" w:fill="auto"/>
      <w:vAlign w:val="center"/>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affffffffffffffffffffffffffffffffffffffffff3">
    <w:name w:val="张涛"/>
    <w:basedOn w:val="affe"/>
    <w:qFormat/>
    <w:pPr>
      <w:spacing w:line="240" w:lineRule="auto"/>
      <w:ind w:firstLineChars="0" w:firstLine="0"/>
    </w:pPr>
    <w:rPr>
      <w:rFonts w:ascii="宋体"/>
      <w:sz w:val="21"/>
    </w:rPr>
    <w:tblPr>
      <w:tblInd w:w="0" w:type="dxa"/>
      <w:tblBorders>
        <w:top w:val="single" w:sz="12" w:space="0" w:color="008080"/>
        <w:left w:val="single" w:sz="12" w:space="0" w:color="008080"/>
        <w:bottom w:val="single" w:sz="12" w:space="0" w:color="008080"/>
        <w:right w:val="single" w:sz="12" w:space="0" w:color="008080"/>
        <w:insideH w:val="single" w:sz="6" w:space="0" w:color="008080"/>
        <w:insideV w:val="single" w:sz="6" w:space="0" w:color="008080"/>
      </w:tblBorders>
      <w:tblCellMar>
        <w:top w:w="0" w:type="dxa"/>
        <w:left w:w="108" w:type="dxa"/>
        <w:bottom w:w="0" w:type="dxa"/>
        <w:right w:w="108" w:type="dxa"/>
      </w:tblCellMar>
    </w:tblPr>
    <w:tcPr>
      <w:shd w:val="clear" w:color="auto" w:fill="auto"/>
    </w:tcPr>
  </w:style>
  <w:style w:type="table" w:customStyle="1" w:styleId="5ffc">
    <w:name w:val="网格型5"/>
    <w:basedOn w:val="a8"/>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zxz">
    <w:name w:val="zxz"/>
    <w:basedOn w:val="a8"/>
    <w:semiHidden/>
    <w:qFormat/>
    <w:pPr>
      <w:jc w:val="center"/>
    </w:pPr>
    <w:rPr>
      <w:sz w:val="18"/>
    </w:rPr>
    <w:tblPr>
      <w:tblInd w:w="0" w:type="dxa"/>
      <w:tblBorders>
        <w:top w:val="single" w:sz="4" w:space="0" w:color="auto"/>
        <w:bottom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137">
    <w:name w:val="表格样式13"/>
    <w:basedOn w:val="afff0"/>
    <w:qFormat/>
    <w:pPr>
      <w:adjustRightInd w:val="0"/>
      <w:spacing w:line="360" w:lineRule="exact"/>
      <w:jc w:val="center"/>
      <w:textAlignment w:val="center"/>
    </w:pPr>
    <w:rPr>
      <w:rFonts w:ascii="宋体"/>
      <w:sz w:val="21"/>
      <w:szCs w:val="21"/>
    </w:rPr>
    <w:tblP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left w:w="0" w:type="dxa"/>
        <w:bottom w:w="0" w:type="dxa"/>
        <w:right w:w="0" w:type="dxa"/>
      </w:tblCellMar>
    </w:tblPr>
    <w:tcPr>
      <w:shd w:val="clear" w:color="auto" w:fill="auto"/>
      <w:vAlign w:val="center"/>
    </w:tcPr>
    <w:tblStylePr w:type="firstRow">
      <w:pPr>
        <w:jc w:val="center"/>
      </w:pPr>
      <w:rPr>
        <w:rFonts w:eastAsia="ˎ̥"/>
        <w:b w:val="0"/>
        <w:bCs/>
        <w:color w:val="auto"/>
        <w:sz w:val="21"/>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21f6">
    <w:name w:val="网格型21"/>
    <w:basedOn w:val="a8"/>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
    <w:name w:val="网格型10"/>
    <w:basedOn w:val="a8"/>
    <w:semiHidden/>
    <w:qFormat/>
    <w:pPr>
      <w:widowControl w:val="0"/>
      <w:spacing w:line="360" w:lineRule="auto"/>
      <w:ind w:firstLineChars="200" w:firstLine="20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fffb">
    <w:name w:val="网格型!1"/>
    <w:basedOn w:val="a8"/>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jw">
    <w:name w:val="ljw"/>
    <w:basedOn w:val="affe"/>
    <w:semiHidden/>
    <w:qFormat/>
    <w:pPr>
      <w:spacing w:line="440" w:lineRule="exact"/>
    </w:pPr>
    <w:rPr>
      <w:snapToGrid w:val="0"/>
      <w:sz w:val="18"/>
      <w:szCs w:val="18"/>
    </w:rPr>
    <w:tblPr>
      <w:tblInd w:w="0" w:type="dxa"/>
      <w:tblBorders>
        <w:top w:val="single" w:sz="6" w:space="0" w:color="auto"/>
        <w:bottom w:val="single" w:sz="6" w:space="0" w:color="auto"/>
        <w:insideH w:val="single" w:sz="6" w:space="0" w:color="auto"/>
        <w:insideV w:val="single" w:sz="6" w:space="0" w:color="auto"/>
      </w:tblBorders>
      <w:tblCellMar>
        <w:top w:w="0" w:type="dxa"/>
        <w:left w:w="108" w:type="dxa"/>
        <w:bottom w:w="0" w:type="dxa"/>
        <w:right w:w="108" w:type="dxa"/>
      </w:tblCellMar>
    </w:tblPr>
  </w:style>
  <w:style w:type="table" w:customStyle="1" w:styleId="affffffffffffffffffffffffffffffffffffffffff4">
    <w:name w:val="涛哥表格样式"/>
    <w:basedOn w:val="affe"/>
    <w:qFormat/>
    <w:pPr>
      <w:spacing w:line="240" w:lineRule="auto"/>
      <w:ind w:firstLineChars="0" w:firstLine="0"/>
      <w:jc w:val="center"/>
    </w:pPr>
    <w:rPr>
      <w:sz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style>
  <w:style w:type="table" w:customStyle="1" w:styleId="2fffffff5">
    <w:name w:val="自定义2"/>
    <w:basedOn w:val="afff"/>
    <w:qFormat/>
    <w:pPr>
      <w:spacing w:line="240" w:lineRule="auto"/>
      <w:ind w:firstLineChars="0" w:firstLine="0"/>
      <w:jc w:val="center"/>
    </w:pPr>
    <w:rPr>
      <w:sz w:val="21"/>
    </w:rPr>
    <w:tblPr>
      <w:tblInd w:w="0" w:type="dxa"/>
      <w:tblBorders>
        <w:top w:val="thinThickSmallGap" w:sz="12" w:space="0" w:color="auto"/>
        <w:left w:val="thinThickSmallGap" w:sz="12" w:space="0" w:color="auto"/>
        <w:bottom w:val="thickThinSmallGap" w:sz="12" w:space="0" w:color="auto"/>
        <w:right w:val="thickThinSmallGap" w:sz="12" w:space="0" w:color="auto"/>
      </w:tblBorders>
      <w:tblCellMar>
        <w:top w:w="0" w:type="dxa"/>
        <w:left w:w="0" w:type="dxa"/>
        <w:bottom w:w="0" w:type="dxa"/>
        <w:right w:w="0" w:type="dxa"/>
      </w:tblCellMar>
    </w:tblPr>
    <w:tcPr>
      <w:shd w:val="clear" w:color="auto" w:fill="auto"/>
      <w:vAlign w:val="center"/>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fffffffc">
    <w:name w:val="自定义1"/>
    <w:basedOn w:val="58"/>
    <w:qFormat/>
    <w:pPr>
      <w:jc w:val="center"/>
    </w:pPr>
    <w:rPr>
      <w:sz w:val="21"/>
      <w:szCs w:val="21"/>
    </w:rPr>
    <w:tblPr>
      <w:tblInd w:w="0" w:type="dxa"/>
      <w:tblBorders>
        <w:top w:val="thinThickSmallGap" w:sz="12" w:space="0" w:color="auto"/>
        <w:left w:val="thinThickSmallGap" w:sz="12" w:space="0" w:color="auto"/>
        <w:bottom w:val="thickThinSmallGap" w:sz="12" w:space="0" w:color="auto"/>
        <w:right w:val="thickThinSmallGap" w:sz="12" w:space="0" w:color="auto"/>
      </w:tblBorders>
      <w:tblCellMar>
        <w:top w:w="0" w:type="dxa"/>
        <w:left w:w="0" w:type="dxa"/>
        <w:bottom w:w="0" w:type="dxa"/>
        <w:right w:w="0" w:type="dxa"/>
      </w:tblCellMar>
    </w:tblPr>
    <w:tcPr>
      <w:shd w:val="clear" w:color="auto" w:fill="auto"/>
      <w:vAlign w:val="center"/>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48">
    <w:name w:val="表格样式14"/>
    <w:basedOn w:val="afff0"/>
    <w:qFormat/>
    <w:pPr>
      <w:adjustRightInd w:val="0"/>
      <w:spacing w:line="360" w:lineRule="exact"/>
      <w:jc w:val="center"/>
      <w:textAlignment w:val="center"/>
    </w:pPr>
    <w:rPr>
      <w:rFonts w:ascii="宋体"/>
      <w:sz w:val="21"/>
      <w:szCs w:val="21"/>
    </w:rPr>
    <w:tblP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left w:w="0" w:type="dxa"/>
        <w:bottom w:w="0" w:type="dxa"/>
        <w:right w:w="0" w:type="dxa"/>
      </w:tblCellMar>
    </w:tblPr>
    <w:tcPr>
      <w:shd w:val="clear" w:color="auto" w:fill="auto"/>
      <w:vAlign w:val="center"/>
    </w:tcPr>
    <w:tblStylePr w:type="firstRow">
      <w:pPr>
        <w:jc w:val="center"/>
      </w:pPr>
      <w:rPr>
        <w:rFonts w:eastAsia="ˎ̥"/>
        <w:b w:val="0"/>
        <w:bCs/>
        <w:color w:val="auto"/>
        <w:sz w:val="21"/>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affffffffffffffffffffffffffffffffffffffffff5">
    <w:name w:val="出报告用"/>
    <w:basedOn w:val="affe"/>
    <w:qFormat/>
    <w:pPr>
      <w:spacing w:line="240" w:lineRule="auto"/>
      <w:ind w:firstLineChars="0" w:firstLine="0"/>
    </w:pPr>
    <w:rPr>
      <w:rFonts w:ascii="宋体"/>
      <w:sz w:val="21"/>
    </w:rPr>
    <w:tblPr>
      <w:jc w:val="center"/>
      <w:tblInd w:w="0" w:type="dxa"/>
      <w:tblBorders>
        <w:top w:val="single" w:sz="12" w:space="0" w:color="008080"/>
        <w:left w:val="single" w:sz="12" w:space="0" w:color="008080"/>
        <w:bottom w:val="single" w:sz="12" w:space="0" w:color="008080"/>
        <w:right w:val="single" w:sz="12" w:space="0" w:color="008080"/>
        <w:insideH w:val="single" w:sz="6" w:space="0" w:color="008080"/>
        <w:insideV w:val="single" w:sz="6" w:space="0" w:color="008080"/>
      </w:tblBorders>
      <w:tblCellMar>
        <w:top w:w="0" w:type="dxa"/>
        <w:left w:w="108" w:type="dxa"/>
        <w:bottom w:w="0" w:type="dxa"/>
        <w:right w:w="108" w:type="dxa"/>
      </w:tblCellMar>
    </w:tblPr>
    <w:trPr>
      <w:jc w:val="center"/>
    </w:trPr>
    <w:tcPr>
      <w:shd w:val="clear" w:color="auto" w:fill="auto"/>
      <w:vAlign w:val="center"/>
    </w:tcPr>
  </w:style>
  <w:style w:type="table" w:customStyle="1" w:styleId="1310">
    <w:name w:val="表格样式131"/>
    <w:basedOn w:val="afff0"/>
    <w:qFormat/>
    <w:pPr>
      <w:adjustRightInd w:val="0"/>
      <w:spacing w:line="360" w:lineRule="exact"/>
      <w:jc w:val="center"/>
      <w:textAlignment w:val="center"/>
    </w:pPr>
    <w:rPr>
      <w:rFonts w:ascii="宋体"/>
      <w:sz w:val="21"/>
      <w:szCs w:val="21"/>
    </w:rPr>
    <w:tblP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left w:w="0" w:type="dxa"/>
        <w:bottom w:w="0" w:type="dxa"/>
        <w:right w:w="0" w:type="dxa"/>
      </w:tblCellMar>
    </w:tblPr>
    <w:tcPr>
      <w:shd w:val="clear" w:color="auto" w:fill="auto"/>
      <w:vAlign w:val="center"/>
    </w:tcPr>
    <w:tblStylePr w:type="firstRow">
      <w:pPr>
        <w:jc w:val="center"/>
      </w:pPr>
      <w:rPr>
        <w:rFonts w:eastAsia="ˎ̥"/>
        <w:b w:val="0"/>
        <w:bCs/>
        <w:color w:val="auto"/>
        <w:sz w:val="21"/>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1117">
    <w:name w:val="自定义111"/>
    <w:basedOn w:val="58"/>
    <w:qFormat/>
    <w:pPr>
      <w:jc w:val="center"/>
    </w:pPr>
    <w:rPr>
      <w:sz w:val="21"/>
      <w:szCs w:val="21"/>
    </w:rPr>
    <w:tblPr>
      <w:tblInd w:w="0" w:type="dxa"/>
      <w:tblBorders>
        <w:top w:val="thinThickSmallGap" w:sz="12" w:space="0" w:color="auto"/>
        <w:left w:val="thinThickSmallGap" w:sz="12" w:space="0" w:color="auto"/>
        <w:bottom w:val="thickThinSmallGap" w:sz="12" w:space="0" w:color="auto"/>
        <w:right w:val="thickThinSmallGap" w:sz="12" w:space="0" w:color="auto"/>
      </w:tblBorders>
      <w:tblCellMar>
        <w:top w:w="0" w:type="dxa"/>
        <w:left w:w="0" w:type="dxa"/>
        <w:bottom w:w="0" w:type="dxa"/>
        <w:right w:w="0" w:type="dxa"/>
      </w:tblCellMar>
    </w:tblPr>
    <w:tcPr>
      <w:shd w:val="clear" w:color="auto" w:fill="auto"/>
      <w:vAlign w:val="center"/>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410">
    <w:name w:val="表格样式141"/>
    <w:basedOn w:val="afff0"/>
    <w:qFormat/>
    <w:pPr>
      <w:adjustRightInd w:val="0"/>
      <w:spacing w:line="360" w:lineRule="exact"/>
      <w:jc w:val="center"/>
      <w:textAlignment w:val="center"/>
    </w:pPr>
    <w:rPr>
      <w:rFonts w:ascii="宋体"/>
      <w:sz w:val="21"/>
      <w:szCs w:val="21"/>
    </w:rPr>
    <w:tblP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left w:w="0" w:type="dxa"/>
        <w:bottom w:w="0" w:type="dxa"/>
        <w:right w:w="0" w:type="dxa"/>
      </w:tblCellMar>
    </w:tblPr>
    <w:tcPr>
      <w:shd w:val="clear" w:color="auto" w:fill="auto"/>
      <w:vAlign w:val="center"/>
    </w:tcPr>
    <w:tblStylePr w:type="firstRow">
      <w:pPr>
        <w:jc w:val="center"/>
      </w:pPr>
      <w:rPr>
        <w:rFonts w:eastAsia="ˎ̥"/>
        <w:b w:val="0"/>
        <w:bCs/>
        <w:color w:val="auto"/>
        <w:sz w:val="21"/>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149">
    <w:name w:val="网格型14"/>
    <w:basedOn w:val="a8"/>
    <w:semiHidden/>
    <w:qFormat/>
    <w:pPr>
      <w:widowControl w:val="0"/>
      <w:spacing w:line="360" w:lineRule="auto"/>
      <w:ind w:firstLineChars="200" w:firstLine="20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
    <w:name w:val="表格-条文表格"/>
    <w:basedOn w:val="affd"/>
    <w:qFormat/>
    <w:tblPr>
      <w:jc w:val="center"/>
      <w:tblInd w:w="0" w:type="dxa"/>
      <w:tblBorders>
        <w:top w:val="single" w:sz="8" w:space="0" w:color="auto"/>
        <w:left w:val="single" w:sz="8" w:space="0" w:color="auto"/>
        <w:bottom w:val="single" w:sz="8" w:space="0" w:color="auto"/>
        <w:right w:val="single" w:sz="8" w:space="0" w:color="auto"/>
      </w:tblBorders>
      <w:tblCellMar>
        <w:top w:w="0" w:type="dxa"/>
        <w:left w:w="85" w:type="dxa"/>
        <w:bottom w:w="0" w:type="dxa"/>
        <w:right w:w="85" w:type="dxa"/>
      </w:tblCellMar>
    </w:tblPr>
    <w:trPr>
      <w:jc w:val="center"/>
    </w:trPr>
    <w:tcPr>
      <w:vAlign w:val="center"/>
    </w:tcPr>
  </w:style>
  <w:style w:type="table" w:customStyle="1" w:styleId="15d">
    <w:name w:val="网格型15"/>
    <w:basedOn w:val="a8"/>
    <w:unhideWhenUsed/>
    <w:qFormat/>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
    <w:name w:val="Table Normal"/>
    <w:uiPriority w:val="2"/>
    <w:unhideWhenUsed/>
    <w:qFormat/>
    <w:pPr>
      <w:widowControl w:val="0"/>
    </w:pPr>
    <w:rPr>
      <w:rFonts w:ascii="Calibri" w:hAnsi="Calibri"/>
      <w:sz w:val="22"/>
      <w:szCs w:val="22"/>
      <w:lang w:eastAsia="en-US"/>
    </w:rPr>
    <w:tblPr>
      <w:tblCellMar>
        <w:top w:w="0" w:type="dxa"/>
        <w:left w:w="0" w:type="dxa"/>
        <w:bottom w:w="0" w:type="dxa"/>
        <w:right w:w="0" w:type="dxa"/>
      </w:tblCellMar>
    </w:tblPr>
  </w:style>
  <w:style w:type="table" w:customStyle="1" w:styleId="1fffffffd">
    <w:name w:val="专业网格1"/>
    <w:basedOn w:val="a8"/>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0">
    <w:name w:val="自定义12"/>
    <w:basedOn w:val="58"/>
    <w:qFormat/>
    <w:pPr>
      <w:jc w:val="center"/>
    </w:pPr>
    <w:rPr>
      <w:sz w:val="21"/>
      <w:szCs w:val="21"/>
    </w:rPr>
    <w:tblPr>
      <w:tblInd w:w="0" w:type="dxa"/>
      <w:tblBorders>
        <w:top w:val="thinThickSmallGap" w:sz="12" w:space="0" w:color="auto"/>
        <w:left w:val="thinThickSmallGap" w:sz="12" w:space="0" w:color="auto"/>
        <w:bottom w:val="thickThinSmallGap" w:sz="12" w:space="0" w:color="auto"/>
        <w:right w:val="thickThinSmallGap" w:sz="12" w:space="0" w:color="auto"/>
      </w:tblBorders>
      <w:tblCellMar>
        <w:top w:w="0" w:type="dxa"/>
        <w:left w:w="0" w:type="dxa"/>
        <w:bottom w:w="0" w:type="dxa"/>
        <w:right w:w="0" w:type="dxa"/>
      </w:tblCellMar>
    </w:tblPr>
    <w:tcPr>
      <w:shd w:val="clear" w:color="auto" w:fill="auto"/>
      <w:vAlign w:val="center"/>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fffffff6">
    <w:name w:val="网格型2"/>
    <w:basedOn w:val="a8"/>
    <w:qFormat/>
    <w:pPr>
      <w:widowControl w:val="0"/>
      <w:snapToGrid w:val="0"/>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s1">
    <w:name w:val="表格样式-ls1"/>
    <w:basedOn w:val="a8"/>
    <w:qFormat/>
    <w:pPr>
      <w:widowControl w:val="0"/>
      <w:adjustRightInd w:val="0"/>
      <w:spacing w:line="360" w:lineRule="exact"/>
      <w:jc w:val="center"/>
      <w:textAlignment w:val="center"/>
    </w:pPr>
    <w:rPr>
      <w:sz w:val="21"/>
      <w:szCs w:val="21"/>
    </w:rPr>
    <w:tblPr>
      <w:jc w:val="center"/>
      <w:tblInd w:w="0"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top w:w="0" w:type="dxa"/>
        <w:left w:w="108" w:type="dxa"/>
        <w:bottom w:w="0" w:type="dxa"/>
        <w:right w:w="108" w:type="dxa"/>
      </w:tblCellMar>
    </w:tblPr>
    <w:trPr>
      <w:jc w:val="center"/>
    </w:trPr>
    <w:tcPr>
      <w:shd w:val="clear" w:color="auto" w:fill="auto"/>
      <w:vAlign w:val="center"/>
    </w:tcPr>
    <w:tblStylePr w:type="firstRow">
      <w:pPr>
        <w:jc w:val="center"/>
      </w:pPr>
      <w:rPr>
        <w:b w:val="0"/>
        <w:bCs/>
        <w:color w:val="auto"/>
        <w:sz w:val="21"/>
      </w:rPr>
      <w:tblPr/>
      <w:tcPr>
        <w:shd w:val="pct20" w:color="000000" w:fill="FFFFFF"/>
      </w:tcPr>
    </w:tblStylePr>
  </w:style>
  <w:style w:type="character" w:customStyle="1" w:styleId="3ffff1">
    <w:name w:val="普通(网站) 字符3"/>
    <w:uiPriority w:val="99"/>
    <w:qFormat/>
    <w:rPr>
      <w:rFonts w:ascii="宋体" w:eastAsia="宋体" w:hAnsi="宋体" w:cs="Times New Roman"/>
      <w:kern w:val="0"/>
      <w:sz w:val="24"/>
      <w:szCs w:val="20"/>
    </w:rPr>
  </w:style>
  <w:style w:type="paragraph" w:styleId="affffffffffffffffffffffffffffffffffffffffff6">
    <w:name w:val="List Paragraph"/>
    <w:basedOn w:val="a6"/>
    <w:uiPriority w:val="99"/>
    <w:qFormat/>
    <w:pPr>
      <w:ind w:firstLineChars="200" w:firstLine="420"/>
    </w:pPr>
  </w:style>
  <w:style w:type="character" w:customStyle="1" w:styleId="font81">
    <w:name w:val="font81"/>
    <w:basedOn w:val="a7"/>
    <w:qFormat/>
    <w:rPr>
      <w:rFonts w:ascii="宋体" w:eastAsia="宋体" w:hAnsi="宋体" w:cs="宋体" w:hint="eastAsia"/>
      <w:color w:val="242424"/>
      <w:sz w:val="20"/>
      <w:szCs w:val="20"/>
      <w:u w:val="none"/>
    </w:rPr>
  </w:style>
  <w:style w:type="character" w:customStyle="1" w:styleId="font91">
    <w:name w:val="font91"/>
    <w:basedOn w:val="a7"/>
    <w:qFormat/>
    <w:rPr>
      <w:rFonts w:ascii="宋体" w:eastAsia="宋体" w:hAnsi="宋体" w:cs="宋体" w:hint="eastAsia"/>
      <w:color w:val="494949"/>
      <w:sz w:val="20"/>
      <w:szCs w:val="20"/>
      <w:u w:val="none"/>
    </w:rPr>
  </w:style>
  <w:style w:type="character" w:customStyle="1" w:styleId="font101">
    <w:name w:val="font101"/>
    <w:basedOn w:val="a7"/>
    <w:qFormat/>
    <w:rPr>
      <w:rFonts w:ascii="宋体" w:eastAsia="宋体" w:hAnsi="宋体" w:cs="宋体" w:hint="eastAsia"/>
      <w:color w:val="343434"/>
      <w:sz w:val="20"/>
      <w:szCs w:val="20"/>
      <w:u w:val="none"/>
    </w:rPr>
  </w:style>
  <w:style w:type="character" w:customStyle="1" w:styleId="font112">
    <w:name w:val="font112"/>
    <w:basedOn w:val="a7"/>
    <w:qFormat/>
    <w:rPr>
      <w:rFonts w:ascii="Times New Roman" w:hAnsi="Times New Roman" w:cs="Times New Roman" w:hint="default"/>
      <w:color w:val="242424"/>
      <w:sz w:val="20"/>
      <w:szCs w:val="20"/>
      <w:u w:val="none"/>
    </w:rPr>
  </w:style>
  <w:style w:type="character" w:customStyle="1" w:styleId="font121">
    <w:name w:val="font121"/>
    <w:basedOn w:val="a7"/>
    <w:qFormat/>
    <w:rPr>
      <w:rFonts w:ascii="Times New Roman" w:hAnsi="Times New Roman" w:cs="Times New Roman" w:hint="default"/>
      <w:color w:val="494949"/>
      <w:sz w:val="20"/>
      <w:szCs w:val="20"/>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1" w:count="267">
    <w:lsdException w:name="heading 1" w:uiPriority="9"/>
    <w:lsdException w:name="heading 2" w:uiPriority="9"/>
    <w:lsdException w:name="heading 3" w:uiPriority="9"/>
    <w:lsdException w:name="heading 4"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unhideWhenUsed="1"/>
    <w:lsdException w:name="annotation reference" w:uiPriority="99"/>
    <w:lsdException w:name="endnote reference" w:uiPriority="99"/>
    <w:lsdException w:name="Title" w:uiPriority="10"/>
    <w:lsdException w:name="Default Paragraph Font" w:semiHidden="1" w:uiPriority="1" w:unhideWhenUsed="1"/>
    <w:lsdException w:name="Body Text" w:uiPriority="99"/>
    <w:lsdException w:name="Body Text Indent" w:uiPriority="99"/>
    <w:lsdException w:name="Body Text Indent 3" w:uiPriority="99"/>
    <w:lsdException w:name="Hyperlink" w:uiPriority="99"/>
    <w:lsdException w:name="FollowedHyperlink" w:uiPriority="99"/>
    <w:lsdException w:name="Strong" w:uiPriority="22"/>
    <w:lsdException w:name="Document Map" w:uiPriority="99"/>
    <w:lsdException w:name="HTML Top of Form" w:semiHidden="1" w:uiPriority="99" w:unhideWhenUsed="1" w:qFormat="0"/>
    <w:lsdException w:name="HTML Bottom of Form" w:semiHidden="1" w:uiPriority="99" w:unhideWhenUsed="1" w:qFormat="0"/>
    <w:lsdException w:name="Normal (Web)" w:uiPriority="99"/>
    <w:lsdException w:name="Normal Table" w:semiHidden="1" w:uiPriority="99" w:unhideWhenUsed="1"/>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Balloon Text" w:uiPriority="99"/>
    <w:lsdException w:name="Table Grid" w:uiPriority="59"/>
    <w:lsdException w:name="Placeholder Text" w:semiHidden="1" w:uiPriority="99"/>
    <w:lsdException w:name="No Spacing" w:uiPriority="1"/>
    <w:lsdException w:name="Light Shading" w:uiPriority="60" w:qFormat="0"/>
    <w:lsdException w:name="Light List" w:uiPriority="61" w:qFormat="0"/>
    <w:lsdException w:name="Light Grid" w:uiPriority="62" w:qFormat="0"/>
    <w:lsdException w:name="Medium Shading 1" w:uiPriority="63" w:qFormat="0"/>
    <w:lsdException w:name="Medium Shading 2" w:uiPriority="64" w:qFormat="0"/>
    <w:lsdException w:name="Medium List 1" w:uiPriority="65" w:qFormat="0"/>
    <w:lsdException w:name="Medium List 2" w:uiPriority="66" w:qFormat="0"/>
    <w:lsdException w:name="Medium Grid 1" w:uiPriority="67" w:qFormat="0"/>
    <w:lsdException w:name="Medium Grid 2" w:uiPriority="68" w:qFormat="0"/>
    <w:lsdException w:name="Medium Grid 3" w:uiPriority="69" w:qFormat="0"/>
    <w:lsdException w:name="Dark List" w:uiPriority="70" w:qFormat="0"/>
    <w:lsdException w:name="Colorful Shading" w:uiPriority="71" w:qFormat="0"/>
    <w:lsdException w:name="Colorful List" w:uiPriority="72" w:qFormat="0"/>
    <w:lsdException w:name="Colorful Grid" w:uiPriority="73" w:qFormat="0"/>
    <w:lsdException w:name="Light Shading Accent 1" w:uiPriority="60" w:qFormat="0"/>
    <w:lsdException w:name="Light List Accent 1" w:uiPriority="61" w:qFormat="0"/>
    <w:lsdException w:name="Light Grid Accent 1" w:uiPriority="62" w:qFormat="0"/>
    <w:lsdException w:name="Medium Shading 1 Accent 1" w:uiPriority="63" w:qFormat="0"/>
    <w:lsdException w:name="Medium Shading 2 Accent 1" w:uiPriority="64" w:qFormat="0"/>
    <w:lsdException w:name="Medium List 1 Accent 1" w:uiPriority="65" w:qFormat="0"/>
    <w:lsdException w:name="Revision" w:semiHidden="1" w:uiPriority="99" w:unhideWhenUsed="1" w:qFormat="0"/>
    <w:lsdException w:name="List Paragraph" w:uiPriority="99"/>
    <w:lsdException w:name="Intense Quote" w:uiPriority="30"/>
    <w:lsdException w:name="Medium List 2 Accent 1" w:uiPriority="66" w:qFormat="0"/>
    <w:lsdException w:name="Medium Grid 1 Accent 1" w:uiPriority="67" w:qFormat="0"/>
    <w:lsdException w:name="Medium Grid 2 Accent 1" w:uiPriority="68" w:qFormat="0"/>
    <w:lsdException w:name="Medium Grid 3 Accent 1" w:uiPriority="69" w:qFormat="0"/>
    <w:lsdException w:name="Dark List Accent 1" w:uiPriority="70" w:qFormat="0"/>
    <w:lsdException w:name="Colorful Shading Accent 1" w:uiPriority="71" w:qFormat="0"/>
    <w:lsdException w:name="Colorful List Accent 1" w:uiPriority="72" w:qFormat="0"/>
    <w:lsdException w:name="Colorful Grid Accent 1" w:uiPriority="73" w:qFormat="0"/>
    <w:lsdException w:name="Light Shading Accent 2" w:uiPriority="60" w:qFormat="0"/>
    <w:lsdException w:name="Light List Accent 2" w:uiPriority="61" w:qFormat="0"/>
    <w:lsdException w:name="Light Grid Accent 2" w:uiPriority="62" w:qFormat="0"/>
    <w:lsdException w:name="Medium Shading 1 Accent 2" w:uiPriority="63" w:qFormat="0"/>
    <w:lsdException w:name="Medium Shading 2 Accent 2" w:uiPriority="64" w:qFormat="0"/>
    <w:lsdException w:name="Medium List 1 Accent 2" w:uiPriority="65" w:qFormat="0"/>
    <w:lsdException w:name="Medium List 2 Accent 2" w:uiPriority="66" w:qFormat="0"/>
    <w:lsdException w:name="Medium Grid 1 Accent 2" w:uiPriority="67" w:qFormat="0"/>
    <w:lsdException w:name="Medium Grid 2 Accent 2" w:uiPriority="68" w:qFormat="0"/>
    <w:lsdException w:name="Medium Grid 3 Accent 2" w:uiPriority="69" w:qFormat="0"/>
    <w:lsdException w:name="Dark List Accent 2" w:uiPriority="70" w:qFormat="0"/>
    <w:lsdException w:name="Colorful Shading Accent 2" w:uiPriority="71" w:qFormat="0"/>
    <w:lsdException w:name="Colorful List Accent 2" w:uiPriority="72" w:qFormat="0"/>
    <w:lsdException w:name="Colorful Grid Accent 2" w:uiPriority="73" w:qFormat="0"/>
    <w:lsdException w:name="Light Shading Accent 3" w:uiPriority="60" w:qFormat="0"/>
    <w:lsdException w:name="Light List Accent 3" w:uiPriority="61" w:qFormat="0"/>
    <w:lsdException w:name="Light Grid Accent 3" w:uiPriority="62" w:qFormat="0"/>
    <w:lsdException w:name="Medium Shading 1 Accent 3" w:uiPriority="63" w:qFormat="0"/>
    <w:lsdException w:name="Medium Shading 2 Accent 3" w:uiPriority="64" w:qFormat="0"/>
    <w:lsdException w:name="Medium List 1 Accent 3" w:uiPriority="65" w:qFormat="0"/>
    <w:lsdException w:name="Medium List 2 Accent 3" w:uiPriority="66" w:qFormat="0"/>
    <w:lsdException w:name="Medium Grid 1 Accent 3" w:uiPriority="67" w:qFormat="0"/>
    <w:lsdException w:name="Medium Grid 2 Accent 3" w:uiPriority="68" w:qFormat="0"/>
    <w:lsdException w:name="Medium Grid 3 Accent 3" w:uiPriority="69" w:qFormat="0"/>
    <w:lsdException w:name="Dark List Accent 3" w:uiPriority="70" w:qFormat="0"/>
    <w:lsdException w:name="Colorful Shading Accent 3" w:uiPriority="71" w:qFormat="0"/>
    <w:lsdException w:name="Colorful List Accent 3" w:uiPriority="72" w:qFormat="0"/>
    <w:lsdException w:name="Colorful Grid Accent 3" w:uiPriority="73" w:qFormat="0"/>
    <w:lsdException w:name="Light Shading Accent 4" w:uiPriority="60" w:qFormat="0"/>
    <w:lsdException w:name="Light List Accent 4" w:uiPriority="61" w:qFormat="0"/>
    <w:lsdException w:name="Light Grid Accent 4" w:uiPriority="62" w:qFormat="0"/>
    <w:lsdException w:name="Medium Shading 1 Accent 4" w:uiPriority="63" w:qFormat="0"/>
    <w:lsdException w:name="Medium Shading 2 Accent 4" w:uiPriority="64" w:qFormat="0"/>
    <w:lsdException w:name="Medium List 1 Accent 4" w:uiPriority="65" w:qFormat="0"/>
    <w:lsdException w:name="Medium List 2 Accent 4" w:uiPriority="66" w:qFormat="0"/>
    <w:lsdException w:name="Medium Grid 1 Accent 4" w:uiPriority="67" w:qFormat="0"/>
    <w:lsdException w:name="Medium Grid 2 Accent 4" w:uiPriority="68" w:qFormat="0"/>
    <w:lsdException w:name="Medium Grid 3 Accent 4" w:uiPriority="69" w:qFormat="0"/>
    <w:lsdException w:name="Dark List Accent 4" w:uiPriority="70" w:qFormat="0"/>
    <w:lsdException w:name="Colorful Shading Accent 4" w:uiPriority="71" w:qFormat="0"/>
    <w:lsdException w:name="Colorful List Accent 4" w:uiPriority="72" w:qFormat="0"/>
    <w:lsdException w:name="Colorful Grid Accent 4" w:uiPriority="73" w:qFormat="0"/>
    <w:lsdException w:name="Light Shading Accent 5" w:uiPriority="60" w:qFormat="0"/>
    <w:lsdException w:name="Light List Accent 5" w:uiPriority="61" w:qFormat="0"/>
    <w:lsdException w:name="Light Grid Accent 5" w:uiPriority="62" w:qFormat="0"/>
    <w:lsdException w:name="Medium Shading 1 Accent 5" w:uiPriority="63" w:qFormat="0"/>
    <w:lsdException w:name="Medium Shading 2 Accent 5" w:uiPriority="64" w:qFormat="0"/>
    <w:lsdException w:name="Medium List 1 Accent 5" w:uiPriority="65" w:qFormat="0"/>
    <w:lsdException w:name="Medium List 2 Accent 5" w:uiPriority="66" w:qFormat="0"/>
    <w:lsdException w:name="Medium Grid 1 Accent 5" w:uiPriority="67" w:qFormat="0"/>
    <w:lsdException w:name="Medium Grid 2 Accent 5" w:uiPriority="68" w:qFormat="0"/>
    <w:lsdException w:name="Medium Grid 3 Accent 5" w:uiPriority="69" w:qFormat="0"/>
    <w:lsdException w:name="Dark List Accent 5" w:uiPriority="70" w:qFormat="0"/>
    <w:lsdException w:name="Colorful Shading Accent 5" w:uiPriority="71" w:qFormat="0"/>
    <w:lsdException w:name="Colorful List Accent 5" w:uiPriority="72" w:qFormat="0"/>
    <w:lsdException w:name="Colorful Grid Accent 5" w:uiPriority="73" w:qFormat="0"/>
    <w:lsdException w:name="Light Shading Accent 6" w:uiPriority="60" w:qFormat="0"/>
    <w:lsdException w:name="Light List Accent 6" w:uiPriority="61" w:qFormat="0"/>
    <w:lsdException w:name="Light Grid Accent 6" w:uiPriority="62" w:qFormat="0"/>
    <w:lsdException w:name="Medium Shading 1 Accent 6" w:uiPriority="63" w:qFormat="0"/>
    <w:lsdException w:name="Medium Shading 2 Accent 6" w:uiPriority="64" w:qFormat="0"/>
    <w:lsdException w:name="Medium List 1 Accent 6" w:uiPriority="65" w:qFormat="0"/>
    <w:lsdException w:name="Medium List 2 Accent 6" w:uiPriority="66" w:qFormat="0"/>
    <w:lsdException w:name="Medium Grid 1 Accent 6" w:uiPriority="67" w:qFormat="0"/>
    <w:lsdException w:name="Medium Grid 2 Accent 6" w:uiPriority="68" w:qFormat="0"/>
    <w:lsdException w:name="Medium Grid 3 Accent 6" w:uiPriority="69" w:qFormat="0"/>
    <w:lsdException w:name="Dark List Accent 6" w:uiPriority="70" w:qFormat="0"/>
    <w:lsdException w:name="Colorful Shading Accent 6" w:uiPriority="71" w:qFormat="0"/>
    <w:lsdException w:name="Colorful List Accent 6" w:uiPriority="72" w:qFormat="0"/>
    <w:lsdException w:name="Colorful Grid Accent 6" w:uiPriority="73" w:qFormat="0"/>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atentStyles>
  <w:style w:type="paragraph" w:default="1" w:styleId="a6">
    <w:name w:val="Normal"/>
    <w:qFormat/>
    <w:pPr>
      <w:widowControl w:val="0"/>
      <w:jc w:val="both"/>
    </w:pPr>
    <w:rPr>
      <w:kern w:val="2"/>
      <w:sz w:val="21"/>
      <w:szCs w:val="24"/>
    </w:rPr>
  </w:style>
  <w:style w:type="paragraph" w:styleId="12">
    <w:name w:val="heading 1"/>
    <w:basedOn w:val="a6"/>
    <w:next w:val="a6"/>
    <w:uiPriority w:val="9"/>
    <w:qFormat/>
    <w:pPr>
      <w:keepNext/>
      <w:keepLines/>
      <w:spacing w:before="120" w:after="120" w:line="480" w:lineRule="auto"/>
      <w:outlineLvl w:val="0"/>
    </w:pPr>
    <w:rPr>
      <w:rFonts w:eastAsia="黑体"/>
      <w:b/>
      <w:bCs/>
      <w:kern w:val="44"/>
      <w:sz w:val="30"/>
      <w:szCs w:val="44"/>
    </w:rPr>
  </w:style>
  <w:style w:type="paragraph" w:styleId="22">
    <w:name w:val="heading 2"/>
    <w:basedOn w:val="a6"/>
    <w:next w:val="a6"/>
    <w:link w:val="2Char"/>
    <w:uiPriority w:val="9"/>
    <w:qFormat/>
    <w:pPr>
      <w:keepNext/>
      <w:keepLines/>
      <w:spacing w:line="360" w:lineRule="auto"/>
      <w:outlineLvl w:val="1"/>
    </w:pPr>
    <w:rPr>
      <w:rFonts w:eastAsia="黑体"/>
      <w:bCs/>
      <w:spacing w:val="6"/>
      <w:w w:val="90"/>
      <w:kern w:val="28"/>
      <w:sz w:val="28"/>
      <w:szCs w:val="28"/>
    </w:rPr>
  </w:style>
  <w:style w:type="paragraph" w:styleId="33">
    <w:name w:val="heading 3"/>
    <w:basedOn w:val="a6"/>
    <w:next w:val="a6"/>
    <w:link w:val="3Char"/>
    <w:uiPriority w:val="9"/>
    <w:qFormat/>
    <w:pPr>
      <w:keepNext/>
      <w:keepLines/>
      <w:spacing w:line="480" w:lineRule="auto"/>
      <w:outlineLvl w:val="2"/>
    </w:pPr>
    <w:rPr>
      <w:rFonts w:eastAsia="黑体"/>
      <w:spacing w:val="6"/>
      <w:sz w:val="28"/>
      <w:szCs w:val="30"/>
    </w:rPr>
  </w:style>
  <w:style w:type="paragraph" w:styleId="41">
    <w:name w:val="heading 4"/>
    <w:basedOn w:val="a6"/>
    <w:next w:val="a6"/>
    <w:link w:val="4Char"/>
    <w:uiPriority w:val="9"/>
    <w:qFormat/>
    <w:pPr>
      <w:keepNext/>
      <w:keepLines/>
      <w:adjustRightInd w:val="0"/>
      <w:snapToGrid w:val="0"/>
      <w:spacing w:beforeLines="50" w:before="50" w:line="500" w:lineRule="exact"/>
      <w:outlineLvl w:val="3"/>
    </w:pPr>
    <w:rPr>
      <w:rFonts w:ascii="黑体" w:eastAsia="黑体" w:hAnsi="黑体"/>
      <w:bCs/>
      <w:sz w:val="28"/>
      <w:szCs w:val="20"/>
    </w:rPr>
  </w:style>
  <w:style w:type="paragraph" w:styleId="50">
    <w:name w:val="heading 5"/>
    <w:basedOn w:val="a6"/>
    <w:next w:val="a6"/>
    <w:link w:val="5Char"/>
    <w:qFormat/>
    <w:pPr>
      <w:keepNext/>
      <w:keepLines/>
      <w:spacing w:before="280" w:after="290" w:line="376" w:lineRule="auto"/>
      <w:outlineLvl w:val="4"/>
    </w:pPr>
    <w:rPr>
      <w:b/>
      <w:bCs/>
      <w:sz w:val="28"/>
      <w:szCs w:val="28"/>
    </w:rPr>
  </w:style>
  <w:style w:type="paragraph" w:styleId="6">
    <w:name w:val="heading 6"/>
    <w:basedOn w:val="a6"/>
    <w:next w:val="a6"/>
    <w:link w:val="6Char"/>
    <w:qFormat/>
    <w:pPr>
      <w:keepNext/>
      <w:keepLines/>
      <w:tabs>
        <w:tab w:val="left" w:pos="1185"/>
      </w:tabs>
      <w:spacing w:beforeLines="20" w:before="20" w:line="520" w:lineRule="exact"/>
      <w:ind w:left="908" w:hanging="284"/>
      <w:outlineLvl w:val="5"/>
    </w:pPr>
    <w:rPr>
      <w:spacing w:val="6"/>
      <w:w w:val="90"/>
      <w:sz w:val="28"/>
      <w:szCs w:val="20"/>
    </w:rPr>
  </w:style>
  <w:style w:type="paragraph" w:styleId="7">
    <w:name w:val="heading 7"/>
    <w:basedOn w:val="a6"/>
    <w:next w:val="a6"/>
    <w:link w:val="7Char"/>
    <w:qFormat/>
    <w:pPr>
      <w:keepNext/>
      <w:framePr w:hSpace="180" w:wrap="around" w:vAnchor="text" w:hAnchor="page" w:x="1729" w:y="151"/>
      <w:spacing w:line="240" w:lineRule="exact"/>
      <w:jc w:val="center"/>
      <w:outlineLvl w:val="6"/>
    </w:pPr>
    <w:rPr>
      <w:rFonts w:eastAsia="楷体_GB2312"/>
      <w:i/>
      <w:iCs/>
    </w:rPr>
  </w:style>
  <w:style w:type="paragraph" w:styleId="8">
    <w:name w:val="heading 8"/>
    <w:basedOn w:val="a6"/>
    <w:next w:val="a6"/>
    <w:link w:val="8Char"/>
    <w:qFormat/>
    <w:pPr>
      <w:keepNext/>
      <w:keepLines/>
      <w:numPr>
        <w:ilvl w:val="7"/>
        <w:numId w:val="1"/>
      </w:numPr>
      <w:adjustRightInd w:val="0"/>
      <w:spacing w:before="240" w:after="64" w:line="320" w:lineRule="auto"/>
      <w:outlineLvl w:val="7"/>
    </w:pPr>
    <w:rPr>
      <w:rFonts w:ascii="Arial" w:eastAsia="黑体" w:hAnsi="Arial"/>
      <w:sz w:val="24"/>
    </w:rPr>
  </w:style>
  <w:style w:type="paragraph" w:styleId="9">
    <w:name w:val="heading 9"/>
    <w:basedOn w:val="a6"/>
    <w:next w:val="a6"/>
    <w:link w:val="9Char"/>
    <w:qFormat/>
    <w:pPr>
      <w:keepNext/>
      <w:keepLines/>
      <w:numPr>
        <w:ilvl w:val="8"/>
        <w:numId w:val="1"/>
      </w:numPr>
      <w:adjustRightInd w:val="0"/>
      <w:spacing w:before="240" w:after="64" w:line="320" w:lineRule="auto"/>
      <w:outlineLvl w:val="8"/>
    </w:pPr>
    <w:rPr>
      <w:rFonts w:ascii="Arial" w:eastAsia="黑体" w:hAnsi="Arial"/>
      <w:sz w:val="24"/>
      <w:szCs w:val="21"/>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Title"/>
    <w:basedOn w:val="a6"/>
    <w:next w:val="a6"/>
    <w:link w:val="Char"/>
    <w:uiPriority w:val="10"/>
    <w:qFormat/>
    <w:pPr>
      <w:pageBreakBefore/>
      <w:spacing w:before="240" w:after="60" w:line="500" w:lineRule="exact"/>
      <w:jc w:val="center"/>
      <w:outlineLvl w:val="0"/>
    </w:pPr>
    <w:rPr>
      <w:b/>
      <w:bCs/>
      <w:sz w:val="32"/>
      <w:szCs w:val="32"/>
    </w:rPr>
  </w:style>
  <w:style w:type="paragraph" w:styleId="ab">
    <w:name w:val="macro"/>
    <w:link w:val="Char0"/>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ind w:firstLineChars="200" w:firstLine="200"/>
    </w:pPr>
    <w:rPr>
      <w:rFonts w:ascii="Courier New" w:hAnsi="Courier New"/>
      <w:kern w:val="2"/>
      <w:sz w:val="24"/>
      <w:szCs w:val="24"/>
    </w:rPr>
  </w:style>
  <w:style w:type="paragraph" w:styleId="34">
    <w:name w:val="List 3"/>
    <w:basedOn w:val="a6"/>
    <w:qFormat/>
    <w:pPr>
      <w:ind w:leftChars="400" w:left="100" w:hangingChars="200" w:hanging="200"/>
    </w:pPr>
    <w:rPr>
      <w:color w:val="000000"/>
      <w:w w:val="110"/>
      <w:kern w:val="0"/>
      <w:sz w:val="24"/>
    </w:rPr>
  </w:style>
  <w:style w:type="paragraph" w:styleId="70">
    <w:name w:val="toc 7"/>
    <w:basedOn w:val="a6"/>
    <w:next w:val="a6"/>
    <w:uiPriority w:val="39"/>
    <w:qFormat/>
    <w:pPr>
      <w:ind w:left="1260"/>
      <w:jc w:val="left"/>
    </w:pPr>
    <w:rPr>
      <w:rFonts w:ascii="Calibri" w:hAnsi="Calibri"/>
      <w:sz w:val="18"/>
      <w:szCs w:val="18"/>
    </w:rPr>
  </w:style>
  <w:style w:type="paragraph" w:styleId="23">
    <w:name w:val="List Number 2"/>
    <w:basedOn w:val="a6"/>
    <w:qFormat/>
    <w:pPr>
      <w:tabs>
        <w:tab w:val="left" w:pos="720"/>
      </w:tabs>
      <w:ind w:left="720" w:hanging="360"/>
    </w:pPr>
    <w:rPr>
      <w:color w:val="000000"/>
      <w:w w:val="110"/>
      <w:kern w:val="0"/>
      <w:sz w:val="24"/>
      <w:szCs w:val="20"/>
    </w:rPr>
  </w:style>
  <w:style w:type="paragraph" w:styleId="ac">
    <w:name w:val="table of authorities"/>
    <w:basedOn w:val="a6"/>
    <w:next w:val="a6"/>
    <w:qFormat/>
    <w:pPr>
      <w:ind w:leftChars="200" w:left="420"/>
    </w:pPr>
  </w:style>
  <w:style w:type="paragraph" w:styleId="ad">
    <w:name w:val="Note Heading"/>
    <w:basedOn w:val="a6"/>
    <w:next w:val="a6"/>
    <w:link w:val="Char1"/>
    <w:qFormat/>
    <w:pPr>
      <w:jc w:val="center"/>
    </w:pPr>
    <w:rPr>
      <w:rFonts w:ascii="宋体"/>
      <w:kern w:val="0"/>
      <w:sz w:val="24"/>
      <w:szCs w:val="20"/>
    </w:rPr>
  </w:style>
  <w:style w:type="paragraph" w:styleId="42">
    <w:name w:val="List Bullet 4"/>
    <w:basedOn w:val="a6"/>
    <w:qFormat/>
    <w:pPr>
      <w:tabs>
        <w:tab w:val="left" w:pos="720"/>
      </w:tabs>
      <w:ind w:left="720" w:hanging="720"/>
    </w:pPr>
    <w:rPr>
      <w:color w:val="000000"/>
      <w:w w:val="110"/>
      <w:kern w:val="0"/>
      <w:sz w:val="24"/>
      <w:szCs w:val="20"/>
    </w:rPr>
  </w:style>
  <w:style w:type="paragraph" w:styleId="80">
    <w:name w:val="index 8"/>
    <w:basedOn w:val="a6"/>
    <w:next w:val="a6"/>
    <w:qFormat/>
    <w:pPr>
      <w:ind w:leftChars="1400" w:left="1400"/>
    </w:pPr>
    <w:rPr>
      <w:color w:val="000000"/>
      <w:w w:val="110"/>
      <w:kern w:val="0"/>
      <w:sz w:val="24"/>
    </w:rPr>
  </w:style>
  <w:style w:type="paragraph" w:styleId="ae">
    <w:name w:val="E-mail Signature"/>
    <w:basedOn w:val="a6"/>
    <w:link w:val="Char2"/>
    <w:qFormat/>
    <w:rPr>
      <w:color w:val="000000"/>
      <w:w w:val="110"/>
      <w:kern w:val="0"/>
      <w:sz w:val="20"/>
    </w:rPr>
  </w:style>
  <w:style w:type="paragraph" w:styleId="af">
    <w:name w:val="List Number"/>
    <w:basedOn w:val="a6"/>
    <w:qFormat/>
    <w:pPr>
      <w:tabs>
        <w:tab w:val="left" w:pos="360"/>
        <w:tab w:val="left" w:pos="1125"/>
      </w:tabs>
      <w:ind w:left="360" w:hanging="360"/>
    </w:pPr>
    <w:rPr>
      <w:sz w:val="28"/>
      <w:szCs w:val="20"/>
    </w:rPr>
  </w:style>
  <w:style w:type="paragraph" w:styleId="af0">
    <w:name w:val="Normal Indent"/>
    <w:basedOn w:val="a6"/>
    <w:link w:val="Char3"/>
    <w:qFormat/>
    <w:pPr>
      <w:adjustRightInd w:val="0"/>
      <w:spacing w:line="360" w:lineRule="auto"/>
      <w:ind w:firstLine="420"/>
      <w:jc w:val="left"/>
      <w:textAlignment w:val="baseline"/>
    </w:pPr>
    <w:rPr>
      <w:rFonts w:ascii="宋体" w:hAnsi="宋体"/>
      <w:kern w:val="0"/>
      <w:sz w:val="24"/>
      <w:szCs w:val="28"/>
    </w:rPr>
  </w:style>
  <w:style w:type="paragraph" w:styleId="af1">
    <w:name w:val="caption"/>
    <w:next w:val="a6"/>
    <w:link w:val="Char4"/>
    <w:qFormat/>
    <w:pPr>
      <w:ind w:firstLineChars="200" w:firstLine="482"/>
    </w:pPr>
    <w:rPr>
      <w:b/>
      <w:kern w:val="2"/>
      <w:sz w:val="24"/>
      <w:szCs w:val="24"/>
    </w:rPr>
  </w:style>
  <w:style w:type="paragraph" w:styleId="51">
    <w:name w:val="index 5"/>
    <w:basedOn w:val="a6"/>
    <w:next w:val="a6"/>
    <w:qFormat/>
    <w:pPr>
      <w:ind w:leftChars="800" w:left="800"/>
    </w:pPr>
    <w:rPr>
      <w:color w:val="000000"/>
      <w:w w:val="110"/>
      <w:kern w:val="0"/>
      <w:sz w:val="24"/>
    </w:rPr>
  </w:style>
  <w:style w:type="paragraph" w:styleId="af2">
    <w:name w:val="List Bullet"/>
    <w:basedOn w:val="a6"/>
    <w:qFormat/>
    <w:pPr>
      <w:tabs>
        <w:tab w:val="left" w:pos="360"/>
      </w:tabs>
      <w:ind w:left="360" w:hanging="360"/>
    </w:pPr>
    <w:rPr>
      <w:rFonts w:ascii="宋体"/>
      <w:kern w:val="0"/>
      <w:sz w:val="24"/>
      <w:szCs w:val="20"/>
    </w:rPr>
  </w:style>
  <w:style w:type="paragraph" w:styleId="af3">
    <w:name w:val="envelope address"/>
    <w:basedOn w:val="a6"/>
    <w:qFormat/>
    <w:pPr>
      <w:snapToGrid w:val="0"/>
      <w:ind w:leftChars="1400" w:left="100"/>
    </w:pPr>
    <w:rPr>
      <w:rFonts w:ascii="Arial" w:hAnsi="Arial" w:cs="Arial"/>
      <w:color w:val="000000"/>
      <w:w w:val="110"/>
      <w:kern w:val="0"/>
      <w:sz w:val="24"/>
    </w:rPr>
  </w:style>
  <w:style w:type="paragraph" w:styleId="af4">
    <w:name w:val="Document Map"/>
    <w:basedOn w:val="a6"/>
    <w:link w:val="Char5"/>
    <w:uiPriority w:val="99"/>
    <w:qFormat/>
    <w:pPr>
      <w:shd w:val="clear" w:color="auto" w:fill="000080"/>
    </w:pPr>
  </w:style>
  <w:style w:type="paragraph" w:styleId="af5">
    <w:name w:val="toa heading"/>
    <w:basedOn w:val="a6"/>
    <w:next w:val="a6"/>
    <w:qFormat/>
    <w:pPr>
      <w:spacing w:before="120"/>
    </w:pPr>
    <w:rPr>
      <w:rFonts w:ascii="Arial" w:hAnsi="Arial"/>
      <w:sz w:val="24"/>
      <w:szCs w:val="20"/>
    </w:rPr>
  </w:style>
  <w:style w:type="paragraph" w:styleId="af6">
    <w:name w:val="annotation text"/>
    <w:basedOn w:val="a6"/>
    <w:link w:val="Char6"/>
    <w:uiPriority w:val="99"/>
    <w:qFormat/>
    <w:pPr>
      <w:jc w:val="left"/>
    </w:pPr>
  </w:style>
  <w:style w:type="paragraph" w:styleId="60">
    <w:name w:val="index 6"/>
    <w:basedOn w:val="a6"/>
    <w:next w:val="a6"/>
    <w:qFormat/>
    <w:pPr>
      <w:ind w:leftChars="1000" w:left="1000"/>
    </w:pPr>
    <w:rPr>
      <w:color w:val="000000"/>
      <w:w w:val="110"/>
      <w:kern w:val="0"/>
      <w:sz w:val="24"/>
    </w:rPr>
  </w:style>
  <w:style w:type="paragraph" w:styleId="af7">
    <w:name w:val="Salutation"/>
    <w:basedOn w:val="a6"/>
    <w:next w:val="a6"/>
    <w:link w:val="Char7"/>
    <w:qFormat/>
    <w:rPr>
      <w:color w:val="000000"/>
      <w:w w:val="110"/>
      <w:kern w:val="0"/>
      <w:sz w:val="20"/>
      <w:szCs w:val="20"/>
    </w:rPr>
  </w:style>
  <w:style w:type="paragraph" w:styleId="35">
    <w:name w:val="Body Text 3"/>
    <w:basedOn w:val="a6"/>
    <w:link w:val="3Char0"/>
    <w:qFormat/>
    <w:rPr>
      <w:sz w:val="18"/>
    </w:rPr>
  </w:style>
  <w:style w:type="paragraph" w:styleId="a">
    <w:name w:val="Closing"/>
    <w:basedOn w:val="a6"/>
    <w:link w:val="Char8"/>
    <w:qFormat/>
    <w:pPr>
      <w:numPr>
        <w:numId w:val="2"/>
      </w:numPr>
      <w:ind w:leftChars="2100" w:left="100" w:firstLine="0"/>
    </w:pPr>
    <w:rPr>
      <w:rFonts w:eastAsia="Times New Roman"/>
      <w:color w:val="000000"/>
      <w:w w:val="110"/>
    </w:rPr>
  </w:style>
  <w:style w:type="paragraph" w:styleId="36">
    <w:name w:val="List Bullet 3"/>
    <w:basedOn w:val="a6"/>
    <w:qFormat/>
    <w:pPr>
      <w:tabs>
        <w:tab w:val="left" w:pos="1200"/>
      </w:tabs>
      <w:ind w:left="1200" w:hanging="360"/>
    </w:pPr>
    <w:rPr>
      <w:rFonts w:ascii="宋体"/>
      <w:kern w:val="0"/>
      <w:sz w:val="24"/>
      <w:szCs w:val="20"/>
    </w:rPr>
  </w:style>
  <w:style w:type="paragraph" w:styleId="af8">
    <w:name w:val="Body Text"/>
    <w:basedOn w:val="a6"/>
    <w:link w:val="Char9"/>
    <w:uiPriority w:val="99"/>
    <w:qFormat/>
    <w:pPr>
      <w:spacing w:after="120"/>
    </w:pPr>
  </w:style>
  <w:style w:type="paragraph" w:styleId="af9">
    <w:name w:val="Body Text Indent"/>
    <w:basedOn w:val="a6"/>
    <w:link w:val="Chara"/>
    <w:uiPriority w:val="99"/>
    <w:qFormat/>
    <w:pPr>
      <w:spacing w:line="400" w:lineRule="exact"/>
      <w:ind w:firstLine="435"/>
    </w:pPr>
    <w:rPr>
      <w:rFonts w:ascii="宋体" w:hAnsi="宋体"/>
      <w:sz w:val="24"/>
    </w:rPr>
  </w:style>
  <w:style w:type="paragraph" w:styleId="3">
    <w:name w:val="List Number 3"/>
    <w:basedOn w:val="a6"/>
    <w:qFormat/>
    <w:pPr>
      <w:numPr>
        <w:numId w:val="3"/>
      </w:numPr>
      <w:tabs>
        <w:tab w:val="left" w:pos="1200"/>
      </w:tabs>
      <w:ind w:firstLine="0"/>
    </w:pPr>
  </w:style>
  <w:style w:type="paragraph" w:styleId="24">
    <w:name w:val="List 2"/>
    <w:basedOn w:val="a6"/>
    <w:qFormat/>
    <w:pPr>
      <w:spacing w:line="480" w:lineRule="exact"/>
      <w:ind w:left="840" w:firstLineChars="200" w:hanging="420"/>
    </w:pPr>
    <w:rPr>
      <w:rFonts w:eastAsia="楷体_GB2312"/>
      <w:color w:val="000000"/>
      <w:spacing w:val="-4"/>
      <w:sz w:val="28"/>
      <w:szCs w:val="20"/>
    </w:rPr>
  </w:style>
  <w:style w:type="paragraph" w:styleId="afa">
    <w:name w:val="List Continue"/>
    <w:basedOn w:val="a6"/>
    <w:qFormat/>
    <w:pPr>
      <w:spacing w:after="120"/>
      <w:ind w:leftChars="200" w:left="420"/>
    </w:pPr>
    <w:rPr>
      <w:color w:val="000000"/>
      <w:w w:val="110"/>
      <w:kern w:val="0"/>
      <w:sz w:val="24"/>
    </w:rPr>
  </w:style>
  <w:style w:type="paragraph" w:styleId="afb">
    <w:name w:val="Block Text"/>
    <w:basedOn w:val="a6"/>
    <w:link w:val="Charb"/>
    <w:qFormat/>
    <w:pPr>
      <w:adjustRightInd w:val="0"/>
      <w:spacing w:line="520" w:lineRule="exact"/>
      <w:ind w:left="-94" w:right="-80" w:firstLine="480"/>
      <w:textAlignment w:val="baseline"/>
    </w:pPr>
    <w:rPr>
      <w:sz w:val="24"/>
    </w:rPr>
  </w:style>
  <w:style w:type="paragraph" w:styleId="25">
    <w:name w:val="List Bullet 2"/>
    <w:basedOn w:val="a6"/>
    <w:qFormat/>
    <w:pPr>
      <w:tabs>
        <w:tab w:val="left" w:pos="780"/>
      </w:tabs>
      <w:ind w:left="780" w:hanging="360"/>
    </w:pPr>
    <w:rPr>
      <w:rFonts w:ascii="宋体" w:eastAsia="仿宋_GB2312"/>
      <w:snapToGrid w:val="0"/>
      <w:color w:val="000000"/>
      <w:kern w:val="0"/>
      <w:sz w:val="28"/>
      <w:szCs w:val="32"/>
    </w:rPr>
  </w:style>
  <w:style w:type="paragraph" w:styleId="HTML">
    <w:name w:val="HTML Address"/>
    <w:basedOn w:val="a6"/>
    <w:link w:val="HTMLChar"/>
    <w:qFormat/>
    <w:rPr>
      <w:i/>
      <w:iCs/>
      <w:color w:val="000000"/>
      <w:w w:val="110"/>
      <w:kern w:val="0"/>
      <w:sz w:val="20"/>
    </w:rPr>
  </w:style>
  <w:style w:type="paragraph" w:styleId="43">
    <w:name w:val="index 4"/>
    <w:basedOn w:val="a6"/>
    <w:next w:val="a6"/>
    <w:qFormat/>
    <w:pPr>
      <w:ind w:leftChars="600" w:left="600"/>
    </w:pPr>
    <w:rPr>
      <w:color w:val="000000"/>
      <w:w w:val="110"/>
      <w:kern w:val="0"/>
      <w:sz w:val="24"/>
    </w:rPr>
  </w:style>
  <w:style w:type="paragraph" w:styleId="52">
    <w:name w:val="toc 5"/>
    <w:basedOn w:val="a6"/>
    <w:next w:val="a6"/>
    <w:uiPriority w:val="39"/>
    <w:qFormat/>
    <w:pPr>
      <w:ind w:left="840"/>
      <w:jc w:val="left"/>
    </w:pPr>
    <w:rPr>
      <w:rFonts w:ascii="Calibri" w:hAnsi="Calibri"/>
      <w:sz w:val="18"/>
      <w:szCs w:val="18"/>
    </w:rPr>
  </w:style>
  <w:style w:type="paragraph" w:styleId="37">
    <w:name w:val="toc 3"/>
    <w:basedOn w:val="a6"/>
    <w:next w:val="a6"/>
    <w:uiPriority w:val="39"/>
    <w:qFormat/>
    <w:pPr>
      <w:ind w:left="420"/>
      <w:jc w:val="left"/>
    </w:pPr>
    <w:rPr>
      <w:rFonts w:ascii="Calibri" w:hAnsi="Calibri"/>
      <w:i/>
      <w:iCs/>
      <w:sz w:val="20"/>
      <w:szCs w:val="20"/>
    </w:rPr>
  </w:style>
  <w:style w:type="paragraph" w:styleId="afc">
    <w:name w:val="Plain Text"/>
    <w:basedOn w:val="a6"/>
    <w:link w:val="Charc"/>
    <w:qFormat/>
    <w:pPr>
      <w:spacing w:line="480" w:lineRule="exact"/>
      <w:ind w:firstLineChars="200" w:firstLine="544"/>
    </w:pPr>
    <w:rPr>
      <w:rFonts w:ascii="宋体" w:eastAsia="楷体_GB2312" w:hAnsi="Courier New"/>
      <w:color w:val="000000"/>
      <w:spacing w:val="-4"/>
      <w:sz w:val="28"/>
      <w:szCs w:val="21"/>
    </w:rPr>
  </w:style>
  <w:style w:type="paragraph" w:styleId="5">
    <w:name w:val="List Bullet 5"/>
    <w:basedOn w:val="a6"/>
    <w:qFormat/>
    <w:pPr>
      <w:numPr>
        <w:numId w:val="4"/>
      </w:numPr>
      <w:tabs>
        <w:tab w:val="left" w:pos="492"/>
      </w:tabs>
      <w:ind w:left="2470"/>
    </w:pPr>
    <w:rPr>
      <w:color w:val="000000"/>
      <w:w w:val="110"/>
      <w:kern w:val="0"/>
      <w:sz w:val="24"/>
      <w:szCs w:val="20"/>
    </w:rPr>
  </w:style>
  <w:style w:type="paragraph" w:styleId="44">
    <w:name w:val="List Number 4"/>
    <w:basedOn w:val="a6"/>
    <w:qFormat/>
  </w:style>
  <w:style w:type="paragraph" w:styleId="81">
    <w:name w:val="toc 8"/>
    <w:basedOn w:val="a6"/>
    <w:next w:val="a6"/>
    <w:uiPriority w:val="39"/>
    <w:qFormat/>
    <w:pPr>
      <w:ind w:left="1470"/>
      <w:jc w:val="left"/>
    </w:pPr>
    <w:rPr>
      <w:rFonts w:ascii="Calibri" w:hAnsi="Calibri"/>
      <w:sz w:val="18"/>
      <w:szCs w:val="18"/>
    </w:rPr>
  </w:style>
  <w:style w:type="paragraph" w:styleId="38">
    <w:name w:val="index 3"/>
    <w:basedOn w:val="a6"/>
    <w:next w:val="a6"/>
    <w:qFormat/>
    <w:pPr>
      <w:ind w:leftChars="400" w:left="400"/>
    </w:pPr>
    <w:rPr>
      <w:color w:val="000000"/>
      <w:w w:val="110"/>
      <w:kern w:val="0"/>
      <w:sz w:val="24"/>
    </w:rPr>
  </w:style>
  <w:style w:type="paragraph" w:styleId="afd">
    <w:name w:val="Date"/>
    <w:basedOn w:val="a6"/>
    <w:next w:val="a6"/>
    <w:link w:val="Chard"/>
    <w:qFormat/>
    <w:rPr>
      <w:sz w:val="28"/>
    </w:rPr>
  </w:style>
  <w:style w:type="paragraph" w:styleId="26">
    <w:name w:val="Body Text Indent 2"/>
    <w:basedOn w:val="a6"/>
    <w:link w:val="2Char0"/>
    <w:qFormat/>
    <w:pPr>
      <w:adjustRightInd w:val="0"/>
      <w:snapToGrid w:val="0"/>
      <w:spacing w:line="300" w:lineRule="auto"/>
      <w:ind w:firstLineChars="200" w:firstLine="480"/>
    </w:pPr>
    <w:rPr>
      <w:sz w:val="24"/>
    </w:rPr>
  </w:style>
  <w:style w:type="paragraph" w:styleId="afe">
    <w:name w:val="endnote text"/>
    <w:basedOn w:val="a6"/>
    <w:link w:val="Chare"/>
    <w:qFormat/>
    <w:pPr>
      <w:snapToGrid w:val="0"/>
      <w:jc w:val="left"/>
    </w:pPr>
    <w:rPr>
      <w:szCs w:val="20"/>
    </w:rPr>
  </w:style>
  <w:style w:type="paragraph" w:styleId="53">
    <w:name w:val="List Continue 5"/>
    <w:basedOn w:val="a6"/>
    <w:qFormat/>
    <w:pPr>
      <w:spacing w:after="120"/>
      <w:ind w:leftChars="1000" w:left="2100"/>
    </w:pPr>
    <w:rPr>
      <w:color w:val="000000"/>
      <w:w w:val="110"/>
      <w:kern w:val="0"/>
      <w:sz w:val="24"/>
    </w:rPr>
  </w:style>
  <w:style w:type="paragraph" w:styleId="aff">
    <w:name w:val="Balloon Text"/>
    <w:basedOn w:val="a6"/>
    <w:link w:val="Charf"/>
    <w:uiPriority w:val="99"/>
    <w:qFormat/>
    <w:rPr>
      <w:sz w:val="18"/>
      <w:szCs w:val="18"/>
    </w:rPr>
  </w:style>
  <w:style w:type="paragraph" w:styleId="aff0">
    <w:name w:val="footer"/>
    <w:basedOn w:val="a6"/>
    <w:link w:val="Charf0"/>
    <w:qFormat/>
    <w:pPr>
      <w:tabs>
        <w:tab w:val="center" w:pos="4153"/>
        <w:tab w:val="right" w:pos="9214"/>
      </w:tabs>
      <w:adjustRightInd w:val="0"/>
      <w:snapToGrid w:val="0"/>
    </w:pPr>
    <w:rPr>
      <w:rFonts w:ascii="楷体" w:eastAsia="楷体" w:hAnsi="楷体"/>
      <w:b/>
      <w:sz w:val="18"/>
      <w:szCs w:val="18"/>
      <w:lang w:val="zh-CN"/>
    </w:rPr>
  </w:style>
  <w:style w:type="paragraph" w:styleId="aff1">
    <w:name w:val="envelope return"/>
    <w:basedOn w:val="a6"/>
    <w:qFormat/>
    <w:pPr>
      <w:snapToGrid w:val="0"/>
    </w:pPr>
    <w:rPr>
      <w:rFonts w:ascii="Arial" w:hAnsi="Arial" w:cs="Arial"/>
      <w:color w:val="000000"/>
      <w:w w:val="110"/>
      <w:kern w:val="0"/>
      <w:sz w:val="24"/>
    </w:rPr>
  </w:style>
  <w:style w:type="paragraph" w:styleId="aff2">
    <w:name w:val="header"/>
    <w:basedOn w:val="a6"/>
    <w:link w:val="Charf1"/>
    <w:uiPriority w:val="99"/>
    <w:unhideWhenUsed/>
    <w:qFormat/>
    <w:pPr>
      <w:widowControl/>
      <w:pBdr>
        <w:bottom w:val="thinThickSmallGap" w:sz="12" w:space="1" w:color="auto"/>
      </w:pBdr>
      <w:tabs>
        <w:tab w:val="center" w:pos="4680"/>
        <w:tab w:val="right" w:pos="9360"/>
      </w:tabs>
      <w:jc w:val="left"/>
    </w:pPr>
    <w:rPr>
      <w:rFonts w:ascii="Calibri" w:hAnsi="Calibri"/>
      <w:kern w:val="0"/>
      <w:sz w:val="22"/>
      <w:szCs w:val="22"/>
    </w:rPr>
  </w:style>
  <w:style w:type="paragraph" w:styleId="aff3">
    <w:name w:val="Signature"/>
    <w:basedOn w:val="a6"/>
    <w:link w:val="Charf2"/>
    <w:qFormat/>
    <w:pPr>
      <w:ind w:leftChars="2100" w:left="100"/>
    </w:pPr>
    <w:rPr>
      <w:color w:val="000000"/>
      <w:w w:val="110"/>
      <w:kern w:val="0"/>
      <w:sz w:val="20"/>
    </w:rPr>
  </w:style>
  <w:style w:type="paragraph" w:styleId="13">
    <w:name w:val="toc 1"/>
    <w:basedOn w:val="12"/>
    <w:next w:val="a6"/>
    <w:link w:val="1Char"/>
    <w:uiPriority w:val="39"/>
    <w:qFormat/>
    <w:pPr>
      <w:keepNext w:val="0"/>
      <w:keepLines w:val="0"/>
      <w:spacing w:line="240" w:lineRule="auto"/>
      <w:jc w:val="left"/>
      <w:outlineLvl w:val="9"/>
    </w:pPr>
    <w:rPr>
      <w:rFonts w:ascii="Calibri" w:hAnsi="Calibri"/>
      <w:caps/>
      <w:kern w:val="2"/>
      <w:sz w:val="20"/>
      <w:szCs w:val="20"/>
    </w:rPr>
  </w:style>
  <w:style w:type="paragraph" w:styleId="45">
    <w:name w:val="List Continue 4"/>
    <w:basedOn w:val="a6"/>
    <w:qFormat/>
    <w:pPr>
      <w:spacing w:after="120"/>
      <w:ind w:leftChars="800" w:left="1680"/>
    </w:pPr>
    <w:rPr>
      <w:color w:val="000000"/>
      <w:w w:val="110"/>
      <w:kern w:val="0"/>
      <w:sz w:val="24"/>
    </w:rPr>
  </w:style>
  <w:style w:type="paragraph" w:styleId="46">
    <w:name w:val="toc 4"/>
    <w:basedOn w:val="a6"/>
    <w:next w:val="a6"/>
    <w:uiPriority w:val="39"/>
    <w:qFormat/>
    <w:pPr>
      <w:ind w:left="630"/>
      <w:jc w:val="left"/>
    </w:pPr>
    <w:rPr>
      <w:rFonts w:ascii="Calibri" w:hAnsi="Calibri"/>
      <w:sz w:val="18"/>
      <w:szCs w:val="18"/>
    </w:rPr>
  </w:style>
  <w:style w:type="paragraph" w:styleId="aff4">
    <w:name w:val="index heading"/>
    <w:basedOn w:val="a6"/>
    <w:qFormat/>
  </w:style>
  <w:style w:type="paragraph" w:styleId="14">
    <w:name w:val="index 1"/>
    <w:basedOn w:val="a6"/>
    <w:next w:val="a6"/>
    <w:qFormat/>
  </w:style>
  <w:style w:type="paragraph" w:styleId="aff5">
    <w:name w:val="Subtitle"/>
    <w:basedOn w:val="a6"/>
    <w:link w:val="Charf3"/>
    <w:qFormat/>
    <w:pPr>
      <w:wordWrap w:val="0"/>
      <w:topLinePunct/>
      <w:autoSpaceDN w:val="0"/>
      <w:spacing w:before="240"/>
      <w:ind w:firstLineChars="200" w:firstLine="420"/>
      <w:outlineLvl w:val="1"/>
    </w:pPr>
    <w:rPr>
      <w:rFonts w:eastAsia="楷体_GB2312"/>
      <w:bCs/>
      <w:kern w:val="28"/>
      <w:szCs w:val="32"/>
    </w:rPr>
  </w:style>
  <w:style w:type="paragraph" w:styleId="54">
    <w:name w:val="List Number 5"/>
    <w:basedOn w:val="a6"/>
    <w:qFormat/>
    <w:pPr>
      <w:tabs>
        <w:tab w:val="left" w:pos="960"/>
      </w:tabs>
      <w:ind w:left="960" w:hanging="450"/>
    </w:pPr>
    <w:rPr>
      <w:color w:val="000000"/>
      <w:w w:val="110"/>
      <w:kern w:val="0"/>
      <w:sz w:val="24"/>
      <w:szCs w:val="20"/>
    </w:rPr>
  </w:style>
  <w:style w:type="paragraph" w:styleId="aff6">
    <w:name w:val="List"/>
    <w:basedOn w:val="a6"/>
    <w:link w:val="Charf4"/>
    <w:qFormat/>
    <w:pPr>
      <w:ind w:left="200" w:hangingChars="200" w:hanging="200"/>
      <w:contextualSpacing/>
    </w:pPr>
  </w:style>
  <w:style w:type="paragraph" w:styleId="aff7">
    <w:name w:val="footnote text"/>
    <w:basedOn w:val="a6"/>
    <w:link w:val="Charf5"/>
    <w:qFormat/>
    <w:pPr>
      <w:snapToGrid w:val="0"/>
      <w:jc w:val="left"/>
    </w:pPr>
    <w:rPr>
      <w:sz w:val="18"/>
      <w:szCs w:val="18"/>
    </w:rPr>
  </w:style>
  <w:style w:type="paragraph" w:styleId="61">
    <w:name w:val="toc 6"/>
    <w:basedOn w:val="a6"/>
    <w:next w:val="a6"/>
    <w:uiPriority w:val="39"/>
    <w:qFormat/>
    <w:pPr>
      <w:ind w:left="1050"/>
      <w:jc w:val="left"/>
    </w:pPr>
    <w:rPr>
      <w:rFonts w:ascii="Calibri" w:hAnsi="Calibri"/>
      <w:sz w:val="18"/>
      <w:szCs w:val="18"/>
    </w:rPr>
  </w:style>
  <w:style w:type="paragraph" w:styleId="55">
    <w:name w:val="List 5"/>
    <w:basedOn w:val="a6"/>
    <w:qFormat/>
    <w:pPr>
      <w:ind w:leftChars="800" w:left="100" w:hangingChars="200" w:hanging="200"/>
    </w:pPr>
    <w:rPr>
      <w:color w:val="000000"/>
      <w:w w:val="110"/>
      <w:kern w:val="0"/>
      <w:sz w:val="24"/>
    </w:rPr>
  </w:style>
  <w:style w:type="paragraph" w:styleId="39">
    <w:name w:val="Body Text Indent 3"/>
    <w:basedOn w:val="a6"/>
    <w:link w:val="3Char1"/>
    <w:uiPriority w:val="99"/>
    <w:qFormat/>
    <w:pPr>
      <w:adjustRightInd w:val="0"/>
      <w:snapToGrid w:val="0"/>
      <w:spacing w:line="300" w:lineRule="auto"/>
      <w:ind w:firstLineChars="192" w:firstLine="538"/>
    </w:pPr>
    <w:rPr>
      <w:rFonts w:ascii="宋体"/>
      <w:color w:val="FF0000"/>
      <w:sz w:val="28"/>
    </w:rPr>
  </w:style>
  <w:style w:type="paragraph" w:styleId="71">
    <w:name w:val="index 7"/>
    <w:basedOn w:val="a6"/>
    <w:next w:val="a6"/>
    <w:qFormat/>
    <w:pPr>
      <w:ind w:leftChars="1200" w:left="1200"/>
    </w:pPr>
  </w:style>
  <w:style w:type="paragraph" w:styleId="90">
    <w:name w:val="index 9"/>
    <w:basedOn w:val="a6"/>
    <w:next w:val="a6"/>
    <w:qFormat/>
    <w:pPr>
      <w:ind w:leftChars="1600" w:left="1600"/>
    </w:pPr>
    <w:rPr>
      <w:color w:val="000000"/>
      <w:w w:val="110"/>
      <w:kern w:val="0"/>
      <w:sz w:val="24"/>
    </w:rPr>
  </w:style>
  <w:style w:type="paragraph" w:styleId="aff8">
    <w:name w:val="table of figures"/>
    <w:basedOn w:val="a6"/>
    <w:next w:val="a6"/>
    <w:link w:val="Charf6"/>
    <w:qFormat/>
    <w:pPr>
      <w:jc w:val="center"/>
    </w:pPr>
    <w:rPr>
      <w:rFonts w:eastAsia="楷体_GB2312"/>
      <w:color w:val="000000"/>
      <w:spacing w:val="-4"/>
    </w:rPr>
  </w:style>
  <w:style w:type="paragraph" w:styleId="27">
    <w:name w:val="toc 2"/>
    <w:basedOn w:val="a6"/>
    <w:next w:val="a6"/>
    <w:uiPriority w:val="39"/>
    <w:qFormat/>
    <w:pPr>
      <w:ind w:left="210"/>
      <w:jc w:val="left"/>
    </w:pPr>
    <w:rPr>
      <w:rFonts w:ascii="Calibri" w:hAnsi="Calibri"/>
      <w:smallCaps/>
      <w:sz w:val="20"/>
      <w:szCs w:val="20"/>
    </w:rPr>
  </w:style>
  <w:style w:type="paragraph" w:styleId="91">
    <w:name w:val="toc 9"/>
    <w:basedOn w:val="a6"/>
    <w:next w:val="a6"/>
    <w:uiPriority w:val="39"/>
    <w:qFormat/>
    <w:pPr>
      <w:ind w:left="1680"/>
      <w:jc w:val="left"/>
    </w:pPr>
    <w:rPr>
      <w:rFonts w:ascii="Calibri" w:hAnsi="Calibri"/>
      <w:sz w:val="18"/>
      <w:szCs w:val="18"/>
    </w:rPr>
  </w:style>
  <w:style w:type="paragraph" w:styleId="28">
    <w:name w:val="Body Text 2"/>
    <w:basedOn w:val="a6"/>
    <w:link w:val="2Char1"/>
    <w:qFormat/>
    <w:pPr>
      <w:spacing w:beforeLines="50" w:before="50" w:after="120"/>
      <w:ind w:firstLineChars="200" w:firstLine="200"/>
    </w:pPr>
    <w:rPr>
      <w:rFonts w:eastAsia="黑体"/>
    </w:rPr>
  </w:style>
  <w:style w:type="paragraph" w:styleId="47">
    <w:name w:val="List 4"/>
    <w:basedOn w:val="a6"/>
    <w:qFormat/>
    <w:pPr>
      <w:ind w:leftChars="600" w:left="100" w:hangingChars="200" w:hanging="200"/>
    </w:pPr>
    <w:rPr>
      <w:color w:val="000000"/>
      <w:w w:val="110"/>
      <w:kern w:val="0"/>
      <w:sz w:val="24"/>
    </w:rPr>
  </w:style>
  <w:style w:type="paragraph" w:styleId="29">
    <w:name w:val="List Continue 2"/>
    <w:basedOn w:val="a6"/>
    <w:qFormat/>
    <w:pPr>
      <w:spacing w:after="120"/>
      <w:ind w:leftChars="400" w:left="840"/>
    </w:pPr>
    <w:rPr>
      <w:color w:val="000000"/>
      <w:w w:val="110"/>
      <w:kern w:val="0"/>
      <w:sz w:val="24"/>
    </w:rPr>
  </w:style>
  <w:style w:type="paragraph" w:styleId="aff9">
    <w:name w:val="Message Header"/>
    <w:basedOn w:val="a6"/>
    <w:link w:val="Charf7"/>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olor w:val="000000"/>
      <w:w w:val="110"/>
      <w:kern w:val="0"/>
      <w:sz w:val="24"/>
      <w:shd w:val="pct20" w:color="auto" w:fill="auto"/>
    </w:rPr>
  </w:style>
  <w:style w:type="paragraph" w:styleId="HTML0">
    <w:name w:val="HTML Preformatted"/>
    <w:basedOn w:val="a6"/>
    <w:link w:val="HTMLChar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kern w:val="0"/>
      <w:sz w:val="20"/>
      <w:szCs w:val="20"/>
    </w:rPr>
  </w:style>
  <w:style w:type="paragraph" w:styleId="affa">
    <w:name w:val="Normal (Web)"/>
    <w:basedOn w:val="a6"/>
    <w:link w:val="Charf8"/>
    <w:uiPriority w:val="99"/>
    <w:qFormat/>
    <w:pPr>
      <w:widowControl/>
      <w:spacing w:before="100" w:beforeAutospacing="1" w:after="100" w:afterAutospacing="1"/>
      <w:jc w:val="left"/>
    </w:pPr>
    <w:rPr>
      <w:rFonts w:ascii="Arial Unicode MS" w:eastAsia="Arial Unicode MS" w:hAnsi="Arial Unicode MS" w:cs="Arial Unicode MS"/>
      <w:kern w:val="0"/>
      <w:sz w:val="24"/>
    </w:rPr>
  </w:style>
  <w:style w:type="paragraph" w:styleId="3a">
    <w:name w:val="List Continue 3"/>
    <w:basedOn w:val="a6"/>
    <w:qFormat/>
    <w:pPr>
      <w:spacing w:after="120"/>
      <w:ind w:leftChars="600" w:left="1260"/>
    </w:pPr>
    <w:rPr>
      <w:color w:val="000000"/>
      <w:w w:val="110"/>
      <w:kern w:val="0"/>
      <w:sz w:val="24"/>
    </w:rPr>
  </w:style>
  <w:style w:type="paragraph" w:styleId="2a">
    <w:name w:val="index 2"/>
    <w:basedOn w:val="a6"/>
    <w:next w:val="a6"/>
    <w:qFormat/>
    <w:pPr>
      <w:ind w:leftChars="200" w:left="200"/>
    </w:pPr>
  </w:style>
  <w:style w:type="paragraph" w:styleId="affb">
    <w:name w:val="annotation subject"/>
    <w:basedOn w:val="af6"/>
    <w:next w:val="af6"/>
    <w:link w:val="Charf9"/>
    <w:qFormat/>
    <w:rPr>
      <w:b/>
      <w:bCs/>
    </w:rPr>
  </w:style>
  <w:style w:type="paragraph" w:styleId="affc">
    <w:name w:val="Body Text First Indent"/>
    <w:basedOn w:val="a6"/>
    <w:link w:val="Charfa"/>
    <w:qFormat/>
    <w:pPr>
      <w:spacing w:line="500" w:lineRule="exact"/>
      <w:ind w:firstLineChars="200" w:firstLine="536"/>
    </w:pPr>
    <w:rPr>
      <w:rFonts w:ascii="宋体" w:hAnsi="宋体"/>
      <w:bCs/>
      <w:spacing w:val="4"/>
      <w:kern w:val="24"/>
      <w:sz w:val="26"/>
      <w:szCs w:val="26"/>
    </w:rPr>
  </w:style>
  <w:style w:type="paragraph" w:styleId="2b">
    <w:name w:val="Body Text First Indent 2"/>
    <w:basedOn w:val="af9"/>
    <w:next w:val="a6"/>
    <w:link w:val="2Char2"/>
    <w:qFormat/>
    <w:pPr>
      <w:spacing w:after="120" w:line="240" w:lineRule="auto"/>
      <w:ind w:leftChars="200" w:left="420" w:firstLineChars="200" w:firstLine="420"/>
    </w:pPr>
    <w:rPr>
      <w:sz w:val="21"/>
    </w:rPr>
  </w:style>
  <w:style w:type="table" w:styleId="affd">
    <w:name w:val="Table Grid"/>
    <w:basedOn w:val="a8"/>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e">
    <w:name w:val="Table Theme"/>
    <w:basedOn w:val="a8"/>
    <w:qFormat/>
    <w:pPr>
      <w:widowControl w:val="0"/>
      <w:spacing w:line="360" w:lineRule="auto"/>
      <w:ind w:firstLineChars="200" w:firstLine="20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5">
    <w:name w:val="Table Colorful 1"/>
    <w:basedOn w:val="a8"/>
    <w:qFormat/>
    <w:pPr>
      <w:widowControl w:val="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2c">
    <w:name w:val="Table Colorful 2"/>
    <w:basedOn w:val="a8"/>
    <w:qFormat/>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3b">
    <w:name w:val="Table Colorful 3"/>
    <w:basedOn w:val="a8"/>
    <w:qFormat/>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top w:val="nil"/>
          <w:left w:val="nil"/>
          <w:bottom w:val="single" w:sz="6" w:space="0" w:color="000000"/>
          <w:right w:val="nil"/>
          <w:insideH w:val="nil"/>
          <w:insideV w:val="nil"/>
          <w:tl2br w:val="nil"/>
          <w:tr2bl w:val="nil"/>
        </w:tcBorders>
        <w:shd w:val="solid" w:color="008080" w:fill="FFFFFF"/>
      </w:tcPr>
    </w:tblStylePr>
    <w:tblStylePr w:type="firstCol">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afff">
    <w:name w:val="Table Elegant"/>
    <w:basedOn w:val="a8"/>
    <w:qFormat/>
    <w:pPr>
      <w:widowControl w:val="0"/>
      <w:spacing w:line="360" w:lineRule="auto"/>
      <w:ind w:firstLineChars="200" w:firstLine="20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16">
    <w:name w:val="Table Classic 1"/>
    <w:basedOn w:val="a8"/>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d">
    <w:name w:val="Table Classic 2"/>
    <w:basedOn w:val="a8"/>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3c">
    <w:name w:val="Table Classic 3"/>
    <w:basedOn w:val="a8"/>
    <w:qFormat/>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styleId="48">
    <w:name w:val="Table Classic 4"/>
    <w:basedOn w:val="a8"/>
    <w:qFormat/>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7">
    <w:name w:val="Table Simple 1"/>
    <w:basedOn w:val="a8"/>
    <w:qFormat/>
    <w:pPr>
      <w:widowControl w:val="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styleId="2e">
    <w:name w:val="Table Simple 2"/>
    <w:basedOn w:val="a8"/>
    <w:qFormat/>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d">
    <w:name w:val="Table Simple 3"/>
    <w:basedOn w:val="a8"/>
    <w:qFormat/>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18">
    <w:name w:val="Table Subtle 1"/>
    <w:basedOn w:val="a8"/>
    <w:qFormat/>
    <w:pPr>
      <w:widowControl w:val="0"/>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single" w:sz="12" w:space="0" w:color="000000"/>
          <w:bottom w:val="nil"/>
          <w:right w:val="nil"/>
          <w:insideH w:val="nil"/>
          <w:insideV w:val="nil"/>
          <w:tl2br w:val="nil"/>
          <w:tr2bl w:val="nil"/>
        </w:tcBorders>
      </w:tcPr>
    </w:tblStylePr>
    <w:tblStylePr w:type="band1Horz">
      <w:tblPr/>
      <w:tcPr>
        <w:tcBorders>
          <w:top w:val="nil"/>
          <w:left w:val="nil"/>
          <w:bottom w:val="single" w:sz="6"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f">
    <w:name w:val="Table Subtle 2"/>
    <w:basedOn w:val="a8"/>
    <w:qFormat/>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firstCol">
      <w:tblPr/>
      <w:tcPr>
        <w:tcBorders>
          <w:top w:val="nil"/>
          <w:left w:val="nil"/>
          <w:bottom w:val="nil"/>
          <w:right w:val="single" w:sz="12" w:space="0" w:color="000000"/>
          <w:insideH w:val="nil"/>
          <w:insideV w:val="nil"/>
          <w:tl2br w:val="nil"/>
          <w:tr2bl w:val="nil"/>
        </w:tcBorders>
        <w:shd w:val="pct25" w:color="008000" w:fill="FFFFFF"/>
      </w:tcPr>
    </w:tblStylePr>
    <w:tblStylePr w:type="lastCol">
      <w:tblPr/>
      <w:tcPr>
        <w:tcBorders>
          <w:top w:val="nil"/>
          <w:left w:val="single" w:sz="12" w:space="0" w:color="00000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9">
    <w:name w:val="Table 3D effects 1"/>
    <w:basedOn w:val="a8"/>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top w:val="nil"/>
          <w:left w:val="nil"/>
          <w:bottom w:val="single" w:sz="6" w:space="0" w:color="808080"/>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single" w:sz="6" w:space="0" w:color="FFFFFF"/>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2f0">
    <w:name w:val="Table 3D effects 2"/>
    <w:basedOn w:val="a8"/>
    <w:qFormat/>
    <w:pPr>
      <w:widowControl w:val="0"/>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e">
    <w:name w:val="Table 3D effects 3"/>
    <w:basedOn w:val="a8"/>
    <w:qFormat/>
    <w:pPr>
      <w:widowControl w:val="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a">
    <w:name w:val="Table List 1"/>
    <w:basedOn w:val="a8"/>
    <w:qFormat/>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f1">
    <w:name w:val="Table List 2"/>
    <w:basedOn w:val="a8"/>
    <w:qFormat/>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top w:val="nil"/>
          <w:left w:val="nil"/>
          <w:bottom w:val="single" w:sz="6" w:space="0" w:color="000000"/>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f">
    <w:name w:val="Table List 3"/>
    <w:basedOn w:val="a8"/>
    <w:qFormat/>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49">
    <w:name w:val="Table List 4"/>
    <w:basedOn w:val="a8"/>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styleId="56">
    <w:name w:val="Table List 5"/>
    <w:basedOn w:val="a8"/>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62">
    <w:name w:val="Table List 6"/>
    <w:basedOn w:val="a8"/>
    <w:qFormat/>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72">
    <w:name w:val="Table List 7"/>
    <w:basedOn w:val="a8"/>
    <w:qFormat/>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styleId="82">
    <w:name w:val="Table List 8"/>
    <w:basedOn w:val="a8"/>
    <w:qFormat/>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top w:val="nil"/>
          <w:left w:val="nil"/>
          <w:bottom w:val="single" w:sz="6" w:space="0" w:color="000000"/>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styleId="afff0">
    <w:name w:val="Table Contemporary"/>
    <w:basedOn w:val="a8"/>
    <w:qFormat/>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1b">
    <w:name w:val="Table Columns 1"/>
    <w:basedOn w:val="a8"/>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top w:val="nil"/>
          <w:left w:val="nil"/>
          <w:bottom w:val="double" w:sz="6" w:space="0" w:color="00000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f2">
    <w:name w:val="Table Columns 2"/>
    <w:basedOn w:val="a8"/>
    <w:qFormat/>
    <w:pPr>
      <w:widowControl w:val="0"/>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f0">
    <w:name w:val="Table Columns 3"/>
    <w:basedOn w:val="a8"/>
    <w:qFormat/>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styleId="4a">
    <w:name w:val="Table Columns 4"/>
    <w:basedOn w:val="a8"/>
    <w:qFormat/>
    <w:pPr>
      <w:widowControl w:val="0"/>
      <w:jc w:val="both"/>
    </w:pPr>
    <w:tblPr>
      <w:tblStyleColBandSize w:val="1"/>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8"/>
    <w:qFormat/>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top w:val="nil"/>
          <w:left w:val="nil"/>
          <w:bottom w:val="single" w:sz="6" w:space="0" w:color="808080"/>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c">
    <w:name w:val="Table Grid 1"/>
    <w:basedOn w:val="a8"/>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2f3">
    <w:name w:val="Table Grid 2"/>
    <w:basedOn w:val="a8"/>
    <w:qFormat/>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3f1">
    <w:name w:val="Table Grid 3"/>
    <w:basedOn w:val="a8"/>
    <w:qFormat/>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4b">
    <w:name w:val="Table Grid 4"/>
    <w:basedOn w:val="a8"/>
    <w:qFormat/>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58">
    <w:name w:val="Table Grid 5"/>
    <w:basedOn w:val="a8"/>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63">
    <w:name w:val="Table Grid 6"/>
    <w:basedOn w:val="a8"/>
    <w:qFormat/>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73">
    <w:name w:val="Table Grid 7"/>
    <w:basedOn w:val="a8"/>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3">
    <w:name w:val="Table Grid 8"/>
    <w:basedOn w:val="a8"/>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d">
    <w:name w:val="Table Web 1"/>
    <w:basedOn w:val="a8"/>
    <w:qFormat/>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2f4">
    <w:name w:val="Table Web 2"/>
    <w:basedOn w:val="a8"/>
    <w:qFormat/>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3f2">
    <w:name w:val="Table Web 3"/>
    <w:basedOn w:val="a8"/>
    <w:qFormat/>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afff1">
    <w:name w:val="Table Professional"/>
    <w:basedOn w:val="a8"/>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f2">
    <w:name w:val="Strong"/>
    <w:uiPriority w:val="22"/>
    <w:qFormat/>
    <w:rPr>
      <w:rFonts w:ascii="Times New Roman" w:hAnsi="Times New Roman"/>
      <w:b/>
      <w:sz w:val="21"/>
    </w:rPr>
  </w:style>
  <w:style w:type="character" w:styleId="afff3">
    <w:name w:val="endnote reference"/>
    <w:uiPriority w:val="99"/>
    <w:qFormat/>
    <w:rPr>
      <w:vertAlign w:val="superscript"/>
    </w:rPr>
  </w:style>
  <w:style w:type="character" w:styleId="afff4">
    <w:name w:val="page number"/>
    <w:basedOn w:val="a7"/>
    <w:qFormat/>
  </w:style>
  <w:style w:type="character" w:styleId="afff5">
    <w:name w:val="FollowedHyperlink"/>
    <w:uiPriority w:val="99"/>
    <w:qFormat/>
    <w:rPr>
      <w:color w:val="800080"/>
      <w:u w:val="single"/>
    </w:rPr>
  </w:style>
  <w:style w:type="character" w:styleId="afff6">
    <w:name w:val="Emphasis"/>
    <w:qFormat/>
    <w:rPr>
      <w:color w:val="CC0000"/>
    </w:rPr>
  </w:style>
  <w:style w:type="character" w:styleId="afff7">
    <w:name w:val="line number"/>
    <w:qFormat/>
  </w:style>
  <w:style w:type="character" w:styleId="HTML1">
    <w:name w:val="HTML Definition"/>
    <w:qFormat/>
    <w:rPr>
      <w:rFonts w:ascii="宋体" w:eastAsia="宋体" w:hAnsi="宋体" w:cs="Courier New"/>
      <w:i/>
      <w:iCs/>
      <w:kern w:val="2"/>
      <w:sz w:val="32"/>
      <w:szCs w:val="32"/>
      <w:lang w:val="en-US" w:eastAsia="zh-CN" w:bidi="ar-SA"/>
    </w:rPr>
  </w:style>
  <w:style w:type="character" w:styleId="HTML2">
    <w:name w:val="HTML Typewriter"/>
    <w:qFormat/>
    <w:rPr>
      <w:rFonts w:ascii="Courier New" w:eastAsia="宋体" w:hAnsi="Courier New" w:cs="Courier New"/>
      <w:kern w:val="2"/>
      <w:sz w:val="20"/>
      <w:szCs w:val="20"/>
      <w:lang w:val="en-US" w:eastAsia="zh-CN" w:bidi="ar-SA"/>
    </w:rPr>
  </w:style>
  <w:style w:type="character" w:styleId="HTML3">
    <w:name w:val="HTML Acronym"/>
    <w:qFormat/>
    <w:rPr>
      <w:rFonts w:ascii="宋体" w:eastAsia="宋体" w:hAnsi="宋体" w:cs="Courier New"/>
      <w:kern w:val="2"/>
      <w:sz w:val="32"/>
      <w:szCs w:val="32"/>
      <w:lang w:val="en-US" w:eastAsia="zh-CN" w:bidi="ar-SA"/>
    </w:rPr>
  </w:style>
  <w:style w:type="character" w:styleId="HTML4">
    <w:name w:val="HTML Variable"/>
    <w:qFormat/>
    <w:rPr>
      <w:rFonts w:ascii="宋体" w:eastAsia="宋体" w:hAnsi="宋体" w:cs="Courier New"/>
      <w:i/>
      <w:iCs/>
      <w:kern w:val="2"/>
      <w:sz w:val="32"/>
      <w:szCs w:val="32"/>
      <w:lang w:val="en-US" w:eastAsia="zh-CN" w:bidi="ar-SA"/>
    </w:rPr>
  </w:style>
  <w:style w:type="character" w:styleId="afff8">
    <w:name w:val="Hyperlink"/>
    <w:uiPriority w:val="99"/>
    <w:qFormat/>
    <w:rPr>
      <w:color w:val="0000FF"/>
      <w:u w:val="single"/>
    </w:rPr>
  </w:style>
  <w:style w:type="character" w:styleId="HTML5">
    <w:name w:val="HTML Code"/>
    <w:qFormat/>
    <w:rPr>
      <w:rFonts w:ascii="Courier New" w:eastAsia="宋体" w:hAnsi="Courier New" w:cs="Courier New"/>
      <w:kern w:val="2"/>
      <w:sz w:val="20"/>
      <w:szCs w:val="20"/>
      <w:lang w:val="en-US" w:eastAsia="zh-CN" w:bidi="ar-SA"/>
    </w:rPr>
  </w:style>
  <w:style w:type="character" w:styleId="afff9">
    <w:name w:val="annotation reference"/>
    <w:uiPriority w:val="99"/>
    <w:qFormat/>
    <w:rPr>
      <w:sz w:val="21"/>
      <w:szCs w:val="21"/>
    </w:rPr>
  </w:style>
  <w:style w:type="character" w:styleId="HTML6">
    <w:name w:val="HTML Cite"/>
    <w:qFormat/>
    <w:rPr>
      <w:rFonts w:ascii="宋体" w:eastAsia="宋体" w:hAnsi="宋体" w:cs="Courier New"/>
      <w:i/>
      <w:iCs/>
      <w:kern w:val="2"/>
      <w:sz w:val="32"/>
      <w:szCs w:val="32"/>
      <w:lang w:val="en-US" w:eastAsia="zh-CN" w:bidi="ar-SA"/>
    </w:rPr>
  </w:style>
  <w:style w:type="character" w:styleId="afffa">
    <w:name w:val="footnote reference"/>
    <w:qFormat/>
    <w:rPr>
      <w:vertAlign w:val="superscript"/>
    </w:rPr>
  </w:style>
  <w:style w:type="character" w:styleId="HTML7">
    <w:name w:val="HTML Keyboard"/>
    <w:qFormat/>
    <w:rPr>
      <w:rFonts w:ascii="Courier New" w:eastAsia="宋体" w:hAnsi="Courier New" w:cs="Courier New"/>
      <w:kern w:val="2"/>
      <w:sz w:val="20"/>
      <w:szCs w:val="20"/>
      <w:lang w:val="en-US" w:eastAsia="zh-CN" w:bidi="ar-SA"/>
    </w:rPr>
  </w:style>
  <w:style w:type="character" w:styleId="HTML8">
    <w:name w:val="HTML Sample"/>
    <w:qFormat/>
    <w:rPr>
      <w:rFonts w:ascii="黑体" w:eastAsia="黑体" w:hAnsi="Courier New" w:cs="Courier New"/>
    </w:rPr>
  </w:style>
  <w:style w:type="character" w:customStyle="1" w:styleId="Char0">
    <w:name w:val="宏文本 Char"/>
    <w:link w:val="ab"/>
    <w:qFormat/>
    <w:rPr>
      <w:rFonts w:ascii="Courier New" w:hAnsi="Courier New"/>
      <w:kern w:val="2"/>
      <w:sz w:val="24"/>
      <w:szCs w:val="24"/>
      <w:lang w:bidi="ar-SA"/>
    </w:rPr>
  </w:style>
  <w:style w:type="character" w:customStyle="1" w:styleId="2Char">
    <w:name w:val="标题 2 Char"/>
    <w:link w:val="22"/>
    <w:uiPriority w:val="9"/>
    <w:qFormat/>
    <w:rPr>
      <w:rFonts w:ascii="Times New Roman" w:eastAsia="黑体" w:hAnsi="Times New Roman"/>
      <w:bCs/>
      <w:spacing w:val="6"/>
      <w:w w:val="90"/>
      <w:kern w:val="28"/>
      <w:sz w:val="28"/>
      <w:szCs w:val="28"/>
    </w:rPr>
  </w:style>
  <w:style w:type="character" w:customStyle="1" w:styleId="3Char">
    <w:name w:val="标题 3 Char"/>
    <w:link w:val="33"/>
    <w:uiPriority w:val="9"/>
    <w:qFormat/>
    <w:rPr>
      <w:rFonts w:ascii="Times New Roman" w:eastAsia="黑体" w:hAnsi="Times New Roman"/>
      <w:spacing w:val="6"/>
      <w:kern w:val="2"/>
      <w:sz w:val="28"/>
      <w:szCs w:val="30"/>
    </w:rPr>
  </w:style>
  <w:style w:type="character" w:customStyle="1" w:styleId="4Char">
    <w:name w:val="标题 4 Char"/>
    <w:link w:val="41"/>
    <w:uiPriority w:val="9"/>
    <w:qFormat/>
    <w:rPr>
      <w:rFonts w:ascii="黑体" w:eastAsia="黑体" w:hAnsi="黑体"/>
      <w:bCs/>
      <w:kern w:val="2"/>
      <w:sz w:val="28"/>
      <w:lang w:val="en-US" w:eastAsia="zh-CN" w:bidi="ar-SA"/>
    </w:rPr>
  </w:style>
  <w:style w:type="character" w:customStyle="1" w:styleId="5Char">
    <w:name w:val="标题 5 Char"/>
    <w:link w:val="50"/>
    <w:qFormat/>
    <w:rPr>
      <w:b/>
      <w:bCs/>
      <w:kern w:val="2"/>
      <w:sz w:val="28"/>
      <w:szCs w:val="28"/>
    </w:rPr>
  </w:style>
  <w:style w:type="character" w:customStyle="1" w:styleId="6Char">
    <w:name w:val="标题 6 Char"/>
    <w:link w:val="6"/>
    <w:qFormat/>
    <w:rPr>
      <w:spacing w:val="6"/>
      <w:w w:val="90"/>
      <w:kern w:val="2"/>
      <w:sz w:val="28"/>
    </w:rPr>
  </w:style>
  <w:style w:type="character" w:customStyle="1" w:styleId="7Char">
    <w:name w:val="标题 7 Char"/>
    <w:link w:val="7"/>
    <w:qFormat/>
    <w:rPr>
      <w:rFonts w:eastAsia="楷体_GB2312"/>
      <w:i/>
      <w:iCs/>
      <w:kern w:val="2"/>
      <w:sz w:val="21"/>
      <w:szCs w:val="24"/>
    </w:rPr>
  </w:style>
  <w:style w:type="character" w:customStyle="1" w:styleId="8Char">
    <w:name w:val="标题 8 Char"/>
    <w:link w:val="8"/>
    <w:qFormat/>
    <w:rPr>
      <w:rFonts w:ascii="Arial" w:eastAsia="黑体" w:hAnsi="Arial"/>
      <w:kern w:val="2"/>
      <w:sz w:val="24"/>
      <w:szCs w:val="24"/>
    </w:rPr>
  </w:style>
  <w:style w:type="character" w:customStyle="1" w:styleId="9Char">
    <w:name w:val="标题 9 Char"/>
    <w:link w:val="9"/>
    <w:qFormat/>
    <w:rPr>
      <w:rFonts w:ascii="Arial" w:eastAsia="黑体" w:hAnsi="Arial"/>
      <w:kern w:val="2"/>
      <w:sz w:val="24"/>
      <w:szCs w:val="21"/>
    </w:rPr>
  </w:style>
  <w:style w:type="character" w:customStyle="1" w:styleId="Char1">
    <w:name w:val="注释标题 Char"/>
    <w:link w:val="ad"/>
    <w:qFormat/>
    <w:rPr>
      <w:rFonts w:ascii="宋体"/>
      <w:sz w:val="24"/>
    </w:rPr>
  </w:style>
  <w:style w:type="character" w:customStyle="1" w:styleId="Char2">
    <w:name w:val="电子邮件签名 Char"/>
    <w:link w:val="ae"/>
    <w:qFormat/>
    <w:rPr>
      <w:color w:val="000000"/>
      <w:w w:val="110"/>
      <w:szCs w:val="24"/>
    </w:rPr>
  </w:style>
  <w:style w:type="character" w:customStyle="1" w:styleId="Char3">
    <w:name w:val="正文缩进 Char"/>
    <w:link w:val="af0"/>
    <w:qFormat/>
    <w:rPr>
      <w:rFonts w:ascii="宋体" w:hAnsi="宋体"/>
      <w:sz w:val="24"/>
      <w:szCs w:val="28"/>
    </w:rPr>
  </w:style>
  <w:style w:type="character" w:customStyle="1" w:styleId="Char4">
    <w:name w:val="题注 Char"/>
    <w:link w:val="af1"/>
    <w:qFormat/>
    <w:rPr>
      <w:b/>
      <w:kern w:val="2"/>
      <w:sz w:val="24"/>
      <w:szCs w:val="24"/>
      <w:lang w:bidi="ar-SA"/>
    </w:rPr>
  </w:style>
  <w:style w:type="character" w:customStyle="1" w:styleId="Char5">
    <w:name w:val="文档结构图 Char"/>
    <w:link w:val="af4"/>
    <w:uiPriority w:val="99"/>
    <w:qFormat/>
    <w:rPr>
      <w:kern w:val="2"/>
      <w:sz w:val="21"/>
      <w:szCs w:val="24"/>
      <w:shd w:val="clear" w:color="auto" w:fill="000080"/>
    </w:rPr>
  </w:style>
  <w:style w:type="character" w:customStyle="1" w:styleId="Char6">
    <w:name w:val="批注文字 Char"/>
    <w:link w:val="af6"/>
    <w:uiPriority w:val="99"/>
    <w:qFormat/>
    <w:rPr>
      <w:rFonts w:eastAsia="宋体"/>
      <w:kern w:val="2"/>
      <w:sz w:val="21"/>
      <w:szCs w:val="24"/>
      <w:lang w:val="en-US" w:eastAsia="zh-CN" w:bidi="ar-SA"/>
    </w:rPr>
  </w:style>
  <w:style w:type="character" w:customStyle="1" w:styleId="Char7">
    <w:name w:val="称呼 Char"/>
    <w:link w:val="af7"/>
    <w:qFormat/>
    <w:rPr>
      <w:color w:val="000000"/>
      <w:w w:val="110"/>
    </w:rPr>
  </w:style>
  <w:style w:type="character" w:customStyle="1" w:styleId="3Char0">
    <w:name w:val="正文文本 3 Char"/>
    <w:link w:val="35"/>
    <w:qFormat/>
    <w:rPr>
      <w:kern w:val="2"/>
      <w:sz w:val="18"/>
      <w:szCs w:val="24"/>
    </w:rPr>
  </w:style>
  <w:style w:type="character" w:customStyle="1" w:styleId="Char8">
    <w:name w:val="结束语 Char"/>
    <w:link w:val="a"/>
    <w:qFormat/>
    <w:rPr>
      <w:rFonts w:eastAsia="Times New Roman"/>
      <w:color w:val="000000"/>
      <w:w w:val="110"/>
      <w:kern w:val="2"/>
      <w:sz w:val="21"/>
      <w:szCs w:val="24"/>
    </w:rPr>
  </w:style>
  <w:style w:type="character" w:customStyle="1" w:styleId="Char9">
    <w:name w:val="正文文本 Char"/>
    <w:link w:val="af8"/>
    <w:uiPriority w:val="99"/>
    <w:qFormat/>
    <w:rPr>
      <w:kern w:val="2"/>
      <w:sz w:val="21"/>
      <w:szCs w:val="24"/>
    </w:rPr>
  </w:style>
  <w:style w:type="character" w:customStyle="1" w:styleId="Chara">
    <w:name w:val="正文文本缩进 Char"/>
    <w:link w:val="af9"/>
    <w:uiPriority w:val="99"/>
    <w:qFormat/>
    <w:rPr>
      <w:rFonts w:ascii="宋体" w:hAnsi="宋体"/>
      <w:kern w:val="2"/>
      <w:sz w:val="24"/>
      <w:szCs w:val="24"/>
    </w:rPr>
  </w:style>
  <w:style w:type="character" w:customStyle="1" w:styleId="Charb">
    <w:name w:val="文本块 Char"/>
    <w:link w:val="afb"/>
    <w:qFormat/>
    <w:rPr>
      <w:kern w:val="2"/>
      <w:sz w:val="24"/>
      <w:szCs w:val="24"/>
    </w:rPr>
  </w:style>
  <w:style w:type="character" w:customStyle="1" w:styleId="HTMLChar">
    <w:name w:val="HTML 地址 Char"/>
    <w:link w:val="HTML"/>
    <w:qFormat/>
    <w:rPr>
      <w:i/>
      <w:iCs/>
      <w:color w:val="000000"/>
      <w:w w:val="110"/>
      <w:szCs w:val="24"/>
    </w:rPr>
  </w:style>
  <w:style w:type="character" w:customStyle="1" w:styleId="Charc">
    <w:name w:val="纯文本 Char"/>
    <w:link w:val="afc"/>
    <w:qFormat/>
    <w:rPr>
      <w:rFonts w:ascii="宋体" w:eastAsia="楷体_GB2312" w:hAnsi="Courier New" w:cs="Courier New"/>
      <w:color w:val="000000"/>
      <w:spacing w:val="-4"/>
      <w:kern w:val="2"/>
      <w:sz w:val="28"/>
      <w:szCs w:val="21"/>
      <w:lang w:val="en-US" w:eastAsia="zh-CN"/>
    </w:rPr>
  </w:style>
  <w:style w:type="character" w:customStyle="1" w:styleId="Chard">
    <w:name w:val="日期 Char"/>
    <w:link w:val="afd"/>
    <w:qFormat/>
    <w:rPr>
      <w:rFonts w:eastAsia="宋体"/>
      <w:kern w:val="2"/>
      <w:sz w:val="28"/>
      <w:szCs w:val="24"/>
      <w:lang w:val="en-US" w:eastAsia="zh-CN" w:bidi="ar-SA"/>
    </w:rPr>
  </w:style>
  <w:style w:type="character" w:customStyle="1" w:styleId="2Char0">
    <w:name w:val="正文文本缩进 2 Char"/>
    <w:link w:val="26"/>
    <w:qFormat/>
    <w:rPr>
      <w:kern w:val="2"/>
      <w:sz w:val="24"/>
      <w:szCs w:val="24"/>
    </w:rPr>
  </w:style>
  <w:style w:type="character" w:customStyle="1" w:styleId="Chare">
    <w:name w:val="尾注文本 Char"/>
    <w:link w:val="afe"/>
    <w:qFormat/>
    <w:rPr>
      <w:kern w:val="2"/>
      <w:sz w:val="21"/>
    </w:rPr>
  </w:style>
  <w:style w:type="character" w:customStyle="1" w:styleId="Charf">
    <w:name w:val="批注框文本 Char"/>
    <w:link w:val="aff"/>
    <w:uiPriority w:val="99"/>
    <w:qFormat/>
    <w:rPr>
      <w:kern w:val="2"/>
      <w:sz w:val="18"/>
      <w:szCs w:val="18"/>
    </w:rPr>
  </w:style>
  <w:style w:type="character" w:customStyle="1" w:styleId="Charf0">
    <w:name w:val="页脚 Char"/>
    <w:link w:val="aff0"/>
    <w:qFormat/>
    <w:rPr>
      <w:rFonts w:ascii="楷体" w:eastAsia="楷体" w:hAnsi="楷体"/>
      <w:b/>
      <w:kern w:val="2"/>
      <w:sz w:val="18"/>
      <w:szCs w:val="18"/>
      <w:lang w:val="zh-CN" w:eastAsia="zh-CN" w:bidi="ar-SA"/>
    </w:rPr>
  </w:style>
  <w:style w:type="character" w:customStyle="1" w:styleId="Charf1">
    <w:name w:val="页眉 Char"/>
    <w:link w:val="aff2"/>
    <w:uiPriority w:val="99"/>
    <w:qFormat/>
    <w:rPr>
      <w:rFonts w:ascii="Calibri" w:eastAsia="宋体" w:hAnsi="Calibri" w:cs="Times New Roman"/>
      <w:sz w:val="22"/>
      <w:szCs w:val="22"/>
    </w:rPr>
  </w:style>
  <w:style w:type="character" w:customStyle="1" w:styleId="Charf2">
    <w:name w:val="签名 Char"/>
    <w:link w:val="aff3"/>
    <w:qFormat/>
    <w:rPr>
      <w:color w:val="000000"/>
      <w:w w:val="110"/>
      <w:szCs w:val="24"/>
    </w:rPr>
  </w:style>
  <w:style w:type="character" w:customStyle="1" w:styleId="1Char">
    <w:name w:val="目录 1 Char"/>
    <w:link w:val="13"/>
    <w:uiPriority w:val="39"/>
    <w:qFormat/>
    <w:rPr>
      <w:rFonts w:ascii="Calibri" w:hAnsi="Calibri"/>
      <w:b/>
      <w:bCs/>
      <w:caps/>
      <w:kern w:val="2"/>
    </w:rPr>
  </w:style>
  <w:style w:type="character" w:customStyle="1" w:styleId="Charf3">
    <w:name w:val="副标题 Char"/>
    <w:link w:val="aff5"/>
    <w:qFormat/>
    <w:rPr>
      <w:rFonts w:eastAsia="楷体_GB2312"/>
      <w:bCs/>
      <w:kern w:val="28"/>
      <w:sz w:val="21"/>
      <w:szCs w:val="32"/>
    </w:rPr>
  </w:style>
  <w:style w:type="character" w:customStyle="1" w:styleId="Charf4">
    <w:name w:val="列表 Char"/>
    <w:link w:val="aff6"/>
    <w:qFormat/>
    <w:rPr>
      <w:kern w:val="2"/>
      <w:sz w:val="21"/>
      <w:szCs w:val="24"/>
    </w:rPr>
  </w:style>
  <w:style w:type="character" w:customStyle="1" w:styleId="Charf5">
    <w:name w:val="脚注文本 Char"/>
    <w:link w:val="aff7"/>
    <w:qFormat/>
    <w:rPr>
      <w:kern w:val="2"/>
      <w:sz w:val="18"/>
      <w:szCs w:val="18"/>
    </w:rPr>
  </w:style>
  <w:style w:type="character" w:customStyle="1" w:styleId="3Char1">
    <w:name w:val="正文文本缩进 3 Char"/>
    <w:link w:val="39"/>
    <w:uiPriority w:val="99"/>
    <w:qFormat/>
    <w:rPr>
      <w:rFonts w:ascii="宋体"/>
      <w:color w:val="FF0000"/>
      <w:kern w:val="2"/>
      <w:sz w:val="28"/>
      <w:szCs w:val="24"/>
    </w:rPr>
  </w:style>
  <w:style w:type="character" w:customStyle="1" w:styleId="Charf6">
    <w:name w:val="图表目录 Char"/>
    <w:link w:val="aff8"/>
    <w:qFormat/>
    <w:rPr>
      <w:rFonts w:eastAsia="楷体_GB2312"/>
      <w:color w:val="000000"/>
      <w:spacing w:val="-4"/>
      <w:kern w:val="2"/>
      <w:sz w:val="21"/>
      <w:szCs w:val="24"/>
      <w:lang w:val="en-US" w:eastAsia="zh-CN"/>
    </w:rPr>
  </w:style>
  <w:style w:type="character" w:customStyle="1" w:styleId="2Char1">
    <w:name w:val="正文文本 2 Char"/>
    <w:link w:val="28"/>
    <w:qFormat/>
    <w:rPr>
      <w:rFonts w:eastAsia="黑体"/>
      <w:kern w:val="2"/>
      <w:sz w:val="21"/>
      <w:szCs w:val="24"/>
    </w:rPr>
  </w:style>
  <w:style w:type="character" w:customStyle="1" w:styleId="Charf7">
    <w:name w:val="信息标题 Char"/>
    <w:link w:val="aff9"/>
    <w:qFormat/>
    <w:rPr>
      <w:rFonts w:ascii="Arial" w:hAnsi="Arial"/>
      <w:color w:val="000000"/>
      <w:w w:val="110"/>
      <w:sz w:val="24"/>
      <w:szCs w:val="24"/>
      <w:shd w:val="pct20" w:color="auto" w:fill="auto"/>
    </w:rPr>
  </w:style>
  <w:style w:type="character" w:customStyle="1" w:styleId="HTMLChar0">
    <w:name w:val="HTML 预设格式 Char"/>
    <w:link w:val="HTML0"/>
    <w:qFormat/>
    <w:rPr>
      <w:rFonts w:ascii="黑体" w:eastAsia="黑体" w:hAnsi="Courier New" w:cs="Courier New"/>
    </w:rPr>
  </w:style>
  <w:style w:type="character" w:customStyle="1" w:styleId="Charf8">
    <w:name w:val="普通(网站) Char"/>
    <w:link w:val="affa"/>
    <w:qFormat/>
    <w:locked/>
    <w:rPr>
      <w:rFonts w:ascii="Arial Unicode MS" w:eastAsia="Arial Unicode MS" w:hAnsi="Arial Unicode MS" w:cs="Arial Unicode MS"/>
      <w:sz w:val="24"/>
      <w:szCs w:val="24"/>
      <w:lang w:val="en-US" w:eastAsia="zh-CN" w:bidi="ar-SA"/>
    </w:rPr>
  </w:style>
  <w:style w:type="character" w:customStyle="1" w:styleId="Char">
    <w:name w:val="标题 Char"/>
    <w:link w:val="aa"/>
    <w:uiPriority w:val="10"/>
    <w:qFormat/>
    <w:rPr>
      <w:b/>
      <w:bCs/>
      <w:kern w:val="2"/>
      <w:sz w:val="32"/>
      <w:szCs w:val="32"/>
    </w:rPr>
  </w:style>
  <w:style w:type="character" w:customStyle="1" w:styleId="Charf9">
    <w:name w:val="批注主题 Char"/>
    <w:link w:val="affb"/>
    <w:qFormat/>
    <w:rPr>
      <w:b/>
      <w:bCs/>
      <w:kern w:val="2"/>
      <w:sz w:val="21"/>
      <w:szCs w:val="24"/>
    </w:rPr>
  </w:style>
  <w:style w:type="character" w:customStyle="1" w:styleId="Charfa">
    <w:name w:val="正文首行缩进 Char"/>
    <w:link w:val="affc"/>
    <w:qFormat/>
    <w:rPr>
      <w:rFonts w:ascii="宋体" w:hAnsi="宋体"/>
      <w:bCs/>
      <w:spacing w:val="4"/>
      <w:kern w:val="24"/>
      <w:sz w:val="26"/>
      <w:szCs w:val="26"/>
    </w:rPr>
  </w:style>
  <w:style w:type="character" w:customStyle="1" w:styleId="2Char2">
    <w:name w:val="正文首行缩进 2 Char"/>
    <w:link w:val="2b"/>
    <w:qFormat/>
    <w:rPr>
      <w:rFonts w:ascii="宋体" w:hAnsi="宋体"/>
      <w:kern w:val="2"/>
      <w:sz w:val="21"/>
      <w:szCs w:val="24"/>
    </w:rPr>
  </w:style>
  <w:style w:type="paragraph" w:customStyle="1" w:styleId="1e">
    <w:name w:val="样式1"/>
    <w:basedOn w:val="a6"/>
    <w:link w:val="1CharChar"/>
    <w:qFormat/>
    <w:pPr>
      <w:adjustRightInd w:val="0"/>
      <w:snapToGrid w:val="0"/>
      <w:spacing w:beforeLines="20" w:before="48" w:afterLines="20" w:after="48" w:line="288" w:lineRule="auto"/>
      <w:ind w:firstLineChars="200" w:firstLine="480"/>
    </w:pPr>
    <w:rPr>
      <w:bCs/>
      <w:sz w:val="24"/>
      <w:szCs w:val="20"/>
    </w:rPr>
  </w:style>
  <w:style w:type="character" w:customStyle="1" w:styleId="1CharChar">
    <w:name w:val="样式1 Char Char"/>
    <w:link w:val="1e"/>
    <w:qFormat/>
    <w:rPr>
      <w:bCs/>
      <w:kern w:val="2"/>
      <w:sz w:val="24"/>
    </w:rPr>
  </w:style>
  <w:style w:type="paragraph" w:customStyle="1" w:styleId="PlainText">
    <w:name w:val="PlainText"/>
    <w:basedOn w:val="a6"/>
    <w:qFormat/>
    <w:pPr>
      <w:textAlignment w:val="baseline"/>
    </w:pPr>
    <w:rPr>
      <w:rFonts w:ascii="宋体" w:hAnsi="Courier New"/>
      <w:kern w:val="0"/>
      <w:szCs w:val="20"/>
    </w:rPr>
  </w:style>
  <w:style w:type="paragraph" w:customStyle="1" w:styleId="afffb">
    <w:name w:val="表格文字"/>
    <w:basedOn w:val="a6"/>
    <w:link w:val="Charfb"/>
    <w:qFormat/>
    <w:pPr>
      <w:autoSpaceDE w:val="0"/>
      <w:autoSpaceDN w:val="0"/>
      <w:adjustRightInd w:val="0"/>
      <w:jc w:val="center"/>
    </w:pPr>
    <w:rPr>
      <w:rFonts w:ascii="宋体" w:hAnsi="宋体"/>
      <w:szCs w:val="21"/>
    </w:rPr>
  </w:style>
  <w:style w:type="character" w:customStyle="1" w:styleId="Charfb">
    <w:name w:val="表格文字 Char"/>
    <w:link w:val="afffb"/>
    <w:qFormat/>
    <w:rPr>
      <w:rFonts w:ascii="宋体" w:hAnsi="宋体"/>
      <w:kern w:val="2"/>
      <w:sz w:val="21"/>
      <w:szCs w:val="21"/>
    </w:rPr>
  </w:style>
  <w:style w:type="paragraph" w:customStyle="1" w:styleId="afffc">
    <w:name w:val="【表头】"/>
    <w:basedOn w:val="a6"/>
    <w:link w:val="Charfc"/>
    <w:qFormat/>
    <w:pPr>
      <w:spacing w:beforeLines="10" w:before="31" w:afterLines="10" w:after="31"/>
      <w:jc w:val="center"/>
    </w:pPr>
    <w:rPr>
      <w:rFonts w:ascii="Calibri" w:eastAsia="黑体" w:hAnsi="Calibri"/>
      <w:b/>
      <w:kern w:val="0"/>
      <w:sz w:val="20"/>
    </w:rPr>
  </w:style>
  <w:style w:type="character" w:customStyle="1" w:styleId="Charfc">
    <w:name w:val="【表头】 Char"/>
    <w:link w:val="afffc"/>
    <w:qFormat/>
    <w:rPr>
      <w:rFonts w:ascii="Calibri" w:eastAsia="黑体" w:hAnsi="Calibri"/>
      <w:b/>
      <w:szCs w:val="24"/>
    </w:rPr>
  </w:style>
  <w:style w:type="paragraph" w:customStyle="1" w:styleId="afffd">
    <w:name w:val="报告书正文"/>
    <w:basedOn w:val="a6"/>
    <w:link w:val="Charfd"/>
    <w:qFormat/>
    <w:pPr>
      <w:spacing w:line="360" w:lineRule="auto"/>
      <w:ind w:firstLineChars="200" w:firstLine="200"/>
    </w:pPr>
    <w:rPr>
      <w:sz w:val="24"/>
    </w:rPr>
  </w:style>
  <w:style w:type="character" w:customStyle="1" w:styleId="Charfd">
    <w:name w:val="报告书正文 Char"/>
    <w:link w:val="afffd"/>
    <w:qFormat/>
    <w:rPr>
      <w:sz w:val="24"/>
    </w:rPr>
  </w:style>
  <w:style w:type="character" w:customStyle="1" w:styleId="CharChar">
    <w:name w:val="报告书正文 Char Char"/>
    <w:qFormat/>
    <w:rPr>
      <w:kern w:val="2"/>
      <w:sz w:val="24"/>
      <w:szCs w:val="24"/>
    </w:rPr>
  </w:style>
  <w:style w:type="paragraph" w:customStyle="1" w:styleId="afffe">
    <w:name w:val="报告正文"/>
    <w:basedOn w:val="a6"/>
    <w:link w:val="Char10"/>
    <w:qFormat/>
    <w:pPr>
      <w:adjustRightInd w:val="0"/>
      <w:snapToGrid w:val="0"/>
      <w:spacing w:line="300" w:lineRule="auto"/>
    </w:pPr>
    <w:rPr>
      <w:rFonts w:ascii="宋体"/>
      <w:sz w:val="28"/>
      <w:szCs w:val="20"/>
    </w:rPr>
  </w:style>
  <w:style w:type="character" w:customStyle="1" w:styleId="Char10">
    <w:name w:val="报告正文 Char1"/>
    <w:link w:val="afffe"/>
    <w:qFormat/>
    <w:rPr>
      <w:rFonts w:ascii="宋体"/>
      <w:kern w:val="2"/>
      <w:sz w:val="28"/>
    </w:rPr>
  </w:style>
  <w:style w:type="paragraph" w:customStyle="1" w:styleId="affff">
    <w:name w:val="表头"/>
    <w:basedOn w:val="a6"/>
    <w:link w:val="Charfe"/>
    <w:uiPriority w:val="99"/>
    <w:qFormat/>
    <w:pPr>
      <w:spacing w:line="300" w:lineRule="exact"/>
      <w:ind w:firstLineChars="100" w:firstLine="248"/>
    </w:pPr>
    <w:rPr>
      <w:rFonts w:eastAsia="黑体"/>
      <w:spacing w:val="4"/>
      <w:sz w:val="24"/>
    </w:rPr>
  </w:style>
  <w:style w:type="character" w:customStyle="1" w:styleId="Charfe">
    <w:name w:val="表头 Char"/>
    <w:link w:val="affff"/>
    <w:uiPriority w:val="99"/>
    <w:qFormat/>
    <w:rPr>
      <w:rFonts w:eastAsia="黑体"/>
      <w:spacing w:val="4"/>
      <w:kern w:val="2"/>
      <w:sz w:val="24"/>
      <w:szCs w:val="24"/>
    </w:rPr>
  </w:style>
  <w:style w:type="paragraph" w:customStyle="1" w:styleId="affff0">
    <w:name w:val="表格内文字"/>
    <w:basedOn w:val="a6"/>
    <w:link w:val="CharChar0"/>
    <w:qFormat/>
    <w:pPr>
      <w:tabs>
        <w:tab w:val="left" w:pos="3780"/>
      </w:tabs>
      <w:adjustRightInd w:val="0"/>
      <w:spacing w:before="60" w:after="60"/>
      <w:jc w:val="center"/>
      <w:textAlignment w:val="baseline"/>
    </w:pPr>
    <w:rPr>
      <w:rFonts w:ascii="宋体"/>
      <w:color w:val="000000"/>
      <w:spacing w:val="8"/>
      <w:szCs w:val="20"/>
    </w:rPr>
  </w:style>
  <w:style w:type="character" w:customStyle="1" w:styleId="CharChar0">
    <w:name w:val="表格内文字 Char Char"/>
    <w:link w:val="affff0"/>
    <w:qFormat/>
    <w:rPr>
      <w:rFonts w:ascii="宋体"/>
      <w:color w:val="000000"/>
      <w:spacing w:val="8"/>
      <w:kern w:val="2"/>
      <w:sz w:val="21"/>
    </w:rPr>
  </w:style>
  <w:style w:type="paragraph" w:customStyle="1" w:styleId="Affff1">
    <w:name w:val="正文A"/>
    <w:basedOn w:val="a6"/>
    <w:link w:val="AChar"/>
    <w:qFormat/>
    <w:pPr>
      <w:spacing w:line="500" w:lineRule="exact"/>
      <w:ind w:firstLineChars="200" w:firstLine="480"/>
    </w:pPr>
    <w:rPr>
      <w:rFonts w:ascii="宋体" w:hAnsi="宋体"/>
      <w:sz w:val="24"/>
    </w:rPr>
  </w:style>
  <w:style w:type="character" w:customStyle="1" w:styleId="AChar">
    <w:name w:val="正文A Char"/>
    <w:link w:val="Affff1"/>
    <w:qFormat/>
    <w:rPr>
      <w:rFonts w:ascii="宋体" w:hAnsi="宋体"/>
      <w:kern w:val="2"/>
      <w:sz w:val="24"/>
      <w:szCs w:val="24"/>
    </w:rPr>
  </w:style>
  <w:style w:type="character" w:customStyle="1" w:styleId="EmailStyle5601">
    <w:name w:val="EmailStyle5601"/>
    <w:qFormat/>
    <w:rPr>
      <w:rFonts w:ascii="Arial" w:eastAsia="宋体" w:hAnsi="Arial" w:cs="Arial"/>
      <w:color w:val="auto"/>
      <w:sz w:val="20"/>
    </w:rPr>
  </w:style>
  <w:style w:type="character" w:customStyle="1" w:styleId="Char20">
    <w:name w:val="标题 Char2"/>
    <w:qFormat/>
    <w:rPr>
      <w:rFonts w:ascii="Cambria" w:hAnsi="Cambria" w:cs="Times New Roman"/>
      <w:b/>
      <w:bCs/>
      <w:kern w:val="2"/>
      <w:sz w:val="32"/>
      <w:szCs w:val="32"/>
    </w:rPr>
  </w:style>
  <w:style w:type="character" w:customStyle="1" w:styleId="Char21">
    <w:name w:val="明显引用 Char2"/>
    <w:uiPriority w:val="30"/>
    <w:qFormat/>
    <w:rPr>
      <w:b/>
      <w:bCs/>
      <w:i/>
      <w:iCs/>
      <w:color w:val="4F81BD"/>
      <w:kern w:val="2"/>
      <w:sz w:val="24"/>
      <w:szCs w:val="24"/>
    </w:rPr>
  </w:style>
  <w:style w:type="character" w:customStyle="1" w:styleId="CharChar1">
    <w:name w:val="缩进 Char Char"/>
    <w:qFormat/>
    <w:rPr>
      <w:rFonts w:ascii="Times New Roman" w:eastAsia="宋体" w:hAnsi="Times New Roman" w:cs="Times New Roman"/>
      <w:color w:val="000000"/>
      <w:w w:val="110"/>
      <w:kern w:val="0"/>
      <w:sz w:val="24"/>
      <w:szCs w:val="24"/>
    </w:rPr>
  </w:style>
  <w:style w:type="character" w:customStyle="1" w:styleId="777777777CharCharCharCharChar1">
    <w:name w:val="777777777 Char Char Char Char Char1"/>
    <w:qFormat/>
    <w:rPr>
      <w:rFonts w:eastAsia="宋体"/>
      <w:kern w:val="2"/>
      <w:sz w:val="28"/>
      <w:lang w:val="en-US" w:eastAsia="zh-CN"/>
    </w:rPr>
  </w:style>
  <w:style w:type="character" w:customStyle="1" w:styleId="f14l131">
    <w:name w:val="f14l131"/>
    <w:qFormat/>
    <w:rPr>
      <w:sz w:val="21"/>
      <w:szCs w:val="21"/>
    </w:rPr>
  </w:style>
  <w:style w:type="character" w:customStyle="1" w:styleId="green1">
    <w:name w:val="green1"/>
    <w:qFormat/>
    <w:rPr>
      <w:b/>
      <w:bCs/>
      <w:color w:val="8AC300"/>
    </w:rPr>
  </w:style>
  <w:style w:type="character" w:customStyle="1" w:styleId="t11">
    <w:name w:val="t11"/>
    <w:qFormat/>
    <w:rPr>
      <w:rFonts w:ascii="宋体" w:eastAsia="宋体" w:hAnsi="宋体" w:hint="eastAsia"/>
      <w:spacing w:val="360"/>
      <w:sz w:val="18"/>
      <w:szCs w:val="18"/>
    </w:rPr>
  </w:style>
  <w:style w:type="character" w:customStyle="1" w:styleId="220Char">
    <w:name w:val="标题 2 + 行距: 标题2+首行缩进 0倍 Char"/>
    <w:link w:val="220"/>
    <w:qFormat/>
    <w:rPr>
      <w:rFonts w:ascii="黑体" w:eastAsia="黑体" w:hAnsi="黑体"/>
      <w:b/>
      <w:kern w:val="2"/>
      <w:sz w:val="30"/>
    </w:rPr>
  </w:style>
  <w:style w:type="paragraph" w:customStyle="1" w:styleId="220">
    <w:name w:val="标题 2 + 行距: 标题2+首行缩进 0倍"/>
    <w:basedOn w:val="22"/>
    <w:link w:val="220Char"/>
    <w:qFormat/>
    <w:pPr>
      <w:keepNext w:val="0"/>
      <w:keepLines w:val="0"/>
      <w:tabs>
        <w:tab w:val="left" w:pos="8140"/>
      </w:tabs>
      <w:spacing w:afterLines="50"/>
    </w:pPr>
    <w:rPr>
      <w:rFonts w:ascii="黑体" w:hAnsi="黑体"/>
      <w:bCs w:val="0"/>
      <w:spacing w:val="0"/>
      <w:w w:val="100"/>
      <w:kern w:val="2"/>
      <w:sz w:val="30"/>
      <w:szCs w:val="20"/>
    </w:rPr>
  </w:style>
  <w:style w:type="character" w:customStyle="1" w:styleId="2CharChar">
    <w:name w:val="正文（首行式样2） Char Char"/>
    <w:link w:val="2f5"/>
    <w:qFormat/>
    <w:rPr>
      <w:rFonts w:ascii="宋体" w:hAnsi="宋体"/>
      <w:color w:val="000000"/>
      <w:w w:val="110"/>
      <w:sz w:val="24"/>
      <w:szCs w:val="24"/>
    </w:rPr>
  </w:style>
  <w:style w:type="paragraph" w:customStyle="1" w:styleId="2f5">
    <w:name w:val="正文（首行式样2）"/>
    <w:basedOn w:val="a6"/>
    <w:link w:val="2CharChar"/>
    <w:qFormat/>
    <w:pPr>
      <w:snapToGrid w:val="0"/>
      <w:spacing w:line="360" w:lineRule="auto"/>
      <w:ind w:rightChars="-6" w:right="-13" w:firstLineChars="219" w:firstLine="526"/>
    </w:pPr>
    <w:rPr>
      <w:rFonts w:ascii="宋体" w:hAnsi="宋体"/>
      <w:color w:val="000000"/>
      <w:w w:val="110"/>
      <w:kern w:val="0"/>
      <w:sz w:val="24"/>
    </w:rPr>
  </w:style>
  <w:style w:type="character" w:customStyle="1" w:styleId="description">
    <w:name w:val="description"/>
    <w:qFormat/>
  </w:style>
  <w:style w:type="character" w:customStyle="1" w:styleId="Char22">
    <w:name w:val="注释标题 Char2"/>
    <w:qFormat/>
    <w:rPr>
      <w:rFonts w:ascii="Times New Roman" w:eastAsia="宋体" w:hAnsi="Times New Roman" w:cs="Times New Roman"/>
      <w:szCs w:val="24"/>
    </w:rPr>
  </w:style>
  <w:style w:type="character" w:customStyle="1" w:styleId="digest1">
    <w:name w:val="digest1"/>
    <w:qFormat/>
    <w:rPr>
      <w:color w:val="393939"/>
      <w:sz w:val="20"/>
      <w:szCs w:val="20"/>
    </w:rPr>
  </w:style>
  <w:style w:type="character" w:customStyle="1" w:styleId="2Char3">
    <w:name w:val="样式 样式2 + 非加粗 Char"/>
    <w:qFormat/>
    <w:rPr>
      <w:rFonts w:eastAsia="宋体"/>
      <w:color w:val="000000"/>
      <w:kern w:val="2"/>
      <w:sz w:val="24"/>
      <w:szCs w:val="24"/>
      <w:lang w:val="en-US" w:eastAsia="zh-CN" w:bidi="ar-SA"/>
    </w:rPr>
  </w:style>
  <w:style w:type="character" w:customStyle="1" w:styleId="wangCharCharChar">
    <w:name w:val="正文wang Char Char Char"/>
    <w:qFormat/>
    <w:rPr>
      <w:rFonts w:eastAsia="宋体" w:hAnsi="宋体" w:cs="宋体"/>
      <w:sz w:val="21"/>
      <w:szCs w:val="21"/>
      <w:lang w:val="en-US" w:eastAsia="zh-CN" w:bidi="ar-SA"/>
    </w:rPr>
  </w:style>
  <w:style w:type="character" w:customStyle="1" w:styleId="2Char10">
    <w:name w:val="正文文本缩进 2 Char1"/>
    <w:qFormat/>
    <w:rPr>
      <w:kern w:val="2"/>
      <w:sz w:val="21"/>
      <w:szCs w:val="24"/>
    </w:rPr>
  </w:style>
  <w:style w:type="character" w:customStyle="1" w:styleId="zhengChar">
    <w:name w:val="zheng Char"/>
    <w:link w:val="zheng"/>
    <w:qFormat/>
    <w:rPr>
      <w:rFonts w:ascii="Arial" w:hAnsi="Arial" w:cs="Arial"/>
      <w:kern w:val="2"/>
      <w:sz w:val="24"/>
      <w:szCs w:val="24"/>
    </w:rPr>
  </w:style>
  <w:style w:type="paragraph" w:customStyle="1" w:styleId="zheng">
    <w:name w:val="zheng"/>
    <w:basedOn w:val="a6"/>
    <w:link w:val="zhengChar"/>
    <w:qFormat/>
    <w:pPr>
      <w:widowControl/>
      <w:spacing w:line="360" w:lineRule="auto"/>
      <w:ind w:firstLineChars="200" w:firstLine="480"/>
    </w:pPr>
    <w:rPr>
      <w:rFonts w:ascii="Arial" w:hAnsi="Arial"/>
      <w:sz w:val="24"/>
    </w:rPr>
  </w:style>
  <w:style w:type="character" w:customStyle="1" w:styleId="-2Char">
    <w:name w:val="样式 正文首行缩进可研-正文首行缩进 + 首行缩进:  2 字符 Char"/>
    <w:qFormat/>
    <w:rPr>
      <w:rFonts w:ascii="宋体" w:hAnsi="宋体"/>
      <w:sz w:val="28"/>
    </w:rPr>
  </w:style>
  <w:style w:type="character" w:customStyle="1" w:styleId="Char40">
    <w:name w:val="一级项 Char4"/>
    <w:qFormat/>
    <w:rPr>
      <w:rFonts w:eastAsia="宋体"/>
      <w:bCs/>
      <w:kern w:val="2"/>
      <w:sz w:val="24"/>
      <w:szCs w:val="24"/>
      <w:lang w:val="en-US" w:eastAsia="zh-CN" w:bidi="ar-SA"/>
    </w:rPr>
  </w:style>
  <w:style w:type="character" w:customStyle="1" w:styleId="prightpntfc03">
    <w:name w:val="pright pnt fc03"/>
    <w:qFormat/>
  </w:style>
  <w:style w:type="character" w:customStyle="1" w:styleId="1CharCharChar">
    <w:name w:val="表头1 Char Char Char"/>
    <w:qFormat/>
    <w:rPr>
      <w:rFonts w:eastAsia="黑体"/>
      <w:sz w:val="21"/>
      <w:szCs w:val="21"/>
      <w:lang w:val="en-US" w:eastAsia="zh-CN" w:bidi="ar-SA"/>
    </w:rPr>
  </w:style>
  <w:style w:type="character" w:customStyle="1" w:styleId="CharChar181">
    <w:name w:val="Char Char181"/>
    <w:qFormat/>
    <w:rPr>
      <w:rFonts w:eastAsia="宋体"/>
      <w:b/>
      <w:bCs/>
      <w:color w:val="000000"/>
      <w:kern w:val="44"/>
      <w:sz w:val="28"/>
      <w:szCs w:val="28"/>
      <w:lang w:val="en-US" w:eastAsia="zh-CN" w:bidi="ar-SA"/>
    </w:rPr>
  </w:style>
  <w:style w:type="character" w:customStyle="1" w:styleId="ed11">
    <w:name w:val="ed11"/>
    <w:qFormat/>
    <w:rPr>
      <w:b/>
      <w:color w:val="05006C"/>
      <w:sz w:val="33"/>
    </w:rPr>
  </w:style>
  <w:style w:type="character" w:customStyle="1" w:styleId="1CharChar3">
    <w:name w:val="标题 1 Char Char3"/>
    <w:qFormat/>
    <w:rPr>
      <w:rFonts w:ascii="黑体" w:eastAsia="黑体"/>
      <w:b/>
      <w:bCs/>
      <w:kern w:val="44"/>
      <w:sz w:val="30"/>
      <w:szCs w:val="44"/>
      <w:lang w:val="en-US" w:eastAsia="zh-CN" w:bidi="ar-SA"/>
    </w:rPr>
  </w:style>
  <w:style w:type="character" w:customStyle="1" w:styleId="CharCharChar3">
    <w:name w:val="正文文字 Char Char Char3"/>
    <w:qFormat/>
    <w:rPr>
      <w:rFonts w:ascii="宋体" w:eastAsia="宋体"/>
      <w:color w:val="000000"/>
      <w:kern w:val="2"/>
      <w:sz w:val="24"/>
      <w:lang w:val="en-US" w:eastAsia="zh-CN" w:bidi="ar-SA"/>
    </w:rPr>
  </w:style>
  <w:style w:type="character" w:customStyle="1" w:styleId="Charff">
    <w:name w:val="小四正文 Char"/>
    <w:link w:val="affff2"/>
    <w:qFormat/>
    <w:rPr>
      <w:rFonts w:hAnsi="宋体"/>
      <w:b/>
      <w:color w:val="000000"/>
      <w:kern w:val="2"/>
      <w:sz w:val="24"/>
      <w:szCs w:val="24"/>
      <w:lang w:val="en-US" w:eastAsia="zh-CN" w:bidi="ar-SA"/>
    </w:rPr>
  </w:style>
  <w:style w:type="paragraph" w:customStyle="1" w:styleId="affff2">
    <w:name w:val="小四正文"/>
    <w:link w:val="Charff"/>
    <w:qFormat/>
    <w:pPr>
      <w:spacing w:line="480" w:lineRule="exact"/>
      <w:jc w:val="both"/>
    </w:pPr>
    <w:rPr>
      <w:rFonts w:hAnsi="宋体"/>
      <w:b/>
      <w:color w:val="000000"/>
      <w:kern w:val="2"/>
      <w:sz w:val="24"/>
      <w:szCs w:val="24"/>
    </w:rPr>
  </w:style>
  <w:style w:type="character" w:customStyle="1" w:styleId="Charff0">
    <w:name w:val="正文四号 Char"/>
    <w:link w:val="affff3"/>
    <w:qFormat/>
    <w:rPr>
      <w:kern w:val="2"/>
      <w:sz w:val="24"/>
      <w:szCs w:val="24"/>
    </w:rPr>
  </w:style>
  <w:style w:type="paragraph" w:customStyle="1" w:styleId="affff3">
    <w:name w:val="正文四号"/>
    <w:basedOn w:val="a6"/>
    <w:link w:val="Charff0"/>
    <w:qFormat/>
    <w:pPr>
      <w:spacing w:line="360" w:lineRule="auto"/>
      <w:ind w:firstLineChars="200" w:firstLine="200"/>
    </w:pPr>
    <w:rPr>
      <w:sz w:val="24"/>
    </w:rPr>
  </w:style>
  <w:style w:type="character" w:customStyle="1" w:styleId="CharCharCharCharCharCCharCharCharCharCh">
    <w:name w:val="普通文字 Char Char Char Char Char C Char Char Char Char Ch"/>
    <w:qFormat/>
    <w:rPr>
      <w:rFonts w:ascii="宋体" w:eastAsia="宋体" w:hAnsi="Courier New"/>
      <w:kern w:val="2"/>
      <w:sz w:val="28"/>
      <w:lang w:val="en-US" w:eastAsia="zh-CN" w:bidi="ar-SA"/>
    </w:rPr>
  </w:style>
  <w:style w:type="character" w:customStyle="1" w:styleId="Char23">
    <w:name w:val="尾注文本 Char2"/>
    <w:qFormat/>
    <w:rPr>
      <w:kern w:val="2"/>
      <w:sz w:val="21"/>
      <w:szCs w:val="22"/>
    </w:rPr>
  </w:style>
  <w:style w:type="character" w:customStyle="1" w:styleId="Char11">
    <w:name w:val="正文首行缩进 Char1"/>
    <w:qFormat/>
    <w:rPr>
      <w:rFonts w:ascii="Times New Roman" w:hAnsi="Times New Roman"/>
      <w:kern w:val="2"/>
      <w:sz w:val="21"/>
      <w:szCs w:val="24"/>
    </w:rPr>
  </w:style>
  <w:style w:type="character" w:customStyle="1" w:styleId="Charff1">
    <w:name w:val="正文 楷体 Char"/>
    <w:link w:val="affff4"/>
    <w:qFormat/>
    <w:rPr>
      <w:rFonts w:ascii="楷体_GB2312" w:eastAsia="楷体_GB2312" w:hAnsi="楷体_GB2312" w:cs="宋体"/>
      <w:color w:val="000000"/>
      <w:w w:val="110"/>
      <w:sz w:val="24"/>
      <w:szCs w:val="24"/>
    </w:rPr>
  </w:style>
  <w:style w:type="paragraph" w:customStyle="1" w:styleId="affff4">
    <w:name w:val="正文 楷体"/>
    <w:basedOn w:val="a6"/>
    <w:link w:val="Charff1"/>
    <w:qFormat/>
    <w:pPr>
      <w:spacing w:line="500" w:lineRule="exact"/>
      <w:ind w:firstLineChars="200" w:firstLine="200"/>
    </w:pPr>
    <w:rPr>
      <w:rFonts w:ascii="楷体_GB2312" w:eastAsia="楷体_GB2312" w:hAnsi="楷体_GB2312"/>
      <w:color w:val="000000"/>
      <w:w w:val="110"/>
      <w:kern w:val="0"/>
      <w:sz w:val="24"/>
    </w:rPr>
  </w:style>
  <w:style w:type="character" w:customStyle="1" w:styleId="style81">
    <w:name w:val="style81"/>
    <w:qFormat/>
    <w:rPr>
      <w:rFonts w:ascii="宋体" w:eastAsia="黑体" w:hAnsi="宋体" w:cs="宋体"/>
      <w:kern w:val="2"/>
      <w:sz w:val="24"/>
      <w:szCs w:val="24"/>
      <w:lang w:val="en-US" w:eastAsia="zh-CN" w:bidi="ar-SA"/>
    </w:rPr>
  </w:style>
  <w:style w:type="character" w:customStyle="1" w:styleId="EmailStyle4431">
    <w:name w:val="EmailStyle4431"/>
    <w:qFormat/>
    <w:rPr>
      <w:rFonts w:ascii="Arial" w:eastAsia="宋体" w:hAnsi="Arial" w:cs="Arial"/>
      <w:color w:val="auto"/>
      <w:sz w:val="20"/>
    </w:rPr>
  </w:style>
  <w:style w:type="character" w:customStyle="1" w:styleId="1Char0">
    <w:name w:val="1标题 Char"/>
    <w:qFormat/>
    <w:rPr>
      <w:rFonts w:ascii="宋体" w:eastAsia="宋体" w:hAnsi="宋体"/>
      <w:sz w:val="28"/>
      <w:lang w:bidi="ar-SA"/>
    </w:rPr>
  </w:style>
  <w:style w:type="character" w:customStyle="1" w:styleId="ca-51">
    <w:name w:val="ca-51"/>
    <w:qFormat/>
    <w:rPr>
      <w:rFonts w:ascii="宋体" w:eastAsia="宋体" w:hAnsi="宋体" w:hint="eastAsia"/>
      <w:sz w:val="21"/>
      <w:szCs w:val="21"/>
    </w:rPr>
  </w:style>
  <w:style w:type="character" w:customStyle="1" w:styleId="2-xhCharChar">
    <w:name w:val="标题 2-xh Char Char"/>
    <w:qFormat/>
    <w:rPr>
      <w:rFonts w:ascii="Arial" w:eastAsia="黑体" w:hAnsi="Arial"/>
      <w:b/>
      <w:bCs/>
      <w:kern w:val="2"/>
      <w:sz w:val="32"/>
      <w:szCs w:val="32"/>
      <w:lang w:val="en-US" w:eastAsia="zh-CN" w:bidi="ar-SA"/>
    </w:rPr>
  </w:style>
  <w:style w:type="character" w:customStyle="1" w:styleId="txt4">
    <w:name w:val="txt4"/>
    <w:qFormat/>
  </w:style>
  <w:style w:type="character" w:customStyle="1" w:styleId="CharChar10">
    <w:name w:val="表题 Char Char1"/>
    <w:qFormat/>
    <w:rPr>
      <w:rFonts w:eastAsia="宋体"/>
      <w:bCs/>
      <w:sz w:val="24"/>
      <w:lang w:bidi="ar-SA"/>
    </w:rPr>
  </w:style>
  <w:style w:type="character" w:customStyle="1" w:styleId="15CharChar">
    <w:name w:val="正文 小四 行距: 1.5 倍行距 Char Char"/>
    <w:link w:val="150"/>
    <w:qFormat/>
    <w:rPr>
      <w:rFonts w:cs="宋体"/>
      <w:kern w:val="2"/>
      <w:sz w:val="24"/>
    </w:rPr>
  </w:style>
  <w:style w:type="paragraph" w:customStyle="1" w:styleId="150">
    <w:name w:val="正文 小四 行距: 1.5 倍行距"/>
    <w:basedOn w:val="a6"/>
    <w:link w:val="15CharChar"/>
    <w:qFormat/>
    <w:pPr>
      <w:spacing w:line="360" w:lineRule="auto"/>
      <w:ind w:firstLineChars="200" w:firstLine="480"/>
    </w:pPr>
    <w:rPr>
      <w:sz w:val="24"/>
      <w:szCs w:val="20"/>
    </w:rPr>
  </w:style>
  <w:style w:type="character" w:customStyle="1" w:styleId="CharChar231">
    <w:name w:val="Char Char231"/>
    <w:qFormat/>
    <w:rPr>
      <w:rFonts w:ascii="宋体" w:eastAsia="宋体" w:hAnsi="宋体" w:cs="宋体"/>
      <w:b/>
      <w:bCs/>
      <w:sz w:val="28"/>
      <w:szCs w:val="28"/>
      <w:lang w:val="en-US" w:eastAsia="zh-CN" w:bidi="ar-SA"/>
    </w:rPr>
  </w:style>
  <w:style w:type="character" w:customStyle="1" w:styleId="2Char4">
    <w:name w:val="样式 表格文字居中 + 首行缩进:  2 字符 Char"/>
    <w:link w:val="2f6"/>
    <w:qFormat/>
    <w:rPr>
      <w:rFonts w:ascii="宋体"/>
      <w:color w:val="0000FF"/>
      <w:kern w:val="2"/>
      <w:sz w:val="21"/>
    </w:rPr>
  </w:style>
  <w:style w:type="paragraph" w:customStyle="1" w:styleId="2f6">
    <w:name w:val="样式 表格文字居中 + 首行缩进:  2 字符"/>
    <w:link w:val="2Char4"/>
    <w:qFormat/>
    <w:pPr>
      <w:keepNext/>
      <w:tabs>
        <w:tab w:val="left" w:pos="240"/>
        <w:tab w:val="left" w:pos="628"/>
        <w:tab w:val="left" w:pos="1727"/>
        <w:tab w:val="left" w:pos="1884"/>
        <w:tab w:val="left" w:pos="7252"/>
      </w:tabs>
      <w:outlineLvl w:val="0"/>
    </w:pPr>
    <w:rPr>
      <w:rFonts w:ascii="宋体"/>
      <w:color w:val="0000FF"/>
      <w:kern w:val="2"/>
      <w:sz w:val="21"/>
    </w:rPr>
  </w:style>
  <w:style w:type="paragraph" w:customStyle="1" w:styleId="affff5">
    <w:name w:val="表格文字居中"/>
    <w:basedOn w:val="a6"/>
    <w:next w:val="affc"/>
    <w:link w:val="Char12"/>
    <w:qFormat/>
    <w:pPr>
      <w:adjustRightInd w:val="0"/>
      <w:snapToGrid w:val="0"/>
      <w:ind w:leftChars="-35" w:left="-35" w:rightChars="-38" w:right="-38"/>
      <w:jc w:val="center"/>
    </w:pPr>
    <w:rPr>
      <w:rFonts w:eastAsia="楷体"/>
      <w:spacing w:val="-6"/>
      <w:kern w:val="0"/>
      <w:sz w:val="24"/>
    </w:rPr>
  </w:style>
  <w:style w:type="character" w:customStyle="1" w:styleId="Char12">
    <w:name w:val="表格文字居中 Char1"/>
    <w:link w:val="affff5"/>
    <w:qFormat/>
    <w:rPr>
      <w:rFonts w:eastAsia="楷体"/>
      <w:spacing w:val="-6"/>
      <w:sz w:val="24"/>
      <w:szCs w:val="24"/>
    </w:rPr>
  </w:style>
  <w:style w:type="character" w:customStyle="1" w:styleId="blogsepphide">
    <w:name w:val="blogsep phide"/>
    <w:qFormat/>
  </w:style>
  <w:style w:type="character" w:customStyle="1" w:styleId="5Char0">
    <w:name w:val="样式 样式5 + 宋体 Char"/>
    <w:qFormat/>
    <w:rPr>
      <w:rFonts w:eastAsia="宋体"/>
      <w:b/>
      <w:bCs/>
      <w:kern w:val="2"/>
      <w:sz w:val="26"/>
      <w:szCs w:val="26"/>
      <w:lang w:val="en-US" w:eastAsia="zh-CN" w:bidi="ar-SA"/>
    </w:rPr>
  </w:style>
  <w:style w:type="character" w:customStyle="1" w:styleId="FontStyle322">
    <w:name w:val="Font Style322"/>
    <w:qFormat/>
    <w:rPr>
      <w:rFonts w:ascii="Times New Roman" w:hAnsi="Times New Roman" w:cs="Times New Roman"/>
      <w:i/>
      <w:iCs/>
      <w:sz w:val="22"/>
      <w:szCs w:val="22"/>
    </w:rPr>
  </w:style>
  <w:style w:type="character" w:customStyle="1" w:styleId="body-cn-blackstyle3">
    <w:name w:val="body-cn-black style3"/>
    <w:qFormat/>
  </w:style>
  <w:style w:type="character" w:customStyle="1" w:styleId="EmailStyle5591">
    <w:name w:val="EmailStyle5591"/>
    <w:qFormat/>
    <w:rPr>
      <w:rFonts w:ascii="Arial" w:eastAsia="宋体" w:hAnsi="Arial" w:cs="Arial"/>
      <w:color w:val="auto"/>
      <w:sz w:val="20"/>
    </w:rPr>
  </w:style>
  <w:style w:type="character" w:customStyle="1" w:styleId="h41">
    <w:name w:val="h41"/>
    <w:qFormat/>
    <w:rPr>
      <w:rFonts w:hint="default"/>
      <w:b/>
      <w:bCs/>
      <w:sz w:val="22"/>
      <w:szCs w:val="22"/>
    </w:rPr>
  </w:style>
  <w:style w:type="character" w:customStyle="1" w:styleId="3CharCharChar">
    <w:name w:val="正文3 Char Char Char"/>
    <w:qFormat/>
    <w:rPr>
      <w:rFonts w:ascii="宋体" w:eastAsia="宋体" w:hAnsi="宋体" w:cs="Times New Roman"/>
      <w:bCs/>
      <w:snapToGrid/>
      <w:kern w:val="0"/>
      <w:sz w:val="24"/>
      <w:szCs w:val="28"/>
      <w:lang w:val="zh-CN"/>
    </w:rPr>
  </w:style>
  <w:style w:type="character" w:customStyle="1" w:styleId="affff6">
    <w:name w:val="样式 四号"/>
    <w:qFormat/>
    <w:rPr>
      <w:sz w:val="28"/>
    </w:rPr>
  </w:style>
  <w:style w:type="character" w:customStyle="1" w:styleId="001CharCharChar">
    <w:name w:val="正文001 Char Char Char"/>
    <w:qFormat/>
    <w:rPr>
      <w:rFonts w:ascii="Arial" w:eastAsia="宋体" w:hAnsi="Arial" w:cs="Arial"/>
      <w:kern w:val="2"/>
      <w:sz w:val="24"/>
      <w:lang w:val="en-US" w:eastAsia="zh-CN" w:bidi="ar-SA"/>
    </w:rPr>
  </w:style>
  <w:style w:type="character" w:customStyle="1" w:styleId="4444Char">
    <w:name w:val="4444 Char"/>
    <w:link w:val="4444"/>
    <w:uiPriority w:val="99"/>
    <w:qFormat/>
    <w:rPr>
      <w:rFonts w:eastAsia="黑体" w:hAnsi="黑体"/>
      <w:kern w:val="2"/>
      <w:sz w:val="24"/>
      <w:szCs w:val="24"/>
    </w:rPr>
  </w:style>
  <w:style w:type="paragraph" w:customStyle="1" w:styleId="4444">
    <w:name w:val="4444"/>
    <w:basedOn w:val="12"/>
    <w:link w:val="4444Char"/>
    <w:uiPriority w:val="99"/>
    <w:qFormat/>
    <w:pPr>
      <w:keepNext w:val="0"/>
      <w:keepLines w:val="0"/>
      <w:spacing w:before="50" w:after="50" w:line="520" w:lineRule="exact"/>
      <w:outlineLvl w:val="3"/>
    </w:pPr>
    <w:rPr>
      <w:rFonts w:hAnsi="黑体"/>
      <w:b w:val="0"/>
      <w:bCs w:val="0"/>
      <w:kern w:val="2"/>
      <w:sz w:val="24"/>
      <w:szCs w:val="24"/>
    </w:rPr>
  </w:style>
  <w:style w:type="character" w:customStyle="1" w:styleId="21121122Char1TimesNewRomanCharChar">
    <w:name w:val="样式 标题 21.1标题 21.1标题2标题 2 Char1节 + (符号) Times New Roman Char Char"/>
    <w:link w:val="21121122Char1TimesNewRomanChar"/>
    <w:qFormat/>
    <w:rPr>
      <w:rFonts w:ascii="宋体" w:hAnsi="宋体"/>
      <w:kern w:val="2"/>
      <w:sz w:val="28"/>
      <w:szCs w:val="28"/>
    </w:rPr>
  </w:style>
  <w:style w:type="paragraph" w:customStyle="1" w:styleId="21121122Char1TimesNewRomanChar">
    <w:name w:val="样式 标题 21.1标题 21.1标题2标题 2 Char1节 + (符号) Times New Roman Char"/>
    <w:basedOn w:val="22"/>
    <w:link w:val="21121122Char1TimesNewRomanCharChar"/>
    <w:qFormat/>
    <w:pPr>
      <w:keepLines w:val="0"/>
      <w:tabs>
        <w:tab w:val="left" w:pos="0"/>
        <w:tab w:val="left" w:pos="700"/>
        <w:tab w:val="left" w:pos="998"/>
      </w:tabs>
      <w:spacing w:line="336" w:lineRule="auto"/>
      <w:ind w:left="180" w:hanging="576"/>
      <w:outlineLvl w:val="2"/>
    </w:pPr>
    <w:rPr>
      <w:b/>
      <w:bCs w:val="0"/>
      <w:spacing w:val="0"/>
      <w:w w:val="100"/>
      <w:kern w:val="2"/>
    </w:rPr>
  </w:style>
  <w:style w:type="character" w:customStyle="1" w:styleId="111Char">
    <w:name w:val="正文111 Char"/>
    <w:link w:val="111"/>
    <w:qFormat/>
    <w:rPr>
      <w:kern w:val="2"/>
      <w:sz w:val="24"/>
      <w:szCs w:val="24"/>
    </w:rPr>
  </w:style>
  <w:style w:type="paragraph" w:customStyle="1" w:styleId="111">
    <w:name w:val="正文111"/>
    <w:basedOn w:val="af0"/>
    <w:link w:val="111Char"/>
    <w:qFormat/>
    <w:pPr>
      <w:adjustRightInd/>
      <w:spacing w:afterLines="25"/>
      <w:ind w:firstLineChars="200" w:firstLine="200"/>
      <w:jc w:val="both"/>
      <w:textAlignment w:val="auto"/>
    </w:pPr>
    <w:rPr>
      <w:rFonts w:ascii="Times New Roman" w:hAnsi="Times New Roman"/>
      <w:kern w:val="2"/>
      <w:szCs w:val="24"/>
    </w:rPr>
  </w:style>
  <w:style w:type="character" w:customStyle="1" w:styleId="2CharChar0">
    <w:name w:val="样式 正文首行缩进 2 + (符号) 宋体 Char Char"/>
    <w:link w:val="2f7"/>
    <w:qFormat/>
    <w:rPr>
      <w:rFonts w:ascii="宋体"/>
      <w:color w:val="000000"/>
      <w:w w:val="110"/>
      <w:sz w:val="24"/>
      <w:szCs w:val="24"/>
    </w:rPr>
  </w:style>
  <w:style w:type="paragraph" w:customStyle="1" w:styleId="2f7">
    <w:name w:val="样式 正文首行缩进 2 + (符号) 宋体"/>
    <w:basedOn w:val="2b"/>
    <w:link w:val="2CharChar0"/>
    <w:qFormat/>
    <w:pPr>
      <w:spacing w:after="0" w:line="360" w:lineRule="auto"/>
      <w:ind w:leftChars="0" w:left="0" w:firstLine="200"/>
    </w:pPr>
    <w:rPr>
      <w:rFonts w:hAnsi="Times New Roman"/>
      <w:color w:val="000000"/>
      <w:w w:val="110"/>
      <w:kern w:val="0"/>
      <w:sz w:val="24"/>
    </w:rPr>
  </w:style>
  <w:style w:type="character" w:customStyle="1" w:styleId="contenttext11">
    <w:name w:val="contenttext11"/>
    <w:qFormat/>
    <w:rPr>
      <w:rFonts w:ascii="宋体" w:eastAsia="宋体" w:hAnsi="宋体" w:hint="eastAsia"/>
      <w:color w:val="000000"/>
      <w:sz w:val="24"/>
      <w:szCs w:val="24"/>
    </w:rPr>
  </w:style>
  <w:style w:type="character" w:customStyle="1" w:styleId="2CharChar1">
    <w:name w:val="样式 正文首行缩进 2 + (符号) 宋体 + (符号) 宋体 Char Char"/>
    <w:link w:val="2f8"/>
    <w:qFormat/>
    <w:rPr>
      <w:color w:val="000000"/>
      <w:w w:val="110"/>
    </w:rPr>
  </w:style>
  <w:style w:type="paragraph" w:customStyle="1" w:styleId="2f8">
    <w:name w:val="样式 正文首行缩进 2 + (符号) 宋体 + (符号) 宋体"/>
    <w:basedOn w:val="2f7"/>
    <w:link w:val="2CharChar1"/>
    <w:qFormat/>
    <w:rPr>
      <w:rFonts w:ascii="Times New Roman"/>
      <w:sz w:val="20"/>
      <w:szCs w:val="20"/>
    </w:rPr>
  </w:style>
  <w:style w:type="character" w:customStyle="1" w:styleId="font01">
    <w:name w:val="font01"/>
    <w:qFormat/>
    <w:rPr>
      <w:rFonts w:ascii="Arial" w:hAnsi="Arial" w:cs="Arial" w:hint="default"/>
      <w:color w:val="000000"/>
      <w:sz w:val="16"/>
      <w:szCs w:val="16"/>
      <w:u w:val="none"/>
    </w:rPr>
  </w:style>
  <w:style w:type="character" w:customStyle="1" w:styleId="CharChar122">
    <w:name w:val="Char Char122"/>
    <w:qFormat/>
    <w:rPr>
      <w:rFonts w:eastAsia="宋体"/>
      <w:color w:val="000000"/>
      <w:kern w:val="2"/>
      <w:sz w:val="24"/>
      <w:szCs w:val="24"/>
      <w:lang w:val="en-US" w:eastAsia="zh-CN" w:bidi="ar-SA"/>
    </w:rPr>
  </w:style>
  <w:style w:type="character" w:customStyle="1" w:styleId="1Char1">
    <w:name w:val="标题 1 Char1"/>
    <w:qFormat/>
    <w:rPr>
      <w:rFonts w:ascii="Arial" w:eastAsia="黑体" w:hAnsi="Arial"/>
      <w:b/>
      <w:bCs/>
      <w:kern w:val="44"/>
      <w:sz w:val="44"/>
      <w:szCs w:val="44"/>
      <w:lang w:val="en-US" w:eastAsia="zh-CN" w:bidi="ar-SA"/>
    </w:rPr>
  </w:style>
  <w:style w:type="character" w:customStyle="1" w:styleId="CharChar2">
    <w:name w:val="标注 Char Char"/>
    <w:link w:val="affff7"/>
    <w:qFormat/>
    <w:rPr>
      <w:rFonts w:ascii="Calibri" w:hAnsi="Calibri" w:cs="黑体"/>
      <w:kern w:val="2"/>
      <w:sz w:val="18"/>
      <w:szCs w:val="24"/>
    </w:rPr>
  </w:style>
  <w:style w:type="paragraph" w:customStyle="1" w:styleId="affff7">
    <w:name w:val="标注"/>
    <w:basedOn w:val="afe"/>
    <w:next w:val="a6"/>
    <w:link w:val="CharChar2"/>
    <w:qFormat/>
    <w:pPr>
      <w:spacing w:before="120"/>
      <w:jc w:val="right"/>
    </w:pPr>
    <w:rPr>
      <w:rFonts w:ascii="Calibri" w:hAnsi="Calibri"/>
      <w:sz w:val="18"/>
      <w:szCs w:val="24"/>
    </w:rPr>
  </w:style>
  <w:style w:type="character" w:customStyle="1" w:styleId="5Char1">
    <w:name w:val="标题5 Char"/>
    <w:qFormat/>
    <w:rPr>
      <w:rFonts w:ascii="Times New Roman" w:hAnsi="Times New Roman"/>
      <w:b/>
      <w:bCs/>
      <w:color w:val="000000"/>
      <w:spacing w:val="6"/>
      <w:kern w:val="2"/>
      <w:sz w:val="21"/>
      <w:szCs w:val="24"/>
    </w:rPr>
  </w:style>
  <w:style w:type="character" w:customStyle="1" w:styleId="Charff2">
    <w:name w:val="表注 Char"/>
    <w:qFormat/>
    <w:rPr>
      <w:rFonts w:eastAsia="宋体"/>
      <w:snapToGrid w:val="0"/>
      <w:sz w:val="18"/>
      <w:szCs w:val="18"/>
      <w:lang w:val="en-US" w:eastAsia="zh-CN" w:bidi="ar-SA"/>
    </w:rPr>
  </w:style>
  <w:style w:type="character" w:customStyle="1" w:styleId="iblockicn0icn0-919">
    <w:name w:val="iblock icn0 icn0-919"/>
    <w:qFormat/>
  </w:style>
  <w:style w:type="character" w:customStyle="1" w:styleId="CharAttribute4">
    <w:name w:val="CharAttribute4"/>
    <w:qFormat/>
    <w:rPr>
      <w:rFonts w:ascii="Times New Roman" w:eastAsia="Times New Roman" w:hAnsi="Times New Roman"/>
      <w:sz w:val="24"/>
    </w:rPr>
  </w:style>
  <w:style w:type="character" w:customStyle="1" w:styleId="1Char2">
    <w:name w:val="样式 样式1 + Char"/>
    <w:link w:val="1f"/>
    <w:qFormat/>
    <w:rPr>
      <w:sz w:val="24"/>
      <w:szCs w:val="24"/>
    </w:rPr>
  </w:style>
  <w:style w:type="paragraph" w:customStyle="1" w:styleId="1f">
    <w:name w:val="样式 样式1 +"/>
    <w:basedOn w:val="1e"/>
    <w:link w:val="1Char2"/>
    <w:qFormat/>
    <w:pPr>
      <w:adjustRightInd/>
      <w:snapToGrid/>
      <w:spacing w:beforeLines="0" w:before="0" w:afterLines="0" w:after="0" w:line="480" w:lineRule="exact"/>
      <w:ind w:firstLine="200"/>
    </w:pPr>
    <w:rPr>
      <w:bCs w:val="0"/>
      <w:kern w:val="0"/>
      <w:szCs w:val="24"/>
    </w:rPr>
  </w:style>
  <w:style w:type="character" w:customStyle="1" w:styleId="s1">
    <w:name w:val="s1"/>
    <w:qFormat/>
  </w:style>
  <w:style w:type="character" w:customStyle="1" w:styleId="3H3BHead3Char1113h33rdlevel1CharChar">
    <w:name w:val="样式 标题 3H3B Head标题 3 Char条标题1.1.1三级标题标题3h33rd level第二层条...1 Char Char"/>
    <w:qFormat/>
    <w:rPr>
      <w:rFonts w:ascii="黑体" w:eastAsia="黑体" w:hAnsi="宋体"/>
      <w:b/>
      <w:bCs/>
      <w:snapToGrid/>
      <w:color w:val="FF0000"/>
      <w:sz w:val="24"/>
      <w:szCs w:val="24"/>
      <w:lang w:val="en-US" w:eastAsia="zh-CN" w:bidi="ar-SA"/>
    </w:rPr>
  </w:style>
  <w:style w:type="character" w:customStyle="1" w:styleId="CharCharCharCharCharCharChar">
    <w:name w:val="正文(首行缩进) Char Char Char Char Char Char Char"/>
    <w:qFormat/>
    <w:rPr>
      <w:rFonts w:eastAsia="宋体"/>
      <w:snapToGrid/>
      <w:kern w:val="2"/>
      <w:sz w:val="24"/>
      <w:szCs w:val="24"/>
      <w:lang w:val="en-US" w:eastAsia="zh-CN" w:bidi="ar-SA"/>
    </w:rPr>
  </w:style>
  <w:style w:type="character" w:customStyle="1" w:styleId="font151">
    <w:name w:val="font151"/>
    <w:qFormat/>
    <w:rPr>
      <w:rFonts w:ascii="宋体" w:eastAsia="宋体" w:hAnsi="宋体" w:hint="eastAsia"/>
      <w:color w:val="000000"/>
      <w:sz w:val="21"/>
      <w:szCs w:val="21"/>
      <w:u w:val="none"/>
    </w:rPr>
  </w:style>
  <w:style w:type="character" w:customStyle="1" w:styleId="1CharChar0">
    <w:name w:val="1正文段落 Char Char"/>
    <w:uiPriority w:val="99"/>
    <w:qFormat/>
    <w:rPr>
      <w:rFonts w:eastAsia="宋体"/>
      <w:snapToGrid/>
      <w:sz w:val="24"/>
      <w:szCs w:val="24"/>
      <w:lang w:val="en-US" w:eastAsia="zh-CN" w:bidi="ar-SA"/>
    </w:rPr>
  </w:style>
  <w:style w:type="character" w:customStyle="1" w:styleId="CharChar3">
    <w:name w:val="表头标题 Char Char"/>
    <w:link w:val="affff8"/>
    <w:qFormat/>
    <w:rPr>
      <w:rFonts w:ascii="黑体" w:eastAsia="黑体"/>
      <w:bCs/>
      <w:color w:val="FF0000"/>
      <w:szCs w:val="21"/>
      <w:lang w:val="zh-CN"/>
    </w:rPr>
  </w:style>
  <w:style w:type="paragraph" w:customStyle="1" w:styleId="affff8">
    <w:name w:val="表头标题"/>
    <w:basedOn w:val="a6"/>
    <w:link w:val="CharChar3"/>
    <w:qFormat/>
    <w:pPr>
      <w:tabs>
        <w:tab w:val="left" w:pos="905"/>
      </w:tabs>
      <w:snapToGrid w:val="0"/>
      <w:jc w:val="center"/>
    </w:pPr>
    <w:rPr>
      <w:rFonts w:ascii="黑体" w:eastAsia="黑体"/>
      <w:bCs/>
      <w:color w:val="FF0000"/>
      <w:kern w:val="0"/>
      <w:sz w:val="20"/>
      <w:szCs w:val="21"/>
      <w:lang w:val="zh-CN"/>
    </w:rPr>
  </w:style>
  <w:style w:type="character" w:customStyle="1" w:styleId="222Char">
    <w:name w:val="样式 样式 正文首行缩进 2 + 宋体 首行缩进:  2 字符 + 首行缩进:  2 字符 Char"/>
    <w:link w:val="222"/>
    <w:qFormat/>
    <w:rPr>
      <w:sz w:val="24"/>
    </w:rPr>
  </w:style>
  <w:style w:type="paragraph" w:customStyle="1" w:styleId="222">
    <w:name w:val="样式 样式 正文首行缩进 2 + 宋体 首行缩进:  2 字符 + 首行缩进:  2 字符"/>
    <w:basedOn w:val="a6"/>
    <w:link w:val="222Char"/>
    <w:qFormat/>
    <w:pPr>
      <w:widowControl/>
      <w:spacing w:line="360" w:lineRule="auto"/>
      <w:ind w:firstLineChars="200" w:firstLine="480"/>
      <w:jc w:val="left"/>
    </w:pPr>
    <w:rPr>
      <w:kern w:val="0"/>
      <w:sz w:val="24"/>
      <w:szCs w:val="20"/>
    </w:rPr>
  </w:style>
  <w:style w:type="character" w:customStyle="1" w:styleId="2H211lxb211h2CharCharChar">
    <w:name w:val="样式 标题 2节H2节标题 1.1二级标题标题 lxb21.1h2第一层条二级标题 Char表标题单位名... Char Char"/>
    <w:link w:val="2H211lxb211h2CharChar"/>
    <w:qFormat/>
    <w:rPr>
      <w:rFonts w:ascii="黑体" w:eastAsia="黑体" w:hAnsi="宋体"/>
      <w:bCs/>
      <w:color w:val="000000"/>
      <w:kern w:val="2"/>
      <w:sz w:val="30"/>
      <w:szCs w:val="32"/>
    </w:rPr>
  </w:style>
  <w:style w:type="paragraph" w:customStyle="1" w:styleId="2H211lxb211h2CharChar">
    <w:name w:val="样式 标题 2节H2节标题 1.1二级标题标题 lxb21.1h2第一层条二级标题 Char表标题单位名... Char"/>
    <w:basedOn w:val="22"/>
    <w:link w:val="2H211lxb211h2CharCharChar"/>
    <w:qFormat/>
    <w:pPr>
      <w:keepNext w:val="0"/>
      <w:keepLines w:val="0"/>
      <w:overflowPunct w:val="0"/>
      <w:autoSpaceDE w:val="0"/>
      <w:autoSpaceDN w:val="0"/>
      <w:adjustRightInd w:val="0"/>
      <w:ind w:left="314" w:hanging="314"/>
      <w:textAlignment w:val="baseline"/>
    </w:pPr>
    <w:rPr>
      <w:rFonts w:ascii="黑体"/>
      <w:b/>
      <w:color w:val="000000"/>
      <w:spacing w:val="0"/>
      <w:w w:val="100"/>
      <w:kern w:val="2"/>
      <w:sz w:val="30"/>
      <w:szCs w:val="32"/>
    </w:rPr>
  </w:style>
  <w:style w:type="character" w:customStyle="1" w:styleId="Charff3">
    <w:name w:val="表格内字体 Char"/>
    <w:qFormat/>
    <w:rPr>
      <w:rFonts w:ascii="宋体" w:hAnsi="宋体"/>
      <w:szCs w:val="24"/>
    </w:rPr>
  </w:style>
  <w:style w:type="character" w:customStyle="1" w:styleId="Char13">
    <w:name w:val="正文文字( 首段缩进两字） Char1"/>
    <w:qFormat/>
    <w:rPr>
      <w:rFonts w:ascii="宋体" w:eastAsia="宋体" w:hAnsi="宋体"/>
      <w:color w:val="000000"/>
      <w:kern w:val="2"/>
      <w:sz w:val="24"/>
      <w:szCs w:val="28"/>
      <w:lang w:val="en-US" w:eastAsia="zh-CN" w:bidi="ar-SA"/>
    </w:rPr>
  </w:style>
  <w:style w:type="character" w:customStyle="1" w:styleId="Char30">
    <w:name w:val="批注主题 Char3"/>
    <w:qFormat/>
    <w:rPr>
      <w:b/>
      <w:bCs/>
      <w:kern w:val="2"/>
      <w:sz w:val="21"/>
      <w:szCs w:val="22"/>
    </w:rPr>
  </w:style>
  <w:style w:type="character" w:customStyle="1" w:styleId="4CharChar">
    <w:name w:val="标题 4 Char Char"/>
    <w:qFormat/>
    <w:rPr>
      <w:rFonts w:eastAsia="宋体"/>
      <w:kern w:val="2"/>
      <w:sz w:val="28"/>
      <w:lang w:val="en-US" w:eastAsia="zh-CN" w:bidi="ar-SA"/>
    </w:rPr>
  </w:style>
  <w:style w:type="character" w:customStyle="1" w:styleId="CharChar4">
    <w:name w:val="文字块 Char Char"/>
    <w:qFormat/>
    <w:rPr>
      <w:rFonts w:ascii="Times New Roman" w:hAnsi="Times New Roman"/>
      <w:kern w:val="2"/>
      <w:sz w:val="24"/>
      <w:szCs w:val="24"/>
    </w:rPr>
  </w:style>
  <w:style w:type="character" w:customStyle="1" w:styleId="CharChar171">
    <w:name w:val="Char Char171"/>
    <w:qFormat/>
    <w:rPr>
      <w:rFonts w:ascii="Arial" w:eastAsia="黑体" w:hAnsi="Arial"/>
      <w:kern w:val="30"/>
      <w:sz w:val="30"/>
      <w:lang w:val="en-US" w:eastAsia="zh-CN" w:bidi="ar-SA"/>
    </w:rPr>
  </w:style>
  <w:style w:type="character" w:customStyle="1" w:styleId="zimu111">
    <w:name w:val="zimu_111"/>
    <w:qFormat/>
    <w:rPr>
      <w:rFonts w:ascii="Verdana" w:hAnsi="Verdana" w:hint="default"/>
      <w:b/>
      <w:bCs/>
      <w:color w:val="0F54A1"/>
      <w:sz w:val="15"/>
      <w:szCs w:val="15"/>
      <w:u w:val="none"/>
    </w:rPr>
  </w:style>
  <w:style w:type="character" w:customStyle="1" w:styleId="Charff4">
    <w:name w:val="样式 样式 表格 + (符号) 宋体 五号 居中 + 小五 Char"/>
    <w:link w:val="affff9"/>
    <w:qFormat/>
    <w:rPr>
      <w:sz w:val="18"/>
      <w:szCs w:val="21"/>
    </w:rPr>
  </w:style>
  <w:style w:type="paragraph" w:customStyle="1" w:styleId="affff9">
    <w:name w:val="样式 样式 表格 + (符号) 宋体 五号 居中 + 小五"/>
    <w:basedOn w:val="a6"/>
    <w:link w:val="Charff4"/>
    <w:qFormat/>
    <w:pPr>
      <w:kinsoku w:val="0"/>
      <w:overflowPunct w:val="0"/>
      <w:adjustRightInd w:val="0"/>
      <w:snapToGrid w:val="0"/>
      <w:jc w:val="center"/>
    </w:pPr>
    <w:rPr>
      <w:kern w:val="0"/>
      <w:sz w:val="18"/>
      <w:szCs w:val="21"/>
    </w:rPr>
  </w:style>
  <w:style w:type="character" w:customStyle="1" w:styleId="2Char5">
    <w:name w:val="样式 标题 2 Char"/>
    <w:link w:val="2f9"/>
    <w:qFormat/>
    <w:rPr>
      <w:rFonts w:ascii="黑体" w:eastAsia="黑体" w:hAnsi="Arial"/>
      <w:color w:val="000000"/>
      <w:spacing w:val="10"/>
      <w:w w:val="96"/>
      <w:sz w:val="30"/>
      <w:szCs w:val="30"/>
    </w:rPr>
  </w:style>
  <w:style w:type="paragraph" w:customStyle="1" w:styleId="2f9">
    <w:name w:val="样式 标题 2"/>
    <w:link w:val="2Char5"/>
    <w:qFormat/>
    <w:pPr>
      <w:spacing w:beforeLines="50" w:afterLines="50" w:line="500" w:lineRule="exact"/>
    </w:pPr>
    <w:rPr>
      <w:rFonts w:ascii="黑体"/>
      <w:spacing w:val="10"/>
      <w:w w:val="96"/>
      <w:sz w:val="30"/>
      <w:szCs w:val="30"/>
    </w:rPr>
  </w:style>
  <w:style w:type="paragraph" w:customStyle="1" w:styleId="210">
    <w:name w:val="标题 21"/>
    <w:basedOn w:val="a6"/>
    <w:next w:val="a6"/>
    <w:qFormat/>
    <w:pPr>
      <w:keepNext/>
      <w:keepLines/>
      <w:spacing w:before="260" w:after="260" w:line="413" w:lineRule="auto"/>
      <w:outlineLvl w:val="1"/>
    </w:pPr>
    <w:rPr>
      <w:rFonts w:ascii="Arial" w:eastAsia="黑体" w:hAnsi="Arial"/>
      <w:b/>
      <w:bCs/>
      <w:color w:val="000000"/>
      <w:w w:val="110"/>
      <w:kern w:val="0"/>
      <w:sz w:val="32"/>
      <w:szCs w:val="32"/>
    </w:rPr>
  </w:style>
  <w:style w:type="character" w:customStyle="1" w:styleId="Char14">
    <w:name w:val="文档结构图 Char1"/>
    <w:link w:val="1f0"/>
    <w:qFormat/>
    <w:rPr>
      <w:rFonts w:ascii="宋体"/>
      <w:kern w:val="2"/>
      <w:sz w:val="18"/>
      <w:szCs w:val="18"/>
    </w:rPr>
  </w:style>
  <w:style w:type="paragraph" w:customStyle="1" w:styleId="1f0">
    <w:name w:val="文档结构图1"/>
    <w:basedOn w:val="a6"/>
    <w:link w:val="Char14"/>
    <w:qFormat/>
    <w:rPr>
      <w:rFonts w:ascii="宋体"/>
      <w:sz w:val="18"/>
      <w:szCs w:val="18"/>
    </w:rPr>
  </w:style>
  <w:style w:type="character" w:customStyle="1" w:styleId="c1">
    <w:name w:val="c1"/>
    <w:uiPriority w:val="99"/>
    <w:qFormat/>
    <w:rPr>
      <w:rFonts w:ascii="ˎ̥" w:hAnsi="ˎ̥" w:hint="default"/>
      <w:color w:val="000000"/>
      <w:sz w:val="21"/>
      <w:szCs w:val="21"/>
      <w:u w:val="none"/>
    </w:rPr>
  </w:style>
  <w:style w:type="character" w:customStyle="1" w:styleId="rsdesckey1">
    <w:name w:val="rsdesckey1"/>
    <w:qFormat/>
    <w:rPr>
      <w:color w:val="FF0000"/>
    </w:rPr>
  </w:style>
  <w:style w:type="character" w:customStyle="1" w:styleId="A2Char">
    <w:name w:val="A2 Char"/>
    <w:link w:val="A20"/>
    <w:qFormat/>
    <w:rPr>
      <w:kern w:val="2"/>
      <w:sz w:val="30"/>
      <w:szCs w:val="24"/>
    </w:rPr>
  </w:style>
  <w:style w:type="paragraph" w:customStyle="1" w:styleId="A20">
    <w:name w:val="A2"/>
    <w:basedOn w:val="a6"/>
    <w:link w:val="A2Char"/>
    <w:qFormat/>
    <w:pPr>
      <w:spacing w:line="360" w:lineRule="auto"/>
      <w:ind w:firstLine="570"/>
    </w:pPr>
    <w:rPr>
      <w:sz w:val="30"/>
    </w:rPr>
  </w:style>
  <w:style w:type="character" w:customStyle="1" w:styleId="Charff5">
    <w:name w:val="图题 Char"/>
    <w:qFormat/>
    <w:rPr>
      <w:rFonts w:ascii="黑体" w:eastAsia="黑体" w:hAnsi="宋体" w:cs="宋体"/>
      <w:b/>
      <w:bCs/>
      <w:kern w:val="2"/>
      <w:sz w:val="24"/>
      <w:szCs w:val="24"/>
      <w:lang w:val="en-US" w:eastAsia="zh-CN" w:bidi="ar-SA"/>
    </w:rPr>
  </w:style>
  <w:style w:type="character" w:customStyle="1" w:styleId="CharChar5">
    <w:name w:val="正文格式 Char Char"/>
    <w:link w:val="affffa"/>
    <w:uiPriority w:val="99"/>
    <w:qFormat/>
    <w:rPr>
      <w:rFonts w:ascii="宋体" w:hAnsi="宋体"/>
      <w:kern w:val="2"/>
      <w:sz w:val="24"/>
    </w:rPr>
  </w:style>
  <w:style w:type="paragraph" w:customStyle="1" w:styleId="affffa">
    <w:name w:val="正文格式"/>
    <w:basedOn w:val="a6"/>
    <w:link w:val="CharChar5"/>
    <w:uiPriority w:val="99"/>
    <w:qFormat/>
    <w:pPr>
      <w:spacing w:line="360" w:lineRule="auto"/>
      <w:ind w:firstLine="482"/>
    </w:pPr>
    <w:rPr>
      <w:rFonts w:ascii="宋体" w:hAnsi="宋体"/>
      <w:sz w:val="24"/>
      <w:szCs w:val="20"/>
    </w:rPr>
  </w:style>
  <w:style w:type="character" w:customStyle="1" w:styleId="14red">
    <w:name w:val="14red"/>
    <w:basedOn w:val="a7"/>
    <w:qFormat/>
  </w:style>
  <w:style w:type="character" w:customStyle="1" w:styleId="110">
    <w:name w:val="占位符文本11"/>
    <w:uiPriority w:val="99"/>
    <w:qFormat/>
    <w:rPr>
      <w:color w:val="808080"/>
    </w:rPr>
  </w:style>
  <w:style w:type="character" w:customStyle="1" w:styleId="zhengwen">
    <w:name w:val="zhengwen"/>
    <w:qFormat/>
  </w:style>
  <w:style w:type="character" w:customStyle="1" w:styleId="fc04stag">
    <w:name w:val="fc04 stag"/>
    <w:qFormat/>
  </w:style>
  <w:style w:type="character" w:customStyle="1" w:styleId="FontStyle399">
    <w:name w:val="Font Style399"/>
    <w:qFormat/>
    <w:rPr>
      <w:rFonts w:ascii="宋体" w:eastAsia="宋体" w:cs="宋体"/>
      <w:i/>
      <w:iCs/>
      <w:spacing w:val="60"/>
      <w:w w:val="200"/>
      <w:sz w:val="10"/>
      <w:szCs w:val="10"/>
    </w:rPr>
  </w:style>
  <w:style w:type="character" w:customStyle="1" w:styleId="CharCharChar2">
    <w:name w:val="右 Char Char Char2"/>
    <w:qFormat/>
    <w:rPr>
      <w:kern w:val="2"/>
      <w:sz w:val="18"/>
      <w:szCs w:val="18"/>
    </w:rPr>
  </w:style>
  <w:style w:type="character" w:customStyle="1" w:styleId="tw4winMark">
    <w:name w:val="tw4winMark"/>
    <w:qFormat/>
    <w:rPr>
      <w:vanish/>
      <w:color w:val="800080"/>
      <w:vertAlign w:val="subscript"/>
    </w:rPr>
  </w:style>
  <w:style w:type="character" w:customStyle="1" w:styleId="Charff6">
    <w:name w:val="样式 宋体 四号 Char"/>
    <w:qFormat/>
    <w:rPr>
      <w:rFonts w:ascii="Times New Roman" w:hAnsi="Times New Roman"/>
      <w:kern w:val="2"/>
      <w:sz w:val="28"/>
      <w:szCs w:val="28"/>
    </w:rPr>
  </w:style>
  <w:style w:type="character" w:customStyle="1" w:styleId="CharChar33">
    <w:name w:val="Char Char33"/>
    <w:qFormat/>
    <w:rPr>
      <w:rFonts w:eastAsia="宋体"/>
      <w:b/>
      <w:kern w:val="2"/>
      <w:sz w:val="32"/>
      <w:lang w:val="en-US" w:eastAsia="zh-CN"/>
    </w:rPr>
  </w:style>
  <w:style w:type="character" w:customStyle="1" w:styleId="style10">
    <w:name w:val="style10"/>
    <w:qFormat/>
  </w:style>
  <w:style w:type="character" w:customStyle="1" w:styleId="FooterLine1Char2">
    <w:name w:val="Footer Line1 Char2"/>
    <w:qFormat/>
    <w:rPr>
      <w:rFonts w:eastAsia="宋体"/>
      <w:sz w:val="18"/>
      <w:szCs w:val="18"/>
      <w:lang w:val="en-US" w:eastAsia="zh-CN" w:bidi="ar-SA"/>
    </w:rPr>
  </w:style>
  <w:style w:type="character" w:customStyle="1" w:styleId="1Char3">
    <w:name w:val="样式 题注 + 小四1 Char"/>
    <w:link w:val="1f1"/>
    <w:qFormat/>
    <w:rPr>
      <w:rFonts w:eastAsia="黑体" w:cs="Arial"/>
      <w:kern w:val="2"/>
      <w:sz w:val="24"/>
    </w:rPr>
  </w:style>
  <w:style w:type="paragraph" w:customStyle="1" w:styleId="1f1">
    <w:name w:val="样式 题注 + 小四1"/>
    <w:basedOn w:val="af1"/>
    <w:link w:val="1Char3"/>
    <w:qFormat/>
    <w:pPr>
      <w:widowControl w:val="0"/>
      <w:tabs>
        <w:tab w:val="left" w:pos="2268"/>
      </w:tabs>
      <w:ind w:left="851" w:firstLineChars="0" w:firstLine="0"/>
      <w:jc w:val="both"/>
    </w:pPr>
    <w:rPr>
      <w:rFonts w:eastAsia="黑体"/>
      <w:b w:val="0"/>
      <w:szCs w:val="20"/>
    </w:rPr>
  </w:style>
  <w:style w:type="character" w:customStyle="1" w:styleId="3f3">
    <w:name w:val="Основной текст (3)"/>
    <w:qFormat/>
    <w:rPr>
      <w:rFonts w:ascii="Times New Roman" w:eastAsia="Times New Roman" w:hAnsi="Times New Roman" w:cs="Times New Roman"/>
      <w:spacing w:val="0"/>
      <w:sz w:val="26"/>
      <w:szCs w:val="26"/>
      <w:lang w:bidi="ar-SA"/>
    </w:rPr>
  </w:style>
  <w:style w:type="character" w:customStyle="1" w:styleId="Charff7">
    <w:name w:val="标题表格 Char"/>
    <w:link w:val="affffb"/>
    <w:qFormat/>
    <w:rPr>
      <w:rFonts w:ascii="黑体" w:eastAsia="黑体" w:hAnsi="楷体_GB2312"/>
      <w:sz w:val="24"/>
      <w:szCs w:val="24"/>
    </w:rPr>
  </w:style>
  <w:style w:type="paragraph" w:customStyle="1" w:styleId="affffb">
    <w:name w:val="标题表格"/>
    <w:basedOn w:val="a6"/>
    <w:link w:val="Charff7"/>
    <w:qFormat/>
    <w:pPr>
      <w:spacing w:beforeLines="80"/>
      <w:jc w:val="center"/>
    </w:pPr>
    <w:rPr>
      <w:rFonts w:ascii="黑体" w:eastAsia="黑体" w:hAnsi="楷体_GB2312"/>
      <w:kern w:val="0"/>
      <w:sz w:val="24"/>
    </w:rPr>
  </w:style>
  <w:style w:type="character" w:customStyle="1" w:styleId="CharChar6">
    <w:name w:val="样式 样式 表格 + (符号) 宋体 五号 居中 + 小五 Char Char"/>
    <w:qFormat/>
    <w:rPr>
      <w:snapToGrid w:val="0"/>
      <w:sz w:val="18"/>
      <w:szCs w:val="21"/>
    </w:rPr>
  </w:style>
  <w:style w:type="character" w:customStyle="1" w:styleId="px141">
    <w:name w:val="px141"/>
    <w:qFormat/>
    <w:rPr>
      <w:sz w:val="21"/>
      <w:szCs w:val="21"/>
    </w:rPr>
  </w:style>
  <w:style w:type="character" w:customStyle="1" w:styleId="ca-41">
    <w:name w:val="ca-41"/>
    <w:qFormat/>
    <w:rPr>
      <w:rFonts w:ascii="宋体" w:eastAsia="宋体" w:hAnsi="宋体" w:hint="eastAsia"/>
      <w:color w:val="000000"/>
      <w:sz w:val="14"/>
      <w:szCs w:val="14"/>
    </w:rPr>
  </w:style>
  <w:style w:type="character" w:customStyle="1" w:styleId="FontStyle404">
    <w:name w:val="Font Style404"/>
    <w:qFormat/>
    <w:rPr>
      <w:rFonts w:ascii="宋体" w:eastAsia="宋体" w:cs="宋体"/>
      <w:b/>
      <w:bCs/>
      <w:w w:val="150"/>
      <w:sz w:val="14"/>
      <w:szCs w:val="14"/>
    </w:rPr>
  </w:style>
  <w:style w:type="character" w:customStyle="1" w:styleId="1Char4">
    <w:name w:val="分目录1 Char"/>
    <w:link w:val="1f2"/>
    <w:qFormat/>
    <w:rPr>
      <w:sz w:val="28"/>
    </w:rPr>
  </w:style>
  <w:style w:type="paragraph" w:customStyle="1" w:styleId="1f2">
    <w:name w:val="分目录1"/>
    <w:basedOn w:val="a6"/>
    <w:link w:val="1Char4"/>
    <w:qFormat/>
    <w:pPr>
      <w:tabs>
        <w:tab w:val="right" w:leader="dot" w:pos="8304"/>
      </w:tabs>
      <w:adjustRightInd w:val="0"/>
      <w:snapToGrid w:val="0"/>
      <w:spacing w:line="360" w:lineRule="auto"/>
    </w:pPr>
    <w:rPr>
      <w:kern w:val="0"/>
      <w:sz w:val="28"/>
      <w:szCs w:val="20"/>
    </w:rPr>
  </w:style>
  <w:style w:type="character" w:customStyle="1" w:styleId="BChar">
    <w:name w:val="正文B Char"/>
    <w:link w:val="B"/>
    <w:qFormat/>
    <w:rPr>
      <w:rFonts w:eastAsia="楷体_GB2312"/>
      <w:spacing w:val="8"/>
      <w:sz w:val="28"/>
    </w:rPr>
  </w:style>
  <w:style w:type="paragraph" w:customStyle="1" w:styleId="B">
    <w:name w:val="正文B"/>
    <w:basedOn w:val="a6"/>
    <w:link w:val="BChar"/>
    <w:qFormat/>
    <w:pPr>
      <w:adjustRightInd w:val="0"/>
      <w:spacing w:line="390" w:lineRule="exact"/>
      <w:ind w:firstLine="601"/>
      <w:textAlignment w:val="baseline"/>
    </w:pPr>
    <w:rPr>
      <w:rFonts w:eastAsia="楷体_GB2312"/>
      <w:spacing w:val="8"/>
      <w:kern w:val="0"/>
      <w:sz w:val="28"/>
      <w:szCs w:val="20"/>
    </w:rPr>
  </w:style>
  <w:style w:type="character" w:customStyle="1" w:styleId="aa11">
    <w:name w:val="aa11"/>
    <w:qFormat/>
  </w:style>
  <w:style w:type="character" w:customStyle="1" w:styleId="Footer1CharChar1">
    <w:name w:val="Footer1 Char Char1"/>
    <w:qFormat/>
    <w:rPr>
      <w:rFonts w:eastAsia="宋体"/>
      <w:kern w:val="2"/>
      <w:sz w:val="18"/>
      <w:lang w:val="en-US" w:eastAsia="zh-CN" w:bidi="ar-SA"/>
    </w:rPr>
  </w:style>
  <w:style w:type="character" w:customStyle="1" w:styleId="Charff8">
    <w:name w:val="【图片】 Char"/>
    <w:qFormat/>
    <w:locked/>
    <w:rPr>
      <w:rFonts w:ascii="宋体" w:eastAsia="宋体" w:hAnsi="Times New Roman" w:cs="Times New Roman"/>
      <w:kern w:val="0"/>
      <w:sz w:val="24"/>
      <w:szCs w:val="20"/>
    </w:rPr>
  </w:style>
  <w:style w:type="character" w:customStyle="1" w:styleId="CharAttribute5">
    <w:name w:val="CharAttribute5"/>
    <w:qFormat/>
    <w:rPr>
      <w:rFonts w:ascii="宋体" w:eastAsia="宋体" w:hAnsi="宋体"/>
      <w:sz w:val="21"/>
    </w:rPr>
  </w:style>
  <w:style w:type="character" w:customStyle="1" w:styleId="-Char">
    <w:name w:val="报告正文-黄登 Char"/>
    <w:link w:val="-"/>
    <w:qFormat/>
    <w:rPr>
      <w:snapToGrid/>
      <w:sz w:val="24"/>
      <w:szCs w:val="24"/>
    </w:rPr>
  </w:style>
  <w:style w:type="paragraph" w:customStyle="1" w:styleId="-">
    <w:name w:val="报告正文-黄登"/>
    <w:basedOn w:val="a6"/>
    <w:link w:val="-Char"/>
    <w:qFormat/>
    <w:pPr>
      <w:spacing w:line="360" w:lineRule="auto"/>
      <w:ind w:firstLineChars="200" w:firstLine="480"/>
      <w:jc w:val="left"/>
    </w:pPr>
    <w:rPr>
      <w:snapToGrid w:val="0"/>
      <w:kern w:val="0"/>
      <w:sz w:val="24"/>
    </w:rPr>
  </w:style>
  <w:style w:type="character" w:customStyle="1" w:styleId="4Char0">
    <w:name w:val="样式4 Char"/>
    <w:link w:val="4c"/>
    <w:qFormat/>
    <w:rPr>
      <w:spacing w:val="4"/>
      <w:sz w:val="18"/>
    </w:rPr>
  </w:style>
  <w:style w:type="paragraph" w:customStyle="1" w:styleId="4c">
    <w:name w:val="样式4"/>
    <w:basedOn w:val="a6"/>
    <w:link w:val="4Char0"/>
    <w:qFormat/>
    <w:pPr>
      <w:adjustRightInd w:val="0"/>
      <w:spacing w:line="360" w:lineRule="atLeast"/>
      <w:ind w:left="-57" w:right="-57" w:firstLine="482"/>
      <w:textAlignment w:val="baseline"/>
    </w:pPr>
    <w:rPr>
      <w:spacing w:val="4"/>
      <w:kern w:val="0"/>
      <w:sz w:val="18"/>
      <w:szCs w:val="20"/>
    </w:rPr>
  </w:style>
  <w:style w:type="character" w:customStyle="1" w:styleId="CharCharChar">
    <w:name w:val="文本匡小五号 Char Char Char"/>
    <w:qFormat/>
    <w:rPr>
      <w:rFonts w:ascii="宋体" w:eastAsia="仿宋_GB2312" w:hAnsi="宋体" w:cs="Courier New"/>
      <w:kern w:val="2"/>
      <w:sz w:val="18"/>
      <w:szCs w:val="24"/>
      <w:lang w:val="en-US" w:eastAsia="zh-CN" w:bidi="ar-SA"/>
    </w:rPr>
  </w:style>
  <w:style w:type="character" w:customStyle="1" w:styleId="EmailStyle488">
    <w:name w:val="EmailStyle488"/>
    <w:qFormat/>
    <w:rPr>
      <w:rFonts w:ascii="Arial" w:eastAsia="宋体" w:hAnsi="Arial" w:cs="Arial"/>
      <w:color w:val="auto"/>
      <w:sz w:val="20"/>
    </w:rPr>
  </w:style>
  <w:style w:type="character" w:customStyle="1" w:styleId="dlscore">
    <w:name w:val="dlscore"/>
    <w:qFormat/>
  </w:style>
  <w:style w:type="character" w:customStyle="1" w:styleId="aspmaker1">
    <w:name w:val="aspmaker1"/>
    <w:qFormat/>
    <w:rPr>
      <w:rFonts w:ascii="Verdana" w:hAnsi="Verdana" w:hint="default"/>
      <w:sz w:val="20"/>
      <w:szCs w:val="20"/>
    </w:rPr>
  </w:style>
  <w:style w:type="character" w:customStyle="1" w:styleId="03CharCharChar">
    <w:name w:val="03 Char Char Char"/>
    <w:qFormat/>
    <w:rPr>
      <w:rFonts w:ascii="宋体" w:eastAsia="宋体" w:hAnsi="Courier New"/>
      <w:kern w:val="2"/>
      <w:sz w:val="24"/>
      <w:szCs w:val="24"/>
      <w:lang w:val="en-US" w:eastAsia="zh-CN" w:bidi="ar-SA"/>
    </w:rPr>
  </w:style>
  <w:style w:type="character" w:customStyle="1" w:styleId="style2">
    <w:name w:val="style2"/>
    <w:basedOn w:val="a7"/>
    <w:qFormat/>
  </w:style>
  <w:style w:type="character" w:customStyle="1" w:styleId="31CharCharChar">
    <w:name w:val="正文文字缩进 31 Char Char Char"/>
    <w:qFormat/>
    <w:rPr>
      <w:rFonts w:eastAsia="宋体"/>
      <w:kern w:val="2"/>
      <w:sz w:val="21"/>
      <w:lang w:val="en-US" w:eastAsia="zh-CN" w:bidi="ar-SA"/>
    </w:rPr>
  </w:style>
  <w:style w:type="character" w:customStyle="1" w:styleId="unnamed2">
    <w:name w:val="unnamed2"/>
    <w:qFormat/>
  </w:style>
  <w:style w:type="character" w:customStyle="1" w:styleId="MTDisplayEquationChar">
    <w:name w:val="MTDisplayEquation Char"/>
    <w:link w:val="MTDisplayEquation"/>
    <w:qFormat/>
    <w:rPr>
      <w:kern w:val="2"/>
      <w:sz w:val="28"/>
      <w:szCs w:val="24"/>
    </w:rPr>
  </w:style>
  <w:style w:type="paragraph" w:customStyle="1" w:styleId="MTDisplayEquation">
    <w:name w:val="MTDisplayEquation"/>
    <w:basedOn w:val="a6"/>
    <w:next w:val="a6"/>
    <w:link w:val="MTDisplayEquationChar"/>
    <w:qFormat/>
    <w:pPr>
      <w:tabs>
        <w:tab w:val="center" w:pos="4480"/>
        <w:tab w:val="right" w:pos="8960"/>
      </w:tabs>
      <w:ind w:firstLineChars="200" w:firstLine="560"/>
    </w:pPr>
    <w:rPr>
      <w:sz w:val="28"/>
    </w:rPr>
  </w:style>
  <w:style w:type="character" w:customStyle="1" w:styleId="41111411114Char1111Char4Char">
    <w:name w:val="样式 标题 41.1.1.1标题 4.1.1.1.1标题 4 Char款1.1.1.1 Char标4段 + 宋体... Char"/>
    <w:link w:val="41111411114Char1111Char4"/>
    <w:semiHidden/>
    <w:qFormat/>
    <w:rPr>
      <w:rFonts w:ascii="宋体" w:hAnsi="宋体"/>
      <w:bCs/>
      <w:color w:val="000000"/>
      <w:kern w:val="2"/>
      <w:sz w:val="28"/>
      <w:szCs w:val="24"/>
    </w:rPr>
  </w:style>
  <w:style w:type="paragraph" w:customStyle="1" w:styleId="41111411114Char1111Char4">
    <w:name w:val="样式 标题 41.1.1.1标题 4.1.1.1.1标题 4 Char款1.1.1.1 Char标4段 + 宋体..."/>
    <w:basedOn w:val="a6"/>
    <w:next w:val="a6"/>
    <w:link w:val="41111411114Char1111Char4Char"/>
    <w:semiHidden/>
    <w:qFormat/>
    <w:pPr>
      <w:widowControl/>
      <w:spacing w:line="360" w:lineRule="auto"/>
      <w:jc w:val="left"/>
    </w:pPr>
    <w:rPr>
      <w:rFonts w:ascii="宋体" w:hAnsi="宋体"/>
      <w:bCs/>
      <w:color w:val="000000"/>
      <w:sz w:val="28"/>
    </w:rPr>
  </w:style>
  <w:style w:type="character" w:customStyle="1" w:styleId="2fa">
    <w:name w:val="标书样式标题2"/>
    <w:qFormat/>
    <w:rPr>
      <w:sz w:val="21"/>
    </w:rPr>
  </w:style>
  <w:style w:type="character" w:customStyle="1" w:styleId="info">
    <w:name w:val="info"/>
    <w:qFormat/>
  </w:style>
  <w:style w:type="character" w:customStyle="1" w:styleId="2Heading2HEAD2HEAD21HEAD22HEAD211HEAD23HEADChar">
    <w:name w:val="样式 标题 2_Heading 2HEAD_2HEAD_21HEAD_22HEAD_211HEAD_23HEAD_... Char"/>
    <w:link w:val="2Heading2HEAD2HEAD21HEAD22HEAD211HEAD23HEAD"/>
    <w:qFormat/>
    <w:rPr>
      <w:rFonts w:hAnsi="宋体"/>
      <w:b/>
      <w:color w:val="000000"/>
      <w:sz w:val="24"/>
      <w:szCs w:val="24"/>
    </w:rPr>
  </w:style>
  <w:style w:type="paragraph" w:customStyle="1" w:styleId="2Heading2HEAD2HEAD21HEAD22HEAD211HEAD23HEAD">
    <w:name w:val="样式 标题 2_Heading 2HEAD_2HEAD_21HEAD_22HEAD_211HEAD_23HEAD_..."/>
    <w:basedOn w:val="22"/>
    <w:link w:val="2Heading2HEAD2HEAD21HEAD22HEAD211HEAD23HEADChar"/>
    <w:qFormat/>
    <w:pPr>
      <w:keepNext w:val="0"/>
      <w:keepLines w:val="0"/>
      <w:widowControl/>
      <w:tabs>
        <w:tab w:val="left" w:pos="1070"/>
      </w:tabs>
      <w:adjustRightInd w:val="0"/>
      <w:snapToGrid w:val="0"/>
      <w:spacing w:line="460" w:lineRule="exact"/>
      <w:ind w:firstLineChars="196" w:firstLine="445"/>
      <w:jc w:val="left"/>
    </w:pPr>
    <w:rPr>
      <w:bCs w:val="0"/>
      <w:color w:val="000000"/>
      <w:spacing w:val="0"/>
      <w:w w:val="100"/>
      <w:kern w:val="0"/>
      <w:sz w:val="24"/>
      <w:szCs w:val="24"/>
    </w:rPr>
  </w:style>
  <w:style w:type="character" w:customStyle="1" w:styleId="FontStyle13">
    <w:name w:val="Font Style13"/>
    <w:qFormat/>
    <w:rPr>
      <w:rFonts w:ascii="Times New Roman" w:hAnsi="Times New Roman"/>
      <w:sz w:val="26"/>
    </w:rPr>
  </w:style>
  <w:style w:type="character" w:customStyle="1" w:styleId="Charff9">
    <w:name w:val="表格名称 Char"/>
    <w:qFormat/>
    <w:rPr>
      <w:rFonts w:ascii="宋体" w:eastAsia="宋体"/>
      <w:kern w:val="2"/>
      <w:sz w:val="28"/>
      <w:szCs w:val="28"/>
      <w:lang w:val="en-US" w:eastAsia="zh-CN" w:bidi="ar-SA"/>
    </w:rPr>
  </w:style>
  <w:style w:type="character" w:customStyle="1" w:styleId="lffChar">
    <w:name w:val="lff Char"/>
    <w:link w:val="lff"/>
    <w:qFormat/>
    <w:rPr>
      <w:rFonts w:ascii="宋体" w:hAnsi="宋体"/>
      <w:b/>
      <w:color w:val="0000FF"/>
      <w:kern w:val="2"/>
      <w:sz w:val="21"/>
      <w:szCs w:val="21"/>
    </w:rPr>
  </w:style>
  <w:style w:type="paragraph" w:customStyle="1" w:styleId="lff">
    <w:name w:val="lff"/>
    <w:basedOn w:val="affc"/>
    <w:link w:val="lffChar"/>
    <w:qFormat/>
    <w:pPr>
      <w:snapToGrid w:val="0"/>
      <w:spacing w:line="360" w:lineRule="auto"/>
      <w:ind w:firstLine="422"/>
    </w:pPr>
    <w:rPr>
      <w:b/>
      <w:bCs w:val="0"/>
      <w:color w:val="0000FF"/>
      <w:spacing w:val="0"/>
      <w:kern w:val="2"/>
      <w:sz w:val="21"/>
      <w:szCs w:val="21"/>
    </w:rPr>
  </w:style>
  <w:style w:type="character" w:customStyle="1" w:styleId="-Char0">
    <w:name w:val="表格内容-两端对齐 Char"/>
    <w:link w:val="-0"/>
    <w:qFormat/>
    <w:rPr>
      <w:sz w:val="21"/>
      <w:szCs w:val="21"/>
    </w:rPr>
  </w:style>
  <w:style w:type="paragraph" w:customStyle="1" w:styleId="-0">
    <w:name w:val="表格内容-两端对齐"/>
    <w:basedOn w:val="a6"/>
    <w:link w:val="-Char0"/>
    <w:qFormat/>
    <w:pPr>
      <w:widowControl/>
      <w:jc w:val="left"/>
    </w:pPr>
    <w:rPr>
      <w:kern w:val="0"/>
      <w:szCs w:val="21"/>
    </w:rPr>
  </w:style>
  <w:style w:type="character" w:customStyle="1" w:styleId="affffc">
    <w:name w:val="已访问的超级链接"/>
    <w:qFormat/>
    <w:rPr>
      <w:rFonts w:cs="Times New Roman"/>
      <w:color w:val="800080"/>
      <w:u w:val="single"/>
    </w:rPr>
  </w:style>
  <w:style w:type="character" w:customStyle="1" w:styleId="hangju">
    <w:name w:val="hangju"/>
    <w:qFormat/>
    <w:rPr>
      <w:rFonts w:cs="Times New Roman"/>
    </w:rPr>
  </w:style>
  <w:style w:type="character" w:customStyle="1" w:styleId="TTCharChar">
    <w:name w:val="TT表格标题 Char Char"/>
    <w:link w:val="TT"/>
    <w:qFormat/>
    <w:rPr>
      <w:b/>
      <w:bCs/>
      <w:sz w:val="24"/>
    </w:rPr>
  </w:style>
  <w:style w:type="paragraph" w:customStyle="1" w:styleId="TT">
    <w:name w:val="TT表格标题"/>
    <w:basedOn w:val="a6"/>
    <w:link w:val="TTCharChar"/>
    <w:qFormat/>
    <w:pPr>
      <w:tabs>
        <w:tab w:val="left" w:pos="480"/>
      </w:tabs>
      <w:jc w:val="center"/>
    </w:pPr>
    <w:rPr>
      <w:b/>
      <w:bCs/>
      <w:kern w:val="0"/>
      <w:sz w:val="24"/>
      <w:szCs w:val="20"/>
    </w:rPr>
  </w:style>
  <w:style w:type="character" w:customStyle="1" w:styleId="2Char6">
    <w:name w:val="样式 正文首行缩进 2 + (符号) 宋体 + (符号) 宋体 Char"/>
    <w:qFormat/>
    <w:rPr>
      <w:rFonts w:ascii="宋体" w:hAnsi="Times New Roman" w:cs="Times New Roman"/>
      <w:kern w:val="2"/>
      <w:sz w:val="24"/>
      <w:szCs w:val="24"/>
    </w:rPr>
  </w:style>
  <w:style w:type="character" w:customStyle="1" w:styleId="1f3">
    <w:name w:val="未处理的提及1"/>
    <w:uiPriority w:val="99"/>
    <w:unhideWhenUsed/>
    <w:qFormat/>
    <w:rPr>
      <w:color w:val="808080"/>
      <w:shd w:val="clear" w:color="auto" w:fill="E6E6E6"/>
    </w:rPr>
  </w:style>
  <w:style w:type="character" w:customStyle="1" w:styleId="dandan6-132CharChar">
    <w:name w:val="dandan6-13标题2 Char Char"/>
    <w:qFormat/>
    <w:rPr>
      <w:rFonts w:eastAsia="黑体"/>
      <w:b/>
      <w:sz w:val="30"/>
      <w:szCs w:val="32"/>
    </w:rPr>
  </w:style>
  <w:style w:type="character" w:customStyle="1" w:styleId="CharChar7">
    <w:name w:val="正文缩二 Char Char"/>
    <w:link w:val="affffd"/>
    <w:qFormat/>
    <w:rPr>
      <w:rFonts w:ascii="宋体" w:hAnsi="宋体" w:cs="黑体"/>
      <w:kern w:val="2"/>
      <w:sz w:val="24"/>
      <w:szCs w:val="72"/>
    </w:rPr>
  </w:style>
  <w:style w:type="paragraph" w:customStyle="1" w:styleId="affffd">
    <w:name w:val="正文缩二"/>
    <w:basedOn w:val="a6"/>
    <w:link w:val="CharChar7"/>
    <w:qFormat/>
    <w:pPr>
      <w:tabs>
        <w:tab w:val="left" w:pos="8820"/>
      </w:tabs>
      <w:spacing w:line="360" w:lineRule="auto"/>
      <w:ind w:firstLineChars="200" w:firstLine="200"/>
      <w:jc w:val="left"/>
    </w:pPr>
    <w:rPr>
      <w:rFonts w:ascii="宋体" w:hAnsi="宋体"/>
      <w:sz w:val="24"/>
      <w:szCs w:val="72"/>
    </w:rPr>
  </w:style>
  <w:style w:type="character" w:customStyle="1" w:styleId="CharAttribute102">
    <w:name w:val="CharAttribute102"/>
    <w:qFormat/>
    <w:rPr>
      <w:rFonts w:ascii="Times New Roman" w:eastAsia="Times New Roman" w:hAnsi="Times New Roman"/>
      <w:sz w:val="27"/>
    </w:rPr>
  </w:style>
  <w:style w:type="character" w:customStyle="1" w:styleId="font14px">
    <w:name w:val="font14px"/>
    <w:qFormat/>
  </w:style>
  <w:style w:type="character" w:customStyle="1" w:styleId="affffe">
    <w:name w:val="第一条"/>
    <w:qFormat/>
  </w:style>
  <w:style w:type="character" w:customStyle="1" w:styleId="r">
    <w:name w:val="r"/>
    <w:qFormat/>
  </w:style>
  <w:style w:type="character" w:customStyle="1" w:styleId="textbig1">
    <w:name w:val="textbig1"/>
    <w:qFormat/>
    <w:rPr>
      <w:sz w:val="18"/>
      <w:szCs w:val="18"/>
    </w:rPr>
  </w:style>
  <w:style w:type="character" w:customStyle="1" w:styleId="0CharCharChar">
    <w:name w:val="样式 居中 首行缩进:  0 字符 Char Char Char"/>
    <w:qFormat/>
    <w:rPr>
      <w:rFonts w:ascii="宋体" w:eastAsia="宋体" w:hAnsi="宋体" w:cs="Times New Roman"/>
      <w:color w:val="FF0000"/>
      <w:sz w:val="18"/>
      <w:szCs w:val="18"/>
    </w:rPr>
  </w:style>
  <w:style w:type="character" w:customStyle="1" w:styleId="Charffa">
    <w:name w:val="表头标题 Char"/>
    <w:qFormat/>
    <w:rPr>
      <w:rFonts w:ascii="黑体" w:eastAsia="黑体"/>
      <w:b/>
      <w:bCs/>
      <w:kern w:val="2"/>
      <w:sz w:val="24"/>
      <w:szCs w:val="24"/>
      <w:lang w:val="zh-CN" w:eastAsia="zh-CN" w:bidi="ar-SA"/>
    </w:rPr>
  </w:style>
  <w:style w:type="character" w:customStyle="1" w:styleId="4CharChar6">
    <w:name w:val="标题 4 Char Char6"/>
    <w:qFormat/>
    <w:rPr>
      <w:rFonts w:eastAsia="宋体"/>
      <w:snapToGrid/>
      <w:kern w:val="2"/>
      <w:sz w:val="24"/>
      <w:szCs w:val="24"/>
      <w:lang w:val="en-US" w:eastAsia="zh-CN" w:bidi="ar-SA"/>
    </w:rPr>
  </w:style>
  <w:style w:type="character" w:customStyle="1" w:styleId="td21">
    <w:name w:val="td21"/>
    <w:qFormat/>
    <w:rPr>
      <w:sz w:val="21"/>
      <w:szCs w:val="21"/>
      <w:u w:val="none"/>
    </w:rPr>
  </w:style>
  <w:style w:type="character" w:customStyle="1" w:styleId="EmailStyle443">
    <w:name w:val="EmailStyle443"/>
    <w:qFormat/>
    <w:rPr>
      <w:rFonts w:ascii="Arial" w:eastAsia="宋体" w:hAnsi="Arial" w:cs="Arial"/>
      <w:color w:val="auto"/>
      <w:sz w:val="20"/>
    </w:rPr>
  </w:style>
  <w:style w:type="character" w:customStyle="1" w:styleId="title21">
    <w:name w:val="title21"/>
    <w:qFormat/>
    <w:rPr>
      <w:color w:val="9E3821"/>
      <w:sz w:val="18"/>
      <w:szCs w:val="18"/>
    </w:rPr>
  </w:style>
  <w:style w:type="character" w:customStyle="1" w:styleId="221">
    <w:name w:val="正文文本缩进 22"/>
    <w:qFormat/>
    <w:rPr>
      <w:rFonts w:ascii="Arial" w:eastAsia="宋体" w:hAnsi="Arial"/>
      <w:kern w:val="2"/>
      <w:sz w:val="24"/>
      <w:szCs w:val="24"/>
      <w:lang w:val="en-US" w:eastAsia="zh-CN" w:bidi="ar-SA"/>
    </w:rPr>
  </w:style>
  <w:style w:type="character" w:customStyle="1" w:styleId="zwb-CharChar">
    <w:name w:val="zwb-正文 Char Char"/>
    <w:link w:val="zwb-"/>
    <w:qFormat/>
    <w:rPr>
      <w:rFonts w:ascii="Calibri" w:hAnsi="Calibri" w:cs="黑体"/>
      <w:kern w:val="2"/>
      <w:sz w:val="24"/>
      <w:szCs w:val="24"/>
    </w:rPr>
  </w:style>
  <w:style w:type="paragraph" w:customStyle="1" w:styleId="zwb-">
    <w:name w:val="zwb-正文"/>
    <w:basedOn w:val="a6"/>
    <w:link w:val="zwb-CharChar"/>
    <w:qFormat/>
    <w:pPr>
      <w:spacing w:line="360" w:lineRule="auto"/>
      <w:ind w:firstLineChars="200" w:firstLine="480"/>
    </w:pPr>
    <w:rPr>
      <w:rFonts w:ascii="Calibri" w:hAnsi="Calibri"/>
      <w:sz w:val="24"/>
    </w:rPr>
  </w:style>
  <w:style w:type="character" w:customStyle="1" w:styleId="Char15">
    <w:name w:val="标题 Char1"/>
    <w:qFormat/>
    <w:rPr>
      <w:rFonts w:ascii="Cambria" w:hAnsi="Cambria" w:cs="Times New Roman"/>
      <w:b/>
      <w:bCs/>
      <w:kern w:val="2"/>
      <w:sz w:val="32"/>
      <w:szCs w:val="32"/>
    </w:rPr>
  </w:style>
  <w:style w:type="character" w:customStyle="1" w:styleId="0CharCharCharChar1">
    <w:name w:val="样式 居中 首行缩进:  0 字符 Char Char Char Char1"/>
    <w:qFormat/>
    <w:rPr>
      <w:rFonts w:ascii="宋体" w:eastAsia="宋体" w:hAnsi="宋体"/>
      <w:color w:val="FF0000"/>
      <w:kern w:val="2"/>
      <w:sz w:val="18"/>
      <w:szCs w:val="18"/>
      <w:lang w:val="en-US" w:eastAsia="zh-CN" w:bidi="ar-SA"/>
    </w:rPr>
  </w:style>
  <w:style w:type="character" w:customStyle="1" w:styleId="1CharCharChar0">
    <w:name w:val="1正文段落 Char Char Char"/>
    <w:qFormat/>
    <w:rPr>
      <w:rFonts w:ascii="宋体" w:eastAsia="宋体" w:hAnsi="宋体" w:cs="宋体"/>
      <w:snapToGrid/>
      <w:color w:val="1F497D"/>
      <w:spacing w:val="2"/>
      <w:kern w:val="0"/>
      <w:sz w:val="24"/>
      <w:szCs w:val="24"/>
    </w:rPr>
  </w:style>
  <w:style w:type="character" w:customStyle="1" w:styleId="f141">
    <w:name w:val="f141"/>
    <w:qFormat/>
    <w:rPr>
      <w:sz w:val="21"/>
      <w:szCs w:val="21"/>
    </w:rPr>
  </w:style>
  <w:style w:type="character" w:customStyle="1" w:styleId="cucd-3Char">
    <w:name w:val="cucd-3 Char"/>
    <w:link w:val="cucd-3"/>
    <w:qFormat/>
    <w:rPr>
      <w:b/>
      <w:kern w:val="2"/>
      <w:sz w:val="28"/>
      <w:szCs w:val="24"/>
      <w:lang w:val="en-US" w:eastAsia="zh-CN" w:bidi="ar-SA"/>
    </w:rPr>
  </w:style>
  <w:style w:type="paragraph" w:customStyle="1" w:styleId="cucd-3">
    <w:name w:val="cucd-3"/>
    <w:link w:val="cucd-3Char"/>
    <w:qFormat/>
    <w:pPr>
      <w:tabs>
        <w:tab w:val="left" w:pos="709"/>
      </w:tabs>
      <w:spacing w:line="360" w:lineRule="auto"/>
      <w:ind w:left="709" w:hanging="709"/>
      <w:outlineLvl w:val="2"/>
    </w:pPr>
    <w:rPr>
      <w:b/>
      <w:kern w:val="2"/>
      <w:sz w:val="28"/>
      <w:szCs w:val="24"/>
    </w:rPr>
  </w:style>
  <w:style w:type="paragraph" w:customStyle="1" w:styleId="cucd-4">
    <w:name w:val="cucd-4"/>
    <w:qFormat/>
    <w:pPr>
      <w:tabs>
        <w:tab w:val="left" w:pos="851"/>
      </w:tabs>
      <w:spacing w:line="360" w:lineRule="auto"/>
      <w:ind w:left="851" w:hanging="851"/>
      <w:outlineLvl w:val="3"/>
    </w:pPr>
    <w:rPr>
      <w:b/>
      <w:kern w:val="2"/>
      <w:sz w:val="24"/>
      <w:szCs w:val="24"/>
    </w:rPr>
  </w:style>
  <w:style w:type="paragraph" w:customStyle="1" w:styleId="cucd-0">
    <w:name w:val="cucd-0"/>
    <w:link w:val="cucd-0Char"/>
    <w:qFormat/>
    <w:pPr>
      <w:numPr>
        <w:numId w:val="5"/>
      </w:numPr>
      <w:spacing w:line="360" w:lineRule="auto"/>
      <w:ind w:left="0" w:firstLineChars="200" w:firstLine="480"/>
    </w:pPr>
    <w:rPr>
      <w:rFonts w:eastAsia="Times New Roman"/>
      <w:sz w:val="24"/>
    </w:rPr>
  </w:style>
  <w:style w:type="character" w:customStyle="1" w:styleId="cucd-0Char">
    <w:name w:val="cucd-0 Char"/>
    <w:link w:val="cucd-0"/>
    <w:qFormat/>
    <w:rPr>
      <w:rFonts w:eastAsia="Times New Roman"/>
      <w:sz w:val="24"/>
      <w:lang w:bidi="ar-SA"/>
    </w:rPr>
  </w:style>
  <w:style w:type="character" w:customStyle="1" w:styleId="EmailStyle5431">
    <w:name w:val="EmailStyle5431"/>
    <w:qFormat/>
    <w:rPr>
      <w:rFonts w:ascii="Arial" w:eastAsia="宋体" w:hAnsi="Arial" w:cs="Arial"/>
      <w:color w:val="auto"/>
      <w:sz w:val="20"/>
    </w:rPr>
  </w:style>
  <w:style w:type="character" w:customStyle="1" w:styleId="headline-content3">
    <w:name w:val="headline-content3"/>
    <w:qFormat/>
  </w:style>
  <w:style w:type="character" w:customStyle="1" w:styleId="cucd-TB-HeadChar">
    <w:name w:val="cucd-TB-Head Char"/>
    <w:link w:val="cucd-TB-Head"/>
    <w:qFormat/>
    <w:rPr>
      <w:rFonts w:eastAsia="黑体"/>
      <w:kern w:val="2"/>
      <w:sz w:val="24"/>
      <w:szCs w:val="24"/>
    </w:rPr>
  </w:style>
  <w:style w:type="paragraph" w:customStyle="1" w:styleId="cucd-TB-Head">
    <w:name w:val="cucd-TB-Head"/>
    <w:basedOn w:val="a6"/>
    <w:next w:val="cucd-0"/>
    <w:link w:val="cucd-TB-HeadChar"/>
    <w:qFormat/>
    <w:pPr>
      <w:spacing w:beforeLines="50" w:line="360" w:lineRule="auto"/>
      <w:jc w:val="center"/>
    </w:pPr>
    <w:rPr>
      <w:rFonts w:eastAsia="黑体"/>
      <w:sz w:val="24"/>
    </w:rPr>
  </w:style>
  <w:style w:type="character" w:customStyle="1" w:styleId="CharCharCharChar">
    <w:name w:val="文本框五号 Char Char Char Char"/>
    <w:qFormat/>
    <w:rPr>
      <w:rFonts w:ascii="宋体" w:eastAsia="仿宋_GB2312" w:hAnsi="宋体" w:cs="Courier New"/>
      <w:kern w:val="2"/>
      <w:sz w:val="21"/>
      <w:szCs w:val="21"/>
      <w:lang w:val="en-US" w:eastAsia="zh-CN" w:bidi="ar-SA"/>
    </w:rPr>
  </w:style>
  <w:style w:type="character" w:customStyle="1" w:styleId="Charffb">
    <w:name w:val="内容部分 Char"/>
    <w:link w:val="afffff"/>
    <w:qFormat/>
    <w:rPr>
      <w:rFonts w:ascii="仿宋_GB2312" w:eastAsia="仿宋_GB2312" w:hAnsi="宋体"/>
      <w:sz w:val="24"/>
    </w:rPr>
  </w:style>
  <w:style w:type="paragraph" w:customStyle="1" w:styleId="afffff">
    <w:name w:val="内容部分"/>
    <w:basedOn w:val="a6"/>
    <w:link w:val="Charffb"/>
    <w:qFormat/>
    <w:pPr>
      <w:tabs>
        <w:tab w:val="right" w:pos="7980"/>
      </w:tabs>
      <w:spacing w:line="440" w:lineRule="exact"/>
      <w:ind w:firstLineChars="250" w:firstLine="600"/>
      <w:jc w:val="left"/>
    </w:pPr>
    <w:rPr>
      <w:rFonts w:ascii="仿宋_GB2312" w:eastAsia="仿宋_GB2312" w:hAnsi="宋体"/>
      <w:kern w:val="0"/>
      <w:sz w:val="24"/>
      <w:szCs w:val="20"/>
    </w:rPr>
  </w:style>
  <w:style w:type="character" w:customStyle="1" w:styleId="style6">
    <w:name w:val="style6"/>
    <w:qFormat/>
  </w:style>
  <w:style w:type="character" w:customStyle="1" w:styleId="2Char11">
    <w:name w:val="正文首行缩进 2 Char1"/>
    <w:qFormat/>
    <w:rPr>
      <w:rFonts w:ascii="Times New Roman" w:hAnsi="Times New Roman"/>
      <w:kern w:val="2"/>
      <w:sz w:val="21"/>
      <w:szCs w:val="24"/>
    </w:rPr>
  </w:style>
  <w:style w:type="character" w:customStyle="1" w:styleId="6CharChar">
    <w:name w:val="标题 6 Char Char"/>
    <w:qFormat/>
    <w:rPr>
      <w:rFonts w:eastAsia="宋体"/>
      <w:bCs/>
      <w:snapToGrid/>
      <w:kern w:val="2"/>
      <w:sz w:val="24"/>
      <w:szCs w:val="24"/>
      <w:lang w:val="en-US" w:eastAsia="zh-CN" w:bidi="ar-SA"/>
    </w:rPr>
  </w:style>
  <w:style w:type="character" w:customStyle="1" w:styleId="1CharChar1">
    <w:name w:val="标题1 Char Char"/>
    <w:qFormat/>
    <w:rPr>
      <w:rFonts w:ascii="Cambria" w:eastAsia="宋体" w:hAnsi="Cambria"/>
      <w:color w:val="17365D"/>
      <w:spacing w:val="5"/>
      <w:kern w:val="28"/>
      <w:sz w:val="52"/>
      <w:szCs w:val="52"/>
      <w:lang w:val="en-US" w:eastAsia="en-US" w:bidi="ar-SA"/>
    </w:rPr>
  </w:style>
  <w:style w:type="character" w:customStyle="1" w:styleId="order">
    <w:name w:val="order"/>
    <w:basedOn w:val="a7"/>
    <w:qFormat/>
  </w:style>
  <w:style w:type="character" w:customStyle="1" w:styleId="Char16">
    <w:name w:val="表格标题 Char1"/>
    <w:qFormat/>
    <w:rPr>
      <w:rFonts w:ascii="Arial" w:eastAsia="黑体" w:hAnsi="Arial"/>
      <w:b/>
      <w:sz w:val="24"/>
      <w:lang w:val="en-US" w:eastAsia="zh-CN" w:bidi="ar-SA"/>
    </w:rPr>
  </w:style>
  <w:style w:type="character" w:customStyle="1" w:styleId="AChar0">
    <w:name w:val="A正文 Char"/>
    <w:link w:val="Afffff0"/>
    <w:qFormat/>
    <w:rPr>
      <w:rFonts w:ascii="宋体" w:hAnsi="宋体"/>
      <w:bCs/>
      <w:color w:val="0D1E0F"/>
      <w:sz w:val="28"/>
      <w:szCs w:val="28"/>
      <w:u w:color="000000"/>
    </w:rPr>
  </w:style>
  <w:style w:type="paragraph" w:customStyle="1" w:styleId="Afffff0">
    <w:name w:val="A正文"/>
    <w:basedOn w:val="a6"/>
    <w:link w:val="AChar0"/>
    <w:qFormat/>
    <w:pPr>
      <w:widowControl/>
      <w:ind w:leftChars="-3" w:left="-3" w:firstLineChars="200" w:firstLine="200"/>
      <w:textAlignment w:val="baseline"/>
    </w:pPr>
    <w:rPr>
      <w:rFonts w:ascii="宋体" w:hAnsi="宋体"/>
      <w:bCs/>
      <w:color w:val="0D1E0F"/>
      <w:kern w:val="0"/>
      <w:sz w:val="28"/>
      <w:szCs w:val="28"/>
      <w:u w:color="000000"/>
    </w:rPr>
  </w:style>
  <w:style w:type="character" w:customStyle="1" w:styleId="CharCharChar0">
    <w:name w:val="表格文字居中 Char Char Char"/>
    <w:link w:val="CharChar8"/>
    <w:qFormat/>
    <w:rPr>
      <w:rFonts w:ascii="宋体" w:hAnsi="宋体"/>
      <w:kern w:val="2"/>
      <w:sz w:val="24"/>
    </w:rPr>
  </w:style>
  <w:style w:type="paragraph" w:customStyle="1" w:styleId="CharChar8">
    <w:name w:val="表格文字居中 Char Char"/>
    <w:basedOn w:val="affc"/>
    <w:link w:val="CharCharChar0"/>
    <w:qFormat/>
    <w:pPr>
      <w:keepNext/>
      <w:keepLines/>
      <w:tabs>
        <w:tab w:val="left" w:pos="0"/>
        <w:tab w:val="left" w:pos="628"/>
        <w:tab w:val="left" w:pos="1727"/>
        <w:tab w:val="left" w:pos="1884"/>
      </w:tabs>
      <w:adjustRightInd w:val="0"/>
      <w:snapToGrid w:val="0"/>
      <w:spacing w:before="100" w:beforeAutospacing="1" w:line="336" w:lineRule="auto"/>
      <w:ind w:firstLine="0"/>
      <w:jc w:val="center"/>
    </w:pPr>
    <w:rPr>
      <w:bCs w:val="0"/>
      <w:spacing w:val="0"/>
      <w:kern w:val="2"/>
      <w:sz w:val="24"/>
      <w:szCs w:val="20"/>
    </w:rPr>
  </w:style>
  <w:style w:type="character" w:customStyle="1" w:styleId="FontStyle338">
    <w:name w:val="Font Style338"/>
    <w:qFormat/>
    <w:rPr>
      <w:rFonts w:ascii="宋体" w:eastAsia="宋体" w:cs="宋体"/>
      <w:w w:val="120"/>
      <w:sz w:val="18"/>
      <w:szCs w:val="18"/>
    </w:rPr>
  </w:style>
  <w:style w:type="character" w:customStyle="1" w:styleId="Char17">
    <w:name w:val="称呼 Char1"/>
    <w:qFormat/>
    <w:rPr>
      <w:kern w:val="2"/>
      <w:sz w:val="21"/>
      <w:szCs w:val="22"/>
    </w:rPr>
  </w:style>
  <w:style w:type="character" w:customStyle="1" w:styleId="CharChar81">
    <w:name w:val="Char Char81"/>
    <w:qFormat/>
    <w:rPr>
      <w:rFonts w:ascii="宋体" w:eastAsia="宋体" w:hAnsi="Courier New"/>
      <w:kern w:val="2"/>
      <w:sz w:val="28"/>
      <w:lang w:val="en-US" w:eastAsia="zh-CN" w:bidi="ar-SA"/>
    </w:rPr>
  </w:style>
  <w:style w:type="character" w:customStyle="1" w:styleId="hb3CharCharCharChar">
    <w:name w:val="hb3 Char Char Char Char"/>
    <w:link w:val="hb3CharCharChar"/>
    <w:qFormat/>
    <w:rPr>
      <w:b/>
      <w:bCs/>
      <w:sz w:val="24"/>
      <w:szCs w:val="24"/>
    </w:rPr>
  </w:style>
  <w:style w:type="paragraph" w:customStyle="1" w:styleId="hb3CharCharChar">
    <w:name w:val="hb3 Char Char Char"/>
    <w:basedOn w:val="33"/>
    <w:link w:val="hb3CharCharCharChar"/>
    <w:qFormat/>
    <w:pPr>
      <w:keepNext w:val="0"/>
      <w:adjustRightInd w:val="0"/>
      <w:spacing w:beforeLines="50" w:afterLines="50" w:line="520" w:lineRule="exact"/>
      <w:jc w:val="left"/>
    </w:pPr>
    <w:rPr>
      <w:rFonts w:eastAsia="宋体"/>
      <w:b/>
      <w:bCs/>
      <w:spacing w:val="0"/>
      <w:kern w:val="0"/>
      <w:sz w:val="24"/>
      <w:szCs w:val="24"/>
    </w:rPr>
  </w:style>
  <w:style w:type="character" w:customStyle="1" w:styleId="2Char7">
    <w:name w:val="样式 正   文 + 首行缩进:  2 字符 Char"/>
    <w:link w:val="2fb"/>
    <w:qFormat/>
    <w:rPr>
      <w:rFonts w:ascii="Arial" w:hAnsi="Arial"/>
      <w:color w:val="000000"/>
      <w:sz w:val="24"/>
      <w:szCs w:val="24"/>
      <w:lang w:val="zh-CN"/>
    </w:rPr>
  </w:style>
  <w:style w:type="paragraph" w:customStyle="1" w:styleId="2fb">
    <w:name w:val="样式 正   文 + 首行缩进:  2 字符"/>
    <w:basedOn w:val="a6"/>
    <w:link w:val="2Char7"/>
    <w:qFormat/>
    <w:pPr>
      <w:spacing w:line="360" w:lineRule="auto"/>
      <w:ind w:firstLineChars="200" w:firstLine="200"/>
    </w:pPr>
    <w:rPr>
      <w:rFonts w:ascii="Arial" w:hAnsi="Arial"/>
      <w:color w:val="000000"/>
      <w:kern w:val="0"/>
      <w:sz w:val="24"/>
      <w:lang w:val="zh-CN"/>
    </w:rPr>
  </w:style>
  <w:style w:type="character" w:customStyle="1" w:styleId="1021Char">
    <w:name w:val="样式 列表1 + 左侧:  0 厘米 悬挂缩进: 2 字符1 Char"/>
    <w:link w:val="1021"/>
    <w:qFormat/>
    <w:rPr>
      <w:rFonts w:eastAsia="仿宋_GB2312"/>
      <w:kern w:val="2"/>
      <w:sz w:val="28"/>
    </w:rPr>
  </w:style>
  <w:style w:type="paragraph" w:customStyle="1" w:styleId="1021">
    <w:name w:val="样式 列表1 + 左侧:  0 厘米 悬挂缩进: 2 字符1"/>
    <w:basedOn w:val="a6"/>
    <w:link w:val="1021Char"/>
    <w:qFormat/>
    <w:rPr>
      <w:rFonts w:eastAsia="仿宋_GB2312"/>
      <w:sz w:val="28"/>
      <w:szCs w:val="20"/>
    </w:rPr>
  </w:style>
  <w:style w:type="character" w:customStyle="1" w:styleId="dandan6-132Char">
    <w:name w:val="dandan6-13标题2 Char"/>
    <w:link w:val="dandan6-132"/>
    <w:qFormat/>
    <w:rPr>
      <w:rFonts w:eastAsia="黑体" w:hAnsi="黑体"/>
      <w:kern w:val="2"/>
      <w:sz w:val="30"/>
      <w:szCs w:val="32"/>
    </w:rPr>
  </w:style>
  <w:style w:type="paragraph" w:customStyle="1" w:styleId="dandan6-132">
    <w:name w:val="dandan6-13标题2"/>
    <w:basedOn w:val="22"/>
    <w:link w:val="dandan6-132Char"/>
    <w:qFormat/>
    <w:pPr>
      <w:keepNext w:val="0"/>
      <w:keepLines w:val="0"/>
      <w:spacing w:afterLines="50"/>
    </w:pPr>
    <w:rPr>
      <w:rFonts w:hAnsi="黑体"/>
      <w:b/>
      <w:bCs w:val="0"/>
      <w:spacing w:val="0"/>
      <w:w w:val="100"/>
      <w:kern w:val="2"/>
      <w:sz w:val="30"/>
      <w:szCs w:val="32"/>
    </w:rPr>
  </w:style>
  <w:style w:type="character" w:customStyle="1" w:styleId="3Char2">
    <w:name w:val="3  级标题 Char"/>
    <w:link w:val="3f4"/>
    <w:qFormat/>
    <w:rPr>
      <w:rFonts w:ascii="Arial" w:hAnsi="Arial" w:cs="Arial"/>
      <w:b/>
      <w:bCs/>
      <w:sz w:val="24"/>
      <w:szCs w:val="26"/>
    </w:rPr>
  </w:style>
  <w:style w:type="paragraph" w:customStyle="1" w:styleId="3f4">
    <w:name w:val="3  级标题"/>
    <w:basedOn w:val="a6"/>
    <w:link w:val="3Char2"/>
    <w:qFormat/>
    <w:pPr>
      <w:spacing w:beforeLines="100" w:before="312" w:line="360" w:lineRule="auto"/>
      <w:ind w:left="2835"/>
      <w:outlineLvl w:val="2"/>
    </w:pPr>
    <w:rPr>
      <w:rFonts w:ascii="Arial" w:hAnsi="Arial"/>
      <w:b/>
      <w:bCs/>
      <w:kern w:val="0"/>
      <w:sz w:val="24"/>
      <w:szCs w:val="26"/>
    </w:rPr>
  </w:style>
  <w:style w:type="character" w:customStyle="1" w:styleId="hb3CharChar">
    <w:name w:val="样式 hb3 Char Char + 非加粗"/>
    <w:qFormat/>
  </w:style>
  <w:style w:type="character" w:customStyle="1" w:styleId="CharChar72">
    <w:name w:val="Char Char72"/>
    <w:qFormat/>
    <w:rPr>
      <w:kern w:val="2"/>
      <w:sz w:val="18"/>
    </w:rPr>
  </w:style>
  <w:style w:type="character" w:customStyle="1" w:styleId="font13201">
    <w:name w:val="font13_201"/>
    <w:qFormat/>
    <w:rPr>
      <w:b/>
      <w:bCs/>
      <w:color w:val="FFFFFF"/>
      <w:sz w:val="14"/>
      <w:szCs w:val="14"/>
      <w:u w:val="none"/>
    </w:rPr>
  </w:style>
  <w:style w:type="character" w:customStyle="1" w:styleId="ca-71">
    <w:name w:val="ca-71"/>
    <w:qFormat/>
    <w:rPr>
      <w:rFonts w:ascii="宋体" w:eastAsia="宋体" w:hAnsi="宋体" w:hint="eastAsia"/>
      <w:color w:val="FF0000"/>
      <w:sz w:val="21"/>
      <w:szCs w:val="21"/>
    </w:rPr>
  </w:style>
  <w:style w:type="character" w:customStyle="1" w:styleId="CharChar9">
    <w:name w:val="Char Char"/>
    <w:qFormat/>
    <w:rPr>
      <w:rFonts w:ascii="宋体" w:eastAsia="宋体" w:hAnsi="Courier New"/>
      <w:kern w:val="2"/>
      <w:sz w:val="28"/>
      <w:lang w:val="en-US" w:eastAsia="zh-CN" w:bidi="ar-SA"/>
    </w:rPr>
  </w:style>
  <w:style w:type="character" w:customStyle="1" w:styleId="CharCharChar20">
    <w:name w:val="正文文字 Char Char Char2"/>
    <w:qFormat/>
    <w:rPr>
      <w:rFonts w:ascii="宋体" w:eastAsia="宋体"/>
      <w:color w:val="000000"/>
      <w:kern w:val="2"/>
      <w:sz w:val="24"/>
      <w:lang w:val="en-US" w:eastAsia="zh-CN" w:bidi="ar-SA"/>
    </w:rPr>
  </w:style>
  <w:style w:type="character" w:customStyle="1" w:styleId="heading1Char">
    <w:name w:val="heading1 Char"/>
    <w:qFormat/>
    <w:rPr>
      <w:rFonts w:eastAsia="宋体"/>
      <w:b/>
      <w:bCs/>
      <w:kern w:val="44"/>
      <w:sz w:val="44"/>
      <w:szCs w:val="44"/>
      <w:lang w:val="en-US" w:eastAsia="zh-CN" w:bidi="ar-SA"/>
    </w:rPr>
  </w:style>
  <w:style w:type="character" w:customStyle="1" w:styleId="1Char10">
    <w:name w:val="段落1 Char1"/>
    <w:link w:val="1f4"/>
    <w:qFormat/>
    <w:rPr>
      <w:color w:val="000000"/>
      <w:spacing w:val="6"/>
      <w:kern w:val="2"/>
      <w:sz w:val="24"/>
      <w:szCs w:val="24"/>
    </w:rPr>
  </w:style>
  <w:style w:type="paragraph" w:customStyle="1" w:styleId="1f4">
    <w:name w:val="段落1"/>
    <w:basedOn w:val="a6"/>
    <w:link w:val="1Char10"/>
    <w:qFormat/>
    <w:pPr>
      <w:adjustRightInd w:val="0"/>
      <w:spacing w:line="440" w:lineRule="exact"/>
      <w:ind w:firstLineChars="200" w:firstLine="504"/>
      <w:textAlignment w:val="baseline"/>
    </w:pPr>
    <w:rPr>
      <w:color w:val="000000"/>
      <w:spacing w:val="6"/>
      <w:sz w:val="24"/>
    </w:rPr>
  </w:style>
  <w:style w:type="character" w:customStyle="1" w:styleId="CharCharCharChar0">
    <w:name w:val="表题 Char Char Char Char"/>
    <w:link w:val="CharChara"/>
    <w:qFormat/>
    <w:rPr>
      <w:rFonts w:ascii="宋体" w:hAnsi="宋体"/>
      <w:bCs/>
      <w:color w:val="000000"/>
      <w:w w:val="110"/>
      <w:sz w:val="24"/>
      <w:szCs w:val="24"/>
    </w:rPr>
  </w:style>
  <w:style w:type="paragraph" w:customStyle="1" w:styleId="CharChara">
    <w:name w:val="表题 Char Char"/>
    <w:basedOn w:val="a6"/>
    <w:link w:val="CharCharCharChar0"/>
    <w:qFormat/>
    <w:pPr>
      <w:tabs>
        <w:tab w:val="left" w:pos="1260"/>
      </w:tabs>
      <w:spacing w:line="360" w:lineRule="auto"/>
      <w:ind w:left="1260" w:firstLineChars="200" w:firstLine="480"/>
    </w:pPr>
    <w:rPr>
      <w:rFonts w:ascii="宋体" w:hAnsi="宋体"/>
      <w:bCs/>
      <w:color w:val="000000"/>
      <w:w w:val="110"/>
      <w:kern w:val="0"/>
      <w:sz w:val="24"/>
    </w:rPr>
  </w:style>
  <w:style w:type="character" w:customStyle="1" w:styleId="hb2CharCharCharChar">
    <w:name w:val="hb2 Char Char Char Char"/>
    <w:link w:val="hb2CharCharChar"/>
    <w:qFormat/>
    <w:rPr>
      <w:rFonts w:ascii="Arial" w:eastAsia="黑体" w:hAnsi="Arial"/>
      <w:kern w:val="2"/>
      <w:sz w:val="30"/>
      <w:szCs w:val="24"/>
    </w:rPr>
  </w:style>
  <w:style w:type="paragraph" w:customStyle="1" w:styleId="hb2CharCharChar">
    <w:name w:val="hb2 Char Char Char"/>
    <w:basedOn w:val="22"/>
    <w:link w:val="hb2CharCharCharChar"/>
    <w:qFormat/>
    <w:pPr>
      <w:keepNext w:val="0"/>
      <w:keepLines w:val="0"/>
      <w:topLinePunct/>
      <w:adjustRightInd w:val="0"/>
      <w:spacing w:before="100" w:beforeAutospacing="1" w:afterLines="50" w:after="100" w:afterAutospacing="1" w:line="416" w:lineRule="atLeast"/>
      <w:jc w:val="left"/>
      <w:textAlignment w:val="baseline"/>
    </w:pPr>
    <w:rPr>
      <w:rFonts w:ascii="Arial" w:hAnsi="Arial"/>
      <w:b/>
      <w:bCs w:val="0"/>
      <w:spacing w:val="0"/>
      <w:w w:val="100"/>
      <w:kern w:val="2"/>
      <w:sz w:val="30"/>
      <w:szCs w:val="24"/>
    </w:rPr>
  </w:style>
  <w:style w:type="character" w:customStyle="1" w:styleId="Charffc">
    <w:name w:val="表名 Char"/>
    <w:qFormat/>
    <w:rPr>
      <w:rFonts w:ascii="黑体" w:eastAsia="黑体" w:hAnsi="Times New Roman" w:cs="Times New Roman"/>
      <w:kern w:val="24"/>
      <w:szCs w:val="20"/>
    </w:rPr>
  </w:style>
  <w:style w:type="character" w:customStyle="1" w:styleId="3CharChar">
    <w:name w:val="正文文字缩进 3 Char Char"/>
    <w:qFormat/>
    <w:rPr>
      <w:color w:val="000000"/>
      <w:kern w:val="2"/>
      <w:sz w:val="24"/>
      <w:szCs w:val="24"/>
    </w:rPr>
  </w:style>
  <w:style w:type="character" w:customStyle="1" w:styleId="Charffd">
    <w:name w:val="二级条标题 Char"/>
    <w:link w:val="afffff1"/>
    <w:qFormat/>
    <w:rPr>
      <w:rFonts w:ascii="黑体" w:eastAsia="黑体"/>
      <w:sz w:val="21"/>
    </w:rPr>
  </w:style>
  <w:style w:type="paragraph" w:customStyle="1" w:styleId="afffff1">
    <w:name w:val="二级条标题"/>
    <w:next w:val="a6"/>
    <w:link w:val="Charffd"/>
    <w:qFormat/>
    <w:pPr>
      <w:numPr>
        <w:ilvl w:val="3"/>
      </w:numPr>
      <w:tabs>
        <w:tab w:val="left" w:pos="360"/>
        <w:tab w:val="left" w:pos="425"/>
        <w:tab w:val="left" w:pos="903"/>
      </w:tabs>
      <w:ind w:left="425" w:hanging="425"/>
      <w:outlineLvl w:val="3"/>
    </w:pPr>
  </w:style>
  <w:style w:type="paragraph" w:customStyle="1" w:styleId="afffff2">
    <w:name w:val="一级条标题"/>
    <w:next w:val="a6"/>
    <w:link w:val="Charffe"/>
    <w:qFormat/>
    <w:pPr>
      <w:numPr>
        <w:ilvl w:val="2"/>
      </w:numPr>
      <w:tabs>
        <w:tab w:val="left" w:pos="360"/>
        <w:tab w:val="left" w:pos="425"/>
        <w:tab w:val="left" w:pos="903"/>
      </w:tabs>
      <w:ind w:left="425" w:hanging="425"/>
      <w:outlineLvl w:val="2"/>
    </w:pPr>
  </w:style>
  <w:style w:type="paragraph" w:customStyle="1" w:styleId="a3">
    <w:name w:val="章标题"/>
    <w:next w:val="a6"/>
    <w:uiPriority w:val="99"/>
    <w:qFormat/>
    <w:pPr>
      <w:numPr>
        <w:ilvl w:val="1"/>
        <w:numId w:val="6"/>
      </w:numPr>
      <w:tabs>
        <w:tab w:val="left" w:pos="903"/>
      </w:tabs>
      <w:spacing w:before="50" w:after="50"/>
      <w:ind w:left="903" w:hanging="315"/>
      <w:jc w:val="both"/>
      <w:outlineLvl w:val="1"/>
    </w:pPr>
    <w:rPr>
      <w:rFonts w:ascii="黑体" w:eastAsia="黑体"/>
      <w:sz w:val="21"/>
    </w:rPr>
  </w:style>
  <w:style w:type="character" w:customStyle="1" w:styleId="Charffe">
    <w:name w:val="一级条标题 Char"/>
    <w:link w:val="afffff2"/>
    <w:qFormat/>
    <w:rPr>
      <w:rFonts w:ascii="黑体" w:eastAsia="黑体"/>
      <w:sz w:val="21"/>
    </w:rPr>
  </w:style>
  <w:style w:type="character" w:customStyle="1" w:styleId="Charfff">
    <w:name w:val="表 Char"/>
    <w:qFormat/>
    <w:rPr>
      <w:rFonts w:eastAsia="Times New Roman"/>
      <w:color w:val="000000"/>
      <w:sz w:val="18"/>
      <w:szCs w:val="21"/>
      <w:lang w:val="zh-CN"/>
    </w:rPr>
  </w:style>
  <w:style w:type="character" w:customStyle="1" w:styleId="Char18">
    <w:name w:val="批注主题 Char1"/>
    <w:qFormat/>
    <w:rPr>
      <w:b/>
      <w:bCs/>
      <w:kern w:val="2"/>
      <w:sz w:val="21"/>
      <w:szCs w:val="24"/>
    </w:rPr>
  </w:style>
  <w:style w:type="character" w:customStyle="1" w:styleId="CharCharCharChar4">
    <w:name w:val="题注 Char Char Char Char4"/>
    <w:qFormat/>
    <w:rPr>
      <w:rFonts w:ascii="Arial" w:eastAsia="黑体" w:hAnsi="Arial" w:cs="Arial"/>
      <w:kern w:val="2"/>
      <w:lang w:val="en-US" w:eastAsia="zh-CN" w:bidi="ar-SA"/>
    </w:rPr>
  </w:style>
  <w:style w:type="character" w:customStyle="1" w:styleId="CharCharb">
    <w:name w:val="章 Char Char"/>
    <w:qFormat/>
    <w:locked/>
    <w:rPr>
      <w:rFonts w:eastAsia="宋体"/>
      <w:b/>
      <w:bCs/>
      <w:kern w:val="44"/>
      <w:sz w:val="44"/>
      <w:szCs w:val="44"/>
      <w:lang w:val="en-US" w:eastAsia="zh-CN" w:bidi="ar-SA"/>
    </w:rPr>
  </w:style>
  <w:style w:type="character" w:customStyle="1" w:styleId="CharCharCharCharCharCharCharCharChar">
    <w:name w:val="正文（首行缩进两字） Char Char Char Char Char Char Char Char Char"/>
    <w:qFormat/>
    <w:rPr>
      <w:rFonts w:eastAsia="宋体"/>
      <w:kern w:val="2"/>
      <w:sz w:val="21"/>
      <w:szCs w:val="24"/>
      <w:lang w:val="en-US" w:eastAsia="zh-CN" w:bidi="ar-SA"/>
    </w:rPr>
  </w:style>
  <w:style w:type="character" w:customStyle="1" w:styleId="FontStyle316">
    <w:name w:val="Font Style316"/>
    <w:qFormat/>
    <w:rPr>
      <w:rFonts w:ascii="宋体" w:eastAsia="宋体" w:cs="宋体"/>
      <w:b/>
      <w:bCs/>
      <w:sz w:val="20"/>
      <w:szCs w:val="20"/>
    </w:rPr>
  </w:style>
  <w:style w:type="character" w:customStyle="1" w:styleId="-Char1">
    <w:name w:val="样式 报告正文-黄登 + 红色 Char"/>
    <w:link w:val="-3"/>
    <w:qFormat/>
    <w:rPr>
      <w:snapToGrid/>
      <w:color w:val="FF0000"/>
      <w:sz w:val="24"/>
      <w:szCs w:val="24"/>
    </w:rPr>
  </w:style>
  <w:style w:type="paragraph" w:customStyle="1" w:styleId="-3">
    <w:name w:val="样式 报告正文-黄登 + 红色"/>
    <w:basedOn w:val="-"/>
    <w:link w:val="-Char1"/>
    <w:qFormat/>
    <w:rPr>
      <w:color w:val="FF0000"/>
    </w:rPr>
  </w:style>
  <w:style w:type="character" w:customStyle="1" w:styleId="1Char11">
    <w:name w:val="样式1 Char1"/>
    <w:qFormat/>
    <w:rPr>
      <w:rFonts w:eastAsia="宋体"/>
      <w:bCs/>
      <w:kern w:val="2"/>
      <w:sz w:val="24"/>
      <w:lang w:val="en-US" w:eastAsia="zh-CN" w:bidi="ar-SA"/>
    </w:rPr>
  </w:style>
  <w:style w:type="character" w:customStyle="1" w:styleId="1Char5">
    <w:name w:val="正文文字1 Char"/>
    <w:qFormat/>
    <w:rPr>
      <w:rFonts w:eastAsia="宋体"/>
      <w:kern w:val="2"/>
      <w:sz w:val="28"/>
      <w:lang w:val="en-US" w:eastAsia="zh-CN" w:bidi="ar-SA"/>
    </w:rPr>
  </w:style>
  <w:style w:type="character" w:customStyle="1" w:styleId="CharChar13">
    <w:name w:val="Char Char13"/>
    <w:qFormat/>
    <w:rPr>
      <w:rFonts w:eastAsia="宋体"/>
      <w:lang w:bidi="ar-SA"/>
    </w:rPr>
  </w:style>
  <w:style w:type="character" w:customStyle="1" w:styleId="CharCharChar1">
    <w:name w:val="表格文字 Char Char Char"/>
    <w:qFormat/>
    <w:rPr>
      <w:rFonts w:eastAsia="宋体"/>
      <w:kern w:val="28"/>
      <w:sz w:val="21"/>
      <w:lang w:val="en-US" w:eastAsia="zh-CN" w:bidi="ar-SA"/>
    </w:rPr>
  </w:style>
  <w:style w:type="character" w:customStyle="1" w:styleId="Charfff0">
    <w:name w:val="燕山正文 Char"/>
    <w:qFormat/>
    <w:rPr>
      <w:rFonts w:ascii="宋体" w:eastAsia="宋体" w:hAnsi="宋体"/>
      <w:color w:val="000000"/>
      <w:kern w:val="2"/>
      <w:sz w:val="28"/>
      <w:szCs w:val="28"/>
      <w:lang w:val="en-US" w:eastAsia="zh-CN" w:bidi="ar-SA"/>
    </w:rPr>
  </w:style>
  <w:style w:type="character" w:customStyle="1" w:styleId="afffff3">
    <w:name w:val="篇号"/>
    <w:qFormat/>
    <w:rPr>
      <w:rFonts w:eastAsia="宋体"/>
    </w:rPr>
  </w:style>
  <w:style w:type="character" w:customStyle="1" w:styleId="CharCharCharCharChar">
    <w:name w:val="正文（首行缩进两字） Char Char Char Char Char"/>
    <w:qFormat/>
    <w:rPr>
      <w:rFonts w:ascii="Times New Roman" w:hAnsi="Times New Roman"/>
      <w:kern w:val="2"/>
      <w:sz w:val="24"/>
      <w:szCs w:val="22"/>
    </w:rPr>
  </w:style>
  <w:style w:type="character" w:customStyle="1" w:styleId="Charfff1">
    <w:name w:val="表内容       .. Char"/>
    <w:link w:val="afffff4"/>
    <w:qFormat/>
    <w:rPr>
      <w:kern w:val="2"/>
      <w:sz w:val="18"/>
      <w:szCs w:val="18"/>
    </w:rPr>
  </w:style>
  <w:style w:type="paragraph" w:customStyle="1" w:styleId="afffff4">
    <w:name w:val="表内容       .."/>
    <w:basedOn w:val="a6"/>
    <w:link w:val="Charfff1"/>
    <w:qFormat/>
    <w:pPr>
      <w:adjustRightInd w:val="0"/>
      <w:spacing w:line="240" w:lineRule="exact"/>
      <w:jc w:val="center"/>
      <w:textAlignment w:val="baseline"/>
    </w:pPr>
    <w:rPr>
      <w:sz w:val="18"/>
      <w:szCs w:val="18"/>
    </w:rPr>
  </w:style>
  <w:style w:type="character" w:customStyle="1" w:styleId="rongCharChar">
    <w:name w:val="rong正 Char Char"/>
    <w:link w:val="rong"/>
    <w:qFormat/>
    <w:rPr>
      <w:rFonts w:ascii="宋体" w:hAnsi="宋体" w:cs="宋体"/>
      <w:sz w:val="24"/>
      <w:szCs w:val="24"/>
    </w:rPr>
  </w:style>
  <w:style w:type="paragraph" w:customStyle="1" w:styleId="rong">
    <w:name w:val="rong正"/>
    <w:basedOn w:val="a6"/>
    <w:link w:val="rongCharChar"/>
    <w:qFormat/>
    <w:pPr>
      <w:adjustRightInd w:val="0"/>
      <w:snapToGrid w:val="0"/>
      <w:spacing w:line="300" w:lineRule="auto"/>
      <w:ind w:firstLineChars="200" w:firstLine="200"/>
    </w:pPr>
    <w:rPr>
      <w:rFonts w:ascii="宋体" w:hAnsi="宋体"/>
      <w:kern w:val="0"/>
      <w:sz w:val="24"/>
    </w:rPr>
  </w:style>
  <w:style w:type="character" w:customStyle="1" w:styleId="Char19">
    <w:name w:val="表、图名 Char1"/>
    <w:link w:val="afffff5"/>
    <w:qFormat/>
    <w:rPr>
      <w:b/>
      <w:kern w:val="2"/>
      <w:sz w:val="24"/>
      <w:szCs w:val="24"/>
      <w:lang w:val="en-US" w:eastAsia="zh-CN"/>
    </w:rPr>
  </w:style>
  <w:style w:type="paragraph" w:customStyle="1" w:styleId="afffff5">
    <w:name w:val="表、图名"/>
    <w:basedOn w:val="a6"/>
    <w:link w:val="Char19"/>
    <w:qFormat/>
    <w:pPr>
      <w:adjustRightInd w:val="0"/>
      <w:snapToGrid w:val="0"/>
      <w:spacing w:line="500" w:lineRule="exact"/>
      <w:ind w:firstLineChars="2" w:firstLine="5"/>
      <w:jc w:val="center"/>
    </w:pPr>
    <w:rPr>
      <w:b/>
      <w:sz w:val="24"/>
    </w:rPr>
  </w:style>
  <w:style w:type="character" w:customStyle="1" w:styleId="3CharChar0">
    <w:name w:val="正文文字 3 Char Char"/>
    <w:qFormat/>
    <w:rPr>
      <w:rFonts w:ascii="Times New Roman" w:eastAsia="仿宋_GB2312" w:hAnsi="Times New Roman" w:cs="Times New Roman"/>
      <w:kern w:val="0"/>
      <w:sz w:val="16"/>
      <w:szCs w:val="16"/>
    </w:rPr>
  </w:style>
  <w:style w:type="character" w:customStyle="1" w:styleId="CharCharChar4">
    <w:name w:val="文本框五号 Char Char Char"/>
    <w:qFormat/>
    <w:rPr>
      <w:rFonts w:ascii="宋体" w:eastAsia="仿宋_GB2312" w:hAnsi="宋体" w:cs="Courier New"/>
      <w:kern w:val="2"/>
      <w:sz w:val="21"/>
      <w:szCs w:val="21"/>
      <w:lang w:val="en-US" w:eastAsia="zh-CN" w:bidi="ar-SA"/>
    </w:rPr>
  </w:style>
  <w:style w:type="character" w:customStyle="1" w:styleId="FontStyle337">
    <w:name w:val="Font Style337"/>
    <w:qFormat/>
    <w:rPr>
      <w:rFonts w:ascii="宋体" w:eastAsia="宋体" w:cs="宋体"/>
      <w:sz w:val="22"/>
      <w:szCs w:val="22"/>
    </w:rPr>
  </w:style>
  <w:style w:type="character" w:customStyle="1" w:styleId="CharCharc">
    <w:name w:val="表、图名 + 黑色 Char Char"/>
    <w:link w:val="afffff6"/>
    <w:qFormat/>
    <w:rPr>
      <w:rFonts w:ascii="Arial" w:eastAsia="黑体" w:hAnsi="Arial"/>
      <w:color w:val="000000"/>
      <w:kern w:val="2"/>
      <w:sz w:val="21"/>
      <w:szCs w:val="21"/>
      <w:lang w:val="en-US" w:eastAsia="zh-CN"/>
    </w:rPr>
  </w:style>
  <w:style w:type="paragraph" w:customStyle="1" w:styleId="afffff6">
    <w:name w:val="表、图名 + 黑色"/>
    <w:basedOn w:val="afffff5"/>
    <w:link w:val="CharCharc"/>
    <w:qFormat/>
    <w:pPr>
      <w:adjustRightInd/>
      <w:snapToGrid/>
      <w:spacing w:line="300" w:lineRule="auto"/>
      <w:ind w:firstLineChars="0" w:firstLine="0"/>
    </w:pPr>
    <w:rPr>
      <w:rFonts w:ascii="Arial" w:eastAsia="黑体" w:hAnsi="Arial"/>
      <w:b w:val="0"/>
      <w:color w:val="000000"/>
      <w:sz w:val="21"/>
      <w:szCs w:val="21"/>
    </w:rPr>
  </w:style>
  <w:style w:type="character" w:customStyle="1" w:styleId="Char1a">
    <w:name w:val="纯文本 Char1"/>
    <w:qFormat/>
    <w:rPr>
      <w:rFonts w:ascii="宋体" w:hAnsi="Courier New" w:cs="Courier New"/>
      <w:kern w:val="2"/>
      <w:sz w:val="21"/>
      <w:szCs w:val="21"/>
    </w:rPr>
  </w:style>
  <w:style w:type="character" w:customStyle="1" w:styleId="3Char10">
    <w:name w:val="标题 3 Char1"/>
    <w:uiPriority w:val="9"/>
    <w:qFormat/>
    <w:rPr>
      <w:b/>
      <w:bCs/>
      <w:kern w:val="2"/>
      <w:sz w:val="32"/>
      <w:szCs w:val="32"/>
    </w:rPr>
  </w:style>
  <w:style w:type="character" w:customStyle="1" w:styleId="SLCONChar">
    <w:name w:val="表（或图）标题 样式 宋体 五号 居中 SL CON Char"/>
    <w:link w:val="SLCON"/>
    <w:qFormat/>
    <w:rPr>
      <w:rFonts w:ascii="宋体" w:eastAsia="宋体" w:hAnsi="宋体"/>
      <w:b/>
      <w:lang w:bidi="ar-SA"/>
    </w:rPr>
  </w:style>
  <w:style w:type="paragraph" w:customStyle="1" w:styleId="SLCON">
    <w:name w:val="表（或图）标题 样式 宋体 五号 居中 SL CON"/>
    <w:basedOn w:val="a6"/>
    <w:link w:val="SLCONChar"/>
    <w:qFormat/>
    <w:pPr>
      <w:widowControl/>
      <w:tabs>
        <w:tab w:val="left" w:pos="377"/>
      </w:tabs>
      <w:spacing w:before="100" w:beforeAutospacing="1" w:line="360" w:lineRule="auto"/>
      <w:ind w:firstLineChars="200" w:firstLine="200"/>
      <w:jc w:val="center"/>
    </w:pPr>
    <w:rPr>
      <w:rFonts w:ascii="宋体" w:hAnsi="宋体"/>
      <w:b/>
      <w:kern w:val="0"/>
      <w:sz w:val="20"/>
      <w:szCs w:val="20"/>
    </w:rPr>
  </w:style>
  <w:style w:type="character" w:customStyle="1" w:styleId="Char1b">
    <w:name w:val="正文(首行缩进) Char1"/>
    <w:link w:val="afffff7"/>
    <w:qFormat/>
    <w:rPr>
      <w:rFonts w:eastAsia="宋体"/>
      <w:snapToGrid w:val="0"/>
      <w:color w:val="000000"/>
      <w:sz w:val="24"/>
      <w:szCs w:val="24"/>
      <w:lang w:val="en-US" w:eastAsia="zh-CN" w:bidi="ar-SA"/>
    </w:rPr>
  </w:style>
  <w:style w:type="paragraph" w:customStyle="1" w:styleId="afffff7">
    <w:name w:val="正文(首行缩进)"/>
    <w:basedOn w:val="a6"/>
    <w:next w:val="a6"/>
    <w:link w:val="Char1b"/>
    <w:qFormat/>
    <w:pPr>
      <w:spacing w:line="360" w:lineRule="auto"/>
      <w:ind w:firstLineChars="225" w:firstLine="540"/>
    </w:pPr>
    <w:rPr>
      <w:snapToGrid w:val="0"/>
      <w:color w:val="000000"/>
      <w:kern w:val="0"/>
      <w:sz w:val="24"/>
    </w:rPr>
  </w:style>
  <w:style w:type="character" w:customStyle="1" w:styleId="z-">
    <w:name w:val="z-窗体底端 字符"/>
    <w:link w:val="z-1"/>
    <w:qFormat/>
    <w:rPr>
      <w:rFonts w:ascii="Arial" w:hAnsi="Arial"/>
      <w:vanish/>
      <w:sz w:val="16"/>
    </w:rPr>
  </w:style>
  <w:style w:type="paragraph" w:customStyle="1" w:styleId="z-1">
    <w:name w:val="z-窗体底端1"/>
    <w:basedOn w:val="a6"/>
    <w:next w:val="a6"/>
    <w:link w:val="z-"/>
    <w:qFormat/>
    <w:pPr>
      <w:widowControl/>
      <w:pBdr>
        <w:top w:val="single" w:sz="6" w:space="1" w:color="auto"/>
      </w:pBdr>
      <w:jc w:val="center"/>
    </w:pPr>
    <w:rPr>
      <w:rFonts w:ascii="Arial" w:hAnsi="Arial"/>
      <w:vanish/>
      <w:kern w:val="0"/>
      <w:sz w:val="16"/>
      <w:szCs w:val="20"/>
    </w:rPr>
  </w:style>
  <w:style w:type="character" w:customStyle="1" w:styleId="1f5">
    <w:name w:val="第一条1"/>
    <w:qFormat/>
    <w:rPr>
      <w:rFonts w:ascii="黑体" w:eastAsia="黑体" w:hint="eastAsia"/>
      <w:sz w:val="24"/>
      <w:szCs w:val="24"/>
    </w:rPr>
  </w:style>
  <w:style w:type="character" w:customStyle="1" w:styleId="5Char2">
    <w:name w:val="表格内容（5号字体版本） Char"/>
    <w:link w:val="59"/>
    <w:qFormat/>
    <w:rPr>
      <w:color w:val="000000"/>
      <w:lang w:val="en-US" w:eastAsia="zh-CN" w:bidi="ar-SA"/>
    </w:rPr>
  </w:style>
  <w:style w:type="paragraph" w:customStyle="1" w:styleId="59">
    <w:name w:val="表格内容（5号字体版本）"/>
    <w:link w:val="5Char2"/>
    <w:qFormat/>
    <w:pPr>
      <w:jc w:val="center"/>
    </w:pPr>
    <w:rPr>
      <w:color w:val="000000"/>
    </w:rPr>
  </w:style>
  <w:style w:type="character" w:customStyle="1" w:styleId="afffff8">
    <w:name w:val="个人撰写风格"/>
    <w:qFormat/>
    <w:rPr>
      <w:rFonts w:ascii="Arial" w:eastAsia="宋体" w:hAnsi="Arial" w:cs="Arial"/>
      <w:color w:val="auto"/>
      <w:sz w:val="20"/>
    </w:rPr>
  </w:style>
  <w:style w:type="character" w:customStyle="1" w:styleId="2Char8">
    <w:name w:val="正文（行首缩进2字） Char"/>
    <w:link w:val="2fc"/>
    <w:qFormat/>
    <w:rPr>
      <w:kern w:val="2"/>
      <w:sz w:val="24"/>
      <w:szCs w:val="24"/>
    </w:rPr>
  </w:style>
  <w:style w:type="paragraph" w:customStyle="1" w:styleId="2fc">
    <w:name w:val="正文（行首缩进2字）"/>
    <w:basedOn w:val="a6"/>
    <w:link w:val="2Char8"/>
    <w:qFormat/>
    <w:pPr>
      <w:spacing w:line="500" w:lineRule="exact"/>
      <w:ind w:firstLineChars="200" w:firstLine="200"/>
    </w:pPr>
    <w:rPr>
      <w:sz w:val="24"/>
    </w:rPr>
  </w:style>
  <w:style w:type="character" w:customStyle="1" w:styleId="CharCharCharCharChar0">
    <w:name w:val="正文样式 Char Char Char Char Char"/>
    <w:link w:val="CharCharCharChar1"/>
    <w:qFormat/>
    <w:rPr>
      <w:rFonts w:cs="宋体"/>
      <w:color w:val="000000"/>
      <w:kern w:val="2"/>
      <w:sz w:val="24"/>
      <w:szCs w:val="24"/>
    </w:rPr>
  </w:style>
  <w:style w:type="paragraph" w:customStyle="1" w:styleId="CharCharCharChar1">
    <w:name w:val="正文样式 Char Char Char Char"/>
    <w:basedOn w:val="a6"/>
    <w:link w:val="CharCharCharCharChar0"/>
    <w:qFormat/>
    <w:pPr>
      <w:adjustRightInd w:val="0"/>
      <w:snapToGrid w:val="0"/>
      <w:spacing w:beforeLines="50" w:afterLines="50" w:line="312" w:lineRule="auto"/>
      <w:ind w:firstLineChars="200" w:firstLine="480"/>
    </w:pPr>
    <w:rPr>
      <w:color w:val="000000"/>
      <w:sz w:val="24"/>
    </w:rPr>
  </w:style>
  <w:style w:type="character" w:customStyle="1" w:styleId="CharCharChar5">
    <w:name w:val="纯文本 Char Char Char"/>
    <w:qFormat/>
    <w:rPr>
      <w:rFonts w:ascii="宋体" w:eastAsia="宋体" w:hAnsi="Courier New"/>
      <w:kern w:val="2"/>
      <w:sz w:val="21"/>
      <w:lang w:val="en-US" w:eastAsia="zh-CN"/>
    </w:rPr>
  </w:style>
  <w:style w:type="character" w:customStyle="1" w:styleId="FontStyle339">
    <w:name w:val="Font Style339"/>
    <w:qFormat/>
    <w:rPr>
      <w:rFonts w:ascii="宋体" w:eastAsia="宋体" w:cs="宋体"/>
      <w:b/>
      <w:bCs/>
      <w:sz w:val="20"/>
      <w:szCs w:val="20"/>
    </w:rPr>
  </w:style>
  <w:style w:type="character" w:customStyle="1" w:styleId="ca-21">
    <w:name w:val="ca-21"/>
    <w:qFormat/>
    <w:rPr>
      <w:rFonts w:ascii="宋体" w:eastAsia="宋体" w:hAnsi="宋体" w:hint="eastAsia"/>
      <w:color w:val="FF0000"/>
      <w:sz w:val="28"/>
      <w:szCs w:val="28"/>
    </w:rPr>
  </w:style>
  <w:style w:type="character" w:customStyle="1" w:styleId="afffff9">
    <w:name w:val="a"/>
    <w:qFormat/>
  </w:style>
  <w:style w:type="character" w:customStyle="1" w:styleId="-CharChar">
    <w:name w:val="表格文字-居中 Char Char"/>
    <w:link w:val="-4"/>
    <w:qFormat/>
    <w:rPr>
      <w:sz w:val="21"/>
      <w:szCs w:val="21"/>
    </w:rPr>
  </w:style>
  <w:style w:type="paragraph" w:customStyle="1" w:styleId="-4">
    <w:name w:val="表格文字-居中"/>
    <w:basedOn w:val="50"/>
    <w:link w:val="-CharChar"/>
    <w:qFormat/>
    <w:pPr>
      <w:keepNext w:val="0"/>
      <w:keepLines w:val="0"/>
      <w:widowControl/>
      <w:adjustRightInd w:val="0"/>
      <w:spacing w:before="0" w:after="0" w:line="400" w:lineRule="exact"/>
      <w:jc w:val="center"/>
      <w:textAlignment w:val="center"/>
      <w:outlineLvl w:val="9"/>
    </w:pPr>
    <w:rPr>
      <w:b w:val="0"/>
      <w:bCs w:val="0"/>
      <w:kern w:val="0"/>
      <w:sz w:val="21"/>
      <w:szCs w:val="21"/>
    </w:rPr>
  </w:style>
  <w:style w:type="character" w:customStyle="1" w:styleId="CharChar14">
    <w:name w:val="Char Char14"/>
    <w:qFormat/>
    <w:rPr>
      <w:rFonts w:eastAsia="宋体"/>
      <w:kern w:val="2"/>
      <w:sz w:val="21"/>
      <w:szCs w:val="24"/>
      <w:lang w:val="en-US" w:eastAsia="zh-CN" w:bidi="ar-SA"/>
    </w:rPr>
  </w:style>
  <w:style w:type="character" w:customStyle="1" w:styleId="CharChar18">
    <w:name w:val="Char Char18"/>
    <w:uiPriority w:val="99"/>
    <w:qFormat/>
    <w:rPr>
      <w:rFonts w:ascii="宋体" w:eastAsia="宋体" w:hAnsi="宋体" w:hint="eastAsia"/>
      <w:b/>
      <w:bCs/>
      <w:color w:val="000000"/>
      <w:kern w:val="44"/>
      <w:sz w:val="28"/>
      <w:szCs w:val="28"/>
      <w:lang w:val="en-US" w:eastAsia="zh-CN" w:bidi="ar-SA"/>
    </w:rPr>
  </w:style>
  <w:style w:type="character" w:customStyle="1" w:styleId="41111411114Char1111Char4CharChar">
    <w:name w:val="样式 标题 41.1.1.1标题 4.1.1.1.1标题 4 Char款1.1.1.1 Char标4段 + 宋体... Char Char"/>
    <w:qFormat/>
    <w:rPr>
      <w:rFonts w:ascii="宋体" w:eastAsia="宋体" w:hAnsi="宋体"/>
      <w:bCs/>
      <w:color w:val="000000"/>
      <w:kern w:val="2"/>
      <w:sz w:val="28"/>
      <w:szCs w:val="24"/>
      <w:lang w:val="en-US" w:eastAsia="zh-CN" w:bidi="ar-SA"/>
    </w:rPr>
  </w:style>
  <w:style w:type="character" w:customStyle="1" w:styleId="h4Char">
    <w:name w:val="h4 Char"/>
    <w:qFormat/>
    <w:rPr>
      <w:rFonts w:ascii="宋体" w:eastAsia="宋体" w:hAnsi="宋体"/>
      <w:sz w:val="24"/>
      <w:lang w:val="en-US" w:eastAsia="zh-CN" w:bidi="ar-SA"/>
    </w:rPr>
  </w:style>
  <w:style w:type="character" w:customStyle="1" w:styleId="CharChard">
    <w:name w:val="正文部分 Char Char"/>
    <w:link w:val="afffffa"/>
    <w:qFormat/>
    <w:rPr>
      <w:rFonts w:ascii="宋体" w:hAnsi="宋体" w:cs="宋体"/>
      <w:bCs/>
      <w:kern w:val="2"/>
      <w:sz w:val="28"/>
      <w:szCs w:val="32"/>
    </w:rPr>
  </w:style>
  <w:style w:type="paragraph" w:customStyle="1" w:styleId="afffffa">
    <w:name w:val="正文部分"/>
    <w:basedOn w:val="a6"/>
    <w:link w:val="CharChard"/>
    <w:qFormat/>
    <w:pPr>
      <w:spacing w:line="500" w:lineRule="exact"/>
      <w:ind w:firstLineChars="200" w:firstLine="200"/>
      <w:jc w:val="left"/>
    </w:pPr>
    <w:rPr>
      <w:rFonts w:ascii="宋体" w:hAnsi="宋体"/>
      <w:bCs/>
      <w:sz w:val="28"/>
      <w:szCs w:val="32"/>
    </w:rPr>
  </w:style>
  <w:style w:type="character" w:customStyle="1" w:styleId="CharChar11">
    <w:name w:val="表号 Char Char1"/>
    <w:qFormat/>
    <w:rPr>
      <w:rFonts w:ascii="宋体" w:eastAsia="宋体" w:hAnsi="宋体"/>
      <w:sz w:val="24"/>
      <w:szCs w:val="24"/>
      <w:lang w:val="en-US" w:eastAsia="zh-CN" w:bidi="ar-SA"/>
    </w:rPr>
  </w:style>
  <w:style w:type="character" w:customStyle="1" w:styleId="CharAttribute101">
    <w:name w:val="CharAttribute101"/>
    <w:qFormat/>
    <w:rPr>
      <w:rFonts w:ascii="宋体" w:eastAsia="宋体" w:hAnsi="宋体"/>
      <w:sz w:val="27"/>
    </w:rPr>
  </w:style>
  <w:style w:type="character" w:customStyle="1" w:styleId="Char24">
    <w:name w:val="正文文本缩进 Char2"/>
    <w:uiPriority w:val="99"/>
    <w:qFormat/>
    <w:rPr>
      <w:kern w:val="2"/>
      <w:sz w:val="21"/>
      <w:szCs w:val="22"/>
    </w:rPr>
  </w:style>
  <w:style w:type="character" w:customStyle="1" w:styleId="3CharCharChar4">
    <w:name w:val="标题 3 Char Char Char4"/>
    <w:qFormat/>
    <w:rPr>
      <w:rFonts w:eastAsia="宋体"/>
      <w:kern w:val="2"/>
      <w:sz w:val="24"/>
      <w:szCs w:val="24"/>
      <w:lang w:val="en-US" w:eastAsia="zh-CN" w:bidi="ar-SA"/>
    </w:rPr>
  </w:style>
  <w:style w:type="character" w:customStyle="1" w:styleId="CharCharChar6">
    <w:name w:val="文字 Char Char Char"/>
    <w:qFormat/>
    <w:rPr>
      <w:rFonts w:ascii="宋体" w:eastAsia="宋体" w:hAnsi="宋体" w:cs="宋体"/>
      <w:kern w:val="0"/>
      <w:sz w:val="28"/>
      <w:szCs w:val="28"/>
    </w:rPr>
  </w:style>
  <w:style w:type="character" w:customStyle="1" w:styleId="mvp11">
    <w:name w:val="mvp11"/>
    <w:qFormat/>
    <w:rPr>
      <w:color w:val="008000"/>
    </w:rPr>
  </w:style>
  <w:style w:type="character" w:customStyle="1" w:styleId="Charfff2">
    <w:name w:val="明显引用 Char"/>
    <w:link w:val="afffffb"/>
    <w:uiPriority w:val="30"/>
    <w:qFormat/>
    <w:rPr>
      <w:rFonts w:ascii="Calibri" w:hAnsi="Calibri"/>
      <w:b/>
      <w:bCs/>
      <w:i/>
      <w:iCs/>
      <w:color w:val="4F81BD"/>
      <w:kern w:val="2"/>
      <w:sz w:val="21"/>
      <w:szCs w:val="22"/>
    </w:rPr>
  </w:style>
  <w:style w:type="paragraph" w:styleId="afffffb">
    <w:name w:val="Intense Quote"/>
    <w:basedOn w:val="a6"/>
    <w:next w:val="a6"/>
    <w:link w:val="Charfff2"/>
    <w:uiPriority w:val="30"/>
    <w:qFormat/>
    <w:pPr>
      <w:pBdr>
        <w:bottom w:val="single" w:sz="4" w:space="4" w:color="4F81BD"/>
      </w:pBdr>
      <w:spacing w:before="200" w:after="280"/>
      <w:ind w:left="936" w:right="936"/>
    </w:pPr>
    <w:rPr>
      <w:rFonts w:ascii="Calibri" w:hAnsi="Calibri"/>
      <w:b/>
      <w:bCs/>
      <w:i/>
      <w:iCs/>
      <w:color w:val="4F81BD"/>
      <w:szCs w:val="22"/>
    </w:rPr>
  </w:style>
  <w:style w:type="character" w:customStyle="1" w:styleId="CharChar19">
    <w:name w:val="Char Char19"/>
    <w:uiPriority w:val="99"/>
    <w:qFormat/>
    <w:rPr>
      <w:rFonts w:ascii="Arial" w:eastAsia="仿宋_GB2312" w:hAnsi="Arial"/>
      <w:spacing w:val="-6"/>
      <w:kern w:val="20"/>
      <w:sz w:val="18"/>
      <w:lang w:val="en-US" w:eastAsia="zh-CN" w:bidi="ar-SA"/>
    </w:rPr>
  </w:style>
  <w:style w:type="character" w:customStyle="1" w:styleId="1Char6">
    <w:name w:val="样式 标题1 Char"/>
    <w:link w:val="1f6"/>
    <w:qFormat/>
    <w:rPr>
      <w:rFonts w:ascii="宋体" w:hAnsi="宋体"/>
      <w:b/>
      <w:bCs/>
      <w:kern w:val="44"/>
      <w:sz w:val="32"/>
      <w:szCs w:val="32"/>
    </w:rPr>
  </w:style>
  <w:style w:type="paragraph" w:customStyle="1" w:styleId="1f6">
    <w:name w:val="样式 标题1"/>
    <w:basedOn w:val="12"/>
    <w:next w:val="affffa"/>
    <w:link w:val="1Char6"/>
    <w:qFormat/>
    <w:pPr>
      <w:keepNext w:val="0"/>
      <w:keepLines w:val="0"/>
      <w:widowControl/>
      <w:tabs>
        <w:tab w:val="left" w:pos="2629"/>
      </w:tabs>
      <w:spacing w:before="0" w:after="0" w:line="360" w:lineRule="auto"/>
      <w:jc w:val="center"/>
    </w:pPr>
    <w:rPr>
      <w:rFonts w:ascii="宋体" w:hAnsi="宋体"/>
      <w:sz w:val="32"/>
      <w:szCs w:val="32"/>
    </w:rPr>
  </w:style>
  <w:style w:type="character" w:customStyle="1" w:styleId="EmailStyle5541">
    <w:name w:val="EmailStyle5541"/>
    <w:qFormat/>
    <w:rPr>
      <w:rFonts w:ascii="Arial" w:eastAsia="宋体" w:hAnsi="Arial" w:cs="Arial"/>
      <w:color w:val="auto"/>
      <w:sz w:val="20"/>
    </w:rPr>
  </w:style>
  <w:style w:type="character" w:customStyle="1" w:styleId="26CharCharCharChar">
    <w:name w:val="样式 (符号) 宋体 小四 行距: 固定值 26 磅 Char Char Char Char"/>
    <w:qFormat/>
    <w:rPr>
      <w:rFonts w:hAnsi="宋体" w:cs="宋体"/>
      <w:color w:val="000000"/>
      <w:sz w:val="28"/>
      <w:szCs w:val="28"/>
    </w:rPr>
  </w:style>
  <w:style w:type="character" w:customStyle="1" w:styleId="CharAttribute16">
    <w:name w:val="CharAttribute16"/>
    <w:qFormat/>
    <w:rPr>
      <w:rFonts w:ascii="楷体" w:eastAsia="楷体" w:hAnsi="楷体"/>
      <w:sz w:val="24"/>
    </w:rPr>
  </w:style>
  <w:style w:type="character" w:customStyle="1" w:styleId="-2Char0">
    <w:name w:val="编号-正文章条2级标题(进目录) Char"/>
    <w:link w:val="-20"/>
    <w:qFormat/>
    <w:rPr>
      <w:rFonts w:ascii="Arial" w:hAnsi="Arial"/>
      <w:color w:val="000000"/>
      <w:kern w:val="2"/>
      <w:sz w:val="24"/>
      <w:szCs w:val="24"/>
    </w:rPr>
  </w:style>
  <w:style w:type="paragraph" w:customStyle="1" w:styleId="-20">
    <w:name w:val="编号-正文章条2级标题(进目录)"/>
    <w:basedOn w:val="a6"/>
    <w:link w:val="-2Char0"/>
    <w:qFormat/>
    <w:pPr>
      <w:widowControl/>
      <w:jc w:val="left"/>
      <w:outlineLvl w:val="1"/>
    </w:pPr>
    <w:rPr>
      <w:rFonts w:ascii="Arial" w:hAnsi="Arial"/>
      <w:color w:val="000000"/>
      <w:sz w:val="24"/>
    </w:rPr>
  </w:style>
  <w:style w:type="character" w:customStyle="1" w:styleId="2CharChar10">
    <w:name w:val="正文文字 2 Char Char1"/>
    <w:qFormat/>
    <w:rPr>
      <w:rFonts w:eastAsia="宋体"/>
      <w:kern w:val="2"/>
      <w:sz w:val="21"/>
      <w:szCs w:val="24"/>
      <w:lang w:val="en-US" w:eastAsia="zh-CN" w:bidi="ar-SA"/>
    </w:rPr>
  </w:style>
  <w:style w:type="character" w:customStyle="1" w:styleId="Char1c">
    <w:name w:val="尾注文本 Char1"/>
    <w:qFormat/>
    <w:rPr>
      <w:rFonts w:ascii="Times New Roman" w:eastAsia="宋体" w:hAnsi="Times New Roman" w:cs="Times New Roman"/>
      <w:szCs w:val="20"/>
    </w:rPr>
  </w:style>
  <w:style w:type="character" w:customStyle="1" w:styleId="BPDIChar">
    <w:name w:val="BPDI表格字体 Char"/>
    <w:link w:val="BPDI"/>
    <w:qFormat/>
    <w:rPr>
      <w:rFonts w:ascii="Arial" w:hAnsi="Arial"/>
      <w:kern w:val="2"/>
      <w:sz w:val="21"/>
      <w:szCs w:val="21"/>
      <w:lang w:bidi="ar-SA"/>
    </w:rPr>
  </w:style>
  <w:style w:type="paragraph" w:customStyle="1" w:styleId="BPDI">
    <w:name w:val="BPDI表格字体"/>
    <w:link w:val="BPDIChar"/>
    <w:qFormat/>
    <w:pPr>
      <w:widowControl w:val="0"/>
      <w:adjustRightInd w:val="0"/>
      <w:snapToGrid w:val="0"/>
      <w:spacing w:after="200" w:line="276" w:lineRule="auto"/>
    </w:pPr>
    <w:rPr>
      <w:rFonts w:ascii="Arial" w:hAnsi="Arial"/>
      <w:kern w:val="2"/>
      <w:sz w:val="21"/>
      <w:szCs w:val="21"/>
    </w:rPr>
  </w:style>
  <w:style w:type="character" w:customStyle="1" w:styleId="wenzhang">
    <w:name w:val="wenzhang"/>
    <w:qFormat/>
  </w:style>
  <w:style w:type="character" w:customStyle="1" w:styleId="Document7">
    <w:name w:val="Document 7"/>
    <w:qFormat/>
  </w:style>
  <w:style w:type="character" w:customStyle="1" w:styleId="Charfff3">
    <w:name w:val="我的二级 Char"/>
    <w:link w:val="afffffc"/>
    <w:qFormat/>
    <w:rPr>
      <w:rFonts w:ascii="Cambria" w:hAnsi="Cambria"/>
      <w:b/>
      <w:bCs/>
      <w:kern w:val="2"/>
      <w:sz w:val="32"/>
      <w:szCs w:val="32"/>
    </w:rPr>
  </w:style>
  <w:style w:type="paragraph" w:customStyle="1" w:styleId="afffffc">
    <w:name w:val="我的二级"/>
    <w:basedOn w:val="22"/>
    <w:link w:val="Charfff3"/>
    <w:qFormat/>
    <w:pPr>
      <w:tabs>
        <w:tab w:val="left" w:pos="1070"/>
      </w:tabs>
      <w:spacing w:before="260" w:after="260" w:line="415" w:lineRule="auto"/>
      <w:ind w:leftChars="400" w:left="1070" w:hangingChars="200" w:hanging="360"/>
    </w:pPr>
    <w:rPr>
      <w:rFonts w:ascii="Cambria" w:hAnsi="Cambria"/>
      <w:spacing w:val="0"/>
      <w:w w:val="100"/>
      <w:kern w:val="2"/>
      <w:szCs w:val="32"/>
    </w:rPr>
  </w:style>
  <w:style w:type="character" w:customStyle="1" w:styleId="Document4">
    <w:name w:val="Document 4"/>
    <w:qFormat/>
    <w:rPr>
      <w:b/>
      <w:bCs/>
      <w:i/>
      <w:iCs/>
      <w:sz w:val="24"/>
    </w:rPr>
  </w:style>
  <w:style w:type="character" w:customStyle="1" w:styleId="Charfff4">
    <w:name w:val="文字 Char"/>
    <w:qFormat/>
    <w:rPr>
      <w:rFonts w:ascii="宋体" w:eastAsia="宋体" w:hAnsi="宋体" w:cs="宋体"/>
      <w:sz w:val="28"/>
      <w:szCs w:val="28"/>
      <w:lang w:val="en-US" w:eastAsia="zh-CN" w:bidi="ar-SA"/>
    </w:rPr>
  </w:style>
  <w:style w:type="character" w:customStyle="1" w:styleId="1f7">
    <w:name w:val="不明显参考1"/>
    <w:qFormat/>
    <w:rPr>
      <w:smallCaps/>
    </w:rPr>
  </w:style>
  <w:style w:type="character" w:customStyle="1" w:styleId="afffffd">
    <w:name w:val="样式 正文 +"/>
    <w:qFormat/>
    <w:rPr>
      <w:rFonts w:ascii="Times New Roman" w:eastAsia="宋体" w:hAnsi="Times New Roman"/>
      <w:kern w:val="0"/>
      <w:sz w:val="24"/>
    </w:rPr>
  </w:style>
  <w:style w:type="character" w:customStyle="1" w:styleId="CharChar90">
    <w:name w:val="Char Char9"/>
    <w:qFormat/>
    <w:rPr>
      <w:sz w:val="18"/>
      <w:szCs w:val="18"/>
      <w:lang w:bidi="ar-SA"/>
    </w:rPr>
  </w:style>
  <w:style w:type="character" w:customStyle="1" w:styleId="2CharChar2">
    <w:name w:val="表格文字2 Char Char"/>
    <w:link w:val="2fd"/>
    <w:qFormat/>
    <w:rPr>
      <w:rFonts w:ascii="宋体"/>
      <w:sz w:val="21"/>
    </w:rPr>
  </w:style>
  <w:style w:type="paragraph" w:customStyle="1" w:styleId="2fd">
    <w:name w:val="表格文字2"/>
    <w:basedOn w:val="a6"/>
    <w:link w:val="2CharChar2"/>
    <w:qFormat/>
    <w:pPr>
      <w:tabs>
        <w:tab w:val="left" w:pos="277"/>
        <w:tab w:val="left" w:pos="600"/>
        <w:tab w:val="left" w:pos="780"/>
        <w:tab w:val="left" w:pos="2517"/>
      </w:tabs>
      <w:adjustRightInd w:val="0"/>
      <w:jc w:val="center"/>
      <w:textAlignment w:val="baseline"/>
    </w:pPr>
    <w:rPr>
      <w:rFonts w:ascii="宋体"/>
      <w:kern w:val="0"/>
      <w:szCs w:val="20"/>
    </w:rPr>
  </w:style>
  <w:style w:type="character" w:customStyle="1" w:styleId="Char31">
    <w:name w:val="纯文本 Char3"/>
    <w:uiPriority w:val="99"/>
    <w:qFormat/>
    <w:rPr>
      <w:rFonts w:ascii="宋体" w:hAnsi="Courier New" w:cs="Courier New"/>
      <w:kern w:val="2"/>
      <w:sz w:val="21"/>
      <w:szCs w:val="21"/>
    </w:rPr>
  </w:style>
  <w:style w:type="character" w:customStyle="1" w:styleId="CharChar30">
    <w:name w:val="Char Char3"/>
    <w:qFormat/>
    <w:rPr>
      <w:rFonts w:ascii="宋体" w:eastAsia="宋体"/>
      <w:kern w:val="2"/>
      <w:sz w:val="18"/>
      <w:lang w:val="en-US" w:eastAsia="zh-CN" w:bidi="ar-SA"/>
    </w:rPr>
  </w:style>
  <w:style w:type="character" w:customStyle="1" w:styleId="Char32">
    <w:name w:val="注释标题 Char3"/>
    <w:qFormat/>
    <w:rPr>
      <w:kern w:val="2"/>
      <w:sz w:val="24"/>
      <w:szCs w:val="24"/>
    </w:rPr>
  </w:style>
  <w:style w:type="character" w:customStyle="1" w:styleId="777777777CharCharCharCharCharCharCharChar">
    <w:name w:val="777777777 Char Char Char Char Char Char Char Char"/>
    <w:qFormat/>
    <w:rPr>
      <w:rFonts w:eastAsia="宋体"/>
      <w:sz w:val="28"/>
    </w:rPr>
  </w:style>
  <w:style w:type="character" w:customStyle="1" w:styleId="1Char7">
    <w:name w:val="1正文段落 Char"/>
    <w:link w:val="1f8"/>
    <w:qFormat/>
    <w:rPr>
      <w:snapToGrid/>
      <w:sz w:val="24"/>
      <w:szCs w:val="24"/>
    </w:rPr>
  </w:style>
  <w:style w:type="paragraph" w:customStyle="1" w:styleId="1f8">
    <w:name w:val="1正文段落"/>
    <w:basedOn w:val="a6"/>
    <w:link w:val="1Char7"/>
    <w:qFormat/>
    <w:pPr>
      <w:spacing w:line="360" w:lineRule="auto"/>
      <w:ind w:firstLineChars="200" w:firstLine="200"/>
      <w:jc w:val="left"/>
    </w:pPr>
    <w:rPr>
      <w:snapToGrid w:val="0"/>
      <w:kern w:val="0"/>
      <w:sz w:val="24"/>
    </w:rPr>
  </w:style>
  <w:style w:type="character" w:customStyle="1" w:styleId="55-Char">
    <w:name w:val="标题55-表标 Char"/>
    <w:link w:val="55-"/>
    <w:qFormat/>
    <w:rPr>
      <w:rFonts w:ascii="黑体" w:eastAsia="黑体" w:hAnsi="宋体"/>
      <w:sz w:val="24"/>
    </w:rPr>
  </w:style>
  <w:style w:type="paragraph" w:customStyle="1" w:styleId="55-">
    <w:name w:val="标题55-表标"/>
    <w:basedOn w:val="a6"/>
    <w:next w:val="a6"/>
    <w:link w:val="55-Char"/>
    <w:qFormat/>
    <w:pPr>
      <w:tabs>
        <w:tab w:val="left" w:pos="540"/>
        <w:tab w:val="left" w:pos="600"/>
        <w:tab w:val="left" w:pos="720"/>
        <w:tab w:val="left" w:pos="1200"/>
        <w:tab w:val="left" w:pos="1440"/>
        <w:tab w:val="left" w:pos="2448"/>
        <w:tab w:val="left" w:pos="3000"/>
        <w:tab w:val="left" w:pos="3888"/>
        <w:tab w:val="left" w:pos="4800"/>
        <w:tab w:val="left" w:pos="5040"/>
        <w:tab w:val="left" w:pos="5883"/>
        <w:tab w:val="left" w:pos="6300"/>
        <w:tab w:val="left" w:pos="7353"/>
        <w:tab w:val="left" w:pos="8613"/>
      </w:tabs>
      <w:autoSpaceDE w:val="0"/>
      <w:autoSpaceDN w:val="0"/>
      <w:adjustRightInd w:val="0"/>
      <w:spacing w:line="360" w:lineRule="auto"/>
      <w:jc w:val="center"/>
      <w:textAlignment w:val="baseline"/>
    </w:pPr>
    <w:rPr>
      <w:rFonts w:ascii="黑体" w:eastAsia="黑体" w:hAnsi="宋体"/>
      <w:kern w:val="0"/>
      <w:sz w:val="24"/>
      <w:szCs w:val="20"/>
    </w:rPr>
  </w:style>
  <w:style w:type="character" w:customStyle="1" w:styleId="Charfff5">
    <w:name w:val="样式 兴化美联正文样式 + 红色 Char"/>
    <w:link w:val="afffffe"/>
    <w:qFormat/>
    <w:rPr>
      <w:rFonts w:ascii="宋体" w:hAnsi="宋体" w:cs="宋体"/>
      <w:color w:val="FF0000"/>
      <w:kern w:val="2"/>
      <w:sz w:val="24"/>
      <w:szCs w:val="24"/>
    </w:rPr>
  </w:style>
  <w:style w:type="paragraph" w:customStyle="1" w:styleId="afffffe">
    <w:name w:val="样式 兴化美联正文样式 + 红色"/>
    <w:link w:val="Charfff5"/>
    <w:qFormat/>
    <w:rPr>
      <w:color w:val="FF0000"/>
      <w:kern w:val="2"/>
    </w:rPr>
  </w:style>
  <w:style w:type="paragraph" w:customStyle="1" w:styleId="affffff">
    <w:name w:val="兴化美联正文样式"/>
    <w:basedOn w:val="a6"/>
    <w:link w:val="Charfff6"/>
    <w:qFormat/>
    <w:pPr>
      <w:widowControl/>
      <w:spacing w:line="360" w:lineRule="auto"/>
      <w:ind w:firstLineChars="200" w:firstLine="480"/>
      <w:jc w:val="left"/>
    </w:pPr>
    <w:rPr>
      <w:rFonts w:ascii="宋体" w:hAnsi="宋体"/>
      <w:kern w:val="0"/>
      <w:sz w:val="24"/>
    </w:rPr>
  </w:style>
  <w:style w:type="character" w:customStyle="1" w:styleId="Charfff6">
    <w:name w:val="兴化美联正文样式 Char"/>
    <w:link w:val="affffff"/>
    <w:qFormat/>
    <w:rPr>
      <w:rFonts w:ascii="宋体" w:hAnsi="宋体" w:cs="宋体"/>
      <w:sz w:val="24"/>
      <w:szCs w:val="24"/>
    </w:rPr>
  </w:style>
  <w:style w:type="character" w:customStyle="1" w:styleId="neiyetest1">
    <w:name w:val="neiyetest1"/>
    <w:qFormat/>
    <w:rPr>
      <w:rFonts w:ascii="ˎ̥" w:hAnsi="ˎ̥" w:hint="default"/>
      <w:color w:val="000000"/>
      <w:sz w:val="20"/>
      <w:szCs w:val="20"/>
    </w:rPr>
  </w:style>
  <w:style w:type="character" w:customStyle="1" w:styleId="52CharChar">
    <w:name w:val="样式 5 + 首行缩进:  2 字符 Char Char"/>
    <w:link w:val="520"/>
    <w:qFormat/>
    <w:rPr>
      <w:rFonts w:ascii="楷体_GB2312" w:eastAsia="楷体_GB2312" w:hAnsi="宋体"/>
      <w:color w:val="000000"/>
      <w:spacing w:val="-2"/>
      <w:w w:val="110"/>
      <w:sz w:val="30"/>
      <w:szCs w:val="30"/>
    </w:rPr>
  </w:style>
  <w:style w:type="paragraph" w:customStyle="1" w:styleId="520">
    <w:name w:val="样式 5 + 首行缩进:  2 字符"/>
    <w:basedOn w:val="a6"/>
    <w:link w:val="52CharChar"/>
    <w:qFormat/>
    <w:pPr>
      <w:ind w:firstLineChars="200" w:firstLine="592"/>
    </w:pPr>
    <w:rPr>
      <w:rFonts w:ascii="楷体_GB2312" w:eastAsia="楷体_GB2312" w:hAnsi="宋体"/>
      <w:color w:val="000000"/>
      <w:spacing w:val="-2"/>
      <w:w w:val="110"/>
      <w:kern w:val="0"/>
      <w:sz w:val="30"/>
      <w:szCs w:val="30"/>
    </w:rPr>
  </w:style>
  <w:style w:type="character" w:customStyle="1" w:styleId="01Char">
    <w:name w:val="正文01 Char"/>
    <w:qFormat/>
    <w:rPr>
      <w:rFonts w:eastAsia="宋体"/>
      <w:kern w:val="2"/>
      <w:sz w:val="24"/>
      <w:szCs w:val="24"/>
      <w:lang w:val="en-US" w:eastAsia="zh-CN" w:bidi="ar-SA"/>
    </w:rPr>
  </w:style>
  <w:style w:type="character" w:customStyle="1" w:styleId="CharCharChar50">
    <w:name w:val="正文首行缩进 Char Char Char5"/>
    <w:qFormat/>
    <w:rPr>
      <w:rFonts w:eastAsia="宋体"/>
      <w:kern w:val="2"/>
      <w:sz w:val="21"/>
      <w:szCs w:val="24"/>
      <w:lang w:val="en-US" w:eastAsia="zh-CN" w:bidi="ar-SA"/>
    </w:rPr>
  </w:style>
  <w:style w:type="character" w:customStyle="1" w:styleId="CharChar50">
    <w:name w:val="Char Char5"/>
    <w:qFormat/>
    <w:rPr>
      <w:rFonts w:eastAsia="宋体"/>
      <w:kern w:val="2"/>
      <w:sz w:val="18"/>
      <w:lang w:val="en-US" w:eastAsia="zh-CN" w:bidi="ar-SA"/>
    </w:rPr>
  </w:style>
  <w:style w:type="character" w:customStyle="1" w:styleId="CharCharCharChar2">
    <w:name w:val="正文(首行缩进) Char Char Char Char"/>
    <w:qFormat/>
    <w:rPr>
      <w:rFonts w:eastAsia="宋体"/>
      <w:snapToGrid/>
      <w:color w:val="000000"/>
      <w:sz w:val="24"/>
      <w:szCs w:val="24"/>
      <w:lang w:val="en-US" w:eastAsia="zh-CN" w:bidi="ar-SA"/>
    </w:rPr>
  </w:style>
  <w:style w:type="character" w:customStyle="1" w:styleId="1CharChar2">
    <w:name w:val="1报告正文 Char Char"/>
    <w:link w:val="1f9"/>
    <w:qFormat/>
    <w:rPr>
      <w:color w:val="000000"/>
      <w:kern w:val="2"/>
      <w:sz w:val="24"/>
      <w:szCs w:val="21"/>
    </w:rPr>
  </w:style>
  <w:style w:type="paragraph" w:customStyle="1" w:styleId="1f9">
    <w:name w:val="1报告正文"/>
    <w:basedOn w:val="a6"/>
    <w:link w:val="1CharChar2"/>
    <w:qFormat/>
    <w:pPr>
      <w:adjustRightInd w:val="0"/>
      <w:snapToGrid w:val="0"/>
      <w:spacing w:line="440" w:lineRule="exact"/>
      <w:ind w:firstLine="480"/>
    </w:pPr>
    <w:rPr>
      <w:color w:val="000000"/>
      <w:sz w:val="24"/>
      <w:szCs w:val="21"/>
    </w:rPr>
  </w:style>
  <w:style w:type="character" w:customStyle="1" w:styleId="affffff0">
    <w:name w:val="下标"/>
    <w:qFormat/>
    <w:rPr>
      <w:sz w:val="24"/>
      <w:vertAlign w:val="subscript"/>
    </w:rPr>
  </w:style>
  <w:style w:type="character" w:customStyle="1" w:styleId="4CharChar0">
    <w:name w:val="样式4 Char Char"/>
    <w:qFormat/>
    <w:rPr>
      <w:rFonts w:ascii="黑体" w:eastAsia="黑体"/>
      <w:kern w:val="2"/>
      <w:sz w:val="24"/>
    </w:rPr>
  </w:style>
  <w:style w:type="character" w:customStyle="1" w:styleId="Charfff7">
    <w:name w:val="文章正文 Char"/>
    <w:link w:val="affffff1"/>
    <w:qFormat/>
    <w:rPr>
      <w:kern w:val="2"/>
      <w:sz w:val="24"/>
      <w:szCs w:val="24"/>
    </w:rPr>
  </w:style>
  <w:style w:type="paragraph" w:customStyle="1" w:styleId="affffff1">
    <w:name w:val="文章正文"/>
    <w:basedOn w:val="a6"/>
    <w:link w:val="Charfff7"/>
    <w:qFormat/>
    <w:pPr>
      <w:spacing w:line="360" w:lineRule="auto"/>
      <w:ind w:firstLineChars="200" w:firstLine="480"/>
    </w:pPr>
    <w:rPr>
      <w:sz w:val="24"/>
    </w:rPr>
  </w:style>
  <w:style w:type="character" w:customStyle="1" w:styleId="Charfff8">
    <w:name w:val="标题四 Char"/>
    <w:link w:val="affffff2"/>
    <w:qFormat/>
    <w:rPr>
      <w:rFonts w:ascii="楷体_GB2312" w:eastAsia="楷体_GB2312"/>
      <w:b/>
      <w:sz w:val="24"/>
      <w:szCs w:val="24"/>
    </w:rPr>
  </w:style>
  <w:style w:type="paragraph" w:customStyle="1" w:styleId="affffff2">
    <w:name w:val="标题四"/>
    <w:basedOn w:val="affff4"/>
    <w:link w:val="Charfff8"/>
    <w:qFormat/>
    <w:pPr>
      <w:ind w:firstLineChars="0" w:firstLine="0"/>
    </w:pPr>
    <w:rPr>
      <w:rFonts w:hAnsi="Times New Roman"/>
      <w:b/>
      <w:color w:val="auto"/>
      <w:w w:val="100"/>
    </w:rPr>
  </w:style>
  <w:style w:type="character" w:customStyle="1" w:styleId="EmailStyle4881">
    <w:name w:val="EmailStyle4881"/>
    <w:qFormat/>
    <w:rPr>
      <w:rFonts w:ascii="Arial" w:eastAsia="宋体" w:hAnsi="Arial" w:cs="Arial"/>
      <w:color w:val="auto"/>
      <w:sz w:val="20"/>
    </w:rPr>
  </w:style>
  <w:style w:type="character" w:customStyle="1" w:styleId="FontStyle347">
    <w:name w:val="Font Style347"/>
    <w:qFormat/>
    <w:rPr>
      <w:rFonts w:ascii="Times New Roman" w:hAnsi="Times New Roman" w:cs="Times New Roman"/>
      <w:sz w:val="14"/>
      <w:szCs w:val="14"/>
    </w:rPr>
  </w:style>
  <w:style w:type="character" w:customStyle="1" w:styleId="CharCharCharChar3">
    <w:name w:val="正文小四 Char Char Char Char"/>
    <w:qFormat/>
    <w:rPr>
      <w:rFonts w:ascii="宋体" w:eastAsia="宋体" w:hAnsi="宋体"/>
      <w:kern w:val="2"/>
      <w:sz w:val="24"/>
      <w:szCs w:val="24"/>
      <w:lang w:val="en-US" w:eastAsia="zh-CN" w:bidi="ar-SA"/>
    </w:rPr>
  </w:style>
  <w:style w:type="character" w:customStyle="1" w:styleId="11Char">
    <w:name w:val="1.1二级标题 Char"/>
    <w:link w:val="112"/>
    <w:qFormat/>
    <w:rPr>
      <w:rFonts w:eastAsia="黑体"/>
      <w:b/>
      <w:kern w:val="2"/>
      <w:sz w:val="30"/>
    </w:rPr>
  </w:style>
  <w:style w:type="paragraph" w:customStyle="1" w:styleId="112">
    <w:name w:val="1.1二级标题"/>
    <w:basedOn w:val="a6"/>
    <w:link w:val="11Char"/>
    <w:qFormat/>
    <w:pPr>
      <w:spacing w:beforeLines="50" w:line="360" w:lineRule="auto"/>
      <w:outlineLvl w:val="1"/>
    </w:pPr>
    <w:rPr>
      <w:rFonts w:eastAsia="黑体"/>
      <w:b/>
      <w:sz w:val="30"/>
      <w:szCs w:val="20"/>
    </w:rPr>
  </w:style>
  <w:style w:type="character" w:customStyle="1" w:styleId="Charfff9">
    <w:name w:val="正文 + 宋体 Char"/>
    <w:qFormat/>
    <w:rPr>
      <w:rFonts w:ascii="宋体" w:eastAsia="宋体" w:hAnsi="宋体" w:cs="宋体"/>
      <w:sz w:val="24"/>
      <w:szCs w:val="24"/>
      <w:lang w:val="en-US" w:eastAsia="zh-CN" w:bidi="ar-SA"/>
    </w:rPr>
  </w:style>
  <w:style w:type="character" w:customStyle="1" w:styleId="5CharCharChar">
    <w:name w:val="样式 表内小5 + 黑体 加粗 倾斜 下划线 Char Char Char"/>
    <w:qFormat/>
    <w:rPr>
      <w:rFonts w:ascii="黑体" w:eastAsia="黑体" w:hAnsi="黑体"/>
      <w:b/>
      <w:bCs/>
      <w:i/>
      <w:iCs/>
      <w:kern w:val="2"/>
      <w:sz w:val="21"/>
      <w:szCs w:val="21"/>
      <w:u w:val="single"/>
      <w:lang w:val="en-US" w:eastAsia="zh-CN" w:bidi="ar-SA"/>
    </w:rPr>
  </w:style>
  <w:style w:type="character" w:customStyle="1" w:styleId="4Char1">
    <w:name w:val="可研报告标题4 Char"/>
    <w:link w:val="4d"/>
    <w:qFormat/>
    <w:rPr>
      <w:rFonts w:ascii="黑体" w:eastAsia="黑体"/>
      <w:b/>
      <w:kern w:val="2"/>
      <w:sz w:val="28"/>
    </w:rPr>
  </w:style>
  <w:style w:type="paragraph" w:customStyle="1" w:styleId="4d">
    <w:name w:val="可研报告标题4"/>
    <w:basedOn w:val="a6"/>
    <w:next w:val="a6"/>
    <w:link w:val="4Char1"/>
    <w:qFormat/>
    <w:pPr>
      <w:spacing w:line="360" w:lineRule="auto"/>
    </w:pPr>
    <w:rPr>
      <w:rFonts w:ascii="黑体" w:eastAsia="黑体"/>
      <w:b/>
      <w:sz w:val="28"/>
      <w:szCs w:val="20"/>
    </w:rPr>
  </w:style>
  <w:style w:type="character" w:customStyle="1" w:styleId="bb">
    <w:name w:val="bb"/>
    <w:qFormat/>
  </w:style>
  <w:style w:type="character" w:customStyle="1" w:styleId="CharCharCharCharCharCharCharCharChar0">
    <w:name w:val="普通文字 Char Char Char Char Char Char Char Char Char"/>
    <w:qFormat/>
    <w:rPr>
      <w:rFonts w:ascii="宋体" w:eastAsia="宋体" w:hAnsi="宋体" w:cs="宋体"/>
      <w:spacing w:val="15"/>
      <w:sz w:val="18"/>
      <w:szCs w:val="18"/>
      <w:lang w:val="en-US" w:eastAsia="zh-CN" w:bidi="ar-SA"/>
    </w:rPr>
  </w:style>
  <w:style w:type="character" w:customStyle="1" w:styleId="CharChare">
    <w:name w:val="表格内容 Char Char"/>
    <w:qFormat/>
    <w:rPr>
      <w:rFonts w:ascii="宋体" w:eastAsia="宋体" w:hAnsi="Courier New" w:cs="Courier New"/>
      <w:kern w:val="2"/>
      <w:sz w:val="21"/>
      <w:szCs w:val="21"/>
      <w:lang w:val="en-US" w:eastAsia="zh-CN" w:bidi="ar-SA"/>
    </w:rPr>
  </w:style>
  <w:style w:type="character" w:customStyle="1" w:styleId="112CharChar">
    <w:name w:val="1.1标题2 Char Char"/>
    <w:qFormat/>
    <w:rPr>
      <w:rFonts w:ascii="Arial" w:eastAsia="黑体" w:hAnsi="Arial"/>
      <w:b/>
      <w:kern w:val="2"/>
      <w:sz w:val="32"/>
      <w:lang w:val="en-US" w:eastAsia="zh-CN"/>
    </w:rPr>
  </w:style>
  <w:style w:type="character" w:customStyle="1" w:styleId="4CharCharChar">
    <w:name w:val="样式4 Char Char Char"/>
    <w:qFormat/>
    <w:rPr>
      <w:rFonts w:ascii="Times New Roman" w:eastAsia="黑体" w:hAnsi="Arial" w:cs="Times New Roman"/>
      <w:b/>
      <w:kern w:val="24"/>
      <w:sz w:val="24"/>
      <w:szCs w:val="24"/>
    </w:rPr>
  </w:style>
  <w:style w:type="character" w:customStyle="1" w:styleId="11Char0">
    <w:name w:val="样式 1.1二级标题 Char"/>
    <w:link w:val="113"/>
    <w:qFormat/>
    <w:rPr>
      <w:rFonts w:ascii="宋体" w:hAnsi="宋体"/>
      <w:b/>
      <w:kern w:val="2"/>
      <w:sz w:val="30"/>
      <w:szCs w:val="30"/>
      <w:lang w:val="zh-CN"/>
    </w:rPr>
  </w:style>
  <w:style w:type="paragraph" w:customStyle="1" w:styleId="113">
    <w:name w:val="样式 1.1二级标题"/>
    <w:basedOn w:val="112"/>
    <w:link w:val="11Char0"/>
    <w:qFormat/>
    <w:pPr>
      <w:spacing w:beforeLines="0"/>
    </w:pPr>
    <w:rPr>
      <w:rFonts w:ascii="宋体" w:eastAsia="宋体" w:hAnsi="宋体"/>
      <w:szCs w:val="30"/>
      <w:lang w:val="zh-CN"/>
    </w:rPr>
  </w:style>
  <w:style w:type="character" w:customStyle="1" w:styleId="hei21">
    <w:name w:val="hei21"/>
    <w:qFormat/>
    <w:rPr>
      <w:color w:val="000000"/>
      <w:sz w:val="18"/>
      <w:szCs w:val="18"/>
    </w:rPr>
  </w:style>
  <w:style w:type="character" w:customStyle="1" w:styleId="CharCharChar7">
    <w:name w:val="报告书正文 Char Char Char"/>
    <w:qFormat/>
    <w:rPr>
      <w:rFonts w:eastAsia="宋体"/>
      <w:kern w:val="2"/>
      <w:sz w:val="24"/>
      <w:szCs w:val="24"/>
      <w:lang w:val="en-US" w:eastAsia="zh-CN" w:bidi="ar-SA"/>
    </w:rPr>
  </w:style>
  <w:style w:type="character" w:customStyle="1" w:styleId="CharChar15">
    <w:name w:val="Char Char15"/>
    <w:qFormat/>
    <w:rPr>
      <w:rFonts w:eastAsia="宋体"/>
      <w:color w:val="000000"/>
      <w:kern w:val="2"/>
      <w:sz w:val="24"/>
      <w:szCs w:val="24"/>
      <w:lang w:val="en-US" w:eastAsia="zh-CN" w:bidi="ar-SA"/>
    </w:rPr>
  </w:style>
  <w:style w:type="character" w:customStyle="1" w:styleId="ca-31">
    <w:name w:val="ca-31"/>
    <w:qFormat/>
    <w:rPr>
      <w:rFonts w:ascii="宋体" w:eastAsia="宋体" w:hAnsi="宋体" w:hint="eastAsia"/>
      <w:color w:val="FF0000"/>
      <w:sz w:val="14"/>
      <w:szCs w:val="14"/>
    </w:rPr>
  </w:style>
  <w:style w:type="character" w:customStyle="1" w:styleId="HTML10">
    <w:name w:val="HTML 样本1"/>
    <w:qFormat/>
    <w:rPr>
      <w:rFonts w:ascii="Courier New" w:eastAsia="宋体" w:hAnsi="Courier New" w:cs="Courier New"/>
      <w:kern w:val="2"/>
      <w:sz w:val="32"/>
      <w:szCs w:val="32"/>
      <w:lang w:val="en-US" w:eastAsia="zh-CN"/>
    </w:rPr>
  </w:style>
  <w:style w:type="character" w:customStyle="1" w:styleId="Charfffa">
    <w:name w:val="环保专篇 Char"/>
    <w:qFormat/>
    <w:rPr>
      <w:rFonts w:eastAsia="宋体"/>
      <w:kern w:val="2"/>
      <w:sz w:val="24"/>
      <w:szCs w:val="24"/>
      <w:lang w:val="en-US" w:eastAsia="zh-CN" w:bidi="ar-SA"/>
    </w:rPr>
  </w:style>
  <w:style w:type="character" w:customStyle="1" w:styleId="newsbt2">
    <w:name w:val="newsbt2"/>
    <w:qFormat/>
  </w:style>
  <w:style w:type="character" w:customStyle="1" w:styleId="111CharChar">
    <w:name w:val="样式1.1.1三级标题 Char Char"/>
    <w:qFormat/>
    <w:rPr>
      <w:rFonts w:ascii="宋体" w:eastAsia="宋体" w:hAnsi="宋体"/>
      <w:b/>
      <w:sz w:val="28"/>
      <w:lang w:val="en-US" w:eastAsia="zh-CN" w:bidi="ar-SA"/>
    </w:rPr>
  </w:style>
  <w:style w:type="character" w:customStyle="1" w:styleId="Char1d">
    <w:name w:val="正文格式－文字 Char1"/>
    <w:link w:val="affffff3"/>
    <w:qFormat/>
    <w:rPr>
      <w:rFonts w:ascii="宋体" w:hAnsi="宋体"/>
      <w:bCs/>
      <w:kern w:val="2"/>
      <w:sz w:val="24"/>
      <w:szCs w:val="24"/>
    </w:rPr>
  </w:style>
  <w:style w:type="paragraph" w:customStyle="1" w:styleId="affffff3">
    <w:name w:val="正文格式－文字"/>
    <w:basedOn w:val="a6"/>
    <w:link w:val="Char1d"/>
    <w:qFormat/>
    <w:pPr>
      <w:autoSpaceDE w:val="0"/>
      <w:autoSpaceDN w:val="0"/>
      <w:spacing w:beforeLines="50" w:afterLines="50" w:line="300" w:lineRule="auto"/>
      <w:ind w:firstLine="482"/>
    </w:pPr>
    <w:rPr>
      <w:rFonts w:ascii="宋体" w:hAnsi="宋体"/>
      <w:bCs/>
      <w:sz w:val="24"/>
    </w:rPr>
  </w:style>
  <w:style w:type="character" w:customStyle="1" w:styleId="Char1e">
    <w:name w:val="结束语 Char1"/>
    <w:uiPriority w:val="99"/>
    <w:qFormat/>
    <w:rPr>
      <w:kern w:val="2"/>
      <w:sz w:val="21"/>
      <w:szCs w:val="24"/>
    </w:rPr>
  </w:style>
  <w:style w:type="character" w:customStyle="1" w:styleId="CharCharf">
    <w:name w:val="紧缩文字 Char Char"/>
    <w:qFormat/>
    <w:rPr>
      <w:rFonts w:ascii="仿宋_GB2312" w:eastAsia="仿宋_GB2312" w:hAnsi="宋体"/>
      <w:color w:val="3366FF"/>
      <w:kern w:val="2"/>
      <w:sz w:val="24"/>
      <w:szCs w:val="24"/>
      <w:lang w:val="en-US" w:eastAsia="zh-CN" w:bidi="ar-SA"/>
    </w:rPr>
  </w:style>
  <w:style w:type="character" w:customStyle="1" w:styleId="01CharChar">
    <w:name w:val="01 Char Char"/>
    <w:link w:val="01"/>
    <w:qFormat/>
    <w:rPr>
      <w:kern w:val="2"/>
      <w:sz w:val="24"/>
    </w:rPr>
  </w:style>
  <w:style w:type="paragraph" w:customStyle="1" w:styleId="01">
    <w:name w:val="01"/>
    <w:basedOn w:val="a6"/>
    <w:link w:val="01CharChar"/>
    <w:qFormat/>
    <w:pPr>
      <w:spacing w:line="360" w:lineRule="auto"/>
      <w:ind w:firstLineChars="200" w:firstLine="480"/>
    </w:pPr>
    <w:rPr>
      <w:sz w:val="24"/>
      <w:szCs w:val="20"/>
    </w:rPr>
  </w:style>
  <w:style w:type="character" w:customStyle="1" w:styleId="6Char0">
    <w:name w:val="样式 标题 6 Char"/>
    <w:link w:val="64"/>
    <w:qFormat/>
    <w:rPr>
      <w:snapToGrid/>
      <w:color w:val="000000"/>
      <w:sz w:val="28"/>
    </w:rPr>
  </w:style>
  <w:style w:type="paragraph" w:customStyle="1" w:styleId="64">
    <w:name w:val="样式 标题 6"/>
    <w:basedOn w:val="6"/>
    <w:link w:val="6Char0"/>
    <w:qFormat/>
    <w:pPr>
      <w:keepLines w:val="0"/>
      <w:tabs>
        <w:tab w:val="clear" w:pos="1185"/>
      </w:tabs>
      <w:adjustRightInd w:val="0"/>
      <w:spacing w:beforeLines="0" w:before="0" w:line="360" w:lineRule="auto"/>
      <w:ind w:left="0" w:firstLineChars="200" w:firstLine="560"/>
    </w:pPr>
    <w:rPr>
      <w:snapToGrid w:val="0"/>
      <w:color w:val="000000"/>
      <w:spacing w:val="0"/>
      <w:w w:val="100"/>
      <w:kern w:val="0"/>
    </w:rPr>
  </w:style>
  <w:style w:type="character" w:customStyle="1" w:styleId="Charfffb">
    <w:name w:val="正文（ＬＺＱ） Char"/>
    <w:link w:val="affffff4"/>
    <w:qFormat/>
    <w:rPr>
      <w:color w:val="FF0000"/>
      <w:sz w:val="24"/>
      <w:szCs w:val="24"/>
    </w:rPr>
  </w:style>
  <w:style w:type="paragraph" w:customStyle="1" w:styleId="affffff4">
    <w:name w:val="正文（ＬＺＱ）"/>
    <w:basedOn w:val="a6"/>
    <w:link w:val="Charfffb"/>
    <w:qFormat/>
    <w:pPr>
      <w:adjustRightInd w:val="0"/>
      <w:spacing w:line="500" w:lineRule="exact"/>
      <w:ind w:firstLineChars="200" w:firstLine="200"/>
      <w:jc w:val="left"/>
      <w:textAlignment w:val="baseline"/>
    </w:pPr>
    <w:rPr>
      <w:color w:val="FF0000"/>
      <w:kern w:val="0"/>
      <w:sz w:val="24"/>
    </w:rPr>
  </w:style>
  <w:style w:type="character" w:customStyle="1" w:styleId="Charfffc">
    <w:name w:val="表头(新) Char"/>
    <w:link w:val="affffff5"/>
    <w:qFormat/>
    <w:rPr>
      <w:b/>
      <w:color w:val="FF0000"/>
      <w:sz w:val="24"/>
      <w:szCs w:val="24"/>
    </w:rPr>
  </w:style>
  <w:style w:type="paragraph" w:customStyle="1" w:styleId="affffff5">
    <w:name w:val="表头(新)"/>
    <w:basedOn w:val="a6"/>
    <w:link w:val="Charfffc"/>
    <w:qFormat/>
    <w:pPr>
      <w:spacing w:beforeLines="50" w:line="240" w:lineRule="atLeast"/>
      <w:ind w:firstLine="480"/>
      <w:jc w:val="center"/>
    </w:pPr>
    <w:rPr>
      <w:b/>
      <w:color w:val="FF0000"/>
      <w:kern w:val="0"/>
      <w:sz w:val="24"/>
    </w:rPr>
  </w:style>
  <w:style w:type="character" w:customStyle="1" w:styleId="123Char">
    <w:name w:val="表头123 Char"/>
    <w:link w:val="123"/>
    <w:qFormat/>
    <w:rPr>
      <w:b/>
      <w:kern w:val="2"/>
      <w:sz w:val="24"/>
      <w:lang w:val="en-US" w:eastAsia="zh-CN" w:bidi="ar-SA"/>
    </w:rPr>
  </w:style>
  <w:style w:type="paragraph" w:customStyle="1" w:styleId="123">
    <w:name w:val="表头123"/>
    <w:link w:val="123Char"/>
    <w:qFormat/>
    <w:pPr>
      <w:jc w:val="center"/>
    </w:pPr>
    <w:rPr>
      <w:b/>
      <w:kern w:val="2"/>
      <w:sz w:val="24"/>
    </w:rPr>
  </w:style>
  <w:style w:type="character" w:customStyle="1" w:styleId="2Char9">
    <w:name w:val="样式 标题 2 + 黑色 Char"/>
    <w:link w:val="2fe"/>
    <w:qFormat/>
    <w:rPr>
      <w:rFonts w:ascii="黑体" w:eastAsia="黑体" w:hAnsi="Arial"/>
      <w:b/>
      <w:bCs/>
      <w:color w:val="000000"/>
      <w:w w:val="110"/>
      <w:kern w:val="18"/>
      <w:sz w:val="30"/>
      <w:szCs w:val="30"/>
    </w:rPr>
  </w:style>
  <w:style w:type="paragraph" w:customStyle="1" w:styleId="2fe">
    <w:name w:val="样式 标题 2 + 黑色"/>
    <w:basedOn w:val="210"/>
    <w:next w:val="2b"/>
    <w:link w:val="2Char9"/>
    <w:qFormat/>
    <w:pPr>
      <w:snapToGrid w:val="0"/>
      <w:spacing w:before="0" w:after="0" w:line="360" w:lineRule="auto"/>
    </w:pPr>
    <w:rPr>
      <w:rFonts w:ascii="黑体"/>
      <w:kern w:val="18"/>
      <w:sz w:val="30"/>
      <w:szCs w:val="30"/>
    </w:rPr>
  </w:style>
  <w:style w:type="character" w:customStyle="1" w:styleId="affffff6">
    <w:name w:val="Подзаголовок главы Знак"/>
    <w:link w:val="affffff7"/>
    <w:qFormat/>
    <w:rPr>
      <w:rFonts w:ascii="Arial Narrow" w:hAnsi="Arial Narrow"/>
      <w:b/>
      <w:sz w:val="24"/>
      <w:lang w:eastAsia="ru-RU"/>
    </w:rPr>
  </w:style>
  <w:style w:type="paragraph" w:customStyle="1" w:styleId="affffff7">
    <w:name w:val="Подзаголовок главы"/>
    <w:basedOn w:val="a6"/>
    <w:link w:val="affffff6"/>
    <w:qFormat/>
    <w:pPr>
      <w:widowControl/>
      <w:ind w:firstLine="720"/>
    </w:pPr>
    <w:rPr>
      <w:rFonts w:ascii="Arial Narrow" w:hAnsi="Arial Narrow"/>
      <w:b/>
      <w:kern w:val="0"/>
      <w:sz w:val="24"/>
      <w:szCs w:val="20"/>
      <w:lang w:eastAsia="ru-RU"/>
    </w:rPr>
  </w:style>
  <w:style w:type="character" w:customStyle="1" w:styleId="Charfffd">
    <w:name w:val="报告 Char"/>
    <w:qFormat/>
    <w:rPr>
      <w:rFonts w:hAnsi="宋体"/>
      <w:kern w:val="24"/>
      <w:sz w:val="24"/>
    </w:rPr>
  </w:style>
  <w:style w:type="character" w:customStyle="1" w:styleId="11111Char">
    <w:name w:val="11111 Char"/>
    <w:link w:val="11111"/>
    <w:qFormat/>
    <w:rPr>
      <w:rFonts w:ascii="宋体" w:hAnsi="宋体"/>
      <w:kern w:val="2"/>
      <w:sz w:val="24"/>
      <w:szCs w:val="24"/>
    </w:rPr>
  </w:style>
  <w:style w:type="paragraph" w:customStyle="1" w:styleId="11111">
    <w:name w:val="11111"/>
    <w:basedOn w:val="39"/>
    <w:link w:val="11111Char"/>
    <w:qFormat/>
    <w:pPr>
      <w:adjustRightInd/>
      <w:snapToGrid/>
      <w:spacing w:line="500" w:lineRule="exact"/>
      <w:ind w:firstLineChars="0" w:firstLine="0"/>
    </w:pPr>
    <w:rPr>
      <w:rFonts w:hAnsi="宋体"/>
      <w:color w:val="auto"/>
      <w:sz w:val="24"/>
    </w:rPr>
  </w:style>
  <w:style w:type="character" w:customStyle="1" w:styleId="zw1">
    <w:name w:val="zw1"/>
    <w:qFormat/>
    <w:rPr>
      <w:rFonts w:ascii="宋体" w:eastAsia="宋体" w:hAnsi="宋体" w:hint="eastAsia"/>
      <w:sz w:val="22"/>
      <w:szCs w:val="22"/>
    </w:rPr>
  </w:style>
  <w:style w:type="character" w:customStyle="1" w:styleId="trans">
    <w:name w:val="trans"/>
    <w:qFormat/>
  </w:style>
  <w:style w:type="character" w:customStyle="1" w:styleId="EmailStyle38131">
    <w:name w:val="EmailStyle38131"/>
    <w:semiHidden/>
    <w:qFormat/>
    <w:rPr>
      <w:rFonts w:ascii="Arial" w:hAnsi="Arial" w:cs="Arial"/>
      <w:color w:val="auto"/>
      <w:sz w:val="22"/>
      <w:szCs w:val="22"/>
      <w:u w:val="none"/>
    </w:rPr>
  </w:style>
  <w:style w:type="character" w:customStyle="1" w:styleId="dandan6-13CharChar">
    <w:name w:val="样式 dandan6-13四级以下 + Char Char"/>
    <w:qFormat/>
    <w:rPr>
      <w:rFonts w:eastAsia="仿宋_GB2312"/>
      <w:b/>
      <w:bCs/>
      <w:sz w:val="24"/>
      <w:szCs w:val="24"/>
    </w:rPr>
  </w:style>
  <w:style w:type="character" w:customStyle="1" w:styleId="CharCharCharChar5">
    <w:name w:val="表底说明 Char Char Char Char"/>
    <w:qFormat/>
    <w:rPr>
      <w:sz w:val="18"/>
      <w:szCs w:val="24"/>
    </w:rPr>
  </w:style>
  <w:style w:type="character" w:customStyle="1" w:styleId="style121">
    <w:name w:val="style121"/>
    <w:qFormat/>
    <w:rPr>
      <w:sz w:val="14"/>
      <w:szCs w:val="14"/>
      <w:u w:val="none"/>
      <w:vertAlign w:val="superscript"/>
    </w:rPr>
  </w:style>
  <w:style w:type="character" w:customStyle="1" w:styleId="Charfffe">
    <w:name w:val="短简表 Char"/>
    <w:link w:val="a5"/>
    <w:qFormat/>
    <w:rPr>
      <w:kern w:val="2"/>
      <w:sz w:val="24"/>
      <w:szCs w:val="24"/>
    </w:rPr>
  </w:style>
  <w:style w:type="paragraph" w:customStyle="1" w:styleId="a5">
    <w:name w:val="短简表"/>
    <w:basedOn w:val="a6"/>
    <w:link w:val="Charfffe"/>
    <w:qFormat/>
    <w:pPr>
      <w:numPr>
        <w:numId w:val="7"/>
      </w:numPr>
      <w:tabs>
        <w:tab w:val="clear" w:pos="525"/>
      </w:tabs>
      <w:adjustRightInd w:val="0"/>
      <w:snapToGrid w:val="0"/>
      <w:spacing w:before="120" w:after="120"/>
      <w:ind w:leftChars="245" w:left="1068" w:hangingChars="200" w:hanging="480"/>
    </w:pPr>
    <w:rPr>
      <w:sz w:val="24"/>
    </w:rPr>
  </w:style>
  <w:style w:type="character" w:customStyle="1" w:styleId="CharCharf0">
    <w:name w:val="文字 Char Char"/>
    <w:qFormat/>
    <w:rPr>
      <w:rFonts w:ascii="宋体" w:hAnsi="宋体"/>
      <w:sz w:val="28"/>
      <w:szCs w:val="28"/>
    </w:rPr>
  </w:style>
  <w:style w:type="character" w:customStyle="1" w:styleId="CharCharCharChar20">
    <w:name w:val="题注 Char Char Char Char2"/>
    <w:qFormat/>
    <w:rPr>
      <w:rFonts w:ascii="Arial" w:eastAsia="黑体" w:hAnsi="Arial" w:cs="Arial"/>
      <w:kern w:val="2"/>
      <w:lang w:val="en-US" w:eastAsia="zh-CN" w:bidi="ar-SA"/>
    </w:rPr>
  </w:style>
  <w:style w:type="character" w:customStyle="1" w:styleId="4CharChar1">
    <w:name w:val="4 Char Char"/>
    <w:link w:val="4e"/>
    <w:qFormat/>
    <w:rPr>
      <w:rFonts w:eastAsia="方正仿宋简体"/>
      <w:w w:val="80"/>
      <w:szCs w:val="24"/>
    </w:rPr>
  </w:style>
  <w:style w:type="paragraph" w:customStyle="1" w:styleId="4e">
    <w:name w:val="4"/>
    <w:basedOn w:val="a6"/>
    <w:next w:val="af8"/>
    <w:link w:val="4CharChar1"/>
    <w:qFormat/>
    <w:pPr>
      <w:spacing w:line="240" w:lineRule="exact"/>
      <w:jc w:val="center"/>
    </w:pPr>
    <w:rPr>
      <w:rFonts w:eastAsia="方正仿宋简体"/>
      <w:w w:val="80"/>
      <w:kern w:val="0"/>
      <w:sz w:val="20"/>
    </w:rPr>
  </w:style>
  <w:style w:type="character" w:customStyle="1" w:styleId="content1">
    <w:name w:val="content1"/>
    <w:qFormat/>
    <w:rPr>
      <w:sz w:val="21"/>
      <w:szCs w:val="21"/>
    </w:rPr>
  </w:style>
  <w:style w:type="character" w:customStyle="1" w:styleId="CharCharChar21">
    <w:name w:val="Char Char Char2"/>
    <w:qFormat/>
    <w:rPr>
      <w:rFonts w:ascii="宋体" w:eastAsia="宋体" w:hAnsi="宋体"/>
      <w:b/>
      <w:bCs/>
      <w:kern w:val="44"/>
      <w:sz w:val="30"/>
      <w:szCs w:val="44"/>
      <w:lang w:val="en-US" w:eastAsia="zh-CN" w:bidi="ar-SA"/>
    </w:rPr>
  </w:style>
  <w:style w:type="character" w:customStyle="1" w:styleId="5CharChar">
    <w:name w:val="5级正文 Char Char"/>
    <w:link w:val="5a"/>
    <w:qFormat/>
    <w:rPr>
      <w:rFonts w:ascii="宋体"/>
      <w:b/>
      <w:kern w:val="2"/>
      <w:sz w:val="24"/>
    </w:rPr>
  </w:style>
  <w:style w:type="paragraph" w:customStyle="1" w:styleId="5a">
    <w:name w:val="5级正文"/>
    <w:basedOn w:val="a6"/>
    <w:link w:val="5CharChar"/>
    <w:qFormat/>
    <w:pPr>
      <w:tabs>
        <w:tab w:val="left" w:pos="420"/>
      </w:tabs>
      <w:spacing w:line="360" w:lineRule="auto"/>
      <w:ind w:firstLineChars="200" w:firstLine="200"/>
      <w:outlineLvl w:val="4"/>
    </w:pPr>
    <w:rPr>
      <w:rFonts w:ascii="宋体"/>
      <w:b/>
      <w:sz w:val="24"/>
      <w:szCs w:val="20"/>
    </w:rPr>
  </w:style>
  <w:style w:type="character" w:customStyle="1" w:styleId="2CharCharCharChar">
    <w:name w:val="样式 正文首行缩进 2 + (符号) 宋体 Char Char Char Char"/>
    <w:qFormat/>
    <w:rPr>
      <w:rFonts w:ascii="宋体"/>
      <w:sz w:val="24"/>
      <w:szCs w:val="24"/>
    </w:rPr>
  </w:style>
  <w:style w:type="character" w:customStyle="1" w:styleId="1CharChar4">
    <w:name w:val="分目录1 Char Char"/>
    <w:qFormat/>
    <w:rPr>
      <w:snapToGrid w:val="0"/>
      <w:sz w:val="28"/>
    </w:rPr>
  </w:style>
  <w:style w:type="character" w:customStyle="1" w:styleId="Char1f">
    <w:name w:val="日期 Char1"/>
    <w:qFormat/>
    <w:rPr>
      <w:rFonts w:ascii="Times New Roman" w:eastAsia="宋体" w:hAnsi="Times New Roman" w:cs="Times New Roman"/>
      <w:szCs w:val="20"/>
    </w:rPr>
  </w:style>
  <w:style w:type="character" w:customStyle="1" w:styleId="CharCharf1">
    <w:name w:val="环评 正文 Char Char"/>
    <w:link w:val="affffff8"/>
    <w:qFormat/>
    <w:rPr>
      <w:rFonts w:ascii="宋体" w:hAnsi="宋体"/>
      <w:bCs/>
      <w:kern w:val="2"/>
      <w:sz w:val="24"/>
      <w:szCs w:val="24"/>
      <w:lang w:val="zh-CN"/>
    </w:rPr>
  </w:style>
  <w:style w:type="paragraph" w:customStyle="1" w:styleId="affffff8">
    <w:name w:val="环评 正文"/>
    <w:basedOn w:val="28"/>
    <w:link w:val="CharCharf1"/>
    <w:qFormat/>
    <w:pPr>
      <w:spacing w:beforeLines="0" w:before="0" w:after="0" w:line="360" w:lineRule="auto"/>
      <w:ind w:firstLine="480"/>
    </w:pPr>
    <w:rPr>
      <w:rFonts w:ascii="宋体" w:eastAsia="宋体" w:hAnsi="宋体"/>
      <w:bCs/>
      <w:sz w:val="24"/>
      <w:lang w:val="zh-CN"/>
    </w:rPr>
  </w:style>
  <w:style w:type="character" w:customStyle="1" w:styleId="Charffff">
    <w:name w:val="第三级标题 Char"/>
    <w:link w:val="affffff9"/>
    <w:qFormat/>
    <w:rPr>
      <w:kern w:val="2"/>
      <w:sz w:val="24"/>
      <w:szCs w:val="24"/>
    </w:rPr>
  </w:style>
  <w:style w:type="paragraph" w:customStyle="1" w:styleId="affffff9">
    <w:name w:val="第三级标题"/>
    <w:basedOn w:val="a6"/>
    <w:next w:val="26"/>
    <w:link w:val="Charffff"/>
    <w:qFormat/>
    <w:pPr>
      <w:widowControl/>
      <w:spacing w:line="360" w:lineRule="auto"/>
      <w:ind w:left="709" w:hanging="709"/>
      <w:jc w:val="left"/>
      <w:outlineLvl w:val="2"/>
    </w:pPr>
    <w:rPr>
      <w:sz w:val="24"/>
    </w:rPr>
  </w:style>
  <w:style w:type="character" w:customStyle="1" w:styleId="bjh-strong">
    <w:name w:val="bjh-strong"/>
    <w:qFormat/>
  </w:style>
  <w:style w:type="character" w:customStyle="1" w:styleId="7CharChar">
    <w:name w:val="标题7 Char Char"/>
    <w:link w:val="74"/>
    <w:qFormat/>
    <w:rPr>
      <w:rFonts w:ascii="宋体" w:eastAsia="黑体"/>
      <w:kern w:val="2"/>
      <w:sz w:val="24"/>
      <w:szCs w:val="24"/>
    </w:rPr>
  </w:style>
  <w:style w:type="paragraph" w:customStyle="1" w:styleId="74">
    <w:name w:val="标题7"/>
    <w:basedOn w:val="7"/>
    <w:next w:val="a6"/>
    <w:link w:val="7CharChar"/>
    <w:qFormat/>
    <w:pPr>
      <w:framePr w:hSpace="0" w:wrap="auto" w:vAnchor="margin" w:hAnchor="text" w:xAlign="left" w:yAlign="inline"/>
      <w:tabs>
        <w:tab w:val="left" w:pos="1560"/>
      </w:tabs>
      <w:adjustRightInd w:val="0"/>
      <w:snapToGrid w:val="0"/>
      <w:spacing w:line="360" w:lineRule="auto"/>
      <w:ind w:left="1560" w:hanging="5066"/>
    </w:pPr>
    <w:rPr>
      <w:rFonts w:ascii="宋体" w:eastAsia="黑体"/>
      <w:i w:val="0"/>
      <w:iCs w:val="0"/>
      <w:sz w:val="24"/>
    </w:rPr>
  </w:style>
  <w:style w:type="character" w:customStyle="1" w:styleId="CharCharf2">
    <w:name w:val="表名 Char Char"/>
    <w:link w:val="affffffa"/>
    <w:qFormat/>
    <w:rPr>
      <w:rFonts w:ascii="宋体" w:hAnsi="宋体" w:cs="Arial Unicode MS"/>
      <w:kern w:val="2"/>
      <w:sz w:val="21"/>
      <w:szCs w:val="21"/>
    </w:rPr>
  </w:style>
  <w:style w:type="paragraph" w:customStyle="1" w:styleId="affffffa">
    <w:name w:val="表名"/>
    <w:basedOn w:val="a6"/>
    <w:link w:val="CharCharf2"/>
    <w:qFormat/>
    <w:pPr>
      <w:snapToGrid w:val="0"/>
      <w:jc w:val="center"/>
    </w:pPr>
    <w:rPr>
      <w:rFonts w:ascii="宋体" w:hAnsi="宋体"/>
      <w:szCs w:val="21"/>
    </w:rPr>
  </w:style>
  <w:style w:type="character" w:customStyle="1" w:styleId="CharChar131">
    <w:name w:val="Char Char131"/>
    <w:qFormat/>
    <w:rPr>
      <w:kern w:val="2"/>
      <w:sz w:val="18"/>
      <w:szCs w:val="18"/>
    </w:rPr>
  </w:style>
  <w:style w:type="character" w:customStyle="1" w:styleId="ArialCharCharChar">
    <w:name w:val="样式 题注 + (西文) Arial (中文) 黑体 小四 Char Char Char"/>
    <w:semiHidden/>
    <w:qFormat/>
    <w:rPr>
      <w:rFonts w:ascii="黑体" w:eastAsia="黑体" w:hAnsi="Arial" w:cs="黑体"/>
      <w:kern w:val="2"/>
      <w:sz w:val="28"/>
      <w:szCs w:val="28"/>
      <w:lang w:val="en-US" w:eastAsia="zh-CN"/>
    </w:rPr>
  </w:style>
  <w:style w:type="character" w:customStyle="1" w:styleId="description5">
    <w:name w:val="description5"/>
    <w:qFormat/>
  </w:style>
  <w:style w:type="character" w:customStyle="1" w:styleId="CharCharCharCharChar1">
    <w:name w:val="样式 图号 + 宋体 Char Char Char Char Char"/>
    <w:link w:val="CharCharCharChar6"/>
    <w:qFormat/>
    <w:rPr>
      <w:rFonts w:ascii="宋体" w:hAnsi="宋体"/>
      <w:b/>
      <w:bCs/>
      <w:kern w:val="32"/>
      <w:sz w:val="24"/>
      <w:szCs w:val="24"/>
    </w:rPr>
  </w:style>
  <w:style w:type="paragraph" w:customStyle="1" w:styleId="CharCharCharChar6">
    <w:name w:val="样式 图号 + 宋体 Char Char Char Char"/>
    <w:link w:val="CharCharCharCharChar1"/>
    <w:qFormat/>
    <w:pPr>
      <w:spacing w:line="529" w:lineRule="exact"/>
      <w:ind w:firstLineChars="200" w:firstLine="200"/>
    </w:pPr>
    <w:rPr>
      <w:rFonts w:ascii="宋体" w:hAnsi="宋体"/>
      <w:b/>
      <w:bCs/>
    </w:rPr>
  </w:style>
  <w:style w:type="paragraph" w:customStyle="1" w:styleId="affffffb">
    <w:name w:val="图号"/>
    <w:basedOn w:val="14"/>
    <w:qFormat/>
    <w:pPr>
      <w:adjustRightInd w:val="0"/>
      <w:spacing w:line="360" w:lineRule="auto"/>
      <w:ind w:left="198"/>
      <w:textAlignment w:val="baseline"/>
    </w:pPr>
    <w:rPr>
      <w:kern w:val="32"/>
      <w:sz w:val="24"/>
    </w:rPr>
  </w:style>
  <w:style w:type="character" w:customStyle="1" w:styleId="1CharChar5">
    <w:name w:val="标题 1 Char Char"/>
    <w:basedOn w:val="a7"/>
    <w:qFormat/>
  </w:style>
  <w:style w:type="character" w:customStyle="1" w:styleId="33CharChar">
    <w:name w:val="样式 标题 3标题 3 Char + 海绿 Char"/>
    <w:qFormat/>
    <w:rPr>
      <w:rFonts w:ascii="黑体" w:eastAsia="黑体"/>
      <w:color w:val="000000"/>
      <w:kern w:val="2"/>
      <w:sz w:val="24"/>
      <w:szCs w:val="28"/>
      <w:lang w:val="en-US" w:eastAsia="zh-CN" w:bidi="ar-SA"/>
    </w:rPr>
  </w:style>
  <w:style w:type="character" w:customStyle="1" w:styleId="2Char12">
    <w:name w:val="标题 2 Char1"/>
    <w:qFormat/>
    <w:rPr>
      <w:rFonts w:ascii="Calibri Light" w:eastAsia="宋体" w:hAnsi="Calibri Light" w:cs="Times New Roman"/>
      <w:b/>
      <w:bCs/>
      <w:kern w:val="2"/>
      <w:sz w:val="32"/>
      <w:szCs w:val="32"/>
    </w:rPr>
  </w:style>
  <w:style w:type="character" w:customStyle="1" w:styleId="EmailStyle518">
    <w:name w:val="EmailStyle518"/>
    <w:qFormat/>
    <w:rPr>
      <w:rFonts w:ascii="Arial" w:eastAsia="宋体" w:hAnsi="Arial" w:cs="Arial"/>
      <w:color w:val="auto"/>
      <w:sz w:val="20"/>
    </w:rPr>
  </w:style>
  <w:style w:type="character" w:customStyle="1" w:styleId="2H2Underrubrik1prop2Heading2HiddenHeading2CChar">
    <w:name w:val="样式 标题 2节H2（一）Underrubrik1prop2Heading 2 HiddenHeading 2 C... Char"/>
    <w:link w:val="2H2Underrubrik1prop2Heading2HiddenHeading2C"/>
    <w:qFormat/>
    <w:rPr>
      <w:rFonts w:ascii="宋体" w:eastAsia="宋体" w:hAnsi="宋体"/>
      <w:b/>
      <w:bCs/>
      <w:kern w:val="2"/>
      <w:position w:val="-18"/>
      <w:sz w:val="28"/>
      <w:szCs w:val="32"/>
      <w:lang w:val="en-US" w:eastAsia="zh-CN" w:bidi="ar-SA"/>
    </w:rPr>
  </w:style>
  <w:style w:type="paragraph" w:customStyle="1" w:styleId="2H2Underrubrik1prop2Heading2HiddenHeading2C">
    <w:name w:val="样式 标题 2节H2（一）Underrubrik1prop2Heading 2 HiddenHeading 2 C..."/>
    <w:basedOn w:val="22"/>
    <w:link w:val="2H2Underrubrik1prop2Heading2HiddenHeading2CChar"/>
    <w:qFormat/>
    <w:pPr>
      <w:spacing w:before="260" w:after="260" w:line="160" w:lineRule="exact"/>
    </w:pPr>
    <w:rPr>
      <w:spacing w:val="0"/>
      <w:w w:val="100"/>
      <w:kern w:val="2"/>
      <w:position w:val="-18"/>
      <w:szCs w:val="32"/>
    </w:rPr>
  </w:style>
  <w:style w:type="character" w:customStyle="1" w:styleId="Charffff0">
    <w:name w:val="正段 Char"/>
    <w:link w:val="affffffc"/>
    <w:qFormat/>
    <w:locked/>
    <w:rPr>
      <w:rFonts w:ascii="Arial" w:hAnsi="宋体" w:cs="Arial"/>
      <w:sz w:val="24"/>
      <w:szCs w:val="24"/>
      <w:lang w:val="zh-CN"/>
    </w:rPr>
  </w:style>
  <w:style w:type="paragraph" w:customStyle="1" w:styleId="affffffc">
    <w:name w:val="正段"/>
    <w:basedOn w:val="a6"/>
    <w:link w:val="Charffff0"/>
    <w:qFormat/>
    <w:pPr>
      <w:spacing w:line="360" w:lineRule="auto"/>
    </w:pPr>
    <w:rPr>
      <w:rFonts w:ascii="Arial" w:hAnsi="宋体"/>
      <w:kern w:val="0"/>
      <w:sz w:val="24"/>
      <w:lang w:val="zh-CN"/>
    </w:rPr>
  </w:style>
  <w:style w:type="character" w:customStyle="1" w:styleId="Charffff1">
    <w:name w:val="正文(首行缩进)宋旭峰 Char"/>
    <w:qFormat/>
    <w:rPr>
      <w:rFonts w:eastAsia="宋体" w:cs="TimesNewRomanPSMT"/>
      <w:snapToGrid/>
      <w:kern w:val="2"/>
      <w:sz w:val="24"/>
      <w:szCs w:val="24"/>
      <w:lang w:val="en-US" w:eastAsia="zh-CN" w:bidi="ar-SA"/>
    </w:rPr>
  </w:style>
  <w:style w:type="character" w:customStyle="1" w:styleId="hover71">
    <w:name w:val="hover71"/>
    <w:qFormat/>
    <w:rPr>
      <w:color w:val="BA0000"/>
    </w:rPr>
  </w:style>
  <w:style w:type="character" w:customStyle="1" w:styleId="Char25">
    <w:name w:val="副标题 Char2"/>
    <w:qFormat/>
    <w:rPr>
      <w:rFonts w:ascii="Cambria" w:hAnsi="Cambria" w:cs="Times New Roman"/>
      <w:b/>
      <w:bCs/>
      <w:kern w:val="28"/>
      <w:sz w:val="32"/>
      <w:szCs w:val="32"/>
    </w:rPr>
  </w:style>
  <w:style w:type="character" w:customStyle="1" w:styleId="Char33">
    <w:name w:val="尾注文本 Char3"/>
    <w:qFormat/>
    <w:rPr>
      <w:kern w:val="2"/>
      <w:sz w:val="24"/>
      <w:szCs w:val="24"/>
    </w:rPr>
  </w:style>
  <w:style w:type="character" w:customStyle="1" w:styleId="Charffff2">
    <w:name w:val="第四级标题 Char"/>
    <w:link w:val="affffffd"/>
    <w:qFormat/>
    <w:rPr>
      <w:kern w:val="2"/>
      <w:sz w:val="24"/>
      <w:szCs w:val="24"/>
    </w:rPr>
  </w:style>
  <w:style w:type="paragraph" w:customStyle="1" w:styleId="affffffd">
    <w:name w:val="第四级标题"/>
    <w:basedOn w:val="a6"/>
    <w:next w:val="26"/>
    <w:link w:val="Charffff2"/>
    <w:qFormat/>
    <w:pPr>
      <w:widowControl/>
      <w:spacing w:line="360" w:lineRule="auto"/>
      <w:ind w:left="851" w:hanging="851"/>
      <w:jc w:val="left"/>
      <w:outlineLvl w:val="3"/>
    </w:pPr>
    <w:rPr>
      <w:sz w:val="24"/>
    </w:rPr>
  </w:style>
  <w:style w:type="character" w:customStyle="1" w:styleId="Charffff3">
    <w:name w:val="注释 Char"/>
    <w:link w:val="affffffe"/>
    <w:qFormat/>
    <w:rPr>
      <w:kern w:val="2"/>
      <w:sz w:val="21"/>
    </w:rPr>
  </w:style>
  <w:style w:type="paragraph" w:customStyle="1" w:styleId="affffffe">
    <w:name w:val="注释"/>
    <w:link w:val="Charffff3"/>
    <w:qFormat/>
    <w:pPr>
      <w:spacing w:before="60" w:line="360" w:lineRule="exact"/>
      <w:ind w:firstLineChars="200" w:firstLine="200"/>
      <w:jc w:val="both"/>
    </w:pPr>
  </w:style>
  <w:style w:type="paragraph" w:customStyle="1" w:styleId="afffffff">
    <w:name w:val="表格正文"/>
    <w:basedOn w:val="afffe"/>
    <w:link w:val="Charffff4"/>
    <w:qFormat/>
    <w:pPr>
      <w:adjustRightInd/>
      <w:snapToGrid/>
      <w:spacing w:line="240" w:lineRule="auto"/>
      <w:jc w:val="center"/>
    </w:pPr>
    <w:rPr>
      <w:rFonts w:ascii="Times New Roman"/>
      <w:sz w:val="21"/>
      <w:szCs w:val="21"/>
    </w:rPr>
  </w:style>
  <w:style w:type="character" w:customStyle="1" w:styleId="Charffff4">
    <w:name w:val="表格正文 Char"/>
    <w:link w:val="afffffff"/>
    <w:qFormat/>
    <w:rPr>
      <w:kern w:val="2"/>
      <w:sz w:val="21"/>
      <w:szCs w:val="21"/>
    </w:rPr>
  </w:style>
  <w:style w:type="character" w:customStyle="1" w:styleId="Charffff5">
    <w:name w:val="报告题目 Char"/>
    <w:link w:val="afffffff0"/>
    <w:qFormat/>
    <w:rPr>
      <w:rFonts w:ascii="Arial" w:eastAsia="黑体" w:hAnsi="Arial"/>
      <w:kern w:val="2"/>
      <w:sz w:val="72"/>
      <w:szCs w:val="72"/>
    </w:rPr>
  </w:style>
  <w:style w:type="paragraph" w:customStyle="1" w:styleId="afffffff0">
    <w:name w:val="报告题目"/>
    <w:basedOn w:val="a6"/>
    <w:next w:val="a6"/>
    <w:link w:val="Charffff5"/>
    <w:qFormat/>
    <w:pPr>
      <w:widowControl/>
      <w:spacing w:line="500" w:lineRule="atLeast"/>
      <w:jc w:val="center"/>
    </w:pPr>
    <w:rPr>
      <w:rFonts w:ascii="Arial" w:eastAsia="黑体" w:hAnsi="Arial"/>
      <w:sz w:val="72"/>
      <w:szCs w:val="72"/>
    </w:rPr>
  </w:style>
  <w:style w:type="character" w:customStyle="1" w:styleId="Charffff6">
    <w:name w:val="表体 Char"/>
    <w:link w:val="afffffff1"/>
    <w:qFormat/>
    <w:rPr>
      <w:rFonts w:ascii="黑体" w:eastAsia="黑体"/>
      <w:color w:val="000080"/>
      <w:kern w:val="24"/>
      <w:sz w:val="21"/>
    </w:rPr>
  </w:style>
  <w:style w:type="paragraph" w:customStyle="1" w:styleId="afffffff1">
    <w:name w:val="表体"/>
    <w:basedOn w:val="a6"/>
    <w:link w:val="Charffff6"/>
    <w:qFormat/>
    <w:pPr>
      <w:overflowPunct w:val="0"/>
      <w:adjustRightInd w:val="0"/>
      <w:spacing w:line="240" w:lineRule="atLeast"/>
      <w:ind w:left="-57" w:right="-57" w:firstLineChars="200" w:firstLine="200"/>
      <w:jc w:val="center"/>
      <w:textAlignment w:val="baseline"/>
    </w:pPr>
    <w:rPr>
      <w:rFonts w:ascii="黑体" w:eastAsia="黑体"/>
      <w:color w:val="000080"/>
      <w:kern w:val="24"/>
      <w:szCs w:val="20"/>
    </w:rPr>
  </w:style>
  <w:style w:type="character" w:customStyle="1" w:styleId="2H211lxb211h2CharCharCharChar">
    <w:name w:val="样式 样式 标题 2节H2节标题 1.1二级标题标题 lxb21.1h2第一层条二级标题 Char表标题单位名... + 宋体... Char Char Char"/>
    <w:link w:val="2H211lxb211h2CharChar0"/>
    <w:qFormat/>
    <w:rPr>
      <w:rFonts w:ascii="宋体" w:hAnsi="宋体"/>
      <w:bCs/>
      <w:color w:val="000000"/>
      <w:kern w:val="2"/>
      <w:sz w:val="24"/>
      <w:szCs w:val="28"/>
    </w:rPr>
  </w:style>
  <w:style w:type="paragraph" w:customStyle="1" w:styleId="2H211lxb211h2CharChar0">
    <w:name w:val="样式 样式 标题 2节H2节标题 1.1二级标题标题 lxb21.1h2第一层条二级标题 Char表标题单位名... + 宋体... Char"/>
    <w:basedOn w:val="2H211lxb211h2CharChar"/>
    <w:link w:val="2H211lxb211h2CharCharCharChar"/>
    <w:qFormat/>
    <w:pPr>
      <w:ind w:left="0"/>
    </w:pPr>
    <w:rPr>
      <w:rFonts w:ascii="宋体" w:eastAsia="宋体"/>
      <w:sz w:val="24"/>
      <w:szCs w:val="28"/>
    </w:rPr>
  </w:style>
  <w:style w:type="character" w:customStyle="1" w:styleId="EmailStyle442">
    <w:name w:val="EmailStyle442"/>
    <w:qFormat/>
    <w:rPr>
      <w:rFonts w:ascii="Arial" w:eastAsia="宋体" w:hAnsi="Arial" w:cs="Arial"/>
      <w:color w:val="auto"/>
      <w:sz w:val="20"/>
    </w:rPr>
  </w:style>
  <w:style w:type="character" w:customStyle="1" w:styleId="CharCharf3">
    <w:name w:val="楷体加粗 Char Char"/>
    <w:link w:val="afffffff2"/>
    <w:qFormat/>
    <w:rPr>
      <w:rFonts w:ascii="宋体" w:hAnsi="宋体" w:cs="黑体"/>
      <w:kern w:val="2"/>
      <w:sz w:val="24"/>
      <w:szCs w:val="24"/>
    </w:rPr>
  </w:style>
  <w:style w:type="paragraph" w:customStyle="1" w:styleId="afffffff2">
    <w:name w:val="楷体加粗"/>
    <w:basedOn w:val="a6"/>
    <w:link w:val="CharCharf3"/>
    <w:qFormat/>
    <w:pPr>
      <w:spacing w:line="440" w:lineRule="exact"/>
      <w:ind w:firstLineChars="196" w:firstLine="470"/>
      <w:jc w:val="left"/>
    </w:pPr>
    <w:rPr>
      <w:rFonts w:ascii="宋体" w:hAnsi="宋体"/>
      <w:sz w:val="24"/>
    </w:rPr>
  </w:style>
  <w:style w:type="character" w:customStyle="1" w:styleId="CharChar12">
    <w:name w:val="我的正文 Char Char1"/>
    <w:qFormat/>
    <w:rPr>
      <w:rFonts w:eastAsia="宋体"/>
      <w:kern w:val="2"/>
      <w:sz w:val="24"/>
      <w:szCs w:val="24"/>
      <w:lang w:val="en-US" w:eastAsia="zh-CN" w:bidi="ar-SA"/>
    </w:rPr>
  </w:style>
  <w:style w:type="character" w:customStyle="1" w:styleId="1Char20">
    <w:name w:val="样式1 Char2"/>
    <w:qFormat/>
    <w:rPr>
      <w:rFonts w:ascii="宋体" w:eastAsia="宋体"/>
      <w:kern w:val="2"/>
      <w:sz w:val="21"/>
      <w:lang w:val="en-US" w:eastAsia="zh-CN" w:bidi="ar-SA"/>
    </w:rPr>
  </w:style>
  <w:style w:type="character" w:customStyle="1" w:styleId="1Char8">
    <w:name w:val="样式1 Char"/>
    <w:qFormat/>
    <w:rPr>
      <w:rFonts w:ascii="Arial" w:eastAsia="黑体" w:hAnsi="Arial" w:cs="Times New Roman"/>
      <w:b/>
      <w:spacing w:val="10"/>
      <w:kern w:val="0"/>
      <w:sz w:val="28"/>
      <w:szCs w:val="20"/>
    </w:rPr>
  </w:style>
  <w:style w:type="character" w:customStyle="1" w:styleId="Charffff7">
    <w:name w:val="表号 Char"/>
    <w:link w:val="afffffff3"/>
    <w:qFormat/>
    <w:rPr>
      <w:rFonts w:hAnsi="宋体"/>
      <w:color w:val="000000"/>
      <w:kern w:val="2"/>
      <w:sz w:val="21"/>
    </w:rPr>
  </w:style>
  <w:style w:type="paragraph" w:customStyle="1" w:styleId="afffffff3">
    <w:name w:val="表号"/>
    <w:basedOn w:val="a6"/>
    <w:link w:val="Charffff7"/>
    <w:qFormat/>
    <w:pPr>
      <w:spacing w:line="360" w:lineRule="auto"/>
      <w:ind w:firstLineChars="200" w:firstLine="420"/>
    </w:pPr>
    <w:rPr>
      <w:rFonts w:hAnsi="宋体"/>
      <w:color w:val="000000"/>
      <w:szCs w:val="20"/>
    </w:rPr>
  </w:style>
  <w:style w:type="character" w:customStyle="1" w:styleId="CharChar31">
    <w:name w:val="Char Char31"/>
    <w:qFormat/>
    <w:rPr>
      <w:rFonts w:ascii="宋体" w:eastAsia="宋体" w:hAnsi="宋体" w:hint="eastAsia"/>
      <w:b/>
      <w:kern w:val="2"/>
      <w:sz w:val="32"/>
      <w:lang w:val="en-US" w:eastAsia="zh-CN"/>
    </w:rPr>
  </w:style>
  <w:style w:type="character" w:customStyle="1" w:styleId="2Chara">
    <w:name w:val="正文，首行缩进2字符 Char"/>
    <w:link w:val="2ff"/>
    <w:qFormat/>
    <w:rPr>
      <w:rFonts w:ascii="宋体" w:hAnsi="宋体"/>
      <w:kern w:val="2"/>
      <w:sz w:val="24"/>
      <w:szCs w:val="24"/>
    </w:rPr>
  </w:style>
  <w:style w:type="paragraph" w:customStyle="1" w:styleId="2ff">
    <w:name w:val="正文，首行缩进2字符"/>
    <w:basedOn w:val="a6"/>
    <w:link w:val="2Chara"/>
    <w:qFormat/>
    <w:pPr>
      <w:widowControl/>
      <w:adjustRightInd w:val="0"/>
      <w:snapToGrid w:val="0"/>
      <w:spacing w:line="360" w:lineRule="auto"/>
      <w:ind w:firstLineChars="196" w:firstLine="433"/>
      <w:jc w:val="left"/>
    </w:pPr>
    <w:rPr>
      <w:rFonts w:ascii="宋体" w:hAnsi="宋体"/>
      <w:sz w:val="24"/>
    </w:rPr>
  </w:style>
  <w:style w:type="character" w:customStyle="1" w:styleId="2CharCharChar">
    <w:name w:val="正文文本缩进 2 Char Char Char"/>
    <w:qFormat/>
    <w:rPr>
      <w:rFonts w:ascii="Arial" w:eastAsia="宋体" w:hAnsi="Arial"/>
      <w:kern w:val="2"/>
      <w:sz w:val="24"/>
      <w:szCs w:val="24"/>
      <w:lang w:val="en-US" w:eastAsia="zh-CN" w:bidi="ar-SA"/>
    </w:rPr>
  </w:style>
  <w:style w:type="character" w:customStyle="1" w:styleId="xb">
    <w:name w:val="xb"/>
    <w:qFormat/>
  </w:style>
  <w:style w:type="character" w:customStyle="1" w:styleId="APMingLiUCharChar">
    <w:name w:val="样式 正文A + (中文) PMingLiU Char Char"/>
    <w:qFormat/>
    <w:rPr>
      <w:rFonts w:ascii="宋体" w:eastAsia="宋体" w:hAnsi="宋体" w:cs="宋体" w:hint="eastAsia"/>
      <w:kern w:val="2"/>
      <w:sz w:val="24"/>
      <w:szCs w:val="24"/>
      <w:lang w:val="en-US" w:eastAsia="zh-CN" w:bidi="ar-SA"/>
    </w:rPr>
  </w:style>
  <w:style w:type="character" w:customStyle="1" w:styleId="font21">
    <w:name w:val="font21"/>
    <w:qFormat/>
    <w:rPr>
      <w:rFonts w:ascii="宋体" w:eastAsia="宋体" w:hAnsi="宋体" w:cs="宋体" w:hint="eastAsia"/>
      <w:color w:val="000000"/>
      <w:sz w:val="18"/>
      <w:szCs w:val="18"/>
      <w:u w:val="none"/>
    </w:rPr>
  </w:style>
  <w:style w:type="character" w:customStyle="1" w:styleId="CharCharf4">
    <w:name w:val="图表标题 Char Char"/>
    <w:qFormat/>
    <w:rPr>
      <w:rFonts w:ascii="黑体" w:eastAsia="黑体"/>
      <w:b/>
      <w:color w:val="000000"/>
      <w:sz w:val="24"/>
      <w:szCs w:val="21"/>
    </w:rPr>
  </w:style>
  <w:style w:type="character" w:customStyle="1" w:styleId="001Char">
    <w:name w:val="正文001 Char"/>
    <w:qFormat/>
    <w:rPr>
      <w:rFonts w:ascii="Arial" w:eastAsia="宋体" w:hAnsi="Arial" w:cs="Arial"/>
      <w:sz w:val="24"/>
      <w:szCs w:val="20"/>
    </w:rPr>
  </w:style>
  <w:style w:type="character" w:customStyle="1" w:styleId="22CharChar">
    <w:name w:val="样式 样式 报告正文（瓮福） + 首行缩进:  2 字符 + 首行缩进:  2 字符 Char Char"/>
    <w:link w:val="223"/>
    <w:qFormat/>
    <w:rPr>
      <w:rFonts w:ascii="Calibri" w:hAnsi="Calibri" w:cs="黑体"/>
      <w:kern w:val="2"/>
      <w:sz w:val="24"/>
      <w:szCs w:val="22"/>
    </w:rPr>
  </w:style>
  <w:style w:type="paragraph" w:customStyle="1" w:styleId="223">
    <w:name w:val="样式 样式 报告正文（瓮福） + 首行缩进:  2 字符 + 首行缩进:  2 字符"/>
    <w:basedOn w:val="a6"/>
    <w:link w:val="22CharChar"/>
    <w:qFormat/>
    <w:pPr>
      <w:spacing w:line="360" w:lineRule="auto"/>
      <w:ind w:firstLineChars="200" w:firstLine="480"/>
      <w:jc w:val="left"/>
    </w:pPr>
    <w:rPr>
      <w:rFonts w:ascii="Calibri" w:hAnsi="Calibri"/>
      <w:sz w:val="24"/>
      <w:szCs w:val="22"/>
    </w:rPr>
  </w:style>
  <w:style w:type="character" w:customStyle="1" w:styleId="Charffff8">
    <w:name w:val="内容 Char"/>
    <w:link w:val="afffffff4"/>
    <w:qFormat/>
    <w:rPr>
      <w:rFonts w:ascii="宋体"/>
      <w:color w:val="000000"/>
      <w:sz w:val="24"/>
    </w:rPr>
  </w:style>
  <w:style w:type="paragraph" w:customStyle="1" w:styleId="afffffff4">
    <w:name w:val="内容"/>
    <w:basedOn w:val="a6"/>
    <w:link w:val="Charffff8"/>
    <w:qFormat/>
    <w:pPr>
      <w:spacing w:after="60" w:line="500" w:lineRule="exact"/>
      <w:ind w:firstLineChars="200" w:firstLine="200"/>
      <w:jc w:val="left"/>
    </w:pPr>
    <w:rPr>
      <w:rFonts w:ascii="宋体"/>
      <w:color w:val="000000"/>
      <w:kern w:val="0"/>
      <w:sz w:val="24"/>
      <w:szCs w:val="20"/>
    </w:rPr>
  </w:style>
  <w:style w:type="character" w:customStyle="1" w:styleId="G1Char">
    <w:name w:val="G样式1 Char"/>
    <w:link w:val="G1"/>
    <w:qFormat/>
    <w:rPr>
      <w:kern w:val="2"/>
      <w:sz w:val="28"/>
      <w:szCs w:val="28"/>
    </w:rPr>
  </w:style>
  <w:style w:type="paragraph" w:customStyle="1" w:styleId="G1">
    <w:name w:val="G样式1"/>
    <w:basedOn w:val="a6"/>
    <w:link w:val="G1Char"/>
    <w:qFormat/>
    <w:pPr>
      <w:spacing w:line="480" w:lineRule="exact"/>
      <w:ind w:firstLineChars="200" w:firstLine="200"/>
    </w:pPr>
    <w:rPr>
      <w:sz w:val="28"/>
      <w:szCs w:val="28"/>
    </w:rPr>
  </w:style>
  <w:style w:type="character" w:customStyle="1" w:styleId="01Char0">
    <w:name w:val="01 Char"/>
    <w:qFormat/>
    <w:rPr>
      <w:rFonts w:eastAsia="宋体"/>
      <w:kern w:val="2"/>
      <w:sz w:val="24"/>
      <w:szCs w:val="24"/>
      <w:lang w:val="en-US" w:eastAsia="zh-CN" w:bidi="ar-SA"/>
    </w:rPr>
  </w:style>
  <w:style w:type="character" w:customStyle="1" w:styleId="NormalCharChar">
    <w:name w:val="Normal Char Char"/>
    <w:qFormat/>
    <w:rPr>
      <w:rFonts w:ascii="宋体"/>
      <w:sz w:val="24"/>
    </w:rPr>
  </w:style>
  <w:style w:type="character" w:customStyle="1" w:styleId="25Char">
    <w:name w:val="样式 (符号) 宋体 四号 段前: 2.5 磅 Char"/>
    <w:link w:val="250"/>
    <w:qFormat/>
    <w:rPr>
      <w:rFonts w:hAnsi="宋体"/>
      <w:bCs/>
      <w:kern w:val="2"/>
      <w:sz w:val="28"/>
      <w:szCs w:val="28"/>
      <w:lang w:val="zh-CN"/>
    </w:rPr>
  </w:style>
  <w:style w:type="paragraph" w:customStyle="1" w:styleId="250">
    <w:name w:val="样式 (符号) 宋体 四号 段前: 2.5 磅"/>
    <w:basedOn w:val="a6"/>
    <w:link w:val="25Char"/>
    <w:qFormat/>
    <w:pPr>
      <w:widowControl/>
      <w:tabs>
        <w:tab w:val="left" w:pos="1750"/>
      </w:tabs>
      <w:topLinePunct/>
      <w:snapToGrid w:val="0"/>
      <w:spacing w:line="336" w:lineRule="auto"/>
      <w:ind w:firstLineChars="192" w:firstLine="538"/>
      <w:jc w:val="left"/>
    </w:pPr>
    <w:rPr>
      <w:rFonts w:hAnsi="宋体"/>
      <w:bCs/>
      <w:sz w:val="28"/>
      <w:szCs w:val="28"/>
      <w:lang w:val="zh-CN"/>
    </w:rPr>
  </w:style>
  <w:style w:type="character" w:customStyle="1" w:styleId="afffffff5">
    <w:name w:val="样式 (中文) 隶书 一号 加粗"/>
    <w:qFormat/>
    <w:rPr>
      <w:rFonts w:eastAsia="隶书"/>
      <w:b/>
      <w:bCs/>
      <w:w w:val="73"/>
      <w:kern w:val="0"/>
      <w:sz w:val="44"/>
    </w:rPr>
  </w:style>
  <w:style w:type="character" w:customStyle="1" w:styleId="CharChar40">
    <w:name w:val="Char Char4"/>
    <w:qFormat/>
    <w:rPr>
      <w:rFonts w:eastAsia="宋体"/>
      <w:b/>
      <w:bCs/>
      <w:kern w:val="44"/>
      <w:sz w:val="28"/>
      <w:szCs w:val="28"/>
      <w:lang w:val="en-US" w:eastAsia="zh-CN" w:bidi="ar-SA"/>
    </w:rPr>
  </w:style>
  <w:style w:type="character" w:customStyle="1" w:styleId="3Char3">
    <w:name w:val="【标题3】 Char"/>
    <w:link w:val="afffffff6"/>
    <w:qFormat/>
    <w:rPr>
      <w:rFonts w:ascii="宋体" w:eastAsia="方正大标宋简体" w:hAnsi="宋体"/>
      <w:b/>
      <w:bCs/>
      <w:kern w:val="2"/>
      <w:sz w:val="28"/>
    </w:rPr>
  </w:style>
  <w:style w:type="paragraph" w:customStyle="1" w:styleId="afffffff6">
    <w:name w:val="三级标题"/>
    <w:basedOn w:val="33"/>
    <w:link w:val="3Char3"/>
    <w:qFormat/>
    <w:pPr>
      <w:tabs>
        <w:tab w:val="left" w:pos="480"/>
      </w:tabs>
      <w:adjustRightInd w:val="0"/>
      <w:spacing w:before="40" w:after="40" w:line="324" w:lineRule="auto"/>
    </w:pPr>
    <w:rPr>
      <w:rFonts w:ascii="宋体" w:eastAsia="方正大标宋简体" w:hAnsi="宋体"/>
      <w:b/>
      <w:bCs/>
      <w:spacing w:val="0"/>
      <w:szCs w:val="20"/>
    </w:rPr>
  </w:style>
  <w:style w:type="character" w:customStyle="1" w:styleId="Charffff9">
    <w:name w:val="正文 Char"/>
    <w:link w:val="3f5"/>
    <w:qFormat/>
    <w:rPr>
      <w:spacing w:val="4"/>
      <w:kern w:val="2"/>
      <w:sz w:val="24"/>
    </w:rPr>
  </w:style>
  <w:style w:type="paragraph" w:customStyle="1" w:styleId="3f5">
    <w:name w:val="正文3"/>
    <w:basedOn w:val="a6"/>
    <w:next w:val="a6"/>
    <w:link w:val="Charffff9"/>
    <w:qFormat/>
    <w:pPr>
      <w:spacing w:line="529" w:lineRule="exact"/>
      <w:ind w:firstLine="420"/>
    </w:pPr>
    <w:rPr>
      <w:spacing w:val="4"/>
      <w:sz w:val="24"/>
      <w:szCs w:val="20"/>
    </w:rPr>
  </w:style>
  <w:style w:type="character" w:customStyle="1" w:styleId="Char26">
    <w:name w:val="表号 Char2"/>
    <w:qFormat/>
    <w:rPr>
      <w:rFonts w:eastAsia="宋体"/>
      <w:sz w:val="24"/>
      <w:szCs w:val="24"/>
      <w:lang w:val="en-US" w:eastAsia="zh-CN" w:bidi="ar-SA"/>
    </w:rPr>
  </w:style>
  <w:style w:type="character" w:customStyle="1" w:styleId="2ff0">
    <w:name w:val="批注引用2"/>
    <w:qFormat/>
    <w:rPr>
      <w:rFonts w:ascii="宋体" w:eastAsia="宋体" w:hAnsi="宋体" w:cs="Courier New"/>
      <w:kern w:val="2"/>
      <w:sz w:val="21"/>
      <w:szCs w:val="21"/>
      <w:lang w:val="en-US" w:eastAsia="zh-CN"/>
    </w:rPr>
  </w:style>
  <w:style w:type="character" w:customStyle="1" w:styleId="1fa">
    <w:name w:val="标题1"/>
    <w:basedOn w:val="a7"/>
    <w:qFormat/>
  </w:style>
  <w:style w:type="character" w:customStyle="1" w:styleId="Charffffa">
    <w:name w:val="图、表名 Char"/>
    <w:link w:val="afffffff7"/>
    <w:qFormat/>
    <w:rPr>
      <w:rFonts w:ascii="Arial" w:eastAsia="黑体" w:hAnsi="Arial"/>
      <w:kern w:val="2"/>
      <w:sz w:val="21"/>
      <w:szCs w:val="24"/>
    </w:rPr>
  </w:style>
  <w:style w:type="paragraph" w:customStyle="1" w:styleId="afffffff7">
    <w:name w:val="图、表名"/>
    <w:basedOn w:val="a6"/>
    <w:link w:val="Charffffa"/>
    <w:qFormat/>
    <w:pPr>
      <w:jc w:val="center"/>
    </w:pPr>
    <w:rPr>
      <w:rFonts w:ascii="Arial" w:eastAsia="黑体" w:hAnsi="Arial"/>
    </w:rPr>
  </w:style>
  <w:style w:type="character" w:customStyle="1" w:styleId="CharCharChar8">
    <w:name w:val="正文文字 Char Char Char"/>
    <w:qFormat/>
    <w:rPr>
      <w:rFonts w:eastAsia="宋体"/>
      <w:kern w:val="2"/>
      <w:sz w:val="21"/>
      <w:szCs w:val="24"/>
      <w:lang w:val="en-US" w:eastAsia="zh-CN" w:bidi="ar-SA"/>
    </w:rPr>
  </w:style>
  <w:style w:type="character" w:customStyle="1" w:styleId="CharChar111">
    <w:name w:val="Char Char111"/>
    <w:qFormat/>
    <w:rPr>
      <w:rFonts w:eastAsia="黑体"/>
      <w:kern w:val="2"/>
      <w:sz w:val="24"/>
      <w:szCs w:val="24"/>
    </w:rPr>
  </w:style>
  <w:style w:type="character" w:customStyle="1" w:styleId="dandan6-13CharChar0">
    <w:name w:val="dandan6-13四级以下 Char Char"/>
    <w:qFormat/>
    <w:rPr>
      <w:rFonts w:eastAsia="仿宋_GB2312"/>
      <w:b/>
      <w:sz w:val="24"/>
      <w:szCs w:val="24"/>
    </w:rPr>
  </w:style>
  <w:style w:type="character" w:customStyle="1" w:styleId="wangCharChar">
    <w:name w:val="正文wang Char Char"/>
    <w:qFormat/>
    <w:rPr>
      <w:rFonts w:hAnsi="宋体" w:cs="宋体"/>
      <w:szCs w:val="21"/>
    </w:rPr>
  </w:style>
  <w:style w:type="character" w:customStyle="1" w:styleId="CharCharf5">
    <w:name w:val="节 Char Char"/>
    <w:qFormat/>
    <w:rPr>
      <w:rFonts w:eastAsia="宋体"/>
      <w:b/>
      <w:kern w:val="2"/>
      <w:sz w:val="28"/>
      <w:lang w:val="en-US" w:eastAsia="zh-CN" w:bidi="ar-SA"/>
    </w:rPr>
  </w:style>
  <w:style w:type="character" w:customStyle="1" w:styleId="CharCharf6">
    <w:name w:val="正文 楷体 Char Char"/>
    <w:qFormat/>
    <w:rPr>
      <w:rFonts w:ascii="楷体_GB2312" w:eastAsia="楷体_GB2312" w:hAnsi="楷体_GB2312" w:cs="宋体"/>
      <w:kern w:val="2"/>
      <w:sz w:val="24"/>
      <w:szCs w:val="24"/>
      <w:lang w:val="en-US" w:eastAsia="zh-CN" w:bidi="ar-SA"/>
    </w:rPr>
  </w:style>
  <w:style w:type="character" w:customStyle="1" w:styleId="Charffffb">
    <w:name w:val="表头文字 Char"/>
    <w:qFormat/>
    <w:rPr>
      <w:rFonts w:eastAsia="宋体"/>
      <w:b/>
      <w:bCs/>
      <w:kern w:val="2"/>
      <w:sz w:val="28"/>
      <w:szCs w:val="28"/>
      <w:lang w:val="en-US" w:eastAsia="zh-CN" w:bidi="ar-SA"/>
    </w:rPr>
  </w:style>
  <w:style w:type="character" w:customStyle="1" w:styleId="EmailStyle506">
    <w:name w:val="EmailStyle506"/>
    <w:qFormat/>
    <w:rPr>
      <w:rFonts w:ascii="Arial" w:eastAsia="宋体" w:hAnsi="Arial" w:cs="Arial"/>
      <w:color w:val="auto"/>
      <w:sz w:val="20"/>
    </w:rPr>
  </w:style>
  <w:style w:type="character" w:customStyle="1" w:styleId="3CharCharCharCharChar">
    <w:name w:val="样式 标题 3 + 宋体 Char Char Char Char Char"/>
    <w:qFormat/>
    <w:rPr>
      <w:rFonts w:eastAsia="宋体"/>
      <w:b/>
      <w:bCs/>
      <w:kern w:val="2"/>
      <w:sz w:val="32"/>
      <w:szCs w:val="32"/>
      <w:lang w:val="en-US" w:eastAsia="zh-CN" w:bidi="ar-SA"/>
    </w:rPr>
  </w:style>
  <w:style w:type="character" w:customStyle="1" w:styleId="Char1f0">
    <w:name w:val="表 Char1"/>
    <w:link w:val="afffffff8"/>
    <w:qFormat/>
    <w:rPr>
      <w:kern w:val="2"/>
      <w:sz w:val="21"/>
    </w:rPr>
  </w:style>
  <w:style w:type="paragraph" w:customStyle="1" w:styleId="afffffff8">
    <w:name w:val="表"/>
    <w:basedOn w:val="a6"/>
    <w:link w:val="Char1f0"/>
    <w:qFormat/>
    <w:pPr>
      <w:spacing w:line="320" w:lineRule="atLeast"/>
      <w:jc w:val="center"/>
    </w:pPr>
    <w:rPr>
      <w:szCs w:val="20"/>
    </w:rPr>
  </w:style>
  <w:style w:type="character" w:customStyle="1" w:styleId="Char1f1">
    <w:name w:val="项目正文内容 Char1"/>
    <w:link w:val="afffffff9"/>
    <w:qFormat/>
    <w:rPr>
      <w:rFonts w:ascii="宋体" w:hAnsi="Courier New"/>
      <w:kern w:val="2"/>
      <w:sz w:val="24"/>
      <w:szCs w:val="21"/>
    </w:rPr>
  </w:style>
  <w:style w:type="paragraph" w:customStyle="1" w:styleId="afffffff9">
    <w:name w:val="项目正文内容"/>
    <w:basedOn w:val="a6"/>
    <w:link w:val="Char1f1"/>
    <w:qFormat/>
    <w:pPr>
      <w:adjustRightInd w:val="0"/>
      <w:snapToGrid w:val="0"/>
      <w:spacing w:line="360" w:lineRule="auto"/>
      <w:ind w:firstLineChars="200" w:firstLine="200"/>
    </w:pPr>
    <w:rPr>
      <w:rFonts w:ascii="宋体" w:hAnsi="Courier New"/>
      <w:sz w:val="24"/>
      <w:szCs w:val="21"/>
    </w:rPr>
  </w:style>
  <w:style w:type="character" w:customStyle="1" w:styleId="Charffffc">
    <w:name w:val="正   文 Char"/>
    <w:link w:val="afffffffa"/>
    <w:qFormat/>
    <w:rPr>
      <w:rFonts w:ascii="Arial" w:hAnsi="Arial"/>
      <w:color w:val="000000"/>
      <w:kern w:val="2"/>
      <w:sz w:val="24"/>
      <w:szCs w:val="24"/>
    </w:rPr>
  </w:style>
  <w:style w:type="paragraph" w:customStyle="1" w:styleId="afffffffa">
    <w:name w:val="正   文"/>
    <w:basedOn w:val="a6"/>
    <w:link w:val="Charffffc"/>
    <w:qFormat/>
    <w:pPr>
      <w:spacing w:line="480" w:lineRule="exact"/>
      <w:ind w:firstLineChars="200" w:firstLine="200"/>
    </w:pPr>
    <w:rPr>
      <w:rFonts w:ascii="Arial" w:hAnsi="Arial"/>
      <w:color w:val="000000"/>
      <w:sz w:val="24"/>
    </w:rPr>
  </w:style>
  <w:style w:type="character" w:customStyle="1" w:styleId="4Char4">
    <w:name w:val="标题 4 Char4"/>
    <w:qFormat/>
    <w:rPr>
      <w:rFonts w:eastAsia="宋体"/>
      <w:snapToGrid/>
      <w:kern w:val="2"/>
      <w:sz w:val="24"/>
      <w:szCs w:val="24"/>
      <w:lang w:val="en-US" w:eastAsia="zh-CN" w:bidi="ar-SA"/>
    </w:rPr>
  </w:style>
  <w:style w:type="character" w:customStyle="1" w:styleId="3Char4">
    <w:name w:val="样式 标题 3 Char"/>
    <w:link w:val="3f6"/>
    <w:qFormat/>
    <w:rPr>
      <w:rFonts w:ascii="黑体" w:eastAsia="黑体"/>
      <w:b/>
      <w:bCs/>
      <w:color w:val="FF0000"/>
      <w:kern w:val="2"/>
      <w:sz w:val="24"/>
      <w:szCs w:val="32"/>
    </w:rPr>
  </w:style>
  <w:style w:type="paragraph" w:customStyle="1" w:styleId="3f6">
    <w:name w:val="样式 标题 3"/>
    <w:basedOn w:val="33"/>
    <w:link w:val="3Char4"/>
    <w:qFormat/>
    <w:pPr>
      <w:adjustRightInd w:val="0"/>
      <w:spacing w:line="360" w:lineRule="auto"/>
    </w:pPr>
    <w:rPr>
      <w:b/>
      <w:bCs/>
      <w:color w:val="FF0000"/>
      <w:spacing w:val="0"/>
      <w:sz w:val="24"/>
      <w:szCs w:val="32"/>
    </w:rPr>
  </w:style>
  <w:style w:type="character" w:customStyle="1" w:styleId="03CharChar">
    <w:name w:val="03 Char Char"/>
    <w:link w:val="03"/>
    <w:qFormat/>
    <w:rPr>
      <w:rFonts w:ascii="宋体" w:hAnsi="Courier New"/>
      <w:kern w:val="2"/>
      <w:sz w:val="24"/>
    </w:rPr>
  </w:style>
  <w:style w:type="paragraph" w:customStyle="1" w:styleId="03">
    <w:name w:val="03"/>
    <w:basedOn w:val="a6"/>
    <w:link w:val="03CharChar"/>
    <w:qFormat/>
    <w:pPr>
      <w:spacing w:line="360" w:lineRule="auto"/>
      <w:ind w:firstLineChars="200" w:firstLine="480"/>
    </w:pPr>
    <w:rPr>
      <w:rFonts w:ascii="宋体" w:hAnsi="Courier New"/>
      <w:sz w:val="24"/>
      <w:szCs w:val="20"/>
    </w:rPr>
  </w:style>
  <w:style w:type="character" w:customStyle="1" w:styleId="022CharCharChar">
    <w:name w:val="022 Char Char Char"/>
    <w:qFormat/>
    <w:rPr>
      <w:rFonts w:ascii="宋体" w:eastAsia="宋体" w:hAnsi="Courier New"/>
      <w:kern w:val="2"/>
      <w:sz w:val="24"/>
      <w:szCs w:val="24"/>
      <w:lang w:val="en-US" w:eastAsia="zh-CN" w:bidi="ar-SA"/>
    </w:rPr>
  </w:style>
  <w:style w:type="character" w:customStyle="1" w:styleId="2Charb">
    <w:name w:val="正文（首行式样2） Char"/>
    <w:qFormat/>
    <w:rPr>
      <w:rFonts w:ascii="宋体" w:eastAsia="宋体" w:hAnsi="宋体"/>
      <w:color w:val="000000"/>
      <w:kern w:val="2"/>
      <w:sz w:val="24"/>
      <w:szCs w:val="24"/>
      <w:lang w:val="en-US" w:eastAsia="zh-CN" w:bidi="ar-SA"/>
    </w:rPr>
  </w:style>
  <w:style w:type="character" w:customStyle="1" w:styleId="Char27">
    <w:name w:val="正文缩进 Char2"/>
    <w:qFormat/>
    <w:rPr>
      <w:rFonts w:ascii="Calibri" w:hAnsi="Calibri"/>
      <w:kern w:val="2"/>
      <w:sz w:val="21"/>
      <w:szCs w:val="22"/>
    </w:rPr>
  </w:style>
  <w:style w:type="character" w:customStyle="1" w:styleId="Charffffd">
    <w:name w:val="正文内容 Char"/>
    <w:qFormat/>
    <w:rPr>
      <w:rFonts w:eastAsia="宋体" w:cs="宋体"/>
      <w:sz w:val="24"/>
      <w:lang w:val="en-US" w:eastAsia="zh-CN" w:bidi="ar-SA"/>
    </w:rPr>
  </w:style>
  <w:style w:type="character" w:customStyle="1" w:styleId="GabrielChar">
    <w:name w:val="Gabriel（正文） Char"/>
    <w:link w:val="Gabriel"/>
    <w:qFormat/>
    <w:rPr>
      <w:kern w:val="2"/>
      <w:sz w:val="28"/>
      <w:szCs w:val="28"/>
    </w:rPr>
  </w:style>
  <w:style w:type="paragraph" w:customStyle="1" w:styleId="Gabriel">
    <w:name w:val="Gabriel（正文）"/>
    <w:basedOn w:val="a6"/>
    <w:next w:val="a6"/>
    <w:link w:val="GabrielChar"/>
    <w:qFormat/>
    <w:pPr>
      <w:spacing w:line="480" w:lineRule="exact"/>
      <w:ind w:firstLineChars="200" w:firstLine="200"/>
    </w:pPr>
    <w:rPr>
      <w:sz w:val="28"/>
      <w:szCs w:val="28"/>
    </w:rPr>
  </w:style>
  <w:style w:type="character" w:customStyle="1" w:styleId="hahaChar">
    <w:name w:val="haha Char"/>
    <w:link w:val="haha"/>
    <w:qFormat/>
    <w:rPr>
      <w:rFonts w:eastAsia="仿宋_GB2312"/>
      <w:sz w:val="24"/>
      <w:szCs w:val="24"/>
    </w:rPr>
  </w:style>
  <w:style w:type="paragraph" w:customStyle="1" w:styleId="haha">
    <w:name w:val="haha"/>
    <w:basedOn w:val="a6"/>
    <w:next w:val="a6"/>
    <w:link w:val="hahaChar"/>
    <w:qFormat/>
    <w:pPr>
      <w:spacing w:line="360" w:lineRule="auto"/>
      <w:ind w:firstLineChars="200" w:firstLine="480"/>
    </w:pPr>
    <w:rPr>
      <w:rFonts w:eastAsia="仿宋_GB2312"/>
      <w:kern w:val="0"/>
      <w:sz w:val="24"/>
    </w:rPr>
  </w:style>
  <w:style w:type="character" w:customStyle="1" w:styleId="CharCharf7">
    <w:name w:val="图题 Char Char"/>
    <w:link w:val="afffffffb"/>
    <w:qFormat/>
    <w:rPr>
      <w:rFonts w:ascii="黑体" w:eastAsia="黑体" w:hAnsi="宋体"/>
      <w:b/>
      <w:kern w:val="2"/>
      <w:sz w:val="24"/>
    </w:rPr>
  </w:style>
  <w:style w:type="paragraph" w:customStyle="1" w:styleId="afffffffb">
    <w:name w:val="图题"/>
    <w:basedOn w:val="affffa"/>
    <w:next w:val="affffa"/>
    <w:link w:val="CharCharf7"/>
    <w:qFormat/>
    <w:pPr>
      <w:ind w:firstLine="0"/>
      <w:jc w:val="center"/>
    </w:pPr>
    <w:rPr>
      <w:rFonts w:ascii="黑体" w:eastAsia="黑体"/>
      <w:b/>
    </w:rPr>
  </w:style>
  <w:style w:type="character" w:customStyle="1" w:styleId="5Char10">
    <w:name w:val="5文章(治) Char1"/>
    <w:link w:val="5b"/>
    <w:qFormat/>
    <w:rPr>
      <w:snapToGrid/>
      <w:color w:val="000000"/>
      <w:sz w:val="24"/>
      <w:lang w:val="en-GB"/>
    </w:rPr>
  </w:style>
  <w:style w:type="paragraph" w:customStyle="1" w:styleId="5b">
    <w:name w:val="5文章(治)"/>
    <w:basedOn w:val="a6"/>
    <w:link w:val="5Char10"/>
    <w:qFormat/>
    <w:pPr>
      <w:spacing w:line="360" w:lineRule="auto"/>
      <w:ind w:firstLineChars="200" w:firstLine="480"/>
    </w:pPr>
    <w:rPr>
      <w:snapToGrid w:val="0"/>
      <w:color w:val="000000"/>
      <w:kern w:val="0"/>
      <w:sz w:val="24"/>
      <w:szCs w:val="20"/>
      <w:lang w:val="en-GB"/>
    </w:rPr>
  </w:style>
  <w:style w:type="character" w:customStyle="1" w:styleId="CharChar301">
    <w:name w:val="Char Char301"/>
    <w:qFormat/>
    <w:rPr>
      <w:rFonts w:eastAsia="宋体"/>
      <w:i/>
      <w:iCs/>
      <w:kern w:val="2"/>
      <w:sz w:val="18"/>
      <w:szCs w:val="24"/>
      <w:lang w:val="en-US" w:eastAsia="zh-CN" w:bidi="ar-SA"/>
    </w:rPr>
  </w:style>
  <w:style w:type="character" w:customStyle="1" w:styleId="FontStyle16">
    <w:name w:val="Font Style16"/>
    <w:qFormat/>
    <w:rPr>
      <w:rFonts w:ascii="Sylfaen" w:hAnsi="Sylfaen" w:cs="Sylfaen"/>
      <w:b/>
      <w:bCs/>
      <w:sz w:val="26"/>
      <w:szCs w:val="26"/>
    </w:rPr>
  </w:style>
  <w:style w:type="character" w:customStyle="1" w:styleId="CharCharf8">
    <w:name w:val="注 Char Char"/>
    <w:qFormat/>
    <w:rPr>
      <w:rFonts w:ascii="Times New Roman" w:eastAsia="宋体" w:hAnsi="Times New Roman" w:cs="Times New Roman"/>
      <w:bCs/>
      <w:snapToGrid/>
      <w:sz w:val="24"/>
      <w:szCs w:val="24"/>
    </w:rPr>
  </w:style>
  <w:style w:type="character" w:customStyle="1" w:styleId="Charffffe">
    <w:name w:val="表题注 Char"/>
    <w:link w:val="afffffffc"/>
    <w:qFormat/>
    <w:rPr>
      <w:rFonts w:hAnsi="宋体"/>
      <w:b/>
      <w:kern w:val="2"/>
      <w:sz w:val="21"/>
      <w:szCs w:val="24"/>
    </w:rPr>
  </w:style>
  <w:style w:type="paragraph" w:customStyle="1" w:styleId="afffffffc">
    <w:name w:val="表题注"/>
    <w:basedOn w:val="a6"/>
    <w:link w:val="Charffffe"/>
    <w:qFormat/>
    <w:pPr>
      <w:jc w:val="center"/>
    </w:pPr>
    <w:rPr>
      <w:rFonts w:hAnsi="宋体"/>
      <w:b/>
    </w:rPr>
  </w:style>
  <w:style w:type="character" w:customStyle="1" w:styleId="26CharCharChar">
    <w:name w:val="样式 (符号) 宋体 小四 行距: 固定值 26 磅 Char Char Char"/>
    <w:link w:val="26CharChar"/>
    <w:qFormat/>
    <w:rPr>
      <w:rFonts w:hAnsi="宋体"/>
      <w:color w:val="000000"/>
      <w:kern w:val="2"/>
      <w:sz w:val="28"/>
      <w:szCs w:val="28"/>
    </w:rPr>
  </w:style>
  <w:style w:type="paragraph" w:customStyle="1" w:styleId="26CharChar">
    <w:name w:val="样式 (符号) 宋体 小四 行距: 固定值 26 磅 Char Char"/>
    <w:basedOn w:val="a6"/>
    <w:link w:val="26CharCharChar"/>
    <w:qFormat/>
    <w:pPr>
      <w:spacing w:line="360" w:lineRule="auto"/>
      <w:ind w:firstLineChars="200" w:firstLine="480"/>
    </w:pPr>
    <w:rPr>
      <w:rFonts w:hAnsi="宋体"/>
      <w:color w:val="000000"/>
      <w:sz w:val="28"/>
      <w:szCs w:val="28"/>
    </w:rPr>
  </w:style>
  <w:style w:type="character" w:customStyle="1" w:styleId="FootnoteTextChar">
    <w:name w:val="Footnote Text Char"/>
    <w:qFormat/>
    <w:rPr>
      <w:rFonts w:ascii="宋体" w:eastAsia="宋体"/>
      <w:kern w:val="2"/>
      <w:sz w:val="18"/>
      <w:lang w:val="en-US" w:eastAsia="zh-CN" w:bidi="ar-SA"/>
    </w:rPr>
  </w:style>
  <w:style w:type="character" w:customStyle="1" w:styleId="2TimesNewRomanChar">
    <w:name w:val="样式 标题 2 + (西文) Times New Roman (中文) 黑体 三号 自动设置 Char"/>
    <w:link w:val="2TimesNewRoman"/>
    <w:qFormat/>
    <w:rPr>
      <w:rFonts w:ascii="楷体_GB2312" w:eastAsia="黑体"/>
      <w:b/>
      <w:spacing w:val="10"/>
      <w:kern w:val="2"/>
      <w:sz w:val="30"/>
      <w:szCs w:val="30"/>
    </w:rPr>
  </w:style>
  <w:style w:type="paragraph" w:customStyle="1" w:styleId="2TimesNewRoman">
    <w:name w:val="样式 标题 2 + (西文) Times New Roman (中文) 黑体 三号 自动设置"/>
    <w:basedOn w:val="22"/>
    <w:link w:val="2TimesNewRomanChar"/>
    <w:qFormat/>
    <w:pPr>
      <w:tabs>
        <w:tab w:val="left" w:pos="567"/>
      </w:tabs>
      <w:snapToGrid w:val="0"/>
      <w:spacing w:before="120"/>
      <w:ind w:left="723" w:hangingChars="240" w:hanging="723"/>
    </w:pPr>
    <w:rPr>
      <w:rFonts w:ascii="楷体_GB2312"/>
      <w:bCs w:val="0"/>
      <w:spacing w:val="10"/>
      <w:w w:val="100"/>
      <w:kern w:val="2"/>
      <w:sz w:val="30"/>
      <w:szCs w:val="30"/>
    </w:rPr>
  </w:style>
  <w:style w:type="character" w:customStyle="1" w:styleId="p1501">
    <w:name w:val="p1501"/>
    <w:qFormat/>
    <w:rPr>
      <w:spacing w:val="360"/>
    </w:rPr>
  </w:style>
  <w:style w:type="character" w:customStyle="1" w:styleId="2CharChar3">
    <w:name w:val="正文文字 2 Char Char"/>
    <w:qFormat/>
    <w:rPr>
      <w:kern w:val="2"/>
      <w:sz w:val="21"/>
      <w:szCs w:val="24"/>
    </w:rPr>
  </w:style>
  <w:style w:type="character" w:customStyle="1" w:styleId="hei-92001">
    <w:name w:val="hei-92001"/>
    <w:qFormat/>
    <w:rPr>
      <w:color w:val="000000"/>
      <w:sz w:val="20"/>
      <w:szCs w:val="20"/>
      <w:u w:val="none"/>
    </w:rPr>
  </w:style>
  <w:style w:type="character" w:customStyle="1" w:styleId="dxj2Char">
    <w:name w:val="dxj标题2 Char"/>
    <w:link w:val="dxj2"/>
    <w:qFormat/>
    <w:locked/>
    <w:rPr>
      <w:rFonts w:ascii="Arial" w:eastAsia="黑体" w:hAnsi="Arial"/>
      <w:b/>
      <w:sz w:val="28"/>
      <w:szCs w:val="32"/>
    </w:rPr>
  </w:style>
  <w:style w:type="paragraph" w:customStyle="1" w:styleId="dxj2">
    <w:name w:val="dxj标题2"/>
    <w:basedOn w:val="22"/>
    <w:link w:val="dxj2Char"/>
    <w:qFormat/>
    <w:pPr>
      <w:jc w:val="left"/>
    </w:pPr>
    <w:rPr>
      <w:rFonts w:ascii="Arial" w:hAnsi="Arial"/>
      <w:bCs w:val="0"/>
      <w:spacing w:val="0"/>
      <w:w w:val="100"/>
      <w:kern w:val="0"/>
      <w:szCs w:val="32"/>
    </w:rPr>
  </w:style>
  <w:style w:type="character" w:customStyle="1" w:styleId="con">
    <w:name w:val="con"/>
    <w:qFormat/>
  </w:style>
  <w:style w:type="character" w:customStyle="1" w:styleId="CharCharChar9">
    <w:name w:val="一标题 Char Char Char"/>
    <w:link w:val="Charfffff"/>
    <w:qFormat/>
    <w:rPr>
      <w:sz w:val="28"/>
    </w:rPr>
  </w:style>
  <w:style w:type="paragraph" w:customStyle="1" w:styleId="Charfffff">
    <w:name w:val="一标题 Char"/>
    <w:basedOn w:val="a6"/>
    <w:link w:val="CharCharChar9"/>
    <w:qFormat/>
    <w:pPr>
      <w:widowControl/>
      <w:ind w:firstLineChars="192" w:firstLine="538"/>
      <w:jc w:val="left"/>
    </w:pPr>
    <w:rPr>
      <w:kern w:val="0"/>
      <w:sz w:val="28"/>
      <w:szCs w:val="20"/>
    </w:rPr>
  </w:style>
  <w:style w:type="character" w:customStyle="1" w:styleId="CharCharf9">
    <w:name w:val="正文不加粗 Char Char"/>
    <w:link w:val="afffffffd"/>
    <w:qFormat/>
    <w:rPr>
      <w:rFonts w:ascii="仿宋_GB2312" w:eastAsia="仿宋_GB2312" w:hAnsi="仿宋" w:cs="黑体"/>
      <w:kern w:val="2"/>
      <w:sz w:val="28"/>
      <w:szCs w:val="28"/>
    </w:rPr>
  </w:style>
  <w:style w:type="paragraph" w:customStyle="1" w:styleId="afffffffd">
    <w:name w:val="正文不加粗"/>
    <w:basedOn w:val="a6"/>
    <w:link w:val="CharCharf9"/>
    <w:qFormat/>
    <w:pPr>
      <w:ind w:firstLineChars="200" w:firstLine="200"/>
    </w:pPr>
    <w:rPr>
      <w:rFonts w:ascii="仿宋_GB2312" w:eastAsia="仿宋_GB2312" w:hAnsi="仿宋"/>
      <w:sz w:val="28"/>
      <w:szCs w:val="28"/>
    </w:rPr>
  </w:style>
  <w:style w:type="character" w:customStyle="1" w:styleId="13CharChar">
    <w:name w:val="正文小四首缩1.3行距 Char Char"/>
    <w:qFormat/>
    <w:rPr>
      <w:rFonts w:ascii="宋体" w:hAnsi="宋体"/>
      <w:kern w:val="28"/>
      <w:sz w:val="24"/>
      <w:szCs w:val="24"/>
    </w:rPr>
  </w:style>
  <w:style w:type="character" w:customStyle="1" w:styleId="3CharCharCharChar">
    <w:name w:val="样式 标题 3 + 宋体 Char Char Char Char"/>
    <w:qFormat/>
    <w:rPr>
      <w:b/>
      <w:bCs/>
      <w:sz w:val="32"/>
      <w:szCs w:val="32"/>
    </w:rPr>
  </w:style>
  <w:style w:type="character" w:customStyle="1" w:styleId="CharCharfa">
    <w:name w:val="章标题(无序号) Char Char"/>
    <w:qFormat/>
    <w:rPr>
      <w:rFonts w:eastAsia="黑体"/>
      <w:b/>
      <w:kern w:val="2"/>
      <w:sz w:val="36"/>
      <w:lang w:val="en-US" w:eastAsia="zh-CN" w:bidi="ar-SA"/>
    </w:rPr>
  </w:style>
  <w:style w:type="character" w:customStyle="1" w:styleId="CharChar60">
    <w:name w:val="Char Char6"/>
    <w:qFormat/>
    <w:rPr>
      <w:rFonts w:ascii="宋体" w:eastAsia="宋体" w:hAnsi="宋体"/>
      <w:b/>
      <w:kern w:val="2"/>
      <w:sz w:val="21"/>
      <w:szCs w:val="24"/>
      <w:lang w:val="en-US" w:eastAsia="zh-CN"/>
    </w:rPr>
  </w:style>
  <w:style w:type="character" w:customStyle="1" w:styleId="HTML11">
    <w:name w:val="HTML 代码1"/>
    <w:qFormat/>
    <w:rPr>
      <w:rFonts w:ascii="Courier New" w:eastAsia="宋体" w:hAnsi="Courier New" w:cs="Courier New"/>
      <w:kern w:val="2"/>
      <w:sz w:val="20"/>
      <w:szCs w:val="20"/>
      <w:lang w:val="en-US" w:eastAsia="zh-CN"/>
    </w:rPr>
  </w:style>
  <w:style w:type="character" w:customStyle="1" w:styleId="dxjChar">
    <w:name w:val="dxj表头 Char"/>
    <w:link w:val="dxj"/>
    <w:qFormat/>
    <w:locked/>
    <w:rPr>
      <w:rFonts w:eastAsia="黑体"/>
      <w:szCs w:val="21"/>
    </w:rPr>
  </w:style>
  <w:style w:type="paragraph" w:customStyle="1" w:styleId="dxj">
    <w:name w:val="dxj表头"/>
    <w:basedOn w:val="a6"/>
    <w:link w:val="dxjChar"/>
    <w:qFormat/>
    <w:pPr>
      <w:jc w:val="center"/>
    </w:pPr>
    <w:rPr>
      <w:rFonts w:eastAsia="黑体"/>
      <w:kern w:val="0"/>
      <w:sz w:val="20"/>
      <w:szCs w:val="21"/>
    </w:rPr>
  </w:style>
  <w:style w:type="character" w:customStyle="1" w:styleId="textediteditable-title">
    <w:name w:val="text_edit editable-title"/>
    <w:qFormat/>
  </w:style>
  <w:style w:type="character" w:customStyle="1" w:styleId="CharCharCharCharCharChar">
    <w:name w:val="表文字 Char Char Char Char Char Char"/>
    <w:link w:val="CharCharCharCharChar2"/>
    <w:qFormat/>
    <w:rPr>
      <w:sz w:val="21"/>
      <w:szCs w:val="21"/>
      <w:lang w:val="en-US" w:eastAsia="zh-CN" w:bidi="ar-SA"/>
    </w:rPr>
  </w:style>
  <w:style w:type="paragraph" w:customStyle="1" w:styleId="CharCharCharCharChar2">
    <w:name w:val="表文字 Char Char Char Char Char"/>
    <w:link w:val="CharCharCharCharCharChar"/>
    <w:qFormat/>
    <w:pPr>
      <w:spacing w:line="300" w:lineRule="exact"/>
    </w:pPr>
    <w:rPr>
      <w:sz w:val="21"/>
      <w:szCs w:val="21"/>
    </w:rPr>
  </w:style>
  <w:style w:type="character" w:customStyle="1" w:styleId="CharChar101">
    <w:name w:val="Char Char101"/>
    <w:qFormat/>
    <w:rPr>
      <w:kern w:val="2"/>
      <w:sz w:val="21"/>
      <w:szCs w:val="24"/>
    </w:rPr>
  </w:style>
  <w:style w:type="character" w:customStyle="1" w:styleId="EmailStyle542">
    <w:name w:val="EmailStyle542"/>
    <w:qFormat/>
    <w:rPr>
      <w:rFonts w:ascii="Arial" w:eastAsia="宋体" w:hAnsi="Arial" w:cs="Arial"/>
      <w:color w:val="auto"/>
      <w:sz w:val="20"/>
    </w:rPr>
  </w:style>
  <w:style w:type="character" w:customStyle="1" w:styleId="Char28">
    <w:name w:val="正文首行缩进 Char2"/>
    <w:qFormat/>
    <w:rPr>
      <w:rFonts w:ascii="Calibri" w:hAnsi="Calibri"/>
      <w:szCs w:val="24"/>
    </w:rPr>
  </w:style>
  <w:style w:type="character" w:customStyle="1" w:styleId="xxxxxChar">
    <w:name w:val="xxxxx正文 Char"/>
    <w:link w:val="xxxxx"/>
    <w:qFormat/>
    <w:rPr>
      <w:rFonts w:ascii="宋体"/>
      <w:sz w:val="24"/>
      <w:lang w:val="zh-CN"/>
    </w:rPr>
  </w:style>
  <w:style w:type="paragraph" w:customStyle="1" w:styleId="xxxxx">
    <w:name w:val="xxxxx正文"/>
    <w:basedOn w:val="a6"/>
    <w:link w:val="xxxxxChar"/>
    <w:qFormat/>
    <w:pPr>
      <w:topLinePunct/>
      <w:spacing w:line="360" w:lineRule="auto"/>
      <w:ind w:firstLineChars="200" w:firstLine="200"/>
    </w:pPr>
    <w:rPr>
      <w:rFonts w:ascii="宋体"/>
      <w:kern w:val="0"/>
      <w:sz w:val="24"/>
      <w:szCs w:val="20"/>
      <w:lang w:val="zh-CN"/>
    </w:rPr>
  </w:style>
  <w:style w:type="character" w:customStyle="1" w:styleId="wangChar">
    <w:name w:val="正文wang Char"/>
    <w:link w:val="wang"/>
    <w:qFormat/>
    <w:rPr>
      <w:rFonts w:hAnsi="宋体"/>
      <w:sz w:val="21"/>
      <w:szCs w:val="21"/>
    </w:rPr>
  </w:style>
  <w:style w:type="paragraph" w:customStyle="1" w:styleId="wang">
    <w:name w:val="正文wang"/>
    <w:basedOn w:val="a6"/>
    <w:link w:val="wangChar"/>
    <w:qFormat/>
    <w:pPr>
      <w:adjustRightInd w:val="0"/>
      <w:spacing w:beforeLines="25"/>
      <w:ind w:firstLine="420"/>
    </w:pPr>
    <w:rPr>
      <w:rFonts w:hAnsi="宋体"/>
      <w:kern w:val="0"/>
      <w:szCs w:val="21"/>
    </w:rPr>
  </w:style>
  <w:style w:type="character" w:customStyle="1" w:styleId="afffffffe">
    <w:name w:val="样式 黑体 三号"/>
    <w:qFormat/>
    <w:rPr>
      <w:rFonts w:ascii="黑体" w:eastAsia="黑体"/>
      <w:b/>
      <w:position w:val="8"/>
      <w:sz w:val="32"/>
      <w:szCs w:val="32"/>
    </w:rPr>
  </w:style>
  <w:style w:type="character" w:customStyle="1" w:styleId="5CharCharChar0">
    <w:name w:val="表内小5 Char Char Char"/>
    <w:qFormat/>
    <w:rPr>
      <w:rFonts w:ascii="宋体" w:eastAsia="宋体" w:hAnsi="宋体"/>
      <w:kern w:val="2"/>
      <w:sz w:val="21"/>
      <w:szCs w:val="21"/>
      <w:lang w:val="en-US" w:eastAsia="zh-CN" w:bidi="ar-SA"/>
    </w:rPr>
  </w:style>
  <w:style w:type="character" w:customStyle="1" w:styleId="QuoteChar">
    <w:name w:val="Quote Char"/>
    <w:link w:val="1fb"/>
    <w:qFormat/>
    <w:rPr>
      <w:i/>
      <w:iCs/>
      <w:color w:val="000000"/>
      <w:sz w:val="22"/>
      <w:szCs w:val="22"/>
      <w:lang w:eastAsia="en-US"/>
    </w:rPr>
  </w:style>
  <w:style w:type="paragraph" w:customStyle="1" w:styleId="1fb">
    <w:name w:val="引用1"/>
    <w:basedOn w:val="a6"/>
    <w:next w:val="a6"/>
    <w:link w:val="QuoteChar"/>
    <w:qFormat/>
    <w:pPr>
      <w:widowControl/>
      <w:spacing w:after="200" w:line="276" w:lineRule="auto"/>
      <w:jc w:val="left"/>
    </w:pPr>
    <w:rPr>
      <w:i/>
      <w:iCs/>
      <w:color w:val="000000"/>
      <w:kern w:val="0"/>
      <w:sz w:val="22"/>
      <w:szCs w:val="22"/>
      <w:lang w:eastAsia="en-US"/>
    </w:rPr>
  </w:style>
  <w:style w:type="character" w:customStyle="1" w:styleId="flzxp1">
    <w:name w:val="flzx_p1"/>
    <w:qFormat/>
    <w:rPr>
      <w:rFonts w:ascii="Arial" w:hAnsi="Arial" w:cs="Arial" w:hint="default"/>
      <w:color w:val="003483"/>
      <w:sz w:val="30"/>
      <w:szCs w:val="30"/>
      <w:u w:val="none"/>
    </w:rPr>
  </w:style>
  <w:style w:type="character" w:customStyle="1" w:styleId="4Char13">
    <w:name w:val="标题 4 Char13"/>
    <w:qFormat/>
    <w:rPr>
      <w:rFonts w:ascii="Arial" w:eastAsia="宋体" w:hAnsi="Arial"/>
      <w:snapToGrid/>
      <w:kern w:val="2"/>
      <w:sz w:val="24"/>
      <w:szCs w:val="24"/>
      <w:lang w:val="en-US" w:eastAsia="zh-CN" w:bidi="ar-SA"/>
    </w:rPr>
  </w:style>
  <w:style w:type="character" w:customStyle="1" w:styleId="Char29">
    <w:name w:val="批注文字 Char2"/>
    <w:qFormat/>
    <w:rPr>
      <w:kern w:val="2"/>
      <w:sz w:val="21"/>
      <w:szCs w:val="22"/>
    </w:rPr>
  </w:style>
  <w:style w:type="character" w:customStyle="1" w:styleId="CharCharChar10">
    <w:name w:val="正文文字 Char Char Char1"/>
    <w:qFormat/>
    <w:rPr>
      <w:rFonts w:ascii="宋体" w:eastAsia="宋体"/>
      <w:color w:val="000000"/>
      <w:kern w:val="2"/>
      <w:sz w:val="24"/>
      <w:lang w:val="en-US" w:eastAsia="zh-CN" w:bidi="ar-SA"/>
    </w:rPr>
  </w:style>
  <w:style w:type="character" w:customStyle="1" w:styleId="CharCharfb">
    <w:name w:val="图表题 Char Char"/>
    <w:link w:val="affffffff"/>
    <w:qFormat/>
    <w:rPr>
      <w:rFonts w:ascii="黑体" w:eastAsia="黑体" w:hAnsi="宋体"/>
      <w:b/>
      <w:kern w:val="2"/>
      <w:sz w:val="24"/>
    </w:rPr>
  </w:style>
  <w:style w:type="paragraph" w:customStyle="1" w:styleId="affffffff">
    <w:name w:val="图表题"/>
    <w:basedOn w:val="affffa"/>
    <w:next w:val="affffa"/>
    <w:link w:val="CharCharfb"/>
    <w:qFormat/>
    <w:pPr>
      <w:ind w:firstLine="0"/>
      <w:jc w:val="center"/>
    </w:pPr>
    <w:rPr>
      <w:rFonts w:ascii="黑体" w:eastAsia="黑体"/>
      <w:b/>
    </w:rPr>
  </w:style>
  <w:style w:type="character" w:customStyle="1" w:styleId="Charfffff0">
    <w:name w:val="表后空格 Char"/>
    <w:link w:val="affffffff0"/>
    <w:qFormat/>
    <w:rPr>
      <w:rFonts w:ascii="楷体_GB2312" w:eastAsia="楷体_GB2312" w:hAnsi="楷体_GB2312"/>
      <w:color w:val="000000"/>
      <w:w w:val="110"/>
      <w:sz w:val="24"/>
      <w:szCs w:val="24"/>
    </w:rPr>
  </w:style>
  <w:style w:type="paragraph" w:customStyle="1" w:styleId="affffffff0">
    <w:name w:val="表后空格"/>
    <w:basedOn w:val="affff4"/>
    <w:link w:val="Charfffff0"/>
    <w:qFormat/>
    <w:pPr>
      <w:spacing w:line="240" w:lineRule="exact"/>
      <w:ind w:firstLine="480"/>
    </w:pPr>
  </w:style>
  <w:style w:type="character" w:customStyle="1" w:styleId="bluetxt1">
    <w:name w:val="bluetxt1"/>
    <w:qFormat/>
  </w:style>
  <w:style w:type="character" w:customStyle="1" w:styleId="4CharChar5">
    <w:name w:val="标题 4 Char Char5"/>
    <w:qFormat/>
    <w:rPr>
      <w:rFonts w:eastAsia="宋体"/>
      <w:snapToGrid/>
      <w:kern w:val="2"/>
      <w:sz w:val="24"/>
      <w:szCs w:val="24"/>
      <w:lang w:val="en-US" w:eastAsia="zh-CN" w:bidi="ar-SA"/>
    </w:rPr>
  </w:style>
  <w:style w:type="character" w:customStyle="1" w:styleId="CharChar21">
    <w:name w:val="Char Char21"/>
    <w:qFormat/>
    <w:rPr>
      <w:rFonts w:eastAsia="仿宋_GB2312"/>
      <w:spacing w:val="-4"/>
      <w:kern w:val="20"/>
      <w:sz w:val="28"/>
      <w:lang w:val="en-US" w:eastAsia="zh-CN" w:bidi="ar-SA"/>
    </w:rPr>
  </w:style>
  <w:style w:type="character" w:customStyle="1" w:styleId="1CharChar6">
    <w:name w:val="（1）标题 Char Char"/>
    <w:link w:val="1fc"/>
    <w:qFormat/>
    <w:rPr>
      <w:sz w:val="28"/>
    </w:rPr>
  </w:style>
  <w:style w:type="paragraph" w:customStyle="1" w:styleId="1fc">
    <w:name w:val="（1）标题"/>
    <w:basedOn w:val="a6"/>
    <w:link w:val="1CharChar6"/>
    <w:qFormat/>
    <w:pPr>
      <w:widowControl/>
      <w:ind w:firstLineChars="200" w:firstLine="560"/>
      <w:jc w:val="left"/>
    </w:pPr>
    <w:rPr>
      <w:kern w:val="0"/>
      <w:sz w:val="28"/>
      <w:szCs w:val="20"/>
    </w:rPr>
  </w:style>
  <w:style w:type="character" w:customStyle="1" w:styleId="01Char2">
    <w:name w:val="正文01 Char2"/>
    <w:qFormat/>
    <w:rPr>
      <w:rFonts w:ascii="Times New Roman" w:eastAsia="宋体" w:hAnsi="Times New Roman" w:cs="Times New Roman"/>
      <w:color w:val="000000"/>
      <w:kern w:val="0"/>
      <w:sz w:val="24"/>
      <w:szCs w:val="18"/>
    </w:rPr>
  </w:style>
  <w:style w:type="character" w:customStyle="1" w:styleId="CharCharfc">
    <w:name w:val="无间隔 Char Char"/>
    <w:link w:val="3f7"/>
    <w:qFormat/>
    <w:rPr>
      <w:sz w:val="22"/>
      <w:lang w:val="en-US" w:eastAsia="zh-CN" w:bidi="ar-SA"/>
    </w:rPr>
  </w:style>
  <w:style w:type="paragraph" w:customStyle="1" w:styleId="3f7">
    <w:name w:val="无间隔3"/>
    <w:link w:val="CharCharfc"/>
    <w:qFormat/>
    <w:rPr>
      <w:sz w:val="22"/>
    </w:rPr>
  </w:style>
  <w:style w:type="character" w:customStyle="1" w:styleId="ca-6">
    <w:name w:val="ca-6"/>
    <w:qFormat/>
  </w:style>
  <w:style w:type="character" w:customStyle="1" w:styleId="001CharChar">
    <w:name w:val="正文001 Char Char"/>
    <w:link w:val="001"/>
    <w:qFormat/>
    <w:rPr>
      <w:kern w:val="2"/>
      <w:sz w:val="24"/>
    </w:rPr>
  </w:style>
  <w:style w:type="paragraph" w:customStyle="1" w:styleId="001">
    <w:name w:val="正文001"/>
    <w:basedOn w:val="a6"/>
    <w:link w:val="001CharChar"/>
    <w:qFormat/>
    <w:pPr>
      <w:spacing w:line="500" w:lineRule="atLeast"/>
      <w:ind w:firstLineChars="200" w:firstLine="200"/>
    </w:pPr>
    <w:rPr>
      <w:sz w:val="24"/>
      <w:szCs w:val="20"/>
    </w:rPr>
  </w:style>
  <w:style w:type="character" w:customStyle="1" w:styleId="msoins0">
    <w:name w:val="msoins"/>
    <w:qFormat/>
  </w:style>
  <w:style w:type="character" w:customStyle="1" w:styleId="3CharChar1">
    <w:name w:val="正文3 Char Char"/>
    <w:qFormat/>
    <w:rPr>
      <w:rFonts w:ascii="楷体_GB2312" w:eastAsia="楷体_GB2312" w:hAnsi="Calibri"/>
      <w:b/>
      <w:kern w:val="2"/>
      <w:sz w:val="24"/>
      <w:szCs w:val="24"/>
      <w:lang w:bidi="ar-SA"/>
    </w:rPr>
  </w:style>
  <w:style w:type="character" w:customStyle="1" w:styleId="mytext1">
    <w:name w:val="mytext1"/>
    <w:qFormat/>
  </w:style>
  <w:style w:type="character" w:customStyle="1" w:styleId="Charfffff1">
    <w:name w:val="表样式 Char"/>
    <w:qFormat/>
    <w:rPr>
      <w:rFonts w:ascii="黑体" w:eastAsia="黑体"/>
      <w:kern w:val="2"/>
      <w:sz w:val="28"/>
      <w:lang w:val="en-US" w:eastAsia="zh-CN"/>
    </w:rPr>
  </w:style>
  <w:style w:type="character" w:customStyle="1" w:styleId="Charfffff2">
    <w:name w:val="报告书表格 Char"/>
    <w:qFormat/>
    <w:rPr>
      <w:rFonts w:ascii="Times New Roman" w:eastAsia="宋体" w:hAnsi="Times New Roman" w:cs="Times New Roman"/>
      <w:kern w:val="0"/>
      <w:szCs w:val="20"/>
    </w:rPr>
  </w:style>
  <w:style w:type="character" w:customStyle="1" w:styleId="1Char12">
    <w:name w:val="正文1 Char1"/>
    <w:qFormat/>
    <w:rPr>
      <w:rFonts w:eastAsia="楷体_GB2312"/>
      <w:kern w:val="2"/>
      <w:sz w:val="28"/>
      <w:lang w:val="en-US" w:eastAsia="zh-CN"/>
    </w:rPr>
  </w:style>
  <w:style w:type="character" w:customStyle="1" w:styleId="3CharCharCharCharChar0">
    <w:name w:val="标题 3 Char Char Char Char Char"/>
    <w:qFormat/>
    <w:rPr>
      <w:rFonts w:ascii="宋体" w:eastAsia="宋体" w:hAnsi="宋体"/>
      <w:b/>
      <w:bCs/>
      <w:kern w:val="2"/>
      <w:sz w:val="28"/>
      <w:szCs w:val="32"/>
      <w:lang w:val="en-US" w:eastAsia="zh-CN" w:bidi="ar-SA"/>
    </w:rPr>
  </w:style>
  <w:style w:type="character" w:customStyle="1" w:styleId="0CharChar">
    <w:name w:val="0 Char Char"/>
    <w:link w:val="0"/>
    <w:qFormat/>
    <w:rPr>
      <w:rFonts w:ascii="Arial" w:eastAsia="仿宋_GB2312" w:hAnsi="宋体"/>
      <w:sz w:val="18"/>
    </w:rPr>
  </w:style>
  <w:style w:type="paragraph" w:customStyle="1" w:styleId="0">
    <w:name w:val="0"/>
    <w:basedOn w:val="a6"/>
    <w:link w:val="0CharChar"/>
    <w:qFormat/>
    <w:pPr>
      <w:tabs>
        <w:tab w:val="left" w:pos="975"/>
      </w:tabs>
      <w:wordWrap w:val="0"/>
      <w:overflowPunct w:val="0"/>
      <w:snapToGrid w:val="0"/>
      <w:jc w:val="left"/>
    </w:pPr>
    <w:rPr>
      <w:rFonts w:ascii="Arial" w:eastAsia="仿宋_GB2312" w:hAnsi="宋体"/>
      <w:kern w:val="0"/>
      <w:sz w:val="18"/>
      <w:szCs w:val="20"/>
    </w:rPr>
  </w:style>
  <w:style w:type="character" w:customStyle="1" w:styleId="HTMLCharChar2">
    <w:name w:val="HTML 预先格式化 Char Char2"/>
    <w:qFormat/>
    <w:rPr>
      <w:rFonts w:ascii="宋体" w:eastAsia="宋体" w:hAnsi="宋体"/>
      <w:color w:val="000000"/>
      <w:sz w:val="21"/>
      <w:szCs w:val="21"/>
      <w:lang w:val="en-US" w:eastAsia="zh-CN" w:bidi="ar-SA"/>
    </w:rPr>
  </w:style>
  <w:style w:type="character" w:customStyle="1" w:styleId="unnamed11">
    <w:name w:val="unnamed11"/>
    <w:qFormat/>
    <w:rPr>
      <w:color w:val="000000"/>
      <w:spacing w:val="450"/>
      <w:sz w:val="18"/>
    </w:rPr>
  </w:style>
  <w:style w:type="character" w:customStyle="1" w:styleId="5Char3">
    <w:name w:val="表内小5 Char"/>
    <w:qFormat/>
    <w:rPr>
      <w:rFonts w:ascii="宋体" w:eastAsia="宋体" w:hAnsi="宋体"/>
      <w:kern w:val="2"/>
      <w:sz w:val="21"/>
      <w:szCs w:val="21"/>
      <w:lang w:val="en-US" w:eastAsia="zh-CN" w:bidi="ar-SA"/>
    </w:rPr>
  </w:style>
  <w:style w:type="character" w:customStyle="1" w:styleId="Charfffff3">
    <w:name w:val="表中文字石 Char"/>
    <w:link w:val="affffffff1"/>
    <w:qFormat/>
    <w:rPr>
      <w:rFonts w:cs="Arial"/>
      <w:kern w:val="2"/>
      <w:sz w:val="18"/>
      <w:szCs w:val="18"/>
      <w:lang w:val="en-US" w:eastAsia="zh-CN" w:bidi="ar-SA"/>
    </w:rPr>
  </w:style>
  <w:style w:type="paragraph" w:customStyle="1" w:styleId="affffffff1">
    <w:name w:val="表中文字石"/>
    <w:next w:val="a6"/>
    <w:link w:val="Charfffff3"/>
    <w:qFormat/>
    <w:pPr>
      <w:widowControl w:val="0"/>
      <w:tabs>
        <w:tab w:val="left" w:pos="7335"/>
      </w:tabs>
      <w:jc w:val="center"/>
    </w:pPr>
    <w:rPr>
      <w:rFonts w:cs="Arial"/>
      <w:kern w:val="2"/>
      <w:sz w:val="18"/>
      <w:szCs w:val="18"/>
    </w:rPr>
  </w:style>
  <w:style w:type="character" w:customStyle="1" w:styleId="smallpromostyle14">
    <w:name w:val="smallpromo  style14"/>
    <w:basedOn w:val="a7"/>
    <w:qFormat/>
  </w:style>
  <w:style w:type="character" w:customStyle="1" w:styleId="CharCharChara">
    <w:name w:val="列表 Char Char Char"/>
    <w:qFormat/>
    <w:rPr>
      <w:rFonts w:ascii="Times New Roman" w:hAnsi="Times New Roman"/>
      <w:spacing w:val="4"/>
      <w:sz w:val="21"/>
    </w:rPr>
  </w:style>
  <w:style w:type="character" w:customStyle="1" w:styleId="Charfffff4">
    <w:name w:val="表格文字中 Char"/>
    <w:link w:val="affffffff2"/>
    <w:qFormat/>
    <w:rPr>
      <w:sz w:val="21"/>
      <w:szCs w:val="24"/>
    </w:rPr>
  </w:style>
  <w:style w:type="paragraph" w:customStyle="1" w:styleId="affffffff2">
    <w:name w:val="表格文字中"/>
    <w:basedOn w:val="a6"/>
    <w:link w:val="Charfffff4"/>
    <w:qFormat/>
    <w:pPr>
      <w:jc w:val="center"/>
    </w:pPr>
    <w:rPr>
      <w:kern w:val="0"/>
    </w:rPr>
  </w:style>
  <w:style w:type="character" w:customStyle="1" w:styleId="Footer1CharChar">
    <w:name w:val="Footer1 Char Char"/>
    <w:qFormat/>
    <w:rPr>
      <w:sz w:val="18"/>
      <w:szCs w:val="18"/>
    </w:rPr>
  </w:style>
  <w:style w:type="character" w:customStyle="1" w:styleId="CharCharCharb">
    <w:name w:val="Char Char Char"/>
    <w:qFormat/>
    <w:rPr>
      <w:rFonts w:eastAsia="宋体"/>
      <w:b/>
      <w:bCs/>
      <w:sz w:val="32"/>
      <w:szCs w:val="32"/>
      <w:lang w:val="en-US" w:eastAsia="zh-CN"/>
    </w:rPr>
  </w:style>
  <w:style w:type="character" w:customStyle="1" w:styleId="GB2312">
    <w:name w:val="样式 (西文) 宋体 (中文) 仿宋_GB2312 黑色"/>
    <w:qFormat/>
    <w:rPr>
      <w:rFonts w:ascii="Times New Roman" w:eastAsia="仿宋_GB2312" w:hAnsi="Times New Roman" w:cs="Courier New"/>
      <w:color w:val="000000"/>
      <w:kern w:val="2"/>
      <w:sz w:val="32"/>
      <w:szCs w:val="32"/>
      <w:lang w:val="en-US" w:eastAsia="zh-CN" w:bidi="ar-SA"/>
    </w:rPr>
  </w:style>
  <w:style w:type="character" w:customStyle="1" w:styleId="CharChar70">
    <w:name w:val="Char Char7"/>
    <w:uiPriority w:val="99"/>
    <w:qFormat/>
    <w:rPr>
      <w:kern w:val="2"/>
      <w:sz w:val="18"/>
    </w:rPr>
  </w:style>
  <w:style w:type="character" w:customStyle="1" w:styleId="HTMLChar2">
    <w:name w:val="HTML 地址 Char2"/>
    <w:qFormat/>
    <w:rPr>
      <w:i/>
      <w:iCs/>
      <w:kern w:val="2"/>
      <w:sz w:val="24"/>
      <w:szCs w:val="24"/>
    </w:rPr>
  </w:style>
  <w:style w:type="character" w:customStyle="1" w:styleId="Char1f2">
    <w:name w:val="引用 Char1"/>
    <w:qFormat/>
    <w:rPr>
      <w:i/>
      <w:iCs/>
      <w:color w:val="404040"/>
      <w:kern w:val="2"/>
      <w:sz w:val="21"/>
      <w:szCs w:val="24"/>
    </w:rPr>
  </w:style>
  <w:style w:type="character" w:customStyle="1" w:styleId="Char2a">
    <w:name w:val="信息标题 Char2"/>
    <w:qFormat/>
    <w:rPr>
      <w:rFonts w:ascii="Cambria" w:eastAsia="宋体" w:hAnsi="Cambria" w:cs="Times New Roman"/>
      <w:kern w:val="2"/>
      <w:sz w:val="24"/>
      <w:szCs w:val="24"/>
      <w:shd w:val="pct20" w:color="auto" w:fill="auto"/>
    </w:rPr>
  </w:style>
  <w:style w:type="character" w:customStyle="1" w:styleId="Char34">
    <w:name w:val="正文首行缩进 Char3"/>
    <w:uiPriority w:val="99"/>
    <w:qFormat/>
    <w:rPr>
      <w:kern w:val="2"/>
      <w:sz w:val="24"/>
      <w:szCs w:val="24"/>
    </w:rPr>
  </w:style>
  <w:style w:type="character" w:customStyle="1" w:styleId="Char2b">
    <w:name w:val="正文文本 Char2"/>
    <w:qFormat/>
    <w:rPr>
      <w:kern w:val="2"/>
      <w:sz w:val="24"/>
      <w:szCs w:val="24"/>
    </w:rPr>
  </w:style>
  <w:style w:type="character" w:customStyle="1" w:styleId="22Char">
    <w:name w:val="标题2 国寰 标题2 Char"/>
    <w:link w:val="224"/>
    <w:qFormat/>
    <w:rPr>
      <w:rFonts w:eastAsia="黑体" w:cs="宋体"/>
      <w:bCs/>
      <w:color w:val="000000"/>
      <w:kern w:val="2"/>
      <w:sz w:val="28"/>
      <w:szCs w:val="32"/>
    </w:rPr>
  </w:style>
  <w:style w:type="paragraph" w:customStyle="1" w:styleId="224">
    <w:name w:val="标题2 国寰 标题2"/>
    <w:basedOn w:val="22"/>
    <w:next w:val="af8"/>
    <w:link w:val="22Char"/>
    <w:qFormat/>
    <w:pPr>
      <w:adjustRightInd w:val="0"/>
      <w:ind w:left="1003" w:hanging="578"/>
    </w:pPr>
    <w:rPr>
      <w:b/>
      <w:color w:val="000000"/>
      <w:spacing w:val="0"/>
      <w:w w:val="100"/>
      <w:kern w:val="2"/>
      <w:szCs w:val="32"/>
    </w:rPr>
  </w:style>
  <w:style w:type="character" w:customStyle="1" w:styleId="CharChar161">
    <w:name w:val="Char Char161"/>
    <w:qFormat/>
    <w:rPr>
      <w:rFonts w:ascii="宋体" w:hAnsi="Courier New"/>
      <w:kern w:val="2"/>
      <w:sz w:val="21"/>
      <w:szCs w:val="21"/>
      <w:lang w:bidi="ar-SA"/>
    </w:rPr>
  </w:style>
  <w:style w:type="character" w:customStyle="1" w:styleId="djen2">
    <w:name w:val="djen2"/>
    <w:qFormat/>
    <w:rPr>
      <w:color w:val="3476CD"/>
    </w:rPr>
  </w:style>
  <w:style w:type="character" w:customStyle="1" w:styleId="4CharChar2">
    <w:name w:val="表格标题4 Char Char"/>
    <w:link w:val="4f"/>
    <w:qFormat/>
    <w:rPr>
      <w:rFonts w:ascii="宋体" w:hAnsi="华文细黑"/>
      <w:b/>
      <w:spacing w:val="8"/>
      <w:sz w:val="28"/>
    </w:rPr>
  </w:style>
  <w:style w:type="paragraph" w:customStyle="1" w:styleId="4f">
    <w:name w:val="表格标题4"/>
    <w:basedOn w:val="a6"/>
    <w:link w:val="4CharChar2"/>
    <w:qFormat/>
    <w:pPr>
      <w:widowControl/>
      <w:autoSpaceDE w:val="0"/>
      <w:autoSpaceDN w:val="0"/>
      <w:adjustRightInd w:val="0"/>
      <w:snapToGrid w:val="0"/>
      <w:spacing w:after="200" w:line="360" w:lineRule="auto"/>
      <w:ind w:firstLine="221"/>
      <w:jc w:val="center"/>
      <w:textAlignment w:val="bottom"/>
    </w:pPr>
    <w:rPr>
      <w:rFonts w:ascii="宋体" w:hAnsi="华文细黑"/>
      <w:b/>
      <w:spacing w:val="8"/>
      <w:kern w:val="0"/>
      <w:sz w:val="28"/>
      <w:szCs w:val="20"/>
    </w:rPr>
  </w:style>
  <w:style w:type="character" w:customStyle="1" w:styleId="123CharCharCharCharCharChar">
    <w:name w:val="123 Char Char Char Char Char Char"/>
    <w:qFormat/>
    <w:rPr>
      <w:rFonts w:ascii="宋体" w:eastAsia="宋体" w:hAnsi="宋体"/>
      <w:b/>
      <w:spacing w:val="20"/>
      <w:kern w:val="2"/>
      <w:sz w:val="28"/>
      <w:lang w:val="en-US" w:eastAsia="zh-CN"/>
    </w:rPr>
  </w:style>
  <w:style w:type="character" w:customStyle="1" w:styleId="CharCharfd">
    <w:name w:val="设计正文 Char Char"/>
    <w:semiHidden/>
    <w:qFormat/>
    <w:rPr>
      <w:rFonts w:ascii="宋体"/>
      <w:kern w:val="2"/>
      <w:sz w:val="24"/>
    </w:rPr>
  </w:style>
  <w:style w:type="character" w:customStyle="1" w:styleId="1fd">
    <w:name w:val="明显参考1"/>
    <w:qFormat/>
    <w:rPr>
      <w:smallCaps/>
      <w:spacing w:val="5"/>
      <w:u w:val="single"/>
    </w:rPr>
  </w:style>
  <w:style w:type="character" w:customStyle="1" w:styleId="1fe">
    <w:name w:val="明显强调1"/>
    <w:qFormat/>
    <w:rPr>
      <w:b/>
      <w:bCs/>
    </w:rPr>
  </w:style>
  <w:style w:type="character" w:customStyle="1" w:styleId="1ff">
    <w:name w:val="不明显强调1"/>
    <w:qFormat/>
    <w:rPr>
      <w:i/>
      <w:iCs/>
    </w:rPr>
  </w:style>
  <w:style w:type="character" w:customStyle="1" w:styleId="Char2c">
    <w:name w:val="批注框文本 Char2"/>
    <w:uiPriority w:val="99"/>
    <w:semiHidden/>
    <w:qFormat/>
    <w:rPr>
      <w:sz w:val="18"/>
      <w:szCs w:val="18"/>
    </w:rPr>
  </w:style>
  <w:style w:type="character" w:customStyle="1" w:styleId="Document2">
    <w:name w:val="Document 2"/>
    <w:qFormat/>
    <w:rPr>
      <w:rFonts w:ascii="Courier" w:hAnsi="Courier"/>
      <w:sz w:val="24"/>
      <w:lang w:val="en-US"/>
    </w:rPr>
  </w:style>
  <w:style w:type="character" w:customStyle="1" w:styleId="CharChar42">
    <w:name w:val="Char Char42"/>
    <w:qFormat/>
    <w:rPr>
      <w:rFonts w:ascii="宋体" w:eastAsia="宋体" w:hAnsi="Courier New" w:cs="Courier New"/>
      <w:kern w:val="2"/>
      <w:sz w:val="21"/>
      <w:szCs w:val="21"/>
      <w:lang w:val="en-US" w:eastAsia="zh-CN" w:bidi="ar-SA"/>
    </w:rPr>
  </w:style>
  <w:style w:type="character" w:customStyle="1" w:styleId="Document6">
    <w:name w:val="Document 6"/>
    <w:qFormat/>
  </w:style>
  <w:style w:type="character" w:customStyle="1" w:styleId="Technical1">
    <w:name w:val="Technical 1"/>
    <w:qFormat/>
    <w:rPr>
      <w:rFonts w:ascii="Courier" w:hAnsi="Courier"/>
      <w:sz w:val="24"/>
      <w:lang w:val="en-US"/>
    </w:rPr>
  </w:style>
  <w:style w:type="character" w:customStyle="1" w:styleId="EquationCaption">
    <w:name w:val="_Equation Caption"/>
    <w:qFormat/>
  </w:style>
  <w:style w:type="character" w:customStyle="1" w:styleId="Technical3">
    <w:name w:val="Technical 3"/>
    <w:qFormat/>
    <w:rPr>
      <w:rFonts w:ascii="Courier" w:hAnsi="Courier"/>
      <w:sz w:val="24"/>
      <w:lang w:val="en-US"/>
    </w:rPr>
  </w:style>
  <w:style w:type="character" w:customStyle="1" w:styleId="Charfffff5">
    <w:name w:val="条文首行缩进 Char"/>
    <w:link w:val="affffffff3"/>
    <w:qFormat/>
    <w:rPr>
      <w:rFonts w:ascii="Calibri" w:hAnsi="Calibri"/>
      <w:kern w:val="2"/>
      <w:sz w:val="21"/>
      <w:szCs w:val="22"/>
    </w:rPr>
  </w:style>
  <w:style w:type="paragraph" w:customStyle="1" w:styleId="affffffff3">
    <w:name w:val="条文首行缩进"/>
    <w:basedOn w:val="af0"/>
    <w:link w:val="Charfffff5"/>
    <w:qFormat/>
    <w:pPr>
      <w:adjustRightInd/>
      <w:spacing w:line="240" w:lineRule="auto"/>
      <w:ind w:firstLine="0"/>
      <w:jc w:val="both"/>
      <w:textAlignment w:val="auto"/>
    </w:pPr>
    <w:rPr>
      <w:rFonts w:ascii="Calibri" w:hAnsi="Calibri"/>
      <w:kern w:val="2"/>
      <w:sz w:val="21"/>
      <w:szCs w:val="22"/>
    </w:rPr>
  </w:style>
  <w:style w:type="character" w:customStyle="1" w:styleId="Charfffff6">
    <w:name w:val="标题行 Char"/>
    <w:link w:val="affffffff4"/>
    <w:qFormat/>
    <w:rPr>
      <w:rFonts w:ascii="Arial" w:eastAsia="黑体" w:hAnsi="Arial"/>
      <w:sz w:val="21"/>
    </w:rPr>
  </w:style>
  <w:style w:type="paragraph" w:customStyle="1" w:styleId="affffffff4">
    <w:name w:val="标题行"/>
    <w:link w:val="Charfffff6"/>
    <w:qFormat/>
    <w:pPr>
      <w:spacing w:line="500" w:lineRule="atLeast"/>
    </w:pPr>
    <w:rPr>
      <w:rFonts w:ascii="Arial" w:eastAsia="黑体" w:hAnsi="Arial"/>
      <w:sz w:val="21"/>
    </w:rPr>
  </w:style>
  <w:style w:type="paragraph" w:customStyle="1" w:styleId="affffffff5">
    <w:name w:val="表格内容"/>
    <w:basedOn w:val="a6"/>
    <w:link w:val="Charfffff7"/>
    <w:qFormat/>
    <w:pPr>
      <w:adjustRightInd w:val="0"/>
      <w:snapToGrid w:val="0"/>
      <w:spacing w:line="280" w:lineRule="exact"/>
      <w:ind w:leftChars="-15" w:left="-31" w:rightChars="-15" w:right="-31"/>
      <w:jc w:val="center"/>
    </w:pPr>
    <w:rPr>
      <w:color w:val="000000"/>
      <w:sz w:val="18"/>
      <w:szCs w:val="18"/>
    </w:rPr>
  </w:style>
  <w:style w:type="character" w:customStyle="1" w:styleId="Charfffff7">
    <w:name w:val="表格内容 Char"/>
    <w:link w:val="affffffff5"/>
    <w:qFormat/>
    <w:rPr>
      <w:color w:val="000000"/>
      <w:kern w:val="2"/>
      <w:sz w:val="18"/>
      <w:szCs w:val="18"/>
    </w:rPr>
  </w:style>
  <w:style w:type="character" w:customStyle="1" w:styleId="3H3h3subheadingh3zhenwen1113CharChar3Char">
    <w:name w:val="样式 标题 3条H3h3 sub headingh3zhenwen1.1.1标题 3 Char Char标题 3... Char"/>
    <w:link w:val="3H3h3subheadingh3zhenwen1113CharChar3"/>
    <w:qFormat/>
    <w:rPr>
      <w:bCs/>
      <w:kern w:val="11"/>
      <w:sz w:val="28"/>
    </w:rPr>
  </w:style>
  <w:style w:type="paragraph" w:customStyle="1" w:styleId="3H3h3subheadingh3zhenwen1113CharChar3">
    <w:name w:val="样式 标题 3条H3h3 sub headingh3zhenwen1.1.1标题 3 Char Char标题 3..."/>
    <w:basedOn w:val="33"/>
    <w:link w:val="3H3h3subheadingh3zhenwen1113CharChar3Char"/>
    <w:qFormat/>
    <w:pPr>
      <w:tabs>
        <w:tab w:val="left" w:pos="720"/>
      </w:tabs>
      <w:adjustRightInd w:val="0"/>
      <w:spacing w:line="360" w:lineRule="auto"/>
      <w:jc w:val="left"/>
    </w:pPr>
    <w:rPr>
      <w:rFonts w:eastAsia="宋体"/>
      <w:bCs/>
      <w:spacing w:val="0"/>
      <w:kern w:val="11"/>
      <w:szCs w:val="20"/>
    </w:rPr>
  </w:style>
  <w:style w:type="character" w:customStyle="1" w:styleId="CharCharfe">
    <w:name w:val="报告书表格 Char Char"/>
    <w:link w:val="affffffff6"/>
    <w:qFormat/>
    <w:rPr>
      <w:rFonts w:hAnsi="宋体"/>
      <w:color w:val="000000"/>
      <w:w w:val="110"/>
      <w:szCs w:val="21"/>
    </w:rPr>
  </w:style>
  <w:style w:type="paragraph" w:customStyle="1" w:styleId="affffffff6">
    <w:name w:val="报告书表格"/>
    <w:basedOn w:val="a6"/>
    <w:link w:val="CharCharfe"/>
    <w:qFormat/>
    <w:pPr>
      <w:adjustRightInd w:val="0"/>
      <w:spacing w:line="300" w:lineRule="exact"/>
      <w:ind w:firstLineChars="2" w:firstLine="4"/>
      <w:jc w:val="center"/>
      <w:textAlignment w:val="baseline"/>
    </w:pPr>
    <w:rPr>
      <w:rFonts w:hAnsi="宋体"/>
      <w:color w:val="000000"/>
      <w:w w:val="110"/>
      <w:kern w:val="0"/>
      <w:sz w:val="20"/>
      <w:szCs w:val="21"/>
    </w:rPr>
  </w:style>
  <w:style w:type="character" w:customStyle="1" w:styleId="01CharCharChar">
    <w:name w:val="正文01 Char Char Char"/>
    <w:qFormat/>
    <w:rPr>
      <w:rFonts w:eastAsia="宋体"/>
      <w:kern w:val="2"/>
      <w:sz w:val="24"/>
      <w:szCs w:val="24"/>
      <w:lang w:val="en-US" w:eastAsia="zh-CN" w:bidi="ar-SA"/>
    </w:rPr>
  </w:style>
  <w:style w:type="character" w:customStyle="1" w:styleId="1MainHeadingHeading1pHeading1p1Heading1p2HeadingChar">
    <w:name w:val="样式 标题 1Main HeadingHeading 1pHeading 1p1Heading 1p2Heading ... Char"/>
    <w:link w:val="1MainHeadingHeading1pHeading1p1Heading1p2Heading"/>
    <w:qFormat/>
    <w:rPr>
      <w:rFonts w:eastAsia="黑体"/>
      <w:kern w:val="44"/>
      <w:sz w:val="24"/>
      <w:szCs w:val="44"/>
    </w:rPr>
  </w:style>
  <w:style w:type="paragraph" w:customStyle="1" w:styleId="1MainHeadingHeading1pHeading1p1Heading1p2Heading">
    <w:name w:val="样式 标题 1Main HeadingHeading 1pHeading 1p1Heading 1p2Heading ..."/>
    <w:basedOn w:val="12"/>
    <w:link w:val="1MainHeadingHeading1pHeading1p1Heading1p2HeadingChar"/>
    <w:qFormat/>
    <w:pPr>
      <w:pageBreakBefore/>
      <w:spacing w:before="0" w:after="0" w:line="360" w:lineRule="auto"/>
      <w:ind w:left="425" w:hanging="425"/>
    </w:pPr>
    <w:rPr>
      <w:b w:val="0"/>
      <w:bCs w:val="0"/>
      <w:sz w:val="24"/>
    </w:rPr>
  </w:style>
  <w:style w:type="character" w:customStyle="1" w:styleId="hb2CharCharCharCharCharChar">
    <w:name w:val="hb2 Char Char Char Char Char Char"/>
    <w:link w:val="hb2CharCharCharCharChar"/>
    <w:qFormat/>
    <w:rPr>
      <w:rFonts w:ascii="Arial" w:eastAsia="黑体" w:hAnsi="Arial"/>
      <w:kern w:val="2"/>
      <w:sz w:val="30"/>
      <w:szCs w:val="24"/>
    </w:rPr>
  </w:style>
  <w:style w:type="paragraph" w:customStyle="1" w:styleId="hb2CharCharCharCharChar">
    <w:name w:val="hb2 Char Char Char Char Char"/>
    <w:basedOn w:val="22"/>
    <w:link w:val="hb2CharCharCharCharCharChar"/>
    <w:qFormat/>
    <w:pPr>
      <w:keepNext w:val="0"/>
      <w:keepLines w:val="0"/>
      <w:topLinePunct/>
      <w:adjustRightInd w:val="0"/>
      <w:spacing w:before="100" w:beforeAutospacing="1" w:afterLines="50" w:after="100" w:afterAutospacing="1" w:line="416" w:lineRule="atLeast"/>
      <w:jc w:val="left"/>
      <w:textAlignment w:val="baseline"/>
    </w:pPr>
    <w:rPr>
      <w:rFonts w:ascii="Arial" w:hAnsi="Arial"/>
      <w:b/>
      <w:bCs w:val="0"/>
      <w:spacing w:val="0"/>
      <w:w w:val="100"/>
      <w:kern w:val="2"/>
      <w:sz w:val="30"/>
      <w:szCs w:val="24"/>
    </w:rPr>
  </w:style>
  <w:style w:type="character" w:customStyle="1" w:styleId="CharCharCharCharCharCharChar2">
    <w:name w:val="题注 Char Char Char Char Char Char Char2"/>
    <w:qFormat/>
    <w:rPr>
      <w:rFonts w:ascii="Arial" w:eastAsia="黑体" w:hAnsi="Arial" w:cs="Arial"/>
      <w:kern w:val="2"/>
      <w:lang w:val="en-US" w:eastAsia="zh-CN" w:bidi="ar-SA"/>
    </w:rPr>
  </w:style>
  <w:style w:type="character" w:customStyle="1" w:styleId="Charfffff8">
    <w:name w:val="第二级标题 Char"/>
    <w:link w:val="affffffff7"/>
    <w:qFormat/>
    <w:rPr>
      <w:kern w:val="2"/>
      <w:sz w:val="24"/>
      <w:szCs w:val="24"/>
    </w:rPr>
  </w:style>
  <w:style w:type="paragraph" w:customStyle="1" w:styleId="affffffff7">
    <w:name w:val="第二级标题"/>
    <w:basedOn w:val="a6"/>
    <w:next w:val="26"/>
    <w:link w:val="Charfffff8"/>
    <w:qFormat/>
    <w:pPr>
      <w:widowControl/>
      <w:spacing w:line="360" w:lineRule="auto"/>
      <w:ind w:left="567" w:hanging="567"/>
      <w:jc w:val="left"/>
      <w:outlineLvl w:val="1"/>
    </w:pPr>
    <w:rPr>
      <w:sz w:val="24"/>
    </w:rPr>
  </w:style>
  <w:style w:type="character" w:customStyle="1" w:styleId="Charfffff9">
    <w:name w:val="居中(含图、公式等) Char"/>
    <w:link w:val="affffffff8"/>
    <w:qFormat/>
    <w:rPr>
      <w:rFonts w:ascii="Arial" w:hAnsi="Arial"/>
      <w:kern w:val="2"/>
      <w:sz w:val="24"/>
      <w:szCs w:val="24"/>
    </w:rPr>
  </w:style>
  <w:style w:type="paragraph" w:customStyle="1" w:styleId="affffffff8">
    <w:name w:val="居中(含图、公式等)"/>
    <w:basedOn w:val="a6"/>
    <w:link w:val="Charfffff9"/>
    <w:qFormat/>
    <w:pPr>
      <w:widowControl/>
      <w:jc w:val="center"/>
    </w:pPr>
    <w:rPr>
      <w:rFonts w:ascii="Arial" w:hAnsi="Arial"/>
      <w:sz w:val="24"/>
    </w:rPr>
  </w:style>
  <w:style w:type="character" w:customStyle="1" w:styleId="CharCharCharc">
    <w:name w:val="报告正文 Char Char Char"/>
    <w:qFormat/>
    <w:rPr>
      <w:sz w:val="28"/>
      <w:szCs w:val="28"/>
    </w:rPr>
  </w:style>
  <w:style w:type="character" w:customStyle="1" w:styleId="Char35">
    <w:name w:val="标题 Char3"/>
    <w:qFormat/>
    <w:rPr>
      <w:rFonts w:ascii="Cambria" w:hAnsi="Cambria" w:cs="Times New Roman"/>
      <w:b/>
      <w:bCs/>
      <w:kern w:val="2"/>
      <w:sz w:val="32"/>
      <w:szCs w:val="32"/>
    </w:rPr>
  </w:style>
  <w:style w:type="character" w:customStyle="1" w:styleId="Char1f3">
    <w:name w:val="注释标题 Char1"/>
    <w:qFormat/>
    <w:rPr>
      <w:kern w:val="2"/>
      <w:sz w:val="21"/>
      <w:szCs w:val="22"/>
    </w:rPr>
  </w:style>
  <w:style w:type="character" w:customStyle="1" w:styleId="TTCharChar0">
    <w:name w:val="TT正文 Char Char"/>
    <w:link w:val="TT0"/>
    <w:qFormat/>
    <w:rPr>
      <w:sz w:val="24"/>
    </w:rPr>
  </w:style>
  <w:style w:type="paragraph" w:customStyle="1" w:styleId="TT0">
    <w:name w:val="TT正文"/>
    <w:basedOn w:val="a6"/>
    <w:next w:val="a6"/>
    <w:link w:val="TTCharChar0"/>
    <w:qFormat/>
    <w:pPr>
      <w:spacing w:line="360" w:lineRule="auto"/>
      <w:ind w:firstLineChars="200" w:firstLine="560"/>
    </w:pPr>
    <w:rPr>
      <w:kern w:val="0"/>
      <w:sz w:val="24"/>
      <w:szCs w:val="20"/>
    </w:rPr>
  </w:style>
  <w:style w:type="character" w:customStyle="1" w:styleId="Char2d">
    <w:name w:val="签名 Char2"/>
    <w:qFormat/>
    <w:rPr>
      <w:kern w:val="2"/>
      <w:sz w:val="24"/>
      <w:szCs w:val="24"/>
    </w:rPr>
  </w:style>
  <w:style w:type="character" w:customStyle="1" w:styleId="-1Char">
    <w:name w:val="编号-正文章条1级条(不进目录) Char"/>
    <w:link w:val="-11"/>
    <w:qFormat/>
    <w:rPr>
      <w:rFonts w:ascii="Arial" w:hAnsi="Arial"/>
      <w:color w:val="000000"/>
      <w:kern w:val="2"/>
      <w:sz w:val="24"/>
      <w:szCs w:val="24"/>
    </w:rPr>
  </w:style>
  <w:style w:type="paragraph" w:customStyle="1" w:styleId="-11">
    <w:name w:val="编号-正文章条1级条(不进目录)"/>
    <w:basedOn w:val="-20"/>
    <w:link w:val="-1Char"/>
    <w:qFormat/>
  </w:style>
  <w:style w:type="character" w:customStyle="1" w:styleId="hb3Char1">
    <w:name w:val="hb3 Char1"/>
    <w:qFormat/>
    <w:rPr>
      <w:rFonts w:ascii="宋体" w:eastAsia="黑体" w:hAnsi="宋体"/>
      <w:kern w:val="2"/>
      <w:sz w:val="24"/>
      <w:lang w:val="en-US" w:eastAsia="zh-CN" w:bidi="ar-SA"/>
    </w:rPr>
  </w:style>
  <w:style w:type="character" w:customStyle="1" w:styleId="Char2e">
    <w:name w:val="结束语 Char2"/>
    <w:uiPriority w:val="99"/>
    <w:qFormat/>
    <w:rPr>
      <w:kern w:val="2"/>
      <w:sz w:val="24"/>
      <w:szCs w:val="24"/>
    </w:rPr>
  </w:style>
  <w:style w:type="character" w:customStyle="1" w:styleId="Char1f4">
    <w:name w:val="表内字 Char1"/>
    <w:link w:val="affffffff9"/>
    <w:qFormat/>
    <w:rPr>
      <w:rFonts w:eastAsia="宋体"/>
      <w:color w:val="000000"/>
      <w:sz w:val="21"/>
      <w:lang w:val="en-US" w:eastAsia="zh-CN" w:bidi="ar-SA"/>
    </w:rPr>
  </w:style>
  <w:style w:type="paragraph" w:customStyle="1" w:styleId="affffffff9">
    <w:name w:val="表内字"/>
    <w:link w:val="Char1f4"/>
    <w:qFormat/>
    <w:pPr>
      <w:spacing w:line="312" w:lineRule="auto"/>
      <w:jc w:val="center"/>
    </w:pPr>
    <w:rPr>
      <w:color w:val="000000"/>
      <w:sz w:val="21"/>
    </w:rPr>
  </w:style>
  <w:style w:type="character" w:customStyle="1" w:styleId="HBZW">
    <w:name w:val="HBZW"/>
    <w:qFormat/>
    <w:rPr>
      <w:rFonts w:ascii="宋体" w:eastAsia="宋体" w:hAnsi="宋体"/>
      <w:kern w:val="0"/>
      <w:sz w:val="24"/>
      <w:lang w:val="en-US" w:eastAsia="zh-CN" w:bidi="ar-SA"/>
    </w:rPr>
  </w:style>
  <w:style w:type="character" w:customStyle="1" w:styleId="1ff0">
    <w:name w:val="样式 宋体 小四1"/>
    <w:qFormat/>
    <w:rPr>
      <w:rFonts w:ascii="宋体" w:eastAsia="宋体" w:hAnsi="宋体"/>
      <w:kern w:val="28"/>
      <w:sz w:val="28"/>
    </w:rPr>
  </w:style>
  <w:style w:type="character" w:customStyle="1" w:styleId="00Char">
    <w:name w:val="00.正文格式 Char"/>
    <w:qFormat/>
    <w:rPr>
      <w:color w:val="000000"/>
      <w:kern w:val="2"/>
      <w:sz w:val="24"/>
      <w:szCs w:val="24"/>
    </w:rPr>
  </w:style>
  <w:style w:type="character" w:customStyle="1" w:styleId="CharCharChard">
    <w:name w:val="中文报告书样式 Char Char Char"/>
    <w:qFormat/>
    <w:rPr>
      <w:rFonts w:ascii="宋体" w:eastAsia="宋体" w:hAnsi="宋体"/>
      <w:snapToGrid w:val="0"/>
      <w:sz w:val="24"/>
      <w:szCs w:val="24"/>
      <w:lang w:val="en-US" w:eastAsia="zh-CN" w:bidi="ar-SA"/>
    </w:rPr>
  </w:style>
  <w:style w:type="character" w:customStyle="1" w:styleId="Charfffffa">
    <w:name w:val="正文标准格式 Char"/>
    <w:link w:val="affffffffa"/>
    <w:qFormat/>
    <w:rPr>
      <w:rFonts w:ascii="Arial" w:hAnsi="Arial"/>
      <w:color w:val="000000"/>
      <w:kern w:val="2"/>
      <w:sz w:val="21"/>
      <w:szCs w:val="21"/>
    </w:rPr>
  </w:style>
  <w:style w:type="paragraph" w:customStyle="1" w:styleId="affffffffa">
    <w:name w:val="正文标准格式"/>
    <w:basedOn w:val="a6"/>
    <w:link w:val="Charfffffa"/>
    <w:qFormat/>
    <w:pPr>
      <w:widowControl/>
      <w:adjustRightInd w:val="0"/>
      <w:snapToGrid w:val="0"/>
      <w:spacing w:after="200" w:line="360" w:lineRule="auto"/>
      <w:ind w:firstLineChars="200" w:firstLine="420"/>
      <w:jc w:val="center"/>
    </w:pPr>
    <w:rPr>
      <w:rFonts w:ascii="Arial" w:hAnsi="Arial"/>
      <w:color w:val="000000"/>
      <w:szCs w:val="21"/>
    </w:rPr>
  </w:style>
  <w:style w:type="character" w:customStyle="1" w:styleId="z-0">
    <w:name w:val="z-窗体顶端 字符"/>
    <w:link w:val="z-10"/>
    <w:qFormat/>
    <w:rPr>
      <w:rFonts w:ascii="Arial" w:eastAsia="Arial Unicode MS" w:hAnsi="Arial" w:cs="宋体"/>
      <w:vanish/>
      <w:sz w:val="16"/>
      <w:szCs w:val="16"/>
    </w:rPr>
  </w:style>
  <w:style w:type="paragraph" w:customStyle="1" w:styleId="z-10">
    <w:name w:val="z-窗体顶端1"/>
    <w:basedOn w:val="a6"/>
    <w:next w:val="a6"/>
    <w:link w:val="z-0"/>
    <w:qFormat/>
    <w:pPr>
      <w:widowControl/>
      <w:pBdr>
        <w:bottom w:val="single" w:sz="6" w:space="1" w:color="auto"/>
      </w:pBdr>
      <w:ind w:firstLineChars="200" w:firstLine="200"/>
      <w:jc w:val="center"/>
    </w:pPr>
    <w:rPr>
      <w:rFonts w:ascii="Arial" w:eastAsia="Arial Unicode MS" w:hAnsi="Arial"/>
      <w:vanish/>
      <w:kern w:val="0"/>
      <w:sz w:val="16"/>
      <w:szCs w:val="16"/>
    </w:rPr>
  </w:style>
  <w:style w:type="character" w:customStyle="1" w:styleId="000Char">
    <w:name w:val="000 Char"/>
    <w:qFormat/>
    <w:rPr>
      <w:rFonts w:eastAsia="宋体"/>
      <w:kern w:val="2"/>
      <w:sz w:val="24"/>
      <w:szCs w:val="24"/>
      <w:lang w:val="en-US" w:eastAsia="zh-CN" w:bidi="ar-SA"/>
    </w:rPr>
  </w:style>
  <w:style w:type="character" w:customStyle="1" w:styleId="CharCharff">
    <w:name w:val="高表单 Char Char"/>
    <w:qFormat/>
    <w:rPr>
      <w:rFonts w:ascii="Arial" w:eastAsia="宋体" w:hAnsi="Arial"/>
      <w:bCs/>
      <w:kern w:val="2"/>
      <w:sz w:val="21"/>
      <w:szCs w:val="21"/>
      <w:lang w:val="en-US" w:eastAsia="zh-CN" w:bidi="ar-SA"/>
    </w:rPr>
  </w:style>
  <w:style w:type="character" w:customStyle="1" w:styleId="-Char2">
    <w:name w:val="题注-表、图、公式(编号和标题) Char"/>
    <w:link w:val="-5"/>
    <w:qFormat/>
    <w:rPr>
      <w:rFonts w:ascii="Arial" w:eastAsia="黑体" w:hAnsi="Arial"/>
      <w:kern w:val="2"/>
      <w:sz w:val="24"/>
      <w:szCs w:val="24"/>
    </w:rPr>
  </w:style>
  <w:style w:type="paragraph" w:customStyle="1" w:styleId="-5">
    <w:name w:val="题注-表、图、公式(编号和标题)"/>
    <w:basedOn w:val="a6"/>
    <w:next w:val="a6"/>
    <w:link w:val="-Char2"/>
    <w:qFormat/>
    <w:pPr>
      <w:widowControl/>
      <w:spacing w:before="120" w:after="120"/>
      <w:jc w:val="center"/>
    </w:pPr>
    <w:rPr>
      <w:rFonts w:ascii="Arial" w:eastAsia="黑体" w:hAnsi="Arial"/>
      <w:sz w:val="24"/>
    </w:rPr>
  </w:style>
  <w:style w:type="character" w:customStyle="1" w:styleId="CharChar20">
    <w:name w:val="纯文本 Char Char2"/>
    <w:qFormat/>
    <w:rPr>
      <w:rFonts w:ascii="宋体" w:eastAsia="宋体" w:hAnsi="Courier New"/>
      <w:kern w:val="2"/>
      <w:sz w:val="21"/>
      <w:szCs w:val="21"/>
      <w:lang w:val="en-US" w:eastAsia="zh-CN" w:bidi="ar-SA"/>
    </w:rPr>
  </w:style>
  <w:style w:type="character" w:customStyle="1" w:styleId="CharCharff0">
    <w:name w:val="投标文件正文 Char Char"/>
    <w:link w:val="affffffffb"/>
    <w:qFormat/>
    <w:rPr>
      <w:rFonts w:ascii="Arial" w:hAnsi="Arial"/>
      <w:iCs/>
      <w:color w:val="000000"/>
      <w:kern w:val="2"/>
      <w:sz w:val="24"/>
    </w:rPr>
  </w:style>
  <w:style w:type="paragraph" w:customStyle="1" w:styleId="affffffffb">
    <w:name w:val="投标文件正文"/>
    <w:basedOn w:val="a6"/>
    <w:link w:val="CharCharff0"/>
    <w:qFormat/>
    <w:pPr>
      <w:spacing w:line="400" w:lineRule="exact"/>
      <w:ind w:right="33" w:firstLineChars="200" w:firstLine="480"/>
      <w:jc w:val="left"/>
    </w:pPr>
    <w:rPr>
      <w:rFonts w:ascii="Arial" w:hAnsi="Arial"/>
      <w:iCs/>
      <w:color w:val="000000"/>
      <w:sz w:val="24"/>
      <w:szCs w:val="20"/>
    </w:rPr>
  </w:style>
  <w:style w:type="character" w:customStyle="1" w:styleId="21Char">
    <w:name w:val="正文21 Char"/>
    <w:link w:val="211"/>
    <w:qFormat/>
    <w:rPr>
      <w:rFonts w:ascii="宋体" w:hAnsi="宋体"/>
      <w:sz w:val="24"/>
      <w:lang w:val="en-US" w:eastAsia="zh-CN" w:bidi="ar-SA"/>
    </w:rPr>
  </w:style>
  <w:style w:type="paragraph" w:customStyle="1" w:styleId="211">
    <w:name w:val="正文21"/>
    <w:link w:val="21Char"/>
    <w:qFormat/>
    <w:pPr>
      <w:widowControl w:val="0"/>
      <w:spacing w:line="500" w:lineRule="exact"/>
      <w:ind w:firstLineChars="200" w:firstLine="200"/>
    </w:pPr>
    <w:rPr>
      <w:rFonts w:ascii="宋体" w:hAnsi="宋体"/>
      <w:sz w:val="24"/>
    </w:rPr>
  </w:style>
  <w:style w:type="character" w:customStyle="1" w:styleId="Charfffffb">
    <w:name w:val="+正文 Char"/>
    <w:link w:val="affffffffc"/>
    <w:qFormat/>
    <w:rPr>
      <w:kern w:val="2"/>
      <w:sz w:val="24"/>
      <w:szCs w:val="28"/>
    </w:rPr>
  </w:style>
  <w:style w:type="paragraph" w:customStyle="1" w:styleId="affffffffc">
    <w:name w:val="+正文"/>
    <w:basedOn w:val="a6"/>
    <w:link w:val="Charfffffb"/>
    <w:qFormat/>
    <w:pPr>
      <w:spacing w:line="360" w:lineRule="auto"/>
      <w:ind w:firstLineChars="200" w:firstLine="480"/>
    </w:pPr>
    <w:rPr>
      <w:sz w:val="24"/>
      <w:szCs w:val="28"/>
    </w:rPr>
  </w:style>
  <w:style w:type="character" w:customStyle="1" w:styleId="s">
    <w:name w:val="s"/>
    <w:qFormat/>
  </w:style>
  <w:style w:type="character" w:customStyle="1" w:styleId="1CharChar7">
    <w:name w:val="表头1 Char Char"/>
    <w:link w:val="1ff1"/>
    <w:qFormat/>
    <w:rPr>
      <w:rFonts w:eastAsia="黑体"/>
      <w:sz w:val="21"/>
    </w:rPr>
  </w:style>
  <w:style w:type="paragraph" w:customStyle="1" w:styleId="1ff1">
    <w:name w:val="表头1"/>
    <w:basedOn w:val="a6"/>
    <w:next w:val="a6"/>
    <w:link w:val="1CharChar7"/>
    <w:qFormat/>
    <w:pPr>
      <w:tabs>
        <w:tab w:val="left" w:pos="605"/>
      </w:tabs>
      <w:adjustRightInd w:val="0"/>
      <w:snapToGrid w:val="0"/>
      <w:jc w:val="center"/>
    </w:pPr>
    <w:rPr>
      <w:rFonts w:eastAsia="黑体"/>
      <w:kern w:val="0"/>
      <w:szCs w:val="20"/>
    </w:rPr>
  </w:style>
  <w:style w:type="character" w:customStyle="1" w:styleId="CharChar300">
    <w:name w:val="Char Char30"/>
    <w:qFormat/>
    <w:rPr>
      <w:rFonts w:ascii="宋体" w:eastAsia="宋体" w:hAnsi="宋体" w:hint="eastAsia"/>
      <w:i/>
      <w:iCs/>
      <w:kern w:val="2"/>
      <w:sz w:val="18"/>
      <w:szCs w:val="24"/>
      <w:lang w:val="en-US" w:eastAsia="zh-CN" w:bidi="ar-SA"/>
    </w:rPr>
  </w:style>
  <w:style w:type="character" w:customStyle="1" w:styleId="CharCharff1">
    <w:name w:val="注释标题 Char Char"/>
    <w:qFormat/>
    <w:rPr>
      <w:rFonts w:eastAsia="黑体"/>
      <w:kern w:val="2"/>
      <w:sz w:val="24"/>
      <w:szCs w:val="24"/>
      <w:lang w:val="en-US" w:eastAsia="zh-CN" w:bidi="ar-SA"/>
    </w:rPr>
  </w:style>
  <w:style w:type="character" w:customStyle="1" w:styleId="2Charc">
    <w:name w:val="标2 Char"/>
    <w:link w:val="2ff1"/>
    <w:qFormat/>
    <w:rPr>
      <w:rFonts w:ascii="Arial" w:eastAsia="黑体" w:hAnsi="Arial"/>
      <w:color w:val="FF0000"/>
      <w:sz w:val="28"/>
    </w:rPr>
  </w:style>
  <w:style w:type="paragraph" w:customStyle="1" w:styleId="2ff1">
    <w:name w:val="标2"/>
    <w:basedOn w:val="22"/>
    <w:link w:val="2Charc"/>
    <w:qFormat/>
    <w:pPr>
      <w:widowControl/>
      <w:tabs>
        <w:tab w:val="left" w:pos="315"/>
        <w:tab w:val="left" w:pos="1134"/>
        <w:tab w:val="left" w:pos="1400"/>
        <w:tab w:val="center" w:pos="6804"/>
        <w:tab w:val="right" w:pos="7371"/>
      </w:tabs>
      <w:overflowPunct w:val="0"/>
      <w:adjustRightInd w:val="0"/>
      <w:spacing w:line="500" w:lineRule="exact"/>
      <w:ind w:left="1400" w:hanging="420"/>
      <w:jc w:val="left"/>
      <w:textAlignment w:val="baseline"/>
    </w:pPr>
    <w:rPr>
      <w:rFonts w:ascii="Arial" w:hAnsi="Arial"/>
      <w:b/>
      <w:bCs w:val="0"/>
      <w:color w:val="FF0000"/>
      <w:spacing w:val="0"/>
      <w:w w:val="100"/>
      <w:kern w:val="0"/>
      <w:szCs w:val="20"/>
    </w:rPr>
  </w:style>
  <w:style w:type="paragraph" w:customStyle="1" w:styleId="2ff2">
    <w:name w:val="纯文本2"/>
    <w:basedOn w:val="a6"/>
    <w:qFormat/>
    <w:pPr>
      <w:spacing w:line="240" w:lineRule="atLeast"/>
      <w:jc w:val="center"/>
    </w:pPr>
    <w:rPr>
      <w:rFonts w:ascii="宋体" w:hAnsi="宋体"/>
      <w:bCs/>
      <w:iCs/>
      <w:sz w:val="18"/>
      <w:szCs w:val="18"/>
    </w:rPr>
  </w:style>
  <w:style w:type="character" w:customStyle="1" w:styleId="GB23120">
    <w:name w:val="样式 (中文) 仿宋_GB2312 小三"/>
    <w:qFormat/>
    <w:rPr>
      <w:rFonts w:eastAsia="仿宋_GB2312"/>
      <w:sz w:val="30"/>
    </w:rPr>
  </w:style>
  <w:style w:type="character" w:customStyle="1" w:styleId="lawsitemtext1">
    <w:name w:val="lawsitemtext1"/>
    <w:qFormat/>
    <w:rPr>
      <w:color w:val="154863"/>
      <w:sz w:val="21"/>
      <w:szCs w:val="21"/>
    </w:rPr>
  </w:style>
  <w:style w:type="character" w:customStyle="1" w:styleId="Charfffffc">
    <w:name w:val="正文！！！！！ Char"/>
    <w:qFormat/>
    <w:rPr>
      <w:rFonts w:ascii="宋体" w:eastAsia="宋体" w:hAnsi="宋体" w:cs="宋体"/>
      <w:snapToGrid/>
      <w:sz w:val="24"/>
      <w:szCs w:val="24"/>
      <w:lang w:val="en-US" w:eastAsia="zh-CN" w:bidi="ar-SA"/>
    </w:rPr>
  </w:style>
  <w:style w:type="character" w:customStyle="1" w:styleId="CharChar100">
    <w:name w:val="Char Char10"/>
    <w:qFormat/>
    <w:rPr>
      <w:kern w:val="2"/>
      <w:sz w:val="21"/>
      <w:szCs w:val="24"/>
    </w:rPr>
  </w:style>
  <w:style w:type="character" w:customStyle="1" w:styleId="a10">
    <w:name w:val="a1"/>
    <w:qFormat/>
    <w:rPr>
      <w:rFonts w:ascii="宋体" w:eastAsia="宋体" w:hAnsi="宋体" w:hint="eastAsia"/>
      <w:color w:val="000000"/>
      <w:spacing w:val="360"/>
      <w:sz w:val="18"/>
      <w:szCs w:val="18"/>
    </w:rPr>
  </w:style>
  <w:style w:type="character" w:customStyle="1" w:styleId="ca-3">
    <w:name w:val="ca-3"/>
    <w:qFormat/>
  </w:style>
  <w:style w:type="character" w:customStyle="1" w:styleId="2ff3">
    <w:name w:val="Основной текст (2)"/>
    <w:qFormat/>
    <w:rPr>
      <w:rFonts w:ascii="Times New Roman" w:eastAsia="Times New Roman" w:hAnsi="Times New Roman" w:cs="Times New Roman"/>
      <w:spacing w:val="0"/>
      <w:sz w:val="27"/>
      <w:szCs w:val="27"/>
      <w:lang w:bidi="ar-SA"/>
    </w:rPr>
  </w:style>
  <w:style w:type="character" w:customStyle="1" w:styleId="BCharChar">
    <w:name w:val="正文B Char Char"/>
    <w:qFormat/>
    <w:rPr>
      <w:rFonts w:eastAsia="楷体_GB2312"/>
      <w:spacing w:val="8"/>
      <w:sz w:val="28"/>
      <w:lang w:val="en-US" w:eastAsia="zh-CN" w:bidi="ar-SA"/>
    </w:rPr>
  </w:style>
  <w:style w:type="character" w:customStyle="1" w:styleId="question-title2">
    <w:name w:val="question-title2"/>
    <w:qFormat/>
  </w:style>
  <w:style w:type="character" w:customStyle="1" w:styleId="1Char21">
    <w:name w:val="样式 样式1 Char2 + 宋体 五号 黑色"/>
    <w:qFormat/>
    <w:rPr>
      <w:rFonts w:ascii="宋体" w:eastAsia="宋体" w:hAnsi="宋体" w:hint="eastAsia"/>
      <w:color w:val="000000"/>
      <w:kern w:val="2"/>
      <w:sz w:val="24"/>
      <w:szCs w:val="24"/>
      <w:lang w:val="en-US" w:eastAsia="zh-CN" w:bidi="ar-SA"/>
    </w:rPr>
  </w:style>
  <w:style w:type="character" w:customStyle="1" w:styleId="1Char9">
    <w:name w:val="表格1 Char"/>
    <w:qFormat/>
    <w:rPr>
      <w:rFonts w:eastAsia="宋体"/>
      <w:kern w:val="2"/>
      <w:sz w:val="21"/>
      <w:szCs w:val="24"/>
      <w:lang w:val="en-US" w:eastAsia="zh-CN" w:bidi="ar-SA"/>
    </w:rPr>
  </w:style>
  <w:style w:type="character" w:customStyle="1" w:styleId="10115CharChar">
    <w:name w:val="样式 小四 首行缩进:  1.01 厘米 行距: 1.5 倍行距 Char Char"/>
    <w:qFormat/>
    <w:rPr>
      <w:rFonts w:eastAsia="宋体" w:cs="宋体"/>
      <w:sz w:val="24"/>
      <w:lang w:val="en-US" w:eastAsia="zh-CN" w:bidi="ar-SA"/>
    </w:rPr>
  </w:style>
  <w:style w:type="character" w:customStyle="1" w:styleId="5Char4">
    <w:name w:val="5级正文 Char"/>
    <w:qFormat/>
    <w:rPr>
      <w:rFonts w:eastAsia="宋体"/>
      <w:b/>
      <w:kern w:val="2"/>
      <w:sz w:val="24"/>
      <w:szCs w:val="24"/>
      <w:lang w:val="en-US" w:eastAsia="zh-CN" w:bidi="ar-SA"/>
    </w:rPr>
  </w:style>
  <w:style w:type="character" w:customStyle="1" w:styleId="111Char0">
    <w:name w:val="样式1.1.1三级标题 Char"/>
    <w:link w:val="1110"/>
    <w:qFormat/>
    <w:rPr>
      <w:rFonts w:ascii="宋体" w:hAnsi="宋体"/>
      <w:b/>
      <w:kern w:val="2"/>
      <w:sz w:val="28"/>
    </w:rPr>
  </w:style>
  <w:style w:type="paragraph" w:customStyle="1" w:styleId="1110">
    <w:name w:val="样式1.1.1三级标题"/>
    <w:basedOn w:val="a6"/>
    <w:next w:val="affffa"/>
    <w:link w:val="111Char0"/>
    <w:qFormat/>
    <w:pPr>
      <w:spacing w:line="360" w:lineRule="auto"/>
      <w:outlineLvl w:val="2"/>
    </w:pPr>
    <w:rPr>
      <w:rFonts w:ascii="宋体" w:hAnsi="宋体"/>
      <w:b/>
      <w:sz w:val="28"/>
      <w:szCs w:val="20"/>
    </w:rPr>
  </w:style>
  <w:style w:type="character" w:customStyle="1" w:styleId="Charfffffd">
    <w:name w:val="表、图名 Char"/>
    <w:qFormat/>
    <w:rPr>
      <w:rFonts w:ascii="黑体" w:eastAsia="黑体" w:hAnsi="宋体" w:cs="黑体"/>
      <w:bCs/>
      <w:sz w:val="21"/>
      <w:szCs w:val="21"/>
      <w:lang w:val="en-US" w:eastAsia="zh-CN" w:bidi="ar-SA"/>
    </w:rPr>
  </w:style>
  <w:style w:type="character" w:customStyle="1" w:styleId="2Char13">
    <w:name w:val="正文文本 2 Char1"/>
    <w:qFormat/>
  </w:style>
  <w:style w:type="character" w:customStyle="1" w:styleId="he31">
    <w:name w:val="he31"/>
    <w:qFormat/>
    <w:rPr>
      <w:rFonts w:ascii="ˎ̥" w:hAnsi="ˎ̥" w:hint="default"/>
      <w:color w:val="000000"/>
      <w:sz w:val="18"/>
      <w:szCs w:val="18"/>
      <w:u w:val="none"/>
    </w:rPr>
  </w:style>
  <w:style w:type="character" w:customStyle="1" w:styleId="Charfffffe">
    <w:name w:val="图名称 Char"/>
    <w:link w:val="affffffffd"/>
    <w:qFormat/>
    <w:rPr>
      <w:rFonts w:ascii="Arial" w:eastAsia="黑体" w:hAnsi="Arial"/>
      <w:b/>
      <w:kern w:val="2"/>
      <w:sz w:val="24"/>
    </w:rPr>
  </w:style>
  <w:style w:type="paragraph" w:customStyle="1" w:styleId="affffffffd">
    <w:name w:val="图名称"/>
    <w:basedOn w:val="af1"/>
    <w:link w:val="Charfffffe"/>
    <w:qFormat/>
    <w:pPr>
      <w:widowControl w:val="0"/>
      <w:spacing w:line="480" w:lineRule="exact"/>
      <w:ind w:firstLineChars="0" w:firstLine="200"/>
      <w:jc w:val="center"/>
    </w:pPr>
    <w:rPr>
      <w:rFonts w:ascii="Arial" w:eastAsia="黑体" w:hAnsi="Arial"/>
      <w:szCs w:val="20"/>
    </w:rPr>
  </w:style>
  <w:style w:type="character" w:customStyle="1" w:styleId="3sChar">
    <w:name w:val="样式 标题 3s Char"/>
    <w:link w:val="3s"/>
    <w:qFormat/>
    <w:rPr>
      <w:rFonts w:ascii="黑体" w:eastAsia="黑体" w:hAnsi="黑体"/>
      <w:b/>
      <w:bCs/>
      <w:kern w:val="2"/>
      <w:sz w:val="24"/>
      <w:szCs w:val="32"/>
    </w:rPr>
  </w:style>
  <w:style w:type="paragraph" w:customStyle="1" w:styleId="3s">
    <w:name w:val="样式 标题 3s"/>
    <w:basedOn w:val="33"/>
    <w:link w:val="3sChar"/>
    <w:qFormat/>
    <w:pPr>
      <w:adjustRightInd w:val="0"/>
      <w:spacing w:beforeLines="50" w:afterLines="50" w:line="360" w:lineRule="auto"/>
    </w:pPr>
    <w:rPr>
      <w:rFonts w:hAnsi="黑体"/>
      <w:b/>
      <w:bCs/>
      <w:spacing w:val="0"/>
      <w:sz w:val="24"/>
      <w:szCs w:val="32"/>
    </w:rPr>
  </w:style>
  <w:style w:type="character" w:customStyle="1" w:styleId="CharCharff2">
    <w:name w:val="正文内容 Char Char"/>
    <w:link w:val="affffffffe"/>
    <w:qFormat/>
    <w:rPr>
      <w:sz w:val="24"/>
      <w:szCs w:val="24"/>
    </w:rPr>
  </w:style>
  <w:style w:type="paragraph" w:customStyle="1" w:styleId="affffffffe">
    <w:name w:val="正文内容"/>
    <w:basedOn w:val="a6"/>
    <w:next w:val="a6"/>
    <w:link w:val="CharCharff2"/>
    <w:qFormat/>
    <w:pPr>
      <w:snapToGrid w:val="0"/>
      <w:spacing w:beforeLines="25" w:afterLines="25" w:line="440" w:lineRule="exact"/>
      <w:ind w:firstLineChars="200" w:firstLine="200"/>
    </w:pPr>
    <w:rPr>
      <w:kern w:val="0"/>
      <w:sz w:val="24"/>
    </w:rPr>
  </w:style>
  <w:style w:type="character" w:customStyle="1" w:styleId="Document8">
    <w:name w:val="Document 8"/>
    <w:qFormat/>
  </w:style>
  <w:style w:type="character" w:customStyle="1" w:styleId="5Char5">
    <w:name w:val="5 Char"/>
    <w:qFormat/>
    <w:rPr>
      <w:rFonts w:ascii="楷体_GB2312" w:eastAsia="楷体_GB2312"/>
      <w:sz w:val="30"/>
      <w:szCs w:val="30"/>
      <w:lang w:val="en-US" w:eastAsia="zh-CN" w:bidi="ar-SA"/>
    </w:rPr>
  </w:style>
  <w:style w:type="character" w:styleId="afffffffff">
    <w:name w:val="Placeholder Text"/>
    <w:uiPriority w:val="99"/>
    <w:semiHidden/>
    <w:qFormat/>
    <w:rPr>
      <w:color w:val="808080"/>
    </w:rPr>
  </w:style>
  <w:style w:type="character" w:customStyle="1" w:styleId="GB23121">
    <w:name w:val="样式 仿宋_GB2312 小四"/>
    <w:qFormat/>
    <w:rPr>
      <w:rFonts w:ascii="Times New Roman" w:eastAsia="仿宋_GB2312" w:hAnsi="Times New Roman"/>
      <w:sz w:val="24"/>
      <w:szCs w:val="24"/>
    </w:rPr>
  </w:style>
  <w:style w:type="character" w:customStyle="1" w:styleId="Charffffff">
    <w:name w:val="引用 Char"/>
    <w:link w:val="afffffffff0"/>
    <w:qFormat/>
    <w:rPr>
      <w:i/>
      <w:iCs/>
    </w:rPr>
  </w:style>
  <w:style w:type="paragraph" w:styleId="afffffffff0">
    <w:name w:val="Quote"/>
    <w:basedOn w:val="a6"/>
    <w:next w:val="a6"/>
    <w:link w:val="Charffffff"/>
    <w:qFormat/>
    <w:pPr>
      <w:widowControl/>
      <w:spacing w:before="200" w:line="276" w:lineRule="auto"/>
      <w:ind w:left="360" w:right="360"/>
      <w:jc w:val="left"/>
    </w:pPr>
    <w:rPr>
      <w:i/>
      <w:iCs/>
      <w:kern w:val="0"/>
      <w:sz w:val="20"/>
      <w:szCs w:val="20"/>
    </w:rPr>
  </w:style>
  <w:style w:type="character" w:customStyle="1" w:styleId="nota">
    <w:name w:val="nota"/>
    <w:qFormat/>
    <w:rPr>
      <w:i/>
      <w:iCs/>
      <w:sz w:val="20"/>
    </w:rPr>
  </w:style>
  <w:style w:type="character" w:customStyle="1" w:styleId="EmailStyle4421">
    <w:name w:val="EmailStyle4421"/>
    <w:qFormat/>
    <w:rPr>
      <w:rFonts w:ascii="Arial" w:eastAsia="宋体" w:hAnsi="Arial" w:cs="Arial"/>
      <w:color w:val="auto"/>
      <w:sz w:val="20"/>
    </w:rPr>
  </w:style>
  <w:style w:type="character" w:customStyle="1" w:styleId="CharCharff3">
    <w:name w:val="正文的样式 Char Char"/>
    <w:link w:val="Charffffff0"/>
    <w:qFormat/>
    <w:rPr>
      <w:rFonts w:ascii="宋体" w:hAnsi="Symbol"/>
      <w:bCs/>
      <w:kern w:val="2"/>
      <w:sz w:val="24"/>
      <w:szCs w:val="24"/>
    </w:rPr>
  </w:style>
  <w:style w:type="paragraph" w:customStyle="1" w:styleId="Charffffff0">
    <w:name w:val="正文的样式 Char"/>
    <w:basedOn w:val="a6"/>
    <w:link w:val="CharCharff3"/>
    <w:qFormat/>
    <w:pPr>
      <w:adjustRightInd w:val="0"/>
      <w:snapToGrid w:val="0"/>
      <w:spacing w:line="360" w:lineRule="auto"/>
      <w:ind w:firstLineChars="200" w:firstLine="480"/>
    </w:pPr>
    <w:rPr>
      <w:rFonts w:ascii="宋体" w:hAnsi="Symbol"/>
      <w:bCs/>
      <w:sz w:val="24"/>
    </w:rPr>
  </w:style>
  <w:style w:type="character" w:customStyle="1" w:styleId="hottext1">
    <w:name w:val="hottext1"/>
    <w:qFormat/>
    <w:rPr>
      <w:rFonts w:ascii="宋体" w:eastAsia="宋体" w:hAnsi="宋体" w:hint="eastAsia"/>
      <w:color w:val="333333"/>
      <w:sz w:val="20"/>
      <w:szCs w:val="20"/>
      <w:u w:val="none"/>
    </w:rPr>
  </w:style>
  <w:style w:type="character" w:customStyle="1" w:styleId="2CharChar4">
    <w:name w:val="样式 首行缩进:  2 字符 Char Char"/>
    <w:link w:val="2ff4"/>
    <w:qFormat/>
    <w:rPr>
      <w:kern w:val="2"/>
      <w:sz w:val="24"/>
      <w:szCs w:val="24"/>
    </w:rPr>
  </w:style>
  <w:style w:type="paragraph" w:customStyle="1" w:styleId="2ff4">
    <w:name w:val="样式 首行缩进:  2 字符"/>
    <w:basedOn w:val="a6"/>
    <w:link w:val="2CharChar4"/>
    <w:qFormat/>
    <w:pPr>
      <w:topLinePunct/>
      <w:spacing w:line="360" w:lineRule="auto"/>
      <w:ind w:firstLineChars="200" w:firstLine="480"/>
    </w:pPr>
    <w:rPr>
      <w:sz w:val="24"/>
    </w:rPr>
  </w:style>
  <w:style w:type="character" w:customStyle="1" w:styleId="5Char11">
    <w:name w:val="标题 5 Char1"/>
    <w:qFormat/>
    <w:rPr>
      <w:rFonts w:eastAsia="宋体" w:cs="Times New Roman"/>
      <w:b/>
      <w:bCs/>
      <w:kern w:val="2"/>
      <w:sz w:val="28"/>
      <w:szCs w:val="28"/>
    </w:rPr>
  </w:style>
  <w:style w:type="character" w:customStyle="1" w:styleId="Charffffff1">
    <w:name w:val="表头图名 Char"/>
    <w:link w:val="afffffffff1"/>
    <w:qFormat/>
    <w:rPr>
      <w:rFonts w:eastAsia="黑体" w:hAnsi="黑体"/>
      <w:kern w:val="2"/>
      <w:sz w:val="24"/>
    </w:rPr>
  </w:style>
  <w:style w:type="paragraph" w:customStyle="1" w:styleId="afffffffff1">
    <w:name w:val="表头图名"/>
    <w:basedOn w:val="affff"/>
    <w:link w:val="Charffffff1"/>
    <w:qFormat/>
    <w:pPr>
      <w:spacing w:line="520" w:lineRule="exact"/>
      <w:ind w:firstLineChars="0" w:firstLine="0"/>
      <w:jc w:val="center"/>
    </w:pPr>
    <w:rPr>
      <w:rFonts w:hAnsi="黑体"/>
      <w:spacing w:val="0"/>
      <w:szCs w:val="20"/>
    </w:rPr>
  </w:style>
  <w:style w:type="character" w:customStyle="1" w:styleId="viewcountml5">
    <w:name w:val="viewcount ml5"/>
    <w:qFormat/>
  </w:style>
  <w:style w:type="character" w:customStyle="1" w:styleId="CharCharff4">
    <w:name w:val="无级项 Char Char"/>
    <w:qFormat/>
    <w:rPr>
      <w:rFonts w:ascii="Times New Roman" w:eastAsia="宋体" w:hAnsi="Times New Roman" w:cs="Times New Roman"/>
      <w:sz w:val="24"/>
      <w:szCs w:val="24"/>
    </w:rPr>
  </w:style>
  <w:style w:type="character" w:customStyle="1" w:styleId="lv3">
    <w:name w:val="lv3"/>
    <w:qFormat/>
    <w:rPr>
      <w:rFonts w:hint="default"/>
      <w:color w:val="2E7713"/>
      <w:sz w:val="20"/>
      <w:szCs w:val="20"/>
      <w:u w:val="none"/>
    </w:rPr>
  </w:style>
  <w:style w:type="character" w:customStyle="1" w:styleId="slink1">
    <w:name w:val="slink1"/>
    <w:qFormat/>
    <w:rPr>
      <w:rFonts w:ascii="ˎ̥" w:hAnsi="ˎ̥" w:hint="default"/>
      <w:sz w:val="18"/>
      <w:szCs w:val="18"/>
      <w:u w:val="none"/>
    </w:rPr>
  </w:style>
  <w:style w:type="character" w:customStyle="1" w:styleId="EmailStyle517">
    <w:name w:val="EmailStyle517"/>
    <w:qFormat/>
    <w:rPr>
      <w:rFonts w:ascii="Arial" w:eastAsia="宋体" w:hAnsi="Arial" w:cs="Arial"/>
      <w:color w:val="auto"/>
      <w:sz w:val="20"/>
    </w:rPr>
  </w:style>
  <w:style w:type="character" w:customStyle="1" w:styleId="CaptionChar">
    <w:name w:val="Caption Char"/>
    <w:link w:val="afffffffff2"/>
    <w:qFormat/>
    <w:rPr>
      <w:rFonts w:ascii="黑体" w:eastAsia="黑体" w:hAnsi="宋体"/>
      <w:color w:val="000000"/>
      <w:kern w:val="2"/>
      <w:sz w:val="28"/>
      <w:szCs w:val="28"/>
      <w:lang w:val="en-US" w:eastAsia="zh-CN"/>
    </w:rPr>
  </w:style>
  <w:style w:type="paragraph" w:customStyle="1" w:styleId="afffffffff2">
    <w:name w:val="表题"/>
    <w:basedOn w:val="a6"/>
    <w:link w:val="CaptionChar"/>
    <w:qFormat/>
    <w:pPr>
      <w:tabs>
        <w:tab w:val="left" w:pos="4305"/>
      </w:tabs>
      <w:adjustRightInd w:val="0"/>
      <w:snapToGrid w:val="0"/>
      <w:jc w:val="center"/>
    </w:pPr>
    <w:rPr>
      <w:rFonts w:ascii="黑体" w:eastAsia="黑体" w:hAnsi="宋体"/>
      <w:color w:val="000000"/>
      <w:sz w:val="28"/>
      <w:szCs w:val="28"/>
    </w:rPr>
  </w:style>
  <w:style w:type="character" w:customStyle="1" w:styleId="CharChar82">
    <w:name w:val="Char Char82"/>
    <w:qFormat/>
    <w:rPr>
      <w:kern w:val="2"/>
      <w:sz w:val="21"/>
      <w:szCs w:val="22"/>
    </w:rPr>
  </w:style>
  <w:style w:type="character" w:customStyle="1" w:styleId="CharCharff5">
    <w:name w:val="表头 Char Char"/>
    <w:uiPriority w:val="99"/>
    <w:qFormat/>
    <w:rPr>
      <w:rFonts w:ascii="Times New Roman" w:hAnsi="Times New Roman"/>
      <w:b/>
      <w:spacing w:val="4"/>
      <w:kern w:val="2"/>
      <w:sz w:val="24"/>
    </w:rPr>
  </w:style>
  <w:style w:type="character" w:customStyle="1" w:styleId="Char1f5">
    <w:name w:val="表蕊 Char1"/>
    <w:link w:val="afffffffff3"/>
    <w:qFormat/>
    <w:rPr>
      <w:rFonts w:eastAsia="楷体_GB2312"/>
      <w:spacing w:val="-10"/>
      <w:sz w:val="21"/>
    </w:rPr>
  </w:style>
  <w:style w:type="paragraph" w:customStyle="1" w:styleId="afffffffff3">
    <w:name w:val="表蕊"/>
    <w:basedOn w:val="a6"/>
    <w:link w:val="Char1f5"/>
    <w:qFormat/>
    <w:pPr>
      <w:adjustRightInd w:val="0"/>
      <w:spacing w:line="320" w:lineRule="atLeast"/>
      <w:jc w:val="left"/>
      <w:textAlignment w:val="baseline"/>
    </w:pPr>
    <w:rPr>
      <w:rFonts w:eastAsia="楷体_GB2312"/>
      <w:spacing w:val="-10"/>
      <w:kern w:val="0"/>
      <w:szCs w:val="20"/>
    </w:rPr>
  </w:style>
  <w:style w:type="character" w:customStyle="1" w:styleId="GB2312Char">
    <w:name w:val="样式 样式 楷体_GB2312 小四 居中 行距: 单倍行距 + 宋体 Char"/>
    <w:link w:val="GB23122"/>
    <w:qFormat/>
    <w:rPr>
      <w:rFonts w:eastAsia="楷体_GB2312"/>
      <w:kern w:val="2"/>
      <w:sz w:val="24"/>
      <w:szCs w:val="24"/>
    </w:rPr>
  </w:style>
  <w:style w:type="paragraph" w:customStyle="1" w:styleId="GB23122">
    <w:name w:val="样式 样式 楷体_GB2312 小四 居中 行距: 单倍行距 + 宋体"/>
    <w:link w:val="GB2312Char"/>
    <w:qFormat/>
  </w:style>
  <w:style w:type="paragraph" w:customStyle="1" w:styleId="GB23123">
    <w:name w:val="样式 楷体_GB2312 小四 居中 行距: 单倍行距"/>
    <w:basedOn w:val="a6"/>
    <w:link w:val="GB2312Char0"/>
    <w:qFormat/>
    <w:pPr>
      <w:jc w:val="center"/>
    </w:pPr>
    <w:rPr>
      <w:rFonts w:eastAsia="楷体_GB2312"/>
      <w:sz w:val="24"/>
    </w:rPr>
  </w:style>
  <w:style w:type="character" w:customStyle="1" w:styleId="GB2312Char0">
    <w:name w:val="样式 楷体_GB2312 小四 居中 行距: 单倍行距 Char"/>
    <w:link w:val="GB23123"/>
    <w:qFormat/>
    <w:rPr>
      <w:rFonts w:eastAsia="楷体_GB2312"/>
      <w:kern w:val="2"/>
      <w:sz w:val="24"/>
      <w:szCs w:val="24"/>
    </w:rPr>
  </w:style>
  <w:style w:type="character" w:customStyle="1" w:styleId="blogsep2">
    <w:name w:val="blogsep2"/>
    <w:qFormat/>
  </w:style>
  <w:style w:type="character" w:customStyle="1" w:styleId="CharCharff6">
    <w:name w:val="正文(首行缩进)宋旭峰 Char Char"/>
    <w:link w:val="afffffffff4"/>
    <w:qFormat/>
    <w:rPr>
      <w:rFonts w:ascii="宋体" w:hAnsi="宋体"/>
      <w:sz w:val="26"/>
      <w:szCs w:val="26"/>
    </w:rPr>
  </w:style>
  <w:style w:type="paragraph" w:customStyle="1" w:styleId="afffffffff4">
    <w:name w:val="正文(首行缩进)宋旭峰"/>
    <w:basedOn w:val="af0"/>
    <w:link w:val="CharCharff6"/>
    <w:qFormat/>
    <w:pPr>
      <w:adjustRightInd/>
      <w:spacing w:line="460" w:lineRule="exact"/>
      <w:ind w:firstLineChars="200" w:firstLine="520"/>
      <w:jc w:val="both"/>
      <w:textAlignment w:val="auto"/>
    </w:pPr>
    <w:rPr>
      <w:sz w:val="26"/>
      <w:szCs w:val="26"/>
    </w:rPr>
  </w:style>
  <w:style w:type="character" w:customStyle="1" w:styleId="1Char13">
    <w:name w:val="正文样式1 Char1"/>
    <w:qFormat/>
    <w:rPr>
      <w:rFonts w:ascii="宋体" w:eastAsia="宋体" w:hAnsi="宋体" w:cs="Courier New"/>
      <w:sz w:val="24"/>
      <w:szCs w:val="21"/>
      <w:lang w:val="en-US" w:eastAsia="zh-CN" w:bidi="ar-SA"/>
    </w:rPr>
  </w:style>
  <w:style w:type="character" w:customStyle="1" w:styleId="contextfl">
    <w:name w:val="context fl"/>
    <w:qFormat/>
  </w:style>
  <w:style w:type="character" w:customStyle="1" w:styleId="ca-91">
    <w:name w:val="ca-91"/>
    <w:qFormat/>
    <w:rPr>
      <w:rFonts w:ascii="Times New Roman" w:hAnsi="Times New Roman" w:cs="Times New Roman" w:hint="default"/>
      <w:color w:val="FF0000"/>
      <w:sz w:val="10"/>
      <w:szCs w:val="10"/>
    </w:rPr>
  </w:style>
  <w:style w:type="character" w:customStyle="1" w:styleId="style11">
    <w:name w:val="style11"/>
    <w:qFormat/>
    <w:rPr>
      <w:rFonts w:cs="Times New Roman"/>
      <w:color w:val="FF0000"/>
    </w:rPr>
  </w:style>
  <w:style w:type="character" w:customStyle="1" w:styleId="123YJCharChar1">
    <w:name w:val="123YJ Char Char1"/>
    <w:qFormat/>
    <w:rPr>
      <w:rFonts w:ascii="华文新魏" w:eastAsia="华文新魏"/>
      <w:color w:val="000080"/>
      <w:kern w:val="2"/>
      <w:sz w:val="21"/>
      <w:szCs w:val="21"/>
      <w:lang w:val="en-US" w:eastAsia="zh-CN" w:bidi="ar-SA"/>
    </w:rPr>
  </w:style>
  <w:style w:type="character" w:customStyle="1" w:styleId="3H3Char">
    <w:name w:val="样式 标题 3H3 + 黑色 Char"/>
    <w:link w:val="3H3"/>
    <w:qFormat/>
    <w:rPr>
      <w:b/>
      <w:color w:val="000000"/>
      <w:sz w:val="24"/>
      <w:szCs w:val="24"/>
    </w:rPr>
  </w:style>
  <w:style w:type="paragraph" w:customStyle="1" w:styleId="3H3">
    <w:name w:val="样式 标题 3H3 + 黑色"/>
    <w:basedOn w:val="33"/>
    <w:link w:val="3H3Char"/>
    <w:qFormat/>
    <w:pPr>
      <w:keepNext w:val="0"/>
      <w:keepLines w:val="0"/>
      <w:tabs>
        <w:tab w:val="left" w:pos="1070"/>
      </w:tabs>
      <w:adjustRightInd w:val="0"/>
      <w:snapToGrid w:val="0"/>
      <w:spacing w:line="460" w:lineRule="exact"/>
    </w:pPr>
    <w:rPr>
      <w:rFonts w:eastAsia="宋体"/>
      <w:b/>
      <w:color w:val="000000"/>
      <w:spacing w:val="0"/>
      <w:kern w:val="0"/>
      <w:sz w:val="24"/>
      <w:szCs w:val="24"/>
    </w:rPr>
  </w:style>
  <w:style w:type="character" w:customStyle="1" w:styleId="CharCharff7">
    <w:name w:val="批注文字 Char Char"/>
    <w:qFormat/>
    <w:rPr>
      <w:rFonts w:ascii="Times New Roman" w:eastAsia="宋体" w:hAnsi="Times New Roman" w:cs="Times New Roman"/>
      <w:szCs w:val="20"/>
    </w:rPr>
  </w:style>
  <w:style w:type="character" w:customStyle="1" w:styleId="410">
    <w:name w:val="正文缩进41"/>
    <w:qFormat/>
    <w:rPr>
      <w:rFonts w:ascii="宋体" w:eastAsia="宋体"/>
      <w:kern w:val="2"/>
      <w:sz w:val="24"/>
      <w:szCs w:val="24"/>
      <w:lang w:val="en-US" w:eastAsia="zh-CN" w:bidi="ar-SA"/>
    </w:rPr>
  </w:style>
  <w:style w:type="character" w:customStyle="1" w:styleId="777777777CharCharCharCharCharChar">
    <w:name w:val="777777777 Char Char Char Char Char Char"/>
    <w:qFormat/>
    <w:rPr>
      <w:rFonts w:eastAsia="宋体"/>
      <w:kern w:val="2"/>
      <w:sz w:val="28"/>
      <w:lang w:val="en-US" w:eastAsia="zh-CN"/>
    </w:rPr>
  </w:style>
  <w:style w:type="character" w:customStyle="1" w:styleId="CharCharff8">
    <w:name w:val="表格标题 Char Char"/>
    <w:qFormat/>
    <w:rPr>
      <w:rFonts w:eastAsia="宋体"/>
      <w:kern w:val="2"/>
      <w:sz w:val="24"/>
      <w:lang w:val="en-US" w:eastAsia="zh-CN"/>
    </w:rPr>
  </w:style>
  <w:style w:type="character" w:customStyle="1" w:styleId="313Char123453Char2Char">
    <w:name w:val="样式 标题 3三级标题三级标题1标题 3 Char1三级标题2三级标题3三级标题4三级标题5标题 3 Char2... Char"/>
    <w:qFormat/>
    <w:rPr>
      <w:rFonts w:ascii="黑体" w:eastAsia="黑体" w:cs="宋体"/>
      <w:b/>
      <w:bCs/>
      <w:color w:val="000000"/>
      <w:sz w:val="28"/>
      <w:szCs w:val="28"/>
      <w:lang w:val="en-US" w:eastAsia="zh-CN" w:bidi="ar-SA"/>
    </w:rPr>
  </w:style>
  <w:style w:type="character" w:customStyle="1" w:styleId="CharChar41">
    <w:name w:val="Char Char41"/>
    <w:qFormat/>
    <w:rPr>
      <w:rFonts w:eastAsia="宋体"/>
      <w:kern w:val="2"/>
      <w:sz w:val="21"/>
      <w:szCs w:val="24"/>
      <w:lang w:val="en-US" w:eastAsia="zh-CN" w:bidi="ar-SA"/>
    </w:rPr>
  </w:style>
  <w:style w:type="character" w:customStyle="1" w:styleId="font181">
    <w:name w:val="font181"/>
    <w:qFormat/>
    <w:rPr>
      <w:rFonts w:ascii="宋体" w:eastAsia="宋体" w:hAnsi="宋体" w:hint="eastAsia"/>
      <w:color w:val="000000"/>
      <w:sz w:val="21"/>
      <w:szCs w:val="21"/>
      <w:u w:val="none"/>
      <w:vertAlign w:val="subscript"/>
    </w:rPr>
  </w:style>
  <w:style w:type="character" w:customStyle="1" w:styleId="Charffffff2">
    <w:name w:val="表格样式 Char"/>
    <w:qFormat/>
    <w:rPr>
      <w:rFonts w:ascii="宋体" w:eastAsia="宋体" w:hAnsi="宋体" w:cs="Times New Roman"/>
      <w:szCs w:val="24"/>
    </w:rPr>
  </w:style>
  <w:style w:type="character" w:customStyle="1" w:styleId="afffffffff5">
    <w:name w:val="文字"/>
    <w:qFormat/>
    <w:rPr>
      <w:rFonts w:ascii="宋体" w:eastAsia="宋体" w:hAnsi="宋体" w:cs="Times New Roman"/>
      <w:color w:val="000000"/>
      <w:kern w:val="40"/>
      <w:sz w:val="18"/>
      <w:szCs w:val="30"/>
      <w:lang w:val="en-US" w:eastAsia="zh-CN" w:bidi="ar-SA"/>
    </w:rPr>
  </w:style>
  <w:style w:type="character" w:customStyle="1" w:styleId="afffffffff6">
    <w:name w:val="三级"/>
    <w:qFormat/>
    <w:rPr>
      <w:rFonts w:eastAsia="黑体"/>
      <w:b/>
      <w:bCs/>
      <w:sz w:val="28"/>
    </w:rPr>
  </w:style>
  <w:style w:type="character" w:customStyle="1" w:styleId="hb3CharCharCharCharCharChar">
    <w:name w:val="hb3 Char Char Char Char Char Char"/>
    <w:link w:val="hb3CharCharCharCharChar"/>
    <w:qFormat/>
    <w:rPr>
      <w:rFonts w:eastAsia="黑体" w:hAnsi="黑体"/>
      <w:b/>
      <w:bCs/>
      <w:kern w:val="2"/>
      <w:sz w:val="28"/>
      <w:szCs w:val="24"/>
    </w:rPr>
  </w:style>
  <w:style w:type="paragraph" w:customStyle="1" w:styleId="hb3CharCharCharCharChar">
    <w:name w:val="hb3 Char Char Char Char Char"/>
    <w:basedOn w:val="33"/>
    <w:link w:val="hb3CharCharCharCharCharChar"/>
    <w:qFormat/>
    <w:pPr>
      <w:keepNext w:val="0"/>
      <w:adjustRightInd w:val="0"/>
      <w:spacing w:beforeLines="50" w:afterLines="50" w:line="520" w:lineRule="exact"/>
      <w:jc w:val="left"/>
    </w:pPr>
    <w:rPr>
      <w:rFonts w:hAnsi="黑体"/>
      <w:b/>
      <w:bCs/>
      <w:spacing w:val="0"/>
      <w:szCs w:val="24"/>
    </w:rPr>
  </w:style>
  <w:style w:type="character" w:customStyle="1" w:styleId="3Char11">
    <w:name w:val="正文文本 3 Char1"/>
    <w:qFormat/>
    <w:rPr>
      <w:color w:val="000000"/>
      <w:w w:val="110"/>
      <w:kern w:val="0"/>
      <w:sz w:val="16"/>
    </w:rPr>
  </w:style>
  <w:style w:type="character" w:customStyle="1" w:styleId="CharCharff9">
    <w:name w:val="表头样式 Char Char"/>
    <w:qFormat/>
    <w:rPr>
      <w:rFonts w:ascii="宋体" w:eastAsia="宋体" w:hAnsi="宋体"/>
      <w:b/>
      <w:kern w:val="2"/>
      <w:sz w:val="28"/>
      <w:szCs w:val="28"/>
      <w:lang w:val="en-US" w:eastAsia="zh-CN" w:bidi="ar-SA"/>
    </w:rPr>
  </w:style>
  <w:style w:type="character" w:customStyle="1" w:styleId="22CharChar0">
    <w:name w:val="样式 题注 + 首行缩进:  2 字符2 Char Char"/>
    <w:link w:val="225"/>
    <w:qFormat/>
    <w:rPr>
      <w:rFonts w:ascii="黑体" w:eastAsia="黑体" w:hAnsi="宋体"/>
      <w:color w:val="000000"/>
      <w:w w:val="110"/>
      <w:sz w:val="24"/>
      <w:szCs w:val="24"/>
    </w:rPr>
  </w:style>
  <w:style w:type="paragraph" w:customStyle="1" w:styleId="225">
    <w:name w:val="样式 题注 + 首行缩进:  2 字符2"/>
    <w:link w:val="22CharChar0"/>
    <w:qFormat/>
    <w:pPr>
      <w:keepNext/>
      <w:adjustRightInd w:val="0"/>
      <w:snapToGrid w:val="0"/>
      <w:jc w:val="center"/>
    </w:pPr>
    <w:rPr>
      <w:rFonts w:ascii="黑体" w:hAnsi="宋体"/>
      <w:sz w:val="24"/>
      <w:szCs w:val="24"/>
    </w:rPr>
  </w:style>
  <w:style w:type="paragraph" w:customStyle="1" w:styleId="1ff2">
    <w:name w:val="题注1"/>
    <w:basedOn w:val="a6"/>
    <w:next w:val="a6"/>
    <w:link w:val="Char1f6"/>
    <w:qFormat/>
    <w:rPr>
      <w:rFonts w:ascii="Arial" w:eastAsia="黑体" w:hAnsi="Arial"/>
      <w:color w:val="000000"/>
      <w:w w:val="110"/>
      <w:kern w:val="0"/>
      <w:sz w:val="20"/>
      <w:szCs w:val="20"/>
    </w:rPr>
  </w:style>
  <w:style w:type="character" w:customStyle="1" w:styleId="Char1f6">
    <w:name w:val="题注 Char1"/>
    <w:link w:val="1ff2"/>
    <w:qFormat/>
    <w:rPr>
      <w:rFonts w:ascii="Arial" w:eastAsia="黑体" w:hAnsi="Arial"/>
      <w:color w:val="000000"/>
      <w:w w:val="110"/>
    </w:rPr>
  </w:style>
  <w:style w:type="character" w:customStyle="1" w:styleId="afffffffff7">
    <w:name w:val="表格右"/>
    <w:qFormat/>
    <w:rPr>
      <w:rFonts w:ascii="宋体" w:eastAsia="宋体" w:hAnsi="宋体"/>
      <w:color w:val="000080"/>
      <w:kern w:val="2"/>
      <w:sz w:val="18"/>
      <w:szCs w:val="24"/>
      <w:lang w:val="en-US" w:eastAsia="zh-CN"/>
    </w:rPr>
  </w:style>
  <w:style w:type="character" w:customStyle="1" w:styleId="Char1f7">
    <w:name w:val="副标题 Char1"/>
    <w:qFormat/>
    <w:rPr>
      <w:rFonts w:ascii="Calibri Light" w:hAnsi="Calibri Light" w:cs="Times New Roman"/>
      <w:b/>
      <w:bCs/>
      <w:kern w:val="28"/>
      <w:sz w:val="32"/>
      <w:szCs w:val="32"/>
    </w:rPr>
  </w:style>
  <w:style w:type="character" w:customStyle="1" w:styleId="2CharChar5">
    <w:name w:val="分目录2 Char Char"/>
    <w:qFormat/>
    <w:rPr>
      <w:snapToGrid w:val="0"/>
      <w:sz w:val="24"/>
    </w:rPr>
  </w:style>
  <w:style w:type="character" w:customStyle="1" w:styleId="T3CharChar">
    <w:name w:val="T3标题 Char Char"/>
    <w:link w:val="T3"/>
    <w:qFormat/>
    <w:rPr>
      <w:rFonts w:ascii="宋体" w:hAnsi="宋体"/>
      <w:b/>
      <w:bCs/>
      <w:color w:val="000000"/>
      <w:kern w:val="18"/>
      <w:sz w:val="24"/>
      <w:szCs w:val="24"/>
    </w:rPr>
  </w:style>
  <w:style w:type="paragraph" w:customStyle="1" w:styleId="T3">
    <w:name w:val="T3标题"/>
    <w:basedOn w:val="33"/>
    <w:link w:val="T3CharChar"/>
    <w:qFormat/>
    <w:pPr>
      <w:tabs>
        <w:tab w:val="left" w:pos="0"/>
        <w:tab w:val="left" w:pos="720"/>
        <w:tab w:val="left" w:pos="1070"/>
      </w:tabs>
      <w:adjustRightInd w:val="0"/>
      <w:snapToGrid w:val="0"/>
      <w:spacing w:line="360" w:lineRule="auto"/>
      <w:ind w:leftChars="400" w:left="1070" w:hangingChars="200" w:hanging="360"/>
      <w:textAlignment w:val="top"/>
    </w:pPr>
    <w:rPr>
      <w:rFonts w:ascii="宋体" w:eastAsia="宋体" w:hAnsi="宋体"/>
      <w:b/>
      <w:bCs/>
      <w:color w:val="000000"/>
      <w:spacing w:val="0"/>
      <w:kern w:val="18"/>
      <w:sz w:val="24"/>
      <w:szCs w:val="24"/>
    </w:rPr>
  </w:style>
  <w:style w:type="character" w:customStyle="1" w:styleId="hb3CharCharCharCharChar1">
    <w:name w:val="hb3 Char Char Char Char Char1"/>
    <w:link w:val="hb3CharCharCharChar1"/>
    <w:qFormat/>
    <w:rPr>
      <w:rFonts w:eastAsia="黑体" w:hAnsi="黑体"/>
      <w:b/>
      <w:bCs/>
      <w:kern w:val="2"/>
      <w:sz w:val="28"/>
      <w:szCs w:val="24"/>
    </w:rPr>
  </w:style>
  <w:style w:type="paragraph" w:customStyle="1" w:styleId="hb3CharCharCharChar1">
    <w:name w:val="hb3 Char Char Char Char1"/>
    <w:basedOn w:val="33"/>
    <w:link w:val="hb3CharCharCharCharChar1"/>
    <w:qFormat/>
    <w:pPr>
      <w:keepNext w:val="0"/>
      <w:adjustRightInd w:val="0"/>
      <w:spacing w:beforeLines="50" w:afterLines="50" w:line="520" w:lineRule="exact"/>
      <w:jc w:val="left"/>
    </w:pPr>
    <w:rPr>
      <w:rFonts w:hAnsi="黑体"/>
      <w:b/>
      <w:bCs/>
      <w:spacing w:val="0"/>
      <w:szCs w:val="24"/>
    </w:rPr>
  </w:style>
  <w:style w:type="character" w:customStyle="1" w:styleId="Charffffff3">
    <w:name w:val="正文样式 Char"/>
    <w:qFormat/>
    <w:rPr>
      <w:rFonts w:ascii="宋体" w:eastAsia="宋体" w:hAnsi="宋体"/>
      <w:kern w:val="2"/>
      <w:sz w:val="24"/>
      <w:szCs w:val="24"/>
      <w:lang w:val="en-US" w:eastAsia="zh-CN" w:bidi="ar-SA"/>
    </w:rPr>
  </w:style>
  <w:style w:type="character" w:customStyle="1" w:styleId="Charffffff4">
    <w:name w:val="陈正文 Char"/>
    <w:link w:val="afffffffff8"/>
    <w:qFormat/>
    <w:rPr>
      <w:sz w:val="24"/>
      <w:szCs w:val="24"/>
    </w:rPr>
  </w:style>
  <w:style w:type="paragraph" w:customStyle="1" w:styleId="afffffffff8">
    <w:name w:val="陈正文"/>
    <w:basedOn w:val="a6"/>
    <w:next w:val="a6"/>
    <w:link w:val="Charffffff4"/>
    <w:qFormat/>
    <w:pPr>
      <w:spacing w:line="336" w:lineRule="auto"/>
      <w:ind w:firstLineChars="200" w:firstLine="480"/>
    </w:pPr>
    <w:rPr>
      <w:kern w:val="0"/>
      <w:sz w:val="24"/>
    </w:rPr>
  </w:style>
  <w:style w:type="character" w:customStyle="1" w:styleId="777777777CharCharCharCharCharCharChar">
    <w:name w:val="777777777 Char Char Char Char Char Char Char"/>
    <w:link w:val="777777777"/>
    <w:qFormat/>
    <w:rPr>
      <w:sz w:val="28"/>
    </w:rPr>
  </w:style>
  <w:style w:type="paragraph" w:customStyle="1" w:styleId="777777777">
    <w:name w:val="777777777"/>
    <w:basedOn w:val="a6"/>
    <w:link w:val="777777777CharCharCharCharCharCharChar"/>
    <w:qFormat/>
    <w:pPr>
      <w:widowControl/>
      <w:spacing w:line="400" w:lineRule="exact"/>
      <w:ind w:firstLineChars="200" w:firstLine="560"/>
      <w:jc w:val="left"/>
    </w:pPr>
    <w:rPr>
      <w:kern w:val="0"/>
      <w:sz w:val="28"/>
      <w:szCs w:val="20"/>
    </w:rPr>
  </w:style>
  <w:style w:type="character" w:customStyle="1" w:styleId="2H211lxb211h2CharCharCharCharCharChar">
    <w:name w:val="样式 标题 2节H2节标题 1.1二级标题标题 lxb21.1h2第一层条二级标题 Char表标题单位名... Char Char Char Char Char"/>
    <w:qFormat/>
    <w:rPr>
      <w:rFonts w:ascii="黑体" w:eastAsia="黑体" w:hAnsi="宋体"/>
      <w:bCs/>
      <w:color w:val="000000"/>
      <w:kern w:val="2"/>
      <w:sz w:val="28"/>
      <w:szCs w:val="28"/>
    </w:rPr>
  </w:style>
  <w:style w:type="character" w:customStyle="1" w:styleId="right1">
    <w:name w:val="right1"/>
    <w:qFormat/>
  </w:style>
  <w:style w:type="character" w:customStyle="1" w:styleId="CharChar221">
    <w:name w:val="Char Char221"/>
    <w:qFormat/>
    <w:rPr>
      <w:rFonts w:ascii="Arial" w:eastAsia="仿宋_GB2312" w:hAnsi="Arial"/>
      <w:b/>
      <w:spacing w:val="-4"/>
      <w:kern w:val="20"/>
      <w:sz w:val="18"/>
      <w:lang w:val="en-US" w:eastAsia="zh-CN" w:bidi="ar-SA"/>
    </w:rPr>
  </w:style>
  <w:style w:type="character" w:customStyle="1" w:styleId="FontStyle374">
    <w:name w:val="Font Style374"/>
    <w:qFormat/>
    <w:rPr>
      <w:rFonts w:ascii="Times New Roman" w:hAnsi="Times New Roman" w:cs="Times New Roman"/>
      <w:sz w:val="12"/>
      <w:szCs w:val="12"/>
    </w:rPr>
  </w:style>
  <w:style w:type="character" w:customStyle="1" w:styleId="CharCharChare">
    <w:name w:val="报告书表格 Char Char Char"/>
    <w:qFormat/>
    <w:rPr>
      <w:rFonts w:eastAsia="宋体" w:hAnsi="宋体"/>
      <w:color w:val="000000"/>
      <w:sz w:val="21"/>
      <w:szCs w:val="21"/>
      <w:lang w:val="en-US" w:eastAsia="zh-CN" w:bidi="ar-SA"/>
    </w:rPr>
  </w:style>
  <w:style w:type="character" w:customStyle="1" w:styleId="EmailStyle5091">
    <w:name w:val="EmailStyle5091"/>
    <w:qFormat/>
    <w:rPr>
      <w:rFonts w:ascii="Arial" w:eastAsia="宋体" w:hAnsi="Arial" w:cs="Arial"/>
      <w:color w:val="auto"/>
      <w:sz w:val="20"/>
    </w:rPr>
  </w:style>
  <w:style w:type="character" w:customStyle="1" w:styleId="2ff5">
    <w:name w:val="页码2"/>
    <w:qFormat/>
  </w:style>
  <w:style w:type="character" w:customStyle="1" w:styleId="GB23124">
    <w:name w:val="样式 仿宋_GB2312 小四 黑色"/>
    <w:qFormat/>
    <w:rPr>
      <w:rFonts w:ascii="Times New Roman" w:eastAsia="仿宋_GB2312" w:hAnsi="Times New Roman" w:cs="Courier New"/>
      <w:color w:val="000000"/>
      <w:kern w:val="2"/>
      <w:sz w:val="24"/>
      <w:szCs w:val="24"/>
      <w:lang w:val="en-US" w:eastAsia="zh-CN" w:bidi="ar-SA"/>
    </w:rPr>
  </w:style>
  <w:style w:type="character" w:customStyle="1" w:styleId="Charffffff5">
    <w:name w:val="正文部分 Char"/>
    <w:qFormat/>
    <w:rPr>
      <w:rFonts w:ascii="宋体" w:eastAsia="宋体" w:hAnsi="宋体"/>
      <w:sz w:val="28"/>
      <w:lang w:val="en-US" w:eastAsia="zh-CN"/>
    </w:rPr>
  </w:style>
  <w:style w:type="character" w:customStyle="1" w:styleId="1Chara">
    <w:name w:val="表格文字1 Char"/>
    <w:qFormat/>
    <w:rPr>
      <w:rFonts w:ascii="宋体" w:eastAsia="宋体" w:hAnsi="Courier New"/>
      <w:kern w:val="2"/>
      <w:sz w:val="21"/>
      <w:lang w:val="en-US" w:eastAsia="zh-CN" w:bidi="ar-SA"/>
    </w:rPr>
  </w:style>
  <w:style w:type="character" w:customStyle="1" w:styleId="ca-101">
    <w:name w:val="ca-101"/>
    <w:qFormat/>
    <w:rPr>
      <w:rFonts w:ascii="Times New Roman" w:hAnsi="Times New Roman" w:cs="Times New Roman" w:hint="default"/>
      <w:sz w:val="10"/>
      <w:szCs w:val="10"/>
    </w:rPr>
  </w:style>
  <w:style w:type="character" w:customStyle="1" w:styleId="CharChar120">
    <w:name w:val="Char Char12"/>
    <w:qFormat/>
    <w:rPr>
      <w:rFonts w:ascii="宋体"/>
      <w:kern w:val="2"/>
      <w:sz w:val="18"/>
      <w:szCs w:val="18"/>
    </w:rPr>
  </w:style>
  <w:style w:type="character" w:customStyle="1" w:styleId="title01">
    <w:name w:val="title01"/>
    <w:qFormat/>
  </w:style>
  <w:style w:type="character" w:customStyle="1" w:styleId="style21">
    <w:name w:val="style21"/>
    <w:qFormat/>
    <w:rPr>
      <w:b/>
      <w:bCs/>
      <w:sz w:val="21"/>
      <w:szCs w:val="21"/>
    </w:rPr>
  </w:style>
  <w:style w:type="character" w:customStyle="1" w:styleId="7Char1">
    <w:name w:val="标题 7 Char1"/>
    <w:qFormat/>
    <w:rPr>
      <w:rFonts w:eastAsia="宋体" w:cs="Times New Roman"/>
      <w:b/>
      <w:bCs/>
      <w:kern w:val="2"/>
      <w:sz w:val="24"/>
      <w:szCs w:val="24"/>
    </w:rPr>
  </w:style>
  <w:style w:type="character" w:customStyle="1" w:styleId="Charffffff6">
    <w:name w:val="规划正文样式 Char"/>
    <w:qFormat/>
    <w:rPr>
      <w:rFonts w:eastAsia="宋体"/>
      <w:kern w:val="2"/>
      <w:sz w:val="24"/>
      <w:szCs w:val="24"/>
      <w:lang w:val="en-US" w:eastAsia="zh-CN" w:bidi="ar-SA"/>
    </w:rPr>
  </w:style>
  <w:style w:type="character" w:customStyle="1" w:styleId="CharCharffa">
    <w:name w:val="表格标题博泵 Char Char"/>
    <w:link w:val="afffffffff9"/>
    <w:qFormat/>
    <w:rPr>
      <w:b/>
      <w:color w:val="000000"/>
      <w:w w:val="110"/>
      <w:sz w:val="24"/>
    </w:rPr>
  </w:style>
  <w:style w:type="paragraph" w:customStyle="1" w:styleId="afffffffff9">
    <w:name w:val="表格标题博泵"/>
    <w:basedOn w:val="a6"/>
    <w:link w:val="CharCharffa"/>
    <w:qFormat/>
    <w:pPr>
      <w:adjustRightInd w:val="0"/>
      <w:snapToGrid w:val="0"/>
      <w:jc w:val="center"/>
      <w:textAlignment w:val="baseline"/>
    </w:pPr>
    <w:rPr>
      <w:b/>
      <w:color w:val="000000"/>
      <w:w w:val="110"/>
      <w:kern w:val="0"/>
      <w:sz w:val="24"/>
      <w:szCs w:val="20"/>
    </w:rPr>
  </w:style>
  <w:style w:type="character" w:customStyle="1" w:styleId="15Char">
    <w:name w:val="正文 小四 行距: 1.5 倍行距 Char"/>
    <w:qFormat/>
    <w:rPr>
      <w:rFonts w:cs="宋体"/>
      <w:kern w:val="2"/>
      <w:sz w:val="24"/>
    </w:rPr>
  </w:style>
  <w:style w:type="character" w:customStyle="1" w:styleId="aCharChar">
    <w:name w:val="a) Char Char"/>
    <w:link w:val="afffffffffa"/>
    <w:qFormat/>
    <w:rPr>
      <w:sz w:val="28"/>
    </w:rPr>
  </w:style>
  <w:style w:type="paragraph" w:customStyle="1" w:styleId="afffffffffa">
    <w:name w:val="a)"/>
    <w:basedOn w:val="a6"/>
    <w:link w:val="aCharChar"/>
    <w:qFormat/>
    <w:pPr>
      <w:adjustRightInd w:val="0"/>
      <w:spacing w:line="360" w:lineRule="auto"/>
      <w:ind w:firstLine="567"/>
      <w:textAlignment w:val="baseline"/>
    </w:pPr>
    <w:rPr>
      <w:kern w:val="0"/>
      <w:sz w:val="28"/>
      <w:szCs w:val="20"/>
    </w:rPr>
  </w:style>
  <w:style w:type="character" w:customStyle="1" w:styleId="EmailStyle555">
    <w:name w:val="EmailStyle555"/>
    <w:qFormat/>
    <w:rPr>
      <w:rFonts w:ascii="Arial" w:eastAsia="宋体" w:hAnsi="Arial" w:cs="Arial"/>
      <w:color w:val="auto"/>
      <w:sz w:val="20"/>
    </w:rPr>
  </w:style>
  <w:style w:type="character" w:customStyle="1" w:styleId="FontStyle302">
    <w:name w:val="Font Style302"/>
    <w:qFormat/>
    <w:rPr>
      <w:rFonts w:ascii="宋体" w:eastAsia="宋体" w:cs="宋体"/>
      <w:sz w:val="20"/>
      <w:szCs w:val="20"/>
    </w:rPr>
  </w:style>
  <w:style w:type="character" w:customStyle="1" w:styleId="01Char1">
    <w:name w:val="正文_01 Char"/>
    <w:qFormat/>
    <w:rPr>
      <w:rFonts w:ascii="宋体" w:hAnsi="宋体"/>
      <w:kern w:val="2"/>
      <w:sz w:val="28"/>
      <w:szCs w:val="28"/>
      <w:lang w:val="en-US" w:eastAsia="zh-CN" w:bidi="ar-SA"/>
    </w:rPr>
  </w:style>
  <w:style w:type="character" w:customStyle="1" w:styleId="224Char">
    <w:name w:val="样式 正文文字 + 首行缩进:  2 字符 行距: 最小值 24 磅 Char"/>
    <w:link w:val="2240"/>
    <w:qFormat/>
    <w:rPr>
      <w:kern w:val="2"/>
      <w:sz w:val="24"/>
    </w:rPr>
  </w:style>
  <w:style w:type="paragraph" w:customStyle="1" w:styleId="2240">
    <w:name w:val="样式 正文文字 + 首行缩进:  2 字符 行距: 最小值 24 磅"/>
    <w:basedOn w:val="a6"/>
    <w:link w:val="224Char"/>
    <w:qFormat/>
    <w:pPr>
      <w:adjustRightInd w:val="0"/>
      <w:snapToGrid w:val="0"/>
      <w:spacing w:line="480" w:lineRule="atLeast"/>
      <w:ind w:firstLineChars="200" w:firstLine="480"/>
    </w:pPr>
    <w:rPr>
      <w:sz w:val="24"/>
      <w:szCs w:val="20"/>
    </w:rPr>
  </w:style>
  <w:style w:type="character" w:customStyle="1" w:styleId="-lsChar">
    <w:name w:val="标题-ls Char"/>
    <w:qFormat/>
    <w:rPr>
      <w:rFonts w:ascii="黑体" w:eastAsia="黑体"/>
      <w:bCs/>
      <w:kern w:val="2"/>
      <w:sz w:val="28"/>
      <w:szCs w:val="28"/>
      <w:lang w:val="en-US" w:eastAsia="zh-CN" w:bidi="ar-SA"/>
    </w:rPr>
  </w:style>
  <w:style w:type="character" w:customStyle="1" w:styleId="01CharCharChar0">
    <w:name w:val="01 Char Char Char"/>
    <w:qFormat/>
    <w:rPr>
      <w:rFonts w:eastAsia="宋体"/>
      <w:kern w:val="2"/>
      <w:sz w:val="24"/>
      <w:szCs w:val="24"/>
      <w:lang w:val="en-US" w:eastAsia="zh-CN" w:bidi="ar-SA"/>
    </w:rPr>
  </w:style>
  <w:style w:type="character" w:customStyle="1" w:styleId="CharCharffb">
    <w:name w:val="字元 Char Char"/>
    <w:qFormat/>
    <w:rPr>
      <w:rFonts w:ascii="黑体" w:eastAsia="黑体"/>
      <w:bCs/>
      <w:color w:val="000000"/>
      <w:kern w:val="2"/>
      <w:sz w:val="30"/>
      <w:szCs w:val="24"/>
      <w:lang w:val="en-US" w:eastAsia="zh-CN" w:bidi="ar-SA"/>
    </w:rPr>
  </w:style>
  <w:style w:type="character" w:customStyle="1" w:styleId="1CharChar8">
    <w:name w:val="注释标题1 Char Char"/>
    <w:qFormat/>
    <w:rPr>
      <w:rFonts w:eastAsia="宋体"/>
      <w:kern w:val="2"/>
      <w:sz w:val="21"/>
      <w:lang w:val="en-US" w:eastAsia="zh-CN" w:bidi="ar-SA"/>
    </w:rPr>
  </w:style>
  <w:style w:type="character" w:customStyle="1" w:styleId="2GB2312CharChar">
    <w:name w:val="样式 标题 2 + 楷体_GB2312 Char Char"/>
    <w:link w:val="2GB2312"/>
    <w:qFormat/>
    <w:rPr>
      <w:rFonts w:ascii="楷体_GB2312" w:eastAsia="楷体_GB2312" w:hAnsi="楷体_GB2312"/>
      <w:b/>
      <w:bCs/>
      <w:kern w:val="2"/>
      <w:sz w:val="30"/>
      <w:szCs w:val="32"/>
    </w:rPr>
  </w:style>
  <w:style w:type="paragraph" w:customStyle="1" w:styleId="2GB2312">
    <w:name w:val="样式 标题 2 + 楷体_GB2312"/>
    <w:basedOn w:val="22"/>
    <w:link w:val="2GB2312CharChar"/>
    <w:qFormat/>
    <w:pPr>
      <w:keepNext w:val="0"/>
      <w:keepLines w:val="0"/>
      <w:spacing w:before="120" w:line="500" w:lineRule="exact"/>
    </w:pPr>
    <w:rPr>
      <w:rFonts w:ascii="楷体_GB2312" w:eastAsia="楷体_GB2312" w:hAnsi="楷体_GB2312"/>
      <w:spacing w:val="0"/>
      <w:w w:val="100"/>
      <w:kern w:val="2"/>
      <w:sz w:val="30"/>
      <w:szCs w:val="32"/>
    </w:rPr>
  </w:style>
  <w:style w:type="character" w:customStyle="1" w:styleId="Charffffff7">
    <w:name w:val="四级 Char"/>
    <w:link w:val="afffffffffb"/>
    <w:qFormat/>
    <w:rPr>
      <w:lang w:val="en-US" w:eastAsia="zh-CN" w:bidi="ar-SA"/>
    </w:rPr>
  </w:style>
  <w:style w:type="paragraph" w:customStyle="1" w:styleId="afffffffffb">
    <w:name w:val="四级"/>
    <w:link w:val="Charffffff7"/>
    <w:qFormat/>
    <w:pPr>
      <w:outlineLvl w:val="3"/>
    </w:pPr>
  </w:style>
  <w:style w:type="character" w:customStyle="1" w:styleId="W2Char">
    <w:name w:val="W2 Char"/>
    <w:qFormat/>
    <w:rPr>
      <w:rFonts w:eastAsia="宋体"/>
      <w:bCs/>
      <w:kern w:val="2"/>
      <w:sz w:val="24"/>
      <w:szCs w:val="32"/>
      <w:lang w:val="en-US" w:eastAsia="zh-CN" w:bidi="ar-SA"/>
    </w:rPr>
  </w:style>
  <w:style w:type="character" w:customStyle="1" w:styleId="CharCharCharf">
    <w:name w:val="正文（首行缩进两字） Char Char Char"/>
    <w:qFormat/>
    <w:rPr>
      <w:rFonts w:ascii="Arial" w:eastAsia="宋体" w:hAnsi="Arial"/>
      <w:kern w:val="2"/>
      <w:sz w:val="24"/>
      <w:szCs w:val="24"/>
      <w:lang w:val="en-US" w:eastAsia="zh-CN" w:bidi="ar-SA"/>
    </w:rPr>
  </w:style>
  <w:style w:type="character" w:customStyle="1" w:styleId="CharCharffc">
    <w:name w:val="表头标题格式 Char Char"/>
    <w:link w:val="afffffffffc"/>
    <w:qFormat/>
    <w:rPr>
      <w:rFonts w:ascii="黑体" w:eastAsia="黑体" w:hAnsi="宋体"/>
      <w:b/>
      <w:bCs/>
      <w:color w:val="000000"/>
      <w:w w:val="110"/>
      <w:sz w:val="24"/>
    </w:rPr>
  </w:style>
  <w:style w:type="paragraph" w:customStyle="1" w:styleId="afffffffffc">
    <w:name w:val="表头标题格式"/>
    <w:basedOn w:val="a6"/>
    <w:link w:val="CharCharffc"/>
    <w:qFormat/>
    <w:pPr>
      <w:tabs>
        <w:tab w:val="left" w:pos="360"/>
        <w:tab w:val="left" w:pos="1620"/>
      </w:tabs>
      <w:spacing w:line="360" w:lineRule="auto"/>
      <w:jc w:val="center"/>
    </w:pPr>
    <w:rPr>
      <w:rFonts w:ascii="黑体" w:eastAsia="黑体" w:hAnsi="宋体"/>
      <w:b/>
      <w:bCs/>
      <w:color w:val="000000"/>
      <w:w w:val="110"/>
      <w:kern w:val="0"/>
      <w:sz w:val="24"/>
      <w:szCs w:val="20"/>
    </w:rPr>
  </w:style>
  <w:style w:type="character" w:customStyle="1" w:styleId="Char1CharCharCharCharCharCharChar">
    <w:name w:val="段落 Char1 Char Char Char Char Char Char Char"/>
    <w:link w:val="Char1CharCharCharCharCharChar"/>
    <w:qFormat/>
    <w:rPr>
      <w:color w:val="000000"/>
      <w:kern w:val="24"/>
      <w:sz w:val="24"/>
      <w:szCs w:val="24"/>
    </w:rPr>
  </w:style>
  <w:style w:type="paragraph" w:customStyle="1" w:styleId="Char1CharCharCharCharCharChar">
    <w:name w:val="段落 Char1 Char Char Char Char Char Char"/>
    <w:basedOn w:val="a6"/>
    <w:link w:val="Char1CharCharCharCharCharCharChar"/>
    <w:qFormat/>
    <w:pPr>
      <w:tabs>
        <w:tab w:val="left" w:pos="1021"/>
      </w:tabs>
      <w:spacing w:line="324" w:lineRule="auto"/>
      <w:ind w:firstLineChars="200" w:firstLine="480"/>
    </w:pPr>
    <w:rPr>
      <w:color w:val="000000"/>
      <w:kern w:val="24"/>
      <w:sz w:val="24"/>
    </w:rPr>
  </w:style>
  <w:style w:type="character" w:customStyle="1" w:styleId="5CharChar0">
    <w:name w:val="样式 表内小5 + 黑体 加粗 倾斜 下划线 Char Char"/>
    <w:link w:val="5c"/>
    <w:qFormat/>
    <w:rPr>
      <w:rFonts w:ascii="黑体" w:eastAsia="黑体" w:hAnsi="黑体"/>
      <w:b/>
      <w:i/>
      <w:kern w:val="2"/>
      <w:sz w:val="21"/>
      <w:u w:val="single"/>
    </w:rPr>
  </w:style>
  <w:style w:type="paragraph" w:customStyle="1" w:styleId="5c">
    <w:name w:val="样式 表内小5 + 黑体 加粗 倾斜 下划线"/>
    <w:link w:val="5CharChar0"/>
    <w:qFormat/>
    <w:rPr>
      <w:rFonts w:ascii="黑体" w:eastAsia="黑体" w:hAnsi="黑体"/>
      <w:b/>
      <w:i/>
      <w:u w:val="single"/>
    </w:rPr>
  </w:style>
  <w:style w:type="paragraph" w:customStyle="1" w:styleId="5d">
    <w:name w:val="表内小5"/>
    <w:basedOn w:val="a6"/>
    <w:link w:val="5CharChar1"/>
    <w:qFormat/>
    <w:pPr>
      <w:adjustRightInd w:val="0"/>
      <w:snapToGrid w:val="0"/>
      <w:spacing w:line="300" w:lineRule="auto"/>
      <w:ind w:left="176"/>
    </w:pPr>
    <w:rPr>
      <w:rFonts w:ascii="宋体" w:hAnsi="宋体"/>
      <w:szCs w:val="20"/>
    </w:rPr>
  </w:style>
  <w:style w:type="character" w:customStyle="1" w:styleId="5CharChar1">
    <w:name w:val="表内小5 Char Char"/>
    <w:link w:val="5d"/>
    <w:qFormat/>
    <w:rPr>
      <w:rFonts w:ascii="宋体" w:hAnsi="宋体"/>
      <w:kern w:val="2"/>
      <w:sz w:val="21"/>
    </w:rPr>
  </w:style>
  <w:style w:type="character" w:customStyle="1" w:styleId="222Char0">
    <w:name w:val="样式 样式 首行缩进:  2 字符 + 首行缩进:  2 字符2 Char"/>
    <w:link w:val="2220"/>
    <w:qFormat/>
    <w:rPr>
      <w:rFonts w:eastAsia="楷体_GB2312"/>
      <w:spacing w:val="6"/>
      <w:sz w:val="28"/>
    </w:rPr>
  </w:style>
  <w:style w:type="paragraph" w:customStyle="1" w:styleId="2220">
    <w:name w:val="样式 样式 首行缩进:  2 字符 + 首行缩进:  2 字符2"/>
    <w:basedOn w:val="a6"/>
    <w:link w:val="222Char0"/>
    <w:qFormat/>
    <w:pPr>
      <w:spacing w:line="440" w:lineRule="exact"/>
      <w:ind w:firstLineChars="200" w:firstLine="584"/>
    </w:pPr>
    <w:rPr>
      <w:rFonts w:eastAsia="楷体_GB2312"/>
      <w:spacing w:val="6"/>
      <w:kern w:val="0"/>
      <w:sz w:val="28"/>
      <w:szCs w:val="20"/>
    </w:rPr>
  </w:style>
  <w:style w:type="character" w:customStyle="1" w:styleId="004Char">
    <w:name w:val="表格标题004 Char"/>
    <w:link w:val="004"/>
    <w:qFormat/>
    <w:rPr>
      <w:rFonts w:ascii="Arial" w:eastAsia="楷体_GB2312" w:hAnsi="Arial"/>
      <w:b/>
      <w:color w:val="000000"/>
      <w:spacing w:val="20"/>
      <w:kern w:val="2"/>
      <w:sz w:val="28"/>
      <w:szCs w:val="28"/>
    </w:rPr>
  </w:style>
  <w:style w:type="paragraph" w:customStyle="1" w:styleId="004">
    <w:name w:val="表格标题004"/>
    <w:basedOn w:val="a6"/>
    <w:link w:val="004Char"/>
    <w:qFormat/>
    <w:pPr>
      <w:adjustRightInd w:val="0"/>
      <w:snapToGrid w:val="0"/>
      <w:spacing w:line="360" w:lineRule="auto"/>
      <w:jc w:val="center"/>
    </w:pPr>
    <w:rPr>
      <w:rFonts w:ascii="Arial" w:eastAsia="楷体_GB2312" w:hAnsi="Arial"/>
      <w:b/>
      <w:color w:val="000000"/>
      <w:spacing w:val="20"/>
      <w:sz w:val="28"/>
      <w:szCs w:val="28"/>
    </w:rPr>
  </w:style>
  <w:style w:type="character" w:customStyle="1" w:styleId="Char1f8">
    <w:name w:val="正文样式 Char1"/>
    <w:qFormat/>
    <w:rPr>
      <w:rFonts w:eastAsia="宋体"/>
      <w:kern w:val="2"/>
      <w:sz w:val="28"/>
      <w:szCs w:val="28"/>
      <w:lang w:val="en-US" w:eastAsia="zh-CN" w:bidi="ar-SA"/>
    </w:rPr>
  </w:style>
  <w:style w:type="character" w:customStyle="1" w:styleId="mainfirst1">
    <w:name w:val="mainfirst1"/>
    <w:qFormat/>
    <w:rPr>
      <w:b/>
      <w:bCs/>
      <w:color w:val="FF0000"/>
      <w:sz w:val="36"/>
      <w:szCs w:val="36"/>
    </w:rPr>
  </w:style>
  <w:style w:type="character" w:customStyle="1" w:styleId="Charffffff8">
    <w:name w:val="单位 Char"/>
    <w:link w:val="afffffffffd"/>
    <w:qFormat/>
    <w:rPr>
      <w:rFonts w:ascii="Arial" w:hAnsi="Arial"/>
      <w:kern w:val="2"/>
      <w:sz w:val="24"/>
      <w:szCs w:val="22"/>
    </w:rPr>
  </w:style>
  <w:style w:type="paragraph" w:customStyle="1" w:styleId="afffffffffd">
    <w:name w:val="单位"/>
    <w:basedOn w:val="a6"/>
    <w:next w:val="a6"/>
    <w:link w:val="Charffffff8"/>
    <w:qFormat/>
    <w:pPr>
      <w:widowControl/>
      <w:spacing w:line="500" w:lineRule="atLeast"/>
      <w:jc w:val="right"/>
    </w:pPr>
    <w:rPr>
      <w:rFonts w:ascii="Arial" w:hAnsi="Arial"/>
      <w:sz w:val="24"/>
      <w:szCs w:val="22"/>
    </w:rPr>
  </w:style>
  <w:style w:type="character" w:customStyle="1" w:styleId="1ff3">
    <w:name w:val="书籍标题1"/>
    <w:qFormat/>
    <w:rPr>
      <w:b/>
      <w:smallCaps/>
      <w:spacing w:val="5"/>
    </w:rPr>
  </w:style>
  <w:style w:type="character" w:customStyle="1" w:styleId="Charffffff9">
    <w:name w:val="黑体小二 Char"/>
    <w:link w:val="afffffffffe"/>
    <w:qFormat/>
    <w:rPr>
      <w:rFonts w:ascii="Arial" w:eastAsia="黑体" w:hAnsi="Arial"/>
      <w:kern w:val="2"/>
      <w:sz w:val="36"/>
      <w:szCs w:val="36"/>
    </w:rPr>
  </w:style>
  <w:style w:type="paragraph" w:customStyle="1" w:styleId="afffffffffe">
    <w:name w:val="黑体小二"/>
    <w:basedOn w:val="a6"/>
    <w:next w:val="a6"/>
    <w:link w:val="Charffffff9"/>
    <w:qFormat/>
    <w:pPr>
      <w:widowControl/>
      <w:spacing w:line="500" w:lineRule="atLeast"/>
      <w:jc w:val="left"/>
    </w:pPr>
    <w:rPr>
      <w:rFonts w:ascii="Arial" w:eastAsia="黑体" w:hAnsi="Arial"/>
      <w:sz w:val="36"/>
      <w:szCs w:val="36"/>
    </w:rPr>
  </w:style>
  <w:style w:type="character" w:customStyle="1" w:styleId="font161">
    <w:name w:val="font161"/>
    <w:qFormat/>
    <w:rPr>
      <w:rFonts w:ascii="宋体" w:eastAsia="宋体" w:hAnsi="宋体" w:hint="eastAsia"/>
      <w:color w:val="000000"/>
      <w:sz w:val="21"/>
      <w:szCs w:val="21"/>
      <w:u w:val="none"/>
    </w:rPr>
  </w:style>
  <w:style w:type="character" w:customStyle="1" w:styleId="SAR8">
    <w:name w:val="SAR 8"/>
    <w:qFormat/>
    <w:rPr>
      <w:rFonts w:ascii="Courier" w:hAnsi="Courier"/>
      <w:sz w:val="24"/>
      <w:lang w:val="en-US"/>
    </w:rPr>
  </w:style>
  <w:style w:type="character" w:customStyle="1" w:styleId="Char1f9">
    <w:name w:val="批注文字 Char1"/>
    <w:qFormat/>
    <w:rPr>
      <w:rFonts w:ascii="Times New Roman" w:eastAsia="宋体" w:hAnsi="Times New Roman" w:cs="Times New Roman"/>
      <w:szCs w:val="20"/>
    </w:rPr>
  </w:style>
  <w:style w:type="character" w:customStyle="1" w:styleId="Document3">
    <w:name w:val="Document 3"/>
    <w:qFormat/>
    <w:rPr>
      <w:rFonts w:ascii="Courier" w:hAnsi="Courier"/>
      <w:sz w:val="24"/>
      <w:lang w:val="en-US"/>
    </w:rPr>
  </w:style>
  <w:style w:type="character" w:customStyle="1" w:styleId="114">
    <w:name w:val="未命名11"/>
    <w:qFormat/>
    <w:rPr>
      <w:rFonts w:ascii="宋体" w:eastAsia="宋体" w:hAnsi="宋体" w:hint="eastAsia"/>
      <w:sz w:val="18"/>
    </w:rPr>
  </w:style>
  <w:style w:type="character" w:customStyle="1" w:styleId="Char36">
    <w:name w:val="日期 Char3"/>
    <w:basedOn w:val="a7"/>
    <w:uiPriority w:val="99"/>
    <w:semiHidden/>
    <w:qFormat/>
  </w:style>
  <w:style w:type="character" w:customStyle="1" w:styleId="CharCharCharCharCharCCharCharCharCharCharChar">
    <w:name w:val="普通文字 Char Char Char Char Char C Char Char Char Char Char Char"/>
    <w:qFormat/>
    <w:rPr>
      <w:rFonts w:ascii="宋体" w:eastAsia="宋体" w:hAnsi="Courier New"/>
      <w:kern w:val="2"/>
      <w:sz w:val="21"/>
      <w:szCs w:val="24"/>
      <w:lang w:val="en-US" w:eastAsia="zh-CN" w:bidi="ar-SA"/>
    </w:rPr>
  </w:style>
  <w:style w:type="character" w:customStyle="1" w:styleId="kmCharChar">
    <w:name w:val="km Char Char"/>
    <w:link w:val="kmChar"/>
    <w:qFormat/>
    <w:rPr>
      <w:rFonts w:ascii="宋体" w:hAnsi="宋体"/>
      <w:kern w:val="2"/>
      <w:sz w:val="28"/>
      <w:szCs w:val="28"/>
    </w:rPr>
  </w:style>
  <w:style w:type="paragraph" w:customStyle="1" w:styleId="kmChar">
    <w:name w:val="km Char"/>
    <w:basedOn w:val="a6"/>
    <w:link w:val="kmCharChar"/>
    <w:qFormat/>
    <w:pPr>
      <w:ind w:firstLine="567"/>
    </w:pPr>
    <w:rPr>
      <w:rFonts w:ascii="宋体" w:hAnsi="宋体"/>
      <w:sz w:val="28"/>
      <w:szCs w:val="28"/>
    </w:rPr>
  </w:style>
  <w:style w:type="character" w:customStyle="1" w:styleId="CharCharCharf0">
    <w:name w:val="正文小四 Char Char Char"/>
    <w:qFormat/>
    <w:rPr>
      <w:rFonts w:ascii="宋体" w:eastAsia="宋体" w:hAnsi="宋体"/>
      <w:kern w:val="2"/>
      <w:sz w:val="24"/>
      <w:szCs w:val="24"/>
      <w:lang w:val="en-US" w:eastAsia="zh-CN" w:bidi="ar-SA"/>
    </w:rPr>
  </w:style>
  <w:style w:type="character" w:customStyle="1" w:styleId="CharChar16">
    <w:name w:val="图题 Char Char1"/>
    <w:qFormat/>
    <w:rPr>
      <w:rFonts w:ascii="宋体" w:eastAsia="宋体" w:hAnsi="Courier New"/>
      <w:kern w:val="2"/>
      <w:sz w:val="28"/>
      <w:lang w:val="en-US" w:eastAsia="zh-CN" w:bidi="ar-SA"/>
    </w:rPr>
  </w:style>
  <w:style w:type="character" w:customStyle="1" w:styleId="CharChar80">
    <w:name w:val="Char Char8"/>
    <w:qFormat/>
    <w:rPr>
      <w:rFonts w:ascii="宋体" w:eastAsia="宋体" w:hAnsi="Courier New"/>
      <w:kern w:val="2"/>
      <w:sz w:val="28"/>
      <w:lang w:val="en-US" w:eastAsia="zh-CN" w:bidi="ar-SA"/>
    </w:rPr>
  </w:style>
  <w:style w:type="character" w:customStyle="1" w:styleId="title10">
    <w:name w:val="title10"/>
    <w:qFormat/>
  </w:style>
  <w:style w:type="character" w:customStyle="1" w:styleId="hb4Char1">
    <w:name w:val="hb4 Char1"/>
    <w:link w:val="hb4"/>
    <w:qFormat/>
    <w:rPr>
      <w:rFonts w:eastAsia="黑体" w:hAnsi="Arial"/>
      <w:b/>
      <w:kern w:val="24"/>
      <w:sz w:val="24"/>
      <w:szCs w:val="24"/>
    </w:rPr>
  </w:style>
  <w:style w:type="paragraph" w:customStyle="1" w:styleId="hb4">
    <w:name w:val="hb4"/>
    <w:basedOn w:val="41"/>
    <w:link w:val="hb4Char1"/>
    <w:qFormat/>
    <w:pPr>
      <w:adjustRightInd/>
      <w:snapToGrid/>
      <w:spacing w:before="0" w:afterLines="50" w:line="529" w:lineRule="exact"/>
    </w:pPr>
    <w:rPr>
      <w:rFonts w:ascii="Times New Roman" w:hAnsi="Arial"/>
      <w:b/>
      <w:bCs w:val="0"/>
      <w:kern w:val="24"/>
      <w:sz w:val="24"/>
      <w:szCs w:val="24"/>
    </w:rPr>
  </w:style>
  <w:style w:type="character" w:customStyle="1" w:styleId="Charffffffa">
    <w:name w:val="表格 Char"/>
    <w:link w:val="affffffffff"/>
    <w:qFormat/>
    <w:rPr>
      <w:kern w:val="21"/>
      <w:sz w:val="21"/>
    </w:rPr>
  </w:style>
  <w:style w:type="paragraph" w:customStyle="1" w:styleId="affffffffff">
    <w:name w:val="表格"/>
    <w:basedOn w:val="aff6"/>
    <w:next w:val="a6"/>
    <w:link w:val="Charffffffa"/>
    <w:qFormat/>
    <w:pPr>
      <w:kinsoku w:val="0"/>
      <w:wordWrap w:val="0"/>
      <w:overflowPunct w:val="0"/>
      <w:autoSpaceDE w:val="0"/>
      <w:autoSpaceDN w:val="0"/>
      <w:adjustRightInd w:val="0"/>
      <w:spacing w:after="40" w:line="400" w:lineRule="atLeast"/>
      <w:jc w:val="center"/>
      <w:textAlignment w:val="baseline"/>
    </w:pPr>
    <w:rPr>
      <w:kern w:val="21"/>
      <w:szCs w:val="20"/>
    </w:rPr>
  </w:style>
  <w:style w:type="character" w:customStyle="1" w:styleId="CharChar25">
    <w:name w:val="Char Char25"/>
    <w:qFormat/>
    <w:rPr>
      <w:rFonts w:eastAsia="宋体"/>
      <w:b/>
      <w:bCs/>
      <w:kern w:val="44"/>
      <w:sz w:val="44"/>
      <w:szCs w:val="44"/>
      <w:lang w:val="en-US" w:eastAsia="zh-CN" w:bidi="ar-SA"/>
    </w:rPr>
  </w:style>
  <w:style w:type="character" w:customStyle="1" w:styleId="Charffffffb">
    <w:name w:val="样式 普通文字 + (符号) 宋体 小四 Char"/>
    <w:qFormat/>
    <w:rPr>
      <w:rFonts w:ascii="宋体" w:eastAsia="宋体" w:hAnsi="Courier New"/>
      <w:kern w:val="2"/>
      <w:sz w:val="24"/>
      <w:lang w:val="en-US" w:eastAsia="zh-CN" w:bidi="ar-SA"/>
    </w:rPr>
  </w:style>
  <w:style w:type="character" w:customStyle="1" w:styleId="11111CharChar">
    <w:name w:val="标题1.1.1.1.1 Char Char"/>
    <w:qFormat/>
    <w:rPr>
      <w:rFonts w:ascii="新宋体" w:eastAsia="仿宋_GB2312" w:hAnsi="新宋体"/>
      <w:b/>
      <w:kern w:val="2"/>
      <w:sz w:val="28"/>
      <w:lang w:val="en-US" w:eastAsia="zh-CN" w:bidi="ar-SA"/>
    </w:rPr>
  </w:style>
  <w:style w:type="character" w:customStyle="1" w:styleId="2CharChar6">
    <w:name w:val="正文(首行缩进2字） Char Char"/>
    <w:qFormat/>
    <w:rPr>
      <w:rFonts w:ascii="Arial" w:eastAsia="宋体" w:hAnsi="Arial" w:cs="Arial"/>
      <w:kern w:val="2"/>
      <w:sz w:val="24"/>
      <w:szCs w:val="24"/>
      <w:lang w:val="en-US" w:eastAsia="zh-CN" w:bidi="ar-SA"/>
    </w:rPr>
  </w:style>
  <w:style w:type="character" w:customStyle="1" w:styleId="Char1fa">
    <w:name w:val="正文文本缩进 Char1"/>
    <w:uiPriority w:val="99"/>
    <w:qFormat/>
    <w:rPr>
      <w:kern w:val="2"/>
      <w:sz w:val="21"/>
      <w:szCs w:val="24"/>
    </w:rPr>
  </w:style>
  <w:style w:type="character" w:customStyle="1" w:styleId="CharCharCharf1">
    <w:name w:val="表号 Char Char Char"/>
    <w:link w:val="CharCharffd"/>
    <w:qFormat/>
    <w:rPr>
      <w:kern w:val="2"/>
      <w:sz w:val="24"/>
      <w:szCs w:val="24"/>
      <w:lang w:val="en-US" w:eastAsia="zh-CN" w:bidi="ar-SA"/>
    </w:rPr>
  </w:style>
  <w:style w:type="paragraph" w:customStyle="1" w:styleId="CharCharffd">
    <w:name w:val="表号 Char Char"/>
    <w:link w:val="CharCharCharf1"/>
    <w:qFormat/>
    <w:pPr>
      <w:adjustRightInd w:val="0"/>
      <w:snapToGrid w:val="0"/>
      <w:spacing w:line="240" w:lineRule="atLeast"/>
      <w:jc w:val="both"/>
      <w:outlineLvl w:val="4"/>
    </w:pPr>
    <w:rPr>
      <w:kern w:val="2"/>
      <w:sz w:val="24"/>
      <w:szCs w:val="24"/>
    </w:rPr>
  </w:style>
  <w:style w:type="character" w:customStyle="1" w:styleId="model11">
    <w:name w:val="model11"/>
    <w:qFormat/>
    <w:rPr>
      <w:rFonts w:ascii="宋体" w:eastAsia="宋体" w:hAnsi="宋体" w:hint="eastAsia"/>
      <w:sz w:val="18"/>
      <w:szCs w:val="18"/>
    </w:rPr>
  </w:style>
  <w:style w:type="character" w:customStyle="1" w:styleId="1ff4">
    <w:name w:val="占位符文本1"/>
    <w:qFormat/>
    <w:rPr>
      <w:color w:val="808080"/>
    </w:rPr>
  </w:style>
  <w:style w:type="character" w:customStyle="1" w:styleId="Charffffffc">
    <w:name w:val="表中小五 Char"/>
    <w:link w:val="affffffffff0"/>
    <w:qFormat/>
    <w:rPr>
      <w:kern w:val="2"/>
      <w:sz w:val="18"/>
    </w:rPr>
  </w:style>
  <w:style w:type="paragraph" w:customStyle="1" w:styleId="affffffffff0">
    <w:name w:val="表中小五"/>
    <w:basedOn w:val="a6"/>
    <w:link w:val="Charffffffc"/>
    <w:qFormat/>
    <w:pPr>
      <w:snapToGrid w:val="0"/>
      <w:ind w:firstLineChars="200" w:firstLine="200"/>
      <w:jc w:val="center"/>
    </w:pPr>
    <w:rPr>
      <w:sz w:val="18"/>
      <w:szCs w:val="20"/>
    </w:rPr>
  </w:style>
  <w:style w:type="character" w:customStyle="1" w:styleId="CharCharffe">
    <w:name w:val="环小四内容 Char Char"/>
    <w:link w:val="affffffffff1"/>
    <w:qFormat/>
    <w:rPr>
      <w:rFonts w:ascii="宋体"/>
      <w:kern w:val="2"/>
      <w:sz w:val="24"/>
      <w:szCs w:val="24"/>
    </w:rPr>
  </w:style>
  <w:style w:type="paragraph" w:customStyle="1" w:styleId="affffffffff1">
    <w:name w:val="环小四内容"/>
    <w:basedOn w:val="a6"/>
    <w:link w:val="CharCharffe"/>
    <w:qFormat/>
    <w:pPr>
      <w:ind w:firstLineChars="200" w:firstLine="480"/>
    </w:pPr>
    <w:rPr>
      <w:rFonts w:ascii="宋体"/>
      <w:sz w:val="24"/>
    </w:rPr>
  </w:style>
  <w:style w:type="character" w:customStyle="1" w:styleId="A-Char">
    <w:name w:val="A-表格文字 Char"/>
    <w:link w:val="A-"/>
    <w:qFormat/>
    <w:rPr>
      <w:rFonts w:eastAsia="宋体"/>
      <w:sz w:val="21"/>
      <w:szCs w:val="21"/>
      <w:lang w:val="en-US" w:eastAsia="zh-CN" w:bidi="ar-SA"/>
    </w:rPr>
  </w:style>
  <w:style w:type="paragraph" w:customStyle="1" w:styleId="A-">
    <w:name w:val="A-表格文字"/>
    <w:basedOn w:val="a6"/>
    <w:next w:val="a6"/>
    <w:link w:val="A-Char"/>
    <w:qFormat/>
    <w:pPr>
      <w:autoSpaceDE w:val="0"/>
      <w:autoSpaceDN w:val="0"/>
      <w:adjustRightInd w:val="0"/>
      <w:jc w:val="center"/>
      <w:textAlignment w:val="center"/>
    </w:pPr>
    <w:rPr>
      <w:kern w:val="0"/>
      <w:szCs w:val="21"/>
    </w:rPr>
  </w:style>
  <w:style w:type="character" w:customStyle="1" w:styleId="1CharCharChar1">
    <w:name w:val="（1）标题 Char Char Char"/>
    <w:qFormat/>
    <w:rPr>
      <w:rFonts w:eastAsia="宋体"/>
      <w:sz w:val="28"/>
    </w:rPr>
  </w:style>
  <w:style w:type="character" w:customStyle="1" w:styleId="2SLCONChar">
    <w:name w:val="正文 首行缩进:  2 字符 SL CON Char"/>
    <w:link w:val="2SLCON"/>
    <w:qFormat/>
    <w:rPr>
      <w:rFonts w:ascii="宋体" w:cs="宋体"/>
      <w:sz w:val="28"/>
      <w:szCs w:val="24"/>
    </w:rPr>
  </w:style>
  <w:style w:type="paragraph" w:customStyle="1" w:styleId="2SLCON">
    <w:name w:val="正文 首行缩进:  2 字符 SL CON"/>
    <w:basedOn w:val="a6"/>
    <w:link w:val="2SLCONChar"/>
    <w:qFormat/>
    <w:pPr>
      <w:widowControl/>
      <w:tabs>
        <w:tab w:val="left" w:pos="377"/>
      </w:tabs>
      <w:spacing w:line="360" w:lineRule="auto"/>
      <w:ind w:firstLineChars="200" w:firstLine="200"/>
    </w:pPr>
    <w:rPr>
      <w:rFonts w:ascii="宋体"/>
      <w:kern w:val="0"/>
      <w:sz w:val="28"/>
    </w:rPr>
  </w:style>
  <w:style w:type="character" w:customStyle="1" w:styleId="CharCharCharf2">
    <w:name w:val="表题 Char Char Char"/>
    <w:qFormat/>
    <w:rPr>
      <w:rFonts w:ascii="宋体" w:eastAsia="宋体" w:hAnsi="宋体"/>
      <w:bCs/>
      <w:kern w:val="2"/>
      <w:sz w:val="24"/>
      <w:szCs w:val="24"/>
      <w:lang w:val="en-US" w:eastAsia="zh-CN" w:bidi="ar-SA"/>
    </w:rPr>
  </w:style>
  <w:style w:type="character" w:customStyle="1" w:styleId="style391">
    <w:name w:val="style391"/>
    <w:qFormat/>
    <w:rPr>
      <w:sz w:val="18"/>
      <w:szCs w:val="18"/>
    </w:rPr>
  </w:style>
  <w:style w:type="character" w:customStyle="1" w:styleId="Charffffffd">
    <w:name w:val="大纲正文 Char"/>
    <w:link w:val="affffffffff2"/>
    <w:qFormat/>
    <w:rPr>
      <w:rFonts w:ascii="黑体" w:hAnsi="Tahoma"/>
      <w:kern w:val="2"/>
      <w:sz w:val="24"/>
      <w:szCs w:val="32"/>
    </w:rPr>
  </w:style>
  <w:style w:type="paragraph" w:customStyle="1" w:styleId="affffffffff2">
    <w:name w:val="大纲正文"/>
    <w:basedOn w:val="a6"/>
    <w:link w:val="Charffffffd"/>
    <w:qFormat/>
    <w:pPr>
      <w:widowControl/>
      <w:adjustRightInd w:val="0"/>
      <w:snapToGrid w:val="0"/>
      <w:spacing w:afterLines="50" w:line="300" w:lineRule="auto"/>
      <w:ind w:firstLineChars="200" w:firstLine="480"/>
    </w:pPr>
    <w:rPr>
      <w:rFonts w:ascii="黑体" w:hAnsi="Tahoma"/>
      <w:sz w:val="24"/>
      <w:szCs w:val="32"/>
    </w:rPr>
  </w:style>
  <w:style w:type="character" w:customStyle="1" w:styleId="2Chard">
    <w:name w:val="2标题 Char"/>
    <w:link w:val="2ff6"/>
    <w:qFormat/>
    <w:rPr>
      <w:rFonts w:ascii="Calibri" w:hAnsi="Calibri"/>
      <w:b/>
      <w:kern w:val="2"/>
      <w:sz w:val="24"/>
    </w:rPr>
  </w:style>
  <w:style w:type="paragraph" w:customStyle="1" w:styleId="2ff6">
    <w:name w:val="2标题"/>
    <w:basedOn w:val="22"/>
    <w:link w:val="2Chard"/>
    <w:qFormat/>
    <w:pPr>
      <w:tabs>
        <w:tab w:val="left" w:pos="1070"/>
      </w:tabs>
      <w:adjustRightInd w:val="0"/>
      <w:snapToGrid w:val="0"/>
      <w:spacing w:beforeLines="150" w:before="360" w:afterLines="100" w:after="240" w:line="480" w:lineRule="auto"/>
      <w:ind w:firstLineChars="200" w:firstLine="482"/>
      <w:jc w:val="left"/>
      <w:textAlignment w:val="baseline"/>
    </w:pPr>
    <w:rPr>
      <w:rFonts w:ascii="Calibri" w:hAnsi="Calibri"/>
      <w:bCs w:val="0"/>
      <w:spacing w:val="0"/>
      <w:w w:val="100"/>
      <w:kern w:val="2"/>
      <w:sz w:val="24"/>
      <w:szCs w:val="20"/>
    </w:rPr>
  </w:style>
  <w:style w:type="character" w:customStyle="1" w:styleId="Charffffffe">
    <w:name w:val="亚行正文 Char"/>
    <w:link w:val="affffffffff3"/>
    <w:qFormat/>
    <w:rPr>
      <w:sz w:val="24"/>
      <w:szCs w:val="24"/>
    </w:rPr>
  </w:style>
  <w:style w:type="paragraph" w:customStyle="1" w:styleId="affffffffff3">
    <w:name w:val="亚行正文"/>
    <w:basedOn w:val="a6"/>
    <w:link w:val="Charffffffe"/>
    <w:qFormat/>
    <w:pPr>
      <w:wordWrap w:val="0"/>
      <w:spacing w:line="360" w:lineRule="auto"/>
      <w:ind w:leftChars="-1" w:left="-2" w:firstLineChars="197" w:firstLine="473"/>
    </w:pPr>
    <w:rPr>
      <w:kern w:val="0"/>
      <w:sz w:val="24"/>
    </w:rPr>
  </w:style>
  <w:style w:type="character" w:customStyle="1" w:styleId="Charfffffff">
    <w:name w:val="表名                .. Char"/>
    <w:link w:val="affffffffff4"/>
    <w:qFormat/>
    <w:rPr>
      <w:rFonts w:ascii="宋体" w:eastAsia="宋体" w:hAnsi="宋体"/>
      <w:sz w:val="24"/>
      <w:szCs w:val="24"/>
    </w:rPr>
  </w:style>
  <w:style w:type="paragraph" w:customStyle="1" w:styleId="affffffffff4">
    <w:name w:val="表名                .."/>
    <w:basedOn w:val="a6"/>
    <w:link w:val="Charfffffff"/>
    <w:qFormat/>
    <w:pPr>
      <w:spacing w:line="360" w:lineRule="auto"/>
      <w:ind w:firstLineChars="200" w:firstLine="480"/>
      <w:jc w:val="left"/>
      <w:textAlignment w:val="baseline"/>
    </w:pPr>
    <w:rPr>
      <w:rFonts w:ascii="宋体" w:hAnsi="宋体"/>
      <w:kern w:val="0"/>
      <w:sz w:val="24"/>
    </w:rPr>
  </w:style>
  <w:style w:type="character" w:customStyle="1" w:styleId="iiiChar">
    <w:name w:val=". [(iii)] Char"/>
    <w:qFormat/>
    <w:rPr>
      <w:rFonts w:ascii="Arial" w:eastAsia="黑体" w:hAnsi="Arial"/>
      <w:kern w:val="2"/>
      <w:sz w:val="21"/>
      <w:szCs w:val="21"/>
      <w:lang w:val="en-US" w:eastAsia="zh-CN" w:bidi="ar-SA"/>
    </w:rPr>
  </w:style>
  <w:style w:type="character" w:customStyle="1" w:styleId="Char1fb">
    <w:name w:val="无页眉 Char1"/>
    <w:qFormat/>
    <w:rPr>
      <w:rFonts w:eastAsia="宋体"/>
      <w:kern w:val="2"/>
      <w:sz w:val="18"/>
      <w:szCs w:val="18"/>
      <w:lang w:val="en-US" w:eastAsia="zh-CN" w:bidi="ar-SA"/>
    </w:rPr>
  </w:style>
  <w:style w:type="character" w:customStyle="1" w:styleId="read">
    <w:name w:val="read"/>
    <w:qFormat/>
  </w:style>
  <w:style w:type="character" w:customStyle="1" w:styleId="CharChar23">
    <w:name w:val="Char Char23"/>
    <w:qFormat/>
    <w:rPr>
      <w:kern w:val="2"/>
      <w:sz w:val="21"/>
    </w:rPr>
  </w:style>
  <w:style w:type="character" w:customStyle="1" w:styleId="Charfffffff0">
    <w:name w:val="缩进 Char"/>
    <w:link w:val="affffffffff5"/>
    <w:qFormat/>
    <w:rPr>
      <w:kern w:val="2"/>
      <w:sz w:val="24"/>
    </w:rPr>
  </w:style>
  <w:style w:type="paragraph" w:customStyle="1" w:styleId="affffffffff5">
    <w:name w:val="缩进"/>
    <w:basedOn w:val="a6"/>
    <w:link w:val="Charfffffff0"/>
    <w:qFormat/>
    <w:pPr>
      <w:spacing w:line="360" w:lineRule="auto"/>
      <w:ind w:firstLineChars="200" w:firstLine="200"/>
    </w:pPr>
    <w:rPr>
      <w:sz w:val="24"/>
      <w:szCs w:val="20"/>
    </w:rPr>
  </w:style>
  <w:style w:type="character" w:customStyle="1" w:styleId="ppp">
    <w:name w:val="ppp"/>
    <w:qFormat/>
  </w:style>
  <w:style w:type="character" w:customStyle="1" w:styleId="Charfffffff1">
    <w:name w:val="正文(首行缩进) Char"/>
    <w:qFormat/>
    <w:rPr>
      <w:rFonts w:eastAsia="宋体"/>
      <w:snapToGrid w:val="0"/>
      <w:color w:val="000000"/>
      <w:sz w:val="24"/>
      <w:szCs w:val="24"/>
      <w:lang w:val="en-US" w:eastAsia="zh-CN" w:bidi="ar-SA"/>
    </w:rPr>
  </w:style>
  <w:style w:type="character" w:customStyle="1" w:styleId="CharCharfff">
    <w:name w:val="文本框小五 Char Char"/>
    <w:link w:val="affffffffff6"/>
    <w:qFormat/>
    <w:rPr>
      <w:rFonts w:eastAsia="仿宋_GB2312"/>
      <w:kern w:val="2"/>
      <w:sz w:val="18"/>
      <w:szCs w:val="21"/>
    </w:rPr>
  </w:style>
  <w:style w:type="paragraph" w:customStyle="1" w:styleId="affffffffff6">
    <w:name w:val="文本框小五"/>
    <w:basedOn w:val="a6"/>
    <w:link w:val="CharCharfff"/>
    <w:qFormat/>
    <w:pPr>
      <w:jc w:val="center"/>
    </w:pPr>
    <w:rPr>
      <w:rFonts w:eastAsia="仿宋_GB2312"/>
      <w:sz w:val="18"/>
      <w:szCs w:val="21"/>
    </w:rPr>
  </w:style>
  <w:style w:type="character" w:customStyle="1" w:styleId="Char2f">
    <w:name w:val="表头 Char2"/>
    <w:qFormat/>
    <w:rPr>
      <w:rFonts w:ascii="Arial" w:eastAsia="黑体" w:hAnsi="Arial"/>
      <w:bCs/>
      <w:kern w:val="2"/>
      <w:sz w:val="21"/>
      <w:szCs w:val="28"/>
      <w:lang w:val="en-US" w:eastAsia="zh-CN" w:bidi="ar-SA"/>
    </w:rPr>
  </w:style>
  <w:style w:type="character" w:customStyle="1" w:styleId="1CharChar9">
    <w:name w:val="正文文字1 Char Char"/>
    <w:qFormat/>
    <w:rPr>
      <w:rFonts w:eastAsia="宋体"/>
      <w:kern w:val="2"/>
      <w:sz w:val="21"/>
      <w:szCs w:val="24"/>
      <w:lang w:val="en-US" w:eastAsia="zh-CN" w:bidi="ar-SA"/>
    </w:rPr>
  </w:style>
  <w:style w:type="character" w:customStyle="1" w:styleId="10Char">
    <w:name w:val="样式10 Char"/>
    <w:link w:val="100"/>
    <w:qFormat/>
    <w:rPr>
      <w:rFonts w:ascii="宋体" w:hAnsi="Courier New" w:cs="仿宋_GB2312"/>
      <w:szCs w:val="21"/>
    </w:rPr>
  </w:style>
  <w:style w:type="paragraph" w:customStyle="1" w:styleId="100">
    <w:name w:val="样式10"/>
    <w:basedOn w:val="afc"/>
    <w:link w:val="10Char"/>
    <w:qFormat/>
    <w:pPr>
      <w:spacing w:line="240" w:lineRule="auto"/>
      <w:ind w:firstLineChars="0" w:firstLine="0"/>
    </w:pPr>
    <w:rPr>
      <w:rFonts w:eastAsia="宋体"/>
      <w:color w:val="auto"/>
      <w:spacing w:val="0"/>
      <w:kern w:val="0"/>
      <w:sz w:val="20"/>
    </w:rPr>
  </w:style>
  <w:style w:type="character" w:customStyle="1" w:styleId="Char1fc">
    <w:name w:val="安全专篇正文 Char1"/>
    <w:link w:val="affffffffff7"/>
    <w:qFormat/>
    <w:rPr>
      <w:color w:val="000000"/>
      <w:sz w:val="28"/>
    </w:rPr>
  </w:style>
  <w:style w:type="paragraph" w:customStyle="1" w:styleId="affffffffff7">
    <w:name w:val="安全专篇正文"/>
    <w:basedOn w:val="a6"/>
    <w:next w:val="a6"/>
    <w:link w:val="Char1fc"/>
    <w:qFormat/>
    <w:pPr>
      <w:spacing w:line="336" w:lineRule="auto"/>
      <w:ind w:firstLineChars="200" w:firstLine="560"/>
    </w:pPr>
    <w:rPr>
      <w:color w:val="000000"/>
      <w:kern w:val="0"/>
      <w:sz w:val="28"/>
      <w:szCs w:val="20"/>
    </w:rPr>
  </w:style>
  <w:style w:type="character" w:customStyle="1" w:styleId="AChar1">
    <w:name w:val="表头A Char"/>
    <w:link w:val="Affffffffff8"/>
    <w:qFormat/>
    <w:rPr>
      <w:rFonts w:ascii="宋体" w:hAnsi="宋体"/>
      <w:b/>
      <w:kern w:val="2"/>
      <w:sz w:val="24"/>
      <w:szCs w:val="24"/>
    </w:rPr>
  </w:style>
  <w:style w:type="paragraph" w:customStyle="1" w:styleId="Affffffffff8">
    <w:name w:val="表头A"/>
    <w:basedOn w:val="a6"/>
    <w:link w:val="AChar1"/>
    <w:qFormat/>
    <w:pPr>
      <w:spacing w:line="500" w:lineRule="exact"/>
      <w:jc w:val="center"/>
    </w:pPr>
    <w:rPr>
      <w:rFonts w:ascii="宋体" w:hAnsi="宋体"/>
      <w:b/>
      <w:sz w:val="24"/>
    </w:rPr>
  </w:style>
  <w:style w:type="character" w:customStyle="1" w:styleId="zihaofc03">
    <w:name w:val="zihao fc03"/>
    <w:qFormat/>
  </w:style>
  <w:style w:type="character" w:customStyle="1" w:styleId="13Char">
    <w:name w:val="正文小四首缩1.3行距 Char"/>
    <w:link w:val="130"/>
    <w:qFormat/>
    <w:rPr>
      <w:rFonts w:ascii="Verdana" w:hAnsi="Verdana"/>
      <w:sz w:val="24"/>
      <w:szCs w:val="24"/>
    </w:rPr>
  </w:style>
  <w:style w:type="paragraph" w:customStyle="1" w:styleId="130">
    <w:name w:val="正文小四首缩1.3行距"/>
    <w:basedOn w:val="a6"/>
    <w:link w:val="13Char"/>
    <w:qFormat/>
    <w:pPr>
      <w:spacing w:line="312" w:lineRule="auto"/>
      <w:ind w:firstLineChars="200" w:firstLine="420"/>
    </w:pPr>
    <w:rPr>
      <w:rFonts w:ascii="Verdana" w:hAnsi="Verdana"/>
      <w:kern w:val="0"/>
      <w:sz w:val="24"/>
    </w:rPr>
  </w:style>
  <w:style w:type="character" w:customStyle="1" w:styleId="ttilte1">
    <w:name w:val="ttilte1"/>
    <w:qFormat/>
    <w:rPr>
      <w:rFonts w:hint="default"/>
      <w:b/>
      <w:bCs/>
      <w:color w:val="0000CC"/>
      <w:sz w:val="24"/>
      <w:szCs w:val="24"/>
    </w:rPr>
  </w:style>
  <w:style w:type="character" w:customStyle="1" w:styleId="Charfffffff2">
    <w:name w:val="表头！！！！！！！！！！ Char"/>
    <w:link w:val="affffffffff9"/>
    <w:qFormat/>
    <w:rPr>
      <w:rFonts w:ascii="楷体_GB2312" w:eastAsia="楷体_GB2312"/>
      <w:b/>
      <w:kern w:val="2"/>
      <w:sz w:val="24"/>
      <w:szCs w:val="24"/>
    </w:rPr>
  </w:style>
  <w:style w:type="paragraph" w:customStyle="1" w:styleId="affffffffff9">
    <w:name w:val="表头！！！！！！！！！！"/>
    <w:link w:val="Charfffffff2"/>
    <w:qFormat/>
    <w:pPr>
      <w:autoSpaceDE w:val="0"/>
      <w:autoSpaceDN w:val="0"/>
      <w:adjustRightInd w:val="0"/>
      <w:spacing w:line="500" w:lineRule="exact"/>
      <w:textAlignment w:val="baseline"/>
    </w:pPr>
    <w:rPr>
      <w:rFonts w:ascii="楷体_GB2312" w:eastAsia="楷体_GB2312"/>
      <w:b/>
      <w:kern w:val="2"/>
      <w:szCs w:val="24"/>
    </w:rPr>
  </w:style>
  <w:style w:type="paragraph" w:customStyle="1" w:styleId="affffffffffa">
    <w:name w:val="表格标题"/>
    <w:basedOn w:val="af8"/>
    <w:qFormat/>
    <w:pPr>
      <w:spacing w:beforeLines="50" w:before="156" w:afterLines="50" w:after="156" w:line="360" w:lineRule="auto"/>
      <w:jc w:val="center"/>
    </w:pPr>
    <w:rPr>
      <w:rFonts w:ascii="黑体" w:eastAsia="黑体"/>
      <w:kern w:val="40"/>
      <w:sz w:val="24"/>
      <w:szCs w:val="30"/>
    </w:rPr>
  </w:style>
  <w:style w:type="character" w:customStyle="1" w:styleId="GB23125">
    <w:name w:val="样式 (中文) 仿宋_GB2312 小四"/>
    <w:qFormat/>
    <w:rPr>
      <w:rFonts w:ascii="Times New Roman" w:eastAsia="仿宋_GB2312" w:hAnsi="Times New Roman"/>
      <w:sz w:val="24"/>
    </w:rPr>
  </w:style>
  <w:style w:type="character" w:customStyle="1" w:styleId="AChar2">
    <w:name w:val="标题二A Char"/>
    <w:link w:val="Affffffffffb"/>
    <w:qFormat/>
    <w:rPr>
      <w:rFonts w:ascii="宋体" w:hAnsi="宋体"/>
      <w:b/>
      <w:bCs/>
      <w:kern w:val="2"/>
      <w:sz w:val="30"/>
      <w:szCs w:val="30"/>
    </w:rPr>
  </w:style>
  <w:style w:type="paragraph" w:customStyle="1" w:styleId="Affffffffffb">
    <w:name w:val="标题二A"/>
    <w:basedOn w:val="22"/>
    <w:link w:val="AChar2"/>
    <w:qFormat/>
    <w:pPr>
      <w:keepNext w:val="0"/>
      <w:keepLines w:val="0"/>
      <w:tabs>
        <w:tab w:val="left" w:pos="1070"/>
      </w:tabs>
      <w:spacing w:line="500" w:lineRule="exact"/>
      <w:ind w:leftChars="400" w:left="1070" w:hangingChars="200" w:hanging="360"/>
    </w:pPr>
    <w:rPr>
      <w:spacing w:val="0"/>
      <w:w w:val="100"/>
      <w:kern w:val="2"/>
      <w:sz w:val="30"/>
      <w:szCs w:val="30"/>
    </w:rPr>
  </w:style>
  <w:style w:type="character" w:customStyle="1" w:styleId="CharCharfff0">
    <w:name w:val="表格后空行 Char Char"/>
    <w:link w:val="affffffffffc"/>
    <w:qFormat/>
    <w:rPr>
      <w:rFonts w:cs="宋体"/>
      <w:color w:val="000000"/>
      <w:w w:val="110"/>
      <w:sz w:val="24"/>
      <w:u w:color="000000"/>
    </w:rPr>
  </w:style>
  <w:style w:type="paragraph" w:customStyle="1" w:styleId="affffffffffc">
    <w:name w:val="表格后空行"/>
    <w:basedOn w:val="a6"/>
    <w:link w:val="CharCharfff0"/>
    <w:qFormat/>
    <w:pPr>
      <w:widowControl/>
      <w:spacing w:line="240" w:lineRule="exact"/>
      <w:textAlignment w:val="baseline"/>
    </w:pPr>
    <w:rPr>
      <w:color w:val="000000"/>
      <w:w w:val="110"/>
      <w:kern w:val="0"/>
      <w:sz w:val="24"/>
      <w:szCs w:val="20"/>
      <w:u w:color="000000"/>
    </w:rPr>
  </w:style>
  <w:style w:type="character" w:customStyle="1" w:styleId="JChar">
    <w:name w:val="J【表头】 Char"/>
    <w:link w:val="J"/>
    <w:qFormat/>
    <w:rPr>
      <w:rFonts w:ascii="Calibri" w:hAnsi="Calibri"/>
      <w:b/>
      <w:sz w:val="24"/>
      <w:szCs w:val="24"/>
    </w:rPr>
  </w:style>
  <w:style w:type="paragraph" w:customStyle="1" w:styleId="J">
    <w:name w:val="J【表头】"/>
    <w:basedOn w:val="a6"/>
    <w:link w:val="JChar"/>
    <w:qFormat/>
    <w:pPr>
      <w:spacing w:line="360" w:lineRule="auto"/>
      <w:jc w:val="center"/>
    </w:pPr>
    <w:rPr>
      <w:rFonts w:ascii="Calibri" w:hAnsi="Calibri"/>
      <w:b/>
      <w:kern w:val="0"/>
      <w:sz w:val="24"/>
    </w:rPr>
  </w:style>
  <w:style w:type="character" w:customStyle="1" w:styleId="Char2f0">
    <w:name w:val="日期 Char2"/>
    <w:qFormat/>
    <w:rPr>
      <w:kern w:val="2"/>
      <w:sz w:val="21"/>
      <w:szCs w:val="22"/>
    </w:rPr>
  </w:style>
  <w:style w:type="character" w:customStyle="1" w:styleId="1CharChara">
    <w:name w:val="表格1 Char Char"/>
    <w:link w:val="1ff5"/>
    <w:qFormat/>
    <w:rPr>
      <w:spacing w:val="4"/>
      <w:sz w:val="21"/>
    </w:rPr>
  </w:style>
  <w:style w:type="paragraph" w:customStyle="1" w:styleId="1ff5">
    <w:name w:val="表格1"/>
    <w:link w:val="1CharChara"/>
    <w:qFormat/>
    <w:pPr>
      <w:tabs>
        <w:tab w:val="left" w:pos="5400"/>
      </w:tabs>
      <w:spacing w:line="320" w:lineRule="atLeast"/>
    </w:pPr>
    <w:rPr>
      <w:spacing w:val="4"/>
      <w:sz w:val="21"/>
    </w:rPr>
  </w:style>
  <w:style w:type="paragraph" w:customStyle="1" w:styleId="120">
    <w:name w:val="正文12"/>
    <w:basedOn w:val="a6"/>
    <w:link w:val="1Charb"/>
    <w:qFormat/>
    <w:pPr>
      <w:spacing w:line="360" w:lineRule="auto"/>
      <w:ind w:firstLineChars="200" w:firstLine="480"/>
    </w:pPr>
    <w:rPr>
      <w:kern w:val="0"/>
      <w:sz w:val="24"/>
      <w:szCs w:val="20"/>
    </w:rPr>
  </w:style>
  <w:style w:type="character" w:customStyle="1" w:styleId="1Charb">
    <w:name w:val="正文1 Char"/>
    <w:link w:val="120"/>
    <w:qFormat/>
    <w:rPr>
      <w:sz w:val="24"/>
    </w:rPr>
  </w:style>
  <w:style w:type="character" w:customStyle="1" w:styleId="hb4CharCharCharChar">
    <w:name w:val="hb4 Char Char Char Char"/>
    <w:link w:val="hb4CharCharChar"/>
    <w:qFormat/>
    <w:rPr>
      <w:rFonts w:ascii="宋体" w:eastAsia="黑体" w:hAnsi="Arial"/>
      <w:kern w:val="2"/>
      <w:sz w:val="24"/>
      <w:szCs w:val="24"/>
    </w:rPr>
  </w:style>
  <w:style w:type="paragraph" w:customStyle="1" w:styleId="hb4CharCharChar">
    <w:name w:val="hb4 Char Char Char"/>
    <w:basedOn w:val="41"/>
    <w:link w:val="hb4CharCharCharChar"/>
    <w:qFormat/>
    <w:pPr>
      <w:adjustRightInd/>
      <w:snapToGrid/>
      <w:spacing w:beforeLines="0" w:before="0"/>
    </w:pPr>
    <w:rPr>
      <w:rFonts w:ascii="宋体" w:hAnsi="Arial"/>
      <w:bCs w:val="0"/>
      <w:sz w:val="24"/>
      <w:szCs w:val="24"/>
    </w:rPr>
  </w:style>
  <w:style w:type="character" w:customStyle="1" w:styleId="hb4CharCharCharCharCharChar">
    <w:name w:val="hb4 Char Char Char Char Char Char"/>
    <w:link w:val="hb4CharCharCharCharChar"/>
    <w:qFormat/>
    <w:rPr>
      <w:rFonts w:ascii="宋体" w:eastAsia="黑体" w:hAnsi="Arial"/>
      <w:kern w:val="2"/>
      <w:sz w:val="24"/>
      <w:szCs w:val="24"/>
    </w:rPr>
  </w:style>
  <w:style w:type="paragraph" w:customStyle="1" w:styleId="hb4CharCharCharCharChar">
    <w:name w:val="hb4 Char Char Char Char Char"/>
    <w:basedOn w:val="41"/>
    <w:link w:val="hb4CharCharCharCharCharChar"/>
    <w:qFormat/>
    <w:pPr>
      <w:adjustRightInd/>
      <w:snapToGrid/>
      <w:spacing w:beforeLines="0" w:before="0"/>
    </w:pPr>
    <w:rPr>
      <w:rFonts w:ascii="宋体" w:hAnsi="Arial"/>
      <w:bCs w:val="0"/>
      <w:sz w:val="24"/>
      <w:szCs w:val="24"/>
    </w:rPr>
  </w:style>
  <w:style w:type="character" w:customStyle="1" w:styleId="Charfffffff3">
    <w:name w:val="正文啊 Char"/>
    <w:link w:val="affffffffffd"/>
    <w:qFormat/>
    <w:rPr>
      <w:rFonts w:ascii="Calibri" w:hAnsi="Calibri"/>
      <w:kern w:val="2"/>
      <w:sz w:val="24"/>
    </w:rPr>
  </w:style>
  <w:style w:type="paragraph" w:customStyle="1" w:styleId="affffffffffd">
    <w:name w:val="正文啊"/>
    <w:basedOn w:val="a6"/>
    <w:link w:val="Charfffffff3"/>
    <w:qFormat/>
    <w:pPr>
      <w:spacing w:line="360" w:lineRule="auto"/>
      <w:ind w:firstLineChars="200" w:firstLine="200"/>
    </w:pPr>
    <w:rPr>
      <w:rFonts w:ascii="Calibri" w:hAnsi="Calibri"/>
      <w:sz w:val="24"/>
      <w:szCs w:val="20"/>
    </w:rPr>
  </w:style>
  <w:style w:type="character" w:customStyle="1" w:styleId="hb1Char">
    <w:name w:val="hb1 Char"/>
    <w:link w:val="hb1"/>
    <w:qFormat/>
    <w:rPr>
      <w:rFonts w:eastAsia="黑体" w:hAnsi="黑体"/>
      <w:bCs/>
      <w:kern w:val="44"/>
      <w:sz w:val="32"/>
      <w:szCs w:val="32"/>
    </w:rPr>
  </w:style>
  <w:style w:type="paragraph" w:customStyle="1" w:styleId="hb1">
    <w:name w:val="hb1"/>
    <w:basedOn w:val="12"/>
    <w:link w:val="hb1Char"/>
    <w:qFormat/>
    <w:pPr>
      <w:keepNext w:val="0"/>
      <w:keepLines w:val="0"/>
      <w:pageBreakBefore/>
      <w:topLinePunct/>
      <w:adjustRightInd w:val="0"/>
      <w:spacing w:beforeLines="100" w:before="100" w:beforeAutospacing="1" w:afterLines="100" w:after="100" w:afterAutospacing="1" w:line="578" w:lineRule="atLeast"/>
      <w:jc w:val="center"/>
      <w:textAlignment w:val="baseline"/>
    </w:pPr>
    <w:rPr>
      <w:rFonts w:hAnsi="黑体"/>
      <w:b w:val="0"/>
      <w:sz w:val="32"/>
      <w:szCs w:val="32"/>
    </w:rPr>
  </w:style>
  <w:style w:type="character" w:customStyle="1" w:styleId="Charfffffff4">
    <w:name w:val="无间隔 Char"/>
    <w:link w:val="affffffffffe"/>
    <w:uiPriority w:val="1"/>
    <w:qFormat/>
    <w:rPr>
      <w:rFonts w:ascii="Calibri" w:hAnsi="Calibri"/>
      <w:sz w:val="22"/>
      <w:szCs w:val="22"/>
      <w:lang w:bidi="ar-SA"/>
    </w:rPr>
  </w:style>
  <w:style w:type="paragraph" w:styleId="affffffffffe">
    <w:name w:val="No Spacing"/>
    <w:link w:val="Charfffffff4"/>
    <w:uiPriority w:val="1"/>
    <w:qFormat/>
    <w:rPr>
      <w:rFonts w:ascii="Calibri" w:hAnsi="Calibri"/>
      <w:sz w:val="22"/>
      <w:szCs w:val="22"/>
    </w:rPr>
  </w:style>
  <w:style w:type="character" w:customStyle="1" w:styleId="CharChar27">
    <w:name w:val="Char Char27"/>
    <w:qFormat/>
    <w:rPr>
      <w:rFonts w:eastAsia="黑体"/>
      <w:kern w:val="2"/>
      <w:sz w:val="24"/>
      <w:szCs w:val="24"/>
      <w:lang w:val="en-US" w:eastAsia="zh-CN" w:bidi="ar-SA"/>
    </w:rPr>
  </w:style>
  <w:style w:type="character" w:customStyle="1" w:styleId="EmailStyle5451">
    <w:name w:val="EmailStyle5451"/>
    <w:qFormat/>
    <w:rPr>
      <w:rFonts w:ascii="Arial" w:eastAsia="宋体" w:hAnsi="Arial" w:cs="Arial"/>
      <w:color w:val="auto"/>
      <w:sz w:val="20"/>
    </w:rPr>
  </w:style>
  <w:style w:type="character" w:customStyle="1" w:styleId="h31">
    <w:name w:val="h31"/>
    <w:qFormat/>
    <w:rPr>
      <w:sz w:val="21"/>
      <w:szCs w:val="21"/>
    </w:rPr>
  </w:style>
  <w:style w:type="character" w:customStyle="1" w:styleId="Char2f1">
    <w:name w:val="正文(首行缩进) Char2"/>
    <w:qFormat/>
    <w:rPr>
      <w:rFonts w:eastAsia="黑体"/>
      <w:bCs/>
      <w:snapToGrid w:val="0"/>
      <w:color w:val="000000"/>
      <w:kern w:val="2"/>
      <w:sz w:val="24"/>
      <w:lang w:val="en-US" w:eastAsia="zh-CN" w:bidi="ar-SA"/>
    </w:rPr>
  </w:style>
  <w:style w:type="character" w:customStyle="1" w:styleId="hb2Char1">
    <w:name w:val="hb2 Char1"/>
    <w:qFormat/>
    <w:rPr>
      <w:rFonts w:ascii="黑体" w:eastAsia="黑体" w:hAnsi="Arial Narrow" w:cs="Arial"/>
      <w:b/>
      <w:bCs/>
      <w:kern w:val="2"/>
      <w:sz w:val="28"/>
      <w:szCs w:val="28"/>
      <w:lang w:val="en-US" w:eastAsia="zh-CN" w:bidi="ar-SA"/>
    </w:rPr>
  </w:style>
  <w:style w:type="character" w:customStyle="1" w:styleId="aChar3">
    <w:name w:val="a) Char"/>
    <w:qFormat/>
    <w:rPr>
      <w:rFonts w:ascii="宋体" w:eastAsia="宋体" w:hAnsi="宋体" w:cs="宋体"/>
      <w:sz w:val="28"/>
      <w:lang w:val="en-US" w:eastAsia="zh-CN" w:bidi="ar-SA"/>
    </w:rPr>
  </w:style>
  <w:style w:type="character" w:customStyle="1" w:styleId="11Char1">
    <w:name w:val="表格内容11 Char"/>
    <w:link w:val="115"/>
    <w:qFormat/>
    <w:rPr>
      <w:szCs w:val="21"/>
    </w:rPr>
  </w:style>
  <w:style w:type="paragraph" w:customStyle="1" w:styleId="115">
    <w:name w:val="表格内容11"/>
    <w:basedOn w:val="afc"/>
    <w:link w:val="11Char1"/>
    <w:qFormat/>
    <w:pPr>
      <w:spacing w:line="240" w:lineRule="auto"/>
      <w:ind w:firstLineChars="0" w:firstLine="0"/>
    </w:pPr>
    <w:rPr>
      <w:rFonts w:ascii="Times New Roman" w:eastAsia="宋体" w:hAnsi="Times New Roman"/>
      <w:color w:val="auto"/>
      <w:spacing w:val="0"/>
      <w:kern w:val="0"/>
      <w:sz w:val="20"/>
    </w:rPr>
  </w:style>
  <w:style w:type="character" w:customStyle="1" w:styleId="2Chare">
    <w:name w:val="样式 正文文本 + 首行缩进:  2 字符 Char"/>
    <w:link w:val="2ff7"/>
    <w:qFormat/>
    <w:rPr>
      <w:color w:val="FF0000"/>
      <w:kern w:val="2"/>
      <w:sz w:val="24"/>
      <w:szCs w:val="24"/>
    </w:rPr>
  </w:style>
  <w:style w:type="paragraph" w:customStyle="1" w:styleId="2ff7">
    <w:name w:val="样式 正文文本 + 首行缩进:  2 字符"/>
    <w:basedOn w:val="af8"/>
    <w:link w:val="2Chare"/>
    <w:qFormat/>
    <w:pPr>
      <w:adjustRightInd w:val="0"/>
      <w:snapToGrid w:val="0"/>
      <w:spacing w:before="120" w:after="0" w:line="300" w:lineRule="auto"/>
      <w:ind w:firstLineChars="200" w:firstLine="200"/>
      <w:textAlignment w:val="baseline"/>
    </w:pPr>
    <w:rPr>
      <w:color w:val="FF0000"/>
      <w:sz w:val="24"/>
    </w:rPr>
  </w:style>
  <w:style w:type="character" w:customStyle="1" w:styleId="CharCharCharf3">
    <w:name w:val="右 Char Char Char"/>
    <w:qFormat/>
    <w:rPr>
      <w:rFonts w:ascii="宋体" w:eastAsia="宋体"/>
      <w:kern w:val="2"/>
      <w:sz w:val="18"/>
      <w:lang w:val="en-US" w:eastAsia="zh-CN" w:bidi="ar-SA"/>
    </w:rPr>
  </w:style>
  <w:style w:type="character" w:customStyle="1" w:styleId="unnamed21">
    <w:name w:val="unnamed21"/>
    <w:qFormat/>
    <w:rPr>
      <w:color w:val="330000"/>
      <w:sz w:val="21"/>
      <w:szCs w:val="21"/>
      <w:u w:val="none"/>
    </w:rPr>
  </w:style>
  <w:style w:type="character" w:customStyle="1" w:styleId="headline-content">
    <w:name w:val="headline-content"/>
    <w:qFormat/>
  </w:style>
  <w:style w:type="character" w:customStyle="1" w:styleId="t">
    <w:name w:val="t"/>
    <w:qFormat/>
  </w:style>
  <w:style w:type="character" w:customStyle="1" w:styleId="52Char">
    <w:name w:val="样式 5 + 首行缩进:  2 字符 Char"/>
    <w:qFormat/>
    <w:rPr>
      <w:rFonts w:ascii="楷体_GB2312" w:eastAsia="楷体_GB2312" w:hAnsi="宋体" w:cs="宋体"/>
      <w:color w:val="000000"/>
      <w:spacing w:val="-2"/>
      <w:kern w:val="2"/>
      <w:sz w:val="30"/>
      <w:szCs w:val="30"/>
      <w:lang w:val="en-US" w:eastAsia="zh-CN" w:bidi="ar-SA"/>
    </w:rPr>
  </w:style>
  <w:style w:type="character" w:customStyle="1" w:styleId="CharCharfff1">
    <w:name w:val="顾文本 Char Char"/>
    <w:link w:val="afffffffffff"/>
    <w:qFormat/>
    <w:rPr>
      <w:rFonts w:ascii="Calibri" w:hAnsi="Calibri" w:cs="黑体"/>
      <w:kern w:val="2"/>
      <w:sz w:val="24"/>
      <w:szCs w:val="22"/>
    </w:rPr>
  </w:style>
  <w:style w:type="paragraph" w:customStyle="1" w:styleId="afffffffffff">
    <w:name w:val="顾文本"/>
    <w:basedOn w:val="a6"/>
    <w:link w:val="CharCharfff1"/>
    <w:qFormat/>
    <w:pPr>
      <w:spacing w:line="360" w:lineRule="auto"/>
      <w:ind w:firstLineChars="200" w:firstLine="200"/>
    </w:pPr>
    <w:rPr>
      <w:rFonts w:ascii="Calibri" w:hAnsi="Calibri"/>
      <w:sz w:val="24"/>
      <w:szCs w:val="22"/>
    </w:rPr>
  </w:style>
  <w:style w:type="character" w:customStyle="1" w:styleId="CharChar29">
    <w:name w:val="Char Char29"/>
    <w:qFormat/>
    <w:rPr>
      <w:rFonts w:eastAsia="宋体"/>
      <w:kern w:val="2"/>
      <w:sz w:val="21"/>
      <w:szCs w:val="24"/>
      <w:lang w:val="en-US" w:eastAsia="zh-CN" w:bidi="ar-SA"/>
    </w:rPr>
  </w:style>
  <w:style w:type="character" w:customStyle="1" w:styleId="1CharCharb">
    <w:name w:val="1标题 Char Char"/>
    <w:link w:val="1ff6"/>
    <w:qFormat/>
    <w:rPr>
      <w:rFonts w:ascii="宋体" w:hAnsi="宋体"/>
      <w:sz w:val="28"/>
    </w:rPr>
  </w:style>
  <w:style w:type="paragraph" w:customStyle="1" w:styleId="1ff6">
    <w:name w:val="1标题"/>
    <w:basedOn w:val="a6"/>
    <w:link w:val="1CharCharb"/>
    <w:qFormat/>
    <w:pPr>
      <w:widowControl/>
      <w:ind w:firstLineChars="200" w:firstLine="560"/>
      <w:jc w:val="left"/>
    </w:pPr>
    <w:rPr>
      <w:rFonts w:ascii="宋体" w:hAnsi="宋体"/>
      <w:kern w:val="0"/>
      <w:sz w:val="28"/>
      <w:szCs w:val="20"/>
    </w:rPr>
  </w:style>
  <w:style w:type="character" w:customStyle="1" w:styleId="Charfffffff5">
    <w:name w:val="样式 小四号 Char"/>
    <w:link w:val="afffffffffff0"/>
    <w:qFormat/>
    <w:rPr>
      <w:kern w:val="2"/>
      <w:sz w:val="24"/>
      <w:szCs w:val="24"/>
    </w:rPr>
  </w:style>
  <w:style w:type="paragraph" w:customStyle="1" w:styleId="afffffffffff0">
    <w:name w:val="样式 小四号"/>
    <w:basedOn w:val="a6"/>
    <w:link w:val="Charfffffff5"/>
    <w:qFormat/>
    <w:pPr>
      <w:ind w:firstLineChars="200" w:firstLine="571"/>
    </w:pPr>
    <w:rPr>
      <w:sz w:val="24"/>
    </w:rPr>
  </w:style>
  <w:style w:type="character" w:customStyle="1" w:styleId="Charfffffff6">
    <w:name w:val="无节款 Char"/>
    <w:qFormat/>
    <w:rPr>
      <w:rFonts w:ascii="Arial" w:eastAsia="黑体" w:hAnsi="Arial"/>
      <w:kern w:val="2"/>
      <w:sz w:val="24"/>
      <w:szCs w:val="24"/>
      <w:lang w:val="en-US" w:eastAsia="zh-CN" w:bidi="ar-SA"/>
    </w:rPr>
  </w:style>
  <w:style w:type="character" w:customStyle="1" w:styleId="CharAttribute3">
    <w:name w:val="CharAttribute3"/>
    <w:qFormat/>
    <w:rPr>
      <w:rFonts w:ascii="宋体" w:eastAsia="宋体" w:hAnsi="宋体"/>
      <w:sz w:val="24"/>
    </w:rPr>
  </w:style>
  <w:style w:type="character" w:customStyle="1" w:styleId="5CharChar2">
    <w:name w:val="川维5 Char Char"/>
    <w:link w:val="5e"/>
    <w:qFormat/>
    <w:rPr>
      <w:rFonts w:ascii="Calibri" w:hAnsi="Calibri" w:cs="黑体"/>
      <w:kern w:val="24"/>
      <w:sz w:val="24"/>
      <w:szCs w:val="24"/>
    </w:rPr>
  </w:style>
  <w:style w:type="paragraph" w:customStyle="1" w:styleId="5e">
    <w:name w:val="川维5"/>
    <w:basedOn w:val="a6"/>
    <w:link w:val="5CharChar2"/>
    <w:qFormat/>
    <w:pPr>
      <w:spacing w:line="360" w:lineRule="auto"/>
      <w:ind w:firstLineChars="200" w:firstLine="200"/>
    </w:pPr>
    <w:rPr>
      <w:rFonts w:ascii="Calibri" w:hAnsi="Calibri"/>
      <w:kern w:val="24"/>
      <w:sz w:val="24"/>
    </w:rPr>
  </w:style>
  <w:style w:type="character" w:customStyle="1" w:styleId="5Char6">
    <w:name w:val="样式 表内小5 + 黑体 加粗 倾斜 下划线 Char"/>
    <w:qFormat/>
    <w:rPr>
      <w:rFonts w:ascii="黑体" w:eastAsia="黑体" w:hAnsi="黑体"/>
      <w:b/>
      <w:bCs/>
      <w:i/>
      <w:iCs/>
      <w:kern w:val="2"/>
      <w:sz w:val="21"/>
      <w:szCs w:val="21"/>
      <w:u w:val="single"/>
      <w:lang w:val="en-US" w:eastAsia="zh-CN" w:bidi="ar-SA"/>
    </w:rPr>
  </w:style>
  <w:style w:type="character" w:customStyle="1" w:styleId="CharCharfff2">
    <w:name w:val="段落缩进 Char Char"/>
    <w:link w:val="afffffffffff1"/>
    <w:qFormat/>
    <w:rPr>
      <w:rFonts w:ascii="Calibri" w:hAnsi="Calibri" w:cs="黑体"/>
      <w:kern w:val="2"/>
      <w:sz w:val="24"/>
      <w:szCs w:val="24"/>
    </w:rPr>
  </w:style>
  <w:style w:type="paragraph" w:customStyle="1" w:styleId="afffffffffff1">
    <w:name w:val="段落缩进"/>
    <w:basedOn w:val="af8"/>
    <w:next w:val="af8"/>
    <w:link w:val="CharCharfff2"/>
    <w:qFormat/>
    <w:pPr>
      <w:spacing w:after="0" w:line="360" w:lineRule="auto"/>
      <w:ind w:firstLineChars="200" w:firstLine="480"/>
    </w:pPr>
    <w:rPr>
      <w:rFonts w:ascii="Calibri" w:hAnsi="Calibri"/>
      <w:sz w:val="24"/>
    </w:rPr>
  </w:style>
  <w:style w:type="character" w:customStyle="1" w:styleId="CharCharfff3">
    <w:name w:val="正文样式 Char Char"/>
    <w:qFormat/>
    <w:rPr>
      <w:rFonts w:ascii="宋体" w:hAnsi="宋体" w:cs="宋体"/>
      <w:color w:val="000000"/>
      <w:kern w:val="2"/>
      <w:sz w:val="24"/>
      <w:szCs w:val="24"/>
    </w:rPr>
  </w:style>
  <w:style w:type="character" w:customStyle="1" w:styleId="bt21">
    <w:name w:val="bt21"/>
    <w:qFormat/>
    <w:rPr>
      <w:rFonts w:ascii="黑体" w:eastAsia="黑体" w:hint="eastAsia"/>
      <w:sz w:val="24"/>
      <w:szCs w:val="24"/>
    </w:rPr>
  </w:style>
  <w:style w:type="character" w:customStyle="1" w:styleId="8CharChar">
    <w:name w:val="样式8 Char Char"/>
    <w:link w:val="84"/>
    <w:qFormat/>
    <w:rPr>
      <w:rFonts w:ascii="Arial" w:hAnsi="宋体" w:cs="Arial"/>
      <w:kern w:val="2"/>
      <w:sz w:val="24"/>
      <w:szCs w:val="24"/>
    </w:rPr>
  </w:style>
  <w:style w:type="paragraph" w:customStyle="1" w:styleId="84">
    <w:name w:val="样式8"/>
    <w:basedOn w:val="a6"/>
    <w:link w:val="8CharChar"/>
    <w:qFormat/>
    <w:pPr>
      <w:widowControl/>
      <w:spacing w:line="360" w:lineRule="auto"/>
      <w:ind w:firstLineChars="200" w:firstLine="480"/>
      <w:jc w:val="left"/>
    </w:pPr>
    <w:rPr>
      <w:rFonts w:ascii="Arial" w:hAnsi="宋体"/>
      <w:sz w:val="24"/>
    </w:rPr>
  </w:style>
  <w:style w:type="character" w:customStyle="1" w:styleId="1CharCharc">
    <w:name w:val="1) Char Char"/>
    <w:qFormat/>
  </w:style>
  <w:style w:type="character" w:customStyle="1" w:styleId="CharCharfff4">
    <w:name w:val="报告 Char Char"/>
    <w:link w:val="afffffffffff2"/>
    <w:qFormat/>
    <w:rPr>
      <w:kern w:val="2"/>
      <w:sz w:val="28"/>
      <w:szCs w:val="24"/>
    </w:rPr>
  </w:style>
  <w:style w:type="paragraph" w:customStyle="1" w:styleId="afffffffffff2">
    <w:name w:val="报告"/>
    <w:basedOn w:val="a6"/>
    <w:link w:val="CharCharfff4"/>
    <w:qFormat/>
    <w:pPr>
      <w:spacing w:line="360" w:lineRule="auto"/>
      <w:ind w:firstLineChars="200" w:firstLine="560"/>
    </w:pPr>
    <w:rPr>
      <w:sz w:val="28"/>
    </w:rPr>
  </w:style>
  <w:style w:type="character" w:customStyle="1" w:styleId="Charfffffff7">
    <w:name w:val="报告正文 Char"/>
    <w:qFormat/>
    <w:rPr>
      <w:rFonts w:ascii="Times New Roman" w:hAnsi="Times New Roman"/>
      <w:bCs/>
      <w:sz w:val="24"/>
      <w:szCs w:val="24"/>
    </w:rPr>
  </w:style>
  <w:style w:type="character" w:customStyle="1" w:styleId="Charfffffff8">
    <w:name w:val="环评正文 Char"/>
    <w:link w:val="afffffffffff3"/>
    <w:qFormat/>
    <w:rPr>
      <w:rFonts w:ascii="宋体" w:hAnsi="宋体"/>
      <w:color w:val="000000"/>
      <w:w w:val="110"/>
      <w:sz w:val="24"/>
      <w:szCs w:val="24"/>
    </w:rPr>
  </w:style>
  <w:style w:type="paragraph" w:customStyle="1" w:styleId="afffffffffff3">
    <w:name w:val="环评正文"/>
    <w:basedOn w:val="a6"/>
    <w:link w:val="Charfffffff8"/>
    <w:qFormat/>
    <w:pPr>
      <w:spacing w:line="360" w:lineRule="auto"/>
    </w:pPr>
    <w:rPr>
      <w:rFonts w:ascii="宋体" w:hAnsi="宋体"/>
      <w:color w:val="000000"/>
      <w:w w:val="110"/>
      <w:kern w:val="0"/>
      <w:sz w:val="24"/>
    </w:rPr>
  </w:style>
  <w:style w:type="character" w:customStyle="1" w:styleId="ca-61">
    <w:name w:val="ca-61"/>
    <w:qFormat/>
    <w:rPr>
      <w:rFonts w:ascii="Times New Roman" w:hAnsi="Times New Roman" w:cs="Times New Roman" w:hint="default"/>
      <w:sz w:val="21"/>
      <w:szCs w:val="21"/>
    </w:rPr>
  </w:style>
  <w:style w:type="character" w:customStyle="1" w:styleId="2Charf">
    <w:name w:val="正文文字缩进 2 Char"/>
    <w:qFormat/>
    <w:rPr>
      <w:rFonts w:ascii="Times New Roman" w:eastAsia="宋体" w:hAnsi="Times New Roman" w:cs="Times New Roman"/>
      <w:sz w:val="24"/>
      <w:szCs w:val="24"/>
    </w:rPr>
  </w:style>
  <w:style w:type="character" w:customStyle="1" w:styleId="a121">
    <w:name w:val="a121"/>
    <w:qFormat/>
    <w:rPr>
      <w:rFonts w:ascii="ˎ̥" w:hAnsi="ˎ̥" w:hint="default"/>
      <w:color w:val="004891"/>
      <w:sz w:val="18"/>
      <w:szCs w:val="18"/>
      <w:u w:val="none"/>
    </w:rPr>
  </w:style>
  <w:style w:type="character" w:customStyle="1" w:styleId="afffffffffff4">
    <w:name w:val="样式 楷体 小四"/>
    <w:qFormat/>
    <w:rPr>
      <w:rFonts w:ascii="Times New Roman" w:eastAsia="宋体" w:hAnsi="Times New Roman"/>
      <w:sz w:val="24"/>
      <w:szCs w:val="24"/>
    </w:rPr>
  </w:style>
  <w:style w:type="character" w:customStyle="1" w:styleId="CharCharfff5">
    <w:name w:val="图表名称 Char Char"/>
    <w:link w:val="afffffffffff5"/>
    <w:qFormat/>
    <w:rPr>
      <w:rFonts w:eastAsia="黑体"/>
      <w:b/>
      <w:bCs/>
      <w:sz w:val="24"/>
      <w:szCs w:val="21"/>
      <w:lang w:bidi="ar-SA"/>
    </w:rPr>
  </w:style>
  <w:style w:type="paragraph" w:customStyle="1" w:styleId="afffffffffff5">
    <w:name w:val="图表名称"/>
    <w:next w:val="a6"/>
    <w:link w:val="CharCharfff5"/>
    <w:qFormat/>
    <w:pPr>
      <w:spacing w:before="25" w:after="25" w:line="360" w:lineRule="auto"/>
      <w:jc w:val="center"/>
    </w:pPr>
    <w:rPr>
      <w:rFonts w:eastAsia="黑体"/>
      <w:b/>
      <w:bCs/>
      <w:sz w:val="24"/>
      <w:szCs w:val="21"/>
    </w:rPr>
  </w:style>
  <w:style w:type="character" w:customStyle="1" w:styleId="textedit1">
    <w:name w:val="text_edit1"/>
    <w:qFormat/>
    <w:rPr>
      <w:color w:val="3366CC"/>
      <w:sz w:val="24"/>
      <w:szCs w:val="24"/>
    </w:rPr>
  </w:style>
  <w:style w:type="character" w:customStyle="1" w:styleId="Char1fd">
    <w:name w:val="批注框文本 Char1"/>
    <w:qFormat/>
    <w:rPr>
      <w:kern w:val="2"/>
      <w:sz w:val="18"/>
      <w:szCs w:val="18"/>
    </w:rPr>
  </w:style>
  <w:style w:type="character" w:customStyle="1" w:styleId="Charfffffff9">
    <w:name w:val="三级 Char"/>
    <w:qFormat/>
  </w:style>
  <w:style w:type="character" w:customStyle="1" w:styleId="CharCharfff6">
    <w:name w:val="表底说明 Char Char"/>
    <w:link w:val="afffffffffff6"/>
    <w:qFormat/>
    <w:rPr>
      <w:color w:val="000000"/>
      <w:w w:val="110"/>
      <w:sz w:val="18"/>
      <w:szCs w:val="24"/>
    </w:rPr>
  </w:style>
  <w:style w:type="paragraph" w:customStyle="1" w:styleId="afffffffffff6">
    <w:name w:val="表底说明"/>
    <w:basedOn w:val="a6"/>
    <w:link w:val="CharCharfff6"/>
    <w:qFormat/>
    <w:rPr>
      <w:color w:val="000000"/>
      <w:w w:val="110"/>
      <w:kern w:val="0"/>
      <w:sz w:val="18"/>
    </w:rPr>
  </w:style>
  <w:style w:type="character" w:customStyle="1" w:styleId="FontStyle303">
    <w:name w:val="Font Style303"/>
    <w:qFormat/>
    <w:rPr>
      <w:rFonts w:ascii="宋体" w:eastAsia="宋体" w:cs="宋体"/>
      <w:sz w:val="20"/>
      <w:szCs w:val="20"/>
    </w:rPr>
  </w:style>
  <w:style w:type="character" w:customStyle="1" w:styleId="zwb-Char">
    <w:name w:val="zwb-正文 Char"/>
    <w:qFormat/>
    <w:rPr>
      <w:kern w:val="2"/>
      <w:sz w:val="24"/>
      <w:szCs w:val="24"/>
    </w:rPr>
  </w:style>
  <w:style w:type="character" w:customStyle="1" w:styleId="GB2312Char1">
    <w:name w:val="样式 (中文) 仿宋_GB2312 Char"/>
    <w:link w:val="GB23126"/>
    <w:qFormat/>
    <w:rPr>
      <w:rFonts w:eastAsia="仿宋_GB2312"/>
      <w:kern w:val="2"/>
      <w:sz w:val="24"/>
      <w:szCs w:val="24"/>
    </w:rPr>
  </w:style>
  <w:style w:type="paragraph" w:customStyle="1" w:styleId="GB23126">
    <w:name w:val="样式 (中文) 仿宋_GB2312"/>
    <w:basedOn w:val="a6"/>
    <w:next w:val="a6"/>
    <w:link w:val="GB2312Char1"/>
    <w:qFormat/>
    <w:pPr>
      <w:adjustRightInd w:val="0"/>
      <w:snapToGrid w:val="0"/>
      <w:spacing w:line="360" w:lineRule="auto"/>
      <w:ind w:leftChars="100" w:left="100" w:rightChars="100" w:right="100" w:firstLineChars="200" w:firstLine="480"/>
      <w:jc w:val="left"/>
    </w:pPr>
    <w:rPr>
      <w:rFonts w:eastAsia="仿宋_GB2312"/>
      <w:sz w:val="24"/>
    </w:rPr>
  </w:style>
  <w:style w:type="character" w:customStyle="1" w:styleId="4-25CharCharChar">
    <w:name w:val="4-25正 Char Char Char"/>
    <w:qFormat/>
    <w:rPr>
      <w:rFonts w:eastAsia="宋体" w:cs="宋体"/>
      <w:sz w:val="24"/>
      <w:lang w:val="en-US" w:eastAsia="zh-CN" w:bidi="ar-SA"/>
    </w:rPr>
  </w:style>
  <w:style w:type="character" w:customStyle="1" w:styleId="zxjChar">
    <w:name w:val="文本_zxj Char"/>
    <w:link w:val="zxj"/>
    <w:qFormat/>
    <w:rPr>
      <w:kern w:val="2"/>
      <w:sz w:val="28"/>
    </w:rPr>
  </w:style>
  <w:style w:type="paragraph" w:customStyle="1" w:styleId="zxj">
    <w:name w:val="文本_zxj"/>
    <w:basedOn w:val="a6"/>
    <w:link w:val="zxjChar"/>
    <w:qFormat/>
    <w:pPr>
      <w:spacing w:line="360" w:lineRule="auto"/>
      <w:ind w:firstLine="560"/>
    </w:pPr>
    <w:rPr>
      <w:sz w:val="28"/>
      <w:szCs w:val="20"/>
    </w:rPr>
  </w:style>
  <w:style w:type="character" w:customStyle="1" w:styleId="Charfffffffa">
    <w:name w:val="二级 Char"/>
    <w:link w:val="afffffffffff7"/>
    <w:qFormat/>
    <w:rPr>
      <w:rFonts w:cs="Arial"/>
      <w:b/>
      <w:bCs/>
      <w:kern w:val="2"/>
      <w:sz w:val="32"/>
      <w:szCs w:val="32"/>
      <w:lang w:val="en-US" w:eastAsia="zh-CN" w:bidi="ar-SA"/>
    </w:rPr>
  </w:style>
  <w:style w:type="paragraph" w:customStyle="1" w:styleId="afffffffffff7">
    <w:name w:val="二级"/>
    <w:link w:val="Charfffffffa"/>
    <w:qFormat/>
    <w:pPr>
      <w:spacing w:beforeLines="50" w:afterLines="50"/>
      <w:outlineLvl w:val="1"/>
    </w:pPr>
    <w:rPr>
      <w:rFonts w:cs="Arial"/>
      <w:b/>
      <w:bCs/>
      <w:kern w:val="2"/>
      <w:sz w:val="32"/>
      <w:szCs w:val="32"/>
    </w:rPr>
  </w:style>
  <w:style w:type="character" w:customStyle="1" w:styleId="-lsCharChar">
    <w:name w:val="正文-ls Char Char"/>
    <w:link w:val="-ls"/>
    <w:qFormat/>
    <w:rPr>
      <w:rFonts w:hAnsi="宋体"/>
      <w:color w:val="000000"/>
      <w:w w:val="110"/>
      <w:sz w:val="24"/>
    </w:rPr>
  </w:style>
  <w:style w:type="paragraph" w:customStyle="1" w:styleId="-ls">
    <w:name w:val="正文-ls"/>
    <w:basedOn w:val="a6"/>
    <w:link w:val="-lsCharChar"/>
    <w:qFormat/>
    <w:pPr>
      <w:spacing w:line="360" w:lineRule="auto"/>
      <w:ind w:firstLineChars="200" w:firstLine="200"/>
    </w:pPr>
    <w:rPr>
      <w:rFonts w:hAnsi="宋体"/>
      <w:color w:val="000000"/>
      <w:w w:val="110"/>
      <w:kern w:val="0"/>
      <w:sz w:val="24"/>
      <w:szCs w:val="20"/>
    </w:rPr>
  </w:style>
  <w:style w:type="character" w:customStyle="1" w:styleId="Char1fe">
    <w:name w:val="电子邮件签名 Char1"/>
    <w:uiPriority w:val="99"/>
    <w:qFormat/>
    <w:rPr>
      <w:kern w:val="2"/>
      <w:sz w:val="21"/>
      <w:szCs w:val="24"/>
    </w:rPr>
  </w:style>
  <w:style w:type="character" w:customStyle="1" w:styleId="0CharCharCharChar">
    <w:name w:val="样式 居中 首行缩进:  0 字符 Char Char Char Char"/>
    <w:link w:val="00"/>
    <w:qFormat/>
    <w:rPr>
      <w:rFonts w:ascii="宋体" w:hAnsi="宋体"/>
      <w:color w:val="FF0000"/>
      <w:w w:val="110"/>
      <w:sz w:val="18"/>
      <w:szCs w:val="18"/>
    </w:rPr>
  </w:style>
  <w:style w:type="paragraph" w:customStyle="1" w:styleId="00">
    <w:name w:val="样式 居中 首行缩进:  0 字符"/>
    <w:basedOn w:val="a6"/>
    <w:next w:val="a6"/>
    <w:link w:val="0CharCharCharChar"/>
    <w:qFormat/>
    <w:pPr>
      <w:adjustRightInd w:val="0"/>
      <w:snapToGrid w:val="0"/>
      <w:jc w:val="center"/>
    </w:pPr>
    <w:rPr>
      <w:rFonts w:ascii="宋体" w:hAnsi="宋体"/>
      <w:color w:val="FF0000"/>
      <w:w w:val="110"/>
      <w:kern w:val="0"/>
      <w:sz w:val="18"/>
      <w:szCs w:val="18"/>
    </w:rPr>
  </w:style>
  <w:style w:type="character" w:customStyle="1" w:styleId="5Char7">
    <w:name w:val="样式5 Char"/>
    <w:qFormat/>
    <w:rPr>
      <w:rFonts w:eastAsia="仿宋_GB2312"/>
      <w:kern w:val="2"/>
      <w:sz w:val="24"/>
      <w:szCs w:val="24"/>
      <w:lang w:val="en-US" w:eastAsia="zh-CN" w:bidi="ar-SA"/>
    </w:rPr>
  </w:style>
  <w:style w:type="character" w:customStyle="1" w:styleId="Charfffffffb">
    <w:name w:val="表字居中 Char"/>
    <w:link w:val="afffffffffff8"/>
    <w:qFormat/>
    <w:rPr>
      <w:spacing w:val="-4"/>
      <w:sz w:val="21"/>
      <w:szCs w:val="21"/>
    </w:rPr>
  </w:style>
  <w:style w:type="paragraph" w:customStyle="1" w:styleId="afffffffffff8">
    <w:name w:val="表字居中"/>
    <w:basedOn w:val="a6"/>
    <w:link w:val="Charfffffffb"/>
    <w:qFormat/>
    <w:pPr>
      <w:jc w:val="center"/>
    </w:pPr>
    <w:rPr>
      <w:spacing w:val="-4"/>
      <w:kern w:val="0"/>
      <w:szCs w:val="21"/>
    </w:rPr>
  </w:style>
  <w:style w:type="character" w:customStyle="1" w:styleId="11CharChar">
    <w:name w:val="节标题 1.1 Char Char"/>
    <w:qFormat/>
    <w:rPr>
      <w:rFonts w:eastAsia="黑体"/>
      <w:b/>
      <w:kern w:val="30"/>
      <w:sz w:val="28"/>
      <w:szCs w:val="28"/>
      <w:lang w:val="en-US" w:eastAsia="zh-CN" w:bidi="ar-SA"/>
    </w:rPr>
  </w:style>
  <w:style w:type="character" w:customStyle="1" w:styleId="afffffffffff9">
    <w:name w:val="样式 小四"/>
    <w:qFormat/>
    <w:rPr>
      <w:color w:val="000080"/>
      <w:sz w:val="24"/>
    </w:rPr>
  </w:style>
  <w:style w:type="character" w:customStyle="1" w:styleId="postinhd">
    <w:name w:val="post_inhd"/>
    <w:basedOn w:val="a7"/>
    <w:qFormat/>
  </w:style>
  <w:style w:type="character" w:customStyle="1" w:styleId="Char1ff">
    <w:name w:val="表名 Char1"/>
    <w:qFormat/>
    <w:rPr>
      <w:b/>
      <w:spacing w:val="4"/>
      <w:kern w:val="2"/>
      <w:sz w:val="24"/>
    </w:rPr>
  </w:style>
  <w:style w:type="character" w:customStyle="1" w:styleId="grame">
    <w:name w:val="grame"/>
    <w:qFormat/>
  </w:style>
  <w:style w:type="character" w:customStyle="1" w:styleId="CharCharfff7">
    <w:name w:val="表文字 Char Char"/>
    <w:link w:val="afffffffffffa"/>
    <w:qFormat/>
    <w:rPr>
      <w:rFonts w:ascii="Arial" w:hAnsi="Arial" w:cs="Arial"/>
      <w:kern w:val="2"/>
      <w:sz w:val="21"/>
      <w:szCs w:val="22"/>
      <w:lang w:val="en-US" w:eastAsia="zh-CN" w:bidi="ar-SA"/>
    </w:rPr>
  </w:style>
  <w:style w:type="paragraph" w:customStyle="1" w:styleId="afffffffffffa">
    <w:name w:val="表文字"/>
    <w:link w:val="CharCharfff7"/>
    <w:qFormat/>
    <w:pPr>
      <w:spacing w:line="440" w:lineRule="exact"/>
      <w:jc w:val="center"/>
    </w:pPr>
    <w:rPr>
      <w:rFonts w:ascii="Arial" w:hAnsi="Arial" w:cs="Arial"/>
      <w:kern w:val="2"/>
      <w:sz w:val="21"/>
      <w:szCs w:val="22"/>
    </w:rPr>
  </w:style>
  <w:style w:type="character" w:customStyle="1" w:styleId="da1">
    <w:name w:val="da1"/>
    <w:qFormat/>
    <w:rPr>
      <w:rFonts w:hint="default"/>
      <w:color w:val="000000"/>
      <w:sz w:val="21"/>
      <w:szCs w:val="21"/>
      <w:u w:val="none"/>
    </w:rPr>
  </w:style>
  <w:style w:type="character" w:customStyle="1" w:styleId="postbody1">
    <w:name w:val="postbody1"/>
    <w:qFormat/>
    <w:rPr>
      <w:sz w:val="21"/>
      <w:szCs w:val="21"/>
    </w:rPr>
  </w:style>
  <w:style w:type="character" w:customStyle="1" w:styleId="hb3CharChar0">
    <w:name w:val="hb3 Char Char"/>
    <w:qFormat/>
    <w:rPr>
      <w:rFonts w:ascii="宋体" w:eastAsia="宋体" w:hAnsi="宋体"/>
      <w:b/>
      <w:bCs/>
      <w:sz w:val="32"/>
      <w:szCs w:val="32"/>
      <w:lang w:val="en-US" w:eastAsia="zh-CN"/>
    </w:rPr>
  </w:style>
  <w:style w:type="character" w:customStyle="1" w:styleId="01CharChar2">
    <w:name w:val="表格标题01 Char Char2"/>
    <w:qFormat/>
    <w:rPr>
      <w:rFonts w:eastAsia="宋体"/>
      <w:kern w:val="2"/>
      <w:sz w:val="21"/>
      <w:szCs w:val="24"/>
      <w:lang w:val="en-US" w:eastAsia="zh-CN" w:bidi="ar-SA"/>
    </w:rPr>
  </w:style>
  <w:style w:type="character" w:customStyle="1" w:styleId="asg1">
    <w:name w:val="asg1"/>
    <w:qFormat/>
    <w:rPr>
      <w:sz w:val="18"/>
      <w:szCs w:val="18"/>
    </w:rPr>
  </w:style>
  <w:style w:type="character" w:customStyle="1" w:styleId="CharCharfff8">
    <w:name w:val="正文(首行缩进) Char Char"/>
    <w:qFormat/>
    <w:rPr>
      <w:color w:val="000000"/>
      <w:sz w:val="24"/>
    </w:rPr>
  </w:style>
  <w:style w:type="character" w:customStyle="1" w:styleId="f14b">
    <w:name w:val="f14b"/>
    <w:basedOn w:val="a7"/>
    <w:qFormat/>
  </w:style>
  <w:style w:type="character" w:customStyle="1" w:styleId="Charfffffffc">
    <w:name w:val="正正文 Char"/>
    <w:link w:val="afffffffffffb"/>
    <w:qFormat/>
    <w:rPr>
      <w:rFonts w:ascii="宋体" w:hAnsi="宋体"/>
      <w:kern w:val="2"/>
      <w:sz w:val="24"/>
      <w:szCs w:val="24"/>
    </w:rPr>
  </w:style>
  <w:style w:type="paragraph" w:customStyle="1" w:styleId="afffffffffffb">
    <w:name w:val="正正文"/>
    <w:basedOn w:val="a6"/>
    <w:link w:val="Charfffffffc"/>
    <w:qFormat/>
    <w:pPr>
      <w:spacing w:before="240" w:after="120" w:line="360" w:lineRule="auto"/>
      <w:ind w:firstLineChars="200" w:firstLine="480"/>
    </w:pPr>
    <w:rPr>
      <w:rFonts w:ascii="宋体" w:hAnsi="宋体"/>
      <w:sz w:val="24"/>
    </w:rPr>
  </w:style>
  <w:style w:type="character" w:customStyle="1" w:styleId="k1">
    <w:name w:val="k1"/>
    <w:qFormat/>
  </w:style>
  <w:style w:type="character" w:customStyle="1" w:styleId="3H31Char">
    <w:name w:val="样式 标题 3H3 + 黑色1 Char"/>
    <w:link w:val="3H31"/>
    <w:qFormat/>
    <w:rPr>
      <w:b/>
      <w:color w:val="000000"/>
      <w:sz w:val="24"/>
      <w:szCs w:val="24"/>
    </w:rPr>
  </w:style>
  <w:style w:type="paragraph" w:customStyle="1" w:styleId="3H31">
    <w:name w:val="样式 标题 3H3 + 黑色1"/>
    <w:basedOn w:val="33"/>
    <w:link w:val="3H31Char"/>
    <w:qFormat/>
    <w:pPr>
      <w:keepNext w:val="0"/>
      <w:keepLines w:val="0"/>
      <w:tabs>
        <w:tab w:val="left" w:pos="1070"/>
      </w:tabs>
      <w:adjustRightInd w:val="0"/>
      <w:snapToGrid w:val="0"/>
      <w:spacing w:line="460" w:lineRule="exact"/>
      <w:jc w:val="left"/>
    </w:pPr>
    <w:rPr>
      <w:rFonts w:eastAsia="宋体"/>
      <w:b/>
      <w:color w:val="000000"/>
      <w:spacing w:val="0"/>
      <w:kern w:val="0"/>
      <w:sz w:val="24"/>
      <w:szCs w:val="24"/>
    </w:rPr>
  </w:style>
  <w:style w:type="character" w:customStyle="1" w:styleId="about-left1">
    <w:name w:val="about-left1"/>
    <w:qFormat/>
    <w:rPr>
      <w:color w:val="3A3A3A"/>
      <w:spacing w:val="15"/>
      <w:sz w:val="18"/>
      <w:szCs w:val="18"/>
      <w:u w:val="none"/>
    </w:rPr>
  </w:style>
  <w:style w:type="character" w:customStyle="1" w:styleId="textcontents">
    <w:name w:val="textcontents"/>
    <w:basedOn w:val="a7"/>
    <w:qFormat/>
  </w:style>
  <w:style w:type="character" w:customStyle="1" w:styleId="BodyTextFirstIndentCharChar">
    <w:name w:val="Body Text First Indent Char Char"/>
    <w:link w:val="1ff7"/>
    <w:qFormat/>
    <w:rPr>
      <w:sz w:val="24"/>
    </w:rPr>
  </w:style>
  <w:style w:type="paragraph" w:customStyle="1" w:styleId="1ff7">
    <w:name w:val="正文首行缩进1"/>
    <w:basedOn w:val="af8"/>
    <w:link w:val="BodyTextFirstIndentCharChar"/>
    <w:qFormat/>
    <w:pPr>
      <w:ind w:firstLineChars="100" w:firstLine="420"/>
    </w:pPr>
    <w:rPr>
      <w:kern w:val="0"/>
      <w:sz w:val="24"/>
      <w:szCs w:val="20"/>
    </w:rPr>
  </w:style>
  <w:style w:type="character" w:customStyle="1" w:styleId="313Char123453Char2CharChar">
    <w:name w:val="样式 标题 3三级标题三级标题1标题 3 Char1三级标题2三级标题3三级标题4三级标题5标题 3 Char2... Char Char"/>
    <w:link w:val="313Char123453Char2"/>
    <w:qFormat/>
    <w:rPr>
      <w:rFonts w:ascii="黑体" w:eastAsia="黑体"/>
      <w:b/>
      <w:color w:val="000000"/>
      <w:sz w:val="28"/>
    </w:rPr>
  </w:style>
  <w:style w:type="paragraph" w:customStyle="1" w:styleId="313Char123453Char2">
    <w:name w:val="样式 标题 3三级标题三级标题1标题 3 Char1三级标题2三级标题3三级标题4三级标题5标题 3 Char2..."/>
    <w:basedOn w:val="33"/>
    <w:link w:val="313Char123453Char2CharChar"/>
    <w:qFormat/>
    <w:pPr>
      <w:adjustRightInd w:val="0"/>
      <w:spacing w:before="20" w:after="20" w:line="360" w:lineRule="auto"/>
      <w:jc w:val="left"/>
    </w:pPr>
    <w:rPr>
      <w:b/>
      <w:color w:val="000000"/>
      <w:spacing w:val="0"/>
      <w:kern w:val="0"/>
      <w:szCs w:val="20"/>
    </w:rPr>
  </w:style>
  <w:style w:type="character" w:customStyle="1" w:styleId="redfont">
    <w:name w:val="redfont"/>
    <w:qFormat/>
  </w:style>
  <w:style w:type="character" w:customStyle="1" w:styleId="CharCharCharf4">
    <w:name w:val="燕山正文 Char Char Char"/>
    <w:qFormat/>
    <w:rPr>
      <w:rFonts w:ascii="宋体" w:eastAsia="宋体" w:hAnsi="宋体"/>
      <w:color w:val="000000"/>
      <w:kern w:val="2"/>
      <w:sz w:val="24"/>
      <w:szCs w:val="28"/>
      <w:lang w:val="en-US" w:eastAsia="zh-CN" w:bidi="ar-SA"/>
    </w:rPr>
  </w:style>
  <w:style w:type="character" w:customStyle="1" w:styleId="1CharChard">
    <w:name w:val="说明书1 Char Char"/>
    <w:link w:val="1ff8"/>
    <w:qFormat/>
    <w:rPr>
      <w:color w:val="000000"/>
      <w:w w:val="110"/>
      <w:sz w:val="28"/>
    </w:rPr>
  </w:style>
  <w:style w:type="paragraph" w:customStyle="1" w:styleId="1ff8">
    <w:name w:val="说明书1"/>
    <w:basedOn w:val="a6"/>
    <w:link w:val="1CharChard"/>
    <w:qFormat/>
    <w:pPr>
      <w:spacing w:line="520" w:lineRule="exact"/>
      <w:ind w:firstLine="567"/>
    </w:pPr>
    <w:rPr>
      <w:color w:val="000000"/>
      <w:w w:val="110"/>
      <w:kern w:val="0"/>
      <w:sz w:val="28"/>
      <w:szCs w:val="20"/>
    </w:rPr>
  </w:style>
  <w:style w:type="character" w:customStyle="1" w:styleId="HTML12">
    <w:name w:val="HTML 缩写1"/>
    <w:qFormat/>
    <w:rPr>
      <w:rFonts w:ascii="宋体" w:eastAsia="宋体" w:hAnsi="宋体" w:cs="Courier New"/>
      <w:kern w:val="2"/>
      <w:sz w:val="32"/>
      <w:szCs w:val="32"/>
      <w:lang w:val="en-US" w:eastAsia="zh-CN"/>
    </w:rPr>
  </w:style>
  <w:style w:type="character" w:customStyle="1" w:styleId="000CharCharChar">
    <w:name w:val="000 Char Char Char"/>
    <w:qFormat/>
    <w:rPr>
      <w:rFonts w:eastAsia="宋体"/>
      <w:kern w:val="2"/>
      <w:sz w:val="24"/>
      <w:szCs w:val="24"/>
      <w:lang w:val="en-US" w:eastAsia="zh-CN" w:bidi="ar-SA"/>
    </w:rPr>
  </w:style>
  <w:style w:type="character" w:customStyle="1" w:styleId="yypCharChar">
    <w:name w:val="yyp Char Char"/>
    <w:qFormat/>
    <w:rPr>
      <w:kern w:val="2"/>
      <w:sz w:val="24"/>
      <w:szCs w:val="24"/>
    </w:rPr>
  </w:style>
  <w:style w:type="character" w:customStyle="1" w:styleId="main1">
    <w:name w:val="main1"/>
    <w:qFormat/>
    <w:rPr>
      <w:color w:val="333333"/>
      <w:sz w:val="18"/>
      <w:szCs w:val="18"/>
    </w:rPr>
  </w:style>
  <w:style w:type="character" w:customStyle="1" w:styleId="xl34Char">
    <w:name w:val="xl34 Char"/>
    <w:qFormat/>
    <w:rPr>
      <w:rFonts w:ascii="Arial Unicode MS" w:eastAsia="Arial Unicode MS" w:hAnsi="Arial Unicode MS"/>
      <w:sz w:val="21"/>
      <w:szCs w:val="21"/>
      <w:lang w:val="en-US" w:eastAsia="zh-CN" w:bidi="ar-SA"/>
    </w:rPr>
  </w:style>
  <w:style w:type="character" w:customStyle="1" w:styleId="A--Char">
    <w:name w:val="A-题注-表 Char"/>
    <w:link w:val="A--"/>
    <w:qFormat/>
    <w:rPr>
      <w:rFonts w:cs="Arial"/>
      <w:b/>
      <w:kern w:val="2"/>
      <w:sz w:val="24"/>
    </w:rPr>
  </w:style>
  <w:style w:type="paragraph" w:customStyle="1" w:styleId="A--">
    <w:name w:val="A-题注-表"/>
    <w:basedOn w:val="af1"/>
    <w:link w:val="A--Char"/>
    <w:qFormat/>
    <w:pPr>
      <w:widowControl w:val="0"/>
      <w:spacing w:line="360" w:lineRule="auto"/>
      <w:ind w:firstLineChars="0" w:firstLine="0"/>
      <w:jc w:val="center"/>
    </w:pPr>
    <w:rPr>
      <w:szCs w:val="20"/>
    </w:rPr>
  </w:style>
  <w:style w:type="character" w:customStyle="1" w:styleId="JWJChar">
    <w:name w:val="正文JWJ Char"/>
    <w:link w:val="JWJ"/>
    <w:qFormat/>
    <w:rPr>
      <w:sz w:val="24"/>
      <w:szCs w:val="24"/>
    </w:rPr>
  </w:style>
  <w:style w:type="paragraph" w:customStyle="1" w:styleId="JWJ">
    <w:name w:val="正文JWJ"/>
    <w:basedOn w:val="a6"/>
    <w:link w:val="JWJChar"/>
    <w:qFormat/>
    <w:pPr>
      <w:spacing w:line="360" w:lineRule="auto"/>
      <w:ind w:firstLineChars="200" w:firstLine="480"/>
    </w:pPr>
    <w:rPr>
      <w:kern w:val="0"/>
      <w:sz w:val="24"/>
    </w:rPr>
  </w:style>
  <w:style w:type="character" w:customStyle="1" w:styleId="CharChar251">
    <w:name w:val="Char Char251"/>
    <w:qFormat/>
    <w:rPr>
      <w:rFonts w:eastAsia="宋体"/>
      <w:b/>
      <w:bCs/>
      <w:kern w:val="44"/>
      <w:sz w:val="44"/>
      <w:szCs w:val="44"/>
      <w:lang w:val="en-US" w:eastAsia="zh-CN" w:bidi="ar-SA"/>
    </w:rPr>
  </w:style>
  <w:style w:type="character" w:customStyle="1" w:styleId="1CharChare">
    <w:name w:val="正 文 1 Char Char"/>
    <w:qFormat/>
    <w:rPr>
      <w:rFonts w:ascii="宋体" w:eastAsia="宋体" w:hAnsi="Courier New"/>
      <w:kern w:val="2"/>
      <w:sz w:val="21"/>
      <w:lang w:val="en-US" w:eastAsia="zh-CN" w:bidi="ar-SA"/>
    </w:rPr>
  </w:style>
  <w:style w:type="character" w:customStyle="1" w:styleId="-4CharCharCharCharCharChar">
    <w:name w:val="正文-宋4 Char Char Char Char Char Char"/>
    <w:qFormat/>
    <w:rPr>
      <w:rFonts w:ascii="宋体" w:eastAsia="宋体" w:hAnsi="宋体"/>
      <w:spacing w:val="20"/>
      <w:kern w:val="2"/>
      <w:sz w:val="28"/>
      <w:lang w:val="en-US" w:eastAsia="zh-CN"/>
    </w:rPr>
  </w:style>
  <w:style w:type="character" w:customStyle="1" w:styleId="GB231220">
    <w:name w:val="样式 仿宋_GB2312 小四2"/>
    <w:qFormat/>
    <w:rPr>
      <w:rFonts w:ascii="Times New Roman" w:eastAsia="仿宋_GB2312" w:hAnsi="Times New Roman" w:cs="Courier New"/>
      <w:kern w:val="2"/>
      <w:sz w:val="24"/>
      <w:szCs w:val="24"/>
      <w:lang w:val="en-US" w:eastAsia="zh-CN" w:bidi="ar-SA"/>
    </w:rPr>
  </w:style>
  <w:style w:type="character" w:customStyle="1" w:styleId="Char37">
    <w:name w:val="称呼 Char3"/>
    <w:basedOn w:val="a7"/>
    <w:uiPriority w:val="99"/>
    <w:semiHidden/>
    <w:qFormat/>
  </w:style>
  <w:style w:type="character" w:customStyle="1" w:styleId="123YJCharChar">
    <w:name w:val="123YJ Char Char"/>
    <w:qFormat/>
    <w:rPr>
      <w:rFonts w:eastAsia="宋体"/>
      <w:kern w:val="2"/>
      <w:sz w:val="18"/>
      <w:szCs w:val="18"/>
      <w:lang w:val="en-US" w:eastAsia="zh-CN" w:bidi="ar-SA"/>
    </w:rPr>
  </w:style>
  <w:style w:type="character" w:customStyle="1" w:styleId="Document5">
    <w:name w:val="Document 5"/>
    <w:qFormat/>
  </w:style>
  <w:style w:type="character" w:customStyle="1" w:styleId="5CharChar3">
    <w:name w:val="样式5 Char Char"/>
    <w:qFormat/>
  </w:style>
  <w:style w:type="character" w:customStyle="1" w:styleId="Technical2">
    <w:name w:val="Technical 2"/>
    <w:qFormat/>
    <w:rPr>
      <w:rFonts w:ascii="Courier" w:hAnsi="Courier"/>
      <w:sz w:val="24"/>
      <w:lang w:val="en-US"/>
    </w:rPr>
  </w:style>
  <w:style w:type="character" w:customStyle="1" w:styleId="CharChar17">
    <w:name w:val="Char Char17"/>
    <w:qFormat/>
    <w:rPr>
      <w:kern w:val="2"/>
      <w:sz w:val="21"/>
      <w:szCs w:val="24"/>
      <w:shd w:val="clear" w:color="auto" w:fill="000080"/>
    </w:rPr>
  </w:style>
  <w:style w:type="character" w:customStyle="1" w:styleId="Charfffffffd">
    <w:name w:val="第一级标题 Char"/>
    <w:link w:val="afffffffffffc"/>
    <w:qFormat/>
    <w:rPr>
      <w:rFonts w:eastAsia="黑体"/>
      <w:kern w:val="2"/>
      <w:sz w:val="24"/>
      <w:szCs w:val="24"/>
    </w:rPr>
  </w:style>
  <w:style w:type="paragraph" w:customStyle="1" w:styleId="afffffffffffc">
    <w:name w:val="第一级标题"/>
    <w:basedOn w:val="a6"/>
    <w:next w:val="26"/>
    <w:link w:val="Charfffffffd"/>
    <w:qFormat/>
    <w:pPr>
      <w:widowControl/>
      <w:ind w:left="425" w:hanging="425"/>
      <w:jc w:val="left"/>
      <w:outlineLvl w:val="0"/>
    </w:pPr>
    <w:rPr>
      <w:rFonts w:eastAsia="黑体"/>
      <w:sz w:val="24"/>
    </w:rPr>
  </w:style>
  <w:style w:type="character" w:customStyle="1" w:styleId="CharCharCharf5">
    <w:name w:val="表头标题 Char Char Char"/>
    <w:qFormat/>
    <w:rPr>
      <w:rFonts w:ascii="黑体" w:eastAsia="黑体" w:hAnsi="Times New Roman" w:cs="Times New Roman"/>
      <w:bCs/>
      <w:color w:val="FF0000"/>
      <w:szCs w:val="21"/>
      <w:lang w:val="zh-CN"/>
    </w:rPr>
  </w:style>
  <w:style w:type="character" w:customStyle="1" w:styleId="1Charc">
    <w:name w:val="项标题(1) Char"/>
    <w:qFormat/>
    <w:rPr>
      <w:rFonts w:ascii="Times New Roman" w:hAnsi="Times New Roman"/>
      <w:b/>
      <w:bCs/>
      <w:kern w:val="2"/>
      <w:sz w:val="24"/>
      <w:szCs w:val="24"/>
    </w:rPr>
  </w:style>
  <w:style w:type="character" w:customStyle="1" w:styleId="Char1ff0">
    <w:name w:val="信息标题 Char1"/>
    <w:uiPriority w:val="99"/>
    <w:qFormat/>
    <w:rPr>
      <w:rFonts w:ascii="Cambria" w:eastAsia="宋体" w:hAnsi="Cambria" w:cs="黑体"/>
      <w:kern w:val="2"/>
      <w:sz w:val="24"/>
      <w:szCs w:val="24"/>
      <w:shd w:val="pct20" w:color="auto" w:fill="auto"/>
    </w:rPr>
  </w:style>
  <w:style w:type="character" w:customStyle="1" w:styleId="Char41">
    <w:name w:val="批注主题 Char4"/>
    <w:qFormat/>
    <w:rPr>
      <w:b/>
      <w:bCs/>
      <w:kern w:val="2"/>
      <w:sz w:val="24"/>
      <w:szCs w:val="24"/>
    </w:rPr>
  </w:style>
  <w:style w:type="character" w:customStyle="1" w:styleId="p141">
    <w:name w:val="p141"/>
    <w:qFormat/>
    <w:rPr>
      <w:color w:val="000000"/>
      <w:sz w:val="21"/>
      <w:szCs w:val="21"/>
    </w:rPr>
  </w:style>
  <w:style w:type="character" w:customStyle="1" w:styleId="EmailStyle543">
    <w:name w:val="EmailStyle543"/>
    <w:qFormat/>
    <w:rPr>
      <w:rFonts w:ascii="Arial" w:eastAsia="宋体" w:hAnsi="Arial" w:cs="Arial"/>
      <w:color w:val="auto"/>
      <w:sz w:val="20"/>
    </w:rPr>
  </w:style>
  <w:style w:type="character" w:customStyle="1" w:styleId="2H211lxb211h2CharCharChar0">
    <w:name w:val="样式 样式 标题 2节H2节标题 1.1二级标题标题 lxb21.1h2第一层条二级标题 Char表标题单位名... + 宋体... Char Char"/>
    <w:qFormat/>
    <w:rPr>
      <w:rFonts w:ascii="宋体" w:eastAsia="宋体" w:hAnsi="宋体"/>
      <w:bCs/>
      <w:color w:val="000000"/>
      <w:kern w:val="2"/>
      <w:sz w:val="24"/>
      <w:szCs w:val="32"/>
    </w:rPr>
  </w:style>
  <w:style w:type="character" w:customStyle="1" w:styleId="123Char0">
    <w:name w:val="123 Char"/>
    <w:link w:val="1230"/>
    <w:qFormat/>
    <w:rPr>
      <w:sz w:val="21"/>
      <w:szCs w:val="18"/>
    </w:rPr>
  </w:style>
  <w:style w:type="paragraph" w:customStyle="1" w:styleId="1230">
    <w:name w:val="123"/>
    <w:basedOn w:val="aff0"/>
    <w:link w:val="123Char0"/>
    <w:qFormat/>
    <w:pPr>
      <w:tabs>
        <w:tab w:val="clear" w:pos="4153"/>
        <w:tab w:val="clear" w:pos="9214"/>
        <w:tab w:val="left" w:pos="3780"/>
      </w:tabs>
      <w:adjustRightInd/>
      <w:snapToGrid/>
      <w:spacing w:beforeLines="50" w:line="220" w:lineRule="exact"/>
      <w:jc w:val="center"/>
    </w:pPr>
    <w:rPr>
      <w:rFonts w:ascii="Times New Roman" w:eastAsia="宋体" w:hAnsi="Times New Roman"/>
      <w:b w:val="0"/>
      <w:kern w:val="0"/>
      <w:sz w:val="21"/>
    </w:rPr>
  </w:style>
  <w:style w:type="character" w:customStyle="1" w:styleId="dxjChar0">
    <w:name w:val="dxj正文 Char"/>
    <w:link w:val="dxj0"/>
    <w:qFormat/>
    <w:locked/>
    <w:rPr>
      <w:sz w:val="24"/>
      <w:szCs w:val="24"/>
    </w:rPr>
  </w:style>
  <w:style w:type="paragraph" w:customStyle="1" w:styleId="dxj0">
    <w:name w:val="dxj正文"/>
    <w:basedOn w:val="a6"/>
    <w:link w:val="dxjChar0"/>
    <w:qFormat/>
    <w:pPr>
      <w:spacing w:line="360" w:lineRule="auto"/>
      <w:ind w:firstLineChars="200" w:firstLine="200"/>
    </w:pPr>
    <w:rPr>
      <w:kern w:val="0"/>
      <w:sz w:val="24"/>
    </w:rPr>
  </w:style>
  <w:style w:type="character" w:customStyle="1" w:styleId="2CharCharChar0">
    <w:name w:val="表格文字2 Char Char Char"/>
    <w:qFormat/>
    <w:rPr>
      <w:rFonts w:eastAsia="宋体"/>
      <w:sz w:val="21"/>
      <w:szCs w:val="21"/>
      <w:lang w:val="en-US" w:eastAsia="zh-CN" w:bidi="ar-SA"/>
    </w:rPr>
  </w:style>
  <w:style w:type="character" w:customStyle="1" w:styleId="CharCharCharCharCharCharCharCharCharCharCharCharCharChar">
    <w:name w:val="普通文字 Char Char Char Char Char Char Char Char Char Char Char Char Char Char"/>
    <w:qFormat/>
    <w:rPr>
      <w:rFonts w:ascii="宋体" w:eastAsia="宋体" w:hAnsi="Courier New" w:cs="Courier New"/>
      <w:kern w:val="2"/>
      <w:sz w:val="21"/>
      <w:szCs w:val="21"/>
      <w:lang w:val="en-US" w:eastAsia="zh-CN" w:bidi="ar-SA"/>
    </w:rPr>
  </w:style>
  <w:style w:type="character" w:customStyle="1" w:styleId="px14">
    <w:name w:val="px14"/>
    <w:qFormat/>
  </w:style>
  <w:style w:type="character" w:customStyle="1" w:styleId="Char1ff1">
    <w:name w:val="正文(首行缩进)宋旭峰 Char1"/>
    <w:qFormat/>
    <w:rPr>
      <w:rFonts w:eastAsia="宋体" w:cs="TimesNewRomanPSMT"/>
      <w:snapToGrid/>
      <w:kern w:val="2"/>
      <w:sz w:val="24"/>
      <w:szCs w:val="24"/>
      <w:lang w:val="en-US" w:eastAsia="zh-CN" w:bidi="ar-SA"/>
    </w:rPr>
  </w:style>
  <w:style w:type="character" w:customStyle="1" w:styleId="CharCharCharCharCharChar0">
    <w:name w:val="正文(首行缩进) Char Char Char Char Char Char"/>
    <w:qFormat/>
    <w:rPr>
      <w:rFonts w:eastAsia="宋体"/>
      <w:snapToGrid w:val="0"/>
      <w:color w:val="000000"/>
      <w:sz w:val="24"/>
      <w:szCs w:val="24"/>
      <w:lang w:val="en-US" w:eastAsia="zh-CN" w:bidi="ar-SA"/>
    </w:rPr>
  </w:style>
  <w:style w:type="character" w:customStyle="1" w:styleId="afffffffffffd">
    <w:name w:val="样式 宋体 四号"/>
    <w:qFormat/>
    <w:rPr>
      <w:rFonts w:ascii="宋体" w:hAnsi="宋体"/>
      <w:sz w:val="28"/>
      <w:szCs w:val="28"/>
    </w:rPr>
  </w:style>
  <w:style w:type="character" w:customStyle="1" w:styleId="longtext1">
    <w:name w:val="long_text1"/>
    <w:qFormat/>
    <w:rPr>
      <w:sz w:val="18"/>
    </w:rPr>
  </w:style>
  <w:style w:type="character" w:customStyle="1" w:styleId="afffffffffffe">
    <w:name w:val="样式 黑体 小四"/>
    <w:qFormat/>
    <w:rPr>
      <w:rFonts w:ascii="黑体" w:eastAsia="黑体" w:hAnsi="黑体"/>
      <w:sz w:val="24"/>
    </w:rPr>
  </w:style>
  <w:style w:type="character" w:customStyle="1" w:styleId="HTML13">
    <w:name w:val="HTML 键盘1"/>
    <w:qFormat/>
    <w:rPr>
      <w:rFonts w:ascii="Courier New" w:eastAsia="宋体" w:hAnsi="Courier New" w:cs="Courier New"/>
      <w:kern w:val="2"/>
      <w:sz w:val="20"/>
      <w:szCs w:val="20"/>
      <w:lang w:val="en-US" w:eastAsia="zh-CN"/>
    </w:rPr>
  </w:style>
  <w:style w:type="character" w:customStyle="1" w:styleId="1CharCharf">
    <w:name w:val="段落1 Char Char"/>
    <w:qFormat/>
    <w:rPr>
      <w:rFonts w:eastAsia="宋体" w:hAnsi="宋体"/>
      <w:sz w:val="24"/>
      <w:szCs w:val="24"/>
      <w:lang w:val="en-US" w:eastAsia="zh-CN" w:bidi="ar-SA"/>
    </w:rPr>
  </w:style>
  <w:style w:type="character" w:customStyle="1" w:styleId="affffffffffff">
    <w:name w:val="二级丹"/>
    <w:qFormat/>
    <w:rPr>
      <w:rFonts w:eastAsia="黑体"/>
      <w:b/>
      <w:bCs/>
      <w:sz w:val="30"/>
    </w:rPr>
  </w:style>
  <w:style w:type="character" w:customStyle="1" w:styleId="01CharChar0">
    <w:name w:val="正文_01 Char Char"/>
    <w:link w:val="010"/>
    <w:qFormat/>
    <w:rPr>
      <w:rFonts w:ascii="宋体" w:hAnsi="宋体"/>
      <w:sz w:val="28"/>
      <w:lang w:val="en-US" w:eastAsia="zh-CN" w:bidi="ar-SA"/>
    </w:rPr>
  </w:style>
  <w:style w:type="paragraph" w:customStyle="1" w:styleId="010">
    <w:name w:val="正文_01"/>
    <w:link w:val="01CharChar0"/>
    <w:qFormat/>
    <w:pPr>
      <w:widowControl w:val="0"/>
      <w:spacing w:line="360" w:lineRule="auto"/>
      <w:ind w:firstLineChars="200" w:firstLine="560"/>
      <w:textAlignment w:val="center"/>
    </w:pPr>
    <w:rPr>
      <w:rFonts w:ascii="宋体" w:hAnsi="宋体"/>
      <w:sz w:val="28"/>
    </w:rPr>
  </w:style>
  <w:style w:type="character" w:customStyle="1" w:styleId="00CharChar">
    <w:name w:val="页眉00 Char Char"/>
    <w:qFormat/>
    <w:rPr>
      <w:rFonts w:eastAsia="宋体"/>
      <w:kern w:val="2"/>
      <w:sz w:val="18"/>
      <w:szCs w:val="18"/>
      <w:lang w:val="en-US" w:eastAsia="zh-CN" w:bidi="ar-SA"/>
    </w:rPr>
  </w:style>
  <w:style w:type="character" w:customStyle="1" w:styleId="TTTCharChar">
    <w:name w:val="TTT Char Char"/>
    <w:link w:val="TTT"/>
    <w:qFormat/>
    <w:rPr>
      <w:b/>
      <w:sz w:val="24"/>
      <w:szCs w:val="24"/>
    </w:rPr>
  </w:style>
  <w:style w:type="paragraph" w:customStyle="1" w:styleId="TTT">
    <w:name w:val="TTT"/>
    <w:basedOn w:val="a6"/>
    <w:link w:val="TTTCharChar"/>
    <w:qFormat/>
    <w:pPr>
      <w:tabs>
        <w:tab w:val="left" w:pos="480"/>
      </w:tabs>
      <w:spacing w:line="360" w:lineRule="auto"/>
      <w:ind w:firstLineChars="200" w:firstLine="200"/>
    </w:pPr>
    <w:rPr>
      <w:b/>
      <w:kern w:val="0"/>
      <w:sz w:val="24"/>
    </w:rPr>
  </w:style>
  <w:style w:type="character" w:customStyle="1" w:styleId="GB23127">
    <w:name w:val="样式 仿宋_GB2312"/>
    <w:qFormat/>
    <w:rPr>
      <w:rFonts w:ascii="仿宋_GB2312" w:eastAsia="仿宋_GB2312"/>
      <w:kern w:val="0"/>
    </w:rPr>
  </w:style>
  <w:style w:type="character" w:customStyle="1" w:styleId="15CharChar0">
    <w:name w:val="文本框五号1.5倍行距 Char Char"/>
    <w:qFormat/>
    <w:rPr>
      <w:rFonts w:ascii="宋体" w:eastAsia="仿宋_GB2312" w:hAnsi="宋体" w:cs="Courier New"/>
      <w:kern w:val="2"/>
      <w:sz w:val="21"/>
      <w:szCs w:val="21"/>
      <w:lang w:val="en-US" w:eastAsia="zh-CN" w:bidi="ar-SA"/>
    </w:rPr>
  </w:style>
  <w:style w:type="character" w:customStyle="1" w:styleId="212">
    <w:name w:val="标题21"/>
    <w:qFormat/>
  </w:style>
  <w:style w:type="character" w:customStyle="1" w:styleId="wbz2">
    <w:name w:val="wbz2"/>
    <w:qFormat/>
    <w:rPr>
      <w:rFonts w:hint="default"/>
      <w:color w:val="000000"/>
      <w:spacing w:val="0"/>
      <w:sz w:val="18"/>
      <w:szCs w:val="18"/>
      <w:u w:val="none"/>
    </w:rPr>
  </w:style>
  <w:style w:type="character" w:customStyle="1" w:styleId="dandan6-132CharCharChar">
    <w:name w:val="dandan6-13标题2 Char Char Char"/>
    <w:qFormat/>
    <w:rPr>
      <w:rFonts w:eastAsia="黑体"/>
      <w:b/>
      <w:sz w:val="30"/>
      <w:szCs w:val="32"/>
      <w:lang w:val="en-US" w:eastAsia="zh-CN" w:bidi="ar-SA"/>
    </w:rPr>
  </w:style>
  <w:style w:type="character" w:customStyle="1" w:styleId="Charfffffffe">
    <w:name w:val="样式 题注 + 黑体 小四 加粗 Char"/>
    <w:link w:val="affffffffffff0"/>
    <w:qFormat/>
    <w:rPr>
      <w:rFonts w:ascii="黑体" w:eastAsia="黑体" w:hAnsi="黑体"/>
      <w:b/>
      <w:bCs/>
      <w:kern w:val="2"/>
      <w:sz w:val="24"/>
    </w:rPr>
  </w:style>
  <w:style w:type="paragraph" w:customStyle="1" w:styleId="affffffffffff0">
    <w:name w:val="样式 题注 + 黑体 小四 加粗"/>
    <w:basedOn w:val="af1"/>
    <w:link w:val="Charfffffffe"/>
    <w:qFormat/>
    <w:pPr>
      <w:widowControl w:val="0"/>
      <w:ind w:firstLineChars="0" w:firstLine="0"/>
      <w:jc w:val="center"/>
    </w:pPr>
    <w:rPr>
      <w:rFonts w:ascii="黑体" w:eastAsia="黑体" w:hAnsi="黑体"/>
      <w:bCs/>
      <w:szCs w:val="20"/>
    </w:rPr>
  </w:style>
  <w:style w:type="character" w:customStyle="1" w:styleId="01CharChar1">
    <w:name w:val="表格标题01 Char Char1"/>
    <w:qFormat/>
    <w:rPr>
      <w:rFonts w:eastAsia="宋体"/>
      <w:sz w:val="28"/>
      <w:lang w:val="en-US" w:eastAsia="zh-CN" w:bidi="ar-SA"/>
    </w:rPr>
  </w:style>
  <w:style w:type="character" w:customStyle="1" w:styleId="CharCharCharCharCharCharCharCharCharCharCharCharCharCharCharCharCharCharChar">
    <w:name w:val="普通文字 Char Char Char Char Char Char Char Char Char Char Char Char Char Char Char Char Char Char Char"/>
    <w:qFormat/>
    <w:rPr>
      <w:rFonts w:ascii="宋体" w:eastAsia="仿宋_GB2312" w:hAnsi="Courier New"/>
      <w:kern w:val="2"/>
      <w:sz w:val="28"/>
      <w:lang w:val="en-US" w:eastAsia="zh-CN" w:bidi="ar-SA"/>
    </w:rPr>
  </w:style>
  <w:style w:type="character" w:customStyle="1" w:styleId="Char38">
    <w:name w:val="批注文字 Char3"/>
    <w:qFormat/>
    <w:rPr>
      <w:kern w:val="2"/>
      <w:sz w:val="24"/>
      <w:szCs w:val="24"/>
    </w:rPr>
  </w:style>
  <w:style w:type="character" w:customStyle="1" w:styleId="Charffffffff">
    <w:name w:val="设计正文 Char"/>
    <w:link w:val="affffffffffff1"/>
    <w:qFormat/>
    <w:rPr>
      <w:bCs/>
      <w:color w:val="000000"/>
      <w:spacing w:val="-4"/>
      <w:kern w:val="2"/>
      <w:sz w:val="24"/>
      <w:szCs w:val="24"/>
    </w:rPr>
  </w:style>
  <w:style w:type="paragraph" w:customStyle="1" w:styleId="affffffffffff1">
    <w:name w:val="设计正文"/>
    <w:basedOn w:val="af0"/>
    <w:link w:val="Charffffffff"/>
    <w:qFormat/>
    <w:pPr>
      <w:adjustRightInd/>
      <w:ind w:firstLineChars="200" w:firstLine="464"/>
      <w:jc w:val="both"/>
      <w:textAlignment w:val="auto"/>
    </w:pPr>
    <w:rPr>
      <w:rFonts w:ascii="Times New Roman" w:hAnsi="Times New Roman"/>
      <w:bCs/>
      <w:color w:val="000000"/>
      <w:spacing w:val="-4"/>
      <w:kern w:val="2"/>
      <w:szCs w:val="24"/>
    </w:rPr>
  </w:style>
  <w:style w:type="character" w:customStyle="1" w:styleId="CharCharCharCharCharChar1">
    <w:name w:val="表头 Char Char Char Char Char Char"/>
    <w:link w:val="CharCharCharCharChar3"/>
    <w:qFormat/>
    <w:rPr>
      <w:rFonts w:ascii="宋体" w:hAnsi="宋体"/>
      <w:b/>
      <w:bCs/>
      <w:kern w:val="32"/>
      <w:sz w:val="24"/>
      <w:szCs w:val="28"/>
    </w:rPr>
  </w:style>
  <w:style w:type="paragraph" w:customStyle="1" w:styleId="CharCharCharCharChar3">
    <w:name w:val="表头 Char Char Char Char Char"/>
    <w:next w:val="a6"/>
    <w:link w:val="CharCharCharCharCharChar1"/>
    <w:qFormat/>
    <w:pPr>
      <w:spacing w:before="240" w:after="240"/>
      <w:jc w:val="center"/>
    </w:pPr>
    <w:rPr>
      <w:b/>
      <w:bCs/>
      <w:kern w:val="32"/>
      <w:sz w:val="24"/>
    </w:rPr>
  </w:style>
  <w:style w:type="paragraph" w:customStyle="1" w:styleId="affffffffffff2">
    <w:name w:val="文本"/>
    <w:basedOn w:val="a6"/>
    <w:qFormat/>
    <w:pPr>
      <w:adjustRightInd w:val="0"/>
      <w:snapToGrid w:val="0"/>
      <w:spacing w:line="500" w:lineRule="exact"/>
      <w:ind w:firstLineChars="200" w:firstLine="560"/>
      <w:jc w:val="left"/>
    </w:pPr>
    <w:rPr>
      <w:rFonts w:ascii="宋体" w:eastAsia="汉鼎简书宋" w:hAnsi="宋体" w:cs="宋体"/>
      <w:sz w:val="28"/>
      <w:szCs w:val="28"/>
    </w:rPr>
  </w:style>
  <w:style w:type="character" w:customStyle="1" w:styleId="2TimesNewRomanChar0">
    <w:name w:val="正文首行缩进 2 + Times New Roman Char"/>
    <w:link w:val="2TimesNewRoman0"/>
    <w:qFormat/>
    <w:rPr>
      <w:rFonts w:ascii="宋体"/>
      <w:sz w:val="24"/>
    </w:rPr>
  </w:style>
  <w:style w:type="paragraph" w:customStyle="1" w:styleId="2TimesNewRoman0">
    <w:name w:val="正文首行缩进 2 + Times New Roman"/>
    <w:basedOn w:val="a6"/>
    <w:link w:val="2TimesNewRomanChar0"/>
    <w:qFormat/>
    <w:pPr>
      <w:tabs>
        <w:tab w:val="left" w:pos="0"/>
        <w:tab w:val="left" w:pos="870"/>
        <w:tab w:val="left" w:pos="3150"/>
      </w:tabs>
      <w:autoSpaceDE w:val="0"/>
      <w:autoSpaceDN w:val="0"/>
      <w:spacing w:line="360" w:lineRule="auto"/>
      <w:ind w:firstLine="480"/>
      <w:jc w:val="left"/>
    </w:pPr>
    <w:rPr>
      <w:rFonts w:ascii="宋体"/>
      <w:kern w:val="0"/>
      <w:sz w:val="24"/>
      <w:szCs w:val="20"/>
    </w:rPr>
  </w:style>
  <w:style w:type="character" w:customStyle="1" w:styleId="Charffffffff0">
    <w:name w:val="我的正文 Char"/>
    <w:link w:val="affffffffffff3"/>
    <w:qFormat/>
    <w:rPr>
      <w:color w:val="000000"/>
      <w:kern w:val="2"/>
      <w:sz w:val="24"/>
      <w:szCs w:val="24"/>
    </w:rPr>
  </w:style>
  <w:style w:type="paragraph" w:customStyle="1" w:styleId="affffffffffff3">
    <w:name w:val="我的正文"/>
    <w:basedOn w:val="a6"/>
    <w:link w:val="Charffffffff0"/>
    <w:qFormat/>
    <w:pPr>
      <w:spacing w:line="480" w:lineRule="auto"/>
      <w:ind w:firstLineChars="200" w:firstLine="480"/>
    </w:pPr>
    <w:rPr>
      <w:color w:val="000000"/>
      <w:sz w:val="24"/>
    </w:rPr>
  </w:style>
  <w:style w:type="character" w:customStyle="1" w:styleId="HTML14">
    <w:name w:val="HTML 引文1"/>
    <w:qFormat/>
    <w:rPr>
      <w:rFonts w:ascii="宋体" w:eastAsia="宋体" w:hAnsi="宋体" w:cs="Courier New"/>
      <w:i/>
      <w:iCs/>
      <w:kern w:val="2"/>
      <w:sz w:val="32"/>
      <w:szCs w:val="32"/>
      <w:lang w:val="en-US" w:eastAsia="zh-CN"/>
    </w:rPr>
  </w:style>
  <w:style w:type="character" w:customStyle="1" w:styleId="CharCharfff9">
    <w:name w:val="表格名称 Char Char"/>
    <w:link w:val="affffffffffff4"/>
    <w:qFormat/>
    <w:rPr>
      <w:rFonts w:ascii="宋体"/>
      <w:kern w:val="2"/>
      <w:sz w:val="28"/>
      <w:szCs w:val="28"/>
    </w:rPr>
  </w:style>
  <w:style w:type="paragraph" w:customStyle="1" w:styleId="affffffffffff4">
    <w:name w:val="表格名称"/>
    <w:basedOn w:val="a6"/>
    <w:next w:val="a6"/>
    <w:link w:val="CharCharfff9"/>
    <w:qFormat/>
    <w:pPr>
      <w:jc w:val="center"/>
    </w:pPr>
    <w:rPr>
      <w:rFonts w:ascii="宋体"/>
      <w:sz w:val="28"/>
      <w:szCs w:val="28"/>
    </w:rPr>
  </w:style>
  <w:style w:type="character" w:customStyle="1" w:styleId="NormalChar">
    <w:name w:val="Normal Char"/>
    <w:link w:val="1ff9"/>
    <w:qFormat/>
    <w:rPr>
      <w:kern w:val="2"/>
      <w:sz w:val="21"/>
      <w:szCs w:val="24"/>
    </w:rPr>
  </w:style>
  <w:style w:type="paragraph" w:customStyle="1" w:styleId="1ff9">
    <w:name w:val="正文1"/>
    <w:basedOn w:val="a6"/>
    <w:link w:val="NormalChar"/>
    <w:qFormat/>
    <w:pPr>
      <w:jc w:val="center"/>
    </w:pPr>
  </w:style>
  <w:style w:type="character" w:customStyle="1" w:styleId="dan7-1CharChar">
    <w:name w:val="dan7-1 Char Char"/>
    <w:link w:val="dan7-1"/>
    <w:qFormat/>
    <w:rPr>
      <w:kern w:val="2"/>
      <w:sz w:val="24"/>
    </w:rPr>
  </w:style>
  <w:style w:type="paragraph" w:customStyle="1" w:styleId="dan7-1">
    <w:name w:val="dan7-1"/>
    <w:basedOn w:val="a6"/>
    <w:link w:val="dan7-1CharChar"/>
    <w:qFormat/>
    <w:pPr>
      <w:spacing w:before="40" w:after="40" w:line="360" w:lineRule="auto"/>
      <w:ind w:firstLineChars="200" w:firstLine="200"/>
    </w:pPr>
    <w:rPr>
      <w:sz w:val="24"/>
      <w:szCs w:val="20"/>
    </w:rPr>
  </w:style>
  <w:style w:type="character" w:customStyle="1" w:styleId="-2CharChar">
    <w:name w:val="样式 正文首行缩进可研-正文首行缩进 + 首行缩进:  2 字符 Char Char"/>
    <w:link w:val="-21"/>
    <w:qFormat/>
    <w:rPr>
      <w:rFonts w:ascii="宋体" w:hAnsi="宋体"/>
      <w:color w:val="000000"/>
      <w:w w:val="110"/>
      <w:kern w:val="2"/>
      <w:sz w:val="28"/>
    </w:rPr>
  </w:style>
  <w:style w:type="paragraph" w:customStyle="1" w:styleId="-21">
    <w:name w:val="样式 正文首行缩进可研-正文首行缩进 + 首行缩进:  2 字符"/>
    <w:basedOn w:val="affc"/>
    <w:link w:val="-2CharChar"/>
    <w:qFormat/>
    <w:pPr>
      <w:keepNext/>
      <w:tabs>
        <w:tab w:val="left" w:pos="628"/>
        <w:tab w:val="left" w:pos="1727"/>
        <w:tab w:val="left" w:pos="1884"/>
        <w:tab w:val="left" w:pos="4900"/>
      </w:tabs>
      <w:snapToGrid w:val="0"/>
      <w:spacing w:line="360" w:lineRule="auto"/>
      <w:ind w:firstLine="560"/>
      <w:jc w:val="left"/>
    </w:pPr>
    <w:rPr>
      <w:bCs w:val="0"/>
      <w:color w:val="000000"/>
      <w:spacing w:val="0"/>
      <w:w w:val="110"/>
      <w:kern w:val="2"/>
      <w:sz w:val="28"/>
      <w:szCs w:val="20"/>
    </w:rPr>
  </w:style>
  <w:style w:type="character" w:customStyle="1" w:styleId="Char2f2">
    <w:name w:val="报告文字 Char2"/>
    <w:link w:val="affffffffffff5"/>
    <w:qFormat/>
    <w:rPr>
      <w:color w:val="000000"/>
      <w:sz w:val="24"/>
      <w:szCs w:val="28"/>
      <w:shd w:val="clear" w:color="auto" w:fill="FFFFFF"/>
    </w:rPr>
  </w:style>
  <w:style w:type="paragraph" w:customStyle="1" w:styleId="affffffffffff5">
    <w:name w:val="报告文字"/>
    <w:basedOn w:val="affc"/>
    <w:link w:val="Char2f2"/>
    <w:qFormat/>
    <w:pPr>
      <w:shd w:val="clear" w:color="auto" w:fill="FFFFFF"/>
      <w:spacing w:line="480" w:lineRule="exact"/>
      <w:ind w:firstLine="480"/>
      <w:textAlignment w:val="center"/>
    </w:pPr>
    <w:rPr>
      <w:rFonts w:ascii="Times New Roman" w:hAnsi="Times New Roman"/>
      <w:bCs w:val="0"/>
      <w:color w:val="000000"/>
      <w:spacing w:val="0"/>
      <w:kern w:val="0"/>
      <w:sz w:val="24"/>
      <w:szCs w:val="28"/>
      <w:shd w:val="clear" w:color="auto" w:fill="FFFFFF"/>
    </w:rPr>
  </w:style>
  <w:style w:type="character" w:customStyle="1" w:styleId="Charffffffff1">
    <w:name w:val="环评 正文 Char"/>
    <w:qFormat/>
    <w:rPr>
      <w:rFonts w:ascii="宋体" w:eastAsia="宋体" w:hAnsi="宋体" w:cs="宋体"/>
      <w:spacing w:val="8"/>
      <w:kern w:val="0"/>
      <w:sz w:val="24"/>
      <w:szCs w:val="20"/>
    </w:rPr>
  </w:style>
  <w:style w:type="character" w:customStyle="1" w:styleId="2H211lxb211h2CharCharCharChar0">
    <w:name w:val="样式 标题 2节H2节标题 1.1二级标题标题 lxb21.1h2第一层条二级标题 Char表标题单位名... Char Char Char"/>
    <w:qFormat/>
    <w:rPr>
      <w:rFonts w:ascii="黑体" w:eastAsia="黑体" w:hAnsi="宋体"/>
      <w:b/>
      <w:bCs/>
      <w:color w:val="000000"/>
      <w:kern w:val="2"/>
      <w:sz w:val="30"/>
      <w:szCs w:val="32"/>
    </w:rPr>
  </w:style>
  <w:style w:type="character" w:customStyle="1" w:styleId="txtcontent11">
    <w:name w:val="txtcontent11"/>
    <w:qFormat/>
    <w:rPr>
      <w:rFonts w:ascii="ˎ̥" w:hAnsi="ˎ̥" w:hint="default"/>
      <w:color w:val="000000"/>
      <w:sz w:val="21"/>
      <w:szCs w:val="21"/>
    </w:rPr>
  </w:style>
  <w:style w:type="character" w:customStyle="1" w:styleId="ask-title2">
    <w:name w:val="ask-title2"/>
    <w:qFormat/>
  </w:style>
  <w:style w:type="character" w:customStyle="1" w:styleId="213">
    <w:name w:val="页码21"/>
    <w:qFormat/>
  </w:style>
  <w:style w:type="character" w:customStyle="1" w:styleId="CharCharCharf6">
    <w:name w:val="正文格式 Char Char Char"/>
    <w:qFormat/>
    <w:rPr>
      <w:rFonts w:ascii="宋体" w:eastAsia="宋体" w:hAnsi="宋体"/>
      <w:kern w:val="2"/>
      <w:sz w:val="24"/>
      <w:szCs w:val="24"/>
      <w:lang w:val="en-US" w:eastAsia="zh-CN" w:bidi="ar-SA"/>
    </w:rPr>
  </w:style>
  <w:style w:type="character" w:customStyle="1" w:styleId="HTMLChar20">
    <w:name w:val="HTML 预设格式 Char2"/>
    <w:qFormat/>
    <w:rPr>
      <w:rFonts w:ascii="Courier New" w:hAnsi="Courier New" w:cs="Courier New"/>
      <w:kern w:val="2"/>
    </w:rPr>
  </w:style>
  <w:style w:type="character" w:customStyle="1" w:styleId="8Char1">
    <w:name w:val="标题 8 Char1"/>
    <w:qFormat/>
    <w:rPr>
      <w:rFonts w:ascii="Calibri Light" w:eastAsia="宋体" w:hAnsi="Calibri Light" w:cs="Times New Roman"/>
      <w:kern w:val="2"/>
      <w:sz w:val="24"/>
      <w:szCs w:val="24"/>
    </w:rPr>
  </w:style>
  <w:style w:type="character" w:customStyle="1" w:styleId="CharCharCharCharChar4">
    <w:name w:val="表题 Char Char Char Char Char"/>
    <w:qFormat/>
    <w:rPr>
      <w:rFonts w:ascii="宋体" w:eastAsia="宋体" w:hAnsi="宋体"/>
      <w:bCs/>
      <w:kern w:val="2"/>
      <w:sz w:val="24"/>
      <w:szCs w:val="24"/>
      <w:lang w:val="en-US" w:eastAsia="zh-CN" w:bidi="ar-SA"/>
    </w:rPr>
  </w:style>
  <w:style w:type="character" w:customStyle="1" w:styleId="hottext">
    <w:name w:val="hottext"/>
    <w:qFormat/>
  </w:style>
  <w:style w:type="character" w:customStyle="1" w:styleId="3Char1CharChar1">
    <w:name w:val="标题 3 Char1 Char Char1"/>
    <w:qFormat/>
    <w:rPr>
      <w:rFonts w:eastAsia="宋体"/>
      <w:b/>
      <w:bCs/>
      <w:kern w:val="2"/>
      <w:sz w:val="32"/>
      <w:szCs w:val="32"/>
      <w:lang w:val="en-US" w:eastAsia="zh-CN" w:bidi="ar-SA"/>
    </w:rPr>
  </w:style>
  <w:style w:type="character" w:customStyle="1" w:styleId="Char39">
    <w:name w:val="正文文本缩进 Char3"/>
    <w:qFormat/>
    <w:rPr>
      <w:kern w:val="2"/>
      <w:sz w:val="24"/>
      <w:szCs w:val="24"/>
    </w:rPr>
  </w:style>
  <w:style w:type="character" w:customStyle="1" w:styleId="3Char20">
    <w:name w:val="正文文本缩进 3 Char2"/>
    <w:uiPriority w:val="99"/>
    <w:qFormat/>
    <w:rPr>
      <w:kern w:val="2"/>
      <w:sz w:val="16"/>
      <w:szCs w:val="16"/>
    </w:rPr>
  </w:style>
  <w:style w:type="character" w:customStyle="1" w:styleId="style41">
    <w:name w:val="style41"/>
    <w:qFormat/>
    <w:rPr>
      <w:color w:val="000000"/>
      <w:sz w:val="16"/>
      <w:szCs w:val="16"/>
    </w:rPr>
  </w:style>
  <w:style w:type="character" w:customStyle="1" w:styleId="Char3a">
    <w:name w:val="脚注文本 Char3"/>
    <w:qFormat/>
    <w:rPr>
      <w:kern w:val="2"/>
      <w:sz w:val="18"/>
      <w:szCs w:val="18"/>
    </w:rPr>
  </w:style>
  <w:style w:type="character" w:customStyle="1" w:styleId="EmailStyle489">
    <w:name w:val="EmailStyle489"/>
    <w:qFormat/>
    <w:rPr>
      <w:rFonts w:ascii="Arial" w:eastAsia="宋体" w:hAnsi="Arial" w:cs="Arial"/>
      <w:color w:val="auto"/>
      <w:sz w:val="20"/>
    </w:rPr>
  </w:style>
  <w:style w:type="character" w:customStyle="1" w:styleId="bold1">
    <w:name w:val="bold1"/>
    <w:qFormat/>
    <w:rPr>
      <w:b/>
      <w:bCs/>
    </w:rPr>
  </w:style>
  <w:style w:type="character" w:customStyle="1" w:styleId="22Char0">
    <w:name w:val="样式 样式 正文文本 + 首行缩进:  2 字符 + 宋体 首行缩进:  2 字符 Char"/>
    <w:link w:val="226"/>
    <w:qFormat/>
    <w:rPr>
      <w:color w:val="FF0000"/>
      <w:kern w:val="2"/>
      <w:sz w:val="24"/>
      <w:szCs w:val="24"/>
    </w:rPr>
  </w:style>
  <w:style w:type="paragraph" w:customStyle="1" w:styleId="226">
    <w:name w:val="样式 样式 正文文本 + 首行缩进:  2 字符 + 宋体 首行缩进:  2 字符"/>
    <w:basedOn w:val="2ff7"/>
    <w:link w:val="22Char0"/>
    <w:qFormat/>
    <w:pPr>
      <w:ind w:firstLine="480"/>
    </w:pPr>
  </w:style>
  <w:style w:type="character" w:customStyle="1" w:styleId="tcnt3">
    <w:name w:val="tcnt3"/>
    <w:qFormat/>
  </w:style>
  <w:style w:type="character" w:customStyle="1" w:styleId="TChar">
    <w:name w:val="T正文 Char"/>
    <w:link w:val="T0"/>
    <w:qFormat/>
    <w:rPr>
      <w:rFonts w:eastAsia="楷体_GB2312"/>
      <w:sz w:val="28"/>
      <w:lang w:val="en-US" w:eastAsia="zh-CN" w:bidi="ar-SA"/>
    </w:rPr>
  </w:style>
  <w:style w:type="paragraph" w:customStyle="1" w:styleId="T0">
    <w:name w:val="T正文"/>
    <w:link w:val="TChar"/>
    <w:qFormat/>
    <w:pPr>
      <w:widowControl w:val="0"/>
      <w:adjustRightInd w:val="0"/>
      <w:snapToGrid w:val="0"/>
      <w:spacing w:line="360" w:lineRule="auto"/>
      <w:ind w:firstLineChars="200" w:firstLine="200"/>
      <w:jc w:val="both"/>
    </w:pPr>
    <w:rPr>
      <w:rFonts w:eastAsia="楷体_GB2312"/>
      <w:sz w:val="28"/>
    </w:rPr>
  </w:style>
  <w:style w:type="character" w:customStyle="1" w:styleId="Char2f3">
    <w:name w:val="称呼 Char2"/>
    <w:uiPriority w:val="99"/>
    <w:qFormat/>
    <w:rPr>
      <w:kern w:val="2"/>
      <w:sz w:val="24"/>
      <w:szCs w:val="24"/>
    </w:rPr>
  </w:style>
  <w:style w:type="character" w:customStyle="1" w:styleId="Char3b">
    <w:name w:val="一级项 Char3"/>
    <w:qFormat/>
    <w:rPr>
      <w:rFonts w:eastAsia="宋体"/>
      <w:bCs/>
      <w:kern w:val="2"/>
      <w:sz w:val="24"/>
      <w:szCs w:val="24"/>
      <w:lang w:val="en-US" w:eastAsia="zh-CN" w:bidi="ar-SA"/>
    </w:rPr>
  </w:style>
  <w:style w:type="character" w:customStyle="1" w:styleId="nfont6">
    <w:name w:val="nfont6"/>
    <w:qFormat/>
    <w:rPr>
      <w:rFonts w:hint="default"/>
      <w:color w:val="FF0000"/>
      <w:sz w:val="27"/>
      <w:szCs w:val="27"/>
    </w:rPr>
  </w:style>
  <w:style w:type="character" w:customStyle="1" w:styleId="CharCharfffa">
    <w:name w:val="图表注 Char Char"/>
    <w:qFormat/>
    <w:rPr>
      <w:rFonts w:eastAsia="宋体"/>
      <w:b/>
      <w:color w:val="000000"/>
      <w:kern w:val="2"/>
      <w:sz w:val="24"/>
      <w:szCs w:val="24"/>
      <w:lang w:val="en-US" w:eastAsia="zh-CN" w:bidi="ar-SA"/>
    </w:rPr>
  </w:style>
  <w:style w:type="character" w:customStyle="1" w:styleId="CharChar200">
    <w:name w:val="Char Char20"/>
    <w:uiPriority w:val="99"/>
    <w:qFormat/>
    <w:rPr>
      <w:rFonts w:ascii="Arial" w:eastAsia="仿宋_GB2312" w:hAnsi="Arial"/>
      <w:b/>
      <w:spacing w:val="-4"/>
      <w:kern w:val="20"/>
      <w:sz w:val="18"/>
      <w:lang w:val="en-US" w:eastAsia="zh-CN" w:bidi="ar-SA"/>
    </w:rPr>
  </w:style>
  <w:style w:type="character" w:customStyle="1" w:styleId="HTMLCharChar1">
    <w:name w:val="HTML 预先格式化 Char Char1"/>
    <w:qFormat/>
    <w:rPr>
      <w:rFonts w:ascii="Arial" w:eastAsia="宋体" w:hAnsi="Arial" w:cs="Arial"/>
      <w:sz w:val="24"/>
      <w:szCs w:val="24"/>
      <w:lang w:val="en-US" w:eastAsia="zh-CN" w:bidi="ar-SA"/>
    </w:rPr>
  </w:style>
  <w:style w:type="character" w:customStyle="1" w:styleId="2Char30">
    <w:name w:val="正文文本缩进 2 Char3"/>
    <w:qFormat/>
    <w:rPr>
      <w:kern w:val="2"/>
      <w:sz w:val="24"/>
      <w:szCs w:val="24"/>
    </w:rPr>
  </w:style>
  <w:style w:type="character" w:customStyle="1" w:styleId="HTML15">
    <w:name w:val="HTML 定义1"/>
    <w:qFormat/>
    <w:rPr>
      <w:rFonts w:ascii="宋体" w:eastAsia="宋体" w:hAnsi="宋体" w:cs="Courier New"/>
      <w:i/>
      <w:iCs/>
      <w:kern w:val="2"/>
      <w:sz w:val="32"/>
      <w:szCs w:val="32"/>
      <w:lang w:val="en-US" w:eastAsia="zh-CN"/>
    </w:rPr>
  </w:style>
  <w:style w:type="character" w:customStyle="1" w:styleId="CharCharfffb">
    <w:name w:val="规划正文样式 Char Char"/>
    <w:link w:val="affffffffffff6"/>
    <w:qFormat/>
    <w:rPr>
      <w:kern w:val="2"/>
      <w:sz w:val="24"/>
    </w:rPr>
  </w:style>
  <w:style w:type="paragraph" w:customStyle="1" w:styleId="affffffffffff6">
    <w:name w:val="规划正文样式"/>
    <w:basedOn w:val="a6"/>
    <w:link w:val="CharCharfffb"/>
    <w:qFormat/>
    <w:pPr>
      <w:spacing w:line="400" w:lineRule="exact"/>
      <w:ind w:firstLineChars="200" w:firstLine="480"/>
    </w:pPr>
    <w:rPr>
      <w:sz w:val="24"/>
      <w:szCs w:val="20"/>
    </w:rPr>
  </w:style>
  <w:style w:type="character" w:customStyle="1" w:styleId="8Char4">
    <w:name w:val="标题8 Char4"/>
    <w:qFormat/>
    <w:rPr>
      <w:rFonts w:eastAsia="宋体"/>
      <w:bCs/>
      <w:snapToGrid/>
      <w:kern w:val="2"/>
      <w:sz w:val="24"/>
      <w:szCs w:val="24"/>
      <w:lang w:val="en-US" w:eastAsia="zh-CN" w:bidi="ar-SA"/>
    </w:rPr>
  </w:style>
  <w:style w:type="character" w:customStyle="1" w:styleId="777777777Char">
    <w:name w:val="777777777 Char"/>
    <w:qFormat/>
    <w:rPr>
      <w:rFonts w:eastAsia="宋体"/>
      <w:sz w:val="28"/>
      <w:lang w:bidi="ar-SA"/>
    </w:rPr>
  </w:style>
  <w:style w:type="character" w:customStyle="1" w:styleId="Char1ff2">
    <w:name w:val="脚注文本 Char1"/>
    <w:uiPriority w:val="99"/>
    <w:qFormat/>
    <w:rPr>
      <w:rFonts w:ascii="Times New Roman" w:eastAsia="宋体" w:hAnsi="Times New Roman" w:cs="Times New Roman"/>
      <w:sz w:val="18"/>
      <w:szCs w:val="18"/>
    </w:rPr>
  </w:style>
  <w:style w:type="character" w:customStyle="1" w:styleId="4Char2">
    <w:name w:val="表小4 Char"/>
    <w:link w:val="4f0"/>
    <w:qFormat/>
    <w:rPr>
      <w:rFonts w:ascii="宋体" w:hAnsi="宋体"/>
      <w:kern w:val="2"/>
      <w:sz w:val="28"/>
    </w:rPr>
  </w:style>
  <w:style w:type="paragraph" w:customStyle="1" w:styleId="4f0">
    <w:name w:val="表小4"/>
    <w:basedOn w:val="a6"/>
    <w:link w:val="4Char2"/>
    <w:qFormat/>
    <w:pPr>
      <w:tabs>
        <w:tab w:val="left" w:pos="0"/>
        <w:tab w:val="left" w:pos="2619"/>
      </w:tabs>
      <w:adjustRightInd w:val="0"/>
      <w:spacing w:line="0" w:lineRule="atLeast"/>
      <w:jc w:val="center"/>
    </w:pPr>
    <w:rPr>
      <w:rFonts w:ascii="宋体" w:hAnsi="宋体"/>
      <w:sz w:val="28"/>
      <w:szCs w:val="20"/>
    </w:rPr>
  </w:style>
  <w:style w:type="character" w:customStyle="1" w:styleId="2Charf0">
    <w:name w:val="分目录2 Char"/>
    <w:link w:val="2ff8"/>
    <w:qFormat/>
    <w:rPr>
      <w:sz w:val="24"/>
    </w:rPr>
  </w:style>
  <w:style w:type="paragraph" w:customStyle="1" w:styleId="2ff8">
    <w:name w:val="分目录2"/>
    <w:basedOn w:val="1f2"/>
    <w:link w:val="2Charf0"/>
    <w:qFormat/>
    <w:pPr>
      <w:ind w:firstLineChars="200" w:firstLine="480"/>
    </w:pPr>
    <w:rPr>
      <w:sz w:val="24"/>
    </w:rPr>
  </w:style>
  <w:style w:type="character" w:customStyle="1" w:styleId="2ff9">
    <w:name w:val="条标题2"/>
    <w:qFormat/>
    <w:rPr>
      <w:rFonts w:ascii="宋体" w:eastAsia="宋体" w:hAnsi="宋体"/>
      <w:b/>
      <w:bCs/>
      <w:color w:val="000000"/>
      <w:sz w:val="28"/>
      <w:szCs w:val="24"/>
      <w:lang w:val="en-US" w:eastAsia="zh-CN" w:bidi="ar-SA"/>
    </w:rPr>
  </w:style>
  <w:style w:type="character" w:customStyle="1" w:styleId="Charffffffff2">
    <w:name w:val="样式 兴化美联正文样式 + 自动设置 Char"/>
    <w:link w:val="affffffffffff7"/>
    <w:qFormat/>
    <w:rPr>
      <w:rFonts w:ascii="宋体" w:hAnsi="宋体"/>
      <w:sz w:val="24"/>
      <w:szCs w:val="24"/>
    </w:rPr>
  </w:style>
  <w:style w:type="paragraph" w:customStyle="1" w:styleId="affffffffffff7">
    <w:name w:val="样式 兴化美联正文样式 + 自动设置"/>
    <w:basedOn w:val="a6"/>
    <w:link w:val="Charffffffff2"/>
    <w:qFormat/>
    <w:pPr>
      <w:widowControl/>
      <w:spacing w:line="360" w:lineRule="auto"/>
      <w:ind w:firstLineChars="200" w:firstLine="480"/>
      <w:jc w:val="left"/>
    </w:pPr>
    <w:rPr>
      <w:rFonts w:ascii="宋体" w:hAnsi="宋体"/>
      <w:kern w:val="0"/>
      <w:sz w:val="24"/>
    </w:rPr>
  </w:style>
  <w:style w:type="character" w:customStyle="1" w:styleId="CharCharfffc">
    <w:name w:val="表、图名宋旭峰 Char Char"/>
    <w:link w:val="affffffffffff8"/>
    <w:qFormat/>
    <w:rPr>
      <w:rFonts w:ascii="黑体" w:eastAsia="黑体" w:hAnsi="宋体"/>
      <w:sz w:val="21"/>
      <w:szCs w:val="21"/>
    </w:rPr>
  </w:style>
  <w:style w:type="paragraph" w:customStyle="1" w:styleId="affffffffffff8">
    <w:name w:val="表、图名宋旭峰"/>
    <w:basedOn w:val="a6"/>
    <w:link w:val="CharCharfffc"/>
    <w:qFormat/>
    <w:pPr>
      <w:tabs>
        <w:tab w:val="left" w:pos="2178"/>
      </w:tabs>
      <w:spacing w:line="420" w:lineRule="exact"/>
      <w:ind w:firstLineChars="200" w:firstLine="420"/>
    </w:pPr>
    <w:rPr>
      <w:rFonts w:ascii="黑体" w:eastAsia="黑体" w:hAnsi="宋体"/>
      <w:kern w:val="0"/>
      <w:szCs w:val="21"/>
    </w:rPr>
  </w:style>
  <w:style w:type="character" w:customStyle="1" w:styleId="2CharChar40">
    <w:name w:val="标题 2 Char Char4"/>
    <w:qFormat/>
    <w:rPr>
      <w:rFonts w:eastAsia="宋体"/>
      <w:b/>
      <w:kern w:val="2"/>
      <w:sz w:val="28"/>
      <w:lang w:val="en-US" w:eastAsia="zh-CN" w:bidi="ar-SA"/>
    </w:rPr>
  </w:style>
  <w:style w:type="character" w:customStyle="1" w:styleId="01CharChar3">
    <w:name w:val="正文01 Char Char"/>
    <w:link w:val="011"/>
    <w:qFormat/>
    <w:rPr>
      <w:kern w:val="2"/>
      <w:sz w:val="24"/>
    </w:rPr>
  </w:style>
  <w:style w:type="paragraph" w:customStyle="1" w:styleId="011">
    <w:name w:val="正文01"/>
    <w:basedOn w:val="a6"/>
    <w:link w:val="01CharChar3"/>
    <w:qFormat/>
    <w:pPr>
      <w:spacing w:before="60" w:line="460" w:lineRule="exact"/>
      <w:ind w:firstLineChars="200" w:firstLine="200"/>
    </w:pPr>
    <w:rPr>
      <w:sz w:val="24"/>
      <w:szCs w:val="20"/>
    </w:rPr>
  </w:style>
  <w:style w:type="character" w:customStyle="1" w:styleId="1ffa">
    <w:name w:val="页码1"/>
    <w:qFormat/>
    <w:rPr>
      <w:rFonts w:cs="Times New Roman"/>
    </w:rPr>
  </w:style>
  <w:style w:type="character" w:customStyle="1" w:styleId="dan7-1CharCharChar">
    <w:name w:val="dan7-1 Char Char Char"/>
    <w:qFormat/>
    <w:rPr>
      <w:rFonts w:eastAsia="宋体"/>
      <w:kern w:val="2"/>
      <w:sz w:val="24"/>
      <w:szCs w:val="24"/>
      <w:lang w:val="en-US" w:eastAsia="zh-CN" w:bidi="ar-SA"/>
    </w:rPr>
  </w:style>
  <w:style w:type="character" w:customStyle="1" w:styleId="gray1">
    <w:name w:val="gray1"/>
    <w:qFormat/>
    <w:rPr>
      <w:b/>
      <w:color w:val="636563"/>
      <w:sz w:val="21"/>
      <w:u w:val="none"/>
    </w:rPr>
  </w:style>
  <w:style w:type="character" w:customStyle="1" w:styleId="CharAttribute12">
    <w:name w:val="CharAttribute12"/>
    <w:qFormat/>
    <w:rPr>
      <w:rFonts w:ascii="Times New Roman" w:eastAsia="Times New Roman" w:hAnsi="Times New Roman"/>
      <w:b/>
      <w:sz w:val="24"/>
    </w:rPr>
  </w:style>
  <w:style w:type="character" w:customStyle="1" w:styleId="XChar">
    <w:name w:val="正文X Char"/>
    <w:link w:val="X"/>
    <w:qFormat/>
    <w:rPr>
      <w:rFonts w:ascii="Arial" w:hAnsi="Arial" w:cs="Arial"/>
      <w:color w:val="000000"/>
      <w:sz w:val="24"/>
    </w:rPr>
  </w:style>
  <w:style w:type="paragraph" w:customStyle="1" w:styleId="X">
    <w:name w:val="正文X"/>
    <w:basedOn w:val="a6"/>
    <w:link w:val="XChar"/>
    <w:qFormat/>
    <w:pPr>
      <w:adjustRightInd w:val="0"/>
      <w:snapToGrid w:val="0"/>
      <w:spacing w:before="100" w:beforeAutospacing="1" w:after="100" w:afterAutospacing="1" w:line="440" w:lineRule="exact"/>
    </w:pPr>
    <w:rPr>
      <w:rFonts w:ascii="Arial" w:hAnsi="Arial"/>
      <w:color w:val="000000"/>
      <w:kern w:val="0"/>
      <w:sz w:val="24"/>
      <w:szCs w:val="20"/>
    </w:rPr>
  </w:style>
  <w:style w:type="character" w:customStyle="1" w:styleId="2ffa">
    <w:name w:val="标题2"/>
    <w:qFormat/>
  </w:style>
  <w:style w:type="character" w:customStyle="1" w:styleId="Charffffffff3">
    <w:name w:val="格式正 Char"/>
    <w:link w:val="affffffffffff9"/>
    <w:qFormat/>
    <w:rPr>
      <w:rFonts w:ascii="宋体" w:hAnsi="宋体"/>
      <w:kern w:val="2"/>
      <w:sz w:val="24"/>
      <w:szCs w:val="24"/>
    </w:rPr>
  </w:style>
  <w:style w:type="paragraph" w:customStyle="1" w:styleId="affffffffffff9">
    <w:name w:val="格式正"/>
    <w:basedOn w:val="af8"/>
    <w:link w:val="Charffffffff3"/>
    <w:qFormat/>
    <w:pPr>
      <w:spacing w:beforeLines="50" w:after="0" w:line="360" w:lineRule="auto"/>
    </w:pPr>
    <w:rPr>
      <w:rFonts w:ascii="宋体" w:hAnsi="宋体"/>
      <w:sz w:val="24"/>
    </w:rPr>
  </w:style>
  <w:style w:type="character" w:customStyle="1" w:styleId="EmailStyle578">
    <w:name w:val="EmailStyle578"/>
    <w:qFormat/>
    <w:rPr>
      <w:rFonts w:ascii="Arial" w:eastAsia="宋体" w:hAnsi="Arial" w:cs="Arial"/>
      <w:color w:val="auto"/>
      <w:sz w:val="20"/>
    </w:rPr>
  </w:style>
  <w:style w:type="character" w:customStyle="1" w:styleId="blacktitle">
    <w:name w:val="black_title"/>
    <w:qFormat/>
  </w:style>
  <w:style w:type="character" w:customStyle="1" w:styleId="Char1ff3">
    <w:name w:val="表文字 Char1"/>
    <w:qFormat/>
    <w:rPr>
      <w:rFonts w:eastAsia="汉鼎简书宋"/>
      <w:kern w:val="2"/>
      <w:sz w:val="21"/>
      <w:szCs w:val="21"/>
      <w:lang w:val="en-US" w:eastAsia="zh-CN" w:bidi="ar-SA"/>
    </w:rPr>
  </w:style>
  <w:style w:type="character" w:customStyle="1" w:styleId="ttag">
    <w:name w:val="t_tag"/>
    <w:qFormat/>
  </w:style>
  <w:style w:type="character" w:customStyle="1" w:styleId="CharCharCharChar7">
    <w:name w:val="报告正文 Char Char Char Char"/>
    <w:qFormat/>
    <w:rPr>
      <w:rFonts w:eastAsia="宋体"/>
      <w:kern w:val="2"/>
      <w:sz w:val="28"/>
      <w:szCs w:val="28"/>
      <w:lang w:val="en-US" w:eastAsia="zh-CN" w:bidi="ar-SA"/>
    </w:rPr>
  </w:style>
  <w:style w:type="character" w:customStyle="1" w:styleId="CharCharfffd">
    <w:name w:val="日期 Char Char"/>
    <w:qFormat/>
    <w:rPr>
      <w:kern w:val="2"/>
      <w:sz w:val="21"/>
      <w:szCs w:val="24"/>
    </w:rPr>
  </w:style>
  <w:style w:type="character" w:customStyle="1" w:styleId="CharCharCharf7">
    <w:name w:val="图表题 Char Char Char"/>
    <w:qFormat/>
    <w:rPr>
      <w:rFonts w:ascii="黑体" w:eastAsia="黑体" w:hAnsi="宋体" w:cs="宋体"/>
      <w:b/>
      <w:bCs/>
      <w:kern w:val="2"/>
      <w:sz w:val="24"/>
      <w:szCs w:val="24"/>
      <w:lang w:val="en-US" w:eastAsia="zh-CN" w:bidi="ar-SA"/>
    </w:rPr>
  </w:style>
  <w:style w:type="character" w:customStyle="1" w:styleId="Charffffffff4">
    <w:name w:val="表格内文字 Char"/>
    <w:qFormat/>
    <w:rPr>
      <w:rFonts w:eastAsia="仿宋_GB2312"/>
      <w:kern w:val="2"/>
      <w:sz w:val="24"/>
      <w:szCs w:val="24"/>
      <w:lang w:bidi="ar-SA"/>
    </w:rPr>
  </w:style>
  <w:style w:type="character" w:customStyle="1" w:styleId="title41">
    <w:name w:val="title41"/>
    <w:qFormat/>
    <w:rPr>
      <w:rFonts w:ascii="宋体" w:eastAsia="宋体" w:hAnsi="宋体" w:hint="eastAsia"/>
      <w:color w:val="194F95"/>
      <w:sz w:val="23"/>
      <w:szCs w:val="23"/>
    </w:rPr>
  </w:style>
  <w:style w:type="character" w:customStyle="1" w:styleId="headline-content2">
    <w:name w:val="headline-content2"/>
    <w:qFormat/>
  </w:style>
  <w:style w:type="character" w:customStyle="1" w:styleId="CharCharfffe">
    <w:name w:val="小标 Char Char"/>
    <w:qFormat/>
    <w:rPr>
      <w:rFonts w:ascii="黑体" w:eastAsia="黑体" w:hAnsi="Courier New"/>
      <w:b/>
      <w:kern w:val="2"/>
      <w:sz w:val="28"/>
      <w:szCs w:val="28"/>
      <w:lang w:val="en-US" w:eastAsia="zh-CN" w:bidi="ar-SA"/>
    </w:rPr>
  </w:style>
  <w:style w:type="character" w:customStyle="1" w:styleId="8Char5">
    <w:name w:val="标题8 Char5"/>
    <w:qFormat/>
    <w:rPr>
      <w:rFonts w:eastAsia="宋体"/>
      <w:bCs/>
      <w:snapToGrid/>
      <w:kern w:val="2"/>
      <w:sz w:val="24"/>
      <w:szCs w:val="24"/>
      <w:lang w:val="en-US" w:eastAsia="zh-CN" w:bidi="ar-SA"/>
    </w:rPr>
  </w:style>
  <w:style w:type="character" w:customStyle="1" w:styleId="2CharChar7">
    <w:name w:val="正文首行缩进 2 Char Char"/>
    <w:uiPriority w:val="99"/>
    <w:qFormat/>
    <w:rPr>
      <w:rFonts w:eastAsia="宋体"/>
      <w:kern w:val="2"/>
      <w:sz w:val="21"/>
      <w:szCs w:val="24"/>
      <w:lang w:val="en-US" w:eastAsia="zh-CN" w:bidi="ar-SA"/>
    </w:rPr>
  </w:style>
  <w:style w:type="character" w:customStyle="1" w:styleId="4-25Char">
    <w:name w:val="4-25正 Char"/>
    <w:link w:val="4-25"/>
    <w:qFormat/>
    <w:rPr>
      <w:sz w:val="24"/>
    </w:rPr>
  </w:style>
  <w:style w:type="paragraph" w:customStyle="1" w:styleId="4-25">
    <w:name w:val="4-25正"/>
    <w:basedOn w:val="a6"/>
    <w:link w:val="4-25Char"/>
    <w:qFormat/>
    <w:pPr>
      <w:widowControl/>
      <w:spacing w:before="40" w:after="40" w:line="360" w:lineRule="auto"/>
      <w:ind w:firstLineChars="200" w:firstLine="480"/>
    </w:pPr>
    <w:rPr>
      <w:kern w:val="0"/>
      <w:sz w:val="24"/>
      <w:szCs w:val="20"/>
    </w:rPr>
  </w:style>
  <w:style w:type="character" w:customStyle="1" w:styleId="hp2Char">
    <w:name w:val="hp2 Char"/>
    <w:qFormat/>
    <w:rPr>
      <w:rFonts w:ascii="宋体" w:eastAsia="黑体" w:hAnsi="宋体" w:cs="宋体"/>
      <w:b/>
      <w:bCs/>
      <w:kern w:val="2"/>
      <w:sz w:val="32"/>
      <w:lang w:val="en-US" w:eastAsia="zh-CN" w:bidi="ar-SA"/>
    </w:rPr>
  </w:style>
  <w:style w:type="character" w:customStyle="1" w:styleId="Charffffffff5">
    <w:name w:val="表内 Char"/>
    <w:qFormat/>
    <w:rPr>
      <w:rFonts w:ascii="宋体" w:eastAsia="宋体" w:hAnsi="Courier New"/>
      <w:color w:val="000000"/>
      <w:kern w:val="2"/>
      <w:sz w:val="28"/>
      <w:lang w:val="en-US" w:eastAsia="zh-CN" w:bidi="ar-SA"/>
    </w:rPr>
  </w:style>
  <w:style w:type="character" w:customStyle="1" w:styleId="2Charf1">
    <w:name w:val="正文(首行缩进2字） Char"/>
    <w:link w:val="2ffb"/>
    <w:qFormat/>
    <w:rPr>
      <w:rFonts w:ascii="Arial" w:hAnsi="Arial"/>
      <w:sz w:val="24"/>
      <w:szCs w:val="24"/>
    </w:rPr>
  </w:style>
  <w:style w:type="paragraph" w:customStyle="1" w:styleId="2ffb">
    <w:name w:val="正文(首行缩进2字）"/>
    <w:basedOn w:val="a6"/>
    <w:link w:val="2Charf1"/>
    <w:qFormat/>
    <w:pPr>
      <w:spacing w:line="480" w:lineRule="exact"/>
      <w:ind w:firstLineChars="200" w:firstLine="200"/>
    </w:pPr>
    <w:rPr>
      <w:rFonts w:ascii="Arial" w:hAnsi="Arial"/>
      <w:kern w:val="0"/>
      <w:sz w:val="24"/>
    </w:rPr>
  </w:style>
  <w:style w:type="character" w:customStyle="1" w:styleId="CharCharCharChar8">
    <w:name w:val="一标题 Char Char Char Char"/>
    <w:qFormat/>
    <w:rPr>
      <w:rFonts w:eastAsia="宋体"/>
      <w:sz w:val="28"/>
    </w:rPr>
  </w:style>
  <w:style w:type="character" w:customStyle="1" w:styleId="22Char1">
    <w:name w:val="样式 题注 + 首行缩进:  2 字符2 Char"/>
    <w:qFormat/>
    <w:rPr>
      <w:rFonts w:ascii="黑体" w:eastAsia="黑体" w:hAnsi="宋体" w:cs="宋体"/>
      <w:color w:val="000000"/>
      <w:kern w:val="2"/>
      <w:sz w:val="24"/>
      <w:szCs w:val="28"/>
    </w:rPr>
  </w:style>
  <w:style w:type="character" w:customStyle="1" w:styleId="Charffffffff6">
    <w:name w:val="正本文字 Char"/>
    <w:link w:val="affffffffffffa"/>
    <w:qFormat/>
    <w:locked/>
    <w:rPr>
      <w:rFonts w:ascii="宋体" w:hAnsi="宋体" w:cs="宋体"/>
      <w:kern w:val="18"/>
      <w:sz w:val="24"/>
    </w:rPr>
  </w:style>
  <w:style w:type="paragraph" w:customStyle="1" w:styleId="affffffffffffa">
    <w:name w:val="正本文字"/>
    <w:basedOn w:val="a6"/>
    <w:link w:val="Charffffffff6"/>
    <w:qFormat/>
    <w:pPr>
      <w:adjustRightInd w:val="0"/>
      <w:snapToGrid w:val="0"/>
      <w:spacing w:line="360" w:lineRule="auto"/>
      <w:ind w:firstLineChars="200" w:firstLine="480"/>
      <w:jc w:val="left"/>
    </w:pPr>
    <w:rPr>
      <w:rFonts w:ascii="宋体" w:hAnsi="宋体"/>
      <w:kern w:val="18"/>
      <w:sz w:val="24"/>
      <w:szCs w:val="20"/>
    </w:rPr>
  </w:style>
  <w:style w:type="character" w:customStyle="1" w:styleId="CharChar51">
    <w:name w:val="Char Char51"/>
    <w:qFormat/>
    <w:rPr>
      <w:rFonts w:ascii="宋体" w:eastAsia="宋体" w:hAnsi="Courier New"/>
      <w:kern w:val="2"/>
      <w:sz w:val="21"/>
      <w:szCs w:val="24"/>
      <w:lang w:val="en-US" w:eastAsia="zh-CN" w:bidi="ar-SA"/>
    </w:rPr>
  </w:style>
  <w:style w:type="character" w:customStyle="1" w:styleId="CharCharffff">
    <w:name w:val="表字居中 Char Char"/>
    <w:qFormat/>
    <w:rPr>
      <w:spacing w:val="-4"/>
      <w:sz w:val="21"/>
      <w:szCs w:val="21"/>
    </w:rPr>
  </w:style>
  <w:style w:type="character" w:customStyle="1" w:styleId="Charffffffff7">
    <w:name w:val="中文报告书样式 Char"/>
    <w:qFormat/>
    <w:rPr>
      <w:rFonts w:ascii="宋体" w:eastAsia="宋体" w:hAnsi="宋体"/>
      <w:snapToGrid w:val="0"/>
      <w:sz w:val="24"/>
      <w:szCs w:val="24"/>
      <w:lang w:val="en-US" w:eastAsia="zh-CN" w:bidi="ar-SA"/>
    </w:rPr>
  </w:style>
  <w:style w:type="character" w:customStyle="1" w:styleId="1CharCharChar2">
    <w:name w:val="分目录1 Char Char Char"/>
    <w:qFormat/>
    <w:rPr>
      <w:rFonts w:eastAsia="宋体"/>
      <w:snapToGrid/>
      <w:sz w:val="28"/>
    </w:rPr>
  </w:style>
  <w:style w:type="character" w:customStyle="1" w:styleId="1CharCharChar3">
    <w:name w:val="1) Char Char Char"/>
    <w:qFormat/>
  </w:style>
  <w:style w:type="character" w:customStyle="1" w:styleId="EmailStyle554">
    <w:name w:val="EmailStyle554"/>
    <w:qFormat/>
    <w:rPr>
      <w:rFonts w:ascii="Arial" w:eastAsia="宋体" w:hAnsi="Arial" w:cs="Arial"/>
      <w:color w:val="auto"/>
      <w:sz w:val="20"/>
    </w:rPr>
  </w:style>
  <w:style w:type="character" w:customStyle="1" w:styleId="003Char">
    <w:name w:val="标题003 Char"/>
    <w:link w:val="003"/>
    <w:qFormat/>
    <w:rPr>
      <w:rFonts w:ascii="宋体" w:eastAsia="楷体_GB2312" w:hAnsi="Monospac821 BT"/>
      <w:b/>
      <w:bCs/>
      <w:color w:val="000000"/>
      <w:kern w:val="2"/>
      <w:sz w:val="28"/>
      <w:szCs w:val="24"/>
    </w:rPr>
  </w:style>
  <w:style w:type="paragraph" w:customStyle="1" w:styleId="003">
    <w:name w:val="标题003"/>
    <w:basedOn w:val="33"/>
    <w:link w:val="003Char"/>
    <w:qFormat/>
    <w:pPr>
      <w:tabs>
        <w:tab w:val="left" w:pos="709"/>
      </w:tabs>
      <w:adjustRightInd w:val="0"/>
      <w:snapToGrid w:val="0"/>
      <w:spacing w:line="360" w:lineRule="auto"/>
      <w:ind w:firstLineChars="200" w:firstLine="562"/>
    </w:pPr>
    <w:rPr>
      <w:rFonts w:ascii="宋体" w:eastAsia="楷体_GB2312" w:hAnsi="Monospac821 BT"/>
      <w:b/>
      <w:bCs/>
      <w:color w:val="000000"/>
      <w:spacing w:val="0"/>
      <w:szCs w:val="24"/>
    </w:rPr>
  </w:style>
  <w:style w:type="character" w:customStyle="1" w:styleId="-Char3">
    <w:name w:val="表格内容-居中 Char"/>
    <w:link w:val="-6"/>
    <w:qFormat/>
    <w:rPr>
      <w:kern w:val="2"/>
      <w:sz w:val="21"/>
      <w:szCs w:val="24"/>
    </w:rPr>
  </w:style>
  <w:style w:type="paragraph" w:customStyle="1" w:styleId="-6">
    <w:name w:val="表格内容-居中"/>
    <w:basedOn w:val="-0"/>
    <w:link w:val="-Char3"/>
    <w:qFormat/>
    <w:pPr>
      <w:jc w:val="center"/>
    </w:pPr>
    <w:rPr>
      <w:kern w:val="2"/>
      <w:szCs w:val="24"/>
    </w:rPr>
  </w:style>
  <w:style w:type="character" w:customStyle="1" w:styleId="Charffffffff8">
    <w:name w:val="表文字 Char"/>
    <w:qFormat/>
    <w:rPr>
      <w:rFonts w:ascii="Arial" w:hAnsi="Arial"/>
      <w:sz w:val="21"/>
      <w:lang w:val="en-US" w:eastAsia="zh-CN" w:bidi="ar-SA"/>
    </w:rPr>
  </w:style>
  <w:style w:type="character" w:customStyle="1" w:styleId="CharCharffff0">
    <w:name w:val="正文小四 Char Char"/>
    <w:link w:val="affffffffffffb"/>
    <w:qFormat/>
    <w:rPr>
      <w:kern w:val="2"/>
      <w:sz w:val="24"/>
    </w:rPr>
  </w:style>
  <w:style w:type="paragraph" w:customStyle="1" w:styleId="affffffffffffb">
    <w:name w:val="正文小四"/>
    <w:basedOn w:val="a6"/>
    <w:link w:val="CharCharffff0"/>
    <w:qFormat/>
    <w:pPr>
      <w:spacing w:line="360" w:lineRule="auto"/>
    </w:pPr>
    <w:rPr>
      <w:sz w:val="24"/>
      <w:szCs w:val="20"/>
    </w:rPr>
  </w:style>
  <w:style w:type="character" w:customStyle="1" w:styleId="CharAttribute17">
    <w:name w:val="CharAttribute17"/>
    <w:qFormat/>
    <w:rPr>
      <w:rFonts w:ascii="Times New Roman" w:eastAsia="Times New Roman" w:hAnsi="Times New Roman"/>
      <w:b/>
      <w:sz w:val="21"/>
    </w:rPr>
  </w:style>
  <w:style w:type="character" w:customStyle="1" w:styleId="KY-Char">
    <w:name w:val="KY-正文 Char"/>
    <w:link w:val="KY-"/>
    <w:uiPriority w:val="99"/>
    <w:qFormat/>
    <w:locked/>
    <w:rPr>
      <w:kern w:val="2"/>
      <w:sz w:val="28"/>
    </w:rPr>
  </w:style>
  <w:style w:type="paragraph" w:customStyle="1" w:styleId="KY-">
    <w:name w:val="KY-正文"/>
    <w:basedOn w:val="a6"/>
    <w:link w:val="KY-Char"/>
    <w:uiPriority w:val="99"/>
    <w:qFormat/>
    <w:pPr>
      <w:spacing w:line="360" w:lineRule="auto"/>
      <w:ind w:firstLineChars="200" w:firstLine="200"/>
    </w:pPr>
    <w:rPr>
      <w:sz w:val="28"/>
      <w:szCs w:val="20"/>
    </w:rPr>
  </w:style>
  <w:style w:type="character" w:customStyle="1" w:styleId="CharCharCharCharCharCharCharChar">
    <w:name w:val="正文(首行缩进) Char Char Char Char Char Char Char Char"/>
    <w:qFormat/>
    <w:rPr>
      <w:rFonts w:ascii="宋体" w:eastAsia="宋体" w:hAnsi="宋体" w:cs="宋体"/>
      <w:color w:val="000000"/>
      <w:kern w:val="0"/>
      <w:sz w:val="24"/>
      <w:szCs w:val="24"/>
    </w:rPr>
  </w:style>
  <w:style w:type="character" w:customStyle="1" w:styleId="Charffffffff9">
    <w:name w:val="正文使用缩进 Char"/>
    <w:link w:val="affffffffffffc"/>
    <w:qFormat/>
    <w:rPr>
      <w:rFonts w:hAnsi="宋体"/>
      <w:color w:val="000000"/>
      <w:sz w:val="28"/>
      <w:szCs w:val="28"/>
    </w:rPr>
  </w:style>
  <w:style w:type="paragraph" w:customStyle="1" w:styleId="affffffffffffc">
    <w:name w:val="正文使用缩进"/>
    <w:basedOn w:val="a6"/>
    <w:link w:val="Charffffffff9"/>
    <w:qFormat/>
    <w:pPr>
      <w:widowControl/>
      <w:adjustRightInd w:val="0"/>
      <w:spacing w:line="360" w:lineRule="auto"/>
      <w:ind w:firstLine="480"/>
      <w:jc w:val="left"/>
      <w:textAlignment w:val="baseline"/>
    </w:pPr>
    <w:rPr>
      <w:rFonts w:hAnsi="宋体"/>
      <w:color w:val="000000"/>
      <w:kern w:val="0"/>
      <w:sz w:val="28"/>
      <w:szCs w:val="28"/>
    </w:rPr>
  </w:style>
  <w:style w:type="character" w:customStyle="1" w:styleId="text">
    <w:name w:val="text"/>
    <w:qFormat/>
  </w:style>
  <w:style w:type="character" w:customStyle="1" w:styleId="3CharChar10">
    <w:name w:val="正文文字缩进 3 Char Char1"/>
    <w:qFormat/>
    <w:rPr>
      <w:rFonts w:eastAsia="宋体"/>
      <w:color w:val="000000"/>
      <w:kern w:val="2"/>
      <w:sz w:val="24"/>
      <w:szCs w:val="24"/>
      <w:lang w:val="en-US" w:eastAsia="zh-CN" w:bidi="ar-SA"/>
    </w:rPr>
  </w:style>
  <w:style w:type="character" w:customStyle="1" w:styleId="CharCharCharf8">
    <w:name w:val="正文(首行缩进)宋旭峰 Char Char Char"/>
    <w:qFormat/>
    <w:rPr>
      <w:rFonts w:eastAsia="宋体" w:cs="TimesNewRomanPSMT"/>
      <w:snapToGrid/>
      <w:sz w:val="24"/>
      <w:szCs w:val="24"/>
      <w:lang w:val="en-US" w:eastAsia="zh-CN" w:bidi="ar-SA"/>
    </w:rPr>
  </w:style>
  <w:style w:type="character" w:customStyle="1" w:styleId="FontStyle348">
    <w:name w:val="Font Style348"/>
    <w:qFormat/>
    <w:rPr>
      <w:rFonts w:ascii="宋体" w:eastAsia="宋体" w:cs="宋体"/>
      <w:sz w:val="14"/>
      <w:szCs w:val="14"/>
    </w:rPr>
  </w:style>
  <w:style w:type="character" w:customStyle="1" w:styleId="CharChar71">
    <w:name w:val="Char Char71"/>
    <w:qFormat/>
    <w:rPr>
      <w:kern w:val="2"/>
      <w:sz w:val="18"/>
    </w:rPr>
  </w:style>
  <w:style w:type="character" w:customStyle="1" w:styleId="CharChar151">
    <w:name w:val="Char Char151"/>
    <w:qFormat/>
    <w:rPr>
      <w:kern w:val="2"/>
      <w:sz w:val="21"/>
    </w:rPr>
  </w:style>
  <w:style w:type="character" w:customStyle="1" w:styleId="26CharCharCharCharChar">
    <w:name w:val="样式 (符号) 宋体 小四 行距: 固定值 26 磅 Char Char Char Char Char"/>
    <w:qFormat/>
    <w:rPr>
      <w:rFonts w:eastAsia="宋体" w:hAnsi="宋体" w:cs="宋体"/>
      <w:color w:val="000000"/>
      <w:kern w:val="2"/>
      <w:sz w:val="28"/>
      <w:szCs w:val="28"/>
      <w:lang w:val="en-US" w:eastAsia="zh-CN" w:bidi="ar-SA"/>
    </w:rPr>
  </w:style>
  <w:style w:type="character" w:customStyle="1" w:styleId="CharCharffff1">
    <w:name w:val="表名格式 Char Char"/>
    <w:qFormat/>
    <w:rPr>
      <w:rFonts w:ascii="Arial" w:hAnsi="Arial"/>
      <w:color w:val="000000"/>
      <w:kern w:val="2"/>
      <w:sz w:val="21"/>
      <w:szCs w:val="21"/>
    </w:rPr>
  </w:style>
  <w:style w:type="character" w:customStyle="1" w:styleId="5CharCharChar1">
    <w:name w:val="5级正文 Char Char Char"/>
    <w:qFormat/>
    <w:rPr>
      <w:rFonts w:eastAsia="宋体"/>
      <w:b/>
      <w:kern w:val="2"/>
      <w:sz w:val="24"/>
      <w:szCs w:val="24"/>
      <w:lang w:val="en-US" w:eastAsia="zh-CN" w:bidi="ar-SA"/>
    </w:rPr>
  </w:style>
  <w:style w:type="character" w:customStyle="1" w:styleId="ArialGB23121Char">
    <w:name w:val="样式 (西文) Arial (中文) 楷体_GB2312 四号1 Char"/>
    <w:link w:val="ArialGB23121"/>
    <w:qFormat/>
    <w:rPr>
      <w:rFonts w:hAnsi="宋体" w:cs="Arial"/>
      <w:sz w:val="28"/>
      <w:szCs w:val="28"/>
    </w:rPr>
  </w:style>
  <w:style w:type="paragraph" w:customStyle="1" w:styleId="ArialGB23121">
    <w:name w:val="样式 (西文) Arial (中文) 楷体_GB2312 四号1"/>
    <w:basedOn w:val="a6"/>
    <w:link w:val="ArialGB23121Char"/>
    <w:qFormat/>
    <w:pPr>
      <w:spacing w:line="360" w:lineRule="auto"/>
    </w:pPr>
    <w:rPr>
      <w:rFonts w:hAnsi="宋体"/>
      <w:kern w:val="0"/>
      <w:sz w:val="28"/>
      <w:szCs w:val="28"/>
    </w:rPr>
  </w:style>
  <w:style w:type="character" w:customStyle="1" w:styleId="z-Char3">
    <w:name w:val="z-窗体底端 Char3"/>
    <w:qFormat/>
    <w:rPr>
      <w:rFonts w:ascii="Arial" w:hAnsi="Arial" w:cs="Arial"/>
      <w:vanish/>
      <w:kern w:val="2"/>
      <w:sz w:val="16"/>
      <w:szCs w:val="16"/>
    </w:rPr>
  </w:style>
  <w:style w:type="character" w:customStyle="1" w:styleId="HTML16">
    <w:name w:val="HTML 变量1"/>
    <w:qFormat/>
    <w:rPr>
      <w:rFonts w:ascii="宋体" w:eastAsia="宋体" w:hAnsi="宋体" w:cs="Courier New"/>
      <w:i/>
      <w:iCs/>
      <w:kern w:val="2"/>
      <w:sz w:val="32"/>
      <w:szCs w:val="32"/>
      <w:lang w:val="en-US" w:eastAsia="zh-CN"/>
    </w:rPr>
  </w:style>
  <w:style w:type="character" w:customStyle="1" w:styleId="333Char">
    <w:name w:val="333 Char"/>
    <w:link w:val="333"/>
    <w:qFormat/>
    <w:rPr>
      <w:rFonts w:ascii="Arial" w:eastAsia="楷体_GB2312" w:hAnsi="Arial"/>
      <w:b/>
      <w:bCs/>
      <w:kern w:val="2"/>
      <w:sz w:val="28"/>
      <w:szCs w:val="21"/>
    </w:rPr>
  </w:style>
  <w:style w:type="paragraph" w:customStyle="1" w:styleId="333">
    <w:name w:val="333"/>
    <w:link w:val="333Char"/>
    <w:qFormat/>
    <w:pPr>
      <w:ind w:firstLineChars="50" w:firstLine="132"/>
    </w:pPr>
  </w:style>
  <w:style w:type="paragraph" w:customStyle="1" w:styleId="444">
    <w:name w:val="444"/>
    <w:basedOn w:val="afc"/>
    <w:link w:val="444Char"/>
    <w:qFormat/>
    <w:pPr>
      <w:spacing w:line="360" w:lineRule="auto"/>
      <w:ind w:firstLineChars="0" w:firstLine="0"/>
    </w:pPr>
    <w:rPr>
      <w:rFonts w:ascii="Arial" w:hAnsi="Arial"/>
      <w:b/>
      <w:bCs/>
      <w:color w:val="auto"/>
      <w:spacing w:val="0"/>
    </w:rPr>
  </w:style>
  <w:style w:type="character" w:customStyle="1" w:styleId="444Char">
    <w:name w:val="444 Char"/>
    <w:link w:val="444"/>
    <w:qFormat/>
    <w:rPr>
      <w:rFonts w:ascii="Arial" w:eastAsia="楷体_GB2312" w:hAnsi="Arial"/>
      <w:b/>
      <w:bCs/>
      <w:kern w:val="2"/>
      <w:sz w:val="28"/>
      <w:szCs w:val="21"/>
    </w:rPr>
  </w:style>
  <w:style w:type="character" w:customStyle="1" w:styleId="210Char">
    <w:name w:val="样式 样式 正文首行缩进 + 首行缩进:  2 字符1 + 左  0 字符 Char"/>
    <w:link w:val="2100"/>
    <w:qFormat/>
    <w:rPr>
      <w:rFonts w:ascii="宋体" w:hAnsi="宋体"/>
      <w:sz w:val="28"/>
    </w:rPr>
  </w:style>
  <w:style w:type="paragraph" w:customStyle="1" w:styleId="2100">
    <w:name w:val="样式 样式 正文首行缩进 + 首行缩进:  2 字符1 + 左  0 字符"/>
    <w:basedOn w:val="a6"/>
    <w:link w:val="210Char"/>
    <w:qFormat/>
    <w:pPr>
      <w:widowControl/>
      <w:tabs>
        <w:tab w:val="left" w:pos="0"/>
        <w:tab w:val="left" w:pos="1727"/>
        <w:tab w:val="left" w:pos="1884"/>
        <w:tab w:val="left" w:pos="2660"/>
        <w:tab w:val="left" w:pos="5460"/>
      </w:tabs>
      <w:adjustRightInd w:val="0"/>
      <w:snapToGrid w:val="0"/>
      <w:spacing w:line="360" w:lineRule="auto"/>
      <w:ind w:firstLineChars="200" w:firstLine="560"/>
      <w:jc w:val="left"/>
    </w:pPr>
    <w:rPr>
      <w:rFonts w:ascii="宋体" w:hAnsi="宋体"/>
      <w:kern w:val="0"/>
      <w:sz w:val="28"/>
      <w:szCs w:val="20"/>
    </w:rPr>
  </w:style>
  <w:style w:type="character" w:customStyle="1" w:styleId="CharChar22">
    <w:name w:val="Char Char2"/>
    <w:qFormat/>
    <w:rPr>
      <w:kern w:val="2"/>
      <w:sz w:val="21"/>
    </w:rPr>
  </w:style>
  <w:style w:type="character" w:customStyle="1" w:styleId="5Char12">
    <w:name w:val="样式5 Char1"/>
    <w:link w:val="5f"/>
    <w:qFormat/>
    <w:rPr>
      <w:spacing w:val="4"/>
      <w:sz w:val="18"/>
    </w:rPr>
  </w:style>
  <w:style w:type="paragraph" w:customStyle="1" w:styleId="5f">
    <w:name w:val="样式5"/>
    <w:basedOn w:val="a6"/>
    <w:link w:val="5Char12"/>
    <w:qFormat/>
    <w:pPr>
      <w:adjustRightInd w:val="0"/>
      <w:spacing w:line="320" w:lineRule="atLeast"/>
      <w:ind w:firstLine="482"/>
      <w:jc w:val="center"/>
      <w:textAlignment w:val="baseline"/>
    </w:pPr>
    <w:rPr>
      <w:spacing w:val="4"/>
      <w:kern w:val="0"/>
      <w:sz w:val="18"/>
      <w:szCs w:val="20"/>
    </w:rPr>
  </w:style>
  <w:style w:type="character" w:customStyle="1" w:styleId="03Char">
    <w:name w:val="03 Char"/>
    <w:qFormat/>
    <w:rPr>
      <w:rFonts w:ascii="宋体" w:eastAsia="宋体" w:hAnsi="Courier New"/>
      <w:kern w:val="2"/>
      <w:sz w:val="24"/>
      <w:szCs w:val="24"/>
      <w:lang w:val="en-US" w:eastAsia="zh-CN" w:bidi="ar-SA"/>
    </w:rPr>
  </w:style>
  <w:style w:type="character" w:customStyle="1" w:styleId="-1CharChar">
    <w:name w:val="正文-1 Char Char"/>
    <w:link w:val="-12"/>
    <w:qFormat/>
    <w:rPr>
      <w:rFonts w:ascii="宋体" w:hAnsi="宋体"/>
      <w:sz w:val="24"/>
      <w:szCs w:val="24"/>
      <w:shd w:val="clear" w:color="auto" w:fill="FFFFFF"/>
      <w:lang w:val="zh-CN"/>
    </w:rPr>
  </w:style>
  <w:style w:type="paragraph" w:customStyle="1" w:styleId="-12">
    <w:name w:val="正文-1"/>
    <w:basedOn w:val="a6"/>
    <w:link w:val="-1CharChar"/>
    <w:qFormat/>
    <w:pPr>
      <w:shd w:val="clear" w:color="auto" w:fill="FFFFFF"/>
      <w:spacing w:line="360" w:lineRule="auto"/>
      <w:ind w:firstLineChars="200" w:firstLine="200"/>
      <w:jc w:val="left"/>
    </w:pPr>
    <w:rPr>
      <w:rFonts w:ascii="宋体" w:hAnsi="宋体"/>
      <w:kern w:val="0"/>
      <w:sz w:val="24"/>
      <w:shd w:val="clear" w:color="auto" w:fill="FFFFFF"/>
      <w:lang w:val="zh-CN"/>
    </w:rPr>
  </w:style>
  <w:style w:type="character" w:customStyle="1" w:styleId="1Chard">
    <w:name w:val="样式 正文首行缩进 + 紧缩量  1 磅 Char"/>
    <w:qFormat/>
    <w:rPr>
      <w:rFonts w:ascii="宋体" w:eastAsia="宋体" w:hAnsi="宋体" w:cs="宋体"/>
      <w:spacing w:val="-20"/>
      <w:kern w:val="2"/>
      <w:sz w:val="28"/>
      <w:szCs w:val="28"/>
      <w:lang w:val="en-US" w:eastAsia="zh-CN"/>
    </w:rPr>
  </w:style>
  <w:style w:type="character" w:customStyle="1" w:styleId="CharAttribute0">
    <w:name w:val="CharAttribute0"/>
    <w:qFormat/>
    <w:rPr>
      <w:rFonts w:ascii="Arial" w:eastAsia="Arial" w:hAnsi="Arial"/>
      <w:sz w:val="19"/>
    </w:rPr>
  </w:style>
  <w:style w:type="character" w:customStyle="1" w:styleId="ca-2">
    <w:name w:val="ca-2"/>
    <w:qFormat/>
  </w:style>
  <w:style w:type="character" w:customStyle="1" w:styleId="CharChar102">
    <w:name w:val="Char Char102"/>
    <w:qFormat/>
    <w:rPr>
      <w:rFonts w:eastAsia="宋体"/>
      <w:kern w:val="2"/>
      <w:sz w:val="18"/>
      <w:szCs w:val="18"/>
      <w:lang w:val="en-US" w:eastAsia="zh-CN" w:bidi="ar-SA"/>
    </w:rPr>
  </w:style>
  <w:style w:type="character" w:customStyle="1" w:styleId="Char1ff4">
    <w:name w:val="签名 Char1"/>
    <w:uiPriority w:val="99"/>
    <w:qFormat/>
    <w:rPr>
      <w:kern w:val="2"/>
      <w:sz w:val="21"/>
      <w:szCs w:val="24"/>
    </w:rPr>
  </w:style>
  <w:style w:type="character" w:customStyle="1" w:styleId="CharCharffff2">
    <w:name w:val="正文文字缩进 Char Char"/>
    <w:qFormat/>
    <w:rPr>
      <w:rFonts w:ascii="宋体" w:eastAsia="宋体"/>
      <w:kern w:val="2"/>
      <w:sz w:val="24"/>
      <w:lang w:val="en-US" w:eastAsia="zh-CN" w:bidi="ar-SA"/>
    </w:rPr>
  </w:style>
  <w:style w:type="character" w:customStyle="1" w:styleId="EmailStyle5421">
    <w:name w:val="EmailStyle5421"/>
    <w:qFormat/>
    <w:rPr>
      <w:rFonts w:ascii="Arial" w:eastAsia="宋体" w:hAnsi="Arial" w:cs="Arial"/>
      <w:color w:val="auto"/>
      <w:sz w:val="20"/>
    </w:rPr>
  </w:style>
  <w:style w:type="character" w:customStyle="1" w:styleId="2Charf2">
    <w:name w:val="院基设2 Char"/>
    <w:link w:val="2ffc"/>
    <w:qFormat/>
    <w:rPr>
      <w:rFonts w:ascii="Arial" w:hAnsi="Arial" w:cs="Arial"/>
      <w:b/>
      <w:bCs/>
      <w:iCs/>
      <w:sz w:val="28"/>
      <w:szCs w:val="24"/>
      <w:lang w:bidi="en-US"/>
    </w:rPr>
  </w:style>
  <w:style w:type="paragraph" w:customStyle="1" w:styleId="2ffc">
    <w:name w:val="院基设2"/>
    <w:basedOn w:val="a6"/>
    <w:link w:val="2Charf2"/>
    <w:qFormat/>
    <w:pPr>
      <w:keepNext/>
      <w:widowControl/>
      <w:spacing w:line="360" w:lineRule="auto"/>
      <w:jc w:val="left"/>
      <w:outlineLvl w:val="1"/>
    </w:pPr>
    <w:rPr>
      <w:rFonts w:ascii="Arial" w:hAnsi="Arial" w:cs="Arial"/>
      <w:b/>
      <w:bCs/>
      <w:iCs/>
      <w:kern w:val="0"/>
      <w:sz w:val="28"/>
      <w:lang w:bidi="en-US"/>
    </w:rPr>
  </w:style>
  <w:style w:type="character" w:customStyle="1" w:styleId="5CharChar4">
    <w:name w:val="5 Char Char"/>
    <w:link w:val="5f0"/>
    <w:qFormat/>
    <w:rPr>
      <w:color w:val="000000"/>
      <w:sz w:val="18"/>
      <w:szCs w:val="18"/>
    </w:rPr>
  </w:style>
  <w:style w:type="paragraph" w:customStyle="1" w:styleId="5f0">
    <w:name w:val="5"/>
    <w:basedOn w:val="a6"/>
    <w:next w:val="afc"/>
    <w:link w:val="5CharChar4"/>
    <w:qFormat/>
    <w:pPr>
      <w:widowControl/>
      <w:adjustRightInd w:val="0"/>
      <w:spacing w:before="100" w:beforeAutospacing="1" w:after="100" w:afterAutospacing="1" w:line="312" w:lineRule="auto"/>
      <w:jc w:val="left"/>
      <w:textAlignment w:val="baseline"/>
    </w:pPr>
    <w:rPr>
      <w:color w:val="000000"/>
      <w:kern w:val="0"/>
      <w:sz w:val="18"/>
      <w:szCs w:val="18"/>
    </w:rPr>
  </w:style>
  <w:style w:type="character" w:customStyle="1" w:styleId="CharCharffff3">
    <w:name w:val="文本框小四 Char Char"/>
    <w:link w:val="affffffffffffd"/>
    <w:qFormat/>
    <w:rPr>
      <w:rFonts w:ascii="宋体" w:eastAsia="仿宋_GB2312" w:hAnsi="宋体" w:cs="Courier New"/>
      <w:kern w:val="2"/>
      <w:sz w:val="24"/>
      <w:szCs w:val="24"/>
    </w:rPr>
  </w:style>
  <w:style w:type="paragraph" w:customStyle="1" w:styleId="affffffffffffd">
    <w:name w:val="文本框小四"/>
    <w:basedOn w:val="a6"/>
    <w:link w:val="CharCharffff3"/>
    <w:qFormat/>
    <w:pPr>
      <w:jc w:val="center"/>
    </w:pPr>
    <w:rPr>
      <w:rFonts w:ascii="宋体" w:eastAsia="仿宋_GB2312" w:hAnsi="宋体"/>
      <w:sz w:val="24"/>
    </w:rPr>
  </w:style>
  <w:style w:type="character" w:customStyle="1" w:styleId="01CharChar4">
    <w:name w:val="表格标题01 Char Char"/>
    <w:qFormat/>
    <w:rPr>
      <w:rFonts w:ascii="Times New Roman" w:eastAsia="宋体" w:hAnsi="Times New Roman" w:cs="Times New Roman"/>
      <w:kern w:val="0"/>
      <w:sz w:val="28"/>
      <w:szCs w:val="20"/>
    </w:rPr>
  </w:style>
  <w:style w:type="character" w:customStyle="1" w:styleId="Char2f4">
    <w:name w:val="脚注文本 Char2"/>
    <w:qFormat/>
    <w:rPr>
      <w:kern w:val="2"/>
      <w:sz w:val="18"/>
      <w:szCs w:val="18"/>
    </w:rPr>
  </w:style>
  <w:style w:type="character" w:customStyle="1" w:styleId="Char2f5">
    <w:name w:val="纯文本 Char2"/>
    <w:qFormat/>
    <w:rPr>
      <w:rFonts w:ascii="宋体" w:eastAsia="宋体" w:hAnsi="宋体" w:cs="宋体"/>
      <w:spacing w:val="15"/>
      <w:sz w:val="18"/>
      <w:szCs w:val="18"/>
      <w:lang w:val="en-US" w:eastAsia="zh-CN" w:bidi="ar-SA"/>
    </w:rPr>
  </w:style>
  <w:style w:type="character" w:customStyle="1" w:styleId="Charffffffffa">
    <w:name w:val="投标文件正文 Char"/>
    <w:qFormat/>
    <w:rPr>
      <w:rFonts w:ascii="Arial" w:hAnsi="Arial"/>
      <w:iCs/>
      <w:color w:val="000000"/>
      <w:kern w:val="2"/>
      <w:sz w:val="24"/>
    </w:rPr>
  </w:style>
  <w:style w:type="character" w:customStyle="1" w:styleId="Charffffffffb">
    <w:name w:val="图表题 Char"/>
    <w:qFormat/>
    <w:rPr>
      <w:rFonts w:ascii="黑体" w:eastAsia="黑体" w:hAnsi="宋体" w:cs="宋体"/>
      <w:b/>
      <w:bCs/>
      <w:kern w:val="2"/>
      <w:sz w:val="24"/>
      <w:szCs w:val="24"/>
      <w:lang w:val="en-US" w:eastAsia="zh-CN" w:bidi="ar-SA"/>
    </w:rPr>
  </w:style>
  <w:style w:type="character" w:customStyle="1" w:styleId="dandan6-13Char">
    <w:name w:val="样式 dandan6-13四级以下 + Char"/>
    <w:link w:val="dandan6-13"/>
    <w:qFormat/>
    <w:rPr>
      <w:rFonts w:eastAsia="仿宋_GB2312"/>
      <w:b/>
      <w:bCs/>
      <w:sz w:val="24"/>
      <w:szCs w:val="24"/>
    </w:rPr>
  </w:style>
  <w:style w:type="paragraph" w:customStyle="1" w:styleId="dandan6-13">
    <w:name w:val="样式 dandan6-13四级以下 +"/>
    <w:link w:val="dandan6-13Char"/>
    <w:qFormat/>
    <w:rPr>
      <w:bCs/>
    </w:rPr>
  </w:style>
  <w:style w:type="paragraph" w:customStyle="1" w:styleId="dandan6-130">
    <w:name w:val="dandan6-13四级以下"/>
    <w:basedOn w:val="a6"/>
    <w:link w:val="dandan6-13Char0"/>
    <w:qFormat/>
    <w:pPr>
      <w:outlineLvl w:val="3"/>
    </w:pPr>
    <w:rPr>
      <w:rFonts w:eastAsia="仿宋_GB2312"/>
      <w:b/>
      <w:sz w:val="24"/>
    </w:rPr>
  </w:style>
  <w:style w:type="character" w:customStyle="1" w:styleId="dandan6-13Char0">
    <w:name w:val="dandan6-13四级以下 Char"/>
    <w:link w:val="dandan6-130"/>
    <w:qFormat/>
    <w:rPr>
      <w:rFonts w:eastAsia="仿宋_GB2312"/>
      <w:b/>
      <w:kern w:val="2"/>
      <w:sz w:val="24"/>
      <w:szCs w:val="24"/>
    </w:rPr>
  </w:style>
  <w:style w:type="character" w:customStyle="1" w:styleId="42Char">
    <w:name w:val="样式 标题 4 + 首行缩进:  2 字符 Char"/>
    <w:link w:val="420"/>
    <w:qFormat/>
    <w:rPr>
      <w:rFonts w:ascii="Arial" w:eastAsia="黑体" w:hAnsi="Arial" w:cs="宋体"/>
      <w:b/>
      <w:bCs/>
      <w:kern w:val="2"/>
      <w:sz w:val="24"/>
      <w:szCs w:val="28"/>
    </w:rPr>
  </w:style>
  <w:style w:type="paragraph" w:customStyle="1" w:styleId="420">
    <w:name w:val="样式 标题 4 + 首行缩进:  2 字符"/>
    <w:basedOn w:val="41"/>
    <w:link w:val="42Char"/>
    <w:qFormat/>
    <w:pPr>
      <w:adjustRightInd/>
      <w:snapToGrid/>
      <w:spacing w:beforeLines="0" w:before="0" w:line="360" w:lineRule="auto"/>
    </w:pPr>
    <w:rPr>
      <w:rFonts w:ascii="Arial" w:hAnsi="Arial"/>
      <w:b/>
      <w:sz w:val="24"/>
      <w:szCs w:val="28"/>
    </w:rPr>
  </w:style>
  <w:style w:type="character" w:customStyle="1" w:styleId="0Char">
    <w:name w:val="正文0 Char"/>
    <w:link w:val="02"/>
    <w:qFormat/>
    <w:rPr>
      <w:color w:val="000000"/>
      <w:kern w:val="2"/>
      <w:sz w:val="24"/>
      <w:szCs w:val="24"/>
    </w:rPr>
  </w:style>
  <w:style w:type="paragraph" w:customStyle="1" w:styleId="02">
    <w:name w:val="正文0"/>
    <w:basedOn w:val="a6"/>
    <w:link w:val="0Char"/>
    <w:qFormat/>
    <w:pPr>
      <w:spacing w:line="500" w:lineRule="exact"/>
      <w:ind w:firstLineChars="200" w:firstLine="480"/>
    </w:pPr>
    <w:rPr>
      <w:color w:val="000000"/>
      <w:sz w:val="24"/>
    </w:rPr>
  </w:style>
  <w:style w:type="character" w:customStyle="1" w:styleId="ttitle1">
    <w:name w:val="ttitle1"/>
    <w:qFormat/>
    <w:rPr>
      <w:spacing w:val="120"/>
      <w:sz w:val="21"/>
      <w:szCs w:val="21"/>
    </w:rPr>
  </w:style>
  <w:style w:type="character" w:customStyle="1" w:styleId="7CharCharChar">
    <w:name w:val="标题7 Char Char Char"/>
    <w:qFormat/>
    <w:rPr>
      <w:rFonts w:ascii="黑体" w:eastAsia="黑体" w:hAnsi="宋体" w:cs="黑体"/>
      <w:bCs/>
      <w:color w:val="000000"/>
      <w:kern w:val="2"/>
      <w:sz w:val="24"/>
      <w:szCs w:val="24"/>
      <w:lang w:val="en-US" w:eastAsia="zh-CN" w:bidi="ar-SA"/>
    </w:rPr>
  </w:style>
  <w:style w:type="character" w:customStyle="1" w:styleId="2Char20">
    <w:name w:val="正文首行缩进 2 Char2"/>
    <w:qFormat/>
    <w:rPr>
      <w:kern w:val="2"/>
      <w:sz w:val="24"/>
      <w:szCs w:val="24"/>
    </w:rPr>
  </w:style>
  <w:style w:type="character" w:customStyle="1" w:styleId="CharCharCharf9">
    <w:name w:val="图题 Char Char Char"/>
    <w:qFormat/>
    <w:rPr>
      <w:rFonts w:ascii="黑体" w:eastAsia="黑体" w:hAnsi="宋体" w:cs="宋体"/>
      <w:b/>
      <w:bCs/>
      <w:kern w:val="2"/>
      <w:sz w:val="24"/>
      <w:szCs w:val="24"/>
      <w:lang w:val="en-US" w:eastAsia="zh-CN" w:bidi="ar-SA"/>
    </w:rPr>
  </w:style>
  <w:style w:type="character" w:customStyle="1" w:styleId="CharCharCharfa">
    <w:name w:val="正文 楷体 Char Char Char"/>
    <w:qFormat/>
    <w:rPr>
      <w:rFonts w:ascii="楷体_GB2312" w:eastAsia="楷体_GB2312" w:hAnsi="楷体_GB2312" w:cs="宋体"/>
      <w:sz w:val="24"/>
      <w:szCs w:val="24"/>
    </w:rPr>
  </w:style>
  <w:style w:type="character" w:customStyle="1" w:styleId="14Char">
    <w:name w:val="样式1.4 Char"/>
    <w:link w:val="140"/>
    <w:qFormat/>
    <w:rPr>
      <w:rFonts w:ascii="宋体" w:hAnsi="宋体"/>
      <w:kern w:val="2"/>
      <w:sz w:val="24"/>
    </w:rPr>
  </w:style>
  <w:style w:type="paragraph" w:customStyle="1" w:styleId="140">
    <w:name w:val="样式1.4"/>
    <w:basedOn w:val="a6"/>
    <w:link w:val="14Char"/>
    <w:qFormat/>
    <w:pPr>
      <w:spacing w:line="360" w:lineRule="auto"/>
      <w:ind w:firstLineChars="200" w:firstLine="200"/>
      <w:jc w:val="left"/>
    </w:pPr>
    <w:rPr>
      <w:rFonts w:ascii="宋体" w:hAnsi="宋体"/>
      <w:sz w:val="24"/>
      <w:szCs w:val="20"/>
    </w:rPr>
  </w:style>
  <w:style w:type="character" w:customStyle="1" w:styleId="3-biao-lsChar">
    <w:name w:val="标题 3-biao-ls Char"/>
    <w:qFormat/>
    <w:rPr>
      <w:rFonts w:ascii="黑体" w:eastAsia="黑体" w:hAnsi="宋体"/>
      <w:kern w:val="2"/>
      <w:sz w:val="24"/>
      <w:szCs w:val="24"/>
      <w:lang w:val="en-US" w:eastAsia="zh-CN" w:bidi="ar-SA"/>
    </w:rPr>
  </w:style>
  <w:style w:type="character" w:customStyle="1" w:styleId="DefaultChar">
    <w:name w:val="Default Char"/>
    <w:link w:val="Default"/>
    <w:qFormat/>
    <w:rPr>
      <w:rFonts w:ascii="宋体"/>
      <w:color w:val="000000"/>
      <w:sz w:val="24"/>
      <w:szCs w:val="24"/>
      <w:lang w:bidi="ar-SA"/>
    </w:rPr>
  </w:style>
  <w:style w:type="paragraph" w:customStyle="1" w:styleId="Default">
    <w:name w:val="Default"/>
    <w:next w:val="a6"/>
    <w:link w:val="DefaultChar"/>
    <w:qFormat/>
    <w:pPr>
      <w:widowControl w:val="0"/>
      <w:autoSpaceDE w:val="0"/>
      <w:autoSpaceDN w:val="0"/>
      <w:adjustRightInd w:val="0"/>
    </w:pPr>
    <w:rPr>
      <w:rFonts w:ascii="宋体"/>
      <w:color w:val="000000"/>
      <w:sz w:val="24"/>
      <w:szCs w:val="24"/>
    </w:rPr>
  </w:style>
  <w:style w:type="character" w:customStyle="1" w:styleId="2Char21">
    <w:name w:val="正文文本 2 Char2"/>
    <w:qFormat/>
    <w:rPr>
      <w:kern w:val="2"/>
      <w:sz w:val="24"/>
      <w:szCs w:val="24"/>
    </w:rPr>
  </w:style>
  <w:style w:type="character" w:customStyle="1" w:styleId="ldh14-01">
    <w:name w:val="ldh14-01"/>
    <w:qFormat/>
    <w:rPr>
      <w:b/>
      <w:bCs/>
      <w:color w:val="FFFFFF"/>
      <w:sz w:val="18"/>
      <w:szCs w:val="18"/>
    </w:rPr>
  </w:style>
  <w:style w:type="character" w:customStyle="1" w:styleId="snpChar">
    <w:name w:val="snp正文 Char"/>
    <w:link w:val="snp"/>
    <w:qFormat/>
    <w:rPr>
      <w:rFonts w:ascii="宋体" w:hAnsi="宋体"/>
      <w:bCs/>
      <w:iCs/>
      <w:kern w:val="2"/>
      <w:sz w:val="21"/>
      <w:szCs w:val="21"/>
    </w:rPr>
  </w:style>
  <w:style w:type="paragraph" w:customStyle="1" w:styleId="snp">
    <w:name w:val="snp正文"/>
    <w:basedOn w:val="a6"/>
    <w:link w:val="snpChar"/>
    <w:qFormat/>
    <w:pPr>
      <w:ind w:firstLineChars="200" w:firstLine="200"/>
    </w:pPr>
    <w:rPr>
      <w:rFonts w:ascii="宋体" w:hAnsi="宋体"/>
      <w:bCs/>
      <w:iCs/>
      <w:szCs w:val="21"/>
    </w:rPr>
  </w:style>
  <w:style w:type="character" w:customStyle="1" w:styleId="ca-81">
    <w:name w:val="ca-81"/>
    <w:qFormat/>
    <w:rPr>
      <w:rFonts w:ascii="Times New Roman" w:hAnsi="Times New Roman" w:cs="Times New Roman" w:hint="default"/>
      <w:color w:val="FF0000"/>
      <w:sz w:val="21"/>
      <w:szCs w:val="21"/>
    </w:rPr>
  </w:style>
  <w:style w:type="character" w:customStyle="1" w:styleId="xxfb">
    <w:name w:val="xxfb"/>
    <w:basedOn w:val="a7"/>
    <w:qFormat/>
  </w:style>
  <w:style w:type="character" w:customStyle="1" w:styleId="text11">
    <w:name w:val="text11"/>
    <w:qFormat/>
    <w:rPr>
      <w:sz w:val="18"/>
      <w:szCs w:val="18"/>
    </w:rPr>
  </w:style>
  <w:style w:type="character" w:customStyle="1" w:styleId="CharCharffff4">
    <w:name w:val="新正文样式 Char Char"/>
    <w:link w:val="affffffffffffe"/>
    <w:qFormat/>
    <w:rPr>
      <w:color w:val="000000"/>
      <w:spacing w:val="20"/>
      <w:kern w:val="2"/>
      <w:sz w:val="24"/>
    </w:rPr>
  </w:style>
  <w:style w:type="paragraph" w:customStyle="1" w:styleId="affffffffffffe">
    <w:name w:val="新正文样式"/>
    <w:basedOn w:val="a6"/>
    <w:link w:val="CharCharffff4"/>
    <w:qFormat/>
    <w:pPr>
      <w:tabs>
        <w:tab w:val="left" w:pos="567"/>
      </w:tabs>
      <w:spacing w:line="360" w:lineRule="auto"/>
      <w:ind w:firstLine="567"/>
    </w:pPr>
    <w:rPr>
      <w:color w:val="000000"/>
      <w:spacing w:val="20"/>
      <w:sz w:val="24"/>
      <w:szCs w:val="20"/>
    </w:rPr>
  </w:style>
  <w:style w:type="character" w:customStyle="1" w:styleId="Charffffffffc">
    <w:name w:val="表内容 Char"/>
    <w:link w:val="afffffffffffff"/>
    <w:qFormat/>
    <w:rPr>
      <w:rFonts w:eastAsia="宋体"/>
      <w:kern w:val="2"/>
      <w:sz w:val="18"/>
      <w:szCs w:val="24"/>
      <w:lang w:val="en-US" w:eastAsia="zh-CN" w:bidi="ar-SA"/>
    </w:rPr>
  </w:style>
  <w:style w:type="paragraph" w:customStyle="1" w:styleId="afffffffffffff">
    <w:name w:val="表内容"/>
    <w:basedOn w:val="a6"/>
    <w:link w:val="Charffffffffc"/>
    <w:qFormat/>
    <w:pPr>
      <w:spacing w:line="280" w:lineRule="exact"/>
      <w:ind w:leftChars="-20" w:left="-20" w:rightChars="-20" w:right="-20"/>
      <w:jc w:val="center"/>
    </w:pPr>
    <w:rPr>
      <w:sz w:val="18"/>
    </w:rPr>
  </w:style>
  <w:style w:type="character" w:customStyle="1" w:styleId="javascript">
    <w:name w:val="javascript"/>
    <w:qFormat/>
  </w:style>
  <w:style w:type="character" w:customStyle="1" w:styleId="Charffffffffd">
    <w:name w:val="列出段落 Char"/>
    <w:link w:val="1ffb"/>
    <w:qFormat/>
    <w:rPr>
      <w:rFonts w:eastAsia="宋体"/>
      <w:bCs/>
      <w:color w:val="0000FF"/>
      <w:sz w:val="18"/>
      <w:szCs w:val="18"/>
      <w:lang w:val="en-US" w:eastAsia="zh-CN" w:bidi="ar-SA"/>
    </w:rPr>
  </w:style>
  <w:style w:type="paragraph" w:customStyle="1" w:styleId="1ffb">
    <w:name w:val="列出段落1"/>
    <w:basedOn w:val="a6"/>
    <w:link w:val="Charffffffffd"/>
    <w:qFormat/>
    <w:pPr>
      <w:adjustRightInd w:val="0"/>
      <w:snapToGrid w:val="0"/>
      <w:jc w:val="center"/>
    </w:pPr>
    <w:rPr>
      <w:bCs/>
      <w:color w:val="0000FF"/>
      <w:kern w:val="0"/>
      <w:sz w:val="18"/>
      <w:szCs w:val="18"/>
    </w:rPr>
  </w:style>
  <w:style w:type="character" w:customStyle="1" w:styleId="2CharChar20">
    <w:name w:val="标题 2 Char Char2"/>
    <w:qFormat/>
    <w:rPr>
      <w:rFonts w:ascii="黑体" w:eastAsia="黑体"/>
      <w:kern w:val="2"/>
      <w:sz w:val="28"/>
      <w:szCs w:val="28"/>
      <w:lang w:val="en-US" w:eastAsia="zh-CN" w:bidi="ar-SA"/>
    </w:rPr>
  </w:style>
  <w:style w:type="character" w:customStyle="1" w:styleId="CharCharffff5">
    <w:name w:val="表、图名 Char Char"/>
    <w:qFormat/>
    <w:rPr>
      <w:rFonts w:ascii="黑体" w:eastAsia="黑体" w:hAnsi="Arial"/>
      <w:kern w:val="2"/>
      <w:sz w:val="21"/>
      <w:szCs w:val="21"/>
      <w:lang w:val="en-US" w:eastAsia="zh-CN" w:bidi="ar-SA"/>
    </w:rPr>
  </w:style>
  <w:style w:type="character" w:customStyle="1" w:styleId="2Charf3">
    <w:name w:val="样式 正文首行缩进 2 + (符号) 宋体 Char"/>
    <w:qFormat/>
    <w:rPr>
      <w:rFonts w:ascii="宋体" w:eastAsia="宋体"/>
      <w:kern w:val="2"/>
      <w:sz w:val="24"/>
      <w:szCs w:val="24"/>
      <w:lang w:val="en-US" w:eastAsia="zh-CN" w:bidi="ar-SA"/>
    </w:rPr>
  </w:style>
  <w:style w:type="character" w:customStyle="1" w:styleId="1Chare">
    <w:name w:val="标题 1 Char"/>
    <w:uiPriority w:val="9"/>
    <w:qFormat/>
    <w:rPr>
      <w:rFonts w:eastAsia="宋体"/>
      <w:b/>
      <w:bCs/>
      <w:kern w:val="44"/>
      <w:sz w:val="44"/>
      <w:szCs w:val="44"/>
      <w:lang w:val="en-US" w:eastAsia="zh-CN" w:bidi="ar-SA"/>
    </w:rPr>
  </w:style>
  <w:style w:type="character" w:customStyle="1" w:styleId="1Charf">
    <w:name w:val="表头1 Char"/>
    <w:qFormat/>
    <w:rPr>
      <w:rFonts w:eastAsia="黑体"/>
      <w:sz w:val="21"/>
      <w:szCs w:val="21"/>
      <w:lang w:val="en-US" w:eastAsia="zh-CN" w:bidi="ar-SA"/>
    </w:rPr>
  </w:style>
  <w:style w:type="character" w:customStyle="1" w:styleId="afffffffffffff0">
    <w:name w:val="纯文本 字符"/>
    <w:qFormat/>
    <w:rPr>
      <w:rFonts w:ascii="宋体" w:eastAsia="宋体" w:hAnsi="Courier New"/>
      <w:kern w:val="2"/>
      <w:sz w:val="24"/>
      <w:lang w:val="en-US" w:eastAsia="zh-CN" w:bidi="ar-SA"/>
    </w:rPr>
  </w:style>
  <w:style w:type="character" w:customStyle="1" w:styleId="Footer1Char">
    <w:name w:val="Footer1 Char"/>
    <w:qFormat/>
    <w:locked/>
    <w:rPr>
      <w:rFonts w:eastAsia="宋体"/>
      <w:kern w:val="2"/>
      <w:sz w:val="18"/>
      <w:szCs w:val="18"/>
      <w:lang w:val="en-US" w:eastAsia="zh-CN" w:bidi="ar-SA"/>
    </w:rPr>
  </w:style>
  <w:style w:type="character" w:customStyle="1" w:styleId="CharCharffff6">
    <w:name w:val="表格内字体 Char Char"/>
    <w:link w:val="afffffffffffff1"/>
    <w:qFormat/>
    <w:rPr>
      <w:rFonts w:ascii="宋体" w:hAnsi="宋体"/>
      <w:kern w:val="2"/>
      <w:sz w:val="21"/>
    </w:rPr>
  </w:style>
  <w:style w:type="paragraph" w:customStyle="1" w:styleId="afffffffffffff1">
    <w:name w:val="表格内字体"/>
    <w:basedOn w:val="affffa"/>
    <w:next w:val="affffa"/>
    <w:link w:val="CharCharffff6"/>
    <w:qFormat/>
    <w:pPr>
      <w:spacing w:line="240" w:lineRule="auto"/>
      <w:ind w:firstLine="0"/>
      <w:jc w:val="center"/>
    </w:pPr>
    <w:rPr>
      <w:sz w:val="21"/>
    </w:rPr>
  </w:style>
  <w:style w:type="character" w:customStyle="1" w:styleId="SLCONChar0">
    <w:name w:val="表内文字 样式 五号 居中 行距: 单倍行距 SL CON Char"/>
    <w:link w:val="SLCON0"/>
    <w:qFormat/>
    <w:rPr>
      <w:rFonts w:ascii="宋体" w:cs="宋体"/>
      <w:szCs w:val="21"/>
    </w:rPr>
  </w:style>
  <w:style w:type="paragraph" w:customStyle="1" w:styleId="SLCON0">
    <w:name w:val="表内文字 样式 五号 居中 行距: 单倍行距 SL CON"/>
    <w:basedOn w:val="a6"/>
    <w:link w:val="SLCONChar0"/>
    <w:qFormat/>
    <w:pPr>
      <w:widowControl/>
      <w:tabs>
        <w:tab w:val="left" w:pos="377"/>
      </w:tabs>
      <w:spacing w:line="360" w:lineRule="auto"/>
      <w:ind w:firstLineChars="200" w:firstLine="200"/>
      <w:jc w:val="center"/>
    </w:pPr>
    <w:rPr>
      <w:rFonts w:ascii="宋体"/>
      <w:kern w:val="0"/>
      <w:sz w:val="20"/>
      <w:szCs w:val="21"/>
    </w:rPr>
  </w:style>
  <w:style w:type="character" w:customStyle="1" w:styleId="2221Char">
    <w:name w:val="样式 样式 样式 正文缩进 + 首行缩进:  2 字符 + 首行缩进:  2 字符 + 首行缩进:  2 字符1 Char"/>
    <w:link w:val="2221"/>
    <w:qFormat/>
    <w:rPr>
      <w:sz w:val="24"/>
    </w:rPr>
  </w:style>
  <w:style w:type="paragraph" w:customStyle="1" w:styleId="2221">
    <w:name w:val="样式 样式 样式 正文缩进 + 首行缩进:  2 字符 + 首行缩进:  2 字符 + 首行缩进:  2 字符1"/>
    <w:basedOn w:val="a6"/>
    <w:link w:val="2221Char"/>
    <w:qFormat/>
    <w:pPr>
      <w:spacing w:line="500" w:lineRule="exact"/>
      <w:ind w:firstLineChars="200" w:firstLine="480"/>
    </w:pPr>
    <w:rPr>
      <w:kern w:val="0"/>
      <w:sz w:val="24"/>
      <w:szCs w:val="20"/>
    </w:rPr>
  </w:style>
  <w:style w:type="character" w:customStyle="1" w:styleId="CharCharffff7">
    <w:name w:val="表格 Char Char"/>
    <w:qFormat/>
    <w:rPr>
      <w:rFonts w:eastAsia="宋体"/>
      <w:bCs/>
      <w:kern w:val="2"/>
      <w:sz w:val="21"/>
      <w:szCs w:val="28"/>
      <w:lang w:val="en-US" w:eastAsia="zh-CN" w:bidi="ar-SA"/>
    </w:rPr>
  </w:style>
  <w:style w:type="character" w:customStyle="1" w:styleId="4Char11">
    <w:name w:val="标题 4 Char11"/>
    <w:qFormat/>
    <w:rPr>
      <w:rFonts w:ascii="黑体" w:eastAsia="宋体" w:hAnsi="Arial"/>
      <w:b/>
      <w:i/>
      <w:kern w:val="2"/>
      <w:sz w:val="24"/>
    </w:rPr>
  </w:style>
  <w:style w:type="character" w:customStyle="1" w:styleId="000CharChar">
    <w:name w:val="000 Char Char"/>
    <w:link w:val="000"/>
    <w:qFormat/>
    <w:rPr>
      <w:rFonts w:ascii="Calibri" w:hAnsi="Calibri"/>
      <w:kern w:val="2"/>
      <w:sz w:val="24"/>
    </w:rPr>
  </w:style>
  <w:style w:type="paragraph" w:customStyle="1" w:styleId="000">
    <w:name w:val="000"/>
    <w:basedOn w:val="a6"/>
    <w:link w:val="000CharChar"/>
    <w:qFormat/>
    <w:pPr>
      <w:spacing w:line="360" w:lineRule="auto"/>
      <w:ind w:firstLineChars="200" w:firstLine="480"/>
    </w:pPr>
    <w:rPr>
      <w:rFonts w:ascii="Calibri" w:hAnsi="Calibri"/>
      <w:sz w:val="24"/>
      <w:szCs w:val="20"/>
    </w:rPr>
  </w:style>
  <w:style w:type="character" w:customStyle="1" w:styleId="jjbody1">
    <w:name w:val="jjbody1"/>
    <w:qFormat/>
    <w:rPr>
      <w:rFonts w:ascii="宋体" w:eastAsia="宋体" w:hAnsi="宋体" w:hint="eastAsia"/>
      <w:color w:val="555555"/>
      <w:sz w:val="21"/>
      <w:szCs w:val="21"/>
    </w:rPr>
  </w:style>
  <w:style w:type="character" w:customStyle="1" w:styleId="Char1ff5">
    <w:name w:val="正文格式 Char1"/>
    <w:qFormat/>
    <w:rPr>
      <w:rFonts w:ascii="宋体" w:eastAsia="宋体" w:hAnsi="宋体" w:cs="宋体"/>
      <w:bCs/>
      <w:kern w:val="2"/>
      <w:sz w:val="24"/>
      <w:szCs w:val="24"/>
      <w:lang w:val="en-US" w:eastAsia="zh-CN" w:bidi="ar-SA"/>
    </w:rPr>
  </w:style>
  <w:style w:type="character" w:customStyle="1" w:styleId="AChar4">
    <w:name w:val="标题四A Char"/>
    <w:link w:val="Afffffffffffff2"/>
    <w:qFormat/>
    <w:rPr>
      <w:rFonts w:ascii="宋体" w:hAnsi="宋体"/>
      <w:b/>
      <w:bCs/>
      <w:sz w:val="28"/>
      <w:szCs w:val="28"/>
    </w:rPr>
  </w:style>
  <w:style w:type="paragraph" w:customStyle="1" w:styleId="Afffffffffffff2">
    <w:name w:val="标题四A"/>
    <w:basedOn w:val="41"/>
    <w:link w:val="AChar4"/>
    <w:qFormat/>
    <w:pPr>
      <w:keepNext w:val="0"/>
      <w:keepLines w:val="0"/>
      <w:tabs>
        <w:tab w:val="left" w:pos="1070"/>
      </w:tabs>
      <w:adjustRightInd/>
      <w:snapToGrid/>
      <w:spacing w:beforeLines="0" w:before="0"/>
    </w:pPr>
    <w:rPr>
      <w:rFonts w:ascii="宋体" w:eastAsia="宋体"/>
      <w:b/>
      <w:kern w:val="0"/>
      <w:szCs w:val="28"/>
    </w:rPr>
  </w:style>
  <w:style w:type="character" w:customStyle="1" w:styleId="Charffffffffe">
    <w:name w:val="正文（评） Char"/>
    <w:link w:val="afffffffffffff3"/>
    <w:semiHidden/>
    <w:qFormat/>
    <w:rPr>
      <w:color w:val="000000"/>
      <w:spacing w:val="10"/>
      <w:sz w:val="24"/>
      <w:szCs w:val="21"/>
    </w:rPr>
  </w:style>
  <w:style w:type="paragraph" w:customStyle="1" w:styleId="afffffffffffff3">
    <w:name w:val="正文（评）"/>
    <w:basedOn w:val="a6"/>
    <w:link w:val="Charffffffffe"/>
    <w:semiHidden/>
    <w:qFormat/>
    <w:pPr>
      <w:adjustRightInd w:val="0"/>
      <w:snapToGrid w:val="0"/>
      <w:spacing w:line="360" w:lineRule="auto"/>
      <w:ind w:firstLineChars="200" w:firstLine="520"/>
    </w:pPr>
    <w:rPr>
      <w:color w:val="000000"/>
      <w:spacing w:val="10"/>
      <w:kern w:val="0"/>
      <w:sz w:val="24"/>
      <w:szCs w:val="21"/>
    </w:rPr>
  </w:style>
  <w:style w:type="character" w:customStyle="1" w:styleId="AChar5">
    <w:name w:val="标题三A Char"/>
    <w:link w:val="Afffffffffffff4"/>
    <w:qFormat/>
    <w:rPr>
      <w:rFonts w:ascii="宋体" w:hAnsi="宋体"/>
      <w:b/>
      <w:bCs/>
      <w:kern w:val="2"/>
      <w:sz w:val="28"/>
      <w:szCs w:val="28"/>
    </w:rPr>
  </w:style>
  <w:style w:type="paragraph" w:customStyle="1" w:styleId="Afffffffffffff4">
    <w:name w:val="标题三A"/>
    <w:basedOn w:val="33"/>
    <w:link w:val="AChar5"/>
    <w:qFormat/>
    <w:pPr>
      <w:keepNext w:val="0"/>
      <w:keepLines w:val="0"/>
      <w:tabs>
        <w:tab w:val="left" w:pos="1070"/>
      </w:tabs>
      <w:spacing w:line="500" w:lineRule="exact"/>
      <w:ind w:leftChars="400" w:left="1070" w:hangingChars="200" w:hanging="360"/>
    </w:pPr>
    <w:rPr>
      <w:rFonts w:ascii="宋体" w:eastAsia="宋体" w:hAnsi="宋体"/>
      <w:b/>
      <w:bCs/>
      <w:spacing w:val="0"/>
      <w:szCs w:val="28"/>
    </w:rPr>
  </w:style>
  <w:style w:type="character" w:customStyle="1" w:styleId="Charfffffffff">
    <w:name w:val="标题四！！！！！！！！！！！！！！！！！！ Char"/>
    <w:link w:val="afffffffffffff5"/>
    <w:qFormat/>
    <w:rPr>
      <w:rFonts w:ascii="楷体_GB2312" w:eastAsia="楷体_GB2312" w:hAnsi="宋体" w:cs="宋体"/>
      <w:b/>
      <w:kern w:val="2"/>
      <w:sz w:val="24"/>
      <w:szCs w:val="21"/>
    </w:rPr>
  </w:style>
  <w:style w:type="paragraph" w:customStyle="1" w:styleId="afffffffffffff5">
    <w:name w:val="标题四！！！！！！！！！！！！！！！！！！"/>
    <w:basedOn w:val="a6"/>
    <w:link w:val="Charfffffffff"/>
    <w:qFormat/>
    <w:pPr>
      <w:spacing w:line="500" w:lineRule="exact"/>
    </w:pPr>
    <w:rPr>
      <w:rFonts w:ascii="楷体_GB2312" w:eastAsia="楷体_GB2312" w:hAnsi="宋体"/>
      <w:b/>
      <w:sz w:val="24"/>
      <w:szCs w:val="21"/>
    </w:rPr>
  </w:style>
  <w:style w:type="character" w:customStyle="1" w:styleId="Charfffffffff0">
    <w:name w:val="院正文 Char"/>
    <w:link w:val="afffffffffffff6"/>
    <w:qFormat/>
    <w:locked/>
    <w:rPr>
      <w:rFonts w:ascii="Arial" w:hAnsi="Arial"/>
      <w:sz w:val="28"/>
      <w:szCs w:val="28"/>
    </w:rPr>
  </w:style>
  <w:style w:type="paragraph" w:customStyle="1" w:styleId="afffffffffffff6">
    <w:name w:val="院正文"/>
    <w:basedOn w:val="a6"/>
    <w:link w:val="Charfffffffff0"/>
    <w:qFormat/>
    <w:pPr>
      <w:spacing w:line="360" w:lineRule="auto"/>
      <w:ind w:firstLineChars="200" w:firstLine="560"/>
    </w:pPr>
    <w:rPr>
      <w:rFonts w:ascii="Arial" w:hAnsi="Arial"/>
      <w:kern w:val="0"/>
      <w:sz w:val="28"/>
      <w:szCs w:val="28"/>
    </w:rPr>
  </w:style>
  <w:style w:type="character" w:customStyle="1" w:styleId="3Char5">
    <w:name w:val="3级标题 Char"/>
    <w:link w:val="3f8"/>
    <w:qFormat/>
    <w:rPr>
      <w:rFonts w:ascii="黑体" w:eastAsia="黑体" w:hAnsi="Calibri"/>
      <w:b/>
      <w:kern w:val="2"/>
      <w:sz w:val="24"/>
      <w:szCs w:val="24"/>
    </w:rPr>
  </w:style>
  <w:style w:type="paragraph" w:customStyle="1" w:styleId="3f8">
    <w:name w:val="3级标题"/>
    <w:basedOn w:val="a6"/>
    <w:link w:val="3Char5"/>
    <w:qFormat/>
    <w:pPr>
      <w:spacing w:line="360" w:lineRule="auto"/>
      <w:outlineLvl w:val="2"/>
    </w:pPr>
    <w:rPr>
      <w:rFonts w:ascii="黑体" w:eastAsia="黑体" w:hAnsi="Calibri"/>
      <w:b/>
      <w:sz w:val="24"/>
    </w:rPr>
  </w:style>
  <w:style w:type="character" w:customStyle="1" w:styleId="xCharChar">
    <w:name w:val="x文 Char Char"/>
    <w:link w:val="x0"/>
    <w:qFormat/>
    <w:rPr>
      <w:rFonts w:ascii="宋体" w:hAnsi="宋体"/>
      <w:kern w:val="2"/>
      <w:sz w:val="28"/>
      <w:szCs w:val="28"/>
    </w:rPr>
  </w:style>
  <w:style w:type="paragraph" w:customStyle="1" w:styleId="x0">
    <w:name w:val="x文"/>
    <w:basedOn w:val="a6"/>
    <w:link w:val="xCharChar"/>
    <w:qFormat/>
    <w:pPr>
      <w:spacing w:line="360" w:lineRule="auto"/>
      <w:ind w:firstLineChars="200" w:firstLine="560"/>
    </w:pPr>
    <w:rPr>
      <w:rFonts w:ascii="宋体" w:hAnsi="宋体"/>
      <w:sz w:val="28"/>
      <w:szCs w:val="28"/>
    </w:rPr>
  </w:style>
  <w:style w:type="character" w:customStyle="1" w:styleId="TB1Char">
    <w:name w:val="TB1 Char"/>
    <w:link w:val="TB1"/>
    <w:qFormat/>
    <w:rPr>
      <w:rFonts w:ascii="Calibri" w:eastAsia="仿宋_GB2312" w:hAnsi="Calibri"/>
      <w:kern w:val="2"/>
      <w:sz w:val="21"/>
      <w:szCs w:val="21"/>
    </w:rPr>
  </w:style>
  <w:style w:type="paragraph" w:customStyle="1" w:styleId="TB1">
    <w:name w:val="TB1"/>
    <w:basedOn w:val="af0"/>
    <w:link w:val="TB1Char"/>
    <w:qFormat/>
    <w:pPr>
      <w:snapToGrid w:val="0"/>
      <w:spacing w:line="320" w:lineRule="exact"/>
      <w:ind w:firstLine="0"/>
      <w:jc w:val="center"/>
      <w:textAlignment w:val="auto"/>
    </w:pPr>
    <w:rPr>
      <w:rFonts w:ascii="Calibri" w:eastAsia="仿宋_GB2312" w:hAnsi="Calibri"/>
      <w:kern w:val="2"/>
      <w:sz w:val="21"/>
      <w:szCs w:val="21"/>
    </w:rPr>
  </w:style>
  <w:style w:type="character" w:customStyle="1" w:styleId="-lsChar0">
    <w:name w:val="正文-ls Char"/>
    <w:qFormat/>
    <w:rPr>
      <w:rFonts w:eastAsia="宋体" w:hAnsi="宋体" w:cs="宋体"/>
      <w:kern w:val="2"/>
      <w:sz w:val="24"/>
      <w:lang w:val="en-US" w:eastAsia="zh-CN" w:bidi="ar-SA"/>
    </w:rPr>
  </w:style>
  <w:style w:type="character" w:customStyle="1" w:styleId="Charfffffffff1">
    <w:name w:val="农贸市场正文 Char"/>
    <w:link w:val="afffffffffffff7"/>
    <w:qFormat/>
    <w:rPr>
      <w:rFonts w:ascii="Calibri" w:hAnsi="Calibri"/>
      <w:b/>
      <w:snapToGrid/>
      <w:color w:val="000000"/>
      <w:kern w:val="2"/>
      <w:sz w:val="24"/>
      <w:szCs w:val="24"/>
    </w:rPr>
  </w:style>
  <w:style w:type="paragraph" w:customStyle="1" w:styleId="afffffffffffff7">
    <w:name w:val="农贸市场正文"/>
    <w:basedOn w:val="a6"/>
    <w:link w:val="Charfffffffff1"/>
    <w:qFormat/>
    <w:pPr>
      <w:spacing w:line="360" w:lineRule="auto"/>
      <w:ind w:firstLineChars="200" w:firstLine="200"/>
    </w:pPr>
    <w:rPr>
      <w:rFonts w:ascii="Calibri" w:hAnsi="Calibri"/>
      <w:b/>
      <w:snapToGrid w:val="0"/>
      <w:color w:val="000000"/>
      <w:sz w:val="24"/>
    </w:rPr>
  </w:style>
  <w:style w:type="character" w:customStyle="1" w:styleId="2ffd">
    <w:name w:val="书籍标题2"/>
    <w:qFormat/>
    <w:rPr>
      <w:b/>
      <w:smallCaps/>
      <w:spacing w:val="5"/>
    </w:rPr>
  </w:style>
  <w:style w:type="character" w:customStyle="1" w:styleId="detail1">
    <w:name w:val="detail1"/>
    <w:qFormat/>
    <w:rPr>
      <w:rFonts w:ascii="ˎ̥" w:hAnsi="ˎ̥" w:hint="default"/>
      <w:sz w:val="21"/>
      <w:u w:val="none"/>
    </w:rPr>
  </w:style>
  <w:style w:type="character" w:customStyle="1" w:styleId="EmailStyle507">
    <w:name w:val="EmailStyle507"/>
    <w:qFormat/>
    <w:rPr>
      <w:rFonts w:ascii="Arial" w:eastAsia="宋体" w:hAnsi="Arial" w:cs="Arial"/>
      <w:color w:val="auto"/>
      <w:sz w:val="20"/>
    </w:rPr>
  </w:style>
  <w:style w:type="character" w:customStyle="1" w:styleId="CharNewNew">
    <w:name w:val="正文 楷体 Char New New"/>
    <w:qFormat/>
    <w:rPr>
      <w:rFonts w:ascii="楷体_GB2312" w:eastAsia="楷体_GB2312" w:hAnsi="楷体_GB2312" w:cs="宋体"/>
      <w:kern w:val="2"/>
      <w:sz w:val="24"/>
      <w:szCs w:val="24"/>
      <w:lang w:val="en-US" w:eastAsia="zh-CN" w:bidi="ar-SA"/>
    </w:rPr>
  </w:style>
  <w:style w:type="character" w:customStyle="1" w:styleId="highlight1">
    <w:name w:val="highlight1"/>
    <w:uiPriority w:val="99"/>
    <w:qFormat/>
    <w:rPr>
      <w:sz w:val="14"/>
      <w:szCs w:val="14"/>
    </w:rPr>
  </w:style>
  <w:style w:type="character" w:customStyle="1" w:styleId="3Char6">
    <w:name w:val="正文3 Char"/>
    <w:qFormat/>
    <w:rPr>
      <w:rFonts w:ascii="宋体" w:hAnsi="宋体"/>
      <w:bCs/>
      <w:snapToGrid/>
      <w:sz w:val="24"/>
      <w:szCs w:val="28"/>
      <w:lang w:val="zh-CN" w:bidi="ar-SA"/>
    </w:rPr>
  </w:style>
  <w:style w:type="character" w:customStyle="1" w:styleId="08505Char1">
    <w:name w:val="样式 样式 首行缩进:  0.85 厘米 + 段前: 0.5 行 Char1"/>
    <w:link w:val="08505"/>
    <w:qFormat/>
    <w:rPr>
      <w:color w:val="000000"/>
      <w:w w:val="110"/>
      <w:sz w:val="24"/>
    </w:rPr>
  </w:style>
  <w:style w:type="paragraph" w:customStyle="1" w:styleId="08505">
    <w:name w:val="样式 样式 首行缩进:  0.85 厘米 + 段前: 0.5 行"/>
    <w:basedOn w:val="a6"/>
    <w:link w:val="08505Char1"/>
    <w:qFormat/>
    <w:pPr>
      <w:spacing w:before="50" w:line="360" w:lineRule="auto"/>
      <w:ind w:firstLine="482"/>
    </w:pPr>
    <w:rPr>
      <w:color w:val="000000"/>
      <w:w w:val="110"/>
      <w:kern w:val="0"/>
      <w:sz w:val="24"/>
      <w:szCs w:val="20"/>
    </w:rPr>
  </w:style>
  <w:style w:type="character" w:customStyle="1" w:styleId="CharCharCharfb">
    <w:name w:val="表、图名 Char Char Char"/>
    <w:qFormat/>
    <w:rPr>
      <w:rFonts w:ascii="黑体" w:eastAsia="黑体" w:hAnsi="宋体"/>
      <w:b/>
      <w:sz w:val="24"/>
      <w:szCs w:val="24"/>
      <w:lang w:val="en-US" w:eastAsia="zh-CN" w:bidi="ar-SA"/>
    </w:rPr>
  </w:style>
  <w:style w:type="character" w:customStyle="1" w:styleId="afffffffffffff8">
    <w:name w:val="Подпись к таблице"/>
    <w:qFormat/>
    <w:rPr>
      <w:rFonts w:ascii="Times New Roman" w:eastAsia="Times New Roman" w:hAnsi="Times New Roman" w:cs="Times New Roman"/>
      <w:sz w:val="26"/>
      <w:szCs w:val="26"/>
      <w:shd w:val="clear" w:color="auto" w:fill="FFFFFF"/>
      <w:lang w:bidi="ar-SA"/>
    </w:rPr>
  </w:style>
  <w:style w:type="character" w:customStyle="1" w:styleId="CharCharffff8">
    <w:name w:val="燕山正文 Char Char"/>
    <w:link w:val="afffffffffffff9"/>
    <w:qFormat/>
    <w:rPr>
      <w:rFonts w:ascii="宋体" w:hAnsi="宋体"/>
      <w:snapToGrid/>
      <w:color w:val="000000"/>
      <w:spacing w:val="-6"/>
      <w:sz w:val="24"/>
      <w:szCs w:val="24"/>
    </w:rPr>
  </w:style>
  <w:style w:type="paragraph" w:customStyle="1" w:styleId="afffffffffffff9">
    <w:name w:val="燕山正文"/>
    <w:basedOn w:val="a6"/>
    <w:link w:val="CharCharffff8"/>
    <w:qFormat/>
    <w:pPr>
      <w:tabs>
        <w:tab w:val="left" w:pos="4680"/>
      </w:tabs>
      <w:adjustRightInd w:val="0"/>
      <w:snapToGrid w:val="0"/>
      <w:spacing w:line="500" w:lineRule="exact"/>
      <w:ind w:firstLineChars="200" w:firstLine="456"/>
    </w:pPr>
    <w:rPr>
      <w:rFonts w:ascii="宋体" w:hAnsi="宋体"/>
      <w:snapToGrid w:val="0"/>
      <w:color w:val="000000"/>
      <w:spacing w:val="-6"/>
      <w:kern w:val="0"/>
      <w:sz w:val="24"/>
      <w:shd w:val="clear" w:color="auto" w:fill="FFFFFF"/>
    </w:rPr>
  </w:style>
  <w:style w:type="character" w:customStyle="1" w:styleId="220CharChar">
    <w:name w:val="标题 2 + 行距: 标题2+首行缩进 0倍 Char Char"/>
    <w:qFormat/>
    <w:rPr>
      <w:rFonts w:ascii="黑体" w:eastAsia="黑体"/>
      <w:sz w:val="30"/>
    </w:rPr>
  </w:style>
  <w:style w:type="character" w:customStyle="1" w:styleId="1CharCharf0">
    <w:name w:val="项标题(1) Char Char"/>
    <w:qFormat/>
    <w:rPr>
      <w:rFonts w:ascii="新宋体" w:eastAsia="仿宋_GB2312" w:hAnsi="新宋体"/>
      <w:b/>
      <w:kern w:val="2"/>
      <w:sz w:val="24"/>
      <w:lang w:val="en-US" w:eastAsia="zh-CN" w:bidi="ar-SA"/>
    </w:rPr>
  </w:style>
  <w:style w:type="character" w:customStyle="1" w:styleId="contenttext1">
    <w:name w:val="content_text1"/>
    <w:qFormat/>
    <w:rPr>
      <w:rFonts w:ascii="宋体" w:eastAsia="宋体" w:hAnsi="宋体" w:hint="eastAsia"/>
      <w:sz w:val="21"/>
      <w:szCs w:val="21"/>
    </w:rPr>
  </w:style>
  <w:style w:type="character" w:customStyle="1" w:styleId="fc04stagselectedjs-fcurrentfc05">
    <w:name w:val="fc04 stag selected js-fcurrent fc05"/>
    <w:qFormat/>
  </w:style>
  <w:style w:type="character" w:customStyle="1" w:styleId="H6Char">
    <w:name w:val="H6 Char"/>
    <w:qFormat/>
    <w:rPr>
      <w:rFonts w:ascii="Arial" w:eastAsia="黑体" w:hAnsi="Arial"/>
      <w:b/>
      <w:bCs/>
      <w:kern w:val="2"/>
      <w:sz w:val="24"/>
      <w:szCs w:val="24"/>
    </w:rPr>
  </w:style>
  <w:style w:type="character" w:customStyle="1" w:styleId="CharChar220">
    <w:name w:val="Char Char22"/>
    <w:qFormat/>
    <w:rPr>
      <w:rFonts w:ascii="Arial" w:eastAsia="黑体" w:hAnsi="Arial"/>
      <w:b/>
      <w:bCs/>
      <w:kern w:val="2"/>
      <w:sz w:val="32"/>
      <w:szCs w:val="32"/>
      <w:lang w:val="en-US" w:eastAsia="zh-CN" w:bidi="ar-SA"/>
    </w:rPr>
  </w:style>
  <w:style w:type="character" w:customStyle="1" w:styleId="highlight">
    <w:name w:val="highlight"/>
    <w:qFormat/>
  </w:style>
  <w:style w:type="character" w:customStyle="1" w:styleId="141">
    <w:name w:val="141"/>
    <w:qFormat/>
    <w:rPr>
      <w:sz w:val="21"/>
      <w:szCs w:val="21"/>
    </w:rPr>
  </w:style>
  <w:style w:type="character" w:customStyle="1" w:styleId="h21">
    <w:name w:val="h21"/>
    <w:qFormat/>
    <w:rPr>
      <w:rFonts w:ascii="Tahoma" w:hAnsi="Tahoma" w:cs="Tahoma" w:hint="default"/>
      <w:b/>
      <w:bCs/>
      <w:color w:val="333399"/>
      <w:sz w:val="20"/>
      <w:szCs w:val="20"/>
    </w:rPr>
  </w:style>
  <w:style w:type="character" w:customStyle="1" w:styleId="CharCharffff9">
    <w:name w:val="表中文字 Char Char"/>
    <w:qFormat/>
    <w:rPr>
      <w:rFonts w:ascii="宋体" w:hAnsi="Courier New"/>
      <w:kern w:val="2"/>
      <w:sz w:val="21"/>
    </w:rPr>
  </w:style>
  <w:style w:type="character" w:customStyle="1" w:styleId="ca-11">
    <w:name w:val="ca-11"/>
    <w:qFormat/>
    <w:rPr>
      <w:rFonts w:ascii="宋体" w:eastAsia="宋体" w:hAnsi="宋体" w:hint="eastAsia"/>
      <w:color w:val="000000"/>
      <w:sz w:val="28"/>
      <w:szCs w:val="28"/>
    </w:rPr>
  </w:style>
  <w:style w:type="character" w:customStyle="1" w:styleId="hp">
    <w:name w:val="hp"/>
    <w:qFormat/>
    <w:rPr>
      <w:rFonts w:eastAsia="宋体"/>
      <w:b/>
      <w:bCs/>
      <w:sz w:val="28"/>
      <w:szCs w:val="28"/>
      <w:lang w:val="en-US" w:eastAsia="zh-CN" w:bidi="ar-SA"/>
    </w:rPr>
  </w:style>
  <w:style w:type="character" w:customStyle="1" w:styleId="unnamed31">
    <w:name w:val="unnamed31"/>
    <w:qFormat/>
    <w:rPr>
      <w:sz w:val="18"/>
      <w:szCs w:val="18"/>
    </w:rPr>
  </w:style>
  <w:style w:type="character" w:customStyle="1" w:styleId="1ffc">
    <w:name w:val="Основной текст1"/>
    <w:qFormat/>
    <w:rPr>
      <w:rFonts w:ascii="Times New Roman" w:eastAsia="Times New Roman" w:hAnsi="Times New Roman" w:cs="Times New Roman"/>
      <w:sz w:val="26"/>
      <w:szCs w:val="26"/>
      <w:shd w:val="clear" w:color="auto" w:fill="FFFFFF"/>
      <w:lang w:bidi="ar-SA"/>
    </w:rPr>
  </w:style>
  <w:style w:type="character" w:customStyle="1" w:styleId="1CharCharf1">
    <w:name w:val="样式_正文_1 Char Char"/>
    <w:link w:val="1ffd"/>
    <w:qFormat/>
    <w:rPr>
      <w:rFonts w:ascii="Garamond" w:hAnsi="Garamond"/>
      <w:kern w:val="2"/>
      <w:sz w:val="28"/>
      <w:szCs w:val="28"/>
      <w:lang w:val="en-US" w:eastAsia="zh-CN" w:bidi="ar-SA"/>
    </w:rPr>
  </w:style>
  <w:style w:type="paragraph" w:customStyle="1" w:styleId="1ffd">
    <w:name w:val="样式_正文_1"/>
    <w:link w:val="1CharCharf1"/>
    <w:qFormat/>
    <w:pPr>
      <w:spacing w:beforeLines="100" w:afterLines="50" w:line="360" w:lineRule="auto"/>
      <w:ind w:leftChars="-1" w:left="-2" w:firstLineChars="192" w:firstLine="538"/>
      <w:jc w:val="both"/>
    </w:pPr>
    <w:rPr>
      <w:rFonts w:ascii="Garamond" w:hAnsi="Garamond"/>
      <w:kern w:val="2"/>
      <w:sz w:val="28"/>
      <w:szCs w:val="28"/>
    </w:rPr>
  </w:style>
  <w:style w:type="character" w:customStyle="1" w:styleId="22CharChar2Char112Char2CharChChar">
    <w:name w:val="样式 标题 2标题 2 Char Char节标题标题 2 Char1节1标题 2 Char标题 2 Char Ch... Char"/>
    <w:link w:val="22CharChar2Char112Char2CharCh"/>
    <w:qFormat/>
    <w:rPr>
      <w:rFonts w:ascii="宋体" w:hAnsi="宋体"/>
      <w:bCs/>
      <w:color w:val="FF0000"/>
      <w:kern w:val="2"/>
      <w:sz w:val="24"/>
      <w:szCs w:val="24"/>
    </w:rPr>
  </w:style>
  <w:style w:type="paragraph" w:customStyle="1" w:styleId="22CharChar2Char112Char2CharCh">
    <w:name w:val="样式 标题 2标题 2 Char Char节标题标题 2 Char1节1标题 2 Char标题 2 Char Ch..."/>
    <w:basedOn w:val="22"/>
    <w:link w:val="22CharChar2Char112Char2CharChChar"/>
    <w:qFormat/>
    <w:pPr>
      <w:tabs>
        <w:tab w:val="left" w:pos="567"/>
      </w:tabs>
      <w:spacing w:before="100" w:beforeAutospacing="1" w:after="100" w:afterAutospacing="1"/>
      <w:ind w:firstLine="240"/>
      <w:jc w:val="left"/>
    </w:pPr>
    <w:rPr>
      <w:b/>
      <w:color w:val="FF0000"/>
      <w:spacing w:val="0"/>
      <w:w w:val="100"/>
      <w:kern w:val="2"/>
      <w:sz w:val="24"/>
      <w:szCs w:val="24"/>
    </w:rPr>
  </w:style>
  <w:style w:type="character" w:customStyle="1" w:styleId="4Char3">
    <w:name w:val="4刘群正文* Char"/>
    <w:link w:val="4f1"/>
    <w:qFormat/>
    <w:rPr>
      <w:kern w:val="2"/>
      <w:sz w:val="24"/>
      <w:szCs w:val="24"/>
    </w:rPr>
  </w:style>
  <w:style w:type="paragraph" w:customStyle="1" w:styleId="4f1">
    <w:name w:val="4刘群正文*"/>
    <w:basedOn w:val="a6"/>
    <w:link w:val="4Char3"/>
    <w:qFormat/>
    <w:pPr>
      <w:spacing w:line="520" w:lineRule="exact"/>
      <w:ind w:firstLineChars="200" w:firstLine="480"/>
    </w:pPr>
    <w:rPr>
      <w:sz w:val="24"/>
    </w:rPr>
  </w:style>
  <w:style w:type="character" w:customStyle="1" w:styleId="cucd-TBChar">
    <w:name w:val="cucd-TB Char"/>
    <w:link w:val="cucd-TB"/>
    <w:qFormat/>
    <w:rPr>
      <w:kern w:val="2"/>
      <w:sz w:val="21"/>
      <w:szCs w:val="24"/>
      <w:lang w:val="en-US" w:eastAsia="zh-CN" w:bidi="ar-SA"/>
    </w:rPr>
  </w:style>
  <w:style w:type="paragraph" w:customStyle="1" w:styleId="cucd-TB">
    <w:name w:val="cucd-TB"/>
    <w:link w:val="cucd-TBChar"/>
    <w:qFormat/>
    <w:pPr>
      <w:spacing w:line="360" w:lineRule="auto"/>
      <w:jc w:val="center"/>
    </w:pPr>
    <w:rPr>
      <w:kern w:val="2"/>
      <w:sz w:val="21"/>
      <w:szCs w:val="24"/>
    </w:rPr>
  </w:style>
  <w:style w:type="character" w:customStyle="1" w:styleId="style111">
    <w:name w:val="style111"/>
    <w:qFormat/>
    <w:rPr>
      <w:sz w:val="14"/>
      <w:szCs w:val="14"/>
      <w:u w:val="none"/>
      <w:vertAlign w:val="subscript"/>
    </w:rPr>
  </w:style>
  <w:style w:type="character" w:customStyle="1" w:styleId="apple-converted-space">
    <w:name w:val="apple-converted-space"/>
    <w:qFormat/>
  </w:style>
  <w:style w:type="character" w:customStyle="1" w:styleId="CharCharCharCharCharCharCharCharCharCharCharCharCharCharCharCharCharCharCharCharCharCharCharCharCharCharCharCharCharCharCharCharCharCharCharCharCharCharCharCharCharCharCharCharCharCharCharChar">
    <w:name w:val="正文（首行缩进两字） Char Char Char Char Char Char Char Char Char Char Char Char Char Char Char Char Char Char Char Char Char Char Char Char Char Char Char Char Char Char Char Char Char Char Char Char Char Char Char Char Char Char Char Char Char Char Char Char"/>
    <w:qFormat/>
    <w:rPr>
      <w:rFonts w:ascii="宋体" w:eastAsia="宋体"/>
      <w:sz w:val="24"/>
      <w:lang w:val="en-US" w:eastAsia="zh-CN" w:bidi="ar-SA"/>
    </w:rPr>
  </w:style>
  <w:style w:type="character" w:customStyle="1" w:styleId="articlebody3">
    <w:name w:val="articlebody3"/>
    <w:qFormat/>
    <w:rPr>
      <w:sz w:val="21"/>
      <w:szCs w:val="21"/>
    </w:rPr>
  </w:style>
  <w:style w:type="character" w:customStyle="1" w:styleId="CharCharffffa">
    <w:name w:val="中文报告书样式 Char Char"/>
    <w:link w:val="afffffffffffffa"/>
    <w:qFormat/>
    <w:rPr>
      <w:rFonts w:ascii="宋体" w:hAnsi="宋体"/>
      <w:sz w:val="24"/>
    </w:rPr>
  </w:style>
  <w:style w:type="paragraph" w:customStyle="1" w:styleId="afffffffffffffa">
    <w:name w:val="中文报告书样式"/>
    <w:basedOn w:val="a6"/>
    <w:link w:val="CharCharffffa"/>
    <w:qFormat/>
    <w:pPr>
      <w:adjustRightInd w:val="0"/>
      <w:snapToGrid w:val="0"/>
      <w:spacing w:line="360" w:lineRule="auto"/>
      <w:ind w:firstLineChars="200" w:firstLine="480"/>
      <w:jc w:val="left"/>
      <w:textAlignment w:val="baseline"/>
    </w:pPr>
    <w:rPr>
      <w:rFonts w:ascii="宋体" w:hAnsi="宋体"/>
      <w:kern w:val="0"/>
      <w:sz w:val="24"/>
      <w:szCs w:val="20"/>
    </w:rPr>
  </w:style>
  <w:style w:type="character" w:customStyle="1" w:styleId="1CharCharf2">
    <w:name w:val="表－左对齐1 Char Char"/>
    <w:qFormat/>
    <w:rPr>
      <w:rFonts w:ascii="宋体" w:eastAsia="宋体" w:hAnsi="宋体" w:cs="宋体"/>
      <w:sz w:val="21"/>
      <w:szCs w:val="21"/>
      <w:lang w:val="en-US" w:eastAsia="ja-JP" w:bidi="ar-SA"/>
    </w:rPr>
  </w:style>
  <w:style w:type="character" w:customStyle="1" w:styleId="CharCharCharfc">
    <w:name w:val="表头 Char Char Char"/>
    <w:qFormat/>
    <w:rPr>
      <w:rFonts w:ascii="Times New Roman" w:eastAsia="黑体" w:hAnsi="Times New Roman"/>
      <w:color w:val="000000"/>
      <w:spacing w:val="-10"/>
      <w:sz w:val="21"/>
    </w:rPr>
  </w:style>
  <w:style w:type="character" w:customStyle="1" w:styleId="Char2f6">
    <w:name w:val="电子邮件签名 Char2"/>
    <w:qFormat/>
    <w:rPr>
      <w:kern w:val="2"/>
      <w:sz w:val="24"/>
      <w:szCs w:val="24"/>
    </w:rPr>
  </w:style>
  <w:style w:type="character" w:customStyle="1" w:styleId="CharChar24">
    <w:name w:val="Char Char24"/>
    <w:qFormat/>
    <w:rPr>
      <w:rFonts w:eastAsia="宋体"/>
      <w:b/>
      <w:bCs/>
      <w:kern w:val="44"/>
      <w:sz w:val="44"/>
      <w:szCs w:val="44"/>
      <w:lang w:val="en-US" w:eastAsia="zh-CN" w:bidi="ar-SA"/>
    </w:rPr>
  </w:style>
  <w:style w:type="character" w:customStyle="1" w:styleId="dan7-1Char">
    <w:name w:val="dan7-1 Char"/>
    <w:qFormat/>
    <w:rPr>
      <w:rFonts w:ascii="Times New Roman" w:eastAsia="宋体" w:hAnsi="Times New Roman" w:cs="Times New Roman"/>
      <w:sz w:val="24"/>
      <w:szCs w:val="24"/>
    </w:rPr>
  </w:style>
  <w:style w:type="character" w:customStyle="1" w:styleId="font191">
    <w:name w:val="font191"/>
    <w:qFormat/>
    <w:rPr>
      <w:rFonts w:ascii="宋体" w:eastAsia="宋体" w:hAnsi="宋体" w:hint="eastAsia"/>
      <w:color w:val="000000"/>
      <w:sz w:val="21"/>
      <w:szCs w:val="21"/>
      <w:u w:val="none"/>
      <w:vertAlign w:val="subscript"/>
    </w:rPr>
  </w:style>
  <w:style w:type="character" w:customStyle="1" w:styleId="3Char21">
    <w:name w:val="正文文本 3 Char2"/>
    <w:uiPriority w:val="99"/>
    <w:qFormat/>
    <w:rPr>
      <w:kern w:val="2"/>
      <w:sz w:val="16"/>
      <w:szCs w:val="16"/>
    </w:rPr>
  </w:style>
  <w:style w:type="character" w:customStyle="1" w:styleId="Char1ff6">
    <w:name w:val="图表标题 Char1"/>
    <w:qFormat/>
    <w:rPr>
      <w:rFonts w:hAnsi="宋体"/>
      <w:b/>
      <w:kern w:val="2"/>
      <w:sz w:val="21"/>
      <w:szCs w:val="21"/>
    </w:rPr>
  </w:style>
  <w:style w:type="character" w:customStyle="1" w:styleId="main11">
    <w:name w:val="main11"/>
    <w:qFormat/>
    <w:rPr>
      <w:sz w:val="21"/>
      <w:szCs w:val="21"/>
    </w:rPr>
  </w:style>
  <w:style w:type="character" w:customStyle="1" w:styleId="CharChar241">
    <w:name w:val="Char Char241"/>
    <w:qFormat/>
    <w:rPr>
      <w:rFonts w:ascii="Arial" w:eastAsia="黑体" w:hAnsi="Arial"/>
      <w:b/>
      <w:bCs/>
      <w:kern w:val="2"/>
      <w:sz w:val="32"/>
      <w:szCs w:val="32"/>
      <w:lang w:val="en-US" w:eastAsia="zh-CN" w:bidi="ar-SA"/>
    </w:rPr>
  </w:style>
  <w:style w:type="character" w:customStyle="1" w:styleId="new-title1">
    <w:name w:val="new-title1"/>
    <w:qFormat/>
    <w:rPr>
      <w:b/>
      <w:bCs/>
      <w:color w:val="FF0000"/>
      <w:sz w:val="24"/>
      <w:szCs w:val="24"/>
    </w:rPr>
  </w:style>
  <w:style w:type="character" w:customStyle="1" w:styleId="Char3c">
    <w:name w:val="结束语 Char3"/>
    <w:basedOn w:val="a7"/>
    <w:uiPriority w:val="99"/>
    <w:semiHidden/>
    <w:qFormat/>
  </w:style>
  <w:style w:type="character" w:customStyle="1" w:styleId="st1">
    <w:name w:val="st1"/>
    <w:basedOn w:val="a7"/>
    <w:qFormat/>
  </w:style>
  <w:style w:type="character" w:customStyle="1" w:styleId="Char1ff7">
    <w:name w:val="非标题二级条 Char1"/>
    <w:link w:val="afffffffffffffb"/>
    <w:qFormat/>
    <w:rPr>
      <w:rFonts w:ascii="宋体" w:hAnsi="Arial"/>
      <w:sz w:val="24"/>
      <w:szCs w:val="24"/>
    </w:rPr>
  </w:style>
  <w:style w:type="paragraph" w:customStyle="1" w:styleId="afffffffffffffb">
    <w:name w:val="非标题二级条"/>
    <w:basedOn w:val="41"/>
    <w:next w:val="a6"/>
    <w:link w:val="Char1ff7"/>
    <w:qFormat/>
    <w:pPr>
      <w:keepNext w:val="0"/>
      <w:keepLines w:val="0"/>
      <w:widowControl/>
      <w:tabs>
        <w:tab w:val="left" w:pos="3018"/>
      </w:tabs>
      <w:adjustRightInd/>
      <w:snapToGrid/>
      <w:spacing w:beforeLines="0" w:before="0" w:line="360" w:lineRule="auto"/>
      <w:ind w:left="945"/>
      <w:jc w:val="left"/>
    </w:pPr>
    <w:rPr>
      <w:rFonts w:ascii="宋体" w:eastAsia="宋体" w:hAnsi="Arial"/>
      <w:bCs w:val="0"/>
      <w:kern w:val="0"/>
      <w:sz w:val="24"/>
      <w:szCs w:val="24"/>
    </w:rPr>
  </w:style>
  <w:style w:type="character" w:customStyle="1" w:styleId="75CharChar">
    <w:name w:val="标题 7表内5号 Char Char"/>
    <w:qFormat/>
    <w:rPr>
      <w:rFonts w:eastAsia="宋体"/>
      <w:b/>
      <w:bCs/>
      <w:kern w:val="2"/>
      <w:sz w:val="24"/>
      <w:szCs w:val="24"/>
      <w:lang w:val="en-US" w:eastAsia="zh-CN" w:bidi="ar-SA"/>
    </w:rPr>
  </w:style>
  <w:style w:type="character" w:customStyle="1" w:styleId="MainHeadingCharChar">
    <w:name w:val="Main Heading Char Char"/>
    <w:qFormat/>
    <w:rPr>
      <w:rFonts w:ascii="Times New Roman" w:eastAsia="宋体" w:hAnsi="Times New Roman" w:cs="Times New Roman"/>
      <w:bCs/>
      <w:kern w:val="44"/>
      <w:sz w:val="28"/>
      <w:szCs w:val="44"/>
    </w:rPr>
  </w:style>
  <w:style w:type="character" w:customStyle="1" w:styleId="Char1ff8">
    <w:name w:val="表头 Char1"/>
    <w:qFormat/>
    <w:rPr>
      <w:rFonts w:ascii="宋体" w:eastAsia="宋体" w:hAnsi="宋体" w:cs="宋体"/>
      <w:b/>
      <w:bCs/>
      <w:kern w:val="32"/>
      <w:sz w:val="24"/>
      <w:szCs w:val="28"/>
      <w:lang w:val="en-US" w:eastAsia="zh-CN" w:bidi="ar-SA"/>
    </w:rPr>
  </w:style>
  <w:style w:type="character" w:customStyle="1" w:styleId="afffffffffffffc">
    <w:name w:val="条文文字或注释文字上标"/>
    <w:qFormat/>
    <w:rPr>
      <w:vertAlign w:val="superscript"/>
    </w:rPr>
  </w:style>
  <w:style w:type="character" w:customStyle="1" w:styleId="0012Char">
    <w:name w:val="样式 正文001 + 首行缩进:  2 字符 Char"/>
    <w:link w:val="0012"/>
    <w:qFormat/>
    <w:rPr>
      <w:kern w:val="2"/>
      <w:sz w:val="24"/>
    </w:rPr>
  </w:style>
  <w:style w:type="paragraph" w:customStyle="1" w:styleId="0012">
    <w:name w:val="样式 正文001 + 首行缩进:  2 字符"/>
    <w:basedOn w:val="a6"/>
    <w:link w:val="0012Char"/>
    <w:qFormat/>
    <w:pPr>
      <w:spacing w:before="60" w:line="460" w:lineRule="atLeast"/>
      <w:ind w:firstLineChars="200" w:firstLine="480"/>
    </w:pPr>
    <w:rPr>
      <w:sz w:val="24"/>
      <w:szCs w:val="20"/>
    </w:rPr>
  </w:style>
  <w:style w:type="character" w:customStyle="1" w:styleId="2TimesNewRomanChar1">
    <w:name w:val="正文首行缩进 2 + Times New Roman Char1"/>
    <w:qFormat/>
    <w:rPr>
      <w:sz w:val="24"/>
      <w:szCs w:val="24"/>
    </w:rPr>
  </w:style>
  <w:style w:type="character" w:customStyle="1" w:styleId="CharCharffffb">
    <w:name w:val="题注 Char Char"/>
    <w:qFormat/>
    <w:rPr>
      <w:rFonts w:ascii="Arial" w:eastAsia="黑体" w:hAnsi="Arial" w:cs="Arial"/>
      <w:kern w:val="2"/>
      <w:lang w:val="en-US" w:eastAsia="zh-CN" w:bidi="ar-SA"/>
    </w:rPr>
  </w:style>
  <w:style w:type="character" w:customStyle="1" w:styleId="2ffe">
    <w:name w:val="占位符文本2"/>
    <w:qFormat/>
    <w:rPr>
      <w:color w:val="808080"/>
    </w:rPr>
  </w:style>
  <w:style w:type="character" w:customStyle="1" w:styleId="ta14">
    <w:name w:val="ta14"/>
    <w:qFormat/>
  </w:style>
  <w:style w:type="character" w:customStyle="1" w:styleId="CharCharChar70">
    <w:name w:val="Char Char Char7"/>
    <w:qFormat/>
    <w:rPr>
      <w:rFonts w:ascii="宋体" w:eastAsia="宋体" w:hAnsi="宋体" w:hint="eastAsia"/>
      <w:b/>
      <w:bCs/>
      <w:sz w:val="32"/>
      <w:szCs w:val="32"/>
      <w:lang w:val="en-US" w:eastAsia="zh-CN"/>
    </w:rPr>
  </w:style>
  <w:style w:type="character" w:customStyle="1" w:styleId="Charfffffffff2">
    <w:name w:val="图号 Char"/>
    <w:qFormat/>
    <w:rPr>
      <w:rFonts w:eastAsia="宋体"/>
      <w:b/>
      <w:bCs/>
      <w:kern w:val="32"/>
      <w:sz w:val="24"/>
      <w:szCs w:val="24"/>
      <w:lang w:val="en-US" w:eastAsia="zh-CN"/>
    </w:rPr>
  </w:style>
  <w:style w:type="character" w:customStyle="1" w:styleId="CharAttribute66">
    <w:name w:val="CharAttribute66"/>
    <w:qFormat/>
    <w:rPr>
      <w:rFonts w:ascii="Arial" w:eastAsia="Arial" w:hAnsi="Arial"/>
      <w:b/>
      <w:sz w:val="24"/>
    </w:rPr>
  </w:style>
  <w:style w:type="character" w:customStyle="1" w:styleId="3Char12">
    <w:name w:val="正文文本缩进 3 Char1"/>
    <w:qFormat/>
    <w:rPr>
      <w:rFonts w:ascii="Times New Roman" w:eastAsia="宋体" w:hAnsi="Times New Roman" w:cs="Times New Roman"/>
      <w:sz w:val="16"/>
      <w:szCs w:val="16"/>
    </w:rPr>
  </w:style>
  <w:style w:type="character" w:customStyle="1" w:styleId="1Char14">
    <w:name w:val="表格1 Char1"/>
    <w:qFormat/>
    <w:rPr>
      <w:rFonts w:ascii="宋体" w:hAnsi="Impact"/>
      <w:kern w:val="24"/>
      <w:sz w:val="28"/>
    </w:rPr>
  </w:style>
  <w:style w:type="character" w:customStyle="1" w:styleId="555Char">
    <w:name w:val="555 Char"/>
    <w:link w:val="555"/>
    <w:qFormat/>
    <w:rPr>
      <w:rFonts w:ascii="Arial" w:eastAsia="楷体_GB2312" w:hAnsi="Arial"/>
      <w:kern w:val="2"/>
      <w:sz w:val="28"/>
    </w:rPr>
  </w:style>
  <w:style w:type="paragraph" w:customStyle="1" w:styleId="555">
    <w:name w:val="555"/>
    <w:basedOn w:val="a6"/>
    <w:link w:val="555Char"/>
    <w:qFormat/>
    <w:pPr>
      <w:spacing w:line="360" w:lineRule="auto"/>
      <w:ind w:firstLineChars="200" w:firstLine="527"/>
    </w:pPr>
    <w:rPr>
      <w:rFonts w:ascii="Arial" w:eastAsia="楷体_GB2312" w:hAnsi="Arial"/>
      <w:sz w:val="28"/>
      <w:szCs w:val="20"/>
    </w:rPr>
  </w:style>
  <w:style w:type="character" w:customStyle="1" w:styleId="Char1ff9">
    <w:name w:val="表中文字 Char1"/>
    <w:link w:val="afffffffffffffd"/>
    <w:qFormat/>
    <w:rPr>
      <w:rFonts w:ascii="宋体"/>
      <w:sz w:val="24"/>
    </w:rPr>
  </w:style>
  <w:style w:type="paragraph" w:customStyle="1" w:styleId="afffffffffffffd">
    <w:name w:val="表中文字"/>
    <w:basedOn w:val="a6"/>
    <w:link w:val="Char1ff9"/>
    <w:qFormat/>
    <w:pPr>
      <w:jc w:val="center"/>
    </w:pPr>
    <w:rPr>
      <w:rFonts w:ascii="宋体"/>
      <w:kern w:val="0"/>
      <w:sz w:val="24"/>
      <w:szCs w:val="20"/>
    </w:rPr>
  </w:style>
  <w:style w:type="character" w:customStyle="1" w:styleId="CharCharffffc">
    <w:name w:val="一标题 Char Char"/>
    <w:qFormat/>
    <w:rPr>
      <w:rFonts w:eastAsia="宋体"/>
      <w:sz w:val="28"/>
      <w:lang w:bidi="ar-SA"/>
    </w:rPr>
  </w:style>
  <w:style w:type="character" w:customStyle="1" w:styleId="style31">
    <w:name w:val="style31"/>
    <w:qFormat/>
    <w:rPr>
      <w:b/>
      <w:bCs/>
      <w:color w:val="3795D2"/>
      <w:sz w:val="21"/>
      <w:szCs w:val="21"/>
    </w:rPr>
  </w:style>
  <w:style w:type="character" w:customStyle="1" w:styleId="Char2f7">
    <w:name w:val="表文字 Char2"/>
    <w:qFormat/>
    <w:rPr>
      <w:rFonts w:eastAsia="宋体"/>
      <w:sz w:val="21"/>
      <w:szCs w:val="21"/>
      <w:lang w:val="en-US" w:eastAsia="zh-CN" w:bidi="ar-SA"/>
    </w:rPr>
  </w:style>
  <w:style w:type="character" w:customStyle="1" w:styleId="CharChar110">
    <w:name w:val="Char Char11"/>
    <w:qFormat/>
    <w:rPr>
      <w:rFonts w:eastAsia="宋体"/>
      <w:kern w:val="2"/>
      <w:sz w:val="24"/>
      <w:szCs w:val="16"/>
      <w:lang w:val="en-US" w:eastAsia="zh-CN" w:bidi="ar-SA"/>
    </w:rPr>
  </w:style>
  <w:style w:type="character" w:customStyle="1" w:styleId="CharCharffffd">
    <w:name w:val="表格文字 Char Char"/>
    <w:qFormat/>
    <w:rPr>
      <w:rFonts w:ascii="仿宋_GB2312" w:eastAsia="仿宋_GB2312" w:hAnsi="Arial Black"/>
      <w:kern w:val="44"/>
      <w:sz w:val="24"/>
    </w:rPr>
  </w:style>
  <w:style w:type="character" w:customStyle="1" w:styleId="afffffffffffffe">
    <w:name w:val="样式 宋体 小四"/>
    <w:qFormat/>
    <w:rPr>
      <w:rFonts w:ascii="楷体_GB2312" w:eastAsia="楷体_GB2312" w:hAnsi="楷体_GB2312" w:cs="楷体_GB2312"/>
      <w:sz w:val="24"/>
      <w:szCs w:val="24"/>
    </w:rPr>
  </w:style>
  <w:style w:type="character" w:customStyle="1" w:styleId="1CharCharCharCharCharCharCharChar">
    <w:name w:val="标题 1 Char Char Char Char Char Char Char Char"/>
    <w:qFormat/>
    <w:rPr>
      <w:rFonts w:ascii="宋体" w:eastAsia="宋体" w:hAnsi="宋体" w:cs="宋体"/>
      <w:kern w:val="44"/>
      <w:sz w:val="28"/>
      <w:szCs w:val="24"/>
      <w:lang w:val="en-US" w:eastAsia="zh-CN" w:bidi="ar-SA"/>
    </w:rPr>
  </w:style>
  <w:style w:type="character" w:customStyle="1" w:styleId="style61">
    <w:name w:val="style61"/>
    <w:qFormat/>
    <w:rPr>
      <w:b/>
      <w:bCs/>
      <w:sz w:val="27"/>
      <w:szCs w:val="27"/>
    </w:rPr>
  </w:style>
  <w:style w:type="character" w:customStyle="1" w:styleId="9dpi1">
    <w:name w:val="9dpi1"/>
    <w:qFormat/>
    <w:rPr>
      <w:spacing w:val="30"/>
      <w:sz w:val="18"/>
    </w:rPr>
  </w:style>
  <w:style w:type="character" w:customStyle="1" w:styleId="220CharCharChar">
    <w:name w:val="标题 2 + 行距: 标题2+首行缩进 0倍 Char Char Char"/>
    <w:qFormat/>
    <w:rPr>
      <w:rFonts w:ascii="黑体" w:eastAsia="黑体"/>
      <w:sz w:val="30"/>
      <w:lang w:val="en-US" w:eastAsia="zh-CN" w:bidi="ar-SA"/>
    </w:rPr>
  </w:style>
  <w:style w:type="character" w:customStyle="1" w:styleId="7Char0">
    <w:name w:val="样式7 Char"/>
    <w:link w:val="75"/>
    <w:qFormat/>
    <w:rPr>
      <w:spacing w:val="6"/>
      <w:sz w:val="18"/>
    </w:rPr>
  </w:style>
  <w:style w:type="paragraph" w:customStyle="1" w:styleId="75">
    <w:name w:val="样式7"/>
    <w:basedOn w:val="5f"/>
    <w:link w:val="7Char0"/>
    <w:qFormat/>
    <w:pPr>
      <w:ind w:left="-57" w:right="-57"/>
    </w:pPr>
    <w:rPr>
      <w:spacing w:val="6"/>
    </w:rPr>
  </w:style>
  <w:style w:type="character" w:customStyle="1" w:styleId="E001CharCharCharCharCharChar">
    <w:name w:val="E 正文001 Char Char Char Char Char Char"/>
    <w:qFormat/>
    <w:rPr>
      <w:rFonts w:ascii="宋体" w:eastAsia="宋体" w:hAnsi="宋体"/>
      <w:kern w:val="2"/>
      <w:sz w:val="28"/>
      <w:lang w:val="en-US" w:eastAsia="zh-CN" w:bidi="ar-SA"/>
    </w:rPr>
  </w:style>
  <w:style w:type="character" w:customStyle="1" w:styleId="hb2CharCharCharCharChar1">
    <w:name w:val="hb2 Char Char Char Char Char1"/>
    <w:link w:val="hb2CharCharCharChar1"/>
    <w:qFormat/>
    <w:rPr>
      <w:rFonts w:ascii="Arial" w:eastAsia="黑体" w:hAnsi="Arial"/>
      <w:kern w:val="2"/>
      <w:sz w:val="30"/>
      <w:szCs w:val="24"/>
    </w:rPr>
  </w:style>
  <w:style w:type="paragraph" w:customStyle="1" w:styleId="hb2CharCharCharChar1">
    <w:name w:val="hb2 Char Char Char Char1"/>
    <w:basedOn w:val="22"/>
    <w:link w:val="hb2CharCharCharCharChar1"/>
    <w:qFormat/>
    <w:pPr>
      <w:keepNext w:val="0"/>
      <w:keepLines w:val="0"/>
      <w:topLinePunct/>
      <w:adjustRightInd w:val="0"/>
      <w:spacing w:before="100" w:beforeAutospacing="1" w:afterLines="50" w:after="100" w:afterAutospacing="1" w:line="416" w:lineRule="atLeast"/>
      <w:jc w:val="left"/>
      <w:textAlignment w:val="baseline"/>
    </w:pPr>
    <w:rPr>
      <w:rFonts w:ascii="Arial" w:hAnsi="Arial"/>
      <w:b/>
      <w:bCs w:val="0"/>
      <w:spacing w:val="0"/>
      <w:w w:val="100"/>
      <w:kern w:val="2"/>
      <w:sz w:val="30"/>
      <w:szCs w:val="24"/>
    </w:rPr>
  </w:style>
  <w:style w:type="character" w:customStyle="1" w:styleId="CharChar121">
    <w:name w:val="Char Char121"/>
    <w:qFormat/>
    <w:rPr>
      <w:rFonts w:eastAsia="宋体"/>
      <w:kern w:val="2"/>
      <w:sz w:val="21"/>
      <w:szCs w:val="24"/>
      <w:lang w:val="en-US" w:eastAsia="zh-CN" w:bidi="ar-SA"/>
    </w:rPr>
  </w:style>
  <w:style w:type="character" w:customStyle="1" w:styleId="EmailStyle4891">
    <w:name w:val="EmailStyle4891"/>
    <w:qFormat/>
    <w:rPr>
      <w:rFonts w:ascii="Arial" w:eastAsia="宋体" w:hAnsi="Arial" w:cs="Arial"/>
      <w:color w:val="auto"/>
      <w:sz w:val="20"/>
    </w:rPr>
  </w:style>
  <w:style w:type="character" w:customStyle="1" w:styleId="Charfffffffff3">
    <w:name w:val="段 Char"/>
    <w:link w:val="affffffffffffff"/>
    <w:qFormat/>
    <w:rPr>
      <w:rFonts w:ascii="宋体"/>
      <w:sz w:val="21"/>
      <w:lang w:val="en-US" w:eastAsia="zh-CN" w:bidi="ar-SA"/>
    </w:rPr>
  </w:style>
  <w:style w:type="paragraph" w:customStyle="1" w:styleId="affffffffffffff">
    <w:name w:val="段"/>
    <w:link w:val="Charfffffffff3"/>
    <w:qFormat/>
    <w:pPr>
      <w:autoSpaceDE w:val="0"/>
      <w:autoSpaceDN w:val="0"/>
      <w:ind w:firstLineChars="200" w:firstLine="200"/>
      <w:jc w:val="both"/>
    </w:pPr>
    <w:rPr>
      <w:rFonts w:ascii="宋体"/>
      <w:sz w:val="21"/>
    </w:rPr>
  </w:style>
  <w:style w:type="character" w:customStyle="1" w:styleId="t31">
    <w:name w:val="t31"/>
    <w:qFormat/>
    <w:rPr>
      <w:rFonts w:cs="Times New Roman"/>
      <w:color w:val="000000"/>
      <w:sz w:val="20"/>
      <w:szCs w:val="20"/>
    </w:rPr>
  </w:style>
  <w:style w:type="character" w:customStyle="1" w:styleId="E001CharCharCharChar">
    <w:name w:val="E 正文001 Char Char Char Char"/>
    <w:link w:val="E001CharCharChar"/>
    <w:qFormat/>
    <w:rPr>
      <w:rFonts w:ascii="宋体" w:hAnsi="宋体"/>
      <w:kern w:val="2"/>
      <w:sz w:val="28"/>
    </w:rPr>
  </w:style>
  <w:style w:type="paragraph" w:customStyle="1" w:styleId="E001CharCharChar">
    <w:name w:val="E 正文001 Char Char Char"/>
    <w:basedOn w:val="a6"/>
    <w:next w:val="a6"/>
    <w:link w:val="E001CharCharCharChar"/>
    <w:qFormat/>
    <w:pPr>
      <w:ind w:firstLineChars="200" w:firstLine="200"/>
    </w:pPr>
    <w:rPr>
      <w:rFonts w:ascii="宋体" w:hAnsi="宋体"/>
      <w:sz w:val="28"/>
      <w:szCs w:val="20"/>
    </w:rPr>
  </w:style>
  <w:style w:type="character" w:customStyle="1" w:styleId="EmailStyle577">
    <w:name w:val="EmailStyle577"/>
    <w:qFormat/>
    <w:rPr>
      <w:rFonts w:ascii="Arial" w:eastAsia="宋体" w:hAnsi="Arial" w:cs="Arial"/>
      <w:color w:val="auto"/>
      <w:sz w:val="20"/>
    </w:rPr>
  </w:style>
  <w:style w:type="character" w:customStyle="1" w:styleId="1ffe">
    <w:name w:val="行号1"/>
    <w:qFormat/>
    <w:rPr>
      <w:rFonts w:ascii="宋体" w:eastAsia="宋体" w:hAnsi="宋体" w:cs="Courier New"/>
      <w:kern w:val="2"/>
      <w:sz w:val="32"/>
      <w:szCs w:val="32"/>
      <w:lang w:val="en-US" w:eastAsia="zh-CN"/>
    </w:rPr>
  </w:style>
  <w:style w:type="character" w:customStyle="1" w:styleId="IntenseQuoteChar">
    <w:name w:val="Intense Quote Char"/>
    <w:link w:val="1fff"/>
    <w:qFormat/>
    <w:rPr>
      <w:b/>
      <w:bCs/>
      <w:i/>
      <w:iCs/>
      <w:color w:val="4F81BD"/>
      <w:sz w:val="22"/>
      <w:szCs w:val="22"/>
      <w:lang w:eastAsia="en-US"/>
    </w:rPr>
  </w:style>
  <w:style w:type="paragraph" w:customStyle="1" w:styleId="1fff">
    <w:name w:val="明显引用1"/>
    <w:basedOn w:val="a6"/>
    <w:next w:val="a6"/>
    <w:link w:val="IntenseQuoteChar"/>
    <w:qFormat/>
    <w:pPr>
      <w:widowControl/>
      <w:pBdr>
        <w:bottom w:val="single" w:sz="4" w:space="4" w:color="4F81BD"/>
      </w:pBdr>
      <w:spacing w:before="200" w:after="280" w:line="276" w:lineRule="auto"/>
      <w:ind w:left="936" w:right="936"/>
      <w:jc w:val="left"/>
    </w:pPr>
    <w:rPr>
      <w:b/>
      <w:bCs/>
      <w:i/>
      <w:iCs/>
      <w:color w:val="4F81BD"/>
      <w:kern w:val="0"/>
      <w:sz w:val="22"/>
      <w:szCs w:val="22"/>
      <w:lang w:eastAsia="en-US"/>
    </w:rPr>
  </w:style>
  <w:style w:type="character" w:customStyle="1" w:styleId="CharCharCharCharChar5">
    <w:name w:val="正文(首行缩进) Char Char Char Char Char"/>
    <w:link w:val="CharCharCharfd"/>
    <w:qFormat/>
    <w:rPr>
      <w:color w:val="000000"/>
      <w:w w:val="110"/>
      <w:sz w:val="24"/>
      <w:szCs w:val="24"/>
    </w:rPr>
  </w:style>
  <w:style w:type="paragraph" w:customStyle="1" w:styleId="CharCharCharfd">
    <w:name w:val="正文(首行缩进) Char Char Char"/>
    <w:basedOn w:val="a6"/>
    <w:link w:val="CharCharCharCharChar5"/>
    <w:qFormat/>
    <w:pPr>
      <w:spacing w:line="360" w:lineRule="auto"/>
      <w:ind w:firstLineChars="200" w:firstLine="480"/>
    </w:pPr>
    <w:rPr>
      <w:color w:val="000000"/>
      <w:w w:val="110"/>
      <w:kern w:val="0"/>
      <w:sz w:val="24"/>
    </w:rPr>
  </w:style>
  <w:style w:type="character" w:customStyle="1" w:styleId="022CharChar">
    <w:name w:val="022 Char Char"/>
    <w:link w:val="022"/>
    <w:qFormat/>
    <w:rPr>
      <w:rFonts w:ascii="宋体" w:hAnsi="Courier New"/>
      <w:kern w:val="2"/>
      <w:sz w:val="24"/>
    </w:rPr>
  </w:style>
  <w:style w:type="paragraph" w:customStyle="1" w:styleId="022">
    <w:name w:val="022"/>
    <w:basedOn w:val="a6"/>
    <w:link w:val="022CharChar"/>
    <w:qFormat/>
    <w:pPr>
      <w:spacing w:line="360" w:lineRule="auto"/>
      <w:ind w:firstLineChars="200" w:firstLine="480"/>
    </w:pPr>
    <w:rPr>
      <w:rFonts w:ascii="宋体" w:hAnsi="Courier New"/>
      <w:sz w:val="24"/>
      <w:szCs w:val="20"/>
    </w:rPr>
  </w:style>
  <w:style w:type="character" w:customStyle="1" w:styleId="font171">
    <w:name w:val="font171"/>
    <w:qFormat/>
    <w:rPr>
      <w:rFonts w:ascii="宋体" w:eastAsia="宋体" w:hAnsi="宋体" w:hint="eastAsia"/>
      <w:color w:val="000000"/>
      <w:sz w:val="21"/>
      <w:szCs w:val="21"/>
      <w:u w:val="none"/>
      <w:vertAlign w:val="superscript"/>
    </w:rPr>
  </w:style>
  <w:style w:type="character" w:customStyle="1" w:styleId="CharCharCharfe">
    <w:name w:val="正文样式 Char Char Char"/>
    <w:qFormat/>
    <w:rPr>
      <w:rFonts w:eastAsia="宋体" w:cs="宋体"/>
      <w:kern w:val="2"/>
      <w:sz w:val="24"/>
      <w:szCs w:val="24"/>
      <w:lang w:val="en-US" w:eastAsia="zh-CN" w:bidi="ar-SA"/>
    </w:rPr>
  </w:style>
  <w:style w:type="character" w:customStyle="1" w:styleId="FontStyle12">
    <w:name w:val="Font Style12"/>
    <w:qFormat/>
    <w:rPr>
      <w:rFonts w:ascii="Times New Roman" w:hAnsi="Times New Roman"/>
      <w:spacing w:val="-10"/>
      <w:sz w:val="26"/>
    </w:rPr>
  </w:style>
  <w:style w:type="character" w:customStyle="1" w:styleId="zhangCharChar">
    <w:name w:val="zhang正文 Char Char"/>
    <w:link w:val="zhang"/>
    <w:qFormat/>
    <w:rPr>
      <w:sz w:val="24"/>
    </w:rPr>
  </w:style>
  <w:style w:type="paragraph" w:customStyle="1" w:styleId="zhang">
    <w:name w:val="zhang正文"/>
    <w:basedOn w:val="a6"/>
    <w:link w:val="zhangCharChar"/>
    <w:qFormat/>
    <w:pPr>
      <w:spacing w:line="360" w:lineRule="auto"/>
      <w:ind w:firstLineChars="200" w:firstLine="200"/>
    </w:pPr>
    <w:rPr>
      <w:kern w:val="0"/>
      <w:sz w:val="24"/>
      <w:szCs w:val="20"/>
    </w:rPr>
  </w:style>
  <w:style w:type="character" w:customStyle="1" w:styleId="CharChar28">
    <w:name w:val="Char Char28"/>
    <w:qFormat/>
    <w:rPr>
      <w:rFonts w:eastAsia="宋体"/>
      <w:kern w:val="2"/>
      <w:sz w:val="21"/>
      <w:lang w:val="en-US" w:eastAsia="zh-CN" w:bidi="ar-SA"/>
    </w:rPr>
  </w:style>
  <w:style w:type="character" w:customStyle="1" w:styleId="EmailStyle5551">
    <w:name w:val="EmailStyle5551"/>
    <w:qFormat/>
    <w:rPr>
      <w:rFonts w:ascii="Arial" w:eastAsia="宋体" w:hAnsi="Arial" w:cs="Arial"/>
      <w:color w:val="auto"/>
      <w:sz w:val="20"/>
    </w:rPr>
  </w:style>
  <w:style w:type="character" w:customStyle="1" w:styleId="1CharChar20">
    <w:name w:val="标题 1 Char Char2"/>
    <w:qFormat/>
    <w:rPr>
      <w:rFonts w:ascii="宋体" w:eastAsia="黑体" w:hAnsi="宋体"/>
      <w:b/>
      <w:bCs/>
      <w:kern w:val="44"/>
      <w:sz w:val="32"/>
      <w:szCs w:val="44"/>
      <w:lang w:val="en-US" w:eastAsia="zh-CN" w:bidi="ar-SA"/>
    </w:rPr>
  </w:style>
  <w:style w:type="character" w:customStyle="1" w:styleId="Charfffffffff4">
    <w:name w:val="五级 Char"/>
    <w:link w:val="affffffffffffff0"/>
    <w:qFormat/>
  </w:style>
  <w:style w:type="paragraph" w:customStyle="1" w:styleId="affffffffffffff0">
    <w:name w:val="五级"/>
    <w:basedOn w:val="afffffffffb"/>
    <w:link w:val="Charfffffffff4"/>
    <w:qFormat/>
    <w:pPr>
      <w:outlineLvl w:val="4"/>
    </w:pPr>
  </w:style>
  <w:style w:type="character" w:customStyle="1" w:styleId="4-lsChar">
    <w:name w:val="标题 4-ls Char"/>
    <w:qFormat/>
    <w:rPr>
      <w:rFonts w:eastAsia="黑体"/>
      <w:b/>
      <w:bCs/>
      <w:kern w:val="2"/>
      <w:sz w:val="24"/>
      <w:szCs w:val="28"/>
      <w:lang w:val="en-US" w:eastAsia="zh-CN" w:bidi="ar-SA"/>
    </w:rPr>
  </w:style>
  <w:style w:type="character" w:customStyle="1" w:styleId="9Char0">
    <w:name w:val="样式9 Char"/>
    <w:link w:val="92"/>
    <w:qFormat/>
    <w:rPr>
      <w:kern w:val="2"/>
      <w:sz w:val="24"/>
      <w:szCs w:val="24"/>
    </w:rPr>
  </w:style>
  <w:style w:type="paragraph" w:customStyle="1" w:styleId="92">
    <w:name w:val="样式9"/>
    <w:basedOn w:val="a6"/>
    <w:link w:val="9Char0"/>
    <w:qFormat/>
    <w:pPr>
      <w:snapToGrid w:val="0"/>
      <w:spacing w:line="360" w:lineRule="auto"/>
      <w:ind w:firstLineChars="200" w:firstLine="480"/>
    </w:pPr>
    <w:rPr>
      <w:sz w:val="24"/>
    </w:rPr>
  </w:style>
  <w:style w:type="character" w:customStyle="1" w:styleId="CharCharCharChar9">
    <w:name w:val="题注 Char Char Char Char"/>
    <w:qFormat/>
    <w:rPr>
      <w:rFonts w:eastAsia="仿宋_GB2312"/>
      <w:kern w:val="2"/>
      <w:sz w:val="24"/>
      <w:lang w:val="en-US" w:eastAsia="zh-CN" w:bidi="ar-SA"/>
    </w:rPr>
  </w:style>
  <w:style w:type="character" w:customStyle="1" w:styleId="dandan6-13CharCharChar">
    <w:name w:val="dandan6-13四级以下 Char Char Char"/>
    <w:qFormat/>
    <w:rPr>
      <w:rFonts w:eastAsia="仿宋_GB2312"/>
      <w:b/>
      <w:kern w:val="2"/>
      <w:sz w:val="24"/>
      <w:szCs w:val="24"/>
      <w:lang w:val="en-US" w:eastAsia="zh-CN" w:bidi="ar-SA"/>
    </w:rPr>
  </w:style>
  <w:style w:type="character" w:customStyle="1" w:styleId="CharAttribute18">
    <w:name w:val="CharAttribute18"/>
    <w:qFormat/>
    <w:rPr>
      <w:rFonts w:ascii="宋体" w:eastAsia="宋体" w:hAnsi="宋体"/>
      <w:b/>
      <w:sz w:val="21"/>
    </w:rPr>
  </w:style>
  <w:style w:type="character" w:customStyle="1" w:styleId="yypChar">
    <w:name w:val="yyp Char"/>
    <w:link w:val="yyp"/>
    <w:qFormat/>
    <w:rPr>
      <w:rFonts w:cs="Mangal"/>
      <w:sz w:val="24"/>
      <w:lang w:bidi="hi-IN"/>
    </w:rPr>
  </w:style>
  <w:style w:type="paragraph" w:customStyle="1" w:styleId="yyp">
    <w:name w:val="yyp"/>
    <w:basedOn w:val="a6"/>
    <w:link w:val="yypChar"/>
    <w:qFormat/>
    <w:pPr>
      <w:spacing w:after="120" w:line="360" w:lineRule="auto"/>
      <w:ind w:firstLineChars="200" w:firstLine="480"/>
    </w:pPr>
    <w:rPr>
      <w:rFonts w:cs="Mangal"/>
      <w:kern w:val="0"/>
      <w:sz w:val="24"/>
      <w:szCs w:val="20"/>
      <w:lang w:bidi="hi-IN"/>
    </w:rPr>
  </w:style>
  <w:style w:type="character" w:customStyle="1" w:styleId="CharCharffffe">
    <w:name w:val="报告正文 Char Char"/>
    <w:qFormat/>
    <w:rPr>
      <w:rFonts w:eastAsia="宋体" w:cs="宋体"/>
      <w:kern w:val="2"/>
      <w:sz w:val="24"/>
      <w:szCs w:val="24"/>
      <w:lang w:val="en-US" w:eastAsia="zh-CN" w:bidi="ar-SA"/>
    </w:rPr>
  </w:style>
  <w:style w:type="character" w:customStyle="1" w:styleId="CharChar1a">
    <w:name w:val="章标题(无序号) Char Char1"/>
    <w:qFormat/>
    <w:rPr>
      <w:rFonts w:ascii="Arial" w:hAnsi="Arial"/>
      <w:b/>
      <w:sz w:val="44"/>
    </w:rPr>
  </w:style>
  <w:style w:type="character" w:customStyle="1" w:styleId="022Char">
    <w:name w:val="022 Char"/>
    <w:qFormat/>
    <w:rPr>
      <w:rFonts w:ascii="宋体" w:eastAsia="宋体" w:hAnsi="Courier New"/>
      <w:kern w:val="2"/>
      <w:sz w:val="24"/>
      <w:szCs w:val="24"/>
      <w:lang w:val="en-US" w:eastAsia="zh-CN" w:bidi="ar-SA"/>
    </w:rPr>
  </w:style>
  <w:style w:type="character" w:customStyle="1" w:styleId="100GB2312CharChar">
    <w:name w:val="样式100仿宋_GB2312 Char Char"/>
    <w:qFormat/>
    <w:rPr>
      <w:rFonts w:ascii="仿宋_GB2312" w:eastAsia="仿宋_GB2312"/>
      <w:kern w:val="2"/>
      <w:sz w:val="28"/>
      <w:lang w:val="en-US" w:eastAsia="zh-CN"/>
    </w:rPr>
  </w:style>
  <w:style w:type="character" w:customStyle="1" w:styleId="4CharChar3">
    <w:name w:val="标题 4宋旭峰 Char Char"/>
    <w:qFormat/>
    <w:rPr>
      <w:rFonts w:eastAsia="宋体"/>
      <w:kern w:val="20"/>
      <w:sz w:val="28"/>
      <w:lang w:val="en-US" w:eastAsia="zh-CN" w:bidi="ar-SA"/>
    </w:rPr>
  </w:style>
  <w:style w:type="character" w:customStyle="1" w:styleId="Charfffffffff5">
    <w:name w:val="第五层条 Char"/>
    <w:qFormat/>
    <w:rPr>
      <w:rFonts w:ascii="Arial" w:eastAsia="黑体" w:hAnsi="Arial"/>
      <w:b/>
      <w:bCs/>
      <w:sz w:val="24"/>
      <w:szCs w:val="24"/>
      <w:lang w:val="en-US" w:eastAsia="zh-CN" w:bidi="ar-SA"/>
    </w:rPr>
  </w:style>
  <w:style w:type="character" w:customStyle="1" w:styleId="aCharCharChar">
    <w:name w:val="a) Char Char Char"/>
    <w:qFormat/>
    <w:rPr>
      <w:rFonts w:ascii="宋体" w:eastAsia="宋体" w:hAnsi="宋体" w:cs="宋体"/>
      <w:kern w:val="0"/>
      <w:sz w:val="28"/>
      <w:szCs w:val="20"/>
    </w:rPr>
  </w:style>
  <w:style w:type="character" w:customStyle="1" w:styleId="1Charf0">
    <w:name w:val="（1）标题 Char"/>
    <w:qFormat/>
    <w:rPr>
      <w:rFonts w:eastAsia="宋体"/>
      <w:sz w:val="28"/>
      <w:lang w:bidi="ar-SA"/>
    </w:rPr>
  </w:style>
  <w:style w:type="character" w:customStyle="1" w:styleId="1021CharChar">
    <w:name w:val="样式 列表1 + 左侧:  0 厘米 悬挂缩进: 2 字符1 Char Char"/>
    <w:qFormat/>
    <w:rPr>
      <w:rFonts w:eastAsia="仿宋_GB2312"/>
      <w:kern w:val="2"/>
      <w:sz w:val="28"/>
      <w:lang w:val="en-US" w:eastAsia="zh-CN" w:bidi="ar-SA"/>
    </w:rPr>
  </w:style>
  <w:style w:type="character" w:customStyle="1" w:styleId="3Char7">
    <w:name w:val="样式3 Char"/>
    <w:link w:val="3f9"/>
    <w:qFormat/>
    <w:rPr>
      <w:sz w:val="21"/>
    </w:rPr>
  </w:style>
  <w:style w:type="paragraph" w:customStyle="1" w:styleId="3f9">
    <w:name w:val="样式3"/>
    <w:basedOn w:val="a6"/>
    <w:link w:val="3Char7"/>
    <w:qFormat/>
    <w:pPr>
      <w:adjustRightInd w:val="0"/>
      <w:spacing w:line="360" w:lineRule="atLeast"/>
      <w:ind w:firstLine="482"/>
      <w:textAlignment w:val="baseline"/>
    </w:pPr>
    <w:rPr>
      <w:kern w:val="0"/>
      <w:szCs w:val="20"/>
    </w:rPr>
  </w:style>
  <w:style w:type="character" w:customStyle="1" w:styleId="1Charf1">
    <w:name w:val="表－左对齐1 Char"/>
    <w:link w:val="1fff0"/>
    <w:qFormat/>
    <w:rPr>
      <w:color w:val="000000"/>
      <w:sz w:val="21"/>
      <w:szCs w:val="21"/>
      <w:lang w:eastAsia="ja-JP"/>
    </w:rPr>
  </w:style>
  <w:style w:type="paragraph" w:customStyle="1" w:styleId="1fff0">
    <w:name w:val="表－左对齐1"/>
    <w:link w:val="1Charf1"/>
    <w:qFormat/>
    <w:pPr>
      <w:adjustRightInd w:val="0"/>
      <w:ind w:firstLineChars="50" w:firstLine="50"/>
      <w:jc w:val="both"/>
    </w:pPr>
  </w:style>
  <w:style w:type="paragraph" w:customStyle="1" w:styleId="Charfffffffff6">
    <w:name w:val="表－居中列 Char"/>
    <w:basedOn w:val="a6"/>
    <w:link w:val="CharCharfffff"/>
    <w:qFormat/>
    <w:pPr>
      <w:suppressLineNumbers/>
      <w:suppressAutoHyphens/>
      <w:snapToGrid w:val="0"/>
      <w:spacing w:line="440" w:lineRule="exact"/>
      <w:jc w:val="center"/>
    </w:pPr>
    <w:rPr>
      <w:color w:val="000000"/>
      <w:kern w:val="0"/>
      <w:szCs w:val="21"/>
      <w:lang w:eastAsia="ja-JP"/>
    </w:rPr>
  </w:style>
  <w:style w:type="character" w:customStyle="1" w:styleId="CharCharfffff">
    <w:name w:val="表－居中列 Char Char"/>
    <w:link w:val="Charfffffffff6"/>
    <w:qFormat/>
    <w:rPr>
      <w:color w:val="000000"/>
      <w:sz w:val="21"/>
      <w:szCs w:val="21"/>
      <w:lang w:eastAsia="ja-JP"/>
    </w:rPr>
  </w:style>
  <w:style w:type="character" w:customStyle="1" w:styleId="CharCharChar11">
    <w:name w:val="Char Char Char1"/>
    <w:qFormat/>
    <w:rPr>
      <w:rFonts w:ascii="宋体" w:eastAsia="宋体" w:hAnsi="Courier New" w:cs="宋体"/>
      <w:sz w:val="21"/>
      <w:szCs w:val="21"/>
      <w:lang w:val="en-US" w:eastAsia="zh-CN" w:bidi="ar-SA"/>
    </w:rPr>
  </w:style>
  <w:style w:type="character" w:customStyle="1" w:styleId="HTMLChar1">
    <w:name w:val="HTML 预设格式 Char1"/>
    <w:uiPriority w:val="99"/>
    <w:qFormat/>
    <w:rPr>
      <w:rFonts w:ascii="Courier New" w:eastAsia="宋体" w:hAnsi="Courier New" w:cs="Courier New"/>
      <w:sz w:val="20"/>
      <w:szCs w:val="20"/>
    </w:rPr>
  </w:style>
  <w:style w:type="character" w:customStyle="1" w:styleId="3Char22">
    <w:name w:val="标题 3 Char2"/>
    <w:qFormat/>
    <w:rPr>
      <w:rFonts w:eastAsia="宋体"/>
      <w:b/>
      <w:bCs/>
      <w:kern w:val="2"/>
      <w:sz w:val="28"/>
      <w:szCs w:val="32"/>
      <w:lang w:val="en-US" w:eastAsia="zh-CN" w:bidi="ar-SA"/>
    </w:rPr>
  </w:style>
  <w:style w:type="character" w:customStyle="1" w:styleId="1CharCharChar4">
    <w:name w:val="表格1 Char Char Char"/>
    <w:qFormat/>
    <w:rPr>
      <w:rFonts w:eastAsia="黑体"/>
      <w:spacing w:val="6"/>
      <w:sz w:val="21"/>
      <w:lang w:val="en-US" w:eastAsia="zh-CN" w:bidi="ar-SA"/>
    </w:rPr>
  </w:style>
  <w:style w:type="character" w:customStyle="1" w:styleId="CharCharfffff0">
    <w:name w:val="正文！！！！！ Char Char"/>
    <w:link w:val="affffffffffffff1"/>
    <w:qFormat/>
    <w:rPr>
      <w:rFonts w:ascii="宋体" w:hAnsi="宋体"/>
      <w:color w:val="000000"/>
      <w:w w:val="110"/>
      <w:sz w:val="24"/>
      <w:szCs w:val="24"/>
    </w:rPr>
  </w:style>
  <w:style w:type="paragraph" w:customStyle="1" w:styleId="affffffffffffff1">
    <w:name w:val="正文！！！！！"/>
    <w:basedOn w:val="a6"/>
    <w:link w:val="CharCharfffff0"/>
    <w:qFormat/>
    <w:pPr>
      <w:adjustRightInd w:val="0"/>
      <w:snapToGrid w:val="0"/>
      <w:spacing w:line="360" w:lineRule="auto"/>
      <w:ind w:firstLineChars="200" w:firstLine="200"/>
    </w:pPr>
    <w:rPr>
      <w:rFonts w:ascii="宋体" w:hAnsi="宋体"/>
      <w:color w:val="000000"/>
      <w:w w:val="110"/>
      <w:kern w:val="0"/>
      <w:sz w:val="24"/>
    </w:rPr>
  </w:style>
  <w:style w:type="character" w:customStyle="1" w:styleId="2CharCharChar1">
    <w:name w:val="分目录2 Char Char Char"/>
    <w:qFormat/>
    <w:rPr>
      <w:rFonts w:eastAsia="宋体"/>
      <w:snapToGrid/>
      <w:sz w:val="24"/>
    </w:rPr>
  </w:style>
  <w:style w:type="character" w:customStyle="1" w:styleId="FontStyle375">
    <w:name w:val="Font Style375"/>
    <w:qFormat/>
    <w:rPr>
      <w:rFonts w:ascii="Times New Roman" w:hAnsi="Times New Roman" w:cs="Times New Roman"/>
      <w:sz w:val="22"/>
      <w:szCs w:val="22"/>
    </w:rPr>
  </w:style>
  <w:style w:type="character" w:customStyle="1" w:styleId="01CharChar5">
    <w:name w:val="表格文字01 Char Char"/>
    <w:link w:val="012"/>
    <w:qFormat/>
    <w:rPr>
      <w:color w:val="000000"/>
    </w:rPr>
  </w:style>
  <w:style w:type="paragraph" w:customStyle="1" w:styleId="012">
    <w:name w:val="表格文字01"/>
    <w:basedOn w:val="a6"/>
    <w:link w:val="01CharChar5"/>
    <w:qFormat/>
    <w:pPr>
      <w:wordWrap w:val="0"/>
      <w:overflowPunct w:val="0"/>
      <w:topLinePunct/>
      <w:jc w:val="center"/>
    </w:pPr>
    <w:rPr>
      <w:color w:val="000000"/>
      <w:kern w:val="0"/>
      <w:sz w:val="20"/>
      <w:szCs w:val="20"/>
    </w:rPr>
  </w:style>
  <w:style w:type="character" w:customStyle="1" w:styleId="2Charf4">
    <w:name w:val="表格文字2 Char"/>
    <w:qFormat/>
    <w:rPr>
      <w:rFonts w:ascii="宋体"/>
      <w:sz w:val="24"/>
    </w:rPr>
  </w:style>
  <w:style w:type="character" w:customStyle="1" w:styleId="1CharCharChar5">
    <w:name w:val="1标题 Char Char Char"/>
    <w:qFormat/>
    <w:rPr>
      <w:rFonts w:ascii="宋体" w:eastAsia="宋体" w:hAnsi="宋体"/>
      <w:sz w:val="28"/>
    </w:rPr>
  </w:style>
  <w:style w:type="character" w:customStyle="1" w:styleId="text1">
    <w:name w:val="text1"/>
    <w:qFormat/>
    <w:rPr>
      <w:color w:val="000000"/>
      <w:sz w:val="20"/>
      <w:szCs w:val="20"/>
      <w:u w:val="none"/>
    </w:rPr>
  </w:style>
  <w:style w:type="character" w:customStyle="1" w:styleId="88Char">
    <w:name w:val="正文88 Char"/>
    <w:link w:val="88"/>
    <w:qFormat/>
    <w:rPr>
      <w:rFonts w:ascii="楷体_GB2312" w:eastAsia="楷体_GB2312"/>
      <w:sz w:val="24"/>
      <w:szCs w:val="24"/>
    </w:rPr>
  </w:style>
  <w:style w:type="paragraph" w:customStyle="1" w:styleId="88">
    <w:name w:val="正文88"/>
    <w:basedOn w:val="a6"/>
    <w:link w:val="88Char"/>
    <w:qFormat/>
    <w:pPr>
      <w:tabs>
        <w:tab w:val="left" w:pos="567"/>
      </w:tabs>
      <w:adjustRightInd w:val="0"/>
      <w:spacing w:line="500" w:lineRule="exact"/>
      <w:ind w:firstLineChars="200" w:firstLine="480"/>
    </w:pPr>
    <w:rPr>
      <w:rFonts w:ascii="楷体_GB2312" w:eastAsia="楷体_GB2312"/>
      <w:kern w:val="0"/>
      <w:sz w:val="24"/>
    </w:rPr>
  </w:style>
  <w:style w:type="character" w:customStyle="1" w:styleId="CharCharfffff1">
    <w:name w:val="正文 Char Char"/>
    <w:qFormat/>
    <w:rPr>
      <w:rFonts w:ascii="宋体" w:eastAsia="宋体" w:cs="宋体"/>
      <w:kern w:val="2"/>
      <w:sz w:val="24"/>
      <w:szCs w:val="24"/>
      <w:lang w:val="en-US" w:eastAsia="zh-CN" w:bidi="ar-SA"/>
    </w:rPr>
  </w:style>
  <w:style w:type="character" w:customStyle="1" w:styleId="CharCharCharCharCharCCharCharCharCharCharCharChar">
    <w:name w:val="普通文字 Char Char Char Char Char C Char Char Char Char Char Char Char"/>
    <w:qFormat/>
    <w:rPr>
      <w:rFonts w:ascii="宋体" w:eastAsia="宋体" w:hAnsi="Courier New"/>
      <w:kern w:val="2"/>
      <w:sz w:val="28"/>
      <w:lang w:val="en-US" w:eastAsia="zh-CN" w:bidi="ar-SA"/>
    </w:rPr>
  </w:style>
  <w:style w:type="character" w:customStyle="1" w:styleId="line41">
    <w:name w:val="line41"/>
    <w:qFormat/>
  </w:style>
  <w:style w:type="character" w:customStyle="1" w:styleId="CharCharfffff2">
    <w:name w:val="表头规定 Char Char"/>
    <w:link w:val="affffffffffffff2"/>
    <w:qFormat/>
    <w:rPr>
      <w:rFonts w:ascii="宋体" w:eastAsia="黑体" w:hAnsi="宋体"/>
      <w:bCs/>
      <w:kern w:val="2"/>
      <w:sz w:val="24"/>
      <w:szCs w:val="32"/>
    </w:rPr>
  </w:style>
  <w:style w:type="paragraph" w:customStyle="1" w:styleId="affffffffffffff2">
    <w:name w:val="表头规定"/>
    <w:basedOn w:val="a6"/>
    <w:link w:val="CharCharfffff2"/>
    <w:qFormat/>
    <w:pPr>
      <w:keepNext/>
      <w:keepLines/>
      <w:tabs>
        <w:tab w:val="left" w:pos="360"/>
      </w:tabs>
      <w:spacing w:line="360" w:lineRule="auto"/>
      <w:jc w:val="center"/>
    </w:pPr>
    <w:rPr>
      <w:rFonts w:ascii="宋体" w:eastAsia="黑体" w:hAnsi="宋体"/>
      <w:bCs/>
      <w:sz w:val="24"/>
      <w:szCs w:val="32"/>
    </w:rPr>
  </w:style>
  <w:style w:type="character" w:customStyle="1" w:styleId="z-Char1">
    <w:name w:val="z-窗体底端 Char1"/>
    <w:qFormat/>
    <w:rPr>
      <w:rFonts w:ascii="Arial" w:hAnsi="Arial"/>
      <w:vanish/>
      <w:color w:val="000000"/>
      <w:w w:val="110"/>
      <w:kern w:val="0"/>
      <w:sz w:val="16"/>
    </w:rPr>
  </w:style>
  <w:style w:type="character" w:customStyle="1" w:styleId="0Char0">
    <w:name w:val="0 Char"/>
    <w:qFormat/>
    <w:rPr>
      <w:rFonts w:ascii="Times New Roman" w:eastAsia="宋体" w:hAnsi="Times New Roman" w:cs="Times New Roman"/>
      <w:color w:val="000000"/>
      <w:w w:val="110"/>
      <w:kern w:val="0"/>
      <w:sz w:val="24"/>
      <w:szCs w:val="21"/>
    </w:rPr>
  </w:style>
  <w:style w:type="character" w:customStyle="1" w:styleId="11Char2">
    <w:name w:val="正文11 Char"/>
    <w:link w:val="116"/>
    <w:qFormat/>
    <w:rPr>
      <w:rFonts w:ascii="宋体" w:hAnsi="宋体" w:cs="宋体"/>
      <w:sz w:val="24"/>
      <w:lang w:val="en-US" w:eastAsia="zh-CN" w:bidi="ar-SA"/>
    </w:rPr>
  </w:style>
  <w:style w:type="paragraph" w:customStyle="1" w:styleId="116">
    <w:name w:val="正文11"/>
    <w:next w:val="a6"/>
    <w:link w:val="11Char2"/>
    <w:qFormat/>
    <w:pPr>
      <w:spacing w:line="500" w:lineRule="exact"/>
      <w:ind w:firstLineChars="200" w:firstLine="200"/>
    </w:pPr>
    <w:rPr>
      <w:rFonts w:ascii="宋体" w:hAnsi="宋体" w:cs="宋体"/>
      <w:sz w:val="24"/>
    </w:rPr>
  </w:style>
  <w:style w:type="character" w:customStyle="1" w:styleId="CharCharfffff3">
    <w:name w:val="环保专篇 Char Char"/>
    <w:link w:val="affffffffffffff3"/>
    <w:qFormat/>
    <w:rPr>
      <w:sz w:val="24"/>
      <w:szCs w:val="24"/>
      <w:lang w:val="en-US" w:eastAsia="zh-CN" w:bidi="ar-SA"/>
    </w:rPr>
  </w:style>
  <w:style w:type="paragraph" w:customStyle="1" w:styleId="affffffffffffff3">
    <w:name w:val="环保专篇"/>
    <w:link w:val="CharCharfffff3"/>
    <w:qFormat/>
    <w:pPr>
      <w:spacing w:line="360" w:lineRule="auto"/>
      <w:ind w:firstLineChars="200" w:firstLine="200"/>
      <w:jc w:val="both"/>
    </w:pPr>
    <w:rPr>
      <w:sz w:val="24"/>
      <w:szCs w:val="24"/>
    </w:rPr>
  </w:style>
  <w:style w:type="character" w:customStyle="1" w:styleId="xl34CharChar">
    <w:name w:val="xl34 Char Char"/>
    <w:qFormat/>
    <w:rPr>
      <w:rFonts w:ascii="Arial Unicode MS" w:eastAsia="Arial Unicode MS" w:hAnsi="Arial Unicode MS"/>
      <w:sz w:val="21"/>
      <w:szCs w:val="21"/>
      <w:lang w:val="en-US" w:eastAsia="zh-CN" w:bidi="ar-SA"/>
    </w:rPr>
  </w:style>
  <w:style w:type="character" w:customStyle="1" w:styleId="font-title25">
    <w:name w:val="font-title25"/>
    <w:qFormat/>
  </w:style>
  <w:style w:type="character" w:customStyle="1" w:styleId="style51">
    <w:name w:val="style51"/>
    <w:qFormat/>
    <w:rPr>
      <w:sz w:val="21"/>
      <w:szCs w:val="21"/>
    </w:rPr>
  </w:style>
  <w:style w:type="character" w:customStyle="1" w:styleId="2Charf5">
    <w:name w:val="样式 首行缩进:  2 字符 Char"/>
    <w:qFormat/>
    <w:rPr>
      <w:rFonts w:eastAsia="仿宋_GB2312" w:cs="宋体"/>
      <w:kern w:val="2"/>
      <w:sz w:val="24"/>
      <w:lang w:val="en-US" w:eastAsia="zh-CN" w:bidi="ar-SA"/>
    </w:rPr>
  </w:style>
  <w:style w:type="character" w:customStyle="1" w:styleId="HTML17">
    <w:name w:val="HTML 打字机1"/>
    <w:qFormat/>
    <w:rPr>
      <w:rFonts w:ascii="Courier New" w:eastAsia="宋体" w:hAnsi="Courier New" w:cs="Courier New"/>
      <w:kern w:val="2"/>
      <w:sz w:val="20"/>
      <w:szCs w:val="20"/>
      <w:lang w:val="en-US" w:eastAsia="zh-CN"/>
    </w:rPr>
  </w:style>
  <w:style w:type="character" w:customStyle="1" w:styleId="0Char1">
    <w:name w:val="样式 居中 首行缩进:  0 字符 Char"/>
    <w:uiPriority w:val="99"/>
    <w:qFormat/>
    <w:rPr>
      <w:rFonts w:eastAsia="仿宋_GB2312"/>
      <w:kern w:val="2"/>
      <w:sz w:val="21"/>
      <w:lang w:val="en-US" w:eastAsia="zh-CN" w:bidi="ar-SA"/>
    </w:rPr>
  </w:style>
  <w:style w:type="character" w:customStyle="1" w:styleId="9points1">
    <w:name w:val="9points1"/>
    <w:qFormat/>
    <w:rPr>
      <w:rFonts w:hint="default"/>
      <w:color w:val="003366"/>
      <w:sz w:val="18"/>
      <w:szCs w:val="18"/>
      <w:u w:val="none"/>
    </w:rPr>
  </w:style>
  <w:style w:type="character" w:customStyle="1" w:styleId="40205Char">
    <w:name w:val="样式 样式 标题 4 + 段前: 0.2 行 + 段前: 0.5 行 Char"/>
    <w:link w:val="40205"/>
    <w:qFormat/>
    <w:rPr>
      <w:bCs/>
      <w:kern w:val="2"/>
      <w:sz w:val="24"/>
      <w:szCs w:val="28"/>
    </w:rPr>
  </w:style>
  <w:style w:type="paragraph" w:customStyle="1" w:styleId="40205">
    <w:name w:val="样式 样式 标题 4 + 段前: 0.2 行 + 段前: 0.5 行"/>
    <w:basedOn w:val="a6"/>
    <w:link w:val="40205Char"/>
    <w:qFormat/>
    <w:pPr>
      <w:tabs>
        <w:tab w:val="left" w:pos="360"/>
      </w:tabs>
      <w:topLinePunct/>
      <w:adjustRightInd w:val="0"/>
      <w:snapToGrid w:val="0"/>
      <w:spacing w:beforeLines="50" w:line="300" w:lineRule="auto"/>
      <w:outlineLvl w:val="3"/>
    </w:pPr>
    <w:rPr>
      <w:bCs/>
      <w:sz w:val="24"/>
      <w:szCs w:val="28"/>
    </w:rPr>
  </w:style>
  <w:style w:type="character" w:customStyle="1" w:styleId="affffffffffffff4">
    <w:name w:val="个人答复风格"/>
    <w:qFormat/>
    <w:rPr>
      <w:rFonts w:ascii="Arial" w:eastAsia="宋体" w:hAnsi="Arial" w:cs="Arial"/>
      <w:color w:val="auto"/>
      <w:sz w:val="20"/>
    </w:rPr>
  </w:style>
  <w:style w:type="character" w:customStyle="1" w:styleId="0CharCharCharCharChar">
    <w:name w:val="样式 居中 首行缩进:  0 字符 Char Char Char Char Char"/>
    <w:link w:val="0CharChar0"/>
    <w:qFormat/>
    <w:rPr>
      <w:rFonts w:ascii="宋体" w:hAnsi="宋体"/>
      <w:color w:val="FF0000"/>
      <w:w w:val="110"/>
      <w:sz w:val="18"/>
      <w:szCs w:val="18"/>
    </w:rPr>
  </w:style>
  <w:style w:type="paragraph" w:customStyle="1" w:styleId="0CharChar0">
    <w:name w:val="样式 居中 首行缩进:  0 字符 Char Char"/>
    <w:basedOn w:val="a6"/>
    <w:next w:val="a6"/>
    <w:link w:val="0CharCharCharCharChar"/>
    <w:qFormat/>
    <w:pPr>
      <w:tabs>
        <w:tab w:val="left" w:pos="9128"/>
      </w:tabs>
      <w:snapToGrid w:val="0"/>
      <w:jc w:val="center"/>
    </w:pPr>
    <w:rPr>
      <w:rFonts w:ascii="宋体" w:hAnsi="宋体"/>
      <w:color w:val="FF0000"/>
      <w:w w:val="110"/>
      <w:kern w:val="0"/>
      <w:sz w:val="18"/>
      <w:szCs w:val="18"/>
    </w:rPr>
  </w:style>
  <w:style w:type="character" w:customStyle="1" w:styleId="line31">
    <w:name w:val="line31"/>
    <w:qFormat/>
    <w:rPr>
      <w:color w:val="993333"/>
    </w:rPr>
  </w:style>
  <w:style w:type="character" w:customStyle="1" w:styleId="b0">
    <w:name w:val="b"/>
    <w:qFormat/>
  </w:style>
  <w:style w:type="character" w:customStyle="1" w:styleId="1Charf2">
    <w:name w:val="正文样式1 Char"/>
    <w:link w:val="1fff1"/>
    <w:qFormat/>
    <w:rPr>
      <w:rFonts w:ascii="宋体" w:hAnsi="宋体"/>
      <w:sz w:val="24"/>
    </w:rPr>
  </w:style>
  <w:style w:type="paragraph" w:customStyle="1" w:styleId="1fff1">
    <w:name w:val="正文样式1"/>
    <w:basedOn w:val="a6"/>
    <w:link w:val="1Charf2"/>
    <w:qFormat/>
    <w:pPr>
      <w:spacing w:line="520" w:lineRule="exact"/>
      <w:jc w:val="center"/>
    </w:pPr>
    <w:rPr>
      <w:rFonts w:ascii="宋体" w:hAnsi="宋体"/>
      <w:kern w:val="0"/>
      <w:sz w:val="24"/>
      <w:szCs w:val="20"/>
    </w:rPr>
  </w:style>
  <w:style w:type="character" w:customStyle="1" w:styleId="2TimesNewRomanCharCharChar">
    <w:name w:val="正文首行缩进 2 + Times New Roman Char Char Char"/>
    <w:qFormat/>
    <w:rPr>
      <w:rFonts w:ascii="宋体" w:eastAsia="宋体" w:hAnsi="宋体"/>
      <w:bCs/>
      <w:sz w:val="21"/>
      <w:szCs w:val="21"/>
      <w:lang w:val="en-US" w:eastAsia="zh-CN" w:bidi="ar-SA"/>
    </w:rPr>
  </w:style>
  <w:style w:type="character" w:customStyle="1" w:styleId="4-25CharChar">
    <w:name w:val="4-25正 Char Char"/>
    <w:qFormat/>
    <w:rPr>
      <w:rFonts w:cs="宋体"/>
      <w:sz w:val="24"/>
    </w:rPr>
  </w:style>
  <w:style w:type="character" w:customStyle="1" w:styleId="6Char2">
    <w:name w:val="标题 6 Char2"/>
    <w:qFormat/>
    <w:rPr>
      <w:rFonts w:ascii="Calibri Light" w:eastAsia="宋体" w:hAnsi="Calibri Light" w:cs="Times New Roman"/>
      <w:b/>
      <w:bCs/>
      <w:kern w:val="2"/>
      <w:sz w:val="24"/>
      <w:szCs w:val="24"/>
    </w:rPr>
  </w:style>
  <w:style w:type="character" w:customStyle="1" w:styleId="4CharChar10">
    <w:name w:val="标题 4 Char Char1"/>
    <w:qFormat/>
    <w:rPr>
      <w:rFonts w:eastAsia="黑体"/>
      <w:bCs/>
      <w:kern w:val="2"/>
      <w:sz w:val="24"/>
      <w:szCs w:val="24"/>
      <w:lang w:val="en-US" w:eastAsia="zh-CN" w:bidi="ar-SA"/>
    </w:rPr>
  </w:style>
  <w:style w:type="character" w:customStyle="1" w:styleId="CharCharCharChara">
    <w:name w:val="环保专篇 Char Char Char Char"/>
    <w:qFormat/>
    <w:rPr>
      <w:sz w:val="24"/>
      <w:szCs w:val="24"/>
      <w:lang w:val="en-US" w:eastAsia="zh-CN" w:bidi="ar-SA"/>
    </w:rPr>
  </w:style>
  <w:style w:type="character" w:customStyle="1" w:styleId="Char3d">
    <w:name w:val="普通文字 Char3"/>
    <w:qFormat/>
    <w:rPr>
      <w:rFonts w:ascii="宋体" w:eastAsia="宋体" w:hAnsi="Courier New"/>
      <w:color w:val="000000"/>
      <w:kern w:val="2"/>
      <w:sz w:val="28"/>
      <w:lang w:val="en-US" w:eastAsia="zh-CN" w:bidi="ar-SA"/>
    </w:rPr>
  </w:style>
  <w:style w:type="character" w:customStyle="1" w:styleId="EmailStyle5441">
    <w:name w:val="EmailStyle5441"/>
    <w:qFormat/>
    <w:rPr>
      <w:rFonts w:ascii="Arial" w:eastAsia="宋体" w:hAnsi="Arial" w:cs="Arial"/>
      <w:color w:val="auto"/>
      <w:sz w:val="20"/>
    </w:rPr>
  </w:style>
  <w:style w:type="character" w:customStyle="1" w:styleId="86Char">
    <w:name w:val="正文86 Char"/>
    <w:link w:val="86"/>
    <w:qFormat/>
    <w:rPr>
      <w:rFonts w:ascii="楷体_GB2312" w:eastAsia="楷体_GB2312"/>
      <w:sz w:val="24"/>
      <w:szCs w:val="24"/>
    </w:rPr>
  </w:style>
  <w:style w:type="paragraph" w:customStyle="1" w:styleId="86">
    <w:name w:val="正文86"/>
    <w:basedOn w:val="a6"/>
    <w:link w:val="86Char"/>
    <w:qFormat/>
    <w:pPr>
      <w:tabs>
        <w:tab w:val="left" w:pos="567"/>
      </w:tabs>
      <w:adjustRightInd w:val="0"/>
      <w:spacing w:line="500" w:lineRule="exact"/>
      <w:ind w:firstLineChars="200" w:firstLine="480"/>
    </w:pPr>
    <w:rPr>
      <w:rFonts w:ascii="楷体_GB2312" w:eastAsia="楷体_GB2312"/>
      <w:kern w:val="0"/>
      <w:sz w:val="24"/>
    </w:rPr>
  </w:style>
  <w:style w:type="character" w:customStyle="1" w:styleId="CharCharfffff4">
    <w:name w:val="金源 Char Char"/>
    <w:link w:val="affffffffffffff5"/>
    <w:qFormat/>
    <w:rPr>
      <w:color w:val="000000"/>
      <w:w w:val="110"/>
      <w:sz w:val="24"/>
    </w:rPr>
  </w:style>
  <w:style w:type="paragraph" w:customStyle="1" w:styleId="affffffffffffff5">
    <w:name w:val="金源"/>
    <w:basedOn w:val="a6"/>
    <w:link w:val="CharCharfffff4"/>
    <w:qFormat/>
    <w:pPr>
      <w:spacing w:line="480" w:lineRule="exact"/>
      <w:ind w:firstLineChars="200" w:firstLine="480"/>
      <w:jc w:val="left"/>
    </w:pPr>
    <w:rPr>
      <w:color w:val="000000"/>
      <w:w w:val="110"/>
      <w:kern w:val="0"/>
      <w:sz w:val="24"/>
      <w:szCs w:val="20"/>
    </w:rPr>
  </w:style>
  <w:style w:type="character" w:customStyle="1" w:styleId="CharAttribute13">
    <w:name w:val="CharAttribute13"/>
    <w:qFormat/>
    <w:rPr>
      <w:rFonts w:ascii="楷体" w:eastAsia="楷体" w:hAnsi="楷体"/>
      <w:b/>
      <w:sz w:val="24"/>
    </w:rPr>
  </w:style>
  <w:style w:type="character" w:customStyle="1" w:styleId="css-text3">
    <w:name w:val="css-text3"/>
    <w:qFormat/>
  </w:style>
  <w:style w:type="character" w:customStyle="1" w:styleId="GB23128">
    <w:name w:val="样式 仿宋_GB2312 四号"/>
    <w:qFormat/>
    <w:rPr>
      <w:rFonts w:ascii="仿宋_GB2312" w:eastAsia="仿宋_GB2312"/>
      <w:sz w:val="28"/>
      <w:szCs w:val="28"/>
    </w:rPr>
  </w:style>
  <w:style w:type="character" w:customStyle="1" w:styleId="3CharChar11">
    <w:name w:val="正文文字 3 Char Char1"/>
    <w:qFormat/>
    <w:rPr>
      <w:rFonts w:ascii="宋体" w:eastAsia="宋体" w:hAnsi="宋体"/>
      <w:kern w:val="2"/>
      <w:sz w:val="24"/>
      <w:szCs w:val="24"/>
      <w:lang w:val="en-US" w:eastAsia="zh-CN" w:bidi="ar-SA"/>
    </w:rPr>
  </w:style>
  <w:style w:type="character" w:customStyle="1" w:styleId="Charfffffffff7">
    <w:name w:val="正文格式 Char"/>
    <w:qFormat/>
    <w:rPr>
      <w:rFonts w:ascii="宋体" w:hAnsi="宋体"/>
      <w:sz w:val="24"/>
      <w:szCs w:val="24"/>
    </w:rPr>
  </w:style>
  <w:style w:type="character" w:customStyle="1" w:styleId="proposalChar">
    <w:name w:val="proposal Char"/>
    <w:link w:val="proposal"/>
    <w:qFormat/>
    <w:rPr>
      <w:color w:val="000000"/>
      <w:sz w:val="24"/>
      <w:lang w:val="en-GB" w:eastAsia="en-GB"/>
    </w:rPr>
  </w:style>
  <w:style w:type="paragraph" w:customStyle="1" w:styleId="proposal">
    <w:name w:val="proposal"/>
    <w:basedOn w:val="a6"/>
    <w:link w:val="proposalChar"/>
    <w:qFormat/>
    <w:pPr>
      <w:widowControl/>
      <w:spacing w:line="300" w:lineRule="auto"/>
      <w:ind w:left="1440" w:hanging="1440"/>
      <w:jc w:val="left"/>
    </w:pPr>
    <w:rPr>
      <w:color w:val="000000"/>
      <w:kern w:val="0"/>
      <w:sz w:val="24"/>
      <w:szCs w:val="20"/>
      <w:lang w:val="en-GB" w:eastAsia="en-GB"/>
    </w:rPr>
  </w:style>
  <w:style w:type="character" w:customStyle="1" w:styleId="3CharCharChar0">
    <w:name w:val="样式 标题 3 + 宋体 Char Char Char"/>
    <w:link w:val="3CharChar2"/>
    <w:qFormat/>
    <w:rPr>
      <w:rFonts w:eastAsia="黑体" w:hAnsi="黑体"/>
      <w:b/>
      <w:bCs/>
      <w:kern w:val="2"/>
      <w:sz w:val="32"/>
      <w:szCs w:val="32"/>
    </w:rPr>
  </w:style>
  <w:style w:type="paragraph" w:customStyle="1" w:styleId="3CharChar2">
    <w:name w:val="样式 标题 3 + 宋体 Char Char"/>
    <w:basedOn w:val="33"/>
    <w:link w:val="3CharCharChar0"/>
    <w:qFormat/>
    <w:pPr>
      <w:keepNext w:val="0"/>
      <w:adjustRightInd w:val="0"/>
      <w:spacing w:beforeLines="50" w:afterLines="50" w:line="420" w:lineRule="auto"/>
    </w:pPr>
    <w:rPr>
      <w:rFonts w:hAnsi="黑体"/>
      <w:b/>
      <w:bCs/>
      <w:spacing w:val="0"/>
      <w:sz w:val="32"/>
      <w:szCs w:val="32"/>
    </w:rPr>
  </w:style>
  <w:style w:type="character" w:customStyle="1" w:styleId="f91">
    <w:name w:val="f91"/>
    <w:qFormat/>
    <w:rPr>
      <w:rFonts w:hint="default"/>
      <w:sz w:val="18"/>
      <w:szCs w:val="18"/>
    </w:rPr>
  </w:style>
  <w:style w:type="character" w:customStyle="1" w:styleId="CharCharCharff">
    <w:name w:val="表格内字体 Char Char Char"/>
    <w:qFormat/>
    <w:rPr>
      <w:rFonts w:ascii="宋体" w:eastAsia="宋体" w:hAnsi="宋体"/>
      <w:color w:val="FF0000"/>
      <w:sz w:val="21"/>
      <w:szCs w:val="24"/>
      <w:lang w:val="en-US" w:eastAsia="zh-CN" w:bidi="ar-SA"/>
    </w:rPr>
  </w:style>
  <w:style w:type="character" w:customStyle="1" w:styleId="ca-110">
    <w:name w:val="ca-110"/>
    <w:qFormat/>
    <w:rPr>
      <w:rFonts w:ascii="宋体" w:eastAsia="宋体" w:hAnsi="宋体" w:hint="eastAsia"/>
      <w:color w:val="000000"/>
      <w:sz w:val="24"/>
      <w:szCs w:val="24"/>
    </w:rPr>
  </w:style>
  <w:style w:type="character" w:customStyle="1" w:styleId="CharCharfffff5">
    <w:name w:val="无节项 Char Char"/>
    <w:qFormat/>
    <w:rPr>
      <w:rFonts w:ascii="Arial" w:eastAsia="黑体" w:hAnsi="Arial"/>
      <w:kern w:val="2"/>
      <w:sz w:val="24"/>
      <w:szCs w:val="21"/>
      <w:lang w:val="en-US" w:eastAsia="zh-CN" w:bidi="ar-SA"/>
    </w:rPr>
  </w:style>
  <w:style w:type="character" w:customStyle="1" w:styleId="1fff2">
    <w:name w:val="样式 宋体 四号 黑色1"/>
    <w:qFormat/>
    <w:rPr>
      <w:rFonts w:ascii="宋体" w:hAnsi="宋体"/>
      <w:color w:val="000000"/>
      <w:sz w:val="24"/>
      <w:szCs w:val="24"/>
    </w:rPr>
  </w:style>
  <w:style w:type="character" w:customStyle="1" w:styleId="Charfffffffff8">
    <w:name w:val="表底说明 Char"/>
    <w:qFormat/>
    <w:rPr>
      <w:rFonts w:eastAsia="宋体"/>
      <w:kern w:val="2"/>
      <w:sz w:val="18"/>
      <w:szCs w:val="24"/>
      <w:lang w:val="en-US" w:eastAsia="zh-CN" w:bidi="ar-SA"/>
    </w:rPr>
  </w:style>
  <w:style w:type="character" w:customStyle="1" w:styleId="Charfffffffff9">
    <w:name w:val="正文文 Char"/>
    <w:link w:val="affffffffffffff6"/>
    <w:qFormat/>
    <w:rPr>
      <w:sz w:val="24"/>
      <w:szCs w:val="24"/>
    </w:rPr>
  </w:style>
  <w:style w:type="paragraph" w:customStyle="1" w:styleId="affffffffffffff6">
    <w:name w:val="正文文"/>
    <w:link w:val="Charfffffffff9"/>
    <w:qFormat/>
    <w:pPr>
      <w:adjustRightInd w:val="0"/>
      <w:ind w:firstLineChars="200" w:firstLine="480"/>
      <w:textAlignment w:val="baseline"/>
    </w:pPr>
    <w:rPr>
      <w:sz w:val="24"/>
    </w:rPr>
  </w:style>
  <w:style w:type="paragraph" w:customStyle="1" w:styleId="affffffffffffff7">
    <w:name w:val="正文 + 宋体"/>
    <w:basedOn w:val="a6"/>
    <w:qFormat/>
    <w:pPr>
      <w:spacing w:line="520" w:lineRule="exact"/>
    </w:pPr>
    <w:rPr>
      <w:rFonts w:ascii="宋体" w:hAnsi="宋体"/>
    </w:rPr>
  </w:style>
  <w:style w:type="character" w:customStyle="1" w:styleId="3zw">
    <w:name w:val="3zw"/>
    <w:qFormat/>
  </w:style>
  <w:style w:type="character" w:customStyle="1" w:styleId="1CharCharf3">
    <w:name w:val="正文1 Char Char"/>
    <w:qFormat/>
    <w:rPr>
      <w:snapToGrid w:val="0"/>
      <w:kern w:val="21"/>
      <w:sz w:val="21"/>
    </w:rPr>
  </w:style>
  <w:style w:type="character" w:customStyle="1" w:styleId="Char2f8">
    <w:name w:val="批注主题 Char2"/>
    <w:uiPriority w:val="99"/>
    <w:qFormat/>
    <w:rPr>
      <w:rFonts w:ascii="Times New Roman" w:hAnsi="Times New Roman"/>
      <w:b/>
      <w:bCs/>
      <w:szCs w:val="24"/>
    </w:rPr>
  </w:style>
  <w:style w:type="character" w:customStyle="1" w:styleId="CharCharfffff6">
    <w:name w:val="【图片】 Char Char"/>
    <w:link w:val="affffffffffffff8"/>
    <w:qFormat/>
    <w:rPr>
      <w:rFonts w:ascii="宋体"/>
      <w:sz w:val="24"/>
      <w:lang w:bidi="ar-SA"/>
    </w:rPr>
  </w:style>
  <w:style w:type="paragraph" w:customStyle="1" w:styleId="affffffffffffff8">
    <w:name w:val="【图片】"/>
    <w:next w:val="a6"/>
    <w:link w:val="CharCharfffff6"/>
    <w:qFormat/>
    <w:pPr>
      <w:spacing w:line="360" w:lineRule="auto"/>
      <w:jc w:val="center"/>
    </w:pPr>
    <w:rPr>
      <w:rFonts w:ascii="宋体"/>
      <w:sz w:val="24"/>
    </w:rPr>
  </w:style>
  <w:style w:type="character" w:customStyle="1" w:styleId="CharCharfffff7">
    <w:name w:val="四级格式 Char Char"/>
    <w:link w:val="affffffffffffff9"/>
    <w:qFormat/>
    <w:rPr>
      <w:rFonts w:eastAsia="黑体"/>
      <w:b/>
      <w:kern w:val="2"/>
      <w:sz w:val="21"/>
    </w:rPr>
  </w:style>
  <w:style w:type="paragraph" w:customStyle="1" w:styleId="affffffffffffff9">
    <w:name w:val="四级格式"/>
    <w:basedOn w:val="a6"/>
    <w:link w:val="CharCharfffff7"/>
    <w:qFormat/>
    <w:pPr>
      <w:adjustRightInd w:val="0"/>
      <w:snapToGrid w:val="0"/>
      <w:spacing w:line="330" w:lineRule="exact"/>
      <w:ind w:firstLineChars="200" w:firstLine="420"/>
      <w:jc w:val="left"/>
      <w:outlineLvl w:val="3"/>
    </w:pPr>
    <w:rPr>
      <w:rFonts w:eastAsia="黑体"/>
      <w:b/>
      <w:szCs w:val="20"/>
    </w:rPr>
  </w:style>
  <w:style w:type="character" w:customStyle="1" w:styleId="Charfffffffffa">
    <w:name w:val="段落 Char"/>
    <w:link w:val="affffffffffffffa"/>
    <w:qFormat/>
    <w:rPr>
      <w:kern w:val="2"/>
      <w:sz w:val="24"/>
      <w:szCs w:val="24"/>
    </w:rPr>
  </w:style>
  <w:style w:type="paragraph" w:customStyle="1" w:styleId="affffffffffffffa">
    <w:name w:val="段落"/>
    <w:basedOn w:val="a6"/>
    <w:link w:val="Charfffffffffa"/>
    <w:qFormat/>
    <w:pPr>
      <w:spacing w:line="360" w:lineRule="auto"/>
      <w:ind w:firstLineChars="200" w:firstLine="200"/>
    </w:pPr>
    <w:rPr>
      <w:sz w:val="24"/>
    </w:rPr>
  </w:style>
  <w:style w:type="character" w:customStyle="1" w:styleId="5CharChar10">
    <w:name w:val="标题5 Char Char1"/>
    <w:link w:val="5f1"/>
    <w:qFormat/>
    <w:rPr>
      <w:rFonts w:ascii="宋体"/>
      <w:b/>
      <w:kern w:val="2"/>
      <w:sz w:val="30"/>
    </w:rPr>
  </w:style>
  <w:style w:type="paragraph" w:customStyle="1" w:styleId="5f1">
    <w:name w:val="标题5"/>
    <w:basedOn w:val="af0"/>
    <w:link w:val="5CharChar10"/>
    <w:qFormat/>
    <w:pPr>
      <w:widowControl/>
      <w:tabs>
        <w:tab w:val="left" w:pos="1054"/>
        <w:tab w:val="left" w:pos="1680"/>
      </w:tabs>
      <w:adjustRightInd/>
      <w:spacing w:before="40" w:after="20" w:line="264" w:lineRule="auto"/>
      <w:ind w:left="493" w:hanging="493"/>
      <w:jc w:val="both"/>
      <w:textAlignment w:val="auto"/>
      <w:outlineLvl w:val="0"/>
    </w:pPr>
    <w:rPr>
      <w:rFonts w:hAnsi="Times New Roman"/>
      <w:b/>
      <w:kern w:val="2"/>
      <w:sz w:val="30"/>
      <w:szCs w:val="20"/>
    </w:rPr>
  </w:style>
  <w:style w:type="character" w:customStyle="1" w:styleId="CharCharfffff8">
    <w:name w:val="表标题 Char Char"/>
    <w:link w:val="affffffffffffffb"/>
    <w:qFormat/>
    <w:rPr>
      <w:rFonts w:ascii="黑体" w:eastAsia="黑体"/>
      <w:color w:val="003300"/>
      <w:kern w:val="2"/>
      <w:sz w:val="21"/>
      <w:szCs w:val="24"/>
    </w:rPr>
  </w:style>
  <w:style w:type="paragraph" w:customStyle="1" w:styleId="affffffffffffffb">
    <w:name w:val="表标题"/>
    <w:basedOn w:val="a6"/>
    <w:next w:val="a6"/>
    <w:link w:val="CharCharfffff8"/>
    <w:qFormat/>
    <w:pPr>
      <w:spacing w:line="360" w:lineRule="auto"/>
      <w:ind w:firstLineChars="200" w:firstLine="200"/>
      <w:jc w:val="center"/>
    </w:pPr>
    <w:rPr>
      <w:rFonts w:ascii="黑体" w:eastAsia="黑体"/>
      <w:color w:val="003300"/>
    </w:rPr>
  </w:style>
  <w:style w:type="character" w:customStyle="1" w:styleId="3H3BHead3Char1113h33rdlevel1CharCharChar">
    <w:name w:val="样式 标题 3H3B Head标题 3 Char条标题1.1.1三级标题标题3h33rd level第二层条...1 Char Char Char"/>
    <w:link w:val="3H3BHead3Char1113h33rdlevel1Char"/>
    <w:qFormat/>
    <w:rPr>
      <w:rFonts w:ascii="仿宋_GB2312" w:eastAsia="仿宋_GB2312" w:hAnsi="宋体"/>
      <w:bCs/>
      <w:color w:val="FF0000"/>
      <w:sz w:val="24"/>
      <w:szCs w:val="24"/>
    </w:rPr>
  </w:style>
  <w:style w:type="paragraph" w:customStyle="1" w:styleId="3H3BHead3Char1113h33rdlevel1Char">
    <w:name w:val="样式 标题 3H3B Head标题 3 Char条标题1.1.1三级标题标题3h33rd level第二层条...1 Char"/>
    <w:basedOn w:val="33"/>
    <w:link w:val="3H3BHead3Char1113h33rdlevel1CharCharChar"/>
    <w:qFormat/>
    <w:pPr>
      <w:keepNext w:val="0"/>
      <w:keepLines w:val="0"/>
      <w:overflowPunct w:val="0"/>
      <w:autoSpaceDE w:val="0"/>
      <w:autoSpaceDN w:val="0"/>
      <w:adjustRightInd w:val="0"/>
      <w:snapToGrid w:val="0"/>
      <w:spacing w:before="31" w:after="31" w:line="360" w:lineRule="auto"/>
      <w:textAlignment w:val="baseline"/>
    </w:pPr>
    <w:rPr>
      <w:rFonts w:ascii="仿宋_GB2312" w:eastAsia="仿宋_GB2312" w:hAnsi="宋体"/>
      <w:bCs/>
      <w:color w:val="FF0000"/>
      <w:spacing w:val="0"/>
      <w:kern w:val="0"/>
      <w:sz w:val="24"/>
      <w:szCs w:val="24"/>
    </w:rPr>
  </w:style>
  <w:style w:type="character" w:customStyle="1" w:styleId="CharCharChar12">
    <w:name w:val="右 Char Char Char1"/>
    <w:qFormat/>
    <w:rPr>
      <w:kern w:val="2"/>
      <w:sz w:val="18"/>
      <w:szCs w:val="18"/>
    </w:rPr>
  </w:style>
  <w:style w:type="character" w:customStyle="1" w:styleId="apple-style-span">
    <w:name w:val="apple-style-span"/>
    <w:qFormat/>
  </w:style>
  <w:style w:type="character" w:customStyle="1" w:styleId="CharCharfffff9">
    <w:name w:val="二级条标题 Char Char"/>
    <w:qFormat/>
    <w:rPr>
      <w:rFonts w:ascii="宋体"/>
      <w:sz w:val="24"/>
      <w:szCs w:val="24"/>
    </w:rPr>
  </w:style>
  <w:style w:type="character" w:customStyle="1" w:styleId="hangju1">
    <w:name w:val="hangju1"/>
    <w:qFormat/>
    <w:rPr>
      <w:u w:val="none"/>
    </w:rPr>
  </w:style>
  <w:style w:type="character" w:customStyle="1" w:styleId="22CharCharChar">
    <w:name w:val="样式 题注 + 首行缩进:  2 字符2 Char Char Char"/>
    <w:qFormat/>
    <w:rPr>
      <w:rFonts w:ascii="黑体" w:eastAsia="黑体" w:hAnsi="宋体" w:cs="宋体"/>
      <w:b/>
      <w:bCs/>
      <w:kern w:val="2"/>
      <w:sz w:val="24"/>
      <w:szCs w:val="24"/>
      <w:lang w:val="en-US" w:eastAsia="zh-CN" w:bidi="ar-SA"/>
    </w:rPr>
  </w:style>
  <w:style w:type="character" w:customStyle="1" w:styleId="3GB2312CharChar">
    <w:name w:val="样式 正文文本缩进 3 + 仿宋_GB2312 Char Char"/>
    <w:link w:val="3GB2312"/>
    <w:qFormat/>
    <w:rPr>
      <w:rFonts w:ascii="仿宋_GB2312" w:eastAsia="仿宋_GB2312" w:hAnsi="仿宋_GB2312" w:cs="黑体"/>
      <w:kern w:val="2"/>
      <w:sz w:val="28"/>
      <w:szCs w:val="24"/>
    </w:rPr>
  </w:style>
  <w:style w:type="paragraph" w:customStyle="1" w:styleId="3GB2312">
    <w:name w:val="样式 正文文本缩进 3 + 仿宋_GB2312"/>
    <w:basedOn w:val="39"/>
    <w:link w:val="3GB2312CharChar"/>
    <w:qFormat/>
    <w:pPr>
      <w:adjustRightInd/>
      <w:snapToGrid/>
      <w:spacing w:line="360" w:lineRule="auto"/>
      <w:ind w:firstLineChars="200" w:firstLine="200"/>
    </w:pPr>
    <w:rPr>
      <w:rFonts w:ascii="仿宋_GB2312" w:eastAsia="仿宋_GB2312" w:hAnsi="仿宋_GB2312"/>
      <w:color w:val="auto"/>
    </w:rPr>
  </w:style>
  <w:style w:type="character" w:customStyle="1" w:styleId="z-Char2">
    <w:name w:val="z-窗体底端 Char2"/>
    <w:qFormat/>
    <w:rPr>
      <w:rFonts w:ascii="Arial" w:hAnsi="Arial" w:cs="Arial"/>
      <w:vanish/>
      <w:kern w:val="2"/>
      <w:sz w:val="16"/>
      <w:szCs w:val="16"/>
    </w:rPr>
  </w:style>
  <w:style w:type="character" w:customStyle="1" w:styleId="10115Char">
    <w:name w:val="样式 小四 首行缩进:  1.01 厘米 行距: 1.5 倍行距 Char"/>
    <w:link w:val="10115"/>
    <w:qFormat/>
    <w:rPr>
      <w:sz w:val="24"/>
    </w:rPr>
  </w:style>
  <w:style w:type="paragraph" w:customStyle="1" w:styleId="10115">
    <w:name w:val="样式 小四 首行缩进:  1.01 厘米 行距: 1.5 倍行距"/>
    <w:basedOn w:val="a6"/>
    <w:link w:val="10115Char"/>
    <w:qFormat/>
    <w:pPr>
      <w:adjustRightInd w:val="0"/>
      <w:spacing w:line="360" w:lineRule="auto"/>
      <w:ind w:firstLine="570"/>
      <w:jc w:val="left"/>
      <w:textAlignment w:val="baseline"/>
    </w:pPr>
    <w:rPr>
      <w:kern w:val="0"/>
      <w:sz w:val="24"/>
      <w:szCs w:val="20"/>
    </w:rPr>
  </w:style>
  <w:style w:type="character" w:customStyle="1" w:styleId="313Char123453Char2CharCharChar">
    <w:name w:val="样式 标题 3三级标题三级标题1标题 3 Char1三级标题2三级标题3三级标题4三级标题5标题 3 Char2... Char Char Char"/>
    <w:qFormat/>
    <w:rPr>
      <w:rFonts w:ascii="黑体" w:eastAsia="黑体" w:cs="宋体"/>
      <w:b/>
      <w:bCs/>
      <w:color w:val="000000"/>
      <w:sz w:val="28"/>
      <w:szCs w:val="28"/>
      <w:lang w:val="en-US" w:eastAsia="zh-CN" w:bidi="ar-SA"/>
    </w:rPr>
  </w:style>
  <w:style w:type="character" w:customStyle="1" w:styleId="TimesNewRomanCharCharChar">
    <w:name w:val="样式 题注 + (西文) Times New Roman (中文) 宋体 小四 加粗 黑色 Char Char Char"/>
    <w:link w:val="TimesNewRomanChar"/>
    <w:qFormat/>
    <w:rPr>
      <w:rFonts w:ascii="Calibri" w:hAnsi="Calibri" w:cs="Arial"/>
      <w:b/>
      <w:bCs/>
      <w:color w:val="000000"/>
      <w:kern w:val="2"/>
      <w:sz w:val="24"/>
      <w:szCs w:val="24"/>
    </w:rPr>
  </w:style>
  <w:style w:type="paragraph" w:customStyle="1" w:styleId="TimesNewRomanChar">
    <w:name w:val="样式 题注 + (西文) Times New Roman (中文) 宋体 小四 加粗 黑色 Char"/>
    <w:basedOn w:val="af1"/>
    <w:link w:val="TimesNewRomanCharCharChar"/>
    <w:qFormat/>
    <w:pPr>
      <w:widowControl w:val="0"/>
      <w:adjustRightInd w:val="0"/>
      <w:spacing w:beforeLines="100" w:line="360" w:lineRule="auto"/>
      <w:ind w:firstLineChars="0" w:firstLine="0"/>
      <w:jc w:val="center"/>
      <w:textAlignment w:val="baseline"/>
    </w:pPr>
    <w:rPr>
      <w:rFonts w:ascii="Calibri" w:hAnsi="Calibri"/>
      <w:bCs/>
      <w:color w:val="000000"/>
    </w:rPr>
  </w:style>
  <w:style w:type="character" w:customStyle="1" w:styleId="2TimesNewRomanCharChar">
    <w:name w:val="正文首行缩进 2 + Times New Roman Char Char"/>
    <w:qFormat/>
    <w:rPr>
      <w:rFonts w:ascii="宋体" w:eastAsia="宋体" w:hAnsi="宋体" w:cs="Times New Roman"/>
      <w:bCs/>
      <w:color w:val="000000"/>
      <w:w w:val="110"/>
      <w:kern w:val="0"/>
      <w:sz w:val="24"/>
      <w:szCs w:val="24"/>
    </w:rPr>
  </w:style>
  <w:style w:type="character" w:customStyle="1" w:styleId="2CharCharChar2">
    <w:name w:val="样式 正文首行缩进 2 + (符号) 宋体 + (符号) 宋体 Char Char Char"/>
    <w:qFormat/>
  </w:style>
  <w:style w:type="character" w:customStyle="1" w:styleId="CharCharfffffa">
    <w:name w:val="款 Char Char"/>
    <w:qFormat/>
    <w:rPr>
      <w:rFonts w:eastAsia="宋体"/>
      <w:snapToGrid/>
      <w:kern w:val="2"/>
      <w:sz w:val="24"/>
      <w:szCs w:val="24"/>
      <w:lang w:val="en-US" w:eastAsia="zh-CN" w:bidi="ar-SA"/>
    </w:rPr>
  </w:style>
  <w:style w:type="character" w:customStyle="1" w:styleId="TTCharChar1">
    <w:name w:val="TT标题 Char Char"/>
    <w:link w:val="TT1"/>
    <w:qFormat/>
    <w:rPr>
      <w:b/>
      <w:sz w:val="24"/>
    </w:rPr>
  </w:style>
  <w:style w:type="paragraph" w:customStyle="1" w:styleId="TT1">
    <w:name w:val="TT标题"/>
    <w:basedOn w:val="a6"/>
    <w:link w:val="TTCharChar1"/>
    <w:qFormat/>
    <w:pPr>
      <w:jc w:val="center"/>
    </w:pPr>
    <w:rPr>
      <w:b/>
      <w:kern w:val="0"/>
      <w:sz w:val="24"/>
      <w:szCs w:val="20"/>
    </w:rPr>
  </w:style>
  <w:style w:type="character" w:customStyle="1" w:styleId="Charfffffffffb">
    <w:name w:val="表－左对齐 Char"/>
    <w:link w:val="affffffffffffffc"/>
    <w:qFormat/>
    <w:rPr>
      <w:rFonts w:cs="Arial"/>
      <w:sz w:val="21"/>
      <w:szCs w:val="21"/>
      <w:lang w:eastAsia="ja-JP"/>
    </w:rPr>
  </w:style>
  <w:style w:type="paragraph" w:customStyle="1" w:styleId="affffffffffffffc">
    <w:name w:val="表－左对齐"/>
    <w:basedOn w:val="a6"/>
    <w:link w:val="Charfffffffffb"/>
    <w:qFormat/>
    <w:pPr>
      <w:suppressLineNumbers/>
      <w:suppressAutoHyphens/>
      <w:snapToGrid w:val="0"/>
      <w:spacing w:before="60" w:after="60"/>
      <w:jc w:val="left"/>
    </w:pPr>
    <w:rPr>
      <w:kern w:val="0"/>
      <w:szCs w:val="21"/>
      <w:lang w:eastAsia="ja-JP"/>
    </w:rPr>
  </w:style>
  <w:style w:type="character" w:customStyle="1" w:styleId="style281">
    <w:name w:val="style281"/>
    <w:qFormat/>
    <w:rPr>
      <w:b/>
      <w:bCs/>
      <w:color w:val="000000"/>
      <w:sz w:val="17"/>
      <w:szCs w:val="17"/>
    </w:rPr>
  </w:style>
  <w:style w:type="character" w:customStyle="1" w:styleId="EmailStyle5081">
    <w:name w:val="EmailStyle5081"/>
    <w:qFormat/>
    <w:rPr>
      <w:rFonts w:ascii="Arial" w:eastAsia="宋体" w:hAnsi="Arial" w:cs="Arial"/>
      <w:color w:val="auto"/>
      <w:sz w:val="20"/>
    </w:rPr>
  </w:style>
  <w:style w:type="character" w:customStyle="1" w:styleId="CharCharCharff0">
    <w:name w:val="规划正文样式 Char Char Char"/>
    <w:qFormat/>
    <w:rPr>
      <w:rFonts w:eastAsia="宋体"/>
      <w:kern w:val="2"/>
      <w:sz w:val="24"/>
      <w:szCs w:val="24"/>
      <w:lang w:val="en-US" w:eastAsia="zh-CN" w:bidi="ar-SA"/>
    </w:rPr>
  </w:style>
  <w:style w:type="character" w:customStyle="1" w:styleId="CharCharfffffb">
    <w:name w:val="段落 Char Char"/>
    <w:qFormat/>
    <w:rPr>
      <w:rFonts w:eastAsia="宋体"/>
      <w:snapToGrid/>
      <w:color w:val="000000"/>
      <w:sz w:val="28"/>
      <w:lang w:val="en-US" w:eastAsia="zh-CN" w:bidi="ar-SA"/>
    </w:rPr>
  </w:style>
  <w:style w:type="character" w:customStyle="1" w:styleId="Char1ffa">
    <w:name w:val="明显引用 Char1"/>
    <w:qFormat/>
    <w:rPr>
      <w:b/>
      <w:bCs/>
      <w:i/>
      <w:iCs/>
      <w:color w:val="4F81BD"/>
      <w:kern w:val="2"/>
      <w:sz w:val="21"/>
      <w:szCs w:val="22"/>
    </w:rPr>
  </w:style>
  <w:style w:type="character" w:customStyle="1" w:styleId="CharCharfffffc">
    <w:name w:val="正文文本 Char Char"/>
    <w:qFormat/>
    <w:rPr>
      <w:rFonts w:eastAsia="宋体"/>
      <w:kern w:val="2"/>
      <w:sz w:val="21"/>
      <w:lang w:val="en-US" w:eastAsia="zh-CN" w:bidi="ar-SA"/>
    </w:rPr>
  </w:style>
  <w:style w:type="character" w:customStyle="1" w:styleId="news1">
    <w:name w:val="news1"/>
    <w:qFormat/>
    <w:rPr>
      <w:sz w:val="20"/>
      <w:szCs w:val="20"/>
    </w:rPr>
  </w:style>
  <w:style w:type="character" w:customStyle="1" w:styleId="Charfffffffffc">
    <w:name w:val="居中 Char"/>
    <w:link w:val="affffffffffffffd"/>
    <w:qFormat/>
    <w:rPr>
      <w:sz w:val="24"/>
    </w:rPr>
  </w:style>
  <w:style w:type="paragraph" w:customStyle="1" w:styleId="affffffffffffffd">
    <w:name w:val="居中"/>
    <w:basedOn w:val="a6"/>
    <w:link w:val="Charfffffffffc"/>
    <w:qFormat/>
    <w:pPr>
      <w:jc w:val="center"/>
    </w:pPr>
    <w:rPr>
      <w:kern w:val="0"/>
      <w:sz w:val="24"/>
      <w:szCs w:val="20"/>
    </w:rPr>
  </w:style>
  <w:style w:type="character" w:customStyle="1" w:styleId="Charfffffffffd">
    <w:name w:val="正文段落（缩进） Char"/>
    <w:link w:val="affffffffffffffe"/>
    <w:qFormat/>
    <w:rPr>
      <w:rFonts w:ascii="宋体"/>
      <w:sz w:val="24"/>
    </w:rPr>
  </w:style>
  <w:style w:type="paragraph" w:customStyle="1" w:styleId="affffffffffffffe">
    <w:name w:val="正文段落（缩进）"/>
    <w:basedOn w:val="a6"/>
    <w:next w:val="a6"/>
    <w:link w:val="Charfffffffffd"/>
    <w:qFormat/>
    <w:pPr>
      <w:adjustRightInd w:val="0"/>
      <w:snapToGrid w:val="0"/>
      <w:spacing w:line="360" w:lineRule="auto"/>
      <w:ind w:firstLineChars="200" w:firstLine="200"/>
      <w:jc w:val="left"/>
    </w:pPr>
    <w:rPr>
      <w:rFonts w:ascii="宋体"/>
      <w:kern w:val="0"/>
      <w:sz w:val="24"/>
      <w:szCs w:val="20"/>
    </w:rPr>
  </w:style>
  <w:style w:type="character" w:customStyle="1" w:styleId="HTMLChar10">
    <w:name w:val="HTML 地址 Char1"/>
    <w:uiPriority w:val="99"/>
    <w:qFormat/>
    <w:rPr>
      <w:i/>
      <w:iCs/>
      <w:kern w:val="2"/>
      <w:sz w:val="21"/>
      <w:szCs w:val="24"/>
    </w:rPr>
  </w:style>
  <w:style w:type="character" w:customStyle="1" w:styleId="Charfffffffffe">
    <w:name w:val="正文文字 Char"/>
    <w:qFormat/>
    <w:rPr>
      <w:rFonts w:eastAsia="宋体"/>
      <w:kern w:val="2"/>
      <w:sz w:val="24"/>
      <w:szCs w:val="24"/>
      <w:lang w:val="en-US" w:eastAsia="zh-CN" w:bidi="ar-SA"/>
    </w:rPr>
  </w:style>
  <w:style w:type="character" w:customStyle="1" w:styleId="2GB2312Char">
    <w:name w:val="样式 标题 2 + 楷体_GB2312 Char"/>
    <w:qFormat/>
    <w:rPr>
      <w:rFonts w:ascii="楷体_GB2312" w:eastAsia="楷体_GB2312" w:hAnsi="楷体_GB2312"/>
      <w:b/>
      <w:bCs/>
      <w:kern w:val="2"/>
      <w:sz w:val="30"/>
      <w:szCs w:val="32"/>
      <w:lang w:val="en-US" w:eastAsia="zh-CN" w:bidi="ar-SA"/>
    </w:rPr>
  </w:style>
  <w:style w:type="character" w:customStyle="1" w:styleId="ulmenu1">
    <w:name w:val="ulmenu1"/>
    <w:qFormat/>
  </w:style>
  <w:style w:type="character" w:customStyle="1" w:styleId="FontStyle336">
    <w:name w:val="Font Style336"/>
    <w:qFormat/>
    <w:rPr>
      <w:rFonts w:ascii="宋体" w:eastAsia="宋体" w:cs="宋体"/>
      <w:sz w:val="16"/>
      <w:szCs w:val="16"/>
    </w:rPr>
  </w:style>
  <w:style w:type="character" w:customStyle="1" w:styleId="CharChar160">
    <w:name w:val="Char Char16"/>
    <w:qFormat/>
    <w:rPr>
      <w:rFonts w:eastAsia="黑体"/>
      <w:kern w:val="2"/>
      <w:sz w:val="24"/>
      <w:szCs w:val="24"/>
      <w:lang w:val="en-US" w:eastAsia="zh-CN" w:bidi="ar-SA"/>
    </w:rPr>
  </w:style>
  <w:style w:type="character" w:customStyle="1" w:styleId="Char1ffb">
    <w:name w:val="表号 Char1"/>
    <w:qFormat/>
    <w:rPr>
      <w:rFonts w:ascii="宋体" w:eastAsia="宋体" w:hAnsi="宋体"/>
      <w:sz w:val="24"/>
      <w:szCs w:val="24"/>
      <w:lang w:val="en-US" w:eastAsia="zh-CN" w:bidi="ar-SA"/>
    </w:rPr>
  </w:style>
  <w:style w:type="character" w:customStyle="1" w:styleId="BodytextChar">
    <w:name w:val="Body text Char"/>
    <w:link w:val="3fa"/>
    <w:qFormat/>
    <w:rPr>
      <w:rFonts w:ascii="Arial" w:hAnsi="Arial"/>
      <w:color w:val="000000"/>
      <w:sz w:val="24"/>
      <w:szCs w:val="24"/>
      <w:lang w:eastAsia="en-US" w:bidi="ar-SA"/>
    </w:rPr>
  </w:style>
  <w:style w:type="paragraph" w:customStyle="1" w:styleId="3fa">
    <w:name w:val="正文文本3"/>
    <w:link w:val="BodytextChar"/>
    <w:qFormat/>
    <w:pPr>
      <w:autoSpaceDE w:val="0"/>
      <w:autoSpaceDN w:val="0"/>
      <w:adjustRightInd w:val="0"/>
      <w:jc w:val="both"/>
    </w:pPr>
    <w:rPr>
      <w:rFonts w:ascii="Arial" w:hAnsi="Arial"/>
      <w:color w:val="000000"/>
      <w:sz w:val="24"/>
      <w:szCs w:val="24"/>
      <w:lang w:eastAsia="en-US"/>
    </w:rPr>
  </w:style>
  <w:style w:type="character" w:customStyle="1" w:styleId="Charffffffffff">
    <w:name w:val="正文表格 Char"/>
    <w:link w:val="afffffffffffffff"/>
    <w:qFormat/>
    <w:rPr>
      <w:sz w:val="28"/>
    </w:rPr>
  </w:style>
  <w:style w:type="paragraph" w:customStyle="1" w:styleId="afffffffffffffff">
    <w:name w:val="正文表格"/>
    <w:basedOn w:val="a6"/>
    <w:link w:val="Charffffffffff"/>
    <w:qFormat/>
    <w:pPr>
      <w:keepNext/>
      <w:keepLines/>
      <w:overflowPunct w:val="0"/>
      <w:adjustRightInd w:val="0"/>
      <w:spacing w:before="80"/>
      <w:jc w:val="center"/>
      <w:textAlignment w:val="bottom"/>
    </w:pPr>
    <w:rPr>
      <w:kern w:val="0"/>
      <w:sz w:val="28"/>
      <w:szCs w:val="20"/>
    </w:rPr>
  </w:style>
  <w:style w:type="character" w:customStyle="1" w:styleId="f241">
    <w:name w:val="f241"/>
    <w:qFormat/>
    <w:rPr>
      <w:sz w:val="36"/>
    </w:rPr>
  </w:style>
  <w:style w:type="character" w:customStyle="1" w:styleId="CharCharfffffd">
    <w:name w:val="小表左 Char Char"/>
    <w:link w:val="afffffffffffffff0"/>
    <w:qFormat/>
    <w:rPr>
      <w:rFonts w:eastAsia="楷体_GB2312"/>
      <w:color w:val="000000"/>
      <w:w w:val="110"/>
      <w:sz w:val="24"/>
      <w:szCs w:val="21"/>
    </w:rPr>
  </w:style>
  <w:style w:type="paragraph" w:customStyle="1" w:styleId="afffffffffffffff0">
    <w:name w:val="小表左"/>
    <w:basedOn w:val="a6"/>
    <w:link w:val="CharCharfffffd"/>
    <w:qFormat/>
    <w:pPr>
      <w:keepNext/>
      <w:tabs>
        <w:tab w:val="left" w:pos="2190"/>
      </w:tabs>
      <w:adjustRightInd w:val="0"/>
      <w:snapToGrid w:val="0"/>
    </w:pPr>
    <w:rPr>
      <w:rFonts w:eastAsia="楷体_GB2312"/>
      <w:color w:val="000000"/>
      <w:w w:val="110"/>
      <w:kern w:val="0"/>
      <w:sz w:val="24"/>
      <w:szCs w:val="21"/>
    </w:rPr>
  </w:style>
  <w:style w:type="character" w:customStyle="1" w:styleId="pleft4">
    <w:name w:val="pleft4"/>
    <w:qFormat/>
  </w:style>
  <w:style w:type="character" w:customStyle="1" w:styleId="Charffffffffff0">
    <w:name w:val="图表标题 Char"/>
    <w:link w:val="afffffffffffffff1"/>
    <w:qFormat/>
    <w:rPr>
      <w:rFonts w:ascii="黑体" w:eastAsia="黑体"/>
      <w:b/>
      <w:kern w:val="2"/>
      <w:sz w:val="24"/>
      <w:szCs w:val="24"/>
      <w:lang w:val="en-US" w:eastAsia="zh-CN" w:bidi="ar-SA"/>
    </w:rPr>
  </w:style>
  <w:style w:type="paragraph" w:customStyle="1" w:styleId="afffffffffffffff1">
    <w:name w:val="图表标题"/>
    <w:link w:val="Charffffffffff0"/>
    <w:qFormat/>
    <w:pPr>
      <w:adjustRightInd w:val="0"/>
      <w:snapToGrid w:val="0"/>
      <w:spacing w:line="360" w:lineRule="auto"/>
      <w:jc w:val="center"/>
    </w:pPr>
    <w:rPr>
      <w:rFonts w:ascii="黑体" w:eastAsia="黑体"/>
      <w:b/>
      <w:kern w:val="2"/>
      <w:sz w:val="24"/>
      <w:szCs w:val="24"/>
    </w:rPr>
  </w:style>
  <w:style w:type="character" w:customStyle="1" w:styleId="dandan6-13CharCharChar0">
    <w:name w:val="样式 dandan6-13四级以下 + Char Char Char"/>
    <w:qFormat/>
    <w:rPr>
      <w:rFonts w:eastAsia="仿宋_GB2312"/>
      <w:b/>
      <w:bCs/>
      <w:kern w:val="2"/>
      <w:sz w:val="24"/>
      <w:szCs w:val="24"/>
      <w:lang w:val="en-US" w:eastAsia="zh-CN" w:bidi="ar-SA"/>
    </w:rPr>
  </w:style>
  <w:style w:type="character" w:customStyle="1" w:styleId="1fff3">
    <w:name w:val="批注引用1"/>
    <w:qFormat/>
    <w:rPr>
      <w:sz w:val="21"/>
      <w:szCs w:val="21"/>
    </w:rPr>
  </w:style>
  <w:style w:type="character" w:customStyle="1" w:styleId="CharCharfffffe">
    <w:name w:val="标题 Char Char"/>
    <w:qFormat/>
    <w:rPr>
      <w:rFonts w:ascii="Cambria" w:hAnsi="Cambria" w:cs="Times New Roman"/>
      <w:b/>
      <w:bCs/>
      <w:kern w:val="2"/>
      <w:sz w:val="32"/>
      <w:szCs w:val="32"/>
    </w:rPr>
  </w:style>
  <w:style w:type="character" w:customStyle="1" w:styleId="Char1ffc">
    <w:name w:val="正文文本 Char1"/>
    <w:qFormat/>
    <w:rPr>
      <w:rFonts w:ascii="Times New Roman" w:eastAsia="宋体" w:hAnsi="Times New Roman" w:cs="Times New Roman"/>
      <w:szCs w:val="20"/>
    </w:rPr>
  </w:style>
  <w:style w:type="character" w:customStyle="1" w:styleId="editsChar">
    <w:name w:val="edits Char"/>
    <w:link w:val="edits"/>
    <w:qFormat/>
    <w:rPr>
      <w:rFonts w:ascii="Arial" w:eastAsia="Times New Roman" w:hAnsi="Arial"/>
      <w:i/>
      <w:color w:val="FF0000"/>
      <w:sz w:val="22"/>
      <w:szCs w:val="24"/>
      <w:lang w:eastAsia="en-US"/>
    </w:rPr>
  </w:style>
  <w:style w:type="paragraph" w:customStyle="1" w:styleId="edits">
    <w:name w:val="edits"/>
    <w:basedOn w:val="a6"/>
    <w:link w:val="editsChar"/>
    <w:qFormat/>
    <w:pPr>
      <w:widowControl/>
      <w:tabs>
        <w:tab w:val="left" w:pos="540"/>
      </w:tabs>
      <w:spacing w:after="120"/>
      <w:ind w:left="720"/>
      <w:jc w:val="left"/>
      <w:outlineLvl w:val="1"/>
    </w:pPr>
    <w:rPr>
      <w:rFonts w:ascii="Arial" w:eastAsia="Times New Roman" w:hAnsi="Arial"/>
      <w:i/>
      <w:color w:val="FF0000"/>
      <w:kern w:val="0"/>
      <w:sz w:val="22"/>
      <w:lang w:eastAsia="en-US"/>
    </w:rPr>
  </w:style>
  <w:style w:type="character" w:customStyle="1" w:styleId="Charffffffffff1">
    <w:name w:val="表头标题格式 Char"/>
    <w:uiPriority w:val="99"/>
    <w:qFormat/>
    <w:rPr>
      <w:rFonts w:ascii="黑体" w:eastAsia="黑体" w:hAnsi="宋体"/>
      <w:b/>
      <w:bCs/>
      <w:kern w:val="2"/>
      <w:sz w:val="24"/>
    </w:rPr>
  </w:style>
  <w:style w:type="character" w:customStyle="1" w:styleId="Footer1Char2">
    <w:name w:val="Footer1 Char2"/>
    <w:qFormat/>
    <w:rPr>
      <w:sz w:val="18"/>
      <w:szCs w:val="18"/>
    </w:rPr>
  </w:style>
  <w:style w:type="character" w:customStyle="1" w:styleId="21Char1">
    <w:name w:val="正文文字 21 Char1"/>
    <w:qFormat/>
    <w:rPr>
      <w:rFonts w:eastAsia="宋体"/>
      <w:kern w:val="2"/>
      <w:sz w:val="21"/>
      <w:szCs w:val="24"/>
      <w:lang w:val="en-US" w:eastAsia="zh-CN" w:bidi="ar-SA"/>
    </w:rPr>
  </w:style>
  <w:style w:type="character" w:customStyle="1" w:styleId="CharCharCharff1">
    <w:name w:val="样式 样式 表格 + (符号) 宋体 五号 居中 + 小五 Char Char Char"/>
    <w:qFormat/>
    <w:rPr>
      <w:rFonts w:ascii="宋体" w:eastAsia="宋体" w:hAnsi="宋体" w:cs="宋体"/>
      <w:snapToGrid/>
      <w:kern w:val="0"/>
      <w:sz w:val="18"/>
      <w:szCs w:val="21"/>
    </w:rPr>
  </w:style>
  <w:style w:type="paragraph" w:customStyle="1" w:styleId="CharCharCharCharCharCharCharCharCharCharCharChar1Char1">
    <w:name w:val="Char Char Char Char Char Char Char Char Char Char Char Char1 Char1"/>
    <w:basedOn w:val="a6"/>
    <w:next w:val="a6"/>
    <w:qFormat/>
    <w:pPr>
      <w:spacing w:line="360" w:lineRule="auto"/>
      <w:ind w:firstLineChars="200" w:firstLine="200"/>
    </w:pPr>
    <w:rPr>
      <w:rFonts w:ascii="宋体" w:hAnsi="宋体" w:cs="宋体"/>
      <w:sz w:val="24"/>
    </w:rPr>
  </w:style>
  <w:style w:type="paragraph" w:customStyle="1" w:styleId="afffffffffffffff2">
    <w:name w:val="单晶硅表头"/>
    <w:basedOn w:val="a6"/>
    <w:qFormat/>
    <w:pPr>
      <w:spacing w:line="560" w:lineRule="exact"/>
      <w:jc w:val="center"/>
    </w:pPr>
    <w:rPr>
      <w:rFonts w:ascii="黑体" w:eastAsia="黑体" w:hAnsi="宋体" w:cs="仿宋_GB2312"/>
      <w:kern w:val="0"/>
      <w:sz w:val="24"/>
    </w:rPr>
  </w:style>
  <w:style w:type="paragraph" w:customStyle="1" w:styleId="2230">
    <w:name w:val="样式 首行缩进:  2 字符 行距: 固定值 23 磅"/>
    <w:basedOn w:val="a6"/>
    <w:qFormat/>
    <w:pPr>
      <w:spacing w:line="460" w:lineRule="exact"/>
      <w:ind w:firstLineChars="200" w:firstLine="648"/>
    </w:pPr>
    <w:rPr>
      <w:rFonts w:cs="宋体"/>
      <w:sz w:val="24"/>
    </w:rPr>
  </w:style>
  <w:style w:type="paragraph" w:customStyle="1" w:styleId="zxl152">
    <w:name w:val="zxl行距: 1.5 倍行距 首行缩进:  2 字符"/>
    <w:basedOn w:val="a6"/>
    <w:next w:val="a6"/>
    <w:qFormat/>
    <w:pPr>
      <w:spacing w:line="360" w:lineRule="auto"/>
      <w:ind w:firstLineChars="200" w:firstLine="480"/>
      <w:jc w:val="left"/>
    </w:pPr>
    <w:rPr>
      <w:rFonts w:hAnsi="宋体"/>
      <w:color w:val="FF0000"/>
      <w:sz w:val="24"/>
    </w:rPr>
  </w:style>
  <w:style w:type="paragraph" w:customStyle="1" w:styleId="66">
    <w:name w:val="样式66"/>
    <w:basedOn w:val="a6"/>
    <w:qFormat/>
    <w:pPr>
      <w:widowControl/>
      <w:ind w:firstLineChars="200" w:firstLine="560"/>
      <w:jc w:val="left"/>
    </w:pPr>
    <w:rPr>
      <w:rFonts w:ascii="宋体" w:hAnsi="宋体" w:cs="宋体"/>
      <w:kern w:val="0"/>
      <w:sz w:val="28"/>
      <w:szCs w:val="20"/>
    </w:rPr>
  </w:style>
  <w:style w:type="paragraph" w:customStyle="1" w:styleId="xl238">
    <w:name w:val="xl238"/>
    <w:basedOn w:val="a6"/>
    <w:qFormat/>
    <w:pPr>
      <w:widowControl/>
      <w:spacing w:before="100" w:beforeAutospacing="1" w:after="100" w:afterAutospacing="1"/>
      <w:jc w:val="left"/>
      <w:textAlignment w:val="bottom"/>
    </w:pPr>
    <w:rPr>
      <w:rFonts w:ascii="宋体" w:hAnsi="宋体" w:cs="宋体"/>
      <w:kern w:val="0"/>
      <w:sz w:val="24"/>
    </w:rPr>
  </w:style>
  <w:style w:type="paragraph" w:customStyle="1" w:styleId="pa-1">
    <w:name w:val="pa-1"/>
    <w:basedOn w:val="a6"/>
    <w:qFormat/>
    <w:pPr>
      <w:widowControl/>
      <w:spacing w:line="320" w:lineRule="atLeast"/>
      <w:ind w:firstLine="560"/>
    </w:pPr>
    <w:rPr>
      <w:rFonts w:ascii="宋体" w:hAnsi="宋体" w:cs="宋体"/>
      <w:kern w:val="0"/>
      <w:sz w:val="24"/>
    </w:rPr>
  </w:style>
  <w:style w:type="paragraph" w:customStyle="1" w:styleId="Head52">
    <w:name w:val="Head 5.2"/>
    <w:basedOn w:val="a6"/>
    <w:qFormat/>
    <w:pPr>
      <w:widowControl/>
      <w:tabs>
        <w:tab w:val="left" w:pos="533"/>
      </w:tabs>
      <w:suppressAutoHyphens/>
      <w:ind w:left="533" w:hanging="533"/>
      <w:jc w:val="left"/>
    </w:pPr>
    <w:rPr>
      <w:rFonts w:cs="宋体"/>
      <w:b/>
      <w:kern w:val="0"/>
      <w:sz w:val="24"/>
      <w:szCs w:val="20"/>
      <w:lang w:eastAsia="en-US"/>
    </w:rPr>
  </w:style>
  <w:style w:type="paragraph" w:customStyle="1" w:styleId="xl225">
    <w:name w:val="xl225"/>
    <w:basedOn w:val="a6"/>
    <w:qFormat/>
    <w:pPr>
      <w:widowControl/>
      <w:pBdr>
        <w:top w:val="single" w:sz="8" w:space="0" w:color="auto"/>
        <w:bottom w:val="single" w:sz="4" w:space="0" w:color="auto"/>
      </w:pBdr>
      <w:spacing w:before="100" w:beforeAutospacing="1" w:after="100" w:afterAutospacing="1"/>
      <w:jc w:val="center"/>
      <w:textAlignment w:val="center"/>
    </w:pPr>
    <w:rPr>
      <w:rFonts w:cs="宋体"/>
      <w:kern w:val="0"/>
      <w:sz w:val="20"/>
      <w:szCs w:val="20"/>
    </w:rPr>
  </w:style>
  <w:style w:type="paragraph" w:customStyle="1" w:styleId="310">
    <w:name w:val="标题 31"/>
    <w:basedOn w:val="a6"/>
    <w:next w:val="a6"/>
    <w:qFormat/>
    <w:pPr>
      <w:keepNext/>
      <w:keepLines/>
      <w:spacing w:before="260" w:after="260" w:line="413" w:lineRule="auto"/>
      <w:outlineLvl w:val="2"/>
    </w:pPr>
    <w:rPr>
      <w:b/>
      <w:bCs/>
      <w:color w:val="000000"/>
      <w:w w:val="110"/>
      <w:kern w:val="0"/>
      <w:sz w:val="32"/>
      <w:szCs w:val="32"/>
    </w:rPr>
  </w:style>
  <w:style w:type="paragraph" w:customStyle="1" w:styleId="3fb">
    <w:name w:val="图表目录3"/>
    <w:basedOn w:val="1ff9"/>
    <w:next w:val="1ff9"/>
    <w:qFormat/>
    <w:pPr>
      <w:tabs>
        <w:tab w:val="right" w:leader="dot" w:pos="8051"/>
      </w:tabs>
      <w:adjustRightInd w:val="0"/>
      <w:spacing w:line="360" w:lineRule="atLeast"/>
      <w:ind w:left="840" w:hanging="840"/>
      <w:jc w:val="left"/>
      <w:textAlignment w:val="baseline"/>
    </w:pPr>
    <w:rPr>
      <w:rFonts w:ascii="宋体" w:hAnsi="Calibri"/>
      <w:kern w:val="0"/>
      <w:sz w:val="24"/>
      <w:szCs w:val="20"/>
    </w:rPr>
  </w:style>
  <w:style w:type="paragraph" w:customStyle="1" w:styleId="2H211lxb2211h2Char2">
    <w:name w:val="样式 标题 2节H2节标题 1.1二级标题标题 lxb2标题21.1h2第一层条二级标题 Char表标题...2"/>
    <w:basedOn w:val="210"/>
    <w:qFormat/>
    <w:pPr>
      <w:spacing w:before="156" w:after="0" w:line="520" w:lineRule="exact"/>
    </w:pPr>
    <w:rPr>
      <w:rFonts w:cs="宋体"/>
      <w:sz w:val="28"/>
      <w:szCs w:val="20"/>
    </w:rPr>
  </w:style>
  <w:style w:type="paragraph" w:customStyle="1" w:styleId="1fff4">
    <w:name w:val="页脚1"/>
    <w:basedOn w:val="1ff9"/>
    <w:qFormat/>
    <w:pPr>
      <w:tabs>
        <w:tab w:val="center" w:pos="4153"/>
        <w:tab w:val="right" w:pos="8306"/>
      </w:tabs>
      <w:adjustRightInd w:val="0"/>
      <w:spacing w:line="240" w:lineRule="atLeast"/>
      <w:jc w:val="left"/>
      <w:textAlignment w:val="baseline"/>
    </w:pPr>
    <w:rPr>
      <w:rFonts w:ascii="宋体" w:hAnsi="Calibri"/>
      <w:kern w:val="0"/>
      <w:sz w:val="18"/>
      <w:szCs w:val="20"/>
    </w:rPr>
  </w:style>
  <w:style w:type="paragraph" w:customStyle="1" w:styleId="afffffffffffffff3">
    <w:name w:val="段落_首行缩进"/>
    <w:qFormat/>
    <w:pPr>
      <w:snapToGrid w:val="0"/>
      <w:spacing w:after="120" w:line="360" w:lineRule="exact"/>
      <w:ind w:firstLine="482"/>
      <w:jc w:val="both"/>
    </w:pPr>
    <w:rPr>
      <w:rFonts w:ascii="Adobe 宋体 Std L" w:hAnsi="Adobe 宋体 Std L"/>
      <w:color w:val="000000"/>
      <w:sz w:val="24"/>
    </w:rPr>
  </w:style>
  <w:style w:type="paragraph" w:customStyle="1" w:styleId="11051">
    <w:name w:val="样式 1.1二级标题 + 段前: 0.5 行1"/>
    <w:basedOn w:val="112"/>
    <w:qFormat/>
    <w:pPr>
      <w:ind w:left="11"/>
    </w:pPr>
    <w:rPr>
      <w:rFonts w:cs="宋体"/>
      <w:b w:val="0"/>
    </w:rPr>
  </w:style>
  <w:style w:type="paragraph" w:customStyle="1" w:styleId="CharCharChar14">
    <w:name w:val="Char Char Char14"/>
    <w:basedOn w:val="a6"/>
    <w:qFormat/>
    <w:rPr>
      <w:sz w:val="30"/>
    </w:rPr>
  </w:style>
  <w:style w:type="paragraph" w:customStyle="1" w:styleId="2fff">
    <w:name w:val="样式 四号2"/>
    <w:basedOn w:val="a6"/>
    <w:qFormat/>
    <w:pPr>
      <w:spacing w:line="440" w:lineRule="exact"/>
      <w:ind w:firstLineChars="200" w:firstLine="200"/>
    </w:pPr>
    <w:rPr>
      <w:color w:val="000000"/>
      <w:w w:val="110"/>
      <w:kern w:val="0"/>
      <w:sz w:val="28"/>
    </w:rPr>
  </w:style>
  <w:style w:type="paragraph" w:customStyle="1" w:styleId="afffffffffffffff4">
    <w:name w:val="小标题规定"/>
    <w:basedOn w:val="a6"/>
    <w:qFormat/>
    <w:pPr>
      <w:spacing w:before="40" w:after="40" w:line="360" w:lineRule="auto"/>
      <w:outlineLvl w:val="4"/>
    </w:pPr>
    <w:rPr>
      <w:rFonts w:ascii="仿宋_GB2312" w:eastAsia="仿宋_GB2312" w:hAnsi="宋体" w:cs="宋体"/>
      <w:b/>
      <w:bCs/>
      <w:sz w:val="24"/>
      <w:szCs w:val="20"/>
    </w:rPr>
  </w:style>
  <w:style w:type="paragraph" w:customStyle="1" w:styleId="1323">
    <w:name w:val="样式 13 磅 行距: 固定值 23 磅"/>
    <w:basedOn w:val="a6"/>
    <w:qFormat/>
    <w:pPr>
      <w:spacing w:line="460" w:lineRule="exact"/>
      <w:ind w:firstLineChars="200" w:firstLine="200"/>
    </w:pPr>
    <w:rPr>
      <w:rFonts w:eastAsia="仿宋_GB2312"/>
      <w:sz w:val="24"/>
      <w:szCs w:val="20"/>
    </w:rPr>
  </w:style>
  <w:style w:type="paragraph" w:customStyle="1" w:styleId="1">
    <w:name w:val="正文1级"/>
    <w:basedOn w:val="a6"/>
    <w:qFormat/>
    <w:pPr>
      <w:widowControl/>
      <w:numPr>
        <w:numId w:val="8"/>
      </w:numPr>
      <w:spacing w:line="360" w:lineRule="auto"/>
      <w:ind w:firstLine="0"/>
      <w:jc w:val="left"/>
    </w:pPr>
    <w:rPr>
      <w:rFonts w:ascii="Arial" w:hAnsi="Arial" w:cs="宋体"/>
      <w:kern w:val="0"/>
      <w:sz w:val="28"/>
    </w:rPr>
  </w:style>
  <w:style w:type="paragraph" w:customStyle="1" w:styleId="ParaAttribute6">
    <w:name w:val="ParaAttribute6"/>
    <w:qFormat/>
    <w:pPr>
      <w:widowControl w:val="0"/>
      <w:wordWrap w:val="0"/>
      <w:spacing w:line="240" w:lineRule="exact"/>
    </w:pPr>
  </w:style>
  <w:style w:type="paragraph" w:customStyle="1" w:styleId="afffffffffffffff5">
    <w:name w:val="标题二！！！"/>
    <w:basedOn w:val="22"/>
    <w:qFormat/>
    <w:pPr>
      <w:keepNext w:val="0"/>
      <w:keepLines w:val="0"/>
      <w:tabs>
        <w:tab w:val="left" w:pos="567"/>
      </w:tabs>
      <w:overflowPunct w:val="0"/>
      <w:autoSpaceDE w:val="0"/>
      <w:autoSpaceDN w:val="0"/>
      <w:adjustRightInd w:val="0"/>
      <w:spacing w:line="500" w:lineRule="exact"/>
      <w:textAlignment w:val="baseline"/>
    </w:pPr>
    <w:rPr>
      <w:rFonts w:ascii="黑体" w:eastAsia="楷体_GB2312" w:cs="宋体"/>
      <w:spacing w:val="0"/>
      <w:w w:val="100"/>
      <w:kern w:val="2"/>
      <w:szCs w:val="20"/>
    </w:rPr>
  </w:style>
  <w:style w:type="paragraph" w:customStyle="1" w:styleId="CharCharCharCharCharCharCharCharCharCharChar11">
    <w:name w:val="Char Char Char Char Char Char Char Char Char Char Char11"/>
    <w:basedOn w:val="a6"/>
    <w:qFormat/>
  </w:style>
  <w:style w:type="paragraph" w:customStyle="1" w:styleId="411">
    <w:name w:val="标题 41"/>
    <w:basedOn w:val="a6"/>
    <w:next w:val="a6"/>
    <w:qFormat/>
    <w:pPr>
      <w:keepNext/>
      <w:keepLines/>
      <w:spacing w:before="280" w:after="290" w:line="372" w:lineRule="auto"/>
      <w:outlineLvl w:val="3"/>
    </w:pPr>
    <w:rPr>
      <w:rFonts w:ascii="Arial" w:eastAsia="黑体" w:hAnsi="Arial"/>
      <w:b/>
      <w:bCs/>
      <w:color w:val="000000"/>
      <w:w w:val="110"/>
      <w:kern w:val="0"/>
      <w:sz w:val="28"/>
      <w:szCs w:val="28"/>
    </w:rPr>
  </w:style>
  <w:style w:type="paragraph" w:customStyle="1" w:styleId="4f2">
    <w:name w:val="副标题4"/>
    <w:qFormat/>
    <w:pPr>
      <w:tabs>
        <w:tab w:val="left" w:pos="672"/>
        <w:tab w:val="left" w:pos="720"/>
        <w:tab w:val="left" w:pos="1275"/>
        <w:tab w:val="left" w:pos="1575"/>
        <w:tab w:val="left" w:pos="2100"/>
      </w:tabs>
      <w:ind w:left="1275" w:hanging="705"/>
      <w:outlineLvl w:val="4"/>
    </w:pPr>
  </w:style>
  <w:style w:type="paragraph" w:customStyle="1" w:styleId="3fc">
    <w:name w:val="副标题3"/>
    <w:basedOn w:val="a6"/>
    <w:qFormat/>
    <w:pPr>
      <w:keepLines/>
      <w:tabs>
        <w:tab w:val="left" w:pos="672"/>
        <w:tab w:val="left" w:pos="720"/>
      </w:tabs>
      <w:adjustRightInd w:val="0"/>
      <w:snapToGrid w:val="0"/>
      <w:spacing w:line="400" w:lineRule="atLeast"/>
      <w:ind w:left="672" w:hanging="348"/>
      <w:outlineLvl w:val="3"/>
    </w:pPr>
    <w:rPr>
      <w:rFonts w:ascii="宋体"/>
      <w:snapToGrid w:val="0"/>
      <w:kern w:val="0"/>
      <w:sz w:val="24"/>
    </w:rPr>
  </w:style>
  <w:style w:type="paragraph" w:customStyle="1" w:styleId="CharCharCharCharCharCharCharCharCharCharCharCharCharCharCharCharChar">
    <w:name w:val="Char Char Char Char Char Char Char Char Char Char Char Char Char Char Char Char Char"/>
    <w:basedOn w:val="a6"/>
    <w:qFormat/>
  </w:style>
  <w:style w:type="paragraph" w:customStyle="1" w:styleId="afffffffffffffff6">
    <w:name w:val="小表右"/>
    <w:basedOn w:val="a6"/>
    <w:qFormat/>
    <w:pPr>
      <w:keepNext/>
      <w:widowControl/>
      <w:snapToGrid w:val="0"/>
      <w:spacing w:line="240" w:lineRule="atLeast"/>
      <w:ind w:rightChars="10" w:right="10"/>
      <w:jc w:val="right"/>
    </w:pPr>
    <w:rPr>
      <w:rFonts w:ascii="宋体" w:hAnsi="宋体" w:cs="宋体"/>
      <w:kern w:val="0"/>
      <w:sz w:val="24"/>
    </w:rPr>
  </w:style>
  <w:style w:type="paragraph" w:customStyle="1" w:styleId="131">
    <w:name w:val="样式1.3"/>
    <w:qFormat/>
    <w:pPr>
      <w:outlineLvl w:val="2"/>
    </w:pPr>
  </w:style>
  <w:style w:type="paragraph" w:customStyle="1" w:styleId="121">
    <w:name w:val="样式1.2"/>
    <w:qFormat/>
    <w:pPr>
      <w:outlineLvl w:val="1"/>
    </w:pPr>
    <w:rPr>
      <w:sz w:val="24"/>
    </w:rPr>
  </w:style>
  <w:style w:type="paragraph" w:customStyle="1" w:styleId="117">
    <w:name w:val="样式1.1"/>
    <w:basedOn w:val="12"/>
    <w:qFormat/>
    <w:pPr>
      <w:spacing w:before="156" w:after="156" w:line="360" w:lineRule="auto"/>
      <w:jc w:val="center"/>
    </w:pPr>
    <w:rPr>
      <w:rFonts w:ascii="宋体" w:hAnsi="宋体"/>
      <w:bCs w:val="0"/>
      <w:kern w:val="2"/>
      <w:sz w:val="28"/>
      <w:szCs w:val="20"/>
    </w:rPr>
  </w:style>
  <w:style w:type="paragraph" w:customStyle="1" w:styleId="1fff5">
    <w:name w:val="称呼1"/>
    <w:basedOn w:val="a6"/>
    <w:next w:val="a6"/>
    <w:qFormat/>
  </w:style>
  <w:style w:type="paragraph" w:customStyle="1" w:styleId="ZchnZchnCharCharZchnZchn1">
    <w:name w:val="Zchn Zchn Char Char Zchn Zchn1"/>
    <w:basedOn w:val="a6"/>
    <w:qFormat/>
    <w:pPr>
      <w:tabs>
        <w:tab w:val="left" w:pos="492"/>
      </w:tabs>
      <w:ind w:left="492" w:hanging="132"/>
    </w:pPr>
    <w:rPr>
      <w:rFonts w:ascii="Tahoma" w:eastAsia="楷体_GB2312" w:hAnsi="Tahoma"/>
      <w:color w:val="000000"/>
      <w:spacing w:val="10"/>
      <w:w w:val="110"/>
      <w:kern w:val="0"/>
      <w:sz w:val="24"/>
      <w:szCs w:val="20"/>
    </w:rPr>
  </w:style>
  <w:style w:type="paragraph" w:customStyle="1" w:styleId="afffffffffffffff7">
    <w:name w:val="表格文字样式"/>
    <w:basedOn w:val="affffffffffffe"/>
    <w:qFormat/>
    <w:pPr>
      <w:spacing w:line="240" w:lineRule="auto"/>
      <w:ind w:firstLine="0"/>
      <w:jc w:val="center"/>
    </w:pPr>
  </w:style>
  <w:style w:type="paragraph" w:customStyle="1" w:styleId="3fd">
    <w:name w:val="正文首行缩进3"/>
    <w:basedOn w:val="af8"/>
    <w:qFormat/>
    <w:pPr>
      <w:ind w:firstLineChars="100" w:firstLine="420"/>
    </w:pPr>
    <w:rPr>
      <w:rFonts w:ascii="Calibri" w:hAnsi="Calibri"/>
      <w:kern w:val="0"/>
      <w:sz w:val="24"/>
      <w:szCs w:val="20"/>
    </w:rPr>
  </w:style>
  <w:style w:type="paragraph" w:customStyle="1" w:styleId="afffffffffffffff8">
    <w:name w:val="正文宋体"/>
    <w:basedOn w:val="a6"/>
    <w:qFormat/>
    <w:pPr>
      <w:spacing w:line="300" w:lineRule="auto"/>
    </w:pPr>
    <w:rPr>
      <w:sz w:val="28"/>
      <w:szCs w:val="20"/>
    </w:rPr>
  </w:style>
  <w:style w:type="paragraph" w:customStyle="1" w:styleId="1MainHeadingHeading1pHeading1p1Heading1p2Heading1">
    <w:name w:val="样式 标题 1Main HeadingHeading 1pHeading 1p1Heading 1p2Heading ...1"/>
    <w:basedOn w:val="12"/>
    <w:qFormat/>
    <w:pPr>
      <w:pageBreakBefore/>
      <w:tabs>
        <w:tab w:val="left" w:pos="432"/>
      </w:tabs>
      <w:spacing w:after="0" w:line="578" w:lineRule="auto"/>
      <w:ind w:left="431" w:hanging="431"/>
    </w:pPr>
    <w:rPr>
      <w:rFonts w:ascii="Arial" w:hAnsi="Arial"/>
      <w:b w:val="0"/>
      <w:bCs w:val="0"/>
      <w:sz w:val="24"/>
    </w:rPr>
  </w:style>
  <w:style w:type="paragraph" w:customStyle="1" w:styleId="21121122Char1Heading22051">
    <w:name w:val="样式 样式 标题 21.1标题 21.1标题2标题 2 Char1节_Heading 2标2 + 段前: 0.5 行... + ...1"/>
    <w:basedOn w:val="41"/>
    <w:qFormat/>
    <w:pPr>
      <w:keepLines w:val="0"/>
      <w:numPr>
        <w:ilvl w:val="3"/>
        <w:numId w:val="9"/>
      </w:numPr>
      <w:tabs>
        <w:tab w:val="left" w:pos="3018"/>
      </w:tabs>
      <w:spacing w:beforeLines="0" w:before="0" w:line="360" w:lineRule="auto"/>
      <w:jc w:val="left"/>
    </w:pPr>
    <w:rPr>
      <w:rFonts w:ascii="宋体" w:eastAsia="宋体"/>
      <w:sz w:val="24"/>
      <w:szCs w:val="28"/>
    </w:rPr>
  </w:style>
  <w:style w:type="paragraph" w:customStyle="1" w:styleId="xl42">
    <w:name w:val="xl42"/>
    <w:basedOn w:val="a6"/>
    <w:qFormat/>
    <w:pPr>
      <w:widowControl/>
      <w:pBdr>
        <w:top w:val="single" w:sz="4" w:space="0" w:color="auto"/>
        <w:left w:val="single" w:sz="4" w:space="0" w:color="auto"/>
        <w:right w:val="single" w:sz="4" w:space="0" w:color="auto"/>
      </w:pBdr>
      <w:spacing w:before="100" w:after="100"/>
      <w:textAlignment w:val="center"/>
    </w:pPr>
    <w:rPr>
      <w:rFonts w:ascii="宋体" w:hAnsi="宋体"/>
      <w:kern w:val="0"/>
      <w:szCs w:val="20"/>
    </w:rPr>
  </w:style>
  <w:style w:type="paragraph" w:customStyle="1" w:styleId="5f2">
    <w:name w:val="表格5"/>
    <w:qFormat/>
    <w:pPr>
      <w:jc w:val="both"/>
    </w:pPr>
    <w:rPr>
      <w:rFonts w:ascii="宋体" w:hAnsi="宋体"/>
      <w:color w:val="000000"/>
      <w:sz w:val="24"/>
      <w:szCs w:val="24"/>
    </w:rPr>
  </w:style>
  <w:style w:type="paragraph" w:customStyle="1" w:styleId="CharChar32">
    <w:name w:val="Char Char32"/>
    <w:basedOn w:val="a6"/>
    <w:qFormat/>
    <w:pPr>
      <w:snapToGrid w:val="0"/>
      <w:spacing w:line="440" w:lineRule="atLeast"/>
    </w:pPr>
    <w:rPr>
      <w:rFonts w:ascii="宋体"/>
      <w:sz w:val="24"/>
    </w:rPr>
  </w:style>
  <w:style w:type="paragraph" w:customStyle="1" w:styleId="afffffffffffffff9">
    <w:name w:val="图表中文字"/>
    <w:basedOn w:val="a6"/>
    <w:qFormat/>
    <w:pPr>
      <w:overflowPunct w:val="0"/>
      <w:topLinePunct/>
      <w:adjustRightInd w:val="0"/>
      <w:snapToGrid w:val="0"/>
      <w:jc w:val="center"/>
      <w:textAlignment w:val="center"/>
    </w:pPr>
    <w:rPr>
      <w:snapToGrid w:val="0"/>
      <w:sz w:val="18"/>
      <w:szCs w:val="21"/>
    </w:rPr>
  </w:style>
  <w:style w:type="paragraph" w:customStyle="1" w:styleId="118">
    <w:name w:val="纯文本11"/>
    <w:basedOn w:val="a6"/>
    <w:qFormat/>
    <w:pPr>
      <w:spacing w:after="60"/>
      <w:ind w:firstLineChars="200" w:firstLine="200"/>
    </w:pPr>
    <w:rPr>
      <w:rFonts w:ascii="宋体" w:hAnsi="Courier New" w:cs="Courier New"/>
      <w:color w:val="000000"/>
      <w:w w:val="110"/>
      <w:kern w:val="0"/>
      <w:sz w:val="24"/>
      <w:szCs w:val="21"/>
    </w:rPr>
  </w:style>
  <w:style w:type="paragraph" w:customStyle="1" w:styleId="CharCharCharCharCharCharCharCharChar1CharCharCharChar">
    <w:name w:val="Char Char Char Char Char Char Char Char Char1 Char Char Char Char"/>
    <w:basedOn w:val="a6"/>
    <w:qFormat/>
    <w:pPr>
      <w:spacing w:line="360" w:lineRule="auto"/>
      <w:ind w:firstLineChars="200" w:firstLine="200"/>
    </w:pPr>
    <w:rPr>
      <w:rFonts w:ascii="宋体" w:hAnsi="宋体" w:cs="宋体"/>
      <w:color w:val="000000"/>
      <w:w w:val="110"/>
      <w:kern w:val="0"/>
      <w:sz w:val="24"/>
      <w:szCs w:val="26"/>
    </w:rPr>
  </w:style>
  <w:style w:type="paragraph" w:customStyle="1" w:styleId="323CharCharCharAltC111033">
    <w:name w:val="样式 标题 3标2标题 3 Char Char Char三级标题Alt+C节标题1.1.1流标题03标题 3 ..."/>
    <w:basedOn w:val="33"/>
    <w:qFormat/>
    <w:pPr>
      <w:tabs>
        <w:tab w:val="left" w:pos="720"/>
      </w:tabs>
      <w:adjustRightInd w:val="0"/>
      <w:spacing w:line="360" w:lineRule="auto"/>
      <w:jc w:val="left"/>
    </w:pPr>
    <w:rPr>
      <w:rFonts w:ascii="Arial" w:hAnsi="Arial" w:cs="宋体"/>
      <w:bCs/>
      <w:spacing w:val="0"/>
      <w:sz w:val="24"/>
      <w:szCs w:val="20"/>
    </w:rPr>
  </w:style>
  <w:style w:type="paragraph" w:customStyle="1" w:styleId="1111">
    <w:name w:val="1.11"/>
    <w:basedOn w:val="afc"/>
    <w:qFormat/>
    <w:pPr>
      <w:widowControl/>
      <w:spacing w:line="360" w:lineRule="auto"/>
      <w:ind w:firstLineChars="0" w:firstLine="0"/>
      <w:jc w:val="left"/>
      <w:outlineLvl w:val="1"/>
    </w:pPr>
    <w:rPr>
      <w:rFonts w:ascii="Times New Roman" w:eastAsia="仿宋_GB2312" w:hAnsi="Times New Roman"/>
      <w:b/>
      <w:spacing w:val="0"/>
      <w:kern w:val="0"/>
      <w:sz w:val="30"/>
      <w:szCs w:val="30"/>
    </w:rPr>
  </w:style>
  <w:style w:type="paragraph" w:customStyle="1" w:styleId="2fff0">
    <w:name w:val="日期2"/>
    <w:basedOn w:val="a6"/>
    <w:next w:val="a6"/>
    <w:qFormat/>
    <w:pPr>
      <w:adjustRightInd w:val="0"/>
      <w:spacing w:line="360" w:lineRule="atLeast"/>
      <w:textAlignment w:val="baseline"/>
    </w:pPr>
    <w:rPr>
      <w:rFonts w:ascii="宋体"/>
      <w:kern w:val="0"/>
      <w:sz w:val="28"/>
      <w:szCs w:val="20"/>
    </w:rPr>
  </w:style>
  <w:style w:type="paragraph" w:customStyle="1" w:styleId="Char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 Char1"/>
    <w:basedOn w:val="a6"/>
    <w:qFormat/>
    <w:rPr>
      <w:sz w:val="24"/>
    </w:rPr>
  </w:style>
  <w:style w:type="paragraph" w:customStyle="1" w:styleId="76">
    <w:name w:val="样式76"/>
    <w:basedOn w:val="22"/>
    <w:qFormat/>
    <w:pPr>
      <w:numPr>
        <w:numId w:val="10"/>
      </w:numPr>
      <w:spacing w:afterLines="50" w:line="440" w:lineRule="exact"/>
      <w:jc w:val="center"/>
    </w:pPr>
    <w:rPr>
      <w:b/>
      <w:spacing w:val="0"/>
      <w:w w:val="100"/>
      <w:kern w:val="2"/>
    </w:rPr>
  </w:style>
  <w:style w:type="paragraph" w:customStyle="1" w:styleId="2fff1">
    <w:name w:val="缩 2"/>
    <w:basedOn w:val="a6"/>
    <w:qFormat/>
    <w:pPr>
      <w:widowControl/>
      <w:spacing w:line="300" w:lineRule="auto"/>
      <w:ind w:firstLineChars="200" w:firstLine="200"/>
      <w:jc w:val="left"/>
    </w:pPr>
    <w:rPr>
      <w:rFonts w:cs="宋体"/>
      <w:kern w:val="0"/>
      <w:sz w:val="24"/>
    </w:rPr>
  </w:style>
  <w:style w:type="paragraph" w:customStyle="1" w:styleId="Head31">
    <w:name w:val="Head 3.1"/>
    <w:basedOn w:val="a6"/>
    <w:qFormat/>
    <w:pPr>
      <w:widowControl/>
      <w:suppressAutoHyphens/>
      <w:ind w:firstLine="360"/>
      <w:jc w:val="left"/>
    </w:pPr>
    <w:rPr>
      <w:rFonts w:cs="宋体"/>
      <w:b/>
      <w:kern w:val="0"/>
      <w:sz w:val="24"/>
      <w:szCs w:val="20"/>
      <w:lang w:val="fr-FR" w:eastAsia="en-US"/>
    </w:rPr>
  </w:style>
  <w:style w:type="paragraph" w:customStyle="1" w:styleId="TimesNewRoman121">
    <w:name w:val="样式 表格文字居中 + Times New Roman 五号 行距: 固定值 12 磅1"/>
    <w:basedOn w:val="CharChar8"/>
    <w:qFormat/>
    <w:pPr>
      <w:keepNext w:val="0"/>
      <w:adjustRightInd/>
      <w:snapToGrid/>
      <w:spacing w:line="240" w:lineRule="auto"/>
    </w:pPr>
    <w:rPr>
      <w:rFonts w:ascii="Times New Roman" w:hAnsi="Times New Roman" w:cs="宋体"/>
      <w:kern w:val="0"/>
      <w:sz w:val="21"/>
    </w:rPr>
  </w:style>
  <w:style w:type="paragraph" w:customStyle="1" w:styleId="xl968">
    <w:name w:val="xl96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18"/>
      <w:szCs w:val="18"/>
    </w:rPr>
  </w:style>
  <w:style w:type="paragraph" w:customStyle="1" w:styleId="InTable">
    <w:name w:val="In Table"/>
    <w:basedOn w:val="a6"/>
    <w:qFormat/>
    <w:pPr>
      <w:tabs>
        <w:tab w:val="left" w:pos="3960"/>
        <w:tab w:val="left" w:pos="5280"/>
      </w:tabs>
      <w:spacing w:beforeLines="40" w:afterLines="40" w:line="0" w:lineRule="atLeast"/>
      <w:jc w:val="center"/>
    </w:pPr>
    <w:rPr>
      <w:rFonts w:ascii="Tahoma" w:eastAsia="华文中宋" w:hAnsi="Tahoma"/>
      <w:color w:val="000000"/>
      <w:w w:val="110"/>
      <w:kern w:val="0"/>
      <w:sz w:val="24"/>
      <w:szCs w:val="20"/>
    </w:rPr>
  </w:style>
  <w:style w:type="paragraph" w:customStyle="1" w:styleId="afffffffffffffffa">
    <w:name w:val="表 头"/>
    <w:basedOn w:val="a6"/>
    <w:qFormat/>
    <w:pPr>
      <w:adjustRightInd w:val="0"/>
      <w:spacing w:before="120" w:after="120"/>
      <w:jc w:val="center"/>
    </w:pPr>
    <w:rPr>
      <w:rFonts w:hAnsi="宋体"/>
      <w:b/>
      <w:kern w:val="0"/>
      <w:sz w:val="24"/>
    </w:rPr>
  </w:style>
  <w:style w:type="paragraph" w:customStyle="1" w:styleId="Charffffffffff2">
    <w:name w:val="文本匡小五号 Char"/>
    <w:qFormat/>
    <w:pPr>
      <w:snapToGrid w:val="0"/>
      <w:spacing w:line="100" w:lineRule="atLeast"/>
      <w:jc w:val="center"/>
    </w:pPr>
    <w:rPr>
      <w:rFonts w:eastAsia="仿宋_GB2312"/>
      <w:snapToGrid w:val="0"/>
      <w:sz w:val="21"/>
      <w:szCs w:val="21"/>
    </w:rPr>
  </w:style>
  <w:style w:type="paragraph" w:customStyle="1" w:styleId="GB2312GB2312Arial2">
    <w:name w:val="样式 (西文) 楷体_GB2312 (中文) 楷体_GB2312 (符号) Arial 四号 黑色 首行缩进:  2 ..."/>
    <w:basedOn w:val="a6"/>
    <w:qFormat/>
    <w:pPr>
      <w:adjustRightInd w:val="0"/>
      <w:snapToGrid w:val="0"/>
      <w:spacing w:line="360" w:lineRule="auto"/>
      <w:ind w:firstLineChars="200" w:firstLine="560"/>
    </w:pPr>
    <w:rPr>
      <w:rFonts w:ascii="Arial" w:eastAsia="楷体_GB2312" w:hAnsi="Arial" w:cs="宋体"/>
      <w:color w:val="000000"/>
      <w:sz w:val="28"/>
      <w:szCs w:val="28"/>
    </w:rPr>
  </w:style>
  <w:style w:type="paragraph" w:customStyle="1" w:styleId="xl182">
    <w:name w:val="xl182"/>
    <w:basedOn w:val="a6"/>
    <w:qFormat/>
    <w:pPr>
      <w:widowControl/>
      <w:pBdr>
        <w:top w:val="double" w:sz="6" w:space="0" w:color="auto"/>
        <w:right w:val="single" w:sz="4" w:space="0" w:color="auto"/>
      </w:pBdr>
      <w:spacing w:before="100" w:beforeAutospacing="1" w:after="100" w:afterAutospacing="1" w:line="360" w:lineRule="auto"/>
      <w:jc w:val="center"/>
      <w:textAlignment w:val="center"/>
    </w:pPr>
    <w:rPr>
      <w:rFonts w:ascii="Arial Unicode MS" w:eastAsia="Arial Unicode MS" w:hAnsi="Arial Unicode MS" w:cs="Arial Unicode MS"/>
      <w:kern w:val="0"/>
      <w:sz w:val="20"/>
      <w:szCs w:val="20"/>
    </w:rPr>
  </w:style>
  <w:style w:type="paragraph" w:customStyle="1" w:styleId="afffffffffffffffb">
    <w:name w:val="表内文字规定"/>
    <w:basedOn w:val="a6"/>
    <w:qFormat/>
    <w:pPr>
      <w:spacing w:line="360" w:lineRule="exact"/>
      <w:jc w:val="center"/>
    </w:pPr>
    <w:rPr>
      <w:rFonts w:cs="宋体"/>
      <w:szCs w:val="20"/>
    </w:rPr>
  </w:style>
  <w:style w:type="paragraph" w:customStyle="1" w:styleId="xl35">
    <w:name w:val="xl35"/>
    <w:basedOn w:val="a6"/>
    <w:qFormat/>
    <w:pPr>
      <w:widowControl/>
      <w:pBdr>
        <w:top w:val="single" w:sz="4" w:space="0" w:color="auto"/>
        <w:left w:val="single" w:sz="4" w:space="0" w:color="auto"/>
        <w:bottom w:val="single" w:sz="4" w:space="0" w:color="auto"/>
        <w:right w:val="single" w:sz="4" w:space="0" w:color="auto"/>
      </w:pBdr>
      <w:spacing w:before="100" w:after="100"/>
      <w:jc w:val="center"/>
      <w:textAlignment w:val="center"/>
    </w:pPr>
    <w:rPr>
      <w:kern w:val="0"/>
      <w:szCs w:val="20"/>
    </w:rPr>
  </w:style>
  <w:style w:type="paragraph" w:customStyle="1" w:styleId="160">
    <w:name w:val="样式1.6"/>
    <w:qFormat/>
  </w:style>
  <w:style w:type="paragraph" w:customStyle="1" w:styleId="151">
    <w:name w:val="样式1.5"/>
    <w:qFormat/>
    <w:pPr>
      <w:spacing w:line="360" w:lineRule="auto"/>
      <w:jc w:val="center"/>
    </w:pPr>
    <w:rPr>
      <w:rFonts w:ascii="宋体" w:eastAsia="黑体" w:hAnsi="宋体"/>
      <w:snapToGrid w:val="0"/>
      <w:kern w:val="24"/>
      <w:sz w:val="24"/>
    </w:rPr>
  </w:style>
  <w:style w:type="paragraph" w:customStyle="1" w:styleId="A-4">
    <w:name w:val="A-标题4"/>
    <w:basedOn w:val="41"/>
    <w:qFormat/>
    <w:pPr>
      <w:snapToGrid/>
      <w:spacing w:beforeLines="0" w:before="0" w:line="360" w:lineRule="auto"/>
      <w:jc w:val="left"/>
      <w:textAlignment w:val="baseline"/>
    </w:pPr>
    <w:rPr>
      <w:rFonts w:ascii="Times New Roman" w:eastAsia="宋体" w:hAnsi="Times New Roman"/>
      <w:bCs w:val="0"/>
      <w:sz w:val="24"/>
    </w:rPr>
  </w:style>
  <w:style w:type="paragraph" w:customStyle="1" w:styleId="afffffffffffffffc">
    <w:name w:val="样式 宋体 居中"/>
    <w:basedOn w:val="a6"/>
    <w:qFormat/>
    <w:pPr>
      <w:jc w:val="center"/>
    </w:pPr>
    <w:rPr>
      <w:rFonts w:ascii="宋体" w:eastAsia="楷体_GB2312" w:hAnsi="宋体" w:cs="宋体"/>
      <w:szCs w:val="20"/>
    </w:rPr>
  </w:style>
  <w:style w:type="paragraph" w:customStyle="1" w:styleId="font0">
    <w:name w:val="font0"/>
    <w:basedOn w:val="a6"/>
    <w:qFormat/>
    <w:pPr>
      <w:widowControl/>
      <w:spacing w:before="100" w:after="100"/>
      <w:jc w:val="left"/>
    </w:pPr>
    <w:rPr>
      <w:rFonts w:ascii="宋体" w:hAnsi="宋体" w:hint="eastAsia"/>
      <w:kern w:val="0"/>
      <w:sz w:val="24"/>
      <w:szCs w:val="20"/>
    </w:rPr>
  </w:style>
  <w:style w:type="paragraph" w:customStyle="1" w:styleId="xl102">
    <w:name w:val="xl102"/>
    <w:basedOn w:val="a6"/>
    <w:qFormat/>
    <w:pPr>
      <w:widowControl/>
      <w:pBdr>
        <w:top w:val="single" w:sz="4" w:space="0" w:color="auto"/>
        <w:left w:val="single" w:sz="4" w:space="0" w:color="auto"/>
        <w:bottom w:val="single" w:sz="4" w:space="0" w:color="auto"/>
      </w:pBdr>
      <w:shd w:val="clear" w:color="000000" w:fill="FFFF99"/>
      <w:spacing w:before="100" w:beforeAutospacing="1" w:after="100" w:afterAutospacing="1"/>
      <w:jc w:val="left"/>
      <w:textAlignment w:val="center"/>
    </w:pPr>
    <w:rPr>
      <w:kern w:val="0"/>
      <w:sz w:val="20"/>
      <w:szCs w:val="20"/>
    </w:rPr>
  </w:style>
  <w:style w:type="paragraph" w:customStyle="1" w:styleId="002">
    <w:name w:val="00表名"/>
    <w:basedOn w:val="a6"/>
    <w:qFormat/>
    <w:rPr>
      <w:rFonts w:eastAsia="黑体"/>
      <w:sz w:val="24"/>
    </w:rPr>
  </w:style>
  <w:style w:type="paragraph" w:customStyle="1" w:styleId="65">
    <w:name w:val="表名6"/>
    <w:qFormat/>
    <w:pPr>
      <w:tabs>
        <w:tab w:val="left" w:pos="360"/>
      </w:tabs>
      <w:ind w:left="425" w:hanging="425"/>
    </w:pPr>
  </w:style>
  <w:style w:type="paragraph" w:customStyle="1" w:styleId="afffffffffffffffd">
    <w:name w:val="图名"/>
    <w:basedOn w:val="a6"/>
    <w:qFormat/>
    <w:pPr>
      <w:spacing w:line="360" w:lineRule="auto"/>
      <w:ind w:firstLineChars="200" w:firstLine="200"/>
      <w:jc w:val="center"/>
    </w:pPr>
    <w:rPr>
      <w:rFonts w:ascii="黑体" w:eastAsia="黑体" w:hAnsi="黑体"/>
      <w:sz w:val="24"/>
    </w:rPr>
  </w:style>
  <w:style w:type="paragraph" w:customStyle="1" w:styleId="3fe">
    <w:name w:val="文档结构图3"/>
    <w:basedOn w:val="a6"/>
    <w:qFormat/>
    <w:pPr>
      <w:shd w:val="clear" w:color="auto" w:fill="000080"/>
      <w:tabs>
        <w:tab w:val="left" w:pos="480"/>
        <w:tab w:val="left" w:pos="1680"/>
        <w:tab w:val="left" w:pos="3960"/>
        <w:tab w:val="left" w:pos="5400"/>
        <w:tab w:val="left" w:pos="6840"/>
      </w:tabs>
      <w:adjustRightInd w:val="0"/>
      <w:spacing w:line="240" w:lineRule="atLeast"/>
      <w:ind w:firstLine="482"/>
      <w:jc w:val="left"/>
      <w:textAlignment w:val="baseline"/>
    </w:pPr>
    <w:rPr>
      <w:rFonts w:eastAsia="创艺简楷体"/>
      <w:kern w:val="0"/>
      <w:sz w:val="28"/>
      <w:szCs w:val="20"/>
    </w:rPr>
  </w:style>
  <w:style w:type="paragraph" w:customStyle="1" w:styleId="a01">
    <w:name w:val="a01"/>
    <w:basedOn w:val="a6"/>
    <w:qFormat/>
    <w:pPr>
      <w:widowControl/>
      <w:spacing w:before="100" w:beforeAutospacing="1" w:after="100" w:afterAutospacing="1" w:line="345" w:lineRule="atLeast"/>
      <w:jc w:val="left"/>
    </w:pPr>
    <w:rPr>
      <w:rFonts w:ascii="宋体" w:hAnsi="宋体" w:cs="宋体"/>
      <w:color w:val="000000"/>
      <w:w w:val="110"/>
      <w:kern w:val="0"/>
      <w:sz w:val="23"/>
      <w:szCs w:val="23"/>
    </w:rPr>
  </w:style>
  <w:style w:type="paragraph" w:customStyle="1" w:styleId="reader-word-layerreader-word-s2-4">
    <w:name w:val="reader-word-layer reader-word-s2-4"/>
    <w:basedOn w:val="a6"/>
    <w:qFormat/>
    <w:pPr>
      <w:widowControl/>
      <w:spacing w:before="100" w:beforeAutospacing="1" w:after="100" w:afterAutospacing="1"/>
      <w:jc w:val="left"/>
    </w:pPr>
    <w:rPr>
      <w:rFonts w:ascii="宋体" w:hAnsi="宋体" w:cs="宋体"/>
      <w:kern w:val="0"/>
      <w:sz w:val="24"/>
    </w:rPr>
  </w:style>
  <w:style w:type="paragraph" w:customStyle="1" w:styleId="afffffffffffffffe">
    <w:name w:val="(a)"/>
    <w:qFormat/>
  </w:style>
  <w:style w:type="paragraph" w:customStyle="1" w:styleId="777777777CharChar">
    <w:name w:val="777777777 Char Char"/>
    <w:basedOn w:val="a6"/>
    <w:qFormat/>
    <w:pPr>
      <w:widowControl/>
      <w:spacing w:line="400" w:lineRule="exact"/>
      <w:ind w:firstLineChars="200" w:firstLine="560"/>
      <w:jc w:val="left"/>
    </w:pPr>
    <w:rPr>
      <w:rFonts w:ascii="宋体" w:hAnsi="宋体" w:cs="宋体"/>
      <w:kern w:val="0"/>
      <w:sz w:val="28"/>
      <w:szCs w:val="20"/>
    </w:rPr>
  </w:style>
  <w:style w:type="paragraph" w:customStyle="1" w:styleId="311">
    <w:name w:val="正文文本 31"/>
    <w:basedOn w:val="a6"/>
    <w:qFormat/>
    <w:pPr>
      <w:adjustRightInd w:val="0"/>
      <w:spacing w:line="360" w:lineRule="atLeast"/>
      <w:jc w:val="center"/>
      <w:textAlignment w:val="baseline"/>
    </w:pPr>
    <w:rPr>
      <w:rFonts w:ascii="仿宋体" w:eastAsia="仿宋体" w:hAnsi="宋体"/>
      <w:color w:val="000000"/>
      <w:w w:val="110"/>
      <w:kern w:val="0"/>
      <w:sz w:val="24"/>
      <w:szCs w:val="20"/>
    </w:rPr>
  </w:style>
  <w:style w:type="paragraph" w:customStyle="1" w:styleId="412">
    <w:name w:val="标题41"/>
    <w:basedOn w:val="33"/>
    <w:qFormat/>
    <w:pPr>
      <w:keepNext w:val="0"/>
      <w:adjustRightInd w:val="0"/>
      <w:spacing w:beforeLines="50" w:afterLines="50" w:line="520" w:lineRule="exact"/>
    </w:pPr>
    <w:rPr>
      <w:rFonts w:hAnsi="黑体"/>
      <w:spacing w:val="0"/>
      <w:szCs w:val="32"/>
    </w:rPr>
  </w:style>
  <w:style w:type="paragraph" w:customStyle="1" w:styleId="affffffffffffffff">
    <w:name w:val="样式_表格小四居中"/>
    <w:qFormat/>
    <w:pPr>
      <w:adjustRightInd w:val="0"/>
      <w:snapToGrid w:val="0"/>
      <w:jc w:val="center"/>
    </w:pPr>
    <w:rPr>
      <w:sz w:val="24"/>
    </w:rPr>
  </w:style>
  <w:style w:type="paragraph" w:customStyle="1" w:styleId="xl973">
    <w:name w:val="xl973"/>
    <w:basedOn w:val="a6"/>
    <w:qFormat/>
    <w:pPr>
      <w:widowControl/>
      <w:spacing w:before="100" w:beforeAutospacing="1" w:after="100" w:afterAutospacing="1"/>
      <w:jc w:val="center"/>
    </w:pPr>
    <w:rPr>
      <w:kern w:val="0"/>
      <w:sz w:val="18"/>
      <w:szCs w:val="18"/>
    </w:rPr>
  </w:style>
  <w:style w:type="paragraph" w:customStyle="1" w:styleId="xl1039">
    <w:name w:val="xl1039"/>
    <w:basedOn w:val="a6"/>
    <w:qFormat/>
    <w:pPr>
      <w:widowControl/>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jc w:val="center"/>
    </w:pPr>
    <w:rPr>
      <w:rFonts w:ascii="Arial" w:hAnsi="Arial" w:cs="Arial"/>
      <w:kern w:val="0"/>
      <w:sz w:val="18"/>
      <w:szCs w:val="18"/>
    </w:rPr>
  </w:style>
  <w:style w:type="paragraph" w:customStyle="1" w:styleId="reader-word-layerreader-word-s1-31">
    <w:name w:val="reader-word-layer reader-word-s1-31"/>
    <w:basedOn w:val="a6"/>
    <w:qFormat/>
    <w:pPr>
      <w:widowControl/>
      <w:spacing w:before="100" w:beforeAutospacing="1" w:after="100" w:afterAutospacing="1"/>
      <w:jc w:val="left"/>
    </w:pPr>
    <w:rPr>
      <w:rFonts w:ascii="宋体" w:hAnsi="宋体" w:cs="宋体"/>
      <w:kern w:val="0"/>
      <w:sz w:val="24"/>
    </w:rPr>
  </w:style>
  <w:style w:type="paragraph" w:customStyle="1" w:styleId="affffffffffffffff0">
    <w:name w:val="标题二！"/>
    <w:basedOn w:val="22"/>
    <w:qFormat/>
    <w:pPr>
      <w:keepNext w:val="0"/>
      <w:keepLines w:val="0"/>
      <w:widowControl/>
      <w:spacing w:before="120" w:line="500" w:lineRule="exact"/>
      <w:jc w:val="left"/>
    </w:pPr>
    <w:rPr>
      <w:rFonts w:cs="宋体"/>
      <w:spacing w:val="0"/>
      <w:w w:val="100"/>
      <w:kern w:val="2"/>
      <w:sz w:val="30"/>
      <w:szCs w:val="30"/>
    </w:rPr>
  </w:style>
  <w:style w:type="paragraph" w:customStyle="1" w:styleId="CYQ1">
    <w:name w:val="CYQ 表格文字小四字体样式1"/>
    <w:basedOn w:val="a6"/>
    <w:qFormat/>
    <w:pPr>
      <w:widowControl/>
      <w:spacing w:line="360" w:lineRule="atLeast"/>
      <w:jc w:val="center"/>
    </w:pPr>
    <w:rPr>
      <w:rFonts w:cs="宋体"/>
      <w:kern w:val="0"/>
      <w:sz w:val="24"/>
    </w:rPr>
  </w:style>
  <w:style w:type="paragraph" w:customStyle="1" w:styleId="affffffffffffffff1">
    <w:name w:val="天康正文"/>
    <w:basedOn w:val="a6"/>
    <w:qFormat/>
    <w:pPr>
      <w:spacing w:line="560" w:lineRule="exact"/>
      <w:ind w:firstLineChars="200" w:firstLine="200"/>
    </w:pPr>
    <w:rPr>
      <w:rFonts w:ascii="宋体" w:cs="宋体"/>
      <w:spacing w:val="8"/>
      <w:sz w:val="24"/>
      <w:szCs w:val="20"/>
    </w:rPr>
  </w:style>
  <w:style w:type="paragraph" w:customStyle="1" w:styleId="affffffffffffffff2">
    <w:name w:val="於"/>
    <w:basedOn w:val="a6"/>
    <w:qFormat/>
    <w:pPr>
      <w:spacing w:line="360" w:lineRule="auto"/>
      <w:ind w:firstLineChars="200" w:firstLine="600"/>
    </w:pPr>
    <w:rPr>
      <w:sz w:val="30"/>
      <w:szCs w:val="20"/>
    </w:rPr>
  </w:style>
  <w:style w:type="paragraph" w:customStyle="1" w:styleId="GB2312GB2312">
    <w:name w:val="样式 样式 样式 楷体_GB2312 小四 居中 行距: 单倍行距 + 宋体 + 楷体_GB2312"/>
    <w:basedOn w:val="GB23122"/>
    <w:qFormat/>
  </w:style>
  <w:style w:type="paragraph" w:customStyle="1" w:styleId="xl82">
    <w:name w:val="xl82"/>
    <w:basedOn w:val="a6"/>
    <w:qFormat/>
    <w:pPr>
      <w:widowControl/>
      <w:pBdr>
        <w:top w:val="single" w:sz="4" w:space="0" w:color="auto"/>
        <w:left w:val="single" w:sz="4" w:space="0" w:color="auto"/>
        <w:bottom w:val="single" w:sz="4" w:space="0" w:color="auto"/>
        <w:right w:val="single" w:sz="4" w:space="0" w:color="auto"/>
      </w:pBdr>
      <w:shd w:val="clear" w:color="000000" w:fill="FF8080"/>
      <w:spacing w:before="100" w:beforeAutospacing="1" w:after="100" w:afterAutospacing="1"/>
      <w:jc w:val="right"/>
      <w:textAlignment w:val="center"/>
    </w:pPr>
    <w:rPr>
      <w:b/>
      <w:bCs/>
      <w:kern w:val="0"/>
      <w:sz w:val="20"/>
      <w:szCs w:val="20"/>
    </w:rPr>
  </w:style>
  <w:style w:type="paragraph" w:customStyle="1" w:styleId="SAR1">
    <w:name w:val="SAR 1"/>
    <w:qFormat/>
    <w:pPr>
      <w:tabs>
        <w:tab w:val="left" w:pos="605"/>
        <w:tab w:val="left" w:pos="1210"/>
        <w:tab w:val="left" w:pos="1814"/>
        <w:tab w:val="left" w:pos="2419"/>
        <w:tab w:val="left" w:pos="3024"/>
      </w:tabs>
      <w:suppressAutoHyphens/>
    </w:pPr>
    <w:rPr>
      <w:rFonts w:ascii="Courier" w:hAnsi="Courier"/>
      <w:sz w:val="24"/>
      <w:lang w:eastAsia="en-US"/>
    </w:rPr>
  </w:style>
  <w:style w:type="paragraph" w:customStyle="1" w:styleId="1fff6">
    <w:name w:val="样式 非标题一级条 + 小四1"/>
    <w:basedOn w:val="a6"/>
    <w:qFormat/>
    <w:pPr>
      <w:widowControl/>
      <w:spacing w:line="360" w:lineRule="auto"/>
      <w:jc w:val="left"/>
      <w:outlineLvl w:val="2"/>
    </w:pPr>
    <w:rPr>
      <w:rFonts w:ascii="宋体" w:cs="宋体"/>
      <w:kern w:val="0"/>
      <w:sz w:val="24"/>
    </w:rPr>
  </w:style>
  <w:style w:type="paragraph" w:customStyle="1" w:styleId="CharCharCharCharCharCharCharCharCharCharCharCharCharCharCharCharCharCharCharCharCharCharCharChar6">
    <w:name w:val="Char Char Char Char Char Char Char Char Char Char Char Char Char Char Char Char Char Char Char Char Char Char Char Char6"/>
    <w:basedOn w:val="a6"/>
    <w:qFormat/>
    <w:pPr>
      <w:widowControl/>
      <w:spacing w:line="360" w:lineRule="auto"/>
      <w:jc w:val="left"/>
    </w:pPr>
    <w:rPr>
      <w:szCs w:val="21"/>
    </w:rPr>
  </w:style>
  <w:style w:type="paragraph" w:customStyle="1" w:styleId="Char230">
    <w:name w:val="Char23"/>
    <w:basedOn w:val="a6"/>
    <w:qFormat/>
    <w:pPr>
      <w:spacing w:line="360" w:lineRule="auto"/>
      <w:ind w:firstLineChars="200" w:firstLine="200"/>
    </w:pPr>
    <w:rPr>
      <w:rFonts w:ascii="宋体" w:hAnsi="宋体" w:cs="宋体"/>
      <w:sz w:val="24"/>
    </w:rPr>
  </w:style>
  <w:style w:type="paragraph" w:customStyle="1" w:styleId="affffffffffffffff3">
    <w:name w:val="表格尾注"/>
    <w:basedOn w:val="a6"/>
    <w:qFormat/>
    <w:pPr>
      <w:adjustRightInd w:val="0"/>
      <w:snapToGrid w:val="0"/>
      <w:spacing w:after="120"/>
      <w:ind w:left="561"/>
      <w:jc w:val="left"/>
    </w:pPr>
    <w:rPr>
      <w:rFonts w:ascii="宋体" w:eastAsia="楷体_GB2312" w:hAnsi="宋体"/>
      <w:snapToGrid w:val="0"/>
      <w:kern w:val="0"/>
      <w:sz w:val="24"/>
      <w:szCs w:val="20"/>
    </w:rPr>
  </w:style>
  <w:style w:type="paragraph" w:customStyle="1" w:styleId="2105">
    <w:name w:val="样式 标题 2 + 段前: 1 行 段后: 0.5 行"/>
    <w:basedOn w:val="22"/>
    <w:qFormat/>
    <w:pPr>
      <w:keepNext w:val="0"/>
      <w:keepLines w:val="0"/>
      <w:spacing w:afterLines="50" w:line="300" w:lineRule="exact"/>
      <w:jc w:val="center"/>
      <w:outlineLvl w:val="9"/>
    </w:pPr>
    <w:rPr>
      <w:b/>
      <w:bCs w:val="0"/>
      <w:spacing w:val="0"/>
      <w:w w:val="100"/>
      <w:kern w:val="2"/>
      <w:sz w:val="24"/>
      <w:szCs w:val="24"/>
    </w:rPr>
  </w:style>
  <w:style w:type="paragraph" w:customStyle="1" w:styleId="4f3">
    <w:name w:val="4标"/>
    <w:basedOn w:val="a6"/>
    <w:qFormat/>
    <w:pPr>
      <w:keepNext/>
      <w:keepLines/>
      <w:spacing w:beforeLines="50" w:afterLines="50"/>
      <w:outlineLvl w:val="3"/>
    </w:pPr>
    <w:rPr>
      <w:rFonts w:eastAsia="黑体"/>
      <w:color w:val="000000"/>
      <w:w w:val="110"/>
      <w:kern w:val="0"/>
      <w:sz w:val="24"/>
      <w:szCs w:val="20"/>
    </w:rPr>
  </w:style>
  <w:style w:type="paragraph" w:customStyle="1" w:styleId="affffffffffffffff4">
    <w:name w:val="文字缩"/>
    <w:basedOn w:val="a6"/>
    <w:qFormat/>
    <w:pPr>
      <w:autoSpaceDE w:val="0"/>
      <w:autoSpaceDN w:val="0"/>
      <w:adjustRightInd w:val="0"/>
      <w:snapToGrid w:val="0"/>
      <w:spacing w:line="480" w:lineRule="atLeast"/>
      <w:ind w:firstLineChars="200" w:firstLine="200"/>
      <w:jc w:val="left"/>
    </w:pPr>
    <w:rPr>
      <w:rFonts w:ascii="宋体"/>
      <w:snapToGrid w:val="0"/>
      <w:spacing w:val="6"/>
      <w:kern w:val="0"/>
      <w:sz w:val="28"/>
      <w:szCs w:val="20"/>
    </w:rPr>
  </w:style>
  <w:style w:type="paragraph" w:customStyle="1" w:styleId="xl163">
    <w:name w:val="xl163"/>
    <w:basedOn w:val="a6"/>
    <w:qFormat/>
    <w:pPr>
      <w:widowControl/>
      <w:pBdr>
        <w:bottom w:val="double" w:sz="6" w:space="0" w:color="auto"/>
        <w:right w:val="single" w:sz="4" w:space="0" w:color="auto"/>
      </w:pBdr>
      <w:spacing w:before="100" w:beforeAutospacing="1" w:after="100" w:afterAutospacing="1" w:line="360" w:lineRule="auto"/>
      <w:jc w:val="center"/>
      <w:textAlignment w:val="center"/>
    </w:pPr>
    <w:rPr>
      <w:rFonts w:eastAsia="Arial Unicode MS" w:cs="宋体"/>
      <w:color w:val="000000"/>
      <w:kern w:val="0"/>
      <w:sz w:val="20"/>
      <w:szCs w:val="20"/>
    </w:rPr>
  </w:style>
  <w:style w:type="paragraph" w:customStyle="1" w:styleId="1fff7">
    <w:name w:val="样式1－表头"/>
    <w:basedOn w:val="a6"/>
    <w:qFormat/>
    <w:pPr>
      <w:adjustRightInd w:val="0"/>
      <w:snapToGrid w:val="0"/>
      <w:spacing w:beforeLines="50" w:afterLines="50" w:line="336" w:lineRule="auto"/>
      <w:jc w:val="center"/>
    </w:pPr>
    <w:rPr>
      <w:rFonts w:ascii="宋体" w:eastAsia="黑体"/>
      <w:spacing w:val="6"/>
      <w:kern w:val="0"/>
      <w:sz w:val="24"/>
      <w:szCs w:val="20"/>
    </w:rPr>
  </w:style>
  <w:style w:type="paragraph" w:customStyle="1" w:styleId="xl969">
    <w:name w:val="xl96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18"/>
      <w:szCs w:val="18"/>
    </w:rPr>
  </w:style>
  <w:style w:type="paragraph" w:customStyle="1" w:styleId="CharCharChar1CharCharCharCharCharCharCharCharCharCharCharCharCharCharCharCharCharCharChar">
    <w:name w:val="Char Char Char1 Char Char Char Char Char Char Char Char Char Char Char Char Char Char Char Char Char Char Char"/>
    <w:basedOn w:val="a6"/>
    <w:qFormat/>
    <w:rPr>
      <w:color w:val="000000"/>
      <w:w w:val="110"/>
      <w:kern w:val="0"/>
      <w:sz w:val="24"/>
    </w:rPr>
  </w:style>
  <w:style w:type="paragraph" w:customStyle="1" w:styleId="ParaAttribute32">
    <w:name w:val="ParaAttribute32"/>
    <w:qFormat/>
    <w:pPr>
      <w:widowControl w:val="0"/>
      <w:wordWrap w:val="0"/>
      <w:spacing w:line="144" w:lineRule="exact"/>
    </w:pPr>
  </w:style>
  <w:style w:type="paragraph" w:customStyle="1" w:styleId="Char60">
    <w:name w:val="Char6"/>
    <w:basedOn w:val="a6"/>
    <w:qFormat/>
  </w:style>
  <w:style w:type="paragraph" w:customStyle="1" w:styleId="xl1035">
    <w:name w:val="xl1035"/>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kern w:val="0"/>
      <w:sz w:val="18"/>
      <w:szCs w:val="18"/>
    </w:rPr>
  </w:style>
  <w:style w:type="paragraph" w:customStyle="1" w:styleId="152">
    <w:name w:val="1 5"/>
    <w:qFormat/>
    <w:pPr>
      <w:tabs>
        <w:tab w:val="left" w:pos="-720"/>
      </w:tabs>
      <w:suppressAutoHyphens/>
    </w:pPr>
    <w:rPr>
      <w:rFonts w:ascii="Courier" w:hAnsi="Courier"/>
      <w:sz w:val="24"/>
      <w:lang w:eastAsia="en-US"/>
    </w:rPr>
  </w:style>
  <w:style w:type="paragraph" w:customStyle="1" w:styleId="CharCharCharCharCharCharCharCharCharCharCharChar1CharCharCharChar">
    <w:name w:val="Char Char Char Char Char Char Char Char Char Char Char Char1 Char Char Char Char"/>
    <w:basedOn w:val="a6"/>
    <w:next w:val="a6"/>
    <w:qFormat/>
    <w:pPr>
      <w:spacing w:line="336" w:lineRule="auto"/>
      <w:ind w:firstLineChars="200" w:firstLine="200"/>
    </w:pPr>
    <w:rPr>
      <w:rFonts w:ascii="宋体" w:eastAsia="汉鼎简书宋" w:hAnsi="宋体" w:cs="宋体"/>
      <w:sz w:val="24"/>
    </w:rPr>
  </w:style>
  <w:style w:type="paragraph" w:customStyle="1" w:styleId="affffffffffffffff5">
    <w:name w:val="表中文字居中"/>
    <w:basedOn w:val="a6"/>
    <w:next w:val="affc"/>
    <w:qFormat/>
    <w:pPr>
      <w:keepNext/>
      <w:widowControl/>
      <w:jc w:val="center"/>
    </w:pPr>
    <w:rPr>
      <w:rFonts w:ascii="宋体" w:hAnsi="宋体" w:cs="宋体"/>
      <w:bCs/>
      <w:color w:val="000000"/>
      <w:kern w:val="0"/>
      <w:sz w:val="24"/>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6"/>
    <w:qFormat/>
    <w:pPr>
      <w:spacing w:line="360" w:lineRule="auto"/>
      <w:ind w:firstLineChars="200" w:firstLine="200"/>
    </w:pPr>
    <w:rPr>
      <w:rFonts w:ascii="宋体" w:hAnsi="宋体" w:cs="宋体"/>
      <w:color w:val="000000"/>
      <w:w w:val="110"/>
      <w:kern w:val="0"/>
      <w:sz w:val="24"/>
    </w:rPr>
  </w:style>
  <w:style w:type="paragraph" w:customStyle="1" w:styleId="3ff">
    <w:name w:val="样式 正文文本缩进 3 + 小四"/>
    <w:basedOn w:val="39"/>
    <w:qFormat/>
    <w:pPr>
      <w:adjustRightInd/>
      <w:snapToGrid/>
      <w:spacing w:line="240" w:lineRule="auto"/>
      <w:ind w:firstLineChars="0" w:firstLine="0"/>
    </w:pPr>
    <w:rPr>
      <w:rFonts w:ascii="Times New Roman"/>
      <w:color w:val="auto"/>
      <w:w w:val="90"/>
      <w:kern w:val="0"/>
      <w:sz w:val="24"/>
      <w:szCs w:val="16"/>
    </w:rPr>
  </w:style>
  <w:style w:type="paragraph" w:customStyle="1" w:styleId="2fff2">
    <w:name w:val="样式 小四 左侧:  2 字符"/>
    <w:basedOn w:val="a6"/>
    <w:qFormat/>
    <w:pPr>
      <w:spacing w:line="500" w:lineRule="exact"/>
      <w:ind w:leftChars="200" w:left="200"/>
    </w:pPr>
    <w:rPr>
      <w:rFonts w:cs="宋体"/>
      <w:sz w:val="24"/>
      <w:szCs w:val="20"/>
    </w:rPr>
  </w:style>
  <w:style w:type="paragraph" w:customStyle="1" w:styleId="04">
    <w:name w:val="题注 + 居中 左侧:  0 毫米"/>
    <w:basedOn w:val="af1"/>
    <w:qFormat/>
    <w:pPr>
      <w:widowControl w:val="0"/>
      <w:tabs>
        <w:tab w:val="left" w:pos="2268"/>
      </w:tabs>
      <w:ind w:firstLineChars="0" w:firstLine="0"/>
      <w:jc w:val="center"/>
    </w:pPr>
    <w:rPr>
      <w:rFonts w:cs="宋体"/>
      <w:b w:val="0"/>
      <w:sz w:val="21"/>
      <w:szCs w:val="20"/>
    </w:rPr>
  </w:style>
  <w:style w:type="paragraph" w:customStyle="1" w:styleId="5155Char21Char2Char252122">
    <w:name w:val="样式 标题 51)项标5标题 5 Char21) Char2项 Char2一级项标题 521)2项2标题 ..."/>
    <w:basedOn w:val="50"/>
    <w:qFormat/>
    <w:pPr>
      <w:keepNext w:val="0"/>
      <w:keepLines w:val="0"/>
      <w:widowControl/>
      <w:tabs>
        <w:tab w:val="left" w:pos="360"/>
      </w:tabs>
      <w:adjustRightInd w:val="0"/>
      <w:snapToGrid w:val="0"/>
      <w:spacing w:before="0" w:after="0" w:line="360" w:lineRule="auto"/>
      <w:ind w:firstLineChars="200" w:firstLine="560"/>
      <w:jc w:val="left"/>
    </w:pPr>
    <w:rPr>
      <w:rFonts w:ascii="宋体" w:hAnsi="宋体" w:cs="宋体"/>
      <w:b w:val="0"/>
      <w:color w:val="000000"/>
      <w:kern w:val="0"/>
      <w:sz w:val="24"/>
    </w:rPr>
  </w:style>
  <w:style w:type="paragraph" w:customStyle="1" w:styleId="30">
    <w:name w:val="新标题3"/>
    <w:qFormat/>
    <w:pPr>
      <w:numPr>
        <w:numId w:val="11"/>
      </w:numPr>
      <w:tabs>
        <w:tab w:val="left" w:pos="360"/>
        <w:tab w:val="left" w:pos="840"/>
        <w:tab w:val="left" w:pos="4686"/>
      </w:tabs>
    </w:pPr>
  </w:style>
  <w:style w:type="paragraph" w:customStyle="1" w:styleId="1fff8">
    <w:name w:val="新标题1"/>
    <w:qFormat/>
    <w:pPr>
      <w:tabs>
        <w:tab w:val="left" w:pos="360"/>
        <w:tab w:val="left" w:pos="840"/>
        <w:tab w:val="left" w:pos="4686"/>
      </w:tabs>
      <w:spacing w:line="500" w:lineRule="exact"/>
      <w:ind w:right="284"/>
    </w:pPr>
    <w:rPr>
      <w:rFonts w:ascii="Arial" w:hAnsi="Arial"/>
      <w:b/>
      <w:bCs/>
      <w:sz w:val="24"/>
      <w:u w:val="single"/>
    </w:rPr>
  </w:style>
  <w:style w:type="paragraph" w:customStyle="1" w:styleId="Charffffffffff3">
    <w:name w:val="高表标 Char"/>
    <w:basedOn w:val="a6"/>
    <w:qFormat/>
    <w:pPr>
      <w:widowControl/>
      <w:snapToGrid w:val="0"/>
      <w:spacing w:line="300" w:lineRule="auto"/>
      <w:jc w:val="right"/>
    </w:pPr>
    <w:rPr>
      <w:rFonts w:ascii="Arial" w:eastAsia="黑体" w:hAnsi="Arial" w:cs="宋体"/>
      <w:bCs/>
      <w:kern w:val="0"/>
      <w:sz w:val="24"/>
    </w:rPr>
  </w:style>
  <w:style w:type="paragraph" w:customStyle="1" w:styleId="3ff0">
    <w:name w:val="附录3"/>
    <w:qFormat/>
    <w:pPr>
      <w:outlineLvl w:val="2"/>
    </w:pPr>
    <w:rPr>
      <w:rFonts w:ascii="宋体" w:hAnsi="宋体"/>
      <w:sz w:val="24"/>
    </w:rPr>
  </w:style>
  <w:style w:type="paragraph" w:customStyle="1" w:styleId="affffffffffffffff6">
    <w:name w:val="表文字（小行距）"/>
    <w:basedOn w:val="a6"/>
    <w:qFormat/>
    <w:pPr>
      <w:adjustRightInd w:val="0"/>
      <w:spacing w:line="240" w:lineRule="exact"/>
      <w:textAlignment w:val="baseline"/>
    </w:pPr>
    <w:rPr>
      <w:rFonts w:eastAsia="汉鼎简书宋"/>
      <w:kern w:val="0"/>
      <w:szCs w:val="21"/>
    </w:rPr>
  </w:style>
  <w:style w:type="paragraph" w:customStyle="1" w:styleId="0085">
    <w:name w:val="样式 左侧:  0 厘米 首行缩进:  0.85 厘米"/>
    <w:basedOn w:val="a6"/>
    <w:qFormat/>
    <w:pPr>
      <w:widowControl/>
      <w:ind w:firstLine="480"/>
      <w:jc w:val="left"/>
    </w:pPr>
    <w:rPr>
      <w:rFonts w:ascii="宋体" w:eastAsia="仿宋_GB2312" w:hAnsi="宋体" w:cs="宋体"/>
      <w:kern w:val="0"/>
      <w:sz w:val="24"/>
      <w:szCs w:val="20"/>
    </w:rPr>
  </w:style>
  <w:style w:type="paragraph" w:customStyle="1" w:styleId="zhwb2">
    <w:name w:val="zhwb2"/>
    <w:basedOn w:val="a6"/>
    <w:next w:val="af0"/>
    <w:qFormat/>
    <w:pPr>
      <w:tabs>
        <w:tab w:val="left" w:pos="360"/>
      </w:tabs>
      <w:spacing w:before="120" w:after="120" w:line="360" w:lineRule="auto"/>
      <w:jc w:val="left"/>
      <w:outlineLvl w:val="1"/>
    </w:pPr>
    <w:rPr>
      <w:color w:val="FF00FF"/>
      <w:sz w:val="28"/>
      <w:szCs w:val="20"/>
    </w:rPr>
  </w:style>
  <w:style w:type="paragraph" w:customStyle="1" w:styleId="1105105">
    <w:name w:val="样式 样式 1.1二级标题 + 段前: 0.5 行1 + 段前: 0.5 行"/>
    <w:basedOn w:val="11051"/>
    <w:qFormat/>
    <w:rPr>
      <w:bCs/>
    </w:rPr>
  </w:style>
  <w:style w:type="paragraph" w:customStyle="1" w:styleId="xl995">
    <w:name w:val="xl995"/>
    <w:basedOn w:val="a6"/>
    <w:qFormat/>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CharCharChar1CharCharCharCharCharCharChar">
    <w:name w:val="Char Char Char1 Char Char Char Char Char Char Char"/>
    <w:basedOn w:val="a6"/>
    <w:qFormat/>
    <w:pPr>
      <w:adjustRightInd w:val="0"/>
      <w:spacing w:line="312" w:lineRule="auto"/>
      <w:textAlignment w:val="baseline"/>
    </w:pPr>
    <w:rPr>
      <w:rFonts w:ascii="Tahoma" w:hAnsi="Tahoma"/>
      <w:kern w:val="0"/>
      <w:sz w:val="24"/>
      <w:szCs w:val="20"/>
    </w:rPr>
  </w:style>
  <w:style w:type="paragraph" w:customStyle="1" w:styleId="240">
    <w:name w:val="正文文本缩进 24"/>
    <w:basedOn w:val="a6"/>
    <w:qFormat/>
    <w:pPr>
      <w:adjustRightInd w:val="0"/>
      <w:spacing w:line="480" w:lineRule="exact"/>
      <w:ind w:firstLine="560"/>
      <w:textAlignment w:val="baseline"/>
    </w:pPr>
    <w:rPr>
      <w:color w:val="000000"/>
      <w:kern w:val="0"/>
      <w:sz w:val="24"/>
      <w:szCs w:val="20"/>
    </w:rPr>
  </w:style>
  <w:style w:type="paragraph" w:customStyle="1" w:styleId="111110">
    <w:name w:val="1.1.1.11"/>
    <w:basedOn w:val="afc"/>
    <w:qFormat/>
    <w:pPr>
      <w:widowControl/>
      <w:spacing w:line="360" w:lineRule="auto"/>
      <w:ind w:firstLineChars="0" w:firstLine="0"/>
      <w:jc w:val="left"/>
      <w:outlineLvl w:val="3"/>
    </w:pPr>
    <w:rPr>
      <w:rFonts w:ascii="Times New Roman" w:eastAsia="仿宋_GB2312" w:hAnsi="Times New Roman"/>
      <w:b/>
      <w:color w:val="auto"/>
      <w:spacing w:val="0"/>
      <w:kern w:val="0"/>
      <w:szCs w:val="28"/>
    </w:rPr>
  </w:style>
  <w:style w:type="paragraph" w:customStyle="1" w:styleId="CharCharCharChar70">
    <w:name w:val="Char Char Char Char7"/>
    <w:basedOn w:val="a6"/>
    <w:qFormat/>
    <w:rPr>
      <w:rFonts w:ascii="宋体"/>
      <w:kern w:val="0"/>
      <w:sz w:val="24"/>
      <w:szCs w:val="20"/>
    </w:rPr>
  </w:style>
  <w:style w:type="paragraph" w:customStyle="1" w:styleId="122">
    <w:name w:val="纯文本12"/>
    <w:basedOn w:val="a6"/>
    <w:qFormat/>
    <w:pPr>
      <w:adjustRightInd w:val="0"/>
      <w:jc w:val="left"/>
    </w:pPr>
    <w:rPr>
      <w:rFonts w:ascii="宋体"/>
      <w:kern w:val="0"/>
      <w:sz w:val="24"/>
      <w:szCs w:val="20"/>
    </w:rPr>
  </w:style>
  <w:style w:type="paragraph" w:customStyle="1" w:styleId="214">
    <w:name w:val="列表 21"/>
    <w:basedOn w:val="a6"/>
    <w:qFormat/>
    <w:pPr>
      <w:ind w:left="840" w:hanging="420"/>
    </w:pPr>
    <w:rPr>
      <w:rFonts w:eastAsia="仿宋_GB2312"/>
      <w:sz w:val="28"/>
      <w:szCs w:val="20"/>
    </w:rPr>
  </w:style>
  <w:style w:type="paragraph" w:customStyle="1" w:styleId="lefttitle3">
    <w:name w:val="left_title3"/>
    <w:basedOn w:val="a6"/>
    <w:qFormat/>
    <w:pPr>
      <w:widowControl/>
      <w:spacing w:before="100" w:beforeAutospacing="1" w:after="100" w:afterAutospacing="1"/>
      <w:jc w:val="left"/>
    </w:pPr>
    <w:rPr>
      <w:rFonts w:ascii="宋体" w:hAnsi="宋体" w:cs="宋体"/>
      <w:b/>
      <w:bCs/>
      <w:color w:val="FF7F00"/>
      <w:spacing w:val="61"/>
      <w:kern w:val="0"/>
      <w:sz w:val="24"/>
    </w:rPr>
  </w:style>
  <w:style w:type="paragraph" w:customStyle="1" w:styleId="215">
    <w:name w:val="样式 正文首行缩进 + 黑色 首行缩进:  2 字符1"/>
    <w:basedOn w:val="affc"/>
    <w:qFormat/>
    <w:pPr>
      <w:adjustRightInd w:val="0"/>
      <w:snapToGrid w:val="0"/>
      <w:spacing w:line="300" w:lineRule="auto"/>
      <w:ind w:firstLine="560"/>
    </w:pPr>
    <w:rPr>
      <w:rFonts w:ascii="Times New Roman" w:hAnsi="Times New Roman"/>
      <w:bCs w:val="0"/>
      <w:color w:val="000000"/>
      <w:spacing w:val="0"/>
      <w:kern w:val="2"/>
      <w:sz w:val="28"/>
      <w:szCs w:val="20"/>
    </w:rPr>
  </w:style>
  <w:style w:type="paragraph" w:customStyle="1" w:styleId="xl173">
    <w:name w:val="xl173"/>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Unicode MS" w:eastAsia="Arial Unicode MS" w:hAnsi="Arial Unicode MS" w:cs="Arial Unicode MS"/>
      <w:color w:val="000000"/>
      <w:kern w:val="0"/>
      <w:sz w:val="24"/>
      <w:szCs w:val="21"/>
    </w:rPr>
  </w:style>
  <w:style w:type="paragraph" w:customStyle="1" w:styleId="2fff3">
    <w:name w:val="中石油2级"/>
    <w:basedOn w:val="22"/>
    <w:qFormat/>
    <w:pPr>
      <w:tabs>
        <w:tab w:val="left" w:pos="567"/>
      </w:tabs>
      <w:snapToGrid w:val="0"/>
      <w:spacing w:line="480" w:lineRule="exact"/>
    </w:pPr>
    <w:rPr>
      <w:rFonts w:ascii="黑体" w:hAnsi="黑体"/>
      <w:b/>
      <w:bCs w:val="0"/>
      <w:spacing w:val="0"/>
      <w:w w:val="100"/>
      <w:kern w:val="2"/>
      <w:sz w:val="36"/>
      <w:szCs w:val="32"/>
    </w:rPr>
  </w:style>
  <w:style w:type="paragraph" w:customStyle="1" w:styleId="NewNewNew">
    <w:name w:val="正文 New New New"/>
    <w:qFormat/>
    <w:pPr>
      <w:widowControl w:val="0"/>
      <w:jc w:val="both"/>
    </w:pPr>
    <w:rPr>
      <w:kern w:val="2"/>
      <w:sz w:val="21"/>
    </w:rPr>
  </w:style>
  <w:style w:type="paragraph" w:customStyle="1" w:styleId="2fff4">
    <w:name w:val="样式 表格后正文 + 首行缩进:  2 字符"/>
    <w:qFormat/>
    <w:pPr>
      <w:tabs>
        <w:tab w:val="left" w:pos="567"/>
      </w:tabs>
      <w:ind w:firstLine="560"/>
    </w:pPr>
    <w:rPr>
      <w:rFonts w:cs="宋体"/>
    </w:rPr>
  </w:style>
  <w:style w:type="paragraph" w:customStyle="1" w:styleId="affffffffffffffff7">
    <w:name w:val="表格后正文"/>
    <w:basedOn w:val="affffffffffffe"/>
    <w:qFormat/>
    <w:pPr>
      <w:spacing w:before="200"/>
      <w:ind w:firstLineChars="200" w:firstLine="200"/>
    </w:pPr>
    <w:rPr>
      <w:rFonts w:eastAsia="华文中宋"/>
      <w:color w:val="auto"/>
      <w:szCs w:val="24"/>
    </w:rPr>
  </w:style>
  <w:style w:type="paragraph" w:customStyle="1" w:styleId="xl965">
    <w:name w:val="xl96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kern w:val="0"/>
      <w:sz w:val="18"/>
      <w:szCs w:val="18"/>
    </w:rPr>
  </w:style>
  <w:style w:type="paragraph" w:customStyle="1" w:styleId="CharCharCharCharCharChar1CharCharCharChar">
    <w:name w:val="Char Char Char Char Char Char1 Char Char Char Char"/>
    <w:basedOn w:val="a6"/>
    <w:qFormat/>
    <w:rPr>
      <w:rFonts w:ascii="Tahoma" w:hAnsi="Tahoma"/>
      <w:sz w:val="24"/>
      <w:szCs w:val="20"/>
    </w:rPr>
  </w:style>
  <w:style w:type="paragraph" w:customStyle="1" w:styleId="4f4">
    <w:name w:val="图名4"/>
    <w:basedOn w:val="a6"/>
    <w:qFormat/>
    <w:pPr>
      <w:tabs>
        <w:tab w:val="left" w:pos="360"/>
      </w:tabs>
      <w:jc w:val="center"/>
    </w:pPr>
    <w:rPr>
      <w:rFonts w:eastAsia="黑体"/>
      <w:sz w:val="24"/>
      <w:szCs w:val="20"/>
    </w:rPr>
  </w:style>
  <w:style w:type="paragraph" w:customStyle="1" w:styleId="312">
    <w:name w:val="正文文本缩进 31"/>
    <w:basedOn w:val="a6"/>
    <w:qFormat/>
    <w:pPr>
      <w:tabs>
        <w:tab w:val="center" w:pos="4252"/>
      </w:tabs>
      <w:adjustRightInd w:val="0"/>
      <w:snapToGrid w:val="0"/>
      <w:spacing w:line="360" w:lineRule="auto"/>
      <w:ind w:firstLineChars="150" w:firstLine="360"/>
    </w:pPr>
    <w:rPr>
      <w:color w:val="000000"/>
      <w:w w:val="110"/>
      <w:kern w:val="0"/>
      <w:sz w:val="24"/>
    </w:rPr>
  </w:style>
  <w:style w:type="paragraph" w:customStyle="1" w:styleId="affffffffffffffff8">
    <w:name w:val="表格文字 五号 居中"/>
    <w:basedOn w:val="a6"/>
    <w:qFormat/>
    <w:pPr>
      <w:snapToGrid w:val="0"/>
      <w:spacing w:line="300" w:lineRule="auto"/>
      <w:jc w:val="center"/>
    </w:pPr>
    <w:rPr>
      <w:rFonts w:cs="宋体"/>
      <w:spacing w:val="-6"/>
      <w:szCs w:val="20"/>
    </w:rPr>
  </w:style>
  <w:style w:type="paragraph" w:customStyle="1" w:styleId="-7">
    <w:name w:val="表格内容-左对齐"/>
    <w:basedOn w:val="a6"/>
    <w:qFormat/>
    <w:pPr>
      <w:spacing w:line="240" w:lineRule="atLeast"/>
      <w:jc w:val="left"/>
    </w:pPr>
    <w:rPr>
      <w:rFonts w:ascii="Arial" w:hAnsi="Arial"/>
      <w:bCs/>
      <w:szCs w:val="20"/>
    </w:rPr>
  </w:style>
  <w:style w:type="paragraph" w:customStyle="1" w:styleId="hb40">
    <w:name w:val="样式 hb4 + 首行缩进:  0 厘米"/>
    <w:basedOn w:val="hb4CharCharCharCharChar"/>
    <w:qFormat/>
  </w:style>
  <w:style w:type="paragraph" w:customStyle="1" w:styleId="REGULAR5">
    <w:name w:val="REGULAR 5"/>
    <w:qFormat/>
    <w:pPr>
      <w:tabs>
        <w:tab w:val="right" w:pos="2520"/>
        <w:tab w:val="left" w:pos="2760"/>
      </w:tabs>
      <w:suppressAutoHyphens/>
      <w:ind w:firstLine="3960"/>
    </w:pPr>
    <w:rPr>
      <w:rFonts w:ascii="Courier" w:hAnsi="Courier"/>
      <w:sz w:val="24"/>
      <w:lang w:eastAsia="en-US"/>
    </w:rPr>
  </w:style>
  <w:style w:type="paragraph" w:customStyle="1" w:styleId="510">
    <w:name w:val="样式 表内小5 +1"/>
    <w:basedOn w:val="a6"/>
    <w:qFormat/>
    <w:pPr>
      <w:adjustRightInd w:val="0"/>
      <w:snapToGrid w:val="0"/>
      <w:spacing w:line="300" w:lineRule="auto"/>
    </w:pPr>
    <w:rPr>
      <w:rFonts w:ascii="宋体" w:hAnsi="宋体"/>
      <w:kern w:val="0"/>
      <w:sz w:val="18"/>
    </w:rPr>
  </w:style>
  <w:style w:type="paragraph" w:customStyle="1" w:styleId="CharCharCharCharCharCharCharCharCharCharCharCharCharCharCharCharCharCharCharCharCharCharCharCharCharCharCharCharCharCharCharCharCharCharCharCharCharCharCharCharCharChar4">
    <w:name w:val="Char Char Char Char Char Char Char Char Char Char Char Char Char Char Char Char Char Char Char Char Char Char Char Char Char Char Char Char Char Char Char Char Char Char Char Char Char Char Char Char Char Char4"/>
    <w:basedOn w:val="a6"/>
    <w:qFormat/>
  </w:style>
  <w:style w:type="paragraph" w:customStyle="1" w:styleId="4f5">
    <w:name w:val="4号两端对齐"/>
    <w:qFormat/>
    <w:pPr>
      <w:widowControl w:val="0"/>
      <w:jc w:val="center"/>
    </w:pPr>
    <w:rPr>
      <w:rFonts w:ascii="宋体" w:hAnsi="宋体"/>
      <w:kern w:val="2"/>
      <w:sz w:val="21"/>
      <w:szCs w:val="24"/>
    </w:rPr>
  </w:style>
  <w:style w:type="paragraph" w:customStyle="1" w:styleId="2fff5">
    <w:name w:val="2级标题"/>
    <w:basedOn w:val="22"/>
    <w:qFormat/>
    <w:pPr>
      <w:keepNext w:val="0"/>
      <w:keepLines w:val="0"/>
      <w:tabs>
        <w:tab w:val="left" w:pos="3564"/>
      </w:tabs>
      <w:adjustRightInd w:val="0"/>
      <w:snapToGrid w:val="0"/>
      <w:spacing w:afterLines="50"/>
    </w:pPr>
    <w:rPr>
      <w:rFonts w:ascii="黑体" w:hAnsi="黑体"/>
      <w:bCs w:val="0"/>
      <w:snapToGrid w:val="0"/>
      <w:spacing w:val="0"/>
      <w:w w:val="100"/>
      <w:kern w:val="2"/>
      <w:sz w:val="30"/>
      <w:szCs w:val="24"/>
    </w:rPr>
  </w:style>
  <w:style w:type="paragraph" w:customStyle="1" w:styleId="1fff9">
    <w:name w:val="列表接续1"/>
    <w:basedOn w:val="a6"/>
    <w:qFormat/>
    <w:pPr>
      <w:spacing w:after="120"/>
      <w:ind w:leftChars="200" w:left="420"/>
    </w:pPr>
  </w:style>
  <w:style w:type="paragraph" w:customStyle="1" w:styleId="CharCharCharCharCharCharCharCharChar8">
    <w:name w:val="Char Char Char Char Char Char Char Char Char8"/>
    <w:basedOn w:val="a6"/>
    <w:qFormat/>
  </w:style>
  <w:style w:type="paragraph" w:customStyle="1" w:styleId="Technical8">
    <w:name w:val="Technical 8"/>
    <w:qFormat/>
    <w:pPr>
      <w:tabs>
        <w:tab w:val="left" w:pos="-720"/>
      </w:tabs>
      <w:suppressAutoHyphens/>
      <w:ind w:firstLine="720"/>
    </w:pPr>
    <w:rPr>
      <w:rFonts w:ascii="Courier" w:hAnsi="Courier"/>
      <w:b/>
      <w:sz w:val="24"/>
      <w:lang w:eastAsia="en-US"/>
    </w:rPr>
  </w:style>
  <w:style w:type="paragraph" w:customStyle="1" w:styleId="affffffffffffffff9">
    <w:name w:val="表中居中文字"/>
    <w:basedOn w:val="a6"/>
    <w:semiHidden/>
    <w:qFormat/>
    <w:pPr>
      <w:widowControl/>
      <w:autoSpaceDE w:val="0"/>
      <w:autoSpaceDN w:val="0"/>
      <w:adjustRightInd w:val="0"/>
      <w:jc w:val="center"/>
    </w:pPr>
    <w:rPr>
      <w:rFonts w:ascii="宋体" w:cs="宋体"/>
      <w:w w:val="90"/>
      <w:kern w:val="0"/>
      <w:sz w:val="24"/>
      <w:lang w:val="zh-CN"/>
    </w:rPr>
  </w:style>
  <w:style w:type="paragraph" w:customStyle="1" w:styleId="CharCharCharCharCharChar2">
    <w:name w:val="Char Char 字元 字元 字元 Char Char Char Char"/>
    <w:basedOn w:val="a6"/>
    <w:qFormat/>
    <w:pPr>
      <w:adjustRightInd w:val="0"/>
      <w:spacing w:line="360" w:lineRule="auto"/>
    </w:pPr>
    <w:rPr>
      <w:kern w:val="0"/>
      <w:sz w:val="24"/>
      <w:szCs w:val="20"/>
    </w:rPr>
  </w:style>
  <w:style w:type="paragraph" w:customStyle="1" w:styleId="affffffffffffffffa">
    <w:name w:val="图编号 + 居中"/>
    <w:basedOn w:val="af1"/>
    <w:qFormat/>
    <w:pPr>
      <w:widowControl w:val="0"/>
      <w:tabs>
        <w:tab w:val="left" w:pos="2268"/>
      </w:tabs>
      <w:ind w:left="851" w:firstLineChars="0" w:firstLine="0"/>
      <w:jc w:val="center"/>
    </w:pPr>
    <w:rPr>
      <w:rFonts w:cs="宋体"/>
      <w:b w:val="0"/>
    </w:rPr>
  </w:style>
  <w:style w:type="paragraph" w:customStyle="1" w:styleId="xl181">
    <w:name w:val="xl181"/>
    <w:basedOn w:val="a6"/>
    <w:qFormat/>
    <w:pPr>
      <w:widowControl/>
      <w:pBdr>
        <w:top w:val="single" w:sz="4" w:space="0" w:color="auto"/>
        <w:bottom w:val="double" w:sz="6" w:space="0" w:color="auto"/>
        <w:right w:val="single" w:sz="4" w:space="0" w:color="auto"/>
      </w:pBdr>
      <w:spacing w:before="100" w:beforeAutospacing="1" w:after="100" w:afterAutospacing="1" w:line="360" w:lineRule="auto"/>
      <w:jc w:val="center"/>
      <w:textAlignment w:val="center"/>
    </w:pPr>
    <w:rPr>
      <w:rFonts w:eastAsia="Arial Unicode MS" w:cs="宋体"/>
      <w:color w:val="000000"/>
      <w:kern w:val="0"/>
      <w:sz w:val="20"/>
      <w:szCs w:val="20"/>
    </w:rPr>
  </w:style>
  <w:style w:type="paragraph" w:customStyle="1" w:styleId="GB2312GB23120515">
    <w:name w:val="样式 样式 (西文) 仿宋_GB2312 (中文) 仿宋_GB2312 (符号) 宋体 段前: 0.5 行 行距: 1.5 倍...."/>
    <w:basedOn w:val="a6"/>
    <w:qFormat/>
    <w:pPr>
      <w:adjustRightInd w:val="0"/>
      <w:snapToGrid w:val="0"/>
      <w:spacing w:afterLines="100" w:line="300" w:lineRule="auto"/>
      <w:ind w:firstLineChars="200" w:firstLine="200"/>
    </w:pPr>
    <w:rPr>
      <w:rFonts w:ascii="仿宋_GB2312" w:eastAsia="仿宋_GB2312" w:hAnsi="宋体" w:cs="宋体"/>
      <w:sz w:val="28"/>
      <w:szCs w:val="20"/>
    </w:rPr>
  </w:style>
  <w:style w:type="paragraph" w:customStyle="1" w:styleId="21">
    <w:name w:val="示例和注释(不缩进2)"/>
    <w:basedOn w:val="a6"/>
    <w:semiHidden/>
    <w:qFormat/>
    <w:pPr>
      <w:widowControl/>
      <w:numPr>
        <w:ilvl w:val="5"/>
        <w:numId w:val="12"/>
      </w:numPr>
      <w:ind w:firstLine="0"/>
      <w:jc w:val="left"/>
    </w:pPr>
    <w:rPr>
      <w:rFonts w:ascii="Arial" w:hAnsi="Arial" w:cs="宋体"/>
      <w:kern w:val="0"/>
      <w:sz w:val="24"/>
    </w:rPr>
  </w:style>
  <w:style w:type="paragraph" w:customStyle="1" w:styleId="bw1">
    <w:name w:val="bw1"/>
    <w:basedOn w:val="a6"/>
    <w:qFormat/>
    <w:pPr>
      <w:adjustRightInd w:val="0"/>
      <w:snapToGrid w:val="0"/>
      <w:spacing w:line="240" w:lineRule="atLeast"/>
      <w:ind w:left="-57" w:right="-57"/>
      <w:jc w:val="center"/>
    </w:pPr>
    <w:rPr>
      <w:rFonts w:ascii="Arial Narrow" w:eastAsia="楷体_GB2312" w:hAnsi="Arial Narrow"/>
      <w:color w:val="000000"/>
      <w:w w:val="90"/>
      <w:kern w:val="0"/>
      <w:sz w:val="18"/>
      <w:szCs w:val="20"/>
    </w:rPr>
  </w:style>
  <w:style w:type="paragraph" w:customStyle="1" w:styleId="910">
    <w:name w:val="标题 91"/>
    <w:basedOn w:val="a6"/>
    <w:next w:val="a6"/>
    <w:qFormat/>
    <w:pPr>
      <w:keepNext/>
      <w:keepLines/>
      <w:adjustRightInd w:val="0"/>
      <w:spacing w:before="240" w:after="64" w:line="320" w:lineRule="atLeast"/>
      <w:textAlignment w:val="baseline"/>
      <w:outlineLvl w:val="8"/>
    </w:pPr>
    <w:rPr>
      <w:rFonts w:ascii="Arial" w:eastAsia="黑体" w:hAnsi="Arial"/>
      <w:color w:val="000000"/>
      <w:w w:val="110"/>
      <w:kern w:val="0"/>
      <w:sz w:val="28"/>
      <w:szCs w:val="20"/>
    </w:rPr>
  </w:style>
  <w:style w:type="paragraph" w:customStyle="1" w:styleId="affffffffffffffffb">
    <w:name w:val="签署内容"/>
    <w:basedOn w:val="a6"/>
    <w:qFormat/>
    <w:pPr>
      <w:keepNext/>
      <w:widowControl/>
      <w:spacing w:line="300" w:lineRule="auto"/>
      <w:ind w:firstLineChars="250" w:firstLine="800"/>
      <w:jc w:val="left"/>
    </w:pPr>
    <w:rPr>
      <w:rFonts w:cs="宋体"/>
      <w:kern w:val="0"/>
      <w:sz w:val="32"/>
      <w:szCs w:val="20"/>
    </w:rPr>
  </w:style>
  <w:style w:type="paragraph" w:customStyle="1" w:styleId="ParaCharCharChar1CharCharCharCharCharCharCharCharCharChar">
    <w:name w:val="默认段落字体 Para Char Char Char1 Char Char Char Char Char Char Char Char Char Char"/>
    <w:basedOn w:val="a6"/>
    <w:qFormat/>
    <w:rPr>
      <w:sz w:val="24"/>
    </w:rPr>
  </w:style>
  <w:style w:type="paragraph" w:customStyle="1" w:styleId="hb40505">
    <w:name w:val="样式 hb4 + 段前: 0.5 行 段后: 0.5 行"/>
    <w:basedOn w:val="hb4CharCharCharCharChar"/>
    <w:next w:val="hb4CharCharCharCharChar"/>
    <w:qFormat/>
  </w:style>
  <w:style w:type="paragraph" w:customStyle="1" w:styleId="230">
    <w:name w:val="正文文本缩进 23"/>
    <w:basedOn w:val="a6"/>
    <w:qFormat/>
    <w:pPr>
      <w:adjustRightInd w:val="0"/>
      <w:spacing w:line="480" w:lineRule="exact"/>
      <w:ind w:firstLine="560"/>
      <w:textAlignment w:val="baseline"/>
    </w:pPr>
    <w:rPr>
      <w:color w:val="000000"/>
      <w:kern w:val="0"/>
      <w:sz w:val="24"/>
      <w:szCs w:val="20"/>
    </w:rPr>
  </w:style>
  <w:style w:type="paragraph" w:customStyle="1" w:styleId="affffffffffffffffc">
    <w:name w:val="申报章题"/>
    <w:basedOn w:val="a6"/>
    <w:qFormat/>
    <w:pPr>
      <w:pageBreakBefore/>
      <w:spacing w:before="100" w:beforeAutospacing="1" w:after="100" w:afterAutospacing="1" w:line="500" w:lineRule="atLeast"/>
      <w:jc w:val="center"/>
      <w:outlineLvl w:val="0"/>
    </w:pPr>
    <w:rPr>
      <w:rFonts w:ascii="宋体" w:hAnsi="宋体"/>
      <w:b/>
      <w:sz w:val="36"/>
      <w:szCs w:val="20"/>
    </w:rPr>
  </w:style>
  <w:style w:type="paragraph" w:customStyle="1" w:styleId="xl60">
    <w:name w:val="xl60"/>
    <w:basedOn w:val="a6"/>
    <w:qFormat/>
    <w:pPr>
      <w:widowControl/>
      <w:pBdr>
        <w:top w:val="single" w:sz="8"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Arial Unicode MS" w:eastAsia="Arial Unicode MS" w:hAnsi="Arial Unicode MS"/>
      <w:kern w:val="0"/>
      <w:sz w:val="24"/>
      <w:szCs w:val="20"/>
    </w:rPr>
  </w:style>
  <w:style w:type="paragraph" w:customStyle="1" w:styleId="1fffa">
    <w:name w:val="字元 字元 字元1"/>
    <w:basedOn w:val="a6"/>
    <w:semiHidden/>
    <w:qFormat/>
    <w:pPr>
      <w:widowControl/>
      <w:spacing w:line="360" w:lineRule="auto"/>
      <w:ind w:firstLineChars="200" w:firstLine="200"/>
      <w:jc w:val="left"/>
    </w:pPr>
    <w:rPr>
      <w:rFonts w:ascii="宋体" w:hAnsi="宋体" w:cs="宋体"/>
      <w:kern w:val="0"/>
      <w:sz w:val="24"/>
    </w:rPr>
  </w:style>
  <w:style w:type="paragraph" w:customStyle="1" w:styleId="WPSPlain">
    <w:name w:val="WPS Plain"/>
    <w:qFormat/>
  </w:style>
  <w:style w:type="paragraph" w:customStyle="1" w:styleId="6Char1">
    <w:name w:val="6 Char"/>
    <w:basedOn w:val="a6"/>
    <w:qFormat/>
  </w:style>
  <w:style w:type="paragraph" w:customStyle="1" w:styleId="reader-word-layerreader-word-s39-13">
    <w:name w:val="reader-word-layer reader-word-s39-13"/>
    <w:basedOn w:val="a6"/>
    <w:qFormat/>
    <w:pPr>
      <w:widowControl/>
      <w:spacing w:before="100" w:beforeAutospacing="1" w:after="100" w:afterAutospacing="1"/>
      <w:jc w:val="left"/>
    </w:pPr>
    <w:rPr>
      <w:rFonts w:ascii="宋体" w:hAnsi="宋体" w:cs="宋体"/>
      <w:color w:val="000000"/>
      <w:w w:val="110"/>
      <w:kern w:val="0"/>
      <w:sz w:val="24"/>
    </w:rPr>
  </w:style>
  <w:style w:type="paragraph" w:customStyle="1" w:styleId="affffffffffffffffd">
    <w:name w:val="附件名"/>
    <w:qFormat/>
    <w:pPr>
      <w:jc w:val="center"/>
    </w:pPr>
    <w:rPr>
      <w:rFonts w:eastAsia="黑体"/>
      <w:sz w:val="36"/>
    </w:rPr>
  </w:style>
  <w:style w:type="paragraph" w:customStyle="1" w:styleId="1fffb">
    <w:name w:val="正文缩进1"/>
    <w:basedOn w:val="a6"/>
    <w:qFormat/>
    <w:pPr>
      <w:ind w:firstLine="420"/>
    </w:pPr>
    <w:rPr>
      <w:snapToGrid w:val="0"/>
      <w:kern w:val="0"/>
      <w:sz w:val="28"/>
      <w:szCs w:val="20"/>
    </w:rPr>
  </w:style>
  <w:style w:type="paragraph" w:customStyle="1" w:styleId="1fffc">
    <w:name w:val="签名1"/>
    <w:basedOn w:val="a6"/>
    <w:qFormat/>
    <w:pPr>
      <w:ind w:leftChars="2100" w:left="100"/>
    </w:pPr>
  </w:style>
  <w:style w:type="paragraph" w:customStyle="1" w:styleId="xl978">
    <w:name w:val="xl97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ffffffffffffffe">
    <w:name w:val="标题三！"/>
    <w:basedOn w:val="33"/>
    <w:qFormat/>
    <w:pPr>
      <w:keepNext w:val="0"/>
      <w:keepLines w:val="0"/>
      <w:widowControl/>
      <w:adjustRightInd w:val="0"/>
      <w:snapToGrid w:val="0"/>
      <w:spacing w:line="500" w:lineRule="exact"/>
      <w:jc w:val="left"/>
    </w:pPr>
    <w:rPr>
      <w:rFonts w:ascii="宋体" w:eastAsia="宋体" w:hAnsi="宋体" w:cs="宋体"/>
      <w:b/>
      <w:spacing w:val="0"/>
      <w:szCs w:val="28"/>
    </w:rPr>
  </w:style>
  <w:style w:type="paragraph" w:customStyle="1" w:styleId="Blockquote">
    <w:name w:val="Blockquote"/>
    <w:basedOn w:val="a6"/>
    <w:qFormat/>
    <w:pPr>
      <w:widowControl/>
      <w:autoSpaceDE w:val="0"/>
      <w:autoSpaceDN w:val="0"/>
      <w:adjustRightInd w:val="0"/>
      <w:spacing w:before="100" w:after="100"/>
      <w:ind w:left="360" w:right="360"/>
      <w:jc w:val="left"/>
    </w:pPr>
    <w:rPr>
      <w:rFonts w:cs="宋体"/>
      <w:kern w:val="0"/>
      <w:sz w:val="24"/>
      <w:szCs w:val="20"/>
    </w:rPr>
  </w:style>
  <w:style w:type="paragraph" w:customStyle="1" w:styleId="afffffffffffffffff">
    <w:name w:val="表格文字，居中"/>
    <w:basedOn w:val="affc"/>
    <w:qFormat/>
    <w:pPr>
      <w:tabs>
        <w:tab w:val="left" w:pos="628"/>
        <w:tab w:val="left" w:pos="1727"/>
        <w:tab w:val="left" w:pos="1884"/>
      </w:tabs>
      <w:spacing w:line="300" w:lineRule="auto"/>
      <w:ind w:firstLine="0"/>
      <w:outlineLvl w:val="0"/>
    </w:pPr>
    <w:rPr>
      <w:bCs w:val="0"/>
      <w:spacing w:val="0"/>
      <w:kern w:val="2"/>
      <w:sz w:val="24"/>
      <w:szCs w:val="20"/>
    </w:rPr>
  </w:style>
  <w:style w:type="paragraph" w:customStyle="1" w:styleId="afffffffffffffffff0">
    <w:name w:val="表格文字（居中）"/>
    <w:basedOn w:val="a6"/>
    <w:qFormat/>
    <w:pPr>
      <w:jc w:val="center"/>
    </w:pPr>
    <w:rPr>
      <w:szCs w:val="21"/>
    </w:rPr>
  </w:style>
  <w:style w:type="paragraph" w:customStyle="1" w:styleId="31113CharChar3Char3-31111">
    <w:name w:val="样式 样式 标题 31.1.1条标题 3 Char Char标题 3 Char标3可研-标题 3§1.1.1.. (1... +..."/>
    <w:basedOn w:val="a6"/>
    <w:qFormat/>
    <w:pPr>
      <w:keepNext/>
      <w:keepLines/>
      <w:widowControl/>
      <w:numPr>
        <w:ilvl w:val="2"/>
        <w:numId w:val="9"/>
      </w:numPr>
      <w:spacing w:line="360" w:lineRule="auto"/>
      <w:jc w:val="left"/>
      <w:outlineLvl w:val="2"/>
    </w:pPr>
    <w:rPr>
      <w:rFonts w:ascii="宋体" w:hAnsi="宋体" w:cs="宋体"/>
      <w:color w:val="000000"/>
      <w:kern w:val="0"/>
      <w:sz w:val="28"/>
      <w:szCs w:val="32"/>
    </w:rPr>
  </w:style>
  <w:style w:type="paragraph" w:customStyle="1" w:styleId="CM6">
    <w:name w:val="CM6"/>
    <w:basedOn w:val="Default"/>
    <w:next w:val="Default"/>
    <w:qFormat/>
    <w:pPr>
      <w:spacing w:line="623" w:lineRule="atLeast"/>
    </w:pPr>
    <w:rPr>
      <w:rFonts w:ascii="黑体" w:eastAsia="黑体"/>
      <w:color w:val="auto"/>
    </w:rPr>
  </w:style>
  <w:style w:type="paragraph" w:customStyle="1" w:styleId="CharCharffffff">
    <w:name w:val="文本匡小五号 Char Char"/>
    <w:qFormat/>
    <w:pPr>
      <w:jc w:val="center"/>
    </w:pPr>
    <w:rPr>
      <w:rFonts w:eastAsia="仿宋_GB2312"/>
      <w:sz w:val="18"/>
      <w:szCs w:val="24"/>
    </w:rPr>
  </w:style>
  <w:style w:type="paragraph" w:customStyle="1" w:styleId="5f3">
    <w:name w:val="右5"/>
    <w:basedOn w:val="a6"/>
    <w:qFormat/>
    <w:pPr>
      <w:adjustRightInd w:val="0"/>
      <w:snapToGrid w:val="0"/>
      <w:spacing w:line="360" w:lineRule="auto"/>
      <w:ind w:left="42"/>
      <w:jc w:val="right"/>
    </w:pPr>
    <w:rPr>
      <w:rFonts w:ascii="宋体" w:hAnsi="宋体"/>
      <w:color w:val="000080"/>
      <w:kern w:val="28"/>
      <w:sz w:val="18"/>
      <w:szCs w:val="18"/>
    </w:rPr>
  </w:style>
  <w:style w:type="paragraph" w:customStyle="1" w:styleId="NewNewNewNewNew">
    <w:name w:val="正文 New New New New New"/>
    <w:qFormat/>
    <w:pPr>
      <w:widowControl w:val="0"/>
      <w:adjustRightInd w:val="0"/>
      <w:snapToGrid w:val="0"/>
      <w:spacing w:line="360" w:lineRule="auto"/>
      <w:jc w:val="both"/>
    </w:pPr>
    <w:rPr>
      <w:snapToGrid w:val="0"/>
      <w:sz w:val="24"/>
    </w:rPr>
  </w:style>
  <w:style w:type="paragraph" w:customStyle="1" w:styleId="CharCharChar1CharCharCharCharCharCharChar3">
    <w:name w:val="Char Char Char1 Char Char Char Char Char Char Char3"/>
    <w:basedOn w:val="a6"/>
    <w:qFormat/>
    <w:rPr>
      <w:kern w:val="0"/>
      <w:sz w:val="24"/>
      <w:szCs w:val="20"/>
    </w:rPr>
  </w:style>
  <w:style w:type="paragraph" w:customStyle="1" w:styleId="dandan6-131">
    <w:name w:val="dandan6-13正文"/>
    <w:basedOn w:val="a6"/>
    <w:next w:val="a6"/>
    <w:qFormat/>
    <w:pPr>
      <w:keepNext/>
      <w:keepLines/>
      <w:widowControl/>
      <w:adjustRightInd w:val="0"/>
      <w:spacing w:before="40" w:after="40" w:line="360" w:lineRule="auto"/>
      <w:ind w:firstLineChars="200" w:firstLine="200"/>
      <w:textAlignment w:val="baseline"/>
    </w:pPr>
    <w:rPr>
      <w:rFonts w:ascii="宋体"/>
      <w:kern w:val="0"/>
      <w:sz w:val="24"/>
      <w:szCs w:val="20"/>
    </w:rPr>
  </w:style>
  <w:style w:type="paragraph" w:customStyle="1" w:styleId="12CharCharCharCharCharCharChar">
    <w:name w:val="12 Char Char Char Char Char Char Char"/>
    <w:basedOn w:val="a6"/>
    <w:qFormat/>
    <w:pPr>
      <w:spacing w:line="360" w:lineRule="auto"/>
      <w:ind w:firstLineChars="200" w:firstLine="200"/>
      <w:jc w:val="left"/>
    </w:pPr>
    <w:rPr>
      <w:rFonts w:ascii="宋体" w:hAnsi="宋体"/>
      <w:position w:val="-6"/>
      <w:sz w:val="28"/>
      <w:szCs w:val="20"/>
      <w:u w:val="single"/>
    </w:rPr>
  </w:style>
  <w:style w:type="paragraph" w:customStyle="1" w:styleId="afffffffffffffffff1">
    <w:name w:val="正文新"/>
    <w:basedOn w:val="afc"/>
    <w:qFormat/>
    <w:pPr>
      <w:spacing w:line="300" w:lineRule="auto"/>
      <w:ind w:firstLineChars="0" w:firstLine="510"/>
    </w:pPr>
    <w:rPr>
      <w:rFonts w:eastAsia="宋体" w:hAnsi="Arial"/>
      <w:snapToGrid w:val="0"/>
      <w:color w:val="auto"/>
      <w:spacing w:val="0"/>
      <w:kern w:val="0"/>
      <w:sz w:val="24"/>
      <w:szCs w:val="20"/>
    </w:rPr>
  </w:style>
  <w:style w:type="paragraph" w:customStyle="1" w:styleId="099">
    <w:name w:val="样式 正文首行缩进 + 左侧:  0.99 厘米"/>
    <w:basedOn w:val="affc"/>
    <w:qFormat/>
    <w:pPr>
      <w:widowControl/>
      <w:tabs>
        <w:tab w:val="left" w:pos="628"/>
      </w:tabs>
      <w:spacing w:line="264" w:lineRule="auto"/>
      <w:ind w:firstLine="560"/>
    </w:pPr>
    <w:rPr>
      <w:rFonts w:cs="宋体"/>
      <w:color w:val="000000"/>
      <w:spacing w:val="0"/>
      <w:kern w:val="0"/>
      <w:sz w:val="24"/>
      <w:szCs w:val="28"/>
    </w:rPr>
  </w:style>
  <w:style w:type="paragraph" w:customStyle="1" w:styleId="afffffffffffffffff2">
    <w:name w:val="公式"/>
    <w:basedOn w:val="a6"/>
    <w:qFormat/>
    <w:pPr>
      <w:adjustRightInd w:val="0"/>
      <w:spacing w:line="288" w:lineRule="auto"/>
      <w:jc w:val="center"/>
      <w:textAlignment w:val="baseline"/>
    </w:pPr>
    <w:rPr>
      <w:kern w:val="0"/>
      <w:sz w:val="24"/>
    </w:rPr>
  </w:style>
  <w:style w:type="paragraph" w:customStyle="1" w:styleId="xl1012">
    <w:name w:val="xl1012"/>
    <w:basedOn w:val="a6"/>
    <w:qFormat/>
    <w:pPr>
      <w:widowControl/>
      <w:pBdr>
        <w:top w:val="single" w:sz="4" w:space="0" w:color="auto"/>
        <w:left w:val="single" w:sz="4" w:space="0" w:color="auto"/>
        <w:bottom w:val="single" w:sz="4" w:space="0" w:color="auto"/>
      </w:pBdr>
      <w:spacing w:before="100" w:beforeAutospacing="1" w:after="100" w:afterAutospacing="1"/>
      <w:jc w:val="center"/>
    </w:pPr>
    <w:rPr>
      <w:rFonts w:ascii="Arial" w:hAnsi="Arial" w:cs="Arial"/>
      <w:kern w:val="0"/>
      <w:sz w:val="18"/>
      <w:szCs w:val="18"/>
    </w:rPr>
  </w:style>
  <w:style w:type="paragraph" w:customStyle="1" w:styleId="p18">
    <w:name w:val="p18"/>
    <w:basedOn w:val="a6"/>
    <w:qFormat/>
    <w:pPr>
      <w:widowControl/>
      <w:spacing w:line="480" w:lineRule="exact"/>
      <w:ind w:firstLineChars="200" w:firstLine="200"/>
      <w:jc w:val="left"/>
    </w:pPr>
    <w:rPr>
      <w:kern w:val="0"/>
      <w:sz w:val="24"/>
      <w:szCs w:val="20"/>
    </w:rPr>
  </w:style>
  <w:style w:type="paragraph" w:customStyle="1" w:styleId="1111111111111">
    <w:name w:val="表头1111111111111"/>
    <w:basedOn w:val="a6"/>
    <w:qFormat/>
    <w:pPr>
      <w:keepNext/>
      <w:spacing w:line="360" w:lineRule="auto"/>
      <w:jc w:val="center"/>
    </w:pPr>
    <w:rPr>
      <w:rFonts w:ascii="黑体" w:eastAsia="黑体" w:hAnsi="Arial" w:cs="Arial"/>
      <w:b/>
      <w:sz w:val="28"/>
      <w:szCs w:val="28"/>
    </w:rPr>
  </w:style>
  <w:style w:type="paragraph" w:customStyle="1" w:styleId="0772043">
    <w:name w:val="样式 首行缩进:  0.77 厘米 行距: 固定值 20 磅43"/>
    <w:basedOn w:val="a6"/>
    <w:qFormat/>
    <w:pPr>
      <w:spacing w:line="360" w:lineRule="auto"/>
      <w:ind w:firstLineChars="200" w:firstLine="480"/>
    </w:pPr>
    <w:rPr>
      <w:rFonts w:ascii="宋体" w:hAnsi="宋体"/>
      <w:color w:val="000000"/>
      <w:kern w:val="0"/>
      <w:sz w:val="24"/>
      <w:szCs w:val="20"/>
    </w:rPr>
  </w:style>
  <w:style w:type="paragraph" w:customStyle="1" w:styleId="Char1CharCharCharCharCharCharCharCharChar">
    <w:name w:val="Char1 Char Char Char Char Char Char Char Char Char"/>
    <w:basedOn w:val="a6"/>
    <w:qFormat/>
    <w:rPr>
      <w:rFonts w:ascii="Tahoma" w:hAnsi="Tahoma"/>
      <w:sz w:val="24"/>
      <w:szCs w:val="20"/>
    </w:rPr>
  </w:style>
  <w:style w:type="paragraph" w:customStyle="1" w:styleId="Style82">
    <w:name w:val="Style82"/>
    <w:basedOn w:val="a6"/>
    <w:qFormat/>
    <w:pPr>
      <w:adjustRightInd w:val="0"/>
      <w:jc w:val="left"/>
    </w:pPr>
    <w:rPr>
      <w:rFonts w:ascii="宋体"/>
      <w:kern w:val="0"/>
      <w:sz w:val="24"/>
      <w:szCs w:val="20"/>
    </w:rPr>
  </w:style>
  <w:style w:type="paragraph" w:customStyle="1" w:styleId="afffffffffffffffff3">
    <w:name w:val="环保节标题"/>
    <w:basedOn w:val="a6"/>
    <w:qFormat/>
    <w:pPr>
      <w:keepNext/>
      <w:keepLines/>
      <w:adjustRightInd w:val="0"/>
      <w:spacing w:before="260" w:after="260" w:line="416" w:lineRule="atLeast"/>
      <w:ind w:firstLineChars="200" w:firstLine="200"/>
      <w:jc w:val="left"/>
      <w:textAlignment w:val="baseline"/>
      <w:outlineLvl w:val="2"/>
    </w:pPr>
    <w:rPr>
      <w:rFonts w:eastAsia="汉鼎简书宋"/>
      <w:kern w:val="0"/>
      <w:sz w:val="24"/>
    </w:rPr>
  </w:style>
  <w:style w:type="paragraph" w:customStyle="1" w:styleId="4f6">
    <w:name w:val="文档结构图4"/>
    <w:basedOn w:val="a6"/>
    <w:qFormat/>
    <w:pPr>
      <w:shd w:val="clear" w:color="auto" w:fill="000080"/>
      <w:tabs>
        <w:tab w:val="left" w:pos="480"/>
        <w:tab w:val="left" w:pos="1680"/>
        <w:tab w:val="left" w:pos="3960"/>
        <w:tab w:val="left" w:pos="5400"/>
        <w:tab w:val="left" w:pos="6840"/>
      </w:tabs>
      <w:adjustRightInd w:val="0"/>
      <w:spacing w:line="240" w:lineRule="atLeast"/>
      <w:ind w:firstLine="482"/>
      <w:jc w:val="left"/>
      <w:textAlignment w:val="baseline"/>
    </w:pPr>
    <w:rPr>
      <w:rFonts w:eastAsia="创艺简楷体"/>
      <w:kern w:val="0"/>
      <w:sz w:val="28"/>
      <w:szCs w:val="20"/>
    </w:rPr>
  </w:style>
  <w:style w:type="paragraph" w:customStyle="1" w:styleId="610">
    <w:name w:val="标题 61"/>
    <w:basedOn w:val="a6"/>
    <w:next w:val="a6"/>
    <w:qFormat/>
    <w:pPr>
      <w:keepNext/>
      <w:keepLines/>
      <w:adjustRightInd w:val="0"/>
      <w:spacing w:before="240" w:after="64" w:line="320" w:lineRule="atLeast"/>
      <w:textAlignment w:val="baseline"/>
      <w:outlineLvl w:val="5"/>
    </w:pPr>
    <w:rPr>
      <w:rFonts w:ascii="Arial" w:eastAsia="黑体" w:hAnsi="Arial"/>
      <w:b/>
      <w:color w:val="000000"/>
      <w:w w:val="110"/>
      <w:kern w:val="0"/>
      <w:sz w:val="24"/>
      <w:szCs w:val="20"/>
    </w:rPr>
  </w:style>
  <w:style w:type="paragraph" w:customStyle="1" w:styleId="5f4">
    <w:name w:val="纯文本5"/>
    <w:basedOn w:val="a6"/>
    <w:qFormat/>
    <w:pPr>
      <w:adjustRightInd w:val="0"/>
      <w:jc w:val="left"/>
      <w:textAlignment w:val="baseline"/>
    </w:pPr>
    <w:rPr>
      <w:rFonts w:ascii="宋体"/>
      <w:kern w:val="0"/>
      <w:sz w:val="24"/>
      <w:szCs w:val="20"/>
    </w:rPr>
  </w:style>
  <w:style w:type="paragraph" w:customStyle="1" w:styleId="afffffffffffffffff4">
    <w:name w:val="题注图名"/>
    <w:basedOn w:val="a6"/>
    <w:qFormat/>
    <w:pPr>
      <w:spacing w:after="120" w:line="300" w:lineRule="auto"/>
      <w:jc w:val="center"/>
    </w:pPr>
    <w:rPr>
      <w:rFonts w:eastAsia="仿宋_GB2312"/>
      <w:b/>
      <w:bCs/>
      <w:szCs w:val="20"/>
      <w:lang w:val="zh-CN"/>
    </w:rPr>
  </w:style>
  <w:style w:type="paragraph" w:customStyle="1" w:styleId="GB23121052">
    <w:name w:val="样式 样式 环评正文 + (西文) 仿宋_GB2312 (中文) 宋体 10.5 磅 首行缩进:  2 字符 + 首行缩进:  ..."/>
    <w:basedOn w:val="a6"/>
    <w:qFormat/>
    <w:pPr>
      <w:spacing w:line="400" w:lineRule="exact"/>
      <w:ind w:firstLineChars="200" w:firstLine="200"/>
    </w:pPr>
    <w:rPr>
      <w:rFonts w:ascii="仿宋_GB2312" w:hAnsi="仿宋_GB2312"/>
      <w:sz w:val="24"/>
      <w:szCs w:val="20"/>
    </w:rPr>
  </w:style>
  <w:style w:type="paragraph" w:customStyle="1" w:styleId="6CharCharCharCharCharChar1Char">
    <w:name w:val="6 Char Char Char Char Char Char1 Char"/>
    <w:basedOn w:val="a6"/>
    <w:qFormat/>
  </w:style>
  <w:style w:type="paragraph" w:customStyle="1" w:styleId="CharCharCharCharCharCharCharCharCharCharCharCharCharCharCharCharCharCharCharCharCharCharCharCharCharCharCharCharCharCharCharCharCharCharCharCharCharCharChar3">
    <w:name w:val="Char Char Char Char Char Char Char Char Char Char Char Char Char Char Char Char Char Char Char Char Char Char Char Char Char Char Char Char Char Char Char Char Char Char Char Char Char Char Char3"/>
    <w:basedOn w:val="a6"/>
    <w:qFormat/>
  </w:style>
  <w:style w:type="paragraph" w:customStyle="1" w:styleId="xl55">
    <w:name w:val="xl55"/>
    <w:basedOn w:val="a6"/>
    <w:qFormat/>
    <w:pPr>
      <w:widowControl/>
      <w:pBdr>
        <w:bottom w:val="single" w:sz="4" w:space="0" w:color="auto"/>
      </w:pBdr>
      <w:spacing w:before="100" w:beforeAutospacing="1" w:after="100" w:afterAutospacing="1"/>
      <w:jc w:val="center"/>
      <w:textAlignment w:val="center"/>
    </w:pPr>
    <w:rPr>
      <w:rFonts w:ascii="宋体" w:hAnsi="宋体" w:hint="eastAsia"/>
      <w:b/>
      <w:bCs/>
      <w:kern w:val="0"/>
      <w:sz w:val="24"/>
    </w:rPr>
  </w:style>
  <w:style w:type="paragraph" w:customStyle="1" w:styleId="xl76">
    <w:name w:val="xl76"/>
    <w:basedOn w:val="a6"/>
    <w:qFormat/>
    <w:pPr>
      <w:widowControl/>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left"/>
      <w:textAlignment w:val="center"/>
    </w:pPr>
    <w:rPr>
      <w:rFonts w:ascii="宋体" w:hAnsi="宋体" w:cs="宋体"/>
      <w:b/>
      <w:bCs/>
      <w:kern w:val="0"/>
      <w:sz w:val="20"/>
      <w:szCs w:val="20"/>
    </w:rPr>
  </w:style>
  <w:style w:type="paragraph" w:customStyle="1" w:styleId="xl106">
    <w:name w:val="xl106"/>
    <w:basedOn w:val="a6"/>
    <w:qFormat/>
    <w:pPr>
      <w:widowControl/>
      <w:pBdr>
        <w:top w:val="single" w:sz="4" w:space="0" w:color="auto"/>
        <w:left w:val="single" w:sz="4" w:space="0" w:color="auto"/>
        <w:bottom w:val="single" w:sz="4" w:space="0" w:color="auto"/>
      </w:pBdr>
      <w:shd w:val="clear" w:color="000000" w:fill="FFFF99"/>
      <w:spacing w:before="100" w:beforeAutospacing="1" w:after="100" w:afterAutospacing="1"/>
      <w:jc w:val="left"/>
      <w:textAlignment w:val="center"/>
    </w:pPr>
    <w:rPr>
      <w:rFonts w:ascii="宋体" w:hAnsi="宋体" w:cs="宋体"/>
      <w:kern w:val="0"/>
      <w:sz w:val="20"/>
      <w:szCs w:val="20"/>
    </w:rPr>
  </w:style>
  <w:style w:type="paragraph" w:customStyle="1" w:styleId="CharChar1CharCharCharCharCharChar1">
    <w:name w:val="Char Char1 Char Char Char Char Char Char1"/>
    <w:basedOn w:val="a6"/>
    <w:qFormat/>
  </w:style>
  <w:style w:type="paragraph" w:customStyle="1" w:styleId="afffffffffffffffff5">
    <w:name w:val="样式(a)"/>
    <w:basedOn w:val="a6"/>
    <w:qFormat/>
    <w:pPr>
      <w:widowControl/>
      <w:ind w:firstLineChars="200" w:firstLine="560"/>
      <w:jc w:val="left"/>
    </w:pPr>
    <w:rPr>
      <w:rFonts w:ascii="宋体" w:hAnsi="宋体" w:cs="宋体"/>
      <w:kern w:val="0"/>
      <w:sz w:val="28"/>
      <w:szCs w:val="20"/>
    </w:rPr>
  </w:style>
  <w:style w:type="paragraph" w:customStyle="1" w:styleId="CharCharChar15">
    <w:name w:val="Char Char Char15"/>
    <w:basedOn w:val="a6"/>
    <w:qFormat/>
    <w:rPr>
      <w:sz w:val="30"/>
    </w:rPr>
  </w:style>
  <w:style w:type="paragraph" w:customStyle="1" w:styleId="CharChar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Char Char"/>
    <w:basedOn w:val="a6"/>
    <w:qFormat/>
  </w:style>
  <w:style w:type="paragraph" w:customStyle="1" w:styleId="afffffffffffffffff6">
    <w:name w:val="四级标题王"/>
    <w:basedOn w:val="a6"/>
    <w:qFormat/>
    <w:pPr>
      <w:adjustRightInd w:val="0"/>
      <w:snapToGrid w:val="0"/>
      <w:spacing w:line="360" w:lineRule="auto"/>
      <w:outlineLvl w:val="3"/>
    </w:pPr>
    <w:rPr>
      <w:rFonts w:ascii="黑体" w:eastAsia="黑体"/>
      <w:bCs/>
      <w:color w:val="000000"/>
      <w:w w:val="110"/>
      <w:kern w:val="0"/>
      <w:sz w:val="24"/>
      <w:szCs w:val="28"/>
    </w:rPr>
  </w:style>
  <w:style w:type="paragraph" w:customStyle="1" w:styleId="reader-word-layerreader-word-s1-8reader-word-s1-13">
    <w:name w:val="reader-word-layer reader-word-s1-8 reader-word-s1-13"/>
    <w:basedOn w:val="a6"/>
    <w:qFormat/>
    <w:pPr>
      <w:widowControl/>
      <w:spacing w:before="100" w:beforeAutospacing="1" w:after="100" w:afterAutospacing="1"/>
      <w:jc w:val="left"/>
    </w:pPr>
    <w:rPr>
      <w:rFonts w:ascii="宋体" w:hAnsi="宋体" w:cs="宋体"/>
      <w:kern w:val="0"/>
      <w:sz w:val="24"/>
    </w:rPr>
  </w:style>
  <w:style w:type="paragraph" w:customStyle="1" w:styleId="CharCharChar1CharCharCharChar4">
    <w:name w:val="Char Char Char1 Char Char Char Char4"/>
    <w:basedOn w:val="a6"/>
    <w:next w:val="a6"/>
    <w:qFormat/>
    <w:pPr>
      <w:spacing w:line="360" w:lineRule="auto"/>
      <w:ind w:firstLineChars="200" w:firstLine="200"/>
    </w:pPr>
    <w:rPr>
      <w:rFonts w:ascii="宋体" w:eastAsia="汉鼎简书宋" w:hAnsi="宋体" w:cs="宋体"/>
      <w:sz w:val="24"/>
    </w:rPr>
  </w:style>
  <w:style w:type="paragraph" w:customStyle="1" w:styleId="zz2">
    <w:name w:val="zz标题2"/>
    <w:basedOn w:val="a6"/>
    <w:qFormat/>
    <w:pPr>
      <w:widowControl/>
      <w:spacing w:line="288" w:lineRule="auto"/>
      <w:jc w:val="center"/>
    </w:pPr>
    <w:rPr>
      <w:rFonts w:ascii="黑体" w:eastAsia="黑体" w:hAnsi="宋体" w:cs="宋体"/>
      <w:b/>
      <w:bCs/>
      <w:color w:val="000000"/>
      <w:spacing w:val="10"/>
      <w:kern w:val="0"/>
      <w:sz w:val="36"/>
      <w:szCs w:val="44"/>
    </w:rPr>
  </w:style>
  <w:style w:type="paragraph" w:customStyle="1" w:styleId="CharCharCharCharCharCharCharCharCharCharCharCharCharCharCharCharCharCharCharCharCharCharCharCharCharCharCharCharCharCharCharCharCharCharCharCharCharCharCharCharCharChar3">
    <w:name w:val="Char Char Char Char Char Char Char Char Char Char Char Char Char Char Char Char Char Char Char Char Char Char Char Char Char Char Char Char Char Char Char Char Char Char Char Char Char Char Char Char Char Char3"/>
    <w:basedOn w:val="a6"/>
    <w:qFormat/>
    <w:rPr>
      <w:color w:val="000000"/>
      <w:w w:val="110"/>
      <w:kern w:val="0"/>
      <w:sz w:val="24"/>
      <w:szCs w:val="20"/>
    </w:rPr>
  </w:style>
  <w:style w:type="paragraph" w:customStyle="1" w:styleId="CM93">
    <w:name w:val="CM93"/>
    <w:basedOn w:val="Default"/>
    <w:next w:val="Default"/>
    <w:qFormat/>
    <w:pPr>
      <w:spacing w:after="453"/>
    </w:pPr>
    <w:rPr>
      <w:rFonts w:ascii="黑体" w:eastAsia="黑体"/>
      <w:color w:val="auto"/>
    </w:rPr>
  </w:style>
  <w:style w:type="paragraph" w:customStyle="1" w:styleId="ParaCharCharCharChar">
    <w:name w:val="默认段落字体 Para Char Char Char Char"/>
    <w:basedOn w:val="a6"/>
    <w:qFormat/>
  </w:style>
  <w:style w:type="paragraph" w:customStyle="1" w:styleId="afffffffffffffffff7">
    <w:name w:val="首页页眉样式"/>
    <w:basedOn w:val="a6"/>
    <w:qFormat/>
    <w:pPr>
      <w:widowControl/>
      <w:spacing w:line="240" w:lineRule="exact"/>
    </w:pPr>
    <w:rPr>
      <w:rFonts w:ascii="宋体" w:hAnsi="宋体"/>
      <w:kern w:val="0"/>
      <w:sz w:val="24"/>
      <w:szCs w:val="20"/>
    </w:rPr>
  </w:style>
  <w:style w:type="paragraph" w:customStyle="1" w:styleId="Char8CharCharCharCharChar">
    <w:name w:val="Char8 Char Char Char Char Char"/>
    <w:basedOn w:val="a6"/>
    <w:qFormat/>
    <w:pPr>
      <w:widowControl/>
      <w:spacing w:after="160" w:line="240" w:lineRule="exact"/>
      <w:jc w:val="left"/>
    </w:pPr>
    <w:rPr>
      <w:rFonts w:ascii="Arial" w:eastAsia="Times New Roman" w:hAnsi="Arial" w:cs="Verdana"/>
      <w:b/>
      <w:kern w:val="0"/>
      <w:sz w:val="24"/>
      <w:lang w:eastAsia="en-US"/>
    </w:rPr>
  </w:style>
  <w:style w:type="paragraph" w:customStyle="1" w:styleId="67">
    <w:name w:val="日期6"/>
    <w:basedOn w:val="a6"/>
    <w:next w:val="a6"/>
    <w:qFormat/>
    <w:pPr>
      <w:adjustRightInd w:val="0"/>
      <w:spacing w:line="240" w:lineRule="atLeast"/>
      <w:jc w:val="left"/>
      <w:textAlignment w:val="baseline"/>
    </w:pPr>
    <w:rPr>
      <w:rFonts w:ascii="宋体"/>
      <w:kern w:val="0"/>
      <w:sz w:val="28"/>
      <w:szCs w:val="20"/>
    </w:rPr>
  </w:style>
  <w:style w:type="paragraph" w:customStyle="1" w:styleId="4f7">
    <w:name w:val="纯文本4"/>
    <w:basedOn w:val="a6"/>
    <w:qFormat/>
    <w:pPr>
      <w:adjustRightInd w:val="0"/>
      <w:textAlignment w:val="baseline"/>
    </w:pPr>
    <w:rPr>
      <w:rFonts w:ascii="宋体" w:hAnsi="Courier New"/>
      <w:color w:val="000000"/>
      <w:kern w:val="0"/>
      <w:szCs w:val="20"/>
    </w:rPr>
  </w:style>
  <w:style w:type="paragraph" w:customStyle="1" w:styleId="xl986">
    <w:name w:val="xl986"/>
    <w:basedOn w:val="a6"/>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afffffffffffffffff8">
    <w:name w:val="可研报告正文"/>
    <w:basedOn w:val="a6"/>
    <w:qFormat/>
    <w:pPr>
      <w:tabs>
        <w:tab w:val="left" w:pos="5880"/>
      </w:tabs>
      <w:spacing w:beforeLines="50" w:line="440" w:lineRule="exact"/>
      <w:ind w:left="425" w:firstLine="482"/>
    </w:pPr>
    <w:rPr>
      <w:sz w:val="24"/>
    </w:rPr>
  </w:style>
  <w:style w:type="paragraph" w:customStyle="1" w:styleId="xl41">
    <w:name w:val="xl41"/>
    <w:basedOn w:val="a6"/>
    <w:qFormat/>
    <w:pPr>
      <w:widowControl/>
      <w:pBdr>
        <w:left w:val="single" w:sz="4" w:space="0" w:color="auto"/>
        <w:bottom w:val="single" w:sz="4" w:space="0" w:color="auto"/>
        <w:right w:val="single" w:sz="4" w:space="0" w:color="auto"/>
      </w:pBdr>
      <w:spacing w:before="100" w:after="100"/>
      <w:jc w:val="center"/>
      <w:textAlignment w:val="center"/>
    </w:pPr>
    <w:rPr>
      <w:kern w:val="0"/>
      <w:szCs w:val="20"/>
    </w:rPr>
  </w:style>
  <w:style w:type="paragraph" w:customStyle="1" w:styleId="afffffffffffffffff9">
    <w:name w:val="文本框五号"/>
    <w:qFormat/>
    <w:pPr>
      <w:adjustRightInd w:val="0"/>
      <w:spacing w:line="240" w:lineRule="atLeast"/>
      <w:jc w:val="center"/>
    </w:pPr>
    <w:rPr>
      <w:rFonts w:eastAsia="仿宋_GB2312"/>
      <w:snapToGrid w:val="0"/>
      <w:kern w:val="2"/>
      <w:sz w:val="21"/>
      <w:szCs w:val="21"/>
    </w:rPr>
  </w:style>
  <w:style w:type="paragraph" w:customStyle="1" w:styleId="afffffffffffffffffa">
    <w:name w:val="编制人员"/>
    <w:basedOn w:val="a6"/>
    <w:qFormat/>
    <w:pPr>
      <w:keepNext/>
      <w:widowControl/>
      <w:snapToGrid w:val="0"/>
      <w:spacing w:line="300" w:lineRule="auto"/>
      <w:jc w:val="center"/>
    </w:pPr>
    <w:rPr>
      <w:rFonts w:ascii="黑体" w:eastAsia="黑体" w:cs="宋体"/>
      <w:kern w:val="0"/>
      <w:sz w:val="32"/>
      <w:szCs w:val="20"/>
    </w:rPr>
  </w:style>
  <w:style w:type="paragraph" w:customStyle="1" w:styleId="reader-word-layerreader-word-s4-8reader-word-s4-14">
    <w:name w:val="reader-word-layer reader-word-s4-8 reader-word-s4-14"/>
    <w:basedOn w:val="a6"/>
    <w:qFormat/>
    <w:pPr>
      <w:widowControl/>
      <w:spacing w:before="100" w:beforeAutospacing="1" w:after="100" w:afterAutospacing="1"/>
      <w:jc w:val="left"/>
    </w:pPr>
    <w:rPr>
      <w:rFonts w:ascii="宋体" w:hAnsi="宋体" w:cs="宋体"/>
      <w:kern w:val="0"/>
      <w:sz w:val="24"/>
    </w:rPr>
  </w:style>
  <w:style w:type="paragraph" w:customStyle="1" w:styleId="reader-word-layerreader-word-s1-72">
    <w:name w:val="reader-word-layer reader-word-s1-72"/>
    <w:basedOn w:val="a6"/>
    <w:qFormat/>
    <w:pPr>
      <w:widowControl/>
      <w:spacing w:before="100" w:beforeAutospacing="1" w:after="100" w:afterAutospacing="1"/>
      <w:jc w:val="left"/>
    </w:pPr>
    <w:rPr>
      <w:rFonts w:ascii="宋体" w:hAnsi="宋体" w:cs="宋体"/>
      <w:kern w:val="0"/>
      <w:sz w:val="24"/>
    </w:rPr>
  </w:style>
  <w:style w:type="paragraph" w:customStyle="1" w:styleId="5f5">
    <w:name w:val="表名5"/>
    <w:basedOn w:val="affffffa"/>
    <w:qFormat/>
    <w:pPr>
      <w:tabs>
        <w:tab w:val="left" w:pos="360"/>
      </w:tabs>
      <w:snapToGrid/>
      <w:spacing w:before="240"/>
      <w:ind w:left="425" w:hanging="425"/>
      <w:jc w:val="left"/>
    </w:pPr>
    <w:rPr>
      <w:rFonts w:ascii="Calibri" w:eastAsia="黑体" w:hAnsi="Calibri"/>
      <w:sz w:val="24"/>
      <w:szCs w:val="20"/>
    </w:rPr>
  </w:style>
  <w:style w:type="paragraph" w:customStyle="1" w:styleId="afffffffffffffffffb">
    <w:name w:val="表－居中列"/>
    <w:basedOn w:val="a6"/>
    <w:qFormat/>
    <w:pPr>
      <w:adjustRightInd w:val="0"/>
      <w:snapToGrid w:val="0"/>
      <w:spacing w:line="320" w:lineRule="exact"/>
      <w:jc w:val="center"/>
    </w:pPr>
    <w:rPr>
      <w:rFonts w:ascii="楷体_GB2312" w:eastAsia="楷体_GB2312" w:cs="Arial"/>
      <w:snapToGrid w:val="0"/>
      <w:spacing w:val="-20"/>
      <w:kern w:val="0"/>
      <w:szCs w:val="21"/>
      <w:lang w:eastAsia="ja-JP"/>
    </w:rPr>
  </w:style>
  <w:style w:type="paragraph" w:customStyle="1" w:styleId="CharCharCharCharCharCharCharCharCharCharCharChar1Char">
    <w:name w:val="Char Char Char Char Char Char Char Char Char Char Char Char1 Char"/>
    <w:basedOn w:val="a6"/>
    <w:next w:val="a6"/>
    <w:qFormat/>
    <w:pPr>
      <w:spacing w:line="360" w:lineRule="auto"/>
      <w:ind w:firstLineChars="200" w:firstLine="200"/>
    </w:pPr>
    <w:rPr>
      <w:rFonts w:ascii="宋体" w:hAnsi="宋体" w:cs="宋体"/>
      <w:color w:val="000000"/>
      <w:w w:val="110"/>
      <w:kern w:val="0"/>
      <w:sz w:val="24"/>
    </w:rPr>
  </w:style>
  <w:style w:type="paragraph" w:customStyle="1" w:styleId="xl197">
    <w:name w:val="xl197"/>
    <w:basedOn w:val="a6"/>
    <w:qFormat/>
    <w:pPr>
      <w:widowControl/>
      <w:pBdr>
        <w:bottom w:val="single" w:sz="4" w:space="0" w:color="auto"/>
        <w:right w:val="single" w:sz="4" w:space="0" w:color="auto"/>
      </w:pBdr>
      <w:spacing w:before="100" w:beforeAutospacing="1" w:after="100" w:afterAutospacing="1"/>
      <w:jc w:val="left"/>
      <w:textAlignment w:val="center"/>
    </w:pPr>
    <w:rPr>
      <w:rFonts w:cs="宋体"/>
      <w:color w:val="000000"/>
      <w:kern w:val="0"/>
      <w:sz w:val="24"/>
    </w:rPr>
  </w:style>
  <w:style w:type="paragraph" w:customStyle="1" w:styleId="xl186">
    <w:name w:val="xl18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4"/>
    </w:rPr>
  </w:style>
  <w:style w:type="paragraph" w:customStyle="1" w:styleId="font10">
    <w:name w:val="font10"/>
    <w:basedOn w:val="a6"/>
    <w:qFormat/>
    <w:pPr>
      <w:widowControl/>
      <w:spacing w:before="100" w:beforeAutospacing="1" w:after="100" w:afterAutospacing="1"/>
      <w:jc w:val="left"/>
    </w:pPr>
    <w:rPr>
      <w:rFonts w:ascii="宋体" w:hAnsi="宋体" w:hint="eastAsia"/>
      <w:kern w:val="0"/>
      <w:sz w:val="20"/>
      <w:szCs w:val="20"/>
    </w:rPr>
  </w:style>
  <w:style w:type="paragraph" w:customStyle="1" w:styleId="NewNew">
    <w:name w:val="标题三！！！！！！！ New New"/>
    <w:basedOn w:val="a6"/>
    <w:qFormat/>
    <w:pPr>
      <w:keepLines/>
      <w:spacing w:line="500" w:lineRule="exact"/>
      <w:outlineLvl w:val="2"/>
    </w:pPr>
    <w:rPr>
      <w:rFonts w:ascii="楷体_GB2312" w:eastAsia="楷体_GB2312" w:hAnsi="楷体_GB2312" w:hint="eastAsia"/>
      <w:b/>
      <w:sz w:val="28"/>
      <w:szCs w:val="20"/>
    </w:rPr>
  </w:style>
  <w:style w:type="paragraph" w:customStyle="1" w:styleId="xl214">
    <w:name w:val="xl214"/>
    <w:basedOn w:val="a6"/>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4"/>
    </w:rPr>
  </w:style>
  <w:style w:type="paragraph" w:customStyle="1" w:styleId="aaaaaaaaaaaaaaa">
    <w:name w:val="aaaaaaaaaaaaaaa"/>
    <w:basedOn w:val="a6"/>
    <w:qFormat/>
    <w:pPr>
      <w:spacing w:line="360" w:lineRule="auto"/>
      <w:ind w:leftChars="300" w:left="630" w:firstLineChars="200" w:firstLine="420"/>
    </w:pPr>
    <w:rPr>
      <w:rFonts w:ascii="宋体" w:hAnsi="宋体"/>
      <w:szCs w:val="21"/>
    </w:rPr>
  </w:style>
  <w:style w:type="paragraph" w:customStyle="1" w:styleId="afffffffffffffffffc">
    <w:name w:val="标准条文"/>
    <w:qFormat/>
    <w:pPr>
      <w:spacing w:beforeLines="20" w:afterLines="20"/>
      <w:ind w:firstLineChars="200" w:firstLine="200"/>
    </w:pPr>
    <w:rPr>
      <w:bCs/>
      <w:kern w:val="2"/>
      <w:sz w:val="21"/>
      <w:szCs w:val="24"/>
    </w:rPr>
  </w:style>
  <w:style w:type="paragraph" w:customStyle="1" w:styleId="xl218">
    <w:name w:val="xl218"/>
    <w:basedOn w:val="a6"/>
    <w:qFormat/>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rPr>
  </w:style>
  <w:style w:type="paragraph" w:customStyle="1" w:styleId="xl63">
    <w:name w:val="xl63"/>
    <w:basedOn w:val="a6"/>
    <w:qFormat/>
    <w:pPr>
      <w:widowControl/>
      <w:spacing w:before="100" w:after="100"/>
      <w:jc w:val="center"/>
      <w:textAlignment w:val="center"/>
    </w:pPr>
    <w:rPr>
      <w:rFonts w:ascii="黑体" w:eastAsia="黑体" w:hAnsi="宋体" w:hint="eastAsia"/>
      <w:kern w:val="0"/>
      <w:sz w:val="24"/>
      <w:szCs w:val="20"/>
    </w:rPr>
  </w:style>
  <w:style w:type="paragraph" w:customStyle="1" w:styleId="xl141">
    <w:name w:val="xl141"/>
    <w:basedOn w:val="a6"/>
    <w:qFormat/>
    <w:pPr>
      <w:widowControl/>
      <w:pBdr>
        <w:top w:val="double" w:sz="6" w:space="0" w:color="auto"/>
        <w:left w:val="single" w:sz="4" w:space="0" w:color="auto"/>
        <w:right w:val="single" w:sz="4" w:space="0" w:color="auto"/>
      </w:pBdr>
      <w:spacing w:before="100" w:beforeAutospacing="1" w:after="100" w:afterAutospacing="1" w:line="360" w:lineRule="auto"/>
      <w:jc w:val="center"/>
      <w:textAlignment w:val="center"/>
    </w:pPr>
    <w:rPr>
      <w:rFonts w:eastAsia="Arial Unicode MS" w:cs="宋体"/>
      <w:kern w:val="0"/>
      <w:sz w:val="20"/>
      <w:szCs w:val="20"/>
    </w:rPr>
  </w:style>
  <w:style w:type="paragraph" w:customStyle="1" w:styleId="afffffffffffffffffd">
    <w:name w:val="正文王"/>
    <w:basedOn w:val="a6"/>
    <w:qFormat/>
    <w:pPr>
      <w:spacing w:line="440" w:lineRule="exact"/>
      <w:ind w:firstLineChars="200" w:firstLine="480"/>
    </w:pPr>
    <w:rPr>
      <w:rFonts w:ascii="宋体" w:hAnsi="宋体"/>
      <w:kern w:val="0"/>
      <w:sz w:val="24"/>
      <w:szCs w:val="20"/>
    </w:rPr>
  </w:style>
  <w:style w:type="paragraph" w:customStyle="1" w:styleId="afffffffffffffffffe">
    <w:name w:val="中石油表头"/>
    <w:basedOn w:val="a6"/>
    <w:qFormat/>
    <w:pPr>
      <w:spacing w:line="560" w:lineRule="exact"/>
      <w:jc w:val="center"/>
    </w:pPr>
    <w:rPr>
      <w:rFonts w:ascii="黑体" w:eastAsia="黑体" w:hAnsi="宋体" w:cs="仿宋_GB2312"/>
      <w:kern w:val="0"/>
      <w:sz w:val="24"/>
    </w:rPr>
  </w:style>
  <w:style w:type="paragraph" w:customStyle="1" w:styleId="xl126">
    <w:name w:val="xl126"/>
    <w:basedOn w:val="a6"/>
    <w:qFormat/>
    <w:pPr>
      <w:widowControl/>
      <w:pBdr>
        <w:top w:val="single" w:sz="4" w:space="0" w:color="auto"/>
        <w:left w:val="single" w:sz="4" w:space="0" w:color="auto"/>
        <w:bottom w:val="single" w:sz="4" w:space="0" w:color="auto"/>
      </w:pBdr>
      <w:spacing w:before="100" w:beforeAutospacing="1" w:after="100" w:afterAutospacing="1" w:line="360" w:lineRule="auto"/>
      <w:jc w:val="center"/>
      <w:textAlignment w:val="center"/>
    </w:pPr>
    <w:rPr>
      <w:rFonts w:eastAsia="Arial Unicode MS" w:cs="宋体"/>
      <w:kern w:val="0"/>
      <w:sz w:val="20"/>
      <w:szCs w:val="20"/>
    </w:rPr>
  </w:style>
  <w:style w:type="paragraph" w:customStyle="1" w:styleId="CharCharChar1CharCharCharChar5">
    <w:name w:val="Char Char Char1 Char Char Char Char5"/>
    <w:basedOn w:val="a6"/>
    <w:next w:val="a6"/>
    <w:qFormat/>
    <w:pPr>
      <w:spacing w:line="360" w:lineRule="auto"/>
      <w:ind w:firstLineChars="200" w:firstLine="200"/>
    </w:pPr>
    <w:rPr>
      <w:szCs w:val="20"/>
    </w:rPr>
  </w:style>
  <w:style w:type="paragraph" w:customStyle="1" w:styleId="c2">
    <w:name w:val="c2"/>
    <w:basedOn w:val="a6"/>
    <w:qFormat/>
    <w:rPr>
      <w:rFonts w:ascii="Calisto MT" w:hAnsi="Calisto MT"/>
      <w:b/>
      <w:sz w:val="30"/>
      <w:szCs w:val="20"/>
    </w:rPr>
  </w:style>
  <w:style w:type="paragraph" w:customStyle="1" w:styleId="xl69">
    <w:name w:val="xl69"/>
    <w:basedOn w:val="a6"/>
    <w:qFormat/>
    <w:pPr>
      <w:widowControl/>
      <w:pBdr>
        <w:left w:val="single" w:sz="4"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24"/>
      <w:szCs w:val="20"/>
    </w:rPr>
  </w:style>
  <w:style w:type="paragraph" w:customStyle="1" w:styleId="10">
    <w:name w:val="示例和注释(左缩进1)"/>
    <w:basedOn w:val="a6"/>
    <w:semiHidden/>
    <w:qFormat/>
    <w:pPr>
      <w:widowControl/>
      <w:numPr>
        <w:numId w:val="12"/>
      </w:numPr>
      <w:ind w:firstLine="0"/>
      <w:jc w:val="left"/>
    </w:pPr>
    <w:rPr>
      <w:rFonts w:ascii="Arial" w:hAnsi="Arial" w:cs="宋体"/>
      <w:kern w:val="0"/>
      <w:sz w:val="24"/>
    </w:rPr>
  </w:style>
  <w:style w:type="paragraph" w:customStyle="1" w:styleId="10101">
    <w:name w:val="样式 样式 正文1 + 段前: 0.1 行 + 段前: 0.1 行"/>
    <w:basedOn w:val="a6"/>
    <w:qFormat/>
    <w:pPr>
      <w:snapToGrid w:val="0"/>
      <w:spacing w:beforeLines="10" w:line="440" w:lineRule="atLeast"/>
      <w:ind w:firstLine="567"/>
    </w:pPr>
    <w:rPr>
      <w:rFonts w:ascii="宋体"/>
      <w:kern w:val="0"/>
      <w:sz w:val="24"/>
      <w:szCs w:val="20"/>
    </w:rPr>
  </w:style>
  <w:style w:type="paragraph" w:customStyle="1" w:styleId="affffffffffffffffff">
    <w:name w:val="设计文本"/>
    <w:basedOn w:val="a6"/>
    <w:qFormat/>
    <w:pPr>
      <w:jc w:val="center"/>
    </w:pPr>
    <w:rPr>
      <w:color w:val="000000"/>
      <w:w w:val="110"/>
      <w:kern w:val="0"/>
      <w:sz w:val="24"/>
      <w:szCs w:val="20"/>
    </w:rPr>
  </w:style>
  <w:style w:type="paragraph" w:customStyle="1" w:styleId="1fffd">
    <w:name w:val="封面标准号1"/>
    <w:qFormat/>
    <w:pPr>
      <w:widowControl w:val="0"/>
      <w:kinsoku w:val="0"/>
      <w:overflowPunct w:val="0"/>
      <w:autoSpaceDE w:val="0"/>
      <w:autoSpaceDN w:val="0"/>
      <w:spacing w:before="308"/>
      <w:jc w:val="right"/>
      <w:textAlignment w:val="center"/>
    </w:pPr>
    <w:rPr>
      <w:sz w:val="28"/>
    </w:rPr>
  </w:style>
  <w:style w:type="paragraph" w:customStyle="1" w:styleId="xl138">
    <w:name w:val="xl138"/>
    <w:basedOn w:val="a6"/>
    <w:qFormat/>
    <w:pPr>
      <w:widowControl/>
      <w:pBdr>
        <w:top w:val="single" w:sz="4" w:space="0" w:color="auto"/>
        <w:left w:val="single" w:sz="4" w:space="0" w:color="auto"/>
        <w:bottom w:val="double" w:sz="6" w:space="0" w:color="auto"/>
        <w:right w:val="single" w:sz="4" w:space="0" w:color="auto"/>
      </w:pBdr>
      <w:spacing w:before="100" w:beforeAutospacing="1" w:after="100" w:afterAutospacing="1" w:line="360" w:lineRule="auto"/>
      <w:jc w:val="center"/>
      <w:textAlignment w:val="center"/>
    </w:pPr>
    <w:rPr>
      <w:rFonts w:ascii="Arial Unicode MS" w:eastAsia="Arial Unicode MS" w:hAnsi="Arial Unicode MS" w:cs="Arial Unicode MS"/>
      <w:kern w:val="0"/>
      <w:sz w:val="20"/>
      <w:szCs w:val="20"/>
    </w:rPr>
  </w:style>
  <w:style w:type="paragraph" w:customStyle="1" w:styleId="CM86">
    <w:name w:val="CM86"/>
    <w:basedOn w:val="Default"/>
    <w:next w:val="Default"/>
    <w:qFormat/>
    <w:pPr>
      <w:spacing w:after="480"/>
    </w:pPr>
    <w:rPr>
      <w:rFonts w:eastAsia="Times New Roman"/>
      <w:color w:val="auto"/>
      <w:sz w:val="20"/>
    </w:rPr>
  </w:style>
  <w:style w:type="paragraph" w:customStyle="1" w:styleId="xl140">
    <w:name w:val="xl140"/>
    <w:basedOn w:val="a6"/>
    <w:qFormat/>
    <w:pPr>
      <w:widowControl/>
      <w:pBdr>
        <w:top w:val="single" w:sz="4" w:space="0" w:color="auto"/>
        <w:left w:val="single" w:sz="4" w:space="0" w:color="auto"/>
        <w:bottom w:val="double" w:sz="6" w:space="0" w:color="auto"/>
        <w:right w:val="single" w:sz="4" w:space="0" w:color="auto"/>
      </w:pBdr>
      <w:spacing w:before="100" w:beforeAutospacing="1" w:after="100" w:afterAutospacing="1" w:line="360" w:lineRule="auto"/>
      <w:jc w:val="center"/>
      <w:textAlignment w:val="center"/>
    </w:pPr>
    <w:rPr>
      <w:rFonts w:eastAsia="Arial Unicode MS" w:cs="宋体"/>
      <w:kern w:val="0"/>
      <w:sz w:val="20"/>
      <w:szCs w:val="20"/>
    </w:rPr>
  </w:style>
  <w:style w:type="paragraph" w:customStyle="1" w:styleId="xl1046">
    <w:name w:val="xl1046"/>
    <w:basedOn w:val="a6"/>
    <w:qFormat/>
    <w:pPr>
      <w:widowControl/>
      <w:pBdr>
        <w:top w:val="single" w:sz="8" w:space="0" w:color="FFFF00"/>
        <w:left w:val="single" w:sz="8" w:space="0" w:color="FFFF00"/>
        <w:bottom w:val="single" w:sz="8" w:space="0" w:color="FFFF00"/>
        <w:right w:val="single" w:sz="8" w:space="0" w:color="FFFF00"/>
      </w:pBdr>
      <w:shd w:val="clear" w:color="000000" w:fill="0070C0"/>
      <w:spacing w:before="100" w:beforeAutospacing="1" w:after="100" w:afterAutospacing="1"/>
      <w:jc w:val="center"/>
    </w:pPr>
    <w:rPr>
      <w:rFonts w:ascii="Arial" w:hAnsi="Arial" w:cs="Arial"/>
      <w:kern w:val="0"/>
      <w:sz w:val="18"/>
      <w:szCs w:val="18"/>
    </w:rPr>
  </w:style>
  <w:style w:type="paragraph" w:customStyle="1" w:styleId="TOC1">
    <w:name w:val="TOC 标题1"/>
    <w:basedOn w:val="12"/>
    <w:next w:val="a6"/>
    <w:qFormat/>
    <w:pPr>
      <w:widowControl/>
      <w:spacing w:before="480" w:after="0" w:line="276" w:lineRule="auto"/>
      <w:jc w:val="left"/>
      <w:outlineLvl w:val="9"/>
    </w:pPr>
    <w:rPr>
      <w:rFonts w:ascii="Cambria" w:hAnsi="Cambria"/>
      <w:color w:val="365F91"/>
      <w:kern w:val="0"/>
      <w:sz w:val="28"/>
      <w:szCs w:val="28"/>
    </w:rPr>
  </w:style>
  <w:style w:type="paragraph" w:customStyle="1" w:styleId="affffffffffffffffff0">
    <w:name w:val="五级条"/>
    <w:basedOn w:val="a6"/>
    <w:qFormat/>
    <w:pPr>
      <w:widowControl/>
      <w:spacing w:line="440" w:lineRule="exact"/>
      <w:jc w:val="left"/>
      <w:outlineLvl w:val="5"/>
    </w:pPr>
    <w:rPr>
      <w:rFonts w:ascii="宋体" w:cs="宋体"/>
      <w:kern w:val="0"/>
      <w:sz w:val="24"/>
      <w:szCs w:val="20"/>
    </w:rPr>
  </w:style>
  <w:style w:type="paragraph" w:customStyle="1" w:styleId="xl939">
    <w:name w:val="xl939"/>
    <w:basedOn w:val="a6"/>
    <w:qFormat/>
    <w:pPr>
      <w:widowControl/>
      <w:spacing w:before="100" w:beforeAutospacing="1" w:after="100" w:afterAutospacing="1"/>
      <w:jc w:val="left"/>
      <w:textAlignment w:val="bottom"/>
    </w:pPr>
    <w:rPr>
      <w:rFonts w:ascii="宋体" w:hAnsi="宋体" w:cs="宋体"/>
      <w:kern w:val="0"/>
      <w:sz w:val="24"/>
    </w:rPr>
  </w:style>
  <w:style w:type="paragraph" w:customStyle="1" w:styleId="xl219">
    <w:name w:val="xl219"/>
    <w:basedOn w:val="a6"/>
    <w:qFormat/>
    <w:pPr>
      <w:widowControl/>
      <w:pBdr>
        <w:left w:val="single" w:sz="4" w:space="0" w:color="auto"/>
        <w:bottom w:val="single" w:sz="4" w:space="0" w:color="auto"/>
        <w:right w:val="single" w:sz="8" w:space="0" w:color="auto"/>
      </w:pBdr>
      <w:spacing w:before="100" w:beforeAutospacing="1" w:after="100" w:afterAutospacing="1"/>
      <w:jc w:val="left"/>
      <w:textAlignment w:val="center"/>
    </w:pPr>
    <w:rPr>
      <w:rFonts w:ascii="宋体" w:hAnsi="宋体" w:cs="宋体"/>
      <w:kern w:val="0"/>
      <w:sz w:val="24"/>
    </w:rPr>
  </w:style>
  <w:style w:type="paragraph" w:customStyle="1" w:styleId="xl135">
    <w:name w:val="xl135"/>
    <w:basedOn w:val="a6"/>
    <w:qFormat/>
    <w:pPr>
      <w:widowControl/>
      <w:pBdr>
        <w:top w:val="double" w:sz="6" w:space="0" w:color="auto"/>
        <w:right w:val="single" w:sz="4" w:space="0" w:color="auto"/>
      </w:pBdr>
      <w:spacing w:before="100" w:beforeAutospacing="1" w:after="100" w:afterAutospacing="1" w:line="360" w:lineRule="auto"/>
      <w:jc w:val="left"/>
    </w:pPr>
    <w:rPr>
      <w:rFonts w:ascii="Arial Unicode MS" w:eastAsia="Arial Unicode MS" w:hAnsi="Arial Unicode MS" w:cs="Arial Unicode MS"/>
      <w:kern w:val="0"/>
      <w:sz w:val="24"/>
    </w:rPr>
  </w:style>
  <w:style w:type="paragraph" w:customStyle="1" w:styleId="affffffffffffffffff1">
    <w:name w:val="加粗正文"/>
    <w:basedOn w:val="a6"/>
    <w:next w:val="afc"/>
    <w:qFormat/>
    <w:rPr>
      <w:rFonts w:ascii="宋体" w:hAnsi="Courier New" w:cs="Courier New"/>
      <w:szCs w:val="21"/>
    </w:rPr>
  </w:style>
  <w:style w:type="paragraph" w:customStyle="1" w:styleId="GB2312152">
    <w:name w:val="样式 仿宋_GB2312 四号 行距: 1.5 倍行距 首行缩进:  2 字符"/>
    <w:basedOn w:val="a6"/>
    <w:qFormat/>
    <w:pPr>
      <w:spacing w:line="360" w:lineRule="auto"/>
      <w:ind w:firstLineChars="200" w:firstLine="560"/>
    </w:pPr>
    <w:rPr>
      <w:rFonts w:ascii="仿宋_GB2312" w:eastAsia="仿宋_GB2312" w:cs="宋体"/>
      <w:sz w:val="28"/>
      <w:szCs w:val="20"/>
    </w:rPr>
  </w:style>
  <w:style w:type="paragraph" w:customStyle="1" w:styleId="xl137">
    <w:name w:val="xl137"/>
    <w:basedOn w:val="a6"/>
    <w:qFormat/>
    <w:pPr>
      <w:widowControl/>
      <w:pBdr>
        <w:top w:val="double" w:sz="6"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eastAsia="Arial Unicode MS" w:cs="宋体"/>
      <w:kern w:val="0"/>
      <w:sz w:val="20"/>
      <w:szCs w:val="20"/>
    </w:rPr>
  </w:style>
  <w:style w:type="paragraph" w:customStyle="1" w:styleId="affffffffffffffffff2">
    <w:name w:val="注："/>
    <w:next w:val="affffffffffffff"/>
    <w:qFormat/>
    <w:pPr>
      <w:widowControl w:val="0"/>
      <w:tabs>
        <w:tab w:val="left" w:pos="795"/>
      </w:tabs>
      <w:autoSpaceDE w:val="0"/>
      <w:autoSpaceDN w:val="0"/>
      <w:ind w:left="795" w:hanging="255"/>
      <w:jc w:val="both"/>
    </w:pPr>
    <w:rPr>
      <w:rFonts w:ascii="宋体"/>
      <w:sz w:val="18"/>
    </w:rPr>
  </w:style>
  <w:style w:type="paragraph" w:customStyle="1" w:styleId="xl955">
    <w:name w:val="xl955"/>
    <w:basedOn w:val="a6"/>
    <w:qFormat/>
    <w:pPr>
      <w:widowControl/>
      <w:spacing w:before="100" w:beforeAutospacing="1" w:after="100" w:afterAutospacing="1"/>
      <w:jc w:val="left"/>
    </w:pPr>
    <w:rPr>
      <w:rFonts w:ascii="宋体" w:hAnsi="宋体" w:cs="宋体"/>
      <w:kern w:val="0"/>
      <w:sz w:val="18"/>
      <w:szCs w:val="18"/>
    </w:rPr>
  </w:style>
  <w:style w:type="paragraph" w:customStyle="1" w:styleId="xl211">
    <w:name w:val="xl211"/>
    <w:basedOn w:val="a6"/>
    <w:qFormat/>
    <w:pPr>
      <w:widowControl/>
      <w:pBdr>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4"/>
    </w:rPr>
  </w:style>
  <w:style w:type="paragraph" w:customStyle="1" w:styleId="-10">
    <w:name w:val="编号-列项1级"/>
    <w:basedOn w:val="a6"/>
    <w:qFormat/>
    <w:pPr>
      <w:widowControl/>
      <w:numPr>
        <w:numId w:val="13"/>
      </w:numPr>
      <w:ind w:firstLine="0"/>
      <w:jc w:val="left"/>
    </w:pPr>
    <w:rPr>
      <w:rFonts w:ascii="Arial" w:hAnsi="Arial" w:cs="宋体"/>
      <w:kern w:val="0"/>
      <w:sz w:val="24"/>
    </w:rPr>
  </w:style>
  <w:style w:type="paragraph" w:customStyle="1" w:styleId="Heading4a">
    <w:name w:val="Heading4(a.)"/>
    <w:basedOn w:val="a6"/>
    <w:qFormat/>
    <w:pPr>
      <w:keepLines/>
      <w:widowControl/>
      <w:tabs>
        <w:tab w:val="left" w:pos="1800"/>
      </w:tabs>
      <w:ind w:left="1440"/>
      <w:jc w:val="left"/>
    </w:pPr>
    <w:rPr>
      <w:rFonts w:ascii="Calibri" w:hAnsi="Calibri"/>
      <w:sz w:val="20"/>
      <w:szCs w:val="22"/>
      <w:lang w:eastAsia="en-US"/>
    </w:rPr>
  </w:style>
  <w:style w:type="paragraph" w:customStyle="1" w:styleId="Title2">
    <w:name w:val="Title 2"/>
    <w:basedOn w:val="a6"/>
    <w:qFormat/>
    <w:pPr>
      <w:widowControl/>
      <w:spacing w:after="120"/>
      <w:ind w:left="851" w:hanging="851"/>
      <w:jc w:val="left"/>
    </w:pPr>
    <w:rPr>
      <w:rFonts w:ascii="Arial" w:hAnsi="Arial" w:cs="宋体"/>
      <w:kern w:val="0"/>
      <w:sz w:val="24"/>
      <w:szCs w:val="20"/>
    </w:rPr>
  </w:style>
  <w:style w:type="paragraph" w:customStyle="1" w:styleId="xl134">
    <w:name w:val="xl134"/>
    <w:basedOn w:val="a6"/>
    <w:qFormat/>
    <w:pPr>
      <w:widowControl/>
      <w:pBdr>
        <w:top w:val="double" w:sz="6" w:space="0" w:color="auto"/>
      </w:pBdr>
      <w:spacing w:before="100" w:beforeAutospacing="1" w:after="100" w:afterAutospacing="1" w:line="360" w:lineRule="auto"/>
      <w:jc w:val="left"/>
    </w:pPr>
    <w:rPr>
      <w:rFonts w:ascii="Arial Unicode MS" w:eastAsia="Arial Unicode MS" w:hAnsi="Arial Unicode MS" w:cs="Arial Unicode MS"/>
      <w:kern w:val="0"/>
      <w:sz w:val="24"/>
    </w:rPr>
  </w:style>
  <w:style w:type="paragraph" w:customStyle="1" w:styleId="affffffffffffffffff3">
    <w:name w:val="干法乙炔正文"/>
    <w:basedOn w:val="a6"/>
    <w:qFormat/>
    <w:pPr>
      <w:autoSpaceDE w:val="0"/>
      <w:autoSpaceDN w:val="0"/>
      <w:adjustRightInd w:val="0"/>
      <w:spacing w:line="560" w:lineRule="exact"/>
      <w:ind w:firstLineChars="200" w:firstLine="480"/>
    </w:pPr>
    <w:rPr>
      <w:rFonts w:ascii="宋体" w:hAnsi="宋体"/>
      <w:color w:val="FF0000"/>
      <w:sz w:val="24"/>
    </w:rPr>
  </w:style>
  <w:style w:type="paragraph" w:customStyle="1" w:styleId="2140">
    <w:name w:val="正文文本缩进 214"/>
    <w:basedOn w:val="a6"/>
    <w:qFormat/>
    <w:pPr>
      <w:adjustRightInd w:val="0"/>
      <w:spacing w:line="360" w:lineRule="auto"/>
      <w:ind w:firstLine="510"/>
    </w:pPr>
    <w:rPr>
      <w:rFonts w:ascii="宋体" w:hAnsi="宋体"/>
      <w:sz w:val="28"/>
      <w:szCs w:val="20"/>
    </w:rPr>
  </w:style>
  <w:style w:type="paragraph" w:customStyle="1" w:styleId="xl133">
    <w:name w:val="xl133"/>
    <w:basedOn w:val="a6"/>
    <w:qFormat/>
    <w:pPr>
      <w:widowControl/>
      <w:pBdr>
        <w:top w:val="double" w:sz="6" w:space="0" w:color="auto"/>
        <w:left w:val="single" w:sz="4" w:space="0" w:color="auto"/>
      </w:pBdr>
      <w:spacing w:before="100" w:beforeAutospacing="1" w:after="100" w:afterAutospacing="1" w:line="360" w:lineRule="auto"/>
      <w:jc w:val="center"/>
      <w:textAlignment w:val="center"/>
    </w:pPr>
    <w:rPr>
      <w:rFonts w:ascii="Arial Unicode MS" w:eastAsia="Arial Unicode MS" w:hAnsi="Arial Unicode MS" w:cs="Arial Unicode MS"/>
      <w:kern w:val="0"/>
      <w:sz w:val="20"/>
      <w:szCs w:val="20"/>
    </w:rPr>
  </w:style>
  <w:style w:type="paragraph" w:customStyle="1" w:styleId="xl1061">
    <w:name w:val="xl1061"/>
    <w:basedOn w:val="a6"/>
    <w:qFormat/>
    <w:pPr>
      <w:widowControl/>
      <w:pBdr>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20"/>
      <w:szCs w:val="20"/>
    </w:rPr>
  </w:style>
  <w:style w:type="paragraph" w:customStyle="1" w:styleId="xl215">
    <w:name w:val="xl21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4"/>
    </w:rPr>
  </w:style>
  <w:style w:type="paragraph" w:customStyle="1" w:styleId="affffffffffffffffff4">
    <w:name w:val="勘察正文"/>
    <w:basedOn w:val="a6"/>
    <w:qFormat/>
    <w:pPr>
      <w:widowControl/>
      <w:spacing w:line="480" w:lineRule="exact"/>
      <w:ind w:firstLine="567"/>
      <w:jc w:val="left"/>
    </w:pPr>
    <w:rPr>
      <w:rFonts w:ascii="宋体" w:hAnsi="宋体" w:cs="宋体"/>
      <w:kern w:val="0"/>
      <w:sz w:val="28"/>
      <w:szCs w:val="20"/>
    </w:rPr>
  </w:style>
  <w:style w:type="paragraph" w:customStyle="1" w:styleId="CharCharChar1CharCharCharCharCharCharChar5">
    <w:name w:val="Char Char Char1 Char Char Char Char Char Char Char5"/>
    <w:basedOn w:val="a6"/>
    <w:qFormat/>
    <w:rPr>
      <w:kern w:val="0"/>
      <w:sz w:val="24"/>
      <w:szCs w:val="20"/>
    </w:rPr>
  </w:style>
  <w:style w:type="paragraph" w:customStyle="1" w:styleId="CharCharCharCharCharCharCharCharCharCharCharChar1">
    <w:name w:val="Char Char Char Char Char Char Char Char Char Char Char Char1"/>
    <w:basedOn w:val="a6"/>
    <w:next w:val="a6"/>
    <w:uiPriority w:val="99"/>
    <w:qFormat/>
    <w:pPr>
      <w:spacing w:line="360" w:lineRule="auto"/>
      <w:ind w:firstLineChars="200" w:firstLine="200"/>
    </w:pPr>
    <w:rPr>
      <w:rFonts w:ascii="宋体" w:hAnsi="宋体" w:cs="宋体"/>
      <w:sz w:val="24"/>
    </w:rPr>
  </w:style>
  <w:style w:type="paragraph" w:customStyle="1" w:styleId="affffffffffffffffff5">
    <w:name w:val="表名图名"/>
    <w:basedOn w:val="a6"/>
    <w:qFormat/>
    <w:pPr>
      <w:keepNext/>
      <w:adjustRightInd w:val="0"/>
      <w:spacing w:line="240" w:lineRule="exact"/>
      <w:jc w:val="center"/>
      <w:textAlignment w:val="baseline"/>
    </w:pPr>
    <w:rPr>
      <w:rFonts w:ascii="宋体" w:hAnsi="Times"/>
      <w:b/>
      <w:sz w:val="20"/>
      <w:szCs w:val="21"/>
    </w:rPr>
  </w:style>
  <w:style w:type="paragraph" w:customStyle="1" w:styleId="xl220">
    <w:name w:val="xl220"/>
    <w:basedOn w:val="a6"/>
    <w:qFormat/>
    <w:pPr>
      <w:widowControl/>
      <w:pBdr>
        <w:bottom w:val="single" w:sz="4" w:space="0" w:color="auto"/>
        <w:right w:val="single" w:sz="8" w:space="0" w:color="auto"/>
      </w:pBdr>
      <w:spacing w:before="100" w:beforeAutospacing="1" w:after="100" w:afterAutospacing="1"/>
      <w:jc w:val="left"/>
      <w:textAlignment w:val="center"/>
    </w:pPr>
    <w:rPr>
      <w:rFonts w:ascii="宋体" w:hAnsi="宋体" w:cs="宋体"/>
      <w:kern w:val="0"/>
      <w:sz w:val="24"/>
    </w:rPr>
  </w:style>
  <w:style w:type="paragraph" w:customStyle="1" w:styleId="-43">
    <w:name w:val="编号-正文章条4级标题和3级条(不进目录)"/>
    <w:basedOn w:val="a6"/>
    <w:qFormat/>
    <w:pPr>
      <w:widowControl/>
      <w:numPr>
        <w:ilvl w:val="3"/>
        <w:numId w:val="14"/>
      </w:numPr>
      <w:jc w:val="left"/>
      <w:outlineLvl w:val="3"/>
    </w:pPr>
    <w:rPr>
      <w:rFonts w:ascii="Arial" w:hAnsi="Arial" w:cs="宋体"/>
      <w:kern w:val="0"/>
      <w:sz w:val="24"/>
    </w:rPr>
  </w:style>
  <w:style w:type="paragraph" w:customStyle="1" w:styleId="xl130">
    <w:name w:val="xl130"/>
    <w:basedOn w:val="a6"/>
    <w:qFormat/>
    <w:pPr>
      <w:widowControl/>
      <w:pBdr>
        <w:top w:val="single" w:sz="4" w:space="0" w:color="auto"/>
        <w:left w:val="single" w:sz="4" w:space="0" w:color="auto"/>
        <w:bottom w:val="single" w:sz="4" w:space="0" w:color="auto"/>
      </w:pBdr>
      <w:spacing w:before="100" w:beforeAutospacing="1" w:after="100" w:afterAutospacing="1" w:line="360" w:lineRule="auto"/>
      <w:jc w:val="center"/>
      <w:textAlignment w:val="center"/>
    </w:pPr>
    <w:rPr>
      <w:rFonts w:ascii="Arial Unicode MS" w:eastAsia="Arial Unicode MS" w:hAnsi="Arial Unicode MS" w:cs="Arial Unicode MS"/>
      <w:kern w:val="0"/>
      <w:sz w:val="20"/>
      <w:szCs w:val="20"/>
    </w:rPr>
  </w:style>
  <w:style w:type="paragraph" w:customStyle="1" w:styleId="CM87">
    <w:name w:val="CM87"/>
    <w:basedOn w:val="Default"/>
    <w:next w:val="Default"/>
    <w:qFormat/>
    <w:pPr>
      <w:spacing w:after="263"/>
    </w:pPr>
    <w:rPr>
      <w:rFonts w:eastAsia="Times New Roman"/>
      <w:color w:val="auto"/>
      <w:sz w:val="20"/>
    </w:rPr>
  </w:style>
  <w:style w:type="paragraph" w:customStyle="1" w:styleId="xl1037">
    <w:name w:val="xl1037"/>
    <w:basedOn w:val="a6"/>
    <w:qFormat/>
    <w:pPr>
      <w:widowControl/>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jc w:val="center"/>
    </w:pPr>
    <w:rPr>
      <w:rFonts w:ascii="Arial" w:hAnsi="Arial" w:cs="Arial"/>
      <w:kern w:val="0"/>
      <w:sz w:val="18"/>
      <w:szCs w:val="18"/>
    </w:rPr>
  </w:style>
  <w:style w:type="paragraph" w:customStyle="1" w:styleId="xl212">
    <w:name w:val="xl212"/>
    <w:basedOn w:val="a6"/>
    <w:qFormat/>
    <w:pPr>
      <w:widowControl/>
      <w:pBdr>
        <w:top w:val="single" w:sz="4" w:space="0" w:color="auto"/>
        <w:left w:val="single" w:sz="8" w:space="0" w:color="auto"/>
        <w:bottom w:val="single" w:sz="4" w:space="0" w:color="auto"/>
      </w:pBdr>
      <w:spacing w:before="100" w:beforeAutospacing="1" w:after="100" w:afterAutospacing="1"/>
      <w:jc w:val="left"/>
      <w:textAlignment w:val="center"/>
    </w:pPr>
    <w:rPr>
      <w:rFonts w:ascii="宋体" w:hAnsi="宋体" w:cs="宋体"/>
      <w:kern w:val="0"/>
      <w:sz w:val="24"/>
    </w:rPr>
  </w:style>
  <w:style w:type="paragraph" w:customStyle="1" w:styleId="-1">
    <w:name w:val="编号-正文章条1级标题(进目录)"/>
    <w:basedOn w:val="a6"/>
    <w:qFormat/>
    <w:pPr>
      <w:widowControl/>
      <w:numPr>
        <w:numId w:val="14"/>
      </w:numPr>
      <w:spacing w:beforeLines="50" w:afterLines="50"/>
      <w:jc w:val="left"/>
      <w:outlineLvl w:val="0"/>
    </w:pPr>
    <w:rPr>
      <w:rFonts w:ascii="Arial" w:eastAsia="黑体" w:hAnsi="Arial" w:cs="宋体"/>
      <w:kern w:val="0"/>
      <w:sz w:val="24"/>
    </w:rPr>
  </w:style>
  <w:style w:type="paragraph" w:customStyle="1" w:styleId="xl1024">
    <w:name w:val="xl1024"/>
    <w:basedOn w:val="a6"/>
    <w:qFormat/>
    <w:pPr>
      <w:widowControl/>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left"/>
    </w:pPr>
    <w:rPr>
      <w:rFonts w:ascii="Arial" w:hAnsi="Arial" w:cs="Arial"/>
      <w:b/>
      <w:bCs/>
      <w:kern w:val="0"/>
      <w:sz w:val="18"/>
      <w:szCs w:val="18"/>
    </w:rPr>
  </w:style>
  <w:style w:type="paragraph" w:customStyle="1" w:styleId="-13">
    <w:name w:val="标-1"/>
    <w:basedOn w:val="a6"/>
    <w:qFormat/>
    <w:pPr>
      <w:widowControl/>
      <w:spacing w:before="120"/>
      <w:ind w:left="851" w:hanging="851"/>
      <w:jc w:val="left"/>
    </w:pPr>
    <w:rPr>
      <w:rFonts w:cs="宋体"/>
      <w:b/>
      <w:kern w:val="0"/>
      <w:sz w:val="24"/>
      <w:szCs w:val="20"/>
    </w:rPr>
  </w:style>
  <w:style w:type="paragraph" w:customStyle="1" w:styleId="xl128">
    <w:name w:val="xl128"/>
    <w:basedOn w:val="a6"/>
    <w:qFormat/>
    <w:pPr>
      <w:widowControl/>
      <w:pBdr>
        <w:left w:val="single" w:sz="4" w:space="0" w:color="auto"/>
        <w:right w:val="single" w:sz="4" w:space="0" w:color="auto"/>
      </w:pBdr>
      <w:spacing w:before="100" w:beforeAutospacing="1" w:after="100" w:afterAutospacing="1" w:line="360" w:lineRule="auto"/>
      <w:jc w:val="center"/>
      <w:textAlignment w:val="center"/>
    </w:pPr>
    <w:rPr>
      <w:rFonts w:ascii="Arial Unicode MS" w:eastAsia="Arial Unicode MS" w:hAnsi="Arial Unicode MS" w:cs="Arial Unicode MS"/>
      <w:color w:val="000000"/>
      <w:kern w:val="0"/>
      <w:sz w:val="24"/>
      <w:szCs w:val="21"/>
    </w:rPr>
  </w:style>
  <w:style w:type="paragraph" w:customStyle="1" w:styleId="affffffffffffffffff6">
    <w:name w:val="二级标题"/>
    <w:basedOn w:val="22"/>
    <w:qFormat/>
    <w:pPr>
      <w:tabs>
        <w:tab w:val="left" w:pos="480"/>
        <w:tab w:val="left" w:pos="845"/>
      </w:tabs>
      <w:adjustRightInd w:val="0"/>
      <w:snapToGrid w:val="0"/>
      <w:spacing w:after="40" w:line="324" w:lineRule="auto"/>
      <w:ind w:left="845" w:hanging="425"/>
      <w:jc w:val="left"/>
    </w:pPr>
    <w:rPr>
      <w:rFonts w:eastAsia="方正大标宋简体"/>
      <w:b/>
      <w:spacing w:val="0"/>
      <w:w w:val="100"/>
      <w:kern w:val="2"/>
      <w:sz w:val="30"/>
      <w:szCs w:val="20"/>
    </w:rPr>
  </w:style>
  <w:style w:type="paragraph" w:customStyle="1" w:styleId="08505051">
    <w:name w:val="样式 正文样式 + 首行缩进:  0.85 厘米 段前: 0.5 行 段后: 0.5 行1"/>
    <w:basedOn w:val="a6"/>
    <w:next w:val="a6"/>
    <w:qFormat/>
    <w:pPr>
      <w:spacing w:before="120" w:after="120" w:line="360" w:lineRule="auto"/>
    </w:pPr>
    <w:rPr>
      <w:rFonts w:ascii="Arial" w:hAnsi="Arial"/>
      <w:sz w:val="24"/>
      <w:szCs w:val="20"/>
    </w:rPr>
  </w:style>
  <w:style w:type="paragraph" w:customStyle="1" w:styleId="hp2">
    <w:name w:val="hp2"/>
    <w:basedOn w:val="22"/>
    <w:qFormat/>
    <w:pPr>
      <w:keepNext w:val="0"/>
      <w:keepLines w:val="0"/>
      <w:adjustRightInd w:val="0"/>
      <w:spacing w:before="100" w:beforeAutospacing="1" w:afterLines="50" w:after="100" w:afterAutospacing="1" w:line="520" w:lineRule="exact"/>
      <w:jc w:val="left"/>
      <w:textAlignment w:val="baseline"/>
      <w:outlineLvl w:val="9"/>
    </w:pPr>
    <w:rPr>
      <w:rFonts w:ascii="楷体_GB2312" w:eastAsia="楷体_GB2312"/>
      <w:b/>
      <w:spacing w:val="0"/>
      <w:w w:val="100"/>
      <w:kern w:val="2"/>
      <w:sz w:val="30"/>
      <w:szCs w:val="30"/>
    </w:rPr>
  </w:style>
  <w:style w:type="paragraph" w:customStyle="1" w:styleId="2TimesNewRoman051">
    <w:name w:val="样式 标题 2 + (西文) Times New Roman (中文) 黑体 段前: 0.5 行1"/>
    <w:basedOn w:val="22"/>
    <w:qFormat/>
    <w:pPr>
      <w:keepLines w:val="0"/>
      <w:widowControl/>
      <w:tabs>
        <w:tab w:val="left" w:pos="998"/>
      </w:tabs>
      <w:adjustRightInd w:val="0"/>
      <w:snapToGrid w:val="0"/>
      <w:spacing w:beforeLines="100"/>
      <w:ind w:left="576" w:hanging="576"/>
      <w:jc w:val="left"/>
      <w:textAlignment w:val="center"/>
    </w:pPr>
    <w:rPr>
      <w:rFonts w:cs="宋体"/>
      <w:b/>
      <w:color w:val="000000"/>
      <w:spacing w:val="0"/>
      <w:w w:val="100"/>
      <w:kern w:val="16"/>
      <w:szCs w:val="20"/>
    </w:rPr>
  </w:style>
  <w:style w:type="paragraph" w:customStyle="1" w:styleId="xl216">
    <w:name w:val="xl216"/>
    <w:basedOn w:val="a6"/>
    <w:qFormat/>
    <w:pPr>
      <w:widowControl/>
      <w:pBdr>
        <w:left w:val="single" w:sz="8"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rPr>
  </w:style>
  <w:style w:type="paragraph" w:customStyle="1" w:styleId="Char110">
    <w:name w:val="Char11"/>
    <w:basedOn w:val="a6"/>
    <w:qFormat/>
    <w:rPr>
      <w:color w:val="000000"/>
      <w:w w:val="110"/>
      <w:kern w:val="0"/>
      <w:sz w:val="24"/>
    </w:rPr>
  </w:style>
  <w:style w:type="paragraph" w:customStyle="1" w:styleId="119">
    <w:name w:val="索引 11"/>
    <w:basedOn w:val="a6"/>
    <w:next w:val="a6"/>
    <w:qFormat/>
    <w:pPr>
      <w:widowControl/>
      <w:snapToGrid w:val="0"/>
      <w:ind w:leftChars="-25" w:left="-53" w:right="-1"/>
      <w:jc w:val="center"/>
    </w:pPr>
    <w:rPr>
      <w:kern w:val="0"/>
      <w:szCs w:val="21"/>
    </w:rPr>
  </w:style>
  <w:style w:type="paragraph" w:customStyle="1" w:styleId="216">
    <w:name w:val="列表编号 21"/>
    <w:basedOn w:val="a6"/>
    <w:qFormat/>
    <w:pPr>
      <w:tabs>
        <w:tab w:val="left" w:pos="360"/>
      </w:tabs>
      <w:ind w:left="360" w:hanging="360"/>
    </w:pPr>
    <w:rPr>
      <w:szCs w:val="20"/>
    </w:rPr>
  </w:style>
  <w:style w:type="paragraph" w:customStyle="1" w:styleId="xl125">
    <w:name w:val="xl125"/>
    <w:basedOn w:val="a6"/>
    <w:qFormat/>
    <w:pPr>
      <w:widowControl/>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Unicode MS" w:eastAsia="Arial Unicode MS" w:hAnsi="Arial Unicode MS" w:cs="Arial Unicode MS"/>
      <w:kern w:val="0"/>
      <w:sz w:val="20"/>
      <w:szCs w:val="20"/>
    </w:rPr>
  </w:style>
  <w:style w:type="paragraph" w:customStyle="1" w:styleId="CharCharCharCharCharCharCharCharCharCharCharChar11">
    <w:name w:val="Char Char Char Char Char Char Char Char Char Char Char Char11"/>
    <w:basedOn w:val="a6"/>
    <w:next w:val="a6"/>
    <w:qFormat/>
    <w:pPr>
      <w:spacing w:line="360" w:lineRule="auto"/>
      <w:ind w:firstLineChars="200" w:firstLine="200"/>
    </w:pPr>
    <w:rPr>
      <w:rFonts w:ascii="宋体" w:hAnsi="宋体" w:cs="宋体"/>
      <w:sz w:val="24"/>
    </w:rPr>
  </w:style>
  <w:style w:type="paragraph" w:customStyle="1" w:styleId="313">
    <w:name w:val="列表编号 31"/>
    <w:basedOn w:val="a6"/>
    <w:qFormat/>
    <w:pPr>
      <w:tabs>
        <w:tab w:val="left" w:pos="960"/>
      </w:tabs>
      <w:ind w:left="960" w:hanging="450"/>
    </w:pPr>
    <w:rPr>
      <w:szCs w:val="20"/>
    </w:rPr>
  </w:style>
  <w:style w:type="paragraph" w:customStyle="1" w:styleId="68">
    <w:name w:val="样式 标题 6二级项 + 非加粗"/>
    <w:basedOn w:val="6"/>
    <w:qFormat/>
    <w:pPr>
      <w:tabs>
        <w:tab w:val="clear" w:pos="1185"/>
        <w:tab w:val="left" w:pos="360"/>
      </w:tabs>
      <w:spacing w:beforeLines="0" w:before="240" w:after="64" w:line="320" w:lineRule="auto"/>
      <w:ind w:left="227" w:hanging="227"/>
    </w:pPr>
    <w:rPr>
      <w:rFonts w:ascii="Arial" w:hAnsi="Arial"/>
      <w:spacing w:val="0"/>
      <w:w w:val="100"/>
      <w:sz w:val="24"/>
      <w:szCs w:val="24"/>
    </w:rPr>
  </w:style>
  <w:style w:type="paragraph" w:customStyle="1" w:styleId="xl124">
    <w:name w:val="xl124"/>
    <w:basedOn w:val="a6"/>
    <w:qFormat/>
    <w:pPr>
      <w:widowControl/>
      <w:pBdr>
        <w:top w:val="single" w:sz="4" w:space="0" w:color="auto"/>
        <w:left w:val="single" w:sz="4" w:space="0" w:color="auto"/>
        <w:bottom w:val="single" w:sz="4" w:space="0" w:color="auto"/>
      </w:pBdr>
      <w:spacing w:before="100" w:beforeAutospacing="1" w:after="100" w:afterAutospacing="1" w:line="360" w:lineRule="auto"/>
      <w:jc w:val="center"/>
      <w:textAlignment w:val="center"/>
    </w:pPr>
    <w:rPr>
      <w:rFonts w:ascii="Arial Unicode MS" w:eastAsia="Arial Unicode MS" w:hAnsi="Arial Unicode MS" w:cs="Arial Unicode MS"/>
      <w:kern w:val="0"/>
      <w:sz w:val="20"/>
      <w:szCs w:val="20"/>
    </w:rPr>
  </w:style>
  <w:style w:type="paragraph" w:customStyle="1" w:styleId="xl28">
    <w:name w:val="xl28"/>
    <w:basedOn w:val="a6"/>
    <w:qFormat/>
    <w:pPr>
      <w:widowControl/>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18"/>
      <w:szCs w:val="18"/>
    </w:rPr>
  </w:style>
  <w:style w:type="paragraph" w:customStyle="1" w:styleId="ZchnZchnCharCharZchnZchn2">
    <w:name w:val="Zchn Zchn Char Char Zchn Zchn2"/>
    <w:basedOn w:val="a6"/>
    <w:qFormat/>
    <w:pPr>
      <w:tabs>
        <w:tab w:val="left" w:pos="492"/>
      </w:tabs>
      <w:ind w:left="492" w:hanging="132"/>
    </w:pPr>
    <w:rPr>
      <w:rFonts w:ascii="Tahoma" w:eastAsia="楷体_GB2312" w:hAnsi="Tahoma"/>
      <w:color w:val="000000"/>
      <w:spacing w:val="10"/>
      <w:w w:val="110"/>
      <w:kern w:val="0"/>
      <w:sz w:val="24"/>
      <w:szCs w:val="20"/>
    </w:rPr>
  </w:style>
  <w:style w:type="paragraph" w:customStyle="1" w:styleId="CharCharCharCharCharCharCharCharChar6">
    <w:name w:val="Char Char Char Char Char Char Char Char Char6"/>
    <w:basedOn w:val="a6"/>
    <w:qFormat/>
    <w:rPr>
      <w:szCs w:val="21"/>
    </w:rPr>
  </w:style>
  <w:style w:type="paragraph" w:customStyle="1" w:styleId="xl1065">
    <w:name w:val="xl1065"/>
    <w:basedOn w:val="a6"/>
    <w:qFormat/>
    <w:pPr>
      <w:widowControl/>
      <w:pBdr>
        <w:top w:val="single" w:sz="8" w:space="0" w:color="FFFF00"/>
        <w:left w:val="single" w:sz="4" w:space="0" w:color="auto"/>
        <w:bottom w:val="single" w:sz="8" w:space="0" w:color="FFFF00"/>
        <w:right w:val="single" w:sz="4" w:space="0" w:color="auto"/>
      </w:pBdr>
      <w:shd w:val="clear" w:color="000000" w:fill="0070C0"/>
      <w:spacing w:before="100" w:beforeAutospacing="1" w:after="100" w:afterAutospacing="1"/>
      <w:jc w:val="center"/>
    </w:pPr>
    <w:rPr>
      <w:rFonts w:ascii="Arial" w:hAnsi="Arial" w:cs="Arial"/>
      <w:kern w:val="0"/>
      <w:sz w:val="18"/>
      <w:szCs w:val="18"/>
    </w:rPr>
  </w:style>
  <w:style w:type="paragraph" w:customStyle="1" w:styleId="xl213">
    <w:name w:val="xl213"/>
    <w:basedOn w:val="a6"/>
    <w:qFormat/>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rPr>
  </w:style>
  <w:style w:type="paragraph" w:customStyle="1" w:styleId="TableBody">
    <w:name w:val="Table Body"/>
    <w:basedOn w:val="a6"/>
    <w:qFormat/>
    <w:pPr>
      <w:widowControl/>
      <w:spacing w:before="80" w:after="80"/>
      <w:jc w:val="left"/>
    </w:pPr>
    <w:rPr>
      <w:rFonts w:ascii="Arial" w:eastAsia="MS Mincho" w:hAnsi="Arial" w:cs="宋体"/>
      <w:kern w:val="0"/>
      <w:sz w:val="18"/>
      <w:szCs w:val="20"/>
      <w:lang w:eastAsia="ja-JP"/>
    </w:rPr>
  </w:style>
  <w:style w:type="paragraph" w:customStyle="1" w:styleId="Byline">
    <w:name w:val="Byline"/>
    <w:basedOn w:val="af8"/>
    <w:qFormat/>
    <w:pPr>
      <w:widowControl/>
      <w:spacing w:after="0" w:line="360" w:lineRule="auto"/>
      <w:jc w:val="left"/>
    </w:pPr>
    <w:rPr>
      <w:rFonts w:ascii="Arial" w:hAnsi="Arial" w:cs="宋体"/>
      <w:kern w:val="0"/>
      <w:sz w:val="24"/>
      <w:szCs w:val="20"/>
    </w:rPr>
  </w:style>
  <w:style w:type="paragraph" w:customStyle="1" w:styleId="777777777CharCharCharChar">
    <w:name w:val="777777777 Char Char Char Char"/>
    <w:basedOn w:val="a6"/>
    <w:qFormat/>
    <w:pPr>
      <w:widowControl/>
      <w:spacing w:line="400" w:lineRule="exact"/>
      <w:ind w:firstLineChars="200" w:firstLine="560"/>
      <w:jc w:val="left"/>
    </w:pPr>
    <w:rPr>
      <w:rFonts w:ascii="宋体" w:hAnsi="宋体" w:cs="宋体"/>
      <w:kern w:val="0"/>
      <w:sz w:val="28"/>
      <w:szCs w:val="20"/>
    </w:rPr>
  </w:style>
  <w:style w:type="paragraph" w:customStyle="1" w:styleId="-8">
    <w:name w:val="标-8"/>
    <w:qFormat/>
    <w:pPr>
      <w:numPr>
        <w:numId w:val="15"/>
      </w:numPr>
      <w:ind w:left="2126"/>
    </w:pPr>
    <w:rPr>
      <w:rFonts w:cs="宋体"/>
    </w:rPr>
  </w:style>
  <w:style w:type="paragraph" w:customStyle="1" w:styleId="-70">
    <w:name w:val="标-7"/>
    <w:basedOn w:val="a6"/>
    <w:qFormat/>
    <w:pPr>
      <w:tabs>
        <w:tab w:val="left" w:pos="420"/>
      </w:tabs>
      <w:spacing w:before="120"/>
      <w:ind w:left="1701" w:hanging="425"/>
    </w:pPr>
    <w:rPr>
      <w:sz w:val="24"/>
      <w:szCs w:val="20"/>
    </w:rPr>
  </w:style>
  <w:style w:type="paragraph" w:customStyle="1" w:styleId="CharChar3CharCharCharChar2">
    <w:name w:val="Char Char3 Char Char Char Char2"/>
    <w:basedOn w:val="a6"/>
    <w:qFormat/>
    <w:pPr>
      <w:widowControl/>
      <w:spacing w:after="160" w:line="240" w:lineRule="exact"/>
      <w:jc w:val="left"/>
    </w:pPr>
    <w:rPr>
      <w:rFonts w:ascii="Verdana" w:hAnsi="Verdana" w:cs="Verdana"/>
      <w:kern w:val="0"/>
      <w:sz w:val="20"/>
      <w:lang w:eastAsia="en-US"/>
    </w:rPr>
  </w:style>
  <w:style w:type="paragraph" w:customStyle="1" w:styleId="affffffffffffffffff7">
    <w:name w:val="表格文字－小四"/>
    <w:basedOn w:val="a6"/>
    <w:qFormat/>
    <w:pPr>
      <w:widowControl/>
      <w:adjustRightInd w:val="0"/>
      <w:snapToGrid w:val="0"/>
      <w:spacing w:line="360" w:lineRule="auto"/>
      <w:jc w:val="left"/>
    </w:pPr>
    <w:rPr>
      <w:rFonts w:cs="宋体"/>
      <w:kern w:val="0"/>
      <w:sz w:val="24"/>
    </w:rPr>
  </w:style>
  <w:style w:type="paragraph" w:customStyle="1" w:styleId="2H211lxb211h2Char">
    <w:name w:val="样式 标题 2节H2节标题 1.1二级标题标题 lxb21.1h2第一层条二级标题 Char表标题单位名..."/>
    <w:basedOn w:val="22"/>
    <w:qFormat/>
    <w:rPr>
      <w:rFonts w:ascii="黑体" w:hAnsi="黑体" w:cs="宋体"/>
      <w:color w:val="000000"/>
      <w:spacing w:val="0"/>
      <w:w w:val="100"/>
      <w:kern w:val="2"/>
      <w:szCs w:val="20"/>
    </w:rPr>
  </w:style>
  <w:style w:type="paragraph" w:customStyle="1" w:styleId="CharChar211">
    <w:name w:val="Char Char211"/>
    <w:basedOn w:val="a6"/>
    <w:qFormat/>
    <w:rPr>
      <w:szCs w:val="20"/>
    </w:rPr>
  </w:style>
  <w:style w:type="paragraph" w:customStyle="1" w:styleId="xl960">
    <w:name w:val="xl960"/>
    <w:basedOn w:val="a6"/>
    <w:qFormat/>
    <w:pPr>
      <w:widowControl/>
      <w:spacing w:before="100" w:beforeAutospacing="1" w:after="100" w:afterAutospacing="1"/>
      <w:jc w:val="left"/>
    </w:pPr>
    <w:rPr>
      <w:rFonts w:ascii="宋体" w:hAnsi="宋体" w:cs="宋体"/>
      <w:kern w:val="0"/>
      <w:sz w:val="18"/>
      <w:szCs w:val="18"/>
    </w:rPr>
  </w:style>
  <w:style w:type="paragraph" w:customStyle="1" w:styleId="xl114">
    <w:name w:val="xl11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kern w:val="0"/>
      <w:sz w:val="20"/>
      <w:szCs w:val="20"/>
    </w:rPr>
  </w:style>
  <w:style w:type="paragraph" w:customStyle="1" w:styleId="pl">
    <w:name w:val="pl表格后"/>
    <w:basedOn w:val="a6"/>
    <w:qFormat/>
    <w:pPr>
      <w:widowControl/>
      <w:adjustRightInd w:val="0"/>
      <w:snapToGrid w:val="0"/>
      <w:ind w:firstLineChars="200" w:firstLine="560"/>
      <w:jc w:val="left"/>
    </w:pPr>
    <w:rPr>
      <w:rFonts w:ascii="宋体" w:hAnsi="宋体" w:cs="宋体"/>
      <w:kern w:val="0"/>
      <w:sz w:val="28"/>
    </w:rPr>
  </w:style>
  <w:style w:type="paragraph" w:customStyle="1" w:styleId="c">
    <w:name w:val="c_"/>
    <w:qFormat/>
    <w:pPr>
      <w:widowControl w:val="0"/>
      <w:autoSpaceDE w:val="0"/>
      <w:autoSpaceDN w:val="0"/>
      <w:adjustRightInd w:val="0"/>
      <w:jc w:val="both"/>
    </w:pPr>
    <w:rPr>
      <w:rFonts w:ascii="五" w:eastAsia="五"/>
      <w:sz w:val="24"/>
    </w:rPr>
  </w:style>
  <w:style w:type="paragraph" w:customStyle="1" w:styleId="Charffffffffff4">
    <w:name w:val="小标 Char"/>
    <w:basedOn w:val="afc"/>
    <w:qFormat/>
    <w:pPr>
      <w:spacing w:line="240" w:lineRule="auto"/>
      <w:ind w:firstLineChars="0" w:firstLine="0"/>
    </w:pPr>
    <w:rPr>
      <w:rFonts w:eastAsia="宋体" w:cs="仿宋_GB2312"/>
      <w:color w:val="auto"/>
      <w:spacing w:val="0"/>
      <w:kern w:val="0"/>
      <w:sz w:val="20"/>
    </w:rPr>
  </w:style>
  <w:style w:type="paragraph" w:customStyle="1" w:styleId="xl1016">
    <w:name w:val="xl1016"/>
    <w:basedOn w:val="a6"/>
    <w:qFormat/>
    <w:pPr>
      <w:widowControl/>
      <w:pBdr>
        <w:top w:val="single" w:sz="4" w:space="0" w:color="auto"/>
        <w:right w:val="single" w:sz="4" w:space="0" w:color="auto"/>
      </w:pBdr>
      <w:spacing w:before="100" w:beforeAutospacing="1" w:after="100" w:afterAutospacing="1"/>
      <w:jc w:val="center"/>
    </w:pPr>
    <w:rPr>
      <w:rFonts w:ascii="Arial" w:hAnsi="Arial" w:cs="Arial"/>
      <w:kern w:val="0"/>
      <w:sz w:val="18"/>
      <w:szCs w:val="18"/>
    </w:rPr>
  </w:style>
  <w:style w:type="paragraph" w:customStyle="1" w:styleId="Bullet">
    <w:name w:val="Bullet"/>
    <w:basedOn w:val="a6"/>
    <w:next w:val="a6"/>
    <w:qFormat/>
    <w:pPr>
      <w:widowControl/>
      <w:suppressLineNumbers/>
      <w:tabs>
        <w:tab w:val="left" w:pos="840"/>
      </w:tabs>
      <w:suppressAutoHyphens/>
      <w:spacing w:after="240"/>
      <w:ind w:left="720" w:hanging="360"/>
    </w:pPr>
    <w:rPr>
      <w:kern w:val="0"/>
      <w:sz w:val="23"/>
      <w:szCs w:val="20"/>
      <w:lang w:eastAsia="en-US"/>
    </w:rPr>
  </w:style>
  <w:style w:type="paragraph" w:customStyle="1" w:styleId="pl0">
    <w:name w:val="pl标题"/>
    <w:basedOn w:val="33"/>
    <w:qFormat/>
    <w:pPr>
      <w:keepNext w:val="0"/>
      <w:widowControl/>
      <w:tabs>
        <w:tab w:val="left" w:pos="720"/>
      </w:tabs>
      <w:adjustRightInd w:val="0"/>
      <w:snapToGrid w:val="0"/>
      <w:spacing w:line="360" w:lineRule="auto"/>
      <w:jc w:val="left"/>
    </w:pPr>
    <w:rPr>
      <w:rFonts w:ascii="Calibri" w:eastAsia="宋体" w:hAnsi="Calibri"/>
      <w:b/>
      <w:bCs/>
      <w:spacing w:val="0"/>
      <w:szCs w:val="24"/>
    </w:rPr>
  </w:style>
  <w:style w:type="paragraph" w:customStyle="1" w:styleId="HeaderBase">
    <w:name w:val="Header Base"/>
    <w:basedOn w:val="a6"/>
    <w:qFormat/>
    <w:pPr>
      <w:widowControl/>
      <w:spacing w:line="360" w:lineRule="auto"/>
      <w:ind w:right="-360"/>
      <w:jc w:val="left"/>
    </w:pPr>
    <w:rPr>
      <w:rFonts w:cs="宋体"/>
      <w:kern w:val="0"/>
      <w:sz w:val="20"/>
      <w:szCs w:val="20"/>
    </w:rPr>
  </w:style>
  <w:style w:type="paragraph" w:customStyle="1" w:styleId="affffffffffffffffff8">
    <w:name w:val="自定义正文"/>
    <w:basedOn w:val="a6"/>
    <w:uiPriority w:val="99"/>
    <w:qFormat/>
    <w:pPr>
      <w:adjustRightInd w:val="0"/>
      <w:spacing w:line="360" w:lineRule="auto"/>
      <w:ind w:firstLine="560"/>
    </w:pPr>
    <w:rPr>
      <w:kern w:val="0"/>
      <w:sz w:val="28"/>
      <w:szCs w:val="20"/>
    </w:rPr>
  </w:style>
  <w:style w:type="paragraph" w:customStyle="1" w:styleId="550">
    <w:name w:val="样式55"/>
    <w:basedOn w:val="a6"/>
    <w:qFormat/>
    <w:pPr>
      <w:widowControl/>
      <w:ind w:firstLineChars="200" w:firstLine="562"/>
      <w:jc w:val="left"/>
    </w:pPr>
    <w:rPr>
      <w:rFonts w:ascii="宋体" w:hAnsi="宋体" w:cs="宋体"/>
      <w:b/>
      <w:kern w:val="0"/>
      <w:sz w:val="28"/>
      <w:szCs w:val="20"/>
    </w:rPr>
  </w:style>
  <w:style w:type="paragraph" w:customStyle="1" w:styleId="0020">
    <w:name w:val="标题002"/>
    <w:basedOn w:val="22"/>
    <w:qFormat/>
    <w:rPr>
      <w:rFonts w:eastAsia="Times New Roman"/>
      <w:bCs w:val="0"/>
      <w:spacing w:val="0"/>
      <w:w w:val="100"/>
      <w:kern w:val="2"/>
      <w:szCs w:val="20"/>
    </w:rPr>
  </w:style>
  <w:style w:type="paragraph" w:customStyle="1" w:styleId="3H3BHead3Char111h33rdlevelReH">
    <w:name w:val="样式 标题 3H3B Head标题 3 Char条标题1.1.1三级标题h33rd level第二层条ReH..."/>
    <w:basedOn w:val="33"/>
    <w:qFormat/>
    <w:pPr>
      <w:keepNext w:val="0"/>
      <w:keepLines w:val="0"/>
      <w:adjustRightInd w:val="0"/>
      <w:spacing w:line="500" w:lineRule="exact"/>
    </w:pPr>
    <w:rPr>
      <w:rFonts w:ascii="楷体_GB2312" w:eastAsia="楷体_GB2312" w:hAnsi="楷体_GB2312" w:cs="楷体_GB2312"/>
      <w:b/>
      <w:spacing w:val="0"/>
      <w:szCs w:val="28"/>
    </w:rPr>
  </w:style>
  <w:style w:type="paragraph" w:customStyle="1" w:styleId="CharChar3CharCharCharChar">
    <w:name w:val="Char Char3 Char Char Char Char"/>
    <w:basedOn w:val="a6"/>
    <w:qFormat/>
    <w:pPr>
      <w:widowControl/>
      <w:spacing w:after="160" w:line="240" w:lineRule="exact"/>
      <w:jc w:val="left"/>
    </w:pPr>
    <w:rPr>
      <w:rFonts w:ascii="Verdana" w:hAnsi="Verdana" w:cs="宋体"/>
      <w:kern w:val="0"/>
      <w:sz w:val="20"/>
      <w:lang w:eastAsia="en-US"/>
    </w:rPr>
  </w:style>
  <w:style w:type="paragraph" w:customStyle="1" w:styleId="xl123">
    <w:name w:val="xl123"/>
    <w:basedOn w:val="a6"/>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a30">
    <w:name w:val="a3"/>
    <w:basedOn w:val="a6"/>
    <w:qFormat/>
    <w:pPr>
      <w:widowControl/>
      <w:spacing w:before="100" w:beforeAutospacing="1" w:after="100" w:afterAutospacing="1"/>
      <w:jc w:val="left"/>
    </w:pPr>
    <w:rPr>
      <w:rFonts w:ascii="宋体" w:hAnsi="宋体" w:cs="宋体"/>
      <w:color w:val="000000"/>
      <w:kern w:val="0"/>
      <w:sz w:val="24"/>
    </w:rPr>
  </w:style>
  <w:style w:type="paragraph" w:customStyle="1" w:styleId="reader-word-layerreader-word-s3-28">
    <w:name w:val="reader-word-layer reader-word-s3-28"/>
    <w:basedOn w:val="a6"/>
    <w:qFormat/>
    <w:pPr>
      <w:widowControl/>
      <w:spacing w:before="100" w:beforeAutospacing="1" w:after="100" w:afterAutospacing="1"/>
      <w:jc w:val="left"/>
    </w:pPr>
    <w:rPr>
      <w:rFonts w:ascii="宋体" w:hAnsi="宋体" w:cs="宋体"/>
      <w:kern w:val="0"/>
      <w:sz w:val="24"/>
    </w:rPr>
  </w:style>
  <w:style w:type="paragraph" w:customStyle="1" w:styleId="affffffffffffffffff9">
    <w:name w:val="地方"/>
    <w:basedOn w:val="a6"/>
    <w:qFormat/>
    <w:pPr>
      <w:widowControl/>
      <w:spacing w:line="360" w:lineRule="auto"/>
      <w:jc w:val="left"/>
    </w:pPr>
    <w:rPr>
      <w:rFonts w:ascii="宋体" w:hAnsi="宋体" w:cs="宋体"/>
      <w:b/>
      <w:kern w:val="0"/>
      <w:sz w:val="24"/>
    </w:rPr>
  </w:style>
  <w:style w:type="paragraph" w:customStyle="1" w:styleId="xl121">
    <w:name w:val="xl121"/>
    <w:basedOn w:val="a6"/>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1fffe">
    <w:name w:val="日期1"/>
    <w:basedOn w:val="a6"/>
    <w:next w:val="a6"/>
    <w:qFormat/>
    <w:pPr>
      <w:adjustRightInd w:val="0"/>
      <w:spacing w:line="360" w:lineRule="atLeast"/>
      <w:textAlignment w:val="baseline"/>
    </w:pPr>
    <w:rPr>
      <w:rFonts w:ascii="宋体"/>
      <w:kern w:val="0"/>
      <w:sz w:val="28"/>
      <w:szCs w:val="20"/>
    </w:rPr>
  </w:style>
  <w:style w:type="paragraph" w:customStyle="1" w:styleId="xl217">
    <w:name w:val="xl217"/>
    <w:basedOn w:val="a6"/>
    <w:qFormat/>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rPr>
  </w:style>
  <w:style w:type="paragraph" w:customStyle="1" w:styleId="APMingLiUChar">
    <w:name w:val="样式 正文A + (中文) PMingLiU Char"/>
    <w:basedOn w:val="a6"/>
    <w:qFormat/>
    <w:pPr>
      <w:widowControl/>
      <w:spacing w:line="480" w:lineRule="auto"/>
      <w:ind w:firstLineChars="200" w:firstLine="200"/>
      <w:jc w:val="left"/>
    </w:pPr>
    <w:rPr>
      <w:rFonts w:cs="宋体"/>
      <w:kern w:val="0"/>
      <w:sz w:val="24"/>
    </w:rPr>
  </w:style>
  <w:style w:type="paragraph" w:customStyle="1" w:styleId="xl119">
    <w:name w:val="xl119"/>
    <w:basedOn w:val="a6"/>
    <w:qFormat/>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2CharChar8">
    <w:name w:val="样式2 Char Char"/>
    <w:basedOn w:val="a6"/>
    <w:qFormat/>
    <w:pPr>
      <w:tabs>
        <w:tab w:val="decimal" w:pos="0"/>
      </w:tabs>
      <w:jc w:val="center"/>
    </w:pPr>
    <w:rPr>
      <w:rFonts w:ascii="宋体" w:hAnsi="宋体" w:cs="Arial"/>
      <w:color w:val="000000"/>
      <w:w w:val="80"/>
      <w:sz w:val="24"/>
      <w:szCs w:val="18"/>
    </w:rPr>
  </w:style>
  <w:style w:type="paragraph" w:customStyle="1" w:styleId="02135">
    <w:name w:val="样式 四号 非加粗 加宽量  0.2 磅 行距: 多倍行距 1.35 字行"/>
    <w:basedOn w:val="a6"/>
    <w:qFormat/>
    <w:pPr>
      <w:spacing w:line="324" w:lineRule="auto"/>
      <w:ind w:firstLineChars="200" w:firstLine="576"/>
    </w:pPr>
    <w:rPr>
      <w:spacing w:val="4"/>
      <w:sz w:val="28"/>
      <w:szCs w:val="20"/>
    </w:rPr>
  </w:style>
  <w:style w:type="paragraph" w:customStyle="1" w:styleId="q4">
    <w:name w:val="q4"/>
    <w:basedOn w:val="a6"/>
    <w:qFormat/>
    <w:pPr>
      <w:keepNext/>
      <w:keepLines/>
      <w:widowControl/>
      <w:tabs>
        <w:tab w:val="left" w:pos="851"/>
      </w:tabs>
      <w:adjustRightInd w:val="0"/>
      <w:spacing w:before="120" w:after="120" w:line="300" w:lineRule="exact"/>
      <w:ind w:firstLine="510"/>
      <w:jc w:val="left"/>
      <w:textAlignment w:val="baseline"/>
    </w:pPr>
    <w:rPr>
      <w:rFonts w:ascii="Arial" w:hAnsi="Arial" w:cs="宋体"/>
      <w:b/>
      <w:color w:val="000000"/>
      <w:kern w:val="44"/>
      <w:sz w:val="24"/>
      <w:szCs w:val="20"/>
    </w:rPr>
  </w:style>
  <w:style w:type="paragraph" w:customStyle="1" w:styleId="1ffff">
    <w:name w:val="表格文字 1"/>
    <w:basedOn w:val="a6"/>
    <w:qFormat/>
    <w:pPr>
      <w:widowControl/>
      <w:adjustRightInd w:val="0"/>
      <w:snapToGrid w:val="0"/>
      <w:jc w:val="center"/>
    </w:pPr>
    <w:rPr>
      <w:rFonts w:cs="宋体"/>
      <w:kern w:val="0"/>
      <w:sz w:val="24"/>
      <w:szCs w:val="21"/>
    </w:rPr>
  </w:style>
  <w:style w:type="paragraph" w:customStyle="1" w:styleId="440">
    <w:name w:val="标题44"/>
    <w:basedOn w:val="a6"/>
    <w:qFormat/>
    <w:pPr>
      <w:spacing w:line="360" w:lineRule="auto"/>
      <w:outlineLvl w:val="0"/>
    </w:pPr>
    <w:rPr>
      <w:sz w:val="24"/>
      <w:szCs w:val="32"/>
    </w:rPr>
  </w:style>
  <w:style w:type="paragraph" w:customStyle="1" w:styleId="chn">
    <w:name w:val="chn中文正文"/>
    <w:qFormat/>
    <w:pPr>
      <w:spacing w:beforeLines="50" w:afterLines="50" w:line="300" w:lineRule="auto"/>
      <w:ind w:firstLineChars="200" w:firstLine="480"/>
    </w:pPr>
    <w:rPr>
      <w:sz w:val="24"/>
    </w:rPr>
  </w:style>
  <w:style w:type="paragraph" w:customStyle="1" w:styleId="affffffffffffffffffa">
    <w:name w:val="作者"/>
    <w:basedOn w:val="a6"/>
    <w:qFormat/>
    <w:pPr>
      <w:overflowPunct w:val="0"/>
      <w:topLinePunct/>
      <w:adjustRightInd w:val="0"/>
      <w:snapToGrid w:val="0"/>
      <w:spacing w:line="300" w:lineRule="auto"/>
      <w:jc w:val="center"/>
      <w:textAlignment w:val="center"/>
    </w:pPr>
    <w:rPr>
      <w:rFonts w:eastAsia="楷体_GB2312"/>
      <w:snapToGrid w:val="0"/>
      <w:sz w:val="28"/>
      <w:szCs w:val="28"/>
    </w:rPr>
  </w:style>
  <w:style w:type="paragraph" w:customStyle="1" w:styleId="314">
    <w:name w:val="日期31"/>
    <w:basedOn w:val="a6"/>
    <w:next w:val="a6"/>
    <w:qFormat/>
    <w:pPr>
      <w:adjustRightInd w:val="0"/>
      <w:jc w:val="left"/>
    </w:pPr>
    <w:rPr>
      <w:rFonts w:ascii="宋体" w:hint="eastAsia"/>
      <w:spacing w:val="24"/>
      <w:kern w:val="24"/>
      <w:sz w:val="24"/>
      <w:szCs w:val="20"/>
    </w:rPr>
  </w:style>
  <w:style w:type="paragraph" w:customStyle="1" w:styleId="1000505">
    <w:name w:val="样式 标题 1 + 左侧:  0 厘米 首行缩进:  0 厘米 段前: 0.5 行 段后: 0.5 行"/>
    <w:basedOn w:val="12"/>
    <w:qFormat/>
    <w:pPr>
      <w:keepNext w:val="0"/>
      <w:keepLines w:val="0"/>
      <w:tabs>
        <w:tab w:val="left" w:pos="0"/>
      </w:tabs>
      <w:adjustRightInd w:val="0"/>
      <w:snapToGrid w:val="0"/>
      <w:spacing w:before="100" w:beforeAutospacing="1" w:after="100" w:afterAutospacing="1" w:line="324" w:lineRule="auto"/>
      <w:jc w:val="left"/>
    </w:pPr>
    <w:rPr>
      <w:rFonts w:hAnsi="黑体"/>
      <w:b w:val="0"/>
      <w:spacing w:val="8"/>
      <w:kern w:val="2"/>
      <w:sz w:val="32"/>
      <w:szCs w:val="20"/>
    </w:rPr>
  </w:style>
  <w:style w:type="paragraph" w:customStyle="1" w:styleId="2fff6">
    <w:name w:val="正文(首行缩进两字2)"/>
    <w:basedOn w:val="a6"/>
    <w:qFormat/>
    <w:pPr>
      <w:spacing w:line="480" w:lineRule="exact"/>
      <w:ind w:rightChars="-6" w:right="-13" w:firstLineChars="200" w:firstLine="560"/>
    </w:pPr>
    <w:rPr>
      <w:rFonts w:ascii="Calibri" w:eastAsia="仿宋_GB2312" w:hAnsi="Calibri"/>
      <w:color w:val="000000"/>
      <w:w w:val="110"/>
      <w:kern w:val="0"/>
      <w:sz w:val="28"/>
      <w:szCs w:val="20"/>
    </w:rPr>
  </w:style>
  <w:style w:type="paragraph" w:customStyle="1" w:styleId="CharCharCharChar10">
    <w:name w:val="Char Char Char Char1"/>
    <w:basedOn w:val="a6"/>
    <w:qFormat/>
    <w:rPr>
      <w:color w:val="000000"/>
      <w:w w:val="110"/>
      <w:kern w:val="0"/>
      <w:sz w:val="24"/>
    </w:rPr>
  </w:style>
  <w:style w:type="paragraph" w:customStyle="1" w:styleId="21222">
    <w:name w:val="样式 样式 样式 样式 首行缩进:  2 字符1 + 首行缩进:  2 字符 + 首行缩进:  2 字符 + 首行缩进:  2 ..."/>
    <w:basedOn w:val="a6"/>
    <w:qFormat/>
    <w:pPr>
      <w:ind w:firstLineChars="200" w:firstLine="500"/>
    </w:pPr>
    <w:rPr>
      <w:sz w:val="24"/>
      <w:szCs w:val="20"/>
    </w:rPr>
  </w:style>
  <w:style w:type="paragraph" w:customStyle="1" w:styleId="xl983">
    <w:name w:val="xl983"/>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ffffffffffffffffffb">
    <w:name w:val="表里"/>
    <w:basedOn w:val="a6"/>
    <w:qFormat/>
    <w:pPr>
      <w:keepNext/>
      <w:widowControl/>
      <w:adjustRightInd w:val="0"/>
      <w:snapToGrid w:val="0"/>
      <w:spacing w:line="300" w:lineRule="auto"/>
      <w:jc w:val="center"/>
      <w:outlineLvl w:val="8"/>
    </w:pPr>
    <w:rPr>
      <w:rFonts w:ascii="宋体" w:hAnsi="宋体" w:cs="宋体"/>
      <w:kern w:val="0"/>
      <w:sz w:val="24"/>
    </w:rPr>
  </w:style>
  <w:style w:type="paragraph" w:customStyle="1" w:styleId="1202">
    <w:name w:val="样式 目录 1 + 小三 首行缩进:  2 字符 段前: 0.2 行"/>
    <w:basedOn w:val="aa"/>
    <w:next w:val="13"/>
    <w:qFormat/>
    <w:pPr>
      <w:pageBreakBefore w:val="0"/>
      <w:spacing w:beforeLines="20" w:before="0" w:afterLines="20" w:after="0" w:line="300" w:lineRule="auto"/>
      <w:ind w:left="1138"/>
      <w:jc w:val="both"/>
    </w:pPr>
    <w:rPr>
      <w:rFonts w:ascii="Arial" w:hAnsi="Arial"/>
      <w:bCs w:val="0"/>
      <w:kern w:val="0"/>
      <w:sz w:val="24"/>
      <w:lang w:val="en-GB"/>
    </w:rPr>
  </w:style>
  <w:style w:type="paragraph" w:customStyle="1" w:styleId="xl152">
    <w:name w:val="xl152"/>
    <w:basedOn w:val="a6"/>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04">
    <w:name w:val="xl104"/>
    <w:basedOn w:val="a6"/>
    <w:qFormat/>
    <w:pPr>
      <w:widowControl/>
      <w:pBdr>
        <w:top w:val="single" w:sz="4" w:space="0" w:color="auto"/>
        <w:left w:val="single" w:sz="4" w:space="0" w:color="auto"/>
        <w:bottom w:val="single" w:sz="4" w:space="0" w:color="auto"/>
      </w:pBdr>
      <w:shd w:val="clear" w:color="000000" w:fill="FFFF99"/>
      <w:spacing w:before="100" w:beforeAutospacing="1" w:after="100" w:afterAutospacing="1"/>
      <w:jc w:val="left"/>
      <w:textAlignment w:val="center"/>
    </w:pPr>
    <w:rPr>
      <w:rFonts w:ascii="宋体" w:hAnsi="宋体" w:cs="宋体"/>
      <w:kern w:val="0"/>
      <w:sz w:val="20"/>
      <w:szCs w:val="20"/>
    </w:rPr>
  </w:style>
  <w:style w:type="paragraph" w:customStyle="1" w:styleId="1ffff0">
    <w:name w:val="样式 标题 1 + 加粗"/>
    <w:qFormat/>
    <w:pPr>
      <w:spacing w:before="100" w:beforeAutospacing="1" w:after="100" w:afterAutospacing="1" w:line="360" w:lineRule="auto"/>
    </w:pPr>
    <w:rPr>
      <w:rFonts w:eastAsia="黑体"/>
      <w:sz w:val="32"/>
      <w:vertAlign w:val="superscript"/>
    </w:rPr>
  </w:style>
  <w:style w:type="paragraph" w:customStyle="1" w:styleId="11a">
    <w:name w:val="标题 11"/>
    <w:basedOn w:val="a6"/>
    <w:next w:val="a6"/>
    <w:qFormat/>
    <w:pPr>
      <w:keepNext/>
      <w:keepLines/>
      <w:spacing w:before="340" w:after="330" w:line="576" w:lineRule="auto"/>
      <w:outlineLvl w:val="0"/>
    </w:pPr>
    <w:rPr>
      <w:rFonts w:ascii="宋体" w:hAnsi="宋体"/>
      <w:b/>
      <w:bCs/>
      <w:color w:val="000000"/>
      <w:w w:val="110"/>
      <w:kern w:val="44"/>
      <w:sz w:val="30"/>
      <w:szCs w:val="44"/>
    </w:rPr>
  </w:style>
  <w:style w:type="paragraph" w:customStyle="1" w:styleId="3H3BHead3Char1113h33rdlevel">
    <w:name w:val="样式 样式 标题 3H3B Head标题 3 Char条标题1.1.1三级标题标题3h33rd level第二层条... + 加粗"/>
    <w:uiPriority w:val="99"/>
    <w:qFormat/>
    <w:rPr>
      <w:b/>
    </w:rPr>
  </w:style>
  <w:style w:type="paragraph" w:customStyle="1" w:styleId="3H3BHead3Char1113h33rdlevel0">
    <w:name w:val="样式 标题 3H3B Head标题 3 Char条标题1.1.1三级标题标题3h33rd level第二层条..."/>
    <w:basedOn w:val="33"/>
    <w:qFormat/>
    <w:pPr>
      <w:keepNext w:val="0"/>
      <w:keepLines w:val="0"/>
      <w:overflowPunct w:val="0"/>
      <w:autoSpaceDE w:val="0"/>
      <w:autoSpaceDN w:val="0"/>
      <w:adjustRightInd w:val="0"/>
      <w:snapToGrid w:val="0"/>
      <w:spacing w:before="31" w:after="31" w:line="360" w:lineRule="auto"/>
      <w:jc w:val="left"/>
      <w:textAlignment w:val="baseline"/>
    </w:pPr>
    <w:rPr>
      <w:rFonts w:hAnsi="宋体" w:cs="宋体"/>
      <w:bCs/>
      <w:snapToGrid w:val="0"/>
      <w:color w:val="000000"/>
      <w:spacing w:val="0"/>
      <w:sz w:val="24"/>
      <w:szCs w:val="24"/>
    </w:rPr>
  </w:style>
  <w:style w:type="paragraph" w:customStyle="1" w:styleId="bullets">
    <w:name w:val="bullets"/>
    <w:basedOn w:val="af2"/>
    <w:qFormat/>
    <w:pPr>
      <w:widowControl/>
      <w:numPr>
        <w:numId w:val="16"/>
      </w:numPr>
      <w:tabs>
        <w:tab w:val="clear" w:pos="360"/>
        <w:tab w:val="left" w:pos="1152"/>
      </w:tabs>
      <w:jc w:val="left"/>
    </w:pPr>
    <w:rPr>
      <w:rFonts w:ascii="Arial" w:hAnsi="Arial"/>
      <w:sz w:val="22"/>
      <w:szCs w:val="24"/>
      <w:lang w:eastAsia="en-US"/>
    </w:rPr>
  </w:style>
  <w:style w:type="paragraph" w:customStyle="1" w:styleId="hb2Char">
    <w:name w:val="hb2 Char"/>
    <w:basedOn w:val="22"/>
    <w:qFormat/>
    <w:pPr>
      <w:keepNext w:val="0"/>
      <w:keepLines w:val="0"/>
      <w:topLinePunct/>
      <w:adjustRightInd w:val="0"/>
      <w:spacing w:before="100" w:beforeAutospacing="1" w:afterLines="50" w:after="100" w:afterAutospacing="1" w:line="416" w:lineRule="atLeast"/>
      <w:jc w:val="left"/>
      <w:textAlignment w:val="baseline"/>
    </w:pPr>
    <w:rPr>
      <w:rFonts w:ascii="黑体" w:hAnsi="黑体" w:cs="Arial"/>
      <w:b/>
      <w:bCs w:val="0"/>
      <w:spacing w:val="0"/>
      <w:w w:val="100"/>
      <w:kern w:val="2"/>
      <w:sz w:val="30"/>
      <w:szCs w:val="24"/>
    </w:rPr>
  </w:style>
  <w:style w:type="paragraph" w:customStyle="1" w:styleId="zxl2Char10">
    <w:name w:val="zxl正文首行缩进  2 字符 行距: Char10"/>
    <w:basedOn w:val="a6"/>
    <w:qFormat/>
    <w:pPr>
      <w:widowControl/>
      <w:tabs>
        <w:tab w:val="left" w:pos="-1843"/>
        <w:tab w:val="left" w:pos="1727"/>
        <w:tab w:val="left" w:pos="1884"/>
      </w:tabs>
      <w:spacing w:line="336" w:lineRule="auto"/>
      <w:ind w:firstLineChars="233" w:firstLine="559"/>
      <w:textAlignment w:val="bottom"/>
      <w:outlineLvl w:val="0"/>
    </w:pPr>
    <w:rPr>
      <w:rFonts w:hAnsi="宋体"/>
      <w:sz w:val="24"/>
    </w:rPr>
  </w:style>
  <w:style w:type="paragraph" w:customStyle="1" w:styleId="affffffffffffffffffc">
    <w:name w:val="奉读大示，心折殊深。"/>
    <w:qFormat/>
    <w:pPr>
      <w:widowControl w:val="0"/>
      <w:jc w:val="both"/>
    </w:pPr>
    <w:rPr>
      <w:kern w:val="2"/>
      <w:sz w:val="21"/>
    </w:rPr>
  </w:style>
  <w:style w:type="paragraph" w:customStyle="1" w:styleId="affffffffffffffffffd">
    <w:name w:val="表格内"/>
    <w:qFormat/>
    <w:pPr>
      <w:keepLines/>
      <w:widowControl w:val="0"/>
      <w:tabs>
        <w:tab w:val="left" w:pos="9356"/>
      </w:tabs>
      <w:adjustRightInd w:val="0"/>
      <w:spacing w:before="80" w:after="80" w:line="80" w:lineRule="atLeast"/>
      <w:textAlignment w:val="baseline"/>
    </w:pPr>
    <w:rPr>
      <w:rFonts w:ascii="Arial"/>
      <w:sz w:val="24"/>
    </w:rPr>
  </w:style>
  <w:style w:type="paragraph" w:customStyle="1" w:styleId="1200">
    <w:name w:val="样式 样式12 + 左侧:  0 厘米 首行缩进:  0 厘米"/>
    <w:basedOn w:val="a6"/>
    <w:qFormat/>
    <w:pPr>
      <w:widowControl/>
      <w:tabs>
        <w:tab w:val="left" w:pos="880"/>
      </w:tabs>
      <w:spacing w:line="300" w:lineRule="auto"/>
      <w:ind w:left="767" w:hanging="567"/>
      <w:jc w:val="left"/>
      <w:outlineLvl w:val="2"/>
    </w:pPr>
    <w:rPr>
      <w:rFonts w:ascii="Arial" w:hAnsi="Arial" w:cs="宋体"/>
      <w:snapToGrid w:val="0"/>
      <w:kern w:val="0"/>
      <w:sz w:val="24"/>
      <w:szCs w:val="20"/>
    </w:rPr>
  </w:style>
  <w:style w:type="paragraph" w:customStyle="1" w:styleId="Char8CharChar1">
    <w:name w:val="Char8 Char Char1"/>
    <w:basedOn w:val="a6"/>
    <w:qFormat/>
    <w:pPr>
      <w:widowControl/>
      <w:spacing w:after="160" w:line="240" w:lineRule="exact"/>
      <w:jc w:val="left"/>
    </w:pPr>
    <w:rPr>
      <w:rFonts w:ascii="Arial" w:eastAsia="Times New Roman" w:hAnsi="Arial" w:cs="Verdana"/>
      <w:b/>
      <w:kern w:val="0"/>
      <w:sz w:val="24"/>
      <w:lang w:eastAsia="en-US"/>
    </w:rPr>
  </w:style>
  <w:style w:type="paragraph" w:customStyle="1" w:styleId="affffffffffffffffffe">
    <w:name w:val="图、表头文字"/>
    <w:basedOn w:val="a6"/>
    <w:qFormat/>
    <w:pPr>
      <w:autoSpaceDE w:val="0"/>
      <w:autoSpaceDN w:val="0"/>
      <w:adjustRightInd w:val="0"/>
      <w:spacing w:before="80" w:after="80"/>
      <w:jc w:val="center"/>
      <w:textAlignment w:val="baseline"/>
    </w:pPr>
    <w:rPr>
      <w:rFonts w:ascii="黑体" w:eastAsia="黑体"/>
      <w:kern w:val="0"/>
      <w:szCs w:val="20"/>
    </w:rPr>
  </w:style>
  <w:style w:type="paragraph" w:customStyle="1" w:styleId="ParaCharCharCharCharCharCharCharCharCharChar">
    <w:name w:val="默认段落字体 Para Char Char Char Char Char Char Char Char Char Char"/>
    <w:basedOn w:val="33"/>
    <w:qFormat/>
    <w:pPr>
      <w:tabs>
        <w:tab w:val="left" w:pos="360"/>
        <w:tab w:val="left" w:pos="900"/>
      </w:tabs>
      <w:adjustRightInd w:val="0"/>
      <w:snapToGrid w:val="0"/>
      <w:spacing w:after="120" w:line="360" w:lineRule="auto"/>
      <w:ind w:leftChars="-12" w:left="542" w:firstLineChars="200" w:firstLine="200"/>
      <w:jc w:val="left"/>
    </w:pPr>
    <w:rPr>
      <w:rFonts w:ascii="宋体" w:hAnsi="宋体" w:cs="宋体"/>
      <w:bCs/>
      <w:color w:val="000000"/>
      <w:spacing w:val="0"/>
      <w:sz w:val="24"/>
      <w:szCs w:val="24"/>
    </w:rPr>
  </w:style>
  <w:style w:type="paragraph" w:customStyle="1" w:styleId="afffffffffffffffffff">
    <w:name w:val="三级条"/>
    <w:basedOn w:val="a6"/>
    <w:qFormat/>
    <w:pPr>
      <w:widowControl/>
      <w:spacing w:line="440" w:lineRule="exact"/>
      <w:jc w:val="left"/>
    </w:pPr>
    <w:rPr>
      <w:rFonts w:ascii="宋体" w:cs="宋体"/>
      <w:kern w:val="0"/>
      <w:sz w:val="24"/>
      <w:szCs w:val="20"/>
    </w:rPr>
  </w:style>
  <w:style w:type="paragraph" w:customStyle="1" w:styleId="afffffffffffffffffff0">
    <w:name w:val="样式王鹏"/>
    <w:basedOn w:val="a6"/>
    <w:qFormat/>
    <w:pPr>
      <w:widowControl/>
      <w:spacing w:line="300" w:lineRule="auto"/>
      <w:ind w:firstLineChars="200" w:firstLine="504"/>
      <w:jc w:val="left"/>
    </w:pPr>
    <w:rPr>
      <w:rFonts w:cs="宋体"/>
      <w:color w:val="000000"/>
      <w:spacing w:val="6"/>
      <w:kern w:val="0"/>
      <w:sz w:val="24"/>
    </w:rPr>
  </w:style>
  <w:style w:type="paragraph" w:customStyle="1" w:styleId="afffffffffffffffffff1">
    <w:name w:val="麦志勤正文"/>
    <w:basedOn w:val="a6"/>
    <w:qFormat/>
    <w:pPr>
      <w:adjustRightInd w:val="0"/>
      <w:snapToGrid w:val="0"/>
      <w:spacing w:beforeLines="20" w:line="300" w:lineRule="auto"/>
      <w:ind w:firstLineChars="200" w:firstLine="480"/>
    </w:pPr>
    <w:rPr>
      <w:sz w:val="24"/>
      <w:szCs w:val="28"/>
    </w:rPr>
  </w:style>
  <w:style w:type="paragraph" w:customStyle="1" w:styleId="5f6">
    <w:name w:val="表格文字5号"/>
    <w:basedOn w:val="a6"/>
    <w:qFormat/>
    <w:pPr>
      <w:jc w:val="center"/>
    </w:pPr>
    <w:rPr>
      <w:rFonts w:ascii="宋体"/>
    </w:rPr>
  </w:style>
  <w:style w:type="paragraph" w:customStyle="1" w:styleId="1ffff1">
    <w:name w:val="正文（1）"/>
    <w:basedOn w:val="af0"/>
    <w:next w:val="affc"/>
    <w:qFormat/>
    <w:pPr>
      <w:snapToGrid w:val="0"/>
      <w:spacing w:line="460" w:lineRule="exact"/>
      <w:ind w:firstLineChars="200" w:firstLine="480"/>
      <w:textAlignment w:val="auto"/>
    </w:pPr>
    <w:rPr>
      <w:rFonts w:ascii="Times New Roman" w:hAnsi="Times New Roman" w:cs="宋体"/>
      <w:szCs w:val="24"/>
    </w:rPr>
  </w:style>
  <w:style w:type="paragraph" w:customStyle="1" w:styleId="1ffff2">
    <w:name w:val="表格正文1"/>
    <w:basedOn w:val="a6"/>
    <w:qFormat/>
    <w:pPr>
      <w:widowControl/>
      <w:spacing w:line="360" w:lineRule="auto"/>
      <w:jc w:val="left"/>
    </w:pPr>
    <w:rPr>
      <w:rFonts w:ascii="宋体" w:hAnsi="宋体" w:cs="宋体"/>
      <w:b/>
      <w:bCs/>
      <w:spacing w:val="20"/>
      <w:kern w:val="0"/>
      <w:sz w:val="24"/>
    </w:rPr>
  </w:style>
  <w:style w:type="paragraph" w:customStyle="1" w:styleId="xl109">
    <w:name w:val="xl109"/>
    <w:basedOn w:val="a6"/>
    <w:qFormat/>
    <w:pPr>
      <w:widowControl/>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b/>
      <w:bCs/>
      <w:color w:val="FF0000"/>
      <w:kern w:val="0"/>
      <w:sz w:val="20"/>
      <w:szCs w:val="20"/>
    </w:rPr>
  </w:style>
  <w:style w:type="paragraph" w:customStyle="1" w:styleId="3ff1">
    <w:name w:val="正文样式3"/>
    <w:basedOn w:val="a6"/>
    <w:qFormat/>
    <w:pPr>
      <w:keepLines/>
      <w:adjustRightInd w:val="0"/>
      <w:spacing w:line="20" w:lineRule="atLeast"/>
      <w:jc w:val="center"/>
      <w:textAlignment w:val="baseline"/>
    </w:pPr>
    <w:rPr>
      <w:kern w:val="0"/>
      <w:sz w:val="24"/>
      <w:szCs w:val="20"/>
    </w:rPr>
  </w:style>
  <w:style w:type="paragraph" w:customStyle="1" w:styleId="mhy">
    <w:name w:val="mhy"/>
    <w:basedOn w:val="a6"/>
    <w:qFormat/>
    <w:pPr>
      <w:jc w:val="left"/>
    </w:pPr>
    <w:rPr>
      <w:rFonts w:ascii="宋体"/>
      <w:kern w:val="0"/>
      <w:sz w:val="24"/>
      <w:szCs w:val="20"/>
    </w:rPr>
  </w:style>
  <w:style w:type="paragraph" w:customStyle="1" w:styleId="11b">
    <w:name w:val="页脚11"/>
    <w:basedOn w:val="120"/>
    <w:qFormat/>
    <w:pPr>
      <w:tabs>
        <w:tab w:val="center" w:pos="4153"/>
        <w:tab w:val="right" w:pos="8306"/>
      </w:tabs>
      <w:adjustRightInd w:val="0"/>
      <w:spacing w:line="240" w:lineRule="atLeast"/>
      <w:ind w:firstLineChars="0" w:firstLine="0"/>
      <w:jc w:val="left"/>
      <w:textAlignment w:val="baseline"/>
    </w:pPr>
    <w:rPr>
      <w:rFonts w:ascii="宋体"/>
      <w:sz w:val="18"/>
    </w:rPr>
  </w:style>
  <w:style w:type="paragraph" w:customStyle="1" w:styleId="5f7">
    <w:name w:val="环5表格"/>
    <w:basedOn w:val="a6"/>
    <w:qFormat/>
    <w:pPr>
      <w:jc w:val="center"/>
    </w:pPr>
    <w:rPr>
      <w:rFonts w:ascii="Calibri" w:eastAsia="黑体" w:hAnsi="Calibri" w:cs="黑体"/>
      <w:szCs w:val="22"/>
    </w:rPr>
  </w:style>
  <w:style w:type="paragraph" w:customStyle="1" w:styleId="2150">
    <w:name w:val="样式 首行缩进:  2 字符 行距: 固定值 15 磅"/>
    <w:basedOn w:val="a6"/>
    <w:qFormat/>
    <w:pPr>
      <w:spacing w:line="400" w:lineRule="exact"/>
      <w:ind w:firstLineChars="200" w:firstLine="560"/>
    </w:pPr>
    <w:rPr>
      <w:sz w:val="28"/>
      <w:szCs w:val="28"/>
    </w:rPr>
  </w:style>
  <w:style w:type="paragraph" w:customStyle="1" w:styleId="21121122Char1Heading22112">
    <w:name w:val="样式 标题 21.1标题 21.1标题2标题 2 Char1节_Heading 2标2二级标题1.1标题 +...2"/>
    <w:basedOn w:val="22"/>
    <w:qFormat/>
    <w:pPr>
      <w:tabs>
        <w:tab w:val="left" w:pos="998"/>
      </w:tabs>
      <w:autoSpaceDE w:val="0"/>
      <w:autoSpaceDN w:val="0"/>
      <w:adjustRightInd w:val="0"/>
      <w:snapToGrid w:val="0"/>
      <w:spacing w:afterLines="50" w:line="240" w:lineRule="auto"/>
      <w:ind w:left="576" w:hanging="576"/>
      <w:jc w:val="left"/>
      <w:textAlignment w:val="bottom"/>
    </w:pPr>
    <w:rPr>
      <w:rFonts w:ascii="黑体" w:hAnsi="Arial"/>
      <w:b/>
      <w:bCs w:val="0"/>
      <w:spacing w:val="0"/>
      <w:w w:val="100"/>
      <w:kern w:val="2"/>
    </w:rPr>
  </w:style>
  <w:style w:type="paragraph" w:customStyle="1" w:styleId="ZhGP2">
    <w:name w:val="ZhGP_正文 2"/>
    <w:basedOn w:val="a6"/>
    <w:qFormat/>
    <w:pPr>
      <w:widowControl/>
      <w:spacing w:line="360" w:lineRule="auto"/>
      <w:ind w:left="799" w:firstLineChars="200" w:firstLine="480"/>
      <w:jc w:val="left"/>
    </w:pPr>
    <w:rPr>
      <w:rFonts w:cs="宋体"/>
      <w:color w:val="0000FF"/>
      <w:kern w:val="0"/>
      <w:sz w:val="24"/>
      <w:szCs w:val="20"/>
    </w:rPr>
  </w:style>
  <w:style w:type="paragraph" w:customStyle="1" w:styleId="CharCharCharCharCharChar1Char1">
    <w:name w:val="Char Char Char Char Char Char1 Char1"/>
    <w:basedOn w:val="a6"/>
    <w:qFormat/>
    <w:rPr>
      <w:color w:val="000000"/>
      <w:w w:val="110"/>
      <w:kern w:val="0"/>
      <w:sz w:val="24"/>
    </w:rPr>
  </w:style>
  <w:style w:type="paragraph" w:customStyle="1" w:styleId="142">
    <w:name w:val="样式 样式 宋体 小四 行距: 多倍行距 1.4 字行 + 首行缩进:  2 字符"/>
    <w:basedOn w:val="a6"/>
    <w:qFormat/>
    <w:pPr>
      <w:spacing w:line="360" w:lineRule="auto"/>
      <w:ind w:firstLineChars="200" w:firstLine="200"/>
    </w:pPr>
    <w:rPr>
      <w:rFonts w:ascii="宋体" w:hAnsi="宋体"/>
      <w:kern w:val="28"/>
      <w:sz w:val="28"/>
      <w:szCs w:val="20"/>
    </w:rPr>
  </w:style>
  <w:style w:type="paragraph" w:customStyle="1" w:styleId="211211H211CharHeadin">
    <w:name w:val="样式 标题 2标题节1.1标题 2节½Ú?¨²节标题节标题 1.1H2节标题 1.1 Char_Headin..."/>
    <w:basedOn w:val="22"/>
    <w:qFormat/>
    <w:pPr>
      <w:spacing w:afterLines="50" w:line="240" w:lineRule="auto"/>
    </w:pPr>
    <w:rPr>
      <w:color w:val="FF0000"/>
      <w:spacing w:val="0"/>
      <w:w w:val="100"/>
      <w:kern w:val="2"/>
      <w:sz w:val="30"/>
      <w:szCs w:val="20"/>
    </w:rPr>
  </w:style>
  <w:style w:type="paragraph" w:customStyle="1" w:styleId="413">
    <w:name w:val="列表 41"/>
    <w:basedOn w:val="a6"/>
    <w:qFormat/>
    <w:pPr>
      <w:ind w:leftChars="600" w:left="100" w:hangingChars="200" w:hanging="200"/>
    </w:pPr>
  </w:style>
  <w:style w:type="paragraph" w:customStyle="1" w:styleId="ParaAttribute35">
    <w:name w:val="ParaAttribute35"/>
    <w:qFormat/>
    <w:pPr>
      <w:widowControl w:val="0"/>
      <w:wordWrap w:val="0"/>
      <w:spacing w:line="158" w:lineRule="exact"/>
    </w:pPr>
  </w:style>
  <w:style w:type="paragraph" w:customStyle="1" w:styleId="font14">
    <w:name w:val="font14"/>
    <w:basedOn w:val="a6"/>
    <w:qFormat/>
    <w:pPr>
      <w:widowControl/>
      <w:spacing w:before="100" w:beforeAutospacing="1" w:after="100" w:afterAutospacing="1"/>
      <w:jc w:val="left"/>
    </w:pPr>
    <w:rPr>
      <w:rFonts w:ascii="宋体" w:hAnsi="宋体" w:hint="eastAsia"/>
      <w:kern w:val="0"/>
      <w:sz w:val="22"/>
      <w:szCs w:val="22"/>
    </w:rPr>
  </w:style>
  <w:style w:type="paragraph" w:customStyle="1" w:styleId="2fff7">
    <w:name w:val="正文首行缩进2字符"/>
    <w:basedOn w:val="a6"/>
    <w:qFormat/>
    <w:pPr>
      <w:widowControl/>
      <w:adjustRightInd w:val="0"/>
      <w:snapToGrid w:val="0"/>
      <w:spacing w:line="360" w:lineRule="auto"/>
      <w:ind w:firstLineChars="200" w:firstLine="560"/>
      <w:jc w:val="left"/>
    </w:pPr>
    <w:rPr>
      <w:rFonts w:ascii="宋体" w:hAnsi="宋体" w:cs="宋体"/>
      <w:kern w:val="0"/>
      <w:sz w:val="28"/>
      <w:szCs w:val="20"/>
    </w:rPr>
  </w:style>
  <w:style w:type="paragraph" w:customStyle="1" w:styleId="CharCharCharCharCharCharChar0">
    <w:name w:val="Char Char Char Char Char Char Char"/>
    <w:basedOn w:val="a6"/>
    <w:next w:val="a6"/>
    <w:qFormat/>
    <w:pPr>
      <w:widowControl/>
      <w:jc w:val="left"/>
    </w:pPr>
  </w:style>
  <w:style w:type="paragraph" w:customStyle="1" w:styleId="CharCharChar1CharCharCharCharCharCharChar4">
    <w:name w:val="Char Char Char1 Char Char Char Char Char Char Char4"/>
    <w:basedOn w:val="a6"/>
    <w:qFormat/>
    <w:rPr>
      <w:kern w:val="0"/>
      <w:sz w:val="24"/>
      <w:szCs w:val="20"/>
    </w:rPr>
  </w:style>
  <w:style w:type="paragraph" w:customStyle="1" w:styleId="CharCharCharCharCharCharCharCharCharCharCharCharCharCharCharCharCharCharCharCharChar1">
    <w:name w:val="Char Char Char Char Char Char Char Char Char Char Char Char Char Char Char Char Char Char Char Char Char1"/>
    <w:basedOn w:val="a6"/>
    <w:qFormat/>
    <w:pPr>
      <w:spacing w:line="360" w:lineRule="auto"/>
      <w:ind w:firstLineChars="200" w:firstLine="200"/>
    </w:pPr>
    <w:rPr>
      <w:rFonts w:ascii="宋体" w:hAnsi="宋体" w:cs="宋体"/>
      <w:sz w:val="24"/>
    </w:rPr>
  </w:style>
  <w:style w:type="paragraph" w:customStyle="1" w:styleId="cd6">
    <w:name w:val="cd6"/>
    <w:basedOn w:val="a6"/>
    <w:qFormat/>
    <w:pPr>
      <w:spacing w:before="120"/>
    </w:pPr>
    <w:rPr>
      <w:color w:val="000000"/>
      <w:w w:val="110"/>
      <w:kern w:val="0"/>
      <w:sz w:val="24"/>
      <w:szCs w:val="20"/>
    </w:rPr>
  </w:style>
  <w:style w:type="paragraph" w:customStyle="1" w:styleId="afffffffffffffffffff2">
    <w:name w:val="方框文字"/>
    <w:basedOn w:val="28"/>
    <w:qFormat/>
    <w:pPr>
      <w:tabs>
        <w:tab w:val="left" w:pos="0"/>
      </w:tabs>
      <w:spacing w:beforeLines="0" w:before="0" w:after="0"/>
      <w:ind w:firstLineChars="0" w:firstLine="0"/>
      <w:jc w:val="center"/>
    </w:pPr>
    <w:rPr>
      <w:rFonts w:ascii="宋体" w:eastAsia="宋体" w:hAnsi="宋体"/>
      <w:w w:val="90"/>
      <w:kern w:val="0"/>
      <w:szCs w:val="20"/>
    </w:rPr>
  </w:style>
  <w:style w:type="paragraph" w:customStyle="1" w:styleId="afffffffffffffffffff3">
    <w:name w:val="通州正文"/>
    <w:next w:val="a6"/>
    <w:qFormat/>
    <w:pPr>
      <w:spacing w:line="360" w:lineRule="auto"/>
      <w:ind w:firstLine="480"/>
    </w:pPr>
    <w:rPr>
      <w:rFonts w:ascii="宋体" w:hAnsi="宋体"/>
      <w:kern w:val="2"/>
      <w:sz w:val="24"/>
      <w:szCs w:val="24"/>
    </w:rPr>
  </w:style>
  <w:style w:type="paragraph" w:customStyle="1" w:styleId="2fff8">
    <w:name w:val="框图格式2"/>
    <w:basedOn w:val="a6"/>
    <w:qFormat/>
    <w:rPr>
      <w:sz w:val="18"/>
    </w:rPr>
  </w:style>
  <w:style w:type="paragraph" w:customStyle="1" w:styleId="afffffffffffffffffff4">
    <w:name w:val="标题三"/>
    <w:basedOn w:val="22"/>
    <w:qFormat/>
    <w:pPr>
      <w:keepNext w:val="0"/>
      <w:keepLines w:val="0"/>
      <w:snapToGrid w:val="0"/>
      <w:spacing w:line="480" w:lineRule="exact"/>
      <w:outlineLvl w:val="2"/>
    </w:pPr>
    <w:rPr>
      <w:rFonts w:ascii="楷体_GB2312" w:eastAsia="楷体_GB2312" w:hAnsi="黑体"/>
      <w:bCs w:val="0"/>
      <w:color w:val="000000"/>
      <w:spacing w:val="0"/>
      <w:w w:val="100"/>
      <w:kern w:val="2"/>
      <w:sz w:val="24"/>
      <w:szCs w:val="24"/>
    </w:rPr>
  </w:style>
  <w:style w:type="paragraph" w:customStyle="1" w:styleId="332345673Char3">
    <w:name w:val="样式 标题 3国寰 标题 3三级标题2三级标题3三级标题4三级标题5三级标题6三级标题7标题 3 Char3三..."/>
    <w:basedOn w:val="33"/>
    <w:qFormat/>
    <w:pPr>
      <w:adjustRightInd w:val="0"/>
      <w:spacing w:line="360" w:lineRule="auto"/>
      <w:ind w:left="2705"/>
    </w:pPr>
    <w:rPr>
      <w:rFonts w:cs="宋体"/>
      <w:bCs/>
      <w:spacing w:val="0"/>
      <w:sz w:val="24"/>
      <w:szCs w:val="20"/>
    </w:rPr>
  </w:style>
  <w:style w:type="paragraph" w:customStyle="1" w:styleId="21121122Char1Heading2211">
    <w:name w:val="标题 21.1标题 21.1标题2标题 2 Char1节_Heading 2标2二级标题1.1标题 +..."/>
    <w:basedOn w:val="a6"/>
    <w:qFormat/>
    <w:pPr>
      <w:widowControl/>
      <w:tabs>
        <w:tab w:val="left" w:pos="998"/>
      </w:tabs>
      <w:spacing w:line="360" w:lineRule="auto"/>
      <w:ind w:left="576" w:firstLineChars="200" w:firstLine="200"/>
      <w:jc w:val="left"/>
    </w:pPr>
    <w:rPr>
      <w:rFonts w:ascii="Arial" w:hAnsi="Arial" w:cs="Arial"/>
      <w:kern w:val="0"/>
      <w:sz w:val="28"/>
      <w:szCs w:val="28"/>
    </w:rPr>
  </w:style>
  <w:style w:type="paragraph" w:customStyle="1" w:styleId="Char1CharCharCharCharCharCharCharChar">
    <w:name w:val="Char1 Char Char Char Char Char Char Char Char"/>
    <w:basedOn w:val="a6"/>
    <w:qFormat/>
    <w:pPr>
      <w:widowControl/>
      <w:jc w:val="left"/>
    </w:pPr>
    <w:rPr>
      <w:rFonts w:cs="宋体"/>
      <w:kern w:val="0"/>
      <w:sz w:val="24"/>
    </w:rPr>
  </w:style>
  <w:style w:type="paragraph" w:customStyle="1" w:styleId="5f8">
    <w:name w:val="文档结构图5"/>
    <w:basedOn w:val="a6"/>
    <w:qFormat/>
    <w:pPr>
      <w:shd w:val="clear" w:color="auto" w:fill="000080"/>
      <w:tabs>
        <w:tab w:val="left" w:pos="480"/>
        <w:tab w:val="left" w:pos="1680"/>
        <w:tab w:val="left" w:pos="3960"/>
        <w:tab w:val="left" w:pos="5400"/>
        <w:tab w:val="left" w:pos="6840"/>
      </w:tabs>
      <w:adjustRightInd w:val="0"/>
      <w:spacing w:line="240" w:lineRule="atLeast"/>
      <w:ind w:firstLine="482"/>
      <w:jc w:val="left"/>
      <w:textAlignment w:val="baseline"/>
    </w:pPr>
    <w:rPr>
      <w:rFonts w:eastAsia="创艺简楷体"/>
      <w:kern w:val="0"/>
      <w:sz w:val="28"/>
      <w:szCs w:val="20"/>
    </w:rPr>
  </w:style>
  <w:style w:type="paragraph" w:customStyle="1" w:styleId="afffffffffffffffffff5">
    <w:name w:val="节以下标题样式"/>
    <w:basedOn w:val="affffffffffffe"/>
    <w:qFormat/>
    <w:pPr>
      <w:ind w:firstLine="0"/>
    </w:pPr>
  </w:style>
  <w:style w:type="paragraph" w:customStyle="1" w:styleId="217">
    <w:name w:val="样式 正文格式 + 首行缩进:  2 字符1"/>
    <w:basedOn w:val="affffa"/>
    <w:qFormat/>
    <w:pPr>
      <w:adjustRightInd w:val="0"/>
      <w:snapToGrid w:val="0"/>
      <w:spacing w:line="480" w:lineRule="exact"/>
      <w:ind w:firstLineChars="200" w:firstLine="560"/>
    </w:pPr>
    <w:rPr>
      <w:rFonts w:cs="宋体"/>
      <w:kern w:val="0"/>
      <w:sz w:val="28"/>
    </w:rPr>
  </w:style>
  <w:style w:type="paragraph" w:customStyle="1" w:styleId="CharChar2Char">
    <w:name w:val="Char Char2 Char"/>
    <w:basedOn w:val="a6"/>
    <w:qFormat/>
    <w:rPr>
      <w:szCs w:val="20"/>
    </w:rPr>
  </w:style>
  <w:style w:type="paragraph" w:customStyle="1" w:styleId="121215Char">
    <w:name w:val="样式 表格1 + 黑体 两端对齐 首行缩进:  2.12 厘米 行距: 1.5 倍行距 Char"/>
    <w:basedOn w:val="a6"/>
    <w:qFormat/>
    <w:pPr>
      <w:keepNext/>
      <w:widowControl/>
      <w:adjustRightInd w:val="0"/>
      <w:spacing w:line="360" w:lineRule="auto"/>
      <w:ind w:left="567"/>
      <w:jc w:val="center"/>
    </w:pPr>
    <w:rPr>
      <w:rFonts w:ascii="黑体" w:eastAsia="黑体" w:cs="宋体"/>
      <w:kern w:val="0"/>
      <w:sz w:val="24"/>
      <w:szCs w:val="20"/>
    </w:rPr>
  </w:style>
  <w:style w:type="paragraph" w:customStyle="1" w:styleId="CharChar1100">
    <w:name w:val="Char Char110"/>
    <w:basedOn w:val="a6"/>
    <w:qFormat/>
    <w:pPr>
      <w:widowControl/>
      <w:tabs>
        <w:tab w:val="left" w:pos="0"/>
      </w:tabs>
      <w:spacing w:line="360" w:lineRule="auto"/>
      <w:ind w:firstLineChars="200" w:firstLine="200"/>
      <w:jc w:val="left"/>
    </w:pPr>
    <w:rPr>
      <w:rFonts w:ascii="宋体" w:hAnsi="宋体" w:cs="宋体"/>
      <w:color w:val="0000FF"/>
      <w:kern w:val="0"/>
      <w:sz w:val="24"/>
    </w:rPr>
  </w:style>
  <w:style w:type="paragraph" w:customStyle="1" w:styleId="1ffff3">
    <w:name w:val="样式（1）"/>
    <w:basedOn w:val="1fc"/>
    <w:qFormat/>
  </w:style>
  <w:style w:type="paragraph" w:customStyle="1" w:styleId="21121122Char12Heading2">
    <w:name w:val="样式 标题 21.1标题 21.1标题2标题 2 Char1节标2_Heading 2一级条 + 行距: 单倍..."/>
    <w:basedOn w:val="22"/>
    <w:qFormat/>
    <w:pPr>
      <w:keepNext w:val="0"/>
      <w:numPr>
        <w:numId w:val="17"/>
      </w:numPr>
      <w:snapToGrid w:val="0"/>
      <w:spacing w:afterLines="50" w:line="240" w:lineRule="auto"/>
      <w:jc w:val="left"/>
    </w:pPr>
    <w:rPr>
      <w:rFonts w:ascii="黑体" w:hAnsi="Arial" w:cs="宋体"/>
      <w:b/>
      <w:bCs w:val="0"/>
      <w:color w:val="000000"/>
      <w:spacing w:val="0"/>
      <w:w w:val="100"/>
      <w:kern w:val="2"/>
      <w:szCs w:val="20"/>
      <w:lang w:val="zh-CN"/>
    </w:rPr>
  </w:style>
  <w:style w:type="paragraph" w:customStyle="1" w:styleId="Head51">
    <w:name w:val="Head 5.1"/>
    <w:basedOn w:val="a6"/>
    <w:qFormat/>
    <w:pPr>
      <w:widowControl/>
      <w:suppressAutoHyphens/>
      <w:ind w:left="720" w:hanging="720"/>
      <w:jc w:val="left"/>
    </w:pPr>
    <w:rPr>
      <w:rFonts w:cs="宋体"/>
      <w:b/>
      <w:kern w:val="0"/>
      <w:sz w:val="24"/>
      <w:szCs w:val="20"/>
      <w:lang w:val="fr-FR" w:eastAsia="en-US"/>
    </w:rPr>
  </w:style>
  <w:style w:type="paragraph" w:customStyle="1" w:styleId="xl1004">
    <w:name w:val="xl1004"/>
    <w:basedOn w:val="a6"/>
    <w:qFormat/>
    <w:pPr>
      <w:widowControl/>
      <w:pBdr>
        <w:top w:val="single" w:sz="4" w:space="0" w:color="auto"/>
        <w:left w:val="single" w:sz="4" w:space="0" w:color="auto"/>
        <w:bottom w:val="single" w:sz="8" w:space="0" w:color="auto"/>
        <w:right w:val="single" w:sz="4" w:space="0" w:color="auto"/>
      </w:pBdr>
      <w:shd w:val="clear" w:color="000000" w:fill="E26B0A"/>
      <w:spacing w:before="100" w:beforeAutospacing="1" w:after="100" w:afterAutospacing="1"/>
      <w:jc w:val="center"/>
    </w:pPr>
    <w:rPr>
      <w:rFonts w:ascii="Arial" w:hAnsi="Arial" w:cs="Arial"/>
      <w:kern w:val="0"/>
      <w:sz w:val="18"/>
      <w:szCs w:val="18"/>
    </w:rPr>
  </w:style>
  <w:style w:type="paragraph" w:customStyle="1" w:styleId="CharCharCharCharCharCharCharCharCharCharCharCharCharCharCharCharCharCharCharCharCharCharCharCharCharChar">
    <w:name w:val="Char Char Char Char Char Char Char Char Char Char Char Char Char Char Char Char Char Char Char Char Char Char Char Char Char Char"/>
    <w:basedOn w:val="a6"/>
    <w:qFormat/>
  </w:style>
  <w:style w:type="paragraph" w:customStyle="1" w:styleId="21121122Char12Heading202">
    <w:name w:val="样式 标题 21.1标题 21.1标题2标题 2 Char1节标2_Heading 2一级条 + 段前: 0....2"/>
    <w:basedOn w:val="a6"/>
    <w:next w:val="affc"/>
    <w:qFormat/>
    <w:pPr>
      <w:keepNext/>
      <w:widowControl/>
      <w:numPr>
        <w:ilvl w:val="3"/>
        <w:numId w:val="18"/>
      </w:numPr>
      <w:tabs>
        <w:tab w:val="clear" w:pos="2249"/>
      </w:tabs>
      <w:autoSpaceDE w:val="0"/>
      <w:autoSpaceDN w:val="0"/>
      <w:adjustRightInd w:val="0"/>
      <w:spacing w:before="120" w:after="120" w:line="360" w:lineRule="auto"/>
      <w:ind w:left="0" w:firstLine="0"/>
      <w:jc w:val="left"/>
    </w:pPr>
    <w:rPr>
      <w:rFonts w:ascii="宋体" w:cs="宋体"/>
      <w:color w:val="000000"/>
      <w:kern w:val="0"/>
      <w:sz w:val="28"/>
      <w:szCs w:val="28"/>
      <w:lang w:val="zh-CN"/>
    </w:rPr>
  </w:style>
  <w:style w:type="paragraph" w:customStyle="1" w:styleId="Head82">
    <w:name w:val="Head 8.2"/>
    <w:basedOn w:val="a6"/>
    <w:qFormat/>
    <w:pPr>
      <w:widowControl/>
      <w:suppressAutoHyphens/>
      <w:jc w:val="center"/>
    </w:pPr>
    <w:rPr>
      <w:rFonts w:cs="宋体"/>
      <w:b/>
      <w:kern w:val="0"/>
      <w:sz w:val="28"/>
      <w:szCs w:val="20"/>
      <w:lang w:eastAsia="en-US"/>
    </w:rPr>
  </w:style>
  <w:style w:type="paragraph" w:customStyle="1" w:styleId="2fff9">
    <w:name w:val="汽油2级标题"/>
    <w:basedOn w:val="22"/>
    <w:qFormat/>
    <w:pPr>
      <w:adjustRightInd w:val="0"/>
      <w:spacing w:line="480" w:lineRule="exact"/>
      <w:textAlignment w:val="baseline"/>
    </w:pPr>
    <w:rPr>
      <w:rFonts w:cs="宋体"/>
      <w:b/>
      <w:spacing w:val="0"/>
      <w:w w:val="100"/>
      <w:kern w:val="0"/>
      <w:sz w:val="24"/>
      <w:szCs w:val="20"/>
    </w:rPr>
  </w:style>
  <w:style w:type="paragraph" w:customStyle="1" w:styleId="09923">
    <w:name w:val="样式 左侧:  0.99 厘米 首行缩进:  2 字符3"/>
    <w:basedOn w:val="a6"/>
    <w:semiHidden/>
    <w:qFormat/>
    <w:pPr>
      <w:widowControl/>
      <w:adjustRightInd w:val="0"/>
      <w:snapToGrid w:val="0"/>
      <w:spacing w:line="300" w:lineRule="auto"/>
      <w:ind w:firstLineChars="200" w:firstLine="560"/>
      <w:jc w:val="left"/>
    </w:pPr>
    <w:rPr>
      <w:rFonts w:cs="宋体"/>
      <w:kern w:val="0"/>
      <w:sz w:val="28"/>
      <w:szCs w:val="20"/>
    </w:rPr>
  </w:style>
  <w:style w:type="paragraph" w:customStyle="1" w:styleId="CharCharCharCharCharCharCharCharCharCharCharCharCharCharCharCharCharCharCharCharCharCharChar2">
    <w:name w:val="Char Char Char Char Char Char Char Char Char Char Char Char Char Char Char Char Char Char Char Char Char Char Char2"/>
    <w:basedOn w:val="a6"/>
    <w:qFormat/>
  </w:style>
  <w:style w:type="paragraph" w:customStyle="1" w:styleId="352">
    <w:name w:val="样式 燕山正文 + 首行缩进:  3.5 字符2"/>
    <w:basedOn w:val="afffffffffffff9"/>
    <w:qFormat/>
    <w:rPr>
      <w:szCs w:val="20"/>
    </w:rPr>
  </w:style>
  <w:style w:type="paragraph" w:customStyle="1" w:styleId="afffffffffffffffffff6">
    <w:name w:val="表格后文"/>
    <w:basedOn w:val="011"/>
    <w:qFormat/>
    <w:pPr>
      <w:spacing w:before="300"/>
    </w:pPr>
  </w:style>
  <w:style w:type="paragraph" w:customStyle="1" w:styleId="CharCharChar2CharCharCharCharCharCharChar">
    <w:name w:val="Char Char Char2 Char Char Char Char Char Char Char"/>
    <w:basedOn w:val="a6"/>
    <w:qFormat/>
    <w:pPr>
      <w:spacing w:line="400" w:lineRule="exact"/>
      <w:ind w:firstLineChars="150" w:firstLine="360"/>
    </w:pPr>
    <w:rPr>
      <w:rFonts w:hAnsi="宋体"/>
      <w:kern w:val="0"/>
      <w:sz w:val="24"/>
    </w:rPr>
  </w:style>
  <w:style w:type="paragraph" w:customStyle="1" w:styleId="-01">
    <w:name w:val="样式 表格文字中 + 左侧:  -0.1 字符"/>
    <w:basedOn w:val="affffffff2"/>
    <w:qFormat/>
    <w:pPr>
      <w:widowControl/>
      <w:tabs>
        <w:tab w:val="left" w:pos="1727"/>
        <w:tab w:val="left" w:pos="1884"/>
      </w:tabs>
      <w:autoSpaceDE w:val="0"/>
      <w:autoSpaceDN w:val="0"/>
      <w:adjustRightInd w:val="0"/>
      <w:snapToGrid w:val="0"/>
      <w:spacing w:line="360" w:lineRule="auto"/>
      <w:ind w:left="-10"/>
      <w:jc w:val="left"/>
    </w:pPr>
    <w:rPr>
      <w:rFonts w:ascii="宋体" w:cs="宋体"/>
      <w:color w:val="000000"/>
      <w:sz w:val="24"/>
      <w:szCs w:val="20"/>
      <w:lang w:val="zh-CN"/>
    </w:rPr>
  </w:style>
  <w:style w:type="paragraph" w:customStyle="1" w:styleId="Head21">
    <w:name w:val="Head 2.1"/>
    <w:basedOn w:val="a6"/>
    <w:qFormat/>
    <w:pPr>
      <w:widowControl/>
      <w:suppressAutoHyphens/>
      <w:jc w:val="center"/>
    </w:pPr>
    <w:rPr>
      <w:rFonts w:ascii="Times New Roman Bold" w:hAnsi="Times New Roman Bold" w:cs="宋体"/>
      <w:b/>
      <w:kern w:val="0"/>
      <w:sz w:val="28"/>
      <w:szCs w:val="20"/>
      <w:lang w:eastAsia="en-US"/>
    </w:rPr>
  </w:style>
  <w:style w:type="paragraph" w:customStyle="1" w:styleId="afffffffffffffffffff7">
    <w:name w:val="环正文"/>
    <w:basedOn w:val="a6"/>
    <w:qFormat/>
    <w:pPr>
      <w:widowControl/>
      <w:suppressAutoHyphens/>
      <w:adjustRightInd w:val="0"/>
      <w:spacing w:line="480" w:lineRule="exact"/>
      <w:ind w:firstLineChars="200" w:firstLine="480"/>
      <w:textAlignment w:val="baseline"/>
    </w:pPr>
    <w:rPr>
      <w:kern w:val="0"/>
      <w:sz w:val="24"/>
      <w:szCs w:val="20"/>
    </w:rPr>
  </w:style>
  <w:style w:type="paragraph" w:customStyle="1" w:styleId="afffffffffffffffffff8">
    <w:name w:val="缩进正文"/>
    <w:basedOn w:val="af9"/>
    <w:qFormat/>
    <w:pPr>
      <w:adjustRightInd w:val="0"/>
      <w:snapToGrid w:val="0"/>
      <w:spacing w:line="300" w:lineRule="auto"/>
      <w:ind w:firstLine="200"/>
    </w:pPr>
    <w:rPr>
      <w:rFonts w:hAnsi="Times New Roman"/>
      <w:sz w:val="28"/>
      <w:szCs w:val="20"/>
    </w:rPr>
  </w:style>
  <w:style w:type="paragraph" w:customStyle="1" w:styleId="25a">
    <w:name w:val="2 5a"/>
    <w:qFormat/>
    <w:pPr>
      <w:tabs>
        <w:tab w:val="left" w:pos="-720"/>
      </w:tabs>
      <w:suppressAutoHyphens/>
    </w:pPr>
    <w:rPr>
      <w:rFonts w:ascii="Courier" w:hAnsi="Courier"/>
      <w:sz w:val="24"/>
      <w:lang w:eastAsia="en-US"/>
    </w:rPr>
  </w:style>
  <w:style w:type="paragraph" w:customStyle="1" w:styleId="afffffffffffffffffff9">
    <w:name w:val="论文名称"/>
    <w:basedOn w:val="a6"/>
    <w:qFormat/>
    <w:pPr>
      <w:overflowPunct w:val="0"/>
      <w:topLinePunct/>
      <w:adjustRightInd w:val="0"/>
      <w:snapToGrid w:val="0"/>
      <w:spacing w:line="360" w:lineRule="auto"/>
      <w:ind w:firstLineChars="200" w:firstLine="480"/>
      <w:textAlignment w:val="center"/>
    </w:pPr>
    <w:rPr>
      <w:rFonts w:eastAsia="华文新魏" w:cs="Arial"/>
      <w:b/>
      <w:sz w:val="24"/>
    </w:rPr>
  </w:style>
  <w:style w:type="paragraph" w:customStyle="1" w:styleId="0992">
    <w:name w:val="样式 左侧:  0.99 厘米 首行缩进:  2 字符"/>
    <w:basedOn w:val="a6"/>
    <w:next w:val="a6"/>
    <w:semiHidden/>
    <w:qFormat/>
    <w:pPr>
      <w:widowControl/>
      <w:adjustRightInd w:val="0"/>
      <w:snapToGrid w:val="0"/>
      <w:spacing w:line="300" w:lineRule="auto"/>
      <w:ind w:firstLineChars="200" w:firstLine="560"/>
      <w:jc w:val="left"/>
    </w:pPr>
    <w:rPr>
      <w:rFonts w:cs="宋体"/>
      <w:kern w:val="0"/>
      <w:sz w:val="28"/>
    </w:rPr>
  </w:style>
  <w:style w:type="paragraph" w:customStyle="1" w:styleId="124">
    <w:name w:val="12"/>
    <w:basedOn w:val="a6"/>
    <w:next w:val="aff5"/>
    <w:qFormat/>
    <w:pPr>
      <w:spacing w:line="360" w:lineRule="auto"/>
      <w:ind w:firstLine="420"/>
      <w:jc w:val="center"/>
    </w:pPr>
    <w:rPr>
      <w:rFonts w:ascii="黑体" w:eastAsia="黑体" w:hAnsi="Arial"/>
      <w:color w:val="000000"/>
      <w:kern w:val="28"/>
      <w:szCs w:val="28"/>
    </w:rPr>
  </w:style>
  <w:style w:type="paragraph" w:customStyle="1" w:styleId="CharCharCharCharb">
    <w:name w:val="Char Char Char Char"/>
    <w:basedOn w:val="a6"/>
    <w:qFormat/>
    <w:pPr>
      <w:spacing w:line="360" w:lineRule="auto"/>
      <w:ind w:firstLineChars="200" w:firstLine="200"/>
    </w:pPr>
    <w:rPr>
      <w:sz w:val="24"/>
      <w:szCs w:val="20"/>
    </w:rPr>
  </w:style>
  <w:style w:type="paragraph" w:customStyle="1" w:styleId="05">
    <w:name w:val="样式 正文缩进 + 黑体 小四 非加粗 居中 首行缩进:  0 厘米"/>
    <w:basedOn w:val="af0"/>
    <w:semiHidden/>
    <w:qFormat/>
    <w:pPr>
      <w:snapToGrid w:val="0"/>
      <w:spacing w:afterLines="50" w:line="300" w:lineRule="auto"/>
      <w:ind w:firstLine="0"/>
      <w:jc w:val="center"/>
      <w:textAlignment w:val="auto"/>
    </w:pPr>
    <w:rPr>
      <w:rFonts w:ascii="黑体" w:eastAsia="黑体" w:hAnsi="Times New Roman" w:cs="宋体"/>
      <w:b/>
      <w:kern w:val="2"/>
      <w:sz w:val="28"/>
      <w:szCs w:val="24"/>
    </w:rPr>
  </w:style>
  <w:style w:type="paragraph" w:customStyle="1" w:styleId="400">
    <w:name w:val="样式 黑体 一号 加粗 居中 行距: 固定值 40 磅"/>
    <w:basedOn w:val="a6"/>
    <w:qFormat/>
    <w:pPr>
      <w:spacing w:line="800" w:lineRule="exact"/>
      <w:jc w:val="center"/>
    </w:pPr>
    <w:rPr>
      <w:rFonts w:ascii="黑体" w:eastAsia="黑体" w:cs="宋体"/>
      <w:b/>
      <w:bCs/>
      <w:spacing w:val="40"/>
      <w:sz w:val="72"/>
      <w:szCs w:val="20"/>
    </w:rPr>
  </w:style>
  <w:style w:type="paragraph" w:customStyle="1" w:styleId="143">
    <w:name w:val="样式 行距: 多倍行距 1.4 字行"/>
    <w:basedOn w:val="a6"/>
    <w:qFormat/>
    <w:pPr>
      <w:widowControl/>
      <w:tabs>
        <w:tab w:val="left" w:pos="1727"/>
        <w:tab w:val="left" w:pos="1884"/>
      </w:tabs>
      <w:spacing w:beforeLines="20" w:line="300" w:lineRule="auto"/>
      <w:jc w:val="left"/>
      <w:outlineLvl w:val="0"/>
    </w:pPr>
    <w:rPr>
      <w:rFonts w:ascii="宋体" w:hAnsi="宋体" w:cs="宋体"/>
      <w:kern w:val="0"/>
      <w:sz w:val="28"/>
      <w:szCs w:val="28"/>
    </w:rPr>
  </w:style>
  <w:style w:type="paragraph" w:customStyle="1" w:styleId="reader-word-layerreader-word-s4-31">
    <w:name w:val="reader-word-layer reader-word-s4-31"/>
    <w:basedOn w:val="a6"/>
    <w:qFormat/>
    <w:pPr>
      <w:widowControl/>
      <w:spacing w:before="100" w:beforeAutospacing="1" w:after="100" w:afterAutospacing="1"/>
      <w:jc w:val="left"/>
    </w:pPr>
    <w:rPr>
      <w:rFonts w:ascii="宋体" w:hAnsi="宋体" w:cs="宋体"/>
      <w:kern w:val="0"/>
      <w:sz w:val="24"/>
    </w:rPr>
  </w:style>
  <w:style w:type="paragraph" w:customStyle="1" w:styleId="050">
    <w:name w:val="样式 正文首行缩进 + 段前: 0.5 行"/>
    <w:basedOn w:val="affc"/>
    <w:qFormat/>
    <w:pPr>
      <w:spacing w:beforeLines="50" w:line="360" w:lineRule="auto"/>
      <w:ind w:firstLineChars="0" w:firstLine="567"/>
    </w:pPr>
    <w:rPr>
      <w:rFonts w:ascii="Times New Roman" w:hAnsi="Times New Roman"/>
      <w:bCs w:val="0"/>
      <w:spacing w:val="0"/>
      <w:kern w:val="2"/>
      <w:sz w:val="28"/>
      <w:szCs w:val="20"/>
    </w:rPr>
  </w:style>
  <w:style w:type="paragraph" w:customStyle="1" w:styleId="afffffffffffffffffffa">
    <w:name w:val="居中四号"/>
    <w:qFormat/>
    <w:pPr>
      <w:spacing w:line="300" w:lineRule="auto"/>
      <w:jc w:val="center"/>
    </w:pPr>
    <w:rPr>
      <w:sz w:val="28"/>
    </w:rPr>
  </w:style>
  <w:style w:type="paragraph" w:customStyle="1" w:styleId="180">
    <w:name w:val="1 8"/>
    <w:qFormat/>
    <w:pPr>
      <w:tabs>
        <w:tab w:val="left" w:pos="-720"/>
      </w:tabs>
      <w:suppressAutoHyphens/>
    </w:pPr>
    <w:rPr>
      <w:rFonts w:ascii="Courier" w:hAnsi="Courier"/>
      <w:sz w:val="24"/>
      <w:lang w:eastAsia="en-US"/>
    </w:rPr>
  </w:style>
  <w:style w:type="paragraph" w:customStyle="1" w:styleId="CharCharCharCharCharCharCharCharCharCharCharCharCharCharCharChar1">
    <w:name w:val="Char Char Char Char Char Char Char Char Char Char Char Char Char Char Char Char1"/>
    <w:basedOn w:val="a6"/>
    <w:qFormat/>
    <w:rPr>
      <w:color w:val="000000"/>
      <w:w w:val="110"/>
      <w:kern w:val="0"/>
      <w:sz w:val="24"/>
    </w:rPr>
  </w:style>
  <w:style w:type="paragraph" w:customStyle="1" w:styleId="font9">
    <w:name w:val="font9"/>
    <w:basedOn w:val="a6"/>
    <w:qFormat/>
    <w:pPr>
      <w:widowControl/>
      <w:spacing w:before="100" w:beforeAutospacing="1" w:after="100" w:afterAutospacing="1"/>
      <w:jc w:val="left"/>
    </w:pPr>
    <w:rPr>
      <w:rFonts w:ascii="宋体" w:hAnsi="宋体" w:hint="eastAsia"/>
      <w:color w:val="FF00FF"/>
      <w:kern w:val="0"/>
      <w:sz w:val="24"/>
    </w:rPr>
  </w:style>
  <w:style w:type="paragraph" w:customStyle="1" w:styleId="105">
    <w:name w:val="样式 标题 1一级标题 + 段后: 0.5 行"/>
    <w:basedOn w:val="12"/>
    <w:semiHidden/>
    <w:qFormat/>
    <w:pPr>
      <w:keepNext w:val="0"/>
      <w:adjustRightInd w:val="0"/>
      <w:snapToGrid w:val="0"/>
      <w:spacing w:before="0" w:after="0" w:line="420" w:lineRule="auto"/>
    </w:pPr>
    <w:rPr>
      <w:rFonts w:cs="宋体"/>
      <w:b w:val="0"/>
      <w:sz w:val="28"/>
      <w:szCs w:val="28"/>
    </w:rPr>
  </w:style>
  <w:style w:type="paragraph" w:customStyle="1" w:styleId="1150">
    <w:name w:val="样式 标题 1 + 段后: 1.5 行"/>
    <w:basedOn w:val="12"/>
    <w:qFormat/>
    <w:pPr>
      <w:tabs>
        <w:tab w:val="left" w:pos="2629"/>
      </w:tabs>
      <w:adjustRightInd w:val="0"/>
      <w:snapToGrid w:val="0"/>
      <w:spacing w:beforeLines="100" w:before="0" w:afterLines="100" w:after="0" w:line="460" w:lineRule="exact"/>
      <w:jc w:val="center"/>
    </w:pPr>
    <w:rPr>
      <w:rFonts w:eastAsia="仿宋_GB2312" w:cs="宋体"/>
      <w:bCs w:val="0"/>
      <w:szCs w:val="20"/>
    </w:rPr>
  </w:style>
  <w:style w:type="paragraph" w:customStyle="1" w:styleId="afffffffffffffffffffb">
    <w:name w:val="郭峰定义"/>
    <w:basedOn w:val="a6"/>
    <w:semiHidden/>
    <w:qFormat/>
    <w:pPr>
      <w:widowControl/>
      <w:adjustRightInd w:val="0"/>
      <w:snapToGrid w:val="0"/>
      <w:spacing w:line="300" w:lineRule="auto"/>
      <w:ind w:firstLineChars="200" w:firstLine="560"/>
      <w:jc w:val="left"/>
    </w:pPr>
    <w:rPr>
      <w:rFonts w:cs="宋体"/>
      <w:kern w:val="0"/>
      <w:sz w:val="28"/>
      <w:szCs w:val="28"/>
    </w:rPr>
  </w:style>
  <w:style w:type="paragraph" w:customStyle="1" w:styleId="afffffffffffffffffffc">
    <w:name w:val="标准"/>
    <w:basedOn w:val="a6"/>
    <w:qFormat/>
    <w:pPr>
      <w:adjustRightInd w:val="0"/>
      <w:spacing w:before="120" w:line="336" w:lineRule="auto"/>
      <w:jc w:val="center"/>
    </w:pPr>
    <w:rPr>
      <w:rFonts w:ascii="黑体" w:eastAsia="黑体" w:hint="eastAsia"/>
      <w:szCs w:val="20"/>
    </w:rPr>
  </w:style>
  <w:style w:type="paragraph" w:customStyle="1" w:styleId="125">
    <w:name w:val="1 2"/>
    <w:qFormat/>
    <w:pPr>
      <w:tabs>
        <w:tab w:val="left" w:pos="-720"/>
      </w:tabs>
      <w:suppressAutoHyphens/>
    </w:pPr>
    <w:rPr>
      <w:rFonts w:ascii="Courier" w:hAnsi="Courier"/>
      <w:sz w:val="24"/>
      <w:lang w:eastAsia="en-US"/>
    </w:rPr>
  </w:style>
  <w:style w:type="paragraph" w:customStyle="1" w:styleId="reader-word-layerreader-word-s5-24">
    <w:name w:val="reader-word-layer reader-word-s5-24"/>
    <w:basedOn w:val="a6"/>
    <w:qFormat/>
    <w:pPr>
      <w:widowControl/>
      <w:spacing w:before="100" w:beforeAutospacing="1" w:after="100" w:afterAutospacing="1"/>
      <w:jc w:val="left"/>
    </w:pPr>
    <w:rPr>
      <w:rFonts w:ascii="宋体" w:hAnsi="宋体" w:cs="宋体"/>
      <w:kern w:val="0"/>
      <w:sz w:val="24"/>
    </w:rPr>
  </w:style>
  <w:style w:type="paragraph" w:customStyle="1" w:styleId="2fffa">
    <w:name w:val="表格2"/>
    <w:qFormat/>
    <w:pPr>
      <w:spacing w:line="400" w:lineRule="exact"/>
      <w:jc w:val="center"/>
    </w:pPr>
    <w:rPr>
      <w:sz w:val="21"/>
    </w:rPr>
  </w:style>
  <w:style w:type="paragraph" w:customStyle="1" w:styleId="11c">
    <w:name w:val="1 1"/>
    <w:qFormat/>
    <w:pPr>
      <w:tabs>
        <w:tab w:val="left" w:pos="-720"/>
      </w:tabs>
      <w:suppressAutoHyphens/>
    </w:pPr>
    <w:rPr>
      <w:rFonts w:ascii="Courier" w:hAnsi="Courier"/>
      <w:sz w:val="24"/>
      <w:lang w:eastAsia="en-US"/>
    </w:rPr>
  </w:style>
  <w:style w:type="paragraph" w:customStyle="1" w:styleId="CharCharCharCharCharChar1Char4">
    <w:name w:val="Char Char Char Char Char Char1 Char4"/>
    <w:basedOn w:val="a6"/>
    <w:qFormat/>
    <w:pPr>
      <w:widowControl/>
      <w:spacing w:after="160" w:line="240" w:lineRule="exact"/>
      <w:jc w:val="left"/>
    </w:pPr>
    <w:rPr>
      <w:rFonts w:ascii="Arial" w:eastAsia="Times New Roman" w:hAnsi="Arial"/>
      <w:b/>
      <w:kern w:val="0"/>
      <w:sz w:val="24"/>
      <w:szCs w:val="20"/>
      <w:lang w:eastAsia="en-US"/>
    </w:rPr>
  </w:style>
  <w:style w:type="paragraph" w:customStyle="1" w:styleId="CharCharChar1Char4">
    <w:name w:val="Char Char Char1 Char4"/>
    <w:basedOn w:val="a6"/>
    <w:next w:val="a6"/>
    <w:qFormat/>
    <w:pPr>
      <w:spacing w:line="360" w:lineRule="auto"/>
      <w:ind w:firstLineChars="200" w:firstLine="200"/>
    </w:pPr>
    <w:rPr>
      <w:rFonts w:ascii="宋体" w:eastAsia="汉鼎简书宋" w:hAnsi="宋体" w:cs="宋体"/>
      <w:sz w:val="24"/>
    </w:rPr>
  </w:style>
  <w:style w:type="paragraph" w:customStyle="1" w:styleId="afffffffffffffffffffd">
    <w:name w:val="表名称－图名称"/>
    <w:basedOn w:val="a6"/>
    <w:semiHidden/>
    <w:qFormat/>
    <w:pPr>
      <w:widowControl/>
      <w:adjustRightInd w:val="0"/>
      <w:snapToGrid w:val="0"/>
      <w:spacing w:line="300" w:lineRule="auto"/>
      <w:ind w:firstLineChars="200" w:firstLine="560"/>
      <w:jc w:val="left"/>
    </w:pPr>
    <w:rPr>
      <w:rFonts w:eastAsia="黑体" w:cs="宋体"/>
      <w:kern w:val="0"/>
      <w:sz w:val="24"/>
    </w:rPr>
  </w:style>
  <w:style w:type="paragraph" w:customStyle="1" w:styleId="CharCharCharCharCharCharCharCharCharCharCharChar1CharCharCharChar3">
    <w:name w:val="Char Char Char Char Char Char Char Char Char Char Char Char1 Char Char Char Char3"/>
    <w:basedOn w:val="a6"/>
    <w:next w:val="a6"/>
    <w:qFormat/>
    <w:pPr>
      <w:spacing w:line="336" w:lineRule="auto"/>
      <w:ind w:firstLineChars="200" w:firstLine="200"/>
    </w:pPr>
    <w:rPr>
      <w:rFonts w:ascii="宋体" w:eastAsia="汉鼎简书宋" w:hAnsi="宋体" w:cs="宋体"/>
      <w:sz w:val="24"/>
    </w:rPr>
  </w:style>
  <w:style w:type="paragraph" w:customStyle="1" w:styleId="T1">
    <w:name w:val="T标题1级"/>
    <w:basedOn w:val="12"/>
    <w:next w:val="a6"/>
    <w:qFormat/>
    <w:pPr>
      <w:keepLines w:val="0"/>
      <w:widowControl/>
      <w:numPr>
        <w:numId w:val="19"/>
      </w:numPr>
      <w:tabs>
        <w:tab w:val="left" w:pos="360"/>
        <w:tab w:val="center" w:pos="500"/>
        <w:tab w:val="left" w:pos="4300"/>
        <w:tab w:val="left" w:pos="4500"/>
        <w:tab w:val="left" w:pos="4600"/>
      </w:tabs>
      <w:overflowPunct w:val="0"/>
      <w:adjustRightInd w:val="0"/>
      <w:spacing w:before="0" w:after="0" w:line="360" w:lineRule="auto"/>
      <w:ind w:left="0" w:firstLine="0"/>
      <w:jc w:val="left"/>
      <w:textAlignment w:val="center"/>
    </w:pPr>
    <w:rPr>
      <w:rFonts w:ascii="宋体" w:hAnsi="宋体"/>
      <w:bCs w:val="0"/>
      <w:sz w:val="28"/>
      <w:szCs w:val="28"/>
    </w:rPr>
  </w:style>
  <w:style w:type="paragraph" w:customStyle="1" w:styleId="005">
    <w:name w:val="表格内容005"/>
    <w:basedOn w:val="a6"/>
    <w:qFormat/>
    <w:pPr>
      <w:tabs>
        <w:tab w:val="left" w:pos="3700"/>
      </w:tabs>
      <w:jc w:val="center"/>
    </w:pPr>
    <w:rPr>
      <w:rFonts w:ascii="宋体" w:eastAsia="楷体_GB2312" w:hAnsi="Bodoni PosterCompressed"/>
      <w:color w:val="000000"/>
      <w:sz w:val="24"/>
      <w:szCs w:val="20"/>
    </w:rPr>
  </w:style>
  <w:style w:type="paragraph" w:customStyle="1" w:styleId="CharCharCharCharCharCharCharCharCharCharCharChar3">
    <w:name w:val="Char Char Char Char Char Char Char Char Char Char Char Char3"/>
    <w:basedOn w:val="a6"/>
    <w:next w:val="a6"/>
    <w:qFormat/>
    <w:pPr>
      <w:spacing w:line="360" w:lineRule="auto"/>
      <w:ind w:firstLineChars="200" w:firstLine="200"/>
    </w:pPr>
    <w:rPr>
      <w:rFonts w:ascii="宋体" w:hAnsi="宋体" w:cs="宋体"/>
      <w:color w:val="000000"/>
      <w:w w:val="110"/>
      <w:kern w:val="0"/>
      <w:sz w:val="24"/>
    </w:rPr>
  </w:style>
  <w:style w:type="paragraph" w:customStyle="1" w:styleId="REGULAR7">
    <w:name w:val="REGULAR 7"/>
    <w:qFormat/>
    <w:pPr>
      <w:tabs>
        <w:tab w:val="left" w:pos="-720"/>
      </w:tabs>
      <w:suppressAutoHyphens/>
    </w:pPr>
    <w:rPr>
      <w:rFonts w:ascii="Courier" w:hAnsi="Courier"/>
      <w:sz w:val="24"/>
      <w:lang w:eastAsia="en-US"/>
    </w:rPr>
  </w:style>
  <w:style w:type="paragraph" w:customStyle="1" w:styleId="3ff2">
    <w:name w:val="标题 3，第三标题"/>
    <w:basedOn w:val="a6"/>
    <w:qFormat/>
    <w:pPr>
      <w:tabs>
        <w:tab w:val="left" w:pos="628"/>
        <w:tab w:val="left" w:pos="1727"/>
        <w:tab w:val="left" w:pos="1840"/>
        <w:tab w:val="left" w:pos="1884"/>
        <w:tab w:val="left" w:pos="2660"/>
        <w:tab w:val="left" w:pos="5460"/>
      </w:tabs>
      <w:snapToGrid w:val="0"/>
      <w:spacing w:beforeLines="50" w:afterLines="50" w:line="440" w:lineRule="exact"/>
      <w:ind w:left="1840" w:hanging="720"/>
      <w:jc w:val="left"/>
      <w:outlineLvl w:val="2"/>
    </w:pPr>
    <w:rPr>
      <w:rFonts w:eastAsia="黑体" w:cs="宋体"/>
      <w:color w:val="000000"/>
      <w:w w:val="110"/>
      <w:kern w:val="0"/>
      <w:sz w:val="24"/>
      <w:szCs w:val="20"/>
    </w:rPr>
  </w:style>
  <w:style w:type="paragraph" w:customStyle="1" w:styleId="afffffffffffffffffffe">
    <w:name w:val="表中字"/>
    <w:basedOn w:val="a6"/>
    <w:qFormat/>
    <w:pPr>
      <w:tabs>
        <w:tab w:val="left" w:pos="180"/>
      </w:tabs>
      <w:spacing w:line="240" w:lineRule="atLeast"/>
      <w:ind w:firstLineChars="200" w:firstLine="200"/>
    </w:pPr>
    <w:rPr>
      <w:rFonts w:hAnsi="宋体"/>
      <w:sz w:val="24"/>
      <w:szCs w:val="20"/>
    </w:rPr>
  </w:style>
  <w:style w:type="paragraph" w:customStyle="1" w:styleId="affffffffffffffffffff">
    <w:name w:val="三级条标题"/>
    <w:basedOn w:val="afffff1"/>
    <w:next w:val="a6"/>
    <w:qFormat/>
    <w:pPr>
      <w:numPr>
        <w:ilvl w:val="4"/>
      </w:numPr>
      <w:ind w:left="425" w:hanging="425"/>
      <w:outlineLvl w:val="4"/>
    </w:pPr>
  </w:style>
  <w:style w:type="paragraph" w:customStyle="1" w:styleId="SAR5">
    <w:name w:val="SAR 5"/>
    <w:qFormat/>
    <w:pPr>
      <w:tabs>
        <w:tab w:val="right" w:pos="2520"/>
        <w:tab w:val="left" w:pos="2765"/>
      </w:tabs>
      <w:suppressAutoHyphens/>
      <w:ind w:firstLine="3960"/>
    </w:pPr>
    <w:rPr>
      <w:rFonts w:ascii="Courier" w:hAnsi="Courier"/>
      <w:sz w:val="24"/>
      <w:lang w:eastAsia="en-US"/>
    </w:rPr>
  </w:style>
  <w:style w:type="paragraph" w:customStyle="1" w:styleId="50098">
    <w:name w:val="样式 表内小5 + 左侧:  0 厘米 悬挂缩进: 0.98 字符"/>
    <w:basedOn w:val="5d"/>
    <w:qFormat/>
    <w:pPr>
      <w:ind w:left="0"/>
    </w:pPr>
  </w:style>
  <w:style w:type="paragraph" w:customStyle="1" w:styleId="TAB">
    <w:name w:val="TAB"/>
    <w:basedOn w:val="af8"/>
    <w:qFormat/>
    <w:pPr>
      <w:widowControl/>
      <w:spacing w:before="60" w:after="60"/>
      <w:jc w:val="left"/>
    </w:pPr>
    <w:rPr>
      <w:rFonts w:ascii="Arial" w:hAnsi="Arial"/>
      <w:kern w:val="0"/>
      <w:sz w:val="18"/>
      <w:szCs w:val="20"/>
      <w:lang w:eastAsia="fr-FR"/>
    </w:rPr>
  </w:style>
  <w:style w:type="paragraph" w:customStyle="1" w:styleId="affffffffffffffffffff0">
    <w:name w:val="样式 普通文字 + (符号) 宋体 小四"/>
    <w:basedOn w:val="afc"/>
    <w:qFormat/>
    <w:pPr>
      <w:spacing w:line="240" w:lineRule="auto"/>
      <w:ind w:firstLineChars="0" w:firstLine="0"/>
    </w:pPr>
    <w:rPr>
      <w:rFonts w:eastAsia="宋体"/>
      <w:color w:val="auto"/>
      <w:spacing w:val="0"/>
      <w:sz w:val="24"/>
      <w:szCs w:val="20"/>
    </w:rPr>
  </w:style>
  <w:style w:type="paragraph" w:customStyle="1" w:styleId="SAR2">
    <w:name w:val="SAR 2"/>
    <w:qFormat/>
    <w:pPr>
      <w:tabs>
        <w:tab w:val="left" w:pos="605"/>
        <w:tab w:val="left" w:pos="1210"/>
      </w:tabs>
      <w:suppressAutoHyphens/>
      <w:ind w:firstLine="605"/>
    </w:pPr>
    <w:rPr>
      <w:rFonts w:ascii="Courier" w:hAnsi="Courier"/>
      <w:sz w:val="24"/>
      <w:lang w:eastAsia="en-US"/>
    </w:rPr>
  </w:style>
  <w:style w:type="paragraph" w:customStyle="1" w:styleId="reader-word-layerreader-word-s1-14">
    <w:name w:val="reader-word-layer reader-word-s1-14"/>
    <w:basedOn w:val="a6"/>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w:basedOn w:val="a6"/>
    <w:qFormat/>
    <w:rPr>
      <w:sz w:val="24"/>
    </w:rPr>
  </w:style>
  <w:style w:type="paragraph" w:customStyle="1" w:styleId="GM">
    <w:name w:val="GM"/>
    <w:basedOn w:val="12"/>
    <w:qFormat/>
    <w:pPr>
      <w:keepNext w:val="0"/>
      <w:keepLines w:val="0"/>
      <w:widowControl/>
      <w:tabs>
        <w:tab w:val="left" w:pos="2260"/>
        <w:tab w:val="left" w:pos="2820"/>
        <w:tab w:val="left" w:pos="3420"/>
      </w:tabs>
      <w:adjustRightInd w:val="0"/>
      <w:snapToGrid w:val="0"/>
      <w:spacing w:beforeLines="100" w:before="0" w:afterLines="100" w:after="0" w:line="520" w:lineRule="exact"/>
      <w:ind w:left="851" w:right="-28" w:hanging="851"/>
    </w:pPr>
    <w:rPr>
      <w:rFonts w:ascii="Arial" w:hAnsi="Arial"/>
      <w:b w:val="0"/>
      <w:bCs w:val="0"/>
      <w:kern w:val="2"/>
      <w:sz w:val="22"/>
      <w:szCs w:val="20"/>
      <w:lang w:val="en-GB"/>
    </w:rPr>
  </w:style>
  <w:style w:type="paragraph" w:customStyle="1" w:styleId="085135201">
    <w:name w:val="正文文本 首行缩进:  0.85 厘米 行距: 多倍行距 1.35 字行 + 宋体 行距: 固定值 20 磅1"/>
    <w:basedOn w:val="a6"/>
    <w:qFormat/>
    <w:pPr>
      <w:spacing w:line="400" w:lineRule="exact"/>
      <w:ind w:firstLine="482"/>
    </w:pPr>
    <w:rPr>
      <w:rFonts w:ascii="宋体" w:hAnsi="宋体" w:cs="宋体"/>
      <w:sz w:val="24"/>
      <w:szCs w:val="20"/>
    </w:rPr>
  </w:style>
  <w:style w:type="paragraph" w:customStyle="1" w:styleId="2fffb">
    <w:name w:val="标题样式2"/>
    <w:basedOn w:val="22"/>
    <w:qFormat/>
    <w:pPr>
      <w:keepNext w:val="0"/>
      <w:keepLines w:val="0"/>
      <w:tabs>
        <w:tab w:val="left" w:pos="4142"/>
        <w:tab w:val="left" w:pos="6833"/>
        <w:tab w:val="left" w:pos="9030"/>
        <w:tab w:val="left" w:pos="9287"/>
      </w:tabs>
      <w:overflowPunct w:val="0"/>
      <w:topLinePunct/>
      <w:autoSpaceDE w:val="0"/>
      <w:autoSpaceDN w:val="0"/>
      <w:adjustRightInd w:val="0"/>
      <w:snapToGrid w:val="0"/>
      <w:spacing w:beforeLines="5" w:afterLines="5" w:line="360" w:lineRule="atLeast"/>
      <w:jc w:val="center"/>
      <w:textAlignment w:val="baseline"/>
      <w:outlineLvl w:val="9"/>
    </w:pPr>
    <w:rPr>
      <w:rFonts w:hAnsi="黑体"/>
      <w:snapToGrid w:val="0"/>
      <w:spacing w:val="0"/>
      <w:w w:val="100"/>
      <w:kern w:val="2"/>
      <w:sz w:val="21"/>
      <w:szCs w:val="20"/>
    </w:rPr>
  </w:style>
  <w:style w:type="paragraph" w:customStyle="1" w:styleId="affffffffffffffffffff1">
    <w:name w:val="农贸市场表格表头"/>
    <w:basedOn w:val="a6"/>
    <w:qFormat/>
    <w:pPr>
      <w:jc w:val="center"/>
    </w:pPr>
    <w:rPr>
      <w:rFonts w:ascii="宋体" w:hAnsi="宋体" w:cs="仿宋_GB2312"/>
      <w:b/>
      <w:kern w:val="0"/>
      <w:szCs w:val="21"/>
    </w:rPr>
  </w:style>
  <w:style w:type="paragraph" w:customStyle="1" w:styleId="yiv7844428264">
    <w:name w:val="yiv7844428264"/>
    <w:basedOn w:val="a6"/>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CharCharCharCharCharCharCharCharCharCharCharCharCharCharChar2">
    <w:name w:val="Char Char Char Char Char Char Char Char Char Char Char Char Char Char Char Char Char Char Char Char Char Char Char Char2"/>
    <w:basedOn w:val="a6"/>
    <w:qFormat/>
    <w:pPr>
      <w:widowControl/>
      <w:spacing w:after="200" w:line="276" w:lineRule="auto"/>
      <w:jc w:val="left"/>
    </w:pPr>
    <w:rPr>
      <w:rFonts w:ascii="Calibri" w:hAnsi="Calibri"/>
      <w:kern w:val="0"/>
      <w:sz w:val="22"/>
      <w:lang w:eastAsia="en-US" w:bidi="en-US"/>
    </w:rPr>
  </w:style>
  <w:style w:type="paragraph" w:customStyle="1" w:styleId="5f9">
    <w:name w:val="日期5"/>
    <w:basedOn w:val="a6"/>
    <w:next w:val="a6"/>
    <w:qFormat/>
    <w:pPr>
      <w:adjustRightInd w:val="0"/>
      <w:spacing w:line="240" w:lineRule="atLeast"/>
      <w:jc w:val="left"/>
      <w:textAlignment w:val="baseline"/>
    </w:pPr>
    <w:rPr>
      <w:rFonts w:ascii="宋体"/>
      <w:kern w:val="0"/>
      <w:sz w:val="28"/>
      <w:szCs w:val="20"/>
    </w:rPr>
  </w:style>
  <w:style w:type="paragraph" w:customStyle="1" w:styleId="xx">
    <w:name w:val="x.x"/>
    <w:basedOn w:val="a6"/>
    <w:qFormat/>
    <w:pPr>
      <w:spacing w:line="360" w:lineRule="auto"/>
      <w:ind w:leftChars="200" w:left="420" w:firstLineChars="200" w:firstLine="420"/>
    </w:pPr>
    <w:rPr>
      <w:rFonts w:ascii="宋体" w:hAnsi="宋体"/>
      <w:szCs w:val="21"/>
    </w:rPr>
  </w:style>
  <w:style w:type="paragraph" w:customStyle="1" w:styleId="xl47">
    <w:name w:val="xl47"/>
    <w:basedOn w:val="a6"/>
    <w:qFormat/>
    <w:pPr>
      <w:widowControl/>
      <w:pBdr>
        <w:bottom w:val="single" w:sz="8" w:space="0" w:color="auto"/>
      </w:pBdr>
      <w:spacing w:before="100" w:beforeAutospacing="1" w:after="100" w:afterAutospacing="1"/>
      <w:jc w:val="center"/>
    </w:pPr>
    <w:rPr>
      <w:rFonts w:ascii="Arial Unicode MS" w:eastAsia="Arial Unicode MS" w:hAnsi="Arial Unicode MS"/>
      <w:kern w:val="0"/>
      <w:sz w:val="20"/>
      <w:szCs w:val="20"/>
    </w:rPr>
  </w:style>
  <w:style w:type="paragraph" w:customStyle="1" w:styleId="3388">
    <w:name w:val="样式 标题 3国寰 标题 3 + 四号 加粗 段前: 8 磅 段后: 8 磅"/>
    <w:basedOn w:val="33"/>
    <w:qFormat/>
    <w:pPr>
      <w:adjustRightInd w:val="0"/>
      <w:spacing w:line="360" w:lineRule="auto"/>
    </w:pPr>
    <w:rPr>
      <w:rFonts w:cs="宋体"/>
      <w:spacing w:val="0"/>
      <w:sz w:val="24"/>
      <w:szCs w:val="20"/>
    </w:rPr>
  </w:style>
  <w:style w:type="paragraph" w:customStyle="1" w:styleId="-14">
    <w:name w:val="表名-1"/>
    <w:basedOn w:val="a6"/>
    <w:qFormat/>
    <w:pPr>
      <w:spacing w:beforeLines="50" w:before="50" w:line="300" w:lineRule="auto"/>
      <w:jc w:val="center"/>
    </w:pPr>
    <w:rPr>
      <w:sz w:val="24"/>
      <w:szCs w:val="21"/>
    </w:rPr>
  </w:style>
  <w:style w:type="paragraph" w:customStyle="1" w:styleId="CharCharCharCharCharCharCharCharCharChar2CharCharCharCharCharChar">
    <w:name w:val="Char Char Char Char Char Char Char Char Char Char2 Char Char Char Char Char Char"/>
    <w:basedOn w:val="af4"/>
    <w:qFormat/>
    <w:pPr>
      <w:keepNext/>
      <w:widowControl/>
      <w:spacing w:beforeLines="100" w:after="200" w:line="276" w:lineRule="auto"/>
      <w:jc w:val="left"/>
    </w:pPr>
    <w:rPr>
      <w:rFonts w:ascii="Tahoma" w:eastAsia="Times New Roman" w:hAnsi="Tahoma"/>
      <w:sz w:val="24"/>
      <w:shd w:val="clear" w:color="auto" w:fill="000080"/>
    </w:rPr>
  </w:style>
  <w:style w:type="paragraph" w:customStyle="1" w:styleId="1ffff4">
    <w:name w:val="图表目录1"/>
    <w:basedOn w:val="aff8"/>
    <w:qFormat/>
    <w:pPr>
      <w:spacing w:beforeLines="60" w:before="187"/>
      <w:ind w:firstLineChars="200" w:firstLine="420"/>
      <w:jc w:val="left"/>
    </w:pPr>
  </w:style>
  <w:style w:type="paragraph" w:customStyle="1" w:styleId="affffffffffffffffffff2">
    <w:name w:val="表标"/>
    <w:basedOn w:val="a6"/>
    <w:qFormat/>
    <w:pPr>
      <w:widowControl/>
      <w:spacing w:after="200" w:line="300" w:lineRule="auto"/>
      <w:jc w:val="center"/>
    </w:pPr>
    <w:rPr>
      <w:rFonts w:ascii="Calibri" w:eastAsia="黑体" w:hAnsi="Calibri"/>
      <w:kern w:val="0"/>
      <w:sz w:val="24"/>
      <w:szCs w:val="22"/>
      <w:lang w:eastAsia="en-US" w:bidi="en-US"/>
    </w:rPr>
  </w:style>
  <w:style w:type="paragraph" w:customStyle="1" w:styleId="93">
    <w:name w:val="9点"/>
    <w:basedOn w:val="a6"/>
    <w:qFormat/>
    <w:pPr>
      <w:tabs>
        <w:tab w:val="left" w:pos="1290"/>
      </w:tabs>
      <w:adjustRightInd w:val="0"/>
      <w:snapToGrid w:val="0"/>
      <w:spacing w:line="300" w:lineRule="auto"/>
      <w:ind w:left="1290" w:hanging="720"/>
      <w:jc w:val="center"/>
    </w:pPr>
    <w:rPr>
      <w:rFonts w:ascii="宋体"/>
      <w:sz w:val="24"/>
      <w:szCs w:val="20"/>
    </w:rPr>
  </w:style>
  <w:style w:type="paragraph" w:customStyle="1" w:styleId="1-0">
    <w:name w:val="1-正文"/>
    <w:basedOn w:val="a6"/>
    <w:qFormat/>
    <w:pPr>
      <w:spacing w:line="360" w:lineRule="auto"/>
      <w:ind w:firstLineChars="200" w:firstLine="200"/>
    </w:pPr>
    <w:rPr>
      <w:rFonts w:ascii="宋体" w:hAnsi="宋体"/>
      <w:kern w:val="0"/>
      <w:sz w:val="24"/>
      <w:szCs w:val="20"/>
    </w:rPr>
  </w:style>
  <w:style w:type="paragraph" w:customStyle="1" w:styleId="TableParagraph">
    <w:name w:val="Table Paragraph"/>
    <w:basedOn w:val="a6"/>
    <w:uiPriority w:val="1"/>
    <w:qFormat/>
    <w:rPr>
      <w:rFonts w:ascii="宋体" w:hAnsi="宋体" w:cs="宋体"/>
    </w:rPr>
  </w:style>
  <w:style w:type="paragraph" w:customStyle="1" w:styleId="Style50">
    <w:name w:val="Style50"/>
    <w:basedOn w:val="a6"/>
    <w:qFormat/>
    <w:pPr>
      <w:adjustRightInd w:val="0"/>
      <w:jc w:val="left"/>
    </w:pPr>
    <w:rPr>
      <w:rFonts w:ascii="宋体"/>
      <w:kern w:val="0"/>
      <w:sz w:val="24"/>
      <w:szCs w:val="20"/>
    </w:rPr>
  </w:style>
  <w:style w:type="paragraph" w:customStyle="1" w:styleId="2fffc">
    <w:name w:val="样式2"/>
    <w:basedOn w:val="a6"/>
    <w:qFormat/>
    <w:pPr>
      <w:spacing w:line="340" w:lineRule="exact"/>
    </w:pPr>
    <w:rPr>
      <w:rFonts w:ascii="仿宋_GB2312" w:eastAsia="仿宋_GB2312"/>
      <w:szCs w:val="20"/>
    </w:rPr>
  </w:style>
  <w:style w:type="paragraph" w:customStyle="1" w:styleId="affffffffffffffffffff3">
    <w:name w:val="样式 左"/>
    <w:basedOn w:val="a6"/>
    <w:qFormat/>
    <w:pPr>
      <w:autoSpaceDE w:val="0"/>
      <w:autoSpaceDN w:val="0"/>
      <w:adjustRightInd w:val="0"/>
      <w:snapToGrid w:val="0"/>
      <w:spacing w:line="360" w:lineRule="auto"/>
      <w:ind w:firstLineChars="200" w:firstLine="200"/>
      <w:jc w:val="left"/>
    </w:pPr>
    <w:rPr>
      <w:rFonts w:ascii="宋体" w:hAnsi="宋体"/>
      <w:color w:val="000000"/>
      <w:sz w:val="24"/>
      <w:szCs w:val="20"/>
    </w:rPr>
  </w:style>
  <w:style w:type="paragraph" w:customStyle="1" w:styleId="affffffffffffffffffff4">
    <w:name w:val="正文版本"/>
    <w:basedOn w:val="a6"/>
    <w:qFormat/>
    <w:pPr>
      <w:autoSpaceDE w:val="0"/>
      <w:autoSpaceDN w:val="0"/>
      <w:adjustRightInd w:val="0"/>
      <w:snapToGrid w:val="0"/>
      <w:spacing w:line="529" w:lineRule="exact"/>
      <w:ind w:firstLineChars="200" w:firstLine="480"/>
    </w:pPr>
    <w:rPr>
      <w:sz w:val="24"/>
      <w:lang w:val="zh-CN"/>
    </w:rPr>
  </w:style>
  <w:style w:type="paragraph" w:customStyle="1" w:styleId="xl52">
    <w:name w:val="xl52"/>
    <w:basedOn w:val="a6"/>
    <w:qFormat/>
    <w:pPr>
      <w:widowControl/>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20"/>
      <w:szCs w:val="20"/>
    </w:rPr>
  </w:style>
  <w:style w:type="paragraph" w:customStyle="1" w:styleId="SubHeading">
    <w:name w:val="Sub Heading"/>
    <w:basedOn w:val="a6"/>
    <w:qFormat/>
    <w:pPr>
      <w:widowControl/>
      <w:spacing w:after="200" w:line="276" w:lineRule="auto"/>
      <w:jc w:val="left"/>
    </w:pPr>
    <w:rPr>
      <w:rFonts w:ascii="Helv" w:eastAsia="PMingLiU" w:hAnsi="Helv"/>
      <w:b/>
      <w:kern w:val="0"/>
      <w:sz w:val="24"/>
      <w:szCs w:val="20"/>
      <w:lang w:val="en-GB" w:eastAsia="zh-TW" w:bidi="en-US"/>
    </w:rPr>
  </w:style>
  <w:style w:type="paragraph" w:customStyle="1" w:styleId="affffffffffffffffffff5">
    <w:name w:val="油藏描述正文 宋体 小四"/>
    <w:basedOn w:val="a6"/>
    <w:qFormat/>
    <w:pPr>
      <w:adjustRightInd w:val="0"/>
      <w:snapToGrid w:val="0"/>
      <w:ind w:leftChars="-1" w:left="-2"/>
      <w:jc w:val="center"/>
    </w:pPr>
    <w:rPr>
      <w:szCs w:val="28"/>
    </w:rPr>
  </w:style>
  <w:style w:type="paragraph" w:customStyle="1" w:styleId="xl942">
    <w:name w:val="xl942"/>
    <w:basedOn w:val="a6"/>
    <w:qFormat/>
    <w:pPr>
      <w:widowControl/>
      <w:spacing w:before="100" w:beforeAutospacing="1" w:after="100" w:afterAutospacing="1"/>
      <w:jc w:val="left"/>
      <w:textAlignment w:val="bottom"/>
    </w:pPr>
    <w:rPr>
      <w:rFonts w:ascii="宋体" w:hAnsi="宋体" w:cs="宋体"/>
      <w:b/>
      <w:bCs/>
      <w:kern w:val="0"/>
      <w:sz w:val="24"/>
    </w:rPr>
  </w:style>
  <w:style w:type="paragraph" w:customStyle="1" w:styleId="affffffffffffffffffff6">
    <w:name w:val="正文（自定）"/>
    <w:basedOn w:val="a6"/>
    <w:qFormat/>
    <w:pPr>
      <w:widowControl/>
      <w:spacing w:line="360" w:lineRule="auto"/>
      <w:ind w:firstLineChars="200" w:firstLine="200"/>
      <w:jc w:val="left"/>
    </w:pPr>
    <w:rPr>
      <w:rFonts w:ascii="宋体" w:hAnsi="宋体" w:cs="宋体"/>
      <w:kern w:val="0"/>
      <w:sz w:val="24"/>
    </w:rPr>
  </w:style>
  <w:style w:type="paragraph" w:customStyle="1" w:styleId="Charffffffffff5">
    <w:name w:val="表题 Char"/>
    <w:basedOn w:val="a6"/>
    <w:qFormat/>
    <w:pPr>
      <w:spacing w:line="360" w:lineRule="auto"/>
      <w:jc w:val="center"/>
    </w:pPr>
    <w:rPr>
      <w:rFonts w:ascii="黑体" w:eastAsia="黑体"/>
      <w:bCs/>
      <w:sz w:val="24"/>
    </w:rPr>
  </w:style>
  <w:style w:type="paragraph" w:customStyle="1" w:styleId="affffffffffffffffffff7">
    <w:name w:val="表格标题 五号"/>
    <w:basedOn w:val="a6"/>
    <w:qFormat/>
    <w:pPr>
      <w:autoSpaceDE w:val="0"/>
      <w:autoSpaceDN w:val="0"/>
      <w:adjustRightInd w:val="0"/>
      <w:spacing w:after="120" w:line="400" w:lineRule="exact"/>
      <w:jc w:val="center"/>
    </w:pPr>
    <w:rPr>
      <w:rFonts w:ascii="宋体" w:cs="宋体"/>
      <w:b/>
      <w:snapToGrid w:val="0"/>
      <w:szCs w:val="20"/>
      <w:lang w:val="zh-CN"/>
    </w:rPr>
  </w:style>
  <w:style w:type="paragraph" w:customStyle="1" w:styleId="affffffffffffffffffff8">
    <w:name w:val="小标题"/>
    <w:basedOn w:val="a6"/>
    <w:qFormat/>
    <w:pPr>
      <w:widowControl/>
      <w:overflowPunct w:val="0"/>
      <w:snapToGrid w:val="0"/>
      <w:spacing w:after="200" w:line="480" w:lineRule="exact"/>
      <w:ind w:firstLineChars="200" w:firstLine="200"/>
      <w:jc w:val="left"/>
    </w:pPr>
    <w:rPr>
      <w:rFonts w:ascii="Arial" w:eastAsia="仿宋_GB2312" w:hAnsi="Arial"/>
      <w:b/>
      <w:kern w:val="0"/>
      <w:sz w:val="28"/>
      <w:szCs w:val="20"/>
      <w:lang w:eastAsia="en-US" w:bidi="en-US"/>
    </w:rPr>
  </w:style>
  <w:style w:type="paragraph" w:customStyle="1" w:styleId="affffffffffffffffffff9">
    <w:name w:val="农贸市场三级标题"/>
    <w:basedOn w:val="afffffffffffff7"/>
    <w:qFormat/>
    <w:pPr>
      <w:spacing w:beforeLines="50" w:before="120" w:afterLines="50" w:after="120"/>
      <w:ind w:firstLineChars="0" w:firstLine="0"/>
      <w:outlineLvl w:val="2"/>
    </w:pPr>
    <w:rPr>
      <w:rFonts w:ascii="Times New Roman" w:hAnsi="Times New Roman"/>
      <w:kern w:val="0"/>
      <w:sz w:val="28"/>
    </w:rPr>
  </w:style>
  <w:style w:type="paragraph" w:customStyle="1" w:styleId="44Char15">
    <w:name w:val="样式 标题 4标题 4 Char + 左 行距: 1.5 倍行距"/>
    <w:basedOn w:val="41"/>
    <w:qFormat/>
    <w:pPr>
      <w:keepNext w:val="0"/>
      <w:keepLines w:val="0"/>
      <w:tabs>
        <w:tab w:val="left" w:pos="1064"/>
        <w:tab w:val="left" w:pos="1200"/>
        <w:tab w:val="left" w:pos="1361"/>
      </w:tabs>
      <w:spacing w:beforeLines="0" w:before="0" w:line="360" w:lineRule="auto"/>
      <w:ind w:leftChars="400" w:left="400" w:hangingChars="200" w:hanging="200"/>
      <w:jc w:val="left"/>
    </w:pPr>
    <w:rPr>
      <w:rFonts w:ascii="Times New Roman" w:eastAsia="宋体" w:hAnsi="Times New Roman" w:cs="宋体"/>
      <w:bCs w:val="0"/>
      <w:sz w:val="24"/>
    </w:rPr>
  </w:style>
  <w:style w:type="paragraph" w:customStyle="1" w:styleId="CM26">
    <w:name w:val="CM26"/>
    <w:basedOn w:val="a6"/>
    <w:next w:val="a6"/>
    <w:qFormat/>
    <w:pPr>
      <w:autoSpaceDE w:val="0"/>
      <w:autoSpaceDN w:val="0"/>
      <w:adjustRightInd w:val="0"/>
      <w:spacing w:line="440" w:lineRule="atLeast"/>
      <w:jc w:val="left"/>
    </w:pPr>
    <w:rPr>
      <w:rFonts w:ascii="宋体-方正超大字符集" w:eastAsia="宋体-方正超大字符集"/>
      <w:color w:val="000000"/>
      <w:w w:val="110"/>
      <w:kern w:val="0"/>
      <w:sz w:val="20"/>
    </w:rPr>
  </w:style>
  <w:style w:type="paragraph" w:customStyle="1" w:styleId="132">
    <w:name w:val="13点"/>
    <w:basedOn w:val="a6"/>
    <w:qFormat/>
    <w:pPr>
      <w:adjustRightInd w:val="0"/>
      <w:snapToGrid w:val="0"/>
      <w:ind w:leftChars="-50" w:left="-105" w:rightChars="-50" w:right="-105"/>
      <w:jc w:val="center"/>
    </w:pPr>
    <w:rPr>
      <w:rFonts w:ascii="宋体" w:hAnsi="宋体"/>
      <w:sz w:val="24"/>
      <w:szCs w:val="28"/>
    </w:rPr>
  </w:style>
  <w:style w:type="paragraph" w:customStyle="1" w:styleId="3Arial0622">
    <w:name w:val="标题 3 + Arial 小四 非加粗 段前: 0 磅 段后: 6 磅 行距: 固定值 22 磅"/>
    <w:basedOn w:val="33"/>
    <w:next w:val="a6"/>
    <w:qFormat/>
    <w:pPr>
      <w:keepNext w:val="0"/>
      <w:keepLines w:val="0"/>
      <w:widowControl/>
      <w:tabs>
        <w:tab w:val="left" w:pos="720"/>
      </w:tabs>
      <w:adjustRightInd w:val="0"/>
      <w:spacing w:before="200" w:line="440" w:lineRule="exact"/>
      <w:jc w:val="left"/>
    </w:pPr>
    <w:rPr>
      <w:rFonts w:ascii="宋体" w:eastAsia="宋体" w:hAnsi="宋体"/>
      <w:b/>
      <w:spacing w:val="0"/>
      <w:kern w:val="0"/>
      <w:sz w:val="24"/>
      <w:szCs w:val="20"/>
      <w:lang w:eastAsia="en-US" w:bidi="en-US"/>
    </w:rPr>
  </w:style>
  <w:style w:type="paragraph" w:customStyle="1" w:styleId="J0">
    <w:name w:val="J【表中文字】"/>
    <w:basedOn w:val="a6"/>
    <w:qFormat/>
    <w:pPr>
      <w:jc w:val="center"/>
      <w:textAlignment w:val="center"/>
    </w:pPr>
    <w:rPr>
      <w:rFonts w:cs="宋体"/>
      <w:szCs w:val="21"/>
    </w:rPr>
  </w:style>
  <w:style w:type="paragraph" w:customStyle="1" w:styleId="xl934">
    <w:name w:val="xl934"/>
    <w:basedOn w:val="a6"/>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126">
    <w:name w:val="样式 正文文本缩进 + 首行缩进:  1 字符 行距: 固定值 26 磅"/>
    <w:basedOn w:val="a6"/>
    <w:qFormat/>
    <w:pPr>
      <w:spacing w:before="50" w:line="360" w:lineRule="auto"/>
      <w:ind w:firstLine="561"/>
      <w:jc w:val="left"/>
    </w:pPr>
    <w:rPr>
      <w:rFonts w:ascii="宋体"/>
      <w:kern w:val="0"/>
      <w:sz w:val="24"/>
      <w:szCs w:val="20"/>
    </w:rPr>
  </w:style>
  <w:style w:type="paragraph" w:customStyle="1" w:styleId="xl1067">
    <w:name w:val="xl1067"/>
    <w:basedOn w:val="a6"/>
    <w:qFormat/>
    <w:pPr>
      <w:widowControl/>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jc w:val="left"/>
    </w:pPr>
    <w:rPr>
      <w:rFonts w:ascii="Arial" w:hAnsi="Arial" w:cs="Arial"/>
      <w:kern w:val="0"/>
      <w:sz w:val="18"/>
      <w:szCs w:val="18"/>
    </w:rPr>
  </w:style>
  <w:style w:type="paragraph" w:customStyle="1" w:styleId="bt1">
    <w:name w:val="bt1"/>
    <w:basedOn w:val="a6"/>
    <w:qFormat/>
    <w:pPr>
      <w:widowControl/>
      <w:spacing w:before="100" w:beforeAutospacing="1" w:after="100" w:afterAutospacing="1" w:line="700" w:lineRule="atLeast"/>
      <w:jc w:val="left"/>
    </w:pPr>
    <w:rPr>
      <w:rFonts w:ascii="黑体" w:eastAsia="黑体" w:hAnsi="宋体" w:hint="eastAsia"/>
      <w:color w:val="000000"/>
      <w:kern w:val="0"/>
      <w:sz w:val="28"/>
      <w:szCs w:val="28"/>
    </w:rPr>
  </w:style>
  <w:style w:type="paragraph" w:customStyle="1" w:styleId="xl23">
    <w:name w:val="xl23"/>
    <w:basedOn w:val="a6"/>
    <w:qFormat/>
    <w:pPr>
      <w:widowControl/>
      <w:spacing w:beforeLines="15" w:before="100" w:beforeAutospacing="1" w:afterLines="15" w:after="100" w:afterAutospacing="1" w:line="500" w:lineRule="atLeast"/>
      <w:jc w:val="center"/>
      <w:textAlignment w:val="center"/>
    </w:pPr>
    <w:rPr>
      <w:rFonts w:ascii="宋体" w:hAnsi="宋体"/>
      <w:kern w:val="0"/>
      <w:sz w:val="28"/>
    </w:rPr>
  </w:style>
  <w:style w:type="paragraph" w:customStyle="1" w:styleId="xl1013">
    <w:name w:val="xl1013"/>
    <w:basedOn w:val="a6"/>
    <w:qFormat/>
    <w:pPr>
      <w:widowControl/>
      <w:pBdr>
        <w:top w:val="single" w:sz="8" w:space="0" w:color="FFFF00"/>
        <w:left w:val="single" w:sz="8" w:space="0" w:color="FFFF00"/>
        <w:right w:val="single" w:sz="8" w:space="0" w:color="FFFF00"/>
      </w:pBdr>
      <w:shd w:val="clear" w:color="000000" w:fill="E26B0A"/>
      <w:spacing w:before="100" w:beforeAutospacing="1" w:after="100" w:afterAutospacing="1"/>
      <w:jc w:val="center"/>
    </w:pPr>
    <w:rPr>
      <w:rFonts w:ascii="Arial" w:hAnsi="Arial" w:cs="Arial"/>
      <w:kern w:val="0"/>
      <w:sz w:val="18"/>
      <w:szCs w:val="18"/>
    </w:rPr>
  </w:style>
  <w:style w:type="paragraph" w:customStyle="1" w:styleId="affffffffffffffffffffa">
    <w:name w:val="标题三！！！！！！！"/>
    <w:basedOn w:val="33"/>
    <w:qFormat/>
    <w:pPr>
      <w:keepNext w:val="0"/>
      <w:keepLines w:val="0"/>
      <w:tabs>
        <w:tab w:val="left" w:pos="1070"/>
      </w:tabs>
      <w:spacing w:line="500" w:lineRule="exact"/>
      <w:ind w:leftChars="400" w:left="1070" w:hangingChars="200" w:hanging="360"/>
    </w:pPr>
    <w:rPr>
      <w:rFonts w:ascii="楷体_GB2312" w:eastAsia="楷体_GB2312" w:hAnsi="楷体_GB2312" w:cs="楷体_GB2312"/>
      <w:b/>
      <w:spacing w:val="0"/>
      <w:szCs w:val="28"/>
    </w:rPr>
  </w:style>
  <w:style w:type="paragraph" w:customStyle="1" w:styleId="xl1033">
    <w:name w:val="xl1033"/>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kern w:val="0"/>
      <w:sz w:val="18"/>
      <w:szCs w:val="18"/>
    </w:rPr>
  </w:style>
  <w:style w:type="paragraph" w:customStyle="1" w:styleId="2210">
    <w:name w:val="样式 宋体 小四 行距: 固定值 22 磅1"/>
    <w:basedOn w:val="a6"/>
    <w:semiHidden/>
    <w:qFormat/>
    <w:pPr>
      <w:widowControl/>
      <w:spacing w:after="200" w:line="440" w:lineRule="exact"/>
      <w:ind w:firstLineChars="200" w:firstLine="480"/>
      <w:jc w:val="left"/>
    </w:pPr>
    <w:rPr>
      <w:rFonts w:ascii="Arial Unicode MS" w:hAnsi="Arial Unicode MS"/>
      <w:kern w:val="0"/>
      <w:sz w:val="24"/>
      <w:szCs w:val="20"/>
      <w:lang w:eastAsia="en-US" w:bidi="en-US"/>
    </w:rPr>
  </w:style>
  <w:style w:type="paragraph" w:customStyle="1" w:styleId="affffffffffffffffffffb">
    <w:name w:val="正文标准样式"/>
    <w:basedOn w:val="a6"/>
    <w:qFormat/>
    <w:pPr>
      <w:adjustRightInd w:val="0"/>
      <w:spacing w:line="300" w:lineRule="auto"/>
      <w:ind w:firstLine="482"/>
      <w:textAlignment w:val="baseline"/>
    </w:pPr>
    <w:rPr>
      <w:color w:val="000000"/>
      <w:w w:val="110"/>
      <w:kern w:val="0"/>
      <w:sz w:val="24"/>
      <w:szCs w:val="20"/>
    </w:rPr>
  </w:style>
  <w:style w:type="paragraph" w:customStyle="1" w:styleId="affffffffffffffffffffc">
    <w:name w:val="特点标题"/>
    <w:basedOn w:val="a6"/>
    <w:next w:val="af9"/>
    <w:qFormat/>
    <w:pPr>
      <w:spacing w:after="120"/>
      <w:ind w:leftChars="200" w:left="420"/>
    </w:pPr>
  </w:style>
  <w:style w:type="paragraph" w:customStyle="1" w:styleId="T4">
    <w:name w:val="T标题4级"/>
    <w:basedOn w:val="41"/>
    <w:next w:val="a6"/>
    <w:qFormat/>
    <w:pPr>
      <w:widowControl/>
      <w:numPr>
        <w:ilvl w:val="3"/>
        <w:numId w:val="19"/>
      </w:numPr>
      <w:tabs>
        <w:tab w:val="left" w:pos="360"/>
      </w:tabs>
      <w:overflowPunct w:val="0"/>
      <w:autoSpaceDE w:val="0"/>
      <w:autoSpaceDN w:val="0"/>
      <w:snapToGrid/>
      <w:spacing w:beforeLines="0" w:before="0" w:afterLines="50" w:after="50" w:line="360" w:lineRule="auto"/>
      <w:ind w:leftChars="250" w:left="450" w:rightChars="50" w:right="50" w:hangingChars="200" w:hanging="200"/>
      <w:jc w:val="left"/>
      <w:textAlignment w:val="baseline"/>
    </w:pPr>
    <w:rPr>
      <w:rFonts w:ascii="Times New Roman" w:eastAsia="仿宋_GB2312" w:hAnsi="Times New Roman"/>
      <w:bCs w:val="0"/>
      <w:kern w:val="0"/>
      <w:sz w:val="24"/>
      <w:szCs w:val="24"/>
    </w:rPr>
  </w:style>
  <w:style w:type="paragraph" w:customStyle="1" w:styleId="1112">
    <w:name w:val="标题111"/>
    <w:basedOn w:val="12"/>
    <w:qFormat/>
    <w:pPr>
      <w:adjustRightInd w:val="0"/>
      <w:snapToGrid w:val="0"/>
      <w:spacing w:before="0" w:after="0" w:line="300" w:lineRule="auto"/>
    </w:pPr>
    <w:rPr>
      <w:rFonts w:ascii="黑体"/>
      <w:b w:val="0"/>
      <w:bCs w:val="0"/>
      <w:sz w:val="28"/>
    </w:rPr>
  </w:style>
  <w:style w:type="paragraph" w:customStyle="1" w:styleId="11d">
    <w:name w:val="样式 宋体 11 磅 黑色 居中"/>
    <w:basedOn w:val="a6"/>
    <w:qFormat/>
    <w:pPr>
      <w:widowControl/>
      <w:tabs>
        <w:tab w:val="left" w:pos="1727"/>
        <w:tab w:val="left" w:pos="1884"/>
      </w:tabs>
      <w:adjustRightInd w:val="0"/>
      <w:snapToGrid w:val="0"/>
      <w:spacing w:line="300" w:lineRule="auto"/>
      <w:ind w:firstLineChars="200" w:firstLine="560"/>
      <w:jc w:val="center"/>
    </w:pPr>
    <w:rPr>
      <w:rFonts w:ascii="宋体" w:hAnsi="宋体" w:cs="宋体"/>
      <w:color w:val="000000"/>
      <w:kern w:val="0"/>
      <w:sz w:val="22"/>
      <w:szCs w:val="20"/>
    </w:rPr>
  </w:style>
  <w:style w:type="paragraph" w:customStyle="1" w:styleId="affffffffffffffffffffd">
    <w:name w:val="正文+居中"/>
    <w:basedOn w:val="afc"/>
    <w:qFormat/>
    <w:pPr>
      <w:spacing w:line="240" w:lineRule="atLeast"/>
      <w:ind w:firstLineChars="0" w:firstLine="0"/>
      <w:jc w:val="center"/>
    </w:pPr>
    <w:rPr>
      <w:rFonts w:ascii="Times New Roman" w:eastAsia="宋体" w:hAnsi="Times New Roman"/>
      <w:color w:val="auto"/>
      <w:spacing w:val="0"/>
      <w:sz w:val="21"/>
      <w:szCs w:val="20"/>
    </w:rPr>
  </w:style>
  <w:style w:type="paragraph" w:customStyle="1" w:styleId="07415">
    <w:name w:val="样式 宋体 小四 首行缩进:  0.74 厘米 行距: 1.5 倍行距"/>
    <w:basedOn w:val="a6"/>
    <w:qFormat/>
    <w:pPr>
      <w:widowControl/>
      <w:spacing w:after="200" w:line="360" w:lineRule="auto"/>
      <w:jc w:val="left"/>
    </w:pPr>
    <w:rPr>
      <w:rFonts w:ascii="Arial" w:hAnsi="Arial"/>
      <w:kern w:val="0"/>
      <w:sz w:val="24"/>
      <w:szCs w:val="22"/>
      <w:lang w:eastAsia="en-US" w:bidi="en-US"/>
    </w:rPr>
  </w:style>
  <w:style w:type="paragraph" w:customStyle="1" w:styleId="5fa">
    <w:name w:val="表内5"/>
    <w:basedOn w:val="afffffffffffff9"/>
    <w:qFormat/>
    <w:pPr>
      <w:spacing w:line="240" w:lineRule="auto"/>
      <w:ind w:firstLineChars="0" w:firstLine="0"/>
      <w:jc w:val="center"/>
    </w:pPr>
    <w:rPr>
      <w:sz w:val="21"/>
      <w:szCs w:val="21"/>
    </w:rPr>
  </w:style>
  <w:style w:type="paragraph" w:customStyle="1" w:styleId="-54">
    <w:name w:val="编号-正文章条5级标题和4级条(不进目录)"/>
    <w:basedOn w:val="a6"/>
    <w:qFormat/>
    <w:pPr>
      <w:widowControl/>
      <w:numPr>
        <w:ilvl w:val="4"/>
        <w:numId w:val="14"/>
      </w:numPr>
      <w:jc w:val="left"/>
      <w:outlineLvl w:val="4"/>
    </w:pPr>
    <w:rPr>
      <w:rFonts w:ascii="Arial" w:hAnsi="Arial" w:cs="宋体"/>
      <w:kern w:val="0"/>
      <w:sz w:val="24"/>
    </w:rPr>
  </w:style>
  <w:style w:type="paragraph" w:customStyle="1" w:styleId="p0">
    <w:name w:val="p0"/>
    <w:basedOn w:val="a6"/>
    <w:qFormat/>
    <w:pPr>
      <w:widowControl/>
      <w:spacing w:line="360" w:lineRule="auto"/>
      <w:ind w:firstLine="420"/>
    </w:pPr>
    <w:rPr>
      <w:kern w:val="0"/>
      <w:sz w:val="24"/>
    </w:rPr>
  </w:style>
  <w:style w:type="paragraph" w:customStyle="1" w:styleId="xl1038">
    <w:name w:val="xl1038"/>
    <w:basedOn w:val="a6"/>
    <w:qFormat/>
    <w:pPr>
      <w:widowControl/>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jc w:val="center"/>
    </w:pPr>
    <w:rPr>
      <w:rFonts w:ascii="Arial" w:hAnsi="Arial" w:cs="Arial"/>
      <w:kern w:val="0"/>
      <w:sz w:val="18"/>
      <w:szCs w:val="18"/>
    </w:rPr>
  </w:style>
  <w:style w:type="paragraph" w:customStyle="1" w:styleId="chin">
    <w:name w:val="样式　正文缩进chin"/>
    <w:basedOn w:val="a6"/>
    <w:qFormat/>
    <w:pPr>
      <w:spacing w:line="360" w:lineRule="auto"/>
      <w:ind w:firstLineChars="218" w:firstLine="523"/>
    </w:pPr>
    <w:rPr>
      <w:rFonts w:cs="宋体"/>
      <w:kern w:val="0"/>
      <w:sz w:val="24"/>
    </w:rPr>
  </w:style>
  <w:style w:type="paragraph" w:customStyle="1" w:styleId="affffffffffffffffffffe">
    <w:name w:val="裴正文"/>
    <w:qFormat/>
    <w:pPr>
      <w:adjustRightInd w:val="0"/>
      <w:snapToGrid w:val="0"/>
      <w:spacing w:after="200" w:line="500" w:lineRule="exact"/>
      <w:ind w:firstLineChars="200" w:firstLine="200"/>
    </w:pPr>
    <w:rPr>
      <w:rFonts w:ascii="Calibri" w:hAnsi="Calibri"/>
      <w:bCs/>
      <w:snapToGrid w:val="0"/>
      <w:sz w:val="24"/>
      <w:szCs w:val="22"/>
    </w:rPr>
  </w:style>
  <w:style w:type="paragraph" w:customStyle="1" w:styleId="afffffffffffffffffffff">
    <w:name w:val="样式 标题 + 两端对齐"/>
    <w:basedOn w:val="aa"/>
    <w:qFormat/>
    <w:pPr>
      <w:pageBreakBefore w:val="0"/>
      <w:tabs>
        <w:tab w:val="left" w:pos="0"/>
      </w:tabs>
      <w:spacing w:before="0" w:after="100" w:afterAutospacing="1" w:line="360" w:lineRule="auto"/>
      <w:ind w:left="57" w:hanging="57"/>
    </w:pPr>
    <w:rPr>
      <w:rFonts w:ascii="隶书" w:eastAsia="隶书" w:hAnsi="Arial" w:cs="宋体"/>
      <w:kern w:val="0"/>
      <w:sz w:val="44"/>
      <w:szCs w:val="44"/>
    </w:rPr>
  </w:style>
  <w:style w:type="paragraph" w:customStyle="1" w:styleId="xl1023">
    <w:name w:val="xl1023"/>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8"/>
      <w:szCs w:val="18"/>
    </w:rPr>
  </w:style>
  <w:style w:type="paragraph" w:customStyle="1" w:styleId="IDDS">
    <w:name w:val="IDDS表格正文"/>
    <w:basedOn w:val="a6"/>
    <w:qFormat/>
    <w:pPr>
      <w:spacing w:line="300" w:lineRule="auto"/>
      <w:ind w:firstLineChars="200" w:firstLine="200"/>
      <w:jc w:val="center"/>
    </w:pPr>
    <w:rPr>
      <w:rFonts w:cs="宋体"/>
      <w:sz w:val="24"/>
      <w:szCs w:val="20"/>
    </w:rPr>
  </w:style>
  <w:style w:type="paragraph" w:customStyle="1" w:styleId="xl1031">
    <w:name w:val="xl1031"/>
    <w:basedOn w:val="a6"/>
    <w:qFormat/>
    <w:pPr>
      <w:widowControl/>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jc w:val="left"/>
    </w:pPr>
    <w:rPr>
      <w:rFonts w:ascii="宋体" w:hAnsi="宋体" w:cs="宋体"/>
      <w:kern w:val="0"/>
      <w:sz w:val="18"/>
      <w:szCs w:val="18"/>
    </w:rPr>
  </w:style>
  <w:style w:type="paragraph" w:customStyle="1" w:styleId="CharCharCharChar50">
    <w:name w:val="Char Char Char Char5"/>
    <w:basedOn w:val="a6"/>
    <w:qFormat/>
    <w:pPr>
      <w:snapToGrid w:val="0"/>
      <w:spacing w:line="440" w:lineRule="atLeast"/>
    </w:pPr>
    <w:rPr>
      <w:rFonts w:ascii="宋体"/>
      <w:sz w:val="24"/>
    </w:rPr>
  </w:style>
  <w:style w:type="paragraph" w:customStyle="1" w:styleId="afffffffffffffffffffff0">
    <w:name w:val="表头文字"/>
    <w:basedOn w:val="af0"/>
    <w:qFormat/>
    <w:pPr>
      <w:widowControl/>
      <w:adjustRightInd/>
      <w:snapToGrid w:val="0"/>
      <w:spacing w:after="200" w:line="276" w:lineRule="auto"/>
      <w:ind w:firstLineChars="200" w:firstLine="0"/>
      <w:jc w:val="center"/>
      <w:textAlignment w:val="auto"/>
    </w:pPr>
    <w:rPr>
      <w:rFonts w:ascii="Arial" w:eastAsia="楷体_GB2312" w:hAnsi="Arial"/>
      <w:b/>
      <w:kern w:val="2"/>
      <w:sz w:val="21"/>
      <w:szCs w:val="20"/>
    </w:rPr>
  </w:style>
  <w:style w:type="paragraph" w:customStyle="1" w:styleId="2fffd">
    <w:name w:val="2"/>
    <w:basedOn w:val="a6"/>
    <w:next w:val="a6"/>
    <w:uiPriority w:val="99"/>
    <w:qFormat/>
    <w:rPr>
      <w:rFonts w:ascii="宋体" w:hAnsi="宋体"/>
      <w:spacing w:val="-24"/>
      <w:sz w:val="24"/>
      <w:szCs w:val="20"/>
    </w:rPr>
  </w:style>
  <w:style w:type="paragraph" w:customStyle="1" w:styleId="xl1050">
    <w:name w:val="xl1050"/>
    <w:basedOn w:val="a6"/>
    <w:qFormat/>
    <w:pPr>
      <w:widowControl/>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jc w:val="center"/>
    </w:pPr>
    <w:rPr>
      <w:rFonts w:ascii="Arial" w:hAnsi="Arial" w:cs="Arial"/>
      <w:kern w:val="0"/>
      <w:sz w:val="18"/>
      <w:szCs w:val="18"/>
    </w:rPr>
  </w:style>
  <w:style w:type="paragraph" w:customStyle="1" w:styleId="afffffffffffffffffffff1">
    <w:name w:val="国寰 正文"/>
    <w:basedOn w:val="a6"/>
    <w:qFormat/>
    <w:pPr>
      <w:spacing w:line="360" w:lineRule="auto"/>
      <w:ind w:firstLineChars="200" w:firstLine="200"/>
    </w:pPr>
    <w:rPr>
      <w:rFonts w:cs="宋体"/>
      <w:color w:val="000000"/>
      <w:sz w:val="24"/>
      <w:szCs w:val="20"/>
    </w:rPr>
  </w:style>
  <w:style w:type="paragraph" w:customStyle="1" w:styleId="320">
    <w:name w:val="样式32"/>
    <w:basedOn w:val="a6"/>
    <w:qFormat/>
    <w:pPr>
      <w:tabs>
        <w:tab w:val="left" w:pos="5865"/>
      </w:tabs>
      <w:adjustRightInd w:val="0"/>
      <w:snapToGrid w:val="0"/>
      <w:spacing w:beforeLines="50" w:before="120" w:line="300" w:lineRule="auto"/>
      <w:ind w:firstLine="489"/>
      <w:jc w:val="center"/>
    </w:pPr>
    <w:rPr>
      <w:rFonts w:ascii="黑体" w:eastAsia="黑体"/>
      <w:kern w:val="0"/>
      <w:szCs w:val="21"/>
    </w:rPr>
  </w:style>
  <w:style w:type="paragraph" w:customStyle="1" w:styleId="20505TimesNewRoman02">
    <w:name w:val="样式 样式 标题 2 + 段前: 0.5 行 段后: 0.5 行 + Times New Roman 段前: 0.2 行 段..."/>
    <w:basedOn w:val="a6"/>
    <w:qFormat/>
    <w:pPr>
      <w:keepNext/>
      <w:keepLines/>
      <w:spacing w:beforeLines="20" w:afterLines="20" w:line="360" w:lineRule="auto"/>
      <w:outlineLvl w:val="1"/>
    </w:pPr>
    <w:rPr>
      <w:rFonts w:cs="宋体"/>
      <w:b/>
      <w:bCs/>
      <w:sz w:val="30"/>
      <w:szCs w:val="20"/>
    </w:rPr>
  </w:style>
  <w:style w:type="paragraph" w:customStyle="1" w:styleId="0742">
    <w:name w:val="样式 样式 左侧:  0.74 厘米 + 首行缩进:  2 字符"/>
    <w:basedOn w:val="a6"/>
    <w:qFormat/>
    <w:pPr>
      <w:spacing w:line="400" w:lineRule="exact"/>
      <w:ind w:firstLineChars="200" w:firstLine="480"/>
    </w:pPr>
    <w:rPr>
      <w:rFonts w:ascii="宋体" w:hAnsi="宋体" w:cs="宋体"/>
      <w:sz w:val="24"/>
      <w:szCs w:val="20"/>
    </w:rPr>
  </w:style>
  <w:style w:type="paragraph" w:customStyle="1" w:styleId="xl1052">
    <w:name w:val="xl1052"/>
    <w:basedOn w:val="a6"/>
    <w:qFormat/>
    <w:pPr>
      <w:widowControl/>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jc w:val="left"/>
    </w:pPr>
    <w:rPr>
      <w:rFonts w:ascii="Arial" w:hAnsi="Arial" w:cs="Arial"/>
      <w:kern w:val="0"/>
      <w:sz w:val="18"/>
      <w:szCs w:val="18"/>
    </w:rPr>
  </w:style>
  <w:style w:type="paragraph" w:customStyle="1" w:styleId="1q">
    <w:name w:val="标题1q"/>
    <w:basedOn w:val="12"/>
    <w:qFormat/>
    <w:pPr>
      <w:tabs>
        <w:tab w:val="left" w:pos="432"/>
      </w:tabs>
      <w:spacing w:before="340" w:after="330" w:line="360" w:lineRule="auto"/>
      <w:ind w:left="431" w:firstLineChars="200" w:firstLine="200"/>
      <w:jc w:val="center"/>
    </w:pPr>
    <w:rPr>
      <w:rFonts w:ascii="华文仿宋" w:eastAsia="华文仿宋" w:cs="宋体"/>
      <w:b w:val="0"/>
      <w:sz w:val="32"/>
      <w:szCs w:val="32"/>
    </w:rPr>
  </w:style>
  <w:style w:type="paragraph" w:customStyle="1" w:styleId="p17">
    <w:name w:val="p17"/>
    <w:basedOn w:val="a6"/>
    <w:qFormat/>
    <w:pPr>
      <w:widowControl/>
      <w:snapToGrid w:val="0"/>
      <w:spacing w:line="360" w:lineRule="auto"/>
      <w:jc w:val="center"/>
      <w:textAlignment w:val="baseline"/>
    </w:pPr>
    <w:rPr>
      <w:rFonts w:ascii="宋体" w:hAnsi="宋体"/>
      <w:kern w:val="0"/>
      <w:sz w:val="24"/>
      <w:szCs w:val="20"/>
    </w:rPr>
  </w:style>
  <w:style w:type="paragraph" w:customStyle="1" w:styleId="SLCON1">
    <w:name w:val="表（或图）标题 样式 宋体 小四号 居中 SL CON"/>
    <w:basedOn w:val="a6"/>
    <w:qFormat/>
    <w:pPr>
      <w:widowControl/>
      <w:tabs>
        <w:tab w:val="left" w:pos="377"/>
      </w:tabs>
      <w:spacing w:before="100" w:beforeAutospacing="1" w:line="360" w:lineRule="auto"/>
      <w:jc w:val="center"/>
    </w:pPr>
    <w:rPr>
      <w:rFonts w:ascii="宋体" w:hAnsi="宋体" w:cs="宋体"/>
      <w:b/>
      <w:kern w:val="0"/>
      <w:sz w:val="24"/>
      <w:szCs w:val="20"/>
    </w:rPr>
  </w:style>
  <w:style w:type="paragraph" w:customStyle="1" w:styleId="xl957">
    <w:name w:val="xl95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fffffffffffffffffff2">
    <w:name w:val="四级条标题"/>
    <w:basedOn w:val="affffffffffffffffffff"/>
    <w:next w:val="a6"/>
    <w:qFormat/>
    <w:pPr>
      <w:numPr>
        <w:ilvl w:val="5"/>
      </w:numPr>
      <w:ind w:left="425" w:hanging="425"/>
      <w:outlineLvl w:val="5"/>
    </w:pPr>
  </w:style>
  <w:style w:type="paragraph" w:customStyle="1" w:styleId="xl1026">
    <w:name w:val="xl102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8"/>
      <w:szCs w:val="18"/>
    </w:rPr>
  </w:style>
  <w:style w:type="paragraph" w:customStyle="1" w:styleId="CharChar1CharCharCharChar">
    <w:name w:val="Char Char1 Char Char Char Char"/>
    <w:basedOn w:val="a6"/>
    <w:qFormat/>
    <w:rPr>
      <w:sz w:val="24"/>
    </w:rPr>
  </w:style>
  <w:style w:type="paragraph" w:customStyle="1" w:styleId="300">
    <w:name w:val="样式 行距: 固定值 30 磅"/>
    <w:basedOn w:val="a6"/>
    <w:uiPriority w:val="99"/>
    <w:qFormat/>
    <w:pPr>
      <w:spacing w:line="600" w:lineRule="exact"/>
      <w:ind w:firstLineChars="200" w:firstLine="560"/>
    </w:pPr>
    <w:rPr>
      <w:rFonts w:ascii="宋体" w:cs="宋体"/>
      <w:szCs w:val="21"/>
    </w:rPr>
  </w:style>
  <w:style w:type="paragraph" w:customStyle="1" w:styleId="xl1001">
    <w:name w:val="xl1001"/>
    <w:basedOn w:val="a6"/>
    <w:qFormat/>
    <w:pPr>
      <w:widowControl/>
      <w:pBdr>
        <w:top w:val="single" w:sz="8" w:space="0" w:color="auto"/>
        <w:left w:val="single" w:sz="4" w:space="0" w:color="auto"/>
        <w:bottom w:val="single" w:sz="4" w:space="0" w:color="auto"/>
        <w:right w:val="single" w:sz="4" w:space="0" w:color="auto"/>
      </w:pBdr>
      <w:shd w:val="clear" w:color="000000" w:fill="E26B0A"/>
      <w:spacing w:before="100" w:beforeAutospacing="1" w:after="100" w:afterAutospacing="1"/>
      <w:jc w:val="center"/>
    </w:pPr>
    <w:rPr>
      <w:rFonts w:ascii="Arial" w:hAnsi="Arial" w:cs="Arial"/>
      <w:kern w:val="0"/>
      <w:sz w:val="18"/>
      <w:szCs w:val="18"/>
    </w:rPr>
  </w:style>
  <w:style w:type="paragraph" w:customStyle="1" w:styleId="afffffffffffffffffffff3">
    <w:name w:val="节的样式"/>
    <w:basedOn w:val="a6"/>
    <w:qFormat/>
    <w:pPr>
      <w:widowControl/>
      <w:ind w:firstLineChars="200" w:firstLine="560"/>
      <w:jc w:val="center"/>
    </w:pPr>
    <w:rPr>
      <w:rFonts w:ascii="宋体" w:hAnsi="宋体" w:cs="宋体"/>
      <w:kern w:val="0"/>
      <w:sz w:val="28"/>
      <w:szCs w:val="20"/>
    </w:rPr>
  </w:style>
  <w:style w:type="paragraph" w:customStyle="1" w:styleId="afffffffffffffffffffff4">
    <w:name w:val="章标题(不加入目录内)"/>
    <w:basedOn w:val="aa"/>
    <w:qFormat/>
    <w:pPr>
      <w:keepLines/>
      <w:spacing w:after="120" w:line="240" w:lineRule="auto"/>
      <w:outlineLvl w:val="9"/>
    </w:pPr>
    <w:rPr>
      <w:rFonts w:eastAsia="黑体"/>
      <w:bCs w:val="0"/>
      <w:kern w:val="0"/>
      <w:sz w:val="36"/>
      <w:szCs w:val="20"/>
    </w:rPr>
  </w:style>
  <w:style w:type="paragraph" w:customStyle="1" w:styleId="Char3e">
    <w:name w:val="Char3"/>
    <w:basedOn w:val="a6"/>
    <w:qFormat/>
    <w:pPr>
      <w:snapToGrid w:val="0"/>
      <w:spacing w:line="360" w:lineRule="auto"/>
      <w:ind w:firstLineChars="200" w:firstLine="529"/>
    </w:pPr>
    <w:rPr>
      <w:rFonts w:ascii="宋体" w:hAnsi="宋体"/>
      <w:b/>
    </w:rPr>
  </w:style>
  <w:style w:type="paragraph" w:customStyle="1" w:styleId="xl1055">
    <w:name w:val="xl1055"/>
    <w:basedOn w:val="a6"/>
    <w:qFormat/>
    <w:pPr>
      <w:widowControl/>
      <w:shd w:val="clear" w:color="000000" w:fill="0070C0"/>
      <w:spacing w:before="100" w:beforeAutospacing="1" w:after="100" w:afterAutospacing="1"/>
      <w:jc w:val="left"/>
      <w:textAlignment w:val="bottom"/>
    </w:pPr>
    <w:rPr>
      <w:rFonts w:ascii="Arial" w:hAnsi="Arial" w:cs="Arial"/>
      <w:kern w:val="0"/>
      <w:sz w:val="24"/>
    </w:rPr>
  </w:style>
  <w:style w:type="paragraph" w:customStyle="1" w:styleId="218">
    <w:name w:val="纯文本21"/>
    <w:basedOn w:val="a6"/>
    <w:qFormat/>
    <w:pPr>
      <w:adjustRightInd w:val="0"/>
      <w:jc w:val="left"/>
      <w:textAlignment w:val="baseline"/>
    </w:pPr>
    <w:rPr>
      <w:rFonts w:ascii="宋体"/>
      <w:kern w:val="0"/>
      <w:sz w:val="24"/>
      <w:szCs w:val="20"/>
    </w:rPr>
  </w:style>
  <w:style w:type="paragraph" w:customStyle="1" w:styleId="CharCharCharCharCharCharCharCharCharCharCharCharChar">
    <w:name w:val="Char Char Char Char Char Char Char Char Char Char Char Char Char"/>
    <w:basedOn w:val="a6"/>
    <w:qFormat/>
    <w:pPr>
      <w:spacing w:line="360" w:lineRule="auto"/>
    </w:pPr>
    <w:rPr>
      <w:rFonts w:eastAsia="黑体"/>
      <w:kern w:val="0"/>
      <w:sz w:val="32"/>
      <w:szCs w:val="32"/>
    </w:rPr>
  </w:style>
  <w:style w:type="paragraph" w:customStyle="1" w:styleId="xl945">
    <w:name w:val="xl94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54">
    <w:name w:val="xl54"/>
    <w:basedOn w:val="a6"/>
    <w:qFormat/>
    <w:pPr>
      <w:widowControl/>
      <w:pBdr>
        <w:left w:val="single" w:sz="4" w:space="0" w:color="auto"/>
        <w:bottom w:val="single" w:sz="4" w:space="0" w:color="auto"/>
      </w:pBdr>
      <w:spacing w:before="100" w:beforeAutospacing="1" w:after="100" w:afterAutospacing="1"/>
      <w:jc w:val="center"/>
      <w:textAlignment w:val="center"/>
    </w:pPr>
    <w:rPr>
      <w:rFonts w:ascii="宋体" w:eastAsia="Arial Unicode MS"/>
      <w:kern w:val="0"/>
      <w:sz w:val="24"/>
      <w:szCs w:val="20"/>
    </w:rPr>
  </w:style>
  <w:style w:type="paragraph" w:customStyle="1" w:styleId="afffffffffffffffffffff5">
    <w:name w:val="表中五"/>
    <w:basedOn w:val="a6"/>
    <w:qFormat/>
    <w:pPr>
      <w:framePr w:hSpace="180" w:wrap="around" w:vAnchor="text" w:hAnchor="margin" w:y="314"/>
      <w:snapToGrid w:val="0"/>
      <w:ind w:leftChars="-46" w:left="-110" w:firstLineChars="19" w:firstLine="40"/>
      <w:jc w:val="center"/>
    </w:pPr>
    <w:rPr>
      <w:kern w:val="0"/>
      <w:szCs w:val="20"/>
    </w:rPr>
  </w:style>
  <w:style w:type="paragraph" w:customStyle="1" w:styleId="font17">
    <w:name w:val="font17"/>
    <w:basedOn w:val="a6"/>
    <w:qFormat/>
    <w:pPr>
      <w:widowControl/>
      <w:spacing w:before="100" w:beforeAutospacing="1" w:after="100" w:afterAutospacing="1"/>
      <w:jc w:val="left"/>
    </w:pPr>
    <w:rPr>
      <w:rFonts w:ascii="宋体" w:hAnsi="宋体" w:cs="宋体"/>
      <w:color w:val="000000"/>
      <w:kern w:val="0"/>
      <w:sz w:val="18"/>
      <w:szCs w:val="18"/>
    </w:rPr>
  </w:style>
  <w:style w:type="paragraph" w:customStyle="1" w:styleId="HP3">
    <w:name w:val="HP3"/>
    <w:basedOn w:val="33"/>
    <w:qFormat/>
    <w:pPr>
      <w:keepNext w:val="0"/>
      <w:adjustRightInd w:val="0"/>
      <w:spacing w:beforeLines="50" w:afterLines="50" w:line="520" w:lineRule="exact"/>
      <w:jc w:val="left"/>
    </w:pPr>
    <w:rPr>
      <w:rFonts w:ascii="宋体" w:hAnsi="宋体" w:cs="宋体"/>
      <w:b/>
      <w:spacing w:val="0"/>
      <w:szCs w:val="24"/>
    </w:rPr>
  </w:style>
  <w:style w:type="paragraph" w:customStyle="1" w:styleId="321">
    <w:name w:val="正文文本缩进 32"/>
    <w:basedOn w:val="a6"/>
    <w:qFormat/>
    <w:pPr>
      <w:tabs>
        <w:tab w:val="left" w:pos="0"/>
      </w:tabs>
      <w:adjustRightInd w:val="0"/>
      <w:spacing w:line="396" w:lineRule="atLeast"/>
      <w:ind w:firstLine="560"/>
      <w:jc w:val="left"/>
      <w:textAlignment w:val="baseline"/>
    </w:pPr>
    <w:rPr>
      <w:rFonts w:ascii="宋体"/>
      <w:kern w:val="0"/>
      <w:sz w:val="24"/>
      <w:szCs w:val="20"/>
    </w:rPr>
  </w:style>
  <w:style w:type="paragraph" w:customStyle="1" w:styleId="94">
    <w:name w:val="9"/>
    <w:basedOn w:val="a6"/>
    <w:next w:val="afc"/>
    <w:qFormat/>
    <w:rPr>
      <w:rFonts w:ascii="宋体" w:hAnsi="Courier New" w:cs="Courier New"/>
      <w:szCs w:val="21"/>
    </w:rPr>
  </w:style>
  <w:style w:type="paragraph" w:customStyle="1" w:styleId="xl1036">
    <w:name w:val="xl1036"/>
    <w:basedOn w:val="a6"/>
    <w:qFormat/>
    <w:pPr>
      <w:widowControl/>
      <w:pBdr>
        <w:top w:val="single" w:sz="8" w:space="0" w:color="FFFF00"/>
        <w:left w:val="single" w:sz="8" w:space="0" w:color="FFFF00"/>
        <w:bottom w:val="single" w:sz="8" w:space="0" w:color="FFFF00"/>
        <w:right w:val="single" w:sz="8" w:space="0" w:color="FFFF00"/>
      </w:pBdr>
      <w:shd w:val="clear" w:color="000000" w:fill="C7EDCC"/>
      <w:spacing w:before="100" w:beforeAutospacing="1" w:after="100" w:afterAutospacing="1"/>
      <w:jc w:val="center"/>
    </w:pPr>
    <w:rPr>
      <w:rFonts w:ascii="Arial" w:hAnsi="Arial" w:cs="Arial"/>
      <w:kern w:val="0"/>
      <w:sz w:val="18"/>
      <w:szCs w:val="18"/>
    </w:rPr>
  </w:style>
  <w:style w:type="paragraph" w:customStyle="1" w:styleId="CharCharCharCharCharCharCharCharCharCharCharCharCharCharCharCharCharCharCharCharCharCharChar1">
    <w:name w:val="Char Char Char Char Char Char Char Char Char Char Char Char Char Char Char Char Char Char Char Char Char Char Char1"/>
    <w:basedOn w:val="a6"/>
    <w:qFormat/>
  </w:style>
  <w:style w:type="paragraph" w:customStyle="1" w:styleId="a2">
    <w:name w:val="前言、引言标题"/>
    <w:next w:val="a6"/>
    <w:qFormat/>
    <w:pPr>
      <w:numPr>
        <w:numId w:val="6"/>
      </w:numPr>
      <w:shd w:val="clear" w:color="FFFFFF" w:fill="FFFFFF"/>
      <w:spacing w:before="640" w:after="560"/>
      <w:jc w:val="center"/>
      <w:outlineLvl w:val="0"/>
    </w:pPr>
    <w:rPr>
      <w:rFonts w:ascii="黑体" w:eastAsia="黑体"/>
      <w:sz w:val="32"/>
    </w:rPr>
  </w:style>
  <w:style w:type="paragraph" w:customStyle="1" w:styleId="afffffffffffffffffffff6">
    <w:name w:val="正文式样"/>
    <w:basedOn w:val="af0"/>
    <w:qFormat/>
    <w:pPr>
      <w:adjustRightInd/>
      <w:spacing w:line="240" w:lineRule="auto"/>
      <w:ind w:firstLine="601"/>
      <w:jc w:val="both"/>
      <w:textAlignment w:val="auto"/>
    </w:pPr>
    <w:rPr>
      <w:rFonts w:ascii="Times New Roman" w:hAnsi="Times New Roman"/>
      <w:kern w:val="2"/>
      <w:sz w:val="28"/>
      <w:szCs w:val="20"/>
    </w:rPr>
  </w:style>
  <w:style w:type="paragraph" w:customStyle="1" w:styleId="xl998">
    <w:name w:val="xl998"/>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afffffffffffffffffffff7">
    <w:name w:val="样式"/>
    <w:basedOn w:val="a6"/>
    <w:next w:val="afc"/>
    <w:qFormat/>
    <w:rPr>
      <w:rFonts w:ascii="宋体" w:hAnsi="Courier New"/>
      <w:szCs w:val="21"/>
    </w:rPr>
  </w:style>
  <w:style w:type="paragraph" w:customStyle="1" w:styleId="afffffffffffffffffffff8">
    <w:name w:val="图框"/>
    <w:basedOn w:val="a6"/>
    <w:qFormat/>
    <w:pPr>
      <w:jc w:val="center"/>
    </w:pPr>
  </w:style>
  <w:style w:type="paragraph" w:customStyle="1" w:styleId="CharCharCharCharCharCharChar3">
    <w:name w:val="Char Char Char Char Char Char Char3"/>
    <w:basedOn w:val="a6"/>
    <w:qFormat/>
    <w:rPr>
      <w:sz w:val="28"/>
      <w:szCs w:val="20"/>
    </w:rPr>
  </w:style>
  <w:style w:type="paragraph" w:customStyle="1" w:styleId="3ff3">
    <w:name w:val="封面3"/>
    <w:qFormat/>
    <w:rPr>
      <w:rFonts w:ascii="宋体" w:hAnsi="宋体"/>
      <w:sz w:val="96"/>
      <w:szCs w:val="96"/>
    </w:rPr>
  </w:style>
  <w:style w:type="paragraph" w:customStyle="1" w:styleId="2fffe">
    <w:name w:val="封面2"/>
    <w:basedOn w:val="a6"/>
    <w:qFormat/>
    <w:pPr>
      <w:jc w:val="center"/>
    </w:pPr>
    <w:rPr>
      <w:b/>
      <w:sz w:val="44"/>
    </w:rPr>
  </w:style>
  <w:style w:type="paragraph" w:customStyle="1" w:styleId="CharCharCharCharCharCharCharCharCharCharCharChar1CharCharCharChar1">
    <w:name w:val="Char Char Char Char Char Char Char Char Char Char Char Char1 Char Char Char Char1"/>
    <w:basedOn w:val="a6"/>
    <w:next w:val="a6"/>
    <w:qFormat/>
    <w:pPr>
      <w:spacing w:line="336" w:lineRule="auto"/>
      <w:ind w:firstLineChars="200" w:firstLine="200"/>
    </w:pPr>
    <w:rPr>
      <w:rFonts w:ascii="宋体" w:eastAsia="汉鼎简书宋" w:hAnsi="宋体" w:cs="宋体"/>
      <w:sz w:val="24"/>
    </w:rPr>
  </w:style>
  <w:style w:type="paragraph" w:customStyle="1" w:styleId="xl987">
    <w:name w:val="xl98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18"/>
      <w:szCs w:val="18"/>
    </w:rPr>
  </w:style>
  <w:style w:type="paragraph" w:customStyle="1" w:styleId="reader-word-layerreader-word-s3-7">
    <w:name w:val="reader-word-layer reader-word-s3-7"/>
    <w:basedOn w:val="a6"/>
    <w:qFormat/>
    <w:pPr>
      <w:widowControl/>
      <w:spacing w:before="100" w:beforeAutospacing="1" w:after="100" w:afterAutospacing="1"/>
      <w:jc w:val="left"/>
    </w:pPr>
    <w:rPr>
      <w:rFonts w:ascii="宋体" w:hAnsi="宋体" w:cs="宋体"/>
      <w:kern w:val="0"/>
      <w:sz w:val="24"/>
    </w:rPr>
  </w:style>
  <w:style w:type="paragraph" w:customStyle="1" w:styleId="CM126">
    <w:name w:val="CM126"/>
    <w:basedOn w:val="Default"/>
    <w:next w:val="Default"/>
    <w:qFormat/>
    <w:pPr>
      <w:spacing w:after="158"/>
    </w:pPr>
    <w:rPr>
      <w:rFonts w:ascii="Sim Sun" w:eastAsia="Sim Sun" w:hAnsi="Calibri"/>
      <w:color w:val="auto"/>
    </w:rPr>
  </w:style>
  <w:style w:type="paragraph" w:customStyle="1" w:styleId="afffffffffffffffffffff9">
    <w:name w:val="关键词"/>
    <w:qFormat/>
    <w:pPr>
      <w:widowControl w:val="0"/>
      <w:adjustRightInd w:val="0"/>
      <w:spacing w:line="360" w:lineRule="auto"/>
      <w:jc w:val="both"/>
      <w:textAlignment w:val="baseline"/>
    </w:pPr>
    <w:rPr>
      <w:rFonts w:eastAsia="黑体"/>
      <w:sz w:val="24"/>
      <w:szCs w:val="24"/>
    </w:rPr>
  </w:style>
  <w:style w:type="paragraph" w:customStyle="1" w:styleId="xl1064">
    <w:name w:val="xl1064"/>
    <w:basedOn w:val="a6"/>
    <w:qFormat/>
    <w:pPr>
      <w:widowControl/>
      <w:pBdr>
        <w:top w:val="single" w:sz="8" w:space="0" w:color="FFFF00"/>
        <w:left w:val="single" w:sz="8" w:space="0" w:color="FFFF00"/>
        <w:bottom w:val="single" w:sz="8" w:space="0" w:color="FFFF00"/>
        <w:right w:val="single" w:sz="4" w:space="0" w:color="auto"/>
      </w:pBdr>
      <w:shd w:val="clear" w:color="000000" w:fill="0070C0"/>
      <w:spacing w:before="100" w:beforeAutospacing="1" w:after="100" w:afterAutospacing="1"/>
      <w:jc w:val="center"/>
    </w:pPr>
    <w:rPr>
      <w:rFonts w:ascii="Arial" w:hAnsi="Arial" w:cs="Arial"/>
      <w:kern w:val="0"/>
      <w:sz w:val="18"/>
      <w:szCs w:val="18"/>
    </w:rPr>
  </w:style>
  <w:style w:type="paragraph" w:customStyle="1" w:styleId="CharChar1Char2">
    <w:name w:val="Char Char1 Char2"/>
    <w:basedOn w:val="a6"/>
    <w:next w:val="a6"/>
    <w:qFormat/>
    <w:pPr>
      <w:spacing w:line="360" w:lineRule="auto"/>
      <w:ind w:firstLineChars="200" w:firstLine="200"/>
    </w:pPr>
    <w:rPr>
      <w:rFonts w:ascii="宋体" w:hAnsi="宋体" w:cs="宋体"/>
      <w:sz w:val="24"/>
    </w:rPr>
  </w:style>
  <w:style w:type="paragraph" w:customStyle="1" w:styleId="TOC2">
    <w:name w:val="TOC 标题2"/>
    <w:basedOn w:val="12"/>
    <w:next w:val="a6"/>
    <w:qFormat/>
    <w:pPr>
      <w:widowControl/>
      <w:tabs>
        <w:tab w:val="left" w:pos="2629"/>
      </w:tabs>
      <w:spacing w:before="480" w:after="0" w:line="276" w:lineRule="auto"/>
      <w:jc w:val="left"/>
      <w:outlineLvl w:val="9"/>
    </w:pPr>
    <w:rPr>
      <w:rFonts w:ascii="Cambria" w:hAnsi="Cambria"/>
      <w:color w:val="365F91"/>
      <w:kern w:val="0"/>
      <w:sz w:val="28"/>
      <w:szCs w:val="28"/>
    </w:rPr>
  </w:style>
  <w:style w:type="paragraph" w:customStyle="1" w:styleId="CharCharCharCharCharCharCharCharCharCharCharCharCharCharCharCharChar1">
    <w:name w:val="Char Char Char Char Char Char Char Char Char Char Char Char Char Char Char Char Char1"/>
    <w:basedOn w:val="a6"/>
    <w:qFormat/>
  </w:style>
  <w:style w:type="paragraph" w:customStyle="1" w:styleId="afffffffffffffffffffffa">
    <w:name w:val="框图"/>
    <w:basedOn w:val="a6"/>
    <w:qFormat/>
    <w:pPr>
      <w:jc w:val="center"/>
    </w:pPr>
    <w:rPr>
      <w:sz w:val="18"/>
    </w:rPr>
  </w:style>
  <w:style w:type="paragraph" w:customStyle="1" w:styleId="afffffffffffffffffffffb">
    <w:name w:val="南郊正文"/>
    <w:basedOn w:val="a6"/>
    <w:next w:val="a6"/>
    <w:qFormat/>
    <w:rPr>
      <w:rFonts w:eastAsia="仿宋_GB2312" w:cs="宋体"/>
      <w:szCs w:val="21"/>
    </w:rPr>
  </w:style>
  <w:style w:type="paragraph" w:customStyle="1" w:styleId="Charffffffffff6">
    <w:name w:val="Char"/>
    <w:basedOn w:val="a6"/>
    <w:qFormat/>
  </w:style>
  <w:style w:type="paragraph" w:customStyle="1" w:styleId="afffffffffffffffffffffc">
    <w:name w:val="样式 表格内容 + (中文) 宋体 居中"/>
    <w:basedOn w:val="a6"/>
    <w:qFormat/>
    <w:pPr>
      <w:overflowPunct w:val="0"/>
      <w:adjustRightInd w:val="0"/>
      <w:snapToGrid w:val="0"/>
      <w:spacing w:after="120" w:line="440" w:lineRule="exact"/>
      <w:jc w:val="center"/>
      <w:textAlignment w:val="baseline"/>
    </w:pPr>
    <w:rPr>
      <w:rFonts w:ascii="Arial" w:hAnsi="Arial" w:cs="宋体"/>
      <w:kern w:val="0"/>
      <w:szCs w:val="21"/>
    </w:rPr>
  </w:style>
  <w:style w:type="paragraph" w:customStyle="1" w:styleId="2051">
    <w:name w:val="样式 首行缩进:  2 字符 段前: 0.5 行1"/>
    <w:basedOn w:val="a6"/>
    <w:semiHidden/>
    <w:qFormat/>
    <w:pPr>
      <w:keepNext/>
      <w:widowControl/>
      <w:tabs>
        <w:tab w:val="left" w:pos="432"/>
      </w:tabs>
      <w:snapToGrid w:val="0"/>
      <w:ind w:left="432" w:firstLineChars="200" w:firstLine="200"/>
      <w:jc w:val="left"/>
    </w:pPr>
    <w:rPr>
      <w:rFonts w:ascii="宋体" w:cs="宋体"/>
      <w:kern w:val="0"/>
      <w:sz w:val="28"/>
      <w:szCs w:val="20"/>
    </w:rPr>
  </w:style>
  <w:style w:type="paragraph" w:customStyle="1" w:styleId="511">
    <w:name w:val="标题51"/>
    <w:basedOn w:val="a6"/>
    <w:next w:val="affc"/>
    <w:qFormat/>
    <w:pPr>
      <w:keepNext/>
      <w:spacing w:line="360" w:lineRule="auto"/>
      <w:ind w:firstLine="567"/>
      <w:outlineLvl w:val="4"/>
    </w:pPr>
    <w:rPr>
      <w:color w:val="000000"/>
      <w:w w:val="110"/>
      <w:kern w:val="0"/>
      <w:sz w:val="28"/>
      <w:szCs w:val="21"/>
    </w:rPr>
  </w:style>
  <w:style w:type="paragraph" w:customStyle="1" w:styleId="T30">
    <w:name w:val="T标题3级"/>
    <w:basedOn w:val="33"/>
    <w:next w:val="a6"/>
    <w:qFormat/>
    <w:pPr>
      <w:widowControl/>
      <w:tabs>
        <w:tab w:val="left" w:pos="360"/>
        <w:tab w:val="left" w:pos="500"/>
      </w:tabs>
      <w:overflowPunct w:val="0"/>
      <w:spacing w:line="360" w:lineRule="auto"/>
      <w:ind w:rightChars="50" w:right="100"/>
      <w:jc w:val="left"/>
      <w:textAlignment w:val="baseline"/>
    </w:pPr>
    <w:rPr>
      <w:rFonts w:ascii="宋体" w:eastAsia="宋体" w:hAnsi="宋体"/>
      <w:b/>
      <w:spacing w:val="0"/>
      <w:kern w:val="0"/>
      <w:sz w:val="24"/>
      <w:szCs w:val="24"/>
    </w:rPr>
  </w:style>
  <w:style w:type="paragraph" w:customStyle="1" w:styleId="afffffffffffffffffffffd">
    <w:name w:val="中文表标题"/>
    <w:basedOn w:val="a6"/>
    <w:next w:val="a6"/>
    <w:qFormat/>
    <w:pPr>
      <w:keepNext/>
      <w:widowControl/>
      <w:overflowPunct w:val="0"/>
      <w:adjustRightInd w:val="0"/>
      <w:snapToGrid w:val="0"/>
      <w:spacing w:before="480" w:after="360" w:line="500" w:lineRule="exact"/>
      <w:jc w:val="center"/>
      <w:textAlignment w:val="baseline"/>
    </w:pPr>
    <w:rPr>
      <w:rFonts w:eastAsia="楷体_GB2312"/>
      <w:kern w:val="0"/>
      <w:sz w:val="28"/>
      <w:szCs w:val="20"/>
    </w:rPr>
  </w:style>
  <w:style w:type="paragraph" w:customStyle="1" w:styleId="xl972">
    <w:name w:val="xl972"/>
    <w:basedOn w:val="a6"/>
    <w:qFormat/>
    <w:pPr>
      <w:widowControl/>
      <w:spacing w:before="100" w:beforeAutospacing="1" w:after="100" w:afterAutospacing="1"/>
      <w:jc w:val="center"/>
    </w:pPr>
    <w:rPr>
      <w:kern w:val="0"/>
      <w:sz w:val="18"/>
      <w:szCs w:val="18"/>
    </w:rPr>
  </w:style>
  <w:style w:type="paragraph" w:customStyle="1" w:styleId="340">
    <w:name w:val="正文文本缩进 34"/>
    <w:basedOn w:val="a6"/>
    <w:qFormat/>
    <w:pPr>
      <w:tabs>
        <w:tab w:val="left" w:pos="0"/>
      </w:tabs>
      <w:adjustRightInd w:val="0"/>
      <w:spacing w:line="396" w:lineRule="atLeast"/>
      <w:ind w:firstLine="560"/>
      <w:jc w:val="left"/>
      <w:textAlignment w:val="baseline"/>
    </w:pPr>
    <w:rPr>
      <w:rFonts w:ascii="宋体"/>
      <w:kern w:val="0"/>
      <w:sz w:val="24"/>
      <w:szCs w:val="20"/>
    </w:rPr>
  </w:style>
  <w:style w:type="paragraph" w:customStyle="1" w:styleId="xl1009">
    <w:name w:val="xl1009"/>
    <w:basedOn w:val="a6"/>
    <w:qFormat/>
    <w:pPr>
      <w:widowControl/>
      <w:pBdr>
        <w:top w:val="single" w:sz="8" w:space="0" w:color="FFFF00"/>
        <w:left w:val="single" w:sz="8" w:space="0" w:color="FFFF00"/>
        <w:bottom w:val="single" w:sz="8" w:space="0" w:color="FFFF00"/>
        <w:right w:val="single" w:sz="8" w:space="0" w:color="FFFF00"/>
      </w:pBdr>
      <w:shd w:val="clear" w:color="000000" w:fill="E26B0A"/>
      <w:spacing w:before="100" w:beforeAutospacing="1" w:after="100" w:afterAutospacing="1"/>
      <w:jc w:val="center"/>
    </w:pPr>
    <w:rPr>
      <w:rFonts w:ascii="Arial" w:hAnsi="Arial" w:cs="Arial"/>
      <w:kern w:val="0"/>
      <w:sz w:val="18"/>
      <w:szCs w:val="18"/>
    </w:rPr>
  </w:style>
  <w:style w:type="paragraph" w:customStyle="1" w:styleId="afffffffffffffffffffffe">
    <w:name w:val="表中"/>
    <w:qFormat/>
    <w:pPr>
      <w:spacing w:line="280" w:lineRule="exact"/>
      <w:jc w:val="center"/>
    </w:pPr>
    <w:rPr>
      <w:rFonts w:hAnsi="Batang"/>
      <w:color w:val="000000"/>
      <w:spacing w:val="20"/>
      <w:sz w:val="18"/>
    </w:rPr>
  </w:style>
  <w:style w:type="paragraph" w:customStyle="1" w:styleId="xl22">
    <w:name w:val="xl2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kern w:val="0"/>
      <w:sz w:val="24"/>
      <w:szCs w:val="20"/>
    </w:rPr>
  </w:style>
  <w:style w:type="paragraph" w:customStyle="1" w:styleId="T2">
    <w:name w:val="T标题2级"/>
    <w:basedOn w:val="22"/>
    <w:next w:val="33"/>
    <w:qFormat/>
    <w:pPr>
      <w:widowControl/>
      <w:numPr>
        <w:ilvl w:val="1"/>
        <w:numId w:val="19"/>
      </w:numPr>
      <w:tabs>
        <w:tab w:val="center" w:pos="500"/>
      </w:tabs>
      <w:overflowPunct w:val="0"/>
      <w:ind w:rightChars="50" w:right="100"/>
      <w:contextualSpacing/>
      <w:jc w:val="center"/>
      <w:textAlignment w:val="center"/>
    </w:pPr>
    <w:rPr>
      <w:bCs w:val="0"/>
      <w:spacing w:val="0"/>
      <w:w w:val="100"/>
      <w:kern w:val="0"/>
      <w:sz w:val="24"/>
      <w:szCs w:val="24"/>
    </w:rPr>
  </w:style>
  <w:style w:type="paragraph" w:customStyle="1" w:styleId="10303">
    <w:name w:val="样式 标题 1第一标题 + 段前: 0.3 行 段后: 0.3 行"/>
    <w:basedOn w:val="11a"/>
    <w:qFormat/>
    <w:pPr>
      <w:tabs>
        <w:tab w:val="left" w:pos="405"/>
      </w:tabs>
      <w:autoSpaceDE w:val="0"/>
      <w:autoSpaceDN w:val="0"/>
      <w:adjustRightInd w:val="0"/>
      <w:spacing w:beforeLines="50" w:afterLines="30" w:line="240" w:lineRule="auto"/>
      <w:ind w:left="405" w:hanging="405"/>
    </w:pPr>
    <w:rPr>
      <w:rFonts w:ascii="Times New Roman" w:eastAsia="黑体" w:hAnsi="Times New Roman" w:cs="宋体"/>
      <w:b w:val="0"/>
      <w:bCs w:val="0"/>
      <w:kern w:val="0"/>
      <w:sz w:val="32"/>
      <w:szCs w:val="24"/>
      <w:lang w:val="zh-CN"/>
    </w:rPr>
  </w:style>
  <w:style w:type="paragraph" w:customStyle="1" w:styleId="affffffffffffffffffffff">
    <w:name w:val="表名、图名"/>
    <w:basedOn w:val="a6"/>
    <w:qFormat/>
    <w:pPr>
      <w:adjustRightInd w:val="0"/>
      <w:snapToGrid w:val="0"/>
      <w:spacing w:line="360" w:lineRule="auto"/>
      <w:ind w:firstLineChars="200" w:firstLine="200"/>
      <w:jc w:val="center"/>
    </w:pPr>
    <w:rPr>
      <w:rFonts w:ascii="Arial" w:eastAsia="黑体" w:hAnsi="Arial"/>
      <w:color w:val="FF0000"/>
      <w:spacing w:val="4"/>
      <w:kern w:val="0"/>
      <w:sz w:val="24"/>
      <w:szCs w:val="21"/>
    </w:rPr>
  </w:style>
  <w:style w:type="paragraph" w:customStyle="1" w:styleId="xl943">
    <w:name w:val="xl943"/>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8"/>
      <w:szCs w:val="18"/>
    </w:rPr>
  </w:style>
  <w:style w:type="paragraph" w:customStyle="1" w:styleId="affffffffffffffffffffff0">
    <w:name w:val="样式 表左 +"/>
    <w:qFormat/>
    <w:pPr>
      <w:keepNext/>
      <w:tabs>
        <w:tab w:val="left" w:pos="1727"/>
        <w:tab w:val="left" w:pos="1884"/>
      </w:tabs>
      <w:snapToGrid w:val="0"/>
      <w:spacing w:line="240" w:lineRule="atLeast"/>
      <w:ind w:leftChars="20" w:left="56"/>
      <w:outlineLvl w:val="0"/>
    </w:pPr>
    <w:rPr>
      <w:rFonts w:ascii="宋体" w:hAnsi="宋体" w:cs="宋体"/>
    </w:rPr>
  </w:style>
  <w:style w:type="paragraph" w:customStyle="1" w:styleId="affffffffffffffffffffff1">
    <w:name w:val="表左"/>
    <w:basedOn w:val="a6"/>
    <w:next w:val="a6"/>
    <w:qFormat/>
    <w:pPr>
      <w:adjustRightInd w:val="0"/>
      <w:spacing w:line="280" w:lineRule="exact"/>
      <w:ind w:firstLine="567"/>
      <w:jc w:val="center"/>
      <w:textAlignment w:val="baseline"/>
    </w:pPr>
    <w:rPr>
      <w:rFonts w:ascii="仿宋_GB2312" w:eastAsia="仿宋_GB2312"/>
      <w:color w:val="000000"/>
      <w:szCs w:val="21"/>
    </w:rPr>
  </w:style>
  <w:style w:type="paragraph" w:customStyle="1" w:styleId="reader-word-layerreader-word-s1-15">
    <w:name w:val="reader-word-layer reader-word-s1-15"/>
    <w:basedOn w:val="a6"/>
    <w:qFormat/>
    <w:pPr>
      <w:widowControl/>
      <w:spacing w:before="100" w:beforeAutospacing="1" w:after="100" w:afterAutospacing="1"/>
      <w:jc w:val="left"/>
    </w:pPr>
    <w:rPr>
      <w:rFonts w:ascii="宋体" w:hAnsi="宋体" w:cs="宋体"/>
      <w:kern w:val="0"/>
      <w:sz w:val="24"/>
    </w:rPr>
  </w:style>
  <w:style w:type="paragraph" w:customStyle="1" w:styleId="050510">
    <w:name w:val="样式 样式 段前: 0.5 行 段后: 0.5 行 + 左侧:  1 厘米 首行缩进:  0 厘米"/>
    <w:qFormat/>
    <w:pPr>
      <w:tabs>
        <w:tab w:val="left" w:pos="1727"/>
        <w:tab w:val="left" w:pos="1884"/>
      </w:tabs>
    </w:pPr>
  </w:style>
  <w:style w:type="paragraph" w:customStyle="1" w:styleId="0505">
    <w:name w:val="样式 段前: 0.5 行 段后: 0.5 行"/>
    <w:basedOn w:val="a6"/>
    <w:qFormat/>
    <w:pPr>
      <w:widowControl/>
      <w:tabs>
        <w:tab w:val="left" w:pos="1727"/>
        <w:tab w:val="left" w:pos="1884"/>
      </w:tabs>
      <w:spacing w:line="300" w:lineRule="auto"/>
      <w:ind w:firstLine="567"/>
      <w:jc w:val="left"/>
      <w:outlineLvl w:val="0"/>
    </w:pPr>
    <w:rPr>
      <w:rFonts w:ascii="宋体" w:cs="宋体"/>
      <w:kern w:val="0"/>
      <w:sz w:val="28"/>
      <w:szCs w:val="20"/>
    </w:rPr>
  </w:style>
  <w:style w:type="paragraph" w:customStyle="1" w:styleId="HD3">
    <w:name w:val="HD3"/>
    <w:basedOn w:val="a6"/>
    <w:qFormat/>
    <w:pPr>
      <w:keepNext/>
      <w:keepLines/>
      <w:spacing w:before="120" w:after="120" w:line="480" w:lineRule="exact"/>
      <w:outlineLvl w:val="4"/>
    </w:pPr>
    <w:rPr>
      <w:b/>
      <w:sz w:val="28"/>
      <w:szCs w:val="20"/>
    </w:rPr>
  </w:style>
  <w:style w:type="paragraph" w:customStyle="1" w:styleId="affffffffffffffffffffff2">
    <w:name w:val="第一章章节"/>
    <w:basedOn w:val="12"/>
    <w:qFormat/>
    <w:pPr>
      <w:keepNext w:val="0"/>
      <w:keepLines w:val="0"/>
      <w:tabs>
        <w:tab w:val="left" w:pos="2629"/>
      </w:tabs>
      <w:spacing w:before="0" w:afterLines="50" w:after="0" w:line="360" w:lineRule="auto"/>
      <w:ind w:left="2159" w:hanging="1619"/>
      <w:jc w:val="center"/>
    </w:pPr>
    <w:rPr>
      <w:rFonts w:eastAsia="隶书"/>
      <w:bCs w:val="0"/>
      <w:color w:val="000000"/>
      <w:kern w:val="2"/>
      <w:sz w:val="44"/>
    </w:rPr>
  </w:style>
  <w:style w:type="paragraph" w:customStyle="1" w:styleId="219">
    <w:name w:val="样式 表格文字 + 首行缩进:  2 字符1"/>
    <w:basedOn w:val="afffb"/>
    <w:qFormat/>
    <w:pPr>
      <w:keepNext/>
      <w:tabs>
        <w:tab w:val="left" w:pos="1727"/>
        <w:tab w:val="left" w:pos="1884"/>
      </w:tabs>
      <w:autoSpaceDE/>
      <w:autoSpaceDN/>
      <w:spacing w:line="0" w:lineRule="atLeast"/>
      <w:jc w:val="both"/>
    </w:pPr>
    <w:rPr>
      <w:rFonts w:hAnsi="Calibri" w:cs="宋体"/>
      <w:kern w:val="0"/>
    </w:rPr>
  </w:style>
  <w:style w:type="paragraph" w:customStyle="1" w:styleId="mxj">
    <w:name w:val="mxj表格文字"/>
    <w:basedOn w:val="a6"/>
    <w:qFormat/>
    <w:pPr>
      <w:tabs>
        <w:tab w:val="right" w:leader="dot" w:pos="-296"/>
        <w:tab w:val="left" w:pos="492"/>
      </w:tabs>
      <w:autoSpaceDE w:val="0"/>
      <w:autoSpaceDN w:val="0"/>
      <w:snapToGrid w:val="0"/>
      <w:jc w:val="center"/>
    </w:pPr>
    <w:rPr>
      <w:kern w:val="0"/>
      <w:szCs w:val="20"/>
    </w:rPr>
  </w:style>
  <w:style w:type="paragraph" w:customStyle="1" w:styleId="PlainText3">
    <w:name w:val="Plain Text3"/>
    <w:basedOn w:val="a6"/>
    <w:qFormat/>
    <w:pPr>
      <w:adjustRightInd w:val="0"/>
      <w:jc w:val="left"/>
    </w:pPr>
    <w:rPr>
      <w:rFonts w:ascii="宋体" w:hAnsi="Courier New" w:hint="eastAsia"/>
      <w:sz w:val="24"/>
      <w:szCs w:val="20"/>
    </w:rPr>
  </w:style>
  <w:style w:type="paragraph" w:customStyle="1" w:styleId="affffffffffffffffffffff3">
    <w:name w:val="环保章标题"/>
    <w:basedOn w:val="33"/>
    <w:qFormat/>
    <w:pPr>
      <w:keepNext w:val="0"/>
      <w:adjustRightInd w:val="0"/>
      <w:spacing w:beforeLines="50" w:afterLines="50" w:line="416" w:lineRule="atLeast"/>
      <w:ind w:firstLineChars="200" w:firstLine="200"/>
      <w:jc w:val="left"/>
    </w:pPr>
    <w:rPr>
      <w:rFonts w:hAnsi="黑体"/>
      <w:b/>
      <w:spacing w:val="0"/>
      <w:szCs w:val="24"/>
    </w:rPr>
  </w:style>
  <w:style w:type="paragraph" w:customStyle="1" w:styleId="2ffff">
    <w:name w:val="样式 表格文字 + 首行缩进:  2 字符"/>
    <w:basedOn w:val="afffb"/>
    <w:qFormat/>
    <w:pPr>
      <w:keepNext/>
      <w:autoSpaceDE/>
      <w:autoSpaceDN/>
      <w:spacing w:line="0" w:lineRule="atLeast"/>
      <w:ind w:firstLineChars="200" w:firstLine="560"/>
      <w:jc w:val="both"/>
    </w:pPr>
    <w:rPr>
      <w:rFonts w:hAnsi="Calibri" w:cs="宋体"/>
      <w:kern w:val="0"/>
    </w:rPr>
  </w:style>
  <w:style w:type="paragraph" w:customStyle="1" w:styleId="reader-word-layerreader-word-s39-3reader-word-s39-4">
    <w:name w:val="reader-word-layer reader-word-s39-3 reader-word-s39-4"/>
    <w:basedOn w:val="a6"/>
    <w:qFormat/>
    <w:pPr>
      <w:widowControl/>
      <w:spacing w:before="100" w:beforeAutospacing="1" w:after="100" w:afterAutospacing="1"/>
      <w:jc w:val="left"/>
    </w:pPr>
    <w:rPr>
      <w:rFonts w:ascii="宋体" w:hAnsi="宋体" w:cs="宋体"/>
      <w:color w:val="000000"/>
      <w:w w:val="110"/>
      <w:kern w:val="0"/>
      <w:sz w:val="24"/>
    </w:rPr>
  </w:style>
  <w:style w:type="paragraph" w:customStyle="1" w:styleId="06">
    <w:name w:val="样式 正文首行缩进 + 首行缩进:  0 厘米"/>
    <w:basedOn w:val="affc"/>
    <w:qFormat/>
    <w:pPr>
      <w:tabs>
        <w:tab w:val="left" w:pos="628"/>
        <w:tab w:val="left" w:pos="1727"/>
        <w:tab w:val="left" w:pos="1884"/>
      </w:tabs>
      <w:spacing w:line="300" w:lineRule="auto"/>
      <w:ind w:firstLine="0"/>
      <w:outlineLvl w:val="0"/>
    </w:pPr>
    <w:rPr>
      <w:rFonts w:cs="宋体"/>
      <w:bCs w:val="0"/>
      <w:spacing w:val="0"/>
      <w:kern w:val="2"/>
      <w:sz w:val="21"/>
      <w:szCs w:val="21"/>
    </w:rPr>
  </w:style>
  <w:style w:type="paragraph" w:customStyle="1" w:styleId="affffffffffffffffffffff4">
    <w:name w:val="标题二！！！！！"/>
    <w:basedOn w:val="22"/>
    <w:qFormat/>
    <w:pPr>
      <w:keepNext w:val="0"/>
      <w:keepLines w:val="0"/>
      <w:spacing w:before="120" w:line="500" w:lineRule="exact"/>
    </w:pPr>
    <w:rPr>
      <w:rFonts w:ascii="楷体_GB2312" w:eastAsia="楷体_GB2312" w:hAnsi="楷体_GB2312" w:cs="楷体_GB2312"/>
      <w:spacing w:val="0"/>
      <w:w w:val="100"/>
      <w:kern w:val="2"/>
      <w:sz w:val="30"/>
      <w:szCs w:val="30"/>
    </w:rPr>
  </w:style>
  <w:style w:type="paragraph" w:customStyle="1" w:styleId="T5">
    <w:name w:val="T标题5级"/>
    <w:basedOn w:val="50"/>
    <w:next w:val="a6"/>
    <w:qFormat/>
    <w:pPr>
      <w:widowControl/>
      <w:numPr>
        <w:ilvl w:val="4"/>
        <w:numId w:val="19"/>
      </w:numPr>
      <w:tabs>
        <w:tab w:val="left" w:pos="360"/>
      </w:tabs>
      <w:overflowPunct w:val="0"/>
      <w:autoSpaceDE w:val="0"/>
      <w:autoSpaceDN w:val="0"/>
      <w:adjustRightInd w:val="0"/>
      <w:spacing w:before="0" w:after="0" w:line="360" w:lineRule="auto"/>
      <w:ind w:leftChars="350" w:left="550" w:rightChars="50" w:right="50" w:hangingChars="200" w:hanging="200"/>
      <w:jc w:val="left"/>
      <w:textAlignment w:val="baseline"/>
    </w:pPr>
    <w:rPr>
      <w:rFonts w:eastAsia="仿宋_GB2312"/>
      <w:b w:val="0"/>
      <w:bCs w:val="0"/>
      <w:kern w:val="0"/>
      <w:sz w:val="24"/>
      <w:szCs w:val="24"/>
    </w:rPr>
  </w:style>
  <w:style w:type="paragraph" w:customStyle="1" w:styleId="BodyTextIndent23">
    <w:name w:val="Body Text Indent 23"/>
    <w:basedOn w:val="a6"/>
    <w:qFormat/>
    <w:pPr>
      <w:adjustRightInd w:val="0"/>
      <w:ind w:firstLine="425"/>
      <w:jc w:val="left"/>
    </w:pPr>
    <w:rPr>
      <w:sz w:val="24"/>
      <w:szCs w:val="20"/>
    </w:rPr>
  </w:style>
  <w:style w:type="paragraph" w:customStyle="1" w:styleId="affffffffffffffffffffff5">
    <w:name w:val="样式 小四 行距: 单倍行距"/>
    <w:basedOn w:val="a6"/>
    <w:qFormat/>
    <w:rPr>
      <w:rFonts w:ascii="Arial" w:hAnsi="Arial" w:cs="宋体"/>
      <w:sz w:val="24"/>
      <w:szCs w:val="20"/>
    </w:rPr>
  </w:style>
  <w:style w:type="paragraph" w:customStyle="1" w:styleId="CM22">
    <w:name w:val="CM22"/>
    <w:basedOn w:val="Default"/>
    <w:next w:val="Default"/>
    <w:qFormat/>
    <w:rPr>
      <w:rFonts w:ascii="黑体" w:eastAsia="黑体"/>
      <w:color w:val="auto"/>
    </w:rPr>
  </w:style>
  <w:style w:type="paragraph" w:customStyle="1" w:styleId="CharCharCharCharCharCharCharCharCharCharCharCharCharChar0">
    <w:name w:val="Char Char Char Char Char Char Char Char Char Char Char Char Char Char"/>
    <w:basedOn w:val="af4"/>
    <w:qFormat/>
    <w:pPr>
      <w:keepNext/>
      <w:spacing w:beforeLines="100"/>
    </w:pPr>
    <w:rPr>
      <w:rFonts w:ascii="Tahoma" w:hAnsi="Tahoma"/>
      <w:sz w:val="24"/>
    </w:rPr>
  </w:style>
  <w:style w:type="paragraph" w:customStyle="1" w:styleId="affffffffffffffffffffff6">
    <w:name w:val="表内文字"/>
    <w:basedOn w:val="a6"/>
    <w:uiPriority w:val="99"/>
    <w:qFormat/>
    <w:pPr>
      <w:wordWrap w:val="0"/>
      <w:topLinePunct/>
      <w:autoSpaceDE w:val="0"/>
      <w:autoSpaceDN w:val="0"/>
      <w:adjustRightInd w:val="0"/>
      <w:snapToGrid w:val="0"/>
      <w:jc w:val="center"/>
    </w:pPr>
    <w:rPr>
      <w:rFonts w:ascii="宋体" w:hAnsi="宋体"/>
      <w:snapToGrid w:val="0"/>
      <w:kern w:val="0"/>
    </w:rPr>
  </w:style>
  <w:style w:type="paragraph" w:customStyle="1" w:styleId="BodyText24">
    <w:name w:val="Body Text 24"/>
    <w:basedOn w:val="a6"/>
    <w:qFormat/>
    <w:pPr>
      <w:adjustRightInd w:val="0"/>
      <w:ind w:firstLine="567"/>
      <w:jc w:val="left"/>
      <w:textAlignment w:val="baseline"/>
    </w:pPr>
    <w:rPr>
      <w:sz w:val="28"/>
      <w:szCs w:val="20"/>
    </w:rPr>
  </w:style>
  <w:style w:type="paragraph" w:customStyle="1" w:styleId="12Char">
    <w:name w:val="12 Char"/>
    <w:basedOn w:val="a6"/>
    <w:qFormat/>
    <w:pPr>
      <w:spacing w:line="360" w:lineRule="auto"/>
      <w:ind w:firstLineChars="200" w:firstLine="200"/>
      <w:jc w:val="left"/>
    </w:pPr>
    <w:rPr>
      <w:rFonts w:ascii="宋体" w:hAnsi="宋体"/>
      <w:position w:val="-6"/>
      <w:sz w:val="28"/>
      <w:szCs w:val="20"/>
      <w:u w:val="single"/>
    </w:rPr>
  </w:style>
  <w:style w:type="paragraph" w:customStyle="1" w:styleId="21121122Char1TimesNewRoman">
    <w:name w:val="样式 标题 21.1标题 21.1标题2标题 2 Char1节 + (符号) Times New Roman"/>
    <w:basedOn w:val="22"/>
    <w:qFormat/>
    <w:pPr>
      <w:keepLines w:val="0"/>
      <w:tabs>
        <w:tab w:val="left" w:pos="0"/>
        <w:tab w:val="left" w:pos="700"/>
        <w:tab w:val="left" w:pos="998"/>
      </w:tabs>
      <w:snapToGrid w:val="0"/>
      <w:spacing w:line="336" w:lineRule="auto"/>
      <w:ind w:left="180" w:hanging="576"/>
      <w:outlineLvl w:val="2"/>
    </w:pPr>
    <w:rPr>
      <w:b/>
      <w:bCs w:val="0"/>
      <w:color w:val="000000"/>
      <w:spacing w:val="0"/>
      <w:w w:val="100"/>
      <w:kern w:val="2"/>
    </w:rPr>
  </w:style>
  <w:style w:type="paragraph" w:customStyle="1" w:styleId="new">
    <w:name w:val="new"/>
    <w:basedOn w:val="a6"/>
    <w:qFormat/>
    <w:pPr>
      <w:snapToGrid w:val="0"/>
      <w:spacing w:line="360" w:lineRule="auto"/>
      <w:ind w:firstLineChars="200" w:firstLine="480"/>
    </w:pPr>
    <w:rPr>
      <w:rFonts w:eastAsia="仿宋_GB2312"/>
      <w:sz w:val="24"/>
    </w:rPr>
  </w:style>
  <w:style w:type="paragraph" w:customStyle="1" w:styleId="351">
    <w:name w:val="样式 燕山正文 + 首行缩进:  3.5 字符1"/>
    <w:basedOn w:val="afffffffffffff9"/>
    <w:qFormat/>
    <w:pPr>
      <w:ind w:firstLine="200"/>
    </w:pPr>
    <w:rPr>
      <w:szCs w:val="20"/>
    </w:rPr>
  </w:style>
  <w:style w:type="paragraph" w:customStyle="1" w:styleId="CharChar12CharChar">
    <w:name w:val="Char Char12 Char Char"/>
    <w:basedOn w:val="af4"/>
    <w:qFormat/>
    <w:pPr>
      <w:keepNext/>
      <w:spacing w:beforeLines="100"/>
    </w:pPr>
    <w:rPr>
      <w:rFonts w:ascii="Tahoma" w:hAnsi="Tahoma"/>
      <w:sz w:val="24"/>
    </w:rPr>
  </w:style>
  <w:style w:type="paragraph" w:customStyle="1" w:styleId="affffffffffffffffffffff7">
    <w:name w:val="报告标题"/>
    <w:basedOn w:val="a6"/>
    <w:next w:val="a6"/>
    <w:qFormat/>
    <w:pPr>
      <w:widowControl/>
      <w:jc w:val="center"/>
    </w:pPr>
    <w:rPr>
      <w:rFonts w:eastAsia="文鼎大标宋简" w:cs="宋体"/>
      <w:b/>
      <w:kern w:val="0"/>
      <w:sz w:val="28"/>
      <w:szCs w:val="20"/>
    </w:rPr>
  </w:style>
  <w:style w:type="paragraph" w:customStyle="1" w:styleId="affffffffffffffffffffff8">
    <w:name w:val="正文图五"/>
    <w:basedOn w:val="a6"/>
    <w:qFormat/>
    <w:pPr>
      <w:adjustRightInd w:val="0"/>
      <w:snapToGrid w:val="0"/>
      <w:jc w:val="center"/>
    </w:pPr>
    <w:rPr>
      <w:rFonts w:eastAsia="仿宋_GB2312"/>
      <w:snapToGrid w:val="0"/>
      <w:spacing w:val="6"/>
      <w:szCs w:val="20"/>
    </w:rPr>
  </w:style>
  <w:style w:type="paragraph" w:customStyle="1" w:styleId="1ffff5">
    <w:name w:val="样式1 + 四号 居中"/>
    <w:basedOn w:val="1e"/>
    <w:qFormat/>
    <w:pPr>
      <w:adjustRightInd/>
      <w:snapToGrid/>
      <w:spacing w:beforeLines="0" w:before="0" w:afterLines="0" w:after="0" w:line="336" w:lineRule="auto"/>
      <w:ind w:firstLineChars="0" w:firstLine="0"/>
      <w:jc w:val="center"/>
    </w:pPr>
    <w:rPr>
      <w:rFonts w:ascii="Calibri" w:hAnsi="Calibri"/>
      <w:bCs w:val="0"/>
      <w:sz w:val="28"/>
    </w:rPr>
  </w:style>
  <w:style w:type="paragraph" w:customStyle="1" w:styleId="5155Char21Char2Char25Char1Char">
    <w:name w:val="样式 标题 51)项标5标题 5 Char21) Char2项 Char2标题 5 Char1) Char项 ..."/>
    <w:basedOn w:val="a6"/>
    <w:qFormat/>
    <w:pPr>
      <w:keepNext/>
      <w:widowControl/>
      <w:spacing w:line="300" w:lineRule="auto"/>
      <w:ind w:firstLineChars="200" w:firstLine="560"/>
      <w:jc w:val="left"/>
    </w:pPr>
    <w:rPr>
      <w:rFonts w:cs="宋体"/>
      <w:b/>
      <w:bCs/>
      <w:kern w:val="0"/>
      <w:sz w:val="28"/>
    </w:rPr>
  </w:style>
  <w:style w:type="paragraph" w:customStyle="1" w:styleId="290">
    <w:name w:val="样式29"/>
    <w:basedOn w:val="a6"/>
    <w:qFormat/>
    <w:pPr>
      <w:keepNext/>
      <w:keepLines/>
      <w:spacing w:before="120" w:after="120"/>
      <w:jc w:val="left"/>
      <w:outlineLvl w:val="3"/>
    </w:pPr>
    <w:rPr>
      <w:rFonts w:ascii="宋体" w:hAnsi="宋体"/>
      <w:b/>
      <w:bCs/>
      <w:sz w:val="24"/>
      <w:szCs w:val="28"/>
    </w:rPr>
  </w:style>
  <w:style w:type="paragraph" w:customStyle="1" w:styleId="006">
    <w:name w:val="正文00"/>
    <w:basedOn w:val="a6"/>
    <w:qFormat/>
    <w:pPr>
      <w:snapToGrid w:val="0"/>
      <w:spacing w:line="360" w:lineRule="auto"/>
      <w:ind w:firstLineChars="200" w:firstLine="200"/>
    </w:pPr>
    <w:rPr>
      <w:sz w:val="24"/>
      <w:szCs w:val="32"/>
    </w:rPr>
  </w:style>
  <w:style w:type="paragraph" w:customStyle="1" w:styleId="CharCharCharCharCharCharChar11">
    <w:name w:val="Char Char Char Char Char Char Char11"/>
    <w:basedOn w:val="a6"/>
    <w:qFormat/>
    <w:rPr>
      <w:sz w:val="24"/>
    </w:rPr>
  </w:style>
  <w:style w:type="paragraph" w:customStyle="1" w:styleId="BodyText23">
    <w:name w:val="Body Text 23"/>
    <w:basedOn w:val="a6"/>
    <w:qFormat/>
    <w:pPr>
      <w:adjustRightInd w:val="0"/>
      <w:ind w:firstLine="567"/>
      <w:jc w:val="left"/>
      <w:textAlignment w:val="baseline"/>
    </w:pPr>
    <w:rPr>
      <w:sz w:val="28"/>
      <w:szCs w:val="20"/>
    </w:rPr>
  </w:style>
  <w:style w:type="paragraph" w:customStyle="1" w:styleId="2ffff0">
    <w:name w:val="样式 (符号) 宋体 首行缩进:  2 字符"/>
    <w:basedOn w:val="a6"/>
    <w:qFormat/>
    <w:pPr>
      <w:widowControl/>
      <w:spacing w:line="336" w:lineRule="auto"/>
      <w:ind w:firstLineChars="200" w:firstLine="200"/>
      <w:jc w:val="left"/>
    </w:pPr>
    <w:rPr>
      <w:rFonts w:hAnsi="宋体" w:cs="宋体"/>
      <w:kern w:val="0"/>
      <w:sz w:val="28"/>
      <w:szCs w:val="20"/>
    </w:rPr>
  </w:style>
  <w:style w:type="paragraph" w:customStyle="1" w:styleId="affffffffffffffffffffff9">
    <w:name w:val="正文（首行缩进）"/>
    <w:basedOn w:val="a6"/>
    <w:qFormat/>
    <w:pPr>
      <w:adjustRightInd w:val="0"/>
      <w:snapToGrid w:val="0"/>
      <w:spacing w:line="360" w:lineRule="auto"/>
      <w:ind w:firstLineChars="200" w:firstLine="200"/>
    </w:pPr>
    <w:rPr>
      <w:snapToGrid w:val="0"/>
      <w:kern w:val="0"/>
      <w:sz w:val="24"/>
    </w:rPr>
  </w:style>
  <w:style w:type="paragraph" w:customStyle="1" w:styleId="CharChar1CharCharCharCharCharChar">
    <w:name w:val="Char Char1 Char Char Char Char Char Char"/>
    <w:basedOn w:val="a6"/>
    <w:qFormat/>
  </w:style>
  <w:style w:type="paragraph" w:customStyle="1" w:styleId="CharChar1b">
    <w:name w:val="Char Char1"/>
    <w:basedOn w:val="a6"/>
    <w:next w:val="a6"/>
    <w:qFormat/>
    <w:pPr>
      <w:spacing w:line="360" w:lineRule="auto"/>
      <w:ind w:firstLineChars="200" w:firstLine="200"/>
    </w:pPr>
    <w:rPr>
      <w:rFonts w:ascii="宋体" w:hAnsi="宋体" w:cs="宋体"/>
      <w:sz w:val="24"/>
    </w:rPr>
  </w:style>
  <w:style w:type="paragraph" w:customStyle="1" w:styleId="affffffffffffffffffffffa">
    <w:name w:val="新正文"/>
    <w:basedOn w:val="a6"/>
    <w:qFormat/>
    <w:pPr>
      <w:spacing w:before="60" w:line="460" w:lineRule="exact"/>
      <w:ind w:firstLineChars="200" w:firstLine="200"/>
    </w:pPr>
    <w:rPr>
      <w:sz w:val="24"/>
      <w:szCs w:val="20"/>
    </w:rPr>
  </w:style>
  <w:style w:type="paragraph" w:customStyle="1" w:styleId="2ffff1">
    <w:name w:val="样式 正文首行缩进 + (符号) 宋体 四号 首行缩进:  2 字符"/>
    <w:basedOn w:val="affc"/>
    <w:qFormat/>
    <w:pPr>
      <w:tabs>
        <w:tab w:val="left" w:pos="628"/>
        <w:tab w:val="left" w:pos="1727"/>
        <w:tab w:val="left" w:pos="1884"/>
        <w:tab w:val="left" w:pos="4900"/>
      </w:tabs>
      <w:autoSpaceDE w:val="0"/>
      <w:autoSpaceDN w:val="0"/>
      <w:adjustRightInd w:val="0"/>
      <w:snapToGrid w:val="0"/>
      <w:spacing w:line="360" w:lineRule="auto"/>
      <w:ind w:firstLine="560"/>
      <w:jc w:val="left"/>
    </w:pPr>
    <w:rPr>
      <w:rFonts w:cs="宋体"/>
      <w:bCs w:val="0"/>
      <w:spacing w:val="0"/>
      <w:kern w:val="0"/>
      <w:sz w:val="28"/>
      <w:szCs w:val="20"/>
      <w:lang w:val="zh-CN"/>
    </w:rPr>
  </w:style>
  <w:style w:type="paragraph" w:customStyle="1" w:styleId="31113CharChar3Char3111111-">
    <w:name w:val="样式 标题 31.1.1条标题 3 Char Char标题 3 Char标3§1.1.1.. (1.1.1)- ..."/>
    <w:basedOn w:val="33"/>
    <w:qFormat/>
    <w:pPr>
      <w:keepLines w:val="0"/>
      <w:tabs>
        <w:tab w:val="left" w:pos="720"/>
        <w:tab w:val="left" w:pos="840"/>
      </w:tabs>
      <w:autoSpaceDE w:val="0"/>
      <w:autoSpaceDN w:val="0"/>
      <w:adjustRightInd w:val="0"/>
      <w:spacing w:line="360" w:lineRule="auto"/>
    </w:pPr>
    <w:rPr>
      <w:rFonts w:eastAsia="宋体" w:hAnsi="宋体" w:cs="宋体"/>
      <w:bCs/>
      <w:spacing w:val="0"/>
      <w:szCs w:val="28"/>
    </w:rPr>
  </w:style>
  <w:style w:type="paragraph" w:customStyle="1" w:styleId="127">
    <w:name w:val="表格内字体12"/>
    <w:basedOn w:val="affffa"/>
    <w:next w:val="affffa"/>
    <w:qFormat/>
    <w:pPr>
      <w:spacing w:line="240" w:lineRule="auto"/>
      <w:ind w:firstLine="0"/>
      <w:jc w:val="center"/>
    </w:pPr>
    <w:rPr>
      <w:sz w:val="21"/>
    </w:rPr>
  </w:style>
  <w:style w:type="paragraph" w:customStyle="1" w:styleId="3ff4">
    <w:name w:val="样式 标题 3 + (中文) 黑体"/>
    <w:basedOn w:val="33"/>
    <w:qFormat/>
    <w:pPr>
      <w:adjustRightInd w:val="0"/>
      <w:snapToGrid w:val="0"/>
      <w:spacing w:beforeLines="50" w:line="360" w:lineRule="auto"/>
      <w:jc w:val="left"/>
    </w:pPr>
    <w:rPr>
      <w:b/>
      <w:bCs/>
      <w:spacing w:val="0"/>
      <w:sz w:val="24"/>
      <w:szCs w:val="24"/>
    </w:rPr>
  </w:style>
  <w:style w:type="paragraph" w:customStyle="1" w:styleId="4f8">
    <w:name w:val="标题－4"/>
    <w:basedOn w:val="affffff3"/>
    <w:next w:val="affffff3"/>
    <w:qFormat/>
    <w:pPr>
      <w:widowControl/>
      <w:autoSpaceDE/>
      <w:autoSpaceDN/>
      <w:ind w:firstLine="0"/>
      <w:jc w:val="left"/>
      <w:textAlignment w:val="center"/>
      <w:outlineLvl w:val="3"/>
    </w:pPr>
    <w:rPr>
      <w:rFonts w:ascii="Times New Roman" w:hAnsi="Times New Roman"/>
      <w:b/>
      <w:bCs w:val="0"/>
    </w:rPr>
  </w:style>
  <w:style w:type="paragraph" w:customStyle="1" w:styleId="Char2CharCharCharCharCharChar">
    <w:name w:val="Char2 Char Char Char Char Char Char"/>
    <w:basedOn w:val="a6"/>
    <w:qFormat/>
    <w:pPr>
      <w:numPr>
        <w:numId w:val="20"/>
      </w:numPr>
      <w:tabs>
        <w:tab w:val="left" w:pos="360"/>
      </w:tabs>
      <w:ind w:left="0" w:firstLine="0"/>
    </w:pPr>
  </w:style>
  <w:style w:type="paragraph" w:customStyle="1" w:styleId="affffffffffffffffffffffb">
    <w:name w:val="表格头"/>
    <w:basedOn w:val="a6"/>
    <w:qFormat/>
    <w:pPr>
      <w:adjustRightInd w:val="0"/>
      <w:spacing w:line="280" w:lineRule="exact"/>
      <w:jc w:val="center"/>
    </w:pPr>
    <w:rPr>
      <w:rFonts w:ascii="Arial" w:eastAsia="黑体" w:hAnsi="Arial"/>
      <w:snapToGrid w:val="0"/>
      <w:color w:val="000000"/>
      <w:kern w:val="0"/>
    </w:rPr>
  </w:style>
  <w:style w:type="paragraph" w:customStyle="1" w:styleId="CharCharCharChar1CharChar">
    <w:name w:val="Char Char Char Char1 字元 字元 Char Char"/>
    <w:basedOn w:val="a6"/>
    <w:qFormat/>
    <w:pPr>
      <w:adjustRightInd w:val="0"/>
      <w:spacing w:line="360" w:lineRule="atLeast"/>
      <w:textAlignment w:val="baseline"/>
    </w:pPr>
  </w:style>
  <w:style w:type="paragraph" w:customStyle="1" w:styleId="affffffffffffffffffffffc">
    <w:name w:val="续表表头"/>
    <w:basedOn w:val="7"/>
    <w:qFormat/>
    <w:pPr>
      <w:framePr w:hSpace="0" w:wrap="auto" w:vAnchor="margin" w:hAnchor="text" w:xAlign="left" w:yAlign="inline"/>
      <w:tabs>
        <w:tab w:val="left" w:pos="737"/>
        <w:tab w:val="left" w:pos="1260"/>
      </w:tabs>
      <w:spacing w:line="300" w:lineRule="auto"/>
      <w:outlineLvl w:val="9"/>
    </w:pPr>
    <w:rPr>
      <w:rFonts w:ascii="宋体" w:eastAsia="宋体" w:hAnsi="宋体"/>
      <w:b/>
      <w:i w:val="0"/>
      <w:iCs w:val="0"/>
      <w:sz w:val="24"/>
      <w:szCs w:val="20"/>
    </w:rPr>
  </w:style>
  <w:style w:type="paragraph" w:customStyle="1" w:styleId="11e">
    <w:name w:val="尾注文本11"/>
    <w:basedOn w:val="120"/>
    <w:qFormat/>
    <w:pPr>
      <w:adjustRightInd w:val="0"/>
      <w:spacing w:line="360" w:lineRule="atLeast"/>
      <w:ind w:firstLineChars="0" w:firstLine="0"/>
      <w:jc w:val="left"/>
    </w:pPr>
    <w:rPr>
      <w:rFonts w:ascii="宋体"/>
      <w:sz w:val="21"/>
    </w:rPr>
  </w:style>
  <w:style w:type="paragraph" w:customStyle="1" w:styleId="style1style2">
    <w:name w:val="style1 style2"/>
    <w:basedOn w:val="a6"/>
    <w:qFormat/>
    <w:pPr>
      <w:widowControl/>
      <w:spacing w:before="100" w:beforeAutospacing="1" w:after="100" w:afterAutospacing="1"/>
      <w:jc w:val="left"/>
    </w:pPr>
    <w:rPr>
      <w:rFonts w:ascii="宋体" w:hAnsi="宋体" w:cs="宋体"/>
      <w:color w:val="000000"/>
      <w:w w:val="110"/>
      <w:kern w:val="0"/>
      <w:sz w:val="24"/>
    </w:rPr>
  </w:style>
  <w:style w:type="paragraph" w:customStyle="1" w:styleId="1051">
    <w:name w:val="样式 标题 1 + 段前: 0.5 行1"/>
    <w:basedOn w:val="12"/>
    <w:qFormat/>
    <w:pPr>
      <w:pageBreakBefore/>
      <w:snapToGrid w:val="0"/>
      <w:spacing w:beforeLines="50" w:before="0" w:after="0"/>
    </w:pPr>
    <w:rPr>
      <w:rFonts w:cs="宋体"/>
      <w:b w:val="0"/>
      <w:bCs w:val="0"/>
      <w:sz w:val="28"/>
      <w:szCs w:val="20"/>
    </w:rPr>
  </w:style>
  <w:style w:type="paragraph" w:customStyle="1" w:styleId="affffffffffffffffffffffd">
    <w:name w:val="五级条标题"/>
    <w:basedOn w:val="afffffffffffffffffffff2"/>
    <w:next w:val="a6"/>
    <w:qFormat/>
    <w:pPr>
      <w:numPr>
        <w:ilvl w:val="6"/>
      </w:numPr>
      <w:ind w:left="425" w:hanging="425"/>
      <w:outlineLvl w:val="6"/>
    </w:pPr>
  </w:style>
  <w:style w:type="paragraph" w:customStyle="1" w:styleId="BodyTextIndent21">
    <w:name w:val="Body Text Indent 21"/>
    <w:basedOn w:val="a6"/>
    <w:qFormat/>
    <w:pPr>
      <w:adjustRightInd w:val="0"/>
      <w:ind w:firstLine="425"/>
      <w:jc w:val="left"/>
    </w:pPr>
    <w:rPr>
      <w:sz w:val="24"/>
      <w:szCs w:val="20"/>
    </w:rPr>
  </w:style>
  <w:style w:type="paragraph" w:customStyle="1" w:styleId="affffffffffffffffffffffe">
    <w:name w:val="图中字"/>
    <w:qFormat/>
    <w:rPr>
      <w:rFonts w:ascii="Verdana" w:eastAsia="幼圆" w:hAnsi="Verdana"/>
      <w:b/>
      <w:color w:val="FF0000"/>
      <w:sz w:val="18"/>
      <w:szCs w:val="18"/>
    </w:rPr>
  </w:style>
  <w:style w:type="paragraph" w:customStyle="1" w:styleId="afffffffffffffffffffffff">
    <w:name w:val="小表中"/>
    <w:basedOn w:val="a6"/>
    <w:qFormat/>
    <w:pPr>
      <w:keepNext/>
      <w:widowControl/>
      <w:snapToGrid w:val="0"/>
      <w:spacing w:line="240" w:lineRule="atLeast"/>
      <w:jc w:val="center"/>
    </w:pPr>
    <w:rPr>
      <w:rFonts w:ascii="宋体" w:hAnsi="宋体" w:cs="宋体"/>
      <w:kern w:val="0"/>
      <w:sz w:val="24"/>
    </w:rPr>
  </w:style>
  <w:style w:type="paragraph" w:customStyle="1" w:styleId="CharCharCharChar80">
    <w:name w:val="Char Char Char Char8"/>
    <w:basedOn w:val="a6"/>
    <w:next w:val="12"/>
    <w:qFormat/>
    <w:rPr>
      <w:rFonts w:ascii="Tahoma" w:eastAsia="黑体" w:hAnsi="Tahoma" w:cs="宋体"/>
      <w:sz w:val="24"/>
      <w:szCs w:val="20"/>
    </w:rPr>
  </w:style>
  <w:style w:type="paragraph" w:customStyle="1" w:styleId="xl100">
    <w:name w:val="xl100"/>
    <w:basedOn w:val="a6"/>
    <w:qFormat/>
    <w:pPr>
      <w:widowControl/>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kern w:val="0"/>
      <w:sz w:val="24"/>
    </w:rPr>
  </w:style>
  <w:style w:type="paragraph" w:customStyle="1" w:styleId="xl984">
    <w:name w:val="xl984"/>
    <w:basedOn w:val="a6"/>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3ff5">
    <w:name w:val="表名3"/>
    <w:basedOn w:val="affffffa"/>
    <w:qFormat/>
    <w:pPr>
      <w:tabs>
        <w:tab w:val="left" w:pos="360"/>
      </w:tabs>
      <w:snapToGrid/>
      <w:ind w:left="360" w:hanging="360"/>
      <w:jc w:val="left"/>
    </w:pPr>
    <w:rPr>
      <w:rFonts w:ascii="黑体" w:eastAsia="黑体" w:hAnsi="Calibri"/>
      <w:sz w:val="24"/>
      <w:szCs w:val="20"/>
    </w:rPr>
  </w:style>
  <w:style w:type="paragraph" w:customStyle="1" w:styleId="144">
    <w:name w:val="表格文字样式14"/>
    <w:basedOn w:val="a6"/>
    <w:qFormat/>
    <w:pPr>
      <w:overflowPunct w:val="0"/>
      <w:adjustRightInd w:val="0"/>
      <w:snapToGrid w:val="0"/>
      <w:spacing w:line="360" w:lineRule="exact"/>
      <w:jc w:val="center"/>
    </w:pPr>
    <w:rPr>
      <w:rFonts w:ascii="宋体" w:hAnsi="宋体"/>
      <w:bCs/>
      <w:snapToGrid w:val="0"/>
      <w:kern w:val="0"/>
      <w:szCs w:val="21"/>
    </w:rPr>
  </w:style>
  <w:style w:type="paragraph" w:customStyle="1" w:styleId="1050">
    <w:name w:val="样式 标题 1 + 段前: 0.5 行"/>
    <w:basedOn w:val="12"/>
    <w:qFormat/>
    <w:pPr>
      <w:pageBreakBefore/>
      <w:snapToGrid w:val="0"/>
      <w:spacing w:beforeLines="50" w:before="0" w:after="0"/>
    </w:pPr>
    <w:rPr>
      <w:rFonts w:cs="宋体"/>
      <w:b w:val="0"/>
      <w:bCs w:val="0"/>
      <w:sz w:val="28"/>
      <w:szCs w:val="20"/>
    </w:rPr>
  </w:style>
  <w:style w:type="paragraph" w:customStyle="1" w:styleId="ParaChar">
    <w:name w:val="默认段落字体 Para Char"/>
    <w:basedOn w:val="a6"/>
    <w:qFormat/>
  </w:style>
  <w:style w:type="paragraph" w:customStyle="1" w:styleId="afffffffffffffffffffffff0">
    <w:name w:val="专业签署"/>
    <w:basedOn w:val="a6"/>
    <w:qFormat/>
    <w:pPr>
      <w:keepNext/>
      <w:widowControl/>
      <w:snapToGrid w:val="0"/>
      <w:spacing w:beforeLines="50" w:after="120" w:line="300" w:lineRule="auto"/>
      <w:jc w:val="center"/>
    </w:pPr>
    <w:rPr>
      <w:rFonts w:ascii="宋体" w:cs="宋体"/>
      <w:kern w:val="0"/>
      <w:sz w:val="32"/>
      <w:szCs w:val="20"/>
    </w:rPr>
  </w:style>
  <w:style w:type="paragraph" w:customStyle="1" w:styleId="CharCharChar1CharCharChar2">
    <w:name w:val="Char Char Char1 Char Char Char2"/>
    <w:basedOn w:val="a6"/>
    <w:qFormat/>
  </w:style>
  <w:style w:type="paragraph" w:customStyle="1" w:styleId="afffffffffffffffffffffff1">
    <w:name w:val="续表"/>
    <w:basedOn w:val="7"/>
    <w:qFormat/>
    <w:pPr>
      <w:framePr w:hSpace="0" w:wrap="auto" w:vAnchor="margin" w:hAnchor="text" w:xAlign="left" w:yAlign="inline"/>
      <w:tabs>
        <w:tab w:val="left" w:pos="1260"/>
      </w:tabs>
      <w:snapToGrid w:val="0"/>
      <w:spacing w:beforeLines="50" w:before="240" w:line="300" w:lineRule="auto"/>
    </w:pPr>
    <w:rPr>
      <w:rFonts w:ascii="宋体" w:eastAsia="宋体" w:hAnsi="宋体"/>
      <w:b/>
      <w:i w:val="0"/>
      <w:iCs w:val="0"/>
      <w:sz w:val="24"/>
      <w:szCs w:val="20"/>
    </w:rPr>
  </w:style>
  <w:style w:type="paragraph" w:customStyle="1" w:styleId="afffffffffffffffffffffff2">
    <w:name w:val="表文"/>
    <w:basedOn w:val="affffffa"/>
    <w:qFormat/>
    <w:pPr>
      <w:snapToGrid/>
    </w:pPr>
    <w:rPr>
      <w:rFonts w:cs="Arial Unicode MS"/>
      <w:kern w:val="0"/>
      <w:sz w:val="20"/>
    </w:rPr>
  </w:style>
  <w:style w:type="paragraph" w:customStyle="1" w:styleId="font1">
    <w:name w:val="font1"/>
    <w:basedOn w:val="a6"/>
    <w:qFormat/>
    <w:pPr>
      <w:widowControl/>
      <w:spacing w:before="100" w:after="100"/>
      <w:jc w:val="left"/>
    </w:pPr>
    <w:rPr>
      <w:rFonts w:ascii="宋体" w:hAnsi="宋体" w:hint="eastAsia"/>
      <w:kern w:val="0"/>
      <w:sz w:val="24"/>
      <w:szCs w:val="20"/>
    </w:rPr>
  </w:style>
  <w:style w:type="paragraph" w:customStyle="1" w:styleId="Char1CharCharCharCharCharCharCharCharCharCharCharCharCharCharChar">
    <w:name w:val="Char1 Char Char Char Char Char Char Char Char Char Char Char Char Char Char Char"/>
    <w:basedOn w:val="a6"/>
    <w:qFormat/>
    <w:pPr>
      <w:spacing w:line="180" w:lineRule="auto"/>
      <w:ind w:firstLineChars="200" w:firstLine="200"/>
    </w:pPr>
    <w:rPr>
      <w:sz w:val="24"/>
    </w:rPr>
  </w:style>
  <w:style w:type="paragraph" w:customStyle="1" w:styleId="afffffffffffffffffffffff3">
    <w:name w:val="附件"/>
    <w:basedOn w:val="12"/>
    <w:qFormat/>
    <w:pPr>
      <w:snapToGrid w:val="0"/>
      <w:spacing w:beforeLines="10" w:before="0" w:after="2" w:line="300" w:lineRule="auto"/>
      <w:jc w:val="left"/>
      <w:outlineLvl w:val="9"/>
    </w:pPr>
    <w:rPr>
      <w:rFonts w:ascii="黑体"/>
      <w:b w:val="0"/>
      <w:bCs w:val="0"/>
      <w:sz w:val="28"/>
      <w:szCs w:val="20"/>
    </w:rPr>
  </w:style>
  <w:style w:type="paragraph" w:customStyle="1" w:styleId="1ffff6">
    <w:name w:val="图名1"/>
    <w:basedOn w:val="a6"/>
    <w:qFormat/>
    <w:pPr>
      <w:adjustRightInd w:val="0"/>
      <w:snapToGrid w:val="0"/>
      <w:ind w:firstLineChars="200" w:firstLine="200"/>
    </w:pPr>
    <w:rPr>
      <w:rFonts w:ascii="Arial" w:eastAsia="黑体" w:hAnsi="Arial"/>
      <w:b/>
      <w:iCs/>
      <w:color w:val="000000"/>
      <w:spacing w:val="4"/>
      <w:kern w:val="0"/>
      <w:sz w:val="24"/>
      <w:szCs w:val="20"/>
    </w:rPr>
  </w:style>
  <w:style w:type="paragraph" w:customStyle="1" w:styleId="xl1027">
    <w:name w:val="xl1027"/>
    <w:basedOn w:val="a6"/>
    <w:qFormat/>
    <w:pPr>
      <w:widowControl/>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left"/>
    </w:pPr>
    <w:rPr>
      <w:rFonts w:ascii="Arial" w:hAnsi="Arial" w:cs="Arial"/>
      <w:kern w:val="0"/>
      <w:sz w:val="18"/>
      <w:szCs w:val="18"/>
    </w:rPr>
  </w:style>
  <w:style w:type="paragraph" w:customStyle="1" w:styleId="afffffffffffffffffffffff4">
    <w:name w:val="样式 表格文字居中 + 五号"/>
    <w:basedOn w:val="a6"/>
    <w:qFormat/>
    <w:pPr>
      <w:keepNext/>
      <w:widowControl/>
      <w:adjustRightInd w:val="0"/>
      <w:jc w:val="center"/>
    </w:pPr>
    <w:rPr>
      <w:rFonts w:ascii="宋体" w:hAnsi="宋体" w:cs="宋体"/>
      <w:kern w:val="0"/>
      <w:sz w:val="18"/>
    </w:rPr>
  </w:style>
  <w:style w:type="paragraph" w:customStyle="1" w:styleId="reader-word-layerreader-word-s1-5">
    <w:name w:val="reader-word-layer reader-word-s1-5"/>
    <w:basedOn w:val="a6"/>
    <w:uiPriority w:val="99"/>
    <w:qFormat/>
    <w:pPr>
      <w:widowControl/>
      <w:spacing w:before="100" w:beforeAutospacing="1" w:after="100" w:afterAutospacing="1"/>
      <w:jc w:val="left"/>
    </w:pPr>
    <w:rPr>
      <w:rFonts w:ascii="宋体" w:hAnsi="宋体" w:cs="宋体"/>
      <w:kern w:val="0"/>
      <w:sz w:val="24"/>
    </w:rPr>
  </w:style>
  <w:style w:type="paragraph" w:customStyle="1" w:styleId="TimesNewRoman12">
    <w:name w:val="样式 表格文字居中 + Times New Roman 五号 行距: 固定值 12 磅"/>
    <w:basedOn w:val="CharChar8"/>
    <w:qFormat/>
    <w:pPr>
      <w:keepNext w:val="0"/>
      <w:adjustRightInd/>
      <w:snapToGrid/>
      <w:spacing w:line="240" w:lineRule="auto"/>
    </w:pPr>
    <w:rPr>
      <w:rFonts w:ascii="Times New Roman" w:hAnsi="Times New Roman" w:cs="宋体"/>
      <w:kern w:val="0"/>
      <w:sz w:val="21"/>
    </w:rPr>
  </w:style>
  <w:style w:type="paragraph" w:customStyle="1" w:styleId="afffffffffffffffffffffff5">
    <w:name w:val="中气三级"/>
    <w:basedOn w:val="33"/>
    <w:next w:val="a6"/>
    <w:qFormat/>
    <w:pPr>
      <w:tabs>
        <w:tab w:val="left" w:pos="1080"/>
        <w:tab w:val="left" w:pos="2760"/>
      </w:tabs>
      <w:spacing w:beforeLines="50" w:before="50" w:afterLines="50" w:after="50" w:line="360" w:lineRule="auto"/>
      <w:ind w:leftChars="400" w:left="1070" w:hangingChars="200" w:hanging="360"/>
      <w:textAlignment w:val="baseline"/>
    </w:pPr>
    <w:rPr>
      <w:rFonts w:hAnsi="宋体"/>
      <w:snapToGrid w:val="0"/>
      <w:spacing w:val="0"/>
      <w:sz w:val="24"/>
      <w:szCs w:val="24"/>
      <w:lang w:val="sq-AL"/>
    </w:rPr>
  </w:style>
  <w:style w:type="paragraph" w:customStyle="1" w:styleId="2103">
    <w:name w:val="样式 备注 + 首行缩进:  2 字符 段前: 1 行 段后: 0.3 行"/>
    <w:basedOn w:val="a6"/>
    <w:qFormat/>
    <w:pPr>
      <w:widowControl/>
      <w:adjustRightInd w:val="0"/>
      <w:snapToGrid w:val="0"/>
      <w:spacing w:after="129" w:line="240" w:lineRule="atLeast"/>
      <w:ind w:firstLineChars="200" w:firstLine="420"/>
      <w:jc w:val="left"/>
    </w:pPr>
    <w:rPr>
      <w:rFonts w:cs="宋体"/>
      <w:color w:val="000000"/>
      <w:kern w:val="0"/>
      <w:sz w:val="24"/>
      <w:szCs w:val="20"/>
    </w:rPr>
  </w:style>
  <w:style w:type="paragraph" w:customStyle="1" w:styleId="4f9">
    <w:name w:val="标题4 国寰"/>
    <w:basedOn w:val="41"/>
    <w:qFormat/>
    <w:pPr>
      <w:snapToGrid/>
      <w:spacing w:beforeLines="0" w:before="0" w:line="240" w:lineRule="auto"/>
    </w:pPr>
    <w:rPr>
      <w:rFonts w:ascii="Times New Roman" w:eastAsia="宋体" w:hAnsi="Times New Roman"/>
      <w:sz w:val="24"/>
      <w:szCs w:val="28"/>
    </w:rPr>
  </w:style>
  <w:style w:type="paragraph" w:customStyle="1" w:styleId="afffffffffffffffffffffff6">
    <w:name w:val="文本格式"/>
    <w:basedOn w:val="af4"/>
    <w:qFormat/>
    <w:pPr>
      <w:keepNext/>
      <w:adjustRightInd w:val="0"/>
      <w:snapToGrid w:val="0"/>
      <w:spacing w:beforeLines="100" w:line="360" w:lineRule="auto"/>
    </w:pPr>
    <w:rPr>
      <w:rFonts w:ascii="Tahoma" w:hAnsi="Tahoma"/>
      <w:snapToGrid w:val="0"/>
      <w:kern w:val="0"/>
      <w:sz w:val="24"/>
    </w:rPr>
  </w:style>
  <w:style w:type="paragraph" w:customStyle="1" w:styleId="41111411114Char1111Char40">
    <w:name w:val="样式 标题 41.1.1.1标题 4.1.1.1.1标题 4 Char款1.1.1.1 Char标4 +"/>
    <w:basedOn w:val="41"/>
    <w:qFormat/>
    <w:pPr>
      <w:keepNext w:val="0"/>
      <w:tabs>
        <w:tab w:val="left" w:pos="864"/>
        <w:tab w:val="left" w:pos="1064"/>
        <w:tab w:val="left" w:pos="3018"/>
      </w:tabs>
      <w:autoSpaceDE w:val="0"/>
      <w:autoSpaceDN w:val="0"/>
      <w:spacing w:before="0" w:line="360" w:lineRule="auto"/>
      <w:ind w:left="864" w:hanging="864"/>
      <w:jc w:val="left"/>
      <w:textAlignment w:val="baseline"/>
    </w:pPr>
    <w:rPr>
      <w:rFonts w:ascii="宋体" w:eastAsia="宋体" w:hAnsi="Arial"/>
      <w:bCs w:val="0"/>
      <w:color w:val="000000"/>
      <w:sz w:val="24"/>
      <w:lang w:val="zh-CN"/>
    </w:rPr>
  </w:style>
  <w:style w:type="paragraph" w:customStyle="1" w:styleId="HD2">
    <w:name w:val="HD2"/>
    <w:basedOn w:val="a6"/>
    <w:qFormat/>
    <w:pPr>
      <w:spacing w:before="240" w:after="240"/>
    </w:pPr>
    <w:rPr>
      <w:rFonts w:eastAsia="楷体_GB2312"/>
      <w:b/>
      <w:sz w:val="32"/>
      <w:szCs w:val="20"/>
    </w:rPr>
  </w:style>
  <w:style w:type="paragraph" w:customStyle="1" w:styleId="afffffffffffffffffffffff7">
    <w:name w:val="图表文字"/>
    <w:basedOn w:val="a6"/>
    <w:qFormat/>
    <w:pPr>
      <w:spacing w:line="260" w:lineRule="exact"/>
      <w:jc w:val="center"/>
    </w:pPr>
    <w:rPr>
      <w:sz w:val="18"/>
    </w:rPr>
  </w:style>
  <w:style w:type="paragraph" w:customStyle="1" w:styleId="--">
    <w:name w:val="标题（--）"/>
    <w:basedOn w:val="12"/>
    <w:qFormat/>
    <w:pPr>
      <w:adjustRightInd w:val="0"/>
      <w:snapToGrid w:val="0"/>
      <w:spacing w:line="300" w:lineRule="auto"/>
      <w:jc w:val="center"/>
    </w:pPr>
    <w:rPr>
      <w:b w:val="0"/>
      <w:color w:val="000000"/>
      <w:sz w:val="28"/>
      <w:szCs w:val="20"/>
    </w:rPr>
  </w:style>
  <w:style w:type="paragraph" w:customStyle="1" w:styleId="xl958">
    <w:name w:val="xl95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18"/>
      <w:szCs w:val="18"/>
    </w:rPr>
  </w:style>
  <w:style w:type="paragraph" w:customStyle="1" w:styleId="B1">
    <w:name w:val="B"/>
    <w:basedOn w:val="33"/>
    <w:next w:val="af8"/>
    <w:qFormat/>
    <w:pPr>
      <w:adjustRightInd w:val="0"/>
      <w:snapToGrid w:val="0"/>
      <w:spacing w:beforeLines="50" w:afterLines="50" w:line="360" w:lineRule="auto"/>
    </w:pPr>
    <w:rPr>
      <w:spacing w:val="0"/>
      <w:sz w:val="24"/>
      <w:szCs w:val="24"/>
    </w:rPr>
  </w:style>
  <w:style w:type="paragraph" w:customStyle="1" w:styleId="afffffffffffffffffffffff8">
    <w:name w:val="项目"/>
    <w:basedOn w:val="a6"/>
    <w:qFormat/>
    <w:pPr>
      <w:tabs>
        <w:tab w:val="left" w:pos="561"/>
      </w:tabs>
      <w:adjustRightInd w:val="0"/>
      <w:spacing w:line="360" w:lineRule="atLeast"/>
      <w:ind w:left="561" w:hanging="561"/>
      <w:textAlignment w:val="baseline"/>
    </w:pPr>
    <w:rPr>
      <w:sz w:val="24"/>
    </w:rPr>
  </w:style>
  <w:style w:type="paragraph" w:customStyle="1" w:styleId="afffffffffffffffffffffff9">
    <w:name w:val="表格名"/>
    <w:basedOn w:val="Default"/>
    <w:qFormat/>
    <w:pPr>
      <w:adjustRightInd/>
      <w:jc w:val="center"/>
    </w:pPr>
    <w:rPr>
      <w:rFonts w:eastAsia="黑体"/>
      <w:sz w:val="21"/>
    </w:rPr>
  </w:style>
  <w:style w:type="paragraph" w:customStyle="1" w:styleId="3-3">
    <w:name w:val="标题3-3"/>
    <w:basedOn w:val="33"/>
    <w:qFormat/>
    <w:pPr>
      <w:keepNext w:val="0"/>
      <w:keepLines w:val="0"/>
      <w:tabs>
        <w:tab w:val="left" w:pos="1260"/>
      </w:tabs>
      <w:adjustRightInd w:val="0"/>
      <w:spacing w:beforeLines="50" w:afterLines="25" w:line="360" w:lineRule="auto"/>
      <w:ind w:left="1260" w:hanging="420"/>
      <w:jc w:val="left"/>
      <w:textAlignment w:val="baseline"/>
    </w:pPr>
    <w:rPr>
      <w:rFonts w:ascii="Arial" w:hAnsi="Arial"/>
      <w:bCs/>
      <w:color w:val="000000"/>
      <w:spacing w:val="0"/>
      <w:sz w:val="24"/>
      <w:szCs w:val="24"/>
    </w:rPr>
  </w:style>
  <w:style w:type="paragraph" w:customStyle="1" w:styleId="77">
    <w:name w:val="7"/>
    <w:basedOn w:val="a6"/>
    <w:next w:val="af0"/>
    <w:qFormat/>
    <w:pPr>
      <w:ind w:firstLineChars="200" w:firstLine="420"/>
    </w:pPr>
    <w:rPr>
      <w:rFonts w:ascii="宋体"/>
      <w:kern w:val="0"/>
      <w:sz w:val="24"/>
      <w:szCs w:val="20"/>
    </w:rPr>
  </w:style>
  <w:style w:type="paragraph" w:customStyle="1" w:styleId="afffffffffffffffffffffffa">
    <w:name w:val="样式 正文文本 + (符号) 宋体 小四"/>
    <w:basedOn w:val="af8"/>
    <w:qFormat/>
    <w:pPr>
      <w:widowControl/>
      <w:tabs>
        <w:tab w:val="left" w:pos="628"/>
        <w:tab w:val="left" w:pos="1727"/>
        <w:tab w:val="left" w:pos="1884"/>
      </w:tabs>
      <w:adjustRightInd w:val="0"/>
      <w:spacing w:after="0" w:line="300" w:lineRule="auto"/>
      <w:jc w:val="center"/>
      <w:outlineLvl w:val="8"/>
    </w:pPr>
    <w:rPr>
      <w:rFonts w:ascii="宋体" w:cs="宋体"/>
      <w:kern w:val="0"/>
      <w:sz w:val="24"/>
      <w:szCs w:val="20"/>
    </w:rPr>
  </w:style>
  <w:style w:type="paragraph" w:customStyle="1" w:styleId="HD4">
    <w:name w:val="HD4"/>
    <w:basedOn w:val="a6"/>
    <w:qFormat/>
    <w:pPr>
      <w:spacing w:before="240" w:after="120" w:line="520" w:lineRule="exact"/>
    </w:pPr>
    <w:rPr>
      <w:b/>
      <w:sz w:val="28"/>
      <w:szCs w:val="20"/>
    </w:rPr>
  </w:style>
  <w:style w:type="paragraph" w:customStyle="1" w:styleId="afffffffffffffffffffffffb">
    <w:name w:val="样式 正文首行缩进 + 四号"/>
    <w:basedOn w:val="affc"/>
    <w:qFormat/>
    <w:pPr>
      <w:keepNext/>
      <w:keepLines/>
      <w:tabs>
        <w:tab w:val="left" w:pos="628"/>
        <w:tab w:val="left" w:pos="1727"/>
        <w:tab w:val="left" w:pos="1884"/>
      </w:tabs>
      <w:snapToGrid w:val="0"/>
      <w:spacing w:line="300" w:lineRule="auto"/>
      <w:ind w:firstLine="560"/>
      <w:outlineLvl w:val="0"/>
    </w:pPr>
    <w:rPr>
      <w:color w:val="000000"/>
      <w:spacing w:val="0"/>
      <w:kern w:val="2"/>
      <w:sz w:val="28"/>
      <w:szCs w:val="28"/>
    </w:rPr>
  </w:style>
  <w:style w:type="paragraph" w:customStyle="1" w:styleId="228">
    <w:name w:val="样式 标题 2 + 行距: 固定值 28 磅"/>
    <w:basedOn w:val="22"/>
    <w:qFormat/>
    <w:pPr>
      <w:tabs>
        <w:tab w:val="left" w:pos="567"/>
      </w:tabs>
      <w:adjustRightInd w:val="0"/>
      <w:spacing w:before="120" w:line="560" w:lineRule="exact"/>
    </w:pPr>
    <w:rPr>
      <w:rFonts w:cs="宋体"/>
      <w:spacing w:val="0"/>
      <w:w w:val="100"/>
      <w:kern w:val="2"/>
      <w:szCs w:val="20"/>
    </w:rPr>
  </w:style>
  <w:style w:type="paragraph" w:customStyle="1" w:styleId="CharCharCharCharCharCharChar1">
    <w:name w:val="Char Char Char Char Char Char Char1"/>
    <w:basedOn w:val="a6"/>
    <w:next w:val="a6"/>
    <w:qFormat/>
    <w:pPr>
      <w:spacing w:line="360" w:lineRule="auto"/>
      <w:ind w:firstLineChars="200" w:firstLine="200"/>
    </w:pPr>
    <w:rPr>
      <w:rFonts w:ascii="宋体" w:hAnsi="宋体" w:cs="宋体"/>
      <w:color w:val="000000"/>
      <w:w w:val="110"/>
      <w:kern w:val="0"/>
      <w:sz w:val="24"/>
    </w:rPr>
  </w:style>
  <w:style w:type="paragraph" w:customStyle="1" w:styleId="200">
    <w:name w:val="20"/>
    <w:basedOn w:val="a6"/>
    <w:qFormat/>
    <w:pPr>
      <w:widowControl/>
      <w:snapToGrid w:val="0"/>
      <w:spacing w:before="100" w:beforeAutospacing="1" w:after="100" w:afterAutospacing="1" w:line="360" w:lineRule="atLeast"/>
      <w:ind w:left="200"/>
    </w:pPr>
    <w:rPr>
      <w:kern w:val="0"/>
      <w:sz w:val="24"/>
    </w:rPr>
  </w:style>
  <w:style w:type="paragraph" w:customStyle="1" w:styleId="xl985">
    <w:name w:val="xl985"/>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128">
    <w:name w:val="列表项目符号1.缩2"/>
    <w:qFormat/>
    <w:pPr>
      <w:tabs>
        <w:tab w:val="left" w:pos="720"/>
        <w:tab w:val="left" w:pos="900"/>
        <w:tab w:val="left" w:pos="945"/>
      </w:tabs>
      <w:spacing w:line="360" w:lineRule="auto"/>
      <w:ind w:firstLine="425"/>
    </w:pPr>
    <w:rPr>
      <w:sz w:val="24"/>
    </w:rPr>
  </w:style>
  <w:style w:type="paragraph" w:customStyle="1" w:styleId="1ffff7">
    <w:name w:val="列表项目符号1."/>
    <w:basedOn w:val="a6"/>
    <w:qFormat/>
    <w:pPr>
      <w:tabs>
        <w:tab w:val="left" w:pos="900"/>
      </w:tabs>
      <w:adjustRightInd w:val="0"/>
      <w:spacing w:line="312" w:lineRule="atLeast"/>
      <w:ind w:left="425" w:hanging="425"/>
      <w:textAlignment w:val="baseline"/>
    </w:pPr>
    <w:rPr>
      <w:kern w:val="0"/>
      <w:szCs w:val="20"/>
    </w:rPr>
  </w:style>
  <w:style w:type="paragraph" w:customStyle="1" w:styleId="4fa">
    <w:name w:val="4  级标题"/>
    <w:basedOn w:val="a6"/>
    <w:next w:val="a6"/>
    <w:qFormat/>
    <w:pPr>
      <w:spacing w:beforeLines="100" w:before="312" w:line="360" w:lineRule="auto"/>
      <w:ind w:left="1276"/>
      <w:jc w:val="left"/>
      <w:outlineLvl w:val="3"/>
    </w:pPr>
    <w:rPr>
      <w:rFonts w:ascii="Arial" w:hAnsi="Arial" w:cs="Arial"/>
      <w:b/>
      <w:kern w:val="0"/>
      <w:sz w:val="24"/>
      <w:szCs w:val="28"/>
    </w:rPr>
  </w:style>
  <w:style w:type="paragraph" w:customStyle="1" w:styleId="afffffffffffffffffffffffc">
    <w:name w:val="样式 表格文字居中 + (符号) 宋体"/>
    <w:basedOn w:val="affff5"/>
    <w:qFormat/>
    <w:pPr>
      <w:keepNext/>
      <w:widowControl/>
      <w:tabs>
        <w:tab w:val="left" w:pos="240"/>
        <w:tab w:val="left" w:pos="628"/>
        <w:tab w:val="left" w:pos="1727"/>
        <w:tab w:val="left" w:pos="1884"/>
        <w:tab w:val="left" w:pos="7252"/>
      </w:tabs>
      <w:adjustRightInd/>
      <w:ind w:leftChars="-1" w:left="-3" w:rightChars="0" w:right="0" w:firstLineChars="200" w:firstLine="200"/>
      <w:outlineLvl w:val="0"/>
    </w:pPr>
    <w:rPr>
      <w:rFonts w:ascii="宋体" w:eastAsia="宋体"/>
      <w:color w:val="0000FF"/>
      <w:spacing w:val="0"/>
      <w:sz w:val="21"/>
    </w:rPr>
  </w:style>
  <w:style w:type="paragraph" w:customStyle="1" w:styleId="Style20">
    <w:name w:val="_Style 2"/>
    <w:basedOn w:val="a6"/>
    <w:uiPriority w:val="34"/>
    <w:qFormat/>
    <w:pPr>
      <w:spacing w:line="360" w:lineRule="auto"/>
      <w:ind w:firstLineChars="200" w:firstLine="420"/>
    </w:pPr>
    <w:rPr>
      <w:rFonts w:ascii="Calibri" w:hAnsi="Calibri"/>
      <w:sz w:val="24"/>
      <w:szCs w:val="22"/>
    </w:rPr>
  </w:style>
  <w:style w:type="paragraph" w:customStyle="1" w:styleId="afffffffffffffffffffffffd">
    <w:name w:val="图章"/>
    <w:basedOn w:val="a6"/>
    <w:qFormat/>
    <w:pPr>
      <w:widowControl/>
      <w:adjustRightInd w:val="0"/>
      <w:snapToGrid w:val="0"/>
      <w:jc w:val="left"/>
    </w:pPr>
    <w:rPr>
      <w:rFonts w:ascii="宋体" w:cs="宋体"/>
      <w:snapToGrid w:val="0"/>
      <w:kern w:val="0"/>
      <w:sz w:val="18"/>
      <w:szCs w:val="20"/>
    </w:rPr>
  </w:style>
  <w:style w:type="paragraph" w:customStyle="1" w:styleId="reader-word-layerreader-word-s4-28">
    <w:name w:val="reader-word-layer reader-word-s4-28"/>
    <w:basedOn w:val="a6"/>
    <w:qFormat/>
    <w:pPr>
      <w:widowControl/>
      <w:spacing w:before="100" w:beforeAutospacing="1" w:after="100" w:afterAutospacing="1"/>
      <w:jc w:val="left"/>
    </w:pPr>
    <w:rPr>
      <w:rFonts w:ascii="宋体" w:hAnsi="宋体" w:cs="宋体"/>
      <w:kern w:val="0"/>
      <w:sz w:val="24"/>
    </w:rPr>
  </w:style>
  <w:style w:type="paragraph" w:customStyle="1" w:styleId="Char1Char">
    <w:name w:val="Char1 Char"/>
    <w:basedOn w:val="a6"/>
    <w:qFormat/>
    <w:pPr>
      <w:spacing w:line="360" w:lineRule="auto"/>
      <w:ind w:firstLineChars="200" w:firstLine="200"/>
    </w:pPr>
    <w:rPr>
      <w:rFonts w:ascii="宋体" w:hAnsi="宋体" w:cs="宋体"/>
      <w:sz w:val="24"/>
    </w:rPr>
  </w:style>
  <w:style w:type="paragraph" w:customStyle="1" w:styleId="BodyText22">
    <w:name w:val="Body Text 22"/>
    <w:basedOn w:val="a6"/>
    <w:qFormat/>
    <w:pPr>
      <w:adjustRightInd w:val="0"/>
      <w:spacing w:line="440" w:lineRule="atLeast"/>
      <w:ind w:firstLine="480"/>
      <w:textAlignment w:val="baseline"/>
    </w:pPr>
    <w:rPr>
      <w:rFonts w:eastAsia="仿宋_GB2312"/>
      <w:sz w:val="24"/>
      <w:szCs w:val="20"/>
    </w:rPr>
  </w:style>
  <w:style w:type="paragraph" w:customStyle="1" w:styleId="xl1062">
    <w:name w:val="xl1062"/>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Arial" w:hAnsi="Arial" w:cs="Arial"/>
      <w:kern w:val="0"/>
      <w:sz w:val="18"/>
      <w:szCs w:val="18"/>
    </w:rPr>
  </w:style>
  <w:style w:type="paragraph" w:customStyle="1" w:styleId="afffffffffffffffffffffffe">
    <w:name w:val="表格小四"/>
    <w:basedOn w:val="a6"/>
    <w:qFormat/>
    <w:pPr>
      <w:adjustRightInd w:val="0"/>
      <w:snapToGrid w:val="0"/>
      <w:spacing w:beforeLines="30" w:line="360" w:lineRule="auto"/>
    </w:pPr>
    <w:rPr>
      <w:sz w:val="24"/>
    </w:rPr>
  </w:style>
  <w:style w:type="paragraph" w:customStyle="1" w:styleId="11f">
    <w:name w:val="列表11"/>
    <w:basedOn w:val="aff6"/>
    <w:qFormat/>
    <w:pPr>
      <w:tabs>
        <w:tab w:val="left" w:pos="5320"/>
      </w:tabs>
      <w:adjustRightInd w:val="0"/>
      <w:snapToGrid w:val="0"/>
      <w:spacing w:line="360" w:lineRule="auto"/>
      <w:ind w:left="0" w:firstLineChars="0" w:firstLine="0"/>
      <w:jc w:val="center"/>
    </w:pPr>
    <w:rPr>
      <w:rFonts w:ascii="宋体"/>
      <w:sz w:val="32"/>
      <w:szCs w:val="20"/>
    </w:rPr>
  </w:style>
  <w:style w:type="paragraph" w:customStyle="1" w:styleId="CSD-3">
    <w:name w:val="CSD-标题 3"/>
    <w:basedOn w:val="33"/>
    <w:qFormat/>
    <w:pPr>
      <w:keepLines w:val="0"/>
      <w:widowControl/>
      <w:tabs>
        <w:tab w:val="left" w:pos="720"/>
        <w:tab w:val="left" w:pos="822"/>
      </w:tabs>
      <w:spacing w:beforeLines="50" w:before="156" w:afterLines="50" w:after="156"/>
      <w:contextualSpacing/>
      <w:jc w:val="left"/>
    </w:pPr>
    <w:rPr>
      <w:rFonts w:hAnsi="黑体" w:cs="Arial"/>
      <w:spacing w:val="0"/>
      <w:kern w:val="0"/>
      <w:szCs w:val="28"/>
      <w:lang w:eastAsia="en-US" w:bidi="en-US"/>
    </w:rPr>
  </w:style>
  <w:style w:type="paragraph" w:customStyle="1" w:styleId="xl43">
    <w:name w:val="xl43"/>
    <w:basedOn w:val="a6"/>
    <w:qFormat/>
    <w:pPr>
      <w:widowControl/>
      <w:pBdr>
        <w:left w:val="single" w:sz="4" w:space="0" w:color="auto"/>
        <w:bottom w:val="single" w:sz="4" w:space="0" w:color="auto"/>
        <w:right w:val="single" w:sz="4" w:space="0" w:color="auto"/>
      </w:pBdr>
      <w:spacing w:before="100" w:after="100"/>
      <w:textAlignment w:val="center"/>
    </w:pPr>
    <w:rPr>
      <w:rFonts w:ascii="宋体" w:hAnsi="宋体"/>
      <w:kern w:val="0"/>
      <w:szCs w:val="20"/>
    </w:rPr>
  </w:style>
  <w:style w:type="paragraph" w:customStyle="1" w:styleId="xl933">
    <w:name w:val="xl933"/>
    <w:basedOn w:val="a6"/>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1ffff8">
    <w:name w:val="标题 1 + (中文) 宋体"/>
    <w:basedOn w:val="12"/>
    <w:qFormat/>
    <w:pPr>
      <w:pageBreakBefore/>
      <w:tabs>
        <w:tab w:val="left" w:pos="360"/>
      </w:tabs>
      <w:spacing w:before="0" w:afterLines="50" w:after="0" w:line="500" w:lineRule="atLeast"/>
      <w:textAlignment w:val="center"/>
    </w:pPr>
    <w:rPr>
      <w:rFonts w:hAnsi="宋体"/>
      <w:bCs w:val="0"/>
      <w:kern w:val="32"/>
      <w:szCs w:val="36"/>
    </w:rPr>
  </w:style>
  <w:style w:type="paragraph" w:customStyle="1" w:styleId="a0">
    <w:name w:val="摘要"/>
    <w:basedOn w:val="a6"/>
    <w:qFormat/>
    <w:pPr>
      <w:widowControl/>
      <w:numPr>
        <w:numId w:val="21"/>
      </w:numPr>
      <w:adjustRightInd w:val="0"/>
      <w:snapToGrid w:val="0"/>
      <w:spacing w:beforeLines="100" w:afterLines="100" w:line="500" w:lineRule="atLeast"/>
      <w:ind w:left="840" w:firstLineChars="28" w:firstLine="59"/>
      <w:jc w:val="left"/>
    </w:pPr>
    <w:rPr>
      <w:rFonts w:ascii="华文细黑" w:eastAsia="华文细黑" w:hAnsi="宋体" w:cs="宋体"/>
      <w:kern w:val="0"/>
      <w:sz w:val="24"/>
      <w:szCs w:val="20"/>
    </w:rPr>
  </w:style>
  <w:style w:type="paragraph" w:customStyle="1" w:styleId="3ff6">
    <w:name w:val="3"/>
    <w:qFormat/>
    <w:pPr>
      <w:widowControl w:val="0"/>
      <w:spacing w:line="360" w:lineRule="auto"/>
      <w:ind w:firstLineChars="200" w:firstLine="200"/>
      <w:jc w:val="both"/>
    </w:pPr>
    <w:rPr>
      <w:kern w:val="2"/>
      <w:sz w:val="24"/>
      <w:szCs w:val="24"/>
    </w:rPr>
  </w:style>
  <w:style w:type="paragraph" w:customStyle="1" w:styleId="xl207">
    <w:name w:val="xl207"/>
    <w:basedOn w:val="a6"/>
    <w:qFormat/>
    <w:pPr>
      <w:widowControl/>
      <w:pBdr>
        <w:bottom w:val="single" w:sz="4" w:space="0" w:color="auto"/>
      </w:pBdr>
      <w:spacing w:before="100" w:beforeAutospacing="1" w:after="100" w:afterAutospacing="1"/>
      <w:jc w:val="left"/>
      <w:textAlignment w:val="center"/>
    </w:pPr>
    <w:rPr>
      <w:rFonts w:cs="宋体"/>
      <w:color w:val="000000"/>
      <w:kern w:val="0"/>
      <w:sz w:val="24"/>
    </w:rPr>
  </w:style>
  <w:style w:type="paragraph" w:customStyle="1" w:styleId="xl1010">
    <w:name w:val="xl1010"/>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kern w:val="0"/>
      <w:sz w:val="18"/>
      <w:szCs w:val="18"/>
    </w:rPr>
  </w:style>
  <w:style w:type="paragraph" w:customStyle="1" w:styleId="cdb">
    <w:name w:val="cdb"/>
    <w:basedOn w:val="a6"/>
    <w:qFormat/>
    <w:pPr>
      <w:widowControl/>
      <w:spacing w:before="120"/>
      <w:ind w:left="851" w:firstLine="482"/>
      <w:jc w:val="left"/>
    </w:pPr>
    <w:rPr>
      <w:rFonts w:cs="宋体"/>
      <w:kern w:val="0"/>
      <w:sz w:val="24"/>
      <w:szCs w:val="20"/>
    </w:rPr>
  </w:style>
  <w:style w:type="paragraph" w:customStyle="1" w:styleId="xl1018">
    <w:name w:val="xl1018"/>
    <w:basedOn w:val="a6"/>
    <w:qFormat/>
    <w:pPr>
      <w:widowControl/>
      <w:pBdr>
        <w:bottom w:val="single" w:sz="4" w:space="0" w:color="auto"/>
        <w:right w:val="single" w:sz="4" w:space="0" w:color="auto"/>
      </w:pBdr>
      <w:shd w:val="clear" w:color="000000" w:fill="00B050"/>
      <w:spacing w:before="100" w:beforeAutospacing="1" w:after="100" w:afterAutospacing="1"/>
      <w:jc w:val="center"/>
    </w:pPr>
    <w:rPr>
      <w:rFonts w:ascii="Arial" w:hAnsi="Arial" w:cs="Arial"/>
      <w:kern w:val="0"/>
      <w:sz w:val="18"/>
      <w:szCs w:val="18"/>
    </w:rPr>
  </w:style>
  <w:style w:type="paragraph" w:customStyle="1" w:styleId="1ffff9">
    <w:name w:val="(1)"/>
    <w:qFormat/>
    <w:pPr>
      <w:spacing w:line="360" w:lineRule="auto"/>
      <w:ind w:firstLineChars="200" w:firstLine="480"/>
    </w:pPr>
    <w:rPr>
      <w:rFonts w:ascii="仿宋_GB2312" w:eastAsia="仿宋_GB2312"/>
      <w:sz w:val="24"/>
    </w:rPr>
  </w:style>
  <w:style w:type="paragraph" w:customStyle="1" w:styleId="pa-9">
    <w:name w:val="pa-9"/>
    <w:basedOn w:val="a6"/>
    <w:qFormat/>
    <w:pPr>
      <w:widowControl/>
      <w:spacing w:line="280" w:lineRule="atLeast"/>
      <w:jc w:val="left"/>
    </w:pPr>
    <w:rPr>
      <w:rFonts w:ascii="宋体" w:hAnsi="宋体" w:cs="宋体"/>
      <w:kern w:val="0"/>
      <w:sz w:val="24"/>
    </w:rPr>
  </w:style>
  <w:style w:type="paragraph" w:customStyle="1" w:styleId="affffffffffffffffffffffff">
    <w:name w:val="国寰 表格标题"/>
    <w:basedOn w:val="a6"/>
    <w:qFormat/>
    <w:pPr>
      <w:tabs>
        <w:tab w:val="left" w:pos="905"/>
      </w:tabs>
      <w:jc w:val="center"/>
    </w:pPr>
    <w:rPr>
      <w:rFonts w:eastAsia="黑体"/>
      <w:bCs/>
      <w:szCs w:val="20"/>
    </w:rPr>
  </w:style>
  <w:style w:type="paragraph" w:customStyle="1" w:styleId="421">
    <w:name w:val="正文格式42"/>
    <w:basedOn w:val="a6"/>
    <w:qFormat/>
    <w:pPr>
      <w:spacing w:line="360" w:lineRule="auto"/>
      <w:ind w:firstLine="482"/>
    </w:pPr>
    <w:rPr>
      <w:rFonts w:ascii="宋体" w:hAnsi="宋体"/>
      <w:sz w:val="24"/>
    </w:rPr>
  </w:style>
  <w:style w:type="paragraph" w:customStyle="1" w:styleId="affffffffffffffffffffffff0">
    <w:name w:val="制表"/>
    <w:basedOn w:val="aa"/>
    <w:next w:val="a6"/>
    <w:qFormat/>
    <w:pPr>
      <w:pageBreakBefore w:val="0"/>
      <w:widowControl/>
      <w:spacing w:before="0" w:after="0" w:line="240" w:lineRule="auto"/>
      <w:ind w:firstLine="454"/>
      <w:jc w:val="left"/>
      <w:outlineLvl w:val="4"/>
    </w:pPr>
    <w:rPr>
      <w:b w:val="0"/>
      <w:bCs w:val="0"/>
      <w:kern w:val="0"/>
      <w:sz w:val="21"/>
      <w:szCs w:val="20"/>
    </w:rPr>
  </w:style>
  <w:style w:type="paragraph" w:customStyle="1" w:styleId="xl1021">
    <w:name w:val="xl1021"/>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18"/>
      <w:szCs w:val="18"/>
    </w:rPr>
  </w:style>
  <w:style w:type="paragraph" w:customStyle="1" w:styleId="affffffffffffffffffffffff1">
    <w:name w:val="表格小四居中"/>
    <w:basedOn w:val="a6"/>
    <w:qFormat/>
    <w:pPr>
      <w:adjustRightInd w:val="0"/>
      <w:snapToGrid w:val="0"/>
      <w:spacing w:line="300" w:lineRule="auto"/>
      <w:jc w:val="center"/>
    </w:pPr>
    <w:rPr>
      <w:rFonts w:eastAsia="仿宋_GB2312"/>
      <w:sz w:val="24"/>
    </w:rPr>
  </w:style>
  <w:style w:type="paragraph" w:customStyle="1" w:styleId="CYQ10">
    <w:name w:val="CYQ 正文四号字体样式1"/>
    <w:basedOn w:val="a6"/>
    <w:qFormat/>
    <w:pPr>
      <w:widowControl/>
      <w:spacing w:line="360" w:lineRule="auto"/>
      <w:jc w:val="left"/>
    </w:pPr>
    <w:rPr>
      <w:rFonts w:cs="宋体"/>
      <w:color w:val="000000"/>
      <w:kern w:val="0"/>
      <w:sz w:val="24"/>
    </w:rPr>
  </w:style>
  <w:style w:type="paragraph" w:customStyle="1" w:styleId="affffffffffffffffffffffff2">
    <w:name w:val="久不通函，至以为念。"/>
    <w:qFormat/>
    <w:pPr>
      <w:widowControl w:val="0"/>
      <w:jc w:val="both"/>
    </w:pPr>
    <w:rPr>
      <w:kern w:val="2"/>
      <w:sz w:val="21"/>
      <w:szCs w:val="24"/>
    </w:rPr>
  </w:style>
  <w:style w:type="paragraph" w:customStyle="1" w:styleId="020">
    <w:name w:val="02"/>
    <w:basedOn w:val="a6"/>
    <w:qFormat/>
    <w:pPr>
      <w:keepNext/>
      <w:keepLines/>
      <w:spacing w:before="100" w:line="360" w:lineRule="auto"/>
      <w:outlineLvl w:val="1"/>
    </w:pPr>
    <w:rPr>
      <w:rFonts w:ascii="黑体" w:eastAsia="黑体" w:hAnsi="黑体"/>
      <w:color w:val="333333"/>
      <w:sz w:val="24"/>
      <w:szCs w:val="20"/>
    </w:rPr>
  </w:style>
  <w:style w:type="paragraph" w:customStyle="1" w:styleId="affffffffffffffffffffffff3">
    <w:name w:val="新标题样式"/>
    <w:basedOn w:val="a6"/>
    <w:qFormat/>
    <w:pPr>
      <w:tabs>
        <w:tab w:val="left" w:pos="567"/>
      </w:tabs>
      <w:spacing w:line="360" w:lineRule="auto"/>
    </w:pPr>
    <w:rPr>
      <w:rFonts w:eastAsia="黑体"/>
      <w:b/>
      <w:spacing w:val="20"/>
      <w:sz w:val="24"/>
      <w:szCs w:val="20"/>
    </w:rPr>
  </w:style>
  <w:style w:type="paragraph" w:customStyle="1" w:styleId="4fb">
    <w:name w:val="页眉4"/>
    <w:basedOn w:val="1ff9"/>
    <w:qFormat/>
    <w:pPr>
      <w:pBdr>
        <w:bottom w:val="single" w:sz="6" w:space="1" w:color="auto"/>
      </w:pBdr>
      <w:tabs>
        <w:tab w:val="center" w:pos="4153"/>
        <w:tab w:val="right" w:pos="8306"/>
      </w:tabs>
      <w:adjustRightInd w:val="0"/>
      <w:spacing w:line="240" w:lineRule="atLeast"/>
    </w:pPr>
    <w:rPr>
      <w:rFonts w:ascii="宋体" w:hAnsi="Calibri" w:hint="eastAsia"/>
      <w:kern w:val="0"/>
      <w:sz w:val="18"/>
      <w:szCs w:val="20"/>
    </w:rPr>
  </w:style>
  <w:style w:type="paragraph" w:customStyle="1" w:styleId="xl209">
    <w:name w:val="xl209"/>
    <w:basedOn w:val="a6"/>
    <w:qFormat/>
    <w:pPr>
      <w:widowControl/>
      <w:pBdr>
        <w:bottom w:val="single" w:sz="4" w:space="0" w:color="auto"/>
        <w:right w:val="single" w:sz="4" w:space="0" w:color="auto"/>
      </w:pBdr>
      <w:spacing w:before="100" w:beforeAutospacing="1" w:after="100" w:afterAutospacing="1"/>
      <w:jc w:val="left"/>
      <w:textAlignment w:val="center"/>
    </w:pPr>
    <w:rPr>
      <w:rFonts w:cs="宋体"/>
      <w:color w:val="000000"/>
      <w:kern w:val="0"/>
      <w:sz w:val="24"/>
    </w:rPr>
  </w:style>
  <w:style w:type="paragraph" w:customStyle="1" w:styleId="xl1020">
    <w:name w:val="xl1020"/>
    <w:basedOn w:val="a6"/>
    <w:qFormat/>
    <w:pPr>
      <w:widowControl/>
      <w:pBdr>
        <w:top w:val="single" w:sz="8" w:space="0" w:color="FFFF00"/>
        <w:left w:val="single" w:sz="4" w:space="0" w:color="auto"/>
        <w:bottom w:val="single" w:sz="8" w:space="0" w:color="FFFF00"/>
        <w:right w:val="single" w:sz="4" w:space="0" w:color="auto"/>
      </w:pBdr>
      <w:shd w:val="clear" w:color="000000" w:fill="00B050"/>
      <w:spacing w:before="100" w:beforeAutospacing="1" w:after="100" w:afterAutospacing="1"/>
      <w:jc w:val="center"/>
    </w:pPr>
    <w:rPr>
      <w:rFonts w:ascii="Arial" w:hAnsi="Arial" w:cs="Arial"/>
      <w:kern w:val="0"/>
      <w:sz w:val="18"/>
      <w:szCs w:val="18"/>
    </w:rPr>
  </w:style>
  <w:style w:type="paragraph" w:customStyle="1" w:styleId="5-">
    <w:name w:val="标题5-国寰"/>
    <w:qFormat/>
    <w:rPr>
      <w:szCs w:val="21"/>
    </w:rPr>
  </w:style>
  <w:style w:type="paragraph" w:customStyle="1" w:styleId="5fb">
    <w:name w:val="5级标题"/>
    <w:qFormat/>
  </w:style>
  <w:style w:type="paragraph" w:customStyle="1" w:styleId="5fc">
    <w:name w:val="标题5 国寰"/>
    <w:basedOn w:val="a6"/>
    <w:qFormat/>
    <w:pPr>
      <w:spacing w:line="360" w:lineRule="auto"/>
      <w:outlineLvl w:val="4"/>
    </w:pPr>
    <w:rPr>
      <w:sz w:val="24"/>
    </w:rPr>
  </w:style>
  <w:style w:type="paragraph" w:customStyle="1" w:styleId="affffffffffffffffffffffff4">
    <w:name w:val="正文."/>
    <w:qFormat/>
    <w:pPr>
      <w:widowControl w:val="0"/>
      <w:autoSpaceDE w:val="0"/>
      <w:autoSpaceDN w:val="0"/>
      <w:adjustRightInd w:val="0"/>
      <w:jc w:val="both"/>
    </w:pPr>
    <w:rPr>
      <w:rFonts w:ascii="Times New Roman;Symbol;Arial;婼" w:eastAsia="Times New Roman;Symbol;Arial;婼"/>
      <w:sz w:val="21"/>
      <w:szCs w:val="21"/>
    </w:rPr>
  </w:style>
  <w:style w:type="paragraph" w:customStyle="1" w:styleId="affffffffffffffffffffffff5">
    <w:name w:val="表右"/>
    <w:basedOn w:val="a6"/>
    <w:qFormat/>
    <w:pPr>
      <w:spacing w:line="280" w:lineRule="exact"/>
      <w:jc w:val="right"/>
    </w:pPr>
    <w:rPr>
      <w:rFonts w:ascii="宋体"/>
      <w:color w:val="000000"/>
      <w:sz w:val="18"/>
    </w:rPr>
  </w:style>
  <w:style w:type="paragraph" w:customStyle="1" w:styleId="1ffffa">
    <w:name w:val="样式 标题 1 + (符号) 宋体"/>
    <w:basedOn w:val="12"/>
    <w:qFormat/>
    <w:pPr>
      <w:keepNext w:val="0"/>
      <w:keepLines w:val="0"/>
      <w:pageBreakBefore/>
      <w:tabs>
        <w:tab w:val="left" w:pos="360"/>
      </w:tabs>
      <w:autoSpaceDE w:val="0"/>
      <w:autoSpaceDN w:val="0"/>
      <w:adjustRightInd w:val="0"/>
      <w:spacing w:before="0" w:afterLines="50" w:after="0" w:line="360" w:lineRule="auto"/>
      <w:ind w:left="688" w:hanging="432"/>
      <w:jc w:val="center"/>
    </w:pPr>
    <w:rPr>
      <w:b w:val="0"/>
      <w:kern w:val="0"/>
      <w:sz w:val="28"/>
      <w:szCs w:val="32"/>
    </w:rPr>
  </w:style>
  <w:style w:type="paragraph" w:customStyle="1" w:styleId="Title9">
    <w:name w:val="Title 9"/>
    <w:basedOn w:val="a6"/>
    <w:qFormat/>
    <w:pPr>
      <w:widowControl/>
      <w:tabs>
        <w:tab w:val="left" w:pos="900"/>
      </w:tabs>
      <w:spacing w:after="120"/>
      <w:ind w:left="900" w:hanging="360"/>
      <w:jc w:val="left"/>
    </w:pPr>
    <w:rPr>
      <w:rFonts w:ascii="Arial" w:hAnsi="Arial" w:cs="宋体"/>
      <w:kern w:val="0"/>
      <w:sz w:val="24"/>
      <w:szCs w:val="20"/>
    </w:rPr>
  </w:style>
  <w:style w:type="paragraph" w:customStyle="1" w:styleId="CharCharCharCharCharCharCharCharCharCharCharCharCharCharCharCharCharCharCharCharCharCharCharCharCharCharCharCharCharCharCharCharCharCharCharCharCharCharChar5">
    <w:name w:val="Char Char Char Char Char Char Char Char Char Char Char Char Char Char Char Char Char Char Char Char Char Char Char Char Char Char Char Char Char Char Char Char Char Char Char Char Char Char Char5"/>
    <w:basedOn w:val="a6"/>
    <w:qFormat/>
    <w:rPr>
      <w:szCs w:val="20"/>
    </w:rPr>
  </w:style>
  <w:style w:type="paragraph" w:customStyle="1" w:styleId="3H3h3subheadingh3zhenwen1113CharChar31">
    <w:name w:val="样式 标题 3条H3h3 sub headingh3zhenwen1.1.1标题 3 Char Char标题 3...1"/>
    <w:basedOn w:val="33"/>
    <w:qFormat/>
    <w:pPr>
      <w:tabs>
        <w:tab w:val="left" w:pos="720"/>
        <w:tab w:val="left" w:pos="1260"/>
      </w:tabs>
      <w:adjustRightInd w:val="0"/>
      <w:spacing w:line="360" w:lineRule="auto"/>
      <w:ind w:left="1260" w:hanging="420"/>
      <w:jc w:val="left"/>
    </w:pPr>
    <w:rPr>
      <w:rFonts w:eastAsia="宋体"/>
      <w:bCs/>
      <w:spacing w:val="0"/>
      <w:kern w:val="0"/>
      <w:szCs w:val="20"/>
    </w:rPr>
  </w:style>
  <w:style w:type="paragraph" w:customStyle="1" w:styleId="3ff7">
    <w:name w:val="样式 标题 3 + 黑体"/>
    <w:basedOn w:val="33"/>
    <w:qFormat/>
    <w:pPr>
      <w:keepNext w:val="0"/>
      <w:adjustRightInd w:val="0"/>
      <w:spacing w:beforeLines="50" w:afterLines="50" w:line="520" w:lineRule="exact"/>
    </w:pPr>
    <w:rPr>
      <w:rFonts w:hAnsi="黑体"/>
      <w:b/>
      <w:spacing w:val="0"/>
      <w:szCs w:val="32"/>
    </w:rPr>
  </w:style>
  <w:style w:type="paragraph" w:customStyle="1" w:styleId="153">
    <w:name w:val="样式 行距: 1.5 倍行距"/>
    <w:basedOn w:val="a6"/>
    <w:qFormat/>
    <w:pPr>
      <w:tabs>
        <w:tab w:val="left" w:pos="630"/>
      </w:tabs>
      <w:spacing w:line="360" w:lineRule="auto"/>
    </w:pPr>
    <w:rPr>
      <w:rFonts w:ascii="宋体" w:hAnsi="宋体"/>
      <w:color w:val="000000"/>
      <w:sz w:val="24"/>
      <w:szCs w:val="20"/>
    </w:rPr>
  </w:style>
  <w:style w:type="paragraph" w:customStyle="1" w:styleId="1ffffb">
    <w:name w:val="正文段1"/>
    <w:basedOn w:val="a6"/>
    <w:qFormat/>
    <w:pPr>
      <w:widowControl/>
      <w:autoSpaceDE w:val="0"/>
      <w:autoSpaceDN w:val="0"/>
      <w:adjustRightInd w:val="0"/>
      <w:spacing w:line="360" w:lineRule="auto"/>
      <w:ind w:firstLineChars="100" w:firstLine="240"/>
      <w:jc w:val="center"/>
    </w:pPr>
    <w:rPr>
      <w:rFonts w:ascii="宋体" w:hAnsi="宋体" w:cs="宋体"/>
      <w:kern w:val="0"/>
      <w:sz w:val="24"/>
      <w:lang w:val="zh-CN"/>
    </w:rPr>
  </w:style>
  <w:style w:type="paragraph" w:customStyle="1" w:styleId="affffffffffffffffffffffff6">
    <w:name w:val="样式 题注"/>
    <w:basedOn w:val="af1"/>
    <w:qFormat/>
    <w:pPr>
      <w:widowControl w:val="0"/>
      <w:ind w:firstLineChars="0" w:firstLine="0"/>
      <w:jc w:val="center"/>
    </w:pPr>
    <w:rPr>
      <w:rFonts w:ascii="Arial" w:eastAsia="黑体" w:hAnsi="Arial" w:cs="宋体"/>
      <w:b w:val="0"/>
      <w:color w:val="000000"/>
      <w:szCs w:val="20"/>
    </w:rPr>
  </w:style>
  <w:style w:type="paragraph" w:customStyle="1" w:styleId="reader-word-layerreader-word-s1-24">
    <w:name w:val="reader-word-layer reader-word-s1-24"/>
    <w:basedOn w:val="a6"/>
    <w:qFormat/>
    <w:pPr>
      <w:widowControl/>
      <w:spacing w:before="100" w:beforeAutospacing="1" w:after="100" w:afterAutospacing="1"/>
      <w:jc w:val="left"/>
    </w:pPr>
    <w:rPr>
      <w:rFonts w:ascii="宋体" w:hAnsi="宋体" w:cs="宋体"/>
      <w:kern w:val="0"/>
      <w:sz w:val="24"/>
    </w:rPr>
  </w:style>
  <w:style w:type="paragraph" w:customStyle="1" w:styleId="xl233">
    <w:name w:val="xl233"/>
    <w:basedOn w:val="a6"/>
    <w:qFormat/>
    <w:pPr>
      <w:widowControl/>
      <w:pBdr>
        <w:top w:val="single" w:sz="4" w:space="0" w:color="auto"/>
        <w:left w:val="single" w:sz="4" w:space="0" w:color="auto"/>
      </w:pBdr>
      <w:spacing w:before="100" w:beforeAutospacing="1" w:after="100" w:afterAutospacing="1"/>
      <w:jc w:val="center"/>
    </w:pPr>
    <w:rPr>
      <w:rFonts w:ascii="宋体" w:hAnsi="宋体" w:cs="宋体"/>
      <w:kern w:val="0"/>
      <w:sz w:val="18"/>
      <w:szCs w:val="18"/>
    </w:rPr>
  </w:style>
  <w:style w:type="paragraph" w:customStyle="1" w:styleId="4fc">
    <w:name w:val="样式 标题 4 + 小四 两端对齐"/>
    <w:basedOn w:val="41"/>
    <w:qFormat/>
    <w:pPr>
      <w:keepNext w:val="0"/>
      <w:widowControl/>
      <w:tabs>
        <w:tab w:val="left" w:pos="454"/>
      </w:tabs>
      <w:adjustRightInd/>
      <w:snapToGrid/>
      <w:spacing w:beforeLines="0" w:before="76" w:after="76" w:line="360" w:lineRule="auto"/>
      <w:ind w:left="454" w:hanging="454"/>
    </w:pPr>
    <w:rPr>
      <w:rFonts w:ascii="宋体" w:eastAsia="宋体"/>
      <w:bCs w:val="0"/>
      <w:kern w:val="0"/>
      <w:sz w:val="24"/>
    </w:rPr>
  </w:style>
  <w:style w:type="paragraph" w:customStyle="1" w:styleId="ParaAttribute50">
    <w:name w:val="ParaAttribute50"/>
    <w:qFormat/>
    <w:pPr>
      <w:widowControl w:val="0"/>
      <w:wordWrap w:val="0"/>
      <w:spacing w:line="154" w:lineRule="exact"/>
    </w:pPr>
  </w:style>
  <w:style w:type="paragraph" w:customStyle="1" w:styleId="xl1005">
    <w:name w:val="xl1005"/>
    <w:basedOn w:val="a6"/>
    <w:qFormat/>
    <w:pPr>
      <w:widowControl/>
      <w:pBdr>
        <w:top w:val="single" w:sz="4" w:space="0" w:color="auto"/>
        <w:left w:val="single" w:sz="4" w:space="0" w:color="auto"/>
        <w:bottom w:val="single" w:sz="8" w:space="0" w:color="auto"/>
        <w:right w:val="single" w:sz="8" w:space="0" w:color="auto"/>
      </w:pBdr>
      <w:shd w:val="clear" w:color="000000" w:fill="E26B0A"/>
      <w:spacing w:before="100" w:beforeAutospacing="1" w:after="100" w:afterAutospacing="1"/>
      <w:jc w:val="center"/>
    </w:pPr>
    <w:rPr>
      <w:rFonts w:ascii="Arial" w:hAnsi="Arial" w:cs="Arial"/>
      <w:kern w:val="0"/>
      <w:sz w:val="18"/>
      <w:szCs w:val="18"/>
    </w:rPr>
  </w:style>
  <w:style w:type="paragraph" w:customStyle="1" w:styleId="4fd">
    <w:name w:val="正文4"/>
    <w:qFormat/>
    <w:pPr>
      <w:widowControl w:val="0"/>
      <w:adjustRightInd w:val="0"/>
      <w:spacing w:line="360" w:lineRule="atLeast"/>
      <w:textAlignment w:val="baseline"/>
    </w:pPr>
    <w:rPr>
      <w:rFonts w:ascii="宋体"/>
      <w:sz w:val="34"/>
    </w:rPr>
  </w:style>
  <w:style w:type="paragraph" w:customStyle="1" w:styleId="affffffffffffffffffffffff7">
    <w:name w:val="正文段"/>
    <w:basedOn w:val="a6"/>
    <w:qFormat/>
    <w:pPr>
      <w:widowControl/>
      <w:autoSpaceDE w:val="0"/>
      <w:autoSpaceDN w:val="0"/>
      <w:adjustRightInd w:val="0"/>
      <w:spacing w:line="360" w:lineRule="auto"/>
      <w:ind w:firstLineChars="200" w:firstLine="480"/>
      <w:jc w:val="left"/>
    </w:pPr>
    <w:rPr>
      <w:rFonts w:ascii="Arial" w:hAnsi="Arial" w:cs="宋体"/>
      <w:bCs/>
      <w:kern w:val="0"/>
      <w:sz w:val="24"/>
    </w:rPr>
  </w:style>
  <w:style w:type="paragraph" w:customStyle="1" w:styleId="affffffffffffffffffffffff8">
    <w:name w:val="字元 字元 字元"/>
    <w:basedOn w:val="a6"/>
    <w:semiHidden/>
    <w:qFormat/>
    <w:pPr>
      <w:widowControl/>
      <w:spacing w:line="360" w:lineRule="auto"/>
      <w:ind w:firstLineChars="200" w:firstLine="200"/>
      <w:jc w:val="left"/>
    </w:pPr>
    <w:rPr>
      <w:rFonts w:ascii="宋体" w:hAnsi="宋体" w:cs="宋体"/>
      <w:kern w:val="0"/>
      <w:sz w:val="24"/>
    </w:rPr>
  </w:style>
  <w:style w:type="paragraph" w:customStyle="1" w:styleId="CharCharCharCharCharCharCharChar0">
    <w:name w:val="Char Char Char Char Char Char Char Char"/>
    <w:basedOn w:val="a6"/>
    <w:qFormat/>
    <w:pPr>
      <w:widowControl/>
      <w:spacing w:after="160" w:line="240" w:lineRule="exact"/>
      <w:jc w:val="left"/>
    </w:pPr>
    <w:rPr>
      <w:rFonts w:ascii="Verdana" w:hAnsi="Verdana"/>
      <w:kern w:val="0"/>
      <w:sz w:val="20"/>
      <w:szCs w:val="20"/>
      <w:lang w:eastAsia="en-US"/>
    </w:rPr>
  </w:style>
  <w:style w:type="paragraph" w:customStyle="1" w:styleId="affffffffffffffffffffffff9">
    <w:name w:val="水文气象报告正文"/>
    <w:basedOn w:val="a6"/>
    <w:qFormat/>
    <w:pPr>
      <w:widowControl/>
      <w:ind w:firstLineChars="200" w:firstLine="560"/>
      <w:jc w:val="left"/>
    </w:pPr>
    <w:rPr>
      <w:rFonts w:cs="宋体"/>
      <w:color w:val="000000"/>
      <w:kern w:val="0"/>
      <w:sz w:val="28"/>
      <w:szCs w:val="28"/>
    </w:rPr>
  </w:style>
  <w:style w:type="paragraph" w:customStyle="1" w:styleId="xl183">
    <w:name w:val="xl183"/>
    <w:basedOn w:val="a6"/>
    <w:qFormat/>
    <w:pPr>
      <w:widowControl/>
      <w:pBdr>
        <w:top w:val="single" w:sz="4" w:space="0" w:color="auto"/>
        <w:bottom w:val="double" w:sz="6" w:space="0" w:color="auto"/>
        <w:right w:val="single" w:sz="4" w:space="0" w:color="auto"/>
      </w:pBdr>
      <w:spacing w:before="100" w:beforeAutospacing="1" w:after="100" w:afterAutospacing="1" w:line="360" w:lineRule="auto"/>
      <w:jc w:val="center"/>
      <w:textAlignment w:val="center"/>
    </w:pPr>
    <w:rPr>
      <w:rFonts w:eastAsia="Arial Unicode MS" w:cs="宋体"/>
      <w:kern w:val="0"/>
      <w:sz w:val="20"/>
      <w:szCs w:val="20"/>
    </w:rPr>
  </w:style>
  <w:style w:type="paragraph" w:customStyle="1" w:styleId="xl34">
    <w:name w:val="xl34"/>
    <w:basedOn w:val="a6"/>
    <w:qFormat/>
    <w:pPr>
      <w:widowControl/>
      <w:pBdr>
        <w:top w:val="single" w:sz="4" w:space="0" w:color="auto"/>
        <w:left w:val="single" w:sz="4" w:space="0" w:color="auto"/>
        <w:bottom w:val="single" w:sz="4" w:space="0" w:color="auto"/>
      </w:pBdr>
      <w:spacing w:before="100" w:after="100"/>
      <w:jc w:val="center"/>
      <w:textAlignment w:val="center"/>
    </w:pPr>
    <w:rPr>
      <w:kern w:val="0"/>
      <w:szCs w:val="20"/>
    </w:rPr>
  </w:style>
  <w:style w:type="paragraph" w:customStyle="1" w:styleId="xl246">
    <w:name w:val="xl246"/>
    <w:basedOn w:val="a6"/>
    <w:qFormat/>
    <w:pPr>
      <w:widowControl/>
      <w:pBdr>
        <w:top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ffffffffffffffffffffffffa">
    <w:name w:val="正文并立"/>
    <w:basedOn w:val="a6"/>
    <w:qFormat/>
    <w:pPr>
      <w:widowControl/>
      <w:adjustRightInd w:val="0"/>
      <w:spacing w:line="408" w:lineRule="atLeast"/>
      <w:ind w:firstLine="601"/>
      <w:jc w:val="left"/>
      <w:textAlignment w:val="baseline"/>
    </w:pPr>
    <w:rPr>
      <w:rFonts w:cs="宋体"/>
      <w:kern w:val="0"/>
      <w:sz w:val="28"/>
      <w:szCs w:val="20"/>
    </w:rPr>
  </w:style>
  <w:style w:type="paragraph" w:customStyle="1" w:styleId="133">
    <w:name w:val="13"/>
    <w:basedOn w:val="a6"/>
    <w:next w:val="aff5"/>
    <w:qFormat/>
    <w:pPr>
      <w:spacing w:line="360" w:lineRule="auto"/>
      <w:ind w:firstLine="420"/>
      <w:jc w:val="center"/>
    </w:pPr>
    <w:rPr>
      <w:rFonts w:ascii="黑体" w:eastAsia="黑体" w:hAnsi="Arial"/>
      <w:color w:val="000000"/>
      <w:kern w:val="28"/>
      <w:szCs w:val="28"/>
    </w:rPr>
  </w:style>
  <w:style w:type="paragraph" w:customStyle="1" w:styleId="xl1053">
    <w:name w:val="xl1053"/>
    <w:basedOn w:val="a6"/>
    <w:qFormat/>
    <w:pPr>
      <w:widowControl/>
      <w:pBdr>
        <w:top w:val="single" w:sz="4" w:space="0" w:color="auto"/>
        <w:left w:val="single" w:sz="4" w:space="0" w:color="auto"/>
        <w:right w:val="single" w:sz="4" w:space="0" w:color="auto"/>
      </w:pBdr>
      <w:shd w:val="clear" w:color="000000" w:fill="0070C0"/>
      <w:spacing w:before="100" w:beforeAutospacing="1" w:after="100" w:afterAutospacing="1"/>
      <w:jc w:val="center"/>
    </w:pPr>
    <w:rPr>
      <w:rFonts w:ascii="Arial" w:hAnsi="Arial" w:cs="Arial"/>
      <w:kern w:val="0"/>
      <w:sz w:val="18"/>
      <w:szCs w:val="18"/>
    </w:rPr>
  </w:style>
  <w:style w:type="paragraph" w:customStyle="1" w:styleId="CharCharCharCharCharCharCharCharCharCharCharCharCharCharCharCharCharCharChar2">
    <w:name w:val="Char Char Char Char Char Char Char Char Char Char Char Char Char Char Char Char Char Char Char2"/>
    <w:basedOn w:val="a6"/>
    <w:qFormat/>
    <w:rPr>
      <w:szCs w:val="20"/>
    </w:rPr>
  </w:style>
  <w:style w:type="paragraph" w:customStyle="1" w:styleId="xl231">
    <w:name w:val="xl231"/>
    <w:basedOn w:val="a6"/>
    <w:qFormat/>
    <w:pPr>
      <w:widowControl/>
      <w:pBdr>
        <w:left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80">
    <w:name w:val="xl180"/>
    <w:basedOn w:val="a6"/>
    <w:qFormat/>
    <w:pPr>
      <w:widowControl/>
      <w:pBdr>
        <w:top w:val="single" w:sz="4" w:space="0" w:color="auto"/>
        <w:left w:val="single" w:sz="4" w:space="0" w:color="auto"/>
        <w:bottom w:val="double" w:sz="6" w:space="0" w:color="auto"/>
        <w:right w:val="single" w:sz="4" w:space="0" w:color="auto"/>
      </w:pBdr>
      <w:spacing w:before="100" w:beforeAutospacing="1" w:after="100" w:afterAutospacing="1" w:line="360" w:lineRule="auto"/>
      <w:jc w:val="center"/>
      <w:textAlignment w:val="center"/>
    </w:pPr>
    <w:rPr>
      <w:rFonts w:eastAsia="Arial Unicode MS" w:cs="宋体"/>
      <w:color w:val="000000"/>
      <w:kern w:val="0"/>
      <w:sz w:val="20"/>
      <w:szCs w:val="20"/>
    </w:rPr>
  </w:style>
  <w:style w:type="paragraph" w:customStyle="1" w:styleId="affffffffffffffffffffffffb">
    <w:name w:val="正文+字体"/>
    <w:basedOn w:val="a6"/>
    <w:next w:val="a6"/>
    <w:qFormat/>
    <w:pPr>
      <w:spacing w:line="360" w:lineRule="auto"/>
      <w:ind w:firstLineChars="200" w:firstLine="200"/>
    </w:pPr>
  </w:style>
  <w:style w:type="paragraph" w:customStyle="1" w:styleId="affffffffffffffffffffffffc">
    <w:name w:val="流程文字"/>
    <w:basedOn w:val="a6"/>
    <w:qFormat/>
    <w:pPr>
      <w:tabs>
        <w:tab w:val="left" w:pos="6480"/>
      </w:tabs>
      <w:topLinePunct/>
      <w:adjustRightInd w:val="0"/>
      <w:snapToGrid w:val="0"/>
      <w:spacing w:line="360" w:lineRule="atLeast"/>
      <w:jc w:val="center"/>
      <w:textAlignment w:val="baseline"/>
    </w:pPr>
    <w:rPr>
      <w:rFonts w:eastAsia="仿宋_GB2312"/>
      <w:szCs w:val="20"/>
    </w:rPr>
  </w:style>
  <w:style w:type="paragraph" w:customStyle="1" w:styleId="3ff8">
    <w:name w:val="样式 标题 3 + 宋体"/>
    <w:basedOn w:val="33"/>
    <w:qFormat/>
    <w:pPr>
      <w:keepNext w:val="0"/>
      <w:adjustRightInd w:val="0"/>
      <w:spacing w:beforeLines="50" w:afterLines="50" w:line="360" w:lineRule="auto"/>
    </w:pPr>
    <w:rPr>
      <w:rFonts w:hAnsi="黑体"/>
      <w:bCs/>
      <w:color w:val="000000"/>
      <w:spacing w:val="0"/>
      <w:szCs w:val="24"/>
    </w:rPr>
  </w:style>
  <w:style w:type="paragraph" w:customStyle="1" w:styleId="227">
    <w:name w:val="样式 正文缩进正文（首行缩进两字）正文2 + 首行缩进:  2 字符"/>
    <w:basedOn w:val="af0"/>
    <w:qFormat/>
    <w:pPr>
      <w:adjustRightInd/>
      <w:spacing w:line="500" w:lineRule="exact"/>
      <w:ind w:firstLineChars="200" w:firstLine="200"/>
      <w:jc w:val="both"/>
      <w:textAlignment w:val="auto"/>
    </w:pPr>
    <w:rPr>
      <w:rFonts w:ascii="Times New Roman" w:hAnsi="Times New Roman" w:cs="宋体"/>
      <w:kern w:val="2"/>
      <w:szCs w:val="20"/>
    </w:rPr>
  </w:style>
  <w:style w:type="paragraph" w:customStyle="1" w:styleId="1111-">
    <w:name w:val="1.1.1.1-"/>
    <w:qFormat/>
    <w:pPr>
      <w:numPr>
        <w:ilvl w:val="3"/>
      </w:numPr>
      <w:outlineLvl w:val="3"/>
    </w:pPr>
  </w:style>
  <w:style w:type="paragraph" w:customStyle="1" w:styleId="111-">
    <w:name w:val="1.1.1-"/>
    <w:qFormat/>
    <w:pPr>
      <w:numPr>
        <w:ilvl w:val="2"/>
      </w:numPr>
      <w:outlineLvl w:val="2"/>
    </w:pPr>
  </w:style>
  <w:style w:type="paragraph" w:customStyle="1" w:styleId="11-">
    <w:name w:val="1.1-"/>
    <w:basedOn w:val="a6"/>
    <w:qFormat/>
    <w:pPr>
      <w:widowControl/>
      <w:numPr>
        <w:ilvl w:val="1"/>
        <w:numId w:val="22"/>
      </w:numPr>
      <w:spacing w:beforeLines="50" w:afterLines="50" w:line="360" w:lineRule="auto"/>
      <w:ind w:firstLine="0"/>
      <w:jc w:val="left"/>
      <w:outlineLvl w:val="1"/>
    </w:pPr>
    <w:rPr>
      <w:rFonts w:ascii="Arial" w:hAnsi="Arial" w:cs="Arial"/>
      <w:kern w:val="0"/>
      <w:sz w:val="24"/>
    </w:rPr>
  </w:style>
  <w:style w:type="paragraph" w:customStyle="1" w:styleId="CharCharCharCharCharCharCharCharCharCharCharCharCharCharCharCharCharCharCharCharCharCharCharCharCharChar2">
    <w:name w:val="Char Char Char Char Char Char Char Char Char Char Char Char Char Char Char Char Char Char Char Char Char Char Char Char Char Char2"/>
    <w:basedOn w:val="a6"/>
    <w:qFormat/>
  </w:style>
  <w:style w:type="paragraph" w:customStyle="1" w:styleId="xl993">
    <w:name w:val="xl993"/>
    <w:basedOn w:val="a6"/>
    <w:qFormat/>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kern w:val="0"/>
      <w:sz w:val="20"/>
      <w:szCs w:val="20"/>
    </w:rPr>
  </w:style>
  <w:style w:type="paragraph" w:customStyle="1" w:styleId="xl105">
    <w:name w:val="xl105"/>
    <w:basedOn w:val="a6"/>
    <w:qFormat/>
    <w:pPr>
      <w:widowControl/>
      <w:pBdr>
        <w:top w:val="single" w:sz="4" w:space="0" w:color="auto"/>
        <w:left w:val="single" w:sz="4" w:space="0" w:color="auto"/>
        <w:bottom w:val="single" w:sz="4" w:space="0" w:color="auto"/>
      </w:pBdr>
      <w:shd w:val="clear" w:color="000000" w:fill="FFFF99"/>
      <w:spacing w:before="100" w:beforeAutospacing="1" w:after="100" w:afterAutospacing="1"/>
      <w:jc w:val="left"/>
      <w:textAlignment w:val="center"/>
    </w:pPr>
    <w:rPr>
      <w:rFonts w:ascii="宋体" w:hAnsi="宋体" w:cs="宋体"/>
      <w:kern w:val="0"/>
      <w:sz w:val="20"/>
      <w:szCs w:val="20"/>
    </w:rPr>
  </w:style>
  <w:style w:type="paragraph" w:customStyle="1" w:styleId="CM65">
    <w:name w:val="CM65"/>
    <w:basedOn w:val="Default"/>
    <w:next w:val="Default"/>
    <w:qFormat/>
    <w:pPr>
      <w:spacing w:line="626" w:lineRule="atLeast"/>
    </w:pPr>
    <w:rPr>
      <w:rFonts w:ascii="黑体" w:eastAsia="黑体"/>
      <w:color w:val="auto"/>
    </w:rPr>
  </w:style>
  <w:style w:type="paragraph" w:customStyle="1" w:styleId="xl256">
    <w:name w:val="xl256"/>
    <w:basedOn w:val="a6"/>
    <w:qFormat/>
    <w:pPr>
      <w:widowControl/>
      <w:pBdr>
        <w:left w:val="single" w:sz="4" w:space="0" w:color="auto"/>
      </w:pBdr>
      <w:spacing w:before="100" w:beforeAutospacing="1" w:after="100" w:afterAutospacing="1"/>
      <w:jc w:val="center"/>
    </w:pPr>
    <w:rPr>
      <w:rFonts w:ascii="宋体" w:hAnsi="宋体" w:cs="宋体"/>
      <w:kern w:val="0"/>
      <w:sz w:val="20"/>
      <w:szCs w:val="20"/>
    </w:rPr>
  </w:style>
  <w:style w:type="paragraph" w:customStyle="1" w:styleId="xl174">
    <w:name w:val="xl174"/>
    <w:basedOn w:val="a6"/>
    <w:qFormat/>
    <w:pPr>
      <w:widowControl/>
      <w:pBdr>
        <w:right w:val="single" w:sz="4" w:space="0" w:color="auto"/>
      </w:pBdr>
      <w:spacing w:before="100" w:beforeAutospacing="1" w:after="100" w:afterAutospacing="1" w:line="360" w:lineRule="auto"/>
      <w:jc w:val="center"/>
      <w:textAlignment w:val="center"/>
    </w:pPr>
    <w:rPr>
      <w:rFonts w:ascii="Arial Unicode MS" w:eastAsia="Arial Unicode MS" w:hAnsi="Arial Unicode MS" w:cs="Arial Unicode MS"/>
      <w:color w:val="000000"/>
      <w:kern w:val="0"/>
      <w:sz w:val="20"/>
      <w:szCs w:val="20"/>
    </w:rPr>
  </w:style>
  <w:style w:type="paragraph" w:customStyle="1" w:styleId="CharCharChar1CharCharChar">
    <w:name w:val="Char Char Char1 Char Char Char"/>
    <w:basedOn w:val="a6"/>
    <w:qFormat/>
  </w:style>
  <w:style w:type="paragraph" w:customStyle="1" w:styleId="xl228">
    <w:name w:val="xl228"/>
    <w:basedOn w:val="a6"/>
    <w:qFormat/>
    <w:pPr>
      <w:widowControl/>
      <w:pBdr>
        <w:top w:val="single" w:sz="4" w:space="0" w:color="auto"/>
        <w:bottom w:val="single" w:sz="8" w:space="0" w:color="auto"/>
      </w:pBdr>
      <w:shd w:val="clear" w:color="auto" w:fill="FFFF00"/>
      <w:spacing w:before="100" w:beforeAutospacing="1" w:after="100" w:afterAutospacing="1"/>
      <w:jc w:val="center"/>
      <w:textAlignment w:val="center"/>
    </w:pPr>
    <w:rPr>
      <w:rFonts w:cs="宋体"/>
      <w:kern w:val="0"/>
      <w:sz w:val="20"/>
      <w:szCs w:val="20"/>
    </w:rPr>
  </w:style>
  <w:style w:type="paragraph" w:customStyle="1" w:styleId="xl176">
    <w:name w:val="xl176"/>
    <w:basedOn w:val="a6"/>
    <w:qFormat/>
    <w:pPr>
      <w:widowControl/>
      <w:pBdr>
        <w:top w:val="single" w:sz="4" w:space="0" w:color="auto"/>
        <w:left w:val="single" w:sz="4" w:space="0" w:color="auto"/>
        <w:right w:val="single" w:sz="4" w:space="0" w:color="auto"/>
      </w:pBdr>
      <w:spacing w:before="100" w:beforeAutospacing="1" w:after="100" w:afterAutospacing="1" w:line="360" w:lineRule="auto"/>
      <w:jc w:val="center"/>
      <w:textAlignment w:val="center"/>
    </w:pPr>
    <w:rPr>
      <w:rFonts w:ascii="Arial Unicode MS" w:eastAsia="Arial Unicode MS" w:hAnsi="Arial Unicode MS" w:cs="Arial Unicode MS"/>
      <w:color w:val="000000"/>
      <w:kern w:val="0"/>
      <w:sz w:val="24"/>
      <w:szCs w:val="21"/>
    </w:rPr>
  </w:style>
  <w:style w:type="paragraph" w:customStyle="1" w:styleId="xl45">
    <w:name w:val="xl45"/>
    <w:basedOn w:val="a6"/>
    <w:qFormat/>
    <w:pPr>
      <w:widowControl/>
      <w:pBdr>
        <w:left w:val="single" w:sz="4" w:space="0" w:color="auto"/>
        <w:bottom w:val="single" w:sz="4" w:space="0" w:color="auto"/>
        <w:right w:val="single" w:sz="4" w:space="0" w:color="auto"/>
      </w:pBdr>
      <w:spacing w:before="100" w:after="100"/>
      <w:jc w:val="center"/>
      <w:textAlignment w:val="center"/>
    </w:pPr>
    <w:rPr>
      <w:rFonts w:ascii="宋体" w:hAnsi="宋体"/>
      <w:kern w:val="0"/>
      <w:szCs w:val="20"/>
    </w:rPr>
  </w:style>
  <w:style w:type="paragraph" w:customStyle="1" w:styleId="xl936">
    <w:name w:val="xl93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kern w:val="0"/>
      <w:sz w:val="18"/>
      <w:szCs w:val="18"/>
    </w:rPr>
  </w:style>
  <w:style w:type="paragraph" w:customStyle="1" w:styleId="xl947">
    <w:name w:val="xl94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kern w:val="0"/>
      <w:sz w:val="18"/>
      <w:szCs w:val="18"/>
    </w:rPr>
  </w:style>
  <w:style w:type="paragraph" w:customStyle="1" w:styleId="590">
    <w:name w:val="表内59"/>
    <w:basedOn w:val="a6"/>
    <w:qFormat/>
    <w:pPr>
      <w:adjustRightInd w:val="0"/>
      <w:snapToGrid w:val="0"/>
      <w:spacing w:line="300" w:lineRule="auto"/>
      <w:jc w:val="center"/>
    </w:pPr>
    <w:rPr>
      <w:rFonts w:ascii="宋体"/>
      <w:snapToGrid w:val="0"/>
      <w:kern w:val="0"/>
      <w:sz w:val="24"/>
      <w:szCs w:val="20"/>
    </w:rPr>
  </w:style>
  <w:style w:type="paragraph" w:customStyle="1" w:styleId="xl226">
    <w:name w:val="xl226"/>
    <w:basedOn w:val="a6"/>
    <w:qFormat/>
    <w:pPr>
      <w:widowControl/>
      <w:pBdr>
        <w:top w:val="single" w:sz="8" w:space="0" w:color="auto"/>
        <w:bottom w:val="single" w:sz="4" w:space="0" w:color="auto"/>
        <w:right w:val="single" w:sz="4" w:space="0" w:color="auto"/>
      </w:pBdr>
      <w:spacing w:before="100" w:beforeAutospacing="1" w:after="100" w:afterAutospacing="1"/>
      <w:jc w:val="center"/>
      <w:textAlignment w:val="center"/>
    </w:pPr>
    <w:rPr>
      <w:rFonts w:cs="宋体"/>
      <w:kern w:val="0"/>
      <w:sz w:val="20"/>
      <w:szCs w:val="20"/>
    </w:rPr>
  </w:style>
  <w:style w:type="paragraph" w:customStyle="1" w:styleId="xl172">
    <w:name w:val="xl172"/>
    <w:basedOn w:val="a6"/>
    <w:qFormat/>
    <w:pPr>
      <w:widowControl/>
      <w:pBdr>
        <w:top w:val="double" w:sz="6"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Unicode MS" w:eastAsia="Arial Unicode MS" w:hAnsi="Arial Unicode MS" w:cs="Arial Unicode MS"/>
      <w:color w:val="000000"/>
      <w:kern w:val="0"/>
      <w:sz w:val="24"/>
      <w:szCs w:val="21"/>
    </w:rPr>
  </w:style>
  <w:style w:type="paragraph" w:customStyle="1" w:styleId="CharCharChar120">
    <w:name w:val="Char Char Char12"/>
    <w:basedOn w:val="a6"/>
    <w:qFormat/>
  </w:style>
  <w:style w:type="paragraph" w:customStyle="1" w:styleId="xl236">
    <w:name w:val="xl236"/>
    <w:basedOn w:val="a6"/>
    <w:qFormat/>
    <w:pPr>
      <w:widowControl/>
      <w:pBdr>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168">
    <w:name w:val="xl168"/>
    <w:basedOn w:val="a6"/>
    <w:qFormat/>
    <w:pPr>
      <w:widowControl/>
      <w:pBdr>
        <w:top w:val="double" w:sz="6" w:space="0" w:color="auto"/>
        <w:left w:val="single" w:sz="4" w:space="0" w:color="auto"/>
      </w:pBdr>
      <w:spacing w:before="100" w:beforeAutospacing="1" w:after="100" w:afterAutospacing="1" w:line="360" w:lineRule="auto"/>
      <w:jc w:val="left"/>
      <w:textAlignment w:val="center"/>
    </w:pPr>
    <w:rPr>
      <w:rFonts w:ascii="Arial Unicode MS" w:eastAsia="Arial Unicode MS" w:hAnsi="Arial Unicode MS" w:cs="Arial Unicode MS"/>
      <w:color w:val="000000"/>
      <w:kern w:val="0"/>
      <w:sz w:val="20"/>
      <w:szCs w:val="20"/>
    </w:rPr>
  </w:style>
  <w:style w:type="paragraph" w:customStyle="1" w:styleId="affffffffffffffffffffffffd">
    <w:name w:val="目次"/>
    <w:qFormat/>
    <w:pPr>
      <w:spacing w:beforeLines="200" w:afterLines="100" w:line="440" w:lineRule="exact"/>
      <w:ind w:hanging="1619"/>
      <w:jc w:val="center"/>
    </w:pPr>
    <w:rPr>
      <w:rFonts w:ascii="黑体" w:eastAsia="黑体"/>
      <w:sz w:val="24"/>
    </w:rPr>
  </w:style>
  <w:style w:type="paragraph" w:customStyle="1" w:styleId="154">
    <w:name w:val="样式 宋体 四号 行距: 1.5 倍行距"/>
    <w:basedOn w:val="a6"/>
    <w:qFormat/>
    <w:pPr>
      <w:spacing w:line="360" w:lineRule="auto"/>
      <w:ind w:right="-169" w:firstLine="482"/>
    </w:pPr>
    <w:rPr>
      <w:rFonts w:ascii="宋体"/>
      <w:b/>
      <w:sz w:val="24"/>
      <w:szCs w:val="20"/>
    </w:rPr>
  </w:style>
  <w:style w:type="paragraph" w:customStyle="1" w:styleId="xl205">
    <w:name w:val="xl205"/>
    <w:basedOn w:val="a6"/>
    <w:qFormat/>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cs="宋体"/>
      <w:color w:val="000000"/>
      <w:kern w:val="0"/>
      <w:sz w:val="24"/>
    </w:rPr>
  </w:style>
  <w:style w:type="paragraph" w:customStyle="1" w:styleId="xl164">
    <w:name w:val="xl164"/>
    <w:basedOn w:val="a6"/>
    <w:qFormat/>
    <w:pPr>
      <w:widowControl/>
      <w:pBdr>
        <w:top w:val="double" w:sz="6"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eastAsia="Arial Unicode MS" w:cs="宋体"/>
      <w:color w:val="000000"/>
      <w:kern w:val="0"/>
      <w:sz w:val="20"/>
      <w:szCs w:val="20"/>
    </w:rPr>
  </w:style>
  <w:style w:type="paragraph" w:customStyle="1" w:styleId="CM18">
    <w:name w:val="CM18"/>
    <w:basedOn w:val="Default"/>
    <w:next w:val="Default"/>
    <w:qFormat/>
    <w:pPr>
      <w:spacing w:line="546" w:lineRule="atLeast"/>
    </w:pPr>
    <w:rPr>
      <w:rFonts w:ascii="黑体" w:eastAsia="黑体" w:cs="黑体"/>
    </w:rPr>
  </w:style>
  <w:style w:type="paragraph" w:customStyle="1" w:styleId="2ffff2">
    <w:name w:val="表标题2"/>
    <w:basedOn w:val="a6"/>
    <w:qFormat/>
    <w:pPr>
      <w:tabs>
        <w:tab w:val="left" w:pos="0"/>
      </w:tabs>
      <w:autoSpaceDE w:val="0"/>
      <w:autoSpaceDN w:val="0"/>
      <w:adjustRightInd w:val="0"/>
      <w:spacing w:beforeLines="50" w:afterLines="50" w:line="300" w:lineRule="exact"/>
      <w:jc w:val="center"/>
      <w:textAlignment w:val="baseline"/>
    </w:pPr>
    <w:rPr>
      <w:rFonts w:ascii="黑体" w:eastAsia="黑体"/>
      <w:kern w:val="0"/>
      <w:sz w:val="24"/>
      <w:szCs w:val="20"/>
    </w:rPr>
  </w:style>
  <w:style w:type="paragraph" w:customStyle="1" w:styleId="1231">
    <w:name w:val="表格123"/>
    <w:qFormat/>
    <w:pPr>
      <w:jc w:val="center"/>
    </w:pPr>
    <w:rPr>
      <w:kern w:val="2"/>
      <w:sz w:val="21"/>
      <w:szCs w:val="21"/>
    </w:rPr>
  </w:style>
  <w:style w:type="paragraph" w:customStyle="1" w:styleId="1ffffc">
    <w:name w:val="（1）"/>
    <w:basedOn w:val="777777777CharChar"/>
    <w:qFormat/>
  </w:style>
  <w:style w:type="paragraph" w:customStyle="1" w:styleId="2ffff3">
    <w:name w:val="2级"/>
    <w:basedOn w:val="22"/>
    <w:qFormat/>
    <w:pPr>
      <w:spacing w:line="348" w:lineRule="auto"/>
    </w:pPr>
    <w:rPr>
      <w:rFonts w:ascii="黑体" w:hAnsi="黑体" w:cs="宋体"/>
      <w:color w:val="FF0000"/>
      <w:spacing w:val="0"/>
      <w:w w:val="100"/>
      <w:kern w:val="2"/>
      <w:szCs w:val="20"/>
    </w:rPr>
  </w:style>
  <w:style w:type="paragraph" w:customStyle="1" w:styleId="xl946">
    <w:name w:val="xl94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8"/>
      <w:szCs w:val="18"/>
    </w:rPr>
  </w:style>
  <w:style w:type="paragraph" w:customStyle="1" w:styleId="xl1022">
    <w:name w:val="xl102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203">
    <w:name w:val="xl203"/>
    <w:basedOn w:val="a6"/>
    <w:qFormat/>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4"/>
    </w:rPr>
  </w:style>
  <w:style w:type="paragraph" w:customStyle="1" w:styleId="xl160">
    <w:name w:val="xl160"/>
    <w:basedOn w:val="a6"/>
    <w:qFormat/>
    <w:pPr>
      <w:widowControl/>
      <w:pBdr>
        <w:bottom w:val="double" w:sz="6" w:space="0" w:color="auto"/>
        <w:right w:val="single" w:sz="4" w:space="0" w:color="auto"/>
      </w:pBdr>
      <w:spacing w:before="100" w:beforeAutospacing="1" w:after="100" w:afterAutospacing="1" w:line="360" w:lineRule="auto"/>
      <w:jc w:val="center"/>
      <w:textAlignment w:val="center"/>
    </w:pPr>
    <w:rPr>
      <w:rFonts w:eastAsia="Arial Unicode MS" w:cs="宋体"/>
      <w:color w:val="000000"/>
      <w:kern w:val="0"/>
      <w:sz w:val="20"/>
      <w:szCs w:val="20"/>
    </w:rPr>
  </w:style>
  <w:style w:type="paragraph" w:customStyle="1" w:styleId="CharCharCharCharCharCharCharCharCharCharCharCharCharCharCharCharCharCharCharCharCharCharCharChar5">
    <w:name w:val="Char Char Char Char Char Char Char Char Char Char Char Char Char Char Char Char Char Char Char Char Char Char Char Char5"/>
    <w:basedOn w:val="a6"/>
    <w:qFormat/>
    <w:pPr>
      <w:widowControl/>
      <w:spacing w:line="360" w:lineRule="auto"/>
      <w:jc w:val="left"/>
    </w:pPr>
    <w:rPr>
      <w:szCs w:val="21"/>
    </w:rPr>
  </w:style>
  <w:style w:type="paragraph" w:customStyle="1" w:styleId="xl1056">
    <w:name w:val="xl1056"/>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Arial" w:hAnsi="Arial" w:cs="Arial"/>
      <w:kern w:val="0"/>
      <w:sz w:val="18"/>
      <w:szCs w:val="18"/>
    </w:rPr>
  </w:style>
  <w:style w:type="paragraph" w:customStyle="1" w:styleId="font12">
    <w:name w:val="font12"/>
    <w:basedOn w:val="a6"/>
    <w:qFormat/>
    <w:pPr>
      <w:widowControl/>
      <w:spacing w:before="100" w:beforeAutospacing="1" w:after="100" w:afterAutospacing="1"/>
      <w:jc w:val="left"/>
    </w:pPr>
    <w:rPr>
      <w:rFonts w:ascii="宋体" w:hAnsi="宋体" w:cs="Arial Unicode MS" w:hint="eastAsia"/>
      <w:color w:val="000000"/>
      <w:kern w:val="0"/>
      <w:sz w:val="24"/>
    </w:rPr>
  </w:style>
  <w:style w:type="paragraph" w:customStyle="1" w:styleId="xl147">
    <w:name w:val="xl147"/>
    <w:basedOn w:val="a6"/>
    <w:qFormat/>
    <w:pPr>
      <w:widowControl/>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eastAsia="Arial Unicode MS" w:cs="宋体"/>
      <w:color w:val="000000"/>
      <w:kern w:val="0"/>
      <w:sz w:val="20"/>
      <w:szCs w:val="20"/>
    </w:rPr>
  </w:style>
  <w:style w:type="paragraph" w:customStyle="1" w:styleId="affffffffffffffffffffffffe">
    <w:name w:val="表字"/>
    <w:basedOn w:val="a6"/>
    <w:qFormat/>
    <w:pPr>
      <w:jc w:val="center"/>
    </w:pPr>
    <w:rPr>
      <w:rFonts w:ascii="宋体"/>
      <w:kern w:val="0"/>
      <w:sz w:val="24"/>
      <w:szCs w:val="20"/>
    </w:rPr>
  </w:style>
  <w:style w:type="paragraph" w:customStyle="1" w:styleId="2ffff4">
    <w:name w:val="新标题2"/>
    <w:basedOn w:val="1fff8"/>
    <w:qFormat/>
    <w:pPr>
      <w:spacing w:line="320" w:lineRule="exact"/>
    </w:pPr>
    <w:rPr>
      <w:rFonts w:ascii="宋体" w:hAnsi="宋体"/>
      <w:bCs w:val="0"/>
      <w:sz w:val="32"/>
      <w:u w:val="none"/>
    </w:rPr>
  </w:style>
  <w:style w:type="paragraph" w:customStyle="1" w:styleId="xl157">
    <w:name w:val="xl15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eastAsia="Arial Unicode MS" w:cs="宋体"/>
      <w:color w:val="000000"/>
      <w:kern w:val="0"/>
      <w:sz w:val="20"/>
      <w:szCs w:val="20"/>
    </w:rPr>
  </w:style>
  <w:style w:type="paragraph" w:customStyle="1" w:styleId="xl201">
    <w:name w:val="xl201"/>
    <w:basedOn w:val="a6"/>
    <w:qFormat/>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宋体" w:hAnsi="宋体" w:cs="宋体"/>
      <w:color w:val="000000"/>
      <w:kern w:val="0"/>
      <w:sz w:val="24"/>
    </w:rPr>
  </w:style>
  <w:style w:type="paragraph" w:customStyle="1" w:styleId="xl156">
    <w:name w:val="xl156"/>
    <w:basedOn w:val="a6"/>
    <w:qFormat/>
    <w:pPr>
      <w:widowControl/>
      <w:pBdr>
        <w:top w:val="double" w:sz="6"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eastAsia="Arial Unicode MS" w:cs="宋体"/>
      <w:color w:val="000000"/>
      <w:kern w:val="0"/>
      <w:sz w:val="20"/>
      <w:szCs w:val="20"/>
    </w:rPr>
  </w:style>
  <w:style w:type="paragraph" w:customStyle="1" w:styleId="afffffffffffffffffffffffff">
    <w:name w:val="自制表格"/>
    <w:basedOn w:val="a6"/>
    <w:next w:val="a6"/>
    <w:qFormat/>
    <w:pPr>
      <w:spacing w:after="120"/>
    </w:pPr>
    <w:rPr>
      <w:rFonts w:ascii="宋体"/>
      <w:kern w:val="10"/>
      <w:sz w:val="28"/>
      <w:szCs w:val="20"/>
    </w:rPr>
  </w:style>
  <w:style w:type="paragraph" w:customStyle="1" w:styleId="xl122">
    <w:name w:val="xl122"/>
    <w:basedOn w:val="a6"/>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CharCharCharCharCharCharCharCharCharCharChar1CharCharCharCharCharCharChar2">
    <w:name w:val="Char Char Char Char Char Char Char Char Char Char Char1 Char Char Char Char Char Char Char2"/>
    <w:basedOn w:val="a6"/>
    <w:qFormat/>
  </w:style>
  <w:style w:type="paragraph" w:customStyle="1" w:styleId="xl1060">
    <w:name w:val="xl1060"/>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Arial" w:hAnsi="Arial" w:cs="Arial"/>
      <w:kern w:val="0"/>
      <w:sz w:val="20"/>
      <w:szCs w:val="20"/>
    </w:rPr>
  </w:style>
  <w:style w:type="paragraph" w:customStyle="1" w:styleId="2ffff5">
    <w:name w:val="样式 小三 加粗 首行缩进:  2 字符"/>
    <w:basedOn w:val="a6"/>
    <w:qFormat/>
    <w:pPr>
      <w:adjustRightInd w:val="0"/>
      <w:snapToGrid w:val="0"/>
      <w:spacing w:line="396" w:lineRule="auto"/>
      <w:ind w:firstLineChars="200" w:firstLine="480"/>
    </w:pPr>
    <w:rPr>
      <w:bCs/>
      <w:color w:val="000000"/>
      <w:sz w:val="24"/>
    </w:rPr>
  </w:style>
  <w:style w:type="paragraph" w:customStyle="1" w:styleId="CharCharChar1CharCharCharChar2">
    <w:name w:val="Char Char Char1 Char Char Char Char2"/>
    <w:basedOn w:val="a6"/>
    <w:qFormat/>
  </w:style>
  <w:style w:type="paragraph" w:customStyle="1" w:styleId="afffffffffffffffffffffffff0">
    <w:name w:val="表格 左"/>
    <w:basedOn w:val="a6"/>
    <w:qFormat/>
    <w:pPr>
      <w:widowControl/>
      <w:snapToGrid w:val="0"/>
      <w:spacing w:line="300" w:lineRule="auto"/>
      <w:jc w:val="left"/>
    </w:pPr>
    <w:rPr>
      <w:color w:val="000000"/>
      <w:kern w:val="0"/>
      <w:sz w:val="24"/>
    </w:rPr>
  </w:style>
  <w:style w:type="paragraph" w:customStyle="1" w:styleId="xl977">
    <w:name w:val="xl97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1ffffd">
    <w:name w:val="正文位子1"/>
    <w:basedOn w:val="af8"/>
    <w:uiPriority w:val="99"/>
    <w:qFormat/>
    <w:pPr>
      <w:wordWrap w:val="0"/>
      <w:topLinePunct/>
      <w:autoSpaceDN w:val="0"/>
      <w:spacing w:after="0"/>
      <w:jc w:val="center"/>
    </w:pPr>
    <w:rPr>
      <w:rFonts w:eastAsia="楷体_GB2312"/>
      <w:w w:val="90"/>
    </w:rPr>
  </w:style>
  <w:style w:type="paragraph" w:customStyle="1" w:styleId="-32">
    <w:name w:val="编号-正文章条3级标题和2级条(不进目录)"/>
    <w:basedOn w:val="a6"/>
    <w:qFormat/>
    <w:pPr>
      <w:widowControl/>
      <w:numPr>
        <w:ilvl w:val="2"/>
        <w:numId w:val="14"/>
      </w:numPr>
      <w:jc w:val="left"/>
      <w:outlineLvl w:val="2"/>
    </w:pPr>
    <w:rPr>
      <w:rFonts w:ascii="Arial" w:hAnsi="Arial" w:cs="宋体"/>
      <w:kern w:val="0"/>
      <w:sz w:val="24"/>
    </w:rPr>
  </w:style>
  <w:style w:type="paragraph" w:customStyle="1" w:styleId="xl146">
    <w:name w:val="xl146"/>
    <w:basedOn w:val="a6"/>
    <w:qFormat/>
    <w:pPr>
      <w:widowControl/>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eastAsia="Arial Unicode MS" w:cs="宋体"/>
      <w:kern w:val="0"/>
      <w:sz w:val="20"/>
      <w:szCs w:val="20"/>
    </w:rPr>
  </w:style>
  <w:style w:type="paragraph" w:customStyle="1" w:styleId="-9">
    <w:name w:val="正文-使用"/>
    <w:basedOn w:val="a6"/>
    <w:qFormat/>
    <w:pPr>
      <w:spacing w:line="360" w:lineRule="auto"/>
      <w:ind w:firstLine="482"/>
    </w:pPr>
    <w:rPr>
      <w:rFonts w:ascii="宋体"/>
      <w:kern w:val="0"/>
      <w:sz w:val="24"/>
      <w:szCs w:val="20"/>
    </w:rPr>
  </w:style>
  <w:style w:type="paragraph" w:customStyle="1" w:styleId="xl1041">
    <w:name w:val="xl1041"/>
    <w:basedOn w:val="a6"/>
    <w:qFormat/>
    <w:pPr>
      <w:widowControl/>
      <w:pBdr>
        <w:top w:val="single" w:sz="4" w:space="0" w:color="auto"/>
        <w:left w:val="single" w:sz="4" w:space="0" w:color="auto"/>
        <w:bottom w:val="single" w:sz="4" w:space="0" w:color="auto"/>
      </w:pBdr>
      <w:shd w:val="clear" w:color="000000" w:fill="0070C0"/>
      <w:spacing w:before="100" w:beforeAutospacing="1" w:after="100" w:afterAutospacing="1"/>
      <w:jc w:val="center"/>
    </w:pPr>
    <w:rPr>
      <w:rFonts w:ascii="Arial" w:hAnsi="Arial" w:cs="Arial"/>
      <w:kern w:val="0"/>
      <w:sz w:val="18"/>
      <w:szCs w:val="18"/>
    </w:rPr>
  </w:style>
  <w:style w:type="paragraph" w:customStyle="1" w:styleId="11">
    <w:name w:val="示例和注释(不缩进1)"/>
    <w:basedOn w:val="a6"/>
    <w:semiHidden/>
    <w:qFormat/>
    <w:pPr>
      <w:widowControl/>
      <w:numPr>
        <w:ilvl w:val="4"/>
        <w:numId w:val="12"/>
      </w:numPr>
      <w:ind w:firstLine="0"/>
      <w:jc w:val="left"/>
    </w:pPr>
    <w:rPr>
      <w:rFonts w:ascii="Arial" w:hAnsi="Arial" w:cs="宋体"/>
      <w:kern w:val="0"/>
      <w:sz w:val="24"/>
    </w:rPr>
  </w:style>
  <w:style w:type="paragraph" w:customStyle="1" w:styleId="xl37">
    <w:name w:val="xl37"/>
    <w:basedOn w:val="a6"/>
    <w:qFormat/>
    <w:pPr>
      <w:widowControl/>
      <w:pBdr>
        <w:top w:val="single" w:sz="4" w:space="0" w:color="auto"/>
        <w:left w:val="single" w:sz="4" w:space="0" w:color="auto"/>
        <w:right w:val="single" w:sz="4" w:space="0" w:color="auto"/>
      </w:pBdr>
      <w:spacing w:before="100" w:after="100"/>
      <w:jc w:val="center"/>
      <w:textAlignment w:val="center"/>
    </w:pPr>
    <w:rPr>
      <w:kern w:val="0"/>
      <w:szCs w:val="20"/>
    </w:rPr>
  </w:style>
  <w:style w:type="paragraph" w:customStyle="1" w:styleId="3110">
    <w:name w:val="正文样式311"/>
    <w:basedOn w:val="a6"/>
    <w:qFormat/>
    <w:pPr>
      <w:adjustRightInd w:val="0"/>
      <w:snapToGrid w:val="0"/>
      <w:spacing w:beforeLines="50" w:afterLines="50" w:line="312" w:lineRule="auto"/>
      <w:ind w:firstLineChars="200" w:firstLine="480"/>
    </w:pPr>
    <w:rPr>
      <w:rFonts w:cs="宋体"/>
      <w:sz w:val="24"/>
    </w:rPr>
  </w:style>
  <w:style w:type="paragraph" w:customStyle="1" w:styleId="xl144">
    <w:name w:val="xl144"/>
    <w:basedOn w:val="a6"/>
    <w:qFormat/>
    <w:pPr>
      <w:widowControl/>
      <w:pBdr>
        <w:right w:val="single" w:sz="4" w:space="0" w:color="auto"/>
      </w:pBdr>
      <w:spacing w:before="100" w:beforeAutospacing="1" w:after="100" w:afterAutospacing="1" w:line="360" w:lineRule="auto"/>
      <w:jc w:val="center"/>
      <w:textAlignment w:val="center"/>
    </w:pPr>
    <w:rPr>
      <w:rFonts w:eastAsia="Arial Unicode MS" w:cs="宋体"/>
      <w:kern w:val="0"/>
      <w:sz w:val="20"/>
      <w:szCs w:val="20"/>
    </w:rPr>
  </w:style>
  <w:style w:type="paragraph" w:customStyle="1" w:styleId="155">
    <w:name w:val="样式 表格文字 + 行距: 1.5 倍行距"/>
    <w:basedOn w:val="afc"/>
    <w:qFormat/>
    <w:pPr>
      <w:tabs>
        <w:tab w:val="left" w:pos="972"/>
      </w:tabs>
      <w:spacing w:line="360" w:lineRule="auto"/>
      <w:ind w:firstLineChars="0" w:firstLine="0"/>
      <w:jc w:val="center"/>
    </w:pPr>
    <w:rPr>
      <w:rFonts w:eastAsia="宋体" w:hAnsi="宋体" w:cs="宋体"/>
      <w:color w:val="auto"/>
      <w:spacing w:val="0"/>
      <w:kern w:val="0"/>
      <w:sz w:val="18"/>
      <w:szCs w:val="20"/>
    </w:rPr>
  </w:style>
  <w:style w:type="paragraph" w:customStyle="1" w:styleId="afffffffffffffffffffffffff1">
    <w:name w:val="发"/>
    <w:basedOn w:val="a6"/>
    <w:semiHidden/>
    <w:qFormat/>
    <w:pPr>
      <w:spacing w:before="156" w:after="156"/>
      <w:ind w:left="480" w:firstLine="480"/>
      <w:jc w:val="center"/>
    </w:pPr>
    <w:rPr>
      <w:sz w:val="24"/>
    </w:rPr>
  </w:style>
  <w:style w:type="paragraph" w:customStyle="1" w:styleId="xl143">
    <w:name w:val="xl143"/>
    <w:basedOn w:val="a6"/>
    <w:qFormat/>
    <w:pPr>
      <w:widowControl/>
      <w:pBdr>
        <w:bottom w:val="double" w:sz="6" w:space="0" w:color="auto"/>
        <w:right w:val="single" w:sz="4" w:space="0" w:color="auto"/>
      </w:pBdr>
      <w:spacing w:before="100" w:beforeAutospacing="1" w:after="100" w:afterAutospacing="1" w:line="360" w:lineRule="auto"/>
      <w:jc w:val="center"/>
      <w:textAlignment w:val="center"/>
    </w:pPr>
    <w:rPr>
      <w:rFonts w:ascii="Arial Unicode MS" w:eastAsia="Arial Unicode MS" w:hAnsi="Arial Unicode MS" w:cs="Arial Unicode MS"/>
      <w:kern w:val="0"/>
      <w:sz w:val="20"/>
      <w:szCs w:val="20"/>
    </w:rPr>
  </w:style>
  <w:style w:type="paragraph" w:customStyle="1" w:styleId="xl99">
    <w:name w:val="xl99"/>
    <w:basedOn w:val="a6"/>
    <w:qFormat/>
    <w:pPr>
      <w:widowControl/>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kern w:val="0"/>
      <w:sz w:val="24"/>
    </w:rPr>
  </w:style>
  <w:style w:type="paragraph" w:customStyle="1" w:styleId="31">
    <w:name w:val="示例和注释(左缩进3)"/>
    <w:basedOn w:val="a6"/>
    <w:semiHidden/>
    <w:qFormat/>
    <w:pPr>
      <w:widowControl/>
      <w:numPr>
        <w:ilvl w:val="2"/>
        <w:numId w:val="12"/>
      </w:numPr>
      <w:ind w:firstLine="0"/>
      <w:jc w:val="left"/>
    </w:pPr>
    <w:rPr>
      <w:rFonts w:ascii="Arial" w:hAnsi="Arial" w:cs="宋体"/>
      <w:kern w:val="0"/>
      <w:sz w:val="24"/>
    </w:rPr>
  </w:style>
  <w:style w:type="paragraph" w:customStyle="1" w:styleId="xl1015">
    <w:name w:val="xl1015"/>
    <w:basedOn w:val="a6"/>
    <w:qFormat/>
    <w:pPr>
      <w:widowControl/>
      <w:pBdr>
        <w:top w:val="single" w:sz="4" w:space="0" w:color="auto"/>
        <w:left w:val="single" w:sz="4" w:space="0" w:color="auto"/>
        <w:right w:val="single" w:sz="4" w:space="0" w:color="auto"/>
      </w:pBdr>
      <w:shd w:val="clear" w:color="000000" w:fill="E26B0A"/>
      <w:spacing w:before="100" w:beforeAutospacing="1" w:after="100" w:afterAutospacing="1"/>
      <w:jc w:val="center"/>
    </w:pPr>
    <w:rPr>
      <w:rFonts w:ascii="Arial" w:hAnsi="Arial" w:cs="Arial"/>
      <w:kern w:val="0"/>
      <w:sz w:val="18"/>
      <w:szCs w:val="18"/>
    </w:rPr>
  </w:style>
  <w:style w:type="paragraph" w:customStyle="1" w:styleId="CharCharCharCharCharCharCharCharCharCharCharCharCharCharCharChar4">
    <w:name w:val="Char Char Char Char Char Char Char Char Char Char Char Char Char Char Char Char4"/>
    <w:basedOn w:val="a6"/>
    <w:qFormat/>
    <w:rPr>
      <w:szCs w:val="21"/>
    </w:rPr>
  </w:style>
  <w:style w:type="paragraph" w:customStyle="1" w:styleId="afffffffffffffffffffffffff2">
    <w:name w:val="传统正文"/>
    <w:basedOn w:val="a6"/>
    <w:semiHidden/>
    <w:qFormat/>
    <w:pPr>
      <w:spacing w:after="120" w:line="360" w:lineRule="auto"/>
    </w:pPr>
    <w:rPr>
      <w:bCs/>
      <w:sz w:val="24"/>
    </w:rPr>
  </w:style>
  <w:style w:type="paragraph" w:customStyle="1" w:styleId="20">
    <w:name w:val="示例和注释(左缩进2)"/>
    <w:basedOn w:val="a6"/>
    <w:semiHidden/>
    <w:qFormat/>
    <w:pPr>
      <w:widowControl/>
      <w:numPr>
        <w:ilvl w:val="1"/>
        <w:numId w:val="12"/>
      </w:numPr>
      <w:ind w:firstLine="0"/>
      <w:jc w:val="left"/>
    </w:pPr>
    <w:rPr>
      <w:rFonts w:ascii="Arial" w:hAnsi="Arial" w:cs="宋体"/>
      <w:kern w:val="0"/>
      <w:sz w:val="24"/>
    </w:rPr>
  </w:style>
  <w:style w:type="paragraph" w:customStyle="1" w:styleId="Date1">
    <w:name w:val="Date1"/>
    <w:basedOn w:val="a6"/>
    <w:next w:val="a6"/>
    <w:qFormat/>
    <w:pPr>
      <w:adjustRightInd w:val="0"/>
      <w:spacing w:line="480" w:lineRule="exact"/>
      <w:ind w:firstLineChars="200" w:firstLine="200"/>
      <w:jc w:val="left"/>
      <w:textAlignment w:val="baseline"/>
    </w:pPr>
    <w:rPr>
      <w:rFonts w:ascii="宋体"/>
      <w:spacing w:val="24"/>
      <w:kern w:val="24"/>
      <w:sz w:val="24"/>
      <w:szCs w:val="20"/>
    </w:rPr>
  </w:style>
  <w:style w:type="paragraph" w:customStyle="1" w:styleId="xl1008">
    <w:name w:val="xl1008"/>
    <w:basedOn w:val="a6"/>
    <w:qFormat/>
    <w:pPr>
      <w:widowControl/>
      <w:pBdr>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8"/>
      <w:szCs w:val="18"/>
    </w:rPr>
  </w:style>
  <w:style w:type="paragraph" w:customStyle="1" w:styleId="CharCharChar1CharCharChar1CharCharChar1CharCharCharChar">
    <w:name w:val="Char Char Char1 Char Char Char1 Char Char Char1 Char Char Char Char"/>
    <w:basedOn w:val="a6"/>
    <w:qFormat/>
    <w:pPr>
      <w:widowControl/>
      <w:spacing w:line="240" w:lineRule="exact"/>
      <w:ind w:firstLineChars="200" w:firstLine="200"/>
      <w:jc w:val="left"/>
    </w:pPr>
    <w:rPr>
      <w:rFonts w:cs="宋体"/>
      <w:kern w:val="0"/>
      <w:sz w:val="28"/>
      <w:szCs w:val="28"/>
    </w:rPr>
  </w:style>
  <w:style w:type="paragraph" w:customStyle="1" w:styleId="xl996">
    <w:name w:val="xl996"/>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CharCharCharCharCharCharCharCharChar5">
    <w:name w:val="Char Char Char Char Char Char Char Char Char5"/>
    <w:basedOn w:val="a6"/>
    <w:qFormat/>
  </w:style>
  <w:style w:type="paragraph" w:customStyle="1" w:styleId="030">
    <w:name w:val="表格03"/>
    <w:basedOn w:val="a6"/>
    <w:qFormat/>
    <w:pPr>
      <w:spacing w:line="400" w:lineRule="exact"/>
      <w:jc w:val="center"/>
    </w:pPr>
    <w:rPr>
      <w:color w:val="000000"/>
      <w:w w:val="110"/>
      <w:kern w:val="0"/>
      <w:sz w:val="24"/>
      <w:szCs w:val="21"/>
    </w:rPr>
  </w:style>
  <w:style w:type="paragraph" w:customStyle="1" w:styleId="afffffffffffffffffffffffff3">
    <w:name w:val="二级条"/>
    <w:next w:val="a6"/>
    <w:qFormat/>
    <w:pPr>
      <w:widowControl w:val="0"/>
      <w:spacing w:line="440" w:lineRule="exact"/>
      <w:ind w:left="720"/>
    </w:pPr>
    <w:rPr>
      <w:rFonts w:ascii="宋体"/>
      <w:sz w:val="24"/>
    </w:rPr>
  </w:style>
  <w:style w:type="paragraph" w:customStyle="1" w:styleId="Char1CharCharCharCharCharChar0">
    <w:name w:val="Char1 Char Char Char Char Char Char"/>
    <w:basedOn w:val="a6"/>
    <w:qFormat/>
  </w:style>
  <w:style w:type="paragraph" w:customStyle="1" w:styleId="RIENTRO">
    <w:name w:val="RIENTRO"/>
    <w:basedOn w:val="a6"/>
    <w:qFormat/>
    <w:pPr>
      <w:widowControl/>
      <w:ind w:left="1134"/>
    </w:pPr>
    <w:rPr>
      <w:rFonts w:ascii="Arial" w:hAnsi="Arial"/>
      <w:kern w:val="0"/>
      <w:sz w:val="22"/>
      <w:szCs w:val="20"/>
    </w:rPr>
  </w:style>
  <w:style w:type="paragraph" w:customStyle="1" w:styleId="Bodytext">
    <w:name w:val="Bodytext"/>
    <w:basedOn w:val="a6"/>
    <w:qFormat/>
    <w:pPr>
      <w:widowControl/>
      <w:ind w:left="1134"/>
      <w:jc w:val="left"/>
    </w:pPr>
    <w:rPr>
      <w:rFonts w:ascii="Arial" w:hAnsi="Arial" w:cs="宋体"/>
      <w:kern w:val="0"/>
      <w:sz w:val="22"/>
      <w:szCs w:val="20"/>
      <w:lang w:val="en-GB"/>
    </w:rPr>
  </w:style>
  <w:style w:type="paragraph" w:customStyle="1" w:styleId="3099">
    <w:name w:val="样式 正文文本缩进 3 + 宋体 首行缩进:  0.99 厘米 行距: 单倍行距"/>
    <w:basedOn w:val="39"/>
    <w:qFormat/>
    <w:pPr>
      <w:adjustRightInd/>
      <w:snapToGrid/>
      <w:spacing w:line="360" w:lineRule="auto"/>
      <w:ind w:firstLineChars="0" w:firstLine="561"/>
      <w:jc w:val="left"/>
    </w:pPr>
    <w:rPr>
      <w:rFonts w:hAnsi="宋体" w:cs="宋体"/>
      <w:color w:val="auto"/>
      <w:kern w:val="0"/>
      <w:szCs w:val="28"/>
    </w:rPr>
  </w:style>
  <w:style w:type="paragraph" w:customStyle="1" w:styleId="13Char0">
    <w:name w:val="样式 正文文本缩进 + 行距: 多倍行距 1.3 字行 Char"/>
    <w:basedOn w:val="af9"/>
    <w:qFormat/>
    <w:pPr>
      <w:autoSpaceDE w:val="0"/>
      <w:autoSpaceDN w:val="0"/>
      <w:adjustRightInd w:val="0"/>
      <w:snapToGrid w:val="0"/>
      <w:spacing w:line="360" w:lineRule="auto"/>
      <w:ind w:firstLine="0"/>
      <w:textAlignment w:val="baseline"/>
    </w:pPr>
    <w:rPr>
      <w:rFonts w:ascii="黑体" w:eastAsia="黑体"/>
      <w:b/>
      <w:color w:val="000000"/>
      <w:kern w:val="0"/>
    </w:rPr>
  </w:style>
  <w:style w:type="paragraph" w:customStyle="1" w:styleId="4fe">
    <w:name w:val="勘察表格4"/>
    <w:basedOn w:val="a6"/>
    <w:next w:val="affffffffffffffffff4"/>
    <w:qFormat/>
    <w:pPr>
      <w:widowControl/>
      <w:jc w:val="center"/>
    </w:pPr>
    <w:rPr>
      <w:rFonts w:ascii="宋体" w:hAnsi="宋体" w:cs="宋体"/>
      <w:kern w:val="0"/>
      <w:sz w:val="24"/>
    </w:rPr>
  </w:style>
  <w:style w:type="paragraph" w:customStyle="1" w:styleId="afffffffffffffffffffffffff4">
    <w:name w:val="麦志勤表格式"/>
    <w:basedOn w:val="a6"/>
    <w:qFormat/>
    <w:pPr>
      <w:adjustRightInd w:val="0"/>
      <w:snapToGrid w:val="0"/>
      <w:spacing w:line="0" w:lineRule="atLeast"/>
      <w:jc w:val="center"/>
    </w:pPr>
    <w:rPr>
      <w:rFonts w:ascii="宋体" w:hAnsi="宋体"/>
      <w:sz w:val="24"/>
    </w:rPr>
  </w:style>
  <w:style w:type="paragraph" w:customStyle="1" w:styleId="xl953">
    <w:name w:val="xl953"/>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18"/>
      <w:szCs w:val="18"/>
    </w:rPr>
  </w:style>
  <w:style w:type="paragraph" w:customStyle="1" w:styleId="xl132">
    <w:name w:val="xl132"/>
    <w:basedOn w:val="a6"/>
    <w:qFormat/>
    <w:pPr>
      <w:widowControl/>
      <w:pBdr>
        <w:top w:val="single" w:sz="4" w:space="0" w:color="auto"/>
        <w:bottom w:val="single" w:sz="4" w:space="0" w:color="auto"/>
        <w:right w:val="single" w:sz="4" w:space="0" w:color="auto"/>
      </w:pBdr>
      <w:spacing w:before="100" w:beforeAutospacing="1" w:after="100" w:afterAutospacing="1" w:line="360" w:lineRule="auto"/>
      <w:jc w:val="left"/>
    </w:pPr>
    <w:rPr>
      <w:rFonts w:ascii="Arial Unicode MS" w:eastAsia="Arial Unicode MS" w:hAnsi="Arial Unicode MS" w:cs="Arial Unicode MS"/>
      <w:kern w:val="0"/>
      <w:sz w:val="24"/>
    </w:rPr>
  </w:style>
  <w:style w:type="paragraph" w:customStyle="1" w:styleId="2ffff6">
    <w:name w:val="正文 首行缩进:  2 字符"/>
    <w:basedOn w:val="a6"/>
    <w:qFormat/>
    <w:pPr>
      <w:ind w:firstLineChars="200" w:firstLine="579"/>
    </w:pPr>
    <w:rPr>
      <w:sz w:val="28"/>
      <w:szCs w:val="20"/>
    </w:rPr>
  </w:style>
  <w:style w:type="paragraph" w:customStyle="1" w:styleId="CharCharCharCharChar10">
    <w:name w:val="Char Char Char Char Char1"/>
    <w:basedOn w:val="a6"/>
    <w:qFormat/>
  </w:style>
  <w:style w:type="paragraph" w:customStyle="1" w:styleId="ParaCharCharCharCharCharCharCharCharCharCharCharCharCharCharCharCharCharCharChar">
    <w:name w:val="默认段落字体 Para Char Char Char Char Char Char Char Char Char Char Char Char Char Char Char Char Char Char Char"/>
    <w:basedOn w:val="33"/>
    <w:qFormat/>
    <w:pPr>
      <w:tabs>
        <w:tab w:val="left" w:pos="851"/>
        <w:tab w:val="left" w:pos="900"/>
      </w:tabs>
      <w:adjustRightInd w:val="0"/>
      <w:snapToGrid w:val="0"/>
      <w:spacing w:after="120" w:line="360" w:lineRule="auto"/>
      <w:ind w:leftChars="-12" w:left="-12" w:firstLineChars="200" w:firstLine="200"/>
      <w:jc w:val="left"/>
    </w:pPr>
    <w:rPr>
      <w:rFonts w:ascii="宋体" w:eastAsia="仿宋_GB2312" w:hAnsi="宋体"/>
      <w:b/>
      <w:bCs/>
      <w:spacing w:val="0"/>
      <w:sz w:val="32"/>
      <w:szCs w:val="20"/>
    </w:rPr>
  </w:style>
  <w:style w:type="paragraph" w:customStyle="1" w:styleId="2222">
    <w:name w:val="样式 样式 样式 设计正文 + 首行缩进:  2 字符 + 首行缩进:  2 字符 + 首行缩进:  2 字符"/>
    <w:basedOn w:val="a6"/>
    <w:qFormat/>
    <w:pPr>
      <w:keepNext/>
      <w:spacing w:line="360" w:lineRule="auto"/>
      <w:ind w:firstLineChars="192" w:firstLine="538"/>
    </w:pPr>
    <w:rPr>
      <w:rFonts w:ascii="仿宋_GB2312" w:eastAsia="仿宋_GB2312" w:cs="宋体"/>
      <w:color w:val="000000"/>
      <w:w w:val="110"/>
      <w:kern w:val="0"/>
      <w:sz w:val="28"/>
      <w:szCs w:val="20"/>
    </w:rPr>
  </w:style>
  <w:style w:type="paragraph" w:customStyle="1" w:styleId="TOC12">
    <w:name w:val="TOC 标题12"/>
    <w:basedOn w:val="12"/>
    <w:next w:val="a6"/>
    <w:uiPriority w:val="39"/>
    <w:unhideWhenUsed/>
    <w:qFormat/>
    <w:pPr>
      <w:widowControl/>
      <w:tabs>
        <w:tab w:val="left" w:pos="567"/>
      </w:tabs>
      <w:spacing w:before="480" w:after="0" w:line="276" w:lineRule="auto"/>
      <w:jc w:val="left"/>
      <w:outlineLvl w:val="9"/>
    </w:pPr>
    <w:rPr>
      <w:rFonts w:ascii="Cambria" w:hAnsi="Cambria"/>
      <w:color w:val="365F91"/>
      <w:kern w:val="0"/>
      <w:sz w:val="28"/>
      <w:szCs w:val="28"/>
    </w:rPr>
  </w:style>
  <w:style w:type="paragraph" w:customStyle="1" w:styleId="afffffffffffffffffffffffff5">
    <w:name w:val="表名称"/>
    <w:basedOn w:val="a6"/>
    <w:qFormat/>
    <w:pPr>
      <w:widowControl/>
      <w:spacing w:beforeLines="50" w:line="360" w:lineRule="auto"/>
      <w:ind w:firstLineChars="200" w:firstLine="200"/>
      <w:jc w:val="left"/>
    </w:pPr>
    <w:rPr>
      <w:rFonts w:hAnsi="宋体"/>
      <w:b/>
      <w:kern w:val="0"/>
      <w:sz w:val="24"/>
      <w:szCs w:val="20"/>
    </w:rPr>
  </w:style>
  <w:style w:type="paragraph" w:customStyle="1" w:styleId="2ffff7">
    <w:name w:val="2  级标题"/>
    <w:basedOn w:val="aff5"/>
    <w:qFormat/>
    <w:pPr>
      <w:keepNext/>
      <w:widowControl/>
      <w:tabs>
        <w:tab w:val="left" w:pos="360"/>
      </w:tabs>
      <w:wordWrap/>
      <w:topLinePunct w:val="0"/>
      <w:autoSpaceDN/>
      <w:adjustRightInd w:val="0"/>
      <w:snapToGrid w:val="0"/>
      <w:spacing w:beforeLines="100" w:before="312" w:line="360" w:lineRule="auto"/>
      <w:ind w:firstLineChars="0" w:firstLine="0"/>
      <w:jc w:val="left"/>
    </w:pPr>
    <w:rPr>
      <w:rFonts w:ascii="Arial" w:eastAsia="宋体" w:hAnsi="Arial" w:cs="Arial"/>
      <w:b/>
      <w:iCs/>
      <w:kern w:val="0"/>
      <w:sz w:val="24"/>
      <w:szCs w:val="24"/>
    </w:rPr>
  </w:style>
  <w:style w:type="paragraph" w:customStyle="1" w:styleId="afffffffffffffffffffffffff6">
    <w:name w:val="正文表格文字"/>
    <w:basedOn w:val="a6"/>
    <w:qFormat/>
    <w:pPr>
      <w:widowControl/>
      <w:jc w:val="center"/>
    </w:pPr>
    <w:rPr>
      <w:rFonts w:ascii="Arial" w:hAnsi="Arial" w:cs="宋体"/>
      <w:kern w:val="0"/>
      <w:sz w:val="24"/>
    </w:rPr>
  </w:style>
  <w:style w:type="paragraph" w:customStyle="1" w:styleId="07">
    <w:name w:val="样式 题注 + 小四 居中 左侧:  0 毫米"/>
    <w:basedOn w:val="af1"/>
    <w:qFormat/>
    <w:pPr>
      <w:widowControl w:val="0"/>
      <w:tabs>
        <w:tab w:val="left" w:pos="2268"/>
      </w:tabs>
      <w:ind w:firstLineChars="0" w:firstLine="0"/>
      <w:jc w:val="center"/>
    </w:pPr>
    <w:rPr>
      <w:rFonts w:cs="宋体"/>
      <w:b w:val="0"/>
      <w:szCs w:val="20"/>
    </w:rPr>
  </w:style>
  <w:style w:type="paragraph" w:customStyle="1" w:styleId="xl93">
    <w:name w:val="xl93"/>
    <w:basedOn w:val="a6"/>
    <w:qFormat/>
    <w:pPr>
      <w:widowControl/>
      <w:spacing w:before="100" w:beforeAutospacing="1" w:after="100" w:afterAutospacing="1"/>
      <w:jc w:val="left"/>
    </w:pPr>
    <w:rPr>
      <w:b/>
      <w:bCs/>
      <w:kern w:val="0"/>
      <w:sz w:val="20"/>
      <w:szCs w:val="20"/>
    </w:rPr>
  </w:style>
  <w:style w:type="paragraph" w:customStyle="1" w:styleId="1ffffe">
    <w:name w:val="列表1"/>
    <w:basedOn w:val="a6"/>
    <w:qFormat/>
    <w:pPr>
      <w:adjustRightInd w:val="0"/>
      <w:spacing w:line="360" w:lineRule="auto"/>
      <w:ind w:leftChars="-1" w:left="-2" w:rightChars="-45" w:right="-108" w:firstLineChars="200" w:firstLine="420"/>
      <w:jc w:val="left"/>
      <w:textAlignment w:val="baseline"/>
    </w:pPr>
    <w:rPr>
      <w:rFonts w:ascii="黑体" w:eastAsia="黑体"/>
      <w:szCs w:val="20"/>
    </w:rPr>
  </w:style>
  <w:style w:type="paragraph" w:customStyle="1" w:styleId="11111h11stlevelSectionHeadl1b1-3">
    <w:name w:val="样式 样式 标题 11.标题 1§1.?.章标题 1h11st levelSection Headl1b1-*+ ...3 + ..."/>
    <w:qFormat/>
    <w:pPr>
      <w:tabs>
        <w:tab w:val="left" w:pos="432"/>
      </w:tabs>
      <w:jc w:val="center"/>
    </w:pPr>
    <w:rPr>
      <w:rFonts w:ascii="楷体_GB2312" w:eastAsia="楷体_GB2312" w:hAnsi="Arial" w:cs="宋体"/>
      <w:sz w:val="32"/>
      <w:szCs w:val="32"/>
    </w:rPr>
  </w:style>
  <w:style w:type="paragraph" w:customStyle="1" w:styleId="11111h11stlevelSectionHeadl1b1-30">
    <w:name w:val="样式 标题 11.标题 1§1.?.章标题 1h11st levelSection Headl1b1-*+ ...3"/>
    <w:basedOn w:val="12"/>
    <w:qFormat/>
    <w:pPr>
      <w:keepNext w:val="0"/>
      <w:keepLines w:val="0"/>
      <w:tabs>
        <w:tab w:val="left" w:pos="432"/>
      </w:tabs>
      <w:autoSpaceDE w:val="0"/>
      <w:autoSpaceDN w:val="0"/>
      <w:spacing w:beforeLines="100" w:before="0" w:afterLines="100" w:after="0" w:line="300" w:lineRule="auto"/>
      <w:ind w:left="431" w:hanging="431"/>
      <w:jc w:val="left"/>
    </w:pPr>
    <w:rPr>
      <w:rFonts w:ascii="宋体" w:hAnsi="黑体"/>
      <w:b w:val="0"/>
      <w:w w:val="90"/>
      <w:kern w:val="2"/>
      <w:sz w:val="24"/>
      <w:szCs w:val="24"/>
    </w:rPr>
  </w:style>
  <w:style w:type="paragraph" w:customStyle="1" w:styleId="55165">
    <w:name w:val="样式 宋体 小四 左 段前: 5 磅 段后: 5 磅 行距: 最小值 16.5 磅"/>
    <w:basedOn w:val="a6"/>
    <w:qFormat/>
    <w:pPr>
      <w:widowControl/>
      <w:spacing w:before="100" w:after="100" w:line="360" w:lineRule="auto"/>
      <w:jc w:val="left"/>
    </w:pPr>
    <w:rPr>
      <w:rFonts w:ascii="宋体" w:hAnsi="宋体" w:cs="宋体"/>
      <w:kern w:val="0"/>
      <w:sz w:val="24"/>
      <w:szCs w:val="20"/>
    </w:rPr>
  </w:style>
  <w:style w:type="paragraph" w:customStyle="1" w:styleId="afffffffffffffffffffffffff7">
    <w:name w:val="项目编号文字"/>
    <w:basedOn w:val="a6"/>
    <w:next w:val="af0"/>
    <w:qFormat/>
    <w:pPr>
      <w:widowControl/>
      <w:spacing w:before="120" w:after="120" w:line="360" w:lineRule="auto"/>
      <w:ind w:left="1077"/>
      <w:jc w:val="left"/>
    </w:pPr>
    <w:rPr>
      <w:rFonts w:cs="宋体"/>
      <w:kern w:val="0"/>
      <w:sz w:val="24"/>
      <w:szCs w:val="20"/>
    </w:rPr>
  </w:style>
  <w:style w:type="paragraph" w:customStyle="1" w:styleId="-15">
    <w:name w:val="文-1"/>
    <w:basedOn w:val="a6"/>
    <w:qFormat/>
    <w:pPr>
      <w:spacing w:before="120"/>
      <w:ind w:left="851" w:firstLine="482"/>
    </w:pPr>
    <w:rPr>
      <w:sz w:val="24"/>
      <w:szCs w:val="20"/>
    </w:rPr>
  </w:style>
  <w:style w:type="paragraph" w:customStyle="1" w:styleId="2CharCharChar3">
    <w:name w:val="2 Char Char Char"/>
    <w:basedOn w:val="a6"/>
    <w:qFormat/>
  </w:style>
  <w:style w:type="paragraph" w:customStyle="1" w:styleId="afffffffffffffffffffffffff8">
    <w:name w:val="图编号"/>
    <w:basedOn w:val="af1"/>
    <w:qFormat/>
    <w:pPr>
      <w:widowControl w:val="0"/>
      <w:tabs>
        <w:tab w:val="left" w:pos="2268"/>
      </w:tabs>
      <w:ind w:firstLineChars="0" w:firstLine="0"/>
      <w:jc w:val="center"/>
    </w:pPr>
    <w:rPr>
      <w:rFonts w:cs="宋体"/>
      <w:b w:val="0"/>
      <w:szCs w:val="20"/>
    </w:rPr>
  </w:style>
  <w:style w:type="paragraph" w:customStyle="1" w:styleId="7E82FF1F1BAC484EA3BC388F7AE1D4EC">
    <w:name w:val="7E82FF1F1BAC484EA3BC388F7AE1D4EC"/>
    <w:qFormat/>
    <w:pPr>
      <w:spacing w:after="200" w:line="276" w:lineRule="auto"/>
    </w:pPr>
    <w:rPr>
      <w:rFonts w:ascii="Calibri" w:hAnsi="Calibri"/>
      <w:sz w:val="22"/>
      <w:szCs w:val="22"/>
      <w:lang w:eastAsia="en-US"/>
    </w:rPr>
  </w:style>
  <w:style w:type="paragraph" w:customStyle="1" w:styleId="xl974">
    <w:name w:val="xl974"/>
    <w:basedOn w:val="a6"/>
    <w:qFormat/>
    <w:pPr>
      <w:widowControl/>
      <w:spacing w:before="100" w:beforeAutospacing="1" w:after="100" w:afterAutospacing="1"/>
      <w:jc w:val="center"/>
    </w:pPr>
    <w:rPr>
      <w:kern w:val="0"/>
      <w:sz w:val="18"/>
      <w:szCs w:val="18"/>
    </w:rPr>
  </w:style>
  <w:style w:type="paragraph" w:customStyle="1" w:styleId="xl103">
    <w:name w:val="xl103"/>
    <w:basedOn w:val="a6"/>
    <w:qFormat/>
    <w:pPr>
      <w:widowControl/>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jc w:val="center"/>
      <w:textAlignment w:val="center"/>
    </w:pPr>
    <w:rPr>
      <w:kern w:val="0"/>
      <w:sz w:val="24"/>
    </w:rPr>
  </w:style>
  <w:style w:type="paragraph" w:customStyle="1" w:styleId="330">
    <w:name w:val="正文文本缩进 33"/>
    <w:basedOn w:val="a6"/>
    <w:qFormat/>
    <w:pPr>
      <w:tabs>
        <w:tab w:val="left" w:pos="0"/>
      </w:tabs>
      <w:adjustRightInd w:val="0"/>
      <w:spacing w:line="396" w:lineRule="atLeast"/>
      <w:ind w:firstLine="560"/>
      <w:jc w:val="left"/>
      <w:textAlignment w:val="baseline"/>
    </w:pPr>
    <w:rPr>
      <w:rFonts w:ascii="宋体"/>
      <w:kern w:val="0"/>
      <w:sz w:val="24"/>
      <w:szCs w:val="20"/>
    </w:rPr>
  </w:style>
  <w:style w:type="paragraph" w:customStyle="1" w:styleId="xl1054">
    <w:name w:val="xl1054"/>
    <w:basedOn w:val="a6"/>
    <w:qFormat/>
    <w:pPr>
      <w:widowControl/>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jc w:val="center"/>
    </w:pPr>
    <w:rPr>
      <w:rFonts w:ascii="Arial" w:hAnsi="Arial" w:cs="Arial"/>
      <w:kern w:val="0"/>
      <w:sz w:val="18"/>
      <w:szCs w:val="18"/>
    </w:rPr>
  </w:style>
  <w:style w:type="paragraph" w:customStyle="1" w:styleId="afffffffffffffffffffffffff9">
    <w:name w:val="正文应用"/>
    <w:basedOn w:val="a6"/>
    <w:qFormat/>
    <w:pPr>
      <w:spacing w:line="360" w:lineRule="auto"/>
      <w:ind w:firstLineChars="200" w:firstLine="200"/>
    </w:pPr>
    <w:rPr>
      <w:sz w:val="24"/>
    </w:rPr>
  </w:style>
  <w:style w:type="paragraph" w:customStyle="1" w:styleId="xl88">
    <w:name w:val="xl88"/>
    <w:basedOn w:val="a6"/>
    <w:qFormat/>
    <w:pPr>
      <w:widowControl/>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b/>
      <w:bCs/>
      <w:kern w:val="0"/>
      <w:sz w:val="20"/>
      <w:szCs w:val="20"/>
    </w:rPr>
  </w:style>
  <w:style w:type="paragraph" w:customStyle="1" w:styleId="xl1028">
    <w:name w:val="xl102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8"/>
      <w:szCs w:val="18"/>
    </w:rPr>
  </w:style>
  <w:style w:type="paragraph" w:customStyle="1" w:styleId="145">
    <w:name w:val="样式14"/>
    <w:basedOn w:val="affc"/>
    <w:qFormat/>
    <w:pPr>
      <w:tabs>
        <w:tab w:val="left" w:pos="720"/>
      </w:tabs>
      <w:adjustRightInd w:val="0"/>
      <w:snapToGrid w:val="0"/>
      <w:spacing w:line="360" w:lineRule="auto"/>
      <w:ind w:left="720" w:firstLineChars="0" w:hanging="720"/>
      <w:jc w:val="left"/>
      <w:outlineLvl w:val="3"/>
    </w:pPr>
    <w:rPr>
      <w:rFonts w:ascii="Arial" w:hAnsi="Arial"/>
      <w:bCs w:val="0"/>
      <w:color w:val="000000"/>
      <w:spacing w:val="6"/>
      <w:kern w:val="2"/>
      <w:sz w:val="24"/>
      <w:szCs w:val="24"/>
    </w:rPr>
  </w:style>
  <w:style w:type="paragraph" w:customStyle="1" w:styleId="44H4H4141H42H411142H43H4122">
    <w:name w:val="样式 标题 4河石管道4H4H41小小节河石管道41H42H411小小节1河石管道42H43H412小小...2"/>
    <w:basedOn w:val="41"/>
    <w:qFormat/>
    <w:pPr>
      <w:adjustRightInd/>
      <w:snapToGrid/>
      <w:spacing w:beforeLines="0" w:before="160" w:after="120" w:line="360" w:lineRule="auto"/>
      <w:ind w:left="664" w:hanging="864"/>
      <w:jc w:val="left"/>
    </w:pPr>
    <w:rPr>
      <w:rFonts w:hAnsi="Arial"/>
      <w:bCs w:val="0"/>
      <w:color w:val="000000"/>
      <w:sz w:val="24"/>
    </w:rPr>
  </w:style>
  <w:style w:type="paragraph" w:customStyle="1" w:styleId="font7">
    <w:name w:val="font7"/>
    <w:basedOn w:val="a6"/>
    <w:qFormat/>
    <w:pPr>
      <w:widowControl/>
      <w:spacing w:before="100" w:after="100"/>
      <w:jc w:val="left"/>
    </w:pPr>
    <w:rPr>
      <w:kern w:val="0"/>
      <w:szCs w:val="20"/>
    </w:rPr>
  </w:style>
  <w:style w:type="paragraph" w:customStyle="1" w:styleId="CharCharChar1CharCharCharChar1">
    <w:name w:val="Char Char Char1 Char Char Char Char1"/>
    <w:basedOn w:val="a6"/>
    <w:qFormat/>
  </w:style>
  <w:style w:type="paragraph" w:customStyle="1" w:styleId="xl980">
    <w:name w:val="xl980"/>
    <w:basedOn w:val="a6"/>
    <w:qFormat/>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kern w:val="0"/>
      <w:sz w:val="20"/>
      <w:szCs w:val="20"/>
    </w:rPr>
  </w:style>
  <w:style w:type="paragraph" w:customStyle="1" w:styleId="2ffff8">
    <w:name w:val="样表2"/>
    <w:basedOn w:val="affffffff5"/>
    <w:qFormat/>
    <w:pPr>
      <w:overflowPunct w:val="0"/>
      <w:snapToGrid/>
      <w:spacing w:before="40" w:after="60" w:line="320" w:lineRule="exact"/>
      <w:ind w:leftChars="0" w:left="0" w:rightChars="0" w:right="0"/>
      <w:textAlignment w:val="baseline"/>
    </w:pPr>
    <w:rPr>
      <w:rFonts w:ascii="Arial" w:eastAsia="仿宋_GB2312" w:hAnsi="Arial"/>
      <w:color w:val="auto"/>
      <w:kern w:val="0"/>
      <w:sz w:val="24"/>
      <w:szCs w:val="20"/>
    </w:rPr>
  </w:style>
  <w:style w:type="paragraph" w:customStyle="1" w:styleId="CharCharCharCharCharCharCharCharCharCharCharCharCharCharCharCharCharCharCharCharCharCharChar">
    <w:name w:val="Char Char Char Char Char Char Char Char Char Char Char Char Char Char Char Char Char Char Char Char Char Char Char"/>
    <w:basedOn w:val="a6"/>
    <w:qFormat/>
  </w:style>
  <w:style w:type="paragraph" w:customStyle="1" w:styleId="xl1063">
    <w:name w:val="xl1063"/>
    <w:basedOn w:val="a6"/>
    <w:qFormat/>
    <w:pPr>
      <w:widowControl/>
      <w:pBdr>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8"/>
      <w:szCs w:val="18"/>
    </w:rPr>
  </w:style>
  <w:style w:type="paragraph" w:customStyle="1" w:styleId="afffffffffffffffffffffffffa">
    <w:name w:val="申报节题"/>
    <w:basedOn w:val="22"/>
    <w:qFormat/>
    <w:pPr>
      <w:keepNext w:val="0"/>
      <w:keepLines w:val="0"/>
      <w:adjustRightInd w:val="0"/>
      <w:spacing w:afterLines="50" w:line="336" w:lineRule="auto"/>
      <w:jc w:val="left"/>
      <w:textAlignment w:val="baseline"/>
    </w:pPr>
    <w:rPr>
      <w:rFonts w:ascii="黑体" w:hAnsi="黑体"/>
      <w:bCs w:val="0"/>
      <w:snapToGrid w:val="0"/>
      <w:spacing w:val="0"/>
      <w:w w:val="100"/>
      <w:kern w:val="44"/>
      <w:sz w:val="30"/>
      <w:szCs w:val="20"/>
    </w:rPr>
  </w:style>
  <w:style w:type="paragraph" w:customStyle="1" w:styleId="CharCharCharCharCharChar20">
    <w:name w:val="Char Char 字元 字元 字元 Char Char Char Char2"/>
    <w:basedOn w:val="a6"/>
    <w:qFormat/>
    <w:pPr>
      <w:widowControl/>
      <w:adjustRightInd w:val="0"/>
      <w:spacing w:line="360" w:lineRule="auto"/>
      <w:jc w:val="left"/>
    </w:pPr>
    <w:rPr>
      <w:rFonts w:ascii="宋体" w:hAnsi="宋体" w:cs="宋体"/>
      <w:kern w:val="0"/>
      <w:sz w:val="24"/>
      <w:szCs w:val="20"/>
    </w:rPr>
  </w:style>
  <w:style w:type="paragraph" w:customStyle="1" w:styleId="21121122Char12Heading205">
    <w:name w:val="样式 标题 21.1标题 21.1标题2标题 2 Char1节标2_Heading 2一级条 + 段前: 0....5"/>
    <w:basedOn w:val="22"/>
    <w:next w:val="affc"/>
    <w:qFormat/>
    <w:pPr>
      <w:keepNext w:val="0"/>
      <w:keepLines w:val="0"/>
      <w:autoSpaceDE w:val="0"/>
      <w:autoSpaceDN w:val="0"/>
      <w:adjustRightInd w:val="0"/>
      <w:snapToGrid w:val="0"/>
      <w:spacing w:afterLines="50" w:line="240" w:lineRule="auto"/>
      <w:jc w:val="left"/>
    </w:pPr>
    <w:rPr>
      <w:rFonts w:ascii="黑体" w:hAnsi="Arial" w:cs="宋体"/>
      <w:b/>
      <w:bCs w:val="0"/>
      <w:color w:val="000000"/>
      <w:spacing w:val="0"/>
      <w:w w:val="100"/>
      <w:kern w:val="2"/>
      <w:szCs w:val="20"/>
      <w:lang w:val="zh-CN"/>
    </w:rPr>
  </w:style>
  <w:style w:type="paragraph" w:customStyle="1" w:styleId="060">
    <w:name w:val="标题06"/>
    <w:basedOn w:val="a6"/>
    <w:qFormat/>
    <w:pPr>
      <w:widowControl/>
      <w:adjustRightInd w:val="0"/>
      <w:spacing w:before="2040" w:line="400" w:lineRule="atLeast"/>
      <w:jc w:val="left"/>
      <w:textAlignment w:val="baseline"/>
    </w:pPr>
    <w:rPr>
      <w:rFonts w:eastAsia="黑体" w:cs="宋体"/>
      <w:spacing w:val="10"/>
      <w:kern w:val="0"/>
      <w:sz w:val="24"/>
      <w:szCs w:val="20"/>
    </w:rPr>
  </w:style>
  <w:style w:type="paragraph" w:customStyle="1" w:styleId="reader-word-layerreader-word-s4-8">
    <w:name w:val="reader-word-layer reader-word-s4-8"/>
    <w:basedOn w:val="a6"/>
    <w:qFormat/>
    <w:pPr>
      <w:widowControl/>
      <w:spacing w:before="100" w:beforeAutospacing="1" w:after="100" w:afterAutospacing="1"/>
      <w:jc w:val="left"/>
    </w:pPr>
    <w:rPr>
      <w:rFonts w:ascii="宋体" w:hAnsi="宋体" w:cs="宋体"/>
      <w:kern w:val="0"/>
      <w:sz w:val="24"/>
    </w:rPr>
  </w:style>
  <w:style w:type="paragraph" w:customStyle="1" w:styleId="afffffffffffffffffffffffffb">
    <w:name w:val="表格内正文"/>
    <w:uiPriority w:val="99"/>
    <w:qFormat/>
    <w:pPr>
      <w:spacing w:before="20" w:line="180" w:lineRule="atLeast"/>
      <w:jc w:val="center"/>
    </w:pPr>
    <w:rPr>
      <w:rFonts w:ascii="Arial" w:hAnsi="Arial"/>
      <w:sz w:val="24"/>
    </w:rPr>
  </w:style>
  <w:style w:type="paragraph" w:customStyle="1" w:styleId="xl81">
    <w:name w:val="xl81"/>
    <w:basedOn w:val="a6"/>
    <w:qFormat/>
    <w:pPr>
      <w:widowControl/>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b/>
      <w:bCs/>
      <w:kern w:val="0"/>
      <w:sz w:val="20"/>
      <w:szCs w:val="20"/>
    </w:rPr>
  </w:style>
  <w:style w:type="paragraph" w:customStyle="1" w:styleId="21121122Char12Heading211">
    <w:name w:val="样式 标题 21.1标题 21.1标题2标题 2 Char1节标2_Heading 2二级标题1.1标题一..."/>
    <w:basedOn w:val="22"/>
    <w:qFormat/>
    <w:pPr>
      <w:keepLines w:val="0"/>
      <w:tabs>
        <w:tab w:val="left" w:pos="998"/>
        <w:tab w:val="left" w:pos="1727"/>
        <w:tab w:val="left" w:pos="1884"/>
        <w:tab w:val="left" w:pos="4900"/>
      </w:tabs>
      <w:snapToGrid w:val="0"/>
      <w:spacing w:afterLines="50" w:line="240" w:lineRule="auto"/>
      <w:ind w:left="576" w:hanging="576"/>
      <w:jc w:val="left"/>
    </w:pPr>
    <w:rPr>
      <w:rFonts w:ascii="黑体" w:hAnsi="Arial" w:cs="宋体"/>
      <w:b/>
      <w:bCs w:val="0"/>
      <w:color w:val="000000"/>
      <w:spacing w:val="0"/>
      <w:w w:val="100"/>
      <w:kern w:val="0"/>
      <w:szCs w:val="20"/>
    </w:rPr>
  </w:style>
  <w:style w:type="paragraph" w:customStyle="1" w:styleId="afffffffffffffffffffffffffc">
    <w:name w:val="数字编号"/>
    <w:basedOn w:val="a6"/>
    <w:qFormat/>
    <w:pPr>
      <w:widowControl/>
      <w:tabs>
        <w:tab w:val="left" w:pos="620"/>
      </w:tabs>
      <w:spacing w:before="50" w:line="300" w:lineRule="auto"/>
      <w:ind w:firstLineChars="200" w:firstLine="200"/>
      <w:jc w:val="left"/>
    </w:pPr>
    <w:rPr>
      <w:rFonts w:cs="宋体"/>
      <w:spacing w:val="6"/>
      <w:kern w:val="0"/>
      <w:sz w:val="24"/>
    </w:rPr>
  </w:style>
  <w:style w:type="paragraph" w:customStyle="1" w:styleId="xl97">
    <w:name w:val="xl97"/>
    <w:basedOn w:val="a6"/>
    <w:qFormat/>
    <w:pPr>
      <w:widowControl/>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ascii="宋体" w:hAnsi="宋体" w:cs="宋体"/>
      <w:b/>
      <w:bCs/>
      <w:kern w:val="0"/>
      <w:sz w:val="20"/>
      <w:szCs w:val="20"/>
    </w:rPr>
  </w:style>
  <w:style w:type="paragraph" w:customStyle="1" w:styleId="afffffffffffffffffffffffffd">
    <w:name w:val="表注"/>
    <w:basedOn w:val="af9"/>
    <w:qFormat/>
    <w:pPr>
      <w:spacing w:line="360" w:lineRule="auto"/>
      <w:ind w:firstLine="0"/>
    </w:pPr>
    <w:rPr>
      <w:rFonts w:ascii="Calibri" w:hAnsi="Calibri"/>
      <w:sz w:val="18"/>
      <w:szCs w:val="22"/>
    </w:rPr>
  </w:style>
  <w:style w:type="paragraph" w:customStyle="1" w:styleId="21121122Char12Heading204">
    <w:name w:val="样式 标题 21.1标题 21.1标题2标题 2 Char1节标2_Heading 2一级条 + 段前: 0....4"/>
    <w:basedOn w:val="a6"/>
    <w:next w:val="affc"/>
    <w:qFormat/>
    <w:pPr>
      <w:keepNext/>
      <w:widowControl/>
      <w:autoSpaceDE w:val="0"/>
      <w:autoSpaceDN w:val="0"/>
      <w:adjustRightInd w:val="0"/>
      <w:spacing w:before="156" w:after="156" w:line="360" w:lineRule="auto"/>
      <w:ind w:firstLineChars="200" w:firstLine="560"/>
      <w:jc w:val="left"/>
    </w:pPr>
    <w:rPr>
      <w:rFonts w:ascii="宋体" w:cs="宋体"/>
      <w:kern w:val="0"/>
      <w:sz w:val="28"/>
      <w:szCs w:val="20"/>
      <w:lang w:val="zh-CN"/>
    </w:rPr>
  </w:style>
  <w:style w:type="paragraph" w:customStyle="1" w:styleId="2ffff9">
    <w:name w:val="缩2"/>
    <w:basedOn w:val="a6"/>
    <w:qFormat/>
    <w:pPr>
      <w:widowControl/>
      <w:spacing w:line="300" w:lineRule="auto"/>
      <w:ind w:firstLineChars="200" w:firstLine="200"/>
      <w:jc w:val="left"/>
    </w:pPr>
    <w:rPr>
      <w:rFonts w:cs="宋体"/>
      <w:kern w:val="0"/>
      <w:sz w:val="24"/>
    </w:rPr>
  </w:style>
  <w:style w:type="paragraph" w:customStyle="1" w:styleId="3ff9">
    <w:name w:val="环标3"/>
    <w:basedOn w:val="afffffffffffffffffff7"/>
    <w:next w:val="afffffffffffffffffff7"/>
    <w:qFormat/>
    <w:pPr>
      <w:keepNext/>
      <w:keepLines/>
      <w:tabs>
        <w:tab w:val="left" w:pos="5094"/>
      </w:tabs>
      <w:suppressAutoHyphens w:val="0"/>
      <w:spacing w:line="312" w:lineRule="atLeast"/>
      <w:ind w:right="-11" w:firstLineChars="0" w:firstLine="0"/>
      <w:outlineLvl w:val="2"/>
    </w:pPr>
    <w:rPr>
      <w:rFonts w:ascii="宋体" w:hAnsi="宋体"/>
    </w:rPr>
  </w:style>
  <w:style w:type="paragraph" w:customStyle="1" w:styleId="211H2Underrubrik1prop2Heading2HiddenHea2">
    <w:name w:val="样式 标题 2节节标题 1.1H2（一）Underrubrik1prop2Heading 2 HiddenHea...2"/>
    <w:basedOn w:val="22"/>
    <w:qFormat/>
    <w:pPr>
      <w:tabs>
        <w:tab w:val="left" w:pos="576"/>
        <w:tab w:val="left" w:pos="1070"/>
      </w:tabs>
      <w:jc w:val="left"/>
    </w:pPr>
    <w:rPr>
      <w:rFonts w:hAnsi="黑体"/>
      <w:color w:val="000000"/>
      <w:spacing w:val="0"/>
      <w:w w:val="100"/>
      <w:kern w:val="2"/>
      <w:sz w:val="30"/>
      <w:szCs w:val="32"/>
    </w:rPr>
  </w:style>
  <w:style w:type="paragraph" w:customStyle="1" w:styleId="322">
    <w:name w:val="正文文本 32"/>
    <w:basedOn w:val="a6"/>
    <w:qFormat/>
    <w:pPr>
      <w:spacing w:line="360" w:lineRule="auto"/>
    </w:pPr>
    <w:rPr>
      <w:rFonts w:ascii="仿宋_GB2312" w:eastAsia="仿宋_GB2312" w:hAnsi="宋体"/>
      <w:sz w:val="24"/>
      <w:szCs w:val="20"/>
    </w:rPr>
  </w:style>
  <w:style w:type="paragraph" w:customStyle="1" w:styleId="21121122Char12Heading203">
    <w:name w:val="样式 标题 21.1标题 21.1标题2标题 2 Char1节标2_Heading 2一级条 + 段前: 0....3"/>
    <w:basedOn w:val="affc"/>
    <w:next w:val="affc"/>
    <w:qFormat/>
    <w:pPr>
      <w:tabs>
        <w:tab w:val="left" w:pos="628"/>
        <w:tab w:val="left" w:pos="1727"/>
        <w:tab w:val="left" w:pos="1884"/>
        <w:tab w:val="left" w:pos="2040"/>
        <w:tab w:val="left" w:pos="4900"/>
      </w:tabs>
      <w:autoSpaceDE w:val="0"/>
      <w:autoSpaceDN w:val="0"/>
      <w:adjustRightInd w:val="0"/>
      <w:spacing w:beforeLines="50" w:afterLines="50" w:after="120" w:line="360" w:lineRule="auto"/>
      <w:ind w:leftChars="800" w:left="-200" w:hangingChars="200" w:hanging="200"/>
      <w:jc w:val="left"/>
    </w:pPr>
    <w:rPr>
      <w:rFonts w:eastAsia="黑体" w:hAnsi="Times New Roman" w:cs="宋体"/>
      <w:bCs w:val="0"/>
      <w:color w:val="000000"/>
      <w:spacing w:val="0"/>
      <w:kern w:val="0"/>
      <w:sz w:val="28"/>
      <w:szCs w:val="28"/>
      <w:lang w:val="zh-CN"/>
    </w:rPr>
  </w:style>
  <w:style w:type="paragraph" w:customStyle="1" w:styleId="Head32">
    <w:name w:val="Head 3.2"/>
    <w:basedOn w:val="a6"/>
    <w:qFormat/>
    <w:pPr>
      <w:widowControl/>
      <w:suppressAutoHyphens/>
      <w:ind w:left="360" w:hanging="360"/>
      <w:jc w:val="left"/>
    </w:pPr>
    <w:rPr>
      <w:rFonts w:cs="宋体"/>
      <w:b/>
      <w:kern w:val="0"/>
      <w:sz w:val="24"/>
      <w:szCs w:val="20"/>
      <w:lang w:val="fr-FR" w:eastAsia="en-US"/>
    </w:rPr>
  </w:style>
  <w:style w:type="paragraph" w:customStyle="1" w:styleId="41111">
    <w:name w:val="样式 标题4 1.1.1.1"/>
    <w:basedOn w:val="41"/>
    <w:next w:val="affffa"/>
    <w:qFormat/>
    <w:pPr>
      <w:adjustRightInd/>
      <w:snapToGrid/>
      <w:spacing w:beforeLines="0" w:before="0" w:line="360" w:lineRule="auto"/>
    </w:pPr>
    <w:rPr>
      <w:rFonts w:ascii="宋体" w:eastAsia="宋体" w:cs="宋体"/>
      <w:sz w:val="24"/>
    </w:rPr>
  </w:style>
  <w:style w:type="paragraph" w:customStyle="1" w:styleId="09922">
    <w:name w:val="样式 左侧:  0.99 厘米 首行缩进:  2 字符2"/>
    <w:basedOn w:val="a6"/>
    <w:next w:val="a6"/>
    <w:semiHidden/>
    <w:qFormat/>
    <w:pPr>
      <w:widowControl/>
      <w:adjustRightInd w:val="0"/>
      <w:snapToGrid w:val="0"/>
      <w:spacing w:line="300" w:lineRule="auto"/>
      <w:ind w:left="560" w:firstLineChars="200" w:firstLine="560"/>
      <w:jc w:val="left"/>
    </w:pPr>
    <w:rPr>
      <w:rFonts w:cs="宋体"/>
      <w:kern w:val="0"/>
      <w:sz w:val="28"/>
      <w:szCs w:val="20"/>
    </w:rPr>
  </w:style>
  <w:style w:type="paragraph" w:customStyle="1" w:styleId="Para">
    <w:name w:val="默认段落字体 Para"/>
    <w:basedOn w:val="a6"/>
    <w:qFormat/>
    <w:rPr>
      <w:rFonts w:ascii="宋体"/>
      <w:kern w:val="0"/>
      <w:sz w:val="24"/>
      <w:szCs w:val="20"/>
    </w:rPr>
  </w:style>
  <w:style w:type="paragraph" w:customStyle="1" w:styleId="23a">
    <w:name w:val="2 3a"/>
    <w:qFormat/>
    <w:pPr>
      <w:tabs>
        <w:tab w:val="left" w:pos="-720"/>
      </w:tabs>
      <w:suppressAutoHyphens/>
    </w:pPr>
    <w:rPr>
      <w:rFonts w:ascii="Courier" w:hAnsi="Courier"/>
      <w:sz w:val="24"/>
      <w:lang w:eastAsia="en-US"/>
    </w:rPr>
  </w:style>
  <w:style w:type="paragraph" w:customStyle="1" w:styleId="afffffffffffffffffffffffffe">
    <w:name w:val="单倍行距"/>
    <w:basedOn w:val="a6"/>
    <w:qFormat/>
    <w:pPr>
      <w:adjustRightInd w:val="0"/>
      <w:spacing w:line="240" w:lineRule="atLeast"/>
      <w:jc w:val="center"/>
    </w:pPr>
    <w:rPr>
      <w:sz w:val="18"/>
    </w:rPr>
  </w:style>
  <w:style w:type="paragraph" w:customStyle="1" w:styleId="2ffffa">
    <w:name w:val="样式 样式 正文缩进 + 非加粗 + 首行缩进:  2 字符"/>
    <w:basedOn w:val="a6"/>
    <w:semiHidden/>
    <w:qFormat/>
    <w:pPr>
      <w:widowControl/>
      <w:adjustRightInd w:val="0"/>
      <w:snapToGrid w:val="0"/>
      <w:spacing w:line="300" w:lineRule="auto"/>
      <w:ind w:firstLineChars="200" w:firstLine="560"/>
      <w:jc w:val="left"/>
    </w:pPr>
    <w:rPr>
      <w:rFonts w:cs="宋体"/>
      <w:kern w:val="0"/>
      <w:sz w:val="28"/>
    </w:rPr>
  </w:style>
  <w:style w:type="paragraph" w:customStyle="1" w:styleId="11f0">
    <w:name w:val="样式11"/>
    <w:basedOn w:val="afc"/>
    <w:qFormat/>
    <w:pPr>
      <w:spacing w:line="240" w:lineRule="auto"/>
      <w:ind w:firstLineChars="0" w:firstLine="0"/>
    </w:pPr>
    <w:rPr>
      <w:rFonts w:eastAsia="宋体" w:cs="仿宋_GB2312"/>
      <w:color w:val="auto"/>
      <w:spacing w:val="0"/>
      <w:kern w:val="0"/>
      <w:sz w:val="20"/>
    </w:rPr>
  </w:style>
  <w:style w:type="paragraph" w:customStyle="1" w:styleId="21a">
    <w:name w:val="2 1a"/>
    <w:qFormat/>
    <w:pPr>
      <w:tabs>
        <w:tab w:val="left" w:pos="-720"/>
      </w:tabs>
      <w:suppressAutoHyphens/>
    </w:pPr>
    <w:rPr>
      <w:rFonts w:ascii="Courier" w:hAnsi="Courier"/>
      <w:sz w:val="24"/>
      <w:lang w:eastAsia="en-US"/>
    </w:rPr>
  </w:style>
  <w:style w:type="paragraph" w:customStyle="1" w:styleId="5fd">
    <w:name w:val="表内5中"/>
    <w:basedOn w:val="a6"/>
    <w:qFormat/>
    <w:pPr>
      <w:jc w:val="center"/>
    </w:pPr>
    <w:rPr>
      <w:rFonts w:ascii="宋体"/>
      <w:kern w:val="0"/>
      <w:sz w:val="24"/>
      <w:szCs w:val="20"/>
    </w:rPr>
  </w:style>
  <w:style w:type="paragraph" w:customStyle="1" w:styleId="1113">
    <w:name w:val="样式 标题 1 + 段前: 1 行 段后: 1 行"/>
    <w:basedOn w:val="12"/>
    <w:semiHidden/>
    <w:qFormat/>
    <w:pPr>
      <w:keepNext w:val="0"/>
      <w:adjustRightInd w:val="0"/>
      <w:snapToGrid w:val="0"/>
      <w:spacing w:before="0" w:after="0" w:line="420" w:lineRule="auto"/>
    </w:pPr>
    <w:rPr>
      <w:rFonts w:cs="宋体"/>
      <w:b w:val="0"/>
      <w:bCs w:val="0"/>
      <w:sz w:val="28"/>
      <w:szCs w:val="20"/>
    </w:rPr>
  </w:style>
  <w:style w:type="paragraph" w:customStyle="1" w:styleId="CharCharCharCharCharCharChar6">
    <w:name w:val="Char Char Char Char Char Char Char6"/>
    <w:basedOn w:val="a6"/>
    <w:qFormat/>
  </w:style>
  <w:style w:type="paragraph" w:customStyle="1" w:styleId="161">
    <w:name w:val="1 6"/>
    <w:qFormat/>
    <w:pPr>
      <w:tabs>
        <w:tab w:val="left" w:pos="-720"/>
      </w:tabs>
      <w:suppressAutoHyphens/>
    </w:pPr>
    <w:rPr>
      <w:rFonts w:ascii="Courier" w:hAnsi="Courier"/>
      <w:sz w:val="24"/>
      <w:lang w:eastAsia="en-US"/>
    </w:rPr>
  </w:style>
  <w:style w:type="paragraph" w:customStyle="1" w:styleId="205">
    <w:name w:val="样式 标题 2 + 段后: 0.5 行"/>
    <w:basedOn w:val="210"/>
    <w:qFormat/>
    <w:pPr>
      <w:tabs>
        <w:tab w:val="left" w:pos="630"/>
        <w:tab w:val="left" w:pos="840"/>
        <w:tab w:val="left" w:pos="1287"/>
        <w:tab w:val="left" w:pos="3920"/>
        <w:tab w:val="left" w:pos="5670"/>
      </w:tabs>
      <w:adjustRightInd w:val="0"/>
      <w:spacing w:before="60" w:afterLines="50" w:line="240" w:lineRule="auto"/>
      <w:ind w:firstLine="567"/>
    </w:pPr>
    <w:rPr>
      <w:rFonts w:ascii="Times New Roman" w:eastAsia="仿宋_GB2312" w:hAnsi="Times New Roman"/>
      <w:b w:val="0"/>
      <w:bCs w:val="0"/>
      <w:sz w:val="30"/>
    </w:rPr>
  </w:style>
  <w:style w:type="paragraph" w:customStyle="1" w:styleId="REGULAR8">
    <w:name w:val="REGULAR 8"/>
    <w:qFormat/>
    <w:pPr>
      <w:tabs>
        <w:tab w:val="left" w:pos="-720"/>
      </w:tabs>
      <w:suppressAutoHyphens/>
    </w:pPr>
    <w:rPr>
      <w:rFonts w:ascii="Courier" w:hAnsi="Courier"/>
      <w:sz w:val="24"/>
      <w:lang w:eastAsia="en-US"/>
    </w:rPr>
  </w:style>
  <w:style w:type="paragraph" w:customStyle="1" w:styleId="affffffffffffffffffffffffff">
    <w:name w:val="小于节标题"/>
    <w:basedOn w:val="affffffffffffe"/>
    <w:qFormat/>
    <w:pPr>
      <w:ind w:firstLine="0"/>
    </w:pPr>
    <w:rPr>
      <w:rFonts w:eastAsia="华文中宋"/>
      <w:color w:val="auto"/>
    </w:rPr>
  </w:style>
  <w:style w:type="paragraph" w:customStyle="1" w:styleId="SAR3">
    <w:name w:val="SAR 3"/>
    <w:qFormat/>
    <w:pPr>
      <w:tabs>
        <w:tab w:val="right" w:pos="1560"/>
        <w:tab w:val="left" w:pos="1800"/>
      </w:tabs>
      <w:suppressAutoHyphens/>
      <w:ind w:firstLine="3000"/>
    </w:pPr>
    <w:rPr>
      <w:rFonts w:ascii="Courier" w:hAnsi="Courier"/>
      <w:sz w:val="24"/>
      <w:lang w:eastAsia="en-US"/>
    </w:rPr>
  </w:style>
  <w:style w:type="paragraph" w:customStyle="1" w:styleId="affffffffffffffffffffffffff0">
    <w:name w:val="表格小"/>
    <w:basedOn w:val="a6"/>
    <w:qFormat/>
    <w:pPr>
      <w:jc w:val="center"/>
    </w:pPr>
    <w:rPr>
      <w:sz w:val="18"/>
    </w:rPr>
  </w:style>
  <w:style w:type="paragraph" w:customStyle="1" w:styleId="SAR7">
    <w:name w:val="SAR 7"/>
    <w:qFormat/>
    <w:pPr>
      <w:tabs>
        <w:tab w:val="left" w:pos="-720"/>
      </w:tabs>
      <w:suppressAutoHyphens/>
    </w:pPr>
    <w:rPr>
      <w:rFonts w:ascii="Courier" w:hAnsi="Courier"/>
      <w:sz w:val="24"/>
      <w:lang w:eastAsia="en-US"/>
    </w:rPr>
  </w:style>
  <w:style w:type="paragraph" w:customStyle="1" w:styleId="default0">
    <w:name w:val="default"/>
    <w:basedOn w:val="a6"/>
    <w:qFormat/>
    <w:pPr>
      <w:widowControl/>
      <w:jc w:val="left"/>
    </w:pPr>
    <w:rPr>
      <w:rFonts w:ascii="宋体" w:hAnsi="宋体"/>
      <w:color w:val="000000"/>
      <w:kern w:val="0"/>
      <w:sz w:val="24"/>
      <w:szCs w:val="20"/>
    </w:rPr>
  </w:style>
  <w:style w:type="paragraph" w:customStyle="1" w:styleId="REGULAR3">
    <w:name w:val="REGULAR 3"/>
    <w:qFormat/>
    <w:pPr>
      <w:tabs>
        <w:tab w:val="right" w:pos="1560"/>
        <w:tab w:val="left" w:pos="1800"/>
      </w:tabs>
      <w:suppressAutoHyphens/>
      <w:ind w:firstLine="3000"/>
    </w:pPr>
    <w:rPr>
      <w:rFonts w:ascii="Courier" w:hAnsi="Courier"/>
      <w:sz w:val="24"/>
      <w:lang w:eastAsia="en-US"/>
    </w:rPr>
  </w:style>
  <w:style w:type="paragraph" w:customStyle="1" w:styleId="affffffffffffffffffffffffff1">
    <w:name w:val="二标题"/>
    <w:basedOn w:val="a6"/>
    <w:qFormat/>
    <w:pPr>
      <w:keepNext/>
      <w:keepLines/>
      <w:tabs>
        <w:tab w:val="left" w:pos="360"/>
        <w:tab w:val="left" w:pos="1275"/>
      </w:tabs>
      <w:spacing w:before="260" w:after="260" w:line="413" w:lineRule="auto"/>
      <w:ind w:left="1275" w:hanging="1275"/>
      <w:jc w:val="center"/>
      <w:outlineLvl w:val="2"/>
    </w:pPr>
    <w:rPr>
      <w:rFonts w:ascii="宋体" w:hAnsi="宋体"/>
      <w:sz w:val="32"/>
      <w:szCs w:val="32"/>
    </w:rPr>
  </w:style>
  <w:style w:type="paragraph" w:customStyle="1" w:styleId="SAR4">
    <w:name w:val="SAR 4"/>
    <w:qFormat/>
    <w:pPr>
      <w:tabs>
        <w:tab w:val="left" w:pos="1814"/>
        <w:tab w:val="left" w:pos="2280"/>
      </w:tabs>
      <w:suppressAutoHyphens/>
      <w:ind w:firstLine="1814"/>
    </w:pPr>
    <w:rPr>
      <w:rFonts w:ascii="Courier" w:hAnsi="Courier"/>
      <w:sz w:val="24"/>
      <w:lang w:eastAsia="en-US"/>
    </w:rPr>
  </w:style>
  <w:style w:type="paragraph" w:customStyle="1" w:styleId="2ffffb">
    <w:name w:val="样式 正文文本缩进 2 + (符号) 宋体 小四 两端对齐"/>
    <w:basedOn w:val="26"/>
    <w:qFormat/>
    <w:pPr>
      <w:spacing w:line="360" w:lineRule="auto"/>
    </w:pPr>
    <w:rPr>
      <w:rFonts w:ascii="宋体" w:hAnsi="宋体"/>
      <w:kern w:val="0"/>
      <w:szCs w:val="20"/>
    </w:rPr>
  </w:style>
  <w:style w:type="paragraph" w:customStyle="1" w:styleId="affffffffffffffffffffffffff2">
    <w:name w:val="标准书脚_奇数页"/>
    <w:qFormat/>
    <w:pPr>
      <w:spacing w:before="120"/>
      <w:jc w:val="right"/>
    </w:pPr>
    <w:rPr>
      <w:sz w:val="18"/>
    </w:rPr>
  </w:style>
  <w:style w:type="paragraph" w:customStyle="1" w:styleId="CharCharCharCharCharCharCharCharChar1">
    <w:name w:val="Char Char Char Char Char Char Char Char Char"/>
    <w:basedOn w:val="a6"/>
    <w:qFormat/>
    <w:rPr>
      <w:color w:val="000000"/>
      <w:w w:val="110"/>
      <w:kern w:val="0"/>
      <w:sz w:val="24"/>
    </w:rPr>
  </w:style>
  <w:style w:type="paragraph" w:customStyle="1" w:styleId="font13">
    <w:name w:val="font13"/>
    <w:basedOn w:val="a6"/>
    <w:qFormat/>
    <w:pPr>
      <w:widowControl/>
      <w:spacing w:before="100" w:beforeAutospacing="1" w:after="100" w:afterAutospacing="1"/>
      <w:jc w:val="left"/>
    </w:pPr>
    <w:rPr>
      <w:rFonts w:ascii="宋体" w:hAnsi="宋体" w:cs="宋体"/>
      <w:kern w:val="0"/>
      <w:sz w:val="20"/>
      <w:szCs w:val="20"/>
    </w:rPr>
  </w:style>
  <w:style w:type="paragraph" w:customStyle="1" w:styleId="69">
    <w:name w:val="表头6"/>
    <w:basedOn w:val="a6"/>
    <w:qFormat/>
    <w:pPr>
      <w:tabs>
        <w:tab w:val="left" w:pos="1620"/>
      </w:tabs>
      <w:spacing w:before="40" w:after="40" w:line="360" w:lineRule="auto"/>
    </w:pPr>
    <w:rPr>
      <w:rFonts w:eastAsia="黑体"/>
      <w:b/>
      <w:color w:val="000000"/>
      <w:sz w:val="24"/>
    </w:rPr>
  </w:style>
  <w:style w:type="paragraph" w:customStyle="1" w:styleId="3ffa">
    <w:name w:val="标题标题 3"/>
    <w:basedOn w:val="22"/>
    <w:qFormat/>
    <w:rPr>
      <w:rFonts w:ascii="黑体" w:hAnsi="黑体"/>
      <w:color w:val="000000"/>
      <w:spacing w:val="0"/>
      <w:w w:val="100"/>
      <w:kern w:val="2"/>
      <w:sz w:val="24"/>
      <w:szCs w:val="32"/>
    </w:rPr>
  </w:style>
  <w:style w:type="paragraph" w:customStyle="1" w:styleId="affffffffffffffffffffffffff3">
    <w:name w:val="基准页脚样式"/>
    <w:basedOn w:val="af8"/>
    <w:qFormat/>
    <w:pPr>
      <w:spacing w:after="0"/>
      <w:jc w:val="center"/>
    </w:pPr>
    <w:rPr>
      <w:rFonts w:ascii="宋体"/>
      <w:szCs w:val="20"/>
    </w:rPr>
  </w:style>
  <w:style w:type="paragraph" w:customStyle="1" w:styleId="3ffb">
    <w:name w:val="标3正文项"/>
    <w:basedOn w:val="a6"/>
    <w:qFormat/>
    <w:pPr>
      <w:tabs>
        <w:tab w:val="left" w:pos="720"/>
      </w:tabs>
      <w:spacing w:line="360" w:lineRule="auto"/>
      <w:ind w:left="822" w:hanging="397"/>
    </w:pPr>
    <w:rPr>
      <w:kern w:val="0"/>
      <w:sz w:val="24"/>
      <w:szCs w:val="20"/>
    </w:rPr>
  </w:style>
  <w:style w:type="paragraph" w:customStyle="1" w:styleId="Head22">
    <w:name w:val="Head 2.2"/>
    <w:basedOn w:val="a6"/>
    <w:qFormat/>
    <w:pPr>
      <w:widowControl/>
      <w:tabs>
        <w:tab w:val="left" w:pos="360"/>
      </w:tabs>
      <w:suppressAutoHyphens/>
      <w:ind w:left="360" w:hanging="360"/>
      <w:jc w:val="left"/>
    </w:pPr>
    <w:rPr>
      <w:rFonts w:cs="宋体"/>
      <w:b/>
      <w:kern w:val="0"/>
      <w:sz w:val="24"/>
      <w:szCs w:val="20"/>
      <w:lang w:eastAsia="en-US"/>
    </w:rPr>
  </w:style>
  <w:style w:type="paragraph" w:customStyle="1" w:styleId="affffffffffffffffffffffffff4">
    <w:name w:val="标题一"/>
    <w:basedOn w:val="22"/>
    <w:qFormat/>
    <w:pPr>
      <w:keepNext w:val="0"/>
      <w:keepLines w:val="0"/>
      <w:spacing w:line="480" w:lineRule="exact"/>
      <w:jc w:val="center"/>
      <w:outlineLvl w:val="0"/>
    </w:pPr>
    <w:rPr>
      <w:rFonts w:ascii="楷体_GB2312" w:eastAsia="楷体_GB2312"/>
      <w:bCs w:val="0"/>
      <w:snapToGrid w:val="0"/>
      <w:spacing w:val="0"/>
      <w:w w:val="100"/>
      <w:kern w:val="2"/>
      <w:sz w:val="30"/>
      <w:szCs w:val="30"/>
    </w:rPr>
  </w:style>
  <w:style w:type="paragraph" w:customStyle="1" w:styleId="affffffffffffffffffffffffff5">
    <w:name w:val="正文图小四"/>
    <w:basedOn w:val="a6"/>
    <w:qFormat/>
    <w:pPr>
      <w:adjustRightInd w:val="0"/>
      <w:snapToGrid w:val="0"/>
      <w:jc w:val="center"/>
      <w:textAlignment w:val="baseline"/>
    </w:pPr>
    <w:rPr>
      <w:rFonts w:ascii="宋体"/>
      <w:color w:val="000000"/>
      <w:w w:val="110"/>
      <w:kern w:val="0"/>
      <w:sz w:val="24"/>
    </w:rPr>
  </w:style>
  <w:style w:type="paragraph" w:customStyle="1" w:styleId="Technical4">
    <w:name w:val="Technical 4"/>
    <w:qFormat/>
    <w:pPr>
      <w:tabs>
        <w:tab w:val="left" w:pos="-720"/>
      </w:tabs>
      <w:suppressAutoHyphens/>
    </w:pPr>
    <w:rPr>
      <w:rFonts w:ascii="Courier" w:hAnsi="Courier"/>
      <w:b/>
      <w:sz w:val="24"/>
      <w:lang w:eastAsia="en-US"/>
    </w:rPr>
  </w:style>
  <w:style w:type="paragraph" w:customStyle="1" w:styleId="CM9">
    <w:name w:val="CM9"/>
    <w:basedOn w:val="Default"/>
    <w:next w:val="Default"/>
    <w:qFormat/>
    <w:pPr>
      <w:spacing w:line="626" w:lineRule="atLeast"/>
    </w:pPr>
    <w:rPr>
      <w:rFonts w:ascii="黑体" w:eastAsia="黑体"/>
      <w:color w:val="auto"/>
    </w:rPr>
  </w:style>
  <w:style w:type="paragraph" w:customStyle="1" w:styleId="2110">
    <w:name w:val="正文文本 211"/>
    <w:basedOn w:val="a6"/>
    <w:qFormat/>
    <w:pPr>
      <w:overflowPunct w:val="0"/>
      <w:autoSpaceDE w:val="0"/>
      <w:autoSpaceDN w:val="0"/>
      <w:adjustRightInd w:val="0"/>
      <w:spacing w:after="120" w:line="360" w:lineRule="auto"/>
      <w:textAlignment w:val="baseline"/>
    </w:pPr>
    <w:rPr>
      <w:sz w:val="24"/>
      <w:szCs w:val="20"/>
    </w:rPr>
  </w:style>
  <w:style w:type="paragraph" w:customStyle="1" w:styleId="315">
    <w:name w:val="3 1"/>
    <w:qFormat/>
    <w:pPr>
      <w:tabs>
        <w:tab w:val="left" w:pos="-720"/>
        <w:tab w:val="left" w:pos="0"/>
        <w:tab w:val="decimal" w:pos="720"/>
      </w:tabs>
      <w:suppressAutoHyphens/>
      <w:ind w:firstLine="720"/>
    </w:pPr>
    <w:rPr>
      <w:rFonts w:ascii="Courier" w:hAnsi="Courier"/>
      <w:sz w:val="24"/>
      <w:lang w:eastAsia="en-US"/>
    </w:rPr>
  </w:style>
  <w:style w:type="paragraph" w:customStyle="1" w:styleId="affffffffffffffffffffffffff6">
    <w:name w:val="标题后正文"/>
    <w:basedOn w:val="a6"/>
    <w:qFormat/>
    <w:pPr>
      <w:adjustRightInd w:val="0"/>
      <w:spacing w:line="360" w:lineRule="auto"/>
      <w:ind w:firstLineChars="200" w:firstLine="200"/>
      <w:textAlignment w:val="baseline"/>
    </w:pPr>
    <w:rPr>
      <w:rFonts w:ascii="Arial" w:hAnsi="Arial"/>
      <w:snapToGrid w:val="0"/>
      <w:kern w:val="28"/>
      <w:sz w:val="24"/>
      <w:szCs w:val="20"/>
    </w:rPr>
  </w:style>
  <w:style w:type="paragraph" w:customStyle="1" w:styleId="affffffffffffffffffffffffff7">
    <w:name w:val="正文（表格）"/>
    <w:basedOn w:val="a6"/>
    <w:qFormat/>
    <w:pPr>
      <w:jc w:val="center"/>
    </w:pPr>
  </w:style>
  <w:style w:type="paragraph" w:customStyle="1" w:styleId="affffffffffffffffffffffffff8">
    <w:name w:val="正文仿宋"/>
    <w:basedOn w:val="a6"/>
    <w:qFormat/>
    <w:pPr>
      <w:adjustRightInd w:val="0"/>
      <w:snapToGrid w:val="0"/>
      <w:spacing w:line="360" w:lineRule="auto"/>
      <w:ind w:firstLine="567"/>
    </w:pPr>
    <w:rPr>
      <w:rFonts w:eastAsia="仿宋_GB2312"/>
      <w:snapToGrid w:val="0"/>
      <w:color w:val="000000"/>
      <w:w w:val="110"/>
      <w:kern w:val="0"/>
      <w:sz w:val="24"/>
      <w:szCs w:val="20"/>
    </w:rPr>
  </w:style>
  <w:style w:type="paragraph" w:customStyle="1" w:styleId="xl86">
    <w:name w:val="xl86"/>
    <w:basedOn w:val="a6"/>
    <w:qFormat/>
    <w:pPr>
      <w:widowControl/>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b/>
      <w:bCs/>
      <w:kern w:val="0"/>
      <w:sz w:val="20"/>
      <w:szCs w:val="20"/>
    </w:rPr>
  </w:style>
  <w:style w:type="paragraph" w:customStyle="1" w:styleId="-006">
    <w:name w:val="样式 表格文字居中 + 右侧:  -0.06 字符"/>
    <w:basedOn w:val="a6"/>
    <w:next w:val="affc"/>
    <w:qFormat/>
    <w:pPr>
      <w:keepNext/>
      <w:widowControl/>
      <w:autoSpaceDE w:val="0"/>
      <w:autoSpaceDN w:val="0"/>
      <w:adjustRightInd w:val="0"/>
      <w:spacing w:line="360" w:lineRule="auto"/>
      <w:ind w:left="-28" w:right="-17" w:firstLineChars="200" w:firstLine="200"/>
      <w:jc w:val="left"/>
    </w:pPr>
    <w:rPr>
      <w:rFonts w:ascii="宋体" w:cs="宋体"/>
      <w:color w:val="000000"/>
      <w:kern w:val="0"/>
      <w:sz w:val="28"/>
      <w:szCs w:val="20"/>
      <w:lang w:val="zh-CN"/>
    </w:rPr>
  </w:style>
  <w:style w:type="paragraph" w:customStyle="1" w:styleId="affffffffffffffffffffffffff9">
    <w:name w:val="项目符号"/>
    <w:basedOn w:val="a6"/>
    <w:qFormat/>
    <w:pPr>
      <w:widowControl/>
      <w:tabs>
        <w:tab w:val="left" w:pos="170"/>
      </w:tabs>
      <w:overflowPunct w:val="0"/>
      <w:snapToGrid w:val="0"/>
      <w:spacing w:line="380" w:lineRule="exact"/>
      <w:ind w:firstLineChars="200" w:firstLine="454"/>
      <w:jc w:val="left"/>
    </w:pPr>
    <w:rPr>
      <w:rFonts w:ascii="Arial" w:eastAsia="仿宋_GB2312" w:hAnsi="Arial" w:cs="宋体"/>
      <w:kern w:val="0"/>
      <w:sz w:val="24"/>
      <w:szCs w:val="20"/>
    </w:rPr>
  </w:style>
  <w:style w:type="paragraph" w:customStyle="1" w:styleId="2234234">
    <w:name w:val="样式 标题 2 + 段前: 23.4 磅 段后: 23.4 磅"/>
    <w:basedOn w:val="22"/>
    <w:qFormat/>
    <w:pPr>
      <w:keepLines w:val="0"/>
      <w:tabs>
        <w:tab w:val="left" w:pos="567"/>
      </w:tabs>
      <w:adjustRightInd w:val="0"/>
      <w:spacing w:before="100" w:beforeAutospacing="1" w:after="100" w:afterAutospacing="1" w:line="0" w:lineRule="atLeast"/>
      <w:ind w:left="567" w:hanging="567"/>
      <w:jc w:val="left"/>
      <w:textAlignment w:val="baseline"/>
    </w:pPr>
    <w:rPr>
      <w:b/>
      <w:bCs w:val="0"/>
      <w:color w:val="0000FF"/>
      <w:spacing w:val="0"/>
      <w:w w:val="100"/>
      <w:kern w:val="0"/>
      <w:sz w:val="24"/>
      <w:szCs w:val="20"/>
    </w:rPr>
  </w:style>
  <w:style w:type="paragraph" w:customStyle="1" w:styleId="-320">
    <w:name w:val="编号-附录章条3级标题或2级条(不进目录)"/>
    <w:basedOn w:val="a6"/>
    <w:qFormat/>
    <w:pPr>
      <w:widowControl/>
      <w:ind w:left="3990"/>
      <w:jc w:val="left"/>
      <w:outlineLvl w:val="2"/>
    </w:pPr>
    <w:rPr>
      <w:rFonts w:ascii="Arial" w:hAnsi="Arial" w:cs="宋体"/>
      <w:kern w:val="0"/>
      <w:sz w:val="24"/>
    </w:rPr>
  </w:style>
  <w:style w:type="paragraph" w:customStyle="1" w:styleId="-a">
    <w:name w:val="表格-标题"/>
    <w:basedOn w:val="a6"/>
    <w:qFormat/>
    <w:pPr>
      <w:tabs>
        <w:tab w:val="left" w:pos="1950"/>
      </w:tabs>
      <w:autoSpaceDE w:val="0"/>
      <w:autoSpaceDN w:val="0"/>
      <w:adjustRightInd w:val="0"/>
      <w:spacing w:line="300" w:lineRule="auto"/>
      <w:jc w:val="center"/>
    </w:pPr>
    <w:rPr>
      <w:rFonts w:eastAsia="黑体"/>
      <w:sz w:val="24"/>
    </w:rPr>
  </w:style>
  <w:style w:type="paragraph" w:customStyle="1" w:styleId="affffffffffffffffffffffffffa">
    <w:name w:val="——"/>
    <w:qFormat/>
    <w:pPr>
      <w:ind w:firstLineChars="300" w:firstLine="660"/>
    </w:pPr>
  </w:style>
  <w:style w:type="paragraph" w:customStyle="1" w:styleId="Texte">
    <w:name w:val="Texte"/>
    <w:basedOn w:val="a6"/>
    <w:qFormat/>
    <w:pPr>
      <w:widowControl/>
      <w:spacing w:before="120" w:after="120"/>
      <w:ind w:left="851" w:firstLineChars="200" w:firstLine="200"/>
    </w:pPr>
    <w:rPr>
      <w:rFonts w:ascii="Arial" w:hAnsi="Arial"/>
      <w:kern w:val="0"/>
      <w:sz w:val="22"/>
      <w:szCs w:val="20"/>
      <w:lang w:val="en-GB"/>
    </w:rPr>
  </w:style>
  <w:style w:type="paragraph" w:customStyle="1" w:styleId="CharCharCharCharCharCharCharCharCharCharCharChar12">
    <w:name w:val="Char Char Char Char Char Char Char Char Char Char Char Char12"/>
    <w:basedOn w:val="a6"/>
    <w:next w:val="a6"/>
    <w:qFormat/>
    <w:pPr>
      <w:spacing w:line="360" w:lineRule="auto"/>
      <w:ind w:firstLineChars="200" w:firstLine="200"/>
    </w:pPr>
    <w:rPr>
      <w:rFonts w:ascii="宋体" w:hAnsi="宋体" w:cs="宋体"/>
      <w:sz w:val="24"/>
    </w:rPr>
  </w:style>
  <w:style w:type="paragraph" w:customStyle="1" w:styleId="xl254">
    <w:name w:val="xl254"/>
    <w:basedOn w:val="a6"/>
    <w:qFormat/>
    <w:pPr>
      <w:widowControl/>
      <w:pBdr>
        <w:top w:val="single" w:sz="4" w:space="0" w:color="auto"/>
        <w:left w:val="single" w:sz="4" w:space="0" w:color="auto"/>
      </w:pBdr>
      <w:spacing w:before="100" w:beforeAutospacing="1" w:after="100" w:afterAutospacing="1"/>
      <w:jc w:val="center"/>
    </w:pPr>
    <w:rPr>
      <w:rFonts w:ascii="宋体" w:hAnsi="宋体" w:cs="宋体"/>
      <w:kern w:val="0"/>
      <w:sz w:val="20"/>
      <w:szCs w:val="20"/>
    </w:rPr>
  </w:style>
  <w:style w:type="paragraph" w:customStyle="1" w:styleId="xl170">
    <w:name w:val="xl170"/>
    <w:basedOn w:val="a6"/>
    <w:qFormat/>
    <w:pPr>
      <w:widowControl/>
      <w:pBdr>
        <w:top w:val="double" w:sz="6" w:space="0" w:color="auto"/>
        <w:left w:val="single" w:sz="4" w:space="0" w:color="auto"/>
        <w:right w:val="single" w:sz="4" w:space="0" w:color="auto"/>
      </w:pBdr>
      <w:spacing w:before="100" w:beforeAutospacing="1" w:after="100" w:afterAutospacing="1" w:line="360" w:lineRule="auto"/>
      <w:jc w:val="center"/>
      <w:textAlignment w:val="center"/>
    </w:pPr>
    <w:rPr>
      <w:rFonts w:ascii="Arial Unicode MS" w:eastAsia="Arial Unicode MS" w:hAnsi="Arial Unicode MS" w:cs="Arial Unicode MS"/>
      <w:color w:val="000000"/>
      <w:kern w:val="0"/>
      <w:sz w:val="24"/>
      <w:szCs w:val="21"/>
    </w:rPr>
  </w:style>
  <w:style w:type="paragraph" w:customStyle="1" w:styleId="xl90">
    <w:name w:val="xl90"/>
    <w:basedOn w:val="a6"/>
    <w:qFormat/>
    <w:pPr>
      <w:widowControl/>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kern w:val="0"/>
      <w:sz w:val="20"/>
      <w:szCs w:val="20"/>
    </w:rPr>
  </w:style>
  <w:style w:type="paragraph" w:customStyle="1" w:styleId="xl961">
    <w:name w:val="xl961"/>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ffffffffffffffffffffffffb">
    <w:name w:val="附录表标号"/>
    <w:basedOn w:val="a6"/>
    <w:next w:val="a6"/>
    <w:qFormat/>
    <w:pPr>
      <w:spacing w:line="14" w:lineRule="exact"/>
      <w:ind w:left="811" w:hanging="448"/>
      <w:jc w:val="center"/>
      <w:outlineLvl w:val="0"/>
    </w:pPr>
    <w:rPr>
      <w:color w:val="FFFFFF"/>
      <w:w w:val="110"/>
      <w:kern w:val="0"/>
      <w:sz w:val="24"/>
    </w:rPr>
  </w:style>
  <w:style w:type="paragraph" w:customStyle="1" w:styleId="xl32">
    <w:name w:val="xl32"/>
    <w:basedOn w:val="a6"/>
    <w:qFormat/>
    <w:pPr>
      <w:widowControl/>
      <w:pBdr>
        <w:top w:val="single" w:sz="4" w:space="0" w:color="auto"/>
        <w:left w:val="double" w:sz="6" w:space="0" w:color="auto"/>
        <w:bottom w:val="single" w:sz="4" w:space="0" w:color="auto"/>
        <w:right w:val="single" w:sz="4" w:space="0" w:color="auto"/>
      </w:pBdr>
      <w:spacing w:before="100" w:after="100"/>
      <w:jc w:val="center"/>
      <w:textAlignment w:val="center"/>
    </w:pPr>
    <w:rPr>
      <w:kern w:val="0"/>
      <w:szCs w:val="20"/>
    </w:rPr>
  </w:style>
  <w:style w:type="paragraph" w:customStyle="1" w:styleId="xl1044">
    <w:name w:val="xl1044"/>
    <w:basedOn w:val="a6"/>
    <w:qFormat/>
    <w:pPr>
      <w:widowControl/>
      <w:pBdr>
        <w:left w:val="single" w:sz="4" w:space="0" w:color="auto"/>
        <w:bottom w:val="single" w:sz="4" w:space="0" w:color="auto"/>
        <w:right w:val="single" w:sz="4" w:space="0" w:color="auto"/>
      </w:pBdr>
      <w:shd w:val="clear" w:color="000000" w:fill="0070C0"/>
      <w:spacing w:before="100" w:beforeAutospacing="1" w:after="100" w:afterAutospacing="1"/>
      <w:jc w:val="center"/>
    </w:pPr>
    <w:rPr>
      <w:rFonts w:ascii="Arial" w:hAnsi="Arial" w:cs="Arial"/>
      <w:kern w:val="0"/>
      <w:sz w:val="18"/>
      <w:szCs w:val="18"/>
    </w:rPr>
  </w:style>
  <w:style w:type="paragraph" w:customStyle="1" w:styleId="CharCharChar1Char2">
    <w:name w:val="Char Char Char1 Char2"/>
    <w:basedOn w:val="a6"/>
    <w:qFormat/>
  </w:style>
  <w:style w:type="paragraph" w:customStyle="1" w:styleId="10128">
    <w:name w:val="样式 纯文本 + 黑体 小四 加粗 首行缩进:  1.01 厘米 行距: 固定值 28 磅"/>
    <w:basedOn w:val="afc"/>
    <w:qFormat/>
    <w:pPr>
      <w:widowControl/>
      <w:spacing w:after="200" w:line="560" w:lineRule="exact"/>
      <w:ind w:firstLineChars="0" w:firstLine="570"/>
      <w:jc w:val="left"/>
    </w:pPr>
    <w:rPr>
      <w:rFonts w:ascii="黑体" w:eastAsia="黑体" w:hAnsi="Times New Roman" w:cs="宋体"/>
      <w:b/>
      <w:bCs/>
      <w:color w:val="auto"/>
      <w:spacing w:val="0"/>
      <w:sz w:val="24"/>
      <w:szCs w:val="20"/>
    </w:rPr>
  </w:style>
  <w:style w:type="paragraph" w:customStyle="1" w:styleId="xl27">
    <w:name w:val="xl27"/>
    <w:basedOn w:val="a6"/>
    <w:qFormat/>
    <w:pPr>
      <w:widowControl/>
      <w:pBdr>
        <w:top w:val="single" w:sz="4" w:space="0" w:color="auto"/>
        <w:left w:val="single" w:sz="4" w:space="0" w:color="auto"/>
        <w:bottom w:val="single" w:sz="4" w:space="0" w:color="auto"/>
        <w:right w:val="single" w:sz="4" w:space="0" w:color="auto"/>
      </w:pBdr>
      <w:spacing w:before="100" w:after="100"/>
      <w:jc w:val="center"/>
      <w:textAlignment w:val="center"/>
    </w:pPr>
    <w:rPr>
      <w:kern w:val="0"/>
      <w:szCs w:val="20"/>
    </w:rPr>
  </w:style>
  <w:style w:type="paragraph" w:customStyle="1" w:styleId="font5">
    <w:name w:val="font5"/>
    <w:basedOn w:val="a6"/>
    <w:qFormat/>
    <w:pPr>
      <w:widowControl/>
      <w:spacing w:before="100" w:after="100"/>
      <w:jc w:val="left"/>
    </w:pPr>
    <w:rPr>
      <w:rFonts w:ascii="宋体" w:hAnsi="宋体" w:hint="eastAsia"/>
      <w:kern w:val="0"/>
      <w:szCs w:val="20"/>
    </w:rPr>
  </w:style>
  <w:style w:type="paragraph" w:customStyle="1" w:styleId="Bulletlevel1">
    <w:name w:val="Bullet level 1"/>
    <w:basedOn w:val="a6"/>
    <w:qFormat/>
    <w:pPr>
      <w:widowControl/>
      <w:tabs>
        <w:tab w:val="left" w:pos="1440"/>
      </w:tabs>
      <w:wordWrap w:val="0"/>
      <w:spacing w:before="120"/>
      <w:ind w:left="1440" w:hanging="360"/>
      <w:jc w:val="left"/>
    </w:pPr>
    <w:rPr>
      <w:rFonts w:ascii="Arial" w:hAnsi="Arial" w:cs="宋体"/>
      <w:kern w:val="0"/>
      <w:sz w:val="22"/>
      <w:szCs w:val="20"/>
    </w:rPr>
  </w:style>
  <w:style w:type="paragraph" w:customStyle="1" w:styleId="reader-word-layerreader-word-s1-1">
    <w:name w:val="reader-word-layer reader-word-s1-1"/>
    <w:basedOn w:val="a6"/>
    <w:qFormat/>
    <w:pPr>
      <w:widowControl/>
      <w:spacing w:before="100" w:beforeAutospacing="1" w:after="100" w:afterAutospacing="1"/>
      <w:jc w:val="left"/>
    </w:pPr>
    <w:rPr>
      <w:rFonts w:ascii="宋体" w:hAnsi="宋体" w:cs="宋体"/>
      <w:kern w:val="0"/>
      <w:sz w:val="24"/>
    </w:rPr>
  </w:style>
  <w:style w:type="paragraph" w:customStyle="1" w:styleId="affffffffffffffffffffffffffc">
    <w:name w:val="悬挂式正文"/>
    <w:basedOn w:val="a6"/>
    <w:qFormat/>
    <w:pPr>
      <w:tabs>
        <w:tab w:val="left" w:pos="1134"/>
        <w:tab w:val="right" w:pos="7371"/>
      </w:tabs>
      <w:overflowPunct w:val="0"/>
      <w:adjustRightInd w:val="0"/>
      <w:spacing w:line="360" w:lineRule="auto"/>
      <w:ind w:left="1701" w:hanging="1134"/>
      <w:textAlignment w:val="baseline"/>
    </w:pPr>
    <w:rPr>
      <w:kern w:val="0"/>
      <w:sz w:val="28"/>
      <w:szCs w:val="20"/>
    </w:rPr>
  </w:style>
  <w:style w:type="paragraph" w:customStyle="1" w:styleId="Bulletlevel2">
    <w:name w:val="Bullet level 2"/>
    <w:basedOn w:val="a6"/>
    <w:qFormat/>
    <w:pPr>
      <w:widowControl/>
      <w:tabs>
        <w:tab w:val="left" w:pos="420"/>
      </w:tabs>
      <w:ind w:left="420" w:hanging="420"/>
      <w:jc w:val="left"/>
    </w:pPr>
    <w:rPr>
      <w:rFonts w:ascii="Arial" w:hAnsi="Arial" w:cs="宋体"/>
      <w:kern w:val="0"/>
      <w:sz w:val="22"/>
      <w:szCs w:val="20"/>
    </w:rPr>
  </w:style>
  <w:style w:type="paragraph" w:customStyle="1" w:styleId="affffffffffffffffffffffffffd">
    <w:name w:val="标准段落"/>
    <w:basedOn w:val="a6"/>
    <w:next w:val="a6"/>
    <w:qFormat/>
    <w:pPr>
      <w:spacing w:line="500" w:lineRule="exact"/>
      <w:ind w:firstLineChars="200" w:firstLine="560"/>
    </w:pPr>
    <w:rPr>
      <w:rFonts w:hAnsi="宋体"/>
      <w:sz w:val="28"/>
      <w:szCs w:val="28"/>
    </w:rPr>
  </w:style>
  <w:style w:type="paragraph" w:customStyle="1" w:styleId="2ffffc">
    <w:name w:val="標準インデント　2"/>
    <w:basedOn w:val="af0"/>
    <w:qFormat/>
    <w:pPr>
      <w:overflowPunct w:val="0"/>
      <w:autoSpaceDE w:val="0"/>
      <w:autoSpaceDN w:val="0"/>
      <w:spacing w:line="240" w:lineRule="auto"/>
      <w:ind w:left="2900" w:hanging="2038"/>
    </w:pPr>
    <w:rPr>
      <w:rFonts w:ascii="Times New Roman" w:eastAsia="MS Mincho" w:hAnsi="Times New Roman"/>
      <w:sz w:val="20"/>
      <w:szCs w:val="20"/>
      <w:lang w:eastAsia="ja-JP"/>
    </w:rPr>
  </w:style>
  <w:style w:type="paragraph" w:customStyle="1" w:styleId="word">
    <w:name w:val="word"/>
    <w:basedOn w:val="a6"/>
    <w:qFormat/>
    <w:pPr>
      <w:spacing w:beforeLines="50" w:line="360" w:lineRule="auto"/>
      <w:ind w:firstLineChars="200" w:firstLine="480"/>
    </w:pPr>
    <w:rPr>
      <w:rFonts w:ascii="宋体" w:hAnsi="宋体"/>
      <w:color w:val="0000FF"/>
      <w:sz w:val="24"/>
    </w:rPr>
  </w:style>
  <w:style w:type="paragraph" w:customStyle="1" w:styleId="5fe">
    <w:name w:val="文本框5号两端齐"/>
    <w:basedOn w:val="a6"/>
    <w:qFormat/>
    <w:pPr>
      <w:widowControl/>
    </w:pPr>
    <w:rPr>
      <w:rFonts w:eastAsia="仿宋_GB2312"/>
      <w:szCs w:val="21"/>
    </w:rPr>
  </w:style>
  <w:style w:type="paragraph" w:customStyle="1" w:styleId="affffffffffffffffffffffffffe">
    <w:name w:val="表第一列"/>
    <w:basedOn w:val="affc"/>
    <w:qFormat/>
    <w:pPr>
      <w:keepNext/>
      <w:keepLines/>
      <w:tabs>
        <w:tab w:val="left" w:pos="1727"/>
        <w:tab w:val="left" w:pos="1884"/>
        <w:tab w:val="left" w:pos="2940"/>
      </w:tabs>
      <w:spacing w:line="0" w:lineRule="atLeast"/>
      <w:ind w:firstLine="0"/>
      <w:jc w:val="center"/>
    </w:pPr>
    <w:rPr>
      <w:bCs w:val="0"/>
      <w:color w:val="000000"/>
      <w:spacing w:val="0"/>
      <w:kern w:val="2"/>
      <w:sz w:val="21"/>
      <w:szCs w:val="21"/>
    </w:rPr>
  </w:style>
  <w:style w:type="paragraph" w:customStyle="1" w:styleId="Bullet3">
    <w:name w:val="Bullet 3"/>
    <w:basedOn w:val="a6"/>
    <w:next w:val="a6"/>
    <w:qFormat/>
    <w:pPr>
      <w:widowControl/>
      <w:tabs>
        <w:tab w:val="left" w:pos="900"/>
        <w:tab w:val="left" w:pos="1440"/>
      </w:tabs>
      <w:ind w:left="3600" w:hanging="420"/>
      <w:jc w:val="left"/>
    </w:pPr>
    <w:rPr>
      <w:rFonts w:ascii="Arial" w:hAnsi="Arial" w:cs="宋体"/>
      <w:kern w:val="0"/>
      <w:sz w:val="22"/>
      <w:szCs w:val="20"/>
      <w:lang w:eastAsia="en-US"/>
    </w:rPr>
  </w:style>
  <w:style w:type="paragraph" w:customStyle="1" w:styleId="afffffffffffffffffffffffffff">
    <w:name w:val="麦志勤标题五"/>
    <w:basedOn w:val="a6"/>
    <w:qFormat/>
    <w:pPr>
      <w:adjustRightInd w:val="0"/>
      <w:snapToGrid w:val="0"/>
      <w:spacing w:beforeLines="50" w:line="300" w:lineRule="auto"/>
      <w:ind w:firstLineChars="200" w:firstLine="560"/>
    </w:pPr>
    <w:rPr>
      <w:rFonts w:ascii="黑体" w:eastAsia="黑体"/>
      <w:bCs/>
      <w:sz w:val="28"/>
    </w:rPr>
  </w:style>
  <w:style w:type="paragraph" w:customStyle="1" w:styleId="afffffffffffffffffffffffffff0">
    <w:name w:val="中石油正文"/>
    <w:basedOn w:val="a6"/>
    <w:qFormat/>
    <w:pPr>
      <w:spacing w:line="560" w:lineRule="exact"/>
      <w:ind w:firstLineChars="200" w:firstLine="480"/>
    </w:pPr>
    <w:rPr>
      <w:rFonts w:ascii="宋体" w:hAnsi="宋体"/>
      <w:sz w:val="24"/>
    </w:rPr>
  </w:style>
  <w:style w:type="paragraph" w:customStyle="1" w:styleId="heading">
    <w:name w:val="heading"/>
    <w:basedOn w:val="a6"/>
    <w:next w:val="a6"/>
    <w:qFormat/>
    <w:pPr>
      <w:keepNext/>
      <w:keepLines/>
      <w:spacing w:line="360" w:lineRule="auto"/>
      <w:outlineLvl w:val="1"/>
    </w:pPr>
    <w:rPr>
      <w:rFonts w:ascii="宋体" w:hAnsi="Arial Black" w:cs="宋体"/>
      <w:sz w:val="24"/>
    </w:rPr>
  </w:style>
  <w:style w:type="paragraph" w:customStyle="1" w:styleId="Bullet4">
    <w:name w:val="Bullet 4"/>
    <w:basedOn w:val="a6"/>
    <w:next w:val="a6"/>
    <w:qFormat/>
    <w:pPr>
      <w:widowControl/>
      <w:tabs>
        <w:tab w:val="left" w:pos="360"/>
        <w:tab w:val="left" w:pos="1440"/>
      </w:tabs>
      <w:ind w:left="4320" w:hanging="360"/>
      <w:jc w:val="left"/>
    </w:pPr>
    <w:rPr>
      <w:rFonts w:ascii="Arial" w:hAnsi="Arial" w:cs="宋体"/>
      <w:kern w:val="0"/>
      <w:sz w:val="22"/>
      <w:szCs w:val="20"/>
      <w:lang w:eastAsia="en-US"/>
    </w:rPr>
  </w:style>
  <w:style w:type="paragraph" w:customStyle="1" w:styleId="wxd">
    <w:name w:val="wxd正文"/>
    <w:basedOn w:val="a6"/>
    <w:qFormat/>
    <w:pPr>
      <w:adjustRightInd w:val="0"/>
      <w:snapToGrid w:val="0"/>
      <w:spacing w:line="360" w:lineRule="auto"/>
      <w:ind w:firstLineChars="200" w:firstLine="200"/>
    </w:pPr>
    <w:rPr>
      <w:kern w:val="0"/>
      <w:sz w:val="24"/>
      <w:szCs w:val="28"/>
    </w:rPr>
  </w:style>
  <w:style w:type="paragraph" w:customStyle="1" w:styleId="CharCharCharCharCharCharCharCharCharCharCharCharCharCharCharCharCharCharCharCharCharCharCharChar3">
    <w:name w:val="Char Char Char Char Char Char Char Char Char Char Char Char Char Char Char Char Char Char Char Char Char Char Char Char3"/>
    <w:basedOn w:val="a6"/>
    <w:qFormat/>
  </w:style>
  <w:style w:type="paragraph" w:customStyle="1" w:styleId="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w:basedOn w:val="a6"/>
    <w:qFormat/>
    <w:rPr>
      <w:color w:val="000000"/>
      <w:w w:val="110"/>
      <w:kern w:val="0"/>
      <w:sz w:val="24"/>
      <w:szCs w:val="20"/>
    </w:rPr>
  </w:style>
  <w:style w:type="paragraph" w:customStyle="1" w:styleId="229">
    <w:name w:val="样式 样式 首行缩进:  2 字符 + 首行缩进:  2 字符"/>
    <w:basedOn w:val="a6"/>
    <w:qFormat/>
    <w:pPr>
      <w:ind w:firstLineChars="200" w:firstLine="587"/>
    </w:pPr>
    <w:rPr>
      <w:rFonts w:ascii="宋体"/>
      <w:kern w:val="0"/>
      <w:sz w:val="27"/>
      <w:szCs w:val="20"/>
    </w:rPr>
  </w:style>
  <w:style w:type="paragraph" w:customStyle="1" w:styleId="afffffffffffffffffffffffffff1">
    <w:name w:val="图表头"/>
    <w:basedOn w:val="a6"/>
    <w:qFormat/>
    <w:pPr>
      <w:spacing w:beforeLines="50" w:afterLines="25"/>
      <w:jc w:val="center"/>
    </w:pPr>
    <w:rPr>
      <w:rFonts w:eastAsia="黑体"/>
      <w:color w:val="000000"/>
      <w:szCs w:val="21"/>
    </w:rPr>
  </w:style>
  <w:style w:type="paragraph" w:customStyle="1" w:styleId="Technical5">
    <w:name w:val="Technical 5"/>
    <w:qFormat/>
    <w:pPr>
      <w:tabs>
        <w:tab w:val="left" w:pos="-720"/>
      </w:tabs>
      <w:suppressAutoHyphens/>
      <w:ind w:firstLine="720"/>
    </w:pPr>
    <w:rPr>
      <w:rFonts w:ascii="Courier" w:hAnsi="Courier"/>
      <w:b/>
      <w:sz w:val="24"/>
      <w:lang w:eastAsia="en-US"/>
    </w:rPr>
  </w:style>
  <w:style w:type="paragraph" w:customStyle="1" w:styleId="xl65">
    <w:name w:val="xl65"/>
    <w:basedOn w:val="a6"/>
    <w:qFormat/>
    <w:pPr>
      <w:widowControl/>
      <w:pBdr>
        <w:left w:val="single" w:sz="8" w:space="0" w:color="auto"/>
        <w:right w:val="single" w:sz="4" w:space="0" w:color="auto"/>
      </w:pBdr>
      <w:spacing w:before="100" w:beforeAutospacing="1" w:after="100" w:afterAutospacing="1"/>
      <w:jc w:val="center"/>
      <w:textAlignment w:val="center"/>
    </w:pPr>
    <w:rPr>
      <w:rFonts w:ascii="宋体" w:eastAsia="Arial Unicode MS"/>
      <w:kern w:val="0"/>
      <w:sz w:val="20"/>
      <w:szCs w:val="20"/>
    </w:rPr>
  </w:style>
  <w:style w:type="paragraph" w:customStyle="1" w:styleId="350">
    <w:name w:val="3 5"/>
    <w:qFormat/>
    <w:pPr>
      <w:tabs>
        <w:tab w:val="left" w:pos="-720"/>
        <w:tab w:val="left" w:pos="0"/>
        <w:tab w:val="left" w:pos="720"/>
        <w:tab w:val="left" w:pos="1440"/>
        <w:tab w:val="left" w:pos="2160"/>
        <w:tab w:val="left" w:pos="2880"/>
        <w:tab w:val="decimal" w:pos="3600"/>
      </w:tabs>
      <w:suppressAutoHyphens/>
      <w:ind w:firstLine="3600"/>
    </w:pPr>
    <w:rPr>
      <w:rFonts w:ascii="Courier" w:hAnsi="Courier"/>
      <w:sz w:val="24"/>
      <w:lang w:eastAsia="en-US"/>
    </w:rPr>
  </w:style>
  <w:style w:type="paragraph" w:customStyle="1" w:styleId="dan6-16">
    <w:name w:val="dan6-16正文"/>
    <w:basedOn w:val="a6"/>
    <w:qFormat/>
    <w:pPr>
      <w:spacing w:before="40" w:after="40" w:line="360" w:lineRule="auto"/>
      <w:ind w:firstLineChars="200" w:firstLine="200"/>
    </w:pPr>
    <w:rPr>
      <w:rFonts w:ascii="宋体"/>
      <w:kern w:val="0"/>
      <w:sz w:val="24"/>
      <w:szCs w:val="20"/>
    </w:rPr>
  </w:style>
  <w:style w:type="paragraph" w:customStyle="1" w:styleId="360">
    <w:name w:val="3 6"/>
    <w:qFormat/>
    <w:pPr>
      <w:tabs>
        <w:tab w:val="left" w:pos="-720"/>
        <w:tab w:val="left" w:pos="0"/>
        <w:tab w:val="left" w:pos="720"/>
        <w:tab w:val="left" w:pos="1440"/>
        <w:tab w:val="left" w:pos="2160"/>
        <w:tab w:val="left" w:pos="2880"/>
        <w:tab w:val="left" w:pos="3600"/>
        <w:tab w:val="decimal" w:pos="4320"/>
      </w:tabs>
      <w:suppressAutoHyphens/>
      <w:ind w:firstLine="4320"/>
    </w:pPr>
    <w:rPr>
      <w:rFonts w:ascii="Courier" w:hAnsi="Courier"/>
      <w:sz w:val="24"/>
      <w:lang w:eastAsia="en-US"/>
    </w:rPr>
  </w:style>
  <w:style w:type="paragraph" w:customStyle="1" w:styleId="CharChar1Char3">
    <w:name w:val="Char Char1 Char3"/>
    <w:basedOn w:val="a6"/>
    <w:qFormat/>
  </w:style>
  <w:style w:type="paragraph" w:customStyle="1" w:styleId="146">
    <w:name w:val="14"/>
    <w:basedOn w:val="a6"/>
    <w:next w:val="afc"/>
    <w:qFormat/>
    <w:rPr>
      <w:rFonts w:ascii="宋体" w:hAnsi="Courier New"/>
      <w:szCs w:val="20"/>
    </w:rPr>
  </w:style>
  <w:style w:type="paragraph" w:customStyle="1" w:styleId="CM2">
    <w:name w:val="CM2"/>
    <w:basedOn w:val="a6"/>
    <w:next w:val="a6"/>
    <w:qFormat/>
    <w:pPr>
      <w:autoSpaceDE w:val="0"/>
      <w:autoSpaceDN w:val="0"/>
      <w:adjustRightInd w:val="0"/>
      <w:spacing w:line="468" w:lineRule="atLeast"/>
      <w:jc w:val="left"/>
    </w:pPr>
    <w:rPr>
      <w:rFonts w:ascii="宋体"/>
      <w:kern w:val="0"/>
      <w:sz w:val="24"/>
    </w:rPr>
  </w:style>
  <w:style w:type="paragraph" w:customStyle="1" w:styleId="afffffffffffffffffffffffffff2">
    <w:name w:val="初设正文"/>
    <w:basedOn w:val="a6"/>
    <w:qFormat/>
    <w:pPr>
      <w:spacing w:after="120" w:line="440" w:lineRule="exact"/>
      <w:ind w:left="425" w:firstLine="425"/>
    </w:pPr>
    <w:rPr>
      <w:rFonts w:ascii="Arial" w:hAnsi="Arial"/>
      <w:kern w:val="0"/>
      <w:sz w:val="24"/>
      <w:szCs w:val="20"/>
    </w:rPr>
  </w:style>
  <w:style w:type="paragraph" w:customStyle="1" w:styleId="Char2f9">
    <w:name w:val="Char2"/>
    <w:basedOn w:val="a6"/>
    <w:qFormat/>
    <w:rPr>
      <w:color w:val="000000"/>
      <w:w w:val="110"/>
      <w:kern w:val="0"/>
      <w:sz w:val="24"/>
    </w:rPr>
  </w:style>
  <w:style w:type="paragraph" w:customStyle="1" w:styleId="xl56">
    <w:name w:val="xl56"/>
    <w:basedOn w:val="a6"/>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Arial Unicode MS"/>
      <w:b/>
      <w:bCs/>
      <w:kern w:val="0"/>
      <w:sz w:val="24"/>
    </w:rPr>
  </w:style>
  <w:style w:type="paragraph" w:customStyle="1" w:styleId="afffffffffffffffffffffffffff3">
    <w:name w:val="二级无标题条"/>
    <w:basedOn w:val="a6"/>
    <w:qFormat/>
  </w:style>
  <w:style w:type="paragraph" w:customStyle="1" w:styleId="xl95">
    <w:name w:val="xl95"/>
    <w:basedOn w:val="a6"/>
    <w:qFormat/>
    <w:pPr>
      <w:widowControl/>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kern w:val="0"/>
      <w:sz w:val="20"/>
      <w:szCs w:val="20"/>
    </w:rPr>
  </w:style>
  <w:style w:type="paragraph" w:customStyle="1" w:styleId="Char410">
    <w:name w:val="Char41"/>
    <w:basedOn w:val="a6"/>
    <w:qFormat/>
  </w:style>
  <w:style w:type="paragraph" w:customStyle="1" w:styleId="zhwb3">
    <w:name w:val="zhwb3"/>
    <w:basedOn w:val="a6"/>
    <w:next w:val="af0"/>
    <w:qFormat/>
    <w:pPr>
      <w:tabs>
        <w:tab w:val="left" w:pos="360"/>
        <w:tab w:val="left" w:pos="1080"/>
      </w:tabs>
      <w:spacing w:line="360" w:lineRule="auto"/>
      <w:ind w:left="720" w:hanging="720"/>
    </w:pPr>
    <w:rPr>
      <w:color w:val="0000FF"/>
      <w:sz w:val="28"/>
      <w:szCs w:val="20"/>
    </w:rPr>
  </w:style>
  <w:style w:type="paragraph" w:customStyle="1" w:styleId="couv">
    <w:name w:val="couv"/>
    <w:basedOn w:val="a6"/>
    <w:qFormat/>
    <w:pPr>
      <w:widowControl/>
      <w:spacing w:before="120" w:after="120"/>
      <w:ind w:firstLineChars="200" w:firstLine="200"/>
      <w:jc w:val="center"/>
    </w:pPr>
    <w:rPr>
      <w:b/>
      <w:kern w:val="0"/>
      <w:sz w:val="40"/>
      <w:szCs w:val="20"/>
      <w:lang w:val="en-GB"/>
    </w:rPr>
  </w:style>
  <w:style w:type="paragraph" w:customStyle="1" w:styleId="251">
    <w:name w:val="样式 四号 加粗 左 行距: 固定值 25 磅"/>
    <w:basedOn w:val="33"/>
    <w:qFormat/>
    <w:pPr>
      <w:adjustRightInd w:val="0"/>
      <w:spacing w:before="260" w:after="260" w:line="400" w:lineRule="exact"/>
      <w:ind w:firstLineChars="64" w:firstLine="180"/>
      <w:jc w:val="left"/>
    </w:pPr>
    <w:rPr>
      <w:rFonts w:ascii="仿宋_GB2312" w:eastAsia="仿宋_GB2312" w:cs="宋体"/>
      <w:b/>
      <w:bCs/>
      <w:spacing w:val="0"/>
      <w:szCs w:val="20"/>
      <w:lang w:val="zh-CN"/>
    </w:rPr>
  </w:style>
  <w:style w:type="paragraph" w:customStyle="1" w:styleId="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w:basedOn w:val="a6"/>
    <w:qFormat/>
    <w:rPr>
      <w:rFonts w:ascii="宋体"/>
      <w:kern w:val="0"/>
      <w:sz w:val="24"/>
      <w:szCs w:val="20"/>
    </w:rPr>
  </w:style>
  <w:style w:type="paragraph" w:customStyle="1" w:styleId="CharCharChar40">
    <w:name w:val="Char Char Char4"/>
    <w:basedOn w:val="a6"/>
    <w:qFormat/>
  </w:style>
  <w:style w:type="paragraph" w:customStyle="1" w:styleId="afffffffffffffffffffffffffff4">
    <w:name w:val="样式 日期 + 黑体"/>
    <w:basedOn w:val="afd"/>
    <w:qFormat/>
    <w:pPr>
      <w:spacing w:line="500" w:lineRule="exact"/>
    </w:pPr>
    <w:rPr>
      <w:rFonts w:ascii="黑体" w:eastAsia="黑体" w:hAnsi="黑体"/>
      <w:b/>
      <w:spacing w:val="40"/>
      <w:kern w:val="0"/>
      <w:sz w:val="30"/>
      <w:szCs w:val="30"/>
    </w:rPr>
  </w:style>
  <w:style w:type="paragraph" w:customStyle="1" w:styleId="xl981">
    <w:name w:val="xl981"/>
    <w:basedOn w:val="a6"/>
    <w:qFormat/>
    <w:pPr>
      <w:widowControl/>
      <w:pBdr>
        <w:top w:val="single" w:sz="4" w:space="0" w:color="auto"/>
        <w:bottom w:val="single" w:sz="4" w:space="0" w:color="auto"/>
      </w:pBdr>
      <w:spacing w:before="100" w:beforeAutospacing="1" w:after="100" w:afterAutospacing="1"/>
      <w:jc w:val="center"/>
    </w:pPr>
    <w:rPr>
      <w:rFonts w:ascii="宋体" w:hAnsi="宋体" w:cs="宋体"/>
      <w:kern w:val="0"/>
      <w:sz w:val="20"/>
      <w:szCs w:val="20"/>
    </w:rPr>
  </w:style>
  <w:style w:type="paragraph" w:customStyle="1" w:styleId="xl107">
    <w:name w:val="xl107"/>
    <w:basedOn w:val="a6"/>
    <w:qFormat/>
    <w:pPr>
      <w:widowControl/>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kern w:val="0"/>
      <w:sz w:val="18"/>
      <w:szCs w:val="18"/>
    </w:rPr>
  </w:style>
  <w:style w:type="paragraph" w:customStyle="1" w:styleId="xl33">
    <w:name w:val="xl33"/>
    <w:basedOn w:val="a6"/>
    <w:qFormat/>
    <w:pPr>
      <w:widowControl/>
      <w:pBdr>
        <w:top w:val="single" w:sz="4" w:space="0" w:color="auto"/>
        <w:left w:val="single" w:sz="4" w:space="0" w:color="auto"/>
        <w:bottom w:val="single" w:sz="4" w:space="0" w:color="auto"/>
        <w:right w:val="single" w:sz="4" w:space="0" w:color="auto"/>
      </w:pBdr>
      <w:spacing w:before="100" w:after="100"/>
      <w:textAlignment w:val="center"/>
    </w:pPr>
    <w:rPr>
      <w:kern w:val="0"/>
      <w:szCs w:val="20"/>
    </w:rPr>
  </w:style>
  <w:style w:type="paragraph" w:customStyle="1" w:styleId="2ffffd">
    <w:name w:val="正文首行缩进2"/>
    <w:basedOn w:val="a6"/>
    <w:qFormat/>
    <w:pPr>
      <w:spacing w:line="540" w:lineRule="exact"/>
      <w:ind w:firstLine="567"/>
    </w:pPr>
    <w:rPr>
      <w:sz w:val="28"/>
      <w:szCs w:val="28"/>
    </w:rPr>
  </w:style>
  <w:style w:type="paragraph" w:customStyle="1" w:styleId="3221GB2312">
    <w:name w:val="样式 样式 样式 样式 样式 标题 3 + 首行缩进:  2 字符 + 首行缩进:  2 字符1 + 仿宋_GB2312 行距:..."/>
    <w:basedOn w:val="a6"/>
    <w:qFormat/>
    <w:pPr>
      <w:keepNext/>
      <w:keepLines/>
      <w:spacing w:before="120" w:afterLines="50" w:line="440" w:lineRule="exact"/>
      <w:ind w:firstLineChars="200" w:firstLine="200"/>
      <w:jc w:val="left"/>
      <w:outlineLvl w:val="2"/>
    </w:pPr>
    <w:rPr>
      <w:rFonts w:eastAsia="黑体"/>
      <w:spacing w:val="6"/>
      <w:sz w:val="28"/>
      <w:szCs w:val="20"/>
    </w:rPr>
  </w:style>
  <w:style w:type="paragraph" w:customStyle="1" w:styleId="reader-word-layerreader-word-s1-20">
    <w:name w:val="reader-word-layer reader-word-s1-20"/>
    <w:basedOn w:val="a6"/>
    <w:qFormat/>
    <w:pPr>
      <w:widowControl/>
      <w:spacing w:before="100" w:beforeAutospacing="1" w:after="100" w:afterAutospacing="1"/>
      <w:jc w:val="left"/>
    </w:pPr>
    <w:rPr>
      <w:rFonts w:ascii="宋体" w:hAnsi="宋体" w:cs="宋体"/>
      <w:kern w:val="0"/>
      <w:sz w:val="24"/>
    </w:rPr>
  </w:style>
  <w:style w:type="paragraph" w:customStyle="1" w:styleId="afffffffffffffffffffffffffff5">
    <w:name w:val="领结"/>
    <w:basedOn w:val="a6"/>
    <w:qFormat/>
    <w:pPr>
      <w:widowControl/>
      <w:jc w:val="center"/>
    </w:pPr>
    <w:rPr>
      <w:rFonts w:ascii="宋体" w:hAnsi="宋体"/>
      <w:kern w:val="0"/>
      <w:szCs w:val="20"/>
    </w:rPr>
  </w:style>
  <w:style w:type="paragraph" w:customStyle="1" w:styleId="66-00">
    <w:name w:val="标题66-正文00"/>
    <w:basedOn w:val="a6"/>
    <w:qFormat/>
    <w:pPr>
      <w:spacing w:line="360" w:lineRule="auto"/>
      <w:ind w:firstLineChars="200" w:firstLine="200"/>
    </w:pPr>
    <w:rPr>
      <w:sz w:val="24"/>
      <w:szCs w:val="32"/>
    </w:rPr>
  </w:style>
  <w:style w:type="paragraph" w:customStyle="1" w:styleId="CharCharCharCharCharChar3">
    <w:name w:val="Char Char Char Char Char Char"/>
    <w:basedOn w:val="a6"/>
    <w:qFormat/>
    <w:rPr>
      <w:color w:val="000000"/>
      <w:w w:val="110"/>
      <w:kern w:val="0"/>
      <w:sz w:val="24"/>
    </w:rPr>
  </w:style>
  <w:style w:type="paragraph" w:customStyle="1" w:styleId="22a">
    <w:name w:val="样式 样式 正文首行缩进 2 + (符号) 宋体 + (符号) 宋体 + (符号) 宋体 首行缩进:  2 字符"/>
    <w:basedOn w:val="2f8"/>
    <w:qFormat/>
    <w:pPr>
      <w:spacing w:line="480" w:lineRule="auto"/>
      <w:ind w:firstLine="464"/>
    </w:pPr>
    <w:rPr>
      <w:rFonts w:ascii="宋体" w:hAnsi="宋体" w:cs="宋体"/>
      <w:color w:val="auto"/>
      <w:spacing w:val="-4"/>
      <w:w w:val="100"/>
    </w:rPr>
  </w:style>
  <w:style w:type="paragraph" w:customStyle="1" w:styleId="afffffffffffffffffffffffffff6">
    <w:name w:val="样式 四号 左"/>
    <w:basedOn w:val="a6"/>
    <w:qFormat/>
    <w:pPr>
      <w:ind w:firstLineChars="200" w:firstLine="480"/>
    </w:pPr>
    <w:rPr>
      <w:rFonts w:cs="宋体"/>
      <w:sz w:val="24"/>
    </w:rPr>
  </w:style>
  <w:style w:type="paragraph" w:customStyle="1" w:styleId="reader-word-layerreader-word-s1-16">
    <w:name w:val="reader-word-layer reader-word-s1-16"/>
    <w:basedOn w:val="a6"/>
    <w:qFormat/>
    <w:pPr>
      <w:widowControl/>
      <w:spacing w:before="100" w:beforeAutospacing="1" w:after="100" w:afterAutospacing="1"/>
      <w:jc w:val="left"/>
    </w:pPr>
    <w:rPr>
      <w:rFonts w:ascii="宋体" w:hAnsi="宋体" w:cs="宋体"/>
      <w:kern w:val="0"/>
      <w:sz w:val="24"/>
    </w:rPr>
  </w:style>
  <w:style w:type="paragraph" w:customStyle="1" w:styleId="3ffc">
    <w:name w:val="3级"/>
    <w:basedOn w:val="a6"/>
    <w:qFormat/>
    <w:pPr>
      <w:spacing w:beforeLines="50" w:afterLines="50" w:line="360" w:lineRule="auto"/>
      <w:outlineLvl w:val="2"/>
    </w:pPr>
    <w:rPr>
      <w:rFonts w:ascii="黑体" w:eastAsia="黑体" w:hAnsi="宋体" w:cs="宋体"/>
      <w:b/>
      <w:bCs/>
      <w:sz w:val="24"/>
      <w:szCs w:val="20"/>
    </w:rPr>
  </w:style>
  <w:style w:type="paragraph" w:customStyle="1" w:styleId="reader-word-layerreader-word-s3-5">
    <w:name w:val="reader-word-layer reader-word-s3-5"/>
    <w:basedOn w:val="a6"/>
    <w:qFormat/>
    <w:pPr>
      <w:widowControl/>
      <w:spacing w:before="100" w:beforeAutospacing="1" w:after="100" w:afterAutospacing="1"/>
      <w:jc w:val="left"/>
    </w:pPr>
    <w:rPr>
      <w:rFonts w:ascii="宋体" w:hAnsi="宋体" w:cs="宋体"/>
      <w:kern w:val="0"/>
      <w:sz w:val="24"/>
    </w:rPr>
  </w:style>
  <w:style w:type="paragraph" w:customStyle="1" w:styleId="2ffffe">
    <w:name w:val="样式 宋体 四号 首行缩进:  2 字符"/>
    <w:basedOn w:val="a6"/>
    <w:qFormat/>
    <w:pPr>
      <w:spacing w:line="240" w:lineRule="exact"/>
    </w:pPr>
    <w:rPr>
      <w:color w:val="000000"/>
      <w:sz w:val="18"/>
      <w:szCs w:val="20"/>
    </w:rPr>
  </w:style>
  <w:style w:type="paragraph" w:customStyle="1" w:styleId="hb405052">
    <w:name w:val="样式 hb4 + 段前: 0.5 行 段后: 0.5 行2"/>
    <w:basedOn w:val="hb4CharCharCharCharChar"/>
    <w:qFormat/>
  </w:style>
  <w:style w:type="paragraph" w:customStyle="1" w:styleId="11f1">
    <w:name w:val="样式 标题 1副标题 1一、 + 小三"/>
    <w:basedOn w:val="12"/>
    <w:qFormat/>
    <w:pPr>
      <w:tabs>
        <w:tab w:val="left" w:pos="2629"/>
      </w:tabs>
      <w:spacing w:beforeLines="100" w:before="0" w:after="50" w:line="560" w:lineRule="exact"/>
    </w:pPr>
    <w:rPr>
      <w:rFonts w:cs="Arial"/>
      <w:bCs w:val="0"/>
      <w:kern w:val="0"/>
      <w:sz w:val="32"/>
      <w:szCs w:val="32"/>
    </w:rPr>
  </w:style>
  <w:style w:type="paragraph" w:customStyle="1" w:styleId="ParaAttribute14">
    <w:name w:val="ParaAttribute14"/>
    <w:qFormat/>
    <w:pPr>
      <w:widowControl w:val="0"/>
      <w:wordWrap w:val="0"/>
      <w:spacing w:line="268" w:lineRule="exact"/>
    </w:pPr>
  </w:style>
  <w:style w:type="paragraph" w:customStyle="1" w:styleId="afffffffffffffffffffffffffff7">
    <w:name w:val="小节标题"/>
    <w:basedOn w:val="a6"/>
    <w:next w:val="a6"/>
    <w:qFormat/>
    <w:pPr>
      <w:widowControl/>
      <w:spacing w:before="175" w:after="102" w:line="782" w:lineRule="atLeast"/>
      <w:textAlignment w:val="baseline"/>
    </w:pPr>
    <w:rPr>
      <w:rFonts w:eastAsia="黑体"/>
      <w:color w:val="000000"/>
      <w:w w:val="110"/>
      <w:kern w:val="0"/>
      <w:sz w:val="24"/>
      <w:szCs w:val="20"/>
      <w:u w:color="000000"/>
    </w:rPr>
  </w:style>
  <w:style w:type="paragraph" w:customStyle="1" w:styleId="007">
    <w:name w:val="样式 居中 左侧:  0 厘米 首行缩进:  0 厘米"/>
    <w:basedOn w:val="a6"/>
    <w:qFormat/>
    <w:pPr>
      <w:jc w:val="center"/>
    </w:pPr>
    <w:rPr>
      <w:rFonts w:eastAsia="Times New Roman"/>
      <w:color w:val="000000"/>
      <w:spacing w:val="20"/>
      <w:w w:val="110"/>
      <w:kern w:val="0"/>
      <w:sz w:val="24"/>
      <w:szCs w:val="20"/>
    </w:rPr>
  </w:style>
  <w:style w:type="paragraph" w:customStyle="1" w:styleId="reader-word-layerreader-word-s1-25">
    <w:name w:val="reader-word-layer reader-word-s1-25"/>
    <w:basedOn w:val="a6"/>
    <w:qFormat/>
    <w:pPr>
      <w:widowControl/>
      <w:spacing w:before="100" w:beforeAutospacing="1" w:after="100" w:afterAutospacing="1"/>
      <w:jc w:val="left"/>
    </w:pPr>
    <w:rPr>
      <w:rFonts w:ascii="宋体" w:hAnsi="宋体" w:cs="宋体"/>
      <w:kern w:val="0"/>
      <w:sz w:val="24"/>
    </w:rPr>
  </w:style>
  <w:style w:type="paragraph" w:customStyle="1" w:styleId="11f2">
    <w:name w:val="日期11"/>
    <w:basedOn w:val="a6"/>
    <w:next w:val="a6"/>
    <w:qFormat/>
    <w:pPr>
      <w:adjustRightInd w:val="0"/>
      <w:spacing w:line="360" w:lineRule="atLeast"/>
    </w:pPr>
    <w:rPr>
      <w:rFonts w:ascii="宋体"/>
      <w:kern w:val="0"/>
      <w:sz w:val="28"/>
      <w:szCs w:val="20"/>
    </w:rPr>
  </w:style>
  <w:style w:type="paragraph" w:customStyle="1" w:styleId="afffffffffffffffffffffffffff8">
    <w:name w:val="表格名和图名"/>
    <w:basedOn w:val="a6"/>
    <w:qFormat/>
    <w:pPr>
      <w:spacing w:line="360" w:lineRule="auto"/>
      <w:jc w:val="center"/>
    </w:pPr>
    <w:rPr>
      <w:color w:val="000000"/>
      <w:sz w:val="24"/>
    </w:rPr>
  </w:style>
  <w:style w:type="paragraph" w:customStyle="1" w:styleId="font16">
    <w:name w:val="font16"/>
    <w:basedOn w:val="a6"/>
    <w:qFormat/>
    <w:pPr>
      <w:widowControl/>
      <w:spacing w:before="100" w:beforeAutospacing="1" w:after="100" w:afterAutospacing="1"/>
      <w:jc w:val="left"/>
    </w:pPr>
    <w:rPr>
      <w:kern w:val="0"/>
      <w:sz w:val="22"/>
      <w:szCs w:val="22"/>
    </w:rPr>
  </w:style>
  <w:style w:type="paragraph" w:customStyle="1" w:styleId="afffffffffffffffffffffffffff9">
    <w:name w:val="标题二"/>
    <w:basedOn w:val="a6"/>
    <w:qFormat/>
    <w:pPr>
      <w:spacing w:line="480" w:lineRule="exact"/>
    </w:pPr>
    <w:rPr>
      <w:rFonts w:eastAsia="黑体"/>
      <w:b/>
      <w:sz w:val="28"/>
      <w:szCs w:val="20"/>
    </w:rPr>
  </w:style>
  <w:style w:type="paragraph" w:customStyle="1" w:styleId="1CharCharCharCharCharCharChar">
    <w:name w:val="1 Char Char Char Char Char Char Char"/>
    <w:basedOn w:val="a6"/>
    <w:qFormat/>
    <w:pPr>
      <w:spacing w:line="360" w:lineRule="auto"/>
      <w:ind w:firstLineChars="200" w:firstLine="200"/>
    </w:pPr>
  </w:style>
  <w:style w:type="paragraph" w:customStyle="1" w:styleId="1fffff">
    <w:name w:val="普通(网站)1"/>
    <w:basedOn w:val="a6"/>
    <w:qFormat/>
    <w:pPr>
      <w:widowControl/>
      <w:spacing w:before="100" w:beforeAutospacing="1" w:after="100" w:afterAutospacing="1"/>
      <w:jc w:val="left"/>
    </w:pPr>
    <w:rPr>
      <w:rFonts w:ascii="宋体" w:hAnsi="宋体"/>
      <w:kern w:val="0"/>
      <w:sz w:val="24"/>
      <w:szCs w:val="20"/>
    </w:rPr>
  </w:style>
  <w:style w:type="paragraph" w:customStyle="1" w:styleId="hb3">
    <w:name w:val="hb3新"/>
    <w:basedOn w:val="33"/>
    <w:qFormat/>
    <w:pPr>
      <w:keepNext w:val="0"/>
      <w:topLinePunct/>
      <w:adjustRightInd w:val="0"/>
      <w:spacing w:beforeLines="50" w:afterLines="50" w:line="520" w:lineRule="exact"/>
      <w:ind w:firstLineChars="200" w:firstLine="200"/>
      <w:jc w:val="left"/>
    </w:pPr>
    <w:rPr>
      <w:rFonts w:ascii="宋体" w:hAnsi="宋体"/>
      <w:b/>
      <w:bCs/>
      <w:spacing w:val="0"/>
      <w:szCs w:val="24"/>
    </w:rPr>
  </w:style>
  <w:style w:type="paragraph" w:customStyle="1" w:styleId="mytext11">
    <w:name w:val="mytext11"/>
    <w:basedOn w:val="a6"/>
    <w:qFormat/>
    <w:pPr>
      <w:widowControl/>
      <w:spacing w:before="100" w:beforeAutospacing="1" w:after="100" w:afterAutospacing="1"/>
      <w:jc w:val="left"/>
    </w:pPr>
    <w:rPr>
      <w:rFonts w:ascii="宋体" w:hAnsi="宋体"/>
      <w:color w:val="000000"/>
      <w:kern w:val="0"/>
      <w:sz w:val="24"/>
      <w:szCs w:val="20"/>
    </w:rPr>
  </w:style>
  <w:style w:type="paragraph" w:customStyle="1" w:styleId="5555">
    <w:name w:val="5555图表标号"/>
    <w:basedOn w:val="a6"/>
    <w:qFormat/>
    <w:pPr>
      <w:spacing w:line="440" w:lineRule="exact"/>
      <w:jc w:val="center"/>
    </w:pPr>
    <w:rPr>
      <w:rFonts w:eastAsia="黑体"/>
      <w:sz w:val="24"/>
      <w:szCs w:val="21"/>
    </w:rPr>
  </w:style>
  <w:style w:type="paragraph" w:customStyle="1" w:styleId="Content">
    <w:name w:val="Content"/>
    <w:basedOn w:val="a6"/>
    <w:qFormat/>
    <w:pPr>
      <w:widowControl/>
      <w:tabs>
        <w:tab w:val="left" w:pos="9480"/>
        <w:tab w:val="left" w:pos="9600"/>
      </w:tabs>
      <w:spacing w:before="120" w:after="120" w:line="240" w:lineRule="atLeast"/>
      <w:jc w:val="center"/>
    </w:pPr>
    <w:rPr>
      <w:rFonts w:ascii="Arial" w:hAnsi="Arial"/>
      <w:b/>
      <w:kern w:val="0"/>
      <w:sz w:val="28"/>
      <w:szCs w:val="20"/>
      <w:lang w:val="fr-FR"/>
    </w:rPr>
  </w:style>
  <w:style w:type="paragraph" w:customStyle="1" w:styleId="1CharCharCharCharCharCharCharCharCharCharCharCharCharCharCharCharCharCharCharCharCharChar">
    <w:name w:val="1 Char Char Char Char Char Char Char Char Char Char Char Char Char Char Char Char Char Char Char Char Char Char"/>
    <w:basedOn w:val="a6"/>
    <w:qFormat/>
    <w:pPr>
      <w:widowControl/>
      <w:jc w:val="left"/>
    </w:pPr>
    <w:rPr>
      <w:rFonts w:ascii="宋体" w:hAnsi="宋体" w:cs="宋体"/>
      <w:kern w:val="0"/>
      <w:sz w:val="24"/>
    </w:rPr>
  </w:style>
  <w:style w:type="paragraph" w:customStyle="1" w:styleId="260">
    <w:name w:val="表标2.6"/>
    <w:next w:val="a6"/>
    <w:qFormat/>
    <w:pPr>
      <w:tabs>
        <w:tab w:val="left" w:pos="8207"/>
      </w:tabs>
      <w:adjustRightInd w:val="0"/>
      <w:snapToGrid w:val="0"/>
      <w:spacing w:before="240" w:line="0" w:lineRule="atLeast"/>
      <w:ind w:left="432" w:hanging="432"/>
      <w:jc w:val="center"/>
      <w:textAlignment w:val="baseline"/>
    </w:pPr>
    <w:rPr>
      <w:rFonts w:eastAsia="黑体"/>
      <w:b/>
      <w:color w:val="000000"/>
      <w:kern w:val="2"/>
      <w:sz w:val="24"/>
      <w:szCs w:val="24"/>
    </w:rPr>
  </w:style>
  <w:style w:type="paragraph" w:customStyle="1" w:styleId="CharCharCharCharChar20">
    <w:name w:val="Char Char Char Char Char2"/>
    <w:basedOn w:val="a6"/>
    <w:qFormat/>
    <w:pPr>
      <w:snapToGrid w:val="0"/>
      <w:spacing w:line="360" w:lineRule="auto"/>
      <w:ind w:firstLineChars="200" w:firstLine="200"/>
    </w:pPr>
    <w:rPr>
      <w:rFonts w:eastAsia="仿宋_GB2312"/>
      <w:sz w:val="24"/>
    </w:rPr>
  </w:style>
  <w:style w:type="paragraph" w:customStyle="1" w:styleId="afffffffffffffffffffffffffffa">
    <w:name w:val="题目"/>
    <w:qFormat/>
    <w:pPr>
      <w:spacing w:beforeLines="200" w:afterLines="100" w:line="360" w:lineRule="auto"/>
      <w:jc w:val="center"/>
    </w:pPr>
    <w:rPr>
      <w:b/>
      <w:sz w:val="36"/>
    </w:rPr>
  </w:style>
  <w:style w:type="paragraph" w:customStyle="1" w:styleId="Charffffffffff7">
    <w:name w:val="表格文字居中 Char"/>
    <w:basedOn w:val="affc"/>
    <w:qFormat/>
    <w:pPr>
      <w:tabs>
        <w:tab w:val="left" w:pos="900"/>
        <w:tab w:val="left" w:pos="1727"/>
        <w:tab w:val="left" w:pos="1884"/>
      </w:tabs>
      <w:spacing w:beforeLines="20" w:afterLines="20" w:after="120" w:line="320" w:lineRule="exact"/>
      <w:ind w:rightChars="50" w:right="105" w:firstLineChars="0" w:firstLine="0"/>
      <w:jc w:val="center"/>
    </w:pPr>
    <w:rPr>
      <w:rFonts w:ascii="Times New Roman" w:hAnsi="Times New Roman"/>
      <w:bCs w:val="0"/>
      <w:snapToGrid w:val="0"/>
      <w:color w:val="000000"/>
      <w:spacing w:val="0"/>
      <w:kern w:val="2"/>
      <w:sz w:val="21"/>
      <w:szCs w:val="20"/>
    </w:rPr>
  </w:style>
  <w:style w:type="paragraph" w:customStyle="1" w:styleId="3ffd">
    <w:name w:val=".. 3"/>
    <w:basedOn w:val="Default"/>
    <w:next w:val="Default"/>
    <w:qFormat/>
    <w:pPr>
      <w:spacing w:before="260" w:after="260"/>
    </w:pPr>
    <w:rPr>
      <w:rFonts w:eastAsia="Times New Roman"/>
      <w:color w:val="auto"/>
    </w:rPr>
  </w:style>
  <w:style w:type="paragraph" w:customStyle="1" w:styleId="3ffe">
    <w:name w:val="晏?3"/>
    <w:basedOn w:val="a6"/>
    <w:next w:val="a6"/>
    <w:qFormat/>
    <w:pPr>
      <w:keepNext/>
      <w:keepLines/>
      <w:adjustRightInd w:val="0"/>
      <w:spacing w:line="360" w:lineRule="auto"/>
      <w:ind w:firstLine="567"/>
      <w:textAlignment w:val="baseline"/>
    </w:pPr>
    <w:rPr>
      <w:b/>
      <w:bCs/>
      <w:kern w:val="0"/>
      <w:sz w:val="28"/>
      <w:szCs w:val="28"/>
    </w:rPr>
  </w:style>
  <w:style w:type="paragraph" w:customStyle="1" w:styleId="afffffffffffffffffffffffffffb">
    <w:name w:val="简单回函地址"/>
    <w:basedOn w:val="a6"/>
    <w:qFormat/>
    <w:rPr>
      <w:rFonts w:ascii="宋体"/>
      <w:kern w:val="0"/>
      <w:sz w:val="24"/>
      <w:szCs w:val="20"/>
    </w:rPr>
  </w:style>
  <w:style w:type="paragraph" w:customStyle="1" w:styleId="hb3Char">
    <w:name w:val="hb3 Char"/>
    <w:basedOn w:val="33"/>
    <w:qFormat/>
    <w:pPr>
      <w:keepNext w:val="0"/>
      <w:adjustRightInd w:val="0"/>
      <w:spacing w:beforeLines="50" w:afterLines="50" w:line="520" w:lineRule="exact"/>
      <w:jc w:val="left"/>
    </w:pPr>
    <w:rPr>
      <w:rFonts w:hAnsi="黑体"/>
      <w:b/>
      <w:spacing w:val="0"/>
      <w:szCs w:val="24"/>
    </w:rPr>
  </w:style>
  <w:style w:type="paragraph" w:customStyle="1" w:styleId="xl111">
    <w:name w:val="xl111"/>
    <w:basedOn w:val="a6"/>
    <w:qFormat/>
    <w:pPr>
      <w:widowControl/>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kern w:val="0"/>
      <w:sz w:val="24"/>
    </w:rPr>
  </w:style>
  <w:style w:type="paragraph" w:customStyle="1" w:styleId="-50">
    <w:name w:val="文-5"/>
    <w:basedOn w:val="a6"/>
    <w:qFormat/>
    <w:pPr>
      <w:tabs>
        <w:tab w:val="right" w:leader="dot" w:pos="8789"/>
      </w:tabs>
      <w:spacing w:before="120"/>
      <w:ind w:left="1276" w:firstLine="482"/>
    </w:pPr>
    <w:rPr>
      <w:sz w:val="24"/>
      <w:szCs w:val="20"/>
    </w:rPr>
  </w:style>
  <w:style w:type="paragraph" w:customStyle="1" w:styleId="afffffffffffffffffffffffffffc">
    <w:name w:val="表内文字小"/>
    <w:basedOn w:val="a6"/>
    <w:qFormat/>
    <w:pPr>
      <w:adjustRightInd w:val="0"/>
      <w:jc w:val="center"/>
    </w:pPr>
    <w:rPr>
      <w:rFonts w:ascii="宋体" w:hAnsi="Times"/>
      <w:szCs w:val="21"/>
    </w:rPr>
  </w:style>
  <w:style w:type="paragraph" w:customStyle="1" w:styleId="11110">
    <w:name w:val="四级标题1.1.1.1"/>
    <w:basedOn w:val="a6"/>
    <w:next w:val="a6"/>
    <w:qFormat/>
    <w:pPr>
      <w:keepNext/>
      <w:keepLines/>
      <w:widowControl/>
      <w:adjustRightInd w:val="0"/>
      <w:spacing w:before="40" w:after="40" w:line="360" w:lineRule="auto"/>
      <w:ind w:firstLineChars="200" w:firstLine="200"/>
      <w:textAlignment w:val="baseline"/>
      <w:outlineLvl w:val="3"/>
    </w:pPr>
    <w:rPr>
      <w:rFonts w:eastAsia="仿宋_GB2312" w:cs="宋体"/>
      <w:b/>
      <w:kern w:val="0"/>
      <w:sz w:val="24"/>
      <w:szCs w:val="28"/>
    </w:rPr>
  </w:style>
  <w:style w:type="paragraph" w:customStyle="1" w:styleId="Char310">
    <w:name w:val="Char31"/>
    <w:basedOn w:val="a6"/>
    <w:qFormat/>
    <w:rPr>
      <w:color w:val="000000"/>
      <w:w w:val="110"/>
      <w:kern w:val="0"/>
      <w:sz w:val="24"/>
    </w:rPr>
  </w:style>
  <w:style w:type="paragraph" w:customStyle="1" w:styleId="afffffffffffffffffffffffffffd">
    <w:name w:val="右侧"/>
    <w:qFormat/>
    <w:pPr>
      <w:spacing w:line="280" w:lineRule="exact"/>
      <w:jc w:val="right"/>
    </w:pPr>
    <w:rPr>
      <w:rFonts w:ascii="宋体" w:hAnsi="宋体"/>
      <w:color w:val="000000"/>
      <w:sz w:val="18"/>
      <w:szCs w:val="18"/>
    </w:rPr>
  </w:style>
  <w:style w:type="paragraph" w:customStyle="1" w:styleId="table">
    <w:name w:val="table"/>
    <w:basedOn w:val="a6"/>
    <w:qFormat/>
    <w:pPr>
      <w:widowControl/>
      <w:adjustRightInd w:val="0"/>
      <w:snapToGrid w:val="0"/>
      <w:jc w:val="center"/>
    </w:pPr>
    <w:rPr>
      <w:rFonts w:cs="宋体"/>
      <w:snapToGrid w:val="0"/>
      <w:kern w:val="0"/>
      <w:sz w:val="24"/>
    </w:rPr>
  </w:style>
  <w:style w:type="paragraph" w:customStyle="1" w:styleId="gb1">
    <w:name w:val="gb1"/>
    <w:basedOn w:val="a6"/>
    <w:qFormat/>
    <w:pPr>
      <w:widowControl/>
      <w:tabs>
        <w:tab w:val="left" w:pos="227"/>
      </w:tabs>
      <w:overflowPunct w:val="0"/>
      <w:autoSpaceDE w:val="0"/>
      <w:autoSpaceDN w:val="0"/>
      <w:adjustRightInd w:val="0"/>
      <w:spacing w:before="120" w:after="120"/>
      <w:textAlignment w:val="baseline"/>
    </w:pPr>
    <w:rPr>
      <w:rFonts w:ascii="Arial" w:eastAsia="仿宋体" w:hAnsi="Arial"/>
      <w:kern w:val="0"/>
      <w:szCs w:val="20"/>
    </w:rPr>
  </w:style>
  <w:style w:type="paragraph" w:customStyle="1" w:styleId="2151">
    <w:name w:val="样式 首行缩进:  2 字符 行距: 1.5 倍行距"/>
    <w:basedOn w:val="a6"/>
    <w:qFormat/>
    <w:pPr>
      <w:widowControl/>
      <w:spacing w:line="360" w:lineRule="auto"/>
      <w:ind w:firstLineChars="200" w:firstLine="200"/>
      <w:jc w:val="left"/>
    </w:pPr>
    <w:rPr>
      <w:rFonts w:ascii="宋体" w:hAnsi="宋体" w:cs="宋体"/>
      <w:kern w:val="0"/>
      <w:sz w:val="28"/>
      <w:szCs w:val="20"/>
    </w:rPr>
  </w:style>
  <w:style w:type="paragraph" w:customStyle="1" w:styleId="afffffffffffffffffffffffffffe">
    <w:name w:val="列表标题"/>
    <w:basedOn w:val="a6"/>
    <w:next w:val="a6"/>
    <w:qFormat/>
    <w:pPr>
      <w:jc w:val="center"/>
    </w:pPr>
    <w:rPr>
      <w:sz w:val="24"/>
      <w:szCs w:val="20"/>
    </w:rPr>
  </w:style>
  <w:style w:type="paragraph" w:customStyle="1" w:styleId="TOC11">
    <w:name w:val="TOC 标题11"/>
    <w:basedOn w:val="12"/>
    <w:next w:val="a6"/>
    <w:qFormat/>
    <w:pPr>
      <w:keepNext w:val="0"/>
      <w:keepLines w:val="0"/>
      <w:widowControl/>
      <w:spacing w:beforeLines="100" w:before="0" w:afterLines="100" w:after="0" w:line="276" w:lineRule="auto"/>
      <w:jc w:val="left"/>
      <w:outlineLvl w:val="9"/>
    </w:pPr>
    <w:rPr>
      <w:rFonts w:ascii="Cambria" w:hAnsi="Cambria"/>
      <w:b w:val="0"/>
      <w:color w:val="365F91"/>
      <w:kern w:val="2"/>
      <w:sz w:val="32"/>
      <w:szCs w:val="24"/>
    </w:rPr>
  </w:style>
  <w:style w:type="paragraph" w:customStyle="1" w:styleId="xl941">
    <w:name w:val="xl941"/>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1114">
    <w:name w:val="表－左对齐111"/>
    <w:basedOn w:val="a6"/>
    <w:qFormat/>
    <w:pPr>
      <w:suppressLineNumbers/>
      <w:suppressAutoHyphens/>
      <w:snapToGrid w:val="0"/>
      <w:spacing w:before="60" w:after="60"/>
      <w:jc w:val="left"/>
    </w:pPr>
    <w:rPr>
      <w:rFonts w:cs="Arial"/>
      <w:kern w:val="0"/>
      <w:sz w:val="24"/>
      <w:szCs w:val="21"/>
      <w:lang w:eastAsia="ja-JP"/>
    </w:rPr>
  </w:style>
  <w:style w:type="paragraph" w:customStyle="1" w:styleId="252">
    <w:name w:val="样式 正文文字缩进 + 左侧:  2.5 字符"/>
    <w:basedOn w:val="af9"/>
    <w:qFormat/>
    <w:pPr>
      <w:spacing w:after="120" w:line="240" w:lineRule="auto"/>
      <w:ind w:leftChars="200" w:left="420" w:firstLine="0"/>
    </w:pPr>
    <w:rPr>
      <w:rFonts w:ascii="Times New Roman" w:hAnsi="Times New Roman"/>
      <w:sz w:val="21"/>
    </w:rPr>
  </w:style>
  <w:style w:type="paragraph" w:customStyle="1" w:styleId="CharCharCharCharCharCharCharCharCharCharChar1CharCharCharChar1">
    <w:name w:val="Char Char Char Char Char Char Char Char Char Char Char1 Char Char Char Char1"/>
    <w:basedOn w:val="a6"/>
    <w:qFormat/>
  </w:style>
  <w:style w:type="paragraph" w:customStyle="1" w:styleId="0850505">
    <w:name w:val="样式 正文样式 + 首行缩进:  0.85 厘米 段前: 0.5 行 段后: 0.5 行"/>
    <w:basedOn w:val="a6"/>
    <w:next w:val="a6"/>
    <w:qFormat/>
    <w:pPr>
      <w:spacing w:before="120" w:after="120" w:line="360" w:lineRule="auto"/>
      <w:ind w:firstLine="482"/>
    </w:pPr>
    <w:rPr>
      <w:rFonts w:ascii="Arial" w:hAnsi="Arial"/>
      <w:sz w:val="24"/>
      <w:szCs w:val="20"/>
    </w:rPr>
  </w:style>
  <w:style w:type="paragraph" w:customStyle="1" w:styleId="Web2">
    <w:name w:val="普通(Web)2"/>
    <w:basedOn w:val="a6"/>
    <w:qFormat/>
    <w:pPr>
      <w:widowControl/>
      <w:spacing w:before="225" w:after="225" w:line="345" w:lineRule="atLeast"/>
      <w:jc w:val="left"/>
    </w:pPr>
    <w:rPr>
      <w:rFonts w:ascii="宋体" w:hAnsi="宋体" w:cs="宋体"/>
      <w:kern w:val="0"/>
      <w:szCs w:val="21"/>
    </w:rPr>
  </w:style>
  <w:style w:type="paragraph" w:customStyle="1" w:styleId="3-ls">
    <w:name w:val="标3-ls"/>
    <w:basedOn w:val="33"/>
    <w:qFormat/>
    <w:pPr>
      <w:adjustRightInd w:val="0"/>
      <w:spacing w:beforeLines="10" w:afterLines="10" w:line="360" w:lineRule="auto"/>
    </w:pPr>
    <w:rPr>
      <w:rFonts w:cs="宋体"/>
      <w:spacing w:val="0"/>
      <w:sz w:val="24"/>
      <w:szCs w:val="20"/>
    </w:rPr>
  </w:style>
  <w:style w:type="paragraph" w:customStyle="1" w:styleId="CharCharCharCharCharCharCharCharCharCharCharCharCharCharCharCharCharCharCharCharCharCharCharCharCharChar1">
    <w:name w:val="Char Char Char Char Char Char Char Char Char Char Char Char Char Char Char Char Char Char Char Char Char Char Char Char Char Char1"/>
    <w:basedOn w:val="a6"/>
    <w:qFormat/>
  </w:style>
  <w:style w:type="paragraph" w:customStyle="1" w:styleId="affffffffffffffffffffffffffff">
    <w:name w:val="表头！！！！"/>
    <w:basedOn w:val="a6"/>
    <w:qFormat/>
    <w:pPr>
      <w:spacing w:line="360" w:lineRule="auto"/>
      <w:jc w:val="center"/>
    </w:pPr>
    <w:rPr>
      <w:rFonts w:ascii="楷体_GB2312" w:eastAsia="楷体_GB2312" w:hAnsi="宋体"/>
      <w:b/>
      <w:sz w:val="24"/>
    </w:rPr>
  </w:style>
  <w:style w:type="paragraph" w:customStyle="1" w:styleId="CharCharCharCharCharCharCharCharCharCharCharCharCharCharCharChar">
    <w:name w:val="Char Char Char Char Char Char Char Char Char Char Char Char Char Char Char Char"/>
    <w:basedOn w:val="a6"/>
    <w:qFormat/>
  </w:style>
  <w:style w:type="paragraph" w:customStyle="1" w:styleId="reader-word-layerreader-word-s10-7">
    <w:name w:val="reader-word-layer reader-word-s10-7"/>
    <w:basedOn w:val="a6"/>
    <w:qFormat/>
    <w:pPr>
      <w:widowControl/>
      <w:spacing w:before="100" w:beforeAutospacing="1" w:after="100" w:afterAutospacing="1"/>
      <w:jc w:val="left"/>
    </w:pPr>
    <w:rPr>
      <w:rFonts w:ascii="宋体" w:hAnsi="宋体" w:cs="宋体"/>
      <w:color w:val="000000"/>
      <w:w w:val="110"/>
      <w:kern w:val="0"/>
      <w:sz w:val="24"/>
    </w:rPr>
  </w:style>
  <w:style w:type="paragraph" w:customStyle="1" w:styleId="xl988">
    <w:name w:val="xl988"/>
    <w:basedOn w:val="a6"/>
    <w:qFormat/>
    <w:pPr>
      <w:widowControl/>
      <w:spacing w:before="100" w:beforeAutospacing="1" w:after="100" w:afterAutospacing="1"/>
      <w:jc w:val="left"/>
    </w:pPr>
    <w:rPr>
      <w:rFonts w:ascii="宋体" w:hAnsi="宋体" w:cs="宋体"/>
      <w:kern w:val="0"/>
      <w:sz w:val="18"/>
      <w:szCs w:val="18"/>
    </w:rPr>
  </w:style>
  <w:style w:type="paragraph" w:customStyle="1" w:styleId="480">
    <w:name w:val="短简表48"/>
    <w:basedOn w:val="a6"/>
    <w:qFormat/>
    <w:pPr>
      <w:adjustRightInd w:val="0"/>
      <w:snapToGrid w:val="0"/>
      <w:spacing w:before="120" w:after="120"/>
      <w:ind w:leftChars="245" w:left="1068" w:hangingChars="200" w:hanging="480"/>
    </w:pPr>
    <w:rPr>
      <w:sz w:val="24"/>
    </w:rPr>
  </w:style>
  <w:style w:type="paragraph" w:customStyle="1" w:styleId="reader-word-layerreader-word-s1-7">
    <w:name w:val="reader-word-layer reader-word-s1-7"/>
    <w:basedOn w:val="a6"/>
    <w:qFormat/>
    <w:pPr>
      <w:widowControl/>
      <w:spacing w:before="100" w:beforeAutospacing="1" w:after="100" w:afterAutospacing="1"/>
      <w:jc w:val="left"/>
    </w:pPr>
    <w:rPr>
      <w:rFonts w:ascii="宋体" w:hAnsi="宋体" w:cs="宋体"/>
      <w:kern w:val="0"/>
      <w:sz w:val="24"/>
    </w:rPr>
  </w:style>
  <w:style w:type="paragraph" w:customStyle="1" w:styleId="xl1011">
    <w:name w:val="xl1011"/>
    <w:basedOn w:val="a6"/>
    <w:qFormat/>
    <w:pPr>
      <w:widowControl/>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kern w:val="0"/>
      <w:sz w:val="18"/>
      <w:szCs w:val="18"/>
    </w:rPr>
  </w:style>
  <w:style w:type="paragraph" w:customStyle="1" w:styleId="Style">
    <w:name w:val="Style"/>
    <w:basedOn w:val="a6"/>
    <w:qFormat/>
    <w:pPr>
      <w:widowControl/>
      <w:numPr>
        <w:numId w:val="23"/>
      </w:numPr>
      <w:tabs>
        <w:tab w:val="clear" w:pos="360"/>
        <w:tab w:val="left" w:pos="540"/>
        <w:tab w:val="left" w:pos="1080"/>
        <w:tab w:val="left" w:pos="1620"/>
        <w:tab w:val="left" w:pos="2160"/>
        <w:tab w:val="left" w:pos="2700"/>
        <w:tab w:val="left" w:pos="3240"/>
      </w:tabs>
      <w:spacing w:line="312" w:lineRule="auto"/>
      <w:ind w:left="1620" w:hanging="540"/>
    </w:pPr>
    <w:rPr>
      <w:rFonts w:ascii="Arial" w:hAnsi="Arial"/>
      <w:b/>
      <w:snapToGrid w:val="0"/>
      <w:kern w:val="0"/>
      <w:sz w:val="24"/>
      <w:szCs w:val="20"/>
      <w:u w:val="single"/>
      <w:lang w:eastAsia="en-US"/>
    </w:rPr>
  </w:style>
  <w:style w:type="paragraph" w:customStyle="1" w:styleId="haydonli2">
    <w:name w:val="样式 haydonli + 首行缩进:  2 字符"/>
    <w:basedOn w:val="a6"/>
    <w:qFormat/>
    <w:pPr>
      <w:adjustRightInd w:val="0"/>
      <w:snapToGrid w:val="0"/>
      <w:spacing w:before="93" w:after="93" w:line="420" w:lineRule="exact"/>
      <w:ind w:left="-60" w:right="-60" w:firstLineChars="225" w:firstLine="540"/>
    </w:pPr>
    <w:rPr>
      <w:rFonts w:ascii="宋体" w:hAnsi="宋体" w:cs="宋体"/>
      <w:bCs/>
      <w:sz w:val="24"/>
    </w:rPr>
  </w:style>
  <w:style w:type="paragraph" w:customStyle="1" w:styleId="NewNewNewNew">
    <w:name w:val="正文 New New New New"/>
    <w:qFormat/>
    <w:pPr>
      <w:widowControl w:val="0"/>
      <w:adjustRightInd w:val="0"/>
      <w:snapToGrid w:val="0"/>
      <w:spacing w:line="360" w:lineRule="auto"/>
      <w:jc w:val="both"/>
    </w:pPr>
    <w:rPr>
      <w:snapToGrid w:val="0"/>
      <w:sz w:val="24"/>
    </w:rPr>
  </w:style>
  <w:style w:type="paragraph" w:customStyle="1" w:styleId="reader-word-layerreader-word-s1-9">
    <w:name w:val="reader-word-layer reader-word-s1-9"/>
    <w:basedOn w:val="a6"/>
    <w:qFormat/>
    <w:pPr>
      <w:widowControl/>
      <w:spacing w:before="100" w:beforeAutospacing="1" w:after="100" w:afterAutospacing="1"/>
      <w:jc w:val="left"/>
    </w:pPr>
    <w:rPr>
      <w:rFonts w:ascii="宋体" w:hAnsi="宋体" w:cs="宋体"/>
      <w:kern w:val="0"/>
      <w:sz w:val="24"/>
    </w:rPr>
  </w:style>
  <w:style w:type="paragraph" w:customStyle="1" w:styleId="200101">
    <w:name w:val="样式 样式 标题 2 + 首行缩进： 0磅 + + 段前: 0.1 行 段后: 0.1 行"/>
    <w:basedOn w:val="a6"/>
    <w:qFormat/>
    <w:pPr>
      <w:keepNext/>
      <w:keepLines/>
      <w:tabs>
        <w:tab w:val="left" w:pos="8140"/>
      </w:tabs>
      <w:spacing w:beforeLines="10" w:afterLines="10" w:line="560" w:lineRule="exact"/>
      <w:jc w:val="left"/>
      <w:outlineLvl w:val="1"/>
    </w:pPr>
    <w:rPr>
      <w:rFonts w:ascii="宋体" w:eastAsia="黑体" w:hAnsi="宋体" w:cs="宋体"/>
      <w:color w:val="000000"/>
      <w:sz w:val="30"/>
      <w:szCs w:val="20"/>
    </w:rPr>
  </w:style>
  <w:style w:type="paragraph" w:customStyle="1" w:styleId="affffffffffffffffffffffffffff0">
    <w:name w:val="正文小四缩"/>
    <w:basedOn w:val="a6"/>
    <w:qFormat/>
    <w:pPr>
      <w:widowControl/>
      <w:adjustRightInd w:val="0"/>
      <w:spacing w:before="120" w:line="460" w:lineRule="atLeast"/>
      <w:ind w:firstLine="510"/>
      <w:jc w:val="left"/>
      <w:textAlignment w:val="baseline"/>
    </w:pPr>
    <w:rPr>
      <w:rFonts w:ascii="仿宋_GB2312" w:eastAsia="仿宋_GB2312" w:hAnsi="宋体" w:cs="宋体"/>
      <w:bCs/>
      <w:kern w:val="0"/>
      <w:sz w:val="28"/>
      <w:szCs w:val="20"/>
    </w:rPr>
  </w:style>
  <w:style w:type="paragraph" w:customStyle="1" w:styleId="affffffffffffffffffffffffffff1">
    <w:name w:val="表格文字五号"/>
    <w:basedOn w:val="a6"/>
    <w:next w:val="a6"/>
    <w:qFormat/>
    <w:pPr>
      <w:jc w:val="center"/>
    </w:pPr>
    <w:rPr>
      <w:rFonts w:ascii="Times" w:hAnsi="Times"/>
      <w:kern w:val="21"/>
      <w:sz w:val="24"/>
      <w:szCs w:val="20"/>
    </w:rPr>
  </w:style>
  <w:style w:type="paragraph" w:customStyle="1" w:styleId="NormalIndent1">
    <w:name w:val="Normal Indent1"/>
    <w:basedOn w:val="a6"/>
    <w:qFormat/>
    <w:pPr>
      <w:spacing w:line="360" w:lineRule="auto"/>
      <w:ind w:left="432" w:firstLineChars="200" w:hanging="432"/>
      <w:jc w:val="left"/>
    </w:pPr>
    <w:rPr>
      <w:spacing w:val="20"/>
      <w:kern w:val="0"/>
      <w:sz w:val="24"/>
      <w:szCs w:val="20"/>
    </w:rPr>
  </w:style>
  <w:style w:type="paragraph" w:customStyle="1" w:styleId="21b">
    <w:name w:val="日期21"/>
    <w:basedOn w:val="a6"/>
    <w:next w:val="a6"/>
    <w:qFormat/>
    <w:pPr>
      <w:adjustRightInd w:val="0"/>
      <w:spacing w:line="240" w:lineRule="atLeast"/>
      <w:jc w:val="left"/>
      <w:textAlignment w:val="baseline"/>
    </w:pPr>
    <w:rPr>
      <w:rFonts w:ascii="宋体"/>
      <w:kern w:val="0"/>
      <w:sz w:val="28"/>
      <w:szCs w:val="20"/>
    </w:rPr>
  </w:style>
  <w:style w:type="paragraph" w:customStyle="1" w:styleId="DefaultText">
    <w:name w:val="Default Text"/>
    <w:qFormat/>
    <w:pPr>
      <w:widowControl w:val="0"/>
      <w:autoSpaceDE w:val="0"/>
      <w:autoSpaceDN w:val="0"/>
      <w:adjustRightInd w:val="0"/>
    </w:pPr>
    <w:rPr>
      <w:color w:val="000000"/>
      <w:sz w:val="24"/>
    </w:rPr>
  </w:style>
  <w:style w:type="paragraph" w:customStyle="1" w:styleId="4Arial125">
    <w:name w:val="样式 标题 4 + Arial 行距: 多倍行距 1.25 字行"/>
    <w:basedOn w:val="41"/>
    <w:qFormat/>
    <w:pPr>
      <w:keepLines w:val="0"/>
      <w:tabs>
        <w:tab w:val="left" w:pos="864"/>
      </w:tabs>
      <w:adjustRightInd/>
      <w:snapToGrid/>
      <w:spacing w:beforeLines="0" w:before="0" w:line="336" w:lineRule="auto"/>
      <w:ind w:firstLineChars="200" w:firstLine="560"/>
    </w:pPr>
    <w:rPr>
      <w:rFonts w:hAnsi="Arial" w:cs="宋体"/>
      <w:bCs w:val="0"/>
      <w:kern w:val="0"/>
      <w:sz w:val="24"/>
      <w:szCs w:val="28"/>
    </w:rPr>
  </w:style>
  <w:style w:type="paragraph" w:customStyle="1" w:styleId="xl72">
    <w:name w:val="xl72"/>
    <w:basedOn w:val="a6"/>
    <w:qFormat/>
    <w:pPr>
      <w:widowControl/>
      <w:pBdr>
        <w:left w:val="single" w:sz="4" w:space="0" w:color="auto"/>
        <w:bottom w:val="single" w:sz="8" w:space="0" w:color="auto"/>
        <w:right w:val="single" w:sz="8" w:space="0" w:color="auto"/>
      </w:pBdr>
      <w:spacing w:before="100" w:beforeAutospacing="1" w:after="100" w:afterAutospacing="1"/>
      <w:jc w:val="left"/>
      <w:textAlignment w:val="center"/>
    </w:pPr>
    <w:rPr>
      <w:rFonts w:ascii="Arial Unicode MS" w:eastAsia="Arial Unicode MS" w:hAnsi="Arial Unicode MS"/>
      <w:kern w:val="0"/>
      <w:sz w:val="24"/>
      <w:szCs w:val="20"/>
    </w:rPr>
  </w:style>
  <w:style w:type="paragraph" w:customStyle="1" w:styleId="6a">
    <w:name w:val="样式 表头6 + 居中"/>
    <w:basedOn w:val="69"/>
    <w:qFormat/>
    <w:pPr>
      <w:jc w:val="center"/>
    </w:pPr>
    <w:rPr>
      <w:rFonts w:cs="宋体"/>
      <w:b w:val="0"/>
      <w:bCs/>
      <w:szCs w:val="20"/>
    </w:rPr>
  </w:style>
  <w:style w:type="paragraph" w:customStyle="1" w:styleId="Char2CharCharChar">
    <w:name w:val="Char2 Char Char Char"/>
    <w:basedOn w:val="a6"/>
    <w:qFormat/>
    <w:pPr>
      <w:spacing w:line="360" w:lineRule="auto"/>
      <w:ind w:firstLineChars="200" w:firstLine="200"/>
    </w:pPr>
    <w:rPr>
      <w:rFonts w:ascii="宋体" w:hAnsi="宋体" w:cs="宋体"/>
      <w:sz w:val="24"/>
    </w:rPr>
  </w:style>
  <w:style w:type="paragraph" w:customStyle="1" w:styleId="1fffff0">
    <w:name w:val="纯文本1"/>
    <w:basedOn w:val="a6"/>
    <w:qFormat/>
    <w:pPr>
      <w:adjustRightInd w:val="0"/>
      <w:jc w:val="left"/>
      <w:textAlignment w:val="baseline"/>
    </w:pPr>
    <w:rPr>
      <w:rFonts w:ascii="宋体"/>
      <w:kern w:val="0"/>
      <w:sz w:val="24"/>
      <w:szCs w:val="20"/>
    </w:rPr>
  </w:style>
  <w:style w:type="paragraph" w:customStyle="1" w:styleId="CharCharCharCharCharCharCharCharCharCharCharCharCharCharCharCharCharCharChar0">
    <w:name w:val="Char Char Char Char Char Char Char Char Char Char Char Char Char Char Char Char Char Char Char"/>
    <w:basedOn w:val="a6"/>
    <w:qFormat/>
    <w:rPr>
      <w:szCs w:val="20"/>
    </w:rPr>
  </w:style>
  <w:style w:type="paragraph" w:customStyle="1" w:styleId="c0">
    <w:name w:val="c"/>
    <w:qFormat/>
    <w:pPr>
      <w:widowControl w:val="0"/>
      <w:autoSpaceDE w:val="0"/>
      <w:autoSpaceDN w:val="0"/>
      <w:adjustRightInd w:val="0"/>
      <w:jc w:val="both"/>
    </w:pPr>
    <w:rPr>
      <w:rFonts w:ascii="Arial" w:hAnsi="Arial"/>
      <w:sz w:val="24"/>
      <w:szCs w:val="24"/>
    </w:rPr>
  </w:style>
  <w:style w:type="paragraph" w:customStyle="1" w:styleId="xl68">
    <w:name w:val="xl68"/>
    <w:basedOn w:val="a6"/>
    <w:qFormat/>
    <w:pPr>
      <w:widowControl/>
      <w:pBdr>
        <w:left w:val="single" w:sz="8" w:space="0" w:color="auto"/>
        <w:bottom w:val="single" w:sz="8" w:space="0" w:color="auto"/>
        <w:right w:val="single" w:sz="4" w:space="0" w:color="auto"/>
      </w:pBdr>
      <w:spacing w:before="100" w:beforeAutospacing="1" w:after="100" w:afterAutospacing="1"/>
      <w:jc w:val="center"/>
      <w:textAlignment w:val="center"/>
    </w:pPr>
    <w:rPr>
      <w:rFonts w:ascii="宋体" w:eastAsia="Arial Unicode MS"/>
      <w:kern w:val="0"/>
      <w:sz w:val="20"/>
      <w:szCs w:val="20"/>
    </w:rPr>
  </w:style>
  <w:style w:type="paragraph" w:customStyle="1" w:styleId="CharCharCharCharChar2CharCharCharChar">
    <w:name w:val="Char Char Char Char Char2 Char Char Char Char"/>
    <w:basedOn w:val="a6"/>
    <w:qFormat/>
    <w:pPr>
      <w:adjustRightInd w:val="0"/>
      <w:snapToGrid w:val="0"/>
      <w:spacing w:line="360" w:lineRule="auto"/>
      <w:ind w:firstLineChars="200" w:firstLine="200"/>
    </w:pPr>
    <w:rPr>
      <w:rFonts w:ascii="宋体" w:hAnsi="宋体" w:cs="宋体"/>
      <w:sz w:val="24"/>
      <w:szCs w:val="26"/>
    </w:rPr>
  </w:style>
  <w:style w:type="paragraph" w:customStyle="1" w:styleId="CM64">
    <w:name w:val="CM64"/>
    <w:basedOn w:val="Default"/>
    <w:next w:val="Default"/>
    <w:qFormat/>
    <w:rPr>
      <w:rFonts w:ascii="黑体" w:eastAsia="黑体"/>
      <w:color w:val="auto"/>
    </w:rPr>
  </w:style>
  <w:style w:type="paragraph" w:customStyle="1" w:styleId="CharCharCharCharCharChar1CharCharChar">
    <w:name w:val="Char Char Char Char Char Char1 Char Char Char"/>
    <w:basedOn w:val="a6"/>
    <w:qFormat/>
    <w:rPr>
      <w:color w:val="000000"/>
      <w:w w:val="110"/>
      <w:kern w:val="0"/>
      <w:sz w:val="24"/>
    </w:rPr>
  </w:style>
  <w:style w:type="paragraph" w:customStyle="1" w:styleId="11112">
    <w:name w:val="样式 1.1.1.1 厘米"/>
    <w:basedOn w:val="41"/>
    <w:qFormat/>
    <w:pPr>
      <w:keepNext w:val="0"/>
      <w:keepLines w:val="0"/>
      <w:tabs>
        <w:tab w:val="left" w:pos="1070"/>
      </w:tabs>
      <w:overflowPunct w:val="0"/>
      <w:autoSpaceDE w:val="0"/>
      <w:autoSpaceDN w:val="0"/>
      <w:spacing w:beforeLines="0" w:before="0" w:line="240" w:lineRule="exact"/>
      <w:jc w:val="left"/>
      <w:textAlignment w:val="baseline"/>
    </w:pPr>
    <w:rPr>
      <w:rFonts w:ascii="宋体" w:eastAsia="宋体" w:hAnsi="Times New Roman" w:cs="TimesNewRoman"/>
      <w:bCs w:val="0"/>
      <w:snapToGrid w:val="0"/>
      <w:sz w:val="24"/>
    </w:rPr>
  </w:style>
  <w:style w:type="paragraph" w:customStyle="1" w:styleId="affffffffffffffffffffffffffff2">
    <w:name w:val="表内图注"/>
    <w:basedOn w:val="a6"/>
    <w:qFormat/>
    <w:pPr>
      <w:keepNext/>
      <w:adjustRightInd w:val="0"/>
      <w:jc w:val="center"/>
      <w:textAlignment w:val="baseline"/>
    </w:pPr>
    <w:rPr>
      <w:rFonts w:ascii="Times" w:hAnsi="Times"/>
      <w:b/>
      <w:szCs w:val="21"/>
    </w:rPr>
  </w:style>
  <w:style w:type="paragraph" w:customStyle="1" w:styleId="Achievement">
    <w:name w:val="Achievement"/>
    <w:basedOn w:val="a6"/>
    <w:qFormat/>
    <w:pPr>
      <w:tabs>
        <w:tab w:val="left" w:pos="1620"/>
        <w:tab w:val="left" w:pos="2040"/>
      </w:tabs>
      <w:spacing w:line="440" w:lineRule="exact"/>
      <w:ind w:leftChars="800" w:left="2040" w:hangingChars="200" w:hanging="360"/>
    </w:pPr>
    <w:rPr>
      <w:szCs w:val="20"/>
    </w:rPr>
  </w:style>
  <w:style w:type="paragraph" w:customStyle="1" w:styleId="353">
    <w:name w:val="样式 燕山正文 + 首行缩进:  3.5 字符"/>
    <w:basedOn w:val="afffffffffffff9"/>
    <w:qFormat/>
    <w:pPr>
      <w:spacing w:beforeLines="50" w:line="240" w:lineRule="auto"/>
      <w:ind w:firstLine="520"/>
    </w:pPr>
    <w:rPr>
      <w:rFonts w:ascii="Times New Roman" w:hAnsi="Times New Roman"/>
      <w:color w:val="auto"/>
      <w:spacing w:val="10"/>
      <w:shd w:val="clear" w:color="auto" w:fill="auto"/>
    </w:rPr>
  </w:style>
  <w:style w:type="paragraph" w:customStyle="1" w:styleId="declear">
    <w:name w:val="declear"/>
    <w:basedOn w:val="a6"/>
    <w:qFormat/>
    <w:pPr>
      <w:widowControl/>
      <w:spacing w:before="100" w:beforeAutospacing="1" w:after="100" w:afterAutospacing="1"/>
      <w:jc w:val="left"/>
    </w:pPr>
    <w:rPr>
      <w:rFonts w:ascii="宋体" w:hAnsi="宋体"/>
      <w:color w:val="000000"/>
      <w:w w:val="110"/>
      <w:kern w:val="0"/>
      <w:sz w:val="24"/>
      <w:szCs w:val="20"/>
    </w:rPr>
  </w:style>
  <w:style w:type="paragraph" w:customStyle="1" w:styleId="2fffff">
    <w:name w:val="表格方案样式2"/>
    <w:basedOn w:val="afffffffffffffff7"/>
    <w:qFormat/>
    <w:pPr>
      <w:tabs>
        <w:tab w:val="clear" w:pos="567"/>
      </w:tabs>
    </w:pPr>
    <w:rPr>
      <w:rFonts w:eastAsia="华文中宋"/>
      <w:color w:val="auto"/>
      <w:spacing w:val="0"/>
      <w:szCs w:val="24"/>
    </w:rPr>
  </w:style>
  <w:style w:type="paragraph" w:customStyle="1" w:styleId="ParaAttribute43">
    <w:name w:val="ParaAttribute43"/>
    <w:qFormat/>
    <w:pPr>
      <w:widowControl w:val="0"/>
      <w:wordWrap w:val="0"/>
      <w:spacing w:line="163" w:lineRule="exact"/>
    </w:pPr>
  </w:style>
  <w:style w:type="paragraph" w:customStyle="1" w:styleId="affffffffffffffffffffffffffff3">
    <w:name w:val="湛江码头表"/>
    <w:basedOn w:val="a6"/>
    <w:qFormat/>
    <w:pPr>
      <w:jc w:val="center"/>
    </w:pPr>
    <w:rPr>
      <w:rFonts w:eastAsia="仿宋_GB2312"/>
      <w:color w:val="000000"/>
      <w:w w:val="110"/>
      <w:kern w:val="0"/>
      <w:sz w:val="24"/>
      <w:lang w:eastAsia="zh-TW"/>
    </w:rPr>
  </w:style>
  <w:style w:type="paragraph" w:customStyle="1" w:styleId="3210">
    <w:name w:val="正文文本 321"/>
    <w:basedOn w:val="a6"/>
    <w:qFormat/>
    <w:pPr>
      <w:adjustRightInd w:val="0"/>
      <w:spacing w:line="360" w:lineRule="atLeast"/>
      <w:jc w:val="center"/>
      <w:textAlignment w:val="baseline"/>
    </w:pPr>
    <w:rPr>
      <w:rFonts w:ascii="仿宋体" w:eastAsia="仿宋体" w:hAnsi="宋体"/>
      <w:kern w:val="0"/>
      <w:sz w:val="24"/>
      <w:szCs w:val="20"/>
    </w:rPr>
  </w:style>
  <w:style w:type="paragraph" w:customStyle="1" w:styleId="2h22Header2ndPageABCh2mainh2GB2312">
    <w:name w:val="样式 标题 2h22Header 2nd PageA.B.C.h2 main h标题2 + 仿宋_GB2312 行距..."/>
    <w:basedOn w:val="22"/>
    <w:qFormat/>
    <w:pPr>
      <w:keepNext w:val="0"/>
      <w:keepLines w:val="0"/>
      <w:widowControl/>
      <w:spacing w:afterLines="50"/>
      <w:ind w:firstLineChars="162" w:firstLine="455"/>
      <w:jc w:val="left"/>
    </w:pPr>
    <w:rPr>
      <w:rFonts w:ascii="仿宋_GB2312" w:eastAsia="仿宋_GB2312" w:hAnsi="ˎ̥" w:cs="宋体"/>
      <w:spacing w:val="0"/>
      <w:w w:val="100"/>
      <w:kern w:val="2"/>
      <w:szCs w:val="20"/>
    </w:rPr>
  </w:style>
  <w:style w:type="paragraph" w:customStyle="1" w:styleId="319">
    <w:name w:val="样式 正文文本缩进 3 + 行距: 固定值 19 磅"/>
    <w:basedOn w:val="39"/>
    <w:qFormat/>
    <w:pPr>
      <w:adjustRightInd/>
      <w:snapToGrid/>
      <w:spacing w:after="120" w:line="380" w:lineRule="exact"/>
      <w:ind w:firstLineChars="0" w:firstLine="0"/>
      <w:jc w:val="center"/>
    </w:pPr>
    <w:rPr>
      <w:rFonts w:ascii="Times New Roman" w:cs="宋体"/>
      <w:color w:val="auto"/>
      <w:kern w:val="0"/>
      <w:sz w:val="16"/>
      <w:szCs w:val="20"/>
    </w:rPr>
  </w:style>
  <w:style w:type="paragraph" w:customStyle="1" w:styleId="40">
    <w:name w:val="示例和注释(不缩进4)"/>
    <w:basedOn w:val="a6"/>
    <w:semiHidden/>
    <w:qFormat/>
    <w:pPr>
      <w:widowControl/>
      <w:numPr>
        <w:ilvl w:val="7"/>
        <w:numId w:val="12"/>
      </w:numPr>
      <w:ind w:firstLine="0"/>
      <w:jc w:val="left"/>
    </w:pPr>
    <w:rPr>
      <w:rFonts w:ascii="Arial" w:hAnsi="Arial" w:cs="宋体"/>
      <w:kern w:val="0"/>
      <w:sz w:val="24"/>
    </w:rPr>
  </w:style>
  <w:style w:type="paragraph" w:customStyle="1" w:styleId="1fffff1">
    <w:name w:val="目录1"/>
    <w:basedOn w:val="13"/>
    <w:next w:val="13"/>
    <w:qFormat/>
    <w:pPr>
      <w:widowControl/>
      <w:tabs>
        <w:tab w:val="left" w:leader="dot" w:pos="8492"/>
        <w:tab w:val="right" w:leader="dot" w:pos="8525"/>
      </w:tabs>
      <w:adjustRightInd w:val="0"/>
      <w:spacing w:before="0" w:afterLines="50" w:after="0" w:line="360" w:lineRule="auto"/>
      <w:textAlignment w:val="baseline"/>
    </w:pPr>
    <w:rPr>
      <w:rFonts w:ascii="宋体" w:eastAsia="Times New Roman"/>
      <w:bCs w:val="0"/>
      <w:color w:val="000000"/>
      <w:kern w:val="0"/>
      <w:sz w:val="24"/>
      <w:szCs w:val="21"/>
      <w:u w:color="000000"/>
    </w:rPr>
  </w:style>
  <w:style w:type="paragraph" w:customStyle="1" w:styleId="affffffffffffffffffffffffffff4">
    <w:name w:val="表格文字右"/>
    <w:basedOn w:val="affffffff2"/>
    <w:qFormat/>
    <w:pPr>
      <w:keepNext/>
      <w:widowControl/>
      <w:spacing w:line="360" w:lineRule="auto"/>
      <w:ind w:rightChars="20" w:right="56"/>
      <w:jc w:val="right"/>
    </w:pPr>
    <w:rPr>
      <w:rFonts w:cs="宋体"/>
      <w:sz w:val="24"/>
      <w:szCs w:val="21"/>
    </w:rPr>
  </w:style>
  <w:style w:type="paragraph" w:customStyle="1" w:styleId="reader-word-layerreader-word-s1-0reader-word-s1-3">
    <w:name w:val="reader-word-layer reader-word-s1-0 reader-word-s1-3"/>
    <w:basedOn w:val="a6"/>
    <w:qFormat/>
    <w:pPr>
      <w:widowControl/>
      <w:spacing w:before="100" w:beforeAutospacing="1" w:after="100" w:afterAutospacing="1"/>
      <w:jc w:val="left"/>
    </w:pPr>
    <w:rPr>
      <w:rFonts w:ascii="宋体" w:hAnsi="宋体" w:cs="宋体"/>
      <w:kern w:val="0"/>
      <w:sz w:val="24"/>
    </w:rPr>
  </w:style>
  <w:style w:type="paragraph" w:customStyle="1" w:styleId="affffffffffffffffffffffffffff5">
    <w:name w:val="二级标题！！！"/>
    <w:basedOn w:val="a6"/>
    <w:qFormat/>
    <w:pPr>
      <w:spacing w:line="500" w:lineRule="exact"/>
      <w:outlineLvl w:val="1"/>
    </w:pPr>
    <w:rPr>
      <w:rFonts w:ascii="楷体_GB2312" w:eastAsia="楷体_GB2312" w:hAnsi="宋体"/>
      <w:b/>
      <w:sz w:val="28"/>
    </w:rPr>
  </w:style>
  <w:style w:type="paragraph" w:customStyle="1" w:styleId="323">
    <w:name w:val="表格 32"/>
    <w:basedOn w:val="a6"/>
    <w:qFormat/>
    <w:pPr>
      <w:autoSpaceDE w:val="0"/>
      <w:autoSpaceDN w:val="0"/>
      <w:adjustRightInd w:val="0"/>
      <w:spacing w:line="360" w:lineRule="auto"/>
      <w:ind w:firstLineChars="200" w:firstLine="200"/>
      <w:jc w:val="center"/>
      <w:textAlignment w:val="baseline"/>
    </w:pPr>
    <w:rPr>
      <w:kern w:val="0"/>
      <w:sz w:val="24"/>
    </w:rPr>
  </w:style>
  <w:style w:type="paragraph" w:customStyle="1" w:styleId="affffffffffffffffffffffffffff6">
    <w:name w:val="表体宋旭峰"/>
    <w:basedOn w:val="a6"/>
    <w:qFormat/>
    <w:pPr>
      <w:tabs>
        <w:tab w:val="left" w:pos="3685"/>
      </w:tabs>
      <w:overflowPunct w:val="0"/>
      <w:spacing w:line="300" w:lineRule="exact"/>
      <w:jc w:val="center"/>
      <w:textAlignment w:val="baseline"/>
    </w:pPr>
    <w:rPr>
      <w:rFonts w:ascii="宋体" w:hAnsi="Courier New" w:cs="Courier New"/>
      <w:snapToGrid w:val="0"/>
      <w:kern w:val="0"/>
      <w:sz w:val="18"/>
      <w:szCs w:val="18"/>
    </w:rPr>
  </w:style>
  <w:style w:type="paragraph" w:customStyle="1" w:styleId="xl71">
    <w:name w:val="xl71"/>
    <w:basedOn w:val="a6"/>
    <w:qFormat/>
    <w:pPr>
      <w:widowControl/>
      <w:pBdr>
        <w:left w:val="single" w:sz="4" w:space="0" w:color="auto"/>
        <w:bottom w:val="single" w:sz="8" w:space="0" w:color="auto"/>
      </w:pBdr>
      <w:spacing w:before="100" w:beforeAutospacing="1" w:after="100" w:afterAutospacing="1"/>
      <w:jc w:val="center"/>
      <w:textAlignment w:val="center"/>
    </w:pPr>
    <w:rPr>
      <w:rFonts w:ascii="宋体" w:eastAsia="Arial Unicode MS"/>
      <w:kern w:val="0"/>
      <w:sz w:val="24"/>
      <w:szCs w:val="20"/>
    </w:rPr>
  </w:style>
  <w:style w:type="paragraph" w:customStyle="1" w:styleId="5155Char21Char2Char2-004">
    <w:name w:val="样式 标题 51)项标5标题 5 Char21) Char2项 Char2 + 左侧:  -0.04 厘米"/>
    <w:basedOn w:val="a6"/>
    <w:semiHidden/>
    <w:qFormat/>
    <w:pPr>
      <w:keepNext/>
      <w:widowControl/>
      <w:tabs>
        <w:tab w:val="left" w:pos="432"/>
        <w:tab w:val="left" w:pos="560"/>
        <w:tab w:val="left" w:pos="628"/>
        <w:tab w:val="left" w:pos="1727"/>
        <w:tab w:val="left" w:pos="1884"/>
        <w:tab w:val="left" w:pos="2660"/>
        <w:tab w:val="left" w:pos="5460"/>
        <w:tab w:val="left" w:leader="middleDot" w:pos="7915"/>
      </w:tabs>
      <w:autoSpaceDE w:val="0"/>
      <w:autoSpaceDN w:val="0"/>
      <w:adjustRightInd w:val="0"/>
      <w:snapToGrid w:val="0"/>
      <w:spacing w:line="360" w:lineRule="auto"/>
      <w:ind w:leftChars="153" w:left="432" w:firstLineChars="50" w:hanging="432"/>
      <w:jc w:val="left"/>
    </w:pPr>
    <w:rPr>
      <w:rFonts w:ascii="黑体" w:eastAsia="黑体" w:cs="宋体"/>
      <w:kern w:val="0"/>
      <w:sz w:val="28"/>
      <w:szCs w:val="28"/>
    </w:rPr>
  </w:style>
  <w:style w:type="paragraph" w:customStyle="1" w:styleId="affffffffffffffffffffffffffff7">
    <w:name w:val="首行缩进"/>
    <w:basedOn w:val="a6"/>
    <w:qFormat/>
    <w:pPr>
      <w:spacing w:line="400" w:lineRule="exact"/>
      <w:jc w:val="center"/>
    </w:pPr>
    <w:rPr>
      <w:rFonts w:ascii="宋体" w:eastAsia="黑体"/>
      <w:kern w:val="0"/>
      <w:sz w:val="24"/>
      <w:szCs w:val="20"/>
    </w:rPr>
  </w:style>
  <w:style w:type="paragraph" w:customStyle="1" w:styleId="3fff">
    <w:name w:val="纯文本3"/>
    <w:basedOn w:val="a6"/>
    <w:qFormat/>
    <w:pPr>
      <w:adjustRightInd w:val="0"/>
      <w:textAlignment w:val="baseline"/>
    </w:pPr>
    <w:rPr>
      <w:rFonts w:ascii="宋体" w:hAnsi="Courier New"/>
      <w:color w:val="000000"/>
      <w:kern w:val="0"/>
      <w:szCs w:val="20"/>
    </w:rPr>
  </w:style>
  <w:style w:type="paragraph" w:customStyle="1" w:styleId="CharCharCharCharCharCharCharCharCharCharCharCharCharCharCharCharChar2">
    <w:name w:val="Char Char Char Char Char Char Char Char Char Char Char Char Char Char Char Char Char2"/>
    <w:basedOn w:val="a6"/>
    <w:qFormat/>
  </w:style>
  <w:style w:type="paragraph" w:customStyle="1" w:styleId="affffffffffffffffffffffffffff8">
    <w:name w:val="三级无标题条"/>
    <w:basedOn w:val="a6"/>
    <w:qFormat/>
  </w:style>
  <w:style w:type="paragraph" w:customStyle="1" w:styleId="CM70">
    <w:name w:val="CM70"/>
    <w:basedOn w:val="a6"/>
    <w:next w:val="a6"/>
    <w:qFormat/>
    <w:pPr>
      <w:autoSpaceDE w:val="0"/>
      <w:autoSpaceDN w:val="0"/>
      <w:adjustRightInd w:val="0"/>
      <w:spacing w:after="173"/>
      <w:jc w:val="left"/>
    </w:pPr>
    <w:rPr>
      <w:rFonts w:ascii="宋体" w:hAnsi="Calibri"/>
      <w:kern w:val="0"/>
      <w:sz w:val="24"/>
      <w:szCs w:val="20"/>
    </w:rPr>
  </w:style>
  <w:style w:type="paragraph" w:customStyle="1" w:styleId="11f3">
    <w:name w:val="11"/>
    <w:basedOn w:val="a6"/>
    <w:next w:val="af0"/>
    <w:qFormat/>
    <w:pPr>
      <w:widowControl/>
      <w:ind w:firstLine="420"/>
      <w:jc w:val="left"/>
    </w:pPr>
    <w:rPr>
      <w:kern w:val="0"/>
      <w:sz w:val="28"/>
      <w:szCs w:val="20"/>
    </w:rPr>
  </w:style>
  <w:style w:type="paragraph" w:customStyle="1" w:styleId="affffffffffffffffffffffffffff9">
    <w:name w:val="页号"/>
    <w:basedOn w:val="aff0"/>
    <w:qFormat/>
    <w:pPr>
      <w:tabs>
        <w:tab w:val="clear" w:pos="4153"/>
        <w:tab w:val="clear" w:pos="9214"/>
        <w:tab w:val="center" w:pos="4320"/>
        <w:tab w:val="right" w:pos="8640"/>
      </w:tabs>
      <w:snapToGrid/>
      <w:jc w:val="center"/>
      <w:textAlignment w:val="baseline"/>
    </w:pPr>
    <w:rPr>
      <w:rFonts w:ascii="宋体" w:eastAsia="Times New Roman" w:hAnsi="Arial"/>
      <w:b w:val="0"/>
      <w:color w:val="000000"/>
      <w:spacing w:val="3"/>
      <w:w w:val="110"/>
      <w:kern w:val="24"/>
      <w:sz w:val="24"/>
      <w:szCs w:val="20"/>
      <w:lang w:val="en-US"/>
    </w:rPr>
  </w:style>
  <w:style w:type="paragraph" w:customStyle="1" w:styleId="7Char2">
    <w:name w:val="标题7 Char"/>
    <w:basedOn w:val="a6"/>
    <w:next w:val="a6"/>
    <w:qFormat/>
    <w:pPr>
      <w:keepNext/>
      <w:widowControl/>
      <w:tabs>
        <w:tab w:val="left" w:pos="360"/>
        <w:tab w:val="left" w:pos="560"/>
      </w:tabs>
      <w:jc w:val="center"/>
    </w:pPr>
    <w:rPr>
      <w:rFonts w:eastAsia="黑体" w:cs="黑体"/>
      <w:bCs/>
      <w:color w:val="000000"/>
      <w:kern w:val="0"/>
      <w:sz w:val="24"/>
    </w:rPr>
  </w:style>
  <w:style w:type="paragraph" w:customStyle="1" w:styleId="134">
    <w:name w:val="样式 宋体 小四 行距: 多倍行距 1.3 字行"/>
    <w:basedOn w:val="a6"/>
    <w:qFormat/>
    <w:pPr>
      <w:spacing w:line="312" w:lineRule="auto"/>
      <w:ind w:firstLineChars="200" w:firstLine="480"/>
    </w:pPr>
    <w:rPr>
      <w:rFonts w:ascii="宋体" w:hAnsi="宋体" w:cs="宋体"/>
      <w:sz w:val="24"/>
      <w:szCs w:val="20"/>
    </w:rPr>
  </w:style>
  <w:style w:type="paragraph" w:customStyle="1" w:styleId="affffffffffffffffffffffffffffa">
    <w:name w:val="样式_表头"/>
    <w:qFormat/>
    <w:pPr>
      <w:tabs>
        <w:tab w:val="left" w:pos="720"/>
      </w:tabs>
      <w:adjustRightInd w:val="0"/>
      <w:snapToGrid w:val="0"/>
      <w:jc w:val="center"/>
    </w:pPr>
    <w:rPr>
      <w:b/>
      <w:kern w:val="2"/>
      <w:sz w:val="24"/>
    </w:rPr>
  </w:style>
  <w:style w:type="paragraph" w:customStyle="1" w:styleId="affffffffffffffffffffffffffffb">
    <w:name w:val="正文图竖五"/>
    <w:basedOn w:val="a6"/>
    <w:qFormat/>
    <w:pPr>
      <w:jc w:val="center"/>
    </w:pPr>
    <w:rPr>
      <w:rFonts w:eastAsia="仿宋_GB2312"/>
      <w:color w:val="000000"/>
      <w:kern w:val="0"/>
      <w:szCs w:val="21"/>
    </w:rPr>
  </w:style>
  <w:style w:type="paragraph" w:customStyle="1" w:styleId="xl51">
    <w:name w:val="xl51"/>
    <w:basedOn w:val="a6"/>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eastAsia="Arial Unicode MS"/>
      <w:kern w:val="0"/>
      <w:sz w:val="24"/>
      <w:szCs w:val="20"/>
    </w:rPr>
  </w:style>
  <w:style w:type="paragraph" w:customStyle="1" w:styleId="1fffff2">
    <w:name w:val="1、"/>
    <w:basedOn w:val="a6"/>
    <w:qFormat/>
    <w:pPr>
      <w:widowControl/>
      <w:spacing w:line="360" w:lineRule="auto"/>
      <w:ind w:firstLineChars="192" w:firstLine="461"/>
      <w:jc w:val="left"/>
    </w:pPr>
    <w:rPr>
      <w:rFonts w:ascii="宋体" w:hAnsi="宋体" w:cs="宋体"/>
      <w:kern w:val="0"/>
      <w:sz w:val="24"/>
      <w:szCs w:val="20"/>
    </w:rPr>
  </w:style>
  <w:style w:type="paragraph" w:customStyle="1" w:styleId="InTableII">
    <w:name w:val="In Table (II)"/>
    <w:basedOn w:val="InTable"/>
    <w:qFormat/>
    <w:pPr>
      <w:tabs>
        <w:tab w:val="left" w:pos="2200"/>
      </w:tabs>
      <w:spacing w:beforeLines="25" w:afterLines="25"/>
      <w:ind w:leftChars="20" w:left="52"/>
      <w:jc w:val="left"/>
    </w:pPr>
    <w:rPr>
      <w:bCs/>
    </w:rPr>
  </w:style>
  <w:style w:type="paragraph" w:customStyle="1" w:styleId="qilu">
    <w:name w:val="qilu"/>
    <w:basedOn w:val="a6"/>
    <w:qFormat/>
    <w:pPr>
      <w:autoSpaceDE w:val="0"/>
      <w:autoSpaceDN w:val="0"/>
      <w:adjustRightInd w:val="0"/>
      <w:snapToGrid w:val="0"/>
      <w:spacing w:line="480" w:lineRule="atLeast"/>
      <w:jc w:val="left"/>
      <w:textAlignment w:val="baseline"/>
    </w:pPr>
    <w:rPr>
      <w:rFonts w:ascii="宋体"/>
      <w:b/>
      <w:snapToGrid w:val="0"/>
      <w:spacing w:val="6"/>
      <w:kern w:val="0"/>
      <w:sz w:val="28"/>
      <w:szCs w:val="20"/>
    </w:rPr>
  </w:style>
  <w:style w:type="paragraph" w:customStyle="1" w:styleId="TimesNewRoman120">
    <w:name w:val="样式 表格文字居中 + Times New Roman 五号 两端对齐 行距: 固定值 12 磅"/>
    <w:basedOn w:val="CharChar8"/>
    <w:qFormat/>
    <w:pPr>
      <w:keepNext w:val="0"/>
      <w:adjustRightInd/>
      <w:snapToGrid/>
      <w:spacing w:line="240" w:lineRule="auto"/>
      <w:jc w:val="both"/>
    </w:pPr>
    <w:rPr>
      <w:rFonts w:ascii="Times New Roman" w:hAnsi="Times New Roman" w:cs="宋体"/>
      <w:kern w:val="0"/>
      <w:sz w:val="21"/>
    </w:rPr>
  </w:style>
  <w:style w:type="paragraph" w:customStyle="1" w:styleId="TableHead">
    <w:name w:val="Table Head"/>
    <w:basedOn w:val="a6"/>
    <w:next w:val="a6"/>
    <w:qFormat/>
    <w:pPr>
      <w:widowControl/>
      <w:spacing w:before="80" w:after="80"/>
      <w:jc w:val="center"/>
    </w:pPr>
    <w:rPr>
      <w:rFonts w:ascii="Arial" w:eastAsia="MS Mincho" w:hAnsi="Arial"/>
      <w:b/>
      <w:kern w:val="0"/>
      <w:sz w:val="18"/>
      <w:szCs w:val="20"/>
      <w:lang w:eastAsia="ja-JP"/>
    </w:rPr>
  </w:style>
  <w:style w:type="paragraph" w:customStyle="1" w:styleId="95">
    <w:name w:val="表格内字体9"/>
    <w:basedOn w:val="affffa"/>
    <w:next w:val="affffa"/>
    <w:qFormat/>
    <w:pPr>
      <w:spacing w:line="240" w:lineRule="auto"/>
      <w:ind w:firstLine="0"/>
      <w:jc w:val="center"/>
    </w:pPr>
    <w:rPr>
      <w:sz w:val="21"/>
    </w:rPr>
  </w:style>
  <w:style w:type="paragraph" w:customStyle="1" w:styleId="affffffffffffffffffffffffffffc">
    <w:name w:val="专业名称"/>
    <w:basedOn w:val="a6"/>
    <w:qFormat/>
    <w:pPr>
      <w:keepNext/>
      <w:widowControl/>
      <w:snapToGrid w:val="0"/>
      <w:spacing w:beforeLines="50" w:line="300" w:lineRule="auto"/>
      <w:jc w:val="center"/>
    </w:pPr>
    <w:rPr>
      <w:rFonts w:ascii="黑体" w:eastAsia="黑体" w:cs="宋体"/>
      <w:kern w:val="0"/>
      <w:sz w:val="32"/>
      <w:szCs w:val="20"/>
    </w:rPr>
  </w:style>
  <w:style w:type="paragraph" w:customStyle="1" w:styleId="008">
    <w:name w:val="00"/>
    <w:basedOn w:val="a6"/>
    <w:qFormat/>
    <w:pPr>
      <w:spacing w:line="360" w:lineRule="auto"/>
      <w:ind w:firstLineChars="200" w:firstLine="200"/>
      <w:jc w:val="left"/>
    </w:pPr>
    <w:rPr>
      <w:rFonts w:ascii="宋体" w:hAnsi="宋体" w:cs="宋体"/>
      <w:color w:val="000000"/>
      <w:kern w:val="0"/>
      <w:sz w:val="24"/>
    </w:rPr>
  </w:style>
  <w:style w:type="paragraph" w:customStyle="1" w:styleId="2fffff0">
    <w:name w:val="标题2，第二标题"/>
    <w:basedOn w:val="affc"/>
    <w:next w:val="affc"/>
    <w:qFormat/>
    <w:pPr>
      <w:tabs>
        <w:tab w:val="left" w:pos="628"/>
        <w:tab w:val="left" w:pos="1240"/>
        <w:tab w:val="left" w:pos="1727"/>
        <w:tab w:val="left" w:pos="1884"/>
        <w:tab w:val="left" w:pos="2660"/>
        <w:tab w:val="left" w:pos="5460"/>
      </w:tabs>
      <w:snapToGrid w:val="0"/>
      <w:spacing w:beforeLines="30" w:afterLines="30" w:after="120" w:line="440" w:lineRule="exact"/>
      <w:ind w:left="1240" w:firstLineChars="0" w:hanging="720"/>
      <w:outlineLvl w:val="1"/>
    </w:pPr>
    <w:rPr>
      <w:rFonts w:ascii="Times New Roman" w:eastAsia="黑体" w:hAnsi="Times New Roman"/>
      <w:bCs w:val="0"/>
      <w:color w:val="000000"/>
      <w:spacing w:val="0"/>
      <w:w w:val="110"/>
      <w:kern w:val="2"/>
      <w:sz w:val="28"/>
      <w:szCs w:val="20"/>
    </w:rPr>
  </w:style>
  <w:style w:type="paragraph" w:customStyle="1" w:styleId="Style97">
    <w:name w:val="Style97"/>
    <w:basedOn w:val="a6"/>
    <w:qFormat/>
    <w:pPr>
      <w:adjustRightInd w:val="0"/>
      <w:jc w:val="center"/>
    </w:pPr>
    <w:rPr>
      <w:rFonts w:ascii="宋体"/>
      <w:kern w:val="0"/>
      <w:sz w:val="24"/>
      <w:szCs w:val="20"/>
    </w:rPr>
  </w:style>
  <w:style w:type="paragraph" w:customStyle="1" w:styleId="p16">
    <w:name w:val="p16"/>
    <w:basedOn w:val="a6"/>
    <w:qFormat/>
    <w:pPr>
      <w:widowControl/>
      <w:snapToGrid w:val="0"/>
      <w:spacing w:before="62" w:after="156" w:line="480" w:lineRule="exact"/>
      <w:ind w:firstLineChars="200" w:firstLine="200"/>
      <w:jc w:val="left"/>
    </w:pPr>
    <w:rPr>
      <w:b/>
      <w:kern w:val="0"/>
      <w:sz w:val="24"/>
      <w:szCs w:val="20"/>
    </w:rPr>
  </w:style>
  <w:style w:type="paragraph" w:customStyle="1" w:styleId="affffffffffffffffffffffffffffd">
    <w:name w:val="签署栏"/>
    <w:basedOn w:val="a6"/>
    <w:qFormat/>
    <w:pPr>
      <w:keepNext/>
      <w:widowControl/>
      <w:spacing w:line="300" w:lineRule="auto"/>
      <w:jc w:val="center"/>
    </w:pPr>
    <w:rPr>
      <w:rFonts w:ascii="黑体" w:eastAsia="黑体" w:cs="宋体"/>
      <w:spacing w:val="80"/>
      <w:kern w:val="0"/>
      <w:sz w:val="32"/>
      <w:szCs w:val="20"/>
    </w:rPr>
  </w:style>
  <w:style w:type="paragraph" w:customStyle="1" w:styleId="Style108">
    <w:name w:val="Style108"/>
    <w:basedOn w:val="a6"/>
    <w:qFormat/>
    <w:pPr>
      <w:adjustRightInd w:val="0"/>
      <w:jc w:val="left"/>
    </w:pPr>
    <w:rPr>
      <w:rFonts w:ascii="宋体"/>
      <w:kern w:val="0"/>
      <w:sz w:val="24"/>
      <w:szCs w:val="20"/>
    </w:rPr>
  </w:style>
  <w:style w:type="paragraph" w:customStyle="1" w:styleId="5ff">
    <w:name w:val="左5"/>
    <w:basedOn w:val="a6"/>
    <w:qFormat/>
    <w:pPr>
      <w:snapToGrid w:val="0"/>
      <w:jc w:val="left"/>
    </w:pPr>
    <w:rPr>
      <w:rFonts w:ascii="宋体"/>
      <w:color w:val="000000"/>
      <w:sz w:val="18"/>
    </w:rPr>
  </w:style>
  <w:style w:type="paragraph" w:customStyle="1" w:styleId="CharCharChar1CharCharChar4">
    <w:name w:val="Char Char Char1 Char Char Char4"/>
    <w:basedOn w:val="a6"/>
    <w:qFormat/>
  </w:style>
  <w:style w:type="paragraph" w:customStyle="1" w:styleId="xl101">
    <w:name w:val="xl101"/>
    <w:basedOn w:val="a6"/>
    <w:qFormat/>
    <w:pPr>
      <w:widowControl/>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ascii="宋体" w:hAnsi="宋体" w:cs="宋体"/>
      <w:kern w:val="0"/>
      <w:sz w:val="20"/>
      <w:szCs w:val="20"/>
    </w:rPr>
  </w:style>
  <w:style w:type="paragraph" w:customStyle="1" w:styleId="affffffffffffffffffffffffffffe">
    <w:name w:val="项目负责人"/>
    <w:basedOn w:val="a6"/>
    <w:qFormat/>
    <w:pPr>
      <w:keepNext/>
      <w:widowControl/>
      <w:snapToGrid w:val="0"/>
      <w:spacing w:beforeLines="50" w:line="300" w:lineRule="auto"/>
      <w:jc w:val="left"/>
    </w:pPr>
    <w:rPr>
      <w:rFonts w:ascii="宋体" w:cs="宋体"/>
      <w:spacing w:val="66"/>
      <w:kern w:val="0"/>
      <w:sz w:val="32"/>
      <w:szCs w:val="20"/>
    </w:rPr>
  </w:style>
  <w:style w:type="paragraph" w:customStyle="1" w:styleId="Char4CharCharChar">
    <w:name w:val="Char4 Char Char Char"/>
    <w:basedOn w:val="a6"/>
    <w:qFormat/>
    <w:pPr>
      <w:adjustRightInd w:val="0"/>
      <w:snapToGrid w:val="0"/>
      <w:spacing w:line="360" w:lineRule="auto"/>
      <w:ind w:firstLineChars="200" w:firstLine="200"/>
    </w:pPr>
    <w:rPr>
      <w:rFonts w:ascii="宋体" w:hAnsi="宋体" w:cs="宋体"/>
      <w:sz w:val="24"/>
      <w:szCs w:val="26"/>
    </w:rPr>
  </w:style>
  <w:style w:type="paragraph" w:customStyle="1" w:styleId="afffffffffffffffffffffffffffff">
    <w:name w:val="讲稿"/>
    <w:basedOn w:val="a6"/>
    <w:qFormat/>
    <w:pPr>
      <w:ind w:firstLine="431"/>
    </w:pPr>
    <w:rPr>
      <w:rFonts w:ascii="Arial" w:hAnsi="Arial"/>
      <w:kern w:val="0"/>
      <w:szCs w:val="20"/>
    </w:rPr>
  </w:style>
  <w:style w:type="paragraph" w:customStyle="1" w:styleId="129">
    <w:name w:val="样式 标题 1 + 首行缩进:  2 字符"/>
    <w:basedOn w:val="12"/>
    <w:qFormat/>
    <w:pPr>
      <w:keepNext w:val="0"/>
      <w:keepLines w:val="0"/>
      <w:tabs>
        <w:tab w:val="left" w:pos="1152"/>
      </w:tabs>
      <w:spacing w:beforeLines="100" w:before="0" w:afterLines="100" w:after="0" w:line="500" w:lineRule="exact"/>
      <w:jc w:val="left"/>
    </w:pPr>
    <w:rPr>
      <w:rFonts w:hAnsi="黑体"/>
      <w:bCs w:val="0"/>
      <w:kern w:val="2"/>
      <w:szCs w:val="30"/>
    </w:rPr>
  </w:style>
  <w:style w:type="paragraph" w:customStyle="1" w:styleId="xl57">
    <w:name w:val="xl57"/>
    <w:basedOn w:val="a6"/>
    <w:qFormat/>
    <w:pPr>
      <w:widowControl/>
      <w:pBdr>
        <w:top w:val="single" w:sz="8"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24"/>
      <w:szCs w:val="20"/>
    </w:rPr>
  </w:style>
  <w:style w:type="paragraph" w:customStyle="1" w:styleId="Char1ffd">
    <w:name w:val="Char1"/>
    <w:basedOn w:val="a6"/>
    <w:uiPriority w:val="99"/>
    <w:qFormat/>
  </w:style>
  <w:style w:type="paragraph" w:customStyle="1" w:styleId="Style25">
    <w:name w:val="Style25"/>
    <w:basedOn w:val="a6"/>
    <w:qFormat/>
    <w:pPr>
      <w:adjustRightInd w:val="0"/>
      <w:jc w:val="center"/>
    </w:pPr>
    <w:rPr>
      <w:rFonts w:ascii="宋体"/>
      <w:kern w:val="0"/>
      <w:sz w:val="24"/>
      <w:szCs w:val="20"/>
    </w:rPr>
  </w:style>
  <w:style w:type="paragraph" w:customStyle="1" w:styleId="charffffffffff8">
    <w:name w:val="char"/>
    <w:basedOn w:val="a6"/>
    <w:qFormat/>
    <w:pPr>
      <w:widowControl/>
      <w:spacing w:after="160" w:line="240" w:lineRule="exact"/>
      <w:jc w:val="left"/>
    </w:pPr>
    <w:rPr>
      <w:rFonts w:ascii="Verdana" w:eastAsia="仿宋_GB2312" w:hAnsi="Verdana" w:cs="”“Times New Roman”“"/>
      <w:color w:val="000000"/>
      <w:w w:val="110"/>
      <w:kern w:val="0"/>
      <w:sz w:val="24"/>
      <w:szCs w:val="20"/>
      <w:lang w:eastAsia="en-US"/>
    </w:rPr>
  </w:style>
  <w:style w:type="paragraph" w:customStyle="1" w:styleId="afffffffffffffffffffffffffffff0">
    <w:name w:val="正文表头"/>
    <w:basedOn w:val="a6"/>
    <w:next w:val="afffffffffffffff"/>
    <w:qFormat/>
    <w:pPr>
      <w:keepNext/>
      <w:tabs>
        <w:tab w:val="center" w:pos="4253"/>
        <w:tab w:val="right" w:pos="8505"/>
      </w:tabs>
      <w:overflowPunct w:val="0"/>
      <w:adjustRightInd w:val="0"/>
      <w:spacing w:before="120" w:line="360" w:lineRule="auto"/>
      <w:jc w:val="center"/>
      <w:textAlignment w:val="baseline"/>
    </w:pPr>
    <w:rPr>
      <w:rFonts w:eastAsia="黑体"/>
      <w:kern w:val="0"/>
      <w:sz w:val="28"/>
      <w:szCs w:val="20"/>
    </w:rPr>
  </w:style>
  <w:style w:type="paragraph" w:customStyle="1" w:styleId="xl38">
    <w:name w:val="xl38"/>
    <w:basedOn w:val="a6"/>
    <w:qFormat/>
    <w:pPr>
      <w:widowControl/>
      <w:pBdr>
        <w:left w:val="single" w:sz="4" w:space="0" w:color="auto"/>
        <w:bottom w:val="single" w:sz="4" w:space="0" w:color="auto"/>
        <w:right w:val="single" w:sz="4" w:space="0" w:color="auto"/>
      </w:pBdr>
      <w:spacing w:before="100" w:after="100"/>
      <w:jc w:val="center"/>
      <w:textAlignment w:val="center"/>
    </w:pPr>
    <w:rPr>
      <w:kern w:val="0"/>
      <w:szCs w:val="20"/>
    </w:rPr>
  </w:style>
  <w:style w:type="paragraph" w:customStyle="1" w:styleId="44440">
    <w:name w:val="4444表格"/>
    <w:basedOn w:val="a6"/>
    <w:qFormat/>
    <w:pPr>
      <w:spacing w:line="300" w:lineRule="exact"/>
      <w:jc w:val="center"/>
    </w:pPr>
    <w:rPr>
      <w:szCs w:val="21"/>
    </w:rPr>
  </w:style>
  <w:style w:type="paragraph" w:customStyle="1" w:styleId="xl30">
    <w:name w:val="xl30"/>
    <w:basedOn w:val="a6"/>
    <w:qFormat/>
    <w:pPr>
      <w:widowControl/>
      <w:pBdr>
        <w:top w:val="single" w:sz="4" w:space="0" w:color="auto"/>
        <w:left w:val="single" w:sz="4" w:space="0" w:color="auto"/>
        <w:bottom w:val="single" w:sz="4" w:space="0" w:color="auto"/>
        <w:right w:val="single" w:sz="4" w:space="0" w:color="auto"/>
      </w:pBdr>
      <w:spacing w:before="100" w:after="100"/>
      <w:jc w:val="center"/>
      <w:textAlignment w:val="center"/>
    </w:pPr>
    <w:rPr>
      <w:kern w:val="0"/>
      <w:szCs w:val="20"/>
    </w:rPr>
  </w:style>
  <w:style w:type="paragraph" w:customStyle="1" w:styleId="316">
    <w:name w:val="正文31"/>
    <w:basedOn w:val="a6"/>
    <w:next w:val="a6"/>
    <w:qFormat/>
    <w:pPr>
      <w:spacing w:line="529" w:lineRule="exact"/>
      <w:ind w:firstLine="420"/>
    </w:pPr>
    <w:rPr>
      <w:rFonts w:ascii="宋体" w:hAnsi="宋体" w:hint="eastAsia"/>
      <w:spacing w:val="4"/>
      <w:kern w:val="0"/>
      <w:sz w:val="24"/>
      <w:szCs w:val="20"/>
    </w:rPr>
  </w:style>
  <w:style w:type="paragraph" w:customStyle="1" w:styleId="Technical6">
    <w:name w:val="Technical 6"/>
    <w:qFormat/>
    <w:pPr>
      <w:tabs>
        <w:tab w:val="left" w:pos="-720"/>
      </w:tabs>
      <w:suppressAutoHyphens/>
      <w:ind w:firstLine="720"/>
    </w:pPr>
    <w:rPr>
      <w:rFonts w:ascii="Courier" w:hAnsi="Courier"/>
      <w:b/>
      <w:sz w:val="24"/>
      <w:lang w:eastAsia="en-US"/>
    </w:rPr>
  </w:style>
  <w:style w:type="paragraph" w:customStyle="1" w:styleId="HeadingBase">
    <w:name w:val="Heading Base"/>
    <w:basedOn w:val="af8"/>
    <w:next w:val="af8"/>
    <w:qFormat/>
    <w:pPr>
      <w:keepNext/>
      <w:keepLines/>
      <w:widowControl/>
      <w:spacing w:after="0" w:line="220" w:lineRule="atLeast"/>
      <w:ind w:right="-360"/>
      <w:jc w:val="left"/>
    </w:pPr>
    <w:rPr>
      <w:rFonts w:ascii="Arial" w:hAnsi="Arial"/>
      <w:spacing w:val="-4"/>
      <w:kern w:val="0"/>
      <w:sz w:val="18"/>
      <w:szCs w:val="20"/>
    </w:rPr>
  </w:style>
  <w:style w:type="paragraph" w:customStyle="1" w:styleId="afffffffffffffffffffffffffffff1">
    <w:name w:val="丰水试验"/>
    <w:basedOn w:val="a6"/>
    <w:qFormat/>
    <w:pPr>
      <w:adjustRightInd w:val="0"/>
      <w:spacing w:line="360" w:lineRule="atLeast"/>
      <w:jc w:val="left"/>
      <w:textAlignment w:val="baseline"/>
    </w:pPr>
    <w:rPr>
      <w:spacing w:val="4"/>
      <w:kern w:val="0"/>
      <w:sz w:val="24"/>
      <w:szCs w:val="20"/>
    </w:rPr>
  </w:style>
  <w:style w:type="paragraph" w:customStyle="1" w:styleId="2120">
    <w:name w:val="正文文本缩进 212"/>
    <w:basedOn w:val="a6"/>
    <w:qFormat/>
    <w:pPr>
      <w:adjustRightInd w:val="0"/>
      <w:spacing w:before="240" w:line="480" w:lineRule="exact"/>
      <w:ind w:firstLine="480"/>
      <w:textAlignment w:val="baseline"/>
    </w:pPr>
    <w:rPr>
      <w:rFonts w:ascii="宋体"/>
      <w:color w:val="000000"/>
      <w:w w:val="110"/>
      <w:kern w:val="0"/>
      <w:sz w:val="24"/>
    </w:rPr>
  </w:style>
  <w:style w:type="paragraph" w:customStyle="1" w:styleId="1fffff3">
    <w:name w:val="收信人地址1"/>
    <w:basedOn w:val="a6"/>
    <w:qFormat/>
    <w:pPr>
      <w:snapToGrid w:val="0"/>
      <w:ind w:leftChars="1400" w:left="100"/>
    </w:pPr>
    <w:rPr>
      <w:rFonts w:ascii="Arial" w:hAnsi="Arial" w:cs="Arial"/>
      <w:sz w:val="24"/>
    </w:rPr>
  </w:style>
  <w:style w:type="paragraph" w:customStyle="1" w:styleId="05051">
    <w:name w:val="样式 样式 表格标题 + 段前: 0.5 行 + 段前: 0.5 行1"/>
    <w:basedOn w:val="a6"/>
    <w:qFormat/>
    <w:pPr>
      <w:autoSpaceDE w:val="0"/>
      <w:autoSpaceDN w:val="0"/>
      <w:adjustRightInd w:val="0"/>
      <w:spacing w:beforeLines="50" w:line="400" w:lineRule="exact"/>
      <w:jc w:val="center"/>
    </w:pPr>
    <w:rPr>
      <w:rFonts w:ascii="黑体" w:eastAsia="黑体" w:cs="宋体"/>
      <w:sz w:val="24"/>
      <w:szCs w:val="20"/>
      <w:lang w:val="zh-CN"/>
    </w:rPr>
  </w:style>
  <w:style w:type="paragraph" w:customStyle="1" w:styleId="324">
    <w:name w:val="3 2"/>
    <w:qFormat/>
    <w:pPr>
      <w:tabs>
        <w:tab w:val="left" w:pos="-720"/>
        <w:tab w:val="left" w:pos="0"/>
        <w:tab w:val="left" w:pos="720"/>
        <w:tab w:val="decimal" w:pos="1440"/>
      </w:tabs>
      <w:suppressAutoHyphens/>
      <w:ind w:firstLine="1440"/>
    </w:pPr>
    <w:rPr>
      <w:rFonts w:ascii="Courier" w:hAnsi="Courier"/>
      <w:sz w:val="24"/>
      <w:lang w:eastAsia="en-US"/>
    </w:rPr>
  </w:style>
  <w:style w:type="paragraph" w:customStyle="1" w:styleId="afffffffffffffffffffffffffffff2">
    <w:name w:val="我爱的表格文字"/>
    <w:basedOn w:val="a6"/>
    <w:qFormat/>
    <w:pPr>
      <w:spacing w:line="360" w:lineRule="exact"/>
      <w:jc w:val="center"/>
    </w:pPr>
    <w:rPr>
      <w:rFonts w:ascii="宋体" w:hAnsi="宋体" w:cs="宋体"/>
      <w:kern w:val="0"/>
      <w:szCs w:val="20"/>
    </w:rPr>
  </w:style>
  <w:style w:type="paragraph" w:customStyle="1" w:styleId="341">
    <w:name w:val="3 4"/>
    <w:qFormat/>
    <w:pPr>
      <w:tabs>
        <w:tab w:val="left" w:pos="-720"/>
        <w:tab w:val="left" w:pos="0"/>
        <w:tab w:val="left" w:pos="720"/>
        <w:tab w:val="left" w:pos="1440"/>
        <w:tab w:val="left" w:pos="2160"/>
        <w:tab w:val="decimal" w:pos="2880"/>
      </w:tabs>
      <w:suppressAutoHyphens/>
      <w:ind w:firstLine="2880"/>
    </w:pPr>
    <w:rPr>
      <w:rFonts w:ascii="Courier" w:hAnsi="Courier"/>
      <w:sz w:val="24"/>
      <w:lang w:eastAsia="en-US"/>
    </w:rPr>
  </w:style>
  <w:style w:type="paragraph" w:customStyle="1" w:styleId="370">
    <w:name w:val="3 7"/>
    <w:qFormat/>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Courier" w:hAnsi="Courier"/>
      <w:sz w:val="24"/>
      <w:lang w:eastAsia="en-US"/>
    </w:rPr>
  </w:style>
  <w:style w:type="paragraph" w:customStyle="1" w:styleId="reader-word-layerreader-word-s10-11">
    <w:name w:val="reader-word-layer reader-word-s10-11"/>
    <w:basedOn w:val="a6"/>
    <w:qFormat/>
    <w:pPr>
      <w:widowControl/>
      <w:spacing w:before="100" w:beforeAutospacing="1" w:after="100" w:afterAutospacing="1"/>
      <w:jc w:val="left"/>
    </w:pPr>
    <w:rPr>
      <w:rFonts w:ascii="宋体" w:hAnsi="宋体" w:cs="宋体"/>
      <w:color w:val="000000"/>
      <w:w w:val="110"/>
      <w:kern w:val="0"/>
      <w:sz w:val="24"/>
    </w:rPr>
  </w:style>
  <w:style w:type="paragraph" w:customStyle="1" w:styleId="253">
    <w:name w:val="正文文本缩进 25"/>
    <w:basedOn w:val="a6"/>
    <w:qFormat/>
    <w:pPr>
      <w:adjustRightInd w:val="0"/>
      <w:spacing w:line="360" w:lineRule="atLeast"/>
      <w:ind w:firstLine="425"/>
      <w:jc w:val="left"/>
      <w:textAlignment w:val="baseline"/>
    </w:pPr>
    <w:rPr>
      <w:rFonts w:ascii="宋体"/>
      <w:spacing w:val="20"/>
      <w:kern w:val="0"/>
      <w:sz w:val="24"/>
      <w:szCs w:val="20"/>
    </w:rPr>
  </w:style>
  <w:style w:type="paragraph" w:customStyle="1" w:styleId="REGULAR2">
    <w:name w:val="REGULAR 2"/>
    <w:qFormat/>
    <w:pPr>
      <w:tabs>
        <w:tab w:val="left" w:pos="605"/>
        <w:tab w:val="left" w:pos="1210"/>
        <w:tab w:val="left" w:pos="1814"/>
        <w:tab w:val="left" w:pos="2419"/>
        <w:tab w:val="left" w:pos="3024"/>
        <w:tab w:val="left" w:pos="3629"/>
      </w:tabs>
      <w:suppressAutoHyphens/>
      <w:ind w:firstLine="605"/>
    </w:pPr>
    <w:rPr>
      <w:rFonts w:ascii="Courier" w:hAnsi="Courier"/>
      <w:sz w:val="24"/>
      <w:lang w:eastAsia="en-US"/>
    </w:rPr>
  </w:style>
  <w:style w:type="paragraph" w:customStyle="1" w:styleId="afffffffffffffffffffffffffffff3">
    <w:name w:val="表内"/>
    <w:basedOn w:val="a6"/>
    <w:qFormat/>
    <w:pPr>
      <w:spacing w:line="360" w:lineRule="atLeast"/>
    </w:pPr>
    <w:rPr>
      <w:szCs w:val="20"/>
    </w:rPr>
  </w:style>
  <w:style w:type="paragraph" w:customStyle="1" w:styleId="afffffffffffffffffffffffffffff4">
    <w:name w:val="表格文字小四"/>
    <w:basedOn w:val="a6"/>
    <w:next w:val="a6"/>
    <w:qFormat/>
    <w:pPr>
      <w:jc w:val="center"/>
    </w:pPr>
    <w:rPr>
      <w:rFonts w:ascii="Times" w:hAnsi="Times"/>
      <w:kern w:val="24"/>
      <w:sz w:val="24"/>
      <w:szCs w:val="20"/>
    </w:rPr>
  </w:style>
  <w:style w:type="paragraph" w:customStyle="1" w:styleId="afffffffffffffffffffffffffffff5">
    <w:name w:val="奇页页眉样式"/>
    <w:basedOn w:val="a6"/>
    <w:qFormat/>
    <w:pPr>
      <w:keepLines/>
      <w:widowControl/>
      <w:tabs>
        <w:tab w:val="center" w:pos="-18551"/>
        <w:tab w:val="right" w:pos="4320"/>
      </w:tabs>
      <w:spacing w:after="480" w:line="240" w:lineRule="atLeast"/>
      <w:jc w:val="center"/>
    </w:pPr>
    <w:rPr>
      <w:rFonts w:ascii="Garamond" w:hAnsi="Garamond"/>
      <w:smallCaps/>
      <w:spacing w:val="15"/>
      <w:kern w:val="0"/>
      <w:szCs w:val="20"/>
    </w:rPr>
  </w:style>
  <w:style w:type="paragraph" w:customStyle="1" w:styleId="REGULAR1">
    <w:name w:val="REGULAR 1"/>
    <w:qFormat/>
    <w:pPr>
      <w:tabs>
        <w:tab w:val="left" w:pos="605"/>
        <w:tab w:val="left" w:pos="1210"/>
      </w:tabs>
      <w:suppressAutoHyphens/>
    </w:pPr>
    <w:rPr>
      <w:rFonts w:ascii="Courier" w:hAnsi="Courier"/>
      <w:sz w:val="24"/>
      <w:lang w:eastAsia="en-US"/>
    </w:rPr>
  </w:style>
  <w:style w:type="paragraph" w:customStyle="1" w:styleId="Style260">
    <w:name w:val="_Style 260"/>
    <w:basedOn w:val="a6"/>
    <w:next w:val="a6"/>
    <w:qFormat/>
    <w:pPr>
      <w:tabs>
        <w:tab w:val="left" w:pos="700"/>
      </w:tabs>
      <w:snapToGrid w:val="0"/>
      <w:spacing w:beforeLines="50" w:line="360" w:lineRule="auto"/>
      <w:ind w:firstLineChars="200" w:firstLine="424"/>
      <w:jc w:val="left"/>
    </w:pPr>
    <w:rPr>
      <w:szCs w:val="20"/>
    </w:rPr>
  </w:style>
  <w:style w:type="paragraph" w:customStyle="1" w:styleId="2fffff1">
    <w:name w:val="正文（首行缩进两个字） + 首行缩进:  2 字符"/>
    <w:basedOn w:val="a6"/>
    <w:qFormat/>
    <w:pPr>
      <w:widowControl/>
      <w:spacing w:line="440" w:lineRule="exact"/>
      <w:ind w:firstLineChars="200" w:firstLine="200"/>
      <w:jc w:val="left"/>
    </w:pPr>
    <w:rPr>
      <w:rFonts w:eastAsia="仿宋_GB2312" w:cs="宋体"/>
      <w:sz w:val="24"/>
      <w:szCs w:val="20"/>
      <w:lang w:val="zh-CN"/>
    </w:rPr>
  </w:style>
  <w:style w:type="paragraph" w:customStyle="1" w:styleId="REGULAR4">
    <w:name w:val="REGULAR 4"/>
    <w:qFormat/>
    <w:pPr>
      <w:tabs>
        <w:tab w:val="left" w:pos="1814"/>
        <w:tab w:val="left" w:pos="2280"/>
      </w:tabs>
      <w:suppressAutoHyphens/>
      <w:ind w:firstLine="1814"/>
    </w:pPr>
    <w:rPr>
      <w:rFonts w:ascii="Courier" w:hAnsi="Courier"/>
      <w:sz w:val="24"/>
      <w:lang w:eastAsia="en-US"/>
    </w:rPr>
  </w:style>
  <w:style w:type="paragraph" w:customStyle="1" w:styleId="CM96">
    <w:name w:val="CM96"/>
    <w:basedOn w:val="Default"/>
    <w:next w:val="Default"/>
    <w:qFormat/>
    <w:pPr>
      <w:spacing w:after="78"/>
    </w:pPr>
    <w:rPr>
      <w:rFonts w:ascii="黑体" w:eastAsia="黑体"/>
      <w:color w:val="auto"/>
    </w:rPr>
  </w:style>
  <w:style w:type="paragraph" w:customStyle="1" w:styleId="2fffff2">
    <w:name w:val="样式 标题 2 + 宋体 三号 加粗"/>
    <w:basedOn w:val="22"/>
    <w:qFormat/>
    <w:pPr>
      <w:spacing w:before="260" w:line="413" w:lineRule="auto"/>
    </w:pPr>
    <w:rPr>
      <w:spacing w:val="0"/>
      <w:w w:val="100"/>
      <w:kern w:val="2"/>
      <w:szCs w:val="24"/>
    </w:rPr>
  </w:style>
  <w:style w:type="paragraph" w:customStyle="1" w:styleId="2W22">
    <w:name w:val="样式 标题 2W2 +2"/>
    <w:basedOn w:val="22"/>
    <w:qFormat/>
    <w:pPr>
      <w:keepNext w:val="0"/>
      <w:keepLines w:val="0"/>
      <w:spacing w:afterLines="50" w:line="520" w:lineRule="exact"/>
      <w:ind w:left="-288"/>
    </w:pPr>
    <w:rPr>
      <w:rFonts w:ascii="黑体"/>
      <w:b/>
      <w:bCs w:val="0"/>
      <w:spacing w:val="0"/>
      <w:w w:val="100"/>
      <w:kern w:val="2"/>
      <w:sz w:val="30"/>
      <w:szCs w:val="20"/>
    </w:rPr>
  </w:style>
  <w:style w:type="paragraph" w:customStyle="1" w:styleId="pvc11">
    <w:name w:val="pvc1.1"/>
    <w:basedOn w:val="22"/>
    <w:next w:val="22"/>
    <w:qFormat/>
    <w:pPr>
      <w:tabs>
        <w:tab w:val="left" w:pos="576"/>
        <w:tab w:val="left" w:pos="768"/>
        <w:tab w:val="left" w:pos="1070"/>
      </w:tabs>
      <w:adjustRightInd w:val="0"/>
      <w:spacing w:beforeLines="100" w:afterLines="100" w:line="324" w:lineRule="auto"/>
      <w:ind w:left="576" w:hanging="576"/>
    </w:pPr>
    <w:rPr>
      <w:rFonts w:ascii="黑体" w:eastAsia="华文中宋" w:hAnsi="黑体" w:cs="宋体"/>
      <w:b/>
      <w:bCs w:val="0"/>
      <w:spacing w:val="0"/>
      <w:w w:val="100"/>
      <w:kern w:val="2"/>
      <w:sz w:val="44"/>
      <w:szCs w:val="44"/>
    </w:rPr>
  </w:style>
  <w:style w:type="paragraph" w:customStyle="1" w:styleId="CharCharCharCharc">
    <w:name w:val="表文字 Char Char Char Char"/>
    <w:qFormat/>
    <w:pPr>
      <w:spacing w:line="300" w:lineRule="exact"/>
    </w:pPr>
    <w:rPr>
      <w:kern w:val="2"/>
      <w:sz w:val="21"/>
      <w:szCs w:val="21"/>
    </w:rPr>
  </w:style>
  <w:style w:type="paragraph" w:customStyle="1" w:styleId="afffffffffffffffffffffffffffff6">
    <w:name w:val="附录表标题"/>
    <w:basedOn w:val="a6"/>
    <w:next w:val="a6"/>
    <w:qFormat/>
    <w:pPr>
      <w:tabs>
        <w:tab w:val="left" w:pos="180"/>
      </w:tabs>
      <w:spacing w:beforeLines="50" w:afterLines="50"/>
      <w:jc w:val="center"/>
    </w:pPr>
    <w:rPr>
      <w:rFonts w:ascii="黑体" w:eastAsia="黑体"/>
      <w:color w:val="000000"/>
      <w:w w:val="110"/>
      <w:kern w:val="0"/>
      <w:sz w:val="24"/>
      <w:szCs w:val="21"/>
    </w:rPr>
  </w:style>
  <w:style w:type="paragraph" w:customStyle="1" w:styleId="-51">
    <w:name w:val="标-5"/>
    <w:basedOn w:val="a6"/>
    <w:qFormat/>
    <w:pPr>
      <w:tabs>
        <w:tab w:val="right" w:leader="dot" w:pos="8789"/>
      </w:tabs>
      <w:spacing w:before="120"/>
      <w:ind w:left="1276" w:hanging="425"/>
    </w:pPr>
    <w:rPr>
      <w:color w:val="000000"/>
      <w:w w:val="110"/>
      <w:kern w:val="0"/>
      <w:sz w:val="24"/>
      <w:szCs w:val="20"/>
    </w:rPr>
  </w:style>
  <w:style w:type="paragraph" w:customStyle="1" w:styleId="2fffff3">
    <w:name w:val="目录2"/>
    <w:basedOn w:val="27"/>
    <w:next w:val="a6"/>
    <w:qFormat/>
    <w:pPr>
      <w:widowControl/>
      <w:tabs>
        <w:tab w:val="right" w:leader="dot" w:pos="8302"/>
        <w:tab w:val="left" w:leader="dot" w:pos="8492"/>
      </w:tabs>
      <w:adjustRightInd w:val="0"/>
      <w:spacing w:beforeLines="50" w:line="520" w:lineRule="exact"/>
      <w:ind w:left="0" w:firstLineChars="177" w:firstLine="420"/>
      <w:jc w:val="both"/>
      <w:textAlignment w:val="baseline"/>
    </w:pPr>
    <w:rPr>
      <w:rFonts w:ascii="宋体" w:hAnsi="Arial"/>
      <w:color w:val="000000"/>
      <w:kern w:val="0"/>
      <w:sz w:val="21"/>
      <w:u w:color="000000"/>
    </w:rPr>
  </w:style>
  <w:style w:type="paragraph" w:customStyle="1" w:styleId="1-ls">
    <w:name w:val="标题1-ls"/>
    <w:basedOn w:val="12"/>
    <w:qFormat/>
    <w:pPr>
      <w:keepNext w:val="0"/>
      <w:keepLines w:val="0"/>
      <w:spacing w:beforeLines="100" w:before="0" w:afterLines="100" w:after="0" w:line="360" w:lineRule="auto"/>
      <w:jc w:val="center"/>
    </w:pPr>
    <w:rPr>
      <w:rFonts w:hAnsi="黑体"/>
      <w:b w:val="0"/>
      <w:bCs w:val="0"/>
      <w:color w:val="000000"/>
      <w:w w:val="110"/>
      <w:kern w:val="2"/>
      <w:szCs w:val="32"/>
    </w:rPr>
  </w:style>
  <w:style w:type="paragraph" w:customStyle="1" w:styleId="CharCharCharCharCharCharCharCharCharCharChar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 Char Char Char Char Char Char Char Char Char Char Char2"/>
    <w:basedOn w:val="a6"/>
    <w:qFormat/>
  </w:style>
  <w:style w:type="paragraph" w:customStyle="1" w:styleId="afffffffffffffffffffffffffffff7">
    <w:name w:val="正文图"/>
    <w:basedOn w:val="a6"/>
    <w:qFormat/>
    <w:pPr>
      <w:adjustRightInd w:val="0"/>
      <w:snapToGrid w:val="0"/>
      <w:spacing w:before="40"/>
      <w:jc w:val="center"/>
      <w:textAlignment w:val="baseline"/>
    </w:pPr>
    <w:rPr>
      <w:rFonts w:ascii="宋体"/>
      <w:kern w:val="0"/>
      <w:sz w:val="24"/>
      <w:szCs w:val="20"/>
    </w:rPr>
  </w:style>
  <w:style w:type="paragraph" w:customStyle="1" w:styleId="26a">
    <w:name w:val="2 6a"/>
    <w:qFormat/>
    <w:pPr>
      <w:tabs>
        <w:tab w:val="left" w:pos="-720"/>
      </w:tabs>
      <w:suppressAutoHyphens/>
    </w:pPr>
    <w:rPr>
      <w:rFonts w:ascii="Courier" w:hAnsi="Courier"/>
      <w:sz w:val="24"/>
      <w:lang w:eastAsia="en-US"/>
    </w:rPr>
  </w:style>
  <w:style w:type="paragraph" w:customStyle="1" w:styleId="reader-word-layerreader-word-s1-3">
    <w:name w:val="reader-word-layer reader-word-s1-3"/>
    <w:basedOn w:val="a6"/>
    <w:qFormat/>
    <w:pPr>
      <w:widowControl/>
      <w:spacing w:before="100" w:beforeAutospacing="1" w:after="100" w:afterAutospacing="1"/>
      <w:jc w:val="left"/>
    </w:pPr>
    <w:rPr>
      <w:rFonts w:ascii="宋体" w:hAnsi="宋体" w:cs="宋体"/>
      <w:kern w:val="0"/>
      <w:sz w:val="24"/>
    </w:rPr>
  </w:style>
  <w:style w:type="paragraph" w:customStyle="1" w:styleId="3wb0505">
    <w:name w:val="样式 标题 3 wb + 段前: 0.5 行 段后: 0.5 行"/>
    <w:basedOn w:val="a6"/>
    <w:qFormat/>
    <w:pPr>
      <w:spacing w:line="400" w:lineRule="exact"/>
      <w:outlineLvl w:val="2"/>
    </w:pPr>
    <w:rPr>
      <w:rFonts w:cs="宋体"/>
      <w:sz w:val="24"/>
      <w:szCs w:val="20"/>
    </w:rPr>
  </w:style>
  <w:style w:type="paragraph" w:customStyle="1" w:styleId="Style141">
    <w:name w:val="Style141"/>
    <w:basedOn w:val="a6"/>
    <w:qFormat/>
    <w:pPr>
      <w:adjustRightInd w:val="0"/>
      <w:jc w:val="left"/>
    </w:pPr>
    <w:rPr>
      <w:rFonts w:ascii="宋体"/>
      <w:kern w:val="0"/>
      <w:sz w:val="24"/>
      <w:szCs w:val="20"/>
    </w:rPr>
  </w:style>
  <w:style w:type="paragraph" w:customStyle="1" w:styleId="afffffffffffffffffffffffffffff8">
    <w:name w:val="表格文字加粗"/>
    <w:basedOn w:val="a6"/>
    <w:qFormat/>
    <w:pPr>
      <w:adjustRightInd w:val="0"/>
      <w:spacing w:after="120"/>
      <w:jc w:val="center"/>
    </w:pPr>
    <w:rPr>
      <w:b/>
      <w:snapToGrid w:val="0"/>
      <w:color w:val="0000FF"/>
      <w:lang w:val="zh-CN"/>
    </w:rPr>
  </w:style>
  <w:style w:type="paragraph" w:customStyle="1" w:styleId="BodyText1">
    <w:name w:val="Body Text 1"/>
    <w:basedOn w:val="a6"/>
    <w:qFormat/>
    <w:pPr>
      <w:widowControl/>
      <w:spacing w:after="120"/>
      <w:ind w:left="720" w:right="357"/>
      <w:jc w:val="center"/>
    </w:pPr>
    <w:rPr>
      <w:rFonts w:ascii="宋体" w:cs="宋体"/>
      <w:b/>
      <w:bCs/>
      <w:color w:val="000000"/>
      <w:kern w:val="0"/>
      <w:sz w:val="24"/>
      <w:u w:color="000000"/>
    </w:rPr>
  </w:style>
  <w:style w:type="paragraph" w:customStyle="1" w:styleId="xl162">
    <w:name w:val="xl162"/>
    <w:basedOn w:val="a6"/>
    <w:qFormat/>
    <w:pPr>
      <w:widowControl/>
      <w:pBdr>
        <w:right w:val="single" w:sz="4" w:space="0" w:color="auto"/>
      </w:pBdr>
      <w:spacing w:before="100" w:beforeAutospacing="1" w:after="100" w:afterAutospacing="1" w:line="360" w:lineRule="auto"/>
      <w:jc w:val="center"/>
      <w:textAlignment w:val="center"/>
    </w:pPr>
    <w:rPr>
      <w:rFonts w:eastAsia="Arial Unicode MS" w:cs="宋体"/>
      <w:color w:val="000000"/>
      <w:kern w:val="0"/>
      <w:sz w:val="20"/>
      <w:szCs w:val="20"/>
    </w:rPr>
  </w:style>
  <w:style w:type="paragraph" w:customStyle="1" w:styleId="CharCharffffff0">
    <w:name w:val="纯文本 Char Char"/>
    <w:basedOn w:val="a6"/>
    <w:qFormat/>
    <w:pPr>
      <w:spacing w:line="408" w:lineRule="auto"/>
      <w:ind w:left="1"/>
      <w:textAlignment w:val="bottom"/>
    </w:pPr>
    <w:rPr>
      <w:rFonts w:ascii="仿宋_GB2312" w:eastAsia="仿宋_GB2312" w:hAnsi="仿宋_GB2312"/>
      <w:color w:val="000000"/>
      <w:kern w:val="0"/>
      <w:sz w:val="32"/>
      <w:szCs w:val="20"/>
    </w:rPr>
  </w:style>
  <w:style w:type="paragraph" w:customStyle="1" w:styleId="afffffffffffffffffffffffffffff9">
    <w:name w:val="报告一"/>
    <w:basedOn w:val="a6"/>
    <w:qFormat/>
    <w:pPr>
      <w:keepNext/>
      <w:widowControl/>
      <w:tabs>
        <w:tab w:val="left" w:pos="3319"/>
        <w:tab w:val="left" w:pos="3600"/>
      </w:tabs>
      <w:ind w:left="560"/>
      <w:outlineLvl w:val="3"/>
    </w:pPr>
    <w:rPr>
      <w:rFonts w:ascii="仿宋_GB2312" w:eastAsia="仿宋_GB2312" w:hAnsi="宋体"/>
      <w:b/>
      <w:bCs/>
      <w:color w:val="000000"/>
      <w:w w:val="110"/>
      <w:kern w:val="0"/>
      <w:sz w:val="28"/>
      <w:szCs w:val="28"/>
    </w:rPr>
  </w:style>
  <w:style w:type="paragraph" w:customStyle="1" w:styleId="xl167">
    <w:name w:val="xl167"/>
    <w:basedOn w:val="a6"/>
    <w:qFormat/>
    <w:pPr>
      <w:widowControl/>
      <w:pBdr>
        <w:right w:val="single" w:sz="4" w:space="0" w:color="auto"/>
      </w:pBdr>
      <w:spacing w:before="100" w:beforeAutospacing="1" w:after="100" w:afterAutospacing="1" w:line="360" w:lineRule="auto"/>
      <w:jc w:val="left"/>
      <w:textAlignment w:val="center"/>
    </w:pPr>
    <w:rPr>
      <w:rFonts w:ascii="Arial Unicode MS" w:eastAsia="Arial Unicode MS" w:hAnsi="Arial Unicode MS" w:cs="Arial Unicode MS"/>
      <w:color w:val="000000"/>
      <w:kern w:val="0"/>
      <w:sz w:val="20"/>
      <w:szCs w:val="20"/>
    </w:rPr>
  </w:style>
  <w:style w:type="paragraph" w:customStyle="1" w:styleId="CharCharCharCharCharChar1CharCharCharCharCharCharCharCharCharCharCharCharCharCharCharChar">
    <w:name w:val="Char Char Char Char Char Char1 Char Char Char Char Char Char Char Char Char Char Char Char Char Char Char Char"/>
    <w:basedOn w:val="a6"/>
    <w:qFormat/>
  </w:style>
  <w:style w:type="paragraph" w:customStyle="1" w:styleId="xl179">
    <w:name w:val="xl179"/>
    <w:basedOn w:val="a6"/>
    <w:qFormat/>
    <w:pPr>
      <w:widowControl/>
      <w:pBdr>
        <w:top w:val="single" w:sz="4" w:space="0" w:color="auto"/>
        <w:left w:val="single" w:sz="4" w:space="0" w:color="auto"/>
        <w:bottom w:val="double" w:sz="6" w:space="0" w:color="auto"/>
        <w:right w:val="single" w:sz="4" w:space="0" w:color="auto"/>
      </w:pBdr>
      <w:spacing w:before="100" w:beforeAutospacing="1" w:after="100" w:afterAutospacing="1" w:line="360" w:lineRule="auto"/>
      <w:jc w:val="center"/>
      <w:textAlignment w:val="center"/>
    </w:pPr>
    <w:rPr>
      <w:rFonts w:ascii="Arial Unicode MS" w:eastAsia="Arial Unicode MS" w:hAnsi="Arial Unicode MS" w:cs="Arial Unicode MS"/>
      <w:color w:val="000000"/>
      <w:kern w:val="0"/>
      <w:sz w:val="24"/>
      <w:szCs w:val="21"/>
    </w:rPr>
  </w:style>
  <w:style w:type="paragraph" w:customStyle="1" w:styleId="512">
    <w:name w:val="列表 51"/>
    <w:basedOn w:val="a6"/>
    <w:qFormat/>
    <w:pPr>
      <w:ind w:leftChars="800" w:left="100" w:hangingChars="200" w:hanging="200"/>
    </w:pPr>
  </w:style>
  <w:style w:type="paragraph" w:customStyle="1" w:styleId="xl184">
    <w:name w:val="xl184"/>
    <w:basedOn w:val="a6"/>
    <w:qFormat/>
    <w:pPr>
      <w:widowControl/>
      <w:pBdr>
        <w:top w:val="single" w:sz="4" w:space="0" w:color="auto"/>
        <w:bottom w:val="double" w:sz="6" w:space="0" w:color="auto"/>
        <w:right w:val="single" w:sz="4" w:space="0" w:color="auto"/>
      </w:pBdr>
      <w:spacing w:before="100" w:beforeAutospacing="1" w:after="100" w:afterAutospacing="1" w:line="360" w:lineRule="auto"/>
      <w:jc w:val="center"/>
      <w:textAlignment w:val="center"/>
    </w:pPr>
    <w:rPr>
      <w:rFonts w:eastAsia="Arial Unicode MS" w:cs="宋体"/>
      <w:kern w:val="0"/>
      <w:sz w:val="20"/>
      <w:szCs w:val="20"/>
    </w:rPr>
  </w:style>
  <w:style w:type="paragraph" w:customStyle="1" w:styleId="a4">
    <w:name w:val="字母编号（一级）"/>
    <w:qFormat/>
    <w:pPr>
      <w:numPr>
        <w:numId w:val="24"/>
      </w:numPr>
      <w:spacing w:line="360" w:lineRule="auto"/>
    </w:pPr>
    <w:rPr>
      <w:rFonts w:ascii="宋体"/>
      <w:kern w:val="2"/>
      <w:sz w:val="24"/>
      <w:szCs w:val="24"/>
    </w:rPr>
  </w:style>
  <w:style w:type="paragraph" w:customStyle="1" w:styleId="afffffffffffffffffffffffffffffa">
    <w:name w:val="普通段落文字"/>
    <w:basedOn w:val="a6"/>
    <w:qFormat/>
    <w:pPr>
      <w:adjustRightInd w:val="0"/>
      <w:snapToGrid w:val="0"/>
      <w:spacing w:line="300" w:lineRule="auto"/>
      <w:ind w:firstLineChars="200" w:firstLine="200"/>
    </w:pPr>
    <w:rPr>
      <w:rFonts w:ascii="宋体" w:hAnsi="宋体"/>
      <w:sz w:val="28"/>
      <w:szCs w:val="28"/>
    </w:rPr>
  </w:style>
  <w:style w:type="paragraph" w:customStyle="1" w:styleId="afffffffffffffffffffffffffffffb">
    <w:name w:val="表头字"/>
    <w:basedOn w:val="af0"/>
    <w:qFormat/>
    <w:pPr>
      <w:adjustRightInd/>
      <w:spacing w:beforeLines="50" w:afterLines="50" w:line="240" w:lineRule="auto"/>
      <w:ind w:firstLineChars="400" w:firstLine="400"/>
      <w:jc w:val="both"/>
      <w:textAlignment w:val="auto"/>
    </w:pPr>
    <w:rPr>
      <w:rFonts w:ascii="Times New Roman" w:eastAsia="黑体" w:hAnsi="Times New Roman"/>
      <w:kern w:val="2"/>
      <w:szCs w:val="24"/>
    </w:rPr>
  </w:style>
  <w:style w:type="paragraph" w:customStyle="1" w:styleId="E">
    <w:name w:val="正文E"/>
    <w:basedOn w:val="a6"/>
    <w:qFormat/>
    <w:pPr>
      <w:widowControl/>
      <w:adjustRightInd w:val="0"/>
      <w:snapToGrid w:val="0"/>
      <w:spacing w:line="560" w:lineRule="exact"/>
      <w:jc w:val="left"/>
      <w:textAlignment w:val="baseline"/>
    </w:pPr>
    <w:rPr>
      <w:rFonts w:cs="宋体"/>
      <w:kern w:val="0"/>
      <w:sz w:val="28"/>
      <w:szCs w:val="20"/>
    </w:rPr>
  </w:style>
  <w:style w:type="paragraph" w:customStyle="1" w:styleId="afffffffffffffffffffffffffffffc">
    <w:name w:val="文本框文字"/>
    <w:basedOn w:val="a6"/>
    <w:qFormat/>
    <w:pPr>
      <w:adjustRightInd w:val="0"/>
      <w:jc w:val="center"/>
      <w:textAlignment w:val="baseline"/>
    </w:pPr>
    <w:rPr>
      <w:kern w:val="0"/>
      <w:szCs w:val="20"/>
    </w:rPr>
  </w:style>
  <w:style w:type="paragraph" w:customStyle="1" w:styleId="32">
    <w:name w:val="示例和注释(不缩进3)"/>
    <w:basedOn w:val="a6"/>
    <w:semiHidden/>
    <w:qFormat/>
    <w:pPr>
      <w:widowControl/>
      <w:numPr>
        <w:ilvl w:val="6"/>
        <w:numId w:val="12"/>
      </w:numPr>
      <w:ind w:firstLine="0"/>
      <w:jc w:val="left"/>
    </w:pPr>
    <w:rPr>
      <w:rFonts w:ascii="Arial" w:hAnsi="Arial" w:cs="宋体"/>
      <w:kern w:val="0"/>
      <w:sz w:val="24"/>
    </w:rPr>
  </w:style>
  <w:style w:type="paragraph" w:customStyle="1" w:styleId="2191">
    <w:name w:val="样式 表格 + 首行缩进:  2.19 字符1"/>
    <w:basedOn w:val="a6"/>
    <w:qFormat/>
    <w:pPr>
      <w:adjustRightInd w:val="0"/>
      <w:spacing w:line="360" w:lineRule="exact"/>
      <w:jc w:val="center"/>
    </w:pPr>
    <w:rPr>
      <w:rFonts w:cs="宋体"/>
      <w:spacing w:val="10"/>
      <w:kern w:val="0"/>
      <w:sz w:val="24"/>
    </w:rPr>
  </w:style>
  <w:style w:type="paragraph" w:customStyle="1" w:styleId="156">
    <w:name w:val="样式 宋体 小四 行距: 1.5 倍行距"/>
    <w:basedOn w:val="a6"/>
    <w:qFormat/>
    <w:pPr>
      <w:spacing w:line="360" w:lineRule="auto"/>
      <w:ind w:firstLineChars="225" w:firstLine="540"/>
    </w:pPr>
    <w:rPr>
      <w:rFonts w:ascii="宋体" w:hAnsi="宋体"/>
      <w:color w:val="000000"/>
      <w:w w:val="110"/>
      <w:kern w:val="0"/>
      <w:sz w:val="24"/>
      <w:szCs w:val="20"/>
    </w:rPr>
  </w:style>
  <w:style w:type="paragraph" w:customStyle="1" w:styleId="Char4CharCharCharCharCharChar1">
    <w:name w:val="Char4 Char Char Char Char Char Char1"/>
    <w:basedOn w:val="a6"/>
    <w:qFormat/>
    <w:pPr>
      <w:spacing w:line="360" w:lineRule="auto"/>
      <w:ind w:firstLineChars="200" w:firstLine="200"/>
    </w:pPr>
    <w:rPr>
      <w:rFonts w:ascii="宋体" w:hAnsi="宋体" w:cs="宋体"/>
      <w:sz w:val="24"/>
    </w:rPr>
  </w:style>
  <w:style w:type="paragraph" w:customStyle="1" w:styleId="2fffff4">
    <w:name w:val="样式 左侧:  2 字符"/>
    <w:basedOn w:val="a6"/>
    <w:qFormat/>
    <w:pPr>
      <w:spacing w:line="360" w:lineRule="auto"/>
      <w:ind w:firstLineChars="200" w:firstLine="200"/>
    </w:pPr>
    <w:rPr>
      <w:rFonts w:cs="宋体"/>
      <w:sz w:val="24"/>
      <w:szCs w:val="20"/>
    </w:rPr>
  </w:style>
  <w:style w:type="paragraph" w:customStyle="1" w:styleId="Charffffffffff9">
    <w:name w:val="文本框五号 Char"/>
    <w:qFormat/>
    <w:pPr>
      <w:jc w:val="center"/>
    </w:pPr>
    <w:rPr>
      <w:rFonts w:eastAsia="仿宋_GB2312"/>
      <w:kern w:val="2"/>
      <w:sz w:val="21"/>
      <w:szCs w:val="21"/>
    </w:rPr>
  </w:style>
  <w:style w:type="paragraph" w:customStyle="1" w:styleId="CharCharCharCharCharCharChar1CharCharChar1">
    <w:name w:val="Char Char Char Char Char Char Char1 Char Char Char1"/>
    <w:basedOn w:val="a6"/>
    <w:next w:val="a6"/>
    <w:qFormat/>
    <w:pPr>
      <w:widowControl/>
      <w:tabs>
        <w:tab w:val="left" w:pos="777"/>
        <w:tab w:val="left" w:pos="5744"/>
      </w:tabs>
      <w:spacing w:beforeLines="50" w:afterLines="100" w:line="360" w:lineRule="auto"/>
      <w:ind w:left="1105" w:hanging="748"/>
      <w:jc w:val="center"/>
    </w:pPr>
    <w:rPr>
      <w:rFonts w:cs="宋体"/>
      <w:kern w:val="0"/>
      <w:sz w:val="24"/>
      <w:szCs w:val="21"/>
    </w:rPr>
  </w:style>
  <w:style w:type="paragraph" w:customStyle="1" w:styleId="21c">
    <w:name w:val="样式 首行缩进:  2 字符1"/>
    <w:basedOn w:val="a6"/>
    <w:qFormat/>
    <w:pPr>
      <w:widowControl/>
      <w:spacing w:line="360" w:lineRule="auto"/>
      <w:ind w:firstLineChars="200" w:firstLine="480"/>
      <w:jc w:val="left"/>
    </w:pPr>
    <w:rPr>
      <w:rFonts w:ascii="宋体" w:hAnsi="宋体" w:cs="宋体"/>
      <w:kern w:val="0"/>
      <w:sz w:val="24"/>
    </w:rPr>
  </w:style>
  <w:style w:type="paragraph" w:customStyle="1" w:styleId="xl185">
    <w:name w:val="xl185"/>
    <w:basedOn w:val="a6"/>
    <w:qFormat/>
    <w:pPr>
      <w:widowControl/>
      <w:pBdr>
        <w:right w:val="single" w:sz="4" w:space="0" w:color="auto"/>
      </w:pBdr>
      <w:spacing w:before="100" w:beforeAutospacing="1" w:after="100" w:afterAutospacing="1" w:line="360" w:lineRule="auto"/>
      <w:jc w:val="left"/>
      <w:textAlignment w:val="center"/>
    </w:pPr>
    <w:rPr>
      <w:rFonts w:ascii="Arial Unicode MS" w:hAnsi="Arial Unicode MS" w:cs="宋体"/>
      <w:color w:val="000000"/>
      <w:kern w:val="0"/>
      <w:sz w:val="20"/>
      <w:szCs w:val="20"/>
    </w:rPr>
  </w:style>
  <w:style w:type="paragraph" w:customStyle="1" w:styleId="a1">
    <w:name w:val="表格文字左"/>
    <w:basedOn w:val="affffffff2"/>
    <w:qFormat/>
    <w:pPr>
      <w:keepNext/>
      <w:widowControl/>
      <w:numPr>
        <w:numId w:val="25"/>
      </w:numPr>
      <w:tabs>
        <w:tab w:val="left" w:pos="360"/>
        <w:tab w:val="left" w:pos="1005"/>
      </w:tabs>
      <w:spacing w:line="360" w:lineRule="auto"/>
      <w:ind w:leftChars="20" w:left="56" w:hanging="1005"/>
      <w:jc w:val="left"/>
    </w:pPr>
    <w:rPr>
      <w:rFonts w:cs="宋体"/>
      <w:sz w:val="24"/>
      <w:szCs w:val="18"/>
    </w:rPr>
  </w:style>
  <w:style w:type="paragraph" w:customStyle="1" w:styleId="CM16">
    <w:name w:val="CM16"/>
    <w:basedOn w:val="Default"/>
    <w:next w:val="Default"/>
    <w:qFormat/>
    <w:pPr>
      <w:spacing w:line="546" w:lineRule="atLeast"/>
    </w:pPr>
    <w:rPr>
      <w:rFonts w:ascii="黑体" w:eastAsia="黑体" w:cs="黑体"/>
    </w:rPr>
  </w:style>
  <w:style w:type="paragraph" w:customStyle="1" w:styleId="afffffffffffffffffffffffffffffd">
    <w:name w:val="二期三级样式"/>
    <w:basedOn w:val="a6"/>
    <w:qFormat/>
    <w:pPr>
      <w:widowControl/>
      <w:tabs>
        <w:tab w:val="left" w:pos="1260"/>
      </w:tabs>
      <w:ind w:left="1260" w:hanging="420"/>
      <w:jc w:val="left"/>
    </w:pPr>
    <w:rPr>
      <w:kern w:val="0"/>
      <w:sz w:val="24"/>
    </w:rPr>
  </w:style>
  <w:style w:type="paragraph" w:customStyle="1" w:styleId="afffffffffffffffffffffffffffffe">
    <w:name w:val="封面正文"/>
    <w:qFormat/>
    <w:pPr>
      <w:jc w:val="both"/>
    </w:pPr>
  </w:style>
  <w:style w:type="paragraph" w:customStyle="1" w:styleId="CharCharCharCharCharCharCharCharCharCharCharCharChar1">
    <w:name w:val="Char Char Char Char Char Char Char Char Char Char Char Char Char1"/>
    <w:basedOn w:val="a6"/>
    <w:qFormat/>
    <w:pPr>
      <w:autoSpaceDE w:val="0"/>
      <w:autoSpaceDN w:val="0"/>
      <w:adjustRightInd w:val="0"/>
      <w:snapToGrid w:val="0"/>
      <w:spacing w:before="50" w:after="50" w:line="360" w:lineRule="auto"/>
      <w:ind w:firstLineChars="200" w:firstLine="560"/>
    </w:pPr>
    <w:rPr>
      <w:rFonts w:eastAsia="仿宋_GB2312"/>
      <w:color w:val="000000"/>
      <w:sz w:val="24"/>
    </w:rPr>
  </w:style>
  <w:style w:type="paragraph" w:customStyle="1" w:styleId="CharChar4CharCharCharChar">
    <w:name w:val="Char Char4 Char Char Char Char"/>
    <w:basedOn w:val="a6"/>
    <w:qFormat/>
    <w:pPr>
      <w:kinsoku w:val="0"/>
      <w:spacing w:afterLines="50"/>
    </w:pPr>
    <w:rPr>
      <w:sz w:val="18"/>
    </w:rPr>
  </w:style>
  <w:style w:type="paragraph" w:customStyle="1" w:styleId="affffffffffffffffffffffffffffff">
    <w:name w:val="表头或图题"/>
    <w:basedOn w:val="a6"/>
    <w:next w:val="a6"/>
    <w:qFormat/>
    <w:pPr>
      <w:widowControl/>
      <w:tabs>
        <w:tab w:val="left" w:pos="1727"/>
        <w:tab w:val="left" w:pos="1884"/>
      </w:tabs>
      <w:adjustRightInd w:val="0"/>
      <w:snapToGrid w:val="0"/>
      <w:jc w:val="center"/>
    </w:pPr>
    <w:rPr>
      <w:rFonts w:ascii="黑体" w:eastAsia="黑体" w:cs="宋体"/>
      <w:kern w:val="0"/>
      <w:sz w:val="28"/>
      <w:szCs w:val="20"/>
    </w:rPr>
  </w:style>
  <w:style w:type="paragraph" w:customStyle="1" w:styleId="12a">
    <w:name w:val="样式 表格文字居中 + 行距: 固定值 12 磅"/>
    <w:basedOn w:val="CharChar8"/>
    <w:qFormat/>
    <w:pPr>
      <w:keepNext w:val="0"/>
      <w:adjustRightInd/>
      <w:snapToGrid/>
      <w:spacing w:line="240" w:lineRule="auto"/>
    </w:pPr>
    <w:rPr>
      <w:rFonts w:cs="宋体"/>
    </w:rPr>
  </w:style>
  <w:style w:type="paragraph" w:customStyle="1" w:styleId="5ff0">
    <w:name w:val="表格内容5"/>
    <w:basedOn w:val="a6"/>
    <w:next w:val="a6"/>
    <w:qFormat/>
    <w:pPr>
      <w:spacing w:before="40" w:after="60" w:line="200" w:lineRule="atLeast"/>
      <w:jc w:val="left"/>
      <w:textAlignment w:val="baseline"/>
    </w:pPr>
    <w:rPr>
      <w:rFonts w:ascii="Arial" w:eastAsia="仿宋_GB2312" w:hAnsi="Arial"/>
      <w:color w:val="000000"/>
      <w:w w:val="110"/>
      <w:kern w:val="0"/>
      <w:sz w:val="24"/>
    </w:rPr>
  </w:style>
  <w:style w:type="paragraph" w:customStyle="1" w:styleId="affffffffffffffffffffffffffffff0">
    <w:name w:val="编制单位"/>
    <w:basedOn w:val="a6"/>
    <w:qFormat/>
    <w:pPr>
      <w:keepNext/>
      <w:widowControl/>
      <w:snapToGrid w:val="0"/>
      <w:spacing w:beforeLines="50" w:line="300" w:lineRule="auto"/>
      <w:jc w:val="center"/>
    </w:pPr>
    <w:rPr>
      <w:rFonts w:ascii="黑体" w:eastAsia="黑体" w:cs="宋体"/>
      <w:kern w:val="0"/>
      <w:sz w:val="32"/>
      <w:szCs w:val="20"/>
    </w:rPr>
  </w:style>
  <w:style w:type="paragraph" w:customStyle="1" w:styleId="affffffffffffffffffffffffffffff1">
    <w:name w:val="表格式"/>
    <w:basedOn w:val="aff6"/>
    <w:qFormat/>
    <w:pPr>
      <w:spacing w:beforeLines="50" w:before="20" w:afterLines="50" w:after="20" w:line="200" w:lineRule="exact"/>
      <w:ind w:left="0" w:firstLineChars="0" w:firstLine="0"/>
      <w:jc w:val="center"/>
    </w:pPr>
    <w:rPr>
      <w:kern w:val="0"/>
      <w:szCs w:val="20"/>
    </w:rPr>
  </w:style>
  <w:style w:type="paragraph" w:customStyle="1" w:styleId="p15">
    <w:name w:val="p15"/>
    <w:basedOn w:val="a6"/>
    <w:qFormat/>
    <w:pPr>
      <w:widowControl/>
    </w:pPr>
    <w:rPr>
      <w:rFonts w:ascii="仿宋_GB2312" w:eastAsia="仿宋_GB2312" w:hAnsi="宋体" w:cs="宋体"/>
      <w:kern w:val="0"/>
      <w:sz w:val="32"/>
      <w:szCs w:val="32"/>
    </w:rPr>
  </w:style>
  <w:style w:type="paragraph" w:customStyle="1" w:styleId="xl78">
    <w:name w:val="xl78"/>
    <w:basedOn w:val="a6"/>
    <w:qFormat/>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kern w:val="0"/>
      <w:sz w:val="24"/>
    </w:rPr>
  </w:style>
  <w:style w:type="paragraph" w:customStyle="1" w:styleId="affffffffffffffffffffffffffffff2">
    <w:name w:val="项目号"/>
    <w:basedOn w:val="a6"/>
    <w:qFormat/>
    <w:pPr>
      <w:keepNext/>
      <w:widowControl/>
      <w:snapToGrid w:val="0"/>
      <w:spacing w:beforeLines="50" w:line="300" w:lineRule="auto"/>
      <w:jc w:val="center"/>
    </w:pPr>
    <w:rPr>
      <w:rFonts w:ascii="宋体" w:cs="宋体"/>
      <w:kern w:val="0"/>
      <w:sz w:val="32"/>
      <w:szCs w:val="20"/>
    </w:rPr>
  </w:style>
  <w:style w:type="paragraph" w:customStyle="1" w:styleId="affffffffffffffffffffffffffffff3">
    <w:name w:val="图表名"/>
    <w:basedOn w:val="a6"/>
    <w:qFormat/>
    <w:pPr>
      <w:adjustRightInd w:val="0"/>
      <w:snapToGrid w:val="0"/>
      <w:spacing w:line="360" w:lineRule="auto"/>
      <w:jc w:val="center"/>
    </w:pPr>
    <w:rPr>
      <w:rFonts w:eastAsia="黑体"/>
      <w:snapToGrid w:val="0"/>
      <w:color w:val="000000"/>
      <w:kern w:val="0"/>
      <w:sz w:val="28"/>
      <w:szCs w:val="28"/>
    </w:rPr>
  </w:style>
  <w:style w:type="paragraph" w:customStyle="1" w:styleId="CharCharCharCharCharCharCharCharCharCharCharChar1CharCharCharChar2">
    <w:name w:val="Char Char Char Char Char Char Char Char Char Char Char Char1 Char Char Char Char2"/>
    <w:basedOn w:val="a6"/>
    <w:next w:val="a6"/>
    <w:qFormat/>
    <w:pPr>
      <w:spacing w:line="336" w:lineRule="auto"/>
      <w:ind w:firstLineChars="200" w:firstLine="200"/>
    </w:pPr>
    <w:rPr>
      <w:rFonts w:ascii="宋体" w:eastAsia="汉鼎简书宋" w:hAnsi="宋体" w:cs="宋体"/>
      <w:sz w:val="24"/>
    </w:rPr>
  </w:style>
  <w:style w:type="paragraph" w:customStyle="1" w:styleId="190">
    <w:name w:val="样式19"/>
    <w:basedOn w:val="210"/>
    <w:qFormat/>
    <w:pPr>
      <w:tabs>
        <w:tab w:val="left" w:pos="630"/>
        <w:tab w:val="left" w:pos="840"/>
        <w:tab w:val="left" w:pos="1287"/>
        <w:tab w:val="left" w:pos="3920"/>
        <w:tab w:val="left" w:pos="5670"/>
      </w:tabs>
      <w:spacing w:before="60" w:after="60" w:line="520" w:lineRule="exact"/>
      <w:ind w:firstLine="567"/>
    </w:pPr>
    <w:rPr>
      <w:rFonts w:ascii="Times New Roman" w:eastAsia="华文行楷" w:hAnsi="Times New Roman"/>
      <w:b w:val="0"/>
      <w:sz w:val="30"/>
      <w:szCs w:val="30"/>
    </w:rPr>
  </w:style>
  <w:style w:type="paragraph" w:customStyle="1" w:styleId="Style5">
    <w:name w:val="Style5"/>
    <w:basedOn w:val="a6"/>
    <w:qFormat/>
    <w:pPr>
      <w:tabs>
        <w:tab w:val="left" w:pos="492"/>
      </w:tabs>
      <w:adjustRightInd w:val="0"/>
      <w:jc w:val="left"/>
    </w:pPr>
    <w:rPr>
      <w:rFonts w:ascii="宋体"/>
      <w:kern w:val="0"/>
      <w:sz w:val="24"/>
    </w:rPr>
  </w:style>
  <w:style w:type="paragraph" w:customStyle="1" w:styleId="1fffff4">
    <w:name w:val="样式 标题 1"/>
    <w:basedOn w:val="12"/>
    <w:qFormat/>
    <w:pPr>
      <w:tabs>
        <w:tab w:val="left" w:pos="2629"/>
      </w:tabs>
      <w:spacing w:before="0" w:after="0" w:line="360" w:lineRule="auto"/>
      <w:jc w:val="center"/>
    </w:pPr>
    <w:rPr>
      <w:rFonts w:ascii="宋体" w:hAnsi="宋体" w:cs="宋体"/>
      <w:sz w:val="32"/>
      <w:szCs w:val="20"/>
    </w:rPr>
  </w:style>
  <w:style w:type="paragraph" w:customStyle="1" w:styleId="441">
    <w:name w:val="样式 居中 段前: 4 磅 段后: 4 磅"/>
    <w:basedOn w:val="a6"/>
    <w:qFormat/>
    <w:pPr>
      <w:widowControl/>
      <w:snapToGrid w:val="0"/>
      <w:spacing w:after="200" w:line="276" w:lineRule="auto"/>
      <w:jc w:val="center"/>
    </w:pPr>
    <w:rPr>
      <w:rFonts w:ascii="Calibri" w:hAnsi="Calibri"/>
      <w:kern w:val="0"/>
      <w:sz w:val="22"/>
      <w:szCs w:val="20"/>
      <w:lang w:eastAsia="en-US" w:bidi="en-US"/>
    </w:rPr>
  </w:style>
  <w:style w:type="paragraph" w:customStyle="1" w:styleId="MG">
    <w:name w:val="MG"/>
    <w:basedOn w:val="12"/>
    <w:qFormat/>
    <w:pPr>
      <w:keepNext w:val="0"/>
      <w:keepLines w:val="0"/>
      <w:widowControl/>
      <w:tabs>
        <w:tab w:val="left" w:pos="2260"/>
        <w:tab w:val="left" w:pos="2820"/>
        <w:tab w:val="left" w:pos="3420"/>
      </w:tabs>
      <w:adjustRightInd w:val="0"/>
      <w:snapToGrid w:val="0"/>
      <w:spacing w:beforeLines="100" w:before="0" w:afterLines="100" w:after="0" w:line="520" w:lineRule="exact"/>
      <w:ind w:left="851" w:right="-28" w:hanging="851"/>
    </w:pPr>
    <w:rPr>
      <w:rFonts w:ascii="Arial" w:hAnsi="Arial"/>
      <w:b w:val="0"/>
      <w:bCs w:val="0"/>
      <w:kern w:val="2"/>
      <w:sz w:val="22"/>
      <w:szCs w:val="20"/>
      <w:lang w:val="en-GB"/>
    </w:rPr>
  </w:style>
  <w:style w:type="paragraph" w:customStyle="1" w:styleId="xl935">
    <w:name w:val="xl93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18"/>
      <w:szCs w:val="18"/>
    </w:rPr>
  </w:style>
  <w:style w:type="paragraph" w:customStyle="1" w:styleId="affffffffffffffffffffffffffffff4">
    <w:name w:val="表后注释行"/>
    <w:basedOn w:val="a6"/>
    <w:next w:val="a6"/>
    <w:qFormat/>
    <w:pPr>
      <w:widowControl/>
      <w:adjustRightInd w:val="0"/>
      <w:snapToGrid w:val="0"/>
      <w:spacing w:beforeLines="50" w:afterLines="100" w:line="276" w:lineRule="auto"/>
      <w:ind w:firstLine="567"/>
      <w:jc w:val="left"/>
    </w:pPr>
    <w:rPr>
      <w:rFonts w:ascii="Arial" w:eastAsia="楷体_GB2312" w:hAnsi="Arial"/>
      <w:kern w:val="0"/>
      <w:sz w:val="18"/>
      <w:szCs w:val="20"/>
      <w:lang w:eastAsia="en-US" w:bidi="en-US"/>
    </w:rPr>
  </w:style>
  <w:style w:type="paragraph" w:customStyle="1" w:styleId="S0">
    <w:name w:val="正文段落S"/>
    <w:basedOn w:val="a6"/>
    <w:qFormat/>
    <w:pPr>
      <w:spacing w:line="360" w:lineRule="auto"/>
      <w:ind w:firstLineChars="200" w:firstLine="420"/>
    </w:pPr>
    <w:rPr>
      <w:rFonts w:eastAsia="仿宋_GB2312"/>
      <w:snapToGrid w:val="0"/>
      <w:kern w:val="0"/>
      <w:sz w:val="24"/>
      <w:szCs w:val="20"/>
    </w:rPr>
  </w:style>
  <w:style w:type="paragraph" w:customStyle="1" w:styleId="affffffffffffffffffffffffffffff5">
    <w:name w:val="一"/>
    <w:next w:val="1f8"/>
    <w:qFormat/>
    <w:pPr>
      <w:keepNext/>
      <w:keepLines/>
      <w:pageBreakBefore/>
      <w:spacing w:before="340" w:after="330" w:line="400" w:lineRule="exact"/>
      <w:jc w:val="both"/>
      <w:outlineLvl w:val="0"/>
    </w:pPr>
    <w:rPr>
      <w:rFonts w:eastAsia="黑体"/>
      <w:b/>
      <w:kern w:val="2"/>
      <w:sz w:val="32"/>
      <w:szCs w:val="32"/>
    </w:rPr>
  </w:style>
  <w:style w:type="paragraph" w:customStyle="1" w:styleId="affffffffffffffffffffffffffffff6">
    <w:name w:val="正文（缩进）"/>
    <w:basedOn w:val="a6"/>
    <w:qFormat/>
    <w:pPr>
      <w:adjustRightInd w:val="0"/>
      <w:snapToGrid w:val="0"/>
      <w:spacing w:line="360" w:lineRule="auto"/>
      <w:ind w:firstLineChars="200" w:firstLine="200"/>
    </w:pPr>
    <w:rPr>
      <w:snapToGrid w:val="0"/>
      <w:kern w:val="0"/>
      <w:sz w:val="24"/>
    </w:rPr>
  </w:style>
  <w:style w:type="paragraph" w:customStyle="1" w:styleId="xl46">
    <w:name w:val="xl46"/>
    <w:basedOn w:val="a6"/>
    <w:qFormat/>
    <w:pPr>
      <w:widowControl/>
      <w:pBdr>
        <w:top w:val="single" w:sz="8" w:space="0" w:color="auto"/>
        <w:bottom w:val="single" w:sz="4" w:space="0" w:color="auto"/>
        <w:right w:val="single" w:sz="8" w:space="0" w:color="auto"/>
      </w:pBdr>
      <w:spacing w:before="100" w:after="100"/>
      <w:jc w:val="center"/>
      <w:textAlignment w:val="center"/>
    </w:pPr>
    <w:rPr>
      <w:rFonts w:ascii="宋体" w:hAnsi="宋体" w:hint="eastAsia"/>
      <w:kern w:val="0"/>
      <w:sz w:val="24"/>
      <w:szCs w:val="20"/>
    </w:rPr>
  </w:style>
  <w:style w:type="paragraph" w:customStyle="1" w:styleId="affffffffffffffffffffffffffffff7">
    <w:name w:val="我的表格"/>
    <w:basedOn w:val="a6"/>
    <w:qFormat/>
    <w:pPr>
      <w:autoSpaceDE w:val="0"/>
      <w:autoSpaceDN w:val="0"/>
      <w:adjustRightInd w:val="0"/>
      <w:jc w:val="center"/>
    </w:pPr>
    <w:rPr>
      <w:kern w:val="0"/>
      <w:szCs w:val="21"/>
    </w:rPr>
  </w:style>
  <w:style w:type="paragraph" w:customStyle="1" w:styleId="GB231212">
    <w:name w:val="样式 (中文) 楷体_GB2312 居中 行距: 固定值 12 磅"/>
    <w:basedOn w:val="a6"/>
    <w:qFormat/>
    <w:pPr>
      <w:spacing w:line="240" w:lineRule="exact"/>
      <w:jc w:val="center"/>
    </w:pPr>
    <w:rPr>
      <w:rFonts w:eastAsia="楷体_GB2312"/>
      <w:szCs w:val="20"/>
    </w:rPr>
  </w:style>
  <w:style w:type="paragraph" w:customStyle="1" w:styleId="2H2110015">
    <w:name w:val="样式 标题 2节H2节标题 1.1 + 宋体 小四 段前: 0 磅 段后: 0 磅 行距: 1.5 倍行距"/>
    <w:basedOn w:val="210"/>
    <w:qFormat/>
    <w:pPr>
      <w:snapToGrid w:val="0"/>
      <w:spacing w:before="0" w:after="0" w:line="360" w:lineRule="auto"/>
    </w:pPr>
    <w:rPr>
      <w:rFonts w:ascii="黑体" w:hAnsi="Times New Roman"/>
      <w:sz w:val="28"/>
      <w:szCs w:val="28"/>
    </w:rPr>
  </w:style>
  <w:style w:type="paragraph" w:customStyle="1" w:styleId="551">
    <w:name w:val="样式 左 段前: 5 磅 段后: 5 磅1"/>
    <w:basedOn w:val="a6"/>
    <w:qFormat/>
    <w:pPr>
      <w:widowControl/>
      <w:spacing w:before="100" w:after="100" w:line="240" w:lineRule="atLeast"/>
      <w:jc w:val="center"/>
    </w:pPr>
    <w:rPr>
      <w:rFonts w:cs="宋体"/>
      <w:kern w:val="52"/>
      <w:sz w:val="24"/>
      <w:szCs w:val="20"/>
    </w:rPr>
  </w:style>
  <w:style w:type="paragraph" w:customStyle="1" w:styleId="222GB2312">
    <w:name w:val="样式 样式 样式 样式 样式 样式 首行缩进:  2 字符 + 首行缩进:  2 字符2 + 仿宋_GB2312 + 首行缩进:..."/>
    <w:basedOn w:val="a6"/>
    <w:qFormat/>
    <w:pPr>
      <w:spacing w:line="560" w:lineRule="exact"/>
      <w:ind w:firstLineChars="200" w:firstLine="624"/>
    </w:pPr>
    <w:rPr>
      <w:rFonts w:eastAsia="楷体_GB2312"/>
      <w:spacing w:val="12"/>
      <w:kern w:val="0"/>
      <w:sz w:val="28"/>
      <w:szCs w:val="20"/>
    </w:rPr>
  </w:style>
  <w:style w:type="paragraph" w:customStyle="1" w:styleId="Indent1">
    <w:name w:val="Indent1"/>
    <w:basedOn w:val="a6"/>
    <w:qFormat/>
    <w:pPr>
      <w:widowControl/>
      <w:autoSpaceDE w:val="0"/>
      <w:autoSpaceDN w:val="0"/>
      <w:spacing w:before="120"/>
      <w:ind w:left="1134" w:right="284"/>
      <w:jc w:val="left"/>
    </w:pPr>
    <w:rPr>
      <w:rFonts w:ascii="Arial" w:hAnsi="Arial" w:cs="宋体"/>
      <w:color w:val="000000"/>
      <w:kern w:val="0"/>
      <w:sz w:val="20"/>
      <w:szCs w:val="20"/>
      <w:lang w:val="en-GB"/>
    </w:rPr>
  </w:style>
  <w:style w:type="paragraph" w:customStyle="1" w:styleId="reader-word-layerreader-word-s39-7reader-word-s39-11">
    <w:name w:val="reader-word-layer reader-word-s39-7 reader-word-s39-11"/>
    <w:basedOn w:val="a6"/>
    <w:qFormat/>
    <w:pPr>
      <w:widowControl/>
      <w:spacing w:before="100" w:beforeAutospacing="1" w:after="100" w:afterAutospacing="1"/>
      <w:jc w:val="left"/>
    </w:pPr>
    <w:rPr>
      <w:rFonts w:ascii="宋体" w:hAnsi="宋体" w:cs="宋体"/>
      <w:color w:val="000000"/>
      <w:w w:val="110"/>
      <w:kern w:val="0"/>
      <w:sz w:val="24"/>
    </w:rPr>
  </w:style>
  <w:style w:type="paragraph" w:customStyle="1" w:styleId="Bulletlevel3">
    <w:name w:val="Bullet level 3"/>
    <w:basedOn w:val="a6"/>
    <w:qFormat/>
    <w:pPr>
      <w:widowControl/>
      <w:tabs>
        <w:tab w:val="left" w:pos="420"/>
      </w:tabs>
      <w:wordWrap w:val="0"/>
      <w:spacing w:before="120"/>
      <w:ind w:left="420" w:hanging="420"/>
      <w:jc w:val="left"/>
    </w:pPr>
    <w:rPr>
      <w:rFonts w:ascii="Arial" w:hAnsi="Arial" w:cs="宋体"/>
      <w:kern w:val="0"/>
      <w:sz w:val="22"/>
      <w:szCs w:val="20"/>
    </w:rPr>
  </w:style>
  <w:style w:type="paragraph" w:customStyle="1" w:styleId="2fffff5">
    <w:name w:val="图表目录2"/>
    <w:basedOn w:val="4fd"/>
    <w:next w:val="4fd"/>
    <w:qFormat/>
    <w:pPr>
      <w:tabs>
        <w:tab w:val="right" w:leader="dot" w:pos="8051"/>
      </w:tabs>
      <w:ind w:left="840" w:hanging="840"/>
    </w:pPr>
    <w:rPr>
      <w:sz w:val="24"/>
    </w:rPr>
  </w:style>
  <w:style w:type="paragraph" w:customStyle="1" w:styleId="reader-word-layerreader-word-s1-6">
    <w:name w:val="reader-word-layer reader-word-s1-6"/>
    <w:basedOn w:val="a6"/>
    <w:qFormat/>
    <w:pPr>
      <w:widowControl/>
      <w:spacing w:before="100" w:beforeAutospacing="1" w:after="100" w:afterAutospacing="1"/>
      <w:jc w:val="left"/>
    </w:pPr>
    <w:rPr>
      <w:rFonts w:ascii="宋体" w:hAnsi="宋体" w:cs="宋体"/>
      <w:kern w:val="0"/>
      <w:sz w:val="24"/>
    </w:rPr>
  </w:style>
  <w:style w:type="paragraph" w:customStyle="1" w:styleId="ZchnZchnCharCharZchnZchn">
    <w:name w:val="Zchn Zchn Char Char Zchn Zchn"/>
    <w:basedOn w:val="a6"/>
    <w:qFormat/>
    <w:pPr>
      <w:tabs>
        <w:tab w:val="left" w:pos="492"/>
      </w:tabs>
      <w:ind w:left="492" w:hanging="132"/>
    </w:pPr>
    <w:rPr>
      <w:rFonts w:ascii="Tahoma" w:eastAsia="楷体_GB2312" w:hAnsi="Tahoma"/>
      <w:color w:val="000000"/>
      <w:spacing w:val="10"/>
      <w:w w:val="110"/>
      <w:kern w:val="0"/>
      <w:sz w:val="24"/>
      <w:szCs w:val="20"/>
    </w:rPr>
  </w:style>
  <w:style w:type="paragraph" w:customStyle="1" w:styleId="1fffff5">
    <w:name w:val="表样式1"/>
    <w:basedOn w:val="a6"/>
    <w:qFormat/>
    <w:pPr>
      <w:spacing w:line="380" w:lineRule="exact"/>
      <w:ind w:rightChars="-131" w:right="-275"/>
    </w:pPr>
    <w:rPr>
      <w:rFonts w:ascii="宋体" w:hAnsi="宋体"/>
      <w:color w:val="000000"/>
      <w:w w:val="110"/>
      <w:kern w:val="0"/>
      <w:sz w:val="24"/>
      <w:szCs w:val="21"/>
    </w:rPr>
  </w:style>
  <w:style w:type="paragraph" w:customStyle="1" w:styleId="CharCharffffff1">
    <w:name w:val="Char Char 字元 字元"/>
    <w:basedOn w:val="a6"/>
    <w:qFormat/>
    <w:pPr>
      <w:widowControl/>
      <w:spacing w:after="160" w:line="240" w:lineRule="exact"/>
      <w:jc w:val="left"/>
    </w:pPr>
    <w:rPr>
      <w:rFonts w:ascii="Verdana" w:hAnsi="Verdana"/>
      <w:kern w:val="0"/>
      <w:sz w:val="20"/>
      <w:szCs w:val="20"/>
      <w:lang w:eastAsia="en-US"/>
    </w:rPr>
  </w:style>
  <w:style w:type="paragraph" w:customStyle="1" w:styleId="p21">
    <w:name w:val="p21"/>
    <w:basedOn w:val="a6"/>
    <w:qFormat/>
    <w:pPr>
      <w:widowControl/>
      <w:spacing w:beforeLines="10" w:afterLines="10" w:line="360" w:lineRule="auto"/>
      <w:ind w:firstLine="420"/>
    </w:pPr>
    <w:rPr>
      <w:color w:val="000000"/>
      <w:kern w:val="0"/>
      <w:sz w:val="24"/>
    </w:rPr>
  </w:style>
  <w:style w:type="paragraph" w:customStyle="1" w:styleId="xl196">
    <w:name w:val="xl196"/>
    <w:basedOn w:val="a6"/>
    <w:qFormat/>
    <w:pPr>
      <w:widowControl/>
      <w:pBdr>
        <w:left w:val="single" w:sz="8" w:space="0" w:color="auto"/>
        <w:bottom w:val="single" w:sz="4" w:space="0" w:color="auto"/>
      </w:pBdr>
      <w:spacing w:before="100" w:beforeAutospacing="1" w:after="100" w:afterAutospacing="1"/>
      <w:jc w:val="left"/>
      <w:textAlignment w:val="center"/>
    </w:pPr>
    <w:rPr>
      <w:rFonts w:cs="宋体"/>
      <w:color w:val="000000"/>
      <w:kern w:val="0"/>
      <w:sz w:val="24"/>
    </w:rPr>
  </w:style>
  <w:style w:type="paragraph" w:customStyle="1" w:styleId="xl154">
    <w:name w:val="xl154"/>
    <w:basedOn w:val="a6"/>
    <w:qFormat/>
    <w:pPr>
      <w:widowControl/>
      <w:pBdr>
        <w:top w:val="double" w:sz="6" w:space="0" w:color="auto"/>
        <w:bottom w:val="single" w:sz="4" w:space="0" w:color="auto"/>
        <w:right w:val="single" w:sz="4" w:space="0" w:color="auto"/>
      </w:pBdr>
      <w:spacing w:before="100" w:beforeAutospacing="1" w:after="100" w:afterAutospacing="1" w:line="360" w:lineRule="auto"/>
      <w:jc w:val="center"/>
      <w:textAlignment w:val="center"/>
    </w:pPr>
    <w:rPr>
      <w:rFonts w:eastAsia="Arial Unicode MS" w:cs="宋体"/>
      <w:color w:val="000000"/>
      <w:kern w:val="0"/>
      <w:sz w:val="20"/>
      <w:szCs w:val="20"/>
    </w:rPr>
  </w:style>
  <w:style w:type="paragraph" w:customStyle="1" w:styleId="CharChar1CharCharCharCharCharCharCharCharCharCharCharCharCharCharCharCharCharCharCharChar1Char1">
    <w:name w:val="Char Char1 Char Char Char Char Char Char Char Char Char Char Char Char Char Char Char Char Char Char Char Char1 Char1"/>
    <w:basedOn w:val="a6"/>
    <w:qFormat/>
    <w:pPr>
      <w:spacing w:line="360" w:lineRule="auto"/>
      <w:ind w:firstLineChars="200" w:firstLine="200"/>
    </w:pPr>
    <w:rPr>
      <w:rFonts w:ascii="宋体" w:hAnsi="宋体" w:cs="宋体"/>
      <w:sz w:val="24"/>
    </w:rPr>
  </w:style>
  <w:style w:type="paragraph" w:customStyle="1" w:styleId="xl1029">
    <w:name w:val="xl102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8"/>
      <w:szCs w:val="18"/>
    </w:rPr>
  </w:style>
  <w:style w:type="paragraph" w:customStyle="1" w:styleId="-STD6">
    <w:name w:val="样式 正文首行缩进-STD + (符号) 宋体 段前: 6 磅"/>
    <w:basedOn w:val="a6"/>
    <w:qFormat/>
    <w:pPr>
      <w:spacing w:before="100" w:beforeAutospacing="1" w:line="360" w:lineRule="auto"/>
      <w:ind w:firstLineChars="200" w:firstLine="480"/>
    </w:pPr>
    <w:rPr>
      <w:rFonts w:hAnsi="宋体" w:cs="宋体"/>
      <w:sz w:val="24"/>
      <w:szCs w:val="20"/>
    </w:rPr>
  </w:style>
  <w:style w:type="paragraph" w:customStyle="1" w:styleId="CharCharCharCharCharChar6">
    <w:name w:val="Char Char Char Char Char Char6"/>
    <w:basedOn w:val="a6"/>
    <w:qFormat/>
  </w:style>
  <w:style w:type="paragraph" w:customStyle="1" w:styleId="xl151">
    <w:name w:val="xl151"/>
    <w:basedOn w:val="a6"/>
    <w:qFormat/>
    <w:pPr>
      <w:widowControl/>
      <w:pBdr>
        <w:bottom w:val="single" w:sz="4" w:space="0" w:color="auto"/>
        <w:right w:val="single" w:sz="4" w:space="0" w:color="auto"/>
      </w:pBdr>
      <w:spacing w:before="100" w:beforeAutospacing="1" w:after="100" w:afterAutospacing="1" w:line="360" w:lineRule="auto"/>
      <w:jc w:val="center"/>
      <w:textAlignment w:val="center"/>
    </w:pPr>
    <w:rPr>
      <w:rFonts w:eastAsia="Arial Unicode MS" w:cs="宋体"/>
      <w:color w:val="000000"/>
      <w:kern w:val="0"/>
      <w:sz w:val="20"/>
      <w:szCs w:val="20"/>
    </w:rPr>
  </w:style>
  <w:style w:type="paragraph" w:customStyle="1" w:styleId="S2">
    <w:name w:val="S表格"/>
    <w:basedOn w:val="a6"/>
    <w:qFormat/>
    <w:pPr>
      <w:spacing w:before="240" w:line="360" w:lineRule="auto"/>
      <w:outlineLvl w:val="2"/>
    </w:pPr>
    <w:rPr>
      <w:rFonts w:ascii="宋体"/>
      <w:kern w:val="0"/>
      <w:sz w:val="24"/>
      <w:szCs w:val="20"/>
    </w:rPr>
  </w:style>
  <w:style w:type="paragraph" w:customStyle="1" w:styleId="T32">
    <w:name w:val="T3"/>
    <w:qFormat/>
    <w:pPr>
      <w:tabs>
        <w:tab w:val="left" w:pos="360"/>
        <w:tab w:val="left" w:pos="1277"/>
        <w:tab w:val="left" w:pos="1410"/>
        <w:tab w:val="left" w:pos="1697"/>
      </w:tabs>
      <w:ind w:left="1410" w:hanging="1410"/>
    </w:pPr>
  </w:style>
  <w:style w:type="paragraph" w:customStyle="1" w:styleId="T20">
    <w:name w:val="T2"/>
    <w:basedOn w:val="a6"/>
    <w:qFormat/>
    <w:pPr>
      <w:widowControl/>
      <w:tabs>
        <w:tab w:val="left" w:pos="1277"/>
      </w:tabs>
      <w:adjustRightInd w:val="0"/>
      <w:spacing w:before="60" w:line="288" w:lineRule="auto"/>
      <w:ind w:left="1277" w:hanging="420"/>
      <w:jc w:val="left"/>
      <w:textAlignment w:val="baseline"/>
    </w:pPr>
    <w:rPr>
      <w:rFonts w:cs="宋体"/>
      <w:spacing w:val="16"/>
      <w:kern w:val="20"/>
      <w:sz w:val="28"/>
      <w:szCs w:val="20"/>
    </w:rPr>
  </w:style>
  <w:style w:type="paragraph" w:customStyle="1" w:styleId="xl149">
    <w:name w:val="xl149"/>
    <w:basedOn w:val="a6"/>
    <w:qFormat/>
    <w:pPr>
      <w:widowControl/>
      <w:pBdr>
        <w:right w:val="single" w:sz="4" w:space="0" w:color="auto"/>
      </w:pBdr>
      <w:spacing w:before="100" w:beforeAutospacing="1" w:after="100" w:afterAutospacing="1" w:line="360" w:lineRule="auto"/>
      <w:jc w:val="center"/>
      <w:textAlignment w:val="center"/>
    </w:pPr>
    <w:rPr>
      <w:rFonts w:eastAsia="Arial Unicode MS" w:cs="宋体"/>
      <w:color w:val="000000"/>
      <w:kern w:val="0"/>
      <w:sz w:val="20"/>
      <w:szCs w:val="20"/>
    </w:rPr>
  </w:style>
  <w:style w:type="paragraph" w:customStyle="1" w:styleId="affffffffffffffffffffffffffffff8">
    <w:name w:val="污染物"/>
    <w:basedOn w:val="a6"/>
    <w:qFormat/>
    <w:pPr>
      <w:jc w:val="center"/>
    </w:pPr>
    <w:rPr>
      <w:rFonts w:eastAsia="黑体"/>
      <w:szCs w:val="21"/>
      <w:u w:val="double"/>
    </w:rPr>
  </w:style>
  <w:style w:type="paragraph" w:customStyle="1" w:styleId="Charffffffffffa">
    <w:name w:val="样式 图号 + 宋体 Char"/>
    <w:basedOn w:val="affffffb"/>
    <w:qFormat/>
  </w:style>
  <w:style w:type="paragraph" w:customStyle="1" w:styleId="2fffff6">
    <w:name w:val="正文缩进2"/>
    <w:basedOn w:val="3f5"/>
    <w:qFormat/>
    <w:pPr>
      <w:adjustRightInd w:val="0"/>
      <w:spacing w:line="318" w:lineRule="atLeast"/>
      <w:jc w:val="left"/>
    </w:pPr>
    <w:rPr>
      <w:rFonts w:ascii="宋体" w:hint="eastAsia"/>
      <w:spacing w:val="0"/>
      <w:kern w:val="0"/>
    </w:rPr>
  </w:style>
  <w:style w:type="paragraph" w:customStyle="1" w:styleId="font8">
    <w:name w:val="font8"/>
    <w:basedOn w:val="a6"/>
    <w:qFormat/>
    <w:pPr>
      <w:widowControl/>
      <w:spacing w:before="100" w:after="100"/>
      <w:jc w:val="left"/>
    </w:pPr>
    <w:rPr>
      <w:kern w:val="0"/>
      <w:szCs w:val="20"/>
    </w:rPr>
  </w:style>
  <w:style w:type="paragraph" w:customStyle="1" w:styleId="4">
    <w:name w:val="示例和注释(左缩进4)"/>
    <w:basedOn w:val="a6"/>
    <w:semiHidden/>
    <w:qFormat/>
    <w:pPr>
      <w:widowControl/>
      <w:numPr>
        <w:ilvl w:val="3"/>
        <w:numId w:val="12"/>
      </w:numPr>
      <w:ind w:firstLine="0"/>
      <w:jc w:val="left"/>
    </w:pPr>
    <w:rPr>
      <w:rFonts w:ascii="Arial" w:hAnsi="Arial" w:cs="宋体"/>
      <w:kern w:val="0"/>
      <w:sz w:val="24"/>
    </w:rPr>
  </w:style>
  <w:style w:type="paragraph" w:customStyle="1" w:styleId="GB231210">
    <w:name w:val="样式 仿宋_GB2312 小四1"/>
    <w:basedOn w:val="a6"/>
    <w:qFormat/>
    <w:pPr>
      <w:adjustRightInd w:val="0"/>
      <w:spacing w:line="360" w:lineRule="auto"/>
      <w:ind w:firstLineChars="200" w:firstLine="480"/>
      <w:textAlignment w:val="baseline"/>
    </w:pPr>
    <w:rPr>
      <w:rFonts w:eastAsia="仿宋_GB2312"/>
      <w:color w:val="000000"/>
      <w:w w:val="110"/>
      <w:kern w:val="0"/>
      <w:sz w:val="24"/>
    </w:rPr>
  </w:style>
  <w:style w:type="paragraph" w:customStyle="1" w:styleId="CharCharCharCharCharCharCharCharCharCharCharCharCharCharCharCharCharCharCharCharCharCharCharCharCharCharCharCharCharCharCharCharCharCharCharCharCharCharCharChar3">
    <w:name w:val="Char Char Char Char Char Char Char Char Char Char Char Char Char Char Char Char Char Char Char Char Char Char Char Char Char Char Char Char Char Char Char Char Char Char Char Char Char Char Char Char3"/>
    <w:basedOn w:val="a6"/>
    <w:qFormat/>
    <w:rPr>
      <w:sz w:val="24"/>
    </w:rPr>
  </w:style>
  <w:style w:type="paragraph" w:customStyle="1" w:styleId="5ff1">
    <w:name w:val="表文字5"/>
    <w:basedOn w:val="a6"/>
    <w:qFormat/>
    <w:pPr>
      <w:widowControl/>
      <w:adjustRightInd w:val="0"/>
      <w:jc w:val="left"/>
      <w:textAlignment w:val="baseline"/>
    </w:pPr>
    <w:rPr>
      <w:rFonts w:ascii="宋体" w:cs="宋体"/>
      <w:kern w:val="0"/>
      <w:sz w:val="24"/>
      <w:szCs w:val="20"/>
    </w:rPr>
  </w:style>
  <w:style w:type="paragraph" w:customStyle="1" w:styleId="CharCharCharCharCharCharCharCharCharCharChar1">
    <w:name w:val="Char Char Char Char Char Char Char Char Char Char Char1"/>
    <w:basedOn w:val="a6"/>
    <w:qFormat/>
  </w:style>
  <w:style w:type="paragraph" w:customStyle="1" w:styleId="xl40">
    <w:name w:val="xl40"/>
    <w:basedOn w:val="a6"/>
    <w:qFormat/>
    <w:pPr>
      <w:widowControl/>
      <w:pBdr>
        <w:top w:val="single" w:sz="4" w:space="0" w:color="auto"/>
        <w:left w:val="single" w:sz="4" w:space="0" w:color="auto"/>
        <w:right w:val="single" w:sz="4" w:space="0" w:color="auto"/>
      </w:pBdr>
      <w:spacing w:before="100" w:after="100"/>
      <w:jc w:val="center"/>
      <w:textAlignment w:val="center"/>
    </w:pPr>
    <w:rPr>
      <w:kern w:val="0"/>
      <w:szCs w:val="20"/>
    </w:rPr>
  </w:style>
  <w:style w:type="paragraph" w:customStyle="1" w:styleId="xl136">
    <w:name w:val="xl136"/>
    <w:basedOn w:val="a6"/>
    <w:qFormat/>
    <w:pPr>
      <w:widowControl/>
      <w:pBdr>
        <w:left w:val="single" w:sz="4" w:space="0" w:color="auto"/>
      </w:pBdr>
      <w:spacing w:before="100" w:beforeAutospacing="1" w:after="100" w:afterAutospacing="1" w:line="360" w:lineRule="auto"/>
      <w:jc w:val="center"/>
      <w:textAlignment w:val="center"/>
    </w:pPr>
    <w:rPr>
      <w:rFonts w:ascii="Arial Unicode MS" w:eastAsia="Arial Unicode MS" w:hAnsi="Arial Unicode MS" w:cs="Arial Unicode MS"/>
      <w:kern w:val="0"/>
      <w:sz w:val="20"/>
      <w:szCs w:val="20"/>
    </w:rPr>
  </w:style>
  <w:style w:type="paragraph" w:customStyle="1" w:styleId="3220">
    <w:name w:val="样式 表格 32 + 首行缩进:  2 字符"/>
    <w:basedOn w:val="a6"/>
    <w:qFormat/>
    <w:pPr>
      <w:widowControl/>
      <w:autoSpaceDE w:val="0"/>
      <w:autoSpaceDN w:val="0"/>
      <w:adjustRightInd w:val="0"/>
      <w:spacing w:line="240" w:lineRule="atLeast"/>
      <w:jc w:val="center"/>
    </w:pPr>
    <w:rPr>
      <w:rFonts w:ascii="宋体" w:hAnsi="宋体" w:cs="宋体"/>
      <w:kern w:val="0"/>
      <w:szCs w:val="21"/>
    </w:rPr>
  </w:style>
  <w:style w:type="paragraph" w:customStyle="1" w:styleId="xl131">
    <w:name w:val="xl131"/>
    <w:basedOn w:val="a6"/>
    <w:qFormat/>
    <w:pPr>
      <w:widowControl/>
      <w:pBdr>
        <w:top w:val="single" w:sz="4" w:space="0" w:color="auto"/>
        <w:bottom w:val="single" w:sz="4" w:space="0" w:color="auto"/>
      </w:pBdr>
      <w:spacing w:before="100" w:beforeAutospacing="1" w:after="100" w:afterAutospacing="1" w:line="360" w:lineRule="auto"/>
      <w:jc w:val="left"/>
    </w:pPr>
    <w:rPr>
      <w:rFonts w:ascii="Arial Unicode MS" w:eastAsia="Arial Unicode MS" w:hAnsi="Arial Unicode MS" w:cs="Arial Unicode MS"/>
      <w:kern w:val="0"/>
      <w:sz w:val="24"/>
    </w:rPr>
  </w:style>
  <w:style w:type="paragraph" w:customStyle="1" w:styleId="3fff0">
    <w:name w:val="正文标题3"/>
    <w:basedOn w:val="33"/>
    <w:qFormat/>
    <w:pPr>
      <w:adjustRightInd w:val="0"/>
    </w:pPr>
    <w:rPr>
      <w:rFonts w:ascii="宋体"/>
      <w:bCs/>
      <w:spacing w:val="0"/>
      <w:szCs w:val="20"/>
    </w:rPr>
  </w:style>
  <w:style w:type="paragraph" w:customStyle="1" w:styleId="CM94">
    <w:name w:val="CM94"/>
    <w:basedOn w:val="Default"/>
    <w:next w:val="Default"/>
    <w:qFormat/>
    <w:pPr>
      <w:spacing w:after="480"/>
    </w:pPr>
    <w:rPr>
      <w:rFonts w:ascii="黑体" w:eastAsia="黑体"/>
      <w:color w:val="auto"/>
    </w:rPr>
  </w:style>
  <w:style w:type="paragraph" w:customStyle="1" w:styleId="-b">
    <w:name w:val="正文-采用"/>
    <w:basedOn w:val="a6"/>
    <w:qFormat/>
    <w:pPr>
      <w:snapToGrid w:val="0"/>
      <w:spacing w:line="360" w:lineRule="auto"/>
      <w:ind w:firstLineChars="200" w:firstLine="480"/>
    </w:pPr>
    <w:rPr>
      <w:rFonts w:ascii="宋体"/>
      <w:snapToGrid w:val="0"/>
      <w:color w:val="000000"/>
      <w:kern w:val="0"/>
      <w:sz w:val="24"/>
      <w:szCs w:val="20"/>
    </w:rPr>
  </w:style>
  <w:style w:type="paragraph" w:customStyle="1" w:styleId="affffffffffffffffffffffffffffff9">
    <w:name w:val="正文正文正文"/>
    <w:basedOn w:val="a6"/>
    <w:next w:val="a6"/>
    <w:qFormat/>
    <w:pPr>
      <w:keepNext/>
      <w:keepLines/>
      <w:widowControl/>
      <w:adjustRightInd w:val="0"/>
      <w:spacing w:before="40" w:after="40" w:line="360" w:lineRule="auto"/>
      <w:ind w:firstLineChars="200" w:firstLine="200"/>
      <w:textAlignment w:val="baseline"/>
    </w:pPr>
    <w:rPr>
      <w:rFonts w:cs="宋体"/>
      <w:bCs/>
      <w:kern w:val="0"/>
      <w:sz w:val="24"/>
      <w:szCs w:val="28"/>
    </w:rPr>
  </w:style>
  <w:style w:type="paragraph" w:customStyle="1" w:styleId="1fffff6">
    <w:name w:val="尾注文本1"/>
    <w:basedOn w:val="120"/>
    <w:qFormat/>
    <w:pPr>
      <w:adjustRightInd w:val="0"/>
      <w:spacing w:line="360" w:lineRule="atLeast"/>
      <w:ind w:firstLineChars="0" w:firstLine="0"/>
      <w:jc w:val="left"/>
      <w:textAlignment w:val="baseline"/>
    </w:pPr>
    <w:rPr>
      <w:rFonts w:ascii="宋体"/>
      <w:sz w:val="21"/>
    </w:rPr>
  </w:style>
  <w:style w:type="paragraph" w:customStyle="1" w:styleId="affffffffffffffffffffffffffffffa">
    <w:name w:val="款标题"/>
    <w:basedOn w:val="a6"/>
    <w:qFormat/>
    <w:pPr>
      <w:widowControl/>
      <w:adjustRightInd w:val="0"/>
      <w:snapToGrid w:val="0"/>
      <w:spacing w:line="420" w:lineRule="exact"/>
      <w:ind w:firstLineChars="218" w:firstLine="523"/>
      <w:jc w:val="left"/>
    </w:pPr>
    <w:rPr>
      <w:rFonts w:cs="宋体"/>
      <w:kern w:val="0"/>
      <w:sz w:val="24"/>
    </w:rPr>
  </w:style>
  <w:style w:type="paragraph" w:customStyle="1" w:styleId="xl120">
    <w:name w:val="xl120"/>
    <w:basedOn w:val="a6"/>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1fffff7">
    <w:name w:val="1名"/>
    <w:basedOn w:val="a6"/>
    <w:qFormat/>
    <w:pPr>
      <w:spacing w:before="120"/>
    </w:pPr>
    <w:rPr>
      <w:rFonts w:ascii="宋体"/>
      <w:sz w:val="28"/>
      <w:szCs w:val="20"/>
    </w:rPr>
  </w:style>
  <w:style w:type="paragraph" w:customStyle="1" w:styleId="Char70">
    <w:name w:val="Char7"/>
    <w:basedOn w:val="a6"/>
    <w:qFormat/>
    <w:pPr>
      <w:spacing w:after="160" w:line="240" w:lineRule="exact"/>
      <w:jc w:val="left"/>
    </w:pPr>
    <w:rPr>
      <w:rFonts w:ascii="Arial" w:eastAsia="Times New Roman" w:hAnsi="Arial" w:cs="Verdana"/>
      <w:b/>
      <w:kern w:val="0"/>
      <w:sz w:val="24"/>
      <w:lang w:eastAsia="en-US"/>
    </w:rPr>
  </w:style>
  <w:style w:type="paragraph" w:customStyle="1" w:styleId="affffffffffffffffffffffffffffffb">
    <w:name w:val="表格编号"/>
    <w:basedOn w:val="a6"/>
    <w:next w:val="a6"/>
    <w:qFormat/>
    <w:pPr>
      <w:widowControl/>
      <w:tabs>
        <w:tab w:val="left" w:pos="360"/>
      </w:tabs>
      <w:spacing w:before="300" w:after="200" w:line="360" w:lineRule="auto"/>
      <w:ind w:left="360" w:hangingChars="200" w:hanging="360"/>
      <w:jc w:val="center"/>
    </w:pPr>
    <w:rPr>
      <w:rFonts w:cs="宋体"/>
      <w:kern w:val="0"/>
      <w:sz w:val="24"/>
      <w:szCs w:val="20"/>
    </w:rPr>
  </w:style>
  <w:style w:type="paragraph" w:customStyle="1" w:styleId="reader-word-layerreader-word-s1-11">
    <w:name w:val="reader-word-layer reader-word-s1-11"/>
    <w:basedOn w:val="a6"/>
    <w:qFormat/>
    <w:pPr>
      <w:widowControl/>
      <w:spacing w:before="100" w:beforeAutospacing="1" w:after="100" w:afterAutospacing="1"/>
      <w:jc w:val="left"/>
    </w:pPr>
    <w:rPr>
      <w:rFonts w:ascii="宋体" w:hAnsi="宋体" w:cs="宋体"/>
      <w:kern w:val="0"/>
      <w:sz w:val="24"/>
    </w:rPr>
  </w:style>
  <w:style w:type="paragraph" w:customStyle="1" w:styleId="xl962">
    <w:name w:val="xl962"/>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宋体" w:hAnsi="宋体" w:cs="宋体"/>
      <w:kern w:val="0"/>
      <w:sz w:val="18"/>
      <w:szCs w:val="18"/>
    </w:rPr>
  </w:style>
  <w:style w:type="paragraph" w:customStyle="1" w:styleId="CharCharCharCharCharCharChar1CharCharChar">
    <w:name w:val="Char Char Char Char Char Char Char1 Char Char Char"/>
    <w:basedOn w:val="a6"/>
    <w:next w:val="a6"/>
    <w:qFormat/>
    <w:pPr>
      <w:widowControl/>
      <w:tabs>
        <w:tab w:val="left" w:pos="777"/>
        <w:tab w:val="left" w:pos="5744"/>
      </w:tabs>
      <w:spacing w:beforeLines="50" w:afterLines="100" w:line="360" w:lineRule="auto"/>
      <w:ind w:left="1105" w:hanging="748"/>
      <w:jc w:val="center"/>
    </w:pPr>
    <w:rPr>
      <w:rFonts w:cs="宋体"/>
      <w:kern w:val="0"/>
      <w:sz w:val="24"/>
      <w:szCs w:val="21"/>
    </w:rPr>
  </w:style>
  <w:style w:type="paragraph" w:customStyle="1" w:styleId="affffffffffffffffffffffffffffffc">
    <w:name w:val="条目"/>
    <w:next w:val="a6"/>
    <w:qFormat/>
    <w:pPr>
      <w:tabs>
        <w:tab w:val="left" w:pos="284"/>
      </w:tabs>
      <w:adjustRightInd w:val="0"/>
      <w:ind w:left="567" w:hanging="283"/>
    </w:pPr>
    <w:rPr>
      <w:rFonts w:ascii="宋体"/>
      <w:bCs/>
      <w:sz w:val="28"/>
      <w:szCs w:val="28"/>
      <w:lang w:val="zh-CN"/>
    </w:rPr>
  </w:style>
  <w:style w:type="paragraph" w:customStyle="1" w:styleId="xl80">
    <w:name w:val="xl80"/>
    <w:basedOn w:val="a6"/>
    <w:qFormat/>
    <w:pPr>
      <w:widowControl/>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ascii="宋体" w:hAnsi="宋体" w:cs="宋体"/>
      <w:b/>
      <w:bCs/>
      <w:kern w:val="0"/>
      <w:sz w:val="20"/>
      <w:szCs w:val="20"/>
    </w:rPr>
  </w:style>
  <w:style w:type="paragraph" w:customStyle="1" w:styleId="Style102">
    <w:name w:val="Style102"/>
    <w:basedOn w:val="a6"/>
    <w:qFormat/>
    <w:pPr>
      <w:adjustRightInd w:val="0"/>
      <w:spacing w:line="466" w:lineRule="exact"/>
      <w:jc w:val="center"/>
    </w:pPr>
    <w:rPr>
      <w:rFonts w:ascii="宋体"/>
      <w:kern w:val="0"/>
      <w:sz w:val="24"/>
      <w:szCs w:val="20"/>
    </w:rPr>
  </w:style>
  <w:style w:type="paragraph" w:customStyle="1" w:styleId="affffffffffffffffffffffffffffffd">
    <w:name w:val="题注 + 居中"/>
    <w:basedOn w:val="af1"/>
    <w:qFormat/>
    <w:pPr>
      <w:widowControl w:val="0"/>
      <w:adjustRightInd w:val="0"/>
      <w:snapToGrid w:val="0"/>
      <w:ind w:firstLineChars="0" w:firstLine="0"/>
      <w:jc w:val="center"/>
    </w:pPr>
    <w:rPr>
      <w:rFonts w:ascii="黑体" w:eastAsia="黑体" w:hAnsi="Arial" w:cs="宋体"/>
      <w:b w:val="0"/>
      <w:szCs w:val="20"/>
    </w:rPr>
  </w:style>
  <w:style w:type="paragraph" w:customStyle="1" w:styleId="96">
    <w:name w:val="标题9"/>
    <w:next w:val="a6"/>
    <w:qFormat/>
    <w:pPr>
      <w:adjustRightInd w:val="0"/>
      <w:snapToGrid w:val="0"/>
      <w:spacing w:line="312" w:lineRule="auto"/>
      <w:jc w:val="center"/>
    </w:pPr>
    <w:rPr>
      <w:rFonts w:eastAsia="黑体"/>
      <w:sz w:val="18"/>
    </w:rPr>
  </w:style>
  <w:style w:type="paragraph" w:customStyle="1" w:styleId="affffffffffffffffffffffffffffffe">
    <w:name w:val="左五"/>
    <w:basedOn w:val="a6"/>
    <w:qFormat/>
    <w:pPr>
      <w:adjustRightInd w:val="0"/>
      <w:snapToGrid w:val="0"/>
      <w:spacing w:line="280" w:lineRule="exact"/>
      <w:jc w:val="left"/>
    </w:pPr>
    <w:rPr>
      <w:rFonts w:ascii="宋体" w:hAnsi="Symusic"/>
      <w:color w:val="000000"/>
      <w:sz w:val="18"/>
    </w:rPr>
  </w:style>
  <w:style w:type="paragraph" w:customStyle="1" w:styleId="afffffffffffffffffffffffffffffff">
    <w:name w:val="样式 表格备注"/>
    <w:basedOn w:val="a6"/>
    <w:semiHidden/>
    <w:qFormat/>
    <w:pPr>
      <w:keepNext/>
      <w:widowControl/>
      <w:tabs>
        <w:tab w:val="left" w:pos="628"/>
        <w:tab w:val="left" w:pos="1727"/>
        <w:tab w:val="left" w:pos="1884"/>
        <w:tab w:val="left" w:pos="4325"/>
        <w:tab w:val="left" w:pos="4900"/>
      </w:tabs>
      <w:adjustRightInd w:val="0"/>
      <w:snapToGrid w:val="0"/>
      <w:spacing w:line="360" w:lineRule="auto"/>
      <w:ind w:firstLineChars="200" w:firstLine="480"/>
      <w:jc w:val="left"/>
    </w:pPr>
    <w:rPr>
      <w:rFonts w:ascii="宋体" w:eastAsia="楷体_GB2312" w:hAnsi="宋体" w:cs="宋体"/>
      <w:kern w:val="0"/>
      <w:sz w:val="24"/>
      <w:szCs w:val="20"/>
    </w:rPr>
  </w:style>
  <w:style w:type="paragraph" w:customStyle="1" w:styleId="11f4">
    <w:name w:val="标题11"/>
    <w:qFormat/>
    <w:pPr>
      <w:adjustRightInd w:val="0"/>
      <w:snapToGrid w:val="0"/>
      <w:spacing w:before="120" w:after="120" w:line="360" w:lineRule="auto"/>
      <w:jc w:val="center"/>
    </w:pPr>
    <w:rPr>
      <w:b/>
      <w:sz w:val="24"/>
    </w:rPr>
  </w:style>
  <w:style w:type="paragraph" w:customStyle="1" w:styleId="reader-word-layerreader-word-s39-15">
    <w:name w:val="reader-word-layer reader-word-s39-15"/>
    <w:basedOn w:val="a6"/>
    <w:qFormat/>
    <w:pPr>
      <w:widowControl/>
      <w:spacing w:before="100" w:beforeAutospacing="1" w:after="100" w:afterAutospacing="1"/>
      <w:jc w:val="left"/>
    </w:pPr>
    <w:rPr>
      <w:rFonts w:ascii="宋体" w:hAnsi="宋体" w:cs="宋体"/>
      <w:color w:val="000000"/>
      <w:w w:val="110"/>
      <w:kern w:val="0"/>
      <w:sz w:val="24"/>
    </w:rPr>
  </w:style>
  <w:style w:type="paragraph" w:customStyle="1" w:styleId="afffffffffffffffffffffffffffffff0">
    <w:name w:val="表后空行"/>
    <w:basedOn w:val="a6"/>
    <w:qFormat/>
    <w:pPr>
      <w:overflowPunct w:val="0"/>
      <w:adjustRightInd w:val="0"/>
      <w:ind w:firstLineChars="200" w:firstLine="567"/>
      <w:textAlignment w:val="baseline"/>
    </w:pPr>
    <w:rPr>
      <w:kern w:val="28"/>
      <w:sz w:val="10"/>
      <w:szCs w:val="20"/>
    </w:rPr>
  </w:style>
  <w:style w:type="paragraph" w:customStyle="1" w:styleId="11052">
    <w:name w:val="样式 1.1二级标题 + 段前: 0.5 行2"/>
    <w:basedOn w:val="112"/>
    <w:qFormat/>
    <w:rPr>
      <w:rFonts w:cs="宋体"/>
      <w:b w:val="0"/>
    </w:rPr>
  </w:style>
  <w:style w:type="paragraph" w:customStyle="1" w:styleId="afffffffffffffffffffffffffffffff1">
    <w:name w:val="报告节"/>
    <w:basedOn w:val="a6"/>
    <w:next w:val="a6"/>
    <w:qFormat/>
    <w:pPr>
      <w:keepNext/>
      <w:widowControl/>
      <w:tabs>
        <w:tab w:val="left" w:pos="3319"/>
        <w:tab w:val="left" w:pos="3600"/>
      </w:tabs>
      <w:spacing w:line="720" w:lineRule="auto"/>
      <w:jc w:val="center"/>
      <w:outlineLvl w:val="1"/>
    </w:pPr>
    <w:rPr>
      <w:rFonts w:ascii="仿宋_GB2312" w:eastAsia="仿宋_GB2312" w:hAnsi="Calibri"/>
      <w:b/>
      <w:snapToGrid w:val="0"/>
      <w:color w:val="000000"/>
      <w:w w:val="110"/>
      <w:kern w:val="0"/>
      <w:sz w:val="32"/>
      <w:szCs w:val="32"/>
    </w:rPr>
  </w:style>
  <w:style w:type="paragraph" w:customStyle="1" w:styleId="261">
    <w:name w:val="正文文本缩进 26"/>
    <w:basedOn w:val="a6"/>
    <w:qFormat/>
    <w:pPr>
      <w:adjustRightInd w:val="0"/>
      <w:spacing w:line="360" w:lineRule="atLeast"/>
      <w:ind w:firstLine="425"/>
      <w:jc w:val="left"/>
      <w:textAlignment w:val="baseline"/>
    </w:pPr>
    <w:rPr>
      <w:rFonts w:ascii="宋体"/>
      <w:spacing w:val="20"/>
      <w:kern w:val="0"/>
      <w:sz w:val="24"/>
      <w:szCs w:val="20"/>
    </w:rPr>
  </w:style>
  <w:style w:type="paragraph" w:customStyle="1" w:styleId="afffffffffffffffffffffffffffffff2">
    <w:name w:val="环表头"/>
    <w:basedOn w:val="a6"/>
    <w:next w:val="a6"/>
    <w:qFormat/>
    <w:pPr>
      <w:widowControl/>
      <w:suppressAutoHyphens/>
      <w:adjustRightInd w:val="0"/>
      <w:spacing w:before="60" w:after="60" w:line="312" w:lineRule="atLeast"/>
      <w:ind w:right="28"/>
      <w:jc w:val="center"/>
      <w:textAlignment w:val="baseline"/>
    </w:pPr>
    <w:rPr>
      <w:rFonts w:ascii="黑体" w:eastAsia="黑体" w:hAnsi="宋体"/>
      <w:kern w:val="0"/>
      <w:sz w:val="24"/>
      <w:szCs w:val="20"/>
    </w:rPr>
  </w:style>
  <w:style w:type="paragraph" w:customStyle="1" w:styleId="41111411114Char1111Char41">
    <w:name w:val="样式 样式 标题 41.1.1.1标题 4.1.1.1.1标题 4 Char款1.1.1.1 Char标4 + (符号) ......"/>
    <w:basedOn w:val="a6"/>
    <w:qFormat/>
    <w:pPr>
      <w:keepLines/>
      <w:widowControl/>
      <w:autoSpaceDE w:val="0"/>
      <w:autoSpaceDN w:val="0"/>
      <w:adjustRightInd w:val="0"/>
      <w:snapToGrid w:val="0"/>
      <w:spacing w:line="360" w:lineRule="auto"/>
      <w:jc w:val="left"/>
      <w:textAlignment w:val="bottom"/>
      <w:outlineLvl w:val="3"/>
    </w:pPr>
    <w:rPr>
      <w:rFonts w:ascii="宋体" w:hAnsi="宋体" w:cs="宋体"/>
      <w:kern w:val="0"/>
      <w:sz w:val="28"/>
      <w:szCs w:val="20"/>
    </w:rPr>
  </w:style>
  <w:style w:type="paragraph" w:customStyle="1" w:styleId="CM34">
    <w:name w:val="CM34"/>
    <w:basedOn w:val="Default"/>
    <w:next w:val="Default"/>
    <w:qFormat/>
    <w:pPr>
      <w:spacing w:line="436" w:lineRule="atLeast"/>
    </w:pPr>
    <w:rPr>
      <w:rFonts w:eastAsia="Times New Roman"/>
      <w:color w:val="auto"/>
      <w:sz w:val="20"/>
    </w:rPr>
  </w:style>
  <w:style w:type="paragraph" w:customStyle="1" w:styleId="85">
    <w:name w:val="8"/>
    <w:basedOn w:val="a6"/>
    <w:next w:val="39"/>
    <w:qFormat/>
    <w:pPr>
      <w:spacing w:line="360" w:lineRule="auto"/>
      <w:ind w:firstLineChars="181" w:firstLine="434"/>
    </w:pPr>
    <w:rPr>
      <w:sz w:val="24"/>
      <w:szCs w:val="28"/>
    </w:rPr>
  </w:style>
  <w:style w:type="paragraph" w:customStyle="1" w:styleId="wtext">
    <w:name w:val="wtext"/>
    <w:basedOn w:val="a6"/>
    <w:qFormat/>
    <w:pPr>
      <w:widowControl/>
      <w:spacing w:before="100" w:beforeAutospacing="1" w:after="100" w:afterAutospacing="1"/>
      <w:ind w:firstLine="480"/>
      <w:jc w:val="left"/>
    </w:pPr>
    <w:rPr>
      <w:rFonts w:eastAsia="Arial Unicode MS"/>
      <w:color w:val="000000"/>
      <w:kern w:val="0"/>
      <w:sz w:val="22"/>
      <w:szCs w:val="20"/>
      <w:lang w:eastAsia="en-US"/>
    </w:rPr>
  </w:style>
  <w:style w:type="paragraph" w:customStyle="1" w:styleId="CharChar1Char1">
    <w:name w:val="Char Char1 Char1"/>
    <w:basedOn w:val="a6"/>
    <w:qFormat/>
    <w:pPr>
      <w:widowControl/>
      <w:spacing w:before="100" w:beforeAutospacing="1" w:after="100" w:afterAutospacing="1" w:line="360" w:lineRule="auto"/>
      <w:ind w:left="360" w:firstLine="624"/>
      <w:jc w:val="left"/>
    </w:pPr>
    <w:rPr>
      <w:rFonts w:ascii="ˎ̥" w:eastAsia="仿宋_GB2312" w:hAnsi="ˎ̥" w:cs="宋体"/>
      <w:color w:val="51585D"/>
      <w:kern w:val="0"/>
      <w:sz w:val="32"/>
      <w:szCs w:val="18"/>
    </w:rPr>
  </w:style>
  <w:style w:type="paragraph" w:customStyle="1" w:styleId="xl199">
    <w:name w:val="xl199"/>
    <w:basedOn w:val="a6"/>
    <w:qFormat/>
    <w:pPr>
      <w:widowControl/>
      <w:pBdr>
        <w:top w:val="single" w:sz="4" w:space="0" w:color="auto"/>
        <w:bottom w:val="single" w:sz="4" w:space="0" w:color="auto"/>
      </w:pBdr>
      <w:spacing w:before="100" w:beforeAutospacing="1" w:after="100" w:afterAutospacing="1"/>
      <w:jc w:val="left"/>
      <w:textAlignment w:val="center"/>
    </w:pPr>
    <w:rPr>
      <w:rFonts w:cs="宋体"/>
      <w:color w:val="000000"/>
      <w:kern w:val="0"/>
      <w:sz w:val="24"/>
    </w:rPr>
  </w:style>
  <w:style w:type="paragraph" w:customStyle="1" w:styleId="ParaAttribute34">
    <w:name w:val="ParaAttribute34"/>
    <w:qFormat/>
    <w:pPr>
      <w:widowControl w:val="0"/>
      <w:wordWrap w:val="0"/>
      <w:spacing w:line="159" w:lineRule="exact"/>
    </w:pPr>
  </w:style>
  <w:style w:type="paragraph" w:customStyle="1" w:styleId="4ff">
    <w:name w:val="报告样式4"/>
    <w:basedOn w:val="af0"/>
    <w:qFormat/>
    <w:pPr>
      <w:adjustRightInd/>
      <w:ind w:firstLineChars="200" w:firstLine="480"/>
      <w:jc w:val="both"/>
      <w:textAlignment w:val="auto"/>
    </w:pPr>
    <w:rPr>
      <w:rFonts w:ascii="Times New Roman" w:hAnsi="Times New Roman"/>
      <w:bCs/>
      <w:kern w:val="2"/>
      <w:szCs w:val="20"/>
    </w:rPr>
  </w:style>
  <w:style w:type="paragraph" w:customStyle="1" w:styleId="afffffffffffffffffffffffffffffff3">
    <w:name w:val="四级无标题条"/>
    <w:basedOn w:val="a6"/>
    <w:qFormat/>
  </w:style>
  <w:style w:type="paragraph" w:customStyle="1" w:styleId="GB231215">
    <w:name w:val="样式 仿宋_GB2312 四号 黑色 行距: 1.5 倍行距"/>
    <w:basedOn w:val="a6"/>
    <w:qFormat/>
    <w:pPr>
      <w:spacing w:line="480" w:lineRule="exact"/>
      <w:ind w:firstLineChars="200" w:firstLine="200"/>
    </w:pPr>
    <w:rPr>
      <w:rFonts w:ascii="仿宋_GB2312" w:eastAsia="仿宋_GB2312" w:hAnsi="宋体" w:cs="宋体"/>
      <w:color w:val="000000"/>
      <w:sz w:val="28"/>
      <w:szCs w:val="20"/>
    </w:rPr>
  </w:style>
  <w:style w:type="paragraph" w:customStyle="1" w:styleId="111111">
    <w:name w:val="样式 1.1.1.1 + 右侧:  1 字符"/>
    <w:basedOn w:val="41"/>
    <w:qFormat/>
    <w:pPr>
      <w:keepNext w:val="0"/>
      <w:keepLines w:val="0"/>
      <w:tabs>
        <w:tab w:val="left" w:pos="1070"/>
      </w:tabs>
      <w:overflowPunct w:val="0"/>
      <w:autoSpaceDE w:val="0"/>
      <w:autoSpaceDN w:val="0"/>
      <w:spacing w:beforeLines="0" w:before="0" w:line="240" w:lineRule="exact"/>
      <w:jc w:val="left"/>
      <w:textAlignment w:val="baseline"/>
    </w:pPr>
    <w:rPr>
      <w:rFonts w:ascii="宋体" w:eastAsia="宋体" w:hAnsi="Times New Roman" w:cs="TimesNewRoman"/>
      <w:bCs w:val="0"/>
      <w:snapToGrid w:val="0"/>
      <w:sz w:val="24"/>
    </w:rPr>
  </w:style>
  <w:style w:type="paragraph" w:customStyle="1" w:styleId="xl187">
    <w:name w:val="xl187"/>
    <w:basedOn w:val="a6"/>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宋体" w:hAnsi="宋体" w:cs="宋体"/>
      <w:color w:val="000000"/>
      <w:kern w:val="0"/>
      <w:sz w:val="24"/>
    </w:rPr>
  </w:style>
  <w:style w:type="paragraph" w:customStyle="1" w:styleId="CM13">
    <w:name w:val="CM13"/>
    <w:basedOn w:val="Default"/>
    <w:next w:val="Default"/>
    <w:qFormat/>
    <w:pPr>
      <w:spacing w:line="626" w:lineRule="atLeast"/>
    </w:pPr>
    <w:rPr>
      <w:rFonts w:ascii="黑体" w:eastAsia="黑体"/>
      <w:color w:val="auto"/>
    </w:rPr>
  </w:style>
  <w:style w:type="paragraph" w:customStyle="1" w:styleId="78">
    <w:name w:val="表格7"/>
    <w:basedOn w:val="a6"/>
    <w:qFormat/>
    <w:pPr>
      <w:widowControl/>
      <w:jc w:val="center"/>
    </w:pPr>
    <w:rPr>
      <w:rFonts w:hAnsi="宋体"/>
      <w:kern w:val="0"/>
      <w:sz w:val="18"/>
      <w:szCs w:val="18"/>
    </w:rPr>
  </w:style>
  <w:style w:type="paragraph" w:customStyle="1" w:styleId="22b">
    <w:name w:val="样式 样式 首行缩进 + 四号 首行缩进:  2 字符 + 首行缩进:  2 字符"/>
    <w:basedOn w:val="a6"/>
    <w:qFormat/>
    <w:pPr>
      <w:snapToGrid w:val="0"/>
      <w:spacing w:line="360" w:lineRule="auto"/>
      <w:ind w:firstLineChars="200" w:firstLine="560"/>
      <w:jc w:val="left"/>
    </w:pPr>
    <w:rPr>
      <w:rFonts w:ascii="仿宋_GB2312" w:eastAsia="仿宋_GB2312" w:hAnsi="宋体" w:cs="宋体"/>
      <w:color w:val="000000"/>
      <w:sz w:val="28"/>
      <w:szCs w:val="20"/>
    </w:rPr>
  </w:style>
  <w:style w:type="paragraph" w:customStyle="1" w:styleId="f12">
    <w:name w:val="f12"/>
    <w:basedOn w:val="a6"/>
    <w:qFormat/>
    <w:pPr>
      <w:widowControl/>
      <w:spacing w:before="100" w:beforeAutospacing="1" w:after="100" w:afterAutospacing="1" w:line="300" w:lineRule="atLeast"/>
      <w:jc w:val="left"/>
    </w:pPr>
    <w:rPr>
      <w:rFonts w:ascii="宋体" w:hAnsi="宋体" w:cs="宋体"/>
      <w:kern w:val="0"/>
      <w:sz w:val="18"/>
      <w:szCs w:val="18"/>
    </w:rPr>
  </w:style>
  <w:style w:type="paragraph" w:customStyle="1" w:styleId="Style43">
    <w:name w:val="Style43"/>
    <w:basedOn w:val="a6"/>
    <w:qFormat/>
    <w:pPr>
      <w:adjustRightInd w:val="0"/>
      <w:jc w:val="left"/>
    </w:pPr>
    <w:rPr>
      <w:rFonts w:ascii="宋体"/>
      <w:kern w:val="0"/>
      <w:sz w:val="24"/>
      <w:szCs w:val="20"/>
    </w:rPr>
  </w:style>
  <w:style w:type="paragraph" w:customStyle="1" w:styleId="ParaCharCharCharCharCharCharCharCharChar1CharCharCharCharCharCharChar">
    <w:name w:val="默认段落字体 Para Char Char Char Char Char Char Char Char Char1 Char Char Char Char Char Char Char"/>
    <w:basedOn w:val="af4"/>
    <w:qFormat/>
    <w:rPr>
      <w:rFonts w:ascii="Tahoma" w:hAnsi="Tahoma" w:cs="Tahoma"/>
      <w:kern w:val="0"/>
      <w:sz w:val="24"/>
    </w:rPr>
  </w:style>
  <w:style w:type="paragraph" w:customStyle="1" w:styleId="ENUM">
    <w:name w:val="ENUM"/>
    <w:basedOn w:val="a6"/>
    <w:qFormat/>
    <w:pPr>
      <w:widowControl/>
      <w:tabs>
        <w:tab w:val="left" w:pos="840"/>
        <w:tab w:val="left" w:pos="1418"/>
      </w:tabs>
      <w:spacing w:before="60" w:after="60"/>
      <w:ind w:left="1418" w:firstLineChars="200" w:hanging="284"/>
    </w:pPr>
    <w:rPr>
      <w:rFonts w:ascii="Arial" w:hAnsi="Arial"/>
      <w:kern w:val="0"/>
      <w:sz w:val="22"/>
      <w:szCs w:val="20"/>
      <w:lang w:val="en-GB"/>
    </w:rPr>
  </w:style>
  <w:style w:type="paragraph" w:customStyle="1" w:styleId="xl31">
    <w:name w:val="xl31"/>
    <w:basedOn w:val="a6"/>
    <w:qFormat/>
    <w:pPr>
      <w:widowControl/>
      <w:pBdr>
        <w:top w:val="single" w:sz="4" w:space="0" w:color="auto"/>
        <w:left w:val="single" w:sz="4" w:space="0" w:color="auto"/>
        <w:bottom w:val="single" w:sz="4" w:space="0" w:color="auto"/>
      </w:pBdr>
      <w:spacing w:before="100" w:after="100"/>
      <w:jc w:val="center"/>
      <w:textAlignment w:val="center"/>
    </w:pPr>
    <w:rPr>
      <w:kern w:val="0"/>
      <w:szCs w:val="20"/>
    </w:rPr>
  </w:style>
  <w:style w:type="paragraph" w:customStyle="1" w:styleId="hp1">
    <w:name w:val="hp1"/>
    <w:basedOn w:val="12"/>
    <w:qFormat/>
    <w:pPr>
      <w:keepNext w:val="0"/>
      <w:keepLines w:val="0"/>
      <w:adjustRightInd w:val="0"/>
      <w:spacing w:beforeLines="100" w:before="100" w:beforeAutospacing="1" w:after="100" w:afterAutospacing="1" w:line="578" w:lineRule="atLeast"/>
      <w:jc w:val="center"/>
      <w:textAlignment w:val="baseline"/>
    </w:pPr>
    <w:rPr>
      <w:rFonts w:ascii="黑体" w:hAnsi="宋体" w:cs="Arial"/>
      <w:b w:val="0"/>
      <w:bCs w:val="0"/>
      <w:sz w:val="32"/>
      <w:szCs w:val="32"/>
    </w:rPr>
  </w:style>
  <w:style w:type="paragraph" w:customStyle="1" w:styleId="CM28">
    <w:name w:val="CM28"/>
    <w:basedOn w:val="Default"/>
    <w:next w:val="Default"/>
    <w:qFormat/>
    <w:pPr>
      <w:spacing w:line="546" w:lineRule="atLeast"/>
    </w:pPr>
    <w:rPr>
      <w:rFonts w:ascii="楷体_GB2312" w:eastAsia="楷体_GB2312"/>
      <w:color w:val="auto"/>
    </w:rPr>
  </w:style>
  <w:style w:type="paragraph" w:customStyle="1" w:styleId="afffffffffffffffffffffffffffffff4">
    <w:name w:val="表格内格式"/>
    <w:basedOn w:val="a6"/>
    <w:qFormat/>
    <w:pPr>
      <w:spacing w:line="240" w:lineRule="exact"/>
      <w:jc w:val="center"/>
    </w:pPr>
    <w:rPr>
      <w:rFonts w:ascii="宋体"/>
    </w:rPr>
  </w:style>
  <w:style w:type="paragraph" w:customStyle="1" w:styleId="afffffffffffffffffffffffffffffff5">
    <w:name w:val="地质报告正文"/>
    <w:basedOn w:val="a6"/>
    <w:qFormat/>
    <w:pPr>
      <w:ind w:firstLineChars="200" w:firstLine="200"/>
    </w:pPr>
    <w:rPr>
      <w:sz w:val="28"/>
    </w:rPr>
  </w:style>
  <w:style w:type="paragraph" w:customStyle="1" w:styleId="Char421">
    <w:name w:val="Char421"/>
    <w:basedOn w:val="33"/>
    <w:uiPriority w:val="99"/>
    <w:qFormat/>
    <w:pPr>
      <w:tabs>
        <w:tab w:val="left" w:pos="851"/>
        <w:tab w:val="left" w:pos="900"/>
      </w:tabs>
      <w:adjustRightInd w:val="0"/>
      <w:snapToGrid w:val="0"/>
      <w:spacing w:after="120" w:line="360" w:lineRule="auto"/>
      <w:ind w:leftChars="-12" w:left="542" w:firstLineChars="200" w:firstLine="200"/>
      <w:jc w:val="left"/>
    </w:pPr>
    <w:rPr>
      <w:bCs/>
      <w:snapToGrid w:val="0"/>
      <w:spacing w:val="0"/>
      <w:sz w:val="24"/>
      <w:szCs w:val="24"/>
    </w:rPr>
  </w:style>
  <w:style w:type="paragraph" w:customStyle="1" w:styleId="326">
    <w:name w:val="样式 标题 3 + 小三 加粗 行距: 固定值 26 磅"/>
    <w:basedOn w:val="33"/>
    <w:qFormat/>
    <w:pPr>
      <w:adjustRightInd w:val="0"/>
      <w:spacing w:before="260" w:after="260" w:line="520" w:lineRule="exact"/>
    </w:pPr>
    <w:rPr>
      <w:rFonts w:eastAsia="宋体" w:cs="宋体"/>
      <w:b/>
      <w:spacing w:val="0"/>
      <w:szCs w:val="20"/>
    </w:rPr>
  </w:style>
  <w:style w:type="paragraph" w:customStyle="1" w:styleId="03615">
    <w:name w:val="样式 小四 黑色 首行缩进:  0.36 厘米 行距: 1.5 倍行距"/>
    <w:basedOn w:val="a6"/>
    <w:qFormat/>
    <w:pPr>
      <w:spacing w:line="360" w:lineRule="auto"/>
    </w:pPr>
    <w:rPr>
      <w:color w:val="000000"/>
      <w:sz w:val="24"/>
      <w:szCs w:val="20"/>
    </w:rPr>
  </w:style>
  <w:style w:type="paragraph" w:customStyle="1" w:styleId="CharChar1Char">
    <w:name w:val="Char Char1 Char"/>
    <w:basedOn w:val="a6"/>
    <w:next w:val="a6"/>
    <w:uiPriority w:val="99"/>
    <w:qFormat/>
    <w:pPr>
      <w:spacing w:line="360" w:lineRule="auto"/>
      <w:ind w:firstLineChars="200" w:firstLine="200"/>
    </w:pPr>
    <w:rPr>
      <w:rFonts w:ascii="宋体" w:hAnsi="宋体" w:cs="宋体"/>
      <w:sz w:val="24"/>
    </w:rPr>
  </w:style>
  <w:style w:type="paragraph" w:customStyle="1" w:styleId="2223">
    <w:name w:val="样式222"/>
    <w:basedOn w:val="22"/>
    <w:qFormat/>
    <w:pPr>
      <w:keepNext w:val="0"/>
      <w:keepLines w:val="0"/>
      <w:widowControl/>
      <w:spacing w:line="240" w:lineRule="auto"/>
      <w:ind w:firstLineChars="200" w:firstLine="560"/>
      <w:jc w:val="left"/>
      <w:outlineLvl w:val="9"/>
    </w:pPr>
    <w:rPr>
      <w:rFonts w:cs="宋体"/>
      <w:b/>
      <w:bCs w:val="0"/>
      <w:spacing w:val="0"/>
      <w:w w:val="100"/>
      <w:kern w:val="2"/>
      <w:szCs w:val="20"/>
    </w:rPr>
  </w:style>
  <w:style w:type="paragraph" w:customStyle="1" w:styleId="xl249">
    <w:name w:val="xl249"/>
    <w:basedOn w:val="a6"/>
    <w:qFormat/>
    <w:pPr>
      <w:widowControl/>
      <w:pBdr>
        <w:top w:val="single" w:sz="4" w:space="0" w:color="auto"/>
        <w:right w:val="single" w:sz="4" w:space="0" w:color="auto"/>
      </w:pBdr>
      <w:spacing w:before="100" w:beforeAutospacing="1" w:after="100" w:afterAutospacing="1"/>
      <w:jc w:val="center"/>
    </w:pPr>
    <w:rPr>
      <w:rFonts w:cs="宋体"/>
      <w:kern w:val="0"/>
      <w:sz w:val="16"/>
      <w:szCs w:val="16"/>
    </w:rPr>
  </w:style>
  <w:style w:type="paragraph" w:customStyle="1" w:styleId="11f5">
    <w:name w:val="样式 样式 1.1二级标题 + 加粗"/>
    <w:basedOn w:val="113"/>
    <w:qFormat/>
    <w:rPr>
      <w:b w:val="0"/>
      <w:bCs/>
    </w:rPr>
  </w:style>
  <w:style w:type="paragraph" w:customStyle="1" w:styleId="12b">
    <w:name w:val="表1表2"/>
    <w:basedOn w:val="a6"/>
    <w:qFormat/>
    <w:pPr>
      <w:widowControl/>
      <w:autoSpaceDE w:val="0"/>
      <w:autoSpaceDN w:val="0"/>
      <w:adjustRightInd w:val="0"/>
      <w:jc w:val="center"/>
    </w:pPr>
    <w:rPr>
      <w:rFonts w:ascii="宋体" w:eastAsia="仿宋体" w:hAnsi="宋体" w:cs="宋体"/>
      <w:kern w:val="0"/>
      <w:sz w:val="24"/>
      <w:szCs w:val="20"/>
    </w:rPr>
  </w:style>
  <w:style w:type="paragraph" w:customStyle="1" w:styleId="CharCharChar13">
    <w:name w:val="大纲三级标题 Char Char Char1"/>
    <w:basedOn w:val="a6"/>
    <w:qFormat/>
    <w:pPr>
      <w:tabs>
        <w:tab w:val="left" w:pos="4665"/>
        <w:tab w:val="left" w:pos="8970"/>
      </w:tabs>
      <w:spacing w:beforeLines="50" w:afterLines="50"/>
      <w:ind w:firstLine="403"/>
      <w:jc w:val="center"/>
    </w:pPr>
    <w:rPr>
      <w:rFonts w:ascii="Tahoma" w:hAnsi="Tahoma"/>
      <w:b/>
      <w:kern w:val="0"/>
      <w:sz w:val="28"/>
      <w:szCs w:val="20"/>
    </w:rPr>
  </w:style>
  <w:style w:type="paragraph" w:customStyle="1" w:styleId="22c">
    <w:name w:val="样式 正文 首行缩进:  2 字符 + 首行缩进:  2 字符"/>
    <w:basedOn w:val="a6"/>
    <w:qFormat/>
    <w:pPr>
      <w:spacing w:line="480" w:lineRule="exact"/>
      <w:ind w:firstLineChars="200" w:firstLine="560"/>
    </w:pPr>
    <w:rPr>
      <w:color w:val="000000"/>
      <w:w w:val="110"/>
      <w:kern w:val="0"/>
      <w:sz w:val="28"/>
      <w:szCs w:val="20"/>
    </w:rPr>
  </w:style>
  <w:style w:type="paragraph" w:customStyle="1" w:styleId="820">
    <w:name w:val="样式 正文(首行缩进) + 8 磅 加粗 首行缩进:  2 字符"/>
    <w:basedOn w:val="a6"/>
    <w:qFormat/>
    <w:pPr>
      <w:adjustRightInd w:val="0"/>
      <w:snapToGrid w:val="0"/>
      <w:ind w:firstLineChars="200" w:firstLine="200"/>
    </w:pPr>
    <w:rPr>
      <w:rFonts w:cs="宋体"/>
      <w:b/>
      <w:bCs/>
      <w:snapToGrid w:val="0"/>
      <w:kern w:val="0"/>
      <w:sz w:val="16"/>
      <w:szCs w:val="20"/>
    </w:rPr>
  </w:style>
  <w:style w:type="paragraph" w:customStyle="1" w:styleId="6b">
    <w:name w:val="标题6"/>
    <w:basedOn w:val="a6"/>
    <w:next w:val="affc"/>
    <w:qFormat/>
    <w:pPr>
      <w:keepNext/>
      <w:spacing w:line="360" w:lineRule="auto"/>
      <w:ind w:firstLine="567"/>
      <w:jc w:val="left"/>
      <w:outlineLvl w:val="5"/>
    </w:pPr>
    <w:rPr>
      <w:color w:val="000000"/>
      <w:w w:val="110"/>
      <w:kern w:val="0"/>
      <w:sz w:val="28"/>
      <w:szCs w:val="21"/>
    </w:rPr>
  </w:style>
  <w:style w:type="paragraph" w:customStyle="1" w:styleId="414">
    <w:name w:val="正文41"/>
    <w:qFormat/>
    <w:pPr>
      <w:widowControl w:val="0"/>
      <w:adjustRightInd w:val="0"/>
      <w:spacing w:line="312" w:lineRule="atLeast"/>
      <w:jc w:val="both"/>
      <w:textAlignment w:val="baseline"/>
    </w:pPr>
    <w:rPr>
      <w:rFonts w:ascii="宋体"/>
      <w:sz w:val="34"/>
    </w:rPr>
  </w:style>
  <w:style w:type="paragraph" w:customStyle="1" w:styleId="2CharCharCharCharCharCharCharCharCharChar">
    <w:name w:val="2 Char Char Char Char Char Char Char Char Char Char"/>
    <w:basedOn w:val="a6"/>
    <w:qFormat/>
  </w:style>
  <w:style w:type="paragraph" w:customStyle="1" w:styleId="afffffffffffffffffffffffffffffff6">
    <w:name w:val="小四表文左齐"/>
    <w:basedOn w:val="a6"/>
    <w:qFormat/>
    <w:pPr>
      <w:spacing w:line="360" w:lineRule="exact"/>
      <w:jc w:val="center"/>
    </w:pPr>
    <w:rPr>
      <w:rFonts w:ascii="宋体"/>
      <w:kern w:val="0"/>
      <w:sz w:val="24"/>
      <w:szCs w:val="20"/>
    </w:rPr>
  </w:style>
  <w:style w:type="paragraph" w:customStyle="1" w:styleId="101">
    <w:name w:val="样式 正文1 + 段前: 0.1 行"/>
    <w:basedOn w:val="a6"/>
    <w:qFormat/>
    <w:pPr>
      <w:snapToGrid w:val="0"/>
      <w:spacing w:beforeLines="10" w:line="440" w:lineRule="atLeast"/>
      <w:ind w:firstLine="510"/>
    </w:pPr>
    <w:rPr>
      <w:rFonts w:cs="宋体"/>
      <w:sz w:val="24"/>
      <w:szCs w:val="20"/>
    </w:rPr>
  </w:style>
  <w:style w:type="paragraph" w:customStyle="1" w:styleId="1fffff8">
    <w:name w:val="信息标题1"/>
    <w:basedOn w:val="a6"/>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sz w:val="24"/>
      <w:shd w:val="pct20" w:color="auto" w:fill="auto"/>
    </w:rPr>
  </w:style>
  <w:style w:type="paragraph" w:customStyle="1" w:styleId="CharCharChar1CharCharCharCharCharCharChar2">
    <w:name w:val="Char Char Char1 Char Char Char Char Char Char Char2"/>
    <w:basedOn w:val="a6"/>
    <w:qFormat/>
    <w:pPr>
      <w:adjustRightInd w:val="0"/>
      <w:spacing w:line="312" w:lineRule="auto"/>
      <w:textAlignment w:val="baseline"/>
    </w:pPr>
    <w:rPr>
      <w:rFonts w:ascii="Tahoma" w:hAnsi="Tahoma"/>
      <w:kern w:val="0"/>
      <w:sz w:val="24"/>
      <w:szCs w:val="20"/>
    </w:rPr>
  </w:style>
  <w:style w:type="paragraph" w:customStyle="1" w:styleId="CM15">
    <w:name w:val="CM15"/>
    <w:basedOn w:val="Default"/>
    <w:next w:val="Default"/>
    <w:qFormat/>
    <w:pPr>
      <w:spacing w:line="626" w:lineRule="atLeast"/>
    </w:pPr>
    <w:rPr>
      <w:rFonts w:ascii="黑体" w:eastAsia="黑体"/>
      <w:color w:val="auto"/>
    </w:rPr>
  </w:style>
  <w:style w:type="paragraph" w:customStyle="1" w:styleId="xl66">
    <w:name w:val="xl66"/>
    <w:basedOn w:val="a6"/>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Arial Unicode MS" w:eastAsia="Arial Unicode MS" w:hAnsi="Arial Unicode MS"/>
      <w:kern w:val="0"/>
      <w:sz w:val="24"/>
      <w:szCs w:val="20"/>
    </w:rPr>
  </w:style>
  <w:style w:type="paragraph" w:customStyle="1" w:styleId="Address1">
    <w:name w:val="Address 1"/>
    <w:basedOn w:val="a6"/>
    <w:qFormat/>
    <w:pPr>
      <w:widowControl/>
      <w:spacing w:line="200" w:lineRule="atLeast"/>
      <w:jc w:val="left"/>
    </w:pPr>
    <w:rPr>
      <w:color w:val="000000"/>
      <w:w w:val="110"/>
      <w:kern w:val="0"/>
      <w:sz w:val="16"/>
      <w:szCs w:val="20"/>
    </w:rPr>
  </w:style>
  <w:style w:type="paragraph" w:customStyle="1" w:styleId="22d">
    <w:name w:val="表格（22磅）"/>
    <w:basedOn w:val="a6"/>
    <w:next w:val="a6"/>
    <w:qFormat/>
    <w:pPr>
      <w:spacing w:line="440" w:lineRule="exact"/>
      <w:ind w:firstLineChars="200" w:firstLine="200"/>
      <w:jc w:val="center"/>
    </w:pPr>
    <w:rPr>
      <w:rFonts w:ascii="宋体"/>
      <w:sz w:val="24"/>
      <w:szCs w:val="20"/>
    </w:rPr>
  </w:style>
  <w:style w:type="paragraph" w:customStyle="1" w:styleId="CharCharCharCharCharChar1Char">
    <w:name w:val="Char Char Char Char Char Char1 Char"/>
    <w:basedOn w:val="a6"/>
    <w:qFormat/>
    <w:pPr>
      <w:widowControl/>
      <w:spacing w:after="160" w:line="240" w:lineRule="exact"/>
      <w:jc w:val="left"/>
    </w:pPr>
    <w:rPr>
      <w:rFonts w:ascii="Arial" w:eastAsia="Times New Roman" w:hAnsi="Arial"/>
      <w:b/>
      <w:kern w:val="0"/>
      <w:sz w:val="24"/>
      <w:szCs w:val="20"/>
      <w:lang w:eastAsia="en-US"/>
    </w:rPr>
  </w:style>
  <w:style w:type="paragraph" w:customStyle="1" w:styleId="C20">
    <w:name w:val="C2"/>
    <w:basedOn w:val="a6"/>
    <w:qFormat/>
    <w:rPr>
      <w:kern w:val="0"/>
      <w:sz w:val="28"/>
      <w:szCs w:val="20"/>
    </w:rPr>
  </w:style>
  <w:style w:type="paragraph" w:customStyle="1" w:styleId="afffffffffffffffffffffffffffffff7">
    <w:name w:val="样式 五号 行距: 单倍行距"/>
    <w:basedOn w:val="a6"/>
    <w:qFormat/>
    <w:pPr>
      <w:tabs>
        <w:tab w:val="left" w:pos="3780"/>
      </w:tabs>
      <w:spacing w:line="240" w:lineRule="exact"/>
    </w:pPr>
    <w:rPr>
      <w:rFonts w:cs="宋体"/>
      <w:szCs w:val="20"/>
    </w:rPr>
  </w:style>
  <w:style w:type="paragraph" w:customStyle="1" w:styleId="Normal3">
    <w:name w:val="Normal3"/>
    <w:qFormat/>
    <w:pPr>
      <w:widowControl w:val="0"/>
      <w:adjustRightInd w:val="0"/>
      <w:spacing w:line="360" w:lineRule="atLeast"/>
    </w:pPr>
    <w:rPr>
      <w:rFonts w:ascii="宋体" w:hint="eastAsia"/>
      <w:sz w:val="34"/>
    </w:rPr>
  </w:style>
  <w:style w:type="paragraph" w:customStyle="1" w:styleId="T40">
    <w:name w:val="T4标题"/>
    <w:basedOn w:val="41"/>
    <w:qFormat/>
    <w:pPr>
      <w:keepNext w:val="0"/>
      <w:keepLines w:val="0"/>
      <w:tabs>
        <w:tab w:val="left" w:pos="480"/>
        <w:tab w:val="left" w:pos="1070"/>
      </w:tabs>
      <w:spacing w:beforeLines="0" w:before="0" w:line="360" w:lineRule="auto"/>
      <w:ind w:leftChars="400" w:left="1070" w:hangingChars="200" w:hanging="200"/>
      <w:outlineLvl w:val="0"/>
    </w:pPr>
    <w:rPr>
      <w:rFonts w:ascii="宋体" w:eastAsia="宋体"/>
      <w:bCs w:val="0"/>
      <w:color w:val="000000"/>
      <w:sz w:val="24"/>
      <w:szCs w:val="24"/>
    </w:rPr>
  </w:style>
  <w:style w:type="paragraph" w:customStyle="1" w:styleId="000000">
    <w:name w:val="正文000000"/>
    <w:basedOn w:val="a6"/>
    <w:next w:val="a6"/>
    <w:qFormat/>
    <w:pPr>
      <w:adjustRightInd w:val="0"/>
      <w:snapToGrid w:val="0"/>
      <w:spacing w:line="360" w:lineRule="auto"/>
      <w:ind w:firstLineChars="200" w:firstLine="200"/>
    </w:pPr>
    <w:rPr>
      <w:rFonts w:ascii="宋体" w:hAnsi="宋体" w:cs="宋体"/>
      <w:sz w:val="24"/>
    </w:rPr>
  </w:style>
  <w:style w:type="paragraph" w:customStyle="1" w:styleId="2h22Header2ndPageABCh2mainh2GB23121">
    <w:name w:val="样式 样式 标题 2h22Header 2nd PageA.B.C.h2 main h标题2 + 仿宋_GB2312 行距......1"/>
    <w:basedOn w:val="2h22Header2ndPageABCh2mainh2GB2312"/>
    <w:qFormat/>
    <w:pPr>
      <w:ind w:firstLine="454"/>
    </w:pPr>
    <w:rPr>
      <w:b/>
      <w:bCs w:val="0"/>
    </w:rPr>
  </w:style>
  <w:style w:type="paragraph" w:customStyle="1" w:styleId="CharCharCharChar12">
    <w:name w:val="Char Char Char Char12"/>
    <w:basedOn w:val="a6"/>
    <w:qFormat/>
    <w:rPr>
      <w:sz w:val="24"/>
    </w:rPr>
  </w:style>
  <w:style w:type="paragraph" w:customStyle="1" w:styleId="afffffffffffffffffffffffffffffff8">
    <w:name w:val="空行"/>
    <w:basedOn w:val="a6"/>
    <w:qFormat/>
    <w:pPr>
      <w:adjustRightInd w:val="0"/>
      <w:snapToGrid w:val="0"/>
      <w:spacing w:line="180" w:lineRule="exact"/>
    </w:pPr>
    <w:rPr>
      <w:spacing w:val="4"/>
      <w:sz w:val="24"/>
      <w:szCs w:val="20"/>
    </w:rPr>
  </w:style>
  <w:style w:type="paragraph" w:customStyle="1" w:styleId="CharCharCharCharCharChar1CharCharChar1">
    <w:name w:val="Char Char Char Char Char Char1 Char Char Char1"/>
    <w:basedOn w:val="a6"/>
    <w:qFormat/>
  </w:style>
  <w:style w:type="paragraph" w:customStyle="1" w:styleId="hb30">
    <w:name w:val="hb3"/>
    <w:basedOn w:val="33"/>
    <w:qFormat/>
    <w:pPr>
      <w:keepNext w:val="0"/>
      <w:adjustRightInd w:val="0"/>
      <w:spacing w:beforeLines="50" w:afterLines="50" w:line="520" w:lineRule="exact"/>
      <w:jc w:val="left"/>
    </w:pPr>
    <w:rPr>
      <w:rFonts w:hAnsi="黑体"/>
      <w:b/>
      <w:spacing w:val="0"/>
      <w:szCs w:val="24"/>
    </w:rPr>
  </w:style>
  <w:style w:type="paragraph" w:customStyle="1" w:styleId="afffffffffffffffffffffffffffffff9">
    <w:name w:val="图文字"/>
    <w:basedOn w:val="a6"/>
    <w:next w:val="a6"/>
    <w:qFormat/>
    <w:pPr>
      <w:snapToGrid w:val="0"/>
    </w:pPr>
    <w:rPr>
      <w:rFonts w:ascii="Arial" w:eastAsia="楷体_GB2312" w:hAnsi="Arial"/>
      <w:sz w:val="24"/>
      <w:szCs w:val="20"/>
    </w:rPr>
  </w:style>
  <w:style w:type="paragraph" w:customStyle="1" w:styleId="2125">
    <w:name w:val="样式 标题 2 + (中文) 宋体 行距: 多倍行距 1.25 字行"/>
    <w:basedOn w:val="33"/>
    <w:qFormat/>
    <w:pPr>
      <w:keepNext w:val="0"/>
      <w:adjustRightInd w:val="0"/>
      <w:spacing w:beforeLines="50" w:afterLines="50" w:line="336" w:lineRule="auto"/>
      <w:jc w:val="center"/>
    </w:pPr>
    <w:rPr>
      <w:rFonts w:hAnsi="黑体"/>
      <w:spacing w:val="0"/>
      <w:szCs w:val="24"/>
    </w:rPr>
  </w:style>
  <w:style w:type="paragraph" w:customStyle="1" w:styleId="1fffff9">
    <w:name w:val="封面标准文稿编辑信息1"/>
    <w:qFormat/>
    <w:pPr>
      <w:spacing w:before="180" w:line="180" w:lineRule="exact"/>
      <w:jc w:val="center"/>
    </w:pPr>
    <w:rPr>
      <w:rFonts w:ascii="宋体"/>
      <w:sz w:val="21"/>
    </w:rPr>
  </w:style>
  <w:style w:type="paragraph" w:customStyle="1" w:styleId="reader-word-layerreader-word-s39-0reader-word-s39-1">
    <w:name w:val="reader-word-layer reader-word-s39-0 reader-word-s39-1"/>
    <w:basedOn w:val="a6"/>
    <w:qFormat/>
    <w:pPr>
      <w:widowControl/>
      <w:spacing w:before="100" w:beforeAutospacing="1" w:after="100" w:afterAutospacing="1"/>
      <w:jc w:val="left"/>
    </w:pPr>
    <w:rPr>
      <w:rFonts w:ascii="宋体" w:hAnsi="宋体" w:cs="宋体"/>
      <w:color w:val="000000"/>
      <w:w w:val="110"/>
      <w:kern w:val="0"/>
      <w:sz w:val="24"/>
    </w:rPr>
  </w:style>
  <w:style w:type="paragraph" w:customStyle="1" w:styleId="CM90">
    <w:name w:val="CM90"/>
    <w:basedOn w:val="Default"/>
    <w:next w:val="Default"/>
    <w:qFormat/>
    <w:pPr>
      <w:spacing w:after="57"/>
    </w:pPr>
    <w:rPr>
      <w:rFonts w:ascii="黑体" w:eastAsia="黑体"/>
      <w:color w:val="auto"/>
    </w:rPr>
  </w:style>
  <w:style w:type="paragraph" w:customStyle="1" w:styleId="CharCharChar1CharCharCharCharCharCharCharCharCharCharCharCharCharCharCharCharChar">
    <w:name w:val="Char Char Char1 Char Char Char Char Char Char Char Char Char Char Char Char Char Char Char Char Char"/>
    <w:basedOn w:val="a6"/>
    <w:uiPriority w:val="99"/>
    <w:qFormat/>
  </w:style>
  <w:style w:type="paragraph" w:customStyle="1" w:styleId="CharCharChar1CharChar">
    <w:name w:val="Char Char Char1 Char Char"/>
    <w:basedOn w:val="a6"/>
    <w:qFormat/>
  </w:style>
  <w:style w:type="paragraph" w:customStyle="1" w:styleId="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1"/>
    <w:basedOn w:val="a6"/>
    <w:qFormat/>
    <w:rPr>
      <w:color w:val="000000"/>
      <w:w w:val="110"/>
      <w:kern w:val="0"/>
      <w:sz w:val="24"/>
    </w:rPr>
  </w:style>
  <w:style w:type="paragraph" w:customStyle="1" w:styleId="zxz5">
    <w:name w:val="zxz5"/>
    <w:next w:val="1f8"/>
    <w:qFormat/>
    <w:pPr>
      <w:tabs>
        <w:tab w:val="left" w:pos="0"/>
      </w:tabs>
      <w:jc w:val="center"/>
    </w:pPr>
    <w:rPr>
      <w:rFonts w:ascii="宋体" w:eastAsia="Times New Roman" w:hAnsi="宋体" w:cs="宋体"/>
      <w:bCs/>
      <w:kern w:val="2"/>
      <w:sz w:val="18"/>
      <w:szCs w:val="18"/>
    </w:rPr>
  </w:style>
  <w:style w:type="paragraph" w:customStyle="1" w:styleId="BodyTextFirstIndent1">
    <w:name w:val="Body Text First Indent1"/>
    <w:basedOn w:val="af8"/>
    <w:qFormat/>
    <w:pPr>
      <w:adjustRightInd w:val="0"/>
      <w:spacing w:after="0" w:line="312" w:lineRule="auto"/>
      <w:ind w:firstLine="720"/>
      <w:textAlignment w:val="baseline"/>
    </w:pPr>
    <w:rPr>
      <w:b/>
      <w:kern w:val="0"/>
      <w:sz w:val="28"/>
      <w:szCs w:val="20"/>
    </w:rPr>
  </w:style>
  <w:style w:type="paragraph" w:customStyle="1" w:styleId="xl25">
    <w:name w:val="xl25"/>
    <w:basedOn w:val="a6"/>
    <w:qFormat/>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hint="eastAsia"/>
      <w:kern w:val="0"/>
      <w:sz w:val="18"/>
      <w:szCs w:val="18"/>
    </w:rPr>
  </w:style>
  <w:style w:type="paragraph" w:customStyle="1" w:styleId="231">
    <w:name w:val="样式 首行缩进:  2 字符3"/>
    <w:basedOn w:val="a6"/>
    <w:qFormat/>
    <w:pPr>
      <w:ind w:firstLineChars="200" w:firstLine="200"/>
    </w:pPr>
    <w:rPr>
      <w:rFonts w:cs="宋体"/>
      <w:sz w:val="24"/>
    </w:rPr>
  </w:style>
  <w:style w:type="paragraph" w:customStyle="1" w:styleId="22e">
    <w:name w:val="样式 标题 2 + 宋体 居中 首行缩进:  2 字符"/>
    <w:basedOn w:val="22"/>
    <w:qFormat/>
    <w:pPr>
      <w:widowControl/>
      <w:spacing w:line="500" w:lineRule="exact"/>
      <w:ind w:firstLine="601"/>
      <w:jc w:val="center"/>
    </w:pPr>
    <w:rPr>
      <w:rFonts w:cs="宋体"/>
      <w:spacing w:val="0"/>
      <w:w w:val="100"/>
      <w:kern w:val="2"/>
      <w:sz w:val="30"/>
      <w:szCs w:val="30"/>
    </w:rPr>
  </w:style>
  <w:style w:type="paragraph" w:customStyle="1" w:styleId="Charffffffffffb">
    <w:name w:val="Char 正文"/>
    <w:basedOn w:val="12"/>
    <w:qFormat/>
    <w:pPr>
      <w:tabs>
        <w:tab w:val="left" w:pos="2629"/>
      </w:tabs>
      <w:adjustRightInd w:val="0"/>
      <w:snapToGrid w:val="0"/>
      <w:spacing w:before="240" w:after="240" w:line="348" w:lineRule="auto"/>
    </w:pPr>
    <w:rPr>
      <w:rFonts w:ascii="Tahoma" w:hAnsi="Tahoma"/>
      <w:bCs w:val="0"/>
      <w:sz w:val="24"/>
      <w:szCs w:val="20"/>
    </w:rPr>
  </w:style>
  <w:style w:type="paragraph" w:customStyle="1" w:styleId="Style13">
    <w:name w:val="Style13"/>
    <w:basedOn w:val="a6"/>
    <w:qFormat/>
    <w:pPr>
      <w:adjustRightInd w:val="0"/>
      <w:jc w:val="left"/>
    </w:pPr>
    <w:rPr>
      <w:rFonts w:ascii="宋体"/>
      <w:kern w:val="0"/>
      <w:sz w:val="24"/>
      <w:szCs w:val="20"/>
    </w:rPr>
  </w:style>
  <w:style w:type="paragraph" w:customStyle="1" w:styleId="22f">
    <w:name w:val="样式 标题 + 两端对齐 左侧:  2.2 厘米"/>
    <w:basedOn w:val="aa"/>
    <w:qFormat/>
    <w:pPr>
      <w:pageBreakBefore w:val="0"/>
      <w:tabs>
        <w:tab w:val="left" w:pos="0"/>
      </w:tabs>
      <w:spacing w:before="0" w:after="100" w:afterAutospacing="1" w:line="360" w:lineRule="auto"/>
      <w:ind w:left="1247" w:hanging="57"/>
      <w:jc w:val="left"/>
    </w:pPr>
    <w:rPr>
      <w:rFonts w:ascii="楷体_GB2312" w:eastAsia="隶书" w:hAnsi="Arial" w:cs="宋体"/>
      <w:kern w:val="0"/>
      <w:sz w:val="44"/>
      <w:szCs w:val="20"/>
    </w:rPr>
  </w:style>
  <w:style w:type="paragraph" w:customStyle="1" w:styleId="pl1">
    <w:name w:val="pl表格标题"/>
    <w:basedOn w:val="a6"/>
    <w:qFormat/>
    <w:pPr>
      <w:widowControl/>
      <w:snapToGrid w:val="0"/>
      <w:spacing w:line="360" w:lineRule="auto"/>
      <w:jc w:val="center"/>
    </w:pPr>
    <w:rPr>
      <w:rFonts w:ascii="宋体" w:hAnsi="宋体" w:cs="宋体"/>
      <w:b/>
      <w:bCs/>
      <w:color w:val="000000"/>
      <w:kern w:val="0"/>
      <w:sz w:val="28"/>
    </w:rPr>
  </w:style>
  <w:style w:type="paragraph" w:customStyle="1" w:styleId="hb405051">
    <w:name w:val="样式 hb4 + 段前: 0.5 行 段后: 0.5 行1"/>
    <w:basedOn w:val="hb4CharCharCharCharChar"/>
    <w:next w:val="hb4CharCharCharCharChar"/>
    <w:qFormat/>
  </w:style>
  <w:style w:type="paragraph" w:customStyle="1" w:styleId="CharCharChar1CharCharCharCharCharCharCharCharCharCharCharCharCharCharCharCharCharCharChar3">
    <w:name w:val="Char Char Char1 Char Char Char Char Char Char Char Char Char Char Char Char Char Char Char Char Char Char Char3"/>
    <w:basedOn w:val="a6"/>
    <w:qFormat/>
  </w:style>
  <w:style w:type="paragraph" w:customStyle="1" w:styleId="afffffffffffffffffffffffffffffffa">
    <w:name w:val="样式 标题三！！！！"/>
    <w:basedOn w:val="a6"/>
    <w:qFormat/>
    <w:pPr>
      <w:autoSpaceDE w:val="0"/>
      <w:autoSpaceDN w:val="0"/>
      <w:adjustRightInd w:val="0"/>
      <w:spacing w:line="500" w:lineRule="exact"/>
      <w:outlineLvl w:val="2"/>
    </w:pPr>
    <w:rPr>
      <w:rFonts w:ascii="楷体_GB2312" w:eastAsia="楷体_GB2312" w:hAnsi="楷体_GB2312" w:cs="楷体_GB2312"/>
      <w:b/>
      <w:bCs/>
      <w:kern w:val="0"/>
      <w:sz w:val="28"/>
      <w:szCs w:val="28"/>
      <w:lang w:val="zh-CN"/>
    </w:rPr>
  </w:style>
  <w:style w:type="paragraph" w:customStyle="1" w:styleId="CharCharCharCharCharCharCharCharCharCharCharCharChar21">
    <w:name w:val="Char Char Char Char Char Char Char Char Char Char Char Char Char21"/>
    <w:basedOn w:val="a6"/>
    <w:uiPriority w:val="99"/>
    <w:qFormat/>
    <w:pPr>
      <w:autoSpaceDE w:val="0"/>
      <w:autoSpaceDN w:val="0"/>
      <w:adjustRightInd w:val="0"/>
      <w:snapToGrid w:val="0"/>
      <w:spacing w:before="50" w:after="50" w:line="360" w:lineRule="auto"/>
      <w:ind w:firstLineChars="200" w:firstLine="560"/>
    </w:pPr>
    <w:rPr>
      <w:rFonts w:eastAsia="仿宋_GB2312"/>
      <w:color w:val="000000"/>
      <w:sz w:val="24"/>
    </w:rPr>
  </w:style>
  <w:style w:type="paragraph" w:customStyle="1" w:styleId="2CharCharCharCharCharChar">
    <w:name w:val="2 Char Char Char Char Char Char"/>
    <w:basedOn w:val="a6"/>
    <w:qFormat/>
  </w:style>
  <w:style w:type="paragraph" w:customStyle="1" w:styleId="HTML18">
    <w:name w:val="HTML 预设格式1"/>
    <w:basedOn w:val="a6"/>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olor w:val="000000"/>
      <w:kern w:val="0"/>
      <w:szCs w:val="21"/>
    </w:rPr>
  </w:style>
  <w:style w:type="paragraph" w:customStyle="1" w:styleId="afffffffffffffffffffffffffffffffb">
    <w:name w:val="大标题"/>
    <w:basedOn w:val="a6"/>
    <w:qFormat/>
    <w:pPr>
      <w:keepNext/>
      <w:keepLines/>
      <w:tabs>
        <w:tab w:val="left" w:pos="360"/>
        <w:tab w:val="left" w:pos="2190"/>
      </w:tabs>
      <w:spacing w:before="340" w:after="330" w:line="576" w:lineRule="auto"/>
      <w:ind w:left="2190" w:hanging="2190"/>
      <w:jc w:val="center"/>
      <w:outlineLvl w:val="0"/>
    </w:pPr>
    <w:rPr>
      <w:b/>
      <w:bCs/>
      <w:kern w:val="44"/>
      <w:sz w:val="44"/>
      <w:szCs w:val="44"/>
    </w:rPr>
  </w:style>
  <w:style w:type="paragraph" w:customStyle="1" w:styleId="157">
    <w:name w:val="样式 小四 行距: 1.5 倍行距"/>
    <w:basedOn w:val="a6"/>
    <w:qFormat/>
    <w:pPr>
      <w:widowControl/>
      <w:spacing w:line="360" w:lineRule="auto"/>
      <w:jc w:val="left"/>
    </w:pPr>
    <w:rPr>
      <w:rFonts w:ascii="宋体" w:hAnsi="宋体" w:cs="宋体"/>
      <w:kern w:val="0"/>
      <w:sz w:val="24"/>
      <w:szCs w:val="20"/>
    </w:rPr>
  </w:style>
  <w:style w:type="paragraph" w:customStyle="1" w:styleId="xl24">
    <w:name w:val="xl24"/>
    <w:basedOn w:val="a6"/>
    <w:qFormat/>
    <w:pPr>
      <w:widowControl/>
      <w:spacing w:before="100" w:beforeAutospacing="1" w:after="100" w:afterAutospacing="1"/>
      <w:jc w:val="center"/>
      <w:textAlignment w:val="center"/>
    </w:pPr>
    <w:rPr>
      <w:rFonts w:ascii="Arial Unicode MS" w:eastAsia="Arial Unicode MS" w:hAnsi="Arial Unicode MS" w:cs="Arial Unicode MS"/>
      <w:kern w:val="0"/>
      <w:sz w:val="24"/>
    </w:rPr>
  </w:style>
  <w:style w:type="paragraph" w:customStyle="1" w:styleId="xl36">
    <w:name w:val="xl36"/>
    <w:basedOn w:val="a6"/>
    <w:qFormat/>
    <w:pPr>
      <w:widowControl/>
      <w:pBdr>
        <w:top w:val="single" w:sz="4" w:space="0" w:color="auto"/>
        <w:left w:val="single" w:sz="4" w:space="0" w:color="auto"/>
        <w:bottom w:val="single" w:sz="4" w:space="0" w:color="auto"/>
        <w:right w:val="single" w:sz="4" w:space="0" w:color="auto"/>
      </w:pBdr>
      <w:spacing w:before="100" w:after="100"/>
      <w:jc w:val="center"/>
      <w:textAlignment w:val="center"/>
    </w:pPr>
    <w:rPr>
      <w:rFonts w:ascii="宋体" w:hAnsi="宋体"/>
      <w:kern w:val="0"/>
      <w:szCs w:val="20"/>
    </w:rPr>
  </w:style>
  <w:style w:type="paragraph" w:customStyle="1" w:styleId="CharCharCharCharCharCharCharCharCharCharChar1CharCharCharChar">
    <w:name w:val="Char Char Char Char Char Char Char Char Char Char Char1 Char Char Char Char"/>
    <w:basedOn w:val="a6"/>
    <w:qFormat/>
  </w:style>
  <w:style w:type="paragraph" w:customStyle="1" w:styleId="myformatcontentChar">
    <w:name w:val="myformat_content Char"/>
    <w:basedOn w:val="a6"/>
    <w:uiPriority w:val="99"/>
    <w:qFormat/>
    <w:pPr>
      <w:spacing w:beforeLines="50" w:afterLines="50" w:line="360" w:lineRule="exact"/>
      <w:ind w:firstLineChars="200" w:firstLine="480"/>
    </w:pPr>
    <w:rPr>
      <w:sz w:val="24"/>
    </w:rPr>
  </w:style>
  <w:style w:type="paragraph" w:customStyle="1" w:styleId="hb4Char">
    <w:name w:val="hb4 Char"/>
    <w:basedOn w:val="41"/>
    <w:qFormat/>
    <w:pPr>
      <w:adjustRightInd/>
      <w:snapToGrid/>
      <w:spacing w:before="0" w:afterLines="50" w:line="529" w:lineRule="exact"/>
    </w:pPr>
    <w:rPr>
      <w:rFonts w:ascii="Times New Roman" w:hAnsi="Arial" w:cs="宋体"/>
      <w:bCs w:val="0"/>
      <w:kern w:val="24"/>
      <w:sz w:val="24"/>
      <w:szCs w:val="24"/>
    </w:rPr>
  </w:style>
  <w:style w:type="paragraph" w:customStyle="1" w:styleId="Charffffffffffc">
    <w:name w:val="表头样式 Char"/>
    <w:qFormat/>
    <w:pPr>
      <w:jc w:val="center"/>
    </w:pPr>
    <w:rPr>
      <w:rFonts w:ascii="宋体" w:hAnsi="宋体"/>
      <w:b/>
      <w:kern w:val="2"/>
      <w:sz w:val="28"/>
      <w:szCs w:val="28"/>
    </w:rPr>
  </w:style>
  <w:style w:type="paragraph" w:customStyle="1" w:styleId="afffffffffffffffffffffffffffffffc">
    <w:name w:val="左侧"/>
    <w:qFormat/>
    <w:pPr>
      <w:jc w:val="center"/>
    </w:pPr>
    <w:rPr>
      <w:color w:val="000000"/>
      <w:sz w:val="21"/>
      <w:szCs w:val="21"/>
    </w:rPr>
  </w:style>
  <w:style w:type="paragraph" w:customStyle="1" w:styleId="afffffffffffffffffffffffffffffffd">
    <w:name w:val="封面标准文稿编辑信息"/>
    <w:uiPriority w:val="99"/>
    <w:qFormat/>
    <w:pPr>
      <w:spacing w:before="180" w:line="180" w:lineRule="exact"/>
      <w:jc w:val="center"/>
    </w:pPr>
    <w:rPr>
      <w:rFonts w:ascii="宋体"/>
      <w:sz w:val="21"/>
    </w:rPr>
  </w:style>
  <w:style w:type="paragraph" w:customStyle="1" w:styleId="afffffffffffffffffffffffffffffffe">
    <w:name w:val="正文缩"/>
    <w:basedOn w:val="a6"/>
    <w:qFormat/>
    <w:pPr>
      <w:adjustRightInd w:val="0"/>
      <w:spacing w:line="480" w:lineRule="atLeast"/>
      <w:ind w:firstLine="567"/>
      <w:textAlignment w:val="baseline"/>
    </w:pPr>
    <w:rPr>
      <w:rFonts w:ascii="宋体"/>
      <w:color w:val="000000"/>
      <w:spacing w:val="6"/>
      <w:kern w:val="0"/>
      <w:sz w:val="24"/>
      <w:szCs w:val="20"/>
    </w:rPr>
  </w:style>
  <w:style w:type="paragraph" w:customStyle="1" w:styleId="Paratitre">
    <w:name w:val="Paratitre"/>
    <w:basedOn w:val="a6"/>
    <w:qFormat/>
    <w:pPr>
      <w:widowControl/>
      <w:overflowPunct w:val="0"/>
      <w:autoSpaceDE w:val="0"/>
      <w:autoSpaceDN w:val="0"/>
      <w:adjustRightInd w:val="0"/>
      <w:spacing w:before="240"/>
      <w:ind w:left="700"/>
      <w:textAlignment w:val="baseline"/>
    </w:pPr>
    <w:rPr>
      <w:rFonts w:ascii="Arial" w:hAnsi="Arial"/>
      <w:kern w:val="0"/>
      <w:sz w:val="20"/>
      <w:szCs w:val="20"/>
      <w:lang w:val="fr-FR"/>
    </w:rPr>
  </w:style>
  <w:style w:type="paragraph" w:customStyle="1" w:styleId="21d">
    <w:name w:val="样式 图表 + 首行缩进:  2 字符1"/>
    <w:basedOn w:val="a6"/>
    <w:qFormat/>
    <w:pPr>
      <w:adjustRightInd w:val="0"/>
      <w:snapToGrid w:val="0"/>
      <w:spacing w:beforeLines="20" w:afterLines="20"/>
      <w:ind w:leftChars="-50" w:left="-102" w:rightChars="-50" w:right="-105" w:hanging="3"/>
      <w:jc w:val="center"/>
    </w:pPr>
    <w:rPr>
      <w:rFonts w:eastAsia="仿宋_GB2312"/>
      <w:color w:val="000000"/>
      <w:w w:val="110"/>
      <w:kern w:val="0"/>
      <w:sz w:val="24"/>
    </w:rPr>
  </w:style>
  <w:style w:type="paragraph" w:customStyle="1" w:styleId="CharCharCharCharCharCharCharCharCharCharCharCharCharCharCharCharCharCharCharCharCharCharCharCharCharCharCharCharCharCharCharCharCharCharCharCharCharCharChar4">
    <w:name w:val="Char Char Char Char Char Char Char Char Char Char Char Char Char Char Char Char Char Char Char Char Char Char Char Char Char Char Char Char Char Char Char Char Char Char Char Char Char Char Char4"/>
    <w:basedOn w:val="a6"/>
    <w:qFormat/>
    <w:rPr>
      <w:szCs w:val="20"/>
    </w:rPr>
  </w:style>
  <w:style w:type="paragraph" w:customStyle="1" w:styleId="1fffffa">
    <w:name w:val="正文格式1"/>
    <w:basedOn w:val="a6"/>
    <w:qFormat/>
    <w:pPr>
      <w:spacing w:line="360" w:lineRule="auto"/>
      <w:ind w:firstLine="482"/>
    </w:pPr>
    <w:rPr>
      <w:rFonts w:ascii="宋体"/>
      <w:kern w:val="0"/>
      <w:sz w:val="24"/>
      <w:szCs w:val="20"/>
    </w:rPr>
  </w:style>
  <w:style w:type="paragraph" w:customStyle="1" w:styleId="affffffffffffffffffffffffffffffff">
    <w:name w:val="封面落款"/>
    <w:basedOn w:val="a6"/>
    <w:qFormat/>
    <w:pPr>
      <w:tabs>
        <w:tab w:val="left" w:pos="1134"/>
        <w:tab w:val="right" w:pos="7371"/>
      </w:tabs>
      <w:overflowPunct w:val="0"/>
      <w:adjustRightInd w:val="0"/>
      <w:spacing w:line="360" w:lineRule="auto"/>
      <w:jc w:val="center"/>
      <w:textAlignment w:val="baseline"/>
    </w:pPr>
    <w:rPr>
      <w:rFonts w:eastAsia="黑体"/>
      <w:color w:val="0000FF"/>
      <w:spacing w:val="20"/>
      <w:kern w:val="0"/>
      <w:sz w:val="44"/>
      <w:szCs w:val="20"/>
    </w:rPr>
  </w:style>
  <w:style w:type="paragraph" w:customStyle="1" w:styleId="2fffff7">
    <w:name w:val="正文文字首航缩2字"/>
    <w:basedOn w:val="a6"/>
    <w:qFormat/>
    <w:pPr>
      <w:spacing w:line="360" w:lineRule="auto"/>
      <w:ind w:firstLineChars="200" w:firstLine="200"/>
    </w:pPr>
    <w:rPr>
      <w:sz w:val="24"/>
    </w:rPr>
  </w:style>
  <w:style w:type="paragraph" w:customStyle="1" w:styleId="821">
    <w:name w:val="样式 正文(首行缩进) + 8 磅 加粗 首行缩进:  2 字符1"/>
    <w:basedOn w:val="a6"/>
    <w:qFormat/>
    <w:pPr>
      <w:adjustRightInd w:val="0"/>
      <w:snapToGrid w:val="0"/>
      <w:ind w:firstLineChars="200" w:firstLine="200"/>
    </w:pPr>
    <w:rPr>
      <w:rFonts w:cs="宋体"/>
      <w:b/>
      <w:bCs/>
      <w:snapToGrid w:val="0"/>
      <w:kern w:val="0"/>
      <w:sz w:val="16"/>
      <w:szCs w:val="20"/>
    </w:rPr>
  </w:style>
  <w:style w:type="paragraph" w:customStyle="1" w:styleId="xl94">
    <w:name w:val="xl94"/>
    <w:basedOn w:val="a6"/>
    <w:qFormat/>
    <w:pPr>
      <w:widowControl/>
      <w:spacing w:before="100" w:beforeAutospacing="1" w:after="100" w:afterAutospacing="1"/>
      <w:jc w:val="left"/>
    </w:pPr>
    <w:rPr>
      <w:b/>
      <w:bCs/>
      <w:kern w:val="0"/>
      <w:sz w:val="20"/>
      <w:szCs w:val="20"/>
    </w:rPr>
  </w:style>
  <w:style w:type="paragraph" w:customStyle="1" w:styleId="ParaAttribute234">
    <w:name w:val="ParaAttribute234"/>
    <w:qFormat/>
    <w:pPr>
      <w:widowControl w:val="0"/>
      <w:wordWrap w:val="0"/>
      <w:spacing w:line="140" w:lineRule="exact"/>
    </w:pPr>
  </w:style>
  <w:style w:type="paragraph" w:customStyle="1" w:styleId="CharCharChar1Char1">
    <w:name w:val="Char Char Char1 Char1"/>
    <w:basedOn w:val="a6"/>
    <w:qFormat/>
  </w:style>
  <w:style w:type="paragraph" w:customStyle="1" w:styleId="reader-word-layerreader-word-s39-16">
    <w:name w:val="reader-word-layer reader-word-s39-16"/>
    <w:basedOn w:val="a6"/>
    <w:qFormat/>
    <w:pPr>
      <w:widowControl/>
      <w:spacing w:before="100" w:beforeAutospacing="1" w:after="100" w:afterAutospacing="1"/>
      <w:jc w:val="left"/>
    </w:pPr>
    <w:rPr>
      <w:rFonts w:ascii="宋体" w:hAnsi="宋体" w:cs="宋体"/>
      <w:color w:val="000000"/>
      <w:w w:val="110"/>
      <w:kern w:val="0"/>
      <w:sz w:val="24"/>
    </w:rPr>
  </w:style>
  <w:style w:type="paragraph" w:customStyle="1" w:styleId="2fffff8">
    <w:name w:val="样式 正文首行缩进 2 + 黑体 加粗"/>
    <w:basedOn w:val="2b"/>
    <w:next w:val="2b"/>
    <w:qFormat/>
    <w:pPr>
      <w:spacing w:after="0" w:line="360" w:lineRule="auto"/>
      <w:ind w:leftChars="0" w:left="0" w:firstLine="200"/>
    </w:pPr>
    <w:rPr>
      <w:rFonts w:hAnsi="黑体"/>
      <w:bCs/>
      <w:sz w:val="24"/>
    </w:rPr>
  </w:style>
  <w:style w:type="paragraph" w:customStyle="1" w:styleId="21e">
    <w:name w:val="正文文本缩进 21"/>
    <w:basedOn w:val="a6"/>
    <w:qFormat/>
    <w:pPr>
      <w:adjustRightInd w:val="0"/>
      <w:spacing w:line="360" w:lineRule="auto"/>
      <w:ind w:firstLine="510"/>
      <w:textAlignment w:val="baseline"/>
    </w:pPr>
    <w:rPr>
      <w:rFonts w:ascii="宋体" w:hAnsi="宋体"/>
      <w:sz w:val="28"/>
      <w:szCs w:val="20"/>
    </w:rPr>
  </w:style>
  <w:style w:type="paragraph" w:customStyle="1" w:styleId="2fffff9">
    <w:name w:val="我的2"/>
    <w:basedOn w:val="a6"/>
    <w:qFormat/>
    <w:pPr>
      <w:spacing w:line="440" w:lineRule="exact"/>
      <w:ind w:firstLineChars="206" w:firstLine="496"/>
    </w:pPr>
    <w:rPr>
      <w:rFonts w:hAnsi="宋体"/>
      <w:b/>
      <w:bCs/>
      <w:sz w:val="24"/>
    </w:rPr>
  </w:style>
  <w:style w:type="paragraph" w:customStyle="1" w:styleId="Char8CharChar">
    <w:name w:val="Char8 Char Char"/>
    <w:basedOn w:val="a6"/>
    <w:qFormat/>
    <w:pPr>
      <w:widowControl/>
      <w:spacing w:after="160" w:line="240" w:lineRule="exact"/>
      <w:jc w:val="left"/>
    </w:pPr>
    <w:rPr>
      <w:rFonts w:ascii="Arial" w:eastAsia="Times New Roman" w:hAnsi="Arial" w:cs="Verdana"/>
      <w:b/>
      <w:kern w:val="0"/>
      <w:sz w:val="24"/>
      <w:lang w:eastAsia="en-US"/>
    </w:rPr>
  </w:style>
  <w:style w:type="paragraph" w:customStyle="1" w:styleId="xl202">
    <w:name w:val="xl202"/>
    <w:basedOn w:val="a6"/>
    <w:qFormat/>
    <w:pPr>
      <w:widowControl/>
      <w:pBdr>
        <w:top w:val="single" w:sz="4" w:space="0" w:color="auto"/>
        <w:bottom w:val="single" w:sz="4" w:space="0" w:color="auto"/>
      </w:pBdr>
      <w:spacing w:before="100" w:beforeAutospacing="1" w:after="100" w:afterAutospacing="1"/>
      <w:jc w:val="left"/>
      <w:textAlignment w:val="center"/>
    </w:pPr>
    <w:rPr>
      <w:rFonts w:ascii="宋体" w:hAnsi="宋体" w:cs="宋体"/>
      <w:color w:val="000000"/>
      <w:kern w:val="0"/>
      <w:sz w:val="24"/>
    </w:rPr>
  </w:style>
  <w:style w:type="paragraph" w:customStyle="1" w:styleId="21f">
    <w:name w:val="表格内字体21"/>
    <w:basedOn w:val="a6"/>
    <w:next w:val="a6"/>
    <w:qFormat/>
    <w:pPr>
      <w:adjustRightInd w:val="0"/>
      <w:snapToGrid w:val="0"/>
    </w:pPr>
    <w:rPr>
      <w:rFonts w:ascii="宋体" w:hAnsi="宋体"/>
    </w:rPr>
  </w:style>
  <w:style w:type="paragraph" w:customStyle="1" w:styleId="xl189">
    <w:name w:val="xl189"/>
    <w:basedOn w:val="a6"/>
    <w:qFormat/>
    <w:pPr>
      <w:widowControl/>
      <w:pBdr>
        <w:top w:val="single" w:sz="4" w:space="0" w:color="auto"/>
        <w:bottom w:val="single" w:sz="4" w:space="0" w:color="auto"/>
      </w:pBdr>
      <w:spacing w:before="100" w:beforeAutospacing="1" w:after="100" w:afterAutospacing="1"/>
      <w:jc w:val="left"/>
      <w:textAlignment w:val="center"/>
    </w:pPr>
    <w:rPr>
      <w:rFonts w:ascii="宋体" w:hAnsi="宋体" w:cs="宋体"/>
      <w:color w:val="000000"/>
      <w:kern w:val="0"/>
      <w:sz w:val="24"/>
    </w:rPr>
  </w:style>
  <w:style w:type="paragraph" w:customStyle="1" w:styleId="21f0">
    <w:name w:val="正文首行缩进 21"/>
    <w:qFormat/>
    <w:pPr>
      <w:adjustRightInd w:val="0"/>
      <w:snapToGrid w:val="0"/>
      <w:spacing w:after="120"/>
      <w:ind w:leftChars="200" w:left="420" w:firstLine="420"/>
    </w:pPr>
    <w:rPr>
      <w:rFonts w:eastAsia="仿宋_GB2312"/>
      <w:szCs w:val="22"/>
    </w:rPr>
  </w:style>
  <w:style w:type="paragraph" w:customStyle="1" w:styleId="1fffffb">
    <w:name w:val="正文文本缩进1"/>
    <w:basedOn w:val="a6"/>
    <w:qFormat/>
    <w:pPr>
      <w:spacing w:line="360" w:lineRule="auto"/>
      <w:ind w:firstLineChars="200" w:firstLine="480"/>
    </w:pPr>
    <w:rPr>
      <w:rFonts w:ascii="宋体" w:hAnsi="宋体"/>
      <w:sz w:val="24"/>
    </w:rPr>
  </w:style>
  <w:style w:type="paragraph" w:customStyle="1" w:styleId="-STD6122">
    <w:name w:val="样式 样式 样式 正文首行缩进-STD + 段前: 6 磅1 + 首行缩进:  2 字符 + 首行缩进:  2 字符"/>
    <w:basedOn w:val="a6"/>
    <w:qFormat/>
    <w:pPr>
      <w:spacing w:line="360" w:lineRule="auto"/>
      <w:ind w:firstLineChars="200" w:firstLine="480"/>
    </w:pPr>
    <w:rPr>
      <w:rFonts w:ascii="宋体" w:hAnsi="宋体" w:cs="宋体"/>
      <w:sz w:val="24"/>
    </w:rPr>
  </w:style>
  <w:style w:type="paragraph" w:customStyle="1" w:styleId="xl204">
    <w:name w:val="xl204"/>
    <w:basedOn w:val="a6"/>
    <w:qFormat/>
    <w:pPr>
      <w:widowControl/>
      <w:pBdr>
        <w:top w:val="single" w:sz="4" w:space="0" w:color="auto"/>
        <w:bottom w:val="single" w:sz="4" w:space="0" w:color="auto"/>
      </w:pBdr>
      <w:spacing w:before="100" w:beforeAutospacing="1" w:after="100" w:afterAutospacing="1"/>
      <w:jc w:val="left"/>
      <w:textAlignment w:val="center"/>
    </w:pPr>
    <w:rPr>
      <w:rFonts w:cs="宋体"/>
      <w:color w:val="000000"/>
      <w:kern w:val="0"/>
      <w:sz w:val="24"/>
    </w:rPr>
  </w:style>
  <w:style w:type="paragraph" w:customStyle="1" w:styleId="xl191">
    <w:name w:val="xl191"/>
    <w:basedOn w:val="a6"/>
    <w:qFormat/>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cs="宋体"/>
      <w:color w:val="000000"/>
      <w:kern w:val="0"/>
      <w:sz w:val="24"/>
    </w:rPr>
  </w:style>
  <w:style w:type="paragraph" w:customStyle="1" w:styleId="21f1">
    <w:name w:val="正文文本 21"/>
    <w:basedOn w:val="a6"/>
    <w:next w:val="a6"/>
    <w:qFormat/>
    <w:pPr>
      <w:spacing w:line="360" w:lineRule="auto"/>
      <w:ind w:firstLineChars="200" w:firstLine="480"/>
      <w:jc w:val="left"/>
    </w:pPr>
    <w:rPr>
      <w:rFonts w:ascii="宋体" w:hAnsi="宋体"/>
      <w:sz w:val="24"/>
    </w:rPr>
  </w:style>
  <w:style w:type="paragraph" w:customStyle="1" w:styleId="Normala">
    <w:name w:val="Normal a"/>
    <w:basedOn w:val="a6"/>
    <w:qFormat/>
    <w:pPr>
      <w:widowControl/>
      <w:ind w:left="284"/>
    </w:pPr>
    <w:rPr>
      <w:rFonts w:ascii="Arial" w:eastAsia="Times New Roman" w:hAnsi="Arial"/>
      <w:color w:val="000000"/>
      <w:w w:val="110"/>
      <w:kern w:val="0"/>
      <w:sz w:val="24"/>
      <w:szCs w:val="20"/>
      <w:lang w:val="en-GB" w:eastAsia="en-US"/>
    </w:rPr>
  </w:style>
  <w:style w:type="paragraph" w:customStyle="1" w:styleId="1-1">
    <w:name w:val="1-表内"/>
    <w:basedOn w:val="a6"/>
    <w:qFormat/>
    <w:pPr>
      <w:spacing w:line="360" w:lineRule="auto"/>
      <w:ind w:firstLineChars="200" w:firstLine="480"/>
    </w:pPr>
    <w:rPr>
      <w:rFonts w:ascii="宋体" w:hAnsi="宋体"/>
      <w:sz w:val="24"/>
      <w:szCs w:val="21"/>
    </w:rPr>
  </w:style>
  <w:style w:type="paragraph" w:customStyle="1" w:styleId="Style510">
    <w:name w:val="Style51"/>
    <w:basedOn w:val="a6"/>
    <w:qFormat/>
    <w:pPr>
      <w:adjustRightInd w:val="0"/>
      <w:jc w:val="left"/>
    </w:pPr>
    <w:rPr>
      <w:rFonts w:ascii="宋体"/>
      <w:kern w:val="0"/>
      <w:sz w:val="24"/>
      <w:szCs w:val="20"/>
    </w:rPr>
  </w:style>
  <w:style w:type="paragraph" w:customStyle="1" w:styleId="xl206">
    <w:name w:val="xl206"/>
    <w:basedOn w:val="a6"/>
    <w:qFormat/>
    <w:pPr>
      <w:widowControl/>
      <w:pBdr>
        <w:left w:val="single" w:sz="4" w:space="0" w:color="auto"/>
        <w:bottom w:val="single" w:sz="4" w:space="0" w:color="auto"/>
      </w:pBdr>
      <w:spacing w:before="100" w:beforeAutospacing="1" w:after="100" w:afterAutospacing="1"/>
      <w:jc w:val="left"/>
      <w:textAlignment w:val="center"/>
    </w:pPr>
    <w:rPr>
      <w:rFonts w:ascii="宋体" w:hAnsi="宋体" w:cs="宋体"/>
      <w:color w:val="000000"/>
      <w:kern w:val="0"/>
      <w:sz w:val="24"/>
    </w:rPr>
  </w:style>
  <w:style w:type="paragraph" w:customStyle="1" w:styleId="xl98">
    <w:name w:val="xl98"/>
    <w:basedOn w:val="a6"/>
    <w:qFormat/>
    <w:pPr>
      <w:widowControl/>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ascii="宋体" w:hAnsi="宋体" w:cs="宋体"/>
      <w:kern w:val="0"/>
      <w:sz w:val="24"/>
    </w:rPr>
  </w:style>
  <w:style w:type="paragraph" w:customStyle="1" w:styleId="xl193">
    <w:name w:val="xl193"/>
    <w:basedOn w:val="a6"/>
    <w:qFormat/>
    <w:pPr>
      <w:widowControl/>
      <w:pBdr>
        <w:top w:val="single" w:sz="4" w:space="0" w:color="auto"/>
        <w:bottom w:val="single" w:sz="4" w:space="0" w:color="auto"/>
        <w:right w:val="single" w:sz="8" w:space="0" w:color="auto"/>
      </w:pBdr>
      <w:spacing w:before="100" w:beforeAutospacing="1" w:after="100" w:afterAutospacing="1"/>
      <w:jc w:val="left"/>
      <w:textAlignment w:val="center"/>
    </w:pPr>
    <w:rPr>
      <w:rFonts w:ascii="Arial" w:hAnsi="Arial" w:cs="Arial"/>
      <w:color w:val="000000"/>
      <w:kern w:val="0"/>
      <w:sz w:val="24"/>
    </w:rPr>
  </w:style>
  <w:style w:type="paragraph" w:customStyle="1" w:styleId="3Arial">
    <w:name w:val="样式 标题 3 + Arial"/>
    <w:basedOn w:val="a6"/>
    <w:qFormat/>
    <w:rPr>
      <w:rFonts w:ascii="宋体"/>
      <w:kern w:val="0"/>
      <w:sz w:val="24"/>
      <w:szCs w:val="20"/>
    </w:rPr>
  </w:style>
  <w:style w:type="paragraph" w:customStyle="1" w:styleId="xl117">
    <w:name w:val="xl11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0"/>
      <w:szCs w:val="20"/>
    </w:rPr>
  </w:style>
  <w:style w:type="paragraph" w:customStyle="1" w:styleId="affffffffffffffffffffffffffffffff0">
    <w:name w:val="叙述小标题"/>
    <w:basedOn w:val="a6"/>
    <w:qFormat/>
    <w:pPr>
      <w:tabs>
        <w:tab w:val="left" w:pos="567"/>
      </w:tabs>
    </w:pPr>
    <w:rPr>
      <w:rFonts w:eastAsia="黑体"/>
      <w:sz w:val="28"/>
    </w:rPr>
  </w:style>
  <w:style w:type="paragraph" w:customStyle="1" w:styleId="affffffffffffffffffffffffffffffff1">
    <w:name w:val="样式 表格 + 居中"/>
    <w:basedOn w:val="a6"/>
    <w:qFormat/>
    <w:pPr>
      <w:kinsoku w:val="0"/>
      <w:overflowPunct w:val="0"/>
      <w:adjustRightInd w:val="0"/>
      <w:snapToGrid w:val="0"/>
      <w:jc w:val="center"/>
    </w:pPr>
    <w:rPr>
      <w:snapToGrid w:val="0"/>
      <w:color w:val="000000"/>
      <w:kern w:val="0"/>
      <w:sz w:val="24"/>
    </w:rPr>
  </w:style>
  <w:style w:type="paragraph" w:customStyle="1" w:styleId="1fffffc">
    <w:name w:val="表格样式1"/>
    <w:basedOn w:val="a6"/>
    <w:qFormat/>
    <w:pPr>
      <w:adjustRightInd w:val="0"/>
      <w:spacing w:line="20" w:lineRule="atLeast"/>
      <w:jc w:val="center"/>
      <w:textAlignment w:val="baseline"/>
    </w:pPr>
    <w:rPr>
      <w:rFonts w:ascii="宋体"/>
      <w:kern w:val="0"/>
      <w:sz w:val="24"/>
      <w:szCs w:val="20"/>
    </w:rPr>
  </w:style>
  <w:style w:type="paragraph" w:customStyle="1" w:styleId="affffffffffffffffffffffffffffffff2">
    <w:name w:val="水印"/>
    <w:basedOn w:val="a6"/>
    <w:qFormat/>
    <w:pPr>
      <w:adjustRightInd w:val="0"/>
      <w:spacing w:line="240" w:lineRule="atLeast"/>
      <w:textAlignment w:val="baseline"/>
    </w:pPr>
    <w:rPr>
      <w:kern w:val="0"/>
      <w:szCs w:val="20"/>
    </w:rPr>
  </w:style>
  <w:style w:type="paragraph" w:customStyle="1" w:styleId="affffffffffffffffffffffffffffffff3">
    <w:name w:val="附件正文"/>
    <w:qFormat/>
    <w:pPr>
      <w:spacing w:after="100" w:afterAutospacing="1" w:line="440" w:lineRule="exact"/>
      <w:ind w:left="448" w:firstLine="459"/>
      <w:jc w:val="both"/>
    </w:pPr>
    <w:rPr>
      <w:snapToGrid w:val="0"/>
      <w:sz w:val="24"/>
      <w:szCs w:val="24"/>
    </w:rPr>
  </w:style>
  <w:style w:type="paragraph" w:customStyle="1" w:styleId="affffffffffffffffffffffffffffffff4">
    <w:name w:val="表头！！！"/>
    <w:basedOn w:val="a6"/>
    <w:qFormat/>
    <w:pPr>
      <w:spacing w:line="360" w:lineRule="auto"/>
      <w:jc w:val="center"/>
    </w:pPr>
    <w:rPr>
      <w:rFonts w:ascii="黑体" w:eastAsia="楷体_GB2312" w:cs="宋体"/>
      <w:b/>
      <w:sz w:val="24"/>
      <w:szCs w:val="20"/>
    </w:rPr>
  </w:style>
  <w:style w:type="paragraph" w:customStyle="1" w:styleId="415">
    <w:name w:val="列表编号 41"/>
    <w:basedOn w:val="a6"/>
    <w:qFormat/>
    <w:pPr>
      <w:tabs>
        <w:tab w:val="left" w:pos="720"/>
      </w:tabs>
      <w:ind w:left="720" w:hanging="720"/>
    </w:pPr>
    <w:rPr>
      <w:szCs w:val="20"/>
    </w:rPr>
  </w:style>
  <w:style w:type="paragraph" w:customStyle="1" w:styleId="3New">
    <w:name w:val="标题 3 New"/>
    <w:qFormat/>
    <w:pPr>
      <w:keepNext/>
      <w:keepLines/>
      <w:spacing w:before="260" w:after="260" w:line="413" w:lineRule="auto"/>
      <w:outlineLvl w:val="2"/>
    </w:pPr>
    <w:rPr>
      <w:b/>
      <w:sz w:val="32"/>
    </w:rPr>
  </w:style>
  <w:style w:type="paragraph" w:customStyle="1" w:styleId="New0">
    <w:name w:val="正文 New"/>
    <w:qFormat/>
    <w:pPr>
      <w:widowControl w:val="0"/>
      <w:jc w:val="both"/>
    </w:pPr>
    <w:rPr>
      <w:kern w:val="2"/>
      <w:sz w:val="21"/>
    </w:rPr>
  </w:style>
  <w:style w:type="paragraph" w:customStyle="1" w:styleId="11f6">
    <w:name w:val="正文缩进11"/>
    <w:basedOn w:val="af0"/>
    <w:qFormat/>
    <w:pPr>
      <w:adjustRightInd/>
      <w:spacing w:line="540" w:lineRule="exact"/>
      <w:ind w:rightChars="-6" w:right="-13" w:firstLineChars="200" w:firstLine="1701"/>
      <w:jc w:val="both"/>
      <w:textAlignment w:val="auto"/>
    </w:pPr>
    <w:rPr>
      <w:rFonts w:ascii="Times New Roman" w:eastAsia="仿宋_GB2312" w:hAnsi="Times New Roman"/>
      <w:kern w:val="2"/>
      <w:sz w:val="28"/>
      <w:szCs w:val="20"/>
    </w:rPr>
  </w:style>
  <w:style w:type="paragraph" w:customStyle="1" w:styleId="affffffffffffffffffffffffffffffff5">
    <w:name w:val="备注"/>
    <w:basedOn w:val="a6"/>
    <w:qFormat/>
    <w:pPr>
      <w:keepNext/>
      <w:widowControl/>
      <w:snapToGrid w:val="0"/>
      <w:ind w:firstLineChars="200" w:firstLine="420"/>
      <w:jc w:val="left"/>
    </w:pPr>
    <w:rPr>
      <w:rFonts w:ascii="宋体" w:hAnsi="宋体" w:cs="宋体"/>
      <w:kern w:val="0"/>
      <w:sz w:val="24"/>
      <w:szCs w:val="18"/>
    </w:rPr>
  </w:style>
  <w:style w:type="paragraph" w:customStyle="1" w:styleId="-40">
    <w:name w:val="标-4"/>
    <w:basedOn w:val="a6"/>
    <w:qFormat/>
    <w:pPr>
      <w:spacing w:before="120"/>
      <w:ind w:left="851" w:hanging="851"/>
    </w:pPr>
    <w:rPr>
      <w:sz w:val="24"/>
      <w:szCs w:val="20"/>
    </w:rPr>
  </w:style>
  <w:style w:type="paragraph" w:customStyle="1" w:styleId="CharChar3CharCharCharChar1">
    <w:name w:val="Char Char3 Char Char Char Char1"/>
    <w:basedOn w:val="a6"/>
    <w:qFormat/>
    <w:pPr>
      <w:widowControl/>
      <w:spacing w:after="160" w:line="240" w:lineRule="exact"/>
      <w:jc w:val="left"/>
    </w:pPr>
    <w:rPr>
      <w:rFonts w:ascii="Verdana" w:hAnsi="Verdana" w:cs="Verdana"/>
      <w:kern w:val="0"/>
      <w:sz w:val="20"/>
      <w:lang w:eastAsia="en-US"/>
    </w:rPr>
  </w:style>
  <w:style w:type="paragraph" w:customStyle="1" w:styleId="affffffffffffffffffffffffffffffff6">
    <w:name w:val="图标名"/>
    <w:next w:val="afffd"/>
    <w:qFormat/>
    <w:pPr>
      <w:spacing w:line="360" w:lineRule="auto"/>
      <w:jc w:val="center"/>
    </w:pPr>
    <w:rPr>
      <w:rFonts w:eastAsia="黑体"/>
      <w:kern w:val="2"/>
      <w:sz w:val="24"/>
      <w:szCs w:val="24"/>
    </w:rPr>
  </w:style>
  <w:style w:type="paragraph" w:customStyle="1" w:styleId="11H1h11stlevelSectionHeadl1H11H12A2">
    <w:name w:val="样式 样式 标题 1标题1章节H1一、h11st levelSection Headl1H11H12第A章第*...2 + 加粗..."/>
    <w:basedOn w:val="a6"/>
    <w:qFormat/>
    <w:pPr>
      <w:keepNext/>
      <w:keepLines/>
      <w:spacing w:before="240" w:after="240" w:line="520" w:lineRule="exact"/>
      <w:outlineLvl w:val="0"/>
    </w:pPr>
    <w:rPr>
      <w:rFonts w:ascii="宋体" w:eastAsia="黑体" w:hAnsi="宋体" w:cs="宋体"/>
      <w:b/>
      <w:bCs/>
      <w:color w:val="000000"/>
      <w:sz w:val="32"/>
      <w:szCs w:val="20"/>
    </w:rPr>
  </w:style>
  <w:style w:type="paragraph" w:customStyle="1" w:styleId="21f2">
    <w:name w:val="页脚21"/>
    <w:basedOn w:val="af0"/>
    <w:qFormat/>
    <w:pPr>
      <w:tabs>
        <w:tab w:val="center" w:pos="4153"/>
        <w:tab w:val="right" w:pos="8306"/>
      </w:tabs>
      <w:spacing w:line="240" w:lineRule="atLeast"/>
      <w:ind w:firstLine="0"/>
      <w:textAlignment w:val="auto"/>
    </w:pPr>
    <w:rPr>
      <w:rFonts w:hint="eastAsia"/>
      <w:sz w:val="18"/>
      <w:szCs w:val="20"/>
    </w:rPr>
  </w:style>
  <w:style w:type="paragraph" w:customStyle="1" w:styleId="HD1">
    <w:name w:val="HD1"/>
    <w:basedOn w:val="12"/>
    <w:qFormat/>
    <w:pPr>
      <w:keepNext w:val="0"/>
      <w:keepLines w:val="0"/>
      <w:spacing w:beforeLines="100" w:before="0" w:afterLines="100" w:after="0" w:line="480" w:lineRule="exact"/>
      <w:jc w:val="center"/>
    </w:pPr>
    <w:rPr>
      <w:rFonts w:hAnsi="黑体"/>
      <w:bCs w:val="0"/>
      <w:sz w:val="32"/>
      <w:szCs w:val="20"/>
    </w:rPr>
  </w:style>
  <w:style w:type="paragraph" w:customStyle="1" w:styleId="2211b22">
    <w:name w:val="样式 标题 2二级标题标题2节标题 1.1b2 + 首行缩进:  2 字符"/>
    <w:basedOn w:val="22"/>
    <w:qFormat/>
    <w:pPr>
      <w:snapToGrid w:val="0"/>
      <w:spacing w:before="40" w:after="40" w:line="300" w:lineRule="auto"/>
    </w:pPr>
    <w:rPr>
      <w:rFonts w:ascii="黑体" w:eastAsia="楷体_GB2312" w:hAnsi="黑体" w:cs="宋体"/>
      <w:spacing w:val="-6"/>
      <w:w w:val="100"/>
      <w:kern w:val="2"/>
      <w:sz w:val="30"/>
      <w:szCs w:val="20"/>
    </w:rPr>
  </w:style>
  <w:style w:type="paragraph" w:customStyle="1" w:styleId="710">
    <w:name w:val="索引 71"/>
    <w:basedOn w:val="a6"/>
    <w:next w:val="a6"/>
    <w:qFormat/>
    <w:pPr>
      <w:ind w:leftChars="1200" w:left="1200"/>
    </w:pPr>
  </w:style>
  <w:style w:type="paragraph" w:customStyle="1" w:styleId="T21">
    <w:name w:val="T2标题"/>
    <w:basedOn w:val="22"/>
    <w:qFormat/>
    <w:pPr>
      <w:keepNext w:val="0"/>
      <w:keepLines w:val="0"/>
      <w:tabs>
        <w:tab w:val="left" w:pos="630"/>
        <w:tab w:val="left" w:pos="720"/>
        <w:tab w:val="left" w:pos="1070"/>
      </w:tabs>
      <w:adjustRightInd w:val="0"/>
      <w:snapToGrid w:val="0"/>
      <w:ind w:leftChars="400" w:left="1070" w:hangingChars="200" w:hanging="360"/>
      <w:jc w:val="left"/>
    </w:pPr>
    <w:rPr>
      <w:color w:val="000000"/>
      <w:spacing w:val="0"/>
      <w:w w:val="100"/>
      <w:kern w:val="2"/>
      <w:sz w:val="30"/>
      <w:szCs w:val="30"/>
    </w:rPr>
  </w:style>
  <w:style w:type="paragraph" w:customStyle="1" w:styleId="4TimesNewRomanGB2312">
    <w:name w:val="样式 标题 4 + (西文) Times New Roman (中文) 楷体_GB2312 非加粗 黑色 首行缩进:  ..."/>
    <w:basedOn w:val="41"/>
    <w:qFormat/>
    <w:pPr>
      <w:tabs>
        <w:tab w:val="left" w:pos="1070"/>
      </w:tabs>
      <w:adjustRightInd/>
      <w:snapToGrid/>
      <w:spacing w:beforeLines="0" w:before="0" w:line="374" w:lineRule="auto"/>
      <w:ind w:leftChars="400" w:left="1070" w:hangingChars="200" w:hanging="360"/>
    </w:pPr>
    <w:rPr>
      <w:rFonts w:ascii="Cambria" w:eastAsia="宋体" w:hAnsi="Cambria"/>
      <w:snapToGrid w:val="0"/>
      <w:color w:val="000000"/>
      <w:sz w:val="24"/>
      <w:szCs w:val="28"/>
    </w:rPr>
  </w:style>
  <w:style w:type="paragraph" w:customStyle="1" w:styleId="affffffffffffffffffffffffffffffff7">
    <w:name w:val="报告表格"/>
    <w:basedOn w:val="a6"/>
    <w:uiPriority w:val="99"/>
    <w:qFormat/>
    <w:pPr>
      <w:autoSpaceDE w:val="0"/>
      <w:autoSpaceDN w:val="0"/>
      <w:adjustRightInd w:val="0"/>
      <w:spacing w:before="40" w:after="40"/>
      <w:jc w:val="center"/>
      <w:textAlignment w:val="baseline"/>
    </w:pPr>
    <w:rPr>
      <w:kern w:val="0"/>
      <w:szCs w:val="20"/>
    </w:rPr>
  </w:style>
  <w:style w:type="paragraph" w:customStyle="1" w:styleId="CharCharCharCharCharCharCharCharCharCharCharCharCharCharChar">
    <w:name w:val="Char Char Char Char Char Char Char Char Char Char Char Char Char Char Char"/>
    <w:basedOn w:val="a6"/>
    <w:qFormat/>
  </w:style>
  <w:style w:type="paragraph" w:customStyle="1" w:styleId="2H211lxb211h2Char1">
    <w:name w:val="样式 标题 2节H2节标题 1.1二级标题标题 lxb21.1h2第一层条二级标题 Char表标题单位名...1"/>
    <w:basedOn w:val="22"/>
    <w:qFormat/>
    <w:pPr>
      <w:keepNext w:val="0"/>
      <w:keepLines w:val="0"/>
      <w:overflowPunct w:val="0"/>
      <w:autoSpaceDE w:val="0"/>
      <w:autoSpaceDN w:val="0"/>
      <w:adjustRightInd w:val="0"/>
      <w:textAlignment w:val="baseline"/>
    </w:pPr>
    <w:rPr>
      <w:rFonts w:ascii="黑体"/>
      <w:color w:val="000000"/>
      <w:spacing w:val="0"/>
      <w:w w:val="100"/>
      <w:kern w:val="32"/>
      <w:sz w:val="30"/>
      <w:szCs w:val="32"/>
    </w:rPr>
  </w:style>
  <w:style w:type="paragraph" w:customStyle="1" w:styleId="2fffffa">
    <w:name w:val="正文样式2"/>
    <w:basedOn w:val="a6"/>
    <w:next w:val="3ff1"/>
    <w:qFormat/>
    <w:pPr>
      <w:keepNext/>
      <w:adjustRightInd w:val="0"/>
      <w:spacing w:line="480" w:lineRule="atLeast"/>
      <w:ind w:firstLine="567"/>
      <w:textAlignment w:val="baseline"/>
    </w:pPr>
    <w:rPr>
      <w:rFonts w:ascii="黑体" w:eastAsia="黑体"/>
      <w:kern w:val="0"/>
      <w:sz w:val="28"/>
      <w:szCs w:val="20"/>
    </w:rPr>
  </w:style>
  <w:style w:type="paragraph" w:customStyle="1" w:styleId="305051">
    <w:name w:val="样式 标题 3 + 段前: 0.5 行 段后: 0.5 行1"/>
    <w:basedOn w:val="33"/>
    <w:qFormat/>
    <w:pPr>
      <w:tabs>
        <w:tab w:val="left" w:pos="1070"/>
      </w:tabs>
      <w:adjustRightInd w:val="0"/>
      <w:spacing w:before="50" w:after="50" w:line="360" w:lineRule="auto"/>
    </w:pPr>
    <w:rPr>
      <w:rFonts w:eastAsia="宋体" w:hAnsi="宋体" w:cs="宋体"/>
      <w:bCs/>
      <w:spacing w:val="0"/>
      <w:sz w:val="24"/>
      <w:szCs w:val="20"/>
    </w:rPr>
  </w:style>
  <w:style w:type="paragraph" w:customStyle="1" w:styleId="CM97">
    <w:name w:val="CM97"/>
    <w:basedOn w:val="Default"/>
    <w:next w:val="Default"/>
    <w:qFormat/>
    <w:pPr>
      <w:spacing w:after="215"/>
    </w:pPr>
    <w:rPr>
      <w:rFonts w:ascii="黑体" w:eastAsia="黑体"/>
      <w:color w:val="auto"/>
    </w:rPr>
  </w:style>
  <w:style w:type="paragraph" w:customStyle="1" w:styleId="CharCharChar1Char3">
    <w:name w:val="Char Char Char1 Char3"/>
    <w:basedOn w:val="a6"/>
    <w:qFormat/>
  </w:style>
  <w:style w:type="paragraph" w:customStyle="1" w:styleId="xl85">
    <w:name w:val="xl85"/>
    <w:basedOn w:val="a6"/>
    <w:qFormat/>
    <w:pPr>
      <w:widowControl/>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ascii="宋体" w:hAnsi="宋体" w:cs="宋体"/>
      <w:b/>
      <w:bCs/>
      <w:kern w:val="0"/>
      <w:sz w:val="20"/>
      <w:szCs w:val="20"/>
    </w:rPr>
  </w:style>
  <w:style w:type="paragraph" w:customStyle="1" w:styleId="hb2">
    <w:name w:val="hb2"/>
    <w:basedOn w:val="22"/>
    <w:qFormat/>
    <w:pPr>
      <w:keepNext w:val="0"/>
      <w:keepLines w:val="0"/>
      <w:topLinePunct/>
      <w:adjustRightInd w:val="0"/>
      <w:spacing w:before="100" w:beforeAutospacing="1" w:afterLines="50" w:after="100" w:afterAutospacing="1" w:line="416" w:lineRule="atLeast"/>
      <w:jc w:val="left"/>
      <w:textAlignment w:val="baseline"/>
    </w:pPr>
    <w:rPr>
      <w:rFonts w:hAnsi="黑体" w:cs="Arial"/>
      <w:b/>
      <w:bCs w:val="0"/>
      <w:spacing w:val="0"/>
      <w:w w:val="100"/>
      <w:kern w:val="2"/>
      <w:sz w:val="30"/>
      <w:szCs w:val="24"/>
    </w:rPr>
  </w:style>
  <w:style w:type="paragraph" w:customStyle="1" w:styleId="Char4CharCharChar1">
    <w:name w:val="Char4 Char Char Char1"/>
    <w:basedOn w:val="a6"/>
    <w:qFormat/>
    <w:rPr>
      <w:color w:val="000000"/>
      <w:w w:val="110"/>
      <w:kern w:val="0"/>
      <w:sz w:val="24"/>
    </w:rPr>
  </w:style>
  <w:style w:type="paragraph" w:customStyle="1" w:styleId="affffffffffffffffffffffffffffffff8">
    <w:name w:val="基准页眉样式"/>
    <w:basedOn w:val="af8"/>
    <w:qFormat/>
    <w:pPr>
      <w:spacing w:after="0" w:line="240" w:lineRule="atLeast"/>
      <w:jc w:val="center"/>
    </w:pPr>
    <w:rPr>
      <w:rFonts w:ascii="宋体"/>
      <w:color w:val="000000"/>
      <w:szCs w:val="20"/>
    </w:rPr>
  </w:style>
  <w:style w:type="paragraph" w:customStyle="1" w:styleId="-80">
    <w:name w:val="文-8"/>
    <w:qFormat/>
    <w:pPr>
      <w:tabs>
        <w:tab w:val="right" w:leader="dot" w:pos="8789"/>
      </w:tabs>
      <w:ind w:left="2126"/>
    </w:pPr>
    <w:rPr>
      <w:rFonts w:cs="宋体"/>
    </w:rPr>
  </w:style>
  <w:style w:type="paragraph" w:customStyle="1" w:styleId="-71">
    <w:name w:val="文-7"/>
    <w:basedOn w:val="-50"/>
    <w:qFormat/>
    <w:pPr>
      <w:ind w:left="1701"/>
    </w:pPr>
    <w:rPr>
      <w:color w:val="000000"/>
      <w:w w:val="110"/>
      <w:kern w:val="0"/>
    </w:rPr>
  </w:style>
  <w:style w:type="paragraph" w:customStyle="1" w:styleId="CharCharChar1CharCharCharChar3">
    <w:name w:val="Char Char Char1 Char Char Char Char3"/>
    <w:basedOn w:val="a6"/>
    <w:qFormat/>
  </w:style>
  <w:style w:type="paragraph" w:customStyle="1" w:styleId="bg">
    <w:name w:val="bg正文首行缩进"/>
    <w:basedOn w:val="a6"/>
    <w:qFormat/>
    <w:pPr>
      <w:widowControl/>
      <w:spacing w:line="400" w:lineRule="exact"/>
      <w:ind w:firstLine="482"/>
      <w:jc w:val="left"/>
    </w:pPr>
    <w:rPr>
      <w:rFonts w:ascii="宋体" w:hAnsi="宋体" w:cs="宋体"/>
      <w:kern w:val="0"/>
      <w:sz w:val="24"/>
      <w:szCs w:val="20"/>
    </w:rPr>
  </w:style>
  <w:style w:type="paragraph" w:customStyle="1" w:styleId="xl251">
    <w:name w:val="xl251"/>
    <w:basedOn w:val="a6"/>
    <w:qFormat/>
    <w:pPr>
      <w:widowControl/>
      <w:pBdr>
        <w:top w:val="single" w:sz="4" w:space="0" w:color="auto"/>
        <w:right w:val="single" w:sz="4" w:space="0" w:color="auto"/>
      </w:pBdr>
      <w:spacing w:before="100" w:beforeAutospacing="1" w:after="100" w:afterAutospacing="1"/>
      <w:jc w:val="center"/>
    </w:pPr>
    <w:rPr>
      <w:rFonts w:ascii="宋体" w:hAnsi="宋体" w:cs="宋体"/>
      <w:kern w:val="0"/>
      <w:sz w:val="16"/>
      <w:szCs w:val="16"/>
    </w:rPr>
  </w:style>
  <w:style w:type="paragraph" w:customStyle="1" w:styleId="affffffffffffffffffffffffffffffff9">
    <w:name w:val="其他标准称谓"/>
    <w:qFormat/>
    <w:pPr>
      <w:spacing w:line="0" w:lineRule="atLeast"/>
      <w:jc w:val="distribute"/>
    </w:pPr>
    <w:rPr>
      <w:rFonts w:ascii="黑体" w:eastAsia="黑体" w:hAnsi="宋体"/>
      <w:sz w:val="52"/>
    </w:rPr>
  </w:style>
  <w:style w:type="paragraph" w:customStyle="1" w:styleId="xl237">
    <w:name w:val="xl237"/>
    <w:basedOn w:val="a6"/>
    <w:qFormat/>
    <w:pPr>
      <w:widowControl/>
      <w:pBdr>
        <w:left w:val="single" w:sz="4" w:space="0" w:color="auto"/>
      </w:pBdr>
      <w:spacing w:before="100" w:beforeAutospacing="1" w:after="100" w:afterAutospacing="1"/>
      <w:jc w:val="center"/>
      <w:textAlignment w:val="top"/>
    </w:pPr>
    <w:rPr>
      <w:rFonts w:ascii="黑体" w:eastAsia="黑体" w:hAnsi="宋体" w:cs="宋体"/>
      <w:b/>
      <w:bCs/>
      <w:kern w:val="0"/>
      <w:sz w:val="28"/>
      <w:szCs w:val="28"/>
    </w:rPr>
  </w:style>
  <w:style w:type="paragraph" w:customStyle="1" w:styleId="xl223">
    <w:name w:val="xl223"/>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rPr>
  </w:style>
  <w:style w:type="paragraph" w:customStyle="1" w:styleId="513">
    <w:name w:val="列表接续 51"/>
    <w:basedOn w:val="a6"/>
    <w:qFormat/>
    <w:pPr>
      <w:spacing w:after="120"/>
      <w:ind w:leftChars="1000" w:left="2100"/>
    </w:pPr>
  </w:style>
  <w:style w:type="paragraph" w:customStyle="1" w:styleId="xl87">
    <w:name w:val="xl87"/>
    <w:basedOn w:val="a6"/>
    <w:qFormat/>
    <w:pPr>
      <w:widowControl/>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b/>
      <w:bCs/>
      <w:kern w:val="0"/>
      <w:sz w:val="20"/>
      <w:szCs w:val="20"/>
    </w:rPr>
  </w:style>
  <w:style w:type="paragraph" w:customStyle="1" w:styleId="xl252">
    <w:name w:val="xl252"/>
    <w:basedOn w:val="a6"/>
    <w:qFormat/>
    <w:pPr>
      <w:widowControl/>
      <w:pBdr>
        <w:left w:val="single" w:sz="4" w:space="0" w:color="auto"/>
        <w:bottom w:val="single" w:sz="4" w:space="0" w:color="auto"/>
      </w:pBdr>
      <w:spacing w:before="100" w:beforeAutospacing="1" w:after="100" w:afterAutospacing="1"/>
      <w:jc w:val="center"/>
    </w:pPr>
    <w:rPr>
      <w:rFonts w:ascii="宋体" w:hAnsi="宋体" w:cs="宋体"/>
      <w:kern w:val="0"/>
      <w:sz w:val="16"/>
      <w:szCs w:val="16"/>
    </w:rPr>
  </w:style>
  <w:style w:type="paragraph" w:customStyle="1" w:styleId="12c">
    <w:name w:val="样式 目录 1 + 首行缩进:  2 字符"/>
    <w:basedOn w:val="13"/>
    <w:qFormat/>
    <w:pPr>
      <w:widowControl/>
      <w:tabs>
        <w:tab w:val="right" w:leader="dot" w:pos="8303"/>
      </w:tabs>
      <w:spacing w:before="0" w:after="0" w:line="500" w:lineRule="exact"/>
      <w:jc w:val="both"/>
    </w:pPr>
    <w:rPr>
      <w:rFonts w:ascii="黑体" w:eastAsia="Times New Roman" w:hAnsi="黑体" w:cs="宋体"/>
      <w:caps w:val="0"/>
      <w:kern w:val="0"/>
      <w:sz w:val="28"/>
    </w:rPr>
  </w:style>
  <w:style w:type="paragraph" w:customStyle="1" w:styleId="xl224">
    <w:name w:val="xl224"/>
    <w:basedOn w:val="a6"/>
    <w:qFormat/>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cs="宋体"/>
      <w:kern w:val="0"/>
      <w:sz w:val="20"/>
      <w:szCs w:val="20"/>
    </w:rPr>
  </w:style>
  <w:style w:type="paragraph" w:customStyle="1" w:styleId="affffffffffffffffffffffffffffffffa">
    <w:name w:val="框图内容"/>
    <w:basedOn w:val="a6"/>
    <w:qFormat/>
    <w:pPr>
      <w:jc w:val="center"/>
    </w:pPr>
    <w:rPr>
      <w:rFonts w:ascii="宋体"/>
      <w:lang w:val="en-GB"/>
    </w:rPr>
  </w:style>
  <w:style w:type="paragraph" w:customStyle="1" w:styleId="xl253">
    <w:name w:val="xl253"/>
    <w:basedOn w:val="a6"/>
    <w:qFormat/>
    <w:pPr>
      <w:widowControl/>
      <w:pBdr>
        <w:bottom w:val="single" w:sz="4" w:space="0" w:color="auto"/>
        <w:right w:val="single" w:sz="4" w:space="0" w:color="auto"/>
      </w:pBdr>
      <w:spacing w:before="100" w:beforeAutospacing="1" w:after="100" w:afterAutospacing="1"/>
      <w:jc w:val="center"/>
    </w:pPr>
    <w:rPr>
      <w:rFonts w:ascii="宋体" w:hAnsi="宋体" w:cs="宋体"/>
      <w:kern w:val="0"/>
      <w:sz w:val="16"/>
      <w:szCs w:val="16"/>
    </w:rPr>
  </w:style>
  <w:style w:type="paragraph" w:customStyle="1" w:styleId="xl239">
    <w:name w:val="xl239"/>
    <w:basedOn w:val="a6"/>
    <w:qFormat/>
    <w:pPr>
      <w:widowControl/>
      <w:pBdr>
        <w:right w:val="single" w:sz="4" w:space="0" w:color="auto"/>
      </w:pBdr>
      <w:spacing w:before="100" w:beforeAutospacing="1" w:after="100" w:afterAutospacing="1"/>
      <w:jc w:val="left"/>
      <w:textAlignment w:val="bottom"/>
    </w:pPr>
    <w:rPr>
      <w:rFonts w:ascii="宋体" w:hAnsi="宋体" w:cs="宋体"/>
      <w:kern w:val="0"/>
      <w:sz w:val="24"/>
    </w:rPr>
  </w:style>
  <w:style w:type="paragraph" w:customStyle="1" w:styleId="affffffffffffffffffffffffffffffffb">
    <w:name w:val="项目点符号"/>
    <w:basedOn w:val="a6"/>
    <w:qFormat/>
    <w:pPr>
      <w:spacing w:line="240" w:lineRule="exact"/>
      <w:jc w:val="center"/>
    </w:pPr>
    <w:rPr>
      <w:rFonts w:ascii="宋体" w:hAnsi="宋体"/>
      <w:spacing w:val="-10"/>
      <w:kern w:val="0"/>
      <w:sz w:val="24"/>
      <w:szCs w:val="20"/>
    </w:rPr>
  </w:style>
  <w:style w:type="paragraph" w:customStyle="1" w:styleId="T10">
    <w:name w:val="T1"/>
    <w:basedOn w:val="a6"/>
    <w:next w:val="T20"/>
    <w:qFormat/>
    <w:pPr>
      <w:widowControl/>
      <w:tabs>
        <w:tab w:val="left" w:pos="857"/>
      </w:tabs>
      <w:adjustRightInd w:val="0"/>
      <w:spacing w:before="240" w:line="312" w:lineRule="auto"/>
      <w:ind w:left="857" w:hanging="420"/>
      <w:jc w:val="left"/>
      <w:textAlignment w:val="baseline"/>
    </w:pPr>
    <w:rPr>
      <w:rFonts w:cs="宋体"/>
      <w:b/>
      <w:color w:val="000080"/>
      <w:spacing w:val="16"/>
      <w:kern w:val="20"/>
      <w:sz w:val="30"/>
      <w:szCs w:val="20"/>
    </w:rPr>
  </w:style>
  <w:style w:type="paragraph" w:customStyle="1" w:styleId="affffffffffffffffffffffffffffffffc">
    <w:name w:val="行左"/>
    <w:basedOn w:val="a6"/>
    <w:qFormat/>
    <w:pPr>
      <w:spacing w:line="360" w:lineRule="auto"/>
      <w:ind w:firstLineChars="200" w:firstLine="480"/>
      <w:jc w:val="left"/>
    </w:pPr>
    <w:rPr>
      <w:rFonts w:ascii="仿宋_GB2312" w:eastAsia="仿宋_GB2312" w:hAnsi="宋体"/>
      <w:color w:val="000000"/>
      <w:position w:val="-32"/>
      <w:sz w:val="24"/>
    </w:rPr>
  </w:style>
  <w:style w:type="paragraph" w:customStyle="1" w:styleId="xl255">
    <w:name w:val="xl255"/>
    <w:basedOn w:val="a6"/>
    <w:qFormat/>
    <w:pPr>
      <w:widowControl/>
      <w:pBdr>
        <w:top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241">
    <w:name w:val="xl241"/>
    <w:basedOn w:val="a6"/>
    <w:qFormat/>
    <w:pPr>
      <w:widowControl/>
      <w:pBdr>
        <w:top w:val="single" w:sz="4" w:space="0" w:color="auto"/>
        <w:left w:val="single" w:sz="4" w:space="0" w:color="auto"/>
      </w:pBdr>
      <w:spacing w:before="100" w:beforeAutospacing="1" w:after="100" w:afterAutospacing="1"/>
      <w:jc w:val="center"/>
    </w:pPr>
    <w:rPr>
      <w:rFonts w:ascii="宋体" w:hAnsi="宋体" w:cs="宋体"/>
      <w:kern w:val="0"/>
      <w:sz w:val="18"/>
      <w:szCs w:val="18"/>
    </w:rPr>
  </w:style>
  <w:style w:type="paragraph" w:customStyle="1" w:styleId="xl227">
    <w:name w:val="xl227"/>
    <w:basedOn w:val="a6"/>
    <w:qFormat/>
    <w:pPr>
      <w:widowControl/>
      <w:pBdr>
        <w:top w:val="single" w:sz="4" w:space="0" w:color="auto"/>
        <w:left w:val="single" w:sz="4" w:space="0" w:color="auto"/>
        <w:bottom w:val="single" w:sz="8" w:space="0" w:color="auto"/>
      </w:pBdr>
      <w:shd w:val="clear" w:color="auto" w:fill="FFFF00"/>
      <w:spacing w:before="100" w:beforeAutospacing="1" w:after="100" w:afterAutospacing="1"/>
      <w:jc w:val="center"/>
      <w:textAlignment w:val="center"/>
    </w:pPr>
    <w:rPr>
      <w:rFonts w:cs="宋体"/>
      <w:kern w:val="0"/>
      <w:sz w:val="20"/>
      <w:szCs w:val="20"/>
    </w:rPr>
  </w:style>
  <w:style w:type="paragraph" w:customStyle="1" w:styleId="xxx">
    <w:name w:val="x.x.x"/>
    <w:basedOn w:val="a6"/>
    <w:qFormat/>
    <w:pPr>
      <w:spacing w:line="360" w:lineRule="auto"/>
      <w:ind w:leftChars="400" w:left="840" w:firstLineChars="200" w:firstLine="420"/>
    </w:pPr>
    <w:rPr>
      <w:rFonts w:ascii="宋体" w:hAnsi="宋体"/>
      <w:szCs w:val="21"/>
    </w:rPr>
  </w:style>
  <w:style w:type="paragraph" w:customStyle="1" w:styleId="3fff1">
    <w:name w:val="自定义标题3"/>
    <w:next w:val="a6"/>
    <w:qFormat/>
    <w:pPr>
      <w:numPr>
        <w:ilvl w:val="2"/>
      </w:numPr>
      <w:tabs>
        <w:tab w:val="left" w:pos="840"/>
        <w:tab w:val="left" w:pos="1009"/>
        <w:tab w:val="left" w:pos="1260"/>
      </w:tabs>
      <w:spacing w:before="100"/>
    </w:pPr>
  </w:style>
  <w:style w:type="paragraph" w:customStyle="1" w:styleId="2">
    <w:name w:val="自定义标题2"/>
    <w:next w:val="a6"/>
    <w:qFormat/>
    <w:pPr>
      <w:numPr>
        <w:ilvl w:val="1"/>
        <w:numId w:val="26"/>
      </w:numPr>
      <w:tabs>
        <w:tab w:val="left" w:pos="1009"/>
      </w:tabs>
      <w:spacing w:before="200"/>
    </w:pPr>
    <w:rPr>
      <w:sz w:val="24"/>
    </w:rPr>
  </w:style>
  <w:style w:type="paragraph" w:customStyle="1" w:styleId="1fffffd">
    <w:name w:val="自定义标题1"/>
    <w:next w:val="a6"/>
    <w:qFormat/>
    <w:pPr>
      <w:widowControl w:val="0"/>
      <w:tabs>
        <w:tab w:val="left" w:pos="1009"/>
      </w:tabs>
      <w:adjustRightInd w:val="0"/>
      <w:spacing w:before="400" w:after="120" w:line="320" w:lineRule="exact"/>
      <w:ind w:left="1009" w:hanging="1009"/>
      <w:jc w:val="both"/>
      <w:textAlignment w:val="baseline"/>
    </w:pPr>
    <w:rPr>
      <w:rFonts w:ascii="Arial" w:hAnsi="Arial"/>
      <w:color w:val="0000FF"/>
      <w:sz w:val="28"/>
    </w:rPr>
  </w:style>
  <w:style w:type="paragraph" w:customStyle="1" w:styleId="711">
    <w:name w:val="标题 71"/>
    <w:basedOn w:val="a6"/>
    <w:next w:val="a6"/>
    <w:qFormat/>
    <w:pPr>
      <w:keepNext/>
      <w:keepLines/>
      <w:spacing w:before="240" w:after="64" w:line="317" w:lineRule="auto"/>
      <w:outlineLvl w:val="6"/>
    </w:pPr>
    <w:rPr>
      <w:b/>
      <w:bCs/>
      <w:color w:val="000000"/>
      <w:w w:val="110"/>
      <w:kern w:val="13"/>
      <w:sz w:val="24"/>
    </w:rPr>
  </w:style>
  <w:style w:type="paragraph" w:customStyle="1" w:styleId="xl257">
    <w:name w:val="xl257"/>
    <w:basedOn w:val="a6"/>
    <w:qFormat/>
    <w:pPr>
      <w:widowControl/>
      <w:pBdr>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243">
    <w:name w:val="xl243"/>
    <w:basedOn w:val="a6"/>
    <w:qFormat/>
    <w:pPr>
      <w:widowControl/>
      <w:pBdr>
        <w:left w:val="single" w:sz="4" w:space="0" w:color="auto"/>
        <w:bottom w:val="single" w:sz="4" w:space="0" w:color="auto"/>
      </w:pBdr>
      <w:spacing w:before="100" w:beforeAutospacing="1" w:after="100" w:afterAutospacing="1"/>
      <w:jc w:val="center"/>
    </w:pPr>
    <w:rPr>
      <w:rFonts w:ascii="宋体" w:hAnsi="宋体" w:cs="宋体"/>
      <w:kern w:val="0"/>
      <w:sz w:val="24"/>
    </w:rPr>
  </w:style>
  <w:style w:type="paragraph" w:customStyle="1" w:styleId="xl229">
    <w:name w:val="xl229"/>
    <w:basedOn w:val="a6"/>
    <w:qFormat/>
    <w:pPr>
      <w:widowControl/>
      <w:pBdr>
        <w:top w:val="single" w:sz="4" w:space="0" w:color="auto"/>
        <w:bottom w:val="single" w:sz="8" w:space="0" w:color="auto"/>
        <w:right w:val="single" w:sz="4" w:space="0" w:color="auto"/>
      </w:pBdr>
      <w:shd w:val="clear" w:color="auto" w:fill="FFFF00"/>
      <w:spacing w:before="100" w:beforeAutospacing="1" w:after="100" w:afterAutospacing="1"/>
      <w:jc w:val="center"/>
      <w:textAlignment w:val="center"/>
    </w:pPr>
    <w:rPr>
      <w:rFonts w:cs="宋体"/>
      <w:kern w:val="0"/>
      <w:sz w:val="20"/>
      <w:szCs w:val="20"/>
    </w:rPr>
  </w:style>
  <w:style w:type="paragraph" w:customStyle="1" w:styleId="Charffffffffffd">
    <w:name w:val="我的编辑—正文 Char"/>
    <w:basedOn w:val="a6"/>
    <w:qFormat/>
    <w:pPr>
      <w:spacing w:line="360" w:lineRule="auto"/>
      <w:ind w:firstLineChars="200" w:firstLine="200"/>
    </w:pPr>
    <w:rPr>
      <w:rFonts w:ascii="仿宋_GB2312" w:hAnsi="宋体"/>
      <w:color w:val="000000"/>
      <w:sz w:val="24"/>
      <w:szCs w:val="28"/>
    </w:rPr>
  </w:style>
  <w:style w:type="paragraph" w:customStyle="1" w:styleId="xl258">
    <w:name w:val="xl258"/>
    <w:basedOn w:val="a6"/>
    <w:qFormat/>
    <w:pPr>
      <w:widowControl/>
      <w:pBdr>
        <w:left w:val="single" w:sz="4" w:space="0" w:color="auto"/>
        <w:bottom w:val="single" w:sz="4" w:space="0" w:color="auto"/>
      </w:pBdr>
      <w:spacing w:before="100" w:beforeAutospacing="1" w:after="100" w:afterAutospacing="1"/>
      <w:jc w:val="center"/>
    </w:pPr>
    <w:rPr>
      <w:rFonts w:ascii="宋体" w:hAnsi="宋体" w:cs="宋体"/>
      <w:kern w:val="0"/>
      <w:sz w:val="20"/>
      <w:szCs w:val="20"/>
    </w:rPr>
  </w:style>
  <w:style w:type="paragraph" w:customStyle="1" w:styleId="xl244">
    <w:name w:val="xl244"/>
    <w:basedOn w:val="a6"/>
    <w:qFormat/>
    <w:pPr>
      <w:widowControl/>
      <w:pBdr>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230">
    <w:name w:val="xl230"/>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CharCharCharCharCharCharCharCharCharChar2">
    <w:name w:val="Char Char Char Char Char Char Char Char Char Char2"/>
    <w:basedOn w:val="hb2"/>
    <w:next w:val="a6"/>
    <w:qFormat/>
    <w:pPr>
      <w:adjustRightInd/>
    </w:pPr>
    <w:rPr>
      <w:rFonts w:ascii="宋体" w:hAnsi="宋体"/>
      <w:lang w:val="en-GB"/>
    </w:rPr>
  </w:style>
  <w:style w:type="paragraph" w:customStyle="1" w:styleId="affffffffffffffffffffffffffffffffd">
    <w:name w:val="居中正文"/>
    <w:basedOn w:val="a6"/>
    <w:qFormat/>
    <w:pPr>
      <w:spacing w:line="540" w:lineRule="exact"/>
      <w:ind w:rightChars="-6" w:right="-13" w:firstLineChars="200" w:firstLine="200"/>
      <w:jc w:val="center"/>
    </w:pPr>
    <w:rPr>
      <w:rFonts w:ascii="Calibri" w:eastAsia="仿宋_GB2312" w:hAnsi="Calibri"/>
      <w:color w:val="000000"/>
      <w:w w:val="110"/>
      <w:kern w:val="0"/>
      <w:sz w:val="28"/>
      <w:szCs w:val="20"/>
    </w:rPr>
  </w:style>
  <w:style w:type="paragraph" w:customStyle="1" w:styleId="reader-word-layerreader-word-s1-9reader-word-s1-24">
    <w:name w:val="reader-word-layer reader-word-s1-9 reader-word-s1-24"/>
    <w:basedOn w:val="a6"/>
    <w:qFormat/>
    <w:pPr>
      <w:widowControl/>
      <w:spacing w:before="100" w:beforeAutospacing="1" w:after="100" w:afterAutospacing="1"/>
      <w:jc w:val="left"/>
    </w:pPr>
    <w:rPr>
      <w:rFonts w:ascii="宋体" w:hAnsi="宋体" w:cs="宋体"/>
      <w:kern w:val="0"/>
      <w:sz w:val="24"/>
    </w:rPr>
  </w:style>
  <w:style w:type="paragraph" w:customStyle="1" w:styleId="reader-word-layerreader-word-s1-2">
    <w:name w:val="reader-word-layer reader-word-s1-2"/>
    <w:basedOn w:val="a6"/>
    <w:qFormat/>
    <w:pPr>
      <w:widowControl/>
      <w:spacing w:before="100" w:beforeAutospacing="1" w:after="100" w:afterAutospacing="1"/>
      <w:jc w:val="left"/>
    </w:pPr>
    <w:rPr>
      <w:rFonts w:ascii="宋体" w:hAnsi="宋体" w:cs="宋体"/>
      <w:kern w:val="0"/>
      <w:sz w:val="24"/>
    </w:rPr>
  </w:style>
  <w:style w:type="paragraph" w:customStyle="1" w:styleId="affffffffffffffffffffffffffffffffe">
    <w:name w:val="表头名称"/>
    <w:basedOn w:val="af0"/>
    <w:qFormat/>
    <w:pPr>
      <w:autoSpaceDE w:val="0"/>
      <w:autoSpaceDN w:val="0"/>
      <w:spacing w:line="520" w:lineRule="exact"/>
      <w:ind w:firstLineChars="200" w:firstLine="480"/>
      <w:jc w:val="both"/>
    </w:pPr>
    <w:rPr>
      <w:rFonts w:ascii="黑体" w:eastAsia="黑体"/>
      <w:b/>
      <w:sz w:val="21"/>
      <w:szCs w:val="20"/>
    </w:rPr>
  </w:style>
  <w:style w:type="paragraph" w:customStyle="1" w:styleId="325">
    <w:name w:val="样式 标题 3 + 首行缩进:  2 字符"/>
    <w:basedOn w:val="33"/>
    <w:next w:val="a6"/>
    <w:qFormat/>
    <w:pPr>
      <w:adjustRightInd w:val="0"/>
      <w:snapToGrid w:val="0"/>
      <w:spacing w:after="120"/>
    </w:pPr>
    <w:rPr>
      <w:rFonts w:cs="宋体"/>
      <w:spacing w:val="-6"/>
      <w:szCs w:val="20"/>
    </w:rPr>
  </w:style>
  <w:style w:type="paragraph" w:customStyle="1" w:styleId="New1">
    <w:name w:val="正文 楷体 New"/>
    <w:qFormat/>
    <w:pPr>
      <w:spacing w:line="500" w:lineRule="exact"/>
      <w:ind w:firstLineChars="200" w:firstLine="200"/>
    </w:pPr>
    <w:rPr>
      <w:rFonts w:ascii="楷体_GB2312" w:eastAsia="楷体_GB2312" w:hAnsi="楷体_GB2312"/>
      <w:sz w:val="24"/>
    </w:rPr>
  </w:style>
  <w:style w:type="paragraph" w:customStyle="1" w:styleId="NormalNewNewNewNewNew">
    <w:name w:val="Normal New New New New New"/>
    <w:qFormat/>
    <w:pPr>
      <w:widowControl w:val="0"/>
      <w:jc w:val="both"/>
    </w:pPr>
    <w:rPr>
      <w:rFonts w:hint="eastAsia"/>
      <w:kern w:val="2"/>
      <w:sz w:val="21"/>
    </w:rPr>
  </w:style>
  <w:style w:type="paragraph" w:customStyle="1" w:styleId="fontviewtitle">
    <w:name w:val="font_viewtitle"/>
    <w:basedOn w:val="a6"/>
    <w:qFormat/>
    <w:pPr>
      <w:widowControl/>
      <w:spacing w:before="111" w:after="111"/>
      <w:jc w:val="left"/>
    </w:pPr>
    <w:rPr>
      <w:rFonts w:ascii="宋体" w:hAnsi="宋体" w:cs="宋体"/>
      <w:kern w:val="0"/>
      <w:sz w:val="24"/>
    </w:rPr>
  </w:style>
  <w:style w:type="paragraph" w:customStyle="1" w:styleId="GB231221">
    <w:name w:val="样式 (西文) 仿宋_GB2312 四号 首行缩进:  2 字符"/>
    <w:basedOn w:val="a6"/>
    <w:qFormat/>
    <w:pPr>
      <w:spacing w:line="360" w:lineRule="auto"/>
      <w:ind w:firstLineChars="200" w:firstLine="200"/>
    </w:pPr>
    <w:rPr>
      <w:rFonts w:ascii="仿宋_GB2312" w:hAnsi="Calibri"/>
      <w:sz w:val="24"/>
      <w:szCs w:val="20"/>
    </w:rPr>
  </w:style>
  <w:style w:type="paragraph" w:customStyle="1" w:styleId="afffffffffffffffffffffffffffffffff">
    <w:name w:val="流程图"/>
    <w:basedOn w:val="a6"/>
    <w:qFormat/>
    <w:rPr>
      <w:szCs w:val="18"/>
    </w:rPr>
  </w:style>
  <w:style w:type="paragraph" w:customStyle="1" w:styleId="xl73">
    <w:name w:val="xl73"/>
    <w:basedOn w:val="a6"/>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eastAsia="Arial Unicode MS"/>
      <w:kern w:val="0"/>
      <w:sz w:val="22"/>
      <w:szCs w:val="22"/>
    </w:rPr>
  </w:style>
  <w:style w:type="paragraph" w:customStyle="1" w:styleId="afffffffffffffffffffffffffffffffff0">
    <w:name w:val="正文居中"/>
    <w:basedOn w:val="affc"/>
    <w:qFormat/>
    <w:pPr>
      <w:tabs>
        <w:tab w:val="left" w:pos="1960"/>
        <w:tab w:val="left" w:pos="2380"/>
        <w:tab w:val="left" w:pos="3080"/>
      </w:tabs>
      <w:adjustRightInd w:val="0"/>
      <w:spacing w:before="48" w:line="360" w:lineRule="auto"/>
      <w:ind w:firstLine="464"/>
      <w:textAlignment w:val="baseline"/>
    </w:pPr>
    <w:rPr>
      <w:rFonts w:ascii="Times New Roman"/>
      <w:bCs w:val="0"/>
      <w:color w:val="000000"/>
      <w:spacing w:val="-4"/>
      <w:w w:val="110"/>
      <w:kern w:val="2"/>
      <w:sz w:val="24"/>
      <w:szCs w:val="22"/>
      <w:lang w:val="zh-CN"/>
    </w:rPr>
  </w:style>
  <w:style w:type="paragraph" w:customStyle="1" w:styleId="cm1">
    <w:name w:val="cm1"/>
    <w:basedOn w:val="a6"/>
    <w:qFormat/>
    <w:pPr>
      <w:widowControl/>
      <w:spacing w:before="100" w:beforeAutospacing="1" w:after="100" w:afterAutospacing="1"/>
      <w:jc w:val="left"/>
    </w:pPr>
    <w:rPr>
      <w:rFonts w:ascii="宋体" w:hAnsi="宋体" w:cs="宋体"/>
      <w:kern w:val="0"/>
      <w:sz w:val="24"/>
    </w:rPr>
  </w:style>
  <w:style w:type="paragraph" w:customStyle="1" w:styleId="2fffffb">
    <w:name w:val="样式 四号 首行缩进:  2 字符"/>
    <w:basedOn w:val="a6"/>
    <w:qFormat/>
    <w:pPr>
      <w:spacing w:line="480" w:lineRule="atLeast"/>
      <w:ind w:firstLineChars="200" w:firstLine="200"/>
    </w:pPr>
    <w:rPr>
      <w:sz w:val="24"/>
    </w:rPr>
  </w:style>
  <w:style w:type="paragraph" w:customStyle="1" w:styleId="CharCharCharCharCharCharCharCharCharCharCharChar2">
    <w:name w:val="Char Char Char Char Char Char Char Char Char Char Char Char2"/>
    <w:basedOn w:val="a6"/>
    <w:next w:val="a6"/>
    <w:qFormat/>
    <w:pPr>
      <w:spacing w:line="360" w:lineRule="auto"/>
      <w:ind w:firstLineChars="200" w:firstLine="200"/>
    </w:pPr>
    <w:rPr>
      <w:rFonts w:ascii="宋体" w:hAnsi="宋体" w:cs="宋体"/>
      <w:sz w:val="24"/>
    </w:rPr>
  </w:style>
  <w:style w:type="paragraph" w:customStyle="1" w:styleId="CharCharCharCharCharCharCharCharCharChar">
    <w:name w:val="Char Char Char Char Char Char Char Char Char Char"/>
    <w:basedOn w:val="a6"/>
    <w:qFormat/>
    <w:pPr>
      <w:spacing w:line="240" w:lineRule="exact"/>
      <w:ind w:firstLineChars="200" w:firstLine="200"/>
    </w:pPr>
    <w:rPr>
      <w:rFonts w:ascii="宋体" w:hAnsi="宋体"/>
      <w:kern w:val="0"/>
      <w:sz w:val="24"/>
      <w:szCs w:val="20"/>
    </w:rPr>
  </w:style>
  <w:style w:type="paragraph" w:customStyle="1" w:styleId="2224">
    <w:name w:val="样式 样式 样式 首行缩进:  2 字符 + 首行缩进:  2 字符 + 首行缩进:  2 字符"/>
    <w:basedOn w:val="229"/>
    <w:qFormat/>
    <w:pPr>
      <w:ind w:firstLine="567"/>
    </w:pPr>
  </w:style>
  <w:style w:type="paragraph" w:customStyle="1" w:styleId="2fffffc">
    <w:name w:val="列出段落2"/>
    <w:basedOn w:val="a6"/>
    <w:qFormat/>
    <w:pPr>
      <w:ind w:firstLineChars="200" w:firstLine="420"/>
    </w:pPr>
  </w:style>
  <w:style w:type="paragraph" w:customStyle="1" w:styleId="font11">
    <w:name w:val="font11"/>
    <w:basedOn w:val="a6"/>
    <w:qFormat/>
    <w:pPr>
      <w:widowControl/>
      <w:spacing w:before="100" w:beforeAutospacing="1" w:after="100" w:afterAutospacing="1"/>
      <w:jc w:val="left"/>
    </w:pPr>
    <w:rPr>
      <w:rFonts w:ascii="宋体" w:hAnsi="宋体" w:cs="Arial Unicode MS" w:hint="eastAsia"/>
      <w:kern w:val="0"/>
      <w:sz w:val="24"/>
    </w:rPr>
  </w:style>
  <w:style w:type="paragraph" w:customStyle="1" w:styleId="reader-word-layerreader-word-s39-7">
    <w:name w:val="reader-word-layer reader-word-s39-7"/>
    <w:basedOn w:val="a6"/>
    <w:qFormat/>
    <w:pPr>
      <w:widowControl/>
      <w:spacing w:before="100" w:beforeAutospacing="1" w:after="100" w:afterAutospacing="1"/>
      <w:jc w:val="left"/>
    </w:pPr>
    <w:rPr>
      <w:rFonts w:ascii="宋体" w:hAnsi="宋体" w:cs="宋体"/>
      <w:color w:val="000000"/>
      <w:w w:val="110"/>
      <w:kern w:val="0"/>
      <w:sz w:val="24"/>
    </w:rPr>
  </w:style>
  <w:style w:type="paragraph" w:customStyle="1" w:styleId="afffffffffffffffffffffffffffffffff1">
    <w:name w:val="图例"/>
    <w:basedOn w:val="a6"/>
    <w:qFormat/>
    <w:pPr>
      <w:spacing w:before="240" w:after="120"/>
      <w:jc w:val="center"/>
    </w:pPr>
    <w:rPr>
      <w:rFonts w:eastAsia="楷体_GB2312"/>
      <w:sz w:val="28"/>
    </w:rPr>
  </w:style>
  <w:style w:type="paragraph" w:customStyle="1" w:styleId="1115">
    <w:name w:val="1.1.1"/>
    <w:basedOn w:val="a6"/>
    <w:qFormat/>
    <w:pPr>
      <w:adjustRightInd w:val="0"/>
      <w:snapToGrid w:val="0"/>
      <w:spacing w:beforeLines="15" w:afterLines="15" w:line="360" w:lineRule="auto"/>
      <w:outlineLvl w:val="2"/>
    </w:pPr>
    <w:rPr>
      <w:rFonts w:eastAsia="仿宋_GB2312"/>
      <w:b/>
      <w:sz w:val="28"/>
      <w:szCs w:val="28"/>
    </w:rPr>
  </w:style>
  <w:style w:type="paragraph" w:customStyle="1" w:styleId="3Char8">
    <w:name w:val="标题3+ Char"/>
    <w:basedOn w:val="33"/>
    <w:qFormat/>
    <w:pPr>
      <w:adjustRightInd w:val="0"/>
      <w:spacing w:line="440" w:lineRule="exact"/>
      <w:ind w:firstLineChars="200" w:firstLine="200"/>
    </w:pPr>
    <w:rPr>
      <w:spacing w:val="0"/>
      <w:sz w:val="24"/>
      <w:szCs w:val="32"/>
    </w:rPr>
  </w:style>
  <w:style w:type="paragraph" w:customStyle="1" w:styleId="afffffffffffffffffffffffffffffffff2">
    <w:name w:val="正文格式－表格－中"/>
    <w:basedOn w:val="a6"/>
    <w:qFormat/>
    <w:pPr>
      <w:widowControl/>
      <w:spacing w:line="360" w:lineRule="auto"/>
      <w:jc w:val="center"/>
      <w:textAlignment w:val="center"/>
    </w:pPr>
    <w:rPr>
      <w:rFonts w:cs="宋体"/>
      <w:kern w:val="0"/>
      <w:sz w:val="24"/>
    </w:rPr>
  </w:style>
  <w:style w:type="paragraph" w:customStyle="1" w:styleId="Char120">
    <w:name w:val="Char12"/>
    <w:basedOn w:val="a6"/>
    <w:qFormat/>
    <w:rPr>
      <w:color w:val="000000"/>
      <w:w w:val="110"/>
      <w:kern w:val="0"/>
      <w:sz w:val="24"/>
    </w:rPr>
  </w:style>
  <w:style w:type="paragraph" w:customStyle="1" w:styleId="y">
    <w:name w:val="?y??"/>
    <w:qFormat/>
    <w:pPr>
      <w:widowControl w:val="0"/>
      <w:overflowPunct w:val="0"/>
      <w:autoSpaceDE w:val="0"/>
      <w:autoSpaceDN w:val="0"/>
      <w:adjustRightInd w:val="0"/>
      <w:spacing w:line="425" w:lineRule="atLeast"/>
      <w:jc w:val="both"/>
      <w:textAlignment w:val="baseline"/>
    </w:pPr>
    <w:rPr>
      <w:color w:val="000000"/>
      <w:sz w:val="21"/>
    </w:rPr>
  </w:style>
  <w:style w:type="paragraph" w:customStyle="1" w:styleId="CharCharCharCharCharCharCharCharCharCharChar1CharCharCharCharCharCharChar1">
    <w:name w:val="Char Char Char Char Char Char Char Char Char Char Char1 Char Char Char Char Char Char Char1"/>
    <w:basedOn w:val="a6"/>
    <w:qFormat/>
  </w:style>
  <w:style w:type="paragraph" w:customStyle="1" w:styleId="CharCharCharCharChar2CharCharCharChar1">
    <w:name w:val="Char Char Char Char Char2 Char Char Char Char1"/>
    <w:basedOn w:val="a6"/>
    <w:qFormat/>
    <w:pPr>
      <w:adjustRightInd w:val="0"/>
      <w:snapToGrid w:val="0"/>
      <w:spacing w:line="360" w:lineRule="auto"/>
      <w:ind w:firstLineChars="200" w:firstLine="200"/>
    </w:pPr>
    <w:rPr>
      <w:rFonts w:ascii="宋体" w:hAnsi="宋体" w:cs="宋体"/>
      <w:sz w:val="24"/>
      <w:szCs w:val="26"/>
    </w:rPr>
  </w:style>
  <w:style w:type="paragraph" w:customStyle="1" w:styleId="5ff2">
    <w:name w:val="样式 标题5 国寰 + 黑体"/>
    <w:basedOn w:val="4f9"/>
    <w:qFormat/>
    <w:pPr>
      <w:outlineLvl w:val="4"/>
    </w:pPr>
    <w:rPr>
      <w:rFonts w:ascii="黑体" w:eastAsia="黑体" w:hAnsi="黑体"/>
      <w:bCs w:val="0"/>
    </w:rPr>
  </w:style>
  <w:style w:type="paragraph" w:customStyle="1" w:styleId="afffffffffffffffffffffffffffffffff3">
    <w:name w:val="正文(齐头)"/>
    <w:basedOn w:val="a6"/>
    <w:qFormat/>
    <w:pPr>
      <w:widowControl/>
      <w:adjustRightInd w:val="0"/>
      <w:spacing w:after="180" w:line="320" w:lineRule="exact"/>
      <w:ind w:left="1009" w:hanging="1009"/>
      <w:jc w:val="left"/>
      <w:textAlignment w:val="bottom"/>
    </w:pPr>
    <w:rPr>
      <w:rFonts w:ascii="Arial" w:hAnsi="Arial" w:cs="宋体"/>
      <w:kern w:val="0"/>
      <w:sz w:val="24"/>
      <w:szCs w:val="20"/>
    </w:rPr>
  </w:style>
  <w:style w:type="paragraph" w:customStyle="1" w:styleId="1fffffe">
    <w:name w:val="修订1"/>
    <w:qFormat/>
    <w:rPr>
      <w:kern w:val="2"/>
      <w:sz w:val="21"/>
      <w:szCs w:val="24"/>
    </w:rPr>
  </w:style>
  <w:style w:type="paragraph" w:customStyle="1" w:styleId="B4">
    <w:name w:val="B4"/>
    <w:basedOn w:val="33"/>
    <w:qFormat/>
    <w:pPr>
      <w:tabs>
        <w:tab w:val="left" w:pos="420"/>
        <w:tab w:val="left" w:pos="1260"/>
      </w:tabs>
      <w:adjustRightInd w:val="0"/>
      <w:spacing w:line="360" w:lineRule="auto"/>
      <w:ind w:left="1260" w:hanging="690"/>
    </w:pPr>
    <w:rPr>
      <w:rFonts w:eastAsia="宋体"/>
      <w:b/>
      <w:bCs/>
      <w:spacing w:val="10"/>
      <w:kern w:val="24"/>
      <w:szCs w:val="20"/>
    </w:rPr>
  </w:style>
  <w:style w:type="paragraph" w:customStyle="1" w:styleId="2fffffd">
    <w:name w:val="标2正文项"/>
    <w:basedOn w:val="a6"/>
    <w:qFormat/>
    <w:pPr>
      <w:tabs>
        <w:tab w:val="left" w:pos="450"/>
      </w:tabs>
      <w:spacing w:line="360" w:lineRule="auto"/>
      <w:ind w:left="425" w:firstLine="425"/>
      <w:jc w:val="left"/>
    </w:pPr>
    <w:rPr>
      <w:kern w:val="0"/>
      <w:sz w:val="24"/>
      <w:szCs w:val="20"/>
    </w:rPr>
  </w:style>
  <w:style w:type="paragraph" w:customStyle="1" w:styleId="CM71">
    <w:name w:val="CM71"/>
    <w:basedOn w:val="Default"/>
    <w:next w:val="Default"/>
    <w:uiPriority w:val="99"/>
    <w:qFormat/>
    <w:rPr>
      <w:rFonts w:ascii="黑体" w:eastAsia="黑体" w:hAnsi="Calibri"/>
      <w:color w:val="auto"/>
    </w:rPr>
  </w:style>
  <w:style w:type="paragraph" w:customStyle="1" w:styleId="CM7">
    <w:name w:val="CM7"/>
    <w:basedOn w:val="Default"/>
    <w:next w:val="Default"/>
    <w:qFormat/>
    <w:pPr>
      <w:spacing w:line="436" w:lineRule="atLeast"/>
    </w:pPr>
    <w:rPr>
      <w:rFonts w:eastAsia="Times New Roman"/>
      <w:color w:val="auto"/>
      <w:sz w:val="20"/>
    </w:rPr>
  </w:style>
  <w:style w:type="paragraph" w:customStyle="1" w:styleId="CharCharChar1Char">
    <w:name w:val="Char Char Char1 Char"/>
    <w:basedOn w:val="a6"/>
    <w:qFormat/>
    <w:rPr>
      <w:szCs w:val="20"/>
    </w:rPr>
  </w:style>
  <w:style w:type="paragraph" w:customStyle="1" w:styleId="CM69">
    <w:name w:val="CM69"/>
    <w:basedOn w:val="Default"/>
    <w:next w:val="Default"/>
    <w:qFormat/>
    <w:rPr>
      <w:rFonts w:ascii="黑体" w:eastAsia="黑体" w:hAnsi="Calibri"/>
      <w:color w:val="auto"/>
    </w:rPr>
  </w:style>
  <w:style w:type="paragraph" w:customStyle="1" w:styleId="afffffffffffffffffffffffffffffffff4">
    <w:name w:val="表内式样"/>
    <w:qFormat/>
    <w:pPr>
      <w:widowControl w:val="0"/>
      <w:adjustRightInd w:val="0"/>
      <w:spacing w:line="320" w:lineRule="exact"/>
      <w:jc w:val="center"/>
      <w:textAlignment w:val="baseline"/>
    </w:pPr>
    <w:rPr>
      <w:w w:val="80"/>
      <w:sz w:val="21"/>
    </w:rPr>
  </w:style>
  <w:style w:type="paragraph" w:customStyle="1" w:styleId="afffffffffffffffffffffffffffffffff5">
    <w:name w:val="图标标题"/>
    <w:basedOn w:val="a6"/>
    <w:qFormat/>
    <w:pPr>
      <w:adjustRightInd w:val="0"/>
      <w:snapToGrid w:val="0"/>
      <w:spacing w:line="360" w:lineRule="auto"/>
      <w:jc w:val="center"/>
    </w:pPr>
    <w:rPr>
      <w:rFonts w:ascii="黑体" w:eastAsia="黑体"/>
      <w:sz w:val="28"/>
      <w:szCs w:val="28"/>
    </w:rPr>
  </w:style>
  <w:style w:type="paragraph" w:customStyle="1" w:styleId="162">
    <w:name w:val="16"/>
    <w:basedOn w:val="a6"/>
    <w:qFormat/>
  </w:style>
  <w:style w:type="paragraph" w:customStyle="1" w:styleId="CharCharChar2CharCharCharCharCharCharCharCharCharChar">
    <w:name w:val="Char Char Char2 Char Char Char Char Char Char Char Char Char Char"/>
    <w:basedOn w:val="a6"/>
    <w:qFormat/>
  </w:style>
  <w:style w:type="paragraph" w:customStyle="1" w:styleId="Style129">
    <w:name w:val="_Style 129"/>
    <w:basedOn w:val="a6"/>
    <w:qFormat/>
  </w:style>
  <w:style w:type="paragraph" w:customStyle="1" w:styleId="3H3BHead111h3level3PIM3Level3HeadHeading">
    <w:name w:val="样式 标题 3H3B Head条标题1.1.1h3level_3PIM 3Level 3 HeadHeading..."/>
    <w:basedOn w:val="33"/>
    <w:qFormat/>
    <w:pPr>
      <w:numPr>
        <w:numId w:val="27"/>
      </w:numPr>
      <w:tabs>
        <w:tab w:val="left" w:pos="1070"/>
      </w:tabs>
      <w:adjustRightInd w:val="0"/>
      <w:spacing w:before="156"/>
    </w:pPr>
    <w:rPr>
      <w:rFonts w:hAnsi="黑体" w:cs="宋体"/>
      <w:b/>
      <w:spacing w:val="0"/>
      <w:sz w:val="24"/>
      <w:szCs w:val="20"/>
    </w:rPr>
  </w:style>
  <w:style w:type="paragraph" w:customStyle="1" w:styleId="CharCharChar2CharCharCharCharCharCharCharCharCharChar3">
    <w:name w:val="Char Char Char2 Char Char Char Char Char Char Char Char Char Char3"/>
    <w:basedOn w:val="a6"/>
    <w:qFormat/>
  </w:style>
  <w:style w:type="paragraph" w:customStyle="1" w:styleId="HTML19">
    <w:name w:val="HTML 地址1"/>
    <w:basedOn w:val="a6"/>
    <w:qFormat/>
    <w:rPr>
      <w:i/>
      <w:iCs/>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6"/>
    <w:qFormat/>
    <w:pPr>
      <w:widowControl/>
      <w:spacing w:after="160" w:line="240" w:lineRule="exact"/>
      <w:jc w:val="left"/>
    </w:pPr>
  </w:style>
  <w:style w:type="paragraph" w:customStyle="1" w:styleId="3203528">
    <w:name w:val="样式 样式 标题 3 + 首行缩进:  2 字符 + 首行缩进:  0.35 厘米 行距: 固定值 28 磅"/>
    <w:basedOn w:val="a6"/>
    <w:qFormat/>
    <w:pPr>
      <w:keepNext/>
      <w:keepLines/>
      <w:widowControl/>
      <w:spacing w:line="560" w:lineRule="exact"/>
      <w:jc w:val="left"/>
      <w:outlineLvl w:val="2"/>
    </w:pPr>
    <w:rPr>
      <w:rFonts w:ascii="宋体" w:hAnsi="宋体" w:cs="宋体"/>
      <w:b/>
      <w:bCs/>
      <w:kern w:val="0"/>
      <w:sz w:val="28"/>
      <w:szCs w:val="28"/>
    </w:rPr>
  </w:style>
  <w:style w:type="paragraph" w:customStyle="1" w:styleId="11f7">
    <w:name w:val="（11）标题"/>
    <w:basedOn w:val="a6"/>
    <w:qFormat/>
    <w:pPr>
      <w:widowControl/>
      <w:ind w:firstLineChars="192" w:firstLine="538"/>
      <w:jc w:val="left"/>
    </w:pPr>
    <w:rPr>
      <w:rFonts w:ascii="宋体" w:hAnsi="宋体" w:cs="宋体"/>
      <w:kern w:val="0"/>
      <w:sz w:val="28"/>
      <w:szCs w:val="20"/>
    </w:rPr>
  </w:style>
  <w:style w:type="paragraph" w:customStyle="1" w:styleId="afffffffffffffffffffffffffffffffff6">
    <w:name w:val="正文仿宋小四"/>
    <w:basedOn w:val="a6"/>
    <w:qFormat/>
    <w:pPr>
      <w:adjustRightInd w:val="0"/>
      <w:snapToGrid w:val="0"/>
      <w:spacing w:line="360" w:lineRule="auto"/>
      <w:ind w:firstLineChars="200" w:firstLine="480"/>
    </w:pPr>
    <w:rPr>
      <w:rFonts w:eastAsia="仿宋_GB2312"/>
      <w:color w:val="000000"/>
      <w:w w:val="110"/>
      <w:kern w:val="0"/>
      <w:sz w:val="24"/>
    </w:rPr>
  </w:style>
  <w:style w:type="paragraph" w:customStyle="1" w:styleId="CharCharCharCharCharCharChar5">
    <w:name w:val="Char Char Char Char Char Char Char5"/>
    <w:basedOn w:val="a6"/>
    <w:qFormat/>
  </w:style>
  <w:style w:type="paragraph" w:customStyle="1" w:styleId="CharCharChar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 Char Char Char1"/>
    <w:basedOn w:val="a6"/>
    <w:qFormat/>
  </w:style>
  <w:style w:type="paragraph" w:customStyle="1" w:styleId="M">
    <w:name w:val="M"/>
    <w:basedOn w:val="12"/>
    <w:qFormat/>
    <w:pPr>
      <w:keepNext w:val="0"/>
      <w:keepLines w:val="0"/>
      <w:widowControl/>
      <w:tabs>
        <w:tab w:val="left" w:pos="2260"/>
        <w:tab w:val="left" w:pos="2820"/>
        <w:tab w:val="left" w:pos="3420"/>
      </w:tabs>
      <w:adjustRightInd w:val="0"/>
      <w:snapToGrid w:val="0"/>
      <w:spacing w:beforeLines="100" w:before="0" w:afterLines="100" w:after="0" w:line="520" w:lineRule="exact"/>
      <w:ind w:left="851" w:right="-28" w:hanging="851"/>
    </w:pPr>
    <w:rPr>
      <w:rFonts w:ascii="Arial" w:hAnsi="Arial"/>
      <w:bCs w:val="0"/>
      <w:kern w:val="2"/>
      <w:sz w:val="22"/>
      <w:szCs w:val="20"/>
      <w:lang w:val="en-GB"/>
    </w:rPr>
  </w:style>
  <w:style w:type="paragraph" w:customStyle="1" w:styleId="2Charf6">
    <w:name w:val="样式2 Char"/>
    <w:basedOn w:val="af0"/>
    <w:qFormat/>
    <w:pPr>
      <w:widowControl/>
      <w:snapToGrid w:val="0"/>
      <w:ind w:firstLine="567"/>
      <w:jc w:val="both"/>
    </w:pPr>
    <w:rPr>
      <w:rFonts w:ascii="Times New Roman" w:hAnsi="Times New Roman"/>
      <w:snapToGrid w:val="0"/>
      <w:szCs w:val="24"/>
    </w:rPr>
  </w:style>
  <w:style w:type="paragraph" w:customStyle="1" w:styleId="afffffffffffffffffffffffffffffffff7">
    <w:name w:val="样式 图号 + 宋体"/>
    <w:basedOn w:val="affffffb"/>
    <w:qFormat/>
  </w:style>
  <w:style w:type="paragraph" w:customStyle="1" w:styleId="CharCharChar110">
    <w:name w:val="Char Char Char11"/>
    <w:basedOn w:val="a6"/>
    <w:qFormat/>
    <w:rPr>
      <w:sz w:val="30"/>
    </w:rPr>
  </w:style>
  <w:style w:type="paragraph" w:customStyle="1" w:styleId="f14">
    <w:name w:val="f14"/>
    <w:basedOn w:val="a6"/>
    <w:qFormat/>
    <w:pPr>
      <w:widowControl/>
      <w:spacing w:before="100" w:beforeAutospacing="1" w:after="100" w:afterAutospacing="1" w:line="312" w:lineRule="auto"/>
      <w:jc w:val="left"/>
    </w:pPr>
    <w:rPr>
      <w:rFonts w:ascii="宋体" w:hAnsi="宋体" w:cs="宋体"/>
      <w:kern w:val="0"/>
      <w:szCs w:val="21"/>
    </w:rPr>
  </w:style>
  <w:style w:type="paragraph" w:customStyle="1" w:styleId="reader-word-layerreader-word-s39-6reader-word-s39-10">
    <w:name w:val="reader-word-layer reader-word-s39-6 reader-word-s39-10"/>
    <w:basedOn w:val="a6"/>
    <w:qFormat/>
    <w:pPr>
      <w:widowControl/>
      <w:spacing w:before="100" w:beforeAutospacing="1" w:after="100" w:afterAutospacing="1"/>
      <w:jc w:val="left"/>
    </w:pPr>
    <w:rPr>
      <w:rFonts w:ascii="宋体" w:hAnsi="宋体" w:cs="宋体"/>
      <w:color w:val="000000"/>
      <w:w w:val="110"/>
      <w:kern w:val="0"/>
      <w:sz w:val="24"/>
    </w:rPr>
  </w:style>
  <w:style w:type="paragraph" w:customStyle="1" w:styleId="Text0">
    <w:name w:val="Text"/>
    <w:qFormat/>
    <w:pPr>
      <w:spacing w:before="120" w:line="360" w:lineRule="auto"/>
      <w:ind w:left="1100" w:right="567"/>
      <w:jc w:val="both"/>
    </w:pPr>
    <w:rPr>
      <w:rFonts w:ascii="Arial" w:hAnsi="Arial"/>
    </w:rPr>
  </w:style>
  <w:style w:type="paragraph" w:customStyle="1" w:styleId="1ffffff">
    <w:name w:val="文本块1"/>
    <w:basedOn w:val="a6"/>
    <w:qFormat/>
    <w:pPr>
      <w:ind w:left="525" w:right="651"/>
      <w:jc w:val="left"/>
    </w:pPr>
    <w:rPr>
      <w:rFonts w:eastAsia="仿宋_GB2312"/>
      <w:sz w:val="32"/>
      <w:szCs w:val="20"/>
    </w:rPr>
  </w:style>
  <w:style w:type="paragraph" w:customStyle="1" w:styleId="reader-word-layerreader-word-s1-18">
    <w:name w:val="reader-word-layer reader-word-s1-18"/>
    <w:basedOn w:val="a6"/>
    <w:qFormat/>
    <w:pPr>
      <w:widowControl/>
      <w:spacing w:before="100" w:beforeAutospacing="1" w:after="100" w:afterAutospacing="1"/>
      <w:jc w:val="left"/>
    </w:pPr>
    <w:rPr>
      <w:rFonts w:ascii="宋体" w:hAnsi="宋体" w:cs="宋体"/>
      <w:kern w:val="0"/>
      <w:sz w:val="24"/>
    </w:rPr>
  </w:style>
  <w:style w:type="paragraph" w:customStyle="1" w:styleId="reader-word-layerreader-word-s10-8">
    <w:name w:val="reader-word-layer reader-word-s10-8"/>
    <w:basedOn w:val="a6"/>
    <w:qFormat/>
    <w:pPr>
      <w:widowControl/>
      <w:spacing w:before="100" w:beforeAutospacing="1" w:after="100" w:afterAutospacing="1"/>
      <w:jc w:val="left"/>
    </w:pPr>
    <w:rPr>
      <w:rFonts w:ascii="宋体" w:hAnsi="宋体" w:cs="宋体"/>
      <w:color w:val="000000"/>
      <w:w w:val="110"/>
      <w:kern w:val="0"/>
      <w:sz w:val="24"/>
    </w:rPr>
  </w:style>
  <w:style w:type="paragraph" w:customStyle="1" w:styleId="037037">
    <w:name w:val="样式 正文缩进 + 左侧:  0.37 厘米 右侧:  0.37 厘米"/>
    <w:basedOn w:val="a6"/>
    <w:next w:val="a6"/>
    <w:qFormat/>
    <w:pPr>
      <w:autoSpaceDE w:val="0"/>
      <w:autoSpaceDN w:val="0"/>
      <w:adjustRightInd w:val="0"/>
      <w:jc w:val="left"/>
    </w:pPr>
    <w:rPr>
      <w:rFonts w:ascii="黑体" w:eastAsia="黑体" w:hAnsi="Calibri"/>
      <w:color w:val="000000"/>
      <w:w w:val="110"/>
      <w:kern w:val="0"/>
      <w:sz w:val="24"/>
    </w:rPr>
  </w:style>
  <w:style w:type="paragraph" w:customStyle="1" w:styleId="yypGB2312">
    <w:name w:val="样式 yyp + (西文) 宋体 (中文) 楷体_GB2312 四号 加粗"/>
    <w:basedOn w:val="yyp"/>
    <w:qFormat/>
    <w:rPr>
      <w:rFonts w:ascii="宋体" w:eastAsia="楷体_GB2312" w:hAnsi="宋体" w:cs="Times New Roman"/>
      <w:bCs/>
      <w:kern w:val="2"/>
      <w:sz w:val="28"/>
      <w:szCs w:val="24"/>
      <w:lang w:bidi="ar-SA"/>
    </w:rPr>
  </w:style>
  <w:style w:type="paragraph" w:customStyle="1" w:styleId="afffffffffffffffffffffffffffffffff8">
    <w:name w:val="正文（五家渠）"/>
    <w:basedOn w:val="a6"/>
    <w:qFormat/>
    <w:pPr>
      <w:spacing w:line="360" w:lineRule="auto"/>
      <w:ind w:firstLineChars="200" w:firstLine="560"/>
    </w:pPr>
    <w:rPr>
      <w:sz w:val="24"/>
      <w:szCs w:val="20"/>
    </w:rPr>
  </w:style>
  <w:style w:type="paragraph" w:customStyle="1" w:styleId="reader-word-layerreader-word-s4-30">
    <w:name w:val="reader-word-layer reader-word-s4-30"/>
    <w:basedOn w:val="a6"/>
    <w:qFormat/>
    <w:pPr>
      <w:widowControl/>
      <w:spacing w:before="100" w:beforeAutospacing="1" w:after="100" w:afterAutospacing="1"/>
      <w:jc w:val="left"/>
    </w:pPr>
    <w:rPr>
      <w:rFonts w:ascii="宋体" w:hAnsi="宋体" w:cs="宋体"/>
      <w:kern w:val="0"/>
      <w:sz w:val="24"/>
    </w:rPr>
  </w:style>
  <w:style w:type="paragraph" w:customStyle="1" w:styleId="reader-word-layerreader-word-s1-8">
    <w:name w:val="reader-word-layer reader-word-s1-8"/>
    <w:basedOn w:val="a6"/>
    <w:qFormat/>
    <w:pPr>
      <w:widowControl/>
      <w:spacing w:before="100" w:beforeAutospacing="1" w:after="100" w:afterAutospacing="1"/>
      <w:jc w:val="left"/>
    </w:pPr>
    <w:rPr>
      <w:rFonts w:ascii="宋体" w:hAnsi="宋体" w:cs="宋体"/>
      <w:kern w:val="0"/>
      <w:sz w:val="24"/>
    </w:rPr>
  </w:style>
  <w:style w:type="paragraph" w:customStyle="1" w:styleId="3style3h3H3sect1233CharCharsect1231sect12">
    <w:name w:val="样式 标题 3style3h3H3sect1.2.3标题 3 Char Charsect1.2.31sect1.2..."/>
    <w:basedOn w:val="33"/>
    <w:qFormat/>
    <w:pPr>
      <w:adjustRightInd w:val="0"/>
      <w:spacing w:after="120" w:line="413" w:lineRule="auto"/>
      <w:ind w:firstLineChars="200" w:firstLine="200"/>
    </w:pPr>
    <w:rPr>
      <w:rFonts w:eastAsia="宋体" w:cs="宋体"/>
      <w:b/>
      <w:spacing w:val="0"/>
      <w:szCs w:val="20"/>
    </w:rPr>
  </w:style>
  <w:style w:type="paragraph" w:customStyle="1" w:styleId="2fffffe">
    <w:name w:val="样式 标题 2 + 宋体"/>
    <w:basedOn w:val="22"/>
    <w:qFormat/>
    <w:pPr>
      <w:spacing w:afterLines="50"/>
    </w:pPr>
    <w:rPr>
      <w:spacing w:val="0"/>
      <w:w w:val="100"/>
      <w:kern w:val="2"/>
      <w:szCs w:val="32"/>
    </w:rPr>
  </w:style>
  <w:style w:type="paragraph" w:customStyle="1" w:styleId="2510">
    <w:name w:val="样式 表格 + 左  25 字符1"/>
    <w:basedOn w:val="afc"/>
    <w:qFormat/>
    <w:pPr>
      <w:widowControl/>
      <w:spacing w:line="240" w:lineRule="auto"/>
      <w:ind w:firstLineChars="0" w:firstLine="0"/>
      <w:jc w:val="center"/>
    </w:pPr>
    <w:rPr>
      <w:rFonts w:ascii="Times New Roman" w:eastAsia="宋体" w:hAnsi="宋体" w:cs="宋体"/>
      <w:color w:val="auto"/>
      <w:spacing w:val="0"/>
      <w:kern w:val="0"/>
      <w:sz w:val="18"/>
      <w:szCs w:val="20"/>
    </w:rPr>
  </w:style>
  <w:style w:type="paragraph" w:customStyle="1" w:styleId="3fff2">
    <w:name w:val="3级别标题王"/>
    <w:basedOn w:val="a6"/>
    <w:qFormat/>
    <w:pPr>
      <w:keepNext/>
      <w:keepLines/>
      <w:spacing w:line="440" w:lineRule="exact"/>
      <w:jc w:val="left"/>
    </w:pPr>
    <w:rPr>
      <w:b/>
      <w:kern w:val="0"/>
      <w:sz w:val="24"/>
    </w:rPr>
  </w:style>
  <w:style w:type="paragraph" w:customStyle="1" w:styleId="3fff3">
    <w:name w:val="页脚3"/>
    <w:basedOn w:val="4fd"/>
    <w:qFormat/>
    <w:pPr>
      <w:tabs>
        <w:tab w:val="center" w:pos="4153"/>
        <w:tab w:val="right" w:pos="8306"/>
      </w:tabs>
      <w:spacing w:line="240" w:lineRule="atLeast"/>
    </w:pPr>
    <w:rPr>
      <w:sz w:val="18"/>
    </w:rPr>
  </w:style>
  <w:style w:type="paragraph" w:customStyle="1" w:styleId="201">
    <w:name w:val="样式 行距: 最小值 20 磅"/>
    <w:basedOn w:val="a6"/>
    <w:next w:val="af8"/>
    <w:qFormat/>
    <w:pPr>
      <w:adjustRightInd w:val="0"/>
      <w:spacing w:line="400" w:lineRule="atLeast"/>
      <w:ind w:firstLineChars="200" w:firstLine="200"/>
      <w:jc w:val="left"/>
      <w:textAlignment w:val="baseline"/>
    </w:pPr>
    <w:rPr>
      <w:rFonts w:eastAsia="汉鼎简书宋"/>
      <w:kern w:val="0"/>
      <w:sz w:val="24"/>
    </w:rPr>
  </w:style>
  <w:style w:type="paragraph" w:customStyle="1" w:styleId="afffffffffffffffffffffffffffffffff9">
    <w:name w:val="表（左对齐）"/>
    <w:basedOn w:val="a6"/>
    <w:qFormat/>
    <w:pPr>
      <w:ind w:leftChars="-20" w:left="-20" w:hangingChars="20" w:hanging="42"/>
      <w:jc w:val="center"/>
    </w:pPr>
  </w:style>
  <w:style w:type="paragraph" w:customStyle="1" w:styleId="font6">
    <w:name w:val="font6"/>
    <w:basedOn w:val="a6"/>
    <w:qFormat/>
    <w:pPr>
      <w:widowControl/>
      <w:spacing w:before="100" w:beforeAutospacing="1" w:after="100" w:afterAutospacing="1"/>
      <w:jc w:val="left"/>
    </w:pPr>
    <w:rPr>
      <w:rFonts w:ascii="宋体" w:hAnsi="宋体" w:hint="eastAsia"/>
      <w:b/>
      <w:bCs/>
      <w:kern w:val="0"/>
      <w:sz w:val="24"/>
    </w:rPr>
  </w:style>
  <w:style w:type="paragraph" w:customStyle="1" w:styleId="CharCharChar1CharCharChar1">
    <w:name w:val="Char Char Char1 Char Char Char1"/>
    <w:basedOn w:val="a6"/>
    <w:qFormat/>
    <w:rPr>
      <w:szCs w:val="21"/>
    </w:rPr>
  </w:style>
  <w:style w:type="paragraph" w:customStyle="1" w:styleId="CharCharCharCharCharCharCharCharCharCharCharChar">
    <w:name w:val="Char Char Char Char Char Char Char Char Char Char Char Char"/>
    <w:basedOn w:val="a6"/>
    <w:next w:val="a6"/>
    <w:qFormat/>
    <w:pPr>
      <w:spacing w:line="360" w:lineRule="auto"/>
      <w:ind w:firstLineChars="200" w:firstLine="200"/>
    </w:pPr>
    <w:rPr>
      <w:rFonts w:ascii="宋体" w:hAnsi="宋体" w:cs="宋体"/>
      <w:sz w:val="24"/>
    </w:rPr>
  </w:style>
  <w:style w:type="paragraph" w:customStyle="1" w:styleId="3fff4">
    <w:name w:val="标题样式3"/>
    <w:basedOn w:val="33"/>
    <w:qFormat/>
    <w:pPr>
      <w:keepNext w:val="0"/>
      <w:keepLines w:val="0"/>
      <w:adjustRightInd w:val="0"/>
      <w:spacing w:beforeLines="50" w:afterLines="50" w:line="400" w:lineRule="atLeast"/>
      <w:ind w:firstLine="510"/>
    </w:pPr>
    <w:rPr>
      <w:rFonts w:hAnsi="黑体"/>
      <w:bCs/>
      <w:snapToGrid w:val="0"/>
      <w:spacing w:val="0"/>
      <w:szCs w:val="20"/>
    </w:rPr>
  </w:style>
  <w:style w:type="paragraph" w:customStyle="1" w:styleId="CharCharChar1Char5">
    <w:name w:val="Char Char Char1 Char5"/>
    <w:basedOn w:val="a6"/>
    <w:qFormat/>
    <w:rPr>
      <w:szCs w:val="20"/>
    </w:rPr>
  </w:style>
  <w:style w:type="paragraph" w:customStyle="1" w:styleId="afffffffffffffffffffffffffffffffffa">
    <w:name w:val="表内字一"/>
    <w:basedOn w:val="affffffff9"/>
    <w:qFormat/>
    <w:pPr>
      <w:widowControl w:val="0"/>
      <w:spacing w:before="80" w:after="80" w:line="280" w:lineRule="atLeast"/>
      <w:jc w:val="both"/>
    </w:pPr>
    <w:rPr>
      <w:color w:val="FF0000"/>
      <w:kern w:val="2"/>
    </w:rPr>
  </w:style>
  <w:style w:type="paragraph" w:customStyle="1" w:styleId="3111BSH-3W3GB2312">
    <w:name w:val="样式 标题 3条标题1.1.1条标题BSH-3W3 + 仿宋_GB2312 非加粗"/>
    <w:basedOn w:val="33"/>
    <w:qFormat/>
    <w:pPr>
      <w:keepNext w:val="0"/>
      <w:tabs>
        <w:tab w:val="left" w:pos="578"/>
      </w:tabs>
      <w:adjustRightInd w:val="0"/>
      <w:snapToGrid w:val="0"/>
      <w:spacing w:beforeLines="50" w:afterLines="50" w:line="360" w:lineRule="auto"/>
    </w:pPr>
    <w:rPr>
      <w:rFonts w:ascii="仿宋_GB2312" w:eastAsia="仿宋_GB2312" w:hAnsi="仿宋_GB2312" w:cs="Arial Unicode MS"/>
      <w:b/>
      <w:bCs/>
      <w:spacing w:val="0"/>
      <w:szCs w:val="32"/>
    </w:rPr>
  </w:style>
  <w:style w:type="paragraph" w:customStyle="1" w:styleId="CM10">
    <w:name w:val="CM10"/>
    <w:basedOn w:val="Default"/>
    <w:next w:val="Default"/>
    <w:qFormat/>
    <w:pPr>
      <w:spacing w:line="436" w:lineRule="atLeast"/>
    </w:pPr>
    <w:rPr>
      <w:rFonts w:eastAsia="Times New Roman"/>
      <w:color w:val="auto"/>
      <w:sz w:val="20"/>
    </w:rPr>
  </w:style>
  <w:style w:type="paragraph" w:customStyle="1" w:styleId="afffffffffffffffffffffffffffffffffb">
    <w:name w:val="依据文字"/>
    <w:basedOn w:val="2b"/>
    <w:qFormat/>
    <w:pPr>
      <w:tabs>
        <w:tab w:val="left" w:pos="420"/>
        <w:tab w:val="left" w:pos="870"/>
        <w:tab w:val="left" w:pos="3150"/>
      </w:tabs>
      <w:autoSpaceDE w:val="0"/>
      <w:autoSpaceDN w:val="0"/>
      <w:adjustRightInd w:val="0"/>
      <w:spacing w:before="60" w:after="0" w:line="336" w:lineRule="auto"/>
      <w:ind w:leftChars="0" w:left="0" w:firstLineChars="0" w:firstLine="527"/>
      <w:textAlignment w:val="baseline"/>
    </w:pPr>
    <w:rPr>
      <w:color w:val="000000"/>
      <w:w w:val="110"/>
      <w:kern w:val="0"/>
      <w:sz w:val="24"/>
      <w:szCs w:val="20"/>
    </w:rPr>
  </w:style>
  <w:style w:type="paragraph" w:customStyle="1" w:styleId="2ffffff">
    <w:name w:val="样式 表头 + 首行缩进:  2 字符"/>
    <w:basedOn w:val="a6"/>
    <w:qFormat/>
    <w:pPr>
      <w:keepNext/>
      <w:tabs>
        <w:tab w:val="left" w:pos="3319"/>
        <w:tab w:val="left" w:pos="3600"/>
      </w:tabs>
      <w:jc w:val="center"/>
    </w:pPr>
    <w:rPr>
      <w:rFonts w:eastAsia="仿宋_GB2312"/>
      <w:b/>
      <w:bCs/>
      <w:color w:val="000000"/>
      <w:w w:val="110"/>
      <w:kern w:val="0"/>
      <w:sz w:val="24"/>
      <w:szCs w:val="20"/>
    </w:rPr>
  </w:style>
  <w:style w:type="paragraph" w:customStyle="1" w:styleId="content0">
    <w:name w:val="content"/>
    <w:basedOn w:val="a6"/>
    <w:qFormat/>
    <w:pPr>
      <w:widowControl/>
      <w:spacing w:before="100" w:beforeAutospacing="1" w:after="100" w:afterAutospacing="1"/>
      <w:jc w:val="left"/>
    </w:pPr>
    <w:rPr>
      <w:rFonts w:ascii="宋体" w:hAnsi="宋体" w:cs="宋体"/>
      <w:color w:val="000000"/>
      <w:w w:val="110"/>
      <w:kern w:val="0"/>
      <w:sz w:val="22"/>
      <w:szCs w:val="22"/>
    </w:rPr>
  </w:style>
  <w:style w:type="paragraph" w:customStyle="1" w:styleId="12095">
    <w:name w:val="样式 样式 标题 1 + 首行缩进:  2 字符 + 首行缩进:  0.95 厘米"/>
    <w:basedOn w:val="129"/>
    <w:qFormat/>
    <w:pPr>
      <w:keepNext/>
      <w:keepLines/>
      <w:tabs>
        <w:tab w:val="clear" w:pos="1152"/>
        <w:tab w:val="left" w:pos="2629"/>
      </w:tabs>
      <w:snapToGrid w:val="0"/>
      <w:spacing w:beforeLines="0" w:afterLines="0" w:line="300" w:lineRule="auto"/>
      <w:jc w:val="both"/>
    </w:pPr>
    <w:rPr>
      <w:rFonts w:hAnsi="Times New Roman" w:cs="宋体"/>
      <w:bCs/>
      <w:spacing w:val="-6"/>
      <w:kern w:val="44"/>
      <w:sz w:val="32"/>
      <w:szCs w:val="20"/>
    </w:rPr>
  </w:style>
  <w:style w:type="paragraph" w:customStyle="1" w:styleId="CM5">
    <w:name w:val="CM5"/>
    <w:basedOn w:val="Default"/>
    <w:next w:val="Default"/>
    <w:qFormat/>
    <w:pPr>
      <w:spacing w:line="626" w:lineRule="atLeast"/>
    </w:pPr>
    <w:rPr>
      <w:rFonts w:ascii="黑体" w:eastAsia="黑体"/>
      <w:color w:val="auto"/>
    </w:rPr>
  </w:style>
  <w:style w:type="paragraph" w:customStyle="1" w:styleId="CM92">
    <w:name w:val="CM92"/>
    <w:basedOn w:val="Default"/>
    <w:next w:val="Default"/>
    <w:qFormat/>
    <w:pPr>
      <w:spacing w:after="140"/>
    </w:pPr>
    <w:rPr>
      <w:rFonts w:ascii="黑体" w:eastAsia="黑体"/>
      <w:color w:val="auto"/>
    </w:rPr>
  </w:style>
  <w:style w:type="paragraph" w:customStyle="1" w:styleId="CharCharChar1CharCharCharCharCharCharChar6">
    <w:name w:val="Char Char Char1 Char Char Char Char Char Char Char6"/>
    <w:basedOn w:val="a6"/>
    <w:qFormat/>
    <w:rPr>
      <w:kern w:val="0"/>
      <w:sz w:val="24"/>
      <w:szCs w:val="20"/>
    </w:rPr>
  </w:style>
  <w:style w:type="paragraph" w:customStyle="1" w:styleId="5ff3">
    <w:name w:val="正文5"/>
    <w:qFormat/>
    <w:pPr>
      <w:widowControl w:val="0"/>
      <w:adjustRightInd w:val="0"/>
      <w:spacing w:line="312" w:lineRule="atLeast"/>
      <w:jc w:val="both"/>
      <w:textAlignment w:val="baseline"/>
    </w:pPr>
    <w:rPr>
      <w:rFonts w:ascii="宋体"/>
      <w:sz w:val="34"/>
    </w:rPr>
  </w:style>
  <w:style w:type="paragraph" w:customStyle="1" w:styleId="2ffffff0">
    <w:name w:val="环标2"/>
    <w:basedOn w:val="22"/>
    <w:next w:val="3ff9"/>
    <w:qFormat/>
    <w:pPr>
      <w:tabs>
        <w:tab w:val="left" w:pos="1070"/>
      </w:tabs>
      <w:spacing w:before="260" w:after="260" w:line="415" w:lineRule="auto"/>
      <w:ind w:leftChars="400" w:left="1070" w:hangingChars="200" w:hanging="360"/>
    </w:pPr>
    <w:rPr>
      <w:rFonts w:ascii="Cambria" w:hAnsi="Cambria"/>
      <w:spacing w:val="0"/>
      <w:w w:val="100"/>
      <w:kern w:val="2"/>
      <w:szCs w:val="32"/>
    </w:rPr>
  </w:style>
  <w:style w:type="paragraph" w:customStyle="1" w:styleId="afffffffffffffffffffffffffffffffffc">
    <w:name w:val="项目编号"/>
    <w:basedOn w:val="a6"/>
    <w:next w:val="a6"/>
    <w:qFormat/>
    <w:pPr>
      <w:spacing w:before="120" w:after="120" w:line="360" w:lineRule="auto"/>
    </w:pPr>
    <w:rPr>
      <w:sz w:val="24"/>
      <w:szCs w:val="20"/>
    </w:rPr>
  </w:style>
  <w:style w:type="paragraph" w:customStyle="1" w:styleId="afffffffffffffffffffffffffffffffffd">
    <w:name w:val="章章"/>
    <w:basedOn w:val="12"/>
    <w:qFormat/>
    <w:pPr>
      <w:keepNext w:val="0"/>
      <w:keepLines w:val="0"/>
      <w:widowControl/>
      <w:tabs>
        <w:tab w:val="left" w:pos="2629"/>
      </w:tabs>
      <w:spacing w:before="0" w:after="0" w:line="240" w:lineRule="auto"/>
      <w:jc w:val="center"/>
      <w:outlineLvl w:val="9"/>
    </w:pPr>
    <w:rPr>
      <w:rFonts w:ascii="宋体" w:hAnsi="宋体" w:cs="宋体"/>
      <w:b w:val="0"/>
      <w:bCs w:val="0"/>
      <w:kern w:val="2"/>
      <w:sz w:val="28"/>
      <w:szCs w:val="20"/>
    </w:rPr>
  </w:style>
  <w:style w:type="paragraph" w:customStyle="1" w:styleId="afffffffffffffffffffffffffffffffffe">
    <w:name w:val="正文一"/>
    <w:basedOn w:val="a6"/>
    <w:qFormat/>
    <w:pPr>
      <w:widowControl/>
      <w:adjustRightInd w:val="0"/>
      <w:snapToGrid w:val="0"/>
      <w:spacing w:line="480" w:lineRule="atLeast"/>
    </w:pPr>
    <w:rPr>
      <w:rFonts w:ascii="宋体" w:cs="宋体"/>
      <w:spacing w:val="6"/>
      <w:kern w:val="0"/>
      <w:sz w:val="24"/>
    </w:rPr>
  </w:style>
  <w:style w:type="paragraph" w:customStyle="1" w:styleId="xl194">
    <w:name w:val="xl194"/>
    <w:basedOn w:val="a6"/>
    <w:qFormat/>
    <w:pPr>
      <w:widowControl/>
      <w:pBdr>
        <w:top w:val="single" w:sz="4" w:space="0" w:color="auto"/>
        <w:left w:val="single" w:sz="8" w:space="0" w:color="auto"/>
        <w:bottom w:val="single" w:sz="4" w:space="0" w:color="auto"/>
      </w:pBdr>
      <w:spacing w:before="100" w:beforeAutospacing="1" w:after="100" w:afterAutospacing="1"/>
      <w:jc w:val="left"/>
      <w:textAlignment w:val="center"/>
    </w:pPr>
    <w:rPr>
      <w:rFonts w:ascii="宋体" w:hAnsi="宋体" w:cs="宋体"/>
      <w:color w:val="000000"/>
      <w:kern w:val="0"/>
      <w:sz w:val="24"/>
    </w:rPr>
  </w:style>
  <w:style w:type="paragraph" w:customStyle="1" w:styleId="2121">
    <w:name w:val="样式 正文缩进首行缩进文本条款特点表正文2正文非缩进1正文（首行缩进两字）2正文非缩进"/>
    <w:basedOn w:val="af0"/>
    <w:qFormat/>
    <w:pPr>
      <w:widowControl/>
      <w:adjustRightInd/>
      <w:snapToGrid w:val="0"/>
      <w:spacing w:line="440" w:lineRule="exact"/>
      <w:ind w:firstLine="540"/>
      <w:jc w:val="both"/>
      <w:textAlignment w:val="auto"/>
    </w:pPr>
    <w:rPr>
      <w:rFonts w:cs="宋体"/>
      <w:szCs w:val="20"/>
    </w:rPr>
  </w:style>
  <w:style w:type="paragraph" w:customStyle="1" w:styleId="Web4">
    <w:name w:val="普通(Web)4"/>
    <w:basedOn w:val="a6"/>
    <w:qFormat/>
    <w:pPr>
      <w:widowControl/>
      <w:spacing w:before="120" w:line="432" w:lineRule="auto"/>
      <w:ind w:firstLine="360"/>
      <w:jc w:val="left"/>
    </w:pPr>
    <w:rPr>
      <w:rFonts w:ascii="宋体" w:hAnsi="宋体" w:cs="宋体"/>
      <w:color w:val="000000"/>
      <w:w w:val="110"/>
      <w:kern w:val="0"/>
      <w:sz w:val="24"/>
    </w:rPr>
  </w:style>
  <w:style w:type="paragraph" w:customStyle="1" w:styleId="affffffffffffffffffffffffffffffffff">
    <w:name w:val="样式 正文缩进 + 行距: 单倍行距"/>
    <w:basedOn w:val="af0"/>
    <w:qFormat/>
    <w:pPr>
      <w:snapToGrid w:val="0"/>
      <w:spacing w:line="440" w:lineRule="exact"/>
      <w:ind w:firstLine="0"/>
      <w:jc w:val="both"/>
      <w:textAlignment w:val="auto"/>
    </w:pPr>
    <w:rPr>
      <w:rFonts w:ascii="Times New Roman" w:eastAsia="仿宋_GB2312" w:hAnsi="Times New Roman"/>
      <w:kern w:val="2"/>
      <w:sz w:val="28"/>
      <w:szCs w:val="20"/>
    </w:rPr>
  </w:style>
  <w:style w:type="paragraph" w:customStyle="1" w:styleId="xl198">
    <w:name w:val="xl198"/>
    <w:basedOn w:val="a6"/>
    <w:qFormat/>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cs="宋体"/>
      <w:color w:val="000000"/>
      <w:kern w:val="0"/>
      <w:sz w:val="24"/>
    </w:rPr>
  </w:style>
  <w:style w:type="paragraph" w:customStyle="1" w:styleId="xl200">
    <w:name w:val="xl200"/>
    <w:basedOn w:val="a6"/>
    <w:qFormat/>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cs="宋体"/>
      <w:color w:val="000000"/>
      <w:kern w:val="0"/>
      <w:sz w:val="24"/>
    </w:rPr>
  </w:style>
  <w:style w:type="paragraph" w:customStyle="1" w:styleId="CM89">
    <w:name w:val="CM89"/>
    <w:basedOn w:val="Default"/>
    <w:next w:val="Default"/>
    <w:qFormat/>
    <w:pPr>
      <w:spacing w:after="113"/>
    </w:pPr>
    <w:rPr>
      <w:rFonts w:eastAsia="Times New Roman"/>
      <w:color w:val="auto"/>
      <w:sz w:val="20"/>
    </w:rPr>
  </w:style>
  <w:style w:type="paragraph" w:customStyle="1" w:styleId="xl26">
    <w:name w:val="xl26"/>
    <w:basedOn w:val="a6"/>
    <w:qFormat/>
    <w:pPr>
      <w:widowControl/>
      <w:pBdr>
        <w:top w:val="single" w:sz="4" w:space="0" w:color="auto"/>
        <w:left w:val="single" w:sz="4" w:space="0" w:color="auto"/>
        <w:bottom w:val="single" w:sz="4" w:space="0" w:color="auto"/>
      </w:pBdr>
      <w:spacing w:before="100" w:after="100"/>
      <w:jc w:val="center"/>
      <w:textAlignment w:val="center"/>
    </w:pPr>
    <w:rPr>
      <w:rFonts w:ascii="宋体" w:hAnsi="宋体"/>
      <w:kern w:val="0"/>
      <w:szCs w:val="20"/>
    </w:rPr>
  </w:style>
  <w:style w:type="paragraph" w:customStyle="1" w:styleId="CharCharCharChar40">
    <w:name w:val="Char Char Char Char4"/>
    <w:basedOn w:val="a6"/>
    <w:qFormat/>
    <w:pPr>
      <w:widowControl/>
      <w:spacing w:after="160" w:line="240" w:lineRule="exact"/>
      <w:jc w:val="left"/>
    </w:pPr>
    <w:rPr>
      <w:rFonts w:ascii="Verdana" w:hAnsi="Verdana"/>
      <w:kern w:val="0"/>
      <w:sz w:val="20"/>
      <w:szCs w:val="20"/>
      <w:lang w:eastAsia="en-US"/>
    </w:rPr>
  </w:style>
  <w:style w:type="paragraph" w:customStyle="1" w:styleId="affffffffffffffffffffffffffffffffff0">
    <w:name w:val="表格(新)"/>
    <w:basedOn w:val="a6"/>
    <w:qFormat/>
    <w:pPr>
      <w:spacing w:line="240" w:lineRule="atLeast"/>
      <w:jc w:val="center"/>
    </w:pPr>
    <w:rPr>
      <w:rFonts w:ascii="Arial Narrow" w:hAnsi="Arial Narrow"/>
      <w:kern w:val="24"/>
      <w:szCs w:val="21"/>
    </w:rPr>
  </w:style>
  <w:style w:type="paragraph" w:customStyle="1" w:styleId="CharCharCharCharCharCharCharCharCharCharCharCharCharCharCharChar3">
    <w:name w:val="Char Char Char Char Char Char Char Char Char Char Char Char Char Char Char Char3"/>
    <w:basedOn w:val="a6"/>
    <w:qFormat/>
    <w:rPr>
      <w:szCs w:val="21"/>
    </w:rPr>
  </w:style>
  <w:style w:type="paragraph" w:customStyle="1" w:styleId="affffffffffffffffffffffffffffffffff1">
    <w:name w:val="图片居中"/>
    <w:basedOn w:val="affffa"/>
    <w:next w:val="affffa"/>
    <w:qFormat/>
    <w:pPr>
      <w:spacing w:line="240" w:lineRule="auto"/>
      <w:ind w:firstLine="0"/>
      <w:jc w:val="center"/>
    </w:pPr>
    <w:rPr>
      <w:sz w:val="21"/>
    </w:rPr>
  </w:style>
  <w:style w:type="paragraph" w:customStyle="1" w:styleId="xl235">
    <w:name w:val="xl235"/>
    <w:basedOn w:val="a6"/>
    <w:qFormat/>
    <w:pPr>
      <w:widowControl/>
      <w:pBdr>
        <w:left w:val="single" w:sz="4" w:space="0" w:color="auto"/>
        <w:bottom w:val="single" w:sz="4" w:space="0" w:color="auto"/>
      </w:pBdr>
      <w:spacing w:before="100" w:beforeAutospacing="1" w:after="100" w:afterAutospacing="1"/>
      <w:jc w:val="center"/>
    </w:pPr>
    <w:rPr>
      <w:rFonts w:ascii="宋体" w:hAnsi="宋体" w:cs="宋体"/>
      <w:kern w:val="0"/>
      <w:sz w:val="24"/>
    </w:rPr>
  </w:style>
  <w:style w:type="paragraph" w:customStyle="1" w:styleId="CM19">
    <w:name w:val="CM19"/>
    <w:basedOn w:val="Default"/>
    <w:next w:val="Default"/>
    <w:qFormat/>
    <w:pPr>
      <w:spacing w:line="546" w:lineRule="atLeast"/>
    </w:pPr>
    <w:rPr>
      <w:rFonts w:ascii="黑体" w:eastAsia="黑体"/>
      <w:color w:val="auto"/>
    </w:rPr>
  </w:style>
  <w:style w:type="paragraph" w:customStyle="1" w:styleId="xl221">
    <w:name w:val="xl221"/>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4"/>
    </w:rPr>
  </w:style>
  <w:style w:type="paragraph" w:customStyle="1" w:styleId="xl61">
    <w:name w:val="xl61"/>
    <w:basedOn w:val="a6"/>
    <w:qFormat/>
    <w:pPr>
      <w:widowControl/>
      <w:pBdr>
        <w:top w:val="single" w:sz="4" w:space="0" w:color="auto"/>
        <w:left w:val="single" w:sz="8" w:space="0" w:color="auto"/>
        <w:right w:val="single" w:sz="4" w:space="0" w:color="auto"/>
      </w:pBdr>
      <w:spacing w:before="100" w:beforeAutospacing="1" w:after="100" w:afterAutospacing="1"/>
      <w:jc w:val="center"/>
      <w:textAlignment w:val="center"/>
    </w:pPr>
    <w:rPr>
      <w:rFonts w:ascii="宋体" w:eastAsia="Arial Unicode MS"/>
      <w:kern w:val="0"/>
      <w:sz w:val="20"/>
      <w:szCs w:val="20"/>
    </w:rPr>
  </w:style>
  <w:style w:type="paragraph" w:customStyle="1" w:styleId="3fff5">
    <w:name w:val="样式 首行缩进:  3 字符"/>
    <w:basedOn w:val="a6"/>
    <w:qFormat/>
    <w:pPr>
      <w:ind w:firstLineChars="300" w:firstLine="720"/>
    </w:pPr>
    <w:rPr>
      <w:rFonts w:cs="宋体"/>
      <w:sz w:val="24"/>
      <w:szCs w:val="20"/>
    </w:rPr>
  </w:style>
  <w:style w:type="paragraph" w:customStyle="1" w:styleId="NewNew0">
    <w:name w:val="正文 New New"/>
    <w:qFormat/>
    <w:pPr>
      <w:widowControl w:val="0"/>
      <w:jc w:val="both"/>
    </w:pPr>
    <w:rPr>
      <w:kern w:val="2"/>
      <w:sz w:val="21"/>
      <w:szCs w:val="21"/>
    </w:rPr>
  </w:style>
  <w:style w:type="paragraph" w:customStyle="1" w:styleId="30505">
    <w:name w:val="样式 3级 + 段前: 0.5 行 段后: 0.5 行"/>
    <w:basedOn w:val="3ffc"/>
    <w:qFormat/>
    <w:pPr>
      <w:spacing w:beforeLines="0" w:afterLines="0"/>
    </w:pPr>
  </w:style>
  <w:style w:type="paragraph" w:customStyle="1" w:styleId="pa-3">
    <w:name w:val="pa-3"/>
    <w:basedOn w:val="a6"/>
    <w:qFormat/>
    <w:pPr>
      <w:widowControl/>
      <w:spacing w:line="280" w:lineRule="atLeast"/>
      <w:ind w:firstLine="420"/>
    </w:pPr>
    <w:rPr>
      <w:rFonts w:ascii="宋体" w:hAnsi="宋体" w:cs="宋体"/>
      <w:kern w:val="0"/>
      <w:sz w:val="24"/>
    </w:rPr>
  </w:style>
  <w:style w:type="paragraph" w:customStyle="1" w:styleId="CM3">
    <w:name w:val="CM3"/>
    <w:basedOn w:val="Default"/>
    <w:next w:val="Default"/>
    <w:uiPriority w:val="99"/>
    <w:qFormat/>
    <w:pPr>
      <w:spacing w:line="626" w:lineRule="atLeast"/>
    </w:pPr>
    <w:rPr>
      <w:rFonts w:ascii="黑体" w:eastAsia="黑体"/>
      <w:color w:val="auto"/>
    </w:rPr>
  </w:style>
  <w:style w:type="paragraph" w:customStyle="1" w:styleId="CM20">
    <w:name w:val="CM20"/>
    <w:basedOn w:val="Default"/>
    <w:next w:val="Default"/>
    <w:qFormat/>
    <w:pPr>
      <w:spacing w:line="436" w:lineRule="atLeast"/>
    </w:pPr>
    <w:rPr>
      <w:rFonts w:eastAsia="Times New Roman"/>
      <w:color w:val="auto"/>
      <w:sz w:val="20"/>
    </w:rPr>
  </w:style>
  <w:style w:type="paragraph" w:customStyle="1" w:styleId="422222">
    <w:name w:val="样式 样式 样式 标题4 + 加粗 首行缩进:  2.2 字符 + 首行缩进:  2.2 字符 + 首行缩进:  2 字符"/>
    <w:basedOn w:val="a6"/>
    <w:qFormat/>
    <w:pPr>
      <w:adjustRightInd w:val="0"/>
      <w:snapToGrid w:val="0"/>
      <w:spacing w:beforeLines="50" w:line="360" w:lineRule="auto"/>
      <w:ind w:firstLineChars="200" w:firstLine="200"/>
    </w:pPr>
    <w:rPr>
      <w:rFonts w:eastAsia="黑体" w:cs="宋体"/>
      <w:b/>
      <w:bCs/>
      <w:snapToGrid w:val="0"/>
      <w:kern w:val="0"/>
      <w:sz w:val="24"/>
      <w:szCs w:val="20"/>
    </w:rPr>
  </w:style>
  <w:style w:type="paragraph" w:customStyle="1" w:styleId="CharCharChar1Char6">
    <w:name w:val="Char Char Char1 Char6"/>
    <w:basedOn w:val="a6"/>
    <w:qFormat/>
    <w:rPr>
      <w:rFonts w:ascii="宋体"/>
      <w:kern w:val="0"/>
      <w:sz w:val="24"/>
      <w:szCs w:val="20"/>
    </w:rPr>
  </w:style>
  <w:style w:type="paragraph" w:customStyle="1" w:styleId="2ffffff1">
    <w:name w:val="正文文本2"/>
    <w:basedOn w:val="a6"/>
    <w:qFormat/>
    <w:pPr>
      <w:autoSpaceDE w:val="0"/>
      <w:autoSpaceDN w:val="0"/>
      <w:adjustRightInd w:val="0"/>
      <w:snapToGrid w:val="0"/>
      <w:spacing w:line="360" w:lineRule="auto"/>
      <w:ind w:firstLineChars="200" w:firstLine="480"/>
    </w:pPr>
    <w:rPr>
      <w:rFonts w:ascii="宋体"/>
      <w:sz w:val="24"/>
      <w:szCs w:val="20"/>
    </w:rPr>
  </w:style>
  <w:style w:type="paragraph" w:customStyle="1" w:styleId="affffffffffffffffffffffffffffffffff2">
    <w:name w:val="标题符"/>
    <w:basedOn w:val="a6"/>
    <w:qFormat/>
    <w:pPr>
      <w:tabs>
        <w:tab w:val="left" w:pos="360"/>
      </w:tabs>
      <w:overflowPunct w:val="0"/>
      <w:snapToGrid w:val="0"/>
      <w:spacing w:line="480" w:lineRule="exact"/>
      <w:ind w:firstLineChars="200" w:firstLine="560"/>
    </w:pPr>
    <w:rPr>
      <w:rFonts w:ascii="Arial" w:eastAsia="仿宋_GB2312" w:hAnsi="Arial"/>
      <w:sz w:val="28"/>
      <w:szCs w:val="20"/>
    </w:rPr>
  </w:style>
  <w:style w:type="paragraph" w:customStyle="1" w:styleId="12d">
    <w:name w:val="样式 样式1 + 宋体 首行缩进:  2 字符"/>
    <w:basedOn w:val="a6"/>
    <w:qFormat/>
    <w:pPr>
      <w:spacing w:line="180" w:lineRule="atLeast"/>
      <w:ind w:firstLineChars="200" w:firstLine="520"/>
    </w:pPr>
    <w:rPr>
      <w:rFonts w:ascii="宋体" w:hAnsi="宋体"/>
      <w:sz w:val="28"/>
      <w:szCs w:val="28"/>
    </w:rPr>
  </w:style>
  <w:style w:type="paragraph" w:customStyle="1" w:styleId="354">
    <w:name w:val="正文文本缩进 35"/>
    <w:basedOn w:val="a6"/>
    <w:qFormat/>
    <w:pPr>
      <w:tabs>
        <w:tab w:val="left" w:pos="0"/>
      </w:tabs>
      <w:adjustRightInd w:val="0"/>
      <w:spacing w:line="396" w:lineRule="atLeast"/>
      <w:ind w:firstLine="560"/>
      <w:jc w:val="left"/>
      <w:textAlignment w:val="baseline"/>
    </w:pPr>
    <w:rPr>
      <w:rFonts w:ascii="宋体"/>
      <w:kern w:val="0"/>
      <w:sz w:val="24"/>
      <w:szCs w:val="20"/>
    </w:rPr>
  </w:style>
  <w:style w:type="paragraph" w:customStyle="1" w:styleId="CharCharCharCharCharCharCharCharCharCharCharCharCharCharCharChar5">
    <w:name w:val="Char Char Char Char Char Char Char Char Char Char Char Char Char Char Char Char5"/>
    <w:basedOn w:val="a6"/>
    <w:qFormat/>
    <w:rPr>
      <w:szCs w:val="21"/>
    </w:rPr>
  </w:style>
  <w:style w:type="paragraph" w:customStyle="1" w:styleId="reader-word-layer">
    <w:name w:val="reader-word-layer"/>
    <w:basedOn w:val="a6"/>
    <w:qFormat/>
    <w:pPr>
      <w:widowControl/>
      <w:spacing w:before="100" w:beforeAutospacing="1" w:after="100" w:afterAutospacing="1"/>
      <w:jc w:val="left"/>
    </w:pPr>
    <w:rPr>
      <w:rFonts w:ascii="宋体" w:hAnsi="宋体" w:cs="宋体"/>
      <w:kern w:val="0"/>
      <w:sz w:val="24"/>
    </w:rPr>
  </w:style>
  <w:style w:type="paragraph" w:customStyle="1" w:styleId="CharCharCharCharCharChar21">
    <w:name w:val="Char Char Char Char Char Char2"/>
    <w:basedOn w:val="a6"/>
    <w:qFormat/>
    <w:rPr>
      <w:color w:val="000000"/>
      <w:w w:val="110"/>
      <w:kern w:val="0"/>
      <w:sz w:val="24"/>
    </w:rPr>
  </w:style>
  <w:style w:type="paragraph" w:customStyle="1" w:styleId="Retrait1">
    <w:name w:val="Retrait1"/>
    <w:basedOn w:val="a6"/>
    <w:qFormat/>
    <w:pPr>
      <w:widowControl/>
      <w:ind w:left="357"/>
      <w:jc w:val="left"/>
    </w:pPr>
    <w:rPr>
      <w:rFonts w:ascii="Arial" w:eastAsia="Times New Roman" w:hAnsi="Arial"/>
      <w:kern w:val="0"/>
      <w:sz w:val="24"/>
      <w:szCs w:val="20"/>
      <w:lang w:val="fr-FR" w:eastAsia="en-US"/>
    </w:rPr>
  </w:style>
  <w:style w:type="paragraph" w:customStyle="1" w:styleId="CharCharffffff2">
    <w:name w:val="样式 图号 + 宋体 Char Char"/>
    <w:basedOn w:val="affffffb"/>
    <w:qFormat/>
  </w:style>
  <w:style w:type="paragraph" w:customStyle="1" w:styleId="CharCharCharCharCharCharCharCharCharCharCharCharCharCharCharCharCharChar1">
    <w:name w:val="Char Char Char Char Char Char Char Char Char Char Char Char Char Char Char Char Char Char1"/>
    <w:basedOn w:val="a6"/>
    <w:qFormat/>
    <w:pPr>
      <w:widowControl/>
      <w:jc w:val="left"/>
    </w:pPr>
    <w:rPr>
      <w:rFonts w:cs="宋体"/>
      <w:kern w:val="0"/>
      <w:sz w:val="24"/>
    </w:rPr>
  </w:style>
  <w:style w:type="paragraph" w:customStyle="1" w:styleId="CharCharChar1CharCharChar1CharCharChar1CharCharCharChar1">
    <w:name w:val="Char Char Char1 Char Char Char1 Char Char Char1 Char Char Char Char1"/>
    <w:basedOn w:val="a6"/>
    <w:qFormat/>
    <w:pPr>
      <w:widowControl/>
      <w:spacing w:line="240" w:lineRule="exact"/>
      <w:ind w:firstLineChars="200" w:firstLine="200"/>
      <w:jc w:val="left"/>
    </w:pPr>
    <w:rPr>
      <w:rFonts w:cs="宋体"/>
      <w:kern w:val="0"/>
      <w:sz w:val="28"/>
      <w:szCs w:val="28"/>
    </w:rPr>
  </w:style>
  <w:style w:type="paragraph" w:customStyle="1" w:styleId="reader-word-layerreader-word-s1-10">
    <w:name w:val="reader-word-layer reader-word-s1-10"/>
    <w:basedOn w:val="a6"/>
    <w:qFormat/>
    <w:pPr>
      <w:widowControl/>
      <w:spacing w:before="100" w:beforeAutospacing="1" w:after="100" w:afterAutospacing="1"/>
      <w:jc w:val="left"/>
    </w:pPr>
    <w:rPr>
      <w:rFonts w:ascii="宋体" w:hAnsi="宋体" w:cs="宋体"/>
      <w:kern w:val="0"/>
      <w:sz w:val="24"/>
    </w:rPr>
  </w:style>
  <w:style w:type="paragraph" w:customStyle="1" w:styleId="1ffffff0">
    <w:name w:val="样式1 + 加粗"/>
    <w:basedOn w:val="1e"/>
    <w:qFormat/>
    <w:pPr>
      <w:adjustRightInd/>
      <w:snapToGrid/>
      <w:spacing w:beforeLines="0" w:before="0" w:afterLines="0" w:after="0" w:line="336" w:lineRule="auto"/>
      <w:ind w:firstLineChars="0" w:firstLine="0"/>
    </w:pPr>
    <w:rPr>
      <w:rFonts w:ascii="Calibri" w:eastAsia="黑体" w:hAnsi="Calibri"/>
      <w:bCs w:val="0"/>
    </w:rPr>
  </w:style>
  <w:style w:type="paragraph" w:customStyle="1" w:styleId="1ffffff1">
    <w:name w:val="表格备注1"/>
    <w:basedOn w:val="affffffffffffffffffffffffffffffff5"/>
    <w:next w:val="af0"/>
    <w:qFormat/>
    <w:pPr>
      <w:tabs>
        <w:tab w:val="left" w:pos="628"/>
        <w:tab w:val="left" w:pos="1727"/>
        <w:tab w:val="left" w:pos="1884"/>
        <w:tab w:val="left" w:pos="4325"/>
        <w:tab w:val="left" w:pos="4900"/>
      </w:tabs>
      <w:adjustRightInd w:val="0"/>
      <w:ind w:firstLine="480"/>
    </w:pPr>
    <w:rPr>
      <w:rFonts w:eastAsia="楷体_GB2312"/>
      <w:szCs w:val="20"/>
    </w:rPr>
  </w:style>
  <w:style w:type="paragraph" w:customStyle="1" w:styleId="bt">
    <w:name w:val="bt"/>
    <w:basedOn w:val="a6"/>
    <w:qFormat/>
    <w:pPr>
      <w:adjustRightInd w:val="0"/>
      <w:spacing w:line="440" w:lineRule="exact"/>
      <w:ind w:firstLine="482"/>
      <w:textAlignment w:val="baseline"/>
    </w:pPr>
    <w:rPr>
      <w:rFonts w:eastAsia="黑体"/>
      <w:spacing w:val="4"/>
      <w:kern w:val="0"/>
      <w:sz w:val="24"/>
      <w:szCs w:val="20"/>
    </w:rPr>
  </w:style>
  <w:style w:type="paragraph" w:customStyle="1" w:styleId="540">
    <w:name w:val="表内5中4"/>
    <w:basedOn w:val="a6"/>
    <w:qFormat/>
    <w:pPr>
      <w:adjustRightInd w:val="0"/>
      <w:snapToGrid w:val="0"/>
      <w:jc w:val="center"/>
    </w:pPr>
    <w:rPr>
      <w:rFonts w:ascii="宋体"/>
      <w:kern w:val="0"/>
      <w:sz w:val="24"/>
      <w:szCs w:val="20"/>
    </w:rPr>
  </w:style>
  <w:style w:type="paragraph" w:customStyle="1" w:styleId="CharCharCharChar1Char11">
    <w:name w:val="正文（首行缩进两字） Char Char Char Char1 Char11"/>
    <w:basedOn w:val="a6"/>
    <w:qFormat/>
    <w:pPr>
      <w:spacing w:line="440" w:lineRule="exact"/>
      <w:ind w:firstLineChars="200" w:firstLine="200"/>
    </w:pPr>
    <w:rPr>
      <w:rFonts w:ascii="Arial" w:hAnsi="Arial"/>
      <w:color w:val="000000"/>
      <w:w w:val="110"/>
      <w:kern w:val="0"/>
      <w:sz w:val="24"/>
    </w:rPr>
  </w:style>
  <w:style w:type="paragraph" w:customStyle="1" w:styleId="CharCharCharChar21">
    <w:name w:val="Char Char Char Char2"/>
    <w:basedOn w:val="a6"/>
    <w:qFormat/>
    <w:rPr>
      <w:color w:val="000000"/>
      <w:w w:val="110"/>
      <w:kern w:val="0"/>
      <w:sz w:val="24"/>
    </w:rPr>
  </w:style>
  <w:style w:type="paragraph" w:customStyle="1" w:styleId="5ff4">
    <w:name w:val="样式 表格内容（5号字体版本） + (中文) 宋体"/>
    <w:qFormat/>
    <w:rPr>
      <w:smallCaps/>
      <w:color w:val="000000"/>
      <w:sz w:val="21"/>
    </w:rPr>
  </w:style>
  <w:style w:type="paragraph" w:customStyle="1" w:styleId="Style116">
    <w:name w:val="Style116"/>
    <w:basedOn w:val="a6"/>
    <w:qFormat/>
    <w:pPr>
      <w:adjustRightInd w:val="0"/>
      <w:jc w:val="left"/>
    </w:pPr>
    <w:rPr>
      <w:rFonts w:ascii="宋体"/>
      <w:kern w:val="0"/>
      <w:sz w:val="24"/>
      <w:szCs w:val="20"/>
    </w:rPr>
  </w:style>
  <w:style w:type="paragraph" w:customStyle="1" w:styleId="CharCharChar1CharCharChar1CharCharCharCharCharChar1CharCharChar1Char">
    <w:name w:val="Char Char Char1 Char Char Char1 Char Char Char Char Char Char1 Char Char Char1 Char"/>
    <w:basedOn w:val="a6"/>
    <w:qFormat/>
  </w:style>
  <w:style w:type="paragraph" w:customStyle="1" w:styleId="xl67">
    <w:name w:val="xl67"/>
    <w:basedOn w:val="a6"/>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宋体" w:eastAsia="Arial Unicode MS"/>
      <w:kern w:val="0"/>
      <w:sz w:val="20"/>
      <w:szCs w:val="20"/>
    </w:rPr>
  </w:style>
  <w:style w:type="paragraph" w:customStyle="1" w:styleId="11111h11stlevelSectionHeadl1b1-">
    <w:name w:val="样式 标题 11.标题 1§1.?.章标题 1h11st levelSection Headl1b1-*+ ..."/>
    <w:basedOn w:val="12"/>
    <w:qFormat/>
    <w:pPr>
      <w:keepNext w:val="0"/>
      <w:keepLines w:val="0"/>
      <w:tabs>
        <w:tab w:val="left" w:pos="432"/>
      </w:tabs>
      <w:autoSpaceDE w:val="0"/>
      <w:autoSpaceDN w:val="0"/>
      <w:spacing w:beforeLines="100" w:before="0" w:afterLines="100" w:after="0" w:line="240" w:lineRule="exact"/>
      <w:ind w:left="432" w:hanging="432"/>
    </w:pPr>
    <w:rPr>
      <w:rFonts w:ascii="宋体" w:hAnsi="宋体" w:cs="宋体"/>
      <w:w w:val="90"/>
      <w:kern w:val="2"/>
      <w:sz w:val="24"/>
      <w:szCs w:val="20"/>
    </w:rPr>
  </w:style>
  <w:style w:type="paragraph" w:customStyle="1" w:styleId="Style100">
    <w:name w:val="_Style 10"/>
    <w:basedOn w:val="a6"/>
    <w:next w:val="af8"/>
    <w:qFormat/>
    <w:pPr>
      <w:spacing w:line="360" w:lineRule="auto"/>
    </w:pPr>
    <w:rPr>
      <w:sz w:val="24"/>
      <w:szCs w:val="20"/>
    </w:rPr>
  </w:style>
  <w:style w:type="paragraph" w:customStyle="1" w:styleId="affffffffffffffffffffffffffffffffff3">
    <w:name w:val="封面标题"/>
    <w:basedOn w:val="a6"/>
    <w:next w:val="affffffffffffffffffffffffffffffff"/>
    <w:qFormat/>
    <w:pPr>
      <w:tabs>
        <w:tab w:val="left" w:pos="1134"/>
        <w:tab w:val="right" w:pos="7371"/>
      </w:tabs>
      <w:overflowPunct w:val="0"/>
      <w:adjustRightInd w:val="0"/>
      <w:spacing w:line="360" w:lineRule="auto"/>
      <w:jc w:val="center"/>
      <w:textAlignment w:val="baseline"/>
    </w:pPr>
    <w:rPr>
      <w:rFonts w:ascii="Arial" w:eastAsia="黑体"/>
      <w:color w:val="FF0000"/>
      <w:spacing w:val="20"/>
      <w:kern w:val="52"/>
      <w:sz w:val="52"/>
      <w:szCs w:val="20"/>
    </w:rPr>
  </w:style>
  <w:style w:type="paragraph" w:customStyle="1" w:styleId="affffffffffffffffffffffffffffffffff4">
    <w:name w:val="正文排版"/>
    <w:basedOn w:val="afc"/>
    <w:qFormat/>
    <w:pPr>
      <w:tabs>
        <w:tab w:val="left" w:pos="0"/>
      </w:tabs>
      <w:autoSpaceDE w:val="0"/>
      <w:autoSpaceDN w:val="0"/>
      <w:adjustRightInd w:val="0"/>
      <w:spacing w:line="360" w:lineRule="auto"/>
      <w:ind w:firstLineChars="0" w:firstLine="0"/>
      <w:textAlignment w:val="baseline"/>
    </w:pPr>
    <w:rPr>
      <w:rFonts w:ascii="Times New Roman" w:eastAsia="宋体" w:hAnsi="Times New Roman"/>
      <w:color w:val="auto"/>
      <w:spacing w:val="0"/>
      <w:kern w:val="0"/>
      <w:sz w:val="24"/>
    </w:rPr>
  </w:style>
  <w:style w:type="paragraph" w:customStyle="1" w:styleId="CM4">
    <w:name w:val="CM4"/>
    <w:basedOn w:val="Default"/>
    <w:next w:val="Default"/>
    <w:qFormat/>
    <w:pPr>
      <w:spacing w:line="626" w:lineRule="atLeast"/>
    </w:pPr>
    <w:rPr>
      <w:rFonts w:ascii="黑体" w:eastAsia="黑体"/>
      <w:color w:val="auto"/>
    </w:rPr>
  </w:style>
  <w:style w:type="paragraph" w:customStyle="1" w:styleId="xl118">
    <w:name w:val="xl11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kern w:val="0"/>
      <w:sz w:val="20"/>
      <w:szCs w:val="20"/>
    </w:rPr>
  </w:style>
  <w:style w:type="paragraph" w:customStyle="1" w:styleId="affffffffffffffffffffffffffffffffff5">
    <w:name w:val="责任页"/>
    <w:basedOn w:val="a6"/>
    <w:qFormat/>
    <w:pPr>
      <w:spacing w:line="300" w:lineRule="auto"/>
    </w:pPr>
    <w:rPr>
      <w:sz w:val="28"/>
    </w:rPr>
  </w:style>
  <w:style w:type="paragraph" w:customStyle="1" w:styleId="CharCharCharCharCharCharCharCharCharCharChar">
    <w:name w:val="Char Char Char Char Char Char Char Char Char Char Char"/>
    <w:basedOn w:val="a6"/>
    <w:qFormat/>
  </w:style>
  <w:style w:type="paragraph" w:customStyle="1" w:styleId="1ffffff2">
    <w:name w:val="无间隔1"/>
    <w:qFormat/>
    <w:pPr>
      <w:widowControl w:val="0"/>
      <w:jc w:val="both"/>
    </w:pPr>
    <w:rPr>
      <w:kern w:val="2"/>
      <w:sz w:val="21"/>
      <w:szCs w:val="22"/>
    </w:rPr>
  </w:style>
  <w:style w:type="paragraph" w:customStyle="1" w:styleId="affffffffffffffffffffffffffffffffff6">
    <w:name w:val=".."/>
    <w:basedOn w:val="Default"/>
    <w:next w:val="Default"/>
    <w:qFormat/>
    <w:rPr>
      <w:rFonts w:eastAsia="Times New Roman"/>
      <w:color w:val="auto"/>
    </w:rPr>
  </w:style>
  <w:style w:type="paragraph" w:customStyle="1" w:styleId="1-2">
    <w:name w:val="样式1-正文"/>
    <w:qFormat/>
    <w:pPr>
      <w:widowControl w:val="0"/>
      <w:spacing w:line="360" w:lineRule="auto"/>
      <w:ind w:firstLineChars="200" w:firstLine="200"/>
    </w:pPr>
    <w:rPr>
      <w:spacing w:val="20"/>
      <w:kern w:val="2"/>
      <w:sz w:val="24"/>
      <w:szCs w:val="24"/>
    </w:rPr>
  </w:style>
  <w:style w:type="paragraph" w:customStyle="1" w:styleId="2130">
    <w:name w:val="正文文本缩进 213"/>
    <w:basedOn w:val="a6"/>
    <w:qFormat/>
    <w:pPr>
      <w:adjustRightInd w:val="0"/>
      <w:snapToGrid w:val="0"/>
      <w:spacing w:line="360" w:lineRule="auto"/>
      <w:ind w:firstLineChars="300" w:firstLine="720"/>
    </w:pPr>
    <w:rPr>
      <w:color w:val="000000"/>
      <w:w w:val="110"/>
      <w:kern w:val="0"/>
      <w:sz w:val="24"/>
    </w:rPr>
  </w:style>
  <w:style w:type="paragraph" w:customStyle="1" w:styleId="2New">
    <w:name w:val="标题 2 New"/>
    <w:basedOn w:val="New0"/>
    <w:next w:val="New0"/>
    <w:qFormat/>
    <w:pPr>
      <w:keepNext/>
      <w:keepLines/>
      <w:spacing w:before="260" w:after="260" w:line="413" w:lineRule="auto"/>
      <w:outlineLvl w:val="1"/>
    </w:pPr>
    <w:rPr>
      <w:rFonts w:ascii="Arial" w:eastAsia="黑体" w:hAnsi="Arial"/>
      <w:b/>
      <w:sz w:val="32"/>
    </w:rPr>
  </w:style>
  <w:style w:type="paragraph" w:customStyle="1" w:styleId="Z">
    <w:name w:val="Z"/>
    <w:basedOn w:val="a6"/>
    <w:qFormat/>
    <w:pPr>
      <w:spacing w:line="460" w:lineRule="exact"/>
      <w:ind w:firstLineChars="200" w:firstLine="200"/>
    </w:pPr>
    <w:rPr>
      <w:rFonts w:ascii="宋体" w:hAnsi="宋体"/>
      <w:sz w:val="25"/>
    </w:rPr>
  </w:style>
  <w:style w:type="paragraph" w:customStyle="1" w:styleId="CM14">
    <w:name w:val="CM14"/>
    <w:basedOn w:val="Default"/>
    <w:next w:val="Default"/>
    <w:qFormat/>
    <w:pPr>
      <w:spacing w:line="546" w:lineRule="atLeast"/>
    </w:pPr>
    <w:rPr>
      <w:rFonts w:ascii="黑体" w:eastAsia="黑体" w:cs="黑体"/>
      <w:color w:val="auto"/>
    </w:rPr>
  </w:style>
  <w:style w:type="paragraph" w:customStyle="1" w:styleId="2122">
    <w:name w:val="样式 标题 2 + 四号 段前: 12 磅"/>
    <w:basedOn w:val="22"/>
    <w:qFormat/>
    <w:pPr>
      <w:tabs>
        <w:tab w:val="left" w:pos="567"/>
      </w:tabs>
      <w:spacing w:before="240"/>
    </w:pPr>
    <w:rPr>
      <w:rFonts w:cs="宋体"/>
      <w:b/>
      <w:bCs w:val="0"/>
      <w:spacing w:val="0"/>
      <w:w w:val="100"/>
      <w:kern w:val="2"/>
      <w:lang w:bidi="sa-IN"/>
    </w:rPr>
  </w:style>
  <w:style w:type="paragraph" w:customStyle="1" w:styleId="12CharCharCharChar">
    <w:name w:val="12 Char Char Char Char"/>
    <w:basedOn w:val="a6"/>
    <w:qFormat/>
    <w:pPr>
      <w:spacing w:line="360" w:lineRule="auto"/>
      <w:ind w:firstLineChars="200" w:firstLine="200"/>
      <w:jc w:val="left"/>
    </w:pPr>
    <w:rPr>
      <w:szCs w:val="20"/>
    </w:rPr>
  </w:style>
  <w:style w:type="paragraph" w:customStyle="1" w:styleId="999">
    <w:name w:val="正文999"/>
    <w:basedOn w:val="a6"/>
    <w:qFormat/>
    <w:pPr>
      <w:spacing w:line="360" w:lineRule="auto"/>
      <w:ind w:firstLineChars="200" w:firstLine="480"/>
    </w:pPr>
    <w:rPr>
      <w:rFonts w:ascii="宋体" w:hAnsi="宋体"/>
      <w:color w:val="000000"/>
      <w:w w:val="110"/>
      <w:kern w:val="0"/>
      <w:sz w:val="24"/>
    </w:rPr>
  </w:style>
  <w:style w:type="paragraph" w:customStyle="1" w:styleId="xl58">
    <w:name w:val="xl58"/>
    <w:basedOn w:val="a6"/>
    <w:qFormat/>
    <w:pPr>
      <w:widowControl/>
      <w:pBdr>
        <w:top w:val="single" w:sz="8" w:space="0" w:color="auto"/>
        <w:bottom w:val="single" w:sz="4" w:space="0" w:color="auto"/>
        <w:right w:val="single" w:sz="4" w:space="0" w:color="auto"/>
      </w:pBdr>
      <w:spacing w:before="100" w:beforeAutospacing="1" w:after="100" w:afterAutospacing="1"/>
      <w:jc w:val="center"/>
      <w:textAlignment w:val="center"/>
    </w:pPr>
    <w:rPr>
      <w:rFonts w:ascii="宋体" w:eastAsia="Arial Unicode MS"/>
      <w:kern w:val="0"/>
      <w:sz w:val="24"/>
      <w:szCs w:val="20"/>
    </w:rPr>
  </w:style>
  <w:style w:type="paragraph" w:customStyle="1" w:styleId="reader-word-layerreader-word-s1-32">
    <w:name w:val="reader-word-layer reader-word-s1-32"/>
    <w:basedOn w:val="a6"/>
    <w:qFormat/>
    <w:pPr>
      <w:widowControl/>
      <w:spacing w:before="100" w:beforeAutospacing="1" w:after="100" w:afterAutospacing="1"/>
      <w:jc w:val="left"/>
    </w:pPr>
    <w:rPr>
      <w:rFonts w:ascii="宋体" w:hAnsi="宋体" w:cs="宋体"/>
      <w:kern w:val="0"/>
      <w:sz w:val="24"/>
    </w:rPr>
  </w:style>
  <w:style w:type="paragraph" w:customStyle="1" w:styleId="affffffffffffffffffffffffffffffffff7">
    <w:name w:val="正文！"/>
    <w:basedOn w:val="a6"/>
    <w:qFormat/>
    <w:pPr>
      <w:spacing w:line="500" w:lineRule="exact"/>
      <w:ind w:firstLine="482"/>
    </w:pPr>
    <w:rPr>
      <w:rFonts w:ascii="楷体_GB2312" w:eastAsia="楷体_GB2312" w:cs="宋体"/>
      <w:sz w:val="24"/>
      <w:szCs w:val="20"/>
    </w:rPr>
  </w:style>
  <w:style w:type="paragraph" w:customStyle="1" w:styleId="affffffffffffffffffffffffffffffffff8">
    <w:name w:val="表内容中"/>
    <w:basedOn w:val="afd"/>
    <w:uiPriority w:val="99"/>
    <w:qFormat/>
    <w:pPr>
      <w:jc w:val="center"/>
    </w:pPr>
    <w:rPr>
      <w:rFonts w:ascii="楷体_GB2312" w:eastAsia="楷体_GB2312" w:hAnsi="宋体"/>
      <w:color w:val="000000"/>
      <w:kern w:val="0"/>
      <w:sz w:val="24"/>
      <w:szCs w:val="20"/>
    </w:rPr>
  </w:style>
  <w:style w:type="paragraph" w:customStyle="1" w:styleId="xl83">
    <w:name w:val="xl83"/>
    <w:basedOn w:val="a6"/>
    <w:qFormat/>
    <w:pPr>
      <w:widowControl/>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b/>
      <w:bCs/>
      <w:kern w:val="0"/>
      <w:sz w:val="20"/>
      <w:szCs w:val="20"/>
    </w:rPr>
  </w:style>
  <w:style w:type="paragraph" w:customStyle="1" w:styleId="xl108">
    <w:name w:val="xl108"/>
    <w:basedOn w:val="a6"/>
    <w:qFormat/>
    <w:pPr>
      <w:widowControl/>
      <w:pBdr>
        <w:top w:val="single" w:sz="4" w:space="0" w:color="auto"/>
        <w:left w:val="single" w:sz="4" w:space="0" w:color="auto"/>
        <w:bottom w:val="single" w:sz="4" w:space="0" w:color="auto"/>
      </w:pBdr>
      <w:shd w:val="clear" w:color="000000" w:fill="FFFF99"/>
      <w:spacing w:before="100" w:beforeAutospacing="1" w:after="100" w:afterAutospacing="1"/>
      <w:jc w:val="left"/>
      <w:textAlignment w:val="center"/>
    </w:pPr>
    <w:rPr>
      <w:rFonts w:ascii="宋体" w:hAnsi="宋体" w:cs="宋体"/>
      <w:kern w:val="0"/>
      <w:sz w:val="20"/>
      <w:szCs w:val="20"/>
    </w:rPr>
  </w:style>
  <w:style w:type="paragraph" w:customStyle="1" w:styleId="CM83">
    <w:name w:val="CM83"/>
    <w:basedOn w:val="Default"/>
    <w:next w:val="Default"/>
    <w:qFormat/>
    <w:pPr>
      <w:spacing w:after="128"/>
    </w:pPr>
    <w:rPr>
      <w:rFonts w:ascii="楷体_GB2312" w:eastAsia="楷体_GB2312"/>
      <w:color w:val="auto"/>
    </w:rPr>
  </w:style>
  <w:style w:type="paragraph" w:customStyle="1" w:styleId="2ffffff2">
    <w:name w:val="项目符号2"/>
    <w:qFormat/>
    <w:pPr>
      <w:tabs>
        <w:tab w:val="left" w:pos="360"/>
      </w:tabs>
      <w:spacing w:line="312" w:lineRule="auto"/>
      <w:ind w:left="850" w:hanging="425"/>
    </w:pPr>
  </w:style>
  <w:style w:type="paragraph" w:customStyle="1" w:styleId="1ffffff3">
    <w:name w:val="项目符号1"/>
    <w:basedOn w:val="a6"/>
    <w:qFormat/>
    <w:pPr>
      <w:tabs>
        <w:tab w:val="left" w:pos="360"/>
      </w:tabs>
      <w:snapToGrid w:val="0"/>
      <w:spacing w:before="120" w:after="120" w:line="300" w:lineRule="auto"/>
      <w:ind w:left="360" w:hanging="360"/>
    </w:pPr>
    <w:rPr>
      <w:rFonts w:ascii="Arial" w:eastAsia="楷体_GB2312" w:hAnsi="Arial"/>
      <w:b/>
      <w:sz w:val="28"/>
      <w:szCs w:val="20"/>
    </w:rPr>
  </w:style>
  <w:style w:type="paragraph" w:customStyle="1" w:styleId="3Arial125">
    <w:name w:val="样式 标题 3 + Arial 行距: 多倍行距 1.25 字行"/>
    <w:basedOn w:val="33"/>
    <w:qFormat/>
    <w:pPr>
      <w:keepNext w:val="0"/>
      <w:tabs>
        <w:tab w:val="left" w:pos="720"/>
      </w:tabs>
      <w:adjustRightInd w:val="0"/>
      <w:spacing w:beforeLines="50" w:afterLines="50" w:line="336" w:lineRule="auto"/>
      <w:ind w:firstLineChars="200" w:firstLine="560"/>
    </w:pPr>
    <w:rPr>
      <w:rFonts w:hAnsi="Arial" w:cs="宋体"/>
      <w:bCs/>
      <w:spacing w:val="0"/>
      <w:szCs w:val="24"/>
    </w:rPr>
  </w:style>
  <w:style w:type="paragraph" w:customStyle="1" w:styleId="280">
    <w:name w:val="样式 行距: 固定值 28 磅"/>
    <w:basedOn w:val="a6"/>
    <w:qFormat/>
    <w:pPr>
      <w:widowControl/>
      <w:spacing w:line="360" w:lineRule="auto"/>
      <w:ind w:firstLineChars="200" w:firstLine="480"/>
      <w:jc w:val="left"/>
    </w:pPr>
    <w:rPr>
      <w:rFonts w:ascii="宋体" w:hAnsi="宋体" w:cs="宋体"/>
      <w:kern w:val="0"/>
      <w:sz w:val="24"/>
    </w:rPr>
  </w:style>
  <w:style w:type="paragraph" w:customStyle="1" w:styleId="xl116">
    <w:name w:val="xl11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kern w:val="0"/>
      <w:sz w:val="20"/>
      <w:szCs w:val="20"/>
    </w:rPr>
  </w:style>
  <w:style w:type="paragraph" w:customStyle="1" w:styleId="Char42">
    <w:name w:val="Char4"/>
    <w:basedOn w:val="a6"/>
    <w:qFormat/>
    <w:rPr>
      <w:color w:val="000000"/>
      <w:w w:val="110"/>
      <w:kern w:val="0"/>
      <w:sz w:val="24"/>
    </w:rPr>
  </w:style>
  <w:style w:type="paragraph" w:customStyle="1" w:styleId="affffffffffffffffffffffffffffffffff9">
    <w:name w:val="缺省文本_宋体"/>
    <w:basedOn w:val="a6"/>
    <w:qFormat/>
    <w:pPr>
      <w:tabs>
        <w:tab w:val="left" w:pos="525"/>
        <w:tab w:val="center" w:pos="5670"/>
        <w:tab w:val="right" w:pos="7655"/>
      </w:tabs>
      <w:spacing w:before="80" w:after="120" w:line="360" w:lineRule="auto"/>
      <w:outlineLvl w:val="7"/>
    </w:pPr>
    <w:rPr>
      <w:spacing w:val="16"/>
      <w:kern w:val="28"/>
      <w:sz w:val="24"/>
      <w:szCs w:val="20"/>
    </w:rPr>
  </w:style>
  <w:style w:type="paragraph" w:customStyle="1" w:styleId="099152">
    <w:name w:val="样式 首行缩进:  0.99 厘米 行距: 1.5 倍行距2"/>
    <w:basedOn w:val="a6"/>
    <w:qFormat/>
    <w:pPr>
      <w:widowControl/>
      <w:ind w:firstLine="420"/>
      <w:jc w:val="center"/>
    </w:pPr>
    <w:rPr>
      <w:rFonts w:ascii="宋体" w:hAnsi="宋体"/>
      <w:szCs w:val="21"/>
    </w:rPr>
  </w:style>
  <w:style w:type="paragraph" w:customStyle="1" w:styleId="xl62">
    <w:name w:val="xl62"/>
    <w:basedOn w:val="a6"/>
    <w:qFormat/>
    <w:pPr>
      <w:widowControl/>
      <w:pBdr>
        <w:top w:val="single" w:sz="4" w:space="0" w:color="auto"/>
        <w:left w:val="single" w:sz="4" w:space="0" w:color="auto"/>
        <w:right w:val="single" w:sz="8" w:space="0" w:color="auto"/>
      </w:pBdr>
      <w:spacing w:before="100" w:beforeAutospacing="1" w:after="100" w:afterAutospacing="1"/>
      <w:jc w:val="left"/>
      <w:textAlignment w:val="center"/>
    </w:pPr>
    <w:rPr>
      <w:rFonts w:ascii="Arial Unicode MS" w:eastAsia="Arial Unicode MS" w:hAnsi="Arial Unicode MS"/>
      <w:kern w:val="0"/>
      <w:sz w:val="24"/>
      <w:szCs w:val="20"/>
    </w:rPr>
  </w:style>
  <w:style w:type="paragraph" w:customStyle="1" w:styleId="affffffffffffffffffffffffffffffffffa">
    <w:name w:val="五级无标题条"/>
    <w:basedOn w:val="a6"/>
    <w:qFormat/>
    <w:pPr>
      <w:ind w:left="1460" w:hanging="420"/>
    </w:pPr>
  </w:style>
  <w:style w:type="paragraph" w:customStyle="1" w:styleId="CM24">
    <w:name w:val="CM24"/>
    <w:basedOn w:val="Default"/>
    <w:next w:val="Default"/>
    <w:qFormat/>
    <w:pPr>
      <w:spacing w:line="546" w:lineRule="atLeast"/>
    </w:pPr>
    <w:rPr>
      <w:rFonts w:ascii="黑体" w:eastAsia="黑体"/>
      <w:color w:val="auto"/>
    </w:rPr>
  </w:style>
  <w:style w:type="paragraph" w:customStyle="1" w:styleId="affffffffffffffffffffffffffffffffffb">
    <w:name w:val="表前文字"/>
    <w:basedOn w:val="a6"/>
    <w:qFormat/>
    <w:pPr>
      <w:jc w:val="center"/>
    </w:pPr>
    <w:rPr>
      <w:rFonts w:ascii="宋体" w:hAnsi="宋体"/>
      <w:b/>
      <w:sz w:val="24"/>
      <w:szCs w:val="21"/>
    </w:rPr>
  </w:style>
  <w:style w:type="paragraph" w:customStyle="1" w:styleId="158">
    <w:name w:val="样式 纯文本 + 小四 行距: 1.5 倍行距"/>
    <w:basedOn w:val="af4"/>
    <w:next w:val="affff4"/>
    <w:qFormat/>
    <w:rPr>
      <w:kern w:val="0"/>
    </w:rPr>
  </w:style>
  <w:style w:type="paragraph" w:customStyle="1" w:styleId="xl53">
    <w:name w:val="xl53"/>
    <w:basedOn w:val="a6"/>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xl113">
    <w:name w:val="xl113"/>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0"/>
      <w:szCs w:val="20"/>
    </w:rPr>
  </w:style>
  <w:style w:type="paragraph" w:customStyle="1" w:styleId="1105">
    <w:name w:val="样式 1.1二级标题 + 段前: 0.5 行"/>
    <w:basedOn w:val="112"/>
    <w:qFormat/>
    <w:rPr>
      <w:rFonts w:cs="宋体"/>
      <w:b w:val="0"/>
    </w:rPr>
  </w:style>
  <w:style w:type="paragraph" w:customStyle="1" w:styleId="2ffffff3">
    <w:name w:val="正文文本缩进2"/>
    <w:basedOn w:val="a6"/>
    <w:qFormat/>
    <w:pPr>
      <w:spacing w:after="120"/>
      <w:ind w:leftChars="200" w:left="420"/>
    </w:pPr>
  </w:style>
  <w:style w:type="paragraph" w:customStyle="1" w:styleId="21f3">
    <w:name w:val="列表接续 21"/>
    <w:basedOn w:val="a6"/>
    <w:qFormat/>
    <w:pPr>
      <w:spacing w:after="120"/>
      <w:ind w:leftChars="400" w:left="840"/>
    </w:pPr>
  </w:style>
  <w:style w:type="paragraph" w:customStyle="1" w:styleId="20125">
    <w:name w:val="样式 (西文) 宋体 首行缩进:  2 字符 加宽量  0.1 磅 行距: 固定值 25 磅"/>
    <w:basedOn w:val="a6"/>
    <w:qFormat/>
    <w:pPr>
      <w:topLinePunct/>
      <w:spacing w:line="500" w:lineRule="exact"/>
      <w:ind w:firstLineChars="200" w:firstLine="488"/>
    </w:pPr>
    <w:rPr>
      <w:rFonts w:ascii="宋体" w:eastAsia="汉鼎简书宋" w:hAnsi="宋体" w:cs="宋体"/>
      <w:spacing w:val="2"/>
      <w:sz w:val="24"/>
      <w:szCs w:val="20"/>
    </w:rPr>
  </w:style>
  <w:style w:type="paragraph" w:customStyle="1" w:styleId="CharCharCharCharCharCharCharCharChar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 Char Char Char Char Char Char Char Char Char2"/>
    <w:basedOn w:val="a6"/>
    <w:qFormat/>
    <w:rPr>
      <w:sz w:val="24"/>
    </w:rPr>
  </w:style>
  <w:style w:type="paragraph" w:customStyle="1" w:styleId="affffffffffffffffffffffffffffffffffc">
    <w:name w:val="二"/>
    <w:next w:val="1f8"/>
    <w:qFormat/>
    <w:pPr>
      <w:keepNext/>
      <w:keepLines/>
      <w:spacing w:before="260" w:after="260" w:line="520" w:lineRule="exact"/>
      <w:jc w:val="both"/>
      <w:outlineLvl w:val="1"/>
    </w:pPr>
    <w:rPr>
      <w:b/>
      <w:kern w:val="2"/>
      <w:sz w:val="30"/>
      <w:szCs w:val="30"/>
    </w:rPr>
  </w:style>
  <w:style w:type="paragraph" w:customStyle="1" w:styleId="Char1CharCharChar2">
    <w:name w:val="Char1 Char Char Char2"/>
    <w:basedOn w:val="a6"/>
    <w:qFormat/>
    <w:rPr>
      <w:rFonts w:ascii="Tahoma" w:hAnsi="Tahoma"/>
      <w:sz w:val="24"/>
      <w:szCs w:val="20"/>
    </w:rPr>
  </w:style>
  <w:style w:type="paragraph" w:customStyle="1" w:styleId="affffffffffffffffffffffffffffffffffd">
    <w:name w:val="报告表正文"/>
    <w:basedOn w:val="a6"/>
    <w:qFormat/>
    <w:pPr>
      <w:adjustRightInd w:val="0"/>
      <w:spacing w:line="300" w:lineRule="auto"/>
      <w:ind w:left="113" w:right="113"/>
      <w:textAlignment w:val="baseline"/>
    </w:pPr>
    <w:rPr>
      <w:color w:val="000000"/>
      <w:w w:val="110"/>
      <w:kern w:val="0"/>
      <w:sz w:val="24"/>
      <w:szCs w:val="20"/>
    </w:rPr>
  </w:style>
  <w:style w:type="paragraph" w:customStyle="1" w:styleId="xl84">
    <w:name w:val="xl84"/>
    <w:basedOn w:val="a6"/>
    <w:qFormat/>
    <w:pPr>
      <w:widowControl/>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b/>
      <w:bCs/>
      <w:kern w:val="0"/>
      <w:sz w:val="20"/>
      <w:szCs w:val="20"/>
    </w:rPr>
  </w:style>
  <w:style w:type="paragraph" w:customStyle="1" w:styleId="CharCharCharCharCharCharCharCharChar10">
    <w:name w:val="Char Char Char Char Char Char Char Char Char1"/>
    <w:basedOn w:val="a6"/>
    <w:qFormat/>
    <w:rPr>
      <w:color w:val="000000"/>
      <w:w w:val="110"/>
      <w:kern w:val="0"/>
      <w:sz w:val="24"/>
    </w:rPr>
  </w:style>
  <w:style w:type="paragraph" w:customStyle="1" w:styleId="affffffffffffffffffffffffffffffffffe">
    <w:name w:val="表格样式"/>
    <w:basedOn w:val="a6"/>
    <w:qFormat/>
    <w:pPr>
      <w:spacing w:line="460" w:lineRule="exact"/>
      <w:jc w:val="center"/>
    </w:pPr>
    <w:rPr>
      <w:rFonts w:ascii="宋体"/>
      <w:sz w:val="24"/>
    </w:rPr>
  </w:style>
  <w:style w:type="paragraph" w:customStyle="1" w:styleId="reader-word-layerreader-word-s1-17">
    <w:name w:val="reader-word-layer reader-word-s1-17"/>
    <w:basedOn w:val="a6"/>
    <w:qFormat/>
    <w:pPr>
      <w:widowControl/>
      <w:spacing w:before="100" w:beforeAutospacing="1" w:after="100" w:afterAutospacing="1"/>
      <w:jc w:val="left"/>
    </w:pPr>
    <w:rPr>
      <w:rFonts w:ascii="宋体" w:hAnsi="宋体" w:cs="宋体"/>
      <w:kern w:val="0"/>
      <w:sz w:val="24"/>
    </w:rPr>
  </w:style>
  <w:style w:type="paragraph" w:customStyle="1" w:styleId="GB23120851">
    <w:name w:val="样式 (西文) 楷体_GB2312 首行缩进:  0.85 厘米1"/>
    <w:basedOn w:val="a6"/>
    <w:qFormat/>
    <w:pPr>
      <w:spacing w:line="500" w:lineRule="exact"/>
      <w:ind w:firstLineChars="200" w:firstLine="200"/>
    </w:pPr>
    <w:rPr>
      <w:rFonts w:ascii="楷体_GB2312" w:eastAsia="楷体_GB2312" w:hAnsi="楷体_GB2312" w:cs="楷体_GB2312"/>
      <w:sz w:val="24"/>
    </w:rPr>
  </w:style>
  <w:style w:type="paragraph" w:customStyle="1" w:styleId="reader-word-layerreader-word-s1-13">
    <w:name w:val="reader-word-layer reader-word-s1-13"/>
    <w:basedOn w:val="a6"/>
    <w:qFormat/>
    <w:pPr>
      <w:widowControl/>
      <w:spacing w:before="100" w:beforeAutospacing="1" w:after="100" w:afterAutospacing="1"/>
      <w:jc w:val="left"/>
    </w:pPr>
    <w:rPr>
      <w:rFonts w:ascii="宋体" w:hAnsi="宋体" w:cs="宋体"/>
      <w:kern w:val="0"/>
      <w:sz w:val="24"/>
    </w:rPr>
  </w:style>
  <w:style w:type="paragraph" w:customStyle="1" w:styleId="afffffffffffffffffffffffffffffffffff">
    <w:name w:val="【表格】"/>
    <w:next w:val="a6"/>
    <w:qFormat/>
    <w:pPr>
      <w:spacing w:line="0" w:lineRule="atLeast"/>
      <w:jc w:val="center"/>
    </w:pPr>
    <w:rPr>
      <w:sz w:val="21"/>
      <w:szCs w:val="24"/>
    </w:rPr>
  </w:style>
  <w:style w:type="paragraph" w:customStyle="1" w:styleId="afffffffffffffffffffffffffffffffffff0">
    <w:name w:val="方框"/>
    <w:basedOn w:val="a6"/>
    <w:qFormat/>
    <w:pPr>
      <w:widowControl/>
      <w:spacing w:line="240" w:lineRule="atLeast"/>
    </w:pPr>
    <w:rPr>
      <w:rFonts w:ascii="宋体" w:eastAsia="仿宋_GB2312"/>
      <w:kern w:val="0"/>
      <w:sz w:val="24"/>
      <w:szCs w:val="20"/>
    </w:rPr>
  </w:style>
  <w:style w:type="paragraph" w:customStyle="1" w:styleId="afffffffffffffffffffffffffffffffffff1">
    <w:name w:val="表格侧编号"/>
    <w:next w:val="a6"/>
    <w:qFormat/>
    <w:pPr>
      <w:widowControl w:val="0"/>
      <w:adjustRightInd w:val="0"/>
      <w:spacing w:before="120"/>
      <w:jc w:val="center"/>
      <w:textAlignment w:val="baseline"/>
    </w:pPr>
    <w:rPr>
      <w:rFonts w:ascii="宋体"/>
      <w:sz w:val="24"/>
    </w:rPr>
  </w:style>
  <w:style w:type="paragraph" w:customStyle="1" w:styleId="1128">
    <w:name w:val="样式 标题 1副标题 1 + 宋体 行距: 固定值 28 磅"/>
    <w:basedOn w:val="12"/>
    <w:qFormat/>
    <w:pPr>
      <w:tabs>
        <w:tab w:val="left" w:pos="2629"/>
      </w:tabs>
      <w:spacing w:line="560" w:lineRule="exact"/>
    </w:pPr>
    <w:rPr>
      <w:rFonts w:ascii="宋体" w:hAnsi="宋体" w:cs="宋体"/>
      <w:bCs w:val="0"/>
      <w:sz w:val="44"/>
      <w:szCs w:val="20"/>
    </w:rPr>
  </w:style>
  <w:style w:type="paragraph" w:customStyle="1" w:styleId="BG1">
    <w:name w:val="BG1"/>
    <w:basedOn w:val="a6"/>
    <w:qFormat/>
    <w:pPr>
      <w:autoSpaceDE w:val="0"/>
      <w:autoSpaceDN w:val="0"/>
      <w:jc w:val="center"/>
    </w:pPr>
    <w:rPr>
      <w:color w:val="000000"/>
      <w:kern w:val="0"/>
    </w:rPr>
  </w:style>
  <w:style w:type="paragraph" w:customStyle="1" w:styleId="08">
    <w:name w:val="正文缩进0"/>
    <w:basedOn w:val="a6"/>
    <w:qFormat/>
    <w:pPr>
      <w:spacing w:line="360" w:lineRule="auto"/>
      <w:ind w:firstLine="590"/>
    </w:pPr>
    <w:rPr>
      <w:rFonts w:eastAsia="仿宋_GB2312"/>
      <w:sz w:val="28"/>
      <w:szCs w:val="28"/>
    </w:rPr>
  </w:style>
  <w:style w:type="paragraph" w:customStyle="1" w:styleId="CharCharCharCharCharCharCharCharCharCharChar3">
    <w:name w:val="Char Char Char Char Char Char Char Char Char Char Char3"/>
    <w:basedOn w:val="a6"/>
    <w:qFormat/>
  </w:style>
  <w:style w:type="paragraph" w:customStyle="1" w:styleId="4ff0">
    <w:name w:val="样式 标题 4 + 宋体"/>
    <w:basedOn w:val="41"/>
    <w:qFormat/>
    <w:pPr>
      <w:keepNext w:val="0"/>
      <w:keepLines w:val="0"/>
      <w:widowControl/>
      <w:spacing w:beforeLines="0" w:before="0" w:line="360" w:lineRule="auto"/>
    </w:pPr>
    <w:rPr>
      <w:rFonts w:ascii="宋体" w:eastAsia="宋体"/>
      <w:bCs w:val="0"/>
      <w:color w:val="000000"/>
      <w:spacing w:val="20"/>
      <w:sz w:val="24"/>
    </w:rPr>
  </w:style>
  <w:style w:type="paragraph" w:customStyle="1" w:styleId="11111h11stlevelSectionHeadl1b1-1">
    <w:name w:val="样式 标题 11.标题 1§1.?.章标题 1h11st levelSection Headl1b1-*+ ...1"/>
    <w:next w:val="aa"/>
    <w:qFormat/>
    <w:pPr>
      <w:tabs>
        <w:tab w:val="left" w:pos="432"/>
      </w:tabs>
      <w:spacing w:line="240" w:lineRule="exact"/>
      <w:ind w:left="432" w:hanging="432"/>
      <w:jc w:val="both"/>
    </w:pPr>
    <w:rPr>
      <w:rFonts w:ascii="宋体" w:cs="宋体"/>
      <w:b/>
      <w:bCs/>
      <w:w w:val="90"/>
      <w:sz w:val="24"/>
    </w:rPr>
  </w:style>
  <w:style w:type="paragraph" w:customStyle="1" w:styleId="p-r4">
    <w:name w:val="p-r4"/>
    <w:basedOn w:val="a6"/>
    <w:qFormat/>
    <w:pPr>
      <w:spacing w:line="440" w:lineRule="exact"/>
      <w:jc w:val="left"/>
    </w:pPr>
    <w:rPr>
      <w:rFonts w:ascii="宋体" w:hAnsi="宋体" w:cs="宋体"/>
      <w:sz w:val="24"/>
    </w:rPr>
  </w:style>
  <w:style w:type="paragraph" w:customStyle="1" w:styleId="afffffffffffffffffffffffffffffffffff2">
    <w:name w:val="表哥标题"/>
    <w:basedOn w:val="a6"/>
    <w:qFormat/>
    <w:pPr>
      <w:spacing w:line="360" w:lineRule="auto"/>
      <w:ind w:firstLineChars="400" w:firstLine="964"/>
    </w:pPr>
    <w:rPr>
      <w:rFonts w:ascii="黑体" w:eastAsia="黑体" w:hAnsi="宋体"/>
      <w:b/>
      <w:sz w:val="24"/>
    </w:rPr>
  </w:style>
  <w:style w:type="paragraph" w:customStyle="1" w:styleId="514">
    <w:name w:val="列表编号 51"/>
    <w:basedOn w:val="a6"/>
    <w:qFormat/>
    <w:pPr>
      <w:tabs>
        <w:tab w:val="left" w:pos="720"/>
      </w:tabs>
      <w:ind w:left="720" w:hanging="720"/>
    </w:pPr>
    <w:rPr>
      <w:szCs w:val="20"/>
    </w:rPr>
  </w:style>
  <w:style w:type="paragraph" w:customStyle="1" w:styleId="1ffffff4">
    <w:name w:val="表1"/>
    <w:next w:val="a6"/>
    <w:qFormat/>
    <w:pPr>
      <w:adjustRightInd w:val="0"/>
      <w:snapToGrid w:val="0"/>
      <w:jc w:val="center"/>
    </w:pPr>
    <w:rPr>
      <w:rFonts w:ascii="宋体"/>
      <w:sz w:val="21"/>
    </w:rPr>
  </w:style>
  <w:style w:type="paragraph" w:customStyle="1" w:styleId="xl91">
    <w:name w:val="xl91"/>
    <w:basedOn w:val="a6"/>
    <w:qFormat/>
    <w:pPr>
      <w:widowControl/>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left"/>
      <w:textAlignment w:val="center"/>
    </w:pPr>
    <w:rPr>
      <w:b/>
      <w:bCs/>
      <w:kern w:val="0"/>
      <w:sz w:val="20"/>
      <w:szCs w:val="20"/>
    </w:rPr>
  </w:style>
  <w:style w:type="paragraph" w:customStyle="1" w:styleId="1ffffff5">
    <w:name w:val="1"/>
    <w:next w:val="afffffffffffffffffd"/>
    <w:qFormat/>
    <w:pPr>
      <w:spacing w:beforeLines="50" w:afterLines="50" w:line="440" w:lineRule="exact"/>
    </w:pPr>
    <w:rPr>
      <w:color w:val="000000"/>
      <w:sz w:val="24"/>
    </w:rPr>
  </w:style>
  <w:style w:type="paragraph" w:customStyle="1" w:styleId="afffffffffffffffffffffffffffffffffff3">
    <w:name w:val="环评报告书"/>
    <w:basedOn w:val="41"/>
    <w:qFormat/>
    <w:pPr>
      <w:tabs>
        <w:tab w:val="left" w:pos="840"/>
        <w:tab w:val="left" w:pos="1080"/>
      </w:tabs>
      <w:snapToGrid/>
      <w:spacing w:beforeLines="0" w:before="0" w:line="360" w:lineRule="auto"/>
      <w:ind w:left="561" w:hanging="561"/>
      <w:textAlignment w:val="baseline"/>
      <w:outlineLvl w:val="9"/>
    </w:pPr>
    <w:rPr>
      <w:rFonts w:ascii="Times New Roman" w:eastAsia="长城楷体" w:hAnsi="Times New Roman"/>
      <w:bCs w:val="0"/>
      <w:kern w:val="0"/>
      <w:sz w:val="24"/>
    </w:rPr>
  </w:style>
  <w:style w:type="paragraph" w:customStyle="1" w:styleId="xl44">
    <w:name w:val="xl44"/>
    <w:basedOn w:val="a6"/>
    <w:qFormat/>
    <w:pPr>
      <w:widowControl/>
      <w:pBdr>
        <w:top w:val="single" w:sz="4" w:space="0" w:color="auto"/>
        <w:left w:val="single" w:sz="4" w:space="0" w:color="auto"/>
        <w:right w:val="single" w:sz="4" w:space="0" w:color="auto"/>
      </w:pBdr>
      <w:spacing w:before="100" w:after="100"/>
      <w:jc w:val="center"/>
      <w:textAlignment w:val="center"/>
    </w:pPr>
    <w:rPr>
      <w:rFonts w:ascii="宋体" w:hAnsi="宋体"/>
      <w:kern w:val="0"/>
      <w:szCs w:val="20"/>
    </w:rPr>
  </w:style>
  <w:style w:type="paragraph" w:customStyle="1" w:styleId="CharCharCharCharCharCharCharCharCharChar3">
    <w:name w:val="Char Char Char Char Char Char Char Char Char Char3"/>
    <w:basedOn w:val="a6"/>
    <w:qFormat/>
    <w:pPr>
      <w:widowControl/>
      <w:spacing w:after="160" w:line="240" w:lineRule="exact"/>
      <w:jc w:val="left"/>
    </w:pPr>
    <w:rPr>
      <w:rFonts w:ascii="Verdana" w:hAnsi="Verdana" w:cs="Verdana"/>
      <w:kern w:val="0"/>
      <w:sz w:val="20"/>
      <w:szCs w:val="20"/>
      <w:lang w:eastAsia="en-US"/>
    </w:rPr>
  </w:style>
  <w:style w:type="paragraph" w:customStyle="1" w:styleId="111H1h11headingHeader1stPageh1chapte">
    <w:name w:val="样式 标题 1标题 1宋旭峰标题1章节H1h11headingHeader 1st Pageh1 chapte..."/>
    <w:basedOn w:val="12"/>
    <w:qFormat/>
    <w:pPr>
      <w:keepNext w:val="0"/>
      <w:keepLines w:val="0"/>
      <w:adjustRightInd w:val="0"/>
      <w:snapToGrid w:val="0"/>
      <w:spacing w:beforeLines="100" w:before="0" w:afterLines="100" w:after="0" w:line="360" w:lineRule="auto"/>
      <w:jc w:val="left"/>
    </w:pPr>
    <w:rPr>
      <w:rFonts w:ascii="黑体" w:hAnsi="黑体"/>
      <w:b w:val="0"/>
      <w:kern w:val="2"/>
      <w:sz w:val="32"/>
      <w:szCs w:val="30"/>
    </w:rPr>
  </w:style>
  <w:style w:type="paragraph" w:customStyle="1" w:styleId="3ReHead3WSAh33Char32311Re11Head3WSA1">
    <w:name w:val="样式 标题 3ReHead 3 WSAh3标题 3 Char标题 32标题 311Re11Head 3 WSA1..."/>
    <w:basedOn w:val="33"/>
    <w:qFormat/>
    <w:pPr>
      <w:tabs>
        <w:tab w:val="left" w:pos="1070"/>
      </w:tabs>
      <w:adjustRightInd w:val="0"/>
      <w:spacing w:beforeLines="50" w:line="480" w:lineRule="exact"/>
    </w:pPr>
    <w:rPr>
      <w:rFonts w:eastAsia="宋体"/>
      <w:b/>
      <w:spacing w:val="0"/>
      <w:sz w:val="24"/>
      <w:szCs w:val="20"/>
    </w:rPr>
  </w:style>
  <w:style w:type="paragraph" w:customStyle="1" w:styleId="afffffffffffffffffffffffffffffffffff4">
    <w:name w:val="高表内"/>
    <w:basedOn w:val="a6"/>
    <w:qFormat/>
    <w:pPr>
      <w:autoSpaceDE w:val="0"/>
      <w:adjustRightInd w:val="0"/>
      <w:snapToGrid w:val="0"/>
      <w:spacing w:line="360" w:lineRule="auto"/>
      <w:jc w:val="center"/>
      <w:textAlignment w:val="baseline"/>
    </w:pPr>
    <w:rPr>
      <w:rFonts w:ascii="Arial" w:eastAsia="楷体_GB2312" w:hAnsi="Arial"/>
      <w:kern w:val="0"/>
      <w:sz w:val="24"/>
      <w:szCs w:val="20"/>
    </w:rPr>
  </w:style>
  <w:style w:type="paragraph" w:customStyle="1" w:styleId="CM23">
    <w:name w:val="CM23"/>
    <w:basedOn w:val="Default"/>
    <w:next w:val="Default"/>
    <w:qFormat/>
    <w:pPr>
      <w:spacing w:line="546" w:lineRule="atLeast"/>
    </w:pPr>
    <w:rPr>
      <w:rFonts w:ascii="黑体" w:eastAsia="黑体"/>
      <w:color w:val="auto"/>
    </w:rPr>
  </w:style>
  <w:style w:type="paragraph" w:customStyle="1" w:styleId="fs-00">
    <w:name w:val="fs-00"/>
    <w:qFormat/>
    <w:pPr>
      <w:ind w:rightChars="100" w:right="221" w:firstLineChars="200" w:firstLine="501"/>
      <w:jc w:val="both"/>
    </w:pPr>
    <w:rPr>
      <w:sz w:val="24"/>
      <w:szCs w:val="24"/>
    </w:rPr>
  </w:style>
  <w:style w:type="paragraph" w:customStyle="1" w:styleId="CM112">
    <w:name w:val="CM112"/>
    <w:basedOn w:val="Default"/>
    <w:next w:val="Default"/>
    <w:qFormat/>
    <w:pPr>
      <w:spacing w:after="498"/>
    </w:pPr>
    <w:rPr>
      <w:rFonts w:ascii="黑体" w:eastAsia="黑体"/>
      <w:color w:val="auto"/>
    </w:rPr>
  </w:style>
  <w:style w:type="paragraph" w:customStyle="1" w:styleId="BodyText21">
    <w:name w:val="Body Text 21"/>
    <w:basedOn w:val="a6"/>
    <w:qFormat/>
    <w:pPr>
      <w:tabs>
        <w:tab w:val="left" w:pos="567"/>
      </w:tabs>
      <w:adjustRightInd w:val="0"/>
      <w:spacing w:line="410" w:lineRule="atLeast"/>
      <w:ind w:firstLine="480"/>
      <w:textAlignment w:val="baseline"/>
    </w:pPr>
    <w:rPr>
      <w:rFonts w:ascii="宋体"/>
      <w:kern w:val="0"/>
      <w:sz w:val="24"/>
      <w:szCs w:val="20"/>
    </w:rPr>
  </w:style>
  <w:style w:type="paragraph" w:customStyle="1" w:styleId="3fff6">
    <w:name w:val="大华农3级标题"/>
    <w:basedOn w:val="a6"/>
    <w:qFormat/>
    <w:pPr>
      <w:keepNext/>
      <w:keepLines/>
      <w:spacing w:before="120" w:after="120" w:line="360" w:lineRule="auto"/>
      <w:outlineLvl w:val="2"/>
    </w:pPr>
    <w:rPr>
      <w:rFonts w:ascii="宋体" w:hAnsi="宋体"/>
      <w:b/>
      <w:bCs/>
      <w:snapToGrid w:val="0"/>
      <w:kern w:val="0"/>
      <w:sz w:val="28"/>
      <w:szCs w:val="32"/>
    </w:rPr>
  </w:style>
  <w:style w:type="paragraph" w:customStyle="1" w:styleId="Char300">
    <w:name w:val="Char30"/>
    <w:basedOn w:val="a6"/>
    <w:uiPriority w:val="99"/>
    <w:qFormat/>
    <w:rPr>
      <w:sz w:val="24"/>
    </w:rPr>
  </w:style>
  <w:style w:type="paragraph" w:customStyle="1" w:styleId="2CharCharCharCharCharCharChar">
    <w:name w:val="2 Char Char Char Char Char Char Char"/>
    <w:basedOn w:val="a6"/>
    <w:qFormat/>
  </w:style>
  <w:style w:type="paragraph" w:customStyle="1" w:styleId="afffffffffffffffffffffffffffffffffff5">
    <w:name w:val="小标"/>
    <w:basedOn w:val="afc"/>
    <w:qFormat/>
    <w:pPr>
      <w:spacing w:line="240" w:lineRule="auto"/>
      <w:ind w:firstLineChars="0" w:firstLine="0"/>
    </w:pPr>
    <w:rPr>
      <w:rFonts w:eastAsia="宋体" w:cs="仿宋_GB2312"/>
      <w:color w:val="auto"/>
      <w:spacing w:val="0"/>
      <w:kern w:val="0"/>
      <w:sz w:val="20"/>
    </w:rPr>
  </w:style>
  <w:style w:type="paragraph" w:customStyle="1" w:styleId="xl79">
    <w:name w:val="xl79"/>
    <w:basedOn w:val="a6"/>
    <w:qFormat/>
    <w:pPr>
      <w:widowControl/>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kern w:val="0"/>
      <w:sz w:val="20"/>
      <w:szCs w:val="20"/>
    </w:rPr>
  </w:style>
  <w:style w:type="paragraph" w:customStyle="1" w:styleId="11f8">
    <w:name w:val="文档结构图11"/>
    <w:basedOn w:val="a6"/>
    <w:qFormat/>
    <w:pPr>
      <w:shd w:val="clear" w:color="auto" w:fill="000080"/>
      <w:tabs>
        <w:tab w:val="left" w:pos="480"/>
        <w:tab w:val="left" w:pos="1680"/>
        <w:tab w:val="left" w:pos="3960"/>
        <w:tab w:val="left" w:pos="5400"/>
        <w:tab w:val="left" w:pos="6840"/>
      </w:tabs>
      <w:adjustRightInd w:val="0"/>
      <w:spacing w:line="240" w:lineRule="atLeast"/>
      <w:ind w:firstLine="482"/>
      <w:jc w:val="left"/>
      <w:textAlignment w:val="baseline"/>
    </w:pPr>
    <w:rPr>
      <w:rFonts w:eastAsia="创艺简楷体"/>
      <w:kern w:val="0"/>
      <w:sz w:val="28"/>
      <w:szCs w:val="20"/>
    </w:rPr>
  </w:style>
  <w:style w:type="paragraph" w:customStyle="1" w:styleId="zw">
    <w:name w:val="zw"/>
    <w:basedOn w:val="afc"/>
    <w:qFormat/>
    <w:pPr>
      <w:spacing w:line="360" w:lineRule="auto"/>
      <w:ind w:firstLine="200"/>
    </w:pPr>
    <w:rPr>
      <w:rFonts w:eastAsia="宋体" w:hAnsi="宋体"/>
      <w:color w:val="auto"/>
      <w:spacing w:val="0"/>
      <w:kern w:val="10"/>
      <w:sz w:val="24"/>
      <w:szCs w:val="20"/>
    </w:rPr>
  </w:style>
  <w:style w:type="paragraph" w:customStyle="1" w:styleId="ParaCharCharCharCharChar">
    <w:name w:val="默认段落字体 Para Char Char Char Char Char"/>
    <w:basedOn w:val="a6"/>
    <w:qFormat/>
  </w:style>
  <w:style w:type="paragraph" w:customStyle="1" w:styleId="1ffffff6">
    <w:name w:val="1表格"/>
    <w:basedOn w:val="a6"/>
    <w:qFormat/>
    <w:pPr>
      <w:snapToGrid w:val="0"/>
      <w:spacing w:line="360" w:lineRule="auto"/>
      <w:ind w:firstLineChars="200" w:firstLine="420"/>
      <w:jc w:val="center"/>
      <w:outlineLvl w:val="4"/>
    </w:pPr>
    <w:rPr>
      <w:spacing w:val="4"/>
      <w:kern w:val="0"/>
      <w:sz w:val="24"/>
      <w:szCs w:val="20"/>
    </w:rPr>
  </w:style>
  <w:style w:type="paragraph" w:customStyle="1" w:styleId="1ffffff7">
    <w:name w:val="批注主题1"/>
    <w:basedOn w:val="af6"/>
    <w:next w:val="af6"/>
    <w:qFormat/>
    <w:rPr>
      <w:b/>
      <w:bCs/>
    </w:rPr>
  </w:style>
  <w:style w:type="paragraph" w:customStyle="1" w:styleId="2ffffff4">
    <w:name w:val="样式 标题 2 + 四号"/>
    <w:basedOn w:val="22"/>
    <w:qFormat/>
    <w:pPr>
      <w:widowControl/>
      <w:spacing w:before="260" w:after="260" w:line="415" w:lineRule="auto"/>
      <w:jc w:val="left"/>
    </w:pPr>
    <w:rPr>
      <w:rFonts w:ascii="黑体" w:hAnsi="黑体" w:cs="宋体"/>
      <w:spacing w:val="0"/>
      <w:w w:val="100"/>
      <w:kern w:val="2"/>
      <w:szCs w:val="32"/>
    </w:rPr>
  </w:style>
  <w:style w:type="paragraph" w:customStyle="1" w:styleId="317">
    <w:name w:val="列表 31"/>
    <w:basedOn w:val="a6"/>
    <w:qFormat/>
    <w:pPr>
      <w:ind w:leftChars="400" w:left="100" w:hangingChars="200" w:hanging="200"/>
    </w:pPr>
  </w:style>
  <w:style w:type="paragraph" w:customStyle="1" w:styleId="416">
    <w:name w:val="列表接续 41"/>
    <w:basedOn w:val="a6"/>
    <w:qFormat/>
    <w:pPr>
      <w:spacing w:after="120"/>
      <w:ind w:leftChars="800" w:left="1680"/>
    </w:pPr>
  </w:style>
  <w:style w:type="paragraph" w:customStyle="1" w:styleId="CharCharCharCharCharCharCharCharChar4">
    <w:name w:val="Char Char Char Char Char Char Char Char Char4"/>
    <w:basedOn w:val="a6"/>
    <w:qFormat/>
  </w:style>
  <w:style w:type="paragraph" w:customStyle="1" w:styleId="313Char123453Char22">
    <w:name w:val="样式 标题 3三级标题三级标题1标题 3 Char1三级标题2三级标题3三级标题4三级标题5标题 3 Char2...2"/>
    <w:basedOn w:val="33"/>
    <w:qFormat/>
    <w:pPr>
      <w:adjustRightInd w:val="0"/>
      <w:spacing w:line="360" w:lineRule="auto"/>
      <w:ind w:left="520"/>
    </w:pPr>
    <w:rPr>
      <w:rFonts w:hAnsi="宋体"/>
      <w:b/>
      <w:bCs/>
      <w:spacing w:val="0"/>
      <w:szCs w:val="20"/>
    </w:rPr>
  </w:style>
  <w:style w:type="paragraph" w:customStyle="1" w:styleId="810">
    <w:name w:val="标题 81"/>
    <w:basedOn w:val="a6"/>
    <w:next w:val="a6"/>
    <w:qFormat/>
    <w:pPr>
      <w:keepNext/>
      <w:keepLines/>
      <w:adjustRightInd w:val="0"/>
      <w:spacing w:before="240" w:after="64" w:line="320" w:lineRule="atLeast"/>
      <w:textAlignment w:val="baseline"/>
      <w:outlineLvl w:val="7"/>
    </w:pPr>
    <w:rPr>
      <w:rFonts w:ascii="Arial" w:eastAsia="黑体" w:hAnsi="Arial"/>
      <w:color w:val="000000"/>
      <w:w w:val="110"/>
      <w:kern w:val="0"/>
      <w:sz w:val="24"/>
      <w:szCs w:val="20"/>
    </w:rPr>
  </w:style>
  <w:style w:type="paragraph" w:customStyle="1" w:styleId="CharCharChar51">
    <w:name w:val="Char Char Char5"/>
    <w:basedOn w:val="a6"/>
    <w:qFormat/>
  </w:style>
  <w:style w:type="paragraph" w:customStyle="1" w:styleId="Char80">
    <w:name w:val="Char8"/>
    <w:basedOn w:val="a6"/>
    <w:qFormat/>
    <w:pPr>
      <w:spacing w:after="160" w:line="240" w:lineRule="exact"/>
      <w:jc w:val="left"/>
    </w:pPr>
    <w:rPr>
      <w:rFonts w:ascii="Arial" w:eastAsia="Times New Roman" w:hAnsi="Arial" w:cs="Verdana"/>
      <w:b/>
      <w:kern w:val="0"/>
      <w:sz w:val="24"/>
      <w:lang w:eastAsia="en-US"/>
    </w:rPr>
  </w:style>
  <w:style w:type="paragraph" w:customStyle="1" w:styleId="11f9">
    <w:name w:val="普通(网站)11"/>
    <w:basedOn w:val="a6"/>
    <w:qFormat/>
    <w:pPr>
      <w:widowControl/>
      <w:spacing w:before="100" w:beforeAutospacing="1" w:after="100" w:afterAutospacing="1"/>
      <w:jc w:val="left"/>
    </w:pPr>
    <w:rPr>
      <w:rFonts w:ascii="宋体" w:hAnsi="宋体" w:cs="宋体"/>
      <w:color w:val="000000"/>
      <w:w w:val="110"/>
      <w:kern w:val="0"/>
      <w:sz w:val="24"/>
    </w:rPr>
  </w:style>
  <w:style w:type="paragraph" w:customStyle="1" w:styleId="afffffffffffffffffffffffffffffffffff6">
    <w:name w:val="表样式"/>
    <w:qFormat/>
    <w:pPr>
      <w:widowControl w:val="0"/>
    </w:pPr>
    <w:rPr>
      <w:rFonts w:ascii="仿宋_GB2312" w:eastAsia="黑体"/>
      <w:sz w:val="21"/>
    </w:rPr>
  </w:style>
  <w:style w:type="paragraph" w:customStyle="1" w:styleId="afffffffffffffffffffffffffffffffffff7">
    <w:name w:val="表头样式"/>
    <w:basedOn w:val="a6"/>
    <w:qFormat/>
    <w:pPr>
      <w:keepNext/>
      <w:widowControl/>
      <w:spacing w:beforeLines="50" w:afterLines="50" w:line="520" w:lineRule="exact"/>
      <w:ind w:firstLineChars="100" w:firstLine="280"/>
    </w:pPr>
    <w:rPr>
      <w:rFonts w:ascii="宋体" w:hAnsi="宋体"/>
      <w:kern w:val="0"/>
      <w:sz w:val="28"/>
      <w:szCs w:val="20"/>
    </w:rPr>
  </w:style>
  <w:style w:type="paragraph" w:customStyle="1" w:styleId="1ffffff8">
    <w:name w:val="表名1"/>
    <w:basedOn w:val="affffffa"/>
    <w:qFormat/>
    <w:pPr>
      <w:tabs>
        <w:tab w:val="left" w:pos="360"/>
      </w:tabs>
      <w:snapToGrid/>
      <w:ind w:left="425" w:hanging="425"/>
      <w:jc w:val="left"/>
    </w:pPr>
    <w:rPr>
      <w:rFonts w:ascii="Calibri" w:eastAsia="黑体" w:hAnsi="Calibri"/>
      <w:sz w:val="24"/>
      <w:szCs w:val="20"/>
    </w:rPr>
  </w:style>
  <w:style w:type="paragraph" w:customStyle="1" w:styleId="P150">
    <w:name w:val="正文P 黑色 行距: 1.5 倍行距"/>
    <w:basedOn w:val="a6"/>
    <w:qFormat/>
    <w:pPr>
      <w:spacing w:line="360" w:lineRule="auto"/>
      <w:ind w:firstLineChars="200" w:firstLine="200"/>
    </w:pPr>
    <w:rPr>
      <w:rFonts w:ascii="宋体" w:hAnsi="宋体" w:cs="宋体"/>
      <w:color w:val="000000"/>
      <w:sz w:val="24"/>
      <w:szCs w:val="20"/>
    </w:rPr>
  </w:style>
  <w:style w:type="paragraph" w:customStyle="1" w:styleId="Style4">
    <w:name w:val="_Style 4"/>
    <w:basedOn w:val="a6"/>
    <w:qFormat/>
    <w:rPr>
      <w:szCs w:val="20"/>
    </w:rPr>
  </w:style>
  <w:style w:type="paragraph" w:customStyle="1" w:styleId="-2">
    <w:name w:val="编号-列项2级"/>
    <w:basedOn w:val="a6"/>
    <w:qFormat/>
    <w:pPr>
      <w:widowControl/>
      <w:numPr>
        <w:ilvl w:val="1"/>
        <w:numId w:val="13"/>
      </w:numPr>
      <w:ind w:firstLine="0"/>
      <w:jc w:val="left"/>
    </w:pPr>
    <w:rPr>
      <w:rFonts w:ascii="Arial" w:hAnsi="Arial" w:cs="宋体"/>
      <w:kern w:val="0"/>
      <w:sz w:val="24"/>
    </w:rPr>
  </w:style>
  <w:style w:type="paragraph" w:customStyle="1" w:styleId="dandan6-133">
    <w:name w:val="dandan6-13标题3"/>
    <w:basedOn w:val="33"/>
    <w:qFormat/>
    <w:pPr>
      <w:keepNext w:val="0"/>
      <w:adjustRightInd w:val="0"/>
      <w:spacing w:beforeLines="50" w:afterLines="50" w:line="360" w:lineRule="auto"/>
    </w:pPr>
    <w:rPr>
      <w:rFonts w:hAnsi="黑体"/>
      <w:b/>
      <w:bCs/>
      <w:spacing w:val="0"/>
      <w:szCs w:val="32"/>
    </w:rPr>
  </w:style>
  <w:style w:type="paragraph" w:customStyle="1" w:styleId="afffffffffffffffffffffffffffffffffff8">
    <w:name w:val="正文缩小四"/>
    <w:basedOn w:val="a6"/>
    <w:qFormat/>
    <w:pPr>
      <w:spacing w:line="360" w:lineRule="auto"/>
      <w:ind w:firstLineChars="200" w:firstLine="200"/>
      <w:jc w:val="left"/>
    </w:pPr>
    <w:rPr>
      <w:rFonts w:ascii="宋体"/>
      <w:color w:val="000080"/>
      <w:sz w:val="24"/>
    </w:rPr>
  </w:style>
  <w:style w:type="paragraph" w:customStyle="1" w:styleId="afffffffffffffffffffffffffffffffffff9">
    <w:name w:val="表后空行格式"/>
    <w:basedOn w:val="affffa"/>
    <w:qFormat/>
    <w:pPr>
      <w:spacing w:line="240" w:lineRule="exact"/>
      <w:ind w:firstLine="0"/>
    </w:pPr>
    <w:rPr>
      <w:rFonts w:hAnsi="Times New Roman"/>
      <w:color w:val="000000"/>
      <w:w w:val="110"/>
      <w:sz w:val="18"/>
      <w:szCs w:val="24"/>
    </w:rPr>
  </w:style>
  <w:style w:type="paragraph" w:customStyle="1" w:styleId="2ffffff5">
    <w:name w:val="尾注文本2"/>
    <w:basedOn w:val="4fd"/>
    <w:qFormat/>
    <w:rPr>
      <w:sz w:val="21"/>
    </w:rPr>
  </w:style>
  <w:style w:type="paragraph" w:customStyle="1" w:styleId="afffffffffffffffffffffffffffffffffffa">
    <w:name w:val="条文表号表题、图号图题及目次标题"/>
    <w:basedOn w:val="a6"/>
    <w:qFormat/>
    <w:pPr>
      <w:widowControl/>
      <w:jc w:val="center"/>
    </w:pPr>
    <w:rPr>
      <w:rFonts w:ascii="Arial" w:eastAsia="黑体" w:hAnsi="Arial" w:cs="Arial"/>
      <w:kern w:val="0"/>
      <w:sz w:val="24"/>
    </w:rPr>
  </w:style>
  <w:style w:type="paragraph" w:customStyle="1" w:styleId="xl70">
    <w:name w:val="xl70"/>
    <w:basedOn w:val="a6"/>
    <w:qFormat/>
    <w:pPr>
      <w:widowControl/>
      <w:spacing w:before="100" w:beforeAutospacing="1" w:after="100" w:afterAutospacing="1"/>
      <w:jc w:val="center"/>
    </w:pPr>
    <w:rPr>
      <w:rFonts w:ascii="宋体"/>
      <w:kern w:val="0"/>
      <w:sz w:val="24"/>
      <w:szCs w:val="20"/>
    </w:rPr>
  </w:style>
  <w:style w:type="paragraph" w:customStyle="1" w:styleId="afffffffffffffffffffffffffffffffffffb">
    <w:name w:val="正文样式"/>
    <w:basedOn w:val="a6"/>
    <w:qFormat/>
    <w:pPr>
      <w:spacing w:line="460" w:lineRule="exact"/>
      <w:ind w:firstLineChars="200" w:firstLine="200"/>
    </w:pPr>
    <w:rPr>
      <w:rFonts w:ascii="宋体" w:hAnsi="宋体"/>
      <w:sz w:val="24"/>
    </w:rPr>
  </w:style>
  <w:style w:type="paragraph" w:customStyle="1" w:styleId="afffffffffffffffffffffffffffffffffffc">
    <w:name w:val="字母编号列项（一级）"/>
    <w:basedOn w:val="a6"/>
    <w:next w:val="a6"/>
    <w:qFormat/>
    <w:pPr>
      <w:widowControl/>
      <w:spacing w:line="440" w:lineRule="exact"/>
      <w:ind w:leftChars="210" w:left="410" w:hangingChars="200" w:hanging="200"/>
      <w:jc w:val="left"/>
    </w:pPr>
    <w:rPr>
      <w:rFonts w:ascii="宋体" w:cs="宋体"/>
      <w:kern w:val="0"/>
      <w:sz w:val="24"/>
      <w:szCs w:val="20"/>
    </w:rPr>
  </w:style>
  <w:style w:type="paragraph" w:customStyle="1" w:styleId="afffffffffffffffffffffffffffffffffffd">
    <w:name w:val="表头！！！！！！！！！！！！！！！"/>
    <w:basedOn w:val="a6"/>
    <w:qFormat/>
    <w:pPr>
      <w:spacing w:line="500" w:lineRule="exact"/>
      <w:jc w:val="center"/>
    </w:pPr>
    <w:rPr>
      <w:rFonts w:ascii="宋体" w:hAnsi="宋体" w:cs="宋体"/>
      <w:b/>
      <w:sz w:val="24"/>
    </w:rPr>
  </w:style>
  <w:style w:type="paragraph" w:customStyle="1" w:styleId="CharCharChar1CharCharCharChar">
    <w:name w:val="Char Char Char1 Char Char Char Char"/>
    <w:basedOn w:val="a6"/>
    <w:next w:val="a6"/>
    <w:qFormat/>
    <w:pPr>
      <w:spacing w:line="360" w:lineRule="auto"/>
      <w:ind w:firstLineChars="200" w:firstLine="200"/>
    </w:pPr>
    <w:rPr>
      <w:rFonts w:ascii="宋体" w:eastAsia="汉鼎简书宋" w:hAnsi="宋体" w:cs="宋体"/>
      <w:sz w:val="24"/>
    </w:rPr>
  </w:style>
  <w:style w:type="paragraph" w:customStyle="1" w:styleId="3fff7">
    <w:name w:val="样式 正文文本缩进 3 +"/>
    <w:basedOn w:val="39"/>
    <w:qFormat/>
    <w:pPr>
      <w:adjustRightInd/>
      <w:snapToGrid/>
      <w:spacing w:line="560" w:lineRule="exact"/>
      <w:ind w:firstLineChars="200" w:firstLine="200"/>
    </w:pPr>
    <w:rPr>
      <w:rFonts w:ascii="Times New Roman"/>
      <w:color w:val="auto"/>
      <w:kern w:val="0"/>
    </w:rPr>
  </w:style>
  <w:style w:type="paragraph" w:customStyle="1" w:styleId="CM27">
    <w:name w:val="CM27"/>
    <w:basedOn w:val="a6"/>
    <w:next w:val="a6"/>
    <w:qFormat/>
    <w:pPr>
      <w:autoSpaceDE w:val="0"/>
      <w:autoSpaceDN w:val="0"/>
      <w:adjustRightInd w:val="0"/>
      <w:spacing w:line="440" w:lineRule="atLeast"/>
      <w:jc w:val="left"/>
    </w:pPr>
    <w:rPr>
      <w:rFonts w:ascii="宋体-方正超大字符集" w:eastAsia="宋体-方正超大字符集"/>
      <w:color w:val="000000"/>
      <w:w w:val="110"/>
      <w:kern w:val="0"/>
      <w:sz w:val="20"/>
    </w:rPr>
  </w:style>
  <w:style w:type="paragraph" w:customStyle="1" w:styleId="reader-word-layerreader-word-s3-3">
    <w:name w:val="reader-word-layer reader-word-s3-3"/>
    <w:basedOn w:val="a6"/>
    <w:qFormat/>
    <w:pPr>
      <w:widowControl/>
      <w:spacing w:before="100" w:beforeAutospacing="1" w:after="100" w:afterAutospacing="1"/>
      <w:jc w:val="left"/>
    </w:pPr>
    <w:rPr>
      <w:rFonts w:ascii="宋体" w:hAnsi="宋体" w:cs="宋体"/>
      <w:kern w:val="0"/>
      <w:sz w:val="24"/>
    </w:rPr>
  </w:style>
  <w:style w:type="paragraph" w:customStyle="1" w:styleId="2ffffff6">
    <w:name w:val="小标题2"/>
    <w:basedOn w:val="a6"/>
    <w:qFormat/>
    <w:pPr>
      <w:spacing w:line="336" w:lineRule="auto"/>
      <w:ind w:firstLineChars="233" w:firstLine="559"/>
    </w:pPr>
    <w:rPr>
      <w:sz w:val="24"/>
      <w:szCs w:val="20"/>
    </w:rPr>
  </w:style>
  <w:style w:type="paragraph" w:customStyle="1" w:styleId="xl39">
    <w:name w:val="xl39"/>
    <w:basedOn w:val="a6"/>
    <w:qFormat/>
    <w:pPr>
      <w:widowControl/>
      <w:pBdr>
        <w:top w:val="single" w:sz="4" w:space="0" w:color="auto"/>
        <w:left w:val="double" w:sz="6" w:space="0" w:color="auto"/>
        <w:bottom w:val="single" w:sz="4" w:space="0" w:color="auto"/>
        <w:right w:val="single" w:sz="4" w:space="0" w:color="auto"/>
      </w:pBdr>
      <w:spacing w:before="100" w:after="100"/>
      <w:jc w:val="center"/>
      <w:textAlignment w:val="center"/>
    </w:pPr>
    <w:rPr>
      <w:rFonts w:ascii="宋体" w:hAnsi="宋体"/>
      <w:kern w:val="0"/>
      <w:szCs w:val="20"/>
    </w:rPr>
  </w:style>
  <w:style w:type="paragraph" w:customStyle="1" w:styleId="2ffffff7">
    <w:name w:val="样式 宋体 首行缩进:  2 字符"/>
    <w:basedOn w:val="a6"/>
    <w:qFormat/>
    <w:pPr>
      <w:spacing w:line="360" w:lineRule="auto"/>
      <w:ind w:firstLineChars="200" w:firstLine="200"/>
    </w:pPr>
    <w:rPr>
      <w:rFonts w:ascii="宋体" w:hAnsi="宋体" w:cs="宋体"/>
      <w:sz w:val="24"/>
      <w:szCs w:val="20"/>
    </w:rPr>
  </w:style>
  <w:style w:type="paragraph" w:customStyle="1" w:styleId="afffffffffffffffffffffffffffffffffffe">
    <w:name w:val="正缩"/>
    <w:basedOn w:val="a6"/>
    <w:qFormat/>
    <w:pPr>
      <w:adjustRightInd w:val="0"/>
      <w:ind w:firstLine="567"/>
      <w:textAlignment w:val="baseline"/>
    </w:pPr>
    <w:rPr>
      <w:sz w:val="24"/>
      <w:szCs w:val="20"/>
    </w:rPr>
  </w:style>
  <w:style w:type="paragraph" w:customStyle="1" w:styleId="affffffffffffffffffffffffffffffffffff">
    <w:name w:val="插图标题"/>
    <w:basedOn w:val="a6"/>
    <w:qFormat/>
    <w:pPr>
      <w:tabs>
        <w:tab w:val="left" w:pos="1134"/>
        <w:tab w:val="right" w:pos="7371"/>
      </w:tabs>
      <w:overflowPunct w:val="0"/>
      <w:adjustRightInd w:val="0"/>
      <w:ind w:firstLine="567"/>
      <w:jc w:val="center"/>
      <w:textAlignment w:val="baseline"/>
    </w:pPr>
    <w:rPr>
      <w:rFonts w:ascii="黑体" w:eastAsia="黑体"/>
      <w:kern w:val="0"/>
      <w:sz w:val="28"/>
      <w:szCs w:val="20"/>
    </w:rPr>
  </w:style>
  <w:style w:type="paragraph" w:customStyle="1" w:styleId="1ffffff9">
    <w:name w:val="1级标题"/>
    <w:basedOn w:val="12"/>
    <w:qFormat/>
    <w:pPr>
      <w:spacing w:before="240" w:after="240" w:line="600" w:lineRule="exact"/>
    </w:pPr>
    <w:rPr>
      <w:sz w:val="32"/>
    </w:rPr>
  </w:style>
  <w:style w:type="paragraph" w:customStyle="1" w:styleId="2135">
    <w:name w:val="样式 化工城正文 + 首行缩进:  2 字符 行距: 多倍行距 1.35 字行"/>
    <w:basedOn w:val="a6"/>
    <w:qFormat/>
    <w:pPr>
      <w:spacing w:line="324" w:lineRule="auto"/>
      <w:ind w:firstLineChars="200" w:firstLine="480"/>
    </w:pPr>
    <w:rPr>
      <w:rFonts w:ascii="宋体" w:hAnsi="宋体" w:cs="宋体"/>
      <w:sz w:val="24"/>
      <w:szCs w:val="20"/>
    </w:rPr>
  </w:style>
  <w:style w:type="paragraph" w:customStyle="1" w:styleId="puce">
    <w:name w:val="puce"/>
    <w:basedOn w:val="a6"/>
    <w:qFormat/>
    <w:pPr>
      <w:widowControl/>
      <w:numPr>
        <w:ilvl w:val="1"/>
        <w:numId w:val="28"/>
      </w:numPr>
      <w:tabs>
        <w:tab w:val="left" w:pos="1200"/>
      </w:tabs>
      <w:adjustRightInd w:val="0"/>
      <w:snapToGrid w:val="0"/>
      <w:spacing w:line="360" w:lineRule="auto"/>
      <w:ind w:left="0" w:firstLineChars="200" w:firstLine="480"/>
    </w:pPr>
    <w:rPr>
      <w:rFonts w:ascii="Arial" w:hAnsi="Arial"/>
      <w:snapToGrid w:val="0"/>
      <w:color w:val="FF00FF"/>
      <w:kern w:val="0"/>
      <w:sz w:val="24"/>
    </w:rPr>
  </w:style>
  <w:style w:type="paragraph" w:customStyle="1" w:styleId="1ffffffa">
    <w:name w:val="封面1"/>
    <w:basedOn w:val="a6"/>
    <w:qFormat/>
    <w:pPr>
      <w:spacing w:line="300" w:lineRule="auto"/>
      <w:jc w:val="left"/>
    </w:pPr>
    <w:rPr>
      <w:b/>
      <w:bCs/>
      <w:color w:val="000000"/>
      <w:sz w:val="32"/>
      <w:bdr w:val="single" w:sz="4" w:space="0" w:color="auto"/>
    </w:rPr>
  </w:style>
  <w:style w:type="paragraph" w:customStyle="1" w:styleId="11111h11stlevelSectionHeadl1b1-2">
    <w:name w:val="样式 样式 标题 11.标题 1§1.?.章标题 1h11st levelSection Headl1b1-*+ ...2 + ..."/>
    <w:qFormat/>
    <w:pPr>
      <w:tabs>
        <w:tab w:val="left" w:pos="432"/>
      </w:tabs>
      <w:spacing w:line="336" w:lineRule="auto"/>
      <w:jc w:val="center"/>
    </w:pPr>
    <w:rPr>
      <w:rFonts w:ascii="楷体_GB2312" w:eastAsia="楷体_GB2312"/>
      <w:sz w:val="32"/>
      <w:szCs w:val="32"/>
    </w:rPr>
  </w:style>
  <w:style w:type="paragraph" w:customStyle="1" w:styleId="11111h11stlevelSectionHeadl1b1-20">
    <w:name w:val="样式 标题 11.标题 1§1.?.章标题 1h11st levelSection Headl1b1-*+ ...2"/>
    <w:basedOn w:val="12"/>
    <w:qFormat/>
    <w:pPr>
      <w:keepNext w:val="0"/>
      <w:keepLines w:val="0"/>
      <w:tabs>
        <w:tab w:val="left" w:pos="432"/>
      </w:tabs>
      <w:autoSpaceDE w:val="0"/>
      <w:autoSpaceDN w:val="0"/>
      <w:spacing w:beforeLines="100" w:before="0" w:afterLines="100" w:after="0" w:line="360" w:lineRule="auto"/>
      <w:ind w:left="431" w:hanging="431"/>
      <w:jc w:val="left"/>
    </w:pPr>
    <w:rPr>
      <w:rFonts w:ascii="Arial" w:hAnsi="Arial" w:cs="宋体"/>
      <w:b w:val="0"/>
      <w:kern w:val="2"/>
      <w:sz w:val="24"/>
      <w:szCs w:val="20"/>
    </w:rPr>
  </w:style>
  <w:style w:type="paragraph" w:customStyle="1" w:styleId="affffffffffffffffffffffffffffffffffff0">
    <w:name w:val="图表脚注说明"/>
    <w:basedOn w:val="a6"/>
    <w:qFormat/>
    <w:pPr>
      <w:tabs>
        <w:tab w:val="left" w:pos="360"/>
      </w:tabs>
    </w:pPr>
    <w:rPr>
      <w:rFonts w:ascii="宋体"/>
      <w:color w:val="000000"/>
      <w:w w:val="110"/>
      <w:kern w:val="0"/>
      <w:sz w:val="18"/>
      <w:szCs w:val="18"/>
    </w:rPr>
  </w:style>
  <w:style w:type="paragraph" w:customStyle="1" w:styleId="44XWTimesNewRoman15">
    <w:name w:val="样式 标题 4标题 4XW + (西文) Times New Roman 行距: 1.5 倍行距"/>
    <w:basedOn w:val="41"/>
    <w:next w:val="a6"/>
    <w:qFormat/>
    <w:pPr>
      <w:keepNext w:val="0"/>
      <w:keepLines w:val="0"/>
      <w:wordWrap w:val="0"/>
      <w:adjustRightInd/>
      <w:spacing w:beforeLines="0" w:before="0" w:line="360" w:lineRule="auto"/>
      <w:ind w:firstLineChars="200" w:firstLine="200"/>
    </w:pPr>
    <w:rPr>
      <w:rFonts w:ascii="Times New Roman" w:eastAsia="宋体" w:hAnsi="Times New Roman" w:cs="宋体"/>
      <w:bCs w:val="0"/>
      <w:sz w:val="24"/>
    </w:rPr>
  </w:style>
  <w:style w:type="paragraph" w:customStyle="1" w:styleId="affffffffffffffffffffffffffffffffffff1">
    <w:name w:val="标题三 楷体"/>
    <w:basedOn w:val="33"/>
    <w:qFormat/>
    <w:pPr>
      <w:keepNext w:val="0"/>
      <w:keepLines w:val="0"/>
      <w:adjustRightInd w:val="0"/>
      <w:spacing w:line="500" w:lineRule="exact"/>
    </w:pPr>
    <w:rPr>
      <w:rFonts w:ascii="楷体_GB2312" w:eastAsia="楷体_GB2312"/>
      <w:b/>
      <w:bCs/>
      <w:snapToGrid w:val="0"/>
      <w:spacing w:val="0"/>
      <w:sz w:val="24"/>
      <w:szCs w:val="24"/>
    </w:rPr>
  </w:style>
  <w:style w:type="paragraph" w:customStyle="1" w:styleId="6c">
    <w:name w:val="样式6"/>
    <w:basedOn w:val="a6"/>
    <w:qFormat/>
    <w:pPr>
      <w:adjustRightInd w:val="0"/>
      <w:spacing w:line="360" w:lineRule="atLeast"/>
      <w:ind w:firstLine="482"/>
      <w:textAlignment w:val="baseline"/>
    </w:pPr>
    <w:rPr>
      <w:spacing w:val="4"/>
      <w:kern w:val="0"/>
      <w:szCs w:val="20"/>
    </w:rPr>
  </w:style>
  <w:style w:type="paragraph" w:customStyle="1" w:styleId="2ffffff8">
    <w:name w:val="页脚2"/>
    <w:basedOn w:val="af0"/>
    <w:qFormat/>
    <w:pPr>
      <w:tabs>
        <w:tab w:val="center" w:pos="4153"/>
        <w:tab w:val="right" w:pos="8306"/>
      </w:tabs>
      <w:spacing w:line="240" w:lineRule="atLeast"/>
      <w:ind w:firstLine="0"/>
    </w:pPr>
    <w:rPr>
      <w:rFonts w:hAnsi="Times New Roman"/>
      <w:sz w:val="18"/>
      <w:szCs w:val="20"/>
    </w:rPr>
  </w:style>
  <w:style w:type="paragraph" w:customStyle="1" w:styleId="12e">
    <w:name w:val="样式 样式1 + 首行缩进:  2 字符"/>
    <w:basedOn w:val="1e"/>
    <w:qFormat/>
    <w:pPr>
      <w:adjustRightInd/>
      <w:snapToGrid/>
      <w:spacing w:beforeLines="0" w:before="0" w:afterLines="0" w:after="0" w:line="440" w:lineRule="exact"/>
    </w:pPr>
    <w:rPr>
      <w:rFonts w:ascii="Calibri" w:hAnsi="Calibri"/>
      <w:bCs w:val="0"/>
    </w:rPr>
  </w:style>
  <w:style w:type="paragraph" w:customStyle="1" w:styleId="1111110">
    <w:name w:val="样式 1.1.1.1 + 右侧:  1 字符1"/>
    <w:basedOn w:val="41"/>
    <w:qFormat/>
    <w:pPr>
      <w:keepNext w:val="0"/>
      <w:keepLines w:val="0"/>
      <w:tabs>
        <w:tab w:val="left" w:pos="1070"/>
      </w:tabs>
      <w:overflowPunct w:val="0"/>
      <w:autoSpaceDE w:val="0"/>
      <w:autoSpaceDN w:val="0"/>
      <w:spacing w:beforeLines="0" w:before="0" w:line="240" w:lineRule="exact"/>
      <w:jc w:val="left"/>
      <w:textAlignment w:val="baseline"/>
    </w:pPr>
    <w:rPr>
      <w:rFonts w:ascii="宋体" w:eastAsia="宋体" w:hAnsi="Times New Roman" w:cs="TimesNewRoman"/>
      <w:bCs w:val="0"/>
      <w:snapToGrid w:val="0"/>
      <w:sz w:val="24"/>
    </w:rPr>
  </w:style>
  <w:style w:type="paragraph" w:customStyle="1" w:styleId="CharCharCharCharCharCharCharCharCharChar1">
    <w:name w:val="Char Char Char Char Char Char Char Char Char Char1"/>
    <w:basedOn w:val="a6"/>
    <w:next w:val="a6"/>
    <w:qFormat/>
    <w:pPr>
      <w:spacing w:line="360" w:lineRule="auto"/>
      <w:ind w:firstLineChars="200" w:firstLine="200"/>
    </w:pPr>
    <w:rPr>
      <w:rFonts w:ascii="宋体" w:hAnsi="宋体" w:cs="宋体"/>
      <w:color w:val="000000"/>
      <w:w w:val="110"/>
      <w:kern w:val="0"/>
      <w:sz w:val="24"/>
    </w:rPr>
  </w:style>
  <w:style w:type="paragraph" w:customStyle="1" w:styleId="affffffffffffffffffffffffffffffffffff2">
    <w:name w:val="文件"/>
    <w:basedOn w:val="a6"/>
    <w:qFormat/>
    <w:pPr>
      <w:widowControl/>
      <w:tabs>
        <w:tab w:val="left" w:pos="300"/>
      </w:tabs>
      <w:spacing w:line="360" w:lineRule="auto"/>
      <w:ind w:left="900"/>
    </w:pPr>
    <w:rPr>
      <w:rFonts w:ascii="楷体_GB2312" w:eastAsia="楷体_GB2312" w:hAnsi="宋体"/>
      <w:kern w:val="0"/>
      <w:sz w:val="30"/>
    </w:rPr>
  </w:style>
  <w:style w:type="paragraph" w:customStyle="1" w:styleId="11fa">
    <w:name w:val="列出段落11"/>
    <w:basedOn w:val="a6"/>
    <w:qFormat/>
    <w:pPr>
      <w:ind w:firstLineChars="200" w:firstLine="420"/>
    </w:pPr>
  </w:style>
  <w:style w:type="paragraph" w:customStyle="1" w:styleId="1ffffffb">
    <w:name w:val="电子邮件签名1"/>
    <w:basedOn w:val="a6"/>
    <w:qFormat/>
  </w:style>
  <w:style w:type="paragraph" w:customStyle="1" w:styleId="affffffffffffffffffffffffffffffffffff3">
    <w:name w:val="一级无标题条"/>
    <w:basedOn w:val="a6"/>
    <w:qFormat/>
    <w:pPr>
      <w:ind w:firstLineChars="200" w:firstLine="200"/>
    </w:pPr>
  </w:style>
  <w:style w:type="paragraph" w:customStyle="1" w:styleId="T12">
    <w:name w:val="T1 标题"/>
    <w:basedOn w:val="12"/>
    <w:qFormat/>
    <w:pPr>
      <w:tabs>
        <w:tab w:val="left" w:pos="480"/>
        <w:tab w:val="left" w:pos="1778"/>
        <w:tab w:val="left" w:pos="2629"/>
      </w:tabs>
      <w:spacing w:line="360" w:lineRule="auto"/>
      <w:ind w:left="432"/>
      <w:jc w:val="center"/>
    </w:pPr>
    <w:rPr>
      <w:rFonts w:ascii="宋体" w:hAnsi="宋体" w:cs="宋体"/>
      <w:szCs w:val="20"/>
    </w:rPr>
  </w:style>
  <w:style w:type="paragraph" w:customStyle="1" w:styleId="affffffffffffffffffffffffffffffffffff4">
    <w:name w:val="文本框"/>
    <w:basedOn w:val="a6"/>
    <w:qFormat/>
    <w:pPr>
      <w:spacing w:line="240" w:lineRule="atLeast"/>
    </w:pPr>
    <w:rPr>
      <w:rFonts w:ascii="宋体"/>
      <w:szCs w:val="20"/>
    </w:rPr>
  </w:style>
  <w:style w:type="paragraph" w:customStyle="1" w:styleId="Char1CharCharChar3">
    <w:name w:val="Char1 Char Char Char3"/>
    <w:basedOn w:val="a6"/>
    <w:qFormat/>
    <w:rPr>
      <w:rFonts w:ascii="Tahoma" w:hAnsi="Tahoma"/>
      <w:sz w:val="24"/>
      <w:szCs w:val="20"/>
    </w:rPr>
  </w:style>
  <w:style w:type="paragraph" w:customStyle="1" w:styleId="CharCharChar60">
    <w:name w:val="Char Char Char6"/>
    <w:basedOn w:val="a6"/>
    <w:qFormat/>
  </w:style>
  <w:style w:type="paragraph" w:customStyle="1" w:styleId="318">
    <w:name w:val="列表接续 31"/>
    <w:basedOn w:val="a6"/>
    <w:qFormat/>
    <w:pPr>
      <w:spacing w:after="120"/>
      <w:ind w:leftChars="600" w:left="1260"/>
    </w:pPr>
  </w:style>
  <w:style w:type="paragraph" w:customStyle="1" w:styleId="2ffffff9">
    <w:name w:val="无间隔2"/>
    <w:basedOn w:val="a6"/>
    <w:uiPriority w:val="1"/>
    <w:qFormat/>
    <w:pPr>
      <w:widowControl/>
      <w:jc w:val="left"/>
    </w:pPr>
    <w:rPr>
      <w:rFonts w:ascii="Cambria" w:hAnsi="Cambria" w:cs="黑体"/>
      <w:kern w:val="0"/>
      <w:sz w:val="22"/>
      <w:szCs w:val="22"/>
      <w:lang w:eastAsia="en-US" w:bidi="en-US"/>
    </w:rPr>
  </w:style>
  <w:style w:type="paragraph" w:customStyle="1" w:styleId="1ffffffc">
    <w:name w:val="样式 正文首行缩进 + 首行缩进:  1 字符"/>
    <w:basedOn w:val="affc"/>
    <w:qFormat/>
    <w:pPr>
      <w:spacing w:line="440" w:lineRule="exact"/>
      <w:ind w:firstLine="200"/>
    </w:pPr>
    <w:rPr>
      <w:rFonts w:ascii="Times New Roman" w:hAnsi="Times New Roman" w:cs="宋体"/>
      <w:bCs w:val="0"/>
      <w:spacing w:val="6"/>
      <w:kern w:val="2"/>
      <w:sz w:val="24"/>
      <w:szCs w:val="24"/>
    </w:rPr>
  </w:style>
  <w:style w:type="paragraph" w:customStyle="1" w:styleId="affffffffffffffffffffffffffffffffffff5">
    <w:name w:val="四级标题"/>
    <w:basedOn w:val="a6"/>
    <w:qFormat/>
    <w:pPr>
      <w:outlineLvl w:val="3"/>
    </w:pPr>
    <w:rPr>
      <w:b/>
    </w:rPr>
  </w:style>
  <w:style w:type="paragraph" w:customStyle="1" w:styleId="CM11">
    <w:name w:val="CM11"/>
    <w:basedOn w:val="Default"/>
    <w:next w:val="Default"/>
    <w:qFormat/>
    <w:pPr>
      <w:spacing w:line="546" w:lineRule="atLeast"/>
    </w:pPr>
    <w:rPr>
      <w:rFonts w:ascii="黑体" w:eastAsia="黑体" w:cs="黑体"/>
    </w:rPr>
  </w:style>
  <w:style w:type="paragraph" w:customStyle="1" w:styleId="CM91">
    <w:name w:val="CM91"/>
    <w:basedOn w:val="Default"/>
    <w:next w:val="Default"/>
    <w:qFormat/>
    <w:pPr>
      <w:spacing w:after="300"/>
    </w:pPr>
    <w:rPr>
      <w:rFonts w:ascii="黑体" w:eastAsia="黑体"/>
      <w:color w:val="auto"/>
    </w:rPr>
  </w:style>
  <w:style w:type="paragraph" w:customStyle="1" w:styleId="CharCharCharCharCharCharCharCharChar1CharCharCharCharCharCharCharCharCharCharCharCharCharCharCharCharCharCharCharCharCharChar">
    <w:name w:val="Char Char Char Char Char Char Char Char Char1 Char Char Char Char Char Char Char Char Char Char Char Char Char Char Char Char Char Char Char Char Char Char"/>
    <w:basedOn w:val="a6"/>
    <w:qFormat/>
    <w:rPr>
      <w:sz w:val="24"/>
    </w:rPr>
  </w:style>
  <w:style w:type="paragraph" w:customStyle="1" w:styleId="CharCharCharCharCharChar1CharCharCharCharCharCharCharCharCharCharCharChar">
    <w:name w:val="Char Char Char Char Char Char1 Char Char Char Char Char Char Char Char Char Char Char Char"/>
    <w:basedOn w:val="a6"/>
    <w:qFormat/>
  </w:style>
  <w:style w:type="paragraph" w:customStyle="1" w:styleId="xl92">
    <w:name w:val="xl92"/>
    <w:basedOn w:val="a6"/>
    <w:qFormat/>
    <w:pPr>
      <w:widowControl/>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left"/>
      <w:textAlignment w:val="center"/>
    </w:pPr>
    <w:rPr>
      <w:b/>
      <w:bCs/>
      <w:kern w:val="0"/>
      <w:sz w:val="20"/>
      <w:szCs w:val="20"/>
    </w:rPr>
  </w:style>
  <w:style w:type="paragraph" w:customStyle="1" w:styleId="CharCharCharCharCharCharCharCharChar2">
    <w:name w:val="Char Char Char Char Char Char Char Char Char2"/>
    <w:basedOn w:val="a6"/>
    <w:qFormat/>
  </w:style>
  <w:style w:type="paragraph" w:customStyle="1" w:styleId="affffffffffffffffffffffffffffffffffff6">
    <w:name w:val="表格中"/>
    <w:basedOn w:val="a6"/>
    <w:qFormat/>
    <w:pPr>
      <w:spacing w:line="280" w:lineRule="exact"/>
      <w:jc w:val="center"/>
    </w:pPr>
    <w:rPr>
      <w:rFonts w:ascii="宋体"/>
      <w:sz w:val="18"/>
    </w:rPr>
  </w:style>
  <w:style w:type="paragraph" w:customStyle="1" w:styleId="CharCharChar1CharCharCharCharCharCharCharCharCharCharCharCharCharCharCharCharChar1">
    <w:name w:val="Char Char Char1 Char Char Char Char Char Char Char Char Char Char Char Char Char Char Char Char Char1"/>
    <w:basedOn w:val="a6"/>
    <w:qFormat/>
  </w:style>
  <w:style w:type="paragraph" w:customStyle="1" w:styleId="affffffffffffffffffffffffffffffffffff7">
    <w:name w:val="仿宋四号"/>
    <w:basedOn w:val="a6"/>
    <w:qFormat/>
    <w:pPr>
      <w:ind w:firstLineChars="200" w:firstLine="560"/>
    </w:pPr>
    <w:rPr>
      <w:rFonts w:ascii="仿宋_GB2312" w:eastAsia="仿宋_GB2312" w:hAnsi="Arial"/>
      <w:sz w:val="28"/>
      <w:szCs w:val="20"/>
    </w:rPr>
  </w:style>
  <w:style w:type="paragraph" w:customStyle="1" w:styleId="affffffffffffffffffffffffffffffffffff8">
    <w:name w:val="样式 标题 + 居中"/>
    <w:basedOn w:val="aa"/>
    <w:qFormat/>
    <w:pPr>
      <w:pageBreakBefore w:val="0"/>
      <w:tabs>
        <w:tab w:val="left" w:pos="0"/>
      </w:tabs>
      <w:spacing w:before="0" w:after="100" w:afterAutospacing="1" w:line="360" w:lineRule="auto"/>
      <w:ind w:left="57" w:hanging="57"/>
    </w:pPr>
    <w:rPr>
      <w:rFonts w:ascii="楷体_GB2312" w:eastAsia="隶书" w:hAnsi="Arial" w:cs="宋体"/>
      <w:kern w:val="0"/>
      <w:sz w:val="36"/>
      <w:szCs w:val="20"/>
    </w:rPr>
  </w:style>
  <w:style w:type="paragraph" w:customStyle="1" w:styleId="CharCharCharCharCharCharCharCharCharCharCharCharChar2">
    <w:name w:val="Char Char Char Char Char Char Char Char Char Char Char Char Char2"/>
    <w:basedOn w:val="a6"/>
    <w:qFormat/>
    <w:pPr>
      <w:autoSpaceDE w:val="0"/>
      <w:autoSpaceDN w:val="0"/>
      <w:adjustRightInd w:val="0"/>
      <w:snapToGrid w:val="0"/>
      <w:spacing w:before="50" w:after="50" w:line="360" w:lineRule="auto"/>
      <w:ind w:firstLineChars="200" w:firstLine="560"/>
    </w:pPr>
    <w:rPr>
      <w:rFonts w:eastAsia="仿宋_GB2312"/>
      <w:color w:val="000000"/>
      <w:sz w:val="24"/>
    </w:rPr>
  </w:style>
  <w:style w:type="paragraph" w:customStyle="1" w:styleId="361">
    <w:name w:val="样式 一号 加粗 居中 行距: 固定值 36 磅"/>
    <w:basedOn w:val="a6"/>
    <w:qFormat/>
    <w:pPr>
      <w:spacing w:line="720" w:lineRule="exact"/>
      <w:jc w:val="center"/>
    </w:pPr>
    <w:rPr>
      <w:rFonts w:eastAsia="汉鼎简书宋" w:cs="宋体"/>
      <w:b/>
      <w:bCs/>
      <w:kern w:val="0"/>
      <w:sz w:val="48"/>
      <w:szCs w:val="48"/>
    </w:rPr>
  </w:style>
  <w:style w:type="paragraph" w:customStyle="1" w:styleId="Char61">
    <w:name w:val="Char61"/>
    <w:basedOn w:val="a6"/>
    <w:qFormat/>
  </w:style>
  <w:style w:type="paragraph" w:customStyle="1" w:styleId="1ffffffd">
    <w:name w:val="寄信人地址1"/>
    <w:basedOn w:val="a6"/>
    <w:qFormat/>
    <w:pPr>
      <w:snapToGrid w:val="0"/>
    </w:pPr>
    <w:rPr>
      <w:rFonts w:ascii="Arial" w:hAnsi="Arial" w:cs="Arial"/>
    </w:rPr>
  </w:style>
  <w:style w:type="paragraph" w:customStyle="1" w:styleId="085">
    <w:name w:val="样式 首行缩进:  0.85 厘米"/>
    <w:basedOn w:val="a6"/>
    <w:qFormat/>
    <w:pPr>
      <w:spacing w:line="360" w:lineRule="auto"/>
      <w:ind w:firstLine="482"/>
    </w:pPr>
    <w:rPr>
      <w:rFonts w:cs="宋体"/>
      <w:sz w:val="24"/>
      <w:szCs w:val="20"/>
    </w:rPr>
  </w:style>
  <w:style w:type="paragraph" w:customStyle="1" w:styleId="22f0">
    <w:name w:val="样式 标题 2 + 首行缩进:  2 字符"/>
    <w:basedOn w:val="22"/>
    <w:qFormat/>
    <w:pPr>
      <w:widowControl/>
      <w:spacing w:afterLines="50"/>
      <w:jc w:val="center"/>
    </w:pPr>
    <w:rPr>
      <w:rFonts w:cs="宋体"/>
      <w:spacing w:val="0"/>
      <w:w w:val="100"/>
      <w:kern w:val="2"/>
      <w:sz w:val="30"/>
      <w:szCs w:val="30"/>
    </w:rPr>
  </w:style>
  <w:style w:type="paragraph" w:customStyle="1" w:styleId="4ff1">
    <w:name w:val="样式 标题 4"/>
    <w:basedOn w:val="41"/>
    <w:qFormat/>
    <w:pPr>
      <w:keepNext w:val="0"/>
      <w:keepLines w:val="0"/>
      <w:tabs>
        <w:tab w:val="left" w:pos="2280"/>
      </w:tabs>
      <w:overflowPunct w:val="0"/>
      <w:autoSpaceDE w:val="0"/>
      <w:autoSpaceDN w:val="0"/>
      <w:spacing w:beforeLines="0" w:before="0" w:line="240" w:lineRule="exact"/>
      <w:ind w:hanging="420"/>
      <w:textAlignment w:val="baseline"/>
    </w:pPr>
    <w:rPr>
      <w:rFonts w:ascii="宋体" w:eastAsia="宋体" w:hAnsi="Times New Roman"/>
      <w:sz w:val="24"/>
    </w:rPr>
  </w:style>
  <w:style w:type="paragraph" w:customStyle="1" w:styleId="2lxb2211H2h2Char41SeHea">
    <w:name w:val="样式 标题 2二级标题标题 lxb2标题21.1H2h2第一层条二级标题 Char单位名4.1SeHea..."/>
    <w:basedOn w:val="afffd"/>
    <w:next w:val="afffd"/>
    <w:qFormat/>
    <w:pPr>
      <w:ind w:firstLineChars="0" w:firstLine="0"/>
    </w:pPr>
    <w:rPr>
      <w:rFonts w:eastAsia="黑体" w:cs="宋体"/>
      <w:b/>
    </w:rPr>
  </w:style>
  <w:style w:type="paragraph" w:customStyle="1" w:styleId="PlainText1">
    <w:name w:val="Plain Text1"/>
    <w:basedOn w:val="a6"/>
    <w:qFormat/>
    <w:pPr>
      <w:tabs>
        <w:tab w:val="left" w:pos="1845"/>
      </w:tabs>
      <w:spacing w:line="240" w:lineRule="exact"/>
      <w:jc w:val="center"/>
    </w:pPr>
    <w:rPr>
      <w:sz w:val="18"/>
    </w:rPr>
  </w:style>
  <w:style w:type="paragraph" w:customStyle="1" w:styleId="TY">
    <w:name w:val="TY"/>
    <w:basedOn w:val="a6"/>
    <w:qFormat/>
    <w:pPr>
      <w:adjustRightInd w:val="0"/>
      <w:snapToGrid w:val="0"/>
      <w:spacing w:before="40" w:after="40"/>
    </w:pPr>
    <w:rPr>
      <w:color w:val="000000"/>
      <w:w w:val="110"/>
      <w:kern w:val="0"/>
      <w:sz w:val="24"/>
      <w:szCs w:val="20"/>
    </w:rPr>
  </w:style>
  <w:style w:type="paragraph" w:customStyle="1" w:styleId="test-">
    <w:name w:val="test-"/>
    <w:basedOn w:val="a6"/>
    <w:qFormat/>
    <w:pPr>
      <w:widowControl/>
      <w:spacing w:before="100" w:beforeAutospacing="1" w:after="100" w:afterAutospacing="1"/>
      <w:jc w:val="left"/>
    </w:pPr>
    <w:rPr>
      <w:rFonts w:ascii="宋体" w:hAnsi="宋体" w:cs="宋体"/>
      <w:kern w:val="0"/>
      <w:sz w:val="24"/>
    </w:rPr>
  </w:style>
  <w:style w:type="paragraph" w:customStyle="1" w:styleId="4ff2">
    <w:name w:val="标4"/>
    <w:basedOn w:val="a6"/>
    <w:qFormat/>
    <w:pPr>
      <w:tabs>
        <w:tab w:val="left" w:pos="425"/>
      </w:tabs>
      <w:ind w:left="425" w:hanging="425"/>
    </w:pPr>
    <w:rPr>
      <w:szCs w:val="20"/>
    </w:rPr>
  </w:style>
  <w:style w:type="paragraph" w:customStyle="1" w:styleId="111112">
    <w:name w:val="表提11111"/>
    <w:basedOn w:val="affc"/>
    <w:qFormat/>
    <w:pPr>
      <w:keepNext/>
      <w:tabs>
        <w:tab w:val="left" w:pos="628"/>
        <w:tab w:val="left" w:pos="1727"/>
        <w:tab w:val="left" w:pos="1884"/>
        <w:tab w:val="left" w:pos="2940"/>
      </w:tabs>
      <w:adjustRightInd w:val="0"/>
      <w:snapToGrid w:val="0"/>
      <w:spacing w:line="300" w:lineRule="auto"/>
      <w:ind w:firstLine="0"/>
      <w:jc w:val="center"/>
    </w:pPr>
    <w:rPr>
      <w:b/>
      <w:color w:val="000000"/>
      <w:spacing w:val="0"/>
      <w:kern w:val="2"/>
      <w:sz w:val="24"/>
      <w:szCs w:val="20"/>
    </w:rPr>
  </w:style>
  <w:style w:type="paragraph" w:customStyle="1" w:styleId="affffffffffffffffffffffffffffffffffff9">
    <w:name w:val="基准标题"/>
    <w:basedOn w:val="af8"/>
    <w:next w:val="af8"/>
    <w:qFormat/>
    <w:pPr>
      <w:spacing w:after="0" w:line="280" w:lineRule="exact"/>
      <w:outlineLvl w:val="0"/>
    </w:pPr>
    <w:rPr>
      <w:rFonts w:ascii="宋体" w:hAnsi="宋体"/>
      <w:bCs/>
      <w:spacing w:val="-10"/>
      <w:sz w:val="18"/>
    </w:rPr>
  </w:style>
  <w:style w:type="paragraph" w:customStyle="1" w:styleId="102">
    <w:name w:val="样式 宋体 10 磅 黑色 居中"/>
    <w:basedOn w:val="a6"/>
    <w:next w:val="afc"/>
    <w:qFormat/>
    <w:pPr>
      <w:jc w:val="center"/>
    </w:pPr>
    <w:rPr>
      <w:rFonts w:ascii="宋体" w:cs="宋体"/>
      <w:color w:val="000000"/>
      <w:kern w:val="0"/>
      <w:sz w:val="20"/>
      <w:szCs w:val="20"/>
    </w:rPr>
  </w:style>
  <w:style w:type="paragraph" w:customStyle="1" w:styleId="CharCharCharCharCharChar1Char3">
    <w:name w:val="Char Char Char Char Char Char1 Char3"/>
    <w:basedOn w:val="a6"/>
    <w:qFormat/>
  </w:style>
  <w:style w:type="paragraph" w:customStyle="1" w:styleId="CharCharCharff2">
    <w:name w:val="二级标题 Char Char Char"/>
    <w:basedOn w:val="a6"/>
    <w:next w:val="a6"/>
    <w:qFormat/>
    <w:pPr>
      <w:spacing w:line="529" w:lineRule="exact"/>
      <w:ind w:firstLineChars="200" w:firstLine="200"/>
    </w:pPr>
    <w:rPr>
      <w:rFonts w:ascii="宋体" w:hAnsi="宋体" w:cs="宋体"/>
      <w:sz w:val="24"/>
    </w:rPr>
  </w:style>
  <w:style w:type="paragraph" w:customStyle="1" w:styleId="Style610">
    <w:name w:val="Style61"/>
    <w:basedOn w:val="a6"/>
    <w:qFormat/>
    <w:pPr>
      <w:adjustRightInd w:val="0"/>
      <w:jc w:val="left"/>
    </w:pPr>
    <w:rPr>
      <w:rFonts w:ascii="宋体"/>
      <w:kern w:val="0"/>
      <w:sz w:val="24"/>
      <w:szCs w:val="20"/>
    </w:rPr>
  </w:style>
  <w:style w:type="paragraph" w:customStyle="1" w:styleId="affffffffffffffffffffffffffffffffffffa">
    <w:name w:val="条(二级)"/>
    <w:basedOn w:val="22"/>
    <w:next w:val="a6"/>
    <w:qFormat/>
    <w:pPr>
      <w:tabs>
        <w:tab w:val="left" w:pos="998"/>
      </w:tabs>
      <w:autoSpaceDE w:val="0"/>
      <w:autoSpaceDN w:val="0"/>
      <w:adjustRightInd w:val="0"/>
      <w:spacing w:line="460" w:lineRule="exact"/>
      <w:ind w:left="576" w:hanging="576"/>
      <w:jc w:val="left"/>
      <w:textAlignment w:val="baseline"/>
      <w:outlineLvl w:val="9"/>
    </w:pPr>
    <w:rPr>
      <w:rFonts w:cs="Arial"/>
      <w:spacing w:val="3"/>
      <w:w w:val="100"/>
      <w:kern w:val="24"/>
      <w:sz w:val="26"/>
      <w:szCs w:val="26"/>
    </w:rPr>
  </w:style>
  <w:style w:type="paragraph" w:customStyle="1" w:styleId="affffffffffffffffffffffffffffffffffffb">
    <w:name w:val="宋体"/>
    <w:basedOn w:val="a6"/>
    <w:qFormat/>
    <w:rPr>
      <w:b/>
      <w:sz w:val="24"/>
    </w:rPr>
  </w:style>
  <w:style w:type="paragraph" w:customStyle="1" w:styleId="CharCharCharChar30">
    <w:name w:val="Char Char Char Char3"/>
    <w:basedOn w:val="a6"/>
    <w:qFormat/>
    <w:rPr>
      <w:rFonts w:ascii="Tahoma" w:hAnsi="Tahoma"/>
      <w:sz w:val="24"/>
      <w:szCs w:val="20"/>
    </w:rPr>
  </w:style>
  <w:style w:type="paragraph" w:customStyle="1" w:styleId="CharCharCharCharCharCharCharChar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 Char Char Char Char Char Char Char Char2"/>
    <w:basedOn w:val="a6"/>
    <w:qFormat/>
    <w:rPr>
      <w:color w:val="000000"/>
      <w:w w:val="110"/>
      <w:kern w:val="0"/>
      <w:sz w:val="24"/>
    </w:rPr>
  </w:style>
  <w:style w:type="paragraph" w:customStyle="1" w:styleId="reader-word-layerreader-word-s1-30">
    <w:name w:val="reader-word-layer reader-word-s1-30"/>
    <w:basedOn w:val="a6"/>
    <w:qFormat/>
    <w:pPr>
      <w:widowControl/>
      <w:spacing w:before="100" w:beforeAutospacing="1" w:after="100" w:afterAutospacing="1"/>
      <w:jc w:val="left"/>
    </w:pPr>
    <w:rPr>
      <w:rFonts w:ascii="宋体" w:hAnsi="宋体" w:cs="宋体"/>
      <w:kern w:val="0"/>
      <w:sz w:val="24"/>
    </w:rPr>
  </w:style>
  <w:style w:type="paragraph" w:customStyle="1" w:styleId="2ffffffa">
    <w:name w:val="样式 样式 居中 + 首行缩进:  2 字符"/>
    <w:basedOn w:val="a6"/>
    <w:qFormat/>
    <w:pPr>
      <w:keepNext/>
      <w:keepLines/>
      <w:widowControl/>
      <w:tabs>
        <w:tab w:val="left" w:pos="1727"/>
        <w:tab w:val="left" w:pos="1884"/>
      </w:tabs>
      <w:autoSpaceDE w:val="0"/>
      <w:autoSpaceDN w:val="0"/>
      <w:adjustRightInd w:val="0"/>
      <w:spacing w:line="288" w:lineRule="auto"/>
      <w:jc w:val="center"/>
      <w:outlineLvl w:val="0"/>
    </w:pPr>
    <w:rPr>
      <w:rFonts w:cs="宋体"/>
      <w:kern w:val="0"/>
      <w:sz w:val="24"/>
      <w:szCs w:val="20"/>
    </w:rPr>
  </w:style>
  <w:style w:type="paragraph" w:customStyle="1" w:styleId="reader-word-layerreader-word-s1-19">
    <w:name w:val="reader-word-layer reader-word-s1-19"/>
    <w:basedOn w:val="a6"/>
    <w:qFormat/>
    <w:pPr>
      <w:widowControl/>
      <w:spacing w:before="100" w:beforeAutospacing="1" w:after="100" w:afterAutospacing="1"/>
      <w:jc w:val="left"/>
    </w:pPr>
    <w:rPr>
      <w:rFonts w:ascii="宋体" w:hAnsi="宋体" w:cs="宋体"/>
      <w:kern w:val="0"/>
      <w:sz w:val="24"/>
    </w:rPr>
  </w:style>
  <w:style w:type="paragraph" w:customStyle="1" w:styleId="CharCharChar1CharCharCharCharCharCharCharCharCharCharCharCharCharCharCharCharCharCharChar2">
    <w:name w:val="Char Char Char1 Char Char Char Char Char Char Char Char Char Char Char Char Char Char Char Char Char Char Char2"/>
    <w:basedOn w:val="a6"/>
    <w:qFormat/>
    <w:rPr>
      <w:color w:val="000000"/>
      <w:w w:val="110"/>
      <w:kern w:val="0"/>
      <w:sz w:val="24"/>
    </w:rPr>
  </w:style>
  <w:style w:type="paragraph" w:customStyle="1" w:styleId="affffffffffffffffffffffffffffffffffffc">
    <w:name w:val="表格文字居左"/>
    <w:basedOn w:val="a6"/>
    <w:qFormat/>
    <w:pPr>
      <w:widowControl/>
      <w:tabs>
        <w:tab w:val="left" w:pos="628"/>
        <w:tab w:val="left" w:pos="1727"/>
        <w:tab w:val="left" w:pos="1884"/>
      </w:tabs>
      <w:snapToGrid w:val="0"/>
      <w:spacing w:before="50" w:after="100" w:afterAutospacing="1"/>
      <w:ind w:firstLineChars="200" w:firstLine="480"/>
      <w:jc w:val="left"/>
      <w:outlineLvl w:val="0"/>
    </w:pPr>
    <w:rPr>
      <w:rFonts w:ascii="宋体" w:hAnsi="宋体" w:cs="宋体"/>
      <w:kern w:val="0"/>
      <w:sz w:val="24"/>
      <w:szCs w:val="21"/>
    </w:rPr>
  </w:style>
  <w:style w:type="paragraph" w:customStyle="1" w:styleId="reader-word-layerreader-word-s1-4">
    <w:name w:val="reader-word-layer reader-word-s1-4"/>
    <w:basedOn w:val="a6"/>
    <w:uiPriority w:val="99"/>
    <w:qFormat/>
    <w:pPr>
      <w:widowControl/>
      <w:spacing w:before="100" w:beforeAutospacing="1" w:after="100" w:afterAutospacing="1"/>
      <w:jc w:val="left"/>
    </w:pPr>
    <w:rPr>
      <w:rFonts w:ascii="宋体" w:hAnsi="宋体" w:cs="宋体"/>
      <w:kern w:val="0"/>
      <w:sz w:val="24"/>
    </w:rPr>
  </w:style>
  <w:style w:type="paragraph" w:customStyle="1" w:styleId="affffffffffffffffffffffffffffffffffffd">
    <w:name w:val="报告名"/>
    <w:basedOn w:val="a6"/>
    <w:qFormat/>
    <w:pPr>
      <w:widowControl/>
      <w:tabs>
        <w:tab w:val="left" w:pos="1727"/>
        <w:tab w:val="left" w:pos="1884"/>
      </w:tabs>
      <w:adjustRightInd w:val="0"/>
      <w:spacing w:line="300" w:lineRule="auto"/>
      <w:jc w:val="center"/>
      <w:outlineLvl w:val="0"/>
    </w:pPr>
    <w:rPr>
      <w:rFonts w:ascii="文鼎大标宋简" w:eastAsia="文鼎大标宋简" w:cs="宋体"/>
      <w:kern w:val="0"/>
      <w:sz w:val="56"/>
      <w:szCs w:val="20"/>
    </w:rPr>
  </w:style>
  <w:style w:type="paragraph" w:customStyle="1" w:styleId="11fb">
    <w:name w:val="批注主题11"/>
    <w:basedOn w:val="af6"/>
    <w:next w:val="af6"/>
    <w:qFormat/>
    <w:pPr>
      <w:adjustRightInd w:val="0"/>
      <w:snapToGrid w:val="0"/>
      <w:spacing w:line="360" w:lineRule="auto"/>
      <w:ind w:firstLineChars="200" w:firstLine="200"/>
    </w:pPr>
    <w:rPr>
      <w:rFonts w:eastAsia="仿宋_GB2312"/>
      <w:b/>
      <w:bCs/>
      <w:sz w:val="24"/>
      <w:szCs w:val="22"/>
    </w:rPr>
  </w:style>
  <w:style w:type="paragraph" w:customStyle="1" w:styleId="affffffffffffffffffffffffffffffffffffe">
    <w:name w:val="样式 表格文字居中 + 两端对齐"/>
    <w:basedOn w:val="a6"/>
    <w:qFormat/>
    <w:pPr>
      <w:keepNext/>
      <w:widowControl/>
      <w:tabs>
        <w:tab w:val="left" w:pos="827"/>
      </w:tabs>
      <w:adjustRightInd w:val="0"/>
      <w:snapToGrid w:val="0"/>
      <w:jc w:val="left"/>
    </w:pPr>
    <w:rPr>
      <w:rFonts w:ascii="宋体" w:hAnsi="宋体" w:cs="宋体"/>
      <w:color w:val="000000"/>
      <w:kern w:val="0"/>
      <w:sz w:val="24"/>
      <w:szCs w:val="20"/>
    </w:rPr>
  </w:style>
  <w:style w:type="paragraph" w:customStyle="1" w:styleId="2ffffffb">
    <w:name w:val="正文 + 首行缩进:  2 字符"/>
    <w:basedOn w:val="a6"/>
    <w:qFormat/>
    <w:pPr>
      <w:spacing w:line="460" w:lineRule="atLeast"/>
      <w:ind w:firstLineChars="200" w:firstLine="528"/>
    </w:pPr>
    <w:rPr>
      <w:rFonts w:ascii="宋体"/>
      <w:spacing w:val="12"/>
      <w:kern w:val="0"/>
      <w:sz w:val="24"/>
      <w:szCs w:val="20"/>
    </w:rPr>
  </w:style>
  <w:style w:type="paragraph" w:customStyle="1" w:styleId="CharCharChar1CharCharCharCharCharCharChar1">
    <w:name w:val="Char Char Char1 Char Char Char Char Char Char Char1"/>
    <w:basedOn w:val="a6"/>
    <w:qFormat/>
    <w:pPr>
      <w:adjustRightInd w:val="0"/>
      <w:spacing w:line="312" w:lineRule="auto"/>
      <w:textAlignment w:val="baseline"/>
    </w:pPr>
    <w:rPr>
      <w:rFonts w:ascii="Tahoma" w:hAnsi="Tahoma"/>
      <w:kern w:val="0"/>
      <w:sz w:val="24"/>
      <w:szCs w:val="20"/>
    </w:rPr>
  </w:style>
  <w:style w:type="paragraph" w:customStyle="1" w:styleId="4ff3">
    <w:name w:val="标题 4 宋体"/>
    <w:basedOn w:val="41"/>
    <w:next w:val="a6"/>
    <w:qFormat/>
    <w:pPr>
      <w:tabs>
        <w:tab w:val="left" w:pos="0"/>
        <w:tab w:val="left" w:pos="1064"/>
        <w:tab w:val="left" w:pos="3018"/>
      </w:tabs>
      <w:spacing w:beforeLines="0" w:before="0" w:line="360" w:lineRule="auto"/>
    </w:pPr>
    <w:rPr>
      <w:rFonts w:ascii="宋体" w:eastAsia="宋体" w:hAnsi="Times New Roman"/>
      <w:bCs w:val="0"/>
      <w:sz w:val="24"/>
      <w:szCs w:val="24"/>
    </w:rPr>
  </w:style>
  <w:style w:type="paragraph" w:customStyle="1" w:styleId="afffffffffffffffffffffffffffffffffffff">
    <w:name w:val="正文单倍行距"/>
    <w:basedOn w:val="a6"/>
    <w:qFormat/>
    <w:pPr>
      <w:tabs>
        <w:tab w:val="left" w:pos="8640"/>
      </w:tabs>
      <w:snapToGrid w:val="0"/>
      <w:ind w:firstLineChars="200" w:firstLine="200"/>
    </w:pPr>
    <w:rPr>
      <w:rFonts w:eastAsia="仿宋_GB2312"/>
      <w:color w:val="000000"/>
      <w:w w:val="110"/>
      <w:kern w:val="0"/>
      <w:sz w:val="24"/>
    </w:rPr>
  </w:style>
  <w:style w:type="paragraph" w:customStyle="1" w:styleId="afffffffffffffffffffffffffffffffffffff0">
    <w:name w:val="编制人员情况"/>
    <w:basedOn w:val="a6"/>
    <w:qFormat/>
    <w:pPr>
      <w:widowControl/>
      <w:tabs>
        <w:tab w:val="left" w:pos="600"/>
        <w:tab w:val="left" w:pos="3700"/>
        <w:tab w:val="left" w:pos="6900"/>
      </w:tabs>
      <w:adjustRightInd w:val="0"/>
      <w:snapToGrid w:val="0"/>
      <w:spacing w:after="120" w:line="360" w:lineRule="auto"/>
      <w:ind w:left="420" w:firstLine="180"/>
      <w:jc w:val="left"/>
    </w:pPr>
    <w:rPr>
      <w:rFonts w:ascii="宋体" w:cs="宋体"/>
      <w:kern w:val="0"/>
      <w:sz w:val="32"/>
      <w:szCs w:val="20"/>
    </w:rPr>
  </w:style>
  <w:style w:type="paragraph" w:customStyle="1" w:styleId="reader-word-layerreader-word-s1-12">
    <w:name w:val="reader-word-layer reader-word-s1-12"/>
    <w:basedOn w:val="a6"/>
    <w:uiPriority w:val="99"/>
    <w:qFormat/>
    <w:pPr>
      <w:widowControl/>
      <w:spacing w:before="100" w:beforeAutospacing="1" w:after="100" w:afterAutospacing="1"/>
      <w:jc w:val="left"/>
    </w:pPr>
    <w:rPr>
      <w:rFonts w:ascii="宋体" w:hAnsi="宋体" w:cs="宋体"/>
      <w:kern w:val="0"/>
      <w:sz w:val="24"/>
    </w:rPr>
  </w:style>
  <w:style w:type="paragraph" w:customStyle="1" w:styleId="afffffffffffffffffffffffffffffffffffff1">
    <w:name w:val="表格，五宋"/>
    <w:qFormat/>
    <w:pPr>
      <w:adjustRightInd w:val="0"/>
      <w:spacing w:line="360" w:lineRule="exact"/>
      <w:jc w:val="center"/>
    </w:pPr>
    <w:rPr>
      <w:sz w:val="21"/>
    </w:rPr>
  </w:style>
  <w:style w:type="paragraph" w:customStyle="1" w:styleId="afffffffffffffffffffffffffffffffffffff2">
    <w:name w:val="本册报告名称"/>
    <w:qFormat/>
    <w:rPr>
      <w:sz w:val="48"/>
    </w:rPr>
  </w:style>
  <w:style w:type="paragraph" w:customStyle="1" w:styleId="afffffffffffffffffffffffffffffffffffff3">
    <w:name w:val="项目名称"/>
    <w:basedOn w:val="a6"/>
    <w:qFormat/>
    <w:pPr>
      <w:widowControl/>
      <w:adjustRightInd w:val="0"/>
      <w:snapToGrid w:val="0"/>
      <w:spacing w:line="360" w:lineRule="auto"/>
      <w:jc w:val="center"/>
    </w:pPr>
    <w:rPr>
      <w:rFonts w:ascii="文鼎大标宋简" w:eastAsia="文鼎大标宋简" w:cs="宋体"/>
      <w:kern w:val="0"/>
      <w:sz w:val="56"/>
      <w:szCs w:val="20"/>
    </w:rPr>
  </w:style>
  <w:style w:type="paragraph" w:customStyle="1" w:styleId="4ff4">
    <w:name w:val="封面4"/>
    <w:basedOn w:val="1ffffffa"/>
    <w:qFormat/>
    <w:pPr>
      <w:snapToGrid w:val="0"/>
      <w:spacing w:line="240" w:lineRule="auto"/>
      <w:jc w:val="center"/>
    </w:pPr>
    <w:rPr>
      <w:sz w:val="36"/>
    </w:rPr>
  </w:style>
  <w:style w:type="paragraph" w:customStyle="1" w:styleId="afffffffffffffffffffffffffffffffffffff4">
    <w:name w:val="正文楷体"/>
    <w:basedOn w:val="a6"/>
    <w:qFormat/>
    <w:pPr>
      <w:spacing w:line="500" w:lineRule="exact"/>
      <w:ind w:firstLineChars="200" w:firstLine="200"/>
    </w:pPr>
    <w:rPr>
      <w:rFonts w:ascii="宋体" w:eastAsia="楷体_GB2312" w:hAnsi="宋体"/>
      <w:sz w:val="24"/>
    </w:rPr>
  </w:style>
  <w:style w:type="paragraph" w:customStyle="1" w:styleId="CharCharChar1CharCharCharCharCharCharCharCharCharCharCharCharCharCharCharCharCharCharChar1">
    <w:name w:val="Char Char Char1 Char Char Char Char Char Char Char Char Char Char Char Char Char Char Char Char Char Char Char1"/>
    <w:basedOn w:val="a6"/>
    <w:qFormat/>
    <w:rPr>
      <w:color w:val="000000"/>
      <w:w w:val="110"/>
      <w:kern w:val="0"/>
      <w:sz w:val="24"/>
    </w:rPr>
  </w:style>
  <w:style w:type="paragraph" w:customStyle="1" w:styleId="wg">
    <w:name w:val="wg"/>
    <w:basedOn w:val="a6"/>
    <w:qFormat/>
    <w:rPr>
      <w:color w:val="000000"/>
      <w:sz w:val="24"/>
      <w:szCs w:val="20"/>
    </w:rPr>
  </w:style>
  <w:style w:type="paragraph" w:customStyle="1" w:styleId="3fff8">
    <w:name w:val="列出段落3"/>
    <w:basedOn w:val="a6"/>
    <w:qFormat/>
    <w:pPr>
      <w:ind w:firstLineChars="200" w:firstLine="420"/>
    </w:pPr>
  </w:style>
  <w:style w:type="paragraph" w:customStyle="1" w:styleId="afffffffffffffffffffffffffffffffffffff5">
    <w:name w:val="目次 附件名"/>
    <w:basedOn w:val="13"/>
    <w:qFormat/>
    <w:pPr>
      <w:adjustRightInd w:val="0"/>
      <w:snapToGrid w:val="0"/>
      <w:spacing w:line="360" w:lineRule="auto"/>
      <w:ind w:firstLine="567"/>
    </w:pPr>
    <w:rPr>
      <w:rFonts w:ascii="Times New Roman" w:hAnsi="Times New Roman"/>
      <w:b w:val="0"/>
    </w:rPr>
  </w:style>
  <w:style w:type="paragraph" w:customStyle="1" w:styleId="reader-word-layerreader-word-s10-10">
    <w:name w:val="reader-word-layer reader-word-s10-10"/>
    <w:basedOn w:val="a6"/>
    <w:qFormat/>
    <w:pPr>
      <w:widowControl/>
      <w:spacing w:before="100" w:beforeAutospacing="1" w:after="100" w:afterAutospacing="1"/>
      <w:jc w:val="left"/>
    </w:pPr>
    <w:rPr>
      <w:rFonts w:ascii="宋体" w:hAnsi="宋体" w:cs="宋体"/>
      <w:color w:val="000000"/>
      <w:w w:val="110"/>
      <w:kern w:val="0"/>
      <w:sz w:val="24"/>
    </w:rPr>
  </w:style>
  <w:style w:type="paragraph" w:customStyle="1" w:styleId="afffffffffffffffffffffffffffffffffffff6">
    <w:name w:val="非缩进正文"/>
    <w:basedOn w:val="a6"/>
    <w:next w:val="a6"/>
    <w:qFormat/>
    <w:pPr>
      <w:widowControl/>
      <w:adjustRightInd w:val="0"/>
      <w:spacing w:line="440" w:lineRule="exact"/>
      <w:ind w:firstLine="420"/>
      <w:jc w:val="left"/>
    </w:pPr>
    <w:rPr>
      <w:rFonts w:ascii="Arial" w:hAnsi="Arial" w:cs="宋体"/>
      <w:kern w:val="0"/>
      <w:sz w:val="24"/>
      <w:szCs w:val="21"/>
    </w:rPr>
  </w:style>
  <w:style w:type="paragraph" w:customStyle="1" w:styleId="dandan6-134">
    <w:name w:val="dandan6-13五级"/>
    <w:basedOn w:val="dandan6-130"/>
    <w:qFormat/>
    <w:pPr>
      <w:spacing w:before="40" w:after="40" w:line="360" w:lineRule="auto"/>
      <w:ind w:firstLineChars="200" w:firstLine="200"/>
      <w:outlineLvl w:val="4"/>
    </w:pPr>
    <w:rPr>
      <w:kern w:val="0"/>
    </w:rPr>
  </w:style>
  <w:style w:type="paragraph" w:customStyle="1" w:styleId="CharCharCharCharCharCharCharCharCharCharCharCharCharCharCharCharCharChar">
    <w:name w:val="Char Char Char Char Char Char Char Char Char Char Char Char Char Char Char Char Char Char"/>
    <w:basedOn w:val="a6"/>
    <w:qFormat/>
    <w:pPr>
      <w:widowControl/>
      <w:jc w:val="left"/>
    </w:pPr>
    <w:rPr>
      <w:rFonts w:cs="宋体"/>
      <w:kern w:val="0"/>
      <w:sz w:val="24"/>
    </w:rPr>
  </w:style>
  <w:style w:type="paragraph" w:customStyle="1" w:styleId="afffffffffffffffffffffffffffffffffffff7">
    <w:name w:val="正文表标题"/>
    <w:next w:val="affffffffffffff"/>
    <w:uiPriority w:val="99"/>
    <w:qFormat/>
    <w:pPr>
      <w:tabs>
        <w:tab w:val="left" w:pos="540"/>
      </w:tabs>
      <w:ind w:left="540" w:hanging="540"/>
      <w:jc w:val="center"/>
    </w:pPr>
    <w:rPr>
      <w:rFonts w:ascii="黑体" w:eastAsia="黑体"/>
      <w:sz w:val="21"/>
    </w:rPr>
  </w:style>
  <w:style w:type="paragraph" w:customStyle="1" w:styleId="CharCharCharCharCharCharCharCharCharCharCharCharCharCharCharChar2">
    <w:name w:val="Char Char Char Char Char Char Char Char Char Char Char Char Char Char Char Char2"/>
    <w:basedOn w:val="a6"/>
    <w:qFormat/>
    <w:rPr>
      <w:color w:val="000000"/>
      <w:w w:val="110"/>
      <w:kern w:val="0"/>
      <w:sz w:val="24"/>
    </w:rPr>
  </w:style>
  <w:style w:type="paragraph" w:customStyle="1" w:styleId="4ff5">
    <w:name w:val="表格样式4"/>
    <w:basedOn w:val="118"/>
    <w:qFormat/>
    <w:pPr>
      <w:overflowPunct w:val="0"/>
      <w:adjustRightInd w:val="0"/>
      <w:snapToGrid w:val="0"/>
      <w:spacing w:after="0" w:line="120" w:lineRule="atLeast"/>
      <w:ind w:firstLineChars="0" w:firstLine="0"/>
      <w:jc w:val="center"/>
      <w:textAlignment w:val="baseline"/>
    </w:pPr>
    <w:rPr>
      <w:rFonts w:ascii="Arial" w:eastAsia="仿宋_GB2312" w:hAnsi="Arial"/>
      <w:sz w:val="21"/>
      <w:szCs w:val="20"/>
    </w:rPr>
  </w:style>
  <w:style w:type="paragraph" w:customStyle="1" w:styleId="3fff9">
    <w:name w:val="日期3"/>
    <w:basedOn w:val="a6"/>
    <w:next w:val="a6"/>
    <w:qFormat/>
    <w:pPr>
      <w:adjustRightInd w:val="0"/>
      <w:spacing w:line="360" w:lineRule="atLeast"/>
      <w:textAlignment w:val="baseline"/>
    </w:pPr>
    <w:rPr>
      <w:rFonts w:ascii="宋体"/>
      <w:kern w:val="0"/>
      <w:sz w:val="28"/>
      <w:szCs w:val="20"/>
    </w:rPr>
  </w:style>
  <w:style w:type="paragraph" w:customStyle="1" w:styleId="380">
    <w:name w:val="3 8"/>
    <w:qFormat/>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Courier" w:hAnsi="Courier"/>
      <w:sz w:val="24"/>
      <w:lang w:eastAsia="en-US"/>
    </w:rPr>
  </w:style>
  <w:style w:type="paragraph" w:customStyle="1" w:styleId="afffffffffffffffffffffffffffffffffffff8">
    <w:name w:val="一级标题"/>
    <w:basedOn w:val="a6"/>
    <w:qFormat/>
    <w:pPr>
      <w:spacing w:before="60" w:line="460" w:lineRule="exact"/>
      <w:outlineLvl w:val="0"/>
    </w:pPr>
    <w:rPr>
      <w:b/>
      <w:sz w:val="32"/>
    </w:rPr>
  </w:style>
  <w:style w:type="paragraph" w:customStyle="1" w:styleId="afffffffffffffffffffffffffffffffffffff9">
    <w:name w:val="二期二级样式"/>
    <w:basedOn w:val="a6"/>
    <w:qFormat/>
    <w:pPr>
      <w:widowControl/>
      <w:tabs>
        <w:tab w:val="left" w:pos="840"/>
      </w:tabs>
      <w:ind w:left="840" w:hanging="420"/>
      <w:jc w:val="left"/>
    </w:pPr>
    <w:rPr>
      <w:kern w:val="0"/>
      <w:sz w:val="24"/>
    </w:rPr>
  </w:style>
  <w:style w:type="paragraph" w:customStyle="1" w:styleId="100152">
    <w:name w:val="样式 样式 正文1 + 自动设置 左侧:  0 厘米 段后: 0 磅 行距: 1.5 倍行距 + 首行缩进:  2 字符"/>
    <w:basedOn w:val="a6"/>
    <w:qFormat/>
    <w:pPr>
      <w:autoSpaceDE w:val="0"/>
      <w:autoSpaceDN w:val="0"/>
      <w:adjustRightInd w:val="0"/>
      <w:snapToGrid w:val="0"/>
      <w:spacing w:line="360" w:lineRule="auto"/>
      <w:ind w:firstLineChars="200" w:firstLine="560"/>
      <w:textAlignment w:val="bottom"/>
    </w:pPr>
    <w:rPr>
      <w:rFonts w:cs="宋体"/>
      <w:kern w:val="0"/>
      <w:sz w:val="28"/>
      <w:szCs w:val="20"/>
    </w:rPr>
  </w:style>
  <w:style w:type="paragraph" w:customStyle="1" w:styleId="CM12">
    <w:name w:val="CM12"/>
    <w:basedOn w:val="Default"/>
    <w:next w:val="Default"/>
    <w:qFormat/>
    <w:pPr>
      <w:spacing w:line="626" w:lineRule="atLeast"/>
    </w:pPr>
    <w:rPr>
      <w:rFonts w:ascii="黑体" w:eastAsia="黑体"/>
      <w:color w:val="auto"/>
    </w:rPr>
  </w:style>
  <w:style w:type="paragraph" w:customStyle="1" w:styleId="xl966">
    <w:name w:val="xl96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18"/>
      <w:szCs w:val="18"/>
    </w:rPr>
  </w:style>
  <w:style w:type="paragraph" w:customStyle="1" w:styleId="afffffffffffffffffffffffffffffffffffffa">
    <w:name w:val="标准表格"/>
    <w:basedOn w:val="a6"/>
    <w:qFormat/>
    <w:pPr>
      <w:tabs>
        <w:tab w:val="left" w:pos="0"/>
      </w:tabs>
      <w:adjustRightInd w:val="0"/>
      <w:spacing w:line="360" w:lineRule="exact"/>
      <w:jc w:val="center"/>
      <w:textAlignment w:val="center"/>
    </w:pPr>
    <w:rPr>
      <w:rFonts w:ascii="宋体" w:hAnsi="宋体"/>
      <w:snapToGrid w:val="0"/>
      <w:kern w:val="0"/>
      <w:szCs w:val="20"/>
    </w:rPr>
  </w:style>
  <w:style w:type="paragraph" w:customStyle="1" w:styleId="afffffffffffffffffffffffffffffffffffffb">
    <w:name w:val="表内小四边"/>
    <w:basedOn w:val="a6"/>
    <w:qFormat/>
    <w:pPr>
      <w:adjustRightInd w:val="0"/>
      <w:snapToGrid w:val="0"/>
      <w:spacing w:line="300" w:lineRule="auto"/>
      <w:ind w:firstLineChars="200" w:firstLine="560"/>
    </w:pPr>
    <w:rPr>
      <w:rFonts w:ascii="Arial" w:hAnsi="Arial" w:cs="宋体"/>
      <w:color w:val="FF0000"/>
      <w:kern w:val="0"/>
      <w:sz w:val="24"/>
      <w:szCs w:val="32"/>
      <w:lang w:val="zh-CN"/>
    </w:rPr>
  </w:style>
  <w:style w:type="paragraph" w:customStyle="1" w:styleId="CharCharCharCharCharCharChar4">
    <w:name w:val="Char Char Char Char Char Char Char4"/>
    <w:basedOn w:val="a6"/>
    <w:qFormat/>
    <w:pPr>
      <w:widowControl/>
      <w:spacing w:after="160" w:line="240" w:lineRule="exact"/>
      <w:jc w:val="left"/>
    </w:pPr>
    <w:rPr>
      <w:rFonts w:ascii="Verdana" w:hAnsi="Verdana"/>
      <w:kern w:val="0"/>
      <w:sz w:val="20"/>
      <w:szCs w:val="20"/>
      <w:lang w:eastAsia="en-US"/>
    </w:rPr>
  </w:style>
  <w:style w:type="paragraph" w:customStyle="1" w:styleId="xl949">
    <w:name w:val="xl94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kern w:val="0"/>
      <w:sz w:val="18"/>
      <w:szCs w:val="18"/>
    </w:rPr>
  </w:style>
  <w:style w:type="paragraph" w:customStyle="1" w:styleId="xl75">
    <w:name w:val="xl75"/>
    <w:basedOn w:val="a6"/>
    <w:qFormat/>
    <w:pPr>
      <w:widowControl/>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left"/>
      <w:textAlignment w:val="center"/>
    </w:pPr>
    <w:rPr>
      <w:b/>
      <w:bCs/>
      <w:kern w:val="0"/>
      <w:sz w:val="20"/>
      <w:szCs w:val="20"/>
    </w:rPr>
  </w:style>
  <w:style w:type="paragraph" w:customStyle="1" w:styleId="xl1058">
    <w:name w:val="xl1058"/>
    <w:basedOn w:val="a6"/>
    <w:qFormat/>
    <w:pPr>
      <w:widowControl/>
      <w:pBdr>
        <w:top w:val="single" w:sz="4" w:space="0" w:color="auto"/>
        <w:bottom w:val="single" w:sz="4" w:space="0" w:color="auto"/>
      </w:pBdr>
      <w:spacing w:before="100" w:beforeAutospacing="1" w:after="100" w:afterAutospacing="1"/>
      <w:jc w:val="center"/>
    </w:pPr>
    <w:rPr>
      <w:rFonts w:ascii="Arial" w:hAnsi="Arial" w:cs="Arial"/>
      <w:kern w:val="0"/>
      <w:sz w:val="20"/>
      <w:szCs w:val="20"/>
    </w:rPr>
  </w:style>
  <w:style w:type="paragraph" w:customStyle="1" w:styleId="3111BSH-3BT33h33rdlevelH3l3CT3Cha">
    <w:name w:val="样式 标题 3条标题1.1.1BSH-3BT33h33rd levelH3l3CT二级节名标题 3 Cha..."/>
    <w:basedOn w:val="33"/>
    <w:qFormat/>
    <w:pPr>
      <w:adjustRightInd w:val="0"/>
      <w:spacing w:line="360" w:lineRule="auto"/>
    </w:pPr>
    <w:rPr>
      <w:rFonts w:eastAsia="宋体" w:cs="宋体"/>
      <w:b/>
      <w:spacing w:val="0"/>
      <w:szCs w:val="20"/>
    </w:rPr>
  </w:style>
  <w:style w:type="paragraph" w:customStyle="1" w:styleId="xl1049">
    <w:name w:val="xl1049"/>
    <w:basedOn w:val="a6"/>
    <w:qFormat/>
    <w:pPr>
      <w:widowControl/>
      <w:pBdr>
        <w:top w:val="single" w:sz="8" w:space="0" w:color="FFFF00"/>
        <w:left w:val="single" w:sz="8" w:space="0" w:color="FFFF00"/>
        <w:bottom w:val="single" w:sz="8" w:space="0" w:color="FFFF00"/>
        <w:right w:val="single" w:sz="8" w:space="0" w:color="FFFF00"/>
      </w:pBdr>
      <w:shd w:val="clear" w:color="000000" w:fill="0070C0"/>
      <w:spacing w:before="100" w:beforeAutospacing="1" w:after="100" w:afterAutospacing="1"/>
      <w:jc w:val="center"/>
    </w:pPr>
    <w:rPr>
      <w:rFonts w:ascii="Arial" w:hAnsi="Arial" w:cs="Arial"/>
      <w:kern w:val="0"/>
      <w:sz w:val="18"/>
      <w:szCs w:val="18"/>
    </w:rPr>
  </w:style>
  <w:style w:type="paragraph" w:customStyle="1" w:styleId="CharCharCharCharCharCharChar7">
    <w:name w:val="样式 正文缩进正文（首行缩进两字）正文（首行缩进两字） Char Char Char Char Char Char Char..."/>
    <w:basedOn w:val="a6"/>
    <w:qFormat/>
    <w:pPr>
      <w:tabs>
        <w:tab w:val="left" w:pos="3360"/>
      </w:tabs>
      <w:adjustRightInd w:val="0"/>
      <w:snapToGrid w:val="0"/>
      <w:spacing w:line="360" w:lineRule="auto"/>
      <w:ind w:firstLineChars="200" w:firstLine="480"/>
      <w:textAlignment w:val="baseline"/>
    </w:pPr>
    <w:rPr>
      <w:rFonts w:ascii="楷体_GB2312" w:eastAsia="楷体_GB2312" w:hAnsi="Calibri"/>
      <w:snapToGrid w:val="0"/>
      <w:color w:val="000000"/>
      <w:w w:val="110"/>
      <w:kern w:val="0"/>
      <w:sz w:val="24"/>
    </w:rPr>
  </w:style>
  <w:style w:type="paragraph" w:customStyle="1" w:styleId="a00">
    <w:name w:val="a0"/>
    <w:basedOn w:val="a6"/>
    <w:qFormat/>
    <w:pPr>
      <w:widowControl/>
      <w:snapToGrid w:val="0"/>
      <w:spacing w:before="80" w:after="80"/>
      <w:jc w:val="center"/>
    </w:pPr>
    <w:rPr>
      <w:rFonts w:ascii="宋体" w:hAnsi="宋体"/>
      <w:kern w:val="0"/>
      <w:szCs w:val="20"/>
    </w:rPr>
  </w:style>
  <w:style w:type="paragraph" w:customStyle="1" w:styleId="1ffffffe">
    <w:name w:val="样式 标题 1 + 自动设置"/>
    <w:basedOn w:val="12"/>
    <w:qFormat/>
    <w:pPr>
      <w:tabs>
        <w:tab w:val="left" w:pos="700"/>
      </w:tabs>
      <w:autoSpaceDE w:val="0"/>
      <w:autoSpaceDN w:val="0"/>
      <w:adjustRightInd w:val="0"/>
      <w:spacing w:beforeLines="50" w:before="0" w:afterLines="50" w:after="0" w:line="360" w:lineRule="auto"/>
      <w:ind w:left="431" w:hanging="431"/>
      <w:jc w:val="center"/>
    </w:pPr>
    <w:rPr>
      <w:bCs w:val="0"/>
      <w:sz w:val="28"/>
      <w:szCs w:val="20"/>
    </w:rPr>
  </w:style>
  <w:style w:type="paragraph" w:customStyle="1" w:styleId="21f4">
    <w:name w:val="图表目录21"/>
    <w:basedOn w:val="4fd"/>
    <w:next w:val="4fd"/>
    <w:qFormat/>
    <w:pPr>
      <w:tabs>
        <w:tab w:val="right" w:leader="dot" w:pos="8051"/>
      </w:tabs>
      <w:ind w:left="840" w:hanging="840"/>
      <w:textAlignment w:val="auto"/>
    </w:pPr>
    <w:rPr>
      <w:sz w:val="24"/>
    </w:rPr>
  </w:style>
  <w:style w:type="paragraph" w:customStyle="1" w:styleId="5ff5">
    <w:name w:val="无悬挂正文5号"/>
    <w:basedOn w:val="a6"/>
    <w:qFormat/>
    <w:pPr>
      <w:jc w:val="center"/>
    </w:pPr>
    <w:rPr>
      <w:color w:val="000000"/>
      <w:w w:val="110"/>
      <w:kern w:val="0"/>
      <w:sz w:val="24"/>
    </w:rPr>
  </w:style>
  <w:style w:type="paragraph" w:customStyle="1" w:styleId="CharCharCharCharCharChar1Char2">
    <w:name w:val="Char Char Char Char Char Char1 Char2"/>
    <w:basedOn w:val="a6"/>
    <w:qFormat/>
    <w:rPr>
      <w:color w:val="000000"/>
      <w:w w:val="110"/>
      <w:kern w:val="0"/>
      <w:sz w:val="24"/>
    </w:rPr>
  </w:style>
  <w:style w:type="paragraph" w:customStyle="1" w:styleId="5ff6">
    <w:name w:val="表5号字"/>
    <w:basedOn w:val="a6"/>
    <w:qFormat/>
    <w:pPr>
      <w:widowControl/>
      <w:jc w:val="left"/>
    </w:pPr>
  </w:style>
  <w:style w:type="paragraph" w:customStyle="1" w:styleId="0010">
    <w:name w:val="001"/>
    <w:basedOn w:val="a6"/>
    <w:qFormat/>
    <w:pPr>
      <w:widowControl/>
      <w:spacing w:before="100" w:beforeAutospacing="1" w:after="100" w:afterAutospacing="1"/>
      <w:jc w:val="left"/>
    </w:pPr>
    <w:rPr>
      <w:rFonts w:ascii="宋体" w:hAnsi="宋体" w:cs="宋体"/>
      <w:kern w:val="0"/>
      <w:sz w:val="24"/>
    </w:rPr>
  </w:style>
  <w:style w:type="paragraph" w:customStyle="1" w:styleId="reader-word-layerreader-word-s1-23">
    <w:name w:val="reader-word-layer reader-word-s1-23"/>
    <w:basedOn w:val="a6"/>
    <w:qFormat/>
    <w:pPr>
      <w:widowControl/>
      <w:spacing w:before="100" w:beforeAutospacing="1" w:after="100" w:afterAutospacing="1"/>
      <w:jc w:val="left"/>
    </w:pPr>
    <w:rPr>
      <w:rFonts w:ascii="宋体" w:hAnsi="宋体" w:cs="宋体"/>
      <w:kern w:val="0"/>
      <w:sz w:val="24"/>
    </w:rPr>
  </w:style>
  <w:style w:type="paragraph" w:customStyle="1" w:styleId="0850">
    <w:name w:val="样式 左侧:  0.85 厘米 首行缩进:  0 字符"/>
    <w:basedOn w:val="a6"/>
    <w:qFormat/>
    <w:pPr>
      <w:topLinePunct/>
      <w:spacing w:line="529" w:lineRule="exact"/>
      <w:ind w:left="480"/>
    </w:pPr>
    <w:rPr>
      <w:rFonts w:eastAsia="汉鼎简书宋" w:cs="宋体"/>
      <w:sz w:val="24"/>
      <w:szCs w:val="20"/>
    </w:rPr>
  </w:style>
  <w:style w:type="paragraph" w:customStyle="1" w:styleId="BodyTextFirstIndent3">
    <w:name w:val="Body Text First Indent3"/>
    <w:basedOn w:val="af8"/>
    <w:qFormat/>
    <w:pPr>
      <w:adjustRightInd w:val="0"/>
      <w:spacing w:after="0" w:line="312" w:lineRule="auto"/>
      <w:ind w:firstLine="567"/>
      <w:textAlignment w:val="baseline"/>
    </w:pPr>
    <w:rPr>
      <w:rFonts w:ascii="宋体"/>
      <w:kern w:val="0"/>
      <w:sz w:val="28"/>
      <w:szCs w:val="20"/>
    </w:rPr>
  </w:style>
  <w:style w:type="paragraph" w:customStyle="1" w:styleId="a21">
    <w:name w:val="a2"/>
    <w:basedOn w:val="a6"/>
    <w:qFormat/>
    <w:pPr>
      <w:widowControl/>
      <w:spacing w:before="100" w:beforeAutospacing="1" w:after="100" w:afterAutospacing="1"/>
      <w:jc w:val="left"/>
    </w:pPr>
    <w:rPr>
      <w:rFonts w:ascii="宋体" w:hAnsi="宋体" w:cs="宋体"/>
      <w:kern w:val="0"/>
      <w:sz w:val="24"/>
    </w:rPr>
  </w:style>
  <w:style w:type="paragraph" w:customStyle="1" w:styleId="xl49">
    <w:name w:val="xl49"/>
    <w:basedOn w:val="a6"/>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24"/>
      <w:szCs w:val="20"/>
    </w:rPr>
  </w:style>
  <w:style w:type="paragraph" w:customStyle="1" w:styleId="3fffa">
    <w:name w:val="样式 标题 3 + 黑色"/>
    <w:basedOn w:val="33"/>
    <w:qFormat/>
    <w:pPr>
      <w:keepNext w:val="0"/>
      <w:adjustRightInd w:val="0"/>
      <w:spacing w:beforeLines="50" w:afterLines="50" w:line="520" w:lineRule="exact"/>
    </w:pPr>
    <w:rPr>
      <w:rFonts w:hAnsi="黑体"/>
      <w:b/>
      <w:bCs/>
      <w:color w:val="000000"/>
      <w:spacing w:val="0"/>
      <w:szCs w:val="24"/>
    </w:rPr>
  </w:style>
  <w:style w:type="paragraph" w:customStyle="1" w:styleId="reader-word-layerreader-word-s1-22">
    <w:name w:val="reader-word-layer reader-word-s1-22"/>
    <w:basedOn w:val="a6"/>
    <w:qFormat/>
    <w:pPr>
      <w:widowControl/>
      <w:spacing w:before="100" w:beforeAutospacing="1" w:after="100" w:afterAutospacing="1"/>
      <w:jc w:val="left"/>
    </w:pPr>
    <w:rPr>
      <w:rFonts w:ascii="宋体" w:hAnsi="宋体" w:cs="宋体"/>
      <w:kern w:val="0"/>
      <w:sz w:val="24"/>
    </w:rPr>
  </w:style>
  <w:style w:type="paragraph" w:customStyle="1" w:styleId="Style104">
    <w:name w:val="Style104"/>
    <w:basedOn w:val="a6"/>
    <w:qFormat/>
    <w:pPr>
      <w:adjustRightInd w:val="0"/>
      <w:jc w:val="center"/>
    </w:pPr>
    <w:rPr>
      <w:rFonts w:ascii="宋体"/>
      <w:kern w:val="0"/>
      <w:sz w:val="24"/>
      <w:szCs w:val="20"/>
    </w:rPr>
  </w:style>
  <w:style w:type="paragraph" w:customStyle="1" w:styleId="CharCharCharChar11">
    <w:name w:val="Char Char Char Char11"/>
    <w:basedOn w:val="a6"/>
    <w:uiPriority w:val="99"/>
    <w:qFormat/>
    <w:rPr>
      <w:color w:val="000000"/>
      <w:w w:val="110"/>
      <w:kern w:val="0"/>
      <w:sz w:val="24"/>
    </w:rPr>
  </w:style>
  <w:style w:type="paragraph" w:customStyle="1" w:styleId="1fffffff">
    <w:name w:val="表格内字体1"/>
    <w:basedOn w:val="affffa"/>
    <w:qFormat/>
    <w:pPr>
      <w:spacing w:line="240" w:lineRule="auto"/>
      <w:ind w:firstLine="0"/>
      <w:jc w:val="center"/>
    </w:pPr>
    <w:rPr>
      <w:rFonts w:hAnsi="Times New Roman"/>
      <w:sz w:val="21"/>
    </w:rPr>
  </w:style>
  <w:style w:type="paragraph" w:customStyle="1" w:styleId="2211H2h22Header2ndPageABCh2mainhead">
    <w:name w:val="样式 标题 2标题21.1H2h2第一层条2Header 2nd PageA.B.C.h2 main head..."/>
    <w:basedOn w:val="22"/>
    <w:qFormat/>
    <w:pPr>
      <w:keepNext w:val="0"/>
      <w:keepLines w:val="0"/>
      <w:snapToGrid w:val="0"/>
      <w:spacing w:afterLines="50"/>
    </w:pPr>
    <w:rPr>
      <w:rFonts w:hAnsi="黑体"/>
      <w:b/>
      <w:bCs w:val="0"/>
      <w:spacing w:val="0"/>
      <w:w w:val="100"/>
      <w:kern w:val="2"/>
      <w:sz w:val="30"/>
      <w:szCs w:val="30"/>
    </w:rPr>
  </w:style>
  <w:style w:type="paragraph" w:customStyle="1" w:styleId="1fffffff0">
    <w:name w:val="注释标题1"/>
    <w:basedOn w:val="af0"/>
    <w:next w:val="af0"/>
    <w:qFormat/>
    <w:pPr>
      <w:tabs>
        <w:tab w:val="left" w:pos="420"/>
      </w:tabs>
      <w:adjustRightInd/>
      <w:ind w:left="420" w:firstLineChars="200" w:hanging="420"/>
      <w:jc w:val="both"/>
      <w:textAlignment w:val="auto"/>
    </w:pPr>
    <w:rPr>
      <w:rFonts w:ascii="Times New Roman" w:hAnsi="Times New Roman"/>
      <w:kern w:val="2"/>
      <w:szCs w:val="18"/>
    </w:rPr>
  </w:style>
  <w:style w:type="paragraph" w:customStyle="1" w:styleId="CharCharChar1CharCharChar5">
    <w:name w:val="Char Char Char1 Char Char Char5"/>
    <w:basedOn w:val="a6"/>
    <w:qFormat/>
  </w:style>
  <w:style w:type="paragraph" w:customStyle="1" w:styleId="103">
    <w:name w:val="10"/>
    <w:basedOn w:val="a6"/>
    <w:next w:val="a6"/>
    <w:qFormat/>
    <w:rPr>
      <w:rFonts w:ascii="宋体" w:hAnsi="Courier New"/>
      <w:kern w:val="0"/>
      <w:sz w:val="24"/>
      <w:szCs w:val="20"/>
    </w:rPr>
  </w:style>
  <w:style w:type="paragraph" w:customStyle="1" w:styleId="22f1">
    <w:name w:val="正文首行缩进 22"/>
    <w:basedOn w:val="2ffffff3"/>
    <w:qFormat/>
    <w:pPr>
      <w:ind w:firstLineChars="200" w:firstLine="420"/>
    </w:pPr>
  </w:style>
  <w:style w:type="paragraph" w:customStyle="1" w:styleId="afffffffffffffffffffffffffffffffffffffc">
    <w:name w:val="正文样式暗暗"/>
    <w:basedOn w:val="a6"/>
    <w:qFormat/>
    <w:pPr>
      <w:widowControl/>
      <w:spacing w:line="360" w:lineRule="auto"/>
      <w:ind w:firstLineChars="175" w:firstLine="175"/>
    </w:pPr>
    <w:rPr>
      <w:rFonts w:ascii="宋体" w:cs="宋体"/>
      <w:sz w:val="24"/>
    </w:rPr>
  </w:style>
  <w:style w:type="paragraph" w:customStyle="1" w:styleId="17878125">
    <w:name w:val="样式 标题 1 + (中文) 黑体 四号 段前: 7.8 磅 段后: 7.8 磅 行距: 多倍行距 1.25 字行"/>
    <w:basedOn w:val="12"/>
    <w:qFormat/>
    <w:pPr>
      <w:keepNext w:val="0"/>
      <w:keepLines w:val="0"/>
      <w:spacing w:beforeLines="100" w:before="0" w:afterLines="100" w:after="0"/>
      <w:ind w:firstLine="1800"/>
    </w:pPr>
    <w:rPr>
      <w:rFonts w:hAnsi="黑体"/>
      <w:b w:val="0"/>
      <w:color w:val="000000"/>
      <w:szCs w:val="30"/>
    </w:rPr>
  </w:style>
  <w:style w:type="paragraph" w:customStyle="1" w:styleId="522">
    <w:name w:val="样式 样式 5 + 首行缩进:  2 字符 + 首行缩进:  2 字符"/>
    <w:basedOn w:val="a6"/>
    <w:qFormat/>
    <w:pPr>
      <w:ind w:firstLineChars="200" w:firstLine="352"/>
    </w:pPr>
    <w:rPr>
      <w:rFonts w:ascii="楷体_GB2312" w:eastAsia="楷体_GB2312" w:hAnsi="宋体" w:cs="宋体"/>
      <w:spacing w:val="-2"/>
      <w:sz w:val="18"/>
      <w:szCs w:val="20"/>
    </w:rPr>
  </w:style>
  <w:style w:type="paragraph" w:customStyle="1" w:styleId="E001CharChar">
    <w:name w:val="E 正文001 Char Char"/>
    <w:basedOn w:val="a6"/>
    <w:next w:val="a6"/>
    <w:qFormat/>
    <w:pPr>
      <w:ind w:firstLineChars="200" w:firstLine="200"/>
    </w:pPr>
    <w:rPr>
      <w:sz w:val="28"/>
      <w:szCs w:val="28"/>
    </w:rPr>
  </w:style>
  <w:style w:type="paragraph" w:customStyle="1" w:styleId="22f2">
    <w:name w:val="标题22"/>
    <w:basedOn w:val="a6"/>
    <w:qFormat/>
    <w:pPr>
      <w:tabs>
        <w:tab w:val="left" w:pos="645"/>
      </w:tabs>
      <w:snapToGrid w:val="0"/>
      <w:spacing w:line="360" w:lineRule="auto"/>
      <w:outlineLvl w:val="1"/>
    </w:pPr>
    <w:rPr>
      <w:rFonts w:eastAsia="黑体"/>
      <w:sz w:val="28"/>
      <w:szCs w:val="32"/>
    </w:rPr>
  </w:style>
  <w:style w:type="paragraph" w:customStyle="1" w:styleId="22CharChar211">
    <w:name w:val="样式 样式 标题 2标题节标题 2 Char Char + 段前: 2 行 + 左侧:  1 字符 右侧:  1 字符"/>
    <w:basedOn w:val="a6"/>
    <w:qFormat/>
    <w:pPr>
      <w:keepNext/>
      <w:keepLines/>
      <w:adjustRightInd w:val="0"/>
      <w:snapToGrid w:val="0"/>
      <w:spacing w:line="460" w:lineRule="exact"/>
      <w:ind w:firstLineChars="200" w:firstLine="200"/>
      <w:outlineLvl w:val="1"/>
    </w:pPr>
    <w:rPr>
      <w:rFonts w:eastAsia="仿宋_GB2312"/>
      <w:b/>
      <w:bCs/>
      <w:sz w:val="24"/>
      <w:szCs w:val="26"/>
    </w:rPr>
  </w:style>
  <w:style w:type="paragraph" w:customStyle="1" w:styleId="0858">
    <w:name w:val="样式 首行缩进:  0.85 厘米8"/>
    <w:basedOn w:val="a6"/>
    <w:qFormat/>
    <w:pPr>
      <w:adjustRightInd w:val="0"/>
      <w:snapToGrid w:val="0"/>
      <w:spacing w:line="288" w:lineRule="auto"/>
      <w:ind w:firstLineChars="200" w:firstLine="482"/>
    </w:pPr>
    <w:rPr>
      <w:rFonts w:eastAsia="仿宋_GB2312" w:cs="宋体"/>
      <w:sz w:val="24"/>
      <w:szCs w:val="26"/>
    </w:rPr>
  </w:style>
  <w:style w:type="paragraph" w:customStyle="1" w:styleId="CharCharCharCharChar6">
    <w:name w:val="Char Char Char Char Char"/>
    <w:basedOn w:val="a6"/>
    <w:qFormat/>
  </w:style>
  <w:style w:type="paragraph" w:customStyle="1" w:styleId="Char62">
    <w:name w:val="Char62"/>
    <w:basedOn w:val="a6"/>
    <w:qFormat/>
    <w:pPr>
      <w:keepNext/>
      <w:keepLines/>
      <w:spacing w:line="360" w:lineRule="auto"/>
      <w:jc w:val="left"/>
    </w:pPr>
    <w:rPr>
      <w:rFonts w:ascii="Tahoma" w:hAnsi="Tahoma"/>
      <w:b/>
      <w:sz w:val="30"/>
      <w:szCs w:val="20"/>
    </w:rPr>
  </w:style>
  <w:style w:type="paragraph" w:customStyle="1" w:styleId="515">
    <w:name w:val="标题 51"/>
    <w:basedOn w:val="a6"/>
    <w:next w:val="a6"/>
    <w:qFormat/>
    <w:pPr>
      <w:keepNext/>
      <w:keepLines/>
      <w:adjustRightInd w:val="0"/>
      <w:spacing w:before="280" w:after="290" w:line="376" w:lineRule="atLeast"/>
      <w:textAlignment w:val="baseline"/>
      <w:outlineLvl w:val="4"/>
    </w:pPr>
    <w:rPr>
      <w:b/>
      <w:color w:val="000000"/>
      <w:w w:val="110"/>
      <w:kern w:val="0"/>
      <w:sz w:val="28"/>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a6"/>
    <w:qFormat/>
    <w:pPr>
      <w:widowControl/>
      <w:spacing w:line="360" w:lineRule="auto"/>
      <w:jc w:val="left"/>
    </w:pPr>
    <w:rPr>
      <w:szCs w:val="21"/>
    </w:rPr>
  </w:style>
  <w:style w:type="paragraph" w:customStyle="1" w:styleId="2TimesNewRoman1">
    <w:name w:val="标题 2 + Times New Roman1"/>
    <w:basedOn w:val="22"/>
    <w:qFormat/>
    <w:pPr>
      <w:tabs>
        <w:tab w:val="left" w:pos="1070"/>
      </w:tabs>
      <w:spacing w:before="260" w:after="260" w:line="415" w:lineRule="auto"/>
      <w:ind w:leftChars="400" w:left="1070" w:hangingChars="200" w:hanging="360"/>
    </w:pPr>
    <w:rPr>
      <w:rFonts w:ascii="Cambria" w:hAnsi="Cambria"/>
      <w:spacing w:val="0"/>
      <w:w w:val="100"/>
      <w:kern w:val="2"/>
      <w:szCs w:val="32"/>
    </w:rPr>
  </w:style>
  <w:style w:type="paragraph" w:customStyle="1" w:styleId="Style24">
    <w:name w:val="_Style 24"/>
    <w:basedOn w:val="a6"/>
    <w:qFormat/>
    <w:rPr>
      <w:rFonts w:eastAsia="华文中宋"/>
      <w:spacing w:val="20"/>
      <w:sz w:val="24"/>
      <w:szCs w:val="20"/>
    </w:rPr>
  </w:style>
  <w:style w:type="paragraph" w:customStyle="1" w:styleId="2ffffffc">
    <w:name w:val="注释标题2"/>
    <w:basedOn w:val="a6"/>
    <w:next w:val="a6"/>
    <w:qFormat/>
    <w:pPr>
      <w:spacing w:beforeLines="50" w:afterLines="50"/>
      <w:jc w:val="center"/>
    </w:pPr>
    <w:rPr>
      <w:rFonts w:eastAsia="黑体"/>
      <w:sz w:val="24"/>
    </w:rPr>
  </w:style>
  <w:style w:type="paragraph" w:customStyle="1" w:styleId="1Charf3">
    <w:name w:val="1） Char"/>
    <w:basedOn w:val="a6"/>
    <w:qFormat/>
    <w:pPr>
      <w:widowControl/>
      <w:spacing w:line="400" w:lineRule="exact"/>
      <w:ind w:firstLineChars="200" w:firstLine="200"/>
      <w:jc w:val="left"/>
    </w:pPr>
    <w:rPr>
      <w:rFonts w:ascii="宋体" w:hAnsi="宋体" w:cs="宋体"/>
      <w:kern w:val="0"/>
      <w:sz w:val="28"/>
      <w:szCs w:val="20"/>
    </w:rPr>
  </w:style>
  <w:style w:type="paragraph" w:customStyle="1" w:styleId="afffffffffffffffffffffffffffffffffffffd">
    <w:name w:val="Табличный"/>
    <w:basedOn w:val="a6"/>
    <w:qFormat/>
    <w:pPr>
      <w:widowControl/>
      <w:spacing w:after="120" w:line="276" w:lineRule="auto"/>
      <w:jc w:val="center"/>
    </w:pPr>
    <w:rPr>
      <w:rFonts w:ascii="Tahoma" w:hAnsi="Tahoma"/>
      <w:color w:val="0051A1"/>
      <w:kern w:val="0"/>
      <w:sz w:val="24"/>
      <w:szCs w:val="22"/>
      <w:u w:val="single"/>
      <w:lang w:val="ky-KG" w:eastAsia="ru-RU" w:bidi="km-KH"/>
    </w:rPr>
  </w:style>
  <w:style w:type="paragraph" w:customStyle="1" w:styleId="afffffffffffffffffffffffffffffffffffffe">
    <w:name w:val="插图"/>
    <w:next w:val="a6"/>
    <w:qFormat/>
    <w:pPr>
      <w:snapToGrid w:val="0"/>
      <w:spacing w:line="240" w:lineRule="exact"/>
      <w:jc w:val="center"/>
    </w:pPr>
    <w:rPr>
      <w:rFonts w:ascii="宋体"/>
      <w:kern w:val="2"/>
      <w:sz w:val="21"/>
      <w:szCs w:val="21"/>
    </w:rPr>
  </w:style>
  <w:style w:type="paragraph" w:customStyle="1" w:styleId="0011">
    <w:name w:val="表格001"/>
    <w:basedOn w:val="a6"/>
    <w:qFormat/>
    <w:pPr>
      <w:jc w:val="center"/>
    </w:pPr>
    <w:rPr>
      <w:szCs w:val="20"/>
    </w:rPr>
  </w:style>
  <w:style w:type="paragraph" w:customStyle="1" w:styleId="1fffffff1">
    <w:name w:val="公式样式1"/>
    <w:basedOn w:val="a6"/>
    <w:qFormat/>
    <w:pPr>
      <w:jc w:val="center"/>
    </w:pPr>
    <w:rPr>
      <w:rFonts w:ascii="宋体" w:hAnsi="宋体"/>
      <w:color w:val="FF0000"/>
      <w:w w:val="110"/>
      <w:kern w:val="0"/>
      <w:sz w:val="24"/>
    </w:rPr>
  </w:style>
  <w:style w:type="paragraph" w:customStyle="1" w:styleId="affffffffffffffffffffffffffffffffffffff">
    <w:name w:val="表格内容格式"/>
    <w:basedOn w:val="a6"/>
    <w:qFormat/>
    <w:pPr>
      <w:adjustRightInd w:val="0"/>
      <w:spacing w:line="240" w:lineRule="atLeast"/>
      <w:textAlignment w:val="baseline"/>
    </w:pPr>
    <w:rPr>
      <w:rFonts w:ascii="宋体" w:hAnsi="宋体"/>
      <w:snapToGrid w:val="0"/>
      <w:color w:val="000000"/>
      <w:kern w:val="0"/>
      <w:szCs w:val="20"/>
    </w:rPr>
  </w:style>
  <w:style w:type="paragraph" w:customStyle="1" w:styleId="1fffffff2">
    <w:name w:val="正文文本1"/>
    <w:basedOn w:val="a6"/>
    <w:qFormat/>
    <w:pPr>
      <w:spacing w:after="120"/>
    </w:pPr>
    <w:rPr>
      <w:color w:val="000000"/>
      <w:w w:val="110"/>
      <w:kern w:val="0"/>
      <w:sz w:val="20"/>
    </w:rPr>
  </w:style>
  <w:style w:type="paragraph" w:customStyle="1" w:styleId="CharCharCharCharCharChar1CharCharCharChar2">
    <w:name w:val="Char Char Char Char Char Char1 Char Char Char Char2"/>
    <w:basedOn w:val="a6"/>
    <w:qFormat/>
    <w:rPr>
      <w:sz w:val="24"/>
    </w:rPr>
  </w:style>
  <w:style w:type="paragraph" w:customStyle="1" w:styleId="affffffffffffffffffffffffffffffffffffff0">
    <w:name w:val="灯泡注释(打印无效)"/>
    <w:basedOn w:val="affc"/>
    <w:qFormat/>
    <w:pPr>
      <w:snapToGrid w:val="0"/>
      <w:spacing w:line="240" w:lineRule="auto"/>
      <w:ind w:firstLineChars="0" w:firstLine="0"/>
    </w:pPr>
    <w:rPr>
      <w:rFonts w:hAnsi="Times New Roman"/>
      <w:bCs w:val="0"/>
      <w:i/>
      <w:vanish/>
      <w:color w:val="FF0000"/>
      <w:spacing w:val="0"/>
      <w:kern w:val="2"/>
      <w:sz w:val="21"/>
      <w:szCs w:val="20"/>
    </w:rPr>
  </w:style>
  <w:style w:type="paragraph" w:customStyle="1" w:styleId="reader-word-layerreader-word-s1-11reader-word-s1-14">
    <w:name w:val="reader-word-layer reader-word-s1-11 reader-word-s1-14"/>
    <w:basedOn w:val="a6"/>
    <w:qFormat/>
    <w:pPr>
      <w:widowControl/>
      <w:spacing w:before="100" w:beforeAutospacing="1" w:after="100" w:afterAutospacing="1"/>
      <w:jc w:val="left"/>
    </w:pPr>
    <w:rPr>
      <w:rFonts w:ascii="宋体" w:hAnsi="宋体" w:cs="宋体"/>
      <w:kern w:val="0"/>
      <w:sz w:val="24"/>
    </w:rPr>
  </w:style>
  <w:style w:type="paragraph" w:customStyle="1" w:styleId="pt9">
    <w:name w:val="pt9"/>
    <w:basedOn w:val="a6"/>
    <w:qFormat/>
    <w:pPr>
      <w:widowControl/>
      <w:spacing w:before="100" w:beforeAutospacing="1" w:after="100" w:afterAutospacing="1"/>
      <w:jc w:val="left"/>
    </w:pPr>
    <w:rPr>
      <w:color w:val="000000"/>
      <w:kern w:val="0"/>
      <w:sz w:val="18"/>
      <w:szCs w:val="18"/>
    </w:rPr>
  </w:style>
  <w:style w:type="paragraph" w:customStyle="1" w:styleId="reader-word-layerreader-word-s4-4">
    <w:name w:val="reader-word-layer reader-word-s4-4"/>
    <w:basedOn w:val="a6"/>
    <w:qFormat/>
    <w:pPr>
      <w:widowControl/>
      <w:spacing w:before="100" w:beforeAutospacing="1" w:after="100" w:afterAutospacing="1"/>
      <w:jc w:val="left"/>
    </w:pPr>
    <w:rPr>
      <w:rFonts w:ascii="宋体" w:hAnsi="宋体" w:cs="宋体"/>
      <w:kern w:val="0"/>
      <w:sz w:val="24"/>
    </w:rPr>
  </w:style>
  <w:style w:type="paragraph" w:customStyle="1" w:styleId="affffffffffffffffffffffffffffffffffffff1">
    <w:name w:val="注×："/>
    <w:qFormat/>
    <w:pPr>
      <w:widowControl w:val="0"/>
      <w:tabs>
        <w:tab w:val="left" w:pos="630"/>
      </w:tabs>
      <w:autoSpaceDE w:val="0"/>
      <w:autoSpaceDN w:val="0"/>
      <w:jc w:val="both"/>
    </w:pPr>
    <w:rPr>
      <w:rFonts w:ascii="宋体"/>
      <w:sz w:val="18"/>
    </w:rPr>
  </w:style>
  <w:style w:type="paragraph" w:customStyle="1" w:styleId="pic-info">
    <w:name w:val="pic-info"/>
    <w:basedOn w:val="a6"/>
    <w:qFormat/>
    <w:pPr>
      <w:widowControl/>
      <w:spacing w:before="100" w:beforeAutospacing="1" w:after="100" w:afterAutospacing="1"/>
      <w:jc w:val="left"/>
    </w:pPr>
    <w:rPr>
      <w:rFonts w:ascii="宋体" w:hAnsi="宋体" w:cs="宋体"/>
      <w:kern w:val="0"/>
      <w:sz w:val="24"/>
    </w:rPr>
  </w:style>
  <w:style w:type="paragraph" w:customStyle="1" w:styleId="affffffffffffffffffffffffffffffffffffff2">
    <w:name w:val="申报小节题"/>
    <w:basedOn w:val="a6"/>
    <w:qFormat/>
    <w:pPr>
      <w:spacing w:line="336" w:lineRule="auto"/>
    </w:pPr>
    <w:rPr>
      <w:sz w:val="24"/>
      <w:szCs w:val="20"/>
    </w:rPr>
  </w:style>
  <w:style w:type="paragraph" w:customStyle="1" w:styleId="xl59">
    <w:name w:val="xl59"/>
    <w:basedOn w:val="a6"/>
    <w:qFormat/>
    <w:pPr>
      <w:widowControl/>
      <w:pBdr>
        <w:top w:val="single" w:sz="8" w:space="0" w:color="auto"/>
        <w:bottom w:val="single" w:sz="4" w:space="0" w:color="auto"/>
        <w:right w:val="single" w:sz="4" w:space="0" w:color="auto"/>
      </w:pBdr>
      <w:spacing w:before="100" w:beforeAutospacing="1" w:after="100" w:afterAutospacing="1"/>
      <w:jc w:val="center"/>
      <w:textAlignment w:val="center"/>
    </w:pPr>
    <w:rPr>
      <w:rFonts w:ascii="宋体" w:eastAsia="Arial Unicode MS"/>
      <w:kern w:val="0"/>
      <w:sz w:val="24"/>
      <w:szCs w:val="20"/>
    </w:rPr>
  </w:style>
  <w:style w:type="paragraph" w:customStyle="1" w:styleId="affffffffffffffffffffffffffffffffffffff3">
    <w:name w:val="表格后"/>
    <w:basedOn w:val="a6"/>
    <w:next w:val="a6"/>
    <w:qFormat/>
    <w:pPr>
      <w:spacing w:beforeLines="50" w:line="360" w:lineRule="auto"/>
    </w:pPr>
    <w:rPr>
      <w:rFonts w:ascii="宋体"/>
      <w:kern w:val="0"/>
      <w:sz w:val="24"/>
      <w:szCs w:val="20"/>
    </w:rPr>
  </w:style>
  <w:style w:type="paragraph" w:customStyle="1" w:styleId="270">
    <w:name w:val="正文文本缩进 27"/>
    <w:basedOn w:val="a6"/>
    <w:qFormat/>
    <w:pPr>
      <w:adjustRightInd w:val="0"/>
      <w:spacing w:line="360" w:lineRule="auto"/>
      <w:ind w:firstLine="510"/>
      <w:textAlignment w:val="baseline"/>
    </w:pPr>
    <w:rPr>
      <w:rFonts w:ascii="宋体" w:hAnsi="宋体"/>
      <w:kern w:val="0"/>
      <w:sz w:val="28"/>
      <w:szCs w:val="20"/>
    </w:rPr>
  </w:style>
  <w:style w:type="paragraph" w:customStyle="1" w:styleId="affffffffffffffffffffffffffffffffffffff4">
    <w:name w:val="表格注"/>
    <w:basedOn w:val="a6"/>
    <w:next w:val="a6"/>
    <w:qFormat/>
    <w:pPr>
      <w:spacing w:line="240" w:lineRule="exact"/>
      <w:jc w:val="left"/>
    </w:pPr>
    <w:rPr>
      <w:rFonts w:ascii="宋体"/>
      <w:kern w:val="0"/>
      <w:sz w:val="18"/>
      <w:szCs w:val="20"/>
    </w:rPr>
  </w:style>
  <w:style w:type="paragraph" w:customStyle="1" w:styleId="xl74">
    <w:name w:val="xl74"/>
    <w:basedOn w:val="a6"/>
    <w:qFormat/>
    <w:pPr>
      <w:widowControl/>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left"/>
      <w:textAlignment w:val="center"/>
    </w:pPr>
    <w:rPr>
      <w:b/>
      <w:bCs/>
      <w:kern w:val="0"/>
      <w:sz w:val="20"/>
      <w:szCs w:val="20"/>
    </w:rPr>
  </w:style>
  <w:style w:type="paragraph" w:customStyle="1" w:styleId="affffffffffffffffffffffffffffffffffffff5">
    <w:name w:val="申报正文"/>
    <w:basedOn w:val="affffffffff7"/>
    <w:qFormat/>
    <w:pPr>
      <w:ind w:firstLine="200"/>
    </w:pPr>
    <w:rPr>
      <w:sz w:val="24"/>
    </w:rPr>
  </w:style>
  <w:style w:type="paragraph" w:customStyle="1" w:styleId="Char420">
    <w:name w:val="Char42"/>
    <w:basedOn w:val="a6"/>
    <w:qFormat/>
  </w:style>
  <w:style w:type="paragraph" w:customStyle="1" w:styleId="2ffffffd">
    <w:name w:val="?2"/>
    <w:basedOn w:val="a6"/>
    <w:next w:val="a6"/>
    <w:qFormat/>
    <w:pPr>
      <w:autoSpaceDE w:val="0"/>
      <w:autoSpaceDN w:val="0"/>
      <w:adjustRightInd w:val="0"/>
      <w:jc w:val="left"/>
    </w:pPr>
    <w:rPr>
      <w:rFonts w:ascii="五" w:eastAsia="五"/>
      <w:kern w:val="0"/>
      <w:sz w:val="20"/>
    </w:rPr>
  </w:style>
  <w:style w:type="paragraph" w:customStyle="1" w:styleId="affffffffffffffffffffffffffffffffffffff6">
    <w:name w:val="表图名"/>
    <w:qFormat/>
    <w:pPr>
      <w:spacing w:beforeLines="50" w:afterLines="50" w:line="360" w:lineRule="auto"/>
      <w:jc w:val="center"/>
    </w:pPr>
    <w:rPr>
      <w:b/>
      <w:kern w:val="2"/>
      <w:sz w:val="21"/>
      <w:szCs w:val="21"/>
    </w:rPr>
  </w:style>
  <w:style w:type="paragraph" w:customStyle="1" w:styleId="CharCharCharCharCharCharCharCharCharCharCharCharCharCharCharCharCharChar1CharCharCharCharCharCharCharCharCharCharCharChar1CharCharChar1">
    <w:name w:val="Char Char Char Char Char Char Char Char Char Char Char Char Char Char Char Char Char Char1 Char Char Char Char Char Char Char Char Char Char Char Char1 Char Char Char1"/>
    <w:basedOn w:val="a6"/>
    <w:next w:val="a6"/>
    <w:qFormat/>
    <w:pPr>
      <w:spacing w:line="360" w:lineRule="auto"/>
      <w:ind w:firstLineChars="200" w:firstLine="200"/>
    </w:pPr>
    <w:rPr>
      <w:rFonts w:ascii="宋体" w:hAnsi="宋体" w:cs="宋体"/>
      <w:sz w:val="24"/>
    </w:rPr>
  </w:style>
  <w:style w:type="paragraph" w:customStyle="1" w:styleId="affffffffffffffffffffffffffffffffffffff7">
    <w:name w:val="表格——正文"/>
    <w:basedOn w:val="a6"/>
    <w:qFormat/>
    <w:pPr>
      <w:kinsoku w:val="0"/>
      <w:wordWrap w:val="0"/>
      <w:overflowPunct w:val="0"/>
      <w:autoSpaceDE w:val="0"/>
      <w:autoSpaceDN w:val="0"/>
      <w:adjustRightInd w:val="0"/>
      <w:spacing w:line="280" w:lineRule="exact"/>
      <w:textAlignment w:val="baseline"/>
    </w:pPr>
    <w:rPr>
      <w:rFonts w:eastAsia="仿宋_GB2312"/>
      <w:snapToGrid w:val="0"/>
      <w:color w:val="000000"/>
      <w:kern w:val="0"/>
      <w:szCs w:val="20"/>
    </w:rPr>
  </w:style>
  <w:style w:type="paragraph" w:customStyle="1" w:styleId="CharCharCharCharCharCharCharCharCharCharChar1CharCharCharCharCharCharChar">
    <w:name w:val="Char Char Char Char Char Char Char Char Char Char Char1 Char Char Char Char Char Char Char"/>
    <w:basedOn w:val="a6"/>
    <w:qFormat/>
  </w:style>
  <w:style w:type="paragraph" w:customStyle="1" w:styleId="CharCharChar1CharCharCharCharCharCharChar7">
    <w:name w:val="Char Char Char1 Char Char Char Char Char Char Char7"/>
    <w:basedOn w:val="a6"/>
    <w:qFormat/>
    <w:rPr>
      <w:kern w:val="0"/>
      <w:sz w:val="24"/>
      <w:szCs w:val="20"/>
    </w:rPr>
  </w:style>
  <w:style w:type="paragraph" w:customStyle="1" w:styleId="Charffffffffffe">
    <w:name w:val="图表名 Char"/>
    <w:basedOn w:val="a6"/>
    <w:qFormat/>
    <w:pPr>
      <w:adjustRightInd w:val="0"/>
      <w:snapToGrid w:val="0"/>
      <w:spacing w:line="360" w:lineRule="auto"/>
      <w:ind w:firstLineChars="200" w:firstLine="200"/>
      <w:jc w:val="center"/>
    </w:pPr>
    <w:rPr>
      <w:rFonts w:eastAsia="黑体"/>
      <w:snapToGrid w:val="0"/>
      <w:kern w:val="0"/>
      <w:sz w:val="24"/>
    </w:rPr>
  </w:style>
  <w:style w:type="paragraph" w:customStyle="1" w:styleId="CharCharChar1CharCharCharCharCharCharCharCharCharCharCharChar1CharCharCharCharCharCharCharCharCharChar">
    <w:name w:val="Char Char Char1 Char Char Char Char Char Char Char Char Char Char Char Char1 Char Char Char Char Char Char Char Char Char Char"/>
    <w:basedOn w:val="a6"/>
    <w:qFormat/>
    <w:rPr>
      <w:rFonts w:eastAsia="仿宋_GB2312"/>
      <w:color w:val="000000"/>
      <w:w w:val="110"/>
      <w:kern w:val="0"/>
      <w:sz w:val="24"/>
    </w:rPr>
  </w:style>
  <w:style w:type="paragraph" w:customStyle="1" w:styleId="1fffffff3">
    <w:name w:val="样式 正文 +1"/>
    <w:basedOn w:val="a6"/>
    <w:qFormat/>
    <w:pPr>
      <w:spacing w:line="360" w:lineRule="auto"/>
      <w:ind w:firstLineChars="200" w:firstLine="200"/>
      <w:jc w:val="left"/>
    </w:pPr>
    <w:rPr>
      <w:rFonts w:cs="宋体"/>
      <w:sz w:val="24"/>
      <w:szCs w:val="20"/>
    </w:rPr>
  </w:style>
  <w:style w:type="paragraph" w:customStyle="1" w:styleId="ParaCharCharCharCharCharCharChar">
    <w:name w:val="默认段落字体 Para Char Char Char Char Char Char Char"/>
    <w:basedOn w:val="a6"/>
    <w:qFormat/>
    <w:rPr>
      <w:rFonts w:ascii="Arial" w:hAnsi="Arial" w:cs="Arial"/>
      <w:sz w:val="20"/>
      <w:szCs w:val="20"/>
    </w:rPr>
  </w:style>
  <w:style w:type="paragraph" w:customStyle="1" w:styleId="C3">
    <w:name w:val="标题 C"/>
    <w:basedOn w:val="a6"/>
    <w:qFormat/>
    <w:pPr>
      <w:kinsoku w:val="0"/>
      <w:wordWrap w:val="0"/>
      <w:adjustRightInd w:val="0"/>
      <w:spacing w:before="60" w:after="60" w:line="120" w:lineRule="atLeast"/>
      <w:textAlignment w:val="baseline"/>
    </w:pPr>
    <w:rPr>
      <w:spacing w:val="32"/>
      <w:kern w:val="0"/>
      <w:sz w:val="24"/>
      <w:szCs w:val="20"/>
    </w:rPr>
  </w:style>
  <w:style w:type="paragraph" w:customStyle="1" w:styleId="2-ls">
    <w:name w:val="标2-ls."/>
    <w:basedOn w:val="22"/>
    <w:qFormat/>
    <w:pPr>
      <w:spacing w:beforeLines="10" w:afterLines="10"/>
    </w:pPr>
    <w:rPr>
      <w:rFonts w:cs="宋体"/>
      <w:spacing w:val="0"/>
      <w:w w:val="100"/>
      <w:kern w:val="2"/>
      <w:sz w:val="30"/>
      <w:szCs w:val="20"/>
    </w:rPr>
  </w:style>
  <w:style w:type="paragraph" w:customStyle="1" w:styleId="1fffffff4">
    <w:name w:val="结束语1"/>
    <w:basedOn w:val="a6"/>
    <w:qFormat/>
    <w:pPr>
      <w:ind w:leftChars="2100" w:left="100"/>
    </w:pPr>
  </w:style>
  <w:style w:type="paragraph" w:customStyle="1" w:styleId="affffffffffffffffffffffffffffffffffffff8">
    <w:name w:val="表居中（中文）"/>
    <w:basedOn w:val="a6"/>
    <w:qFormat/>
    <w:pPr>
      <w:widowControl/>
      <w:adjustRightInd w:val="0"/>
      <w:spacing w:line="380" w:lineRule="atLeast"/>
      <w:jc w:val="center"/>
      <w:textAlignment w:val="baseline"/>
    </w:pPr>
    <w:rPr>
      <w:rFonts w:ascii="宋体" w:eastAsia="楷体_GB2312" w:hAnsi="宋体" w:cs="宋体"/>
      <w:kern w:val="0"/>
      <w:sz w:val="24"/>
      <w:szCs w:val="20"/>
    </w:rPr>
  </w:style>
  <w:style w:type="paragraph" w:customStyle="1" w:styleId="CharCharChar30">
    <w:name w:val="Char Char Char3"/>
    <w:basedOn w:val="a6"/>
    <w:qFormat/>
  </w:style>
  <w:style w:type="paragraph" w:customStyle="1" w:styleId="ParaAttribute10">
    <w:name w:val="ParaAttribute10"/>
    <w:qFormat/>
    <w:pPr>
      <w:widowControl w:val="0"/>
      <w:wordWrap w:val="0"/>
      <w:spacing w:line="264" w:lineRule="exact"/>
    </w:pPr>
  </w:style>
  <w:style w:type="paragraph" w:customStyle="1" w:styleId="1520">
    <w:name w:val="样式 样式 宋体 四号 行距: 1.5 倍行距 + 首行缩进:  2 字符"/>
    <w:basedOn w:val="a6"/>
    <w:qFormat/>
    <w:pPr>
      <w:adjustRightInd w:val="0"/>
      <w:snapToGrid w:val="0"/>
      <w:spacing w:line="360" w:lineRule="auto"/>
      <w:ind w:firstLineChars="200" w:firstLine="560"/>
    </w:pPr>
    <w:rPr>
      <w:rFonts w:ascii="宋体" w:hAnsi="宋体" w:cs="宋体"/>
      <w:sz w:val="28"/>
      <w:szCs w:val="20"/>
    </w:rPr>
  </w:style>
  <w:style w:type="paragraph" w:customStyle="1" w:styleId="affffffffffffffffffffffffffffffffffffff9">
    <w:name w:val="数字编号列项（二级）"/>
    <w:qFormat/>
    <w:pPr>
      <w:ind w:leftChars="400" w:left="1260" w:hangingChars="200" w:hanging="420"/>
      <w:jc w:val="both"/>
    </w:pPr>
    <w:rPr>
      <w:rFonts w:ascii="宋体"/>
      <w:sz w:val="21"/>
    </w:rPr>
  </w:style>
  <w:style w:type="paragraph" w:customStyle="1" w:styleId="e0">
    <w:name w:val="e新正文"/>
    <w:basedOn w:val="a6"/>
    <w:qFormat/>
    <w:pPr>
      <w:widowControl/>
      <w:spacing w:line="360" w:lineRule="auto"/>
    </w:pPr>
    <w:rPr>
      <w:rFonts w:ascii="宋体" w:hAnsi="宋体"/>
      <w:snapToGrid w:val="0"/>
      <w:kern w:val="0"/>
      <w:sz w:val="24"/>
      <w:szCs w:val="20"/>
    </w:rPr>
  </w:style>
  <w:style w:type="paragraph" w:customStyle="1" w:styleId="CharCharCharCharCharCharCharCharCharCharCharCharCharCharCharCharCharCharCharCharChar">
    <w:name w:val="Char Char Char Char Char Char Char Char Char Char Char Char Char Char Char Char Char Char Char Char Char"/>
    <w:basedOn w:val="a6"/>
    <w:qFormat/>
    <w:pPr>
      <w:spacing w:line="480" w:lineRule="exact"/>
      <w:ind w:leftChars="200" w:left="200" w:firstLineChars="200" w:firstLine="200"/>
    </w:pPr>
    <w:rPr>
      <w:rFonts w:ascii="宋体" w:hAnsi="宋体" w:cs="宋体"/>
      <w:sz w:val="24"/>
    </w:rPr>
  </w:style>
  <w:style w:type="paragraph" w:customStyle="1" w:styleId="170">
    <w:name w:val="17"/>
    <w:basedOn w:val="a6"/>
    <w:next w:val="39"/>
    <w:qFormat/>
    <w:pPr>
      <w:spacing w:after="120"/>
      <w:ind w:leftChars="200" w:left="420"/>
    </w:pPr>
    <w:rPr>
      <w:sz w:val="16"/>
      <w:szCs w:val="16"/>
    </w:rPr>
  </w:style>
  <w:style w:type="paragraph" w:customStyle="1" w:styleId="affffffffffffffffffffffffffffffffffffffa">
    <w:name w:val="正文段落"/>
    <w:qFormat/>
    <w:pPr>
      <w:spacing w:beforeLines="50"/>
      <w:ind w:firstLineChars="200" w:firstLine="505"/>
    </w:pPr>
    <w:rPr>
      <w:bCs/>
      <w:kern w:val="2"/>
      <w:sz w:val="24"/>
      <w:szCs w:val="24"/>
    </w:rPr>
  </w:style>
  <w:style w:type="paragraph" w:customStyle="1" w:styleId="159">
    <w:name w:val="样式 小四 加粗 行距: 1.5 倍行距"/>
    <w:basedOn w:val="a6"/>
    <w:qFormat/>
    <w:pPr>
      <w:spacing w:line="360" w:lineRule="auto"/>
    </w:pPr>
    <w:rPr>
      <w:rFonts w:cs="宋体"/>
      <w:b/>
      <w:bCs/>
      <w:sz w:val="24"/>
      <w:szCs w:val="20"/>
    </w:rPr>
  </w:style>
  <w:style w:type="paragraph" w:customStyle="1" w:styleId="affffffffffffffffffffffffffffffffffffffb">
    <w:name w:val="样式 楷体"/>
    <w:basedOn w:val="a6"/>
    <w:qFormat/>
    <w:pPr>
      <w:tabs>
        <w:tab w:val="left" w:pos="3780"/>
      </w:tabs>
      <w:ind w:firstLineChars="200" w:firstLine="480"/>
    </w:pPr>
    <w:rPr>
      <w:rFonts w:ascii="楷体" w:eastAsia="楷体" w:hAnsi="楷体"/>
      <w:sz w:val="18"/>
      <w:szCs w:val="28"/>
    </w:rPr>
  </w:style>
  <w:style w:type="paragraph" w:customStyle="1" w:styleId="pa-2">
    <w:name w:val="pa-2"/>
    <w:basedOn w:val="a6"/>
    <w:qFormat/>
    <w:pPr>
      <w:widowControl/>
      <w:spacing w:before="100" w:beforeAutospacing="1" w:after="100" w:afterAutospacing="1"/>
      <w:jc w:val="left"/>
    </w:pPr>
    <w:rPr>
      <w:rFonts w:ascii="宋体" w:hAnsi="宋体" w:cs="宋体"/>
      <w:kern w:val="0"/>
      <w:sz w:val="24"/>
    </w:rPr>
  </w:style>
  <w:style w:type="paragraph" w:customStyle="1" w:styleId="affffffffffffffffffffffffffffffffffffffc">
    <w:name w:val="样式_表格 小四加粗居中"/>
    <w:qFormat/>
    <w:pPr>
      <w:adjustRightInd w:val="0"/>
      <w:snapToGrid w:val="0"/>
      <w:jc w:val="center"/>
    </w:pPr>
    <w:rPr>
      <w:b/>
      <w:kern w:val="2"/>
      <w:sz w:val="24"/>
    </w:rPr>
  </w:style>
  <w:style w:type="paragraph" w:customStyle="1" w:styleId="affffffffffffffffffffffffffffffffffffffd">
    <w:name w:val="目录"/>
    <w:basedOn w:val="a6"/>
    <w:qFormat/>
    <w:pPr>
      <w:tabs>
        <w:tab w:val="right" w:leader="dot" w:pos="8505"/>
      </w:tabs>
      <w:overflowPunct w:val="0"/>
      <w:adjustRightInd w:val="0"/>
      <w:spacing w:line="360" w:lineRule="auto"/>
      <w:ind w:left="568" w:right="851" w:hanging="284"/>
      <w:textAlignment w:val="baseline"/>
    </w:pPr>
    <w:rPr>
      <w:kern w:val="0"/>
      <w:sz w:val="28"/>
      <w:szCs w:val="20"/>
    </w:rPr>
  </w:style>
  <w:style w:type="paragraph" w:customStyle="1" w:styleId="affffffffffffffffffffffffffffffffffffffe">
    <w:name w:val="项目三级编号"/>
    <w:basedOn w:val="a6"/>
    <w:qFormat/>
    <w:pPr>
      <w:tabs>
        <w:tab w:val="left" w:pos="1440"/>
      </w:tabs>
      <w:ind w:left="851" w:hanging="851"/>
    </w:pPr>
  </w:style>
  <w:style w:type="paragraph" w:customStyle="1" w:styleId="reader-word-layerreader-word-s4-14reader-word-s4-31">
    <w:name w:val="reader-word-layer reader-word-s4-14 reader-word-s4-31"/>
    <w:basedOn w:val="a6"/>
    <w:qFormat/>
    <w:pPr>
      <w:widowControl/>
      <w:spacing w:before="100" w:beforeAutospacing="1" w:after="100" w:afterAutospacing="1"/>
      <w:jc w:val="left"/>
    </w:pPr>
    <w:rPr>
      <w:rFonts w:ascii="宋体" w:hAnsi="宋体" w:cs="宋体"/>
      <w:kern w:val="0"/>
      <w:sz w:val="24"/>
    </w:rPr>
  </w:style>
  <w:style w:type="paragraph" w:customStyle="1" w:styleId="afffffffffffffffffffffffffffffffffffffff">
    <w:name w:val="图片"/>
    <w:basedOn w:val="a6"/>
    <w:qFormat/>
    <w:pPr>
      <w:spacing w:line="360" w:lineRule="auto"/>
      <w:ind w:firstLineChars="197" w:firstLine="449"/>
      <w:jc w:val="center"/>
    </w:pPr>
    <w:rPr>
      <w:rFonts w:hAnsi="宋体"/>
      <w:spacing w:val="-6"/>
      <w:sz w:val="24"/>
    </w:rPr>
  </w:style>
  <w:style w:type="paragraph" w:customStyle="1" w:styleId="7110">
    <w:name w:val="表格内字体711"/>
    <w:basedOn w:val="affffa"/>
    <w:next w:val="affffa"/>
    <w:qFormat/>
    <w:pPr>
      <w:spacing w:line="240" w:lineRule="auto"/>
      <w:ind w:firstLine="0"/>
      <w:jc w:val="center"/>
    </w:pPr>
    <w:rPr>
      <w:sz w:val="21"/>
    </w:rPr>
  </w:style>
  <w:style w:type="paragraph" w:customStyle="1" w:styleId="reader-word-layerreader-word-s39-5">
    <w:name w:val="reader-word-layer reader-word-s39-5"/>
    <w:basedOn w:val="a6"/>
    <w:qFormat/>
    <w:pPr>
      <w:widowControl/>
      <w:spacing w:before="100" w:beforeAutospacing="1" w:after="100" w:afterAutospacing="1"/>
      <w:jc w:val="left"/>
    </w:pPr>
    <w:rPr>
      <w:rFonts w:ascii="宋体" w:hAnsi="宋体" w:cs="宋体"/>
      <w:color w:val="000000"/>
      <w:w w:val="110"/>
      <w:kern w:val="0"/>
      <w:sz w:val="24"/>
    </w:rPr>
  </w:style>
  <w:style w:type="paragraph" w:customStyle="1" w:styleId="CharCharCharCharCharCharCharCharCharCharChar2">
    <w:name w:val="Char Char Char Char Char Char Char Char Char Char Char2"/>
    <w:basedOn w:val="a6"/>
    <w:qFormat/>
  </w:style>
  <w:style w:type="paragraph" w:customStyle="1" w:styleId="013">
    <w:name w:val="正文缩进_01"/>
    <w:qFormat/>
    <w:pPr>
      <w:tabs>
        <w:tab w:val="left" w:pos="2126"/>
      </w:tabs>
      <w:adjustRightInd w:val="0"/>
      <w:snapToGrid w:val="0"/>
      <w:spacing w:line="360" w:lineRule="auto"/>
      <w:ind w:firstLineChars="750" w:firstLine="2100"/>
    </w:pPr>
    <w:rPr>
      <w:rFonts w:ascii="Garamond" w:eastAsia="Times New Roman" w:hAnsi="Garamond"/>
      <w:sz w:val="28"/>
    </w:rPr>
  </w:style>
  <w:style w:type="paragraph" w:customStyle="1" w:styleId="CharCharChar130">
    <w:name w:val="Char Char Char13"/>
    <w:basedOn w:val="a6"/>
    <w:qFormat/>
  </w:style>
  <w:style w:type="paragraph" w:customStyle="1" w:styleId="E00122">
    <w:name w:val="样式 样式 E 正文001 + 首行缩进:  2 字符 + 首行缩进:  2 字符"/>
    <w:basedOn w:val="a6"/>
    <w:qFormat/>
    <w:pPr>
      <w:spacing w:line="500" w:lineRule="exact"/>
      <w:ind w:firstLineChars="200" w:firstLine="200"/>
    </w:pPr>
    <w:rPr>
      <w:rFonts w:cs="宋体"/>
      <w:sz w:val="28"/>
      <w:szCs w:val="20"/>
    </w:rPr>
  </w:style>
  <w:style w:type="paragraph" w:customStyle="1" w:styleId="zi14">
    <w:name w:val="zi14"/>
    <w:basedOn w:val="a6"/>
    <w:qFormat/>
    <w:pPr>
      <w:widowControl/>
      <w:spacing w:before="100" w:beforeAutospacing="1" w:after="100" w:afterAutospacing="1"/>
      <w:jc w:val="left"/>
    </w:pPr>
    <w:rPr>
      <w:rFonts w:ascii="宋体" w:hAnsi="宋体" w:cs="宋体"/>
      <w:b/>
      <w:bCs/>
      <w:color w:val="004499"/>
      <w:kern w:val="0"/>
      <w:sz w:val="23"/>
      <w:szCs w:val="23"/>
    </w:rPr>
  </w:style>
  <w:style w:type="paragraph" w:customStyle="1" w:styleId="afffffffffffffffffffffffffffffffffffffff0">
    <w:name w:val="节正文"/>
    <w:basedOn w:val="a6"/>
    <w:qFormat/>
    <w:pPr>
      <w:spacing w:beforeLines="20" w:afterLines="20" w:line="360" w:lineRule="auto"/>
      <w:ind w:leftChars="100" w:left="100" w:firstLineChars="200" w:firstLine="200"/>
    </w:pPr>
    <w:rPr>
      <w:sz w:val="24"/>
    </w:rPr>
  </w:style>
  <w:style w:type="paragraph" w:customStyle="1" w:styleId="xl112">
    <w:name w:val="xl112"/>
    <w:basedOn w:val="a6"/>
    <w:qFormat/>
    <w:pPr>
      <w:widowControl/>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left"/>
      <w:textAlignment w:val="center"/>
    </w:pPr>
    <w:rPr>
      <w:rFonts w:ascii="宋体" w:hAnsi="宋体" w:cs="宋体"/>
      <w:b/>
      <w:bCs/>
      <w:kern w:val="0"/>
      <w:sz w:val="20"/>
      <w:szCs w:val="20"/>
    </w:rPr>
  </w:style>
  <w:style w:type="paragraph" w:customStyle="1" w:styleId="Char1CharCharChar">
    <w:name w:val="Char1 Char Char Char"/>
    <w:basedOn w:val="a6"/>
    <w:qFormat/>
    <w:rPr>
      <w:rFonts w:ascii="宋体" w:hAnsi="宋体"/>
      <w:szCs w:val="21"/>
    </w:rPr>
  </w:style>
  <w:style w:type="paragraph" w:customStyle="1" w:styleId="CharCharCharCharCharCharChar20">
    <w:name w:val="Char Char Char Char Char Char Char2"/>
    <w:basedOn w:val="a6"/>
    <w:qFormat/>
    <w:pPr>
      <w:widowControl/>
      <w:spacing w:after="160" w:line="240" w:lineRule="exact"/>
      <w:jc w:val="left"/>
    </w:pPr>
    <w:rPr>
      <w:rFonts w:ascii="Verdana" w:hAnsi="Verdana"/>
      <w:kern w:val="0"/>
      <w:sz w:val="20"/>
      <w:szCs w:val="20"/>
      <w:lang w:eastAsia="en-US"/>
    </w:rPr>
  </w:style>
  <w:style w:type="paragraph" w:customStyle="1" w:styleId="CharChar2CharChar">
    <w:name w:val="Char Char2 Char Char"/>
    <w:basedOn w:val="a6"/>
    <w:qFormat/>
  </w:style>
  <w:style w:type="paragraph" w:customStyle="1" w:styleId="xl50">
    <w:name w:val="xl50"/>
    <w:basedOn w:val="a6"/>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eastAsia="Arial Unicode MS"/>
      <w:kern w:val="0"/>
      <w:sz w:val="24"/>
      <w:szCs w:val="20"/>
    </w:rPr>
  </w:style>
  <w:style w:type="paragraph" w:customStyle="1" w:styleId="6d">
    <w:name w:val="纯文本6"/>
    <w:basedOn w:val="a6"/>
    <w:qFormat/>
    <w:pPr>
      <w:adjustRightInd w:val="0"/>
      <w:jc w:val="left"/>
      <w:textAlignment w:val="baseline"/>
    </w:pPr>
    <w:rPr>
      <w:rFonts w:ascii="宋体"/>
      <w:kern w:val="0"/>
      <w:sz w:val="24"/>
      <w:szCs w:val="20"/>
    </w:rPr>
  </w:style>
  <w:style w:type="paragraph" w:customStyle="1" w:styleId="CCCharCharCharCharCharChar">
    <w:name w:val="CC Char Char Char Char Char Char"/>
    <w:basedOn w:val="26"/>
    <w:next w:val="26"/>
    <w:qFormat/>
    <w:pPr>
      <w:adjustRightInd/>
      <w:snapToGrid/>
      <w:spacing w:after="120" w:line="480" w:lineRule="auto"/>
      <w:ind w:leftChars="100" w:left="630" w:rightChars="100" w:right="100" w:firstLineChars="0" w:firstLine="0"/>
    </w:pPr>
    <w:rPr>
      <w:sz w:val="28"/>
      <w:szCs w:val="28"/>
    </w:rPr>
  </w:style>
  <w:style w:type="paragraph" w:customStyle="1" w:styleId="Char4CharCharCharCharCharCharCharCharCharCharCharCharCharCharCharCharChar1CharCharCharCharCharChar1Char">
    <w:name w:val="Char4 Char Char Char Char Char Char Char Char Char Char Char Char Char Char Char Char Char1 Char Char Char Char Char Char1 Char"/>
    <w:basedOn w:val="a6"/>
    <w:qFormat/>
    <w:pPr>
      <w:spacing w:line="240" w:lineRule="exact"/>
      <w:ind w:firstLineChars="200" w:firstLine="200"/>
    </w:pPr>
    <w:rPr>
      <w:sz w:val="28"/>
      <w:szCs w:val="28"/>
    </w:rPr>
  </w:style>
  <w:style w:type="paragraph" w:customStyle="1" w:styleId="CharCharCharCharCharChar1Char5">
    <w:name w:val="Char Char Char Char Char Char1 Char5"/>
    <w:basedOn w:val="a6"/>
    <w:qFormat/>
    <w:pPr>
      <w:widowControl/>
      <w:spacing w:after="160" w:line="240" w:lineRule="exact"/>
      <w:jc w:val="left"/>
    </w:pPr>
    <w:rPr>
      <w:rFonts w:ascii="Arial" w:eastAsia="Times New Roman" w:hAnsi="Arial"/>
      <w:b/>
      <w:kern w:val="0"/>
      <w:sz w:val="24"/>
      <w:szCs w:val="20"/>
      <w:lang w:eastAsia="en-US"/>
    </w:rPr>
  </w:style>
  <w:style w:type="paragraph" w:customStyle="1" w:styleId="Char130">
    <w:name w:val="Char13"/>
    <w:basedOn w:val="a6"/>
    <w:qFormat/>
    <w:rPr>
      <w:rFonts w:ascii="宋体"/>
      <w:kern w:val="0"/>
      <w:sz w:val="24"/>
      <w:szCs w:val="20"/>
    </w:rPr>
  </w:style>
  <w:style w:type="paragraph" w:customStyle="1" w:styleId="afffffffffffffffffffffffffffffffffffffff1">
    <w:name w:val="二期四级样式"/>
    <w:basedOn w:val="a6"/>
    <w:qFormat/>
    <w:pPr>
      <w:widowControl/>
      <w:tabs>
        <w:tab w:val="left" w:pos="1680"/>
      </w:tabs>
      <w:ind w:left="1680" w:hanging="420"/>
      <w:jc w:val="left"/>
    </w:pPr>
    <w:rPr>
      <w:kern w:val="0"/>
      <w:sz w:val="24"/>
    </w:rPr>
  </w:style>
  <w:style w:type="paragraph" w:customStyle="1" w:styleId="T6">
    <w:name w:val="T表格"/>
    <w:qFormat/>
    <w:pPr>
      <w:spacing w:line="300" w:lineRule="exact"/>
      <w:jc w:val="both"/>
    </w:pPr>
    <w:rPr>
      <w:color w:val="000000"/>
      <w:sz w:val="21"/>
      <w:szCs w:val="21"/>
    </w:rPr>
  </w:style>
  <w:style w:type="paragraph" w:customStyle="1" w:styleId="5120">
    <w:name w:val="样式 标题5 国寰 + 黑体 + 文字 1 首行缩进:  2 字符"/>
    <w:qFormat/>
    <w:rPr>
      <w:rFonts w:cs="宋体"/>
      <w:color w:val="000000"/>
    </w:rPr>
  </w:style>
  <w:style w:type="paragraph" w:customStyle="1" w:styleId="5ff7">
    <w:name w:val="标题5 国寰 + 黑体"/>
    <w:basedOn w:val="afffe"/>
    <w:qFormat/>
    <w:pPr>
      <w:spacing w:line="360" w:lineRule="auto"/>
      <w:ind w:firstLineChars="200" w:firstLine="200"/>
      <w:outlineLvl w:val="4"/>
    </w:pPr>
    <w:rPr>
      <w:rFonts w:ascii="黑体" w:eastAsia="黑体" w:hAnsi="黑体"/>
      <w:snapToGrid w:val="0"/>
      <w:kern w:val="0"/>
      <w:sz w:val="24"/>
    </w:rPr>
  </w:style>
  <w:style w:type="paragraph" w:customStyle="1" w:styleId="xl64">
    <w:name w:val="xl64"/>
    <w:basedOn w:val="a6"/>
    <w:qFormat/>
    <w:pPr>
      <w:widowControl/>
      <w:pBdr>
        <w:left w:val="single" w:sz="4" w:space="0" w:color="auto"/>
        <w:bottom w:val="single" w:sz="4" w:space="0" w:color="auto"/>
        <w:right w:val="single" w:sz="8" w:space="0" w:color="auto"/>
      </w:pBdr>
      <w:spacing w:before="100" w:beforeAutospacing="1" w:after="100" w:afterAutospacing="1"/>
      <w:jc w:val="left"/>
      <w:textAlignment w:val="center"/>
    </w:pPr>
    <w:rPr>
      <w:rFonts w:ascii="Arial Unicode MS" w:eastAsia="Arial Unicode MS" w:hAnsi="Arial Unicode MS"/>
      <w:kern w:val="0"/>
      <w:sz w:val="24"/>
      <w:szCs w:val="20"/>
    </w:rPr>
  </w:style>
  <w:style w:type="paragraph" w:customStyle="1" w:styleId="Char220">
    <w:name w:val="Char22"/>
    <w:basedOn w:val="a6"/>
    <w:qFormat/>
    <w:rPr>
      <w:color w:val="000000"/>
      <w:w w:val="110"/>
      <w:kern w:val="0"/>
      <w:sz w:val="24"/>
    </w:rPr>
  </w:style>
  <w:style w:type="paragraph" w:customStyle="1" w:styleId="afffffffffffffffffffffffffffffffffffffff2">
    <w:name w:val="三级标题！！！"/>
    <w:basedOn w:val="affffffffffffffffffffffffffff5"/>
    <w:qFormat/>
    <w:pPr>
      <w:outlineLvl w:val="2"/>
    </w:pPr>
    <w:rPr>
      <w:sz w:val="24"/>
      <w:szCs w:val="28"/>
    </w:rPr>
  </w:style>
  <w:style w:type="paragraph" w:customStyle="1" w:styleId="CM95">
    <w:name w:val="CM95"/>
    <w:basedOn w:val="Default"/>
    <w:next w:val="Default"/>
    <w:qFormat/>
    <w:pPr>
      <w:spacing w:after="177"/>
    </w:pPr>
    <w:rPr>
      <w:rFonts w:ascii="黑体" w:eastAsia="黑体"/>
      <w:color w:val="auto"/>
    </w:rPr>
  </w:style>
  <w:style w:type="paragraph" w:customStyle="1" w:styleId="33Char11">
    <w:name w:val="样式 标题 3标题 3 Char + 左侧:  1 字符 右侧:  1 字符"/>
    <w:basedOn w:val="33"/>
    <w:qFormat/>
    <w:pPr>
      <w:widowControl/>
      <w:tabs>
        <w:tab w:val="left" w:pos="709"/>
      </w:tabs>
      <w:adjustRightInd w:val="0"/>
      <w:snapToGrid w:val="0"/>
      <w:spacing w:line="460" w:lineRule="exact"/>
      <w:ind w:firstLineChars="200" w:firstLine="200"/>
    </w:pPr>
    <w:rPr>
      <w:rFonts w:eastAsia="仿宋_GB2312" w:cs="宋体"/>
      <w:b/>
      <w:spacing w:val="0"/>
      <w:sz w:val="24"/>
      <w:szCs w:val="26"/>
    </w:rPr>
  </w:style>
  <w:style w:type="paragraph" w:customStyle="1" w:styleId="afffffffffffffffffffffffffffffffffffffff3">
    <w:name w:val="图标题"/>
    <w:basedOn w:val="a6"/>
    <w:qFormat/>
    <w:pPr>
      <w:widowControl/>
      <w:spacing w:beforeLines="25" w:line="360" w:lineRule="auto"/>
      <w:jc w:val="center"/>
    </w:pPr>
    <w:rPr>
      <w:rFonts w:ascii="Arial" w:eastAsia="黑体" w:hAnsi="Arial"/>
      <w:kern w:val="0"/>
      <w:sz w:val="24"/>
      <w:szCs w:val="20"/>
    </w:rPr>
  </w:style>
  <w:style w:type="paragraph" w:customStyle="1" w:styleId="font15">
    <w:name w:val="font15"/>
    <w:basedOn w:val="a6"/>
    <w:qFormat/>
    <w:pPr>
      <w:widowControl/>
      <w:spacing w:before="100" w:beforeAutospacing="1" w:after="100" w:afterAutospacing="1"/>
      <w:jc w:val="left"/>
    </w:pPr>
    <w:rPr>
      <w:kern w:val="0"/>
      <w:sz w:val="22"/>
      <w:szCs w:val="22"/>
    </w:rPr>
  </w:style>
  <w:style w:type="paragraph" w:customStyle="1" w:styleId="afffffffffffffffffffffffffffffffffffffff4">
    <w:name w:val="文"/>
    <w:basedOn w:val="33"/>
    <w:qFormat/>
    <w:pPr>
      <w:keepNext w:val="0"/>
      <w:keepLines w:val="0"/>
      <w:tabs>
        <w:tab w:val="left" w:pos="1070"/>
      </w:tabs>
      <w:adjustRightInd w:val="0"/>
      <w:spacing w:line="360" w:lineRule="auto"/>
      <w:ind w:firstLineChars="200" w:firstLine="480"/>
      <w:outlineLvl w:val="9"/>
    </w:pPr>
    <w:rPr>
      <w:rFonts w:eastAsia="宋体"/>
      <w:bCs/>
      <w:spacing w:val="0"/>
      <w:sz w:val="24"/>
      <w:szCs w:val="24"/>
    </w:rPr>
  </w:style>
  <w:style w:type="paragraph" w:customStyle="1" w:styleId="Char320">
    <w:name w:val="Char32"/>
    <w:basedOn w:val="a6"/>
    <w:qFormat/>
  </w:style>
  <w:style w:type="paragraph" w:customStyle="1" w:styleId="CharCharCharCharCharChar10">
    <w:name w:val="Char Char 字元 字元 字元 Char Char Char Char1"/>
    <w:basedOn w:val="a6"/>
    <w:qFormat/>
    <w:pPr>
      <w:widowControl/>
      <w:adjustRightInd w:val="0"/>
      <w:spacing w:line="360" w:lineRule="auto"/>
      <w:jc w:val="left"/>
    </w:pPr>
    <w:rPr>
      <w:rFonts w:ascii="宋体" w:hAnsi="宋体" w:cs="宋体"/>
      <w:kern w:val="0"/>
      <w:sz w:val="24"/>
      <w:szCs w:val="20"/>
    </w:rPr>
  </w:style>
  <w:style w:type="paragraph" w:customStyle="1" w:styleId="1fffffff5">
    <w:name w:val="表文1"/>
    <w:basedOn w:val="a6"/>
    <w:qFormat/>
    <w:pPr>
      <w:spacing w:beforeLines="50" w:afterLines="50" w:line="360" w:lineRule="auto"/>
    </w:pPr>
    <w:rPr>
      <w:rFonts w:ascii="宋体" w:hAnsi="宋体"/>
      <w:szCs w:val="20"/>
    </w:rPr>
  </w:style>
  <w:style w:type="paragraph" w:customStyle="1" w:styleId="16111">
    <w:name w:val="标题16.1.1.1"/>
    <w:basedOn w:val="41"/>
    <w:qFormat/>
    <w:pPr>
      <w:tabs>
        <w:tab w:val="left" w:pos="1200"/>
        <w:tab w:val="left" w:pos="1923"/>
      </w:tabs>
      <w:adjustRightInd/>
      <w:snapToGrid/>
      <w:spacing w:beforeLines="0" w:before="120" w:after="120" w:line="312" w:lineRule="auto"/>
      <w:ind w:left="1200" w:hanging="360"/>
    </w:pPr>
    <w:rPr>
      <w:rFonts w:ascii="Arial" w:hAnsi="Arial"/>
      <w:sz w:val="24"/>
      <w:szCs w:val="24"/>
    </w:rPr>
  </w:style>
  <w:style w:type="paragraph" w:customStyle="1" w:styleId="afffffffffffffffffffffffffffffffffffffff5">
    <w:name w:val="密级编号"/>
    <w:basedOn w:val="a6"/>
    <w:qFormat/>
    <w:pPr>
      <w:adjustRightInd w:val="0"/>
      <w:jc w:val="center"/>
      <w:textAlignment w:val="baseline"/>
    </w:pPr>
    <w:rPr>
      <w:rFonts w:ascii="仿宋_GB2312" w:eastAsia="仿宋_GB2312"/>
      <w:color w:val="000000"/>
      <w:w w:val="110"/>
      <w:kern w:val="0"/>
      <w:sz w:val="24"/>
      <w:szCs w:val="20"/>
    </w:rPr>
  </w:style>
  <w:style w:type="paragraph" w:customStyle="1" w:styleId="2ffffffe">
    <w:name w:val="样式 标题 2 + (符号) 宋体"/>
    <w:basedOn w:val="22"/>
    <w:qFormat/>
    <w:pPr>
      <w:keepNext w:val="0"/>
      <w:keepLines w:val="0"/>
      <w:spacing w:afterLines="50" w:line="300" w:lineRule="auto"/>
      <w:jc w:val="center"/>
    </w:pPr>
    <w:rPr>
      <w:rFonts w:ascii="楷体_GB2312" w:eastAsia="楷体_GB2312" w:hAnsi="黑体"/>
      <w:b/>
      <w:bCs w:val="0"/>
      <w:spacing w:val="0"/>
      <w:w w:val="100"/>
      <w:kern w:val="2"/>
      <w:szCs w:val="32"/>
    </w:rPr>
  </w:style>
  <w:style w:type="paragraph" w:customStyle="1" w:styleId="4ff6">
    <w:name w:val="日期4"/>
    <w:basedOn w:val="a6"/>
    <w:next w:val="a6"/>
    <w:qFormat/>
    <w:pPr>
      <w:adjustRightInd w:val="0"/>
      <w:jc w:val="left"/>
    </w:pPr>
    <w:rPr>
      <w:rFonts w:ascii="宋体" w:hint="eastAsia"/>
      <w:spacing w:val="24"/>
      <w:kern w:val="24"/>
      <w:sz w:val="24"/>
      <w:szCs w:val="20"/>
    </w:rPr>
  </w:style>
  <w:style w:type="paragraph" w:customStyle="1" w:styleId="afffffffffffffffffffffffffffffffffffffff6">
    <w:name w:val="列项——（一级）"/>
    <w:qFormat/>
    <w:pPr>
      <w:widowControl w:val="0"/>
      <w:tabs>
        <w:tab w:val="left" w:pos="854"/>
        <w:tab w:val="left" w:pos="1080"/>
      </w:tabs>
      <w:ind w:leftChars="200" w:left="780" w:hangingChars="200" w:hanging="420"/>
      <w:jc w:val="both"/>
    </w:pPr>
    <w:rPr>
      <w:rFonts w:ascii="宋体"/>
      <w:sz w:val="21"/>
    </w:rPr>
  </w:style>
  <w:style w:type="paragraph" w:customStyle="1" w:styleId="1fffffff6">
    <w:name w:val="正1"/>
    <w:basedOn w:val="a6"/>
    <w:qFormat/>
    <w:pPr>
      <w:spacing w:before="60" w:after="60" w:line="400" w:lineRule="exact"/>
      <w:ind w:right="32" w:firstLine="612"/>
    </w:pPr>
    <w:rPr>
      <w:rFonts w:ascii="宋体"/>
      <w:sz w:val="28"/>
      <w:szCs w:val="20"/>
    </w:rPr>
  </w:style>
  <w:style w:type="paragraph" w:customStyle="1" w:styleId="reader-word-layerreader-word-s39-12">
    <w:name w:val="reader-word-layer reader-word-s39-12"/>
    <w:basedOn w:val="a6"/>
    <w:qFormat/>
    <w:pPr>
      <w:widowControl/>
      <w:spacing w:before="100" w:beforeAutospacing="1" w:after="100" w:afterAutospacing="1"/>
      <w:jc w:val="left"/>
    </w:pPr>
    <w:rPr>
      <w:rFonts w:ascii="宋体" w:hAnsi="宋体" w:cs="宋体"/>
      <w:color w:val="000000"/>
      <w:w w:val="110"/>
      <w:kern w:val="0"/>
      <w:sz w:val="24"/>
    </w:rPr>
  </w:style>
  <w:style w:type="paragraph" w:customStyle="1" w:styleId="202">
    <w:name w:val="标题 2 + 首行缩进： 0磅"/>
    <w:basedOn w:val="a6"/>
    <w:qFormat/>
    <w:pPr>
      <w:keepNext/>
      <w:keepLines/>
      <w:tabs>
        <w:tab w:val="left" w:pos="8140"/>
      </w:tabs>
      <w:spacing w:line="360" w:lineRule="auto"/>
      <w:outlineLvl w:val="1"/>
    </w:pPr>
    <w:rPr>
      <w:rFonts w:ascii="黑体" w:eastAsia="黑体"/>
      <w:kern w:val="0"/>
      <w:sz w:val="30"/>
      <w:szCs w:val="20"/>
    </w:rPr>
  </w:style>
  <w:style w:type="paragraph" w:customStyle="1" w:styleId="CharCharCharCharCharCharCharCharChar7">
    <w:name w:val="Char Char Char Char Char Char Char Char Char7"/>
    <w:basedOn w:val="a6"/>
    <w:qFormat/>
    <w:rPr>
      <w:color w:val="000000"/>
      <w:w w:val="110"/>
      <w:kern w:val="0"/>
      <w:sz w:val="24"/>
    </w:rPr>
  </w:style>
  <w:style w:type="paragraph" w:customStyle="1" w:styleId="3fffb">
    <w:name w:val="尾注文本3"/>
    <w:basedOn w:val="1ff9"/>
    <w:qFormat/>
    <w:pPr>
      <w:adjustRightInd w:val="0"/>
      <w:spacing w:line="360" w:lineRule="atLeast"/>
      <w:jc w:val="left"/>
      <w:textAlignment w:val="baseline"/>
    </w:pPr>
    <w:rPr>
      <w:rFonts w:ascii="宋体" w:hAnsi="Calibri"/>
      <w:kern w:val="0"/>
      <w:szCs w:val="20"/>
    </w:rPr>
  </w:style>
  <w:style w:type="paragraph" w:customStyle="1" w:styleId="Document1">
    <w:name w:val="Document 1"/>
    <w:qFormat/>
    <w:pPr>
      <w:keepNext/>
      <w:keepLines/>
      <w:widowControl w:val="0"/>
      <w:tabs>
        <w:tab w:val="left" w:pos="-720"/>
      </w:tabs>
      <w:suppressAutoHyphens/>
    </w:pPr>
    <w:rPr>
      <w:rFonts w:ascii="Courier New" w:hAnsi="Courier New"/>
      <w:snapToGrid w:val="0"/>
      <w:lang w:eastAsia="en-US"/>
    </w:rPr>
  </w:style>
  <w:style w:type="paragraph" w:customStyle="1" w:styleId="5ff8">
    <w:name w:val="表格样式5"/>
    <w:basedOn w:val="afc"/>
    <w:qFormat/>
    <w:pPr>
      <w:widowControl/>
      <w:spacing w:line="240" w:lineRule="auto"/>
      <w:ind w:firstLineChars="0" w:firstLine="0"/>
      <w:jc w:val="center"/>
    </w:pPr>
    <w:rPr>
      <w:rFonts w:ascii="Times New Roman" w:eastAsia="宋体" w:hAnsi="Times New Roman"/>
      <w:color w:val="auto"/>
      <w:spacing w:val="0"/>
      <w:kern w:val="0"/>
      <w:sz w:val="18"/>
      <w:szCs w:val="18"/>
    </w:rPr>
  </w:style>
  <w:style w:type="paragraph" w:customStyle="1" w:styleId="3fffc">
    <w:name w:val="标题 3单独"/>
    <w:basedOn w:val="33"/>
    <w:qFormat/>
    <w:pPr>
      <w:adjustRightInd w:val="0"/>
      <w:spacing w:before="20" w:after="20" w:line="360" w:lineRule="auto"/>
      <w:jc w:val="left"/>
    </w:pPr>
    <w:rPr>
      <w:b/>
      <w:bCs/>
      <w:spacing w:val="0"/>
      <w:szCs w:val="20"/>
    </w:rPr>
  </w:style>
  <w:style w:type="paragraph" w:customStyle="1" w:styleId="xl29">
    <w:name w:val="xl29"/>
    <w:basedOn w:val="a6"/>
    <w:qFormat/>
    <w:pPr>
      <w:widowControl/>
      <w:pBdr>
        <w:top w:val="single" w:sz="4" w:space="0" w:color="auto"/>
        <w:left w:val="single" w:sz="4" w:space="0" w:color="auto"/>
        <w:bottom w:val="single" w:sz="4" w:space="0" w:color="auto"/>
        <w:right w:val="single" w:sz="4" w:space="0" w:color="auto"/>
      </w:pBdr>
      <w:spacing w:before="100" w:after="100"/>
      <w:jc w:val="center"/>
      <w:textAlignment w:val="center"/>
    </w:pPr>
    <w:rPr>
      <w:kern w:val="0"/>
      <w:szCs w:val="20"/>
    </w:rPr>
  </w:style>
  <w:style w:type="paragraph" w:customStyle="1" w:styleId="5ff9">
    <w:name w:val="封面5"/>
    <w:basedOn w:val="a6"/>
    <w:qFormat/>
    <w:pPr>
      <w:snapToGrid w:val="0"/>
    </w:pPr>
  </w:style>
  <w:style w:type="paragraph" w:customStyle="1" w:styleId="CharCharCharCharChar1Char">
    <w:name w:val="Char Char Char Char Char1 Char"/>
    <w:basedOn w:val="a6"/>
    <w:qFormat/>
    <w:pPr>
      <w:widowControl/>
      <w:adjustRightInd w:val="0"/>
      <w:spacing w:line="360" w:lineRule="auto"/>
      <w:jc w:val="left"/>
    </w:pPr>
    <w:rPr>
      <w:rFonts w:ascii="宋体" w:eastAsia="黑体" w:hAnsi="宋体" w:cs="宋体"/>
      <w:spacing w:val="20"/>
      <w:kern w:val="0"/>
      <w:sz w:val="32"/>
      <w:szCs w:val="32"/>
    </w:rPr>
  </w:style>
  <w:style w:type="paragraph" w:customStyle="1" w:styleId="Char210">
    <w:name w:val="Char21"/>
    <w:basedOn w:val="a6"/>
    <w:qFormat/>
    <w:rPr>
      <w:color w:val="000000"/>
      <w:w w:val="110"/>
      <w:kern w:val="0"/>
      <w:sz w:val="24"/>
    </w:rPr>
  </w:style>
  <w:style w:type="paragraph" w:customStyle="1" w:styleId="051">
    <w:name w:val="样式 第一章章节 + 段后: 0.5 行"/>
    <w:basedOn w:val="a6"/>
    <w:qFormat/>
    <w:pPr>
      <w:keepNext/>
      <w:keepLines/>
      <w:pageBreakBefore/>
      <w:tabs>
        <w:tab w:val="left" w:pos="6736"/>
      </w:tabs>
      <w:spacing w:afterLines="50" w:line="360" w:lineRule="auto"/>
      <w:ind w:left="2159" w:hanging="1619"/>
      <w:jc w:val="center"/>
      <w:outlineLvl w:val="0"/>
    </w:pPr>
    <w:rPr>
      <w:rFonts w:eastAsia="黑体" w:cs="宋体"/>
      <w:b/>
      <w:color w:val="000000"/>
      <w:kern w:val="44"/>
      <w:sz w:val="32"/>
      <w:szCs w:val="20"/>
    </w:rPr>
  </w:style>
  <w:style w:type="paragraph" w:customStyle="1" w:styleId="xl77">
    <w:name w:val="xl77"/>
    <w:basedOn w:val="a6"/>
    <w:qFormat/>
    <w:pPr>
      <w:widowControl/>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b/>
      <w:bCs/>
      <w:kern w:val="0"/>
      <w:sz w:val="20"/>
      <w:szCs w:val="20"/>
    </w:rPr>
  </w:style>
  <w:style w:type="paragraph" w:customStyle="1" w:styleId="Char8CharCharCharCharChar1">
    <w:name w:val="Char8 Char Char Char Char Char1"/>
    <w:basedOn w:val="a6"/>
    <w:qFormat/>
    <w:pPr>
      <w:widowControl/>
      <w:spacing w:after="160" w:line="240" w:lineRule="exact"/>
      <w:jc w:val="left"/>
    </w:pPr>
    <w:rPr>
      <w:rFonts w:ascii="Arial" w:eastAsia="Times New Roman" w:hAnsi="Arial" w:cs="Verdana"/>
      <w:b/>
      <w:kern w:val="0"/>
      <w:sz w:val="24"/>
      <w:lang w:eastAsia="en-US"/>
    </w:rPr>
  </w:style>
  <w:style w:type="paragraph" w:customStyle="1" w:styleId="XL501">
    <w:name w:val="表文_XL5_01"/>
    <w:qFormat/>
    <w:pPr>
      <w:ind w:leftChars="-26" w:left="-1" w:hangingChars="29" w:hanging="61"/>
    </w:pPr>
    <w:rPr>
      <w:rFonts w:ascii="Garamond" w:eastAsia="楷体_GB2312" w:hAnsi="Garamond"/>
      <w:kern w:val="28"/>
      <w:sz w:val="21"/>
    </w:rPr>
  </w:style>
  <w:style w:type="paragraph" w:customStyle="1" w:styleId="reader-word-layerreader-word-s1-21">
    <w:name w:val="reader-word-layer reader-word-s1-21"/>
    <w:basedOn w:val="a6"/>
    <w:qFormat/>
    <w:pPr>
      <w:widowControl/>
      <w:spacing w:before="100" w:beforeAutospacing="1" w:after="100" w:afterAutospacing="1"/>
      <w:jc w:val="left"/>
    </w:pPr>
    <w:rPr>
      <w:rFonts w:ascii="宋体" w:hAnsi="宋体" w:cs="宋体"/>
      <w:kern w:val="0"/>
      <w:sz w:val="24"/>
    </w:rPr>
  </w:style>
  <w:style w:type="paragraph" w:customStyle="1" w:styleId="afffffffffffffffffffffffffffffffffffffff7">
    <w:name w:val="清除格式"/>
    <w:basedOn w:val="a6"/>
    <w:qFormat/>
    <w:rPr>
      <w:rFonts w:ascii="宋体" w:hAnsi="宋体"/>
      <w:sz w:val="24"/>
    </w:rPr>
  </w:style>
  <w:style w:type="paragraph" w:customStyle="1" w:styleId="afffffffffffffffffffffffffffffffffffffff8">
    <w:name w:val="表格文字中对齐"/>
    <w:basedOn w:val="a6"/>
    <w:qFormat/>
    <w:pPr>
      <w:spacing w:line="300" w:lineRule="auto"/>
      <w:jc w:val="center"/>
    </w:pPr>
    <w:rPr>
      <w:rFonts w:ascii="仿宋_GB2312" w:eastAsia="仿宋_GB2312" w:hAnsi="Arial Narrow"/>
    </w:rPr>
  </w:style>
  <w:style w:type="paragraph" w:customStyle="1" w:styleId="reader-word-layerreader-word-s3-21">
    <w:name w:val="reader-word-layer reader-word-s3-21"/>
    <w:basedOn w:val="a6"/>
    <w:qFormat/>
    <w:pPr>
      <w:widowControl/>
      <w:spacing w:before="100" w:beforeAutospacing="1" w:after="100" w:afterAutospacing="1"/>
      <w:jc w:val="left"/>
    </w:pPr>
    <w:rPr>
      <w:rFonts w:ascii="宋体" w:hAnsi="宋体" w:cs="宋体"/>
      <w:kern w:val="0"/>
      <w:sz w:val="24"/>
    </w:rPr>
  </w:style>
  <w:style w:type="paragraph" w:customStyle="1" w:styleId="ParaCharCharCharCharCharCharCharCharCharCharCharCharChar">
    <w:name w:val="默认段落字体 Para Char Char Char Char Char Char Char Char Char Char Char Char Char"/>
    <w:basedOn w:val="a6"/>
    <w:qFormat/>
    <w:rPr>
      <w:color w:val="000000"/>
      <w:w w:val="110"/>
      <w:kern w:val="0"/>
      <w:sz w:val="24"/>
    </w:rPr>
  </w:style>
  <w:style w:type="paragraph" w:customStyle="1" w:styleId="afffffffffffffffffffffffffffffffffffffff9">
    <w:name w:val="表头格式"/>
    <w:basedOn w:val="a6"/>
    <w:qFormat/>
    <w:pPr>
      <w:spacing w:line="360" w:lineRule="auto"/>
      <w:jc w:val="center"/>
    </w:pPr>
    <w:rPr>
      <w:rFonts w:ascii="黑体" w:eastAsia="黑体" w:hAnsi="宋体"/>
      <w:b/>
      <w:sz w:val="24"/>
    </w:rPr>
  </w:style>
  <w:style w:type="paragraph" w:customStyle="1" w:styleId="ParaAttribute28">
    <w:name w:val="ParaAttribute28"/>
    <w:qFormat/>
    <w:pPr>
      <w:widowControl w:val="0"/>
      <w:wordWrap w:val="0"/>
      <w:spacing w:line="149" w:lineRule="exact"/>
    </w:pPr>
  </w:style>
  <w:style w:type="paragraph" w:customStyle="1" w:styleId="CharCharCharChar60">
    <w:name w:val="Char Char Char Char6"/>
    <w:basedOn w:val="a6"/>
    <w:qFormat/>
    <w:pPr>
      <w:spacing w:line="360" w:lineRule="auto"/>
      <w:ind w:firstLineChars="200" w:firstLine="200"/>
    </w:pPr>
    <w:rPr>
      <w:rFonts w:ascii="宋体" w:hAnsi="宋体" w:cs="宋体"/>
      <w:sz w:val="24"/>
    </w:rPr>
  </w:style>
  <w:style w:type="paragraph" w:customStyle="1" w:styleId="3fffd">
    <w:name w:val="目录3"/>
    <w:basedOn w:val="a6"/>
    <w:next w:val="a6"/>
    <w:qFormat/>
    <w:pPr>
      <w:widowControl/>
      <w:tabs>
        <w:tab w:val="left" w:leader="dot" w:pos="8492"/>
      </w:tabs>
      <w:spacing w:line="748" w:lineRule="atLeast"/>
      <w:ind w:left="419" w:firstLine="419"/>
    </w:pPr>
    <w:rPr>
      <w:rFonts w:ascii="宋体"/>
      <w:color w:val="000000"/>
      <w:kern w:val="0"/>
      <w:szCs w:val="20"/>
      <w:u w:color="000000"/>
    </w:rPr>
  </w:style>
  <w:style w:type="paragraph" w:customStyle="1" w:styleId="CharCharCharCharCharChar11">
    <w:name w:val="Char Char Char Char Char Char1"/>
    <w:basedOn w:val="a6"/>
    <w:qFormat/>
    <w:rPr>
      <w:color w:val="000000"/>
      <w:w w:val="110"/>
      <w:kern w:val="0"/>
      <w:sz w:val="24"/>
    </w:rPr>
  </w:style>
  <w:style w:type="paragraph" w:customStyle="1" w:styleId="afffffffffffffffffffffffffffffffffffffffa">
    <w:name w:val="图文框"/>
    <w:basedOn w:val="a6"/>
    <w:uiPriority w:val="99"/>
    <w:qFormat/>
    <w:pPr>
      <w:tabs>
        <w:tab w:val="left" w:pos="5400"/>
      </w:tabs>
      <w:ind w:left="-102" w:right="-102"/>
      <w:jc w:val="center"/>
    </w:pPr>
    <w:rPr>
      <w:spacing w:val="-2"/>
      <w:szCs w:val="20"/>
    </w:rPr>
  </w:style>
  <w:style w:type="paragraph" w:customStyle="1" w:styleId="CharCharCharCharCharChar1CharCharCharChar1">
    <w:name w:val="Char Char Char Char Char Char1 Char Char Char Char1"/>
    <w:basedOn w:val="a6"/>
    <w:qFormat/>
    <w:rPr>
      <w:sz w:val="24"/>
    </w:rPr>
  </w:style>
  <w:style w:type="paragraph" w:customStyle="1" w:styleId="CharCharChar1CharCharChar3">
    <w:name w:val="Char Char Char1 Char Char Char3"/>
    <w:basedOn w:val="a6"/>
    <w:qFormat/>
  </w:style>
  <w:style w:type="paragraph" w:customStyle="1" w:styleId="xl89">
    <w:name w:val="xl89"/>
    <w:basedOn w:val="a6"/>
    <w:qFormat/>
    <w:pPr>
      <w:widowControl/>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left"/>
      <w:textAlignment w:val="center"/>
    </w:pPr>
    <w:rPr>
      <w:rFonts w:ascii="宋体" w:hAnsi="宋体" w:cs="宋体"/>
      <w:b/>
      <w:bCs/>
      <w:kern w:val="0"/>
      <w:sz w:val="20"/>
      <w:szCs w:val="20"/>
    </w:rPr>
  </w:style>
  <w:style w:type="paragraph" w:customStyle="1" w:styleId="CharCharCharCharCharCharCharCharChar3">
    <w:name w:val="Char Char Char Char Char Char Char Char Char3"/>
    <w:basedOn w:val="a6"/>
    <w:qFormat/>
  </w:style>
  <w:style w:type="paragraph" w:customStyle="1" w:styleId="l-2">
    <w:name w:val="l-2"/>
    <w:basedOn w:val="a6"/>
    <w:qFormat/>
    <w:pPr>
      <w:widowControl/>
      <w:spacing w:before="100" w:beforeAutospacing="1" w:after="100" w:afterAutospacing="1"/>
      <w:jc w:val="left"/>
    </w:pPr>
    <w:rPr>
      <w:rFonts w:ascii="宋体" w:hAnsi="宋体" w:cs="宋体"/>
      <w:b/>
      <w:bCs/>
      <w:color w:val="000000"/>
      <w:kern w:val="0"/>
      <w:sz w:val="18"/>
      <w:szCs w:val="18"/>
    </w:rPr>
  </w:style>
  <w:style w:type="paragraph" w:customStyle="1" w:styleId="CM37">
    <w:name w:val="CM37"/>
    <w:basedOn w:val="Default"/>
    <w:next w:val="Default"/>
    <w:qFormat/>
    <w:rPr>
      <w:rFonts w:ascii="黑体" w:eastAsia="黑体"/>
      <w:color w:val="auto"/>
    </w:rPr>
  </w:style>
  <w:style w:type="paragraph" w:customStyle="1" w:styleId="2211">
    <w:name w:val="样式 标题 + 两端对齐 左侧:  2.2 厘米1"/>
    <w:basedOn w:val="aa"/>
    <w:qFormat/>
    <w:pPr>
      <w:pageBreakBefore w:val="0"/>
      <w:tabs>
        <w:tab w:val="left" w:pos="0"/>
      </w:tabs>
      <w:spacing w:before="0" w:after="100" w:afterAutospacing="1" w:line="360" w:lineRule="auto"/>
      <w:ind w:left="1247" w:hanging="57"/>
      <w:jc w:val="both"/>
    </w:pPr>
    <w:rPr>
      <w:rFonts w:ascii="楷体_GB2312" w:eastAsia="隶书" w:hAnsi="Arial" w:cs="宋体"/>
      <w:kern w:val="0"/>
      <w:szCs w:val="20"/>
    </w:rPr>
  </w:style>
  <w:style w:type="paragraph" w:customStyle="1" w:styleId="CharCharChar80">
    <w:name w:val="Char Char Char8"/>
    <w:basedOn w:val="a6"/>
    <w:qFormat/>
    <w:rPr>
      <w:spacing w:val="-2"/>
      <w:kern w:val="0"/>
      <w:sz w:val="28"/>
      <w:szCs w:val="20"/>
    </w:rPr>
  </w:style>
  <w:style w:type="paragraph" w:customStyle="1" w:styleId="afffffffffffffffffffffffffffffffffffffffb">
    <w:name w:val="样式 一级标题丹 +"/>
    <w:basedOn w:val="a6"/>
    <w:qFormat/>
    <w:pPr>
      <w:spacing w:before="200" w:after="200" w:line="360" w:lineRule="auto"/>
    </w:pPr>
    <w:rPr>
      <w:rFonts w:eastAsia="黑体" w:cs="宋体"/>
      <w:b/>
      <w:bCs/>
      <w:sz w:val="36"/>
      <w:szCs w:val="20"/>
    </w:rPr>
  </w:style>
  <w:style w:type="paragraph" w:customStyle="1" w:styleId="2fffffff">
    <w:name w:val="样式 正文格式 + 首行缩进:  2 字符"/>
    <w:basedOn w:val="a6"/>
    <w:qFormat/>
    <w:pPr>
      <w:adjustRightInd w:val="0"/>
      <w:snapToGrid w:val="0"/>
      <w:spacing w:line="480" w:lineRule="exact"/>
      <w:ind w:firstLineChars="200" w:firstLine="520"/>
    </w:pPr>
    <w:rPr>
      <w:rFonts w:ascii="宋体" w:hAnsi="宋体" w:cs="宋体"/>
      <w:kern w:val="0"/>
      <w:sz w:val="28"/>
      <w:szCs w:val="28"/>
    </w:rPr>
  </w:style>
  <w:style w:type="paragraph" w:customStyle="1" w:styleId="6e">
    <w:name w:val="6"/>
    <w:basedOn w:val="a6"/>
    <w:next w:val="26"/>
    <w:qFormat/>
    <w:pPr>
      <w:ind w:firstLine="555"/>
      <w:jc w:val="left"/>
    </w:pPr>
    <w:rPr>
      <w:sz w:val="28"/>
    </w:rPr>
  </w:style>
  <w:style w:type="paragraph" w:customStyle="1" w:styleId="hb4050526">
    <w:name w:val="样式 hb4 + 段前: 0.5 行 段后: 0.5 行 行距: 固定值 26 磅"/>
    <w:basedOn w:val="hb4CharCharCharCharChar"/>
    <w:qFormat/>
  </w:style>
  <w:style w:type="paragraph" w:customStyle="1" w:styleId="CharCharChar2CharCharCharCharCharCharChar1">
    <w:name w:val="Char Char Char2 Char Char Char Char Char Char Char1"/>
    <w:basedOn w:val="a6"/>
    <w:qFormat/>
    <w:rPr>
      <w:rFonts w:hAnsi="宋体"/>
      <w:kern w:val="0"/>
      <w:sz w:val="24"/>
    </w:rPr>
  </w:style>
  <w:style w:type="paragraph" w:customStyle="1" w:styleId="262">
    <w:name w:val="样式 (符号) 宋体 小四 行距: 固定值 26 磅"/>
    <w:basedOn w:val="a6"/>
    <w:qFormat/>
    <w:pPr>
      <w:widowControl/>
      <w:spacing w:line="280" w:lineRule="exact"/>
    </w:pPr>
    <w:rPr>
      <w:bCs/>
      <w:spacing w:val="-8"/>
      <w:kern w:val="0"/>
      <w:sz w:val="18"/>
      <w:szCs w:val="18"/>
    </w:rPr>
  </w:style>
  <w:style w:type="paragraph" w:customStyle="1" w:styleId="pl2">
    <w:name w:val="pl正文"/>
    <w:basedOn w:val="a6"/>
    <w:qFormat/>
    <w:pPr>
      <w:widowControl/>
      <w:snapToGrid w:val="0"/>
      <w:spacing w:line="360" w:lineRule="auto"/>
      <w:ind w:firstLine="492"/>
      <w:jc w:val="left"/>
    </w:pPr>
    <w:rPr>
      <w:rFonts w:ascii="宋体" w:hAnsi="宋体" w:cs="宋体"/>
      <w:color w:val="000000"/>
      <w:spacing w:val="6"/>
      <w:kern w:val="0"/>
      <w:sz w:val="28"/>
    </w:rPr>
  </w:style>
  <w:style w:type="paragraph" w:customStyle="1" w:styleId="afffffffffffffffffffffffffffffffffffffffc">
    <w:name w:val="高表标"/>
    <w:basedOn w:val="a6"/>
    <w:qFormat/>
    <w:pPr>
      <w:widowControl/>
      <w:snapToGrid w:val="0"/>
      <w:spacing w:line="300" w:lineRule="auto"/>
      <w:jc w:val="left"/>
    </w:pPr>
    <w:rPr>
      <w:rFonts w:ascii="Arial" w:eastAsia="黑体" w:hAnsi="Arial" w:cs="宋体"/>
      <w:bCs/>
      <w:kern w:val="0"/>
      <w:sz w:val="24"/>
    </w:rPr>
  </w:style>
  <w:style w:type="paragraph" w:customStyle="1" w:styleId="afffffffffffffffffffffffffffffffffffffffd">
    <w:name w:val="表格注释"/>
    <w:basedOn w:val="a6"/>
    <w:qFormat/>
    <w:pPr>
      <w:spacing w:line="360" w:lineRule="auto"/>
      <w:ind w:firstLineChars="200" w:firstLine="200"/>
    </w:pPr>
    <w:rPr>
      <w:rFonts w:ascii="Times" w:eastAsia="楷体" w:hAnsi="Times"/>
      <w:kern w:val="24"/>
      <w:sz w:val="24"/>
    </w:rPr>
  </w:style>
  <w:style w:type="paragraph" w:customStyle="1" w:styleId="reader-word-layerreader-word-s39-17">
    <w:name w:val="reader-word-layer reader-word-s39-17"/>
    <w:basedOn w:val="a6"/>
    <w:qFormat/>
    <w:pPr>
      <w:widowControl/>
      <w:spacing w:before="100" w:beforeAutospacing="1" w:after="100" w:afterAutospacing="1"/>
      <w:jc w:val="left"/>
    </w:pPr>
    <w:rPr>
      <w:rFonts w:ascii="宋体" w:hAnsi="宋体" w:cs="宋体"/>
      <w:color w:val="000000"/>
      <w:w w:val="110"/>
      <w:kern w:val="0"/>
      <w:sz w:val="24"/>
    </w:rPr>
  </w:style>
  <w:style w:type="paragraph" w:customStyle="1" w:styleId="xl127">
    <w:name w:val="xl127"/>
    <w:basedOn w:val="a6"/>
    <w:qFormat/>
    <w:pPr>
      <w:widowControl/>
      <w:pBdr>
        <w:top w:val="double" w:sz="6" w:space="0" w:color="auto"/>
        <w:left w:val="single" w:sz="4" w:space="0" w:color="auto"/>
        <w:right w:val="single" w:sz="4" w:space="0" w:color="auto"/>
      </w:pBdr>
      <w:spacing w:before="100" w:beforeAutospacing="1" w:after="100" w:afterAutospacing="1" w:line="360" w:lineRule="auto"/>
      <w:jc w:val="center"/>
      <w:textAlignment w:val="center"/>
    </w:pPr>
    <w:rPr>
      <w:rFonts w:ascii="Arial Unicode MS" w:eastAsia="Arial Unicode MS" w:hAnsi="Arial Unicode MS" w:cs="Arial Unicode MS"/>
      <w:color w:val="000000"/>
      <w:kern w:val="0"/>
      <w:sz w:val="24"/>
      <w:szCs w:val="21"/>
    </w:rPr>
  </w:style>
  <w:style w:type="paragraph" w:customStyle="1" w:styleId="CharCharCharCharCharCharCharCharCharCharCharCharCharCharCharCharCharChar1CharCharCharCharCharCharCharCharCharCharCharChar1CharCharChar">
    <w:name w:val="Char Char Char Char Char Char Char Char Char Char Char Char Char Char Char Char Char Char1 Char Char Char Char Char Char Char Char Char Char Char Char1 Char Char Char"/>
    <w:basedOn w:val="a6"/>
    <w:next w:val="a6"/>
    <w:qFormat/>
    <w:pPr>
      <w:spacing w:line="360" w:lineRule="auto"/>
      <w:ind w:firstLineChars="200" w:firstLine="200"/>
    </w:pPr>
    <w:rPr>
      <w:rFonts w:ascii="宋体" w:hAnsi="宋体" w:cs="宋体"/>
      <w:sz w:val="24"/>
    </w:rPr>
  </w:style>
  <w:style w:type="paragraph" w:customStyle="1" w:styleId="reader-word-layerreader-word-s1-7reader-word-s1-11">
    <w:name w:val="reader-word-layer reader-word-s1-7 reader-word-s1-11"/>
    <w:basedOn w:val="a6"/>
    <w:qFormat/>
    <w:pPr>
      <w:widowControl/>
      <w:spacing w:before="100" w:beforeAutospacing="1" w:after="100" w:afterAutospacing="1"/>
      <w:jc w:val="left"/>
    </w:pPr>
    <w:rPr>
      <w:rFonts w:ascii="宋体" w:hAnsi="宋体" w:cs="宋体"/>
      <w:kern w:val="0"/>
      <w:sz w:val="24"/>
    </w:rPr>
  </w:style>
  <w:style w:type="paragraph" w:customStyle="1" w:styleId="xl139">
    <w:name w:val="xl139"/>
    <w:basedOn w:val="a6"/>
    <w:qFormat/>
    <w:pPr>
      <w:widowControl/>
      <w:pBdr>
        <w:top w:val="single" w:sz="4" w:space="0" w:color="auto"/>
        <w:left w:val="single" w:sz="4" w:space="0" w:color="auto"/>
        <w:bottom w:val="double" w:sz="6" w:space="0" w:color="auto"/>
        <w:right w:val="single" w:sz="4" w:space="0" w:color="auto"/>
      </w:pBdr>
      <w:spacing w:before="100" w:beforeAutospacing="1" w:after="100" w:afterAutospacing="1" w:line="360" w:lineRule="auto"/>
      <w:jc w:val="center"/>
      <w:textAlignment w:val="center"/>
    </w:pPr>
    <w:rPr>
      <w:rFonts w:ascii="Arial Unicode MS" w:eastAsia="Arial Unicode MS" w:hAnsi="Arial Unicode MS" w:cs="Arial Unicode MS"/>
      <w:kern w:val="0"/>
      <w:sz w:val="20"/>
      <w:szCs w:val="20"/>
    </w:rPr>
  </w:style>
  <w:style w:type="paragraph" w:customStyle="1" w:styleId="15a">
    <w:name w:val="文本框五号1.5倍行距"/>
    <w:basedOn w:val="Charffffffffff9"/>
    <w:qFormat/>
    <w:pPr>
      <w:spacing w:line="360" w:lineRule="auto"/>
    </w:pPr>
  </w:style>
  <w:style w:type="paragraph" w:customStyle="1" w:styleId="417">
    <w:name w:val="页眉41"/>
    <w:basedOn w:val="3f5"/>
    <w:qFormat/>
    <w:pPr>
      <w:pBdr>
        <w:bottom w:val="single" w:sz="6" w:space="1" w:color="auto"/>
      </w:pBdr>
      <w:tabs>
        <w:tab w:val="center" w:pos="4153"/>
        <w:tab w:val="right" w:pos="8306"/>
      </w:tabs>
      <w:adjustRightInd w:val="0"/>
      <w:spacing w:line="240" w:lineRule="atLeast"/>
      <w:ind w:firstLine="0"/>
      <w:jc w:val="center"/>
    </w:pPr>
    <w:rPr>
      <w:rFonts w:ascii="宋体" w:hint="eastAsia"/>
      <w:spacing w:val="0"/>
      <w:kern w:val="0"/>
      <w:sz w:val="18"/>
    </w:rPr>
  </w:style>
  <w:style w:type="paragraph" w:customStyle="1" w:styleId="xl932">
    <w:name w:val="xl932"/>
    <w:basedOn w:val="a6"/>
    <w:qFormat/>
    <w:pPr>
      <w:widowControl/>
      <w:spacing w:before="100" w:beforeAutospacing="1" w:after="100" w:afterAutospacing="1"/>
      <w:jc w:val="left"/>
    </w:pPr>
    <w:rPr>
      <w:rFonts w:ascii="宋体" w:hAnsi="宋体" w:cs="宋体"/>
      <w:color w:val="000000"/>
      <w:kern w:val="0"/>
      <w:sz w:val="22"/>
      <w:szCs w:val="22"/>
    </w:rPr>
  </w:style>
  <w:style w:type="paragraph" w:customStyle="1" w:styleId="1-">
    <w:name w:val="1-"/>
    <w:basedOn w:val="a6"/>
    <w:qFormat/>
    <w:pPr>
      <w:widowControl/>
      <w:numPr>
        <w:numId w:val="22"/>
      </w:numPr>
      <w:spacing w:beforeLines="50" w:afterLines="50" w:line="360" w:lineRule="auto"/>
      <w:ind w:firstLine="0"/>
      <w:jc w:val="left"/>
      <w:outlineLvl w:val="0"/>
    </w:pPr>
    <w:rPr>
      <w:rFonts w:ascii="Arial" w:hAnsi="Arial" w:cs="Arial"/>
      <w:b/>
      <w:kern w:val="0"/>
      <w:sz w:val="24"/>
    </w:rPr>
  </w:style>
  <w:style w:type="paragraph" w:customStyle="1" w:styleId="xl153">
    <w:name w:val="xl153"/>
    <w:basedOn w:val="a6"/>
    <w:qFormat/>
    <w:pPr>
      <w:widowControl/>
      <w:pBdr>
        <w:right w:val="single" w:sz="4" w:space="0" w:color="auto"/>
      </w:pBdr>
      <w:spacing w:before="100" w:beforeAutospacing="1" w:after="100" w:afterAutospacing="1" w:line="360" w:lineRule="auto"/>
      <w:jc w:val="center"/>
      <w:textAlignment w:val="center"/>
    </w:pPr>
    <w:rPr>
      <w:rFonts w:eastAsia="Arial Unicode MS" w:cs="宋体"/>
      <w:color w:val="000000"/>
      <w:kern w:val="0"/>
      <w:sz w:val="20"/>
      <w:szCs w:val="20"/>
    </w:rPr>
  </w:style>
  <w:style w:type="paragraph" w:customStyle="1" w:styleId="CharChar26">
    <w:name w:val="Char Char26"/>
    <w:basedOn w:val="a6"/>
    <w:qFormat/>
    <w:pPr>
      <w:snapToGrid w:val="0"/>
      <w:spacing w:line="440" w:lineRule="atLeast"/>
    </w:pPr>
    <w:rPr>
      <w:rFonts w:ascii="宋体"/>
      <w:color w:val="000000"/>
      <w:w w:val="110"/>
      <w:kern w:val="0"/>
      <w:sz w:val="24"/>
    </w:rPr>
  </w:style>
  <w:style w:type="paragraph" w:customStyle="1" w:styleId="xl1069">
    <w:name w:val="xl1069"/>
    <w:basedOn w:val="a6"/>
    <w:qFormat/>
    <w:pPr>
      <w:widowControl/>
      <w:pBdr>
        <w:top w:val="single" w:sz="4" w:space="0" w:color="auto"/>
        <w:left w:val="single" w:sz="4" w:space="0" w:color="auto"/>
        <w:right w:val="single" w:sz="4" w:space="0" w:color="auto"/>
      </w:pBdr>
      <w:shd w:val="clear" w:color="000000" w:fill="0070C0"/>
      <w:spacing w:before="100" w:beforeAutospacing="1" w:after="100" w:afterAutospacing="1"/>
      <w:jc w:val="center"/>
    </w:pPr>
    <w:rPr>
      <w:rFonts w:ascii="Arial" w:hAnsi="Arial" w:cs="Arial"/>
      <w:kern w:val="0"/>
      <w:sz w:val="18"/>
      <w:szCs w:val="18"/>
    </w:rPr>
  </w:style>
  <w:style w:type="paragraph" w:customStyle="1" w:styleId="CharCharChar2CharCharCharCharCharCharCharCharCharChar2">
    <w:name w:val="Char Char Char2 Char Char Char Char Char Char Char Char Char Char2"/>
    <w:basedOn w:val="a6"/>
    <w:qFormat/>
  </w:style>
  <w:style w:type="paragraph" w:customStyle="1" w:styleId="xl192">
    <w:name w:val="xl192"/>
    <w:basedOn w:val="a6"/>
    <w:qFormat/>
    <w:pPr>
      <w:widowControl/>
      <w:pBdr>
        <w:top w:val="single" w:sz="4" w:space="0" w:color="auto"/>
        <w:bottom w:val="single" w:sz="4" w:space="0" w:color="auto"/>
      </w:pBdr>
      <w:spacing w:before="100" w:beforeAutospacing="1" w:after="100" w:afterAutospacing="1"/>
      <w:jc w:val="left"/>
      <w:textAlignment w:val="center"/>
    </w:pPr>
    <w:rPr>
      <w:rFonts w:ascii="Arial" w:hAnsi="Arial" w:cs="Arial"/>
      <w:color w:val="000000"/>
      <w:kern w:val="0"/>
      <w:sz w:val="24"/>
    </w:rPr>
  </w:style>
  <w:style w:type="paragraph" w:customStyle="1" w:styleId="xl165">
    <w:name w:val="xl165"/>
    <w:basedOn w:val="a6"/>
    <w:qFormat/>
    <w:pPr>
      <w:widowControl/>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eastAsia="Arial Unicode MS" w:cs="宋体"/>
      <w:color w:val="000000"/>
      <w:kern w:val="0"/>
      <w:sz w:val="20"/>
      <w:szCs w:val="20"/>
    </w:rPr>
  </w:style>
  <w:style w:type="paragraph" w:customStyle="1" w:styleId="1fffffff7">
    <w:name w:val="正文水资源论证1"/>
    <w:basedOn w:val="a6"/>
    <w:qFormat/>
    <w:pPr>
      <w:spacing w:line="520" w:lineRule="exact"/>
      <w:ind w:firstLineChars="200" w:firstLine="560"/>
    </w:pPr>
    <w:rPr>
      <w:rFonts w:ascii="宋体" w:hAnsi="宋体"/>
      <w:sz w:val="28"/>
    </w:rPr>
  </w:style>
  <w:style w:type="paragraph" w:customStyle="1" w:styleId="xl250">
    <w:name w:val="xl250"/>
    <w:basedOn w:val="a6"/>
    <w:qFormat/>
    <w:pPr>
      <w:widowControl/>
      <w:pBdr>
        <w:top w:val="single" w:sz="4" w:space="0" w:color="auto"/>
        <w:left w:val="single" w:sz="4" w:space="0" w:color="auto"/>
      </w:pBdr>
      <w:spacing w:before="100" w:beforeAutospacing="1" w:after="100" w:afterAutospacing="1"/>
      <w:jc w:val="center"/>
    </w:pPr>
    <w:rPr>
      <w:rFonts w:ascii="宋体" w:hAnsi="宋体" w:cs="宋体"/>
      <w:kern w:val="0"/>
      <w:sz w:val="20"/>
      <w:szCs w:val="20"/>
    </w:rPr>
  </w:style>
  <w:style w:type="paragraph" w:customStyle="1" w:styleId="xl166">
    <w:name w:val="xl166"/>
    <w:basedOn w:val="a6"/>
    <w:qFormat/>
    <w:pPr>
      <w:widowControl/>
      <w:pBdr>
        <w:left w:val="single" w:sz="4" w:space="0" w:color="auto"/>
      </w:pBdr>
      <w:spacing w:before="100" w:beforeAutospacing="1" w:after="100" w:afterAutospacing="1" w:line="360" w:lineRule="auto"/>
      <w:jc w:val="left"/>
      <w:textAlignment w:val="center"/>
    </w:pPr>
    <w:rPr>
      <w:rFonts w:ascii="Arial Unicode MS" w:eastAsia="Arial Unicode MS" w:hAnsi="Arial Unicode MS" w:cs="Arial Unicode MS"/>
      <w:color w:val="000000"/>
      <w:kern w:val="0"/>
      <w:sz w:val="20"/>
      <w:szCs w:val="20"/>
    </w:rPr>
  </w:style>
  <w:style w:type="paragraph" w:customStyle="1" w:styleId="15b">
    <w:name w:val="15"/>
    <w:basedOn w:val="a6"/>
    <w:next w:val="39"/>
    <w:qFormat/>
    <w:pPr>
      <w:spacing w:after="120"/>
      <w:ind w:leftChars="200" w:left="420"/>
    </w:pPr>
    <w:rPr>
      <w:sz w:val="16"/>
      <w:szCs w:val="16"/>
    </w:rPr>
  </w:style>
  <w:style w:type="paragraph" w:customStyle="1" w:styleId="xl994">
    <w:name w:val="xl994"/>
    <w:basedOn w:val="a6"/>
    <w:qFormat/>
    <w:pPr>
      <w:widowControl/>
      <w:pBdr>
        <w:top w:val="single" w:sz="4" w:space="0" w:color="auto"/>
        <w:bottom w:val="single" w:sz="4" w:space="0" w:color="auto"/>
      </w:pBdr>
      <w:spacing w:before="100" w:beforeAutospacing="1" w:after="100" w:afterAutospacing="1"/>
      <w:jc w:val="center"/>
    </w:pPr>
    <w:rPr>
      <w:rFonts w:ascii="宋体" w:hAnsi="宋体" w:cs="宋体"/>
      <w:kern w:val="0"/>
      <w:sz w:val="20"/>
      <w:szCs w:val="20"/>
    </w:rPr>
  </w:style>
  <w:style w:type="paragraph" w:customStyle="1" w:styleId="xl1030">
    <w:name w:val="xl1030"/>
    <w:basedOn w:val="a6"/>
    <w:qFormat/>
    <w:pPr>
      <w:widowControl/>
      <w:spacing w:before="100" w:beforeAutospacing="1" w:after="100" w:afterAutospacing="1"/>
      <w:jc w:val="left"/>
      <w:textAlignment w:val="bottom"/>
    </w:pPr>
    <w:rPr>
      <w:rFonts w:ascii="Arial" w:hAnsi="Arial" w:cs="Arial"/>
      <w:kern w:val="0"/>
      <w:sz w:val="24"/>
    </w:rPr>
  </w:style>
  <w:style w:type="paragraph" w:customStyle="1" w:styleId="XM501">
    <w:name w:val="表文_XM5_01"/>
    <w:qFormat/>
    <w:pPr>
      <w:widowControl w:val="0"/>
      <w:suppressAutoHyphens/>
      <w:spacing w:beforeLines="20" w:afterLines="20"/>
      <w:jc w:val="center"/>
    </w:pPr>
    <w:rPr>
      <w:rFonts w:ascii="Garamond" w:eastAsia="楷体_GB2312" w:hAnsi="Garamond"/>
      <w:color w:val="FF0000"/>
      <w:kern w:val="28"/>
      <w:sz w:val="24"/>
    </w:rPr>
  </w:style>
  <w:style w:type="paragraph" w:customStyle="1" w:styleId="CharCharCharCharCharCharCharCharCharCharCharCharCharCharChar1">
    <w:name w:val="Char Char Char Char Char Char Char Char Char Char Char Char Char Char Char1"/>
    <w:basedOn w:val="a6"/>
    <w:qFormat/>
  </w:style>
  <w:style w:type="paragraph" w:customStyle="1" w:styleId="xl1017">
    <w:name w:val="xl1017"/>
    <w:basedOn w:val="a6"/>
    <w:qFormat/>
    <w:pPr>
      <w:widowControl/>
      <w:pBdr>
        <w:top w:val="single" w:sz="4" w:space="0" w:color="auto"/>
        <w:left w:val="single" w:sz="4" w:space="0" w:color="auto"/>
        <w:bottom w:val="single" w:sz="4" w:space="0" w:color="auto"/>
      </w:pBdr>
      <w:shd w:val="clear" w:color="000000" w:fill="00B050"/>
      <w:spacing w:before="100" w:beforeAutospacing="1" w:after="100" w:afterAutospacing="1"/>
      <w:jc w:val="center"/>
    </w:pPr>
    <w:rPr>
      <w:rFonts w:ascii="Arial" w:hAnsi="Arial" w:cs="Arial"/>
      <w:kern w:val="0"/>
      <w:sz w:val="18"/>
      <w:szCs w:val="18"/>
    </w:rPr>
  </w:style>
  <w:style w:type="paragraph" w:customStyle="1" w:styleId="xl115">
    <w:name w:val="xl11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0"/>
      <w:szCs w:val="20"/>
    </w:rPr>
  </w:style>
  <w:style w:type="paragraph" w:customStyle="1" w:styleId="331">
    <w:name w:val="标题33"/>
    <w:basedOn w:val="a6"/>
    <w:qFormat/>
    <w:pPr>
      <w:tabs>
        <w:tab w:val="left" w:pos="825"/>
      </w:tabs>
      <w:jc w:val="left"/>
    </w:pPr>
    <w:rPr>
      <w:kern w:val="0"/>
      <w:sz w:val="24"/>
      <w:szCs w:val="18"/>
    </w:rPr>
  </w:style>
  <w:style w:type="paragraph" w:customStyle="1" w:styleId="reader-word-layerreader-word-s1-29">
    <w:name w:val="reader-word-layer reader-word-s1-29"/>
    <w:basedOn w:val="a6"/>
    <w:qFormat/>
    <w:pPr>
      <w:widowControl/>
      <w:spacing w:before="100" w:beforeAutospacing="1" w:after="100" w:afterAutospacing="1"/>
      <w:jc w:val="left"/>
    </w:pPr>
    <w:rPr>
      <w:rFonts w:ascii="宋体" w:hAnsi="宋体" w:cs="宋体"/>
      <w:kern w:val="0"/>
      <w:sz w:val="24"/>
    </w:rPr>
  </w:style>
  <w:style w:type="paragraph" w:customStyle="1" w:styleId="1fffffff8">
    <w:name w:val="标题样式1"/>
    <w:basedOn w:val="af8"/>
    <w:qFormat/>
    <w:pPr>
      <w:adjustRightInd w:val="0"/>
      <w:snapToGrid w:val="0"/>
      <w:spacing w:after="0" w:line="360" w:lineRule="atLeast"/>
      <w:jc w:val="center"/>
      <w:textAlignment w:val="baseline"/>
    </w:pPr>
    <w:rPr>
      <w:b/>
      <w:bCs/>
      <w:snapToGrid w:val="0"/>
      <w:kern w:val="0"/>
      <w:sz w:val="24"/>
      <w:szCs w:val="20"/>
    </w:rPr>
  </w:style>
  <w:style w:type="paragraph" w:customStyle="1" w:styleId="afffffffffffffffffffffffffffffffffffffffe">
    <w:name w:val="三"/>
    <w:qFormat/>
    <w:pPr>
      <w:keepNext/>
      <w:keepLines/>
      <w:widowControl w:val="0"/>
      <w:spacing w:before="120" w:after="80" w:line="520" w:lineRule="exact"/>
      <w:jc w:val="both"/>
      <w:outlineLvl w:val="2"/>
    </w:pPr>
    <w:rPr>
      <w:b/>
      <w:kern w:val="2"/>
      <w:sz w:val="28"/>
      <w:szCs w:val="28"/>
    </w:rPr>
  </w:style>
  <w:style w:type="paragraph" w:customStyle="1" w:styleId="xl210">
    <w:name w:val="xl210"/>
    <w:basedOn w:val="a6"/>
    <w:qFormat/>
    <w:pPr>
      <w:widowControl/>
      <w:pBdr>
        <w:bottom w:val="single" w:sz="4" w:space="0" w:color="auto"/>
      </w:pBdr>
      <w:spacing w:before="100" w:beforeAutospacing="1" w:after="100" w:afterAutospacing="1"/>
      <w:jc w:val="left"/>
      <w:textAlignment w:val="center"/>
    </w:pPr>
    <w:rPr>
      <w:rFonts w:ascii="宋体" w:hAnsi="宋体" w:cs="宋体"/>
      <w:color w:val="000000"/>
      <w:kern w:val="0"/>
      <w:sz w:val="24"/>
    </w:rPr>
  </w:style>
  <w:style w:type="paragraph" w:customStyle="1" w:styleId="22Major112-12H2Heading2sect11">
    <w:name w:val="样式 标题 2标题2Major节标题 1.1一级条标题 2-12H2节_Heading 2sect1.1标..."/>
    <w:basedOn w:val="22"/>
    <w:qFormat/>
    <w:pPr>
      <w:tabs>
        <w:tab w:val="left" w:pos="576"/>
        <w:tab w:val="left" w:pos="998"/>
      </w:tabs>
      <w:spacing w:before="120"/>
      <w:ind w:left="576" w:hanging="576"/>
    </w:pPr>
    <w:rPr>
      <w:rFonts w:ascii="Arial" w:hAnsi="Arial" w:cs="宋体"/>
      <w:b/>
      <w:bCs w:val="0"/>
      <w:spacing w:val="0"/>
      <w:w w:val="100"/>
      <w:kern w:val="2"/>
      <w:sz w:val="24"/>
      <w:szCs w:val="20"/>
    </w:rPr>
  </w:style>
  <w:style w:type="paragraph" w:customStyle="1" w:styleId="Title8">
    <w:name w:val="Title 8"/>
    <w:basedOn w:val="a6"/>
    <w:qFormat/>
    <w:pPr>
      <w:widowControl/>
      <w:numPr>
        <w:numId w:val="29"/>
      </w:numPr>
      <w:spacing w:after="120"/>
      <w:ind w:firstLine="0"/>
      <w:jc w:val="left"/>
    </w:pPr>
    <w:rPr>
      <w:rFonts w:ascii="Arial" w:hAnsi="Arial" w:cs="宋体"/>
      <w:kern w:val="0"/>
      <w:sz w:val="24"/>
      <w:szCs w:val="20"/>
    </w:rPr>
  </w:style>
  <w:style w:type="paragraph" w:customStyle="1" w:styleId="xl208">
    <w:name w:val="xl208"/>
    <w:basedOn w:val="a6"/>
    <w:qFormat/>
    <w:pPr>
      <w:widowControl/>
      <w:pBdr>
        <w:bottom w:val="single" w:sz="4" w:space="0" w:color="auto"/>
        <w:right w:val="single" w:sz="8" w:space="0" w:color="auto"/>
      </w:pBdr>
      <w:spacing w:before="100" w:beforeAutospacing="1" w:after="100" w:afterAutospacing="1"/>
      <w:jc w:val="left"/>
      <w:textAlignment w:val="center"/>
    </w:pPr>
    <w:rPr>
      <w:rFonts w:cs="宋体"/>
      <w:color w:val="000000"/>
      <w:kern w:val="0"/>
      <w:sz w:val="24"/>
    </w:rPr>
  </w:style>
  <w:style w:type="paragraph" w:customStyle="1" w:styleId="p19">
    <w:name w:val="p19"/>
    <w:basedOn w:val="a6"/>
    <w:qFormat/>
    <w:pPr>
      <w:widowControl/>
      <w:spacing w:before="31" w:after="31" w:line="420" w:lineRule="atLeast"/>
      <w:ind w:firstLine="420"/>
    </w:pPr>
    <w:rPr>
      <w:kern w:val="0"/>
      <w:sz w:val="24"/>
    </w:rPr>
  </w:style>
  <w:style w:type="paragraph" w:customStyle="1" w:styleId="CharCharCharCharCharCharCharCharChar1CharCharCharCharCharCharCharCharCharCharCharCharCharCharCharChar">
    <w:name w:val="Char Char Char Char Char Char Char Char Char1 Char Char Char Char Char Char Char Char Char Char Char Char Char Char Char Char"/>
    <w:basedOn w:val="a6"/>
    <w:qFormat/>
    <w:pPr>
      <w:spacing w:line="360" w:lineRule="auto"/>
      <w:ind w:firstLineChars="200" w:firstLine="200"/>
    </w:pPr>
    <w:rPr>
      <w:rFonts w:ascii="宋体" w:hAnsi="宋体" w:cs="宋体"/>
      <w:sz w:val="26"/>
      <w:szCs w:val="26"/>
    </w:rPr>
  </w:style>
  <w:style w:type="paragraph" w:customStyle="1" w:styleId="affffffffffffffffffffffffffffffffffffffff">
    <w:name w:val="篇号及标题"/>
    <w:qFormat/>
    <w:pPr>
      <w:spacing w:line="360" w:lineRule="auto"/>
      <w:jc w:val="center"/>
    </w:pPr>
    <w:rPr>
      <w:rFonts w:ascii="宋体"/>
      <w:kern w:val="2"/>
      <w:sz w:val="44"/>
    </w:rPr>
  </w:style>
  <w:style w:type="paragraph" w:customStyle="1" w:styleId="CharCharChar2CharCharCharCharCharCharCharCharCharChar1">
    <w:name w:val="Char Char Char2 Char Char Char Char Char Char Char Char Char Char1"/>
    <w:basedOn w:val="a6"/>
    <w:qFormat/>
  </w:style>
  <w:style w:type="paragraph" w:customStyle="1" w:styleId="affffffffffffffffffffffffffffffffffffffff0">
    <w:name w:val="样式 图表标题 + 两端对齐"/>
    <w:basedOn w:val="afffffffffffffff1"/>
    <w:qFormat/>
    <w:pPr>
      <w:adjustRightInd/>
      <w:snapToGrid/>
      <w:spacing w:line="260" w:lineRule="exact"/>
      <w:jc w:val="both"/>
    </w:pPr>
    <w:rPr>
      <w:rFonts w:ascii="Times New Roman"/>
      <w:b w:val="0"/>
      <w:spacing w:val="-10"/>
      <w:kern w:val="0"/>
    </w:rPr>
  </w:style>
  <w:style w:type="paragraph" w:customStyle="1" w:styleId="1235">
    <w:name w:val="样式 表（左对齐） + 左侧:  12.35 厘米"/>
    <w:basedOn w:val="a6"/>
    <w:qFormat/>
    <w:pPr>
      <w:jc w:val="center"/>
    </w:pPr>
    <w:rPr>
      <w:szCs w:val="21"/>
    </w:rPr>
  </w:style>
  <w:style w:type="paragraph" w:customStyle="1" w:styleId="affffffffffffffffffffffffffffffffffffffff1">
    <w:name w:val="附件标题"/>
    <w:qFormat/>
    <w:pPr>
      <w:spacing w:line="360" w:lineRule="auto"/>
      <w:jc w:val="center"/>
    </w:pPr>
    <w:rPr>
      <w:rFonts w:ascii="宋体" w:eastAsia="黑体"/>
      <w:kern w:val="2"/>
      <w:sz w:val="24"/>
    </w:rPr>
  </w:style>
  <w:style w:type="paragraph" w:customStyle="1" w:styleId="3sect123sect1231h3H3sect1232sect12311sect1">
    <w:name w:val="样式 标题 3sect1.2.3sect1.2.31h3H3sect1.2.32sect1.2.311sect1...."/>
    <w:basedOn w:val="33"/>
    <w:qFormat/>
    <w:pPr>
      <w:adjustRightInd w:val="0"/>
      <w:spacing w:line="360" w:lineRule="auto"/>
    </w:pPr>
    <w:rPr>
      <w:rFonts w:hAnsi="黑体" w:cs="宋体"/>
      <w:b/>
      <w:color w:val="FF0000"/>
      <w:spacing w:val="0"/>
      <w:sz w:val="24"/>
      <w:szCs w:val="20"/>
    </w:rPr>
  </w:style>
  <w:style w:type="paragraph" w:customStyle="1" w:styleId="affffffffffffffffffffffffffffffffffffffff2">
    <w:name w:val="表尾"/>
    <w:basedOn w:val="a6"/>
    <w:qFormat/>
    <w:pPr>
      <w:tabs>
        <w:tab w:val="left" w:pos="1021"/>
      </w:tabs>
      <w:spacing w:line="200" w:lineRule="exact"/>
    </w:pPr>
    <w:rPr>
      <w:sz w:val="10"/>
      <w:szCs w:val="20"/>
    </w:rPr>
  </w:style>
  <w:style w:type="paragraph" w:customStyle="1" w:styleId="3fffe">
    <w:name w:val="中石油3级"/>
    <w:basedOn w:val="a6"/>
    <w:qFormat/>
    <w:pPr>
      <w:spacing w:line="560" w:lineRule="exact"/>
    </w:pPr>
    <w:rPr>
      <w:rFonts w:ascii="黑体" w:eastAsia="黑体"/>
      <w:sz w:val="24"/>
    </w:rPr>
  </w:style>
  <w:style w:type="paragraph" w:customStyle="1" w:styleId="affffffffffffffffffffffffffffffffffffffff3">
    <w:name w:val="表－右对齐"/>
    <w:basedOn w:val="afffffffffffffffffb"/>
    <w:qFormat/>
    <w:pPr>
      <w:suppressLineNumbers/>
      <w:suppressAutoHyphens/>
      <w:adjustRightInd/>
      <w:spacing w:before="60" w:after="60" w:line="240" w:lineRule="auto"/>
      <w:jc w:val="right"/>
    </w:pPr>
    <w:rPr>
      <w:rFonts w:ascii="Times New Roman" w:eastAsia="宋体"/>
      <w:snapToGrid/>
      <w:spacing w:val="0"/>
    </w:rPr>
  </w:style>
  <w:style w:type="paragraph" w:customStyle="1" w:styleId="105051">
    <w:name w:val="标题 1 + 段前: 0.5 行 段后: 0.5 行1"/>
    <w:basedOn w:val="a6"/>
    <w:qFormat/>
    <w:pPr>
      <w:spacing w:before="480" w:after="360" w:line="720" w:lineRule="exact"/>
      <w:jc w:val="center"/>
      <w:outlineLvl w:val="0"/>
    </w:pPr>
    <w:rPr>
      <w:rFonts w:ascii="宋体" w:hAnsi="宋体"/>
      <w:b/>
      <w:kern w:val="44"/>
      <w:sz w:val="36"/>
      <w:szCs w:val="20"/>
    </w:rPr>
  </w:style>
  <w:style w:type="paragraph" w:customStyle="1" w:styleId="725">
    <w:name w:val="样式 标题 7 + 行距: 最小值 25 磅"/>
    <w:basedOn w:val="7"/>
    <w:qFormat/>
    <w:pPr>
      <w:framePr w:hSpace="0" w:wrap="auto" w:vAnchor="margin" w:hAnchor="text" w:xAlign="left" w:yAlign="inline"/>
      <w:tabs>
        <w:tab w:val="left" w:pos="737"/>
        <w:tab w:val="left" w:pos="1134"/>
        <w:tab w:val="left" w:pos="1260"/>
      </w:tabs>
      <w:spacing w:line="360" w:lineRule="auto"/>
      <w:ind w:left="1134" w:hanging="846"/>
    </w:pPr>
    <w:rPr>
      <w:rFonts w:ascii="宋体" w:eastAsia="宋体" w:hAnsi="宋体" w:cs="宋体"/>
      <w:b/>
      <w:i w:val="0"/>
      <w:iCs w:val="0"/>
      <w:sz w:val="24"/>
    </w:rPr>
  </w:style>
  <w:style w:type="paragraph" w:customStyle="1" w:styleId="w4">
    <w:name w:val="w4"/>
    <w:basedOn w:val="a6"/>
    <w:qFormat/>
    <w:pPr>
      <w:adjustRightInd w:val="0"/>
      <w:spacing w:line="360" w:lineRule="auto"/>
      <w:ind w:left="1200" w:firstLine="654"/>
      <w:textAlignment w:val="baseline"/>
    </w:pPr>
    <w:rPr>
      <w:rFonts w:ascii="宋体"/>
      <w:kern w:val="0"/>
      <w:sz w:val="28"/>
      <w:szCs w:val="20"/>
    </w:rPr>
  </w:style>
  <w:style w:type="paragraph" w:customStyle="1" w:styleId="xl1002">
    <w:name w:val="xl1002"/>
    <w:basedOn w:val="a6"/>
    <w:qFormat/>
    <w:pPr>
      <w:widowControl/>
      <w:pBdr>
        <w:top w:val="single" w:sz="8" w:space="0" w:color="auto"/>
        <w:left w:val="single" w:sz="4" w:space="0" w:color="auto"/>
        <w:bottom w:val="single" w:sz="4" w:space="0" w:color="auto"/>
        <w:right w:val="single" w:sz="8" w:space="0" w:color="auto"/>
      </w:pBdr>
      <w:shd w:val="clear" w:color="000000" w:fill="E26B0A"/>
      <w:spacing w:before="100" w:beforeAutospacing="1" w:after="100" w:afterAutospacing="1"/>
      <w:jc w:val="center"/>
    </w:pPr>
    <w:rPr>
      <w:rFonts w:ascii="Arial" w:hAnsi="Arial" w:cs="Arial"/>
      <w:kern w:val="0"/>
      <w:sz w:val="18"/>
      <w:szCs w:val="18"/>
    </w:rPr>
  </w:style>
  <w:style w:type="paragraph" w:customStyle="1" w:styleId="m0">
    <w:name w:val="正文（首行缩进两字）m"/>
    <w:basedOn w:val="af0"/>
    <w:qFormat/>
    <w:pPr>
      <w:tabs>
        <w:tab w:val="left" w:pos="1848"/>
        <w:tab w:val="left" w:pos="6061"/>
        <w:tab w:val="left" w:pos="8665"/>
      </w:tabs>
      <w:adjustRightInd/>
      <w:snapToGrid w:val="0"/>
      <w:spacing w:beforeLines="50" w:line="460" w:lineRule="exact"/>
      <w:ind w:firstLineChars="200" w:firstLine="480"/>
      <w:jc w:val="both"/>
      <w:textAlignment w:val="auto"/>
    </w:pPr>
    <w:rPr>
      <w:kern w:val="2"/>
      <w:szCs w:val="20"/>
    </w:rPr>
  </w:style>
  <w:style w:type="paragraph" w:customStyle="1" w:styleId="affffffffffffffffffffffffffffffffffffffff4">
    <w:name w:val="非标题一级条"/>
    <w:next w:val="41"/>
    <w:qFormat/>
    <w:pPr>
      <w:spacing w:line="440" w:lineRule="exact"/>
    </w:pPr>
    <w:rPr>
      <w:rFonts w:ascii="宋体"/>
      <w:sz w:val="24"/>
    </w:rPr>
  </w:style>
  <w:style w:type="paragraph" w:customStyle="1" w:styleId="2fffffff0">
    <w:name w:val="样式 正文缩进 + 首行缩进:  2 字符"/>
    <w:basedOn w:val="af0"/>
    <w:qFormat/>
    <w:pPr>
      <w:autoSpaceDE w:val="0"/>
      <w:autoSpaceDN w:val="0"/>
      <w:spacing w:line="240" w:lineRule="auto"/>
      <w:ind w:firstLineChars="200" w:firstLine="480"/>
      <w:jc w:val="both"/>
      <w:textAlignment w:val="auto"/>
    </w:pPr>
    <w:rPr>
      <w:rFonts w:ascii="仿宋_GB2312" w:eastAsia="仿宋_GB2312" w:hAnsi="Times New Roman" w:cs="宋体"/>
      <w:szCs w:val="20"/>
    </w:rPr>
  </w:style>
  <w:style w:type="paragraph" w:customStyle="1" w:styleId="Char3CharCharChar">
    <w:name w:val="Char3 Char Char Char"/>
    <w:basedOn w:val="a6"/>
    <w:qFormat/>
    <w:rPr>
      <w:sz w:val="24"/>
    </w:rPr>
  </w:style>
  <w:style w:type="paragraph" w:customStyle="1" w:styleId="affffffffffffffffffffffffffffffffffffffff5">
    <w:name w:val="样式 表－居中列 + 黑色"/>
    <w:basedOn w:val="a6"/>
    <w:qFormat/>
    <w:pPr>
      <w:suppressLineNumbers/>
      <w:suppressAutoHyphens/>
      <w:snapToGrid w:val="0"/>
      <w:spacing w:beforeLines="50" w:afterLines="50"/>
      <w:jc w:val="center"/>
    </w:pPr>
    <w:rPr>
      <w:rFonts w:cs="Arial"/>
      <w:color w:val="000000"/>
      <w:kern w:val="0"/>
      <w:sz w:val="24"/>
      <w:szCs w:val="21"/>
      <w:lang w:eastAsia="ja-JP"/>
    </w:rPr>
  </w:style>
  <w:style w:type="paragraph" w:customStyle="1" w:styleId="1New">
    <w:name w:val="标题 1 New"/>
    <w:basedOn w:val="New0"/>
    <w:next w:val="New0"/>
    <w:qFormat/>
    <w:pPr>
      <w:keepNext/>
      <w:keepLines/>
      <w:spacing w:before="340" w:after="330" w:line="576" w:lineRule="auto"/>
      <w:outlineLvl w:val="0"/>
    </w:pPr>
    <w:rPr>
      <w:b/>
      <w:kern w:val="44"/>
      <w:sz w:val="44"/>
    </w:rPr>
  </w:style>
  <w:style w:type="paragraph" w:customStyle="1" w:styleId="y0">
    <w:name w:val="?y???¨´¨º?"/>
    <w:basedOn w:val="a6"/>
    <w:qFormat/>
    <w:pPr>
      <w:adjustRightInd w:val="0"/>
      <w:snapToGrid w:val="0"/>
      <w:spacing w:beforeLines="50" w:afterLines="50" w:line="312" w:lineRule="auto"/>
      <w:ind w:firstLineChars="200" w:firstLine="560"/>
    </w:pPr>
    <w:rPr>
      <w:sz w:val="28"/>
      <w:szCs w:val="28"/>
    </w:rPr>
  </w:style>
  <w:style w:type="paragraph" w:customStyle="1" w:styleId="affffffffffffffffffffffffffffffffffffffff6">
    <w:name w:val="正文样式一"/>
    <w:basedOn w:val="a6"/>
    <w:qFormat/>
    <w:pPr>
      <w:adjustRightInd w:val="0"/>
      <w:spacing w:line="400" w:lineRule="atLeast"/>
      <w:ind w:firstLine="510"/>
      <w:textAlignment w:val="baseline"/>
    </w:pPr>
    <w:rPr>
      <w:kern w:val="0"/>
      <w:sz w:val="24"/>
      <w:szCs w:val="20"/>
    </w:rPr>
  </w:style>
  <w:style w:type="paragraph" w:customStyle="1" w:styleId="Normal1">
    <w:name w:val="Normal1"/>
    <w:qFormat/>
    <w:pPr>
      <w:widowControl w:val="0"/>
      <w:adjustRightInd w:val="0"/>
      <w:spacing w:line="360" w:lineRule="atLeast"/>
    </w:pPr>
    <w:rPr>
      <w:rFonts w:ascii="宋体" w:hint="eastAsia"/>
      <w:sz w:val="34"/>
    </w:rPr>
  </w:style>
  <w:style w:type="paragraph" w:customStyle="1" w:styleId="2fffffff1">
    <w:name w:val="文档结构图2"/>
    <w:basedOn w:val="a6"/>
    <w:qFormat/>
    <w:pPr>
      <w:shd w:val="clear" w:color="auto" w:fill="000080"/>
      <w:tabs>
        <w:tab w:val="left" w:pos="480"/>
        <w:tab w:val="left" w:pos="1680"/>
        <w:tab w:val="left" w:pos="3960"/>
        <w:tab w:val="left" w:pos="5400"/>
        <w:tab w:val="left" w:pos="6840"/>
      </w:tabs>
      <w:adjustRightInd w:val="0"/>
      <w:spacing w:line="240" w:lineRule="atLeast"/>
      <w:ind w:firstLine="482"/>
      <w:jc w:val="left"/>
      <w:textAlignment w:val="baseline"/>
    </w:pPr>
    <w:rPr>
      <w:rFonts w:eastAsia="创艺简楷体"/>
      <w:kern w:val="0"/>
      <w:sz w:val="28"/>
      <w:szCs w:val="20"/>
    </w:rPr>
  </w:style>
  <w:style w:type="paragraph" w:customStyle="1" w:styleId="CharChar2CharCharCharChar">
    <w:name w:val="Char Char2 Char Char Char Char"/>
    <w:basedOn w:val="a6"/>
    <w:qFormat/>
  </w:style>
  <w:style w:type="paragraph" w:customStyle="1" w:styleId="affffffffffffffffffffffffffffffffffffffff7">
    <w:name w:val="特别表中"/>
    <w:basedOn w:val="a6"/>
    <w:qFormat/>
    <w:pPr>
      <w:keepNext/>
      <w:widowControl/>
      <w:spacing w:line="120" w:lineRule="atLeast"/>
      <w:ind w:rightChars="20" w:right="56"/>
      <w:jc w:val="center"/>
    </w:pPr>
    <w:rPr>
      <w:rFonts w:cs="宋体"/>
      <w:kern w:val="0"/>
      <w:sz w:val="24"/>
    </w:rPr>
  </w:style>
  <w:style w:type="paragraph" w:customStyle="1" w:styleId="affffffffffffffffffffffffffffffffffffffff8">
    <w:name w:val="右五"/>
    <w:basedOn w:val="a6"/>
    <w:next w:val="a6"/>
    <w:qFormat/>
    <w:pPr>
      <w:spacing w:line="280" w:lineRule="exact"/>
      <w:ind w:left="42" w:rightChars="58" w:right="139"/>
      <w:jc w:val="right"/>
    </w:pPr>
    <w:rPr>
      <w:rFonts w:ascii="宋体" w:hAnsi="Symusic"/>
      <w:color w:val="000000"/>
      <w:sz w:val="18"/>
      <w:szCs w:val="20"/>
      <w:lang w:bidi="he-IL"/>
    </w:rPr>
  </w:style>
  <w:style w:type="paragraph" w:customStyle="1" w:styleId="PlainText2">
    <w:name w:val="Plain Text2"/>
    <w:basedOn w:val="a6"/>
    <w:qFormat/>
    <w:pPr>
      <w:adjustRightInd w:val="0"/>
      <w:jc w:val="left"/>
    </w:pPr>
    <w:rPr>
      <w:rFonts w:ascii="宋体" w:hAnsi="Courier New" w:hint="eastAsia"/>
      <w:sz w:val="24"/>
      <w:szCs w:val="20"/>
    </w:rPr>
  </w:style>
  <w:style w:type="paragraph" w:customStyle="1" w:styleId="reader-word-layerreader-word-s1-26">
    <w:name w:val="reader-word-layer reader-word-s1-26"/>
    <w:basedOn w:val="a6"/>
    <w:qFormat/>
    <w:pPr>
      <w:widowControl/>
      <w:spacing w:before="100" w:beforeAutospacing="1" w:after="100" w:afterAutospacing="1"/>
      <w:jc w:val="left"/>
    </w:pPr>
    <w:rPr>
      <w:rFonts w:ascii="宋体" w:hAnsi="宋体" w:cs="宋体"/>
      <w:kern w:val="0"/>
      <w:sz w:val="24"/>
    </w:rPr>
  </w:style>
  <w:style w:type="paragraph" w:customStyle="1" w:styleId="121215">
    <w:name w:val="样式 表格1 + 黑体 两端对齐 首行缩进:  2.12 厘米 行距: 1.5 倍行距"/>
    <w:basedOn w:val="a6"/>
    <w:qFormat/>
    <w:pPr>
      <w:keepNext/>
      <w:widowControl/>
      <w:adjustRightInd w:val="0"/>
      <w:spacing w:line="360" w:lineRule="auto"/>
      <w:jc w:val="center"/>
    </w:pPr>
    <w:rPr>
      <w:rFonts w:ascii="黑体" w:eastAsia="黑体" w:cs="黑体"/>
      <w:kern w:val="0"/>
      <w:sz w:val="24"/>
    </w:rPr>
  </w:style>
  <w:style w:type="paragraph" w:customStyle="1" w:styleId="CharCharCharCharChar30">
    <w:name w:val="Char Char Char Char Char3"/>
    <w:basedOn w:val="a6"/>
    <w:qFormat/>
    <w:pPr>
      <w:snapToGrid w:val="0"/>
      <w:spacing w:line="360" w:lineRule="auto"/>
      <w:ind w:firstLineChars="200" w:firstLine="200"/>
    </w:pPr>
    <w:rPr>
      <w:rFonts w:eastAsia="仿宋_GB2312"/>
      <w:sz w:val="24"/>
    </w:rPr>
  </w:style>
  <w:style w:type="paragraph" w:customStyle="1" w:styleId="affffffffffffffffffffffffffffffffffffffff9">
    <w:name w:val="表格标题—小四"/>
    <w:basedOn w:val="a6"/>
    <w:qFormat/>
    <w:pPr>
      <w:tabs>
        <w:tab w:val="left" w:pos="840"/>
      </w:tabs>
      <w:spacing w:before="100" w:beforeAutospacing="1"/>
      <w:ind w:left="840" w:hanging="360"/>
      <w:jc w:val="center"/>
    </w:pPr>
    <w:rPr>
      <w:rFonts w:hint="eastAsia"/>
      <w:b/>
      <w:sz w:val="24"/>
      <w:szCs w:val="20"/>
    </w:rPr>
  </w:style>
  <w:style w:type="paragraph" w:customStyle="1" w:styleId="affffffffffffffffffffffffffffffffffffffffa">
    <w:name w:val="样式 表中 +"/>
    <w:basedOn w:val="afffffffffffffffffffffe"/>
    <w:qFormat/>
    <w:pPr>
      <w:keepNext/>
      <w:widowControl w:val="0"/>
      <w:tabs>
        <w:tab w:val="left" w:pos="1727"/>
        <w:tab w:val="left" w:pos="1884"/>
      </w:tabs>
      <w:adjustRightInd w:val="0"/>
      <w:snapToGrid w:val="0"/>
      <w:spacing w:line="240" w:lineRule="atLeast"/>
    </w:pPr>
    <w:rPr>
      <w:rFonts w:ascii="宋体" w:hAnsi="宋体"/>
      <w:snapToGrid w:val="0"/>
      <w:color w:val="auto"/>
      <w:spacing w:val="0"/>
      <w:sz w:val="21"/>
      <w:szCs w:val="21"/>
    </w:rPr>
  </w:style>
  <w:style w:type="paragraph" w:customStyle="1" w:styleId="1116">
    <w:name w:val="1.1.1无标"/>
    <w:basedOn w:val="a6"/>
    <w:qFormat/>
    <w:pPr>
      <w:spacing w:line="360" w:lineRule="auto"/>
      <w:ind w:leftChars="300" w:left="300" w:rightChars="300" w:right="300" w:firstLineChars="200" w:firstLine="200"/>
    </w:pPr>
    <w:rPr>
      <w:rFonts w:ascii="宋体" w:hAnsi="宋体" w:cs="Century"/>
      <w:sz w:val="24"/>
    </w:rPr>
  </w:style>
  <w:style w:type="paragraph" w:customStyle="1" w:styleId="xl1025">
    <w:name w:val="xl1025"/>
    <w:basedOn w:val="a6"/>
    <w:qFormat/>
    <w:pPr>
      <w:widowControl/>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jc w:val="left"/>
    </w:pPr>
    <w:rPr>
      <w:rFonts w:ascii="Arial" w:hAnsi="Arial" w:cs="Arial"/>
      <w:kern w:val="0"/>
      <w:sz w:val="18"/>
      <w:szCs w:val="18"/>
    </w:rPr>
  </w:style>
  <w:style w:type="paragraph" w:customStyle="1" w:styleId="21f5">
    <w:name w:val="样式 正文首行缩进 + 首行缩进:  2 字符1"/>
    <w:basedOn w:val="affc"/>
    <w:uiPriority w:val="99"/>
    <w:qFormat/>
    <w:pPr>
      <w:spacing w:line="360" w:lineRule="auto"/>
      <w:ind w:firstLine="480"/>
    </w:pPr>
    <w:rPr>
      <w:rFonts w:ascii="Times New Roman" w:hAnsi="Times New Roman"/>
      <w:bCs w:val="0"/>
      <w:spacing w:val="0"/>
      <w:kern w:val="2"/>
      <w:sz w:val="24"/>
      <w:szCs w:val="24"/>
    </w:rPr>
  </w:style>
  <w:style w:type="paragraph" w:customStyle="1" w:styleId="xl96">
    <w:name w:val="xl96"/>
    <w:basedOn w:val="a6"/>
    <w:qFormat/>
    <w:pPr>
      <w:widowControl/>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ascii="宋体" w:hAnsi="宋体" w:cs="宋体"/>
      <w:b/>
      <w:bCs/>
      <w:kern w:val="0"/>
      <w:sz w:val="20"/>
      <w:szCs w:val="20"/>
    </w:rPr>
  </w:style>
  <w:style w:type="paragraph" w:customStyle="1" w:styleId="2fffffff2">
    <w:name w:val="样式 正文首行缩进 + 首行缩进:  2 字符"/>
    <w:basedOn w:val="affc"/>
    <w:qFormat/>
    <w:pPr>
      <w:tabs>
        <w:tab w:val="left" w:pos="7020"/>
      </w:tabs>
      <w:adjustRightInd w:val="0"/>
      <w:snapToGrid w:val="0"/>
      <w:spacing w:line="240" w:lineRule="auto"/>
      <w:ind w:firstLineChars="0" w:firstLine="0"/>
      <w:jc w:val="center"/>
      <w:textAlignment w:val="center"/>
    </w:pPr>
    <w:rPr>
      <w:rFonts w:ascii="Times New Roman" w:hAnsi="Times New Roman"/>
      <w:bCs w:val="0"/>
      <w:snapToGrid w:val="0"/>
      <w:spacing w:val="-6"/>
      <w:kern w:val="0"/>
      <w:sz w:val="21"/>
      <w:szCs w:val="21"/>
    </w:rPr>
  </w:style>
  <w:style w:type="paragraph" w:customStyle="1" w:styleId="CharCharCharCharCharCharCharCharCharCharCharCharCharCharCharCharCharCharChar1">
    <w:name w:val="Char Char Char Char Char Char Char Char Char Char Char Char Char Char Char Char Char Char Char1"/>
    <w:basedOn w:val="a6"/>
    <w:qFormat/>
  </w:style>
  <w:style w:type="paragraph" w:customStyle="1" w:styleId="xl1007">
    <w:name w:val="xl1007"/>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Arial" w:hAnsi="Arial" w:cs="Arial"/>
      <w:kern w:val="0"/>
      <w:sz w:val="18"/>
      <w:szCs w:val="18"/>
    </w:rPr>
  </w:style>
  <w:style w:type="paragraph" w:customStyle="1" w:styleId="222GB23120">
    <w:name w:val="样式 样式 样式 样式 样式 样式 样式 首行缩进:  2 字符 + 首行缩进:  2 字符2 + 仿宋_GB2312 + 首行..."/>
    <w:basedOn w:val="a6"/>
    <w:qFormat/>
    <w:pPr>
      <w:spacing w:line="480" w:lineRule="exact"/>
      <w:ind w:firstLineChars="200" w:firstLine="200"/>
    </w:pPr>
    <w:rPr>
      <w:rFonts w:eastAsia="楷体_GB2312"/>
      <w:spacing w:val="12"/>
      <w:kern w:val="0"/>
      <w:sz w:val="28"/>
      <w:szCs w:val="20"/>
    </w:rPr>
  </w:style>
  <w:style w:type="paragraph" w:customStyle="1" w:styleId="affffffffffffffffffffffffffffffffffffffffb">
    <w:name w:val="正文！！！！！！！！！！！！"/>
    <w:basedOn w:val="a6"/>
    <w:qFormat/>
    <w:pPr>
      <w:adjustRightInd w:val="0"/>
      <w:snapToGrid w:val="0"/>
      <w:spacing w:line="500" w:lineRule="exact"/>
      <w:ind w:firstLineChars="200" w:firstLine="480"/>
    </w:pPr>
    <w:rPr>
      <w:rFonts w:ascii="楷体_GB2312" w:eastAsia="楷体_GB2312" w:hAnsi="宋体" w:cs="宋体"/>
      <w:kern w:val="0"/>
      <w:sz w:val="24"/>
      <w:szCs w:val="20"/>
    </w:rPr>
  </w:style>
  <w:style w:type="paragraph" w:customStyle="1" w:styleId="xl944">
    <w:name w:val="xl94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8"/>
      <w:szCs w:val="18"/>
    </w:rPr>
  </w:style>
  <w:style w:type="paragraph" w:customStyle="1" w:styleId="CM150">
    <w:name w:val="CM150"/>
    <w:basedOn w:val="a6"/>
    <w:next w:val="a6"/>
    <w:qFormat/>
    <w:pPr>
      <w:spacing w:after="235"/>
    </w:pPr>
  </w:style>
  <w:style w:type="paragraph" w:customStyle="1" w:styleId="affffffffffffffffffffffffffffffffffffffffc">
    <w:name w:val="兴化美联表格"/>
    <w:basedOn w:val="a6"/>
    <w:qFormat/>
    <w:pPr>
      <w:widowControl/>
      <w:jc w:val="center"/>
    </w:pPr>
    <w:rPr>
      <w:rFonts w:ascii="宋体" w:hAnsi="宋体" w:cs="宋体"/>
      <w:kern w:val="0"/>
      <w:sz w:val="24"/>
    </w:rPr>
  </w:style>
  <w:style w:type="paragraph" w:customStyle="1" w:styleId="5ffa">
    <w:name w:val="表内文字(5号字）"/>
    <w:basedOn w:val="a6"/>
    <w:qFormat/>
    <w:pPr>
      <w:adjustRightInd w:val="0"/>
      <w:snapToGrid w:val="0"/>
      <w:spacing w:line="300" w:lineRule="auto"/>
      <w:jc w:val="center"/>
      <w:textAlignment w:val="baseline"/>
    </w:pPr>
    <w:rPr>
      <w:szCs w:val="20"/>
    </w:rPr>
  </w:style>
  <w:style w:type="paragraph" w:customStyle="1" w:styleId="Char4CharCharCharCharCharCharCharCharCharCharCharCharCharCharCharCharChar1CharCharCharCharCharChar1Char1">
    <w:name w:val="Char4 Char Char Char Char Char Char Char Char Char Char Char Char Char Char Char Char Char1 Char Char Char Char Char Char1 Char1"/>
    <w:basedOn w:val="a6"/>
    <w:qFormat/>
    <w:pPr>
      <w:spacing w:line="240" w:lineRule="exact"/>
      <w:ind w:firstLineChars="200" w:firstLine="200"/>
    </w:pPr>
    <w:rPr>
      <w:sz w:val="28"/>
      <w:szCs w:val="28"/>
    </w:rPr>
  </w:style>
  <w:style w:type="paragraph" w:customStyle="1" w:styleId="CM17">
    <w:name w:val="CM17"/>
    <w:basedOn w:val="Default"/>
    <w:next w:val="Default"/>
    <w:qFormat/>
    <w:pPr>
      <w:spacing w:line="546" w:lineRule="atLeast"/>
    </w:pPr>
    <w:rPr>
      <w:rFonts w:ascii="黑体" w:eastAsia="黑体"/>
      <w:color w:val="auto"/>
    </w:rPr>
  </w:style>
  <w:style w:type="paragraph" w:customStyle="1" w:styleId="xl1040">
    <w:name w:val="xl1040"/>
    <w:basedOn w:val="a6"/>
    <w:qFormat/>
    <w:pPr>
      <w:widowControl/>
      <w:pBdr>
        <w:top w:val="single" w:sz="8" w:space="0" w:color="FFFF00"/>
        <w:left w:val="single" w:sz="8" w:space="0" w:color="FFFF00"/>
        <w:bottom w:val="single" w:sz="4" w:space="0" w:color="auto"/>
        <w:right w:val="single" w:sz="8" w:space="0" w:color="FFFF00"/>
      </w:pBdr>
      <w:shd w:val="clear" w:color="000000" w:fill="0070C0"/>
      <w:spacing w:before="100" w:beforeAutospacing="1" w:after="100" w:afterAutospacing="1"/>
      <w:jc w:val="center"/>
    </w:pPr>
    <w:rPr>
      <w:rFonts w:ascii="Arial" w:hAnsi="Arial" w:cs="Arial"/>
      <w:kern w:val="0"/>
      <w:sz w:val="18"/>
      <w:szCs w:val="18"/>
    </w:rPr>
  </w:style>
  <w:style w:type="paragraph" w:customStyle="1" w:styleId="xl110">
    <w:name w:val="xl110"/>
    <w:basedOn w:val="a6"/>
    <w:qFormat/>
    <w:pPr>
      <w:widowControl/>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FF0000"/>
      <w:kern w:val="0"/>
      <w:sz w:val="24"/>
    </w:rPr>
  </w:style>
  <w:style w:type="paragraph" w:customStyle="1" w:styleId="xl950">
    <w:name w:val="xl95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CharCharCharCharCharCharCharCharCharCharCharCharCharCharCharCharCharCharCharCharCharCharCharChar1">
    <w:name w:val="Char Char Char Char Char Char Char Char Char Char Char Char Char Char Char Char Char Char Char Char Char Char Char Char1"/>
    <w:basedOn w:val="a6"/>
    <w:qFormat/>
  </w:style>
  <w:style w:type="paragraph" w:customStyle="1" w:styleId="affffffffffffffffffffffffffffffffffffffffd">
    <w:name w:val="自动更正"/>
    <w:qFormat/>
    <w:pPr>
      <w:widowControl w:val="0"/>
      <w:jc w:val="both"/>
    </w:pPr>
    <w:rPr>
      <w:kern w:val="2"/>
      <w:sz w:val="21"/>
    </w:rPr>
  </w:style>
  <w:style w:type="paragraph" w:customStyle="1" w:styleId="xl964">
    <w:name w:val="xl96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kern w:val="0"/>
      <w:sz w:val="18"/>
      <w:szCs w:val="18"/>
    </w:rPr>
  </w:style>
  <w:style w:type="paragraph" w:customStyle="1" w:styleId="Char1CharCharChar1">
    <w:name w:val="Char1 Char Char Char1"/>
    <w:basedOn w:val="a6"/>
    <w:qFormat/>
  </w:style>
  <w:style w:type="paragraph" w:customStyle="1" w:styleId="xl48">
    <w:name w:val="xl48"/>
    <w:basedOn w:val="a6"/>
    <w:qFormat/>
    <w:pPr>
      <w:widowControl/>
      <w:pBdr>
        <w:bottom w:val="single" w:sz="8" w:space="0" w:color="auto"/>
      </w:pBdr>
      <w:spacing w:before="100" w:beforeAutospacing="1" w:after="100" w:afterAutospacing="1"/>
      <w:jc w:val="left"/>
    </w:pPr>
    <w:rPr>
      <w:rFonts w:ascii="宋体" w:eastAsia="Arial Unicode MS"/>
      <w:b/>
      <w:kern w:val="0"/>
      <w:sz w:val="44"/>
      <w:szCs w:val="20"/>
    </w:rPr>
  </w:style>
  <w:style w:type="paragraph" w:customStyle="1" w:styleId="CharCharCharCharCharCharCharCharCharCharCharCharCharCharCharCharCharCharChar3">
    <w:name w:val="Char Char Char Char Char Char Char Char Char Char Char Char Char Char Char Char Char Char Char3"/>
    <w:basedOn w:val="a6"/>
    <w:qFormat/>
    <w:rPr>
      <w:rFonts w:ascii="宋体"/>
      <w:kern w:val="0"/>
      <w:sz w:val="24"/>
      <w:szCs w:val="20"/>
    </w:rPr>
  </w:style>
  <w:style w:type="paragraph" w:customStyle="1" w:styleId="22f3">
    <w:name w:val="样式 样式 正文首行缩进 + 首行缩进:  2 字符 + 首行缩进:  2 字符"/>
    <w:basedOn w:val="a6"/>
    <w:qFormat/>
    <w:pPr>
      <w:topLinePunct/>
      <w:adjustRightInd w:val="0"/>
      <w:snapToGrid w:val="0"/>
      <w:spacing w:line="360" w:lineRule="auto"/>
      <w:ind w:firstLine="480"/>
      <w:textAlignment w:val="baseline"/>
    </w:pPr>
    <w:rPr>
      <w:rFonts w:eastAsia="Times New Roman" w:hAnsi="宋体"/>
      <w:kern w:val="0"/>
      <w:sz w:val="24"/>
      <w:szCs w:val="20"/>
    </w:rPr>
  </w:style>
  <w:style w:type="paragraph" w:customStyle="1" w:styleId="affffffffffffffffffffffffffffffffffffffffe">
    <w:name w:val="国寰 表格文字"/>
    <w:basedOn w:val="a6"/>
    <w:qFormat/>
    <w:pPr>
      <w:widowControl/>
      <w:adjustRightInd w:val="0"/>
      <w:snapToGrid w:val="0"/>
    </w:pPr>
    <w:rPr>
      <w:sz w:val="18"/>
    </w:rPr>
  </w:style>
  <w:style w:type="paragraph" w:customStyle="1" w:styleId="afffffffffffffffffffffffffffffffffffffffff">
    <w:name w:val="调研内容"/>
    <w:basedOn w:val="a6"/>
    <w:qFormat/>
    <w:pPr>
      <w:widowControl/>
      <w:spacing w:after="200" w:line="360" w:lineRule="auto"/>
      <w:jc w:val="left"/>
    </w:pPr>
    <w:rPr>
      <w:rFonts w:ascii="Calibri" w:hAnsi="Calibri"/>
      <w:kern w:val="0"/>
      <w:sz w:val="28"/>
      <w:szCs w:val="20"/>
      <w:lang w:eastAsia="en-US" w:bidi="en-US"/>
    </w:rPr>
  </w:style>
  <w:style w:type="paragraph" w:customStyle="1" w:styleId="05050">
    <w:name w:val="样式 正文样式 + 段前: 0.5 行 段后: 0.5 行"/>
    <w:basedOn w:val="afffffffffffffffffffffffffffffffffffb"/>
    <w:qFormat/>
    <w:pPr>
      <w:widowControl/>
      <w:adjustRightInd w:val="0"/>
      <w:snapToGrid w:val="0"/>
      <w:spacing w:afterLines="50" w:line="360" w:lineRule="auto"/>
      <w:ind w:firstLine="480"/>
      <w:jc w:val="left"/>
    </w:pPr>
    <w:rPr>
      <w:color w:val="000000"/>
      <w:szCs w:val="20"/>
    </w:rPr>
  </w:style>
  <w:style w:type="paragraph" w:customStyle="1" w:styleId="xl999">
    <w:name w:val="xl999"/>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xx0">
    <w:name w:val="x.x.x."/>
    <w:basedOn w:val="a6"/>
    <w:qFormat/>
    <w:pPr>
      <w:widowControl/>
      <w:overflowPunct w:val="0"/>
      <w:autoSpaceDE w:val="0"/>
      <w:autoSpaceDN w:val="0"/>
      <w:adjustRightInd w:val="0"/>
      <w:spacing w:after="200" w:line="360" w:lineRule="atLeast"/>
      <w:ind w:left="993" w:hanging="993"/>
      <w:jc w:val="left"/>
      <w:textAlignment w:val="baseline"/>
    </w:pPr>
    <w:rPr>
      <w:rFonts w:ascii="MS Mincho" w:eastAsia="MS Mincho" w:hAnsi="Calibri"/>
      <w:kern w:val="0"/>
      <w:sz w:val="24"/>
      <w:szCs w:val="20"/>
      <w:lang w:eastAsia="ja-JP" w:bidi="en-US"/>
    </w:rPr>
  </w:style>
  <w:style w:type="paragraph" w:customStyle="1" w:styleId="xl1057">
    <w:name w:val="xl1057"/>
    <w:basedOn w:val="a6"/>
    <w:qFormat/>
    <w:pPr>
      <w:widowControl/>
      <w:pBdr>
        <w:top w:val="single" w:sz="4" w:space="0" w:color="auto"/>
        <w:left w:val="single" w:sz="4" w:space="0" w:color="auto"/>
        <w:bottom w:val="single" w:sz="4" w:space="0" w:color="auto"/>
      </w:pBdr>
      <w:spacing w:before="100" w:beforeAutospacing="1" w:after="100" w:afterAutospacing="1"/>
      <w:jc w:val="center"/>
    </w:pPr>
    <w:rPr>
      <w:rFonts w:ascii="Arial" w:hAnsi="Arial" w:cs="Arial"/>
      <w:kern w:val="0"/>
      <w:sz w:val="20"/>
      <w:szCs w:val="20"/>
    </w:rPr>
  </w:style>
  <w:style w:type="paragraph" w:customStyle="1" w:styleId="afffffffffffffffffffffffffffffffffffffffff0">
    <w:name w:val="表内五号"/>
    <w:basedOn w:val="a6"/>
    <w:qFormat/>
    <w:pPr>
      <w:widowControl/>
      <w:spacing w:beforeLines="10" w:afterLines="10" w:line="264" w:lineRule="auto"/>
      <w:jc w:val="center"/>
      <w:textAlignment w:val="center"/>
    </w:pPr>
    <w:rPr>
      <w:rFonts w:ascii="Arial" w:eastAsia="楷体_GB2312" w:hAnsi="Arial"/>
      <w:color w:val="000000"/>
      <w:kern w:val="0"/>
      <w:sz w:val="22"/>
      <w:szCs w:val="21"/>
      <w:lang w:eastAsia="en-US" w:bidi="en-US"/>
    </w:rPr>
  </w:style>
  <w:style w:type="paragraph" w:customStyle="1" w:styleId="xl979">
    <w:name w:val="xl979"/>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afffffffffffffffffffffffffffffffffffffffff1">
    <w:name w:val="表格单位行"/>
    <w:basedOn w:val="afc"/>
    <w:qFormat/>
    <w:pPr>
      <w:widowControl/>
      <w:overflowPunct w:val="0"/>
      <w:adjustRightInd w:val="0"/>
      <w:spacing w:after="200" w:line="200" w:lineRule="atLeast"/>
      <w:ind w:rightChars="285" w:right="285" w:firstLineChars="0" w:firstLine="0"/>
      <w:jc w:val="right"/>
      <w:textAlignment w:val="baseline"/>
    </w:pPr>
    <w:rPr>
      <w:rFonts w:ascii="Arial" w:eastAsia="黑体" w:hAnsi="Arial" w:cs="宋体"/>
      <w:color w:val="auto"/>
      <w:spacing w:val="0"/>
      <w:kern w:val="0"/>
      <w:sz w:val="24"/>
      <w:szCs w:val="24"/>
    </w:rPr>
  </w:style>
  <w:style w:type="paragraph" w:customStyle="1" w:styleId="xl1047">
    <w:name w:val="xl1047"/>
    <w:basedOn w:val="a6"/>
    <w:qFormat/>
    <w:pPr>
      <w:widowControl/>
      <w:pBdr>
        <w:left w:val="single" w:sz="4" w:space="0" w:color="auto"/>
        <w:bottom w:val="single" w:sz="4" w:space="0" w:color="auto"/>
        <w:right w:val="single" w:sz="4" w:space="0" w:color="auto"/>
      </w:pBdr>
      <w:shd w:val="clear" w:color="000000" w:fill="0070C0"/>
      <w:spacing w:before="100" w:beforeAutospacing="1" w:after="100" w:afterAutospacing="1"/>
      <w:jc w:val="center"/>
    </w:pPr>
    <w:rPr>
      <w:rFonts w:ascii="Arial" w:hAnsi="Arial" w:cs="Arial"/>
      <w:kern w:val="0"/>
      <w:sz w:val="18"/>
      <w:szCs w:val="18"/>
    </w:rPr>
  </w:style>
  <w:style w:type="paragraph" w:customStyle="1" w:styleId="afffffffffffffffffffffffffffffffffffffffff2">
    <w:name w:val="较紧表格"/>
    <w:basedOn w:val="a6"/>
    <w:qFormat/>
    <w:pPr>
      <w:widowControl/>
      <w:spacing w:beforeLines="10" w:afterLines="10" w:line="276" w:lineRule="auto"/>
      <w:jc w:val="center"/>
    </w:pPr>
    <w:rPr>
      <w:rFonts w:ascii="Calibri" w:hAnsi="Calibri"/>
      <w:kern w:val="0"/>
      <w:sz w:val="22"/>
      <w:szCs w:val="22"/>
      <w:lang w:eastAsia="en-US" w:bidi="en-US"/>
    </w:rPr>
  </w:style>
  <w:style w:type="paragraph" w:customStyle="1" w:styleId="xl1042">
    <w:name w:val="xl1042"/>
    <w:basedOn w:val="a6"/>
    <w:qFormat/>
    <w:pPr>
      <w:widowControl/>
      <w:pBdr>
        <w:top w:val="single" w:sz="4" w:space="0" w:color="auto"/>
        <w:left w:val="single" w:sz="4" w:space="0" w:color="auto"/>
      </w:pBdr>
      <w:shd w:val="clear" w:color="000000" w:fill="0070C0"/>
      <w:spacing w:before="100" w:beforeAutospacing="1" w:after="100" w:afterAutospacing="1"/>
      <w:jc w:val="center"/>
    </w:pPr>
    <w:rPr>
      <w:rFonts w:ascii="Arial" w:hAnsi="Arial" w:cs="Arial"/>
      <w:kern w:val="0"/>
      <w:sz w:val="18"/>
      <w:szCs w:val="18"/>
    </w:rPr>
  </w:style>
  <w:style w:type="paragraph" w:customStyle="1" w:styleId="TimesNewRoman26">
    <w:name w:val="样式 纯文本 + Times New Roman 小四 加粗 行距: 固定值 26 磅"/>
    <w:basedOn w:val="afc"/>
    <w:qFormat/>
    <w:pPr>
      <w:widowControl/>
      <w:spacing w:after="200" w:line="520" w:lineRule="exact"/>
      <w:ind w:firstLine="480"/>
      <w:jc w:val="left"/>
    </w:pPr>
    <w:rPr>
      <w:rFonts w:ascii="Times New Roman" w:eastAsia="宋体" w:hAnsi="Times New Roman" w:cs="宋体"/>
      <w:b/>
      <w:bCs/>
      <w:color w:val="auto"/>
      <w:spacing w:val="0"/>
      <w:sz w:val="24"/>
      <w:szCs w:val="20"/>
    </w:rPr>
  </w:style>
  <w:style w:type="paragraph" w:customStyle="1" w:styleId="22112112CharHD2Heading2">
    <w:name w:val="样式 标题 2标题21.1标题 21.1标题 2 Char节二级标题，黑粗，小三，序号HD2Heading 2 ..."/>
    <w:basedOn w:val="22"/>
    <w:qFormat/>
    <w:pPr>
      <w:keepNext w:val="0"/>
      <w:widowControl/>
      <w:tabs>
        <w:tab w:val="left" w:pos="0"/>
      </w:tabs>
      <w:overflowPunct w:val="0"/>
      <w:adjustRightInd w:val="0"/>
      <w:snapToGrid w:val="0"/>
      <w:spacing w:before="200" w:line="240" w:lineRule="auto"/>
      <w:ind w:left="33" w:firstLine="567"/>
      <w:jc w:val="left"/>
      <w:textAlignment w:val="baseline"/>
    </w:pPr>
    <w:rPr>
      <w:rFonts w:eastAsia="Arial" w:cs="宋体"/>
      <w:spacing w:val="0"/>
      <w:w w:val="100"/>
      <w:kern w:val="0"/>
      <w:sz w:val="30"/>
      <w:szCs w:val="20"/>
      <w:lang w:eastAsia="en-US" w:bidi="en-US"/>
    </w:rPr>
  </w:style>
  <w:style w:type="paragraph" w:customStyle="1" w:styleId="15c">
    <w:name w:val="样式 黑体 黑色 居中 行距: 1.5 倍行距"/>
    <w:basedOn w:val="a6"/>
    <w:qFormat/>
    <w:pPr>
      <w:widowControl/>
      <w:spacing w:after="200" w:line="360" w:lineRule="auto"/>
      <w:jc w:val="center"/>
    </w:pPr>
    <w:rPr>
      <w:rFonts w:ascii="黑体" w:eastAsia="黑体" w:hAnsi="Calibri"/>
      <w:color w:val="000000"/>
      <w:kern w:val="0"/>
      <w:sz w:val="22"/>
      <w:szCs w:val="20"/>
      <w:lang w:eastAsia="en-US" w:bidi="en-US"/>
    </w:rPr>
  </w:style>
  <w:style w:type="paragraph" w:customStyle="1" w:styleId="afffffffffffffffffffffffffffffffffffffffff3">
    <w:name w:val="正文表"/>
    <w:basedOn w:val="a6"/>
    <w:qFormat/>
    <w:pPr>
      <w:widowControl/>
      <w:tabs>
        <w:tab w:val="left" w:pos="2451"/>
        <w:tab w:val="left" w:pos="4614"/>
        <w:tab w:val="left" w:pos="6777"/>
        <w:tab w:val="left" w:pos="8940"/>
      </w:tabs>
      <w:autoSpaceDE w:val="0"/>
      <w:autoSpaceDN w:val="0"/>
      <w:adjustRightInd w:val="0"/>
      <w:spacing w:after="200" w:line="276" w:lineRule="auto"/>
      <w:jc w:val="center"/>
      <w:textAlignment w:val="bottom"/>
    </w:pPr>
    <w:rPr>
      <w:rFonts w:ascii="Calibri" w:hAnsi="Calibri"/>
      <w:color w:val="000000"/>
      <w:kern w:val="0"/>
      <w:sz w:val="28"/>
      <w:szCs w:val="20"/>
      <w:lang w:eastAsia="en-US" w:bidi="en-US"/>
    </w:rPr>
  </w:style>
  <w:style w:type="paragraph" w:customStyle="1" w:styleId="Bullet2">
    <w:name w:val="Bullet 2"/>
    <w:basedOn w:val="a6"/>
    <w:qFormat/>
    <w:pPr>
      <w:widowControl/>
      <w:tabs>
        <w:tab w:val="left" w:pos="420"/>
      </w:tabs>
      <w:spacing w:after="200" w:line="276" w:lineRule="auto"/>
      <w:ind w:left="420"/>
      <w:jc w:val="left"/>
    </w:pPr>
    <w:rPr>
      <w:rFonts w:ascii="Calibri" w:eastAsia="PMingLiU" w:hAnsi="Calibri"/>
      <w:kern w:val="0"/>
      <w:sz w:val="24"/>
      <w:szCs w:val="20"/>
      <w:lang w:val="en-GB" w:eastAsia="zh-TW" w:bidi="en-US"/>
    </w:rPr>
  </w:style>
  <w:style w:type="paragraph" w:customStyle="1" w:styleId="afffffffffffffffffffffffffffffffffffffffff4">
    <w:name w:val="表内小五"/>
    <w:basedOn w:val="a6"/>
    <w:qFormat/>
    <w:pPr>
      <w:widowControl/>
      <w:spacing w:after="200" w:line="264" w:lineRule="auto"/>
      <w:jc w:val="center"/>
      <w:textAlignment w:val="center"/>
    </w:pPr>
    <w:rPr>
      <w:rFonts w:ascii="Arial" w:eastAsia="楷体_GB2312" w:hAnsi="Arial"/>
      <w:kern w:val="0"/>
      <w:sz w:val="18"/>
      <w:szCs w:val="21"/>
      <w:lang w:eastAsia="en-US" w:bidi="en-US"/>
    </w:rPr>
  </w:style>
  <w:style w:type="paragraph" w:customStyle="1" w:styleId="afffffffffffffffffffffffffffffffffffffffff5">
    <w:name w:val="题栏"/>
    <w:basedOn w:val="aff2"/>
    <w:qFormat/>
    <w:pPr>
      <w:pBdr>
        <w:bottom w:val="none" w:sz="0" w:space="0" w:color="auto"/>
      </w:pBdr>
      <w:tabs>
        <w:tab w:val="clear" w:pos="4680"/>
        <w:tab w:val="clear" w:pos="9360"/>
        <w:tab w:val="center" w:pos="4153"/>
        <w:tab w:val="right" w:pos="8306"/>
      </w:tabs>
      <w:snapToGrid w:val="0"/>
      <w:spacing w:after="200" w:line="360" w:lineRule="auto"/>
      <w:jc w:val="center"/>
    </w:pPr>
    <w:rPr>
      <w:rFonts w:eastAsia="Times New Roman"/>
      <w:sz w:val="21"/>
      <w:szCs w:val="20"/>
    </w:rPr>
  </w:style>
  <w:style w:type="paragraph" w:customStyle="1" w:styleId="CharCharCharCharCharCharCharCharCharChar2CharCharCharCharCharChar1">
    <w:name w:val="Char Char Char Char Char Char Char Char Char Char2 Char Char Char Char Char Char1"/>
    <w:basedOn w:val="af4"/>
    <w:qFormat/>
    <w:pPr>
      <w:keepNext/>
      <w:widowControl/>
      <w:spacing w:beforeLines="100"/>
      <w:jc w:val="left"/>
    </w:pPr>
    <w:rPr>
      <w:rFonts w:ascii="Tahoma" w:hAnsi="Tahoma"/>
      <w:kern w:val="0"/>
      <w:sz w:val="24"/>
      <w:shd w:val="clear" w:color="auto" w:fill="000080"/>
    </w:rPr>
  </w:style>
  <w:style w:type="paragraph" w:customStyle="1" w:styleId="biao">
    <w:name w:val="biao"/>
    <w:basedOn w:val="a6"/>
    <w:qFormat/>
    <w:pPr>
      <w:widowControl/>
      <w:tabs>
        <w:tab w:val="left" w:pos="2340"/>
      </w:tabs>
      <w:autoSpaceDE w:val="0"/>
      <w:autoSpaceDN w:val="0"/>
      <w:adjustRightInd w:val="0"/>
      <w:spacing w:line="240" w:lineRule="atLeast"/>
      <w:jc w:val="center"/>
    </w:pPr>
    <w:rPr>
      <w:rFonts w:ascii="黑体" w:eastAsia="黑体" w:hAnsi="Tms Rmn" w:cs="宋体" w:hint="eastAsia"/>
      <w:b/>
      <w:bCs/>
      <w:kern w:val="0"/>
      <w:sz w:val="30"/>
      <w:szCs w:val="20"/>
    </w:rPr>
  </w:style>
  <w:style w:type="paragraph" w:customStyle="1" w:styleId="Bullet1">
    <w:name w:val="Bullet 1"/>
    <w:basedOn w:val="a6"/>
    <w:qFormat/>
    <w:pPr>
      <w:widowControl/>
      <w:tabs>
        <w:tab w:val="left" w:pos="420"/>
      </w:tabs>
      <w:ind w:left="420" w:hanging="420"/>
      <w:jc w:val="left"/>
    </w:pPr>
    <w:rPr>
      <w:rFonts w:ascii="Arial" w:hAnsi="Arial" w:cs="宋体"/>
      <w:b/>
      <w:bCs/>
      <w:kern w:val="0"/>
      <w:sz w:val="22"/>
      <w:szCs w:val="20"/>
    </w:rPr>
  </w:style>
  <w:style w:type="paragraph" w:customStyle="1" w:styleId="Bullet5">
    <w:name w:val="Bullet 5"/>
    <w:basedOn w:val="a6"/>
    <w:next w:val="a6"/>
    <w:qFormat/>
    <w:pPr>
      <w:widowControl/>
      <w:tabs>
        <w:tab w:val="left" w:pos="1440"/>
      </w:tabs>
      <w:ind w:left="5041" w:hanging="720"/>
      <w:jc w:val="left"/>
    </w:pPr>
    <w:rPr>
      <w:rFonts w:ascii="Arial" w:hAnsi="Arial" w:cs="宋体"/>
      <w:kern w:val="0"/>
      <w:sz w:val="22"/>
      <w:szCs w:val="20"/>
      <w:lang w:eastAsia="en-US"/>
    </w:rPr>
  </w:style>
  <w:style w:type="paragraph" w:customStyle="1" w:styleId="Head42">
    <w:name w:val="Head 4.2"/>
    <w:basedOn w:val="a6"/>
    <w:qFormat/>
    <w:pPr>
      <w:widowControl/>
      <w:tabs>
        <w:tab w:val="left" w:pos="360"/>
      </w:tabs>
      <w:suppressAutoHyphens/>
      <w:ind w:left="360" w:hanging="360"/>
      <w:jc w:val="left"/>
    </w:pPr>
    <w:rPr>
      <w:rFonts w:cs="宋体"/>
      <w:b/>
      <w:kern w:val="0"/>
      <w:sz w:val="24"/>
      <w:szCs w:val="20"/>
      <w:lang w:eastAsia="en-US"/>
    </w:rPr>
  </w:style>
  <w:style w:type="paragraph" w:customStyle="1" w:styleId="Technical7">
    <w:name w:val="Technical 7"/>
    <w:qFormat/>
    <w:pPr>
      <w:tabs>
        <w:tab w:val="left" w:pos="-720"/>
      </w:tabs>
      <w:suppressAutoHyphens/>
      <w:ind w:firstLine="720"/>
    </w:pPr>
    <w:rPr>
      <w:rFonts w:ascii="Courier" w:hAnsi="Courier"/>
      <w:b/>
      <w:sz w:val="24"/>
      <w:lang w:eastAsia="en-US"/>
    </w:rPr>
  </w:style>
  <w:style w:type="paragraph" w:customStyle="1" w:styleId="332">
    <w:name w:val="3 3"/>
    <w:qFormat/>
    <w:pPr>
      <w:tabs>
        <w:tab w:val="left" w:pos="-720"/>
        <w:tab w:val="left" w:pos="0"/>
        <w:tab w:val="left" w:pos="720"/>
        <w:tab w:val="left" w:pos="1440"/>
        <w:tab w:val="decimal" w:pos="2160"/>
      </w:tabs>
      <w:suppressAutoHyphens/>
      <w:ind w:firstLine="2160"/>
    </w:pPr>
    <w:rPr>
      <w:rFonts w:ascii="Courier" w:hAnsi="Courier"/>
      <w:sz w:val="24"/>
      <w:lang w:eastAsia="en-US"/>
    </w:rPr>
  </w:style>
  <w:style w:type="paragraph" w:customStyle="1" w:styleId="SAR6">
    <w:name w:val="SAR 6"/>
    <w:qFormat/>
    <w:pPr>
      <w:tabs>
        <w:tab w:val="left" w:pos="-720"/>
      </w:tabs>
      <w:suppressAutoHyphens/>
    </w:pPr>
    <w:rPr>
      <w:rFonts w:ascii="Courier" w:hAnsi="Courier"/>
      <w:sz w:val="24"/>
      <w:lang w:eastAsia="en-US"/>
    </w:rPr>
  </w:style>
  <w:style w:type="paragraph" w:customStyle="1" w:styleId="REGULAR6">
    <w:name w:val="REGULAR 6"/>
    <w:qFormat/>
    <w:pPr>
      <w:tabs>
        <w:tab w:val="left" w:pos="-720"/>
      </w:tabs>
      <w:suppressAutoHyphens/>
    </w:pPr>
    <w:rPr>
      <w:rFonts w:ascii="Courier" w:hAnsi="Courier"/>
      <w:sz w:val="24"/>
      <w:lang w:eastAsia="en-US"/>
    </w:rPr>
  </w:style>
  <w:style w:type="paragraph" w:customStyle="1" w:styleId="135">
    <w:name w:val="1 3"/>
    <w:qFormat/>
    <w:pPr>
      <w:tabs>
        <w:tab w:val="left" w:pos="-720"/>
      </w:tabs>
      <w:suppressAutoHyphens/>
    </w:pPr>
    <w:rPr>
      <w:rFonts w:ascii="Courier" w:hAnsi="Courier"/>
      <w:sz w:val="24"/>
      <w:lang w:eastAsia="en-US"/>
    </w:rPr>
  </w:style>
  <w:style w:type="paragraph" w:customStyle="1" w:styleId="147">
    <w:name w:val="1 4"/>
    <w:qFormat/>
    <w:pPr>
      <w:tabs>
        <w:tab w:val="left" w:pos="-720"/>
      </w:tabs>
      <w:suppressAutoHyphens/>
    </w:pPr>
    <w:rPr>
      <w:rFonts w:ascii="Courier" w:hAnsi="Courier"/>
      <w:sz w:val="24"/>
      <w:lang w:eastAsia="en-US"/>
    </w:rPr>
  </w:style>
  <w:style w:type="paragraph" w:customStyle="1" w:styleId="171">
    <w:name w:val="1 7"/>
    <w:qFormat/>
    <w:pPr>
      <w:tabs>
        <w:tab w:val="left" w:pos="-720"/>
      </w:tabs>
      <w:suppressAutoHyphens/>
    </w:pPr>
    <w:rPr>
      <w:rFonts w:ascii="Courier" w:hAnsi="Courier"/>
      <w:sz w:val="24"/>
      <w:lang w:eastAsia="en-US"/>
    </w:rPr>
  </w:style>
  <w:style w:type="paragraph" w:customStyle="1" w:styleId="22a0">
    <w:name w:val="2 2a"/>
    <w:qFormat/>
    <w:pPr>
      <w:tabs>
        <w:tab w:val="left" w:pos="-720"/>
      </w:tabs>
      <w:suppressAutoHyphens/>
    </w:pPr>
    <w:rPr>
      <w:rFonts w:ascii="Courier" w:hAnsi="Courier"/>
      <w:sz w:val="24"/>
      <w:lang w:eastAsia="en-US"/>
    </w:rPr>
  </w:style>
  <w:style w:type="paragraph" w:customStyle="1" w:styleId="24a">
    <w:name w:val="2 4a"/>
    <w:qFormat/>
    <w:pPr>
      <w:tabs>
        <w:tab w:val="left" w:pos="-720"/>
      </w:tabs>
      <w:suppressAutoHyphens/>
    </w:pPr>
    <w:rPr>
      <w:rFonts w:ascii="Courier" w:hAnsi="Courier"/>
      <w:sz w:val="24"/>
      <w:lang w:eastAsia="en-US"/>
    </w:rPr>
  </w:style>
  <w:style w:type="paragraph" w:customStyle="1" w:styleId="27a">
    <w:name w:val="2 7a"/>
    <w:qFormat/>
    <w:pPr>
      <w:tabs>
        <w:tab w:val="left" w:pos="-720"/>
      </w:tabs>
      <w:suppressAutoHyphens/>
    </w:pPr>
    <w:rPr>
      <w:rFonts w:ascii="Courier" w:hAnsi="Courier"/>
      <w:sz w:val="24"/>
      <w:lang w:eastAsia="en-US"/>
    </w:rPr>
  </w:style>
  <w:style w:type="paragraph" w:customStyle="1" w:styleId="28a">
    <w:name w:val="2 8a"/>
    <w:qFormat/>
    <w:pPr>
      <w:tabs>
        <w:tab w:val="left" w:pos="-720"/>
      </w:tabs>
      <w:suppressAutoHyphens/>
    </w:pPr>
    <w:rPr>
      <w:rFonts w:ascii="Courier" w:hAnsi="Courier"/>
      <w:sz w:val="24"/>
      <w:lang w:eastAsia="en-US"/>
    </w:rPr>
  </w:style>
  <w:style w:type="paragraph" w:customStyle="1" w:styleId="kk">
    <w:name w:val="kk"/>
    <w:basedOn w:val="af8"/>
    <w:qFormat/>
    <w:pPr>
      <w:widowControl/>
      <w:autoSpaceDE w:val="0"/>
      <w:autoSpaceDN w:val="0"/>
      <w:adjustRightInd w:val="0"/>
      <w:spacing w:after="0" w:line="360" w:lineRule="auto"/>
      <w:jc w:val="left"/>
      <w:textAlignment w:val="baseline"/>
    </w:pPr>
    <w:rPr>
      <w:rFonts w:cs="宋体"/>
      <w:spacing w:val="10"/>
      <w:kern w:val="0"/>
      <w:sz w:val="24"/>
      <w:szCs w:val="20"/>
    </w:rPr>
  </w:style>
  <w:style w:type="paragraph" w:customStyle="1" w:styleId="afffffffffffffffffffffffffffffffffffffffff6">
    <w:name w:val="字母编号"/>
    <w:basedOn w:val="affffffffffffffffffffffffffffffffb"/>
    <w:qFormat/>
    <w:pPr>
      <w:widowControl/>
      <w:tabs>
        <w:tab w:val="left" w:pos="981"/>
      </w:tabs>
      <w:spacing w:line="240" w:lineRule="auto"/>
      <w:ind w:firstLine="420"/>
      <w:jc w:val="left"/>
    </w:pPr>
    <w:rPr>
      <w:rFonts w:ascii="Times New Roman" w:hAnsi="Times New Roman" w:cs="宋体"/>
      <w:color w:val="000000"/>
      <w:spacing w:val="0"/>
      <w:szCs w:val="24"/>
    </w:rPr>
  </w:style>
  <w:style w:type="paragraph" w:customStyle="1" w:styleId="Style1">
    <w:name w:val="Style1"/>
    <w:basedOn w:val="a6"/>
    <w:qFormat/>
    <w:pPr>
      <w:widowControl/>
      <w:tabs>
        <w:tab w:val="left" w:pos="-720"/>
      </w:tabs>
      <w:spacing w:after="120"/>
      <w:jc w:val="left"/>
    </w:pPr>
    <w:rPr>
      <w:rFonts w:cs="宋体"/>
      <w:spacing w:val="-3"/>
      <w:kern w:val="0"/>
      <w:sz w:val="24"/>
      <w:szCs w:val="20"/>
      <w:lang w:val="en-AU" w:eastAsia="en-US"/>
    </w:rPr>
  </w:style>
  <w:style w:type="paragraph" w:customStyle="1" w:styleId="TxBrc4">
    <w:name w:val="TxBr_c4"/>
    <w:basedOn w:val="a6"/>
    <w:qFormat/>
    <w:pPr>
      <w:widowControl/>
      <w:spacing w:line="240" w:lineRule="atLeast"/>
      <w:jc w:val="center"/>
    </w:pPr>
    <w:rPr>
      <w:rFonts w:cs="宋体"/>
      <w:snapToGrid w:val="0"/>
      <w:kern w:val="0"/>
      <w:sz w:val="24"/>
      <w:szCs w:val="20"/>
      <w:lang w:eastAsia="en-US"/>
    </w:rPr>
  </w:style>
  <w:style w:type="paragraph" w:customStyle="1" w:styleId="afffffffffffffffffffffffffffffffffffffffff7">
    <w:name w:val="正文首行不缩进"/>
    <w:basedOn w:val="a6"/>
    <w:qFormat/>
    <w:pPr>
      <w:widowControl/>
      <w:tabs>
        <w:tab w:val="left" w:pos="4584"/>
        <w:tab w:val="left" w:pos="7640"/>
      </w:tabs>
      <w:adjustRightInd w:val="0"/>
      <w:snapToGrid w:val="0"/>
      <w:spacing w:line="360" w:lineRule="auto"/>
      <w:ind w:firstLineChars="200" w:firstLine="442"/>
      <w:jc w:val="left"/>
      <w:outlineLvl w:val="0"/>
    </w:pPr>
    <w:rPr>
      <w:rFonts w:ascii="宋体" w:hAnsi="宋体" w:cs="宋体"/>
      <w:kern w:val="52"/>
      <w:sz w:val="24"/>
    </w:rPr>
  </w:style>
  <w:style w:type="paragraph" w:customStyle="1" w:styleId="afffffffffffffffffffffffffffffffffffffffff8">
    <w:name w:val="表格文字－四号"/>
    <w:basedOn w:val="a6"/>
    <w:qFormat/>
    <w:pPr>
      <w:widowControl/>
      <w:adjustRightInd w:val="0"/>
      <w:snapToGrid w:val="0"/>
      <w:spacing w:line="360" w:lineRule="auto"/>
      <w:jc w:val="left"/>
    </w:pPr>
    <w:rPr>
      <w:rFonts w:cs="宋体"/>
      <w:kern w:val="0"/>
      <w:sz w:val="28"/>
    </w:rPr>
  </w:style>
  <w:style w:type="paragraph" w:customStyle="1" w:styleId="2fffffff3">
    <w:name w:val="修订2"/>
    <w:uiPriority w:val="99"/>
    <w:semiHidden/>
    <w:qFormat/>
    <w:rPr>
      <w:kern w:val="2"/>
      <w:sz w:val="21"/>
      <w:szCs w:val="24"/>
    </w:rPr>
  </w:style>
  <w:style w:type="paragraph" w:customStyle="1" w:styleId="xl129">
    <w:name w:val="xl129"/>
    <w:basedOn w:val="a6"/>
    <w:qFormat/>
    <w:pPr>
      <w:widowControl/>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Unicode MS" w:eastAsia="Arial Unicode MS" w:hAnsi="Arial Unicode MS" w:cs="Arial Unicode MS"/>
      <w:color w:val="000000"/>
      <w:kern w:val="0"/>
      <w:sz w:val="24"/>
      <w:szCs w:val="21"/>
    </w:rPr>
  </w:style>
  <w:style w:type="paragraph" w:customStyle="1" w:styleId="xl142">
    <w:name w:val="xl142"/>
    <w:basedOn w:val="a6"/>
    <w:qFormat/>
    <w:pPr>
      <w:widowControl/>
      <w:pBdr>
        <w:bottom w:val="double" w:sz="6" w:space="0" w:color="auto"/>
        <w:right w:val="single" w:sz="4" w:space="0" w:color="auto"/>
      </w:pBdr>
      <w:spacing w:before="100" w:beforeAutospacing="1" w:after="100" w:afterAutospacing="1" w:line="360" w:lineRule="auto"/>
      <w:jc w:val="center"/>
      <w:textAlignment w:val="center"/>
    </w:pPr>
    <w:rPr>
      <w:rFonts w:eastAsia="Arial Unicode MS" w:cs="宋体"/>
      <w:kern w:val="0"/>
      <w:sz w:val="20"/>
      <w:szCs w:val="20"/>
    </w:rPr>
  </w:style>
  <w:style w:type="paragraph" w:customStyle="1" w:styleId="11fc">
    <w:name w:val="样式 样式 宋体 11 磅 黑色 居中 + 自动设置"/>
    <w:basedOn w:val="11d"/>
    <w:qFormat/>
    <w:pPr>
      <w:spacing w:line="180" w:lineRule="auto"/>
    </w:pPr>
    <w:rPr>
      <w:color w:val="auto"/>
    </w:rPr>
  </w:style>
  <w:style w:type="paragraph" w:customStyle="1" w:styleId="xl145">
    <w:name w:val="xl145"/>
    <w:basedOn w:val="a6"/>
    <w:qFormat/>
    <w:pPr>
      <w:widowControl/>
      <w:pBdr>
        <w:top w:val="double" w:sz="6" w:space="0" w:color="auto"/>
        <w:right w:val="single" w:sz="4" w:space="0" w:color="auto"/>
      </w:pBdr>
      <w:spacing w:before="100" w:beforeAutospacing="1" w:after="100" w:afterAutospacing="1" w:line="360" w:lineRule="auto"/>
      <w:jc w:val="center"/>
      <w:textAlignment w:val="center"/>
    </w:pPr>
    <w:rPr>
      <w:rFonts w:eastAsia="Arial Unicode MS" w:cs="宋体"/>
      <w:kern w:val="0"/>
      <w:sz w:val="20"/>
      <w:szCs w:val="20"/>
    </w:rPr>
  </w:style>
  <w:style w:type="paragraph" w:customStyle="1" w:styleId="xl148">
    <w:name w:val="xl148"/>
    <w:basedOn w:val="a6"/>
    <w:qFormat/>
    <w:pPr>
      <w:widowControl/>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eastAsia="Arial Unicode MS" w:cs="宋体"/>
      <w:color w:val="000000"/>
      <w:kern w:val="0"/>
      <w:sz w:val="20"/>
      <w:szCs w:val="20"/>
    </w:rPr>
  </w:style>
  <w:style w:type="paragraph" w:customStyle="1" w:styleId="xl195">
    <w:name w:val="xl195"/>
    <w:basedOn w:val="a6"/>
    <w:qFormat/>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4"/>
    </w:rPr>
  </w:style>
  <w:style w:type="paragraph" w:customStyle="1" w:styleId="xl150">
    <w:name w:val="xl150"/>
    <w:basedOn w:val="a6"/>
    <w:qFormat/>
    <w:pPr>
      <w:widowControl/>
      <w:pBdr>
        <w:top w:val="double" w:sz="6" w:space="0" w:color="auto"/>
        <w:bottom w:val="single" w:sz="4" w:space="0" w:color="auto"/>
        <w:right w:val="single" w:sz="4" w:space="0" w:color="auto"/>
      </w:pBdr>
      <w:spacing w:before="100" w:beforeAutospacing="1" w:after="100" w:afterAutospacing="1" w:line="360" w:lineRule="auto"/>
      <w:jc w:val="center"/>
      <w:textAlignment w:val="center"/>
    </w:pPr>
    <w:rPr>
      <w:rFonts w:eastAsia="Arial Unicode MS" w:cs="宋体"/>
      <w:color w:val="000000"/>
      <w:kern w:val="0"/>
      <w:sz w:val="20"/>
      <w:szCs w:val="20"/>
    </w:rPr>
  </w:style>
  <w:style w:type="paragraph" w:customStyle="1" w:styleId="xl155">
    <w:name w:val="xl155"/>
    <w:basedOn w:val="a6"/>
    <w:qFormat/>
    <w:pPr>
      <w:widowControl/>
      <w:pBdr>
        <w:top w:val="double" w:sz="6" w:space="0" w:color="auto"/>
        <w:right w:val="single" w:sz="4" w:space="0" w:color="auto"/>
      </w:pBdr>
      <w:spacing w:before="100" w:beforeAutospacing="1" w:after="100" w:afterAutospacing="1" w:line="360" w:lineRule="auto"/>
      <w:jc w:val="center"/>
      <w:textAlignment w:val="center"/>
    </w:pPr>
    <w:rPr>
      <w:rFonts w:eastAsia="Arial Unicode MS" w:cs="宋体"/>
      <w:color w:val="000000"/>
      <w:kern w:val="0"/>
      <w:sz w:val="20"/>
      <w:szCs w:val="20"/>
    </w:rPr>
  </w:style>
  <w:style w:type="paragraph" w:customStyle="1" w:styleId="xl158">
    <w:name w:val="xl15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eastAsia="Arial Unicode MS" w:cs="宋体"/>
      <w:color w:val="000000"/>
      <w:kern w:val="0"/>
      <w:sz w:val="20"/>
      <w:szCs w:val="20"/>
    </w:rPr>
  </w:style>
  <w:style w:type="paragraph" w:customStyle="1" w:styleId="xl188">
    <w:name w:val="xl188"/>
    <w:basedOn w:val="a6"/>
    <w:qFormat/>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宋体" w:hAnsi="宋体" w:cs="宋体"/>
      <w:color w:val="000000"/>
      <w:kern w:val="0"/>
      <w:sz w:val="24"/>
    </w:rPr>
  </w:style>
  <w:style w:type="paragraph" w:customStyle="1" w:styleId="xl159">
    <w:name w:val="xl159"/>
    <w:basedOn w:val="a6"/>
    <w:qFormat/>
    <w:pPr>
      <w:widowControl/>
      <w:pBdr>
        <w:top w:val="double" w:sz="6" w:space="0" w:color="auto"/>
        <w:bottom w:val="single" w:sz="4" w:space="0" w:color="auto"/>
        <w:right w:val="single" w:sz="4" w:space="0" w:color="auto"/>
      </w:pBdr>
      <w:spacing w:before="100" w:beforeAutospacing="1" w:after="100" w:afterAutospacing="1" w:line="360" w:lineRule="auto"/>
      <w:jc w:val="center"/>
      <w:textAlignment w:val="center"/>
    </w:pPr>
    <w:rPr>
      <w:rFonts w:eastAsia="Arial Unicode MS" w:cs="宋体"/>
      <w:color w:val="000000"/>
      <w:kern w:val="0"/>
      <w:sz w:val="20"/>
      <w:szCs w:val="20"/>
    </w:rPr>
  </w:style>
  <w:style w:type="paragraph" w:customStyle="1" w:styleId="xl190">
    <w:name w:val="xl190"/>
    <w:basedOn w:val="a6"/>
    <w:qFormat/>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4"/>
    </w:rPr>
  </w:style>
  <w:style w:type="paragraph" w:customStyle="1" w:styleId="xl161">
    <w:name w:val="xl161"/>
    <w:basedOn w:val="a6"/>
    <w:qFormat/>
    <w:pPr>
      <w:widowControl/>
      <w:pBdr>
        <w:bottom w:val="double" w:sz="6" w:space="0" w:color="auto"/>
        <w:right w:val="single" w:sz="4" w:space="0" w:color="auto"/>
      </w:pBdr>
      <w:spacing w:before="100" w:beforeAutospacing="1" w:after="100" w:afterAutospacing="1" w:line="360" w:lineRule="auto"/>
      <w:jc w:val="center"/>
      <w:textAlignment w:val="center"/>
    </w:pPr>
    <w:rPr>
      <w:rFonts w:eastAsia="Arial Unicode MS" w:cs="宋体"/>
      <w:color w:val="000000"/>
      <w:kern w:val="0"/>
      <w:sz w:val="20"/>
      <w:szCs w:val="20"/>
    </w:rPr>
  </w:style>
  <w:style w:type="paragraph" w:customStyle="1" w:styleId="xl222">
    <w:name w:val="xl222"/>
    <w:basedOn w:val="a6"/>
    <w:qFormat/>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rPr>
  </w:style>
  <w:style w:type="paragraph" w:customStyle="1" w:styleId="xl169">
    <w:name w:val="xl169"/>
    <w:basedOn w:val="a6"/>
    <w:qFormat/>
    <w:pPr>
      <w:widowControl/>
      <w:pBdr>
        <w:top w:val="double" w:sz="6" w:space="0" w:color="auto"/>
        <w:right w:val="single" w:sz="4" w:space="0" w:color="auto"/>
      </w:pBdr>
      <w:spacing w:before="100" w:beforeAutospacing="1" w:after="100" w:afterAutospacing="1" w:line="360" w:lineRule="auto"/>
      <w:jc w:val="left"/>
      <w:textAlignment w:val="center"/>
    </w:pPr>
    <w:rPr>
      <w:rFonts w:ascii="Arial Unicode MS" w:eastAsia="Arial Unicode MS" w:hAnsi="Arial Unicode MS" w:cs="Arial Unicode MS"/>
      <w:color w:val="000000"/>
      <w:kern w:val="0"/>
      <w:sz w:val="20"/>
      <w:szCs w:val="20"/>
    </w:rPr>
  </w:style>
  <w:style w:type="paragraph" w:customStyle="1" w:styleId="xl240">
    <w:name w:val="xl240"/>
    <w:basedOn w:val="a6"/>
    <w:qFormat/>
    <w:pPr>
      <w:widowControl/>
      <w:pBdr>
        <w:left w:val="single" w:sz="4" w:space="0" w:color="auto"/>
      </w:pBdr>
      <w:spacing w:before="100" w:beforeAutospacing="1" w:after="100" w:afterAutospacing="1"/>
      <w:jc w:val="left"/>
      <w:textAlignment w:val="bottom"/>
    </w:pPr>
    <w:rPr>
      <w:rFonts w:ascii="宋体" w:hAnsi="宋体" w:cs="宋体"/>
      <w:kern w:val="0"/>
      <w:sz w:val="24"/>
    </w:rPr>
  </w:style>
  <w:style w:type="paragraph" w:customStyle="1" w:styleId="xl171">
    <w:name w:val="xl171"/>
    <w:basedOn w:val="a6"/>
    <w:qFormat/>
    <w:pPr>
      <w:widowControl/>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Unicode MS" w:eastAsia="Arial Unicode MS" w:hAnsi="Arial Unicode MS" w:cs="Arial Unicode MS"/>
      <w:color w:val="000000"/>
      <w:kern w:val="0"/>
      <w:sz w:val="24"/>
      <w:szCs w:val="21"/>
    </w:rPr>
  </w:style>
  <w:style w:type="paragraph" w:customStyle="1" w:styleId="xl242">
    <w:name w:val="xl242"/>
    <w:basedOn w:val="a6"/>
    <w:qFormat/>
    <w:pPr>
      <w:widowControl/>
      <w:pBdr>
        <w:top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175">
    <w:name w:val="xl175"/>
    <w:basedOn w:val="a6"/>
    <w:qFormat/>
    <w:pPr>
      <w:widowControl/>
      <w:pBdr>
        <w:top w:val="double" w:sz="6" w:space="0" w:color="auto"/>
        <w:right w:val="single" w:sz="4" w:space="0" w:color="auto"/>
      </w:pBdr>
      <w:spacing w:before="100" w:beforeAutospacing="1" w:after="100" w:afterAutospacing="1" w:line="360" w:lineRule="auto"/>
      <w:jc w:val="center"/>
      <w:textAlignment w:val="center"/>
    </w:pPr>
    <w:rPr>
      <w:rFonts w:eastAsia="Arial Unicode MS" w:cs="宋体"/>
      <w:color w:val="000000"/>
      <w:kern w:val="0"/>
      <w:sz w:val="20"/>
      <w:szCs w:val="20"/>
    </w:rPr>
  </w:style>
  <w:style w:type="paragraph" w:customStyle="1" w:styleId="xl259">
    <w:name w:val="xl259"/>
    <w:basedOn w:val="a6"/>
    <w:qFormat/>
    <w:pPr>
      <w:widowControl/>
      <w:pBdr>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77">
    <w:name w:val="xl177"/>
    <w:basedOn w:val="a6"/>
    <w:qFormat/>
    <w:pPr>
      <w:widowControl/>
      <w:pBdr>
        <w:top w:val="single" w:sz="4" w:space="0" w:color="auto"/>
        <w:bottom w:val="double" w:sz="6" w:space="0" w:color="auto"/>
        <w:right w:val="single" w:sz="4" w:space="0" w:color="auto"/>
      </w:pBdr>
      <w:spacing w:before="100" w:beforeAutospacing="1" w:after="100" w:afterAutospacing="1" w:line="360" w:lineRule="auto"/>
      <w:jc w:val="center"/>
      <w:textAlignment w:val="center"/>
    </w:pPr>
    <w:rPr>
      <w:rFonts w:eastAsia="Arial Unicode MS" w:cs="宋体"/>
      <w:kern w:val="0"/>
      <w:sz w:val="20"/>
      <w:szCs w:val="20"/>
    </w:rPr>
  </w:style>
  <w:style w:type="paragraph" w:customStyle="1" w:styleId="xl245">
    <w:name w:val="xl245"/>
    <w:basedOn w:val="a6"/>
    <w:qFormat/>
    <w:pPr>
      <w:widowControl/>
      <w:pBdr>
        <w:top w:val="single" w:sz="4" w:space="0" w:color="auto"/>
        <w:left w:val="single" w:sz="4" w:space="0" w:color="auto"/>
      </w:pBdr>
      <w:spacing w:before="100" w:beforeAutospacing="1" w:after="100" w:afterAutospacing="1"/>
      <w:jc w:val="center"/>
    </w:pPr>
    <w:rPr>
      <w:rFonts w:ascii="宋体" w:hAnsi="宋体" w:cs="宋体"/>
      <w:kern w:val="0"/>
      <w:sz w:val="20"/>
      <w:szCs w:val="20"/>
    </w:rPr>
  </w:style>
  <w:style w:type="paragraph" w:customStyle="1" w:styleId="xl178">
    <w:name w:val="xl178"/>
    <w:basedOn w:val="a6"/>
    <w:qFormat/>
    <w:pPr>
      <w:widowControl/>
      <w:pBdr>
        <w:top w:val="single" w:sz="4" w:space="0" w:color="auto"/>
        <w:bottom w:val="double" w:sz="6" w:space="0" w:color="auto"/>
        <w:right w:val="single" w:sz="4" w:space="0" w:color="auto"/>
      </w:pBdr>
      <w:spacing w:before="100" w:beforeAutospacing="1" w:after="100" w:afterAutospacing="1" w:line="360" w:lineRule="auto"/>
      <w:jc w:val="center"/>
      <w:textAlignment w:val="center"/>
    </w:pPr>
    <w:rPr>
      <w:rFonts w:ascii="Arial Unicode MS" w:eastAsia="Arial Unicode MS" w:hAnsi="Arial Unicode MS" w:cs="Arial Unicode MS"/>
      <w:kern w:val="0"/>
      <w:sz w:val="20"/>
      <w:szCs w:val="20"/>
    </w:rPr>
  </w:style>
  <w:style w:type="paragraph" w:customStyle="1" w:styleId="xl232">
    <w:name w:val="xl232"/>
    <w:basedOn w:val="a6"/>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fffffffffffffffffffffffffffffffffffffffff9">
    <w:name w:val="表格左对齐"/>
    <w:basedOn w:val="a6"/>
    <w:qFormat/>
    <w:pPr>
      <w:widowControl/>
      <w:adjustRightInd w:val="0"/>
      <w:snapToGrid w:val="0"/>
      <w:spacing w:line="360" w:lineRule="auto"/>
      <w:jc w:val="left"/>
      <w:textAlignment w:val="baseline"/>
    </w:pPr>
    <w:rPr>
      <w:rFonts w:ascii="宋体" w:hAnsi="Arial" w:cs="宋体"/>
      <w:bCs/>
      <w:kern w:val="0"/>
      <w:sz w:val="24"/>
      <w:szCs w:val="20"/>
    </w:rPr>
  </w:style>
  <w:style w:type="paragraph" w:customStyle="1" w:styleId="xl247">
    <w:name w:val="xl247"/>
    <w:basedOn w:val="a6"/>
    <w:qFormat/>
    <w:pPr>
      <w:widowControl/>
      <w:pBdr>
        <w:left w:val="single" w:sz="4" w:space="0" w:color="auto"/>
        <w:bottom w:val="single" w:sz="4" w:space="0" w:color="auto"/>
      </w:pBdr>
      <w:spacing w:before="100" w:beforeAutospacing="1" w:after="100" w:afterAutospacing="1"/>
      <w:jc w:val="center"/>
    </w:pPr>
    <w:rPr>
      <w:rFonts w:ascii="宋体" w:hAnsi="宋体" w:cs="宋体"/>
      <w:kern w:val="0"/>
      <w:sz w:val="20"/>
      <w:szCs w:val="20"/>
    </w:rPr>
  </w:style>
  <w:style w:type="paragraph" w:customStyle="1" w:styleId="3ffff">
    <w:name w:val="标3"/>
    <w:qFormat/>
    <w:pPr>
      <w:spacing w:line="300" w:lineRule="auto"/>
    </w:pPr>
    <w:rPr>
      <w:rFonts w:ascii="Arial" w:eastAsia="楷体_GB2312" w:hAnsi="Arial"/>
      <w:kern w:val="2"/>
      <w:sz w:val="24"/>
      <w:szCs w:val="24"/>
    </w:rPr>
  </w:style>
  <w:style w:type="paragraph" w:customStyle="1" w:styleId="afffffffffffffffffffffffffffffffffffffffffa">
    <w:name w:val="表格与图片标题"/>
    <w:basedOn w:val="a6"/>
    <w:qFormat/>
    <w:pPr>
      <w:adjustRightInd w:val="0"/>
      <w:snapToGrid w:val="0"/>
      <w:spacing w:line="360" w:lineRule="auto"/>
      <w:jc w:val="center"/>
    </w:pPr>
    <w:rPr>
      <w:rFonts w:cs="宋体"/>
      <w:b/>
      <w:sz w:val="24"/>
      <w:szCs w:val="21"/>
    </w:rPr>
  </w:style>
  <w:style w:type="paragraph" w:customStyle="1" w:styleId="Char1CharCharCharCharCharCharCharChar1">
    <w:name w:val="Char1 Char Char Char Char Char Char Char Char1"/>
    <w:basedOn w:val="a6"/>
    <w:qFormat/>
    <w:pPr>
      <w:widowControl/>
      <w:jc w:val="left"/>
    </w:pPr>
    <w:rPr>
      <w:rFonts w:cs="宋体"/>
      <w:kern w:val="0"/>
      <w:sz w:val="24"/>
    </w:rPr>
  </w:style>
  <w:style w:type="paragraph" w:customStyle="1" w:styleId="CYQ41">
    <w:name w:val="CYQ标题4 样式1"/>
    <w:basedOn w:val="41"/>
    <w:qFormat/>
    <w:pPr>
      <w:keepLines w:val="0"/>
      <w:adjustRightInd/>
      <w:snapToGrid/>
      <w:spacing w:beforeLines="0" w:before="0" w:line="360" w:lineRule="auto"/>
      <w:ind w:firstLineChars="200" w:firstLine="560"/>
    </w:pPr>
    <w:rPr>
      <w:rFonts w:ascii="Times New Roman" w:eastAsia="宋体" w:hAnsi="Times New Roman"/>
      <w:bCs w:val="0"/>
      <w:kern w:val="0"/>
      <w:sz w:val="24"/>
      <w:szCs w:val="28"/>
    </w:rPr>
  </w:style>
  <w:style w:type="paragraph" w:customStyle="1" w:styleId="CYQ51">
    <w:name w:val="CYQ标题5样式1"/>
    <w:basedOn w:val="a6"/>
    <w:qFormat/>
    <w:pPr>
      <w:widowControl/>
      <w:spacing w:line="360" w:lineRule="auto"/>
      <w:ind w:firstLineChars="200" w:firstLine="560"/>
      <w:jc w:val="left"/>
    </w:pPr>
    <w:rPr>
      <w:rFonts w:cs="宋体"/>
      <w:kern w:val="0"/>
      <w:sz w:val="28"/>
    </w:rPr>
  </w:style>
  <w:style w:type="paragraph" w:customStyle="1" w:styleId="Char211">
    <w:name w:val="样式  Char + 首行缩进:  2 字符1"/>
    <w:basedOn w:val="Char80"/>
    <w:qFormat/>
    <w:pPr>
      <w:spacing w:after="0" w:line="360" w:lineRule="auto"/>
      <w:ind w:firstLineChars="200" w:firstLine="480"/>
      <w:jc w:val="both"/>
    </w:pPr>
    <w:rPr>
      <w:rFonts w:ascii="宋体" w:eastAsia="宋体" w:hAnsi="宋体" w:cs="宋体"/>
      <w:b w:val="0"/>
      <w:kern w:val="2"/>
      <w:szCs w:val="20"/>
      <w:lang w:eastAsia="zh-CN"/>
    </w:rPr>
  </w:style>
  <w:style w:type="paragraph" w:customStyle="1" w:styleId="CYQ">
    <w:name w:val="CYQ表格名称四号字体"/>
    <w:basedOn w:val="a6"/>
    <w:qFormat/>
    <w:pPr>
      <w:widowControl/>
      <w:spacing w:line="360" w:lineRule="atLeast"/>
      <w:ind w:firstLineChars="100" w:firstLine="240"/>
      <w:jc w:val="center"/>
    </w:pPr>
    <w:rPr>
      <w:rFonts w:ascii="黑体" w:eastAsia="黑体" w:cs="宋体"/>
      <w:kern w:val="0"/>
      <w:sz w:val="24"/>
    </w:rPr>
  </w:style>
  <w:style w:type="paragraph" w:customStyle="1" w:styleId="014">
    <w:name w:val="表格标题01"/>
    <w:basedOn w:val="a6"/>
    <w:qFormat/>
    <w:pPr>
      <w:adjustRightInd w:val="0"/>
      <w:spacing w:line="480" w:lineRule="exact"/>
      <w:jc w:val="center"/>
      <w:textAlignment w:val="baseline"/>
    </w:pPr>
    <w:rPr>
      <w:snapToGrid w:val="0"/>
      <w:kern w:val="0"/>
      <w:sz w:val="28"/>
      <w:szCs w:val="28"/>
    </w:rPr>
  </w:style>
  <w:style w:type="paragraph" w:customStyle="1" w:styleId="afffffffffffffffffffffffffffffffffffffffffb">
    <w:name w:val="数字编号（二级）"/>
    <w:qFormat/>
    <w:pPr>
      <w:spacing w:line="360" w:lineRule="auto"/>
    </w:pPr>
    <w:rPr>
      <w:rFonts w:ascii="宋体"/>
      <w:sz w:val="21"/>
    </w:rPr>
  </w:style>
  <w:style w:type="paragraph" w:customStyle="1" w:styleId="afffffffffffffffffffffffffffffffffffffffffc">
    <w:name w:val="图形中文字"/>
    <w:basedOn w:val="a6"/>
    <w:qFormat/>
    <w:pPr>
      <w:autoSpaceDE w:val="0"/>
      <w:autoSpaceDN w:val="0"/>
      <w:adjustRightInd w:val="0"/>
      <w:spacing w:line="460" w:lineRule="exact"/>
      <w:jc w:val="center"/>
    </w:pPr>
    <w:rPr>
      <w:rFonts w:ascii="宋体" w:hAnsi="Tms Rmn"/>
      <w:kern w:val="0"/>
      <w:sz w:val="24"/>
      <w:szCs w:val="20"/>
    </w:rPr>
  </w:style>
  <w:style w:type="paragraph" w:customStyle="1" w:styleId="afffffffffffffffffffffffffffffffffffffffffd">
    <w:name w:val="页眉，无横线"/>
    <w:basedOn w:val="aff2"/>
    <w:qFormat/>
    <w:pPr>
      <w:pBdr>
        <w:bottom w:val="none" w:sz="0" w:space="0" w:color="auto"/>
      </w:pBdr>
      <w:tabs>
        <w:tab w:val="clear" w:pos="4680"/>
        <w:tab w:val="clear" w:pos="9360"/>
        <w:tab w:val="center" w:pos="4153"/>
        <w:tab w:val="right" w:pos="8306"/>
      </w:tabs>
      <w:adjustRightInd w:val="0"/>
      <w:snapToGrid w:val="0"/>
      <w:ind w:firstLine="567"/>
      <w:jc w:val="both"/>
    </w:pPr>
    <w:rPr>
      <w:rFonts w:ascii="宋体" w:hAnsi="Times New Roman"/>
      <w:kern w:val="2"/>
      <w:sz w:val="18"/>
      <w:szCs w:val="20"/>
    </w:rPr>
  </w:style>
  <w:style w:type="paragraph" w:customStyle="1" w:styleId="1fffffff9">
    <w:name w:val="样式 标题 1 + 宋体"/>
    <w:basedOn w:val="12"/>
    <w:qFormat/>
    <w:pPr>
      <w:spacing w:before="0" w:afterLines="50" w:after="0" w:line="420" w:lineRule="auto"/>
    </w:pPr>
    <w:rPr>
      <w:rFonts w:ascii="宋体" w:hAnsi="宋体"/>
      <w:sz w:val="32"/>
    </w:rPr>
  </w:style>
  <w:style w:type="paragraph" w:customStyle="1" w:styleId="21121122Char1sect12H2H21R2h2Leve">
    <w:name w:val="样式 标题 21.1标题 21.1标题2标题 2 Char1节sect 1.2H2H21R2h2Leve..."/>
    <w:basedOn w:val="22"/>
    <w:qFormat/>
    <w:pPr>
      <w:widowControl/>
      <w:tabs>
        <w:tab w:val="left" w:pos="567"/>
        <w:tab w:val="left" w:pos="998"/>
      </w:tabs>
      <w:spacing w:line="336" w:lineRule="auto"/>
      <w:ind w:left="567" w:hanging="567"/>
    </w:pPr>
    <w:rPr>
      <w:rFonts w:cs="宋体"/>
      <w:b/>
      <w:bCs w:val="0"/>
      <w:spacing w:val="0"/>
      <w:w w:val="100"/>
      <w:kern w:val="2"/>
      <w:szCs w:val="20"/>
    </w:rPr>
  </w:style>
  <w:style w:type="paragraph" w:customStyle="1" w:styleId="33Char">
    <w:name w:val="样式 标题 3标题 3 Char + 海绿"/>
    <w:basedOn w:val="33"/>
    <w:qFormat/>
    <w:pPr>
      <w:keepLines w:val="0"/>
      <w:tabs>
        <w:tab w:val="left" w:pos="720"/>
        <w:tab w:val="left" w:pos="840"/>
        <w:tab w:val="left" w:pos="1200"/>
      </w:tabs>
      <w:autoSpaceDE w:val="0"/>
      <w:autoSpaceDN w:val="0"/>
      <w:adjustRightInd w:val="0"/>
      <w:snapToGrid w:val="0"/>
      <w:spacing w:line="360" w:lineRule="auto"/>
      <w:ind w:leftChars="400" w:left="409" w:hangingChars="200" w:hanging="409"/>
    </w:pPr>
    <w:rPr>
      <w:rFonts w:eastAsia="宋体"/>
      <w:bCs/>
      <w:color w:val="000000"/>
      <w:spacing w:val="0"/>
      <w:szCs w:val="28"/>
    </w:rPr>
  </w:style>
  <w:style w:type="paragraph" w:customStyle="1" w:styleId="afffffffffffffffffffffffffffffffffffffffffe">
    <w:name w:val="编制日期"/>
    <w:basedOn w:val="a6"/>
    <w:qFormat/>
    <w:pPr>
      <w:keepNext/>
      <w:widowControl/>
      <w:snapToGrid w:val="0"/>
      <w:spacing w:line="300" w:lineRule="auto"/>
      <w:jc w:val="center"/>
    </w:pPr>
    <w:rPr>
      <w:rFonts w:ascii="宋体" w:cs="宋体"/>
      <w:kern w:val="0"/>
      <w:sz w:val="32"/>
      <w:szCs w:val="20"/>
    </w:rPr>
  </w:style>
  <w:style w:type="paragraph" w:customStyle="1" w:styleId="affffffffffffffffffffffffffffffffffffffffff">
    <w:name w:val="前言目次"/>
    <w:basedOn w:val="affffffffffffffffffffffffd"/>
    <w:qFormat/>
    <w:pPr>
      <w:keepNext/>
      <w:widowControl w:val="0"/>
      <w:snapToGrid w:val="0"/>
      <w:spacing w:beforeLines="50" w:afterLines="0" w:line="300" w:lineRule="auto"/>
      <w:ind w:firstLine="0"/>
      <w:jc w:val="left"/>
    </w:pPr>
    <w:rPr>
      <w:rFonts w:ascii="宋体" w:eastAsia="宋体"/>
      <w:b/>
      <w:kern w:val="2"/>
      <w:sz w:val="28"/>
    </w:rPr>
  </w:style>
  <w:style w:type="paragraph" w:customStyle="1" w:styleId="Normal2">
    <w:name w:val="Normal2"/>
    <w:qFormat/>
    <w:pPr>
      <w:widowControl w:val="0"/>
      <w:adjustRightInd w:val="0"/>
      <w:spacing w:line="360" w:lineRule="atLeast"/>
    </w:pPr>
    <w:rPr>
      <w:rFonts w:ascii="宋体" w:hint="eastAsia"/>
      <w:sz w:val="34"/>
    </w:rPr>
  </w:style>
  <w:style w:type="paragraph" w:customStyle="1" w:styleId="1052">
    <w:name w:val="样式 标题 1 + 段后: 0.5 行"/>
    <w:basedOn w:val="12"/>
    <w:qFormat/>
    <w:pPr>
      <w:tabs>
        <w:tab w:val="left" w:pos="432"/>
      </w:tabs>
      <w:spacing w:before="0" w:afterLines="50" w:after="0" w:line="240" w:lineRule="auto"/>
      <w:ind w:left="431" w:hanging="431"/>
    </w:pPr>
    <w:rPr>
      <w:rFonts w:ascii="黑体" w:cs="宋体"/>
      <w:b w:val="0"/>
      <w:bCs w:val="0"/>
      <w:sz w:val="28"/>
      <w:szCs w:val="20"/>
    </w:rPr>
  </w:style>
  <w:style w:type="paragraph" w:customStyle="1" w:styleId="xl1045">
    <w:name w:val="xl1045"/>
    <w:basedOn w:val="a6"/>
    <w:qFormat/>
    <w:pPr>
      <w:widowControl/>
      <w:pBdr>
        <w:top w:val="single" w:sz="4" w:space="0" w:color="auto"/>
        <w:left w:val="single" w:sz="4" w:space="0" w:color="auto"/>
        <w:bottom w:val="single" w:sz="4" w:space="0" w:color="auto"/>
      </w:pBdr>
      <w:shd w:val="clear" w:color="000000" w:fill="0070C0"/>
      <w:spacing w:before="100" w:beforeAutospacing="1" w:after="100" w:afterAutospacing="1"/>
      <w:jc w:val="center"/>
    </w:pPr>
    <w:rPr>
      <w:rFonts w:ascii="Arial" w:hAnsi="Arial" w:cs="Arial"/>
      <w:kern w:val="0"/>
      <w:sz w:val="18"/>
      <w:szCs w:val="18"/>
    </w:rPr>
  </w:style>
  <w:style w:type="paragraph" w:customStyle="1" w:styleId="2123">
    <w:name w:val="样式 样式 表格文字 + 首行缩进:  2 字符1 + 首行缩进:  2 字符"/>
    <w:basedOn w:val="a6"/>
    <w:qFormat/>
    <w:pPr>
      <w:widowControl/>
      <w:spacing w:line="0" w:lineRule="atLeast"/>
      <w:jc w:val="center"/>
    </w:pPr>
    <w:rPr>
      <w:rFonts w:ascii="宋体" w:cs="宋体"/>
      <w:kern w:val="0"/>
      <w:sz w:val="28"/>
      <w:szCs w:val="20"/>
    </w:rPr>
  </w:style>
  <w:style w:type="paragraph" w:customStyle="1" w:styleId="09">
    <w:name w:val="样式 正文首行缩进 + 居中 首行缩进:  0 厘米"/>
    <w:basedOn w:val="affc"/>
    <w:qFormat/>
    <w:pPr>
      <w:tabs>
        <w:tab w:val="left" w:pos="628"/>
        <w:tab w:val="left" w:pos="1727"/>
        <w:tab w:val="left" w:pos="1884"/>
      </w:tabs>
      <w:spacing w:line="300" w:lineRule="auto"/>
      <w:ind w:firstLine="0"/>
      <w:jc w:val="center"/>
      <w:outlineLvl w:val="0"/>
    </w:pPr>
    <w:rPr>
      <w:rFonts w:cs="宋体"/>
      <w:bCs w:val="0"/>
      <w:spacing w:val="0"/>
      <w:kern w:val="2"/>
      <w:sz w:val="21"/>
      <w:szCs w:val="21"/>
    </w:rPr>
  </w:style>
  <w:style w:type="paragraph" w:customStyle="1" w:styleId="BodyTextIndent22">
    <w:name w:val="Body Text Indent 22"/>
    <w:basedOn w:val="a6"/>
    <w:qFormat/>
    <w:pPr>
      <w:adjustRightInd w:val="0"/>
      <w:ind w:firstLine="425"/>
      <w:jc w:val="left"/>
    </w:pPr>
    <w:rPr>
      <w:sz w:val="24"/>
      <w:szCs w:val="20"/>
    </w:rPr>
  </w:style>
  <w:style w:type="paragraph" w:customStyle="1" w:styleId="01111">
    <w:name w:val="样式 五号 首行缩进:  0 厘米 段前: 11 磅 段后: 11 磅"/>
    <w:basedOn w:val="a6"/>
    <w:qFormat/>
    <w:pPr>
      <w:widowControl/>
      <w:tabs>
        <w:tab w:val="left" w:pos="1727"/>
        <w:tab w:val="left" w:pos="1884"/>
      </w:tabs>
      <w:spacing w:before="220" w:after="220" w:line="300" w:lineRule="auto"/>
      <w:jc w:val="left"/>
      <w:outlineLvl w:val="0"/>
    </w:pPr>
    <w:rPr>
      <w:rFonts w:ascii="宋体" w:cs="宋体"/>
      <w:kern w:val="0"/>
      <w:sz w:val="24"/>
      <w:szCs w:val="21"/>
    </w:rPr>
  </w:style>
  <w:style w:type="paragraph" w:customStyle="1" w:styleId="xl1000">
    <w:name w:val="xl1000"/>
    <w:basedOn w:val="a6"/>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1120">
    <w:name w:val="样式 宋体 11 磅 黑色 居中 行距: 最小值 2 磅"/>
    <w:basedOn w:val="a6"/>
    <w:qFormat/>
    <w:pPr>
      <w:widowControl/>
      <w:tabs>
        <w:tab w:val="left" w:pos="1727"/>
        <w:tab w:val="left" w:pos="1884"/>
      </w:tabs>
      <w:adjustRightInd w:val="0"/>
      <w:snapToGrid w:val="0"/>
      <w:spacing w:line="40" w:lineRule="atLeast"/>
      <w:ind w:firstLineChars="200" w:firstLine="560"/>
      <w:jc w:val="center"/>
    </w:pPr>
    <w:rPr>
      <w:rFonts w:ascii="宋体" w:hAnsi="宋体" w:cs="宋体"/>
      <w:color w:val="000000"/>
      <w:kern w:val="0"/>
      <w:sz w:val="22"/>
      <w:szCs w:val="20"/>
    </w:rPr>
  </w:style>
  <w:style w:type="paragraph" w:customStyle="1" w:styleId="4ff7">
    <w:name w:val="标题4，四级标题"/>
    <w:basedOn w:val="a6"/>
    <w:next w:val="a6"/>
    <w:semiHidden/>
    <w:qFormat/>
    <w:pPr>
      <w:widowControl/>
      <w:adjustRightInd w:val="0"/>
      <w:snapToGrid w:val="0"/>
      <w:spacing w:line="300" w:lineRule="auto"/>
      <w:ind w:firstLineChars="200" w:firstLine="560"/>
      <w:jc w:val="left"/>
      <w:outlineLvl w:val="3"/>
    </w:pPr>
    <w:rPr>
      <w:rFonts w:cs="宋体"/>
      <w:kern w:val="0"/>
      <w:sz w:val="28"/>
    </w:rPr>
  </w:style>
  <w:style w:type="paragraph" w:customStyle="1" w:styleId="affffffffffffffffffffffffffffffffffffffffff0">
    <w:name w:val="三级四级标题"/>
    <w:basedOn w:val="41"/>
    <w:semiHidden/>
    <w:qFormat/>
    <w:pPr>
      <w:keepNext w:val="0"/>
      <w:tabs>
        <w:tab w:val="left" w:pos="-280"/>
      </w:tabs>
      <w:spacing w:beforeLines="0" w:before="0" w:line="300" w:lineRule="auto"/>
      <w:jc w:val="left"/>
    </w:pPr>
    <w:rPr>
      <w:rFonts w:ascii="Times New Roman" w:eastAsia="宋体" w:hAnsi="Times New Roman"/>
      <w:bCs w:val="0"/>
      <w:sz w:val="24"/>
      <w:szCs w:val="28"/>
    </w:rPr>
  </w:style>
  <w:style w:type="paragraph" w:customStyle="1" w:styleId="09921">
    <w:name w:val="样式 左侧:  0.99 厘米 首行缩进:  2 字符1"/>
    <w:basedOn w:val="a6"/>
    <w:next w:val="a6"/>
    <w:semiHidden/>
    <w:qFormat/>
    <w:pPr>
      <w:widowControl/>
      <w:adjustRightInd w:val="0"/>
      <w:snapToGrid w:val="0"/>
      <w:spacing w:line="300" w:lineRule="auto"/>
      <w:ind w:firstLineChars="200" w:firstLine="560"/>
      <w:jc w:val="left"/>
    </w:pPr>
    <w:rPr>
      <w:rFonts w:cs="宋体"/>
      <w:kern w:val="0"/>
      <w:sz w:val="28"/>
      <w:szCs w:val="20"/>
    </w:rPr>
  </w:style>
  <w:style w:type="paragraph" w:customStyle="1" w:styleId="xl248">
    <w:name w:val="xl248"/>
    <w:basedOn w:val="a6"/>
    <w:qFormat/>
    <w:pPr>
      <w:widowControl/>
      <w:pBdr>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234">
    <w:name w:val="xl234"/>
    <w:basedOn w:val="a6"/>
    <w:qFormat/>
    <w:pPr>
      <w:widowControl/>
      <w:pBdr>
        <w:top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5ffb">
    <w:name w:val="标题5  国寰公司"/>
    <w:basedOn w:val="5-"/>
    <w:qFormat/>
  </w:style>
  <w:style w:type="paragraph" w:customStyle="1" w:styleId="TimesNewRoman3">
    <w:name w:val="样式 题注 + (西文) Times New Roman (中文) 宋体 小四 加粗 黑色 居中 段前: 3 磅 ..."/>
    <w:basedOn w:val="af1"/>
    <w:qFormat/>
    <w:pPr>
      <w:widowControl w:val="0"/>
      <w:adjustRightInd w:val="0"/>
      <w:spacing w:afterLines="100" w:line="360" w:lineRule="auto"/>
      <w:ind w:firstLineChars="0" w:firstLine="0"/>
      <w:jc w:val="center"/>
      <w:textAlignment w:val="baseline"/>
    </w:pPr>
    <w:rPr>
      <w:rFonts w:cs="宋体"/>
      <w:bCs/>
      <w:color w:val="000000"/>
      <w:kern w:val="0"/>
      <w:szCs w:val="20"/>
    </w:rPr>
  </w:style>
  <w:style w:type="paragraph" w:customStyle="1" w:styleId="dxj1">
    <w:name w:val="dxj表内容"/>
    <w:basedOn w:val="a6"/>
    <w:next w:val="a6"/>
    <w:qFormat/>
    <w:pPr>
      <w:spacing w:line="280" w:lineRule="exact"/>
      <w:jc w:val="center"/>
    </w:pPr>
    <w:rPr>
      <w:sz w:val="18"/>
      <w:szCs w:val="18"/>
    </w:rPr>
  </w:style>
  <w:style w:type="paragraph" w:customStyle="1" w:styleId="-0061">
    <w:name w:val="样式 表格文字居中 + 右侧:  -0.06 字符1"/>
    <w:basedOn w:val="affff5"/>
    <w:qFormat/>
    <w:pPr>
      <w:keepNext/>
      <w:snapToGrid/>
      <w:ind w:leftChars="0" w:left="0" w:rightChars="0" w:right="-17"/>
    </w:pPr>
    <w:rPr>
      <w:rFonts w:ascii="宋体" w:eastAsia="宋体" w:hAnsi="宋体" w:cs="宋体"/>
      <w:color w:val="000000"/>
      <w:spacing w:val="-20"/>
      <w:szCs w:val="20"/>
    </w:rPr>
  </w:style>
  <w:style w:type="paragraph" w:customStyle="1" w:styleId="CharCharCharCharCharCharCharCharCharCharCharCharCharCharCharCharCharCharCharCharCharCharCharChar4">
    <w:name w:val="Char Char Char Char Char Char Char Char Char Char Char Char Char Char Char Char Char Char Char Char Char Char Char Char4"/>
    <w:basedOn w:val="a6"/>
    <w:qFormat/>
    <w:pPr>
      <w:widowControl/>
      <w:spacing w:line="360" w:lineRule="auto"/>
      <w:jc w:val="left"/>
    </w:pPr>
    <w:rPr>
      <w:szCs w:val="21"/>
    </w:rPr>
  </w:style>
  <w:style w:type="paragraph" w:customStyle="1" w:styleId="xl1019">
    <w:name w:val="xl1019"/>
    <w:basedOn w:val="a6"/>
    <w:qFormat/>
    <w:pPr>
      <w:widowControl/>
      <w:pBdr>
        <w:top w:val="single" w:sz="4" w:space="0" w:color="auto"/>
        <w:left w:val="single" w:sz="4" w:space="0" w:color="auto"/>
        <w:right w:val="single" w:sz="4" w:space="0" w:color="auto"/>
      </w:pBdr>
      <w:shd w:val="clear" w:color="000000" w:fill="00B050"/>
      <w:spacing w:before="100" w:beforeAutospacing="1" w:after="100" w:afterAutospacing="1"/>
      <w:jc w:val="center"/>
    </w:pPr>
    <w:rPr>
      <w:rFonts w:ascii="Arial" w:hAnsi="Arial" w:cs="Arial"/>
      <w:kern w:val="0"/>
      <w:sz w:val="18"/>
      <w:szCs w:val="18"/>
    </w:rPr>
  </w:style>
  <w:style w:type="paragraph" w:customStyle="1" w:styleId="xl989">
    <w:name w:val="xl989"/>
    <w:basedOn w:val="a6"/>
    <w:qFormat/>
    <w:pPr>
      <w:widowControl/>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left"/>
    </w:pPr>
    <w:rPr>
      <w:rFonts w:ascii="宋体" w:hAnsi="宋体" w:cs="宋体"/>
      <w:kern w:val="0"/>
      <w:sz w:val="18"/>
      <w:szCs w:val="18"/>
    </w:rPr>
  </w:style>
  <w:style w:type="paragraph" w:customStyle="1" w:styleId="xl1048">
    <w:name w:val="xl1048"/>
    <w:basedOn w:val="a6"/>
    <w:qFormat/>
    <w:pPr>
      <w:widowControl/>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jc w:val="center"/>
    </w:pPr>
    <w:rPr>
      <w:rFonts w:ascii="Arial" w:hAnsi="Arial" w:cs="Arial"/>
      <w:kern w:val="0"/>
      <w:sz w:val="18"/>
      <w:szCs w:val="18"/>
    </w:rPr>
  </w:style>
  <w:style w:type="paragraph" w:customStyle="1" w:styleId="xl991">
    <w:name w:val="xl991"/>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kern w:val="0"/>
      <w:sz w:val="18"/>
      <w:szCs w:val="18"/>
    </w:rPr>
  </w:style>
  <w:style w:type="paragraph" w:customStyle="1" w:styleId="xl997">
    <w:name w:val="xl997"/>
    <w:basedOn w:val="a6"/>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066">
    <w:name w:val="xl1066"/>
    <w:basedOn w:val="a6"/>
    <w:qFormat/>
    <w:pPr>
      <w:widowControl/>
      <w:pBdr>
        <w:top w:val="single" w:sz="8" w:space="0" w:color="FFFF00"/>
        <w:left w:val="single" w:sz="4" w:space="0" w:color="auto"/>
        <w:bottom w:val="single" w:sz="8" w:space="0" w:color="FFFF00"/>
        <w:right w:val="single" w:sz="8" w:space="0" w:color="FFFF00"/>
      </w:pBdr>
      <w:shd w:val="clear" w:color="000000" w:fill="0070C0"/>
      <w:spacing w:before="100" w:beforeAutospacing="1" w:after="100" w:afterAutospacing="1"/>
      <w:jc w:val="center"/>
    </w:pPr>
    <w:rPr>
      <w:rFonts w:ascii="Arial" w:hAnsi="Arial" w:cs="Arial"/>
      <w:kern w:val="0"/>
      <w:sz w:val="18"/>
      <w:szCs w:val="18"/>
    </w:rPr>
  </w:style>
  <w:style w:type="paragraph" w:customStyle="1" w:styleId="xl938">
    <w:name w:val="xl93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kern w:val="0"/>
      <w:sz w:val="18"/>
      <w:szCs w:val="18"/>
    </w:rPr>
  </w:style>
  <w:style w:type="paragraph" w:customStyle="1" w:styleId="xl956">
    <w:name w:val="xl95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954">
    <w:name w:val="xl95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971">
    <w:name w:val="xl971"/>
    <w:basedOn w:val="a6"/>
    <w:qFormat/>
    <w:pPr>
      <w:widowControl/>
      <w:spacing w:before="100" w:beforeAutospacing="1" w:after="100" w:afterAutospacing="1"/>
      <w:jc w:val="left"/>
      <w:textAlignment w:val="bottom"/>
    </w:pPr>
    <w:rPr>
      <w:kern w:val="0"/>
      <w:sz w:val="24"/>
    </w:rPr>
  </w:style>
  <w:style w:type="paragraph" w:customStyle="1" w:styleId="xl959">
    <w:name w:val="xl959"/>
    <w:basedOn w:val="a6"/>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963">
    <w:name w:val="xl963"/>
    <w:basedOn w:val="a6"/>
    <w:qFormat/>
    <w:pPr>
      <w:widowControl/>
      <w:shd w:val="clear" w:color="000000" w:fill="FFFF00"/>
      <w:spacing w:before="100" w:beforeAutospacing="1" w:after="100" w:afterAutospacing="1"/>
      <w:jc w:val="left"/>
    </w:pPr>
    <w:rPr>
      <w:rFonts w:ascii="宋体" w:hAnsi="宋体" w:cs="宋体"/>
      <w:kern w:val="0"/>
      <w:sz w:val="18"/>
      <w:szCs w:val="18"/>
    </w:rPr>
  </w:style>
  <w:style w:type="paragraph" w:customStyle="1" w:styleId="xl967">
    <w:name w:val="xl96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18"/>
      <w:szCs w:val="18"/>
    </w:rPr>
  </w:style>
  <w:style w:type="paragraph" w:customStyle="1" w:styleId="xl992">
    <w:name w:val="xl99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948">
    <w:name w:val="xl94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kern w:val="0"/>
      <w:sz w:val="18"/>
      <w:szCs w:val="18"/>
    </w:rPr>
  </w:style>
  <w:style w:type="paragraph" w:customStyle="1" w:styleId="affffffffffffffffffffffffffffffffffffffffff1">
    <w:name w:val="靳佩"/>
    <w:basedOn w:val="a6"/>
    <w:next w:val="a6"/>
    <w:qFormat/>
    <w:pPr>
      <w:spacing w:line="300" w:lineRule="auto"/>
      <w:ind w:firstLineChars="200" w:firstLine="200"/>
    </w:pPr>
    <w:rPr>
      <w:sz w:val="24"/>
      <w:szCs w:val="20"/>
    </w:rPr>
  </w:style>
  <w:style w:type="table" w:customStyle="1" w:styleId="97">
    <w:name w:val="网格型9"/>
    <w:basedOn w:val="a8"/>
    <w:semiHidden/>
    <w:qFormat/>
    <w:pPr>
      <w:widowControl w:val="0"/>
      <w:spacing w:line="360" w:lineRule="auto"/>
      <w:ind w:firstLineChars="200" w:firstLine="20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s2">
    <w:name w:val="表格样式-ls2"/>
    <w:basedOn w:val="a8"/>
    <w:qFormat/>
    <w:pPr>
      <w:widowControl w:val="0"/>
      <w:adjustRightInd w:val="0"/>
      <w:spacing w:line="360" w:lineRule="exact"/>
      <w:jc w:val="center"/>
      <w:textAlignment w:val="center"/>
    </w:pPr>
    <w:rPr>
      <w:sz w:val="21"/>
      <w:szCs w:val="21"/>
    </w:rPr>
    <w:tblPr>
      <w:jc w:val="center"/>
      <w:tblInd w:w="0"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top w:w="0" w:type="dxa"/>
        <w:left w:w="108" w:type="dxa"/>
        <w:bottom w:w="0" w:type="dxa"/>
        <w:right w:w="108" w:type="dxa"/>
      </w:tblCellMar>
    </w:tblPr>
    <w:trPr>
      <w:jc w:val="center"/>
    </w:trPr>
    <w:tcPr>
      <w:shd w:val="clear" w:color="auto" w:fill="auto"/>
      <w:vAlign w:val="center"/>
    </w:tcPr>
    <w:tblStylePr w:type="firstRow">
      <w:pPr>
        <w:jc w:val="center"/>
      </w:pPr>
      <w:rPr>
        <w:b w:val="0"/>
        <w:bCs/>
        <w:color w:val="auto"/>
        <w:sz w:val="21"/>
      </w:rPr>
      <w:tblPr/>
      <w:tcPr>
        <w:shd w:val="pct20" w:color="000000" w:fill="FFFFFF"/>
      </w:tcPr>
    </w:tblStylePr>
  </w:style>
  <w:style w:type="table" w:customStyle="1" w:styleId="12f">
    <w:name w:val="网格型12"/>
    <w:basedOn w:val="a8"/>
    <w:qFormat/>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fff0">
    <w:name w:val="网格型3"/>
    <w:basedOn w:val="a8"/>
    <w:qFormat/>
    <w:pPr>
      <w:widowControl w:val="0"/>
      <w:snapToGrid w:val="0"/>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
    <w:name w:val="网格型13"/>
    <w:basedOn w:val="a8"/>
    <w:qFormat/>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s0">
    <w:name w:val="表格样式-ls"/>
    <w:basedOn w:val="a8"/>
    <w:qFormat/>
    <w:pPr>
      <w:widowControl w:val="0"/>
      <w:adjustRightInd w:val="0"/>
      <w:spacing w:line="360" w:lineRule="exact"/>
      <w:jc w:val="center"/>
      <w:textAlignment w:val="center"/>
    </w:pPr>
    <w:rPr>
      <w:sz w:val="21"/>
      <w:szCs w:val="21"/>
    </w:rPr>
    <w:tblPr>
      <w:jc w:val="center"/>
      <w:tblInd w:w="0"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top w:w="0" w:type="dxa"/>
        <w:left w:w="108" w:type="dxa"/>
        <w:bottom w:w="0" w:type="dxa"/>
        <w:right w:w="108" w:type="dxa"/>
      </w:tblCellMar>
    </w:tblPr>
    <w:trPr>
      <w:jc w:val="center"/>
    </w:trPr>
    <w:tcPr>
      <w:shd w:val="clear" w:color="auto" w:fill="auto"/>
      <w:vAlign w:val="center"/>
    </w:tcPr>
    <w:tblStylePr w:type="firstRow">
      <w:pPr>
        <w:jc w:val="center"/>
      </w:pPr>
      <w:rPr>
        <w:b w:val="0"/>
        <w:bCs/>
        <w:color w:val="auto"/>
        <w:sz w:val="21"/>
      </w:rPr>
      <w:tblPr/>
      <w:tcPr>
        <w:shd w:val="pct20" w:color="000000" w:fill="FFFFFF"/>
      </w:tcPr>
    </w:tblStylePr>
  </w:style>
  <w:style w:type="table" w:customStyle="1" w:styleId="1210">
    <w:name w:val="表格样式121"/>
    <w:basedOn w:val="afff0"/>
    <w:qFormat/>
    <w:pPr>
      <w:adjustRightInd w:val="0"/>
      <w:spacing w:line="360" w:lineRule="exact"/>
      <w:jc w:val="center"/>
      <w:textAlignment w:val="center"/>
    </w:pPr>
    <w:rPr>
      <w:szCs w:val="21"/>
    </w:rPr>
    <w:tblP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jc w:val="center"/>
      </w:pPr>
      <w:rPr>
        <w:b w:val="0"/>
        <w:bCs/>
        <w:color w:val="auto"/>
        <w:sz w:val="21"/>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2fffffff4">
    <w:name w:val="表格样式2"/>
    <w:basedOn w:val="a8"/>
    <w:qFormat/>
    <w:pPr>
      <w:jc w:val="center"/>
    </w:pPr>
    <w:rPr>
      <w:sz w:val="21"/>
    </w:rPr>
    <w:tblPr>
      <w:jc w:val="center"/>
      <w:tblInd w:w="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0" w:type="dxa"/>
        <w:left w:w="108" w:type="dxa"/>
        <w:bottom w:w="0" w:type="dxa"/>
        <w:right w:w="108" w:type="dxa"/>
      </w:tblCellMar>
    </w:tblPr>
    <w:trPr>
      <w:jc w:val="center"/>
    </w:trPr>
  </w:style>
  <w:style w:type="table" w:customStyle="1" w:styleId="79">
    <w:name w:val="网格型7"/>
    <w:basedOn w:val="a8"/>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f8">
    <w:name w:val="网格型4"/>
    <w:basedOn w:val="a8"/>
    <w:qFormat/>
    <w:pPr>
      <w:widowControl w:val="0"/>
      <w:snapToGrid w:val="0"/>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
    <w:name w:val="网格型8"/>
    <w:basedOn w:val="a8"/>
    <w:qFormat/>
    <w:pPr>
      <w:widowControl w:val="0"/>
      <w:snapToGrid w:val="0"/>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fffa">
    <w:name w:val="普通表格1"/>
    <w:semiHidden/>
    <w:qFormat/>
    <w:rPr>
      <w:rFonts w:eastAsia="Times New Roman"/>
    </w:rPr>
    <w:tblPr>
      <w:tblCellMar>
        <w:top w:w="0" w:type="dxa"/>
        <w:left w:w="108" w:type="dxa"/>
        <w:bottom w:w="0" w:type="dxa"/>
        <w:right w:w="108" w:type="dxa"/>
      </w:tblCellMar>
    </w:tblPr>
  </w:style>
  <w:style w:type="table" w:customStyle="1" w:styleId="affffffffffffffffffffffffffffffffffffffffff2">
    <w:name w:val="自定义"/>
    <w:basedOn w:val="afff"/>
    <w:qFormat/>
    <w:pPr>
      <w:spacing w:line="240" w:lineRule="auto"/>
      <w:ind w:firstLineChars="0" w:firstLine="0"/>
      <w:jc w:val="center"/>
    </w:pPr>
    <w:rPr>
      <w:sz w:val="21"/>
    </w:rPr>
    <w:tblPr>
      <w:tblInd w:w="0" w:type="dxa"/>
      <w:tblBorders>
        <w:top w:val="thinThickSmallGap" w:sz="12" w:space="0" w:color="auto"/>
        <w:left w:val="thinThickSmallGap" w:sz="12" w:space="0" w:color="auto"/>
        <w:bottom w:val="thickThinSmallGap" w:sz="12" w:space="0" w:color="auto"/>
        <w:right w:val="thickThinSmallGap" w:sz="12" w:space="0" w:color="auto"/>
      </w:tblBorders>
      <w:tblCellMar>
        <w:top w:w="0" w:type="dxa"/>
        <w:left w:w="0" w:type="dxa"/>
        <w:bottom w:w="0" w:type="dxa"/>
        <w:right w:w="0" w:type="dxa"/>
      </w:tblCellMar>
    </w:tblPr>
    <w:tcPr>
      <w:shd w:val="clear" w:color="auto" w:fill="auto"/>
      <w:vAlign w:val="center"/>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6f">
    <w:name w:val="网格型6"/>
    <w:basedOn w:val="a8"/>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d">
    <w:name w:val="自定义11"/>
    <w:basedOn w:val="58"/>
    <w:qFormat/>
    <w:pPr>
      <w:jc w:val="center"/>
    </w:pPr>
    <w:rPr>
      <w:sz w:val="21"/>
      <w:szCs w:val="21"/>
    </w:rPr>
    <w:tblPr>
      <w:tblInd w:w="0" w:type="dxa"/>
      <w:tblBorders>
        <w:top w:val="thinThickSmallGap" w:sz="12" w:space="0" w:color="auto"/>
        <w:left w:val="thinThickSmallGap" w:sz="12" w:space="0" w:color="auto"/>
        <w:bottom w:val="thickThinSmallGap" w:sz="12" w:space="0" w:color="auto"/>
        <w:right w:val="thickThinSmallGap" w:sz="12" w:space="0" w:color="auto"/>
      </w:tblBorders>
      <w:tblCellMar>
        <w:top w:w="0" w:type="dxa"/>
        <w:left w:w="0" w:type="dxa"/>
        <w:bottom w:w="0" w:type="dxa"/>
        <w:right w:w="0" w:type="dxa"/>
      </w:tblCellMar>
    </w:tblPr>
    <w:tcPr>
      <w:shd w:val="clear" w:color="auto" w:fill="auto"/>
      <w:vAlign w:val="center"/>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affffffffffffffffffffffffffffffffffffffffff3">
    <w:name w:val="张涛"/>
    <w:basedOn w:val="affe"/>
    <w:qFormat/>
    <w:pPr>
      <w:spacing w:line="240" w:lineRule="auto"/>
      <w:ind w:firstLineChars="0" w:firstLine="0"/>
    </w:pPr>
    <w:rPr>
      <w:rFonts w:ascii="宋体"/>
      <w:sz w:val="21"/>
    </w:rPr>
    <w:tblPr>
      <w:tblInd w:w="0" w:type="dxa"/>
      <w:tblBorders>
        <w:top w:val="single" w:sz="12" w:space="0" w:color="008080"/>
        <w:left w:val="single" w:sz="12" w:space="0" w:color="008080"/>
        <w:bottom w:val="single" w:sz="12" w:space="0" w:color="008080"/>
        <w:right w:val="single" w:sz="12" w:space="0" w:color="008080"/>
        <w:insideH w:val="single" w:sz="6" w:space="0" w:color="008080"/>
        <w:insideV w:val="single" w:sz="6" w:space="0" w:color="008080"/>
      </w:tblBorders>
      <w:tblCellMar>
        <w:top w:w="0" w:type="dxa"/>
        <w:left w:w="108" w:type="dxa"/>
        <w:bottom w:w="0" w:type="dxa"/>
        <w:right w:w="108" w:type="dxa"/>
      </w:tblCellMar>
    </w:tblPr>
    <w:tcPr>
      <w:shd w:val="clear" w:color="auto" w:fill="auto"/>
    </w:tcPr>
  </w:style>
  <w:style w:type="table" w:customStyle="1" w:styleId="5ffc">
    <w:name w:val="网格型5"/>
    <w:basedOn w:val="a8"/>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zxz">
    <w:name w:val="zxz"/>
    <w:basedOn w:val="a8"/>
    <w:semiHidden/>
    <w:qFormat/>
    <w:pPr>
      <w:jc w:val="center"/>
    </w:pPr>
    <w:rPr>
      <w:sz w:val="18"/>
    </w:rPr>
    <w:tblPr>
      <w:tblInd w:w="0" w:type="dxa"/>
      <w:tblBorders>
        <w:top w:val="single" w:sz="4" w:space="0" w:color="auto"/>
        <w:bottom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137">
    <w:name w:val="表格样式13"/>
    <w:basedOn w:val="afff0"/>
    <w:qFormat/>
    <w:pPr>
      <w:adjustRightInd w:val="0"/>
      <w:spacing w:line="360" w:lineRule="exact"/>
      <w:jc w:val="center"/>
      <w:textAlignment w:val="center"/>
    </w:pPr>
    <w:rPr>
      <w:rFonts w:ascii="宋体"/>
      <w:sz w:val="21"/>
      <w:szCs w:val="21"/>
    </w:rPr>
    <w:tblP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left w:w="0" w:type="dxa"/>
        <w:bottom w:w="0" w:type="dxa"/>
        <w:right w:w="0" w:type="dxa"/>
      </w:tblCellMar>
    </w:tblPr>
    <w:tcPr>
      <w:shd w:val="clear" w:color="auto" w:fill="auto"/>
      <w:vAlign w:val="center"/>
    </w:tcPr>
    <w:tblStylePr w:type="firstRow">
      <w:pPr>
        <w:jc w:val="center"/>
      </w:pPr>
      <w:rPr>
        <w:rFonts w:eastAsia="ˎ̥"/>
        <w:b w:val="0"/>
        <w:bCs/>
        <w:color w:val="auto"/>
        <w:sz w:val="21"/>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21f6">
    <w:name w:val="网格型21"/>
    <w:basedOn w:val="a8"/>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
    <w:name w:val="网格型10"/>
    <w:basedOn w:val="a8"/>
    <w:semiHidden/>
    <w:qFormat/>
    <w:pPr>
      <w:widowControl w:val="0"/>
      <w:spacing w:line="360" w:lineRule="auto"/>
      <w:ind w:firstLineChars="200" w:firstLine="20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fffb">
    <w:name w:val="网格型!1"/>
    <w:basedOn w:val="a8"/>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jw">
    <w:name w:val="ljw"/>
    <w:basedOn w:val="affe"/>
    <w:semiHidden/>
    <w:qFormat/>
    <w:pPr>
      <w:spacing w:line="440" w:lineRule="exact"/>
    </w:pPr>
    <w:rPr>
      <w:snapToGrid w:val="0"/>
      <w:sz w:val="18"/>
      <w:szCs w:val="18"/>
    </w:rPr>
    <w:tblPr>
      <w:tblInd w:w="0" w:type="dxa"/>
      <w:tblBorders>
        <w:top w:val="single" w:sz="6" w:space="0" w:color="auto"/>
        <w:bottom w:val="single" w:sz="6" w:space="0" w:color="auto"/>
        <w:insideH w:val="single" w:sz="6" w:space="0" w:color="auto"/>
        <w:insideV w:val="single" w:sz="6" w:space="0" w:color="auto"/>
      </w:tblBorders>
      <w:tblCellMar>
        <w:top w:w="0" w:type="dxa"/>
        <w:left w:w="108" w:type="dxa"/>
        <w:bottom w:w="0" w:type="dxa"/>
        <w:right w:w="108" w:type="dxa"/>
      </w:tblCellMar>
    </w:tblPr>
  </w:style>
  <w:style w:type="table" w:customStyle="1" w:styleId="affffffffffffffffffffffffffffffffffffffffff4">
    <w:name w:val="涛哥表格样式"/>
    <w:basedOn w:val="affe"/>
    <w:qFormat/>
    <w:pPr>
      <w:spacing w:line="240" w:lineRule="auto"/>
      <w:ind w:firstLineChars="0" w:firstLine="0"/>
      <w:jc w:val="center"/>
    </w:pPr>
    <w:rPr>
      <w:sz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style>
  <w:style w:type="table" w:customStyle="1" w:styleId="2fffffff5">
    <w:name w:val="自定义2"/>
    <w:basedOn w:val="afff"/>
    <w:qFormat/>
    <w:pPr>
      <w:spacing w:line="240" w:lineRule="auto"/>
      <w:ind w:firstLineChars="0" w:firstLine="0"/>
      <w:jc w:val="center"/>
    </w:pPr>
    <w:rPr>
      <w:sz w:val="21"/>
    </w:rPr>
    <w:tblPr>
      <w:tblInd w:w="0" w:type="dxa"/>
      <w:tblBorders>
        <w:top w:val="thinThickSmallGap" w:sz="12" w:space="0" w:color="auto"/>
        <w:left w:val="thinThickSmallGap" w:sz="12" w:space="0" w:color="auto"/>
        <w:bottom w:val="thickThinSmallGap" w:sz="12" w:space="0" w:color="auto"/>
        <w:right w:val="thickThinSmallGap" w:sz="12" w:space="0" w:color="auto"/>
      </w:tblBorders>
      <w:tblCellMar>
        <w:top w:w="0" w:type="dxa"/>
        <w:left w:w="0" w:type="dxa"/>
        <w:bottom w:w="0" w:type="dxa"/>
        <w:right w:w="0" w:type="dxa"/>
      </w:tblCellMar>
    </w:tblPr>
    <w:tcPr>
      <w:shd w:val="clear" w:color="auto" w:fill="auto"/>
      <w:vAlign w:val="center"/>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fffffffc">
    <w:name w:val="自定义1"/>
    <w:basedOn w:val="58"/>
    <w:qFormat/>
    <w:pPr>
      <w:jc w:val="center"/>
    </w:pPr>
    <w:rPr>
      <w:sz w:val="21"/>
      <w:szCs w:val="21"/>
    </w:rPr>
    <w:tblPr>
      <w:tblInd w:w="0" w:type="dxa"/>
      <w:tblBorders>
        <w:top w:val="thinThickSmallGap" w:sz="12" w:space="0" w:color="auto"/>
        <w:left w:val="thinThickSmallGap" w:sz="12" w:space="0" w:color="auto"/>
        <w:bottom w:val="thickThinSmallGap" w:sz="12" w:space="0" w:color="auto"/>
        <w:right w:val="thickThinSmallGap" w:sz="12" w:space="0" w:color="auto"/>
      </w:tblBorders>
      <w:tblCellMar>
        <w:top w:w="0" w:type="dxa"/>
        <w:left w:w="0" w:type="dxa"/>
        <w:bottom w:w="0" w:type="dxa"/>
        <w:right w:w="0" w:type="dxa"/>
      </w:tblCellMar>
    </w:tblPr>
    <w:tcPr>
      <w:shd w:val="clear" w:color="auto" w:fill="auto"/>
      <w:vAlign w:val="center"/>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48">
    <w:name w:val="表格样式14"/>
    <w:basedOn w:val="afff0"/>
    <w:qFormat/>
    <w:pPr>
      <w:adjustRightInd w:val="0"/>
      <w:spacing w:line="360" w:lineRule="exact"/>
      <w:jc w:val="center"/>
      <w:textAlignment w:val="center"/>
    </w:pPr>
    <w:rPr>
      <w:rFonts w:ascii="宋体"/>
      <w:sz w:val="21"/>
      <w:szCs w:val="21"/>
    </w:rPr>
    <w:tblP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left w:w="0" w:type="dxa"/>
        <w:bottom w:w="0" w:type="dxa"/>
        <w:right w:w="0" w:type="dxa"/>
      </w:tblCellMar>
    </w:tblPr>
    <w:tcPr>
      <w:shd w:val="clear" w:color="auto" w:fill="auto"/>
      <w:vAlign w:val="center"/>
    </w:tcPr>
    <w:tblStylePr w:type="firstRow">
      <w:pPr>
        <w:jc w:val="center"/>
      </w:pPr>
      <w:rPr>
        <w:rFonts w:eastAsia="ˎ̥"/>
        <w:b w:val="0"/>
        <w:bCs/>
        <w:color w:val="auto"/>
        <w:sz w:val="21"/>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affffffffffffffffffffffffffffffffffffffffff5">
    <w:name w:val="出报告用"/>
    <w:basedOn w:val="affe"/>
    <w:qFormat/>
    <w:pPr>
      <w:spacing w:line="240" w:lineRule="auto"/>
      <w:ind w:firstLineChars="0" w:firstLine="0"/>
    </w:pPr>
    <w:rPr>
      <w:rFonts w:ascii="宋体"/>
      <w:sz w:val="21"/>
    </w:rPr>
    <w:tblPr>
      <w:jc w:val="center"/>
      <w:tblInd w:w="0" w:type="dxa"/>
      <w:tblBorders>
        <w:top w:val="single" w:sz="12" w:space="0" w:color="008080"/>
        <w:left w:val="single" w:sz="12" w:space="0" w:color="008080"/>
        <w:bottom w:val="single" w:sz="12" w:space="0" w:color="008080"/>
        <w:right w:val="single" w:sz="12" w:space="0" w:color="008080"/>
        <w:insideH w:val="single" w:sz="6" w:space="0" w:color="008080"/>
        <w:insideV w:val="single" w:sz="6" w:space="0" w:color="008080"/>
      </w:tblBorders>
      <w:tblCellMar>
        <w:top w:w="0" w:type="dxa"/>
        <w:left w:w="108" w:type="dxa"/>
        <w:bottom w:w="0" w:type="dxa"/>
        <w:right w:w="108" w:type="dxa"/>
      </w:tblCellMar>
    </w:tblPr>
    <w:trPr>
      <w:jc w:val="center"/>
    </w:trPr>
    <w:tcPr>
      <w:shd w:val="clear" w:color="auto" w:fill="auto"/>
      <w:vAlign w:val="center"/>
    </w:tcPr>
  </w:style>
  <w:style w:type="table" w:customStyle="1" w:styleId="1310">
    <w:name w:val="表格样式131"/>
    <w:basedOn w:val="afff0"/>
    <w:qFormat/>
    <w:pPr>
      <w:adjustRightInd w:val="0"/>
      <w:spacing w:line="360" w:lineRule="exact"/>
      <w:jc w:val="center"/>
      <w:textAlignment w:val="center"/>
    </w:pPr>
    <w:rPr>
      <w:rFonts w:ascii="宋体"/>
      <w:sz w:val="21"/>
      <w:szCs w:val="21"/>
    </w:rPr>
    <w:tblP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left w:w="0" w:type="dxa"/>
        <w:bottom w:w="0" w:type="dxa"/>
        <w:right w:w="0" w:type="dxa"/>
      </w:tblCellMar>
    </w:tblPr>
    <w:tcPr>
      <w:shd w:val="clear" w:color="auto" w:fill="auto"/>
      <w:vAlign w:val="center"/>
    </w:tcPr>
    <w:tblStylePr w:type="firstRow">
      <w:pPr>
        <w:jc w:val="center"/>
      </w:pPr>
      <w:rPr>
        <w:rFonts w:eastAsia="ˎ̥"/>
        <w:b w:val="0"/>
        <w:bCs/>
        <w:color w:val="auto"/>
        <w:sz w:val="21"/>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1117">
    <w:name w:val="自定义111"/>
    <w:basedOn w:val="58"/>
    <w:qFormat/>
    <w:pPr>
      <w:jc w:val="center"/>
    </w:pPr>
    <w:rPr>
      <w:sz w:val="21"/>
      <w:szCs w:val="21"/>
    </w:rPr>
    <w:tblPr>
      <w:tblInd w:w="0" w:type="dxa"/>
      <w:tblBorders>
        <w:top w:val="thinThickSmallGap" w:sz="12" w:space="0" w:color="auto"/>
        <w:left w:val="thinThickSmallGap" w:sz="12" w:space="0" w:color="auto"/>
        <w:bottom w:val="thickThinSmallGap" w:sz="12" w:space="0" w:color="auto"/>
        <w:right w:val="thickThinSmallGap" w:sz="12" w:space="0" w:color="auto"/>
      </w:tblBorders>
      <w:tblCellMar>
        <w:top w:w="0" w:type="dxa"/>
        <w:left w:w="0" w:type="dxa"/>
        <w:bottom w:w="0" w:type="dxa"/>
        <w:right w:w="0" w:type="dxa"/>
      </w:tblCellMar>
    </w:tblPr>
    <w:tcPr>
      <w:shd w:val="clear" w:color="auto" w:fill="auto"/>
      <w:vAlign w:val="center"/>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410">
    <w:name w:val="表格样式141"/>
    <w:basedOn w:val="afff0"/>
    <w:qFormat/>
    <w:pPr>
      <w:adjustRightInd w:val="0"/>
      <w:spacing w:line="360" w:lineRule="exact"/>
      <w:jc w:val="center"/>
      <w:textAlignment w:val="center"/>
    </w:pPr>
    <w:rPr>
      <w:rFonts w:ascii="宋体"/>
      <w:sz w:val="21"/>
      <w:szCs w:val="21"/>
    </w:rPr>
    <w:tblP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left w:w="0" w:type="dxa"/>
        <w:bottom w:w="0" w:type="dxa"/>
        <w:right w:w="0" w:type="dxa"/>
      </w:tblCellMar>
    </w:tblPr>
    <w:tcPr>
      <w:shd w:val="clear" w:color="auto" w:fill="auto"/>
      <w:vAlign w:val="center"/>
    </w:tcPr>
    <w:tblStylePr w:type="firstRow">
      <w:pPr>
        <w:jc w:val="center"/>
      </w:pPr>
      <w:rPr>
        <w:rFonts w:eastAsia="ˎ̥"/>
        <w:b w:val="0"/>
        <w:bCs/>
        <w:color w:val="auto"/>
        <w:sz w:val="21"/>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149">
    <w:name w:val="网格型14"/>
    <w:basedOn w:val="a8"/>
    <w:semiHidden/>
    <w:qFormat/>
    <w:pPr>
      <w:widowControl w:val="0"/>
      <w:spacing w:line="360" w:lineRule="auto"/>
      <w:ind w:firstLineChars="200" w:firstLine="20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
    <w:name w:val="表格-条文表格"/>
    <w:basedOn w:val="affd"/>
    <w:qFormat/>
    <w:tblPr>
      <w:jc w:val="center"/>
      <w:tblInd w:w="0" w:type="dxa"/>
      <w:tblBorders>
        <w:top w:val="single" w:sz="8" w:space="0" w:color="auto"/>
        <w:left w:val="single" w:sz="8" w:space="0" w:color="auto"/>
        <w:bottom w:val="single" w:sz="8" w:space="0" w:color="auto"/>
        <w:right w:val="single" w:sz="8" w:space="0" w:color="auto"/>
      </w:tblBorders>
      <w:tblCellMar>
        <w:top w:w="0" w:type="dxa"/>
        <w:left w:w="85" w:type="dxa"/>
        <w:bottom w:w="0" w:type="dxa"/>
        <w:right w:w="85" w:type="dxa"/>
      </w:tblCellMar>
    </w:tblPr>
    <w:trPr>
      <w:jc w:val="center"/>
    </w:trPr>
    <w:tcPr>
      <w:vAlign w:val="center"/>
    </w:tcPr>
  </w:style>
  <w:style w:type="table" w:customStyle="1" w:styleId="15d">
    <w:name w:val="网格型15"/>
    <w:basedOn w:val="a8"/>
    <w:unhideWhenUsed/>
    <w:qFormat/>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
    <w:name w:val="Table Normal"/>
    <w:uiPriority w:val="2"/>
    <w:unhideWhenUsed/>
    <w:qFormat/>
    <w:pPr>
      <w:widowControl w:val="0"/>
    </w:pPr>
    <w:rPr>
      <w:rFonts w:ascii="Calibri" w:hAnsi="Calibri"/>
      <w:sz w:val="22"/>
      <w:szCs w:val="22"/>
      <w:lang w:eastAsia="en-US"/>
    </w:rPr>
    <w:tblPr>
      <w:tblCellMar>
        <w:top w:w="0" w:type="dxa"/>
        <w:left w:w="0" w:type="dxa"/>
        <w:bottom w:w="0" w:type="dxa"/>
        <w:right w:w="0" w:type="dxa"/>
      </w:tblCellMar>
    </w:tblPr>
  </w:style>
  <w:style w:type="table" w:customStyle="1" w:styleId="1fffffffd">
    <w:name w:val="专业网格1"/>
    <w:basedOn w:val="a8"/>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0">
    <w:name w:val="自定义12"/>
    <w:basedOn w:val="58"/>
    <w:qFormat/>
    <w:pPr>
      <w:jc w:val="center"/>
    </w:pPr>
    <w:rPr>
      <w:sz w:val="21"/>
      <w:szCs w:val="21"/>
    </w:rPr>
    <w:tblPr>
      <w:tblInd w:w="0" w:type="dxa"/>
      <w:tblBorders>
        <w:top w:val="thinThickSmallGap" w:sz="12" w:space="0" w:color="auto"/>
        <w:left w:val="thinThickSmallGap" w:sz="12" w:space="0" w:color="auto"/>
        <w:bottom w:val="thickThinSmallGap" w:sz="12" w:space="0" w:color="auto"/>
        <w:right w:val="thickThinSmallGap" w:sz="12" w:space="0" w:color="auto"/>
      </w:tblBorders>
      <w:tblCellMar>
        <w:top w:w="0" w:type="dxa"/>
        <w:left w:w="0" w:type="dxa"/>
        <w:bottom w:w="0" w:type="dxa"/>
        <w:right w:w="0" w:type="dxa"/>
      </w:tblCellMar>
    </w:tblPr>
    <w:tcPr>
      <w:shd w:val="clear" w:color="auto" w:fill="auto"/>
      <w:vAlign w:val="center"/>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fffffff6">
    <w:name w:val="网格型2"/>
    <w:basedOn w:val="a8"/>
    <w:qFormat/>
    <w:pPr>
      <w:widowControl w:val="0"/>
      <w:snapToGrid w:val="0"/>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s1">
    <w:name w:val="表格样式-ls1"/>
    <w:basedOn w:val="a8"/>
    <w:qFormat/>
    <w:pPr>
      <w:widowControl w:val="0"/>
      <w:adjustRightInd w:val="0"/>
      <w:spacing w:line="360" w:lineRule="exact"/>
      <w:jc w:val="center"/>
      <w:textAlignment w:val="center"/>
    </w:pPr>
    <w:rPr>
      <w:sz w:val="21"/>
      <w:szCs w:val="21"/>
    </w:rPr>
    <w:tblPr>
      <w:jc w:val="center"/>
      <w:tblInd w:w="0"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top w:w="0" w:type="dxa"/>
        <w:left w:w="108" w:type="dxa"/>
        <w:bottom w:w="0" w:type="dxa"/>
        <w:right w:w="108" w:type="dxa"/>
      </w:tblCellMar>
    </w:tblPr>
    <w:trPr>
      <w:jc w:val="center"/>
    </w:trPr>
    <w:tcPr>
      <w:shd w:val="clear" w:color="auto" w:fill="auto"/>
      <w:vAlign w:val="center"/>
    </w:tcPr>
    <w:tblStylePr w:type="firstRow">
      <w:pPr>
        <w:jc w:val="center"/>
      </w:pPr>
      <w:rPr>
        <w:b w:val="0"/>
        <w:bCs/>
        <w:color w:val="auto"/>
        <w:sz w:val="21"/>
      </w:rPr>
      <w:tblPr/>
      <w:tcPr>
        <w:shd w:val="pct20" w:color="000000" w:fill="FFFFFF"/>
      </w:tcPr>
    </w:tblStylePr>
  </w:style>
  <w:style w:type="character" w:customStyle="1" w:styleId="3ffff1">
    <w:name w:val="普通(网站) 字符3"/>
    <w:uiPriority w:val="99"/>
    <w:qFormat/>
    <w:rPr>
      <w:rFonts w:ascii="宋体" w:eastAsia="宋体" w:hAnsi="宋体" w:cs="Times New Roman"/>
      <w:kern w:val="0"/>
      <w:sz w:val="24"/>
      <w:szCs w:val="20"/>
    </w:rPr>
  </w:style>
  <w:style w:type="paragraph" w:styleId="affffffffffffffffffffffffffffffffffffffffff6">
    <w:name w:val="List Paragraph"/>
    <w:basedOn w:val="a6"/>
    <w:uiPriority w:val="99"/>
    <w:qFormat/>
    <w:pPr>
      <w:ind w:firstLineChars="200" w:firstLine="420"/>
    </w:pPr>
  </w:style>
  <w:style w:type="character" w:customStyle="1" w:styleId="font81">
    <w:name w:val="font81"/>
    <w:basedOn w:val="a7"/>
    <w:qFormat/>
    <w:rPr>
      <w:rFonts w:ascii="宋体" w:eastAsia="宋体" w:hAnsi="宋体" w:cs="宋体" w:hint="eastAsia"/>
      <w:color w:val="242424"/>
      <w:sz w:val="20"/>
      <w:szCs w:val="20"/>
      <w:u w:val="none"/>
    </w:rPr>
  </w:style>
  <w:style w:type="character" w:customStyle="1" w:styleId="font91">
    <w:name w:val="font91"/>
    <w:basedOn w:val="a7"/>
    <w:qFormat/>
    <w:rPr>
      <w:rFonts w:ascii="宋体" w:eastAsia="宋体" w:hAnsi="宋体" w:cs="宋体" w:hint="eastAsia"/>
      <w:color w:val="494949"/>
      <w:sz w:val="20"/>
      <w:szCs w:val="20"/>
      <w:u w:val="none"/>
    </w:rPr>
  </w:style>
  <w:style w:type="character" w:customStyle="1" w:styleId="font101">
    <w:name w:val="font101"/>
    <w:basedOn w:val="a7"/>
    <w:qFormat/>
    <w:rPr>
      <w:rFonts w:ascii="宋体" w:eastAsia="宋体" w:hAnsi="宋体" w:cs="宋体" w:hint="eastAsia"/>
      <w:color w:val="343434"/>
      <w:sz w:val="20"/>
      <w:szCs w:val="20"/>
      <w:u w:val="none"/>
    </w:rPr>
  </w:style>
  <w:style w:type="character" w:customStyle="1" w:styleId="font112">
    <w:name w:val="font112"/>
    <w:basedOn w:val="a7"/>
    <w:qFormat/>
    <w:rPr>
      <w:rFonts w:ascii="Times New Roman" w:hAnsi="Times New Roman" w:cs="Times New Roman" w:hint="default"/>
      <w:color w:val="242424"/>
      <w:sz w:val="20"/>
      <w:szCs w:val="20"/>
      <w:u w:val="none"/>
    </w:rPr>
  </w:style>
  <w:style w:type="character" w:customStyle="1" w:styleId="font121">
    <w:name w:val="font121"/>
    <w:basedOn w:val="a7"/>
    <w:qFormat/>
    <w:rPr>
      <w:rFonts w:ascii="Times New Roman" w:hAnsi="Times New Roman" w:cs="Times New Roman" w:hint="default"/>
      <w:color w:val="494949"/>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oleObject" Target="embeddings/oleObject2.bin"/><Relationship Id="rId39" Type="http://schemas.openxmlformats.org/officeDocument/2006/relationships/oleObject" Target="embeddings/oleObject5.bin"/><Relationship Id="rId21" Type="http://schemas.openxmlformats.org/officeDocument/2006/relationships/image" Target="media/image5.wmf"/><Relationship Id="rId34" Type="http://schemas.openxmlformats.org/officeDocument/2006/relationships/image" Target="media/image11.png"/><Relationship Id="rId42" Type="http://schemas.openxmlformats.org/officeDocument/2006/relationships/image" Target="media/image16.wmf"/><Relationship Id="rId47" Type="http://schemas.openxmlformats.org/officeDocument/2006/relationships/oleObject" Target="embeddings/oleObject9.bin"/><Relationship Id="rId50" Type="http://schemas.openxmlformats.org/officeDocument/2006/relationships/image" Target="media/image20.wmf"/><Relationship Id="rId55" Type="http://schemas.openxmlformats.org/officeDocument/2006/relationships/footer" Target="footer7.xml"/><Relationship Id="rId63"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2.wmf"/><Relationship Id="rId20" Type="http://schemas.openxmlformats.org/officeDocument/2006/relationships/image" Target="media/image4.png"/><Relationship Id="rId29" Type="http://schemas.openxmlformats.org/officeDocument/2006/relationships/header" Target="header3.xml"/><Relationship Id="rId41" Type="http://schemas.openxmlformats.org/officeDocument/2006/relationships/oleObject" Target="embeddings/oleObject6.bin"/><Relationship Id="rId54" Type="http://schemas.openxmlformats.org/officeDocument/2006/relationships/header" Target="header5.xml"/><Relationship Id="rId62"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footer" Target="footer4.xml"/><Relationship Id="rId32" Type="http://schemas.openxmlformats.org/officeDocument/2006/relationships/header" Target="header4.xml"/><Relationship Id="rId37" Type="http://schemas.openxmlformats.org/officeDocument/2006/relationships/image" Target="media/image13.png"/><Relationship Id="rId40" Type="http://schemas.openxmlformats.org/officeDocument/2006/relationships/image" Target="media/image15.wmf"/><Relationship Id="rId45" Type="http://schemas.openxmlformats.org/officeDocument/2006/relationships/oleObject" Target="embeddings/oleObject8.bin"/><Relationship Id="rId53" Type="http://schemas.openxmlformats.org/officeDocument/2006/relationships/hyperlink" Target="https://www.mee.gov.cn/ywgz/fgbz/bz/bzwb/other/qt/202202/W020220228602950839263.pdf" TargetMode="External"/><Relationship Id="rId58" Type="http://schemas.openxmlformats.org/officeDocument/2006/relationships/image" Target="media/image22.png"/><Relationship Id="rId5" Type="http://schemas.microsoft.com/office/2007/relationships/stylesWithEffects" Target="stylesWithEffects.xml"/><Relationship Id="rId15" Type="http://schemas.openxmlformats.org/officeDocument/2006/relationships/image" Target="../../../../../../ADMINI~1.DES/AppData/Local/Temp/ksohtml/wps226.tmp.jpg" TargetMode="External"/><Relationship Id="rId23" Type="http://schemas.openxmlformats.org/officeDocument/2006/relationships/image" Target="media/image7.wmf"/><Relationship Id="rId28" Type="http://schemas.openxmlformats.org/officeDocument/2006/relationships/oleObject" Target="embeddings/oleObject3.bin"/><Relationship Id="rId36" Type="http://schemas.openxmlformats.org/officeDocument/2006/relationships/oleObject" Target="embeddings/oleObject4.bin"/><Relationship Id="rId49" Type="http://schemas.openxmlformats.org/officeDocument/2006/relationships/oleObject" Target="embeddings/oleObject10.bin"/><Relationship Id="rId57" Type="http://schemas.openxmlformats.org/officeDocument/2006/relationships/footer" Target="footer9.xml"/><Relationship Id="rId61" Type="http://schemas.openxmlformats.org/officeDocument/2006/relationships/footer" Target="footer11.xml"/><Relationship Id="rId10" Type="http://schemas.openxmlformats.org/officeDocument/2006/relationships/header" Target="header1.xml"/><Relationship Id="rId19" Type="http://schemas.openxmlformats.org/officeDocument/2006/relationships/image" Target="media/image3.wmf"/><Relationship Id="rId31" Type="http://schemas.openxmlformats.org/officeDocument/2006/relationships/image" Target="media/image10.png"/><Relationship Id="rId44" Type="http://schemas.openxmlformats.org/officeDocument/2006/relationships/image" Target="media/image17.wmf"/><Relationship Id="rId52" Type="http://schemas.openxmlformats.org/officeDocument/2006/relationships/image" Target="media/image21.png"/><Relationship Id="rId60" Type="http://schemas.openxmlformats.org/officeDocument/2006/relationships/footer" Target="footer10.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1.jpeg"/><Relationship Id="rId22" Type="http://schemas.openxmlformats.org/officeDocument/2006/relationships/image" Target="media/image6.wmf"/><Relationship Id="rId27" Type="http://schemas.openxmlformats.org/officeDocument/2006/relationships/image" Target="media/image9.wmf"/><Relationship Id="rId30" Type="http://schemas.openxmlformats.org/officeDocument/2006/relationships/footer" Target="footer5.xml"/><Relationship Id="rId35" Type="http://schemas.openxmlformats.org/officeDocument/2006/relationships/image" Target="media/image12.wmf"/><Relationship Id="rId43" Type="http://schemas.openxmlformats.org/officeDocument/2006/relationships/oleObject" Target="embeddings/oleObject7.bin"/><Relationship Id="rId48" Type="http://schemas.openxmlformats.org/officeDocument/2006/relationships/image" Target="media/image19.wmf"/><Relationship Id="rId56" Type="http://schemas.openxmlformats.org/officeDocument/2006/relationships/footer" Target="footer8.xml"/><Relationship Id="rId64"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oleObject" Target="embeddings/oleObject11.bin"/><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oleObject" Target="embeddings/oleObject1.bin"/><Relationship Id="rId25" Type="http://schemas.openxmlformats.org/officeDocument/2006/relationships/image" Target="media/image8.wmf"/><Relationship Id="rId33" Type="http://schemas.openxmlformats.org/officeDocument/2006/relationships/footer" Target="footer6.xml"/><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image" Target="media/image2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2199BF2-D247-416F-861E-C12243428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283</Pages>
  <Words>35540</Words>
  <Characters>202583</Characters>
  <Application>Microsoft Office Word</Application>
  <DocSecurity>0</DocSecurity>
  <Lines>1688</Lines>
  <Paragraphs>475</Paragraphs>
  <ScaleCrop>false</ScaleCrop>
  <Company>Microsoft</Company>
  <LinksUpToDate>false</LinksUpToDate>
  <CharactersWithSpaces>237648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1总论</dc:title>
  <dc:creator>IBM T23</dc:creator>
  <cp:lastModifiedBy>lenovo</cp:lastModifiedBy>
  <cp:revision>1</cp:revision>
  <cp:lastPrinted>2022-12-28T11:04:00Z</cp:lastPrinted>
  <dcterms:created xsi:type="dcterms:W3CDTF">2025-02-13T09:41:00Z</dcterms:created>
  <dcterms:modified xsi:type="dcterms:W3CDTF">2025-05-29T11:22:00Z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88A7BAF66C254051A75CFC1200C1D83F_13</vt:lpwstr>
  </property>
  <property fmtid="{D5CDD505-2E9C-101B-9397-08002B2CF9AE}" pid="4" name="KSOTemplateDocerSaveRecord">
    <vt:lpwstr>eyJoZGlkIjoiZDNhZDY1OGY2ZTNhN2RiNmFhNjNkOWVjMWMwM2M3YzciLCJ1c2VySWQiOiIxNTc1MDY0ODc3In0=</vt:lpwstr>
  </property>
</Properties>
</file>